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charts/chart4.xml" ContentType="application/vnd.openxmlformats-officedocument.drawingml.chart+xml"/>
  <Override PartName="/word/theme/themeOverride4.xml" ContentType="application/vnd.openxmlformats-officedocument.themeOverride+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theme/themeOverride5.xml" ContentType="application/vnd.openxmlformats-officedocument.themeOverrid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EDCF2EE" w14:textId="77777777" w:rsidR="00AB2B06" w:rsidRPr="007114AF" w:rsidRDefault="00AB2B06" w:rsidP="00AB2B06">
      <w:pPr>
        <w:spacing w:after="0" w:line="240" w:lineRule="auto"/>
        <w:jc w:val="center"/>
        <w:rPr>
          <w:rFonts w:ascii="Garamond" w:hAnsi="Garamond"/>
          <w:b/>
          <w:sz w:val="24"/>
          <w:szCs w:val="24"/>
        </w:rPr>
      </w:pPr>
      <w:r w:rsidRPr="007114AF">
        <w:rPr>
          <w:rFonts w:ascii="Garamond" w:hAnsi="Garamond"/>
          <w:b/>
          <w:sz w:val="24"/>
          <w:szCs w:val="24"/>
        </w:rPr>
        <w:t>VENDIM</w:t>
      </w:r>
    </w:p>
    <w:p w14:paraId="6EDCF2EF" w14:textId="596453F0" w:rsidR="00AB2B06" w:rsidRPr="007114AF" w:rsidRDefault="008D30FC" w:rsidP="00AB2B06">
      <w:pPr>
        <w:spacing w:after="0" w:line="240" w:lineRule="auto"/>
        <w:jc w:val="center"/>
        <w:rPr>
          <w:rFonts w:ascii="Garamond" w:hAnsi="Garamond"/>
          <w:b/>
          <w:sz w:val="24"/>
          <w:szCs w:val="24"/>
        </w:rPr>
      </w:pPr>
      <w:r w:rsidRPr="007114AF">
        <w:rPr>
          <w:rFonts w:ascii="Garamond" w:hAnsi="Garamond"/>
          <w:b/>
          <w:sz w:val="24"/>
          <w:szCs w:val="24"/>
        </w:rPr>
        <w:t xml:space="preserve">Nr. </w:t>
      </w:r>
      <w:r w:rsidR="00AB2B06" w:rsidRPr="007114AF">
        <w:rPr>
          <w:rFonts w:ascii="Garamond" w:hAnsi="Garamond"/>
          <w:b/>
          <w:sz w:val="24"/>
          <w:szCs w:val="24"/>
        </w:rPr>
        <w:t>466, datë 3.7.2019</w:t>
      </w:r>
    </w:p>
    <w:p w14:paraId="6EDCF2F0" w14:textId="77777777" w:rsidR="00AB2B06" w:rsidRPr="007114AF" w:rsidRDefault="00AB2B06" w:rsidP="00AB2B06">
      <w:pPr>
        <w:spacing w:after="0" w:line="240" w:lineRule="auto"/>
        <w:jc w:val="center"/>
        <w:rPr>
          <w:rFonts w:ascii="Garamond" w:hAnsi="Garamond"/>
          <w:b/>
          <w:sz w:val="24"/>
          <w:szCs w:val="24"/>
        </w:rPr>
      </w:pPr>
    </w:p>
    <w:p w14:paraId="6EDCF2F1" w14:textId="77777777" w:rsidR="00AB2B06" w:rsidRPr="007114AF" w:rsidRDefault="00AB2B06" w:rsidP="00AB2B06">
      <w:pPr>
        <w:spacing w:after="0" w:line="240" w:lineRule="auto"/>
        <w:jc w:val="center"/>
        <w:rPr>
          <w:rFonts w:ascii="Garamond" w:hAnsi="Garamond"/>
          <w:b/>
          <w:sz w:val="24"/>
          <w:szCs w:val="24"/>
        </w:rPr>
      </w:pPr>
      <w:r w:rsidRPr="007114AF">
        <w:rPr>
          <w:rFonts w:ascii="Garamond" w:hAnsi="Garamond"/>
          <w:b/>
          <w:sz w:val="24"/>
          <w:szCs w:val="24"/>
        </w:rPr>
        <w:t>PËR MIRATIMIN E DOKUMENTIT STRATEGJIK DHE TË PLANEVE KOMBËTARE PËR ZBUTJEN E GAZEVE ME EFEKT SERRË DHE PËR PËRSHTATJEN NDAJ NDRYSHIMEVE KLIMATIKE</w:t>
      </w:r>
    </w:p>
    <w:p w14:paraId="7A424D1C" w14:textId="67B59ECD" w:rsidR="00DE31E0" w:rsidRPr="00DE31E0" w:rsidRDefault="00DE31E0" w:rsidP="00DE31E0">
      <w:pPr>
        <w:widowControl w:val="0"/>
        <w:spacing w:after="0" w:line="240" w:lineRule="auto"/>
        <w:jc w:val="center"/>
        <w:rPr>
          <w:rFonts w:ascii="Garamond" w:eastAsia="Times New Roman" w:hAnsi="Garamond" w:cs="Times New Roman"/>
          <w:i/>
          <w:sz w:val="24"/>
          <w:szCs w:val="24"/>
          <w:lang w:val="en-GB" w:eastAsia="en-US"/>
        </w:rPr>
      </w:pPr>
      <w:r w:rsidRPr="00DE31E0">
        <w:rPr>
          <w:rFonts w:ascii="Garamond" w:eastAsia="Times New Roman" w:hAnsi="Garamond" w:cs="Times New Roman"/>
          <w:i/>
          <w:sz w:val="24"/>
          <w:szCs w:val="24"/>
          <w:lang w:val="en-GB" w:eastAsia="en-US"/>
        </w:rPr>
        <w:t>(Ndryshuar me vendimin nr. 432, datë 10.6.2026)</w:t>
      </w:r>
    </w:p>
    <w:p w14:paraId="5C952860" w14:textId="5FEF00BB" w:rsidR="00DE31E0" w:rsidRPr="00DE31E0" w:rsidRDefault="00DE31E0" w:rsidP="00DE31E0">
      <w:pPr>
        <w:widowControl w:val="0"/>
        <w:spacing w:after="0" w:line="240" w:lineRule="auto"/>
        <w:jc w:val="right"/>
        <w:rPr>
          <w:rFonts w:ascii="Garamond" w:eastAsia="Times New Roman" w:hAnsi="Garamond" w:cs="Times New Roman"/>
          <w:i/>
          <w:sz w:val="24"/>
          <w:szCs w:val="24"/>
          <w:lang w:val="en-GB" w:eastAsia="en-US"/>
        </w:rPr>
      </w:pPr>
      <w:r>
        <w:rPr>
          <w:rFonts w:ascii="Garamond" w:eastAsia="Times New Roman" w:hAnsi="Garamond" w:cs="Times New Roman"/>
          <w:i/>
          <w:sz w:val="24"/>
          <w:szCs w:val="24"/>
          <w:lang w:val="en-GB" w:eastAsia="en-US"/>
        </w:rPr>
        <w:t>(I p</w:t>
      </w:r>
      <w:r w:rsidR="00622884">
        <w:rPr>
          <w:rFonts w:ascii="Garamond" w:eastAsia="Times New Roman" w:hAnsi="Garamond" w:cs="Times New Roman"/>
          <w:i/>
          <w:sz w:val="24"/>
          <w:szCs w:val="24"/>
          <w:lang w:val="en-GB" w:eastAsia="en-US"/>
        </w:rPr>
        <w:t>ë</w:t>
      </w:r>
      <w:r>
        <w:rPr>
          <w:rFonts w:ascii="Garamond" w:eastAsia="Times New Roman" w:hAnsi="Garamond" w:cs="Times New Roman"/>
          <w:i/>
          <w:sz w:val="24"/>
          <w:szCs w:val="24"/>
          <w:lang w:val="en-GB" w:eastAsia="en-US"/>
        </w:rPr>
        <w:t>rdit</w:t>
      </w:r>
      <w:r w:rsidR="00622884">
        <w:rPr>
          <w:rFonts w:ascii="Garamond" w:eastAsia="Times New Roman" w:hAnsi="Garamond" w:cs="Times New Roman"/>
          <w:i/>
          <w:sz w:val="24"/>
          <w:szCs w:val="24"/>
          <w:lang w:val="en-GB" w:eastAsia="en-US"/>
        </w:rPr>
        <w:t>ë</w:t>
      </w:r>
      <w:r>
        <w:rPr>
          <w:rFonts w:ascii="Garamond" w:eastAsia="Times New Roman" w:hAnsi="Garamond" w:cs="Times New Roman"/>
          <w:i/>
          <w:sz w:val="24"/>
          <w:szCs w:val="24"/>
          <w:lang w:val="en-GB" w:eastAsia="en-US"/>
        </w:rPr>
        <w:t>suar)</w:t>
      </w:r>
    </w:p>
    <w:p w14:paraId="6EDCF2F2" w14:textId="77777777" w:rsidR="00AB2B06" w:rsidRPr="007114AF" w:rsidRDefault="00AB2B06" w:rsidP="00AB2B06">
      <w:pPr>
        <w:spacing w:after="0" w:line="240" w:lineRule="auto"/>
        <w:ind w:firstLine="284"/>
        <w:rPr>
          <w:rFonts w:ascii="Garamond" w:hAnsi="Garamond"/>
          <w:sz w:val="24"/>
          <w:szCs w:val="24"/>
        </w:rPr>
      </w:pPr>
    </w:p>
    <w:p w14:paraId="6EDCF2F3" w14:textId="387F6A74" w:rsidR="00AB2B06" w:rsidRPr="007114AF" w:rsidRDefault="00AB2B06" w:rsidP="00AB2B06">
      <w:pPr>
        <w:spacing w:after="0" w:line="240" w:lineRule="auto"/>
        <w:ind w:firstLine="284"/>
        <w:rPr>
          <w:rFonts w:ascii="Garamond" w:hAnsi="Garamond"/>
          <w:sz w:val="24"/>
          <w:szCs w:val="24"/>
        </w:rPr>
      </w:pPr>
      <w:r w:rsidRPr="007114AF">
        <w:rPr>
          <w:rFonts w:ascii="Garamond" w:hAnsi="Garamond"/>
          <w:sz w:val="24"/>
          <w:szCs w:val="24"/>
        </w:rPr>
        <w:t>Në mbështetje të nenit 100 të Kushtetutës dhe të pikës 4, të nenit 21, të ligjit</w:t>
      </w:r>
      <w:r w:rsidR="00242009" w:rsidRPr="007114AF">
        <w:rPr>
          <w:rFonts w:ascii="Garamond" w:hAnsi="Garamond"/>
          <w:sz w:val="24"/>
          <w:szCs w:val="24"/>
        </w:rPr>
        <w:t xml:space="preserve"> nr. </w:t>
      </w:r>
      <w:r w:rsidRPr="007114AF">
        <w:rPr>
          <w:rFonts w:ascii="Garamond" w:hAnsi="Garamond"/>
          <w:sz w:val="24"/>
          <w:szCs w:val="24"/>
        </w:rPr>
        <w:t xml:space="preserve">10431, datë 9.6.2011, </w:t>
      </w:r>
      <w:r w:rsidR="000A2A01" w:rsidRPr="007114AF">
        <w:rPr>
          <w:rFonts w:ascii="Garamond" w:hAnsi="Garamond"/>
          <w:sz w:val="24"/>
          <w:szCs w:val="24"/>
        </w:rPr>
        <w:t>“</w:t>
      </w:r>
      <w:r w:rsidRPr="007114AF">
        <w:rPr>
          <w:rFonts w:ascii="Garamond" w:hAnsi="Garamond"/>
          <w:sz w:val="24"/>
          <w:szCs w:val="24"/>
        </w:rPr>
        <w:t>Për mbrojtjen e mjedisit</w:t>
      </w:r>
      <w:r w:rsidR="000A2A01" w:rsidRPr="007114AF">
        <w:rPr>
          <w:rFonts w:ascii="Garamond" w:hAnsi="Garamond"/>
          <w:sz w:val="24"/>
          <w:szCs w:val="24"/>
        </w:rPr>
        <w:t>”</w:t>
      </w:r>
      <w:r w:rsidRPr="007114AF">
        <w:rPr>
          <w:rFonts w:ascii="Garamond" w:hAnsi="Garamond"/>
          <w:sz w:val="24"/>
          <w:szCs w:val="24"/>
        </w:rPr>
        <w:t xml:space="preserve">, të ndryshuar, me propozimin e ministrit të Turizmit dhe Mjedisit, Këshilli i Ministrave </w:t>
      </w:r>
    </w:p>
    <w:p w14:paraId="6EDCF2F4" w14:textId="77777777" w:rsidR="00AB2B06" w:rsidRPr="007114AF" w:rsidRDefault="00AB2B06" w:rsidP="00AB2B06">
      <w:pPr>
        <w:spacing w:after="0" w:line="240" w:lineRule="auto"/>
        <w:ind w:firstLine="284"/>
        <w:rPr>
          <w:rFonts w:ascii="Garamond" w:hAnsi="Garamond"/>
          <w:sz w:val="24"/>
          <w:szCs w:val="24"/>
        </w:rPr>
      </w:pPr>
    </w:p>
    <w:p w14:paraId="6EDCF2F5" w14:textId="77777777" w:rsidR="00AB2B06" w:rsidRPr="007114AF" w:rsidRDefault="00AB2B06" w:rsidP="00AB2B06">
      <w:pPr>
        <w:spacing w:after="0" w:line="240" w:lineRule="auto"/>
        <w:jc w:val="center"/>
        <w:rPr>
          <w:rFonts w:ascii="Garamond" w:hAnsi="Garamond"/>
          <w:sz w:val="24"/>
          <w:szCs w:val="24"/>
        </w:rPr>
      </w:pPr>
      <w:r w:rsidRPr="007114AF">
        <w:rPr>
          <w:rFonts w:ascii="Garamond" w:hAnsi="Garamond"/>
          <w:sz w:val="24"/>
          <w:szCs w:val="24"/>
        </w:rPr>
        <w:t>VENDOSI:</w:t>
      </w:r>
    </w:p>
    <w:p w14:paraId="6EDCF2F6" w14:textId="77777777" w:rsidR="00AB2B06" w:rsidRPr="007114AF" w:rsidRDefault="00AB2B06" w:rsidP="00AB2B06">
      <w:pPr>
        <w:spacing w:after="0" w:line="240" w:lineRule="auto"/>
        <w:ind w:firstLine="284"/>
        <w:rPr>
          <w:rFonts w:ascii="Garamond" w:hAnsi="Garamond"/>
          <w:sz w:val="24"/>
          <w:szCs w:val="24"/>
        </w:rPr>
      </w:pPr>
    </w:p>
    <w:p w14:paraId="6EDCF2F7" w14:textId="77777777" w:rsidR="00AB2B06" w:rsidRPr="007114AF" w:rsidRDefault="00AB2B06" w:rsidP="00AB2B06">
      <w:pPr>
        <w:spacing w:after="0" w:line="240" w:lineRule="auto"/>
        <w:ind w:firstLine="284"/>
        <w:rPr>
          <w:rFonts w:ascii="Garamond" w:hAnsi="Garamond"/>
          <w:sz w:val="24"/>
          <w:szCs w:val="24"/>
        </w:rPr>
      </w:pPr>
      <w:r w:rsidRPr="007114AF">
        <w:rPr>
          <w:rFonts w:ascii="Garamond" w:hAnsi="Garamond"/>
          <w:sz w:val="24"/>
          <w:szCs w:val="24"/>
        </w:rPr>
        <w:t>1. Miratimin e dokumentit strategjik dhe të planeve kombëtare për zbutjen e gazeve me efekt serrë (NPM) dhe për përshtatjen ndaj ndryshimeve klimatike (NAP), sipas tekstit që i bashkëlidhet këtij vendimi dhe është pjesë përbërëse e tij.</w:t>
      </w:r>
    </w:p>
    <w:p w14:paraId="6EDCF2F8" w14:textId="77777777" w:rsidR="00AB2B06" w:rsidRPr="007114AF" w:rsidRDefault="00AB2B06" w:rsidP="00AB2B06">
      <w:pPr>
        <w:spacing w:after="0" w:line="240" w:lineRule="auto"/>
        <w:ind w:firstLine="284"/>
        <w:rPr>
          <w:rFonts w:ascii="Garamond" w:hAnsi="Garamond"/>
          <w:sz w:val="24"/>
          <w:szCs w:val="24"/>
        </w:rPr>
      </w:pPr>
      <w:r w:rsidRPr="007114AF">
        <w:rPr>
          <w:rFonts w:ascii="Garamond" w:hAnsi="Garamond"/>
          <w:sz w:val="24"/>
          <w:szCs w:val="24"/>
        </w:rPr>
        <w:t>2. Dokumenti strategjik dhe planet kombëtare për zbutjen e gazeve me efekt serrë (NPM) dhe për përshtatjen ndaj ndryshimeve klimatike (NAP) rishikohen çdo 4 vjet.</w:t>
      </w:r>
    </w:p>
    <w:p w14:paraId="6EDCF2F9" w14:textId="77777777" w:rsidR="00AB2B06" w:rsidRPr="007114AF" w:rsidRDefault="00AB2B06" w:rsidP="00AB2B06">
      <w:pPr>
        <w:spacing w:after="0" w:line="240" w:lineRule="auto"/>
        <w:ind w:firstLine="284"/>
        <w:rPr>
          <w:rFonts w:ascii="Garamond" w:hAnsi="Garamond"/>
          <w:sz w:val="24"/>
          <w:szCs w:val="24"/>
        </w:rPr>
      </w:pPr>
      <w:r w:rsidRPr="007114AF">
        <w:rPr>
          <w:rFonts w:ascii="Garamond" w:hAnsi="Garamond"/>
          <w:sz w:val="24"/>
          <w:szCs w:val="24"/>
        </w:rPr>
        <w:t>3. Ngarkohen Ministria e Turizmit dhe Mjedisit, Ministria e Infrastrukturës dhe Energjisë, Ministria e Bujqësisë dhe Zhvillimit Rural, Ministria e Shëndetësisë dhe Mbrojtjes Sociale, Ministria e Brendshme, Ministria e Arsimit, Sportit dhe Rinisë, Ministria e Financave dhe Ekonomisë dhe njësitë e vetëqeverisjes vendore për zbatimin e këtij vendimi.</w:t>
      </w:r>
    </w:p>
    <w:p w14:paraId="6EDCF2FA" w14:textId="77777777" w:rsidR="00AB2B06" w:rsidRPr="007114AF" w:rsidRDefault="00AB2B06" w:rsidP="00AB2B06">
      <w:pPr>
        <w:spacing w:after="0" w:line="240" w:lineRule="auto"/>
        <w:ind w:firstLine="284"/>
        <w:rPr>
          <w:rFonts w:ascii="Garamond" w:hAnsi="Garamond"/>
          <w:sz w:val="24"/>
          <w:szCs w:val="24"/>
        </w:rPr>
      </w:pPr>
      <w:r w:rsidRPr="007114AF">
        <w:rPr>
          <w:rFonts w:ascii="Garamond" w:hAnsi="Garamond"/>
          <w:sz w:val="24"/>
          <w:szCs w:val="24"/>
        </w:rPr>
        <w:t>Ky vendim hyn në fuqi pas botimit në Fletoren Zyrtare.</w:t>
      </w:r>
    </w:p>
    <w:p w14:paraId="6EDCF2FB" w14:textId="77777777" w:rsidR="00AB2B06" w:rsidRPr="007114AF" w:rsidRDefault="00AB2B06" w:rsidP="00AB2B06">
      <w:pPr>
        <w:spacing w:after="0" w:line="240" w:lineRule="auto"/>
        <w:ind w:firstLine="284"/>
        <w:rPr>
          <w:rFonts w:ascii="Garamond" w:hAnsi="Garamond"/>
          <w:sz w:val="24"/>
          <w:szCs w:val="24"/>
        </w:rPr>
      </w:pPr>
    </w:p>
    <w:p w14:paraId="6EDCF2FC" w14:textId="5C93E6F5" w:rsidR="00AB2B06" w:rsidRPr="007114AF" w:rsidRDefault="00AB2B06" w:rsidP="00AB2B06">
      <w:pPr>
        <w:spacing w:after="0" w:line="240" w:lineRule="auto"/>
        <w:ind w:firstLine="284"/>
        <w:jc w:val="right"/>
        <w:rPr>
          <w:rFonts w:ascii="Garamond" w:hAnsi="Garamond"/>
          <w:sz w:val="24"/>
          <w:szCs w:val="24"/>
        </w:rPr>
      </w:pPr>
      <w:r w:rsidRPr="007114AF">
        <w:rPr>
          <w:rFonts w:ascii="Garamond" w:hAnsi="Garamond"/>
          <w:sz w:val="24"/>
          <w:szCs w:val="24"/>
        </w:rPr>
        <w:t>KRYEMINIST</w:t>
      </w:r>
      <w:r w:rsidR="003305AE" w:rsidRPr="007114AF">
        <w:rPr>
          <w:rFonts w:ascii="Garamond" w:hAnsi="Garamond"/>
          <w:sz w:val="24"/>
          <w:szCs w:val="24"/>
        </w:rPr>
        <w:t>Ë</w:t>
      </w:r>
      <w:r w:rsidRPr="007114AF">
        <w:rPr>
          <w:rFonts w:ascii="Garamond" w:hAnsi="Garamond"/>
          <w:sz w:val="24"/>
          <w:szCs w:val="24"/>
        </w:rPr>
        <w:t>R</w:t>
      </w:r>
    </w:p>
    <w:p w14:paraId="6EDCF2FD" w14:textId="77777777" w:rsidR="00AB2B06" w:rsidRPr="007114AF" w:rsidRDefault="00AB2B06" w:rsidP="00AB2B06">
      <w:pPr>
        <w:spacing w:after="0" w:line="240" w:lineRule="auto"/>
        <w:ind w:firstLine="284"/>
        <w:jc w:val="right"/>
        <w:rPr>
          <w:rFonts w:ascii="Garamond" w:hAnsi="Garamond"/>
          <w:b/>
          <w:sz w:val="24"/>
          <w:szCs w:val="24"/>
        </w:rPr>
      </w:pPr>
      <w:r w:rsidRPr="007114AF">
        <w:rPr>
          <w:rFonts w:ascii="Garamond" w:hAnsi="Garamond"/>
          <w:b/>
          <w:sz w:val="24"/>
          <w:szCs w:val="24"/>
        </w:rPr>
        <w:t>Edi Rama</w:t>
      </w:r>
    </w:p>
    <w:p w14:paraId="6EDCF2FE" w14:textId="77777777" w:rsidR="00AB2B06" w:rsidRPr="007114AF" w:rsidRDefault="00AB2B06" w:rsidP="00744280">
      <w:pPr>
        <w:pStyle w:val="TEKSTI"/>
        <w:jc w:val="center"/>
        <w:rPr>
          <w:b/>
        </w:rPr>
      </w:pPr>
    </w:p>
    <w:p w14:paraId="6EDCF2FF" w14:textId="77777777" w:rsidR="00B86BA1" w:rsidRPr="007114AF" w:rsidRDefault="00B86BA1" w:rsidP="00744280">
      <w:pPr>
        <w:pStyle w:val="TEKSTI"/>
        <w:jc w:val="center"/>
        <w:rPr>
          <w:b/>
        </w:rPr>
      </w:pPr>
      <w:r w:rsidRPr="007114AF">
        <w:rPr>
          <w:b/>
        </w:rPr>
        <w:t>STRATEGJIA E NDRYSHIMEVE KLIMATIKE DHE PLANEVE TË VEPRIMIT</w:t>
      </w:r>
    </w:p>
    <w:p w14:paraId="6EDCF300" w14:textId="37C438F4" w:rsidR="00B86BA1" w:rsidRPr="00941E9F" w:rsidRDefault="003305AE" w:rsidP="00744280">
      <w:pPr>
        <w:pStyle w:val="TEKSTI"/>
        <w:jc w:val="center"/>
        <w:rPr>
          <w:b/>
        </w:rPr>
      </w:pPr>
      <w:r w:rsidRPr="00941E9F">
        <w:rPr>
          <w:b/>
        </w:rPr>
        <w:t>Tiranë 2019</w:t>
      </w:r>
    </w:p>
    <w:p w14:paraId="6EDCF301" w14:textId="77777777" w:rsidR="003F6198" w:rsidRPr="007114AF" w:rsidRDefault="003F6198" w:rsidP="00744280">
      <w:pPr>
        <w:pStyle w:val="TOCHeading"/>
        <w:spacing w:before="0"/>
        <w:rPr>
          <w:rFonts w:ascii="Garamond" w:hAnsi="Garamond" w:cs="Calibri"/>
          <w:color w:val="000000" w:themeColor="text1"/>
          <w:sz w:val="24"/>
          <w:szCs w:val="24"/>
        </w:rPr>
      </w:pPr>
    </w:p>
    <w:p w14:paraId="6EDCF302" w14:textId="77777777" w:rsidR="00744280" w:rsidRPr="007114AF" w:rsidRDefault="00744280" w:rsidP="00744280">
      <w:pPr>
        <w:pStyle w:val="TOCHeading"/>
        <w:spacing w:before="0"/>
        <w:rPr>
          <w:rFonts w:ascii="Garamond" w:hAnsi="Garamond" w:cs="Calibri"/>
          <w:color w:val="000000" w:themeColor="text1"/>
          <w:sz w:val="24"/>
          <w:szCs w:val="24"/>
        </w:rPr>
      </w:pPr>
      <w:r w:rsidRPr="007114AF">
        <w:rPr>
          <w:rFonts w:ascii="Garamond" w:hAnsi="Garamond" w:cs="Calibri"/>
          <w:color w:val="000000" w:themeColor="text1"/>
          <w:sz w:val="24"/>
          <w:szCs w:val="24"/>
        </w:rPr>
        <w:t>Tabela e përmbajtjes</w:t>
      </w:r>
    </w:p>
    <w:p w14:paraId="6EDCF303" w14:textId="77777777" w:rsidR="00744280" w:rsidRPr="007114AF" w:rsidRDefault="00744280" w:rsidP="00744280">
      <w:pPr>
        <w:spacing w:after="0"/>
        <w:rPr>
          <w:rFonts w:ascii="Garamond" w:hAnsi="Garamond"/>
          <w:sz w:val="24"/>
          <w:szCs w:val="24"/>
        </w:rPr>
      </w:pPr>
      <w:r w:rsidRPr="007114AF">
        <w:rPr>
          <w:rFonts w:ascii="Garamond" w:hAnsi="Garamond"/>
          <w:sz w:val="24"/>
          <w:szCs w:val="24"/>
        </w:rPr>
        <w:t>PËRMBLEDHJE</w:t>
      </w:r>
    </w:p>
    <w:p w14:paraId="6EDCF304" w14:textId="5B9FBA19" w:rsidR="00744280" w:rsidRPr="007114AF" w:rsidRDefault="00744280" w:rsidP="00744280">
      <w:pPr>
        <w:spacing w:after="0"/>
        <w:rPr>
          <w:rFonts w:ascii="Garamond" w:hAnsi="Garamond"/>
          <w:sz w:val="24"/>
          <w:szCs w:val="24"/>
        </w:rPr>
      </w:pPr>
      <w:r w:rsidRPr="007114AF">
        <w:rPr>
          <w:rFonts w:ascii="Garamond" w:hAnsi="Garamond"/>
          <w:sz w:val="24"/>
          <w:szCs w:val="24"/>
        </w:rPr>
        <w:t>1.</w:t>
      </w:r>
      <w:r w:rsidR="003305AE" w:rsidRPr="007114AF">
        <w:rPr>
          <w:rFonts w:ascii="Garamond" w:hAnsi="Garamond"/>
          <w:sz w:val="24"/>
          <w:szCs w:val="24"/>
        </w:rPr>
        <w:t xml:space="preserve"> </w:t>
      </w:r>
      <w:r w:rsidRPr="007114AF">
        <w:rPr>
          <w:rFonts w:ascii="Garamond" w:hAnsi="Garamond"/>
          <w:sz w:val="24"/>
          <w:szCs w:val="24"/>
        </w:rPr>
        <w:t>HYRJE</w:t>
      </w:r>
    </w:p>
    <w:p w14:paraId="6EDCF305" w14:textId="77777777" w:rsidR="00744280" w:rsidRPr="007114AF" w:rsidRDefault="00744280" w:rsidP="00744280">
      <w:pPr>
        <w:spacing w:after="0"/>
        <w:rPr>
          <w:rFonts w:ascii="Garamond" w:hAnsi="Garamond"/>
          <w:sz w:val="24"/>
          <w:szCs w:val="24"/>
        </w:rPr>
      </w:pPr>
      <w:r w:rsidRPr="007114AF">
        <w:rPr>
          <w:rFonts w:ascii="Garamond" w:hAnsi="Garamond"/>
          <w:sz w:val="24"/>
          <w:szCs w:val="24"/>
        </w:rPr>
        <w:t>1.1 Aspektet e zbutjes</w:t>
      </w:r>
    </w:p>
    <w:p w14:paraId="6EDCF306" w14:textId="77777777" w:rsidR="00744280" w:rsidRPr="007114AF" w:rsidRDefault="00744280" w:rsidP="00744280">
      <w:pPr>
        <w:spacing w:after="0"/>
        <w:rPr>
          <w:rFonts w:ascii="Garamond" w:hAnsi="Garamond"/>
          <w:sz w:val="24"/>
          <w:szCs w:val="24"/>
        </w:rPr>
      </w:pPr>
      <w:r w:rsidRPr="007114AF">
        <w:rPr>
          <w:rFonts w:ascii="Garamond" w:hAnsi="Garamond"/>
          <w:sz w:val="24"/>
          <w:szCs w:val="24"/>
        </w:rPr>
        <w:t>1.2 Aspektet e përshtatjes</w:t>
      </w:r>
    </w:p>
    <w:p w14:paraId="6EDCF307" w14:textId="77777777" w:rsidR="00744280" w:rsidRPr="007114AF" w:rsidRDefault="00744280" w:rsidP="00744280">
      <w:pPr>
        <w:spacing w:after="0"/>
        <w:rPr>
          <w:rFonts w:ascii="Garamond" w:hAnsi="Garamond"/>
          <w:sz w:val="24"/>
          <w:szCs w:val="24"/>
        </w:rPr>
      </w:pPr>
      <w:r w:rsidRPr="007114AF">
        <w:rPr>
          <w:rFonts w:ascii="Garamond" w:hAnsi="Garamond"/>
          <w:sz w:val="24"/>
          <w:szCs w:val="24"/>
        </w:rPr>
        <w:t>2. ANALIZË E SITUATËS AKTUALE</w:t>
      </w:r>
    </w:p>
    <w:p w14:paraId="6EDCF308" w14:textId="77777777" w:rsidR="00744280" w:rsidRPr="007114AF" w:rsidRDefault="00744280" w:rsidP="00744280">
      <w:pPr>
        <w:spacing w:after="0"/>
        <w:rPr>
          <w:rFonts w:ascii="Garamond" w:hAnsi="Garamond"/>
          <w:sz w:val="24"/>
          <w:szCs w:val="24"/>
        </w:rPr>
      </w:pPr>
      <w:r w:rsidRPr="007114AF">
        <w:rPr>
          <w:rFonts w:ascii="Garamond" w:hAnsi="Garamond"/>
          <w:sz w:val="24"/>
          <w:szCs w:val="24"/>
        </w:rPr>
        <w:t>2.1 Shkenca e ndryshimeve klimatike</w:t>
      </w:r>
    </w:p>
    <w:p w14:paraId="6EDCF309" w14:textId="77777777" w:rsidR="00744280" w:rsidRPr="007114AF" w:rsidRDefault="00744280" w:rsidP="00744280">
      <w:pPr>
        <w:spacing w:after="0"/>
        <w:rPr>
          <w:rFonts w:ascii="Garamond" w:hAnsi="Garamond"/>
          <w:sz w:val="24"/>
          <w:szCs w:val="24"/>
        </w:rPr>
      </w:pPr>
      <w:r w:rsidRPr="007114AF">
        <w:rPr>
          <w:rFonts w:ascii="Garamond" w:hAnsi="Garamond"/>
          <w:sz w:val="24"/>
          <w:szCs w:val="24"/>
        </w:rPr>
        <w:t>2.2 Konteksti ndërkombëtar i politikës së ndryshimeve klimatike</w:t>
      </w:r>
    </w:p>
    <w:p w14:paraId="6EDCF30A" w14:textId="77777777" w:rsidR="00744280" w:rsidRPr="007114AF" w:rsidRDefault="00744280" w:rsidP="00744280">
      <w:pPr>
        <w:spacing w:after="0"/>
        <w:rPr>
          <w:rFonts w:ascii="Garamond" w:hAnsi="Garamond"/>
          <w:sz w:val="24"/>
          <w:szCs w:val="24"/>
        </w:rPr>
      </w:pPr>
      <w:r w:rsidRPr="007114AF">
        <w:rPr>
          <w:rFonts w:ascii="Garamond" w:hAnsi="Garamond"/>
          <w:sz w:val="24"/>
          <w:szCs w:val="24"/>
        </w:rPr>
        <w:t>2.3 Politika e BE-së për ndryshimet klimatike</w:t>
      </w:r>
    </w:p>
    <w:p w14:paraId="6EDCF30B" w14:textId="77777777" w:rsidR="00744280" w:rsidRPr="007114AF" w:rsidRDefault="00744280" w:rsidP="00744280">
      <w:pPr>
        <w:spacing w:after="0"/>
        <w:rPr>
          <w:rFonts w:ascii="Garamond" w:hAnsi="Garamond"/>
          <w:sz w:val="24"/>
          <w:szCs w:val="24"/>
        </w:rPr>
      </w:pPr>
      <w:r w:rsidRPr="007114AF">
        <w:rPr>
          <w:rFonts w:ascii="Garamond" w:hAnsi="Garamond"/>
          <w:sz w:val="24"/>
          <w:szCs w:val="24"/>
        </w:rPr>
        <w:t>2.3.1 Sektori i tokës</w:t>
      </w:r>
    </w:p>
    <w:p w14:paraId="6EDCF30C" w14:textId="77777777" w:rsidR="00744280" w:rsidRPr="007114AF" w:rsidRDefault="00744280" w:rsidP="00744280">
      <w:pPr>
        <w:spacing w:after="0"/>
        <w:rPr>
          <w:rFonts w:ascii="Garamond" w:hAnsi="Garamond"/>
          <w:sz w:val="24"/>
          <w:szCs w:val="24"/>
        </w:rPr>
      </w:pPr>
      <w:r w:rsidRPr="007114AF">
        <w:rPr>
          <w:rFonts w:ascii="Garamond" w:hAnsi="Garamond"/>
          <w:sz w:val="24"/>
          <w:szCs w:val="24"/>
        </w:rPr>
        <w:t>2.3.2 Sektori i energjisë</w:t>
      </w:r>
    </w:p>
    <w:p w14:paraId="6EDCF30D" w14:textId="77777777" w:rsidR="00744280" w:rsidRPr="007114AF" w:rsidRDefault="00744280" w:rsidP="00744280">
      <w:pPr>
        <w:spacing w:after="0"/>
        <w:rPr>
          <w:rFonts w:ascii="Garamond" w:hAnsi="Garamond"/>
          <w:sz w:val="24"/>
          <w:szCs w:val="24"/>
        </w:rPr>
      </w:pPr>
      <w:r w:rsidRPr="007114AF">
        <w:rPr>
          <w:rFonts w:ascii="Garamond" w:hAnsi="Garamond"/>
          <w:sz w:val="24"/>
          <w:szCs w:val="24"/>
        </w:rPr>
        <w:t>2.3.3 Sektori i transportit</w:t>
      </w:r>
    </w:p>
    <w:p w14:paraId="6EDCF30E" w14:textId="77777777" w:rsidR="00744280" w:rsidRPr="007114AF" w:rsidRDefault="00744280" w:rsidP="00744280">
      <w:pPr>
        <w:spacing w:after="0"/>
        <w:rPr>
          <w:rFonts w:ascii="Garamond" w:hAnsi="Garamond"/>
          <w:sz w:val="24"/>
          <w:szCs w:val="24"/>
        </w:rPr>
      </w:pPr>
      <w:r w:rsidRPr="007114AF">
        <w:rPr>
          <w:rFonts w:ascii="Garamond" w:hAnsi="Garamond"/>
          <w:sz w:val="24"/>
          <w:szCs w:val="24"/>
        </w:rPr>
        <w:t>2.4 Monitorimi dhe raportimi i detyrimeve në kuadrin e UNFCCC-së dhe BE-së</w:t>
      </w:r>
    </w:p>
    <w:p w14:paraId="6EDCF30F" w14:textId="77777777" w:rsidR="00744280" w:rsidRPr="007114AF" w:rsidRDefault="00744280" w:rsidP="00744280">
      <w:pPr>
        <w:spacing w:after="0"/>
        <w:rPr>
          <w:rFonts w:ascii="Garamond" w:hAnsi="Garamond"/>
          <w:sz w:val="24"/>
          <w:szCs w:val="24"/>
        </w:rPr>
      </w:pPr>
      <w:r w:rsidRPr="007114AF">
        <w:rPr>
          <w:rFonts w:ascii="Garamond" w:hAnsi="Garamond"/>
          <w:sz w:val="24"/>
          <w:szCs w:val="24"/>
        </w:rPr>
        <w:t>2.5 Politika shqiptare për ndryshimet klimatike</w:t>
      </w:r>
    </w:p>
    <w:p w14:paraId="6EDCF310" w14:textId="77777777" w:rsidR="00744280" w:rsidRPr="007114AF" w:rsidRDefault="00744280" w:rsidP="00744280">
      <w:pPr>
        <w:spacing w:after="0"/>
        <w:rPr>
          <w:rFonts w:ascii="Garamond" w:hAnsi="Garamond"/>
          <w:sz w:val="24"/>
          <w:szCs w:val="24"/>
        </w:rPr>
      </w:pPr>
      <w:r w:rsidRPr="007114AF">
        <w:rPr>
          <w:rFonts w:ascii="Garamond" w:hAnsi="Garamond"/>
          <w:sz w:val="24"/>
          <w:szCs w:val="24"/>
        </w:rPr>
        <w:t>2.6 Gjendja e ekonomisë shqiptare</w:t>
      </w:r>
    </w:p>
    <w:p w14:paraId="6EDCF311" w14:textId="77777777" w:rsidR="00744280" w:rsidRPr="007114AF" w:rsidRDefault="00744280" w:rsidP="00744280">
      <w:pPr>
        <w:spacing w:after="0"/>
        <w:rPr>
          <w:rFonts w:ascii="Garamond" w:hAnsi="Garamond"/>
          <w:sz w:val="24"/>
          <w:szCs w:val="24"/>
        </w:rPr>
      </w:pPr>
      <w:r w:rsidRPr="007114AF">
        <w:rPr>
          <w:rFonts w:ascii="Garamond" w:hAnsi="Garamond"/>
          <w:sz w:val="24"/>
          <w:szCs w:val="24"/>
        </w:rPr>
        <w:t>2.6.1 Sektori i energjisë</w:t>
      </w:r>
    </w:p>
    <w:p w14:paraId="6EDCF312" w14:textId="77777777" w:rsidR="00744280" w:rsidRPr="007114AF" w:rsidRDefault="00744280" w:rsidP="00744280">
      <w:pPr>
        <w:spacing w:after="0"/>
        <w:rPr>
          <w:rFonts w:ascii="Garamond" w:hAnsi="Garamond"/>
          <w:sz w:val="24"/>
          <w:szCs w:val="24"/>
        </w:rPr>
      </w:pPr>
      <w:r w:rsidRPr="007114AF">
        <w:rPr>
          <w:rFonts w:ascii="Garamond" w:hAnsi="Garamond"/>
          <w:sz w:val="24"/>
          <w:szCs w:val="24"/>
        </w:rPr>
        <w:t>2.6.2 Sektori i transportit</w:t>
      </w:r>
    </w:p>
    <w:p w14:paraId="6EDCF313" w14:textId="77777777" w:rsidR="00744280" w:rsidRPr="007114AF" w:rsidRDefault="00744280" w:rsidP="00744280">
      <w:pPr>
        <w:spacing w:after="0"/>
        <w:rPr>
          <w:rFonts w:ascii="Garamond" w:hAnsi="Garamond"/>
          <w:sz w:val="24"/>
          <w:szCs w:val="24"/>
        </w:rPr>
      </w:pPr>
      <w:r w:rsidRPr="007114AF">
        <w:rPr>
          <w:rFonts w:ascii="Garamond" w:hAnsi="Garamond"/>
          <w:sz w:val="24"/>
          <w:szCs w:val="24"/>
        </w:rPr>
        <w:lastRenderedPageBreak/>
        <w:t>2.6.3 Sektori bujqësor</w:t>
      </w:r>
    </w:p>
    <w:p w14:paraId="6EDCF314" w14:textId="77777777" w:rsidR="00744280" w:rsidRPr="007114AF" w:rsidRDefault="00744280" w:rsidP="00744280">
      <w:pPr>
        <w:spacing w:after="0"/>
        <w:rPr>
          <w:rFonts w:ascii="Garamond" w:hAnsi="Garamond"/>
          <w:sz w:val="24"/>
          <w:szCs w:val="24"/>
        </w:rPr>
      </w:pPr>
      <w:r w:rsidRPr="007114AF">
        <w:rPr>
          <w:rFonts w:ascii="Garamond" w:hAnsi="Garamond"/>
          <w:sz w:val="24"/>
          <w:szCs w:val="24"/>
        </w:rPr>
        <w:t>2.6.4 Sektori pyjor</w:t>
      </w:r>
    </w:p>
    <w:p w14:paraId="6EDCF315" w14:textId="77777777" w:rsidR="00744280" w:rsidRPr="007114AF" w:rsidRDefault="00744280" w:rsidP="00744280">
      <w:pPr>
        <w:spacing w:after="0"/>
        <w:rPr>
          <w:rFonts w:ascii="Garamond" w:hAnsi="Garamond"/>
          <w:sz w:val="24"/>
          <w:szCs w:val="24"/>
        </w:rPr>
      </w:pPr>
      <w:r w:rsidRPr="007114AF">
        <w:rPr>
          <w:rFonts w:ascii="Garamond" w:hAnsi="Garamond"/>
          <w:sz w:val="24"/>
          <w:szCs w:val="24"/>
        </w:rPr>
        <w:t>2.7 Përmbledhje e bilancit historik dhe të ardhshëm të GES-it</w:t>
      </w:r>
    </w:p>
    <w:p w14:paraId="6EDCF316" w14:textId="77777777" w:rsidR="00744280" w:rsidRPr="007114AF" w:rsidRDefault="00744280" w:rsidP="00744280">
      <w:pPr>
        <w:spacing w:after="0"/>
        <w:rPr>
          <w:rFonts w:ascii="Garamond" w:hAnsi="Garamond"/>
          <w:sz w:val="24"/>
          <w:szCs w:val="24"/>
        </w:rPr>
      </w:pPr>
      <w:r w:rsidRPr="007114AF">
        <w:rPr>
          <w:rFonts w:ascii="Garamond" w:hAnsi="Garamond"/>
          <w:sz w:val="24"/>
          <w:szCs w:val="24"/>
        </w:rPr>
        <w:t>2.7.1 Analiza e prirjeve historike të shkarkimeve GES</w:t>
      </w:r>
    </w:p>
    <w:p w14:paraId="6EDCF317" w14:textId="77777777" w:rsidR="00744280" w:rsidRPr="007114AF" w:rsidRDefault="00744280" w:rsidP="00744280">
      <w:pPr>
        <w:spacing w:after="0"/>
        <w:rPr>
          <w:rFonts w:ascii="Garamond" w:hAnsi="Garamond"/>
          <w:sz w:val="24"/>
          <w:szCs w:val="24"/>
        </w:rPr>
      </w:pPr>
      <w:r w:rsidRPr="007114AF">
        <w:rPr>
          <w:rFonts w:ascii="Garamond" w:hAnsi="Garamond"/>
          <w:sz w:val="24"/>
          <w:szCs w:val="24"/>
        </w:rPr>
        <w:t>2.7.2 Parashikimi i prirjeve të shkarkimeve GES</w:t>
      </w:r>
    </w:p>
    <w:p w14:paraId="6EDCF318" w14:textId="77777777" w:rsidR="00744280" w:rsidRPr="007114AF" w:rsidRDefault="00744280" w:rsidP="00744280">
      <w:pPr>
        <w:spacing w:after="0"/>
        <w:rPr>
          <w:rFonts w:ascii="Garamond" w:hAnsi="Garamond"/>
          <w:sz w:val="24"/>
          <w:szCs w:val="24"/>
        </w:rPr>
      </w:pPr>
      <w:r w:rsidRPr="007114AF">
        <w:rPr>
          <w:rFonts w:ascii="Garamond" w:hAnsi="Garamond"/>
          <w:sz w:val="24"/>
          <w:szCs w:val="24"/>
        </w:rPr>
        <w:t>2.8 Situata aktuale e Shqipërisë në procesin e përshtatjes</w:t>
      </w:r>
    </w:p>
    <w:p w14:paraId="6EDCF319" w14:textId="77777777" w:rsidR="00744280" w:rsidRPr="007114AF" w:rsidRDefault="00744280" w:rsidP="00744280">
      <w:pPr>
        <w:spacing w:after="0"/>
        <w:rPr>
          <w:rFonts w:ascii="Garamond" w:hAnsi="Garamond"/>
          <w:sz w:val="24"/>
          <w:szCs w:val="24"/>
        </w:rPr>
      </w:pPr>
      <w:r w:rsidRPr="007114AF">
        <w:rPr>
          <w:rFonts w:ascii="Garamond" w:hAnsi="Garamond"/>
          <w:sz w:val="24"/>
          <w:szCs w:val="24"/>
        </w:rPr>
        <w:t>2.8.1 Analizë e situatës ekzistuese</w:t>
      </w:r>
    </w:p>
    <w:p w14:paraId="6EDCF31A" w14:textId="7DC9C074" w:rsidR="00744280" w:rsidRPr="007114AF" w:rsidRDefault="00744280" w:rsidP="00744280">
      <w:pPr>
        <w:spacing w:after="0"/>
        <w:rPr>
          <w:rFonts w:ascii="Garamond" w:hAnsi="Garamond"/>
          <w:sz w:val="24"/>
          <w:szCs w:val="24"/>
        </w:rPr>
      </w:pPr>
      <w:r w:rsidRPr="007114AF">
        <w:rPr>
          <w:rFonts w:ascii="Garamond" w:hAnsi="Garamond"/>
          <w:sz w:val="24"/>
          <w:szCs w:val="24"/>
        </w:rPr>
        <w:t>2.8.2 Rezultatet e studimeve të mëparshme, vlerësimet e vulnerabilitetit dhe zhvillimet e koncepteve për përshtatjen</w:t>
      </w:r>
    </w:p>
    <w:p w14:paraId="6EDCF31B" w14:textId="77777777" w:rsidR="00744280" w:rsidRPr="007114AF" w:rsidRDefault="00744280" w:rsidP="00744280">
      <w:pPr>
        <w:spacing w:after="0"/>
        <w:rPr>
          <w:rFonts w:ascii="Garamond" w:hAnsi="Garamond"/>
          <w:sz w:val="24"/>
          <w:szCs w:val="24"/>
        </w:rPr>
      </w:pPr>
      <w:r w:rsidRPr="007114AF">
        <w:rPr>
          <w:rFonts w:ascii="Garamond" w:hAnsi="Garamond"/>
          <w:sz w:val="24"/>
          <w:szCs w:val="24"/>
        </w:rPr>
        <w:t>2.9 Parimet e NAP-it</w:t>
      </w:r>
    </w:p>
    <w:p w14:paraId="6EDCF31C" w14:textId="77777777" w:rsidR="00744280" w:rsidRPr="007114AF" w:rsidRDefault="00744280" w:rsidP="00744280">
      <w:pPr>
        <w:spacing w:after="0"/>
        <w:rPr>
          <w:rFonts w:ascii="Garamond" w:hAnsi="Garamond"/>
          <w:sz w:val="24"/>
          <w:szCs w:val="24"/>
        </w:rPr>
      </w:pPr>
      <w:r w:rsidRPr="007114AF">
        <w:rPr>
          <w:rFonts w:ascii="Garamond" w:hAnsi="Garamond"/>
          <w:sz w:val="24"/>
          <w:szCs w:val="24"/>
        </w:rPr>
        <w:t>2.9.1 Mesazhet kryesore</w:t>
      </w:r>
    </w:p>
    <w:p w14:paraId="6EDCF31D" w14:textId="77777777" w:rsidR="00744280" w:rsidRPr="007114AF" w:rsidRDefault="00744280" w:rsidP="00744280">
      <w:pPr>
        <w:spacing w:after="0"/>
        <w:rPr>
          <w:rFonts w:ascii="Garamond" w:hAnsi="Garamond"/>
          <w:sz w:val="24"/>
          <w:szCs w:val="24"/>
        </w:rPr>
      </w:pPr>
      <w:r w:rsidRPr="007114AF">
        <w:rPr>
          <w:rFonts w:ascii="Garamond" w:hAnsi="Garamond"/>
          <w:sz w:val="24"/>
          <w:szCs w:val="24"/>
        </w:rPr>
        <w:t>2.9.2 Funksionet dhe parimet e përgjithshme</w:t>
      </w:r>
    </w:p>
    <w:p w14:paraId="6EDCF31E" w14:textId="77777777" w:rsidR="00744280" w:rsidRPr="007114AF" w:rsidRDefault="00744280" w:rsidP="00744280">
      <w:pPr>
        <w:spacing w:after="0"/>
        <w:rPr>
          <w:rFonts w:ascii="Garamond" w:hAnsi="Garamond"/>
          <w:sz w:val="24"/>
          <w:szCs w:val="24"/>
        </w:rPr>
      </w:pPr>
      <w:r w:rsidRPr="007114AF">
        <w:rPr>
          <w:rFonts w:ascii="Garamond" w:hAnsi="Garamond"/>
          <w:sz w:val="24"/>
          <w:szCs w:val="24"/>
        </w:rPr>
        <w:t>2.9.3 Lidhja me procesin e paraaderimit në BE</w:t>
      </w:r>
    </w:p>
    <w:p w14:paraId="6EDCF31F" w14:textId="6BC96EEF" w:rsidR="00744280" w:rsidRPr="007114AF" w:rsidRDefault="00744280" w:rsidP="00744280">
      <w:pPr>
        <w:spacing w:after="0"/>
        <w:rPr>
          <w:rFonts w:ascii="Garamond" w:hAnsi="Garamond"/>
          <w:sz w:val="24"/>
          <w:szCs w:val="24"/>
        </w:rPr>
      </w:pPr>
      <w:r w:rsidRPr="007114AF">
        <w:rPr>
          <w:rFonts w:ascii="Garamond" w:hAnsi="Garamond"/>
          <w:sz w:val="24"/>
          <w:szCs w:val="24"/>
        </w:rPr>
        <w:t>3</w:t>
      </w:r>
      <w:r w:rsidR="00AA35E8">
        <w:rPr>
          <w:rFonts w:ascii="Garamond" w:hAnsi="Garamond"/>
          <w:sz w:val="24"/>
          <w:szCs w:val="24"/>
        </w:rPr>
        <w:t>.</w:t>
      </w:r>
      <w:r w:rsidRPr="007114AF">
        <w:rPr>
          <w:rFonts w:ascii="Garamond" w:hAnsi="Garamond"/>
          <w:sz w:val="24"/>
          <w:szCs w:val="24"/>
        </w:rPr>
        <w:t xml:space="preserve"> VIZIONI DHE</w:t>
      </w:r>
      <w:r w:rsidR="000A2A01" w:rsidRPr="007114AF">
        <w:rPr>
          <w:rFonts w:ascii="Garamond" w:hAnsi="Garamond"/>
          <w:sz w:val="24"/>
          <w:szCs w:val="24"/>
        </w:rPr>
        <w:t xml:space="preserve"> </w:t>
      </w:r>
      <w:r w:rsidRPr="007114AF">
        <w:rPr>
          <w:rFonts w:ascii="Garamond" w:hAnsi="Garamond"/>
          <w:sz w:val="24"/>
          <w:szCs w:val="24"/>
        </w:rPr>
        <w:t>PRIORITETET E STRATEGJISË</w:t>
      </w:r>
    </w:p>
    <w:p w14:paraId="6EDCF320" w14:textId="77777777" w:rsidR="00744280" w:rsidRPr="007114AF" w:rsidRDefault="00744280" w:rsidP="00744280">
      <w:pPr>
        <w:spacing w:after="0"/>
        <w:rPr>
          <w:rFonts w:ascii="Garamond" w:hAnsi="Garamond"/>
          <w:sz w:val="24"/>
          <w:szCs w:val="24"/>
        </w:rPr>
      </w:pPr>
      <w:r w:rsidRPr="007114AF">
        <w:rPr>
          <w:rFonts w:ascii="Garamond" w:hAnsi="Garamond"/>
          <w:sz w:val="24"/>
          <w:szCs w:val="24"/>
        </w:rPr>
        <w:t>3.1 Prioritetet e strategjisë</w:t>
      </w:r>
    </w:p>
    <w:p w14:paraId="6EDCF321" w14:textId="65A0FAFB" w:rsidR="00744280" w:rsidRPr="007114AF" w:rsidRDefault="00744280" w:rsidP="00744280">
      <w:pPr>
        <w:spacing w:after="0"/>
        <w:rPr>
          <w:rFonts w:ascii="Garamond" w:hAnsi="Garamond"/>
          <w:sz w:val="24"/>
          <w:szCs w:val="24"/>
        </w:rPr>
      </w:pPr>
      <w:r w:rsidRPr="007114AF">
        <w:rPr>
          <w:rFonts w:ascii="Garamond" w:hAnsi="Garamond"/>
          <w:sz w:val="24"/>
          <w:szCs w:val="24"/>
        </w:rPr>
        <w:t>4</w:t>
      </w:r>
      <w:r w:rsidR="00AA35E8">
        <w:rPr>
          <w:rFonts w:ascii="Garamond" w:hAnsi="Garamond"/>
          <w:sz w:val="24"/>
          <w:szCs w:val="24"/>
        </w:rPr>
        <w:t>.</w:t>
      </w:r>
      <w:r w:rsidRPr="007114AF">
        <w:rPr>
          <w:rFonts w:ascii="Garamond" w:hAnsi="Garamond"/>
          <w:sz w:val="24"/>
          <w:szCs w:val="24"/>
        </w:rPr>
        <w:t xml:space="preserve"> POLITIKAT KRYESORE QË PREKIN NDRYSHIMIN E KLIMËS</w:t>
      </w:r>
    </w:p>
    <w:p w14:paraId="6EDCF322" w14:textId="77777777" w:rsidR="00744280" w:rsidRPr="007114AF" w:rsidRDefault="00744280" w:rsidP="00744280">
      <w:pPr>
        <w:spacing w:after="0"/>
        <w:rPr>
          <w:rFonts w:ascii="Garamond" w:hAnsi="Garamond"/>
          <w:sz w:val="24"/>
          <w:szCs w:val="24"/>
        </w:rPr>
      </w:pPr>
      <w:r w:rsidRPr="007114AF">
        <w:rPr>
          <w:rFonts w:ascii="Garamond" w:hAnsi="Garamond"/>
          <w:sz w:val="24"/>
          <w:szCs w:val="24"/>
        </w:rPr>
        <w:t>4.1 Qasjet specifike të sektorit përmes zbutjes</w:t>
      </w:r>
    </w:p>
    <w:p w14:paraId="6EDCF323" w14:textId="77777777" w:rsidR="00744280" w:rsidRPr="007114AF" w:rsidRDefault="00744280" w:rsidP="00744280">
      <w:pPr>
        <w:spacing w:after="0"/>
        <w:rPr>
          <w:rFonts w:ascii="Garamond" w:hAnsi="Garamond"/>
          <w:sz w:val="24"/>
          <w:szCs w:val="24"/>
        </w:rPr>
      </w:pPr>
      <w:r w:rsidRPr="007114AF">
        <w:rPr>
          <w:rFonts w:ascii="Garamond" w:hAnsi="Garamond"/>
          <w:sz w:val="24"/>
          <w:szCs w:val="24"/>
        </w:rPr>
        <w:t>4.1.1 Strategji dhe plane ndërsektoriale</w:t>
      </w:r>
    </w:p>
    <w:p w14:paraId="6EDCF324" w14:textId="77777777" w:rsidR="00744280" w:rsidRPr="007114AF" w:rsidRDefault="00744280" w:rsidP="00744280">
      <w:pPr>
        <w:spacing w:after="0"/>
        <w:rPr>
          <w:rFonts w:ascii="Garamond" w:hAnsi="Garamond"/>
          <w:sz w:val="24"/>
          <w:szCs w:val="24"/>
        </w:rPr>
      </w:pPr>
      <w:r w:rsidRPr="007114AF">
        <w:rPr>
          <w:rFonts w:ascii="Garamond" w:hAnsi="Garamond"/>
          <w:sz w:val="24"/>
          <w:szCs w:val="24"/>
        </w:rPr>
        <w:t>4.1.2 Energjia</w:t>
      </w:r>
    </w:p>
    <w:p w14:paraId="6EDCF325" w14:textId="77777777" w:rsidR="00744280" w:rsidRPr="007114AF" w:rsidRDefault="00744280" w:rsidP="00744280">
      <w:pPr>
        <w:spacing w:after="0"/>
        <w:rPr>
          <w:rFonts w:ascii="Garamond" w:hAnsi="Garamond"/>
          <w:sz w:val="24"/>
          <w:szCs w:val="24"/>
        </w:rPr>
      </w:pPr>
      <w:r w:rsidRPr="007114AF">
        <w:rPr>
          <w:rFonts w:ascii="Garamond" w:hAnsi="Garamond"/>
          <w:sz w:val="24"/>
          <w:szCs w:val="24"/>
        </w:rPr>
        <w:t>4.1.3 Transporti</w:t>
      </w:r>
    </w:p>
    <w:p w14:paraId="6EDCF326" w14:textId="77777777" w:rsidR="00744280" w:rsidRPr="007114AF" w:rsidRDefault="00744280" w:rsidP="00744280">
      <w:pPr>
        <w:spacing w:after="0"/>
        <w:rPr>
          <w:rFonts w:ascii="Garamond" w:hAnsi="Garamond"/>
          <w:sz w:val="24"/>
          <w:szCs w:val="24"/>
        </w:rPr>
      </w:pPr>
      <w:r w:rsidRPr="007114AF">
        <w:rPr>
          <w:rFonts w:ascii="Garamond" w:hAnsi="Garamond"/>
          <w:sz w:val="24"/>
          <w:szCs w:val="24"/>
        </w:rPr>
        <w:t>4.1.4 Bujqësia dhe LUCF-ja</w:t>
      </w:r>
    </w:p>
    <w:p w14:paraId="6EDCF327" w14:textId="77777777" w:rsidR="00744280" w:rsidRPr="007114AF" w:rsidRDefault="00744280" w:rsidP="00744280">
      <w:pPr>
        <w:spacing w:after="0"/>
        <w:rPr>
          <w:rFonts w:ascii="Garamond" w:hAnsi="Garamond"/>
          <w:sz w:val="24"/>
          <w:szCs w:val="24"/>
        </w:rPr>
      </w:pPr>
      <w:r w:rsidRPr="007114AF">
        <w:rPr>
          <w:rFonts w:ascii="Garamond" w:hAnsi="Garamond"/>
          <w:sz w:val="24"/>
          <w:szCs w:val="24"/>
        </w:rPr>
        <w:t>4.1.5 Sinergjitë ndërsektoriale dhe boshllëqet/mungesat</w:t>
      </w:r>
    </w:p>
    <w:p w14:paraId="6EDCF328" w14:textId="4CE25BCF" w:rsidR="00744280" w:rsidRPr="007114AF" w:rsidRDefault="00744280" w:rsidP="00744280">
      <w:pPr>
        <w:spacing w:after="0"/>
        <w:rPr>
          <w:rFonts w:ascii="Garamond" w:hAnsi="Garamond"/>
          <w:sz w:val="24"/>
          <w:szCs w:val="24"/>
        </w:rPr>
      </w:pPr>
      <w:r w:rsidRPr="007114AF">
        <w:rPr>
          <w:rFonts w:ascii="Garamond" w:hAnsi="Garamond"/>
          <w:sz w:val="24"/>
          <w:szCs w:val="24"/>
        </w:rPr>
        <w:t>4.2 Objektivat kryesor</w:t>
      </w:r>
      <w:r w:rsidR="00A67A6F">
        <w:rPr>
          <w:rFonts w:ascii="Garamond" w:hAnsi="Garamond"/>
          <w:sz w:val="24"/>
          <w:szCs w:val="24"/>
        </w:rPr>
        <w:t>ë</w:t>
      </w:r>
      <w:r w:rsidRPr="007114AF">
        <w:rPr>
          <w:rFonts w:ascii="Garamond" w:hAnsi="Garamond"/>
          <w:sz w:val="24"/>
          <w:szCs w:val="24"/>
        </w:rPr>
        <w:t xml:space="preserve"> për trajtimin e zbutjes së efekteve prej ndryshimeve klimatike</w:t>
      </w:r>
    </w:p>
    <w:p w14:paraId="6EDCF329" w14:textId="77777777" w:rsidR="00744280" w:rsidRPr="007114AF" w:rsidRDefault="00744280" w:rsidP="00744280">
      <w:pPr>
        <w:spacing w:after="0"/>
        <w:rPr>
          <w:rFonts w:ascii="Garamond" w:hAnsi="Garamond"/>
          <w:sz w:val="24"/>
          <w:szCs w:val="24"/>
        </w:rPr>
      </w:pPr>
      <w:r w:rsidRPr="007114AF">
        <w:rPr>
          <w:rFonts w:ascii="Garamond" w:hAnsi="Garamond"/>
          <w:sz w:val="24"/>
          <w:szCs w:val="24"/>
        </w:rPr>
        <w:t>4.3 Integrimi i përshtatjes në qasjet sektoriale</w:t>
      </w:r>
    </w:p>
    <w:p w14:paraId="6EDCF32A" w14:textId="77777777" w:rsidR="00744280" w:rsidRPr="007114AF" w:rsidRDefault="00744280" w:rsidP="00744280">
      <w:pPr>
        <w:spacing w:after="0"/>
        <w:rPr>
          <w:rFonts w:ascii="Garamond" w:hAnsi="Garamond"/>
          <w:sz w:val="24"/>
          <w:szCs w:val="24"/>
        </w:rPr>
      </w:pPr>
      <w:r w:rsidRPr="007114AF">
        <w:rPr>
          <w:rFonts w:ascii="Garamond" w:hAnsi="Garamond"/>
          <w:sz w:val="24"/>
          <w:szCs w:val="24"/>
        </w:rPr>
        <w:t>4.3.1 Qasja për integrim</w:t>
      </w:r>
    </w:p>
    <w:p w14:paraId="6EDCF32B" w14:textId="3FE91DD9" w:rsidR="00744280" w:rsidRPr="007114AF" w:rsidRDefault="00744280" w:rsidP="00744280">
      <w:pPr>
        <w:spacing w:after="0"/>
        <w:rPr>
          <w:rFonts w:ascii="Garamond" w:hAnsi="Garamond"/>
          <w:sz w:val="24"/>
          <w:szCs w:val="24"/>
        </w:rPr>
      </w:pPr>
      <w:r w:rsidRPr="007114AF">
        <w:rPr>
          <w:rFonts w:ascii="Garamond" w:hAnsi="Garamond"/>
          <w:sz w:val="24"/>
          <w:szCs w:val="24"/>
        </w:rPr>
        <w:t>4.3.2 Integrimi për SKZHI 2014–2020</w:t>
      </w:r>
    </w:p>
    <w:p w14:paraId="6EDCF32C" w14:textId="77777777" w:rsidR="00744280" w:rsidRPr="007114AF" w:rsidRDefault="00744280" w:rsidP="00744280">
      <w:pPr>
        <w:spacing w:after="0"/>
        <w:rPr>
          <w:rFonts w:ascii="Garamond" w:hAnsi="Garamond"/>
          <w:sz w:val="24"/>
          <w:szCs w:val="24"/>
        </w:rPr>
      </w:pPr>
      <w:r w:rsidRPr="007114AF">
        <w:rPr>
          <w:rFonts w:ascii="Garamond" w:hAnsi="Garamond"/>
          <w:sz w:val="24"/>
          <w:szCs w:val="24"/>
        </w:rPr>
        <w:t>4.3.3 Integrimi në politikat sektoriale</w:t>
      </w:r>
    </w:p>
    <w:p w14:paraId="6EDCF32D" w14:textId="77777777" w:rsidR="00744280" w:rsidRPr="007114AF" w:rsidRDefault="00744280" w:rsidP="00744280">
      <w:pPr>
        <w:spacing w:after="0"/>
        <w:rPr>
          <w:rFonts w:ascii="Garamond" w:hAnsi="Garamond"/>
          <w:sz w:val="24"/>
          <w:szCs w:val="24"/>
        </w:rPr>
      </w:pPr>
      <w:r w:rsidRPr="007114AF">
        <w:rPr>
          <w:rFonts w:ascii="Garamond" w:hAnsi="Garamond"/>
          <w:sz w:val="24"/>
          <w:szCs w:val="24"/>
        </w:rPr>
        <w:t>4.3.4 Proceset e integrimit në të ardhmen</w:t>
      </w:r>
    </w:p>
    <w:p w14:paraId="6EDCF32E" w14:textId="77777777" w:rsidR="00744280" w:rsidRPr="007114AF" w:rsidRDefault="00744280" w:rsidP="00744280">
      <w:pPr>
        <w:spacing w:after="0"/>
        <w:rPr>
          <w:rFonts w:ascii="Garamond" w:hAnsi="Garamond"/>
          <w:sz w:val="24"/>
          <w:szCs w:val="24"/>
        </w:rPr>
      </w:pPr>
      <w:r w:rsidRPr="007114AF">
        <w:rPr>
          <w:rFonts w:ascii="Garamond" w:hAnsi="Garamond"/>
          <w:sz w:val="24"/>
          <w:szCs w:val="24"/>
        </w:rPr>
        <w:t>4.3.5 Projektet pilot, konkrete për integrimin</w:t>
      </w:r>
    </w:p>
    <w:p w14:paraId="6EDCF32F" w14:textId="4352336B" w:rsidR="00744280" w:rsidRPr="007114AF" w:rsidRDefault="00744280" w:rsidP="00744280">
      <w:pPr>
        <w:spacing w:after="0"/>
        <w:rPr>
          <w:rFonts w:ascii="Garamond" w:hAnsi="Garamond"/>
          <w:sz w:val="24"/>
          <w:szCs w:val="24"/>
        </w:rPr>
      </w:pPr>
      <w:r w:rsidRPr="007114AF">
        <w:rPr>
          <w:rFonts w:ascii="Garamond" w:hAnsi="Garamond"/>
          <w:sz w:val="24"/>
          <w:szCs w:val="24"/>
        </w:rPr>
        <w:t>4.4 Objektivat kryesor</w:t>
      </w:r>
      <w:r w:rsidR="00A67A6F">
        <w:rPr>
          <w:rFonts w:ascii="Garamond" w:hAnsi="Garamond"/>
          <w:sz w:val="24"/>
          <w:szCs w:val="24"/>
        </w:rPr>
        <w:t>ë</w:t>
      </w:r>
      <w:r w:rsidRPr="007114AF">
        <w:rPr>
          <w:rFonts w:ascii="Garamond" w:hAnsi="Garamond"/>
          <w:sz w:val="24"/>
          <w:szCs w:val="24"/>
        </w:rPr>
        <w:t xml:space="preserve"> të politikave për adresimin e përshtatjes ndaj ndryshimeve klimatike</w:t>
      </w:r>
    </w:p>
    <w:p w14:paraId="6EDCF330" w14:textId="06C59991" w:rsidR="00744280" w:rsidRPr="007114AF" w:rsidRDefault="00744280" w:rsidP="00744280">
      <w:pPr>
        <w:spacing w:after="0"/>
        <w:rPr>
          <w:rFonts w:ascii="Garamond" w:hAnsi="Garamond"/>
          <w:sz w:val="24"/>
          <w:szCs w:val="24"/>
        </w:rPr>
      </w:pPr>
      <w:r w:rsidRPr="007114AF">
        <w:rPr>
          <w:rFonts w:ascii="Garamond" w:hAnsi="Garamond"/>
          <w:sz w:val="24"/>
          <w:szCs w:val="24"/>
        </w:rPr>
        <w:t>5</w:t>
      </w:r>
      <w:r w:rsidR="00AA35E8">
        <w:rPr>
          <w:rFonts w:ascii="Garamond" w:hAnsi="Garamond"/>
          <w:sz w:val="24"/>
          <w:szCs w:val="24"/>
        </w:rPr>
        <w:t>.</w:t>
      </w:r>
      <w:r w:rsidRPr="007114AF">
        <w:rPr>
          <w:rFonts w:ascii="Garamond" w:hAnsi="Garamond"/>
          <w:sz w:val="24"/>
          <w:szCs w:val="24"/>
        </w:rPr>
        <w:t xml:space="preserve"> PLANI KOMBËTAR</w:t>
      </w:r>
      <w:r w:rsidR="000A2A01" w:rsidRPr="007114AF">
        <w:rPr>
          <w:rFonts w:ascii="Garamond" w:hAnsi="Garamond"/>
          <w:sz w:val="24"/>
          <w:szCs w:val="24"/>
        </w:rPr>
        <w:t xml:space="preserve"> </w:t>
      </w:r>
      <w:r w:rsidRPr="007114AF">
        <w:rPr>
          <w:rFonts w:ascii="Garamond" w:hAnsi="Garamond"/>
          <w:sz w:val="24"/>
          <w:szCs w:val="24"/>
        </w:rPr>
        <w:t>PËR ZBUTJEN E NDRYSHIMEVE KLIMATIKE</w:t>
      </w:r>
    </w:p>
    <w:p w14:paraId="6EDCF331" w14:textId="77777777" w:rsidR="00744280" w:rsidRPr="007114AF" w:rsidRDefault="00744280" w:rsidP="00744280">
      <w:pPr>
        <w:spacing w:after="0"/>
        <w:rPr>
          <w:rFonts w:ascii="Garamond" w:hAnsi="Garamond"/>
          <w:sz w:val="24"/>
          <w:szCs w:val="24"/>
        </w:rPr>
      </w:pPr>
      <w:r w:rsidRPr="007114AF">
        <w:rPr>
          <w:rFonts w:ascii="Garamond" w:hAnsi="Garamond"/>
          <w:sz w:val="24"/>
          <w:szCs w:val="24"/>
        </w:rPr>
        <w:t>5.1 Energjia</w:t>
      </w:r>
    </w:p>
    <w:p w14:paraId="6EDCF332" w14:textId="77777777" w:rsidR="00744280" w:rsidRPr="007114AF" w:rsidRDefault="00744280" w:rsidP="00744280">
      <w:pPr>
        <w:spacing w:after="0"/>
        <w:rPr>
          <w:rFonts w:ascii="Garamond" w:hAnsi="Garamond"/>
          <w:sz w:val="24"/>
          <w:szCs w:val="24"/>
        </w:rPr>
      </w:pPr>
      <w:r w:rsidRPr="007114AF">
        <w:rPr>
          <w:rFonts w:ascii="Garamond" w:hAnsi="Garamond"/>
          <w:sz w:val="24"/>
          <w:szCs w:val="24"/>
        </w:rPr>
        <w:t>5.2 Transporti</w:t>
      </w:r>
    </w:p>
    <w:p w14:paraId="6EDCF333" w14:textId="77777777" w:rsidR="00744280" w:rsidRPr="007114AF" w:rsidRDefault="00744280" w:rsidP="00744280">
      <w:pPr>
        <w:spacing w:after="0"/>
        <w:rPr>
          <w:rFonts w:ascii="Garamond" w:hAnsi="Garamond"/>
          <w:sz w:val="24"/>
          <w:szCs w:val="24"/>
        </w:rPr>
      </w:pPr>
      <w:r w:rsidRPr="007114AF">
        <w:rPr>
          <w:rFonts w:ascii="Garamond" w:hAnsi="Garamond"/>
          <w:sz w:val="24"/>
          <w:szCs w:val="24"/>
        </w:rPr>
        <w:t>5.3 Bujqësia</w:t>
      </w:r>
    </w:p>
    <w:p w14:paraId="6EDCF334" w14:textId="77777777" w:rsidR="00744280" w:rsidRPr="007114AF" w:rsidRDefault="00744280" w:rsidP="00744280">
      <w:pPr>
        <w:spacing w:after="0"/>
        <w:rPr>
          <w:rFonts w:ascii="Garamond" w:hAnsi="Garamond"/>
          <w:sz w:val="24"/>
          <w:szCs w:val="24"/>
        </w:rPr>
      </w:pPr>
      <w:r w:rsidRPr="007114AF">
        <w:rPr>
          <w:rFonts w:ascii="Garamond" w:hAnsi="Garamond"/>
          <w:sz w:val="24"/>
          <w:szCs w:val="24"/>
        </w:rPr>
        <w:t>5.4 Ndryshimi i Përdorimit të Tokës dhe Pyjeve</w:t>
      </w:r>
    </w:p>
    <w:p w14:paraId="6EDCF335" w14:textId="77777777" w:rsidR="00744280" w:rsidRPr="007114AF" w:rsidRDefault="00744280" w:rsidP="00744280">
      <w:pPr>
        <w:spacing w:after="0"/>
        <w:rPr>
          <w:rFonts w:ascii="Garamond" w:hAnsi="Garamond"/>
          <w:sz w:val="24"/>
          <w:szCs w:val="24"/>
        </w:rPr>
      </w:pPr>
      <w:r w:rsidRPr="007114AF">
        <w:rPr>
          <w:rFonts w:ascii="Garamond" w:hAnsi="Garamond"/>
          <w:sz w:val="24"/>
          <w:szCs w:val="24"/>
        </w:rPr>
        <w:t>5.5 Sistemi kombëtar për matjen/monitorimin dhe raportimin</w:t>
      </w:r>
    </w:p>
    <w:p w14:paraId="6EDCF336" w14:textId="77777777" w:rsidR="00744280" w:rsidRPr="007114AF" w:rsidRDefault="00744280" w:rsidP="00744280">
      <w:pPr>
        <w:spacing w:after="0"/>
        <w:rPr>
          <w:rFonts w:ascii="Garamond" w:hAnsi="Garamond"/>
          <w:sz w:val="24"/>
          <w:szCs w:val="24"/>
        </w:rPr>
      </w:pPr>
      <w:r w:rsidRPr="007114AF">
        <w:rPr>
          <w:rFonts w:ascii="Garamond" w:hAnsi="Garamond"/>
          <w:sz w:val="24"/>
          <w:szCs w:val="24"/>
        </w:rPr>
        <w:t>5.7 Burimet Financiare për Planin e Zbutjes</w:t>
      </w:r>
    </w:p>
    <w:p w14:paraId="6EDCF337" w14:textId="77777777" w:rsidR="00744280" w:rsidRPr="007114AF" w:rsidRDefault="00744280" w:rsidP="00744280">
      <w:pPr>
        <w:spacing w:after="0"/>
        <w:rPr>
          <w:rFonts w:ascii="Garamond" w:hAnsi="Garamond"/>
          <w:sz w:val="24"/>
          <w:szCs w:val="24"/>
        </w:rPr>
      </w:pPr>
      <w:r w:rsidRPr="007114AF">
        <w:rPr>
          <w:rFonts w:ascii="Garamond" w:hAnsi="Garamond"/>
          <w:sz w:val="24"/>
          <w:szCs w:val="24"/>
        </w:rPr>
        <w:t>5.8 Kosto e masave</w:t>
      </w:r>
    </w:p>
    <w:p w14:paraId="6EDCF338" w14:textId="77777777" w:rsidR="00744280" w:rsidRPr="007114AF" w:rsidRDefault="00744280" w:rsidP="00744280">
      <w:pPr>
        <w:spacing w:after="0"/>
        <w:rPr>
          <w:rFonts w:ascii="Garamond" w:hAnsi="Garamond"/>
          <w:sz w:val="24"/>
          <w:szCs w:val="24"/>
        </w:rPr>
      </w:pPr>
      <w:r w:rsidRPr="007114AF">
        <w:rPr>
          <w:rFonts w:ascii="Garamond" w:hAnsi="Garamond"/>
          <w:sz w:val="24"/>
          <w:szCs w:val="24"/>
        </w:rPr>
        <w:t>5.8.1 Energjia</w:t>
      </w:r>
    </w:p>
    <w:p w14:paraId="6EDCF339" w14:textId="77777777" w:rsidR="00744280" w:rsidRPr="007114AF" w:rsidRDefault="00744280" w:rsidP="00744280">
      <w:pPr>
        <w:spacing w:after="0"/>
        <w:rPr>
          <w:rFonts w:ascii="Garamond" w:hAnsi="Garamond"/>
          <w:sz w:val="24"/>
          <w:szCs w:val="24"/>
        </w:rPr>
      </w:pPr>
      <w:r w:rsidRPr="007114AF">
        <w:rPr>
          <w:rFonts w:ascii="Garamond" w:hAnsi="Garamond"/>
          <w:sz w:val="24"/>
          <w:szCs w:val="24"/>
        </w:rPr>
        <w:t>5.8.2 Transporti</w:t>
      </w:r>
    </w:p>
    <w:p w14:paraId="6EDCF33A" w14:textId="77777777" w:rsidR="00744280" w:rsidRPr="007114AF" w:rsidRDefault="00744280" w:rsidP="00744280">
      <w:pPr>
        <w:spacing w:after="0"/>
        <w:rPr>
          <w:rFonts w:ascii="Garamond" w:hAnsi="Garamond"/>
          <w:sz w:val="24"/>
          <w:szCs w:val="24"/>
        </w:rPr>
      </w:pPr>
      <w:r w:rsidRPr="007114AF">
        <w:rPr>
          <w:rFonts w:ascii="Garamond" w:hAnsi="Garamond"/>
          <w:sz w:val="24"/>
          <w:szCs w:val="24"/>
        </w:rPr>
        <w:t>5.8.3 Bujqësi</w:t>
      </w:r>
    </w:p>
    <w:p w14:paraId="6EDCF33B" w14:textId="77777777" w:rsidR="00744280" w:rsidRPr="007114AF" w:rsidRDefault="00744280" w:rsidP="00744280">
      <w:pPr>
        <w:spacing w:after="0"/>
        <w:rPr>
          <w:rFonts w:ascii="Garamond" w:hAnsi="Garamond"/>
          <w:sz w:val="24"/>
          <w:szCs w:val="24"/>
        </w:rPr>
      </w:pPr>
      <w:r w:rsidRPr="007114AF">
        <w:rPr>
          <w:rFonts w:ascii="Garamond" w:hAnsi="Garamond"/>
          <w:sz w:val="24"/>
          <w:szCs w:val="24"/>
        </w:rPr>
        <w:t>5.8.4 Ndryshimi i Përdorimit të Tokës dhe Pyjeve</w:t>
      </w:r>
    </w:p>
    <w:p w14:paraId="6EDCF33C" w14:textId="77777777" w:rsidR="00744280" w:rsidRPr="007114AF" w:rsidRDefault="00744280" w:rsidP="00744280">
      <w:pPr>
        <w:spacing w:after="0"/>
        <w:rPr>
          <w:rFonts w:ascii="Garamond" w:hAnsi="Garamond"/>
          <w:sz w:val="24"/>
          <w:szCs w:val="24"/>
        </w:rPr>
      </w:pPr>
      <w:r w:rsidRPr="007114AF">
        <w:rPr>
          <w:rFonts w:ascii="Garamond" w:hAnsi="Garamond"/>
          <w:sz w:val="24"/>
          <w:szCs w:val="24"/>
        </w:rPr>
        <w:t>5.8.5 Pikëtakimet Ndërsektoriale</w:t>
      </w:r>
    </w:p>
    <w:p w14:paraId="6EDCF33D" w14:textId="77777777" w:rsidR="00744280" w:rsidRPr="007114AF" w:rsidRDefault="00744280" w:rsidP="00744280">
      <w:pPr>
        <w:spacing w:after="0"/>
        <w:rPr>
          <w:rFonts w:ascii="Garamond" w:hAnsi="Garamond"/>
          <w:sz w:val="24"/>
          <w:szCs w:val="24"/>
        </w:rPr>
      </w:pPr>
      <w:r w:rsidRPr="007114AF">
        <w:rPr>
          <w:rFonts w:ascii="Garamond" w:hAnsi="Garamond"/>
          <w:sz w:val="24"/>
          <w:szCs w:val="24"/>
        </w:rPr>
        <w:t>6. PLANI KOMBËTAR I PËRSHTATJES NDAJ NDRYSHIMEVE KLIMATIKE</w:t>
      </w:r>
    </w:p>
    <w:p w14:paraId="6EDCF33E" w14:textId="77777777" w:rsidR="00744280" w:rsidRPr="007114AF" w:rsidRDefault="00744280" w:rsidP="00744280">
      <w:pPr>
        <w:spacing w:after="0"/>
        <w:rPr>
          <w:rFonts w:ascii="Garamond" w:hAnsi="Garamond"/>
          <w:sz w:val="24"/>
          <w:szCs w:val="24"/>
        </w:rPr>
      </w:pPr>
      <w:r w:rsidRPr="007114AF">
        <w:rPr>
          <w:rFonts w:ascii="Garamond" w:hAnsi="Garamond"/>
          <w:sz w:val="24"/>
          <w:szCs w:val="24"/>
        </w:rPr>
        <w:t>6.1 Lista e masave të përcaktuara si Veprime Prioritare</w:t>
      </w:r>
    </w:p>
    <w:p w14:paraId="6EDCF33F" w14:textId="6D2AE379" w:rsidR="00744280" w:rsidRPr="007114AF" w:rsidRDefault="00744280" w:rsidP="00744280">
      <w:pPr>
        <w:spacing w:after="0"/>
        <w:rPr>
          <w:rFonts w:ascii="Garamond" w:hAnsi="Garamond"/>
          <w:sz w:val="24"/>
          <w:szCs w:val="24"/>
        </w:rPr>
      </w:pPr>
      <w:r w:rsidRPr="007114AF">
        <w:rPr>
          <w:rFonts w:ascii="Garamond" w:hAnsi="Garamond"/>
          <w:sz w:val="24"/>
          <w:szCs w:val="24"/>
        </w:rPr>
        <w:lastRenderedPageBreak/>
        <w:t xml:space="preserve">6.2 Përshkrim </w:t>
      </w:r>
      <w:r w:rsidR="003305AE" w:rsidRPr="007114AF">
        <w:rPr>
          <w:rFonts w:ascii="Garamond" w:hAnsi="Garamond"/>
          <w:sz w:val="24"/>
          <w:szCs w:val="24"/>
        </w:rPr>
        <w:t>i</w:t>
      </w:r>
      <w:r w:rsidRPr="007114AF">
        <w:rPr>
          <w:rFonts w:ascii="Garamond" w:hAnsi="Garamond"/>
          <w:sz w:val="24"/>
          <w:szCs w:val="24"/>
        </w:rPr>
        <w:t xml:space="preserve"> detajuar i Veprimeve Prioritare</w:t>
      </w:r>
    </w:p>
    <w:p w14:paraId="6EDCF340" w14:textId="74C91D07" w:rsidR="00744280" w:rsidRPr="007114AF" w:rsidRDefault="00744280" w:rsidP="00744280">
      <w:pPr>
        <w:spacing w:after="0"/>
        <w:rPr>
          <w:rFonts w:ascii="Garamond" w:hAnsi="Garamond"/>
          <w:sz w:val="24"/>
          <w:szCs w:val="24"/>
        </w:rPr>
      </w:pPr>
      <w:r w:rsidRPr="007114AF">
        <w:rPr>
          <w:rFonts w:ascii="Garamond" w:hAnsi="Garamond"/>
          <w:sz w:val="24"/>
          <w:szCs w:val="24"/>
        </w:rPr>
        <w:t>6.2.1 Veprimi Prioritar</w:t>
      </w:r>
      <w:r w:rsidR="00242009" w:rsidRPr="007114AF">
        <w:rPr>
          <w:rFonts w:ascii="Garamond" w:hAnsi="Garamond"/>
          <w:sz w:val="24"/>
          <w:szCs w:val="24"/>
        </w:rPr>
        <w:t xml:space="preserve"> nr. </w:t>
      </w:r>
      <w:r w:rsidRPr="007114AF">
        <w:rPr>
          <w:rFonts w:ascii="Garamond" w:hAnsi="Garamond"/>
          <w:sz w:val="24"/>
          <w:szCs w:val="24"/>
        </w:rPr>
        <w:t>1</w:t>
      </w:r>
    </w:p>
    <w:p w14:paraId="6EDCF341" w14:textId="50408177" w:rsidR="00744280" w:rsidRPr="007114AF" w:rsidRDefault="00744280" w:rsidP="00744280">
      <w:pPr>
        <w:spacing w:after="0"/>
        <w:rPr>
          <w:rFonts w:ascii="Garamond" w:hAnsi="Garamond"/>
          <w:sz w:val="24"/>
          <w:szCs w:val="24"/>
        </w:rPr>
      </w:pPr>
      <w:r w:rsidRPr="007114AF">
        <w:rPr>
          <w:rFonts w:ascii="Garamond" w:hAnsi="Garamond"/>
          <w:sz w:val="24"/>
          <w:szCs w:val="24"/>
        </w:rPr>
        <w:t>6.2.2 Veprimi Prioritar</w:t>
      </w:r>
      <w:r w:rsidR="00242009" w:rsidRPr="007114AF">
        <w:rPr>
          <w:rFonts w:ascii="Garamond" w:hAnsi="Garamond"/>
          <w:sz w:val="24"/>
          <w:szCs w:val="24"/>
        </w:rPr>
        <w:t xml:space="preserve"> nr. </w:t>
      </w:r>
      <w:r w:rsidRPr="007114AF">
        <w:rPr>
          <w:rFonts w:ascii="Garamond" w:hAnsi="Garamond"/>
          <w:sz w:val="24"/>
          <w:szCs w:val="24"/>
        </w:rPr>
        <w:t>2</w:t>
      </w:r>
    </w:p>
    <w:p w14:paraId="6EDCF342" w14:textId="66DD2002" w:rsidR="00744280" w:rsidRPr="007114AF" w:rsidRDefault="00744280" w:rsidP="00744280">
      <w:pPr>
        <w:spacing w:after="0"/>
        <w:rPr>
          <w:rFonts w:ascii="Garamond" w:hAnsi="Garamond"/>
          <w:sz w:val="24"/>
          <w:szCs w:val="24"/>
        </w:rPr>
      </w:pPr>
      <w:r w:rsidRPr="007114AF">
        <w:rPr>
          <w:rFonts w:ascii="Garamond" w:hAnsi="Garamond"/>
          <w:sz w:val="24"/>
          <w:szCs w:val="24"/>
        </w:rPr>
        <w:t>6.2.3 Veprimi Prioritar</w:t>
      </w:r>
      <w:r w:rsidR="00242009" w:rsidRPr="007114AF">
        <w:rPr>
          <w:rFonts w:ascii="Garamond" w:hAnsi="Garamond"/>
          <w:sz w:val="24"/>
          <w:szCs w:val="24"/>
        </w:rPr>
        <w:t xml:space="preserve"> nr. </w:t>
      </w:r>
      <w:r w:rsidRPr="007114AF">
        <w:rPr>
          <w:rFonts w:ascii="Garamond" w:hAnsi="Garamond"/>
          <w:sz w:val="24"/>
          <w:szCs w:val="24"/>
        </w:rPr>
        <w:t>3</w:t>
      </w:r>
    </w:p>
    <w:p w14:paraId="6EDCF343" w14:textId="482D0A71" w:rsidR="00744280" w:rsidRPr="007114AF" w:rsidRDefault="00744280" w:rsidP="00744280">
      <w:pPr>
        <w:spacing w:after="0"/>
        <w:rPr>
          <w:rFonts w:ascii="Garamond" w:hAnsi="Garamond"/>
          <w:sz w:val="24"/>
          <w:szCs w:val="24"/>
        </w:rPr>
      </w:pPr>
      <w:r w:rsidRPr="007114AF">
        <w:rPr>
          <w:rFonts w:ascii="Garamond" w:hAnsi="Garamond"/>
          <w:sz w:val="24"/>
          <w:szCs w:val="24"/>
        </w:rPr>
        <w:t>6.2.4 Veprimi prioritar</w:t>
      </w:r>
      <w:r w:rsidR="00242009" w:rsidRPr="007114AF">
        <w:rPr>
          <w:rFonts w:ascii="Garamond" w:hAnsi="Garamond"/>
          <w:sz w:val="24"/>
          <w:szCs w:val="24"/>
        </w:rPr>
        <w:t xml:space="preserve"> nr. </w:t>
      </w:r>
      <w:r w:rsidRPr="007114AF">
        <w:rPr>
          <w:rFonts w:ascii="Garamond" w:hAnsi="Garamond"/>
          <w:sz w:val="24"/>
          <w:szCs w:val="24"/>
        </w:rPr>
        <w:t>4</w:t>
      </w:r>
    </w:p>
    <w:p w14:paraId="6EDCF344" w14:textId="4124ED5F" w:rsidR="00744280" w:rsidRPr="007114AF" w:rsidRDefault="00744280" w:rsidP="00744280">
      <w:pPr>
        <w:spacing w:after="0"/>
        <w:rPr>
          <w:rFonts w:ascii="Garamond" w:hAnsi="Garamond"/>
          <w:sz w:val="24"/>
          <w:szCs w:val="24"/>
        </w:rPr>
      </w:pPr>
      <w:r w:rsidRPr="007114AF">
        <w:rPr>
          <w:rFonts w:ascii="Garamond" w:hAnsi="Garamond"/>
          <w:sz w:val="24"/>
          <w:szCs w:val="24"/>
        </w:rPr>
        <w:t>6.2.5 Veprimi Prioritar</w:t>
      </w:r>
      <w:r w:rsidR="00242009" w:rsidRPr="007114AF">
        <w:rPr>
          <w:rFonts w:ascii="Garamond" w:hAnsi="Garamond"/>
          <w:sz w:val="24"/>
          <w:szCs w:val="24"/>
        </w:rPr>
        <w:t xml:space="preserve"> nr. </w:t>
      </w:r>
      <w:r w:rsidRPr="007114AF">
        <w:rPr>
          <w:rFonts w:ascii="Garamond" w:hAnsi="Garamond"/>
          <w:sz w:val="24"/>
          <w:szCs w:val="24"/>
        </w:rPr>
        <w:t>5</w:t>
      </w:r>
    </w:p>
    <w:p w14:paraId="6EDCF345" w14:textId="372381BD" w:rsidR="00744280" w:rsidRPr="007114AF" w:rsidRDefault="00744280" w:rsidP="00744280">
      <w:pPr>
        <w:spacing w:after="0"/>
        <w:rPr>
          <w:rFonts w:ascii="Garamond" w:hAnsi="Garamond"/>
          <w:sz w:val="24"/>
          <w:szCs w:val="24"/>
        </w:rPr>
      </w:pPr>
      <w:r w:rsidRPr="007114AF">
        <w:rPr>
          <w:rFonts w:ascii="Garamond" w:hAnsi="Garamond"/>
          <w:sz w:val="24"/>
          <w:szCs w:val="24"/>
        </w:rPr>
        <w:t>6.2.6 Veprimi Prioritar</w:t>
      </w:r>
      <w:r w:rsidR="00242009" w:rsidRPr="007114AF">
        <w:rPr>
          <w:rFonts w:ascii="Garamond" w:hAnsi="Garamond"/>
          <w:sz w:val="24"/>
          <w:szCs w:val="24"/>
        </w:rPr>
        <w:t xml:space="preserve"> nr. </w:t>
      </w:r>
      <w:r w:rsidRPr="007114AF">
        <w:rPr>
          <w:rFonts w:ascii="Garamond" w:hAnsi="Garamond"/>
          <w:sz w:val="24"/>
          <w:szCs w:val="24"/>
        </w:rPr>
        <w:t>6</w:t>
      </w:r>
    </w:p>
    <w:p w14:paraId="6EDCF346" w14:textId="55754846" w:rsidR="00744280" w:rsidRPr="007114AF" w:rsidRDefault="00744280" w:rsidP="00744280">
      <w:pPr>
        <w:spacing w:after="0"/>
        <w:rPr>
          <w:rFonts w:ascii="Garamond" w:hAnsi="Garamond"/>
          <w:sz w:val="24"/>
          <w:szCs w:val="24"/>
        </w:rPr>
      </w:pPr>
      <w:r w:rsidRPr="007114AF">
        <w:rPr>
          <w:rFonts w:ascii="Garamond" w:hAnsi="Garamond"/>
          <w:sz w:val="24"/>
          <w:szCs w:val="24"/>
        </w:rPr>
        <w:t>6.2.7 Veprimi Prioritar</w:t>
      </w:r>
      <w:r w:rsidR="00242009" w:rsidRPr="007114AF">
        <w:rPr>
          <w:rFonts w:ascii="Garamond" w:hAnsi="Garamond"/>
          <w:sz w:val="24"/>
          <w:szCs w:val="24"/>
        </w:rPr>
        <w:t xml:space="preserve"> nr. </w:t>
      </w:r>
      <w:r w:rsidRPr="007114AF">
        <w:rPr>
          <w:rFonts w:ascii="Garamond" w:hAnsi="Garamond"/>
          <w:sz w:val="24"/>
          <w:szCs w:val="24"/>
        </w:rPr>
        <w:t>7</w:t>
      </w:r>
    </w:p>
    <w:p w14:paraId="6EDCF347" w14:textId="53FAE63C" w:rsidR="00744280" w:rsidRPr="007114AF" w:rsidRDefault="00744280" w:rsidP="00744280">
      <w:pPr>
        <w:spacing w:after="0"/>
        <w:rPr>
          <w:rFonts w:ascii="Garamond" w:hAnsi="Garamond"/>
          <w:sz w:val="24"/>
          <w:szCs w:val="24"/>
        </w:rPr>
      </w:pPr>
      <w:r w:rsidRPr="007114AF">
        <w:rPr>
          <w:rFonts w:ascii="Garamond" w:hAnsi="Garamond"/>
          <w:sz w:val="24"/>
          <w:szCs w:val="24"/>
        </w:rPr>
        <w:t>6.2.8 Veprimi Prioritar</w:t>
      </w:r>
      <w:r w:rsidR="00242009" w:rsidRPr="007114AF">
        <w:rPr>
          <w:rFonts w:ascii="Garamond" w:hAnsi="Garamond"/>
          <w:sz w:val="24"/>
          <w:szCs w:val="24"/>
        </w:rPr>
        <w:t xml:space="preserve"> nr. </w:t>
      </w:r>
      <w:r w:rsidRPr="007114AF">
        <w:rPr>
          <w:rFonts w:ascii="Garamond" w:hAnsi="Garamond"/>
          <w:sz w:val="24"/>
          <w:szCs w:val="24"/>
        </w:rPr>
        <w:t>8</w:t>
      </w:r>
    </w:p>
    <w:p w14:paraId="6EDCF348" w14:textId="74D97ABF" w:rsidR="00744280" w:rsidRPr="007114AF" w:rsidRDefault="00744280" w:rsidP="00744280">
      <w:pPr>
        <w:spacing w:after="0"/>
        <w:rPr>
          <w:rFonts w:ascii="Garamond" w:hAnsi="Garamond"/>
          <w:sz w:val="24"/>
          <w:szCs w:val="24"/>
        </w:rPr>
      </w:pPr>
      <w:r w:rsidRPr="007114AF">
        <w:rPr>
          <w:rFonts w:ascii="Garamond" w:hAnsi="Garamond"/>
          <w:sz w:val="24"/>
          <w:szCs w:val="24"/>
        </w:rPr>
        <w:t>6.2.9 Veprimi Prioritar</w:t>
      </w:r>
      <w:r w:rsidR="00242009" w:rsidRPr="007114AF">
        <w:rPr>
          <w:rFonts w:ascii="Garamond" w:hAnsi="Garamond"/>
          <w:sz w:val="24"/>
          <w:szCs w:val="24"/>
        </w:rPr>
        <w:t xml:space="preserve"> nr. </w:t>
      </w:r>
      <w:r w:rsidRPr="007114AF">
        <w:rPr>
          <w:rFonts w:ascii="Garamond" w:hAnsi="Garamond"/>
          <w:sz w:val="24"/>
          <w:szCs w:val="24"/>
        </w:rPr>
        <w:t>9</w:t>
      </w:r>
    </w:p>
    <w:p w14:paraId="6EDCF349" w14:textId="7AC03ED3" w:rsidR="00744280" w:rsidRPr="007114AF" w:rsidRDefault="00744280" w:rsidP="00744280">
      <w:pPr>
        <w:spacing w:after="0"/>
        <w:rPr>
          <w:rFonts w:ascii="Garamond" w:hAnsi="Garamond"/>
          <w:sz w:val="24"/>
          <w:szCs w:val="24"/>
        </w:rPr>
      </w:pPr>
      <w:r w:rsidRPr="007114AF">
        <w:rPr>
          <w:rFonts w:ascii="Garamond" w:hAnsi="Garamond"/>
          <w:sz w:val="24"/>
          <w:szCs w:val="24"/>
        </w:rPr>
        <w:t>6.2.10 Veprimi Prioritar</w:t>
      </w:r>
      <w:r w:rsidR="00242009" w:rsidRPr="007114AF">
        <w:rPr>
          <w:rFonts w:ascii="Garamond" w:hAnsi="Garamond"/>
          <w:sz w:val="24"/>
          <w:szCs w:val="24"/>
        </w:rPr>
        <w:t xml:space="preserve"> nr. </w:t>
      </w:r>
      <w:r w:rsidRPr="007114AF">
        <w:rPr>
          <w:rFonts w:ascii="Garamond" w:hAnsi="Garamond"/>
          <w:sz w:val="24"/>
          <w:szCs w:val="24"/>
        </w:rPr>
        <w:t>10</w:t>
      </w:r>
    </w:p>
    <w:p w14:paraId="6EDCF34A" w14:textId="27D336A9" w:rsidR="00744280" w:rsidRPr="007114AF" w:rsidRDefault="00744280" w:rsidP="00744280">
      <w:pPr>
        <w:spacing w:after="0"/>
        <w:rPr>
          <w:rFonts w:ascii="Garamond" w:hAnsi="Garamond"/>
          <w:sz w:val="24"/>
          <w:szCs w:val="24"/>
        </w:rPr>
      </w:pPr>
      <w:r w:rsidRPr="007114AF">
        <w:rPr>
          <w:rFonts w:ascii="Garamond" w:hAnsi="Garamond"/>
          <w:sz w:val="24"/>
          <w:szCs w:val="24"/>
        </w:rPr>
        <w:t>6.2.11 Veprimi Prioritar</w:t>
      </w:r>
      <w:r w:rsidR="00242009" w:rsidRPr="007114AF">
        <w:rPr>
          <w:rFonts w:ascii="Garamond" w:hAnsi="Garamond"/>
          <w:sz w:val="24"/>
          <w:szCs w:val="24"/>
        </w:rPr>
        <w:t xml:space="preserve"> nr. </w:t>
      </w:r>
      <w:r w:rsidRPr="007114AF">
        <w:rPr>
          <w:rFonts w:ascii="Garamond" w:hAnsi="Garamond"/>
          <w:sz w:val="24"/>
          <w:szCs w:val="24"/>
        </w:rPr>
        <w:t>11</w:t>
      </w:r>
    </w:p>
    <w:p w14:paraId="6EDCF34B" w14:textId="1B1CEA9C" w:rsidR="00744280" w:rsidRPr="007114AF" w:rsidRDefault="00744280" w:rsidP="00744280">
      <w:pPr>
        <w:spacing w:after="0"/>
        <w:rPr>
          <w:rFonts w:ascii="Garamond" w:hAnsi="Garamond"/>
          <w:sz w:val="24"/>
          <w:szCs w:val="24"/>
        </w:rPr>
      </w:pPr>
      <w:r w:rsidRPr="007114AF">
        <w:rPr>
          <w:rFonts w:ascii="Garamond" w:hAnsi="Garamond"/>
          <w:sz w:val="24"/>
          <w:szCs w:val="24"/>
        </w:rPr>
        <w:t>6.2.12 Veprimi Prioritar</w:t>
      </w:r>
      <w:r w:rsidR="00242009" w:rsidRPr="007114AF">
        <w:rPr>
          <w:rFonts w:ascii="Garamond" w:hAnsi="Garamond"/>
          <w:sz w:val="24"/>
          <w:szCs w:val="24"/>
        </w:rPr>
        <w:t xml:space="preserve"> nr. </w:t>
      </w:r>
      <w:r w:rsidRPr="007114AF">
        <w:rPr>
          <w:rFonts w:ascii="Garamond" w:hAnsi="Garamond"/>
          <w:sz w:val="24"/>
          <w:szCs w:val="24"/>
        </w:rPr>
        <w:t>12</w:t>
      </w:r>
    </w:p>
    <w:p w14:paraId="6EDCF34C" w14:textId="0A45455C" w:rsidR="00744280" w:rsidRPr="007114AF" w:rsidRDefault="00744280" w:rsidP="00744280">
      <w:pPr>
        <w:spacing w:after="0"/>
        <w:rPr>
          <w:rFonts w:ascii="Garamond" w:hAnsi="Garamond"/>
          <w:sz w:val="24"/>
          <w:szCs w:val="24"/>
        </w:rPr>
      </w:pPr>
      <w:r w:rsidRPr="007114AF">
        <w:rPr>
          <w:rFonts w:ascii="Garamond" w:hAnsi="Garamond"/>
          <w:sz w:val="24"/>
          <w:szCs w:val="24"/>
        </w:rPr>
        <w:t>6.2.13 Veprimi Prioritar</w:t>
      </w:r>
      <w:r w:rsidR="00242009" w:rsidRPr="007114AF">
        <w:rPr>
          <w:rFonts w:ascii="Garamond" w:hAnsi="Garamond"/>
          <w:sz w:val="24"/>
          <w:szCs w:val="24"/>
        </w:rPr>
        <w:t xml:space="preserve"> nr. </w:t>
      </w:r>
      <w:r w:rsidRPr="007114AF">
        <w:rPr>
          <w:rFonts w:ascii="Garamond" w:hAnsi="Garamond"/>
          <w:sz w:val="24"/>
          <w:szCs w:val="24"/>
        </w:rPr>
        <w:t>13</w:t>
      </w:r>
    </w:p>
    <w:p w14:paraId="6EDCF34D" w14:textId="12C0F443" w:rsidR="00744280" w:rsidRPr="007114AF" w:rsidRDefault="00744280" w:rsidP="00744280">
      <w:pPr>
        <w:spacing w:after="0"/>
        <w:rPr>
          <w:rFonts w:ascii="Garamond" w:hAnsi="Garamond"/>
          <w:sz w:val="24"/>
          <w:szCs w:val="24"/>
        </w:rPr>
      </w:pPr>
      <w:r w:rsidRPr="007114AF">
        <w:rPr>
          <w:rFonts w:ascii="Garamond" w:hAnsi="Garamond"/>
          <w:sz w:val="24"/>
          <w:szCs w:val="24"/>
        </w:rPr>
        <w:t>6.2.14 Veprimi Prioritar</w:t>
      </w:r>
      <w:r w:rsidR="00242009" w:rsidRPr="007114AF">
        <w:rPr>
          <w:rFonts w:ascii="Garamond" w:hAnsi="Garamond"/>
          <w:sz w:val="24"/>
          <w:szCs w:val="24"/>
        </w:rPr>
        <w:t xml:space="preserve"> nr. </w:t>
      </w:r>
      <w:r w:rsidRPr="007114AF">
        <w:rPr>
          <w:rFonts w:ascii="Garamond" w:hAnsi="Garamond"/>
          <w:sz w:val="24"/>
          <w:szCs w:val="24"/>
        </w:rPr>
        <w:t>14</w:t>
      </w:r>
    </w:p>
    <w:p w14:paraId="6EDCF34E" w14:textId="0E5986FF" w:rsidR="00744280" w:rsidRPr="007114AF" w:rsidRDefault="00744280" w:rsidP="00744280">
      <w:pPr>
        <w:spacing w:after="0"/>
        <w:rPr>
          <w:rFonts w:ascii="Garamond" w:hAnsi="Garamond"/>
          <w:sz w:val="24"/>
          <w:szCs w:val="24"/>
        </w:rPr>
      </w:pPr>
      <w:r w:rsidRPr="007114AF">
        <w:rPr>
          <w:rFonts w:ascii="Garamond" w:hAnsi="Garamond"/>
          <w:sz w:val="24"/>
          <w:szCs w:val="24"/>
        </w:rPr>
        <w:t>6.2.15 Veprimi Prioritar</w:t>
      </w:r>
      <w:r w:rsidR="00242009" w:rsidRPr="007114AF">
        <w:rPr>
          <w:rFonts w:ascii="Garamond" w:hAnsi="Garamond"/>
          <w:sz w:val="24"/>
          <w:szCs w:val="24"/>
        </w:rPr>
        <w:t xml:space="preserve"> nr. </w:t>
      </w:r>
      <w:r w:rsidRPr="007114AF">
        <w:rPr>
          <w:rFonts w:ascii="Garamond" w:hAnsi="Garamond"/>
          <w:sz w:val="24"/>
          <w:szCs w:val="24"/>
        </w:rPr>
        <w:t>15</w:t>
      </w:r>
    </w:p>
    <w:p w14:paraId="6EDCF34F" w14:textId="77777777" w:rsidR="00744280" w:rsidRPr="007114AF" w:rsidRDefault="00744280" w:rsidP="00744280">
      <w:pPr>
        <w:spacing w:after="0"/>
        <w:rPr>
          <w:rFonts w:ascii="Garamond" w:hAnsi="Garamond"/>
          <w:sz w:val="24"/>
          <w:szCs w:val="24"/>
        </w:rPr>
      </w:pPr>
      <w:r w:rsidRPr="007114AF">
        <w:rPr>
          <w:rFonts w:ascii="Garamond" w:hAnsi="Garamond"/>
          <w:sz w:val="24"/>
          <w:szCs w:val="24"/>
        </w:rPr>
        <w:t>6.3 Burimet financiare për planin e përshtatjes</w:t>
      </w:r>
    </w:p>
    <w:p w14:paraId="6EDCF350" w14:textId="1EEED90B" w:rsidR="00744280" w:rsidRPr="007114AF" w:rsidRDefault="00744280" w:rsidP="00744280">
      <w:pPr>
        <w:spacing w:after="0"/>
        <w:rPr>
          <w:rFonts w:ascii="Garamond" w:hAnsi="Garamond"/>
          <w:sz w:val="24"/>
          <w:szCs w:val="24"/>
        </w:rPr>
      </w:pPr>
      <w:r w:rsidRPr="007114AF">
        <w:rPr>
          <w:rFonts w:ascii="Garamond" w:hAnsi="Garamond"/>
          <w:sz w:val="24"/>
          <w:szCs w:val="24"/>
        </w:rPr>
        <w:t xml:space="preserve">6.4 Zhvillimi </w:t>
      </w:r>
      <w:r w:rsidR="003305AE" w:rsidRPr="007114AF">
        <w:rPr>
          <w:rFonts w:ascii="Garamond" w:hAnsi="Garamond"/>
          <w:sz w:val="24"/>
          <w:szCs w:val="24"/>
        </w:rPr>
        <w:t>i</w:t>
      </w:r>
      <w:r w:rsidRPr="007114AF">
        <w:rPr>
          <w:rFonts w:ascii="Garamond" w:hAnsi="Garamond"/>
          <w:sz w:val="24"/>
          <w:szCs w:val="24"/>
        </w:rPr>
        <w:t xml:space="preserve"> kapaciteteve, informimi dhe përfshirja</w:t>
      </w:r>
    </w:p>
    <w:p w14:paraId="6EDCF351" w14:textId="77777777" w:rsidR="00744280" w:rsidRPr="007114AF" w:rsidRDefault="00744280" w:rsidP="00744280">
      <w:pPr>
        <w:spacing w:after="0"/>
        <w:rPr>
          <w:rFonts w:ascii="Garamond" w:hAnsi="Garamond"/>
          <w:sz w:val="24"/>
          <w:szCs w:val="24"/>
        </w:rPr>
      </w:pPr>
      <w:r w:rsidRPr="007114AF">
        <w:rPr>
          <w:rFonts w:ascii="Garamond" w:hAnsi="Garamond"/>
          <w:sz w:val="24"/>
          <w:szCs w:val="24"/>
        </w:rPr>
        <w:t>RAPORTIMI DHE MONITORIMI</w:t>
      </w:r>
    </w:p>
    <w:p w14:paraId="6EDCF352" w14:textId="4C09330B" w:rsidR="00744280" w:rsidRPr="007114AF" w:rsidRDefault="00744280" w:rsidP="00744280">
      <w:pPr>
        <w:spacing w:after="0"/>
        <w:rPr>
          <w:rFonts w:ascii="Garamond" w:hAnsi="Garamond"/>
          <w:sz w:val="24"/>
          <w:szCs w:val="24"/>
        </w:rPr>
      </w:pPr>
      <w:r w:rsidRPr="007114AF">
        <w:rPr>
          <w:rFonts w:ascii="Garamond" w:hAnsi="Garamond"/>
          <w:sz w:val="24"/>
          <w:szCs w:val="24"/>
        </w:rPr>
        <w:t xml:space="preserve">Aneksi 1 – Lista e plotë e dokumenteve të analizuara për Planin e Zbutjes së </w:t>
      </w:r>
      <w:r w:rsidR="003305AE" w:rsidRPr="007114AF">
        <w:rPr>
          <w:rFonts w:ascii="Garamond" w:hAnsi="Garamond"/>
          <w:sz w:val="24"/>
          <w:szCs w:val="24"/>
        </w:rPr>
        <w:t>Ndryshimeve</w:t>
      </w:r>
      <w:r w:rsidRPr="007114AF">
        <w:rPr>
          <w:rFonts w:ascii="Garamond" w:hAnsi="Garamond"/>
          <w:sz w:val="24"/>
          <w:szCs w:val="24"/>
        </w:rPr>
        <w:t xml:space="preserve"> Klimatike</w:t>
      </w:r>
    </w:p>
    <w:p w14:paraId="6EDCF353" w14:textId="77777777" w:rsidR="00744280" w:rsidRPr="007114AF" w:rsidRDefault="00744280" w:rsidP="00744280">
      <w:pPr>
        <w:spacing w:after="0"/>
        <w:rPr>
          <w:rFonts w:ascii="Garamond" w:hAnsi="Garamond"/>
          <w:sz w:val="24"/>
          <w:szCs w:val="24"/>
        </w:rPr>
      </w:pPr>
      <w:r w:rsidRPr="007114AF">
        <w:rPr>
          <w:rFonts w:ascii="Garamond" w:hAnsi="Garamond"/>
          <w:sz w:val="24"/>
          <w:szCs w:val="24"/>
        </w:rPr>
        <w:t>Aneksi 2 – Lista e legjislacionit të BE-së për masat zbutëse për GES-in</w:t>
      </w:r>
    </w:p>
    <w:p w14:paraId="6EDCF354" w14:textId="77777777" w:rsidR="00744280" w:rsidRPr="007114AF" w:rsidRDefault="00744280" w:rsidP="00744280">
      <w:pPr>
        <w:spacing w:after="0"/>
        <w:rPr>
          <w:rFonts w:ascii="Garamond" w:hAnsi="Garamond"/>
          <w:sz w:val="24"/>
          <w:szCs w:val="24"/>
        </w:rPr>
      </w:pPr>
      <w:r w:rsidRPr="007114AF">
        <w:rPr>
          <w:rFonts w:ascii="Garamond" w:hAnsi="Garamond"/>
          <w:sz w:val="24"/>
          <w:szCs w:val="24"/>
        </w:rPr>
        <w:t>Aneksi 3 – Dokumenti i financimit të NAP-it</w:t>
      </w:r>
    </w:p>
    <w:p w14:paraId="6EDCF355" w14:textId="17F801BE" w:rsidR="00744280" w:rsidRPr="007114AF" w:rsidRDefault="00744280" w:rsidP="00744280">
      <w:pPr>
        <w:spacing w:after="0"/>
        <w:rPr>
          <w:rFonts w:ascii="Garamond" w:hAnsi="Garamond"/>
          <w:sz w:val="24"/>
          <w:szCs w:val="24"/>
        </w:rPr>
      </w:pPr>
      <w:r w:rsidRPr="007114AF">
        <w:rPr>
          <w:rFonts w:ascii="Garamond" w:hAnsi="Garamond"/>
          <w:sz w:val="24"/>
          <w:szCs w:val="24"/>
        </w:rPr>
        <w:t>Figura 1 Procesi i programimit të shpenzimeve vjetore në një Institucion të Qeverisë Q</w:t>
      </w:r>
      <w:r w:rsidR="003305AE" w:rsidRPr="007114AF">
        <w:rPr>
          <w:rFonts w:ascii="Garamond" w:hAnsi="Garamond"/>
          <w:sz w:val="24"/>
          <w:szCs w:val="24"/>
        </w:rPr>
        <w:t>e</w:t>
      </w:r>
      <w:r w:rsidRPr="007114AF">
        <w:rPr>
          <w:rFonts w:ascii="Garamond" w:hAnsi="Garamond"/>
          <w:sz w:val="24"/>
          <w:szCs w:val="24"/>
        </w:rPr>
        <w:t>ndrore</w:t>
      </w:r>
    </w:p>
    <w:p w14:paraId="6EDCF356" w14:textId="77777777" w:rsidR="00744280" w:rsidRPr="007114AF" w:rsidRDefault="00744280" w:rsidP="00744280">
      <w:pPr>
        <w:pStyle w:val="TEKSTI"/>
        <w:ind w:firstLine="0"/>
        <w:jc w:val="left"/>
      </w:pPr>
      <w:r w:rsidRPr="007114AF">
        <w:t>Aneksi 4 Lista e autorëve dhe bashkëpunëtorëve</w:t>
      </w:r>
    </w:p>
    <w:p w14:paraId="6EDCF357" w14:textId="77777777" w:rsidR="00395EA8" w:rsidRPr="007114AF" w:rsidRDefault="00395EA8" w:rsidP="00B86BA1">
      <w:pPr>
        <w:spacing w:after="0" w:line="240" w:lineRule="auto"/>
        <w:jc w:val="center"/>
        <w:rPr>
          <w:rFonts w:ascii="Garamond" w:hAnsi="Garamond"/>
          <w:sz w:val="24"/>
          <w:szCs w:val="24"/>
        </w:rPr>
      </w:pPr>
    </w:p>
    <w:p w14:paraId="6EDCF358" w14:textId="77777777" w:rsidR="00E24568" w:rsidRPr="007114AF" w:rsidRDefault="00E24568" w:rsidP="00FF37A6">
      <w:pPr>
        <w:pStyle w:val="NoSpacing"/>
        <w:rPr>
          <w:rFonts w:ascii="Garamond" w:hAnsi="Garamond"/>
          <w:b/>
          <w:lang w:val="sq-AL"/>
        </w:rPr>
      </w:pPr>
      <w:r w:rsidRPr="007114AF">
        <w:rPr>
          <w:rFonts w:ascii="Garamond" w:hAnsi="Garamond"/>
          <w:b/>
          <w:lang w:val="sq-AL"/>
        </w:rPr>
        <w:t>AKRONIME</w:t>
      </w:r>
    </w:p>
    <w:p w14:paraId="6EDCF359" w14:textId="20679A36" w:rsidR="00E24568" w:rsidRPr="007114AF" w:rsidRDefault="00E24568" w:rsidP="00FF37A6">
      <w:pPr>
        <w:pStyle w:val="NoSpacing"/>
        <w:rPr>
          <w:rFonts w:ascii="Garamond" w:hAnsi="Garamond"/>
          <w:lang w:val="sq-AL"/>
        </w:rPr>
      </w:pPr>
      <w:r w:rsidRPr="007114AF">
        <w:rPr>
          <w:rFonts w:ascii="Garamond" w:hAnsi="Garamond"/>
          <w:lang w:val="sq-AL"/>
        </w:rPr>
        <w:t xml:space="preserve">ADP </w:t>
      </w:r>
      <w:r w:rsidRPr="007114AF">
        <w:rPr>
          <w:rFonts w:ascii="Garamond" w:hAnsi="Garamond"/>
          <w:lang w:val="sq-AL"/>
        </w:rPr>
        <w:tab/>
      </w:r>
      <w:r w:rsidR="00FF37A6" w:rsidRPr="007114AF">
        <w:rPr>
          <w:rFonts w:ascii="Garamond" w:hAnsi="Garamond"/>
          <w:lang w:val="sq-AL"/>
        </w:rPr>
        <w:tab/>
      </w:r>
      <w:r w:rsidRPr="007114AF">
        <w:rPr>
          <w:rFonts w:ascii="Garamond" w:hAnsi="Garamond"/>
          <w:lang w:val="sq-AL"/>
        </w:rPr>
        <w:t>Grupi i Punës Ad Hoc për Platformën Durban</w:t>
      </w:r>
      <w:r w:rsidR="003305AE" w:rsidRPr="007114AF">
        <w:rPr>
          <w:rFonts w:ascii="Garamond" w:hAnsi="Garamond"/>
          <w:lang w:val="sq-AL"/>
        </w:rPr>
        <w:t xml:space="preserve"> </w:t>
      </w:r>
      <w:r w:rsidRPr="007114AF">
        <w:rPr>
          <w:rFonts w:ascii="Garamond" w:hAnsi="Garamond"/>
          <w:lang w:val="sq-AL"/>
        </w:rPr>
        <w:t>për Veprim të Shtuar</w:t>
      </w:r>
    </w:p>
    <w:p w14:paraId="6EDCF35A" w14:textId="77777777" w:rsidR="00E24568" w:rsidRPr="007114AF" w:rsidRDefault="00E24568" w:rsidP="00FF37A6">
      <w:pPr>
        <w:pStyle w:val="NoSpacing"/>
        <w:rPr>
          <w:rFonts w:ascii="Garamond" w:hAnsi="Garamond"/>
          <w:lang w:val="sq-AL"/>
        </w:rPr>
      </w:pPr>
      <w:r w:rsidRPr="007114AF">
        <w:rPr>
          <w:rFonts w:ascii="Garamond" w:hAnsi="Garamond"/>
          <w:lang w:val="sq-AL"/>
        </w:rPr>
        <w:t>FP</w:t>
      </w:r>
      <w:r w:rsidRPr="007114AF">
        <w:rPr>
          <w:rFonts w:ascii="Garamond" w:hAnsi="Garamond"/>
          <w:lang w:val="sq-AL"/>
        </w:rPr>
        <w:tab/>
      </w:r>
      <w:r w:rsidRPr="007114AF">
        <w:rPr>
          <w:rFonts w:ascii="Garamond" w:hAnsi="Garamond"/>
          <w:lang w:val="sq-AL"/>
        </w:rPr>
        <w:tab/>
        <w:t xml:space="preserve">Fond i përshtatjes </w:t>
      </w:r>
    </w:p>
    <w:p w14:paraId="6EDCF35B" w14:textId="77777777" w:rsidR="00E24568" w:rsidRPr="007114AF" w:rsidRDefault="00E24568" w:rsidP="00FF37A6">
      <w:pPr>
        <w:pStyle w:val="NoSpacing"/>
        <w:rPr>
          <w:rFonts w:ascii="Garamond" w:hAnsi="Garamond"/>
          <w:lang w:val="sq-AL"/>
        </w:rPr>
      </w:pPr>
      <w:r w:rsidRPr="007114AF">
        <w:rPr>
          <w:rFonts w:ascii="Garamond" w:hAnsi="Garamond"/>
          <w:lang w:val="sq-AL"/>
        </w:rPr>
        <w:t xml:space="preserve">AKBN </w:t>
      </w:r>
      <w:r w:rsidRPr="007114AF">
        <w:rPr>
          <w:rFonts w:ascii="Garamond" w:hAnsi="Garamond"/>
          <w:lang w:val="sq-AL"/>
        </w:rPr>
        <w:tab/>
        <w:t xml:space="preserve">Agjencia Kombëtare e Burimeve Natyrore </w:t>
      </w:r>
    </w:p>
    <w:p w14:paraId="6EDCF35C" w14:textId="77777777" w:rsidR="00E24568" w:rsidRPr="007114AF" w:rsidRDefault="00E24568" w:rsidP="00FF37A6">
      <w:pPr>
        <w:pStyle w:val="NoSpacing"/>
        <w:rPr>
          <w:rFonts w:ascii="Garamond" w:hAnsi="Garamond"/>
          <w:lang w:val="sq-AL"/>
        </w:rPr>
      </w:pPr>
      <w:r w:rsidRPr="007114AF">
        <w:rPr>
          <w:rFonts w:ascii="Garamond" w:hAnsi="Garamond"/>
          <w:lang w:val="sq-AL"/>
        </w:rPr>
        <w:t>RV</w:t>
      </w:r>
      <w:r w:rsidRPr="007114AF">
        <w:rPr>
          <w:rFonts w:ascii="Garamond" w:hAnsi="Garamond"/>
          <w:lang w:val="sq-AL"/>
        </w:rPr>
        <w:tab/>
      </w:r>
      <w:r w:rsidR="00FF37A6" w:rsidRPr="007114AF">
        <w:rPr>
          <w:rFonts w:ascii="Garamond" w:hAnsi="Garamond"/>
          <w:lang w:val="sq-AL"/>
        </w:rPr>
        <w:tab/>
      </w:r>
      <w:r w:rsidRPr="007114AF">
        <w:rPr>
          <w:rFonts w:ascii="Garamond" w:hAnsi="Garamond"/>
          <w:lang w:val="sq-AL"/>
        </w:rPr>
        <w:t>Raport Vlerësimi</w:t>
      </w:r>
    </w:p>
    <w:p w14:paraId="6EDCF35D" w14:textId="77777777" w:rsidR="00E24568" w:rsidRPr="007114AF" w:rsidRDefault="00E24568" w:rsidP="00FF37A6">
      <w:pPr>
        <w:pStyle w:val="NoSpacing"/>
        <w:rPr>
          <w:rFonts w:ascii="Garamond" w:hAnsi="Garamond"/>
          <w:lang w:val="sq-AL"/>
        </w:rPr>
      </w:pPr>
      <w:r w:rsidRPr="007114AF">
        <w:rPr>
          <w:rFonts w:ascii="Garamond" w:hAnsi="Garamond"/>
          <w:lang w:val="sq-AL"/>
        </w:rPr>
        <w:t>MBE</w:t>
      </w:r>
      <w:r w:rsidRPr="007114AF">
        <w:rPr>
          <w:rFonts w:ascii="Garamond" w:hAnsi="Garamond"/>
          <w:lang w:val="sq-AL"/>
        </w:rPr>
        <w:tab/>
      </w:r>
      <w:r w:rsidR="00FF37A6" w:rsidRPr="007114AF">
        <w:rPr>
          <w:rFonts w:ascii="Garamond" w:hAnsi="Garamond"/>
          <w:lang w:val="sq-AL"/>
        </w:rPr>
        <w:tab/>
      </w:r>
      <w:r w:rsidRPr="007114AF">
        <w:rPr>
          <w:rFonts w:ascii="Garamond" w:hAnsi="Garamond"/>
          <w:lang w:val="sq-AL"/>
        </w:rPr>
        <w:t xml:space="preserve">Mjet me Bateri Elektrike </w:t>
      </w:r>
    </w:p>
    <w:p w14:paraId="6EDCF35E" w14:textId="4ED281A9" w:rsidR="00E24568" w:rsidRPr="007114AF" w:rsidRDefault="00E24568" w:rsidP="00FF37A6">
      <w:pPr>
        <w:pStyle w:val="NoSpacing"/>
        <w:rPr>
          <w:rFonts w:ascii="Garamond" w:hAnsi="Garamond"/>
          <w:lang w:val="sq-AL"/>
        </w:rPr>
      </w:pPr>
      <w:r w:rsidRPr="007114AF">
        <w:rPr>
          <w:rFonts w:ascii="Garamond" w:hAnsi="Garamond"/>
          <w:lang w:val="sq-AL"/>
        </w:rPr>
        <w:t>PBB</w:t>
      </w:r>
      <w:r w:rsidRPr="007114AF">
        <w:rPr>
          <w:rFonts w:ascii="Garamond" w:hAnsi="Garamond"/>
          <w:lang w:val="sq-AL"/>
        </w:rPr>
        <w:tab/>
      </w:r>
      <w:r w:rsidR="00FF37A6" w:rsidRPr="007114AF">
        <w:rPr>
          <w:rFonts w:ascii="Garamond" w:hAnsi="Garamond"/>
          <w:lang w:val="sq-AL"/>
        </w:rPr>
        <w:tab/>
      </w:r>
      <w:r w:rsidRPr="007114AF">
        <w:rPr>
          <w:rFonts w:ascii="Garamond" w:hAnsi="Garamond"/>
          <w:lang w:val="sq-AL"/>
        </w:rPr>
        <w:t xml:space="preserve">Politika e Përbashkët Bujqësore </w:t>
      </w:r>
    </w:p>
    <w:p w14:paraId="6EDCF35F" w14:textId="58F08952" w:rsidR="00E24568" w:rsidRPr="007114AF" w:rsidRDefault="003305AE" w:rsidP="00B74FC4">
      <w:pPr>
        <w:pStyle w:val="NoSpacing"/>
        <w:tabs>
          <w:tab w:val="left" w:pos="113"/>
          <w:tab w:val="left" w:pos="284"/>
          <w:tab w:val="left" w:pos="1695"/>
        </w:tabs>
        <w:rPr>
          <w:rFonts w:ascii="Garamond" w:hAnsi="Garamond"/>
          <w:lang w:val="sq-AL"/>
        </w:rPr>
      </w:pPr>
      <w:r w:rsidRPr="007114AF">
        <w:rPr>
          <w:rFonts w:ascii="Garamond" w:hAnsi="Garamond"/>
          <w:lang w:val="sq-AL"/>
        </w:rPr>
        <w:t>NK</w:t>
      </w:r>
      <w:r w:rsidRPr="007114AF">
        <w:rPr>
          <w:rFonts w:ascii="Garamond" w:hAnsi="Garamond"/>
          <w:lang w:val="sq-AL"/>
        </w:rPr>
        <w:tab/>
      </w:r>
      <w:r w:rsidR="00E24568" w:rsidRPr="007114AF">
        <w:rPr>
          <w:rFonts w:ascii="Garamond" w:hAnsi="Garamond"/>
          <w:lang w:val="sq-AL"/>
        </w:rPr>
        <w:t>Ndryshimet klimatike</w:t>
      </w:r>
    </w:p>
    <w:p w14:paraId="6EDCF360" w14:textId="77777777" w:rsidR="00E24568" w:rsidRPr="007114AF" w:rsidRDefault="00E24568" w:rsidP="00B74FC4">
      <w:pPr>
        <w:pStyle w:val="NoSpacing"/>
        <w:tabs>
          <w:tab w:val="left" w:pos="113"/>
          <w:tab w:val="left" w:pos="284"/>
          <w:tab w:val="left" w:pos="1695"/>
        </w:tabs>
        <w:rPr>
          <w:rFonts w:ascii="Garamond" w:hAnsi="Garamond"/>
          <w:lang w:val="sq-AL"/>
        </w:rPr>
      </w:pPr>
      <w:r w:rsidRPr="007114AF">
        <w:rPr>
          <w:rFonts w:ascii="Garamond" w:hAnsi="Garamond"/>
          <w:lang w:val="sq-AL"/>
        </w:rPr>
        <w:t>PNK</w:t>
      </w:r>
      <w:r w:rsidRPr="007114AF">
        <w:rPr>
          <w:rFonts w:ascii="Garamond" w:hAnsi="Garamond"/>
          <w:lang w:val="sq-AL"/>
        </w:rPr>
        <w:tab/>
        <w:t xml:space="preserve">Përshtatja ndaj ndryshimeve klimatike </w:t>
      </w:r>
    </w:p>
    <w:p w14:paraId="6EDCF361" w14:textId="4193C855" w:rsidR="00E24568" w:rsidRPr="007114AF" w:rsidRDefault="00E24568" w:rsidP="00B74FC4">
      <w:pPr>
        <w:pStyle w:val="NoSpacing"/>
        <w:tabs>
          <w:tab w:val="left" w:pos="113"/>
          <w:tab w:val="left" w:pos="284"/>
          <w:tab w:val="left" w:pos="1695"/>
        </w:tabs>
        <w:rPr>
          <w:rFonts w:ascii="Garamond" w:hAnsi="Garamond"/>
          <w:lang w:val="sq-AL"/>
        </w:rPr>
      </w:pPr>
      <w:r w:rsidRPr="007114AF">
        <w:rPr>
          <w:rFonts w:ascii="Garamond" w:hAnsi="Garamond"/>
          <w:lang w:val="sq-AL"/>
        </w:rPr>
        <w:t>PMRNK</w:t>
      </w:r>
      <w:r w:rsidRPr="007114AF">
        <w:rPr>
          <w:rFonts w:ascii="Garamond" w:hAnsi="Garamond"/>
          <w:lang w:val="sq-AL"/>
        </w:rPr>
        <w:tab/>
        <w:t xml:space="preserve">Procesi </w:t>
      </w:r>
      <w:r w:rsidR="003305AE" w:rsidRPr="007114AF">
        <w:rPr>
          <w:rFonts w:ascii="Garamond" w:hAnsi="Garamond"/>
          <w:lang w:val="sq-AL"/>
        </w:rPr>
        <w:t>i</w:t>
      </w:r>
      <w:r w:rsidRPr="007114AF">
        <w:rPr>
          <w:rFonts w:ascii="Garamond" w:hAnsi="Garamond"/>
          <w:lang w:val="sq-AL"/>
        </w:rPr>
        <w:t xml:space="preserve"> Menaxhimit të Rrezikut ndaj Ndryshimeve Klimatike </w:t>
      </w:r>
    </w:p>
    <w:p w14:paraId="6EDCF362" w14:textId="77777777" w:rsidR="00E24568" w:rsidRPr="007114AF" w:rsidRDefault="00E24568" w:rsidP="00B74FC4">
      <w:pPr>
        <w:pStyle w:val="NoSpacing"/>
        <w:tabs>
          <w:tab w:val="left" w:pos="113"/>
          <w:tab w:val="left" w:pos="284"/>
          <w:tab w:val="left" w:pos="1695"/>
        </w:tabs>
        <w:rPr>
          <w:rFonts w:ascii="Garamond" w:hAnsi="Garamond"/>
          <w:lang w:val="sq-AL"/>
        </w:rPr>
      </w:pPr>
      <w:r w:rsidRPr="007114AF">
        <w:rPr>
          <w:rFonts w:ascii="Garamond" w:hAnsi="Garamond"/>
          <w:lang w:val="sq-AL"/>
        </w:rPr>
        <w:t>DNK</w:t>
      </w:r>
      <w:r w:rsidRPr="007114AF">
        <w:rPr>
          <w:rFonts w:ascii="Garamond" w:hAnsi="Garamond"/>
          <w:lang w:val="sq-AL"/>
        </w:rPr>
        <w:tab/>
        <w:t xml:space="preserve">Departamenti e ndryshimeve klimatike dhe ajrit </w:t>
      </w:r>
    </w:p>
    <w:p w14:paraId="6EDCF363" w14:textId="77777777" w:rsidR="00E24568" w:rsidRPr="007114AF" w:rsidRDefault="00E24568" w:rsidP="00FF37A6">
      <w:pPr>
        <w:pStyle w:val="NoSpacing"/>
        <w:rPr>
          <w:rFonts w:ascii="Garamond" w:hAnsi="Garamond"/>
          <w:lang w:val="sq-AL"/>
        </w:rPr>
      </w:pPr>
      <w:r w:rsidRPr="007114AF">
        <w:rPr>
          <w:rFonts w:ascii="Garamond" w:hAnsi="Garamond"/>
          <w:lang w:val="sq-AL"/>
        </w:rPr>
        <w:t>NKE</w:t>
      </w:r>
      <w:r w:rsidRPr="007114AF">
        <w:rPr>
          <w:rFonts w:ascii="Garamond" w:hAnsi="Garamond"/>
          <w:lang w:val="sq-AL"/>
        </w:rPr>
        <w:tab/>
      </w:r>
      <w:r w:rsidR="00FF37A6" w:rsidRPr="007114AF">
        <w:rPr>
          <w:rFonts w:ascii="Garamond" w:hAnsi="Garamond"/>
          <w:lang w:val="sq-AL"/>
        </w:rPr>
        <w:tab/>
      </w:r>
      <w:r w:rsidRPr="007114AF">
        <w:rPr>
          <w:rFonts w:ascii="Garamond" w:hAnsi="Garamond"/>
          <w:lang w:val="sq-AL"/>
        </w:rPr>
        <w:t>Nxehtësi e Kombinuar dhe Energji</w:t>
      </w:r>
    </w:p>
    <w:p w14:paraId="6EDCF364" w14:textId="77777777" w:rsidR="00E24568" w:rsidRPr="007114AF" w:rsidRDefault="00E24568" w:rsidP="00FF37A6">
      <w:pPr>
        <w:pStyle w:val="NoSpacing"/>
        <w:rPr>
          <w:rFonts w:ascii="Garamond" w:hAnsi="Garamond"/>
          <w:lang w:val="sq-AL"/>
        </w:rPr>
      </w:pPr>
      <w:r w:rsidRPr="007114AF">
        <w:rPr>
          <w:rFonts w:ascii="Garamond" w:hAnsi="Garamond"/>
          <w:lang w:val="sq-AL"/>
        </w:rPr>
        <w:t>KM</w:t>
      </w:r>
      <w:r w:rsidRPr="007114AF">
        <w:rPr>
          <w:rFonts w:ascii="Garamond" w:hAnsi="Garamond"/>
          <w:lang w:val="sq-AL"/>
        </w:rPr>
        <w:tab/>
      </w:r>
      <w:r w:rsidRPr="007114AF">
        <w:rPr>
          <w:rFonts w:ascii="Garamond" w:hAnsi="Garamond"/>
          <w:lang w:val="sq-AL"/>
        </w:rPr>
        <w:tab/>
        <w:t xml:space="preserve">Këshilli i Ministrave </w:t>
      </w:r>
    </w:p>
    <w:p w14:paraId="6EDCF365" w14:textId="77777777" w:rsidR="00E24568" w:rsidRPr="007114AF" w:rsidRDefault="00E24568" w:rsidP="00FF37A6">
      <w:pPr>
        <w:pStyle w:val="NoSpacing"/>
        <w:rPr>
          <w:rFonts w:ascii="Garamond" w:hAnsi="Garamond"/>
          <w:lang w:val="sq-AL"/>
        </w:rPr>
      </w:pPr>
      <w:r w:rsidRPr="007114AF">
        <w:rPr>
          <w:rFonts w:ascii="Garamond" w:hAnsi="Garamond"/>
          <w:lang w:val="sq-AL"/>
        </w:rPr>
        <w:t>KeP</w:t>
      </w:r>
      <w:r w:rsidRPr="007114AF">
        <w:rPr>
          <w:rFonts w:ascii="Garamond" w:hAnsi="Garamond"/>
          <w:lang w:val="sq-AL"/>
        </w:rPr>
        <w:tab/>
      </w:r>
      <w:r w:rsidR="00FF37A6" w:rsidRPr="007114AF">
        <w:rPr>
          <w:rFonts w:ascii="Garamond" w:hAnsi="Garamond"/>
          <w:lang w:val="sq-AL"/>
        </w:rPr>
        <w:tab/>
      </w:r>
      <w:r w:rsidRPr="007114AF">
        <w:rPr>
          <w:rFonts w:ascii="Garamond" w:hAnsi="Garamond"/>
          <w:lang w:val="sq-AL"/>
        </w:rPr>
        <w:t>Konferenca e Palëve</w:t>
      </w:r>
    </w:p>
    <w:p w14:paraId="6EDCF366" w14:textId="77777777" w:rsidR="00E24568" w:rsidRPr="007114AF" w:rsidRDefault="00E24568" w:rsidP="00FF37A6">
      <w:pPr>
        <w:pStyle w:val="NoSpacing"/>
        <w:rPr>
          <w:rFonts w:ascii="Garamond" w:hAnsi="Garamond"/>
          <w:lang w:val="sq-AL"/>
        </w:rPr>
      </w:pPr>
      <w:r w:rsidRPr="007114AF">
        <w:rPr>
          <w:rFonts w:ascii="Garamond" w:hAnsi="Garamond"/>
          <w:lang w:val="sq-AL"/>
        </w:rPr>
        <w:t>CPEC</w:t>
      </w:r>
      <w:r w:rsidRPr="007114AF">
        <w:rPr>
          <w:rFonts w:ascii="Garamond" w:hAnsi="Garamond"/>
          <w:lang w:val="sq-AL"/>
        </w:rPr>
        <w:tab/>
      </w:r>
      <w:r w:rsidR="00FF37A6" w:rsidRPr="007114AF">
        <w:rPr>
          <w:rFonts w:ascii="Garamond" w:hAnsi="Garamond"/>
          <w:lang w:val="sq-AL"/>
        </w:rPr>
        <w:tab/>
      </w:r>
      <w:r w:rsidRPr="007114AF">
        <w:rPr>
          <w:rFonts w:ascii="Garamond" w:hAnsi="Garamond"/>
          <w:lang w:val="sq-AL"/>
        </w:rPr>
        <w:t>Eficienca e Energjisë në Ndërtesa në Palët Kontraktuese të Komunitetit të Energjisë</w:t>
      </w:r>
    </w:p>
    <w:p w14:paraId="6EDCF367" w14:textId="77777777" w:rsidR="00E24568" w:rsidRPr="007114AF" w:rsidRDefault="00E24568" w:rsidP="00FF37A6">
      <w:pPr>
        <w:pStyle w:val="NoSpacing"/>
        <w:rPr>
          <w:rFonts w:ascii="Garamond" w:hAnsi="Garamond"/>
          <w:lang w:val="sq-AL"/>
        </w:rPr>
      </w:pPr>
      <w:r w:rsidRPr="007114AF">
        <w:rPr>
          <w:rFonts w:ascii="Garamond" w:hAnsi="Garamond"/>
          <w:lang w:val="sq-AL"/>
        </w:rPr>
        <w:t>DZHM</w:t>
      </w:r>
      <w:r w:rsidRPr="007114AF">
        <w:rPr>
          <w:rFonts w:ascii="Garamond" w:hAnsi="Garamond"/>
          <w:lang w:val="sq-AL"/>
        </w:rPr>
        <w:tab/>
        <w:t>Departamenti për Zhvillim dhe Mirëqeverisje</w:t>
      </w:r>
    </w:p>
    <w:p w14:paraId="6EDCF368" w14:textId="77777777" w:rsidR="00E24568" w:rsidRPr="007114AF" w:rsidRDefault="00E24568" w:rsidP="00FF37A6">
      <w:pPr>
        <w:pStyle w:val="NoSpacing"/>
        <w:rPr>
          <w:rFonts w:ascii="Garamond" w:hAnsi="Garamond"/>
          <w:lang w:val="sq-AL"/>
        </w:rPr>
      </w:pPr>
      <w:r w:rsidRPr="007114AF">
        <w:rPr>
          <w:rFonts w:ascii="Garamond" w:hAnsi="Garamond"/>
          <w:lang w:val="sq-AL"/>
        </w:rPr>
        <w:t>DPSMB</w:t>
      </w:r>
      <w:r w:rsidR="00FF37A6" w:rsidRPr="007114AF">
        <w:rPr>
          <w:rFonts w:ascii="Garamond" w:hAnsi="Garamond"/>
          <w:b/>
          <w:i/>
          <w:lang w:val="sq-AL"/>
        </w:rPr>
        <w:tab/>
      </w:r>
      <w:r w:rsidRPr="007114AF">
        <w:rPr>
          <w:rFonts w:ascii="Garamond" w:hAnsi="Garamond"/>
          <w:lang w:val="sq-AL"/>
        </w:rPr>
        <w:t xml:space="preserve">Dokumenti i Politikave Strategjike Për Mbrojtjen e Biodiversitetit </w:t>
      </w:r>
    </w:p>
    <w:p w14:paraId="6EDCF369" w14:textId="77777777" w:rsidR="00E24568" w:rsidRPr="007114AF" w:rsidRDefault="00E24568" w:rsidP="00FF37A6">
      <w:pPr>
        <w:pStyle w:val="NoSpacing"/>
        <w:rPr>
          <w:rFonts w:ascii="Garamond" w:hAnsi="Garamond"/>
          <w:lang w:val="sq-AL"/>
        </w:rPr>
      </w:pPr>
      <w:r w:rsidRPr="007114AF">
        <w:rPr>
          <w:rFonts w:ascii="Garamond" w:hAnsi="Garamond"/>
          <w:lang w:val="sq-AL"/>
        </w:rPr>
        <w:t>BERZH</w:t>
      </w:r>
      <w:r w:rsidRPr="007114AF">
        <w:rPr>
          <w:rFonts w:ascii="Garamond" w:hAnsi="Garamond"/>
          <w:lang w:val="sq-AL"/>
        </w:rPr>
        <w:tab/>
        <w:t>Banka Evropiane për Rindërtim dhe Zhvillim </w:t>
      </w:r>
      <w:r w:rsidRPr="007114AF">
        <w:rPr>
          <w:rFonts w:ascii="Garamond" w:hAnsi="Garamond"/>
          <w:lang w:val="sq-AL"/>
        </w:rPr>
        <w:tab/>
      </w:r>
    </w:p>
    <w:p w14:paraId="6EDCF36A" w14:textId="77777777" w:rsidR="00E24568" w:rsidRPr="007114AF" w:rsidRDefault="00E24568" w:rsidP="00FF37A6">
      <w:pPr>
        <w:pStyle w:val="NoSpacing"/>
        <w:rPr>
          <w:rFonts w:ascii="Garamond" w:hAnsi="Garamond"/>
          <w:lang w:val="sq-AL"/>
        </w:rPr>
      </w:pPr>
      <w:r w:rsidRPr="007114AF">
        <w:rPr>
          <w:rFonts w:ascii="Garamond" w:hAnsi="Garamond"/>
          <w:lang w:val="sq-AL"/>
        </w:rPr>
        <w:t>SMNS</w:t>
      </w:r>
      <w:r w:rsidRPr="007114AF">
        <w:rPr>
          <w:rFonts w:ascii="Garamond" w:hAnsi="Garamond"/>
          <w:lang w:val="sq-AL"/>
        </w:rPr>
        <w:tab/>
      </w:r>
      <w:r w:rsidRPr="007114AF">
        <w:rPr>
          <w:rFonts w:ascii="Garamond" w:hAnsi="Garamond"/>
          <w:lang w:val="sq-AL"/>
        </w:rPr>
        <w:tab/>
        <w:t>Strategjia Mjedisore Ndërsektoriale</w:t>
      </w:r>
    </w:p>
    <w:p w14:paraId="6EDCF36B" w14:textId="77777777" w:rsidR="00E24568" w:rsidRPr="007114AF" w:rsidRDefault="00E24568" w:rsidP="00FF37A6">
      <w:pPr>
        <w:pStyle w:val="NoSpacing"/>
        <w:rPr>
          <w:rFonts w:ascii="Garamond" w:hAnsi="Garamond"/>
          <w:lang w:val="sq-AL"/>
        </w:rPr>
      </w:pPr>
      <w:r w:rsidRPr="007114AF">
        <w:rPr>
          <w:rFonts w:ascii="Garamond" w:hAnsi="Garamond"/>
          <w:lang w:val="sq-AL"/>
        </w:rPr>
        <w:t>ECRAN</w:t>
      </w:r>
      <w:r w:rsidRPr="007114AF">
        <w:rPr>
          <w:rFonts w:ascii="Garamond" w:hAnsi="Garamond"/>
          <w:lang w:val="sq-AL"/>
        </w:rPr>
        <w:tab/>
        <w:t xml:space="preserve">Rrjeti Rajonal i anëtarësimit për klimën dhe mjedisin </w:t>
      </w:r>
    </w:p>
    <w:p w14:paraId="6EDCF36C" w14:textId="77777777" w:rsidR="00E24568" w:rsidRPr="007114AF" w:rsidRDefault="00E24568" w:rsidP="00FF37A6">
      <w:pPr>
        <w:pStyle w:val="NoSpacing"/>
        <w:rPr>
          <w:rFonts w:ascii="Garamond" w:hAnsi="Garamond"/>
          <w:lang w:val="sq-AL"/>
        </w:rPr>
      </w:pPr>
      <w:r w:rsidRPr="007114AF">
        <w:rPr>
          <w:rFonts w:ascii="Garamond" w:hAnsi="Garamond"/>
          <w:lang w:val="sq-AL"/>
        </w:rPr>
        <w:t xml:space="preserve">EE </w:t>
      </w:r>
      <w:r w:rsidRPr="007114AF">
        <w:rPr>
          <w:rFonts w:ascii="Garamond" w:hAnsi="Garamond"/>
          <w:lang w:val="sq-AL"/>
        </w:rPr>
        <w:tab/>
      </w:r>
      <w:r w:rsidRPr="007114AF">
        <w:rPr>
          <w:rFonts w:ascii="Garamond" w:hAnsi="Garamond"/>
          <w:lang w:val="sq-AL"/>
        </w:rPr>
        <w:tab/>
        <w:t>Eficienca e Energjisë</w:t>
      </w:r>
    </w:p>
    <w:p w14:paraId="6EDCF36D" w14:textId="77777777" w:rsidR="00E24568" w:rsidRPr="007114AF" w:rsidRDefault="00E24568" w:rsidP="00FF37A6">
      <w:pPr>
        <w:pStyle w:val="NoSpacing"/>
        <w:rPr>
          <w:rFonts w:ascii="Garamond" w:hAnsi="Garamond"/>
          <w:lang w:val="sq-AL"/>
        </w:rPr>
      </w:pPr>
      <w:r w:rsidRPr="007114AF">
        <w:rPr>
          <w:rFonts w:ascii="Garamond" w:hAnsi="Garamond"/>
          <w:lang w:val="sq-AL"/>
        </w:rPr>
        <w:lastRenderedPageBreak/>
        <w:t>DEE</w:t>
      </w:r>
      <w:r w:rsidRPr="007114AF">
        <w:rPr>
          <w:rFonts w:ascii="Garamond" w:hAnsi="Garamond"/>
          <w:lang w:val="sq-AL"/>
        </w:rPr>
        <w:tab/>
      </w:r>
      <w:r w:rsidR="00FF37A6" w:rsidRPr="007114AF">
        <w:rPr>
          <w:rFonts w:ascii="Garamond" w:hAnsi="Garamond"/>
          <w:lang w:val="sq-AL"/>
        </w:rPr>
        <w:tab/>
      </w:r>
      <w:r w:rsidRPr="007114AF">
        <w:rPr>
          <w:rFonts w:ascii="Garamond" w:hAnsi="Garamond"/>
          <w:lang w:val="sq-AL"/>
        </w:rPr>
        <w:t>Direktiva për Eficiencën e Energjisë</w:t>
      </w:r>
    </w:p>
    <w:p w14:paraId="6EDCF36E" w14:textId="77777777" w:rsidR="00E24568" w:rsidRPr="007114AF" w:rsidRDefault="00E24568" w:rsidP="00FF37A6">
      <w:pPr>
        <w:pStyle w:val="NoSpacing"/>
        <w:rPr>
          <w:rFonts w:ascii="Garamond" w:hAnsi="Garamond"/>
          <w:lang w:val="sq-AL"/>
        </w:rPr>
      </w:pPr>
      <w:r w:rsidRPr="007114AF">
        <w:rPr>
          <w:rFonts w:ascii="Garamond" w:hAnsi="Garamond"/>
          <w:lang w:val="sq-AL"/>
        </w:rPr>
        <w:t>PEE</w:t>
      </w:r>
      <w:r w:rsidRPr="007114AF">
        <w:rPr>
          <w:rFonts w:ascii="Garamond" w:hAnsi="Garamond"/>
          <w:lang w:val="sq-AL"/>
        </w:rPr>
        <w:tab/>
      </w:r>
      <w:r w:rsidR="00FF37A6" w:rsidRPr="007114AF">
        <w:rPr>
          <w:rFonts w:ascii="Garamond" w:hAnsi="Garamond"/>
          <w:lang w:val="sq-AL"/>
        </w:rPr>
        <w:tab/>
      </w:r>
      <w:r w:rsidRPr="007114AF">
        <w:rPr>
          <w:rFonts w:ascii="Garamond" w:hAnsi="Garamond"/>
          <w:lang w:val="sq-AL"/>
        </w:rPr>
        <w:t>Përmirësimi i Eficiencës së Energjisë</w:t>
      </w:r>
    </w:p>
    <w:p w14:paraId="6EDCF36F" w14:textId="77777777" w:rsidR="00E24568" w:rsidRPr="007114AF" w:rsidRDefault="00E24568" w:rsidP="00FF37A6">
      <w:pPr>
        <w:pStyle w:val="NoSpacing"/>
        <w:rPr>
          <w:rFonts w:ascii="Garamond" w:hAnsi="Garamond"/>
          <w:lang w:val="sq-AL"/>
        </w:rPr>
      </w:pPr>
      <w:r w:rsidRPr="007114AF">
        <w:rPr>
          <w:rFonts w:ascii="Garamond" w:hAnsi="Garamond"/>
          <w:lang w:val="sq-AL"/>
        </w:rPr>
        <w:t>EFTA</w:t>
      </w:r>
      <w:r w:rsidRPr="007114AF">
        <w:rPr>
          <w:rFonts w:ascii="Garamond" w:hAnsi="Garamond"/>
          <w:lang w:val="sq-AL"/>
        </w:rPr>
        <w:tab/>
      </w:r>
      <w:r w:rsidRPr="007114AF">
        <w:rPr>
          <w:rFonts w:ascii="Garamond" w:hAnsi="Garamond"/>
          <w:lang w:val="sq-AL"/>
        </w:rPr>
        <w:tab/>
        <w:t>Shoqata Evropiane e Tregtisë së Lirë</w:t>
      </w:r>
    </w:p>
    <w:p w14:paraId="6EDCF370" w14:textId="77777777" w:rsidR="00E24568" w:rsidRPr="007114AF" w:rsidRDefault="00E24568" w:rsidP="00FF37A6">
      <w:pPr>
        <w:pStyle w:val="NoSpacing"/>
        <w:rPr>
          <w:rFonts w:ascii="Garamond" w:hAnsi="Garamond"/>
          <w:lang w:val="sq-AL"/>
        </w:rPr>
      </w:pPr>
      <w:r w:rsidRPr="007114AF">
        <w:rPr>
          <w:rFonts w:ascii="Garamond" w:hAnsi="Garamond"/>
          <w:lang w:val="sq-AL"/>
        </w:rPr>
        <w:t>PEN</w:t>
      </w:r>
      <w:r w:rsidRPr="007114AF">
        <w:rPr>
          <w:rFonts w:ascii="Garamond" w:hAnsi="Garamond"/>
          <w:lang w:val="sq-AL"/>
        </w:rPr>
        <w:tab/>
      </w:r>
      <w:r w:rsidRPr="007114AF">
        <w:rPr>
          <w:rFonts w:ascii="Garamond" w:hAnsi="Garamond"/>
          <w:lang w:val="sq-AL"/>
        </w:rPr>
        <w:tab/>
        <w:t>Performanca e Energjisë në Ndërtesa</w:t>
      </w:r>
    </w:p>
    <w:p w14:paraId="6EDCF371" w14:textId="5D793FFE" w:rsidR="00E24568" w:rsidRPr="007114AF" w:rsidRDefault="00E24568" w:rsidP="00FF37A6">
      <w:pPr>
        <w:pStyle w:val="NoSpacing"/>
        <w:rPr>
          <w:rFonts w:ascii="Garamond" w:hAnsi="Garamond"/>
          <w:lang w:val="sq-AL"/>
        </w:rPr>
      </w:pPr>
      <w:r w:rsidRPr="007114AF">
        <w:rPr>
          <w:rFonts w:ascii="Garamond" w:hAnsi="Garamond"/>
          <w:lang w:val="sq-AL"/>
        </w:rPr>
        <w:t>CPE</w:t>
      </w:r>
      <w:r w:rsidRPr="007114AF">
        <w:rPr>
          <w:rFonts w:ascii="Garamond" w:hAnsi="Garamond"/>
          <w:lang w:val="sq-AL"/>
        </w:rPr>
        <w:tab/>
      </w:r>
      <w:r w:rsidR="00FF37A6" w:rsidRPr="007114AF">
        <w:rPr>
          <w:rFonts w:ascii="Garamond" w:hAnsi="Garamond"/>
          <w:lang w:val="sq-AL"/>
        </w:rPr>
        <w:tab/>
      </w:r>
      <w:r w:rsidRPr="007114AF">
        <w:rPr>
          <w:rFonts w:ascii="Garamond" w:hAnsi="Garamond"/>
          <w:lang w:val="sq-AL"/>
        </w:rPr>
        <w:t>Certifikatat e</w:t>
      </w:r>
      <w:r w:rsidR="003305AE" w:rsidRPr="007114AF">
        <w:rPr>
          <w:rFonts w:ascii="Garamond" w:hAnsi="Garamond"/>
          <w:lang w:val="sq-AL"/>
        </w:rPr>
        <w:t xml:space="preserve"> </w:t>
      </w:r>
      <w:r w:rsidRPr="007114AF">
        <w:rPr>
          <w:rFonts w:ascii="Garamond" w:hAnsi="Garamond"/>
          <w:lang w:val="sq-AL"/>
        </w:rPr>
        <w:t>Performancës së Energjisë</w:t>
      </w:r>
    </w:p>
    <w:p w14:paraId="6EDCF372" w14:textId="77777777" w:rsidR="00E24568" w:rsidRPr="007114AF" w:rsidRDefault="00E24568" w:rsidP="00FF37A6">
      <w:pPr>
        <w:pStyle w:val="NoSpacing"/>
        <w:rPr>
          <w:rFonts w:ascii="Garamond" w:hAnsi="Garamond"/>
          <w:lang w:val="sq-AL"/>
        </w:rPr>
      </w:pPr>
      <w:r w:rsidRPr="007114AF">
        <w:rPr>
          <w:rFonts w:ascii="Garamond" w:hAnsi="Garamond"/>
          <w:lang w:val="sq-AL"/>
        </w:rPr>
        <w:t>ERE</w:t>
      </w:r>
      <w:r w:rsidRPr="007114AF">
        <w:rPr>
          <w:rFonts w:ascii="Garamond" w:hAnsi="Garamond"/>
          <w:lang w:val="sq-AL"/>
        </w:rPr>
        <w:tab/>
      </w:r>
      <w:r w:rsidR="00FF37A6" w:rsidRPr="007114AF">
        <w:rPr>
          <w:rFonts w:ascii="Garamond" w:hAnsi="Garamond"/>
          <w:lang w:val="sq-AL"/>
        </w:rPr>
        <w:tab/>
      </w:r>
      <w:r w:rsidRPr="007114AF">
        <w:rPr>
          <w:rFonts w:ascii="Garamond" w:hAnsi="Garamond"/>
          <w:lang w:val="sq-AL"/>
        </w:rPr>
        <w:t>Enti Rregullator i Energjisë Elektrike</w:t>
      </w:r>
    </w:p>
    <w:p w14:paraId="6EDCF373" w14:textId="77777777" w:rsidR="00E24568" w:rsidRPr="007114AF" w:rsidRDefault="00E24568" w:rsidP="00FF37A6">
      <w:pPr>
        <w:pStyle w:val="NoSpacing"/>
        <w:rPr>
          <w:rFonts w:ascii="Garamond" w:hAnsi="Garamond"/>
          <w:lang w:val="sq-AL"/>
        </w:rPr>
      </w:pPr>
      <w:r w:rsidRPr="007114AF">
        <w:rPr>
          <w:rFonts w:ascii="Garamond" w:hAnsi="Garamond"/>
          <w:lang w:val="sq-AL"/>
        </w:rPr>
        <w:t>VPB</w:t>
      </w:r>
      <w:r w:rsidRPr="007114AF">
        <w:rPr>
          <w:rFonts w:ascii="Garamond" w:hAnsi="Garamond"/>
          <w:lang w:val="sq-AL"/>
        </w:rPr>
        <w:tab/>
      </w:r>
      <w:r w:rsidRPr="007114AF">
        <w:rPr>
          <w:rFonts w:ascii="Garamond" w:hAnsi="Garamond"/>
          <w:lang w:val="sq-AL"/>
        </w:rPr>
        <w:tab/>
        <w:t xml:space="preserve">Vendimi për Përpjekje të Përbashkëta </w:t>
      </w:r>
    </w:p>
    <w:p w14:paraId="6EDCF374" w14:textId="77777777" w:rsidR="00E24568" w:rsidRPr="007114AF" w:rsidRDefault="00E24568" w:rsidP="00FF37A6">
      <w:pPr>
        <w:pStyle w:val="NoSpacing"/>
        <w:rPr>
          <w:rFonts w:ascii="Garamond" w:hAnsi="Garamond"/>
          <w:lang w:val="sq-AL"/>
        </w:rPr>
      </w:pPr>
      <w:r w:rsidRPr="007114AF">
        <w:rPr>
          <w:rFonts w:ascii="Garamond" w:hAnsi="Garamond"/>
          <w:lang w:val="sq-AL"/>
        </w:rPr>
        <w:t>STSh</w:t>
      </w:r>
      <w:r w:rsidRPr="007114AF">
        <w:rPr>
          <w:rFonts w:ascii="Garamond" w:hAnsi="Garamond"/>
          <w:lang w:val="sq-AL"/>
        </w:rPr>
        <w:tab/>
      </w:r>
      <w:r w:rsidRPr="007114AF">
        <w:rPr>
          <w:rFonts w:ascii="Garamond" w:hAnsi="Garamond"/>
          <w:lang w:val="sq-AL"/>
        </w:rPr>
        <w:tab/>
        <w:t xml:space="preserve">Skema për Tregtinë e Shkarkimeve </w:t>
      </w:r>
    </w:p>
    <w:p w14:paraId="6EDCF375" w14:textId="77777777" w:rsidR="00E24568" w:rsidRPr="007114AF" w:rsidRDefault="00E24568" w:rsidP="00FF37A6">
      <w:pPr>
        <w:pStyle w:val="NoSpacing"/>
        <w:rPr>
          <w:rFonts w:ascii="Garamond" w:hAnsi="Garamond"/>
          <w:lang w:val="sq-AL"/>
        </w:rPr>
      </w:pPr>
      <w:r w:rsidRPr="007114AF">
        <w:rPr>
          <w:rFonts w:ascii="Garamond" w:hAnsi="Garamond"/>
          <w:lang w:val="sq-AL"/>
        </w:rPr>
        <w:t>BE</w:t>
      </w:r>
      <w:r w:rsidRPr="007114AF">
        <w:rPr>
          <w:rFonts w:ascii="Garamond" w:hAnsi="Garamond"/>
          <w:lang w:val="sq-AL"/>
        </w:rPr>
        <w:tab/>
      </w:r>
      <w:r w:rsidRPr="007114AF">
        <w:rPr>
          <w:rFonts w:ascii="Garamond" w:hAnsi="Garamond"/>
          <w:lang w:val="sq-AL"/>
        </w:rPr>
        <w:tab/>
        <w:t>Bashkimi Evropian</w:t>
      </w:r>
    </w:p>
    <w:p w14:paraId="6EDCF376" w14:textId="77777777" w:rsidR="00E24568" w:rsidRPr="007114AF" w:rsidRDefault="00E24568" w:rsidP="00FF37A6">
      <w:pPr>
        <w:pStyle w:val="NoSpacing"/>
        <w:rPr>
          <w:rFonts w:ascii="Garamond" w:hAnsi="Garamond"/>
          <w:lang w:val="sq-AL"/>
        </w:rPr>
      </w:pPr>
      <w:r w:rsidRPr="007114AF">
        <w:rPr>
          <w:rFonts w:ascii="Garamond" w:hAnsi="Garamond"/>
          <w:lang w:val="sq-AL"/>
        </w:rPr>
        <w:t>EUSAIR</w:t>
      </w:r>
      <w:r w:rsidRPr="007114AF">
        <w:rPr>
          <w:rFonts w:ascii="Garamond" w:hAnsi="Garamond"/>
          <w:lang w:val="sq-AL"/>
        </w:rPr>
        <w:tab/>
        <w:t xml:space="preserve">Strategjia Evropiane për rajonin e e bregdetit Adriatik dhe Jonian </w:t>
      </w:r>
    </w:p>
    <w:p w14:paraId="6EDCF377" w14:textId="77777777" w:rsidR="00E24568" w:rsidRPr="007114AF" w:rsidRDefault="00E24568" w:rsidP="00FF37A6">
      <w:pPr>
        <w:pStyle w:val="NoSpacing"/>
        <w:rPr>
          <w:rFonts w:ascii="Garamond" w:hAnsi="Garamond"/>
          <w:lang w:val="sq-AL"/>
        </w:rPr>
      </w:pPr>
      <w:r w:rsidRPr="007114AF">
        <w:rPr>
          <w:rFonts w:ascii="Garamond" w:hAnsi="Garamond"/>
          <w:lang w:val="sq-AL"/>
        </w:rPr>
        <w:t>KPK</w:t>
      </w:r>
      <w:r w:rsidRPr="007114AF">
        <w:rPr>
          <w:rFonts w:ascii="Garamond" w:hAnsi="Garamond"/>
          <w:lang w:val="sq-AL"/>
        </w:rPr>
        <w:tab/>
      </w:r>
      <w:r w:rsidRPr="007114AF">
        <w:rPr>
          <w:rFonts w:ascii="Garamond" w:hAnsi="Garamond"/>
          <w:lang w:val="sq-AL"/>
        </w:rPr>
        <w:tab/>
        <w:t xml:space="preserve">Komunikimi i Parë Kombëtar </w:t>
      </w:r>
    </w:p>
    <w:p w14:paraId="6EDCF378" w14:textId="77777777" w:rsidR="00E24568" w:rsidRPr="007114AF" w:rsidRDefault="00E24568" w:rsidP="00FF37A6">
      <w:pPr>
        <w:pStyle w:val="NoSpacing"/>
        <w:rPr>
          <w:rFonts w:ascii="Garamond" w:hAnsi="Garamond"/>
          <w:lang w:val="sq-AL"/>
        </w:rPr>
      </w:pPr>
      <w:r w:rsidRPr="007114AF">
        <w:rPr>
          <w:rFonts w:ascii="Garamond" w:hAnsi="Garamond"/>
          <w:lang w:val="sq-AL"/>
        </w:rPr>
        <w:t>DCLD</w:t>
      </w:r>
      <w:r w:rsidRPr="007114AF">
        <w:rPr>
          <w:rFonts w:ascii="Garamond" w:hAnsi="Garamond"/>
          <w:lang w:val="sq-AL"/>
        </w:rPr>
        <w:tab/>
      </w:r>
      <w:r w:rsidRPr="007114AF">
        <w:rPr>
          <w:rFonts w:ascii="Garamond" w:hAnsi="Garamond"/>
          <w:lang w:val="sq-AL"/>
        </w:rPr>
        <w:tab/>
        <w:t>Direktiva për Cilësinë e Lëndës Djegëse</w:t>
      </w:r>
    </w:p>
    <w:p w14:paraId="6EDCF379" w14:textId="77777777" w:rsidR="00E24568" w:rsidRPr="007114AF" w:rsidRDefault="00E24568" w:rsidP="00FF37A6">
      <w:pPr>
        <w:pStyle w:val="NoSpacing"/>
        <w:rPr>
          <w:rFonts w:ascii="Garamond" w:hAnsi="Garamond"/>
          <w:lang w:val="sq-AL"/>
        </w:rPr>
      </w:pPr>
      <w:r w:rsidRPr="007114AF">
        <w:rPr>
          <w:rFonts w:ascii="Garamond" w:hAnsi="Garamond"/>
          <w:lang w:val="sq-AL"/>
        </w:rPr>
        <w:t>GCF</w:t>
      </w:r>
      <w:r w:rsidRPr="007114AF">
        <w:rPr>
          <w:rFonts w:ascii="Garamond" w:hAnsi="Garamond"/>
          <w:lang w:val="sq-AL"/>
        </w:rPr>
        <w:tab/>
      </w:r>
      <w:r w:rsidRPr="007114AF">
        <w:rPr>
          <w:rFonts w:ascii="Garamond" w:hAnsi="Garamond"/>
          <w:lang w:val="sq-AL"/>
        </w:rPr>
        <w:tab/>
        <w:t>Fondi i Gjelbër për Klimën</w:t>
      </w:r>
    </w:p>
    <w:p w14:paraId="6EDCF37A" w14:textId="77777777" w:rsidR="00E24568" w:rsidRPr="007114AF" w:rsidRDefault="00E24568" w:rsidP="00FF37A6">
      <w:pPr>
        <w:pStyle w:val="NoSpacing"/>
        <w:rPr>
          <w:rFonts w:ascii="Garamond" w:hAnsi="Garamond"/>
          <w:lang w:val="sq-AL"/>
        </w:rPr>
      </w:pPr>
      <w:r w:rsidRPr="007114AF">
        <w:rPr>
          <w:rFonts w:ascii="Garamond" w:hAnsi="Garamond"/>
          <w:lang w:val="sq-AL"/>
        </w:rPr>
        <w:t xml:space="preserve">GDP </w:t>
      </w:r>
      <w:r w:rsidRPr="007114AF">
        <w:rPr>
          <w:rFonts w:ascii="Garamond" w:hAnsi="Garamond"/>
          <w:lang w:val="sq-AL"/>
        </w:rPr>
        <w:tab/>
      </w:r>
      <w:r w:rsidR="00FF37A6" w:rsidRPr="007114AF">
        <w:rPr>
          <w:rFonts w:ascii="Garamond" w:hAnsi="Garamond"/>
          <w:lang w:val="sq-AL"/>
        </w:rPr>
        <w:tab/>
      </w:r>
      <w:r w:rsidRPr="007114AF">
        <w:rPr>
          <w:rFonts w:ascii="Garamond" w:hAnsi="Garamond"/>
          <w:lang w:val="sq-AL"/>
        </w:rPr>
        <w:t>Prodhimi i Brendshëm Bruto</w:t>
      </w:r>
    </w:p>
    <w:p w14:paraId="6EDCF37B" w14:textId="77777777" w:rsidR="00E24568" w:rsidRPr="007114AF" w:rsidRDefault="00E24568" w:rsidP="00FF37A6">
      <w:pPr>
        <w:pStyle w:val="NoSpacing"/>
        <w:rPr>
          <w:rFonts w:ascii="Garamond" w:hAnsi="Garamond"/>
          <w:lang w:val="sq-AL"/>
        </w:rPr>
      </w:pPr>
      <w:r w:rsidRPr="007114AF">
        <w:rPr>
          <w:rFonts w:ascii="Garamond" w:hAnsi="Garamond"/>
          <w:lang w:val="sq-AL"/>
        </w:rPr>
        <w:t>GES</w:t>
      </w:r>
      <w:r w:rsidRPr="007114AF">
        <w:rPr>
          <w:rFonts w:ascii="Garamond" w:hAnsi="Garamond"/>
          <w:lang w:val="sq-AL"/>
        </w:rPr>
        <w:tab/>
      </w:r>
      <w:r w:rsidR="00FF37A6" w:rsidRPr="007114AF">
        <w:rPr>
          <w:rFonts w:ascii="Garamond" w:hAnsi="Garamond"/>
          <w:lang w:val="sq-AL"/>
        </w:rPr>
        <w:tab/>
      </w:r>
      <w:r w:rsidRPr="007114AF">
        <w:rPr>
          <w:rFonts w:ascii="Garamond" w:hAnsi="Garamond"/>
          <w:lang w:val="sq-AL"/>
        </w:rPr>
        <w:t>Gazet me Efekte Serrë</w:t>
      </w:r>
    </w:p>
    <w:p w14:paraId="6EDCF37C" w14:textId="77777777" w:rsidR="00E24568" w:rsidRPr="007114AF" w:rsidRDefault="00E24568" w:rsidP="00FF37A6">
      <w:pPr>
        <w:pStyle w:val="NoSpacing"/>
        <w:rPr>
          <w:rFonts w:ascii="Garamond" w:hAnsi="Garamond"/>
          <w:lang w:val="sq-AL"/>
        </w:rPr>
      </w:pPr>
      <w:r w:rsidRPr="007114AF">
        <w:rPr>
          <w:rFonts w:ascii="Garamond" w:hAnsi="Garamond"/>
          <w:lang w:val="sq-AL"/>
        </w:rPr>
        <w:t>GIZ</w:t>
      </w:r>
      <w:r w:rsidRPr="007114AF">
        <w:rPr>
          <w:rFonts w:ascii="Garamond" w:hAnsi="Garamond"/>
          <w:lang w:val="sq-AL"/>
        </w:rPr>
        <w:tab/>
      </w:r>
      <w:r w:rsidRPr="007114AF">
        <w:rPr>
          <w:rFonts w:ascii="Garamond" w:hAnsi="Garamond"/>
          <w:lang w:val="sq-AL"/>
        </w:rPr>
        <w:tab/>
        <w:t>Deutsche Gesellschaft für Internationale Zusammenarbeit</w:t>
      </w:r>
    </w:p>
    <w:p w14:paraId="6EDCF37D" w14:textId="77777777" w:rsidR="00E24568" w:rsidRPr="007114AF" w:rsidRDefault="00E24568" w:rsidP="00FF37A6">
      <w:pPr>
        <w:pStyle w:val="NoSpacing"/>
        <w:rPr>
          <w:rFonts w:ascii="Garamond" w:hAnsi="Garamond"/>
          <w:lang w:val="sq-AL"/>
        </w:rPr>
      </w:pPr>
      <w:r w:rsidRPr="007114AF">
        <w:rPr>
          <w:rFonts w:ascii="Garamond" w:hAnsi="Garamond"/>
          <w:lang w:val="sq-AL"/>
        </w:rPr>
        <w:t>PPK</w:t>
      </w:r>
      <w:r w:rsidRPr="007114AF">
        <w:rPr>
          <w:rFonts w:ascii="Garamond" w:hAnsi="Garamond"/>
          <w:lang w:val="sq-AL"/>
        </w:rPr>
        <w:tab/>
      </w:r>
      <w:r w:rsidRPr="007114AF">
        <w:rPr>
          <w:rFonts w:ascii="Garamond" w:hAnsi="Garamond"/>
          <w:lang w:val="sq-AL"/>
        </w:rPr>
        <w:tab/>
        <w:t>Plani i Përgjithshëm Kombëtar</w:t>
      </w:r>
    </w:p>
    <w:p w14:paraId="6EDCF37E" w14:textId="77777777" w:rsidR="00E24568" w:rsidRPr="007114AF" w:rsidRDefault="00E24568" w:rsidP="00FF37A6">
      <w:pPr>
        <w:pStyle w:val="NoSpacing"/>
        <w:rPr>
          <w:rFonts w:ascii="Garamond" w:hAnsi="Garamond"/>
          <w:lang w:val="sq-AL"/>
        </w:rPr>
      </w:pPr>
      <w:r w:rsidRPr="007114AF">
        <w:rPr>
          <w:rFonts w:ascii="Garamond" w:hAnsi="Garamond"/>
          <w:lang w:val="sq-AL"/>
        </w:rPr>
        <w:t>QSH</w:t>
      </w:r>
      <w:r w:rsidRPr="007114AF">
        <w:rPr>
          <w:rFonts w:ascii="Garamond" w:hAnsi="Garamond"/>
          <w:lang w:val="sq-AL"/>
        </w:rPr>
        <w:tab/>
      </w:r>
      <w:r w:rsidRPr="007114AF">
        <w:rPr>
          <w:rFonts w:ascii="Garamond" w:hAnsi="Garamond"/>
          <w:lang w:val="sq-AL"/>
        </w:rPr>
        <w:tab/>
        <w:t xml:space="preserve">Qeveria e Shqipërisë </w:t>
      </w:r>
    </w:p>
    <w:p w14:paraId="6EDCF37F" w14:textId="0F98C852" w:rsidR="00E24568" w:rsidRPr="007114AF" w:rsidRDefault="00E24568" w:rsidP="00FF37A6">
      <w:pPr>
        <w:pStyle w:val="NoSpacing"/>
        <w:rPr>
          <w:rFonts w:ascii="Garamond" w:hAnsi="Garamond"/>
          <w:lang w:val="sq-AL"/>
        </w:rPr>
      </w:pPr>
      <w:r w:rsidRPr="007114AF">
        <w:rPr>
          <w:rFonts w:ascii="Garamond" w:hAnsi="Garamond"/>
          <w:lang w:val="sq-AL"/>
        </w:rPr>
        <w:t>RREH</w:t>
      </w:r>
      <w:r w:rsidRPr="007114AF">
        <w:rPr>
          <w:rFonts w:ascii="Garamond" w:hAnsi="Garamond"/>
          <w:lang w:val="sq-AL"/>
        </w:rPr>
        <w:tab/>
      </w:r>
      <w:r w:rsidRPr="007114AF">
        <w:rPr>
          <w:rFonts w:ascii="Garamond" w:hAnsi="Garamond"/>
          <w:lang w:val="sq-AL"/>
        </w:rPr>
        <w:tab/>
        <w:t>Mjeti</w:t>
      </w:r>
      <w:r w:rsidR="003305AE" w:rsidRPr="007114AF">
        <w:rPr>
          <w:rFonts w:ascii="Garamond" w:hAnsi="Garamond"/>
          <w:lang w:val="sq-AL"/>
        </w:rPr>
        <w:t xml:space="preserve"> </w:t>
      </w:r>
      <w:r w:rsidRPr="007114AF">
        <w:rPr>
          <w:rFonts w:ascii="Garamond" w:hAnsi="Garamond"/>
          <w:lang w:val="sq-AL"/>
        </w:rPr>
        <w:t xml:space="preserve">Elektrik Hibrid </w:t>
      </w:r>
    </w:p>
    <w:p w14:paraId="6EDCF380" w14:textId="77777777" w:rsidR="00E24568" w:rsidRPr="007114AF" w:rsidRDefault="00E24568" w:rsidP="00FF37A6">
      <w:pPr>
        <w:pStyle w:val="NoSpacing"/>
        <w:rPr>
          <w:rFonts w:ascii="Garamond" w:hAnsi="Garamond"/>
          <w:lang w:val="sq-AL"/>
        </w:rPr>
      </w:pPr>
      <w:r w:rsidRPr="007114AF">
        <w:rPr>
          <w:rFonts w:ascii="Garamond" w:hAnsi="Garamond"/>
          <w:lang w:val="sq-AL"/>
        </w:rPr>
        <w:t xml:space="preserve">IEA </w:t>
      </w:r>
      <w:r w:rsidRPr="007114AF">
        <w:rPr>
          <w:rFonts w:ascii="Garamond" w:hAnsi="Garamond"/>
          <w:lang w:val="sq-AL"/>
        </w:rPr>
        <w:tab/>
      </w:r>
      <w:r w:rsidR="00FF37A6" w:rsidRPr="007114AF">
        <w:rPr>
          <w:rFonts w:ascii="Garamond" w:hAnsi="Garamond"/>
          <w:lang w:val="sq-AL"/>
        </w:rPr>
        <w:tab/>
      </w:r>
      <w:r w:rsidRPr="007114AF">
        <w:rPr>
          <w:rFonts w:ascii="Garamond" w:hAnsi="Garamond"/>
          <w:lang w:val="sq-AL"/>
        </w:rPr>
        <w:t>Agjencia Ndërkombëtare e Energjisë</w:t>
      </w:r>
    </w:p>
    <w:p w14:paraId="6EDCF381" w14:textId="77777777" w:rsidR="00E24568" w:rsidRPr="007114AF" w:rsidRDefault="00E24568" w:rsidP="00FF37A6">
      <w:pPr>
        <w:pStyle w:val="NoSpacing"/>
        <w:rPr>
          <w:rFonts w:ascii="Garamond" w:hAnsi="Garamond"/>
          <w:lang w:val="sq-AL"/>
        </w:rPr>
      </w:pPr>
      <w:r w:rsidRPr="007114AF">
        <w:rPr>
          <w:rFonts w:ascii="Garamond" w:hAnsi="Garamond"/>
          <w:lang w:val="sq-AL"/>
        </w:rPr>
        <w:t>IMO</w:t>
      </w:r>
      <w:r w:rsidRPr="007114AF">
        <w:rPr>
          <w:rFonts w:ascii="Garamond" w:hAnsi="Garamond"/>
          <w:lang w:val="sq-AL"/>
        </w:rPr>
        <w:tab/>
      </w:r>
      <w:r w:rsidR="00FF37A6" w:rsidRPr="007114AF">
        <w:rPr>
          <w:rFonts w:ascii="Garamond" w:hAnsi="Garamond"/>
          <w:lang w:val="sq-AL"/>
        </w:rPr>
        <w:tab/>
      </w:r>
      <w:r w:rsidRPr="007114AF">
        <w:rPr>
          <w:rFonts w:ascii="Garamond" w:hAnsi="Garamond"/>
          <w:lang w:val="sq-AL"/>
        </w:rPr>
        <w:t>Organizata Ndërkombëtare Detare</w:t>
      </w:r>
    </w:p>
    <w:p w14:paraId="6EDCF382" w14:textId="77777777" w:rsidR="00E24568" w:rsidRPr="007114AF" w:rsidRDefault="00E24568" w:rsidP="00FF37A6">
      <w:pPr>
        <w:pStyle w:val="NoSpacing"/>
        <w:rPr>
          <w:rFonts w:ascii="Garamond" w:hAnsi="Garamond"/>
          <w:lang w:val="sq-AL"/>
        </w:rPr>
      </w:pPr>
      <w:r w:rsidRPr="007114AF">
        <w:rPr>
          <w:rFonts w:ascii="Garamond" w:hAnsi="Garamond"/>
          <w:lang w:val="sq-AL"/>
        </w:rPr>
        <w:t>IWG</w:t>
      </w:r>
      <w:r w:rsidRPr="007114AF">
        <w:rPr>
          <w:rFonts w:ascii="Garamond" w:hAnsi="Garamond"/>
          <w:lang w:val="sq-AL"/>
        </w:rPr>
        <w:tab/>
      </w:r>
      <w:r w:rsidR="00FF37A6" w:rsidRPr="007114AF">
        <w:rPr>
          <w:rFonts w:ascii="Garamond" w:hAnsi="Garamond"/>
          <w:lang w:val="sq-AL"/>
        </w:rPr>
        <w:tab/>
      </w:r>
      <w:r w:rsidRPr="007114AF">
        <w:rPr>
          <w:rFonts w:ascii="Garamond" w:hAnsi="Garamond"/>
          <w:lang w:val="sq-AL"/>
        </w:rPr>
        <w:t>Grupi Ndërministror i Punës (për Ndryshimet Klimatike)</w:t>
      </w:r>
    </w:p>
    <w:p w14:paraId="6EDCF383" w14:textId="77777777" w:rsidR="00E24568" w:rsidRPr="007114AF" w:rsidRDefault="00E24568" w:rsidP="00FF37A6">
      <w:pPr>
        <w:pStyle w:val="NoSpacing"/>
        <w:rPr>
          <w:rFonts w:ascii="Garamond" w:hAnsi="Garamond"/>
          <w:lang w:val="sq-AL"/>
        </w:rPr>
      </w:pPr>
      <w:r w:rsidRPr="007114AF">
        <w:rPr>
          <w:rFonts w:ascii="Garamond" w:hAnsi="Garamond"/>
          <w:lang w:val="sq-AL"/>
        </w:rPr>
        <w:t>INDC</w:t>
      </w:r>
      <w:r w:rsidRPr="007114AF">
        <w:rPr>
          <w:rFonts w:ascii="Garamond" w:hAnsi="Garamond"/>
          <w:lang w:val="sq-AL"/>
        </w:rPr>
        <w:tab/>
      </w:r>
      <w:r w:rsidR="00FF37A6" w:rsidRPr="007114AF">
        <w:rPr>
          <w:rFonts w:ascii="Garamond" w:hAnsi="Garamond"/>
          <w:lang w:val="sq-AL"/>
        </w:rPr>
        <w:tab/>
      </w:r>
      <w:r w:rsidRPr="007114AF">
        <w:rPr>
          <w:rFonts w:ascii="Garamond" w:hAnsi="Garamond"/>
          <w:lang w:val="sq-AL"/>
        </w:rPr>
        <w:t>Kontributi i Kombëtar i Pikësynuar</w:t>
      </w:r>
    </w:p>
    <w:p w14:paraId="6EDCF384" w14:textId="77777777" w:rsidR="00E24568" w:rsidRPr="007114AF" w:rsidRDefault="00E24568" w:rsidP="00FF37A6">
      <w:pPr>
        <w:pStyle w:val="NoSpacing"/>
        <w:rPr>
          <w:rFonts w:ascii="Garamond" w:hAnsi="Garamond"/>
          <w:lang w:val="sq-AL"/>
        </w:rPr>
      </w:pPr>
      <w:r w:rsidRPr="007114AF">
        <w:rPr>
          <w:rFonts w:ascii="Garamond" w:hAnsi="Garamond"/>
          <w:lang w:val="sq-AL"/>
        </w:rPr>
        <w:t>INSTAT</w:t>
      </w:r>
      <w:r w:rsidRPr="007114AF">
        <w:rPr>
          <w:rFonts w:ascii="Garamond" w:hAnsi="Garamond"/>
          <w:lang w:val="sq-AL"/>
        </w:rPr>
        <w:tab/>
        <w:t>Instituti Shqiptar i Statistikave</w:t>
      </w:r>
    </w:p>
    <w:p w14:paraId="6EDCF385" w14:textId="052C48DD" w:rsidR="00E24568" w:rsidRPr="007114AF" w:rsidRDefault="00E24568" w:rsidP="00FF37A6">
      <w:pPr>
        <w:pStyle w:val="NoSpacing"/>
        <w:rPr>
          <w:rFonts w:ascii="Garamond" w:hAnsi="Garamond"/>
          <w:lang w:val="sq-AL"/>
        </w:rPr>
      </w:pPr>
      <w:r w:rsidRPr="007114AF">
        <w:rPr>
          <w:rFonts w:ascii="Garamond" w:hAnsi="Garamond"/>
          <w:lang w:val="sq-AL"/>
        </w:rPr>
        <w:t xml:space="preserve">IPA </w:t>
      </w:r>
      <w:r w:rsidRPr="007114AF">
        <w:rPr>
          <w:rFonts w:ascii="Garamond" w:hAnsi="Garamond"/>
          <w:lang w:val="sq-AL"/>
        </w:rPr>
        <w:tab/>
      </w:r>
      <w:r w:rsidRPr="007114AF">
        <w:rPr>
          <w:rFonts w:ascii="Garamond" w:hAnsi="Garamond"/>
          <w:lang w:val="sq-AL"/>
        </w:rPr>
        <w:tab/>
        <w:t xml:space="preserve">Instrumenti për </w:t>
      </w:r>
      <w:r w:rsidR="008F0E2C" w:rsidRPr="007114AF">
        <w:rPr>
          <w:rFonts w:ascii="Garamond" w:hAnsi="Garamond"/>
          <w:lang w:val="sq-AL"/>
        </w:rPr>
        <w:t>Asistencën Paraanëtarësim</w:t>
      </w:r>
      <w:r w:rsidRPr="007114AF">
        <w:rPr>
          <w:rFonts w:ascii="Garamond" w:hAnsi="Garamond"/>
          <w:lang w:val="sq-AL"/>
        </w:rPr>
        <w:t xml:space="preserve"> </w:t>
      </w:r>
    </w:p>
    <w:p w14:paraId="6EDCF386" w14:textId="3F41FD46" w:rsidR="00E24568" w:rsidRPr="007114AF" w:rsidRDefault="00E24568" w:rsidP="00FF37A6">
      <w:pPr>
        <w:pStyle w:val="NoSpacing"/>
        <w:rPr>
          <w:rFonts w:ascii="Garamond" w:hAnsi="Garamond"/>
          <w:lang w:val="sq-AL"/>
        </w:rPr>
      </w:pPr>
      <w:r w:rsidRPr="007114AF">
        <w:rPr>
          <w:rFonts w:ascii="Garamond" w:hAnsi="Garamond"/>
          <w:lang w:val="sq-AL"/>
        </w:rPr>
        <w:t xml:space="preserve">IPARD </w:t>
      </w:r>
      <w:r w:rsidRPr="007114AF">
        <w:rPr>
          <w:rFonts w:ascii="Garamond" w:hAnsi="Garamond"/>
          <w:lang w:val="sq-AL"/>
        </w:rPr>
        <w:tab/>
        <w:t>Programi i Zhvillimit Rural 2014</w:t>
      </w:r>
      <w:r w:rsidR="00046AD6" w:rsidRPr="007114AF">
        <w:rPr>
          <w:rFonts w:ascii="Garamond" w:hAnsi="Garamond"/>
          <w:lang w:val="sq-AL"/>
        </w:rPr>
        <w:t>–</w:t>
      </w:r>
      <w:r w:rsidRPr="007114AF">
        <w:rPr>
          <w:rFonts w:ascii="Garamond" w:hAnsi="Garamond"/>
          <w:lang w:val="sq-AL"/>
        </w:rPr>
        <w:t xml:space="preserve">2020 në kuadrin e Instrumentit për </w:t>
      </w:r>
      <w:r w:rsidR="008F0E2C" w:rsidRPr="007114AF">
        <w:rPr>
          <w:rFonts w:ascii="Garamond" w:hAnsi="Garamond"/>
          <w:lang w:val="sq-AL"/>
        </w:rPr>
        <w:t>Asistencë Paraanëtarësim</w:t>
      </w:r>
      <w:r w:rsidRPr="007114AF">
        <w:rPr>
          <w:rFonts w:ascii="Garamond" w:hAnsi="Garamond"/>
          <w:lang w:val="sq-AL"/>
        </w:rPr>
        <w:t xml:space="preserve">it </w:t>
      </w:r>
    </w:p>
    <w:p w14:paraId="6EDCF387" w14:textId="77777777" w:rsidR="00E24568" w:rsidRPr="007114AF" w:rsidRDefault="00E24568" w:rsidP="00FF37A6">
      <w:pPr>
        <w:pStyle w:val="NoSpacing"/>
        <w:rPr>
          <w:rFonts w:ascii="Garamond" w:hAnsi="Garamond"/>
          <w:lang w:val="sq-AL"/>
        </w:rPr>
      </w:pPr>
      <w:r w:rsidRPr="007114AF">
        <w:rPr>
          <w:rFonts w:ascii="Garamond" w:hAnsi="Garamond"/>
          <w:lang w:val="sq-AL"/>
        </w:rPr>
        <w:t>IPCC</w:t>
      </w:r>
      <w:r w:rsidRPr="007114AF">
        <w:rPr>
          <w:rFonts w:ascii="Garamond" w:hAnsi="Garamond"/>
          <w:lang w:val="sq-AL"/>
        </w:rPr>
        <w:tab/>
      </w:r>
      <w:r w:rsidR="00B74FC4" w:rsidRPr="007114AF">
        <w:rPr>
          <w:rFonts w:ascii="Garamond" w:hAnsi="Garamond"/>
          <w:lang w:val="sq-AL"/>
        </w:rPr>
        <w:tab/>
      </w:r>
      <w:r w:rsidRPr="007114AF">
        <w:rPr>
          <w:rFonts w:ascii="Garamond" w:hAnsi="Garamond"/>
          <w:lang w:val="sq-AL"/>
        </w:rPr>
        <w:t>Panel Ndërkombëtar për Ndryshimet Klimatike</w:t>
      </w:r>
    </w:p>
    <w:p w14:paraId="6EDCF388" w14:textId="77777777" w:rsidR="00E24568" w:rsidRPr="007114AF" w:rsidRDefault="00E24568" w:rsidP="00FF37A6">
      <w:pPr>
        <w:pStyle w:val="NoSpacing"/>
        <w:rPr>
          <w:rFonts w:ascii="Garamond" w:hAnsi="Garamond"/>
          <w:lang w:val="sq-AL"/>
        </w:rPr>
      </w:pPr>
      <w:r w:rsidRPr="007114AF">
        <w:rPr>
          <w:rFonts w:ascii="Garamond" w:hAnsi="Garamond"/>
          <w:lang w:val="sq-AL"/>
        </w:rPr>
        <w:t>IPMG</w:t>
      </w:r>
      <w:r w:rsidRPr="007114AF">
        <w:rPr>
          <w:rFonts w:ascii="Garamond" w:hAnsi="Garamond"/>
          <w:lang w:val="sq-AL"/>
        </w:rPr>
        <w:tab/>
      </w:r>
      <w:r w:rsidRPr="007114AF">
        <w:rPr>
          <w:rFonts w:ascii="Garamond" w:hAnsi="Garamond"/>
          <w:lang w:val="sq-AL"/>
        </w:rPr>
        <w:tab/>
        <w:t xml:space="preserve">Grupet e menaxhimit të integruara të politikave </w:t>
      </w:r>
    </w:p>
    <w:p w14:paraId="6EDCF389" w14:textId="77777777" w:rsidR="00E24568" w:rsidRPr="007114AF" w:rsidRDefault="00E24568" w:rsidP="00FF37A6">
      <w:pPr>
        <w:pStyle w:val="NoSpacing"/>
        <w:rPr>
          <w:rFonts w:ascii="Garamond" w:hAnsi="Garamond"/>
          <w:lang w:val="sq-AL"/>
        </w:rPr>
      </w:pPr>
      <w:r w:rsidRPr="007114AF">
        <w:rPr>
          <w:rFonts w:ascii="Garamond" w:hAnsi="Garamond"/>
          <w:lang w:val="sq-AL"/>
        </w:rPr>
        <w:t>IPS</w:t>
      </w:r>
      <w:r w:rsidRPr="007114AF">
        <w:rPr>
          <w:rFonts w:ascii="Garamond" w:hAnsi="Garamond"/>
          <w:lang w:val="sq-AL"/>
        </w:rPr>
        <w:tab/>
      </w:r>
      <w:r w:rsidRPr="007114AF">
        <w:rPr>
          <w:rFonts w:ascii="Garamond" w:hAnsi="Garamond"/>
          <w:lang w:val="sq-AL"/>
        </w:rPr>
        <w:tab/>
        <w:t xml:space="preserve">Sistemi i Integruar i Planifikimit </w:t>
      </w:r>
    </w:p>
    <w:p w14:paraId="6EDCF38A" w14:textId="77777777" w:rsidR="00E24568" w:rsidRPr="007114AF" w:rsidRDefault="00E24568" w:rsidP="00FF37A6">
      <w:pPr>
        <w:pStyle w:val="NoSpacing"/>
        <w:rPr>
          <w:rFonts w:ascii="Garamond" w:hAnsi="Garamond"/>
          <w:lang w:val="sq-AL"/>
        </w:rPr>
      </w:pPr>
      <w:r w:rsidRPr="007114AF">
        <w:rPr>
          <w:rFonts w:ascii="Garamond" w:hAnsi="Garamond"/>
          <w:lang w:val="sq-AL"/>
        </w:rPr>
        <w:t>SNBZHR</w:t>
      </w:r>
      <w:r w:rsidRPr="007114AF">
        <w:rPr>
          <w:rFonts w:ascii="Garamond" w:hAnsi="Garamond"/>
          <w:lang w:val="sq-AL"/>
        </w:rPr>
        <w:tab/>
        <w:t xml:space="preserve">Strategjia Ndërsektoriale për Bujqësinë dhe Zhvillimin Rural </w:t>
      </w:r>
    </w:p>
    <w:p w14:paraId="6EDCF38B" w14:textId="77777777" w:rsidR="00E24568" w:rsidRPr="007114AF" w:rsidRDefault="00E24568" w:rsidP="00FF37A6">
      <w:pPr>
        <w:pStyle w:val="NoSpacing"/>
        <w:rPr>
          <w:rFonts w:ascii="Garamond" w:hAnsi="Garamond"/>
          <w:lang w:val="sq-AL"/>
        </w:rPr>
      </w:pPr>
      <w:r w:rsidRPr="007114AF">
        <w:rPr>
          <w:rFonts w:ascii="Garamond" w:hAnsi="Garamond"/>
          <w:lang w:val="sq-AL"/>
        </w:rPr>
        <w:t>IUCN</w:t>
      </w:r>
      <w:r w:rsidRPr="007114AF">
        <w:rPr>
          <w:rFonts w:ascii="Garamond" w:hAnsi="Garamond"/>
          <w:lang w:val="sq-AL"/>
        </w:rPr>
        <w:tab/>
      </w:r>
      <w:r w:rsidR="00B74FC4" w:rsidRPr="007114AF">
        <w:rPr>
          <w:rFonts w:ascii="Garamond" w:hAnsi="Garamond"/>
          <w:lang w:val="sq-AL"/>
        </w:rPr>
        <w:tab/>
      </w:r>
      <w:r w:rsidRPr="007114AF">
        <w:rPr>
          <w:rFonts w:ascii="Garamond" w:hAnsi="Garamond"/>
          <w:lang w:val="sq-AL"/>
        </w:rPr>
        <w:t>Bashkimi Ndërkombëtar për Konservimin e Natyrës</w:t>
      </w:r>
    </w:p>
    <w:p w14:paraId="6EDCF38C" w14:textId="77777777" w:rsidR="00E24568" w:rsidRPr="007114AF" w:rsidRDefault="00E24568" w:rsidP="00FF37A6">
      <w:pPr>
        <w:pStyle w:val="NoSpacing"/>
        <w:rPr>
          <w:rFonts w:ascii="Garamond" w:hAnsi="Garamond"/>
          <w:lang w:val="sq-AL"/>
        </w:rPr>
      </w:pPr>
      <w:r w:rsidRPr="007114AF">
        <w:rPr>
          <w:rFonts w:ascii="Garamond" w:hAnsi="Garamond"/>
          <w:lang w:val="sq-AL"/>
        </w:rPr>
        <w:t xml:space="preserve">KP </w:t>
      </w:r>
      <w:r w:rsidRPr="007114AF">
        <w:rPr>
          <w:rFonts w:ascii="Garamond" w:hAnsi="Garamond"/>
          <w:lang w:val="sq-AL"/>
        </w:rPr>
        <w:tab/>
      </w:r>
      <w:r w:rsidR="00B74FC4" w:rsidRPr="007114AF">
        <w:rPr>
          <w:rFonts w:ascii="Garamond" w:hAnsi="Garamond"/>
          <w:lang w:val="sq-AL"/>
        </w:rPr>
        <w:tab/>
      </w:r>
      <w:r w:rsidRPr="007114AF">
        <w:rPr>
          <w:rFonts w:ascii="Garamond" w:hAnsi="Garamond"/>
          <w:lang w:val="sq-AL"/>
        </w:rPr>
        <w:t>Protokolli i Kiotos</w:t>
      </w:r>
    </w:p>
    <w:p w14:paraId="6EDCF38D" w14:textId="5C9D6D7F" w:rsidR="00E24568" w:rsidRPr="007114AF" w:rsidRDefault="00E24568" w:rsidP="00FF37A6">
      <w:pPr>
        <w:pStyle w:val="NoSpacing"/>
        <w:rPr>
          <w:rFonts w:ascii="Garamond" w:hAnsi="Garamond"/>
          <w:lang w:val="sq-AL"/>
        </w:rPr>
      </w:pPr>
      <w:r w:rsidRPr="007114AF">
        <w:rPr>
          <w:rFonts w:ascii="Garamond" w:hAnsi="Garamond"/>
          <w:lang w:val="sq-AL"/>
        </w:rPr>
        <w:t>NjQV</w:t>
      </w:r>
      <w:r w:rsidRPr="007114AF">
        <w:rPr>
          <w:rFonts w:ascii="Garamond" w:hAnsi="Garamond"/>
          <w:lang w:val="sq-AL"/>
        </w:rPr>
        <w:tab/>
      </w:r>
      <w:r w:rsidR="00B74FC4" w:rsidRPr="007114AF">
        <w:rPr>
          <w:rFonts w:ascii="Garamond" w:hAnsi="Garamond"/>
          <w:lang w:val="sq-AL"/>
        </w:rPr>
        <w:tab/>
      </w:r>
      <w:r w:rsidRPr="007114AF">
        <w:rPr>
          <w:rFonts w:ascii="Garamond" w:hAnsi="Garamond"/>
          <w:lang w:val="sq-AL"/>
        </w:rPr>
        <w:t>Njësitë e Vet</w:t>
      </w:r>
      <w:r w:rsidR="00046AD6" w:rsidRPr="007114AF">
        <w:rPr>
          <w:rFonts w:ascii="Garamond" w:hAnsi="Garamond"/>
          <w:lang w:val="sq-AL"/>
        </w:rPr>
        <w:t>ë</w:t>
      </w:r>
      <w:r w:rsidRPr="007114AF">
        <w:rPr>
          <w:rFonts w:ascii="Garamond" w:hAnsi="Garamond"/>
          <w:lang w:val="sq-AL"/>
        </w:rPr>
        <w:t>qeverisjes Vendore</w:t>
      </w:r>
    </w:p>
    <w:p w14:paraId="6EDCF38E" w14:textId="77777777" w:rsidR="00E24568" w:rsidRPr="007114AF" w:rsidRDefault="00E24568" w:rsidP="00FF37A6">
      <w:pPr>
        <w:pStyle w:val="NoSpacing"/>
        <w:rPr>
          <w:rFonts w:ascii="Garamond" w:hAnsi="Garamond"/>
          <w:lang w:val="sq-AL"/>
        </w:rPr>
      </w:pPr>
      <w:r w:rsidRPr="007114AF">
        <w:rPr>
          <w:rFonts w:ascii="Garamond" w:hAnsi="Garamond"/>
          <w:lang w:val="sq-AL"/>
        </w:rPr>
        <w:t>GNL</w:t>
      </w:r>
      <w:r w:rsidRPr="007114AF">
        <w:rPr>
          <w:rFonts w:ascii="Garamond" w:hAnsi="Garamond"/>
          <w:lang w:val="sq-AL"/>
        </w:rPr>
        <w:tab/>
      </w:r>
      <w:r w:rsidR="00B74FC4" w:rsidRPr="007114AF">
        <w:rPr>
          <w:rFonts w:ascii="Garamond" w:hAnsi="Garamond"/>
          <w:lang w:val="sq-AL"/>
        </w:rPr>
        <w:tab/>
      </w:r>
      <w:r w:rsidRPr="007114AF">
        <w:rPr>
          <w:rFonts w:ascii="Garamond" w:hAnsi="Garamond"/>
          <w:lang w:val="sq-AL"/>
        </w:rPr>
        <w:t>Gaz Nafte i Lëngshëm</w:t>
      </w:r>
    </w:p>
    <w:p w14:paraId="6EDCF38F" w14:textId="77777777" w:rsidR="00E24568" w:rsidRPr="007114AF" w:rsidRDefault="00E24568" w:rsidP="00FF37A6">
      <w:pPr>
        <w:pStyle w:val="NoSpacing"/>
        <w:rPr>
          <w:rFonts w:ascii="Garamond" w:hAnsi="Garamond"/>
          <w:lang w:val="sq-AL"/>
        </w:rPr>
      </w:pPr>
      <w:r w:rsidRPr="007114AF">
        <w:rPr>
          <w:rFonts w:ascii="Garamond" w:hAnsi="Garamond"/>
          <w:lang w:val="sq-AL"/>
        </w:rPr>
        <w:t>LUCF</w:t>
      </w:r>
      <w:r w:rsidRPr="007114AF">
        <w:rPr>
          <w:rFonts w:ascii="Garamond" w:hAnsi="Garamond"/>
          <w:lang w:val="sq-AL"/>
        </w:rPr>
        <w:tab/>
      </w:r>
      <w:r w:rsidRPr="007114AF">
        <w:rPr>
          <w:rFonts w:ascii="Garamond" w:hAnsi="Garamond"/>
          <w:lang w:val="sq-AL"/>
        </w:rPr>
        <w:tab/>
        <w:t>Ndryshimi në Përdorimin e Tokës dhe Pylltaria</w:t>
      </w:r>
    </w:p>
    <w:p w14:paraId="6EDCF390" w14:textId="77777777" w:rsidR="00E24568" w:rsidRPr="007114AF" w:rsidRDefault="00E24568" w:rsidP="00FF37A6">
      <w:pPr>
        <w:pStyle w:val="NoSpacing"/>
        <w:rPr>
          <w:rFonts w:ascii="Garamond" w:hAnsi="Garamond"/>
          <w:lang w:val="sq-AL"/>
        </w:rPr>
      </w:pPr>
      <w:r w:rsidRPr="007114AF">
        <w:rPr>
          <w:rFonts w:ascii="Garamond" w:hAnsi="Garamond"/>
          <w:lang w:val="sq-AL"/>
        </w:rPr>
        <w:t>LULUCF</w:t>
      </w:r>
      <w:r w:rsidRPr="007114AF">
        <w:rPr>
          <w:rFonts w:ascii="Garamond" w:hAnsi="Garamond"/>
          <w:lang w:val="sq-AL"/>
        </w:rPr>
        <w:tab/>
      </w:r>
      <w:r w:rsidRPr="007114AF">
        <w:rPr>
          <w:rFonts w:ascii="Garamond" w:hAnsi="Garamond"/>
          <w:lang w:val="sq-AL"/>
        </w:rPr>
        <w:tab/>
        <w:t xml:space="preserve">Përdorimi i Tokës, Ndryshimi i Përdorimit të Tokës dhe Pylltaria </w:t>
      </w:r>
    </w:p>
    <w:p w14:paraId="6EDCF391" w14:textId="77777777" w:rsidR="00E24568" w:rsidRPr="007114AF" w:rsidRDefault="00E24568" w:rsidP="00FF37A6">
      <w:pPr>
        <w:pStyle w:val="NoSpacing"/>
        <w:rPr>
          <w:rFonts w:ascii="Garamond" w:hAnsi="Garamond"/>
          <w:lang w:val="sq-AL"/>
        </w:rPr>
      </w:pPr>
      <w:r w:rsidRPr="007114AF">
        <w:rPr>
          <w:rFonts w:ascii="Garamond" w:hAnsi="Garamond"/>
          <w:lang w:val="sq-AL"/>
        </w:rPr>
        <w:t>MACC</w:t>
      </w:r>
      <w:r w:rsidRPr="007114AF">
        <w:rPr>
          <w:rFonts w:ascii="Garamond" w:hAnsi="Garamond"/>
          <w:lang w:val="sq-AL"/>
        </w:rPr>
        <w:tab/>
      </w:r>
      <w:r w:rsidRPr="007114AF">
        <w:rPr>
          <w:rFonts w:ascii="Garamond" w:hAnsi="Garamond"/>
          <w:lang w:val="sq-AL"/>
        </w:rPr>
        <w:tab/>
        <w:t>Kurba Margjinale e Uljes së Kostos</w:t>
      </w:r>
    </w:p>
    <w:p w14:paraId="6EDCF392" w14:textId="77777777" w:rsidR="00E24568" w:rsidRPr="007114AF" w:rsidRDefault="00E24568" w:rsidP="00FF37A6">
      <w:pPr>
        <w:pStyle w:val="NoSpacing"/>
        <w:rPr>
          <w:rFonts w:ascii="Garamond" w:hAnsi="Garamond"/>
          <w:lang w:val="sq-AL"/>
        </w:rPr>
      </w:pPr>
      <w:r w:rsidRPr="007114AF">
        <w:rPr>
          <w:rFonts w:ascii="Garamond" w:hAnsi="Garamond"/>
          <w:lang w:val="sq-AL"/>
        </w:rPr>
        <w:t>MBZHR</w:t>
      </w:r>
      <w:r w:rsidRPr="007114AF">
        <w:rPr>
          <w:rFonts w:ascii="Garamond" w:hAnsi="Garamond"/>
          <w:lang w:val="sq-AL"/>
        </w:rPr>
        <w:tab/>
        <w:t>Ministria e Bujqësisë, Zhvillimit Rural</w:t>
      </w:r>
    </w:p>
    <w:p w14:paraId="6EDCF393" w14:textId="77777777" w:rsidR="00E24568" w:rsidRPr="007114AF" w:rsidRDefault="00E24568" w:rsidP="00FF37A6">
      <w:pPr>
        <w:pStyle w:val="NoSpacing"/>
        <w:rPr>
          <w:rFonts w:ascii="Garamond" w:hAnsi="Garamond"/>
          <w:lang w:val="sq-AL"/>
        </w:rPr>
      </w:pPr>
      <w:r w:rsidRPr="007114AF">
        <w:rPr>
          <w:rFonts w:ascii="Garamond" w:hAnsi="Garamond"/>
          <w:lang w:val="sq-AL"/>
        </w:rPr>
        <w:t>MIE</w:t>
      </w:r>
      <w:r w:rsidRPr="007114AF">
        <w:rPr>
          <w:rFonts w:ascii="Garamond" w:hAnsi="Garamond"/>
          <w:lang w:val="sq-AL"/>
        </w:rPr>
        <w:tab/>
      </w:r>
      <w:r w:rsidRPr="007114AF">
        <w:rPr>
          <w:rFonts w:ascii="Garamond" w:hAnsi="Garamond"/>
          <w:lang w:val="sq-AL"/>
        </w:rPr>
        <w:tab/>
        <w:t>Ministria e Infrastrukturës dhe Energjisë</w:t>
      </w:r>
    </w:p>
    <w:p w14:paraId="6EDCF394" w14:textId="77777777" w:rsidR="00E24568" w:rsidRPr="007114AF" w:rsidRDefault="00E24568" w:rsidP="00FF37A6">
      <w:pPr>
        <w:pStyle w:val="NoSpacing"/>
        <w:rPr>
          <w:rFonts w:ascii="Garamond" w:hAnsi="Garamond"/>
          <w:lang w:val="sq-AL"/>
        </w:rPr>
      </w:pPr>
      <w:r w:rsidRPr="007114AF">
        <w:rPr>
          <w:rFonts w:ascii="Garamond" w:hAnsi="Garamond"/>
          <w:lang w:val="sq-AL"/>
        </w:rPr>
        <w:t>MTM</w:t>
      </w:r>
      <w:r w:rsidRPr="007114AF">
        <w:rPr>
          <w:rFonts w:ascii="Garamond" w:hAnsi="Garamond"/>
          <w:lang w:val="sq-AL"/>
        </w:rPr>
        <w:tab/>
      </w:r>
      <w:r w:rsidRPr="007114AF">
        <w:rPr>
          <w:rFonts w:ascii="Garamond" w:hAnsi="Garamond"/>
          <w:lang w:val="sq-AL"/>
        </w:rPr>
        <w:tab/>
        <w:t xml:space="preserve">Ministria e Turizmit dhe Mjedisit </w:t>
      </w:r>
    </w:p>
    <w:p w14:paraId="6EDCF395" w14:textId="77777777" w:rsidR="00E24568" w:rsidRPr="007114AF" w:rsidRDefault="00E24568" w:rsidP="00FF37A6">
      <w:pPr>
        <w:pStyle w:val="NoSpacing"/>
        <w:rPr>
          <w:rFonts w:ascii="Garamond" w:hAnsi="Garamond"/>
          <w:lang w:val="sq-AL"/>
        </w:rPr>
      </w:pPr>
      <w:r w:rsidRPr="007114AF">
        <w:rPr>
          <w:rFonts w:ascii="Garamond" w:hAnsi="Garamond"/>
          <w:lang w:val="sq-AL"/>
        </w:rPr>
        <w:t>MFE</w:t>
      </w:r>
      <w:r w:rsidRPr="007114AF">
        <w:rPr>
          <w:rFonts w:ascii="Garamond" w:hAnsi="Garamond"/>
          <w:lang w:val="sq-AL"/>
        </w:rPr>
        <w:tab/>
      </w:r>
      <w:r w:rsidRPr="007114AF">
        <w:rPr>
          <w:rFonts w:ascii="Garamond" w:hAnsi="Garamond"/>
          <w:lang w:val="sq-AL"/>
        </w:rPr>
        <w:tab/>
        <w:t>Ministria e Financave dhe Ekonomisë</w:t>
      </w:r>
    </w:p>
    <w:p w14:paraId="6EDCF396" w14:textId="77777777" w:rsidR="00E24568" w:rsidRPr="007114AF" w:rsidRDefault="00E24568" w:rsidP="00FF37A6">
      <w:pPr>
        <w:pStyle w:val="NoSpacing"/>
        <w:rPr>
          <w:rFonts w:ascii="Garamond" w:hAnsi="Garamond"/>
          <w:lang w:val="sq-AL"/>
        </w:rPr>
      </w:pPr>
      <w:r w:rsidRPr="007114AF">
        <w:rPr>
          <w:rFonts w:ascii="Garamond" w:hAnsi="Garamond"/>
          <w:lang w:val="sq-AL"/>
        </w:rPr>
        <w:t>MRV</w:t>
      </w:r>
      <w:r w:rsidRPr="007114AF">
        <w:rPr>
          <w:rFonts w:ascii="Garamond" w:hAnsi="Garamond"/>
          <w:lang w:val="sq-AL"/>
        </w:rPr>
        <w:tab/>
      </w:r>
      <w:r w:rsidR="00B74FC4" w:rsidRPr="007114AF">
        <w:rPr>
          <w:rFonts w:ascii="Garamond" w:hAnsi="Garamond"/>
          <w:lang w:val="sq-AL"/>
        </w:rPr>
        <w:tab/>
      </w:r>
      <w:r w:rsidRPr="007114AF">
        <w:rPr>
          <w:rFonts w:ascii="Garamond" w:hAnsi="Garamond"/>
          <w:lang w:val="sq-AL"/>
        </w:rPr>
        <w:t>Monitorimi Raportimi Verifikimi</w:t>
      </w:r>
    </w:p>
    <w:p w14:paraId="6EDCF397" w14:textId="77777777" w:rsidR="00E24568" w:rsidRPr="007114AF" w:rsidRDefault="00E24568" w:rsidP="00FF37A6">
      <w:pPr>
        <w:pStyle w:val="NoSpacing"/>
        <w:rPr>
          <w:rFonts w:ascii="Garamond" w:hAnsi="Garamond"/>
          <w:lang w:val="sq-AL"/>
        </w:rPr>
      </w:pPr>
      <w:r w:rsidRPr="007114AF">
        <w:rPr>
          <w:rFonts w:ascii="Garamond" w:hAnsi="Garamond"/>
          <w:lang w:val="sq-AL"/>
        </w:rPr>
        <w:t>PBA</w:t>
      </w:r>
      <w:r w:rsidRPr="007114AF">
        <w:rPr>
          <w:rFonts w:ascii="Garamond" w:hAnsi="Garamond"/>
          <w:lang w:val="sq-AL"/>
        </w:rPr>
        <w:tab/>
      </w:r>
      <w:r w:rsidRPr="007114AF">
        <w:rPr>
          <w:rFonts w:ascii="Garamond" w:hAnsi="Garamond"/>
          <w:lang w:val="sq-AL"/>
        </w:rPr>
        <w:tab/>
        <w:t xml:space="preserve">Programi Afatmesëm Buxhetor </w:t>
      </w:r>
    </w:p>
    <w:p w14:paraId="6EDCF398" w14:textId="77777777" w:rsidR="00E24568" w:rsidRPr="007114AF" w:rsidRDefault="00E24568" w:rsidP="00FF37A6">
      <w:pPr>
        <w:pStyle w:val="NoSpacing"/>
        <w:rPr>
          <w:rFonts w:ascii="Garamond" w:hAnsi="Garamond"/>
          <w:lang w:val="sq-AL"/>
        </w:rPr>
      </w:pPr>
      <w:r w:rsidRPr="007114AF">
        <w:rPr>
          <w:rFonts w:ascii="Garamond" w:hAnsi="Garamond"/>
          <w:lang w:val="sq-AL"/>
        </w:rPr>
        <w:t xml:space="preserve">MTI </w:t>
      </w:r>
      <w:r w:rsidRPr="007114AF">
        <w:rPr>
          <w:rFonts w:ascii="Garamond" w:hAnsi="Garamond"/>
          <w:lang w:val="sq-AL"/>
        </w:rPr>
        <w:tab/>
      </w:r>
      <w:r w:rsidR="00B74FC4" w:rsidRPr="007114AF">
        <w:rPr>
          <w:rFonts w:ascii="Garamond" w:hAnsi="Garamond"/>
          <w:lang w:val="sq-AL"/>
        </w:rPr>
        <w:tab/>
      </w:r>
      <w:r w:rsidRPr="007114AF">
        <w:rPr>
          <w:rFonts w:ascii="Garamond" w:hAnsi="Garamond"/>
          <w:lang w:val="sq-AL"/>
        </w:rPr>
        <w:t>Ministria e Transportit dhe Infrastrukturës</w:t>
      </w:r>
    </w:p>
    <w:p w14:paraId="6EDCF399" w14:textId="12E63272" w:rsidR="00E24568" w:rsidRPr="007114AF" w:rsidRDefault="00E24568" w:rsidP="00FF37A6">
      <w:pPr>
        <w:pStyle w:val="NoSpacing"/>
        <w:rPr>
          <w:rFonts w:ascii="Garamond" w:hAnsi="Garamond"/>
          <w:lang w:val="sq-AL"/>
        </w:rPr>
      </w:pPr>
      <w:r w:rsidRPr="007114AF">
        <w:rPr>
          <w:rFonts w:ascii="Garamond" w:hAnsi="Garamond"/>
          <w:lang w:val="sq-AL"/>
        </w:rPr>
        <w:t>MZHU</w:t>
      </w:r>
      <w:r w:rsidRPr="007114AF">
        <w:rPr>
          <w:rFonts w:ascii="Garamond" w:hAnsi="Garamond"/>
          <w:lang w:val="sq-AL"/>
        </w:rPr>
        <w:tab/>
      </w:r>
      <w:r w:rsidR="00B74FC4" w:rsidRPr="007114AF">
        <w:rPr>
          <w:rFonts w:ascii="Garamond" w:hAnsi="Garamond"/>
          <w:lang w:val="sq-AL"/>
        </w:rPr>
        <w:tab/>
      </w:r>
      <w:r w:rsidRPr="007114AF">
        <w:rPr>
          <w:rFonts w:ascii="Garamond" w:hAnsi="Garamond"/>
          <w:lang w:val="sq-AL"/>
        </w:rPr>
        <w:t>Ministria e Zhvillimit</w:t>
      </w:r>
      <w:r w:rsidR="000A2A01" w:rsidRPr="007114AF">
        <w:rPr>
          <w:rFonts w:ascii="Garamond" w:hAnsi="Garamond"/>
          <w:lang w:val="sq-AL"/>
        </w:rPr>
        <w:t xml:space="preserve"> </w:t>
      </w:r>
      <w:r w:rsidRPr="007114AF">
        <w:rPr>
          <w:rFonts w:ascii="Garamond" w:hAnsi="Garamond"/>
          <w:lang w:val="sq-AL"/>
        </w:rPr>
        <w:t xml:space="preserve">Urban </w:t>
      </w:r>
    </w:p>
    <w:p w14:paraId="6EDCF39A" w14:textId="77777777" w:rsidR="00E24568" w:rsidRPr="007114AF" w:rsidRDefault="00E24568" w:rsidP="00FF37A6">
      <w:pPr>
        <w:pStyle w:val="NoSpacing"/>
        <w:rPr>
          <w:rFonts w:ascii="Garamond" w:hAnsi="Garamond"/>
          <w:lang w:val="sq-AL"/>
        </w:rPr>
      </w:pPr>
      <w:r w:rsidRPr="007114AF">
        <w:rPr>
          <w:rFonts w:ascii="Garamond" w:hAnsi="Garamond"/>
          <w:lang w:val="sq-AL"/>
        </w:rPr>
        <w:t>NAMA</w:t>
      </w:r>
      <w:r w:rsidRPr="007114AF">
        <w:rPr>
          <w:rFonts w:ascii="Garamond" w:hAnsi="Garamond"/>
          <w:lang w:val="sq-AL"/>
        </w:rPr>
        <w:tab/>
      </w:r>
      <w:r w:rsidR="00B74FC4" w:rsidRPr="007114AF">
        <w:rPr>
          <w:rFonts w:ascii="Garamond" w:hAnsi="Garamond"/>
          <w:lang w:val="sq-AL"/>
        </w:rPr>
        <w:tab/>
      </w:r>
      <w:r w:rsidRPr="007114AF">
        <w:rPr>
          <w:rFonts w:ascii="Garamond" w:hAnsi="Garamond"/>
          <w:lang w:val="sq-AL"/>
        </w:rPr>
        <w:t>Masa Zbutëse të Përshtatshme për Vendin</w:t>
      </w:r>
    </w:p>
    <w:p w14:paraId="6EDCF39B" w14:textId="77777777" w:rsidR="00E24568" w:rsidRPr="007114AF" w:rsidRDefault="00E24568" w:rsidP="00FF37A6">
      <w:pPr>
        <w:pStyle w:val="NoSpacing"/>
        <w:rPr>
          <w:rFonts w:ascii="Garamond" w:hAnsi="Garamond"/>
          <w:lang w:val="sq-AL"/>
        </w:rPr>
      </w:pPr>
      <w:r w:rsidRPr="007114AF">
        <w:rPr>
          <w:rFonts w:ascii="Garamond" w:hAnsi="Garamond"/>
          <w:lang w:val="sq-AL"/>
        </w:rPr>
        <w:t>AKPT</w:t>
      </w:r>
      <w:r w:rsidRPr="007114AF">
        <w:rPr>
          <w:rFonts w:ascii="Garamond" w:hAnsi="Garamond"/>
          <w:lang w:val="sq-AL"/>
        </w:rPr>
        <w:tab/>
      </w:r>
      <w:r w:rsidR="00B74FC4" w:rsidRPr="007114AF">
        <w:rPr>
          <w:rFonts w:ascii="Garamond" w:hAnsi="Garamond"/>
          <w:lang w:val="sq-AL"/>
        </w:rPr>
        <w:tab/>
      </w:r>
      <w:r w:rsidRPr="007114AF">
        <w:rPr>
          <w:rFonts w:ascii="Garamond" w:hAnsi="Garamond"/>
          <w:shd w:val="clear" w:color="auto" w:fill="FFFFFF"/>
          <w:lang w:val="sq-AL"/>
        </w:rPr>
        <w:t xml:space="preserve">Agjencia Kombëtare për Planifikimin e Territorit </w:t>
      </w:r>
    </w:p>
    <w:p w14:paraId="6EDCF39C" w14:textId="77777777" w:rsidR="00E24568" w:rsidRPr="007114AF" w:rsidRDefault="00E24568" w:rsidP="00FF37A6">
      <w:pPr>
        <w:pStyle w:val="NoSpacing"/>
        <w:rPr>
          <w:rFonts w:ascii="Garamond" w:hAnsi="Garamond"/>
          <w:lang w:val="sq-AL"/>
        </w:rPr>
      </w:pPr>
      <w:r w:rsidRPr="007114AF">
        <w:rPr>
          <w:rFonts w:ascii="Garamond" w:hAnsi="Garamond"/>
          <w:lang w:val="sq-AL"/>
        </w:rPr>
        <w:t>SKNK</w:t>
      </w:r>
      <w:r w:rsidRPr="007114AF">
        <w:rPr>
          <w:rFonts w:ascii="Garamond" w:hAnsi="Garamond"/>
          <w:lang w:val="sq-AL"/>
        </w:rPr>
        <w:tab/>
      </w:r>
      <w:r w:rsidR="00B74FC4" w:rsidRPr="007114AF">
        <w:rPr>
          <w:rFonts w:ascii="Garamond" w:hAnsi="Garamond"/>
          <w:lang w:val="sq-AL"/>
        </w:rPr>
        <w:tab/>
      </w:r>
      <w:r w:rsidRPr="007114AF">
        <w:rPr>
          <w:rFonts w:ascii="Garamond" w:hAnsi="Garamond"/>
          <w:lang w:val="sq-AL"/>
        </w:rPr>
        <w:t>Strategjia Kombëtare e Ndryshimeve Klimatike</w:t>
      </w:r>
    </w:p>
    <w:p w14:paraId="6EDCF39D" w14:textId="77C54D18" w:rsidR="00E24568" w:rsidRPr="007114AF" w:rsidRDefault="00E24568" w:rsidP="00FF37A6">
      <w:pPr>
        <w:pStyle w:val="NoSpacing"/>
        <w:rPr>
          <w:rFonts w:ascii="Garamond" w:hAnsi="Garamond"/>
          <w:lang w:val="sq-AL"/>
        </w:rPr>
      </w:pPr>
      <w:r w:rsidRPr="007114AF">
        <w:rPr>
          <w:rFonts w:ascii="Garamond" w:hAnsi="Garamond"/>
          <w:lang w:val="sq-AL"/>
        </w:rPr>
        <w:t>Dokumenti i SKNK</w:t>
      </w:r>
      <w:r w:rsidR="000A2A01" w:rsidRPr="007114AF">
        <w:rPr>
          <w:rFonts w:ascii="Garamond" w:hAnsi="Garamond"/>
          <w:lang w:val="sq-AL"/>
        </w:rPr>
        <w:t xml:space="preserve"> </w:t>
      </w:r>
      <w:r w:rsidRPr="007114AF">
        <w:rPr>
          <w:rFonts w:ascii="Garamond" w:hAnsi="Garamond"/>
          <w:lang w:val="sq-AL"/>
        </w:rPr>
        <w:t>Dokumenti i Strategjisë Kombëtare të Ndryshimeve Klimatike</w:t>
      </w:r>
    </w:p>
    <w:p w14:paraId="6EDCF39E" w14:textId="63B5793E" w:rsidR="00E24568" w:rsidRPr="007114AF" w:rsidRDefault="00E24568" w:rsidP="00FF37A6">
      <w:pPr>
        <w:pStyle w:val="NoSpacing"/>
        <w:rPr>
          <w:rFonts w:ascii="Garamond" w:hAnsi="Garamond"/>
          <w:b/>
          <w:lang w:val="sq-AL"/>
        </w:rPr>
      </w:pPr>
      <w:r w:rsidRPr="007114AF">
        <w:rPr>
          <w:rFonts w:ascii="Garamond" w:hAnsi="Garamond"/>
          <w:lang w:val="sq-AL"/>
        </w:rPr>
        <w:t>Dokumenti i SKNK&amp;P Dokumenti i Strategjisë Kombëtare të Ndryshimeve Klimatike</w:t>
      </w:r>
      <w:r w:rsidR="008F0E2C" w:rsidRPr="007114AF">
        <w:rPr>
          <w:rFonts w:ascii="Garamond" w:hAnsi="Garamond"/>
          <w:lang w:val="sq-AL"/>
        </w:rPr>
        <w:t xml:space="preserve"> dhe</w:t>
      </w:r>
      <w:r w:rsidRPr="007114AF">
        <w:rPr>
          <w:rFonts w:ascii="Garamond" w:hAnsi="Garamond"/>
          <w:lang w:val="sq-AL"/>
        </w:rPr>
        <w:t xml:space="preserve"> Planit</w:t>
      </w:r>
    </w:p>
    <w:p w14:paraId="6EDCF39F" w14:textId="77777777" w:rsidR="00E24568" w:rsidRPr="007114AF" w:rsidRDefault="00E24568" w:rsidP="00FF37A6">
      <w:pPr>
        <w:pStyle w:val="NoSpacing"/>
        <w:rPr>
          <w:rFonts w:ascii="Garamond" w:hAnsi="Garamond"/>
          <w:lang w:val="sq-AL"/>
        </w:rPr>
      </w:pPr>
      <w:r w:rsidRPr="007114AF">
        <w:rPr>
          <w:rFonts w:ascii="Garamond" w:hAnsi="Garamond"/>
          <w:lang w:val="sq-AL"/>
        </w:rPr>
        <w:lastRenderedPageBreak/>
        <w:t>KPK</w:t>
      </w:r>
      <w:r w:rsidRPr="007114AF">
        <w:rPr>
          <w:rFonts w:ascii="Garamond" w:hAnsi="Garamond"/>
          <w:lang w:val="sq-AL"/>
        </w:rPr>
        <w:tab/>
      </w:r>
      <w:r w:rsidR="00B74FC4" w:rsidRPr="007114AF">
        <w:rPr>
          <w:rFonts w:ascii="Garamond" w:hAnsi="Garamond"/>
          <w:lang w:val="sq-AL"/>
        </w:rPr>
        <w:tab/>
      </w:r>
      <w:r w:rsidRPr="007114AF">
        <w:rPr>
          <w:rFonts w:ascii="Garamond" w:hAnsi="Garamond"/>
          <w:lang w:val="sq-AL"/>
        </w:rPr>
        <w:t xml:space="preserve">Kontributet e Përcaktuara në Nivel Kombëtar </w:t>
      </w:r>
    </w:p>
    <w:p w14:paraId="6EDCF3A0" w14:textId="77777777" w:rsidR="00E24568" w:rsidRPr="007114AF" w:rsidRDefault="00E24568" w:rsidP="00FF37A6">
      <w:pPr>
        <w:pStyle w:val="NoSpacing"/>
        <w:rPr>
          <w:rFonts w:ascii="Garamond" w:hAnsi="Garamond"/>
          <w:lang w:val="sq-AL"/>
        </w:rPr>
      </w:pPr>
      <w:r w:rsidRPr="007114AF">
        <w:rPr>
          <w:rFonts w:ascii="Garamond" w:hAnsi="Garamond"/>
          <w:lang w:val="sq-AL"/>
        </w:rPr>
        <w:t>AKM</w:t>
      </w:r>
      <w:r w:rsidRPr="007114AF">
        <w:rPr>
          <w:rFonts w:ascii="Garamond" w:hAnsi="Garamond"/>
          <w:lang w:val="sq-AL"/>
        </w:rPr>
        <w:tab/>
      </w:r>
      <w:r w:rsidR="00B74FC4" w:rsidRPr="007114AF">
        <w:rPr>
          <w:rFonts w:ascii="Garamond" w:hAnsi="Garamond"/>
          <w:lang w:val="sq-AL"/>
        </w:rPr>
        <w:tab/>
      </w:r>
      <w:r w:rsidRPr="007114AF">
        <w:rPr>
          <w:rFonts w:ascii="Garamond" w:hAnsi="Garamond"/>
          <w:lang w:val="sq-AL"/>
        </w:rPr>
        <w:t>Agjencia Kombëtare e Mjedisit</w:t>
      </w:r>
    </w:p>
    <w:p w14:paraId="6EDCF3A1" w14:textId="77777777" w:rsidR="00E24568" w:rsidRPr="007114AF" w:rsidRDefault="00E24568" w:rsidP="00FF37A6">
      <w:pPr>
        <w:pStyle w:val="NoSpacing"/>
        <w:rPr>
          <w:rFonts w:ascii="Garamond" w:hAnsi="Garamond"/>
          <w:lang w:val="sq-AL"/>
        </w:rPr>
      </w:pPr>
      <w:r w:rsidRPr="007114AF">
        <w:rPr>
          <w:rFonts w:ascii="Garamond" w:hAnsi="Garamond"/>
          <w:lang w:val="sq-AL"/>
        </w:rPr>
        <w:t>PKVEE</w:t>
      </w:r>
      <w:r w:rsidRPr="007114AF">
        <w:rPr>
          <w:rFonts w:ascii="Garamond" w:hAnsi="Garamond"/>
          <w:lang w:val="sq-AL"/>
        </w:rPr>
        <w:tab/>
        <w:t>Plani Kombëtar i Veprimit për Eficiencën e Energjisë</w:t>
      </w:r>
    </w:p>
    <w:p w14:paraId="6EDCF3A2" w14:textId="77777777" w:rsidR="00E24568" w:rsidRPr="007114AF" w:rsidRDefault="00E24568" w:rsidP="00FF37A6">
      <w:pPr>
        <w:pStyle w:val="NoSpacing"/>
        <w:rPr>
          <w:rFonts w:ascii="Garamond" w:hAnsi="Garamond"/>
          <w:lang w:val="sq-AL"/>
        </w:rPr>
      </w:pPr>
      <w:r w:rsidRPr="007114AF">
        <w:rPr>
          <w:rFonts w:ascii="Garamond" w:hAnsi="Garamond"/>
          <w:lang w:val="sq-AL"/>
        </w:rPr>
        <w:t>NG</w:t>
      </w:r>
      <w:r w:rsidRPr="007114AF">
        <w:rPr>
          <w:rFonts w:ascii="Garamond" w:hAnsi="Garamond"/>
          <w:lang w:val="sq-AL"/>
        </w:rPr>
        <w:tab/>
      </w:r>
      <w:r w:rsidR="00B74FC4" w:rsidRPr="007114AF">
        <w:rPr>
          <w:rFonts w:ascii="Garamond" w:hAnsi="Garamond"/>
          <w:lang w:val="sq-AL"/>
        </w:rPr>
        <w:tab/>
      </w:r>
      <w:r w:rsidRPr="007114AF">
        <w:rPr>
          <w:rFonts w:ascii="Garamond" w:hAnsi="Garamond"/>
          <w:lang w:val="sq-AL"/>
        </w:rPr>
        <w:t>Gazi Natyror</w:t>
      </w:r>
    </w:p>
    <w:p w14:paraId="6EDCF3A3" w14:textId="77777777" w:rsidR="00E24568" w:rsidRPr="007114AF" w:rsidRDefault="00E24568" w:rsidP="00FF37A6">
      <w:pPr>
        <w:pStyle w:val="NoSpacing"/>
        <w:rPr>
          <w:rFonts w:ascii="Garamond" w:hAnsi="Garamond"/>
          <w:lang w:val="sq-AL"/>
        </w:rPr>
      </w:pPr>
      <w:r w:rsidRPr="007114AF">
        <w:rPr>
          <w:rFonts w:ascii="Garamond" w:hAnsi="Garamond"/>
          <w:lang w:val="sq-AL"/>
        </w:rPr>
        <w:t>NAP</w:t>
      </w:r>
      <w:r w:rsidRPr="007114AF">
        <w:rPr>
          <w:rFonts w:ascii="Garamond" w:hAnsi="Garamond"/>
          <w:lang w:val="sq-AL"/>
        </w:rPr>
        <w:tab/>
      </w:r>
      <w:r w:rsidRPr="007114AF">
        <w:rPr>
          <w:rFonts w:ascii="Garamond" w:hAnsi="Garamond"/>
          <w:lang w:val="sq-AL"/>
        </w:rPr>
        <w:tab/>
        <w:t>Plani Kombëtar i Përshtatjes</w:t>
      </w:r>
    </w:p>
    <w:p w14:paraId="6EDCF3A4" w14:textId="77777777" w:rsidR="00E24568" w:rsidRPr="007114AF" w:rsidRDefault="00E24568" w:rsidP="00FF37A6">
      <w:pPr>
        <w:pStyle w:val="NoSpacing"/>
        <w:rPr>
          <w:rFonts w:ascii="Garamond" w:hAnsi="Garamond"/>
          <w:lang w:val="sq-AL"/>
        </w:rPr>
      </w:pPr>
      <w:r w:rsidRPr="007114AF">
        <w:rPr>
          <w:rFonts w:ascii="Garamond" w:hAnsi="Garamond"/>
          <w:lang w:val="sq-AL"/>
        </w:rPr>
        <w:t>NIE</w:t>
      </w:r>
      <w:r w:rsidRPr="007114AF">
        <w:rPr>
          <w:rFonts w:ascii="Garamond" w:hAnsi="Garamond"/>
          <w:lang w:val="sq-AL"/>
        </w:rPr>
        <w:tab/>
      </w:r>
      <w:r w:rsidRPr="007114AF">
        <w:rPr>
          <w:rFonts w:ascii="Garamond" w:hAnsi="Garamond"/>
          <w:lang w:val="sq-AL"/>
        </w:rPr>
        <w:tab/>
        <w:t xml:space="preserve">Entet Zbatuese Kombëtare </w:t>
      </w:r>
    </w:p>
    <w:p w14:paraId="6EDCF3A5" w14:textId="77777777" w:rsidR="00E24568" w:rsidRPr="007114AF" w:rsidRDefault="00E24568" w:rsidP="00FF37A6">
      <w:pPr>
        <w:pStyle w:val="NoSpacing"/>
        <w:rPr>
          <w:rFonts w:ascii="Garamond" w:hAnsi="Garamond"/>
          <w:lang w:val="sq-AL"/>
        </w:rPr>
      </w:pPr>
      <w:r w:rsidRPr="007114AF">
        <w:rPr>
          <w:rFonts w:ascii="Garamond" w:hAnsi="Garamond"/>
          <w:lang w:val="sq-AL"/>
        </w:rPr>
        <w:t>PEIP</w:t>
      </w:r>
      <w:r w:rsidRPr="007114AF">
        <w:rPr>
          <w:rFonts w:ascii="Garamond" w:hAnsi="Garamond"/>
          <w:lang w:val="sq-AL"/>
        </w:rPr>
        <w:tab/>
      </w:r>
      <w:r w:rsidRPr="007114AF">
        <w:rPr>
          <w:rFonts w:ascii="Garamond" w:hAnsi="Garamond"/>
          <w:lang w:val="sq-AL"/>
        </w:rPr>
        <w:tab/>
        <w:t xml:space="preserve">Shpenzimet e Programit dhe Planifikimi i Investimeve </w:t>
      </w:r>
    </w:p>
    <w:p w14:paraId="6EDCF3A6" w14:textId="77777777" w:rsidR="00E24568" w:rsidRPr="007114AF" w:rsidRDefault="00E24568" w:rsidP="00FF37A6">
      <w:pPr>
        <w:pStyle w:val="NoSpacing"/>
        <w:rPr>
          <w:rFonts w:ascii="Garamond" w:hAnsi="Garamond"/>
          <w:lang w:val="sq-AL"/>
        </w:rPr>
      </w:pPr>
      <w:r w:rsidRPr="007114AF">
        <w:rPr>
          <w:rFonts w:ascii="Garamond" w:hAnsi="Garamond"/>
          <w:lang w:val="sq-AL"/>
        </w:rPr>
        <w:t>PES</w:t>
      </w:r>
      <w:r w:rsidRPr="007114AF">
        <w:rPr>
          <w:rFonts w:ascii="Garamond" w:hAnsi="Garamond"/>
          <w:lang w:val="sq-AL"/>
        </w:rPr>
        <w:tab/>
      </w:r>
      <w:r w:rsidRPr="007114AF">
        <w:rPr>
          <w:rFonts w:ascii="Garamond" w:hAnsi="Garamond"/>
          <w:lang w:val="sq-AL"/>
        </w:rPr>
        <w:tab/>
        <w:t xml:space="preserve">Pagesa për shpenzimet e ekosistemit </w:t>
      </w:r>
    </w:p>
    <w:p w14:paraId="6EDCF3A7" w14:textId="77777777" w:rsidR="00E24568" w:rsidRPr="007114AF" w:rsidRDefault="00E24568" w:rsidP="00FF37A6">
      <w:pPr>
        <w:pStyle w:val="NoSpacing"/>
        <w:rPr>
          <w:rFonts w:ascii="Garamond" w:hAnsi="Garamond"/>
          <w:lang w:val="sq-AL"/>
        </w:rPr>
      </w:pPr>
      <w:r w:rsidRPr="007114AF">
        <w:rPr>
          <w:rFonts w:ascii="Garamond" w:hAnsi="Garamond"/>
          <w:lang w:val="sq-AL"/>
        </w:rPr>
        <w:t>PPCR</w:t>
      </w:r>
      <w:r w:rsidRPr="007114AF">
        <w:rPr>
          <w:rFonts w:ascii="Garamond" w:hAnsi="Garamond"/>
          <w:lang w:val="sq-AL"/>
        </w:rPr>
        <w:tab/>
      </w:r>
      <w:r w:rsidRPr="007114AF">
        <w:rPr>
          <w:rFonts w:ascii="Garamond" w:hAnsi="Garamond"/>
          <w:lang w:val="sq-AL"/>
        </w:rPr>
        <w:tab/>
        <w:t xml:space="preserve">Programi Pilot për një klimë Reziliente </w:t>
      </w:r>
    </w:p>
    <w:p w14:paraId="6EDCF3A8" w14:textId="77777777" w:rsidR="00E24568" w:rsidRPr="007114AF" w:rsidRDefault="00E24568" w:rsidP="00FF37A6">
      <w:pPr>
        <w:pStyle w:val="NoSpacing"/>
        <w:rPr>
          <w:rFonts w:ascii="Garamond" w:hAnsi="Garamond"/>
          <w:lang w:val="sq-AL"/>
        </w:rPr>
      </w:pPr>
      <w:r w:rsidRPr="007114AF">
        <w:rPr>
          <w:rFonts w:ascii="Garamond" w:hAnsi="Garamond"/>
          <w:lang w:val="sq-AL"/>
        </w:rPr>
        <w:t>PPP</w:t>
      </w:r>
      <w:r w:rsidRPr="007114AF">
        <w:rPr>
          <w:rFonts w:ascii="Garamond" w:hAnsi="Garamond"/>
          <w:lang w:val="sq-AL"/>
        </w:rPr>
        <w:tab/>
      </w:r>
      <w:r w:rsidRPr="007114AF">
        <w:rPr>
          <w:rFonts w:ascii="Garamond" w:hAnsi="Garamond"/>
          <w:lang w:val="sq-AL"/>
        </w:rPr>
        <w:tab/>
        <w:t>Partneriteti Publik-Privat</w:t>
      </w:r>
    </w:p>
    <w:p w14:paraId="6EDCF3A9" w14:textId="77777777" w:rsidR="00E24568" w:rsidRPr="007114AF" w:rsidRDefault="00E24568" w:rsidP="00FF37A6">
      <w:pPr>
        <w:pStyle w:val="NoSpacing"/>
        <w:rPr>
          <w:rFonts w:ascii="Garamond" w:hAnsi="Garamond"/>
          <w:lang w:val="sq-AL"/>
        </w:rPr>
      </w:pPr>
      <w:r w:rsidRPr="007114AF">
        <w:rPr>
          <w:rFonts w:ascii="Garamond" w:hAnsi="Garamond"/>
          <w:lang w:val="sq-AL"/>
        </w:rPr>
        <w:t>PPR</w:t>
      </w:r>
      <w:r w:rsidRPr="007114AF">
        <w:rPr>
          <w:rFonts w:ascii="Garamond" w:hAnsi="Garamond"/>
          <w:lang w:val="sq-AL"/>
        </w:rPr>
        <w:tab/>
      </w:r>
      <w:r w:rsidRPr="007114AF">
        <w:rPr>
          <w:rFonts w:ascii="Garamond" w:hAnsi="Garamond"/>
          <w:lang w:val="sq-AL"/>
        </w:rPr>
        <w:tab/>
        <w:t xml:space="preserve">Rishikimi i politikave të programit </w:t>
      </w:r>
    </w:p>
    <w:p w14:paraId="6EDCF3AA" w14:textId="77777777" w:rsidR="00E24568" w:rsidRPr="007114AF" w:rsidRDefault="00E24568" w:rsidP="00FF37A6">
      <w:pPr>
        <w:pStyle w:val="NoSpacing"/>
        <w:rPr>
          <w:rFonts w:ascii="Garamond" w:hAnsi="Garamond"/>
          <w:lang w:val="sq-AL"/>
        </w:rPr>
      </w:pPr>
      <w:r w:rsidRPr="007114AF">
        <w:rPr>
          <w:rFonts w:ascii="Garamond" w:hAnsi="Garamond"/>
          <w:lang w:val="sq-AL"/>
        </w:rPr>
        <w:t>PKT</w:t>
      </w:r>
      <w:r w:rsidRPr="007114AF">
        <w:rPr>
          <w:rFonts w:ascii="Garamond" w:hAnsi="Garamond"/>
          <w:lang w:val="sq-AL"/>
        </w:rPr>
        <w:tab/>
      </w:r>
      <w:r w:rsidR="00B74FC4" w:rsidRPr="007114AF">
        <w:rPr>
          <w:rFonts w:ascii="Garamond" w:hAnsi="Garamond"/>
          <w:lang w:val="sq-AL"/>
        </w:rPr>
        <w:tab/>
      </w:r>
      <w:r w:rsidRPr="007114AF">
        <w:rPr>
          <w:rFonts w:ascii="Garamond" w:hAnsi="Garamond"/>
          <w:lang w:val="sq-AL"/>
        </w:rPr>
        <w:t>Plani Kombëtar i Territorit</w:t>
      </w:r>
    </w:p>
    <w:p w14:paraId="6EDCF3AB" w14:textId="77777777" w:rsidR="00E24568" w:rsidRPr="007114AF" w:rsidRDefault="00E24568" w:rsidP="00FF37A6">
      <w:pPr>
        <w:pStyle w:val="NoSpacing"/>
        <w:rPr>
          <w:rFonts w:ascii="Garamond" w:hAnsi="Garamond"/>
          <w:lang w:val="sq-AL"/>
        </w:rPr>
      </w:pPr>
      <w:r w:rsidRPr="007114AF">
        <w:rPr>
          <w:rFonts w:ascii="Garamond" w:hAnsi="Garamond"/>
          <w:lang w:val="sq-AL"/>
        </w:rPr>
        <w:t>PKZNK</w:t>
      </w:r>
      <w:r w:rsidRPr="007114AF">
        <w:rPr>
          <w:rFonts w:ascii="Garamond" w:hAnsi="Garamond"/>
          <w:lang w:val="sq-AL"/>
        </w:rPr>
        <w:tab/>
        <w:t>Plani Kombëtar për Zbutjen e Ndryshimeve Klimatike</w:t>
      </w:r>
    </w:p>
    <w:p w14:paraId="6EDCF3AC" w14:textId="0A791FB7" w:rsidR="00E24568" w:rsidRPr="007114AF" w:rsidRDefault="00E24568" w:rsidP="00FF37A6">
      <w:pPr>
        <w:pStyle w:val="NoSpacing"/>
        <w:rPr>
          <w:rFonts w:ascii="Garamond" w:hAnsi="Garamond"/>
          <w:lang w:val="sq-AL"/>
        </w:rPr>
      </w:pPr>
      <w:r w:rsidRPr="007114AF">
        <w:rPr>
          <w:rFonts w:ascii="Garamond" w:hAnsi="Garamond"/>
          <w:lang w:val="sq-AL"/>
        </w:rPr>
        <w:t>SKZNK</w:t>
      </w:r>
      <w:r w:rsidRPr="007114AF">
        <w:rPr>
          <w:rFonts w:ascii="Garamond" w:hAnsi="Garamond"/>
          <w:lang w:val="sq-AL"/>
        </w:rPr>
        <w:tab/>
        <w:t>Strategjia Kombëtare për</w:t>
      </w:r>
      <w:r w:rsidR="000A2A01" w:rsidRPr="007114AF">
        <w:rPr>
          <w:rFonts w:ascii="Garamond" w:hAnsi="Garamond"/>
          <w:lang w:val="sq-AL"/>
        </w:rPr>
        <w:t xml:space="preserve"> </w:t>
      </w:r>
      <w:r w:rsidRPr="007114AF">
        <w:rPr>
          <w:rFonts w:ascii="Garamond" w:hAnsi="Garamond"/>
          <w:lang w:val="sq-AL"/>
        </w:rPr>
        <w:t>Zbutjen e Ndryshimeve Klimatike</w:t>
      </w:r>
    </w:p>
    <w:p w14:paraId="6EDCF3AD" w14:textId="3529EDDB" w:rsidR="00E24568" w:rsidRPr="007114AF" w:rsidRDefault="00E24568" w:rsidP="00FF37A6">
      <w:pPr>
        <w:pStyle w:val="NoSpacing"/>
        <w:rPr>
          <w:rFonts w:ascii="Garamond" w:hAnsi="Garamond"/>
          <w:lang w:val="sq-AL"/>
        </w:rPr>
      </w:pPr>
      <w:r w:rsidRPr="007114AF">
        <w:rPr>
          <w:rFonts w:ascii="Garamond" w:hAnsi="Garamond"/>
          <w:lang w:val="sq-AL"/>
        </w:rPr>
        <w:t>SKZNK&amp;P</w:t>
      </w:r>
      <w:r w:rsidRPr="007114AF">
        <w:rPr>
          <w:rFonts w:ascii="Garamond" w:hAnsi="Garamond"/>
          <w:lang w:val="sq-AL"/>
        </w:rPr>
        <w:tab/>
        <w:t>Strategjia Kombëtare për</w:t>
      </w:r>
      <w:r w:rsidR="000A2A01" w:rsidRPr="007114AF">
        <w:rPr>
          <w:rFonts w:ascii="Garamond" w:hAnsi="Garamond"/>
          <w:lang w:val="sq-AL"/>
        </w:rPr>
        <w:t xml:space="preserve"> </w:t>
      </w:r>
      <w:r w:rsidRPr="007114AF">
        <w:rPr>
          <w:rFonts w:ascii="Garamond" w:hAnsi="Garamond"/>
          <w:lang w:val="sq-AL"/>
        </w:rPr>
        <w:t>Zbutjen e Ndryshimeve Klimatike</w:t>
      </w:r>
      <w:r w:rsidR="008F0E2C" w:rsidRPr="007114AF">
        <w:rPr>
          <w:rFonts w:ascii="Garamond" w:hAnsi="Garamond"/>
          <w:lang w:val="sq-AL"/>
        </w:rPr>
        <w:t xml:space="preserve"> </w:t>
      </w:r>
      <w:r w:rsidRPr="007114AF">
        <w:rPr>
          <w:rFonts w:ascii="Garamond" w:hAnsi="Garamond"/>
          <w:lang w:val="sq-AL"/>
        </w:rPr>
        <w:t xml:space="preserve">dhe Plani </w:t>
      </w:r>
    </w:p>
    <w:p w14:paraId="6EDCF3AE" w14:textId="77777777" w:rsidR="00E24568" w:rsidRPr="007114AF" w:rsidRDefault="00E24568" w:rsidP="00FF37A6">
      <w:pPr>
        <w:pStyle w:val="NoSpacing"/>
        <w:rPr>
          <w:rFonts w:ascii="Garamond" w:hAnsi="Garamond"/>
          <w:lang w:val="sq-AL"/>
        </w:rPr>
      </w:pPr>
      <w:r w:rsidRPr="007114AF">
        <w:rPr>
          <w:rFonts w:ascii="Garamond" w:hAnsi="Garamond"/>
          <w:lang w:val="sq-AL"/>
        </w:rPr>
        <w:t xml:space="preserve">SKZHI-II </w:t>
      </w:r>
      <w:r w:rsidRPr="007114AF">
        <w:rPr>
          <w:rFonts w:ascii="Garamond" w:hAnsi="Garamond"/>
          <w:lang w:val="sq-AL"/>
        </w:rPr>
        <w:tab/>
        <w:t>Strategjia Kombëtare për Zhvillim dhe Integrim</w:t>
      </w:r>
    </w:p>
    <w:p w14:paraId="6EDCF3AF" w14:textId="77777777" w:rsidR="00E24568" w:rsidRPr="007114AF" w:rsidRDefault="00E24568" w:rsidP="00FF37A6">
      <w:pPr>
        <w:pStyle w:val="NoSpacing"/>
        <w:rPr>
          <w:rFonts w:ascii="Garamond" w:hAnsi="Garamond"/>
          <w:lang w:val="sq-AL"/>
        </w:rPr>
      </w:pPr>
      <w:r w:rsidRPr="007114AF">
        <w:rPr>
          <w:rFonts w:ascii="Garamond" w:hAnsi="Garamond"/>
          <w:lang w:val="sq-AL"/>
        </w:rPr>
        <w:t>PRREH</w:t>
      </w:r>
      <w:r w:rsidRPr="007114AF">
        <w:rPr>
          <w:rFonts w:ascii="Garamond" w:hAnsi="Garamond"/>
          <w:lang w:val="sq-AL"/>
        </w:rPr>
        <w:tab/>
        <w:t>Mjetet Elektrike Hibride me Karikim</w:t>
      </w:r>
    </w:p>
    <w:p w14:paraId="6EDCF3B0" w14:textId="77777777" w:rsidR="00E24568" w:rsidRPr="007114AF" w:rsidRDefault="00E24568" w:rsidP="00FF37A6">
      <w:pPr>
        <w:pStyle w:val="NoSpacing"/>
        <w:rPr>
          <w:rFonts w:ascii="Garamond" w:hAnsi="Garamond"/>
          <w:lang w:val="sq-AL"/>
        </w:rPr>
      </w:pPr>
      <w:r w:rsidRPr="007114AF">
        <w:rPr>
          <w:rFonts w:ascii="Garamond" w:hAnsi="Garamond"/>
          <w:lang w:val="sq-AL"/>
        </w:rPr>
        <w:t>DER</w:t>
      </w:r>
      <w:r w:rsidRPr="007114AF">
        <w:rPr>
          <w:rFonts w:ascii="Garamond" w:hAnsi="Garamond"/>
          <w:lang w:val="sq-AL"/>
        </w:rPr>
        <w:tab/>
      </w:r>
      <w:r w:rsidR="00B74FC4" w:rsidRPr="007114AF">
        <w:rPr>
          <w:rFonts w:ascii="Garamond" w:hAnsi="Garamond"/>
          <w:lang w:val="sq-AL"/>
        </w:rPr>
        <w:tab/>
      </w:r>
      <w:r w:rsidRPr="007114AF">
        <w:rPr>
          <w:rFonts w:ascii="Garamond" w:hAnsi="Garamond"/>
          <w:lang w:val="sq-AL"/>
        </w:rPr>
        <w:t>Direktiva e Energjisë së Rinovueshme</w:t>
      </w:r>
    </w:p>
    <w:p w14:paraId="6EDCF3B1" w14:textId="77777777" w:rsidR="00E24568" w:rsidRPr="007114AF" w:rsidRDefault="00E24568" w:rsidP="00FF37A6">
      <w:pPr>
        <w:pStyle w:val="NoSpacing"/>
        <w:rPr>
          <w:rFonts w:ascii="Garamond" w:hAnsi="Garamond"/>
          <w:lang w:val="sq-AL"/>
        </w:rPr>
      </w:pPr>
      <w:r w:rsidRPr="007114AF">
        <w:rPr>
          <w:rFonts w:ascii="Garamond" w:hAnsi="Garamond"/>
          <w:lang w:val="sq-AL"/>
        </w:rPr>
        <w:t>BER</w:t>
      </w:r>
      <w:r w:rsidRPr="007114AF">
        <w:rPr>
          <w:rFonts w:ascii="Garamond" w:hAnsi="Garamond"/>
          <w:lang w:val="sq-AL"/>
        </w:rPr>
        <w:tab/>
      </w:r>
      <w:r w:rsidR="00B74FC4" w:rsidRPr="007114AF">
        <w:rPr>
          <w:rFonts w:ascii="Garamond" w:hAnsi="Garamond"/>
          <w:lang w:val="sq-AL"/>
        </w:rPr>
        <w:tab/>
      </w:r>
      <w:r w:rsidRPr="007114AF">
        <w:rPr>
          <w:rFonts w:ascii="Garamond" w:hAnsi="Garamond"/>
          <w:lang w:val="sq-AL"/>
        </w:rPr>
        <w:t>Burimet e Energjisë së Rinovueshme</w:t>
      </w:r>
    </w:p>
    <w:p w14:paraId="6EDCF3B2" w14:textId="77777777" w:rsidR="00E24568" w:rsidRPr="007114AF" w:rsidRDefault="00E24568" w:rsidP="00FF37A6">
      <w:pPr>
        <w:pStyle w:val="NoSpacing"/>
        <w:rPr>
          <w:rFonts w:ascii="Garamond" w:hAnsi="Garamond"/>
          <w:bCs/>
          <w:lang w:val="sq-AL"/>
        </w:rPr>
      </w:pPr>
      <w:r w:rsidRPr="007114AF">
        <w:rPr>
          <w:rFonts w:ascii="Garamond" w:hAnsi="Garamond"/>
          <w:lang w:val="sq-AL"/>
        </w:rPr>
        <w:t>SEETO</w:t>
      </w:r>
      <w:r w:rsidRPr="007114AF">
        <w:rPr>
          <w:rFonts w:ascii="Garamond" w:hAnsi="Garamond"/>
          <w:lang w:val="sq-AL"/>
        </w:rPr>
        <w:tab/>
      </w:r>
      <w:r w:rsidRPr="007114AF">
        <w:rPr>
          <w:rFonts w:ascii="Garamond" w:hAnsi="Garamond"/>
          <w:bCs/>
          <w:lang w:val="sq-AL"/>
        </w:rPr>
        <w:t xml:space="preserve">Observatori i </w:t>
      </w:r>
      <w:r w:rsidRPr="007114AF">
        <w:rPr>
          <w:rFonts w:ascii="Garamond" w:hAnsi="Garamond"/>
          <w:lang w:val="sq-AL"/>
        </w:rPr>
        <w:t>Transportit të Evropës Juglindore</w:t>
      </w:r>
    </w:p>
    <w:p w14:paraId="6EDCF3B3" w14:textId="77777777" w:rsidR="00E24568" w:rsidRPr="007114AF" w:rsidRDefault="00E24568" w:rsidP="00FF37A6">
      <w:pPr>
        <w:pStyle w:val="NoSpacing"/>
        <w:rPr>
          <w:rFonts w:ascii="Garamond" w:hAnsi="Garamond"/>
          <w:lang w:val="sq-AL"/>
        </w:rPr>
      </w:pPr>
      <w:r w:rsidRPr="007114AF">
        <w:rPr>
          <w:rFonts w:ascii="Garamond" w:hAnsi="Garamond"/>
          <w:lang w:val="sq-AL"/>
        </w:rPr>
        <w:t>KDK</w:t>
      </w:r>
      <w:r w:rsidRPr="007114AF">
        <w:rPr>
          <w:rFonts w:ascii="Garamond" w:hAnsi="Garamond"/>
          <w:lang w:val="sq-AL"/>
        </w:rPr>
        <w:tab/>
      </w:r>
      <w:r w:rsidR="00B74FC4" w:rsidRPr="007114AF">
        <w:rPr>
          <w:rFonts w:ascii="Garamond" w:hAnsi="Garamond"/>
          <w:lang w:val="sq-AL"/>
        </w:rPr>
        <w:tab/>
      </w:r>
      <w:r w:rsidRPr="007114AF">
        <w:rPr>
          <w:rFonts w:ascii="Garamond" w:hAnsi="Garamond"/>
          <w:lang w:val="sq-AL"/>
        </w:rPr>
        <w:t>Komunikimi i Dytë Kombëtar</w:t>
      </w:r>
    </w:p>
    <w:p w14:paraId="6EDCF3B4" w14:textId="77777777" w:rsidR="00E24568" w:rsidRPr="007114AF" w:rsidRDefault="00E24568" w:rsidP="00FF37A6">
      <w:pPr>
        <w:pStyle w:val="NoSpacing"/>
        <w:rPr>
          <w:rFonts w:ascii="Garamond" w:hAnsi="Garamond"/>
          <w:lang w:val="sq-AL"/>
        </w:rPr>
      </w:pPr>
      <w:r w:rsidRPr="007114AF">
        <w:rPr>
          <w:rFonts w:ascii="Garamond" w:hAnsi="Garamond"/>
          <w:lang w:val="sq-AL"/>
        </w:rPr>
        <w:t>TECTQ</w:t>
      </w:r>
      <w:r w:rsidRPr="007114AF">
        <w:rPr>
          <w:rFonts w:ascii="Garamond" w:hAnsi="Garamond"/>
          <w:lang w:val="sq-AL"/>
        </w:rPr>
        <w:tab/>
        <w:t>Plani për Transport të Qëndrueshëm</w:t>
      </w:r>
    </w:p>
    <w:p w14:paraId="6EDCF3B5" w14:textId="77777777" w:rsidR="00E24568" w:rsidRPr="007114AF" w:rsidRDefault="00E24568" w:rsidP="00FF37A6">
      <w:pPr>
        <w:pStyle w:val="NoSpacing"/>
        <w:rPr>
          <w:rFonts w:ascii="Garamond" w:hAnsi="Garamond"/>
          <w:lang w:val="sq-AL"/>
        </w:rPr>
      </w:pPr>
      <w:r w:rsidRPr="007114AF">
        <w:rPr>
          <w:rFonts w:ascii="Garamond" w:hAnsi="Garamond"/>
          <w:lang w:val="sq-AL"/>
        </w:rPr>
        <w:t>TEN-T</w:t>
      </w:r>
      <w:r w:rsidRPr="007114AF">
        <w:rPr>
          <w:rFonts w:ascii="Garamond" w:hAnsi="Garamond"/>
          <w:lang w:val="sq-AL"/>
        </w:rPr>
        <w:tab/>
      </w:r>
      <w:r w:rsidR="00B74FC4" w:rsidRPr="007114AF">
        <w:rPr>
          <w:rFonts w:ascii="Garamond" w:hAnsi="Garamond"/>
          <w:lang w:val="sq-AL"/>
        </w:rPr>
        <w:tab/>
      </w:r>
      <w:r w:rsidRPr="007114AF">
        <w:rPr>
          <w:rFonts w:ascii="Garamond" w:hAnsi="Garamond"/>
          <w:lang w:val="sq-AL"/>
        </w:rPr>
        <w:t>Rrjeti Trans-Evropiani Transportit </w:t>
      </w:r>
    </w:p>
    <w:p w14:paraId="6EDCF3B6" w14:textId="77777777" w:rsidR="00E24568" w:rsidRPr="007114AF" w:rsidRDefault="00E24568" w:rsidP="00FF37A6">
      <w:pPr>
        <w:pStyle w:val="NoSpacing"/>
        <w:rPr>
          <w:rFonts w:ascii="Garamond" w:hAnsi="Garamond"/>
          <w:lang w:val="sq-AL"/>
        </w:rPr>
      </w:pPr>
      <w:r w:rsidRPr="007114AF">
        <w:rPr>
          <w:rFonts w:ascii="Garamond" w:hAnsi="Garamond"/>
          <w:lang w:val="sq-AL"/>
        </w:rPr>
        <w:t>KTK</w:t>
      </w:r>
      <w:r w:rsidRPr="007114AF">
        <w:rPr>
          <w:rFonts w:ascii="Garamond" w:hAnsi="Garamond"/>
          <w:lang w:val="sq-AL"/>
        </w:rPr>
        <w:tab/>
      </w:r>
      <w:r w:rsidR="00B74FC4" w:rsidRPr="007114AF">
        <w:rPr>
          <w:rFonts w:ascii="Garamond" w:hAnsi="Garamond"/>
          <w:lang w:val="sq-AL"/>
        </w:rPr>
        <w:tab/>
      </w:r>
      <w:r w:rsidRPr="007114AF">
        <w:rPr>
          <w:rFonts w:ascii="Garamond" w:hAnsi="Garamond"/>
          <w:lang w:val="sq-AL"/>
        </w:rPr>
        <w:t>Komunikimi i Tretë Kombëtar</w:t>
      </w:r>
    </w:p>
    <w:p w14:paraId="6EDCF3B7" w14:textId="77777777" w:rsidR="00E24568" w:rsidRPr="007114AF" w:rsidRDefault="00E24568" w:rsidP="00FF37A6">
      <w:pPr>
        <w:pStyle w:val="NoSpacing"/>
        <w:rPr>
          <w:rFonts w:ascii="Garamond" w:hAnsi="Garamond"/>
          <w:lang w:val="sq-AL"/>
        </w:rPr>
      </w:pPr>
      <w:r w:rsidRPr="007114AF">
        <w:rPr>
          <w:rFonts w:ascii="Garamond" w:hAnsi="Garamond"/>
          <w:lang w:val="sq-AL"/>
        </w:rPr>
        <w:t>FTPE</w:t>
      </w:r>
      <w:r w:rsidRPr="007114AF">
        <w:rPr>
          <w:rFonts w:ascii="Garamond" w:hAnsi="Garamond"/>
          <w:lang w:val="sq-AL"/>
        </w:rPr>
        <w:tab/>
      </w:r>
      <w:r w:rsidR="00B74FC4" w:rsidRPr="007114AF">
        <w:rPr>
          <w:rFonts w:ascii="Garamond" w:hAnsi="Garamond"/>
          <w:lang w:val="sq-AL"/>
        </w:rPr>
        <w:tab/>
      </w:r>
      <w:r w:rsidRPr="007114AF">
        <w:rPr>
          <w:rFonts w:ascii="Garamond" w:hAnsi="Garamond"/>
          <w:lang w:val="sq-AL"/>
        </w:rPr>
        <w:t>Furnizimi Total Primar me Energji</w:t>
      </w:r>
    </w:p>
    <w:p w14:paraId="6EDCF3B8" w14:textId="77777777" w:rsidR="00E24568" w:rsidRPr="007114AF" w:rsidRDefault="00E24568" w:rsidP="00FF37A6">
      <w:pPr>
        <w:pStyle w:val="NoSpacing"/>
        <w:rPr>
          <w:rFonts w:ascii="Garamond" w:hAnsi="Garamond"/>
          <w:lang w:val="sq-AL"/>
        </w:rPr>
      </w:pPr>
      <w:r w:rsidRPr="007114AF">
        <w:rPr>
          <w:rFonts w:ascii="Garamond" w:hAnsi="Garamond"/>
          <w:lang w:val="sq-AL"/>
        </w:rPr>
        <w:t>TEC</w:t>
      </w:r>
      <w:r w:rsidRPr="007114AF">
        <w:rPr>
          <w:rFonts w:ascii="Garamond" w:hAnsi="Garamond"/>
          <w:lang w:val="sq-AL"/>
        </w:rPr>
        <w:tab/>
      </w:r>
      <w:r w:rsidR="00B74FC4" w:rsidRPr="007114AF">
        <w:rPr>
          <w:rFonts w:ascii="Garamond" w:hAnsi="Garamond"/>
          <w:lang w:val="sq-AL"/>
        </w:rPr>
        <w:tab/>
      </w:r>
      <w:r w:rsidRPr="007114AF">
        <w:rPr>
          <w:rFonts w:ascii="Garamond" w:hAnsi="Garamond"/>
          <w:lang w:val="sq-AL"/>
        </w:rPr>
        <w:t xml:space="preserve">Termocentral </w:t>
      </w:r>
    </w:p>
    <w:p w14:paraId="6EDCF3B9" w14:textId="77777777" w:rsidR="00E24568" w:rsidRPr="007114AF" w:rsidRDefault="00E24568" w:rsidP="00FF37A6">
      <w:pPr>
        <w:pStyle w:val="NoSpacing"/>
        <w:rPr>
          <w:rFonts w:ascii="Garamond" w:hAnsi="Garamond"/>
          <w:lang w:val="sq-AL"/>
        </w:rPr>
      </w:pPr>
      <w:r w:rsidRPr="007114AF">
        <w:rPr>
          <w:rFonts w:ascii="Garamond" w:hAnsi="Garamond"/>
          <w:lang w:val="sq-AL"/>
        </w:rPr>
        <w:t>SSTPV</w:t>
      </w:r>
      <w:r w:rsidRPr="007114AF">
        <w:rPr>
          <w:rFonts w:ascii="Garamond" w:hAnsi="Garamond"/>
          <w:lang w:val="sq-AL"/>
        </w:rPr>
        <w:tab/>
      </w:r>
      <w:r w:rsidR="00B74FC4" w:rsidRPr="007114AF">
        <w:rPr>
          <w:rFonts w:ascii="Garamond" w:hAnsi="Garamond"/>
          <w:lang w:val="sq-AL"/>
        </w:rPr>
        <w:tab/>
      </w:r>
      <w:r w:rsidRPr="007114AF">
        <w:rPr>
          <w:rFonts w:ascii="Garamond" w:hAnsi="Garamond"/>
          <w:lang w:val="sq-AL"/>
        </w:rPr>
        <w:t>Strategjia e Sektorit të Transportit dhe Plani i Veprimit</w:t>
      </w:r>
    </w:p>
    <w:p w14:paraId="6EDCF3BA" w14:textId="77777777" w:rsidR="00E24568" w:rsidRPr="007114AF" w:rsidRDefault="00E24568" w:rsidP="00FF37A6">
      <w:pPr>
        <w:pStyle w:val="NoSpacing"/>
        <w:rPr>
          <w:rFonts w:ascii="Garamond" w:hAnsi="Garamond"/>
          <w:lang w:val="sq-AL"/>
        </w:rPr>
      </w:pPr>
      <w:r w:rsidRPr="007114AF">
        <w:rPr>
          <w:rFonts w:ascii="Garamond" w:hAnsi="Garamond"/>
          <w:lang w:val="sq-AL"/>
        </w:rPr>
        <w:t xml:space="preserve">UNDP </w:t>
      </w:r>
      <w:r w:rsidRPr="007114AF">
        <w:rPr>
          <w:rFonts w:ascii="Garamond" w:hAnsi="Garamond"/>
          <w:lang w:val="sq-AL"/>
        </w:rPr>
        <w:tab/>
        <w:t>Programi për Zhvillim i Kombeve të Bashkuara</w:t>
      </w:r>
    </w:p>
    <w:p w14:paraId="6EDCF3BB" w14:textId="77777777" w:rsidR="00E24568" w:rsidRPr="007114AF" w:rsidRDefault="00E24568" w:rsidP="00FF37A6">
      <w:pPr>
        <w:pStyle w:val="NoSpacing"/>
        <w:rPr>
          <w:rFonts w:ascii="Garamond" w:hAnsi="Garamond"/>
          <w:lang w:val="sq-AL"/>
        </w:rPr>
      </w:pPr>
      <w:r w:rsidRPr="007114AF">
        <w:rPr>
          <w:rFonts w:ascii="Garamond" w:hAnsi="Garamond"/>
          <w:lang w:val="sq-AL"/>
        </w:rPr>
        <w:t xml:space="preserve">UNFCCC </w:t>
      </w:r>
      <w:r w:rsidRPr="007114AF">
        <w:rPr>
          <w:rFonts w:ascii="Garamond" w:hAnsi="Garamond"/>
          <w:lang w:val="sq-AL"/>
        </w:rPr>
        <w:tab/>
        <w:t xml:space="preserve">Konventa Kuadër e Kombeve të Bashkuara për Ndryshimet Klimatike </w:t>
      </w:r>
    </w:p>
    <w:p w14:paraId="6EDCF3BC" w14:textId="77777777" w:rsidR="00E24568" w:rsidRPr="007114AF" w:rsidRDefault="00E24568" w:rsidP="00FF37A6">
      <w:pPr>
        <w:pStyle w:val="NoSpacing"/>
        <w:rPr>
          <w:rFonts w:ascii="Garamond" w:hAnsi="Garamond"/>
          <w:lang w:val="sq-AL"/>
        </w:rPr>
      </w:pPr>
      <w:r w:rsidRPr="007114AF">
        <w:rPr>
          <w:rFonts w:ascii="Garamond" w:hAnsi="Garamond"/>
          <w:lang w:val="sq-AL"/>
        </w:rPr>
        <w:t>BB</w:t>
      </w:r>
      <w:r w:rsidRPr="007114AF">
        <w:rPr>
          <w:rFonts w:ascii="Garamond" w:hAnsi="Garamond"/>
          <w:lang w:val="sq-AL"/>
        </w:rPr>
        <w:tab/>
      </w:r>
      <w:r w:rsidR="00B74FC4" w:rsidRPr="007114AF">
        <w:rPr>
          <w:rFonts w:ascii="Garamond" w:hAnsi="Garamond"/>
          <w:lang w:val="sq-AL"/>
        </w:rPr>
        <w:tab/>
      </w:r>
      <w:r w:rsidRPr="007114AF">
        <w:rPr>
          <w:rFonts w:ascii="Garamond" w:hAnsi="Garamond"/>
          <w:lang w:val="sq-AL"/>
        </w:rPr>
        <w:t>Banka Botërore</w:t>
      </w:r>
    </w:p>
    <w:p w14:paraId="6EDCF3BD" w14:textId="77777777" w:rsidR="00B74FC4" w:rsidRPr="007114AF" w:rsidRDefault="00B74FC4" w:rsidP="00FF37A6">
      <w:pPr>
        <w:pStyle w:val="NoSpacing"/>
        <w:rPr>
          <w:rFonts w:ascii="Garamond" w:hAnsi="Garamond"/>
          <w:lang w:val="sq-AL"/>
        </w:rPr>
      </w:pPr>
    </w:p>
    <w:p w14:paraId="6EDCF3BE" w14:textId="38E92DC2" w:rsidR="001C6C5A" w:rsidRPr="007114AF" w:rsidRDefault="001C6C5A" w:rsidP="001C6C5A">
      <w:pPr>
        <w:spacing w:after="0" w:line="240" w:lineRule="auto"/>
        <w:ind w:firstLine="284"/>
        <w:rPr>
          <w:rFonts w:ascii="Garamond" w:hAnsi="Garamond"/>
          <w:sz w:val="24"/>
          <w:szCs w:val="24"/>
        </w:rPr>
      </w:pPr>
      <w:bookmarkStart w:id="0" w:name="_Toc484424467"/>
      <w:bookmarkStart w:id="1" w:name="_Toc450151824"/>
      <w:r w:rsidRPr="007114AF">
        <w:rPr>
          <w:rFonts w:ascii="Garamond" w:hAnsi="Garamond"/>
          <w:sz w:val="24"/>
          <w:szCs w:val="24"/>
        </w:rPr>
        <w:t>PËRMBLEDHJE</w:t>
      </w:r>
      <w:bookmarkEnd w:id="0"/>
      <w:r w:rsidR="001C3983" w:rsidRPr="007114AF">
        <w:rPr>
          <w:rFonts w:ascii="Garamond" w:hAnsi="Garamond"/>
          <w:sz w:val="24"/>
          <w:szCs w:val="24"/>
        </w:rPr>
        <w:t xml:space="preserve"> </w:t>
      </w:r>
    </w:p>
    <w:p w14:paraId="6EDCF3BF" w14:textId="77777777" w:rsidR="001C6C5A" w:rsidRPr="007114AF" w:rsidRDefault="001C6C5A" w:rsidP="001C6C5A">
      <w:pPr>
        <w:spacing w:after="0" w:line="240" w:lineRule="auto"/>
        <w:ind w:firstLine="284"/>
        <w:rPr>
          <w:rFonts w:ascii="Garamond" w:hAnsi="Garamond"/>
          <w:sz w:val="24"/>
          <w:szCs w:val="24"/>
        </w:rPr>
      </w:pPr>
      <w:r w:rsidRPr="007114AF">
        <w:rPr>
          <w:rFonts w:ascii="Garamond" w:hAnsi="Garamond"/>
          <w:sz w:val="24"/>
          <w:szCs w:val="24"/>
        </w:rPr>
        <w:t>Ndryshimet klimatike përfaqësojnë një kërcënim urgjent dhe potencialisht të pakthyeshëm për shoqëritë njerëzore, sidomos për zonën e Mesdheut, ndaj zhvillimi drejt një ekonomie me karbon të ulët është kyçi për arritjen e objektivave të masave globale zbutëse, si dhe për një reagim të përshtatur të brezit të ardhshëm me kosto të arsyeshme mjedisore, ekonomike dhe sociale [3].</w:t>
      </w:r>
    </w:p>
    <w:p w14:paraId="6EDCF3C0" w14:textId="77777777" w:rsidR="001C6C5A" w:rsidRPr="007114AF" w:rsidRDefault="001C6C5A" w:rsidP="001C6C5A">
      <w:pPr>
        <w:spacing w:after="0" w:line="240" w:lineRule="auto"/>
        <w:ind w:firstLine="284"/>
        <w:rPr>
          <w:rFonts w:ascii="Garamond" w:hAnsi="Garamond"/>
          <w:sz w:val="24"/>
          <w:szCs w:val="24"/>
        </w:rPr>
      </w:pPr>
      <w:r w:rsidRPr="007114AF">
        <w:rPr>
          <w:rFonts w:ascii="Garamond" w:hAnsi="Garamond"/>
          <w:sz w:val="24"/>
          <w:szCs w:val="24"/>
        </w:rPr>
        <w:t>Me nënshkrimin e Marrëveshjes së Parisit nga Qeveria (Nju-Jork, 22 prill 2016), Shqipëria ka hyrë në epokën e re të procesit të politikave klimatike ndërkombëtare, ku të gjitha palët synojnë në mënyrë kolektive ta mbajnë rritjen e temperaturës globale në 2°C mbi nivelin paraindustrial [2.2].</w:t>
      </w:r>
    </w:p>
    <w:p w14:paraId="6EDCF3C1" w14:textId="43AE4E3B" w:rsidR="001C6C5A" w:rsidRPr="007114AF" w:rsidRDefault="001C6C5A" w:rsidP="001C6C5A">
      <w:pPr>
        <w:spacing w:after="0" w:line="240" w:lineRule="auto"/>
        <w:ind w:firstLine="284"/>
        <w:rPr>
          <w:rFonts w:ascii="Garamond" w:hAnsi="Garamond"/>
          <w:sz w:val="24"/>
          <w:szCs w:val="24"/>
        </w:rPr>
      </w:pPr>
      <w:r w:rsidRPr="007114AF">
        <w:rPr>
          <w:rFonts w:ascii="Garamond" w:hAnsi="Garamond"/>
          <w:sz w:val="24"/>
          <w:szCs w:val="24"/>
        </w:rPr>
        <w:t>Kjo Strategjie Përgjithshme Kombëtare e Ndryshimeve Klimatike dhe Plani (dokumenti i SKNK&amp;P) janë hartuar për të mbështetur zbatimin e legjislacionit të BE-së për mjedisin dhe klimën, duke synuar përforcimin e koordinimit ndërsektorial në Shqipëri për masat mbi klimën, mbrojtjen e mjedisit dhe zhvillimin e qëndrueshëm, me qëllim që t</w:t>
      </w:r>
      <w:r w:rsidR="00D10DAB" w:rsidRPr="007114AF">
        <w:rPr>
          <w:rFonts w:ascii="Garamond" w:hAnsi="Garamond"/>
          <w:sz w:val="24"/>
          <w:szCs w:val="24"/>
        </w:rPr>
        <w:t>’</w:t>
      </w:r>
      <w:r w:rsidRPr="007114AF">
        <w:rPr>
          <w:rFonts w:ascii="Garamond" w:hAnsi="Garamond"/>
          <w:sz w:val="24"/>
          <w:szCs w:val="24"/>
        </w:rPr>
        <w:t xml:space="preserve">i përgjigjen nevojës për afrimin me kërkesat e BE-së, duke qenë se aktualisht, Shqipëria mban statusin zyrtar të vendit kandidat për anëtarësim në BE (që prej qershorit 2014) [2.3; 2.4; 2.5].Dokumenti i </w:t>
      </w:r>
      <w:r w:rsidR="000A2A01" w:rsidRPr="007114AF">
        <w:rPr>
          <w:rFonts w:ascii="Garamond" w:hAnsi="Garamond"/>
          <w:sz w:val="24"/>
          <w:szCs w:val="24"/>
        </w:rPr>
        <w:t xml:space="preserve">SKNK&amp;P-së </w:t>
      </w:r>
      <w:r w:rsidRPr="007114AF">
        <w:rPr>
          <w:rFonts w:ascii="Garamond" w:hAnsi="Garamond"/>
          <w:sz w:val="24"/>
          <w:szCs w:val="24"/>
        </w:rPr>
        <w:t>kryhet në përputhje me vendimin 1/CP16 të UNFCCC-it dhe vendimin 525/2013/EUpër pjesën e zbutjes. Ndërkohë, procesi i përsh</w:t>
      </w:r>
      <w:r w:rsidR="008F0E2C" w:rsidRPr="007114AF">
        <w:rPr>
          <w:rFonts w:ascii="Garamond" w:hAnsi="Garamond"/>
          <w:sz w:val="24"/>
          <w:szCs w:val="24"/>
        </w:rPr>
        <w:t>t</w:t>
      </w:r>
      <w:r w:rsidRPr="007114AF">
        <w:rPr>
          <w:rFonts w:ascii="Garamond" w:hAnsi="Garamond"/>
          <w:sz w:val="24"/>
          <w:szCs w:val="24"/>
        </w:rPr>
        <w:t xml:space="preserve">atjes në Shqipëri orientohet nga </w:t>
      </w:r>
      <w:r w:rsidR="000A2A01" w:rsidRPr="007114AF">
        <w:rPr>
          <w:rFonts w:ascii="Garamond" w:hAnsi="Garamond"/>
          <w:sz w:val="24"/>
          <w:szCs w:val="24"/>
        </w:rPr>
        <w:t>“</w:t>
      </w:r>
      <w:r w:rsidRPr="007114AF">
        <w:rPr>
          <w:rFonts w:ascii="Garamond" w:hAnsi="Garamond"/>
          <w:sz w:val="24"/>
          <w:szCs w:val="24"/>
        </w:rPr>
        <w:t>Udhëzimet teknike për proceset e NAP-it</w:t>
      </w:r>
      <w:r w:rsidR="000A2A01" w:rsidRPr="007114AF">
        <w:rPr>
          <w:rFonts w:ascii="Garamond" w:hAnsi="Garamond"/>
          <w:sz w:val="24"/>
          <w:szCs w:val="24"/>
        </w:rPr>
        <w:t>”</w:t>
      </w:r>
      <w:r w:rsidRPr="007114AF">
        <w:rPr>
          <w:rFonts w:ascii="Garamond" w:hAnsi="Garamond"/>
          <w:sz w:val="24"/>
          <w:szCs w:val="24"/>
        </w:rPr>
        <w:t xml:space="preserve">, të përgatitura nga Grupi Ekspertëve të Vendeve më pak të zhvilluara të </w:t>
      </w:r>
      <w:r w:rsidRPr="007114AF">
        <w:rPr>
          <w:rFonts w:ascii="Garamond" w:hAnsi="Garamond"/>
          <w:sz w:val="24"/>
          <w:szCs w:val="24"/>
        </w:rPr>
        <w:lastRenderedPageBreak/>
        <w:t>UNFCCC-së (LEG)</w:t>
      </w:r>
      <w:r w:rsidRPr="007114AF">
        <w:rPr>
          <w:rFonts w:ascii="Garamond" w:hAnsi="Garamond"/>
          <w:sz w:val="24"/>
          <w:szCs w:val="24"/>
          <w:vertAlign w:val="superscript"/>
        </w:rPr>
        <w:footnoteReference w:id="2"/>
      </w:r>
      <w:r w:rsidRPr="007114AF">
        <w:rPr>
          <w:rFonts w:ascii="Garamond" w:hAnsi="Garamond"/>
          <w:sz w:val="24"/>
          <w:szCs w:val="24"/>
        </w:rPr>
        <w:t xml:space="preserve"> dhe të publikuara në dhjetor të vitit 2012 (të ashtuquajturat </w:t>
      </w:r>
      <w:r w:rsidR="000A2A01" w:rsidRPr="007114AF">
        <w:rPr>
          <w:rFonts w:ascii="Garamond" w:hAnsi="Garamond"/>
          <w:sz w:val="24"/>
          <w:szCs w:val="24"/>
        </w:rPr>
        <w:t>“</w:t>
      </w:r>
      <w:r w:rsidRPr="007114AF">
        <w:rPr>
          <w:rFonts w:ascii="Garamond" w:hAnsi="Garamond"/>
          <w:sz w:val="24"/>
          <w:szCs w:val="24"/>
        </w:rPr>
        <w:t>Udhëzimet teknike</w:t>
      </w:r>
      <w:r w:rsidR="000A2A01" w:rsidRPr="007114AF">
        <w:rPr>
          <w:rFonts w:ascii="Garamond" w:hAnsi="Garamond"/>
          <w:sz w:val="24"/>
          <w:szCs w:val="24"/>
        </w:rPr>
        <w:t>”</w:t>
      </w:r>
      <w:r w:rsidRPr="007114AF">
        <w:rPr>
          <w:rFonts w:ascii="Garamond" w:hAnsi="Garamond"/>
          <w:sz w:val="24"/>
          <w:szCs w:val="24"/>
        </w:rPr>
        <w:t>). Procesi i NAP-it është performuar në përputhje me Strategjinë e BE-së, për përshtatjen ndaj ndryshimeve klimatike, e miratuara nga Komisioni Evropian në prill 2013.</w:t>
      </w:r>
      <w:r w:rsidRPr="007114AF">
        <w:rPr>
          <w:rFonts w:ascii="Garamond" w:hAnsi="Garamond"/>
          <w:sz w:val="24"/>
          <w:szCs w:val="24"/>
          <w:vertAlign w:val="superscript"/>
        </w:rPr>
        <w:footnoteReference w:id="3"/>
      </w:r>
    </w:p>
    <w:p w14:paraId="6EDCF3C2" w14:textId="2EDA103F" w:rsidR="001C6C5A" w:rsidRPr="007114AF" w:rsidRDefault="001C6C5A" w:rsidP="001C6C5A">
      <w:pPr>
        <w:spacing w:after="0" w:line="240" w:lineRule="auto"/>
        <w:ind w:firstLine="284"/>
        <w:rPr>
          <w:rFonts w:ascii="Garamond" w:hAnsi="Garamond"/>
          <w:sz w:val="24"/>
          <w:szCs w:val="24"/>
        </w:rPr>
      </w:pPr>
      <w:r w:rsidRPr="007114AF">
        <w:rPr>
          <w:rFonts w:ascii="Garamond" w:hAnsi="Garamond"/>
          <w:sz w:val="24"/>
          <w:szCs w:val="24"/>
        </w:rPr>
        <w:t xml:space="preserve">Dokumenti i </w:t>
      </w:r>
      <w:r w:rsidR="000A2A01" w:rsidRPr="007114AF">
        <w:rPr>
          <w:rFonts w:ascii="Garamond" w:hAnsi="Garamond"/>
          <w:sz w:val="24"/>
          <w:szCs w:val="24"/>
        </w:rPr>
        <w:t xml:space="preserve">SKNK&amp;P-së </w:t>
      </w:r>
      <w:r w:rsidRPr="007114AF">
        <w:rPr>
          <w:rFonts w:ascii="Garamond" w:hAnsi="Garamond"/>
          <w:sz w:val="24"/>
          <w:szCs w:val="24"/>
        </w:rPr>
        <w:t>(pjesa e zbutjes) fokusohet në katër sektorët e mëposhtëm raportues të inventarit të gazrave serrë në Shqipëri: Energjia (me fokus të veçantë te Transporti), Bujqësia dhe sektorët e Ndryshimit të Përdorimit të Tokës dhe Pylltarisë(LUCF), duke mbuluar kështu 80% të shkarkimeve të Shqipërisë.</w:t>
      </w:r>
      <w:r w:rsidR="000A2A01" w:rsidRPr="007114AF">
        <w:rPr>
          <w:rFonts w:ascii="Garamond" w:hAnsi="Garamond"/>
          <w:sz w:val="24"/>
          <w:szCs w:val="24"/>
        </w:rPr>
        <w:t xml:space="preserve"> </w:t>
      </w:r>
      <w:r w:rsidRPr="007114AF">
        <w:rPr>
          <w:rFonts w:ascii="Garamond" w:hAnsi="Garamond"/>
          <w:sz w:val="24"/>
          <w:szCs w:val="24"/>
        </w:rPr>
        <w:t xml:space="preserve">NCCS &amp; P-ja (aspekti i përshtatjes NAP) siguron një drejtim udhëzues dhe veprime të përpikta për procesin e përshtatjes në Shqipëri, së bashku me kornizën për përshtatjen ndaj Ndryshimeve të Klimës (CCA). </w:t>
      </w:r>
    </w:p>
    <w:p w14:paraId="6EDCF3C3" w14:textId="25C21719" w:rsidR="001C6C5A" w:rsidRPr="007114AF" w:rsidRDefault="001C6C5A" w:rsidP="001C6C5A">
      <w:pPr>
        <w:spacing w:after="0" w:line="240" w:lineRule="auto"/>
        <w:ind w:firstLine="284"/>
        <w:rPr>
          <w:rFonts w:ascii="Garamond" w:hAnsi="Garamond"/>
          <w:sz w:val="24"/>
          <w:szCs w:val="24"/>
        </w:rPr>
      </w:pPr>
      <w:r w:rsidRPr="007114AF">
        <w:rPr>
          <w:rFonts w:ascii="Garamond" w:hAnsi="Garamond"/>
          <w:sz w:val="24"/>
          <w:szCs w:val="24"/>
        </w:rPr>
        <w:t>Meqë Këshilli i Ministrave i Shqipërisë dhe Ministritë përkatëse kanë përgatitur apo po punojnë aktualisht me Strategjitë dhe Planet e Veprimit mbi ndryshimin e klimës për sektorët kryesorë në Shqipëri, dokumenti i SKNK&amp;PV-së</w:t>
      </w:r>
      <w:r w:rsidR="008669FE" w:rsidRPr="007114AF">
        <w:rPr>
          <w:rFonts w:ascii="Garamond" w:hAnsi="Garamond"/>
          <w:sz w:val="24"/>
          <w:szCs w:val="24"/>
        </w:rPr>
        <w:t xml:space="preserve"> </w:t>
      </w:r>
      <w:r w:rsidRPr="007114AF">
        <w:rPr>
          <w:rFonts w:ascii="Garamond" w:hAnsi="Garamond"/>
          <w:sz w:val="24"/>
          <w:szCs w:val="24"/>
        </w:rPr>
        <w:t>përfaqësojnë një strategji të përgjithshme ndërsektoriale dhe një plan që siguron një përmbledhje të pikësynimeve, si dhe të objektivave politik</w:t>
      </w:r>
      <w:r w:rsidR="00A67A6F">
        <w:rPr>
          <w:rFonts w:ascii="Garamond" w:hAnsi="Garamond"/>
          <w:sz w:val="24"/>
          <w:szCs w:val="24"/>
        </w:rPr>
        <w:t>ë</w:t>
      </w:r>
      <w:r w:rsidRPr="007114AF">
        <w:rPr>
          <w:rFonts w:ascii="Garamond" w:hAnsi="Garamond"/>
          <w:sz w:val="24"/>
          <w:szCs w:val="24"/>
        </w:rPr>
        <w:t xml:space="preserve"> të fokusuar te zbutja e ndryshimeve klimatike, parashikuar në planet dhe strategjitë ekzistuese, duke vlerësuar sinergjitë potenciale dhe boshllëqet/mungesat, si dhe duke planifikuar rrugët për zhvillim</w:t>
      </w:r>
      <w:r w:rsidR="008669FE" w:rsidRPr="007114AF">
        <w:rPr>
          <w:rFonts w:ascii="Garamond" w:hAnsi="Garamond"/>
          <w:sz w:val="24"/>
          <w:szCs w:val="24"/>
        </w:rPr>
        <w:t xml:space="preserve"> </w:t>
      </w:r>
      <w:r w:rsidRPr="007114AF">
        <w:rPr>
          <w:rFonts w:ascii="Garamond" w:hAnsi="Garamond"/>
          <w:sz w:val="24"/>
          <w:szCs w:val="24"/>
        </w:rPr>
        <w:t>me uljen e nivelit të karbonit [4].</w:t>
      </w:r>
    </w:p>
    <w:p w14:paraId="6EDCF3C4" w14:textId="27AAF4F6" w:rsidR="001C6C5A" w:rsidRPr="007114AF" w:rsidRDefault="001C6C5A" w:rsidP="001C6C5A">
      <w:pPr>
        <w:spacing w:after="0" w:line="240" w:lineRule="auto"/>
        <w:ind w:firstLine="284"/>
        <w:rPr>
          <w:rFonts w:ascii="Garamond" w:hAnsi="Garamond"/>
          <w:sz w:val="24"/>
          <w:szCs w:val="24"/>
        </w:rPr>
      </w:pPr>
      <w:r w:rsidRPr="007114AF">
        <w:rPr>
          <w:rFonts w:ascii="Garamond" w:hAnsi="Garamond"/>
          <w:sz w:val="24"/>
          <w:szCs w:val="24"/>
        </w:rPr>
        <w:t>Në bazë të dokumenteve kryesore ekzistuese, është dhënë një përmbledhje e gjendjes së ekonomisë shqiptare [2.6] për</w:t>
      </w:r>
      <w:r w:rsidR="008669FE" w:rsidRPr="007114AF">
        <w:rPr>
          <w:rFonts w:ascii="Garamond" w:hAnsi="Garamond"/>
          <w:sz w:val="24"/>
          <w:szCs w:val="24"/>
        </w:rPr>
        <w:t xml:space="preserve"> </w:t>
      </w:r>
      <w:r w:rsidRPr="007114AF">
        <w:rPr>
          <w:rFonts w:ascii="Garamond" w:hAnsi="Garamond"/>
          <w:sz w:val="24"/>
          <w:szCs w:val="24"/>
        </w:rPr>
        <w:t>sektorët kryesorë të marrë në konsideratë, si dhe një analizë e prirjeve historike dhe të planifikuara të shkarkimeve GES [2.7].</w:t>
      </w:r>
    </w:p>
    <w:p w14:paraId="6EDCF3C5" w14:textId="229F1BFC" w:rsidR="001C6C5A" w:rsidRPr="007114AF" w:rsidRDefault="001C6C5A" w:rsidP="001C6C5A">
      <w:pPr>
        <w:spacing w:after="0" w:line="240" w:lineRule="auto"/>
        <w:ind w:firstLine="284"/>
        <w:rPr>
          <w:rFonts w:ascii="Garamond" w:hAnsi="Garamond"/>
          <w:sz w:val="24"/>
          <w:szCs w:val="24"/>
        </w:rPr>
      </w:pPr>
      <w:r w:rsidRPr="007114AF">
        <w:rPr>
          <w:rFonts w:ascii="Garamond" w:hAnsi="Garamond"/>
          <w:sz w:val="24"/>
          <w:szCs w:val="24"/>
        </w:rPr>
        <w:t>Vizioni kombëtar fokusohet fort në tre komponentët kryesorë të ndryshimit të klimës në Shqipëri: masat zbutëse, adaptimi dhe zhvillimi i qëndrueshëm. Janë identifikuar gjashtë përparësi të strategjisë së masave zbutëse (PS): SP.1Sigurimi i një zhvillimi të qëndrueshëm të ekonomisë në përputhje</w:t>
      </w:r>
      <w:r w:rsidR="008669FE" w:rsidRPr="007114AF">
        <w:rPr>
          <w:rFonts w:ascii="Garamond" w:hAnsi="Garamond"/>
          <w:sz w:val="24"/>
          <w:szCs w:val="24"/>
        </w:rPr>
        <w:t xml:space="preserve"> </w:t>
      </w:r>
      <w:r w:rsidRPr="007114AF">
        <w:rPr>
          <w:rFonts w:ascii="Garamond" w:hAnsi="Garamond"/>
          <w:sz w:val="24"/>
          <w:szCs w:val="24"/>
        </w:rPr>
        <w:t>me rrugët e shkarkimit GES të përcaktuara në Strategji, dhe ecja drejt një objektivi për gjithë ekonominë, për të cilin kontribuojnë të gjithë sektorët; SP.2Ngritja e një sistemi monitorues, raportues dhe verifikues të GES-it</w:t>
      </w:r>
      <w:r w:rsidR="008669FE" w:rsidRPr="007114AF">
        <w:rPr>
          <w:rFonts w:ascii="Garamond" w:hAnsi="Garamond"/>
          <w:sz w:val="24"/>
          <w:szCs w:val="24"/>
        </w:rPr>
        <w:t xml:space="preserve"> </w:t>
      </w:r>
      <w:r w:rsidRPr="007114AF">
        <w:rPr>
          <w:rFonts w:ascii="Garamond" w:hAnsi="Garamond"/>
          <w:sz w:val="24"/>
          <w:szCs w:val="24"/>
        </w:rPr>
        <w:t>në përputhje me kërkesat e BE-së; SP.3 Forcimi i kapacitetit të institucioneve përkatëse dhe bashkëpunimit ndërinstitucional për trajtimin e çështjeve të ndryshimit të klimës; SP.4 Përmirësimi i ndryshimeve klimatike në planifikimin strategjik sektorial; SP.5 Forcimi i kapacitetit dhe ndërgjegjësimi mbi çështjet e ndryshimeve</w:t>
      </w:r>
      <w:r w:rsidR="008669FE" w:rsidRPr="007114AF">
        <w:rPr>
          <w:rFonts w:ascii="Garamond" w:hAnsi="Garamond"/>
          <w:sz w:val="24"/>
          <w:szCs w:val="24"/>
        </w:rPr>
        <w:t xml:space="preserve"> </w:t>
      </w:r>
      <w:r w:rsidRPr="007114AF">
        <w:rPr>
          <w:rFonts w:ascii="Garamond" w:hAnsi="Garamond"/>
          <w:sz w:val="24"/>
          <w:szCs w:val="24"/>
        </w:rPr>
        <w:t>klimatike; SP.6 Afrimi me kuadrin ligjor të BE-së për ndryshimin e klimës në gjithë sektorët [3].Janë identifikuar së bashku me qëllimet, dhe treguesit specifikë të gjashtë fushave kryesore interesi për rëndësinë strategjike gjithëpërfshirëse të procesit të adaptimit në Shqipëri: rezultatet e përshtatjes; drejtimi i zbatimit të NAP-it; integrimin e NAP-it në fusha të ndryshme; financimi për Përshtatjen e Ndryshimeve Klimatike, ngritja e kapaciteteve, informimi dhe përfshirja, krijimi institucional dhe zhvillimi i kapaciteteve.</w:t>
      </w:r>
    </w:p>
    <w:p w14:paraId="6EDCF3C6" w14:textId="00A179D3" w:rsidR="001C6C5A" w:rsidRPr="007114AF" w:rsidRDefault="001C6C5A" w:rsidP="001C6C5A">
      <w:pPr>
        <w:spacing w:after="0" w:line="240" w:lineRule="auto"/>
        <w:ind w:firstLine="284"/>
        <w:rPr>
          <w:rFonts w:ascii="Garamond" w:hAnsi="Garamond"/>
          <w:sz w:val="24"/>
          <w:szCs w:val="24"/>
        </w:rPr>
      </w:pPr>
      <w:r w:rsidRPr="007114AF">
        <w:rPr>
          <w:rFonts w:ascii="Garamond" w:hAnsi="Garamond"/>
          <w:sz w:val="24"/>
          <w:szCs w:val="24"/>
        </w:rPr>
        <w:t>Për të garantuar që politikat dhe mekanizmat shqiptarë</w:t>
      </w:r>
      <w:r w:rsidR="000A2A01" w:rsidRPr="007114AF">
        <w:rPr>
          <w:rFonts w:ascii="Garamond" w:hAnsi="Garamond"/>
          <w:sz w:val="24"/>
          <w:szCs w:val="24"/>
        </w:rPr>
        <w:t xml:space="preserve"> </w:t>
      </w:r>
      <w:r w:rsidRPr="007114AF">
        <w:rPr>
          <w:rFonts w:ascii="Garamond" w:hAnsi="Garamond"/>
          <w:sz w:val="24"/>
          <w:szCs w:val="24"/>
        </w:rPr>
        <w:t>përpiqen për një ekonomi me karbon të ulët me kosto efikase, janë identifikuar një numër objektivash politik</w:t>
      </w:r>
      <w:r w:rsidR="00A67A6F">
        <w:rPr>
          <w:rFonts w:ascii="Garamond" w:hAnsi="Garamond"/>
          <w:sz w:val="24"/>
          <w:szCs w:val="24"/>
        </w:rPr>
        <w:t>ë</w:t>
      </w:r>
      <w:r w:rsidRPr="007114AF">
        <w:rPr>
          <w:rFonts w:ascii="Garamond" w:hAnsi="Garamond"/>
          <w:sz w:val="24"/>
          <w:szCs w:val="24"/>
        </w:rPr>
        <w:t xml:space="preserve"> kyç, të domosdoshme për t</w:t>
      </w:r>
      <w:r w:rsidR="00D10DAB" w:rsidRPr="007114AF">
        <w:rPr>
          <w:rFonts w:ascii="Garamond" w:hAnsi="Garamond"/>
          <w:sz w:val="24"/>
          <w:szCs w:val="24"/>
        </w:rPr>
        <w:t>’</w:t>
      </w:r>
      <w:r w:rsidRPr="007114AF">
        <w:rPr>
          <w:rFonts w:ascii="Garamond" w:hAnsi="Garamond"/>
          <w:sz w:val="24"/>
          <w:szCs w:val="24"/>
        </w:rPr>
        <w:t>iu përgjigjur gjashtë përparësive të identifikuara në</w:t>
      </w:r>
      <w:r w:rsidR="000A2A01" w:rsidRPr="007114AF">
        <w:rPr>
          <w:rFonts w:ascii="Garamond" w:hAnsi="Garamond"/>
          <w:sz w:val="24"/>
          <w:szCs w:val="24"/>
        </w:rPr>
        <w:t xml:space="preserve"> </w:t>
      </w:r>
      <w:r w:rsidRPr="007114AF">
        <w:rPr>
          <w:rFonts w:ascii="Garamond" w:hAnsi="Garamond"/>
          <w:sz w:val="24"/>
          <w:szCs w:val="24"/>
        </w:rPr>
        <w:t>dokumentin e SKNK-së [4.6].</w:t>
      </w:r>
    </w:p>
    <w:p w14:paraId="6EDCF3C7" w14:textId="3063E075" w:rsidR="001C6C5A" w:rsidRPr="007114AF" w:rsidRDefault="001C6C5A" w:rsidP="001C6C5A">
      <w:pPr>
        <w:spacing w:after="0" w:line="240" w:lineRule="auto"/>
        <w:ind w:firstLine="284"/>
        <w:rPr>
          <w:rFonts w:ascii="Garamond" w:hAnsi="Garamond"/>
          <w:sz w:val="24"/>
          <w:szCs w:val="24"/>
        </w:rPr>
      </w:pPr>
      <w:r w:rsidRPr="007114AF">
        <w:rPr>
          <w:rFonts w:ascii="Garamond" w:hAnsi="Garamond"/>
          <w:sz w:val="24"/>
          <w:szCs w:val="24"/>
        </w:rPr>
        <w:t xml:space="preserve">Në Planin e Zbutjes së Ndryshimeve Klimatike janë identifikuar 222masa, kryesisht të fokusuara gjatë një periudhe afatshkurtër (deri në vitin 2020), si dhe disa të tjera të përcaktuara për periudhën e mesme (2030) dhe afatgjatë (2050). Pjesa kryesore e masave burojnë nga strategjitë dhe planet ekzistuese, disa prej tyre janë propozime të reja nga dokumenti i </w:t>
      </w:r>
      <w:r w:rsidR="000A2A01" w:rsidRPr="007114AF">
        <w:rPr>
          <w:rFonts w:ascii="Garamond" w:hAnsi="Garamond"/>
          <w:sz w:val="24"/>
          <w:szCs w:val="24"/>
        </w:rPr>
        <w:t xml:space="preserve">SKNK&amp;P-së </w:t>
      </w:r>
      <w:r w:rsidRPr="007114AF">
        <w:rPr>
          <w:rFonts w:ascii="Garamond" w:hAnsi="Garamond"/>
          <w:sz w:val="24"/>
          <w:szCs w:val="24"/>
        </w:rPr>
        <w:t>për trajtimin e boshllëqeve apo sinergjive.</w:t>
      </w:r>
    </w:p>
    <w:p w14:paraId="6EDCF3C8" w14:textId="3936D30F" w:rsidR="001C6C5A" w:rsidRPr="007114AF" w:rsidRDefault="001C6C5A" w:rsidP="001C6C5A">
      <w:pPr>
        <w:spacing w:after="0" w:line="240" w:lineRule="auto"/>
        <w:ind w:firstLine="284"/>
        <w:rPr>
          <w:rFonts w:ascii="Garamond" w:hAnsi="Garamond"/>
          <w:sz w:val="24"/>
          <w:szCs w:val="24"/>
        </w:rPr>
      </w:pPr>
      <w:r w:rsidRPr="007114AF">
        <w:rPr>
          <w:rFonts w:ascii="Garamond" w:hAnsi="Garamond"/>
          <w:sz w:val="24"/>
          <w:szCs w:val="24"/>
        </w:rPr>
        <w:t>Shumica e masave janë në sektorin e energjisë (77) dhe në sektorin e transportit (71), ndjekur nga LUCF-ja (53), Bujqësia (17) dhe 4masa ndërsektoriale. Vëmendje e veçantë i kushtohet sistemit të matjes, monitorimit dhe raportimit në Shqipëri. Vlerësimi i fuqishëm, standard dhe transparent, raportimi dhe llogaritja e shkarkimeve GES</w:t>
      </w:r>
      <w:r w:rsidR="005F2324" w:rsidRPr="007114AF">
        <w:rPr>
          <w:rFonts w:ascii="Garamond" w:hAnsi="Garamond"/>
          <w:sz w:val="24"/>
          <w:szCs w:val="24"/>
        </w:rPr>
        <w:t xml:space="preserve"> </w:t>
      </w:r>
      <w:r w:rsidRPr="007114AF">
        <w:rPr>
          <w:rFonts w:ascii="Garamond" w:hAnsi="Garamond"/>
          <w:sz w:val="24"/>
          <w:szCs w:val="24"/>
        </w:rPr>
        <w:t xml:space="preserve">dhe sekuestrimit janë thelbësore për të ndjekur progresin drejt arritjes së objektivave, vlerësimin e performancës së politikave dhe </w:t>
      </w:r>
      <w:r w:rsidRPr="007114AF">
        <w:rPr>
          <w:rFonts w:ascii="Garamond" w:hAnsi="Garamond"/>
          <w:sz w:val="24"/>
          <w:szCs w:val="24"/>
        </w:rPr>
        <w:lastRenderedPageBreak/>
        <w:t>masave, si dhe vlerësimin në nivel ndërkombëtar të suksesit të përpjekjeve të përbashkëta për të zbutur efektet e ndryshimeve klimatike [5].</w:t>
      </w:r>
      <w:r w:rsidR="001C3983" w:rsidRPr="007114AF">
        <w:rPr>
          <w:rFonts w:ascii="Garamond" w:hAnsi="Garamond"/>
          <w:sz w:val="24"/>
          <w:szCs w:val="24"/>
        </w:rPr>
        <w:t xml:space="preserve"> </w:t>
      </w:r>
    </w:p>
    <w:p w14:paraId="6EDCF3C9" w14:textId="693810CB" w:rsidR="001C6C5A" w:rsidRPr="007114AF" w:rsidRDefault="001C6C5A" w:rsidP="001C6C5A">
      <w:pPr>
        <w:spacing w:after="0" w:line="240" w:lineRule="auto"/>
        <w:ind w:firstLine="284"/>
        <w:rPr>
          <w:rFonts w:ascii="Garamond" w:hAnsi="Garamond"/>
          <w:sz w:val="24"/>
          <w:szCs w:val="24"/>
        </w:rPr>
      </w:pPr>
      <w:r w:rsidRPr="007114AF">
        <w:rPr>
          <w:rFonts w:ascii="Garamond" w:hAnsi="Garamond"/>
          <w:sz w:val="24"/>
          <w:szCs w:val="24"/>
        </w:rPr>
        <w:t>Ndërkohë në planin e përshtatjes janë identifikuar dhe dizenjuar së bashku me grupin ndërministror të punës ndaj ndryshimeve klimatike (IMWG), 15 veprime prioritare nëpërmjet një zhvillimi të gjerë të kapaciteteve dhe qasjes pjesëmarrëse. Këto veprime prioritare (masa përshtatëse) perceptohen në formën e fishave të projektit në mënyrë që aktorët përkatës të mund t</w:t>
      </w:r>
      <w:r w:rsidR="00D10DAB" w:rsidRPr="007114AF">
        <w:rPr>
          <w:rFonts w:ascii="Garamond" w:hAnsi="Garamond"/>
          <w:sz w:val="24"/>
          <w:szCs w:val="24"/>
        </w:rPr>
        <w:t>’</w:t>
      </w:r>
      <w:r w:rsidRPr="007114AF">
        <w:rPr>
          <w:rFonts w:ascii="Garamond" w:hAnsi="Garamond"/>
          <w:sz w:val="24"/>
          <w:szCs w:val="24"/>
        </w:rPr>
        <w:t xml:space="preserve">i zhvillojnë ato më tej për financim. </w:t>
      </w:r>
    </w:p>
    <w:p w14:paraId="6EDCF3CA" w14:textId="60944661" w:rsidR="001C6C5A" w:rsidRPr="007114AF" w:rsidRDefault="001C6C5A" w:rsidP="001C6C5A">
      <w:pPr>
        <w:spacing w:after="0" w:line="240" w:lineRule="auto"/>
        <w:ind w:firstLine="284"/>
        <w:rPr>
          <w:rFonts w:ascii="Garamond" w:hAnsi="Garamond"/>
          <w:sz w:val="24"/>
          <w:szCs w:val="24"/>
        </w:rPr>
      </w:pPr>
      <w:r w:rsidRPr="007114AF">
        <w:rPr>
          <w:rFonts w:ascii="Garamond" w:hAnsi="Garamond"/>
          <w:sz w:val="24"/>
          <w:szCs w:val="24"/>
        </w:rPr>
        <w:t>Për më tepër, është ngritur një sistem koherent monitorimi dhe vlerësimi i dokumentit të</w:t>
      </w:r>
      <w:r w:rsidR="005F2324" w:rsidRPr="007114AF">
        <w:rPr>
          <w:rFonts w:ascii="Garamond" w:hAnsi="Garamond"/>
          <w:sz w:val="24"/>
          <w:szCs w:val="24"/>
        </w:rPr>
        <w:t xml:space="preserve"> </w:t>
      </w:r>
      <w:r w:rsidRPr="007114AF">
        <w:rPr>
          <w:rFonts w:ascii="Garamond" w:hAnsi="Garamond"/>
          <w:sz w:val="24"/>
          <w:szCs w:val="24"/>
        </w:rPr>
        <w:t>SKNK&amp;P-</w:t>
      </w:r>
      <w:r w:rsidR="005F2324" w:rsidRPr="007114AF">
        <w:rPr>
          <w:rFonts w:ascii="Garamond" w:hAnsi="Garamond"/>
          <w:sz w:val="24"/>
          <w:szCs w:val="24"/>
        </w:rPr>
        <w:t>s</w:t>
      </w:r>
      <w:r w:rsidRPr="007114AF">
        <w:rPr>
          <w:rFonts w:ascii="Garamond" w:hAnsi="Garamond"/>
          <w:sz w:val="24"/>
          <w:szCs w:val="24"/>
        </w:rPr>
        <w:t>ë</w:t>
      </w:r>
      <w:r w:rsidR="005F2324" w:rsidRPr="007114AF">
        <w:rPr>
          <w:rFonts w:ascii="Garamond" w:hAnsi="Garamond"/>
          <w:sz w:val="24"/>
          <w:szCs w:val="24"/>
        </w:rPr>
        <w:t xml:space="preserve"> </w:t>
      </w:r>
      <w:r w:rsidRPr="007114AF">
        <w:rPr>
          <w:rFonts w:ascii="Garamond" w:hAnsi="Garamond"/>
          <w:sz w:val="24"/>
          <w:szCs w:val="24"/>
        </w:rPr>
        <w:t>për të siguruar arritjen efikase dhe efektive të objektivave të strategjisë, në bazë të kuadrit institucional dhe monitorues, tashmë të parashikuar nga strategjitë dhe planet ekzistues sektoriale dhe ndërsektoriale, me objektiva dhe tregues sipas metodologjisë specifike dhe institucioneve përgjegjëse [7].</w:t>
      </w:r>
    </w:p>
    <w:p w14:paraId="6EDCF3CB" w14:textId="77777777" w:rsidR="001C6C5A" w:rsidRPr="007114AF" w:rsidRDefault="00A816F3" w:rsidP="001C6C5A">
      <w:pPr>
        <w:spacing w:after="0" w:line="240" w:lineRule="auto"/>
        <w:ind w:firstLine="284"/>
        <w:rPr>
          <w:rFonts w:ascii="Garamond" w:hAnsi="Garamond"/>
          <w:sz w:val="24"/>
          <w:szCs w:val="24"/>
        </w:rPr>
      </w:pPr>
      <w:bookmarkStart w:id="2" w:name="_Toc484424468"/>
      <w:bookmarkEnd w:id="1"/>
      <w:r w:rsidRPr="007114AF">
        <w:rPr>
          <w:rFonts w:ascii="Garamond" w:hAnsi="Garamond"/>
          <w:sz w:val="24"/>
          <w:szCs w:val="24"/>
        </w:rPr>
        <w:t xml:space="preserve">1. </w:t>
      </w:r>
      <w:r w:rsidR="001C6C5A" w:rsidRPr="007114AF">
        <w:rPr>
          <w:rFonts w:ascii="Garamond" w:hAnsi="Garamond"/>
          <w:sz w:val="24"/>
          <w:szCs w:val="24"/>
        </w:rPr>
        <w:t>HYRJE</w:t>
      </w:r>
      <w:bookmarkEnd w:id="2"/>
    </w:p>
    <w:p w14:paraId="6EDCF3CC" w14:textId="77777777" w:rsidR="001C6C5A" w:rsidRPr="007114AF" w:rsidRDefault="001C6C5A" w:rsidP="001C6C5A">
      <w:pPr>
        <w:spacing w:after="0" w:line="240" w:lineRule="auto"/>
        <w:ind w:firstLine="284"/>
        <w:rPr>
          <w:rFonts w:ascii="Garamond" w:hAnsi="Garamond"/>
          <w:sz w:val="24"/>
          <w:szCs w:val="24"/>
        </w:rPr>
      </w:pPr>
      <w:r w:rsidRPr="007114AF">
        <w:rPr>
          <w:rFonts w:ascii="Garamond" w:hAnsi="Garamond"/>
          <w:sz w:val="24"/>
          <w:szCs w:val="24"/>
        </w:rPr>
        <w:t>Me nënshkrimin e Marrëveshjes së Parisit nga Qeveria (Nju-Jork, 22 prill 2016), Shqipëria ka hyrë në epokën e re të procesit të politikave klimatike ndërkombëtare, ku të gjitha palët synojnë në mënyrë kolektive ta mbajnë rritjen e temperaturës globale në 2°C mbi nivelin paraindustrial. Zbutja e efekteve të ndryshimeve klimatike është thelbësore, për të garantuar adaptimin me kosto të arsyeshme ekonomike, mjedisore dhe sociale, çka është kyçi për një vend jashtëzakonisht të cenueshëm si Shqipëria.</w:t>
      </w:r>
    </w:p>
    <w:p w14:paraId="6EDCF3CD" w14:textId="77777777" w:rsidR="001C6C5A" w:rsidRPr="007114AF" w:rsidRDefault="001C6C5A" w:rsidP="001C6C5A">
      <w:pPr>
        <w:spacing w:after="0" w:line="240" w:lineRule="auto"/>
        <w:ind w:firstLine="284"/>
        <w:rPr>
          <w:rFonts w:ascii="Garamond" w:hAnsi="Garamond"/>
          <w:sz w:val="24"/>
          <w:szCs w:val="24"/>
        </w:rPr>
      </w:pPr>
      <w:r w:rsidRPr="007114AF">
        <w:rPr>
          <w:rFonts w:ascii="Garamond" w:hAnsi="Garamond"/>
          <w:sz w:val="24"/>
          <w:szCs w:val="24"/>
        </w:rPr>
        <w:t>Duke qenë se Shqipëria mban aktualisht statusin zyrtar të vendit kandidat për anëtarësim në BE (që prej qershorit 2014), është bërë progres i qëndrueshëm lidhur me kriterin politik, duke zbatuar dhe konsoliduar reformat në fushën e shtetit ligjor dhe në administratën publike. Janë bërë përpjekje të frytshme për afrimin e legjislacionit shqiptar me kërkesat e BE-së në shumë fusha, duke rritur aftësinë për të marrë përsipër detyrimet e anëtarësisë. Megjithatë, Shqipëria ende duhet të bëjë përpjekje shumë të mëdha për të përmirësuar përgatitjet e saj për zbatimin e legjislacionit të BE-së në shumë fusha parësore kyçe si ndryshimet klimatike</w:t>
      </w:r>
      <w:r w:rsidRPr="007114AF">
        <w:rPr>
          <w:rFonts w:ascii="Garamond" w:hAnsi="Garamond"/>
          <w:sz w:val="24"/>
          <w:szCs w:val="24"/>
          <w:vertAlign w:val="superscript"/>
        </w:rPr>
        <w:footnoteReference w:id="4"/>
      </w:r>
      <w:r w:rsidRPr="007114AF">
        <w:rPr>
          <w:rFonts w:ascii="Garamond" w:hAnsi="Garamond"/>
          <w:sz w:val="24"/>
          <w:szCs w:val="24"/>
        </w:rPr>
        <w:t xml:space="preserve">. </w:t>
      </w:r>
    </w:p>
    <w:p w14:paraId="6EDCF3CE" w14:textId="0191C55D" w:rsidR="001C6C5A" w:rsidRPr="007114AF" w:rsidRDefault="001C6C5A" w:rsidP="001C6C5A">
      <w:pPr>
        <w:spacing w:after="0" w:line="240" w:lineRule="auto"/>
        <w:ind w:firstLine="284"/>
        <w:rPr>
          <w:rFonts w:ascii="Garamond" w:hAnsi="Garamond"/>
          <w:sz w:val="24"/>
          <w:szCs w:val="24"/>
        </w:rPr>
      </w:pPr>
      <w:r w:rsidRPr="007114AF">
        <w:rPr>
          <w:rFonts w:ascii="Garamond" w:hAnsi="Garamond"/>
          <w:sz w:val="24"/>
          <w:szCs w:val="24"/>
        </w:rPr>
        <w:t xml:space="preserve">Strategjia e Përgjithshme Kombëtare e Ndryshimeve Klimatike dhe Plani (dokumenti i SKNK&amp;P) është hartuar për të mbështetur zbatimin e legjislacionit të BE-së për mjedisin dhe klimën, duke synuar forcimin e koordinimit ndërsektorial në Shqipëri për masa mbi klimën, mbrojtjen e mjedisit dhe zhvillimin e qëndrueshëm. Dokumenti i </w:t>
      </w:r>
      <w:r w:rsidR="000A2A01" w:rsidRPr="007114AF">
        <w:rPr>
          <w:rFonts w:ascii="Garamond" w:hAnsi="Garamond"/>
          <w:sz w:val="24"/>
          <w:szCs w:val="24"/>
        </w:rPr>
        <w:t xml:space="preserve">SKNK&amp;P-së </w:t>
      </w:r>
      <w:r w:rsidRPr="007114AF">
        <w:rPr>
          <w:rFonts w:ascii="Garamond" w:hAnsi="Garamond"/>
          <w:sz w:val="24"/>
          <w:szCs w:val="24"/>
        </w:rPr>
        <w:t>fokusohet në zbutjen dhe adaptimin e ndryshimeve klimatike.</w:t>
      </w:r>
      <w:r w:rsidR="000A2A01" w:rsidRPr="007114AF">
        <w:rPr>
          <w:rFonts w:ascii="Garamond" w:hAnsi="Garamond"/>
          <w:sz w:val="24"/>
          <w:szCs w:val="24"/>
        </w:rPr>
        <w:t xml:space="preserve"> </w:t>
      </w:r>
      <w:r w:rsidRPr="007114AF">
        <w:rPr>
          <w:rFonts w:ascii="Garamond" w:hAnsi="Garamond"/>
          <w:sz w:val="24"/>
          <w:szCs w:val="24"/>
        </w:rPr>
        <w:t>Këshilli i Ministrave dhe ministritë përkatëse kanë përgatitur tashmë apo po punojnë, me strategji dhe plane veprimi për ndryshimet klimatike për sektorët kryesorë në Shqipëri. Megjithatë, nevojitet një strategji dhe plan i përgjithshëm më i integruar për klimën, që të mund të integrojë në mënyrë efektive gjithë planet dhe strategjitë brenda një dokumenti gjithëpërfshirës.</w:t>
      </w:r>
    </w:p>
    <w:p w14:paraId="6EDCF3CF" w14:textId="1680B6BE" w:rsidR="001C6C5A" w:rsidRPr="007114AF" w:rsidRDefault="001C6C5A" w:rsidP="001C6C5A">
      <w:pPr>
        <w:spacing w:after="0" w:line="240" w:lineRule="auto"/>
        <w:ind w:firstLine="284"/>
        <w:rPr>
          <w:rFonts w:ascii="Garamond" w:hAnsi="Garamond"/>
          <w:sz w:val="24"/>
          <w:szCs w:val="24"/>
        </w:rPr>
      </w:pPr>
      <w:r w:rsidRPr="007114AF">
        <w:rPr>
          <w:rFonts w:ascii="Garamond" w:hAnsi="Garamond"/>
          <w:sz w:val="24"/>
          <w:szCs w:val="24"/>
        </w:rPr>
        <w:t>Me qëllim që të trajtohet kjo nevojë, ky dokument i SKNK&amp;P-ëspërmbledh dhe sistematizon strategjitë dhe planet ekzistuese, duke siguruar një vlerësim gjithëpërfshirës të masave të planifikuara në Shqipëri për periudhën afatshkurtër dhe afatgjatë, rrjedhimisht ky dokument përfaqëson një strategji dhe plan të përgjithshëm ndërsektorial, që siguron një përmbledhje të synimeve, objektivav</w:t>
      </w:r>
      <w:r w:rsidR="00A67A6F">
        <w:rPr>
          <w:rFonts w:ascii="Garamond" w:hAnsi="Garamond"/>
          <w:sz w:val="24"/>
          <w:szCs w:val="24"/>
        </w:rPr>
        <w:t>ë</w:t>
      </w:r>
      <w:r w:rsidRPr="007114AF">
        <w:rPr>
          <w:rFonts w:ascii="Garamond" w:hAnsi="Garamond"/>
          <w:sz w:val="24"/>
          <w:szCs w:val="24"/>
        </w:rPr>
        <w:t xml:space="preserve"> politike dhe masave të fokusuara te zbutja dhe adaptimi i ndryshimeve klimatike në sektorët përkatës, duke vlerësuar sinergjitë dhe boshllëqet potenciale, implikimet financiare, si dhe duke planifikuar rrugët për zhvillimin mekarbon të ulët. </w:t>
      </w:r>
    </w:p>
    <w:p w14:paraId="6EDCF3D0" w14:textId="77777777" w:rsidR="001C6C5A" w:rsidRPr="007114AF" w:rsidRDefault="00A816F3" w:rsidP="001C6C5A">
      <w:pPr>
        <w:spacing w:after="0" w:line="240" w:lineRule="auto"/>
        <w:ind w:firstLine="284"/>
        <w:rPr>
          <w:rFonts w:ascii="Garamond" w:hAnsi="Garamond"/>
          <w:sz w:val="24"/>
          <w:szCs w:val="24"/>
        </w:rPr>
      </w:pPr>
      <w:bookmarkStart w:id="3" w:name="_Toc484424469"/>
      <w:r w:rsidRPr="007114AF">
        <w:rPr>
          <w:rFonts w:ascii="Garamond" w:hAnsi="Garamond"/>
          <w:sz w:val="24"/>
          <w:szCs w:val="24"/>
        </w:rPr>
        <w:t xml:space="preserve">1.1 </w:t>
      </w:r>
      <w:r w:rsidR="001C6C5A" w:rsidRPr="007114AF">
        <w:rPr>
          <w:rFonts w:ascii="Garamond" w:hAnsi="Garamond"/>
          <w:sz w:val="24"/>
          <w:szCs w:val="24"/>
        </w:rPr>
        <w:t>Aspektet e zbutjes</w:t>
      </w:r>
      <w:bookmarkEnd w:id="3"/>
    </w:p>
    <w:p w14:paraId="6EDCF3D1" w14:textId="1561E99D" w:rsidR="001C6C5A" w:rsidRPr="007114AF" w:rsidRDefault="001C6C5A" w:rsidP="001C6C5A">
      <w:pPr>
        <w:spacing w:after="0" w:line="240" w:lineRule="auto"/>
        <w:ind w:firstLine="284"/>
        <w:rPr>
          <w:rFonts w:ascii="Garamond" w:hAnsi="Garamond"/>
          <w:sz w:val="24"/>
          <w:szCs w:val="24"/>
        </w:rPr>
      </w:pPr>
      <w:r w:rsidRPr="007114AF">
        <w:rPr>
          <w:rFonts w:ascii="Garamond" w:hAnsi="Garamond"/>
          <w:sz w:val="24"/>
          <w:szCs w:val="24"/>
        </w:rPr>
        <w:t>Dokumenti i SKNK&amp;P-s</w:t>
      </w:r>
      <w:r w:rsidR="005F2324" w:rsidRPr="007114AF">
        <w:rPr>
          <w:rFonts w:ascii="Garamond" w:hAnsi="Garamond"/>
          <w:sz w:val="24"/>
          <w:szCs w:val="24"/>
        </w:rPr>
        <w:t xml:space="preserve">ë </w:t>
      </w:r>
      <w:r w:rsidRPr="007114AF">
        <w:rPr>
          <w:rFonts w:ascii="Garamond" w:hAnsi="Garamond"/>
          <w:sz w:val="24"/>
          <w:szCs w:val="24"/>
        </w:rPr>
        <w:t xml:space="preserve">për pjesën e zbutjes, kryhen në përputhje me vendimin 1/CP16 të UNFCCC-ës dhe vendimin 525/2013/EU, meqë </w:t>
      </w:r>
      <w:r w:rsidR="000A2A01" w:rsidRPr="007114AF">
        <w:rPr>
          <w:rFonts w:ascii="Garamond" w:hAnsi="Garamond"/>
          <w:sz w:val="24"/>
          <w:szCs w:val="24"/>
        </w:rPr>
        <w:t>“</w:t>
      </w:r>
      <w:r w:rsidRPr="007114AF">
        <w:rPr>
          <w:rFonts w:ascii="Garamond" w:hAnsi="Garamond"/>
          <w:sz w:val="24"/>
          <w:szCs w:val="24"/>
        </w:rPr>
        <w:t>strategjitë apo planet pritet të kontribuojnë për ndërtimin e një shoqërie me karbon të ulët dhe të sigurojnë një zhvillim të madh dhe të qëndrueshëm, si dhe lëvizjen me kosto efektive drejt një objektivi afatgjatë për klimën, duke marrë në konsideratë stadet e ndërmjetme</w:t>
      </w:r>
      <w:r w:rsidR="000A2A01" w:rsidRPr="007114AF">
        <w:rPr>
          <w:rFonts w:ascii="Garamond" w:hAnsi="Garamond"/>
          <w:sz w:val="24"/>
          <w:szCs w:val="24"/>
        </w:rPr>
        <w:t>”</w:t>
      </w:r>
      <w:r w:rsidRPr="007114AF">
        <w:rPr>
          <w:rFonts w:ascii="Garamond" w:hAnsi="Garamond"/>
          <w:sz w:val="24"/>
          <w:szCs w:val="24"/>
        </w:rPr>
        <w:t xml:space="preserve">. </w:t>
      </w:r>
    </w:p>
    <w:p w14:paraId="6EDCF3D2" w14:textId="19D5B76C" w:rsidR="001C6C5A" w:rsidRPr="007114AF" w:rsidRDefault="001C6C5A" w:rsidP="001C6C5A">
      <w:pPr>
        <w:spacing w:after="0" w:line="240" w:lineRule="auto"/>
        <w:ind w:firstLine="284"/>
        <w:rPr>
          <w:rFonts w:ascii="Garamond" w:hAnsi="Garamond"/>
          <w:sz w:val="24"/>
          <w:szCs w:val="24"/>
        </w:rPr>
      </w:pPr>
      <w:r w:rsidRPr="007114AF">
        <w:rPr>
          <w:rFonts w:ascii="Garamond" w:hAnsi="Garamond"/>
          <w:sz w:val="24"/>
          <w:szCs w:val="24"/>
        </w:rPr>
        <w:lastRenderedPageBreak/>
        <w:t>Dokumenti i SKNK&amp;P-ës</w:t>
      </w:r>
      <w:r w:rsidR="005F2324" w:rsidRPr="007114AF">
        <w:rPr>
          <w:rFonts w:ascii="Garamond" w:hAnsi="Garamond"/>
          <w:sz w:val="24"/>
          <w:szCs w:val="24"/>
        </w:rPr>
        <w:t xml:space="preserve"> </w:t>
      </w:r>
      <w:r w:rsidRPr="007114AF">
        <w:rPr>
          <w:rFonts w:ascii="Garamond" w:hAnsi="Garamond"/>
          <w:sz w:val="24"/>
          <w:szCs w:val="24"/>
        </w:rPr>
        <w:t>për pjesën e zbutjes,</w:t>
      </w:r>
      <w:r w:rsidR="005F2324" w:rsidRPr="007114AF">
        <w:rPr>
          <w:rFonts w:ascii="Garamond" w:hAnsi="Garamond"/>
          <w:sz w:val="24"/>
          <w:szCs w:val="24"/>
        </w:rPr>
        <w:t xml:space="preserve"> </w:t>
      </w:r>
      <w:r w:rsidRPr="007114AF">
        <w:rPr>
          <w:rFonts w:ascii="Garamond" w:hAnsi="Garamond"/>
          <w:sz w:val="24"/>
          <w:szCs w:val="24"/>
        </w:rPr>
        <w:t>merr në konsideratë objektivat afatgjat</w:t>
      </w:r>
      <w:r w:rsidR="00A67A6F">
        <w:rPr>
          <w:rFonts w:ascii="Garamond" w:hAnsi="Garamond"/>
          <w:sz w:val="24"/>
          <w:szCs w:val="24"/>
        </w:rPr>
        <w:t>ë</w:t>
      </w:r>
      <w:r w:rsidRPr="007114AF">
        <w:rPr>
          <w:rFonts w:ascii="Garamond" w:hAnsi="Garamond"/>
          <w:sz w:val="24"/>
          <w:szCs w:val="24"/>
        </w:rPr>
        <w:t xml:space="preserve"> deri në vitin 2050, që kërkojnë reduktime afatgjata të shkarkimeve dhe shtimin e përthithësve në sektorët përkatës, në përputhje me objektivat e Bashkimit Evropian, për të reduktuar me kosto efektive shkarkimet nga 80%deri në 95% deri në vitin 2050,krahasuar me nivelet e vitit 1990.</w:t>
      </w:r>
    </w:p>
    <w:p w14:paraId="6EDCF3D3" w14:textId="09E6D527" w:rsidR="001C6C5A" w:rsidRPr="007114AF" w:rsidRDefault="001C6C5A" w:rsidP="001C6C5A">
      <w:pPr>
        <w:spacing w:after="0" w:line="240" w:lineRule="auto"/>
        <w:ind w:firstLine="284"/>
        <w:rPr>
          <w:rFonts w:ascii="Garamond" w:hAnsi="Garamond"/>
          <w:sz w:val="24"/>
          <w:szCs w:val="24"/>
        </w:rPr>
      </w:pPr>
      <w:r w:rsidRPr="007114AF">
        <w:rPr>
          <w:rFonts w:ascii="Garamond" w:hAnsi="Garamond"/>
          <w:sz w:val="24"/>
          <w:szCs w:val="24"/>
        </w:rPr>
        <w:t>Marrëveshja e Parisit thekson gjithashtu, nevojën për të formuluar dhe komunikuar strategji zhvillimi afatgjata për reduktimin e gazeve serrë, deri në mesin e shekulli XXI (</w:t>
      </w:r>
      <w:r w:rsidR="005F2324" w:rsidRPr="007114AF">
        <w:rPr>
          <w:rFonts w:ascii="Garamond" w:hAnsi="Garamond"/>
          <w:sz w:val="24"/>
          <w:szCs w:val="24"/>
        </w:rPr>
        <w:t xml:space="preserve">neni </w:t>
      </w:r>
      <w:r w:rsidRPr="007114AF">
        <w:rPr>
          <w:rFonts w:ascii="Garamond" w:hAnsi="Garamond"/>
          <w:sz w:val="24"/>
          <w:szCs w:val="24"/>
        </w:rPr>
        <w:t>4.19), dhe këto strategji duhen paraqitur deri në vitin 2020. Kjo kërkesë, e kombinuar me synimin afatgjatë për shkarkimet zero deri në gjysmën e dytë të këtij shekulli (</w:t>
      </w:r>
      <w:r w:rsidR="005F2324" w:rsidRPr="007114AF">
        <w:rPr>
          <w:rFonts w:ascii="Garamond" w:hAnsi="Garamond"/>
          <w:sz w:val="24"/>
          <w:szCs w:val="24"/>
        </w:rPr>
        <w:t xml:space="preserve">neni </w:t>
      </w:r>
      <w:r w:rsidRPr="007114AF">
        <w:rPr>
          <w:rFonts w:ascii="Garamond" w:hAnsi="Garamond"/>
          <w:sz w:val="24"/>
          <w:szCs w:val="24"/>
        </w:rPr>
        <w:t>4.1), nënkupton që vendet duhet të përpiqen të demonstrojnë, sesi do të kontribuojnë me përpjekjet dhe politikat e tyre të planifikuara apo të zbatuara për këtë objektiv.</w:t>
      </w:r>
    </w:p>
    <w:p w14:paraId="6EDCF3D4" w14:textId="778BF81B" w:rsidR="001C6C5A" w:rsidRPr="007114AF" w:rsidRDefault="001C6C5A" w:rsidP="001C6C5A">
      <w:pPr>
        <w:spacing w:after="0" w:line="240" w:lineRule="auto"/>
        <w:ind w:firstLine="284"/>
        <w:rPr>
          <w:rFonts w:ascii="Garamond" w:hAnsi="Garamond"/>
          <w:sz w:val="24"/>
          <w:szCs w:val="24"/>
        </w:rPr>
      </w:pPr>
      <w:r w:rsidRPr="007114AF">
        <w:rPr>
          <w:rFonts w:ascii="Garamond" w:hAnsi="Garamond"/>
          <w:sz w:val="24"/>
          <w:szCs w:val="24"/>
        </w:rPr>
        <w:t>Kontributi i Kombëtar i Pikësynuar i Shqipërisë (INDC) paraqitur në shtator 2015 (dhe paraqitur si NDC në shtator 2016), siguron një hap të parë drejt një rruge me karbon të ulët, që synon të arrijë 2 tCO2eq për</w:t>
      </w:r>
      <w:r w:rsidR="005F2324" w:rsidRPr="007114AF">
        <w:rPr>
          <w:rFonts w:ascii="Garamond" w:hAnsi="Garamond"/>
          <w:sz w:val="24"/>
          <w:szCs w:val="24"/>
        </w:rPr>
        <w:t xml:space="preserve"> </w:t>
      </w:r>
      <w:r w:rsidRPr="007114AF">
        <w:rPr>
          <w:rFonts w:ascii="Garamond" w:hAnsi="Garamond"/>
          <w:sz w:val="24"/>
          <w:szCs w:val="24"/>
        </w:rPr>
        <w:t xml:space="preserve">kokë të nivelit të shkarkimit GES deri në vitin 2050, krahasuar me objektivin politik të BE-së për vitin 2050. </w:t>
      </w:r>
    </w:p>
    <w:p w14:paraId="6EDCF3D5" w14:textId="37EA268A" w:rsidR="001C6C5A" w:rsidRPr="007114AF" w:rsidRDefault="001C6C5A" w:rsidP="001C6C5A">
      <w:pPr>
        <w:spacing w:after="0" w:line="240" w:lineRule="auto"/>
        <w:ind w:firstLine="284"/>
        <w:rPr>
          <w:rFonts w:ascii="Garamond" w:hAnsi="Garamond"/>
          <w:sz w:val="24"/>
          <w:szCs w:val="24"/>
        </w:rPr>
      </w:pPr>
      <w:r w:rsidRPr="007114AF">
        <w:rPr>
          <w:rFonts w:ascii="Garamond" w:hAnsi="Garamond"/>
          <w:sz w:val="24"/>
          <w:szCs w:val="24"/>
        </w:rPr>
        <w:t>Dokumenti i SKNK&amp;P-ës</w:t>
      </w:r>
      <w:r w:rsidR="005F2324" w:rsidRPr="007114AF">
        <w:rPr>
          <w:rFonts w:ascii="Garamond" w:hAnsi="Garamond"/>
          <w:sz w:val="24"/>
          <w:szCs w:val="24"/>
        </w:rPr>
        <w:t xml:space="preserve"> </w:t>
      </w:r>
      <w:r w:rsidRPr="007114AF">
        <w:rPr>
          <w:rFonts w:ascii="Garamond" w:hAnsi="Garamond"/>
          <w:sz w:val="24"/>
          <w:szCs w:val="24"/>
        </w:rPr>
        <w:t>fokusohet në katër sektorët e mëposhtëm raportues të inventarit të gazeve serrë të Shqipërisë</w:t>
      </w:r>
      <w:r w:rsidRPr="007114AF">
        <w:rPr>
          <w:rFonts w:ascii="Garamond" w:hAnsi="Garamond"/>
          <w:sz w:val="24"/>
          <w:szCs w:val="24"/>
          <w:vertAlign w:val="superscript"/>
        </w:rPr>
        <w:footnoteReference w:id="5"/>
      </w:r>
      <w:r w:rsidRPr="007114AF">
        <w:rPr>
          <w:rFonts w:ascii="Garamond" w:hAnsi="Garamond"/>
          <w:sz w:val="24"/>
          <w:szCs w:val="24"/>
        </w:rPr>
        <w:t xml:space="preserve">: Energjia(me fokus të veçantë te Transporti), sektorët e Bujqësisë dhe Ndryshimit të Përdorimit të Tokës dhe Pylltarisë (LUCF), duke mbuluar kështu 80% të shkarkimeve të Shqipërisë (shih </w:t>
      </w:r>
      <w:r w:rsidR="003D2CB2" w:rsidRPr="007114AF">
        <w:rPr>
          <w:rFonts w:ascii="Garamond" w:hAnsi="Garamond"/>
          <w:sz w:val="24"/>
          <w:szCs w:val="24"/>
        </w:rPr>
        <w:t>t</w:t>
      </w:r>
      <w:r w:rsidRPr="007114AF">
        <w:rPr>
          <w:rFonts w:ascii="Garamond" w:hAnsi="Garamond"/>
          <w:sz w:val="24"/>
          <w:szCs w:val="24"/>
        </w:rPr>
        <w:t>abelën 1).</w:t>
      </w:r>
    </w:p>
    <w:p w14:paraId="6EDCF3D6" w14:textId="77777777" w:rsidR="00A816F3" w:rsidRPr="007114AF" w:rsidRDefault="00A816F3" w:rsidP="00A816F3">
      <w:pPr>
        <w:pStyle w:val="FIGURA"/>
      </w:pPr>
    </w:p>
    <w:p w14:paraId="513F82A5" w14:textId="577B9C37" w:rsidR="005F2324" w:rsidRPr="007114AF" w:rsidRDefault="001C6C5A" w:rsidP="00A816F3">
      <w:pPr>
        <w:pStyle w:val="FIGURA"/>
      </w:pPr>
      <w:r w:rsidRPr="007114AF">
        <w:t>Tabela</w:t>
      </w:r>
      <w:r w:rsidR="00A816F3" w:rsidRPr="007114AF">
        <w:t xml:space="preserve"> </w:t>
      </w:r>
      <w:r w:rsidRPr="007114AF">
        <w:fldChar w:fldCharType="begin"/>
      </w:r>
      <w:r w:rsidRPr="007114AF">
        <w:instrText xml:space="preserve"> SEQ Table \* ARABIC </w:instrText>
      </w:r>
      <w:r w:rsidRPr="007114AF">
        <w:fldChar w:fldCharType="separate"/>
      </w:r>
      <w:r w:rsidRPr="007114AF">
        <w:t>1</w:t>
      </w:r>
      <w:r w:rsidRPr="007114AF">
        <w:fldChar w:fldCharType="end"/>
      </w:r>
      <w:r w:rsidR="005F2324" w:rsidRPr="007114AF">
        <w:t>.</w:t>
      </w:r>
      <w:r w:rsidRPr="007114AF">
        <w:t xml:space="preserve"> Përmbledhje e përqindjes në shkarkimet totale GES</w:t>
      </w:r>
      <w:r w:rsidR="005F2324" w:rsidRPr="007114AF">
        <w:t xml:space="preserve"> </w:t>
      </w:r>
      <w:r w:rsidRPr="007114AF">
        <w:t xml:space="preserve">të sektorit të marrë në konsideratë, sipas Komunikimit të Dytë dhe të Tretë Kombëtar </w:t>
      </w:r>
    </w:p>
    <w:p w14:paraId="6EDCF3D7" w14:textId="074BC0D1" w:rsidR="001C6C5A" w:rsidRPr="007114AF" w:rsidRDefault="001C6C5A" w:rsidP="00A816F3">
      <w:pPr>
        <w:pStyle w:val="FIGURA"/>
      </w:pPr>
      <w:r w:rsidRPr="007114AF">
        <w:t>(</w:t>
      </w:r>
      <w:r w:rsidR="005F2324" w:rsidRPr="007114AF">
        <w:t>t</w:t>
      </w:r>
      <w:r w:rsidRPr="007114AF">
        <w:t>ë dhëna nga KDK</w:t>
      </w:r>
      <w:r w:rsidR="005F2324" w:rsidRPr="007114AF">
        <w:t xml:space="preserve"> </w:t>
      </w:r>
      <w:r w:rsidRPr="007114AF">
        <w:t>dhe KTK,</w:t>
      </w:r>
      <w:r w:rsidR="005F2324" w:rsidRPr="007114AF">
        <w:t xml:space="preserve"> </w:t>
      </w:r>
      <w:r w:rsidRPr="007114AF">
        <w:t>përkatësisht)</w:t>
      </w:r>
      <w:r w:rsidR="001C3983" w:rsidRPr="007114AF">
        <w:t xml:space="preserve"> </w:t>
      </w:r>
    </w:p>
    <w:p w14:paraId="6EDCF3D8" w14:textId="77777777" w:rsidR="00B74FC4" w:rsidRPr="007114AF" w:rsidRDefault="00B74FC4" w:rsidP="00FF37A6">
      <w:pPr>
        <w:pStyle w:val="NoSpacing"/>
        <w:rPr>
          <w:rFonts w:ascii="Garamond" w:hAnsi="Garamond"/>
          <w:lang w:val="sq-AL"/>
        </w:rPr>
      </w:pPr>
    </w:p>
    <w:tbl>
      <w:tblPr>
        <w:tblStyle w:val="GridTable1Light-Accent11"/>
        <w:tblW w:w="0" w:type="auto"/>
        <w:jc w:val="center"/>
        <w:tblLook w:val="04A0" w:firstRow="1" w:lastRow="0" w:firstColumn="1" w:lastColumn="0" w:noHBand="0" w:noVBand="1"/>
      </w:tblPr>
      <w:tblGrid>
        <w:gridCol w:w="3299"/>
        <w:gridCol w:w="2087"/>
        <w:gridCol w:w="2087"/>
      </w:tblGrid>
      <w:tr w:rsidR="001C6C5A" w:rsidRPr="007114AF" w14:paraId="6EDCF3DB" w14:textId="77777777" w:rsidTr="008F17E8">
        <w:trPr>
          <w:cnfStyle w:val="100000000000" w:firstRow="1" w:lastRow="0" w:firstColumn="0" w:lastColumn="0" w:oddVBand="0" w:evenVBand="0" w:oddHBand="0" w:evenHBand="0" w:firstRowFirstColumn="0" w:firstRowLastColumn="0" w:lastRowFirstColumn="0" w:lastRowLastColumn="0"/>
          <w:trHeight w:val="342"/>
          <w:jc w:val="center"/>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6EDCF3D9" w14:textId="77777777" w:rsidR="001C6C5A" w:rsidRPr="007114AF" w:rsidRDefault="001C6C5A" w:rsidP="001C6C5A">
            <w:pPr>
              <w:spacing w:after="0"/>
              <w:rPr>
                <w:rFonts w:ascii="Garamond" w:hAnsi="Garamond"/>
                <w:b w:val="0"/>
                <w:sz w:val="24"/>
                <w:szCs w:val="24"/>
              </w:rPr>
            </w:pPr>
          </w:p>
        </w:tc>
        <w:tc>
          <w:tcPr>
            <w:tcW w:w="0" w:type="auto"/>
            <w:gridSpan w:val="2"/>
            <w:noWrap/>
            <w:vAlign w:val="center"/>
            <w:hideMark/>
          </w:tcPr>
          <w:p w14:paraId="6EDCF3DA" w14:textId="7D1BAB68" w:rsidR="001C6C5A" w:rsidRPr="007114AF" w:rsidRDefault="001C6C5A" w:rsidP="001C6C5A">
            <w:pPr>
              <w:spacing w:after="0"/>
              <w:cnfStyle w:val="100000000000" w:firstRow="1" w:lastRow="0" w:firstColumn="0" w:lastColumn="0" w:oddVBand="0" w:evenVBand="0" w:oddHBand="0" w:evenHBand="0" w:firstRowFirstColumn="0" w:firstRowLastColumn="0" w:lastRowFirstColumn="0" w:lastRowLastColumn="0"/>
              <w:rPr>
                <w:rFonts w:ascii="Garamond" w:hAnsi="Garamond"/>
                <w:b w:val="0"/>
                <w:sz w:val="24"/>
                <w:szCs w:val="24"/>
              </w:rPr>
            </w:pPr>
            <w:r w:rsidRPr="007114AF">
              <w:rPr>
                <w:rFonts w:ascii="Garamond" w:hAnsi="Garamond"/>
                <w:b w:val="0"/>
                <w:sz w:val="24"/>
                <w:szCs w:val="24"/>
              </w:rPr>
              <w:t>Përqindja</w:t>
            </w:r>
            <w:r w:rsidR="000A2A01" w:rsidRPr="007114AF">
              <w:rPr>
                <w:rFonts w:ascii="Garamond" w:hAnsi="Garamond"/>
                <w:b w:val="0"/>
                <w:sz w:val="24"/>
                <w:szCs w:val="24"/>
              </w:rPr>
              <w:t xml:space="preserve"> </w:t>
            </w:r>
            <w:r w:rsidRPr="007114AF">
              <w:rPr>
                <w:rFonts w:ascii="Garamond" w:hAnsi="Garamond"/>
                <w:b w:val="0"/>
                <w:sz w:val="24"/>
                <w:szCs w:val="24"/>
              </w:rPr>
              <w:t>në shkarkimet totale të vitit bazë</w:t>
            </w:r>
          </w:p>
        </w:tc>
      </w:tr>
      <w:tr w:rsidR="001C6C5A" w:rsidRPr="007114AF" w14:paraId="6EDCF3DF" w14:textId="77777777" w:rsidTr="008F17E8">
        <w:trPr>
          <w:trHeight w:val="356"/>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6EDCF3DC" w14:textId="77777777" w:rsidR="001C6C5A" w:rsidRPr="007114AF" w:rsidRDefault="001C6C5A" w:rsidP="001C6C5A">
            <w:pPr>
              <w:spacing w:after="0"/>
              <w:rPr>
                <w:rFonts w:ascii="Garamond" w:hAnsi="Garamond"/>
                <w:b w:val="0"/>
                <w:sz w:val="24"/>
                <w:szCs w:val="24"/>
              </w:rPr>
            </w:pPr>
            <w:r w:rsidRPr="007114AF">
              <w:rPr>
                <w:rFonts w:ascii="Garamond" w:hAnsi="Garamond"/>
                <w:b w:val="0"/>
                <w:sz w:val="24"/>
                <w:szCs w:val="24"/>
              </w:rPr>
              <w:t>Sektorët e mbuluar nga strategjia</w:t>
            </w:r>
          </w:p>
        </w:tc>
        <w:tc>
          <w:tcPr>
            <w:tcW w:w="0" w:type="auto"/>
            <w:noWrap/>
            <w:vAlign w:val="center"/>
            <w:hideMark/>
          </w:tcPr>
          <w:p w14:paraId="6EDCF3DD" w14:textId="77777777" w:rsidR="001C6C5A" w:rsidRPr="007114AF" w:rsidRDefault="001C6C5A" w:rsidP="001C6C5A">
            <w:pPr>
              <w:spacing w:after="0"/>
              <w:cnfStyle w:val="000000000000" w:firstRow="0" w:lastRow="0" w:firstColumn="0" w:lastColumn="0" w:oddVBand="0" w:evenVBand="0" w:oddHBand="0" w:evenHBand="0" w:firstRowFirstColumn="0" w:firstRowLastColumn="0" w:lastRowFirstColumn="0" w:lastRowLastColumn="0"/>
              <w:rPr>
                <w:rFonts w:ascii="Garamond" w:hAnsi="Garamond"/>
                <w:sz w:val="24"/>
                <w:szCs w:val="24"/>
              </w:rPr>
            </w:pPr>
            <w:r w:rsidRPr="007114AF">
              <w:rPr>
                <w:rFonts w:ascii="Garamond" w:hAnsi="Garamond"/>
                <w:sz w:val="24"/>
                <w:szCs w:val="24"/>
              </w:rPr>
              <w:t>2000</w:t>
            </w:r>
          </w:p>
        </w:tc>
        <w:tc>
          <w:tcPr>
            <w:tcW w:w="0" w:type="auto"/>
            <w:noWrap/>
            <w:vAlign w:val="center"/>
            <w:hideMark/>
          </w:tcPr>
          <w:p w14:paraId="6EDCF3DE" w14:textId="77777777" w:rsidR="001C6C5A" w:rsidRPr="007114AF" w:rsidRDefault="001C6C5A" w:rsidP="001C6C5A">
            <w:pPr>
              <w:spacing w:after="0"/>
              <w:cnfStyle w:val="000000000000" w:firstRow="0" w:lastRow="0" w:firstColumn="0" w:lastColumn="0" w:oddVBand="0" w:evenVBand="0" w:oddHBand="0" w:evenHBand="0" w:firstRowFirstColumn="0" w:firstRowLastColumn="0" w:lastRowFirstColumn="0" w:lastRowLastColumn="0"/>
              <w:rPr>
                <w:rFonts w:ascii="Garamond" w:hAnsi="Garamond"/>
                <w:sz w:val="24"/>
                <w:szCs w:val="24"/>
              </w:rPr>
            </w:pPr>
            <w:r w:rsidRPr="007114AF">
              <w:rPr>
                <w:rFonts w:ascii="Garamond" w:hAnsi="Garamond"/>
                <w:sz w:val="24"/>
                <w:szCs w:val="24"/>
              </w:rPr>
              <w:t>2005</w:t>
            </w:r>
          </w:p>
        </w:tc>
      </w:tr>
      <w:tr w:rsidR="001C6C5A" w:rsidRPr="007114AF" w14:paraId="6EDCF3E3" w14:textId="77777777" w:rsidTr="008F17E8">
        <w:trPr>
          <w:trHeight w:val="330"/>
          <w:jc w:val="center"/>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6EDCF3E0" w14:textId="77777777" w:rsidR="001C6C5A" w:rsidRPr="007114AF" w:rsidRDefault="001C6C5A" w:rsidP="001C6C5A">
            <w:pPr>
              <w:spacing w:after="0"/>
              <w:rPr>
                <w:rFonts w:ascii="Garamond" w:hAnsi="Garamond"/>
                <w:b w:val="0"/>
                <w:sz w:val="24"/>
                <w:szCs w:val="24"/>
              </w:rPr>
            </w:pPr>
            <w:r w:rsidRPr="007114AF">
              <w:rPr>
                <w:rFonts w:ascii="Garamond" w:hAnsi="Garamond"/>
                <w:b w:val="0"/>
                <w:sz w:val="24"/>
                <w:szCs w:val="24"/>
              </w:rPr>
              <w:t>Energji-Bujqësia-LUCF në KDK</w:t>
            </w:r>
          </w:p>
        </w:tc>
        <w:tc>
          <w:tcPr>
            <w:tcW w:w="0" w:type="auto"/>
            <w:noWrap/>
            <w:vAlign w:val="center"/>
            <w:hideMark/>
          </w:tcPr>
          <w:p w14:paraId="6EDCF3E1" w14:textId="77777777" w:rsidR="001C6C5A" w:rsidRPr="007114AF" w:rsidRDefault="001C6C5A" w:rsidP="001C6C5A">
            <w:pPr>
              <w:spacing w:after="0"/>
              <w:cnfStyle w:val="000000000000" w:firstRow="0" w:lastRow="0" w:firstColumn="0" w:lastColumn="0" w:oddVBand="0" w:evenVBand="0" w:oddHBand="0" w:evenHBand="0" w:firstRowFirstColumn="0" w:firstRowLastColumn="0" w:lastRowFirstColumn="0" w:lastRowLastColumn="0"/>
              <w:rPr>
                <w:rFonts w:ascii="Garamond" w:hAnsi="Garamond"/>
                <w:sz w:val="24"/>
                <w:szCs w:val="24"/>
              </w:rPr>
            </w:pPr>
            <w:r w:rsidRPr="007114AF">
              <w:rPr>
                <w:rFonts w:ascii="Garamond" w:hAnsi="Garamond"/>
                <w:sz w:val="24"/>
                <w:szCs w:val="24"/>
              </w:rPr>
              <w:t>89%</w:t>
            </w:r>
          </w:p>
        </w:tc>
        <w:tc>
          <w:tcPr>
            <w:tcW w:w="0" w:type="auto"/>
            <w:noWrap/>
            <w:vAlign w:val="center"/>
            <w:hideMark/>
          </w:tcPr>
          <w:p w14:paraId="6EDCF3E2" w14:textId="77777777" w:rsidR="001C6C5A" w:rsidRPr="007114AF" w:rsidRDefault="001C6C5A" w:rsidP="001C6C5A">
            <w:pPr>
              <w:spacing w:after="0"/>
              <w:cnfStyle w:val="000000000000" w:firstRow="0" w:lastRow="0" w:firstColumn="0" w:lastColumn="0" w:oddVBand="0" w:evenVBand="0" w:oddHBand="0" w:evenHBand="0" w:firstRowFirstColumn="0" w:firstRowLastColumn="0" w:lastRowFirstColumn="0" w:lastRowLastColumn="0"/>
              <w:rPr>
                <w:rFonts w:ascii="Garamond" w:hAnsi="Garamond"/>
                <w:sz w:val="24"/>
                <w:szCs w:val="24"/>
              </w:rPr>
            </w:pPr>
          </w:p>
        </w:tc>
      </w:tr>
      <w:tr w:rsidR="001C6C5A" w:rsidRPr="007114AF" w14:paraId="6EDCF3E7" w14:textId="77777777" w:rsidTr="008F17E8">
        <w:trPr>
          <w:trHeight w:val="330"/>
          <w:jc w:val="center"/>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6EDCF3E4" w14:textId="77777777" w:rsidR="001C6C5A" w:rsidRPr="007114AF" w:rsidRDefault="001C6C5A" w:rsidP="001C6C5A">
            <w:pPr>
              <w:spacing w:after="0"/>
              <w:rPr>
                <w:rFonts w:ascii="Garamond" w:hAnsi="Garamond"/>
                <w:b w:val="0"/>
                <w:sz w:val="24"/>
                <w:szCs w:val="24"/>
              </w:rPr>
            </w:pPr>
            <w:r w:rsidRPr="007114AF">
              <w:rPr>
                <w:rFonts w:ascii="Garamond" w:hAnsi="Garamond"/>
                <w:b w:val="0"/>
                <w:sz w:val="24"/>
                <w:szCs w:val="24"/>
              </w:rPr>
              <w:t>Energji-Bujqësi-LUCF në KTK</w:t>
            </w:r>
          </w:p>
        </w:tc>
        <w:tc>
          <w:tcPr>
            <w:tcW w:w="0" w:type="auto"/>
            <w:noWrap/>
            <w:vAlign w:val="center"/>
            <w:hideMark/>
          </w:tcPr>
          <w:p w14:paraId="6EDCF3E5" w14:textId="77777777" w:rsidR="001C6C5A" w:rsidRPr="007114AF" w:rsidRDefault="001C6C5A" w:rsidP="001C6C5A">
            <w:pPr>
              <w:spacing w:after="0"/>
              <w:cnfStyle w:val="000000000000" w:firstRow="0" w:lastRow="0" w:firstColumn="0" w:lastColumn="0" w:oddVBand="0" w:evenVBand="0" w:oddHBand="0" w:evenHBand="0" w:firstRowFirstColumn="0" w:firstRowLastColumn="0" w:lastRowFirstColumn="0" w:lastRowLastColumn="0"/>
              <w:rPr>
                <w:rFonts w:ascii="Garamond" w:hAnsi="Garamond"/>
                <w:sz w:val="24"/>
                <w:szCs w:val="24"/>
              </w:rPr>
            </w:pPr>
            <w:r w:rsidRPr="007114AF">
              <w:rPr>
                <w:rFonts w:ascii="Garamond" w:hAnsi="Garamond"/>
                <w:sz w:val="24"/>
                <w:szCs w:val="24"/>
              </w:rPr>
              <w:t>88%</w:t>
            </w:r>
          </w:p>
        </w:tc>
        <w:tc>
          <w:tcPr>
            <w:tcW w:w="0" w:type="auto"/>
            <w:noWrap/>
            <w:vAlign w:val="center"/>
            <w:hideMark/>
          </w:tcPr>
          <w:p w14:paraId="6EDCF3E6" w14:textId="77777777" w:rsidR="001C6C5A" w:rsidRPr="007114AF" w:rsidRDefault="001C6C5A" w:rsidP="001C6C5A">
            <w:pPr>
              <w:spacing w:after="0"/>
              <w:cnfStyle w:val="000000000000" w:firstRow="0" w:lastRow="0" w:firstColumn="0" w:lastColumn="0" w:oddVBand="0" w:evenVBand="0" w:oddHBand="0" w:evenHBand="0" w:firstRowFirstColumn="0" w:firstRowLastColumn="0" w:lastRowFirstColumn="0" w:lastRowLastColumn="0"/>
              <w:rPr>
                <w:rFonts w:ascii="Garamond" w:hAnsi="Garamond"/>
                <w:sz w:val="24"/>
                <w:szCs w:val="24"/>
              </w:rPr>
            </w:pPr>
            <w:r w:rsidRPr="007114AF">
              <w:rPr>
                <w:rFonts w:ascii="Garamond" w:hAnsi="Garamond"/>
                <w:sz w:val="24"/>
                <w:szCs w:val="24"/>
              </w:rPr>
              <w:t>80%</w:t>
            </w:r>
          </w:p>
        </w:tc>
      </w:tr>
    </w:tbl>
    <w:p w14:paraId="6EDCF3E8" w14:textId="77777777" w:rsidR="001C6C5A" w:rsidRPr="007114AF" w:rsidRDefault="001C6C5A" w:rsidP="00FF37A6">
      <w:pPr>
        <w:pStyle w:val="NoSpacing"/>
        <w:rPr>
          <w:rFonts w:ascii="Garamond" w:hAnsi="Garamond"/>
          <w:lang w:val="sq-AL"/>
        </w:rPr>
      </w:pPr>
    </w:p>
    <w:p w14:paraId="6EDCF3E9" w14:textId="77777777" w:rsidR="003A6446" w:rsidRPr="007114AF" w:rsidRDefault="003A6446" w:rsidP="003A6446">
      <w:pPr>
        <w:spacing w:after="0" w:line="240" w:lineRule="auto"/>
        <w:ind w:firstLine="284"/>
        <w:rPr>
          <w:rFonts w:ascii="Garamond" w:hAnsi="Garamond"/>
          <w:sz w:val="24"/>
          <w:szCs w:val="24"/>
        </w:rPr>
      </w:pPr>
      <w:r w:rsidRPr="007114AF">
        <w:rPr>
          <w:rFonts w:ascii="Garamond" w:hAnsi="Garamond"/>
          <w:sz w:val="24"/>
          <w:szCs w:val="24"/>
        </w:rPr>
        <w:t>Duke marrë në konsideratë përqasjen e propozuar, janë konsideruar dhe analizuar strategjitë, planet dhe ligjet e mëposhtme:</w:t>
      </w:r>
    </w:p>
    <w:p w14:paraId="6EDCF3EA" w14:textId="77777777" w:rsidR="003A6446" w:rsidRPr="007114AF" w:rsidRDefault="003A6446" w:rsidP="003A6446">
      <w:pPr>
        <w:spacing w:after="0" w:line="240" w:lineRule="auto"/>
        <w:ind w:firstLine="284"/>
        <w:rPr>
          <w:rFonts w:ascii="Garamond" w:hAnsi="Garamond"/>
          <w:sz w:val="24"/>
          <w:szCs w:val="24"/>
        </w:rPr>
      </w:pPr>
      <w:r w:rsidRPr="007114AF">
        <w:rPr>
          <w:rFonts w:ascii="Garamond" w:hAnsi="Garamond"/>
          <w:sz w:val="24"/>
          <w:szCs w:val="24"/>
        </w:rPr>
        <w:t>Ndërthurja sektoriale:</w:t>
      </w:r>
    </w:p>
    <w:p w14:paraId="6EDCF3EB" w14:textId="756D1548" w:rsidR="003A6446" w:rsidRPr="007114AF" w:rsidRDefault="00164B6B" w:rsidP="003A6446">
      <w:pPr>
        <w:spacing w:after="0" w:line="240" w:lineRule="auto"/>
        <w:ind w:firstLine="284"/>
        <w:rPr>
          <w:rFonts w:ascii="Garamond" w:hAnsi="Garamond"/>
          <w:sz w:val="24"/>
          <w:szCs w:val="24"/>
        </w:rPr>
      </w:pPr>
      <w:r w:rsidRPr="007114AF">
        <w:rPr>
          <w:rFonts w:ascii="Garamond" w:hAnsi="Garamond"/>
          <w:sz w:val="24"/>
          <w:szCs w:val="24"/>
        </w:rPr>
        <w:t xml:space="preserve">- </w:t>
      </w:r>
      <w:r w:rsidR="003A6446" w:rsidRPr="007114AF">
        <w:rPr>
          <w:rFonts w:ascii="Garamond" w:hAnsi="Garamond"/>
          <w:sz w:val="24"/>
          <w:szCs w:val="24"/>
        </w:rPr>
        <w:t>Kontributi i Synuar i Përcaktuar në Nivel Kombëtar (INDC) në kuadrin e NFCCC-it (2015</w:t>
      </w:r>
      <w:r w:rsidR="003D2CB2" w:rsidRPr="007114AF">
        <w:rPr>
          <w:rFonts w:ascii="Garamond" w:hAnsi="Garamond"/>
          <w:sz w:val="24"/>
          <w:szCs w:val="24"/>
        </w:rPr>
        <w:t>–</w:t>
      </w:r>
      <w:r w:rsidR="003A6446" w:rsidRPr="007114AF">
        <w:rPr>
          <w:rFonts w:ascii="Garamond" w:hAnsi="Garamond"/>
          <w:sz w:val="24"/>
          <w:szCs w:val="24"/>
        </w:rPr>
        <w:t>2030)</w:t>
      </w:r>
    </w:p>
    <w:p w14:paraId="6EDCF3EC" w14:textId="032F2FA7" w:rsidR="003A6446" w:rsidRPr="007114AF" w:rsidRDefault="00164B6B" w:rsidP="003A6446">
      <w:pPr>
        <w:spacing w:after="0" w:line="240" w:lineRule="auto"/>
        <w:ind w:firstLine="284"/>
        <w:rPr>
          <w:rFonts w:ascii="Garamond" w:hAnsi="Garamond"/>
          <w:sz w:val="24"/>
          <w:szCs w:val="24"/>
        </w:rPr>
      </w:pPr>
      <w:r w:rsidRPr="007114AF">
        <w:rPr>
          <w:rFonts w:ascii="Garamond" w:hAnsi="Garamond"/>
          <w:sz w:val="24"/>
          <w:szCs w:val="24"/>
        </w:rPr>
        <w:t xml:space="preserve">- </w:t>
      </w:r>
      <w:r w:rsidR="003A6446" w:rsidRPr="007114AF">
        <w:rPr>
          <w:rFonts w:ascii="Garamond" w:hAnsi="Garamond"/>
          <w:sz w:val="24"/>
          <w:szCs w:val="24"/>
        </w:rPr>
        <w:t>Draftstrategjia Mjedisore Ndërsektoriale (SMNS) (2015</w:t>
      </w:r>
      <w:r w:rsidR="003D2CB2" w:rsidRPr="007114AF">
        <w:rPr>
          <w:rFonts w:ascii="Garamond" w:hAnsi="Garamond"/>
          <w:sz w:val="24"/>
          <w:szCs w:val="24"/>
        </w:rPr>
        <w:t>–</w:t>
      </w:r>
      <w:r w:rsidR="003A6446" w:rsidRPr="007114AF">
        <w:rPr>
          <w:rFonts w:ascii="Garamond" w:hAnsi="Garamond"/>
          <w:sz w:val="24"/>
          <w:szCs w:val="24"/>
        </w:rPr>
        <w:t>2020)</w:t>
      </w:r>
    </w:p>
    <w:p w14:paraId="6EDCF3ED" w14:textId="3E8FF1DE" w:rsidR="003A6446" w:rsidRPr="007114AF" w:rsidRDefault="00164B6B" w:rsidP="003A6446">
      <w:pPr>
        <w:spacing w:after="0" w:line="240" w:lineRule="auto"/>
        <w:ind w:firstLine="284"/>
        <w:rPr>
          <w:rFonts w:ascii="Garamond" w:hAnsi="Garamond"/>
          <w:sz w:val="24"/>
          <w:szCs w:val="24"/>
        </w:rPr>
      </w:pPr>
      <w:r w:rsidRPr="007114AF">
        <w:rPr>
          <w:rFonts w:ascii="Garamond" w:hAnsi="Garamond"/>
          <w:sz w:val="24"/>
          <w:szCs w:val="24"/>
        </w:rPr>
        <w:t xml:space="preserve">- </w:t>
      </w:r>
      <w:r w:rsidR="003A6446" w:rsidRPr="007114AF">
        <w:rPr>
          <w:rFonts w:ascii="Garamond" w:hAnsi="Garamond"/>
          <w:sz w:val="24"/>
          <w:szCs w:val="24"/>
        </w:rPr>
        <w:t>Strategjia Kombëtare për Integrim dhe Zhvillim (SKZHI-II) (2015</w:t>
      </w:r>
      <w:r w:rsidR="003D2CB2" w:rsidRPr="007114AF">
        <w:rPr>
          <w:rFonts w:ascii="Garamond" w:hAnsi="Garamond"/>
          <w:sz w:val="24"/>
          <w:szCs w:val="24"/>
        </w:rPr>
        <w:t>–</w:t>
      </w:r>
      <w:r w:rsidR="003A6446" w:rsidRPr="007114AF">
        <w:rPr>
          <w:rFonts w:ascii="Garamond" w:hAnsi="Garamond"/>
          <w:sz w:val="24"/>
          <w:szCs w:val="24"/>
        </w:rPr>
        <w:t>2020)</w:t>
      </w:r>
    </w:p>
    <w:p w14:paraId="6EDCF3EE" w14:textId="77777777" w:rsidR="003A6446" w:rsidRPr="007114AF" w:rsidRDefault="00164B6B" w:rsidP="003A6446">
      <w:pPr>
        <w:spacing w:after="0" w:line="240" w:lineRule="auto"/>
        <w:ind w:firstLine="284"/>
        <w:rPr>
          <w:rFonts w:ascii="Garamond" w:hAnsi="Garamond"/>
          <w:sz w:val="24"/>
          <w:szCs w:val="24"/>
        </w:rPr>
      </w:pPr>
      <w:r w:rsidRPr="007114AF">
        <w:rPr>
          <w:rFonts w:ascii="Garamond" w:hAnsi="Garamond"/>
          <w:sz w:val="24"/>
          <w:szCs w:val="24"/>
        </w:rPr>
        <w:t xml:space="preserve">- </w:t>
      </w:r>
      <w:r w:rsidR="003A6446" w:rsidRPr="007114AF">
        <w:rPr>
          <w:rFonts w:ascii="Garamond" w:hAnsi="Garamond"/>
          <w:sz w:val="24"/>
          <w:szCs w:val="24"/>
        </w:rPr>
        <w:t>Projektligji për Ndryshimet Klimatike (nga hyrja në fuqi deri në rishikim)</w:t>
      </w:r>
    </w:p>
    <w:p w14:paraId="6EDCF3EF" w14:textId="74345005" w:rsidR="003A6446" w:rsidRPr="007114AF" w:rsidRDefault="00164B6B" w:rsidP="003A6446">
      <w:pPr>
        <w:spacing w:after="0" w:line="240" w:lineRule="auto"/>
        <w:ind w:firstLine="284"/>
        <w:rPr>
          <w:rFonts w:ascii="Garamond" w:hAnsi="Garamond"/>
          <w:sz w:val="24"/>
          <w:szCs w:val="24"/>
        </w:rPr>
      </w:pPr>
      <w:r w:rsidRPr="007114AF">
        <w:rPr>
          <w:rFonts w:ascii="Garamond" w:hAnsi="Garamond"/>
          <w:sz w:val="24"/>
          <w:szCs w:val="24"/>
        </w:rPr>
        <w:t xml:space="preserve">- </w:t>
      </w:r>
      <w:r w:rsidR="003A6446" w:rsidRPr="007114AF">
        <w:rPr>
          <w:rFonts w:ascii="Garamond" w:hAnsi="Garamond"/>
          <w:sz w:val="24"/>
          <w:szCs w:val="24"/>
        </w:rPr>
        <w:t>Plani Kombëtar i Territorit (PKT) (2015</w:t>
      </w:r>
      <w:r w:rsidR="003D2CB2" w:rsidRPr="007114AF">
        <w:rPr>
          <w:rFonts w:ascii="Garamond" w:hAnsi="Garamond"/>
          <w:sz w:val="24"/>
          <w:szCs w:val="24"/>
        </w:rPr>
        <w:t>–</w:t>
      </w:r>
      <w:r w:rsidR="003A6446" w:rsidRPr="007114AF">
        <w:rPr>
          <w:rFonts w:ascii="Garamond" w:hAnsi="Garamond"/>
          <w:sz w:val="24"/>
          <w:szCs w:val="24"/>
        </w:rPr>
        <w:t>2030)</w:t>
      </w:r>
      <w:r w:rsidR="003A6446" w:rsidRPr="007114AF">
        <w:rPr>
          <w:rFonts w:ascii="Garamond" w:hAnsi="Garamond"/>
          <w:sz w:val="24"/>
          <w:szCs w:val="24"/>
          <w:vertAlign w:val="superscript"/>
        </w:rPr>
        <w:footnoteReference w:id="6"/>
      </w:r>
    </w:p>
    <w:p w14:paraId="6EDCF3F0" w14:textId="77777777" w:rsidR="003A6446" w:rsidRPr="007114AF" w:rsidRDefault="003A6446" w:rsidP="003A6446">
      <w:pPr>
        <w:spacing w:after="0" w:line="240" w:lineRule="auto"/>
        <w:ind w:firstLine="284"/>
        <w:rPr>
          <w:rFonts w:ascii="Garamond" w:hAnsi="Garamond"/>
          <w:sz w:val="24"/>
          <w:szCs w:val="24"/>
        </w:rPr>
      </w:pPr>
      <w:r w:rsidRPr="007114AF">
        <w:rPr>
          <w:rFonts w:ascii="Garamond" w:hAnsi="Garamond"/>
          <w:sz w:val="24"/>
          <w:szCs w:val="24"/>
        </w:rPr>
        <w:t>Sektori i energjisë:</w:t>
      </w:r>
    </w:p>
    <w:p w14:paraId="6EDCF3F1" w14:textId="06CE94A2" w:rsidR="003A6446" w:rsidRPr="007114AF" w:rsidRDefault="00164B6B" w:rsidP="003A6446">
      <w:pPr>
        <w:spacing w:after="0" w:line="240" w:lineRule="auto"/>
        <w:ind w:firstLine="284"/>
        <w:rPr>
          <w:rFonts w:ascii="Garamond" w:hAnsi="Garamond"/>
          <w:sz w:val="24"/>
          <w:szCs w:val="24"/>
        </w:rPr>
      </w:pPr>
      <w:r w:rsidRPr="007114AF">
        <w:rPr>
          <w:rFonts w:ascii="Garamond" w:hAnsi="Garamond"/>
          <w:sz w:val="24"/>
          <w:szCs w:val="24"/>
        </w:rPr>
        <w:t xml:space="preserve">- </w:t>
      </w:r>
      <w:r w:rsidR="003A6446" w:rsidRPr="007114AF">
        <w:rPr>
          <w:rFonts w:ascii="Garamond" w:hAnsi="Garamond"/>
          <w:sz w:val="24"/>
          <w:szCs w:val="24"/>
        </w:rPr>
        <w:t>NAMA – Zëvendësimi i lëndëve djegëse fosile me mbetje jo të rrezikshme në industrinë shqiptare të çimentos (2015</w:t>
      </w:r>
      <w:r w:rsidR="003D2CB2" w:rsidRPr="007114AF">
        <w:rPr>
          <w:rFonts w:ascii="Garamond" w:hAnsi="Garamond"/>
          <w:sz w:val="24"/>
          <w:szCs w:val="24"/>
        </w:rPr>
        <w:t>–</w:t>
      </w:r>
      <w:r w:rsidR="003A6446" w:rsidRPr="007114AF">
        <w:rPr>
          <w:rFonts w:ascii="Garamond" w:hAnsi="Garamond"/>
          <w:sz w:val="24"/>
          <w:szCs w:val="24"/>
        </w:rPr>
        <w:t>2020)</w:t>
      </w:r>
    </w:p>
    <w:p w14:paraId="6EDCF3F2" w14:textId="1F6F6A7C" w:rsidR="003A6446" w:rsidRPr="007114AF" w:rsidRDefault="00164B6B" w:rsidP="003A6446">
      <w:pPr>
        <w:spacing w:after="0" w:line="240" w:lineRule="auto"/>
        <w:ind w:firstLine="284"/>
        <w:rPr>
          <w:rFonts w:ascii="Garamond" w:hAnsi="Garamond"/>
          <w:sz w:val="24"/>
          <w:szCs w:val="24"/>
        </w:rPr>
      </w:pPr>
      <w:r w:rsidRPr="007114AF">
        <w:rPr>
          <w:rFonts w:ascii="Garamond" w:hAnsi="Garamond"/>
          <w:sz w:val="24"/>
          <w:szCs w:val="24"/>
        </w:rPr>
        <w:t xml:space="preserve">- </w:t>
      </w:r>
      <w:r w:rsidR="003A6446" w:rsidRPr="007114AF">
        <w:rPr>
          <w:rFonts w:ascii="Garamond" w:hAnsi="Garamond"/>
          <w:sz w:val="24"/>
          <w:szCs w:val="24"/>
        </w:rPr>
        <w:t>NAMA – Financimi i mekanizmit për efic</w:t>
      </w:r>
      <w:r w:rsidR="003D2CB2" w:rsidRPr="007114AF">
        <w:rPr>
          <w:rFonts w:ascii="Garamond" w:hAnsi="Garamond"/>
          <w:sz w:val="24"/>
          <w:szCs w:val="24"/>
        </w:rPr>
        <w:t>i</w:t>
      </w:r>
      <w:r w:rsidR="003A6446" w:rsidRPr="007114AF">
        <w:rPr>
          <w:rFonts w:ascii="Garamond" w:hAnsi="Garamond"/>
          <w:sz w:val="24"/>
          <w:szCs w:val="24"/>
        </w:rPr>
        <w:t>encën e energjisë në ndërtesa (2015</w:t>
      </w:r>
      <w:r w:rsidR="003D2CB2" w:rsidRPr="007114AF">
        <w:rPr>
          <w:rFonts w:ascii="Garamond" w:hAnsi="Garamond"/>
          <w:sz w:val="24"/>
          <w:szCs w:val="24"/>
        </w:rPr>
        <w:t>–</w:t>
      </w:r>
      <w:r w:rsidR="003A6446" w:rsidRPr="007114AF">
        <w:rPr>
          <w:rFonts w:ascii="Garamond" w:hAnsi="Garamond"/>
          <w:sz w:val="24"/>
          <w:szCs w:val="24"/>
        </w:rPr>
        <w:t>2020)</w:t>
      </w:r>
    </w:p>
    <w:p w14:paraId="6EDCF3F3" w14:textId="7C76FB7D" w:rsidR="003A6446" w:rsidRPr="007114AF" w:rsidRDefault="00164B6B" w:rsidP="003A6446">
      <w:pPr>
        <w:spacing w:after="0" w:line="240" w:lineRule="auto"/>
        <w:ind w:firstLine="284"/>
        <w:rPr>
          <w:rFonts w:ascii="Garamond" w:hAnsi="Garamond"/>
          <w:sz w:val="24"/>
          <w:szCs w:val="24"/>
        </w:rPr>
      </w:pPr>
      <w:r w:rsidRPr="007114AF">
        <w:rPr>
          <w:rFonts w:ascii="Garamond" w:hAnsi="Garamond"/>
          <w:sz w:val="24"/>
          <w:szCs w:val="24"/>
        </w:rPr>
        <w:t xml:space="preserve">- </w:t>
      </w:r>
      <w:r w:rsidR="003A6446" w:rsidRPr="007114AF">
        <w:rPr>
          <w:rFonts w:ascii="Garamond" w:hAnsi="Garamond"/>
          <w:sz w:val="24"/>
          <w:szCs w:val="24"/>
        </w:rPr>
        <w:t>Plani Kombëtar i Veprimit për Burimet e Rinovueshme të Energjisë 2018</w:t>
      </w:r>
      <w:r w:rsidR="003D2CB2" w:rsidRPr="007114AF">
        <w:rPr>
          <w:rFonts w:ascii="Garamond" w:hAnsi="Garamond"/>
          <w:sz w:val="24"/>
          <w:szCs w:val="24"/>
        </w:rPr>
        <w:t>–</w:t>
      </w:r>
      <w:r w:rsidR="003A6446" w:rsidRPr="007114AF">
        <w:rPr>
          <w:rFonts w:ascii="Garamond" w:hAnsi="Garamond"/>
          <w:sz w:val="24"/>
          <w:szCs w:val="24"/>
        </w:rPr>
        <w:t>2020</w:t>
      </w:r>
    </w:p>
    <w:p w14:paraId="6EDCF3F4" w14:textId="5FE674D4" w:rsidR="003A6446" w:rsidRPr="007114AF" w:rsidRDefault="00164B6B" w:rsidP="003A6446">
      <w:pPr>
        <w:spacing w:after="0" w:line="240" w:lineRule="auto"/>
        <w:ind w:firstLine="284"/>
        <w:rPr>
          <w:rFonts w:ascii="Garamond" w:hAnsi="Garamond"/>
          <w:sz w:val="24"/>
          <w:szCs w:val="24"/>
        </w:rPr>
      </w:pPr>
      <w:r w:rsidRPr="007114AF">
        <w:rPr>
          <w:rFonts w:ascii="Garamond" w:hAnsi="Garamond"/>
          <w:sz w:val="24"/>
          <w:szCs w:val="24"/>
        </w:rPr>
        <w:t xml:space="preserve">- </w:t>
      </w:r>
      <w:r w:rsidR="003A6446" w:rsidRPr="007114AF">
        <w:rPr>
          <w:rFonts w:ascii="Garamond" w:hAnsi="Garamond"/>
          <w:sz w:val="24"/>
          <w:szCs w:val="24"/>
        </w:rPr>
        <w:t>Ligji</w:t>
      </w:r>
      <w:r w:rsidR="00242009" w:rsidRPr="007114AF">
        <w:rPr>
          <w:rFonts w:ascii="Garamond" w:hAnsi="Garamond"/>
          <w:sz w:val="24"/>
          <w:szCs w:val="24"/>
        </w:rPr>
        <w:t xml:space="preserve"> nr. </w:t>
      </w:r>
      <w:r w:rsidR="003A6446" w:rsidRPr="007114AF">
        <w:rPr>
          <w:rFonts w:ascii="Garamond" w:hAnsi="Garamond"/>
          <w:sz w:val="24"/>
          <w:szCs w:val="24"/>
        </w:rPr>
        <w:t>124/2015 për Eficiencën e Energjisë (nga hyrja në fuqi deri në rishikim)</w:t>
      </w:r>
    </w:p>
    <w:p w14:paraId="6EDCF3F5" w14:textId="180CBEF9" w:rsidR="003A6446" w:rsidRPr="007114AF" w:rsidRDefault="00164B6B" w:rsidP="003A6446">
      <w:pPr>
        <w:spacing w:after="0" w:line="240" w:lineRule="auto"/>
        <w:ind w:firstLine="284"/>
        <w:rPr>
          <w:rFonts w:ascii="Garamond" w:hAnsi="Garamond"/>
          <w:sz w:val="24"/>
          <w:szCs w:val="24"/>
        </w:rPr>
      </w:pPr>
      <w:r w:rsidRPr="007114AF">
        <w:rPr>
          <w:rFonts w:ascii="Garamond" w:hAnsi="Garamond"/>
          <w:sz w:val="24"/>
          <w:szCs w:val="24"/>
        </w:rPr>
        <w:t xml:space="preserve">- </w:t>
      </w:r>
      <w:r w:rsidR="003A6446" w:rsidRPr="007114AF">
        <w:rPr>
          <w:rFonts w:ascii="Garamond" w:hAnsi="Garamond"/>
          <w:sz w:val="24"/>
          <w:szCs w:val="24"/>
        </w:rPr>
        <w:t>Ligji</w:t>
      </w:r>
      <w:r w:rsidR="00242009" w:rsidRPr="007114AF">
        <w:rPr>
          <w:rFonts w:ascii="Garamond" w:hAnsi="Garamond"/>
          <w:sz w:val="24"/>
          <w:szCs w:val="24"/>
        </w:rPr>
        <w:t xml:space="preserve"> nr. </w:t>
      </w:r>
      <w:r w:rsidR="003A6446" w:rsidRPr="007114AF">
        <w:rPr>
          <w:rFonts w:ascii="Garamond" w:hAnsi="Garamond"/>
          <w:sz w:val="24"/>
          <w:szCs w:val="24"/>
        </w:rPr>
        <w:t xml:space="preserve">7/2017 </w:t>
      </w:r>
      <w:r w:rsidR="000A2A01" w:rsidRPr="007114AF">
        <w:rPr>
          <w:rFonts w:ascii="Garamond" w:hAnsi="Garamond"/>
          <w:sz w:val="24"/>
          <w:szCs w:val="24"/>
        </w:rPr>
        <w:t>“</w:t>
      </w:r>
      <w:r w:rsidR="003A6446" w:rsidRPr="007114AF">
        <w:rPr>
          <w:rFonts w:ascii="Garamond" w:hAnsi="Garamond"/>
          <w:sz w:val="24"/>
          <w:szCs w:val="24"/>
        </w:rPr>
        <w:t>P</w:t>
      </w:r>
      <w:r w:rsidR="003D2CB2" w:rsidRPr="007114AF">
        <w:rPr>
          <w:rFonts w:ascii="Garamond" w:hAnsi="Garamond"/>
          <w:sz w:val="24"/>
          <w:szCs w:val="24"/>
        </w:rPr>
        <w:t>ë</w:t>
      </w:r>
      <w:r w:rsidR="003A6446" w:rsidRPr="007114AF">
        <w:rPr>
          <w:rFonts w:ascii="Garamond" w:hAnsi="Garamond"/>
          <w:sz w:val="24"/>
          <w:szCs w:val="24"/>
        </w:rPr>
        <w:t>r nxitjen e përdorimit të burimeve të rinovueshme të energjisë</w:t>
      </w:r>
      <w:r w:rsidR="000A2A01" w:rsidRPr="007114AF">
        <w:rPr>
          <w:rFonts w:ascii="Garamond" w:hAnsi="Garamond"/>
          <w:sz w:val="24"/>
          <w:szCs w:val="24"/>
        </w:rPr>
        <w:t>”</w:t>
      </w:r>
    </w:p>
    <w:p w14:paraId="6EDCF3F6" w14:textId="743A7152" w:rsidR="003A6446" w:rsidRPr="007114AF" w:rsidRDefault="00164B6B" w:rsidP="003A6446">
      <w:pPr>
        <w:spacing w:after="0" w:line="240" w:lineRule="auto"/>
        <w:ind w:firstLine="284"/>
        <w:rPr>
          <w:rFonts w:ascii="Garamond" w:hAnsi="Garamond"/>
          <w:sz w:val="24"/>
          <w:szCs w:val="24"/>
        </w:rPr>
      </w:pPr>
      <w:r w:rsidRPr="007114AF">
        <w:rPr>
          <w:rFonts w:ascii="Garamond" w:hAnsi="Garamond"/>
          <w:sz w:val="24"/>
          <w:szCs w:val="24"/>
        </w:rPr>
        <w:t xml:space="preserve">- </w:t>
      </w:r>
      <w:r w:rsidR="003A6446" w:rsidRPr="007114AF">
        <w:rPr>
          <w:rFonts w:ascii="Garamond" w:hAnsi="Garamond"/>
          <w:sz w:val="24"/>
          <w:szCs w:val="24"/>
        </w:rPr>
        <w:t>Ligji</w:t>
      </w:r>
      <w:r w:rsidR="00242009" w:rsidRPr="007114AF">
        <w:rPr>
          <w:rFonts w:ascii="Garamond" w:hAnsi="Garamond"/>
          <w:sz w:val="24"/>
          <w:szCs w:val="24"/>
        </w:rPr>
        <w:t xml:space="preserve"> nr. </w:t>
      </w:r>
      <w:r w:rsidR="003A6446" w:rsidRPr="007114AF">
        <w:rPr>
          <w:rFonts w:ascii="Garamond" w:hAnsi="Garamond"/>
          <w:sz w:val="24"/>
          <w:szCs w:val="24"/>
        </w:rPr>
        <w:t xml:space="preserve">116/2016 </w:t>
      </w:r>
      <w:r w:rsidR="000A2A01" w:rsidRPr="007114AF">
        <w:rPr>
          <w:rFonts w:ascii="Garamond" w:hAnsi="Garamond"/>
          <w:sz w:val="24"/>
          <w:szCs w:val="24"/>
        </w:rPr>
        <w:t>“</w:t>
      </w:r>
      <w:r w:rsidR="003A6446" w:rsidRPr="007114AF">
        <w:rPr>
          <w:rFonts w:ascii="Garamond" w:hAnsi="Garamond"/>
          <w:sz w:val="24"/>
          <w:szCs w:val="24"/>
        </w:rPr>
        <w:t>Për performancën e energjisë së ndërtesave</w:t>
      </w:r>
    </w:p>
    <w:p w14:paraId="6EDCF3F7" w14:textId="29B1BB6A" w:rsidR="003A6446" w:rsidRPr="007114AF" w:rsidRDefault="00164B6B" w:rsidP="003A6446">
      <w:pPr>
        <w:spacing w:after="0" w:line="240" w:lineRule="auto"/>
        <w:ind w:firstLine="284"/>
        <w:rPr>
          <w:rFonts w:ascii="Garamond" w:hAnsi="Garamond"/>
          <w:sz w:val="24"/>
          <w:szCs w:val="24"/>
        </w:rPr>
      </w:pPr>
      <w:r w:rsidRPr="007114AF">
        <w:rPr>
          <w:rFonts w:ascii="Garamond" w:hAnsi="Garamond"/>
          <w:sz w:val="24"/>
          <w:szCs w:val="24"/>
        </w:rPr>
        <w:lastRenderedPageBreak/>
        <w:t xml:space="preserve">- </w:t>
      </w:r>
      <w:r w:rsidR="003A6446" w:rsidRPr="007114AF">
        <w:rPr>
          <w:rFonts w:ascii="Garamond" w:hAnsi="Garamond"/>
          <w:sz w:val="24"/>
          <w:szCs w:val="24"/>
        </w:rPr>
        <w:t>VKM</w:t>
      </w:r>
      <w:r w:rsidR="00242009" w:rsidRPr="007114AF">
        <w:rPr>
          <w:rFonts w:ascii="Garamond" w:hAnsi="Garamond"/>
          <w:sz w:val="24"/>
          <w:szCs w:val="24"/>
        </w:rPr>
        <w:t xml:space="preserve"> nr. </w:t>
      </w:r>
      <w:r w:rsidR="003A6446" w:rsidRPr="007114AF">
        <w:rPr>
          <w:rFonts w:ascii="Garamond" w:hAnsi="Garamond"/>
          <w:sz w:val="24"/>
          <w:szCs w:val="24"/>
        </w:rPr>
        <w:t>709, datë 1.12.2017 p</w:t>
      </w:r>
      <w:r w:rsidR="003D2CB2" w:rsidRPr="007114AF">
        <w:rPr>
          <w:rFonts w:ascii="Garamond" w:hAnsi="Garamond"/>
          <w:sz w:val="24"/>
          <w:szCs w:val="24"/>
        </w:rPr>
        <w:t>ë</w:t>
      </w:r>
      <w:r w:rsidR="003A6446" w:rsidRPr="007114AF">
        <w:rPr>
          <w:rFonts w:ascii="Garamond" w:hAnsi="Garamond"/>
          <w:sz w:val="24"/>
          <w:szCs w:val="24"/>
        </w:rPr>
        <w:t>r Planin komb</w:t>
      </w:r>
      <w:r w:rsidR="003D2CB2" w:rsidRPr="007114AF">
        <w:rPr>
          <w:rFonts w:ascii="Garamond" w:hAnsi="Garamond"/>
          <w:sz w:val="24"/>
          <w:szCs w:val="24"/>
        </w:rPr>
        <w:t>ë</w:t>
      </w:r>
      <w:r w:rsidR="003A6446" w:rsidRPr="007114AF">
        <w:rPr>
          <w:rFonts w:ascii="Garamond" w:hAnsi="Garamond"/>
          <w:sz w:val="24"/>
          <w:szCs w:val="24"/>
        </w:rPr>
        <w:t>tar t</w:t>
      </w:r>
      <w:r w:rsidR="003D2CB2" w:rsidRPr="007114AF">
        <w:rPr>
          <w:rFonts w:ascii="Garamond" w:hAnsi="Garamond"/>
          <w:sz w:val="24"/>
          <w:szCs w:val="24"/>
        </w:rPr>
        <w:t>ë</w:t>
      </w:r>
      <w:r w:rsidR="003A6446" w:rsidRPr="007114AF">
        <w:rPr>
          <w:rFonts w:ascii="Garamond" w:hAnsi="Garamond"/>
          <w:sz w:val="24"/>
          <w:szCs w:val="24"/>
        </w:rPr>
        <w:t xml:space="preserve"> efic</w:t>
      </w:r>
      <w:r w:rsidR="00AA35E8">
        <w:rPr>
          <w:rFonts w:ascii="Garamond" w:hAnsi="Garamond"/>
          <w:sz w:val="24"/>
          <w:szCs w:val="24"/>
        </w:rPr>
        <w:t>i</w:t>
      </w:r>
      <w:r w:rsidR="003A6446" w:rsidRPr="007114AF">
        <w:rPr>
          <w:rFonts w:ascii="Garamond" w:hAnsi="Garamond"/>
          <w:sz w:val="24"/>
          <w:szCs w:val="24"/>
        </w:rPr>
        <w:t>enc</w:t>
      </w:r>
      <w:r w:rsidR="003D2CB2" w:rsidRPr="007114AF">
        <w:rPr>
          <w:rFonts w:ascii="Garamond" w:hAnsi="Garamond"/>
          <w:sz w:val="24"/>
          <w:szCs w:val="24"/>
        </w:rPr>
        <w:t>ë</w:t>
      </w:r>
      <w:r w:rsidR="003A6446" w:rsidRPr="007114AF">
        <w:rPr>
          <w:rFonts w:ascii="Garamond" w:hAnsi="Garamond"/>
          <w:sz w:val="24"/>
          <w:szCs w:val="24"/>
        </w:rPr>
        <w:t xml:space="preserve">s se </w:t>
      </w:r>
      <w:r w:rsidR="003D2CB2" w:rsidRPr="007114AF">
        <w:rPr>
          <w:rFonts w:ascii="Garamond" w:hAnsi="Garamond"/>
          <w:sz w:val="24"/>
          <w:szCs w:val="24"/>
        </w:rPr>
        <w:t>Energjisë</w:t>
      </w:r>
      <w:r w:rsidR="003A6446" w:rsidRPr="007114AF">
        <w:rPr>
          <w:rFonts w:ascii="Garamond" w:hAnsi="Garamond"/>
          <w:sz w:val="24"/>
          <w:szCs w:val="24"/>
        </w:rPr>
        <w:t xml:space="preserve"> 2017</w:t>
      </w:r>
      <w:r w:rsidR="003D2CB2" w:rsidRPr="007114AF">
        <w:rPr>
          <w:rFonts w:ascii="Garamond" w:hAnsi="Garamond"/>
          <w:sz w:val="24"/>
          <w:szCs w:val="24"/>
        </w:rPr>
        <w:t>–</w:t>
      </w:r>
      <w:r w:rsidR="003A6446" w:rsidRPr="007114AF">
        <w:rPr>
          <w:rFonts w:ascii="Garamond" w:hAnsi="Garamond"/>
          <w:sz w:val="24"/>
          <w:szCs w:val="24"/>
        </w:rPr>
        <w:t>2020 </w:t>
      </w:r>
    </w:p>
    <w:p w14:paraId="6EDCF3F8" w14:textId="77777777" w:rsidR="003A6446" w:rsidRPr="007114AF" w:rsidRDefault="003A6446" w:rsidP="003A6446">
      <w:pPr>
        <w:spacing w:after="0" w:line="240" w:lineRule="auto"/>
        <w:ind w:firstLine="284"/>
        <w:rPr>
          <w:rFonts w:ascii="Garamond" w:hAnsi="Garamond"/>
          <w:sz w:val="24"/>
          <w:szCs w:val="24"/>
        </w:rPr>
      </w:pPr>
      <w:r w:rsidRPr="007114AF">
        <w:rPr>
          <w:rFonts w:ascii="Garamond" w:hAnsi="Garamond"/>
          <w:sz w:val="24"/>
          <w:szCs w:val="24"/>
        </w:rPr>
        <w:t>Sektori i Transportit:</w:t>
      </w:r>
    </w:p>
    <w:p w14:paraId="6EDCF3F9" w14:textId="3575D29C" w:rsidR="003A6446" w:rsidRPr="007114AF" w:rsidRDefault="00164B6B" w:rsidP="003A6446">
      <w:pPr>
        <w:spacing w:after="0" w:line="240" w:lineRule="auto"/>
        <w:ind w:firstLine="284"/>
        <w:rPr>
          <w:rFonts w:ascii="Garamond" w:hAnsi="Garamond"/>
          <w:sz w:val="24"/>
          <w:szCs w:val="24"/>
        </w:rPr>
      </w:pPr>
      <w:r w:rsidRPr="007114AF">
        <w:rPr>
          <w:rFonts w:ascii="Garamond" w:hAnsi="Garamond"/>
          <w:sz w:val="24"/>
          <w:szCs w:val="24"/>
        </w:rPr>
        <w:t xml:space="preserve">- </w:t>
      </w:r>
      <w:r w:rsidR="003A6446" w:rsidRPr="007114AF">
        <w:rPr>
          <w:rFonts w:ascii="Garamond" w:hAnsi="Garamond"/>
          <w:sz w:val="24"/>
          <w:szCs w:val="24"/>
        </w:rPr>
        <w:t>Strategjia dhe Plani i Veprimit i Sektorit tëTransportit (SSTPV) (2016</w:t>
      </w:r>
      <w:r w:rsidR="003D2CB2" w:rsidRPr="007114AF">
        <w:rPr>
          <w:rFonts w:ascii="Garamond" w:hAnsi="Garamond"/>
          <w:sz w:val="24"/>
          <w:szCs w:val="24"/>
        </w:rPr>
        <w:t>–</w:t>
      </w:r>
      <w:r w:rsidR="003A6446" w:rsidRPr="007114AF">
        <w:rPr>
          <w:rFonts w:ascii="Garamond" w:hAnsi="Garamond"/>
          <w:sz w:val="24"/>
          <w:szCs w:val="24"/>
        </w:rPr>
        <w:t>2020)</w:t>
      </w:r>
    </w:p>
    <w:p w14:paraId="6EDCF3FA" w14:textId="0845357B" w:rsidR="003A6446" w:rsidRPr="007114AF" w:rsidRDefault="00164B6B" w:rsidP="003A6446">
      <w:pPr>
        <w:spacing w:after="0" w:line="240" w:lineRule="auto"/>
        <w:ind w:firstLine="284"/>
        <w:rPr>
          <w:rFonts w:ascii="Garamond" w:hAnsi="Garamond"/>
          <w:sz w:val="24"/>
          <w:szCs w:val="24"/>
        </w:rPr>
      </w:pPr>
      <w:r w:rsidRPr="007114AF">
        <w:rPr>
          <w:rFonts w:ascii="Garamond" w:hAnsi="Garamond"/>
          <w:sz w:val="24"/>
          <w:szCs w:val="24"/>
        </w:rPr>
        <w:t xml:space="preserve">- </w:t>
      </w:r>
      <w:r w:rsidR="003A6446" w:rsidRPr="007114AF">
        <w:rPr>
          <w:rFonts w:ascii="Garamond" w:hAnsi="Garamond"/>
          <w:sz w:val="24"/>
          <w:szCs w:val="24"/>
        </w:rPr>
        <w:t>Plane për Transport të Qëndrueshëm (TECTQ) – dokument informues (2016</w:t>
      </w:r>
      <w:r w:rsidR="003D2CB2" w:rsidRPr="007114AF">
        <w:rPr>
          <w:rFonts w:ascii="Garamond" w:hAnsi="Garamond"/>
          <w:sz w:val="24"/>
          <w:szCs w:val="24"/>
        </w:rPr>
        <w:t>–</w:t>
      </w:r>
      <w:r w:rsidR="003A6446" w:rsidRPr="007114AF">
        <w:rPr>
          <w:rFonts w:ascii="Garamond" w:hAnsi="Garamond"/>
          <w:sz w:val="24"/>
          <w:szCs w:val="24"/>
        </w:rPr>
        <w:t>2020)</w:t>
      </w:r>
    </w:p>
    <w:p w14:paraId="6EDCF3FB" w14:textId="77777777" w:rsidR="003A6446" w:rsidRPr="007114AF" w:rsidRDefault="003A6446" w:rsidP="003A6446">
      <w:pPr>
        <w:spacing w:after="0" w:line="240" w:lineRule="auto"/>
        <w:ind w:firstLine="284"/>
        <w:rPr>
          <w:rFonts w:ascii="Garamond" w:hAnsi="Garamond"/>
          <w:sz w:val="24"/>
          <w:szCs w:val="24"/>
        </w:rPr>
      </w:pPr>
      <w:r w:rsidRPr="007114AF">
        <w:rPr>
          <w:rFonts w:ascii="Garamond" w:hAnsi="Garamond"/>
          <w:sz w:val="24"/>
          <w:szCs w:val="24"/>
        </w:rPr>
        <w:t>Bujqësia dhe LUCF-ja:</w:t>
      </w:r>
    </w:p>
    <w:p w14:paraId="6EDCF3FC" w14:textId="7243D16E" w:rsidR="003A6446" w:rsidRPr="007114AF" w:rsidRDefault="00164B6B" w:rsidP="003A6446">
      <w:pPr>
        <w:spacing w:after="0" w:line="240" w:lineRule="auto"/>
        <w:ind w:firstLine="284"/>
        <w:rPr>
          <w:rFonts w:ascii="Garamond" w:hAnsi="Garamond"/>
          <w:sz w:val="24"/>
          <w:szCs w:val="24"/>
        </w:rPr>
      </w:pPr>
      <w:r w:rsidRPr="007114AF">
        <w:rPr>
          <w:rFonts w:ascii="Garamond" w:hAnsi="Garamond"/>
          <w:sz w:val="24"/>
          <w:szCs w:val="24"/>
        </w:rPr>
        <w:t xml:space="preserve">- </w:t>
      </w:r>
      <w:r w:rsidR="003A6446" w:rsidRPr="007114AF">
        <w:rPr>
          <w:rFonts w:ascii="Garamond" w:hAnsi="Garamond"/>
          <w:sz w:val="24"/>
          <w:szCs w:val="24"/>
        </w:rPr>
        <w:t>Strategjia ndërsektorale për Bujqësinë dhe Zhvillimin Rural në Shqipëri (SNBZHR) (2014</w:t>
      </w:r>
      <w:r w:rsidR="003D2CB2" w:rsidRPr="007114AF">
        <w:rPr>
          <w:rFonts w:ascii="Garamond" w:hAnsi="Garamond"/>
          <w:sz w:val="24"/>
          <w:szCs w:val="24"/>
        </w:rPr>
        <w:t>–</w:t>
      </w:r>
      <w:r w:rsidR="003A6446" w:rsidRPr="007114AF">
        <w:rPr>
          <w:rFonts w:ascii="Garamond" w:hAnsi="Garamond"/>
          <w:sz w:val="24"/>
          <w:szCs w:val="24"/>
        </w:rPr>
        <w:t>2020)</w:t>
      </w:r>
    </w:p>
    <w:p w14:paraId="6EDCF3FD" w14:textId="605D6811" w:rsidR="003A6446" w:rsidRPr="007114AF" w:rsidRDefault="00164B6B" w:rsidP="003A6446">
      <w:pPr>
        <w:spacing w:after="0" w:line="240" w:lineRule="auto"/>
        <w:ind w:firstLine="284"/>
        <w:rPr>
          <w:rFonts w:ascii="Garamond" w:hAnsi="Garamond"/>
          <w:sz w:val="24"/>
          <w:szCs w:val="24"/>
        </w:rPr>
      </w:pPr>
      <w:r w:rsidRPr="007114AF">
        <w:rPr>
          <w:rFonts w:ascii="Garamond" w:hAnsi="Garamond"/>
          <w:sz w:val="24"/>
          <w:szCs w:val="24"/>
        </w:rPr>
        <w:t xml:space="preserve">- </w:t>
      </w:r>
      <w:r w:rsidR="003A6446" w:rsidRPr="007114AF">
        <w:rPr>
          <w:rFonts w:ascii="Garamond" w:hAnsi="Garamond"/>
          <w:sz w:val="24"/>
          <w:szCs w:val="24"/>
        </w:rPr>
        <w:t>Programi i Zhvillimit Rural 2014</w:t>
      </w:r>
      <w:r w:rsidR="003D2CB2" w:rsidRPr="007114AF">
        <w:rPr>
          <w:rFonts w:ascii="Garamond" w:hAnsi="Garamond"/>
          <w:sz w:val="24"/>
          <w:szCs w:val="24"/>
        </w:rPr>
        <w:t>–</w:t>
      </w:r>
      <w:r w:rsidR="003A6446" w:rsidRPr="007114AF">
        <w:rPr>
          <w:rFonts w:ascii="Garamond" w:hAnsi="Garamond"/>
          <w:sz w:val="24"/>
          <w:szCs w:val="24"/>
        </w:rPr>
        <w:t>2020 në kuadrin e Instrumentit për Asistencën para Anëtarësimit (IPARD) (2014</w:t>
      </w:r>
      <w:r w:rsidR="003D2CB2" w:rsidRPr="007114AF">
        <w:rPr>
          <w:rFonts w:ascii="Garamond" w:hAnsi="Garamond"/>
          <w:sz w:val="24"/>
          <w:szCs w:val="24"/>
        </w:rPr>
        <w:t>–</w:t>
      </w:r>
      <w:r w:rsidR="003A6446" w:rsidRPr="007114AF">
        <w:rPr>
          <w:rFonts w:ascii="Garamond" w:hAnsi="Garamond"/>
          <w:sz w:val="24"/>
          <w:szCs w:val="24"/>
        </w:rPr>
        <w:t>2020)</w:t>
      </w:r>
    </w:p>
    <w:p w14:paraId="6EDCF3FE" w14:textId="3726A821" w:rsidR="003A6446" w:rsidRPr="007114AF" w:rsidRDefault="00164B6B" w:rsidP="003A6446">
      <w:pPr>
        <w:spacing w:after="0" w:line="240" w:lineRule="auto"/>
        <w:ind w:firstLine="284"/>
        <w:rPr>
          <w:rFonts w:ascii="Garamond" w:hAnsi="Garamond"/>
          <w:sz w:val="24"/>
          <w:szCs w:val="24"/>
        </w:rPr>
      </w:pPr>
      <w:r w:rsidRPr="007114AF">
        <w:rPr>
          <w:rFonts w:ascii="Garamond" w:hAnsi="Garamond"/>
          <w:sz w:val="24"/>
          <w:szCs w:val="24"/>
        </w:rPr>
        <w:t xml:space="preserve">- </w:t>
      </w:r>
      <w:r w:rsidR="003A6446" w:rsidRPr="007114AF">
        <w:rPr>
          <w:rFonts w:ascii="Garamond" w:hAnsi="Garamond"/>
          <w:sz w:val="24"/>
          <w:szCs w:val="24"/>
        </w:rPr>
        <w:t>Dokumenti Politik i Strategjisë për Mbrojtjen e Biodiversitetit (DPSMB) (2016</w:t>
      </w:r>
      <w:r w:rsidR="003D2CB2" w:rsidRPr="007114AF">
        <w:rPr>
          <w:rFonts w:ascii="Garamond" w:hAnsi="Garamond"/>
          <w:sz w:val="24"/>
          <w:szCs w:val="24"/>
        </w:rPr>
        <w:t>–</w:t>
      </w:r>
      <w:r w:rsidR="003A6446" w:rsidRPr="007114AF">
        <w:rPr>
          <w:rFonts w:ascii="Garamond" w:hAnsi="Garamond"/>
          <w:sz w:val="24"/>
          <w:szCs w:val="24"/>
        </w:rPr>
        <w:t>2020)</w:t>
      </w:r>
    </w:p>
    <w:p w14:paraId="6EDCF3FF" w14:textId="77777777" w:rsidR="003A6446" w:rsidRPr="007114AF" w:rsidRDefault="00164B6B" w:rsidP="003A6446">
      <w:pPr>
        <w:spacing w:after="0" w:line="240" w:lineRule="auto"/>
        <w:ind w:firstLine="284"/>
        <w:rPr>
          <w:rFonts w:ascii="Garamond" w:hAnsi="Garamond"/>
          <w:sz w:val="24"/>
          <w:szCs w:val="24"/>
        </w:rPr>
      </w:pPr>
      <w:r w:rsidRPr="007114AF">
        <w:rPr>
          <w:rFonts w:ascii="Garamond" w:hAnsi="Garamond"/>
          <w:sz w:val="24"/>
          <w:szCs w:val="24"/>
        </w:rPr>
        <w:t xml:space="preserve">- </w:t>
      </w:r>
      <w:r w:rsidR="003A6446" w:rsidRPr="007114AF">
        <w:rPr>
          <w:rFonts w:ascii="Garamond" w:hAnsi="Garamond"/>
          <w:sz w:val="24"/>
          <w:szCs w:val="24"/>
        </w:rPr>
        <w:t>Projektligji për Administrimin e Fondit Kombëtar të Pyjeve dhe Kullotave në Republikën e Shqipërisë (nga hyrja në fuqi deri në rishikim).</w:t>
      </w:r>
    </w:p>
    <w:p w14:paraId="6EDCF400" w14:textId="77777777" w:rsidR="003A6446" w:rsidRPr="007114AF" w:rsidRDefault="003A6446" w:rsidP="003A6446">
      <w:pPr>
        <w:spacing w:after="0" w:line="240" w:lineRule="auto"/>
        <w:ind w:firstLine="284"/>
        <w:rPr>
          <w:rFonts w:ascii="Garamond" w:hAnsi="Garamond"/>
          <w:sz w:val="24"/>
          <w:szCs w:val="24"/>
        </w:rPr>
      </w:pPr>
      <w:r w:rsidRPr="007114AF">
        <w:rPr>
          <w:rFonts w:ascii="Garamond" w:hAnsi="Garamond"/>
          <w:sz w:val="24"/>
          <w:szCs w:val="24"/>
        </w:rPr>
        <w:t>Në kohën e shkrimit të dokumentit të SKNK-Së, po zhvilloheshin disa strategji dhe plane, prandaj janë në formë drafti, si në rastin e planit dhe strategjisë për Transportin, SKZHI-II dhe Komunikimit të Tretë Kombëtar ose ishin në stadin fillestar, si në rastin e Strategjisë Kombëtare të Energjisë. Prandaj rekomandohet një rishikim periodik i këtij dokumenti në dritën e zhvillimit të strategjive kryesore sektoriale gjatë viteve të ardhshme.</w:t>
      </w:r>
      <w:bookmarkStart w:id="4" w:name="_Toc471987561"/>
      <w:bookmarkStart w:id="5" w:name="_Toc450135222"/>
      <w:bookmarkStart w:id="6" w:name="_Toc450151825"/>
      <w:bookmarkEnd w:id="4"/>
    </w:p>
    <w:p w14:paraId="6EDCF401" w14:textId="77777777" w:rsidR="003A6446" w:rsidRPr="007114AF" w:rsidRDefault="00164B6B" w:rsidP="003A6446">
      <w:pPr>
        <w:spacing w:after="0" w:line="240" w:lineRule="auto"/>
        <w:ind w:firstLine="284"/>
        <w:rPr>
          <w:rFonts w:ascii="Garamond" w:hAnsi="Garamond"/>
          <w:sz w:val="24"/>
          <w:szCs w:val="24"/>
        </w:rPr>
      </w:pPr>
      <w:bookmarkStart w:id="7" w:name="_Toc484424470"/>
      <w:r w:rsidRPr="007114AF">
        <w:rPr>
          <w:rFonts w:ascii="Garamond" w:hAnsi="Garamond"/>
          <w:sz w:val="24"/>
          <w:szCs w:val="24"/>
        </w:rPr>
        <w:t xml:space="preserve">1.2 </w:t>
      </w:r>
      <w:r w:rsidR="003A6446" w:rsidRPr="007114AF">
        <w:rPr>
          <w:rFonts w:ascii="Garamond" w:hAnsi="Garamond"/>
          <w:sz w:val="24"/>
          <w:szCs w:val="24"/>
        </w:rPr>
        <w:t>Aspektet e përshtatjes</w:t>
      </w:r>
      <w:bookmarkEnd w:id="7"/>
    </w:p>
    <w:p w14:paraId="6EDCF402" w14:textId="69B4074E" w:rsidR="003A6446" w:rsidRPr="007114AF" w:rsidRDefault="003A6446" w:rsidP="003A6446">
      <w:pPr>
        <w:spacing w:after="0" w:line="240" w:lineRule="auto"/>
        <w:ind w:firstLine="284"/>
        <w:rPr>
          <w:rFonts w:ascii="Garamond" w:hAnsi="Garamond"/>
          <w:sz w:val="24"/>
          <w:szCs w:val="24"/>
        </w:rPr>
      </w:pPr>
      <w:r w:rsidRPr="007114AF">
        <w:rPr>
          <w:rFonts w:ascii="Garamond" w:hAnsi="Garamond"/>
          <w:sz w:val="24"/>
          <w:szCs w:val="24"/>
        </w:rPr>
        <w:t>Plani kombëtar i përshtatjes është krijuar në bashkëpunim të ngushtë me ministritë e linjës, nën udhëheqjen e Ministrisë së Turizmit dhe Mjedisit (MTM),</w:t>
      </w:r>
      <w:r w:rsidR="000A2A01" w:rsidRPr="007114AF">
        <w:rPr>
          <w:rFonts w:ascii="Garamond" w:hAnsi="Garamond"/>
          <w:sz w:val="24"/>
          <w:szCs w:val="24"/>
        </w:rPr>
        <w:t xml:space="preserve"> </w:t>
      </w:r>
      <w:r w:rsidRPr="007114AF">
        <w:rPr>
          <w:rFonts w:ascii="Garamond" w:hAnsi="Garamond"/>
          <w:sz w:val="24"/>
          <w:szCs w:val="24"/>
        </w:rPr>
        <w:t>në kuadrin e Grupit Ndërministror të Punës së Ndryshimeve Klimatike, përgjatë vitit 2015</w:t>
      </w:r>
      <w:r w:rsidR="00AA35E8" w:rsidRPr="007114AF">
        <w:rPr>
          <w:rFonts w:ascii="Garamond" w:hAnsi="Garamond"/>
          <w:sz w:val="24"/>
          <w:szCs w:val="24"/>
        </w:rPr>
        <w:t>–</w:t>
      </w:r>
      <w:r w:rsidRPr="007114AF">
        <w:rPr>
          <w:rFonts w:ascii="Garamond" w:hAnsi="Garamond"/>
          <w:sz w:val="24"/>
          <w:szCs w:val="24"/>
        </w:rPr>
        <w:t>2016.</w:t>
      </w:r>
      <w:r w:rsidR="000A2A01" w:rsidRPr="007114AF">
        <w:rPr>
          <w:rFonts w:ascii="Garamond" w:hAnsi="Garamond"/>
          <w:sz w:val="24"/>
          <w:szCs w:val="24"/>
        </w:rPr>
        <w:t xml:space="preserve"> </w:t>
      </w:r>
    </w:p>
    <w:p w14:paraId="6EDCF403" w14:textId="22032440" w:rsidR="003A6446" w:rsidRPr="007114AF" w:rsidRDefault="003A6446" w:rsidP="003A6446">
      <w:pPr>
        <w:spacing w:after="0" w:line="240" w:lineRule="auto"/>
        <w:ind w:firstLine="284"/>
        <w:rPr>
          <w:rFonts w:ascii="Garamond" w:hAnsi="Garamond"/>
          <w:sz w:val="24"/>
          <w:szCs w:val="24"/>
        </w:rPr>
      </w:pPr>
      <w:r w:rsidRPr="007114AF">
        <w:rPr>
          <w:rFonts w:ascii="Garamond" w:hAnsi="Garamond"/>
          <w:sz w:val="24"/>
          <w:szCs w:val="24"/>
        </w:rPr>
        <w:t>NAP-i kuptohet kryesisht, si një proces afatgjatë për të cilin ky dokument ofron elementet kuadër</w:t>
      </w:r>
      <w:r w:rsidR="00B32784" w:rsidRPr="007114AF">
        <w:rPr>
          <w:rFonts w:ascii="Garamond" w:hAnsi="Garamond"/>
          <w:sz w:val="24"/>
          <w:szCs w:val="24"/>
        </w:rPr>
        <w:t>,</w:t>
      </w:r>
      <w:r w:rsidRPr="007114AF">
        <w:rPr>
          <w:rFonts w:ascii="Garamond" w:hAnsi="Garamond"/>
          <w:sz w:val="24"/>
          <w:szCs w:val="24"/>
        </w:rPr>
        <w:t xml:space="preserve"> si:</w:t>
      </w:r>
      <w:r w:rsidR="00B32784" w:rsidRPr="007114AF">
        <w:rPr>
          <w:rFonts w:ascii="Garamond" w:hAnsi="Garamond"/>
          <w:sz w:val="24"/>
          <w:szCs w:val="24"/>
        </w:rPr>
        <w:t xml:space="preserve"> </w:t>
      </w:r>
      <w:r w:rsidRPr="007114AF">
        <w:rPr>
          <w:rFonts w:ascii="Garamond" w:hAnsi="Garamond"/>
          <w:sz w:val="24"/>
          <w:szCs w:val="24"/>
        </w:rPr>
        <w:t>parimet, objektivat, treguesit, veprimet prioritare dhe elementet e procesit.</w:t>
      </w:r>
    </w:p>
    <w:p w14:paraId="6EDCF404" w14:textId="77777777" w:rsidR="003A6446" w:rsidRPr="007114AF" w:rsidRDefault="003A6446" w:rsidP="003A6446">
      <w:pPr>
        <w:spacing w:after="0" w:line="240" w:lineRule="auto"/>
        <w:ind w:firstLine="284"/>
        <w:rPr>
          <w:rFonts w:ascii="Garamond" w:hAnsi="Garamond"/>
          <w:sz w:val="24"/>
          <w:szCs w:val="24"/>
        </w:rPr>
      </w:pPr>
      <w:r w:rsidRPr="007114AF">
        <w:rPr>
          <w:rFonts w:ascii="Garamond" w:hAnsi="Garamond"/>
          <w:sz w:val="24"/>
          <w:szCs w:val="24"/>
        </w:rPr>
        <w:t>Ai ofron një kuadër për integrimin e ndryshimeve klimatike në sektorët e synuar si dhe vendos një kuadër zbatimi kryesisht, nëpërmjet veprimeve prioritare të mbështetura nëpërmjet mekanizmave mundësues, si buxheti përkatës, informimi dhe përfshirja, zhvillimi i kapaciteteve dhe monitorimi.</w:t>
      </w:r>
    </w:p>
    <w:p w14:paraId="6EDCF405" w14:textId="6D92658B" w:rsidR="003A6446" w:rsidRPr="007114AF" w:rsidRDefault="003A6446" w:rsidP="003A6446">
      <w:pPr>
        <w:spacing w:after="0" w:line="240" w:lineRule="auto"/>
        <w:ind w:firstLine="284"/>
        <w:rPr>
          <w:rFonts w:ascii="Garamond" w:hAnsi="Garamond"/>
          <w:sz w:val="24"/>
          <w:szCs w:val="24"/>
        </w:rPr>
      </w:pPr>
      <w:r w:rsidRPr="007114AF">
        <w:rPr>
          <w:rFonts w:ascii="Garamond" w:hAnsi="Garamond"/>
          <w:sz w:val="24"/>
          <w:szCs w:val="24"/>
        </w:rPr>
        <w:t>Një drejtim i efektshëm i procesit të përshtatjes do të sigurohet nëpërmjet objektivave dhe treguesve të orientuar nga rezultatet. Procesi i përshtatjes thjeshtohet, duke punuar mbi treguesit kryesorë që karakterizojnë progresin e përshtatjes, dhe duke punuar mbi objektivat dhe treguesit ekzistues, për shembull ata që janë të përcaktuar në SKZHI-në. Në pjesën e përshtatjes së dokumentit SKNK&amp;P janë identifikuar indikatorët të cilët gjithsesi, duhen specifikuar më tej, nëpërmjet rezultateve të prodhuara nga</w:t>
      </w:r>
      <w:r w:rsidR="00B32784" w:rsidRPr="007114AF">
        <w:rPr>
          <w:rFonts w:ascii="Garamond" w:hAnsi="Garamond"/>
          <w:sz w:val="24"/>
          <w:szCs w:val="24"/>
        </w:rPr>
        <w:t xml:space="preserve"> </w:t>
      </w:r>
      <w:r w:rsidRPr="007114AF">
        <w:rPr>
          <w:rFonts w:ascii="Garamond" w:hAnsi="Garamond"/>
          <w:sz w:val="24"/>
          <w:szCs w:val="24"/>
        </w:rPr>
        <w:t>një sistemi konciz monitorimi.</w:t>
      </w:r>
      <w:r w:rsidR="000A2A01" w:rsidRPr="007114AF">
        <w:rPr>
          <w:rFonts w:ascii="Garamond" w:hAnsi="Garamond"/>
          <w:sz w:val="24"/>
          <w:szCs w:val="24"/>
        </w:rPr>
        <w:t xml:space="preserve"> </w:t>
      </w:r>
    </w:p>
    <w:p w14:paraId="6EDCF406" w14:textId="0030C7A7" w:rsidR="003A6446" w:rsidRPr="007114AF" w:rsidRDefault="003A6446" w:rsidP="003A6446">
      <w:pPr>
        <w:spacing w:after="0" w:line="240" w:lineRule="auto"/>
        <w:ind w:firstLine="284"/>
        <w:rPr>
          <w:rFonts w:ascii="Garamond" w:hAnsi="Garamond"/>
          <w:sz w:val="24"/>
          <w:szCs w:val="24"/>
        </w:rPr>
      </w:pPr>
      <w:r w:rsidRPr="007114AF">
        <w:rPr>
          <w:rFonts w:ascii="Garamond" w:hAnsi="Garamond"/>
          <w:sz w:val="24"/>
          <w:szCs w:val="24"/>
        </w:rPr>
        <w:t xml:space="preserve">Procesi NAP-it në Shqipëri, orientohet nga </w:t>
      </w:r>
      <w:r w:rsidR="000A2A01" w:rsidRPr="007114AF">
        <w:rPr>
          <w:rFonts w:ascii="Garamond" w:hAnsi="Garamond"/>
          <w:sz w:val="24"/>
          <w:szCs w:val="24"/>
        </w:rPr>
        <w:t>“</w:t>
      </w:r>
      <w:r w:rsidRPr="007114AF">
        <w:rPr>
          <w:rFonts w:ascii="Garamond" w:hAnsi="Garamond"/>
          <w:sz w:val="24"/>
          <w:szCs w:val="24"/>
        </w:rPr>
        <w:t>Udhëzimet teknike për proceset e NAP-it</w:t>
      </w:r>
      <w:r w:rsidR="000A2A01" w:rsidRPr="007114AF">
        <w:rPr>
          <w:rFonts w:ascii="Garamond" w:hAnsi="Garamond"/>
          <w:sz w:val="24"/>
          <w:szCs w:val="24"/>
        </w:rPr>
        <w:t>”</w:t>
      </w:r>
      <w:r w:rsidRPr="007114AF">
        <w:rPr>
          <w:rFonts w:ascii="Garamond" w:hAnsi="Garamond"/>
          <w:sz w:val="24"/>
          <w:szCs w:val="24"/>
        </w:rPr>
        <w:t>, të përgatitura nga Grupi Ekspertëve të Vendeve më pak të zhvilluara të UNFCCC-së (LEG)</w:t>
      </w:r>
      <w:r w:rsidRPr="007114AF">
        <w:rPr>
          <w:rFonts w:ascii="Garamond" w:hAnsi="Garamond"/>
          <w:sz w:val="24"/>
          <w:szCs w:val="24"/>
          <w:vertAlign w:val="superscript"/>
        </w:rPr>
        <w:footnoteReference w:id="7"/>
      </w:r>
      <w:r w:rsidRPr="007114AF">
        <w:rPr>
          <w:rFonts w:ascii="Garamond" w:hAnsi="Garamond"/>
          <w:sz w:val="24"/>
          <w:szCs w:val="24"/>
        </w:rPr>
        <w:t xml:space="preserve"> dhe të publikuara në dhjetor të vitit 2012 (të ashtuquajturat </w:t>
      </w:r>
      <w:r w:rsidR="000A2A01" w:rsidRPr="007114AF">
        <w:rPr>
          <w:rFonts w:ascii="Garamond" w:hAnsi="Garamond"/>
          <w:sz w:val="24"/>
          <w:szCs w:val="24"/>
        </w:rPr>
        <w:t>“</w:t>
      </w:r>
      <w:r w:rsidRPr="007114AF">
        <w:rPr>
          <w:rFonts w:ascii="Garamond" w:hAnsi="Garamond"/>
          <w:sz w:val="24"/>
          <w:szCs w:val="24"/>
        </w:rPr>
        <w:t>Udhëzimet teknike</w:t>
      </w:r>
      <w:r w:rsidR="000A2A01" w:rsidRPr="007114AF">
        <w:rPr>
          <w:rFonts w:ascii="Garamond" w:hAnsi="Garamond"/>
          <w:sz w:val="24"/>
          <w:szCs w:val="24"/>
        </w:rPr>
        <w:t>”</w:t>
      </w:r>
      <w:r w:rsidRPr="007114AF">
        <w:rPr>
          <w:rFonts w:ascii="Garamond" w:hAnsi="Garamond"/>
          <w:sz w:val="24"/>
          <w:szCs w:val="24"/>
        </w:rPr>
        <w:t>).</w:t>
      </w:r>
      <w:r w:rsidR="001C3983" w:rsidRPr="007114AF">
        <w:rPr>
          <w:rFonts w:ascii="Garamond" w:hAnsi="Garamond"/>
          <w:sz w:val="24"/>
          <w:szCs w:val="24"/>
        </w:rPr>
        <w:t xml:space="preserve"> </w:t>
      </w:r>
    </w:p>
    <w:p w14:paraId="6EDCF407" w14:textId="71F7C13B" w:rsidR="003A6446" w:rsidRPr="007114AF" w:rsidRDefault="003A6446" w:rsidP="003A6446">
      <w:pPr>
        <w:spacing w:after="0" w:line="240" w:lineRule="auto"/>
        <w:ind w:firstLine="284"/>
        <w:rPr>
          <w:rFonts w:ascii="Garamond" w:hAnsi="Garamond"/>
          <w:sz w:val="24"/>
          <w:szCs w:val="24"/>
        </w:rPr>
      </w:pPr>
      <w:r w:rsidRPr="007114AF">
        <w:rPr>
          <w:rFonts w:ascii="Garamond" w:hAnsi="Garamond"/>
          <w:sz w:val="24"/>
          <w:szCs w:val="24"/>
        </w:rPr>
        <w:t xml:space="preserve">Bazuar mbi karakteristikat e dhëna në </w:t>
      </w:r>
      <w:r w:rsidR="000A2A01" w:rsidRPr="007114AF">
        <w:rPr>
          <w:rFonts w:ascii="Garamond" w:hAnsi="Garamond"/>
          <w:sz w:val="24"/>
          <w:szCs w:val="24"/>
        </w:rPr>
        <w:t>“</w:t>
      </w:r>
      <w:r w:rsidRPr="007114AF">
        <w:rPr>
          <w:rFonts w:ascii="Garamond" w:hAnsi="Garamond"/>
          <w:sz w:val="24"/>
          <w:szCs w:val="24"/>
        </w:rPr>
        <w:t>udhëzimet teknike</w:t>
      </w:r>
      <w:r w:rsidR="000A2A01" w:rsidRPr="007114AF">
        <w:rPr>
          <w:rFonts w:ascii="Garamond" w:hAnsi="Garamond"/>
          <w:sz w:val="24"/>
          <w:szCs w:val="24"/>
        </w:rPr>
        <w:t>”</w:t>
      </w:r>
      <w:r w:rsidRPr="007114AF">
        <w:rPr>
          <w:rFonts w:ascii="Garamond" w:hAnsi="Garamond"/>
          <w:sz w:val="24"/>
          <w:szCs w:val="24"/>
        </w:rPr>
        <w:t xml:space="preserve">, procesi i NAP-it në Shqipëri ishte: </w:t>
      </w:r>
    </w:p>
    <w:p w14:paraId="6EDCF408" w14:textId="14550B3D" w:rsidR="003A6446" w:rsidRPr="007114AF" w:rsidRDefault="00164B6B" w:rsidP="003A6446">
      <w:pPr>
        <w:spacing w:after="0" w:line="240" w:lineRule="auto"/>
        <w:ind w:firstLine="284"/>
        <w:rPr>
          <w:rFonts w:ascii="Garamond" w:hAnsi="Garamond"/>
          <w:sz w:val="24"/>
          <w:szCs w:val="24"/>
        </w:rPr>
      </w:pPr>
      <w:r w:rsidRPr="007114AF">
        <w:rPr>
          <w:rFonts w:ascii="Garamond" w:hAnsi="Garamond"/>
          <w:sz w:val="24"/>
          <w:szCs w:val="24"/>
        </w:rPr>
        <w:t xml:space="preserve">- </w:t>
      </w:r>
      <w:r w:rsidR="003A6446" w:rsidRPr="007114AF">
        <w:rPr>
          <w:rFonts w:ascii="Garamond" w:hAnsi="Garamond"/>
          <w:sz w:val="24"/>
          <w:szCs w:val="24"/>
        </w:rPr>
        <w:t xml:space="preserve">Drejtuar dhe udhëhequr nga Shqipëria: U drejtua nga MM-ja dhe u përpoq të rrisë përputhshmërinë me proceset e tjera të planifikimit kombëtar, si dhe të sigurojë një përfshirje të lartë politike. Procesi </w:t>
      </w:r>
      <w:r w:rsidR="00E0556A" w:rsidRPr="007114AF">
        <w:rPr>
          <w:rFonts w:ascii="Garamond" w:hAnsi="Garamond"/>
          <w:sz w:val="24"/>
          <w:szCs w:val="24"/>
        </w:rPr>
        <w:t>i</w:t>
      </w:r>
      <w:r w:rsidR="003A6446" w:rsidRPr="007114AF">
        <w:rPr>
          <w:rFonts w:ascii="Garamond" w:hAnsi="Garamond"/>
          <w:sz w:val="24"/>
          <w:szCs w:val="24"/>
        </w:rPr>
        <w:t xml:space="preserve"> NAP-it synon të shfrytëzojë dhe të mbështetet në kapacitetet e nivelit kombëtar, me mbështetjen e partnerëve të ndryshëm sipas nevojës.</w:t>
      </w:r>
      <w:r w:rsidR="008D30FC" w:rsidRPr="007114AF">
        <w:rPr>
          <w:rFonts w:ascii="Garamond" w:hAnsi="Garamond"/>
          <w:sz w:val="24"/>
          <w:szCs w:val="24"/>
        </w:rPr>
        <w:t xml:space="preserve"> </w:t>
      </w:r>
    </w:p>
    <w:p w14:paraId="6EDCF409" w14:textId="77777777" w:rsidR="003A6446" w:rsidRPr="007114AF" w:rsidRDefault="00164B6B" w:rsidP="003A6446">
      <w:pPr>
        <w:spacing w:after="0" w:line="240" w:lineRule="auto"/>
        <w:ind w:firstLine="284"/>
        <w:rPr>
          <w:rFonts w:ascii="Garamond" w:hAnsi="Garamond"/>
          <w:sz w:val="24"/>
          <w:szCs w:val="24"/>
        </w:rPr>
      </w:pPr>
      <w:r w:rsidRPr="007114AF">
        <w:rPr>
          <w:rFonts w:ascii="Garamond" w:hAnsi="Garamond"/>
          <w:sz w:val="24"/>
          <w:szCs w:val="24"/>
        </w:rPr>
        <w:t xml:space="preserve">- </w:t>
      </w:r>
      <w:r w:rsidR="003A6446" w:rsidRPr="007114AF">
        <w:rPr>
          <w:rFonts w:ascii="Garamond" w:hAnsi="Garamond"/>
          <w:sz w:val="24"/>
          <w:szCs w:val="24"/>
        </w:rPr>
        <w:t xml:space="preserve">Jopërshkrues, në sensin që përzgjedhja e veprimeve prioritare reflekton nivelin e progresit në vend, aktivitetin e aktorëve të ndryshëm si dhe kushtet konkrete të kuadrit të NAP-it. </w:t>
      </w:r>
    </w:p>
    <w:p w14:paraId="6EDCF40A" w14:textId="5E90769C" w:rsidR="003A6446" w:rsidRPr="007114AF" w:rsidRDefault="00164B6B" w:rsidP="003A6446">
      <w:pPr>
        <w:spacing w:after="0" w:line="240" w:lineRule="auto"/>
        <w:ind w:firstLine="284"/>
        <w:rPr>
          <w:rFonts w:ascii="Garamond" w:hAnsi="Garamond"/>
          <w:sz w:val="24"/>
          <w:szCs w:val="24"/>
        </w:rPr>
      </w:pPr>
      <w:r w:rsidRPr="007114AF">
        <w:rPr>
          <w:rFonts w:ascii="Garamond" w:hAnsi="Garamond"/>
          <w:sz w:val="24"/>
          <w:szCs w:val="24"/>
        </w:rPr>
        <w:t xml:space="preserve">- </w:t>
      </w:r>
      <w:r w:rsidR="003A6446" w:rsidRPr="007114AF">
        <w:rPr>
          <w:rFonts w:ascii="Garamond" w:hAnsi="Garamond"/>
          <w:sz w:val="24"/>
          <w:szCs w:val="24"/>
        </w:rPr>
        <w:t xml:space="preserve">Fokusuar në </w:t>
      </w:r>
      <w:r w:rsidR="0000517F">
        <w:rPr>
          <w:rFonts w:ascii="Garamond" w:hAnsi="Garamond"/>
          <w:sz w:val="24"/>
          <w:szCs w:val="24"/>
        </w:rPr>
        <w:t>i</w:t>
      </w:r>
      <w:r w:rsidR="003A6446" w:rsidRPr="007114AF">
        <w:rPr>
          <w:rFonts w:ascii="Garamond" w:hAnsi="Garamond"/>
          <w:sz w:val="24"/>
          <w:szCs w:val="24"/>
        </w:rPr>
        <w:t>ntegrim, kështu sigurohet një koherencë mes planifikimit të përshtatjes dhe zhvillimit: Ky lloj integrimi përfshin gjithashtu, reflektimin e nevojave për përshtatje në të tërë burimet financiare të nevojshme.</w:t>
      </w:r>
      <w:r w:rsidR="000A2A01" w:rsidRPr="007114AF">
        <w:rPr>
          <w:rFonts w:ascii="Garamond" w:hAnsi="Garamond"/>
          <w:sz w:val="24"/>
          <w:szCs w:val="24"/>
        </w:rPr>
        <w:t xml:space="preserve"> </w:t>
      </w:r>
    </w:p>
    <w:p w14:paraId="6EDCF40B" w14:textId="76B731F5" w:rsidR="003A6446" w:rsidRPr="007114AF" w:rsidRDefault="00164B6B" w:rsidP="003A6446">
      <w:pPr>
        <w:spacing w:after="0" w:line="240" w:lineRule="auto"/>
        <w:ind w:firstLine="284"/>
        <w:rPr>
          <w:rFonts w:ascii="Garamond" w:hAnsi="Garamond"/>
          <w:sz w:val="24"/>
          <w:szCs w:val="24"/>
        </w:rPr>
      </w:pPr>
      <w:r w:rsidRPr="007114AF">
        <w:rPr>
          <w:rFonts w:ascii="Garamond" w:hAnsi="Garamond"/>
          <w:sz w:val="24"/>
          <w:szCs w:val="24"/>
        </w:rPr>
        <w:t xml:space="preserve">- </w:t>
      </w:r>
      <w:r w:rsidR="003A6446" w:rsidRPr="007114AF">
        <w:rPr>
          <w:rFonts w:ascii="Garamond" w:hAnsi="Garamond"/>
          <w:sz w:val="24"/>
          <w:szCs w:val="24"/>
        </w:rPr>
        <w:t>Orientuar drejt përmirësimit të menaxhimit të rreziqeve klimatike. Veprimet prioritare të përzgjedhura janë n</w:t>
      </w:r>
      <w:r w:rsidR="0000517F">
        <w:rPr>
          <w:rFonts w:ascii="Garamond" w:hAnsi="Garamond"/>
          <w:sz w:val="24"/>
          <w:szCs w:val="24"/>
        </w:rPr>
        <w:t>ë</w:t>
      </w:r>
      <w:r w:rsidR="003A6446" w:rsidRPr="007114AF">
        <w:rPr>
          <w:rFonts w:ascii="Garamond" w:hAnsi="Garamond"/>
          <w:sz w:val="24"/>
          <w:szCs w:val="24"/>
        </w:rPr>
        <w:t xml:space="preserve"> fakt një list</w:t>
      </w:r>
      <w:r w:rsidR="00E0556A" w:rsidRPr="007114AF">
        <w:rPr>
          <w:rFonts w:ascii="Garamond" w:hAnsi="Garamond"/>
          <w:sz w:val="24"/>
          <w:szCs w:val="24"/>
        </w:rPr>
        <w:t>ë</w:t>
      </w:r>
      <w:r w:rsidR="003A6446" w:rsidRPr="007114AF">
        <w:rPr>
          <w:rFonts w:ascii="Garamond" w:hAnsi="Garamond"/>
          <w:sz w:val="24"/>
          <w:szCs w:val="24"/>
        </w:rPr>
        <w:t xml:space="preserve"> ndërhyrjesh të cilat ndihmojnë në zvogëlimin e rreziqeve të </w:t>
      </w:r>
      <w:r w:rsidR="003A6446" w:rsidRPr="007114AF">
        <w:rPr>
          <w:rFonts w:ascii="Garamond" w:hAnsi="Garamond"/>
          <w:sz w:val="24"/>
          <w:szCs w:val="24"/>
        </w:rPr>
        <w:lastRenderedPageBreak/>
        <w:t>klimës, identifikojnë pika hyrëse në proceset ekzistuese kombëtare si dhe gjejnë fonde nga burime publike, private. Kombëtare dhe ndërkombëtare.</w:t>
      </w:r>
    </w:p>
    <w:p w14:paraId="6EDCF40C" w14:textId="48966DF9" w:rsidR="003A6446" w:rsidRPr="007114AF" w:rsidRDefault="003A6446" w:rsidP="003A6446">
      <w:pPr>
        <w:spacing w:after="0" w:line="240" w:lineRule="auto"/>
        <w:ind w:firstLine="284"/>
        <w:rPr>
          <w:rFonts w:ascii="Garamond" w:hAnsi="Garamond"/>
          <w:sz w:val="24"/>
          <w:szCs w:val="24"/>
        </w:rPr>
      </w:pPr>
      <w:r w:rsidRPr="007114AF">
        <w:rPr>
          <w:rFonts w:ascii="Garamond" w:hAnsi="Garamond"/>
          <w:sz w:val="24"/>
          <w:szCs w:val="24"/>
        </w:rPr>
        <w:t xml:space="preserve">Në përputhje me </w:t>
      </w:r>
      <w:r w:rsidR="00E0556A" w:rsidRPr="007114AF">
        <w:rPr>
          <w:rFonts w:ascii="Garamond" w:hAnsi="Garamond"/>
          <w:sz w:val="24"/>
          <w:szCs w:val="24"/>
        </w:rPr>
        <w:t>udhëzimet teknike</w:t>
      </w:r>
      <w:r w:rsidRPr="007114AF">
        <w:rPr>
          <w:rFonts w:ascii="Garamond" w:hAnsi="Garamond"/>
          <w:sz w:val="24"/>
          <w:szCs w:val="24"/>
        </w:rPr>
        <w:t>, Shqipëria e kupton NAP-in si një proces që përfshin palët e ndryshme të interesit dhe organizon bashkëpunimin e tyre, për ta rritur aftësinë rimëkëmbëse të Shqipërisë ndaj ndryshimeve të klimës, në një periudhë afatgjatë.</w:t>
      </w:r>
    </w:p>
    <w:p w14:paraId="6EDCF40D" w14:textId="4E05BC7A" w:rsidR="003A6446" w:rsidRPr="007114AF" w:rsidRDefault="003A6446" w:rsidP="003A6446">
      <w:pPr>
        <w:spacing w:after="0" w:line="240" w:lineRule="auto"/>
        <w:ind w:firstLine="284"/>
        <w:rPr>
          <w:rFonts w:ascii="Garamond" w:hAnsi="Garamond"/>
          <w:sz w:val="24"/>
          <w:szCs w:val="24"/>
        </w:rPr>
      </w:pPr>
      <w:r w:rsidRPr="007114AF">
        <w:rPr>
          <w:rFonts w:ascii="Garamond" w:hAnsi="Garamond"/>
          <w:sz w:val="24"/>
          <w:szCs w:val="24"/>
        </w:rPr>
        <w:t>Parimet orientuese për procesin NAP-it të Shqipërisë përcaktohen në kapitullin</w:t>
      </w:r>
      <w:r w:rsidR="00E0556A" w:rsidRPr="007114AF">
        <w:rPr>
          <w:rFonts w:ascii="Garamond" w:hAnsi="Garamond"/>
          <w:sz w:val="24"/>
          <w:szCs w:val="24"/>
        </w:rPr>
        <w:t xml:space="preserve"> </w:t>
      </w:r>
      <w:r w:rsidRPr="007114AF">
        <w:rPr>
          <w:rFonts w:ascii="Garamond" w:hAnsi="Garamond"/>
          <w:sz w:val="24"/>
          <w:szCs w:val="24"/>
        </w:rPr>
        <w:t>2.9. Deri tani janë bërë hapat e mëposhtëm për zhvillimin e procesit NAP:</w:t>
      </w:r>
    </w:p>
    <w:p w14:paraId="6EDCF40E" w14:textId="77777777" w:rsidR="003A6446" w:rsidRPr="007114AF" w:rsidRDefault="00164B6B" w:rsidP="003A6446">
      <w:pPr>
        <w:spacing w:after="0" w:line="240" w:lineRule="auto"/>
        <w:ind w:firstLine="284"/>
        <w:rPr>
          <w:rFonts w:ascii="Garamond" w:hAnsi="Garamond"/>
          <w:sz w:val="24"/>
          <w:szCs w:val="24"/>
        </w:rPr>
      </w:pPr>
      <w:r w:rsidRPr="007114AF">
        <w:rPr>
          <w:rFonts w:ascii="Garamond" w:hAnsi="Garamond"/>
          <w:sz w:val="24"/>
          <w:szCs w:val="24"/>
        </w:rPr>
        <w:t xml:space="preserve">- </w:t>
      </w:r>
      <w:r w:rsidR="003A6446" w:rsidRPr="007114AF">
        <w:rPr>
          <w:rFonts w:ascii="Garamond" w:hAnsi="Garamond"/>
          <w:sz w:val="24"/>
          <w:szCs w:val="24"/>
        </w:rPr>
        <w:t>Lançimi dhe fillimi i procesit NAP, më 19 shkurt 2015.</w:t>
      </w:r>
    </w:p>
    <w:p w14:paraId="6EDCF40F" w14:textId="77777777" w:rsidR="003A6446" w:rsidRPr="007114AF" w:rsidRDefault="00164B6B" w:rsidP="003A6446">
      <w:pPr>
        <w:spacing w:after="0" w:line="240" w:lineRule="auto"/>
        <w:ind w:firstLine="284"/>
        <w:rPr>
          <w:rFonts w:ascii="Garamond" w:hAnsi="Garamond"/>
          <w:sz w:val="24"/>
          <w:szCs w:val="24"/>
        </w:rPr>
      </w:pPr>
      <w:r w:rsidRPr="007114AF">
        <w:rPr>
          <w:rFonts w:ascii="Garamond" w:hAnsi="Garamond"/>
          <w:sz w:val="24"/>
          <w:szCs w:val="24"/>
        </w:rPr>
        <w:t xml:space="preserve">- </w:t>
      </w:r>
      <w:r w:rsidR="003A6446" w:rsidRPr="007114AF">
        <w:rPr>
          <w:rFonts w:ascii="Garamond" w:hAnsi="Garamond"/>
          <w:sz w:val="24"/>
          <w:szCs w:val="24"/>
        </w:rPr>
        <w:t>Drejtimi i procesit NAP: Në bazë të vendimit të Kryeministrit, procesi drejtohet nga Ministria e Turizmit dhe Mjedisit në bashkëpunim të ngushtë me Grupin Ndërministror të Punës për Ndryshimet Klimatike.</w:t>
      </w:r>
    </w:p>
    <w:p w14:paraId="6EDCF410" w14:textId="77777777" w:rsidR="003A6446" w:rsidRPr="007114AF" w:rsidRDefault="00164B6B" w:rsidP="003A6446">
      <w:pPr>
        <w:spacing w:after="0" w:line="240" w:lineRule="auto"/>
        <w:ind w:firstLine="284"/>
        <w:rPr>
          <w:rFonts w:ascii="Garamond" w:hAnsi="Garamond"/>
          <w:sz w:val="24"/>
          <w:szCs w:val="24"/>
        </w:rPr>
      </w:pPr>
      <w:r w:rsidRPr="007114AF">
        <w:rPr>
          <w:rFonts w:ascii="Garamond" w:hAnsi="Garamond"/>
          <w:sz w:val="24"/>
          <w:szCs w:val="24"/>
        </w:rPr>
        <w:t xml:space="preserve">- </w:t>
      </w:r>
      <w:r w:rsidR="003A6446" w:rsidRPr="007114AF">
        <w:rPr>
          <w:rFonts w:ascii="Garamond" w:hAnsi="Garamond"/>
          <w:sz w:val="24"/>
          <w:szCs w:val="24"/>
        </w:rPr>
        <w:t>Vlerësimi i situatës: Më 19 shkurt 2015 u zhvillua një takim pune me pjesëmarrje të gjerë për vlerësimin e situatës, duke shfrytëzuar instrumentin SNAP-i të përgatitur nga GIZ-i. Kjo pati si rezultat një vlerësim përgjatë 7 faktorëve të suksesit dhe një analizë SWOT-i (pikat e forta, pikate dobëta, mundësi, rreziqe) për Shqipërinë.</w:t>
      </w:r>
    </w:p>
    <w:p w14:paraId="6EDCF411" w14:textId="3B1F7183" w:rsidR="003A6446" w:rsidRPr="007114AF" w:rsidRDefault="00164B6B" w:rsidP="003A6446">
      <w:pPr>
        <w:spacing w:after="0" w:line="240" w:lineRule="auto"/>
        <w:ind w:firstLine="284"/>
        <w:rPr>
          <w:rFonts w:ascii="Garamond" w:hAnsi="Garamond"/>
          <w:sz w:val="24"/>
          <w:szCs w:val="24"/>
        </w:rPr>
      </w:pPr>
      <w:r w:rsidRPr="007114AF">
        <w:rPr>
          <w:rFonts w:ascii="Garamond" w:hAnsi="Garamond"/>
          <w:sz w:val="24"/>
          <w:szCs w:val="24"/>
        </w:rPr>
        <w:t xml:space="preserve">- </w:t>
      </w:r>
      <w:r w:rsidR="003A6446" w:rsidRPr="007114AF">
        <w:rPr>
          <w:rFonts w:ascii="Garamond" w:hAnsi="Garamond"/>
          <w:sz w:val="24"/>
          <w:szCs w:val="24"/>
        </w:rPr>
        <w:t>Vlerësimi i vulnerabilitetit nga klima realizuar në bazë të vlerësimeve të mëparshme të vulnerabilitetit, si ato të zhvilluar për Komunikimin e Dytë Kombëtar (2009), për Konventën Kuadër të OKB-së për Ndryshimet Klimatike (UNFCCC), studimet e vulnerabilitetit p</w:t>
      </w:r>
      <w:r w:rsidR="00E0556A" w:rsidRPr="007114AF">
        <w:rPr>
          <w:rFonts w:ascii="Garamond" w:hAnsi="Garamond"/>
          <w:sz w:val="24"/>
          <w:szCs w:val="24"/>
        </w:rPr>
        <w:t>ë</w:t>
      </w:r>
      <w:r w:rsidR="003A6446" w:rsidRPr="007114AF">
        <w:rPr>
          <w:rFonts w:ascii="Garamond" w:hAnsi="Garamond"/>
          <w:sz w:val="24"/>
          <w:szCs w:val="24"/>
        </w:rPr>
        <w:t xml:space="preserve">r sektorin e Bujqësisë (2013), sektorin e Shëndetësisë (2011) dhe sektorin e </w:t>
      </w:r>
      <w:r w:rsidR="00E0556A" w:rsidRPr="007114AF">
        <w:rPr>
          <w:rFonts w:ascii="Garamond" w:hAnsi="Garamond"/>
          <w:sz w:val="24"/>
          <w:szCs w:val="24"/>
        </w:rPr>
        <w:t>energjetikës</w:t>
      </w:r>
      <w:r w:rsidR="003A6446" w:rsidRPr="007114AF">
        <w:rPr>
          <w:rFonts w:ascii="Garamond" w:hAnsi="Garamond"/>
          <w:sz w:val="24"/>
          <w:szCs w:val="24"/>
        </w:rPr>
        <w:t xml:space="preserve"> (2009).</w:t>
      </w:r>
    </w:p>
    <w:p w14:paraId="6EDCF412" w14:textId="77777777" w:rsidR="003A6446" w:rsidRPr="007114AF" w:rsidRDefault="00164B6B" w:rsidP="003A6446">
      <w:pPr>
        <w:spacing w:after="0" w:line="240" w:lineRule="auto"/>
        <w:ind w:firstLine="284"/>
        <w:rPr>
          <w:rFonts w:ascii="Garamond" w:hAnsi="Garamond"/>
          <w:sz w:val="24"/>
          <w:szCs w:val="24"/>
        </w:rPr>
      </w:pPr>
      <w:r w:rsidRPr="007114AF">
        <w:rPr>
          <w:rFonts w:ascii="Garamond" w:hAnsi="Garamond"/>
          <w:sz w:val="24"/>
          <w:szCs w:val="24"/>
        </w:rPr>
        <w:t xml:space="preserve">- </w:t>
      </w:r>
      <w:r w:rsidR="003A6446" w:rsidRPr="007114AF">
        <w:rPr>
          <w:rFonts w:ascii="Garamond" w:hAnsi="Garamond"/>
          <w:sz w:val="24"/>
          <w:szCs w:val="24"/>
        </w:rPr>
        <w:t xml:space="preserve">Organizimi i procesit: Më 10 qershor 2015, është zhvilluar një takim pune me pjesëmarrje të gjerë për zhvillimin e detyrave, afateve dhe përgjegjësive për procesin NAP-it. Organizimi konkret i procesit të hartimit të NAP-it, është qartësuar gjatë takimit të Grupit Ndërministror të Punës më 8 shtator 2015. Gjithashtu, është hartuar dhe miratuar një draftide për kapitujt që do të mbulohen në këtë dokument. </w:t>
      </w:r>
    </w:p>
    <w:p w14:paraId="6EDCF413" w14:textId="2C2D2C05" w:rsidR="003A6446" w:rsidRPr="007114AF" w:rsidRDefault="00164B6B" w:rsidP="003A6446">
      <w:pPr>
        <w:spacing w:after="0" w:line="240" w:lineRule="auto"/>
        <w:ind w:firstLine="284"/>
        <w:rPr>
          <w:rFonts w:ascii="Garamond" w:hAnsi="Garamond"/>
          <w:sz w:val="24"/>
          <w:szCs w:val="24"/>
        </w:rPr>
      </w:pPr>
      <w:r w:rsidRPr="007114AF">
        <w:rPr>
          <w:rFonts w:ascii="Garamond" w:hAnsi="Garamond"/>
          <w:sz w:val="24"/>
          <w:szCs w:val="24"/>
        </w:rPr>
        <w:t xml:space="preserve">- </w:t>
      </w:r>
      <w:r w:rsidR="003A6446" w:rsidRPr="007114AF">
        <w:rPr>
          <w:rFonts w:ascii="Garamond" w:hAnsi="Garamond"/>
          <w:sz w:val="24"/>
          <w:szCs w:val="24"/>
        </w:rPr>
        <w:t>Përcaktimi i objektivave dhe treguesve: Në kuadër të një debati ndërveprues, GNMP-ës NAP-i zhvilloi/përshtati objektivat dhe treguesit për procesin e NAP-it gjatë takimit të datës</w:t>
      </w:r>
      <w:r w:rsidR="000A2A01" w:rsidRPr="007114AF">
        <w:rPr>
          <w:rFonts w:ascii="Garamond" w:hAnsi="Garamond"/>
          <w:sz w:val="24"/>
          <w:szCs w:val="24"/>
        </w:rPr>
        <w:t xml:space="preserve"> </w:t>
      </w:r>
      <w:r w:rsidR="003A6446" w:rsidRPr="007114AF">
        <w:rPr>
          <w:rFonts w:ascii="Garamond" w:hAnsi="Garamond"/>
          <w:sz w:val="24"/>
          <w:szCs w:val="24"/>
        </w:rPr>
        <w:t>27 nëntor 2015.</w:t>
      </w:r>
    </w:p>
    <w:p w14:paraId="6EDCF414" w14:textId="77777777" w:rsidR="003A6446" w:rsidRPr="007114AF" w:rsidRDefault="00164B6B" w:rsidP="003A6446">
      <w:pPr>
        <w:spacing w:after="0" w:line="240" w:lineRule="auto"/>
        <w:ind w:firstLine="284"/>
        <w:rPr>
          <w:rFonts w:ascii="Garamond" w:hAnsi="Garamond"/>
          <w:sz w:val="24"/>
          <w:szCs w:val="24"/>
        </w:rPr>
      </w:pPr>
      <w:r w:rsidRPr="007114AF">
        <w:rPr>
          <w:rFonts w:ascii="Garamond" w:hAnsi="Garamond"/>
          <w:sz w:val="24"/>
          <w:szCs w:val="24"/>
        </w:rPr>
        <w:t xml:space="preserve">- </w:t>
      </w:r>
      <w:r w:rsidR="003A6446" w:rsidRPr="007114AF">
        <w:rPr>
          <w:rFonts w:ascii="Garamond" w:hAnsi="Garamond"/>
          <w:sz w:val="24"/>
          <w:szCs w:val="24"/>
        </w:rPr>
        <w:t>Integrimi i përshtatjes ndaj ndryshimeve klimatike në politikat sektoriale dhe politikat për zhvillimin: Lançimi i përdorimit për herë të parë të thjerrës klimatike në SKZHI-në më 19 qershor 2015.</w:t>
      </w:r>
    </w:p>
    <w:p w14:paraId="6EDCF415" w14:textId="35E1BCD2" w:rsidR="003A6446" w:rsidRPr="007114AF" w:rsidRDefault="00164B6B" w:rsidP="003A6446">
      <w:pPr>
        <w:spacing w:after="0" w:line="240" w:lineRule="auto"/>
        <w:ind w:firstLine="284"/>
        <w:rPr>
          <w:rFonts w:ascii="Garamond" w:hAnsi="Garamond"/>
          <w:sz w:val="24"/>
          <w:szCs w:val="24"/>
        </w:rPr>
      </w:pPr>
      <w:r w:rsidRPr="007114AF">
        <w:rPr>
          <w:rFonts w:ascii="Garamond" w:hAnsi="Garamond"/>
          <w:sz w:val="24"/>
          <w:szCs w:val="24"/>
        </w:rPr>
        <w:t xml:space="preserve">- </w:t>
      </w:r>
      <w:r w:rsidR="003A6446" w:rsidRPr="007114AF">
        <w:rPr>
          <w:rFonts w:ascii="Garamond" w:hAnsi="Garamond"/>
          <w:sz w:val="24"/>
          <w:szCs w:val="24"/>
        </w:rPr>
        <w:t>Trajnimi dhe reflektimi për financimin në lidhje me klimën: Më 7 shtator 2015 u zhvillua një takimi posaçëm pune për financimin lidhur me klimën së bashku me Autoritetin Kombëtar</w:t>
      </w:r>
      <w:r w:rsidR="00E0556A" w:rsidRPr="007114AF">
        <w:rPr>
          <w:rFonts w:ascii="Garamond" w:hAnsi="Garamond"/>
          <w:sz w:val="24"/>
          <w:szCs w:val="24"/>
        </w:rPr>
        <w:t xml:space="preserve"> </w:t>
      </w:r>
      <w:r w:rsidR="003A6446" w:rsidRPr="007114AF">
        <w:rPr>
          <w:rFonts w:ascii="Garamond" w:hAnsi="Garamond"/>
          <w:sz w:val="24"/>
          <w:szCs w:val="24"/>
        </w:rPr>
        <w:t>të Përcaktuar. Më 8 shtator 2015 u zhvillua një seancë trajnimi për financimin e lidhur me klimën gjatë takimit</w:t>
      </w:r>
      <w:r w:rsidR="00E0556A" w:rsidRPr="007114AF">
        <w:rPr>
          <w:rFonts w:ascii="Garamond" w:hAnsi="Garamond"/>
          <w:sz w:val="24"/>
          <w:szCs w:val="24"/>
        </w:rPr>
        <w:t xml:space="preserve"> </w:t>
      </w:r>
      <w:r w:rsidR="003A6446" w:rsidRPr="007114AF">
        <w:rPr>
          <w:rFonts w:ascii="Garamond" w:hAnsi="Garamond"/>
          <w:sz w:val="24"/>
          <w:szCs w:val="24"/>
        </w:rPr>
        <w:t>të Grupit Ndërministror të Punës.</w:t>
      </w:r>
    </w:p>
    <w:p w14:paraId="6EDCF416" w14:textId="4BFA76AB" w:rsidR="003A6446" w:rsidRPr="007114AF" w:rsidRDefault="00164B6B" w:rsidP="003A6446">
      <w:pPr>
        <w:spacing w:after="0" w:line="240" w:lineRule="auto"/>
        <w:ind w:firstLine="284"/>
        <w:rPr>
          <w:rFonts w:ascii="Garamond" w:hAnsi="Garamond"/>
          <w:sz w:val="24"/>
          <w:szCs w:val="24"/>
        </w:rPr>
      </w:pPr>
      <w:r w:rsidRPr="007114AF">
        <w:rPr>
          <w:rFonts w:ascii="Garamond" w:hAnsi="Garamond"/>
          <w:sz w:val="24"/>
          <w:szCs w:val="24"/>
        </w:rPr>
        <w:t xml:space="preserve">- </w:t>
      </w:r>
      <w:r w:rsidR="003A6446" w:rsidRPr="007114AF">
        <w:rPr>
          <w:rFonts w:ascii="Garamond" w:hAnsi="Garamond"/>
          <w:sz w:val="24"/>
          <w:szCs w:val="24"/>
        </w:rPr>
        <w:t>Diskutim i përbashkët i versionit të parë të dokumentit NAP: Gjatë mbledhjes së GNMP-ës NAP-i</w:t>
      </w:r>
      <w:r w:rsidR="000A2A01" w:rsidRPr="007114AF">
        <w:rPr>
          <w:rFonts w:ascii="Garamond" w:hAnsi="Garamond"/>
          <w:sz w:val="24"/>
          <w:szCs w:val="24"/>
        </w:rPr>
        <w:t xml:space="preserve"> </w:t>
      </w:r>
      <w:r w:rsidR="003A6446" w:rsidRPr="007114AF">
        <w:rPr>
          <w:rFonts w:ascii="Garamond" w:hAnsi="Garamond"/>
          <w:sz w:val="24"/>
          <w:szCs w:val="24"/>
        </w:rPr>
        <w:t xml:space="preserve">më 28 prill 2016 u diskutua dhe u komentua për ndryshime versioni i parë i dokumentit të NAP-it. </w:t>
      </w:r>
    </w:p>
    <w:p w14:paraId="6EDCF417" w14:textId="36CB3FC6" w:rsidR="003A6446" w:rsidRPr="007114AF" w:rsidRDefault="00164B6B" w:rsidP="003A6446">
      <w:pPr>
        <w:spacing w:after="0" w:line="240" w:lineRule="auto"/>
        <w:ind w:firstLine="284"/>
        <w:rPr>
          <w:rFonts w:ascii="Garamond" w:hAnsi="Garamond"/>
          <w:sz w:val="24"/>
          <w:szCs w:val="24"/>
        </w:rPr>
      </w:pPr>
      <w:r w:rsidRPr="007114AF">
        <w:rPr>
          <w:rFonts w:ascii="Garamond" w:hAnsi="Garamond"/>
          <w:sz w:val="24"/>
          <w:szCs w:val="24"/>
        </w:rPr>
        <w:t xml:space="preserve">- </w:t>
      </w:r>
      <w:r w:rsidR="003A6446" w:rsidRPr="007114AF">
        <w:rPr>
          <w:rFonts w:ascii="Garamond" w:hAnsi="Garamond"/>
          <w:sz w:val="24"/>
          <w:szCs w:val="24"/>
        </w:rPr>
        <w:t>Trajnim mbi zbatimin e politikave të ndryshimeve klimatike në Shqipëri: Një trajnim u organizua për Departamentin e Ndryshimeve Klimatike dhe Ajrit (MM), si dhe për Agjencinë Kombëtare të Mjedisit më 13-15 korrik. Trajnimi kishte për qëllim ngritjen e kapaciteteve në veçanti për depa</w:t>
      </w:r>
      <w:r w:rsidR="00E505D0">
        <w:rPr>
          <w:rFonts w:ascii="Garamond" w:hAnsi="Garamond"/>
          <w:sz w:val="24"/>
          <w:szCs w:val="24"/>
        </w:rPr>
        <w:t>rtamentin e ri të krijuar në MM</w:t>
      </w:r>
      <w:r w:rsidR="003A6446" w:rsidRPr="007114AF">
        <w:rPr>
          <w:rFonts w:ascii="Garamond" w:hAnsi="Garamond"/>
          <w:sz w:val="24"/>
          <w:szCs w:val="24"/>
        </w:rPr>
        <w:t>, në përcaktimin e ndarjen e detyrave të veçanta dhe krijimin e një ideje mbi krijimin e një sistemi monitorimi dhe vlerësimi për procesin e NAP-it.</w:t>
      </w:r>
    </w:p>
    <w:p w14:paraId="6EDCF418" w14:textId="14FB09B3" w:rsidR="003A6446" w:rsidRPr="007114AF" w:rsidRDefault="00164B6B" w:rsidP="003A6446">
      <w:pPr>
        <w:spacing w:after="0" w:line="240" w:lineRule="auto"/>
        <w:ind w:firstLine="284"/>
        <w:rPr>
          <w:rFonts w:ascii="Garamond" w:hAnsi="Garamond"/>
          <w:sz w:val="24"/>
          <w:szCs w:val="24"/>
        </w:rPr>
      </w:pPr>
      <w:r w:rsidRPr="007114AF">
        <w:rPr>
          <w:rFonts w:ascii="Garamond" w:hAnsi="Garamond"/>
          <w:sz w:val="24"/>
          <w:szCs w:val="24"/>
        </w:rPr>
        <w:t xml:space="preserve">- </w:t>
      </w:r>
      <w:r w:rsidR="003A6446" w:rsidRPr="007114AF">
        <w:rPr>
          <w:rFonts w:ascii="Garamond" w:hAnsi="Garamond"/>
          <w:sz w:val="24"/>
          <w:szCs w:val="24"/>
        </w:rPr>
        <w:t>Workshop-i mbi mundësitë e financimit për klimën: Me 21 tetor u organizua një seminar me pjesëmarrësit GPNM-ës dhe gjithashtu me personat respektivë të buxhetit të ministrive të linjës,</w:t>
      </w:r>
      <w:r w:rsidR="000A2A01" w:rsidRPr="007114AF">
        <w:rPr>
          <w:rFonts w:ascii="Garamond" w:hAnsi="Garamond"/>
          <w:sz w:val="24"/>
          <w:szCs w:val="24"/>
        </w:rPr>
        <w:t xml:space="preserve"> </w:t>
      </w:r>
      <w:r w:rsidR="003A6446" w:rsidRPr="007114AF">
        <w:rPr>
          <w:rFonts w:ascii="Garamond" w:hAnsi="Garamond"/>
          <w:sz w:val="24"/>
          <w:szCs w:val="24"/>
        </w:rPr>
        <w:t xml:space="preserve">për të diskutuar opsionet e mundshme të financimit (ato kombëtare dhe ndërkombëtare) për zbatimin NAP-it. Dokumenti i financimit të NAP-it jepet në </w:t>
      </w:r>
      <w:r w:rsidR="00E0556A" w:rsidRPr="007114AF">
        <w:rPr>
          <w:rFonts w:ascii="Garamond" w:hAnsi="Garamond"/>
          <w:sz w:val="24"/>
          <w:szCs w:val="24"/>
        </w:rPr>
        <w:t>a</w:t>
      </w:r>
      <w:r w:rsidR="003A6446" w:rsidRPr="007114AF">
        <w:rPr>
          <w:rFonts w:ascii="Garamond" w:hAnsi="Garamond"/>
          <w:sz w:val="24"/>
          <w:szCs w:val="24"/>
        </w:rPr>
        <w:t>neksin 3.</w:t>
      </w:r>
    </w:p>
    <w:p w14:paraId="6EDCF419" w14:textId="77777777" w:rsidR="003A6446" w:rsidRPr="007114AF" w:rsidRDefault="00164B6B" w:rsidP="003A6446">
      <w:pPr>
        <w:spacing w:after="0" w:line="240" w:lineRule="auto"/>
        <w:ind w:firstLine="284"/>
        <w:rPr>
          <w:rFonts w:ascii="Garamond" w:hAnsi="Garamond"/>
          <w:sz w:val="24"/>
          <w:szCs w:val="24"/>
        </w:rPr>
      </w:pPr>
      <w:bookmarkStart w:id="8" w:name="_Toc484424471"/>
      <w:r w:rsidRPr="007114AF">
        <w:rPr>
          <w:rFonts w:ascii="Garamond" w:hAnsi="Garamond"/>
          <w:sz w:val="24"/>
          <w:szCs w:val="24"/>
        </w:rPr>
        <w:t xml:space="preserve">2. </w:t>
      </w:r>
      <w:r w:rsidR="003A6446" w:rsidRPr="007114AF">
        <w:rPr>
          <w:rFonts w:ascii="Garamond" w:hAnsi="Garamond"/>
          <w:sz w:val="24"/>
          <w:szCs w:val="24"/>
        </w:rPr>
        <w:t>ANALIZË E SITUAT</w:t>
      </w:r>
      <w:bookmarkEnd w:id="5"/>
      <w:bookmarkEnd w:id="6"/>
      <w:r w:rsidR="003A6446" w:rsidRPr="007114AF">
        <w:rPr>
          <w:rFonts w:ascii="Garamond" w:hAnsi="Garamond"/>
          <w:sz w:val="24"/>
          <w:szCs w:val="24"/>
        </w:rPr>
        <w:t>ËS AKTUALE</w:t>
      </w:r>
      <w:bookmarkEnd w:id="8"/>
    </w:p>
    <w:p w14:paraId="6EDCF41A" w14:textId="77777777" w:rsidR="003A6446" w:rsidRPr="007114AF" w:rsidRDefault="00164B6B" w:rsidP="003A6446">
      <w:pPr>
        <w:spacing w:after="0" w:line="240" w:lineRule="auto"/>
        <w:ind w:firstLine="284"/>
        <w:rPr>
          <w:rFonts w:ascii="Garamond" w:hAnsi="Garamond"/>
          <w:sz w:val="24"/>
          <w:szCs w:val="24"/>
        </w:rPr>
      </w:pPr>
      <w:bookmarkStart w:id="9" w:name="_Toc450135223"/>
      <w:bookmarkStart w:id="10" w:name="_Toc450151826"/>
      <w:bookmarkStart w:id="11" w:name="_Toc484424472"/>
      <w:r w:rsidRPr="007114AF">
        <w:rPr>
          <w:rFonts w:ascii="Garamond" w:hAnsi="Garamond"/>
          <w:sz w:val="24"/>
          <w:szCs w:val="24"/>
        </w:rPr>
        <w:t xml:space="preserve">2.1 </w:t>
      </w:r>
      <w:r w:rsidR="003A6446" w:rsidRPr="007114AF">
        <w:rPr>
          <w:rFonts w:ascii="Garamond" w:hAnsi="Garamond"/>
          <w:sz w:val="24"/>
          <w:szCs w:val="24"/>
        </w:rPr>
        <w:t>Shkenca e ndryshimeve klimatik</w:t>
      </w:r>
      <w:bookmarkEnd w:id="9"/>
      <w:bookmarkEnd w:id="10"/>
      <w:r w:rsidR="003A6446" w:rsidRPr="007114AF">
        <w:rPr>
          <w:rFonts w:ascii="Garamond" w:hAnsi="Garamond"/>
          <w:sz w:val="24"/>
          <w:szCs w:val="24"/>
        </w:rPr>
        <w:t>e</w:t>
      </w:r>
      <w:bookmarkEnd w:id="11"/>
    </w:p>
    <w:p w14:paraId="6EDCF41B" w14:textId="5CC1CA0B" w:rsidR="003A6446" w:rsidRPr="007114AF" w:rsidRDefault="003A6446" w:rsidP="003A6446">
      <w:pPr>
        <w:spacing w:after="0" w:line="240" w:lineRule="auto"/>
        <w:ind w:firstLine="284"/>
        <w:rPr>
          <w:rFonts w:ascii="Garamond" w:hAnsi="Garamond"/>
          <w:sz w:val="24"/>
          <w:szCs w:val="24"/>
        </w:rPr>
      </w:pPr>
      <w:r w:rsidRPr="007114AF">
        <w:rPr>
          <w:rFonts w:ascii="Garamond" w:hAnsi="Garamond"/>
          <w:sz w:val="24"/>
          <w:szCs w:val="24"/>
        </w:rPr>
        <w:t xml:space="preserve">Prova e ndikimit njerëzor në sistemin klimatik është rritur që prej fillimit të viteve </w:t>
      </w:r>
      <w:r w:rsidR="00D10DAB" w:rsidRPr="007114AF">
        <w:rPr>
          <w:rFonts w:ascii="Garamond" w:hAnsi="Garamond"/>
          <w:sz w:val="24"/>
          <w:szCs w:val="24"/>
        </w:rPr>
        <w:t>‘</w:t>
      </w:r>
      <w:r w:rsidRPr="007114AF">
        <w:rPr>
          <w:rFonts w:ascii="Garamond" w:hAnsi="Garamond"/>
          <w:sz w:val="24"/>
          <w:szCs w:val="24"/>
        </w:rPr>
        <w:t xml:space="preserve">90, si dhe është afirmuar dhe pranuar gjerësisht në Raportin e Katërt Vlerësues (AR4) të Panelit </w:t>
      </w:r>
      <w:r w:rsidRPr="007114AF">
        <w:rPr>
          <w:rFonts w:ascii="Garamond" w:hAnsi="Garamond"/>
          <w:sz w:val="24"/>
          <w:szCs w:val="24"/>
        </w:rPr>
        <w:lastRenderedPageBreak/>
        <w:t>Ndërkombëtar për Ndryshimet Klimatike, botuar në vitin 2007. Ka shumë gjasa që rritja e vëzhguar në temperaturën mesatare globale sipërfaqësore, të jetë shkaktuar nga rritja antropogjenike e përqendrimeve GES-it dhe faktorëve të tjerë antropogjenikë së bashku.</w:t>
      </w:r>
    </w:p>
    <w:p w14:paraId="6EDCF41C" w14:textId="30158C5F" w:rsidR="003A6446" w:rsidRPr="007114AF" w:rsidRDefault="003A6446" w:rsidP="003A6446">
      <w:pPr>
        <w:spacing w:after="0" w:line="240" w:lineRule="auto"/>
        <w:ind w:firstLine="284"/>
        <w:rPr>
          <w:rFonts w:ascii="Garamond" w:hAnsi="Garamond"/>
          <w:sz w:val="24"/>
          <w:szCs w:val="24"/>
        </w:rPr>
      </w:pPr>
      <w:r w:rsidRPr="007114AF">
        <w:rPr>
          <w:rFonts w:ascii="Garamond" w:hAnsi="Garamond"/>
          <w:sz w:val="24"/>
          <w:szCs w:val="24"/>
        </w:rPr>
        <w:t>Efekti i ndryshimeve klimatike është i qartë në mbarë botën, teksa ndryshimet në temperaturë dhe precipitime po i ndryshojnë sistemet hidrologjike, duke ndikuar në burimet ujore në</w:t>
      </w:r>
      <w:r w:rsidR="00E0556A" w:rsidRPr="007114AF">
        <w:rPr>
          <w:rFonts w:ascii="Garamond" w:hAnsi="Garamond"/>
          <w:sz w:val="24"/>
          <w:szCs w:val="24"/>
        </w:rPr>
        <w:t xml:space="preserve"> </w:t>
      </w:r>
      <w:r w:rsidRPr="007114AF">
        <w:rPr>
          <w:rFonts w:ascii="Garamond" w:hAnsi="Garamond"/>
          <w:sz w:val="24"/>
          <w:szCs w:val="24"/>
        </w:rPr>
        <w:t>sasi dhe cilësi. Shumë specie tokësore, të ujërave të ëmbla dhe detare, i kanë zhvendosur shtrirjet e tyre gjeografike, aktivitetet sezonale, modelet e migrimit, sasitë dhe ndërveprimet e specieve, si reagim ndaj ndryshimeve klimatike në vazhdim. Po ashtu, janë vëzhguar shumë ngjarje të motit dhe klimës ekstreme, përfshirë rënien e ekstremeve të temperaturave të ftohta, rritjen e ekstremeve të temperaturave të larta, rritjen e niveleve të deteve dhe rritjen e numrit të ngjarjeve me precipitim të dendur në një numër rajonesh.</w:t>
      </w:r>
    </w:p>
    <w:p w14:paraId="6EDCF41D" w14:textId="3F73B986" w:rsidR="003A6446" w:rsidRPr="007114AF" w:rsidRDefault="003A6446" w:rsidP="003A6446">
      <w:pPr>
        <w:spacing w:after="0" w:line="240" w:lineRule="auto"/>
        <w:ind w:firstLine="284"/>
        <w:rPr>
          <w:rFonts w:ascii="Garamond" w:hAnsi="Garamond"/>
          <w:sz w:val="24"/>
          <w:szCs w:val="24"/>
        </w:rPr>
      </w:pPr>
      <w:r w:rsidRPr="007114AF">
        <w:rPr>
          <w:rFonts w:ascii="Garamond" w:hAnsi="Garamond"/>
          <w:sz w:val="24"/>
          <w:szCs w:val="24"/>
        </w:rPr>
        <w:t>Në veçanti, rajoni i Mesdheut është konsideruar shumë i cenueshëm ndaj ndryshimeve klimatike. Rajoni i Mesdheut karakterizohet nga një risk i lartë për të pësuar dëmtime të shumta dhe të njëpasnjëshme, për shkak të ndryshimeve klimatike që përfshijnë njëkohësisht gjithë sektorët kryesorë, si turizmin, bujqësinë, pylltarinë, infrastrukturën, energjinë dhe shëndetin publik. Ndryshimet në përbërjen e llojeve, shtimi i specieve të huaja, humbja e habitatit dhe degradimi i tokës dhe detit, së bashku me humbjet e prodhimeve bujqësore dhe të pylltarisë, për shkak të shtimit të valëve të të nxehtit dhe thatësirave, që përkeqësohen gjithashtu nga gara për ujë-</w:t>
      </w:r>
      <w:r w:rsidR="000A2A01" w:rsidRPr="007114AF">
        <w:rPr>
          <w:rFonts w:ascii="Garamond" w:hAnsi="Garamond"/>
          <w:sz w:val="24"/>
          <w:szCs w:val="24"/>
        </w:rPr>
        <w:t xml:space="preserve"> </w:t>
      </w:r>
      <w:r w:rsidRPr="007114AF">
        <w:rPr>
          <w:rFonts w:ascii="Garamond" w:hAnsi="Garamond"/>
          <w:sz w:val="24"/>
          <w:szCs w:val="24"/>
        </w:rPr>
        <w:t>do ta rrisë cenueshmërinë</w:t>
      </w:r>
      <w:r w:rsidRPr="007114AF">
        <w:rPr>
          <w:rFonts w:ascii="Garamond" w:hAnsi="Garamond"/>
          <w:sz w:val="24"/>
          <w:szCs w:val="24"/>
          <w:vertAlign w:val="superscript"/>
        </w:rPr>
        <w:footnoteReference w:id="8"/>
      </w:r>
      <w:r w:rsidRPr="007114AF">
        <w:rPr>
          <w:rFonts w:ascii="Garamond" w:hAnsi="Garamond"/>
          <w:sz w:val="24"/>
          <w:szCs w:val="24"/>
        </w:rPr>
        <w:t>.</w:t>
      </w:r>
    </w:p>
    <w:p w14:paraId="6EDCF41E" w14:textId="33F070C4" w:rsidR="003A6446" w:rsidRPr="007114AF" w:rsidRDefault="003A6446" w:rsidP="003A6446">
      <w:pPr>
        <w:spacing w:after="0" w:line="240" w:lineRule="auto"/>
        <w:ind w:firstLine="284"/>
        <w:rPr>
          <w:rFonts w:ascii="Garamond" w:hAnsi="Garamond"/>
          <w:sz w:val="24"/>
          <w:szCs w:val="24"/>
        </w:rPr>
      </w:pPr>
      <w:r w:rsidRPr="007114AF">
        <w:rPr>
          <w:rFonts w:ascii="Garamond" w:hAnsi="Garamond"/>
          <w:sz w:val="24"/>
          <w:szCs w:val="24"/>
        </w:rPr>
        <w:t>Skenari i ardhshëm klimatik për Shqipërinë parashikon ndryshime, si temperatura të rritura, pakësim të precipitimeve dhe reduktim të burimeve ujore dhe tokës së punueshme. Zonat më të ndjeshme në Shqipëri janë ato bregdetare, ndërsa sektorët më të cenueshëm janë burimet ujore, bujqësia, energjia dhe turizmi. Në veçanti, pritet gjithashtu, që ndryshimet klimatike të shkaktojnë rritje temperaturash me 0.8°C</w:t>
      </w:r>
      <w:r w:rsidR="00A40566" w:rsidRPr="007114AF">
        <w:rPr>
          <w:rFonts w:ascii="Garamond" w:hAnsi="Garamond"/>
          <w:sz w:val="24"/>
          <w:szCs w:val="24"/>
        </w:rPr>
        <w:t xml:space="preserve"> </w:t>
      </w:r>
      <w:r w:rsidRPr="007114AF">
        <w:rPr>
          <w:rFonts w:ascii="Garamond" w:hAnsi="Garamond"/>
          <w:sz w:val="24"/>
          <w:szCs w:val="24"/>
        </w:rPr>
        <w:t>deri 1.0°C deri në vitin 2025, nga 1.2°C</w:t>
      </w:r>
      <w:r w:rsidR="00A40566" w:rsidRPr="007114AF">
        <w:rPr>
          <w:rFonts w:ascii="Garamond" w:hAnsi="Garamond"/>
          <w:sz w:val="24"/>
          <w:szCs w:val="24"/>
        </w:rPr>
        <w:t xml:space="preserve"> </w:t>
      </w:r>
      <w:r w:rsidRPr="007114AF">
        <w:rPr>
          <w:rFonts w:ascii="Garamond" w:hAnsi="Garamond"/>
          <w:sz w:val="24"/>
          <w:szCs w:val="24"/>
        </w:rPr>
        <w:t>deri në 1.8°C deri në vitin 2050, si dhe nga 2.1°C</w:t>
      </w:r>
      <w:r w:rsidR="00A40566" w:rsidRPr="007114AF">
        <w:rPr>
          <w:rFonts w:ascii="Garamond" w:hAnsi="Garamond"/>
          <w:sz w:val="24"/>
          <w:szCs w:val="24"/>
        </w:rPr>
        <w:t xml:space="preserve"> </w:t>
      </w:r>
      <w:r w:rsidRPr="007114AF">
        <w:rPr>
          <w:rFonts w:ascii="Garamond" w:hAnsi="Garamond"/>
          <w:sz w:val="24"/>
          <w:szCs w:val="24"/>
        </w:rPr>
        <w:t>deri në 3.6°C deri në vitin 2100</w:t>
      </w:r>
      <w:r w:rsidRPr="007114AF">
        <w:rPr>
          <w:rFonts w:ascii="Garamond" w:hAnsi="Garamond"/>
          <w:sz w:val="24"/>
          <w:szCs w:val="24"/>
          <w:vertAlign w:val="superscript"/>
        </w:rPr>
        <w:footnoteReference w:id="9"/>
      </w:r>
      <w:r w:rsidRPr="007114AF">
        <w:rPr>
          <w:rFonts w:ascii="Garamond" w:hAnsi="Garamond"/>
          <w:sz w:val="24"/>
          <w:szCs w:val="24"/>
        </w:rPr>
        <w:t>. Ky ndryshim në klimë do t</w:t>
      </w:r>
      <w:r w:rsidR="00D10DAB" w:rsidRPr="007114AF">
        <w:rPr>
          <w:rFonts w:ascii="Garamond" w:hAnsi="Garamond"/>
          <w:sz w:val="24"/>
          <w:szCs w:val="24"/>
        </w:rPr>
        <w:t>’</w:t>
      </w:r>
      <w:r w:rsidRPr="007114AF">
        <w:rPr>
          <w:rFonts w:ascii="Garamond" w:hAnsi="Garamond"/>
          <w:sz w:val="24"/>
          <w:szCs w:val="24"/>
        </w:rPr>
        <w:t>i reduktojë burimet ujore dhe lagështinë, si dhe do të ketë një ndikim të pafavorshëm mbi bujqësinë, pyjet dhe biodiversitetin. Ndryshimet e ardhshme të klimës priten të ndikojnë negativisht mbi rrjedhën e lumenjve, që nga ana e tyre do të ndikojnë në kapacitetin gjenerues të hidrocentraleve.</w:t>
      </w:r>
    </w:p>
    <w:p w14:paraId="6EDCF41F" w14:textId="5A39245A" w:rsidR="003A6446" w:rsidRPr="007114AF" w:rsidRDefault="003A6446" w:rsidP="003A6446">
      <w:pPr>
        <w:spacing w:after="0" w:line="240" w:lineRule="auto"/>
        <w:ind w:firstLine="284"/>
        <w:rPr>
          <w:rFonts w:ascii="Garamond" w:hAnsi="Garamond"/>
          <w:sz w:val="24"/>
          <w:szCs w:val="24"/>
        </w:rPr>
      </w:pPr>
      <w:r w:rsidRPr="007114AF">
        <w:rPr>
          <w:rFonts w:ascii="Garamond" w:hAnsi="Garamond"/>
          <w:sz w:val="24"/>
          <w:szCs w:val="24"/>
        </w:rPr>
        <w:t>Shkarkimet e vazhdueshme të gazeve serrë do të shkaktojnë ngrohje të mëtejshme dhe ndryshime afatgjata në sistemin klimatik, duke rritur gjasat për ndikime të ashpra, përhapëse dhe të pakthyeshme për njerëzit dhe ekosistemet</w:t>
      </w:r>
      <w:r w:rsidRPr="007114AF">
        <w:rPr>
          <w:rFonts w:ascii="Garamond" w:hAnsi="Garamond"/>
          <w:sz w:val="24"/>
          <w:szCs w:val="24"/>
          <w:vertAlign w:val="superscript"/>
        </w:rPr>
        <w:footnoteReference w:id="10"/>
      </w:r>
      <w:r w:rsidR="00191838" w:rsidRPr="007114AF">
        <w:rPr>
          <w:rFonts w:ascii="Garamond" w:hAnsi="Garamond"/>
          <w:sz w:val="24"/>
          <w:szCs w:val="24"/>
        </w:rPr>
        <w:t>.</w:t>
      </w:r>
      <w:r w:rsidRPr="007114AF">
        <w:rPr>
          <w:rFonts w:ascii="Garamond" w:hAnsi="Garamond"/>
          <w:sz w:val="24"/>
          <w:szCs w:val="24"/>
        </w:rPr>
        <w:t xml:space="preserve"> Shkarkimet antropogjenike GES</w:t>
      </w:r>
      <w:r w:rsidR="00862C8C" w:rsidRPr="007114AF">
        <w:rPr>
          <w:rFonts w:ascii="Garamond" w:hAnsi="Garamond"/>
          <w:sz w:val="24"/>
          <w:szCs w:val="24"/>
        </w:rPr>
        <w:t xml:space="preserve"> </w:t>
      </w:r>
      <w:r w:rsidRPr="007114AF">
        <w:rPr>
          <w:rFonts w:ascii="Garamond" w:hAnsi="Garamond"/>
          <w:sz w:val="24"/>
          <w:szCs w:val="24"/>
        </w:rPr>
        <w:t>nxiten nga shumë faktorë, si madhësia e popullsisë, aktiviteti ekonomik, stili i jetesës, përdorimi i energjisë, modelet e përdorimit të tokës, teknologjia dhe politikat klimatike. Parashikimet e ardhshme të shkarkimeve GESdhe përqendrimet atmosferike, shkarkimet që ndotin ajrin dhe përdorimi i tokës në skenarët RCP-ës</w:t>
      </w:r>
      <w:r w:rsidR="00E505D0">
        <w:rPr>
          <w:rFonts w:ascii="Garamond" w:hAnsi="Garamond"/>
          <w:sz w:val="24"/>
          <w:szCs w:val="24"/>
        </w:rPr>
        <w:t xml:space="preserve"> </w:t>
      </w:r>
      <w:r w:rsidRPr="007114AF">
        <w:rPr>
          <w:rFonts w:ascii="Garamond" w:hAnsi="Garamond"/>
          <w:sz w:val="24"/>
          <w:szCs w:val="24"/>
        </w:rPr>
        <w:t>për shekullin XXI të IPCC-ës AR5 tregojnë, se edhe në skenarin më të rreptë të masave zbutëse, një ngrohje globale me gjasë, nën 2°C të temperaturës globale të sipërfaqes mbi temperaturat e periudhës paraindustriale. Kufizimi i ndryshimeve klimatike do të kërkonte reduktime të mëdha të shkarkimeve të gazrave serrë që së bashku me adaptimin, mund t</w:t>
      </w:r>
      <w:r w:rsidR="00D10DAB" w:rsidRPr="007114AF">
        <w:rPr>
          <w:rFonts w:ascii="Garamond" w:hAnsi="Garamond"/>
          <w:sz w:val="24"/>
          <w:szCs w:val="24"/>
        </w:rPr>
        <w:t>’</w:t>
      </w:r>
      <w:r w:rsidRPr="007114AF">
        <w:rPr>
          <w:rFonts w:ascii="Garamond" w:hAnsi="Garamond"/>
          <w:sz w:val="24"/>
          <w:szCs w:val="24"/>
        </w:rPr>
        <w:t>i kufizojnë risqet e ndryshimeve klimatike.</w:t>
      </w:r>
    </w:p>
    <w:p w14:paraId="6EDCF420" w14:textId="77777777" w:rsidR="003A6446" w:rsidRPr="007114AF" w:rsidRDefault="00164B6B" w:rsidP="003A6446">
      <w:pPr>
        <w:spacing w:after="0" w:line="240" w:lineRule="auto"/>
        <w:ind w:firstLine="284"/>
        <w:rPr>
          <w:rFonts w:ascii="Garamond" w:hAnsi="Garamond"/>
          <w:sz w:val="24"/>
          <w:szCs w:val="24"/>
        </w:rPr>
      </w:pPr>
      <w:bookmarkStart w:id="12" w:name="_Toc450135224"/>
      <w:bookmarkStart w:id="13" w:name="_Toc450151827"/>
      <w:bookmarkStart w:id="14" w:name="_Toc484424473"/>
      <w:r w:rsidRPr="007114AF">
        <w:rPr>
          <w:rFonts w:ascii="Garamond" w:hAnsi="Garamond"/>
          <w:sz w:val="24"/>
          <w:szCs w:val="24"/>
        </w:rPr>
        <w:lastRenderedPageBreak/>
        <w:t xml:space="preserve">2.2 </w:t>
      </w:r>
      <w:r w:rsidR="003A6446" w:rsidRPr="007114AF">
        <w:rPr>
          <w:rFonts w:ascii="Garamond" w:hAnsi="Garamond"/>
          <w:sz w:val="24"/>
          <w:szCs w:val="24"/>
        </w:rPr>
        <w:t>Konteksti ndërkombëtar i politikës së ndryshimeve klimatik</w:t>
      </w:r>
      <w:bookmarkEnd w:id="12"/>
      <w:bookmarkEnd w:id="13"/>
      <w:r w:rsidR="003A6446" w:rsidRPr="007114AF">
        <w:rPr>
          <w:rFonts w:ascii="Garamond" w:hAnsi="Garamond"/>
          <w:sz w:val="24"/>
          <w:szCs w:val="24"/>
        </w:rPr>
        <w:t>e</w:t>
      </w:r>
      <w:bookmarkEnd w:id="14"/>
    </w:p>
    <w:p w14:paraId="6EDCF421" w14:textId="44F5A8CA" w:rsidR="003A6446" w:rsidRPr="007114AF" w:rsidRDefault="003A6446" w:rsidP="003A6446">
      <w:pPr>
        <w:spacing w:after="0" w:line="240" w:lineRule="auto"/>
        <w:ind w:firstLine="284"/>
        <w:rPr>
          <w:rFonts w:ascii="Garamond" w:hAnsi="Garamond"/>
          <w:sz w:val="24"/>
          <w:szCs w:val="24"/>
        </w:rPr>
      </w:pPr>
      <w:r w:rsidRPr="007114AF">
        <w:rPr>
          <w:rFonts w:ascii="Garamond" w:hAnsi="Garamond"/>
          <w:sz w:val="24"/>
          <w:szCs w:val="24"/>
        </w:rPr>
        <w:t xml:space="preserve">Gjatë dy dekadave të fundit, sfida e ndryshimeve klimatike është përballur me një qasje për përgjegjësi të përbashkët në procesin ndërkombëtar të negocimit, që ka çuar në instrumente të rëndësishme ligjore të detyrueshme me angazhime të diferencuara ndonëse të krahasueshme, në bazë të parimit të përgjegjësive të përbashkëta, por të diferencuara dhe aftësive përkatëse mes vendeve. </w:t>
      </w:r>
    </w:p>
    <w:p w14:paraId="6EDCF422" w14:textId="5B14B878" w:rsidR="003A6446" w:rsidRPr="007114AF" w:rsidRDefault="003A6446" w:rsidP="003A6446">
      <w:pPr>
        <w:spacing w:after="0" w:line="240" w:lineRule="auto"/>
        <w:ind w:firstLine="284"/>
        <w:rPr>
          <w:rFonts w:ascii="Garamond" w:hAnsi="Garamond"/>
          <w:sz w:val="24"/>
          <w:szCs w:val="24"/>
        </w:rPr>
      </w:pPr>
      <w:r w:rsidRPr="007114AF">
        <w:rPr>
          <w:rFonts w:ascii="Garamond" w:hAnsi="Garamond"/>
          <w:sz w:val="24"/>
          <w:szCs w:val="24"/>
        </w:rPr>
        <w:t>Objektivi për stabilizimin e përqendrimeve GES</w:t>
      </w:r>
      <w:r w:rsidR="001E65EC">
        <w:rPr>
          <w:rFonts w:ascii="Garamond" w:hAnsi="Garamond"/>
          <w:sz w:val="24"/>
          <w:szCs w:val="24"/>
        </w:rPr>
        <w:t xml:space="preserve"> </w:t>
      </w:r>
      <w:r w:rsidRPr="007114AF">
        <w:rPr>
          <w:rFonts w:ascii="Garamond" w:hAnsi="Garamond"/>
          <w:sz w:val="24"/>
          <w:szCs w:val="24"/>
        </w:rPr>
        <w:t>në atmosferë, duke lejuar zhvillimin e qëndrueshëm (</w:t>
      </w:r>
      <w:r w:rsidR="001C3983" w:rsidRPr="007114AF">
        <w:rPr>
          <w:rFonts w:ascii="Garamond" w:hAnsi="Garamond"/>
          <w:sz w:val="24"/>
          <w:szCs w:val="24"/>
        </w:rPr>
        <w:t>n</w:t>
      </w:r>
      <w:r w:rsidRPr="007114AF">
        <w:rPr>
          <w:rFonts w:ascii="Garamond" w:hAnsi="Garamond"/>
          <w:sz w:val="24"/>
          <w:szCs w:val="24"/>
        </w:rPr>
        <w:t xml:space="preserve">eni 2 i UNFCCC), u përdor për herë të parë gjatë Konventës Kuadër të Kombeve të Bashkuara për Ndryshimet Klimatike (UNFCCC), të miratuar në </w:t>
      </w:r>
      <w:r w:rsidR="000A2A01" w:rsidRPr="007114AF">
        <w:rPr>
          <w:rFonts w:ascii="Garamond" w:hAnsi="Garamond"/>
          <w:sz w:val="24"/>
          <w:szCs w:val="24"/>
        </w:rPr>
        <w:t>“</w:t>
      </w:r>
      <w:r w:rsidRPr="007114AF">
        <w:rPr>
          <w:rFonts w:ascii="Garamond" w:hAnsi="Garamond"/>
          <w:sz w:val="24"/>
          <w:szCs w:val="24"/>
        </w:rPr>
        <w:t>Samitin e Rios për Tokën</w:t>
      </w:r>
      <w:r w:rsidR="000A2A01" w:rsidRPr="007114AF">
        <w:rPr>
          <w:rFonts w:ascii="Garamond" w:hAnsi="Garamond"/>
          <w:sz w:val="24"/>
          <w:szCs w:val="24"/>
        </w:rPr>
        <w:t>”</w:t>
      </w:r>
      <w:r w:rsidRPr="007114AF">
        <w:rPr>
          <w:rFonts w:ascii="Garamond" w:hAnsi="Garamond"/>
          <w:sz w:val="24"/>
          <w:szCs w:val="24"/>
        </w:rPr>
        <w:t xml:space="preserve"> në vitin 1992. Konventa nuk vendos objektiva të matshëm reduktimi (që përfshihen në Protokollin e Kiotos),</w:t>
      </w:r>
      <w:r w:rsidR="005E7F0F" w:rsidRPr="007114AF">
        <w:rPr>
          <w:rFonts w:ascii="Garamond" w:hAnsi="Garamond"/>
          <w:sz w:val="24"/>
          <w:szCs w:val="24"/>
        </w:rPr>
        <w:t xml:space="preserve"> </w:t>
      </w:r>
      <w:r w:rsidRPr="007114AF">
        <w:rPr>
          <w:rFonts w:ascii="Garamond" w:hAnsi="Garamond"/>
          <w:sz w:val="24"/>
          <w:szCs w:val="24"/>
        </w:rPr>
        <w:t>por përcaktoi detyrimet e raportimit të shkarkimeve GES</w:t>
      </w:r>
      <w:r w:rsidR="005E7F0F" w:rsidRPr="007114AF">
        <w:rPr>
          <w:rFonts w:ascii="Garamond" w:hAnsi="Garamond"/>
          <w:sz w:val="24"/>
          <w:szCs w:val="24"/>
        </w:rPr>
        <w:t xml:space="preserve"> </w:t>
      </w:r>
      <w:r w:rsidRPr="007114AF">
        <w:rPr>
          <w:rFonts w:ascii="Garamond" w:hAnsi="Garamond"/>
          <w:sz w:val="24"/>
          <w:szCs w:val="24"/>
        </w:rPr>
        <w:t>nga gjithë sektorët (neni</w:t>
      </w:r>
      <w:r w:rsidR="000A2A01" w:rsidRPr="007114AF">
        <w:rPr>
          <w:rFonts w:ascii="Garamond" w:hAnsi="Garamond"/>
          <w:sz w:val="24"/>
          <w:szCs w:val="24"/>
        </w:rPr>
        <w:t xml:space="preserve"> </w:t>
      </w:r>
      <w:r w:rsidRPr="007114AF">
        <w:rPr>
          <w:rFonts w:ascii="Garamond" w:hAnsi="Garamond"/>
          <w:sz w:val="24"/>
          <w:szCs w:val="24"/>
        </w:rPr>
        <w:t xml:space="preserve">4.1 i UNFCCC-ës). </w:t>
      </w:r>
    </w:p>
    <w:p w14:paraId="6EDCF423" w14:textId="2B952969" w:rsidR="003A6446" w:rsidRPr="007114AF" w:rsidRDefault="003A6446" w:rsidP="003A6446">
      <w:pPr>
        <w:spacing w:after="0" w:line="240" w:lineRule="auto"/>
        <w:ind w:firstLine="284"/>
        <w:rPr>
          <w:rFonts w:ascii="Garamond" w:hAnsi="Garamond"/>
          <w:sz w:val="24"/>
          <w:szCs w:val="24"/>
        </w:rPr>
      </w:pPr>
      <w:r w:rsidRPr="007114AF">
        <w:rPr>
          <w:rFonts w:ascii="Garamond" w:hAnsi="Garamond"/>
          <w:sz w:val="24"/>
          <w:szCs w:val="24"/>
        </w:rPr>
        <w:t>Protokolli i Kiotos (PK), i miratuar në vitin 1997,gjatë Konferencës së 3-të të Palëve (KeP 3) të UNFCCC-ës, përcakton objektiva të matsh</w:t>
      </w:r>
      <w:r w:rsidR="00A67A6F">
        <w:rPr>
          <w:rFonts w:ascii="Garamond" w:hAnsi="Garamond"/>
          <w:sz w:val="24"/>
          <w:szCs w:val="24"/>
        </w:rPr>
        <w:t>ë</w:t>
      </w:r>
      <w:r w:rsidRPr="007114AF">
        <w:rPr>
          <w:rFonts w:ascii="Garamond" w:hAnsi="Garamond"/>
          <w:sz w:val="24"/>
          <w:szCs w:val="24"/>
        </w:rPr>
        <w:t>m për reduktimin e shkarkimeve GES, nga gjithë sektorët në vendet e zhvilluara (</w:t>
      </w:r>
      <w:r w:rsidR="001C3983" w:rsidRPr="007114AF">
        <w:rPr>
          <w:rFonts w:ascii="Garamond" w:hAnsi="Garamond"/>
          <w:sz w:val="24"/>
          <w:szCs w:val="24"/>
        </w:rPr>
        <w:t>a</w:t>
      </w:r>
      <w:r w:rsidRPr="007114AF">
        <w:rPr>
          <w:rFonts w:ascii="Garamond" w:hAnsi="Garamond"/>
          <w:sz w:val="24"/>
          <w:szCs w:val="24"/>
        </w:rPr>
        <w:t xml:space="preserve">neksi I i UNFCCC). Palët që nuk janë përfshirë në </w:t>
      </w:r>
      <w:r w:rsidR="001E65EC">
        <w:rPr>
          <w:rFonts w:ascii="Garamond" w:hAnsi="Garamond"/>
          <w:sz w:val="24"/>
          <w:szCs w:val="24"/>
        </w:rPr>
        <w:t>a</w:t>
      </w:r>
      <w:r w:rsidRPr="007114AF">
        <w:rPr>
          <w:rFonts w:ascii="Garamond" w:hAnsi="Garamond"/>
          <w:sz w:val="24"/>
          <w:szCs w:val="24"/>
        </w:rPr>
        <w:t xml:space="preserve">neksin I, nxiten po ashtu të ndjekin një udhë të zhvillimit të qëndrueshëm dhe të kontribuojnë për objektivin e fundit të Konventës përmes mekanizmit të zhvillimit të pastër (CDM). CDM lejon projekte për reduktimin e shkarkimeve në vendet në zhvillim për të fituar kredite të certifikuara për reduktimin e shkarkimeve GES, që do të përdoren nga Palët e përfshira në </w:t>
      </w:r>
      <w:r w:rsidR="00677294" w:rsidRPr="007114AF">
        <w:rPr>
          <w:rFonts w:ascii="Garamond" w:hAnsi="Garamond"/>
          <w:sz w:val="24"/>
          <w:szCs w:val="24"/>
        </w:rPr>
        <w:t>a</w:t>
      </w:r>
      <w:r w:rsidRPr="007114AF">
        <w:rPr>
          <w:rFonts w:ascii="Garamond" w:hAnsi="Garamond"/>
          <w:sz w:val="24"/>
          <w:szCs w:val="24"/>
        </w:rPr>
        <w:t xml:space="preserve">neksin I, për arritjen e përputhshmërisë me angazhimet e tyre të matshme për reduktimin e shkarkimeve në kuadrin e </w:t>
      </w:r>
      <w:r w:rsidR="00677294" w:rsidRPr="007114AF">
        <w:rPr>
          <w:rFonts w:ascii="Garamond" w:hAnsi="Garamond"/>
          <w:sz w:val="24"/>
          <w:szCs w:val="24"/>
        </w:rPr>
        <w:t>n</w:t>
      </w:r>
      <w:r w:rsidRPr="007114AF">
        <w:rPr>
          <w:rFonts w:ascii="Garamond" w:hAnsi="Garamond"/>
          <w:sz w:val="24"/>
          <w:szCs w:val="24"/>
        </w:rPr>
        <w:t>enit 3.</w:t>
      </w:r>
    </w:p>
    <w:p w14:paraId="6EDCF424" w14:textId="5A3CC7C2" w:rsidR="003A6446" w:rsidRPr="007114AF" w:rsidRDefault="003A6446" w:rsidP="003A6446">
      <w:pPr>
        <w:spacing w:after="0" w:line="240" w:lineRule="auto"/>
        <w:ind w:firstLine="284"/>
        <w:rPr>
          <w:rFonts w:ascii="Garamond" w:hAnsi="Garamond"/>
          <w:sz w:val="24"/>
          <w:szCs w:val="24"/>
        </w:rPr>
      </w:pPr>
      <w:r w:rsidRPr="007114AF">
        <w:rPr>
          <w:rFonts w:ascii="Garamond" w:hAnsi="Garamond"/>
          <w:sz w:val="24"/>
          <w:szCs w:val="24"/>
        </w:rPr>
        <w:t>Në Konferencën e 18-të të Palëve të UNFCCC-ës (KeP 18), mbajtur në Doha, Katar, në dhjetor 2012, u miratua një amendim i Protokollit të Kiotos, që zyrtarizon hyrjen në fuqi të periudhës së dytë të angazhimit (2013-2020). Gjithsej 144 palëve u kërkohet ta miratojnë amendimin Doha për hyrjen e tij në fuqi. Në KeP18 mbajtur në Doha (2012) u bënë përparime në Grupin e Punës Ad Hoc të emërtuar për Platformën</w:t>
      </w:r>
      <w:r w:rsidR="002E168C" w:rsidRPr="007114AF">
        <w:rPr>
          <w:rFonts w:ascii="Garamond" w:hAnsi="Garamond"/>
          <w:sz w:val="24"/>
          <w:szCs w:val="24"/>
        </w:rPr>
        <w:t xml:space="preserve"> </w:t>
      </w:r>
      <w:r w:rsidRPr="007114AF">
        <w:rPr>
          <w:rFonts w:ascii="Garamond" w:hAnsi="Garamond"/>
          <w:sz w:val="24"/>
          <w:szCs w:val="24"/>
        </w:rPr>
        <w:t>Durban për Veprim të Shtuar (ADP). Kjo Platformë synon të zhvillojnë një protokoll të ri, një tjetër instrument ligjor apo të paktën, një rezultat të vendosur me forcë ligjore deri në vitin 2015,</w:t>
      </w:r>
      <w:r w:rsidR="00E914BF">
        <w:rPr>
          <w:rFonts w:ascii="Garamond" w:hAnsi="Garamond"/>
          <w:sz w:val="24"/>
          <w:szCs w:val="24"/>
        </w:rPr>
        <w:t xml:space="preserve"> </w:t>
      </w:r>
      <w:r w:rsidRPr="007114AF">
        <w:rPr>
          <w:rFonts w:ascii="Garamond" w:hAnsi="Garamond"/>
          <w:sz w:val="24"/>
          <w:szCs w:val="24"/>
        </w:rPr>
        <w:t>që do të zbatohet nga viti 2020, dhe detyrues për gjithë Palët. Njëkohësisht, vendet në zhvillim po nxiten të përpunojnë Masa të Përshtatshme Zbutëse</w:t>
      </w:r>
      <w:r w:rsidR="00E914BF">
        <w:rPr>
          <w:rFonts w:ascii="Garamond" w:hAnsi="Garamond"/>
          <w:sz w:val="24"/>
          <w:szCs w:val="24"/>
        </w:rPr>
        <w:t xml:space="preserve"> </w:t>
      </w:r>
      <w:r w:rsidRPr="007114AF">
        <w:rPr>
          <w:rFonts w:ascii="Garamond" w:hAnsi="Garamond"/>
          <w:sz w:val="24"/>
          <w:szCs w:val="24"/>
        </w:rPr>
        <w:t>Kombëtare (NAMA), me mundësinë për të marrë mbështetje dhe lehtësim nga financime dhe teknologji ndërkombëtare. NAMA-t</w:t>
      </w:r>
      <w:r w:rsidR="00E914BF">
        <w:rPr>
          <w:rFonts w:ascii="Garamond" w:hAnsi="Garamond"/>
          <w:sz w:val="24"/>
          <w:szCs w:val="24"/>
        </w:rPr>
        <w:t xml:space="preserve"> </w:t>
      </w:r>
      <w:r w:rsidRPr="007114AF">
        <w:rPr>
          <w:rFonts w:ascii="Garamond" w:hAnsi="Garamond"/>
          <w:sz w:val="24"/>
          <w:szCs w:val="24"/>
        </w:rPr>
        <w:t xml:space="preserve">përfshijnë politika apo aktivitete të përshtatshme nga ana kombëtare, që synojnë të kontribuojnë për përmbushjen e synimeve vullnetare të reduktimit të shkarkimeve të përcaktuara nga vendet në zhvillim. Gjithë sektorët kryesorë përgjegjës për shkarkimet GES në çdo vend janë përfshirë në NAMA. </w:t>
      </w:r>
    </w:p>
    <w:p w14:paraId="6EDCF425" w14:textId="76D80777" w:rsidR="003A6446" w:rsidRPr="007114AF" w:rsidRDefault="003A6446" w:rsidP="003A6446">
      <w:pPr>
        <w:spacing w:after="0" w:line="240" w:lineRule="auto"/>
        <w:ind w:firstLine="284"/>
        <w:rPr>
          <w:rFonts w:ascii="Garamond" w:hAnsi="Garamond"/>
          <w:sz w:val="24"/>
          <w:szCs w:val="24"/>
        </w:rPr>
      </w:pPr>
      <w:r w:rsidRPr="007114AF">
        <w:rPr>
          <w:rFonts w:ascii="Garamond" w:hAnsi="Garamond"/>
          <w:sz w:val="24"/>
          <w:szCs w:val="24"/>
        </w:rPr>
        <w:t>Marrëveshja e Parisit, miratuar në dhjetor 2015, përcakton një pikë kthese në politikën ndërkombëtare të ndryshimeve klimatike, duke siguruar një kornizë të përbashkët për gjithë Palët</w:t>
      </w:r>
      <w:r w:rsidR="003F649E" w:rsidRPr="007114AF">
        <w:rPr>
          <w:rFonts w:ascii="Garamond" w:hAnsi="Garamond"/>
          <w:sz w:val="24"/>
          <w:szCs w:val="24"/>
        </w:rPr>
        <w:t>,</w:t>
      </w:r>
      <w:r w:rsidRPr="007114AF">
        <w:rPr>
          <w:rFonts w:ascii="Garamond" w:hAnsi="Garamond"/>
          <w:sz w:val="24"/>
          <w:szCs w:val="24"/>
        </w:rPr>
        <w:t xml:space="preserve"> me synim mbajtjen nën kontroll të rritjes së temperaturës mesatare globale nën 2° C mbi nivelet e periudhës paraindustriale dhe vazhdimin e përpjekjeve për kufizimin e rritjes së temperaturës me 1,5°C (Neni 2). Për arritjen e një objektivi kaq afatgjatë, palët duhet të synojnë të arrijnë një pikë</w:t>
      </w:r>
      <w:r w:rsidR="00E914BF">
        <w:rPr>
          <w:rFonts w:ascii="Garamond" w:hAnsi="Garamond"/>
          <w:sz w:val="24"/>
          <w:szCs w:val="24"/>
        </w:rPr>
        <w:t xml:space="preserve"> </w:t>
      </w:r>
      <w:r w:rsidRPr="007114AF">
        <w:rPr>
          <w:rFonts w:ascii="Garamond" w:hAnsi="Garamond"/>
          <w:sz w:val="24"/>
          <w:szCs w:val="24"/>
        </w:rPr>
        <w:t>globale</w:t>
      </w:r>
      <w:r w:rsidR="00E914BF">
        <w:rPr>
          <w:rFonts w:ascii="Garamond" w:hAnsi="Garamond"/>
          <w:sz w:val="24"/>
          <w:szCs w:val="24"/>
        </w:rPr>
        <w:t xml:space="preserve"> </w:t>
      </w:r>
      <w:r w:rsidRPr="007114AF">
        <w:rPr>
          <w:rFonts w:ascii="Garamond" w:hAnsi="Garamond"/>
          <w:sz w:val="24"/>
          <w:szCs w:val="24"/>
        </w:rPr>
        <w:t xml:space="preserve">të shkarkimeve GES </w:t>
      </w:r>
      <w:r w:rsidR="000A2A01" w:rsidRPr="007114AF">
        <w:rPr>
          <w:rFonts w:ascii="Garamond" w:hAnsi="Garamond"/>
          <w:sz w:val="24"/>
          <w:szCs w:val="24"/>
        </w:rPr>
        <w:t>“</w:t>
      </w:r>
      <w:r w:rsidRPr="007114AF">
        <w:rPr>
          <w:rFonts w:ascii="Garamond" w:hAnsi="Garamond"/>
          <w:sz w:val="24"/>
          <w:szCs w:val="24"/>
        </w:rPr>
        <w:t>sa më shpejt të jetë e mundur</w:t>
      </w:r>
      <w:r w:rsidR="000A2A01" w:rsidRPr="007114AF">
        <w:rPr>
          <w:rFonts w:ascii="Garamond" w:hAnsi="Garamond"/>
          <w:sz w:val="24"/>
          <w:szCs w:val="24"/>
        </w:rPr>
        <w:t>”</w:t>
      </w:r>
      <w:r w:rsidRPr="007114AF">
        <w:rPr>
          <w:rFonts w:ascii="Garamond" w:hAnsi="Garamond"/>
          <w:sz w:val="24"/>
          <w:szCs w:val="24"/>
        </w:rPr>
        <w:t>, duke pranuar se piku do të zgjasë më shumë për palët e vendeve në zhvillim, si dhe të ndërmarrin reduktime të shpejta më pas, në përputhje me gjetjet më të mira të mundshme, për të arritur një balancë mes shkarkimeve antropogjenike nga burimet dhe përthithjen nga përthithësit në gjysmën e dytë të këtij shekulli</w:t>
      </w:r>
      <w:r w:rsidR="00E914BF">
        <w:rPr>
          <w:rFonts w:ascii="Garamond" w:hAnsi="Garamond"/>
          <w:sz w:val="24"/>
          <w:szCs w:val="24"/>
        </w:rPr>
        <w:t xml:space="preserve"> </w:t>
      </w:r>
      <w:r w:rsidRPr="007114AF">
        <w:rPr>
          <w:rFonts w:ascii="Garamond" w:hAnsi="Garamond"/>
          <w:sz w:val="24"/>
          <w:szCs w:val="24"/>
        </w:rPr>
        <w:t>(</w:t>
      </w:r>
      <w:r w:rsidR="00E914BF">
        <w:rPr>
          <w:rFonts w:ascii="Garamond" w:hAnsi="Garamond"/>
          <w:sz w:val="24"/>
          <w:szCs w:val="24"/>
        </w:rPr>
        <w:t>n</w:t>
      </w:r>
      <w:r w:rsidRPr="007114AF">
        <w:rPr>
          <w:rFonts w:ascii="Garamond" w:hAnsi="Garamond"/>
          <w:sz w:val="24"/>
          <w:szCs w:val="24"/>
        </w:rPr>
        <w:t>eni 4.1), përveç objektivave të masave zbutëse.</w:t>
      </w:r>
      <w:r w:rsidR="00E914BF">
        <w:rPr>
          <w:rFonts w:ascii="Garamond" w:hAnsi="Garamond"/>
          <w:sz w:val="24"/>
          <w:szCs w:val="24"/>
        </w:rPr>
        <w:t xml:space="preserve"> </w:t>
      </w:r>
      <w:r w:rsidRPr="007114AF">
        <w:rPr>
          <w:rFonts w:ascii="Garamond" w:hAnsi="Garamond"/>
          <w:sz w:val="24"/>
          <w:szCs w:val="24"/>
        </w:rPr>
        <w:t>Marrëveshja synon të forcojë reagimin global ndaj kërcënimit të ndryshimeve klimatike edhe përmes rritjes së aftësisë për t</w:t>
      </w:r>
      <w:r w:rsidR="00D10DAB" w:rsidRPr="007114AF">
        <w:rPr>
          <w:rFonts w:ascii="Garamond" w:hAnsi="Garamond"/>
          <w:sz w:val="24"/>
          <w:szCs w:val="24"/>
        </w:rPr>
        <w:t>’</w:t>
      </w:r>
      <w:r w:rsidRPr="007114AF">
        <w:rPr>
          <w:rFonts w:ascii="Garamond" w:hAnsi="Garamond"/>
          <w:sz w:val="24"/>
          <w:szCs w:val="24"/>
        </w:rPr>
        <w:t>u përshtatur me ndikimet e dëmshëm të ndryshimeve klimatike, ndërsa garantohet një zhvillim i qëndrueshëm, elastik dhe me nivele të ulëta karboni, përmes flukseve të përshtatshme financiare. Mbështetja duhet siguruar nga Palët e vendeve të zhvilluara lidhur me masat zbutëse dhe adaptimin, duke vazhduar synimin ekzistues kolektiv për mobilizimin e 100 miliard</w:t>
      </w:r>
      <w:r w:rsidR="00E914BF">
        <w:rPr>
          <w:rFonts w:ascii="Garamond" w:hAnsi="Garamond"/>
          <w:sz w:val="24"/>
          <w:szCs w:val="24"/>
        </w:rPr>
        <w:t xml:space="preserve">ë </w:t>
      </w:r>
      <w:r w:rsidRPr="007114AF">
        <w:rPr>
          <w:rFonts w:ascii="Garamond" w:hAnsi="Garamond"/>
          <w:sz w:val="24"/>
          <w:szCs w:val="24"/>
        </w:rPr>
        <w:t xml:space="preserve">USD në vit, deri në vitin 2025, kohë kur do të vendoset një objektiv i ri i përbashkët. Me qëllim që të arrihen objektivat e mësipërm për reduktimin e shkarkimeve, Marrëveshja përcakton një </w:t>
      </w:r>
      <w:r w:rsidR="000A2A01" w:rsidRPr="007114AF">
        <w:rPr>
          <w:rFonts w:ascii="Garamond" w:hAnsi="Garamond"/>
          <w:sz w:val="24"/>
          <w:szCs w:val="24"/>
        </w:rPr>
        <w:t>“</w:t>
      </w:r>
      <w:r w:rsidRPr="007114AF">
        <w:rPr>
          <w:rFonts w:ascii="Garamond" w:hAnsi="Garamond"/>
          <w:sz w:val="24"/>
          <w:szCs w:val="24"/>
        </w:rPr>
        <w:t>sistem nga poshtë-lart</w:t>
      </w:r>
      <w:r w:rsidR="000A2A01" w:rsidRPr="007114AF">
        <w:rPr>
          <w:rFonts w:ascii="Garamond" w:hAnsi="Garamond"/>
          <w:sz w:val="24"/>
          <w:szCs w:val="24"/>
        </w:rPr>
        <w:t>”</w:t>
      </w:r>
      <w:r w:rsidRPr="007114AF">
        <w:rPr>
          <w:rFonts w:ascii="Garamond" w:hAnsi="Garamond"/>
          <w:sz w:val="24"/>
          <w:szCs w:val="24"/>
        </w:rPr>
        <w:t xml:space="preserve"> ku </w:t>
      </w:r>
      <w:r w:rsidRPr="007114AF">
        <w:rPr>
          <w:rFonts w:ascii="Garamond" w:hAnsi="Garamond"/>
          <w:sz w:val="24"/>
          <w:szCs w:val="24"/>
        </w:rPr>
        <w:lastRenderedPageBreak/>
        <w:t>Palët do të duhet të përgatisin, komunikojnë dhe mbajnë Kontribute të Mëtejshme Kombëtare të Përcaktuara (KKP), që synojnë t</w:t>
      </w:r>
      <w:r w:rsidR="00D10DAB" w:rsidRPr="007114AF">
        <w:rPr>
          <w:rFonts w:ascii="Garamond" w:hAnsi="Garamond"/>
          <w:sz w:val="24"/>
          <w:szCs w:val="24"/>
        </w:rPr>
        <w:t>’</w:t>
      </w:r>
      <w:r w:rsidRPr="007114AF">
        <w:rPr>
          <w:rFonts w:ascii="Garamond" w:hAnsi="Garamond"/>
          <w:sz w:val="24"/>
          <w:szCs w:val="24"/>
        </w:rPr>
        <w:t>i arrijnë,</w:t>
      </w:r>
      <w:r w:rsidR="000A2A01" w:rsidRPr="007114AF">
        <w:rPr>
          <w:rFonts w:ascii="Garamond" w:hAnsi="Garamond"/>
          <w:sz w:val="24"/>
          <w:szCs w:val="24"/>
        </w:rPr>
        <w:t xml:space="preserve"> </w:t>
      </w:r>
      <w:r w:rsidRPr="007114AF">
        <w:rPr>
          <w:rFonts w:ascii="Garamond" w:hAnsi="Garamond"/>
          <w:sz w:val="24"/>
          <w:szCs w:val="24"/>
        </w:rPr>
        <w:t>duke ndjekur masa zbutëse vendore. Palët do t</w:t>
      </w:r>
      <w:r w:rsidR="00D10DAB" w:rsidRPr="007114AF">
        <w:rPr>
          <w:rFonts w:ascii="Garamond" w:hAnsi="Garamond"/>
          <w:sz w:val="24"/>
          <w:szCs w:val="24"/>
        </w:rPr>
        <w:t>’</w:t>
      </w:r>
      <w:r w:rsidRPr="007114AF">
        <w:rPr>
          <w:rFonts w:ascii="Garamond" w:hAnsi="Garamond"/>
          <w:sz w:val="24"/>
          <w:szCs w:val="24"/>
        </w:rPr>
        <w:t>i komunikojnë kontributet, çdo pesë vjet, me synim përmirësimin progresiv të përpjekjeve të tyre (</w:t>
      </w:r>
      <w:r w:rsidR="00D565A2" w:rsidRPr="007114AF">
        <w:rPr>
          <w:rFonts w:ascii="Garamond" w:hAnsi="Garamond"/>
          <w:sz w:val="24"/>
          <w:szCs w:val="24"/>
        </w:rPr>
        <w:t>n</w:t>
      </w:r>
      <w:r w:rsidRPr="007114AF">
        <w:rPr>
          <w:rFonts w:ascii="Garamond" w:hAnsi="Garamond"/>
          <w:sz w:val="24"/>
          <w:szCs w:val="24"/>
        </w:rPr>
        <w:t>eni</w:t>
      </w:r>
      <w:r w:rsidR="000A2A01" w:rsidRPr="007114AF">
        <w:rPr>
          <w:rFonts w:ascii="Garamond" w:hAnsi="Garamond"/>
          <w:sz w:val="24"/>
          <w:szCs w:val="24"/>
        </w:rPr>
        <w:t xml:space="preserve"> </w:t>
      </w:r>
      <w:r w:rsidRPr="007114AF">
        <w:rPr>
          <w:rFonts w:ascii="Garamond" w:hAnsi="Garamond"/>
          <w:sz w:val="24"/>
          <w:szCs w:val="24"/>
        </w:rPr>
        <w:t>4.11).</w:t>
      </w:r>
    </w:p>
    <w:p w14:paraId="6EDCF426" w14:textId="4B4C88CD" w:rsidR="003A6446" w:rsidRPr="007114AF" w:rsidRDefault="003A6446" w:rsidP="003A6446">
      <w:pPr>
        <w:spacing w:after="0" w:line="240" w:lineRule="auto"/>
        <w:ind w:firstLine="284"/>
        <w:rPr>
          <w:rFonts w:ascii="Garamond" w:hAnsi="Garamond"/>
          <w:sz w:val="24"/>
          <w:szCs w:val="24"/>
        </w:rPr>
      </w:pPr>
      <w:r w:rsidRPr="007114AF">
        <w:rPr>
          <w:rFonts w:ascii="Garamond" w:hAnsi="Garamond"/>
          <w:sz w:val="24"/>
          <w:szCs w:val="24"/>
        </w:rPr>
        <w:t>Përveç kontributeve kombëtare, Palët duhet gjithashtu, të formulojnë dhe komunikojnë strategji zhvillimi afatgjatë, me GES-in të ulët në gjysmën e shekullit (</w:t>
      </w:r>
      <w:r w:rsidR="00E914BF">
        <w:rPr>
          <w:rFonts w:ascii="Garamond" w:hAnsi="Garamond"/>
          <w:sz w:val="24"/>
          <w:szCs w:val="24"/>
        </w:rPr>
        <w:t>n</w:t>
      </w:r>
      <w:r w:rsidRPr="007114AF">
        <w:rPr>
          <w:rFonts w:ascii="Garamond" w:hAnsi="Garamond"/>
          <w:sz w:val="24"/>
          <w:szCs w:val="24"/>
        </w:rPr>
        <w:t>eni 4.19), si dhe t</w:t>
      </w:r>
      <w:r w:rsidR="00D10DAB" w:rsidRPr="007114AF">
        <w:rPr>
          <w:rFonts w:ascii="Garamond" w:hAnsi="Garamond"/>
          <w:sz w:val="24"/>
          <w:szCs w:val="24"/>
        </w:rPr>
        <w:t>’</w:t>
      </w:r>
      <w:r w:rsidRPr="007114AF">
        <w:rPr>
          <w:rFonts w:ascii="Garamond" w:hAnsi="Garamond"/>
          <w:sz w:val="24"/>
          <w:szCs w:val="24"/>
        </w:rPr>
        <w:t>i paraqesin ato deri në vitin 2020. Leximi i kombinimit të kësaj kërkese me synimin afatgjatë të shkarkimeve zero në gjysmën e dytë të këtij shekulli (</w:t>
      </w:r>
      <w:r w:rsidR="00E914BF">
        <w:rPr>
          <w:rFonts w:ascii="Garamond" w:hAnsi="Garamond"/>
          <w:sz w:val="24"/>
          <w:szCs w:val="24"/>
        </w:rPr>
        <w:t>n</w:t>
      </w:r>
      <w:r w:rsidRPr="007114AF">
        <w:rPr>
          <w:rFonts w:ascii="Garamond" w:hAnsi="Garamond"/>
          <w:sz w:val="24"/>
          <w:szCs w:val="24"/>
        </w:rPr>
        <w:t xml:space="preserve">eni 4.1), nënkupton që vendet duhet të përpiqen të demonstrojnë, se si do të kontribuojnë përpjekjet e tyre dhe politikat e tyre të planifikuara apo të zbatuara për këtë objektiv. </w:t>
      </w:r>
    </w:p>
    <w:p w14:paraId="6EDCF427" w14:textId="77777777" w:rsidR="003A6446" w:rsidRPr="007114AF" w:rsidRDefault="003A6446" w:rsidP="003A6446">
      <w:pPr>
        <w:spacing w:after="0" w:line="240" w:lineRule="auto"/>
        <w:ind w:firstLine="284"/>
        <w:rPr>
          <w:rFonts w:ascii="Garamond" w:hAnsi="Garamond"/>
          <w:sz w:val="24"/>
          <w:szCs w:val="24"/>
        </w:rPr>
      </w:pPr>
      <w:r w:rsidRPr="007114AF">
        <w:rPr>
          <w:rFonts w:ascii="Garamond" w:hAnsi="Garamond"/>
          <w:sz w:val="24"/>
          <w:szCs w:val="24"/>
        </w:rPr>
        <w:t>Marrëveshja e Parisit do të hyjë në fuqi, pasi 55 vendet që zënë të paktën 55% të shkarkimeve globale, të kenë depozituar instrumentet e tyre të ratifikimit.</w:t>
      </w:r>
    </w:p>
    <w:p w14:paraId="6EDCF428" w14:textId="77777777" w:rsidR="003A6446" w:rsidRPr="007114AF" w:rsidRDefault="003A6446" w:rsidP="003A6446">
      <w:pPr>
        <w:spacing w:after="0" w:line="240" w:lineRule="auto"/>
        <w:ind w:firstLine="284"/>
        <w:rPr>
          <w:rFonts w:ascii="Garamond" w:hAnsi="Garamond"/>
          <w:sz w:val="24"/>
          <w:szCs w:val="24"/>
        </w:rPr>
      </w:pPr>
      <w:r w:rsidRPr="007114AF">
        <w:rPr>
          <w:rFonts w:ascii="Garamond" w:hAnsi="Garamond"/>
          <w:sz w:val="24"/>
          <w:szCs w:val="24"/>
        </w:rPr>
        <w:t>Figura më poshtë tregon programin e zbatimit të përcaktuar nga marrëveshja për arritjen e synimit 2°C (1,5°C).</w:t>
      </w:r>
    </w:p>
    <w:p w14:paraId="6EDCF429" w14:textId="77777777" w:rsidR="001C6C5A" w:rsidRPr="007114AF" w:rsidRDefault="00854661" w:rsidP="00FF37A6">
      <w:pPr>
        <w:pStyle w:val="NoSpacing"/>
        <w:rPr>
          <w:rFonts w:ascii="Garamond" w:hAnsi="Garamond"/>
          <w:lang w:val="sq-AL"/>
        </w:rPr>
      </w:pPr>
      <w:r w:rsidRPr="007114AF">
        <w:rPr>
          <w:rFonts w:ascii="Garamond" w:hAnsi="Garamond"/>
          <w:noProof/>
          <w:lang w:val="en-US" w:eastAsia="en-US"/>
        </w:rPr>
        <w:drawing>
          <wp:inline distT="0" distB="0" distL="0" distR="0" wp14:anchorId="6EDD1780" wp14:editId="6EDD1781">
            <wp:extent cx="5664200" cy="2108200"/>
            <wp:effectExtent l="0" t="0" r="0" b="635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t="19820"/>
                    <a:stretch>
                      <a:fillRect/>
                    </a:stretch>
                  </pic:blipFill>
                  <pic:spPr bwMode="auto">
                    <a:xfrm>
                      <a:off x="0" y="0"/>
                      <a:ext cx="5664200" cy="2108200"/>
                    </a:xfrm>
                    <a:prstGeom prst="rect">
                      <a:avLst/>
                    </a:prstGeom>
                    <a:solidFill>
                      <a:srgbClr val="FFFFFF"/>
                    </a:solidFill>
                    <a:ln>
                      <a:noFill/>
                    </a:ln>
                  </pic:spPr>
                </pic:pic>
              </a:graphicData>
            </a:graphic>
          </wp:inline>
        </w:drawing>
      </w:r>
    </w:p>
    <w:p w14:paraId="6EDCF42A" w14:textId="77777777" w:rsidR="00854661" w:rsidRPr="007114AF" w:rsidRDefault="00854661" w:rsidP="00FF37A6">
      <w:pPr>
        <w:pStyle w:val="NoSpacing"/>
        <w:rPr>
          <w:rFonts w:ascii="Garamond" w:hAnsi="Garamond"/>
          <w:lang w:val="sq-AL"/>
        </w:rPr>
      </w:pPr>
    </w:p>
    <w:p w14:paraId="6EDCF42B" w14:textId="172A8E30" w:rsidR="00D86DD8" w:rsidRPr="007114AF" w:rsidRDefault="00D86DD8" w:rsidP="00E32157">
      <w:pPr>
        <w:spacing w:after="0" w:line="240" w:lineRule="auto"/>
        <w:ind w:firstLine="284"/>
        <w:jc w:val="center"/>
        <w:rPr>
          <w:rFonts w:ascii="Garamond" w:hAnsi="Garamond"/>
          <w:b/>
          <w:sz w:val="20"/>
          <w:szCs w:val="20"/>
        </w:rPr>
      </w:pPr>
      <w:r w:rsidRPr="007114AF">
        <w:rPr>
          <w:rFonts w:ascii="Garamond" w:hAnsi="Garamond"/>
          <w:b/>
          <w:sz w:val="20"/>
          <w:szCs w:val="20"/>
        </w:rPr>
        <w:t>Figura 1</w:t>
      </w:r>
      <w:r w:rsidR="00A37E7C" w:rsidRPr="007114AF">
        <w:rPr>
          <w:rFonts w:ascii="Garamond" w:hAnsi="Garamond"/>
          <w:b/>
          <w:sz w:val="20"/>
          <w:szCs w:val="20"/>
        </w:rPr>
        <w:t xml:space="preserve"> </w:t>
      </w:r>
      <w:r w:rsidRPr="007114AF">
        <w:rPr>
          <w:rFonts w:ascii="Garamond" w:hAnsi="Garamond"/>
          <w:b/>
          <w:sz w:val="20"/>
          <w:szCs w:val="20"/>
        </w:rPr>
        <w:t>–</w:t>
      </w:r>
      <w:r w:rsidR="00A37E7C" w:rsidRPr="007114AF">
        <w:rPr>
          <w:rFonts w:ascii="Garamond" w:hAnsi="Garamond"/>
          <w:b/>
          <w:sz w:val="20"/>
          <w:szCs w:val="20"/>
        </w:rPr>
        <w:t xml:space="preserve"> </w:t>
      </w:r>
      <w:r w:rsidRPr="007114AF">
        <w:rPr>
          <w:rFonts w:ascii="Garamond" w:hAnsi="Garamond"/>
          <w:b/>
          <w:sz w:val="20"/>
          <w:szCs w:val="20"/>
        </w:rPr>
        <w:t>Afati kohor i procesit të përkufizuar në Marrëveshjen e Parisit</w:t>
      </w:r>
    </w:p>
    <w:p w14:paraId="6EDCF42C" w14:textId="77777777" w:rsidR="00D86DD8" w:rsidRPr="007114AF" w:rsidRDefault="00D86DD8" w:rsidP="00D86DD8">
      <w:pPr>
        <w:spacing w:after="0" w:line="240" w:lineRule="auto"/>
        <w:ind w:firstLine="284"/>
        <w:rPr>
          <w:rFonts w:ascii="Garamond" w:hAnsi="Garamond"/>
          <w:sz w:val="24"/>
          <w:szCs w:val="24"/>
        </w:rPr>
      </w:pPr>
    </w:p>
    <w:p w14:paraId="6EDCF42D" w14:textId="77777777" w:rsidR="00D86DD8" w:rsidRPr="007114AF" w:rsidRDefault="00D86DD8" w:rsidP="00D86DD8">
      <w:pPr>
        <w:spacing w:after="0" w:line="240" w:lineRule="auto"/>
        <w:ind w:firstLine="284"/>
        <w:rPr>
          <w:rFonts w:ascii="Garamond" w:hAnsi="Garamond"/>
          <w:sz w:val="24"/>
          <w:szCs w:val="24"/>
        </w:rPr>
      </w:pPr>
      <w:bookmarkStart w:id="15" w:name="__RefHeading___Toc444944780"/>
      <w:bookmarkStart w:id="16" w:name="_Toc450135225"/>
      <w:bookmarkStart w:id="17" w:name="_Toc450151828"/>
      <w:bookmarkStart w:id="18" w:name="_Toc484424474"/>
      <w:bookmarkEnd w:id="15"/>
      <w:r w:rsidRPr="007114AF">
        <w:rPr>
          <w:rFonts w:ascii="Garamond" w:hAnsi="Garamond"/>
          <w:sz w:val="24"/>
          <w:szCs w:val="24"/>
        </w:rPr>
        <w:t>2.3 Politika e BE-së për ndryshimet klimatik</w:t>
      </w:r>
      <w:bookmarkEnd w:id="16"/>
      <w:bookmarkEnd w:id="17"/>
      <w:r w:rsidRPr="007114AF">
        <w:rPr>
          <w:rFonts w:ascii="Garamond" w:hAnsi="Garamond"/>
          <w:sz w:val="24"/>
          <w:szCs w:val="24"/>
        </w:rPr>
        <w:t>e</w:t>
      </w:r>
      <w:bookmarkEnd w:id="18"/>
    </w:p>
    <w:p w14:paraId="6EDCF42E" w14:textId="5DA7002A" w:rsidR="00D86DD8" w:rsidRPr="007114AF" w:rsidRDefault="00D86DD8" w:rsidP="00D86DD8">
      <w:pPr>
        <w:spacing w:after="0" w:line="240" w:lineRule="auto"/>
        <w:ind w:firstLine="284"/>
        <w:rPr>
          <w:rFonts w:ascii="Garamond" w:hAnsi="Garamond"/>
          <w:sz w:val="24"/>
          <w:szCs w:val="24"/>
        </w:rPr>
      </w:pPr>
      <w:r w:rsidRPr="007114AF">
        <w:rPr>
          <w:rFonts w:ascii="Garamond" w:hAnsi="Garamond"/>
          <w:sz w:val="24"/>
          <w:szCs w:val="24"/>
        </w:rPr>
        <w:t>Një përqasje proaktive në nivel evropian</w:t>
      </w:r>
      <w:r w:rsidR="00D565A2" w:rsidRPr="007114AF">
        <w:rPr>
          <w:rFonts w:ascii="Garamond" w:hAnsi="Garamond"/>
          <w:sz w:val="24"/>
          <w:szCs w:val="24"/>
        </w:rPr>
        <w:t xml:space="preserve"> </w:t>
      </w:r>
      <w:r w:rsidRPr="007114AF">
        <w:rPr>
          <w:rFonts w:ascii="Garamond" w:hAnsi="Garamond"/>
          <w:sz w:val="24"/>
          <w:szCs w:val="24"/>
        </w:rPr>
        <w:t xml:space="preserve">përfshin gjithë </w:t>
      </w:r>
      <w:r w:rsidR="00D565A2" w:rsidRPr="007114AF">
        <w:rPr>
          <w:rFonts w:ascii="Garamond" w:hAnsi="Garamond"/>
          <w:sz w:val="24"/>
          <w:szCs w:val="24"/>
        </w:rPr>
        <w:t xml:space="preserve">shtetet anëtare </w:t>
      </w:r>
      <w:r w:rsidRPr="007114AF">
        <w:rPr>
          <w:rFonts w:ascii="Garamond" w:hAnsi="Garamond"/>
          <w:sz w:val="24"/>
          <w:szCs w:val="24"/>
        </w:rPr>
        <w:t>për nxitjen e një reagimi të përbashkët ndërkombëtar ndaj ndryshimeve klimatike. Kjo përfshin përpjekje për masa zbutëse për kontrollin e shkarkimeve të gazeve serrë, si dhe nxitjen e masave adaptuese për të luftuar ndikimet e dëmshme të ndryshimeve klimatike që janë ndërkaq të pashmangshme.</w:t>
      </w:r>
    </w:p>
    <w:p w14:paraId="6EDCF42F" w14:textId="1A93CC5B" w:rsidR="00D86DD8" w:rsidRPr="007114AF" w:rsidRDefault="00D86DD8" w:rsidP="00D86DD8">
      <w:pPr>
        <w:spacing w:after="0" w:line="240" w:lineRule="auto"/>
        <w:ind w:firstLine="284"/>
        <w:rPr>
          <w:rFonts w:ascii="Garamond" w:hAnsi="Garamond"/>
          <w:sz w:val="24"/>
          <w:szCs w:val="24"/>
        </w:rPr>
      </w:pPr>
      <w:r w:rsidRPr="007114AF">
        <w:rPr>
          <w:rFonts w:ascii="Garamond" w:hAnsi="Garamond"/>
          <w:sz w:val="24"/>
          <w:szCs w:val="24"/>
        </w:rPr>
        <w:t>Ia vlen të vihet në dukje se veprimi politik i BE-së është nga ndërtimi dhe natyra, i gjerë dhe gjenerik. Parimi i varësisë, një shtyllë e sistemit qeverisës të BE-së, thërret për ndërhyrjen e BE-së vetëm në fushat që nuk mund të rregullohen më mirë në nivelin e shtetit anëtar, duke u lënë kështu nivele të larta autonomie shteteve anëtare në fusha të ndryshme politike. Në fushat klimë-energji, politika e BE-së mund të vendosë synime dhe të përcaktojë kriteret e pranueshme matëse, për të verifikuar arritjen e këtyre synimeve, si dhe mjetet e pranueshme të politikave për t</w:t>
      </w:r>
      <w:r w:rsidR="00D10DAB" w:rsidRPr="007114AF">
        <w:rPr>
          <w:rFonts w:ascii="Garamond" w:hAnsi="Garamond"/>
          <w:sz w:val="24"/>
          <w:szCs w:val="24"/>
        </w:rPr>
        <w:t>’</w:t>
      </w:r>
      <w:r w:rsidRPr="007114AF">
        <w:rPr>
          <w:rFonts w:ascii="Garamond" w:hAnsi="Garamond"/>
          <w:sz w:val="24"/>
          <w:szCs w:val="24"/>
        </w:rPr>
        <w:t>i arritur ato, por i lë çdo Shteti Anëtar zgjedhjen e masave konkrete që do të merren. Kështu, praktikat më të mira në nivel kombëtar mund të jenë po aq me rëndësi në përcaktimin e mënyrës, sipas së cilës Shqipëria duhet ta zhvillojë strategjinë dhe planin e saj për klimën në sektorin e klimës.</w:t>
      </w:r>
    </w:p>
    <w:p w14:paraId="6EDCF430" w14:textId="6559BE73" w:rsidR="00D86DD8" w:rsidRPr="007114AF" w:rsidRDefault="000A2A01" w:rsidP="00D86DD8">
      <w:pPr>
        <w:spacing w:after="0" w:line="240" w:lineRule="auto"/>
        <w:ind w:firstLine="284"/>
        <w:rPr>
          <w:rFonts w:ascii="Garamond" w:hAnsi="Garamond"/>
          <w:b/>
          <w:sz w:val="24"/>
          <w:szCs w:val="24"/>
        </w:rPr>
      </w:pPr>
      <w:r w:rsidRPr="007114AF">
        <w:rPr>
          <w:rFonts w:ascii="Garamond" w:hAnsi="Garamond"/>
          <w:b/>
          <w:sz w:val="24"/>
          <w:szCs w:val="24"/>
        </w:rPr>
        <w:t>“</w:t>
      </w:r>
      <w:r w:rsidR="00D86DD8" w:rsidRPr="007114AF">
        <w:rPr>
          <w:rFonts w:ascii="Garamond" w:hAnsi="Garamond"/>
          <w:b/>
          <w:sz w:val="24"/>
          <w:szCs w:val="24"/>
        </w:rPr>
        <w:t>Plani për Ekonomi me Karbon të Ulët</w:t>
      </w:r>
      <w:r w:rsidRPr="007114AF">
        <w:rPr>
          <w:rFonts w:ascii="Garamond" w:hAnsi="Garamond"/>
          <w:b/>
          <w:sz w:val="24"/>
          <w:szCs w:val="24"/>
        </w:rPr>
        <w:t>”</w:t>
      </w:r>
    </w:p>
    <w:p w14:paraId="6EDCF431" w14:textId="683D8524" w:rsidR="00D86DD8" w:rsidRPr="007114AF" w:rsidRDefault="00D86DD8" w:rsidP="00D86DD8">
      <w:pPr>
        <w:spacing w:after="0" w:line="240" w:lineRule="auto"/>
        <w:ind w:firstLine="284"/>
        <w:rPr>
          <w:rFonts w:ascii="Garamond" w:hAnsi="Garamond"/>
          <w:sz w:val="24"/>
          <w:szCs w:val="24"/>
        </w:rPr>
      </w:pPr>
      <w:r w:rsidRPr="007114AF">
        <w:rPr>
          <w:rFonts w:ascii="Garamond" w:hAnsi="Garamond"/>
          <w:sz w:val="24"/>
          <w:szCs w:val="24"/>
        </w:rPr>
        <w:t xml:space="preserve">BE-ja ka miratuar </w:t>
      </w:r>
      <w:r w:rsidR="000A2A01" w:rsidRPr="007114AF">
        <w:rPr>
          <w:rFonts w:ascii="Garamond" w:hAnsi="Garamond"/>
          <w:sz w:val="24"/>
          <w:szCs w:val="24"/>
        </w:rPr>
        <w:t>“</w:t>
      </w:r>
      <w:r w:rsidRPr="007114AF">
        <w:rPr>
          <w:rFonts w:ascii="Garamond" w:hAnsi="Garamond"/>
          <w:sz w:val="24"/>
          <w:szCs w:val="24"/>
        </w:rPr>
        <w:t>Planin për Ekonomi me Karbon të Ulët</w:t>
      </w:r>
      <w:r w:rsidR="000A2A01" w:rsidRPr="007114AF">
        <w:rPr>
          <w:rFonts w:ascii="Garamond" w:hAnsi="Garamond"/>
          <w:sz w:val="24"/>
          <w:szCs w:val="24"/>
        </w:rPr>
        <w:t>”</w:t>
      </w:r>
      <w:r w:rsidRPr="007114AF">
        <w:rPr>
          <w:rFonts w:ascii="Garamond" w:hAnsi="Garamond"/>
          <w:sz w:val="24"/>
          <w:szCs w:val="24"/>
          <w:vertAlign w:val="superscript"/>
        </w:rPr>
        <w:footnoteReference w:id="11"/>
      </w:r>
      <w:r w:rsidRPr="007114AF">
        <w:rPr>
          <w:rFonts w:ascii="Garamond" w:hAnsi="Garamond"/>
          <w:sz w:val="24"/>
          <w:szCs w:val="24"/>
        </w:rPr>
        <w:t xml:space="preserve"> në vitin 2011,duke përcaktuar një udhë efikase nga ana e kostos, për ta bërë ekonominë</w:t>
      </w:r>
      <w:r w:rsidR="00D565A2" w:rsidRPr="007114AF">
        <w:rPr>
          <w:rFonts w:ascii="Garamond" w:hAnsi="Garamond"/>
          <w:sz w:val="24"/>
          <w:szCs w:val="24"/>
        </w:rPr>
        <w:t xml:space="preserve"> </w:t>
      </w:r>
      <w:r w:rsidRPr="007114AF">
        <w:rPr>
          <w:rFonts w:ascii="Garamond" w:hAnsi="Garamond"/>
          <w:sz w:val="24"/>
          <w:szCs w:val="24"/>
        </w:rPr>
        <w:t>evropiane më miqësore me klimën dhe me më pak konsum energjie. Plani sugjeron që deri në vitin 2050, BE-ja duhet t</w:t>
      </w:r>
      <w:r w:rsidR="00D10DAB" w:rsidRPr="007114AF">
        <w:rPr>
          <w:rFonts w:ascii="Garamond" w:hAnsi="Garamond"/>
          <w:sz w:val="24"/>
          <w:szCs w:val="24"/>
        </w:rPr>
        <w:t>’</w:t>
      </w:r>
      <w:r w:rsidRPr="007114AF">
        <w:rPr>
          <w:rFonts w:ascii="Garamond" w:hAnsi="Garamond"/>
          <w:sz w:val="24"/>
          <w:szCs w:val="24"/>
        </w:rPr>
        <w:t xml:space="preserve">i reduktojë shkarkimet e saj në 80% nën nivelet e vitit 1990. Piketat për arritjen e kësaj janë 40% reduktime </w:t>
      </w:r>
      <w:r w:rsidRPr="007114AF">
        <w:rPr>
          <w:rFonts w:ascii="Garamond" w:hAnsi="Garamond"/>
          <w:sz w:val="24"/>
          <w:szCs w:val="24"/>
        </w:rPr>
        <w:lastRenderedPageBreak/>
        <w:t>të shkarkimeve deri në vitin 2030, dhe 60% deri në vitin 2040 (</w:t>
      </w:r>
      <w:r w:rsidR="00D565A2" w:rsidRPr="007114AF">
        <w:rPr>
          <w:rFonts w:ascii="Garamond" w:hAnsi="Garamond"/>
          <w:sz w:val="24"/>
          <w:szCs w:val="24"/>
        </w:rPr>
        <w:t>f</w:t>
      </w:r>
      <w:r w:rsidRPr="007114AF">
        <w:rPr>
          <w:rFonts w:ascii="Garamond" w:hAnsi="Garamond"/>
          <w:sz w:val="24"/>
          <w:szCs w:val="24"/>
        </w:rPr>
        <w:t xml:space="preserve">igura 2). Gjithë sektorët duhet të kontribuojnë për tranzicionin me karbon të ulët, sipas potencialit të tyre teknologjik dhe ekonomik. </w:t>
      </w:r>
      <w:r w:rsidR="000A2A01" w:rsidRPr="007114AF">
        <w:rPr>
          <w:rFonts w:ascii="Garamond" w:hAnsi="Garamond"/>
          <w:sz w:val="24"/>
          <w:szCs w:val="24"/>
        </w:rPr>
        <w:t>“</w:t>
      </w:r>
      <w:r w:rsidRPr="007114AF">
        <w:rPr>
          <w:rFonts w:ascii="Garamond" w:hAnsi="Garamond"/>
          <w:sz w:val="24"/>
          <w:szCs w:val="24"/>
        </w:rPr>
        <w:t>Plani i BE-së për Ekonomi me Karbon të Ulët</w:t>
      </w:r>
      <w:r w:rsidR="000A2A01" w:rsidRPr="007114AF">
        <w:rPr>
          <w:rFonts w:ascii="Garamond" w:hAnsi="Garamond"/>
          <w:sz w:val="24"/>
          <w:szCs w:val="24"/>
        </w:rPr>
        <w:t>”</w:t>
      </w:r>
      <w:r w:rsidR="00D565A2" w:rsidRPr="007114AF">
        <w:rPr>
          <w:rFonts w:ascii="Garamond" w:hAnsi="Garamond"/>
          <w:sz w:val="24"/>
          <w:szCs w:val="24"/>
        </w:rPr>
        <w:t xml:space="preserve"> </w:t>
      </w:r>
      <w:r w:rsidRPr="007114AF">
        <w:rPr>
          <w:rFonts w:ascii="Garamond" w:hAnsi="Garamond"/>
          <w:sz w:val="24"/>
          <w:szCs w:val="24"/>
        </w:rPr>
        <w:t>kërkon masa në gjithë sektorët kryesorë përgjegjës për shkarkimet e Evropës</w:t>
      </w:r>
      <w:r w:rsidR="00637270" w:rsidRPr="007114AF">
        <w:rPr>
          <w:rFonts w:ascii="Garamond" w:hAnsi="Garamond"/>
          <w:sz w:val="24"/>
          <w:szCs w:val="24"/>
        </w:rPr>
        <w:t xml:space="preserve"> </w:t>
      </w:r>
      <w:r w:rsidRPr="007114AF">
        <w:rPr>
          <w:rFonts w:ascii="Garamond" w:hAnsi="Garamond"/>
          <w:sz w:val="24"/>
          <w:szCs w:val="24"/>
        </w:rPr>
        <w:t>– gjenerimi i energjisë, industria, transporti, ndërtesat, ndërtimet dhe bujqësia –</w:t>
      </w:r>
      <w:r w:rsidR="00637270" w:rsidRPr="007114AF">
        <w:rPr>
          <w:rFonts w:ascii="Garamond" w:hAnsi="Garamond"/>
          <w:sz w:val="24"/>
          <w:szCs w:val="24"/>
        </w:rPr>
        <w:t xml:space="preserve"> </w:t>
      </w:r>
      <w:r w:rsidRPr="007114AF">
        <w:rPr>
          <w:rFonts w:ascii="Garamond" w:hAnsi="Garamond"/>
          <w:sz w:val="24"/>
          <w:szCs w:val="24"/>
        </w:rPr>
        <w:t>si dhe duhen bërë investime të mëdha në:</w:t>
      </w:r>
    </w:p>
    <w:p w14:paraId="6EDCF432" w14:textId="5228EDCC" w:rsidR="00D86DD8" w:rsidRPr="007114AF" w:rsidRDefault="00164B6B" w:rsidP="00D86DD8">
      <w:pPr>
        <w:spacing w:after="0" w:line="240" w:lineRule="auto"/>
        <w:ind w:firstLine="284"/>
        <w:rPr>
          <w:rFonts w:ascii="Garamond" w:hAnsi="Garamond"/>
          <w:sz w:val="24"/>
          <w:szCs w:val="24"/>
        </w:rPr>
      </w:pPr>
      <w:r w:rsidRPr="007114AF">
        <w:rPr>
          <w:rFonts w:ascii="Garamond" w:hAnsi="Garamond"/>
          <w:sz w:val="24"/>
          <w:szCs w:val="24"/>
        </w:rPr>
        <w:t xml:space="preserve">- </w:t>
      </w:r>
      <w:r w:rsidR="00D86DD8" w:rsidRPr="007114AF">
        <w:rPr>
          <w:rFonts w:ascii="Garamond" w:hAnsi="Garamond"/>
          <w:sz w:val="24"/>
          <w:szCs w:val="24"/>
        </w:rPr>
        <w:t>Teknologjitë e reja me karbon të ulët</w:t>
      </w:r>
      <w:r w:rsidR="00E914BF">
        <w:rPr>
          <w:rFonts w:ascii="Garamond" w:hAnsi="Garamond"/>
          <w:sz w:val="24"/>
          <w:szCs w:val="24"/>
        </w:rPr>
        <w:t>;</w:t>
      </w:r>
    </w:p>
    <w:p w14:paraId="6EDCF433" w14:textId="07379656" w:rsidR="00D86DD8" w:rsidRPr="007114AF" w:rsidRDefault="00164B6B" w:rsidP="00D86DD8">
      <w:pPr>
        <w:spacing w:after="0" w:line="240" w:lineRule="auto"/>
        <w:ind w:firstLine="284"/>
        <w:rPr>
          <w:rFonts w:ascii="Garamond" w:hAnsi="Garamond"/>
          <w:sz w:val="24"/>
          <w:szCs w:val="24"/>
        </w:rPr>
      </w:pPr>
      <w:r w:rsidRPr="007114AF">
        <w:rPr>
          <w:rFonts w:ascii="Garamond" w:hAnsi="Garamond"/>
          <w:sz w:val="24"/>
          <w:szCs w:val="24"/>
        </w:rPr>
        <w:t xml:space="preserve">- </w:t>
      </w:r>
      <w:r w:rsidR="00D86DD8" w:rsidRPr="007114AF">
        <w:rPr>
          <w:rFonts w:ascii="Garamond" w:hAnsi="Garamond"/>
          <w:sz w:val="24"/>
          <w:szCs w:val="24"/>
        </w:rPr>
        <w:t>Energjinë e rinovueshme</w:t>
      </w:r>
      <w:r w:rsidR="00E914BF">
        <w:rPr>
          <w:rFonts w:ascii="Garamond" w:hAnsi="Garamond"/>
          <w:sz w:val="24"/>
          <w:szCs w:val="24"/>
        </w:rPr>
        <w:t>;</w:t>
      </w:r>
    </w:p>
    <w:p w14:paraId="6EDCF434" w14:textId="7A8F11F1" w:rsidR="00D86DD8" w:rsidRPr="007114AF" w:rsidRDefault="00164B6B" w:rsidP="00D86DD8">
      <w:pPr>
        <w:spacing w:after="0" w:line="240" w:lineRule="auto"/>
        <w:ind w:firstLine="284"/>
        <w:rPr>
          <w:rFonts w:ascii="Garamond" w:hAnsi="Garamond"/>
          <w:sz w:val="24"/>
          <w:szCs w:val="24"/>
        </w:rPr>
      </w:pPr>
      <w:r w:rsidRPr="007114AF">
        <w:rPr>
          <w:rFonts w:ascii="Garamond" w:hAnsi="Garamond"/>
          <w:sz w:val="24"/>
          <w:szCs w:val="24"/>
        </w:rPr>
        <w:t xml:space="preserve">- </w:t>
      </w:r>
      <w:r w:rsidR="00D86DD8" w:rsidRPr="007114AF">
        <w:rPr>
          <w:rFonts w:ascii="Garamond" w:hAnsi="Garamond"/>
          <w:sz w:val="24"/>
          <w:szCs w:val="24"/>
        </w:rPr>
        <w:t>Eficiencën e energjisë</w:t>
      </w:r>
      <w:r w:rsidR="00E914BF">
        <w:rPr>
          <w:rFonts w:ascii="Garamond" w:hAnsi="Garamond"/>
          <w:sz w:val="24"/>
          <w:szCs w:val="24"/>
        </w:rPr>
        <w:t>;</w:t>
      </w:r>
    </w:p>
    <w:p w14:paraId="6EDCF435" w14:textId="77777777" w:rsidR="00D86DD8" w:rsidRPr="007114AF" w:rsidRDefault="00164B6B" w:rsidP="00D86DD8">
      <w:pPr>
        <w:spacing w:after="0" w:line="240" w:lineRule="auto"/>
        <w:ind w:firstLine="284"/>
        <w:rPr>
          <w:rFonts w:ascii="Garamond" w:hAnsi="Garamond"/>
          <w:sz w:val="24"/>
          <w:szCs w:val="24"/>
        </w:rPr>
      </w:pPr>
      <w:r w:rsidRPr="007114AF">
        <w:rPr>
          <w:rFonts w:ascii="Garamond" w:hAnsi="Garamond"/>
          <w:sz w:val="24"/>
          <w:szCs w:val="24"/>
        </w:rPr>
        <w:t xml:space="preserve">- </w:t>
      </w:r>
      <w:r w:rsidR="00D86DD8" w:rsidRPr="007114AF">
        <w:rPr>
          <w:rFonts w:ascii="Garamond" w:hAnsi="Garamond"/>
          <w:sz w:val="24"/>
          <w:szCs w:val="24"/>
        </w:rPr>
        <w:t xml:space="preserve">Infrastrukturën e rrjetit. </w:t>
      </w:r>
    </w:p>
    <w:p w14:paraId="6EDCF436" w14:textId="77777777" w:rsidR="00D86DD8" w:rsidRPr="007114AF" w:rsidRDefault="00D86DD8" w:rsidP="00D86DD8">
      <w:pPr>
        <w:spacing w:after="0" w:line="240" w:lineRule="auto"/>
        <w:ind w:firstLine="284"/>
        <w:rPr>
          <w:rFonts w:ascii="Garamond" w:hAnsi="Garamond"/>
          <w:sz w:val="24"/>
          <w:szCs w:val="24"/>
        </w:rPr>
      </w:pPr>
      <w:r w:rsidRPr="007114AF">
        <w:rPr>
          <w:rFonts w:ascii="Garamond" w:hAnsi="Garamond"/>
          <w:sz w:val="24"/>
          <w:szCs w:val="24"/>
        </w:rPr>
        <w:t>Shkarkimet nga sektori i transportit mund të reduktohen me më shumë se 60% nën nivelet e vitit 1990 deri në vitin 2050. Në periudhën afatshkurtër pjesa më e madhe e progresit mund të gjendet në motorët efikasë me benzinë dhe naftë. Në periudhën afatmesme, makinat e karikueshme hibride dhe elektrike do të mundësojnë reduktime të mëdha të shkarkimeve. Biokarburet do të përdoren gjithnjë e më shumë në aviacion dhe në transportin rrugor, pasi jo gjithë mjetet e rënda për transportin e mallrave do të punojnë me energji elektrike në të ardhmen.</w:t>
      </w:r>
    </w:p>
    <w:p w14:paraId="6EDCF437" w14:textId="77777777" w:rsidR="00D86DD8" w:rsidRPr="007114AF" w:rsidRDefault="00D86DD8" w:rsidP="00D86DD8">
      <w:pPr>
        <w:spacing w:after="0" w:line="240" w:lineRule="auto"/>
        <w:ind w:firstLine="284"/>
        <w:rPr>
          <w:rFonts w:ascii="Garamond" w:hAnsi="Garamond"/>
          <w:sz w:val="24"/>
          <w:szCs w:val="24"/>
        </w:rPr>
      </w:pPr>
      <w:r w:rsidRPr="007114AF">
        <w:rPr>
          <w:rFonts w:ascii="Garamond" w:hAnsi="Garamond"/>
          <w:sz w:val="24"/>
          <w:szCs w:val="24"/>
        </w:rPr>
        <w:t>Strategjia kërkon politika që nxisin klimën e qëndrueshme të biznesit, çka nxit investimet me karbon të ulët që duhet të bëhen sa më shpejt të jetë e mundur.</w:t>
      </w:r>
    </w:p>
    <w:p w14:paraId="6EDCF438" w14:textId="77777777" w:rsidR="00854661" w:rsidRPr="007114AF" w:rsidRDefault="00854661" w:rsidP="00D86DD8">
      <w:pPr>
        <w:spacing w:after="0" w:line="240" w:lineRule="auto"/>
        <w:ind w:firstLine="284"/>
        <w:rPr>
          <w:rFonts w:ascii="Garamond" w:hAnsi="Garamond"/>
          <w:sz w:val="24"/>
          <w:szCs w:val="24"/>
        </w:rPr>
      </w:pPr>
    </w:p>
    <w:p w14:paraId="6EDCF439" w14:textId="77777777" w:rsidR="00D86DD8" w:rsidRPr="007114AF" w:rsidRDefault="008B66EE" w:rsidP="008B66EE">
      <w:pPr>
        <w:spacing w:after="0" w:line="240" w:lineRule="auto"/>
        <w:ind w:firstLine="284"/>
        <w:jc w:val="center"/>
        <w:rPr>
          <w:rFonts w:ascii="Garamond" w:hAnsi="Garamond"/>
          <w:sz w:val="24"/>
          <w:szCs w:val="24"/>
        </w:rPr>
      </w:pPr>
      <w:r w:rsidRPr="007114AF">
        <w:rPr>
          <w:rFonts w:ascii="Garamond" w:hAnsi="Garamond"/>
          <w:noProof/>
          <w:lang w:val="en-US" w:eastAsia="en-US"/>
        </w:rPr>
        <w:drawing>
          <wp:inline distT="0" distB="0" distL="0" distR="0" wp14:anchorId="6EDD1782" wp14:editId="6EDD1783">
            <wp:extent cx="4699221" cy="2560320"/>
            <wp:effectExtent l="0" t="0" r="6350" b="0"/>
            <wp:docPr id="15" name="Immagin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711794" cy="2567170"/>
                    </a:xfrm>
                    <a:prstGeom prst="rect">
                      <a:avLst/>
                    </a:prstGeom>
                    <a:solidFill>
                      <a:srgbClr val="FFFFFF"/>
                    </a:solidFill>
                    <a:ln>
                      <a:noFill/>
                    </a:ln>
                  </pic:spPr>
                </pic:pic>
              </a:graphicData>
            </a:graphic>
          </wp:inline>
        </w:drawing>
      </w:r>
    </w:p>
    <w:p w14:paraId="6EDCF43A" w14:textId="77777777" w:rsidR="007A451F" w:rsidRPr="007114AF" w:rsidRDefault="007A451F" w:rsidP="008B66EE">
      <w:pPr>
        <w:spacing w:after="0" w:line="240" w:lineRule="auto"/>
        <w:ind w:firstLine="284"/>
        <w:jc w:val="center"/>
        <w:rPr>
          <w:rFonts w:ascii="Garamond" w:hAnsi="Garamond"/>
          <w:sz w:val="24"/>
          <w:szCs w:val="24"/>
        </w:rPr>
      </w:pPr>
    </w:p>
    <w:p w14:paraId="6EDCF43B" w14:textId="4F925B76" w:rsidR="00E20D71" w:rsidRPr="007114AF" w:rsidRDefault="00E20D71" w:rsidP="00E32157">
      <w:pPr>
        <w:spacing w:after="0" w:line="240" w:lineRule="auto"/>
        <w:ind w:firstLine="284"/>
        <w:jc w:val="center"/>
        <w:rPr>
          <w:rFonts w:ascii="Garamond" w:hAnsi="Garamond"/>
          <w:b/>
          <w:sz w:val="20"/>
          <w:szCs w:val="20"/>
        </w:rPr>
      </w:pPr>
      <w:r w:rsidRPr="007114AF">
        <w:rPr>
          <w:rFonts w:ascii="Garamond" w:hAnsi="Garamond"/>
          <w:b/>
          <w:sz w:val="20"/>
          <w:szCs w:val="20"/>
        </w:rPr>
        <w:t>Figura 2</w:t>
      </w:r>
      <w:r w:rsidR="00E914BF">
        <w:rPr>
          <w:rFonts w:ascii="Garamond" w:hAnsi="Garamond"/>
          <w:b/>
          <w:sz w:val="20"/>
          <w:szCs w:val="20"/>
        </w:rPr>
        <w:t xml:space="preserve"> </w:t>
      </w:r>
      <w:r w:rsidRPr="007114AF">
        <w:rPr>
          <w:rFonts w:ascii="Garamond" w:hAnsi="Garamond"/>
          <w:b/>
          <w:sz w:val="20"/>
          <w:szCs w:val="20"/>
        </w:rPr>
        <w:t>–</w:t>
      </w:r>
      <w:r w:rsidR="00E914BF">
        <w:rPr>
          <w:rFonts w:ascii="Garamond" w:hAnsi="Garamond"/>
          <w:b/>
          <w:sz w:val="20"/>
          <w:szCs w:val="20"/>
        </w:rPr>
        <w:t xml:space="preserve"> </w:t>
      </w:r>
      <w:r w:rsidRPr="007114AF">
        <w:rPr>
          <w:rFonts w:ascii="Garamond" w:hAnsi="Garamond"/>
          <w:b/>
          <w:sz w:val="20"/>
          <w:szCs w:val="20"/>
        </w:rPr>
        <w:t>Reduktimi i mundshëm i sektorëve në udhën drejt reduktimit -80%</w:t>
      </w:r>
      <w:r w:rsidRPr="007114AF">
        <w:rPr>
          <w:rFonts w:ascii="Garamond" w:hAnsi="Garamond"/>
          <w:b/>
          <w:sz w:val="20"/>
          <w:szCs w:val="20"/>
          <w:vertAlign w:val="superscript"/>
        </w:rPr>
        <w:footnoteReference w:id="12"/>
      </w:r>
    </w:p>
    <w:p w14:paraId="6EDCF43C" w14:textId="77777777" w:rsidR="00E20D71" w:rsidRPr="007114AF" w:rsidRDefault="00E20D71" w:rsidP="00E20D71">
      <w:pPr>
        <w:spacing w:after="0" w:line="240" w:lineRule="auto"/>
        <w:ind w:firstLine="284"/>
        <w:rPr>
          <w:rFonts w:ascii="Garamond" w:hAnsi="Garamond"/>
          <w:b/>
          <w:sz w:val="24"/>
          <w:szCs w:val="24"/>
        </w:rPr>
      </w:pPr>
    </w:p>
    <w:p w14:paraId="6EDCF43D" w14:textId="6C414D80" w:rsidR="00E20D71" w:rsidRPr="007114AF" w:rsidRDefault="000A2A01" w:rsidP="00E20D71">
      <w:pPr>
        <w:spacing w:after="0" w:line="240" w:lineRule="auto"/>
        <w:ind w:firstLine="284"/>
        <w:rPr>
          <w:rFonts w:ascii="Garamond" w:hAnsi="Garamond"/>
          <w:b/>
          <w:sz w:val="24"/>
          <w:szCs w:val="24"/>
        </w:rPr>
      </w:pPr>
      <w:r w:rsidRPr="007114AF">
        <w:rPr>
          <w:rFonts w:ascii="Garamond" w:hAnsi="Garamond"/>
          <w:b/>
          <w:sz w:val="24"/>
          <w:szCs w:val="24"/>
        </w:rPr>
        <w:t>“</w:t>
      </w:r>
      <w:r w:rsidR="00E20D71" w:rsidRPr="007114AF">
        <w:rPr>
          <w:rFonts w:ascii="Garamond" w:hAnsi="Garamond"/>
          <w:b/>
          <w:sz w:val="24"/>
          <w:szCs w:val="24"/>
        </w:rPr>
        <w:t>Paketa e Klimës dhe Energjisë2020</w:t>
      </w:r>
      <w:r w:rsidRPr="007114AF">
        <w:rPr>
          <w:rFonts w:ascii="Garamond" w:hAnsi="Garamond"/>
          <w:b/>
          <w:sz w:val="24"/>
          <w:szCs w:val="24"/>
        </w:rPr>
        <w:t>”</w:t>
      </w:r>
      <w:r w:rsidR="00E20D71" w:rsidRPr="007114AF">
        <w:rPr>
          <w:rFonts w:ascii="Garamond" w:hAnsi="Garamond"/>
          <w:b/>
          <w:sz w:val="24"/>
          <w:szCs w:val="24"/>
        </w:rPr>
        <w:t xml:space="preserve"> dhe periudha e dytë e angazhimit të PK-ës (2013</w:t>
      </w:r>
      <w:r w:rsidR="00F0008E" w:rsidRPr="007114AF">
        <w:rPr>
          <w:rFonts w:ascii="Garamond" w:hAnsi="Garamond"/>
          <w:sz w:val="24"/>
          <w:szCs w:val="24"/>
        </w:rPr>
        <w:t>–</w:t>
      </w:r>
      <w:r w:rsidR="00E20D71" w:rsidRPr="007114AF">
        <w:rPr>
          <w:rFonts w:ascii="Garamond" w:hAnsi="Garamond"/>
          <w:b/>
          <w:sz w:val="24"/>
          <w:szCs w:val="24"/>
        </w:rPr>
        <w:t>2020)</w:t>
      </w:r>
    </w:p>
    <w:p w14:paraId="6EDCF43E" w14:textId="5F0BB29F" w:rsidR="00E20D71" w:rsidRPr="007114AF" w:rsidRDefault="00E20D71" w:rsidP="00E20D71">
      <w:pPr>
        <w:spacing w:after="0" w:line="240" w:lineRule="auto"/>
        <w:ind w:firstLine="284"/>
        <w:rPr>
          <w:rFonts w:ascii="Garamond" w:hAnsi="Garamond"/>
          <w:sz w:val="24"/>
          <w:szCs w:val="24"/>
        </w:rPr>
      </w:pPr>
      <w:r w:rsidRPr="007114AF">
        <w:rPr>
          <w:rFonts w:ascii="Garamond" w:hAnsi="Garamond"/>
          <w:sz w:val="24"/>
          <w:szCs w:val="24"/>
        </w:rPr>
        <w:t xml:space="preserve">Në vitin 2009 BE-ja miratoi </w:t>
      </w:r>
      <w:r w:rsidR="000A2A01" w:rsidRPr="007114AF">
        <w:rPr>
          <w:rFonts w:ascii="Garamond" w:hAnsi="Garamond"/>
          <w:sz w:val="24"/>
          <w:szCs w:val="24"/>
        </w:rPr>
        <w:t>“</w:t>
      </w:r>
      <w:r w:rsidRPr="007114AF">
        <w:rPr>
          <w:rFonts w:ascii="Garamond" w:hAnsi="Garamond"/>
          <w:sz w:val="24"/>
          <w:szCs w:val="24"/>
        </w:rPr>
        <w:t>Paketën e Klimës dhe Energjisë 2020</w:t>
      </w:r>
      <w:r w:rsidR="000A2A01" w:rsidRPr="007114AF">
        <w:rPr>
          <w:rFonts w:ascii="Garamond" w:hAnsi="Garamond"/>
          <w:sz w:val="24"/>
          <w:szCs w:val="24"/>
        </w:rPr>
        <w:t>”</w:t>
      </w:r>
      <w:r w:rsidRPr="007114AF">
        <w:rPr>
          <w:rFonts w:ascii="Garamond" w:hAnsi="Garamond"/>
          <w:sz w:val="24"/>
          <w:szCs w:val="24"/>
        </w:rPr>
        <w:t>, një grup legjislacionesh të detyrueshme që garantojnë deri në vitin 2020, arritjen e objektivave të klimës dhe energjisë prej 20% reduktim në shkarkimet e gazeve serrë nga nivelet e vitit 1990, 20% të energjisë së BE-së nga burimet e rinovueshme, si dhe 20% përmirësim të eficiencës së energjisë.</w:t>
      </w:r>
    </w:p>
    <w:p w14:paraId="6EDCF43F" w14:textId="5BE8F86A" w:rsidR="00E20D71" w:rsidRPr="007114AF" w:rsidRDefault="00E20D71" w:rsidP="00E20D71">
      <w:pPr>
        <w:spacing w:after="0" w:line="240" w:lineRule="auto"/>
        <w:ind w:firstLine="284"/>
        <w:rPr>
          <w:rFonts w:ascii="Garamond" w:hAnsi="Garamond"/>
          <w:sz w:val="24"/>
          <w:szCs w:val="24"/>
        </w:rPr>
      </w:pPr>
      <w:r w:rsidRPr="007114AF">
        <w:rPr>
          <w:rFonts w:ascii="Garamond" w:hAnsi="Garamond"/>
          <w:sz w:val="24"/>
          <w:szCs w:val="24"/>
        </w:rPr>
        <w:t>Politika kryesore për përmbushjen e objektivave të reduktimit të shkarkimeve në BE, përfaqësohet nga Skema Evropiane për Tregtinë e Shkarkimeve (S</w:t>
      </w:r>
      <w:r w:rsidR="00FA3C19">
        <w:rPr>
          <w:rFonts w:ascii="Garamond" w:hAnsi="Garamond"/>
          <w:sz w:val="24"/>
          <w:szCs w:val="24"/>
        </w:rPr>
        <w:t>ETSH</w:t>
      </w:r>
      <w:r w:rsidRPr="007114AF">
        <w:rPr>
          <w:rFonts w:ascii="Garamond" w:hAnsi="Garamond"/>
          <w:sz w:val="24"/>
          <w:szCs w:val="24"/>
        </w:rPr>
        <w:t>) për tregtinë e lejeve të shkarkimeve të gazeve serrë në Komunitetin Evropian</w:t>
      </w:r>
      <w:r w:rsidRPr="007114AF">
        <w:rPr>
          <w:rFonts w:ascii="Garamond" w:hAnsi="Garamond"/>
          <w:sz w:val="24"/>
          <w:szCs w:val="24"/>
        </w:rPr>
        <w:footnoteReference w:id="13"/>
      </w:r>
      <w:r w:rsidRPr="007114AF">
        <w:rPr>
          <w:rFonts w:ascii="Garamond" w:hAnsi="Garamond"/>
          <w:sz w:val="24"/>
          <w:szCs w:val="24"/>
        </w:rPr>
        <w:t>, vendosur me Direktivën 2003/87/EC të</w:t>
      </w:r>
      <w:r w:rsidR="00F0008E" w:rsidRPr="007114AF">
        <w:rPr>
          <w:rFonts w:ascii="Garamond" w:hAnsi="Garamond"/>
          <w:sz w:val="24"/>
          <w:szCs w:val="24"/>
        </w:rPr>
        <w:t xml:space="preserve"> </w:t>
      </w:r>
      <w:r w:rsidRPr="007114AF">
        <w:rPr>
          <w:rFonts w:ascii="Garamond" w:hAnsi="Garamond"/>
          <w:sz w:val="24"/>
          <w:szCs w:val="24"/>
        </w:rPr>
        <w:t>Parlamentit Evropian</w:t>
      </w:r>
      <w:r w:rsidR="00F0008E" w:rsidRPr="007114AF">
        <w:rPr>
          <w:rFonts w:ascii="Garamond" w:hAnsi="Garamond"/>
          <w:sz w:val="24"/>
          <w:szCs w:val="24"/>
        </w:rPr>
        <w:t xml:space="preserve"> </w:t>
      </w:r>
      <w:r w:rsidRPr="007114AF">
        <w:rPr>
          <w:rFonts w:ascii="Garamond" w:hAnsi="Garamond"/>
          <w:sz w:val="24"/>
          <w:szCs w:val="24"/>
        </w:rPr>
        <w:t xml:space="preserve">dhe Këshillit. </w:t>
      </w:r>
      <w:r w:rsidR="00FA3C19" w:rsidRPr="007114AF">
        <w:rPr>
          <w:rFonts w:ascii="Garamond" w:hAnsi="Garamond"/>
          <w:sz w:val="24"/>
          <w:szCs w:val="24"/>
        </w:rPr>
        <w:t>S</w:t>
      </w:r>
      <w:r w:rsidR="00FA3C19">
        <w:rPr>
          <w:rFonts w:ascii="Garamond" w:hAnsi="Garamond"/>
          <w:sz w:val="24"/>
          <w:szCs w:val="24"/>
        </w:rPr>
        <w:t>ETSH</w:t>
      </w:r>
      <w:r w:rsidRPr="007114AF">
        <w:rPr>
          <w:rFonts w:ascii="Garamond" w:hAnsi="Garamond"/>
          <w:sz w:val="24"/>
          <w:szCs w:val="24"/>
        </w:rPr>
        <w:t>-i</w:t>
      </w:r>
      <w:r w:rsidR="00F0008E" w:rsidRPr="007114AF">
        <w:rPr>
          <w:rFonts w:ascii="Garamond" w:hAnsi="Garamond"/>
          <w:sz w:val="24"/>
          <w:szCs w:val="24"/>
        </w:rPr>
        <w:t xml:space="preserve"> </w:t>
      </w:r>
      <w:r w:rsidRPr="007114AF">
        <w:rPr>
          <w:rFonts w:ascii="Garamond" w:hAnsi="Garamond"/>
          <w:sz w:val="24"/>
          <w:szCs w:val="24"/>
        </w:rPr>
        <w:t xml:space="preserve">mbulon kryesisht sektorin e energjisë dhe industrinë, duke mbuluar 45% të shkarkimeve të BE-së; megjithatë Shtetet Anëtarë kanë mundësi </w:t>
      </w:r>
      <w:r w:rsidRPr="007114AF">
        <w:rPr>
          <w:rFonts w:ascii="Garamond" w:hAnsi="Garamond"/>
          <w:sz w:val="24"/>
          <w:szCs w:val="24"/>
        </w:rPr>
        <w:lastRenderedPageBreak/>
        <w:t>të mbajnë ose vendosin skema kombëtare tregtimi, që mbulojnë sektorë të tjerë ekonomikë, të përjashtuar përkohësisht nga skema e Komunitetit.</w:t>
      </w:r>
    </w:p>
    <w:p w14:paraId="6EDCF440" w14:textId="7A7FF0A7" w:rsidR="00E20D71" w:rsidRPr="007114AF" w:rsidRDefault="00E20D71" w:rsidP="00E20D71">
      <w:pPr>
        <w:spacing w:after="0" w:line="240" w:lineRule="auto"/>
        <w:ind w:firstLine="284"/>
        <w:rPr>
          <w:rFonts w:ascii="Garamond" w:hAnsi="Garamond"/>
          <w:sz w:val="24"/>
          <w:szCs w:val="24"/>
        </w:rPr>
      </w:pPr>
      <w:r w:rsidRPr="007114AF">
        <w:rPr>
          <w:rFonts w:ascii="Garamond" w:hAnsi="Garamond"/>
          <w:sz w:val="24"/>
          <w:szCs w:val="24"/>
        </w:rPr>
        <w:t>S</w:t>
      </w:r>
      <w:r w:rsidR="00FA3C19">
        <w:rPr>
          <w:rFonts w:ascii="Garamond" w:hAnsi="Garamond"/>
          <w:sz w:val="24"/>
          <w:szCs w:val="24"/>
        </w:rPr>
        <w:t>ETSH</w:t>
      </w:r>
      <w:r w:rsidRPr="007114AF">
        <w:rPr>
          <w:rFonts w:ascii="Garamond" w:hAnsi="Garamond"/>
          <w:sz w:val="24"/>
          <w:szCs w:val="24"/>
        </w:rPr>
        <w:t>-i</w:t>
      </w:r>
      <w:r w:rsidR="00F0008E" w:rsidRPr="007114AF">
        <w:rPr>
          <w:rFonts w:ascii="Garamond" w:hAnsi="Garamond"/>
          <w:sz w:val="24"/>
          <w:szCs w:val="24"/>
        </w:rPr>
        <w:t xml:space="preserve"> </w:t>
      </w:r>
      <w:r w:rsidRPr="007114AF">
        <w:rPr>
          <w:rFonts w:ascii="Garamond" w:hAnsi="Garamond"/>
          <w:sz w:val="24"/>
          <w:szCs w:val="24"/>
        </w:rPr>
        <w:t>mbetet ende mjeti kryesor për reduktimet e shkarkimeve deri në vitin 2020, me një rishikim të madh të miratuar në vitin 2009,me qëllim forcimin e sistemit, duke hyrë në fazën e tij të tretë me rregulla më të harmonizuara në periudhën nga viti 2013 deri në vitin 2020. S</w:t>
      </w:r>
      <w:r w:rsidR="00FA3C19">
        <w:rPr>
          <w:rFonts w:ascii="Garamond" w:hAnsi="Garamond"/>
          <w:sz w:val="24"/>
          <w:szCs w:val="24"/>
        </w:rPr>
        <w:t>ETSH</w:t>
      </w:r>
      <w:r w:rsidRPr="007114AF">
        <w:rPr>
          <w:rFonts w:ascii="Garamond" w:hAnsi="Garamond"/>
          <w:sz w:val="24"/>
          <w:szCs w:val="24"/>
        </w:rPr>
        <w:t>-i</w:t>
      </w:r>
      <w:r w:rsidR="00F0008E" w:rsidRPr="007114AF">
        <w:rPr>
          <w:rFonts w:ascii="Garamond" w:hAnsi="Garamond"/>
          <w:sz w:val="24"/>
          <w:szCs w:val="24"/>
        </w:rPr>
        <w:t xml:space="preserve"> </w:t>
      </w:r>
      <w:r w:rsidRPr="007114AF">
        <w:rPr>
          <w:rFonts w:ascii="Garamond" w:hAnsi="Garamond"/>
          <w:sz w:val="24"/>
          <w:szCs w:val="24"/>
        </w:rPr>
        <w:t>mbulon më shumë se 11,000 instalime të rënda, që përdorin energji</w:t>
      </w:r>
      <w:r w:rsidR="000A2A01" w:rsidRPr="007114AF">
        <w:rPr>
          <w:rFonts w:ascii="Garamond" w:hAnsi="Garamond"/>
          <w:sz w:val="24"/>
          <w:szCs w:val="24"/>
        </w:rPr>
        <w:t xml:space="preserve"> </w:t>
      </w:r>
      <w:r w:rsidRPr="007114AF">
        <w:rPr>
          <w:rFonts w:ascii="Garamond" w:hAnsi="Garamond"/>
          <w:sz w:val="24"/>
          <w:szCs w:val="24"/>
        </w:rPr>
        <w:t>në gjenerimin e energjisë dhe industrinë prodhuese, si dhe operatorët e avionëve që kryejnë aktivitete aviacioni në BE dhe në shtetet EFTA-s.</w:t>
      </w:r>
    </w:p>
    <w:p w14:paraId="6EDCF441" w14:textId="3C024626" w:rsidR="00E20D71" w:rsidRPr="007114AF" w:rsidRDefault="00E20D71" w:rsidP="00E20D71">
      <w:pPr>
        <w:spacing w:after="0" w:line="240" w:lineRule="auto"/>
        <w:ind w:firstLine="284"/>
        <w:rPr>
          <w:rFonts w:ascii="Garamond" w:hAnsi="Garamond"/>
          <w:sz w:val="24"/>
          <w:szCs w:val="24"/>
        </w:rPr>
      </w:pPr>
      <w:r w:rsidRPr="007114AF">
        <w:rPr>
          <w:rFonts w:ascii="Garamond" w:hAnsi="Garamond"/>
          <w:sz w:val="24"/>
          <w:szCs w:val="24"/>
        </w:rPr>
        <w:t>Sektorët që nuk përfshihen në S</w:t>
      </w:r>
      <w:r w:rsidR="00FA3C19">
        <w:rPr>
          <w:rFonts w:ascii="Garamond" w:hAnsi="Garamond"/>
          <w:sz w:val="24"/>
          <w:szCs w:val="24"/>
        </w:rPr>
        <w:t>ETSH</w:t>
      </w:r>
      <w:r w:rsidRPr="007114AF">
        <w:rPr>
          <w:rFonts w:ascii="Garamond" w:hAnsi="Garamond"/>
          <w:sz w:val="24"/>
          <w:szCs w:val="24"/>
        </w:rPr>
        <w:t xml:space="preserve">, si transporti (përveç aviacionit dhe transportit ndërkombëtar detar), ndërtesat, bujqësia dhe mbetjet, mbulohen nga </w:t>
      </w:r>
      <w:r w:rsidR="008F3F1D" w:rsidRPr="007114AF">
        <w:rPr>
          <w:rFonts w:ascii="Garamond" w:hAnsi="Garamond"/>
          <w:sz w:val="24"/>
          <w:szCs w:val="24"/>
        </w:rPr>
        <w:t>vendimi për përpjekje të përbashkëta</w:t>
      </w:r>
      <w:r w:rsidRPr="007114AF">
        <w:rPr>
          <w:rFonts w:ascii="Garamond" w:hAnsi="Garamond"/>
          <w:sz w:val="24"/>
          <w:szCs w:val="24"/>
        </w:rPr>
        <w:t xml:space="preserve"> (</w:t>
      </w:r>
      <w:r w:rsidR="008F3F1D" w:rsidRPr="007114AF">
        <w:rPr>
          <w:rFonts w:ascii="Garamond" w:hAnsi="Garamond"/>
          <w:sz w:val="24"/>
          <w:szCs w:val="24"/>
        </w:rPr>
        <w:t>vendimi</w:t>
      </w:r>
      <w:r w:rsidR="00242009" w:rsidRPr="007114AF">
        <w:rPr>
          <w:rFonts w:ascii="Garamond" w:hAnsi="Garamond"/>
          <w:sz w:val="24"/>
          <w:szCs w:val="24"/>
        </w:rPr>
        <w:t xml:space="preserve"> nr. </w:t>
      </w:r>
      <w:r w:rsidRPr="007114AF">
        <w:rPr>
          <w:rFonts w:ascii="Garamond" w:hAnsi="Garamond"/>
          <w:sz w:val="24"/>
          <w:szCs w:val="24"/>
        </w:rPr>
        <w:t>406/2009/EC i Parlamentit</w:t>
      </w:r>
      <w:r w:rsidR="008F3F1D" w:rsidRPr="007114AF">
        <w:rPr>
          <w:rFonts w:ascii="Garamond" w:hAnsi="Garamond"/>
          <w:sz w:val="24"/>
          <w:szCs w:val="24"/>
        </w:rPr>
        <w:t xml:space="preserve"> </w:t>
      </w:r>
      <w:r w:rsidRPr="007114AF">
        <w:rPr>
          <w:rFonts w:ascii="Garamond" w:hAnsi="Garamond"/>
          <w:sz w:val="24"/>
          <w:szCs w:val="24"/>
        </w:rPr>
        <w:t>Evropian</w:t>
      </w:r>
      <w:r w:rsidR="008F3F1D" w:rsidRPr="007114AF">
        <w:rPr>
          <w:rFonts w:ascii="Garamond" w:hAnsi="Garamond"/>
          <w:sz w:val="24"/>
          <w:szCs w:val="24"/>
        </w:rPr>
        <w:t xml:space="preserve"> </w:t>
      </w:r>
      <w:r w:rsidRPr="007114AF">
        <w:rPr>
          <w:rFonts w:ascii="Garamond" w:hAnsi="Garamond"/>
          <w:sz w:val="24"/>
          <w:szCs w:val="24"/>
        </w:rPr>
        <w:t xml:space="preserve">dhe Këshillit i datës 23 prill 2009). Vendimi për </w:t>
      </w:r>
      <w:r w:rsidR="008F3F1D" w:rsidRPr="007114AF">
        <w:rPr>
          <w:rFonts w:ascii="Garamond" w:hAnsi="Garamond"/>
          <w:sz w:val="24"/>
          <w:szCs w:val="24"/>
        </w:rPr>
        <w:t xml:space="preserve">përpjekje të përbashkëta </w:t>
      </w:r>
      <w:r w:rsidRPr="007114AF">
        <w:rPr>
          <w:rFonts w:ascii="Garamond" w:hAnsi="Garamond"/>
          <w:sz w:val="24"/>
          <w:szCs w:val="24"/>
        </w:rPr>
        <w:t>(VPB) vendos objektiva kombëtar</w:t>
      </w:r>
      <w:r w:rsidR="00A67A6F">
        <w:rPr>
          <w:rFonts w:ascii="Garamond" w:hAnsi="Garamond"/>
          <w:sz w:val="24"/>
          <w:szCs w:val="24"/>
        </w:rPr>
        <w:t>ë</w:t>
      </w:r>
      <w:r w:rsidRPr="007114AF">
        <w:rPr>
          <w:rFonts w:ascii="Garamond" w:hAnsi="Garamond"/>
          <w:sz w:val="24"/>
          <w:szCs w:val="24"/>
        </w:rPr>
        <w:t xml:space="preserve"> për shkarkimet për </w:t>
      </w:r>
      <w:r w:rsidR="007B519E" w:rsidRPr="007114AF">
        <w:rPr>
          <w:rFonts w:ascii="Garamond" w:hAnsi="Garamond"/>
          <w:sz w:val="24"/>
          <w:szCs w:val="24"/>
        </w:rPr>
        <w:t>shtetet anëtare</w:t>
      </w:r>
      <w:r w:rsidRPr="007114AF">
        <w:rPr>
          <w:rFonts w:ascii="Garamond" w:hAnsi="Garamond"/>
          <w:sz w:val="24"/>
          <w:szCs w:val="24"/>
        </w:rPr>
        <w:t>, për periudhën 2013</w:t>
      </w:r>
      <w:r w:rsidR="008F3F1D" w:rsidRPr="007114AF">
        <w:rPr>
          <w:rFonts w:ascii="Garamond" w:hAnsi="Garamond"/>
          <w:sz w:val="24"/>
          <w:szCs w:val="24"/>
        </w:rPr>
        <w:t>–</w:t>
      </w:r>
      <w:r w:rsidRPr="007114AF">
        <w:rPr>
          <w:rFonts w:ascii="Garamond" w:hAnsi="Garamond"/>
          <w:sz w:val="24"/>
          <w:szCs w:val="24"/>
        </w:rPr>
        <w:t xml:space="preserve">2020, të shprehura si ndryshime në përqindje nga nivelet e vitit 2005. </w:t>
      </w:r>
    </w:p>
    <w:p w14:paraId="6EDCF442" w14:textId="5840B6CE" w:rsidR="00E20D71" w:rsidRPr="007114AF" w:rsidRDefault="00E20D71" w:rsidP="00E20D71">
      <w:pPr>
        <w:spacing w:after="0" w:line="240" w:lineRule="auto"/>
        <w:ind w:firstLine="284"/>
        <w:rPr>
          <w:rFonts w:ascii="Garamond" w:hAnsi="Garamond"/>
          <w:sz w:val="24"/>
          <w:szCs w:val="24"/>
        </w:rPr>
      </w:pPr>
      <w:r w:rsidRPr="007114AF">
        <w:rPr>
          <w:rFonts w:ascii="Garamond" w:hAnsi="Garamond"/>
          <w:sz w:val="24"/>
          <w:szCs w:val="24"/>
        </w:rPr>
        <w:t>Për periudhën 2013</w:t>
      </w:r>
      <w:r w:rsidR="008F3F1D" w:rsidRPr="007114AF">
        <w:rPr>
          <w:rFonts w:ascii="Garamond" w:hAnsi="Garamond"/>
          <w:sz w:val="24"/>
          <w:szCs w:val="24"/>
        </w:rPr>
        <w:t>–</w:t>
      </w:r>
      <w:r w:rsidRPr="007114AF">
        <w:rPr>
          <w:rFonts w:ascii="Garamond" w:hAnsi="Garamond"/>
          <w:sz w:val="24"/>
          <w:szCs w:val="24"/>
        </w:rPr>
        <w:t xml:space="preserve">2020 të Protokollit të Kiotos, vendet e BE-së (28 </w:t>
      </w:r>
      <w:r w:rsidR="00F0008E" w:rsidRPr="007114AF">
        <w:rPr>
          <w:rFonts w:ascii="Garamond" w:hAnsi="Garamond"/>
          <w:sz w:val="24"/>
          <w:szCs w:val="24"/>
        </w:rPr>
        <w:t xml:space="preserve">shtetet anëtare </w:t>
      </w:r>
      <w:r w:rsidRPr="007114AF">
        <w:rPr>
          <w:rFonts w:ascii="Garamond" w:hAnsi="Garamond"/>
          <w:sz w:val="24"/>
          <w:szCs w:val="24"/>
        </w:rPr>
        <w:t>së bashku me Islandën) kanë rënë dakord të arrijnë së bashku një objektiv reduktimi prej 20% krahasuar me vitin 1990, në përputhje me objektivin e vetë BE-së prej 20% deri në vitin 2020, gjerësisht në përputhje me angazhime të tjera në çdo sektor të ekonomisë. Në veçanti, BE-ja është përgjegjëse për shkarkimet në sektorët e mbuluar nga S</w:t>
      </w:r>
      <w:r w:rsidR="00FA3C19">
        <w:rPr>
          <w:rFonts w:ascii="Garamond" w:hAnsi="Garamond"/>
          <w:sz w:val="24"/>
          <w:szCs w:val="24"/>
        </w:rPr>
        <w:t>ETSH</w:t>
      </w:r>
      <w:r w:rsidRPr="007114AF">
        <w:rPr>
          <w:rFonts w:ascii="Garamond" w:hAnsi="Garamond"/>
          <w:sz w:val="24"/>
          <w:szCs w:val="24"/>
        </w:rPr>
        <w:t>-i, dhe çdo vend është përgjegjës për shkarkimet e veta kombëtare në sektorët jashtë S</w:t>
      </w:r>
      <w:r w:rsidR="00FA3C19">
        <w:rPr>
          <w:rFonts w:ascii="Garamond" w:hAnsi="Garamond"/>
          <w:sz w:val="24"/>
          <w:szCs w:val="24"/>
        </w:rPr>
        <w:t>ETSH</w:t>
      </w:r>
      <w:r w:rsidRPr="007114AF">
        <w:rPr>
          <w:rFonts w:ascii="Garamond" w:hAnsi="Garamond"/>
          <w:sz w:val="24"/>
          <w:szCs w:val="24"/>
        </w:rPr>
        <w:t xml:space="preserve">-it. </w:t>
      </w:r>
    </w:p>
    <w:p w14:paraId="6EDCF443" w14:textId="4533F5D3" w:rsidR="00E20D71" w:rsidRPr="007114AF" w:rsidRDefault="00E20D71" w:rsidP="00E20D71">
      <w:pPr>
        <w:spacing w:after="0" w:line="240" w:lineRule="auto"/>
        <w:ind w:firstLine="284"/>
        <w:rPr>
          <w:rFonts w:ascii="Garamond" w:hAnsi="Garamond"/>
          <w:sz w:val="24"/>
          <w:szCs w:val="24"/>
        </w:rPr>
      </w:pPr>
      <w:r w:rsidRPr="007114AF">
        <w:rPr>
          <w:rFonts w:ascii="Garamond" w:hAnsi="Garamond"/>
          <w:sz w:val="24"/>
          <w:szCs w:val="24"/>
        </w:rPr>
        <w:t>Sipas analizave të Agjencisë Evropiane të Mjedisit, të parashikimeve të vetë Shteteve Anëtare; BE-ja ka gjasa t</w:t>
      </w:r>
      <w:r w:rsidR="00D10DAB" w:rsidRPr="007114AF">
        <w:rPr>
          <w:rFonts w:ascii="Garamond" w:hAnsi="Garamond"/>
          <w:sz w:val="24"/>
          <w:szCs w:val="24"/>
        </w:rPr>
        <w:t>’</w:t>
      </w:r>
      <w:r w:rsidRPr="007114AF">
        <w:rPr>
          <w:rFonts w:ascii="Garamond" w:hAnsi="Garamond"/>
          <w:sz w:val="24"/>
          <w:szCs w:val="24"/>
        </w:rPr>
        <w:t>i reduktojë shkarkimet e gazeve serrë, me të paktën 21% të niveleve të vitit 1990 deri në vitin 2020, duke e kaluar objektivin prej 20%. (EEA, 2014)</w:t>
      </w:r>
      <w:r w:rsidRPr="007114AF">
        <w:rPr>
          <w:rFonts w:ascii="Garamond" w:hAnsi="Garamond"/>
          <w:sz w:val="24"/>
          <w:szCs w:val="24"/>
          <w:vertAlign w:val="superscript"/>
        </w:rPr>
        <w:footnoteReference w:id="14"/>
      </w:r>
    </w:p>
    <w:p w14:paraId="6EDCF444" w14:textId="187A970C" w:rsidR="00E20D71" w:rsidRPr="007114AF" w:rsidRDefault="001259F3" w:rsidP="00E20D71">
      <w:pPr>
        <w:spacing w:after="0" w:line="240" w:lineRule="auto"/>
        <w:ind w:firstLine="284"/>
        <w:rPr>
          <w:rFonts w:ascii="Garamond" w:hAnsi="Garamond"/>
          <w:b/>
          <w:sz w:val="24"/>
          <w:szCs w:val="24"/>
        </w:rPr>
      </w:pPr>
      <w:r w:rsidRPr="007114AF">
        <w:rPr>
          <w:rFonts w:ascii="Garamond" w:hAnsi="Garamond"/>
          <w:b/>
          <w:sz w:val="24"/>
          <w:szCs w:val="24"/>
        </w:rPr>
        <w:t xml:space="preserve"> </w:t>
      </w:r>
      <w:r w:rsidR="000A2A01" w:rsidRPr="007114AF">
        <w:rPr>
          <w:rFonts w:ascii="Garamond" w:hAnsi="Garamond"/>
          <w:b/>
          <w:sz w:val="24"/>
          <w:szCs w:val="24"/>
        </w:rPr>
        <w:t>“</w:t>
      </w:r>
      <w:r w:rsidR="00E20D71" w:rsidRPr="007114AF">
        <w:rPr>
          <w:rFonts w:ascii="Garamond" w:hAnsi="Garamond"/>
          <w:b/>
          <w:sz w:val="24"/>
          <w:szCs w:val="24"/>
        </w:rPr>
        <w:t xml:space="preserve">Kuadri </w:t>
      </w:r>
      <w:r w:rsidR="008F3F1D" w:rsidRPr="007114AF">
        <w:rPr>
          <w:rFonts w:ascii="Garamond" w:hAnsi="Garamond"/>
          <w:b/>
          <w:sz w:val="24"/>
          <w:szCs w:val="24"/>
        </w:rPr>
        <w:t xml:space="preserve">ligjor për klimën dhe energjinë </w:t>
      </w:r>
      <w:r w:rsidR="00E20D71" w:rsidRPr="007114AF">
        <w:rPr>
          <w:rFonts w:ascii="Garamond" w:hAnsi="Garamond"/>
          <w:b/>
          <w:sz w:val="24"/>
          <w:szCs w:val="24"/>
        </w:rPr>
        <w:t>2030</w:t>
      </w:r>
      <w:r w:rsidR="000A2A01" w:rsidRPr="007114AF">
        <w:rPr>
          <w:rFonts w:ascii="Garamond" w:hAnsi="Garamond"/>
          <w:b/>
          <w:sz w:val="24"/>
          <w:szCs w:val="24"/>
        </w:rPr>
        <w:t>”</w:t>
      </w:r>
    </w:p>
    <w:p w14:paraId="6EDCF445" w14:textId="0E5C407B" w:rsidR="00E20D71" w:rsidRPr="007114AF" w:rsidRDefault="00E20D71" w:rsidP="00E20D71">
      <w:pPr>
        <w:spacing w:after="0" w:line="240" w:lineRule="auto"/>
        <w:ind w:firstLine="284"/>
        <w:rPr>
          <w:rFonts w:ascii="Garamond" w:hAnsi="Garamond"/>
          <w:sz w:val="24"/>
          <w:szCs w:val="24"/>
        </w:rPr>
      </w:pPr>
      <w:r w:rsidRPr="007114AF">
        <w:rPr>
          <w:rFonts w:ascii="Garamond" w:hAnsi="Garamond"/>
          <w:sz w:val="24"/>
          <w:szCs w:val="24"/>
        </w:rPr>
        <w:t>Më 23 tetor 2014, Këshilli Evropian</w:t>
      </w:r>
      <w:r w:rsidR="008F3F1D" w:rsidRPr="007114AF">
        <w:rPr>
          <w:rFonts w:ascii="Garamond" w:hAnsi="Garamond"/>
          <w:sz w:val="24"/>
          <w:szCs w:val="24"/>
        </w:rPr>
        <w:t xml:space="preserve"> </w:t>
      </w:r>
      <w:r w:rsidRPr="007114AF">
        <w:rPr>
          <w:rFonts w:ascii="Garamond" w:hAnsi="Garamond"/>
          <w:sz w:val="24"/>
          <w:szCs w:val="24"/>
        </w:rPr>
        <w:t xml:space="preserve">miratoi </w:t>
      </w:r>
      <w:r w:rsidR="000A2A01" w:rsidRPr="007114AF">
        <w:rPr>
          <w:rFonts w:ascii="Garamond" w:hAnsi="Garamond"/>
          <w:sz w:val="24"/>
          <w:szCs w:val="24"/>
        </w:rPr>
        <w:t>“</w:t>
      </w:r>
      <w:r w:rsidRPr="007114AF">
        <w:rPr>
          <w:rFonts w:ascii="Garamond" w:hAnsi="Garamond"/>
          <w:sz w:val="24"/>
          <w:szCs w:val="24"/>
        </w:rPr>
        <w:t xml:space="preserve">Kuadrin </w:t>
      </w:r>
      <w:r w:rsidR="008F3F1D" w:rsidRPr="007114AF">
        <w:rPr>
          <w:rFonts w:ascii="Garamond" w:hAnsi="Garamond"/>
          <w:sz w:val="24"/>
          <w:szCs w:val="24"/>
        </w:rPr>
        <w:t xml:space="preserve">ligjor për klimën dhe energjinë </w:t>
      </w:r>
      <w:r w:rsidRPr="007114AF">
        <w:rPr>
          <w:rFonts w:ascii="Garamond" w:hAnsi="Garamond"/>
          <w:sz w:val="24"/>
          <w:szCs w:val="24"/>
        </w:rPr>
        <w:t>2030</w:t>
      </w:r>
      <w:r w:rsidR="000A2A01" w:rsidRPr="007114AF">
        <w:rPr>
          <w:rFonts w:ascii="Garamond" w:hAnsi="Garamond"/>
          <w:sz w:val="24"/>
          <w:szCs w:val="24"/>
        </w:rPr>
        <w:t>”</w:t>
      </w:r>
      <w:r w:rsidRPr="007114AF">
        <w:rPr>
          <w:rFonts w:ascii="Garamond" w:hAnsi="Garamond"/>
          <w:sz w:val="24"/>
          <w:szCs w:val="24"/>
        </w:rPr>
        <w:t xml:space="preserve"> për përudhën 2020</w:t>
      </w:r>
      <w:r w:rsidR="00F0008E" w:rsidRPr="007114AF">
        <w:rPr>
          <w:rFonts w:ascii="Garamond" w:hAnsi="Garamond"/>
          <w:sz w:val="24"/>
          <w:szCs w:val="24"/>
        </w:rPr>
        <w:t>–</w:t>
      </w:r>
      <w:r w:rsidRPr="007114AF">
        <w:rPr>
          <w:rFonts w:ascii="Garamond" w:hAnsi="Garamond"/>
          <w:sz w:val="24"/>
          <w:szCs w:val="24"/>
        </w:rPr>
        <w:t>2030, që synon ta bëjë ekonominë dhe sistemin e energjisë në BE më konkurruese, më të qëndrueshme dhe me të sigurt, në udhën drejt ekonomisë me karbon të ulët, në përputhje me perspektivën afatgjatë të përcaktuar në planin për kalimin në një ekonomi konkurruese me karbon të ulët në vitin 2050</w:t>
      </w:r>
      <w:r w:rsidR="00F0008E" w:rsidRPr="007114AF">
        <w:rPr>
          <w:rFonts w:ascii="Garamond" w:hAnsi="Garamond"/>
          <w:sz w:val="24"/>
          <w:szCs w:val="24"/>
        </w:rPr>
        <w:t xml:space="preserve"> –</w:t>
      </w:r>
      <w:r w:rsidRPr="007114AF">
        <w:rPr>
          <w:rFonts w:ascii="Garamond" w:hAnsi="Garamond"/>
          <w:sz w:val="24"/>
          <w:szCs w:val="24"/>
        </w:rPr>
        <w:t xml:space="preserve"> Planin e Energjisë 2050</w:t>
      </w:r>
      <w:r w:rsidR="00F0008E" w:rsidRPr="007114AF">
        <w:rPr>
          <w:rFonts w:ascii="Garamond" w:hAnsi="Garamond"/>
          <w:sz w:val="24"/>
          <w:szCs w:val="24"/>
        </w:rPr>
        <w:t xml:space="preserve"> </w:t>
      </w:r>
      <w:r w:rsidRPr="007114AF">
        <w:rPr>
          <w:rFonts w:ascii="Garamond" w:hAnsi="Garamond"/>
          <w:sz w:val="24"/>
          <w:szCs w:val="24"/>
        </w:rPr>
        <w:t>dhe Dokumentin e Bardhë të Transportit. Kuadri ligjor për klimën dhe energjinë 2030 përcakton objektivin e reduktimit 40% nën nivelet e vitit 1990 deri në vitin 2030, të refuzuar në objektivat e mëposht</w:t>
      </w:r>
      <w:r w:rsidR="00A67A6F">
        <w:rPr>
          <w:rFonts w:ascii="Garamond" w:hAnsi="Garamond"/>
          <w:sz w:val="24"/>
          <w:szCs w:val="24"/>
        </w:rPr>
        <w:t>ë</w:t>
      </w:r>
      <w:r w:rsidRPr="007114AF">
        <w:rPr>
          <w:rFonts w:ascii="Garamond" w:hAnsi="Garamond"/>
          <w:sz w:val="24"/>
          <w:szCs w:val="24"/>
        </w:rPr>
        <w:t>m specifik</w:t>
      </w:r>
      <w:r w:rsidR="00A67A6F">
        <w:rPr>
          <w:rFonts w:ascii="Garamond" w:hAnsi="Garamond"/>
          <w:sz w:val="24"/>
          <w:szCs w:val="24"/>
        </w:rPr>
        <w:t>ë</w:t>
      </w:r>
      <w:r w:rsidRPr="007114AF">
        <w:rPr>
          <w:rFonts w:ascii="Garamond" w:hAnsi="Garamond"/>
          <w:sz w:val="24"/>
          <w:szCs w:val="24"/>
        </w:rPr>
        <w:t>:</w:t>
      </w:r>
    </w:p>
    <w:p w14:paraId="6EDCF446" w14:textId="5306D6B3" w:rsidR="00E20D71" w:rsidRPr="007114AF" w:rsidRDefault="00164B6B" w:rsidP="00E20D71">
      <w:pPr>
        <w:spacing w:after="0" w:line="240" w:lineRule="auto"/>
        <w:ind w:firstLine="284"/>
        <w:rPr>
          <w:rFonts w:ascii="Garamond" w:hAnsi="Garamond"/>
          <w:sz w:val="24"/>
          <w:szCs w:val="24"/>
        </w:rPr>
      </w:pPr>
      <w:r w:rsidRPr="007114AF">
        <w:rPr>
          <w:rFonts w:ascii="Garamond" w:hAnsi="Garamond"/>
          <w:sz w:val="24"/>
          <w:szCs w:val="24"/>
        </w:rPr>
        <w:t xml:space="preserve">- </w:t>
      </w:r>
      <w:r w:rsidR="00E20D71" w:rsidRPr="007114AF">
        <w:rPr>
          <w:rFonts w:ascii="Garamond" w:hAnsi="Garamond"/>
          <w:sz w:val="24"/>
          <w:szCs w:val="24"/>
        </w:rPr>
        <w:t xml:space="preserve">reduktimi prej 30% krahasuar me vitin 2005, për sektorët e përfshirë në </w:t>
      </w:r>
      <w:r w:rsidR="00FA3C19" w:rsidRPr="007114AF">
        <w:rPr>
          <w:rFonts w:ascii="Garamond" w:hAnsi="Garamond"/>
          <w:sz w:val="24"/>
          <w:szCs w:val="24"/>
        </w:rPr>
        <w:t>S</w:t>
      </w:r>
      <w:r w:rsidR="00FA3C19">
        <w:rPr>
          <w:rFonts w:ascii="Garamond" w:hAnsi="Garamond"/>
          <w:sz w:val="24"/>
          <w:szCs w:val="24"/>
        </w:rPr>
        <w:t xml:space="preserve">ETSH </w:t>
      </w:r>
      <w:r w:rsidR="00E20D71" w:rsidRPr="007114AF">
        <w:rPr>
          <w:rFonts w:ascii="Garamond" w:hAnsi="Garamond"/>
          <w:sz w:val="24"/>
          <w:szCs w:val="24"/>
        </w:rPr>
        <w:t xml:space="preserve">(centrale më të mëdhenj se </w:t>
      </w:r>
      <w:r w:rsidR="008F3F1D" w:rsidRPr="007114AF">
        <w:rPr>
          <w:rFonts w:ascii="Garamond" w:hAnsi="Garamond"/>
          <w:sz w:val="24"/>
          <w:szCs w:val="24"/>
        </w:rPr>
        <w:t>20mw</w:t>
      </w:r>
      <w:r w:rsidR="00E20D71" w:rsidRPr="007114AF">
        <w:rPr>
          <w:rFonts w:ascii="Garamond" w:hAnsi="Garamond"/>
          <w:sz w:val="24"/>
          <w:szCs w:val="24"/>
        </w:rPr>
        <w:t>);</w:t>
      </w:r>
    </w:p>
    <w:p w14:paraId="6EDCF447" w14:textId="435EAE1B" w:rsidR="00E20D71" w:rsidRPr="007114AF" w:rsidRDefault="00164B6B" w:rsidP="00E20D71">
      <w:pPr>
        <w:spacing w:after="0" w:line="240" w:lineRule="auto"/>
        <w:ind w:firstLine="284"/>
        <w:rPr>
          <w:rFonts w:ascii="Garamond" w:hAnsi="Garamond"/>
          <w:sz w:val="24"/>
          <w:szCs w:val="24"/>
        </w:rPr>
      </w:pPr>
      <w:r w:rsidRPr="007114AF">
        <w:rPr>
          <w:rFonts w:ascii="Garamond" w:hAnsi="Garamond"/>
          <w:sz w:val="24"/>
          <w:szCs w:val="24"/>
        </w:rPr>
        <w:t xml:space="preserve">- </w:t>
      </w:r>
      <w:r w:rsidR="00E20D71" w:rsidRPr="007114AF">
        <w:rPr>
          <w:rFonts w:ascii="Garamond" w:hAnsi="Garamond"/>
          <w:sz w:val="24"/>
          <w:szCs w:val="24"/>
        </w:rPr>
        <w:t>reduktim prej 43% krahasuar me vitin 2005, për sektorë që nuk përfshihen në</w:t>
      </w:r>
      <w:r w:rsidR="00FA3C19">
        <w:rPr>
          <w:rFonts w:ascii="Garamond" w:hAnsi="Garamond"/>
          <w:sz w:val="24"/>
          <w:szCs w:val="24"/>
        </w:rPr>
        <w:t xml:space="preserve"> </w:t>
      </w:r>
      <w:r w:rsidR="00FA3C19" w:rsidRPr="007114AF">
        <w:rPr>
          <w:rFonts w:ascii="Garamond" w:hAnsi="Garamond"/>
          <w:sz w:val="24"/>
          <w:szCs w:val="24"/>
        </w:rPr>
        <w:t>S</w:t>
      </w:r>
      <w:r w:rsidR="00FA3C19">
        <w:rPr>
          <w:rFonts w:ascii="Garamond" w:hAnsi="Garamond"/>
          <w:sz w:val="24"/>
          <w:szCs w:val="24"/>
        </w:rPr>
        <w:t>ETSH</w:t>
      </w:r>
      <w:r w:rsidR="00FA3C19" w:rsidRPr="007114AF">
        <w:rPr>
          <w:rFonts w:ascii="Garamond" w:hAnsi="Garamond"/>
          <w:sz w:val="24"/>
          <w:szCs w:val="24"/>
        </w:rPr>
        <w:t xml:space="preserve"> </w:t>
      </w:r>
      <w:r w:rsidR="00E20D71" w:rsidRPr="007114AF">
        <w:rPr>
          <w:rFonts w:ascii="Garamond" w:hAnsi="Garamond"/>
          <w:sz w:val="24"/>
          <w:szCs w:val="24"/>
        </w:rPr>
        <w:t>(si transporti, bujqësia, ngrohja, mbetjet);</w:t>
      </w:r>
    </w:p>
    <w:p w14:paraId="6EDCF448" w14:textId="77777777" w:rsidR="00E20D71" w:rsidRPr="007114AF" w:rsidRDefault="00164B6B" w:rsidP="00E20D71">
      <w:pPr>
        <w:spacing w:after="0" w:line="240" w:lineRule="auto"/>
        <w:ind w:firstLine="284"/>
        <w:rPr>
          <w:rFonts w:ascii="Garamond" w:hAnsi="Garamond"/>
          <w:sz w:val="24"/>
          <w:szCs w:val="24"/>
        </w:rPr>
      </w:pPr>
      <w:r w:rsidRPr="007114AF">
        <w:rPr>
          <w:rFonts w:ascii="Garamond" w:hAnsi="Garamond"/>
          <w:sz w:val="24"/>
          <w:szCs w:val="24"/>
        </w:rPr>
        <w:t xml:space="preserve">- </w:t>
      </w:r>
      <w:r w:rsidR="00E20D71" w:rsidRPr="007114AF">
        <w:rPr>
          <w:rFonts w:ascii="Garamond" w:hAnsi="Garamond"/>
          <w:sz w:val="24"/>
          <w:szCs w:val="24"/>
        </w:rPr>
        <w:t>rritja e konsumit të energjisë së rinovueshme deri në 27% të konsumit total;</w:t>
      </w:r>
    </w:p>
    <w:p w14:paraId="6EDCF449" w14:textId="77777777" w:rsidR="00E20D71" w:rsidRPr="007114AF" w:rsidRDefault="00164B6B" w:rsidP="00E20D71">
      <w:pPr>
        <w:spacing w:after="0" w:line="240" w:lineRule="auto"/>
        <w:ind w:firstLine="284"/>
        <w:rPr>
          <w:rFonts w:ascii="Garamond" w:hAnsi="Garamond"/>
          <w:sz w:val="24"/>
          <w:szCs w:val="24"/>
        </w:rPr>
      </w:pPr>
      <w:r w:rsidRPr="007114AF">
        <w:rPr>
          <w:rFonts w:ascii="Garamond" w:hAnsi="Garamond"/>
          <w:sz w:val="24"/>
          <w:szCs w:val="24"/>
        </w:rPr>
        <w:t xml:space="preserve">- </w:t>
      </w:r>
      <w:r w:rsidR="00E20D71" w:rsidRPr="007114AF">
        <w:rPr>
          <w:rFonts w:ascii="Garamond" w:hAnsi="Garamond"/>
          <w:sz w:val="24"/>
          <w:szCs w:val="24"/>
        </w:rPr>
        <w:t>27% rritje në eficiencën e energjisë, krahasuar me parashikimet e konsumit të energjisë bazuar në kriterin aktual.</w:t>
      </w:r>
    </w:p>
    <w:p w14:paraId="6EDCF44A" w14:textId="38956473" w:rsidR="00E20D71" w:rsidRPr="007114AF" w:rsidRDefault="00E20D71" w:rsidP="00E20D71">
      <w:pPr>
        <w:spacing w:after="0" w:line="240" w:lineRule="auto"/>
        <w:ind w:firstLine="284"/>
        <w:rPr>
          <w:rFonts w:ascii="Garamond" w:hAnsi="Garamond"/>
          <w:sz w:val="24"/>
          <w:szCs w:val="24"/>
        </w:rPr>
      </w:pPr>
      <w:r w:rsidRPr="007114AF">
        <w:rPr>
          <w:rFonts w:ascii="Garamond" w:hAnsi="Garamond"/>
          <w:sz w:val="24"/>
          <w:szCs w:val="24"/>
        </w:rPr>
        <w:t>INDC-ja e BE-së</w:t>
      </w:r>
      <w:r w:rsidR="008F3F1D" w:rsidRPr="007114AF">
        <w:rPr>
          <w:rFonts w:ascii="Garamond" w:hAnsi="Garamond"/>
          <w:sz w:val="24"/>
          <w:szCs w:val="24"/>
        </w:rPr>
        <w:t xml:space="preserve"> </w:t>
      </w:r>
      <w:r w:rsidRPr="007114AF">
        <w:rPr>
          <w:rFonts w:ascii="Garamond" w:hAnsi="Garamond"/>
          <w:sz w:val="24"/>
          <w:szCs w:val="24"/>
        </w:rPr>
        <w:t>në kuadrin e procesit ADP-ës</w:t>
      </w:r>
      <w:r w:rsidR="00FA3C19">
        <w:rPr>
          <w:rFonts w:ascii="Garamond" w:hAnsi="Garamond"/>
          <w:sz w:val="24"/>
          <w:szCs w:val="24"/>
        </w:rPr>
        <w:t xml:space="preserve"> </w:t>
      </w:r>
      <w:r w:rsidRPr="007114AF">
        <w:rPr>
          <w:rFonts w:ascii="Garamond" w:hAnsi="Garamond"/>
          <w:sz w:val="24"/>
          <w:szCs w:val="24"/>
        </w:rPr>
        <w:t>për Marrëveshjen e Parisit, i përkthen objektivat e mësipërm deri në vitin 2030, duke u zotuar të arrijë të paktën 40% reduktim të brendshëm në shkarkimet GES</w:t>
      </w:r>
      <w:r w:rsidR="00FA3C19">
        <w:rPr>
          <w:rFonts w:ascii="Garamond" w:hAnsi="Garamond"/>
          <w:sz w:val="24"/>
          <w:szCs w:val="24"/>
        </w:rPr>
        <w:t xml:space="preserve"> </w:t>
      </w:r>
      <w:r w:rsidRPr="007114AF">
        <w:rPr>
          <w:rFonts w:ascii="Garamond" w:hAnsi="Garamond"/>
          <w:sz w:val="24"/>
          <w:szCs w:val="24"/>
        </w:rPr>
        <w:t>krahasuar me nivelet e vitit 1990 deri në vitin 2030</w:t>
      </w:r>
      <w:r w:rsidRPr="007114AF">
        <w:rPr>
          <w:rFonts w:ascii="Garamond" w:hAnsi="Garamond"/>
          <w:sz w:val="24"/>
          <w:szCs w:val="24"/>
          <w:vertAlign w:val="superscript"/>
        </w:rPr>
        <w:footnoteReference w:id="15"/>
      </w:r>
      <w:r w:rsidRPr="007114AF">
        <w:rPr>
          <w:rFonts w:ascii="Garamond" w:hAnsi="Garamond"/>
          <w:sz w:val="24"/>
          <w:szCs w:val="24"/>
        </w:rPr>
        <w:t xml:space="preserve">. </w:t>
      </w:r>
    </w:p>
    <w:p w14:paraId="6EDCF44B" w14:textId="77777777" w:rsidR="00E20D71" w:rsidRPr="007114AF" w:rsidRDefault="00164B6B" w:rsidP="00E20D71">
      <w:pPr>
        <w:spacing w:after="0" w:line="240" w:lineRule="auto"/>
        <w:ind w:firstLine="284"/>
        <w:rPr>
          <w:rFonts w:ascii="Garamond" w:hAnsi="Garamond"/>
          <w:sz w:val="24"/>
          <w:szCs w:val="24"/>
        </w:rPr>
      </w:pPr>
      <w:bookmarkStart w:id="19" w:name="__RefHeading___Toc444944781"/>
      <w:bookmarkStart w:id="20" w:name="_Toc450135226"/>
      <w:bookmarkStart w:id="21" w:name="_Toc450151829"/>
      <w:bookmarkStart w:id="22" w:name="_Toc484424475"/>
      <w:bookmarkEnd w:id="19"/>
      <w:r w:rsidRPr="007114AF">
        <w:rPr>
          <w:rFonts w:ascii="Garamond" w:hAnsi="Garamond"/>
          <w:sz w:val="24"/>
          <w:szCs w:val="24"/>
        </w:rPr>
        <w:t xml:space="preserve">2.3.1 </w:t>
      </w:r>
      <w:r w:rsidR="00E20D71" w:rsidRPr="007114AF">
        <w:rPr>
          <w:rFonts w:ascii="Garamond" w:hAnsi="Garamond"/>
          <w:sz w:val="24"/>
          <w:szCs w:val="24"/>
        </w:rPr>
        <w:t>Sektor</w:t>
      </w:r>
      <w:bookmarkEnd w:id="20"/>
      <w:bookmarkEnd w:id="21"/>
      <w:r w:rsidR="00E20D71" w:rsidRPr="007114AF">
        <w:rPr>
          <w:rFonts w:ascii="Garamond" w:hAnsi="Garamond"/>
          <w:sz w:val="24"/>
          <w:szCs w:val="24"/>
        </w:rPr>
        <w:t>i i tokës</w:t>
      </w:r>
      <w:bookmarkEnd w:id="22"/>
    </w:p>
    <w:p w14:paraId="6EDCF44C" w14:textId="119B3EC0" w:rsidR="00E20D71" w:rsidRPr="007114AF" w:rsidRDefault="00E20D71" w:rsidP="00E20D71">
      <w:pPr>
        <w:spacing w:after="0" w:line="240" w:lineRule="auto"/>
        <w:ind w:firstLine="284"/>
        <w:rPr>
          <w:rFonts w:ascii="Garamond" w:hAnsi="Garamond"/>
          <w:sz w:val="24"/>
          <w:szCs w:val="24"/>
        </w:rPr>
      </w:pPr>
      <w:r w:rsidRPr="007114AF">
        <w:rPr>
          <w:rFonts w:ascii="Garamond" w:hAnsi="Garamond"/>
          <w:sz w:val="24"/>
          <w:szCs w:val="24"/>
        </w:rPr>
        <w:t>Bujqësia luan një rol të rëndësishëm në kalimin me karbon të ulët të ekonomisë evropiane, teksa kërkesa globale për ushqim parashikohet të rritet, dhe atëherë pjesa bujqësisë në shkarkimet totale të BE-së do të rritet me rreth 1/3 deri në vitin 2050. Bujqësia do të duhet t</w:t>
      </w:r>
      <w:r w:rsidR="00D10DAB" w:rsidRPr="007114AF">
        <w:rPr>
          <w:rFonts w:ascii="Garamond" w:hAnsi="Garamond"/>
          <w:sz w:val="24"/>
          <w:szCs w:val="24"/>
        </w:rPr>
        <w:t>’</w:t>
      </w:r>
      <w:r w:rsidRPr="007114AF">
        <w:rPr>
          <w:rFonts w:ascii="Garamond" w:hAnsi="Garamond"/>
          <w:sz w:val="24"/>
          <w:szCs w:val="24"/>
        </w:rPr>
        <w:t xml:space="preserve">i reduktojë shkarkimet nga plehrat kimike, organike dhe bagëtia, dhe mund të kontribuojë për ruajtjen e CO2 në toka dhe pyje. </w:t>
      </w:r>
    </w:p>
    <w:p w14:paraId="6EDCF44D" w14:textId="77777777" w:rsidR="00E20D71" w:rsidRPr="007114AF" w:rsidRDefault="00E20D71" w:rsidP="00E20D71">
      <w:pPr>
        <w:spacing w:after="0" w:line="240" w:lineRule="auto"/>
        <w:ind w:firstLine="284"/>
        <w:rPr>
          <w:rFonts w:ascii="Garamond" w:hAnsi="Garamond"/>
          <w:sz w:val="24"/>
          <w:szCs w:val="24"/>
        </w:rPr>
      </w:pPr>
      <w:r w:rsidRPr="007114AF">
        <w:rPr>
          <w:rFonts w:ascii="Garamond" w:hAnsi="Garamond"/>
          <w:sz w:val="24"/>
          <w:szCs w:val="24"/>
        </w:rPr>
        <w:lastRenderedPageBreak/>
        <w:t>Në kontekstin e lëvizjes drejt një ekonomie konkurruese me karbon të ulët në vitin 2050, gjithë përdorimi i tokës duhet marrë në konsideratë në mënyrë holistike dhe LULUCF-ja duhet trajtuar në kuadrin e politikës së BE-së për klimën.</w:t>
      </w:r>
    </w:p>
    <w:p w14:paraId="6EDCF44E" w14:textId="25FEBA23" w:rsidR="00E20D71" w:rsidRPr="007114AF" w:rsidRDefault="00E20D71" w:rsidP="00E20D71">
      <w:pPr>
        <w:spacing w:after="0" w:line="240" w:lineRule="auto"/>
        <w:ind w:firstLine="284"/>
        <w:rPr>
          <w:rFonts w:ascii="Garamond" w:hAnsi="Garamond"/>
          <w:sz w:val="24"/>
          <w:szCs w:val="24"/>
        </w:rPr>
      </w:pPr>
      <w:r w:rsidRPr="007114AF">
        <w:rPr>
          <w:rFonts w:ascii="Garamond" w:hAnsi="Garamond"/>
          <w:sz w:val="24"/>
          <w:szCs w:val="24"/>
        </w:rPr>
        <w:t>Shkarkimet dhe përthithësit e gazeve serrë që rezultojnë nga sektori LULUCF-së, nuk llogariten kundrejt objektivave të BE-së për reduktimin e shkarkimeve të gazeve me 20% për vitin 2020,</w:t>
      </w:r>
      <w:r w:rsidR="00A67A6F">
        <w:rPr>
          <w:rFonts w:ascii="Garamond" w:hAnsi="Garamond"/>
          <w:sz w:val="24"/>
          <w:szCs w:val="24"/>
        </w:rPr>
        <w:t xml:space="preserve"> </w:t>
      </w:r>
      <w:r w:rsidRPr="007114AF">
        <w:rPr>
          <w:rFonts w:ascii="Garamond" w:hAnsi="Garamond"/>
          <w:sz w:val="24"/>
          <w:szCs w:val="24"/>
        </w:rPr>
        <w:t>sipas objektivave të VPB-së</w:t>
      </w:r>
      <w:r w:rsidR="00FA3C19">
        <w:rPr>
          <w:rFonts w:ascii="Garamond" w:hAnsi="Garamond"/>
          <w:sz w:val="24"/>
          <w:szCs w:val="24"/>
        </w:rPr>
        <w:t xml:space="preserve"> </w:t>
      </w:r>
      <w:r w:rsidRPr="007114AF">
        <w:rPr>
          <w:rFonts w:ascii="Garamond" w:hAnsi="Garamond"/>
          <w:sz w:val="24"/>
          <w:szCs w:val="24"/>
        </w:rPr>
        <w:t>dhe S</w:t>
      </w:r>
      <w:r w:rsidR="00FA3C19">
        <w:rPr>
          <w:rFonts w:ascii="Garamond" w:hAnsi="Garamond"/>
          <w:sz w:val="24"/>
          <w:szCs w:val="24"/>
        </w:rPr>
        <w:t>ETSH</w:t>
      </w:r>
      <w:r w:rsidRPr="007114AF">
        <w:rPr>
          <w:rFonts w:ascii="Garamond" w:hAnsi="Garamond"/>
          <w:sz w:val="24"/>
          <w:szCs w:val="24"/>
        </w:rPr>
        <w:t xml:space="preserve">-it, ndonëse ato llogariten pjesërisht kundrejt kufizimit të matshëm të shkarkimeve të BE-së dhe angazhimeve për reduktim sipas </w:t>
      </w:r>
      <w:r w:rsidR="00A67A6F">
        <w:rPr>
          <w:rFonts w:ascii="Garamond" w:hAnsi="Garamond"/>
          <w:sz w:val="24"/>
          <w:szCs w:val="24"/>
        </w:rPr>
        <w:t>n</w:t>
      </w:r>
      <w:r w:rsidRPr="007114AF">
        <w:rPr>
          <w:rFonts w:ascii="Garamond" w:hAnsi="Garamond"/>
          <w:sz w:val="24"/>
          <w:szCs w:val="24"/>
        </w:rPr>
        <w:t>enit 3, të Protokollit të Kiotos</w:t>
      </w:r>
      <w:r w:rsidR="00FA3C19">
        <w:rPr>
          <w:rFonts w:ascii="Garamond" w:hAnsi="Garamond"/>
          <w:sz w:val="24"/>
          <w:szCs w:val="24"/>
        </w:rPr>
        <w:t xml:space="preserve"> </w:t>
      </w:r>
      <w:r w:rsidRPr="007114AF">
        <w:rPr>
          <w:rFonts w:ascii="Garamond" w:hAnsi="Garamond"/>
          <w:sz w:val="24"/>
          <w:szCs w:val="24"/>
        </w:rPr>
        <w:t>në UNFCCC-ë.</w:t>
      </w:r>
    </w:p>
    <w:p w14:paraId="6EDCF44F" w14:textId="3710DD21" w:rsidR="00E20D71" w:rsidRPr="007114AF" w:rsidRDefault="00E20D71" w:rsidP="00E20D71">
      <w:pPr>
        <w:spacing w:after="0" w:line="240" w:lineRule="auto"/>
        <w:ind w:firstLine="284"/>
        <w:rPr>
          <w:rFonts w:ascii="Garamond" w:hAnsi="Garamond"/>
          <w:sz w:val="24"/>
          <w:szCs w:val="24"/>
        </w:rPr>
      </w:pPr>
      <w:r w:rsidRPr="007114AF">
        <w:rPr>
          <w:rFonts w:ascii="Garamond" w:hAnsi="Garamond"/>
          <w:sz w:val="24"/>
          <w:szCs w:val="24"/>
        </w:rPr>
        <w:t>Ndonëse LULUCF-ja</w:t>
      </w:r>
      <w:r w:rsidR="00FA3C19">
        <w:rPr>
          <w:rFonts w:ascii="Garamond" w:hAnsi="Garamond"/>
          <w:sz w:val="24"/>
          <w:szCs w:val="24"/>
        </w:rPr>
        <w:t xml:space="preserve"> </w:t>
      </w:r>
      <w:r w:rsidRPr="007114AF">
        <w:rPr>
          <w:rFonts w:ascii="Garamond" w:hAnsi="Garamond"/>
          <w:sz w:val="24"/>
          <w:szCs w:val="24"/>
        </w:rPr>
        <w:t>nuk përfshihet drejtpërdrejt në arritjen e objektivave të BE-së deri në vitin 2020, nevojitet një politikë menaxhimi e qëndrueshme për sektorin agropyjor për të mbështetur prodhimin e energjisë së rinovueshme nga biomasa agropyjore, pa kërcënuar rolin e rëndësishëm që kanë (të përthithësve të karbonit).</w:t>
      </w:r>
    </w:p>
    <w:p w14:paraId="6EDCF450" w14:textId="7EC828BE" w:rsidR="00E20D71" w:rsidRPr="007114AF" w:rsidRDefault="00E20D71" w:rsidP="00E20D71">
      <w:pPr>
        <w:spacing w:after="0" w:line="240" w:lineRule="auto"/>
        <w:ind w:firstLine="284"/>
        <w:rPr>
          <w:rFonts w:ascii="Garamond" w:hAnsi="Garamond"/>
          <w:sz w:val="24"/>
          <w:szCs w:val="24"/>
        </w:rPr>
      </w:pPr>
      <w:r w:rsidRPr="007114AF">
        <w:rPr>
          <w:rFonts w:ascii="Garamond" w:hAnsi="Garamond"/>
          <w:sz w:val="24"/>
          <w:szCs w:val="24"/>
        </w:rPr>
        <w:t>Sektori LULUCF-ës</w:t>
      </w:r>
      <w:r w:rsidR="00FA3C19">
        <w:rPr>
          <w:rFonts w:ascii="Garamond" w:hAnsi="Garamond"/>
          <w:sz w:val="24"/>
          <w:szCs w:val="24"/>
        </w:rPr>
        <w:t xml:space="preserve"> </w:t>
      </w:r>
      <w:r w:rsidRPr="007114AF">
        <w:rPr>
          <w:rFonts w:ascii="Garamond" w:hAnsi="Garamond"/>
          <w:sz w:val="24"/>
          <w:szCs w:val="24"/>
        </w:rPr>
        <w:t xml:space="preserve">në kontekstin evropian, kornizohet nga </w:t>
      </w:r>
      <w:r w:rsidR="00FA3C19">
        <w:rPr>
          <w:rFonts w:ascii="Garamond" w:hAnsi="Garamond"/>
          <w:sz w:val="24"/>
          <w:szCs w:val="24"/>
        </w:rPr>
        <w:t>v</w:t>
      </w:r>
      <w:r w:rsidRPr="007114AF">
        <w:rPr>
          <w:rFonts w:ascii="Garamond" w:hAnsi="Garamond"/>
          <w:sz w:val="24"/>
          <w:szCs w:val="24"/>
        </w:rPr>
        <w:t>endimi</w:t>
      </w:r>
      <w:r w:rsidR="00242009" w:rsidRPr="007114AF">
        <w:rPr>
          <w:rFonts w:ascii="Garamond" w:hAnsi="Garamond"/>
          <w:sz w:val="24"/>
          <w:szCs w:val="24"/>
        </w:rPr>
        <w:t xml:space="preserve"> nr. </w:t>
      </w:r>
      <w:r w:rsidRPr="007114AF">
        <w:rPr>
          <w:rFonts w:ascii="Garamond" w:hAnsi="Garamond"/>
          <w:sz w:val="24"/>
          <w:szCs w:val="24"/>
        </w:rPr>
        <w:t>529/2013/EU i Parlamentit</w:t>
      </w:r>
      <w:r w:rsidR="00FA3C19">
        <w:rPr>
          <w:rFonts w:ascii="Garamond" w:hAnsi="Garamond"/>
          <w:sz w:val="24"/>
          <w:szCs w:val="24"/>
        </w:rPr>
        <w:t xml:space="preserve"> </w:t>
      </w:r>
      <w:r w:rsidRPr="007114AF">
        <w:rPr>
          <w:rFonts w:ascii="Garamond" w:hAnsi="Garamond"/>
          <w:sz w:val="24"/>
          <w:szCs w:val="24"/>
        </w:rPr>
        <w:t>Evropian</w:t>
      </w:r>
      <w:r w:rsidR="00FA3C19">
        <w:rPr>
          <w:rFonts w:ascii="Garamond" w:hAnsi="Garamond"/>
          <w:sz w:val="24"/>
          <w:szCs w:val="24"/>
        </w:rPr>
        <w:t xml:space="preserve"> </w:t>
      </w:r>
      <w:r w:rsidRPr="007114AF">
        <w:rPr>
          <w:rFonts w:ascii="Garamond" w:hAnsi="Garamond"/>
          <w:sz w:val="24"/>
          <w:szCs w:val="24"/>
        </w:rPr>
        <w:t>dhe Këshillit i 21 majit 2013, që vendos rregullat raportuese</w:t>
      </w:r>
      <w:r w:rsidR="00FA3C19">
        <w:rPr>
          <w:rFonts w:ascii="Garamond" w:hAnsi="Garamond"/>
          <w:sz w:val="24"/>
          <w:szCs w:val="24"/>
        </w:rPr>
        <w:t xml:space="preserve"> </w:t>
      </w:r>
      <w:r w:rsidRPr="007114AF">
        <w:rPr>
          <w:rFonts w:ascii="Garamond" w:hAnsi="Garamond"/>
          <w:sz w:val="24"/>
          <w:szCs w:val="24"/>
        </w:rPr>
        <w:t>për shkarkimet e gazeve serrë dhe përthithësit, që rezultojnë nga aktivitete që lidhen me përdorimin e tokës, ndryshimin e përdorimit të tokës dhe pyjeve, si dhe informacionin lidhur me veprimet që lidhen me këto aktivitete.</w:t>
      </w:r>
    </w:p>
    <w:p w14:paraId="6EDCF451" w14:textId="7B94DF5F" w:rsidR="00E20D71" w:rsidRPr="007114AF" w:rsidRDefault="00E20D71" w:rsidP="00E20D71">
      <w:pPr>
        <w:spacing w:after="0" w:line="240" w:lineRule="auto"/>
        <w:ind w:firstLine="284"/>
        <w:rPr>
          <w:rFonts w:ascii="Garamond" w:hAnsi="Garamond"/>
          <w:sz w:val="24"/>
          <w:szCs w:val="24"/>
        </w:rPr>
      </w:pPr>
      <w:r w:rsidRPr="007114AF">
        <w:rPr>
          <w:rFonts w:ascii="Garamond" w:hAnsi="Garamond"/>
          <w:sz w:val="24"/>
          <w:szCs w:val="24"/>
        </w:rPr>
        <w:t>Vendimi 529/2013, ndërsa nënvizon përjashtimin e LULUCF-ës</w:t>
      </w:r>
      <w:r w:rsidR="00A518D9">
        <w:rPr>
          <w:rFonts w:ascii="Garamond" w:hAnsi="Garamond"/>
          <w:sz w:val="24"/>
          <w:szCs w:val="24"/>
        </w:rPr>
        <w:t xml:space="preserve"> </w:t>
      </w:r>
      <w:r w:rsidRPr="007114AF">
        <w:rPr>
          <w:rFonts w:ascii="Garamond" w:hAnsi="Garamond"/>
          <w:sz w:val="24"/>
          <w:szCs w:val="24"/>
        </w:rPr>
        <w:t>nga objektivat aktual</w:t>
      </w:r>
      <w:r w:rsidR="00A518D9">
        <w:rPr>
          <w:rFonts w:ascii="Garamond" w:hAnsi="Garamond"/>
          <w:sz w:val="24"/>
          <w:szCs w:val="24"/>
        </w:rPr>
        <w:t>ë</w:t>
      </w:r>
      <w:r w:rsidRPr="007114AF">
        <w:rPr>
          <w:rFonts w:ascii="Garamond" w:hAnsi="Garamond"/>
          <w:sz w:val="24"/>
          <w:szCs w:val="24"/>
        </w:rPr>
        <w:t xml:space="preserve"> të BE-së, njeh mundësinë për një përfshirje të ardhshme të LULUCF-ës</w:t>
      </w:r>
      <w:r w:rsidR="00A518D9">
        <w:rPr>
          <w:rFonts w:ascii="Garamond" w:hAnsi="Garamond"/>
          <w:sz w:val="24"/>
          <w:szCs w:val="24"/>
        </w:rPr>
        <w:t xml:space="preserve"> </w:t>
      </w:r>
      <w:r w:rsidRPr="007114AF">
        <w:rPr>
          <w:rFonts w:ascii="Garamond" w:hAnsi="Garamond"/>
          <w:sz w:val="24"/>
          <w:szCs w:val="24"/>
        </w:rPr>
        <w:t>në përpjekjen e BE-së</w:t>
      </w:r>
      <w:r w:rsidR="00FA3C19">
        <w:rPr>
          <w:rFonts w:ascii="Garamond" w:hAnsi="Garamond"/>
          <w:sz w:val="24"/>
          <w:szCs w:val="24"/>
        </w:rPr>
        <w:t xml:space="preserve"> </w:t>
      </w:r>
      <w:r w:rsidRPr="007114AF">
        <w:rPr>
          <w:rFonts w:ascii="Garamond" w:hAnsi="Garamond"/>
          <w:sz w:val="24"/>
          <w:szCs w:val="24"/>
        </w:rPr>
        <w:t>për reduktimin eGES-it. Në këtë kuptim, vendimi propozon një sistem gradual, ku shtetet anëtare do t</w:t>
      </w:r>
      <w:r w:rsidR="00D10DAB" w:rsidRPr="007114AF">
        <w:rPr>
          <w:rFonts w:ascii="Garamond" w:hAnsi="Garamond"/>
          <w:sz w:val="24"/>
          <w:szCs w:val="24"/>
        </w:rPr>
        <w:t>’</w:t>
      </w:r>
      <w:r w:rsidRPr="007114AF">
        <w:rPr>
          <w:rFonts w:ascii="Garamond" w:hAnsi="Garamond"/>
          <w:sz w:val="24"/>
          <w:szCs w:val="24"/>
        </w:rPr>
        <w:t>i raportojnë BE-së shkarkimet dhe përthithësit nga aktivitetet LULUCF-ës, duke filluar nga viti 2015 (dhe duke iu referuar vitit 2013), për të arritur në raportimin final</w:t>
      </w:r>
      <w:r w:rsidR="00A518D9">
        <w:rPr>
          <w:rFonts w:ascii="Garamond" w:hAnsi="Garamond"/>
          <w:sz w:val="24"/>
          <w:szCs w:val="24"/>
        </w:rPr>
        <w:t xml:space="preserve"> </w:t>
      </w:r>
      <w:r w:rsidRPr="007114AF">
        <w:rPr>
          <w:rFonts w:ascii="Garamond" w:hAnsi="Garamond"/>
          <w:sz w:val="24"/>
          <w:szCs w:val="24"/>
        </w:rPr>
        <w:t>në vitin 2022, për vitet e përfshira në periudhën 2013</w:t>
      </w:r>
      <w:r w:rsidR="00A518D9">
        <w:rPr>
          <w:rFonts w:ascii="Garamond" w:hAnsi="Garamond"/>
          <w:sz w:val="24"/>
          <w:szCs w:val="24"/>
        </w:rPr>
        <w:t>–</w:t>
      </w:r>
      <w:r w:rsidRPr="007114AF">
        <w:rPr>
          <w:rFonts w:ascii="Garamond" w:hAnsi="Garamond"/>
          <w:sz w:val="24"/>
          <w:szCs w:val="24"/>
        </w:rPr>
        <w:t xml:space="preserve">2020. </w:t>
      </w:r>
    </w:p>
    <w:p w14:paraId="6EDCF452" w14:textId="2FEB1F4F" w:rsidR="00E20D71" w:rsidRPr="007114AF" w:rsidRDefault="000A2A01" w:rsidP="00E20D71">
      <w:pPr>
        <w:spacing w:after="0" w:line="240" w:lineRule="auto"/>
        <w:ind w:firstLine="284"/>
        <w:rPr>
          <w:rFonts w:ascii="Garamond" w:hAnsi="Garamond"/>
          <w:sz w:val="24"/>
          <w:szCs w:val="24"/>
        </w:rPr>
      </w:pPr>
      <w:r w:rsidRPr="007114AF">
        <w:rPr>
          <w:rFonts w:ascii="Garamond" w:hAnsi="Garamond"/>
          <w:sz w:val="24"/>
          <w:szCs w:val="24"/>
        </w:rPr>
        <w:t>“</w:t>
      </w:r>
      <w:r w:rsidR="00E20D71" w:rsidRPr="007114AF">
        <w:rPr>
          <w:rFonts w:ascii="Garamond" w:hAnsi="Garamond"/>
          <w:sz w:val="24"/>
          <w:szCs w:val="24"/>
        </w:rPr>
        <w:t>Kuadri Ligjor për Klimën dhe Energjinë 2030</w:t>
      </w:r>
      <w:r w:rsidRPr="007114AF">
        <w:rPr>
          <w:rFonts w:ascii="Garamond" w:hAnsi="Garamond"/>
          <w:sz w:val="24"/>
          <w:szCs w:val="24"/>
        </w:rPr>
        <w:t>”</w:t>
      </w:r>
      <w:r w:rsidR="00E20D71" w:rsidRPr="007114AF">
        <w:rPr>
          <w:rFonts w:ascii="Garamond" w:hAnsi="Garamond"/>
          <w:sz w:val="24"/>
          <w:szCs w:val="24"/>
        </w:rPr>
        <w:t xml:space="preserve"> u njeh sektorëve të Bujqësisë dhe LULUCF-ës multifunksionalitetin e tyre, që konsiston në sigurimin e energjisë së rinovueshme nga biomasa, duke ruajtur objektivat e</w:t>
      </w:r>
      <w:r w:rsidR="00A518D9">
        <w:rPr>
          <w:rFonts w:ascii="Garamond" w:hAnsi="Garamond"/>
          <w:sz w:val="24"/>
          <w:szCs w:val="24"/>
        </w:rPr>
        <w:t xml:space="preserve"> </w:t>
      </w:r>
      <w:r w:rsidR="00E20D71" w:rsidRPr="007114AF">
        <w:rPr>
          <w:rFonts w:ascii="Garamond" w:hAnsi="Garamond"/>
          <w:sz w:val="24"/>
          <w:szCs w:val="24"/>
        </w:rPr>
        <w:t>sigurimit ushqimor, si dhe duke siguruar një potencial zbutjeje, falë kapacitetit të tyre si përthithës të karbonit. Këshilli i bën gjithashtu, thirrje komisionit të shqyrtojë, sesi të inkurajohet sa më mirë intensifikimi i biomasës dhe prodhimi i ushqimit në mënyrë të qëndrueshme, duke bërë optimal kontributin në zbutjen e shkarkimeve të gazeve serrë, përfshirë pyllëzimin. Pavarësisht kësaj, integrimi i sektorit me objektivin prej 40% për vitin 2030, është shtyrë në të ardhmen, kur kushtet teknike ta lejojnë, dhe</w:t>
      </w:r>
      <w:r w:rsidRPr="007114AF">
        <w:rPr>
          <w:rFonts w:ascii="Garamond" w:hAnsi="Garamond"/>
          <w:sz w:val="24"/>
          <w:szCs w:val="24"/>
        </w:rPr>
        <w:t xml:space="preserve"> </w:t>
      </w:r>
      <w:r w:rsidR="00E20D71" w:rsidRPr="007114AF">
        <w:rPr>
          <w:rFonts w:ascii="Garamond" w:hAnsi="Garamond"/>
          <w:sz w:val="24"/>
          <w:szCs w:val="24"/>
        </w:rPr>
        <w:t xml:space="preserve">para vitit 2020. </w:t>
      </w:r>
    </w:p>
    <w:p w14:paraId="6EDCF453" w14:textId="1C2813AF" w:rsidR="00E20D71" w:rsidRPr="007114AF" w:rsidRDefault="00E20D71" w:rsidP="00E20D71">
      <w:pPr>
        <w:spacing w:after="0" w:line="240" w:lineRule="auto"/>
        <w:ind w:firstLine="284"/>
        <w:rPr>
          <w:rFonts w:ascii="Garamond" w:hAnsi="Garamond"/>
          <w:sz w:val="24"/>
          <w:szCs w:val="24"/>
        </w:rPr>
      </w:pPr>
      <w:r w:rsidRPr="007114AF">
        <w:rPr>
          <w:rFonts w:ascii="Garamond" w:hAnsi="Garamond"/>
          <w:sz w:val="24"/>
          <w:szCs w:val="24"/>
        </w:rPr>
        <w:t>Pa dyshim, Politika e Përbashkët Bujqësore (PBB) mbetet instrumenti kryesor ligjor për zbatimin e politikave në sektorin bujqësor dhe pyjor në nivel evropian. Lidhjet me politikat që mbulojnë sektorët e bujqësisë dhe LULUCF-ës</w:t>
      </w:r>
      <w:r w:rsidR="00A518D9">
        <w:rPr>
          <w:rFonts w:ascii="Garamond" w:hAnsi="Garamond"/>
          <w:sz w:val="24"/>
          <w:szCs w:val="24"/>
        </w:rPr>
        <w:t xml:space="preserve"> </w:t>
      </w:r>
      <w:r w:rsidRPr="007114AF">
        <w:rPr>
          <w:rFonts w:ascii="Garamond" w:hAnsi="Garamond"/>
          <w:sz w:val="24"/>
          <w:szCs w:val="24"/>
        </w:rPr>
        <w:t>janë thelbësore. Në fakt, bujqësia ka një sfidë të dyfishtë: të</w:t>
      </w:r>
      <w:r w:rsidR="00A518D9">
        <w:rPr>
          <w:rFonts w:ascii="Garamond" w:hAnsi="Garamond"/>
          <w:sz w:val="24"/>
          <w:szCs w:val="24"/>
        </w:rPr>
        <w:t xml:space="preserve"> </w:t>
      </w:r>
      <w:r w:rsidRPr="007114AF">
        <w:rPr>
          <w:rFonts w:ascii="Garamond" w:hAnsi="Garamond"/>
          <w:sz w:val="24"/>
          <w:szCs w:val="24"/>
        </w:rPr>
        <w:t>prodhojë ushqim,</w:t>
      </w:r>
      <w:r w:rsidR="000A2A01" w:rsidRPr="007114AF">
        <w:rPr>
          <w:rFonts w:ascii="Garamond" w:hAnsi="Garamond"/>
          <w:sz w:val="24"/>
          <w:szCs w:val="24"/>
        </w:rPr>
        <w:t xml:space="preserve"> </w:t>
      </w:r>
      <w:r w:rsidRPr="007114AF">
        <w:rPr>
          <w:rFonts w:ascii="Garamond" w:hAnsi="Garamond"/>
          <w:sz w:val="24"/>
          <w:szCs w:val="24"/>
        </w:rPr>
        <w:t>teksa mbron njëkohësisht natyrën dhe ruan biodiversitetin. PBB-ja</w:t>
      </w:r>
      <w:r w:rsidR="00A518D9">
        <w:rPr>
          <w:rFonts w:ascii="Garamond" w:hAnsi="Garamond"/>
          <w:sz w:val="24"/>
          <w:szCs w:val="24"/>
        </w:rPr>
        <w:t xml:space="preserve"> </w:t>
      </w:r>
      <w:r w:rsidRPr="007114AF">
        <w:rPr>
          <w:rFonts w:ascii="Garamond" w:hAnsi="Garamond"/>
          <w:sz w:val="24"/>
          <w:szCs w:val="24"/>
        </w:rPr>
        <w:t>u siguron fermerëve asistencë financiare për t</w:t>
      </w:r>
      <w:r w:rsidR="00D10DAB" w:rsidRPr="007114AF">
        <w:rPr>
          <w:rFonts w:ascii="Garamond" w:hAnsi="Garamond"/>
          <w:sz w:val="24"/>
          <w:szCs w:val="24"/>
        </w:rPr>
        <w:t>’</w:t>
      </w:r>
      <w:r w:rsidRPr="007114AF">
        <w:rPr>
          <w:rFonts w:ascii="Garamond" w:hAnsi="Garamond"/>
          <w:sz w:val="24"/>
          <w:szCs w:val="24"/>
        </w:rPr>
        <w:t xml:space="preserve">i përshtatur metodat dhe sistemet e tyre të kultivimit, për të përballuar efektet e dëmshme të ndryshimit të klimës. Për më tepër, për të shmangur efektet negative anësore të disa praktikave bujqësore dhe për të reduktuar shkarkimet GES, BE-ja siguron stimuj për fermerët që të punojnë në mënyrë të qëndrueshme dhe miqësore me mjedisin. </w:t>
      </w:r>
    </w:p>
    <w:p w14:paraId="6EDCF454" w14:textId="2D906312" w:rsidR="00E20D71" w:rsidRPr="007114AF" w:rsidRDefault="00E20D71" w:rsidP="00E20D71">
      <w:pPr>
        <w:spacing w:after="0" w:line="240" w:lineRule="auto"/>
        <w:ind w:firstLine="284"/>
        <w:rPr>
          <w:rFonts w:ascii="Garamond" w:hAnsi="Garamond"/>
          <w:sz w:val="24"/>
          <w:szCs w:val="24"/>
        </w:rPr>
      </w:pPr>
      <w:r w:rsidRPr="007114AF">
        <w:rPr>
          <w:rFonts w:ascii="Garamond" w:hAnsi="Garamond"/>
          <w:sz w:val="24"/>
          <w:szCs w:val="24"/>
        </w:rPr>
        <w:t xml:space="preserve">E njohur si </w:t>
      </w:r>
      <w:r w:rsidR="000A2A01" w:rsidRPr="007114AF">
        <w:rPr>
          <w:rFonts w:ascii="Garamond" w:hAnsi="Garamond"/>
          <w:sz w:val="24"/>
          <w:szCs w:val="24"/>
        </w:rPr>
        <w:t>“</w:t>
      </w:r>
      <w:r w:rsidRPr="007114AF">
        <w:rPr>
          <w:rFonts w:ascii="Garamond" w:hAnsi="Garamond"/>
          <w:sz w:val="24"/>
          <w:szCs w:val="24"/>
        </w:rPr>
        <w:t>shtylla e dytë</w:t>
      </w:r>
      <w:r w:rsidR="000A2A01" w:rsidRPr="007114AF">
        <w:rPr>
          <w:rFonts w:ascii="Garamond" w:hAnsi="Garamond"/>
          <w:sz w:val="24"/>
          <w:szCs w:val="24"/>
        </w:rPr>
        <w:t>”</w:t>
      </w:r>
      <w:r w:rsidRPr="007114AF">
        <w:rPr>
          <w:rFonts w:ascii="Garamond" w:hAnsi="Garamond"/>
          <w:sz w:val="24"/>
          <w:szCs w:val="24"/>
        </w:rPr>
        <w:t xml:space="preserve"> e PBB-së, Politika e Zhvillimit Rural e BE-së është përmirësuar për periudhën 2014</w:t>
      </w:r>
      <w:r w:rsidR="00A518D9">
        <w:rPr>
          <w:rFonts w:ascii="Garamond" w:hAnsi="Garamond"/>
          <w:sz w:val="24"/>
          <w:szCs w:val="24"/>
        </w:rPr>
        <w:t>–</w:t>
      </w:r>
      <w:r w:rsidRPr="007114AF">
        <w:rPr>
          <w:rFonts w:ascii="Garamond" w:hAnsi="Garamond"/>
          <w:sz w:val="24"/>
          <w:szCs w:val="24"/>
        </w:rPr>
        <w:t>2020, përmes procesit të një reforme</w:t>
      </w:r>
      <w:r w:rsidR="00244CEF">
        <w:rPr>
          <w:rFonts w:ascii="Garamond" w:hAnsi="Garamond"/>
          <w:sz w:val="24"/>
          <w:szCs w:val="24"/>
        </w:rPr>
        <w:t xml:space="preserve"> </w:t>
      </w:r>
      <w:r w:rsidRPr="007114AF">
        <w:rPr>
          <w:rFonts w:ascii="Garamond" w:hAnsi="Garamond"/>
          <w:sz w:val="24"/>
          <w:szCs w:val="24"/>
        </w:rPr>
        <w:t xml:space="preserve">më të gjerë të PBB-së. Në përputhje me </w:t>
      </w:r>
      <w:r w:rsidR="000A2A01" w:rsidRPr="007114AF">
        <w:rPr>
          <w:rFonts w:ascii="Garamond" w:hAnsi="Garamond"/>
          <w:sz w:val="24"/>
          <w:szCs w:val="24"/>
        </w:rPr>
        <w:t>“</w:t>
      </w:r>
      <w:r w:rsidRPr="007114AF">
        <w:rPr>
          <w:rFonts w:ascii="Garamond" w:hAnsi="Garamond"/>
          <w:sz w:val="24"/>
          <w:szCs w:val="24"/>
        </w:rPr>
        <w:t>Europa 2020</w:t>
      </w:r>
      <w:r w:rsidR="000A2A01" w:rsidRPr="007114AF">
        <w:rPr>
          <w:rFonts w:ascii="Garamond" w:hAnsi="Garamond"/>
          <w:sz w:val="24"/>
          <w:szCs w:val="24"/>
        </w:rPr>
        <w:t>”</w:t>
      </w:r>
      <w:r w:rsidRPr="007114AF">
        <w:rPr>
          <w:rFonts w:ascii="Garamond" w:hAnsi="Garamond"/>
          <w:sz w:val="24"/>
          <w:szCs w:val="24"/>
        </w:rPr>
        <w:t xml:space="preserve"> dhe objektivat e përgjithsh</w:t>
      </w:r>
      <w:r w:rsidR="0004342E">
        <w:rPr>
          <w:rFonts w:ascii="Garamond" w:hAnsi="Garamond"/>
          <w:sz w:val="24"/>
          <w:szCs w:val="24"/>
        </w:rPr>
        <w:t>ë</w:t>
      </w:r>
      <w:r w:rsidRPr="007114AF">
        <w:rPr>
          <w:rFonts w:ascii="Garamond" w:hAnsi="Garamond"/>
          <w:sz w:val="24"/>
          <w:szCs w:val="24"/>
        </w:rPr>
        <w:t>m të PBB-së,</w:t>
      </w:r>
      <w:r w:rsidR="00244CEF">
        <w:rPr>
          <w:rFonts w:ascii="Garamond" w:hAnsi="Garamond"/>
          <w:sz w:val="24"/>
          <w:szCs w:val="24"/>
        </w:rPr>
        <w:t xml:space="preserve"> </w:t>
      </w:r>
      <w:r w:rsidRPr="007114AF">
        <w:rPr>
          <w:rFonts w:ascii="Garamond" w:hAnsi="Garamond"/>
          <w:sz w:val="24"/>
          <w:szCs w:val="24"/>
        </w:rPr>
        <w:t>mund të identifikohen tre objektiva afatgjat</w:t>
      </w:r>
      <w:r w:rsidR="0004342E">
        <w:rPr>
          <w:rFonts w:ascii="Garamond" w:hAnsi="Garamond"/>
          <w:sz w:val="24"/>
          <w:szCs w:val="24"/>
        </w:rPr>
        <w:t>ë</w:t>
      </w:r>
      <w:r w:rsidRPr="007114AF">
        <w:rPr>
          <w:rFonts w:ascii="Garamond" w:hAnsi="Garamond"/>
          <w:sz w:val="24"/>
          <w:szCs w:val="24"/>
        </w:rPr>
        <w:t xml:space="preserve"> strategjik</w:t>
      </w:r>
      <w:r w:rsidR="0004342E">
        <w:rPr>
          <w:rFonts w:ascii="Garamond" w:hAnsi="Garamond"/>
          <w:sz w:val="24"/>
          <w:szCs w:val="24"/>
        </w:rPr>
        <w:t>ë</w:t>
      </w:r>
      <w:r w:rsidRPr="007114AF">
        <w:rPr>
          <w:rFonts w:ascii="Garamond" w:hAnsi="Garamond"/>
          <w:sz w:val="24"/>
          <w:szCs w:val="24"/>
        </w:rPr>
        <w:t xml:space="preserve"> për politikën e zhvillimit rural të BE-së për periudhën 2014</w:t>
      </w:r>
      <w:r w:rsidR="00244CEF">
        <w:rPr>
          <w:rFonts w:ascii="Garamond" w:hAnsi="Garamond"/>
          <w:sz w:val="24"/>
          <w:szCs w:val="24"/>
        </w:rPr>
        <w:t>–</w:t>
      </w:r>
      <w:r w:rsidRPr="007114AF">
        <w:rPr>
          <w:rFonts w:ascii="Garamond" w:hAnsi="Garamond"/>
          <w:sz w:val="24"/>
          <w:szCs w:val="24"/>
        </w:rPr>
        <w:t>2020: nxitja e konkurrencës në bujqësi; garantimi i menaxhimit të qëndrueshëm të burimeve natyrore dhe veprimi për klimën; arritja e një zhvillimi territorial të balancuar të ekonomive dhe komuniteteve rurale, përfshirë krijimin dhe mbajtjen e punësimit.</w:t>
      </w:r>
    </w:p>
    <w:p w14:paraId="6EDCF455" w14:textId="77777777" w:rsidR="00E20D71" w:rsidRPr="007114AF" w:rsidRDefault="001259F3" w:rsidP="00E20D71">
      <w:pPr>
        <w:spacing w:after="0" w:line="240" w:lineRule="auto"/>
        <w:ind w:firstLine="284"/>
        <w:rPr>
          <w:rFonts w:ascii="Garamond" w:hAnsi="Garamond"/>
          <w:b/>
          <w:sz w:val="24"/>
          <w:szCs w:val="24"/>
        </w:rPr>
      </w:pPr>
      <w:bookmarkStart w:id="23" w:name="__RefHeading___Toc444944782"/>
      <w:bookmarkStart w:id="24" w:name="_Toc484424476"/>
      <w:bookmarkStart w:id="25" w:name="_Toc450135227"/>
      <w:bookmarkStart w:id="26" w:name="_Toc450151830"/>
      <w:bookmarkEnd w:id="23"/>
      <w:r w:rsidRPr="007114AF">
        <w:rPr>
          <w:rFonts w:ascii="Garamond" w:hAnsi="Garamond"/>
          <w:b/>
          <w:sz w:val="24"/>
          <w:szCs w:val="24"/>
        </w:rPr>
        <w:t xml:space="preserve">2.3.2 </w:t>
      </w:r>
      <w:r w:rsidR="00E20D71" w:rsidRPr="007114AF">
        <w:rPr>
          <w:rFonts w:ascii="Garamond" w:hAnsi="Garamond"/>
          <w:b/>
          <w:sz w:val="24"/>
          <w:szCs w:val="24"/>
        </w:rPr>
        <w:t>Sektori i energjisë</w:t>
      </w:r>
      <w:bookmarkEnd w:id="24"/>
      <w:bookmarkEnd w:id="25"/>
      <w:bookmarkEnd w:id="26"/>
    </w:p>
    <w:p w14:paraId="6EDCF456" w14:textId="336B491D" w:rsidR="00E20D71" w:rsidRPr="007114AF" w:rsidRDefault="00E20D71" w:rsidP="00E20D71">
      <w:pPr>
        <w:spacing w:after="0" w:line="240" w:lineRule="auto"/>
        <w:ind w:firstLine="284"/>
        <w:rPr>
          <w:rFonts w:ascii="Garamond" w:hAnsi="Garamond"/>
          <w:sz w:val="24"/>
          <w:szCs w:val="24"/>
        </w:rPr>
      </w:pPr>
      <w:r w:rsidRPr="007114AF">
        <w:rPr>
          <w:rFonts w:ascii="Garamond" w:hAnsi="Garamond"/>
          <w:sz w:val="24"/>
          <w:szCs w:val="24"/>
        </w:rPr>
        <w:t xml:space="preserve">Zbutja e ndryshimeve klimatike luan një rol të madh në Strategjinë e Energjisë së BE-së, kryesisht përmes rëndësisë që i jepet eficiencës së energjisë dhe burimeve të rinovueshme të energjisë. Në veçanti, janë marrë në konsideratë dy politika afatshkurtra dhe afatmesme: 2020 dhe </w:t>
      </w:r>
      <w:r w:rsidRPr="007114AF">
        <w:rPr>
          <w:rFonts w:ascii="Garamond" w:hAnsi="Garamond"/>
          <w:sz w:val="24"/>
          <w:szCs w:val="24"/>
        </w:rPr>
        <w:lastRenderedPageBreak/>
        <w:t>2030. Deri në vitin 2020,</w:t>
      </w:r>
      <w:r w:rsidR="0040312C">
        <w:rPr>
          <w:rFonts w:ascii="Garamond" w:hAnsi="Garamond"/>
          <w:sz w:val="24"/>
          <w:szCs w:val="24"/>
        </w:rPr>
        <w:t xml:space="preserve"> </w:t>
      </w:r>
      <w:r w:rsidRPr="007114AF">
        <w:rPr>
          <w:rFonts w:ascii="Garamond" w:hAnsi="Garamond"/>
          <w:sz w:val="24"/>
          <w:szCs w:val="24"/>
        </w:rPr>
        <w:t xml:space="preserve">BE-ja synon të plotësojë 20% të nevojave për energji nga burimet e rinovueshme, dhe të zbatojë një rritje prej 20% të eficiencës së energjisë, kundrejt skenarit bazë të zhvillimit. Deri në vitin 2030, BE-ja synon një </w:t>
      </w:r>
      <w:r w:rsidR="000A2A01" w:rsidRPr="007114AF">
        <w:rPr>
          <w:rFonts w:ascii="Garamond" w:hAnsi="Garamond"/>
          <w:sz w:val="24"/>
          <w:szCs w:val="24"/>
        </w:rPr>
        <w:t>“</w:t>
      </w:r>
      <w:r w:rsidRPr="007114AF">
        <w:rPr>
          <w:rFonts w:ascii="Garamond" w:hAnsi="Garamond"/>
          <w:sz w:val="24"/>
          <w:szCs w:val="24"/>
        </w:rPr>
        <w:t>reduktim prej 40% në shkarkimet e gazeve serrë krahasuar me nivelet e vitit 1990; të paktën një përqindje prej 27% të konsumit të energjisë së rinovueshme; të paktën 27% kursim energjie, krahasuar me skenarin e biznesit si zakonisht</w:t>
      </w:r>
      <w:r w:rsidR="000A2A01" w:rsidRPr="007114AF">
        <w:rPr>
          <w:rFonts w:ascii="Garamond" w:hAnsi="Garamond"/>
          <w:sz w:val="24"/>
          <w:szCs w:val="24"/>
        </w:rPr>
        <w:t>”</w:t>
      </w:r>
      <w:r w:rsidRPr="007114AF">
        <w:rPr>
          <w:rFonts w:ascii="Garamond" w:hAnsi="Garamond"/>
          <w:sz w:val="24"/>
          <w:szCs w:val="24"/>
        </w:rPr>
        <w:t>.</w:t>
      </w:r>
      <w:r w:rsidRPr="007114AF">
        <w:rPr>
          <w:rFonts w:ascii="Garamond" w:hAnsi="Garamond"/>
          <w:sz w:val="24"/>
          <w:szCs w:val="24"/>
          <w:vertAlign w:val="superscript"/>
        </w:rPr>
        <w:footnoteReference w:id="16"/>
      </w:r>
    </w:p>
    <w:p w14:paraId="6EDCF457" w14:textId="77777777" w:rsidR="00E20D71" w:rsidRPr="007114AF" w:rsidRDefault="00E20D71" w:rsidP="00E20D71">
      <w:pPr>
        <w:spacing w:after="0" w:line="240" w:lineRule="auto"/>
        <w:ind w:firstLine="284"/>
        <w:rPr>
          <w:rFonts w:ascii="Garamond" w:hAnsi="Garamond"/>
          <w:sz w:val="24"/>
          <w:szCs w:val="24"/>
        </w:rPr>
      </w:pPr>
      <w:r w:rsidRPr="007114AF">
        <w:rPr>
          <w:rFonts w:ascii="Garamond" w:hAnsi="Garamond"/>
          <w:sz w:val="24"/>
          <w:szCs w:val="24"/>
        </w:rPr>
        <w:t>Direktiva e vitit 2012 për Eficiencën e Energjisë (DEE 2012/27/EU), është instrumenti kryesor politik evropian, që specifikon kuadrin e përgjithshëm politik, me synim arritjen e objektivit për kursimin e energjisë në 20% deri në vitin 2020</w:t>
      </w:r>
      <w:r w:rsidRPr="007114AF">
        <w:rPr>
          <w:rFonts w:ascii="Garamond" w:hAnsi="Garamond"/>
          <w:sz w:val="24"/>
          <w:szCs w:val="24"/>
          <w:vertAlign w:val="superscript"/>
        </w:rPr>
        <w:footnoteReference w:id="17"/>
      </w:r>
      <w:r w:rsidRPr="007114AF">
        <w:rPr>
          <w:rFonts w:ascii="Garamond" w:hAnsi="Garamond"/>
          <w:sz w:val="24"/>
          <w:szCs w:val="24"/>
        </w:rPr>
        <w:t>, dhe përcakton një kuadër të përbashkët masash për këtë qëllim. Direktiva plotësoi kuadrin e politikave të BE-së për eficiencën e energjisë, përfshirë Direktivën e Performancës Energjetike të Ndërtesave, Direktivat Eco-dizajn dhe Etiketimin e Energjisë.</w:t>
      </w:r>
    </w:p>
    <w:p w14:paraId="6EDCF458" w14:textId="78554A1A" w:rsidR="00E20D71" w:rsidRPr="007114AF" w:rsidRDefault="00E20D71" w:rsidP="00E20D71">
      <w:pPr>
        <w:spacing w:after="0" w:line="240" w:lineRule="auto"/>
        <w:ind w:firstLine="284"/>
        <w:rPr>
          <w:rFonts w:ascii="Garamond" w:hAnsi="Garamond"/>
          <w:sz w:val="24"/>
          <w:szCs w:val="24"/>
        </w:rPr>
      </w:pPr>
      <w:r w:rsidRPr="007114AF">
        <w:rPr>
          <w:rFonts w:ascii="Garamond" w:hAnsi="Garamond"/>
          <w:sz w:val="24"/>
          <w:szCs w:val="24"/>
        </w:rPr>
        <w:t xml:space="preserve">Përqasja e politikës DEE-së specifikohet kryesisht në </w:t>
      </w:r>
      <w:r w:rsidR="008F3F1D" w:rsidRPr="007114AF">
        <w:rPr>
          <w:rFonts w:ascii="Garamond" w:hAnsi="Garamond"/>
          <w:sz w:val="24"/>
          <w:szCs w:val="24"/>
        </w:rPr>
        <w:t>n</w:t>
      </w:r>
      <w:r w:rsidRPr="007114AF">
        <w:rPr>
          <w:rFonts w:ascii="Garamond" w:hAnsi="Garamond"/>
          <w:sz w:val="24"/>
          <w:szCs w:val="24"/>
        </w:rPr>
        <w:t>enin 7-të, dhe pritet të japë më shumë rezultat, sesa gjysma e kursimit të kërkuar të energjisë. Në mënyrë specifike, ajo kërkon që Shtetet Anëtare të fusin skema të detyrueshme për eficiencën e energjisë</w:t>
      </w:r>
      <w:r w:rsidRPr="007114AF">
        <w:rPr>
          <w:rFonts w:ascii="Garamond" w:hAnsi="Garamond"/>
          <w:sz w:val="24"/>
          <w:szCs w:val="24"/>
          <w:vertAlign w:val="superscript"/>
        </w:rPr>
        <w:footnoteReference w:id="18"/>
      </w:r>
      <w:r w:rsidR="00E57D26" w:rsidRPr="007114AF">
        <w:rPr>
          <w:rFonts w:ascii="Garamond" w:hAnsi="Garamond"/>
          <w:sz w:val="24"/>
          <w:szCs w:val="24"/>
        </w:rPr>
        <w:t xml:space="preserve"> </w:t>
      </w:r>
      <w:r w:rsidRPr="007114AF">
        <w:rPr>
          <w:rFonts w:ascii="Garamond" w:hAnsi="Garamond"/>
          <w:sz w:val="24"/>
          <w:szCs w:val="24"/>
        </w:rPr>
        <w:t xml:space="preserve">(EEOSs) apo masa alternative politike me synim arritjen e një kursimi vjetor prej 1.5% për shitjet e energjisë konsumatorëve fundorë, të gjithë shpërndarësve të energjisë apo kompanive me pakicë. Në zbatimin e kësaj mase, Shtetet Anëtare mund të zgjedhin nga një gamë e gjerë masash politike dhe masash individuale, për përmirësimin e eficiencës së energjisë. </w:t>
      </w:r>
    </w:p>
    <w:p w14:paraId="6EDCF459" w14:textId="0A0DACD1" w:rsidR="00E20D71" w:rsidRPr="007114AF" w:rsidRDefault="00E20D71" w:rsidP="00E20D71">
      <w:pPr>
        <w:spacing w:after="0" w:line="240" w:lineRule="auto"/>
        <w:ind w:firstLine="284"/>
        <w:rPr>
          <w:rFonts w:ascii="Garamond" w:hAnsi="Garamond"/>
          <w:sz w:val="24"/>
          <w:szCs w:val="24"/>
        </w:rPr>
      </w:pPr>
      <w:r w:rsidRPr="007114AF">
        <w:rPr>
          <w:rFonts w:ascii="Garamond" w:hAnsi="Garamond"/>
          <w:sz w:val="24"/>
          <w:szCs w:val="24"/>
        </w:rPr>
        <w:t>Në mënyrë analoge, Direktiva e Energjive të Rinovueshme e vitit 2009 përcakton një politikë të përgjithshme për prodhimin dhe promovimin e energjisë nga burimet e rinovueshme në BE. Ajo kërkon nga BE-ja të përmbushë të paktën 20% të nevojave totale për energji nga burimet e rinovueshme deri në vitin 2020 – që do të arrihet përmes arritjes së objektivave individual</w:t>
      </w:r>
      <w:r w:rsidR="00003AEC">
        <w:rPr>
          <w:rFonts w:ascii="Garamond" w:hAnsi="Garamond"/>
          <w:sz w:val="24"/>
          <w:szCs w:val="24"/>
        </w:rPr>
        <w:t>ë</w:t>
      </w:r>
      <w:r w:rsidRPr="007114AF">
        <w:rPr>
          <w:rFonts w:ascii="Garamond" w:hAnsi="Garamond"/>
          <w:sz w:val="24"/>
          <w:szCs w:val="24"/>
        </w:rPr>
        <w:t xml:space="preserve"> kombëtare. Gjithë vendet e BE-së duhet të garantojnë, gjithashtu, që të paktën 10% e lëndëve djegëse për transport, të vijnë nga burimet e rinovueshme –</w:t>
      </w:r>
      <w:r w:rsidR="008F3F1D" w:rsidRPr="007114AF">
        <w:rPr>
          <w:rFonts w:ascii="Garamond" w:hAnsi="Garamond"/>
          <w:sz w:val="24"/>
          <w:szCs w:val="24"/>
        </w:rPr>
        <w:t xml:space="preserve"> </w:t>
      </w:r>
      <w:r w:rsidRPr="007114AF">
        <w:rPr>
          <w:rFonts w:ascii="Garamond" w:hAnsi="Garamond"/>
          <w:sz w:val="24"/>
          <w:szCs w:val="24"/>
        </w:rPr>
        <w:t>jo medoemos biokarbure</w:t>
      </w:r>
      <w:r w:rsidR="008F3F1D" w:rsidRPr="007114AF">
        <w:rPr>
          <w:rFonts w:ascii="Garamond" w:hAnsi="Garamond"/>
          <w:sz w:val="24"/>
          <w:szCs w:val="24"/>
        </w:rPr>
        <w:t xml:space="preserve"> </w:t>
      </w:r>
      <w:r w:rsidRPr="007114AF">
        <w:rPr>
          <w:rFonts w:ascii="Garamond" w:hAnsi="Garamond"/>
          <w:sz w:val="24"/>
          <w:szCs w:val="24"/>
        </w:rPr>
        <w:t>–</w:t>
      </w:r>
      <w:r w:rsidR="008F3F1D" w:rsidRPr="007114AF">
        <w:rPr>
          <w:rFonts w:ascii="Garamond" w:hAnsi="Garamond"/>
          <w:sz w:val="24"/>
          <w:szCs w:val="24"/>
        </w:rPr>
        <w:t xml:space="preserve"> </w:t>
      </w:r>
      <w:r w:rsidRPr="007114AF">
        <w:rPr>
          <w:rFonts w:ascii="Garamond" w:hAnsi="Garamond"/>
          <w:sz w:val="24"/>
          <w:szCs w:val="24"/>
        </w:rPr>
        <w:t xml:space="preserve">deri në vitin 2020. Sërish, Direktiva specifikon objektivat për energjinë e rinovueshme për çdo vend, duke marrë parasysh pikën e nisjes dhe potencialin e përgjithshëm për burime të rinovueshme. Objektivat shkojnë nga 10% në Maltë, në 49% në Suedi. Shtetet </w:t>
      </w:r>
      <w:r w:rsidR="008F3F1D" w:rsidRPr="007114AF">
        <w:rPr>
          <w:rFonts w:ascii="Garamond" w:hAnsi="Garamond"/>
          <w:sz w:val="24"/>
          <w:szCs w:val="24"/>
        </w:rPr>
        <w:t>a</w:t>
      </w:r>
      <w:r w:rsidRPr="007114AF">
        <w:rPr>
          <w:rFonts w:ascii="Garamond" w:hAnsi="Garamond"/>
          <w:sz w:val="24"/>
          <w:szCs w:val="24"/>
        </w:rPr>
        <w:t>nëtare janë sërish përgjegjëse për të gjetur se si do t</w:t>
      </w:r>
      <w:r w:rsidR="00D10DAB" w:rsidRPr="007114AF">
        <w:rPr>
          <w:rFonts w:ascii="Garamond" w:hAnsi="Garamond"/>
          <w:sz w:val="24"/>
          <w:szCs w:val="24"/>
        </w:rPr>
        <w:t>’</w:t>
      </w:r>
      <w:r w:rsidRPr="007114AF">
        <w:rPr>
          <w:rFonts w:ascii="Garamond" w:hAnsi="Garamond"/>
          <w:sz w:val="24"/>
          <w:szCs w:val="24"/>
        </w:rPr>
        <w:t>i përmbushin kët</w:t>
      </w:r>
      <w:r w:rsidR="008F3F1D" w:rsidRPr="007114AF">
        <w:rPr>
          <w:rFonts w:ascii="Garamond" w:hAnsi="Garamond"/>
          <w:sz w:val="24"/>
          <w:szCs w:val="24"/>
        </w:rPr>
        <w:t>a</w:t>
      </w:r>
      <w:r w:rsidRPr="007114AF">
        <w:rPr>
          <w:rFonts w:ascii="Garamond" w:hAnsi="Garamond"/>
          <w:sz w:val="24"/>
          <w:szCs w:val="24"/>
        </w:rPr>
        <w:t xml:space="preserve"> objektiva, dhe u kërkohet të specifikojnë kursin e përgjithshëm të politikes së tyre për energjinë e rinovueshme, në plane veprimi kombëtare për energjinë e rinovueshme. Një opsion që u jepet vendeve anëtare përfshin bashkëpunimin për arritjen e objektivave të Burimeve të Rinovueshme të Energjisë (BRE), përmes mekanizmave të bashkëpunimit, si transferimi statistikor i energjisë së rinovueshme, projektet e përbashkëta për energjinë e rinovueshme dhe skemat e përbashkëta të mbështetjes për energjinë e rinovueshme. Janë hartuar dispozita specifike për biokarburet, meqë ato janë vendimtare për t</w:t>
      </w:r>
      <w:r w:rsidR="00D10DAB" w:rsidRPr="007114AF">
        <w:rPr>
          <w:rFonts w:ascii="Garamond" w:hAnsi="Garamond"/>
          <w:sz w:val="24"/>
          <w:szCs w:val="24"/>
        </w:rPr>
        <w:t>’</w:t>
      </w:r>
      <w:r w:rsidRPr="007114AF">
        <w:rPr>
          <w:rFonts w:ascii="Garamond" w:hAnsi="Garamond"/>
          <w:sz w:val="24"/>
          <w:szCs w:val="24"/>
        </w:rPr>
        <w:t>i ndihmuar vendet e BE-së të plotësojnë objektivin e tyre</w:t>
      </w:r>
      <w:r w:rsidR="008F3F1D" w:rsidRPr="007114AF">
        <w:rPr>
          <w:rFonts w:ascii="Garamond" w:hAnsi="Garamond"/>
          <w:sz w:val="24"/>
          <w:szCs w:val="24"/>
        </w:rPr>
        <w:t xml:space="preserve"> </w:t>
      </w:r>
      <w:r w:rsidRPr="007114AF">
        <w:rPr>
          <w:rFonts w:ascii="Garamond" w:hAnsi="Garamond"/>
          <w:sz w:val="24"/>
          <w:szCs w:val="24"/>
        </w:rPr>
        <w:t>prej 10% për burimet e rinovueshme në transport, si dhe duhet t</w:t>
      </w:r>
      <w:r w:rsidR="00D10DAB" w:rsidRPr="007114AF">
        <w:rPr>
          <w:rFonts w:ascii="Garamond" w:hAnsi="Garamond"/>
          <w:sz w:val="24"/>
          <w:szCs w:val="24"/>
        </w:rPr>
        <w:t>’</w:t>
      </w:r>
      <w:r w:rsidRPr="007114AF">
        <w:rPr>
          <w:rFonts w:ascii="Garamond" w:hAnsi="Garamond"/>
          <w:sz w:val="24"/>
          <w:szCs w:val="24"/>
        </w:rPr>
        <w:t>i përgjigjen kriterit të qëndrueshmërisë për gjithë biokarburet e prodhuara, po të konsumuara në BE, për të garantuar që janë prodhuar në mënyrë të qëndrueshme dhe miqësore me mjedisin.</w:t>
      </w:r>
    </w:p>
    <w:p w14:paraId="6EDCF45A" w14:textId="5A56ADB0" w:rsidR="00E20D71" w:rsidRPr="007114AF" w:rsidRDefault="00E20D71" w:rsidP="00E20D71">
      <w:pPr>
        <w:spacing w:after="0" w:line="240" w:lineRule="auto"/>
        <w:ind w:firstLine="284"/>
        <w:rPr>
          <w:rFonts w:ascii="Garamond" w:hAnsi="Garamond"/>
          <w:sz w:val="24"/>
          <w:szCs w:val="24"/>
        </w:rPr>
      </w:pPr>
      <w:r w:rsidRPr="007114AF">
        <w:rPr>
          <w:rFonts w:ascii="Garamond" w:hAnsi="Garamond"/>
          <w:sz w:val="24"/>
          <w:szCs w:val="24"/>
        </w:rPr>
        <w:t>Së fundi, mjeti i tretë i madh i politikës lidhur me zbutjen e efekteve nga ndryshimet klimatike në sektorin e energjisë është gjithëpërfshirës dhe është sigurisht ETS (Sistemi i Tregtimit t</w:t>
      </w:r>
      <w:r w:rsidR="009C6C6D">
        <w:rPr>
          <w:rFonts w:ascii="Garamond" w:hAnsi="Garamond"/>
          <w:sz w:val="24"/>
          <w:szCs w:val="24"/>
        </w:rPr>
        <w:t>ë</w:t>
      </w:r>
      <w:r w:rsidRPr="007114AF">
        <w:rPr>
          <w:rFonts w:ascii="Garamond" w:hAnsi="Garamond"/>
          <w:sz w:val="24"/>
          <w:szCs w:val="24"/>
        </w:rPr>
        <w:t xml:space="preserve"> Emisioneve)</w:t>
      </w:r>
      <w:r w:rsidR="00191838" w:rsidRPr="007114AF">
        <w:rPr>
          <w:rFonts w:ascii="Garamond" w:hAnsi="Garamond"/>
          <w:sz w:val="24"/>
          <w:szCs w:val="24"/>
        </w:rPr>
        <w:t>.</w:t>
      </w:r>
      <w:r w:rsidRPr="007114AF">
        <w:rPr>
          <w:rFonts w:ascii="Garamond" w:hAnsi="Garamond"/>
          <w:sz w:val="24"/>
          <w:szCs w:val="24"/>
        </w:rPr>
        <w:t xml:space="preserve"> Ndryshe nga politika e eficiencës së energjisë, S</w:t>
      </w:r>
      <w:r w:rsidR="00FA3C19">
        <w:rPr>
          <w:rFonts w:ascii="Garamond" w:hAnsi="Garamond"/>
          <w:sz w:val="24"/>
          <w:szCs w:val="24"/>
        </w:rPr>
        <w:t>ETSH</w:t>
      </w:r>
      <w:r w:rsidRPr="007114AF">
        <w:rPr>
          <w:rFonts w:ascii="Garamond" w:hAnsi="Garamond"/>
          <w:sz w:val="24"/>
          <w:szCs w:val="24"/>
        </w:rPr>
        <w:t>-i</w:t>
      </w:r>
      <w:r w:rsidR="008F3F1D" w:rsidRPr="007114AF">
        <w:rPr>
          <w:rFonts w:ascii="Garamond" w:hAnsi="Garamond"/>
          <w:sz w:val="24"/>
          <w:szCs w:val="24"/>
        </w:rPr>
        <w:t xml:space="preserve"> </w:t>
      </w:r>
      <w:r w:rsidRPr="007114AF">
        <w:rPr>
          <w:rFonts w:ascii="Garamond" w:hAnsi="Garamond"/>
          <w:sz w:val="24"/>
          <w:szCs w:val="24"/>
        </w:rPr>
        <w:t xml:space="preserve">nga përkufizimi, duhet </w:t>
      </w:r>
      <w:r w:rsidRPr="007114AF">
        <w:rPr>
          <w:rFonts w:ascii="Garamond" w:hAnsi="Garamond"/>
          <w:sz w:val="24"/>
          <w:szCs w:val="24"/>
        </w:rPr>
        <w:lastRenderedPageBreak/>
        <w:t>zbatuar në nivel ndërkombëtar. ETS</w:t>
      </w:r>
      <w:r w:rsidR="008F3F1D" w:rsidRPr="007114AF">
        <w:rPr>
          <w:rFonts w:ascii="Garamond" w:hAnsi="Garamond"/>
          <w:sz w:val="24"/>
          <w:szCs w:val="24"/>
        </w:rPr>
        <w:t xml:space="preserve"> </w:t>
      </w:r>
      <w:r w:rsidRPr="007114AF">
        <w:rPr>
          <w:rFonts w:ascii="Garamond" w:hAnsi="Garamond"/>
          <w:sz w:val="24"/>
          <w:szCs w:val="24"/>
        </w:rPr>
        <w:t>ka qenë vitet e fundit objekt kritikash serioze, për shkak të mbifurnizimit të lejeve, duke rezultuar me çmimet aktuale (të ulëta deri në 6 €/tCO2eq) që janë shumë poshtë asaj çka nevojitet për të siguruar stimujt e duhur për dekarbonizim. Po kryhet një rishikim i madh i sistemit dhe konkluzionet e tij priten në vitin 2018. Fokusi kryesor i këtij procesi reforme do të jetë afrimi i këtij instrumenti me 21 zotimet e KeP-it. Sipas disa vëzhguesve, kjo do të kërkojë një reduktim të madh të lejeve në treg, me një normë prej rreth 4%</w:t>
      </w:r>
      <w:r w:rsidRPr="0040312C">
        <w:rPr>
          <w:rFonts w:ascii="Garamond" w:hAnsi="Garamond"/>
          <w:sz w:val="24"/>
          <w:szCs w:val="24"/>
          <w:vertAlign w:val="superscript"/>
        </w:rPr>
        <w:footnoteReference w:id="19"/>
      </w:r>
      <w:r w:rsidR="0040312C">
        <w:rPr>
          <w:rFonts w:ascii="Garamond" w:hAnsi="Garamond"/>
          <w:sz w:val="24"/>
          <w:szCs w:val="24"/>
        </w:rPr>
        <w:t xml:space="preserve"> </w:t>
      </w:r>
      <w:r w:rsidRPr="007114AF">
        <w:rPr>
          <w:rFonts w:ascii="Garamond" w:hAnsi="Garamond"/>
          <w:sz w:val="24"/>
          <w:szCs w:val="24"/>
        </w:rPr>
        <w:t>në vit. Kjo varet, sigurisht, nga roli që luajnë masa të tjera dhe nga kontributi i reduktimeve të shkarkimeve LULUCF-ë, por nënvizon magnitudën e rregullimit që nevojitet në mënyrë që</w:t>
      </w:r>
      <w:r w:rsidR="008F3F1D" w:rsidRPr="007114AF">
        <w:rPr>
          <w:rFonts w:ascii="Garamond" w:hAnsi="Garamond"/>
          <w:sz w:val="24"/>
          <w:szCs w:val="24"/>
        </w:rPr>
        <w:t xml:space="preserve"> </w:t>
      </w:r>
      <w:r w:rsidRPr="007114AF">
        <w:rPr>
          <w:rFonts w:ascii="Garamond" w:hAnsi="Garamond"/>
          <w:sz w:val="24"/>
          <w:szCs w:val="24"/>
        </w:rPr>
        <w:t xml:space="preserve">ETS të përballojë objektivat e përforcuar të masave zbutëse të BE-së. </w:t>
      </w:r>
    </w:p>
    <w:p w14:paraId="6EDCF45B" w14:textId="77777777" w:rsidR="00E20D71" w:rsidRPr="007114AF" w:rsidRDefault="001259F3" w:rsidP="00E20D71">
      <w:pPr>
        <w:spacing w:after="0" w:line="240" w:lineRule="auto"/>
        <w:ind w:firstLine="284"/>
        <w:rPr>
          <w:rFonts w:ascii="Garamond" w:hAnsi="Garamond"/>
          <w:b/>
          <w:sz w:val="24"/>
          <w:szCs w:val="24"/>
        </w:rPr>
      </w:pPr>
      <w:bookmarkStart w:id="27" w:name="_Toc484424477"/>
      <w:bookmarkStart w:id="28" w:name="__RefHeading___Toc444944783"/>
      <w:bookmarkStart w:id="29" w:name="_Toc450135228"/>
      <w:bookmarkStart w:id="30" w:name="_Toc450151831"/>
      <w:r w:rsidRPr="007114AF">
        <w:rPr>
          <w:rFonts w:ascii="Garamond" w:hAnsi="Garamond"/>
          <w:b/>
          <w:sz w:val="24"/>
          <w:szCs w:val="24"/>
        </w:rPr>
        <w:t xml:space="preserve">2.3.3 </w:t>
      </w:r>
      <w:r w:rsidR="00E20D71" w:rsidRPr="007114AF">
        <w:rPr>
          <w:rFonts w:ascii="Garamond" w:hAnsi="Garamond"/>
          <w:b/>
          <w:sz w:val="24"/>
          <w:szCs w:val="24"/>
        </w:rPr>
        <w:t>Sektori i transportit</w:t>
      </w:r>
      <w:bookmarkEnd w:id="27"/>
      <w:bookmarkEnd w:id="28"/>
      <w:bookmarkEnd w:id="29"/>
      <w:bookmarkEnd w:id="30"/>
    </w:p>
    <w:p w14:paraId="6EDCF45C" w14:textId="35E0A0AC" w:rsidR="00E20D71" w:rsidRPr="007114AF" w:rsidRDefault="00E20D71" w:rsidP="00E20D71">
      <w:pPr>
        <w:spacing w:after="0" w:line="240" w:lineRule="auto"/>
        <w:ind w:firstLine="284"/>
        <w:rPr>
          <w:rFonts w:ascii="Garamond" w:hAnsi="Garamond"/>
          <w:sz w:val="24"/>
          <w:szCs w:val="24"/>
        </w:rPr>
      </w:pPr>
      <w:r w:rsidRPr="007114AF">
        <w:rPr>
          <w:rFonts w:ascii="Garamond" w:hAnsi="Garamond"/>
          <w:sz w:val="24"/>
          <w:szCs w:val="24"/>
        </w:rPr>
        <w:t xml:space="preserve">Meqë rritja e lëvizjes në BE është e pashmangshme, masat për frenimin e shkarkimeve GES janë thelbësore në kuadrin e </w:t>
      </w:r>
      <w:r w:rsidR="000A2A01" w:rsidRPr="007114AF">
        <w:rPr>
          <w:rFonts w:ascii="Garamond" w:hAnsi="Garamond"/>
          <w:sz w:val="24"/>
          <w:szCs w:val="24"/>
        </w:rPr>
        <w:t>“</w:t>
      </w:r>
      <w:r w:rsidRPr="007114AF">
        <w:rPr>
          <w:rFonts w:ascii="Garamond" w:hAnsi="Garamond"/>
          <w:sz w:val="24"/>
          <w:szCs w:val="24"/>
        </w:rPr>
        <w:t>Planit për Ekonomi me Karbon të Ulët deri në vitin 2050</w:t>
      </w:r>
      <w:r w:rsidR="000A2A01" w:rsidRPr="007114AF">
        <w:rPr>
          <w:rFonts w:ascii="Garamond" w:hAnsi="Garamond"/>
          <w:sz w:val="24"/>
          <w:szCs w:val="24"/>
        </w:rPr>
        <w:t>”</w:t>
      </w:r>
      <w:r w:rsidRPr="007114AF">
        <w:rPr>
          <w:rFonts w:ascii="Garamond" w:hAnsi="Garamond"/>
          <w:sz w:val="24"/>
          <w:szCs w:val="24"/>
        </w:rPr>
        <w:t xml:space="preserve">. Dokumenti i Bardhë </w:t>
      </w:r>
      <w:r w:rsidR="000A2A01" w:rsidRPr="007114AF">
        <w:rPr>
          <w:rFonts w:ascii="Garamond" w:hAnsi="Garamond"/>
          <w:sz w:val="24"/>
          <w:szCs w:val="24"/>
        </w:rPr>
        <w:t>“</w:t>
      </w:r>
      <w:r w:rsidRPr="007114AF">
        <w:rPr>
          <w:rFonts w:ascii="Garamond" w:hAnsi="Garamond"/>
          <w:sz w:val="24"/>
          <w:szCs w:val="24"/>
        </w:rPr>
        <w:t>Plani për një Zonë Unike Evropiane Transporti – Drejt një sistemi transporti konkurrues dhe efikas nga ana e burimeve</w:t>
      </w:r>
      <w:r w:rsidR="000A2A01" w:rsidRPr="007114AF">
        <w:rPr>
          <w:rFonts w:ascii="Garamond" w:hAnsi="Garamond"/>
          <w:sz w:val="24"/>
          <w:szCs w:val="24"/>
        </w:rPr>
        <w:t>”</w:t>
      </w:r>
      <w:r w:rsidRPr="0040312C">
        <w:rPr>
          <w:rFonts w:ascii="Garamond" w:hAnsi="Garamond"/>
          <w:sz w:val="24"/>
          <w:szCs w:val="24"/>
          <w:vertAlign w:val="superscript"/>
        </w:rPr>
        <w:footnoteReference w:id="20"/>
      </w:r>
      <w:r w:rsidR="0040312C">
        <w:rPr>
          <w:rFonts w:ascii="Garamond" w:hAnsi="Garamond"/>
          <w:sz w:val="24"/>
          <w:szCs w:val="24"/>
        </w:rPr>
        <w:t xml:space="preserve"> </w:t>
      </w:r>
      <w:r w:rsidRPr="007114AF">
        <w:rPr>
          <w:rFonts w:ascii="Garamond" w:hAnsi="Garamond"/>
          <w:sz w:val="24"/>
          <w:szCs w:val="24"/>
        </w:rPr>
        <w:t>përmban 40 nisma konkrete për dekadën e ardhshme, për të ndërtuar një sistem transporti konkurrues që do të rrisë lëvizjen, do të largojë barrierat kryesore në fushat kyçe, si dhe do të nxisë zhvillimin dhe punësimin. Njëkohësisht, propozimet vështirë se do ta reduktojnë varësinë e Evropës</w:t>
      </w:r>
      <w:r w:rsidR="008F3F1D" w:rsidRPr="007114AF">
        <w:rPr>
          <w:rFonts w:ascii="Garamond" w:hAnsi="Garamond"/>
          <w:sz w:val="24"/>
          <w:szCs w:val="24"/>
        </w:rPr>
        <w:t xml:space="preserve"> </w:t>
      </w:r>
      <w:r w:rsidRPr="007114AF">
        <w:rPr>
          <w:rFonts w:ascii="Garamond" w:hAnsi="Garamond"/>
          <w:sz w:val="24"/>
          <w:szCs w:val="24"/>
        </w:rPr>
        <w:t>nga nafta e importuar dhe do t</w:t>
      </w:r>
      <w:r w:rsidR="00D10DAB" w:rsidRPr="007114AF">
        <w:rPr>
          <w:rFonts w:ascii="Garamond" w:hAnsi="Garamond"/>
          <w:sz w:val="24"/>
          <w:szCs w:val="24"/>
        </w:rPr>
        <w:t>’</w:t>
      </w:r>
      <w:r w:rsidRPr="007114AF">
        <w:rPr>
          <w:rFonts w:ascii="Garamond" w:hAnsi="Garamond"/>
          <w:sz w:val="24"/>
          <w:szCs w:val="24"/>
        </w:rPr>
        <w:t>i reduktojnë shkarkimet GEStë sektorit të transportit me 60% deri në vitin 2050.</w:t>
      </w:r>
    </w:p>
    <w:p w14:paraId="6EDCF45D" w14:textId="20B62D28" w:rsidR="00E20D71" w:rsidRPr="007114AF" w:rsidRDefault="00E20D71" w:rsidP="00E20D71">
      <w:pPr>
        <w:spacing w:after="0" w:line="240" w:lineRule="auto"/>
        <w:ind w:firstLine="284"/>
        <w:rPr>
          <w:rFonts w:ascii="Garamond" w:hAnsi="Garamond"/>
          <w:sz w:val="24"/>
          <w:szCs w:val="24"/>
        </w:rPr>
      </w:pPr>
      <w:r w:rsidRPr="007114AF">
        <w:rPr>
          <w:rFonts w:ascii="Garamond" w:hAnsi="Garamond"/>
          <w:sz w:val="24"/>
          <w:szCs w:val="24"/>
        </w:rPr>
        <w:t xml:space="preserve">Duke nisur nga deklarata se </w:t>
      </w:r>
      <w:r w:rsidR="000A2A01" w:rsidRPr="007114AF">
        <w:rPr>
          <w:rFonts w:ascii="Garamond" w:hAnsi="Garamond"/>
          <w:sz w:val="24"/>
          <w:szCs w:val="24"/>
        </w:rPr>
        <w:t>“</w:t>
      </w:r>
      <w:r w:rsidRPr="007114AF">
        <w:rPr>
          <w:rFonts w:ascii="Garamond" w:hAnsi="Garamond"/>
          <w:sz w:val="24"/>
          <w:szCs w:val="24"/>
        </w:rPr>
        <w:t>ulja e lëvizjes nuk është opsion</w:t>
      </w:r>
      <w:r w:rsidR="000A2A01" w:rsidRPr="007114AF">
        <w:rPr>
          <w:rFonts w:ascii="Garamond" w:hAnsi="Garamond"/>
          <w:sz w:val="24"/>
          <w:szCs w:val="24"/>
        </w:rPr>
        <w:t>”</w:t>
      </w:r>
      <w:r w:rsidRPr="007114AF">
        <w:rPr>
          <w:rFonts w:ascii="Garamond" w:hAnsi="Garamond"/>
          <w:sz w:val="24"/>
          <w:szCs w:val="24"/>
        </w:rPr>
        <w:t xml:space="preserve"> sfida është të zbutet varësia e transportit nga nafta, pa sakrifikuar efikasitetin. Mënyra për ta zhvilluar këtë ide është ndihma për krijimin e modeleve të reja të transportit, si dërgimi i vëllimeve të mëdha të mallrave dhe /ose pasagjerëve në destinacion me kombinimin më efikas të mënyrave që mund të mbështesin ndryshimin e paradigmës: efic</w:t>
      </w:r>
      <w:r w:rsidR="008F3F1D" w:rsidRPr="007114AF">
        <w:rPr>
          <w:rFonts w:ascii="Garamond" w:hAnsi="Garamond"/>
          <w:sz w:val="24"/>
          <w:szCs w:val="24"/>
        </w:rPr>
        <w:t>i</w:t>
      </w:r>
      <w:r w:rsidRPr="007114AF">
        <w:rPr>
          <w:rFonts w:ascii="Garamond" w:hAnsi="Garamond"/>
          <w:sz w:val="24"/>
          <w:szCs w:val="24"/>
        </w:rPr>
        <w:t>enca e energjisë, optimizmi i performancave operative dhe teknologjitë e reja. Prandaj, transformimi i përbashkët, i integruar dhe efikas i sektorit të transportit në nivel evropian, duhet rregulluar në mënyrë harmonike tani e tutje, duke qenë se një zhvillim vendor inkoherent mund të komprometojë rezultatet në fushat e përbashkëta.</w:t>
      </w:r>
    </w:p>
    <w:p w14:paraId="6EDCF45E" w14:textId="098C1E78" w:rsidR="00E20D71" w:rsidRPr="007114AF" w:rsidRDefault="00E20D71" w:rsidP="00E20D71">
      <w:pPr>
        <w:spacing w:after="0" w:line="240" w:lineRule="auto"/>
        <w:ind w:firstLine="284"/>
        <w:rPr>
          <w:rFonts w:ascii="Garamond" w:hAnsi="Garamond"/>
          <w:sz w:val="24"/>
          <w:szCs w:val="24"/>
        </w:rPr>
      </w:pPr>
      <w:r w:rsidRPr="007114AF">
        <w:rPr>
          <w:rFonts w:ascii="Garamond" w:hAnsi="Garamond"/>
          <w:sz w:val="24"/>
          <w:szCs w:val="24"/>
        </w:rPr>
        <w:t>Në Dokumentin e Bardhë përshkruhen dhjetë synimet specifike për një sistem transporti konkurrues dhe efikas në lidhje me burimet, si dhe për arritjen e objektivit për reduktimin e shkarkimeve GES me 60%. Objektivat specifik</w:t>
      </w:r>
      <w:r w:rsidR="00A67A6F">
        <w:rPr>
          <w:rFonts w:ascii="Garamond" w:hAnsi="Garamond"/>
          <w:sz w:val="24"/>
          <w:szCs w:val="24"/>
        </w:rPr>
        <w:t>ë</w:t>
      </w:r>
      <w:r w:rsidRPr="007114AF">
        <w:rPr>
          <w:rFonts w:ascii="Garamond" w:hAnsi="Garamond"/>
          <w:sz w:val="24"/>
          <w:szCs w:val="24"/>
        </w:rPr>
        <w:t xml:space="preserve"> lidhur me një Zonë Unike Transporti të Dokumentit të Bardhë janë mjaft ambicioze: </w:t>
      </w:r>
    </w:p>
    <w:p w14:paraId="6EDCF45F" w14:textId="77777777" w:rsidR="00E20D71" w:rsidRPr="007114AF" w:rsidRDefault="00164B6B" w:rsidP="00E20D71">
      <w:pPr>
        <w:spacing w:after="0" w:line="240" w:lineRule="auto"/>
        <w:ind w:firstLine="284"/>
        <w:rPr>
          <w:rFonts w:ascii="Garamond" w:hAnsi="Garamond"/>
          <w:sz w:val="24"/>
          <w:szCs w:val="24"/>
        </w:rPr>
      </w:pPr>
      <w:r w:rsidRPr="007114AF">
        <w:rPr>
          <w:rFonts w:ascii="Garamond" w:hAnsi="Garamond"/>
          <w:sz w:val="24"/>
          <w:szCs w:val="24"/>
        </w:rPr>
        <w:t xml:space="preserve">- </w:t>
      </w:r>
      <w:r w:rsidR="00E20D71" w:rsidRPr="007114AF">
        <w:rPr>
          <w:rFonts w:ascii="Garamond" w:hAnsi="Garamond"/>
          <w:sz w:val="24"/>
          <w:szCs w:val="24"/>
        </w:rPr>
        <w:t>Deri në vitin 2030, 30% e transportit rrugor me distancë mbi 300 km duhet të zhvendoset në mënyra të tjera, si transporti hekurudhor apo detar, dhe më shumë se 50% deri në vitin 2050.</w:t>
      </w:r>
    </w:p>
    <w:p w14:paraId="6EDCF460" w14:textId="2344C7EA" w:rsidR="00E20D71" w:rsidRPr="007114AF" w:rsidRDefault="00164B6B" w:rsidP="00E20D71">
      <w:pPr>
        <w:spacing w:after="0" w:line="240" w:lineRule="auto"/>
        <w:ind w:firstLine="284"/>
        <w:rPr>
          <w:rFonts w:ascii="Garamond" w:hAnsi="Garamond"/>
          <w:sz w:val="24"/>
          <w:szCs w:val="24"/>
        </w:rPr>
      </w:pPr>
      <w:r w:rsidRPr="007114AF">
        <w:rPr>
          <w:rFonts w:ascii="Garamond" w:hAnsi="Garamond"/>
          <w:sz w:val="24"/>
          <w:szCs w:val="24"/>
        </w:rPr>
        <w:t xml:space="preserve">- </w:t>
      </w:r>
      <w:r w:rsidR="00E20D71" w:rsidRPr="007114AF">
        <w:rPr>
          <w:rFonts w:ascii="Garamond" w:hAnsi="Garamond"/>
          <w:sz w:val="24"/>
          <w:szCs w:val="24"/>
        </w:rPr>
        <w:t>Deri në vitin 2050, duhet përfunduar</w:t>
      </w:r>
      <w:r w:rsidR="008F3F1D" w:rsidRPr="007114AF">
        <w:rPr>
          <w:rFonts w:ascii="Garamond" w:hAnsi="Garamond"/>
          <w:sz w:val="24"/>
          <w:szCs w:val="24"/>
        </w:rPr>
        <w:t xml:space="preserve"> </w:t>
      </w:r>
      <w:r w:rsidR="00E20D71" w:rsidRPr="007114AF">
        <w:rPr>
          <w:rFonts w:ascii="Garamond" w:hAnsi="Garamond"/>
          <w:sz w:val="24"/>
          <w:szCs w:val="24"/>
        </w:rPr>
        <w:t>rrjeti hekurudhor evropiani shpejtësisë së lartë dhe një rrjet i dendur hekurudhor duhet krijuar në gjithë shtetet anëtare. Deri në vitin 2050, pjesa më e madhe e lëvizjes së pasagjerëve për distancat mesatare të transportit duhet të bëhet me hekurudhë.</w:t>
      </w:r>
    </w:p>
    <w:p w14:paraId="6EDCF461" w14:textId="77777777" w:rsidR="00E20D71" w:rsidRPr="007114AF" w:rsidRDefault="00164B6B" w:rsidP="00E20D71">
      <w:pPr>
        <w:spacing w:after="0" w:line="240" w:lineRule="auto"/>
        <w:ind w:firstLine="284"/>
        <w:rPr>
          <w:rFonts w:ascii="Garamond" w:hAnsi="Garamond"/>
          <w:sz w:val="24"/>
          <w:szCs w:val="24"/>
        </w:rPr>
      </w:pPr>
      <w:r w:rsidRPr="007114AF">
        <w:rPr>
          <w:rFonts w:ascii="Garamond" w:hAnsi="Garamond"/>
          <w:sz w:val="24"/>
          <w:szCs w:val="24"/>
        </w:rPr>
        <w:t xml:space="preserve">- </w:t>
      </w:r>
      <w:r w:rsidR="00E20D71" w:rsidRPr="007114AF">
        <w:rPr>
          <w:rFonts w:ascii="Garamond" w:hAnsi="Garamond"/>
          <w:sz w:val="24"/>
          <w:szCs w:val="24"/>
        </w:rPr>
        <w:t>Deri në vitin 2030, duhet zbatuar një Rrjet Transporti TEN-T plotësisht funksional dhe multimodal në mbarë BE-në, me cilësi dhe kapacitet rrjeti të lartë deri në vitin 2050, si dhe duhet vënë në zbatim një numër korrespondues shërbimesh informuese.</w:t>
      </w:r>
    </w:p>
    <w:p w14:paraId="6EDCF462" w14:textId="77777777" w:rsidR="00E20D71" w:rsidRPr="007114AF" w:rsidRDefault="00164B6B" w:rsidP="00E20D71">
      <w:pPr>
        <w:spacing w:after="0" w:line="240" w:lineRule="auto"/>
        <w:ind w:firstLine="284"/>
        <w:rPr>
          <w:rFonts w:ascii="Garamond" w:hAnsi="Garamond"/>
          <w:sz w:val="24"/>
          <w:szCs w:val="24"/>
        </w:rPr>
      </w:pPr>
      <w:r w:rsidRPr="007114AF">
        <w:rPr>
          <w:rFonts w:ascii="Garamond" w:hAnsi="Garamond"/>
          <w:sz w:val="24"/>
          <w:szCs w:val="24"/>
        </w:rPr>
        <w:t xml:space="preserve">- </w:t>
      </w:r>
      <w:r w:rsidR="00E20D71" w:rsidRPr="007114AF">
        <w:rPr>
          <w:rFonts w:ascii="Garamond" w:hAnsi="Garamond"/>
          <w:sz w:val="24"/>
          <w:szCs w:val="24"/>
        </w:rPr>
        <w:t>Deri në vitin 2050, gjithë aeroportet kryesore duhen lidhur me rrjetin hekurudhor, mundësisht me linja me shpejtësi të lartë.</w:t>
      </w:r>
    </w:p>
    <w:p w14:paraId="6EDCF463" w14:textId="77777777" w:rsidR="00E20D71" w:rsidRPr="007114AF" w:rsidRDefault="00164B6B" w:rsidP="00E20D71">
      <w:pPr>
        <w:spacing w:after="0" w:line="240" w:lineRule="auto"/>
        <w:ind w:firstLine="284"/>
        <w:rPr>
          <w:rFonts w:ascii="Garamond" w:hAnsi="Garamond"/>
          <w:sz w:val="24"/>
          <w:szCs w:val="24"/>
        </w:rPr>
      </w:pPr>
      <w:r w:rsidRPr="007114AF">
        <w:rPr>
          <w:rFonts w:ascii="Garamond" w:hAnsi="Garamond"/>
          <w:sz w:val="24"/>
          <w:szCs w:val="24"/>
        </w:rPr>
        <w:t xml:space="preserve">- </w:t>
      </w:r>
      <w:r w:rsidR="00E20D71" w:rsidRPr="007114AF">
        <w:rPr>
          <w:rFonts w:ascii="Garamond" w:hAnsi="Garamond"/>
          <w:sz w:val="24"/>
          <w:szCs w:val="24"/>
        </w:rPr>
        <w:t>Deri në vitin 2050, duhet garantuar që gjithë portet kryesore detare të lidhen si duhet me rrjetin hekurudhor të transportit të mallrave dhe aty ku është e mundur, me sistemin e brendshëm të lumenjve.</w:t>
      </w:r>
    </w:p>
    <w:p w14:paraId="6EDCF464" w14:textId="13F673BF" w:rsidR="00E20D71" w:rsidRPr="007114AF" w:rsidRDefault="00E20D71" w:rsidP="00E20D71">
      <w:pPr>
        <w:spacing w:after="0" w:line="240" w:lineRule="auto"/>
        <w:ind w:firstLine="284"/>
        <w:rPr>
          <w:rFonts w:ascii="Garamond" w:hAnsi="Garamond"/>
          <w:sz w:val="24"/>
          <w:szCs w:val="24"/>
        </w:rPr>
      </w:pPr>
      <w:r w:rsidRPr="007114AF">
        <w:rPr>
          <w:rFonts w:ascii="Garamond" w:hAnsi="Garamond"/>
          <w:sz w:val="24"/>
          <w:szCs w:val="24"/>
        </w:rPr>
        <w:t xml:space="preserve">Në kuadrin e </w:t>
      </w:r>
      <w:r w:rsidR="000A2A01" w:rsidRPr="007114AF">
        <w:rPr>
          <w:rFonts w:ascii="Garamond" w:hAnsi="Garamond"/>
          <w:sz w:val="24"/>
          <w:szCs w:val="24"/>
        </w:rPr>
        <w:t>“</w:t>
      </w:r>
      <w:r w:rsidRPr="007114AF">
        <w:rPr>
          <w:rFonts w:ascii="Garamond" w:hAnsi="Garamond"/>
          <w:sz w:val="24"/>
          <w:szCs w:val="24"/>
        </w:rPr>
        <w:t>Paketës së BE-së për Klimën dhe Energjinë 2020</w:t>
      </w:r>
      <w:r w:rsidR="000A2A01" w:rsidRPr="007114AF">
        <w:rPr>
          <w:rFonts w:ascii="Garamond" w:hAnsi="Garamond"/>
          <w:sz w:val="24"/>
          <w:szCs w:val="24"/>
        </w:rPr>
        <w:t>”</w:t>
      </w:r>
      <w:r w:rsidRPr="007114AF">
        <w:rPr>
          <w:rFonts w:ascii="Garamond" w:hAnsi="Garamond"/>
          <w:sz w:val="24"/>
          <w:szCs w:val="24"/>
        </w:rPr>
        <w:t>, sektori i</w:t>
      </w:r>
      <w:r w:rsidR="008F3F1D" w:rsidRPr="007114AF">
        <w:rPr>
          <w:rFonts w:ascii="Garamond" w:hAnsi="Garamond"/>
          <w:sz w:val="24"/>
          <w:szCs w:val="24"/>
        </w:rPr>
        <w:t xml:space="preserve"> </w:t>
      </w:r>
      <w:r w:rsidRPr="007114AF">
        <w:rPr>
          <w:rFonts w:ascii="Garamond" w:hAnsi="Garamond"/>
          <w:sz w:val="24"/>
          <w:szCs w:val="24"/>
        </w:rPr>
        <w:t xml:space="preserve">transportit është marrë në konsideratë përmes Direktivës për Cilësinë e Lëndëve Djegëse (DCLD, Direktiva </w:t>
      </w:r>
      <w:r w:rsidRPr="007114AF">
        <w:rPr>
          <w:rFonts w:ascii="Garamond" w:hAnsi="Garamond"/>
          <w:sz w:val="24"/>
          <w:szCs w:val="24"/>
        </w:rPr>
        <w:lastRenderedPageBreak/>
        <w:t>2009/30/EC), Direktiva për Energjinë e Rinovueshme (DER, Direktiva 2009/28/EC) dhe objektivat Mjetet CO</w:t>
      </w:r>
      <w:r w:rsidRPr="007114AF">
        <w:rPr>
          <w:rFonts w:ascii="Garamond" w:hAnsi="Garamond"/>
          <w:sz w:val="24"/>
          <w:szCs w:val="24"/>
          <w:vertAlign w:val="subscript"/>
        </w:rPr>
        <w:t>2</w:t>
      </w:r>
      <w:r w:rsidRPr="007114AF">
        <w:rPr>
          <w:rFonts w:ascii="Garamond" w:hAnsi="Garamond"/>
          <w:sz w:val="24"/>
          <w:szCs w:val="24"/>
        </w:rPr>
        <w:t xml:space="preserve"> (Reg. EU 333/2014).</w:t>
      </w:r>
    </w:p>
    <w:p w14:paraId="6EDCF465" w14:textId="48EE5B81" w:rsidR="00E20D71" w:rsidRPr="007114AF" w:rsidRDefault="00E20D71" w:rsidP="00E20D71">
      <w:pPr>
        <w:spacing w:after="0" w:line="240" w:lineRule="auto"/>
        <w:ind w:firstLine="284"/>
        <w:rPr>
          <w:rFonts w:ascii="Garamond" w:hAnsi="Garamond"/>
          <w:sz w:val="24"/>
          <w:szCs w:val="24"/>
        </w:rPr>
      </w:pPr>
      <w:r w:rsidRPr="007114AF">
        <w:rPr>
          <w:rFonts w:ascii="Garamond" w:hAnsi="Garamond"/>
          <w:sz w:val="24"/>
          <w:szCs w:val="24"/>
        </w:rPr>
        <w:t>DCLD-ja (</w:t>
      </w:r>
      <w:r w:rsidR="008F3F1D" w:rsidRPr="007114AF">
        <w:rPr>
          <w:rFonts w:ascii="Garamond" w:hAnsi="Garamond"/>
          <w:sz w:val="24"/>
          <w:szCs w:val="24"/>
        </w:rPr>
        <w:t>d</w:t>
      </w:r>
      <w:r w:rsidRPr="007114AF">
        <w:rPr>
          <w:rFonts w:ascii="Garamond" w:hAnsi="Garamond"/>
          <w:sz w:val="24"/>
          <w:szCs w:val="24"/>
        </w:rPr>
        <w:t>irektiva 2009/30/EC) për kontrollin e shkarkimeve GES</w:t>
      </w:r>
      <w:r w:rsidR="008F3F1D" w:rsidRPr="007114AF">
        <w:rPr>
          <w:rFonts w:ascii="Garamond" w:hAnsi="Garamond"/>
          <w:sz w:val="24"/>
          <w:szCs w:val="24"/>
        </w:rPr>
        <w:t xml:space="preserve"> </w:t>
      </w:r>
      <w:r w:rsidRPr="007114AF">
        <w:rPr>
          <w:rFonts w:ascii="Garamond" w:hAnsi="Garamond"/>
          <w:sz w:val="24"/>
          <w:szCs w:val="24"/>
        </w:rPr>
        <w:t>në nivel BE-je, kërkon që intensiteti i gazeve serrë të shkaktuara nga përdorimi i lëndëve djegëse nga mjetet, të reduktohet deri në 6% deri në vitin 2020. Kjo zbatohet për gjithë benzinën, naftën dhe biokarburet që përdoren në transportin rrugor, si dhe gazoilin e përdorur në makineritë jo për transport, çka në të kaluarën ka treguar rezultate me rëndësi në reduktimin e përmbajtjes së sulfurit të lëndëve djegëse. Objektivi i DER-it (</w:t>
      </w:r>
      <w:r w:rsidR="008F3F1D" w:rsidRPr="007114AF">
        <w:rPr>
          <w:rFonts w:ascii="Garamond" w:hAnsi="Garamond"/>
          <w:sz w:val="24"/>
          <w:szCs w:val="24"/>
        </w:rPr>
        <w:t>d</w:t>
      </w:r>
      <w:r w:rsidRPr="007114AF">
        <w:rPr>
          <w:rFonts w:ascii="Garamond" w:hAnsi="Garamond"/>
          <w:sz w:val="24"/>
          <w:szCs w:val="24"/>
        </w:rPr>
        <w:t>irektiva 2009/28/EC) synon që 10% e energjisë që konsumohet për transport, të gjenerohet nga burime të energjisë së rinovueshme deri në vitin 2020. Objektivat për CO</w:t>
      </w:r>
      <w:r w:rsidRPr="007114AF">
        <w:rPr>
          <w:rFonts w:ascii="Garamond" w:hAnsi="Garamond"/>
          <w:sz w:val="24"/>
          <w:szCs w:val="24"/>
          <w:vertAlign w:val="subscript"/>
        </w:rPr>
        <w:t>2</w:t>
      </w:r>
      <w:r w:rsidRPr="007114AF">
        <w:rPr>
          <w:rFonts w:ascii="Garamond" w:hAnsi="Garamond"/>
          <w:sz w:val="24"/>
          <w:szCs w:val="24"/>
        </w:rPr>
        <w:t xml:space="preserve"> përcaktohen në Rregulloren (BE 333/2014) për shitjet e mjeteve të reja në vitin 2021. Direktiva për Etiketimin e Makinave (</w:t>
      </w:r>
      <w:r w:rsidR="00D8298D" w:rsidRPr="007114AF">
        <w:rPr>
          <w:rFonts w:ascii="Garamond" w:hAnsi="Garamond"/>
          <w:sz w:val="24"/>
          <w:szCs w:val="24"/>
        </w:rPr>
        <w:t>d</w:t>
      </w:r>
      <w:r w:rsidRPr="007114AF">
        <w:rPr>
          <w:rFonts w:ascii="Garamond" w:hAnsi="Garamond"/>
          <w:sz w:val="24"/>
          <w:szCs w:val="24"/>
        </w:rPr>
        <w:t>irektiva 1999/94/EC),</w:t>
      </w:r>
      <w:r w:rsidR="00D8298D" w:rsidRPr="007114AF">
        <w:rPr>
          <w:rFonts w:ascii="Garamond" w:hAnsi="Garamond"/>
          <w:sz w:val="24"/>
          <w:szCs w:val="24"/>
        </w:rPr>
        <w:t xml:space="preserve"> </w:t>
      </w:r>
      <w:r w:rsidRPr="007114AF">
        <w:rPr>
          <w:rFonts w:ascii="Garamond" w:hAnsi="Garamond"/>
          <w:sz w:val="24"/>
          <w:szCs w:val="24"/>
        </w:rPr>
        <w:t>që ka qenë një instrument interesant për t</w:t>
      </w:r>
      <w:r w:rsidR="00D10DAB" w:rsidRPr="007114AF">
        <w:rPr>
          <w:rFonts w:ascii="Garamond" w:hAnsi="Garamond"/>
          <w:sz w:val="24"/>
          <w:szCs w:val="24"/>
        </w:rPr>
        <w:t>’</w:t>
      </w:r>
      <w:r w:rsidRPr="007114AF">
        <w:rPr>
          <w:rFonts w:ascii="Garamond" w:hAnsi="Garamond"/>
          <w:sz w:val="24"/>
          <w:szCs w:val="24"/>
        </w:rPr>
        <w:t>iu qasur ndërgjegjësimit të konsumatorëve privatë për përdorimin e lëndëve djegëse dhe shkarkimit të CO</w:t>
      </w:r>
      <w:r w:rsidRPr="007114AF">
        <w:rPr>
          <w:rFonts w:ascii="Garamond" w:hAnsi="Garamond"/>
          <w:sz w:val="24"/>
          <w:szCs w:val="24"/>
          <w:vertAlign w:val="subscript"/>
        </w:rPr>
        <w:t>2</w:t>
      </w:r>
      <w:r w:rsidR="00D8298D" w:rsidRPr="007114AF">
        <w:rPr>
          <w:rFonts w:ascii="Garamond" w:hAnsi="Garamond"/>
          <w:sz w:val="24"/>
          <w:szCs w:val="24"/>
          <w:vertAlign w:val="subscript"/>
        </w:rPr>
        <w:t xml:space="preserve"> </w:t>
      </w:r>
      <w:r w:rsidRPr="007114AF">
        <w:rPr>
          <w:rFonts w:ascii="Garamond" w:hAnsi="Garamond"/>
          <w:sz w:val="24"/>
          <w:szCs w:val="24"/>
        </w:rPr>
        <w:t>dhe për politikën e kërkesës, konsiderohet një masë e rëndësishme plotësuese për t</w:t>
      </w:r>
      <w:r w:rsidR="00D10DAB" w:rsidRPr="007114AF">
        <w:rPr>
          <w:rFonts w:ascii="Garamond" w:hAnsi="Garamond"/>
          <w:sz w:val="24"/>
          <w:szCs w:val="24"/>
        </w:rPr>
        <w:t>’</w:t>
      </w:r>
      <w:r w:rsidRPr="007114AF">
        <w:rPr>
          <w:rFonts w:ascii="Garamond" w:hAnsi="Garamond"/>
          <w:sz w:val="24"/>
          <w:szCs w:val="24"/>
        </w:rPr>
        <w:t>i ndihmuar prodhuesit e makinave të përmbushin objektivat e tyre specifikë për shkarkimet e CO</w:t>
      </w:r>
      <w:r w:rsidRPr="007114AF">
        <w:rPr>
          <w:rFonts w:ascii="Garamond" w:hAnsi="Garamond"/>
          <w:sz w:val="24"/>
          <w:szCs w:val="24"/>
          <w:vertAlign w:val="subscript"/>
        </w:rPr>
        <w:t>2</w:t>
      </w:r>
      <w:r w:rsidRPr="007114AF">
        <w:rPr>
          <w:rFonts w:ascii="Garamond" w:hAnsi="Garamond"/>
          <w:sz w:val="24"/>
          <w:szCs w:val="24"/>
        </w:rPr>
        <w:t xml:space="preserve">, siç përcaktohen në Rregullore. </w:t>
      </w:r>
    </w:p>
    <w:p w14:paraId="6EDCF466" w14:textId="206BE5C9" w:rsidR="00E20D71" w:rsidRPr="007114AF" w:rsidRDefault="00E20D71" w:rsidP="00E20D71">
      <w:pPr>
        <w:spacing w:after="0" w:line="240" w:lineRule="auto"/>
        <w:ind w:firstLine="284"/>
        <w:rPr>
          <w:rFonts w:ascii="Garamond" w:hAnsi="Garamond"/>
          <w:sz w:val="24"/>
          <w:szCs w:val="24"/>
        </w:rPr>
      </w:pPr>
      <w:r w:rsidRPr="007114AF">
        <w:rPr>
          <w:rFonts w:ascii="Garamond" w:hAnsi="Garamond"/>
          <w:sz w:val="24"/>
          <w:szCs w:val="24"/>
        </w:rPr>
        <w:t xml:space="preserve">Me </w:t>
      </w:r>
      <w:r w:rsidR="000A2A01" w:rsidRPr="007114AF">
        <w:rPr>
          <w:rFonts w:ascii="Garamond" w:hAnsi="Garamond"/>
          <w:sz w:val="24"/>
          <w:szCs w:val="24"/>
        </w:rPr>
        <w:t>“</w:t>
      </w:r>
      <w:r w:rsidRPr="007114AF">
        <w:rPr>
          <w:rFonts w:ascii="Garamond" w:hAnsi="Garamond"/>
          <w:sz w:val="24"/>
          <w:szCs w:val="24"/>
        </w:rPr>
        <w:t>Paketën e Lëvizjes Urbane</w:t>
      </w:r>
      <w:r w:rsidR="000A2A01" w:rsidRPr="007114AF">
        <w:rPr>
          <w:rFonts w:ascii="Garamond" w:hAnsi="Garamond"/>
          <w:sz w:val="24"/>
          <w:szCs w:val="24"/>
        </w:rPr>
        <w:t>”</w:t>
      </w:r>
      <w:r w:rsidRPr="007114AF">
        <w:rPr>
          <w:rFonts w:ascii="Garamond" w:hAnsi="Garamond"/>
          <w:sz w:val="24"/>
          <w:szCs w:val="24"/>
        </w:rPr>
        <w:t>, Komisioni forcon masat mbështetëse në fushën e transportiturban, duken</w:t>
      </w:r>
      <w:r w:rsidR="00D8298D" w:rsidRPr="007114AF">
        <w:rPr>
          <w:rFonts w:ascii="Garamond" w:hAnsi="Garamond"/>
          <w:sz w:val="24"/>
          <w:szCs w:val="24"/>
        </w:rPr>
        <w:t xml:space="preserve"> </w:t>
      </w:r>
      <w:r w:rsidRPr="007114AF">
        <w:rPr>
          <w:rFonts w:ascii="Garamond" w:hAnsi="Garamond"/>
          <w:sz w:val="24"/>
          <w:szCs w:val="24"/>
        </w:rPr>
        <w:t xml:space="preserve">darë eksperiencat, duke treguar praktikat më të mira, duke nxitur bashkëpunimin, duke siguruar mbështetje të përcaktuar financiare, duke e fokusuar kërkimin dhe risinë te gjetja e zgjidhjeve për sfidat e lëvizjes urbane, duke përfshirë </w:t>
      </w:r>
      <w:r w:rsidR="00D8298D" w:rsidRPr="007114AF">
        <w:rPr>
          <w:rFonts w:ascii="Garamond" w:hAnsi="Garamond"/>
          <w:sz w:val="24"/>
          <w:szCs w:val="24"/>
        </w:rPr>
        <w:t>shtetet anëtare</w:t>
      </w:r>
      <w:r w:rsidRPr="007114AF">
        <w:rPr>
          <w:rFonts w:ascii="Garamond" w:hAnsi="Garamond"/>
          <w:sz w:val="24"/>
          <w:szCs w:val="24"/>
        </w:rPr>
        <w:t>, si dhe duke nxitur bashkëpunimin ndërkombëtar. Planifikimi i Lëvizjes së Qëndrueshme Urbane</w:t>
      </w:r>
      <w:r w:rsidRPr="007114AF">
        <w:rPr>
          <w:rFonts w:ascii="Garamond" w:hAnsi="Garamond"/>
          <w:sz w:val="24"/>
          <w:szCs w:val="24"/>
          <w:vertAlign w:val="superscript"/>
        </w:rPr>
        <w:footnoteReference w:id="21"/>
      </w:r>
      <w:r w:rsidR="00D8298D" w:rsidRPr="007114AF">
        <w:rPr>
          <w:rFonts w:ascii="Garamond" w:hAnsi="Garamond"/>
          <w:sz w:val="24"/>
          <w:szCs w:val="24"/>
        </w:rPr>
        <w:t xml:space="preserve"> </w:t>
      </w:r>
      <w:r w:rsidRPr="007114AF">
        <w:rPr>
          <w:rFonts w:ascii="Garamond" w:hAnsi="Garamond"/>
          <w:sz w:val="24"/>
          <w:szCs w:val="24"/>
        </w:rPr>
        <w:t>është tema më e rëndësishme në Paketën e Lëvizjes Urbane të Komisionit. Koncepti i saj merr në konsideratë zonën urbane funksionale dhe parashikon që planet të hartohen në bashkëpunim, në fusha dhe sektorë të ndryshëm të politikave;</w:t>
      </w:r>
      <w:r w:rsidR="00D8298D" w:rsidRPr="007114AF">
        <w:rPr>
          <w:rFonts w:ascii="Garamond" w:hAnsi="Garamond"/>
          <w:sz w:val="24"/>
          <w:szCs w:val="24"/>
        </w:rPr>
        <w:t xml:space="preserve"> </w:t>
      </w:r>
      <w:r w:rsidRPr="007114AF">
        <w:rPr>
          <w:rFonts w:ascii="Garamond" w:hAnsi="Garamond"/>
          <w:sz w:val="24"/>
          <w:szCs w:val="24"/>
        </w:rPr>
        <w:t>në nivele të ndryshme të qeverisë dhe administratës, si dhe në bashkëpunim me qytetarët dhe palë të tjera të interesuara.</w:t>
      </w:r>
    </w:p>
    <w:p w14:paraId="6EDCF467" w14:textId="5C329F65" w:rsidR="00E20D71" w:rsidRPr="007114AF" w:rsidRDefault="00E20D71" w:rsidP="00E20D71">
      <w:pPr>
        <w:spacing w:after="0" w:line="240" w:lineRule="auto"/>
        <w:ind w:firstLine="284"/>
        <w:rPr>
          <w:rFonts w:ascii="Garamond" w:hAnsi="Garamond"/>
          <w:sz w:val="24"/>
          <w:szCs w:val="24"/>
        </w:rPr>
      </w:pPr>
      <w:r w:rsidRPr="007114AF">
        <w:rPr>
          <w:rFonts w:ascii="Garamond" w:hAnsi="Garamond"/>
          <w:sz w:val="24"/>
          <w:szCs w:val="24"/>
        </w:rPr>
        <w:t>Objektivat politik</w:t>
      </w:r>
      <w:r w:rsidR="00003AEC">
        <w:rPr>
          <w:rFonts w:ascii="Garamond" w:hAnsi="Garamond"/>
          <w:sz w:val="24"/>
          <w:szCs w:val="24"/>
        </w:rPr>
        <w:t>ë</w:t>
      </w:r>
      <w:r w:rsidRPr="007114AF">
        <w:rPr>
          <w:rFonts w:ascii="Garamond" w:hAnsi="Garamond"/>
          <w:sz w:val="24"/>
          <w:szCs w:val="24"/>
        </w:rPr>
        <w:t xml:space="preserve"> në zhvillimin urban të BE-së për periudhën 2014</w:t>
      </w:r>
      <w:r w:rsidR="00D8298D" w:rsidRPr="007114AF">
        <w:rPr>
          <w:rFonts w:ascii="Garamond" w:hAnsi="Garamond"/>
          <w:sz w:val="24"/>
          <w:szCs w:val="24"/>
        </w:rPr>
        <w:t>–</w:t>
      </w:r>
      <w:r w:rsidRPr="007114AF">
        <w:rPr>
          <w:rFonts w:ascii="Garamond" w:hAnsi="Garamond"/>
          <w:sz w:val="24"/>
          <w:szCs w:val="24"/>
        </w:rPr>
        <w:t xml:space="preserve">2020, marrin në konsideratë masa të rëndësishme për lëvizjen e qëndrueshme urbane. Trajtimi i çështjes së reduktimit të shkarkimeve nga transporti, përmes mbështetjes së planifikimit dhe infrastrukturës urbane, është pa dyshim një përqasje fituese për një Evropë të gjelbër. Promovimi i transportit të qëndrueshëm dhe heqja e pengesave në infrastrukturat kyçe të transportit është një nga njëmbëdhjetë </w:t>
      </w:r>
      <w:r w:rsidR="00003AEC" w:rsidRPr="007114AF">
        <w:rPr>
          <w:rFonts w:ascii="Garamond" w:hAnsi="Garamond"/>
          <w:sz w:val="24"/>
          <w:szCs w:val="24"/>
        </w:rPr>
        <w:t>objektivat tematik</w:t>
      </w:r>
      <w:r w:rsidR="00003AEC">
        <w:rPr>
          <w:rFonts w:ascii="Garamond" w:hAnsi="Garamond"/>
          <w:sz w:val="24"/>
          <w:szCs w:val="24"/>
        </w:rPr>
        <w:t>ë</w:t>
      </w:r>
      <w:r w:rsidR="00003AEC" w:rsidRPr="007114AF">
        <w:rPr>
          <w:rFonts w:ascii="Garamond" w:hAnsi="Garamond"/>
          <w:sz w:val="24"/>
          <w:szCs w:val="24"/>
        </w:rPr>
        <w:t xml:space="preserve"> për politikat e kohezionit </w:t>
      </w:r>
      <w:r w:rsidRPr="007114AF">
        <w:rPr>
          <w:rFonts w:ascii="Garamond" w:hAnsi="Garamond"/>
          <w:sz w:val="24"/>
          <w:szCs w:val="24"/>
        </w:rPr>
        <w:t>për periudhën 2014</w:t>
      </w:r>
      <w:r w:rsidR="00D8298D" w:rsidRPr="007114AF">
        <w:rPr>
          <w:rFonts w:ascii="Garamond" w:hAnsi="Garamond"/>
          <w:sz w:val="24"/>
          <w:szCs w:val="24"/>
        </w:rPr>
        <w:t>–</w:t>
      </w:r>
      <w:r w:rsidRPr="007114AF">
        <w:rPr>
          <w:rFonts w:ascii="Garamond" w:hAnsi="Garamond"/>
          <w:sz w:val="24"/>
          <w:szCs w:val="24"/>
        </w:rPr>
        <w:t>2020. Mbështetja e Fondit Evropian</w:t>
      </w:r>
      <w:r w:rsidR="00D8298D" w:rsidRPr="007114AF">
        <w:rPr>
          <w:rFonts w:ascii="Garamond" w:hAnsi="Garamond"/>
          <w:sz w:val="24"/>
          <w:szCs w:val="24"/>
        </w:rPr>
        <w:t xml:space="preserve"> </w:t>
      </w:r>
      <w:r w:rsidRPr="007114AF">
        <w:rPr>
          <w:rFonts w:ascii="Garamond" w:hAnsi="Garamond"/>
          <w:sz w:val="24"/>
          <w:szCs w:val="24"/>
        </w:rPr>
        <w:t>për Zhvillim Rajonal (ERDF) dhe Fondit të Kohezionit siguron bashkëfinancimin e BE-së, për projekte që lidhen me përparësitë e mëposhtme të investimeve, në kuadrin e objektivit tematik 7-të:</w:t>
      </w:r>
    </w:p>
    <w:p w14:paraId="6EDCF468" w14:textId="17483E93" w:rsidR="00E20D71" w:rsidRPr="007114AF" w:rsidRDefault="00164B6B" w:rsidP="00E20D71">
      <w:pPr>
        <w:spacing w:after="0" w:line="240" w:lineRule="auto"/>
        <w:ind w:firstLine="284"/>
        <w:rPr>
          <w:rFonts w:ascii="Garamond" w:hAnsi="Garamond"/>
          <w:sz w:val="24"/>
          <w:szCs w:val="24"/>
        </w:rPr>
      </w:pPr>
      <w:r w:rsidRPr="007114AF">
        <w:rPr>
          <w:rFonts w:ascii="Garamond" w:hAnsi="Garamond"/>
          <w:sz w:val="24"/>
          <w:szCs w:val="24"/>
        </w:rPr>
        <w:t xml:space="preserve">- </w:t>
      </w:r>
      <w:r w:rsidR="00E20D71" w:rsidRPr="007114AF">
        <w:rPr>
          <w:rFonts w:ascii="Garamond" w:hAnsi="Garamond"/>
          <w:sz w:val="24"/>
          <w:szCs w:val="24"/>
        </w:rPr>
        <w:t>Investimi në rrjetin Transevropian</w:t>
      </w:r>
      <w:r w:rsidR="00D8298D" w:rsidRPr="007114AF">
        <w:rPr>
          <w:rFonts w:ascii="Garamond" w:hAnsi="Garamond"/>
          <w:sz w:val="24"/>
          <w:szCs w:val="24"/>
        </w:rPr>
        <w:t xml:space="preserve"> </w:t>
      </w:r>
      <w:r w:rsidR="00E20D71" w:rsidRPr="007114AF">
        <w:rPr>
          <w:rFonts w:ascii="Garamond" w:hAnsi="Garamond"/>
          <w:sz w:val="24"/>
          <w:szCs w:val="24"/>
        </w:rPr>
        <w:t>të Transportit (TEN-T).</w:t>
      </w:r>
    </w:p>
    <w:p w14:paraId="6EDCF469" w14:textId="77777777" w:rsidR="00E20D71" w:rsidRPr="007114AF" w:rsidRDefault="00164B6B" w:rsidP="00E20D71">
      <w:pPr>
        <w:spacing w:after="0" w:line="240" w:lineRule="auto"/>
        <w:ind w:firstLine="284"/>
        <w:rPr>
          <w:rFonts w:ascii="Garamond" w:hAnsi="Garamond"/>
          <w:sz w:val="24"/>
          <w:szCs w:val="24"/>
        </w:rPr>
      </w:pPr>
      <w:r w:rsidRPr="007114AF">
        <w:rPr>
          <w:rFonts w:ascii="Garamond" w:hAnsi="Garamond"/>
          <w:sz w:val="24"/>
          <w:szCs w:val="24"/>
        </w:rPr>
        <w:t xml:space="preserve">- </w:t>
      </w:r>
      <w:r w:rsidR="00E20D71" w:rsidRPr="007114AF">
        <w:rPr>
          <w:rFonts w:ascii="Garamond" w:hAnsi="Garamond"/>
          <w:sz w:val="24"/>
          <w:szCs w:val="24"/>
        </w:rPr>
        <w:t>Nxitja e lëvizjes rajonale, duke lidhur nyjat dytësore dhe terciare me infrastrukturën TEN-T përfshirë nyjat multimodale.</w:t>
      </w:r>
    </w:p>
    <w:p w14:paraId="6EDCF46A" w14:textId="59789DDE" w:rsidR="00E20D71" w:rsidRPr="007114AF" w:rsidRDefault="00164B6B" w:rsidP="00E20D71">
      <w:pPr>
        <w:spacing w:after="0" w:line="240" w:lineRule="auto"/>
        <w:ind w:firstLine="284"/>
        <w:rPr>
          <w:rFonts w:ascii="Garamond" w:hAnsi="Garamond"/>
          <w:sz w:val="24"/>
          <w:szCs w:val="24"/>
        </w:rPr>
      </w:pPr>
      <w:r w:rsidRPr="007114AF">
        <w:rPr>
          <w:rFonts w:ascii="Garamond" w:hAnsi="Garamond"/>
          <w:sz w:val="24"/>
          <w:szCs w:val="24"/>
        </w:rPr>
        <w:t xml:space="preserve">- </w:t>
      </w:r>
      <w:r w:rsidR="00E20D71" w:rsidRPr="007114AF">
        <w:rPr>
          <w:rFonts w:ascii="Garamond" w:hAnsi="Garamond"/>
          <w:sz w:val="24"/>
          <w:szCs w:val="24"/>
        </w:rPr>
        <w:t>Zhvillimi dhe përmirësimi i sistemeve të transportit miqësore me mjedisin (përfshirë zhurmat e ulëta) dhe me nivele karboni</w:t>
      </w:r>
      <w:r w:rsidR="00467273" w:rsidRPr="007114AF">
        <w:rPr>
          <w:rFonts w:ascii="Garamond" w:hAnsi="Garamond"/>
          <w:sz w:val="24"/>
          <w:szCs w:val="24"/>
        </w:rPr>
        <w:t xml:space="preserve"> </w:t>
      </w:r>
      <w:r w:rsidR="00E20D71" w:rsidRPr="007114AF">
        <w:rPr>
          <w:rFonts w:ascii="Garamond" w:hAnsi="Garamond"/>
          <w:sz w:val="24"/>
          <w:szCs w:val="24"/>
        </w:rPr>
        <w:t>të ulët, përfshirë transportin e brendshëm lumor dhe detar, portet lidhjet multimodale dhe infrastrukturën e aeroporteve, për të promovuar lëvizjen e qëndrueshme rajonale dhe vendore.</w:t>
      </w:r>
    </w:p>
    <w:p w14:paraId="6EDCF46B" w14:textId="77777777" w:rsidR="00E20D71" w:rsidRPr="007114AF" w:rsidRDefault="00164B6B" w:rsidP="00E20D71">
      <w:pPr>
        <w:spacing w:after="0" w:line="240" w:lineRule="auto"/>
        <w:ind w:firstLine="284"/>
        <w:rPr>
          <w:rFonts w:ascii="Garamond" w:hAnsi="Garamond"/>
          <w:sz w:val="24"/>
          <w:szCs w:val="24"/>
        </w:rPr>
      </w:pPr>
      <w:r w:rsidRPr="007114AF">
        <w:rPr>
          <w:rFonts w:ascii="Garamond" w:hAnsi="Garamond"/>
          <w:sz w:val="24"/>
          <w:szCs w:val="24"/>
        </w:rPr>
        <w:t xml:space="preserve">- </w:t>
      </w:r>
      <w:r w:rsidR="00E20D71" w:rsidRPr="007114AF">
        <w:rPr>
          <w:rFonts w:ascii="Garamond" w:hAnsi="Garamond"/>
          <w:sz w:val="24"/>
          <w:szCs w:val="24"/>
        </w:rPr>
        <w:t>Zhvillimi dhe rehabilitimi i sistemeve hekurudhore gjithëpërfshirëse, me cilësi të larta dhe ndëroperuese, si dhe nxitja e masave për reduktimin e zhurmës.</w:t>
      </w:r>
    </w:p>
    <w:p w14:paraId="6EDCF46C" w14:textId="6B3BF92E" w:rsidR="00E20D71" w:rsidRPr="007114AF" w:rsidRDefault="00E20D71" w:rsidP="00E20D71">
      <w:pPr>
        <w:spacing w:after="0" w:line="240" w:lineRule="auto"/>
        <w:ind w:firstLine="284"/>
        <w:rPr>
          <w:rFonts w:ascii="Garamond" w:hAnsi="Garamond"/>
          <w:sz w:val="24"/>
          <w:szCs w:val="24"/>
        </w:rPr>
      </w:pPr>
      <w:r w:rsidRPr="007114AF">
        <w:rPr>
          <w:rFonts w:ascii="Garamond" w:hAnsi="Garamond"/>
          <w:sz w:val="24"/>
          <w:szCs w:val="24"/>
        </w:rPr>
        <w:t>Për më tepër, BE-ja mbështet investimet e finalizuara për zhvendosjen drejt një ekonomie me karbon të ulët në sektorët e transportit, veçanërisht për të nxitur lëvizjen e qëndrueshme multimodale urbane</w:t>
      </w:r>
      <w:r w:rsidR="00467273" w:rsidRPr="007114AF">
        <w:rPr>
          <w:rFonts w:ascii="Garamond" w:hAnsi="Garamond"/>
          <w:sz w:val="24"/>
          <w:szCs w:val="24"/>
        </w:rPr>
        <w:t xml:space="preserve"> </w:t>
      </w:r>
      <w:r w:rsidRPr="007114AF">
        <w:rPr>
          <w:rFonts w:ascii="Garamond" w:hAnsi="Garamond"/>
          <w:sz w:val="24"/>
          <w:szCs w:val="24"/>
        </w:rPr>
        <w:t>(objektivi</w:t>
      </w:r>
      <w:r w:rsidR="00467273" w:rsidRPr="007114AF">
        <w:rPr>
          <w:rFonts w:ascii="Garamond" w:hAnsi="Garamond"/>
          <w:sz w:val="24"/>
          <w:szCs w:val="24"/>
        </w:rPr>
        <w:t xml:space="preserve"> </w:t>
      </w:r>
      <w:r w:rsidRPr="007114AF">
        <w:rPr>
          <w:rFonts w:ascii="Garamond" w:hAnsi="Garamond"/>
          <w:sz w:val="24"/>
          <w:szCs w:val="24"/>
        </w:rPr>
        <w:t>tematik 4). Për t</w:t>
      </w:r>
      <w:r w:rsidR="00D10DAB" w:rsidRPr="007114AF">
        <w:rPr>
          <w:rFonts w:ascii="Garamond" w:hAnsi="Garamond"/>
          <w:sz w:val="24"/>
          <w:szCs w:val="24"/>
        </w:rPr>
        <w:t>’</w:t>
      </w:r>
      <w:r w:rsidRPr="007114AF">
        <w:rPr>
          <w:rFonts w:ascii="Garamond" w:hAnsi="Garamond"/>
          <w:sz w:val="24"/>
          <w:szCs w:val="24"/>
        </w:rPr>
        <w:t>u siguruar që këto investime të kenë ndikimin maksimal, vëmendje e veçantë i kushtohet, gjatë periudhës 2014</w:t>
      </w:r>
      <w:r w:rsidR="00A055E5">
        <w:rPr>
          <w:rFonts w:ascii="Garamond" w:hAnsi="Garamond"/>
          <w:sz w:val="24"/>
          <w:szCs w:val="24"/>
        </w:rPr>
        <w:t>–</w:t>
      </w:r>
      <w:r w:rsidRPr="007114AF">
        <w:rPr>
          <w:rFonts w:ascii="Garamond" w:hAnsi="Garamond"/>
          <w:sz w:val="24"/>
          <w:szCs w:val="24"/>
        </w:rPr>
        <w:t>2020,</w:t>
      </w:r>
      <w:r w:rsidR="00467273" w:rsidRPr="007114AF">
        <w:rPr>
          <w:rFonts w:ascii="Garamond" w:hAnsi="Garamond"/>
          <w:sz w:val="24"/>
          <w:szCs w:val="24"/>
        </w:rPr>
        <w:t xml:space="preserve"> </w:t>
      </w:r>
      <w:r w:rsidRPr="007114AF">
        <w:rPr>
          <w:rFonts w:ascii="Garamond" w:hAnsi="Garamond"/>
          <w:sz w:val="24"/>
          <w:szCs w:val="24"/>
        </w:rPr>
        <w:t xml:space="preserve">nevojës për të siguruar një mjedis të </w:t>
      </w:r>
      <w:r w:rsidR="00A055E5" w:rsidRPr="007114AF">
        <w:rPr>
          <w:rFonts w:ascii="Garamond" w:hAnsi="Garamond"/>
          <w:sz w:val="24"/>
          <w:szCs w:val="24"/>
        </w:rPr>
        <w:t>shënd</w:t>
      </w:r>
      <w:r w:rsidR="00A055E5">
        <w:rPr>
          <w:rFonts w:ascii="Garamond" w:hAnsi="Garamond"/>
          <w:sz w:val="24"/>
          <w:szCs w:val="24"/>
        </w:rPr>
        <w:t>etsh</w:t>
      </w:r>
      <w:r w:rsidR="00A055E5" w:rsidRPr="007114AF">
        <w:rPr>
          <w:rFonts w:ascii="Garamond" w:hAnsi="Garamond"/>
          <w:sz w:val="24"/>
          <w:szCs w:val="24"/>
        </w:rPr>
        <w:t xml:space="preserve">ëm </w:t>
      </w:r>
      <w:r w:rsidRPr="007114AF">
        <w:rPr>
          <w:rFonts w:ascii="Garamond" w:hAnsi="Garamond"/>
          <w:sz w:val="24"/>
          <w:szCs w:val="24"/>
        </w:rPr>
        <w:t>strategjik.</w:t>
      </w:r>
    </w:p>
    <w:p w14:paraId="6EDCF46D" w14:textId="3232177E" w:rsidR="00E20D71" w:rsidRPr="007114AF" w:rsidRDefault="00E20D71" w:rsidP="00E20D71">
      <w:pPr>
        <w:spacing w:after="0" w:line="240" w:lineRule="auto"/>
        <w:ind w:firstLine="284"/>
        <w:rPr>
          <w:rFonts w:ascii="Garamond" w:hAnsi="Garamond"/>
          <w:sz w:val="24"/>
          <w:szCs w:val="24"/>
        </w:rPr>
      </w:pPr>
      <w:r w:rsidRPr="007114AF">
        <w:rPr>
          <w:rFonts w:ascii="Garamond" w:hAnsi="Garamond"/>
          <w:sz w:val="24"/>
          <w:szCs w:val="24"/>
        </w:rPr>
        <w:lastRenderedPageBreak/>
        <w:t>Një Komunikatë Evropiane e kohëve të fundit (501/2016) i qaset në mënyrë specifike, kuadrit të Lëvizjes me Shkarkime të Ulëta, përmes objektivave kyç</w:t>
      </w:r>
      <w:r w:rsidR="00467273" w:rsidRPr="007114AF">
        <w:rPr>
          <w:rFonts w:ascii="Garamond" w:hAnsi="Garamond"/>
          <w:sz w:val="24"/>
          <w:szCs w:val="24"/>
        </w:rPr>
        <w:t>,</w:t>
      </w:r>
      <w:r w:rsidRPr="007114AF">
        <w:rPr>
          <w:rFonts w:ascii="Garamond" w:hAnsi="Garamond"/>
          <w:sz w:val="24"/>
          <w:szCs w:val="24"/>
        </w:rPr>
        <w:t xml:space="preserve"> si</w:t>
      </w:r>
      <w:r w:rsidR="00467273" w:rsidRPr="007114AF">
        <w:rPr>
          <w:rFonts w:ascii="Garamond" w:hAnsi="Garamond"/>
          <w:sz w:val="24"/>
          <w:szCs w:val="24"/>
        </w:rPr>
        <w:t>:</w:t>
      </w:r>
      <w:r w:rsidRPr="007114AF">
        <w:rPr>
          <w:rFonts w:ascii="Garamond" w:hAnsi="Garamond"/>
          <w:sz w:val="24"/>
          <w:szCs w:val="24"/>
        </w:rPr>
        <w:t xml:space="preserve"> (I) efikasitet më i lartë i sistemit të transportit, (II) energji me alternative shkarkimesh të ulëta për transportin</w:t>
      </w:r>
      <w:r w:rsidR="0082368C">
        <w:rPr>
          <w:rFonts w:ascii="Garamond" w:hAnsi="Garamond"/>
          <w:sz w:val="24"/>
          <w:szCs w:val="24"/>
        </w:rPr>
        <w:t>,</w:t>
      </w:r>
      <w:r w:rsidRPr="007114AF">
        <w:rPr>
          <w:rFonts w:ascii="Garamond" w:hAnsi="Garamond"/>
          <w:sz w:val="24"/>
          <w:szCs w:val="24"/>
        </w:rPr>
        <w:t xml:space="preserve"> dhe (III) mjete me shkarkime të ulëta deri në zero.</w:t>
      </w:r>
    </w:p>
    <w:p w14:paraId="6EDCF46E" w14:textId="4CAA6A42" w:rsidR="00E20D71" w:rsidRPr="007114AF" w:rsidRDefault="001259F3" w:rsidP="00E20D71">
      <w:pPr>
        <w:spacing w:after="0" w:line="240" w:lineRule="auto"/>
        <w:ind w:firstLine="284"/>
        <w:rPr>
          <w:rFonts w:ascii="Garamond" w:hAnsi="Garamond"/>
          <w:b/>
          <w:sz w:val="24"/>
          <w:szCs w:val="24"/>
        </w:rPr>
      </w:pPr>
      <w:bookmarkStart w:id="31" w:name="_Toc439676905"/>
      <w:bookmarkStart w:id="32" w:name="_Toc439677425"/>
      <w:bookmarkStart w:id="33" w:name="_Toc449535220"/>
      <w:bookmarkStart w:id="34" w:name="_Toc484424478"/>
      <w:r w:rsidRPr="007114AF">
        <w:rPr>
          <w:rFonts w:ascii="Garamond" w:hAnsi="Garamond"/>
          <w:b/>
          <w:sz w:val="24"/>
          <w:szCs w:val="24"/>
        </w:rPr>
        <w:t xml:space="preserve">2.4 </w:t>
      </w:r>
      <w:r w:rsidR="00E20D71" w:rsidRPr="007114AF">
        <w:rPr>
          <w:rFonts w:ascii="Garamond" w:hAnsi="Garamond"/>
          <w:b/>
          <w:sz w:val="24"/>
          <w:szCs w:val="24"/>
        </w:rPr>
        <w:t>Monitorimi dhe raportimi i detyrimeve</w:t>
      </w:r>
      <w:r w:rsidR="00467273" w:rsidRPr="007114AF">
        <w:rPr>
          <w:rFonts w:ascii="Garamond" w:hAnsi="Garamond"/>
          <w:b/>
          <w:sz w:val="24"/>
          <w:szCs w:val="24"/>
        </w:rPr>
        <w:t xml:space="preserve"> </w:t>
      </w:r>
      <w:r w:rsidR="00E20D71" w:rsidRPr="007114AF">
        <w:rPr>
          <w:rFonts w:ascii="Garamond" w:hAnsi="Garamond"/>
          <w:b/>
          <w:sz w:val="24"/>
          <w:szCs w:val="24"/>
        </w:rPr>
        <w:t xml:space="preserve">në kuadrin e </w:t>
      </w:r>
      <w:bookmarkEnd w:id="31"/>
      <w:bookmarkEnd w:id="32"/>
      <w:bookmarkEnd w:id="33"/>
      <w:r w:rsidR="00E20D71" w:rsidRPr="007114AF">
        <w:rPr>
          <w:rFonts w:ascii="Garamond" w:hAnsi="Garamond"/>
          <w:b/>
          <w:sz w:val="24"/>
          <w:szCs w:val="24"/>
        </w:rPr>
        <w:t>UNFCCC-së dhe BE-së</w:t>
      </w:r>
      <w:bookmarkEnd w:id="34"/>
    </w:p>
    <w:p w14:paraId="6EDCF46F" w14:textId="2032D579" w:rsidR="00E20D71" w:rsidRPr="007114AF" w:rsidRDefault="00E20D71" w:rsidP="00E20D71">
      <w:pPr>
        <w:spacing w:after="0" w:line="240" w:lineRule="auto"/>
        <w:ind w:firstLine="284"/>
        <w:rPr>
          <w:rFonts w:ascii="Garamond" w:hAnsi="Garamond"/>
          <w:sz w:val="24"/>
          <w:szCs w:val="24"/>
        </w:rPr>
      </w:pPr>
      <w:r w:rsidRPr="007114AF">
        <w:rPr>
          <w:rFonts w:ascii="Garamond" w:hAnsi="Garamond"/>
          <w:sz w:val="24"/>
          <w:szCs w:val="24"/>
        </w:rPr>
        <w:t xml:space="preserve">Shqipëria si vend kandidat për anëtarësim në BE, do ta ndryshojë statusin nga jopalë e </w:t>
      </w:r>
      <w:r w:rsidR="00467273" w:rsidRPr="007114AF">
        <w:rPr>
          <w:rFonts w:ascii="Garamond" w:hAnsi="Garamond"/>
          <w:sz w:val="24"/>
          <w:szCs w:val="24"/>
        </w:rPr>
        <w:t>a</w:t>
      </w:r>
      <w:r w:rsidRPr="007114AF">
        <w:rPr>
          <w:rFonts w:ascii="Garamond" w:hAnsi="Garamond"/>
          <w:sz w:val="24"/>
          <w:szCs w:val="24"/>
        </w:rPr>
        <w:t>neksit I të UNFCCC-ës</w:t>
      </w:r>
      <w:r w:rsidR="00467273" w:rsidRPr="007114AF">
        <w:rPr>
          <w:rFonts w:ascii="Garamond" w:hAnsi="Garamond"/>
          <w:sz w:val="24"/>
          <w:szCs w:val="24"/>
        </w:rPr>
        <w:t xml:space="preserve"> </w:t>
      </w:r>
      <w:r w:rsidRPr="007114AF">
        <w:rPr>
          <w:rFonts w:ascii="Garamond" w:hAnsi="Garamond"/>
          <w:sz w:val="24"/>
          <w:szCs w:val="24"/>
        </w:rPr>
        <w:t xml:space="preserve">në </w:t>
      </w:r>
      <w:r w:rsidR="00467273" w:rsidRPr="007114AF">
        <w:rPr>
          <w:rFonts w:ascii="Garamond" w:hAnsi="Garamond"/>
          <w:sz w:val="24"/>
          <w:szCs w:val="24"/>
        </w:rPr>
        <w:t>a</w:t>
      </w:r>
      <w:r w:rsidRPr="007114AF">
        <w:rPr>
          <w:rFonts w:ascii="Garamond" w:hAnsi="Garamond"/>
          <w:sz w:val="24"/>
          <w:szCs w:val="24"/>
        </w:rPr>
        <w:t>neks</w:t>
      </w:r>
      <w:r w:rsidR="00467273" w:rsidRPr="007114AF">
        <w:rPr>
          <w:rFonts w:ascii="Garamond" w:hAnsi="Garamond"/>
          <w:sz w:val="24"/>
          <w:szCs w:val="24"/>
        </w:rPr>
        <w:t>in</w:t>
      </w:r>
      <w:r w:rsidRPr="007114AF">
        <w:rPr>
          <w:rFonts w:ascii="Garamond" w:hAnsi="Garamond"/>
          <w:sz w:val="24"/>
          <w:szCs w:val="24"/>
        </w:rPr>
        <w:t xml:space="preserve"> I, me BE-në. Si palë e </w:t>
      </w:r>
      <w:r w:rsidR="00D8298D" w:rsidRPr="007114AF">
        <w:rPr>
          <w:rFonts w:ascii="Garamond" w:hAnsi="Garamond"/>
          <w:sz w:val="24"/>
          <w:szCs w:val="24"/>
        </w:rPr>
        <w:t>a</w:t>
      </w:r>
      <w:r w:rsidRPr="007114AF">
        <w:rPr>
          <w:rFonts w:ascii="Garamond" w:hAnsi="Garamond"/>
          <w:sz w:val="24"/>
          <w:szCs w:val="24"/>
        </w:rPr>
        <w:t xml:space="preserve">neksit I e </w:t>
      </w:r>
      <w:r w:rsidRPr="007114AF">
        <w:rPr>
          <w:rFonts w:ascii="Garamond" w:hAnsi="Garamond" w:cs="Times New Roman"/>
          <w:sz w:val="24"/>
          <w:szCs w:val="24"/>
        </w:rPr>
        <w:t>UNFCCC</w:t>
      </w:r>
      <w:r w:rsidRPr="007114AF">
        <w:rPr>
          <w:rFonts w:ascii="Garamond" w:hAnsi="Garamond"/>
          <w:sz w:val="24"/>
          <w:szCs w:val="24"/>
        </w:rPr>
        <w:t xml:space="preserve">-ës dhe </w:t>
      </w:r>
      <w:r w:rsidR="00D8298D" w:rsidRPr="007114AF">
        <w:rPr>
          <w:rFonts w:ascii="Garamond" w:hAnsi="Garamond"/>
          <w:sz w:val="24"/>
          <w:szCs w:val="24"/>
        </w:rPr>
        <w:t>a</w:t>
      </w:r>
      <w:r w:rsidRPr="007114AF">
        <w:rPr>
          <w:rFonts w:ascii="Garamond" w:hAnsi="Garamond"/>
          <w:sz w:val="24"/>
          <w:szCs w:val="24"/>
        </w:rPr>
        <w:t>neksit B të Protokollit të</w:t>
      </w:r>
      <w:r w:rsidR="00467273" w:rsidRPr="007114AF">
        <w:rPr>
          <w:rFonts w:ascii="Garamond" w:hAnsi="Garamond"/>
          <w:sz w:val="24"/>
          <w:szCs w:val="24"/>
        </w:rPr>
        <w:t xml:space="preserve"> </w:t>
      </w:r>
      <w:r w:rsidRPr="007114AF">
        <w:rPr>
          <w:rFonts w:ascii="Garamond" w:hAnsi="Garamond" w:cs="Times New Roman"/>
          <w:sz w:val="24"/>
          <w:szCs w:val="24"/>
        </w:rPr>
        <w:t>Kioto</w:t>
      </w:r>
      <w:r w:rsidRPr="007114AF">
        <w:rPr>
          <w:rFonts w:ascii="Garamond" w:hAnsi="Garamond"/>
          <w:sz w:val="24"/>
          <w:szCs w:val="24"/>
        </w:rPr>
        <w:t xml:space="preserve">s, BE-së dhe shteteve anëtare u kërkohet të raportojnë: </w:t>
      </w:r>
    </w:p>
    <w:p w14:paraId="6EDCF470" w14:textId="59344E55" w:rsidR="00E20D71" w:rsidRPr="007114AF" w:rsidRDefault="00164B6B" w:rsidP="00E20D71">
      <w:pPr>
        <w:spacing w:after="0" w:line="240" w:lineRule="auto"/>
        <w:ind w:firstLine="284"/>
        <w:rPr>
          <w:rFonts w:ascii="Garamond" w:hAnsi="Garamond"/>
          <w:sz w:val="24"/>
          <w:szCs w:val="24"/>
        </w:rPr>
      </w:pPr>
      <w:r w:rsidRPr="007114AF">
        <w:rPr>
          <w:rFonts w:ascii="Garamond" w:hAnsi="Garamond"/>
          <w:sz w:val="24"/>
          <w:szCs w:val="24"/>
        </w:rPr>
        <w:t xml:space="preserve">- </w:t>
      </w:r>
      <w:r w:rsidR="00E20D71" w:rsidRPr="007114AF">
        <w:rPr>
          <w:rFonts w:ascii="Garamond" w:hAnsi="Garamond"/>
          <w:sz w:val="24"/>
          <w:szCs w:val="24"/>
        </w:rPr>
        <w:t>çdo vit</w:t>
      </w:r>
      <w:r w:rsidR="00D8298D" w:rsidRPr="007114AF">
        <w:rPr>
          <w:rFonts w:ascii="Garamond" w:hAnsi="Garamond"/>
          <w:sz w:val="24"/>
          <w:szCs w:val="24"/>
        </w:rPr>
        <w:t xml:space="preserve"> </w:t>
      </w:r>
      <w:r w:rsidR="00E20D71" w:rsidRPr="007114AF">
        <w:rPr>
          <w:rFonts w:ascii="Garamond" w:hAnsi="Garamond"/>
          <w:sz w:val="24"/>
          <w:szCs w:val="24"/>
        </w:rPr>
        <w:t>- për shkarkimet e gazeve serrë përmes inventarëve të gazeve serrë,</w:t>
      </w:r>
    </w:p>
    <w:p w14:paraId="6EDCF471" w14:textId="61C4459D" w:rsidR="00E20D71" w:rsidRPr="007114AF" w:rsidRDefault="00164B6B" w:rsidP="00E20D71">
      <w:pPr>
        <w:spacing w:after="0" w:line="240" w:lineRule="auto"/>
        <w:ind w:firstLine="284"/>
        <w:rPr>
          <w:rFonts w:ascii="Garamond" w:hAnsi="Garamond"/>
          <w:sz w:val="24"/>
          <w:szCs w:val="24"/>
        </w:rPr>
      </w:pPr>
      <w:r w:rsidRPr="007114AF">
        <w:rPr>
          <w:rFonts w:ascii="Garamond" w:hAnsi="Garamond"/>
          <w:sz w:val="24"/>
          <w:szCs w:val="24"/>
        </w:rPr>
        <w:t xml:space="preserve">- </w:t>
      </w:r>
      <w:r w:rsidR="00E20D71" w:rsidRPr="007114AF">
        <w:rPr>
          <w:rFonts w:ascii="Garamond" w:hAnsi="Garamond"/>
          <w:sz w:val="24"/>
          <w:szCs w:val="24"/>
        </w:rPr>
        <w:t>rregullisht</w:t>
      </w:r>
      <w:r w:rsidR="00D8298D" w:rsidRPr="007114AF">
        <w:rPr>
          <w:rFonts w:ascii="Garamond" w:hAnsi="Garamond"/>
          <w:sz w:val="24"/>
          <w:szCs w:val="24"/>
        </w:rPr>
        <w:t xml:space="preserve"> </w:t>
      </w:r>
      <w:r w:rsidR="00E20D71" w:rsidRPr="007114AF">
        <w:rPr>
          <w:rFonts w:ascii="Garamond" w:hAnsi="Garamond"/>
          <w:sz w:val="24"/>
          <w:szCs w:val="24"/>
        </w:rPr>
        <w:t xml:space="preserve">- për politikat e ndryshimit të klimës, masat dhe progresin drejt objektivave, përmes </w:t>
      </w:r>
      <w:r w:rsidR="00D8298D" w:rsidRPr="007114AF">
        <w:rPr>
          <w:rFonts w:ascii="Garamond" w:hAnsi="Garamond"/>
          <w:sz w:val="24"/>
          <w:szCs w:val="24"/>
        </w:rPr>
        <w:t>“</w:t>
      </w:r>
      <w:r w:rsidR="00E20D71" w:rsidRPr="007114AF">
        <w:rPr>
          <w:rFonts w:ascii="Garamond" w:hAnsi="Garamond"/>
          <w:sz w:val="24"/>
          <w:szCs w:val="24"/>
        </w:rPr>
        <w:t>raporteve dyvjeçare</w:t>
      </w:r>
      <w:r w:rsidR="00D8298D" w:rsidRPr="007114AF">
        <w:rPr>
          <w:rFonts w:ascii="Garamond" w:hAnsi="Garamond"/>
          <w:sz w:val="24"/>
          <w:szCs w:val="24"/>
        </w:rPr>
        <w:t>”</w:t>
      </w:r>
      <w:r w:rsidR="00E20D71" w:rsidRPr="007114AF">
        <w:rPr>
          <w:rFonts w:ascii="Garamond" w:hAnsi="Garamond"/>
          <w:sz w:val="24"/>
          <w:szCs w:val="24"/>
        </w:rPr>
        <w:t>, për të nxitur raportimin për objektivat e zbutjes dhe sigurimin e mbështetjes</w:t>
      </w:r>
      <w:r w:rsidR="003F649E" w:rsidRPr="007114AF">
        <w:rPr>
          <w:rFonts w:ascii="Garamond" w:hAnsi="Garamond"/>
          <w:sz w:val="24"/>
          <w:szCs w:val="24"/>
        </w:rPr>
        <w:t>,</w:t>
      </w:r>
      <w:r w:rsidR="00E20D71" w:rsidRPr="007114AF">
        <w:rPr>
          <w:rFonts w:ascii="Garamond" w:hAnsi="Garamond"/>
          <w:sz w:val="24"/>
          <w:szCs w:val="24"/>
        </w:rPr>
        <w:t xml:space="preserve"> si dhe </w:t>
      </w:r>
      <w:r w:rsidR="00D10DAB" w:rsidRPr="007114AF">
        <w:rPr>
          <w:rFonts w:ascii="Garamond" w:hAnsi="Garamond"/>
          <w:sz w:val="24"/>
          <w:szCs w:val="24"/>
        </w:rPr>
        <w:t>‘</w:t>
      </w:r>
      <w:r w:rsidR="00E20D71" w:rsidRPr="007114AF">
        <w:rPr>
          <w:rFonts w:ascii="Garamond" w:hAnsi="Garamond"/>
          <w:sz w:val="24"/>
          <w:szCs w:val="24"/>
        </w:rPr>
        <w:t>komunikimeve kombëtare</w:t>
      </w:r>
      <w:r w:rsidR="00D10DAB" w:rsidRPr="007114AF">
        <w:rPr>
          <w:rFonts w:ascii="Garamond" w:hAnsi="Garamond"/>
          <w:sz w:val="24"/>
          <w:szCs w:val="24"/>
        </w:rPr>
        <w:t>’</w:t>
      </w:r>
      <w:r w:rsidR="00E20D71" w:rsidRPr="007114AF">
        <w:rPr>
          <w:rFonts w:ascii="Garamond" w:hAnsi="Garamond"/>
          <w:sz w:val="24"/>
          <w:szCs w:val="24"/>
        </w:rPr>
        <w:t xml:space="preserve"> çdo katër vjet, me të dhëna për shkarkimet dhe përthithjet; politikat dhe masat për reduktimin e shkarkimeve; sigurimin e mbështetjes financiare, teknologjike dhe për ndërtim kapaciteti; aktivitete të tjera të ndërmarra për zbatimin e Konventës. </w:t>
      </w:r>
    </w:p>
    <w:p w14:paraId="6EDCF472" w14:textId="77777777" w:rsidR="00E20D71" w:rsidRPr="007114AF" w:rsidRDefault="00E20D71" w:rsidP="00E20D71">
      <w:pPr>
        <w:spacing w:after="0" w:line="240" w:lineRule="auto"/>
        <w:ind w:firstLine="284"/>
        <w:rPr>
          <w:rFonts w:ascii="Garamond" w:hAnsi="Garamond"/>
          <w:sz w:val="24"/>
          <w:szCs w:val="24"/>
        </w:rPr>
      </w:pPr>
      <w:r w:rsidRPr="007114AF">
        <w:rPr>
          <w:rFonts w:ascii="Garamond" w:hAnsi="Garamond"/>
          <w:sz w:val="24"/>
          <w:szCs w:val="24"/>
        </w:rPr>
        <w:t>Raportimi mbulon:</w:t>
      </w:r>
    </w:p>
    <w:p w14:paraId="6EDCF473" w14:textId="5CAF89D1" w:rsidR="00E20D71" w:rsidRPr="007114AF" w:rsidRDefault="00164B6B" w:rsidP="00E20D71">
      <w:pPr>
        <w:spacing w:after="0" w:line="240" w:lineRule="auto"/>
        <w:ind w:firstLine="284"/>
        <w:rPr>
          <w:rFonts w:ascii="Garamond" w:hAnsi="Garamond"/>
          <w:sz w:val="24"/>
          <w:szCs w:val="24"/>
        </w:rPr>
      </w:pPr>
      <w:r w:rsidRPr="007114AF">
        <w:rPr>
          <w:rFonts w:ascii="Garamond" w:hAnsi="Garamond"/>
          <w:sz w:val="24"/>
          <w:szCs w:val="24"/>
        </w:rPr>
        <w:t xml:space="preserve">- </w:t>
      </w:r>
      <w:r w:rsidR="00E20D71" w:rsidRPr="007114AF">
        <w:rPr>
          <w:rFonts w:ascii="Garamond" w:hAnsi="Garamond"/>
          <w:sz w:val="24"/>
          <w:szCs w:val="24"/>
        </w:rPr>
        <w:t>Shkarkimet e gjithë gazeve serrë nga gjithë sektorët: energjia; proceset industriale; përdorimi i tokës, ndryshimi i përdorimit të tokës dhe pylltaria (LULUCF); mbetjet; bujqësia etj.</w:t>
      </w:r>
    </w:p>
    <w:p w14:paraId="6EDCF474" w14:textId="77777777" w:rsidR="00E20D71" w:rsidRPr="007114AF" w:rsidRDefault="00164B6B" w:rsidP="00E20D71">
      <w:pPr>
        <w:spacing w:after="0" w:line="240" w:lineRule="auto"/>
        <w:ind w:firstLine="284"/>
        <w:rPr>
          <w:rFonts w:ascii="Garamond" w:hAnsi="Garamond"/>
          <w:sz w:val="24"/>
          <w:szCs w:val="24"/>
        </w:rPr>
      </w:pPr>
      <w:r w:rsidRPr="007114AF">
        <w:rPr>
          <w:rFonts w:ascii="Garamond" w:hAnsi="Garamond"/>
          <w:sz w:val="24"/>
          <w:szCs w:val="24"/>
        </w:rPr>
        <w:t xml:space="preserve">- </w:t>
      </w:r>
      <w:r w:rsidR="00E20D71" w:rsidRPr="007114AF">
        <w:rPr>
          <w:rFonts w:ascii="Garamond" w:hAnsi="Garamond"/>
          <w:sz w:val="24"/>
          <w:szCs w:val="24"/>
        </w:rPr>
        <w:t>Parashikimet, politikat dhe masat për reduktimin e shkarkimeve të gazeve serrë.</w:t>
      </w:r>
    </w:p>
    <w:p w14:paraId="6EDCF475" w14:textId="06EEFF2A" w:rsidR="00E20D71" w:rsidRPr="007114AF" w:rsidRDefault="00164B6B" w:rsidP="00E20D71">
      <w:pPr>
        <w:spacing w:after="0" w:line="240" w:lineRule="auto"/>
        <w:ind w:firstLine="284"/>
        <w:rPr>
          <w:rFonts w:ascii="Garamond" w:hAnsi="Garamond"/>
          <w:sz w:val="24"/>
          <w:szCs w:val="24"/>
        </w:rPr>
      </w:pPr>
      <w:r w:rsidRPr="007114AF">
        <w:rPr>
          <w:rFonts w:ascii="Garamond" w:hAnsi="Garamond"/>
          <w:sz w:val="24"/>
          <w:szCs w:val="24"/>
        </w:rPr>
        <w:t xml:space="preserve">- </w:t>
      </w:r>
      <w:r w:rsidR="00E20D71" w:rsidRPr="007114AF">
        <w:rPr>
          <w:rFonts w:ascii="Garamond" w:hAnsi="Garamond"/>
          <w:sz w:val="24"/>
          <w:szCs w:val="24"/>
        </w:rPr>
        <w:t>Masat kombëtare për t</w:t>
      </w:r>
      <w:r w:rsidR="00D10DAB" w:rsidRPr="007114AF">
        <w:rPr>
          <w:rFonts w:ascii="Garamond" w:hAnsi="Garamond"/>
          <w:sz w:val="24"/>
          <w:szCs w:val="24"/>
        </w:rPr>
        <w:t>’</w:t>
      </w:r>
      <w:r w:rsidR="00E20D71" w:rsidRPr="007114AF">
        <w:rPr>
          <w:rFonts w:ascii="Garamond" w:hAnsi="Garamond"/>
          <w:sz w:val="24"/>
          <w:szCs w:val="24"/>
        </w:rPr>
        <w:t>iu përshtatur ndryshimeve klimatike.</w:t>
      </w:r>
    </w:p>
    <w:p w14:paraId="6EDCF476" w14:textId="77777777" w:rsidR="00E20D71" w:rsidRPr="007114AF" w:rsidRDefault="00164B6B" w:rsidP="00E20D71">
      <w:pPr>
        <w:spacing w:after="0" w:line="240" w:lineRule="auto"/>
        <w:ind w:firstLine="284"/>
        <w:rPr>
          <w:rFonts w:ascii="Garamond" w:hAnsi="Garamond"/>
          <w:sz w:val="24"/>
          <w:szCs w:val="24"/>
        </w:rPr>
      </w:pPr>
      <w:r w:rsidRPr="007114AF">
        <w:rPr>
          <w:rFonts w:ascii="Garamond" w:hAnsi="Garamond"/>
          <w:sz w:val="24"/>
          <w:szCs w:val="24"/>
        </w:rPr>
        <w:t xml:space="preserve">- </w:t>
      </w:r>
      <w:r w:rsidR="00E20D71" w:rsidRPr="007114AF">
        <w:rPr>
          <w:rFonts w:ascii="Garamond" w:hAnsi="Garamond"/>
          <w:sz w:val="24"/>
          <w:szCs w:val="24"/>
        </w:rPr>
        <w:t>Strategjitë për karbon të ulët.</w:t>
      </w:r>
    </w:p>
    <w:p w14:paraId="6EDCF477" w14:textId="77777777" w:rsidR="00E20D71" w:rsidRPr="007114AF" w:rsidRDefault="00164B6B" w:rsidP="00E20D71">
      <w:pPr>
        <w:spacing w:after="0" w:line="240" w:lineRule="auto"/>
        <w:ind w:firstLine="284"/>
        <w:rPr>
          <w:rFonts w:ascii="Garamond" w:hAnsi="Garamond"/>
          <w:sz w:val="24"/>
          <w:szCs w:val="24"/>
        </w:rPr>
      </w:pPr>
      <w:r w:rsidRPr="007114AF">
        <w:rPr>
          <w:rFonts w:ascii="Garamond" w:hAnsi="Garamond"/>
          <w:sz w:val="24"/>
          <w:szCs w:val="24"/>
        </w:rPr>
        <w:t xml:space="preserve">- </w:t>
      </w:r>
      <w:r w:rsidR="00E20D71" w:rsidRPr="007114AF">
        <w:rPr>
          <w:rFonts w:ascii="Garamond" w:hAnsi="Garamond"/>
          <w:sz w:val="24"/>
          <w:szCs w:val="24"/>
        </w:rPr>
        <w:t>Mbështetje financiare dhe teknike për vendet në zhvillim dhe angazhime të ngjashme në kuadrin e Marrëveshjes së Kopenhagës 2009 dhe Marrëveshjes së Kankunit 2010.</w:t>
      </w:r>
    </w:p>
    <w:p w14:paraId="6EDCF478" w14:textId="77777777" w:rsidR="00E20D71" w:rsidRPr="007114AF" w:rsidRDefault="00164B6B" w:rsidP="00E20D71">
      <w:pPr>
        <w:spacing w:after="0" w:line="240" w:lineRule="auto"/>
        <w:ind w:firstLine="284"/>
        <w:rPr>
          <w:rFonts w:ascii="Garamond" w:hAnsi="Garamond"/>
          <w:sz w:val="24"/>
          <w:szCs w:val="24"/>
        </w:rPr>
      </w:pPr>
      <w:r w:rsidRPr="007114AF">
        <w:rPr>
          <w:rFonts w:ascii="Garamond" w:hAnsi="Garamond"/>
          <w:sz w:val="24"/>
          <w:szCs w:val="24"/>
        </w:rPr>
        <w:t xml:space="preserve">- </w:t>
      </w:r>
      <w:r w:rsidR="00E20D71" w:rsidRPr="007114AF">
        <w:rPr>
          <w:rFonts w:ascii="Garamond" w:hAnsi="Garamond"/>
          <w:sz w:val="24"/>
          <w:szCs w:val="24"/>
        </w:rPr>
        <w:t>Përdorimi nga qeveritë kombëtare i të ardhurave nga tenderimi i lejeve në sistemin e BE-së për shkëmbimin e shkarkimeve (ato janë angazhuar të shpenzojnë të paktën gjysmën e këtyre të ardhura për masa për klimën në BE dhe jashtë).</w:t>
      </w:r>
    </w:p>
    <w:p w14:paraId="6EDCF479" w14:textId="0E6A9052" w:rsidR="00E20D71" w:rsidRPr="007114AF" w:rsidRDefault="00E20D71" w:rsidP="00E20D71">
      <w:pPr>
        <w:spacing w:after="0" w:line="240" w:lineRule="auto"/>
        <w:ind w:firstLine="284"/>
        <w:rPr>
          <w:rFonts w:ascii="Garamond" w:hAnsi="Garamond"/>
          <w:sz w:val="24"/>
          <w:szCs w:val="24"/>
        </w:rPr>
      </w:pPr>
      <w:r w:rsidRPr="007114AF">
        <w:rPr>
          <w:rFonts w:ascii="Garamond" w:hAnsi="Garamond"/>
          <w:sz w:val="24"/>
          <w:szCs w:val="24"/>
        </w:rPr>
        <w:t>Zbatimi i regjistrit kombëtar kërkohet të marrë pjesë në mekanizmat e Kiotos. Çdo regjistër vlerësohet për të përcaktuar, nëse plotësohen kërkesat e duhura, dhe rezultatet kalohen në formën e një Raporti</w:t>
      </w:r>
      <w:r w:rsidR="00451076" w:rsidRPr="007114AF">
        <w:rPr>
          <w:rFonts w:ascii="Garamond" w:hAnsi="Garamond"/>
          <w:sz w:val="24"/>
          <w:szCs w:val="24"/>
        </w:rPr>
        <w:t xml:space="preserve"> </w:t>
      </w:r>
      <w:r w:rsidRPr="007114AF">
        <w:rPr>
          <w:rFonts w:ascii="Garamond" w:hAnsi="Garamond"/>
          <w:sz w:val="24"/>
          <w:szCs w:val="24"/>
        </w:rPr>
        <w:t>të Pavarur Fillestar Vlerësimi (IAR) dhe Raporteve të Tjera të Pavarura Standarde të Vlerësimit (SIARs), që vlerësojnë plotësinë e informacionit të raportuar, përmbajtjen dhe thelbin e informacionit që vënë palët në dispozicion për vlerësim. </w:t>
      </w:r>
    </w:p>
    <w:p w14:paraId="6EDCF47A" w14:textId="4403B124" w:rsidR="00E20D71" w:rsidRPr="007114AF" w:rsidRDefault="00E20D71" w:rsidP="00E20D71">
      <w:pPr>
        <w:spacing w:after="0" w:line="240" w:lineRule="auto"/>
        <w:ind w:firstLine="284"/>
        <w:rPr>
          <w:rFonts w:ascii="Garamond" w:hAnsi="Garamond"/>
          <w:sz w:val="24"/>
          <w:szCs w:val="24"/>
        </w:rPr>
      </w:pPr>
      <w:r w:rsidRPr="007114AF">
        <w:rPr>
          <w:rFonts w:ascii="Garamond" w:hAnsi="Garamond"/>
          <w:sz w:val="24"/>
          <w:szCs w:val="24"/>
        </w:rPr>
        <w:t xml:space="preserve">Për momentin, si jopalë e </w:t>
      </w:r>
      <w:r w:rsidR="00467273" w:rsidRPr="007114AF">
        <w:rPr>
          <w:rFonts w:ascii="Garamond" w:hAnsi="Garamond"/>
          <w:sz w:val="24"/>
          <w:szCs w:val="24"/>
        </w:rPr>
        <w:t>a</w:t>
      </w:r>
      <w:r w:rsidRPr="007114AF">
        <w:rPr>
          <w:rFonts w:ascii="Garamond" w:hAnsi="Garamond"/>
          <w:sz w:val="24"/>
          <w:szCs w:val="24"/>
        </w:rPr>
        <w:t>neksit I, Shqipërisë i kërkohet të paraqesë komunikata kombëtare (NCs) dhe raporte dyvjeçare të përditësuara (BURs). Verifikimi i raporteve trajtohet në nivel ndërkombëtar, përmes procesit të konsultimit ndërkombëtar dhe analizave (ICA) të BURs. Kjo për të rritur transparencën e veprimeve zbutëse dhe efektet e tyre, si dhe mbështetjen e kërkuar dhe të marrë.</w:t>
      </w:r>
    </w:p>
    <w:p w14:paraId="6EDCF47B" w14:textId="5EF6FDC5" w:rsidR="00E20D71" w:rsidRPr="007114AF" w:rsidRDefault="00E20D71" w:rsidP="00E20D71">
      <w:pPr>
        <w:spacing w:after="0" w:line="240" w:lineRule="auto"/>
        <w:ind w:firstLine="284"/>
        <w:rPr>
          <w:rFonts w:ascii="Garamond" w:hAnsi="Garamond"/>
          <w:sz w:val="24"/>
          <w:szCs w:val="24"/>
        </w:rPr>
      </w:pPr>
      <w:r w:rsidRPr="007114AF">
        <w:rPr>
          <w:rFonts w:ascii="Garamond" w:hAnsi="Garamond"/>
          <w:sz w:val="24"/>
          <w:szCs w:val="24"/>
        </w:rPr>
        <w:t>Për më tepër, gjithë vendeve të BE-së u kërkohet të monitorojnë shkarkimet e tyre në kuadrin e mekanizmit të BE-së për monitorimin e gazeve serrë, që përcakton rregullat e brendshme raportuese të BE-së, bazuar në detyrimet e vendosura në mënyrë ndërkombëtare (</w:t>
      </w:r>
      <w:r w:rsidR="00451076" w:rsidRPr="007114AF">
        <w:rPr>
          <w:rFonts w:ascii="Garamond" w:hAnsi="Garamond"/>
          <w:sz w:val="24"/>
          <w:szCs w:val="24"/>
        </w:rPr>
        <w:t>v</w:t>
      </w:r>
      <w:r w:rsidRPr="007114AF">
        <w:rPr>
          <w:rFonts w:ascii="Garamond" w:hAnsi="Garamond"/>
          <w:sz w:val="24"/>
          <w:szCs w:val="24"/>
        </w:rPr>
        <w:t xml:space="preserve">endimi 525/2013/EU). Sipas </w:t>
      </w:r>
      <w:r w:rsidR="00451076" w:rsidRPr="007114AF">
        <w:rPr>
          <w:rFonts w:ascii="Garamond" w:hAnsi="Garamond"/>
          <w:sz w:val="24"/>
          <w:szCs w:val="24"/>
        </w:rPr>
        <w:t>v</w:t>
      </w:r>
      <w:r w:rsidRPr="007114AF">
        <w:rPr>
          <w:rFonts w:ascii="Garamond" w:hAnsi="Garamond"/>
          <w:sz w:val="24"/>
          <w:szCs w:val="24"/>
        </w:rPr>
        <w:t xml:space="preserve">endimit 525/2013/EU dhe </w:t>
      </w:r>
      <w:r w:rsidR="00451076" w:rsidRPr="007114AF">
        <w:rPr>
          <w:rFonts w:ascii="Garamond" w:hAnsi="Garamond"/>
          <w:sz w:val="24"/>
          <w:szCs w:val="24"/>
        </w:rPr>
        <w:t>r</w:t>
      </w:r>
      <w:r w:rsidRPr="007114AF">
        <w:rPr>
          <w:rFonts w:ascii="Garamond" w:hAnsi="Garamond"/>
          <w:sz w:val="24"/>
          <w:szCs w:val="24"/>
        </w:rPr>
        <w:t>regullores së tij zbatuese (749/2014), kërkesat kryesore të mekanizmit monitorues për raportimin e shkarkimeve GES</w:t>
      </w:r>
      <w:r w:rsidR="00451076" w:rsidRPr="007114AF">
        <w:rPr>
          <w:rFonts w:ascii="Garamond" w:hAnsi="Garamond"/>
          <w:sz w:val="24"/>
          <w:szCs w:val="24"/>
        </w:rPr>
        <w:t xml:space="preserve"> </w:t>
      </w:r>
      <w:r w:rsidRPr="007114AF">
        <w:rPr>
          <w:rFonts w:ascii="Garamond" w:hAnsi="Garamond"/>
          <w:sz w:val="24"/>
          <w:szCs w:val="24"/>
        </w:rPr>
        <w:t>dhe informacionit lidhur me ndryshimet klimatike janë:</w:t>
      </w:r>
    </w:p>
    <w:p w14:paraId="6EDCF47C" w14:textId="13FAC7B2" w:rsidR="00E20D71" w:rsidRPr="007114AF" w:rsidRDefault="00164B6B" w:rsidP="00E20D71">
      <w:pPr>
        <w:spacing w:after="0" w:line="240" w:lineRule="auto"/>
        <w:ind w:firstLine="284"/>
        <w:rPr>
          <w:rFonts w:ascii="Garamond" w:hAnsi="Garamond"/>
          <w:sz w:val="24"/>
          <w:szCs w:val="24"/>
        </w:rPr>
      </w:pPr>
      <w:r w:rsidRPr="007114AF">
        <w:rPr>
          <w:rFonts w:ascii="Garamond" w:hAnsi="Garamond"/>
          <w:sz w:val="24"/>
          <w:szCs w:val="24"/>
        </w:rPr>
        <w:t xml:space="preserve">- </w:t>
      </w:r>
      <w:r w:rsidR="00E20D71" w:rsidRPr="007114AF">
        <w:rPr>
          <w:rFonts w:ascii="Garamond" w:hAnsi="Garamond"/>
          <w:sz w:val="24"/>
          <w:szCs w:val="24"/>
        </w:rPr>
        <w:t>Raporti i parë (9 janar 2015) mbi zbatimin e strategjive të zhvillimit me karbon të ulët (LDCS)</w:t>
      </w:r>
      <w:r w:rsidR="000A2A01" w:rsidRPr="007114AF">
        <w:rPr>
          <w:rFonts w:ascii="Garamond" w:hAnsi="Garamond"/>
          <w:sz w:val="24"/>
          <w:szCs w:val="24"/>
        </w:rPr>
        <w:t xml:space="preserve"> </w:t>
      </w:r>
      <w:r w:rsidR="00E20D71" w:rsidRPr="007114AF">
        <w:rPr>
          <w:rFonts w:ascii="Garamond" w:hAnsi="Garamond"/>
          <w:sz w:val="24"/>
          <w:szCs w:val="24"/>
        </w:rPr>
        <w:t>dhe përditësime çdo vit (15 mars) për zbatimin e LDCS-ë.</w:t>
      </w:r>
    </w:p>
    <w:p w14:paraId="6EDCF47D" w14:textId="37D3A5B3" w:rsidR="00E20D71" w:rsidRPr="007114AF" w:rsidRDefault="00164B6B" w:rsidP="00E20D71">
      <w:pPr>
        <w:spacing w:after="0" w:line="240" w:lineRule="auto"/>
        <w:ind w:firstLine="284"/>
        <w:rPr>
          <w:rFonts w:ascii="Garamond" w:hAnsi="Garamond"/>
          <w:sz w:val="24"/>
          <w:szCs w:val="24"/>
        </w:rPr>
      </w:pPr>
      <w:r w:rsidRPr="007114AF">
        <w:rPr>
          <w:rFonts w:ascii="Garamond" w:hAnsi="Garamond"/>
          <w:sz w:val="24"/>
          <w:szCs w:val="24"/>
        </w:rPr>
        <w:t xml:space="preserve">- </w:t>
      </w:r>
      <w:r w:rsidR="00E20D71" w:rsidRPr="007114AF">
        <w:rPr>
          <w:rFonts w:ascii="Garamond" w:hAnsi="Garamond"/>
          <w:sz w:val="24"/>
          <w:szCs w:val="24"/>
        </w:rPr>
        <w:t>Inventari vjetor i GES-it (çdo vit më 15</w:t>
      </w:r>
      <w:r w:rsidR="00451076" w:rsidRPr="007114AF">
        <w:rPr>
          <w:rFonts w:ascii="Garamond" w:hAnsi="Garamond"/>
          <w:sz w:val="24"/>
          <w:szCs w:val="24"/>
        </w:rPr>
        <w:t xml:space="preserve"> </w:t>
      </w:r>
      <w:r w:rsidR="00E20D71" w:rsidRPr="007114AF">
        <w:rPr>
          <w:rFonts w:ascii="Garamond" w:hAnsi="Garamond"/>
          <w:sz w:val="24"/>
          <w:szCs w:val="24"/>
        </w:rPr>
        <w:t>janar).</w:t>
      </w:r>
    </w:p>
    <w:p w14:paraId="6EDCF47E" w14:textId="158EB13A" w:rsidR="00E20D71" w:rsidRPr="007114AF" w:rsidRDefault="00164B6B" w:rsidP="00E20D71">
      <w:pPr>
        <w:spacing w:after="0" w:line="240" w:lineRule="auto"/>
        <w:ind w:firstLine="284"/>
        <w:rPr>
          <w:rFonts w:ascii="Garamond" w:hAnsi="Garamond"/>
          <w:sz w:val="24"/>
          <w:szCs w:val="24"/>
        </w:rPr>
      </w:pPr>
      <w:r w:rsidRPr="007114AF">
        <w:rPr>
          <w:rFonts w:ascii="Garamond" w:hAnsi="Garamond"/>
          <w:sz w:val="24"/>
          <w:szCs w:val="24"/>
        </w:rPr>
        <w:t xml:space="preserve">- </w:t>
      </w:r>
      <w:r w:rsidR="00E20D71" w:rsidRPr="007114AF">
        <w:rPr>
          <w:rFonts w:ascii="Garamond" w:hAnsi="Garamond"/>
          <w:sz w:val="24"/>
          <w:szCs w:val="24"/>
        </w:rPr>
        <w:t xml:space="preserve">Raport vjetor (çdo vit më 15 janar) për sistemin kombëtar inventarizues përfshirë modifikime të mundshme, sipas </w:t>
      </w:r>
      <w:r w:rsidR="008E3602" w:rsidRPr="007114AF">
        <w:rPr>
          <w:rFonts w:ascii="Garamond" w:hAnsi="Garamond"/>
          <w:sz w:val="24"/>
          <w:szCs w:val="24"/>
        </w:rPr>
        <w:t>rregullores së zbatimit</w:t>
      </w:r>
      <w:r w:rsidR="00242009" w:rsidRPr="007114AF">
        <w:rPr>
          <w:rFonts w:ascii="Garamond" w:hAnsi="Garamond"/>
          <w:sz w:val="24"/>
          <w:szCs w:val="24"/>
        </w:rPr>
        <w:t xml:space="preserve"> nr. </w:t>
      </w:r>
      <w:r w:rsidR="00E20D71" w:rsidRPr="007114AF">
        <w:rPr>
          <w:rFonts w:ascii="Garamond" w:hAnsi="Garamond"/>
          <w:sz w:val="24"/>
          <w:szCs w:val="24"/>
        </w:rPr>
        <w:t>749/2014 (</w:t>
      </w:r>
      <w:r w:rsidR="008E3602" w:rsidRPr="007114AF">
        <w:rPr>
          <w:rFonts w:ascii="Garamond" w:hAnsi="Garamond"/>
          <w:sz w:val="24"/>
          <w:szCs w:val="24"/>
        </w:rPr>
        <w:t xml:space="preserve">neni </w:t>
      </w:r>
      <w:r w:rsidR="00E20D71" w:rsidRPr="007114AF">
        <w:rPr>
          <w:rFonts w:ascii="Garamond" w:hAnsi="Garamond"/>
          <w:sz w:val="24"/>
          <w:szCs w:val="24"/>
        </w:rPr>
        <w:t>5).</w:t>
      </w:r>
    </w:p>
    <w:p w14:paraId="6EDCF47F" w14:textId="79FB5846" w:rsidR="00E20D71" w:rsidRPr="007114AF" w:rsidRDefault="00164B6B" w:rsidP="00E20D71">
      <w:pPr>
        <w:spacing w:after="0" w:line="240" w:lineRule="auto"/>
        <w:ind w:firstLine="284"/>
        <w:rPr>
          <w:rFonts w:ascii="Garamond" w:hAnsi="Garamond"/>
          <w:sz w:val="24"/>
          <w:szCs w:val="24"/>
        </w:rPr>
      </w:pPr>
      <w:r w:rsidRPr="007114AF">
        <w:rPr>
          <w:rFonts w:ascii="Garamond" w:hAnsi="Garamond"/>
          <w:sz w:val="24"/>
          <w:szCs w:val="24"/>
        </w:rPr>
        <w:t xml:space="preserve">- </w:t>
      </w:r>
      <w:r w:rsidR="00E20D71" w:rsidRPr="007114AF">
        <w:rPr>
          <w:rFonts w:ascii="Garamond" w:hAnsi="Garamond"/>
          <w:sz w:val="24"/>
          <w:szCs w:val="24"/>
        </w:rPr>
        <w:t>Raport vjetor për inventarin e vlerësuar dhe të përafërt të GES-it (çdo vit më 31</w:t>
      </w:r>
      <w:r w:rsidR="008E3602" w:rsidRPr="007114AF">
        <w:rPr>
          <w:rFonts w:ascii="Garamond" w:hAnsi="Garamond"/>
          <w:sz w:val="24"/>
          <w:szCs w:val="24"/>
        </w:rPr>
        <w:t xml:space="preserve"> </w:t>
      </w:r>
      <w:r w:rsidR="00E20D71" w:rsidRPr="007114AF">
        <w:rPr>
          <w:rFonts w:ascii="Garamond" w:hAnsi="Garamond"/>
          <w:sz w:val="24"/>
          <w:szCs w:val="24"/>
        </w:rPr>
        <w:t>korrik).</w:t>
      </w:r>
    </w:p>
    <w:p w14:paraId="6EDCF480" w14:textId="06163275" w:rsidR="00E20D71" w:rsidRPr="007114AF" w:rsidRDefault="00164B6B" w:rsidP="00E20D71">
      <w:pPr>
        <w:spacing w:after="0" w:line="240" w:lineRule="auto"/>
        <w:ind w:firstLine="284"/>
        <w:rPr>
          <w:rFonts w:ascii="Garamond" w:hAnsi="Garamond"/>
          <w:sz w:val="24"/>
          <w:szCs w:val="24"/>
        </w:rPr>
      </w:pPr>
      <w:r w:rsidRPr="007114AF">
        <w:rPr>
          <w:rFonts w:ascii="Garamond" w:hAnsi="Garamond"/>
          <w:sz w:val="24"/>
          <w:szCs w:val="24"/>
        </w:rPr>
        <w:t xml:space="preserve">- </w:t>
      </w:r>
      <w:r w:rsidR="00E20D71" w:rsidRPr="007114AF">
        <w:rPr>
          <w:rFonts w:ascii="Garamond" w:hAnsi="Garamond"/>
          <w:sz w:val="24"/>
          <w:szCs w:val="24"/>
        </w:rPr>
        <w:t>Krijimi dhe administrimi i regjistrave të shkarkimeve GES (</w:t>
      </w:r>
      <w:r w:rsidR="008E3602" w:rsidRPr="007114AF">
        <w:rPr>
          <w:rFonts w:ascii="Garamond" w:hAnsi="Garamond"/>
          <w:sz w:val="24"/>
          <w:szCs w:val="24"/>
        </w:rPr>
        <w:t>n</w:t>
      </w:r>
      <w:r w:rsidR="00E20D71" w:rsidRPr="007114AF">
        <w:rPr>
          <w:rFonts w:ascii="Garamond" w:hAnsi="Garamond"/>
          <w:sz w:val="24"/>
          <w:szCs w:val="24"/>
        </w:rPr>
        <w:t>eni 10).</w:t>
      </w:r>
    </w:p>
    <w:p w14:paraId="6EDCF481" w14:textId="77777777" w:rsidR="00E20D71" w:rsidRPr="007114AF" w:rsidRDefault="00164B6B" w:rsidP="00E20D71">
      <w:pPr>
        <w:spacing w:after="0" w:line="240" w:lineRule="auto"/>
        <w:ind w:firstLine="284"/>
        <w:rPr>
          <w:rFonts w:ascii="Garamond" w:hAnsi="Garamond"/>
          <w:sz w:val="24"/>
          <w:szCs w:val="24"/>
        </w:rPr>
      </w:pPr>
      <w:r w:rsidRPr="007114AF">
        <w:rPr>
          <w:rFonts w:ascii="Garamond" w:hAnsi="Garamond"/>
          <w:sz w:val="24"/>
          <w:szCs w:val="24"/>
        </w:rPr>
        <w:t xml:space="preserve">- </w:t>
      </w:r>
      <w:r w:rsidR="00E20D71" w:rsidRPr="007114AF">
        <w:rPr>
          <w:rFonts w:ascii="Garamond" w:hAnsi="Garamond"/>
          <w:sz w:val="24"/>
          <w:szCs w:val="24"/>
        </w:rPr>
        <w:t>Komunikimi dhe raportimi mbi politikat dhe masat (çdo dy vjet, duke nisur nga 15 marsi 2015).</w:t>
      </w:r>
    </w:p>
    <w:p w14:paraId="6EDCF482" w14:textId="7A08F609" w:rsidR="00E20D71" w:rsidRPr="007114AF" w:rsidRDefault="00164B6B" w:rsidP="00E20D71">
      <w:pPr>
        <w:spacing w:after="0" w:line="240" w:lineRule="auto"/>
        <w:ind w:firstLine="284"/>
        <w:rPr>
          <w:rFonts w:ascii="Garamond" w:hAnsi="Garamond"/>
          <w:sz w:val="24"/>
          <w:szCs w:val="24"/>
        </w:rPr>
      </w:pPr>
      <w:r w:rsidRPr="007114AF">
        <w:rPr>
          <w:rFonts w:ascii="Garamond" w:hAnsi="Garamond"/>
          <w:sz w:val="24"/>
          <w:szCs w:val="24"/>
        </w:rPr>
        <w:lastRenderedPageBreak/>
        <w:t xml:space="preserve">- </w:t>
      </w:r>
      <w:r w:rsidR="00E20D71" w:rsidRPr="007114AF">
        <w:rPr>
          <w:rFonts w:ascii="Garamond" w:hAnsi="Garamond"/>
          <w:sz w:val="24"/>
          <w:szCs w:val="24"/>
        </w:rPr>
        <w:t>Komunikimi dhe raportimi mbi parashikimet për shkarkimet GES</w:t>
      </w:r>
      <w:r w:rsidR="008E3602" w:rsidRPr="007114AF">
        <w:rPr>
          <w:rFonts w:ascii="Garamond" w:hAnsi="Garamond"/>
          <w:sz w:val="24"/>
          <w:szCs w:val="24"/>
        </w:rPr>
        <w:t xml:space="preserve"> </w:t>
      </w:r>
      <w:r w:rsidR="00E20D71" w:rsidRPr="007114AF">
        <w:rPr>
          <w:rFonts w:ascii="Garamond" w:hAnsi="Garamond"/>
          <w:sz w:val="24"/>
          <w:szCs w:val="24"/>
        </w:rPr>
        <w:t>(çdo dy vjet, duke nisur nga 15 marsi 2015).</w:t>
      </w:r>
    </w:p>
    <w:p w14:paraId="6EDCF483" w14:textId="77777777" w:rsidR="00E20D71" w:rsidRPr="007114AF" w:rsidRDefault="00164B6B" w:rsidP="00E20D71">
      <w:pPr>
        <w:spacing w:after="0" w:line="240" w:lineRule="auto"/>
        <w:ind w:firstLine="284"/>
        <w:rPr>
          <w:rFonts w:ascii="Garamond" w:hAnsi="Garamond"/>
          <w:sz w:val="24"/>
          <w:szCs w:val="24"/>
        </w:rPr>
      </w:pPr>
      <w:r w:rsidRPr="007114AF">
        <w:rPr>
          <w:rFonts w:ascii="Garamond" w:hAnsi="Garamond"/>
          <w:sz w:val="24"/>
          <w:szCs w:val="24"/>
        </w:rPr>
        <w:t xml:space="preserve">- </w:t>
      </w:r>
      <w:r w:rsidR="00E20D71" w:rsidRPr="007114AF">
        <w:rPr>
          <w:rFonts w:ascii="Garamond" w:hAnsi="Garamond"/>
          <w:sz w:val="24"/>
          <w:szCs w:val="24"/>
        </w:rPr>
        <w:t>Raport dhe komunikatë mbi masat për adaptimin ndaj ndryshimeve klimatike (strategjitë dheplanet) (çdo katër vjet, duke nisur nga 15 marsi 2015).</w:t>
      </w:r>
    </w:p>
    <w:p w14:paraId="6EDCF484" w14:textId="77777777" w:rsidR="00E20D71" w:rsidRPr="007114AF" w:rsidRDefault="00164B6B" w:rsidP="00E20D71">
      <w:pPr>
        <w:spacing w:after="0" w:line="240" w:lineRule="auto"/>
        <w:ind w:firstLine="284"/>
        <w:rPr>
          <w:rFonts w:ascii="Garamond" w:hAnsi="Garamond"/>
          <w:sz w:val="24"/>
          <w:szCs w:val="24"/>
        </w:rPr>
      </w:pPr>
      <w:r w:rsidRPr="007114AF">
        <w:rPr>
          <w:rFonts w:ascii="Garamond" w:hAnsi="Garamond"/>
          <w:sz w:val="24"/>
          <w:szCs w:val="24"/>
        </w:rPr>
        <w:t xml:space="preserve">- </w:t>
      </w:r>
      <w:r w:rsidR="00E20D71" w:rsidRPr="007114AF">
        <w:rPr>
          <w:rFonts w:ascii="Garamond" w:hAnsi="Garamond"/>
          <w:sz w:val="24"/>
          <w:szCs w:val="24"/>
        </w:rPr>
        <w:t>Raport vjetor dhe komunikatë mbi mbështetjen financiare dhe teknologjikë për vendet në zhvillim (çdo vit më 30 shtator).</w:t>
      </w:r>
    </w:p>
    <w:p w14:paraId="6EDCF485" w14:textId="77777777" w:rsidR="00E20D71" w:rsidRPr="007114AF" w:rsidRDefault="00164B6B" w:rsidP="00E20D71">
      <w:pPr>
        <w:spacing w:after="0" w:line="240" w:lineRule="auto"/>
        <w:ind w:firstLine="284"/>
        <w:rPr>
          <w:rFonts w:ascii="Garamond" w:hAnsi="Garamond"/>
          <w:sz w:val="24"/>
          <w:szCs w:val="24"/>
        </w:rPr>
      </w:pPr>
      <w:r w:rsidRPr="007114AF">
        <w:rPr>
          <w:rFonts w:ascii="Garamond" w:hAnsi="Garamond"/>
          <w:sz w:val="24"/>
          <w:szCs w:val="24"/>
        </w:rPr>
        <w:t xml:space="preserve">- </w:t>
      </w:r>
      <w:r w:rsidR="00E20D71" w:rsidRPr="007114AF">
        <w:rPr>
          <w:rFonts w:ascii="Garamond" w:hAnsi="Garamond"/>
          <w:sz w:val="24"/>
          <w:szCs w:val="24"/>
        </w:rPr>
        <w:t>Ngritja e sistemeve kombëtare për politikat, masat dhe parashikimet (9 korrik 2016).</w:t>
      </w:r>
    </w:p>
    <w:p w14:paraId="6EDCF486" w14:textId="74DC695D" w:rsidR="00E20D71" w:rsidRPr="007114AF" w:rsidRDefault="00E20D71" w:rsidP="00E20D71">
      <w:pPr>
        <w:spacing w:after="0" w:line="240" w:lineRule="auto"/>
        <w:ind w:firstLine="284"/>
        <w:rPr>
          <w:rFonts w:ascii="Garamond" w:hAnsi="Garamond"/>
          <w:sz w:val="24"/>
          <w:szCs w:val="24"/>
        </w:rPr>
      </w:pPr>
      <w:r w:rsidRPr="007114AF">
        <w:rPr>
          <w:rFonts w:ascii="Garamond" w:hAnsi="Garamond"/>
          <w:sz w:val="24"/>
          <w:szCs w:val="24"/>
        </w:rPr>
        <w:t xml:space="preserve">Në veçanti për sektorin LULUCF-ës, sipas kërkesave të </w:t>
      </w:r>
      <w:r w:rsidR="008E3602" w:rsidRPr="007114AF">
        <w:rPr>
          <w:rFonts w:ascii="Garamond" w:hAnsi="Garamond"/>
          <w:sz w:val="24"/>
          <w:szCs w:val="24"/>
        </w:rPr>
        <w:t>vendimit</w:t>
      </w:r>
      <w:r w:rsidR="00242009" w:rsidRPr="007114AF">
        <w:rPr>
          <w:rFonts w:ascii="Garamond" w:hAnsi="Garamond"/>
          <w:sz w:val="24"/>
          <w:szCs w:val="24"/>
        </w:rPr>
        <w:t xml:space="preserve"> nr. </w:t>
      </w:r>
      <w:r w:rsidRPr="007114AF">
        <w:rPr>
          <w:rFonts w:ascii="Garamond" w:hAnsi="Garamond"/>
          <w:sz w:val="24"/>
          <w:szCs w:val="24"/>
        </w:rPr>
        <w:t>529/2013/EU, shtetet anëtare do të përgatisin dhe mbajnë raporte</w:t>
      </w:r>
      <w:r w:rsidR="008E3602" w:rsidRPr="007114AF">
        <w:rPr>
          <w:rFonts w:ascii="Garamond" w:hAnsi="Garamond"/>
          <w:sz w:val="24"/>
          <w:szCs w:val="24"/>
        </w:rPr>
        <w:t xml:space="preserve"> </w:t>
      </w:r>
      <w:r w:rsidRPr="007114AF">
        <w:rPr>
          <w:rFonts w:ascii="Garamond" w:hAnsi="Garamond"/>
          <w:sz w:val="24"/>
          <w:szCs w:val="24"/>
        </w:rPr>
        <w:t>për gjithë shkarkimet dhe përthithjen</w:t>
      </w:r>
      <w:r w:rsidR="008E3602" w:rsidRPr="007114AF">
        <w:rPr>
          <w:rFonts w:ascii="Garamond" w:hAnsi="Garamond"/>
          <w:sz w:val="24"/>
          <w:szCs w:val="24"/>
        </w:rPr>
        <w:t xml:space="preserve"> </w:t>
      </w:r>
      <w:r w:rsidRPr="007114AF">
        <w:rPr>
          <w:rFonts w:ascii="Garamond" w:hAnsi="Garamond"/>
          <w:sz w:val="24"/>
          <w:szCs w:val="24"/>
        </w:rPr>
        <w:t>e tyre, që rezultojnë nga aktivitetet e mëposhtme: pyllëzimi/ripyllëzimi, shpyllëzimi, menaxhimi i pyjeve. Veç kësaj, Shtetet Anëtare, para 1 janarit 2022, do t</w:t>
      </w:r>
      <w:r w:rsidR="00D10DAB" w:rsidRPr="007114AF">
        <w:rPr>
          <w:rFonts w:ascii="Garamond" w:hAnsi="Garamond"/>
          <w:sz w:val="24"/>
          <w:szCs w:val="24"/>
        </w:rPr>
        <w:t>’</w:t>
      </w:r>
      <w:r w:rsidRPr="007114AF">
        <w:rPr>
          <w:rFonts w:ascii="Garamond" w:hAnsi="Garamond"/>
          <w:sz w:val="24"/>
          <w:szCs w:val="24"/>
        </w:rPr>
        <w:t>i sigurojnë dhe paraqesin komisionit deri më 15 mars, çdo vit, vlerësime fillestare, paraprake dhe jodetyruese vjetore të shkarkimeve dhe përthithjes së tyre nga: menaxhimi i tokave bujqësore dhe menaxhimi i kullotave. Për çdo periudhë raportimi, shtetet anëtare mund të përgatisin dhe të mbajnë raportet e shkarkimeve dhe të përthithjes së tyre, që rezultojnë nga: ribimësimi, drenazhi</w:t>
      </w:r>
      <w:r w:rsidR="001620F5" w:rsidRPr="007114AF">
        <w:rPr>
          <w:rFonts w:ascii="Garamond" w:hAnsi="Garamond"/>
          <w:sz w:val="24"/>
          <w:szCs w:val="24"/>
        </w:rPr>
        <w:t xml:space="preserve"> </w:t>
      </w:r>
      <w:r w:rsidRPr="007114AF">
        <w:rPr>
          <w:rFonts w:ascii="Garamond" w:hAnsi="Garamond"/>
          <w:sz w:val="24"/>
          <w:szCs w:val="24"/>
        </w:rPr>
        <w:t xml:space="preserve">i ligatinave dhe rikthimi i ujit në ligatina. </w:t>
      </w:r>
    </w:p>
    <w:p w14:paraId="6EDCF487" w14:textId="4DD14E0A" w:rsidR="00E20D71" w:rsidRPr="007114AF" w:rsidRDefault="00E20D71" w:rsidP="00E20D71">
      <w:pPr>
        <w:spacing w:after="0" w:line="240" w:lineRule="auto"/>
        <w:ind w:firstLine="284"/>
        <w:rPr>
          <w:rFonts w:ascii="Garamond" w:hAnsi="Garamond"/>
          <w:sz w:val="24"/>
          <w:szCs w:val="24"/>
        </w:rPr>
      </w:pPr>
      <w:r w:rsidRPr="007114AF">
        <w:rPr>
          <w:rFonts w:ascii="Garamond" w:hAnsi="Garamond"/>
          <w:sz w:val="24"/>
          <w:szCs w:val="24"/>
        </w:rPr>
        <w:t>Gjatë përgatitjes dhe mbajtjes së raporteve të tyre, shtetet anëtare do të sigurojnë transparencë, saktësi, qëndrueshmëri, krahasueshm</w:t>
      </w:r>
      <w:r w:rsidR="001620F5" w:rsidRPr="007114AF">
        <w:rPr>
          <w:rFonts w:ascii="Garamond" w:hAnsi="Garamond"/>
          <w:sz w:val="24"/>
          <w:szCs w:val="24"/>
        </w:rPr>
        <w:t>ë</w:t>
      </w:r>
      <w:r w:rsidRPr="007114AF">
        <w:rPr>
          <w:rFonts w:ascii="Garamond" w:hAnsi="Garamond"/>
          <w:sz w:val="24"/>
          <w:szCs w:val="24"/>
        </w:rPr>
        <w:t>ri dhe plotësi (TACCC), kur vlerësojnë shkarkimet dhe përthithjen e tyre që lidhen me këto aktivitete.</w:t>
      </w:r>
    </w:p>
    <w:p w14:paraId="6EDCF488" w14:textId="77777777" w:rsidR="00E20D71" w:rsidRPr="007114AF" w:rsidRDefault="001259F3" w:rsidP="00E20D71">
      <w:pPr>
        <w:spacing w:after="0" w:line="240" w:lineRule="auto"/>
        <w:ind w:firstLine="284"/>
        <w:rPr>
          <w:rFonts w:ascii="Garamond" w:hAnsi="Garamond"/>
          <w:b/>
          <w:sz w:val="24"/>
          <w:szCs w:val="24"/>
        </w:rPr>
      </w:pPr>
      <w:bookmarkStart w:id="35" w:name="_Toc450135229"/>
      <w:bookmarkStart w:id="36" w:name="_Toc450151832"/>
      <w:bookmarkStart w:id="37" w:name="_Toc484424479"/>
      <w:r w:rsidRPr="007114AF">
        <w:rPr>
          <w:rFonts w:ascii="Garamond" w:hAnsi="Garamond"/>
          <w:b/>
          <w:sz w:val="24"/>
          <w:szCs w:val="24"/>
        </w:rPr>
        <w:t xml:space="preserve">2.5 </w:t>
      </w:r>
      <w:r w:rsidR="00E20D71" w:rsidRPr="007114AF">
        <w:rPr>
          <w:rFonts w:ascii="Garamond" w:hAnsi="Garamond"/>
          <w:b/>
          <w:sz w:val="24"/>
          <w:szCs w:val="24"/>
        </w:rPr>
        <w:t xml:space="preserve">Politika shqiptare për ndryshimet </w:t>
      </w:r>
      <w:bookmarkEnd w:id="35"/>
      <w:bookmarkEnd w:id="36"/>
      <w:r w:rsidR="00E20D71" w:rsidRPr="007114AF">
        <w:rPr>
          <w:rFonts w:ascii="Garamond" w:hAnsi="Garamond"/>
          <w:b/>
          <w:sz w:val="24"/>
          <w:szCs w:val="24"/>
        </w:rPr>
        <w:t>klimatike</w:t>
      </w:r>
      <w:bookmarkEnd w:id="37"/>
    </w:p>
    <w:p w14:paraId="6EDCF489" w14:textId="31A7AC04" w:rsidR="00E20D71" w:rsidRPr="007114AF" w:rsidRDefault="00E20D71" w:rsidP="00E20D71">
      <w:pPr>
        <w:spacing w:after="0" w:line="240" w:lineRule="auto"/>
        <w:ind w:firstLine="284"/>
        <w:rPr>
          <w:rFonts w:ascii="Garamond" w:hAnsi="Garamond"/>
          <w:sz w:val="24"/>
          <w:szCs w:val="24"/>
        </w:rPr>
      </w:pPr>
      <w:r w:rsidRPr="007114AF">
        <w:rPr>
          <w:rFonts w:ascii="Garamond" w:hAnsi="Garamond"/>
          <w:sz w:val="24"/>
          <w:szCs w:val="24"/>
        </w:rPr>
        <w:t xml:space="preserve">Parlamenti Shqiptar ka ratifikuar Marrëveshjen e Parisit më 14 </w:t>
      </w:r>
      <w:r w:rsidR="001620F5" w:rsidRPr="007114AF">
        <w:rPr>
          <w:rFonts w:ascii="Garamond" w:hAnsi="Garamond"/>
          <w:sz w:val="24"/>
          <w:szCs w:val="24"/>
        </w:rPr>
        <w:t>k</w:t>
      </w:r>
      <w:r w:rsidRPr="007114AF">
        <w:rPr>
          <w:rFonts w:ascii="Garamond" w:hAnsi="Garamond"/>
          <w:sz w:val="24"/>
          <w:szCs w:val="24"/>
        </w:rPr>
        <w:t>orrik 2016, duke hyrë në epokën e re të procesit të politikave ndërkombëtare për klimën. Shqipëria iu bashkua Konventës Kuadër të Kombeve të Bashkuara mbi Ndryshimin e Klimës (UNFCCC) në vitin 1995, dhe Protokollit të Kiotos</w:t>
      </w:r>
      <w:r w:rsidR="001620F5" w:rsidRPr="007114AF">
        <w:rPr>
          <w:rFonts w:ascii="Garamond" w:hAnsi="Garamond"/>
          <w:sz w:val="24"/>
          <w:szCs w:val="24"/>
        </w:rPr>
        <w:t xml:space="preserve"> </w:t>
      </w:r>
      <w:r w:rsidRPr="007114AF">
        <w:rPr>
          <w:rFonts w:ascii="Garamond" w:hAnsi="Garamond"/>
          <w:sz w:val="24"/>
          <w:szCs w:val="24"/>
        </w:rPr>
        <w:t xml:space="preserve">në vitin 2005. Si jovend i </w:t>
      </w:r>
      <w:r w:rsidR="001620F5" w:rsidRPr="007114AF">
        <w:rPr>
          <w:rFonts w:ascii="Garamond" w:hAnsi="Garamond"/>
          <w:sz w:val="24"/>
          <w:szCs w:val="24"/>
        </w:rPr>
        <w:t>a</w:t>
      </w:r>
      <w:r w:rsidRPr="007114AF">
        <w:rPr>
          <w:rFonts w:ascii="Garamond" w:hAnsi="Garamond"/>
          <w:sz w:val="24"/>
          <w:szCs w:val="24"/>
        </w:rPr>
        <w:t>neksit I, të UNFCCC-ës, Shqipëria nuk ka detyrime të përcaktuara për reduktimin e shkarkimeve të gazeve serrë; megjithatë, Shqipëria ka detyrimi</w:t>
      </w:r>
      <w:r w:rsidRPr="00E132F0">
        <w:rPr>
          <w:rFonts w:ascii="Garamond" w:hAnsi="Garamond"/>
          <w:sz w:val="24"/>
          <w:szCs w:val="24"/>
          <w:vertAlign w:val="superscript"/>
        </w:rPr>
        <w:footnoteReference w:id="22"/>
      </w:r>
      <w:r w:rsidRPr="007114AF">
        <w:rPr>
          <w:rFonts w:ascii="Garamond" w:hAnsi="Garamond"/>
          <w:sz w:val="24"/>
          <w:szCs w:val="24"/>
        </w:rPr>
        <w:t xml:space="preserve"> t</w:t>
      </w:r>
      <w:r w:rsidR="00D10DAB" w:rsidRPr="007114AF">
        <w:rPr>
          <w:rFonts w:ascii="Garamond" w:hAnsi="Garamond"/>
          <w:sz w:val="24"/>
          <w:szCs w:val="24"/>
        </w:rPr>
        <w:t>’</w:t>
      </w:r>
      <w:r w:rsidRPr="007114AF">
        <w:rPr>
          <w:rFonts w:ascii="Garamond" w:hAnsi="Garamond"/>
          <w:sz w:val="24"/>
          <w:szCs w:val="24"/>
        </w:rPr>
        <w:t>i komunikojë KeP-it, informacionin përkatës për zbatimin e Konventës, në lidhje me shkarkimet dhe përthithjen. Qeveria e Shqipërisë ka bërë hapa të mëdha përpara drejt zbatimit të UNFCCC-ës, me përgatitjen e tri komunikatave kombëtare (2002, 2009, 2016).</w:t>
      </w:r>
    </w:p>
    <w:p w14:paraId="6EDCF48A" w14:textId="7E0BA588" w:rsidR="00E20D71" w:rsidRPr="007114AF" w:rsidRDefault="00E20D71" w:rsidP="00E20D71">
      <w:pPr>
        <w:spacing w:after="0" w:line="240" w:lineRule="auto"/>
        <w:ind w:firstLine="284"/>
        <w:rPr>
          <w:rFonts w:ascii="Garamond" w:hAnsi="Garamond"/>
          <w:sz w:val="24"/>
          <w:szCs w:val="24"/>
        </w:rPr>
      </w:pPr>
      <w:r w:rsidRPr="007114AF">
        <w:rPr>
          <w:rFonts w:ascii="Garamond" w:hAnsi="Garamond"/>
          <w:sz w:val="24"/>
          <w:szCs w:val="24"/>
        </w:rPr>
        <w:t>Shqipëria ka nisur procesin e ndryshimit të statusit, nga vend në zhvillim</w:t>
      </w:r>
      <w:r w:rsidR="005E4EDF" w:rsidRPr="007114AF">
        <w:rPr>
          <w:rFonts w:ascii="Garamond" w:hAnsi="Garamond"/>
          <w:sz w:val="24"/>
          <w:szCs w:val="24"/>
        </w:rPr>
        <w:t xml:space="preserve"> </w:t>
      </w:r>
      <w:r w:rsidRPr="007114AF">
        <w:rPr>
          <w:rFonts w:ascii="Garamond" w:hAnsi="Garamond"/>
          <w:sz w:val="24"/>
          <w:szCs w:val="24"/>
        </w:rPr>
        <w:t>- në vend i zhvilluar, në kontekstin e UNFCCC-ës. Ky proces është pjesë përbërëse e procesit të integrimit në Bashkimin Evropian, dhe përfshin zhvillimin e kapaciteteve në nivel kombëtar për monitorimin dhe raportimin vjetor të GES-it, formulimin dhe zbatimin e politikave për reduktimin e GES-it</w:t>
      </w:r>
      <w:r w:rsidR="005E4EDF" w:rsidRPr="007114AF">
        <w:rPr>
          <w:rFonts w:ascii="Garamond" w:hAnsi="Garamond"/>
          <w:sz w:val="24"/>
          <w:szCs w:val="24"/>
        </w:rPr>
        <w:t xml:space="preserve"> </w:t>
      </w:r>
      <w:r w:rsidRPr="007114AF">
        <w:rPr>
          <w:rFonts w:ascii="Garamond" w:hAnsi="Garamond"/>
          <w:sz w:val="24"/>
          <w:szCs w:val="24"/>
        </w:rPr>
        <w:t>dhe përshtatjen ndaj ndryshimeve klimatike, përafrimin dhe zbatimin e legjislacionit të Bashkimit Evropian</w:t>
      </w:r>
      <w:r w:rsidR="005E4EDF" w:rsidRPr="007114AF">
        <w:rPr>
          <w:rFonts w:ascii="Garamond" w:hAnsi="Garamond"/>
          <w:sz w:val="24"/>
          <w:szCs w:val="24"/>
        </w:rPr>
        <w:t xml:space="preserve"> </w:t>
      </w:r>
      <w:r w:rsidRPr="007114AF">
        <w:rPr>
          <w:rFonts w:ascii="Garamond" w:hAnsi="Garamond"/>
          <w:sz w:val="24"/>
          <w:szCs w:val="24"/>
        </w:rPr>
        <w:t>për ndryshimin e klimës.</w:t>
      </w:r>
    </w:p>
    <w:p w14:paraId="6EDCF48B" w14:textId="1AC5B12C" w:rsidR="00E20D71" w:rsidRPr="007114AF" w:rsidRDefault="00E20D71" w:rsidP="00E20D71">
      <w:pPr>
        <w:spacing w:after="0" w:line="240" w:lineRule="auto"/>
        <w:ind w:firstLine="284"/>
        <w:rPr>
          <w:rFonts w:ascii="Garamond" w:hAnsi="Garamond"/>
          <w:sz w:val="24"/>
          <w:szCs w:val="24"/>
        </w:rPr>
      </w:pPr>
      <w:r w:rsidRPr="007114AF">
        <w:rPr>
          <w:rFonts w:ascii="Garamond" w:hAnsi="Garamond"/>
          <w:sz w:val="24"/>
          <w:szCs w:val="24"/>
        </w:rPr>
        <w:t xml:space="preserve">Në përputhje me objektivat e BE-së, </w:t>
      </w:r>
      <w:r w:rsidR="000A2A01" w:rsidRPr="007114AF">
        <w:rPr>
          <w:rFonts w:ascii="Garamond" w:hAnsi="Garamond"/>
          <w:sz w:val="24"/>
          <w:szCs w:val="24"/>
        </w:rPr>
        <w:t>“</w:t>
      </w:r>
      <w:r w:rsidRPr="007114AF">
        <w:rPr>
          <w:rFonts w:ascii="Garamond" w:hAnsi="Garamond"/>
          <w:sz w:val="24"/>
          <w:szCs w:val="24"/>
        </w:rPr>
        <w:t>Paketa e Klimës dhe Energjisë 2020</w:t>
      </w:r>
      <w:r w:rsidR="000A2A01" w:rsidRPr="007114AF">
        <w:rPr>
          <w:rFonts w:ascii="Garamond" w:hAnsi="Garamond"/>
          <w:sz w:val="24"/>
          <w:szCs w:val="24"/>
        </w:rPr>
        <w:t>”</w:t>
      </w:r>
      <w:r w:rsidRPr="007114AF">
        <w:rPr>
          <w:rFonts w:ascii="Garamond" w:hAnsi="Garamond"/>
          <w:sz w:val="24"/>
          <w:szCs w:val="24"/>
        </w:rPr>
        <w:t>, Shqipëria ka përcaktuar objektiva sasior</w:t>
      </w:r>
      <w:r w:rsidR="0082368C">
        <w:rPr>
          <w:rFonts w:ascii="Garamond" w:hAnsi="Garamond"/>
          <w:sz w:val="24"/>
          <w:szCs w:val="24"/>
        </w:rPr>
        <w:t>ë</w:t>
      </w:r>
      <w:r w:rsidRPr="007114AF">
        <w:rPr>
          <w:rFonts w:ascii="Garamond" w:hAnsi="Garamond"/>
          <w:sz w:val="24"/>
          <w:szCs w:val="24"/>
        </w:rPr>
        <w:t xml:space="preserve"> lidhur me eficiencën e energjisë (rritje me 9%) dhe burimet e energjisë së rinovueshme (rritje deri 38%), në kuadrin e Traktatit të Komunitetit të Energjisë. Kët</w:t>
      </w:r>
      <w:r w:rsidR="0082368C">
        <w:rPr>
          <w:rFonts w:ascii="Garamond" w:hAnsi="Garamond"/>
          <w:sz w:val="24"/>
          <w:szCs w:val="24"/>
        </w:rPr>
        <w:t>a</w:t>
      </w:r>
      <w:r w:rsidRPr="007114AF">
        <w:rPr>
          <w:rFonts w:ascii="Garamond" w:hAnsi="Garamond"/>
          <w:sz w:val="24"/>
          <w:szCs w:val="24"/>
        </w:rPr>
        <w:t xml:space="preserve"> objektiva aktualisht po rishikohen në kuadrin e rishikimeve 2dhe 3 të Planeve Kombëtare të Veprimit të Eficiencës së Energjisë.</w:t>
      </w:r>
    </w:p>
    <w:p w14:paraId="6EDCF48C" w14:textId="42823CAE" w:rsidR="00E20D71" w:rsidRPr="007114AF" w:rsidRDefault="00E20D71" w:rsidP="00E20D71">
      <w:pPr>
        <w:spacing w:after="0" w:line="240" w:lineRule="auto"/>
        <w:ind w:firstLine="284"/>
        <w:rPr>
          <w:rFonts w:ascii="Garamond" w:hAnsi="Garamond"/>
          <w:sz w:val="24"/>
          <w:szCs w:val="24"/>
        </w:rPr>
      </w:pPr>
      <w:r w:rsidRPr="007114AF">
        <w:rPr>
          <w:rFonts w:ascii="Garamond" w:hAnsi="Garamond"/>
          <w:sz w:val="24"/>
          <w:szCs w:val="24"/>
        </w:rPr>
        <w:t>Në vitin 2014,</w:t>
      </w:r>
      <w:r w:rsidR="00F945A3" w:rsidRPr="007114AF">
        <w:rPr>
          <w:rFonts w:ascii="Garamond" w:hAnsi="Garamond"/>
          <w:sz w:val="24"/>
          <w:szCs w:val="24"/>
        </w:rPr>
        <w:t xml:space="preserve"> </w:t>
      </w:r>
      <w:r w:rsidRPr="007114AF">
        <w:rPr>
          <w:rFonts w:ascii="Garamond" w:hAnsi="Garamond"/>
          <w:sz w:val="24"/>
          <w:szCs w:val="24"/>
        </w:rPr>
        <w:t xml:space="preserve">me </w:t>
      </w:r>
      <w:r w:rsidR="00F945A3" w:rsidRPr="007114AF">
        <w:rPr>
          <w:rFonts w:ascii="Garamond" w:hAnsi="Garamond"/>
          <w:sz w:val="24"/>
          <w:szCs w:val="24"/>
        </w:rPr>
        <w:t xml:space="preserve">urdhrin </w:t>
      </w:r>
      <w:r w:rsidRPr="007114AF">
        <w:rPr>
          <w:rFonts w:ascii="Garamond" w:hAnsi="Garamond"/>
          <w:sz w:val="24"/>
          <w:szCs w:val="24"/>
        </w:rPr>
        <w:t>e Kryeministrit</w:t>
      </w:r>
      <w:r w:rsidR="00242009" w:rsidRPr="007114AF">
        <w:rPr>
          <w:rFonts w:ascii="Garamond" w:hAnsi="Garamond"/>
          <w:sz w:val="24"/>
          <w:szCs w:val="24"/>
        </w:rPr>
        <w:t xml:space="preserve"> nr. </w:t>
      </w:r>
      <w:r w:rsidR="00F945A3" w:rsidRPr="007114AF">
        <w:rPr>
          <w:rFonts w:ascii="Garamond" w:hAnsi="Garamond"/>
          <w:sz w:val="24"/>
          <w:szCs w:val="24"/>
        </w:rPr>
        <w:t>155, datë 25.</w:t>
      </w:r>
      <w:r w:rsidRPr="007114AF">
        <w:rPr>
          <w:rFonts w:ascii="Garamond" w:hAnsi="Garamond"/>
          <w:sz w:val="24"/>
          <w:szCs w:val="24"/>
        </w:rPr>
        <w:t>4.2014, u ngrit një grup ndërministror pune, për koordinimin e detyrave të ministrive, sipas detyrimeve të vendit në kuadrin e UNFCCC-ës. Grupi</w:t>
      </w:r>
      <w:r w:rsidR="00F945A3" w:rsidRPr="007114AF">
        <w:rPr>
          <w:rFonts w:ascii="Garamond" w:hAnsi="Garamond"/>
          <w:sz w:val="24"/>
          <w:szCs w:val="24"/>
        </w:rPr>
        <w:t xml:space="preserve"> </w:t>
      </w:r>
      <w:r w:rsidRPr="007114AF">
        <w:rPr>
          <w:rFonts w:ascii="Garamond" w:hAnsi="Garamond"/>
          <w:sz w:val="24"/>
          <w:szCs w:val="24"/>
        </w:rPr>
        <w:t>i kryesuar nga zëvendësministri i Mjedisit, përfshin përfaqësuesit e 12 ministrive</w:t>
      </w:r>
      <w:r w:rsidR="00F945A3" w:rsidRPr="007114AF">
        <w:rPr>
          <w:rFonts w:ascii="Garamond" w:hAnsi="Garamond"/>
          <w:sz w:val="24"/>
          <w:szCs w:val="24"/>
        </w:rPr>
        <w:t xml:space="preserve"> </w:t>
      </w:r>
      <w:r w:rsidRPr="007114AF">
        <w:rPr>
          <w:rFonts w:ascii="Garamond" w:hAnsi="Garamond"/>
          <w:sz w:val="24"/>
          <w:szCs w:val="24"/>
        </w:rPr>
        <w:t>shqiptare, dhe ka mandat, ndër të tjera, për hartimin e politikave dhe strategjive, si dhe koordinimin në nivel ndërinstitucional të zbatimit të veprimeve që lidhen me ndryshimin e klimës.</w:t>
      </w:r>
    </w:p>
    <w:p w14:paraId="6EDCF48D" w14:textId="26158E33" w:rsidR="00E20D71" w:rsidRPr="007114AF" w:rsidRDefault="00E20D71" w:rsidP="00E20D71">
      <w:pPr>
        <w:spacing w:after="0" w:line="240" w:lineRule="auto"/>
        <w:ind w:firstLine="284"/>
        <w:rPr>
          <w:rFonts w:ascii="Garamond" w:hAnsi="Garamond"/>
          <w:sz w:val="24"/>
          <w:szCs w:val="24"/>
        </w:rPr>
      </w:pPr>
      <w:r w:rsidRPr="007114AF">
        <w:rPr>
          <w:rFonts w:ascii="Garamond" w:hAnsi="Garamond"/>
          <w:sz w:val="24"/>
          <w:szCs w:val="24"/>
        </w:rPr>
        <w:t>Shqipëria ka paraqitur INDC-në, në kuadrin e procesit të Marrëveshjes së Parisit, në shtator 2015, duke u angazhuar për reduktimin e shkarkimeve CO</w:t>
      </w:r>
      <w:r w:rsidRPr="007114AF">
        <w:rPr>
          <w:rFonts w:ascii="Garamond" w:hAnsi="Garamond"/>
          <w:sz w:val="24"/>
          <w:szCs w:val="24"/>
          <w:vertAlign w:val="subscript"/>
        </w:rPr>
        <w:t>2</w:t>
      </w:r>
      <w:r w:rsidRPr="007114AF">
        <w:rPr>
          <w:rFonts w:ascii="Garamond" w:hAnsi="Garamond"/>
          <w:sz w:val="24"/>
          <w:szCs w:val="24"/>
        </w:rPr>
        <w:t>, krahasuar me skenarin bazë deri n</w:t>
      </w:r>
      <w:r w:rsidR="0000517F">
        <w:rPr>
          <w:rFonts w:ascii="Garamond" w:hAnsi="Garamond"/>
          <w:sz w:val="24"/>
          <w:szCs w:val="24"/>
        </w:rPr>
        <w:t>ë</w:t>
      </w:r>
      <w:r w:rsidRPr="007114AF">
        <w:rPr>
          <w:rFonts w:ascii="Garamond" w:hAnsi="Garamond"/>
          <w:sz w:val="24"/>
          <w:szCs w:val="24"/>
        </w:rPr>
        <w:t xml:space="preserve"> </w:t>
      </w:r>
      <w:r w:rsidRPr="007114AF">
        <w:rPr>
          <w:rFonts w:ascii="Garamond" w:hAnsi="Garamond"/>
          <w:sz w:val="24"/>
          <w:szCs w:val="24"/>
        </w:rPr>
        <w:lastRenderedPageBreak/>
        <w:t>vitin 2030 me 11.5%. Ky reduktim nënkupton reduktim të shkarkimeve të d</w:t>
      </w:r>
      <w:r w:rsidR="00F945A3" w:rsidRPr="007114AF">
        <w:rPr>
          <w:rFonts w:ascii="Garamond" w:hAnsi="Garamond"/>
          <w:sz w:val="24"/>
          <w:szCs w:val="24"/>
        </w:rPr>
        <w:t>y</w:t>
      </w:r>
      <w:r w:rsidRPr="007114AF">
        <w:rPr>
          <w:rFonts w:ascii="Garamond" w:hAnsi="Garamond"/>
          <w:sz w:val="24"/>
          <w:szCs w:val="24"/>
        </w:rPr>
        <w:t>oksidit të karbonit me 708 kt deri në vitin 2030.</w:t>
      </w:r>
    </w:p>
    <w:p w14:paraId="6EDCF48E" w14:textId="77777777" w:rsidR="00E20D71" w:rsidRPr="007114AF" w:rsidRDefault="001259F3" w:rsidP="00E20D71">
      <w:pPr>
        <w:spacing w:after="0" w:line="240" w:lineRule="auto"/>
        <w:ind w:firstLine="284"/>
        <w:rPr>
          <w:rFonts w:ascii="Garamond" w:hAnsi="Garamond"/>
          <w:b/>
          <w:sz w:val="24"/>
          <w:szCs w:val="24"/>
        </w:rPr>
      </w:pPr>
      <w:bookmarkStart w:id="38" w:name="_Toc449537121"/>
      <w:bookmarkStart w:id="39" w:name="_Toc450135230"/>
      <w:bookmarkStart w:id="40" w:name="_Toc450151833"/>
      <w:bookmarkStart w:id="41" w:name="_Toc484424480"/>
      <w:r w:rsidRPr="007114AF">
        <w:rPr>
          <w:rFonts w:ascii="Garamond" w:hAnsi="Garamond"/>
          <w:b/>
          <w:sz w:val="24"/>
          <w:szCs w:val="24"/>
        </w:rPr>
        <w:t xml:space="preserve">2.6 </w:t>
      </w:r>
      <w:r w:rsidR="00E20D71" w:rsidRPr="007114AF">
        <w:rPr>
          <w:rFonts w:ascii="Garamond" w:hAnsi="Garamond"/>
          <w:b/>
          <w:sz w:val="24"/>
          <w:szCs w:val="24"/>
        </w:rPr>
        <w:t>Gjendja e ekonom</w:t>
      </w:r>
      <w:bookmarkEnd w:id="38"/>
      <w:bookmarkEnd w:id="39"/>
      <w:bookmarkEnd w:id="40"/>
      <w:r w:rsidR="00E20D71" w:rsidRPr="007114AF">
        <w:rPr>
          <w:rFonts w:ascii="Garamond" w:hAnsi="Garamond"/>
          <w:b/>
          <w:sz w:val="24"/>
          <w:szCs w:val="24"/>
        </w:rPr>
        <w:t>isë shqiptare</w:t>
      </w:r>
      <w:bookmarkEnd w:id="41"/>
    </w:p>
    <w:p w14:paraId="6EDCF48F" w14:textId="5C4A454F" w:rsidR="00E20D71" w:rsidRPr="007114AF" w:rsidRDefault="00E20D71" w:rsidP="00E20D71">
      <w:pPr>
        <w:spacing w:after="0" w:line="240" w:lineRule="auto"/>
        <w:ind w:firstLine="284"/>
        <w:rPr>
          <w:rFonts w:ascii="Garamond" w:hAnsi="Garamond"/>
          <w:sz w:val="24"/>
          <w:szCs w:val="24"/>
        </w:rPr>
      </w:pPr>
      <w:r w:rsidRPr="007114AF">
        <w:rPr>
          <w:rFonts w:ascii="Garamond" w:hAnsi="Garamond"/>
          <w:sz w:val="24"/>
          <w:szCs w:val="24"/>
        </w:rPr>
        <w:t>Gjatë dekadës së kaluar ekonomia shqiptare ka përjetuar modele të ndryshme zhvillimi. Siç raportohet në KTK-në, pas vitit 2002, ekonomia shqiptare iu nënshtrua një periudhe zhvillimi ekonomik në rritje, duke arritur nivelin më të lartë në vitin 2008 (7.5%). Pas këtij viti, ekonomia iu nënshtrua një zhvillimi në rënie, përkatësisht 2.8% në</w:t>
      </w:r>
      <w:r w:rsidR="00F945A3" w:rsidRPr="007114AF">
        <w:rPr>
          <w:rFonts w:ascii="Garamond" w:hAnsi="Garamond"/>
          <w:sz w:val="24"/>
          <w:szCs w:val="24"/>
        </w:rPr>
        <w:t xml:space="preserve"> </w:t>
      </w:r>
      <w:r w:rsidRPr="007114AF">
        <w:rPr>
          <w:rFonts w:ascii="Garamond" w:hAnsi="Garamond"/>
          <w:sz w:val="24"/>
          <w:szCs w:val="24"/>
        </w:rPr>
        <w:t>vitin 2011, 1.3% në vitin 2012, duke regjistruar nivelin më të ulët në vitin 2013 (0.4%). Shkaqet i janë atribuuar jo vetëm krizave ekonomike globale, por edhe politikave të brendshme dhe një rruge zhvillimi të karakterizuar gjithashtu, nga një performancë e dobët e investimeve dhe konsumit privat. Ky model nuk parashikohet të vazhdojë. Megjithatë, sipas Perspektivës Ekonomike Botërore të Fondit Ndërkombëtar Monetar(IMF), pritet që ekonomia të rritet me një normë rritjeje prej 3.4% në vitin 2019</w:t>
      </w:r>
      <w:r w:rsidRPr="007114AF">
        <w:rPr>
          <w:rFonts w:ascii="Garamond" w:hAnsi="Garamond"/>
          <w:sz w:val="24"/>
          <w:szCs w:val="24"/>
        </w:rPr>
        <w:footnoteReference w:id="23"/>
      </w:r>
      <w:r w:rsidRPr="007114AF">
        <w:rPr>
          <w:rFonts w:ascii="Garamond" w:hAnsi="Garamond"/>
          <w:sz w:val="24"/>
          <w:szCs w:val="24"/>
        </w:rPr>
        <w:t xml:space="preserve">. </w:t>
      </w:r>
    </w:p>
    <w:p w14:paraId="6EDCF490" w14:textId="2242A9C8" w:rsidR="00E20D71" w:rsidRPr="007114AF" w:rsidRDefault="00E20D71" w:rsidP="00E20D71">
      <w:pPr>
        <w:spacing w:after="0" w:line="240" w:lineRule="auto"/>
        <w:ind w:firstLine="284"/>
        <w:rPr>
          <w:rFonts w:ascii="Garamond" w:hAnsi="Garamond"/>
          <w:sz w:val="24"/>
          <w:szCs w:val="24"/>
        </w:rPr>
      </w:pPr>
      <w:r w:rsidRPr="007114AF">
        <w:rPr>
          <w:rFonts w:ascii="Garamond" w:hAnsi="Garamond"/>
          <w:sz w:val="24"/>
          <w:szCs w:val="24"/>
        </w:rPr>
        <w:t>Në terma sektorialë, zhvillimi i ekonomisë shqiptare u nxit nga rritja</w:t>
      </w:r>
      <w:r w:rsidR="000A2A01" w:rsidRPr="007114AF">
        <w:rPr>
          <w:rFonts w:ascii="Garamond" w:hAnsi="Garamond"/>
          <w:sz w:val="24"/>
          <w:szCs w:val="24"/>
        </w:rPr>
        <w:t xml:space="preserve"> </w:t>
      </w:r>
      <w:r w:rsidRPr="007114AF">
        <w:rPr>
          <w:rFonts w:ascii="Garamond" w:hAnsi="Garamond"/>
          <w:sz w:val="24"/>
          <w:szCs w:val="24"/>
        </w:rPr>
        <w:t>e sektorit të shërbimeve dhe sektorëve të industrisë.</w:t>
      </w:r>
    </w:p>
    <w:p w14:paraId="6EDCF491" w14:textId="77777777" w:rsidR="00E20D71" w:rsidRPr="007114AF" w:rsidRDefault="00E20D71" w:rsidP="00E20D71">
      <w:pPr>
        <w:spacing w:after="0" w:line="240" w:lineRule="auto"/>
        <w:ind w:firstLine="284"/>
        <w:rPr>
          <w:rFonts w:ascii="Garamond" w:hAnsi="Garamond"/>
          <w:sz w:val="24"/>
          <w:szCs w:val="24"/>
        </w:rPr>
      </w:pPr>
      <w:r w:rsidRPr="007114AF">
        <w:rPr>
          <w:rFonts w:ascii="Garamond" w:hAnsi="Garamond"/>
          <w:sz w:val="24"/>
          <w:szCs w:val="24"/>
        </w:rPr>
        <w:t>Sektori i shërbimit, si publik ashtu dhe privat, është një ndër sektorët më të rëndësishëm dhe më dinamikë të ekonomisë shqiptare, që zë më shumë se 60% të vlerës së shtuar totale. Fokusi kryesor ekonomik i këtij sektori është aktiviteti tregtar. Sipas Bankës Kombëtare Shqiptare, pjesa më e madhe e rritjes ekonomike gjatë viteve i është atribuuar zhvillimit të këtij sektorit dhe vlerësohet përmes indeksit të transaksioneve të korporatave, që mbulojnë kompanitë tregtare, hotelet dhe restorantet, transportin, shërbimet e telekomunikacionit dhe shërbime të tjera. Në vitin 2010, vlera e shtuar e gjeneruar nga sektori, kontribuoi me 3.2 pikë përqindje, në rritjen mesatare vjetore të PBB-ës.</w:t>
      </w:r>
    </w:p>
    <w:p w14:paraId="6EDCF492" w14:textId="77777777" w:rsidR="00E20D71" w:rsidRPr="007114AF" w:rsidRDefault="00E20D71" w:rsidP="00E20D71">
      <w:pPr>
        <w:spacing w:after="0" w:line="240" w:lineRule="auto"/>
        <w:ind w:firstLine="284"/>
        <w:rPr>
          <w:rFonts w:ascii="Garamond" w:hAnsi="Garamond"/>
          <w:sz w:val="24"/>
          <w:szCs w:val="24"/>
        </w:rPr>
      </w:pPr>
      <w:r w:rsidRPr="007114AF">
        <w:rPr>
          <w:rFonts w:ascii="Garamond" w:hAnsi="Garamond"/>
          <w:sz w:val="24"/>
          <w:szCs w:val="24"/>
        </w:rPr>
        <w:t>Po ashtu sektori i industrisë–përfshirë nënsektorët e tij: metalurgjinë, industrinë kimike, materialet e ndërtimit, minierat, ushqimin/pijet/duhanin, tekstilet/lëkurët/këpucët, pyjet/letrën/shtypshkrimin</w:t>
      </w:r>
      <w:r w:rsidR="001259F3" w:rsidRPr="007114AF">
        <w:rPr>
          <w:rFonts w:ascii="Garamond" w:hAnsi="Garamond"/>
          <w:sz w:val="24"/>
          <w:szCs w:val="24"/>
        </w:rPr>
        <w:t>/</w:t>
      </w:r>
      <w:r w:rsidRPr="007114AF">
        <w:rPr>
          <w:rFonts w:ascii="Garamond" w:hAnsi="Garamond"/>
          <w:sz w:val="24"/>
          <w:szCs w:val="24"/>
        </w:rPr>
        <w:t xml:space="preserve">industrinë mekanike–ka regjistruar zhvillime shumë pozitive gjatë dekadës së fundit, duke e bërë sektorin industrial të renditet i dyti nga rëndësia, pas sektorit të shërbimit. Kontributi pozitiv i prodhimit industrial në rritjen ekonomike, reflektohet në numrin e shtuar të punonjësve në ketë sektor. </w:t>
      </w:r>
    </w:p>
    <w:p w14:paraId="6EDCF493" w14:textId="65444453" w:rsidR="00E20D71" w:rsidRPr="007114AF" w:rsidRDefault="00E20D71" w:rsidP="00E20D71">
      <w:pPr>
        <w:spacing w:after="0" w:line="240" w:lineRule="auto"/>
        <w:ind w:firstLine="284"/>
        <w:rPr>
          <w:rFonts w:ascii="Garamond" w:hAnsi="Garamond"/>
          <w:sz w:val="24"/>
          <w:szCs w:val="24"/>
        </w:rPr>
      </w:pPr>
      <w:r w:rsidRPr="007114AF">
        <w:rPr>
          <w:rFonts w:ascii="Garamond" w:hAnsi="Garamond"/>
          <w:sz w:val="24"/>
          <w:szCs w:val="24"/>
        </w:rPr>
        <w:t>Po ashtu sektori i transportit</w:t>
      </w:r>
      <w:r w:rsidR="00F945A3" w:rsidRPr="007114AF">
        <w:rPr>
          <w:rFonts w:ascii="Garamond" w:hAnsi="Garamond"/>
          <w:sz w:val="24"/>
          <w:szCs w:val="24"/>
        </w:rPr>
        <w:t xml:space="preserve"> </w:t>
      </w:r>
      <w:r w:rsidRPr="007114AF">
        <w:rPr>
          <w:rFonts w:ascii="Garamond" w:hAnsi="Garamond"/>
          <w:sz w:val="24"/>
          <w:szCs w:val="24"/>
        </w:rPr>
        <w:t xml:space="preserve">është rritur me shpejtësi që prej vitit 2000. Numri i mjeteve në rrugë është rritur, ndërsa infrastrukturat e transportit janë përmirësuar. Rrjedhimisht, ngarkesa totale e trafikut për transportin e mallrave dhe pasagjerëve është rritur më shumë. </w:t>
      </w:r>
    </w:p>
    <w:p w14:paraId="6EDCF494" w14:textId="06FE13CD" w:rsidR="00E20D71" w:rsidRPr="007114AF" w:rsidRDefault="00E20D71" w:rsidP="00E20D71">
      <w:pPr>
        <w:spacing w:after="0" w:line="240" w:lineRule="auto"/>
        <w:ind w:firstLine="284"/>
        <w:rPr>
          <w:rFonts w:ascii="Garamond" w:hAnsi="Garamond"/>
          <w:sz w:val="24"/>
          <w:szCs w:val="24"/>
        </w:rPr>
      </w:pPr>
      <w:r w:rsidRPr="007114AF">
        <w:rPr>
          <w:rFonts w:ascii="Garamond" w:hAnsi="Garamond"/>
          <w:sz w:val="24"/>
          <w:szCs w:val="24"/>
        </w:rPr>
        <w:t>Sektori i bujqësisë</w:t>
      </w:r>
      <w:r w:rsidR="00F945A3" w:rsidRPr="007114AF">
        <w:rPr>
          <w:rFonts w:ascii="Garamond" w:hAnsi="Garamond"/>
          <w:sz w:val="24"/>
          <w:szCs w:val="24"/>
        </w:rPr>
        <w:t xml:space="preserve"> </w:t>
      </w:r>
      <w:r w:rsidRPr="007114AF">
        <w:rPr>
          <w:rFonts w:ascii="Garamond" w:hAnsi="Garamond"/>
          <w:sz w:val="24"/>
          <w:szCs w:val="24"/>
        </w:rPr>
        <w:t>luan një rol me rëndësi në ekonominë shqiptare, duke kontribuuar përafërsisht me 20% të vlerës së shtuar në ekonomi. Ndonëse emigrimi dhe urbanizimi i dekadës së fundit ka sjellë një zhvendosje strukturore nga bujqësia drejt industrisë dhe shërbimit, bujqësia mbetet një nga sektorët më të mëdhenj dhe më të rëndësishëm në Shqipëri. Bujqësia është burimi kryesor i punësimit dhe të ardhurave – sidomos në zonat rurale të fshatit – dhe përfaqëson 22.6% të PBB</w:t>
      </w:r>
      <w:r w:rsidRPr="007114AF">
        <w:rPr>
          <w:rFonts w:ascii="Garamond" w:hAnsi="Garamond"/>
          <w:sz w:val="24"/>
          <w:szCs w:val="24"/>
          <w:vertAlign w:val="superscript"/>
        </w:rPr>
        <w:footnoteReference w:id="24"/>
      </w:r>
      <w:r w:rsidRPr="007114AF">
        <w:rPr>
          <w:rFonts w:ascii="Garamond" w:hAnsi="Garamond"/>
          <w:sz w:val="24"/>
          <w:szCs w:val="24"/>
        </w:rPr>
        <w:t>-ës</w:t>
      </w:r>
      <w:r w:rsidR="00F945A3" w:rsidRPr="007114AF">
        <w:rPr>
          <w:rFonts w:ascii="Garamond" w:hAnsi="Garamond"/>
          <w:sz w:val="24"/>
          <w:szCs w:val="24"/>
        </w:rPr>
        <w:t xml:space="preserve"> </w:t>
      </w:r>
      <w:r w:rsidRPr="007114AF">
        <w:rPr>
          <w:rFonts w:ascii="Garamond" w:hAnsi="Garamond"/>
          <w:sz w:val="24"/>
          <w:szCs w:val="24"/>
        </w:rPr>
        <w:t>totale në vitin 2014,</w:t>
      </w:r>
      <w:r w:rsidR="00F945A3" w:rsidRPr="007114AF">
        <w:rPr>
          <w:rFonts w:ascii="Garamond" w:hAnsi="Garamond"/>
          <w:sz w:val="24"/>
          <w:szCs w:val="24"/>
        </w:rPr>
        <w:t xml:space="preserve"> </w:t>
      </w:r>
      <w:r w:rsidRPr="007114AF">
        <w:rPr>
          <w:rFonts w:ascii="Garamond" w:hAnsi="Garamond"/>
          <w:sz w:val="24"/>
          <w:szCs w:val="24"/>
        </w:rPr>
        <w:t xml:space="preserve">ndërsa zë rreth gjysmën e punësimit total (INSTAT 2013). Megjithatë, zhvillimi i sektorit ende ndikohet nga disa probleme strukturore, si teknologjia e dobët, investimet e ulëta dhe të lidhura, si dhe produktiviteti total i ulët krahasuar me mesataret e BE-së. </w:t>
      </w:r>
    </w:p>
    <w:p w14:paraId="6EDCF495" w14:textId="069DF9B8" w:rsidR="00E20D71" w:rsidRPr="007114AF" w:rsidRDefault="00E20D71" w:rsidP="00E20D71">
      <w:pPr>
        <w:spacing w:after="0" w:line="240" w:lineRule="auto"/>
        <w:ind w:firstLine="284"/>
        <w:rPr>
          <w:rFonts w:ascii="Garamond" w:hAnsi="Garamond"/>
          <w:sz w:val="24"/>
          <w:szCs w:val="24"/>
        </w:rPr>
      </w:pPr>
      <w:r w:rsidRPr="007114AF">
        <w:rPr>
          <w:rFonts w:ascii="Garamond" w:hAnsi="Garamond"/>
          <w:sz w:val="24"/>
          <w:szCs w:val="24"/>
        </w:rPr>
        <w:t>Zhvendosja në strukturën ekonomike të vendit nga bujqësia dhe sektori primar në përgjithësi, te sektori i shërbimit më pak intensiv nga ana e energjisë, si dhe prodhimi i produkteve me vlera më të larta, reflektohet në evolucionin e intensitetit të energjisë në Shqipëri që ishte më shumë se dyfishi i mesatares së BE-së në vitin 2000, por që atëherë ka rënë. Në një shkallë më të ulët, rënia e intensitetit të energjisë mund t</w:t>
      </w:r>
      <w:r w:rsidR="00D10DAB" w:rsidRPr="007114AF">
        <w:rPr>
          <w:rFonts w:ascii="Garamond" w:hAnsi="Garamond"/>
          <w:sz w:val="24"/>
          <w:szCs w:val="24"/>
        </w:rPr>
        <w:t>’</w:t>
      </w:r>
      <w:r w:rsidRPr="007114AF">
        <w:rPr>
          <w:rFonts w:ascii="Garamond" w:hAnsi="Garamond"/>
          <w:sz w:val="24"/>
          <w:szCs w:val="24"/>
        </w:rPr>
        <w:t>i atribuohet përmirësimit të eficiencës së energjisë (EE) dhe zbatimit të masave përkatëse për izolimin termik të stokut të banesave, ndriçimin efikas dhe masat e tjera EE.</w:t>
      </w:r>
    </w:p>
    <w:p w14:paraId="6EDCF496" w14:textId="77777777" w:rsidR="00E20D71" w:rsidRPr="007114AF" w:rsidRDefault="00E20D71" w:rsidP="00E20D71">
      <w:pPr>
        <w:spacing w:after="0" w:line="240" w:lineRule="auto"/>
        <w:ind w:firstLine="284"/>
        <w:rPr>
          <w:rFonts w:ascii="Garamond" w:hAnsi="Garamond"/>
          <w:sz w:val="24"/>
          <w:szCs w:val="24"/>
        </w:rPr>
      </w:pPr>
      <w:r w:rsidRPr="007114AF">
        <w:rPr>
          <w:rFonts w:ascii="Garamond" w:hAnsi="Garamond"/>
          <w:sz w:val="24"/>
          <w:szCs w:val="24"/>
        </w:rPr>
        <w:lastRenderedPageBreak/>
        <w:t>Në tabelën 2</w:t>
      </w:r>
      <w:r w:rsidR="00164B6B" w:rsidRPr="007114AF">
        <w:rPr>
          <w:rFonts w:ascii="Garamond" w:hAnsi="Garamond"/>
          <w:sz w:val="24"/>
          <w:szCs w:val="24"/>
        </w:rPr>
        <w:t xml:space="preserve"> </w:t>
      </w:r>
      <w:r w:rsidRPr="007114AF">
        <w:rPr>
          <w:rFonts w:ascii="Garamond" w:hAnsi="Garamond"/>
          <w:sz w:val="24"/>
          <w:szCs w:val="24"/>
        </w:rPr>
        <w:t xml:space="preserve">paraqitet një përmbledhje e të dhënave për modelet e PBB-ës gjatë dy dekadave të fundit. </w:t>
      </w:r>
    </w:p>
    <w:p w14:paraId="07CAB6D5" w14:textId="77777777" w:rsidR="00F945A3" w:rsidRPr="007114AF" w:rsidRDefault="00F945A3" w:rsidP="00E20D71">
      <w:pPr>
        <w:spacing w:after="0" w:line="240" w:lineRule="auto"/>
        <w:ind w:firstLine="284"/>
        <w:rPr>
          <w:rFonts w:ascii="Garamond" w:hAnsi="Garamond"/>
          <w:sz w:val="24"/>
          <w:szCs w:val="24"/>
        </w:rPr>
      </w:pPr>
    </w:p>
    <w:p w14:paraId="6EDCF497" w14:textId="754FD928" w:rsidR="00E20D71" w:rsidRPr="00527188" w:rsidRDefault="00E20D71" w:rsidP="00E20D71">
      <w:pPr>
        <w:spacing w:after="0" w:line="240" w:lineRule="auto"/>
        <w:ind w:firstLine="284"/>
        <w:rPr>
          <w:rFonts w:ascii="Garamond" w:hAnsi="Garamond"/>
          <w:b/>
          <w:sz w:val="24"/>
          <w:szCs w:val="24"/>
        </w:rPr>
      </w:pPr>
      <w:r w:rsidRPr="00527188">
        <w:rPr>
          <w:rFonts w:ascii="Garamond" w:hAnsi="Garamond"/>
          <w:b/>
          <w:sz w:val="24"/>
          <w:szCs w:val="24"/>
        </w:rPr>
        <w:t>Tabela</w:t>
      </w:r>
      <w:r w:rsidR="001259F3" w:rsidRPr="00527188">
        <w:rPr>
          <w:rFonts w:ascii="Garamond" w:hAnsi="Garamond"/>
          <w:b/>
          <w:sz w:val="24"/>
          <w:szCs w:val="24"/>
        </w:rPr>
        <w:t xml:space="preserve"> 2</w:t>
      </w:r>
      <w:r w:rsidR="00F945A3" w:rsidRPr="00527188">
        <w:rPr>
          <w:rFonts w:ascii="Garamond" w:hAnsi="Garamond"/>
          <w:b/>
          <w:sz w:val="24"/>
          <w:szCs w:val="24"/>
        </w:rPr>
        <w:t xml:space="preserve"> </w:t>
      </w:r>
      <w:r w:rsidRPr="00527188">
        <w:rPr>
          <w:rFonts w:ascii="Garamond" w:hAnsi="Garamond"/>
          <w:b/>
          <w:sz w:val="24"/>
          <w:szCs w:val="24"/>
        </w:rPr>
        <w:t>–</w:t>
      </w:r>
      <w:r w:rsidR="00F945A3" w:rsidRPr="00527188">
        <w:rPr>
          <w:rFonts w:ascii="Garamond" w:hAnsi="Garamond"/>
          <w:b/>
          <w:sz w:val="24"/>
          <w:szCs w:val="24"/>
        </w:rPr>
        <w:t xml:space="preserve"> </w:t>
      </w:r>
      <w:r w:rsidRPr="00527188">
        <w:rPr>
          <w:rFonts w:ascii="Garamond" w:hAnsi="Garamond"/>
          <w:b/>
          <w:sz w:val="24"/>
          <w:szCs w:val="24"/>
        </w:rPr>
        <w:t>Përmbledhje e modeleve</w:t>
      </w:r>
      <w:r w:rsidR="00F945A3" w:rsidRPr="00527188">
        <w:rPr>
          <w:rFonts w:ascii="Garamond" w:hAnsi="Garamond"/>
          <w:b/>
          <w:sz w:val="24"/>
          <w:szCs w:val="24"/>
        </w:rPr>
        <w:t xml:space="preserve"> të PBB-së për Shqipërinë, 1996–</w:t>
      </w:r>
      <w:r w:rsidRPr="00527188">
        <w:rPr>
          <w:rFonts w:ascii="Garamond" w:hAnsi="Garamond"/>
          <w:b/>
          <w:sz w:val="24"/>
          <w:szCs w:val="24"/>
        </w:rPr>
        <w:t>2013</w:t>
      </w:r>
    </w:p>
    <w:p w14:paraId="6EDCF498" w14:textId="77777777" w:rsidR="001259F3" w:rsidRPr="007114AF" w:rsidRDefault="001259F3" w:rsidP="00E20D71">
      <w:pPr>
        <w:spacing w:after="0" w:line="240" w:lineRule="auto"/>
        <w:ind w:firstLine="284"/>
        <w:rPr>
          <w:rFonts w:ascii="Garamond" w:hAnsi="Garamond"/>
          <w:sz w:val="24"/>
          <w:szCs w:val="24"/>
        </w:rPr>
      </w:pPr>
    </w:p>
    <w:tbl>
      <w:tblPr>
        <w:tblStyle w:val="GridTable6Colorful-Accent11"/>
        <w:tblW w:w="0" w:type="auto"/>
        <w:jc w:val="center"/>
        <w:tblLook w:val="04A0" w:firstRow="1" w:lastRow="0" w:firstColumn="1" w:lastColumn="0" w:noHBand="0" w:noVBand="1"/>
      </w:tblPr>
      <w:tblGrid>
        <w:gridCol w:w="2516"/>
        <w:gridCol w:w="960"/>
        <w:gridCol w:w="960"/>
        <w:gridCol w:w="960"/>
        <w:gridCol w:w="1098"/>
        <w:gridCol w:w="1098"/>
        <w:gridCol w:w="1183"/>
      </w:tblGrid>
      <w:tr w:rsidR="005C50A5" w:rsidRPr="007114AF" w14:paraId="6EDCF4A0" w14:textId="77777777" w:rsidTr="005C50A5">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6EDCF499" w14:textId="77777777" w:rsidR="005C50A5" w:rsidRPr="007114AF" w:rsidRDefault="005C50A5" w:rsidP="005C50A5">
            <w:pPr>
              <w:spacing w:after="0"/>
              <w:rPr>
                <w:rFonts w:ascii="Garamond" w:hAnsi="Garamond" w:cs="Calibri"/>
                <w:sz w:val="20"/>
                <w:szCs w:val="20"/>
              </w:rPr>
            </w:pPr>
          </w:p>
        </w:tc>
        <w:tc>
          <w:tcPr>
            <w:tcW w:w="0" w:type="auto"/>
            <w:vAlign w:val="center"/>
          </w:tcPr>
          <w:p w14:paraId="6EDCF49A" w14:textId="77777777" w:rsidR="005C50A5" w:rsidRPr="007114AF" w:rsidRDefault="005C50A5" w:rsidP="005C50A5">
            <w:pPr>
              <w:spacing w:after="0"/>
              <w:cnfStyle w:val="100000000000" w:firstRow="1" w:lastRow="0" w:firstColumn="0" w:lastColumn="0" w:oddVBand="0" w:evenVBand="0" w:oddHBand="0" w:evenHBand="0" w:firstRowFirstColumn="0" w:firstRowLastColumn="0" w:lastRowFirstColumn="0" w:lastRowLastColumn="0"/>
              <w:rPr>
                <w:rFonts w:ascii="Garamond" w:hAnsi="Garamond" w:cs="Calibri"/>
                <w:sz w:val="20"/>
                <w:szCs w:val="20"/>
              </w:rPr>
            </w:pPr>
            <w:r w:rsidRPr="007114AF">
              <w:rPr>
                <w:rFonts w:ascii="Garamond" w:hAnsi="Garamond" w:cs="Calibri"/>
                <w:sz w:val="20"/>
                <w:szCs w:val="20"/>
              </w:rPr>
              <w:t>1996</w:t>
            </w:r>
          </w:p>
        </w:tc>
        <w:tc>
          <w:tcPr>
            <w:tcW w:w="0" w:type="auto"/>
            <w:vAlign w:val="center"/>
          </w:tcPr>
          <w:p w14:paraId="6EDCF49B" w14:textId="77777777" w:rsidR="005C50A5" w:rsidRPr="007114AF" w:rsidRDefault="005C50A5" w:rsidP="005C50A5">
            <w:pPr>
              <w:spacing w:after="0"/>
              <w:cnfStyle w:val="100000000000" w:firstRow="1" w:lastRow="0" w:firstColumn="0" w:lastColumn="0" w:oddVBand="0" w:evenVBand="0" w:oddHBand="0" w:evenHBand="0" w:firstRowFirstColumn="0" w:firstRowLastColumn="0" w:lastRowFirstColumn="0" w:lastRowLastColumn="0"/>
              <w:rPr>
                <w:rFonts w:ascii="Garamond" w:hAnsi="Garamond" w:cs="Calibri"/>
                <w:sz w:val="20"/>
                <w:szCs w:val="20"/>
              </w:rPr>
            </w:pPr>
            <w:r w:rsidRPr="007114AF">
              <w:rPr>
                <w:rFonts w:ascii="Garamond" w:hAnsi="Garamond" w:cs="Calibri"/>
                <w:sz w:val="20"/>
                <w:szCs w:val="20"/>
              </w:rPr>
              <w:t>2002</w:t>
            </w:r>
          </w:p>
        </w:tc>
        <w:tc>
          <w:tcPr>
            <w:tcW w:w="0" w:type="auto"/>
            <w:vAlign w:val="center"/>
          </w:tcPr>
          <w:p w14:paraId="6EDCF49C" w14:textId="77777777" w:rsidR="005C50A5" w:rsidRPr="007114AF" w:rsidRDefault="005C50A5" w:rsidP="005C50A5">
            <w:pPr>
              <w:spacing w:after="0"/>
              <w:cnfStyle w:val="100000000000" w:firstRow="1" w:lastRow="0" w:firstColumn="0" w:lastColumn="0" w:oddVBand="0" w:evenVBand="0" w:oddHBand="0" w:evenHBand="0" w:firstRowFirstColumn="0" w:firstRowLastColumn="0" w:lastRowFirstColumn="0" w:lastRowLastColumn="0"/>
              <w:rPr>
                <w:rFonts w:ascii="Garamond" w:hAnsi="Garamond" w:cs="Calibri"/>
                <w:sz w:val="20"/>
                <w:szCs w:val="20"/>
              </w:rPr>
            </w:pPr>
            <w:r w:rsidRPr="007114AF">
              <w:rPr>
                <w:rFonts w:ascii="Garamond" w:hAnsi="Garamond" w:cs="Calibri"/>
                <w:sz w:val="20"/>
                <w:szCs w:val="20"/>
              </w:rPr>
              <w:t>2006</w:t>
            </w:r>
          </w:p>
        </w:tc>
        <w:tc>
          <w:tcPr>
            <w:tcW w:w="0" w:type="auto"/>
            <w:vAlign w:val="center"/>
          </w:tcPr>
          <w:p w14:paraId="6EDCF49D" w14:textId="77777777" w:rsidR="005C50A5" w:rsidRPr="007114AF" w:rsidRDefault="005C50A5" w:rsidP="005C50A5">
            <w:pPr>
              <w:spacing w:after="0"/>
              <w:cnfStyle w:val="100000000000" w:firstRow="1" w:lastRow="0" w:firstColumn="0" w:lastColumn="0" w:oddVBand="0" w:evenVBand="0" w:oddHBand="0" w:evenHBand="0" w:firstRowFirstColumn="0" w:firstRowLastColumn="0" w:lastRowFirstColumn="0" w:lastRowLastColumn="0"/>
              <w:rPr>
                <w:rFonts w:ascii="Garamond" w:hAnsi="Garamond" w:cs="Calibri"/>
                <w:sz w:val="20"/>
                <w:szCs w:val="20"/>
              </w:rPr>
            </w:pPr>
            <w:r w:rsidRPr="007114AF">
              <w:rPr>
                <w:rFonts w:ascii="Garamond" w:hAnsi="Garamond" w:cs="Calibri"/>
                <w:sz w:val="20"/>
                <w:szCs w:val="20"/>
              </w:rPr>
              <w:t>2008</w:t>
            </w:r>
          </w:p>
        </w:tc>
        <w:tc>
          <w:tcPr>
            <w:tcW w:w="0" w:type="auto"/>
            <w:vAlign w:val="center"/>
          </w:tcPr>
          <w:p w14:paraId="6EDCF49E" w14:textId="77777777" w:rsidR="005C50A5" w:rsidRPr="007114AF" w:rsidRDefault="005C50A5" w:rsidP="005C50A5">
            <w:pPr>
              <w:spacing w:after="0"/>
              <w:cnfStyle w:val="100000000000" w:firstRow="1" w:lastRow="0" w:firstColumn="0" w:lastColumn="0" w:oddVBand="0" w:evenVBand="0" w:oddHBand="0" w:evenHBand="0" w:firstRowFirstColumn="0" w:firstRowLastColumn="0" w:lastRowFirstColumn="0" w:lastRowLastColumn="0"/>
              <w:rPr>
                <w:rFonts w:ascii="Garamond" w:hAnsi="Garamond" w:cs="Calibri"/>
                <w:sz w:val="20"/>
                <w:szCs w:val="20"/>
              </w:rPr>
            </w:pPr>
            <w:r w:rsidRPr="007114AF">
              <w:rPr>
                <w:rFonts w:ascii="Garamond" w:hAnsi="Garamond" w:cs="Calibri"/>
                <w:sz w:val="20"/>
                <w:szCs w:val="20"/>
              </w:rPr>
              <w:t>2010</w:t>
            </w:r>
          </w:p>
        </w:tc>
        <w:tc>
          <w:tcPr>
            <w:tcW w:w="0" w:type="auto"/>
            <w:vAlign w:val="center"/>
          </w:tcPr>
          <w:p w14:paraId="6EDCF49F" w14:textId="77777777" w:rsidR="005C50A5" w:rsidRPr="007114AF" w:rsidRDefault="005C50A5" w:rsidP="005C50A5">
            <w:pPr>
              <w:spacing w:after="0"/>
              <w:cnfStyle w:val="100000000000" w:firstRow="1" w:lastRow="0" w:firstColumn="0" w:lastColumn="0" w:oddVBand="0" w:evenVBand="0" w:oddHBand="0" w:evenHBand="0" w:firstRowFirstColumn="0" w:firstRowLastColumn="0" w:lastRowFirstColumn="0" w:lastRowLastColumn="0"/>
              <w:rPr>
                <w:rFonts w:ascii="Garamond" w:hAnsi="Garamond" w:cs="Calibri"/>
                <w:sz w:val="20"/>
                <w:szCs w:val="20"/>
              </w:rPr>
            </w:pPr>
            <w:r w:rsidRPr="007114AF">
              <w:rPr>
                <w:rFonts w:ascii="Garamond" w:hAnsi="Garamond" w:cs="Calibri"/>
                <w:sz w:val="20"/>
                <w:szCs w:val="20"/>
              </w:rPr>
              <w:t>2013</w:t>
            </w:r>
          </w:p>
        </w:tc>
      </w:tr>
      <w:tr w:rsidR="005C50A5" w:rsidRPr="007114AF" w14:paraId="6EDCF4A8" w14:textId="77777777" w:rsidTr="005C50A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6EDCF4A1" w14:textId="57C6DEF7" w:rsidR="005C50A5" w:rsidRPr="007114AF" w:rsidRDefault="005C50A5" w:rsidP="005C50A5">
            <w:pPr>
              <w:spacing w:after="0"/>
              <w:rPr>
                <w:rFonts w:ascii="Garamond" w:hAnsi="Garamond" w:cs="Calibri"/>
                <w:sz w:val="20"/>
                <w:szCs w:val="20"/>
              </w:rPr>
            </w:pPr>
            <w:r w:rsidRPr="007114AF">
              <w:rPr>
                <w:rFonts w:ascii="Garamond" w:hAnsi="Garamond" w:cs="Calibri"/>
                <w:sz w:val="20"/>
                <w:szCs w:val="20"/>
              </w:rPr>
              <w:t>PBB (</w:t>
            </w:r>
            <w:r w:rsidR="00F945A3" w:rsidRPr="007114AF">
              <w:rPr>
                <w:rFonts w:ascii="Garamond" w:hAnsi="Garamond" w:cs="Calibri"/>
                <w:sz w:val="20"/>
                <w:szCs w:val="20"/>
              </w:rPr>
              <w:t>milionë lekë</w:t>
            </w:r>
            <w:r w:rsidRPr="007114AF">
              <w:rPr>
                <w:rFonts w:ascii="Garamond" w:hAnsi="Garamond" w:cs="Calibri"/>
                <w:sz w:val="20"/>
                <w:szCs w:val="20"/>
              </w:rPr>
              <w:t>)</w:t>
            </w:r>
          </w:p>
        </w:tc>
        <w:tc>
          <w:tcPr>
            <w:tcW w:w="0" w:type="auto"/>
            <w:vAlign w:val="center"/>
          </w:tcPr>
          <w:p w14:paraId="6EDCF4A2" w14:textId="77777777" w:rsidR="005C50A5" w:rsidRPr="007114AF" w:rsidRDefault="005C50A5" w:rsidP="005C50A5">
            <w:pPr>
              <w:spacing w:after="0"/>
              <w:cnfStyle w:val="000000100000" w:firstRow="0" w:lastRow="0" w:firstColumn="0" w:lastColumn="0" w:oddVBand="0" w:evenVBand="0" w:oddHBand="1" w:evenHBand="0" w:firstRowFirstColumn="0" w:firstRowLastColumn="0" w:lastRowFirstColumn="0" w:lastRowLastColumn="0"/>
              <w:rPr>
                <w:rFonts w:ascii="Garamond" w:hAnsi="Garamond" w:cs="Calibri"/>
                <w:sz w:val="20"/>
                <w:szCs w:val="20"/>
              </w:rPr>
            </w:pPr>
            <w:r w:rsidRPr="007114AF">
              <w:rPr>
                <w:rFonts w:ascii="Garamond" w:hAnsi="Garamond" w:cs="Calibri"/>
                <w:sz w:val="20"/>
                <w:szCs w:val="20"/>
              </w:rPr>
              <w:t>346,403.2</w:t>
            </w:r>
          </w:p>
        </w:tc>
        <w:tc>
          <w:tcPr>
            <w:tcW w:w="0" w:type="auto"/>
            <w:vAlign w:val="center"/>
          </w:tcPr>
          <w:p w14:paraId="6EDCF4A3" w14:textId="77777777" w:rsidR="005C50A5" w:rsidRPr="007114AF" w:rsidRDefault="005C50A5" w:rsidP="005C50A5">
            <w:pPr>
              <w:spacing w:after="0"/>
              <w:cnfStyle w:val="000000100000" w:firstRow="0" w:lastRow="0" w:firstColumn="0" w:lastColumn="0" w:oddVBand="0" w:evenVBand="0" w:oddHBand="1" w:evenHBand="0" w:firstRowFirstColumn="0" w:firstRowLastColumn="0" w:lastRowFirstColumn="0" w:lastRowLastColumn="0"/>
              <w:rPr>
                <w:rFonts w:ascii="Garamond" w:hAnsi="Garamond" w:cs="Calibri"/>
                <w:sz w:val="20"/>
                <w:szCs w:val="20"/>
              </w:rPr>
            </w:pPr>
            <w:r w:rsidRPr="007114AF">
              <w:rPr>
                <w:rFonts w:ascii="Garamond" w:hAnsi="Garamond" w:cs="Calibri"/>
                <w:sz w:val="20"/>
                <w:szCs w:val="20"/>
              </w:rPr>
              <w:t>622,710.8</w:t>
            </w:r>
          </w:p>
        </w:tc>
        <w:tc>
          <w:tcPr>
            <w:tcW w:w="0" w:type="auto"/>
            <w:vAlign w:val="center"/>
          </w:tcPr>
          <w:p w14:paraId="6EDCF4A4" w14:textId="77777777" w:rsidR="005C50A5" w:rsidRPr="007114AF" w:rsidRDefault="005C50A5" w:rsidP="005C50A5">
            <w:pPr>
              <w:spacing w:after="0"/>
              <w:cnfStyle w:val="000000100000" w:firstRow="0" w:lastRow="0" w:firstColumn="0" w:lastColumn="0" w:oddVBand="0" w:evenVBand="0" w:oddHBand="1" w:evenHBand="0" w:firstRowFirstColumn="0" w:firstRowLastColumn="0" w:lastRowFirstColumn="0" w:lastRowLastColumn="0"/>
              <w:rPr>
                <w:rFonts w:ascii="Garamond" w:hAnsi="Garamond" w:cs="Calibri"/>
                <w:sz w:val="20"/>
                <w:szCs w:val="20"/>
              </w:rPr>
            </w:pPr>
            <w:r w:rsidRPr="007114AF">
              <w:rPr>
                <w:rFonts w:ascii="Garamond" w:hAnsi="Garamond" w:cs="Calibri"/>
                <w:sz w:val="20"/>
                <w:szCs w:val="20"/>
              </w:rPr>
              <w:t>882,208.8</w:t>
            </w:r>
          </w:p>
        </w:tc>
        <w:tc>
          <w:tcPr>
            <w:tcW w:w="0" w:type="auto"/>
            <w:vAlign w:val="center"/>
          </w:tcPr>
          <w:p w14:paraId="6EDCF4A5" w14:textId="77777777" w:rsidR="005C50A5" w:rsidRPr="007114AF" w:rsidRDefault="005C50A5" w:rsidP="005C50A5">
            <w:pPr>
              <w:spacing w:after="0"/>
              <w:cnfStyle w:val="000000100000" w:firstRow="0" w:lastRow="0" w:firstColumn="0" w:lastColumn="0" w:oddVBand="0" w:evenVBand="0" w:oddHBand="1" w:evenHBand="0" w:firstRowFirstColumn="0" w:firstRowLastColumn="0" w:lastRowFirstColumn="0" w:lastRowLastColumn="0"/>
              <w:rPr>
                <w:rFonts w:ascii="Garamond" w:hAnsi="Garamond" w:cs="Calibri"/>
                <w:sz w:val="20"/>
                <w:szCs w:val="20"/>
              </w:rPr>
            </w:pPr>
            <w:r w:rsidRPr="007114AF">
              <w:rPr>
                <w:rFonts w:ascii="Garamond" w:hAnsi="Garamond" w:cs="Calibri"/>
                <w:sz w:val="20"/>
                <w:szCs w:val="20"/>
              </w:rPr>
              <w:t>1,089,293.1</w:t>
            </w:r>
          </w:p>
        </w:tc>
        <w:tc>
          <w:tcPr>
            <w:tcW w:w="0" w:type="auto"/>
            <w:vAlign w:val="center"/>
          </w:tcPr>
          <w:p w14:paraId="6EDCF4A6" w14:textId="77777777" w:rsidR="005C50A5" w:rsidRPr="007114AF" w:rsidRDefault="005C50A5" w:rsidP="005C50A5">
            <w:pPr>
              <w:spacing w:after="0"/>
              <w:cnfStyle w:val="000000100000" w:firstRow="0" w:lastRow="0" w:firstColumn="0" w:lastColumn="0" w:oddVBand="0" w:evenVBand="0" w:oddHBand="1" w:evenHBand="0" w:firstRowFirstColumn="0" w:firstRowLastColumn="0" w:lastRowFirstColumn="0" w:lastRowLastColumn="0"/>
              <w:rPr>
                <w:rFonts w:ascii="Garamond" w:hAnsi="Garamond" w:cs="Calibri"/>
                <w:sz w:val="20"/>
                <w:szCs w:val="20"/>
              </w:rPr>
            </w:pPr>
            <w:r w:rsidRPr="007114AF">
              <w:rPr>
                <w:rFonts w:ascii="Garamond" w:hAnsi="Garamond" w:cs="Calibri"/>
                <w:sz w:val="20"/>
                <w:szCs w:val="20"/>
              </w:rPr>
              <w:t>1,222,462.1</w:t>
            </w:r>
          </w:p>
        </w:tc>
        <w:tc>
          <w:tcPr>
            <w:tcW w:w="0" w:type="auto"/>
            <w:vAlign w:val="center"/>
          </w:tcPr>
          <w:p w14:paraId="6EDCF4A7" w14:textId="77777777" w:rsidR="005C50A5" w:rsidRPr="007114AF" w:rsidRDefault="005C50A5" w:rsidP="005C50A5">
            <w:pPr>
              <w:spacing w:after="0"/>
              <w:cnfStyle w:val="000000100000" w:firstRow="0" w:lastRow="0" w:firstColumn="0" w:lastColumn="0" w:oddVBand="0" w:evenVBand="0" w:oddHBand="1" w:evenHBand="0" w:firstRowFirstColumn="0" w:firstRowLastColumn="0" w:lastRowFirstColumn="0" w:lastRowLastColumn="0"/>
              <w:rPr>
                <w:rFonts w:ascii="Garamond" w:hAnsi="Garamond" w:cs="Calibri"/>
                <w:sz w:val="20"/>
                <w:szCs w:val="20"/>
              </w:rPr>
            </w:pPr>
            <w:r w:rsidRPr="007114AF">
              <w:rPr>
                <w:rFonts w:ascii="Garamond" w:hAnsi="Garamond" w:cs="Calibri"/>
                <w:sz w:val="20"/>
                <w:szCs w:val="20"/>
              </w:rPr>
              <w:t>1,445,765.5*</w:t>
            </w:r>
          </w:p>
        </w:tc>
      </w:tr>
      <w:tr w:rsidR="005C50A5" w:rsidRPr="007114AF" w14:paraId="6EDCF4B0" w14:textId="77777777" w:rsidTr="005C50A5">
        <w:trPr>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6EDCF4A9" w14:textId="1BEE9FB7" w:rsidR="005C50A5" w:rsidRPr="007114AF" w:rsidRDefault="005C50A5" w:rsidP="005C50A5">
            <w:pPr>
              <w:spacing w:after="0"/>
              <w:rPr>
                <w:rFonts w:ascii="Garamond" w:hAnsi="Garamond" w:cs="Calibri"/>
                <w:sz w:val="20"/>
                <w:szCs w:val="20"/>
              </w:rPr>
            </w:pPr>
            <w:r w:rsidRPr="007114AF">
              <w:rPr>
                <w:rFonts w:ascii="Garamond" w:hAnsi="Garamond" w:cs="Calibri"/>
                <w:sz w:val="20"/>
                <w:szCs w:val="20"/>
              </w:rPr>
              <w:t>PBB për kokë (</w:t>
            </w:r>
            <w:r w:rsidR="00F945A3" w:rsidRPr="007114AF">
              <w:rPr>
                <w:rFonts w:ascii="Garamond" w:hAnsi="Garamond" w:cs="Calibri"/>
                <w:sz w:val="20"/>
                <w:szCs w:val="20"/>
              </w:rPr>
              <w:t>mijëra lekë</w:t>
            </w:r>
            <w:r w:rsidRPr="007114AF">
              <w:rPr>
                <w:rFonts w:ascii="Garamond" w:hAnsi="Garamond" w:cs="Calibri"/>
                <w:sz w:val="20"/>
                <w:szCs w:val="20"/>
              </w:rPr>
              <w:t>)</w:t>
            </w:r>
          </w:p>
        </w:tc>
        <w:tc>
          <w:tcPr>
            <w:tcW w:w="0" w:type="auto"/>
            <w:vAlign w:val="center"/>
          </w:tcPr>
          <w:p w14:paraId="6EDCF4AA" w14:textId="77777777" w:rsidR="005C50A5" w:rsidRPr="007114AF" w:rsidRDefault="005C50A5" w:rsidP="005C50A5">
            <w:pPr>
              <w:spacing w:after="0"/>
              <w:cnfStyle w:val="000000000000" w:firstRow="0" w:lastRow="0" w:firstColumn="0" w:lastColumn="0" w:oddVBand="0" w:evenVBand="0" w:oddHBand="0" w:evenHBand="0" w:firstRowFirstColumn="0" w:firstRowLastColumn="0" w:lastRowFirstColumn="0" w:lastRowLastColumn="0"/>
              <w:rPr>
                <w:rFonts w:ascii="Garamond" w:hAnsi="Garamond" w:cs="Calibri"/>
                <w:sz w:val="20"/>
                <w:szCs w:val="20"/>
              </w:rPr>
            </w:pPr>
            <w:r w:rsidRPr="007114AF">
              <w:rPr>
                <w:rFonts w:ascii="Garamond" w:hAnsi="Garamond" w:cs="Calibri"/>
                <w:sz w:val="20"/>
                <w:szCs w:val="20"/>
              </w:rPr>
              <w:t>103.6</w:t>
            </w:r>
          </w:p>
        </w:tc>
        <w:tc>
          <w:tcPr>
            <w:tcW w:w="0" w:type="auto"/>
            <w:vAlign w:val="center"/>
          </w:tcPr>
          <w:p w14:paraId="6EDCF4AB" w14:textId="77777777" w:rsidR="005C50A5" w:rsidRPr="007114AF" w:rsidRDefault="005C50A5" w:rsidP="005C50A5">
            <w:pPr>
              <w:spacing w:after="0"/>
              <w:cnfStyle w:val="000000000000" w:firstRow="0" w:lastRow="0" w:firstColumn="0" w:lastColumn="0" w:oddVBand="0" w:evenVBand="0" w:oddHBand="0" w:evenHBand="0" w:firstRowFirstColumn="0" w:firstRowLastColumn="0" w:lastRowFirstColumn="0" w:lastRowLastColumn="0"/>
              <w:rPr>
                <w:rFonts w:ascii="Garamond" w:hAnsi="Garamond" w:cs="Calibri"/>
                <w:sz w:val="20"/>
                <w:szCs w:val="20"/>
              </w:rPr>
            </w:pPr>
            <w:r w:rsidRPr="007114AF">
              <w:rPr>
                <w:rFonts w:ascii="Garamond" w:hAnsi="Garamond" w:cs="Calibri"/>
                <w:sz w:val="20"/>
                <w:szCs w:val="20"/>
              </w:rPr>
              <w:t>190.8</w:t>
            </w:r>
          </w:p>
        </w:tc>
        <w:tc>
          <w:tcPr>
            <w:tcW w:w="0" w:type="auto"/>
            <w:vAlign w:val="center"/>
          </w:tcPr>
          <w:p w14:paraId="6EDCF4AC" w14:textId="77777777" w:rsidR="005C50A5" w:rsidRPr="007114AF" w:rsidRDefault="005C50A5" w:rsidP="005C50A5">
            <w:pPr>
              <w:spacing w:after="0"/>
              <w:cnfStyle w:val="000000000000" w:firstRow="0" w:lastRow="0" w:firstColumn="0" w:lastColumn="0" w:oddVBand="0" w:evenVBand="0" w:oddHBand="0" w:evenHBand="0" w:firstRowFirstColumn="0" w:firstRowLastColumn="0" w:lastRowFirstColumn="0" w:lastRowLastColumn="0"/>
              <w:rPr>
                <w:rFonts w:ascii="Garamond" w:hAnsi="Garamond" w:cs="Calibri"/>
                <w:sz w:val="20"/>
                <w:szCs w:val="20"/>
              </w:rPr>
            </w:pPr>
            <w:r w:rsidRPr="007114AF">
              <w:rPr>
                <w:rFonts w:ascii="Garamond" w:hAnsi="Garamond" w:cs="Calibri"/>
                <w:sz w:val="20"/>
                <w:szCs w:val="20"/>
              </w:rPr>
              <w:t>280</w:t>
            </w:r>
          </w:p>
        </w:tc>
        <w:tc>
          <w:tcPr>
            <w:tcW w:w="0" w:type="auto"/>
            <w:vAlign w:val="center"/>
          </w:tcPr>
          <w:p w14:paraId="6EDCF4AD" w14:textId="77777777" w:rsidR="005C50A5" w:rsidRPr="007114AF" w:rsidRDefault="005C50A5" w:rsidP="005C50A5">
            <w:pPr>
              <w:spacing w:after="0"/>
              <w:cnfStyle w:val="000000000000" w:firstRow="0" w:lastRow="0" w:firstColumn="0" w:lastColumn="0" w:oddVBand="0" w:evenVBand="0" w:oddHBand="0" w:evenHBand="0" w:firstRowFirstColumn="0" w:firstRowLastColumn="0" w:lastRowFirstColumn="0" w:lastRowLastColumn="0"/>
              <w:rPr>
                <w:rFonts w:ascii="Garamond" w:hAnsi="Garamond" w:cs="Calibri"/>
                <w:sz w:val="20"/>
                <w:szCs w:val="20"/>
              </w:rPr>
            </w:pPr>
            <w:r w:rsidRPr="007114AF">
              <w:rPr>
                <w:rFonts w:ascii="Garamond" w:hAnsi="Garamond" w:cs="Calibri"/>
                <w:sz w:val="20"/>
                <w:szCs w:val="20"/>
              </w:rPr>
              <w:t>342.3</w:t>
            </w:r>
          </w:p>
        </w:tc>
        <w:tc>
          <w:tcPr>
            <w:tcW w:w="0" w:type="auto"/>
            <w:vAlign w:val="center"/>
          </w:tcPr>
          <w:p w14:paraId="6EDCF4AE" w14:textId="77777777" w:rsidR="005C50A5" w:rsidRPr="007114AF" w:rsidRDefault="005C50A5" w:rsidP="005C50A5">
            <w:pPr>
              <w:spacing w:after="0"/>
              <w:cnfStyle w:val="000000000000" w:firstRow="0" w:lastRow="0" w:firstColumn="0" w:lastColumn="0" w:oddVBand="0" w:evenVBand="0" w:oddHBand="0" w:evenHBand="0" w:firstRowFirstColumn="0" w:firstRowLastColumn="0" w:lastRowFirstColumn="0" w:lastRowLastColumn="0"/>
              <w:rPr>
                <w:rFonts w:ascii="Garamond" w:hAnsi="Garamond" w:cs="Calibri"/>
                <w:sz w:val="20"/>
                <w:szCs w:val="20"/>
              </w:rPr>
            </w:pPr>
            <w:r w:rsidRPr="007114AF">
              <w:rPr>
                <w:rFonts w:ascii="Garamond" w:hAnsi="Garamond" w:cs="Calibri"/>
                <w:sz w:val="20"/>
                <w:szCs w:val="20"/>
              </w:rPr>
              <w:t>387.5</w:t>
            </w:r>
          </w:p>
        </w:tc>
        <w:tc>
          <w:tcPr>
            <w:tcW w:w="0" w:type="auto"/>
            <w:vAlign w:val="center"/>
          </w:tcPr>
          <w:p w14:paraId="6EDCF4AF" w14:textId="77777777" w:rsidR="005C50A5" w:rsidRPr="007114AF" w:rsidRDefault="005C50A5" w:rsidP="005C50A5">
            <w:pPr>
              <w:spacing w:after="0"/>
              <w:cnfStyle w:val="000000000000" w:firstRow="0" w:lastRow="0" w:firstColumn="0" w:lastColumn="0" w:oddVBand="0" w:evenVBand="0" w:oddHBand="0" w:evenHBand="0" w:firstRowFirstColumn="0" w:firstRowLastColumn="0" w:lastRowFirstColumn="0" w:lastRowLastColumn="0"/>
              <w:rPr>
                <w:rFonts w:ascii="Garamond" w:hAnsi="Garamond" w:cs="Calibri"/>
                <w:sz w:val="20"/>
                <w:szCs w:val="20"/>
              </w:rPr>
            </w:pPr>
            <w:r w:rsidRPr="007114AF">
              <w:rPr>
                <w:rFonts w:ascii="Garamond" w:hAnsi="Garamond" w:cs="Calibri"/>
                <w:sz w:val="20"/>
                <w:szCs w:val="20"/>
              </w:rPr>
              <w:t>480*</w:t>
            </w:r>
          </w:p>
        </w:tc>
      </w:tr>
      <w:tr w:rsidR="005C50A5" w:rsidRPr="007114AF" w14:paraId="6EDCF4B8" w14:textId="77777777" w:rsidTr="005C50A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6EDCF4B1" w14:textId="77777777" w:rsidR="005C50A5" w:rsidRPr="007114AF" w:rsidRDefault="005C50A5" w:rsidP="005C50A5">
            <w:pPr>
              <w:spacing w:after="0"/>
              <w:rPr>
                <w:rFonts w:ascii="Garamond" w:hAnsi="Garamond" w:cs="Calibri"/>
                <w:sz w:val="20"/>
                <w:szCs w:val="20"/>
              </w:rPr>
            </w:pPr>
            <w:r w:rsidRPr="007114AF">
              <w:rPr>
                <w:rFonts w:ascii="Garamond" w:hAnsi="Garamond" w:cs="Calibri"/>
                <w:sz w:val="20"/>
                <w:szCs w:val="20"/>
              </w:rPr>
              <w:t>Rritja e PBB-së (%)</w:t>
            </w:r>
          </w:p>
        </w:tc>
        <w:tc>
          <w:tcPr>
            <w:tcW w:w="0" w:type="auto"/>
            <w:vAlign w:val="center"/>
          </w:tcPr>
          <w:p w14:paraId="6EDCF4B2" w14:textId="77777777" w:rsidR="005C50A5" w:rsidRPr="007114AF" w:rsidRDefault="005C50A5" w:rsidP="005C50A5">
            <w:pPr>
              <w:spacing w:after="0"/>
              <w:cnfStyle w:val="000000100000" w:firstRow="0" w:lastRow="0" w:firstColumn="0" w:lastColumn="0" w:oddVBand="0" w:evenVBand="0" w:oddHBand="1" w:evenHBand="0" w:firstRowFirstColumn="0" w:firstRowLastColumn="0" w:lastRowFirstColumn="0" w:lastRowLastColumn="0"/>
              <w:rPr>
                <w:rFonts w:ascii="Garamond" w:hAnsi="Garamond" w:cs="Calibri"/>
                <w:sz w:val="20"/>
                <w:szCs w:val="20"/>
              </w:rPr>
            </w:pPr>
            <w:r w:rsidRPr="007114AF">
              <w:rPr>
                <w:rFonts w:ascii="Garamond" w:hAnsi="Garamond" w:cs="Calibri"/>
                <w:sz w:val="20"/>
                <w:szCs w:val="20"/>
              </w:rPr>
              <w:t>9.1</w:t>
            </w:r>
          </w:p>
        </w:tc>
        <w:tc>
          <w:tcPr>
            <w:tcW w:w="0" w:type="auto"/>
            <w:vAlign w:val="center"/>
          </w:tcPr>
          <w:p w14:paraId="6EDCF4B3" w14:textId="77777777" w:rsidR="005C50A5" w:rsidRPr="007114AF" w:rsidRDefault="005C50A5" w:rsidP="005C50A5">
            <w:pPr>
              <w:spacing w:after="0"/>
              <w:cnfStyle w:val="000000100000" w:firstRow="0" w:lastRow="0" w:firstColumn="0" w:lastColumn="0" w:oddVBand="0" w:evenVBand="0" w:oddHBand="1" w:evenHBand="0" w:firstRowFirstColumn="0" w:firstRowLastColumn="0" w:lastRowFirstColumn="0" w:lastRowLastColumn="0"/>
              <w:rPr>
                <w:rFonts w:ascii="Garamond" w:hAnsi="Garamond" w:cs="Calibri"/>
                <w:sz w:val="20"/>
                <w:szCs w:val="20"/>
              </w:rPr>
            </w:pPr>
            <w:r w:rsidRPr="007114AF">
              <w:rPr>
                <w:rFonts w:ascii="Garamond" w:hAnsi="Garamond" w:cs="Calibri"/>
                <w:sz w:val="20"/>
                <w:szCs w:val="20"/>
              </w:rPr>
              <w:t>4.2</w:t>
            </w:r>
          </w:p>
        </w:tc>
        <w:tc>
          <w:tcPr>
            <w:tcW w:w="0" w:type="auto"/>
            <w:vAlign w:val="center"/>
          </w:tcPr>
          <w:p w14:paraId="6EDCF4B4" w14:textId="77777777" w:rsidR="005C50A5" w:rsidRPr="007114AF" w:rsidRDefault="005C50A5" w:rsidP="005C50A5">
            <w:pPr>
              <w:spacing w:after="0"/>
              <w:cnfStyle w:val="000000100000" w:firstRow="0" w:lastRow="0" w:firstColumn="0" w:lastColumn="0" w:oddVBand="0" w:evenVBand="0" w:oddHBand="1" w:evenHBand="0" w:firstRowFirstColumn="0" w:firstRowLastColumn="0" w:lastRowFirstColumn="0" w:lastRowLastColumn="0"/>
              <w:rPr>
                <w:rFonts w:ascii="Garamond" w:hAnsi="Garamond" w:cs="Calibri"/>
                <w:sz w:val="20"/>
                <w:szCs w:val="20"/>
              </w:rPr>
            </w:pPr>
            <w:r w:rsidRPr="007114AF">
              <w:rPr>
                <w:rFonts w:ascii="Garamond" w:hAnsi="Garamond" w:cs="Calibri"/>
                <w:sz w:val="20"/>
                <w:szCs w:val="20"/>
              </w:rPr>
              <w:t>5</w:t>
            </w:r>
          </w:p>
        </w:tc>
        <w:tc>
          <w:tcPr>
            <w:tcW w:w="0" w:type="auto"/>
            <w:vAlign w:val="center"/>
          </w:tcPr>
          <w:p w14:paraId="6EDCF4B5" w14:textId="77777777" w:rsidR="005C50A5" w:rsidRPr="007114AF" w:rsidRDefault="005C50A5" w:rsidP="005C50A5">
            <w:pPr>
              <w:spacing w:after="0"/>
              <w:cnfStyle w:val="000000100000" w:firstRow="0" w:lastRow="0" w:firstColumn="0" w:lastColumn="0" w:oddVBand="0" w:evenVBand="0" w:oddHBand="1" w:evenHBand="0" w:firstRowFirstColumn="0" w:firstRowLastColumn="0" w:lastRowFirstColumn="0" w:lastRowLastColumn="0"/>
              <w:rPr>
                <w:rFonts w:ascii="Garamond" w:hAnsi="Garamond" w:cs="Calibri"/>
                <w:sz w:val="20"/>
                <w:szCs w:val="20"/>
              </w:rPr>
            </w:pPr>
            <w:r w:rsidRPr="007114AF">
              <w:rPr>
                <w:rFonts w:ascii="Garamond" w:hAnsi="Garamond" w:cs="Calibri"/>
                <w:sz w:val="20"/>
                <w:szCs w:val="20"/>
              </w:rPr>
              <w:t>7.5</w:t>
            </w:r>
          </w:p>
        </w:tc>
        <w:tc>
          <w:tcPr>
            <w:tcW w:w="0" w:type="auto"/>
            <w:vAlign w:val="center"/>
          </w:tcPr>
          <w:p w14:paraId="6EDCF4B6" w14:textId="77777777" w:rsidR="005C50A5" w:rsidRPr="007114AF" w:rsidRDefault="005C50A5" w:rsidP="005C50A5">
            <w:pPr>
              <w:spacing w:after="0"/>
              <w:cnfStyle w:val="000000100000" w:firstRow="0" w:lastRow="0" w:firstColumn="0" w:lastColumn="0" w:oddVBand="0" w:evenVBand="0" w:oddHBand="1" w:evenHBand="0" w:firstRowFirstColumn="0" w:firstRowLastColumn="0" w:lastRowFirstColumn="0" w:lastRowLastColumn="0"/>
              <w:rPr>
                <w:rFonts w:ascii="Garamond" w:hAnsi="Garamond" w:cs="Calibri"/>
                <w:sz w:val="20"/>
                <w:szCs w:val="20"/>
              </w:rPr>
            </w:pPr>
            <w:r w:rsidRPr="007114AF">
              <w:rPr>
                <w:rFonts w:ascii="Garamond" w:hAnsi="Garamond" w:cs="Calibri"/>
                <w:sz w:val="20"/>
                <w:szCs w:val="20"/>
              </w:rPr>
              <w:t>3.8</w:t>
            </w:r>
          </w:p>
        </w:tc>
        <w:tc>
          <w:tcPr>
            <w:tcW w:w="0" w:type="auto"/>
            <w:vAlign w:val="center"/>
          </w:tcPr>
          <w:p w14:paraId="6EDCF4B7" w14:textId="77777777" w:rsidR="005C50A5" w:rsidRPr="007114AF" w:rsidRDefault="005C50A5" w:rsidP="005C50A5">
            <w:pPr>
              <w:spacing w:after="0"/>
              <w:cnfStyle w:val="000000100000" w:firstRow="0" w:lastRow="0" w:firstColumn="0" w:lastColumn="0" w:oddVBand="0" w:evenVBand="0" w:oddHBand="1" w:evenHBand="0" w:firstRowFirstColumn="0" w:firstRowLastColumn="0" w:lastRowFirstColumn="0" w:lastRowLastColumn="0"/>
              <w:rPr>
                <w:rFonts w:ascii="Garamond" w:hAnsi="Garamond" w:cs="Calibri"/>
                <w:sz w:val="20"/>
                <w:szCs w:val="20"/>
              </w:rPr>
            </w:pPr>
            <w:r w:rsidRPr="007114AF">
              <w:rPr>
                <w:rFonts w:ascii="Garamond" w:hAnsi="Garamond" w:cs="Calibri"/>
                <w:sz w:val="20"/>
                <w:szCs w:val="20"/>
              </w:rPr>
              <w:t>0.4</w:t>
            </w:r>
          </w:p>
        </w:tc>
      </w:tr>
      <w:tr w:rsidR="005C50A5" w:rsidRPr="007114AF" w14:paraId="6EDCF4C0" w14:textId="77777777" w:rsidTr="005C50A5">
        <w:trPr>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6EDCF4B9" w14:textId="1981944D" w:rsidR="005C50A5" w:rsidRPr="007114AF" w:rsidRDefault="005C50A5" w:rsidP="005C50A5">
            <w:pPr>
              <w:spacing w:after="0"/>
              <w:rPr>
                <w:rFonts w:ascii="Garamond" w:hAnsi="Garamond" w:cs="Calibri"/>
                <w:sz w:val="20"/>
                <w:szCs w:val="20"/>
              </w:rPr>
            </w:pPr>
            <w:r w:rsidRPr="007114AF">
              <w:rPr>
                <w:rFonts w:ascii="Garamond" w:hAnsi="Garamond" w:cs="Calibri"/>
                <w:sz w:val="20"/>
                <w:szCs w:val="20"/>
              </w:rPr>
              <w:t xml:space="preserve">Norma e </w:t>
            </w:r>
            <w:r w:rsidR="00F945A3" w:rsidRPr="007114AF">
              <w:rPr>
                <w:rFonts w:ascii="Garamond" w:hAnsi="Garamond" w:cs="Calibri"/>
                <w:sz w:val="20"/>
                <w:szCs w:val="20"/>
              </w:rPr>
              <w:t xml:space="preserve">inflacionit </w:t>
            </w:r>
            <w:r w:rsidRPr="007114AF">
              <w:rPr>
                <w:rFonts w:ascii="Garamond" w:hAnsi="Garamond" w:cs="Calibri"/>
                <w:sz w:val="20"/>
                <w:szCs w:val="20"/>
              </w:rPr>
              <w:t>(%)</w:t>
            </w:r>
          </w:p>
        </w:tc>
        <w:tc>
          <w:tcPr>
            <w:tcW w:w="0" w:type="auto"/>
            <w:vAlign w:val="center"/>
          </w:tcPr>
          <w:p w14:paraId="6EDCF4BA" w14:textId="77777777" w:rsidR="005C50A5" w:rsidRPr="007114AF" w:rsidRDefault="005C50A5" w:rsidP="0059155A">
            <w:pPr>
              <w:pStyle w:val="ListParagraph"/>
              <w:numPr>
                <w:ilvl w:val="0"/>
                <w:numId w:val="3"/>
              </w:numPr>
              <w:spacing w:before="0" w:after="0"/>
              <w:ind w:left="0" w:firstLine="0"/>
              <w:cnfStyle w:val="000000000000" w:firstRow="0" w:lastRow="0" w:firstColumn="0" w:lastColumn="0" w:oddVBand="0" w:evenVBand="0" w:oddHBand="0" w:evenHBand="0" w:firstRowFirstColumn="0" w:firstRowLastColumn="0" w:lastRowFirstColumn="0" w:lastRowLastColumn="0"/>
              <w:rPr>
                <w:rFonts w:ascii="Garamond" w:hAnsi="Garamond" w:cs="Calibri"/>
                <w:sz w:val="20"/>
                <w:szCs w:val="20"/>
              </w:rPr>
            </w:pPr>
          </w:p>
        </w:tc>
        <w:tc>
          <w:tcPr>
            <w:tcW w:w="0" w:type="auto"/>
            <w:vAlign w:val="center"/>
          </w:tcPr>
          <w:p w14:paraId="6EDCF4BB" w14:textId="77777777" w:rsidR="005C50A5" w:rsidRPr="007114AF" w:rsidRDefault="005C50A5" w:rsidP="0059155A">
            <w:pPr>
              <w:pStyle w:val="ListParagraph"/>
              <w:numPr>
                <w:ilvl w:val="0"/>
                <w:numId w:val="3"/>
              </w:numPr>
              <w:spacing w:before="0" w:after="0"/>
              <w:ind w:left="0" w:firstLine="0"/>
              <w:cnfStyle w:val="000000000000" w:firstRow="0" w:lastRow="0" w:firstColumn="0" w:lastColumn="0" w:oddVBand="0" w:evenVBand="0" w:oddHBand="0" w:evenHBand="0" w:firstRowFirstColumn="0" w:firstRowLastColumn="0" w:lastRowFirstColumn="0" w:lastRowLastColumn="0"/>
              <w:rPr>
                <w:rFonts w:ascii="Garamond" w:hAnsi="Garamond" w:cs="Calibri"/>
                <w:sz w:val="20"/>
                <w:szCs w:val="20"/>
              </w:rPr>
            </w:pPr>
          </w:p>
        </w:tc>
        <w:tc>
          <w:tcPr>
            <w:tcW w:w="0" w:type="auto"/>
            <w:vAlign w:val="center"/>
          </w:tcPr>
          <w:p w14:paraId="6EDCF4BC" w14:textId="77777777" w:rsidR="005C50A5" w:rsidRPr="007114AF" w:rsidRDefault="005C50A5" w:rsidP="005C50A5">
            <w:pPr>
              <w:spacing w:after="0"/>
              <w:cnfStyle w:val="000000000000" w:firstRow="0" w:lastRow="0" w:firstColumn="0" w:lastColumn="0" w:oddVBand="0" w:evenVBand="0" w:oddHBand="0" w:evenHBand="0" w:firstRowFirstColumn="0" w:firstRowLastColumn="0" w:lastRowFirstColumn="0" w:lastRowLastColumn="0"/>
              <w:rPr>
                <w:rFonts w:ascii="Garamond" w:hAnsi="Garamond" w:cs="Calibri"/>
                <w:sz w:val="20"/>
                <w:szCs w:val="20"/>
              </w:rPr>
            </w:pPr>
            <w:r w:rsidRPr="007114AF">
              <w:rPr>
                <w:rFonts w:ascii="Garamond" w:hAnsi="Garamond" w:cs="Calibri"/>
                <w:sz w:val="20"/>
                <w:szCs w:val="20"/>
              </w:rPr>
              <w:t>2.4</w:t>
            </w:r>
          </w:p>
        </w:tc>
        <w:tc>
          <w:tcPr>
            <w:tcW w:w="0" w:type="auto"/>
            <w:vAlign w:val="center"/>
          </w:tcPr>
          <w:p w14:paraId="6EDCF4BD" w14:textId="77777777" w:rsidR="005C50A5" w:rsidRPr="007114AF" w:rsidRDefault="005C50A5" w:rsidP="005C50A5">
            <w:pPr>
              <w:spacing w:after="0"/>
              <w:cnfStyle w:val="000000000000" w:firstRow="0" w:lastRow="0" w:firstColumn="0" w:lastColumn="0" w:oddVBand="0" w:evenVBand="0" w:oddHBand="0" w:evenHBand="0" w:firstRowFirstColumn="0" w:firstRowLastColumn="0" w:lastRowFirstColumn="0" w:lastRowLastColumn="0"/>
              <w:rPr>
                <w:rFonts w:ascii="Garamond" w:hAnsi="Garamond" w:cs="Calibri"/>
                <w:sz w:val="20"/>
                <w:szCs w:val="20"/>
              </w:rPr>
            </w:pPr>
            <w:r w:rsidRPr="007114AF">
              <w:rPr>
                <w:rFonts w:ascii="Garamond" w:hAnsi="Garamond" w:cs="Calibri"/>
                <w:sz w:val="20"/>
                <w:szCs w:val="20"/>
              </w:rPr>
              <w:t>3.4</w:t>
            </w:r>
          </w:p>
        </w:tc>
        <w:tc>
          <w:tcPr>
            <w:tcW w:w="0" w:type="auto"/>
            <w:vAlign w:val="center"/>
          </w:tcPr>
          <w:p w14:paraId="6EDCF4BE" w14:textId="77777777" w:rsidR="005C50A5" w:rsidRPr="007114AF" w:rsidRDefault="005C50A5" w:rsidP="005C50A5">
            <w:pPr>
              <w:spacing w:after="0"/>
              <w:cnfStyle w:val="000000000000" w:firstRow="0" w:lastRow="0" w:firstColumn="0" w:lastColumn="0" w:oddVBand="0" w:evenVBand="0" w:oddHBand="0" w:evenHBand="0" w:firstRowFirstColumn="0" w:firstRowLastColumn="0" w:lastRowFirstColumn="0" w:lastRowLastColumn="0"/>
              <w:rPr>
                <w:rFonts w:ascii="Garamond" w:hAnsi="Garamond" w:cs="Calibri"/>
                <w:sz w:val="20"/>
                <w:szCs w:val="20"/>
              </w:rPr>
            </w:pPr>
            <w:r w:rsidRPr="007114AF">
              <w:rPr>
                <w:rFonts w:ascii="Garamond" w:hAnsi="Garamond" w:cs="Calibri"/>
                <w:sz w:val="20"/>
                <w:szCs w:val="20"/>
              </w:rPr>
              <w:t>3.6</w:t>
            </w:r>
          </w:p>
        </w:tc>
        <w:tc>
          <w:tcPr>
            <w:tcW w:w="0" w:type="auto"/>
            <w:vAlign w:val="center"/>
          </w:tcPr>
          <w:p w14:paraId="6EDCF4BF" w14:textId="77777777" w:rsidR="005C50A5" w:rsidRPr="007114AF" w:rsidRDefault="005C50A5" w:rsidP="005C50A5">
            <w:pPr>
              <w:spacing w:after="0"/>
              <w:cnfStyle w:val="000000000000" w:firstRow="0" w:lastRow="0" w:firstColumn="0" w:lastColumn="0" w:oddVBand="0" w:evenVBand="0" w:oddHBand="0" w:evenHBand="0" w:firstRowFirstColumn="0" w:firstRowLastColumn="0" w:lastRowFirstColumn="0" w:lastRowLastColumn="0"/>
              <w:rPr>
                <w:rFonts w:ascii="Garamond" w:hAnsi="Garamond" w:cs="Calibri"/>
                <w:sz w:val="20"/>
                <w:szCs w:val="20"/>
              </w:rPr>
            </w:pPr>
            <w:r w:rsidRPr="007114AF">
              <w:rPr>
                <w:rFonts w:ascii="Garamond" w:hAnsi="Garamond" w:cs="Calibri"/>
                <w:sz w:val="20"/>
                <w:szCs w:val="20"/>
              </w:rPr>
              <w:t>1.9</w:t>
            </w:r>
          </w:p>
        </w:tc>
      </w:tr>
    </w:tbl>
    <w:p w14:paraId="6EDCF4C1" w14:textId="77777777" w:rsidR="007A451F" w:rsidRPr="007114AF" w:rsidRDefault="007A451F" w:rsidP="007A451F">
      <w:pPr>
        <w:spacing w:after="0" w:line="240" w:lineRule="auto"/>
        <w:ind w:firstLine="284"/>
        <w:jc w:val="left"/>
        <w:rPr>
          <w:rFonts w:ascii="Garamond" w:hAnsi="Garamond"/>
          <w:sz w:val="24"/>
          <w:szCs w:val="24"/>
        </w:rPr>
      </w:pPr>
    </w:p>
    <w:p w14:paraId="6EDCF4C2" w14:textId="77777777" w:rsidR="00145BD0" w:rsidRPr="007114AF" w:rsidRDefault="00145BD0" w:rsidP="00145BD0">
      <w:pPr>
        <w:spacing w:after="0" w:line="240" w:lineRule="auto"/>
        <w:ind w:firstLine="284"/>
        <w:rPr>
          <w:rFonts w:ascii="Garamond" w:hAnsi="Garamond"/>
          <w:sz w:val="24"/>
          <w:szCs w:val="24"/>
        </w:rPr>
      </w:pPr>
      <w:r w:rsidRPr="007114AF">
        <w:rPr>
          <w:rFonts w:ascii="Garamond" w:hAnsi="Garamond"/>
          <w:b/>
          <w:sz w:val="24"/>
          <w:szCs w:val="24"/>
        </w:rPr>
        <w:t>Burimi</w:t>
      </w:r>
      <w:r w:rsidRPr="007114AF">
        <w:rPr>
          <w:rFonts w:ascii="Garamond" w:hAnsi="Garamond"/>
          <w:sz w:val="24"/>
          <w:szCs w:val="24"/>
        </w:rPr>
        <w:t xml:space="preserve">: Tabela në KTN – Përshtatur nga Banka e Shqipërisë (2006, 2008, 2010, 2013) dhe Baza e të Dhënave Statistikore e Bankës së Shqipërisë (2014) </w:t>
      </w:r>
    </w:p>
    <w:p w14:paraId="6EDCF4C3" w14:textId="2A95063A" w:rsidR="00145BD0" w:rsidRPr="007114AF" w:rsidRDefault="00145BD0" w:rsidP="00145BD0">
      <w:pPr>
        <w:spacing w:after="0" w:line="240" w:lineRule="auto"/>
        <w:ind w:firstLine="284"/>
        <w:rPr>
          <w:rFonts w:ascii="Garamond" w:hAnsi="Garamond"/>
          <w:sz w:val="24"/>
          <w:szCs w:val="24"/>
        </w:rPr>
      </w:pPr>
      <w:r w:rsidRPr="007114AF">
        <w:rPr>
          <w:rFonts w:ascii="Garamond" w:hAnsi="Garamond"/>
          <w:b/>
          <w:sz w:val="24"/>
          <w:szCs w:val="24"/>
        </w:rPr>
        <w:t>*</w:t>
      </w:r>
      <w:r w:rsidR="00F945A3" w:rsidRPr="007114AF">
        <w:rPr>
          <w:rFonts w:ascii="Garamond" w:hAnsi="Garamond"/>
          <w:b/>
          <w:sz w:val="24"/>
          <w:szCs w:val="24"/>
        </w:rPr>
        <w:t xml:space="preserve"> </w:t>
      </w:r>
      <w:r w:rsidRPr="007114AF">
        <w:rPr>
          <w:rFonts w:ascii="Garamond" w:hAnsi="Garamond"/>
          <w:b/>
          <w:sz w:val="24"/>
          <w:szCs w:val="24"/>
        </w:rPr>
        <w:t>Burimi</w:t>
      </w:r>
      <w:r w:rsidRPr="007114AF">
        <w:rPr>
          <w:rFonts w:ascii="Garamond" w:hAnsi="Garamond"/>
          <w:sz w:val="24"/>
          <w:szCs w:val="24"/>
        </w:rPr>
        <w:t>: Banka Botërore</w:t>
      </w:r>
      <w:bookmarkStart w:id="42" w:name="_Toc471987572"/>
      <w:bookmarkStart w:id="43" w:name="_Toc449537123"/>
      <w:bookmarkStart w:id="44" w:name="_Toc450135231"/>
      <w:bookmarkStart w:id="45" w:name="_Toc450151834"/>
      <w:bookmarkStart w:id="46" w:name="_Toc446403342"/>
      <w:bookmarkEnd w:id="42"/>
    </w:p>
    <w:p w14:paraId="2C71F371" w14:textId="77777777" w:rsidR="00F945A3" w:rsidRPr="007114AF" w:rsidRDefault="00F945A3" w:rsidP="00145BD0">
      <w:pPr>
        <w:pStyle w:val="Heading3"/>
        <w:spacing w:before="0" w:line="240" w:lineRule="auto"/>
        <w:ind w:firstLine="284"/>
        <w:rPr>
          <w:rFonts w:ascii="Garamond" w:hAnsi="Garamond"/>
          <w:b w:val="0"/>
          <w:color w:val="000000" w:themeColor="text1"/>
          <w:sz w:val="24"/>
          <w:szCs w:val="24"/>
        </w:rPr>
      </w:pPr>
      <w:bookmarkStart w:id="47" w:name="_Toc484424481"/>
    </w:p>
    <w:p w14:paraId="6EDCF4C4" w14:textId="77777777" w:rsidR="00145BD0" w:rsidRPr="007114AF" w:rsidRDefault="00145BD0" w:rsidP="00145BD0">
      <w:pPr>
        <w:pStyle w:val="Heading3"/>
        <w:spacing w:before="0" w:line="240" w:lineRule="auto"/>
        <w:ind w:firstLine="284"/>
        <w:rPr>
          <w:rFonts w:ascii="Garamond" w:hAnsi="Garamond"/>
          <w:b w:val="0"/>
          <w:color w:val="000000" w:themeColor="text1"/>
          <w:sz w:val="24"/>
          <w:szCs w:val="24"/>
        </w:rPr>
      </w:pPr>
      <w:r w:rsidRPr="007114AF">
        <w:rPr>
          <w:rFonts w:ascii="Garamond" w:hAnsi="Garamond"/>
          <w:b w:val="0"/>
          <w:color w:val="000000" w:themeColor="text1"/>
          <w:sz w:val="24"/>
          <w:szCs w:val="24"/>
        </w:rPr>
        <w:t>2.6.1 Sektor</w:t>
      </w:r>
      <w:bookmarkEnd w:id="43"/>
      <w:bookmarkEnd w:id="44"/>
      <w:bookmarkEnd w:id="45"/>
      <w:r w:rsidRPr="007114AF">
        <w:rPr>
          <w:rFonts w:ascii="Garamond" w:hAnsi="Garamond"/>
          <w:b w:val="0"/>
          <w:color w:val="000000" w:themeColor="text1"/>
          <w:sz w:val="24"/>
          <w:szCs w:val="24"/>
        </w:rPr>
        <w:t xml:space="preserve">i i </w:t>
      </w:r>
      <w:bookmarkEnd w:id="46"/>
      <w:r w:rsidRPr="007114AF">
        <w:rPr>
          <w:rFonts w:ascii="Garamond" w:hAnsi="Garamond"/>
          <w:b w:val="0"/>
          <w:color w:val="000000" w:themeColor="text1"/>
          <w:sz w:val="24"/>
          <w:szCs w:val="24"/>
        </w:rPr>
        <w:t>energjisë</w:t>
      </w:r>
      <w:bookmarkEnd w:id="47"/>
    </w:p>
    <w:p w14:paraId="6EDCF4C5" w14:textId="77777777" w:rsidR="00145BD0" w:rsidRPr="007114AF" w:rsidRDefault="00145BD0" w:rsidP="00145BD0">
      <w:pPr>
        <w:spacing w:after="0" w:line="240" w:lineRule="auto"/>
        <w:ind w:firstLine="284"/>
        <w:rPr>
          <w:rFonts w:ascii="Garamond" w:hAnsi="Garamond"/>
          <w:sz w:val="24"/>
          <w:szCs w:val="24"/>
        </w:rPr>
      </w:pPr>
      <w:r w:rsidRPr="007114AF">
        <w:rPr>
          <w:rFonts w:ascii="Garamond" w:hAnsi="Garamond"/>
          <w:sz w:val="24"/>
          <w:szCs w:val="24"/>
        </w:rPr>
        <w:t xml:space="preserve">Furnizimi kryesor i Shqipërisë me energji, që arrin në rreth 83.27 PJ (1989 Ktoe) në vitin 2012 (Burimi: IEA), dominohet nga nafta, hidrocentralet dhe biomasa, siç tregohet në figurën 3. Sektori energjetik i vendit mbështetet shumë në importet e naftës, qymyrit dhe energjisë elektrike (totali rreth 57 PJ). </w:t>
      </w:r>
    </w:p>
    <w:p w14:paraId="6EDCF4C6" w14:textId="77777777" w:rsidR="00145BD0" w:rsidRPr="007114AF" w:rsidRDefault="00145BD0" w:rsidP="00145BD0">
      <w:pPr>
        <w:spacing w:after="0" w:line="240" w:lineRule="auto"/>
        <w:ind w:firstLine="284"/>
        <w:rPr>
          <w:rFonts w:ascii="Garamond" w:hAnsi="Garamond"/>
          <w:sz w:val="24"/>
          <w:szCs w:val="24"/>
        </w:rPr>
      </w:pPr>
    </w:p>
    <w:p w14:paraId="6EDCF4C7" w14:textId="77777777" w:rsidR="005C50A5" w:rsidRPr="007114AF" w:rsidRDefault="002E065A" w:rsidP="002E065A">
      <w:pPr>
        <w:spacing w:after="0" w:line="240" w:lineRule="auto"/>
        <w:ind w:firstLine="284"/>
        <w:jc w:val="center"/>
        <w:rPr>
          <w:rFonts w:ascii="Garamond" w:hAnsi="Garamond"/>
          <w:sz w:val="24"/>
          <w:szCs w:val="24"/>
        </w:rPr>
      </w:pPr>
      <w:r w:rsidRPr="007114AF">
        <w:rPr>
          <w:rFonts w:ascii="Garamond" w:hAnsi="Garamond"/>
          <w:noProof/>
          <w:lang w:val="en-US" w:eastAsia="en-US"/>
        </w:rPr>
        <w:drawing>
          <wp:inline distT="0" distB="0" distL="0" distR="0" wp14:anchorId="6EDD1784" wp14:editId="6EDD1785">
            <wp:extent cx="4484536" cy="2552369"/>
            <wp:effectExtent l="0" t="0" r="0" b="635"/>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483995" cy="2552061"/>
                    </a:xfrm>
                    <a:prstGeom prst="rect">
                      <a:avLst/>
                    </a:prstGeom>
                    <a:noFill/>
                  </pic:spPr>
                </pic:pic>
              </a:graphicData>
            </a:graphic>
          </wp:inline>
        </w:drawing>
      </w:r>
    </w:p>
    <w:p w14:paraId="6EDCF4C8" w14:textId="77777777" w:rsidR="002E065A" w:rsidRPr="007114AF" w:rsidRDefault="002E065A" w:rsidP="002E065A">
      <w:pPr>
        <w:spacing w:after="0" w:line="240" w:lineRule="auto"/>
        <w:ind w:firstLine="284"/>
        <w:jc w:val="center"/>
        <w:rPr>
          <w:rFonts w:ascii="Garamond" w:hAnsi="Garamond"/>
          <w:sz w:val="24"/>
          <w:szCs w:val="24"/>
        </w:rPr>
      </w:pPr>
    </w:p>
    <w:p w14:paraId="6EDCF4C9" w14:textId="71D8738E" w:rsidR="002B7452" w:rsidRPr="007114AF" w:rsidRDefault="002B7452" w:rsidP="00164B6B">
      <w:pPr>
        <w:pStyle w:val="FIGURA"/>
        <w:rPr>
          <w:sz w:val="20"/>
          <w:szCs w:val="20"/>
        </w:rPr>
      </w:pPr>
      <w:r w:rsidRPr="007114AF">
        <w:rPr>
          <w:sz w:val="20"/>
          <w:szCs w:val="20"/>
        </w:rPr>
        <w:t>Figura</w:t>
      </w:r>
      <w:r w:rsidR="00164B6B" w:rsidRPr="007114AF">
        <w:rPr>
          <w:sz w:val="20"/>
          <w:szCs w:val="20"/>
        </w:rPr>
        <w:t xml:space="preserve"> </w:t>
      </w:r>
      <w:r w:rsidRPr="007114AF">
        <w:rPr>
          <w:sz w:val="20"/>
          <w:szCs w:val="20"/>
        </w:rPr>
        <w:fldChar w:fldCharType="begin"/>
      </w:r>
      <w:r w:rsidRPr="007114AF">
        <w:rPr>
          <w:sz w:val="20"/>
          <w:szCs w:val="20"/>
        </w:rPr>
        <w:instrText xml:space="preserve"> SEQ Figure \* ARABIC </w:instrText>
      </w:r>
      <w:r w:rsidRPr="007114AF">
        <w:rPr>
          <w:sz w:val="20"/>
          <w:szCs w:val="20"/>
        </w:rPr>
        <w:fldChar w:fldCharType="separate"/>
      </w:r>
      <w:r w:rsidRPr="007114AF">
        <w:rPr>
          <w:sz w:val="20"/>
          <w:szCs w:val="20"/>
        </w:rPr>
        <w:t>3</w:t>
      </w:r>
      <w:r w:rsidRPr="007114AF">
        <w:rPr>
          <w:sz w:val="20"/>
          <w:szCs w:val="20"/>
        </w:rPr>
        <w:fldChar w:fldCharType="end"/>
      </w:r>
      <w:r w:rsidR="00F945A3" w:rsidRPr="007114AF">
        <w:rPr>
          <w:sz w:val="20"/>
          <w:szCs w:val="20"/>
        </w:rPr>
        <w:t xml:space="preserve"> </w:t>
      </w:r>
      <w:r w:rsidRPr="007114AF">
        <w:rPr>
          <w:sz w:val="20"/>
          <w:szCs w:val="20"/>
        </w:rPr>
        <w:t>–</w:t>
      </w:r>
      <w:r w:rsidR="00F945A3" w:rsidRPr="007114AF">
        <w:rPr>
          <w:sz w:val="20"/>
          <w:szCs w:val="20"/>
        </w:rPr>
        <w:t xml:space="preserve"> </w:t>
      </w:r>
      <w:r w:rsidRPr="007114AF">
        <w:rPr>
          <w:sz w:val="20"/>
          <w:szCs w:val="20"/>
        </w:rPr>
        <w:t xml:space="preserve">Furnizimi kryesor me energji në Shqipëri nga burimet vendore (ktoe) </w:t>
      </w:r>
    </w:p>
    <w:p w14:paraId="6EDCF4CA" w14:textId="528093E9" w:rsidR="002B7452" w:rsidRPr="007114AF" w:rsidRDefault="002B7452" w:rsidP="00164B6B">
      <w:pPr>
        <w:pStyle w:val="FIGURA"/>
        <w:rPr>
          <w:sz w:val="20"/>
          <w:szCs w:val="20"/>
        </w:rPr>
      </w:pPr>
      <w:r w:rsidRPr="007114AF">
        <w:rPr>
          <w:sz w:val="20"/>
          <w:szCs w:val="20"/>
        </w:rPr>
        <w:t>(Burimi: AKBN Bilanci</w:t>
      </w:r>
      <w:r w:rsidR="00F945A3" w:rsidRPr="007114AF">
        <w:rPr>
          <w:sz w:val="20"/>
          <w:szCs w:val="20"/>
        </w:rPr>
        <w:t xml:space="preserve"> e</w:t>
      </w:r>
      <w:r w:rsidRPr="007114AF">
        <w:rPr>
          <w:sz w:val="20"/>
          <w:szCs w:val="20"/>
        </w:rPr>
        <w:t>nergjetik 2010</w:t>
      </w:r>
      <w:r w:rsidR="00F945A3" w:rsidRPr="007114AF">
        <w:rPr>
          <w:sz w:val="20"/>
          <w:szCs w:val="20"/>
        </w:rPr>
        <w:t>–</w:t>
      </w:r>
      <w:r w:rsidRPr="007114AF">
        <w:rPr>
          <w:sz w:val="20"/>
          <w:szCs w:val="20"/>
        </w:rPr>
        <w:t>2014)</w:t>
      </w:r>
    </w:p>
    <w:p w14:paraId="6EDCF4CB" w14:textId="77777777" w:rsidR="002B7452" w:rsidRPr="007114AF" w:rsidRDefault="002B7452" w:rsidP="002B7452">
      <w:pPr>
        <w:spacing w:after="0" w:line="240" w:lineRule="auto"/>
        <w:ind w:firstLine="284"/>
        <w:rPr>
          <w:rFonts w:ascii="Garamond" w:hAnsi="Garamond"/>
          <w:sz w:val="24"/>
          <w:szCs w:val="24"/>
        </w:rPr>
      </w:pPr>
    </w:p>
    <w:p w14:paraId="6EDCF4CC" w14:textId="77777777" w:rsidR="002B7452" w:rsidRPr="007114AF" w:rsidRDefault="002B7452" w:rsidP="002B7452">
      <w:pPr>
        <w:spacing w:after="0" w:line="240" w:lineRule="auto"/>
        <w:ind w:firstLine="284"/>
        <w:rPr>
          <w:rFonts w:ascii="Garamond" w:hAnsi="Garamond"/>
          <w:sz w:val="24"/>
          <w:szCs w:val="24"/>
          <w:lang w:eastAsia="en-US"/>
        </w:rPr>
      </w:pPr>
      <w:r w:rsidRPr="007114AF">
        <w:rPr>
          <w:rFonts w:ascii="Garamond" w:hAnsi="Garamond"/>
          <w:sz w:val="24"/>
          <w:szCs w:val="24"/>
          <w:lang w:eastAsia="en-US"/>
        </w:rPr>
        <w:t>Vitet e fundit evolucioni ka qenë drejt një rritje të moderuar të furnizimit primar me energji që prej vitit 2012, pa ndryshime të mëdha në terma të pjesëve relative të vektorëve të ndryshëm të energjisë. Variacioni në hidrocentrale duket se kompensohet kryesisht nga importet e shtuara të naftës dhe produkteve të saj.</w:t>
      </w:r>
    </w:p>
    <w:p w14:paraId="6EDCF4CD" w14:textId="597E4156" w:rsidR="002B7452" w:rsidRPr="007114AF" w:rsidRDefault="002B7452" w:rsidP="002B7452">
      <w:pPr>
        <w:spacing w:after="0" w:line="240" w:lineRule="auto"/>
        <w:ind w:firstLine="284"/>
        <w:rPr>
          <w:rFonts w:ascii="Garamond" w:hAnsi="Garamond"/>
          <w:sz w:val="24"/>
          <w:szCs w:val="24"/>
        </w:rPr>
      </w:pPr>
      <w:r w:rsidRPr="007114AF">
        <w:rPr>
          <w:rFonts w:ascii="Garamond" w:hAnsi="Garamond"/>
          <w:sz w:val="24"/>
          <w:szCs w:val="24"/>
        </w:rPr>
        <w:t>Një përmbledhje e mirë e fluksit energjetik të vendit mund të nxirret nga diagram</w:t>
      </w:r>
      <w:r w:rsidR="00F945A3" w:rsidRPr="007114AF">
        <w:rPr>
          <w:rFonts w:ascii="Garamond" w:hAnsi="Garamond"/>
          <w:sz w:val="24"/>
          <w:szCs w:val="24"/>
        </w:rPr>
        <w:t>i</w:t>
      </w:r>
      <w:r w:rsidRPr="007114AF">
        <w:rPr>
          <w:rFonts w:ascii="Garamond" w:hAnsi="Garamond"/>
          <w:sz w:val="24"/>
          <w:szCs w:val="24"/>
        </w:rPr>
        <w:t xml:space="preserve"> </w:t>
      </w:r>
      <w:r w:rsidR="00F945A3" w:rsidRPr="007114AF">
        <w:rPr>
          <w:rFonts w:ascii="Garamond" w:hAnsi="Garamond"/>
          <w:sz w:val="24"/>
          <w:szCs w:val="24"/>
        </w:rPr>
        <w:t>i</w:t>
      </w:r>
      <w:r w:rsidRPr="007114AF">
        <w:rPr>
          <w:rFonts w:ascii="Garamond" w:hAnsi="Garamond"/>
          <w:sz w:val="24"/>
          <w:szCs w:val="24"/>
        </w:rPr>
        <w:t xml:space="preserve"> fluksit të energjisë që tregohet më poshtë (figura 4).</w:t>
      </w:r>
    </w:p>
    <w:p w14:paraId="6EDCF4CE" w14:textId="77777777" w:rsidR="002B7452" w:rsidRPr="007114AF" w:rsidRDefault="004504DC" w:rsidP="004504DC">
      <w:pPr>
        <w:spacing w:after="0" w:line="240" w:lineRule="auto"/>
        <w:ind w:firstLine="284"/>
        <w:jc w:val="center"/>
        <w:rPr>
          <w:rFonts w:ascii="Garamond" w:hAnsi="Garamond"/>
          <w:sz w:val="24"/>
          <w:szCs w:val="24"/>
        </w:rPr>
      </w:pPr>
      <w:r w:rsidRPr="007114AF">
        <w:rPr>
          <w:rFonts w:ascii="Garamond" w:hAnsi="Garamond"/>
          <w:noProof/>
          <w:lang w:val="en-US" w:eastAsia="en-US"/>
        </w:rPr>
        <w:lastRenderedPageBreak/>
        <w:drawing>
          <wp:inline distT="0" distB="0" distL="0" distR="0" wp14:anchorId="6EDD1786" wp14:editId="6EDD1787">
            <wp:extent cx="5748793" cy="3291840"/>
            <wp:effectExtent l="0" t="0" r="4445" b="3810"/>
            <wp:docPr id="35" name="Immagin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750952" cy="3293076"/>
                    </a:xfrm>
                    <a:prstGeom prst="rect">
                      <a:avLst/>
                    </a:prstGeom>
                    <a:noFill/>
                    <a:ln>
                      <a:noFill/>
                    </a:ln>
                  </pic:spPr>
                </pic:pic>
              </a:graphicData>
            </a:graphic>
          </wp:inline>
        </w:drawing>
      </w:r>
    </w:p>
    <w:p w14:paraId="6EDCF4CF" w14:textId="77777777" w:rsidR="002E065A" w:rsidRPr="007114AF" w:rsidRDefault="002E065A" w:rsidP="002E065A">
      <w:pPr>
        <w:spacing w:after="0" w:line="240" w:lineRule="auto"/>
        <w:ind w:firstLine="284"/>
        <w:jc w:val="left"/>
        <w:rPr>
          <w:rFonts w:ascii="Garamond" w:hAnsi="Garamond"/>
          <w:sz w:val="24"/>
          <w:szCs w:val="24"/>
        </w:rPr>
      </w:pPr>
    </w:p>
    <w:p w14:paraId="6EDCF4D0" w14:textId="5B990732" w:rsidR="004504DC" w:rsidRPr="007114AF" w:rsidRDefault="004504DC" w:rsidP="00164B6B">
      <w:pPr>
        <w:pStyle w:val="FIGURA"/>
        <w:rPr>
          <w:rFonts w:eastAsia="Calibri"/>
          <w:sz w:val="20"/>
          <w:szCs w:val="20"/>
          <w:lang w:eastAsia="en-US"/>
        </w:rPr>
      </w:pPr>
      <w:r w:rsidRPr="007114AF">
        <w:rPr>
          <w:rFonts w:eastAsia="Calibri"/>
          <w:sz w:val="20"/>
          <w:szCs w:val="20"/>
          <w:lang w:eastAsia="en-US"/>
        </w:rPr>
        <w:t>Figura</w:t>
      </w:r>
      <w:r w:rsidR="00164B6B" w:rsidRPr="007114AF">
        <w:rPr>
          <w:rFonts w:eastAsia="Calibri"/>
          <w:sz w:val="20"/>
          <w:szCs w:val="20"/>
          <w:lang w:eastAsia="en-US"/>
        </w:rPr>
        <w:t xml:space="preserve"> </w:t>
      </w:r>
      <w:r w:rsidRPr="007114AF">
        <w:rPr>
          <w:rFonts w:eastAsia="Calibri"/>
          <w:sz w:val="20"/>
          <w:szCs w:val="20"/>
          <w:lang w:eastAsia="en-US"/>
        </w:rPr>
        <w:fldChar w:fldCharType="begin"/>
      </w:r>
      <w:r w:rsidRPr="007114AF">
        <w:rPr>
          <w:rFonts w:eastAsia="Calibri"/>
          <w:sz w:val="20"/>
          <w:szCs w:val="20"/>
          <w:lang w:eastAsia="en-US"/>
        </w:rPr>
        <w:instrText xml:space="preserve"> SEQ Figure \* ARABIC </w:instrText>
      </w:r>
      <w:r w:rsidRPr="007114AF">
        <w:rPr>
          <w:rFonts w:eastAsia="Calibri"/>
          <w:sz w:val="20"/>
          <w:szCs w:val="20"/>
          <w:lang w:eastAsia="en-US"/>
        </w:rPr>
        <w:fldChar w:fldCharType="separate"/>
      </w:r>
      <w:r w:rsidRPr="007114AF">
        <w:rPr>
          <w:rFonts w:eastAsia="Calibri"/>
          <w:sz w:val="20"/>
          <w:szCs w:val="20"/>
          <w:lang w:eastAsia="en-US"/>
        </w:rPr>
        <w:t>4</w:t>
      </w:r>
      <w:r w:rsidRPr="007114AF">
        <w:rPr>
          <w:rFonts w:eastAsia="Calibri"/>
          <w:sz w:val="20"/>
          <w:szCs w:val="20"/>
          <w:lang w:eastAsia="en-US"/>
        </w:rPr>
        <w:fldChar w:fldCharType="end"/>
      </w:r>
      <w:r w:rsidR="00F945A3" w:rsidRPr="007114AF">
        <w:rPr>
          <w:rFonts w:eastAsia="Calibri"/>
          <w:sz w:val="20"/>
          <w:szCs w:val="20"/>
          <w:lang w:eastAsia="en-US"/>
        </w:rPr>
        <w:t xml:space="preserve"> </w:t>
      </w:r>
      <w:r w:rsidRPr="007114AF">
        <w:rPr>
          <w:rFonts w:eastAsia="Calibri"/>
          <w:sz w:val="20"/>
          <w:szCs w:val="20"/>
          <w:lang w:eastAsia="en-US"/>
        </w:rPr>
        <w:t>–</w:t>
      </w:r>
      <w:r w:rsidR="00F945A3" w:rsidRPr="007114AF">
        <w:rPr>
          <w:rFonts w:eastAsia="Calibri"/>
          <w:sz w:val="20"/>
          <w:szCs w:val="20"/>
          <w:lang w:eastAsia="en-US"/>
        </w:rPr>
        <w:t xml:space="preserve"> </w:t>
      </w:r>
      <w:r w:rsidRPr="007114AF">
        <w:rPr>
          <w:rFonts w:eastAsia="Calibri"/>
          <w:sz w:val="20"/>
          <w:szCs w:val="20"/>
          <w:lang w:eastAsia="en-US"/>
        </w:rPr>
        <w:t xml:space="preserve">Fluksi i </w:t>
      </w:r>
      <w:r w:rsidR="00F945A3" w:rsidRPr="007114AF">
        <w:rPr>
          <w:rFonts w:eastAsia="Calibri"/>
          <w:sz w:val="20"/>
          <w:szCs w:val="20"/>
          <w:lang w:eastAsia="en-US"/>
        </w:rPr>
        <w:t>e</w:t>
      </w:r>
      <w:r w:rsidRPr="007114AF">
        <w:rPr>
          <w:rFonts w:eastAsia="Calibri"/>
          <w:sz w:val="20"/>
          <w:szCs w:val="20"/>
          <w:lang w:eastAsia="en-US"/>
        </w:rPr>
        <w:t>nergjisë në Shqipëri (</w:t>
      </w:r>
      <w:r w:rsidR="00F945A3" w:rsidRPr="007114AF">
        <w:rPr>
          <w:rFonts w:eastAsia="Calibri"/>
          <w:sz w:val="20"/>
          <w:szCs w:val="20"/>
          <w:lang w:eastAsia="en-US"/>
        </w:rPr>
        <w:t>b</w:t>
      </w:r>
      <w:r w:rsidRPr="007114AF">
        <w:rPr>
          <w:rFonts w:eastAsia="Calibri"/>
          <w:sz w:val="20"/>
          <w:szCs w:val="20"/>
          <w:lang w:eastAsia="en-US"/>
        </w:rPr>
        <w:t>urimi: IEA në bazë të të dhënave të AKBN</w:t>
      </w:r>
      <w:r w:rsidR="00F945A3" w:rsidRPr="007114AF">
        <w:rPr>
          <w:rFonts w:eastAsia="Calibri"/>
          <w:sz w:val="20"/>
          <w:szCs w:val="20"/>
          <w:lang w:eastAsia="en-US"/>
        </w:rPr>
        <w:t>-së</w:t>
      </w:r>
      <w:r w:rsidRPr="007114AF">
        <w:rPr>
          <w:rFonts w:eastAsia="Calibri"/>
          <w:sz w:val="20"/>
          <w:szCs w:val="20"/>
          <w:lang w:eastAsia="en-US"/>
        </w:rPr>
        <w:t>)</w:t>
      </w:r>
    </w:p>
    <w:p w14:paraId="6EDCF4D1" w14:textId="77777777" w:rsidR="00164B6B" w:rsidRPr="007114AF" w:rsidRDefault="00164B6B" w:rsidP="004504DC">
      <w:pPr>
        <w:spacing w:after="0" w:line="240" w:lineRule="auto"/>
        <w:ind w:firstLine="284"/>
        <w:rPr>
          <w:rFonts w:ascii="Garamond" w:hAnsi="Garamond"/>
          <w:sz w:val="24"/>
          <w:szCs w:val="24"/>
        </w:rPr>
      </w:pPr>
    </w:p>
    <w:p w14:paraId="6EDCF4D2" w14:textId="77777777" w:rsidR="004504DC" w:rsidRPr="007114AF" w:rsidRDefault="004504DC" w:rsidP="004504DC">
      <w:pPr>
        <w:spacing w:after="0" w:line="240" w:lineRule="auto"/>
        <w:ind w:firstLine="284"/>
        <w:rPr>
          <w:rFonts w:ascii="Garamond" w:hAnsi="Garamond"/>
          <w:sz w:val="24"/>
          <w:szCs w:val="24"/>
        </w:rPr>
      </w:pPr>
      <w:r w:rsidRPr="007114AF">
        <w:rPr>
          <w:rFonts w:ascii="Garamond" w:hAnsi="Garamond"/>
          <w:sz w:val="24"/>
          <w:szCs w:val="24"/>
        </w:rPr>
        <w:t>Karakteristikat kryesore të sektorëve energjetikë shqiptarë janë si më poshtë:</w:t>
      </w:r>
    </w:p>
    <w:p w14:paraId="6EDCF4D3" w14:textId="18B5E208" w:rsidR="004504DC" w:rsidRPr="007114AF" w:rsidRDefault="004504DC" w:rsidP="004504DC">
      <w:pPr>
        <w:pStyle w:val="Paragrafoelenco1"/>
        <w:numPr>
          <w:ilvl w:val="0"/>
          <w:numId w:val="0"/>
        </w:numPr>
        <w:spacing w:before="0" w:after="0"/>
        <w:ind w:left="284"/>
        <w:rPr>
          <w:rFonts w:ascii="Garamond" w:hAnsi="Garamond"/>
          <w:sz w:val="24"/>
          <w:szCs w:val="24"/>
          <w:lang w:val="sq-AL"/>
        </w:rPr>
      </w:pPr>
      <w:r w:rsidRPr="007114AF">
        <w:rPr>
          <w:rFonts w:ascii="Garamond" w:hAnsi="Garamond"/>
          <w:sz w:val="24"/>
          <w:szCs w:val="24"/>
          <w:lang w:val="sq-AL"/>
        </w:rPr>
        <w:t>- Varësia e madhe nga importet e naftës</w:t>
      </w:r>
      <w:r w:rsidR="00F945A3" w:rsidRPr="007114AF">
        <w:rPr>
          <w:rFonts w:ascii="Garamond" w:hAnsi="Garamond"/>
          <w:sz w:val="24"/>
          <w:szCs w:val="24"/>
          <w:lang w:val="sq-AL"/>
        </w:rPr>
        <w:t>;</w:t>
      </w:r>
    </w:p>
    <w:p w14:paraId="6EDCF4D4" w14:textId="14AD10B8" w:rsidR="004504DC" w:rsidRPr="007114AF" w:rsidRDefault="004504DC" w:rsidP="004504DC">
      <w:pPr>
        <w:pStyle w:val="Paragrafoelenco1"/>
        <w:numPr>
          <w:ilvl w:val="0"/>
          <w:numId w:val="0"/>
        </w:numPr>
        <w:spacing w:before="0" w:after="0"/>
        <w:ind w:left="284"/>
        <w:rPr>
          <w:rFonts w:ascii="Garamond" w:hAnsi="Garamond"/>
          <w:sz w:val="24"/>
          <w:szCs w:val="24"/>
          <w:lang w:val="sq-AL"/>
        </w:rPr>
      </w:pPr>
      <w:r w:rsidRPr="007114AF">
        <w:rPr>
          <w:rFonts w:ascii="Garamond" w:hAnsi="Garamond"/>
          <w:sz w:val="24"/>
          <w:szCs w:val="24"/>
          <w:lang w:val="sq-AL"/>
        </w:rPr>
        <w:t>- Fokusi i madh te hidrocentralet</w:t>
      </w:r>
      <w:r w:rsidR="00F945A3" w:rsidRPr="007114AF">
        <w:rPr>
          <w:rFonts w:ascii="Garamond" w:hAnsi="Garamond"/>
          <w:sz w:val="24"/>
          <w:szCs w:val="24"/>
          <w:lang w:val="sq-AL"/>
        </w:rPr>
        <w:t>;</w:t>
      </w:r>
    </w:p>
    <w:p w14:paraId="6EDCF4D5" w14:textId="4E672514" w:rsidR="004504DC" w:rsidRPr="007114AF" w:rsidRDefault="004504DC" w:rsidP="004504DC">
      <w:pPr>
        <w:pStyle w:val="Paragrafoelenco1"/>
        <w:numPr>
          <w:ilvl w:val="0"/>
          <w:numId w:val="0"/>
        </w:numPr>
        <w:spacing w:before="0" w:after="0"/>
        <w:ind w:left="284"/>
        <w:rPr>
          <w:rFonts w:ascii="Garamond" w:hAnsi="Garamond"/>
          <w:sz w:val="24"/>
          <w:szCs w:val="24"/>
          <w:lang w:val="sq-AL"/>
        </w:rPr>
      </w:pPr>
      <w:r w:rsidRPr="007114AF">
        <w:rPr>
          <w:rFonts w:ascii="Garamond" w:hAnsi="Garamond"/>
          <w:sz w:val="24"/>
          <w:szCs w:val="24"/>
          <w:lang w:val="sq-AL"/>
        </w:rPr>
        <w:t>- Pjesa e madhe e sektorit të transportit</w:t>
      </w:r>
      <w:r w:rsidR="00F945A3" w:rsidRPr="007114AF">
        <w:rPr>
          <w:rFonts w:ascii="Garamond" w:hAnsi="Garamond"/>
          <w:sz w:val="24"/>
          <w:szCs w:val="24"/>
          <w:lang w:val="sq-AL"/>
        </w:rPr>
        <w:t>;</w:t>
      </w:r>
    </w:p>
    <w:p w14:paraId="6EDCF4D6" w14:textId="77777777" w:rsidR="004504DC" w:rsidRPr="007114AF" w:rsidRDefault="004504DC" w:rsidP="004504DC">
      <w:pPr>
        <w:pStyle w:val="Paragrafoelenco1"/>
        <w:numPr>
          <w:ilvl w:val="0"/>
          <w:numId w:val="0"/>
        </w:numPr>
        <w:spacing w:before="0" w:after="0"/>
        <w:ind w:left="284"/>
        <w:rPr>
          <w:rFonts w:ascii="Garamond" w:hAnsi="Garamond"/>
          <w:sz w:val="24"/>
          <w:szCs w:val="24"/>
          <w:lang w:val="sq-AL"/>
        </w:rPr>
      </w:pPr>
      <w:r w:rsidRPr="007114AF">
        <w:rPr>
          <w:rFonts w:ascii="Garamond" w:hAnsi="Garamond"/>
          <w:sz w:val="24"/>
          <w:szCs w:val="24"/>
          <w:lang w:val="sq-AL"/>
        </w:rPr>
        <w:t xml:space="preserve">- Mosekzistenca </w:t>
      </w:r>
      <w:r w:rsidRPr="007114AF">
        <w:rPr>
          <w:rFonts w:ascii="Garamond" w:hAnsi="Garamond"/>
          <w:i/>
          <w:sz w:val="24"/>
          <w:szCs w:val="24"/>
          <w:lang w:val="sq-AL"/>
        </w:rPr>
        <w:t>defakto</w:t>
      </w:r>
      <w:r w:rsidRPr="007114AF">
        <w:rPr>
          <w:rFonts w:ascii="Garamond" w:hAnsi="Garamond"/>
          <w:sz w:val="24"/>
          <w:szCs w:val="24"/>
          <w:lang w:val="sq-AL"/>
        </w:rPr>
        <w:t xml:space="preserve"> e burimeve të gazit natyror.</w:t>
      </w:r>
    </w:p>
    <w:p w14:paraId="6EDCF4D7" w14:textId="75ADECA0" w:rsidR="004504DC" w:rsidRPr="007114AF" w:rsidRDefault="004504DC" w:rsidP="004504DC">
      <w:pPr>
        <w:spacing w:after="0" w:line="240" w:lineRule="auto"/>
        <w:ind w:firstLine="284"/>
        <w:rPr>
          <w:rFonts w:ascii="Garamond" w:hAnsi="Garamond"/>
          <w:sz w:val="24"/>
          <w:szCs w:val="24"/>
        </w:rPr>
      </w:pPr>
      <w:r w:rsidRPr="007114AF">
        <w:rPr>
          <w:rFonts w:ascii="Garamond" w:hAnsi="Garamond"/>
          <w:sz w:val="24"/>
          <w:szCs w:val="24"/>
        </w:rPr>
        <w:t xml:space="preserve">Lidhur me nevojat për </w:t>
      </w:r>
      <w:r w:rsidRPr="007114AF">
        <w:rPr>
          <w:rFonts w:ascii="Garamond" w:hAnsi="Garamond"/>
          <w:b/>
          <w:sz w:val="24"/>
          <w:szCs w:val="24"/>
        </w:rPr>
        <w:t xml:space="preserve">energji elektrike, </w:t>
      </w:r>
      <w:r w:rsidRPr="007114AF">
        <w:rPr>
          <w:rFonts w:ascii="Garamond" w:hAnsi="Garamond"/>
          <w:sz w:val="24"/>
          <w:szCs w:val="24"/>
        </w:rPr>
        <w:t>historikisht ato janë plotësuar pothuaj ekskluzivisht nga hidrocentralet (</w:t>
      </w:r>
      <w:r w:rsidR="00353D0E" w:rsidRPr="007114AF">
        <w:rPr>
          <w:rFonts w:ascii="Garamond" w:hAnsi="Garamond"/>
          <w:sz w:val="24"/>
          <w:szCs w:val="24"/>
        </w:rPr>
        <w:t>f</w:t>
      </w:r>
      <w:r w:rsidRPr="007114AF">
        <w:rPr>
          <w:rFonts w:ascii="Garamond" w:hAnsi="Garamond"/>
          <w:sz w:val="24"/>
          <w:szCs w:val="24"/>
        </w:rPr>
        <w:t>igura 4). Kapaciteti total i instaluar i energjisë në Shqipëri, arrin në 1</w:t>
      </w:r>
      <w:r w:rsidR="00D10DAB" w:rsidRPr="007114AF">
        <w:rPr>
          <w:rFonts w:ascii="Garamond" w:hAnsi="Garamond"/>
          <w:sz w:val="24"/>
          <w:szCs w:val="24"/>
        </w:rPr>
        <w:t>’</w:t>
      </w:r>
      <w:r w:rsidRPr="007114AF">
        <w:rPr>
          <w:rFonts w:ascii="Garamond" w:hAnsi="Garamond"/>
          <w:sz w:val="24"/>
          <w:szCs w:val="24"/>
        </w:rPr>
        <w:t>895</w:t>
      </w:r>
      <w:r w:rsidR="00D10DAB" w:rsidRPr="007114AF">
        <w:rPr>
          <w:rFonts w:ascii="Garamond" w:hAnsi="Garamond"/>
          <w:sz w:val="24"/>
          <w:szCs w:val="24"/>
        </w:rPr>
        <w:t>’</w:t>
      </w:r>
      <w:r w:rsidRPr="007114AF">
        <w:rPr>
          <w:rFonts w:ascii="Garamond" w:hAnsi="Garamond"/>
          <w:sz w:val="24"/>
          <w:szCs w:val="24"/>
        </w:rPr>
        <w:t xml:space="preserve">000 </w:t>
      </w:r>
      <w:r w:rsidR="005460C5" w:rsidRPr="007114AF">
        <w:rPr>
          <w:rFonts w:ascii="Garamond" w:hAnsi="Garamond"/>
          <w:sz w:val="24"/>
          <w:szCs w:val="24"/>
        </w:rPr>
        <w:t xml:space="preserve">mw </w:t>
      </w:r>
      <w:r w:rsidRPr="007114AF">
        <w:rPr>
          <w:rFonts w:ascii="Garamond" w:hAnsi="Garamond"/>
          <w:sz w:val="24"/>
          <w:szCs w:val="24"/>
        </w:rPr>
        <w:t xml:space="preserve">(në fund të vitit 2015), i dominuar nga hidrocentralet. Kjo vlerë konfirmohet edhe nga raporti i Entit Rregullator të Energjisë Elektrike (ERE) për vitin 2015, që jep të dhëna për sektorin energjetik shqiptar, me kapacitetin total të instaluar të gjenerimit të energjisë në Shqipëri në vitin 2009 në vlerën 1659 </w:t>
      </w:r>
      <w:r w:rsidR="005460C5" w:rsidRPr="007114AF">
        <w:rPr>
          <w:rFonts w:ascii="Garamond" w:hAnsi="Garamond"/>
          <w:sz w:val="24"/>
          <w:szCs w:val="24"/>
        </w:rPr>
        <w:t>mw</w:t>
      </w:r>
      <w:r w:rsidRPr="007114AF">
        <w:rPr>
          <w:rFonts w:ascii="Garamond" w:hAnsi="Garamond"/>
          <w:sz w:val="24"/>
          <w:szCs w:val="24"/>
        </w:rPr>
        <w:t xml:space="preserve">, nga e cila 86% është hidroelektrike. Hidroelektriciteti prodhohet nga tre centrale të mëdha në veri të vendit, në lumin Drin: Komani (600 </w:t>
      </w:r>
      <w:r w:rsidR="00527188" w:rsidRPr="007114AF">
        <w:rPr>
          <w:rFonts w:ascii="Garamond" w:hAnsi="Garamond"/>
          <w:sz w:val="24"/>
          <w:szCs w:val="24"/>
        </w:rPr>
        <w:t>mw</w:t>
      </w:r>
      <w:r w:rsidRPr="007114AF">
        <w:rPr>
          <w:rFonts w:ascii="Garamond" w:hAnsi="Garamond"/>
          <w:sz w:val="24"/>
          <w:szCs w:val="24"/>
        </w:rPr>
        <w:t xml:space="preserve">), Fierza (500 </w:t>
      </w:r>
      <w:r w:rsidR="005460C5" w:rsidRPr="007114AF">
        <w:rPr>
          <w:rFonts w:ascii="Garamond" w:hAnsi="Garamond"/>
          <w:sz w:val="24"/>
          <w:szCs w:val="24"/>
        </w:rPr>
        <w:t>mw</w:t>
      </w:r>
      <w:r w:rsidRPr="007114AF">
        <w:rPr>
          <w:rFonts w:ascii="Garamond" w:hAnsi="Garamond"/>
          <w:sz w:val="24"/>
          <w:szCs w:val="24"/>
        </w:rPr>
        <w:t xml:space="preserve">) dhe Vau i Dejës (250 </w:t>
      </w:r>
      <w:r w:rsidR="005460C5" w:rsidRPr="007114AF">
        <w:rPr>
          <w:rFonts w:ascii="Garamond" w:hAnsi="Garamond"/>
          <w:sz w:val="24"/>
          <w:szCs w:val="24"/>
        </w:rPr>
        <w:t>mw</w:t>
      </w:r>
      <w:r w:rsidRPr="007114AF">
        <w:rPr>
          <w:rFonts w:ascii="Garamond" w:hAnsi="Garamond"/>
          <w:sz w:val="24"/>
          <w:szCs w:val="24"/>
        </w:rPr>
        <w:t xml:space="preserve">). </w:t>
      </w:r>
    </w:p>
    <w:p w14:paraId="6EDCF4D8" w14:textId="3D109C9D" w:rsidR="004504DC" w:rsidRPr="007114AF" w:rsidRDefault="004504DC" w:rsidP="004504DC">
      <w:pPr>
        <w:spacing w:after="0" w:line="240" w:lineRule="auto"/>
        <w:ind w:firstLine="284"/>
        <w:rPr>
          <w:rFonts w:ascii="Garamond" w:hAnsi="Garamond" w:cs="Segoe UI"/>
          <w:sz w:val="24"/>
          <w:szCs w:val="24"/>
        </w:rPr>
      </w:pPr>
      <w:r w:rsidRPr="007114AF">
        <w:rPr>
          <w:rFonts w:ascii="Garamond" w:hAnsi="Garamond"/>
          <w:sz w:val="24"/>
          <w:szCs w:val="24"/>
        </w:rPr>
        <w:t>Për këtë arsye, burimet ujore luajnë rol vendimtar në sektorin e energjisë në Shqipëri, dhe periudhat e thatësirës mund të çojnë në rënie të menjëhershme të prodhimit, siç ndodhi mes vitit 2000 dhe 2002, si</w:t>
      </w:r>
      <w:r w:rsidR="005460C5" w:rsidRPr="007114AF">
        <w:rPr>
          <w:rFonts w:ascii="Garamond" w:hAnsi="Garamond"/>
          <w:sz w:val="24"/>
          <w:szCs w:val="24"/>
        </w:rPr>
        <w:t xml:space="preserve"> </w:t>
      </w:r>
      <w:r w:rsidRPr="007114AF">
        <w:rPr>
          <w:rFonts w:ascii="Garamond" w:hAnsi="Garamond"/>
          <w:sz w:val="24"/>
          <w:szCs w:val="24"/>
        </w:rPr>
        <w:t xml:space="preserve">dhe sërish në vitin 2007. Po ashtu, duhet vënë në dukje roli pozitiv në gjenerimin e energjisë elektrike gjatë viteve me reshje, që jo vetëm plotëson kërkesën e brendshme për energji elektrike, por gjithashtu mund të eksportohet (për shembull, në vitin 2010). Potencial total i hidroenergjisë vlerësohet në 4500 </w:t>
      </w:r>
      <w:r w:rsidR="00527188" w:rsidRPr="007114AF">
        <w:rPr>
          <w:rFonts w:ascii="Garamond" w:hAnsi="Garamond"/>
          <w:sz w:val="24"/>
          <w:szCs w:val="24"/>
        </w:rPr>
        <w:t xml:space="preserve">mw </w:t>
      </w:r>
      <w:r w:rsidRPr="007114AF">
        <w:rPr>
          <w:rFonts w:ascii="Garamond" w:hAnsi="Garamond"/>
          <w:sz w:val="24"/>
          <w:szCs w:val="24"/>
        </w:rPr>
        <w:t>(me gjenerim total të energjisë elektrike të barabartë me 50-58 PJ/vit). Aktualisht vendi ka shfrytëzuar vetëm 35% të potencialit të tij hidroenergjetik. Hidrocentralet të vendosura dhe të lidhura në kaskadën e lumit Drin, përfaqësojnë rreth 90% të gjenerimit total të energjisë elektrike në vend. Në vitin 2015, 75.9% e energjisë elektrike u prodhua në vend nga tre hidrocentrale publike të kaskadës së lumit Drin dhe diferenca prej 24.1% u prodhua nga hidrocentrale private dhe me koncesion(të dhëna të ERE-s).</w:t>
      </w:r>
    </w:p>
    <w:p w14:paraId="6EDCF4D9" w14:textId="77777777" w:rsidR="004504DC" w:rsidRPr="007114AF" w:rsidRDefault="004504DC" w:rsidP="002E065A">
      <w:pPr>
        <w:spacing w:after="0" w:line="240" w:lineRule="auto"/>
        <w:ind w:firstLine="284"/>
        <w:jc w:val="left"/>
        <w:rPr>
          <w:rFonts w:ascii="Garamond" w:hAnsi="Garamond"/>
          <w:sz w:val="24"/>
          <w:szCs w:val="24"/>
        </w:rPr>
      </w:pPr>
    </w:p>
    <w:p w14:paraId="6EDCF4DA" w14:textId="77777777" w:rsidR="00701834" w:rsidRPr="007114AF" w:rsidRDefault="00701834" w:rsidP="00701834">
      <w:pPr>
        <w:spacing w:after="0" w:line="240" w:lineRule="auto"/>
        <w:ind w:firstLine="284"/>
        <w:jc w:val="center"/>
        <w:rPr>
          <w:rFonts w:ascii="Garamond" w:hAnsi="Garamond"/>
          <w:sz w:val="24"/>
          <w:szCs w:val="24"/>
        </w:rPr>
      </w:pPr>
    </w:p>
    <w:p w14:paraId="6EDCF4DB" w14:textId="77777777" w:rsidR="00701834" w:rsidRPr="007114AF" w:rsidRDefault="00701834" w:rsidP="00701834">
      <w:pPr>
        <w:spacing w:after="0" w:line="240" w:lineRule="auto"/>
        <w:ind w:firstLine="284"/>
        <w:jc w:val="center"/>
        <w:rPr>
          <w:rFonts w:ascii="Garamond" w:hAnsi="Garamond"/>
          <w:sz w:val="24"/>
          <w:szCs w:val="24"/>
        </w:rPr>
      </w:pPr>
      <w:r w:rsidRPr="007114AF">
        <w:rPr>
          <w:rFonts w:ascii="Garamond" w:hAnsi="Garamond"/>
          <w:noProof/>
          <w:lang w:val="en-US" w:eastAsia="en-US"/>
        </w:rPr>
        <w:lastRenderedPageBreak/>
        <w:drawing>
          <wp:inline distT="0" distB="0" distL="0" distR="0" wp14:anchorId="6EDD1788" wp14:editId="6EDD1789">
            <wp:extent cx="5440725" cy="3130550"/>
            <wp:effectExtent l="0" t="0" r="7620" b="0"/>
            <wp:docPr id="34" name="Immagin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440725" cy="3130550"/>
                    </a:xfrm>
                    <a:prstGeom prst="rect">
                      <a:avLst/>
                    </a:prstGeom>
                    <a:noFill/>
                    <a:ln>
                      <a:noFill/>
                    </a:ln>
                  </pic:spPr>
                </pic:pic>
              </a:graphicData>
            </a:graphic>
          </wp:inline>
        </w:drawing>
      </w:r>
    </w:p>
    <w:p w14:paraId="6EDCF4DC" w14:textId="77777777" w:rsidR="00701834" w:rsidRPr="007114AF" w:rsidRDefault="00701834" w:rsidP="00701834">
      <w:pPr>
        <w:spacing w:after="0" w:line="240" w:lineRule="auto"/>
        <w:ind w:firstLine="284"/>
        <w:jc w:val="center"/>
        <w:rPr>
          <w:rFonts w:ascii="Garamond" w:hAnsi="Garamond"/>
          <w:sz w:val="24"/>
          <w:szCs w:val="24"/>
        </w:rPr>
      </w:pPr>
    </w:p>
    <w:p w14:paraId="6EDCF4DD" w14:textId="3945DA1F" w:rsidR="00D83CDA" w:rsidRPr="007114AF" w:rsidRDefault="00D83CDA" w:rsidP="00164B6B">
      <w:pPr>
        <w:pStyle w:val="FIGURA"/>
        <w:rPr>
          <w:rFonts w:eastAsia="Calibri"/>
          <w:sz w:val="20"/>
          <w:szCs w:val="20"/>
          <w:lang w:eastAsia="en-US"/>
        </w:rPr>
      </w:pPr>
      <w:r w:rsidRPr="007114AF">
        <w:rPr>
          <w:rFonts w:eastAsia="Calibri"/>
          <w:sz w:val="20"/>
          <w:szCs w:val="20"/>
          <w:lang w:eastAsia="en-US"/>
        </w:rPr>
        <w:t>Figura 5</w:t>
      </w:r>
      <w:r w:rsidR="005460C5" w:rsidRPr="007114AF">
        <w:rPr>
          <w:rFonts w:eastAsia="Calibri"/>
          <w:sz w:val="20"/>
          <w:szCs w:val="20"/>
          <w:lang w:eastAsia="en-US"/>
        </w:rPr>
        <w:t xml:space="preserve"> </w:t>
      </w:r>
      <w:r w:rsidRPr="007114AF">
        <w:rPr>
          <w:rFonts w:eastAsia="Calibri"/>
          <w:sz w:val="20"/>
          <w:szCs w:val="20"/>
          <w:lang w:eastAsia="en-US"/>
        </w:rPr>
        <w:t>–</w:t>
      </w:r>
      <w:r w:rsidR="005460C5" w:rsidRPr="007114AF">
        <w:rPr>
          <w:rFonts w:eastAsia="Calibri"/>
          <w:sz w:val="20"/>
          <w:szCs w:val="20"/>
          <w:lang w:eastAsia="en-US"/>
        </w:rPr>
        <w:t xml:space="preserve"> </w:t>
      </w:r>
      <w:r w:rsidRPr="007114AF">
        <w:rPr>
          <w:rFonts w:eastAsia="Calibri"/>
          <w:sz w:val="20"/>
          <w:szCs w:val="20"/>
          <w:lang w:eastAsia="en-US"/>
        </w:rPr>
        <w:t xml:space="preserve">Furnizimi </w:t>
      </w:r>
      <w:r w:rsidR="005460C5" w:rsidRPr="007114AF">
        <w:rPr>
          <w:rFonts w:eastAsia="Calibri"/>
          <w:sz w:val="20"/>
          <w:szCs w:val="20"/>
          <w:lang w:eastAsia="en-US"/>
        </w:rPr>
        <w:t>total me energji elektrike në</w:t>
      </w:r>
      <w:r w:rsidRPr="007114AF">
        <w:rPr>
          <w:rFonts w:eastAsia="Calibri"/>
          <w:sz w:val="20"/>
          <w:szCs w:val="20"/>
          <w:lang w:eastAsia="en-US"/>
        </w:rPr>
        <w:t xml:space="preserve"> Shqipëri (GWh/vit) (Burimi: AKBN, 2013)</w:t>
      </w:r>
    </w:p>
    <w:p w14:paraId="48C9913F" w14:textId="77777777" w:rsidR="005460C5" w:rsidRPr="007114AF" w:rsidRDefault="005460C5" w:rsidP="00D83CDA">
      <w:pPr>
        <w:spacing w:after="0" w:line="240" w:lineRule="auto"/>
        <w:ind w:firstLine="284"/>
        <w:rPr>
          <w:rFonts w:ascii="Garamond" w:hAnsi="Garamond"/>
          <w:sz w:val="24"/>
          <w:szCs w:val="24"/>
        </w:rPr>
      </w:pPr>
    </w:p>
    <w:p w14:paraId="6EDCF4DE" w14:textId="6D6DA9B4" w:rsidR="00D83CDA" w:rsidRPr="007114AF" w:rsidRDefault="00D83CDA" w:rsidP="00D83CDA">
      <w:pPr>
        <w:spacing w:after="0" w:line="240" w:lineRule="auto"/>
        <w:ind w:firstLine="284"/>
        <w:rPr>
          <w:rFonts w:ascii="Garamond" w:hAnsi="Garamond"/>
          <w:sz w:val="24"/>
          <w:szCs w:val="24"/>
        </w:rPr>
      </w:pPr>
      <w:r w:rsidRPr="007114AF">
        <w:rPr>
          <w:rFonts w:ascii="Garamond" w:hAnsi="Garamond"/>
          <w:sz w:val="24"/>
          <w:szCs w:val="24"/>
        </w:rPr>
        <w:t>Figura 5, më lart, tregon furnizimin e Shqipërisë me energji elektrike në periudhën 1985-2013. Ndryshimi në prodhimin e energjisë elektrike mund t</w:t>
      </w:r>
      <w:r w:rsidR="00D10DAB" w:rsidRPr="007114AF">
        <w:rPr>
          <w:rFonts w:ascii="Garamond" w:hAnsi="Garamond"/>
          <w:sz w:val="24"/>
          <w:szCs w:val="24"/>
        </w:rPr>
        <w:t>’</w:t>
      </w:r>
      <w:r w:rsidRPr="007114AF">
        <w:rPr>
          <w:rFonts w:ascii="Garamond" w:hAnsi="Garamond"/>
          <w:sz w:val="24"/>
          <w:szCs w:val="24"/>
        </w:rPr>
        <w:t>i atribuohet prodhimit të luhatur hidroenergjetik. Termocentralet me naftë kanë kontribuuar shumë në prodhimin e energjisë në vend deri në vitin 1990, por më pas prodhimi i tyre u reduktua shumë dhe shumica e tyre aktualisht janë jashtë përdorimit. Gjatë vitit 2015, nuk u prodhua energji elektrike nga termocentrali i Vlorës (TEC). Ky TEC</w:t>
      </w:r>
      <w:r w:rsidR="005460C5" w:rsidRPr="007114AF">
        <w:rPr>
          <w:rFonts w:ascii="Garamond" w:hAnsi="Garamond"/>
          <w:sz w:val="24"/>
          <w:szCs w:val="24"/>
        </w:rPr>
        <w:t xml:space="preserve"> </w:t>
      </w:r>
      <w:r w:rsidRPr="007114AF">
        <w:rPr>
          <w:rFonts w:ascii="Garamond" w:hAnsi="Garamond"/>
          <w:sz w:val="24"/>
          <w:szCs w:val="24"/>
        </w:rPr>
        <w:t>pritej të vihej në punë në vitin 2011, por për shkak të problemeve teknike të gjetura gjatë fazës së testimit, Vlora TEC</w:t>
      </w:r>
      <w:r w:rsidR="005460C5" w:rsidRPr="007114AF">
        <w:rPr>
          <w:rFonts w:ascii="Garamond" w:hAnsi="Garamond"/>
          <w:sz w:val="24"/>
          <w:szCs w:val="24"/>
        </w:rPr>
        <w:t xml:space="preserve"> </w:t>
      </w:r>
      <w:r w:rsidRPr="007114AF">
        <w:rPr>
          <w:rFonts w:ascii="Garamond" w:hAnsi="Garamond"/>
          <w:sz w:val="24"/>
          <w:szCs w:val="24"/>
        </w:rPr>
        <w:t>ende nuk është vënë në punë. Konvertimi i Vlorës (TEC) në gaz natyror pritet në planet aktuale për centralin, duke pasur parasysh ndërtimin e TAP-it (Gazsjellësit Trans-Adriatik), që mund të sjellë diversifikimin e burimeve të energjisë, duke reduktuar varësinë nga kushtet hidrologjike.</w:t>
      </w:r>
    </w:p>
    <w:p w14:paraId="6EDCF4DF" w14:textId="77777777" w:rsidR="00D83CDA" w:rsidRPr="007114AF" w:rsidRDefault="00D83CDA" w:rsidP="00D83CDA">
      <w:pPr>
        <w:spacing w:after="0" w:line="240" w:lineRule="auto"/>
        <w:ind w:firstLine="284"/>
        <w:rPr>
          <w:rFonts w:ascii="Garamond" w:hAnsi="Garamond"/>
          <w:sz w:val="24"/>
          <w:szCs w:val="24"/>
        </w:rPr>
      </w:pPr>
      <w:r w:rsidRPr="007114AF">
        <w:rPr>
          <w:rFonts w:ascii="Garamond" w:hAnsi="Garamond"/>
          <w:sz w:val="24"/>
          <w:szCs w:val="24"/>
        </w:rPr>
        <w:t xml:space="preserve">Zgjerimi i ardhshëm i kapacitetit hidroenergjetik planifikohet kryesisht, përgjatë lumenjve Mat, Vjosë, Devoll dhe Bistricë. Veç kësaj, Qeveria shqiptare po fokusohet në diversifikimin e furnizimit me energji dhe promovimin e burimeve të tjera të rinovueshme të energjisë, si biomasa, energjia diellore dhe ajo e erës. </w:t>
      </w:r>
    </w:p>
    <w:p w14:paraId="6EDCF4E0" w14:textId="1F6812B9" w:rsidR="00D83CDA" w:rsidRPr="007114AF" w:rsidRDefault="00D83CDA" w:rsidP="00D83CDA">
      <w:pPr>
        <w:spacing w:after="0" w:line="240" w:lineRule="auto"/>
        <w:ind w:firstLine="284"/>
        <w:rPr>
          <w:rFonts w:ascii="Garamond" w:hAnsi="Garamond"/>
          <w:sz w:val="24"/>
          <w:szCs w:val="24"/>
        </w:rPr>
      </w:pPr>
      <w:r w:rsidRPr="007114AF">
        <w:rPr>
          <w:rFonts w:ascii="Garamond" w:hAnsi="Garamond"/>
          <w:sz w:val="24"/>
          <w:szCs w:val="24"/>
        </w:rPr>
        <w:t xml:space="preserve">Për të mbuluar nevojat, Shqipëria importon energji elektrike nga vendet fqinje, ndonëse importet kanë rënë në mënyrë progresive gjatë dhjetë viteve të fundit, duke ndjekur rritjen e gjenerimit vendas të energjisë dhe reduktimin e humbjeve të energjisë elektrike (nga 45.04% në vitin 2013 në 31.34% në fund të vitit 2015), pas disa masave të marra nga qeveria për lehtësimin e zbatimit të projektit </w:t>
      </w:r>
      <w:r w:rsidR="000A2A01" w:rsidRPr="007114AF">
        <w:rPr>
          <w:rFonts w:ascii="Garamond" w:hAnsi="Garamond"/>
          <w:sz w:val="24"/>
          <w:szCs w:val="24"/>
        </w:rPr>
        <w:t>“</w:t>
      </w:r>
      <w:r w:rsidRPr="007114AF">
        <w:rPr>
          <w:rFonts w:ascii="Garamond" w:hAnsi="Garamond"/>
          <w:sz w:val="24"/>
          <w:szCs w:val="24"/>
        </w:rPr>
        <w:t>Rimëkëmbja e Sektorit Energjetik</w:t>
      </w:r>
      <w:r w:rsidR="000A2A01" w:rsidRPr="007114AF">
        <w:rPr>
          <w:rFonts w:ascii="Garamond" w:hAnsi="Garamond"/>
          <w:sz w:val="24"/>
          <w:szCs w:val="24"/>
        </w:rPr>
        <w:t>”</w:t>
      </w:r>
      <w:r w:rsidRPr="007114AF">
        <w:rPr>
          <w:rFonts w:ascii="Garamond" w:hAnsi="Garamond"/>
          <w:sz w:val="24"/>
          <w:szCs w:val="24"/>
        </w:rPr>
        <w:t xml:space="preserve"> dhe punës riorganizuese të kohëve të fundit të kryer në rrjetet transmetim-shpërndarjes,</w:t>
      </w:r>
      <w:r w:rsidR="000A2A01" w:rsidRPr="007114AF">
        <w:rPr>
          <w:rFonts w:ascii="Garamond" w:hAnsi="Garamond"/>
          <w:sz w:val="24"/>
          <w:szCs w:val="24"/>
        </w:rPr>
        <w:t xml:space="preserve"> </w:t>
      </w:r>
      <w:r w:rsidRPr="007114AF">
        <w:rPr>
          <w:rFonts w:ascii="Garamond" w:hAnsi="Garamond"/>
          <w:sz w:val="24"/>
          <w:szCs w:val="24"/>
        </w:rPr>
        <w:t>gjatë viteve 2014-2015.</w:t>
      </w:r>
    </w:p>
    <w:p w14:paraId="6EDCF4E1" w14:textId="5364CB21" w:rsidR="00D83CDA" w:rsidRPr="007114AF" w:rsidRDefault="00D83CDA" w:rsidP="00D83CDA">
      <w:pPr>
        <w:spacing w:after="0" w:line="240" w:lineRule="auto"/>
        <w:ind w:firstLine="284"/>
        <w:rPr>
          <w:rFonts w:ascii="Garamond" w:hAnsi="Garamond"/>
          <w:sz w:val="24"/>
          <w:szCs w:val="24"/>
        </w:rPr>
      </w:pPr>
      <w:r w:rsidRPr="007114AF">
        <w:rPr>
          <w:rFonts w:ascii="Garamond" w:hAnsi="Garamond"/>
          <w:sz w:val="24"/>
          <w:szCs w:val="24"/>
        </w:rPr>
        <w:t>Në vitin 2012, konsumi total final me energji në Shqipëri arriti 79.7 PJ (Figura 4), ku energjia elektrike dhe produktet e naftës zunë afërsisht 80%. Analiza e konsumit final të energjisë nga lëndët djegëse zbulon mbizotërimin</w:t>
      </w:r>
      <w:r w:rsidR="005460C5" w:rsidRPr="007114AF">
        <w:rPr>
          <w:rFonts w:ascii="Garamond" w:hAnsi="Garamond"/>
          <w:sz w:val="24"/>
          <w:szCs w:val="24"/>
        </w:rPr>
        <w:t xml:space="preserve"> </w:t>
      </w:r>
      <w:r w:rsidRPr="007114AF">
        <w:rPr>
          <w:rFonts w:ascii="Garamond" w:hAnsi="Garamond"/>
          <w:sz w:val="24"/>
          <w:szCs w:val="24"/>
        </w:rPr>
        <w:t>e produkteve të naftës. Nga vitit 1990 deri në 1995, mund të vërehet një rënie e mprehtë në kontributin e lëndëve djegëse të ngurta, pra qymyrit dhe gazit natyror. Qymyri u përdor për të mbuluar një pjesë të madhe të konsumit total final të vendit, por pjesa e tij u reduktua në fillim të vitit 1990. Biomasa,</w:t>
      </w:r>
      <w:r w:rsidR="005460C5" w:rsidRPr="007114AF">
        <w:rPr>
          <w:rFonts w:ascii="Garamond" w:hAnsi="Garamond"/>
          <w:sz w:val="24"/>
          <w:szCs w:val="24"/>
        </w:rPr>
        <w:t xml:space="preserve"> </w:t>
      </w:r>
      <w:r w:rsidRPr="007114AF">
        <w:rPr>
          <w:rFonts w:ascii="Garamond" w:hAnsi="Garamond"/>
          <w:sz w:val="24"/>
          <w:szCs w:val="24"/>
        </w:rPr>
        <w:t xml:space="preserve">kryesisht dru zjarri – ka luajtur një rol me rëndësi ndër vite, duke qenë burimi kryesor i energjisë së përdorur për ngrohje mjedisi dhe gatim, kryesisht në banesat rurale. </w:t>
      </w:r>
    </w:p>
    <w:p w14:paraId="6EDCF4E2" w14:textId="77777777" w:rsidR="00220111" w:rsidRPr="007114AF" w:rsidRDefault="00220111" w:rsidP="00D83CDA">
      <w:pPr>
        <w:spacing w:after="0" w:line="240" w:lineRule="auto"/>
        <w:ind w:firstLine="284"/>
        <w:rPr>
          <w:rFonts w:ascii="Garamond" w:hAnsi="Garamond"/>
          <w:sz w:val="24"/>
          <w:szCs w:val="24"/>
        </w:rPr>
      </w:pPr>
    </w:p>
    <w:p w14:paraId="6EDCF4E3" w14:textId="77777777" w:rsidR="00220111" w:rsidRPr="007114AF" w:rsidRDefault="00220111" w:rsidP="00D83CDA">
      <w:pPr>
        <w:spacing w:after="0" w:line="240" w:lineRule="auto"/>
        <w:ind w:firstLine="284"/>
        <w:rPr>
          <w:rFonts w:ascii="Garamond" w:hAnsi="Garamond"/>
          <w:sz w:val="24"/>
          <w:szCs w:val="24"/>
        </w:rPr>
      </w:pPr>
    </w:p>
    <w:p w14:paraId="6EDCF4E4" w14:textId="77777777" w:rsidR="00220111" w:rsidRPr="007114AF" w:rsidRDefault="00220111" w:rsidP="00D83CDA">
      <w:pPr>
        <w:spacing w:after="0" w:line="240" w:lineRule="auto"/>
        <w:ind w:firstLine="284"/>
        <w:rPr>
          <w:rFonts w:ascii="Garamond" w:hAnsi="Garamond"/>
          <w:sz w:val="24"/>
          <w:szCs w:val="24"/>
        </w:rPr>
      </w:pPr>
    </w:p>
    <w:p w14:paraId="6EDCF4E5" w14:textId="77777777" w:rsidR="00220111" w:rsidRPr="007114AF" w:rsidRDefault="00220111" w:rsidP="00220111">
      <w:pPr>
        <w:spacing w:after="200"/>
        <w:rPr>
          <w:rFonts w:ascii="Garamond" w:hAnsi="Garamond"/>
        </w:rPr>
      </w:pPr>
    </w:p>
    <w:tbl>
      <w:tblPr>
        <w:tblpPr w:leftFromText="180" w:rightFromText="180" w:vertAnchor="text" w:horzAnchor="margin" w:tblpY="-74"/>
        <w:tblW w:w="9498" w:type="dxa"/>
        <w:tblLayout w:type="fixed"/>
        <w:tblLook w:val="00A0" w:firstRow="1" w:lastRow="0" w:firstColumn="1" w:lastColumn="0" w:noHBand="0" w:noVBand="0"/>
      </w:tblPr>
      <w:tblGrid>
        <w:gridCol w:w="4750"/>
        <w:gridCol w:w="4748"/>
      </w:tblGrid>
      <w:tr w:rsidR="00220111" w:rsidRPr="007114AF" w14:paraId="6EDCF4EA" w14:textId="77777777" w:rsidTr="008F17E8">
        <w:trPr>
          <w:trHeight w:val="3937"/>
        </w:trPr>
        <w:tc>
          <w:tcPr>
            <w:tcW w:w="4750" w:type="dxa"/>
            <w:hideMark/>
          </w:tcPr>
          <w:p w14:paraId="6EDCF4E6" w14:textId="77777777" w:rsidR="00220111" w:rsidRPr="007114AF" w:rsidRDefault="00220111" w:rsidP="008F17E8">
            <w:pPr>
              <w:rPr>
                <w:rFonts w:ascii="Garamond" w:hAnsi="Garamond"/>
              </w:rPr>
            </w:pPr>
            <w:r w:rsidRPr="007114AF">
              <w:rPr>
                <w:rFonts w:ascii="Garamond" w:hAnsi="Garamond"/>
                <w:noProof/>
                <w:lang w:val="en-US" w:eastAsia="en-US"/>
              </w:rPr>
              <w:drawing>
                <wp:inline distT="0" distB="0" distL="0" distR="0" wp14:anchorId="6EDD178A" wp14:editId="6EDD178B">
                  <wp:extent cx="2846567" cy="2560320"/>
                  <wp:effectExtent l="0" t="0" r="0" b="0"/>
                  <wp:docPr id="1" name="Immagin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851150" cy="2564442"/>
                          </a:xfrm>
                          <a:prstGeom prst="rect">
                            <a:avLst/>
                          </a:prstGeom>
                          <a:noFill/>
                          <a:ln>
                            <a:noFill/>
                          </a:ln>
                        </pic:spPr>
                      </pic:pic>
                    </a:graphicData>
                  </a:graphic>
                </wp:inline>
              </w:drawing>
            </w:r>
          </w:p>
          <w:p w14:paraId="6EDCF4E7" w14:textId="513896AF" w:rsidR="00220111" w:rsidRPr="007114AF" w:rsidRDefault="00220111" w:rsidP="000327A8">
            <w:pPr>
              <w:pStyle w:val="FIGURA"/>
              <w:rPr>
                <w:sz w:val="20"/>
                <w:szCs w:val="20"/>
              </w:rPr>
            </w:pPr>
            <w:r w:rsidRPr="007114AF">
              <w:rPr>
                <w:sz w:val="20"/>
                <w:szCs w:val="20"/>
              </w:rPr>
              <w:t>Figura</w:t>
            </w:r>
            <w:r w:rsidR="00164B6B" w:rsidRPr="007114AF">
              <w:rPr>
                <w:sz w:val="20"/>
                <w:szCs w:val="20"/>
              </w:rPr>
              <w:t xml:space="preserve"> </w:t>
            </w:r>
            <w:r w:rsidRPr="007114AF">
              <w:rPr>
                <w:sz w:val="20"/>
                <w:szCs w:val="20"/>
              </w:rPr>
              <w:fldChar w:fldCharType="begin"/>
            </w:r>
            <w:r w:rsidRPr="007114AF">
              <w:rPr>
                <w:sz w:val="20"/>
                <w:szCs w:val="20"/>
              </w:rPr>
              <w:instrText xml:space="preserve"> SEQ Figure \* ARABIC </w:instrText>
            </w:r>
            <w:r w:rsidRPr="007114AF">
              <w:rPr>
                <w:sz w:val="20"/>
                <w:szCs w:val="20"/>
              </w:rPr>
              <w:fldChar w:fldCharType="separate"/>
            </w:r>
            <w:r w:rsidRPr="007114AF">
              <w:rPr>
                <w:sz w:val="20"/>
                <w:szCs w:val="20"/>
              </w:rPr>
              <w:t>6</w:t>
            </w:r>
            <w:r w:rsidRPr="007114AF">
              <w:rPr>
                <w:sz w:val="20"/>
                <w:szCs w:val="20"/>
              </w:rPr>
              <w:fldChar w:fldCharType="end"/>
            </w:r>
            <w:r w:rsidR="00527188">
              <w:rPr>
                <w:sz w:val="20"/>
                <w:szCs w:val="20"/>
              </w:rPr>
              <w:t xml:space="preserve"> </w:t>
            </w:r>
            <w:r w:rsidRPr="007114AF">
              <w:rPr>
                <w:sz w:val="20"/>
                <w:szCs w:val="20"/>
              </w:rPr>
              <w:t>–</w:t>
            </w:r>
            <w:r w:rsidR="00527188">
              <w:rPr>
                <w:sz w:val="20"/>
                <w:szCs w:val="20"/>
              </w:rPr>
              <w:t xml:space="preserve"> </w:t>
            </w:r>
            <w:r w:rsidRPr="007114AF">
              <w:rPr>
                <w:sz w:val="20"/>
                <w:szCs w:val="20"/>
              </w:rPr>
              <w:t xml:space="preserve">Konsumi </w:t>
            </w:r>
            <w:r w:rsidRPr="007114AF">
              <w:rPr>
                <w:rFonts w:eastAsia="Calibri"/>
                <w:sz w:val="20"/>
                <w:szCs w:val="20"/>
                <w:lang w:eastAsia="en-US"/>
              </w:rPr>
              <w:t>Final i Energjisë nga Lëndët Djegëse (Burimi: AKBN, 2012)</w:t>
            </w:r>
          </w:p>
        </w:tc>
        <w:tc>
          <w:tcPr>
            <w:tcW w:w="4748" w:type="dxa"/>
            <w:hideMark/>
          </w:tcPr>
          <w:p w14:paraId="6EDCF4E8" w14:textId="77777777" w:rsidR="00220111" w:rsidRPr="007114AF" w:rsidRDefault="00220111" w:rsidP="008F17E8">
            <w:pPr>
              <w:rPr>
                <w:rFonts w:ascii="Garamond" w:hAnsi="Garamond"/>
              </w:rPr>
            </w:pPr>
            <w:r w:rsidRPr="007114AF">
              <w:rPr>
                <w:rFonts w:ascii="Garamond" w:hAnsi="Garamond"/>
                <w:noProof/>
                <w:lang w:val="en-US" w:eastAsia="en-US"/>
              </w:rPr>
              <w:drawing>
                <wp:inline distT="0" distB="0" distL="0" distR="0" wp14:anchorId="6EDD178C" wp14:editId="6EDD178D">
                  <wp:extent cx="2876550" cy="2565400"/>
                  <wp:effectExtent l="0" t="0" r="0" b="6350"/>
                  <wp:docPr id="3" name="Immagin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876550" cy="2565400"/>
                          </a:xfrm>
                          <a:prstGeom prst="rect">
                            <a:avLst/>
                          </a:prstGeom>
                          <a:noFill/>
                          <a:ln>
                            <a:noFill/>
                          </a:ln>
                        </pic:spPr>
                      </pic:pic>
                    </a:graphicData>
                  </a:graphic>
                </wp:inline>
              </w:drawing>
            </w:r>
          </w:p>
          <w:p w14:paraId="6EDCF4E9" w14:textId="3CDBEF34" w:rsidR="00220111" w:rsidRPr="007114AF" w:rsidRDefault="00220111" w:rsidP="000327A8">
            <w:pPr>
              <w:pStyle w:val="FIGURA"/>
              <w:rPr>
                <w:sz w:val="20"/>
                <w:szCs w:val="20"/>
              </w:rPr>
            </w:pPr>
            <w:r w:rsidRPr="007114AF">
              <w:rPr>
                <w:sz w:val="20"/>
                <w:szCs w:val="20"/>
              </w:rPr>
              <w:t>Figura</w:t>
            </w:r>
            <w:r w:rsidR="00164B6B" w:rsidRPr="007114AF">
              <w:rPr>
                <w:sz w:val="20"/>
                <w:szCs w:val="20"/>
              </w:rPr>
              <w:t xml:space="preserve"> </w:t>
            </w:r>
            <w:r w:rsidRPr="007114AF">
              <w:rPr>
                <w:sz w:val="20"/>
                <w:szCs w:val="20"/>
              </w:rPr>
              <w:fldChar w:fldCharType="begin"/>
            </w:r>
            <w:r w:rsidRPr="007114AF">
              <w:rPr>
                <w:sz w:val="20"/>
                <w:szCs w:val="20"/>
              </w:rPr>
              <w:instrText xml:space="preserve"> SEQ Figure \* ARABIC </w:instrText>
            </w:r>
            <w:r w:rsidRPr="007114AF">
              <w:rPr>
                <w:sz w:val="20"/>
                <w:szCs w:val="20"/>
              </w:rPr>
              <w:fldChar w:fldCharType="separate"/>
            </w:r>
            <w:r w:rsidRPr="007114AF">
              <w:rPr>
                <w:sz w:val="20"/>
                <w:szCs w:val="20"/>
              </w:rPr>
              <w:t>7</w:t>
            </w:r>
            <w:r w:rsidRPr="007114AF">
              <w:rPr>
                <w:sz w:val="20"/>
                <w:szCs w:val="20"/>
              </w:rPr>
              <w:fldChar w:fldCharType="end"/>
            </w:r>
            <w:r w:rsidR="00527188">
              <w:rPr>
                <w:sz w:val="20"/>
                <w:szCs w:val="20"/>
              </w:rPr>
              <w:t xml:space="preserve"> </w:t>
            </w:r>
            <w:r w:rsidRPr="007114AF">
              <w:rPr>
                <w:sz w:val="20"/>
                <w:szCs w:val="20"/>
              </w:rPr>
              <w:t>–</w:t>
            </w:r>
            <w:r w:rsidR="00527188">
              <w:rPr>
                <w:sz w:val="20"/>
                <w:szCs w:val="20"/>
              </w:rPr>
              <w:t xml:space="preserve"> </w:t>
            </w:r>
            <w:r w:rsidRPr="007114AF">
              <w:rPr>
                <w:sz w:val="20"/>
                <w:szCs w:val="20"/>
              </w:rPr>
              <w:t xml:space="preserve">Konsumi </w:t>
            </w:r>
            <w:r w:rsidRPr="007114AF">
              <w:rPr>
                <w:rFonts w:eastAsia="Calibri"/>
                <w:sz w:val="20"/>
                <w:szCs w:val="20"/>
                <w:lang w:eastAsia="en-US"/>
              </w:rPr>
              <w:t>Final i Energjisë sipas Sektorëve (Burimi: AKBN, 2012)</w:t>
            </w:r>
          </w:p>
        </w:tc>
      </w:tr>
      <w:tr w:rsidR="00220111" w:rsidRPr="007114AF" w14:paraId="6EDCF4ED" w14:textId="77777777" w:rsidTr="008F17E8">
        <w:trPr>
          <w:trHeight w:val="643"/>
        </w:trPr>
        <w:tc>
          <w:tcPr>
            <w:tcW w:w="4750" w:type="dxa"/>
            <w:vAlign w:val="center"/>
          </w:tcPr>
          <w:p w14:paraId="6EDCF4EB" w14:textId="77777777" w:rsidR="00220111" w:rsidRPr="007114AF" w:rsidRDefault="00220111" w:rsidP="008F17E8">
            <w:pPr>
              <w:pStyle w:val="Caption"/>
              <w:rPr>
                <w:rFonts w:ascii="Garamond" w:eastAsia="Calibri" w:hAnsi="Garamond"/>
                <w:lang w:eastAsia="en-US"/>
              </w:rPr>
            </w:pPr>
          </w:p>
        </w:tc>
        <w:tc>
          <w:tcPr>
            <w:tcW w:w="4748" w:type="dxa"/>
          </w:tcPr>
          <w:p w14:paraId="6EDCF4EC" w14:textId="77777777" w:rsidR="00220111" w:rsidRPr="007114AF" w:rsidRDefault="00220111" w:rsidP="008F17E8">
            <w:pPr>
              <w:pStyle w:val="Caption"/>
              <w:rPr>
                <w:rFonts w:ascii="Garamond" w:eastAsia="Calibri" w:hAnsi="Garamond"/>
                <w:lang w:eastAsia="en-US"/>
              </w:rPr>
            </w:pPr>
          </w:p>
        </w:tc>
      </w:tr>
      <w:tr w:rsidR="00220111" w:rsidRPr="007114AF" w14:paraId="6EDCF4F2" w14:textId="77777777" w:rsidTr="008F17E8">
        <w:trPr>
          <w:trHeight w:val="3937"/>
        </w:trPr>
        <w:tc>
          <w:tcPr>
            <w:tcW w:w="4750" w:type="dxa"/>
            <w:hideMark/>
          </w:tcPr>
          <w:p w14:paraId="6EDCF4EE" w14:textId="77777777" w:rsidR="00220111" w:rsidRPr="007114AF" w:rsidRDefault="00220111" w:rsidP="008F17E8">
            <w:pPr>
              <w:spacing w:after="200"/>
              <w:rPr>
                <w:rFonts w:ascii="Garamond" w:hAnsi="Garamond"/>
              </w:rPr>
            </w:pPr>
            <w:r w:rsidRPr="007114AF">
              <w:rPr>
                <w:rFonts w:ascii="Garamond" w:hAnsi="Garamond"/>
                <w:noProof/>
                <w:lang w:val="en-US" w:eastAsia="en-US"/>
              </w:rPr>
              <w:drawing>
                <wp:inline distT="0" distB="0" distL="0" distR="0" wp14:anchorId="6EDD178E" wp14:editId="6EDD178F">
                  <wp:extent cx="2943225" cy="3101340"/>
                  <wp:effectExtent l="0" t="0" r="9525" b="381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943225" cy="3101340"/>
                          </a:xfrm>
                          <a:prstGeom prst="rect">
                            <a:avLst/>
                          </a:prstGeom>
                          <a:noFill/>
                        </pic:spPr>
                      </pic:pic>
                    </a:graphicData>
                  </a:graphic>
                </wp:inline>
              </w:drawing>
            </w:r>
          </w:p>
          <w:p w14:paraId="6EDCF4EF" w14:textId="7B7585DB" w:rsidR="00220111" w:rsidRPr="007114AF" w:rsidRDefault="00220111" w:rsidP="00164B6B">
            <w:pPr>
              <w:pStyle w:val="FIGURA"/>
              <w:rPr>
                <w:sz w:val="20"/>
                <w:szCs w:val="20"/>
              </w:rPr>
            </w:pPr>
            <w:r w:rsidRPr="007114AF">
              <w:rPr>
                <w:sz w:val="20"/>
                <w:szCs w:val="20"/>
              </w:rPr>
              <w:t>Figura</w:t>
            </w:r>
            <w:r w:rsidR="00164B6B" w:rsidRPr="007114AF">
              <w:rPr>
                <w:sz w:val="20"/>
                <w:szCs w:val="20"/>
              </w:rPr>
              <w:t xml:space="preserve"> </w:t>
            </w:r>
            <w:r w:rsidRPr="007114AF">
              <w:rPr>
                <w:sz w:val="20"/>
                <w:szCs w:val="20"/>
              </w:rPr>
              <w:fldChar w:fldCharType="begin"/>
            </w:r>
            <w:r w:rsidRPr="007114AF">
              <w:rPr>
                <w:sz w:val="20"/>
                <w:szCs w:val="20"/>
              </w:rPr>
              <w:instrText xml:space="preserve"> SEQ Figure \* ARABIC </w:instrText>
            </w:r>
            <w:r w:rsidRPr="007114AF">
              <w:rPr>
                <w:sz w:val="20"/>
                <w:szCs w:val="20"/>
              </w:rPr>
              <w:fldChar w:fldCharType="separate"/>
            </w:r>
            <w:r w:rsidRPr="007114AF">
              <w:rPr>
                <w:sz w:val="20"/>
                <w:szCs w:val="20"/>
              </w:rPr>
              <w:t>8</w:t>
            </w:r>
            <w:r w:rsidRPr="007114AF">
              <w:rPr>
                <w:sz w:val="20"/>
                <w:szCs w:val="20"/>
              </w:rPr>
              <w:fldChar w:fldCharType="end"/>
            </w:r>
            <w:r w:rsidR="00527188">
              <w:rPr>
                <w:sz w:val="20"/>
                <w:szCs w:val="20"/>
              </w:rPr>
              <w:t xml:space="preserve"> </w:t>
            </w:r>
            <w:r w:rsidRPr="007114AF">
              <w:rPr>
                <w:sz w:val="20"/>
                <w:szCs w:val="20"/>
              </w:rPr>
              <w:t>–</w:t>
            </w:r>
            <w:r w:rsidR="00527188">
              <w:rPr>
                <w:sz w:val="20"/>
                <w:szCs w:val="20"/>
              </w:rPr>
              <w:t xml:space="preserve"> </w:t>
            </w:r>
            <w:r w:rsidRPr="007114AF">
              <w:rPr>
                <w:sz w:val="20"/>
                <w:szCs w:val="20"/>
              </w:rPr>
              <w:t xml:space="preserve">Konsumi </w:t>
            </w:r>
            <w:r w:rsidRPr="007114AF">
              <w:rPr>
                <w:rFonts w:eastAsia="Calibri"/>
                <w:sz w:val="20"/>
                <w:szCs w:val="20"/>
                <w:lang w:eastAsia="en-US"/>
              </w:rPr>
              <w:t xml:space="preserve">Final i Energjisë sipas Lëndës Djegëse (Burimi: AKBN – Balancat Vjetore të Energjisë –përfshirë gjithë produktet e naftës) </w:t>
            </w:r>
          </w:p>
        </w:tc>
        <w:tc>
          <w:tcPr>
            <w:tcW w:w="4748" w:type="dxa"/>
            <w:hideMark/>
          </w:tcPr>
          <w:p w14:paraId="6EDCF4F0" w14:textId="77777777" w:rsidR="00220111" w:rsidRPr="007114AF" w:rsidRDefault="00220111" w:rsidP="008F17E8">
            <w:pPr>
              <w:spacing w:after="200"/>
              <w:rPr>
                <w:rFonts w:ascii="Garamond" w:hAnsi="Garamond"/>
              </w:rPr>
            </w:pPr>
            <w:r w:rsidRPr="007114AF">
              <w:rPr>
                <w:rFonts w:ascii="Garamond" w:hAnsi="Garamond"/>
                <w:noProof/>
                <w:lang w:val="en-US" w:eastAsia="en-US"/>
              </w:rPr>
              <w:drawing>
                <wp:inline distT="0" distB="0" distL="0" distR="0" wp14:anchorId="6EDD1790" wp14:editId="6EDD1791">
                  <wp:extent cx="3032760" cy="31242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032760" cy="3124200"/>
                          </a:xfrm>
                          <a:prstGeom prst="rect">
                            <a:avLst/>
                          </a:prstGeom>
                          <a:noFill/>
                        </pic:spPr>
                      </pic:pic>
                    </a:graphicData>
                  </a:graphic>
                </wp:inline>
              </w:drawing>
            </w:r>
          </w:p>
          <w:p w14:paraId="6EDCF4F1" w14:textId="53E9FA77" w:rsidR="00220111" w:rsidRPr="007114AF" w:rsidRDefault="00220111" w:rsidP="000327A8">
            <w:pPr>
              <w:pStyle w:val="FIGURA"/>
              <w:rPr>
                <w:sz w:val="20"/>
                <w:szCs w:val="20"/>
              </w:rPr>
            </w:pPr>
            <w:r w:rsidRPr="007114AF">
              <w:rPr>
                <w:sz w:val="20"/>
                <w:szCs w:val="20"/>
              </w:rPr>
              <w:t>Figura</w:t>
            </w:r>
            <w:r w:rsidR="00164B6B" w:rsidRPr="007114AF">
              <w:rPr>
                <w:sz w:val="20"/>
                <w:szCs w:val="20"/>
              </w:rPr>
              <w:t xml:space="preserve"> </w:t>
            </w:r>
            <w:r w:rsidRPr="007114AF">
              <w:rPr>
                <w:sz w:val="20"/>
                <w:szCs w:val="20"/>
              </w:rPr>
              <w:fldChar w:fldCharType="begin"/>
            </w:r>
            <w:r w:rsidRPr="007114AF">
              <w:rPr>
                <w:sz w:val="20"/>
                <w:szCs w:val="20"/>
              </w:rPr>
              <w:instrText xml:space="preserve"> SEQ Figure \* ARABIC </w:instrText>
            </w:r>
            <w:r w:rsidRPr="007114AF">
              <w:rPr>
                <w:sz w:val="20"/>
                <w:szCs w:val="20"/>
              </w:rPr>
              <w:fldChar w:fldCharType="separate"/>
            </w:r>
            <w:r w:rsidRPr="007114AF">
              <w:rPr>
                <w:sz w:val="20"/>
                <w:szCs w:val="20"/>
              </w:rPr>
              <w:t>9</w:t>
            </w:r>
            <w:r w:rsidRPr="007114AF">
              <w:rPr>
                <w:sz w:val="20"/>
                <w:szCs w:val="20"/>
              </w:rPr>
              <w:fldChar w:fldCharType="end"/>
            </w:r>
            <w:r w:rsidRPr="007114AF">
              <w:rPr>
                <w:sz w:val="20"/>
                <w:szCs w:val="20"/>
              </w:rPr>
              <w:t xml:space="preserve"> </w:t>
            </w:r>
            <w:r w:rsidR="00527188">
              <w:rPr>
                <w:sz w:val="20"/>
                <w:szCs w:val="20"/>
              </w:rPr>
              <w:t>–</w:t>
            </w:r>
            <w:r w:rsidR="000A2A01" w:rsidRPr="007114AF">
              <w:rPr>
                <w:sz w:val="20"/>
                <w:szCs w:val="20"/>
              </w:rPr>
              <w:t xml:space="preserve"> </w:t>
            </w:r>
            <w:r w:rsidRPr="007114AF">
              <w:rPr>
                <w:sz w:val="20"/>
                <w:szCs w:val="20"/>
              </w:rPr>
              <w:t xml:space="preserve">Konsumi </w:t>
            </w:r>
            <w:r w:rsidRPr="007114AF">
              <w:rPr>
                <w:rFonts w:eastAsia="Calibri"/>
                <w:sz w:val="20"/>
                <w:szCs w:val="20"/>
                <w:lang w:eastAsia="en-US"/>
              </w:rPr>
              <w:t>Final i Energjisë sipas Lëndës Djegëse (Burimi: AKBN – Balancat Vjetore të Energjisë –</w:t>
            </w:r>
            <w:r w:rsidR="00527188">
              <w:rPr>
                <w:rFonts w:eastAsia="Calibri"/>
                <w:sz w:val="20"/>
                <w:szCs w:val="20"/>
                <w:lang w:eastAsia="en-US"/>
              </w:rPr>
              <w:t xml:space="preserve"> </w:t>
            </w:r>
            <w:r w:rsidRPr="007114AF">
              <w:rPr>
                <w:rFonts w:eastAsia="Calibri"/>
                <w:sz w:val="20"/>
                <w:szCs w:val="20"/>
                <w:lang w:eastAsia="en-US"/>
              </w:rPr>
              <w:t>përfshirë vetëm produktet e naftës të përdorura për qëllime të energjisë)</w:t>
            </w:r>
          </w:p>
        </w:tc>
      </w:tr>
      <w:tr w:rsidR="00220111" w:rsidRPr="007114AF" w14:paraId="6EDCF4F7" w14:textId="77777777" w:rsidTr="008F17E8">
        <w:trPr>
          <w:trHeight w:val="643"/>
        </w:trPr>
        <w:tc>
          <w:tcPr>
            <w:tcW w:w="4750" w:type="dxa"/>
            <w:vAlign w:val="center"/>
            <w:hideMark/>
          </w:tcPr>
          <w:p w14:paraId="6EDCF4F3" w14:textId="77777777" w:rsidR="00220111" w:rsidRPr="007114AF" w:rsidRDefault="00220111" w:rsidP="008F17E8">
            <w:pPr>
              <w:pStyle w:val="Caption"/>
              <w:rPr>
                <w:rFonts w:ascii="Garamond" w:hAnsi="Garamond"/>
              </w:rPr>
            </w:pPr>
            <w:r w:rsidRPr="007114AF">
              <w:rPr>
                <w:rFonts w:ascii="Garamond" w:hAnsi="Garamond"/>
                <w:noProof/>
                <w:lang w:val="en-US" w:eastAsia="en-US"/>
              </w:rPr>
              <w:lastRenderedPageBreak/>
              <w:drawing>
                <wp:inline distT="0" distB="0" distL="0" distR="0" wp14:anchorId="6EDD1792" wp14:editId="6EDD1793">
                  <wp:extent cx="2827020" cy="2750820"/>
                  <wp:effectExtent l="0" t="0" r="0" b="0"/>
                  <wp:docPr id="255" name="Picture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827020" cy="2750820"/>
                          </a:xfrm>
                          <a:prstGeom prst="rect">
                            <a:avLst/>
                          </a:prstGeom>
                          <a:noFill/>
                        </pic:spPr>
                      </pic:pic>
                    </a:graphicData>
                  </a:graphic>
                </wp:inline>
              </w:drawing>
            </w:r>
          </w:p>
          <w:p w14:paraId="6EDCF4F4" w14:textId="10978D6A" w:rsidR="00220111" w:rsidRPr="007114AF" w:rsidRDefault="00220111" w:rsidP="00E8339F">
            <w:pPr>
              <w:pStyle w:val="FIGURA"/>
              <w:rPr>
                <w:sz w:val="20"/>
                <w:szCs w:val="20"/>
              </w:rPr>
            </w:pPr>
            <w:r w:rsidRPr="007114AF">
              <w:rPr>
                <w:sz w:val="20"/>
                <w:szCs w:val="20"/>
              </w:rPr>
              <w:t>Figura</w:t>
            </w:r>
            <w:r w:rsidR="00164B6B" w:rsidRPr="007114AF">
              <w:rPr>
                <w:sz w:val="20"/>
                <w:szCs w:val="20"/>
              </w:rPr>
              <w:t xml:space="preserve"> </w:t>
            </w:r>
            <w:r w:rsidRPr="007114AF">
              <w:rPr>
                <w:sz w:val="20"/>
                <w:szCs w:val="20"/>
              </w:rPr>
              <w:fldChar w:fldCharType="begin"/>
            </w:r>
            <w:r w:rsidRPr="007114AF">
              <w:rPr>
                <w:sz w:val="20"/>
                <w:szCs w:val="20"/>
              </w:rPr>
              <w:instrText xml:space="preserve"> SEQ Figure \* ARABIC </w:instrText>
            </w:r>
            <w:r w:rsidRPr="007114AF">
              <w:rPr>
                <w:sz w:val="20"/>
                <w:szCs w:val="20"/>
              </w:rPr>
              <w:fldChar w:fldCharType="separate"/>
            </w:r>
            <w:r w:rsidRPr="007114AF">
              <w:rPr>
                <w:sz w:val="20"/>
                <w:szCs w:val="20"/>
              </w:rPr>
              <w:t>10</w:t>
            </w:r>
            <w:r w:rsidRPr="007114AF">
              <w:rPr>
                <w:sz w:val="20"/>
                <w:szCs w:val="20"/>
              </w:rPr>
              <w:fldChar w:fldCharType="end"/>
            </w:r>
            <w:r w:rsidRPr="007114AF">
              <w:rPr>
                <w:sz w:val="20"/>
                <w:szCs w:val="20"/>
              </w:rPr>
              <w:t xml:space="preserve"> </w:t>
            </w:r>
            <w:r w:rsidR="00E8339F" w:rsidRPr="007114AF">
              <w:rPr>
                <w:sz w:val="20"/>
                <w:szCs w:val="20"/>
              </w:rPr>
              <w:t>–</w:t>
            </w:r>
            <w:r w:rsidR="000A2A01" w:rsidRPr="007114AF">
              <w:rPr>
                <w:sz w:val="20"/>
                <w:szCs w:val="20"/>
              </w:rPr>
              <w:t xml:space="preserve"> </w:t>
            </w:r>
            <w:r w:rsidRPr="007114AF">
              <w:rPr>
                <w:sz w:val="20"/>
                <w:szCs w:val="20"/>
              </w:rPr>
              <w:t>Konsumi</w:t>
            </w:r>
            <w:r w:rsidR="00E8339F" w:rsidRPr="007114AF">
              <w:rPr>
                <w:sz w:val="20"/>
                <w:szCs w:val="20"/>
              </w:rPr>
              <w:t xml:space="preserve"> </w:t>
            </w:r>
            <w:r w:rsidRPr="007114AF">
              <w:rPr>
                <w:sz w:val="20"/>
                <w:szCs w:val="20"/>
              </w:rPr>
              <w:t>Final i Energjisë sipas Lëndës Djegëse (Burimi: AKBN – Balancat Vjetore të Energjisë)</w:t>
            </w:r>
          </w:p>
        </w:tc>
        <w:tc>
          <w:tcPr>
            <w:tcW w:w="4748" w:type="dxa"/>
            <w:hideMark/>
          </w:tcPr>
          <w:p w14:paraId="6EDCF4F5" w14:textId="77777777" w:rsidR="00220111" w:rsidRPr="007114AF" w:rsidRDefault="00220111" w:rsidP="008F17E8">
            <w:pPr>
              <w:pStyle w:val="Caption"/>
              <w:rPr>
                <w:rFonts w:ascii="Garamond" w:hAnsi="Garamond"/>
              </w:rPr>
            </w:pPr>
            <w:r w:rsidRPr="007114AF">
              <w:rPr>
                <w:rFonts w:ascii="Garamond" w:hAnsi="Garamond"/>
                <w:noProof/>
                <w:lang w:val="en-US" w:eastAsia="en-US"/>
              </w:rPr>
              <w:drawing>
                <wp:inline distT="0" distB="0" distL="0" distR="0" wp14:anchorId="6EDD1794" wp14:editId="6EDD1795">
                  <wp:extent cx="2819400" cy="2743200"/>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819400" cy="2743200"/>
                          </a:xfrm>
                          <a:prstGeom prst="rect">
                            <a:avLst/>
                          </a:prstGeom>
                          <a:noFill/>
                        </pic:spPr>
                      </pic:pic>
                    </a:graphicData>
                  </a:graphic>
                </wp:inline>
              </w:drawing>
            </w:r>
          </w:p>
          <w:p w14:paraId="6EDCF4F6" w14:textId="52223030" w:rsidR="00220111" w:rsidRPr="007114AF" w:rsidRDefault="00220111" w:rsidP="000327A8">
            <w:pPr>
              <w:pStyle w:val="FIGURA"/>
              <w:rPr>
                <w:sz w:val="20"/>
                <w:szCs w:val="20"/>
              </w:rPr>
            </w:pPr>
            <w:r w:rsidRPr="007114AF">
              <w:rPr>
                <w:sz w:val="20"/>
                <w:szCs w:val="20"/>
              </w:rPr>
              <w:t>Figura</w:t>
            </w:r>
            <w:r w:rsidR="00164B6B" w:rsidRPr="007114AF">
              <w:rPr>
                <w:sz w:val="20"/>
                <w:szCs w:val="20"/>
              </w:rPr>
              <w:t xml:space="preserve"> </w:t>
            </w:r>
            <w:r w:rsidRPr="007114AF">
              <w:rPr>
                <w:sz w:val="20"/>
                <w:szCs w:val="20"/>
              </w:rPr>
              <w:fldChar w:fldCharType="begin"/>
            </w:r>
            <w:r w:rsidRPr="007114AF">
              <w:rPr>
                <w:sz w:val="20"/>
                <w:szCs w:val="20"/>
              </w:rPr>
              <w:instrText xml:space="preserve"> SEQ Figure \* ARABIC </w:instrText>
            </w:r>
            <w:r w:rsidRPr="007114AF">
              <w:rPr>
                <w:sz w:val="20"/>
                <w:szCs w:val="20"/>
              </w:rPr>
              <w:fldChar w:fldCharType="separate"/>
            </w:r>
            <w:r w:rsidRPr="007114AF">
              <w:rPr>
                <w:sz w:val="20"/>
                <w:szCs w:val="20"/>
              </w:rPr>
              <w:t>11</w:t>
            </w:r>
            <w:r w:rsidRPr="007114AF">
              <w:rPr>
                <w:sz w:val="20"/>
                <w:szCs w:val="20"/>
              </w:rPr>
              <w:fldChar w:fldCharType="end"/>
            </w:r>
            <w:r w:rsidR="00E8339F" w:rsidRPr="007114AF">
              <w:rPr>
                <w:sz w:val="20"/>
                <w:szCs w:val="20"/>
              </w:rPr>
              <w:t xml:space="preserve"> </w:t>
            </w:r>
            <w:r w:rsidRPr="007114AF">
              <w:rPr>
                <w:sz w:val="20"/>
                <w:szCs w:val="20"/>
              </w:rPr>
              <w:t>–</w:t>
            </w:r>
            <w:r w:rsidR="00E8339F" w:rsidRPr="007114AF">
              <w:rPr>
                <w:sz w:val="20"/>
                <w:szCs w:val="20"/>
              </w:rPr>
              <w:t xml:space="preserve"> </w:t>
            </w:r>
            <w:r w:rsidRPr="007114AF">
              <w:rPr>
                <w:sz w:val="20"/>
                <w:szCs w:val="20"/>
              </w:rPr>
              <w:t>Pjesët e Konsumit Final të Energjisë sipas Sektorëve (Burimi: AKBN – 2014 -</w:t>
            </w:r>
            <w:r w:rsidR="000A2A01" w:rsidRPr="007114AF">
              <w:rPr>
                <w:sz w:val="20"/>
                <w:szCs w:val="20"/>
              </w:rPr>
              <w:t xml:space="preserve"> </w:t>
            </w:r>
            <w:r w:rsidRPr="007114AF">
              <w:rPr>
                <w:sz w:val="20"/>
                <w:szCs w:val="20"/>
              </w:rPr>
              <w:t>Balancat Vjetore të Energjisë)</w:t>
            </w:r>
          </w:p>
        </w:tc>
      </w:tr>
    </w:tbl>
    <w:p w14:paraId="6EDCF4F8" w14:textId="77777777" w:rsidR="000327A8" w:rsidRPr="007114AF" w:rsidRDefault="000327A8" w:rsidP="00936091">
      <w:pPr>
        <w:spacing w:after="0" w:line="240" w:lineRule="auto"/>
        <w:ind w:firstLine="284"/>
        <w:rPr>
          <w:rFonts w:ascii="Garamond" w:hAnsi="Garamond"/>
          <w:sz w:val="24"/>
          <w:szCs w:val="24"/>
        </w:rPr>
      </w:pPr>
    </w:p>
    <w:p w14:paraId="6EDCF4F9" w14:textId="77777777" w:rsidR="00220111" w:rsidRPr="007114AF" w:rsidRDefault="00220111" w:rsidP="00936091">
      <w:pPr>
        <w:spacing w:after="0" w:line="240" w:lineRule="auto"/>
        <w:ind w:firstLine="284"/>
        <w:rPr>
          <w:rFonts w:ascii="Garamond" w:hAnsi="Garamond"/>
          <w:sz w:val="24"/>
          <w:szCs w:val="24"/>
        </w:rPr>
      </w:pPr>
      <w:r w:rsidRPr="007114AF">
        <w:rPr>
          <w:rFonts w:ascii="Garamond" w:hAnsi="Garamond"/>
          <w:sz w:val="24"/>
          <w:szCs w:val="24"/>
        </w:rPr>
        <w:t>Prirjet e fundit të konsumit final të energjisë konfirmojnë atë çka është vërejtur në terma të FTPE-ës: një rritje të moderuar, pa ndryshim të madh, në pjesët relative të vektorëve të ndryshëm të energjisë.</w:t>
      </w:r>
    </w:p>
    <w:p w14:paraId="6EDCF4FA" w14:textId="64907407" w:rsidR="00936091" w:rsidRPr="007114AF" w:rsidRDefault="00936091" w:rsidP="00936091">
      <w:pPr>
        <w:spacing w:after="0" w:line="240" w:lineRule="auto"/>
        <w:ind w:firstLine="284"/>
        <w:rPr>
          <w:rFonts w:ascii="Garamond" w:hAnsi="Garamond"/>
          <w:sz w:val="24"/>
          <w:szCs w:val="24"/>
        </w:rPr>
      </w:pPr>
      <w:r w:rsidRPr="007114AF">
        <w:rPr>
          <w:rFonts w:ascii="Garamond" w:hAnsi="Garamond"/>
          <w:sz w:val="24"/>
          <w:szCs w:val="24"/>
        </w:rPr>
        <w:t>Figura 7 sugjeron se sektori industrial u tkurr shumë pas vitit 1990, dhe rrjedhimisht, konsumi i energjisë nga sektori u tkurr, ndërsa sektori i transportit u rrit gradualisht. Sektori i banesave</w:t>
      </w:r>
      <w:r w:rsidR="008D3B85" w:rsidRPr="007114AF">
        <w:rPr>
          <w:rFonts w:ascii="Garamond" w:hAnsi="Garamond"/>
          <w:sz w:val="24"/>
          <w:szCs w:val="24"/>
        </w:rPr>
        <w:t xml:space="preserve"> </w:t>
      </w:r>
      <w:r w:rsidRPr="007114AF">
        <w:rPr>
          <w:rFonts w:ascii="Garamond" w:hAnsi="Garamond"/>
          <w:sz w:val="24"/>
          <w:szCs w:val="24"/>
        </w:rPr>
        <w:t>ka qenë po ashtu konsumator me rëndësi i energjisë. Në vitin 2014 (figura 11), sektori i transportit ishte konsumatori më i madh i energjisë, duke zënë 39.15% të konsumit total final, pasuar nga sektori i banesave(25.82%), sektori industrial (19.71%), sektori i shërbimit (8.33%), dhe sektori bujqësor (5.38%).</w:t>
      </w:r>
    </w:p>
    <w:p w14:paraId="6EDCF4FB" w14:textId="77777777" w:rsidR="00936091" w:rsidRPr="007114AF" w:rsidRDefault="000327A8" w:rsidP="00936091">
      <w:pPr>
        <w:spacing w:after="0" w:line="240" w:lineRule="auto"/>
        <w:ind w:firstLine="284"/>
        <w:rPr>
          <w:rFonts w:ascii="Garamond" w:hAnsi="Garamond"/>
          <w:b/>
          <w:sz w:val="24"/>
          <w:szCs w:val="24"/>
        </w:rPr>
      </w:pPr>
      <w:bookmarkStart w:id="48" w:name="_Toc471987574"/>
      <w:bookmarkStart w:id="49" w:name="_Toc484424482"/>
      <w:bookmarkStart w:id="50" w:name="_Toc449537124"/>
      <w:bookmarkStart w:id="51" w:name="_Toc450135232"/>
      <w:bookmarkStart w:id="52" w:name="_Toc450151835"/>
      <w:bookmarkStart w:id="53" w:name="_Toc446403343"/>
      <w:bookmarkEnd w:id="48"/>
      <w:r w:rsidRPr="007114AF">
        <w:rPr>
          <w:rFonts w:ascii="Garamond" w:hAnsi="Garamond"/>
          <w:b/>
          <w:sz w:val="24"/>
          <w:szCs w:val="24"/>
        </w:rPr>
        <w:t xml:space="preserve">2.6.2 </w:t>
      </w:r>
      <w:r w:rsidR="00936091" w:rsidRPr="007114AF">
        <w:rPr>
          <w:rFonts w:ascii="Garamond" w:hAnsi="Garamond"/>
          <w:b/>
          <w:sz w:val="24"/>
          <w:szCs w:val="24"/>
        </w:rPr>
        <w:t>Sektori i transportit</w:t>
      </w:r>
      <w:bookmarkEnd w:id="49"/>
      <w:bookmarkEnd w:id="50"/>
      <w:bookmarkEnd w:id="51"/>
      <w:bookmarkEnd w:id="52"/>
      <w:bookmarkEnd w:id="53"/>
    </w:p>
    <w:p w14:paraId="6EDCF4FC" w14:textId="5FABBCE5" w:rsidR="00936091" w:rsidRPr="007114AF" w:rsidRDefault="00936091" w:rsidP="00936091">
      <w:pPr>
        <w:spacing w:after="0" w:line="240" w:lineRule="auto"/>
        <w:ind w:firstLine="284"/>
        <w:rPr>
          <w:rFonts w:ascii="Garamond" w:hAnsi="Garamond"/>
          <w:sz w:val="24"/>
          <w:szCs w:val="24"/>
        </w:rPr>
      </w:pPr>
      <w:r w:rsidRPr="007114AF">
        <w:rPr>
          <w:rFonts w:ascii="Garamond" w:hAnsi="Garamond"/>
          <w:sz w:val="24"/>
          <w:szCs w:val="24"/>
        </w:rPr>
        <w:t>Sektori i</w:t>
      </w:r>
      <w:r w:rsidR="008D3B85" w:rsidRPr="007114AF">
        <w:rPr>
          <w:rFonts w:ascii="Garamond" w:hAnsi="Garamond"/>
          <w:sz w:val="24"/>
          <w:szCs w:val="24"/>
        </w:rPr>
        <w:t xml:space="preserve"> </w:t>
      </w:r>
      <w:r w:rsidRPr="007114AF">
        <w:rPr>
          <w:rFonts w:ascii="Garamond" w:hAnsi="Garamond"/>
          <w:sz w:val="24"/>
          <w:szCs w:val="24"/>
        </w:rPr>
        <w:t xml:space="preserve">transportit në Shqipëri nisi të zhvillohet me ritme të shpejta rritjeje sidomos pas viteve </w:t>
      </w:r>
      <w:r w:rsidR="00D10DAB" w:rsidRPr="007114AF">
        <w:rPr>
          <w:rFonts w:ascii="Garamond" w:hAnsi="Garamond"/>
          <w:sz w:val="24"/>
          <w:szCs w:val="24"/>
        </w:rPr>
        <w:t>‘</w:t>
      </w:r>
      <w:r w:rsidRPr="007114AF">
        <w:rPr>
          <w:rFonts w:ascii="Garamond" w:hAnsi="Garamond"/>
          <w:sz w:val="24"/>
          <w:szCs w:val="24"/>
        </w:rPr>
        <w:t xml:space="preserve">60, kur përveç rritjes sasiore të mjeteve të transportit rrugor, u zhvillua infrastruktura dhe kapacitetet transportuese të rrugëve, hekurudhave dhe mjeteve detare, duke krijuar strukturën e transportit. Sektori i transportit luan një rol me rëndësi në konsumin e burimeve të energjisë. </w:t>
      </w:r>
    </w:p>
    <w:p w14:paraId="6EDCF4FD" w14:textId="78254F0A" w:rsidR="00936091" w:rsidRPr="007114AF" w:rsidRDefault="00936091" w:rsidP="00936091">
      <w:pPr>
        <w:spacing w:after="0" w:line="240" w:lineRule="auto"/>
        <w:ind w:firstLine="284"/>
        <w:rPr>
          <w:rFonts w:ascii="Garamond" w:hAnsi="Garamond"/>
          <w:sz w:val="24"/>
          <w:szCs w:val="24"/>
        </w:rPr>
      </w:pPr>
      <w:r w:rsidRPr="007114AF">
        <w:rPr>
          <w:rFonts w:ascii="Garamond" w:hAnsi="Garamond"/>
          <w:sz w:val="24"/>
          <w:szCs w:val="24"/>
        </w:rPr>
        <w:t>Rrugët dhe autostradat përbëjnë mënyrën mbizotëruese të transportit tokësor dhe sigurojnë lidhje thelbësore për lëvizjen e mallrave dhe pasagjerëve. Shqipëria duhet të përfundojë një rrjet infrastrukture rrugore efikas dhe modern,</w:t>
      </w:r>
      <w:r w:rsidR="008D3B85" w:rsidRPr="007114AF">
        <w:rPr>
          <w:rFonts w:ascii="Garamond" w:hAnsi="Garamond"/>
          <w:sz w:val="24"/>
          <w:szCs w:val="24"/>
        </w:rPr>
        <w:t xml:space="preserve"> </w:t>
      </w:r>
      <w:r w:rsidRPr="007114AF">
        <w:rPr>
          <w:rFonts w:ascii="Garamond" w:hAnsi="Garamond"/>
          <w:sz w:val="24"/>
          <w:szCs w:val="24"/>
        </w:rPr>
        <w:t>si hap i parë për një sistem transporti të integruar. Me gjithë disa investime së fundmi, cilësia e transportit rrugor mbetet e ulët dhe ka ndryshim të konsiderueshëm rajonal lidhur me qasjen në tregje dhe shërbimet bazë. Rrjeti mban rreth 4.5 milionë mjete*km/y. Gjatë periudhës 2010</w:t>
      </w:r>
      <w:r w:rsidR="008D3B85" w:rsidRPr="007114AF">
        <w:rPr>
          <w:rFonts w:ascii="Garamond" w:hAnsi="Garamond"/>
          <w:sz w:val="24"/>
          <w:szCs w:val="24"/>
        </w:rPr>
        <w:t>–</w:t>
      </w:r>
      <w:r w:rsidRPr="007114AF">
        <w:rPr>
          <w:rFonts w:ascii="Garamond" w:hAnsi="Garamond"/>
          <w:sz w:val="24"/>
          <w:szCs w:val="24"/>
        </w:rPr>
        <w:t>2013 rritja vjetore e pasagjerëve ishte rreth +0.5% dhe 3.4% për mallrat</w:t>
      </w:r>
      <w:r w:rsidRPr="007114AF">
        <w:rPr>
          <w:rFonts w:ascii="Garamond" w:hAnsi="Garamond"/>
          <w:sz w:val="24"/>
          <w:szCs w:val="24"/>
          <w:vertAlign w:val="superscript"/>
        </w:rPr>
        <w:footnoteReference w:id="25"/>
      </w:r>
      <w:r w:rsidRPr="007114AF">
        <w:rPr>
          <w:rFonts w:ascii="Garamond" w:hAnsi="Garamond"/>
          <w:sz w:val="24"/>
          <w:szCs w:val="24"/>
        </w:rPr>
        <w:t xml:space="preserve">. </w:t>
      </w:r>
    </w:p>
    <w:p w14:paraId="6EDCF4FE" w14:textId="05D35CE2" w:rsidR="00936091" w:rsidRPr="007114AF" w:rsidRDefault="00936091" w:rsidP="00936091">
      <w:pPr>
        <w:spacing w:after="0" w:line="240" w:lineRule="auto"/>
        <w:ind w:firstLine="284"/>
        <w:rPr>
          <w:rFonts w:ascii="Garamond" w:hAnsi="Garamond"/>
          <w:sz w:val="24"/>
          <w:szCs w:val="24"/>
        </w:rPr>
      </w:pPr>
      <w:r w:rsidRPr="007114AF">
        <w:rPr>
          <w:rFonts w:ascii="Garamond" w:hAnsi="Garamond"/>
          <w:sz w:val="24"/>
          <w:szCs w:val="24"/>
        </w:rPr>
        <w:t>Rrjeti hekurudhor shqiptar është ndërtuar në periudhën nga viti 1946 deri në vitin 1986,</w:t>
      </w:r>
      <w:r w:rsidR="008D3B85" w:rsidRPr="007114AF">
        <w:rPr>
          <w:rFonts w:ascii="Garamond" w:hAnsi="Garamond"/>
          <w:sz w:val="24"/>
          <w:szCs w:val="24"/>
        </w:rPr>
        <w:t xml:space="preserve"> </w:t>
      </w:r>
      <w:r w:rsidRPr="007114AF">
        <w:rPr>
          <w:rFonts w:ascii="Garamond" w:hAnsi="Garamond"/>
          <w:sz w:val="24"/>
          <w:szCs w:val="24"/>
        </w:rPr>
        <w:t>për t</w:t>
      </w:r>
      <w:r w:rsidR="00D10DAB" w:rsidRPr="007114AF">
        <w:rPr>
          <w:rFonts w:ascii="Garamond" w:hAnsi="Garamond"/>
          <w:sz w:val="24"/>
          <w:szCs w:val="24"/>
        </w:rPr>
        <w:t>’</w:t>
      </w:r>
      <w:r w:rsidRPr="007114AF">
        <w:rPr>
          <w:rFonts w:ascii="Garamond" w:hAnsi="Garamond"/>
          <w:sz w:val="24"/>
          <w:szCs w:val="24"/>
        </w:rPr>
        <w:t xml:space="preserve">i shërbyer industrisë kombëtare. Pas vitit 1991,shumica e industrive u mbyllën. Pa të ardhura direkte nga sektori hekurudhor, mbështetja e qeverisë u kthye nga programet e investimeve për rrugët. Vonesa në miratimin e Direktivës 2012/34 për sektorin hekurudhor, i ngadalësoi investimet e mëtejshme. Nuk ka lidhje fizike hekurudhore mes Shqipërisë dhe vendeve fqinje </w:t>
      </w:r>
      <w:r w:rsidRPr="007114AF">
        <w:rPr>
          <w:rFonts w:ascii="Garamond" w:hAnsi="Garamond"/>
          <w:sz w:val="24"/>
          <w:szCs w:val="24"/>
        </w:rPr>
        <w:lastRenderedPageBreak/>
        <w:t>Kosovës, Republik</w:t>
      </w:r>
      <w:r w:rsidR="008771B6">
        <w:rPr>
          <w:rFonts w:ascii="Garamond" w:hAnsi="Garamond"/>
          <w:sz w:val="24"/>
          <w:szCs w:val="24"/>
        </w:rPr>
        <w:t>ë</w:t>
      </w:r>
      <w:r w:rsidRPr="007114AF">
        <w:rPr>
          <w:rFonts w:ascii="Garamond" w:hAnsi="Garamond"/>
          <w:sz w:val="24"/>
          <w:szCs w:val="24"/>
        </w:rPr>
        <w:t>s s</w:t>
      </w:r>
      <w:r w:rsidR="008771B6">
        <w:rPr>
          <w:rFonts w:ascii="Garamond" w:hAnsi="Garamond"/>
          <w:sz w:val="24"/>
          <w:szCs w:val="24"/>
        </w:rPr>
        <w:t>ë</w:t>
      </w:r>
      <w:r w:rsidRPr="007114AF">
        <w:rPr>
          <w:rFonts w:ascii="Garamond" w:hAnsi="Garamond"/>
          <w:sz w:val="24"/>
          <w:szCs w:val="24"/>
        </w:rPr>
        <w:t xml:space="preserve"> Maqedonis</w:t>
      </w:r>
      <w:r w:rsidR="008771B6">
        <w:rPr>
          <w:rFonts w:ascii="Garamond" w:hAnsi="Garamond"/>
          <w:sz w:val="24"/>
          <w:szCs w:val="24"/>
        </w:rPr>
        <w:t>ë</w:t>
      </w:r>
      <w:r w:rsidRPr="007114AF">
        <w:rPr>
          <w:rFonts w:ascii="Garamond" w:hAnsi="Garamond"/>
          <w:sz w:val="24"/>
          <w:szCs w:val="24"/>
        </w:rPr>
        <w:t xml:space="preserve"> s</w:t>
      </w:r>
      <w:r w:rsidR="008771B6">
        <w:rPr>
          <w:rFonts w:ascii="Garamond" w:hAnsi="Garamond"/>
          <w:sz w:val="24"/>
          <w:szCs w:val="24"/>
        </w:rPr>
        <w:t>ë</w:t>
      </w:r>
      <w:r w:rsidRPr="007114AF">
        <w:rPr>
          <w:rFonts w:ascii="Garamond" w:hAnsi="Garamond"/>
          <w:sz w:val="24"/>
          <w:szCs w:val="24"/>
        </w:rPr>
        <w:t xml:space="preserve"> Veriut apo Greqisë; hekurudha nuk është e elektrifikuar, është me një binar dhe me</w:t>
      </w:r>
      <w:r w:rsidR="008771B6">
        <w:rPr>
          <w:rFonts w:ascii="Garamond" w:hAnsi="Garamond"/>
          <w:sz w:val="24"/>
          <w:szCs w:val="24"/>
        </w:rPr>
        <w:t xml:space="preserve"> </w:t>
      </w:r>
      <w:r w:rsidRPr="007114AF">
        <w:rPr>
          <w:rFonts w:ascii="Garamond" w:hAnsi="Garamond"/>
          <w:sz w:val="24"/>
          <w:szCs w:val="24"/>
        </w:rPr>
        <w:t xml:space="preserve">bajpase. </w:t>
      </w:r>
    </w:p>
    <w:p w14:paraId="6EDCF4FF" w14:textId="77777777" w:rsidR="00936091" w:rsidRPr="007114AF" w:rsidRDefault="00936091" w:rsidP="00936091">
      <w:pPr>
        <w:spacing w:after="0" w:line="240" w:lineRule="auto"/>
        <w:ind w:firstLine="284"/>
        <w:rPr>
          <w:rFonts w:ascii="Garamond" w:hAnsi="Garamond"/>
          <w:sz w:val="24"/>
          <w:szCs w:val="24"/>
        </w:rPr>
      </w:pPr>
      <w:r w:rsidRPr="007114AF">
        <w:rPr>
          <w:rFonts w:ascii="Garamond" w:hAnsi="Garamond"/>
          <w:sz w:val="24"/>
          <w:szCs w:val="24"/>
        </w:rPr>
        <w:t>Prirjet e transportit (burimi i të dhënave INSTAT) tregohen në figurën 12: numri i mjeteve rrugore po rritet në mënyrë të qëndrueshme, ndërsa transporti publik ka humbur më shumë se 50% të pasagjerëve gjatë dy dekadave të fundit. Rritja e dukshme në numrin e mjeteve rrugore u shoqërua me rritjen e aktivitetit të transportit dhe një rritje evidente e konsumit të lëndëve djegëse, kryesisht naftë dhe benzinë.</w:t>
      </w:r>
    </w:p>
    <w:p w14:paraId="6EDCF500" w14:textId="77777777" w:rsidR="00220111" w:rsidRPr="007114AF" w:rsidRDefault="00220111" w:rsidP="00936091">
      <w:pPr>
        <w:spacing w:after="0" w:line="240" w:lineRule="auto"/>
        <w:ind w:firstLine="284"/>
        <w:rPr>
          <w:rFonts w:ascii="Garamond" w:hAnsi="Garamond"/>
          <w:sz w:val="24"/>
          <w:szCs w:val="24"/>
        </w:rPr>
      </w:pPr>
    </w:p>
    <w:p w14:paraId="6EDCF501" w14:textId="77777777" w:rsidR="008F17E8" w:rsidRPr="007114AF" w:rsidRDefault="008F17E8" w:rsidP="008F17E8">
      <w:pPr>
        <w:rPr>
          <w:rFonts w:ascii="Garamond" w:hAnsi="Garamond"/>
        </w:rPr>
      </w:pPr>
      <w:r w:rsidRPr="007114AF">
        <w:rPr>
          <w:rFonts w:ascii="Garamond" w:hAnsi="Garamond"/>
          <w:noProof/>
          <w:lang w:val="en-US" w:eastAsia="en-US"/>
        </w:rPr>
        <w:drawing>
          <wp:inline distT="0" distB="0" distL="0" distR="0" wp14:anchorId="6EDD1796" wp14:editId="6EDD1797">
            <wp:extent cx="5781675" cy="3781425"/>
            <wp:effectExtent l="19050" t="0" r="9525" b="0"/>
            <wp:docPr id="6"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4" cstate="print"/>
                    <a:srcRect/>
                    <a:stretch>
                      <a:fillRect/>
                    </a:stretch>
                  </pic:blipFill>
                  <pic:spPr bwMode="auto">
                    <a:xfrm>
                      <a:off x="0" y="0"/>
                      <a:ext cx="5781675" cy="3781425"/>
                    </a:xfrm>
                    <a:prstGeom prst="rect">
                      <a:avLst/>
                    </a:prstGeom>
                    <a:noFill/>
                    <a:ln w="9525">
                      <a:noFill/>
                      <a:miter lim="800000"/>
                      <a:headEnd/>
                      <a:tailEnd/>
                    </a:ln>
                  </pic:spPr>
                </pic:pic>
              </a:graphicData>
            </a:graphic>
          </wp:inline>
        </w:drawing>
      </w:r>
    </w:p>
    <w:p w14:paraId="6EDCF502" w14:textId="69EC8543" w:rsidR="008F17E8" w:rsidRPr="007114AF" w:rsidRDefault="008F17E8" w:rsidP="000327A8">
      <w:pPr>
        <w:pStyle w:val="FIGURA"/>
        <w:rPr>
          <w:rFonts w:eastAsia="MS Mincho"/>
          <w:sz w:val="20"/>
          <w:szCs w:val="20"/>
        </w:rPr>
      </w:pPr>
      <w:r w:rsidRPr="007114AF">
        <w:rPr>
          <w:sz w:val="20"/>
          <w:szCs w:val="20"/>
        </w:rPr>
        <w:t>Figura</w:t>
      </w:r>
      <w:r w:rsidR="000327A8" w:rsidRPr="007114AF">
        <w:rPr>
          <w:sz w:val="20"/>
          <w:szCs w:val="20"/>
        </w:rPr>
        <w:t xml:space="preserve"> </w:t>
      </w:r>
      <w:r w:rsidRPr="007114AF">
        <w:rPr>
          <w:sz w:val="20"/>
          <w:szCs w:val="20"/>
        </w:rPr>
        <w:fldChar w:fldCharType="begin"/>
      </w:r>
      <w:r w:rsidRPr="007114AF">
        <w:rPr>
          <w:sz w:val="20"/>
          <w:szCs w:val="20"/>
        </w:rPr>
        <w:instrText xml:space="preserve"> SEQ Figure \* ARABIC </w:instrText>
      </w:r>
      <w:r w:rsidRPr="007114AF">
        <w:rPr>
          <w:sz w:val="20"/>
          <w:szCs w:val="20"/>
        </w:rPr>
        <w:fldChar w:fldCharType="separate"/>
      </w:r>
      <w:r w:rsidRPr="007114AF">
        <w:rPr>
          <w:sz w:val="20"/>
          <w:szCs w:val="20"/>
        </w:rPr>
        <w:t>12</w:t>
      </w:r>
      <w:r w:rsidRPr="007114AF">
        <w:rPr>
          <w:sz w:val="20"/>
          <w:szCs w:val="20"/>
        </w:rPr>
        <w:fldChar w:fldCharType="end"/>
      </w:r>
      <w:r w:rsidRPr="007114AF">
        <w:rPr>
          <w:sz w:val="20"/>
          <w:szCs w:val="20"/>
        </w:rPr>
        <w:t xml:space="preserve">–Prirja e </w:t>
      </w:r>
      <w:r w:rsidRPr="007114AF">
        <w:rPr>
          <w:rFonts w:eastAsia="Calibri"/>
          <w:sz w:val="20"/>
          <w:szCs w:val="20"/>
          <w:lang w:eastAsia="en-US"/>
        </w:rPr>
        <w:t>indeksuar (baza 1993 = 100) e pasagjerëve*km për transporturban, pasagjerë *km</w:t>
      </w:r>
      <w:r w:rsidR="00236635" w:rsidRPr="007114AF">
        <w:rPr>
          <w:rFonts w:eastAsia="Calibri"/>
          <w:sz w:val="20"/>
          <w:szCs w:val="20"/>
          <w:lang w:eastAsia="en-US"/>
        </w:rPr>
        <w:t xml:space="preserve"> </w:t>
      </w:r>
      <w:r w:rsidRPr="007114AF">
        <w:rPr>
          <w:rFonts w:eastAsia="Calibri"/>
          <w:sz w:val="20"/>
          <w:szCs w:val="20"/>
          <w:lang w:eastAsia="en-US"/>
        </w:rPr>
        <w:t>për hekurudhë dhe numri i mjeteve rrugore (përpunim i të dhënave nga INSTAT)</w:t>
      </w:r>
    </w:p>
    <w:p w14:paraId="6EDCF503" w14:textId="77777777" w:rsidR="000327A8" w:rsidRPr="007114AF" w:rsidRDefault="000327A8" w:rsidP="008F17E8">
      <w:pPr>
        <w:spacing w:after="0" w:line="240" w:lineRule="auto"/>
        <w:ind w:firstLine="284"/>
        <w:rPr>
          <w:rFonts w:ascii="Garamond" w:hAnsi="Garamond"/>
          <w:sz w:val="24"/>
          <w:szCs w:val="24"/>
        </w:rPr>
      </w:pPr>
    </w:p>
    <w:p w14:paraId="6EDCF504" w14:textId="3D042D99" w:rsidR="008F17E8" w:rsidRPr="007114AF" w:rsidRDefault="008F17E8" w:rsidP="008F17E8">
      <w:pPr>
        <w:spacing w:after="0" w:line="240" w:lineRule="auto"/>
        <w:ind w:firstLine="284"/>
        <w:rPr>
          <w:rFonts w:ascii="Garamond" w:hAnsi="Garamond"/>
          <w:sz w:val="24"/>
          <w:szCs w:val="24"/>
        </w:rPr>
      </w:pPr>
      <w:r w:rsidRPr="007114AF">
        <w:rPr>
          <w:rFonts w:ascii="Garamond" w:hAnsi="Garamond"/>
          <w:sz w:val="24"/>
          <w:szCs w:val="24"/>
        </w:rPr>
        <w:t>Transporti detar</w:t>
      </w:r>
      <w:r w:rsidR="00236635" w:rsidRPr="007114AF">
        <w:rPr>
          <w:rFonts w:ascii="Garamond" w:hAnsi="Garamond"/>
          <w:sz w:val="24"/>
          <w:szCs w:val="24"/>
        </w:rPr>
        <w:t xml:space="preserve"> </w:t>
      </w:r>
      <w:r w:rsidRPr="007114AF">
        <w:rPr>
          <w:rFonts w:ascii="Garamond" w:hAnsi="Garamond"/>
          <w:sz w:val="24"/>
          <w:szCs w:val="24"/>
        </w:rPr>
        <w:t>është mënyra më e rëndësishme për transportin e mallrave, nga një vend në tjetrin. Afërsia e Shqipërisë dhe ndërlidhja e transportit me vendet fqinje, si</w:t>
      </w:r>
      <w:r w:rsidR="00236635" w:rsidRPr="007114AF">
        <w:rPr>
          <w:rFonts w:ascii="Garamond" w:hAnsi="Garamond"/>
          <w:sz w:val="24"/>
          <w:szCs w:val="24"/>
        </w:rPr>
        <w:t>:</w:t>
      </w:r>
      <w:r w:rsidRPr="007114AF">
        <w:rPr>
          <w:rFonts w:ascii="Garamond" w:hAnsi="Garamond"/>
          <w:sz w:val="24"/>
          <w:szCs w:val="24"/>
        </w:rPr>
        <w:t xml:space="preserve"> Italia, Greqia dhe Kroacia,</w:t>
      </w:r>
      <w:r w:rsidR="00236635" w:rsidRPr="007114AF">
        <w:rPr>
          <w:rFonts w:ascii="Garamond" w:hAnsi="Garamond"/>
          <w:sz w:val="24"/>
          <w:szCs w:val="24"/>
        </w:rPr>
        <w:t xml:space="preserve"> </w:t>
      </w:r>
      <w:r w:rsidRPr="007114AF">
        <w:rPr>
          <w:rFonts w:ascii="Garamond" w:hAnsi="Garamond"/>
          <w:sz w:val="24"/>
          <w:szCs w:val="24"/>
        </w:rPr>
        <w:t xml:space="preserve">përveç mundësisë për vendet pa dalje në det, si Republika e </w:t>
      </w:r>
      <w:r w:rsidR="00236635" w:rsidRPr="007114AF">
        <w:rPr>
          <w:rFonts w:ascii="Garamond" w:hAnsi="Garamond"/>
          <w:sz w:val="24"/>
          <w:szCs w:val="24"/>
        </w:rPr>
        <w:t>Maqedonisë</w:t>
      </w:r>
      <w:r w:rsidRPr="007114AF">
        <w:rPr>
          <w:rFonts w:ascii="Garamond" w:hAnsi="Garamond"/>
          <w:sz w:val="24"/>
          <w:szCs w:val="24"/>
        </w:rPr>
        <w:t xml:space="preserve"> s</w:t>
      </w:r>
      <w:r w:rsidR="00236635" w:rsidRPr="007114AF">
        <w:rPr>
          <w:rFonts w:ascii="Garamond" w:hAnsi="Garamond"/>
          <w:sz w:val="24"/>
          <w:szCs w:val="24"/>
        </w:rPr>
        <w:t>ë</w:t>
      </w:r>
      <w:r w:rsidRPr="007114AF">
        <w:rPr>
          <w:rFonts w:ascii="Garamond" w:hAnsi="Garamond"/>
          <w:sz w:val="24"/>
          <w:szCs w:val="24"/>
        </w:rPr>
        <w:t xml:space="preserve"> Veriut dhe Kosova, i japin transportit detar shqiptar një përfitim të madh potencial. Për më tepër, portet shqiptare janë pjesë e rrugëve të korridoreve detare në Evropën Juglindore. Për fat të keq, kapaciteti dhe strukturat operative nuk janë sa duhet efikase dhe të integruara për t</w:t>
      </w:r>
      <w:r w:rsidR="00D10DAB" w:rsidRPr="007114AF">
        <w:rPr>
          <w:rFonts w:ascii="Garamond" w:hAnsi="Garamond"/>
          <w:sz w:val="24"/>
          <w:szCs w:val="24"/>
        </w:rPr>
        <w:t>’</w:t>
      </w:r>
      <w:r w:rsidRPr="007114AF">
        <w:rPr>
          <w:rFonts w:ascii="Garamond" w:hAnsi="Garamond"/>
          <w:sz w:val="24"/>
          <w:szCs w:val="24"/>
        </w:rPr>
        <w:t>i kaluar standardet.</w:t>
      </w:r>
    </w:p>
    <w:p w14:paraId="6EDCF505" w14:textId="15021E6F" w:rsidR="008F17E8" w:rsidRPr="007114AF" w:rsidRDefault="008F17E8" w:rsidP="008F17E8">
      <w:pPr>
        <w:spacing w:after="0" w:line="240" w:lineRule="auto"/>
        <w:ind w:firstLine="284"/>
        <w:rPr>
          <w:rFonts w:ascii="Garamond" w:hAnsi="Garamond"/>
          <w:sz w:val="24"/>
          <w:szCs w:val="24"/>
        </w:rPr>
      </w:pPr>
      <w:r w:rsidRPr="007114AF">
        <w:rPr>
          <w:rFonts w:ascii="Garamond" w:hAnsi="Garamond"/>
          <w:sz w:val="24"/>
          <w:szCs w:val="24"/>
        </w:rPr>
        <w:t>Shqipëria ka bërë progres të madh në kryerjen e reformave ligjore dhe rregullatore në sektorin e transportit ajror. Fluturimet dhe trafiku i pasagjerëve në aeroportin e</w:t>
      </w:r>
      <w:r w:rsidR="00236635" w:rsidRPr="007114AF">
        <w:rPr>
          <w:rFonts w:ascii="Garamond" w:hAnsi="Garamond"/>
          <w:sz w:val="24"/>
          <w:szCs w:val="24"/>
        </w:rPr>
        <w:t xml:space="preserve"> </w:t>
      </w:r>
      <w:r w:rsidRPr="007114AF">
        <w:rPr>
          <w:rFonts w:ascii="Garamond" w:hAnsi="Garamond"/>
          <w:sz w:val="24"/>
          <w:szCs w:val="24"/>
        </w:rPr>
        <w:t>Tiranës u rrit në mënyrë të qëndrueshme deri në vitin 2011, kur kriza ekonomike rajonale e ngadalësoi zhvillimin e sektorit ajror.</w:t>
      </w:r>
    </w:p>
    <w:p w14:paraId="6EDCF506" w14:textId="77777777" w:rsidR="008F17E8" w:rsidRPr="007114AF" w:rsidRDefault="008F17E8" w:rsidP="008F17E8">
      <w:pPr>
        <w:spacing w:after="0" w:line="240" w:lineRule="auto"/>
        <w:ind w:firstLine="284"/>
        <w:rPr>
          <w:rFonts w:ascii="Garamond" w:hAnsi="Garamond"/>
          <w:sz w:val="24"/>
          <w:szCs w:val="24"/>
        </w:rPr>
      </w:pPr>
      <w:r w:rsidRPr="007114AF">
        <w:rPr>
          <w:rFonts w:ascii="Garamond" w:hAnsi="Garamond"/>
          <w:sz w:val="24"/>
          <w:szCs w:val="24"/>
        </w:rPr>
        <w:t>Analizat e dokumenteve të sektorit të transportit tregojnë se ka mungesë të serive të plota dhe të besueshme të të dhënave statistikore që të lejojnë parashikime të strukturuara. Me gjithë ketë kufizim, është bërë një vlerësim cilësor i sektorit në bazë të parametrave të vëzhguar dhe të shqyrtuar, duke mundësuar konsideratat e mëposhtme:</w:t>
      </w:r>
    </w:p>
    <w:p w14:paraId="6EDCF507" w14:textId="77777777" w:rsidR="008F17E8" w:rsidRPr="007114AF" w:rsidRDefault="000327A8" w:rsidP="008F17E8">
      <w:pPr>
        <w:spacing w:after="0" w:line="240" w:lineRule="auto"/>
        <w:ind w:firstLine="284"/>
        <w:rPr>
          <w:rFonts w:ascii="Garamond" w:hAnsi="Garamond"/>
          <w:sz w:val="24"/>
          <w:szCs w:val="24"/>
        </w:rPr>
      </w:pPr>
      <w:r w:rsidRPr="007114AF">
        <w:rPr>
          <w:rFonts w:ascii="Garamond" w:hAnsi="Garamond"/>
          <w:sz w:val="24"/>
          <w:szCs w:val="24"/>
        </w:rPr>
        <w:t xml:space="preserve">- </w:t>
      </w:r>
      <w:r w:rsidR="008F17E8" w:rsidRPr="007114AF">
        <w:rPr>
          <w:rFonts w:ascii="Garamond" w:hAnsi="Garamond"/>
          <w:sz w:val="24"/>
          <w:szCs w:val="24"/>
        </w:rPr>
        <w:t>Ka një mungesë të përgjithshme të burimeve ekonomike, për të mbështetur mirëmbajtjen e duhur dhe zhvillimin sistematik të sistemit të lëvizjes;</w:t>
      </w:r>
    </w:p>
    <w:p w14:paraId="6EDCF508" w14:textId="77777777" w:rsidR="008F17E8" w:rsidRPr="007114AF" w:rsidRDefault="000327A8" w:rsidP="008F17E8">
      <w:pPr>
        <w:spacing w:after="0" w:line="240" w:lineRule="auto"/>
        <w:ind w:firstLine="284"/>
        <w:rPr>
          <w:rFonts w:ascii="Garamond" w:hAnsi="Garamond"/>
          <w:sz w:val="24"/>
          <w:szCs w:val="24"/>
        </w:rPr>
      </w:pPr>
      <w:r w:rsidRPr="007114AF">
        <w:rPr>
          <w:rFonts w:ascii="Garamond" w:hAnsi="Garamond"/>
          <w:sz w:val="24"/>
          <w:szCs w:val="24"/>
        </w:rPr>
        <w:lastRenderedPageBreak/>
        <w:t xml:space="preserve">- </w:t>
      </w:r>
      <w:r w:rsidR="008F17E8" w:rsidRPr="007114AF">
        <w:rPr>
          <w:rFonts w:ascii="Garamond" w:hAnsi="Garamond"/>
          <w:sz w:val="24"/>
          <w:szCs w:val="24"/>
        </w:rPr>
        <w:t>Mirëmbajtja e keqe e rrugëve ndikon në eficiencën e transportit rrugor (koha e udhëtimit, konsumi i lëndës djegëse, shkarkimet dhe siguria);</w:t>
      </w:r>
    </w:p>
    <w:p w14:paraId="6EDCF509" w14:textId="77777777" w:rsidR="008F17E8" w:rsidRPr="007114AF" w:rsidRDefault="000327A8" w:rsidP="008F17E8">
      <w:pPr>
        <w:spacing w:after="0" w:line="240" w:lineRule="auto"/>
        <w:ind w:firstLine="284"/>
        <w:rPr>
          <w:rFonts w:ascii="Garamond" w:hAnsi="Garamond"/>
          <w:sz w:val="24"/>
          <w:szCs w:val="24"/>
        </w:rPr>
      </w:pPr>
      <w:r w:rsidRPr="007114AF">
        <w:rPr>
          <w:rFonts w:ascii="Garamond" w:hAnsi="Garamond"/>
          <w:sz w:val="24"/>
          <w:szCs w:val="24"/>
        </w:rPr>
        <w:t xml:space="preserve">- </w:t>
      </w:r>
      <w:r w:rsidR="008F17E8" w:rsidRPr="007114AF">
        <w:rPr>
          <w:rFonts w:ascii="Garamond" w:hAnsi="Garamond"/>
          <w:sz w:val="24"/>
          <w:szCs w:val="24"/>
        </w:rPr>
        <w:t>Mungesa e zhvillimit të rrjetit rrugor;</w:t>
      </w:r>
    </w:p>
    <w:p w14:paraId="6EDCF50A" w14:textId="77777777" w:rsidR="008F17E8" w:rsidRPr="007114AF" w:rsidRDefault="000327A8" w:rsidP="008F17E8">
      <w:pPr>
        <w:spacing w:after="0" w:line="240" w:lineRule="auto"/>
        <w:ind w:firstLine="284"/>
        <w:rPr>
          <w:rFonts w:ascii="Garamond" w:hAnsi="Garamond"/>
          <w:sz w:val="24"/>
          <w:szCs w:val="24"/>
        </w:rPr>
      </w:pPr>
      <w:r w:rsidRPr="007114AF">
        <w:rPr>
          <w:rFonts w:ascii="Garamond" w:hAnsi="Garamond"/>
          <w:sz w:val="24"/>
          <w:szCs w:val="24"/>
        </w:rPr>
        <w:t xml:space="preserve">- </w:t>
      </w:r>
      <w:r w:rsidR="008F17E8" w:rsidRPr="007114AF">
        <w:rPr>
          <w:rFonts w:ascii="Garamond" w:hAnsi="Garamond"/>
          <w:sz w:val="24"/>
          <w:szCs w:val="24"/>
        </w:rPr>
        <w:t>Roli i vogël i sistemit hekurudhor;</w:t>
      </w:r>
    </w:p>
    <w:p w14:paraId="6EDCF50B" w14:textId="77777777" w:rsidR="008F17E8" w:rsidRPr="007114AF" w:rsidRDefault="000327A8" w:rsidP="008F17E8">
      <w:pPr>
        <w:spacing w:after="0" w:line="240" w:lineRule="auto"/>
        <w:ind w:firstLine="284"/>
        <w:rPr>
          <w:rFonts w:ascii="Garamond" w:hAnsi="Garamond"/>
          <w:sz w:val="24"/>
          <w:szCs w:val="24"/>
        </w:rPr>
      </w:pPr>
      <w:r w:rsidRPr="007114AF">
        <w:rPr>
          <w:rFonts w:ascii="Garamond" w:hAnsi="Garamond"/>
          <w:sz w:val="24"/>
          <w:szCs w:val="24"/>
        </w:rPr>
        <w:t xml:space="preserve">- </w:t>
      </w:r>
      <w:r w:rsidR="008F17E8" w:rsidRPr="007114AF">
        <w:rPr>
          <w:rFonts w:ascii="Garamond" w:hAnsi="Garamond"/>
          <w:sz w:val="24"/>
          <w:szCs w:val="24"/>
        </w:rPr>
        <w:t>Dobësia e transportit intermodal;</w:t>
      </w:r>
    </w:p>
    <w:p w14:paraId="6EDCF50C" w14:textId="77777777" w:rsidR="008F17E8" w:rsidRPr="007114AF" w:rsidRDefault="000327A8" w:rsidP="008F17E8">
      <w:pPr>
        <w:spacing w:after="0" w:line="240" w:lineRule="auto"/>
        <w:ind w:firstLine="284"/>
        <w:rPr>
          <w:rFonts w:ascii="Garamond" w:hAnsi="Garamond"/>
          <w:sz w:val="24"/>
          <w:szCs w:val="24"/>
        </w:rPr>
      </w:pPr>
      <w:r w:rsidRPr="007114AF">
        <w:rPr>
          <w:rFonts w:ascii="Garamond" w:hAnsi="Garamond"/>
          <w:sz w:val="24"/>
          <w:szCs w:val="24"/>
        </w:rPr>
        <w:t xml:space="preserve">- </w:t>
      </w:r>
      <w:r w:rsidR="008F17E8" w:rsidRPr="007114AF">
        <w:rPr>
          <w:rFonts w:ascii="Garamond" w:hAnsi="Garamond"/>
          <w:sz w:val="24"/>
          <w:szCs w:val="24"/>
        </w:rPr>
        <w:t>Një rënie e përgjithshme e popullsisë dhe rritja e përqendrimit në zonat e mëdha urbane (Tirana dhe pak zona të tjera urbane);</w:t>
      </w:r>
    </w:p>
    <w:p w14:paraId="6EDCF50D" w14:textId="77777777" w:rsidR="008F17E8" w:rsidRPr="007114AF" w:rsidRDefault="000327A8" w:rsidP="008F17E8">
      <w:pPr>
        <w:spacing w:after="0" w:line="240" w:lineRule="auto"/>
        <w:ind w:firstLine="284"/>
        <w:rPr>
          <w:rFonts w:ascii="Garamond" w:hAnsi="Garamond"/>
          <w:sz w:val="24"/>
          <w:szCs w:val="24"/>
        </w:rPr>
      </w:pPr>
      <w:r w:rsidRPr="007114AF">
        <w:rPr>
          <w:rFonts w:ascii="Garamond" w:hAnsi="Garamond"/>
          <w:sz w:val="24"/>
          <w:szCs w:val="24"/>
        </w:rPr>
        <w:t xml:space="preserve">- </w:t>
      </w:r>
      <w:r w:rsidR="008F17E8" w:rsidRPr="007114AF">
        <w:rPr>
          <w:rFonts w:ascii="Garamond" w:hAnsi="Garamond"/>
          <w:sz w:val="24"/>
          <w:szCs w:val="24"/>
        </w:rPr>
        <w:t>Ekzistenca e mjeteve rrugore të vjetra, të patestuara plotësisht.</w:t>
      </w:r>
    </w:p>
    <w:p w14:paraId="6EDCF50E" w14:textId="77777777" w:rsidR="008F17E8" w:rsidRPr="007114AF" w:rsidRDefault="00860664" w:rsidP="008F17E8">
      <w:pPr>
        <w:spacing w:after="0" w:line="240" w:lineRule="auto"/>
        <w:ind w:firstLine="284"/>
        <w:rPr>
          <w:rFonts w:ascii="Garamond" w:hAnsi="Garamond"/>
          <w:b/>
          <w:sz w:val="24"/>
          <w:szCs w:val="24"/>
        </w:rPr>
      </w:pPr>
      <w:bookmarkStart w:id="54" w:name="_Toc484424483"/>
      <w:bookmarkStart w:id="55" w:name="_Toc449537125"/>
      <w:bookmarkStart w:id="56" w:name="_Toc450135233"/>
      <w:bookmarkStart w:id="57" w:name="_Toc450151836"/>
      <w:bookmarkStart w:id="58" w:name="_Toc446403344"/>
      <w:r w:rsidRPr="007114AF">
        <w:rPr>
          <w:rFonts w:ascii="Garamond" w:hAnsi="Garamond"/>
          <w:b/>
          <w:sz w:val="24"/>
          <w:szCs w:val="24"/>
        </w:rPr>
        <w:t>2.6.3</w:t>
      </w:r>
      <w:r w:rsidR="008F17E8" w:rsidRPr="007114AF">
        <w:rPr>
          <w:rFonts w:ascii="Garamond" w:hAnsi="Garamond"/>
          <w:b/>
          <w:sz w:val="24"/>
          <w:szCs w:val="24"/>
        </w:rPr>
        <w:t xml:space="preserve"> Sektori bujqësor</w:t>
      </w:r>
      <w:bookmarkEnd w:id="54"/>
      <w:bookmarkEnd w:id="55"/>
      <w:bookmarkEnd w:id="56"/>
      <w:bookmarkEnd w:id="57"/>
      <w:bookmarkEnd w:id="58"/>
    </w:p>
    <w:p w14:paraId="6EDCF50F" w14:textId="23DDC62F" w:rsidR="008F17E8" w:rsidRPr="007114AF" w:rsidRDefault="008F17E8" w:rsidP="008F17E8">
      <w:pPr>
        <w:spacing w:after="0" w:line="240" w:lineRule="auto"/>
        <w:ind w:firstLine="284"/>
        <w:rPr>
          <w:rFonts w:ascii="Garamond" w:hAnsi="Garamond"/>
          <w:sz w:val="24"/>
          <w:szCs w:val="24"/>
        </w:rPr>
      </w:pPr>
      <w:r w:rsidRPr="007114AF">
        <w:rPr>
          <w:rFonts w:ascii="Garamond" w:hAnsi="Garamond"/>
          <w:sz w:val="24"/>
          <w:szCs w:val="24"/>
        </w:rPr>
        <w:t>Përdorimi i tokës në Shqipëri në një sipërfaqe totale prej 28,750 km</w:t>
      </w:r>
      <w:r w:rsidRPr="008771B6">
        <w:rPr>
          <w:rFonts w:ascii="Garamond" w:hAnsi="Garamond"/>
          <w:sz w:val="24"/>
          <w:szCs w:val="24"/>
          <w:vertAlign w:val="superscript"/>
        </w:rPr>
        <w:t>2</w:t>
      </w:r>
      <w:r w:rsidRPr="007114AF">
        <w:rPr>
          <w:rFonts w:ascii="Garamond" w:hAnsi="Garamond"/>
          <w:sz w:val="24"/>
          <w:szCs w:val="24"/>
        </w:rPr>
        <w:t>,</w:t>
      </w:r>
      <w:r w:rsidR="008771B6">
        <w:rPr>
          <w:rFonts w:ascii="Garamond" w:hAnsi="Garamond"/>
          <w:sz w:val="24"/>
          <w:szCs w:val="24"/>
        </w:rPr>
        <w:t xml:space="preserve"> </w:t>
      </w:r>
      <w:r w:rsidRPr="007114AF">
        <w:rPr>
          <w:rFonts w:ascii="Garamond" w:hAnsi="Garamond"/>
          <w:sz w:val="24"/>
          <w:szCs w:val="24"/>
        </w:rPr>
        <w:t>ndahet mes tokës bujqësore (24%),pyjeve (37%), kullotave dhe livadheve (15%), si</w:t>
      </w:r>
      <w:r w:rsidR="008771B6">
        <w:rPr>
          <w:rFonts w:ascii="Garamond" w:hAnsi="Garamond"/>
          <w:sz w:val="24"/>
          <w:szCs w:val="24"/>
        </w:rPr>
        <w:t xml:space="preserve"> </w:t>
      </w:r>
      <w:r w:rsidRPr="007114AF">
        <w:rPr>
          <w:rFonts w:ascii="Garamond" w:hAnsi="Garamond"/>
          <w:sz w:val="24"/>
          <w:szCs w:val="24"/>
        </w:rPr>
        <w:t>dhe tokave të tjera përfshirë zonat urbane, rreth 135,000 hektar liqene dhe tokë e papërdorur shkëmbore dhe malore (FAO, 2006</w:t>
      </w:r>
      <w:r w:rsidRPr="007114AF">
        <w:rPr>
          <w:rFonts w:ascii="Garamond" w:hAnsi="Garamond"/>
          <w:sz w:val="24"/>
          <w:szCs w:val="24"/>
          <w:vertAlign w:val="superscript"/>
        </w:rPr>
        <w:footnoteReference w:id="26"/>
      </w:r>
      <w:r w:rsidRPr="007114AF">
        <w:rPr>
          <w:rFonts w:ascii="Garamond" w:hAnsi="Garamond"/>
          <w:sz w:val="24"/>
          <w:szCs w:val="24"/>
        </w:rPr>
        <w:t>).</w:t>
      </w:r>
    </w:p>
    <w:p w14:paraId="6EDCF510" w14:textId="6005B6CF" w:rsidR="008F17E8" w:rsidRPr="007114AF" w:rsidRDefault="008F17E8" w:rsidP="008F17E8">
      <w:pPr>
        <w:spacing w:after="0" w:line="240" w:lineRule="auto"/>
        <w:ind w:firstLine="284"/>
        <w:rPr>
          <w:rFonts w:ascii="Garamond" w:hAnsi="Garamond"/>
          <w:sz w:val="24"/>
          <w:szCs w:val="24"/>
        </w:rPr>
      </w:pPr>
      <w:r w:rsidRPr="007114AF">
        <w:rPr>
          <w:rFonts w:ascii="Garamond" w:hAnsi="Garamond"/>
          <w:sz w:val="24"/>
          <w:szCs w:val="24"/>
        </w:rPr>
        <w:t>Sektori bujqësor luan një rol me rëndësi në ekonominë kombëtare, megjithëse pjesa e tokës bujqësore në totalin e tokës në Shqipëri është vetëm 24 % (krahasuar me rreth 40% në EU28), dhe përmasat e vogla mesatare të fermave bujqësore (1.21 ha) dhe rrjedhimisht, shkallë e lartë e copëzimit të tokës. Shkaku kryesor për përqindjen e ulët të tokës bujqësore është fakti që bujqësia shqiptare nuk është konkurruese,</w:t>
      </w:r>
      <w:r w:rsidR="000A2A01" w:rsidRPr="007114AF">
        <w:rPr>
          <w:rFonts w:ascii="Garamond" w:hAnsi="Garamond"/>
          <w:sz w:val="24"/>
          <w:szCs w:val="24"/>
        </w:rPr>
        <w:t xml:space="preserve"> </w:t>
      </w:r>
      <w:r w:rsidRPr="007114AF">
        <w:rPr>
          <w:rFonts w:ascii="Garamond" w:hAnsi="Garamond"/>
          <w:sz w:val="24"/>
          <w:szCs w:val="24"/>
        </w:rPr>
        <w:t>krahasuar me vendet fqinje. Zona e ujitur është e kufizuar për shkak të dëmeve në infrastrukturat e ujitjes.</w:t>
      </w:r>
      <w:r w:rsidR="008419C6">
        <w:rPr>
          <w:rFonts w:ascii="Garamond" w:hAnsi="Garamond"/>
          <w:sz w:val="24"/>
          <w:szCs w:val="24"/>
        </w:rPr>
        <w:t xml:space="preserve"> </w:t>
      </w:r>
      <w:r w:rsidRPr="007114AF">
        <w:rPr>
          <w:rFonts w:ascii="Garamond" w:hAnsi="Garamond"/>
          <w:sz w:val="24"/>
          <w:szCs w:val="24"/>
        </w:rPr>
        <w:t>Toka e kultivuar shtrihet nga 55% deri në 60% të sipërfaqes totale të tokës bujqësore, me një përdorim mesatar të plehrave kimike prej rreth 87.5 kg/ha (të dhëna 2011-2015 burimi FAO), kundrejt mesatares së EU-27 prej 76 kg/ha (të dhëna 2010 burimi EUROSTAT</w:t>
      </w:r>
      <w:r w:rsidRPr="007114AF">
        <w:rPr>
          <w:rFonts w:ascii="Garamond" w:hAnsi="Garamond"/>
          <w:sz w:val="24"/>
          <w:szCs w:val="24"/>
          <w:vertAlign w:val="superscript"/>
        </w:rPr>
        <w:footnoteReference w:id="27"/>
      </w:r>
      <w:r w:rsidRPr="007114AF">
        <w:rPr>
          <w:rFonts w:ascii="Garamond" w:hAnsi="Garamond"/>
          <w:sz w:val="24"/>
          <w:szCs w:val="24"/>
        </w:rPr>
        <w:t>).</w:t>
      </w:r>
    </w:p>
    <w:p w14:paraId="6EDCF511" w14:textId="6E201655" w:rsidR="008F17E8" w:rsidRPr="007114AF" w:rsidRDefault="008F17E8" w:rsidP="008F17E8">
      <w:pPr>
        <w:spacing w:after="0" w:line="240" w:lineRule="auto"/>
        <w:ind w:firstLine="284"/>
        <w:rPr>
          <w:rFonts w:ascii="Garamond" w:hAnsi="Garamond"/>
          <w:sz w:val="24"/>
          <w:szCs w:val="24"/>
        </w:rPr>
      </w:pPr>
      <w:r w:rsidRPr="007114AF">
        <w:rPr>
          <w:rFonts w:ascii="Garamond" w:hAnsi="Garamond"/>
          <w:sz w:val="24"/>
          <w:szCs w:val="24"/>
        </w:rPr>
        <w:t>Infrastruktura relativisht e pazhvilluar në zonat rurale, i pengon produktet bujqësore shqiptare të shkojnë në treg. Ky fenomen, së bashku me probleme të tjera strukturore, si teknologjia e prapambetur, nivelet e ulëta të mekanizimit, qasja e kufizuar në lehtësitë e kreditimit dhe produktiviteti i ulët krahasuar me mesataret e BE-së, për shkak të aplikimit</w:t>
      </w:r>
      <w:r w:rsidR="008419C6">
        <w:rPr>
          <w:rFonts w:ascii="Garamond" w:hAnsi="Garamond"/>
          <w:sz w:val="24"/>
          <w:szCs w:val="24"/>
        </w:rPr>
        <w:t xml:space="preserve"> </w:t>
      </w:r>
      <w:r w:rsidRPr="007114AF">
        <w:rPr>
          <w:rFonts w:ascii="Garamond" w:hAnsi="Garamond"/>
          <w:sz w:val="24"/>
          <w:szCs w:val="24"/>
        </w:rPr>
        <w:t xml:space="preserve">jo gjithnjë të praktikave të duhuraagronomike, e ka kufizuar investimin e vazhdueshëm në sektorin bujqësor. </w:t>
      </w:r>
    </w:p>
    <w:p w14:paraId="6EDCF512" w14:textId="77777777" w:rsidR="008F17E8" w:rsidRPr="007114AF" w:rsidRDefault="008F17E8" w:rsidP="008F17E8">
      <w:pPr>
        <w:spacing w:after="0" w:line="240" w:lineRule="auto"/>
        <w:ind w:firstLine="284"/>
        <w:rPr>
          <w:rFonts w:ascii="Garamond" w:hAnsi="Garamond"/>
          <w:sz w:val="24"/>
          <w:szCs w:val="24"/>
        </w:rPr>
      </w:pPr>
      <w:r w:rsidRPr="007114AF">
        <w:rPr>
          <w:rFonts w:ascii="Garamond" w:hAnsi="Garamond"/>
          <w:sz w:val="24"/>
          <w:szCs w:val="24"/>
        </w:rPr>
        <w:t>Për përmirësimin e situatës së sektorit dhe për ta bërë zhvillimin më të qëndrueshëm, zhvillimet dhe reformat strukturore duhet të jenë përparësi në politikat e ardhshme ekonomike</w:t>
      </w:r>
      <w:r w:rsidRPr="007114AF">
        <w:rPr>
          <w:rFonts w:ascii="Garamond" w:hAnsi="Garamond"/>
          <w:sz w:val="24"/>
          <w:szCs w:val="24"/>
          <w:vertAlign w:val="superscript"/>
        </w:rPr>
        <w:footnoteReference w:id="28"/>
      </w:r>
      <w:r w:rsidRPr="007114AF">
        <w:rPr>
          <w:rFonts w:ascii="Garamond" w:hAnsi="Garamond"/>
          <w:sz w:val="24"/>
          <w:szCs w:val="24"/>
        </w:rPr>
        <w:t xml:space="preserve">, me synim rritjen e efikasitetit në prodhimin bujqësor, lehtësimin e qasjes së produkteve bujqësore vendore në tregjet e vendit dhe të huaja, si dhe mbështetjen financiare të bizneseve dhe fermave. </w:t>
      </w:r>
    </w:p>
    <w:p w14:paraId="6EDCF513" w14:textId="77777777" w:rsidR="008F17E8" w:rsidRPr="007114AF" w:rsidRDefault="00860664" w:rsidP="008F17E8">
      <w:pPr>
        <w:spacing w:after="0" w:line="240" w:lineRule="auto"/>
        <w:ind w:firstLine="284"/>
        <w:rPr>
          <w:rFonts w:ascii="Garamond" w:hAnsi="Garamond"/>
          <w:b/>
          <w:sz w:val="24"/>
          <w:szCs w:val="24"/>
        </w:rPr>
      </w:pPr>
      <w:bookmarkStart w:id="59" w:name="_Toc449537126"/>
      <w:bookmarkStart w:id="60" w:name="_Toc450135234"/>
      <w:bookmarkStart w:id="61" w:name="_Toc450151837"/>
      <w:bookmarkStart w:id="62" w:name="_Toc484424484"/>
      <w:bookmarkStart w:id="63" w:name="_Toc446403345"/>
      <w:r w:rsidRPr="007114AF">
        <w:rPr>
          <w:rFonts w:ascii="Garamond" w:hAnsi="Garamond"/>
          <w:b/>
          <w:sz w:val="24"/>
          <w:szCs w:val="24"/>
        </w:rPr>
        <w:t xml:space="preserve">2.6.4 </w:t>
      </w:r>
      <w:r w:rsidR="008F17E8" w:rsidRPr="007114AF">
        <w:rPr>
          <w:rFonts w:ascii="Garamond" w:hAnsi="Garamond"/>
          <w:b/>
          <w:sz w:val="24"/>
          <w:szCs w:val="24"/>
        </w:rPr>
        <w:t>Sektor</w:t>
      </w:r>
      <w:bookmarkEnd w:id="59"/>
      <w:bookmarkEnd w:id="60"/>
      <w:bookmarkEnd w:id="61"/>
      <w:r w:rsidR="008F17E8" w:rsidRPr="007114AF">
        <w:rPr>
          <w:rFonts w:ascii="Garamond" w:hAnsi="Garamond"/>
          <w:b/>
          <w:sz w:val="24"/>
          <w:szCs w:val="24"/>
        </w:rPr>
        <w:t>i pyjor</w:t>
      </w:r>
      <w:bookmarkEnd w:id="62"/>
      <w:bookmarkEnd w:id="63"/>
    </w:p>
    <w:p w14:paraId="6EDCF514" w14:textId="65705D98" w:rsidR="008F17E8" w:rsidRPr="007114AF" w:rsidRDefault="008F17E8" w:rsidP="008F17E8">
      <w:pPr>
        <w:spacing w:after="0" w:line="240" w:lineRule="auto"/>
        <w:ind w:firstLine="284"/>
        <w:rPr>
          <w:rFonts w:ascii="Garamond" w:hAnsi="Garamond"/>
          <w:sz w:val="24"/>
          <w:szCs w:val="24"/>
        </w:rPr>
      </w:pPr>
      <w:r w:rsidRPr="007114AF">
        <w:rPr>
          <w:rFonts w:ascii="Garamond" w:hAnsi="Garamond"/>
          <w:sz w:val="24"/>
          <w:szCs w:val="24"/>
        </w:rPr>
        <w:t>Pjesa më e madhe e sipërfaqes totale të vendit është e mbuluar me pyje</w:t>
      </w:r>
      <w:r w:rsidRPr="007114AF">
        <w:rPr>
          <w:rFonts w:ascii="Garamond" w:hAnsi="Garamond"/>
          <w:sz w:val="24"/>
          <w:szCs w:val="24"/>
          <w:vertAlign w:val="superscript"/>
        </w:rPr>
        <w:footnoteReference w:id="29"/>
      </w:r>
      <w:r w:rsidRPr="007114AF">
        <w:rPr>
          <w:rFonts w:ascii="Garamond" w:hAnsi="Garamond"/>
          <w:sz w:val="24"/>
          <w:szCs w:val="24"/>
        </w:rPr>
        <w:t>, rreth 1,040,881 ha të klasifikuara sipas formës së qeverisjes në pyje të lartë (45.7%) dhe pyje të ulët (cungishte) dhe shkurre (54.3%), ndarë në pyje të thjeshtë 72.3% dhe të përzierë 27.7%. Sipas kadastrës pyjore, pronësia e pyjeve shqiptare është rreth 96% shtetërore dhe pjesa tjetër private. Sektori pyjor shqiptar në përgjithësi ka pësuar një mbi</w:t>
      </w:r>
      <w:r w:rsidR="00236635" w:rsidRPr="007114AF">
        <w:rPr>
          <w:rFonts w:ascii="Garamond" w:hAnsi="Garamond"/>
          <w:sz w:val="24"/>
          <w:szCs w:val="24"/>
        </w:rPr>
        <w:t xml:space="preserve"> </w:t>
      </w:r>
      <w:r w:rsidRPr="007114AF">
        <w:rPr>
          <w:rFonts w:ascii="Garamond" w:hAnsi="Garamond"/>
          <w:sz w:val="24"/>
          <w:szCs w:val="24"/>
        </w:rPr>
        <w:t>shfrytëzim vitet e fundit, me rënie të madhe të sipërfaqes dhe volumit (figurat 11</w:t>
      </w:r>
      <w:r w:rsidR="008419C6">
        <w:t>–</w:t>
      </w:r>
      <w:r w:rsidRPr="007114AF">
        <w:rPr>
          <w:rFonts w:ascii="Garamond" w:hAnsi="Garamond"/>
          <w:sz w:val="24"/>
          <w:szCs w:val="24"/>
        </w:rPr>
        <w:t>12), me një reduktim vjetor mesatar prej rreth 540,000 m</w:t>
      </w:r>
      <w:r w:rsidRPr="008419C6">
        <w:rPr>
          <w:rFonts w:ascii="Garamond" w:hAnsi="Garamond"/>
          <w:sz w:val="24"/>
          <w:szCs w:val="24"/>
          <w:vertAlign w:val="superscript"/>
        </w:rPr>
        <w:t>3</w:t>
      </w:r>
      <w:r w:rsidRPr="007114AF">
        <w:rPr>
          <w:rFonts w:ascii="Garamond" w:hAnsi="Garamond"/>
          <w:sz w:val="24"/>
          <w:szCs w:val="24"/>
        </w:rPr>
        <w:t>/vit, si për pyjet halore, ashtu dhe për ato gjethegjera, e përdorur si lëndë drusore për industrinë e ndërtimit, industrinë e minierave, industrinë e përpunimit të drurit dhe për bioenergji.</w:t>
      </w:r>
    </w:p>
    <w:p w14:paraId="6EDCF515" w14:textId="77777777" w:rsidR="008F17E8" w:rsidRPr="007114AF" w:rsidRDefault="008F17E8" w:rsidP="00281778">
      <w:pPr>
        <w:jc w:val="center"/>
        <w:rPr>
          <w:rFonts w:ascii="Garamond" w:hAnsi="Garamond"/>
        </w:rPr>
      </w:pPr>
      <w:r w:rsidRPr="007114AF">
        <w:rPr>
          <w:rFonts w:ascii="Garamond" w:hAnsi="Garamond"/>
          <w:noProof/>
          <w:lang w:val="en-US" w:eastAsia="en-US"/>
        </w:rPr>
        <w:lastRenderedPageBreak/>
        <w:drawing>
          <wp:inline distT="0" distB="0" distL="0" distR="0" wp14:anchorId="6EDD1798" wp14:editId="6EDD1799">
            <wp:extent cx="4723075" cy="2520564"/>
            <wp:effectExtent l="0" t="0" r="20955" b="13335"/>
            <wp:docPr id="26" name="Grafico 2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6EDCF516" w14:textId="77777777" w:rsidR="008F17E8" w:rsidRPr="007114AF" w:rsidRDefault="008F17E8" w:rsidP="000327A8">
      <w:pPr>
        <w:pStyle w:val="FIGURA"/>
        <w:rPr>
          <w:sz w:val="20"/>
          <w:szCs w:val="20"/>
        </w:rPr>
      </w:pPr>
      <w:r w:rsidRPr="007114AF">
        <w:rPr>
          <w:sz w:val="20"/>
          <w:szCs w:val="20"/>
        </w:rPr>
        <w:t>Figura</w:t>
      </w:r>
      <w:r w:rsidR="000327A8" w:rsidRPr="007114AF">
        <w:rPr>
          <w:sz w:val="20"/>
          <w:szCs w:val="20"/>
        </w:rPr>
        <w:t xml:space="preserve"> </w:t>
      </w:r>
      <w:r w:rsidRPr="007114AF">
        <w:rPr>
          <w:sz w:val="20"/>
          <w:szCs w:val="20"/>
        </w:rPr>
        <w:fldChar w:fldCharType="begin"/>
      </w:r>
      <w:r w:rsidRPr="007114AF">
        <w:rPr>
          <w:sz w:val="20"/>
          <w:szCs w:val="20"/>
        </w:rPr>
        <w:instrText xml:space="preserve"> SEQ Figure \* ARABIC </w:instrText>
      </w:r>
      <w:r w:rsidRPr="007114AF">
        <w:rPr>
          <w:sz w:val="20"/>
          <w:szCs w:val="20"/>
        </w:rPr>
        <w:fldChar w:fldCharType="separate"/>
      </w:r>
      <w:r w:rsidRPr="007114AF">
        <w:rPr>
          <w:sz w:val="20"/>
          <w:szCs w:val="20"/>
        </w:rPr>
        <w:t>13</w:t>
      </w:r>
      <w:r w:rsidRPr="007114AF">
        <w:rPr>
          <w:sz w:val="20"/>
          <w:szCs w:val="20"/>
        </w:rPr>
        <w:fldChar w:fldCharType="end"/>
      </w:r>
      <w:r w:rsidRPr="007114AF">
        <w:rPr>
          <w:sz w:val="20"/>
          <w:szCs w:val="20"/>
        </w:rPr>
        <w:t>–Sipërfaqja pyjore gjatë 2000-2013</w:t>
      </w:r>
    </w:p>
    <w:p w14:paraId="6EDCF517" w14:textId="77777777" w:rsidR="000327A8" w:rsidRPr="007114AF" w:rsidRDefault="000327A8" w:rsidP="008F17E8">
      <w:pPr>
        <w:spacing w:after="0" w:line="240" w:lineRule="auto"/>
        <w:ind w:firstLine="284"/>
        <w:rPr>
          <w:rFonts w:ascii="Garamond" w:hAnsi="Garamond"/>
          <w:sz w:val="24"/>
          <w:szCs w:val="24"/>
        </w:rPr>
      </w:pPr>
    </w:p>
    <w:p w14:paraId="6EDCF518" w14:textId="77777777" w:rsidR="008F17E8" w:rsidRPr="007114AF" w:rsidRDefault="008F17E8" w:rsidP="00281778">
      <w:pPr>
        <w:jc w:val="center"/>
        <w:rPr>
          <w:rFonts w:ascii="Garamond" w:hAnsi="Garamond"/>
        </w:rPr>
      </w:pPr>
      <w:r w:rsidRPr="007114AF">
        <w:rPr>
          <w:rFonts w:ascii="Garamond" w:hAnsi="Garamond"/>
          <w:noProof/>
          <w:lang w:val="en-US" w:eastAsia="en-US"/>
        </w:rPr>
        <w:drawing>
          <wp:inline distT="0" distB="0" distL="0" distR="0" wp14:anchorId="6EDD179A" wp14:editId="6EDD179B">
            <wp:extent cx="4723075" cy="1987826"/>
            <wp:effectExtent l="0" t="0" r="20955" b="12700"/>
            <wp:docPr id="25" name="Grafico 2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6EDCF519" w14:textId="5413D841" w:rsidR="008F17E8" w:rsidRPr="007114AF" w:rsidRDefault="008F17E8" w:rsidP="000327A8">
      <w:pPr>
        <w:pStyle w:val="FIGURA"/>
        <w:rPr>
          <w:sz w:val="20"/>
          <w:szCs w:val="20"/>
        </w:rPr>
      </w:pPr>
      <w:r w:rsidRPr="007114AF">
        <w:rPr>
          <w:sz w:val="20"/>
          <w:szCs w:val="20"/>
        </w:rPr>
        <w:t>Figura</w:t>
      </w:r>
      <w:r w:rsidR="000327A8" w:rsidRPr="007114AF">
        <w:rPr>
          <w:sz w:val="20"/>
          <w:szCs w:val="20"/>
        </w:rPr>
        <w:t xml:space="preserve"> </w:t>
      </w:r>
      <w:r w:rsidRPr="007114AF">
        <w:rPr>
          <w:sz w:val="20"/>
          <w:szCs w:val="20"/>
        </w:rPr>
        <w:fldChar w:fldCharType="begin"/>
      </w:r>
      <w:r w:rsidRPr="007114AF">
        <w:rPr>
          <w:sz w:val="20"/>
          <w:szCs w:val="20"/>
        </w:rPr>
        <w:instrText xml:space="preserve"> SEQ Figure \* ARABIC </w:instrText>
      </w:r>
      <w:r w:rsidRPr="007114AF">
        <w:rPr>
          <w:sz w:val="20"/>
          <w:szCs w:val="20"/>
        </w:rPr>
        <w:fldChar w:fldCharType="separate"/>
      </w:r>
      <w:r w:rsidRPr="007114AF">
        <w:rPr>
          <w:sz w:val="20"/>
          <w:szCs w:val="20"/>
        </w:rPr>
        <w:t>14</w:t>
      </w:r>
      <w:r w:rsidRPr="007114AF">
        <w:rPr>
          <w:sz w:val="20"/>
          <w:szCs w:val="20"/>
        </w:rPr>
        <w:fldChar w:fldCharType="end"/>
      </w:r>
      <w:r w:rsidR="00236635" w:rsidRPr="007114AF">
        <w:rPr>
          <w:sz w:val="20"/>
          <w:szCs w:val="20"/>
        </w:rPr>
        <w:t xml:space="preserve"> </w:t>
      </w:r>
      <w:r w:rsidRPr="007114AF">
        <w:rPr>
          <w:sz w:val="20"/>
          <w:szCs w:val="20"/>
        </w:rPr>
        <w:t>– Volumi stok gjatë periudhës 2000-2013</w:t>
      </w:r>
    </w:p>
    <w:p w14:paraId="6EDCF51A" w14:textId="77777777" w:rsidR="008F17E8" w:rsidRPr="007114AF" w:rsidRDefault="008F17E8" w:rsidP="008F17E8">
      <w:pPr>
        <w:spacing w:after="0" w:line="240" w:lineRule="auto"/>
        <w:ind w:firstLine="284"/>
        <w:rPr>
          <w:rFonts w:ascii="Garamond" w:hAnsi="Garamond"/>
          <w:sz w:val="14"/>
          <w:szCs w:val="24"/>
        </w:rPr>
      </w:pPr>
    </w:p>
    <w:p w14:paraId="6EDCF51B" w14:textId="3E9789CF" w:rsidR="008F17E8" w:rsidRPr="007114AF" w:rsidRDefault="008F17E8" w:rsidP="008F17E8">
      <w:pPr>
        <w:spacing w:after="0" w:line="240" w:lineRule="auto"/>
        <w:ind w:firstLine="284"/>
        <w:rPr>
          <w:rFonts w:ascii="Garamond" w:hAnsi="Garamond"/>
          <w:sz w:val="24"/>
          <w:szCs w:val="24"/>
        </w:rPr>
      </w:pPr>
      <w:r w:rsidRPr="007114AF">
        <w:rPr>
          <w:rFonts w:ascii="Garamond" w:hAnsi="Garamond"/>
          <w:sz w:val="24"/>
          <w:szCs w:val="24"/>
        </w:rPr>
        <w:t>Për të siguruar një menaxhim të qëndrueshëm të pyjeve është shumë e rëndësishme të ruhet një raport pozitiv mes rritjes natyrore të pyjeve shqiptare që është shumë e ulët (1.2</w:t>
      </w:r>
      <w:r w:rsidR="008419C6">
        <w:t>–</w:t>
      </w:r>
      <w:r w:rsidRPr="007114AF">
        <w:rPr>
          <w:rFonts w:ascii="Garamond" w:hAnsi="Garamond"/>
          <w:sz w:val="24"/>
          <w:szCs w:val="24"/>
        </w:rPr>
        <w:t>1.7 milion</w:t>
      </w:r>
      <w:r w:rsidR="00236635" w:rsidRPr="007114AF">
        <w:rPr>
          <w:rFonts w:ascii="Garamond" w:hAnsi="Garamond"/>
          <w:sz w:val="24"/>
          <w:szCs w:val="24"/>
        </w:rPr>
        <w:t>ë</w:t>
      </w:r>
      <w:r w:rsidRPr="007114AF">
        <w:rPr>
          <w:rFonts w:ascii="Garamond" w:hAnsi="Garamond"/>
          <w:sz w:val="24"/>
          <w:szCs w:val="24"/>
        </w:rPr>
        <w:t xml:space="preserve"> m</w:t>
      </w:r>
      <w:r w:rsidRPr="007114AF">
        <w:rPr>
          <w:rFonts w:ascii="Garamond" w:hAnsi="Garamond"/>
          <w:sz w:val="24"/>
          <w:szCs w:val="24"/>
          <w:vertAlign w:val="superscript"/>
        </w:rPr>
        <w:t>3</w:t>
      </w:r>
      <w:r w:rsidRPr="007114AF">
        <w:rPr>
          <w:rFonts w:ascii="Garamond" w:hAnsi="Garamond"/>
          <w:sz w:val="24"/>
          <w:szCs w:val="24"/>
        </w:rPr>
        <w:t>/vit</w:t>
      </w:r>
      <w:r w:rsidRPr="007114AF">
        <w:rPr>
          <w:rFonts w:ascii="Garamond" w:hAnsi="Garamond"/>
          <w:sz w:val="24"/>
          <w:szCs w:val="24"/>
          <w:vertAlign w:val="superscript"/>
        </w:rPr>
        <w:footnoteReference w:id="30"/>
      </w:r>
      <w:r w:rsidRPr="007114AF">
        <w:rPr>
          <w:rFonts w:ascii="Garamond" w:hAnsi="Garamond"/>
          <w:sz w:val="24"/>
          <w:szCs w:val="24"/>
        </w:rPr>
        <w:t xml:space="preserve">) dhe prerjes së tyre. </w:t>
      </w:r>
    </w:p>
    <w:p w14:paraId="6EDCF51C" w14:textId="77777777" w:rsidR="008F17E8" w:rsidRPr="007114AF" w:rsidRDefault="008F17E8" w:rsidP="008F17E8">
      <w:pPr>
        <w:spacing w:after="0" w:line="240" w:lineRule="auto"/>
        <w:ind w:firstLine="284"/>
        <w:rPr>
          <w:rFonts w:ascii="Garamond" w:hAnsi="Garamond"/>
          <w:sz w:val="24"/>
          <w:szCs w:val="24"/>
        </w:rPr>
      </w:pPr>
    </w:p>
    <w:p w14:paraId="6EDCF51D" w14:textId="77777777" w:rsidR="008F17E8" w:rsidRPr="007114AF" w:rsidRDefault="008F17E8" w:rsidP="00281778">
      <w:pPr>
        <w:jc w:val="center"/>
        <w:rPr>
          <w:rFonts w:ascii="Garamond" w:hAnsi="Garamond"/>
        </w:rPr>
      </w:pPr>
      <w:r w:rsidRPr="007114AF">
        <w:rPr>
          <w:rFonts w:ascii="Garamond" w:hAnsi="Garamond"/>
          <w:noProof/>
          <w:lang w:val="en-US" w:eastAsia="en-US"/>
        </w:rPr>
        <w:drawing>
          <wp:inline distT="0" distB="0" distL="0" distR="0" wp14:anchorId="6EDD179C" wp14:editId="6EDD179D">
            <wp:extent cx="5343277" cy="2234317"/>
            <wp:effectExtent l="0" t="0" r="10160" b="13970"/>
            <wp:docPr id="24" name="Grafico 2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6EDCF51E" w14:textId="4F01A553" w:rsidR="00281778" w:rsidRPr="007114AF" w:rsidRDefault="00281778" w:rsidP="000327A8">
      <w:pPr>
        <w:pStyle w:val="FIGURA"/>
        <w:rPr>
          <w:sz w:val="20"/>
          <w:szCs w:val="20"/>
        </w:rPr>
      </w:pPr>
      <w:r w:rsidRPr="007114AF">
        <w:rPr>
          <w:sz w:val="20"/>
          <w:szCs w:val="20"/>
        </w:rPr>
        <w:lastRenderedPageBreak/>
        <w:t>Figura</w:t>
      </w:r>
      <w:r w:rsidR="00862C8C" w:rsidRPr="007114AF">
        <w:rPr>
          <w:sz w:val="20"/>
          <w:szCs w:val="20"/>
        </w:rPr>
        <w:t xml:space="preserve"> </w:t>
      </w:r>
      <w:r w:rsidRPr="007114AF">
        <w:rPr>
          <w:sz w:val="20"/>
          <w:szCs w:val="20"/>
        </w:rPr>
        <w:fldChar w:fldCharType="begin"/>
      </w:r>
      <w:r w:rsidRPr="007114AF">
        <w:rPr>
          <w:sz w:val="20"/>
          <w:szCs w:val="20"/>
        </w:rPr>
        <w:instrText xml:space="preserve"> SEQ Figure \* ARABIC </w:instrText>
      </w:r>
      <w:r w:rsidRPr="007114AF">
        <w:rPr>
          <w:sz w:val="20"/>
          <w:szCs w:val="20"/>
        </w:rPr>
        <w:fldChar w:fldCharType="separate"/>
      </w:r>
      <w:r w:rsidRPr="007114AF">
        <w:rPr>
          <w:sz w:val="20"/>
          <w:szCs w:val="20"/>
        </w:rPr>
        <w:t>15</w:t>
      </w:r>
      <w:r w:rsidRPr="007114AF">
        <w:rPr>
          <w:sz w:val="20"/>
          <w:szCs w:val="20"/>
        </w:rPr>
        <w:fldChar w:fldCharType="end"/>
      </w:r>
      <w:r w:rsidR="00862C8C" w:rsidRPr="007114AF">
        <w:rPr>
          <w:sz w:val="20"/>
          <w:szCs w:val="20"/>
        </w:rPr>
        <w:t xml:space="preserve"> </w:t>
      </w:r>
      <w:r w:rsidRPr="007114AF">
        <w:rPr>
          <w:sz w:val="20"/>
          <w:szCs w:val="20"/>
        </w:rPr>
        <w:t>–</w:t>
      </w:r>
      <w:r w:rsidR="00862C8C" w:rsidRPr="007114AF">
        <w:rPr>
          <w:sz w:val="20"/>
          <w:szCs w:val="20"/>
        </w:rPr>
        <w:t xml:space="preserve"> </w:t>
      </w:r>
      <w:r w:rsidRPr="007114AF">
        <w:rPr>
          <w:sz w:val="20"/>
          <w:szCs w:val="20"/>
        </w:rPr>
        <w:t>Rritja e pyjeve dhe konsumi i druve gjatë periudhës 2000-2013</w:t>
      </w:r>
    </w:p>
    <w:p w14:paraId="0D302DE2" w14:textId="77777777" w:rsidR="00862C8C" w:rsidRPr="007114AF" w:rsidRDefault="00862C8C" w:rsidP="00281778">
      <w:pPr>
        <w:spacing w:after="0" w:line="240" w:lineRule="auto"/>
        <w:ind w:firstLine="284"/>
        <w:rPr>
          <w:rFonts w:ascii="Garamond" w:hAnsi="Garamond"/>
          <w:sz w:val="24"/>
          <w:szCs w:val="24"/>
        </w:rPr>
      </w:pPr>
    </w:p>
    <w:p w14:paraId="6EDCF51F" w14:textId="6B9A2908" w:rsidR="00281778" w:rsidRPr="007114AF" w:rsidRDefault="00281778" w:rsidP="00281778">
      <w:pPr>
        <w:spacing w:after="0" w:line="240" w:lineRule="auto"/>
        <w:ind w:firstLine="284"/>
        <w:rPr>
          <w:rFonts w:ascii="Garamond" w:hAnsi="Garamond"/>
          <w:sz w:val="24"/>
          <w:szCs w:val="24"/>
        </w:rPr>
      </w:pPr>
      <w:r w:rsidRPr="007114AF">
        <w:rPr>
          <w:rFonts w:ascii="Garamond" w:hAnsi="Garamond"/>
          <w:sz w:val="24"/>
          <w:szCs w:val="24"/>
        </w:rPr>
        <w:t>Rritja natyrore e pyjeve është mesatarisht 27% më e ulët se konsumi i druve dhe lëndës drusore (figura 17) në Shqipëri. Kjo do të thotë se stoku kombëtar pyjor është menaxhuar dhe ende menaxhohet në mënyrë jo të qëndrueshme. Një tjetër çështje me rëndësi lidhur me këtë proces, është që pjesa më e madhe e rënies së volumit vjen si pasojë e prerjeve të paligjshme: vetëm 10% e volumit total të biomasës pyjore që pritet është e ligjshme, ndërsa pjesa tjetër merret në mënyrë ilegale. Kjo shifër është shumë e lartë dhe përbën shkakun kryesor të degradimit të pyjeve shqiptare. Nga perspektiva globale, efektet e degradimit të pyjeve dhe humbja e biodiversitetit të mbulesës pyjore</w:t>
      </w:r>
      <w:r w:rsidR="005B6402">
        <w:rPr>
          <w:rFonts w:ascii="Garamond" w:hAnsi="Garamond"/>
          <w:sz w:val="24"/>
          <w:szCs w:val="24"/>
        </w:rPr>
        <w:t xml:space="preserve"> </w:t>
      </w:r>
      <w:r w:rsidRPr="007114AF">
        <w:rPr>
          <w:rFonts w:ascii="Garamond" w:hAnsi="Garamond"/>
          <w:sz w:val="24"/>
          <w:szCs w:val="24"/>
        </w:rPr>
        <w:t>mund të jetë e madhe, duke qenë se Shqipëria ndodhet në pellgun e Mesdheut, që njihet si pikë e nxehtë globale e biodiversitetit lidhur me florën endemike dhe speciet e faunës (Myers et al. 2000</w:t>
      </w:r>
      <w:r w:rsidRPr="007114AF">
        <w:rPr>
          <w:rFonts w:ascii="Garamond" w:hAnsi="Garamond"/>
          <w:sz w:val="24"/>
          <w:szCs w:val="24"/>
        </w:rPr>
        <w:footnoteReference w:id="31"/>
      </w:r>
      <w:r w:rsidRPr="007114AF">
        <w:rPr>
          <w:rFonts w:ascii="Garamond" w:hAnsi="Garamond"/>
          <w:sz w:val="24"/>
          <w:szCs w:val="24"/>
        </w:rPr>
        <w:t>).</w:t>
      </w:r>
    </w:p>
    <w:p w14:paraId="6EDCF520" w14:textId="1C1AF8A5" w:rsidR="00281778" w:rsidRPr="007114AF" w:rsidRDefault="00281778" w:rsidP="00281778">
      <w:pPr>
        <w:spacing w:after="0" w:line="240" w:lineRule="auto"/>
        <w:ind w:firstLine="284"/>
        <w:rPr>
          <w:rFonts w:ascii="Garamond" w:hAnsi="Garamond"/>
          <w:sz w:val="24"/>
          <w:szCs w:val="24"/>
        </w:rPr>
      </w:pPr>
      <w:r w:rsidRPr="007114AF">
        <w:rPr>
          <w:rFonts w:ascii="Garamond" w:hAnsi="Garamond"/>
          <w:sz w:val="24"/>
          <w:szCs w:val="24"/>
        </w:rPr>
        <w:t>Për më tepër, cilësia e të dhënave ekzistuese për përdorimin e tokës, zonave pyjore dhe përdorimin pyjor në Shqipëri është shumë e paqartë, duke e bërë të vështirë çdo vlerësim të saktë të sektorit, me paqartësi të madhe edhe në vlerësimet e prirjeve të GES-it. Historikisht sektori pyjor është organizuar në varësi të Drejtorisë së Përgjithshme të Pyjeve dhe Kullotave. Ky ka qenë një institucion qendror i varur nga Këshilli i Ministrave dhe Ministria e Bujqësisë. Duke filluar nga vitit 2005, shërbimi pyjor u organizua nën Ministrinë e Mjedisit (MM), ndërsa Drejtoria e Përgjithshme e Pyjeve u shkri. Për momentin ka një sektor që merret me pyjet në Shqipëri, pjesë e Drejtorisë së Programeve të Zhvillimit të Mjedisit</w:t>
      </w:r>
      <w:r w:rsidR="00862C8C" w:rsidRPr="007114AF">
        <w:rPr>
          <w:rFonts w:ascii="Garamond" w:hAnsi="Garamond"/>
          <w:sz w:val="24"/>
          <w:szCs w:val="24"/>
        </w:rPr>
        <w:t xml:space="preserve"> </w:t>
      </w:r>
      <w:r w:rsidRPr="007114AF">
        <w:rPr>
          <w:rFonts w:ascii="Garamond" w:hAnsi="Garamond"/>
          <w:sz w:val="24"/>
          <w:szCs w:val="24"/>
        </w:rPr>
        <w:t xml:space="preserve">në Ministrinë e Turizmit dhe Mjedisit. Për më tepër, ngritja e një shërbimi pyjor është parashikuar nga projektligji mbi </w:t>
      </w:r>
      <w:r w:rsidR="000A2A01" w:rsidRPr="007114AF">
        <w:rPr>
          <w:rFonts w:ascii="Garamond" w:hAnsi="Garamond"/>
          <w:sz w:val="24"/>
          <w:szCs w:val="24"/>
        </w:rPr>
        <w:t>“</w:t>
      </w:r>
      <w:r w:rsidRPr="007114AF">
        <w:rPr>
          <w:rFonts w:ascii="Garamond" w:hAnsi="Garamond"/>
          <w:sz w:val="24"/>
          <w:szCs w:val="24"/>
        </w:rPr>
        <w:t>Administrimin e Fondit Kombëtar të Pyjeve dhe Kullotave në Republikën e Shqipërisë</w:t>
      </w:r>
      <w:r w:rsidR="000A2A01" w:rsidRPr="007114AF">
        <w:rPr>
          <w:rFonts w:ascii="Garamond" w:hAnsi="Garamond"/>
          <w:sz w:val="24"/>
          <w:szCs w:val="24"/>
        </w:rPr>
        <w:t>”</w:t>
      </w:r>
      <w:r w:rsidRPr="007114AF">
        <w:rPr>
          <w:rFonts w:ascii="Garamond" w:hAnsi="Garamond"/>
          <w:sz w:val="24"/>
          <w:szCs w:val="24"/>
        </w:rPr>
        <w:t>, që mund të hyjë në fuqi në të ardhmen e afërt.</w:t>
      </w:r>
    </w:p>
    <w:p w14:paraId="6EDCF521" w14:textId="77777777" w:rsidR="00281778" w:rsidRPr="007114AF" w:rsidRDefault="00281778" w:rsidP="00281778">
      <w:pPr>
        <w:spacing w:after="0" w:line="240" w:lineRule="auto"/>
        <w:ind w:firstLine="284"/>
        <w:rPr>
          <w:rFonts w:ascii="Garamond" w:hAnsi="Garamond"/>
          <w:b/>
          <w:sz w:val="24"/>
          <w:szCs w:val="24"/>
        </w:rPr>
      </w:pPr>
      <w:bookmarkStart w:id="64" w:name="_Toc484424485"/>
      <w:bookmarkStart w:id="65" w:name="_Toc450135235"/>
      <w:bookmarkStart w:id="66" w:name="_Toc450151838"/>
      <w:r w:rsidRPr="007114AF">
        <w:rPr>
          <w:rFonts w:ascii="Garamond" w:hAnsi="Garamond"/>
          <w:b/>
          <w:sz w:val="24"/>
          <w:szCs w:val="24"/>
        </w:rPr>
        <w:t>2.7 Përmbledhje e bilancit historik dhe të ardhshëm të GES-it</w:t>
      </w:r>
      <w:bookmarkEnd w:id="64"/>
      <w:bookmarkEnd w:id="65"/>
      <w:bookmarkEnd w:id="66"/>
    </w:p>
    <w:p w14:paraId="6EDCF522" w14:textId="77777777" w:rsidR="00281778" w:rsidRPr="007114AF" w:rsidRDefault="00281778" w:rsidP="00281778">
      <w:pPr>
        <w:spacing w:after="0" w:line="240" w:lineRule="auto"/>
        <w:ind w:firstLine="284"/>
        <w:rPr>
          <w:rFonts w:ascii="Garamond" w:hAnsi="Garamond"/>
          <w:sz w:val="24"/>
          <w:szCs w:val="24"/>
        </w:rPr>
      </w:pPr>
      <w:r w:rsidRPr="007114AF">
        <w:rPr>
          <w:rFonts w:ascii="Garamond" w:hAnsi="Garamond"/>
          <w:sz w:val="24"/>
          <w:szCs w:val="24"/>
        </w:rPr>
        <w:t xml:space="preserve">Burimi kryesor i të dhënave të shkarkimeve historike të GES-it, balancës dhe prirjeve të reduktimit paraqitet nga tre Komunikimet Kombëtare Shqiptare: Komunikimi i Parë Kombëtar (KPK) u paraqit në vitin 2002; Komunikimi i Dytë Kombëtar (KDK) në vitin 2009; dhe Komunikimi i Tretë Kombëtar (KTK) që do të paraqitet në vitin 2016 (ende në gjendje hartimi në kohën që po shkruajmë). </w:t>
      </w:r>
    </w:p>
    <w:p w14:paraId="6EDCF523" w14:textId="00AF0CC3" w:rsidR="00281778" w:rsidRPr="007114AF" w:rsidRDefault="00281778" w:rsidP="00281778">
      <w:pPr>
        <w:spacing w:after="0" w:line="240" w:lineRule="auto"/>
        <w:ind w:firstLine="284"/>
        <w:rPr>
          <w:rFonts w:ascii="Garamond" w:hAnsi="Garamond"/>
          <w:sz w:val="24"/>
          <w:szCs w:val="24"/>
        </w:rPr>
      </w:pPr>
      <w:r w:rsidRPr="007114AF">
        <w:rPr>
          <w:rFonts w:ascii="Garamond" w:hAnsi="Garamond"/>
          <w:sz w:val="24"/>
          <w:szCs w:val="24"/>
        </w:rPr>
        <w:t>KPK-ja për Shqipërinë</w:t>
      </w:r>
      <w:r w:rsidR="00862C8C" w:rsidRPr="007114AF">
        <w:rPr>
          <w:rFonts w:ascii="Garamond" w:hAnsi="Garamond"/>
          <w:sz w:val="24"/>
          <w:szCs w:val="24"/>
        </w:rPr>
        <w:t xml:space="preserve"> </w:t>
      </w:r>
      <w:r w:rsidRPr="007114AF">
        <w:rPr>
          <w:rFonts w:ascii="Garamond" w:hAnsi="Garamond"/>
          <w:sz w:val="24"/>
          <w:szCs w:val="24"/>
        </w:rPr>
        <w:t>ishte inventari i parë i zbatuar i shkarkimeve të GES-it,</w:t>
      </w:r>
      <w:r w:rsidR="00862C8C" w:rsidRPr="007114AF">
        <w:rPr>
          <w:rFonts w:ascii="Garamond" w:hAnsi="Garamond"/>
          <w:sz w:val="24"/>
          <w:szCs w:val="24"/>
        </w:rPr>
        <w:t xml:space="preserve"> </w:t>
      </w:r>
      <w:r w:rsidRPr="007114AF">
        <w:rPr>
          <w:rFonts w:ascii="Garamond" w:hAnsi="Garamond"/>
          <w:sz w:val="24"/>
          <w:szCs w:val="24"/>
        </w:rPr>
        <w:t>sipas burimeve dhe përthithësve</w:t>
      </w:r>
      <w:r w:rsidR="00862C8C" w:rsidRPr="007114AF">
        <w:rPr>
          <w:rFonts w:ascii="Garamond" w:hAnsi="Garamond"/>
          <w:sz w:val="24"/>
          <w:szCs w:val="24"/>
        </w:rPr>
        <w:t xml:space="preserve"> </w:t>
      </w:r>
      <w:r w:rsidRPr="007114AF">
        <w:rPr>
          <w:rFonts w:ascii="Garamond" w:hAnsi="Garamond"/>
          <w:sz w:val="24"/>
          <w:szCs w:val="24"/>
        </w:rPr>
        <w:t>për Shqipërinë. Sipas Udhëzimeve</w:t>
      </w:r>
      <w:r w:rsidR="00733D2C">
        <w:rPr>
          <w:rFonts w:ascii="Garamond" w:hAnsi="Garamond"/>
          <w:sz w:val="24"/>
          <w:szCs w:val="24"/>
        </w:rPr>
        <w:t xml:space="preserve"> </w:t>
      </w:r>
      <w:r w:rsidRPr="007114AF">
        <w:rPr>
          <w:rFonts w:ascii="Garamond" w:hAnsi="Garamond"/>
          <w:sz w:val="24"/>
          <w:szCs w:val="24"/>
        </w:rPr>
        <w:t>IPCC-ë të rishikuara në vitin 1996, ajo merrte në konsideratë pesë sektorë kryesorë— energjinë, proceset industriale, bujqësinë, mbetjet dhe LUCF-ja – tre GES-e direkte – CO</w:t>
      </w:r>
      <w:r w:rsidRPr="007114AF">
        <w:rPr>
          <w:rFonts w:ascii="Garamond" w:hAnsi="Garamond"/>
          <w:sz w:val="24"/>
          <w:szCs w:val="24"/>
          <w:vertAlign w:val="subscript"/>
        </w:rPr>
        <w:t>2</w:t>
      </w:r>
      <w:r w:rsidRPr="007114AF">
        <w:rPr>
          <w:rFonts w:ascii="Garamond" w:hAnsi="Garamond"/>
          <w:sz w:val="24"/>
          <w:szCs w:val="24"/>
        </w:rPr>
        <w:t>, CH</w:t>
      </w:r>
      <w:r w:rsidRPr="007114AF">
        <w:rPr>
          <w:rFonts w:ascii="Garamond" w:hAnsi="Garamond"/>
          <w:sz w:val="24"/>
          <w:szCs w:val="24"/>
          <w:vertAlign w:val="subscript"/>
        </w:rPr>
        <w:t>4</w:t>
      </w:r>
      <w:r w:rsidRPr="007114AF">
        <w:rPr>
          <w:rFonts w:ascii="Garamond" w:hAnsi="Garamond"/>
          <w:sz w:val="24"/>
          <w:szCs w:val="24"/>
        </w:rPr>
        <w:t>dhe N</w:t>
      </w:r>
      <w:r w:rsidRPr="007114AF">
        <w:rPr>
          <w:rFonts w:ascii="Garamond" w:hAnsi="Garamond"/>
          <w:sz w:val="24"/>
          <w:szCs w:val="24"/>
          <w:vertAlign w:val="subscript"/>
        </w:rPr>
        <w:t>2</w:t>
      </w:r>
      <w:r w:rsidRPr="007114AF">
        <w:rPr>
          <w:rFonts w:ascii="Garamond" w:hAnsi="Garamond"/>
          <w:sz w:val="24"/>
          <w:szCs w:val="24"/>
        </w:rPr>
        <w:t>O – dhe tre indirekte – CO, NOx, si dhe përbërësit organikë shpërthyes jometan</w:t>
      </w:r>
      <w:r w:rsidR="00862C8C" w:rsidRPr="007114AF">
        <w:rPr>
          <w:rFonts w:ascii="Garamond" w:hAnsi="Garamond"/>
          <w:sz w:val="24"/>
          <w:szCs w:val="24"/>
        </w:rPr>
        <w:t xml:space="preserve"> </w:t>
      </w:r>
      <w:r w:rsidRPr="007114AF">
        <w:rPr>
          <w:rFonts w:ascii="Garamond" w:hAnsi="Garamond"/>
          <w:sz w:val="24"/>
          <w:szCs w:val="24"/>
        </w:rPr>
        <w:t>(NMVOC). Viti referencë ishte 1994, ndërsa seritë kohore 1990-1994 u përdorën vetëm për kategorinë e shkarkimeve CO</w:t>
      </w:r>
      <w:r w:rsidRPr="007114AF">
        <w:rPr>
          <w:rFonts w:ascii="Garamond" w:hAnsi="Garamond"/>
          <w:sz w:val="24"/>
          <w:szCs w:val="24"/>
          <w:vertAlign w:val="subscript"/>
        </w:rPr>
        <w:t>2</w:t>
      </w:r>
      <w:r w:rsidR="00714518" w:rsidRPr="007114AF">
        <w:rPr>
          <w:rFonts w:ascii="Garamond" w:hAnsi="Garamond"/>
          <w:sz w:val="24"/>
          <w:szCs w:val="24"/>
        </w:rPr>
        <w:t xml:space="preserve"> </w:t>
      </w:r>
      <w:r w:rsidRPr="007114AF">
        <w:rPr>
          <w:rFonts w:ascii="Garamond" w:hAnsi="Garamond"/>
          <w:sz w:val="24"/>
          <w:szCs w:val="24"/>
        </w:rPr>
        <w:t>nga djegia e lëndëve djegëse.</w:t>
      </w:r>
    </w:p>
    <w:p w14:paraId="6EDCF524" w14:textId="0BACD406" w:rsidR="00281778" w:rsidRPr="007114AF" w:rsidRDefault="00281778" w:rsidP="00281778">
      <w:pPr>
        <w:spacing w:after="0" w:line="240" w:lineRule="auto"/>
        <w:ind w:firstLine="284"/>
        <w:rPr>
          <w:rFonts w:ascii="Garamond" w:hAnsi="Garamond"/>
          <w:sz w:val="24"/>
          <w:szCs w:val="24"/>
        </w:rPr>
      </w:pPr>
      <w:r w:rsidRPr="007114AF">
        <w:rPr>
          <w:rFonts w:ascii="Garamond" w:hAnsi="Garamond"/>
          <w:sz w:val="24"/>
          <w:szCs w:val="24"/>
        </w:rPr>
        <w:t>KDK-ja për Shqipërinë u publikua në vitin 2009 dhe mbulon periudhën 1990</w:t>
      </w:r>
      <w:r w:rsidR="00733D2C">
        <w:t>–</w:t>
      </w:r>
      <w:r w:rsidRPr="007114AF">
        <w:rPr>
          <w:rFonts w:ascii="Garamond" w:hAnsi="Garamond"/>
          <w:sz w:val="24"/>
          <w:szCs w:val="24"/>
        </w:rPr>
        <w:t xml:space="preserve">2000 për gjashtë kategori kryesore, të rekomanduara nga </w:t>
      </w:r>
      <w:r w:rsidR="00714518" w:rsidRPr="007114AF">
        <w:rPr>
          <w:rFonts w:ascii="Garamond" w:hAnsi="Garamond"/>
          <w:sz w:val="24"/>
          <w:szCs w:val="24"/>
        </w:rPr>
        <w:t>u</w:t>
      </w:r>
      <w:r w:rsidRPr="007114AF">
        <w:rPr>
          <w:rFonts w:ascii="Garamond" w:hAnsi="Garamond"/>
          <w:sz w:val="24"/>
          <w:szCs w:val="24"/>
        </w:rPr>
        <w:t xml:space="preserve">dhëzimet </w:t>
      </w:r>
      <w:r w:rsidR="00714518" w:rsidRPr="007114AF">
        <w:rPr>
          <w:rFonts w:ascii="Garamond" w:hAnsi="Garamond"/>
          <w:sz w:val="24"/>
          <w:szCs w:val="24"/>
        </w:rPr>
        <w:t xml:space="preserve">e </w:t>
      </w:r>
      <w:r w:rsidRPr="007114AF">
        <w:rPr>
          <w:rFonts w:ascii="Garamond" w:hAnsi="Garamond"/>
          <w:sz w:val="24"/>
          <w:szCs w:val="24"/>
        </w:rPr>
        <w:t>IPCC-</w:t>
      </w:r>
      <w:r w:rsidR="00714518" w:rsidRPr="007114AF">
        <w:rPr>
          <w:rFonts w:ascii="Garamond" w:hAnsi="Garamond"/>
          <w:sz w:val="24"/>
          <w:szCs w:val="24"/>
        </w:rPr>
        <w:t>s</w:t>
      </w:r>
      <w:r w:rsidRPr="007114AF">
        <w:rPr>
          <w:rFonts w:ascii="Garamond" w:hAnsi="Garamond"/>
          <w:sz w:val="24"/>
          <w:szCs w:val="24"/>
        </w:rPr>
        <w:t>ë</w:t>
      </w:r>
      <w:r w:rsidR="00862C8C" w:rsidRPr="007114AF">
        <w:rPr>
          <w:rFonts w:ascii="Garamond" w:hAnsi="Garamond"/>
          <w:sz w:val="24"/>
          <w:szCs w:val="24"/>
        </w:rPr>
        <w:t xml:space="preserve"> </w:t>
      </w:r>
      <w:r w:rsidRPr="007114AF">
        <w:rPr>
          <w:rFonts w:ascii="Garamond" w:hAnsi="Garamond"/>
          <w:sz w:val="24"/>
          <w:szCs w:val="24"/>
        </w:rPr>
        <w:t>të rishikuara në 1996: aktivitetet e energjisë (përfshirë gjithë llojet e aktivitetit lidhur me nxjerrjen, transportimin, përpunimin dhe djegien e lëndëve djegëse), proceset industriale,</w:t>
      </w:r>
      <w:r w:rsidR="00862C8C" w:rsidRPr="007114AF">
        <w:rPr>
          <w:rFonts w:ascii="Garamond" w:hAnsi="Garamond"/>
          <w:sz w:val="24"/>
          <w:szCs w:val="24"/>
        </w:rPr>
        <w:t xml:space="preserve"> </w:t>
      </w:r>
      <w:r w:rsidRPr="007114AF">
        <w:rPr>
          <w:rFonts w:ascii="Garamond" w:hAnsi="Garamond"/>
          <w:sz w:val="24"/>
          <w:szCs w:val="24"/>
        </w:rPr>
        <w:t>përdorimi i tretësve dhe produkteve të tjera, bujqësia, ndryshimi i përdorimit të tokës dhe pyjet, si dhe mbetjet. Inventari GES-it</w:t>
      </w:r>
      <w:r w:rsidR="00862C8C" w:rsidRPr="007114AF">
        <w:rPr>
          <w:rFonts w:ascii="Garamond" w:hAnsi="Garamond"/>
          <w:sz w:val="24"/>
          <w:szCs w:val="24"/>
        </w:rPr>
        <w:t xml:space="preserve"> </w:t>
      </w:r>
      <w:r w:rsidRPr="007114AF">
        <w:rPr>
          <w:rFonts w:ascii="Garamond" w:hAnsi="Garamond"/>
          <w:sz w:val="24"/>
          <w:szCs w:val="24"/>
        </w:rPr>
        <w:t>merr në konsideratë tre GES-e direkte (CO</w:t>
      </w:r>
      <w:r w:rsidRPr="007114AF">
        <w:rPr>
          <w:rFonts w:ascii="Garamond" w:hAnsi="Garamond"/>
          <w:sz w:val="24"/>
          <w:szCs w:val="24"/>
          <w:vertAlign w:val="subscript"/>
        </w:rPr>
        <w:t>2</w:t>
      </w:r>
      <w:r w:rsidRPr="007114AF">
        <w:rPr>
          <w:rFonts w:ascii="Garamond" w:hAnsi="Garamond"/>
          <w:sz w:val="24"/>
          <w:szCs w:val="24"/>
        </w:rPr>
        <w:t>, CH</w:t>
      </w:r>
      <w:r w:rsidRPr="007114AF">
        <w:rPr>
          <w:rFonts w:ascii="Garamond" w:hAnsi="Garamond"/>
          <w:sz w:val="24"/>
          <w:szCs w:val="24"/>
          <w:vertAlign w:val="subscript"/>
        </w:rPr>
        <w:t>4</w:t>
      </w:r>
      <w:r w:rsidRPr="007114AF">
        <w:rPr>
          <w:rFonts w:ascii="Garamond" w:hAnsi="Garamond"/>
          <w:sz w:val="24"/>
          <w:szCs w:val="24"/>
        </w:rPr>
        <w:t xml:space="preserve"> dhe N</w:t>
      </w:r>
      <w:r w:rsidRPr="007114AF">
        <w:rPr>
          <w:rFonts w:ascii="Garamond" w:hAnsi="Garamond"/>
          <w:sz w:val="24"/>
          <w:szCs w:val="24"/>
          <w:vertAlign w:val="subscript"/>
        </w:rPr>
        <w:t>2</w:t>
      </w:r>
      <w:r w:rsidRPr="007114AF">
        <w:rPr>
          <w:rFonts w:ascii="Garamond" w:hAnsi="Garamond"/>
          <w:sz w:val="24"/>
          <w:szCs w:val="24"/>
        </w:rPr>
        <w:t>O) dhe shkarkime GES-i</w:t>
      </w:r>
      <w:r w:rsidR="00862C8C" w:rsidRPr="007114AF">
        <w:rPr>
          <w:rFonts w:ascii="Garamond" w:hAnsi="Garamond"/>
          <w:sz w:val="24"/>
          <w:szCs w:val="24"/>
        </w:rPr>
        <w:t xml:space="preserve"> </w:t>
      </w:r>
      <w:r w:rsidRPr="007114AF">
        <w:rPr>
          <w:rFonts w:ascii="Garamond" w:hAnsi="Garamond"/>
          <w:sz w:val="24"/>
          <w:szCs w:val="24"/>
        </w:rPr>
        <w:t>indirekte (CO, NOx, SOx dhe NMVOC). Veç kësaj, lidhur me KPK-në, përfshihen PFCs dhe SF6të vlerësimeve HFCs. Vlerësimi nga KDK-ja i serive kohore GES</w:t>
      </w:r>
      <w:r w:rsidR="00D71436">
        <w:rPr>
          <w:rFonts w:ascii="Garamond" w:hAnsi="Garamond"/>
          <w:sz w:val="24"/>
          <w:szCs w:val="24"/>
        </w:rPr>
        <w:t xml:space="preserve"> </w:t>
      </w:r>
      <w:r w:rsidRPr="007114AF">
        <w:rPr>
          <w:rFonts w:ascii="Garamond" w:hAnsi="Garamond"/>
          <w:sz w:val="24"/>
          <w:szCs w:val="24"/>
        </w:rPr>
        <w:t>të periudhës (1990</w:t>
      </w:r>
      <w:r w:rsidR="00E85488" w:rsidRPr="007114AF">
        <w:rPr>
          <w:rFonts w:ascii="Garamond" w:hAnsi="Garamond"/>
          <w:sz w:val="24"/>
          <w:szCs w:val="24"/>
        </w:rPr>
        <w:t>–</w:t>
      </w:r>
      <w:r w:rsidRPr="007114AF">
        <w:rPr>
          <w:rFonts w:ascii="Garamond" w:hAnsi="Garamond"/>
          <w:sz w:val="24"/>
          <w:szCs w:val="24"/>
        </w:rPr>
        <w:t>2000)</w:t>
      </w:r>
      <w:r w:rsidR="00E85488" w:rsidRPr="007114AF">
        <w:rPr>
          <w:rFonts w:ascii="Garamond" w:hAnsi="Garamond"/>
          <w:sz w:val="24"/>
          <w:szCs w:val="24"/>
        </w:rPr>
        <w:t xml:space="preserve"> </w:t>
      </w:r>
      <w:r w:rsidRPr="007114AF">
        <w:rPr>
          <w:rFonts w:ascii="Garamond" w:hAnsi="Garamond"/>
          <w:sz w:val="24"/>
          <w:szCs w:val="24"/>
        </w:rPr>
        <w:t>përfshin gjithashtu rillogaritjen për vitin 1994.</w:t>
      </w:r>
    </w:p>
    <w:p w14:paraId="6EDCF525" w14:textId="6628BF5C" w:rsidR="00281778" w:rsidRPr="007114AF" w:rsidRDefault="00281778" w:rsidP="00281778">
      <w:pPr>
        <w:spacing w:after="0" w:line="240" w:lineRule="auto"/>
        <w:ind w:firstLine="284"/>
        <w:rPr>
          <w:rFonts w:ascii="Garamond" w:hAnsi="Garamond"/>
          <w:sz w:val="24"/>
          <w:szCs w:val="24"/>
        </w:rPr>
      </w:pPr>
      <w:r w:rsidRPr="007114AF">
        <w:rPr>
          <w:rFonts w:ascii="Garamond" w:hAnsi="Garamond"/>
          <w:sz w:val="24"/>
          <w:szCs w:val="24"/>
        </w:rPr>
        <w:t>KTK-ja për Shqipërinë mbulon seritë kohore të përpunuara për periudhën 2000</w:t>
      </w:r>
      <w:r w:rsidR="00E85488" w:rsidRPr="007114AF">
        <w:rPr>
          <w:rFonts w:ascii="Garamond" w:hAnsi="Garamond"/>
          <w:sz w:val="24"/>
          <w:szCs w:val="24"/>
        </w:rPr>
        <w:t>–</w:t>
      </w:r>
      <w:r w:rsidRPr="007114AF">
        <w:rPr>
          <w:rFonts w:ascii="Garamond" w:hAnsi="Garamond"/>
          <w:sz w:val="24"/>
          <w:szCs w:val="24"/>
        </w:rPr>
        <w:t xml:space="preserve">2009 dhe siguron një analizë më të ngushtuar dhe më të thellë se inventari i mëparshëm (nivele më të </w:t>
      </w:r>
      <w:r w:rsidRPr="007114AF">
        <w:rPr>
          <w:rFonts w:ascii="Garamond" w:hAnsi="Garamond"/>
          <w:sz w:val="24"/>
          <w:szCs w:val="24"/>
        </w:rPr>
        <w:lastRenderedPageBreak/>
        <w:t>detajuara aktiviteti, nëse e lejojnë të dhënat) me vit bazë 2005, viti i fundit për të cilin ka të dhëna të plota të regjistruara. Që prej KDK-ës, nuk ka pasur studime të mëdha për përmirësimin e faktorëve të shkarkimit apo vlerësime të tjera. Udhëzimet IPCC-ë</w:t>
      </w:r>
      <w:r w:rsidR="00AA3BEF" w:rsidRPr="007114AF">
        <w:rPr>
          <w:rFonts w:ascii="Garamond" w:hAnsi="Garamond"/>
          <w:sz w:val="24"/>
          <w:szCs w:val="24"/>
        </w:rPr>
        <w:t xml:space="preserve"> </w:t>
      </w:r>
      <w:r w:rsidRPr="007114AF">
        <w:rPr>
          <w:rFonts w:ascii="Garamond" w:hAnsi="Garamond"/>
          <w:sz w:val="24"/>
          <w:szCs w:val="24"/>
        </w:rPr>
        <w:t>të rishikuara (1996) aplikohen për gjithë kategoritë. Duke pasur parasysh rolin e aktivitetit të energjisë, inventari ka adoptuar nivelet e larta të metodologjisë IPCC-ë</w:t>
      </w:r>
      <w:r w:rsidR="00AA3BEF" w:rsidRPr="007114AF">
        <w:rPr>
          <w:rFonts w:ascii="Garamond" w:hAnsi="Garamond"/>
          <w:sz w:val="24"/>
          <w:szCs w:val="24"/>
        </w:rPr>
        <w:t xml:space="preserve"> </w:t>
      </w:r>
      <w:r w:rsidRPr="007114AF">
        <w:rPr>
          <w:rFonts w:ascii="Garamond" w:hAnsi="Garamond"/>
          <w:sz w:val="24"/>
          <w:szCs w:val="24"/>
        </w:rPr>
        <w:t>dhe ka ruajtur një fokus të fuqishëm te vlefshmëria e të dhënave për sektorët e energjisë dhe transportit.</w:t>
      </w:r>
    </w:p>
    <w:p w14:paraId="6EDCF526" w14:textId="570CAC5C" w:rsidR="00281778" w:rsidRPr="007114AF" w:rsidRDefault="00281778" w:rsidP="00281778">
      <w:pPr>
        <w:spacing w:after="0" w:line="240" w:lineRule="auto"/>
        <w:ind w:firstLine="284"/>
        <w:rPr>
          <w:rFonts w:ascii="Garamond" w:hAnsi="Garamond"/>
          <w:sz w:val="24"/>
          <w:szCs w:val="24"/>
        </w:rPr>
      </w:pPr>
      <w:r w:rsidRPr="007114AF">
        <w:rPr>
          <w:rFonts w:ascii="Garamond" w:hAnsi="Garamond"/>
          <w:sz w:val="24"/>
          <w:szCs w:val="24"/>
        </w:rPr>
        <w:t>Të dhënat më të fundit historike mbi shkarkimet GES për vitet 2012 dhe 2015, janë gjithashtu të disponueshme në studimin e kryer për Kontributin Kombëtar të Pikësynuar (INDC), paraqitur nga Shqipëria</w:t>
      </w:r>
      <w:r w:rsidR="000A2A01" w:rsidRPr="007114AF">
        <w:rPr>
          <w:rFonts w:ascii="Garamond" w:hAnsi="Garamond"/>
          <w:sz w:val="24"/>
          <w:szCs w:val="24"/>
        </w:rPr>
        <w:t xml:space="preserve"> </w:t>
      </w:r>
      <w:r w:rsidRPr="007114AF">
        <w:rPr>
          <w:rFonts w:ascii="Garamond" w:hAnsi="Garamond"/>
          <w:sz w:val="24"/>
          <w:szCs w:val="24"/>
        </w:rPr>
        <w:t xml:space="preserve">në kuadër të procesit të UNFCCC-ës në vitin 2016, megjithatë, këto të dhëna janë limituar vetëm për sektorët e </w:t>
      </w:r>
      <w:r w:rsidR="00C6608F" w:rsidRPr="007114AF">
        <w:rPr>
          <w:rFonts w:ascii="Garamond" w:hAnsi="Garamond"/>
          <w:sz w:val="24"/>
          <w:szCs w:val="24"/>
        </w:rPr>
        <w:t>e</w:t>
      </w:r>
      <w:r w:rsidRPr="007114AF">
        <w:rPr>
          <w:rFonts w:ascii="Garamond" w:hAnsi="Garamond"/>
          <w:sz w:val="24"/>
          <w:szCs w:val="24"/>
        </w:rPr>
        <w:t xml:space="preserve">nergjisë, të proceseve </w:t>
      </w:r>
      <w:r w:rsidR="00C6608F" w:rsidRPr="007114AF">
        <w:rPr>
          <w:rFonts w:ascii="Garamond" w:hAnsi="Garamond"/>
          <w:sz w:val="24"/>
          <w:szCs w:val="24"/>
        </w:rPr>
        <w:t>i</w:t>
      </w:r>
      <w:r w:rsidRPr="007114AF">
        <w:rPr>
          <w:rFonts w:ascii="Garamond" w:hAnsi="Garamond"/>
          <w:sz w:val="24"/>
          <w:szCs w:val="24"/>
        </w:rPr>
        <w:t>ndustriale dhe p</w:t>
      </w:r>
      <w:r w:rsidR="00AA3BEF" w:rsidRPr="007114AF">
        <w:rPr>
          <w:rFonts w:ascii="Garamond" w:hAnsi="Garamond"/>
          <w:sz w:val="24"/>
          <w:szCs w:val="24"/>
        </w:rPr>
        <w:t>ë</w:t>
      </w:r>
      <w:r w:rsidRPr="007114AF">
        <w:rPr>
          <w:rFonts w:ascii="Garamond" w:hAnsi="Garamond"/>
          <w:sz w:val="24"/>
          <w:szCs w:val="24"/>
        </w:rPr>
        <w:t>r gazin CO</w:t>
      </w:r>
      <w:r w:rsidRPr="007114AF">
        <w:rPr>
          <w:rFonts w:ascii="Garamond" w:hAnsi="Garamond"/>
          <w:sz w:val="24"/>
          <w:szCs w:val="24"/>
          <w:vertAlign w:val="subscript"/>
        </w:rPr>
        <w:t>2</w:t>
      </w:r>
      <w:r w:rsidRPr="007114AF">
        <w:rPr>
          <w:rFonts w:ascii="Garamond" w:hAnsi="Garamond"/>
          <w:sz w:val="24"/>
          <w:szCs w:val="24"/>
        </w:rPr>
        <w:t xml:space="preserve"> (këto të dhëna janë paraqitur në kapitullin 2.7.2).</w:t>
      </w:r>
    </w:p>
    <w:p w14:paraId="6EDCF527" w14:textId="6B394367" w:rsidR="00281778" w:rsidRPr="007114AF" w:rsidRDefault="00281778" w:rsidP="00281778">
      <w:pPr>
        <w:spacing w:after="0" w:line="240" w:lineRule="auto"/>
        <w:ind w:firstLine="284"/>
        <w:rPr>
          <w:rFonts w:ascii="Garamond" w:hAnsi="Garamond"/>
          <w:sz w:val="24"/>
          <w:szCs w:val="24"/>
        </w:rPr>
      </w:pPr>
      <w:r w:rsidRPr="007114AF">
        <w:rPr>
          <w:rFonts w:ascii="Garamond" w:hAnsi="Garamond"/>
          <w:sz w:val="24"/>
          <w:szCs w:val="24"/>
        </w:rPr>
        <w:t>Parashikimet e ardhshme të prirjeve të shkarkimeve sigurohen në</w:t>
      </w:r>
      <w:r w:rsidR="00AA3BEF" w:rsidRPr="007114AF">
        <w:rPr>
          <w:rFonts w:ascii="Garamond" w:hAnsi="Garamond"/>
          <w:sz w:val="24"/>
          <w:szCs w:val="24"/>
        </w:rPr>
        <w:t xml:space="preserve"> </w:t>
      </w:r>
      <w:r w:rsidRPr="007114AF">
        <w:rPr>
          <w:rFonts w:ascii="Garamond" w:hAnsi="Garamond"/>
          <w:sz w:val="24"/>
          <w:szCs w:val="24"/>
        </w:rPr>
        <w:t xml:space="preserve">KTK-ën </w:t>
      </w:r>
      <w:r w:rsidR="000A2A01" w:rsidRPr="007114AF">
        <w:rPr>
          <w:rFonts w:ascii="Garamond" w:hAnsi="Garamond"/>
          <w:sz w:val="24"/>
          <w:szCs w:val="24"/>
        </w:rPr>
        <w:t>“</w:t>
      </w:r>
      <w:r w:rsidRPr="007114AF">
        <w:rPr>
          <w:rFonts w:ascii="Garamond" w:hAnsi="Garamond"/>
          <w:sz w:val="24"/>
          <w:szCs w:val="24"/>
        </w:rPr>
        <w:t>Analiza e masave zbutëse për shkarkimet e GES-it</w:t>
      </w:r>
      <w:r w:rsidR="000A2A01" w:rsidRPr="007114AF">
        <w:rPr>
          <w:rFonts w:ascii="Garamond" w:hAnsi="Garamond"/>
          <w:sz w:val="24"/>
          <w:szCs w:val="24"/>
        </w:rPr>
        <w:t>”</w:t>
      </w:r>
      <w:r w:rsidRPr="007114AF">
        <w:rPr>
          <w:rFonts w:ascii="Garamond" w:hAnsi="Garamond"/>
          <w:sz w:val="24"/>
          <w:szCs w:val="24"/>
        </w:rPr>
        <w:t xml:space="preserve">, seksionet për sektorët e </w:t>
      </w:r>
      <w:r w:rsidR="00C6608F" w:rsidRPr="007114AF">
        <w:rPr>
          <w:rFonts w:ascii="Garamond" w:hAnsi="Garamond"/>
          <w:sz w:val="24"/>
          <w:szCs w:val="24"/>
        </w:rPr>
        <w:t>b</w:t>
      </w:r>
      <w:r w:rsidRPr="007114AF">
        <w:rPr>
          <w:rFonts w:ascii="Garamond" w:hAnsi="Garamond"/>
          <w:sz w:val="24"/>
          <w:szCs w:val="24"/>
        </w:rPr>
        <w:t xml:space="preserve">ujqësisë, LUCF-ës dhe Energjisë dhe në studimin e kryer për INDC-ën, që mbulon sektorët e </w:t>
      </w:r>
      <w:r w:rsidR="00C6608F" w:rsidRPr="007114AF">
        <w:rPr>
          <w:rFonts w:ascii="Garamond" w:hAnsi="Garamond"/>
          <w:sz w:val="24"/>
          <w:szCs w:val="24"/>
        </w:rPr>
        <w:t>e</w:t>
      </w:r>
      <w:r w:rsidRPr="007114AF">
        <w:rPr>
          <w:rFonts w:ascii="Garamond" w:hAnsi="Garamond"/>
          <w:sz w:val="24"/>
          <w:szCs w:val="24"/>
        </w:rPr>
        <w:t>nergjisë dhe të proceseve Industriale të limituara për shkarkimet e CO</w:t>
      </w:r>
      <w:r w:rsidRPr="007114AF">
        <w:rPr>
          <w:rFonts w:ascii="Garamond" w:hAnsi="Garamond"/>
          <w:sz w:val="24"/>
          <w:szCs w:val="24"/>
          <w:vertAlign w:val="subscript"/>
        </w:rPr>
        <w:t>2</w:t>
      </w:r>
      <w:r w:rsidRPr="007114AF">
        <w:rPr>
          <w:rFonts w:ascii="Garamond" w:hAnsi="Garamond"/>
          <w:sz w:val="24"/>
          <w:szCs w:val="24"/>
        </w:rPr>
        <w:t>.</w:t>
      </w:r>
      <w:r w:rsidR="00772BE7" w:rsidRPr="007114AF">
        <w:rPr>
          <w:rFonts w:ascii="Garamond" w:hAnsi="Garamond"/>
          <w:sz w:val="24"/>
          <w:szCs w:val="24"/>
        </w:rPr>
        <w:t xml:space="preserve"> </w:t>
      </w:r>
      <w:r w:rsidRPr="007114AF">
        <w:rPr>
          <w:rFonts w:ascii="Garamond" w:hAnsi="Garamond"/>
          <w:sz w:val="24"/>
          <w:szCs w:val="24"/>
        </w:rPr>
        <w:t>Të dy studimet përmbajnë një bazë dhe parashikime të skenarëve të shkarkimeve në kuadrin e opsioneve të masave zbutëse për periudhën 2020</w:t>
      </w:r>
      <w:r w:rsidR="00C6608F" w:rsidRPr="007114AF">
        <w:rPr>
          <w:rFonts w:ascii="Garamond" w:hAnsi="Garamond"/>
          <w:sz w:val="24"/>
          <w:szCs w:val="24"/>
        </w:rPr>
        <w:t>–</w:t>
      </w:r>
      <w:r w:rsidRPr="007114AF">
        <w:rPr>
          <w:rFonts w:ascii="Garamond" w:hAnsi="Garamond"/>
          <w:sz w:val="24"/>
          <w:szCs w:val="24"/>
        </w:rPr>
        <w:t xml:space="preserve">2030. </w:t>
      </w:r>
    </w:p>
    <w:p w14:paraId="6EDCF528" w14:textId="77777777" w:rsidR="00281778" w:rsidRPr="007114AF" w:rsidRDefault="000327A8" w:rsidP="00281778">
      <w:pPr>
        <w:spacing w:after="0" w:line="240" w:lineRule="auto"/>
        <w:ind w:firstLine="284"/>
        <w:rPr>
          <w:rFonts w:ascii="Garamond" w:hAnsi="Garamond"/>
          <w:b/>
          <w:sz w:val="24"/>
          <w:szCs w:val="24"/>
        </w:rPr>
      </w:pPr>
      <w:bookmarkStart w:id="67" w:name="_Toc484424486"/>
      <w:bookmarkStart w:id="68" w:name="_Toc449537127"/>
      <w:bookmarkStart w:id="69" w:name="_Toc450135236"/>
      <w:bookmarkStart w:id="70" w:name="_Toc450151839"/>
      <w:bookmarkStart w:id="71" w:name="_Toc446403346"/>
      <w:r w:rsidRPr="007114AF">
        <w:rPr>
          <w:rFonts w:ascii="Garamond" w:hAnsi="Garamond"/>
          <w:b/>
          <w:sz w:val="24"/>
          <w:szCs w:val="24"/>
        </w:rPr>
        <w:t xml:space="preserve">2.7.1 </w:t>
      </w:r>
      <w:r w:rsidR="00281778" w:rsidRPr="007114AF">
        <w:rPr>
          <w:rFonts w:ascii="Garamond" w:hAnsi="Garamond"/>
          <w:b/>
          <w:sz w:val="24"/>
          <w:szCs w:val="24"/>
        </w:rPr>
        <w:t>Analiza e prirjeve historike të shkarkimeve GES</w:t>
      </w:r>
      <w:bookmarkEnd w:id="67"/>
      <w:bookmarkEnd w:id="68"/>
      <w:bookmarkEnd w:id="69"/>
      <w:bookmarkEnd w:id="70"/>
      <w:bookmarkEnd w:id="71"/>
    </w:p>
    <w:p w14:paraId="6EDCF529" w14:textId="4925B3E1" w:rsidR="00281778" w:rsidRPr="007114AF" w:rsidRDefault="00281778" w:rsidP="00281778">
      <w:pPr>
        <w:spacing w:after="0" w:line="240" w:lineRule="auto"/>
        <w:ind w:firstLine="284"/>
        <w:rPr>
          <w:rFonts w:ascii="Garamond" w:hAnsi="Garamond"/>
          <w:sz w:val="24"/>
          <w:szCs w:val="24"/>
        </w:rPr>
      </w:pPr>
      <w:r w:rsidRPr="007114AF">
        <w:rPr>
          <w:rFonts w:ascii="Garamond" w:hAnsi="Garamond"/>
          <w:sz w:val="24"/>
          <w:szCs w:val="24"/>
        </w:rPr>
        <w:t>Sipas prirjeve të raportuara në Komunikatat Kombëtare Shqiptare (tabela 3), është bërë e mundur të rindërtohet një seri e plotë e prirjes historike të shkarkimeve GES, për periudhën 1990</w:t>
      </w:r>
      <w:r w:rsidR="00D71436">
        <w:t>–</w:t>
      </w:r>
      <w:r w:rsidRPr="007114AF">
        <w:rPr>
          <w:rFonts w:ascii="Garamond" w:hAnsi="Garamond"/>
          <w:sz w:val="24"/>
          <w:szCs w:val="24"/>
        </w:rPr>
        <w:t xml:space="preserve">2009, siç tregohet në figurën 16. </w:t>
      </w:r>
    </w:p>
    <w:p w14:paraId="6EDCF52A" w14:textId="33B96F9A" w:rsidR="00281778" w:rsidRPr="007114AF" w:rsidRDefault="00281778" w:rsidP="00281778">
      <w:pPr>
        <w:spacing w:after="0" w:line="240" w:lineRule="auto"/>
        <w:ind w:firstLine="284"/>
        <w:rPr>
          <w:rFonts w:ascii="Garamond" w:hAnsi="Garamond"/>
          <w:sz w:val="24"/>
          <w:szCs w:val="24"/>
        </w:rPr>
      </w:pPr>
      <w:r w:rsidRPr="007114AF">
        <w:rPr>
          <w:rFonts w:ascii="Garamond" w:hAnsi="Garamond"/>
          <w:sz w:val="24"/>
          <w:szCs w:val="24"/>
        </w:rPr>
        <w:t>Viti 1994 raportohet në kuadrin e KPK-ës, por rillogaritet në KDK-ë, si dhe për shkarkimet totale GES</w:t>
      </w:r>
      <w:r w:rsidR="00230F9E" w:rsidRPr="007114AF">
        <w:rPr>
          <w:rFonts w:ascii="Garamond" w:hAnsi="Garamond"/>
          <w:sz w:val="24"/>
          <w:szCs w:val="24"/>
        </w:rPr>
        <w:t xml:space="preserve"> </w:t>
      </w:r>
      <w:r w:rsidRPr="007114AF">
        <w:rPr>
          <w:rFonts w:ascii="Garamond" w:hAnsi="Garamond"/>
          <w:sz w:val="24"/>
          <w:szCs w:val="24"/>
        </w:rPr>
        <w:t>në vitin 2000 që zënë një total prej 7619.91 Gg CO</w:t>
      </w:r>
      <w:r w:rsidRPr="007114AF">
        <w:rPr>
          <w:rFonts w:ascii="Garamond" w:hAnsi="Garamond"/>
          <w:sz w:val="24"/>
          <w:szCs w:val="24"/>
          <w:vertAlign w:val="subscript"/>
        </w:rPr>
        <w:t>2</w:t>
      </w:r>
      <w:r w:rsidRPr="007114AF">
        <w:rPr>
          <w:rFonts w:ascii="Garamond" w:hAnsi="Garamond"/>
          <w:sz w:val="24"/>
          <w:szCs w:val="24"/>
        </w:rPr>
        <w:t xml:space="preserve">eq në KDK-ë, dhe rillogariten në një total prej 9075.00 Gg </w:t>
      </w:r>
      <w:r w:rsidRPr="00527EF5">
        <w:rPr>
          <w:rFonts w:ascii="Garamond" w:hAnsi="Garamond"/>
          <w:sz w:val="24"/>
          <w:szCs w:val="24"/>
        </w:rPr>
        <w:t>CO</w:t>
      </w:r>
      <w:r w:rsidRPr="00527EF5">
        <w:rPr>
          <w:rFonts w:ascii="Garamond" w:hAnsi="Garamond"/>
          <w:sz w:val="24"/>
          <w:szCs w:val="24"/>
          <w:vertAlign w:val="subscript"/>
        </w:rPr>
        <w:t>2</w:t>
      </w:r>
      <w:r w:rsidRPr="00527EF5">
        <w:rPr>
          <w:rFonts w:ascii="Garamond" w:hAnsi="Garamond"/>
          <w:sz w:val="24"/>
          <w:szCs w:val="24"/>
        </w:rPr>
        <w:t>eq</w:t>
      </w:r>
      <w:r w:rsidR="00251462" w:rsidRPr="00527EF5">
        <w:rPr>
          <w:rFonts w:ascii="Garamond" w:hAnsi="Garamond"/>
          <w:sz w:val="24"/>
          <w:szCs w:val="24"/>
        </w:rPr>
        <w:t xml:space="preserve"> </w:t>
      </w:r>
      <w:r w:rsidRPr="00527EF5">
        <w:rPr>
          <w:rFonts w:ascii="Garamond" w:hAnsi="Garamond"/>
          <w:sz w:val="24"/>
          <w:szCs w:val="24"/>
        </w:rPr>
        <w:t>në KTK-</w:t>
      </w:r>
      <w:r w:rsidRPr="007114AF">
        <w:rPr>
          <w:rFonts w:ascii="Garamond" w:hAnsi="Garamond"/>
          <w:sz w:val="24"/>
          <w:szCs w:val="24"/>
        </w:rPr>
        <w:t>ë.</w:t>
      </w:r>
    </w:p>
    <w:p w14:paraId="6EDCF52B" w14:textId="5F007CCD" w:rsidR="00281778" w:rsidRPr="007114AF" w:rsidRDefault="00281778" w:rsidP="00281778">
      <w:pPr>
        <w:spacing w:after="0" w:line="240" w:lineRule="auto"/>
        <w:ind w:firstLine="284"/>
        <w:rPr>
          <w:rFonts w:ascii="Garamond" w:hAnsi="Garamond"/>
          <w:sz w:val="24"/>
          <w:szCs w:val="24"/>
        </w:rPr>
      </w:pPr>
      <w:r w:rsidRPr="007114AF">
        <w:rPr>
          <w:rFonts w:ascii="Garamond" w:hAnsi="Garamond"/>
          <w:sz w:val="24"/>
          <w:szCs w:val="24"/>
        </w:rPr>
        <w:t xml:space="preserve">Diferenca shkaktohet kryesisht nga sektori pyjor, ku cilësia e të dhënave u përmirësua nga Inventari i Parë Kombëtar i Pyjeve (ANFI 2003, referuar vitit 2000), duke e ndryshuar vlerën nga viti 2000 nga 930 </w:t>
      </w:r>
      <w:r w:rsidRPr="00527EF5">
        <w:rPr>
          <w:rFonts w:ascii="Garamond" w:hAnsi="Garamond"/>
          <w:sz w:val="24"/>
          <w:szCs w:val="24"/>
        </w:rPr>
        <w:t>Gg CO</w:t>
      </w:r>
      <w:r w:rsidRPr="00527EF5">
        <w:rPr>
          <w:rFonts w:ascii="Garamond" w:hAnsi="Garamond"/>
          <w:sz w:val="24"/>
          <w:szCs w:val="24"/>
          <w:vertAlign w:val="subscript"/>
        </w:rPr>
        <w:t>2</w:t>
      </w:r>
      <w:r w:rsidRPr="00527EF5">
        <w:rPr>
          <w:rFonts w:ascii="Garamond" w:hAnsi="Garamond"/>
          <w:sz w:val="24"/>
          <w:szCs w:val="24"/>
        </w:rPr>
        <w:t xml:space="preserve">eq e </w:t>
      </w:r>
      <w:r w:rsidRPr="007114AF">
        <w:rPr>
          <w:rFonts w:ascii="Garamond" w:hAnsi="Garamond"/>
          <w:sz w:val="24"/>
          <w:szCs w:val="24"/>
        </w:rPr>
        <w:t>KDK-së</w:t>
      </w:r>
      <w:r w:rsidR="00C6608F" w:rsidRPr="007114AF">
        <w:rPr>
          <w:rFonts w:ascii="Garamond" w:hAnsi="Garamond"/>
          <w:sz w:val="24"/>
          <w:szCs w:val="24"/>
        </w:rPr>
        <w:t xml:space="preserve"> </w:t>
      </w:r>
      <w:r w:rsidRPr="007114AF">
        <w:rPr>
          <w:rFonts w:ascii="Garamond" w:hAnsi="Garamond"/>
          <w:sz w:val="24"/>
          <w:szCs w:val="24"/>
        </w:rPr>
        <w:t xml:space="preserve">në 2295 Gg </w:t>
      </w:r>
      <w:r w:rsidRPr="00527EF5">
        <w:rPr>
          <w:rFonts w:ascii="Garamond" w:hAnsi="Garamond"/>
          <w:sz w:val="24"/>
          <w:szCs w:val="24"/>
        </w:rPr>
        <w:t>CO</w:t>
      </w:r>
      <w:r w:rsidRPr="00527EF5">
        <w:rPr>
          <w:rFonts w:ascii="Garamond" w:hAnsi="Garamond"/>
          <w:sz w:val="24"/>
          <w:szCs w:val="24"/>
          <w:vertAlign w:val="subscript"/>
        </w:rPr>
        <w:t>2</w:t>
      </w:r>
      <w:r w:rsidRPr="00527EF5">
        <w:rPr>
          <w:rFonts w:ascii="Garamond" w:hAnsi="Garamond"/>
          <w:sz w:val="24"/>
          <w:szCs w:val="24"/>
        </w:rPr>
        <w:t>eq</w:t>
      </w:r>
      <w:r w:rsidRPr="007114AF">
        <w:rPr>
          <w:rFonts w:ascii="Garamond" w:hAnsi="Garamond"/>
          <w:sz w:val="24"/>
          <w:szCs w:val="24"/>
        </w:rPr>
        <w:t xml:space="preserve"> e KTK-ës. Gjithashtu, proceset industriale pësuan një rishikim të madh, duke i dyfishuar shkarkimet e tyre nga 264 Gg CO</w:t>
      </w:r>
      <w:r w:rsidRPr="007114AF">
        <w:rPr>
          <w:rFonts w:ascii="Garamond" w:hAnsi="Garamond"/>
          <w:sz w:val="24"/>
          <w:szCs w:val="24"/>
          <w:vertAlign w:val="subscript"/>
        </w:rPr>
        <w:t>2</w:t>
      </w:r>
      <w:r w:rsidRPr="007114AF">
        <w:rPr>
          <w:rFonts w:ascii="Garamond" w:hAnsi="Garamond"/>
          <w:sz w:val="24"/>
          <w:szCs w:val="24"/>
        </w:rPr>
        <w:t>eq e KDK-ës</w:t>
      </w:r>
      <w:r w:rsidR="00230F9E" w:rsidRPr="007114AF">
        <w:rPr>
          <w:rFonts w:ascii="Garamond" w:hAnsi="Garamond"/>
          <w:sz w:val="24"/>
          <w:szCs w:val="24"/>
        </w:rPr>
        <w:t xml:space="preserve"> </w:t>
      </w:r>
      <w:r w:rsidRPr="007114AF">
        <w:rPr>
          <w:rFonts w:ascii="Garamond" w:hAnsi="Garamond"/>
          <w:sz w:val="24"/>
          <w:szCs w:val="24"/>
        </w:rPr>
        <w:t xml:space="preserve">në 520 Gg </w:t>
      </w:r>
      <w:r w:rsidRPr="00527EF5">
        <w:rPr>
          <w:rFonts w:ascii="Garamond" w:hAnsi="Garamond"/>
          <w:sz w:val="24"/>
          <w:szCs w:val="24"/>
        </w:rPr>
        <w:t>CO</w:t>
      </w:r>
      <w:r w:rsidRPr="00527EF5">
        <w:rPr>
          <w:rFonts w:ascii="Garamond" w:hAnsi="Garamond"/>
          <w:sz w:val="24"/>
          <w:szCs w:val="24"/>
          <w:vertAlign w:val="subscript"/>
        </w:rPr>
        <w:t>2</w:t>
      </w:r>
      <w:r w:rsidRPr="00527EF5">
        <w:rPr>
          <w:rFonts w:ascii="Garamond" w:hAnsi="Garamond"/>
          <w:sz w:val="24"/>
          <w:szCs w:val="24"/>
        </w:rPr>
        <w:t xml:space="preserve">eq </w:t>
      </w:r>
      <w:r w:rsidRPr="007114AF">
        <w:rPr>
          <w:rFonts w:ascii="Garamond" w:hAnsi="Garamond"/>
          <w:sz w:val="24"/>
          <w:szCs w:val="24"/>
        </w:rPr>
        <w:t>e KTK-ës.</w:t>
      </w:r>
    </w:p>
    <w:p w14:paraId="6EDCF52C" w14:textId="77777777" w:rsidR="00281778" w:rsidRPr="007114AF" w:rsidRDefault="00281778" w:rsidP="000327A8">
      <w:pPr>
        <w:jc w:val="center"/>
        <w:rPr>
          <w:rFonts w:ascii="Garamond" w:hAnsi="Garamond"/>
        </w:rPr>
      </w:pPr>
      <w:r w:rsidRPr="007114AF">
        <w:rPr>
          <w:rFonts w:ascii="Garamond" w:hAnsi="Garamond"/>
          <w:noProof/>
          <w:lang w:val="en-US" w:eastAsia="en-US"/>
        </w:rPr>
        <w:drawing>
          <wp:inline distT="0" distB="0" distL="0" distR="0" wp14:anchorId="6EDD179E" wp14:editId="6EDD179F">
            <wp:extent cx="5844209" cy="3466768"/>
            <wp:effectExtent l="0" t="0" r="4445" b="635"/>
            <wp:docPr id="16" name="Immagin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lbania_NCoverview.jpg"/>
                    <pic:cNvPicPr/>
                  </pic:nvPicPr>
                  <pic:blipFill rotWithShape="1">
                    <a:blip r:embed="rId28" cstate="print">
                      <a:extLst>
                        <a:ext uri="{28A0092B-C50C-407E-A947-70E740481C1C}">
                          <a14:useLocalDpi xmlns:a14="http://schemas.microsoft.com/office/drawing/2010/main" val="0"/>
                        </a:ext>
                      </a:extLst>
                    </a:blip>
                    <a:srcRect l="1430" t="14212" r="2992" b="10198"/>
                    <a:stretch/>
                  </pic:blipFill>
                  <pic:spPr bwMode="auto">
                    <a:xfrm>
                      <a:off x="0" y="0"/>
                      <a:ext cx="5849539" cy="3469930"/>
                    </a:xfrm>
                    <a:prstGeom prst="rect">
                      <a:avLst/>
                    </a:prstGeom>
                    <a:ln>
                      <a:noFill/>
                    </a:ln>
                    <a:extLst>
                      <a:ext uri="{53640926-AAD7-44D8-BBD7-CCE9431645EC}">
                        <a14:shadowObscured xmlns:a14="http://schemas.microsoft.com/office/drawing/2010/main"/>
                      </a:ext>
                    </a:extLst>
                  </pic:spPr>
                </pic:pic>
              </a:graphicData>
            </a:graphic>
          </wp:inline>
        </w:drawing>
      </w:r>
    </w:p>
    <w:p w14:paraId="6EDCF52D" w14:textId="54182BFF" w:rsidR="00281778" w:rsidRPr="007114AF" w:rsidRDefault="00281778" w:rsidP="000327A8">
      <w:pPr>
        <w:pStyle w:val="FIGURA"/>
        <w:rPr>
          <w:sz w:val="20"/>
          <w:szCs w:val="20"/>
        </w:rPr>
      </w:pPr>
      <w:r w:rsidRPr="007114AF">
        <w:rPr>
          <w:sz w:val="20"/>
          <w:szCs w:val="20"/>
        </w:rPr>
        <w:t>Figura</w:t>
      </w:r>
      <w:r w:rsidR="000327A8" w:rsidRPr="007114AF">
        <w:rPr>
          <w:sz w:val="20"/>
          <w:szCs w:val="20"/>
        </w:rPr>
        <w:t xml:space="preserve"> </w:t>
      </w:r>
      <w:r w:rsidRPr="007114AF">
        <w:rPr>
          <w:sz w:val="20"/>
          <w:szCs w:val="20"/>
        </w:rPr>
        <w:t>16–Prirja e shkarkimeve GES</w:t>
      </w:r>
      <w:r w:rsidR="003C603D">
        <w:rPr>
          <w:sz w:val="20"/>
          <w:szCs w:val="20"/>
        </w:rPr>
        <w:t xml:space="preserve"> </w:t>
      </w:r>
      <w:r w:rsidRPr="007114AF">
        <w:rPr>
          <w:sz w:val="20"/>
          <w:szCs w:val="20"/>
        </w:rPr>
        <w:t>nga vitit 1990 në vitin 2009 sipas KPK-ës. KDK-ës dhe KTK-ës</w:t>
      </w:r>
    </w:p>
    <w:p w14:paraId="6EDCF52E" w14:textId="77777777" w:rsidR="000327A8" w:rsidRPr="007114AF" w:rsidRDefault="000327A8" w:rsidP="00281778">
      <w:pPr>
        <w:spacing w:after="0" w:line="240" w:lineRule="auto"/>
        <w:ind w:firstLine="284"/>
        <w:rPr>
          <w:rFonts w:ascii="Garamond" w:hAnsi="Garamond"/>
          <w:sz w:val="24"/>
          <w:szCs w:val="24"/>
        </w:rPr>
      </w:pPr>
    </w:p>
    <w:p w14:paraId="6EDCF52F" w14:textId="6FAA167E" w:rsidR="00281778" w:rsidRPr="007114AF" w:rsidRDefault="00281778" w:rsidP="00281778">
      <w:pPr>
        <w:spacing w:after="0" w:line="240" w:lineRule="auto"/>
        <w:ind w:firstLine="284"/>
        <w:rPr>
          <w:rFonts w:ascii="Garamond" w:hAnsi="Garamond"/>
          <w:sz w:val="24"/>
          <w:szCs w:val="24"/>
        </w:rPr>
      </w:pPr>
      <w:r w:rsidRPr="007114AF">
        <w:rPr>
          <w:rFonts w:ascii="Garamond" w:hAnsi="Garamond"/>
          <w:sz w:val="24"/>
          <w:szCs w:val="24"/>
        </w:rPr>
        <w:lastRenderedPageBreak/>
        <w:t>Tabelat 3 dhe 4 tregojnë kontributin e shkarkimeve direkte GES</w:t>
      </w:r>
      <w:r w:rsidR="00413B91" w:rsidRPr="007114AF">
        <w:rPr>
          <w:rFonts w:ascii="Garamond" w:hAnsi="Garamond"/>
          <w:sz w:val="24"/>
          <w:szCs w:val="24"/>
        </w:rPr>
        <w:t xml:space="preserve"> </w:t>
      </w:r>
      <w:r w:rsidRPr="007114AF">
        <w:rPr>
          <w:rFonts w:ascii="Garamond" w:hAnsi="Garamond"/>
          <w:sz w:val="24"/>
          <w:szCs w:val="24"/>
        </w:rPr>
        <w:t>të shprehura në Gg të ekuivalentit CO</w:t>
      </w:r>
      <w:r w:rsidRPr="007114AF">
        <w:rPr>
          <w:rFonts w:ascii="Garamond" w:hAnsi="Garamond"/>
          <w:sz w:val="24"/>
          <w:szCs w:val="24"/>
          <w:vertAlign w:val="subscript"/>
        </w:rPr>
        <w:t>2</w:t>
      </w:r>
      <w:r w:rsidRPr="007114AF">
        <w:rPr>
          <w:rFonts w:ascii="Garamond" w:hAnsi="Garamond"/>
          <w:sz w:val="24"/>
          <w:szCs w:val="24"/>
        </w:rPr>
        <w:t>, në njësi fizike dhe në përqindje relative, në seritë kohore.</w:t>
      </w:r>
    </w:p>
    <w:p w14:paraId="6EDCF530" w14:textId="77777777" w:rsidR="000327A8" w:rsidRPr="007114AF" w:rsidRDefault="000327A8" w:rsidP="00281778">
      <w:pPr>
        <w:spacing w:after="0" w:line="240" w:lineRule="auto"/>
        <w:ind w:firstLine="284"/>
        <w:rPr>
          <w:rFonts w:ascii="Garamond" w:hAnsi="Garamond"/>
          <w:sz w:val="24"/>
          <w:szCs w:val="24"/>
        </w:rPr>
      </w:pPr>
    </w:p>
    <w:p w14:paraId="6EDCF531" w14:textId="77777777" w:rsidR="000327A8" w:rsidRPr="007114AF" w:rsidRDefault="000327A8" w:rsidP="00281778">
      <w:pPr>
        <w:spacing w:after="0" w:line="240" w:lineRule="auto"/>
        <w:ind w:firstLine="284"/>
        <w:rPr>
          <w:rFonts w:ascii="Garamond" w:hAnsi="Garamond"/>
          <w:sz w:val="24"/>
          <w:szCs w:val="24"/>
        </w:rPr>
      </w:pPr>
    </w:p>
    <w:p w14:paraId="6EDCF532" w14:textId="77777777" w:rsidR="000327A8" w:rsidRPr="007114AF" w:rsidRDefault="000327A8" w:rsidP="00281778">
      <w:pPr>
        <w:spacing w:after="0" w:line="240" w:lineRule="auto"/>
        <w:ind w:firstLine="284"/>
        <w:rPr>
          <w:rFonts w:ascii="Garamond" w:hAnsi="Garamond"/>
          <w:sz w:val="24"/>
          <w:szCs w:val="24"/>
        </w:rPr>
        <w:sectPr w:rsidR="000327A8" w:rsidRPr="007114AF" w:rsidSect="00A816F3">
          <w:pgSz w:w="11907" w:h="16840" w:code="9"/>
          <w:pgMar w:top="1418" w:right="1418" w:bottom="1418" w:left="1418" w:header="1304" w:footer="1134" w:gutter="0"/>
          <w:cols w:space="720"/>
          <w:docGrid w:linePitch="360"/>
        </w:sectPr>
      </w:pPr>
    </w:p>
    <w:p w14:paraId="6EDCF533" w14:textId="3E5CCAAD" w:rsidR="00D71745" w:rsidRPr="007114AF" w:rsidRDefault="00D71745" w:rsidP="00D71745">
      <w:pPr>
        <w:spacing w:after="0" w:line="240" w:lineRule="auto"/>
        <w:ind w:firstLine="284"/>
        <w:rPr>
          <w:rFonts w:ascii="Garamond" w:hAnsi="Garamond"/>
          <w:b/>
          <w:sz w:val="24"/>
          <w:szCs w:val="24"/>
        </w:rPr>
      </w:pPr>
      <w:r w:rsidRPr="007114AF">
        <w:rPr>
          <w:rFonts w:ascii="Garamond" w:hAnsi="Garamond"/>
          <w:b/>
          <w:sz w:val="24"/>
          <w:szCs w:val="24"/>
        </w:rPr>
        <w:lastRenderedPageBreak/>
        <w:t>Tabela</w:t>
      </w:r>
      <w:r w:rsidR="00E32157" w:rsidRPr="007114AF">
        <w:rPr>
          <w:rFonts w:ascii="Garamond" w:hAnsi="Garamond"/>
          <w:b/>
          <w:sz w:val="24"/>
          <w:szCs w:val="24"/>
        </w:rPr>
        <w:t xml:space="preserve"> </w:t>
      </w:r>
      <w:r w:rsidRPr="007114AF">
        <w:rPr>
          <w:rFonts w:ascii="Garamond" w:hAnsi="Garamond"/>
          <w:b/>
          <w:sz w:val="24"/>
          <w:szCs w:val="24"/>
        </w:rPr>
        <w:fldChar w:fldCharType="begin"/>
      </w:r>
      <w:r w:rsidRPr="007114AF">
        <w:rPr>
          <w:rFonts w:ascii="Garamond" w:hAnsi="Garamond"/>
          <w:b/>
          <w:sz w:val="24"/>
          <w:szCs w:val="24"/>
        </w:rPr>
        <w:instrText xml:space="preserve"> SEQ Table \* ARABIC </w:instrText>
      </w:r>
      <w:r w:rsidRPr="007114AF">
        <w:rPr>
          <w:rFonts w:ascii="Garamond" w:hAnsi="Garamond"/>
          <w:b/>
          <w:sz w:val="24"/>
          <w:szCs w:val="24"/>
        </w:rPr>
        <w:fldChar w:fldCharType="separate"/>
      </w:r>
      <w:r w:rsidRPr="007114AF">
        <w:rPr>
          <w:rFonts w:ascii="Garamond" w:hAnsi="Garamond"/>
          <w:b/>
          <w:sz w:val="24"/>
          <w:szCs w:val="24"/>
        </w:rPr>
        <w:t>3</w:t>
      </w:r>
      <w:r w:rsidRPr="007114AF">
        <w:rPr>
          <w:rFonts w:ascii="Garamond" w:hAnsi="Garamond"/>
          <w:b/>
          <w:sz w:val="24"/>
          <w:szCs w:val="24"/>
        </w:rPr>
        <w:fldChar w:fldCharType="end"/>
      </w:r>
      <w:r w:rsidR="00F11685" w:rsidRPr="007114AF">
        <w:rPr>
          <w:rFonts w:ascii="Garamond" w:hAnsi="Garamond"/>
          <w:b/>
          <w:sz w:val="24"/>
          <w:szCs w:val="24"/>
        </w:rPr>
        <w:t xml:space="preserve"> </w:t>
      </w:r>
      <w:r w:rsidRPr="007114AF">
        <w:rPr>
          <w:rFonts w:ascii="Garamond" w:hAnsi="Garamond"/>
          <w:b/>
          <w:sz w:val="24"/>
          <w:szCs w:val="24"/>
        </w:rPr>
        <w:t>–</w:t>
      </w:r>
      <w:r w:rsidR="00F11685" w:rsidRPr="007114AF">
        <w:rPr>
          <w:rFonts w:ascii="Garamond" w:hAnsi="Garamond"/>
          <w:b/>
          <w:sz w:val="24"/>
          <w:szCs w:val="24"/>
        </w:rPr>
        <w:t xml:space="preserve"> </w:t>
      </w:r>
      <w:r w:rsidRPr="007114AF">
        <w:rPr>
          <w:rFonts w:ascii="Garamond" w:hAnsi="Garamond"/>
          <w:b/>
          <w:sz w:val="24"/>
          <w:szCs w:val="24"/>
        </w:rPr>
        <w:t>Prirja e shkarkimeve totale GES</w:t>
      </w:r>
      <w:r w:rsidR="00413B91" w:rsidRPr="007114AF">
        <w:rPr>
          <w:rFonts w:ascii="Garamond" w:hAnsi="Garamond"/>
          <w:b/>
          <w:sz w:val="24"/>
          <w:szCs w:val="24"/>
        </w:rPr>
        <w:t xml:space="preserve"> </w:t>
      </w:r>
      <w:r w:rsidRPr="007114AF">
        <w:rPr>
          <w:rFonts w:ascii="Garamond" w:hAnsi="Garamond"/>
          <w:b/>
          <w:sz w:val="24"/>
          <w:szCs w:val="24"/>
        </w:rPr>
        <w:t>nga vitit 1990 deri në vitin 2009 sipas KPK-ës, KDK-ës</w:t>
      </w:r>
      <w:r w:rsidR="003C603D">
        <w:rPr>
          <w:rFonts w:ascii="Garamond" w:hAnsi="Garamond"/>
          <w:b/>
          <w:sz w:val="24"/>
          <w:szCs w:val="24"/>
        </w:rPr>
        <w:t xml:space="preserve"> </w:t>
      </w:r>
      <w:r w:rsidRPr="007114AF">
        <w:rPr>
          <w:rFonts w:ascii="Garamond" w:hAnsi="Garamond"/>
          <w:b/>
          <w:sz w:val="24"/>
          <w:szCs w:val="24"/>
        </w:rPr>
        <w:t>dhe KTK-ës në gG të CO2 eq</w:t>
      </w:r>
    </w:p>
    <w:tbl>
      <w:tblPr>
        <w:tblW w:w="5008" w:type="pct"/>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CellMar>
          <w:left w:w="70" w:type="dxa"/>
          <w:right w:w="70" w:type="dxa"/>
        </w:tblCellMar>
        <w:tblLook w:val="04A0" w:firstRow="1" w:lastRow="0" w:firstColumn="1" w:lastColumn="0" w:noHBand="0" w:noVBand="1"/>
      </w:tblPr>
      <w:tblGrid>
        <w:gridCol w:w="537"/>
        <w:gridCol w:w="1283"/>
        <w:gridCol w:w="574"/>
        <w:gridCol w:w="665"/>
        <w:gridCol w:w="617"/>
        <w:gridCol w:w="617"/>
        <w:gridCol w:w="618"/>
        <w:gridCol w:w="618"/>
        <w:gridCol w:w="618"/>
        <w:gridCol w:w="618"/>
        <w:gridCol w:w="618"/>
        <w:gridCol w:w="618"/>
        <w:gridCol w:w="672"/>
        <w:gridCol w:w="567"/>
        <w:gridCol w:w="618"/>
        <w:gridCol w:w="618"/>
        <w:gridCol w:w="618"/>
        <w:gridCol w:w="618"/>
        <w:gridCol w:w="618"/>
        <w:gridCol w:w="618"/>
        <w:gridCol w:w="618"/>
        <w:gridCol w:w="601"/>
      </w:tblGrid>
      <w:tr w:rsidR="00D71745" w:rsidRPr="007114AF" w14:paraId="6EDCF54A" w14:textId="77777777" w:rsidTr="00A9766F">
        <w:trPr>
          <w:trHeight w:hRule="exact" w:val="301"/>
        </w:trPr>
        <w:tc>
          <w:tcPr>
            <w:tcW w:w="190" w:type="pct"/>
            <w:tcBorders>
              <w:top w:val="single" w:sz="12" w:space="0" w:color="auto"/>
              <w:left w:val="single" w:sz="12" w:space="0" w:color="auto"/>
              <w:bottom w:val="single" w:sz="12" w:space="0" w:color="auto"/>
              <w:right w:val="single" w:sz="4" w:space="0" w:color="auto"/>
            </w:tcBorders>
            <w:shd w:val="clear" w:color="auto" w:fill="FFFFFF" w:themeFill="background1"/>
            <w:noWrap/>
            <w:vAlign w:val="center"/>
            <w:hideMark/>
          </w:tcPr>
          <w:p w14:paraId="6EDCF534" w14:textId="77777777" w:rsidR="00D71745" w:rsidRPr="007114AF" w:rsidRDefault="00D71745" w:rsidP="00D71745">
            <w:pPr>
              <w:spacing w:after="0" w:line="240" w:lineRule="auto"/>
              <w:rPr>
                <w:rFonts w:ascii="Garamond" w:hAnsi="Garamond"/>
                <w:sz w:val="18"/>
                <w:szCs w:val="18"/>
              </w:rPr>
            </w:pPr>
          </w:p>
        </w:tc>
        <w:tc>
          <w:tcPr>
            <w:tcW w:w="453" w:type="pct"/>
            <w:tcBorders>
              <w:top w:val="single" w:sz="12" w:space="0" w:color="auto"/>
              <w:left w:val="single" w:sz="4" w:space="0" w:color="auto"/>
              <w:bottom w:val="single" w:sz="12" w:space="0" w:color="auto"/>
              <w:right w:val="single" w:sz="4" w:space="0" w:color="auto"/>
            </w:tcBorders>
            <w:shd w:val="clear" w:color="auto" w:fill="FFFFFF" w:themeFill="background1"/>
            <w:noWrap/>
            <w:vAlign w:val="center"/>
            <w:hideMark/>
          </w:tcPr>
          <w:p w14:paraId="6EDCF535" w14:textId="77777777" w:rsidR="00D71745" w:rsidRPr="007114AF" w:rsidRDefault="00D71745" w:rsidP="00D71745">
            <w:pPr>
              <w:spacing w:after="0" w:line="240" w:lineRule="auto"/>
              <w:rPr>
                <w:rFonts w:ascii="Garamond" w:hAnsi="Garamond"/>
                <w:sz w:val="18"/>
                <w:szCs w:val="18"/>
              </w:rPr>
            </w:pPr>
            <w:r w:rsidRPr="007114AF">
              <w:rPr>
                <w:rFonts w:ascii="Garamond" w:hAnsi="Garamond"/>
                <w:sz w:val="18"/>
                <w:szCs w:val="18"/>
              </w:rPr>
              <w:t>Sektori</w:t>
            </w:r>
          </w:p>
        </w:tc>
        <w:tc>
          <w:tcPr>
            <w:tcW w:w="203" w:type="pct"/>
            <w:tcBorders>
              <w:top w:val="single" w:sz="12" w:space="0" w:color="auto"/>
              <w:left w:val="single" w:sz="4" w:space="0" w:color="auto"/>
              <w:bottom w:val="single" w:sz="12" w:space="0" w:color="auto"/>
              <w:right w:val="single" w:sz="4" w:space="0" w:color="auto"/>
            </w:tcBorders>
            <w:shd w:val="clear" w:color="auto" w:fill="FFFFFF" w:themeFill="background1"/>
            <w:noWrap/>
            <w:vAlign w:val="center"/>
            <w:hideMark/>
          </w:tcPr>
          <w:p w14:paraId="6EDCF536" w14:textId="77777777" w:rsidR="00D71745" w:rsidRPr="007114AF" w:rsidRDefault="00D71745" w:rsidP="00D71745">
            <w:pPr>
              <w:spacing w:after="0" w:line="240" w:lineRule="auto"/>
              <w:rPr>
                <w:rFonts w:ascii="Garamond" w:hAnsi="Garamond"/>
                <w:sz w:val="18"/>
                <w:szCs w:val="18"/>
              </w:rPr>
            </w:pPr>
            <w:r w:rsidRPr="007114AF">
              <w:rPr>
                <w:rFonts w:ascii="Garamond" w:hAnsi="Garamond"/>
                <w:sz w:val="18"/>
                <w:szCs w:val="18"/>
              </w:rPr>
              <w:t>1990</w:t>
            </w:r>
          </w:p>
        </w:tc>
        <w:tc>
          <w:tcPr>
            <w:tcW w:w="235" w:type="pct"/>
            <w:tcBorders>
              <w:top w:val="single" w:sz="12" w:space="0" w:color="auto"/>
              <w:left w:val="single" w:sz="4" w:space="0" w:color="auto"/>
              <w:bottom w:val="single" w:sz="12" w:space="0" w:color="auto"/>
              <w:right w:val="single" w:sz="4" w:space="0" w:color="auto"/>
            </w:tcBorders>
            <w:shd w:val="clear" w:color="auto" w:fill="FFFFFF" w:themeFill="background1"/>
            <w:noWrap/>
            <w:vAlign w:val="center"/>
            <w:hideMark/>
          </w:tcPr>
          <w:p w14:paraId="6EDCF537" w14:textId="77777777" w:rsidR="00D71745" w:rsidRPr="007114AF" w:rsidRDefault="00D71745" w:rsidP="00D71745">
            <w:pPr>
              <w:spacing w:after="0" w:line="240" w:lineRule="auto"/>
              <w:rPr>
                <w:rFonts w:ascii="Garamond" w:hAnsi="Garamond"/>
                <w:sz w:val="18"/>
                <w:szCs w:val="18"/>
              </w:rPr>
            </w:pPr>
            <w:r w:rsidRPr="007114AF">
              <w:rPr>
                <w:rFonts w:ascii="Garamond" w:hAnsi="Garamond"/>
                <w:sz w:val="18"/>
                <w:szCs w:val="18"/>
              </w:rPr>
              <w:t>1991</w:t>
            </w:r>
          </w:p>
        </w:tc>
        <w:tc>
          <w:tcPr>
            <w:tcW w:w="218" w:type="pct"/>
            <w:tcBorders>
              <w:top w:val="single" w:sz="12" w:space="0" w:color="auto"/>
              <w:left w:val="single" w:sz="4" w:space="0" w:color="auto"/>
              <w:bottom w:val="single" w:sz="12" w:space="0" w:color="auto"/>
              <w:right w:val="single" w:sz="4" w:space="0" w:color="auto"/>
            </w:tcBorders>
            <w:shd w:val="clear" w:color="auto" w:fill="FFFFFF" w:themeFill="background1"/>
            <w:noWrap/>
            <w:vAlign w:val="center"/>
            <w:hideMark/>
          </w:tcPr>
          <w:p w14:paraId="6EDCF538" w14:textId="77777777" w:rsidR="00D71745" w:rsidRPr="007114AF" w:rsidRDefault="00D71745" w:rsidP="00D71745">
            <w:pPr>
              <w:spacing w:after="0" w:line="240" w:lineRule="auto"/>
              <w:rPr>
                <w:rFonts w:ascii="Garamond" w:hAnsi="Garamond"/>
                <w:sz w:val="18"/>
                <w:szCs w:val="18"/>
              </w:rPr>
            </w:pPr>
            <w:r w:rsidRPr="007114AF">
              <w:rPr>
                <w:rFonts w:ascii="Garamond" w:hAnsi="Garamond"/>
                <w:sz w:val="18"/>
                <w:szCs w:val="18"/>
              </w:rPr>
              <w:t>1992</w:t>
            </w:r>
          </w:p>
        </w:tc>
        <w:tc>
          <w:tcPr>
            <w:tcW w:w="218" w:type="pct"/>
            <w:tcBorders>
              <w:top w:val="single" w:sz="12" w:space="0" w:color="auto"/>
              <w:left w:val="single" w:sz="4" w:space="0" w:color="auto"/>
              <w:bottom w:val="single" w:sz="12" w:space="0" w:color="auto"/>
              <w:right w:val="single" w:sz="4" w:space="0" w:color="auto"/>
            </w:tcBorders>
            <w:shd w:val="clear" w:color="auto" w:fill="FFFFFF" w:themeFill="background1"/>
            <w:noWrap/>
            <w:vAlign w:val="center"/>
            <w:hideMark/>
          </w:tcPr>
          <w:p w14:paraId="6EDCF539" w14:textId="77777777" w:rsidR="00D71745" w:rsidRPr="007114AF" w:rsidRDefault="00D71745" w:rsidP="00D71745">
            <w:pPr>
              <w:spacing w:after="0" w:line="240" w:lineRule="auto"/>
              <w:rPr>
                <w:rFonts w:ascii="Garamond" w:hAnsi="Garamond"/>
                <w:sz w:val="18"/>
                <w:szCs w:val="18"/>
              </w:rPr>
            </w:pPr>
            <w:r w:rsidRPr="007114AF">
              <w:rPr>
                <w:rFonts w:ascii="Garamond" w:hAnsi="Garamond"/>
                <w:sz w:val="18"/>
                <w:szCs w:val="18"/>
              </w:rPr>
              <w:t>1993</w:t>
            </w:r>
          </w:p>
        </w:tc>
        <w:tc>
          <w:tcPr>
            <w:tcW w:w="218" w:type="pct"/>
            <w:tcBorders>
              <w:top w:val="single" w:sz="12" w:space="0" w:color="auto"/>
              <w:left w:val="single" w:sz="4" w:space="0" w:color="auto"/>
              <w:bottom w:val="single" w:sz="12" w:space="0" w:color="auto"/>
              <w:right w:val="single" w:sz="4" w:space="0" w:color="auto"/>
            </w:tcBorders>
            <w:shd w:val="clear" w:color="auto" w:fill="FFFFFF" w:themeFill="background1"/>
            <w:noWrap/>
            <w:vAlign w:val="center"/>
            <w:hideMark/>
          </w:tcPr>
          <w:p w14:paraId="6EDCF53A" w14:textId="77777777" w:rsidR="00D71745" w:rsidRPr="007114AF" w:rsidRDefault="00D71745" w:rsidP="00D71745">
            <w:pPr>
              <w:spacing w:after="0" w:line="240" w:lineRule="auto"/>
              <w:rPr>
                <w:rFonts w:ascii="Garamond" w:hAnsi="Garamond"/>
                <w:sz w:val="18"/>
                <w:szCs w:val="18"/>
              </w:rPr>
            </w:pPr>
            <w:r w:rsidRPr="007114AF">
              <w:rPr>
                <w:rFonts w:ascii="Garamond" w:hAnsi="Garamond"/>
                <w:sz w:val="18"/>
                <w:szCs w:val="18"/>
              </w:rPr>
              <w:t>1994</w:t>
            </w:r>
          </w:p>
        </w:tc>
        <w:tc>
          <w:tcPr>
            <w:tcW w:w="218" w:type="pct"/>
            <w:tcBorders>
              <w:top w:val="single" w:sz="12" w:space="0" w:color="auto"/>
              <w:left w:val="single" w:sz="4" w:space="0" w:color="auto"/>
              <w:bottom w:val="single" w:sz="12" w:space="0" w:color="auto"/>
              <w:right w:val="single" w:sz="4" w:space="0" w:color="auto"/>
            </w:tcBorders>
            <w:shd w:val="clear" w:color="auto" w:fill="FFFFFF" w:themeFill="background1"/>
            <w:noWrap/>
            <w:vAlign w:val="center"/>
            <w:hideMark/>
          </w:tcPr>
          <w:p w14:paraId="6EDCF53B" w14:textId="77777777" w:rsidR="00D71745" w:rsidRPr="007114AF" w:rsidRDefault="00D71745" w:rsidP="00D71745">
            <w:pPr>
              <w:spacing w:after="0" w:line="240" w:lineRule="auto"/>
              <w:rPr>
                <w:rFonts w:ascii="Garamond" w:hAnsi="Garamond"/>
                <w:sz w:val="18"/>
                <w:szCs w:val="18"/>
              </w:rPr>
            </w:pPr>
            <w:r w:rsidRPr="007114AF">
              <w:rPr>
                <w:rFonts w:ascii="Garamond" w:hAnsi="Garamond"/>
                <w:sz w:val="18"/>
                <w:szCs w:val="18"/>
              </w:rPr>
              <w:t>1995</w:t>
            </w:r>
          </w:p>
        </w:tc>
        <w:tc>
          <w:tcPr>
            <w:tcW w:w="218" w:type="pct"/>
            <w:tcBorders>
              <w:top w:val="single" w:sz="12" w:space="0" w:color="auto"/>
              <w:left w:val="single" w:sz="4" w:space="0" w:color="auto"/>
              <w:bottom w:val="single" w:sz="12" w:space="0" w:color="auto"/>
              <w:right w:val="single" w:sz="4" w:space="0" w:color="auto"/>
            </w:tcBorders>
            <w:shd w:val="clear" w:color="auto" w:fill="FFFFFF" w:themeFill="background1"/>
            <w:noWrap/>
            <w:vAlign w:val="center"/>
            <w:hideMark/>
          </w:tcPr>
          <w:p w14:paraId="6EDCF53C" w14:textId="77777777" w:rsidR="00D71745" w:rsidRPr="007114AF" w:rsidRDefault="00D71745" w:rsidP="00D71745">
            <w:pPr>
              <w:spacing w:after="0" w:line="240" w:lineRule="auto"/>
              <w:rPr>
                <w:rFonts w:ascii="Garamond" w:hAnsi="Garamond"/>
                <w:sz w:val="18"/>
                <w:szCs w:val="18"/>
              </w:rPr>
            </w:pPr>
            <w:r w:rsidRPr="007114AF">
              <w:rPr>
                <w:rFonts w:ascii="Garamond" w:hAnsi="Garamond"/>
                <w:sz w:val="18"/>
                <w:szCs w:val="18"/>
              </w:rPr>
              <w:t>1996</w:t>
            </w:r>
          </w:p>
        </w:tc>
        <w:tc>
          <w:tcPr>
            <w:tcW w:w="218" w:type="pct"/>
            <w:tcBorders>
              <w:top w:val="single" w:sz="12" w:space="0" w:color="auto"/>
              <w:left w:val="single" w:sz="4" w:space="0" w:color="auto"/>
              <w:bottom w:val="single" w:sz="12" w:space="0" w:color="auto"/>
              <w:right w:val="single" w:sz="4" w:space="0" w:color="auto"/>
            </w:tcBorders>
            <w:shd w:val="clear" w:color="auto" w:fill="FFFFFF" w:themeFill="background1"/>
            <w:noWrap/>
            <w:vAlign w:val="center"/>
            <w:hideMark/>
          </w:tcPr>
          <w:p w14:paraId="6EDCF53D" w14:textId="77777777" w:rsidR="00D71745" w:rsidRPr="007114AF" w:rsidRDefault="00D71745" w:rsidP="00D71745">
            <w:pPr>
              <w:spacing w:after="0" w:line="240" w:lineRule="auto"/>
              <w:rPr>
                <w:rFonts w:ascii="Garamond" w:hAnsi="Garamond"/>
                <w:sz w:val="18"/>
                <w:szCs w:val="18"/>
              </w:rPr>
            </w:pPr>
            <w:r w:rsidRPr="007114AF">
              <w:rPr>
                <w:rFonts w:ascii="Garamond" w:hAnsi="Garamond"/>
                <w:sz w:val="18"/>
                <w:szCs w:val="18"/>
              </w:rPr>
              <w:t>1997</w:t>
            </w:r>
          </w:p>
        </w:tc>
        <w:tc>
          <w:tcPr>
            <w:tcW w:w="218" w:type="pct"/>
            <w:tcBorders>
              <w:top w:val="single" w:sz="12" w:space="0" w:color="auto"/>
              <w:left w:val="single" w:sz="4" w:space="0" w:color="auto"/>
              <w:bottom w:val="single" w:sz="12" w:space="0" w:color="auto"/>
              <w:right w:val="single" w:sz="4" w:space="0" w:color="auto"/>
            </w:tcBorders>
            <w:shd w:val="clear" w:color="auto" w:fill="FFFFFF" w:themeFill="background1"/>
            <w:noWrap/>
            <w:vAlign w:val="center"/>
            <w:hideMark/>
          </w:tcPr>
          <w:p w14:paraId="6EDCF53E" w14:textId="77777777" w:rsidR="00D71745" w:rsidRPr="007114AF" w:rsidRDefault="00D71745" w:rsidP="00D71745">
            <w:pPr>
              <w:spacing w:after="0" w:line="240" w:lineRule="auto"/>
              <w:rPr>
                <w:rFonts w:ascii="Garamond" w:hAnsi="Garamond"/>
                <w:sz w:val="18"/>
                <w:szCs w:val="18"/>
              </w:rPr>
            </w:pPr>
            <w:r w:rsidRPr="007114AF">
              <w:rPr>
                <w:rFonts w:ascii="Garamond" w:hAnsi="Garamond"/>
                <w:sz w:val="18"/>
                <w:szCs w:val="18"/>
              </w:rPr>
              <w:t>1998</w:t>
            </w:r>
          </w:p>
        </w:tc>
        <w:tc>
          <w:tcPr>
            <w:tcW w:w="218" w:type="pct"/>
            <w:tcBorders>
              <w:top w:val="single" w:sz="12" w:space="0" w:color="auto"/>
              <w:left w:val="single" w:sz="4" w:space="0" w:color="auto"/>
              <w:bottom w:val="single" w:sz="12" w:space="0" w:color="auto"/>
              <w:right w:val="single" w:sz="4" w:space="0" w:color="auto"/>
            </w:tcBorders>
            <w:shd w:val="clear" w:color="auto" w:fill="FFFFFF" w:themeFill="background1"/>
            <w:noWrap/>
            <w:vAlign w:val="center"/>
            <w:hideMark/>
          </w:tcPr>
          <w:p w14:paraId="6EDCF53F" w14:textId="77777777" w:rsidR="00D71745" w:rsidRPr="007114AF" w:rsidRDefault="00D71745" w:rsidP="00D71745">
            <w:pPr>
              <w:spacing w:after="0" w:line="240" w:lineRule="auto"/>
              <w:rPr>
                <w:rFonts w:ascii="Garamond" w:hAnsi="Garamond"/>
                <w:sz w:val="18"/>
                <w:szCs w:val="18"/>
              </w:rPr>
            </w:pPr>
            <w:r w:rsidRPr="007114AF">
              <w:rPr>
                <w:rFonts w:ascii="Garamond" w:hAnsi="Garamond"/>
                <w:sz w:val="18"/>
                <w:szCs w:val="18"/>
              </w:rPr>
              <w:t>1999</w:t>
            </w:r>
          </w:p>
        </w:tc>
        <w:tc>
          <w:tcPr>
            <w:tcW w:w="237" w:type="pct"/>
            <w:tcBorders>
              <w:top w:val="single" w:sz="12" w:space="0" w:color="auto"/>
              <w:left w:val="single" w:sz="4" w:space="0" w:color="auto"/>
              <w:bottom w:val="single" w:sz="12" w:space="0" w:color="auto"/>
              <w:right w:val="single" w:sz="4" w:space="0" w:color="auto"/>
            </w:tcBorders>
            <w:shd w:val="clear" w:color="auto" w:fill="FFFFFF" w:themeFill="background1"/>
            <w:noWrap/>
            <w:vAlign w:val="center"/>
            <w:hideMark/>
          </w:tcPr>
          <w:p w14:paraId="6EDCF540" w14:textId="77777777" w:rsidR="00D71745" w:rsidRPr="007114AF" w:rsidRDefault="00D71745" w:rsidP="00D71745">
            <w:pPr>
              <w:spacing w:after="0" w:line="240" w:lineRule="auto"/>
              <w:rPr>
                <w:rFonts w:ascii="Garamond" w:hAnsi="Garamond"/>
                <w:sz w:val="18"/>
                <w:szCs w:val="18"/>
              </w:rPr>
            </w:pPr>
            <w:r w:rsidRPr="007114AF">
              <w:rPr>
                <w:rFonts w:ascii="Garamond" w:hAnsi="Garamond"/>
                <w:sz w:val="18"/>
                <w:szCs w:val="18"/>
              </w:rPr>
              <w:t>2000</w:t>
            </w:r>
          </w:p>
        </w:tc>
        <w:tc>
          <w:tcPr>
            <w:tcW w:w="200" w:type="pct"/>
            <w:tcBorders>
              <w:top w:val="single" w:sz="12" w:space="0" w:color="auto"/>
              <w:left w:val="single" w:sz="4" w:space="0" w:color="auto"/>
              <w:bottom w:val="single" w:sz="12" w:space="0" w:color="auto"/>
              <w:right w:val="single" w:sz="4" w:space="0" w:color="auto"/>
            </w:tcBorders>
            <w:shd w:val="clear" w:color="auto" w:fill="FFFFFF" w:themeFill="background1"/>
            <w:noWrap/>
            <w:vAlign w:val="center"/>
            <w:hideMark/>
          </w:tcPr>
          <w:p w14:paraId="6EDCF541" w14:textId="77777777" w:rsidR="00D71745" w:rsidRPr="007114AF" w:rsidRDefault="00D71745" w:rsidP="00D71745">
            <w:pPr>
              <w:spacing w:after="0" w:line="240" w:lineRule="auto"/>
              <w:rPr>
                <w:rFonts w:ascii="Garamond" w:hAnsi="Garamond"/>
                <w:sz w:val="18"/>
                <w:szCs w:val="18"/>
              </w:rPr>
            </w:pPr>
            <w:r w:rsidRPr="007114AF">
              <w:rPr>
                <w:rFonts w:ascii="Garamond" w:hAnsi="Garamond"/>
                <w:sz w:val="18"/>
                <w:szCs w:val="18"/>
              </w:rPr>
              <w:t>2001</w:t>
            </w:r>
          </w:p>
        </w:tc>
        <w:tc>
          <w:tcPr>
            <w:tcW w:w="218" w:type="pct"/>
            <w:tcBorders>
              <w:top w:val="single" w:sz="12" w:space="0" w:color="auto"/>
              <w:left w:val="single" w:sz="4" w:space="0" w:color="auto"/>
              <w:bottom w:val="single" w:sz="12" w:space="0" w:color="auto"/>
              <w:right w:val="single" w:sz="4" w:space="0" w:color="auto"/>
            </w:tcBorders>
            <w:shd w:val="clear" w:color="auto" w:fill="FFFFFF" w:themeFill="background1"/>
            <w:noWrap/>
            <w:vAlign w:val="center"/>
            <w:hideMark/>
          </w:tcPr>
          <w:p w14:paraId="6EDCF542" w14:textId="77777777" w:rsidR="00D71745" w:rsidRPr="007114AF" w:rsidRDefault="00D71745" w:rsidP="00D71745">
            <w:pPr>
              <w:spacing w:after="0" w:line="240" w:lineRule="auto"/>
              <w:rPr>
                <w:rFonts w:ascii="Garamond" w:hAnsi="Garamond"/>
                <w:sz w:val="18"/>
                <w:szCs w:val="18"/>
              </w:rPr>
            </w:pPr>
            <w:r w:rsidRPr="007114AF">
              <w:rPr>
                <w:rFonts w:ascii="Garamond" w:hAnsi="Garamond"/>
                <w:sz w:val="18"/>
                <w:szCs w:val="18"/>
              </w:rPr>
              <w:t>2002</w:t>
            </w:r>
          </w:p>
        </w:tc>
        <w:tc>
          <w:tcPr>
            <w:tcW w:w="218" w:type="pct"/>
            <w:tcBorders>
              <w:top w:val="single" w:sz="12" w:space="0" w:color="auto"/>
              <w:left w:val="single" w:sz="4" w:space="0" w:color="auto"/>
              <w:bottom w:val="single" w:sz="12" w:space="0" w:color="auto"/>
              <w:right w:val="single" w:sz="4" w:space="0" w:color="auto"/>
            </w:tcBorders>
            <w:shd w:val="clear" w:color="auto" w:fill="FFFFFF" w:themeFill="background1"/>
            <w:noWrap/>
            <w:vAlign w:val="center"/>
            <w:hideMark/>
          </w:tcPr>
          <w:p w14:paraId="6EDCF543" w14:textId="77777777" w:rsidR="00D71745" w:rsidRPr="007114AF" w:rsidRDefault="00D71745" w:rsidP="00D71745">
            <w:pPr>
              <w:spacing w:after="0" w:line="240" w:lineRule="auto"/>
              <w:rPr>
                <w:rFonts w:ascii="Garamond" w:hAnsi="Garamond"/>
                <w:sz w:val="18"/>
                <w:szCs w:val="18"/>
              </w:rPr>
            </w:pPr>
            <w:r w:rsidRPr="007114AF">
              <w:rPr>
                <w:rFonts w:ascii="Garamond" w:hAnsi="Garamond"/>
                <w:sz w:val="18"/>
                <w:szCs w:val="18"/>
              </w:rPr>
              <w:t>2003</w:t>
            </w:r>
          </w:p>
        </w:tc>
        <w:tc>
          <w:tcPr>
            <w:tcW w:w="218" w:type="pct"/>
            <w:tcBorders>
              <w:top w:val="single" w:sz="12" w:space="0" w:color="auto"/>
              <w:left w:val="single" w:sz="4" w:space="0" w:color="auto"/>
              <w:bottom w:val="single" w:sz="12" w:space="0" w:color="auto"/>
              <w:right w:val="single" w:sz="4" w:space="0" w:color="auto"/>
            </w:tcBorders>
            <w:shd w:val="clear" w:color="auto" w:fill="FFFFFF" w:themeFill="background1"/>
            <w:noWrap/>
            <w:vAlign w:val="center"/>
            <w:hideMark/>
          </w:tcPr>
          <w:p w14:paraId="6EDCF544" w14:textId="77777777" w:rsidR="00D71745" w:rsidRPr="007114AF" w:rsidRDefault="00D71745" w:rsidP="00D71745">
            <w:pPr>
              <w:spacing w:after="0" w:line="240" w:lineRule="auto"/>
              <w:rPr>
                <w:rFonts w:ascii="Garamond" w:hAnsi="Garamond"/>
                <w:sz w:val="18"/>
                <w:szCs w:val="18"/>
              </w:rPr>
            </w:pPr>
            <w:r w:rsidRPr="007114AF">
              <w:rPr>
                <w:rFonts w:ascii="Garamond" w:hAnsi="Garamond"/>
                <w:sz w:val="18"/>
                <w:szCs w:val="18"/>
              </w:rPr>
              <w:t>2004</w:t>
            </w:r>
          </w:p>
        </w:tc>
        <w:tc>
          <w:tcPr>
            <w:tcW w:w="218" w:type="pct"/>
            <w:tcBorders>
              <w:top w:val="single" w:sz="12" w:space="0" w:color="auto"/>
              <w:left w:val="single" w:sz="4" w:space="0" w:color="auto"/>
              <w:bottom w:val="single" w:sz="12" w:space="0" w:color="auto"/>
              <w:right w:val="single" w:sz="4" w:space="0" w:color="auto"/>
            </w:tcBorders>
            <w:shd w:val="clear" w:color="auto" w:fill="FFFFFF" w:themeFill="background1"/>
            <w:noWrap/>
            <w:vAlign w:val="center"/>
            <w:hideMark/>
          </w:tcPr>
          <w:p w14:paraId="6EDCF545" w14:textId="77777777" w:rsidR="00D71745" w:rsidRPr="007114AF" w:rsidRDefault="00D71745" w:rsidP="00D71745">
            <w:pPr>
              <w:spacing w:after="0" w:line="240" w:lineRule="auto"/>
              <w:rPr>
                <w:rFonts w:ascii="Garamond" w:hAnsi="Garamond"/>
                <w:sz w:val="18"/>
                <w:szCs w:val="18"/>
              </w:rPr>
            </w:pPr>
            <w:r w:rsidRPr="007114AF">
              <w:rPr>
                <w:rFonts w:ascii="Garamond" w:hAnsi="Garamond"/>
                <w:sz w:val="18"/>
                <w:szCs w:val="18"/>
              </w:rPr>
              <w:t>2005</w:t>
            </w:r>
          </w:p>
        </w:tc>
        <w:tc>
          <w:tcPr>
            <w:tcW w:w="218" w:type="pct"/>
            <w:tcBorders>
              <w:top w:val="single" w:sz="12" w:space="0" w:color="auto"/>
              <w:left w:val="single" w:sz="4" w:space="0" w:color="auto"/>
              <w:bottom w:val="single" w:sz="12" w:space="0" w:color="auto"/>
              <w:right w:val="single" w:sz="4" w:space="0" w:color="auto"/>
            </w:tcBorders>
            <w:shd w:val="clear" w:color="auto" w:fill="FFFFFF" w:themeFill="background1"/>
            <w:noWrap/>
            <w:vAlign w:val="center"/>
            <w:hideMark/>
          </w:tcPr>
          <w:p w14:paraId="6EDCF546" w14:textId="77777777" w:rsidR="00D71745" w:rsidRPr="007114AF" w:rsidRDefault="00D71745" w:rsidP="00D71745">
            <w:pPr>
              <w:spacing w:after="0" w:line="240" w:lineRule="auto"/>
              <w:rPr>
                <w:rFonts w:ascii="Garamond" w:hAnsi="Garamond"/>
                <w:sz w:val="18"/>
                <w:szCs w:val="18"/>
              </w:rPr>
            </w:pPr>
            <w:r w:rsidRPr="007114AF">
              <w:rPr>
                <w:rFonts w:ascii="Garamond" w:hAnsi="Garamond"/>
                <w:sz w:val="18"/>
                <w:szCs w:val="18"/>
              </w:rPr>
              <w:t>2006</w:t>
            </w:r>
          </w:p>
        </w:tc>
        <w:tc>
          <w:tcPr>
            <w:tcW w:w="218" w:type="pct"/>
            <w:tcBorders>
              <w:top w:val="single" w:sz="12" w:space="0" w:color="auto"/>
              <w:left w:val="single" w:sz="4" w:space="0" w:color="auto"/>
              <w:bottom w:val="single" w:sz="12" w:space="0" w:color="auto"/>
              <w:right w:val="single" w:sz="4" w:space="0" w:color="auto"/>
            </w:tcBorders>
            <w:shd w:val="clear" w:color="auto" w:fill="FFFFFF" w:themeFill="background1"/>
            <w:noWrap/>
            <w:vAlign w:val="center"/>
            <w:hideMark/>
          </w:tcPr>
          <w:p w14:paraId="6EDCF547" w14:textId="77777777" w:rsidR="00D71745" w:rsidRPr="007114AF" w:rsidRDefault="00D71745" w:rsidP="00D71745">
            <w:pPr>
              <w:spacing w:after="0" w:line="240" w:lineRule="auto"/>
              <w:rPr>
                <w:rFonts w:ascii="Garamond" w:hAnsi="Garamond"/>
                <w:sz w:val="18"/>
                <w:szCs w:val="18"/>
              </w:rPr>
            </w:pPr>
            <w:r w:rsidRPr="007114AF">
              <w:rPr>
                <w:rFonts w:ascii="Garamond" w:hAnsi="Garamond"/>
                <w:sz w:val="18"/>
                <w:szCs w:val="18"/>
              </w:rPr>
              <w:t>2007</w:t>
            </w:r>
          </w:p>
        </w:tc>
        <w:tc>
          <w:tcPr>
            <w:tcW w:w="218" w:type="pct"/>
            <w:tcBorders>
              <w:top w:val="single" w:sz="12" w:space="0" w:color="auto"/>
              <w:left w:val="single" w:sz="4" w:space="0" w:color="auto"/>
              <w:bottom w:val="single" w:sz="12" w:space="0" w:color="auto"/>
              <w:right w:val="single" w:sz="4" w:space="0" w:color="auto"/>
            </w:tcBorders>
            <w:shd w:val="clear" w:color="auto" w:fill="FFFFFF" w:themeFill="background1"/>
            <w:noWrap/>
            <w:vAlign w:val="center"/>
            <w:hideMark/>
          </w:tcPr>
          <w:p w14:paraId="6EDCF548" w14:textId="77777777" w:rsidR="00D71745" w:rsidRPr="007114AF" w:rsidRDefault="00D71745" w:rsidP="00D71745">
            <w:pPr>
              <w:spacing w:after="0" w:line="240" w:lineRule="auto"/>
              <w:rPr>
                <w:rFonts w:ascii="Garamond" w:hAnsi="Garamond"/>
                <w:sz w:val="18"/>
                <w:szCs w:val="18"/>
              </w:rPr>
            </w:pPr>
            <w:r w:rsidRPr="007114AF">
              <w:rPr>
                <w:rFonts w:ascii="Garamond" w:hAnsi="Garamond"/>
                <w:sz w:val="18"/>
                <w:szCs w:val="18"/>
              </w:rPr>
              <w:t>2008</w:t>
            </w:r>
          </w:p>
        </w:tc>
        <w:tc>
          <w:tcPr>
            <w:tcW w:w="212" w:type="pct"/>
            <w:tcBorders>
              <w:top w:val="single" w:sz="12" w:space="0" w:color="auto"/>
              <w:left w:val="single" w:sz="4" w:space="0" w:color="auto"/>
              <w:bottom w:val="single" w:sz="12" w:space="0" w:color="auto"/>
              <w:right w:val="single" w:sz="12" w:space="0" w:color="auto"/>
            </w:tcBorders>
            <w:shd w:val="clear" w:color="auto" w:fill="FFFFFF" w:themeFill="background1"/>
            <w:noWrap/>
            <w:vAlign w:val="center"/>
            <w:hideMark/>
          </w:tcPr>
          <w:p w14:paraId="6EDCF549" w14:textId="77777777" w:rsidR="00D71745" w:rsidRPr="007114AF" w:rsidRDefault="00D71745" w:rsidP="00D71745">
            <w:pPr>
              <w:spacing w:after="0" w:line="240" w:lineRule="auto"/>
              <w:rPr>
                <w:rFonts w:ascii="Garamond" w:hAnsi="Garamond"/>
                <w:sz w:val="18"/>
                <w:szCs w:val="18"/>
              </w:rPr>
            </w:pPr>
            <w:r w:rsidRPr="007114AF">
              <w:rPr>
                <w:rFonts w:ascii="Garamond" w:hAnsi="Garamond"/>
                <w:sz w:val="18"/>
                <w:szCs w:val="18"/>
              </w:rPr>
              <w:t>2009</w:t>
            </w:r>
          </w:p>
        </w:tc>
      </w:tr>
      <w:tr w:rsidR="00D71745" w:rsidRPr="007114AF" w14:paraId="6EDCF561" w14:textId="77777777" w:rsidTr="00A9766F">
        <w:trPr>
          <w:trHeight w:hRule="exact" w:val="301"/>
        </w:trPr>
        <w:tc>
          <w:tcPr>
            <w:tcW w:w="190" w:type="pct"/>
            <w:vMerge w:val="restart"/>
            <w:tcBorders>
              <w:top w:val="single" w:sz="12" w:space="0" w:color="auto"/>
              <w:left w:val="single" w:sz="12" w:space="0" w:color="auto"/>
              <w:bottom w:val="single" w:sz="12" w:space="0" w:color="auto"/>
              <w:right w:val="single" w:sz="2" w:space="0" w:color="auto"/>
            </w:tcBorders>
            <w:shd w:val="clear" w:color="auto" w:fill="FFFFFF" w:themeFill="background1"/>
            <w:noWrap/>
            <w:textDirection w:val="btLr"/>
            <w:vAlign w:val="center"/>
            <w:hideMark/>
          </w:tcPr>
          <w:p w14:paraId="6EDCF54B" w14:textId="77777777" w:rsidR="00D71745" w:rsidRPr="007114AF" w:rsidRDefault="00D71745" w:rsidP="00D71745">
            <w:pPr>
              <w:spacing w:after="0" w:line="240" w:lineRule="auto"/>
              <w:rPr>
                <w:rFonts w:ascii="Garamond" w:hAnsi="Garamond"/>
                <w:sz w:val="18"/>
                <w:szCs w:val="18"/>
              </w:rPr>
            </w:pPr>
            <w:r w:rsidRPr="007114AF">
              <w:rPr>
                <w:rFonts w:ascii="Garamond" w:hAnsi="Garamond"/>
                <w:sz w:val="18"/>
                <w:szCs w:val="18"/>
              </w:rPr>
              <w:t>KPK</w:t>
            </w:r>
          </w:p>
        </w:tc>
        <w:tc>
          <w:tcPr>
            <w:tcW w:w="453" w:type="pct"/>
            <w:tcBorders>
              <w:top w:val="single" w:sz="12" w:space="0" w:color="auto"/>
              <w:left w:val="single" w:sz="2" w:space="0" w:color="auto"/>
              <w:bottom w:val="single" w:sz="2" w:space="0" w:color="auto"/>
              <w:right w:val="single" w:sz="2" w:space="0" w:color="auto"/>
            </w:tcBorders>
            <w:shd w:val="clear" w:color="auto" w:fill="FFFFFF" w:themeFill="background1"/>
            <w:noWrap/>
            <w:vAlign w:val="center"/>
            <w:hideMark/>
          </w:tcPr>
          <w:p w14:paraId="6EDCF54C" w14:textId="77777777" w:rsidR="00D71745" w:rsidRPr="007114AF" w:rsidRDefault="00D71745" w:rsidP="00D71745">
            <w:pPr>
              <w:spacing w:after="0" w:line="240" w:lineRule="auto"/>
              <w:rPr>
                <w:rFonts w:ascii="Garamond" w:hAnsi="Garamond"/>
                <w:sz w:val="18"/>
                <w:szCs w:val="18"/>
              </w:rPr>
            </w:pPr>
            <w:r w:rsidRPr="007114AF">
              <w:rPr>
                <w:rFonts w:ascii="Garamond" w:hAnsi="Garamond"/>
                <w:sz w:val="18"/>
                <w:szCs w:val="18"/>
              </w:rPr>
              <w:t>Energji</w:t>
            </w:r>
          </w:p>
        </w:tc>
        <w:tc>
          <w:tcPr>
            <w:tcW w:w="203" w:type="pct"/>
            <w:tcBorders>
              <w:top w:val="single" w:sz="12" w:space="0" w:color="auto"/>
              <w:left w:val="single" w:sz="2" w:space="0" w:color="auto"/>
              <w:bottom w:val="single" w:sz="2" w:space="0" w:color="auto"/>
              <w:right w:val="single" w:sz="2" w:space="0" w:color="auto"/>
            </w:tcBorders>
            <w:shd w:val="clear" w:color="auto" w:fill="FFFFFF" w:themeFill="background1"/>
            <w:noWrap/>
            <w:vAlign w:val="center"/>
            <w:hideMark/>
          </w:tcPr>
          <w:p w14:paraId="6EDCF54D"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w:t>
            </w:r>
          </w:p>
        </w:tc>
        <w:tc>
          <w:tcPr>
            <w:tcW w:w="235" w:type="pct"/>
            <w:tcBorders>
              <w:top w:val="single" w:sz="12" w:space="0" w:color="auto"/>
              <w:left w:val="single" w:sz="2" w:space="0" w:color="auto"/>
              <w:bottom w:val="single" w:sz="2" w:space="0" w:color="auto"/>
              <w:right w:val="single" w:sz="2" w:space="0" w:color="auto"/>
            </w:tcBorders>
            <w:shd w:val="clear" w:color="auto" w:fill="FFFFFF" w:themeFill="background1"/>
            <w:noWrap/>
            <w:vAlign w:val="center"/>
            <w:hideMark/>
          </w:tcPr>
          <w:p w14:paraId="6EDCF54E"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w:t>
            </w:r>
          </w:p>
        </w:tc>
        <w:tc>
          <w:tcPr>
            <w:tcW w:w="218" w:type="pct"/>
            <w:tcBorders>
              <w:top w:val="single" w:sz="12" w:space="0" w:color="auto"/>
              <w:left w:val="single" w:sz="2" w:space="0" w:color="auto"/>
              <w:bottom w:val="single" w:sz="2" w:space="0" w:color="auto"/>
              <w:right w:val="single" w:sz="2" w:space="0" w:color="auto"/>
            </w:tcBorders>
            <w:shd w:val="clear" w:color="auto" w:fill="FFFFFF" w:themeFill="background1"/>
            <w:noWrap/>
            <w:vAlign w:val="center"/>
            <w:hideMark/>
          </w:tcPr>
          <w:p w14:paraId="6EDCF54F"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w:t>
            </w:r>
          </w:p>
        </w:tc>
        <w:tc>
          <w:tcPr>
            <w:tcW w:w="218" w:type="pct"/>
            <w:tcBorders>
              <w:top w:val="single" w:sz="12" w:space="0" w:color="auto"/>
              <w:left w:val="single" w:sz="2" w:space="0" w:color="auto"/>
              <w:bottom w:val="single" w:sz="2" w:space="0" w:color="auto"/>
              <w:right w:val="single" w:sz="2" w:space="0" w:color="auto"/>
            </w:tcBorders>
            <w:shd w:val="clear" w:color="auto" w:fill="FFFFFF" w:themeFill="background1"/>
            <w:noWrap/>
            <w:vAlign w:val="center"/>
            <w:hideMark/>
          </w:tcPr>
          <w:p w14:paraId="6EDCF550"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w:t>
            </w:r>
          </w:p>
        </w:tc>
        <w:tc>
          <w:tcPr>
            <w:tcW w:w="218" w:type="pct"/>
            <w:tcBorders>
              <w:top w:val="single" w:sz="12" w:space="0" w:color="auto"/>
              <w:left w:val="single" w:sz="2" w:space="0" w:color="auto"/>
              <w:bottom w:val="single" w:sz="2" w:space="0" w:color="auto"/>
              <w:right w:val="single" w:sz="2" w:space="0" w:color="auto"/>
            </w:tcBorders>
            <w:shd w:val="clear" w:color="auto" w:fill="FFFFFF" w:themeFill="background1"/>
            <w:noWrap/>
            <w:vAlign w:val="center"/>
            <w:hideMark/>
          </w:tcPr>
          <w:p w14:paraId="6EDCF551"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3107</w:t>
            </w:r>
          </w:p>
        </w:tc>
        <w:tc>
          <w:tcPr>
            <w:tcW w:w="218" w:type="pct"/>
            <w:tcBorders>
              <w:top w:val="single" w:sz="12" w:space="0" w:color="auto"/>
              <w:left w:val="single" w:sz="2" w:space="0" w:color="auto"/>
              <w:bottom w:val="single" w:sz="2" w:space="0" w:color="auto"/>
              <w:right w:val="single" w:sz="2" w:space="0" w:color="auto"/>
            </w:tcBorders>
            <w:shd w:val="clear" w:color="auto" w:fill="FFFFFF" w:themeFill="background1"/>
            <w:noWrap/>
            <w:vAlign w:val="center"/>
            <w:hideMark/>
          </w:tcPr>
          <w:p w14:paraId="6EDCF552"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w:t>
            </w:r>
          </w:p>
        </w:tc>
        <w:tc>
          <w:tcPr>
            <w:tcW w:w="218" w:type="pct"/>
            <w:tcBorders>
              <w:top w:val="single" w:sz="12" w:space="0" w:color="auto"/>
              <w:left w:val="single" w:sz="2" w:space="0" w:color="auto"/>
              <w:bottom w:val="single" w:sz="2" w:space="0" w:color="auto"/>
              <w:right w:val="single" w:sz="2" w:space="0" w:color="auto"/>
            </w:tcBorders>
            <w:shd w:val="clear" w:color="auto" w:fill="FFFFFF" w:themeFill="background1"/>
            <w:noWrap/>
            <w:vAlign w:val="center"/>
            <w:hideMark/>
          </w:tcPr>
          <w:p w14:paraId="6EDCF553"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w:t>
            </w:r>
          </w:p>
        </w:tc>
        <w:tc>
          <w:tcPr>
            <w:tcW w:w="218" w:type="pct"/>
            <w:tcBorders>
              <w:top w:val="single" w:sz="12" w:space="0" w:color="auto"/>
              <w:left w:val="single" w:sz="2" w:space="0" w:color="auto"/>
              <w:bottom w:val="single" w:sz="2" w:space="0" w:color="auto"/>
              <w:right w:val="single" w:sz="2" w:space="0" w:color="auto"/>
            </w:tcBorders>
            <w:shd w:val="clear" w:color="auto" w:fill="FFFFFF" w:themeFill="background1"/>
            <w:noWrap/>
            <w:vAlign w:val="center"/>
            <w:hideMark/>
          </w:tcPr>
          <w:p w14:paraId="6EDCF554"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w:t>
            </w:r>
          </w:p>
        </w:tc>
        <w:tc>
          <w:tcPr>
            <w:tcW w:w="218" w:type="pct"/>
            <w:tcBorders>
              <w:top w:val="single" w:sz="12" w:space="0" w:color="auto"/>
              <w:left w:val="single" w:sz="2" w:space="0" w:color="auto"/>
              <w:bottom w:val="single" w:sz="2" w:space="0" w:color="auto"/>
              <w:right w:val="single" w:sz="2" w:space="0" w:color="auto"/>
            </w:tcBorders>
            <w:shd w:val="clear" w:color="auto" w:fill="FFFFFF" w:themeFill="background1"/>
            <w:noWrap/>
            <w:vAlign w:val="center"/>
            <w:hideMark/>
          </w:tcPr>
          <w:p w14:paraId="6EDCF555"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w:t>
            </w:r>
          </w:p>
        </w:tc>
        <w:tc>
          <w:tcPr>
            <w:tcW w:w="218" w:type="pct"/>
            <w:tcBorders>
              <w:top w:val="single" w:sz="12" w:space="0" w:color="auto"/>
              <w:left w:val="single" w:sz="2" w:space="0" w:color="auto"/>
              <w:bottom w:val="single" w:sz="2" w:space="0" w:color="auto"/>
              <w:right w:val="single" w:sz="2" w:space="0" w:color="auto"/>
            </w:tcBorders>
            <w:shd w:val="clear" w:color="auto" w:fill="FFFFFF" w:themeFill="background1"/>
            <w:noWrap/>
            <w:vAlign w:val="center"/>
            <w:hideMark/>
          </w:tcPr>
          <w:p w14:paraId="6EDCF556"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w:t>
            </w:r>
          </w:p>
        </w:tc>
        <w:tc>
          <w:tcPr>
            <w:tcW w:w="237" w:type="pct"/>
            <w:tcBorders>
              <w:top w:val="single" w:sz="12" w:space="0" w:color="auto"/>
              <w:left w:val="single" w:sz="2" w:space="0" w:color="auto"/>
              <w:bottom w:val="single" w:sz="2" w:space="0" w:color="auto"/>
              <w:right w:val="single" w:sz="2" w:space="0" w:color="auto"/>
            </w:tcBorders>
            <w:shd w:val="clear" w:color="auto" w:fill="FFFFFF" w:themeFill="background1"/>
            <w:noWrap/>
            <w:vAlign w:val="center"/>
            <w:hideMark/>
          </w:tcPr>
          <w:p w14:paraId="6EDCF557"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w:t>
            </w:r>
          </w:p>
        </w:tc>
        <w:tc>
          <w:tcPr>
            <w:tcW w:w="200" w:type="pct"/>
            <w:tcBorders>
              <w:top w:val="single" w:sz="12" w:space="0" w:color="auto"/>
              <w:left w:val="single" w:sz="2" w:space="0" w:color="auto"/>
              <w:bottom w:val="single" w:sz="2" w:space="0" w:color="auto"/>
              <w:right w:val="single" w:sz="2" w:space="0" w:color="auto"/>
            </w:tcBorders>
            <w:shd w:val="clear" w:color="auto" w:fill="FFFFFF" w:themeFill="background1"/>
            <w:noWrap/>
            <w:vAlign w:val="center"/>
            <w:hideMark/>
          </w:tcPr>
          <w:p w14:paraId="6EDCF558"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w:t>
            </w:r>
          </w:p>
        </w:tc>
        <w:tc>
          <w:tcPr>
            <w:tcW w:w="218" w:type="pct"/>
            <w:tcBorders>
              <w:top w:val="single" w:sz="12" w:space="0" w:color="auto"/>
              <w:left w:val="single" w:sz="2" w:space="0" w:color="auto"/>
              <w:bottom w:val="single" w:sz="2" w:space="0" w:color="auto"/>
              <w:right w:val="single" w:sz="2" w:space="0" w:color="auto"/>
            </w:tcBorders>
            <w:shd w:val="clear" w:color="auto" w:fill="FFFFFF" w:themeFill="background1"/>
            <w:noWrap/>
            <w:vAlign w:val="center"/>
            <w:hideMark/>
          </w:tcPr>
          <w:p w14:paraId="6EDCF559"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w:t>
            </w:r>
          </w:p>
        </w:tc>
        <w:tc>
          <w:tcPr>
            <w:tcW w:w="218" w:type="pct"/>
            <w:tcBorders>
              <w:top w:val="single" w:sz="12" w:space="0" w:color="auto"/>
              <w:left w:val="single" w:sz="2" w:space="0" w:color="auto"/>
              <w:bottom w:val="single" w:sz="2" w:space="0" w:color="auto"/>
              <w:right w:val="single" w:sz="2" w:space="0" w:color="auto"/>
            </w:tcBorders>
            <w:shd w:val="clear" w:color="auto" w:fill="FFFFFF" w:themeFill="background1"/>
            <w:noWrap/>
            <w:vAlign w:val="center"/>
            <w:hideMark/>
          </w:tcPr>
          <w:p w14:paraId="6EDCF55A"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w:t>
            </w:r>
          </w:p>
        </w:tc>
        <w:tc>
          <w:tcPr>
            <w:tcW w:w="218" w:type="pct"/>
            <w:tcBorders>
              <w:top w:val="single" w:sz="12" w:space="0" w:color="auto"/>
              <w:left w:val="single" w:sz="2" w:space="0" w:color="auto"/>
              <w:bottom w:val="single" w:sz="2" w:space="0" w:color="auto"/>
              <w:right w:val="single" w:sz="2" w:space="0" w:color="auto"/>
            </w:tcBorders>
            <w:shd w:val="clear" w:color="auto" w:fill="FFFFFF" w:themeFill="background1"/>
            <w:noWrap/>
            <w:vAlign w:val="center"/>
            <w:hideMark/>
          </w:tcPr>
          <w:p w14:paraId="6EDCF55B"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w:t>
            </w:r>
          </w:p>
        </w:tc>
        <w:tc>
          <w:tcPr>
            <w:tcW w:w="218" w:type="pct"/>
            <w:tcBorders>
              <w:top w:val="single" w:sz="12" w:space="0" w:color="auto"/>
              <w:left w:val="single" w:sz="2" w:space="0" w:color="auto"/>
              <w:bottom w:val="single" w:sz="2" w:space="0" w:color="auto"/>
              <w:right w:val="single" w:sz="2" w:space="0" w:color="auto"/>
            </w:tcBorders>
            <w:shd w:val="clear" w:color="auto" w:fill="FFFFFF" w:themeFill="background1"/>
            <w:noWrap/>
            <w:vAlign w:val="center"/>
            <w:hideMark/>
          </w:tcPr>
          <w:p w14:paraId="6EDCF55C"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w:t>
            </w:r>
          </w:p>
        </w:tc>
        <w:tc>
          <w:tcPr>
            <w:tcW w:w="218" w:type="pct"/>
            <w:tcBorders>
              <w:top w:val="single" w:sz="12" w:space="0" w:color="auto"/>
              <w:left w:val="single" w:sz="2" w:space="0" w:color="auto"/>
              <w:bottom w:val="single" w:sz="2" w:space="0" w:color="auto"/>
              <w:right w:val="single" w:sz="2" w:space="0" w:color="auto"/>
            </w:tcBorders>
            <w:shd w:val="clear" w:color="auto" w:fill="FFFFFF" w:themeFill="background1"/>
            <w:noWrap/>
            <w:vAlign w:val="center"/>
            <w:hideMark/>
          </w:tcPr>
          <w:p w14:paraId="6EDCF55D"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w:t>
            </w:r>
          </w:p>
        </w:tc>
        <w:tc>
          <w:tcPr>
            <w:tcW w:w="218" w:type="pct"/>
            <w:tcBorders>
              <w:top w:val="single" w:sz="12" w:space="0" w:color="auto"/>
              <w:left w:val="single" w:sz="2" w:space="0" w:color="auto"/>
              <w:bottom w:val="single" w:sz="2" w:space="0" w:color="auto"/>
              <w:right w:val="single" w:sz="2" w:space="0" w:color="auto"/>
            </w:tcBorders>
            <w:shd w:val="clear" w:color="auto" w:fill="FFFFFF" w:themeFill="background1"/>
            <w:noWrap/>
            <w:vAlign w:val="center"/>
            <w:hideMark/>
          </w:tcPr>
          <w:p w14:paraId="6EDCF55E"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w:t>
            </w:r>
          </w:p>
        </w:tc>
        <w:tc>
          <w:tcPr>
            <w:tcW w:w="218" w:type="pct"/>
            <w:tcBorders>
              <w:top w:val="single" w:sz="12" w:space="0" w:color="auto"/>
              <w:left w:val="single" w:sz="2" w:space="0" w:color="auto"/>
              <w:bottom w:val="single" w:sz="2" w:space="0" w:color="auto"/>
              <w:right w:val="single" w:sz="2" w:space="0" w:color="auto"/>
            </w:tcBorders>
            <w:shd w:val="clear" w:color="auto" w:fill="FFFFFF" w:themeFill="background1"/>
            <w:noWrap/>
            <w:vAlign w:val="center"/>
            <w:hideMark/>
          </w:tcPr>
          <w:p w14:paraId="6EDCF55F"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w:t>
            </w:r>
          </w:p>
        </w:tc>
        <w:tc>
          <w:tcPr>
            <w:tcW w:w="212" w:type="pct"/>
            <w:tcBorders>
              <w:top w:val="single" w:sz="12" w:space="0" w:color="auto"/>
              <w:left w:val="single" w:sz="2" w:space="0" w:color="auto"/>
              <w:bottom w:val="single" w:sz="2" w:space="0" w:color="auto"/>
              <w:right w:val="single" w:sz="12" w:space="0" w:color="auto"/>
            </w:tcBorders>
            <w:shd w:val="clear" w:color="auto" w:fill="FFFFFF" w:themeFill="background1"/>
            <w:noWrap/>
            <w:vAlign w:val="center"/>
            <w:hideMark/>
          </w:tcPr>
          <w:p w14:paraId="6EDCF560"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w:t>
            </w:r>
          </w:p>
        </w:tc>
      </w:tr>
      <w:tr w:rsidR="00D71745" w:rsidRPr="007114AF" w14:paraId="6EDCF578" w14:textId="77777777" w:rsidTr="00A9766F">
        <w:trPr>
          <w:trHeight w:hRule="exact" w:val="301"/>
        </w:trPr>
        <w:tc>
          <w:tcPr>
            <w:tcW w:w="190" w:type="pct"/>
            <w:vMerge/>
            <w:tcBorders>
              <w:top w:val="single" w:sz="12" w:space="0" w:color="auto"/>
              <w:left w:val="single" w:sz="12" w:space="0" w:color="auto"/>
              <w:bottom w:val="single" w:sz="12" w:space="0" w:color="auto"/>
              <w:right w:val="single" w:sz="2" w:space="0" w:color="auto"/>
            </w:tcBorders>
            <w:shd w:val="clear" w:color="auto" w:fill="FFFFFF" w:themeFill="background1"/>
            <w:vAlign w:val="center"/>
            <w:hideMark/>
          </w:tcPr>
          <w:p w14:paraId="6EDCF562" w14:textId="77777777" w:rsidR="00D71745" w:rsidRPr="007114AF" w:rsidRDefault="00D71745" w:rsidP="00D71745">
            <w:pPr>
              <w:spacing w:after="0" w:line="240" w:lineRule="auto"/>
              <w:rPr>
                <w:rFonts w:ascii="Garamond" w:hAnsi="Garamond"/>
                <w:sz w:val="18"/>
                <w:szCs w:val="18"/>
              </w:rPr>
            </w:pPr>
          </w:p>
        </w:tc>
        <w:tc>
          <w:tcPr>
            <w:tcW w:w="453" w:type="pct"/>
            <w:tcBorders>
              <w:top w:val="single" w:sz="2" w:space="0" w:color="auto"/>
              <w:left w:val="single" w:sz="2" w:space="0" w:color="auto"/>
              <w:bottom w:val="single" w:sz="2" w:space="0" w:color="auto"/>
              <w:right w:val="single" w:sz="2" w:space="0" w:color="auto"/>
            </w:tcBorders>
            <w:shd w:val="clear" w:color="auto" w:fill="FFFFFF" w:themeFill="background1"/>
            <w:noWrap/>
            <w:vAlign w:val="center"/>
            <w:hideMark/>
          </w:tcPr>
          <w:p w14:paraId="6EDCF563" w14:textId="77777777" w:rsidR="00D71745" w:rsidRPr="007114AF" w:rsidRDefault="00D71745" w:rsidP="00D71745">
            <w:pPr>
              <w:spacing w:after="0" w:line="240" w:lineRule="auto"/>
              <w:rPr>
                <w:rFonts w:ascii="Garamond" w:hAnsi="Garamond"/>
                <w:sz w:val="18"/>
                <w:szCs w:val="18"/>
              </w:rPr>
            </w:pPr>
            <w:r w:rsidRPr="007114AF">
              <w:rPr>
                <w:rFonts w:ascii="Garamond" w:hAnsi="Garamond"/>
                <w:sz w:val="18"/>
                <w:szCs w:val="18"/>
              </w:rPr>
              <w:t>Industrial Processes</w:t>
            </w:r>
          </w:p>
        </w:tc>
        <w:tc>
          <w:tcPr>
            <w:tcW w:w="203" w:type="pct"/>
            <w:tcBorders>
              <w:top w:val="single" w:sz="2" w:space="0" w:color="auto"/>
              <w:left w:val="single" w:sz="2" w:space="0" w:color="auto"/>
              <w:bottom w:val="single" w:sz="2" w:space="0" w:color="auto"/>
              <w:right w:val="single" w:sz="2" w:space="0" w:color="auto"/>
            </w:tcBorders>
            <w:shd w:val="clear" w:color="auto" w:fill="FFFFFF" w:themeFill="background1"/>
            <w:noWrap/>
            <w:vAlign w:val="center"/>
            <w:hideMark/>
          </w:tcPr>
          <w:p w14:paraId="6EDCF564"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w:t>
            </w:r>
          </w:p>
        </w:tc>
        <w:tc>
          <w:tcPr>
            <w:tcW w:w="235" w:type="pct"/>
            <w:tcBorders>
              <w:top w:val="single" w:sz="2" w:space="0" w:color="auto"/>
              <w:left w:val="single" w:sz="2" w:space="0" w:color="auto"/>
              <w:bottom w:val="single" w:sz="2" w:space="0" w:color="auto"/>
              <w:right w:val="single" w:sz="2" w:space="0" w:color="auto"/>
            </w:tcBorders>
            <w:shd w:val="clear" w:color="auto" w:fill="FFFFFF" w:themeFill="background1"/>
            <w:noWrap/>
            <w:vAlign w:val="center"/>
            <w:hideMark/>
          </w:tcPr>
          <w:p w14:paraId="6EDCF565"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w:t>
            </w:r>
          </w:p>
        </w:tc>
        <w:tc>
          <w:tcPr>
            <w:tcW w:w="218" w:type="pct"/>
            <w:tcBorders>
              <w:top w:val="single" w:sz="2" w:space="0" w:color="auto"/>
              <w:left w:val="single" w:sz="2" w:space="0" w:color="auto"/>
              <w:bottom w:val="single" w:sz="2" w:space="0" w:color="auto"/>
              <w:right w:val="single" w:sz="2" w:space="0" w:color="auto"/>
            </w:tcBorders>
            <w:shd w:val="clear" w:color="auto" w:fill="FFFFFF" w:themeFill="background1"/>
            <w:noWrap/>
            <w:vAlign w:val="center"/>
            <w:hideMark/>
          </w:tcPr>
          <w:p w14:paraId="6EDCF566"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w:t>
            </w:r>
          </w:p>
        </w:tc>
        <w:tc>
          <w:tcPr>
            <w:tcW w:w="218" w:type="pct"/>
            <w:tcBorders>
              <w:top w:val="single" w:sz="2" w:space="0" w:color="auto"/>
              <w:left w:val="single" w:sz="2" w:space="0" w:color="auto"/>
              <w:bottom w:val="single" w:sz="2" w:space="0" w:color="auto"/>
              <w:right w:val="single" w:sz="2" w:space="0" w:color="auto"/>
            </w:tcBorders>
            <w:shd w:val="clear" w:color="auto" w:fill="FFFFFF" w:themeFill="background1"/>
            <w:noWrap/>
            <w:vAlign w:val="center"/>
            <w:hideMark/>
          </w:tcPr>
          <w:p w14:paraId="6EDCF567"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w:t>
            </w:r>
          </w:p>
        </w:tc>
        <w:tc>
          <w:tcPr>
            <w:tcW w:w="218" w:type="pct"/>
            <w:tcBorders>
              <w:top w:val="single" w:sz="2" w:space="0" w:color="auto"/>
              <w:left w:val="single" w:sz="2" w:space="0" w:color="auto"/>
              <w:bottom w:val="single" w:sz="2" w:space="0" w:color="auto"/>
              <w:right w:val="single" w:sz="2" w:space="0" w:color="auto"/>
            </w:tcBorders>
            <w:shd w:val="clear" w:color="auto" w:fill="FFFFFF" w:themeFill="background1"/>
            <w:noWrap/>
            <w:vAlign w:val="center"/>
            <w:hideMark/>
          </w:tcPr>
          <w:p w14:paraId="6EDCF568"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209</w:t>
            </w:r>
          </w:p>
        </w:tc>
        <w:tc>
          <w:tcPr>
            <w:tcW w:w="218" w:type="pct"/>
            <w:tcBorders>
              <w:top w:val="single" w:sz="2" w:space="0" w:color="auto"/>
              <w:left w:val="single" w:sz="2" w:space="0" w:color="auto"/>
              <w:bottom w:val="single" w:sz="2" w:space="0" w:color="auto"/>
              <w:right w:val="single" w:sz="2" w:space="0" w:color="auto"/>
            </w:tcBorders>
            <w:shd w:val="clear" w:color="auto" w:fill="FFFFFF" w:themeFill="background1"/>
            <w:noWrap/>
            <w:vAlign w:val="center"/>
            <w:hideMark/>
          </w:tcPr>
          <w:p w14:paraId="6EDCF569"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w:t>
            </w:r>
          </w:p>
        </w:tc>
        <w:tc>
          <w:tcPr>
            <w:tcW w:w="218" w:type="pct"/>
            <w:tcBorders>
              <w:top w:val="single" w:sz="2" w:space="0" w:color="auto"/>
              <w:left w:val="single" w:sz="2" w:space="0" w:color="auto"/>
              <w:bottom w:val="single" w:sz="2" w:space="0" w:color="auto"/>
              <w:right w:val="single" w:sz="2" w:space="0" w:color="auto"/>
            </w:tcBorders>
            <w:shd w:val="clear" w:color="auto" w:fill="FFFFFF" w:themeFill="background1"/>
            <w:noWrap/>
            <w:vAlign w:val="center"/>
            <w:hideMark/>
          </w:tcPr>
          <w:p w14:paraId="6EDCF56A"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w:t>
            </w:r>
          </w:p>
        </w:tc>
        <w:tc>
          <w:tcPr>
            <w:tcW w:w="218" w:type="pct"/>
            <w:tcBorders>
              <w:top w:val="single" w:sz="2" w:space="0" w:color="auto"/>
              <w:left w:val="single" w:sz="2" w:space="0" w:color="auto"/>
              <w:bottom w:val="single" w:sz="2" w:space="0" w:color="auto"/>
              <w:right w:val="single" w:sz="2" w:space="0" w:color="auto"/>
            </w:tcBorders>
            <w:shd w:val="clear" w:color="auto" w:fill="FFFFFF" w:themeFill="background1"/>
            <w:noWrap/>
            <w:vAlign w:val="center"/>
            <w:hideMark/>
          </w:tcPr>
          <w:p w14:paraId="6EDCF56B"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w:t>
            </w:r>
          </w:p>
        </w:tc>
        <w:tc>
          <w:tcPr>
            <w:tcW w:w="218" w:type="pct"/>
            <w:tcBorders>
              <w:top w:val="single" w:sz="2" w:space="0" w:color="auto"/>
              <w:left w:val="single" w:sz="2" w:space="0" w:color="auto"/>
              <w:bottom w:val="single" w:sz="2" w:space="0" w:color="auto"/>
              <w:right w:val="single" w:sz="2" w:space="0" w:color="auto"/>
            </w:tcBorders>
            <w:shd w:val="clear" w:color="auto" w:fill="FFFFFF" w:themeFill="background1"/>
            <w:noWrap/>
            <w:vAlign w:val="center"/>
            <w:hideMark/>
          </w:tcPr>
          <w:p w14:paraId="6EDCF56C"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w:t>
            </w:r>
          </w:p>
        </w:tc>
        <w:tc>
          <w:tcPr>
            <w:tcW w:w="218" w:type="pct"/>
            <w:tcBorders>
              <w:top w:val="single" w:sz="2" w:space="0" w:color="auto"/>
              <w:left w:val="single" w:sz="2" w:space="0" w:color="auto"/>
              <w:bottom w:val="single" w:sz="2" w:space="0" w:color="auto"/>
              <w:right w:val="single" w:sz="2" w:space="0" w:color="auto"/>
            </w:tcBorders>
            <w:shd w:val="clear" w:color="auto" w:fill="FFFFFF" w:themeFill="background1"/>
            <w:noWrap/>
            <w:vAlign w:val="center"/>
            <w:hideMark/>
          </w:tcPr>
          <w:p w14:paraId="6EDCF56D"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w:t>
            </w:r>
          </w:p>
        </w:tc>
        <w:tc>
          <w:tcPr>
            <w:tcW w:w="237" w:type="pct"/>
            <w:tcBorders>
              <w:top w:val="single" w:sz="2" w:space="0" w:color="auto"/>
              <w:left w:val="single" w:sz="2" w:space="0" w:color="auto"/>
              <w:bottom w:val="single" w:sz="2" w:space="0" w:color="auto"/>
              <w:right w:val="single" w:sz="2" w:space="0" w:color="auto"/>
            </w:tcBorders>
            <w:shd w:val="clear" w:color="auto" w:fill="FFFFFF" w:themeFill="background1"/>
            <w:noWrap/>
            <w:vAlign w:val="center"/>
            <w:hideMark/>
          </w:tcPr>
          <w:p w14:paraId="6EDCF56E"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w:t>
            </w:r>
          </w:p>
        </w:tc>
        <w:tc>
          <w:tcPr>
            <w:tcW w:w="200" w:type="pct"/>
            <w:tcBorders>
              <w:top w:val="single" w:sz="2" w:space="0" w:color="auto"/>
              <w:left w:val="single" w:sz="2" w:space="0" w:color="auto"/>
              <w:bottom w:val="single" w:sz="2" w:space="0" w:color="auto"/>
              <w:right w:val="single" w:sz="2" w:space="0" w:color="auto"/>
            </w:tcBorders>
            <w:shd w:val="clear" w:color="auto" w:fill="FFFFFF" w:themeFill="background1"/>
            <w:noWrap/>
            <w:vAlign w:val="center"/>
            <w:hideMark/>
          </w:tcPr>
          <w:p w14:paraId="6EDCF56F"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w:t>
            </w:r>
          </w:p>
        </w:tc>
        <w:tc>
          <w:tcPr>
            <w:tcW w:w="218" w:type="pct"/>
            <w:tcBorders>
              <w:top w:val="single" w:sz="2" w:space="0" w:color="auto"/>
              <w:left w:val="single" w:sz="2" w:space="0" w:color="auto"/>
              <w:bottom w:val="single" w:sz="2" w:space="0" w:color="auto"/>
              <w:right w:val="single" w:sz="2" w:space="0" w:color="auto"/>
            </w:tcBorders>
            <w:shd w:val="clear" w:color="auto" w:fill="FFFFFF" w:themeFill="background1"/>
            <w:noWrap/>
            <w:vAlign w:val="center"/>
            <w:hideMark/>
          </w:tcPr>
          <w:p w14:paraId="6EDCF570"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w:t>
            </w:r>
          </w:p>
        </w:tc>
        <w:tc>
          <w:tcPr>
            <w:tcW w:w="218" w:type="pct"/>
            <w:tcBorders>
              <w:top w:val="single" w:sz="2" w:space="0" w:color="auto"/>
              <w:left w:val="single" w:sz="2" w:space="0" w:color="auto"/>
              <w:bottom w:val="single" w:sz="2" w:space="0" w:color="auto"/>
              <w:right w:val="single" w:sz="2" w:space="0" w:color="auto"/>
            </w:tcBorders>
            <w:shd w:val="clear" w:color="auto" w:fill="FFFFFF" w:themeFill="background1"/>
            <w:noWrap/>
            <w:vAlign w:val="center"/>
            <w:hideMark/>
          </w:tcPr>
          <w:p w14:paraId="6EDCF571"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w:t>
            </w:r>
          </w:p>
        </w:tc>
        <w:tc>
          <w:tcPr>
            <w:tcW w:w="218" w:type="pct"/>
            <w:tcBorders>
              <w:top w:val="single" w:sz="2" w:space="0" w:color="auto"/>
              <w:left w:val="single" w:sz="2" w:space="0" w:color="auto"/>
              <w:bottom w:val="single" w:sz="2" w:space="0" w:color="auto"/>
              <w:right w:val="single" w:sz="2" w:space="0" w:color="auto"/>
            </w:tcBorders>
            <w:shd w:val="clear" w:color="auto" w:fill="FFFFFF" w:themeFill="background1"/>
            <w:noWrap/>
            <w:vAlign w:val="center"/>
            <w:hideMark/>
          </w:tcPr>
          <w:p w14:paraId="6EDCF572"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w:t>
            </w:r>
          </w:p>
        </w:tc>
        <w:tc>
          <w:tcPr>
            <w:tcW w:w="218" w:type="pct"/>
            <w:tcBorders>
              <w:top w:val="single" w:sz="2" w:space="0" w:color="auto"/>
              <w:left w:val="single" w:sz="2" w:space="0" w:color="auto"/>
              <w:bottom w:val="single" w:sz="2" w:space="0" w:color="auto"/>
              <w:right w:val="single" w:sz="2" w:space="0" w:color="auto"/>
            </w:tcBorders>
            <w:shd w:val="clear" w:color="auto" w:fill="FFFFFF" w:themeFill="background1"/>
            <w:noWrap/>
            <w:vAlign w:val="center"/>
            <w:hideMark/>
          </w:tcPr>
          <w:p w14:paraId="6EDCF573"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w:t>
            </w:r>
          </w:p>
        </w:tc>
        <w:tc>
          <w:tcPr>
            <w:tcW w:w="218" w:type="pct"/>
            <w:tcBorders>
              <w:top w:val="single" w:sz="2" w:space="0" w:color="auto"/>
              <w:left w:val="single" w:sz="2" w:space="0" w:color="auto"/>
              <w:bottom w:val="single" w:sz="2" w:space="0" w:color="auto"/>
              <w:right w:val="single" w:sz="2" w:space="0" w:color="auto"/>
            </w:tcBorders>
            <w:shd w:val="clear" w:color="auto" w:fill="FFFFFF" w:themeFill="background1"/>
            <w:noWrap/>
            <w:vAlign w:val="center"/>
            <w:hideMark/>
          </w:tcPr>
          <w:p w14:paraId="6EDCF574"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w:t>
            </w:r>
          </w:p>
        </w:tc>
        <w:tc>
          <w:tcPr>
            <w:tcW w:w="218" w:type="pct"/>
            <w:tcBorders>
              <w:top w:val="single" w:sz="2" w:space="0" w:color="auto"/>
              <w:left w:val="single" w:sz="2" w:space="0" w:color="auto"/>
              <w:bottom w:val="single" w:sz="2" w:space="0" w:color="auto"/>
              <w:right w:val="single" w:sz="2" w:space="0" w:color="auto"/>
            </w:tcBorders>
            <w:shd w:val="clear" w:color="auto" w:fill="FFFFFF" w:themeFill="background1"/>
            <w:noWrap/>
            <w:vAlign w:val="center"/>
            <w:hideMark/>
          </w:tcPr>
          <w:p w14:paraId="6EDCF575"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w:t>
            </w:r>
          </w:p>
        </w:tc>
        <w:tc>
          <w:tcPr>
            <w:tcW w:w="218" w:type="pct"/>
            <w:tcBorders>
              <w:top w:val="single" w:sz="2" w:space="0" w:color="auto"/>
              <w:left w:val="single" w:sz="2" w:space="0" w:color="auto"/>
              <w:bottom w:val="single" w:sz="2" w:space="0" w:color="auto"/>
              <w:right w:val="single" w:sz="2" w:space="0" w:color="auto"/>
            </w:tcBorders>
            <w:shd w:val="clear" w:color="auto" w:fill="FFFFFF" w:themeFill="background1"/>
            <w:noWrap/>
            <w:vAlign w:val="center"/>
            <w:hideMark/>
          </w:tcPr>
          <w:p w14:paraId="6EDCF576"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w:t>
            </w:r>
          </w:p>
        </w:tc>
        <w:tc>
          <w:tcPr>
            <w:tcW w:w="212" w:type="pct"/>
            <w:tcBorders>
              <w:top w:val="single" w:sz="2" w:space="0" w:color="auto"/>
              <w:left w:val="single" w:sz="2" w:space="0" w:color="auto"/>
              <w:bottom w:val="single" w:sz="2" w:space="0" w:color="auto"/>
              <w:right w:val="single" w:sz="12" w:space="0" w:color="auto"/>
            </w:tcBorders>
            <w:shd w:val="clear" w:color="auto" w:fill="FFFFFF" w:themeFill="background1"/>
            <w:noWrap/>
            <w:vAlign w:val="center"/>
            <w:hideMark/>
          </w:tcPr>
          <w:p w14:paraId="6EDCF577"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w:t>
            </w:r>
          </w:p>
        </w:tc>
      </w:tr>
      <w:tr w:rsidR="00D71745" w:rsidRPr="007114AF" w14:paraId="6EDCF58F" w14:textId="77777777" w:rsidTr="00A9766F">
        <w:trPr>
          <w:trHeight w:hRule="exact" w:val="301"/>
        </w:trPr>
        <w:tc>
          <w:tcPr>
            <w:tcW w:w="190" w:type="pct"/>
            <w:vMerge/>
            <w:tcBorders>
              <w:top w:val="single" w:sz="12" w:space="0" w:color="auto"/>
              <w:left w:val="single" w:sz="12" w:space="0" w:color="auto"/>
              <w:bottom w:val="single" w:sz="12" w:space="0" w:color="auto"/>
              <w:right w:val="single" w:sz="2" w:space="0" w:color="auto"/>
            </w:tcBorders>
            <w:shd w:val="clear" w:color="auto" w:fill="FFFFFF" w:themeFill="background1"/>
            <w:vAlign w:val="center"/>
            <w:hideMark/>
          </w:tcPr>
          <w:p w14:paraId="6EDCF579" w14:textId="77777777" w:rsidR="00D71745" w:rsidRPr="007114AF" w:rsidRDefault="00D71745" w:rsidP="00D71745">
            <w:pPr>
              <w:spacing w:after="0" w:line="240" w:lineRule="auto"/>
              <w:rPr>
                <w:rFonts w:ascii="Garamond" w:hAnsi="Garamond"/>
                <w:sz w:val="18"/>
                <w:szCs w:val="18"/>
              </w:rPr>
            </w:pPr>
          </w:p>
        </w:tc>
        <w:tc>
          <w:tcPr>
            <w:tcW w:w="453" w:type="pct"/>
            <w:tcBorders>
              <w:top w:val="single" w:sz="2" w:space="0" w:color="auto"/>
              <w:left w:val="single" w:sz="2" w:space="0" w:color="auto"/>
              <w:bottom w:val="single" w:sz="2" w:space="0" w:color="auto"/>
              <w:right w:val="single" w:sz="2" w:space="0" w:color="auto"/>
            </w:tcBorders>
            <w:shd w:val="clear" w:color="auto" w:fill="FFFFFF" w:themeFill="background1"/>
            <w:noWrap/>
            <w:vAlign w:val="center"/>
            <w:hideMark/>
          </w:tcPr>
          <w:p w14:paraId="6EDCF57A" w14:textId="77777777" w:rsidR="00D71745" w:rsidRPr="007114AF" w:rsidRDefault="00D71745" w:rsidP="00D71745">
            <w:pPr>
              <w:spacing w:after="0" w:line="240" w:lineRule="auto"/>
              <w:rPr>
                <w:rFonts w:ascii="Garamond" w:hAnsi="Garamond"/>
                <w:sz w:val="18"/>
                <w:szCs w:val="18"/>
              </w:rPr>
            </w:pPr>
            <w:r w:rsidRPr="007114AF">
              <w:rPr>
                <w:rFonts w:ascii="Garamond" w:hAnsi="Garamond"/>
                <w:sz w:val="18"/>
                <w:szCs w:val="18"/>
              </w:rPr>
              <w:t xml:space="preserve">Bujqësi </w:t>
            </w:r>
          </w:p>
        </w:tc>
        <w:tc>
          <w:tcPr>
            <w:tcW w:w="203" w:type="pct"/>
            <w:tcBorders>
              <w:top w:val="single" w:sz="2" w:space="0" w:color="auto"/>
              <w:left w:val="single" w:sz="2" w:space="0" w:color="auto"/>
              <w:bottom w:val="single" w:sz="2" w:space="0" w:color="auto"/>
              <w:right w:val="single" w:sz="2" w:space="0" w:color="auto"/>
            </w:tcBorders>
            <w:shd w:val="clear" w:color="auto" w:fill="FFFFFF" w:themeFill="background1"/>
            <w:noWrap/>
            <w:vAlign w:val="center"/>
            <w:hideMark/>
          </w:tcPr>
          <w:p w14:paraId="6EDCF57B"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w:t>
            </w:r>
          </w:p>
        </w:tc>
        <w:tc>
          <w:tcPr>
            <w:tcW w:w="235" w:type="pct"/>
            <w:tcBorders>
              <w:top w:val="single" w:sz="2" w:space="0" w:color="auto"/>
              <w:left w:val="single" w:sz="2" w:space="0" w:color="auto"/>
              <w:bottom w:val="single" w:sz="2" w:space="0" w:color="auto"/>
              <w:right w:val="single" w:sz="2" w:space="0" w:color="auto"/>
            </w:tcBorders>
            <w:shd w:val="clear" w:color="auto" w:fill="FFFFFF" w:themeFill="background1"/>
            <w:noWrap/>
            <w:vAlign w:val="center"/>
            <w:hideMark/>
          </w:tcPr>
          <w:p w14:paraId="6EDCF57C"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w:t>
            </w:r>
          </w:p>
        </w:tc>
        <w:tc>
          <w:tcPr>
            <w:tcW w:w="218" w:type="pct"/>
            <w:tcBorders>
              <w:top w:val="single" w:sz="2" w:space="0" w:color="auto"/>
              <w:left w:val="single" w:sz="2" w:space="0" w:color="auto"/>
              <w:bottom w:val="single" w:sz="2" w:space="0" w:color="auto"/>
              <w:right w:val="single" w:sz="2" w:space="0" w:color="auto"/>
            </w:tcBorders>
            <w:shd w:val="clear" w:color="auto" w:fill="FFFFFF" w:themeFill="background1"/>
            <w:noWrap/>
            <w:vAlign w:val="center"/>
            <w:hideMark/>
          </w:tcPr>
          <w:p w14:paraId="6EDCF57D"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w:t>
            </w:r>
          </w:p>
        </w:tc>
        <w:tc>
          <w:tcPr>
            <w:tcW w:w="218" w:type="pct"/>
            <w:tcBorders>
              <w:top w:val="single" w:sz="2" w:space="0" w:color="auto"/>
              <w:left w:val="single" w:sz="2" w:space="0" w:color="auto"/>
              <w:bottom w:val="single" w:sz="2" w:space="0" w:color="auto"/>
              <w:right w:val="single" w:sz="2" w:space="0" w:color="auto"/>
            </w:tcBorders>
            <w:shd w:val="clear" w:color="auto" w:fill="FFFFFF" w:themeFill="background1"/>
            <w:noWrap/>
            <w:vAlign w:val="center"/>
            <w:hideMark/>
          </w:tcPr>
          <w:p w14:paraId="6EDCF57E"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w:t>
            </w:r>
          </w:p>
        </w:tc>
        <w:tc>
          <w:tcPr>
            <w:tcW w:w="218" w:type="pct"/>
            <w:tcBorders>
              <w:top w:val="single" w:sz="2" w:space="0" w:color="auto"/>
              <w:left w:val="single" w:sz="2" w:space="0" w:color="auto"/>
              <w:bottom w:val="single" w:sz="2" w:space="0" w:color="auto"/>
              <w:right w:val="single" w:sz="2" w:space="0" w:color="auto"/>
            </w:tcBorders>
            <w:shd w:val="clear" w:color="auto" w:fill="FFFFFF" w:themeFill="background1"/>
            <w:noWrap/>
            <w:vAlign w:val="center"/>
            <w:hideMark/>
          </w:tcPr>
          <w:p w14:paraId="6EDCF57F"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1915</w:t>
            </w:r>
          </w:p>
        </w:tc>
        <w:tc>
          <w:tcPr>
            <w:tcW w:w="218" w:type="pct"/>
            <w:tcBorders>
              <w:top w:val="single" w:sz="2" w:space="0" w:color="auto"/>
              <w:left w:val="single" w:sz="2" w:space="0" w:color="auto"/>
              <w:bottom w:val="single" w:sz="2" w:space="0" w:color="auto"/>
              <w:right w:val="single" w:sz="2" w:space="0" w:color="auto"/>
            </w:tcBorders>
            <w:shd w:val="clear" w:color="auto" w:fill="FFFFFF" w:themeFill="background1"/>
            <w:noWrap/>
            <w:vAlign w:val="center"/>
            <w:hideMark/>
          </w:tcPr>
          <w:p w14:paraId="6EDCF580"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w:t>
            </w:r>
          </w:p>
        </w:tc>
        <w:tc>
          <w:tcPr>
            <w:tcW w:w="218" w:type="pct"/>
            <w:tcBorders>
              <w:top w:val="single" w:sz="2" w:space="0" w:color="auto"/>
              <w:left w:val="single" w:sz="2" w:space="0" w:color="auto"/>
              <w:bottom w:val="single" w:sz="2" w:space="0" w:color="auto"/>
              <w:right w:val="single" w:sz="2" w:space="0" w:color="auto"/>
            </w:tcBorders>
            <w:shd w:val="clear" w:color="auto" w:fill="FFFFFF" w:themeFill="background1"/>
            <w:noWrap/>
            <w:vAlign w:val="center"/>
            <w:hideMark/>
          </w:tcPr>
          <w:p w14:paraId="6EDCF581"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w:t>
            </w:r>
          </w:p>
        </w:tc>
        <w:tc>
          <w:tcPr>
            <w:tcW w:w="218" w:type="pct"/>
            <w:tcBorders>
              <w:top w:val="single" w:sz="2" w:space="0" w:color="auto"/>
              <w:left w:val="single" w:sz="2" w:space="0" w:color="auto"/>
              <w:bottom w:val="single" w:sz="2" w:space="0" w:color="auto"/>
              <w:right w:val="single" w:sz="2" w:space="0" w:color="auto"/>
            </w:tcBorders>
            <w:shd w:val="clear" w:color="auto" w:fill="FFFFFF" w:themeFill="background1"/>
            <w:noWrap/>
            <w:vAlign w:val="center"/>
            <w:hideMark/>
          </w:tcPr>
          <w:p w14:paraId="6EDCF582"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w:t>
            </w:r>
          </w:p>
        </w:tc>
        <w:tc>
          <w:tcPr>
            <w:tcW w:w="218" w:type="pct"/>
            <w:tcBorders>
              <w:top w:val="single" w:sz="2" w:space="0" w:color="auto"/>
              <w:left w:val="single" w:sz="2" w:space="0" w:color="auto"/>
              <w:bottom w:val="single" w:sz="2" w:space="0" w:color="auto"/>
              <w:right w:val="single" w:sz="2" w:space="0" w:color="auto"/>
            </w:tcBorders>
            <w:shd w:val="clear" w:color="auto" w:fill="FFFFFF" w:themeFill="background1"/>
            <w:noWrap/>
            <w:vAlign w:val="center"/>
            <w:hideMark/>
          </w:tcPr>
          <w:p w14:paraId="6EDCF583"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w:t>
            </w:r>
          </w:p>
        </w:tc>
        <w:tc>
          <w:tcPr>
            <w:tcW w:w="218" w:type="pct"/>
            <w:tcBorders>
              <w:top w:val="single" w:sz="2" w:space="0" w:color="auto"/>
              <w:left w:val="single" w:sz="2" w:space="0" w:color="auto"/>
              <w:bottom w:val="single" w:sz="2" w:space="0" w:color="auto"/>
              <w:right w:val="single" w:sz="2" w:space="0" w:color="auto"/>
            </w:tcBorders>
            <w:shd w:val="clear" w:color="auto" w:fill="FFFFFF" w:themeFill="background1"/>
            <w:noWrap/>
            <w:vAlign w:val="center"/>
            <w:hideMark/>
          </w:tcPr>
          <w:p w14:paraId="6EDCF584"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w:t>
            </w:r>
          </w:p>
        </w:tc>
        <w:tc>
          <w:tcPr>
            <w:tcW w:w="237" w:type="pct"/>
            <w:tcBorders>
              <w:top w:val="single" w:sz="2" w:space="0" w:color="auto"/>
              <w:left w:val="single" w:sz="2" w:space="0" w:color="auto"/>
              <w:bottom w:val="single" w:sz="2" w:space="0" w:color="auto"/>
              <w:right w:val="single" w:sz="2" w:space="0" w:color="auto"/>
            </w:tcBorders>
            <w:shd w:val="clear" w:color="auto" w:fill="FFFFFF" w:themeFill="background1"/>
            <w:noWrap/>
            <w:vAlign w:val="center"/>
            <w:hideMark/>
          </w:tcPr>
          <w:p w14:paraId="6EDCF585"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w:t>
            </w:r>
          </w:p>
        </w:tc>
        <w:tc>
          <w:tcPr>
            <w:tcW w:w="200" w:type="pct"/>
            <w:tcBorders>
              <w:top w:val="single" w:sz="2" w:space="0" w:color="auto"/>
              <w:left w:val="single" w:sz="2" w:space="0" w:color="auto"/>
              <w:bottom w:val="single" w:sz="2" w:space="0" w:color="auto"/>
              <w:right w:val="single" w:sz="2" w:space="0" w:color="auto"/>
            </w:tcBorders>
            <w:shd w:val="clear" w:color="auto" w:fill="FFFFFF" w:themeFill="background1"/>
            <w:noWrap/>
            <w:vAlign w:val="center"/>
            <w:hideMark/>
          </w:tcPr>
          <w:p w14:paraId="6EDCF586"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w:t>
            </w:r>
          </w:p>
        </w:tc>
        <w:tc>
          <w:tcPr>
            <w:tcW w:w="218" w:type="pct"/>
            <w:tcBorders>
              <w:top w:val="single" w:sz="2" w:space="0" w:color="auto"/>
              <w:left w:val="single" w:sz="2" w:space="0" w:color="auto"/>
              <w:bottom w:val="single" w:sz="2" w:space="0" w:color="auto"/>
              <w:right w:val="single" w:sz="2" w:space="0" w:color="auto"/>
            </w:tcBorders>
            <w:shd w:val="clear" w:color="auto" w:fill="FFFFFF" w:themeFill="background1"/>
            <w:noWrap/>
            <w:vAlign w:val="center"/>
            <w:hideMark/>
          </w:tcPr>
          <w:p w14:paraId="6EDCF587"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w:t>
            </w:r>
          </w:p>
        </w:tc>
        <w:tc>
          <w:tcPr>
            <w:tcW w:w="218" w:type="pct"/>
            <w:tcBorders>
              <w:top w:val="single" w:sz="2" w:space="0" w:color="auto"/>
              <w:left w:val="single" w:sz="2" w:space="0" w:color="auto"/>
              <w:bottom w:val="single" w:sz="2" w:space="0" w:color="auto"/>
              <w:right w:val="single" w:sz="2" w:space="0" w:color="auto"/>
            </w:tcBorders>
            <w:shd w:val="clear" w:color="auto" w:fill="FFFFFF" w:themeFill="background1"/>
            <w:noWrap/>
            <w:vAlign w:val="center"/>
            <w:hideMark/>
          </w:tcPr>
          <w:p w14:paraId="6EDCF588"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w:t>
            </w:r>
          </w:p>
        </w:tc>
        <w:tc>
          <w:tcPr>
            <w:tcW w:w="218" w:type="pct"/>
            <w:tcBorders>
              <w:top w:val="single" w:sz="2" w:space="0" w:color="auto"/>
              <w:left w:val="single" w:sz="2" w:space="0" w:color="auto"/>
              <w:bottom w:val="single" w:sz="2" w:space="0" w:color="auto"/>
              <w:right w:val="single" w:sz="2" w:space="0" w:color="auto"/>
            </w:tcBorders>
            <w:shd w:val="clear" w:color="auto" w:fill="FFFFFF" w:themeFill="background1"/>
            <w:noWrap/>
            <w:vAlign w:val="center"/>
            <w:hideMark/>
          </w:tcPr>
          <w:p w14:paraId="6EDCF589"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w:t>
            </w:r>
          </w:p>
        </w:tc>
        <w:tc>
          <w:tcPr>
            <w:tcW w:w="218" w:type="pct"/>
            <w:tcBorders>
              <w:top w:val="single" w:sz="2" w:space="0" w:color="auto"/>
              <w:left w:val="single" w:sz="2" w:space="0" w:color="auto"/>
              <w:bottom w:val="single" w:sz="2" w:space="0" w:color="auto"/>
              <w:right w:val="single" w:sz="2" w:space="0" w:color="auto"/>
            </w:tcBorders>
            <w:shd w:val="clear" w:color="auto" w:fill="FFFFFF" w:themeFill="background1"/>
            <w:noWrap/>
            <w:vAlign w:val="center"/>
            <w:hideMark/>
          </w:tcPr>
          <w:p w14:paraId="6EDCF58A"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w:t>
            </w:r>
          </w:p>
        </w:tc>
        <w:tc>
          <w:tcPr>
            <w:tcW w:w="218" w:type="pct"/>
            <w:tcBorders>
              <w:top w:val="single" w:sz="2" w:space="0" w:color="auto"/>
              <w:left w:val="single" w:sz="2" w:space="0" w:color="auto"/>
              <w:bottom w:val="single" w:sz="2" w:space="0" w:color="auto"/>
              <w:right w:val="single" w:sz="2" w:space="0" w:color="auto"/>
            </w:tcBorders>
            <w:shd w:val="clear" w:color="auto" w:fill="FFFFFF" w:themeFill="background1"/>
            <w:noWrap/>
            <w:vAlign w:val="center"/>
            <w:hideMark/>
          </w:tcPr>
          <w:p w14:paraId="6EDCF58B"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w:t>
            </w:r>
          </w:p>
        </w:tc>
        <w:tc>
          <w:tcPr>
            <w:tcW w:w="218" w:type="pct"/>
            <w:tcBorders>
              <w:top w:val="single" w:sz="2" w:space="0" w:color="auto"/>
              <w:left w:val="single" w:sz="2" w:space="0" w:color="auto"/>
              <w:bottom w:val="single" w:sz="2" w:space="0" w:color="auto"/>
              <w:right w:val="single" w:sz="2" w:space="0" w:color="auto"/>
            </w:tcBorders>
            <w:shd w:val="clear" w:color="auto" w:fill="FFFFFF" w:themeFill="background1"/>
            <w:noWrap/>
            <w:vAlign w:val="center"/>
            <w:hideMark/>
          </w:tcPr>
          <w:p w14:paraId="6EDCF58C"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w:t>
            </w:r>
          </w:p>
        </w:tc>
        <w:tc>
          <w:tcPr>
            <w:tcW w:w="218" w:type="pct"/>
            <w:tcBorders>
              <w:top w:val="single" w:sz="2" w:space="0" w:color="auto"/>
              <w:left w:val="single" w:sz="2" w:space="0" w:color="auto"/>
              <w:bottom w:val="single" w:sz="2" w:space="0" w:color="auto"/>
              <w:right w:val="single" w:sz="2" w:space="0" w:color="auto"/>
            </w:tcBorders>
            <w:shd w:val="clear" w:color="auto" w:fill="FFFFFF" w:themeFill="background1"/>
            <w:noWrap/>
            <w:vAlign w:val="center"/>
            <w:hideMark/>
          </w:tcPr>
          <w:p w14:paraId="6EDCF58D"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w:t>
            </w:r>
          </w:p>
        </w:tc>
        <w:tc>
          <w:tcPr>
            <w:tcW w:w="212" w:type="pct"/>
            <w:tcBorders>
              <w:top w:val="single" w:sz="2" w:space="0" w:color="auto"/>
              <w:left w:val="single" w:sz="2" w:space="0" w:color="auto"/>
              <w:bottom w:val="single" w:sz="2" w:space="0" w:color="auto"/>
              <w:right w:val="single" w:sz="12" w:space="0" w:color="auto"/>
            </w:tcBorders>
            <w:shd w:val="clear" w:color="auto" w:fill="FFFFFF" w:themeFill="background1"/>
            <w:noWrap/>
            <w:vAlign w:val="center"/>
            <w:hideMark/>
          </w:tcPr>
          <w:p w14:paraId="6EDCF58E"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w:t>
            </w:r>
          </w:p>
        </w:tc>
      </w:tr>
      <w:tr w:rsidR="00D71745" w:rsidRPr="007114AF" w14:paraId="6EDCF5A6" w14:textId="77777777" w:rsidTr="00A9766F">
        <w:trPr>
          <w:trHeight w:hRule="exact" w:val="301"/>
        </w:trPr>
        <w:tc>
          <w:tcPr>
            <w:tcW w:w="190" w:type="pct"/>
            <w:vMerge/>
            <w:tcBorders>
              <w:top w:val="single" w:sz="12" w:space="0" w:color="auto"/>
              <w:left w:val="single" w:sz="12" w:space="0" w:color="auto"/>
              <w:bottom w:val="single" w:sz="12" w:space="0" w:color="auto"/>
              <w:right w:val="single" w:sz="2" w:space="0" w:color="auto"/>
            </w:tcBorders>
            <w:shd w:val="clear" w:color="auto" w:fill="FFFFFF" w:themeFill="background1"/>
            <w:vAlign w:val="center"/>
            <w:hideMark/>
          </w:tcPr>
          <w:p w14:paraId="6EDCF590" w14:textId="77777777" w:rsidR="00D71745" w:rsidRPr="007114AF" w:rsidRDefault="00D71745" w:rsidP="00D71745">
            <w:pPr>
              <w:spacing w:after="0" w:line="240" w:lineRule="auto"/>
              <w:rPr>
                <w:rFonts w:ascii="Garamond" w:hAnsi="Garamond"/>
                <w:sz w:val="18"/>
                <w:szCs w:val="18"/>
              </w:rPr>
            </w:pPr>
          </w:p>
        </w:tc>
        <w:tc>
          <w:tcPr>
            <w:tcW w:w="453" w:type="pct"/>
            <w:tcBorders>
              <w:top w:val="single" w:sz="2" w:space="0" w:color="auto"/>
              <w:left w:val="single" w:sz="2" w:space="0" w:color="auto"/>
              <w:bottom w:val="single" w:sz="2" w:space="0" w:color="auto"/>
              <w:right w:val="single" w:sz="2" w:space="0" w:color="auto"/>
            </w:tcBorders>
            <w:shd w:val="clear" w:color="auto" w:fill="FFFFFF" w:themeFill="background1"/>
            <w:noWrap/>
            <w:vAlign w:val="center"/>
            <w:hideMark/>
          </w:tcPr>
          <w:p w14:paraId="6EDCF591" w14:textId="77777777" w:rsidR="00D71745" w:rsidRPr="007114AF" w:rsidRDefault="00D71745" w:rsidP="00D71745">
            <w:pPr>
              <w:spacing w:after="0" w:line="240" w:lineRule="auto"/>
              <w:rPr>
                <w:rFonts w:ascii="Garamond" w:hAnsi="Garamond"/>
                <w:sz w:val="18"/>
                <w:szCs w:val="18"/>
              </w:rPr>
            </w:pPr>
            <w:r w:rsidRPr="007114AF">
              <w:rPr>
                <w:rFonts w:ascii="Garamond" w:hAnsi="Garamond"/>
                <w:sz w:val="18"/>
                <w:szCs w:val="18"/>
              </w:rPr>
              <w:t>LULUCF</w:t>
            </w:r>
          </w:p>
        </w:tc>
        <w:tc>
          <w:tcPr>
            <w:tcW w:w="203" w:type="pct"/>
            <w:tcBorders>
              <w:top w:val="single" w:sz="2" w:space="0" w:color="auto"/>
              <w:left w:val="single" w:sz="2" w:space="0" w:color="auto"/>
              <w:bottom w:val="single" w:sz="2" w:space="0" w:color="auto"/>
              <w:right w:val="single" w:sz="2" w:space="0" w:color="auto"/>
            </w:tcBorders>
            <w:shd w:val="clear" w:color="auto" w:fill="FFFFFF" w:themeFill="background1"/>
            <w:noWrap/>
            <w:vAlign w:val="center"/>
            <w:hideMark/>
          </w:tcPr>
          <w:p w14:paraId="6EDCF592"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w:t>
            </w:r>
          </w:p>
        </w:tc>
        <w:tc>
          <w:tcPr>
            <w:tcW w:w="235" w:type="pct"/>
            <w:tcBorders>
              <w:top w:val="single" w:sz="2" w:space="0" w:color="auto"/>
              <w:left w:val="single" w:sz="2" w:space="0" w:color="auto"/>
              <w:bottom w:val="single" w:sz="2" w:space="0" w:color="auto"/>
              <w:right w:val="single" w:sz="2" w:space="0" w:color="auto"/>
            </w:tcBorders>
            <w:shd w:val="clear" w:color="auto" w:fill="FFFFFF" w:themeFill="background1"/>
            <w:noWrap/>
            <w:vAlign w:val="center"/>
            <w:hideMark/>
          </w:tcPr>
          <w:p w14:paraId="6EDCF593"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w:t>
            </w:r>
          </w:p>
        </w:tc>
        <w:tc>
          <w:tcPr>
            <w:tcW w:w="218" w:type="pct"/>
            <w:tcBorders>
              <w:top w:val="single" w:sz="2" w:space="0" w:color="auto"/>
              <w:left w:val="single" w:sz="2" w:space="0" w:color="auto"/>
              <w:bottom w:val="single" w:sz="2" w:space="0" w:color="auto"/>
              <w:right w:val="single" w:sz="2" w:space="0" w:color="auto"/>
            </w:tcBorders>
            <w:shd w:val="clear" w:color="auto" w:fill="FFFFFF" w:themeFill="background1"/>
            <w:noWrap/>
            <w:vAlign w:val="center"/>
            <w:hideMark/>
          </w:tcPr>
          <w:p w14:paraId="6EDCF594"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w:t>
            </w:r>
          </w:p>
        </w:tc>
        <w:tc>
          <w:tcPr>
            <w:tcW w:w="218" w:type="pct"/>
            <w:tcBorders>
              <w:top w:val="single" w:sz="2" w:space="0" w:color="auto"/>
              <w:left w:val="single" w:sz="2" w:space="0" w:color="auto"/>
              <w:bottom w:val="single" w:sz="2" w:space="0" w:color="auto"/>
              <w:right w:val="single" w:sz="2" w:space="0" w:color="auto"/>
            </w:tcBorders>
            <w:shd w:val="clear" w:color="auto" w:fill="FFFFFF" w:themeFill="background1"/>
            <w:noWrap/>
            <w:vAlign w:val="center"/>
            <w:hideMark/>
          </w:tcPr>
          <w:p w14:paraId="6EDCF595"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w:t>
            </w:r>
          </w:p>
        </w:tc>
        <w:tc>
          <w:tcPr>
            <w:tcW w:w="218" w:type="pct"/>
            <w:tcBorders>
              <w:top w:val="single" w:sz="2" w:space="0" w:color="auto"/>
              <w:left w:val="single" w:sz="2" w:space="0" w:color="auto"/>
              <w:bottom w:val="single" w:sz="2" w:space="0" w:color="auto"/>
              <w:right w:val="single" w:sz="2" w:space="0" w:color="auto"/>
            </w:tcBorders>
            <w:shd w:val="clear" w:color="auto" w:fill="FFFFFF" w:themeFill="background1"/>
            <w:noWrap/>
            <w:vAlign w:val="center"/>
            <w:hideMark/>
          </w:tcPr>
          <w:p w14:paraId="6EDCF596"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1525</w:t>
            </w:r>
          </w:p>
        </w:tc>
        <w:tc>
          <w:tcPr>
            <w:tcW w:w="218" w:type="pct"/>
            <w:tcBorders>
              <w:top w:val="single" w:sz="2" w:space="0" w:color="auto"/>
              <w:left w:val="single" w:sz="2" w:space="0" w:color="auto"/>
              <w:bottom w:val="single" w:sz="2" w:space="0" w:color="auto"/>
              <w:right w:val="single" w:sz="2" w:space="0" w:color="auto"/>
            </w:tcBorders>
            <w:shd w:val="clear" w:color="auto" w:fill="FFFFFF" w:themeFill="background1"/>
            <w:noWrap/>
            <w:vAlign w:val="center"/>
            <w:hideMark/>
          </w:tcPr>
          <w:p w14:paraId="6EDCF597"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w:t>
            </w:r>
          </w:p>
        </w:tc>
        <w:tc>
          <w:tcPr>
            <w:tcW w:w="218" w:type="pct"/>
            <w:tcBorders>
              <w:top w:val="single" w:sz="2" w:space="0" w:color="auto"/>
              <w:left w:val="single" w:sz="2" w:space="0" w:color="auto"/>
              <w:bottom w:val="single" w:sz="2" w:space="0" w:color="auto"/>
              <w:right w:val="single" w:sz="2" w:space="0" w:color="auto"/>
            </w:tcBorders>
            <w:shd w:val="clear" w:color="auto" w:fill="FFFFFF" w:themeFill="background1"/>
            <w:noWrap/>
            <w:vAlign w:val="center"/>
            <w:hideMark/>
          </w:tcPr>
          <w:p w14:paraId="6EDCF598"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w:t>
            </w:r>
          </w:p>
        </w:tc>
        <w:tc>
          <w:tcPr>
            <w:tcW w:w="218" w:type="pct"/>
            <w:tcBorders>
              <w:top w:val="single" w:sz="2" w:space="0" w:color="auto"/>
              <w:left w:val="single" w:sz="2" w:space="0" w:color="auto"/>
              <w:bottom w:val="single" w:sz="2" w:space="0" w:color="auto"/>
              <w:right w:val="single" w:sz="2" w:space="0" w:color="auto"/>
            </w:tcBorders>
            <w:shd w:val="clear" w:color="auto" w:fill="FFFFFF" w:themeFill="background1"/>
            <w:noWrap/>
            <w:vAlign w:val="center"/>
            <w:hideMark/>
          </w:tcPr>
          <w:p w14:paraId="6EDCF599"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w:t>
            </w:r>
          </w:p>
        </w:tc>
        <w:tc>
          <w:tcPr>
            <w:tcW w:w="218" w:type="pct"/>
            <w:tcBorders>
              <w:top w:val="single" w:sz="2" w:space="0" w:color="auto"/>
              <w:left w:val="single" w:sz="2" w:space="0" w:color="auto"/>
              <w:bottom w:val="single" w:sz="2" w:space="0" w:color="auto"/>
              <w:right w:val="single" w:sz="2" w:space="0" w:color="auto"/>
            </w:tcBorders>
            <w:shd w:val="clear" w:color="auto" w:fill="FFFFFF" w:themeFill="background1"/>
            <w:noWrap/>
            <w:vAlign w:val="center"/>
            <w:hideMark/>
          </w:tcPr>
          <w:p w14:paraId="6EDCF59A"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w:t>
            </w:r>
          </w:p>
        </w:tc>
        <w:tc>
          <w:tcPr>
            <w:tcW w:w="218" w:type="pct"/>
            <w:tcBorders>
              <w:top w:val="single" w:sz="2" w:space="0" w:color="auto"/>
              <w:left w:val="single" w:sz="2" w:space="0" w:color="auto"/>
              <w:bottom w:val="single" w:sz="2" w:space="0" w:color="auto"/>
              <w:right w:val="single" w:sz="2" w:space="0" w:color="auto"/>
            </w:tcBorders>
            <w:shd w:val="clear" w:color="auto" w:fill="FFFFFF" w:themeFill="background1"/>
            <w:noWrap/>
            <w:vAlign w:val="center"/>
            <w:hideMark/>
          </w:tcPr>
          <w:p w14:paraId="6EDCF59B"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w:t>
            </w:r>
          </w:p>
        </w:tc>
        <w:tc>
          <w:tcPr>
            <w:tcW w:w="237" w:type="pct"/>
            <w:tcBorders>
              <w:top w:val="single" w:sz="2" w:space="0" w:color="auto"/>
              <w:left w:val="single" w:sz="2" w:space="0" w:color="auto"/>
              <w:bottom w:val="single" w:sz="2" w:space="0" w:color="auto"/>
              <w:right w:val="single" w:sz="2" w:space="0" w:color="auto"/>
            </w:tcBorders>
            <w:shd w:val="clear" w:color="auto" w:fill="FFFFFF" w:themeFill="background1"/>
            <w:noWrap/>
            <w:vAlign w:val="center"/>
            <w:hideMark/>
          </w:tcPr>
          <w:p w14:paraId="6EDCF59C"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w:t>
            </w:r>
          </w:p>
        </w:tc>
        <w:tc>
          <w:tcPr>
            <w:tcW w:w="200" w:type="pct"/>
            <w:tcBorders>
              <w:top w:val="single" w:sz="2" w:space="0" w:color="auto"/>
              <w:left w:val="single" w:sz="2" w:space="0" w:color="auto"/>
              <w:bottom w:val="single" w:sz="2" w:space="0" w:color="auto"/>
              <w:right w:val="single" w:sz="2" w:space="0" w:color="auto"/>
            </w:tcBorders>
            <w:shd w:val="clear" w:color="auto" w:fill="FFFFFF" w:themeFill="background1"/>
            <w:noWrap/>
            <w:vAlign w:val="center"/>
            <w:hideMark/>
          </w:tcPr>
          <w:p w14:paraId="6EDCF59D"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w:t>
            </w:r>
          </w:p>
        </w:tc>
        <w:tc>
          <w:tcPr>
            <w:tcW w:w="218" w:type="pct"/>
            <w:tcBorders>
              <w:top w:val="single" w:sz="2" w:space="0" w:color="auto"/>
              <w:left w:val="single" w:sz="2" w:space="0" w:color="auto"/>
              <w:bottom w:val="single" w:sz="2" w:space="0" w:color="auto"/>
              <w:right w:val="single" w:sz="2" w:space="0" w:color="auto"/>
            </w:tcBorders>
            <w:shd w:val="clear" w:color="auto" w:fill="FFFFFF" w:themeFill="background1"/>
            <w:noWrap/>
            <w:vAlign w:val="center"/>
            <w:hideMark/>
          </w:tcPr>
          <w:p w14:paraId="6EDCF59E"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w:t>
            </w:r>
          </w:p>
        </w:tc>
        <w:tc>
          <w:tcPr>
            <w:tcW w:w="218" w:type="pct"/>
            <w:tcBorders>
              <w:top w:val="single" w:sz="2" w:space="0" w:color="auto"/>
              <w:left w:val="single" w:sz="2" w:space="0" w:color="auto"/>
              <w:bottom w:val="single" w:sz="2" w:space="0" w:color="auto"/>
              <w:right w:val="single" w:sz="2" w:space="0" w:color="auto"/>
            </w:tcBorders>
            <w:shd w:val="clear" w:color="auto" w:fill="FFFFFF" w:themeFill="background1"/>
            <w:noWrap/>
            <w:vAlign w:val="center"/>
            <w:hideMark/>
          </w:tcPr>
          <w:p w14:paraId="6EDCF59F"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w:t>
            </w:r>
          </w:p>
        </w:tc>
        <w:tc>
          <w:tcPr>
            <w:tcW w:w="218" w:type="pct"/>
            <w:tcBorders>
              <w:top w:val="single" w:sz="2" w:space="0" w:color="auto"/>
              <w:left w:val="single" w:sz="2" w:space="0" w:color="auto"/>
              <w:bottom w:val="single" w:sz="2" w:space="0" w:color="auto"/>
              <w:right w:val="single" w:sz="2" w:space="0" w:color="auto"/>
            </w:tcBorders>
            <w:shd w:val="clear" w:color="auto" w:fill="FFFFFF" w:themeFill="background1"/>
            <w:noWrap/>
            <w:vAlign w:val="center"/>
            <w:hideMark/>
          </w:tcPr>
          <w:p w14:paraId="6EDCF5A0"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w:t>
            </w:r>
          </w:p>
        </w:tc>
        <w:tc>
          <w:tcPr>
            <w:tcW w:w="218" w:type="pct"/>
            <w:tcBorders>
              <w:top w:val="single" w:sz="2" w:space="0" w:color="auto"/>
              <w:left w:val="single" w:sz="2" w:space="0" w:color="auto"/>
              <w:bottom w:val="single" w:sz="2" w:space="0" w:color="auto"/>
              <w:right w:val="single" w:sz="2" w:space="0" w:color="auto"/>
            </w:tcBorders>
            <w:shd w:val="clear" w:color="auto" w:fill="FFFFFF" w:themeFill="background1"/>
            <w:noWrap/>
            <w:vAlign w:val="center"/>
            <w:hideMark/>
          </w:tcPr>
          <w:p w14:paraId="6EDCF5A1"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w:t>
            </w:r>
          </w:p>
        </w:tc>
        <w:tc>
          <w:tcPr>
            <w:tcW w:w="218" w:type="pct"/>
            <w:tcBorders>
              <w:top w:val="single" w:sz="2" w:space="0" w:color="auto"/>
              <w:left w:val="single" w:sz="2" w:space="0" w:color="auto"/>
              <w:bottom w:val="single" w:sz="2" w:space="0" w:color="auto"/>
              <w:right w:val="single" w:sz="2" w:space="0" w:color="auto"/>
            </w:tcBorders>
            <w:shd w:val="clear" w:color="auto" w:fill="FFFFFF" w:themeFill="background1"/>
            <w:noWrap/>
            <w:vAlign w:val="center"/>
            <w:hideMark/>
          </w:tcPr>
          <w:p w14:paraId="6EDCF5A2"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w:t>
            </w:r>
          </w:p>
        </w:tc>
        <w:tc>
          <w:tcPr>
            <w:tcW w:w="218" w:type="pct"/>
            <w:tcBorders>
              <w:top w:val="single" w:sz="2" w:space="0" w:color="auto"/>
              <w:left w:val="single" w:sz="2" w:space="0" w:color="auto"/>
              <w:bottom w:val="single" w:sz="2" w:space="0" w:color="auto"/>
              <w:right w:val="single" w:sz="2" w:space="0" w:color="auto"/>
            </w:tcBorders>
            <w:shd w:val="clear" w:color="auto" w:fill="FFFFFF" w:themeFill="background1"/>
            <w:noWrap/>
            <w:vAlign w:val="center"/>
            <w:hideMark/>
          </w:tcPr>
          <w:p w14:paraId="6EDCF5A3"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w:t>
            </w:r>
          </w:p>
        </w:tc>
        <w:tc>
          <w:tcPr>
            <w:tcW w:w="218" w:type="pct"/>
            <w:tcBorders>
              <w:top w:val="single" w:sz="2" w:space="0" w:color="auto"/>
              <w:left w:val="single" w:sz="2" w:space="0" w:color="auto"/>
              <w:bottom w:val="single" w:sz="2" w:space="0" w:color="auto"/>
              <w:right w:val="single" w:sz="2" w:space="0" w:color="auto"/>
            </w:tcBorders>
            <w:shd w:val="clear" w:color="auto" w:fill="FFFFFF" w:themeFill="background1"/>
            <w:noWrap/>
            <w:vAlign w:val="center"/>
            <w:hideMark/>
          </w:tcPr>
          <w:p w14:paraId="6EDCF5A4"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w:t>
            </w:r>
          </w:p>
        </w:tc>
        <w:tc>
          <w:tcPr>
            <w:tcW w:w="212" w:type="pct"/>
            <w:tcBorders>
              <w:top w:val="single" w:sz="2" w:space="0" w:color="auto"/>
              <w:left w:val="single" w:sz="2" w:space="0" w:color="auto"/>
              <w:bottom w:val="single" w:sz="2" w:space="0" w:color="auto"/>
              <w:right w:val="single" w:sz="12" w:space="0" w:color="auto"/>
            </w:tcBorders>
            <w:shd w:val="clear" w:color="auto" w:fill="FFFFFF" w:themeFill="background1"/>
            <w:noWrap/>
            <w:vAlign w:val="center"/>
            <w:hideMark/>
          </w:tcPr>
          <w:p w14:paraId="6EDCF5A5"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w:t>
            </w:r>
          </w:p>
        </w:tc>
      </w:tr>
      <w:tr w:rsidR="00D71745" w:rsidRPr="007114AF" w14:paraId="6EDCF5BD" w14:textId="77777777" w:rsidTr="00A9766F">
        <w:trPr>
          <w:trHeight w:hRule="exact" w:val="301"/>
        </w:trPr>
        <w:tc>
          <w:tcPr>
            <w:tcW w:w="190" w:type="pct"/>
            <w:vMerge/>
            <w:tcBorders>
              <w:top w:val="single" w:sz="12" w:space="0" w:color="auto"/>
              <w:left w:val="single" w:sz="12" w:space="0" w:color="auto"/>
              <w:bottom w:val="single" w:sz="12" w:space="0" w:color="auto"/>
              <w:right w:val="single" w:sz="2" w:space="0" w:color="auto"/>
            </w:tcBorders>
            <w:shd w:val="clear" w:color="auto" w:fill="FFFFFF" w:themeFill="background1"/>
            <w:vAlign w:val="center"/>
            <w:hideMark/>
          </w:tcPr>
          <w:p w14:paraId="6EDCF5A7" w14:textId="77777777" w:rsidR="00D71745" w:rsidRPr="007114AF" w:rsidRDefault="00D71745" w:rsidP="00D71745">
            <w:pPr>
              <w:spacing w:after="0" w:line="240" w:lineRule="auto"/>
              <w:rPr>
                <w:rFonts w:ascii="Garamond" w:hAnsi="Garamond"/>
                <w:sz w:val="18"/>
                <w:szCs w:val="18"/>
              </w:rPr>
            </w:pPr>
          </w:p>
        </w:tc>
        <w:tc>
          <w:tcPr>
            <w:tcW w:w="453" w:type="pct"/>
            <w:tcBorders>
              <w:top w:val="single" w:sz="2" w:space="0" w:color="auto"/>
              <w:left w:val="single" w:sz="2" w:space="0" w:color="auto"/>
              <w:bottom w:val="single" w:sz="2" w:space="0" w:color="auto"/>
              <w:right w:val="single" w:sz="2" w:space="0" w:color="auto"/>
            </w:tcBorders>
            <w:shd w:val="clear" w:color="auto" w:fill="FFFFFF" w:themeFill="background1"/>
            <w:noWrap/>
            <w:vAlign w:val="center"/>
            <w:hideMark/>
          </w:tcPr>
          <w:p w14:paraId="6EDCF5A8" w14:textId="77777777" w:rsidR="00D71745" w:rsidRPr="007114AF" w:rsidRDefault="00D71745" w:rsidP="00D71745">
            <w:pPr>
              <w:spacing w:after="0" w:line="240" w:lineRule="auto"/>
              <w:rPr>
                <w:rFonts w:ascii="Garamond" w:hAnsi="Garamond"/>
                <w:sz w:val="18"/>
                <w:szCs w:val="18"/>
              </w:rPr>
            </w:pPr>
            <w:r w:rsidRPr="007114AF">
              <w:rPr>
                <w:rFonts w:ascii="Garamond" w:hAnsi="Garamond"/>
                <w:sz w:val="18"/>
                <w:szCs w:val="18"/>
              </w:rPr>
              <w:t xml:space="preserve">Mbetje </w:t>
            </w:r>
          </w:p>
        </w:tc>
        <w:tc>
          <w:tcPr>
            <w:tcW w:w="203" w:type="pct"/>
            <w:tcBorders>
              <w:top w:val="single" w:sz="2" w:space="0" w:color="auto"/>
              <w:left w:val="single" w:sz="2" w:space="0" w:color="auto"/>
              <w:bottom w:val="single" w:sz="2" w:space="0" w:color="auto"/>
              <w:right w:val="single" w:sz="2" w:space="0" w:color="auto"/>
            </w:tcBorders>
            <w:shd w:val="clear" w:color="auto" w:fill="FFFFFF" w:themeFill="background1"/>
            <w:noWrap/>
            <w:vAlign w:val="center"/>
            <w:hideMark/>
          </w:tcPr>
          <w:p w14:paraId="6EDCF5A9"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w:t>
            </w:r>
          </w:p>
        </w:tc>
        <w:tc>
          <w:tcPr>
            <w:tcW w:w="235" w:type="pct"/>
            <w:tcBorders>
              <w:top w:val="single" w:sz="2" w:space="0" w:color="auto"/>
              <w:left w:val="single" w:sz="2" w:space="0" w:color="auto"/>
              <w:bottom w:val="single" w:sz="2" w:space="0" w:color="auto"/>
              <w:right w:val="single" w:sz="2" w:space="0" w:color="auto"/>
            </w:tcBorders>
            <w:shd w:val="clear" w:color="auto" w:fill="FFFFFF" w:themeFill="background1"/>
            <w:noWrap/>
            <w:vAlign w:val="center"/>
            <w:hideMark/>
          </w:tcPr>
          <w:p w14:paraId="6EDCF5AA"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w:t>
            </w:r>
          </w:p>
        </w:tc>
        <w:tc>
          <w:tcPr>
            <w:tcW w:w="218" w:type="pct"/>
            <w:tcBorders>
              <w:top w:val="single" w:sz="2" w:space="0" w:color="auto"/>
              <w:left w:val="single" w:sz="2" w:space="0" w:color="auto"/>
              <w:bottom w:val="single" w:sz="2" w:space="0" w:color="auto"/>
              <w:right w:val="single" w:sz="2" w:space="0" w:color="auto"/>
            </w:tcBorders>
            <w:shd w:val="clear" w:color="auto" w:fill="FFFFFF" w:themeFill="background1"/>
            <w:noWrap/>
            <w:vAlign w:val="center"/>
            <w:hideMark/>
          </w:tcPr>
          <w:p w14:paraId="6EDCF5AB"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w:t>
            </w:r>
          </w:p>
        </w:tc>
        <w:tc>
          <w:tcPr>
            <w:tcW w:w="218" w:type="pct"/>
            <w:tcBorders>
              <w:top w:val="single" w:sz="2" w:space="0" w:color="auto"/>
              <w:left w:val="single" w:sz="2" w:space="0" w:color="auto"/>
              <w:bottom w:val="single" w:sz="2" w:space="0" w:color="auto"/>
              <w:right w:val="single" w:sz="2" w:space="0" w:color="auto"/>
            </w:tcBorders>
            <w:shd w:val="clear" w:color="auto" w:fill="FFFFFF" w:themeFill="background1"/>
            <w:noWrap/>
            <w:vAlign w:val="center"/>
            <w:hideMark/>
          </w:tcPr>
          <w:p w14:paraId="6EDCF5AC"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w:t>
            </w:r>
          </w:p>
        </w:tc>
        <w:tc>
          <w:tcPr>
            <w:tcW w:w="218" w:type="pct"/>
            <w:tcBorders>
              <w:top w:val="single" w:sz="2" w:space="0" w:color="auto"/>
              <w:left w:val="single" w:sz="2" w:space="0" w:color="auto"/>
              <w:bottom w:val="single" w:sz="2" w:space="0" w:color="auto"/>
              <w:right w:val="single" w:sz="2" w:space="0" w:color="auto"/>
            </w:tcBorders>
            <w:shd w:val="clear" w:color="auto" w:fill="FFFFFF" w:themeFill="background1"/>
            <w:noWrap/>
            <w:vAlign w:val="center"/>
            <w:hideMark/>
          </w:tcPr>
          <w:p w14:paraId="6EDCF5AD"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340</w:t>
            </w:r>
          </w:p>
        </w:tc>
        <w:tc>
          <w:tcPr>
            <w:tcW w:w="218" w:type="pct"/>
            <w:tcBorders>
              <w:top w:val="single" w:sz="2" w:space="0" w:color="auto"/>
              <w:left w:val="single" w:sz="2" w:space="0" w:color="auto"/>
              <w:bottom w:val="single" w:sz="2" w:space="0" w:color="auto"/>
              <w:right w:val="single" w:sz="2" w:space="0" w:color="auto"/>
            </w:tcBorders>
            <w:shd w:val="clear" w:color="auto" w:fill="FFFFFF" w:themeFill="background1"/>
            <w:noWrap/>
            <w:vAlign w:val="center"/>
            <w:hideMark/>
          </w:tcPr>
          <w:p w14:paraId="6EDCF5AE"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w:t>
            </w:r>
          </w:p>
        </w:tc>
        <w:tc>
          <w:tcPr>
            <w:tcW w:w="218" w:type="pct"/>
            <w:tcBorders>
              <w:top w:val="single" w:sz="2" w:space="0" w:color="auto"/>
              <w:left w:val="single" w:sz="2" w:space="0" w:color="auto"/>
              <w:bottom w:val="single" w:sz="2" w:space="0" w:color="auto"/>
              <w:right w:val="single" w:sz="2" w:space="0" w:color="auto"/>
            </w:tcBorders>
            <w:shd w:val="clear" w:color="auto" w:fill="FFFFFF" w:themeFill="background1"/>
            <w:noWrap/>
            <w:vAlign w:val="center"/>
            <w:hideMark/>
          </w:tcPr>
          <w:p w14:paraId="6EDCF5AF"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w:t>
            </w:r>
          </w:p>
        </w:tc>
        <w:tc>
          <w:tcPr>
            <w:tcW w:w="218" w:type="pct"/>
            <w:tcBorders>
              <w:top w:val="single" w:sz="2" w:space="0" w:color="auto"/>
              <w:left w:val="single" w:sz="2" w:space="0" w:color="auto"/>
              <w:bottom w:val="single" w:sz="2" w:space="0" w:color="auto"/>
              <w:right w:val="single" w:sz="2" w:space="0" w:color="auto"/>
            </w:tcBorders>
            <w:shd w:val="clear" w:color="auto" w:fill="FFFFFF" w:themeFill="background1"/>
            <w:noWrap/>
            <w:vAlign w:val="center"/>
            <w:hideMark/>
          </w:tcPr>
          <w:p w14:paraId="6EDCF5B0"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w:t>
            </w:r>
          </w:p>
        </w:tc>
        <w:tc>
          <w:tcPr>
            <w:tcW w:w="218" w:type="pct"/>
            <w:tcBorders>
              <w:top w:val="single" w:sz="2" w:space="0" w:color="auto"/>
              <w:left w:val="single" w:sz="2" w:space="0" w:color="auto"/>
              <w:bottom w:val="single" w:sz="2" w:space="0" w:color="auto"/>
              <w:right w:val="single" w:sz="2" w:space="0" w:color="auto"/>
            </w:tcBorders>
            <w:shd w:val="clear" w:color="auto" w:fill="FFFFFF" w:themeFill="background1"/>
            <w:noWrap/>
            <w:vAlign w:val="center"/>
            <w:hideMark/>
          </w:tcPr>
          <w:p w14:paraId="6EDCF5B1"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w:t>
            </w:r>
          </w:p>
        </w:tc>
        <w:tc>
          <w:tcPr>
            <w:tcW w:w="218" w:type="pct"/>
            <w:tcBorders>
              <w:top w:val="single" w:sz="2" w:space="0" w:color="auto"/>
              <w:left w:val="single" w:sz="2" w:space="0" w:color="auto"/>
              <w:bottom w:val="single" w:sz="2" w:space="0" w:color="auto"/>
              <w:right w:val="single" w:sz="2" w:space="0" w:color="auto"/>
            </w:tcBorders>
            <w:shd w:val="clear" w:color="auto" w:fill="FFFFFF" w:themeFill="background1"/>
            <w:noWrap/>
            <w:vAlign w:val="center"/>
            <w:hideMark/>
          </w:tcPr>
          <w:p w14:paraId="6EDCF5B2"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w:t>
            </w:r>
          </w:p>
        </w:tc>
        <w:tc>
          <w:tcPr>
            <w:tcW w:w="237" w:type="pct"/>
            <w:tcBorders>
              <w:top w:val="single" w:sz="2" w:space="0" w:color="auto"/>
              <w:left w:val="single" w:sz="2" w:space="0" w:color="auto"/>
              <w:bottom w:val="single" w:sz="2" w:space="0" w:color="auto"/>
              <w:right w:val="single" w:sz="2" w:space="0" w:color="auto"/>
            </w:tcBorders>
            <w:shd w:val="clear" w:color="auto" w:fill="FFFFFF" w:themeFill="background1"/>
            <w:noWrap/>
            <w:vAlign w:val="center"/>
            <w:hideMark/>
          </w:tcPr>
          <w:p w14:paraId="6EDCF5B3"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w:t>
            </w:r>
          </w:p>
        </w:tc>
        <w:tc>
          <w:tcPr>
            <w:tcW w:w="200" w:type="pct"/>
            <w:tcBorders>
              <w:top w:val="single" w:sz="2" w:space="0" w:color="auto"/>
              <w:left w:val="single" w:sz="2" w:space="0" w:color="auto"/>
              <w:bottom w:val="single" w:sz="2" w:space="0" w:color="auto"/>
              <w:right w:val="single" w:sz="2" w:space="0" w:color="auto"/>
            </w:tcBorders>
            <w:shd w:val="clear" w:color="auto" w:fill="FFFFFF" w:themeFill="background1"/>
            <w:noWrap/>
            <w:vAlign w:val="center"/>
            <w:hideMark/>
          </w:tcPr>
          <w:p w14:paraId="6EDCF5B4"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w:t>
            </w:r>
          </w:p>
        </w:tc>
        <w:tc>
          <w:tcPr>
            <w:tcW w:w="218" w:type="pct"/>
            <w:tcBorders>
              <w:top w:val="single" w:sz="2" w:space="0" w:color="auto"/>
              <w:left w:val="single" w:sz="2" w:space="0" w:color="auto"/>
              <w:bottom w:val="single" w:sz="2" w:space="0" w:color="auto"/>
              <w:right w:val="single" w:sz="2" w:space="0" w:color="auto"/>
            </w:tcBorders>
            <w:shd w:val="clear" w:color="auto" w:fill="FFFFFF" w:themeFill="background1"/>
            <w:noWrap/>
            <w:vAlign w:val="center"/>
            <w:hideMark/>
          </w:tcPr>
          <w:p w14:paraId="6EDCF5B5"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w:t>
            </w:r>
          </w:p>
        </w:tc>
        <w:tc>
          <w:tcPr>
            <w:tcW w:w="218" w:type="pct"/>
            <w:tcBorders>
              <w:top w:val="single" w:sz="2" w:space="0" w:color="auto"/>
              <w:left w:val="single" w:sz="2" w:space="0" w:color="auto"/>
              <w:bottom w:val="single" w:sz="2" w:space="0" w:color="auto"/>
              <w:right w:val="single" w:sz="2" w:space="0" w:color="auto"/>
            </w:tcBorders>
            <w:shd w:val="clear" w:color="auto" w:fill="FFFFFF" w:themeFill="background1"/>
            <w:noWrap/>
            <w:vAlign w:val="center"/>
            <w:hideMark/>
          </w:tcPr>
          <w:p w14:paraId="6EDCF5B6"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w:t>
            </w:r>
          </w:p>
        </w:tc>
        <w:tc>
          <w:tcPr>
            <w:tcW w:w="218" w:type="pct"/>
            <w:tcBorders>
              <w:top w:val="single" w:sz="2" w:space="0" w:color="auto"/>
              <w:left w:val="single" w:sz="2" w:space="0" w:color="auto"/>
              <w:bottom w:val="single" w:sz="2" w:space="0" w:color="auto"/>
              <w:right w:val="single" w:sz="2" w:space="0" w:color="auto"/>
            </w:tcBorders>
            <w:shd w:val="clear" w:color="auto" w:fill="FFFFFF" w:themeFill="background1"/>
            <w:noWrap/>
            <w:vAlign w:val="center"/>
            <w:hideMark/>
          </w:tcPr>
          <w:p w14:paraId="6EDCF5B7"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w:t>
            </w:r>
          </w:p>
        </w:tc>
        <w:tc>
          <w:tcPr>
            <w:tcW w:w="218" w:type="pct"/>
            <w:tcBorders>
              <w:top w:val="single" w:sz="2" w:space="0" w:color="auto"/>
              <w:left w:val="single" w:sz="2" w:space="0" w:color="auto"/>
              <w:bottom w:val="single" w:sz="2" w:space="0" w:color="auto"/>
              <w:right w:val="single" w:sz="2" w:space="0" w:color="auto"/>
            </w:tcBorders>
            <w:shd w:val="clear" w:color="auto" w:fill="FFFFFF" w:themeFill="background1"/>
            <w:noWrap/>
            <w:vAlign w:val="center"/>
            <w:hideMark/>
          </w:tcPr>
          <w:p w14:paraId="6EDCF5B8"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w:t>
            </w:r>
          </w:p>
        </w:tc>
        <w:tc>
          <w:tcPr>
            <w:tcW w:w="218" w:type="pct"/>
            <w:tcBorders>
              <w:top w:val="single" w:sz="2" w:space="0" w:color="auto"/>
              <w:left w:val="single" w:sz="2" w:space="0" w:color="auto"/>
              <w:bottom w:val="single" w:sz="2" w:space="0" w:color="auto"/>
              <w:right w:val="single" w:sz="2" w:space="0" w:color="auto"/>
            </w:tcBorders>
            <w:shd w:val="clear" w:color="auto" w:fill="FFFFFF" w:themeFill="background1"/>
            <w:noWrap/>
            <w:vAlign w:val="center"/>
            <w:hideMark/>
          </w:tcPr>
          <w:p w14:paraId="6EDCF5B9"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w:t>
            </w:r>
          </w:p>
        </w:tc>
        <w:tc>
          <w:tcPr>
            <w:tcW w:w="218" w:type="pct"/>
            <w:tcBorders>
              <w:top w:val="single" w:sz="2" w:space="0" w:color="auto"/>
              <w:left w:val="single" w:sz="2" w:space="0" w:color="auto"/>
              <w:bottom w:val="single" w:sz="2" w:space="0" w:color="auto"/>
              <w:right w:val="single" w:sz="2" w:space="0" w:color="auto"/>
            </w:tcBorders>
            <w:shd w:val="clear" w:color="auto" w:fill="FFFFFF" w:themeFill="background1"/>
            <w:noWrap/>
            <w:vAlign w:val="center"/>
            <w:hideMark/>
          </w:tcPr>
          <w:p w14:paraId="6EDCF5BA"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w:t>
            </w:r>
          </w:p>
        </w:tc>
        <w:tc>
          <w:tcPr>
            <w:tcW w:w="218" w:type="pct"/>
            <w:tcBorders>
              <w:top w:val="single" w:sz="2" w:space="0" w:color="auto"/>
              <w:left w:val="single" w:sz="2" w:space="0" w:color="auto"/>
              <w:bottom w:val="single" w:sz="2" w:space="0" w:color="auto"/>
              <w:right w:val="single" w:sz="2" w:space="0" w:color="auto"/>
            </w:tcBorders>
            <w:shd w:val="clear" w:color="auto" w:fill="FFFFFF" w:themeFill="background1"/>
            <w:noWrap/>
            <w:vAlign w:val="center"/>
            <w:hideMark/>
          </w:tcPr>
          <w:p w14:paraId="6EDCF5BB"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w:t>
            </w:r>
          </w:p>
        </w:tc>
        <w:tc>
          <w:tcPr>
            <w:tcW w:w="212" w:type="pct"/>
            <w:tcBorders>
              <w:top w:val="single" w:sz="2" w:space="0" w:color="auto"/>
              <w:left w:val="single" w:sz="2" w:space="0" w:color="auto"/>
              <w:bottom w:val="single" w:sz="2" w:space="0" w:color="auto"/>
              <w:right w:val="single" w:sz="12" w:space="0" w:color="auto"/>
            </w:tcBorders>
            <w:shd w:val="clear" w:color="auto" w:fill="FFFFFF" w:themeFill="background1"/>
            <w:noWrap/>
            <w:vAlign w:val="center"/>
            <w:hideMark/>
          </w:tcPr>
          <w:p w14:paraId="6EDCF5BC"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w:t>
            </w:r>
          </w:p>
        </w:tc>
      </w:tr>
      <w:tr w:rsidR="00D71745" w:rsidRPr="007114AF" w14:paraId="6EDCF5D4" w14:textId="77777777" w:rsidTr="00A9766F">
        <w:trPr>
          <w:trHeight w:hRule="exact" w:val="301"/>
        </w:trPr>
        <w:tc>
          <w:tcPr>
            <w:tcW w:w="190" w:type="pct"/>
            <w:vMerge/>
            <w:tcBorders>
              <w:top w:val="single" w:sz="12" w:space="0" w:color="auto"/>
              <w:left w:val="single" w:sz="12" w:space="0" w:color="auto"/>
              <w:bottom w:val="single" w:sz="12" w:space="0" w:color="auto"/>
              <w:right w:val="single" w:sz="2" w:space="0" w:color="auto"/>
            </w:tcBorders>
            <w:shd w:val="clear" w:color="auto" w:fill="FFFFFF" w:themeFill="background1"/>
            <w:vAlign w:val="center"/>
            <w:hideMark/>
          </w:tcPr>
          <w:p w14:paraId="6EDCF5BE" w14:textId="77777777" w:rsidR="00D71745" w:rsidRPr="007114AF" w:rsidRDefault="00D71745" w:rsidP="00D71745">
            <w:pPr>
              <w:spacing w:after="0" w:line="240" w:lineRule="auto"/>
              <w:rPr>
                <w:rFonts w:ascii="Garamond" w:hAnsi="Garamond"/>
                <w:sz w:val="18"/>
                <w:szCs w:val="18"/>
              </w:rPr>
            </w:pPr>
          </w:p>
        </w:tc>
        <w:tc>
          <w:tcPr>
            <w:tcW w:w="453" w:type="pct"/>
            <w:tcBorders>
              <w:top w:val="single" w:sz="2" w:space="0" w:color="auto"/>
              <w:left w:val="single" w:sz="2" w:space="0" w:color="auto"/>
              <w:bottom w:val="single" w:sz="12" w:space="0" w:color="auto"/>
              <w:right w:val="single" w:sz="2" w:space="0" w:color="auto"/>
            </w:tcBorders>
            <w:shd w:val="clear" w:color="auto" w:fill="FFFFFF" w:themeFill="background1"/>
            <w:noWrap/>
            <w:vAlign w:val="center"/>
            <w:hideMark/>
          </w:tcPr>
          <w:p w14:paraId="6EDCF5BF" w14:textId="77777777" w:rsidR="00D71745" w:rsidRPr="007114AF" w:rsidRDefault="00D71745" w:rsidP="00D71745">
            <w:pPr>
              <w:spacing w:after="0" w:line="240" w:lineRule="auto"/>
              <w:rPr>
                <w:rFonts w:ascii="Garamond" w:hAnsi="Garamond"/>
                <w:sz w:val="18"/>
                <w:szCs w:val="18"/>
              </w:rPr>
            </w:pPr>
            <w:r w:rsidRPr="007114AF">
              <w:rPr>
                <w:rFonts w:ascii="Garamond" w:hAnsi="Garamond"/>
                <w:sz w:val="18"/>
                <w:szCs w:val="18"/>
              </w:rPr>
              <w:t>TOTAL</w:t>
            </w:r>
          </w:p>
        </w:tc>
        <w:tc>
          <w:tcPr>
            <w:tcW w:w="203" w:type="pct"/>
            <w:tcBorders>
              <w:top w:val="single" w:sz="2" w:space="0" w:color="auto"/>
              <w:left w:val="single" w:sz="2" w:space="0" w:color="auto"/>
              <w:bottom w:val="single" w:sz="12" w:space="0" w:color="auto"/>
              <w:right w:val="single" w:sz="2" w:space="0" w:color="auto"/>
            </w:tcBorders>
            <w:shd w:val="clear" w:color="auto" w:fill="FFFFFF" w:themeFill="background1"/>
            <w:noWrap/>
            <w:vAlign w:val="center"/>
            <w:hideMark/>
          </w:tcPr>
          <w:p w14:paraId="6EDCF5C0"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w:t>
            </w:r>
          </w:p>
        </w:tc>
        <w:tc>
          <w:tcPr>
            <w:tcW w:w="235" w:type="pct"/>
            <w:tcBorders>
              <w:top w:val="single" w:sz="2" w:space="0" w:color="auto"/>
              <w:left w:val="single" w:sz="2" w:space="0" w:color="auto"/>
              <w:bottom w:val="single" w:sz="12" w:space="0" w:color="auto"/>
              <w:right w:val="single" w:sz="2" w:space="0" w:color="auto"/>
            </w:tcBorders>
            <w:shd w:val="clear" w:color="auto" w:fill="FFFFFF" w:themeFill="background1"/>
            <w:noWrap/>
            <w:vAlign w:val="center"/>
            <w:hideMark/>
          </w:tcPr>
          <w:p w14:paraId="6EDCF5C1"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w:t>
            </w:r>
          </w:p>
        </w:tc>
        <w:tc>
          <w:tcPr>
            <w:tcW w:w="218" w:type="pct"/>
            <w:tcBorders>
              <w:top w:val="single" w:sz="2" w:space="0" w:color="auto"/>
              <w:left w:val="single" w:sz="2" w:space="0" w:color="auto"/>
              <w:bottom w:val="single" w:sz="12" w:space="0" w:color="auto"/>
              <w:right w:val="single" w:sz="2" w:space="0" w:color="auto"/>
            </w:tcBorders>
            <w:shd w:val="clear" w:color="auto" w:fill="FFFFFF" w:themeFill="background1"/>
            <w:noWrap/>
            <w:vAlign w:val="center"/>
            <w:hideMark/>
          </w:tcPr>
          <w:p w14:paraId="6EDCF5C2"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w:t>
            </w:r>
          </w:p>
        </w:tc>
        <w:tc>
          <w:tcPr>
            <w:tcW w:w="218" w:type="pct"/>
            <w:tcBorders>
              <w:top w:val="single" w:sz="2" w:space="0" w:color="auto"/>
              <w:left w:val="single" w:sz="2" w:space="0" w:color="auto"/>
              <w:bottom w:val="single" w:sz="12" w:space="0" w:color="auto"/>
              <w:right w:val="single" w:sz="2" w:space="0" w:color="auto"/>
            </w:tcBorders>
            <w:shd w:val="clear" w:color="auto" w:fill="FFFFFF" w:themeFill="background1"/>
            <w:noWrap/>
            <w:vAlign w:val="center"/>
            <w:hideMark/>
          </w:tcPr>
          <w:p w14:paraId="6EDCF5C3"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w:t>
            </w:r>
          </w:p>
        </w:tc>
        <w:tc>
          <w:tcPr>
            <w:tcW w:w="218" w:type="pct"/>
            <w:tcBorders>
              <w:top w:val="single" w:sz="2" w:space="0" w:color="auto"/>
              <w:left w:val="single" w:sz="2" w:space="0" w:color="auto"/>
              <w:bottom w:val="single" w:sz="12" w:space="0" w:color="auto"/>
              <w:right w:val="single" w:sz="2" w:space="0" w:color="auto"/>
            </w:tcBorders>
            <w:shd w:val="clear" w:color="auto" w:fill="FFFFFF" w:themeFill="background1"/>
            <w:noWrap/>
            <w:vAlign w:val="center"/>
            <w:hideMark/>
          </w:tcPr>
          <w:p w14:paraId="6EDCF5C4" w14:textId="77777777" w:rsidR="00D71745" w:rsidRPr="007114AF" w:rsidRDefault="00D71745" w:rsidP="00D71745">
            <w:pPr>
              <w:spacing w:after="0" w:line="240" w:lineRule="auto"/>
              <w:rPr>
                <w:rFonts w:ascii="Garamond" w:hAnsi="Garamond"/>
                <w:sz w:val="18"/>
                <w:szCs w:val="18"/>
              </w:rPr>
            </w:pPr>
            <w:r w:rsidRPr="007114AF">
              <w:rPr>
                <w:rFonts w:ascii="Garamond" w:hAnsi="Garamond"/>
                <w:iCs/>
                <w:color w:val="000000"/>
                <w:sz w:val="18"/>
                <w:szCs w:val="18"/>
              </w:rPr>
              <w:t>7062</w:t>
            </w:r>
          </w:p>
        </w:tc>
        <w:tc>
          <w:tcPr>
            <w:tcW w:w="218" w:type="pct"/>
            <w:tcBorders>
              <w:top w:val="single" w:sz="2" w:space="0" w:color="auto"/>
              <w:left w:val="single" w:sz="2" w:space="0" w:color="auto"/>
              <w:bottom w:val="single" w:sz="12" w:space="0" w:color="auto"/>
              <w:right w:val="single" w:sz="2" w:space="0" w:color="auto"/>
            </w:tcBorders>
            <w:shd w:val="clear" w:color="auto" w:fill="FFFFFF" w:themeFill="background1"/>
            <w:noWrap/>
            <w:vAlign w:val="center"/>
            <w:hideMark/>
          </w:tcPr>
          <w:p w14:paraId="6EDCF5C5"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w:t>
            </w:r>
          </w:p>
        </w:tc>
        <w:tc>
          <w:tcPr>
            <w:tcW w:w="218" w:type="pct"/>
            <w:tcBorders>
              <w:top w:val="single" w:sz="2" w:space="0" w:color="auto"/>
              <w:left w:val="single" w:sz="2" w:space="0" w:color="auto"/>
              <w:bottom w:val="single" w:sz="12" w:space="0" w:color="auto"/>
              <w:right w:val="single" w:sz="2" w:space="0" w:color="auto"/>
            </w:tcBorders>
            <w:shd w:val="clear" w:color="auto" w:fill="FFFFFF" w:themeFill="background1"/>
            <w:noWrap/>
            <w:vAlign w:val="center"/>
            <w:hideMark/>
          </w:tcPr>
          <w:p w14:paraId="6EDCF5C6"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w:t>
            </w:r>
          </w:p>
        </w:tc>
        <w:tc>
          <w:tcPr>
            <w:tcW w:w="218" w:type="pct"/>
            <w:tcBorders>
              <w:top w:val="single" w:sz="2" w:space="0" w:color="auto"/>
              <w:left w:val="single" w:sz="2" w:space="0" w:color="auto"/>
              <w:bottom w:val="single" w:sz="12" w:space="0" w:color="auto"/>
              <w:right w:val="single" w:sz="2" w:space="0" w:color="auto"/>
            </w:tcBorders>
            <w:shd w:val="clear" w:color="auto" w:fill="FFFFFF" w:themeFill="background1"/>
            <w:noWrap/>
            <w:vAlign w:val="center"/>
            <w:hideMark/>
          </w:tcPr>
          <w:p w14:paraId="6EDCF5C7"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w:t>
            </w:r>
          </w:p>
        </w:tc>
        <w:tc>
          <w:tcPr>
            <w:tcW w:w="218" w:type="pct"/>
            <w:tcBorders>
              <w:top w:val="single" w:sz="2" w:space="0" w:color="auto"/>
              <w:left w:val="single" w:sz="2" w:space="0" w:color="auto"/>
              <w:bottom w:val="single" w:sz="12" w:space="0" w:color="auto"/>
              <w:right w:val="single" w:sz="2" w:space="0" w:color="auto"/>
            </w:tcBorders>
            <w:shd w:val="clear" w:color="auto" w:fill="FFFFFF" w:themeFill="background1"/>
            <w:noWrap/>
            <w:vAlign w:val="center"/>
            <w:hideMark/>
          </w:tcPr>
          <w:p w14:paraId="6EDCF5C8"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w:t>
            </w:r>
          </w:p>
        </w:tc>
        <w:tc>
          <w:tcPr>
            <w:tcW w:w="218" w:type="pct"/>
            <w:tcBorders>
              <w:top w:val="single" w:sz="2" w:space="0" w:color="auto"/>
              <w:left w:val="single" w:sz="2" w:space="0" w:color="auto"/>
              <w:bottom w:val="single" w:sz="12" w:space="0" w:color="auto"/>
              <w:right w:val="single" w:sz="2" w:space="0" w:color="auto"/>
            </w:tcBorders>
            <w:shd w:val="clear" w:color="auto" w:fill="FFFFFF" w:themeFill="background1"/>
            <w:noWrap/>
            <w:vAlign w:val="center"/>
            <w:hideMark/>
          </w:tcPr>
          <w:p w14:paraId="6EDCF5C9"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w:t>
            </w:r>
          </w:p>
        </w:tc>
        <w:tc>
          <w:tcPr>
            <w:tcW w:w="237" w:type="pct"/>
            <w:tcBorders>
              <w:top w:val="single" w:sz="2" w:space="0" w:color="auto"/>
              <w:left w:val="single" w:sz="2" w:space="0" w:color="auto"/>
              <w:bottom w:val="single" w:sz="12" w:space="0" w:color="auto"/>
              <w:right w:val="single" w:sz="2" w:space="0" w:color="auto"/>
            </w:tcBorders>
            <w:shd w:val="clear" w:color="auto" w:fill="FFFFFF" w:themeFill="background1"/>
            <w:noWrap/>
            <w:vAlign w:val="center"/>
            <w:hideMark/>
          </w:tcPr>
          <w:p w14:paraId="6EDCF5CA"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w:t>
            </w:r>
          </w:p>
        </w:tc>
        <w:tc>
          <w:tcPr>
            <w:tcW w:w="200" w:type="pct"/>
            <w:tcBorders>
              <w:top w:val="single" w:sz="2" w:space="0" w:color="auto"/>
              <w:left w:val="single" w:sz="2" w:space="0" w:color="auto"/>
              <w:bottom w:val="single" w:sz="12" w:space="0" w:color="auto"/>
              <w:right w:val="single" w:sz="2" w:space="0" w:color="auto"/>
            </w:tcBorders>
            <w:shd w:val="clear" w:color="auto" w:fill="FFFFFF" w:themeFill="background1"/>
            <w:noWrap/>
            <w:vAlign w:val="center"/>
            <w:hideMark/>
          </w:tcPr>
          <w:p w14:paraId="6EDCF5CB"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w:t>
            </w:r>
          </w:p>
        </w:tc>
        <w:tc>
          <w:tcPr>
            <w:tcW w:w="218" w:type="pct"/>
            <w:tcBorders>
              <w:top w:val="single" w:sz="2" w:space="0" w:color="auto"/>
              <w:left w:val="single" w:sz="2" w:space="0" w:color="auto"/>
              <w:bottom w:val="single" w:sz="12" w:space="0" w:color="auto"/>
              <w:right w:val="single" w:sz="2" w:space="0" w:color="auto"/>
            </w:tcBorders>
            <w:shd w:val="clear" w:color="auto" w:fill="FFFFFF" w:themeFill="background1"/>
            <w:noWrap/>
            <w:vAlign w:val="center"/>
            <w:hideMark/>
          </w:tcPr>
          <w:p w14:paraId="6EDCF5CC"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w:t>
            </w:r>
          </w:p>
        </w:tc>
        <w:tc>
          <w:tcPr>
            <w:tcW w:w="218" w:type="pct"/>
            <w:tcBorders>
              <w:top w:val="single" w:sz="2" w:space="0" w:color="auto"/>
              <w:left w:val="single" w:sz="2" w:space="0" w:color="auto"/>
              <w:bottom w:val="single" w:sz="12" w:space="0" w:color="auto"/>
              <w:right w:val="single" w:sz="2" w:space="0" w:color="auto"/>
            </w:tcBorders>
            <w:shd w:val="clear" w:color="auto" w:fill="FFFFFF" w:themeFill="background1"/>
            <w:noWrap/>
            <w:vAlign w:val="center"/>
            <w:hideMark/>
          </w:tcPr>
          <w:p w14:paraId="6EDCF5CD"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w:t>
            </w:r>
          </w:p>
        </w:tc>
        <w:tc>
          <w:tcPr>
            <w:tcW w:w="218" w:type="pct"/>
            <w:tcBorders>
              <w:top w:val="single" w:sz="2" w:space="0" w:color="auto"/>
              <w:left w:val="single" w:sz="2" w:space="0" w:color="auto"/>
              <w:bottom w:val="single" w:sz="12" w:space="0" w:color="auto"/>
              <w:right w:val="single" w:sz="2" w:space="0" w:color="auto"/>
            </w:tcBorders>
            <w:shd w:val="clear" w:color="auto" w:fill="FFFFFF" w:themeFill="background1"/>
            <w:noWrap/>
            <w:vAlign w:val="center"/>
            <w:hideMark/>
          </w:tcPr>
          <w:p w14:paraId="6EDCF5CE"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w:t>
            </w:r>
          </w:p>
        </w:tc>
        <w:tc>
          <w:tcPr>
            <w:tcW w:w="218" w:type="pct"/>
            <w:tcBorders>
              <w:top w:val="single" w:sz="2" w:space="0" w:color="auto"/>
              <w:left w:val="single" w:sz="2" w:space="0" w:color="auto"/>
              <w:bottom w:val="single" w:sz="12" w:space="0" w:color="auto"/>
              <w:right w:val="single" w:sz="2" w:space="0" w:color="auto"/>
            </w:tcBorders>
            <w:shd w:val="clear" w:color="auto" w:fill="FFFFFF" w:themeFill="background1"/>
            <w:noWrap/>
            <w:vAlign w:val="center"/>
            <w:hideMark/>
          </w:tcPr>
          <w:p w14:paraId="6EDCF5CF"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w:t>
            </w:r>
          </w:p>
        </w:tc>
        <w:tc>
          <w:tcPr>
            <w:tcW w:w="218" w:type="pct"/>
            <w:tcBorders>
              <w:top w:val="single" w:sz="2" w:space="0" w:color="auto"/>
              <w:left w:val="single" w:sz="2" w:space="0" w:color="auto"/>
              <w:bottom w:val="single" w:sz="12" w:space="0" w:color="auto"/>
              <w:right w:val="single" w:sz="2" w:space="0" w:color="auto"/>
            </w:tcBorders>
            <w:shd w:val="clear" w:color="auto" w:fill="FFFFFF" w:themeFill="background1"/>
            <w:noWrap/>
            <w:vAlign w:val="center"/>
            <w:hideMark/>
          </w:tcPr>
          <w:p w14:paraId="6EDCF5D0"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w:t>
            </w:r>
          </w:p>
        </w:tc>
        <w:tc>
          <w:tcPr>
            <w:tcW w:w="218" w:type="pct"/>
            <w:tcBorders>
              <w:top w:val="single" w:sz="2" w:space="0" w:color="auto"/>
              <w:left w:val="single" w:sz="2" w:space="0" w:color="auto"/>
              <w:bottom w:val="single" w:sz="12" w:space="0" w:color="auto"/>
              <w:right w:val="single" w:sz="2" w:space="0" w:color="auto"/>
            </w:tcBorders>
            <w:shd w:val="clear" w:color="auto" w:fill="FFFFFF" w:themeFill="background1"/>
            <w:noWrap/>
            <w:vAlign w:val="center"/>
            <w:hideMark/>
          </w:tcPr>
          <w:p w14:paraId="6EDCF5D1"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w:t>
            </w:r>
          </w:p>
        </w:tc>
        <w:tc>
          <w:tcPr>
            <w:tcW w:w="218" w:type="pct"/>
            <w:tcBorders>
              <w:top w:val="single" w:sz="2" w:space="0" w:color="auto"/>
              <w:left w:val="single" w:sz="2" w:space="0" w:color="auto"/>
              <w:bottom w:val="single" w:sz="12" w:space="0" w:color="auto"/>
              <w:right w:val="single" w:sz="2" w:space="0" w:color="auto"/>
            </w:tcBorders>
            <w:shd w:val="clear" w:color="auto" w:fill="FFFFFF" w:themeFill="background1"/>
            <w:noWrap/>
            <w:vAlign w:val="center"/>
            <w:hideMark/>
          </w:tcPr>
          <w:p w14:paraId="6EDCF5D2"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w:t>
            </w:r>
          </w:p>
        </w:tc>
        <w:tc>
          <w:tcPr>
            <w:tcW w:w="212" w:type="pct"/>
            <w:tcBorders>
              <w:top w:val="single" w:sz="2" w:space="0" w:color="auto"/>
              <w:left w:val="single" w:sz="2" w:space="0" w:color="auto"/>
              <w:bottom w:val="single" w:sz="12" w:space="0" w:color="auto"/>
              <w:right w:val="single" w:sz="12" w:space="0" w:color="auto"/>
            </w:tcBorders>
            <w:shd w:val="clear" w:color="auto" w:fill="FFFFFF" w:themeFill="background1"/>
            <w:noWrap/>
            <w:vAlign w:val="center"/>
            <w:hideMark/>
          </w:tcPr>
          <w:p w14:paraId="6EDCF5D3"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w:t>
            </w:r>
          </w:p>
        </w:tc>
      </w:tr>
      <w:tr w:rsidR="00D71745" w:rsidRPr="007114AF" w14:paraId="6EDCF5EB" w14:textId="77777777" w:rsidTr="00A9766F">
        <w:trPr>
          <w:trHeight w:hRule="exact" w:val="301"/>
        </w:trPr>
        <w:tc>
          <w:tcPr>
            <w:tcW w:w="190" w:type="pct"/>
            <w:vMerge w:val="restart"/>
            <w:tcBorders>
              <w:top w:val="single" w:sz="12" w:space="0" w:color="auto"/>
              <w:left w:val="single" w:sz="12" w:space="0" w:color="auto"/>
              <w:bottom w:val="single" w:sz="12" w:space="0" w:color="auto"/>
              <w:right w:val="single" w:sz="2" w:space="0" w:color="auto"/>
            </w:tcBorders>
            <w:shd w:val="clear" w:color="auto" w:fill="FFFFFF" w:themeFill="background1"/>
            <w:noWrap/>
            <w:textDirection w:val="btLr"/>
            <w:vAlign w:val="center"/>
            <w:hideMark/>
          </w:tcPr>
          <w:p w14:paraId="6EDCF5D5" w14:textId="77777777" w:rsidR="00D71745" w:rsidRPr="007114AF" w:rsidRDefault="00D71745" w:rsidP="00D71745">
            <w:pPr>
              <w:spacing w:after="0" w:line="240" w:lineRule="auto"/>
              <w:rPr>
                <w:rFonts w:ascii="Garamond" w:hAnsi="Garamond"/>
                <w:sz w:val="18"/>
                <w:szCs w:val="18"/>
              </w:rPr>
            </w:pPr>
            <w:r w:rsidRPr="007114AF">
              <w:rPr>
                <w:rFonts w:ascii="Garamond" w:hAnsi="Garamond"/>
                <w:sz w:val="18"/>
                <w:szCs w:val="18"/>
              </w:rPr>
              <w:t>KDK</w:t>
            </w:r>
          </w:p>
        </w:tc>
        <w:tc>
          <w:tcPr>
            <w:tcW w:w="453" w:type="pct"/>
            <w:tcBorders>
              <w:top w:val="single" w:sz="12" w:space="0" w:color="auto"/>
              <w:left w:val="single" w:sz="2" w:space="0" w:color="auto"/>
              <w:bottom w:val="single" w:sz="2" w:space="0" w:color="auto"/>
              <w:right w:val="single" w:sz="2" w:space="0" w:color="auto"/>
            </w:tcBorders>
            <w:shd w:val="clear" w:color="auto" w:fill="FFFFFF" w:themeFill="background1"/>
            <w:noWrap/>
            <w:vAlign w:val="center"/>
            <w:hideMark/>
          </w:tcPr>
          <w:p w14:paraId="6EDCF5D6" w14:textId="77777777" w:rsidR="00D71745" w:rsidRPr="007114AF" w:rsidRDefault="00D71745" w:rsidP="00D71745">
            <w:pPr>
              <w:spacing w:after="0" w:line="240" w:lineRule="auto"/>
              <w:rPr>
                <w:rFonts w:ascii="Garamond" w:hAnsi="Garamond"/>
                <w:sz w:val="18"/>
                <w:szCs w:val="18"/>
              </w:rPr>
            </w:pPr>
            <w:r w:rsidRPr="007114AF">
              <w:rPr>
                <w:rFonts w:ascii="Garamond" w:hAnsi="Garamond"/>
                <w:sz w:val="18"/>
                <w:szCs w:val="18"/>
              </w:rPr>
              <w:t>Energji</w:t>
            </w:r>
          </w:p>
        </w:tc>
        <w:tc>
          <w:tcPr>
            <w:tcW w:w="203" w:type="pct"/>
            <w:tcBorders>
              <w:top w:val="single" w:sz="12" w:space="0" w:color="auto"/>
              <w:left w:val="single" w:sz="2" w:space="0" w:color="auto"/>
              <w:bottom w:val="single" w:sz="2" w:space="0" w:color="auto"/>
              <w:right w:val="single" w:sz="2" w:space="0" w:color="auto"/>
            </w:tcBorders>
            <w:shd w:val="clear" w:color="auto" w:fill="FFFFFF" w:themeFill="background1"/>
            <w:noWrap/>
            <w:vAlign w:val="center"/>
            <w:hideMark/>
          </w:tcPr>
          <w:p w14:paraId="6EDCF5D7"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3107</w:t>
            </w:r>
          </w:p>
        </w:tc>
        <w:tc>
          <w:tcPr>
            <w:tcW w:w="235" w:type="pct"/>
            <w:tcBorders>
              <w:top w:val="single" w:sz="12" w:space="0" w:color="auto"/>
              <w:left w:val="single" w:sz="2" w:space="0" w:color="auto"/>
              <w:bottom w:val="single" w:sz="2" w:space="0" w:color="auto"/>
              <w:right w:val="single" w:sz="2" w:space="0" w:color="auto"/>
            </w:tcBorders>
            <w:shd w:val="clear" w:color="auto" w:fill="FFFFFF" w:themeFill="background1"/>
            <w:noWrap/>
            <w:vAlign w:val="center"/>
            <w:hideMark/>
          </w:tcPr>
          <w:p w14:paraId="6EDCF5D8"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5064</w:t>
            </w:r>
          </w:p>
        </w:tc>
        <w:tc>
          <w:tcPr>
            <w:tcW w:w="218" w:type="pct"/>
            <w:tcBorders>
              <w:top w:val="single" w:sz="12" w:space="0" w:color="auto"/>
              <w:left w:val="single" w:sz="2" w:space="0" w:color="auto"/>
              <w:bottom w:val="single" w:sz="2" w:space="0" w:color="auto"/>
              <w:right w:val="single" w:sz="2" w:space="0" w:color="auto"/>
            </w:tcBorders>
            <w:shd w:val="clear" w:color="auto" w:fill="FFFFFF" w:themeFill="background1"/>
            <w:noWrap/>
            <w:vAlign w:val="center"/>
            <w:hideMark/>
          </w:tcPr>
          <w:p w14:paraId="6EDCF5D9"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3350</w:t>
            </w:r>
          </w:p>
        </w:tc>
        <w:tc>
          <w:tcPr>
            <w:tcW w:w="218" w:type="pct"/>
            <w:tcBorders>
              <w:top w:val="single" w:sz="12" w:space="0" w:color="auto"/>
              <w:left w:val="single" w:sz="2" w:space="0" w:color="auto"/>
              <w:bottom w:val="single" w:sz="2" w:space="0" w:color="auto"/>
              <w:right w:val="single" w:sz="2" w:space="0" w:color="auto"/>
            </w:tcBorders>
            <w:shd w:val="clear" w:color="auto" w:fill="FFFFFF" w:themeFill="background1"/>
            <w:noWrap/>
            <w:vAlign w:val="center"/>
            <w:hideMark/>
          </w:tcPr>
          <w:p w14:paraId="6EDCF5DA"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3240</w:t>
            </w:r>
          </w:p>
        </w:tc>
        <w:tc>
          <w:tcPr>
            <w:tcW w:w="218" w:type="pct"/>
            <w:tcBorders>
              <w:top w:val="single" w:sz="12" w:space="0" w:color="auto"/>
              <w:left w:val="single" w:sz="2" w:space="0" w:color="auto"/>
              <w:bottom w:val="single" w:sz="2" w:space="0" w:color="auto"/>
              <w:right w:val="single" w:sz="2" w:space="0" w:color="auto"/>
            </w:tcBorders>
            <w:shd w:val="clear" w:color="auto" w:fill="FFFFFF" w:themeFill="background1"/>
            <w:noWrap/>
            <w:vAlign w:val="center"/>
            <w:hideMark/>
          </w:tcPr>
          <w:p w14:paraId="6EDCF5DB"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3390</w:t>
            </w:r>
          </w:p>
        </w:tc>
        <w:tc>
          <w:tcPr>
            <w:tcW w:w="218" w:type="pct"/>
            <w:tcBorders>
              <w:top w:val="single" w:sz="12" w:space="0" w:color="auto"/>
              <w:left w:val="single" w:sz="2" w:space="0" w:color="auto"/>
              <w:bottom w:val="single" w:sz="2" w:space="0" w:color="auto"/>
              <w:right w:val="single" w:sz="2" w:space="0" w:color="auto"/>
            </w:tcBorders>
            <w:shd w:val="clear" w:color="auto" w:fill="FFFFFF" w:themeFill="background1"/>
            <w:noWrap/>
            <w:vAlign w:val="center"/>
            <w:hideMark/>
          </w:tcPr>
          <w:p w14:paraId="6EDCF5DC"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3248</w:t>
            </w:r>
          </w:p>
        </w:tc>
        <w:tc>
          <w:tcPr>
            <w:tcW w:w="218" w:type="pct"/>
            <w:tcBorders>
              <w:top w:val="single" w:sz="12" w:space="0" w:color="auto"/>
              <w:left w:val="single" w:sz="2" w:space="0" w:color="auto"/>
              <w:bottom w:val="single" w:sz="2" w:space="0" w:color="auto"/>
              <w:right w:val="single" w:sz="2" w:space="0" w:color="auto"/>
            </w:tcBorders>
            <w:shd w:val="clear" w:color="auto" w:fill="FFFFFF" w:themeFill="background1"/>
            <w:noWrap/>
            <w:vAlign w:val="center"/>
            <w:hideMark/>
          </w:tcPr>
          <w:p w14:paraId="6EDCF5DD"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3247</w:t>
            </w:r>
          </w:p>
        </w:tc>
        <w:tc>
          <w:tcPr>
            <w:tcW w:w="218" w:type="pct"/>
            <w:tcBorders>
              <w:top w:val="single" w:sz="12" w:space="0" w:color="auto"/>
              <w:left w:val="single" w:sz="2" w:space="0" w:color="auto"/>
              <w:bottom w:val="single" w:sz="2" w:space="0" w:color="auto"/>
              <w:right w:val="single" w:sz="2" w:space="0" w:color="auto"/>
            </w:tcBorders>
            <w:shd w:val="clear" w:color="auto" w:fill="FFFFFF" w:themeFill="background1"/>
            <w:noWrap/>
            <w:vAlign w:val="center"/>
            <w:hideMark/>
          </w:tcPr>
          <w:p w14:paraId="6EDCF5DE"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3406</w:t>
            </w:r>
          </w:p>
        </w:tc>
        <w:tc>
          <w:tcPr>
            <w:tcW w:w="218" w:type="pct"/>
            <w:tcBorders>
              <w:top w:val="single" w:sz="12" w:space="0" w:color="auto"/>
              <w:left w:val="single" w:sz="2" w:space="0" w:color="auto"/>
              <w:bottom w:val="single" w:sz="2" w:space="0" w:color="auto"/>
              <w:right w:val="single" w:sz="2" w:space="0" w:color="auto"/>
            </w:tcBorders>
            <w:shd w:val="clear" w:color="auto" w:fill="FFFFFF" w:themeFill="background1"/>
            <w:noWrap/>
            <w:vAlign w:val="center"/>
            <w:hideMark/>
          </w:tcPr>
          <w:p w14:paraId="6EDCF5DF"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4126</w:t>
            </w:r>
          </w:p>
        </w:tc>
        <w:tc>
          <w:tcPr>
            <w:tcW w:w="218" w:type="pct"/>
            <w:tcBorders>
              <w:top w:val="single" w:sz="12" w:space="0" w:color="auto"/>
              <w:left w:val="single" w:sz="2" w:space="0" w:color="auto"/>
              <w:bottom w:val="single" w:sz="2" w:space="0" w:color="auto"/>
              <w:right w:val="single" w:sz="2" w:space="0" w:color="auto"/>
            </w:tcBorders>
            <w:shd w:val="clear" w:color="auto" w:fill="FFFFFF" w:themeFill="background1"/>
            <w:noWrap/>
            <w:vAlign w:val="center"/>
            <w:hideMark/>
          </w:tcPr>
          <w:p w14:paraId="6EDCF5E0"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4444</w:t>
            </w:r>
          </w:p>
        </w:tc>
        <w:tc>
          <w:tcPr>
            <w:tcW w:w="237" w:type="pct"/>
            <w:tcBorders>
              <w:top w:val="single" w:sz="12" w:space="0" w:color="auto"/>
              <w:left w:val="single" w:sz="2" w:space="0" w:color="auto"/>
              <w:bottom w:val="single" w:sz="2" w:space="0" w:color="auto"/>
              <w:right w:val="single" w:sz="2" w:space="0" w:color="auto"/>
            </w:tcBorders>
            <w:shd w:val="clear" w:color="auto" w:fill="FFFFFF" w:themeFill="background1"/>
            <w:noWrap/>
            <w:vAlign w:val="center"/>
            <w:hideMark/>
          </w:tcPr>
          <w:p w14:paraId="6EDCF5E1"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4528</w:t>
            </w:r>
          </w:p>
        </w:tc>
        <w:tc>
          <w:tcPr>
            <w:tcW w:w="200" w:type="pct"/>
            <w:tcBorders>
              <w:top w:val="single" w:sz="12" w:space="0" w:color="auto"/>
              <w:left w:val="single" w:sz="2" w:space="0" w:color="auto"/>
              <w:bottom w:val="single" w:sz="2" w:space="0" w:color="auto"/>
              <w:right w:val="single" w:sz="2" w:space="0" w:color="auto"/>
            </w:tcBorders>
            <w:shd w:val="clear" w:color="auto" w:fill="FFFFFF" w:themeFill="background1"/>
            <w:noWrap/>
            <w:vAlign w:val="center"/>
            <w:hideMark/>
          </w:tcPr>
          <w:p w14:paraId="6EDCF5E2"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w:t>
            </w:r>
          </w:p>
        </w:tc>
        <w:tc>
          <w:tcPr>
            <w:tcW w:w="218" w:type="pct"/>
            <w:tcBorders>
              <w:top w:val="single" w:sz="12" w:space="0" w:color="auto"/>
              <w:left w:val="single" w:sz="2" w:space="0" w:color="auto"/>
              <w:bottom w:val="single" w:sz="2" w:space="0" w:color="auto"/>
              <w:right w:val="single" w:sz="2" w:space="0" w:color="auto"/>
            </w:tcBorders>
            <w:shd w:val="clear" w:color="auto" w:fill="FFFFFF" w:themeFill="background1"/>
            <w:noWrap/>
            <w:vAlign w:val="center"/>
            <w:hideMark/>
          </w:tcPr>
          <w:p w14:paraId="6EDCF5E3"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w:t>
            </w:r>
          </w:p>
        </w:tc>
        <w:tc>
          <w:tcPr>
            <w:tcW w:w="218" w:type="pct"/>
            <w:tcBorders>
              <w:top w:val="single" w:sz="12" w:space="0" w:color="auto"/>
              <w:left w:val="single" w:sz="2" w:space="0" w:color="auto"/>
              <w:bottom w:val="single" w:sz="2" w:space="0" w:color="auto"/>
              <w:right w:val="single" w:sz="2" w:space="0" w:color="auto"/>
            </w:tcBorders>
            <w:shd w:val="clear" w:color="auto" w:fill="FFFFFF" w:themeFill="background1"/>
            <w:noWrap/>
            <w:vAlign w:val="center"/>
            <w:hideMark/>
          </w:tcPr>
          <w:p w14:paraId="6EDCF5E4"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w:t>
            </w:r>
          </w:p>
        </w:tc>
        <w:tc>
          <w:tcPr>
            <w:tcW w:w="218" w:type="pct"/>
            <w:tcBorders>
              <w:top w:val="single" w:sz="12" w:space="0" w:color="auto"/>
              <w:left w:val="single" w:sz="2" w:space="0" w:color="auto"/>
              <w:bottom w:val="single" w:sz="2" w:space="0" w:color="auto"/>
              <w:right w:val="single" w:sz="2" w:space="0" w:color="auto"/>
            </w:tcBorders>
            <w:shd w:val="clear" w:color="auto" w:fill="FFFFFF" w:themeFill="background1"/>
            <w:noWrap/>
            <w:vAlign w:val="center"/>
            <w:hideMark/>
          </w:tcPr>
          <w:p w14:paraId="6EDCF5E5"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w:t>
            </w:r>
          </w:p>
        </w:tc>
        <w:tc>
          <w:tcPr>
            <w:tcW w:w="218" w:type="pct"/>
            <w:tcBorders>
              <w:top w:val="single" w:sz="12" w:space="0" w:color="auto"/>
              <w:left w:val="single" w:sz="2" w:space="0" w:color="auto"/>
              <w:bottom w:val="single" w:sz="2" w:space="0" w:color="auto"/>
              <w:right w:val="single" w:sz="2" w:space="0" w:color="auto"/>
            </w:tcBorders>
            <w:shd w:val="clear" w:color="auto" w:fill="FFFFFF" w:themeFill="background1"/>
            <w:noWrap/>
            <w:vAlign w:val="center"/>
            <w:hideMark/>
          </w:tcPr>
          <w:p w14:paraId="6EDCF5E6"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w:t>
            </w:r>
          </w:p>
        </w:tc>
        <w:tc>
          <w:tcPr>
            <w:tcW w:w="218" w:type="pct"/>
            <w:tcBorders>
              <w:top w:val="single" w:sz="12" w:space="0" w:color="auto"/>
              <w:left w:val="single" w:sz="2" w:space="0" w:color="auto"/>
              <w:bottom w:val="single" w:sz="2" w:space="0" w:color="auto"/>
              <w:right w:val="single" w:sz="2" w:space="0" w:color="auto"/>
            </w:tcBorders>
            <w:shd w:val="clear" w:color="auto" w:fill="FFFFFF" w:themeFill="background1"/>
            <w:noWrap/>
            <w:vAlign w:val="center"/>
            <w:hideMark/>
          </w:tcPr>
          <w:p w14:paraId="6EDCF5E7"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w:t>
            </w:r>
          </w:p>
        </w:tc>
        <w:tc>
          <w:tcPr>
            <w:tcW w:w="218" w:type="pct"/>
            <w:tcBorders>
              <w:top w:val="single" w:sz="12" w:space="0" w:color="auto"/>
              <w:left w:val="single" w:sz="2" w:space="0" w:color="auto"/>
              <w:bottom w:val="single" w:sz="2" w:space="0" w:color="auto"/>
              <w:right w:val="single" w:sz="2" w:space="0" w:color="auto"/>
            </w:tcBorders>
            <w:shd w:val="clear" w:color="auto" w:fill="FFFFFF" w:themeFill="background1"/>
            <w:noWrap/>
            <w:vAlign w:val="center"/>
            <w:hideMark/>
          </w:tcPr>
          <w:p w14:paraId="6EDCF5E8"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w:t>
            </w:r>
          </w:p>
        </w:tc>
        <w:tc>
          <w:tcPr>
            <w:tcW w:w="218" w:type="pct"/>
            <w:tcBorders>
              <w:top w:val="single" w:sz="12" w:space="0" w:color="auto"/>
              <w:left w:val="single" w:sz="2" w:space="0" w:color="auto"/>
              <w:bottom w:val="single" w:sz="2" w:space="0" w:color="auto"/>
              <w:right w:val="single" w:sz="2" w:space="0" w:color="auto"/>
            </w:tcBorders>
            <w:shd w:val="clear" w:color="auto" w:fill="FFFFFF" w:themeFill="background1"/>
            <w:noWrap/>
            <w:vAlign w:val="center"/>
            <w:hideMark/>
          </w:tcPr>
          <w:p w14:paraId="6EDCF5E9"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w:t>
            </w:r>
          </w:p>
        </w:tc>
        <w:tc>
          <w:tcPr>
            <w:tcW w:w="212" w:type="pct"/>
            <w:tcBorders>
              <w:top w:val="single" w:sz="12" w:space="0" w:color="auto"/>
              <w:left w:val="single" w:sz="2" w:space="0" w:color="auto"/>
              <w:bottom w:val="single" w:sz="2" w:space="0" w:color="auto"/>
              <w:right w:val="single" w:sz="12" w:space="0" w:color="auto"/>
            </w:tcBorders>
            <w:shd w:val="clear" w:color="auto" w:fill="FFFFFF" w:themeFill="background1"/>
            <w:noWrap/>
            <w:vAlign w:val="center"/>
            <w:hideMark/>
          </w:tcPr>
          <w:p w14:paraId="6EDCF5EA"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w:t>
            </w:r>
          </w:p>
        </w:tc>
      </w:tr>
      <w:tr w:rsidR="00D71745" w:rsidRPr="007114AF" w14:paraId="6EDCF602" w14:textId="77777777" w:rsidTr="00A9766F">
        <w:trPr>
          <w:trHeight w:hRule="exact" w:val="301"/>
        </w:trPr>
        <w:tc>
          <w:tcPr>
            <w:tcW w:w="190" w:type="pct"/>
            <w:vMerge/>
            <w:tcBorders>
              <w:top w:val="single" w:sz="12" w:space="0" w:color="auto"/>
              <w:left w:val="single" w:sz="12" w:space="0" w:color="auto"/>
              <w:bottom w:val="single" w:sz="12" w:space="0" w:color="auto"/>
              <w:right w:val="single" w:sz="2" w:space="0" w:color="auto"/>
            </w:tcBorders>
            <w:shd w:val="clear" w:color="auto" w:fill="FFFFFF" w:themeFill="background1"/>
            <w:vAlign w:val="center"/>
            <w:hideMark/>
          </w:tcPr>
          <w:p w14:paraId="6EDCF5EC" w14:textId="77777777" w:rsidR="00D71745" w:rsidRPr="007114AF" w:rsidRDefault="00D71745" w:rsidP="00D71745">
            <w:pPr>
              <w:spacing w:after="0" w:line="240" w:lineRule="auto"/>
              <w:rPr>
                <w:rFonts w:ascii="Garamond" w:hAnsi="Garamond"/>
                <w:sz w:val="18"/>
                <w:szCs w:val="18"/>
              </w:rPr>
            </w:pPr>
          </w:p>
        </w:tc>
        <w:tc>
          <w:tcPr>
            <w:tcW w:w="453" w:type="pct"/>
            <w:tcBorders>
              <w:top w:val="single" w:sz="2" w:space="0" w:color="auto"/>
              <w:left w:val="single" w:sz="2" w:space="0" w:color="auto"/>
              <w:bottom w:val="single" w:sz="2" w:space="0" w:color="auto"/>
              <w:right w:val="single" w:sz="2" w:space="0" w:color="auto"/>
            </w:tcBorders>
            <w:shd w:val="clear" w:color="auto" w:fill="FFFFFF" w:themeFill="background1"/>
            <w:noWrap/>
            <w:vAlign w:val="center"/>
            <w:hideMark/>
          </w:tcPr>
          <w:p w14:paraId="6EDCF5ED" w14:textId="77777777" w:rsidR="00D71745" w:rsidRPr="007114AF" w:rsidRDefault="00D71745" w:rsidP="00D71745">
            <w:pPr>
              <w:spacing w:after="0" w:line="240" w:lineRule="auto"/>
              <w:rPr>
                <w:rFonts w:ascii="Garamond" w:hAnsi="Garamond"/>
                <w:sz w:val="18"/>
                <w:szCs w:val="18"/>
              </w:rPr>
            </w:pPr>
            <w:r w:rsidRPr="007114AF">
              <w:rPr>
                <w:rFonts w:ascii="Garamond" w:hAnsi="Garamond"/>
                <w:sz w:val="18"/>
                <w:szCs w:val="18"/>
              </w:rPr>
              <w:t>Industrial Processes</w:t>
            </w:r>
          </w:p>
        </w:tc>
        <w:tc>
          <w:tcPr>
            <w:tcW w:w="203" w:type="pct"/>
            <w:tcBorders>
              <w:top w:val="single" w:sz="2" w:space="0" w:color="auto"/>
              <w:left w:val="single" w:sz="2" w:space="0" w:color="auto"/>
              <w:bottom w:val="single" w:sz="2" w:space="0" w:color="auto"/>
              <w:right w:val="single" w:sz="2" w:space="0" w:color="auto"/>
            </w:tcBorders>
            <w:shd w:val="clear" w:color="auto" w:fill="FFFFFF" w:themeFill="background1"/>
            <w:noWrap/>
            <w:vAlign w:val="center"/>
            <w:hideMark/>
          </w:tcPr>
          <w:p w14:paraId="6EDCF5EE"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210</w:t>
            </w:r>
          </w:p>
        </w:tc>
        <w:tc>
          <w:tcPr>
            <w:tcW w:w="235" w:type="pct"/>
            <w:tcBorders>
              <w:top w:val="single" w:sz="2" w:space="0" w:color="auto"/>
              <w:left w:val="single" w:sz="2" w:space="0" w:color="auto"/>
              <w:bottom w:val="single" w:sz="2" w:space="0" w:color="auto"/>
              <w:right w:val="single" w:sz="2" w:space="0" w:color="auto"/>
            </w:tcBorders>
            <w:shd w:val="clear" w:color="auto" w:fill="FFFFFF" w:themeFill="background1"/>
            <w:noWrap/>
            <w:vAlign w:val="center"/>
            <w:hideMark/>
          </w:tcPr>
          <w:p w14:paraId="6EDCF5EF"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423</w:t>
            </w:r>
          </w:p>
        </w:tc>
        <w:tc>
          <w:tcPr>
            <w:tcW w:w="218" w:type="pct"/>
            <w:tcBorders>
              <w:top w:val="single" w:sz="2" w:space="0" w:color="auto"/>
              <w:left w:val="single" w:sz="2" w:space="0" w:color="auto"/>
              <w:bottom w:val="single" w:sz="2" w:space="0" w:color="auto"/>
              <w:right w:val="single" w:sz="2" w:space="0" w:color="auto"/>
            </w:tcBorders>
            <w:shd w:val="clear" w:color="auto" w:fill="FFFFFF" w:themeFill="background1"/>
            <w:noWrap/>
            <w:vAlign w:val="center"/>
            <w:hideMark/>
          </w:tcPr>
          <w:p w14:paraId="6EDCF5F0"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253</w:t>
            </w:r>
          </w:p>
        </w:tc>
        <w:tc>
          <w:tcPr>
            <w:tcW w:w="218" w:type="pct"/>
            <w:tcBorders>
              <w:top w:val="single" w:sz="2" w:space="0" w:color="auto"/>
              <w:left w:val="single" w:sz="2" w:space="0" w:color="auto"/>
              <w:bottom w:val="single" w:sz="2" w:space="0" w:color="auto"/>
              <w:right w:val="single" w:sz="2" w:space="0" w:color="auto"/>
            </w:tcBorders>
            <w:shd w:val="clear" w:color="auto" w:fill="FFFFFF" w:themeFill="background1"/>
            <w:noWrap/>
            <w:vAlign w:val="center"/>
            <w:hideMark/>
          </w:tcPr>
          <w:p w14:paraId="6EDCF5F1"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269</w:t>
            </w:r>
          </w:p>
        </w:tc>
        <w:tc>
          <w:tcPr>
            <w:tcW w:w="218" w:type="pct"/>
            <w:tcBorders>
              <w:top w:val="single" w:sz="2" w:space="0" w:color="auto"/>
              <w:left w:val="single" w:sz="2" w:space="0" w:color="auto"/>
              <w:bottom w:val="single" w:sz="2" w:space="0" w:color="auto"/>
              <w:right w:val="single" w:sz="2" w:space="0" w:color="auto"/>
            </w:tcBorders>
            <w:shd w:val="clear" w:color="auto" w:fill="FFFFFF" w:themeFill="background1"/>
            <w:noWrap/>
            <w:vAlign w:val="center"/>
            <w:hideMark/>
          </w:tcPr>
          <w:p w14:paraId="6EDCF5F2"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296</w:t>
            </w:r>
          </w:p>
        </w:tc>
        <w:tc>
          <w:tcPr>
            <w:tcW w:w="218" w:type="pct"/>
            <w:tcBorders>
              <w:top w:val="single" w:sz="2" w:space="0" w:color="auto"/>
              <w:left w:val="single" w:sz="2" w:space="0" w:color="auto"/>
              <w:bottom w:val="single" w:sz="2" w:space="0" w:color="auto"/>
              <w:right w:val="single" w:sz="2" w:space="0" w:color="auto"/>
            </w:tcBorders>
            <w:shd w:val="clear" w:color="auto" w:fill="FFFFFF" w:themeFill="background1"/>
            <w:noWrap/>
            <w:vAlign w:val="center"/>
            <w:hideMark/>
          </w:tcPr>
          <w:p w14:paraId="6EDCF5F3"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304</w:t>
            </w:r>
          </w:p>
        </w:tc>
        <w:tc>
          <w:tcPr>
            <w:tcW w:w="218" w:type="pct"/>
            <w:tcBorders>
              <w:top w:val="single" w:sz="2" w:space="0" w:color="auto"/>
              <w:left w:val="single" w:sz="2" w:space="0" w:color="auto"/>
              <w:bottom w:val="single" w:sz="2" w:space="0" w:color="auto"/>
              <w:right w:val="single" w:sz="2" w:space="0" w:color="auto"/>
            </w:tcBorders>
            <w:shd w:val="clear" w:color="auto" w:fill="FFFFFF" w:themeFill="background1"/>
            <w:noWrap/>
            <w:vAlign w:val="center"/>
            <w:hideMark/>
          </w:tcPr>
          <w:p w14:paraId="6EDCF5F4"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250</w:t>
            </w:r>
          </w:p>
        </w:tc>
        <w:tc>
          <w:tcPr>
            <w:tcW w:w="218" w:type="pct"/>
            <w:tcBorders>
              <w:top w:val="single" w:sz="2" w:space="0" w:color="auto"/>
              <w:left w:val="single" w:sz="2" w:space="0" w:color="auto"/>
              <w:bottom w:val="single" w:sz="2" w:space="0" w:color="auto"/>
              <w:right w:val="single" w:sz="2" w:space="0" w:color="auto"/>
            </w:tcBorders>
            <w:shd w:val="clear" w:color="auto" w:fill="FFFFFF" w:themeFill="background1"/>
            <w:noWrap/>
            <w:vAlign w:val="center"/>
            <w:hideMark/>
          </w:tcPr>
          <w:p w14:paraId="6EDCF5F5"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158</w:t>
            </w:r>
          </w:p>
        </w:tc>
        <w:tc>
          <w:tcPr>
            <w:tcW w:w="218" w:type="pct"/>
            <w:tcBorders>
              <w:top w:val="single" w:sz="2" w:space="0" w:color="auto"/>
              <w:left w:val="single" w:sz="2" w:space="0" w:color="auto"/>
              <w:bottom w:val="single" w:sz="2" w:space="0" w:color="auto"/>
              <w:right w:val="single" w:sz="2" w:space="0" w:color="auto"/>
            </w:tcBorders>
            <w:shd w:val="clear" w:color="auto" w:fill="FFFFFF" w:themeFill="background1"/>
            <w:noWrap/>
            <w:vAlign w:val="center"/>
            <w:hideMark/>
          </w:tcPr>
          <w:p w14:paraId="6EDCF5F6"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143</w:t>
            </w:r>
          </w:p>
        </w:tc>
        <w:tc>
          <w:tcPr>
            <w:tcW w:w="218" w:type="pct"/>
            <w:tcBorders>
              <w:top w:val="single" w:sz="2" w:space="0" w:color="auto"/>
              <w:left w:val="single" w:sz="2" w:space="0" w:color="auto"/>
              <w:bottom w:val="single" w:sz="2" w:space="0" w:color="auto"/>
              <w:right w:val="single" w:sz="2" w:space="0" w:color="auto"/>
            </w:tcBorders>
            <w:shd w:val="clear" w:color="auto" w:fill="FFFFFF" w:themeFill="background1"/>
            <w:noWrap/>
            <w:vAlign w:val="center"/>
            <w:hideMark/>
          </w:tcPr>
          <w:p w14:paraId="6EDCF5F7"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151</w:t>
            </w:r>
          </w:p>
        </w:tc>
        <w:tc>
          <w:tcPr>
            <w:tcW w:w="237" w:type="pct"/>
            <w:tcBorders>
              <w:top w:val="single" w:sz="2" w:space="0" w:color="auto"/>
              <w:left w:val="single" w:sz="2" w:space="0" w:color="auto"/>
              <w:bottom w:val="single" w:sz="2" w:space="0" w:color="auto"/>
              <w:right w:val="single" w:sz="2" w:space="0" w:color="auto"/>
            </w:tcBorders>
            <w:shd w:val="clear" w:color="auto" w:fill="FFFFFF" w:themeFill="background1"/>
            <w:noWrap/>
            <w:vAlign w:val="center"/>
            <w:hideMark/>
          </w:tcPr>
          <w:p w14:paraId="6EDCF5F8"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265</w:t>
            </w:r>
          </w:p>
        </w:tc>
        <w:tc>
          <w:tcPr>
            <w:tcW w:w="200" w:type="pct"/>
            <w:tcBorders>
              <w:top w:val="single" w:sz="2" w:space="0" w:color="auto"/>
              <w:left w:val="single" w:sz="2" w:space="0" w:color="auto"/>
              <w:bottom w:val="single" w:sz="2" w:space="0" w:color="auto"/>
              <w:right w:val="single" w:sz="2" w:space="0" w:color="auto"/>
            </w:tcBorders>
            <w:shd w:val="clear" w:color="auto" w:fill="FFFFFF" w:themeFill="background1"/>
            <w:noWrap/>
            <w:vAlign w:val="center"/>
            <w:hideMark/>
          </w:tcPr>
          <w:p w14:paraId="6EDCF5F9"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w:t>
            </w:r>
          </w:p>
        </w:tc>
        <w:tc>
          <w:tcPr>
            <w:tcW w:w="218" w:type="pct"/>
            <w:tcBorders>
              <w:top w:val="single" w:sz="2" w:space="0" w:color="auto"/>
              <w:left w:val="single" w:sz="2" w:space="0" w:color="auto"/>
              <w:bottom w:val="single" w:sz="2" w:space="0" w:color="auto"/>
              <w:right w:val="single" w:sz="2" w:space="0" w:color="auto"/>
            </w:tcBorders>
            <w:shd w:val="clear" w:color="auto" w:fill="FFFFFF" w:themeFill="background1"/>
            <w:noWrap/>
            <w:vAlign w:val="center"/>
            <w:hideMark/>
          </w:tcPr>
          <w:p w14:paraId="6EDCF5FA"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w:t>
            </w:r>
          </w:p>
        </w:tc>
        <w:tc>
          <w:tcPr>
            <w:tcW w:w="218" w:type="pct"/>
            <w:tcBorders>
              <w:top w:val="single" w:sz="2" w:space="0" w:color="auto"/>
              <w:left w:val="single" w:sz="2" w:space="0" w:color="auto"/>
              <w:bottom w:val="single" w:sz="2" w:space="0" w:color="auto"/>
              <w:right w:val="single" w:sz="2" w:space="0" w:color="auto"/>
            </w:tcBorders>
            <w:shd w:val="clear" w:color="auto" w:fill="FFFFFF" w:themeFill="background1"/>
            <w:noWrap/>
            <w:vAlign w:val="center"/>
            <w:hideMark/>
          </w:tcPr>
          <w:p w14:paraId="6EDCF5FB"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w:t>
            </w:r>
          </w:p>
        </w:tc>
        <w:tc>
          <w:tcPr>
            <w:tcW w:w="218" w:type="pct"/>
            <w:tcBorders>
              <w:top w:val="single" w:sz="2" w:space="0" w:color="auto"/>
              <w:left w:val="single" w:sz="2" w:space="0" w:color="auto"/>
              <w:bottom w:val="single" w:sz="2" w:space="0" w:color="auto"/>
              <w:right w:val="single" w:sz="2" w:space="0" w:color="auto"/>
            </w:tcBorders>
            <w:shd w:val="clear" w:color="auto" w:fill="FFFFFF" w:themeFill="background1"/>
            <w:noWrap/>
            <w:vAlign w:val="center"/>
            <w:hideMark/>
          </w:tcPr>
          <w:p w14:paraId="6EDCF5FC"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w:t>
            </w:r>
          </w:p>
        </w:tc>
        <w:tc>
          <w:tcPr>
            <w:tcW w:w="218" w:type="pct"/>
            <w:tcBorders>
              <w:top w:val="single" w:sz="2" w:space="0" w:color="auto"/>
              <w:left w:val="single" w:sz="2" w:space="0" w:color="auto"/>
              <w:bottom w:val="single" w:sz="2" w:space="0" w:color="auto"/>
              <w:right w:val="single" w:sz="2" w:space="0" w:color="auto"/>
            </w:tcBorders>
            <w:shd w:val="clear" w:color="auto" w:fill="FFFFFF" w:themeFill="background1"/>
            <w:noWrap/>
            <w:vAlign w:val="center"/>
            <w:hideMark/>
          </w:tcPr>
          <w:p w14:paraId="6EDCF5FD"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w:t>
            </w:r>
          </w:p>
        </w:tc>
        <w:tc>
          <w:tcPr>
            <w:tcW w:w="218" w:type="pct"/>
            <w:tcBorders>
              <w:top w:val="single" w:sz="2" w:space="0" w:color="auto"/>
              <w:left w:val="single" w:sz="2" w:space="0" w:color="auto"/>
              <w:bottom w:val="single" w:sz="2" w:space="0" w:color="auto"/>
              <w:right w:val="single" w:sz="2" w:space="0" w:color="auto"/>
            </w:tcBorders>
            <w:shd w:val="clear" w:color="auto" w:fill="FFFFFF" w:themeFill="background1"/>
            <w:noWrap/>
            <w:vAlign w:val="center"/>
            <w:hideMark/>
          </w:tcPr>
          <w:p w14:paraId="6EDCF5FE"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w:t>
            </w:r>
          </w:p>
        </w:tc>
        <w:tc>
          <w:tcPr>
            <w:tcW w:w="218" w:type="pct"/>
            <w:tcBorders>
              <w:top w:val="single" w:sz="2" w:space="0" w:color="auto"/>
              <w:left w:val="single" w:sz="2" w:space="0" w:color="auto"/>
              <w:bottom w:val="single" w:sz="2" w:space="0" w:color="auto"/>
              <w:right w:val="single" w:sz="2" w:space="0" w:color="auto"/>
            </w:tcBorders>
            <w:shd w:val="clear" w:color="auto" w:fill="FFFFFF" w:themeFill="background1"/>
            <w:noWrap/>
            <w:vAlign w:val="center"/>
            <w:hideMark/>
          </w:tcPr>
          <w:p w14:paraId="6EDCF5FF"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w:t>
            </w:r>
          </w:p>
        </w:tc>
        <w:tc>
          <w:tcPr>
            <w:tcW w:w="218" w:type="pct"/>
            <w:tcBorders>
              <w:top w:val="single" w:sz="2" w:space="0" w:color="auto"/>
              <w:left w:val="single" w:sz="2" w:space="0" w:color="auto"/>
              <w:bottom w:val="single" w:sz="2" w:space="0" w:color="auto"/>
              <w:right w:val="single" w:sz="2" w:space="0" w:color="auto"/>
            </w:tcBorders>
            <w:shd w:val="clear" w:color="auto" w:fill="FFFFFF" w:themeFill="background1"/>
            <w:noWrap/>
            <w:vAlign w:val="center"/>
            <w:hideMark/>
          </w:tcPr>
          <w:p w14:paraId="6EDCF600"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w:t>
            </w:r>
          </w:p>
        </w:tc>
        <w:tc>
          <w:tcPr>
            <w:tcW w:w="212" w:type="pct"/>
            <w:tcBorders>
              <w:top w:val="single" w:sz="2" w:space="0" w:color="auto"/>
              <w:left w:val="single" w:sz="2" w:space="0" w:color="auto"/>
              <w:bottom w:val="single" w:sz="2" w:space="0" w:color="auto"/>
              <w:right w:val="single" w:sz="12" w:space="0" w:color="auto"/>
            </w:tcBorders>
            <w:shd w:val="clear" w:color="auto" w:fill="FFFFFF" w:themeFill="background1"/>
            <w:noWrap/>
            <w:vAlign w:val="center"/>
            <w:hideMark/>
          </w:tcPr>
          <w:p w14:paraId="6EDCF601"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w:t>
            </w:r>
          </w:p>
        </w:tc>
      </w:tr>
      <w:tr w:rsidR="00D71745" w:rsidRPr="007114AF" w14:paraId="6EDCF619" w14:textId="77777777" w:rsidTr="00A9766F">
        <w:trPr>
          <w:trHeight w:hRule="exact" w:val="301"/>
        </w:trPr>
        <w:tc>
          <w:tcPr>
            <w:tcW w:w="190" w:type="pct"/>
            <w:vMerge/>
            <w:tcBorders>
              <w:top w:val="single" w:sz="12" w:space="0" w:color="auto"/>
              <w:left w:val="single" w:sz="12" w:space="0" w:color="auto"/>
              <w:bottom w:val="single" w:sz="12" w:space="0" w:color="auto"/>
              <w:right w:val="single" w:sz="2" w:space="0" w:color="auto"/>
            </w:tcBorders>
            <w:shd w:val="clear" w:color="auto" w:fill="FFFFFF" w:themeFill="background1"/>
            <w:vAlign w:val="center"/>
            <w:hideMark/>
          </w:tcPr>
          <w:p w14:paraId="6EDCF603" w14:textId="77777777" w:rsidR="00D71745" w:rsidRPr="007114AF" w:rsidRDefault="00D71745" w:rsidP="00D71745">
            <w:pPr>
              <w:spacing w:after="0" w:line="240" w:lineRule="auto"/>
              <w:rPr>
                <w:rFonts w:ascii="Garamond" w:hAnsi="Garamond"/>
                <w:sz w:val="18"/>
                <w:szCs w:val="18"/>
              </w:rPr>
            </w:pPr>
          </w:p>
        </w:tc>
        <w:tc>
          <w:tcPr>
            <w:tcW w:w="453" w:type="pct"/>
            <w:tcBorders>
              <w:top w:val="single" w:sz="2" w:space="0" w:color="auto"/>
              <w:left w:val="single" w:sz="2" w:space="0" w:color="auto"/>
              <w:bottom w:val="single" w:sz="2" w:space="0" w:color="auto"/>
              <w:right w:val="single" w:sz="2" w:space="0" w:color="auto"/>
            </w:tcBorders>
            <w:shd w:val="clear" w:color="auto" w:fill="FFFFFF" w:themeFill="background1"/>
            <w:noWrap/>
            <w:vAlign w:val="center"/>
            <w:hideMark/>
          </w:tcPr>
          <w:p w14:paraId="6EDCF604" w14:textId="77777777" w:rsidR="00D71745" w:rsidRPr="007114AF" w:rsidRDefault="00D71745" w:rsidP="00D71745">
            <w:pPr>
              <w:spacing w:after="0" w:line="240" w:lineRule="auto"/>
              <w:rPr>
                <w:rFonts w:ascii="Garamond" w:hAnsi="Garamond"/>
                <w:sz w:val="18"/>
                <w:szCs w:val="18"/>
              </w:rPr>
            </w:pPr>
            <w:r w:rsidRPr="007114AF">
              <w:rPr>
                <w:rFonts w:ascii="Garamond" w:hAnsi="Garamond"/>
                <w:sz w:val="18"/>
                <w:szCs w:val="18"/>
              </w:rPr>
              <w:t xml:space="preserve">Bujqësi </w:t>
            </w:r>
          </w:p>
        </w:tc>
        <w:tc>
          <w:tcPr>
            <w:tcW w:w="203" w:type="pct"/>
            <w:tcBorders>
              <w:top w:val="single" w:sz="2" w:space="0" w:color="auto"/>
              <w:left w:val="single" w:sz="2" w:space="0" w:color="auto"/>
              <w:bottom w:val="single" w:sz="2" w:space="0" w:color="auto"/>
              <w:right w:val="single" w:sz="2" w:space="0" w:color="auto"/>
            </w:tcBorders>
            <w:shd w:val="clear" w:color="auto" w:fill="FFFFFF" w:themeFill="background1"/>
            <w:noWrap/>
            <w:vAlign w:val="center"/>
            <w:hideMark/>
          </w:tcPr>
          <w:p w14:paraId="6EDCF605"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880</w:t>
            </w:r>
          </w:p>
        </w:tc>
        <w:tc>
          <w:tcPr>
            <w:tcW w:w="235" w:type="pct"/>
            <w:tcBorders>
              <w:top w:val="single" w:sz="2" w:space="0" w:color="auto"/>
              <w:left w:val="single" w:sz="2" w:space="0" w:color="auto"/>
              <w:bottom w:val="single" w:sz="2" w:space="0" w:color="auto"/>
              <w:right w:val="single" w:sz="2" w:space="0" w:color="auto"/>
            </w:tcBorders>
            <w:shd w:val="clear" w:color="auto" w:fill="FFFFFF" w:themeFill="background1"/>
            <w:noWrap/>
            <w:vAlign w:val="center"/>
            <w:hideMark/>
          </w:tcPr>
          <w:p w14:paraId="6EDCF606"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849</w:t>
            </w:r>
          </w:p>
        </w:tc>
        <w:tc>
          <w:tcPr>
            <w:tcW w:w="218" w:type="pct"/>
            <w:tcBorders>
              <w:top w:val="single" w:sz="2" w:space="0" w:color="auto"/>
              <w:left w:val="single" w:sz="2" w:space="0" w:color="auto"/>
              <w:bottom w:val="single" w:sz="2" w:space="0" w:color="auto"/>
              <w:right w:val="single" w:sz="2" w:space="0" w:color="auto"/>
            </w:tcBorders>
            <w:shd w:val="clear" w:color="auto" w:fill="FFFFFF" w:themeFill="background1"/>
            <w:noWrap/>
            <w:vAlign w:val="center"/>
            <w:hideMark/>
          </w:tcPr>
          <w:p w14:paraId="6EDCF607"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801</w:t>
            </w:r>
          </w:p>
        </w:tc>
        <w:tc>
          <w:tcPr>
            <w:tcW w:w="218" w:type="pct"/>
            <w:tcBorders>
              <w:top w:val="single" w:sz="2" w:space="0" w:color="auto"/>
              <w:left w:val="single" w:sz="2" w:space="0" w:color="auto"/>
              <w:bottom w:val="single" w:sz="2" w:space="0" w:color="auto"/>
              <w:right w:val="single" w:sz="2" w:space="0" w:color="auto"/>
            </w:tcBorders>
            <w:shd w:val="clear" w:color="auto" w:fill="FFFFFF" w:themeFill="background1"/>
            <w:noWrap/>
            <w:vAlign w:val="center"/>
            <w:hideMark/>
          </w:tcPr>
          <w:p w14:paraId="6EDCF608"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871</w:t>
            </w:r>
          </w:p>
        </w:tc>
        <w:tc>
          <w:tcPr>
            <w:tcW w:w="218" w:type="pct"/>
            <w:tcBorders>
              <w:top w:val="single" w:sz="2" w:space="0" w:color="auto"/>
              <w:left w:val="single" w:sz="2" w:space="0" w:color="auto"/>
              <w:bottom w:val="single" w:sz="2" w:space="0" w:color="auto"/>
              <w:right w:val="single" w:sz="2" w:space="0" w:color="auto"/>
            </w:tcBorders>
            <w:shd w:val="clear" w:color="auto" w:fill="FFFFFF" w:themeFill="background1"/>
            <w:noWrap/>
            <w:vAlign w:val="center"/>
            <w:hideMark/>
          </w:tcPr>
          <w:p w14:paraId="6EDCF609"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942</w:t>
            </w:r>
          </w:p>
        </w:tc>
        <w:tc>
          <w:tcPr>
            <w:tcW w:w="218" w:type="pct"/>
            <w:tcBorders>
              <w:top w:val="single" w:sz="2" w:space="0" w:color="auto"/>
              <w:left w:val="single" w:sz="2" w:space="0" w:color="auto"/>
              <w:bottom w:val="single" w:sz="2" w:space="0" w:color="auto"/>
              <w:right w:val="single" w:sz="2" w:space="0" w:color="auto"/>
            </w:tcBorders>
            <w:shd w:val="clear" w:color="auto" w:fill="FFFFFF" w:themeFill="background1"/>
            <w:noWrap/>
            <w:vAlign w:val="center"/>
            <w:hideMark/>
          </w:tcPr>
          <w:p w14:paraId="6EDCF60A"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1012</w:t>
            </w:r>
          </w:p>
        </w:tc>
        <w:tc>
          <w:tcPr>
            <w:tcW w:w="218" w:type="pct"/>
            <w:tcBorders>
              <w:top w:val="single" w:sz="2" w:space="0" w:color="auto"/>
              <w:left w:val="single" w:sz="2" w:space="0" w:color="auto"/>
              <w:bottom w:val="single" w:sz="2" w:space="0" w:color="auto"/>
              <w:right w:val="single" w:sz="2" w:space="0" w:color="auto"/>
            </w:tcBorders>
            <w:shd w:val="clear" w:color="auto" w:fill="FFFFFF" w:themeFill="background1"/>
            <w:noWrap/>
            <w:vAlign w:val="center"/>
            <w:hideMark/>
          </w:tcPr>
          <w:p w14:paraId="6EDCF60B"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1082</w:t>
            </w:r>
          </w:p>
        </w:tc>
        <w:tc>
          <w:tcPr>
            <w:tcW w:w="218" w:type="pct"/>
            <w:tcBorders>
              <w:top w:val="single" w:sz="2" w:space="0" w:color="auto"/>
              <w:left w:val="single" w:sz="2" w:space="0" w:color="auto"/>
              <w:bottom w:val="single" w:sz="2" w:space="0" w:color="auto"/>
              <w:right w:val="single" w:sz="2" w:space="0" w:color="auto"/>
            </w:tcBorders>
            <w:shd w:val="clear" w:color="auto" w:fill="FFFFFF" w:themeFill="background1"/>
            <w:noWrap/>
            <w:vAlign w:val="center"/>
            <w:hideMark/>
          </w:tcPr>
          <w:p w14:paraId="6EDCF60C"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1082</w:t>
            </w:r>
          </w:p>
        </w:tc>
        <w:tc>
          <w:tcPr>
            <w:tcW w:w="218" w:type="pct"/>
            <w:tcBorders>
              <w:top w:val="single" w:sz="2" w:space="0" w:color="auto"/>
              <w:left w:val="single" w:sz="2" w:space="0" w:color="auto"/>
              <w:bottom w:val="single" w:sz="2" w:space="0" w:color="auto"/>
              <w:right w:val="single" w:sz="2" w:space="0" w:color="auto"/>
            </w:tcBorders>
            <w:shd w:val="clear" w:color="auto" w:fill="FFFFFF" w:themeFill="background1"/>
            <w:noWrap/>
            <w:vAlign w:val="center"/>
            <w:hideMark/>
          </w:tcPr>
          <w:p w14:paraId="6EDCF60D"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1105</w:t>
            </w:r>
          </w:p>
        </w:tc>
        <w:tc>
          <w:tcPr>
            <w:tcW w:w="218" w:type="pct"/>
            <w:tcBorders>
              <w:top w:val="single" w:sz="2" w:space="0" w:color="auto"/>
              <w:left w:val="single" w:sz="2" w:space="0" w:color="auto"/>
              <w:bottom w:val="single" w:sz="2" w:space="0" w:color="auto"/>
              <w:right w:val="single" w:sz="2" w:space="0" w:color="auto"/>
            </w:tcBorders>
            <w:shd w:val="clear" w:color="auto" w:fill="FFFFFF" w:themeFill="background1"/>
            <w:noWrap/>
            <w:vAlign w:val="center"/>
            <w:hideMark/>
          </w:tcPr>
          <w:p w14:paraId="6EDCF60E"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1175</w:t>
            </w:r>
          </w:p>
        </w:tc>
        <w:tc>
          <w:tcPr>
            <w:tcW w:w="237" w:type="pct"/>
            <w:tcBorders>
              <w:top w:val="single" w:sz="2" w:space="0" w:color="auto"/>
              <w:left w:val="single" w:sz="2" w:space="0" w:color="auto"/>
              <w:bottom w:val="single" w:sz="2" w:space="0" w:color="auto"/>
              <w:right w:val="single" w:sz="2" w:space="0" w:color="auto"/>
            </w:tcBorders>
            <w:shd w:val="clear" w:color="auto" w:fill="FFFFFF" w:themeFill="background1"/>
            <w:noWrap/>
            <w:vAlign w:val="center"/>
            <w:hideMark/>
          </w:tcPr>
          <w:p w14:paraId="6EDCF60F"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1363</w:t>
            </w:r>
          </w:p>
        </w:tc>
        <w:tc>
          <w:tcPr>
            <w:tcW w:w="200" w:type="pct"/>
            <w:tcBorders>
              <w:top w:val="single" w:sz="2" w:space="0" w:color="auto"/>
              <w:left w:val="single" w:sz="2" w:space="0" w:color="auto"/>
              <w:bottom w:val="single" w:sz="2" w:space="0" w:color="auto"/>
              <w:right w:val="single" w:sz="2" w:space="0" w:color="auto"/>
            </w:tcBorders>
            <w:shd w:val="clear" w:color="auto" w:fill="FFFFFF" w:themeFill="background1"/>
            <w:noWrap/>
            <w:vAlign w:val="center"/>
            <w:hideMark/>
          </w:tcPr>
          <w:p w14:paraId="6EDCF610"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w:t>
            </w:r>
          </w:p>
        </w:tc>
        <w:tc>
          <w:tcPr>
            <w:tcW w:w="218" w:type="pct"/>
            <w:tcBorders>
              <w:top w:val="single" w:sz="2" w:space="0" w:color="auto"/>
              <w:left w:val="single" w:sz="2" w:space="0" w:color="auto"/>
              <w:bottom w:val="single" w:sz="2" w:space="0" w:color="auto"/>
              <w:right w:val="single" w:sz="2" w:space="0" w:color="auto"/>
            </w:tcBorders>
            <w:shd w:val="clear" w:color="auto" w:fill="FFFFFF" w:themeFill="background1"/>
            <w:noWrap/>
            <w:vAlign w:val="center"/>
            <w:hideMark/>
          </w:tcPr>
          <w:p w14:paraId="6EDCF611"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w:t>
            </w:r>
          </w:p>
        </w:tc>
        <w:tc>
          <w:tcPr>
            <w:tcW w:w="218" w:type="pct"/>
            <w:tcBorders>
              <w:top w:val="single" w:sz="2" w:space="0" w:color="auto"/>
              <w:left w:val="single" w:sz="2" w:space="0" w:color="auto"/>
              <w:bottom w:val="single" w:sz="2" w:space="0" w:color="auto"/>
              <w:right w:val="single" w:sz="2" w:space="0" w:color="auto"/>
            </w:tcBorders>
            <w:shd w:val="clear" w:color="auto" w:fill="FFFFFF" w:themeFill="background1"/>
            <w:noWrap/>
            <w:vAlign w:val="center"/>
            <w:hideMark/>
          </w:tcPr>
          <w:p w14:paraId="6EDCF612"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w:t>
            </w:r>
          </w:p>
        </w:tc>
        <w:tc>
          <w:tcPr>
            <w:tcW w:w="218" w:type="pct"/>
            <w:tcBorders>
              <w:top w:val="single" w:sz="2" w:space="0" w:color="auto"/>
              <w:left w:val="single" w:sz="2" w:space="0" w:color="auto"/>
              <w:bottom w:val="single" w:sz="2" w:space="0" w:color="auto"/>
              <w:right w:val="single" w:sz="2" w:space="0" w:color="auto"/>
            </w:tcBorders>
            <w:shd w:val="clear" w:color="auto" w:fill="FFFFFF" w:themeFill="background1"/>
            <w:noWrap/>
            <w:vAlign w:val="center"/>
            <w:hideMark/>
          </w:tcPr>
          <w:p w14:paraId="6EDCF613"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w:t>
            </w:r>
          </w:p>
        </w:tc>
        <w:tc>
          <w:tcPr>
            <w:tcW w:w="218" w:type="pct"/>
            <w:tcBorders>
              <w:top w:val="single" w:sz="2" w:space="0" w:color="auto"/>
              <w:left w:val="single" w:sz="2" w:space="0" w:color="auto"/>
              <w:bottom w:val="single" w:sz="2" w:space="0" w:color="auto"/>
              <w:right w:val="single" w:sz="2" w:space="0" w:color="auto"/>
            </w:tcBorders>
            <w:shd w:val="clear" w:color="auto" w:fill="FFFFFF" w:themeFill="background1"/>
            <w:noWrap/>
            <w:vAlign w:val="center"/>
            <w:hideMark/>
          </w:tcPr>
          <w:p w14:paraId="6EDCF614"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w:t>
            </w:r>
          </w:p>
        </w:tc>
        <w:tc>
          <w:tcPr>
            <w:tcW w:w="218" w:type="pct"/>
            <w:tcBorders>
              <w:top w:val="single" w:sz="2" w:space="0" w:color="auto"/>
              <w:left w:val="single" w:sz="2" w:space="0" w:color="auto"/>
              <w:bottom w:val="single" w:sz="2" w:space="0" w:color="auto"/>
              <w:right w:val="single" w:sz="2" w:space="0" w:color="auto"/>
            </w:tcBorders>
            <w:shd w:val="clear" w:color="auto" w:fill="FFFFFF" w:themeFill="background1"/>
            <w:noWrap/>
            <w:vAlign w:val="center"/>
            <w:hideMark/>
          </w:tcPr>
          <w:p w14:paraId="6EDCF615"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w:t>
            </w:r>
          </w:p>
        </w:tc>
        <w:tc>
          <w:tcPr>
            <w:tcW w:w="218" w:type="pct"/>
            <w:tcBorders>
              <w:top w:val="single" w:sz="2" w:space="0" w:color="auto"/>
              <w:left w:val="single" w:sz="2" w:space="0" w:color="auto"/>
              <w:bottom w:val="single" w:sz="2" w:space="0" w:color="auto"/>
              <w:right w:val="single" w:sz="2" w:space="0" w:color="auto"/>
            </w:tcBorders>
            <w:shd w:val="clear" w:color="auto" w:fill="FFFFFF" w:themeFill="background1"/>
            <w:noWrap/>
            <w:vAlign w:val="center"/>
            <w:hideMark/>
          </w:tcPr>
          <w:p w14:paraId="6EDCF616"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w:t>
            </w:r>
          </w:p>
        </w:tc>
        <w:tc>
          <w:tcPr>
            <w:tcW w:w="218" w:type="pct"/>
            <w:tcBorders>
              <w:top w:val="single" w:sz="2" w:space="0" w:color="auto"/>
              <w:left w:val="single" w:sz="2" w:space="0" w:color="auto"/>
              <w:bottom w:val="single" w:sz="2" w:space="0" w:color="auto"/>
              <w:right w:val="single" w:sz="2" w:space="0" w:color="auto"/>
            </w:tcBorders>
            <w:shd w:val="clear" w:color="auto" w:fill="FFFFFF" w:themeFill="background1"/>
            <w:noWrap/>
            <w:vAlign w:val="center"/>
            <w:hideMark/>
          </w:tcPr>
          <w:p w14:paraId="6EDCF617"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w:t>
            </w:r>
          </w:p>
        </w:tc>
        <w:tc>
          <w:tcPr>
            <w:tcW w:w="212" w:type="pct"/>
            <w:tcBorders>
              <w:top w:val="single" w:sz="2" w:space="0" w:color="auto"/>
              <w:left w:val="single" w:sz="2" w:space="0" w:color="auto"/>
              <w:bottom w:val="single" w:sz="2" w:space="0" w:color="auto"/>
              <w:right w:val="single" w:sz="12" w:space="0" w:color="auto"/>
            </w:tcBorders>
            <w:shd w:val="clear" w:color="auto" w:fill="FFFFFF" w:themeFill="background1"/>
            <w:noWrap/>
            <w:vAlign w:val="center"/>
            <w:hideMark/>
          </w:tcPr>
          <w:p w14:paraId="6EDCF618"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w:t>
            </w:r>
          </w:p>
        </w:tc>
      </w:tr>
      <w:tr w:rsidR="00D71745" w:rsidRPr="007114AF" w14:paraId="6EDCF630" w14:textId="77777777" w:rsidTr="00A9766F">
        <w:trPr>
          <w:trHeight w:hRule="exact" w:val="301"/>
        </w:trPr>
        <w:tc>
          <w:tcPr>
            <w:tcW w:w="190" w:type="pct"/>
            <w:vMerge/>
            <w:tcBorders>
              <w:top w:val="single" w:sz="12" w:space="0" w:color="auto"/>
              <w:left w:val="single" w:sz="12" w:space="0" w:color="auto"/>
              <w:bottom w:val="single" w:sz="12" w:space="0" w:color="auto"/>
              <w:right w:val="single" w:sz="2" w:space="0" w:color="auto"/>
            </w:tcBorders>
            <w:shd w:val="clear" w:color="auto" w:fill="FFFFFF" w:themeFill="background1"/>
            <w:vAlign w:val="center"/>
            <w:hideMark/>
          </w:tcPr>
          <w:p w14:paraId="6EDCF61A" w14:textId="77777777" w:rsidR="00D71745" w:rsidRPr="007114AF" w:rsidRDefault="00D71745" w:rsidP="00D71745">
            <w:pPr>
              <w:spacing w:after="0" w:line="240" w:lineRule="auto"/>
              <w:rPr>
                <w:rFonts w:ascii="Garamond" w:hAnsi="Garamond"/>
                <w:sz w:val="18"/>
                <w:szCs w:val="18"/>
              </w:rPr>
            </w:pPr>
          </w:p>
        </w:tc>
        <w:tc>
          <w:tcPr>
            <w:tcW w:w="453" w:type="pct"/>
            <w:tcBorders>
              <w:top w:val="single" w:sz="2" w:space="0" w:color="auto"/>
              <w:left w:val="single" w:sz="2" w:space="0" w:color="auto"/>
              <w:bottom w:val="single" w:sz="2" w:space="0" w:color="auto"/>
              <w:right w:val="single" w:sz="2" w:space="0" w:color="auto"/>
            </w:tcBorders>
            <w:shd w:val="clear" w:color="auto" w:fill="FFFFFF" w:themeFill="background1"/>
            <w:noWrap/>
            <w:vAlign w:val="center"/>
            <w:hideMark/>
          </w:tcPr>
          <w:p w14:paraId="6EDCF61B" w14:textId="77777777" w:rsidR="00D71745" w:rsidRPr="007114AF" w:rsidRDefault="00D71745" w:rsidP="00D71745">
            <w:pPr>
              <w:spacing w:after="0" w:line="240" w:lineRule="auto"/>
              <w:rPr>
                <w:rFonts w:ascii="Garamond" w:hAnsi="Garamond"/>
                <w:sz w:val="18"/>
                <w:szCs w:val="18"/>
              </w:rPr>
            </w:pPr>
            <w:r w:rsidRPr="007114AF">
              <w:rPr>
                <w:rFonts w:ascii="Garamond" w:hAnsi="Garamond"/>
                <w:sz w:val="18"/>
                <w:szCs w:val="18"/>
              </w:rPr>
              <w:t>LULUCF</w:t>
            </w:r>
          </w:p>
        </w:tc>
        <w:tc>
          <w:tcPr>
            <w:tcW w:w="203" w:type="pct"/>
            <w:tcBorders>
              <w:top w:val="single" w:sz="2" w:space="0" w:color="auto"/>
              <w:left w:val="single" w:sz="2" w:space="0" w:color="auto"/>
              <w:bottom w:val="single" w:sz="2" w:space="0" w:color="auto"/>
              <w:right w:val="single" w:sz="2" w:space="0" w:color="auto"/>
            </w:tcBorders>
            <w:shd w:val="clear" w:color="auto" w:fill="FFFFFF" w:themeFill="background1"/>
            <w:noWrap/>
            <w:vAlign w:val="center"/>
            <w:hideMark/>
          </w:tcPr>
          <w:p w14:paraId="6EDCF61C"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3493</w:t>
            </w:r>
          </w:p>
        </w:tc>
        <w:tc>
          <w:tcPr>
            <w:tcW w:w="235" w:type="pct"/>
            <w:tcBorders>
              <w:top w:val="single" w:sz="2" w:space="0" w:color="auto"/>
              <w:left w:val="single" w:sz="2" w:space="0" w:color="auto"/>
              <w:bottom w:val="single" w:sz="2" w:space="0" w:color="auto"/>
              <w:right w:val="single" w:sz="2" w:space="0" w:color="auto"/>
            </w:tcBorders>
            <w:shd w:val="clear" w:color="auto" w:fill="FFFFFF" w:themeFill="background1"/>
            <w:noWrap/>
            <w:vAlign w:val="center"/>
            <w:hideMark/>
          </w:tcPr>
          <w:p w14:paraId="6EDCF61D"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3534</w:t>
            </w:r>
          </w:p>
        </w:tc>
        <w:tc>
          <w:tcPr>
            <w:tcW w:w="218" w:type="pct"/>
            <w:tcBorders>
              <w:top w:val="single" w:sz="2" w:space="0" w:color="auto"/>
              <w:left w:val="single" w:sz="2" w:space="0" w:color="auto"/>
              <w:bottom w:val="single" w:sz="2" w:space="0" w:color="auto"/>
              <w:right w:val="single" w:sz="2" w:space="0" w:color="auto"/>
            </w:tcBorders>
            <w:shd w:val="clear" w:color="auto" w:fill="FFFFFF" w:themeFill="background1"/>
            <w:noWrap/>
            <w:vAlign w:val="center"/>
            <w:hideMark/>
          </w:tcPr>
          <w:p w14:paraId="6EDCF61E"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2015</w:t>
            </w:r>
          </w:p>
        </w:tc>
        <w:tc>
          <w:tcPr>
            <w:tcW w:w="218" w:type="pct"/>
            <w:tcBorders>
              <w:top w:val="single" w:sz="2" w:space="0" w:color="auto"/>
              <w:left w:val="single" w:sz="2" w:space="0" w:color="auto"/>
              <w:bottom w:val="single" w:sz="2" w:space="0" w:color="auto"/>
              <w:right w:val="single" w:sz="2" w:space="0" w:color="auto"/>
            </w:tcBorders>
            <w:shd w:val="clear" w:color="auto" w:fill="FFFFFF" w:themeFill="background1"/>
            <w:noWrap/>
            <w:vAlign w:val="center"/>
            <w:hideMark/>
          </w:tcPr>
          <w:p w14:paraId="6EDCF61F"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1510</w:t>
            </w:r>
          </w:p>
        </w:tc>
        <w:tc>
          <w:tcPr>
            <w:tcW w:w="218" w:type="pct"/>
            <w:tcBorders>
              <w:top w:val="single" w:sz="2" w:space="0" w:color="auto"/>
              <w:left w:val="single" w:sz="2" w:space="0" w:color="auto"/>
              <w:bottom w:val="single" w:sz="2" w:space="0" w:color="auto"/>
              <w:right w:val="single" w:sz="2" w:space="0" w:color="auto"/>
            </w:tcBorders>
            <w:shd w:val="clear" w:color="auto" w:fill="FFFFFF" w:themeFill="background1"/>
            <w:noWrap/>
            <w:vAlign w:val="center"/>
            <w:hideMark/>
          </w:tcPr>
          <w:p w14:paraId="6EDCF620"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1798</w:t>
            </w:r>
          </w:p>
        </w:tc>
        <w:tc>
          <w:tcPr>
            <w:tcW w:w="218" w:type="pct"/>
            <w:tcBorders>
              <w:top w:val="single" w:sz="2" w:space="0" w:color="auto"/>
              <w:left w:val="single" w:sz="2" w:space="0" w:color="auto"/>
              <w:bottom w:val="single" w:sz="2" w:space="0" w:color="auto"/>
              <w:right w:val="single" w:sz="2" w:space="0" w:color="auto"/>
            </w:tcBorders>
            <w:shd w:val="clear" w:color="auto" w:fill="FFFFFF" w:themeFill="background1"/>
            <w:noWrap/>
            <w:vAlign w:val="center"/>
            <w:hideMark/>
          </w:tcPr>
          <w:p w14:paraId="6EDCF621"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1517</w:t>
            </w:r>
          </w:p>
        </w:tc>
        <w:tc>
          <w:tcPr>
            <w:tcW w:w="218" w:type="pct"/>
            <w:tcBorders>
              <w:top w:val="single" w:sz="2" w:space="0" w:color="auto"/>
              <w:left w:val="single" w:sz="2" w:space="0" w:color="auto"/>
              <w:bottom w:val="single" w:sz="2" w:space="0" w:color="auto"/>
              <w:right w:val="single" w:sz="2" w:space="0" w:color="auto"/>
            </w:tcBorders>
            <w:shd w:val="clear" w:color="auto" w:fill="FFFFFF" w:themeFill="background1"/>
            <w:noWrap/>
            <w:vAlign w:val="center"/>
            <w:hideMark/>
          </w:tcPr>
          <w:p w14:paraId="6EDCF622"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1447</w:t>
            </w:r>
          </w:p>
        </w:tc>
        <w:tc>
          <w:tcPr>
            <w:tcW w:w="218" w:type="pct"/>
            <w:tcBorders>
              <w:top w:val="single" w:sz="2" w:space="0" w:color="auto"/>
              <w:left w:val="single" w:sz="2" w:space="0" w:color="auto"/>
              <w:bottom w:val="single" w:sz="2" w:space="0" w:color="auto"/>
              <w:right w:val="single" w:sz="2" w:space="0" w:color="auto"/>
            </w:tcBorders>
            <w:shd w:val="clear" w:color="auto" w:fill="FFFFFF" w:themeFill="background1"/>
            <w:noWrap/>
            <w:vAlign w:val="center"/>
            <w:hideMark/>
          </w:tcPr>
          <w:p w14:paraId="6EDCF623"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1318</w:t>
            </w:r>
          </w:p>
        </w:tc>
        <w:tc>
          <w:tcPr>
            <w:tcW w:w="218" w:type="pct"/>
            <w:tcBorders>
              <w:top w:val="single" w:sz="2" w:space="0" w:color="auto"/>
              <w:left w:val="single" w:sz="2" w:space="0" w:color="auto"/>
              <w:bottom w:val="single" w:sz="2" w:space="0" w:color="auto"/>
              <w:right w:val="single" w:sz="2" w:space="0" w:color="auto"/>
            </w:tcBorders>
            <w:shd w:val="clear" w:color="auto" w:fill="FFFFFF" w:themeFill="background1"/>
            <w:noWrap/>
            <w:vAlign w:val="center"/>
            <w:hideMark/>
          </w:tcPr>
          <w:p w14:paraId="6EDCF624"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1096</w:t>
            </w:r>
          </w:p>
        </w:tc>
        <w:tc>
          <w:tcPr>
            <w:tcW w:w="218" w:type="pct"/>
            <w:tcBorders>
              <w:top w:val="single" w:sz="2" w:space="0" w:color="auto"/>
              <w:left w:val="single" w:sz="2" w:space="0" w:color="auto"/>
              <w:bottom w:val="single" w:sz="2" w:space="0" w:color="auto"/>
              <w:right w:val="single" w:sz="2" w:space="0" w:color="auto"/>
            </w:tcBorders>
            <w:shd w:val="clear" w:color="auto" w:fill="FFFFFF" w:themeFill="background1"/>
            <w:noWrap/>
            <w:vAlign w:val="center"/>
            <w:hideMark/>
          </w:tcPr>
          <w:p w14:paraId="6EDCF625"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910</w:t>
            </w:r>
          </w:p>
        </w:tc>
        <w:tc>
          <w:tcPr>
            <w:tcW w:w="237" w:type="pct"/>
            <w:tcBorders>
              <w:top w:val="single" w:sz="2" w:space="0" w:color="auto"/>
              <w:left w:val="single" w:sz="2" w:space="0" w:color="auto"/>
              <w:bottom w:val="single" w:sz="2" w:space="0" w:color="auto"/>
              <w:right w:val="single" w:sz="2" w:space="0" w:color="auto"/>
            </w:tcBorders>
            <w:shd w:val="clear" w:color="auto" w:fill="FFFFFF" w:themeFill="background1"/>
            <w:noWrap/>
            <w:vAlign w:val="center"/>
            <w:hideMark/>
          </w:tcPr>
          <w:p w14:paraId="6EDCF626"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903</w:t>
            </w:r>
          </w:p>
        </w:tc>
        <w:tc>
          <w:tcPr>
            <w:tcW w:w="200" w:type="pct"/>
            <w:tcBorders>
              <w:top w:val="single" w:sz="2" w:space="0" w:color="auto"/>
              <w:left w:val="single" w:sz="2" w:space="0" w:color="auto"/>
              <w:bottom w:val="single" w:sz="2" w:space="0" w:color="auto"/>
              <w:right w:val="single" w:sz="2" w:space="0" w:color="auto"/>
            </w:tcBorders>
            <w:shd w:val="clear" w:color="auto" w:fill="FFFFFF" w:themeFill="background1"/>
            <w:noWrap/>
            <w:vAlign w:val="center"/>
            <w:hideMark/>
          </w:tcPr>
          <w:p w14:paraId="6EDCF627"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w:t>
            </w:r>
          </w:p>
        </w:tc>
        <w:tc>
          <w:tcPr>
            <w:tcW w:w="218" w:type="pct"/>
            <w:tcBorders>
              <w:top w:val="single" w:sz="2" w:space="0" w:color="auto"/>
              <w:left w:val="single" w:sz="2" w:space="0" w:color="auto"/>
              <w:bottom w:val="single" w:sz="2" w:space="0" w:color="auto"/>
              <w:right w:val="single" w:sz="2" w:space="0" w:color="auto"/>
            </w:tcBorders>
            <w:shd w:val="clear" w:color="auto" w:fill="FFFFFF" w:themeFill="background1"/>
            <w:noWrap/>
            <w:vAlign w:val="center"/>
            <w:hideMark/>
          </w:tcPr>
          <w:p w14:paraId="6EDCF628"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w:t>
            </w:r>
          </w:p>
        </w:tc>
        <w:tc>
          <w:tcPr>
            <w:tcW w:w="218" w:type="pct"/>
            <w:tcBorders>
              <w:top w:val="single" w:sz="2" w:space="0" w:color="auto"/>
              <w:left w:val="single" w:sz="2" w:space="0" w:color="auto"/>
              <w:bottom w:val="single" w:sz="2" w:space="0" w:color="auto"/>
              <w:right w:val="single" w:sz="2" w:space="0" w:color="auto"/>
            </w:tcBorders>
            <w:shd w:val="clear" w:color="auto" w:fill="FFFFFF" w:themeFill="background1"/>
            <w:noWrap/>
            <w:vAlign w:val="center"/>
            <w:hideMark/>
          </w:tcPr>
          <w:p w14:paraId="6EDCF629"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w:t>
            </w:r>
          </w:p>
        </w:tc>
        <w:tc>
          <w:tcPr>
            <w:tcW w:w="218" w:type="pct"/>
            <w:tcBorders>
              <w:top w:val="single" w:sz="2" w:space="0" w:color="auto"/>
              <w:left w:val="single" w:sz="2" w:space="0" w:color="auto"/>
              <w:bottom w:val="single" w:sz="2" w:space="0" w:color="auto"/>
              <w:right w:val="single" w:sz="2" w:space="0" w:color="auto"/>
            </w:tcBorders>
            <w:shd w:val="clear" w:color="auto" w:fill="FFFFFF" w:themeFill="background1"/>
            <w:noWrap/>
            <w:vAlign w:val="center"/>
            <w:hideMark/>
          </w:tcPr>
          <w:p w14:paraId="6EDCF62A"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w:t>
            </w:r>
          </w:p>
        </w:tc>
        <w:tc>
          <w:tcPr>
            <w:tcW w:w="218" w:type="pct"/>
            <w:tcBorders>
              <w:top w:val="single" w:sz="2" w:space="0" w:color="auto"/>
              <w:left w:val="single" w:sz="2" w:space="0" w:color="auto"/>
              <w:bottom w:val="single" w:sz="2" w:space="0" w:color="auto"/>
              <w:right w:val="single" w:sz="2" w:space="0" w:color="auto"/>
            </w:tcBorders>
            <w:shd w:val="clear" w:color="auto" w:fill="FFFFFF" w:themeFill="background1"/>
            <w:noWrap/>
            <w:vAlign w:val="center"/>
            <w:hideMark/>
          </w:tcPr>
          <w:p w14:paraId="6EDCF62B"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w:t>
            </w:r>
          </w:p>
        </w:tc>
        <w:tc>
          <w:tcPr>
            <w:tcW w:w="218" w:type="pct"/>
            <w:tcBorders>
              <w:top w:val="single" w:sz="2" w:space="0" w:color="auto"/>
              <w:left w:val="single" w:sz="2" w:space="0" w:color="auto"/>
              <w:bottom w:val="single" w:sz="2" w:space="0" w:color="auto"/>
              <w:right w:val="single" w:sz="2" w:space="0" w:color="auto"/>
            </w:tcBorders>
            <w:shd w:val="clear" w:color="auto" w:fill="FFFFFF" w:themeFill="background1"/>
            <w:noWrap/>
            <w:vAlign w:val="center"/>
            <w:hideMark/>
          </w:tcPr>
          <w:p w14:paraId="6EDCF62C"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w:t>
            </w:r>
          </w:p>
        </w:tc>
        <w:tc>
          <w:tcPr>
            <w:tcW w:w="218" w:type="pct"/>
            <w:tcBorders>
              <w:top w:val="single" w:sz="2" w:space="0" w:color="auto"/>
              <w:left w:val="single" w:sz="2" w:space="0" w:color="auto"/>
              <w:bottom w:val="single" w:sz="2" w:space="0" w:color="auto"/>
              <w:right w:val="single" w:sz="2" w:space="0" w:color="auto"/>
            </w:tcBorders>
            <w:shd w:val="clear" w:color="auto" w:fill="FFFFFF" w:themeFill="background1"/>
            <w:noWrap/>
            <w:vAlign w:val="center"/>
            <w:hideMark/>
          </w:tcPr>
          <w:p w14:paraId="6EDCF62D"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w:t>
            </w:r>
          </w:p>
        </w:tc>
        <w:tc>
          <w:tcPr>
            <w:tcW w:w="218" w:type="pct"/>
            <w:tcBorders>
              <w:top w:val="single" w:sz="2" w:space="0" w:color="auto"/>
              <w:left w:val="single" w:sz="2" w:space="0" w:color="auto"/>
              <w:bottom w:val="single" w:sz="2" w:space="0" w:color="auto"/>
              <w:right w:val="single" w:sz="2" w:space="0" w:color="auto"/>
            </w:tcBorders>
            <w:shd w:val="clear" w:color="auto" w:fill="FFFFFF" w:themeFill="background1"/>
            <w:noWrap/>
            <w:vAlign w:val="center"/>
            <w:hideMark/>
          </w:tcPr>
          <w:p w14:paraId="6EDCF62E"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w:t>
            </w:r>
          </w:p>
        </w:tc>
        <w:tc>
          <w:tcPr>
            <w:tcW w:w="212" w:type="pct"/>
            <w:tcBorders>
              <w:top w:val="single" w:sz="2" w:space="0" w:color="auto"/>
              <w:left w:val="single" w:sz="2" w:space="0" w:color="auto"/>
              <w:bottom w:val="single" w:sz="2" w:space="0" w:color="auto"/>
              <w:right w:val="single" w:sz="12" w:space="0" w:color="auto"/>
            </w:tcBorders>
            <w:shd w:val="clear" w:color="auto" w:fill="FFFFFF" w:themeFill="background1"/>
            <w:noWrap/>
            <w:vAlign w:val="center"/>
            <w:hideMark/>
          </w:tcPr>
          <w:p w14:paraId="6EDCF62F"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w:t>
            </w:r>
          </w:p>
        </w:tc>
      </w:tr>
      <w:tr w:rsidR="00D71745" w:rsidRPr="007114AF" w14:paraId="6EDCF647" w14:textId="77777777" w:rsidTr="00A9766F">
        <w:trPr>
          <w:trHeight w:hRule="exact" w:val="301"/>
        </w:trPr>
        <w:tc>
          <w:tcPr>
            <w:tcW w:w="190" w:type="pct"/>
            <w:vMerge/>
            <w:tcBorders>
              <w:top w:val="single" w:sz="12" w:space="0" w:color="auto"/>
              <w:left w:val="single" w:sz="12" w:space="0" w:color="auto"/>
              <w:bottom w:val="single" w:sz="12" w:space="0" w:color="auto"/>
              <w:right w:val="single" w:sz="2" w:space="0" w:color="auto"/>
            </w:tcBorders>
            <w:shd w:val="clear" w:color="auto" w:fill="FFFFFF" w:themeFill="background1"/>
            <w:vAlign w:val="center"/>
            <w:hideMark/>
          </w:tcPr>
          <w:p w14:paraId="6EDCF631" w14:textId="77777777" w:rsidR="00D71745" w:rsidRPr="007114AF" w:rsidRDefault="00D71745" w:rsidP="00D71745">
            <w:pPr>
              <w:spacing w:after="0" w:line="240" w:lineRule="auto"/>
              <w:rPr>
                <w:rFonts w:ascii="Garamond" w:hAnsi="Garamond"/>
                <w:sz w:val="18"/>
                <w:szCs w:val="18"/>
              </w:rPr>
            </w:pPr>
          </w:p>
        </w:tc>
        <w:tc>
          <w:tcPr>
            <w:tcW w:w="453" w:type="pct"/>
            <w:tcBorders>
              <w:top w:val="single" w:sz="2" w:space="0" w:color="auto"/>
              <w:left w:val="single" w:sz="2" w:space="0" w:color="auto"/>
              <w:bottom w:val="single" w:sz="2" w:space="0" w:color="auto"/>
              <w:right w:val="single" w:sz="2" w:space="0" w:color="auto"/>
            </w:tcBorders>
            <w:shd w:val="clear" w:color="auto" w:fill="FFFFFF" w:themeFill="background1"/>
            <w:noWrap/>
            <w:vAlign w:val="center"/>
            <w:hideMark/>
          </w:tcPr>
          <w:p w14:paraId="6EDCF632" w14:textId="77777777" w:rsidR="00D71745" w:rsidRPr="007114AF" w:rsidRDefault="00D71745" w:rsidP="00D71745">
            <w:pPr>
              <w:spacing w:after="0" w:line="240" w:lineRule="auto"/>
              <w:rPr>
                <w:rFonts w:ascii="Garamond" w:hAnsi="Garamond"/>
                <w:sz w:val="18"/>
                <w:szCs w:val="18"/>
              </w:rPr>
            </w:pPr>
            <w:r w:rsidRPr="007114AF">
              <w:rPr>
                <w:rFonts w:ascii="Garamond" w:hAnsi="Garamond"/>
                <w:sz w:val="18"/>
                <w:szCs w:val="18"/>
              </w:rPr>
              <w:t xml:space="preserve">Mbetje </w:t>
            </w:r>
          </w:p>
        </w:tc>
        <w:tc>
          <w:tcPr>
            <w:tcW w:w="203" w:type="pct"/>
            <w:tcBorders>
              <w:top w:val="single" w:sz="2" w:space="0" w:color="auto"/>
              <w:left w:val="single" w:sz="2" w:space="0" w:color="auto"/>
              <w:bottom w:val="single" w:sz="2" w:space="0" w:color="auto"/>
              <w:right w:val="single" w:sz="2" w:space="0" w:color="auto"/>
            </w:tcBorders>
            <w:shd w:val="clear" w:color="auto" w:fill="FFFFFF" w:themeFill="background1"/>
            <w:noWrap/>
            <w:vAlign w:val="center"/>
            <w:hideMark/>
          </w:tcPr>
          <w:p w14:paraId="6EDCF633"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144</w:t>
            </w:r>
          </w:p>
        </w:tc>
        <w:tc>
          <w:tcPr>
            <w:tcW w:w="235" w:type="pct"/>
            <w:tcBorders>
              <w:top w:val="single" w:sz="2" w:space="0" w:color="auto"/>
              <w:left w:val="single" w:sz="2" w:space="0" w:color="auto"/>
              <w:bottom w:val="single" w:sz="2" w:space="0" w:color="auto"/>
              <w:right w:val="single" w:sz="2" w:space="0" w:color="auto"/>
            </w:tcBorders>
            <w:shd w:val="clear" w:color="auto" w:fill="FFFFFF" w:themeFill="background1"/>
            <w:noWrap/>
            <w:vAlign w:val="center"/>
            <w:hideMark/>
          </w:tcPr>
          <w:p w14:paraId="6EDCF634"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151</w:t>
            </w:r>
          </w:p>
        </w:tc>
        <w:tc>
          <w:tcPr>
            <w:tcW w:w="218" w:type="pct"/>
            <w:tcBorders>
              <w:top w:val="single" w:sz="2" w:space="0" w:color="auto"/>
              <w:left w:val="single" w:sz="2" w:space="0" w:color="auto"/>
              <w:bottom w:val="single" w:sz="2" w:space="0" w:color="auto"/>
              <w:right w:val="single" w:sz="2" w:space="0" w:color="auto"/>
            </w:tcBorders>
            <w:shd w:val="clear" w:color="auto" w:fill="FFFFFF" w:themeFill="background1"/>
            <w:noWrap/>
            <w:vAlign w:val="center"/>
            <w:hideMark/>
          </w:tcPr>
          <w:p w14:paraId="6EDCF635"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177</w:t>
            </w:r>
          </w:p>
        </w:tc>
        <w:tc>
          <w:tcPr>
            <w:tcW w:w="218" w:type="pct"/>
            <w:tcBorders>
              <w:top w:val="single" w:sz="2" w:space="0" w:color="auto"/>
              <w:left w:val="single" w:sz="2" w:space="0" w:color="auto"/>
              <w:bottom w:val="single" w:sz="2" w:space="0" w:color="auto"/>
              <w:right w:val="single" w:sz="2" w:space="0" w:color="auto"/>
            </w:tcBorders>
            <w:shd w:val="clear" w:color="auto" w:fill="FFFFFF" w:themeFill="background1"/>
            <w:noWrap/>
            <w:vAlign w:val="center"/>
            <w:hideMark/>
          </w:tcPr>
          <w:p w14:paraId="6EDCF636"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205</w:t>
            </w:r>
          </w:p>
        </w:tc>
        <w:tc>
          <w:tcPr>
            <w:tcW w:w="218" w:type="pct"/>
            <w:tcBorders>
              <w:top w:val="single" w:sz="2" w:space="0" w:color="auto"/>
              <w:left w:val="single" w:sz="2" w:space="0" w:color="auto"/>
              <w:bottom w:val="single" w:sz="2" w:space="0" w:color="auto"/>
              <w:right w:val="single" w:sz="2" w:space="0" w:color="auto"/>
            </w:tcBorders>
            <w:shd w:val="clear" w:color="auto" w:fill="FFFFFF" w:themeFill="background1"/>
            <w:noWrap/>
            <w:vAlign w:val="center"/>
            <w:hideMark/>
          </w:tcPr>
          <w:p w14:paraId="6EDCF637"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279</w:t>
            </w:r>
          </w:p>
        </w:tc>
        <w:tc>
          <w:tcPr>
            <w:tcW w:w="218" w:type="pct"/>
            <w:tcBorders>
              <w:top w:val="single" w:sz="2" w:space="0" w:color="auto"/>
              <w:left w:val="single" w:sz="2" w:space="0" w:color="auto"/>
              <w:bottom w:val="single" w:sz="2" w:space="0" w:color="auto"/>
              <w:right w:val="single" w:sz="2" w:space="0" w:color="auto"/>
            </w:tcBorders>
            <w:shd w:val="clear" w:color="auto" w:fill="FFFFFF" w:themeFill="background1"/>
            <w:noWrap/>
            <w:vAlign w:val="center"/>
            <w:hideMark/>
          </w:tcPr>
          <w:p w14:paraId="6EDCF638"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318</w:t>
            </w:r>
          </w:p>
        </w:tc>
        <w:tc>
          <w:tcPr>
            <w:tcW w:w="218" w:type="pct"/>
            <w:tcBorders>
              <w:top w:val="single" w:sz="2" w:space="0" w:color="auto"/>
              <w:left w:val="single" w:sz="2" w:space="0" w:color="auto"/>
              <w:bottom w:val="single" w:sz="2" w:space="0" w:color="auto"/>
              <w:right w:val="single" w:sz="2" w:space="0" w:color="auto"/>
            </w:tcBorders>
            <w:shd w:val="clear" w:color="auto" w:fill="FFFFFF" w:themeFill="background1"/>
            <w:noWrap/>
            <w:vAlign w:val="center"/>
            <w:hideMark/>
          </w:tcPr>
          <w:p w14:paraId="6EDCF639"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417</w:t>
            </w:r>
          </w:p>
        </w:tc>
        <w:tc>
          <w:tcPr>
            <w:tcW w:w="218" w:type="pct"/>
            <w:tcBorders>
              <w:top w:val="single" w:sz="2" w:space="0" w:color="auto"/>
              <w:left w:val="single" w:sz="2" w:space="0" w:color="auto"/>
              <w:bottom w:val="single" w:sz="2" w:space="0" w:color="auto"/>
              <w:right w:val="single" w:sz="2" w:space="0" w:color="auto"/>
            </w:tcBorders>
            <w:shd w:val="clear" w:color="auto" w:fill="FFFFFF" w:themeFill="background1"/>
            <w:noWrap/>
            <w:vAlign w:val="center"/>
            <w:hideMark/>
          </w:tcPr>
          <w:p w14:paraId="6EDCF63A"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462</w:t>
            </w:r>
          </w:p>
        </w:tc>
        <w:tc>
          <w:tcPr>
            <w:tcW w:w="218" w:type="pct"/>
            <w:tcBorders>
              <w:top w:val="single" w:sz="2" w:space="0" w:color="auto"/>
              <w:left w:val="single" w:sz="2" w:space="0" w:color="auto"/>
              <w:bottom w:val="single" w:sz="2" w:space="0" w:color="auto"/>
              <w:right w:val="single" w:sz="2" w:space="0" w:color="auto"/>
            </w:tcBorders>
            <w:shd w:val="clear" w:color="auto" w:fill="FFFFFF" w:themeFill="background1"/>
            <w:noWrap/>
            <w:vAlign w:val="center"/>
            <w:hideMark/>
          </w:tcPr>
          <w:p w14:paraId="6EDCF63B"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460</w:t>
            </w:r>
          </w:p>
        </w:tc>
        <w:tc>
          <w:tcPr>
            <w:tcW w:w="218" w:type="pct"/>
            <w:tcBorders>
              <w:top w:val="single" w:sz="2" w:space="0" w:color="auto"/>
              <w:left w:val="single" w:sz="2" w:space="0" w:color="auto"/>
              <w:bottom w:val="single" w:sz="2" w:space="0" w:color="auto"/>
              <w:right w:val="single" w:sz="2" w:space="0" w:color="auto"/>
            </w:tcBorders>
            <w:shd w:val="clear" w:color="auto" w:fill="FFFFFF" w:themeFill="background1"/>
            <w:noWrap/>
            <w:vAlign w:val="center"/>
            <w:hideMark/>
          </w:tcPr>
          <w:p w14:paraId="6EDCF63C"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534</w:t>
            </w:r>
          </w:p>
        </w:tc>
        <w:tc>
          <w:tcPr>
            <w:tcW w:w="237" w:type="pct"/>
            <w:tcBorders>
              <w:top w:val="single" w:sz="2" w:space="0" w:color="auto"/>
              <w:left w:val="single" w:sz="2" w:space="0" w:color="auto"/>
              <w:bottom w:val="single" w:sz="2" w:space="0" w:color="auto"/>
              <w:right w:val="single" w:sz="2" w:space="0" w:color="auto"/>
            </w:tcBorders>
            <w:shd w:val="clear" w:color="auto" w:fill="FFFFFF" w:themeFill="background1"/>
            <w:noWrap/>
            <w:vAlign w:val="center"/>
            <w:hideMark/>
          </w:tcPr>
          <w:p w14:paraId="6EDCF63D"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561</w:t>
            </w:r>
          </w:p>
        </w:tc>
        <w:tc>
          <w:tcPr>
            <w:tcW w:w="200" w:type="pct"/>
            <w:tcBorders>
              <w:top w:val="single" w:sz="2" w:space="0" w:color="auto"/>
              <w:left w:val="single" w:sz="2" w:space="0" w:color="auto"/>
              <w:bottom w:val="single" w:sz="2" w:space="0" w:color="auto"/>
              <w:right w:val="single" w:sz="2" w:space="0" w:color="auto"/>
            </w:tcBorders>
            <w:shd w:val="clear" w:color="auto" w:fill="FFFFFF" w:themeFill="background1"/>
            <w:noWrap/>
            <w:vAlign w:val="center"/>
            <w:hideMark/>
          </w:tcPr>
          <w:p w14:paraId="6EDCF63E"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w:t>
            </w:r>
          </w:p>
        </w:tc>
        <w:tc>
          <w:tcPr>
            <w:tcW w:w="218" w:type="pct"/>
            <w:tcBorders>
              <w:top w:val="single" w:sz="2" w:space="0" w:color="auto"/>
              <w:left w:val="single" w:sz="2" w:space="0" w:color="auto"/>
              <w:bottom w:val="single" w:sz="2" w:space="0" w:color="auto"/>
              <w:right w:val="single" w:sz="2" w:space="0" w:color="auto"/>
            </w:tcBorders>
            <w:shd w:val="clear" w:color="auto" w:fill="FFFFFF" w:themeFill="background1"/>
            <w:noWrap/>
            <w:vAlign w:val="center"/>
            <w:hideMark/>
          </w:tcPr>
          <w:p w14:paraId="6EDCF63F"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w:t>
            </w:r>
          </w:p>
        </w:tc>
        <w:tc>
          <w:tcPr>
            <w:tcW w:w="218" w:type="pct"/>
            <w:tcBorders>
              <w:top w:val="single" w:sz="2" w:space="0" w:color="auto"/>
              <w:left w:val="single" w:sz="2" w:space="0" w:color="auto"/>
              <w:bottom w:val="single" w:sz="2" w:space="0" w:color="auto"/>
              <w:right w:val="single" w:sz="2" w:space="0" w:color="auto"/>
            </w:tcBorders>
            <w:shd w:val="clear" w:color="auto" w:fill="FFFFFF" w:themeFill="background1"/>
            <w:noWrap/>
            <w:vAlign w:val="center"/>
            <w:hideMark/>
          </w:tcPr>
          <w:p w14:paraId="6EDCF640"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w:t>
            </w:r>
          </w:p>
        </w:tc>
        <w:tc>
          <w:tcPr>
            <w:tcW w:w="218" w:type="pct"/>
            <w:tcBorders>
              <w:top w:val="single" w:sz="2" w:space="0" w:color="auto"/>
              <w:left w:val="single" w:sz="2" w:space="0" w:color="auto"/>
              <w:bottom w:val="single" w:sz="2" w:space="0" w:color="auto"/>
              <w:right w:val="single" w:sz="2" w:space="0" w:color="auto"/>
            </w:tcBorders>
            <w:shd w:val="clear" w:color="auto" w:fill="FFFFFF" w:themeFill="background1"/>
            <w:noWrap/>
            <w:vAlign w:val="center"/>
            <w:hideMark/>
          </w:tcPr>
          <w:p w14:paraId="6EDCF641"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w:t>
            </w:r>
          </w:p>
        </w:tc>
        <w:tc>
          <w:tcPr>
            <w:tcW w:w="218" w:type="pct"/>
            <w:tcBorders>
              <w:top w:val="single" w:sz="2" w:space="0" w:color="auto"/>
              <w:left w:val="single" w:sz="2" w:space="0" w:color="auto"/>
              <w:bottom w:val="single" w:sz="2" w:space="0" w:color="auto"/>
              <w:right w:val="single" w:sz="2" w:space="0" w:color="auto"/>
            </w:tcBorders>
            <w:shd w:val="clear" w:color="auto" w:fill="FFFFFF" w:themeFill="background1"/>
            <w:noWrap/>
            <w:vAlign w:val="center"/>
            <w:hideMark/>
          </w:tcPr>
          <w:p w14:paraId="6EDCF642"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w:t>
            </w:r>
          </w:p>
        </w:tc>
        <w:tc>
          <w:tcPr>
            <w:tcW w:w="218" w:type="pct"/>
            <w:tcBorders>
              <w:top w:val="single" w:sz="2" w:space="0" w:color="auto"/>
              <w:left w:val="single" w:sz="2" w:space="0" w:color="auto"/>
              <w:bottom w:val="single" w:sz="2" w:space="0" w:color="auto"/>
              <w:right w:val="single" w:sz="2" w:space="0" w:color="auto"/>
            </w:tcBorders>
            <w:shd w:val="clear" w:color="auto" w:fill="FFFFFF" w:themeFill="background1"/>
            <w:noWrap/>
            <w:vAlign w:val="center"/>
            <w:hideMark/>
          </w:tcPr>
          <w:p w14:paraId="6EDCF643"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w:t>
            </w:r>
          </w:p>
        </w:tc>
        <w:tc>
          <w:tcPr>
            <w:tcW w:w="218" w:type="pct"/>
            <w:tcBorders>
              <w:top w:val="single" w:sz="2" w:space="0" w:color="auto"/>
              <w:left w:val="single" w:sz="2" w:space="0" w:color="auto"/>
              <w:bottom w:val="single" w:sz="2" w:space="0" w:color="auto"/>
              <w:right w:val="single" w:sz="2" w:space="0" w:color="auto"/>
            </w:tcBorders>
            <w:shd w:val="clear" w:color="auto" w:fill="FFFFFF" w:themeFill="background1"/>
            <w:noWrap/>
            <w:vAlign w:val="center"/>
            <w:hideMark/>
          </w:tcPr>
          <w:p w14:paraId="6EDCF644"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w:t>
            </w:r>
          </w:p>
        </w:tc>
        <w:tc>
          <w:tcPr>
            <w:tcW w:w="218" w:type="pct"/>
            <w:tcBorders>
              <w:top w:val="single" w:sz="2" w:space="0" w:color="auto"/>
              <w:left w:val="single" w:sz="2" w:space="0" w:color="auto"/>
              <w:bottom w:val="single" w:sz="2" w:space="0" w:color="auto"/>
              <w:right w:val="single" w:sz="2" w:space="0" w:color="auto"/>
            </w:tcBorders>
            <w:shd w:val="clear" w:color="auto" w:fill="FFFFFF" w:themeFill="background1"/>
            <w:noWrap/>
            <w:vAlign w:val="center"/>
            <w:hideMark/>
          </w:tcPr>
          <w:p w14:paraId="6EDCF645"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w:t>
            </w:r>
          </w:p>
        </w:tc>
        <w:tc>
          <w:tcPr>
            <w:tcW w:w="212" w:type="pct"/>
            <w:tcBorders>
              <w:top w:val="single" w:sz="2" w:space="0" w:color="auto"/>
              <w:left w:val="single" w:sz="2" w:space="0" w:color="auto"/>
              <w:bottom w:val="single" w:sz="2" w:space="0" w:color="auto"/>
              <w:right w:val="single" w:sz="12" w:space="0" w:color="auto"/>
            </w:tcBorders>
            <w:shd w:val="clear" w:color="auto" w:fill="FFFFFF" w:themeFill="background1"/>
            <w:noWrap/>
            <w:vAlign w:val="center"/>
            <w:hideMark/>
          </w:tcPr>
          <w:p w14:paraId="6EDCF646"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w:t>
            </w:r>
          </w:p>
        </w:tc>
      </w:tr>
      <w:tr w:rsidR="00D71745" w:rsidRPr="007114AF" w14:paraId="6EDCF65E" w14:textId="77777777" w:rsidTr="00A9766F">
        <w:trPr>
          <w:trHeight w:hRule="exact" w:val="301"/>
        </w:trPr>
        <w:tc>
          <w:tcPr>
            <w:tcW w:w="190" w:type="pct"/>
            <w:vMerge/>
            <w:tcBorders>
              <w:top w:val="single" w:sz="12" w:space="0" w:color="auto"/>
              <w:left w:val="single" w:sz="12" w:space="0" w:color="auto"/>
              <w:bottom w:val="single" w:sz="12" w:space="0" w:color="auto"/>
              <w:right w:val="single" w:sz="2" w:space="0" w:color="auto"/>
            </w:tcBorders>
            <w:shd w:val="clear" w:color="auto" w:fill="FFFFFF" w:themeFill="background1"/>
            <w:vAlign w:val="center"/>
            <w:hideMark/>
          </w:tcPr>
          <w:p w14:paraId="6EDCF648" w14:textId="77777777" w:rsidR="00D71745" w:rsidRPr="007114AF" w:rsidRDefault="00D71745" w:rsidP="00D71745">
            <w:pPr>
              <w:spacing w:after="0" w:line="240" w:lineRule="auto"/>
              <w:rPr>
                <w:rFonts w:ascii="Garamond" w:hAnsi="Garamond"/>
                <w:sz w:val="18"/>
                <w:szCs w:val="18"/>
              </w:rPr>
            </w:pPr>
          </w:p>
        </w:tc>
        <w:tc>
          <w:tcPr>
            <w:tcW w:w="453" w:type="pct"/>
            <w:tcBorders>
              <w:top w:val="single" w:sz="2" w:space="0" w:color="auto"/>
              <w:left w:val="single" w:sz="2" w:space="0" w:color="auto"/>
              <w:bottom w:val="single" w:sz="12" w:space="0" w:color="auto"/>
              <w:right w:val="single" w:sz="2" w:space="0" w:color="auto"/>
            </w:tcBorders>
            <w:shd w:val="clear" w:color="auto" w:fill="FFFFFF" w:themeFill="background1"/>
            <w:noWrap/>
            <w:vAlign w:val="center"/>
            <w:hideMark/>
          </w:tcPr>
          <w:p w14:paraId="6EDCF649" w14:textId="77777777" w:rsidR="00D71745" w:rsidRPr="007114AF" w:rsidRDefault="00D71745" w:rsidP="00D71745">
            <w:pPr>
              <w:spacing w:after="0" w:line="240" w:lineRule="auto"/>
              <w:rPr>
                <w:rFonts w:ascii="Garamond" w:hAnsi="Garamond"/>
                <w:sz w:val="18"/>
                <w:szCs w:val="18"/>
              </w:rPr>
            </w:pPr>
            <w:r w:rsidRPr="007114AF">
              <w:rPr>
                <w:rFonts w:ascii="Garamond" w:hAnsi="Garamond"/>
                <w:sz w:val="18"/>
                <w:szCs w:val="18"/>
              </w:rPr>
              <w:t>TOTAL</w:t>
            </w:r>
          </w:p>
        </w:tc>
        <w:tc>
          <w:tcPr>
            <w:tcW w:w="203" w:type="pct"/>
            <w:tcBorders>
              <w:top w:val="single" w:sz="2" w:space="0" w:color="auto"/>
              <w:left w:val="single" w:sz="2" w:space="0" w:color="auto"/>
              <w:bottom w:val="single" w:sz="12" w:space="0" w:color="auto"/>
              <w:right w:val="single" w:sz="2" w:space="0" w:color="auto"/>
            </w:tcBorders>
            <w:shd w:val="clear" w:color="auto" w:fill="FFFFFF" w:themeFill="background1"/>
            <w:noWrap/>
            <w:vAlign w:val="center"/>
            <w:hideMark/>
          </w:tcPr>
          <w:p w14:paraId="6EDCF64A" w14:textId="77777777" w:rsidR="00D71745" w:rsidRPr="007114AF" w:rsidRDefault="00D71745" w:rsidP="00D71745">
            <w:pPr>
              <w:spacing w:after="0" w:line="240" w:lineRule="auto"/>
              <w:rPr>
                <w:rFonts w:ascii="Garamond" w:hAnsi="Garamond"/>
                <w:sz w:val="18"/>
                <w:szCs w:val="18"/>
              </w:rPr>
            </w:pPr>
            <w:r w:rsidRPr="007114AF">
              <w:rPr>
                <w:rFonts w:ascii="Garamond" w:hAnsi="Garamond"/>
                <w:iCs/>
                <w:color w:val="000000"/>
                <w:sz w:val="18"/>
                <w:szCs w:val="18"/>
              </w:rPr>
              <w:t>7834</w:t>
            </w:r>
          </w:p>
        </w:tc>
        <w:tc>
          <w:tcPr>
            <w:tcW w:w="235" w:type="pct"/>
            <w:tcBorders>
              <w:top w:val="single" w:sz="2" w:space="0" w:color="auto"/>
              <w:left w:val="single" w:sz="2" w:space="0" w:color="auto"/>
              <w:bottom w:val="single" w:sz="12" w:space="0" w:color="auto"/>
              <w:right w:val="single" w:sz="2" w:space="0" w:color="auto"/>
            </w:tcBorders>
            <w:shd w:val="clear" w:color="auto" w:fill="FFFFFF" w:themeFill="background1"/>
            <w:noWrap/>
            <w:vAlign w:val="center"/>
            <w:hideMark/>
          </w:tcPr>
          <w:p w14:paraId="6EDCF64B" w14:textId="77777777" w:rsidR="00D71745" w:rsidRPr="007114AF" w:rsidRDefault="00D71745" w:rsidP="00D71745">
            <w:pPr>
              <w:spacing w:after="0" w:line="240" w:lineRule="auto"/>
              <w:rPr>
                <w:rFonts w:ascii="Garamond" w:hAnsi="Garamond"/>
                <w:sz w:val="18"/>
                <w:szCs w:val="18"/>
              </w:rPr>
            </w:pPr>
            <w:r w:rsidRPr="007114AF">
              <w:rPr>
                <w:rFonts w:ascii="Garamond" w:hAnsi="Garamond"/>
                <w:iCs/>
                <w:color w:val="000000"/>
                <w:sz w:val="18"/>
                <w:szCs w:val="18"/>
              </w:rPr>
              <w:t>10020</w:t>
            </w:r>
          </w:p>
        </w:tc>
        <w:tc>
          <w:tcPr>
            <w:tcW w:w="218" w:type="pct"/>
            <w:tcBorders>
              <w:top w:val="single" w:sz="2" w:space="0" w:color="auto"/>
              <w:left w:val="single" w:sz="2" w:space="0" w:color="auto"/>
              <w:bottom w:val="single" w:sz="12" w:space="0" w:color="auto"/>
              <w:right w:val="single" w:sz="2" w:space="0" w:color="auto"/>
            </w:tcBorders>
            <w:shd w:val="clear" w:color="auto" w:fill="FFFFFF" w:themeFill="background1"/>
            <w:noWrap/>
            <w:vAlign w:val="center"/>
            <w:hideMark/>
          </w:tcPr>
          <w:p w14:paraId="6EDCF64C" w14:textId="77777777" w:rsidR="00D71745" w:rsidRPr="007114AF" w:rsidRDefault="00D71745" w:rsidP="00D71745">
            <w:pPr>
              <w:spacing w:after="0" w:line="240" w:lineRule="auto"/>
              <w:rPr>
                <w:rFonts w:ascii="Garamond" w:hAnsi="Garamond"/>
                <w:sz w:val="18"/>
                <w:szCs w:val="18"/>
              </w:rPr>
            </w:pPr>
            <w:r w:rsidRPr="007114AF">
              <w:rPr>
                <w:rFonts w:ascii="Garamond" w:hAnsi="Garamond"/>
                <w:iCs/>
                <w:color w:val="000000"/>
                <w:sz w:val="18"/>
                <w:szCs w:val="18"/>
              </w:rPr>
              <w:t>6597</w:t>
            </w:r>
          </w:p>
        </w:tc>
        <w:tc>
          <w:tcPr>
            <w:tcW w:w="218" w:type="pct"/>
            <w:tcBorders>
              <w:top w:val="single" w:sz="2" w:space="0" w:color="auto"/>
              <w:left w:val="single" w:sz="2" w:space="0" w:color="auto"/>
              <w:bottom w:val="single" w:sz="12" w:space="0" w:color="auto"/>
              <w:right w:val="single" w:sz="2" w:space="0" w:color="auto"/>
            </w:tcBorders>
            <w:shd w:val="clear" w:color="auto" w:fill="FFFFFF" w:themeFill="background1"/>
            <w:noWrap/>
            <w:vAlign w:val="center"/>
            <w:hideMark/>
          </w:tcPr>
          <w:p w14:paraId="6EDCF64D" w14:textId="77777777" w:rsidR="00D71745" w:rsidRPr="007114AF" w:rsidRDefault="00D71745" w:rsidP="00D71745">
            <w:pPr>
              <w:spacing w:after="0" w:line="240" w:lineRule="auto"/>
              <w:rPr>
                <w:rFonts w:ascii="Garamond" w:hAnsi="Garamond"/>
                <w:sz w:val="18"/>
                <w:szCs w:val="18"/>
              </w:rPr>
            </w:pPr>
            <w:r w:rsidRPr="007114AF">
              <w:rPr>
                <w:rFonts w:ascii="Garamond" w:hAnsi="Garamond"/>
                <w:iCs/>
                <w:color w:val="000000"/>
                <w:sz w:val="18"/>
                <w:szCs w:val="18"/>
              </w:rPr>
              <w:t>6096</w:t>
            </w:r>
          </w:p>
        </w:tc>
        <w:tc>
          <w:tcPr>
            <w:tcW w:w="218" w:type="pct"/>
            <w:tcBorders>
              <w:top w:val="single" w:sz="2" w:space="0" w:color="auto"/>
              <w:left w:val="single" w:sz="2" w:space="0" w:color="auto"/>
              <w:bottom w:val="single" w:sz="12" w:space="0" w:color="auto"/>
              <w:right w:val="single" w:sz="2" w:space="0" w:color="auto"/>
            </w:tcBorders>
            <w:shd w:val="clear" w:color="auto" w:fill="FFFFFF" w:themeFill="background1"/>
            <w:noWrap/>
            <w:vAlign w:val="center"/>
            <w:hideMark/>
          </w:tcPr>
          <w:p w14:paraId="6EDCF64E" w14:textId="77777777" w:rsidR="00D71745" w:rsidRPr="007114AF" w:rsidRDefault="00D71745" w:rsidP="00D71745">
            <w:pPr>
              <w:spacing w:after="0" w:line="240" w:lineRule="auto"/>
              <w:rPr>
                <w:rFonts w:ascii="Garamond" w:hAnsi="Garamond"/>
                <w:sz w:val="18"/>
                <w:szCs w:val="18"/>
              </w:rPr>
            </w:pPr>
            <w:r w:rsidRPr="007114AF">
              <w:rPr>
                <w:rFonts w:ascii="Garamond" w:hAnsi="Garamond"/>
                <w:iCs/>
                <w:color w:val="000000"/>
                <w:sz w:val="18"/>
                <w:szCs w:val="18"/>
              </w:rPr>
              <w:t>6704</w:t>
            </w:r>
          </w:p>
        </w:tc>
        <w:tc>
          <w:tcPr>
            <w:tcW w:w="218" w:type="pct"/>
            <w:tcBorders>
              <w:top w:val="single" w:sz="2" w:space="0" w:color="auto"/>
              <w:left w:val="single" w:sz="2" w:space="0" w:color="auto"/>
              <w:bottom w:val="single" w:sz="12" w:space="0" w:color="auto"/>
              <w:right w:val="single" w:sz="2" w:space="0" w:color="auto"/>
            </w:tcBorders>
            <w:shd w:val="clear" w:color="auto" w:fill="FFFFFF" w:themeFill="background1"/>
            <w:noWrap/>
            <w:vAlign w:val="center"/>
            <w:hideMark/>
          </w:tcPr>
          <w:p w14:paraId="6EDCF64F" w14:textId="77777777" w:rsidR="00D71745" w:rsidRPr="007114AF" w:rsidRDefault="00D71745" w:rsidP="00D71745">
            <w:pPr>
              <w:spacing w:after="0" w:line="240" w:lineRule="auto"/>
              <w:rPr>
                <w:rFonts w:ascii="Garamond" w:hAnsi="Garamond"/>
                <w:sz w:val="18"/>
                <w:szCs w:val="18"/>
              </w:rPr>
            </w:pPr>
            <w:r w:rsidRPr="007114AF">
              <w:rPr>
                <w:rFonts w:ascii="Garamond" w:hAnsi="Garamond"/>
                <w:iCs/>
                <w:color w:val="000000"/>
                <w:sz w:val="18"/>
                <w:szCs w:val="18"/>
              </w:rPr>
              <w:t>6399</w:t>
            </w:r>
          </w:p>
        </w:tc>
        <w:tc>
          <w:tcPr>
            <w:tcW w:w="218" w:type="pct"/>
            <w:tcBorders>
              <w:top w:val="single" w:sz="2" w:space="0" w:color="auto"/>
              <w:left w:val="single" w:sz="2" w:space="0" w:color="auto"/>
              <w:bottom w:val="single" w:sz="12" w:space="0" w:color="auto"/>
              <w:right w:val="single" w:sz="2" w:space="0" w:color="auto"/>
            </w:tcBorders>
            <w:shd w:val="clear" w:color="auto" w:fill="FFFFFF" w:themeFill="background1"/>
            <w:noWrap/>
            <w:vAlign w:val="center"/>
            <w:hideMark/>
          </w:tcPr>
          <w:p w14:paraId="6EDCF650" w14:textId="77777777" w:rsidR="00D71745" w:rsidRPr="007114AF" w:rsidRDefault="00D71745" w:rsidP="00D71745">
            <w:pPr>
              <w:spacing w:after="0" w:line="240" w:lineRule="auto"/>
              <w:rPr>
                <w:rFonts w:ascii="Garamond" w:hAnsi="Garamond"/>
                <w:sz w:val="18"/>
                <w:szCs w:val="18"/>
              </w:rPr>
            </w:pPr>
            <w:r w:rsidRPr="007114AF">
              <w:rPr>
                <w:rFonts w:ascii="Garamond" w:hAnsi="Garamond"/>
                <w:iCs/>
                <w:color w:val="000000"/>
                <w:sz w:val="18"/>
                <w:szCs w:val="18"/>
              </w:rPr>
              <w:t>6443</w:t>
            </w:r>
          </w:p>
        </w:tc>
        <w:tc>
          <w:tcPr>
            <w:tcW w:w="218" w:type="pct"/>
            <w:tcBorders>
              <w:top w:val="single" w:sz="2" w:space="0" w:color="auto"/>
              <w:left w:val="single" w:sz="2" w:space="0" w:color="auto"/>
              <w:bottom w:val="single" w:sz="12" w:space="0" w:color="auto"/>
              <w:right w:val="single" w:sz="2" w:space="0" w:color="auto"/>
            </w:tcBorders>
            <w:shd w:val="clear" w:color="auto" w:fill="FFFFFF" w:themeFill="background1"/>
            <w:noWrap/>
            <w:vAlign w:val="center"/>
            <w:hideMark/>
          </w:tcPr>
          <w:p w14:paraId="6EDCF651" w14:textId="77777777" w:rsidR="00D71745" w:rsidRPr="007114AF" w:rsidRDefault="00D71745" w:rsidP="00D71745">
            <w:pPr>
              <w:spacing w:after="0" w:line="240" w:lineRule="auto"/>
              <w:rPr>
                <w:rFonts w:ascii="Garamond" w:hAnsi="Garamond"/>
                <w:sz w:val="18"/>
                <w:szCs w:val="18"/>
              </w:rPr>
            </w:pPr>
            <w:r w:rsidRPr="007114AF">
              <w:rPr>
                <w:rFonts w:ascii="Garamond" w:hAnsi="Garamond"/>
                <w:iCs/>
                <w:color w:val="000000"/>
                <w:sz w:val="18"/>
                <w:szCs w:val="18"/>
              </w:rPr>
              <w:t>6426</w:t>
            </w:r>
          </w:p>
        </w:tc>
        <w:tc>
          <w:tcPr>
            <w:tcW w:w="218" w:type="pct"/>
            <w:tcBorders>
              <w:top w:val="single" w:sz="2" w:space="0" w:color="auto"/>
              <w:left w:val="single" w:sz="2" w:space="0" w:color="auto"/>
              <w:bottom w:val="single" w:sz="12" w:space="0" w:color="auto"/>
              <w:right w:val="single" w:sz="2" w:space="0" w:color="auto"/>
            </w:tcBorders>
            <w:shd w:val="clear" w:color="auto" w:fill="FFFFFF" w:themeFill="background1"/>
            <w:noWrap/>
            <w:vAlign w:val="center"/>
            <w:hideMark/>
          </w:tcPr>
          <w:p w14:paraId="6EDCF652" w14:textId="77777777" w:rsidR="00D71745" w:rsidRPr="007114AF" w:rsidRDefault="00D71745" w:rsidP="00D71745">
            <w:pPr>
              <w:spacing w:after="0" w:line="240" w:lineRule="auto"/>
              <w:rPr>
                <w:rFonts w:ascii="Garamond" w:hAnsi="Garamond"/>
                <w:sz w:val="18"/>
                <w:szCs w:val="18"/>
              </w:rPr>
            </w:pPr>
            <w:r w:rsidRPr="007114AF">
              <w:rPr>
                <w:rFonts w:ascii="Garamond" w:hAnsi="Garamond"/>
                <w:iCs/>
                <w:color w:val="000000"/>
                <w:sz w:val="18"/>
                <w:szCs w:val="18"/>
              </w:rPr>
              <w:t>6929</w:t>
            </w:r>
          </w:p>
        </w:tc>
        <w:tc>
          <w:tcPr>
            <w:tcW w:w="218" w:type="pct"/>
            <w:tcBorders>
              <w:top w:val="single" w:sz="2" w:space="0" w:color="auto"/>
              <w:left w:val="single" w:sz="2" w:space="0" w:color="auto"/>
              <w:bottom w:val="single" w:sz="12" w:space="0" w:color="auto"/>
              <w:right w:val="single" w:sz="2" w:space="0" w:color="auto"/>
            </w:tcBorders>
            <w:shd w:val="clear" w:color="auto" w:fill="FFFFFF" w:themeFill="background1"/>
            <w:noWrap/>
            <w:vAlign w:val="center"/>
            <w:hideMark/>
          </w:tcPr>
          <w:p w14:paraId="6EDCF653" w14:textId="77777777" w:rsidR="00D71745" w:rsidRPr="007114AF" w:rsidRDefault="00D71745" w:rsidP="00D71745">
            <w:pPr>
              <w:spacing w:after="0" w:line="240" w:lineRule="auto"/>
              <w:rPr>
                <w:rFonts w:ascii="Garamond" w:hAnsi="Garamond"/>
                <w:sz w:val="18"/>
                <w:szCs w:val="18"/>
              </w:rPr>
            </w:pPr>
            <w:r w:rsidRPr="007114AF">
              <w:rPr>
                <w:rFonts w:ascii="Garamond" w:hAnsi="Garamond"/>
                <w:iCs/>
                <w:color w:val="000000"/>
                <w:sz w:val="18"/>
                <w:szCs w:val="18"/>
              </w:rPr>
              <w:t>7214</w:t>
            </w:r>
          </w:p>
        </w:tc>
        <w:tc>
          <w:tcPr>
            <w:tcW w:w="237" w:type="pct"/>
            <w:tcBorders>
              <w:top w:val="single" w:sz="2" w:space="0" w:color="auto"/>
              <w:left w:val="single" w:sz="2" w:space="0" w:color="auto"/>
              <w:bottom w:val="single" w:sz="12" w:space="0" w:color="auto"/>
              <w:right w:val="single" w:sz="2" w:space="0" w:color="auto"/>
            </w:tcBorders>
            <w:shd w:val="clear" w:color="auto" w:fill="FFFFFF" w:themeFill="background1"/>
            <w:noWrap/>
            <w:vAlign w:val="center"/>
            <w:hideMark/>
          </w:tcPr>
          <w:p w14:paraId="6EDCF654" w14:textId="77777777" w:rsidR="00D71745" w:rsidRPr="007114AF" w:rsidRDefault="00D71745" w:rsidP="00D71745">
            <w:pPr>
              <w:spacing w:after="0" w:line="240" w:lineRule="auto"/>
              <w:rPr>
                <w:rFonts w:ascii="Garamond" w:hAnsi="Garamond"/>
                <w:sz w:val="18"/>
                <w:szCs w:val="18"/>
              </w:rPr>
            </w:pPr>
            <w:r w:rsidRPr="007114AF">
              <w:rPr>
                <w:rFonts w:ascii="Garamond" w:hAnsi="Garamond"/>
                <w:iCs/>
                <w:color w:val="000000"/>
                <w:sz w:val="18"/>
                <w:szCs w:val="18"/>
              </w:rPr>
              <w:t>7620</w:t>
            </w:r>
          </w:p>
        </w:tc>
        <w:tc>
          <w:tcPr>
            <w:tcW w:w="200" w:type="pct"/>
            <w:tcBorders>
              <w:top w:val="single" w:sz="2" w:space="0" w:color="auto"/>
              <w:left w:val="single" w:sz="2" w:space="0" w:color="auto"/>
              <w:bottom w:val="single" w:sz="12" w:space="0" w:color="auto"/>
              <w:right w:val="single" w:sz="2" w:space="0" w:color="auto"/>
            </w:tcBorders>
            <w:shd w:val="clear" w:color="auto" w:fill="FFFFFF" w:themeFill="background1"/>
            <w:noWrap/>
            <w:vAlign w:val="center"/>
            <w:hideMark/>
          </w:tcPr>
          <w:p w14:paraId="6EDCF655"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w:t>
            </w:r>
          </w:p>
        </w:tc>
        <w:tc>
          <w:tcPr>
            <w:tcW w:w="218" w:type="pct"/>
            <w:tcBorders>
              <w:top w:val="single" w:sz="2" w:space="0" w:color="auto"/>
              <w:left w:val="single" w:sz="2" w:space="0" w:color="auto"/>
              <w:bottom w:val="single" w:sz="12" w:space="0" w:color="auto"/>
              <w:right w:val="single" w:sz="2" w:space="0" w:color="auto"/>
            </w:tcBorders>
            <w:shd w:val="clear" w:color="auto" w:fill="FFFFFF" w:themeFill="background1"/>
            <w:noWrap/>
            <w:vAlign w:val="center"/>
            <w:hideMark/>
          </w:tcPr>
          <w:p w14:paraId="6EDCF656"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w:t>
            </w:r>
          </w:p>
        </w:tc>
        <w:tc>
          <w:tcPr>
            <w:tcW w:w="218" w:type="pct"/>
            <w:tcBorders>
              <w:top w:val="single" w:sz="2" w:space="0" w:color="auto"/>
              <w:left w:val="single" w:sz="2" w:space="0" w:color="auto"/>
              <w:bottom w:val="single" w:sz="12" w:space="0" w:color="auto"/>
              <w:right w:val="single" w:sz="2" w:space="0" w:color="auto"/>
            </w:tcBorders>
            <w:shd w:val="clear" w:color="auto" w:fill="FFFFFF" w:themeFill="background1"/>
            <w:noWrap/>
            <w:vAlign w:val="center"/>
            <w:hideMark/>
          </w:tcPr>
          <w:p w14:paraId="6EDCF657"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w:t>
            </w:r>
          </w:p>
        </w:tc>
        <w:tc>
          <w:tcPr>
            <w:tcW w:w="218" w:type="pct"/>
            <w:tcBorders>
              <w:top w:val="single" w:sz="2" w:space="0" w:color="auto"/>
              <w:left w:val="single" w:sz="2" w:space="0" w:color="auto"/>
              <w:bottom w:val="single" w:sz="12" w:space="0" w:color="auto"/>
              <w:right w:val="single" w:sz="2" w:space="0" w:color="auto"/>
            </w:tcBorders>
            <w:shd w:val="clear" w:color="auto" w:fill="FFFFFF" w:themeFill="background1"/>
            <w:noWrap/>
            <w:vAlign w:val="center"/>
            <w:hideMark/>
          </w:tcPr>
          <w:p w14:paraId="6EDCF658"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w:t>
            </w:r>
          </w:p>
        </w:tc>
        <w:tc>
          <w:tcPr>
            <w:tcW w:w="218" w:type="pct"/>
            <w:tcBorders>
              <w:top w:val="single" w:sz="2" w:space="0" w:color="auto"/>
              <w:left w:val="single" w:sz="2" w:space="0" w:color="auto"/>
              <w:bottom w:val="single" w:sz="12" w:space="0" w:color="auto"/>
              <w:right w:val="single" w:sz="2" w:space="0" w:color="auto"/>
            </w:tcBorders>
            <w:shd w:val="clear" w:color="auto" w:fill="FFFFFF" w:themeFill="background1"/>
            <w:noWrap/>
            <w:vAlign w:val="center"/>
            <w:hideMark/>
          </w:tcPr>
          <w:p w14:paraId="6EDCF659"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w:t>
            </w:r>
          </w:p>
        </w:tc>
        <w:tc>
          <w:tcPr>
            <w:tcW w:w="218" w:type="pct"/>
            <w:tcBorders>
              <w:top w:val="single" w:sz="2" w:space="0" w:color="auto"/>
              <w:left w:val="single" w:sz="2" w:space="0" w:color="auto"/>
              <w:bottom w:val="single" w:sz="12" w:space="0" w:color="auto"/>
              <w:right w:val="single" w:sz="2" w:space="0" w:color="auto"/>
            </w:tcBorders>
            <w:shd w:val="clear" w:color="auto" w:fill="FFFFFF" w:themeFill="background1"/>
            <w:noWrap/>
            <w:vAlign w:val="center"/>
            <w:hideMark/>
          </w:tcPr>
          <w:p w14:paraId="6EDCF65A"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w:t>
            </w:r>
          </w:p>
        </w:tc>
        <w:tc>
          <w:tcPr>
            <w:tcW w:w="218" w:type="pct"/>
            <w:tcBorders>
              <w:top w:val="single" w:sz="2" w:space="0" w:color="auto"/>
              <w:left w:val="single" w:sz="2" w:space="0" w:color="auto"/>
              <w:bottom w:val="single" w:sz="12" w:space="0" w:color="auto"/>
              <w:right w:val="single" w:sz="2" w:space="0" w:color="auto"/>
            </w:tcBorders>
            <w:shd w:val="clear" w:color="auto" w:fill="FFFFFF" w:themeFill="background1"/>
            <w:noWrap/>
            <w:vAlign w:val="center"/>
            <w:hideMark/>
          </w:tcPr>
          <w:p w14:paraId="6EDCF65B"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w:t>
            </w:r>
          </w:p>
        </w:tc>
        <w:tc>
          <w:tcPr>
            <w:tcW w:w="218" w:type="pct"/>
            <w:tcBorders>
              <w:top w:val="single" w:sz="2" w:space="0" w:color="auto"/>
              <w:left w:val="single" w:sz="2" w:space="0" w:color="auto"/>
              <w:bottom w:val="single" w:sz="12" w:space="0" w:color="auto"/>
              <w:right w:val="single" w:sz="2" w:space="0" w:color="auto"/>
            </w:tcBorders>
            <w:shd w:val="clear" w:color="auto" w:fill="FFFFFF" w:themeFill="background1"/>
            <w:noWrap/>
            <w:vAlign w:val="center"/>
            <w:hideMark/>
          </w:tcPr>
          <w:p w14:paraId="6EDCF65C"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w:t>
            </w:r>
          </w:p>
        </w:tc>
        <w:tc>
          <w:tcPr>
            <w:tcW w:w="212" w:type="pct"/>
            <w:tcBorders>
              <w:top w:val="single" w:sz="2" w:space="0" w:color="auto"/>
              <w:left w:val="single" w:sz="2" w:space="0" w:color="auto"/>
              <w:bottom w:val="single" w:sz="12" w:space="0" w:color="auto"/>
              <w:right w:val="single" w:sz="12" w:space="0" w:color="auto"/>
            </w:tcBorders>
            <w:shd w:val="clear" w:color="auto" w:fill="FFFFFF" w:themeFill="background1"/>
            <w:noWrap/>
            <w:vAlign w:val="center"/>
            <w:hideMark/>
          </w:tcPr>
          <w:p w14:paraId="6EDCF65D"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w:t>
            </w:r>
          </w:p>
        </w:tc>
      </w:tr>
      <w:tr w:rsidR="00D71745" w:rsidRPr="007114AF" w14:paraId="6EDCF675" w14:textId="77777777" w:rsidTr="00A9766F">
        <w:trPr>
          <w:trHeight w:hRule="exact" w:val="301"/>
        </w:trPr>
        <w:tc>
          <w:tcPr>
            <w:tcW w:w="190" w:type="pct"/>
            <w:vMerge w:val="restart"/>
            <w:tcBorders>
              <w:top w:val="single" w:sz="12" w:space="0" w:color="auto"/>
              <w:left w:val="single" w:sz="12" w:space="0" w:color="auto"/>
              <w:bottom w:val="single" w:sz="12" w:space="0" w:color="auto"/>
              <w:right w:val="single" w:sz="2" w:space="0" w:color="auto"/>
            </w:tcBorders>
            <w:shd w:val="clear" w:color="auto" w:fill="FFFFFF" w:themeFill="background1"/>
            <w:noWrap/>
            <w:textDirection w:val="btLr"/>
            <w:vAlign w:val="center"/>
            <w:hideMark/>
          </w:tcPr>
          <w:p w14:paraId="6EDCF65F" w14:textId="77777777" w:rsidR="00D71745" w:rsidRPr="007114AF" w:rsidRDefault="00D71745" w:rsidP="00D71745">
            <w:pPr>
              <w:spacing w:after="0" w:line="240" w:lineRule="auto"/>
              <w:rPr>
                <w:rFonts w:ascii="Garamond" w:hAnsi="Garamond"/>
                <w:sz w:val="18"/>
                <w:szCs w:val="18"/>
              </w:rPr>
            </w:pPr>
            <w:r w:rsidRPr="007114AF">
              <w:rPr>
                <w:rFonts w:ascii="Garamond" w:hAnsi="Garamond"/>
                <w:sz w:val="18"/>
                <w:szCs w:val="18"/>
              </w:rPr>
              <w:t>KTK</w:t>
            </w:r>
          </w:p>
        </w:tc>
        <w:tc>
          <w:tcPr>
            <w:tcW w:w="453" w:type="pct"/>
            <w:tcBorders>
              <w:top w:val="single" w:sz="12" w:space="0" w:color="auto"/>
              <w:left w:val="single" w:sz="2" w:space="0" w:color="auto"/>
              <w:bottom w:val="single" w:sz="2" w:space="0" w:color="auto"/>
              <w:right w:val="single" w:sz="2" w:space="0" w:color="auto"/>
            </w:tcBorders>
            <w:shd w:val="clear" w:color="auto" w:fill="FFFFFF" w:themeFill="background1"/>
            <w:noWrap/>
            <w:vAlign w:val="center"/>
            <w:hideMark/>
          </w:tcPr>
          <w:p w14:paraId="6EDCF660" w14:textId="77777777" w:rsidR="00D71745" w:rsidRPr="007114AF" w:rsidRDefault="00D71745" w:rsidP="00D71745">
            <w:pPr>
              <w:spacing w:after="0" w:line="240" w:lineRule="auto"/>
              <w:rPr>
                <w:rFonts w:ascii="Garamond" w:hAnsi="Garamond"/>
                <w:sz w:val="18"/>
                <w:szCs w:val="18"/>
              </w:rPr>
            </w:pPr>
            <w:r w:rsidRPr="007114AF">
              <w:rPr>
                <w:rFonts w:ascii="Garamond" w:hAnsi="Garamond"/>
                <w:sz w:val="18"/>
                <w:szCs w:val="18"/>
              </w:rPr>
              <w:t>Energji</w:t>
            </w:r>
          </w:p>
        </w:tc>
        <w:tc>
          <w:tcPr>
            <w:tcW w:w="203" w:type="pct"/>
            <w:tcBorders>
              <w:top w:val="single" w:sz="12" w:space="0" w:color="auto"/>
              <w:left w:val="single" w:sz="2" w:space="0" w:color="auto"/>
              <w:bottom w:val="single" w:sz="2" w:space="0" w:color="auto"/>
              <w:right w:val="single" w:sz="2" w:space="0" w:color="auto"/>
            </w:tcBorders>
            <w:shd w:val="clear" w:color="auto" w:fill="FFFFFF" w:themeFill="background1"/>
            <w:noWrap/>
            <w:vAlign w:val="center"/>
            <w:hideMark/>
          </w:tcPr>
          <w:p w14:paraId="6EDCF661"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w:t>
            </w:r>
          </w:p>
        </w:tc>
        <w:tc>
          <w:tcPr>
            <w:tcW w:w="235" w:type="pct"/>
            <w:tcBorders>
              <w:top w:val="single" w:sz="12" w:space="0" w:color="auto"/>
              <w:left w:val="single" w:sz="2" w:space="0" w:color="auto"/>
              <w:bottom w:val="single" w:sz="2" w:space="0" w:color="auto"/>
              <w:right w:val="single" w:sz="2" w:space="0" w:color="auto"/>
            </w:tcBorders>
            <w:shd w:val="clear" w:color="auto" w:fill="FFFFFF" w:themeFill="background1"/>
            <w:noWrap/>
            <w:vAlign w:val="center"/>
            <w:hideMark/>
          </w:tcPr>
          <w:p w14:paraId="6EDCF662"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w:t>
            </w:r>
          </w:p>
        </w:tc>
        <w:tc>
          <w:tcPr>
            <w:tcW w:w="218" w:type="pct"/>
            <w:tcBorders>
              <w:top w:val="single" w:sz="12" w:space="0" w:color="auto"/>
              <w:left w:val="single" w:sz="2" w:space="0" w:color="auto"/>
              <w:bottom w:val="single" w:sz="2" w:space="0" w:color="auto"/>
              <w:right w:val="single" w:sz="2" w:space="0" w:color="auto"/>
            </w:tcBorders>
            <w:shd w:val="clear" w:color="auto" w:fill="FFFFFF" w:themeFill="background1"/>
            <w:noWrap/>
            <w:vAlign w:val="center"/>
            <w:hideMark/>
          </w:tcPr>
          <w:p w14:paraId="6EDCF663"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w:t>
            </w:r>
          </w:p>
        </w:tc>
        <w:tc>
          <w:tcPr>
            <w:tcW w:w="218" w:type="pct"/>
            <w:tcBorders>
              <w:top w:val="single" w:sz="12" w:space="0" w:color="auto"/>
              <w:left w:val="single" w:sz="2" w:space="0" w:color="auto"/>
              <w:bottom w:val="single" w:sz="2" w:space="0" w:color="auto"/>
              <w:right w:val="single" w:sz="2" w:space="0" w:color="auto"/>
            </w:tcBorders>
            <w:shd w:val="clear" w:color="auto" w:fill="FFFFFF" w:themeFill="background1"/>
            <w:noWrap/>
            <w:vAlign w:val="center"/>
            <w:hideMark/>
          </w:tcPr>
          <w:p w14:paraId="6EDCF664"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w:t>
            </w:r>
          </w:p>
        </w:tc>
        <w:tc>
          <w:tcPr>
            <w:tcW w:w="218" w:type="pct"/>
            <w:tcBorders>
              <w:top w:val="single" w:sz="12" w:space="0" w:color="auto"/>
              <w:left w:val="single" w:sz="2" w:space="0" w:color="auto"/>
              <w:bottom w:val="single" w:sz="2" w:space="0" w:color="auto"/>
              <w:right w:val="single" w:sz="2" w:space="0" w:color="auto"/>
            </w:tcBorders>
            <w:shd w:val="clear" w:color="auto" w:fill="FFFFFF" w:themeFill="background1"/>
            <w:noWrap/>
            <w:vAlign w:val="center"/>
            <w:hideMark/>
          </w:tcPr>
          <w:p w14:paraId="6EDCF665"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w:t>
            </w:r>
          </w:p>
        </w:tc>
        <w:tc>
          <w:tcPr>
            <w:tcW w:w="218" w:type="pct"/>
            <w:tcBorders>
              <w:top w:val="single" w:sz="12" w:space="0" w:color="auto"/>
              <w:left w:val="single" w:sz="2" w:space="0" w:color="auto"/>
              <w:bottom w:val="single" w:sz="2" w:space="0" w:color="auto"/>
              <w:right w:val="single" w:sz="2" w:space="0" w:color="auto"/>
            </w:tcBorders>
            <w:shd w:val="clear" w:color="auto" w:fill="FFFFFF" w:themeFill="background1"/>
            <w:noWrap/>
            <w:vAlign w:val="center"/>
            <w:hideMark/>
          </w:tcPr>
          <w:p w14:paraId="6EDCF666"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w:t>
            </w:r>
          </w:p>
        </w:tc>
        <w:tc>
          <w:tcPr>
            <w:tcW w:w="218" w:type="pct"/>
            <w:tcBorders>
              <w:top w:val="single" w:sz="12" w:space="0" w:color="auto"/>
              <w:left w:val="single" w:sz="2" w:space="0" w:color="auto"/>
              <w:bottom w:val="single" w:sz="2" w:space="0" w:color="auto"/>
              <w:right w:val="single" w:sz="2" w:space="0" w:color="auto"/>
            </w:tcBorders>
            <w:shd w:val="clear" w:color="auto" w:fill="FFFFFF" w:themeFill="background1"/>
            <w:noWrap/>
            <w:vAlign w:val="center"/>
            <w:hideMark/>
          </w:tcPr>
          <w:p w14:paraId="6EDCF667"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w:t>
            </w:r>
          </w:p>
        </w:tc>
        <w:tc>
          <w:tcPr>
            <w:tcW w:w="218" w:type="pct"/>
            <w:tcBorders>
              <w:top w:val="single" w:sz="12" w:space="0" w:color="auto"/>
              <w:left w:val="single" w:sz="2" w:space="0" w:color="auto"/>
              <w:bottom w:val="single" w:sz="2" w:space="0" w:color="auto"/>
              <w:right w:val="single" w:sz="2" w:space="0" w:color="auto"/>
            </w:tcBorders>
            <w:shd w:val="clear" w:color="auto" w:fill="FFFFFF" w:themeFill="background1"/>
            <w:noWrap/>
            <w:vAlign w:val="center"/>
            <w:hideMark/>
          </w:tcPr>
          <w:p w14:paraId="6EDCF668"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w:t>
            </w:r>
          </w:p>
        </w:tc>
        <w:tc>
          <w:tcPr>
            <w:tcW w:w="218" w:type="pct"/>
            <w:tcBorders>
              <w:top w:val="single" w:sz="12" w:space="0" w:color="auto"/>
              <w:left w:val="single" w:sz="2" w:space="0" w:color="auto"/>
              <w:bottom w:val="single" w:sz="2" w:space="0" w:color="auto"/>
              <w:right w:val="single" w:sz="2" w:space="0" w:color="auto"/>
            </w:tcBorders>
            <w:shd w:val="clear" w:color="auto" w:fill="FFFFFF" w:themeFill="background1"/>
            <w:noWrap/>
            <w:vAlign w:val="center"/>
            <w:hideMark/>
          </w:tcPr>
          <w:p w14:paraId="6EDCF669"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w:t>
            </w:r>
          </w:p>
        </w:tc>
        <w:tc>
          <w:tcPr>
            <w:tcW w:w="218" w:type="pct"/>
            <w:tcBorders>
              <w:top w:val="single" w:sz="12" w:space="0" w:color="auto"/>
              <w:left w:val="single" w:sz="2" w:space="0" w:color="auto"/>
              <w:bottom w:val="single" w:sz="2" w:space="0" w:color="auto"/>
              <w:right w:val="single" w:sz="2" w:space="0" w:color="auto"/>
            </w:tcBorders>
            <w:shd w:val="clear" w:color="auto" w:fill="FFFFFF" w:themeFill="background1"/>
            <w:noWrap/>
            <w:vAlign w:val="center"/>
            <w:hideMark/>
          </w:tcPr>
          <w:p w14:paraId="6EDCF66A"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w:t>
            </w:r>
          </w:p>
        </w:tc>
        <w:tc>
          <w:tcPr>
            <w:tcW w:w="237" w:type="pct"/>
            <w:tcBorders>
              <w:top w:val="single" w:sz="12" w:space="0" w:color="auto"/>
              <w:left w:val="single" w:sz="2" w:space="0" w:color="auto"/>
              <w:bottom w:val="single" w:sz="2" w:space="0" w:color="auto"/>
              <w:right w:val="single" w:sz="2" w:space="0" w:color="auto"/>
            </w:tcBorders>
            <w:shd w:val="clear" w:color="auto" w:fill="FFFFFF" w:themeFill="background1"/>
            <w:noWrap/>
            <w:vAlign w:val="center"/>
            <w:hideMark/>
          </w:tcPr>
          <w:p w14:paraId="6EDCF66B"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4117</w:t>
            </w:r>
          </w:p>
        </w:tc>
        <w:tc>
          <w:tcPr>
            <w:tcW w:w="200" w:type="pct"/>
            <w:tcBorders>
              <w:top w:val="single" w:sz="12" w:space="0" w:color="auto"/>
              <w:left w:val="single" w:sz="2" w:space="0" w:color="auto"/>
              <w:bottom w:val="single" w:sz="2" w:space="0" w:color="auto"/>
              <w:right w:val="single" w:sz="2" w:space="0" w:color="auto"/>
            </w:tcBorders>
            <w:shd w:val="clear" w:color="auto" w:fill="FFFFFF" w:themeFill="background1"/>
            <w:noWrap/>
            <w:vAlign w:val="center"/>
            <w:hideMark/>
          </w:tcPr>
          <w:p w14:paraId="6EDCF66C"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4152</w:t>
            </w:r>
          </w:p>
        </w:tc>
        <w:tc>
          <w:tcPr>
            <w:tcW w:w="218" w:type="pct"/>
            <w:tcBorders>
              <w:top w:val="single" w:sz="12" w:space="0" w:color="auto"/>
              <w:left w:val="single" w:sz="2" w:space="0" w:color="auto"/>
              <w:bottom w:val="single" w:sz="2" w:space="0" w:color="auto"/>
              <w:right w:val="single" w:sz="2" w:space="0" w:color="auto"/>
            </w:tcBorders>
            <w:shd w:val="clear" w:color="auto" w:fill="FFFFFF" w:themeFill="background1"/>
            <w:noWrap/>
            <w:vAlign w:val="center"/>
            <w:hideMark/>
          </w:tcPr>
          <w:p w14:paraId="6EDCF66D"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4274</w:t>
            </w:r>
          </w:p>
        </w:tc>
        <w:tc>
          <w:tcPr>
            <w:tcW w:w="218" w:type="pct"/>
            <w:tcBorders>
              <w:top w:val="single" w:sz="12" w:space="0" w:color="auto"/>
              <w:left w:val="single" w:sz="2" w:space="0" w:color="auto"/>
              <w:bottom w:val="single" w:sz="2" w:space="0" w:color="auto"/>
              <w:right w:val="single" w:sz="2" w:space="0" w:color="auto"/>
            </w:tcBorders>
            <w:shd w:val="clear" w:color="auto" w:fill="FFFFFF" w:themeFill="background1"/>
            <w:noWrap/>
            <w:vAlign w:val="center"/>
            <w:hideMark/>
          </w:tcPr>
          <w:p w14:paraId="6EDCF66E"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4447</w:t>
            </w:r>
          </w:p>
        </w:tc>
        <w:tc>
          <w:tcPr>
            <w:tcW w:w="218" w:type="pct"/>
            <w:tcBorders>
              <w:top w:val="single" w:sz="12" w:space="0" w:color="auto"/>
              <w:left w:val="single" w:sz="2" w:space="0" w:color="auto"/>
              <w:bottom w:val="single" w:sz="2" w:space="0" w:color="auto"/>
              <w:right w:val="single" w:sz="2" w:space="0" w:color="auto"/>
            </w:tcBorders>
            <w:shd w:val="clear" w:color="auto" w:fill="FFFFFF" w:themeFill="background1"/>
            <w:noWrap/>
            <w:vAlign w:val="center"/>
            <w:hideMark/>
          </w:tcPr>
          <w:p w14:paraId="6EDCF66F"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4698</w:t>
            </w:r>
          </w:p>
        </w:tc>
        <w:tc>
          <w:tcPr>
            <w:tcW w:w="218" w:type="pct"/>
            <w:tcBorders>
              <w:top w:val="single" w:sz="12" w:space="0" w:color="auto"/>
              <w:left w:val="single" w:sz="2" w:space="0" w:color="auto"/>
              <w:bottom w:val="single" w:sz="2" w:space="0" w:color="auto"/>
              <w:right w:val="single" w:sz="2" w:space="0" w:color="auto"/>
            </w:tcBorders>
            <w:shd w:val="clear" w:color="auto" w:fill="FFFFFF" w:themeFill="background1"/>
            <w:noWrap/>
            <w:vAlign w:val="center"/>
            <w:hideMark/>
          </w:tcPr>
          <w:p w14:paraId="6EDCF670"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4633</w:t>
            </w:r>
          </w:p>
        </w:tc>
        <w:tc>
          <w:tcPr>
            <w:tcW w:w="218" w:type="pct"/>
            <w:tcBorders>
              <w:top w:val="single" w:sz="12" w:space="0" w:color="auto"/>
              <w:left w:val="single" w:sz="2" w:space="0" w:color="auto"/>
              <w:bottom w:val="single" w:sz="2" w:space="0" w:color="auto"/>
              <w:right w:val="single" w:sz="2" w:space="0" w:color="auto"/>
            </w:tcBorders>
            <w:shd w:val="clear" w:color="auto" w:fill="FFFFFF" w:themeFill="background1"/>
            <w:noWrap/>
            <w:vAlign w:val="center"/>
            <w:hideMark/>
          </w:tcPr>
          <w:p w14:paraId="6EDCF671"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4671</w:t>
            </w:r>
          </w:p>
        </w:tc>
        <w:tc>
          <w:tcPr>
            <w:tcW w:w="218" w:type="pct"/>
            <w:tcBorders>
              <w:top w:val="single" w:sz="12" w:space="0" w:color="auto"/>
              <w:left w:val="single" w:sz="2" w:space="0" w:color="auto"/>
              <w:bottom w:val="single" w:sz="2" w:space="0" w:color="auto"/>
              <w:right w:val="single" w:sz="2" w:space="0" w:color="auto"/>
            </w:tcBorders>
            <w:shd w:val="clear" w:color="auto" w:fill="FFFFFF" w:themeFill="background1"/>
            <w:noWrap/>
            <w:vAlign w:val="center"/>
            <w:hideMark/>
          </w:tcPr>
          <w:p w14:paraId="6EDCF672"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4722</w:t>
            </w:r>
          </w:p>
        </w:tc>
        <w:tc>
          <w:tcPr>
            <w:tcW w:w="218" w:type="pct"/>
            <w:tcBorders>
              <w:top w:val="single" w:sz="12" w:space="0" w:color="auto"/>
              <w:left w:val="single" w:sz="2" w:space="0" w:color="auto"/>
              <w:bottom w:val="single" w:sz="2" w:space="0" w:color="auto"/>
              <w:right w:val="single" w:sz="2" w:space="0" w:color="auto"/>
            </w:tcBorders>
            <w:shd w:val="clear" w:color="auto" w:fill="FFFFFF" w:themeFill="background1"/>
            <w:noWrap/>
            <w:vAlign w:val="center"/>
            <w:hideMark/>
          </w:tcPr>
          <w:p w14:paraId="6EDCF673"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4779</w:t>
            </w:r>
          </w:p>
        </w:tc>
        <w:tc>
          <w:tcPr>
            <w:tcW w:w="212" w:type="pct"/>
            <w:tcBorders>
              <w:top w:val="single" w:sz="12" w:space="0" w:color="auto"/>
              <w:left w:val="single" w:sz="2" w:space="0" w:color="auto"/>
              <w:bottom w:val="single" w:sz="2" w:space="0" w:color="auto"/>
              <w:right w:val="single" w:sz="12" w:space="0" w:color="auto"/>
            </w:tcBorders>
            <w:shd w:val="clear" w:color="auto" w:fill="FFFFFF" w:themeFill="background1"/>
            <w:noWrap/>
            <w:vAlign w:val="center"/>
            <w:hideMark/>
          </w:tcPr>
          <w:p w14:paraId="6EDCF674"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5116</w:t>
            </w:r>
          </w:p>
        </w:tc>
      </w:tr>
      <w:tr w:rsidR="00D71745" w:rsidRPr="007114AF" w14:paraId="6EDCF68C" w14:textId="77777777" w:rsidTr="00A9766F">
        <w:trPr>
          <w:trHeight w:hRule="exact" w:val="301"/>
        </w:trPr>
        <w:tc>
          <w:tcPr>
            <w:tcW w:w="190" w:type="pct"/>
            <w:vMerge/>
            <w:tcBorders>
              <w:top w:val="single" w:sz="12" w:space="0" w:color="auto"/>
              <w:left w:val="single" w:sz="12" w:space="0" w:color="auto"/>
              <w:bottom w:val="single" w:sz="12" w:space="0" w:color="auto"/>
              <w:right w:val="single" w:sz="2" w:space="0" w:color="auto"/>
            </w:tcBorders>
            <w:shd w:val="clear" w:color="auto" w:fill="FFFFFF" w:themeFill="background1"/>
            <w:vAlign w:val="center"/>
            <w:hideMark/>
          </w:tcPr>
          <w:p w14:paraId="6EDCF676" w14:textId="77777777" w:rsidR="00D71745" w:rsidRPr="007114AF" w:rsidRDefault="00D71745" w:rsidP="00D71745">
            <w:pPr>
              <w:spacing w:after="0" w:line="240" w:lineRule="auto"/>
              <w:rPr>
                <w:rFonts w:ascii="Garamond" w:hAnsi="Garamond"/>
                <w:sz w:val="18"/>
                <w:szCs w:val="18"/>
              </w:rPr>
            </w:pPr>
          </w:p>
        </w:tc>
        <w:tc>
          <w:tcPr>
            <w:tcW w:w="453" w:type="pct"/>
            <w:tcBorders>
              <w:top w:val="single" w:sz="2" w:space="0" w:color="auto"/>
              <w:left w:val="single" w:sz="2" w:space="0" w:color="auto"/>
              <w:bottom w:val="single" w:sz="2" w:space="0" w:color="auto"/>
              <w:right w:val="single" w:sz="2" w:space="0" w:color="auto"/>
            </w:tcBorders>
            <w:shd w:val="clear" w:color="auto" w:fill="FFFFFF" w:themeFill="background1"/>
            <w:noWrap/>
            <w:vAlign w:val="center"/>
            <w:hideMark/>
          </w:tcPr>
          <w:p w14:paraId="6EDCF677" w14:textId="77777777" w:rsidR="00D71745" w:rsidRPr="007114AF" w:rsidRDefault="00D71745" w:rsidP="00D71745">
            <w:pPr>
              <w:spacing w:after="0" w:line="240" w:lineRule="auto"/>
              <w:rPr>
                <w:rFonts w:ascii="Garamond" w:hAnsi="Garamond"/>
                <w:sz w:val="18"/>
                <w:szCs w:val="18"/>
              </w:rPr>
            </w:pPr>
            <w:r w:rsidRPr="007114AF">
              <w:rPr>
                <w:rFonts w:ascii="Garamond" w:hAnsi="Garamond"/>
                <w:sz w:val="18"/>
                <w:szCs w:val="18"/>
              </w:rPr>
              <w:t>Industrial Processes</w:t>
            </w:r>
          </w:p>
        </w:tc>
        <w:tc>
          <w:tcPr>
            <w:tcW w:w="203" w:type="pct"/>
            <w:tcBorders>
              <w:top w:val="single" w:sz="2" w:space="0" w:color="auto"/>
              <w:left w:val="single" w:sz="2" w:space="0" w:color="auto"/>
              <w:bottom w:val="single" w:sz="2" w:space="0" w:color="auto"/>
              <w:right w:val="single" w:sz="2" w:space="0" w:color="auto"/>
            </w:tcBorders>
            <w:shd w:val="clear" w:color="auto" w:fill="FFFFFF" w:themeFill="background1"/>
            <w:noWrap/>
            <w:vAlign w:val="center"/>
            <w:hideMark/>
          </w:tcPr>
          <w:p w14:paraId="6EDCF678"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w:t>
            </w:r>
          </w:p>
        </w:tc>
        <w:tc>
          <w:tcPr>
            <w:tcW w:w="235" w:type="pct"/>
            <w:tcBorders>
              <w:top w:val="single" w:sz="2" w:space="0" w:color="auto"/>
              <w:left w:val="single" w:sz="2" w:space="0" w:color="auto"/>
              <w:bottom w:val="single" w:sz="2" w:space="0" w:color="auto"/>
              <w:right w:val="single" w:sz="2" w:space="0" w:color="auto"/>
            </w:tcBorders>
            <w:shd w:val="clear" w:color="auto" w:fill="FFFFFF" w:themeFill="background1"/>
            <w:noWrap/>
            <w:vAlign w:val="center"/>
            <w:hideMark/>
          </w:tcPr>
          <w:p w14:paraId="6EDCF679"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w:t>
            </w:r>
          </w:p>
        </w:tc>
        <w:tc>
          <w:tcPr>
            <w:tcW w:w="218" w:type="pct"/>
            <w:tcBorders>
              <w:top w:val="single" w:sz="2" w:space="0" w:color="auto"/>
              <w:left w:val="single" w:sz="2" w:space="0" w:color="auto"/>
              <w:bottom w:val="single" w:sz="2" w:space="0" w:color="auto"/>
              <w:right w:val="single" w:sz="2" w:space="0" w:color="auto"/>
            </w:tcBorders>
            <w:shd w:val="clear" w:color="auto" w:fill="FFFFFF" w:themeFill="background1"/>
            <w:noWrap/>
            <w:vAlign w:val="center"/>
            <w:hideMark/>
          </w:tcPr>
          <w:p w14:paraId="6EDCF67A"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w:t>
            </w:r>
          </w:p>
        </w:tc>
        <w:tc>
          <w:tcPr>
            <w:tcW w:w="218" w:type="pct"/>
            <w:tcBorders>
              <w:top w:val="single" w:sz="2" w:space="0" w:color="auto"/>
              <w:left w:val="single" w:sz="2" w:space="0" w:color="auto"/>
              <w:bottom w:val="single" w:sz="2" w:space="0" w:color="auto"/>
              <w:right w:val="single" w:sz="2" w:space="0" w:color="auto"/>
            </w:tcBorders>
            <w:shd w:val="clear" w:color="auto" w:fill="FFFFFF" w:themeFill="background1"/>
            <w:noWrap/>
            <w:vAlign w:val="center"/>
            <w:hideMark/>
          </w:tcPr>
          <w:p w14:paraId="6EDCF67B"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w:t>
            </w:r>
          </w:p>
        </w:tc>
        <w:tc>
          <w:tcPr>
            <w:tcW w:w="218" w:type="pct"/>
            <w:tcBorders>
              <w:top w:val="single" w:sz="2" w:space="0" w:color="auto"/>
              <w:left w:val="single" w:sz="2" w:space="0" w:color="auto"/>
              <w:bottom w:val="single" w:sz="2" w:space="0" w:color="auto"/>
              <w:right w:val="single" w:sz="2" w:space="0" w:color="auto"/>
            </w:tcBorders>
            <w:shd w:val="clear" w:color="auto" w:fill="FFFFFF" w:themeFill="background1"/>
            <w:noWrap/>
            <w:vAlign w:val="center"/>
            <w:hideMark/>
          </w:tcPr>
          <w:p w14:paraId="6EDCF67C"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w:t>
            </w:r>
          </w:p>
        </w:tc>
        <w:tc>
          <w:tcPr>
            <w:tcW w:w="218" w:type="pct"/>
            <w:tcBorders>
              <w:top w:val="single" w:sz="2" w:space="0" w:color="auto"/>
              <w:left w:val="single" w:sz="2" w:space="0" w:color="auto"/>
              <w:bottom w:val="single" w:sz="2" w:space="0" w:color="auto"/>
              <w:right w:val="single" w:sz="2" w:space="0" w:color="auto"/>
            </w:tcBorders>
            <w:shd w:val="clear" w:color="auto" w:fill="FFFFFF" w:themeFill="background1"/>
            <w:noWrap/>
            <w:vAlign w:val="center"/>
            <w:hideMark/>
          </w:tcPr>
          <w:p w14:paraId="6EDCF67D"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w:t>
            </w:r>
          </w:p>
        </w:tc>
        <w:tc>
          <w:tcPr>
            <w:tcW w:w="218" w:type="pct"/>
            <w:tcBorders>
              <w:top w:val="single" w:sz="2" w:space="0" w:color="auto"/>
              <w:left w:val="single" w:sz="2" w:space="0" w:color="auto"/>
              <w:bottom w:val="single" w:sz="2" w:space="0" w:color="auto"/>
              <w:right w:val="single" w:sz="2" w:space="0" w:color="auto"/>
            </w:tcBorders>
            <w:shd w:val="clear" w:color="auto" w:fill="FFFFFF" w:themeFill="background1"/>
            <w:noWrap/>
            <w:vAlign w:val="center"/>
            <w:hideMark/>
          </w:tcPr>
          <w:p w14:paraId="6EDCF67E"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w:t>
            </w:r>
          </w:p>
        </w:tc>
        <w:tc>
          <w:tcPr>
            <w:tcW w:w="218" w:type="pct"/>
            <w:tcBorders>
              <w:top w:val="single" w:sz="2" w:space="0" w:color="auto"/>
              <w:left w:val="single" w:sz="2" w:space="0" w:color="auto"/>
              <w:bottom w:val="single" w:sz="2" w:space="0" w:color="auto"/>
              <w:right w:val="single" w:sz="2" w:space="0" w:color="auto"/>
            </w:tcBorders>
            <w:shd w:val="clear" w:color="auto" w:fill="FFFFFF" w:themeFill="background1"/>
            <w:noWrap/>
            <w:vAlign w:val="center"/>
            <w:hideMark/>
          </w:tcPr>
          <w:p w14:paraId="6EDCF67F"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w:t>
            </w:r>
          </w:p>
        </w:tc>
        <w:tc>
          <w:tcPr>
            <w:tcW w:w="218" w:type="pct"/>
            <w:tcBorders>
              <w:top w:val="single" w:sz="2" w:space="0" w:color="auto"/>
              <w:left w:val="single" w:sz="2" w:space="0" w:color="auto"/>
              <w:bottom w:val="single" w:sz="2" w:space="0" w:color="auto"/>
              <w:right w:val="single" w:sz="2" w:space="0" w:color="auto"/>
            </w:tcBorders>
            <w:shd w:val="clear" w:color="auto" w:fill="FFFFFF" w:themeFill="background1"/>
            <w:noWrap/>
            <w:vAlign w:val="center"/>
            <w:hideMark/>
          </w:tcPr>
          <w:p w14:paraId="6EDCF680"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w:t>
            </w:r>
          </w:p>
        </w:tc>
        <w:tc>
          <w:tcPr>
            <w:tcW w:w="218" w:type="pct"/>
            <w:tcBorders>
              <w:top w:val="single" w:sz="2" w:space="0" w:color="auto"/>
              <w:left w:val="single" w:sz="2" w:space="0" w:color="auto"/>
              <w:bottom w:val="single" w:sz="2" w:space="0" w:color="auto"/>
              <w:right w:val="single" w:sz="2" w:space="0" w:color="auto"/>
            </w:tcBorders>
            <w:shd w:val="clear" w:color="auto" w:fill="FFFFFF" w:themeFill="background1"/>
            <w:noWrap/>
            <w:vAlign w:val="center"/>
            <w:hideMark/>
          </w:tcPr>
          <w:p w14:paraId="6EDCF681"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w:t>
            </w:r>
          </w:p>
        </w:tc>
        <w:tc>
          <w:tcPr>
            <w:tcW w:w="237" w:type="pct"/>
            <w:tcBorders>
              <w:top w:val="single" w:sz="2" w:space="0" w:color="auto"/>
              <w:left w:val="single" w:sz="2" w:space="0" w:color="auto"/>
              <w:bottom w:val="single" w:sz="2" w:space="0" w:color="auto"/>
              <w:right w:val="single" w:sz="2" w:space="0" w:color="auto"/>
            </w:tcBorders>
            <w:shd w:val="clear" w:color="auto" w:fill="FFFFFF" w:themeFill="background1"/>
            <w:noWrap/>
            <w:vAlign w:val="center"/>
            <w:hideMark/>
          </w:tcPr>
          <w:p w14:paraId="6EDCF682"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520</w:t>
            </w:r>
          </w:p>
        </w:tc>
        <w:tc>
          <w:tcPr>
            <w:tcW w:w="200" w:type="pct"/>
            <w:tcBorders>
              <w:top w:val="single" w:sz="2" w:space="0" w:color="auto"/>
              <w:left w:val="single" w:sz="2" w:space="0" w:color="auto"/>
              <w:bottom w:val="single" w:sz="2" w:space="0" w:color="auto"/>
              <w:right w:val="single" w:sz="2" w:space="0" w:color="auto"/>
            </w:tcBorders>
            <w:shd w:val="clear" w:color="auto" w:fill="FFFFFF" w:themeFill="background1"/>
            <w:noWrap/>
            <w:vAlign w:val="center"/>
            <w:hideMark/>
          </w:tcPr>
          <w:p w14:paraId="6EDCF683"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852</w:t>
            </w:r>
          </w:p>
        </w:tc>
        <w:tc>
          <w:tcPr>
            <w:tcW w:w="218" w:type="pct"/>
            <w:tcBorders>
              <w:top w:val="single" w:sz="2" w:space="0" w:color="auto"/>
              <w:left w:val="single" w:sz="2" w:space="0" w:color="auto"/>
              <w:bottom w:val="single" w:sz="2" w:space="0" w:color="auto"/>
              <w:right w:val="single" w:sz="2" w:space="0" w:color="auto"/>
            </w:tcBorders>
            <w:shd w:val="clear" w:color="auto" w:fill="FFFFFF" w:themeFill="background1"/>
            <w:noWrap/>
            <w:vAlign w:val="center"/>
            <w:hideMark/>
          </w:tcPr>
          <w:p w14:paraId="6EDCF684"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806</w:t>
            </w:r>
          </w:p>
        </w:tc>
        <w:tc>
          <w:tcPr>
            <w:tcW w:w="218" w:type="pct"/>
            <w:tcBorders>
              <w:top w:val="single" w:sz="2" w:space="0" w:color="auto"/>
              <w:left w:val="single" w:sz="2" w:space="0" w:color="auto"/>
              <w:bottom w:val="single" w:sz="2" w:space="0" w:color="auto"/>
              <w:right w:val="single" w:sz="2" w:space="0" w:color="auto"/>
            </w:tcBorders>
            <w:shd w:val="clear" w:color="auto" w:fill="FFFFFF" w:themeFill="background1"/>
            <w:noWrap/>
            <w:vAlign w:val="center"/>
            <w:hideMark/>
          </w:tcPr>
          <w:p w14:paraId="6EDCF685"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966</w:t>
            </w:r>
          </w:p>
        </w:tc>
        <w:tc>
          <w:tcPr>
            <w:tcW w:w="218" w:type="pct"/>
            <w:tcBorders>
              <w:top w:val="single" w:sz="2" w:space="0" w:color="auto"/>
              <w:left w:val="single" w:sz="2" w:space="0" w:color="auto"/>
              <w:bottom w:val="single" w:sz="2" w:space="0" w:color="auto"/>
              <w:right w:val="single" w:sz="2" w:space="0" w:color="auto"/>
            </w:tcBorders>
            <w:shd w:val="clear" w:color="auto" w:fill="FFFFFF" w:themeFill="background1"/>
            <w:noWrap/>
            <w:vAlign w:val="center"/>
            <w:hideMark/>
          </w:tcPr>
          <w:p w14:paraId="6EDCF686"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1043</w:t>
            </w:r>
          </w:p>
        </w:tc>
        <w:tc>
          <w:tcPr>
            <w:tcW w:w="218" w:type="pct"/>
            <w:tcBorders>
              <w:top w:val="single" w:sz="2" w:space="0" w:color="auto"/>
              <w:left w:val="single" w:sz="2" w:space="0" w:color="auto"/>
              <w:bottom w:val="single" w:sz="2" w:space="0" w:color="auto"/>
              <w:right w:val="single" w:sz="2" w:space="0" w:color="auto"/>
            </w:tcBorders>
            <w:shd w:val="clear" w:color="auto" w:fill="FFFFFF" w:themeFill="background1"/>
            <w:noWrap/>
            <w:vAlign w:val="center"/>
            <w:hideMark/>
          </w:tcPr>
          <w:p w14:paraId="6EDCF687"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1118</w:t>
            </w:r>
          </w:p>
        </w:tc>
        <w:tc>
          <w:tcPr>
            <w:tcW w:w="218" w:type="pct"/>
            <w:tcBorders>
              <w:top w:val="single" w:sz="2" w:space="0" w:color="auto"/>
              <w:left w:val="single" w:sz="2" w:space="0" w:color="auto"/>
              <w:bottom w:val="single" w:sz="2" w:space="0" w:color="auto"/>
              <w:right w:val="single" w:sz="2" w:space="0" w:color="auto"/>
            </w:tcBorders>
            <w:shd w:val="clear" w:color="auto" w:fill="FFFFFF" w:themeFill="background1"/>
            <w:noWrap/>
            <w:vAlign w:val="center"/>
            <w:hideMark/>
          </w:tcPr>
          <w:p w14:paraId="6EDCF688"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1195</w:t>
            </w:r>
          </w:p>
        </w:tc>
        <w:tc>
          <w:tcPr>
            <w:tcW w:w="218" w:type="pct"/>
            <w:tcBorders>
              <w:top w:val="single" w:sz="2" w:space="0" w:color="auto"/>
              <w:left w:val="single" w:sz="2" w:space="0" w:color="auto"/>
              <w:bottom w:val="single" w:sz="2" w:space="0" w:color="auto"/>
              <w:right w:val="single" w:sz="2" w:space="0" w:color="auto"/>
            </w:tcBorders>
            <w:shd w:val="clear" w:color="auto" w:fill="FFFFFF" w:themeFill="background1"/>
            <w:noWrap/>
            <w:vAlign w:val="center"/>
            <w:hideMark/>
          </w:tcPr>
          <w:p w14:paraId="6EDCF689"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1470</w:t>
            </w:r>
          </w:p>
        </w:tc>
        <w:tc>
          <w:tcPr>
            <w:tcW w:w="218" w:type="pct"/>
            <w:tcBorders>
              <w:top w:val="single" w:sz="2" w:space="0" w:color="auto"/>
              <w:left w:val="single" w:sz="2" w:space="0" w:color="auto"/>
              <w:bottom w:val="single" w:sz="2" w:space="0" w:color="auto"/>
              <w:right w:val="single" w:sz="2" w:space="0" w:color="auto"/>
            </w:tcBorders>
            <w:shd w:val="clear" w:color="auto" w:fill="FFFFFF" w:themeFill="background1"/>
            <w:noWrap/>
            <w:vAlign w:val="center"/>
            <w:hideMark/>
          </w:tcPr>
          <w:p w14:paraId="6EDCF68A"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1599</w:t>
            </w:r>
          </w:p>
        </w:tc>
        <w:tc>
          <w:tcPr>
            <w:tcW w:w="212" w:type="pct"/>
            <w:tcBorders>
              <w:top w:val="single" w:sz="2" w:space="0" w:color="auto"/>
              <w:left w:val="single" w:sz="2" w:space="0" w:color="auto"/>
              <w:bottom w:val="single" w:sz="2" w:space="0" w:color="auto"/>
              <w:right w:val="single" w:sz="12" w:space="0" w:color="auto"/>
            </w:tcBorders>
            <w:shd w:val="clear" w:color="auto" w:fill="FFFFFF" w:themeFill="background1"/>
            <w:noWrap/>
            <w:vAlign w:val="center"/>
            <w:hideMark/>
          </w:tcPr>
          <w:p w14:paraId="6EDCF68B"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1701</w:t>
            </w:r>
          </w:p>
        </w:tc>
      </w:tr>
      <w:tr w:rsidR="00D71745" w:rsidRPr="007114AF" w14:paraId="6EDCF6A3" w14:textId="77777777" w:rsidTr="00A9766F">
        <w:trPr>
          <w:trHeight w:hRule="exact" w:val="301"/>
        </w:trPr>
        <w:tc>
          <w:tcPr>
            <w:tcW w:w="190" w:type="pct"/>
            <w:vMerge/>
            <w:tcBorders>
              <w:top w:val="single" w:sz="12" w:space="0" w:color="auto"/>
              <w:left w:val="single" w:sz="12" w:space="0" w:color="auto"/>
              <w:bottom w:val="single" w:sz="12" w:space="0" w:color="auto"/>
              <w:right w:val="single" w:sz="2" w:space="0" w:color="auto"/>
            </w:tcBorders>
            <w:shd w:val="clear" w:color="auto" w:fill="FFFFFF" w:themeFill="background1"/>
            <w:vAlign w:val="center"/>
            <w:hideMark/>
          </w:tcPr>
          <w:p w14:paraId="6EDCF68D" w14:textId="77777777" w:rsidR="00D71745" w:rsidRPr="007114AF" w:rsidRDefault="00D71745" w:rsidP="00D71745">
            <w:pPr>
              <w:spacing w:after="0" w:line="240" w:lineRule="auto"/>
              <w:rPr>
                <w:rFonts w:ascii="Garamond" w:hAnsi="Garamond"/>
                <w:sz w:val="18"/>
                <w:szCs w:val="18"/>
              </w:rPr>
            </w:pPr>
          </w:p>
        </w:tc>
        <w:tc>
          <w:tcPr>
            <w:tcW w:w="453" w:type="pct"/>
            <w:tcBorders>
              <w:top w:val="single" w:sz="2" w:space="0" w:color="auto"/>
              <w:left w:val="single" w:sz="2" w:space="0" w:color="auto"/>
              <w:bottom w:val="single" w:sz="2" w:space="0" w:color="auto"/>
              <w:right w:val="single" w:sz="2" w:space="0" w:color="auto"/>
            </w:tcBorders>
            <w:shd w:val="clear" w:color="auto" w:fill="FFFFFF" w:themeFill="background1"/>
            <w:noWrap/>
            <w:vAlign w:val="center"/>
            <w:hideMark/>
          </w:tcPr>
          <w:p w14:paraId="6EDCF68E" w14:textId="77777777" w:rsidR="00D71745" w:rsidRPr="007114AF" w:rsidRDefault="00D71745" w:rsidP="00D71745">
            <w:pPr>
              <w:spacing w:after="0" w:line="240" w:lineRule="auto"/>
              <w:rPr>
                <w:rFonts w:ascii="Garamond" w:hAnsi="Garamond"/>
                <w:sz w:val="18"/>
                <w:szCs w:val="18"/>
              </w:rPr>
            </w:pPr>
            <w:r w:rsidRPr="007114AF">
              <w:rPr>
                <w:rFonts w:ascii="Garamond" w:hAnsi="Garamond"/>
                <w:sz w:val="18"/>
                <w:szCs w:val="18"/>
              </w:rPr>
              <w:t xml:space="preserve">Bujqësi </w:t>
            </w:r>
          </w:p>
        </w:tc>
        <w:tc>
          <w:tcPr>
            <w:tcW w:w="203" w:type="pct"/>
            <w:tcBorders>
              <w:top w:val="single" w:sz="2" w:space="0" w:color="auto"/>
              <w:left w:val="single" w:sz="2" w:space="0" w:color="auto"/>
              <w:bottom w:val="single" w:sz="2" w:space="0" w:color="auto"/>
              <w:right w:val="single" w:sz="2" w:space="0" w:color="auto"/>
            </w:tcBorders>
            <w:shd w:val="clear" w:color="auto" w:fill="FFFFFF" w:themeFill="background1"/>
            <w:noWrap/>
            <w:vAlign w:val="center"/>
            <w:hideMark/>
          </w:tcPr>
          <w:p w14:paraId="6EDCF68F"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w:t>
            </w:r>
          </w:p>
        </w:tc>
        <w:tc>
          <w:tcPr>
            <w:tcW w:w="235" w:type="pct"/>
            <w:tcBorders>
              <w:top w:val="single" w:sz="2" w:space="0" w:color="auto"/>
              <w:left w:val="single" w:sz="2" w:space="0" w:color="auto"/>
              <w:bottom w:val="single" w:sz="2" w:space="0" w:color="auto"/>
              <w:right w:val="single" w:sz="2" w:space="0" w:color="auto"/>
            </w:tcBorders>
            <w:shd w:val="clear" w:color="auto" w:fill="FFFFFF" w:themeFill="background1"/>
            <w:noWrap/>
            <w:vAlign w:val="center"/>
            <w:hideMark/>
          </w:tcPr>
          <w:p w14:paraId="6EDCF690"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w:t>
            </w:r>
          </w:p>
        </w:tc>
        <w:tc>
          <w:tcPr>
            <w:tcW w:w="218" w:type="pct"/>
            <w:tcBorders>
              <w:top w:val="single" w:sz="2" w:space="0" w:color="auto"/>
              <w:left w:val="single" w:sz="2" w:space="0" w:color="auto"/>
              <w:bottom w:val="single" w:sz="2" w:space="0" w:color="auto"/>
              <w:right w:val="single" w:sz="2" w:space="0" w:color="auto"/>
            </w:tcBorders>
            <w:shd w:val="clear" w:color="auto" w:fill="FFFFFF" w:themeFill="background1"/>
            <w:noWrap/>
            <w:vAlign w:val="center"/>
            <w:hideMark/>
          </w:tcPr>
          <w:p w14:paraId="6EDCF691"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w:t>
            </w:r>
          </w:p>
        </w:tc>
        <w:tc>
          <w:tcPr>
            <w:tcW w:w="218" w:type="pct"/>
            <w:tcBorders>
              <w:top w:val="single" w:sz="2" w:space="0" w:color="auto"/>
              <w:left w:val="single" w:sz="2" w:space="0" w:color="auto"/>
              <w:bottom w:val="single" w:sz="2" w:space="0" w:color="auto"/>
              <w:right w:val="single" w:sz="2" w:space="0" w:color="auto"/>
            </w:tcBorders>
            <w:shd w:val="clear" w:color="auto" w:fill="FFFFFF" w:themeFill="background1"/>
            <w:noWrap/>
            <w:vAlign w:val="center"/>
            <w:hideMark/>
          </w:tcPr>
          <w:p w14:paraId="6EDCF692"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w:t>
            </w:r>
          </w:p>
        </w:tc>
        <w:tc>
          <w:tcPr>
            <w:tcW w:w="218" w:type="pct"/>
            <w:tcBorders>
              <w:top w:val="single" w:sz="2" w:space="0" w:color="auto"/>
              <w:left w:val="single" w:sz="2" w:space="0" w:color="auto"/>
              <w:bottom w:val="single" w:sz="2" w:space="0" w:color="auto"/>
              <w:right w:val="single" w:sz="2" w:space="0" w:color="auto"/>
            </w:tcBorders>
            <w:shd w:val="clear" w:color="auto" w:fill="FFFFFF" w:themeFill="background1"/>
            <w:noWrap/>
            <w:vAlign w:val="center"/>
            <w:hideMark/>
          </w:tcPr>
          <w:p w14:paraId="6EDCF693"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w:t>
            </w:r>
          </w:p>
        </w:tc>
        <w:tc>
          <w:tcPr>
            <w:tcW w:w="218" w:type="pct"/>
            <w:tcBorders>
              <w:top w:val="single" w:sz="2" w:space="0" w:color="auto"/>
              <w:left w:val="single" w:sz="2" w:space="0" w:color="auto"/>
              <w:bottom w:val="single" w:sz="2" w:space="0" w:color="auto"/>
              <w:right w:val="single" w:sz="2" w:space="0" w:color="auto"/>
            </w:tcBorders>
            <w:shd w:val="clear" w:color="auto" w:fill="FFFFFF" w:themeFill="background1"/>
            <w:noWrap/>
            <w:vAlign w:val="center"/>
            <w:hideMark/>
          </w:tcPr>
          <w:p w14:paraId="6EDCF694"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w:t>
            </w:r>
          </w:p>
        </w:tc>
        <w:tc>
          <w:tcPr>
            <w:tcW w:w="218" w:type="pct"/>
            <w:tcBorders>
              <w:top w:val="single" w:sz="2" w:space="0" w:color="auto"/>
              <w:left w:val="single" w:sz="2" w:space="0" w:color="auto"/>
              <w:bottom w:val="single" w:sz="2" w:space="0" w:color="auto"/>
              <w:right w:val="single" w:sz="2" w:space="0" w:color="auto"/>
            </w:tcBorders>
            <w:shd w:val="clear" w:color="auto" w:fill="FFFFFF" w:themeFill="background1"/>
            <w:noWrap/>
            <w:vAlign w:val="center"/>
            <w:hideMark/>
          </w:tcPr>
          <w:p w14:paraId="6EDCF695"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w:t>
            </w:r>
          </w:p>
        </w:tc>
        <w:tc>
          <w:tcPr>
            <w:tcW w:w="218" w:type="pct"/>
            <w:tcBorders>
              <w:top w:val="single" w:sz="2" w:space="0" w:color="auto"/>
              <w:left w:val="single" w:sz="2" w:space="0" w:color="auto"/>
              <w:bottom w:val="single" w:sz="2" w:space="0" w:color="auto"/>
              <w:right w:val="single" w:sz="2" w:space="0" w:color="auto"/>
            </w:tcBorders>
            <w:shd w:val="clear" w:color="auto" w:fill="FFFFFF" w:themeFill="background1"/>
            <w:noWrap/>
            <w:vAlign w:val="center"/>
            <w:hideMark/>
          </w:tcPr>
          <w:p w14:paraId="6EDCF696"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w:t>
            </w:r>
          </w:p>
        </w:tc>
        <w:tc>
          <w:tcPr>
            <w:tcW w:w="218" w:type="pct"/>
            <w:tcBorders>
              <w:top w:val="single" w:sz="2" w:space="0" w:color="auto"/>
              <w:left w:val="single" w:sz="2" w:space="0" w:color="auto"/>
              <w:bottom w:val="single" w:sz="2" w:space="0" w:color="auto"/>
              <w:right w:val="single" w:sz="2" w:space="0" w:color="auto"/>
            </w:tcBorders>
            <w:shd w:val="clear" w:color="auto" w:fill="FFFFFF" w:themeFill="background1"/>
            <w:noWrap/>
            <w:vAlign w:val="center"/>
            <w:hideMark/>
          </w:tcPr>
          <w:p w14:paraId="6EDCF697"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w:t>
            </w:r>
          </w:p>
        </w:tc>
        <w:tc>
          <w:tcPr>
            <w:tcW w:w="218" w:type="pct"/>
            <w:tcBorders>
              <w:top w:val="single" w:sz="2" w:space="0" w:color="auto"/>
              <w:left w:val="single" w:sz="2" w:space="0" w:color="auto"/>
              <w:bottom w:val="single" w:sz="2" w:space="0" w:color="auto"/>
              <w:right w:val="single" w:sz="2" w:space="0" w:color="auto"/>
            </w:tcBorders>
            <w:shd w:val="clear" w:color="auto" w:fill="FFFFFF" w:themeFill="background1"/>
            <w:noWrap/>
            <w:vAlign w:val="center"/>
            <w:hideMark/>
          </w:tcPr>
          <w:p w14:paraId="6EDCF698"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w:t>
            </w:r>
          </w:p>
        </w:tc>
        <w:tc>
          <w:tcPr>
            <w:tcW w:w="237" w:type="pct"/>
            <w:tcBorders>
              <w:top w:val="single" w:sz="2" w:space="0" w:color="auto"/>
              <w:left w:val="single" w:sz="2" w:space="0" w:color="auto"/>
              <w:bottom w:val="single" w:sz="2" w:space="0" w:color="auto"/>
              <w:right w:val="single" w:sz="2" w:space="0" w:color="auto"/>
            </w:tcBorders>
            <w:shd w:val="clear" w:color="auto" w:fill="FFFFFF" w:themeFill="background1"/>
            <w:noWrap/>
            <w:vAlign w:val="center"/>
            <w:hideMark/>
          </w:tcPr>
          <w:p w14:paraId="6EDCF699"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1553</w:t>
            </w:r>
          </w:p>
        </w:tc>
        <w:tc>
          <w:tcPr>
            <w:tcW w:w="200" w:type="pct"/>
            <w:tcBorders>
              <w:top w:val="single" w:sz="2" w:space="0" w:color="auto"/>
              <w:left w:val="single" w:sz="2" w:space="0" w:color="auto"/>
              <w:bottom w:val="single" w:sz="2" w:space="0" w:color="auto"/>
              <w:right w:val="single" w:sz="2" w:space="0" w:color="auto"/>
            </w:tcBorders>
            <w:shd w:val="clear" w:color="auto" w:fill="FFFFFF" w:themeFill="background1"/>
            <w:noWrap/>
            <w:vAlign w:val="center"/>
            <w:hideMark/>
          </w:tcPr>
          <w:p w14:paraId="6EDCF69A"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1510</w:t>
            </w:r>
          </w:p>
        </w:tc>
        <w:tc>
          <w:tcPr>
            <w:tcW w:w="218" w:type="pct"/>
            <w:tcBorders>
              <w:top w:val="single" w:sz="2" w:space="0" w:color="auto"/>
              <w:left w:val="single" w:sz="2" w:space="0" w:color="auto"/>
              <w:bottom w:val="single" w:sz="2" w:space="0" w:color="auto"/>
              <w:right w:val="single" w:sz="2" w:space="0" w:color="auto"/>
            </w:tcBorders>
            <w:shd w:val="clear" w:color="auto" w:fill="FFFFFF" w:themeFill="background1"/>
            <w:noWrap/>
            <w:vAlign w:val="center"/>
            <w:hideMark/>
          </w:tcPr>
          <w:p w14:paraId="6EDCF69B"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1464</w:t>
            </w:r>
          </w:p>
        </w:tc>
        <w:tc>
          <w:tcPr>
            <w:tcW w:w="218" w:type="pct"/>
            <w:tcBorders>
              <w:top w:val="single" w:sz="2" w:space="0" w:color="auto"/>
              <w:left w:val="single" w:sz="2" w:space="0" w:color="auto"/>
              <w:bottom w:val="single" w:sz="2" w:space="0" w:color="auto"/>
              <w:right w:val="single" w:sz="2" w:space="0" w:color="auto"/>
            </w:tcBorders>
            <w:shd w:val="clear" w:color="auto" w:fill="FFFFFF" w:themeFill="background1"/>
            <w:noWrap/>
            <w:vAlign w:val="center"/>
            <w:hideMark/>
          </w:tcPr>
          <w:p w14:paraId="6EDCF69C"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1476</w:t>
            </w:r>
          </w:p>
        </w:tc>
        <w:tc>
          <w:tcPr>
            <w:tcW w:w="218" w:type="pct"/>
            <w:tcBorders>
              <w:top w:val="single" w:sz="2" w:space="0" w:color="auto"/>
              <w:left w:val="single" w:sz="2" w:space="0" w:color="auto"/>
              <w:bottom w:val="single" w:sz="2" w:space="0" w:color="auto"/>
              <w:right w:val="single" w:sz="2" w:space="0" w:color="auto"/>
            </w:tcBorders>
            <w:shd w:val="clear" w:color="auto" w:fill="FFFFFF" w:themeFill="background1"/>
            <w:noWrap/>
            <w:vAlign w:val="center"/>
            <w:hideMark/>
          </w:tcPr>
          <w:p w14:paraId="6EDCF69D"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1464</w:t>
            </w:r>
          </w:p>
        </w:tc>
        <w:tc>
          <w:tcPr>
            <w:tcW w:w="218" w:type="pct"/>
            <w:tcBorders>
              <w:top w:val="single" w:sz="2" w:space="0" w:color="auto"/>
              <w:left w:val="single" w:sz="2" w:space="0" w:color="auto"/>
              <w:bottom w:val="single" w:sz="2" w:space="0" w:color="auto"/>
              <w:right w:val="single" w:sz="2" w:space="0" w:color="auto"/>
            </w:tcBorders>
            <w:shd w:val="clear" w:color="auto" w:fill="FFFFFF" w:themeFill="background1"/>
            <w:noWrap/>
            <w:vAlign w:val="center"/>
            <w:hideMark/>
          </w:tcPr>
          <w:p w14:paraId="6EDCF69E"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1403</w:t>
            </w:r>
          </w:p>
        </w:tc>
        <w:tc>
          <w:tcPr>
            <w:tcW w:w="218" w:type="pct"/>
            <w:tcBorders>
              <w:top w:val="single" w:sz="2" w:space="0" w:color="auto"/>
              <w:left w:val="single" w:sz="2" w:space="0" w:color="auto"/>
              <w:bottom w:val="single" w:sz="2" w:space="0" w:color="auto"/>
              <w:right w:val="single" w:sz="2" w:space="0" w:color="auto"/>
            </w:tcBorders>
            <w:shd w:val="clear" w:color="auto" w:fill="FFFFFF" w:themeFill="background1"/>
            <w:noWrap/>
            <w:vAlign w:val="center"/>
            <w:hideMark/>
          </w:tcPr>
          <w:p w14:paraId="6EDCF69F"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1375</w:t>
            </w:r>
          </w:p>
        </w:tc>
        <w:tc>
          <w:tcPr>
            <w:tcW w:w="218" w:type="pct"/>
            <w:tcBorders>
              <w:top w:val="single" w:sz="2" w:space="0" w:color="auto"/>
              <w:left w:val="single" w:sz="2" w:space="0" w:color="auto"/>
              <w:bottom w:val="single" w:sz="2" w:space="0" w:color="auto"/>
              <w:right w:val="single" w:sz="2" w:space="0" w:color="auto"/>
            </w:tcBorders>
            <w:shd w:val="clear" w:color="auto" w:fill="FFFFFF" w:themeFill="background1"/>
            <w:noWrap/>
            <w:vAlign w:val="center"/>
            <w:hideMark/>
          </w:tcPr>
          <w:p w14:paraId="6EDCF6A0"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1283</w:t>
            </w:r>
          </w:p>
        </w:tc>
        <w:tc>
          <w:tcPr>
            <w:tcW w:w="218" w:type="pct"/>
            <w:tcBorders>
              <w:top w:val="single" w:sz="2" w:space="0" w:color="auto"/>
              <w:left w:val="single" w:sz="2" w:space="0" w:color="auto"/>
              <w:bottom w:val="single" w:sz="2" w:space="0" w:color="auto"/>
              <w:right w:val="single" w:sz="2" w:space="0" w:color="auto"/>
            </w:tcBorders>
            <w:shd w:val="clear" w:color="auto" w:fill="FFFFFF" w:themeFill="background1"/>
            <w:noWrap/>
            <w:vAlign w:val="center"/>
            <w:hideMark/>
          </w:tcPr>
          <w:p w14:paraId="6EDCF6A1"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1205</w:t>
            </w:r>
          </w:p>
        </w:tc>
        <w:tc>
          <w:tcPr>
            <w:tcW w:w="212" w:type="pct"/>
            <w:tcBorders>
              <w:top w:val="single" w:sz="2" w:space="0" w:color="auto"/>
              <w:left w:val="single" w:sz="2" w:space="0" w:color="auto"/>
              <w:bottom w:val="single" w:sz="2" w:space="0" w:color="auto"/>
              <w:right w:val="single" w:sz="12" w:space="0" w:color="auto"/>
            </w:tcBorders>
            <w:shd w:val="clear" w:color="auto" w:fill="FFFFFF" w:themeFill="background1"/>
            <w:noWrap/>
            <w:vAlign w:val="center"/>
            <w:hideMark/>
          </w:tcPr>
          <w:p w14:paraId="6EDCF6A2"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1131</w:t>
            </w:r>
          </w:p>
        </w:tc>
      </w:tr>
      <w:tr w:rsidR="00D71745" w:rsidRPr="007114AF" w14:paraId="6EDCF6BA" w14:textId="77777777" w:rsidTr="00A9766F">
        <w:trPr>
          <w:trHeight w:hRule="exact" w:val="301"/>
        </w:trPr>
        <w:tc>
          <w:tcPr>
            <w:tcW w:w="190" w:type="pct"/>
            <w:vMerge/>
            <w:tcBorders>
              <w:top w:val="single" w:sz="12" w:space="0" w:color="auto"/>
              <w:left w:val="single" w:sz="12" w:space="0" w:color="auto"/>
              <w:bottom w:val="single" w:sz="12" w:space="0" w:color="auto"/>
              <w:right w:val="single" w:sz="2" w:space="0" w:color="auto"/>
            </w:tcBorders>
            <w:shd w:val="clear" w:color="auto" w:fill="FFFFFF" w:themeFill="background1"/>
            <w:vAlign w:val="center"/>
            <w:hideMark/>
          </w:tcPr>
          <w:p w14:paraId="6EDCF6A4" w14:textId="77777777" w:rsidR="00D71745" w:rsidRPr="007114AF" w:rsidRDefault="00D71745" w:rsidP="00D71745">
            <w:pPr>
              <w:spacing w:after="0" w:line="240" w:lineRule="auto"/>
              <w:rPr>
                <w:rFonts w:ascii="Garamond" w:hAnsi="Garamond"/>
                <w:sz w:val="18"/>
                <w:szCs w:val="18"/>
              </w:rPr>
            </w:pPr>
          </w:p>
        </w:tc>
        <w:tc>
          <w:tcPr>
            <w:tcW w:w="453" w:type="pct"/>
            <w:tcBorders>
              <w:top w:val="single" w:sz="2" w:space="0" w:color="auto"/>
              <w:left w:val="single" w:sz="2" w:space="0" w:color="auto"/>
              <w:bottom w:val="single" w:sz="2" w:space="0" w:color="auto"/>
              <w:right w:val="single" w:sz="2" w:space="0" w:color="auto"/>
            </w:tcBorders>
            <w:shd w:val="clear" w:color="auto" w:fill="FFFFFF" w:themeFill="background1"/>
            <w:noWrap/>
            <w:vAlign w:val="center"/>
            <w:hideMark/>
          </w:tcPr>
          <w:p w14:paraId="6EDCF6A5" w14:textId="77777777" w:rsidR="00D71745" w:rsidRPr="007114AF" w:rsidRDefault="00D71745" w:rsidP="00D71745">
            <w:pPr>
              <w:spacing w:after="0" w:line="240" w:lineRule="auto"/>
              <w:rPr>
                <w:rFonts w:ascii="Garamond" w:hAnsi="Garamond"/>
                <w:sz w:val="18"/>
                <w:szCs w:val="18"/>
              </w:rPr>
            </w:pPr>
            <w:r w:rsidRPr="007114AF">
              <w:rPr>
                <w:rFonts w:ascii="Garamond" w:hAnsi="Garamond"/>
                <w:sz w:val="18"/>
                <w:szCs w:val="18"/>
              </w:rPr>
              <w:t>LULUCF</w:t>
            </w:r>
          </w:p>
        </w:tc>
        <w:tc>
          <w:tcPr>
            <w:tcW w:w="203" w:type="pct"/>
            <w:tcBorders>
              <w:top w:val="single" w:sz="2" w:space="0" w:color="auto"/>
              <w:left w:val="single" w:sz="2" w:space="0" w:color="auto"/>
              <w:bottom w:val="single" w:sz="2" w:space="0" w:color="auto"/>
              <w:right w:val="single" w:sz="2" w:space="0" w:color="auto"/>
            </w:tcBorders>
            <w:shd w:val="clear" w:color="auto" w:fill="FFFFFF" w:themeFill="background1"/>
            <w:noWrap/>
            <w:vAlign w:val="center"/>
            <w:hideMark/>
          </w:tcPr>
          <w:p w14:paraId="6EDCF6A6"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w:t>
            </w:r>
          </w:p>
        </w:tc>
        <w:tc>
          <w:tcPr>
            <w:tcW w:w="235" w:type="pct"/>
            <w:tcBorders>
              <w:top w:val="single" w:sz="2" w:space="0" w:color="auto"/>
              <w:left w:val="single" w:sz="2" w:space="0" w:color="auto"/>
              <w:bottom w:val="single" w:sz="2" w:space="0" w:color="auto"/>
              <w:right w:val="single" w:sz="2" w:space="0" w:color="auto"/>
            </w:tcBorders>
            <w:shd w:val="clear" w:color="auto" w:fill="FFFFFF" w:themeFill="background1"/>
            <w:noWrap/>
            <w:vAlign w:val="center"/>
            <w:hideMark/>
          </w:tcPr>
          <w:p w14:paraId="6EDCF6A7"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w:t>
            </w:r>
          </w:p>
        </w:tc>
        <w:tc>
          <w:tcPr>
            <w:tcW w:w="218" w:type="pct"/>
            <w:tcBorders>
              <w:top w:val="single" w:sz="2" w:space="0" w:color="auto"/>
              <w:left w:val="single" w:sz="2" w:space="0" w:color="auto"/>
              <w:bottom w:val="single" w:sz="2" w:space="0" w:color="auto"/>
              <w:right w:val="single" w:sz="2" w:space="0" w:color="auto"/>
            </w:tcBorders>
            <w:shd w:val="clear" w:color="auto" w:fill="FFFFFF" w:themeFill="background1"/>
            <w:noWrap/>
            <w:vAlign w:val="center"/>
            <w:hideMark/>
          </w:tcPr>
          <w:p w14:paraId="6EDCF6A8"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w:t>
            </w:r>
          </w:p>
        </w:tc>
        <w:tc>
          <w:tcPr>
            <w:tcW w:w="218" w:type="pct"/>
            <w:tcBorders>
              <w:top w:val="single" w:sz="2" w:space="0" w:color="auto"/>
              <w:left w:val="single" w:sz="2" w:space="0" w:color="auto"/>
              <w:bottom w:val="single" w:sz="2" w:space="0" w:color="auto"/>
              <w:right w:val="single" w:sz="2" w:space="0" w:color="auto"/>
            </w:tcBorders>
            <w:shd w:val="clear" w:color="auto" w:fill="FFFFFF" w:themeFill="background1"/>
            <w:noWrap/>
            <w:vAlign w:val="center"/>
            <w:hideMark/>
          </w:tcPr>
          <w:p w14:paraId="6EDCF6A9"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w:t>
            </w:r>
          </w:p>
        </w:tc>
        <w:tc>
          <w:tcPr>
            <w:tcW w:w="218" w:type="pct"/>
            <w:tcBorders>
              <w:top w:val="single" w:sz="2" w:space="0" w:color="auto"/>
              <w:left w:val="single" w:sz="2" w:space="0" w:color="auto"/>
              <w:bottom w:val="single" w:sz="2" w:space="0" w:color="auto"/>
              <w:right w:val="single" w:sz="2" w:space="0" w:color="auto"/>
            </w:tcBorders>
            <w:shd w:val="clear" w:color="auto" w:fill="FFFFFF" w:themeFill="background1"/>
            <w:noWrap/>
            <w:vAlign w:val="center"/>
            <w:hideMark/>
          </w:tcPr>
          <w:p w14:paraId="6EDCF6AA"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w:t>
            </w:r>
          </w:p>
        </w:tc>
        <w:tc>
          <w:tcPr>
            <w:tcW w:w="218" w:type="pct"/>
            <w:tcBorders>
              <w:top w:val="single" w:sz="2" w:space="0" w:color="auto"/>
              <w:left w:val="single" w:sz="2" w:space="0" w:color="auto"/>
              <w:bottom w:val="single" w:sz="2" w:space="0" w:color="auto"/>
              <w:right w:val="single" w:sz="2" w:space="0" w:color="auto"/>
            </w:tcBorders>
            <w:shd w:val="clear" w:color="auto" w:fill="FFFFFF" w:themeFill="background1"/>
            <w:noWrap/>
            <w:vAlign w:val="center"/>
            <w:hideMark/>
          </w:tcPr>
          <w:p w14:paraId="6EDCF6AB"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w:t>
            </w:r>
          </w:p>
        </w:tc>
        <w:tc>
          <w:tcPr>
            <w:tcW w:w="218" w:type="pct"/>
            <w:tcBorders>
              <w:top w:val="single" w:sz="2" w:space="0" w:color="auto"/>
              <w:left w:val="single" w:sz="2" w:space="0" w:color="auto"/>
              <w:bottom w:val="single" w:sz="2" w:space="0" w:color="auto"/>
              <w:right w:val="single" w:sz="2" w:space="0" w:color="auto"/>
            </w:tcBorders>
            <w:shd w:val="clear" w:color="auto" w:fill="FFFFFF" w:themeFill="background1"/>
            <w:noWrap/>
            <w:vAlign w:val="center"/>
            <w:hideMark/>
          </w:tcPr>
          <w:p w14:paraId="6EDCF6AC"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w:t>
            </w:r>
          </w:p>
        </w:tc>
        <w:tc>
          <w:tcPr>
            <w:tcW w:w="218" w:type="pct"/>
            <w:tcBorders>
              <w:top w:val="single" w:sz="2" w:space="0" w:color="auto"/>
              <w:left w:val="single" w:sz="2" w:space="0" w:color="auto"/>
              <w:bottom w:val="single" w:sz="2" w:space="0" w:color="auto"/>
              <w:right w:val="single" w:sz="2" w:space="0" w:color="auto"/>
            </w:tcBorders>
            <w:shd w:val="clear" w:color="auto" w:fill="FFFFFF" w:themeFill="background1"/>
            <w:noWrap/>
            <w:vAlign w:val="center"/>
            <w:hideMark/>
          </w:tcPr>
          <w:p w14:paraId="6EDCF6AD"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w:t>
            </w:r>
          </w:p>
        </w:tc>
        <w:tc>
          <w:tcPr>
            <w:tcW w:w="218" w:type="pct"/>
            <w:tcBorders>
              <w:top w:val="single" w:sz="2" w:space="0" w:color="auto"/>
              <w:left w:val="single" w:sz="2" w:space="0" w:color="auto"/>
              <w:bottom w:val="single" w:sz="2" w:space="0" w:color="auto"/>
              <w:right w:val="single" w:sz="2" w:space="0" w:color="auto"/>
            </w:tcBorders>
            <w:shd w:val="clear" w:color="auto" w:fill="FFFFFF" w:themeFill="background1"/>
            <w:noWrap/>
            <w:vAlign w:val="center"/>
            <w:hideMark/>
          </w:tcPr>
          <w:p w14:paraId="6EDCF6AE"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w:t>
            </w:r>
          </w:p>
        </w:tc>
        <w:tc>
          <w:tcPr>
            <w:tcW w:w="218" w:type="pct"/>
            <w:tcBorders>
              <w:top w:val="single" w:sz="2" w:space="0" w:color="auto"/>
              <w:left w:val="single" w:sz="2" w:space="0" w:color="auto"/>
              <w:bottom w:val="single" w:sz="2" w:space="0" w:color="auto"/>
              <w:right w:val="single" w:sz="2" w:space="0" w:color="auto"/>
            </w:tcBorders>
            <w:shd w:val="clear" w:color="auto" w:fill="FFFFFF" w:themeFill="background1"/>
            <w:noWrap/>
            <w:vAlign w:val="center"/>
            <w:hideMark/>
          </w:tcPr>
          <w:p w14:paraId="6EDCF6AF"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w:t>
            </w:r>
          </w:p>
        </w:tc>
        <w:tc>
          <w:tcPr>
            <w:tcW w:w="237" w:type="pct"/>
            <w:tcBorders>
              <w:top w:val="single" w:sz="2" w:space="0" w:color="auto"/>
              <w:left w:val="single" w:sz="2" w:space="0" w:color="auto"/>
              <w:bottom w:val="single" w:sz="2" w:space="0" w:color="auto"/>
              <w:right w:val="single" w:sz="2" w:space="0" w:color="auto"/>
            </w:tcBorders>
            <w:shd w:val="clear" w:color="auto" w:fill="FFFFFF" w:themeFill="background1"/>
            <w:noWrap/>
            <w:vAlign w:val="center"/>
            <w:hideMark/>
          </w:tcPr>
          <w:p w14:paraId="6EDCF6B0"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2295</w:t>
            </w:r>
          </w:p>
        </w:tc>
        <w:tc>
          <w:tcPr>
            <w:tcW w:w="200" w:type="pct"/>
            <w:tcBorders>
              <w:top w:val="single" w:sz="2" w:space="0" w:color="auto"/>
              <w:left w:val="single" w:sz="2" w:space="0" w:color="auto"/>
              <w:bottom w:val="single" w:sz="2" w:space="0" w:color="auto"/>
              <w:right w:val="single" w:sz="2" w:space="0" w:color="auto"/>
            </w:tcBorders>
            <w:shd w:val="clear" w:color="auto" w:fill="FFFFFF" w:themeFill="background1"/>
            <w:noWrap/>
            <w:vAlign w:val="center"/>
            <w:hideMark/>
          </w:tcPr>
          <w:p w14:paraId="6EDCF6B1"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1855</w:t>
            </w:r>
          </w:p>
        </w:tc>
        <w:tc>
          <w:tcPr>
            <w:tcW w:w="218" w:type="pct"/>
            <w:tcBorders>
              <w:top w:val="single" w:sz="2" w:space="0" w:color="auto"/>
              <w:left w:val="single" w:sz="2" w:space="0" w:color="auto"/>
              <w:bottom w:val="single" w:sz="2" w:space="0" w:color="auto"/>
              <w:right w:val="single" w:sz="2" w:space="0" w:color="auto"/>
            </w:tcBorders>
            <w:shd w:val="clear" w:color="auto" w:fill="FFFFFF" w:themeFill="background1"/>
            <w:noWrap/>
            <w:vAlign w:val="center"/>
            <w:hideMark/>
          </w:tcPr>
          <w:p w14:paraId="6EDCF6B2"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1391</w:t>
            </w:r>
          </w:p>
        </w:tc>
        <w:tc>
          <w:tcPr>
            <w:tcW w:w="218" w:type="pct"/>
            <w:tcBorders>
              <w:top w:val="single" w:sz="2" w:space="0" w:color="auto"/>
              <w:left w:val="single" w:sz="2" w:space="0" w:color="auto"/>
              <w:bottom w:val="single" w:sz="2" w:space="0" w:color="auto"/>
              <w:right w:val="single" w:sz="2" w:space="0" w:color="auto"/>
            </w:tcBorders>
            <w:shd w:val="clear" w:color="auto" w:fill="FFFFFF" w:themeFill="background1"/>
            <w:noWrap/>
            <w:vAlign w:val="center"/>
            <w:hideMark/>
          </w:tcPr>
          <w:p w14:paraId="6EDCF6B3"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1054</w:t>
            </w:r>
          </w:p>
        </w:tc>
        <w:tc>
          <w:tcPr>
            <w:tcW w:w="218" w:type="pct"/>
            <w:tcBorders>
              <w:top w:val="single" w:sz="2" w:space="0" w:color="auto"/>
              <w:left w:val="single" w:sz="2" w:space="0" w:color="auto"/>
              <w:bottom w:val="single" w:sz="2" w:space="0" w:color="auto"/>
              <w:right w:val="single" w:sz="2" w:space="0" w:color="auto"/>
            </w:tcBorders>
            <w:shd w:val="clear" w:color="auto" w:fill="FFFFFF" w:themeFill="background1"/>
            <w:noWrap/>
            <w:vAlign w:val="center"/>
            <w:hideMark/>
          </w:tcPr>
          <w:p w14:paraId="6EDCF6B4"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1123</w:t>
            </w:r>
          </w:p>
        </w:tc>
        <w:tc>
          <w:tcPr>
            <w:tcW w:w="218" w:type="pct"/>
            <w:tcBorders>
              <w:top w:val="single" w:sz="2" w:space="0" w:color="auto"/>
              <w:left w:val="single" w:sz="2" w:space="0" w:color="auto"/>
              <w:bottom w:val="single" w:sz="2" w:space="0" w:color="auto"/>
              <w:right w:val="single" w:sz="2" w:space="0" w:color="auto"/>
            </w:tcBorders>
            <w:shd w:val="clear" w:color="auto" w:fill="FFFFFF" w:themeFill="background1"/>
            <w:noWrap/>
            <w:vAlign w:val="center"/>
            <w:hideMark/>
          </w:tcPr>
          <w:p w14:paraId="6EDCF6B5"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1056</w:t>
            </w:r>
          </w:p>
        </w:tc>
        <w:tc>
          <w:tcPr>
            <w:tcW w:w="218" w:type="pct"/>
            <w:tcBorders>
              <w:top w:val="single" w:sz="2" w:space="0" w:color="auto"/>
              <w:left w:val="single" w:sz="2" w:space="0" w:color="auto"/>
              <w:bottom w:val="single" w:sz="2" w:space="0" w:color="auto"/>
              <w:right w:val="single" w:sz="2" w:space="0" w:color="auto"/>
            </w:tcBorders>
            <w:shd w:val="clear" w:color="auto" w:fill="FFFFFF" w:themeFill="background1"/>
            <w:noWrap/>
            <w:vAlign w:val="center"/>
            <w:hideMark/>
          </w:tcPr>
          <w:p w14:paraId="6EDCF6B6"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860</w:t>
            </w:r>
          </w:p>
        </w:tc>
        <w:tc>
          <w:tcPr>
            <w:tcW w:w="218" w:type="pct"/>
            <w:tcBorders>
              <w:top w:val="single" w:sz="2" w:space="0" w:color="auto"/>
              <w:left w:val="single" w:sz="2" w:space="0" w:color="auto"/>
              <w:bottom w:val="single" w:sz="2" w:space="0" w:color="auto"/>
              <w:right w:val="single" w:sz="2" w:space="0" w:color="auto"/>
            </w:tcBorders>
            <w:shd w:val="clear" w:color="auto" w:fill="FFFFFF" w:themeFill="background1"/>
            <w:noWrap/>
            <w:vAlign w:val="center"/>
            <w:hideMark/>
          </w:tcPr>
          <w:p w14:paraId="6EDCF6B7"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970</w:t>
            </w:r>
          </w:p>
        </w:tc>
        <w:tc>
          <w:tcPr>
            <w:tcW w:w="218" w:type="pct"/>
            <w:tcBorders>
              <w:top w:val="single" w:sz="2" w:space="0" w:color="auto"/>
              <w:left w:val="single" w:sz="2" w:space="0" w:color="auto"/>
              <w:bottom w:val="single" w:sz="2" w:space="0" w:color="auto"/>
              <w:right w:val="single" w:sz="2" w:space="0" w:color="auto"/>
            </w:tcBorders>
            <w:shd w:val="clear" w:color="auto" w:fill="FFFFFF" w:themeFill="background1"/>
            <w:noWrap/>
            <w:vAlign w:val="center"/>
            <w:hideMark/>
          </w:tcPr>
          <w:p w14:paraId="6EDCF6B8"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530</w:t>
            </w:r>
          </w:p>
        </w:tc>
        <w:tc>
          <w:tcPr>
            <w:tcW w:w="212" w:type="pct"/>
            <w:tcBorders>
              <w:top w:val="single" w:sz="2" w:space="0" w:color="auto"/>
              <w:left w:val="single" w:sz="2" w:space="0" w:color="auto"/>
              <w:bottom w:val="single" w:sz="2" w:space="0" w:color="auto"/>
              <w:right w:val="single" w:sz="12" w:space="0" w:color="auto"/>
            </w:tcBorders>
            <w:shd w:val="clear" w:color="auto" w:fill="FFFFFF" w:themeFill="background1"/>
            <w:noWrap/>
            <w:vAlign w:val="center"/>
            <w:hideMark/>
          </w:tcPr>
          <w:p w14:paraId="6EDCF6B9"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213</w:t>
            </w:r>
          </w:p>
        </w:tc>
      </w:tr>
      <w:tr w:rsidR="00D71745" w:rsidRPr="007114AF" w14:paraId="6EDCF6D1" w14:textId="77777777" w:rsidTr="00A9766F">
        <w:trPr>
          <w:trHeight w:hRule="exact" w:val="301"/>
        </w:trPr>
        <w:tc>
          <w:tcPr>
            <w:tcW w:w="190" w:type="pct"/>
            <w:vMerge/>
            <w:tcBorders>
              <w:top w:val="single" w:sz="12" w:space="0" w:color="auto"/>
              <w:left w:val="single" w:sz="12" w:space="0" w:color="auto"/>
              <w:bottom w:val="single" w:sz="12" w:space="0" w:color="auto"/>
              <w:right w:val="single" w:sz="2" w:space="0" w:color="auto"/>
            </w:tcBorders>
            <w:shd w:val="clear" w:color="auto" w:fill="FFFFFF" w:themeFill="background1"/>
            <w:vAlign w:val="center"/>
            <w:hideMark/>
          </w:tcPr>
          <w:p w14:paraId="6EDCF6BB" w14:textId="77777777" w:rsidR="00D71745" w:rsidRPr="007114AF" w:rsidRDefault="00D71745" w:rsidP="00D71745">
            <w:pPr>
              <w:spacing w:after="0" w:line="240" w:lineRule="auto"/>
              <w:rPr>
                <w:rFonts w:ascii="Garamond" w:hAnsi="Garamond"/>
                <w:sz w:val="18"/>
                <w:szCs w:val="18"/>
              </w:rPr>
            </w:pPr>
          </w:p>
        </w:tc>
        <w:tc>
          <w:tcPr>
            <w:tcW w:w="453" w:type="pct"/>
            <w:tcBorders>
              <w:top w:val="single" w:sz="2" w:space="0" w:color="auto"/>
              <w:left w:val="single" w:sz="2" w:space="0" w:color="auto"/>
              <w:bottom w:val="single" w:sz="2" w:space="0" w:color="auto"/>
              <w:right w:val="single" w:sz="2" w:space="0" w:color="auto"/>
            </w:tcBorders>
            <w:shd w:val="clear" w:color="auto" w:fill="FFFFFF" w:themeFill="background1"/>
            <w:noWrap/>
            <w:vAlign w:val="center"/>
            <w:hideMark/>
          </w:tcPr>
          <w:p w14:paraId="6EDCF6BC" w14:textId="77777777" w:rsidR="00D71745" w:rsidRPr="007114AF" w:rsidRDefault="00D71745" w:rsidP="00D71745">
            <w:pPr>
              <w:spacing w:after="0" w:line="240" w:lineRule="auto"/>
              <w:rPr>
                <w:rFonts w:ascii="Garamond" w:hAnsi="Garamond"/>
                <w:sz w:val="18"/>
                <w:szCs w:val="18"/>
              </w:rPr>
            </w:pPr>
            <w:r w:rsidRPr="007114AF">
              <w:rPr>
                <w:rFonts w:ascii="Garamond" w:hAnsi="Garamond"/>
                <w:sz w:val="18"/>
                <w:szCs w:val="18"/>
              </w:rPr>
              <w:t xml:space="preserve">Mbetje </w:t>
            </w:r>
          </w:p>
        </w:tc>
        <w:tc>
          <w:tcPr>
            <w:tcW w:w="203" w:type="pct"/>
            <w:tcBorders>
              <w:top w:val="single" w:sz="2" w:space="0" w:color="auto"/>
              <w:left w:val="single" w:sz="2" w:space="0" w:color="auto"/>
              <w:bottom w:val="single" w:sz="2" w:space="0" w:color="auto"/>
              <w:right w:val="single" w:sz="2" w:space="0" w:color="auto"/>
            </w:tcBorders>
            <w:shd w:val="clear" w:color="auto" w:fill="FFFFFF" w:themeFill="background1"/>
            <w:noWrap/>
            <w:vAlign w:val="center"/>
            <w:hideMark/>
          </w:tcPr>
          <w:p w14:paraId="6EDCF6BD"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w:t>
            </w:r>
          </w:p>
        </w:tc>
        <w:tc>
          <w:tcPr>
            <w:tcW w:w="235" w:type="pct"/>
            <w:tcBorders>
              <w:top w:val="single" w:sz="2" w:space="0" w:color="auto"/>
              <w:left w:val="single" w:sz="2" w:space="0" w:color="auto"/>
              <w:bottom w:val="single" w:sz="2" w:space="0" w:color="auto"/>
              <w:right w:val="single" w:sz="2" w:space="0" w:color="auto"/>
            </w:tcBorders>
            <w:shd w:val="clear" w:color="auto" w:fill="FFFFFF" w:themeFill="background1"/>
            <w:noWrap/>
            <w:vAlign w:val="center"/>
            <w:hideMark/>
          </w:tcPr>
          <w:p w14:paraId="6EDCF6BE"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w:t>
            </w:r>
          </w:p>
        </w:tc>
        <w:tc>
          <w:tcPr>
            <w:tcW w:w="218" w:type="pct"/>
            <w:tcBorders>
              <w:top w:val="single" w:sz="2" w:space="0" w:color="auto"/>
              <w:left w:val="single" w:sz="2" w:space="0" w:color="auto"/>
              <w:bottom w:val="single" w:sz="2" w:space="0" w:color="auto"/>
              <w:right w:val="single" w:sz="2" w:space="0" w:color="auto"/>
            </w:tcBorders>
            <w:shd w:val="clear" w:color="auto" w:fill="FFFFFF" w:themeFill="background1"/>
            <w:noWrap/>
            <w:vAlign w:val="center"/>
            <w:hideMark/>
          </w:tcPr>
          <w:p w14:paraId="6EDCF6BF"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w:t>
            </w:r>
          </w:p>
        </w:tc>
        <w:tc>
          <w:tcPr>
            <w:tcW w:w="218" w:type="pct"/>
            <w:tcBorders>
              <w:top w:val="single" w:sz="2" w:space="0" w:color="auto"/>
              <w:left w:val="single" w:sz="2" w:space="0" w:color="auto"/>
              <w:bottom w:val="single" w:sz="2" w:space="0" w:color="auto"/>
              <w:right w:val="single" w:sz="2" w:space="0" w:color="auto"/>
            </w:tcBorders>
            <w:shd w:val="clear" w:color="auto" w:fill="FFFFFF" w:themeFill="background1"/>
            <w:noWrap/>
            <w:vAlign w:val="center"/>
            <w:hideMark/>
          </w:tcPr>
          <w:p w14:paraId="6EDCF6C0"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w:t>
            </w:r>
          </w:p>
        </w:tc>
        <w:tc>
          <w:tcPr>
            <w:tcW w:w="218" w:type="pct"/>
            <w:tcBorders>
              <w:top w:val="single" w:sz="2" w:space="0" w:color="auto"/>
              <w:left w:val="single" w:sz="2" w:space="0" w:color="auto"/>
              <w:bottom w:val="single" w:sz="2" w:space="0" w:color="auto"/>
              <w:right w:val="single" w:sz="2" w:space="0" w:color="auto"/>
            </w:tcBorders>
            <w:shd w:val="clear" w:color="auto" w:fill="FFFFFF" w:themeFill="background1"/>
            <w:noWrap/>
            <w:vAlign w:val="center"/>
            <w:hideMark/>
          </w:tcPr>
          <w:p w14:paraId="6EDCF6C1"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w:t>
            </w:r>
          </w:p>
        </w:tc>
        <w:tc>
          <w:tcPr>
            <w:tcW w:w="218" w:type="pct"/>
            <w:tcBorders>
              <w:top w:val="single" w:sz="2" w:space="0" w:color="auto"/>
              <w:left w:val="single" w:sz="2" w:space="0" w:color="auto"/>
              <w:bottom w:val="single" w:sz="2" w:space="0" w:color="auto"/>
              <w:right w:val="single" w:sz="2" w:space="0" w:color="auto"/>
            </w:tcBorders>
            <w:shd w:val="clear" w:color="auto" w:fill="FFFFFF" w:themeFill="background1"/>
            <w:noWrap/>
            <w:vAlign w:val="center"/>
            <w:hideMark/>
          </w:tcPr>
          <w:p w14:paraId="6EDCF6C2"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w:t>
            </w:r>
          </w:p>
        </w:tc>
        <w:tc>
          <w:tcPr>
            <w:tcW w:w="218" w:type="pct"/>
            <w:tcBorders>
              <w:top w:val="single" w:sz="2" w:space="0" w:color="auto"/>
              <w:left w:val="single" w:sz="2" w:space="0" w:color="auto"/>
              <w:bottom w:val="single" w:sz="2" w:space="0" w:color="auto"/>
              <w:right w:val="single" w:sz="2" w:space="0" w:color="auto"/>
            </w:tcBorders>
            <w:shd w:val="clear" w:color="auto" w:fill="FFFFFF" w:themeFill="background1"/>
            <w:noWrap/>
            <w:vAlign w:val="center"/>
            <w:hideMark/>
          </w:tcPr>
          <w:p w14:paraId="6EDCF6C3"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w:t>
            </w:r>
          </w:p>
        </w:tc>
        <w:tc>
          <w:tcPr>
            <w:tcW w:w="218" w:type="pct"/>
            <w:tcBorders>
              <w:top w:val="single" w:sz="2" w:space="0" w:color="auto"/>
              <w:left w:val="single" w:sz="2" w:space="0" w:color="auto"/>
              <w:bottom w:val="single" w:sz="2" w:space="0" w:color="auto"/>
              <w:right w:val="single" w:sz="2" w:space="0" w:color="auto"/>
            </w:tcBorders>
            <w:shd w:val="clear" w:color="auto" w:fill="FFFFFF" w:themeFill="background1"/>
            <w:noWrap/>
            <w:vAlign w:val="center"/>
            <w:hideMark/>
          </w:tcPr>
          <w:p w14:paraId="6EDCF6C4"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w:t>
            </w:r>
          </w:p>
        </w:tc>
        <w:tc>
          <w:tcPr>
            <w:tcW w:w="218" w:type="pct"/>
            <w:tcBorders>
              <w:top w:val="single" w:sz="2" w:space="0" w:color="auto"/>
              <w:left w:val="single" w:sz="2" w:space="0" w:color="auto"/>
              <w:bottom w:val="single" w:sz="2" w:space="0" w:color="auto"/>
              <w:right w:val="single" w:sz="2" w:space="0" w:color="auto"/>
            </w:tcBorders>
            <w:shd w:val="clear" w:color="auto" w:fill="FFFFFF" w:themeFill="background1"/>
            <w:noWrap/>
            <w:vAlign w:val="center"/>
            <w:hideMark/>
          </w:tcPr>
          <w:p w14:paraId="6EDCF6C5"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w:t>
            </w:r>
          </w:p>
        </w:tc>
        <w:tc>
          <w:tcPr>
            <w:tcW w:w="218" w:type="pct"/>
            <w:tcBorders>
              <w:top w:val="single" w:sz="2" w:space="0" w:color="auto"/>
              <w:left w:val="single" w:sz="2" w:space="0" w:color="auto"/>
              <w:bottom w:val="single" w:sz="2" w:space="0" w:color="auto"/>
              <w:right w:val="single" w:sz="2" w:space="0" w:color="auto"/>
            </w:tcBorders>
            <w:shd w:val="clear" w:color="auto" w:fill="FFFFFF" w:themeFill="background1"/>
            <w:noWrap/>
            <w:vAlign w:val="center"/>
            <w:hideMark/>
          </w:tcPr>
          <w:p w14:paraId="6EDCF6C6"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w:t>
            </w:r>
          </w:p>
        </w:tc>
        <w:tc>
          <w:tcPr>
            <w:tcW w:w="237" w:type="pct"/>
            <w:tcBorders>
              <w:top w:val="single" w:sz="2" w:space="0" w:color="auto"/>
              <w:left w:val="single" w:sz="2" w:space="0" w:color="auto"/>
              <w:bottom w:val="single" w:sz="2" w:space="0" w:color="auto"/>
              <w:right w:val="single" w:sz="2" w:space="0" w:color="auto"/>
            </w:tcBorders>
            <w:shd w:val="clear" w:color="auto" w:fill="FFFFFF" w:themeFill="background1"/>
            <w:noWrap/>
            <w:vAlign w:val="center"/>
            <w:hideMark/>
          </w:tcPr>
          <w:p w14:paraId="6EDCF6C7"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591</w:t>
            </w:r>
          </w:p>
        </w:tc>
        <w:tc>
          <w:tcPr>
            <w:tcW w:w="200" w:type="pct"/>
            <w:tcBorders>
              <w:top w:val="single" w:sz="2" w:space="0" w:color="auto"/>
              <w:left w:val="single" w:sz="2" w:space="0" w:color="auto"/>
              <w:bottom w:val="single" w:sz="2" w:space="0" w:color="auto"/>
              <w:right w:val="single" w:sz="2" w:space="0" w:color="auto"/>
            </w:tcBorders>
            <w:shd w:val="clear" w:color="auto" w:fill="FFFFFF" w:themeFill="background1"/>
            <w:noWrap/>
            <w:vAlign w:val="center"/>
            <w:hideMark/>
          </w:tcPr>
          <w:p w14:paraId="6EDCF6C8"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593</w:t>
            </w:r>
          </w:p>
        </w:tc>
        <w:tc>
          <w:tcPr>
            <w:tcW w:w="218" w:type="pct"/>
            <w:tcBorders>
              <w:top w:val="single" w:sz="2" w:space="0" w:color="auto"/>
              <w:left w:val="single" w:sz="2" w:space="0" w:color="auto"/>
              <w:bottom w:val="single" w:sz="2" w:space="0" w:color="auto"/>
              <w:right w:val="single" w:sz="2" w:space="0" w:color="auto"/>
            </w:tcBorders>
            <w:shd w:val="clear" w:color="auto" w:fill="FFFFFF" w:themeFill="background1"/>
            <w:noWrap/>
            <w:vAlign w:val="center"/>
            <w:hideMark/>
          </w:tcPr>
          <w:p w14:paraId="6EDCF6C9"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592</w:t>
            </w:r>
          </w:p>
        </w:tc>
        <w:tc>
          <w:tcPr>
            <w:tcW w:w="218" w:type="pct"/>
            <w:tcBorders>
              <w:top w:val="single" w:sz="2" w:space="0" w:color="auto"/>
              <w:left w:val="single" w:sz="2" w:space="0" w:color="auto"/>
              <w:bottom w:val="single" w:sz="2" w:space="0" w:color="auto"/>
              <w:right w:val="single" w:sz="2" w:space="0" w:color="auto"/>
            </w:tcBorders>
            <w:shd w:val="clear" w:color="auto" w:fill="FFFFFF" w:themeFill="background1"/>
            <w:noWrap/>
            <w:vAlign w:val="center"/>
            <w:hideMark/>
          </w:tcPr>
          <w:p w14:paraId="6EDCF6CA"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601</w:t>
            </w:r>
          </w:p>
        </w:tc>
        <w:tc>
          <w:tcPr>
            <w:tcW w:w="218" w:type="pct"/>
            <w:tcBorders>
              <w:top w:val="single" w:sz="2" w:space="0" w:color="auto"/>
              <w:left w:val="single" w:sz="2" w:space="0" w:color="auto"/>
              <w:bottom w:val="single" w:sz="2" w:space="0" w:color="auto"/>
              <w:right w:val="single" w:sz="2" w:space="0" w:color="auto"/>
            </w:tcBorders>
            <w:shd w:val="clear" w:color="auto" w:fill="FFFFFF" w:themeFill="background1"/>
            <w:noWrap/>
            <w:vAlign w:val="center"/>
            <w:hideMark/>
          </w:tcPr>
          <w:p w14:paraId="6EDCF6CB"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647</w:t>
            </w:r>
          </w:p>
        </w:tc>
        <w:tc>
          <w:tcPr>
            <w:tcW w:w="218" w:type="pct"/>
            <w:tcBorders>
              <w:top w:val="single" w:sz="2" w:space="0" w:color="auto"/>
              <w:left w:val="single" w:sz="2" w:space="0" w:color="auto"/>
              <w:bottom w:val="single" w:sz="2" w:space="0" w:color="auto"/>
              <w:right w:val="single" w:sz="2" w:space="0" w:color="auto"/>
            </w:tcBorders>
            <w:shd w:val="clear" w:color="auto" w:fill="FFFFFF" w:themeFill="background1"/>
            <w:noWrap/>
            <w:vAlign w:val="center"/>
            <w:hideMark/>
          </w:tcPr>
          <w:p w14:paraId="6EDCF6CC"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653</w:t>
            </w:r>
          </w:p>
        </w:tc>
        <w:tc>
          <w:tcPr>
            <w:tcW w:w="218" w:type="pct"/>
            <w:tcBorders>
              <w:top w:val="single" w:sz="2" w:space="0" w:color="auto"/>
              <w:left w:val="single" w:sz="2" w:space="0" w:color="auto"/>
              <w:bottom w:val="single" w:sz="2" w:space="0" w:color="auto"/>
              <w:right w:val="single" w:sz="2" w:space="0" w:color="auto"/>
            </w:tcBorders>
            <w:shd w:val="clear" w:color="auto" w:fill="FFFFFF" w:themeFill="background1"/>
            <w:noWrap/>
            <w:vAlign w:val="center"/>
            <w:hideMark/>
          </w:tcPr>
          <w:p w14:paraId="6EDCF6CD"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723</w:t>
            </w:r>
          </w:p>
        </w:tc>
        <w:tc>
          <w:tcPr>
            <w:tcW w:w="218" w:type="pct"/>
            <w:tcBorders>
              <w:top w:val="single" w:sz="2" w:space="0" w:color="auto"/>
              <w:left w:val="single" w:sz="2" w:space="0" w:color="auto"/>
              <w:bottom w:val="single" w:sz="2" w:space="0" w:color="auto"/>
              <w:right w:val="single" w:sz="2" w:space="0" w:color="auto"/>
            </w:tcBorders>
            <w:shd w:val="clear" w:color="auto" w:fill="FFFFFF" w:themeFill="background1"/>
            <w:noWrap/>
            <w:vAlign w:val="center"/>
            <w:hideMark/>
          </w:tcPr>
          <w:p w14:paraId="6EDCF6CE"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731</w:t>
            </w:r>
          </w:p>
        </w:tc>
        <w:tc>
          <w:tcPr>
            <w:tcW w:w="218" w:type="pct"/>
            <w:tcBorders>
              <w:top w:val="single" w:sz="2" w:space="0" w:color="auto"/>
              <w:left w:val="single" w:sz="2" w:space="0" w:color="auto"/>
              <w:bottom w:val="single" w:sz="2" w:space="0" w:color="auto"/>
              <w:right w:val="single" w:sz="2" w:space="0" w:color="auto"/>
            </w:tcBorders>
            <w:shd w:val="clear" w:color="auto" w:fill="FFFFFF" w:themeFill="background1"/>
            <w:noWrap/>
            <w:vAlign w:val="center"/>
            <w:hideMark/>
          </w:tcPr>
          <w:p w14:paraId="6EDCF6CF"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698</w:t>
            </w:r>
          </w:p>
        </w:tc>
        <w:tc>
          <w:tcPr>
            <w:tcW w:w="212" w:type="pct"/>
            <w:tcBorders>
              <w:top w:val="single" w:sz="2" w:space="0" w:color="auto"/>
              <w:left w:val="single" w:sz="2" w:space="0" w:color="auto"/>
              <w:bottom w:val="single" w:sz="2" w:space="0" w:color="auto"/>
              <w:right w:val="single" w:sz="12" w:space="0" w:color="auto"/>
            </w:tcBorders>
            <w:shd w:val="clear" w:color="auto" w:fill="FFFFFF" w:themeFill="background1"/>
            <w:noWrap/>
            <w:vAlign w:val="center"/>
            <w:hideMark/>
          </w:tcPr>
          <w:p w14:paraId="6EDCF6D0"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828</w:t>
            </w:r>
          </w:p>
        </w:tc>
      </w:tr>
      <w:tr w:rsidR="00D71745" w:rsidRPr="007114AF" w14:paraId="6EDCF6E8" w14:textId="77777777" w:rsidTr="00D71745">
        <w:trPr>
          <w:trHeight w:hRule="exact" w:val="303"/>
        </w:trPr>
        <w:tc>
          <w:tcPr>
            <w:tcW w:w="190" w:type="pct"/>
            <w:vMerge/>
            <w:tcBorders>
              <w:top w:val="single" w:sz="12" w:space="0" w:color="auto"/>
              <w:left w:val="single" w:sz="12" w:space="0" w:color="auto"/>
              <w:bottom w:val="single" w:sz="12" w:space="0" w:color="auto"/>
              <w:right w:val="single" w:sz="2" w:space="0" w:color="auto"/>
            </w:tcBorders>
            <w:shd w:val="clear" w:color="auto" w:fill="FFFFFF" w:themeFill="background1"/>
            <w:vAlign w:val="center"/>
            <w:hideMark/>
          </w:tcPr>
          <w:p w14:paraId="6EDCF6D2" w14:textId="77777777" w:rsidR="00D71745" w:rsidRPr="007114AF" w:rsidRDefault="00D71745" w:rsidP="00D71745">
            <w:pPr>
              <w:spacing w:after="0" w:line="240" w:lineRule="auto"/>
              <w:rPr>
                <w:rFonts w:ascii="Garamond" w:hAnsi="Garamond"/>
                <w:sz w:val="18"/>
                <w:szCs w:val="18"/>
              </w:rPr>
            </w:pPr>
          </w:p>
        </w:tc>
        <w:tc>
          <w:tcPr>
            <w:tcW w:w="453" w:type="pct"/>
            <w:tcBorders>
              <w:top w:val="single" w:sz="2" w:space="0" w:color="auto"/>
              <w:left w:val="single" w:sz="2" w:space="0" w:color="auto"/>
              <w:bottom w:val="single" w:sz="12" w:space="0" w:color="auto"/>
              <w:right w:val="single" w:sz="2" w:space="0" w:color="auto"/>
            </w:tcBorders>
            <w:shd w:val="clear" w:color="auto" w:fill="FFFFFF" w:themeFill="background1"/>
            <w:noWrap/>
            <w:vAlign w:val="center"/>
            <w:hideMark/>
          </w:tcPr>
          <w:p w14:paraId="6EDCF6D3" w14:textId="77777777" w:rsidR="00D71745" w:rsidRPr="007114AF" w:rsidRDefault="00D71745" w:rsidP="00D71745">
            <w:pPr>
              <w:spacing w:after="0" w:line="240" w:lineRule="auto"/>
              <w:rPr>
                <w:rFonts w:ascii="Garamond" w:hAnsi="Garamond"/>
                <w:sz w:val="18"/>
                <w:szCs w:val="18"/>
              </w:rPr>
            </w:pPr>
            <w:r w:rsidRPr="007114AF">
              <w:rPr>
                <w:rFonts w:ascii="Garamond" w:hAnsi="Garamond"/>
                <w:sz w:val="18"/>
                <w:szCs w:val="18"/>
              </w:rPr>
              <w:t>TOTAL</w:t>
            </w:r>
          </w:p>
        </w:tc>
        <w:tc>
          <w:tcPr>
            <w:tcW w:w="203" w:type="pct"/>
            <w:tcBorders>
              <w:top w:val="single" w:sz="2" w:space="0" w:color="auto"/>
              <w:left w:val="single" w:sz="2" w:space="0" w:color="auto"/>
              <w:bottom w:val="single" w:sz="12" w:space="0" w:color="auto"/>
              <w:right w:val="single" w:sz="2" w:space="0" w:color="auto"/>
            </w:tcBorders>
            <w:shd w:val="clear" w:color="auto" w:fill="FFFFFF" w:themeFill="background1"/>
            <w:noWrap/>
            <w:vAlign w:val="center"/>
            <w:hideMark/>
          </w:tcPr>
          <w:p w14:paraId="6EDCF6D4"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w:t>
            </w:r>
          </w:p>
        </w:tc>
        <w:tc>
          <w:tcPr>
            <w:tcW w:w="235" w:type="pct"/>
            <w:tcBorders>
              <w:top w:val="single" w:sz="2" w:space="0" w:color="auto"/>
              <w:left w:val="single" w:sz="2" w:space="0" w:color="auto"/>
              <w:bottom w:val="single" w:sz="12" w:space="0" w:color="auto"/>
              <w:right w:val="single" w:sz="2" w:space="0" w:color="auto"/>
            </w:tcBorders>
            <w:shd w:val="clear" w:color="auto" w:fill="FFFFFF" w:themeFill="background1"/>
            <w:noWrap/>
            <w:vAlign w:val="center"/>
            <w:hideMark/>
          </w:tcPr>
          <w:p w14:paraId="6EDCF6D5"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w:t>
            </w:r>
          </w:p>
        </w:tc>
        <w:tc>
          <w:tcPr>
            <w:tcW w:w="218" w:type="pct"/>
            <w:tcBorders>
              <w:top w:val="single" w:sz="2" w:space="0" w:color="auto"/>
              <w:left w:val="single" w:sz="2" w:space="0" w:color="auto"/>
              <w:bottom w:val="single" w:sz="12" w:space="0" w:color="auto"/>
              <w:right w:val="single" w:sz="2" w:space="0" w:color="auto"/>
            </w:tcBorders>
            <w:shd w:val="clear" w:color="auto" w:fill="FFFFFF" w:themeFill="background1"/>
            <w:noWrap/>
            <w:vAlign w:val="center"/>
            <w:hideMark/>
          </w:tcPr>
          <w:p w14:paraId="6EDCF6D6"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w:t>
            </w:r>
          </w:p>
        </w:tc>
        <w:tc>
          <w:tcPr>
            <w:tcW w:w="218" w:type="pct"/>
            <w:tcBorders>
              <w:top w:val="single" w:sz="2" w:space="0" w:color="auto"/>
              <w:left w:val="single" w:sz="2" w:space="0" w:color="auto"/>
              <w:bottom w:val="single" w:sz="12" w:space="0" w:color="auto"/>
              <w:right w:val="single" w:sz="2" w:space="0" w:color="auto"/>
            </w:tcBorders>
            <w:shd w:val="clear" w:color="auto" w:fill="FFFFFF" w:themeFill="background1"/>
            <w:noWrap/>
            <w:vAlign w:val="center"/>
            <w:hideMark/>
          </w:tcPr>
          <w:p w14:paraId="6EDCF6D7"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w:t>
            </w:r>
          </w:p>
        </w:tc>
        <w:tc>
          <w:tcPr>
            <w:tcW w:w="218" w:type="pct"/>
            <w:tcBorders>
              <w:top w:val="single" w:sz="2" w:space="0" w:color="auto"/>
              <w:left w:val="single" w:sz="2" w:space="0" w:color="auto"/>
              <w:bottom w:val="single" w:sz="12" w:space="0" w:color="auto"/>
              <w:right w:val="single" w:sz="2" w:space="0" w:color="auto"/>
            </w:tcBorders>
            <w:shd w:val="clear" w:color="auto" w:fill="FFFFFF" w:themeFill="background1"/>
            <w:noWrap/>
            <w:vAlign w:val="center"/>
            <w:hideMark/>
          </w:tcPr>
          <w:p w14:paraId="6EDCF6D8"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w:t>
            </w:r>
          </w:p>
        </w:tc>
        <w:tc>
          <w:tcPr>
            <w:tcW w:w="218" w:type="pct"/>
            <w:tcBorders>
              <w:top w:val="single" w:sz="2" w:space="0" w:color="auto"/>
              <w:left w:val="single" w:sz="2" w:space="0" w:color="auto"/>
              <w:bottom w:val="single" w:sz="12" w:space="0" w:color="auto"/>
              <w:right w:val="single" w:sz="2" w:space="0" w:color="auto"/>
            </w:tcBorders>
            <w:shd w:val="clear" w:color="auto" w:fill="FFFFFF" w:themeFill="background1"/>
            <w:noWrap/>
            <w:vAlign w:val="center"/>
            <w:hideMark/>
          </w:tcPr>
          <w:p w14:paraId="6EDCF6D9"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w:t>
            </w:r>
          </w:p>
        </w:tc>
        <w:tc>
          <w:tcPr>
            <w:tcW w:w="218" w:type="pct"/>
            <w:tcBorders>
              <w:top w:val="single" w:sz="2" w:space="0" w:color="auto"/>
              <w:left w:val="single" w:sz="2" w:space="0" w:color="auto"/>
              <w:bottom w:val="single" w:sz="12" w:space="0" w:color="auto"/>
              <w:right w:val="single" w:sz="2" w:space="0" w:color="auto"/>
            </w:tcBorders>
            <w:shd w:val="clear" w:color="auto" w:fill="FFFFFF" w:themeFill="background1"/>
            <w:noWrap/>
            <w:vAlign w:val="center"/>
            <w:hideMark/>
          </w:tcPr>
          <w:p w14:paraId="6EDCF6DA"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w:t>
            </w:r>
          </w:p>
        </w:tc>
        <w:tc>
          <w:tcPr>
            <w:tcW w:w="218" w:type="pct"/>
            <w:tcBorders>
              <w:top w:val="single" w:sz="2" w:space="0" w:color="auto"/>
              <w:left w:val="single" w:sz="2" w:space="0" w:color="auto"/>
              <w:bottom w:val="single" w:sz="12" w:space="0" w:color="auto"/>
              <w:right w:val="single" w:sz="2" w:space="0" w:color="auto"/>
            </w:tcBorders>
            <w:shd w:val="clear" w:color="auto" w:fill="FFFFFF" w:themeFill="background1"/>
            <w:noWrap/>
            <w:vAlign w:val="center"/>
            <w:hideMark/>
          </w:tcPr>
          <w:p w14:paraId="6EDCF6DB"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w:t>
            </w:r>
          </w:p>
        </w:tc>
        <w:tc>
          <w:tcPr>
            <w:tcW w:w="218" w:type="pct"/>
            <w:tcBorders>
              <w:top w:val="single" w:sz="2" w:space="0" w:color="auto"/>
              <w:left w:val="single" w:sz="2" w:space="0" w:color="auto"/>
              <w:bottom w:val="single" w:sz="12" w:space="0" w:color="auto"/>
              <w:right w:val="single" w:sz="2" w:space="0" w:color="auto"/>
            </w:tcBorders>
            <w:shd w:val="clear" w:color="auto" w:fill="FFFFFF" w:themeFill="background1"/>
            <w:noWrap/>
            <w:vAlign w:val="center"/>
            <w:hideMark/>
          </w:tcPr>
          <w:p w14:paraId="6EDCF6DC"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w:t>
            </w:r>
          </w:p>
        </w:tc>
        <w:tc>
          <w:tcPr>
            <w:tcW w:w="218" w:type="pct"/>
            <w:tcBorders>
              <w:top w:val="single" w:sz="2" w:space="0" w:color="auto"/>
              <w:left w:val="single" w:sz="2" w:space="0" w:color="auto"/>
              <w:bottom w:val="single" w:sz="12" w:space="0" w:color="auto"/>
              <w:right w:val="single" w:sz="2" w:space="0" w:color="auto"/>
            </w:tcBorders>
            <w:shd w:val="clear" w:color="auto" w:fill="FFFFFF" w:themeFill="background1"/>
            <w:noWrap/>
            <w:vAlign w:val="center"/>
            <w:hideMark/>
          </w:tcPr>
          <w:p w14:paraId="6EDCF6DD" w14:textId="77777777" w:rsidR="00D71745" w:rsidRPr="007114AF" w:rsidRDefault="00D71745" w:rsidP="00D71745">
            <w:pPr>
              <w:spacing w:after="0" w:line="240" w:lineRule="auto"/>
              <w:rPr>
                <w:rFonts w:ascii="Garamond" w:hAnsi="Garamond"/>
                <w:sz w:val="18"/>
                <w:szCs w:val="18"/>
              </w:rPr>
            </w:pPr>
            <w:r w:rsidRPr="007114AF">
              <w:rPr>
                <w:rFonts w:ascii="Garamond" w:hAnsi="Garamond"/>
                <w:color w:val="000000"/>
                <w:sz w:val="18"/>
                <w:szCs w:val="18"/>
              </w:rPr>
              <w:t>-</w:t>
            </w:r>
          </w:p>
        </w:tc>
        <w:tc>
          <w:tcPr>
            <w:tcW w:w="237" w:type="pct"/>
            <w:tcBorders>
              <w:top w:val="single" w:sz="2" w:space="0" w:color="auto"/>
              <w:left w:val="single" w:sz="2" w:space="0" w:color="auto"/>
              <w:bottom w:val="single" w:sz="12" w:space="0" w:color="auto"/>
              <w:right w:val="single" w:sz="2" w:space="0" w:color="auto"/>
            </w:tcBorders>
            <w:shd w:val="clear" w:color="auto" w:fill="FFFFFF" w:themeFill="background1"/>
            <w:noWrap/>
            <w:vAlign w:val="center"/>
            <w:hideMark/>
          </w:tcPr>
          <w:p w14:paraId="6EDCF6DE" w14:textId="77777777" w:rsidR="00D71745" w:rsidRPr="007114AF" w:rsidRDefault="00D71745" w:rsidP="00D71745">
            <w:pPr>
              <w:spacing w:after="0" w:line="240" w:lineRule="auto"/>
              <w:rPr>
                <w:rFonts w:ascii="Garamond" w:hAnsi="Garamond"/>
                <w:sz w:val="18"/>
                <w:szCs w:val="18"/>
              </w:rPr>
            </w:pPr>
            <w:r w:rsidRPr="007114AF">
              <w:rPr>
                <w:rFonts w:ascii="Garamond" w:hAnsi="Garamond"/>
                <w:iCs/>
                <w:color w:val="000000"/>
                <w:sz w:val="18"/>
                <w:szCs w:val="18"/>
              </w:rPr>
              <w:t>9075</w:t>
            </w:r>
          </w:p>
        </w:tc>
        <w:tc>
          <w:tcPr>
            <w:tcW w:w="200" w:type="pct"/>
            <w:tcBorders>
              <w:top w:val="single" w:sz="2" w:space="0" w:color="auto"/>
              <w:left w:val="single" w:sz="2" w:space="0" w:color="auto"/>
              <w:bottom w:val="single" w:sz="12" w:space="0" w:color="auto"/>
              <w:right w:val="single" w:sz="2" w:space="0" w:color="auto"/>
            </w:tcBorders>
            <w:shd w:val="clear" w:color="auto" w:fill="FFFFFF" w:themeFill="background1"/>
            <w:noWrap/>
            <w:vAlign w:val="center"/>
            <w:hideMark/>
          </w:tcPr>
          <w:p w14:paraId="6EDCF6DF" w14:textId="77777777" w:rsidR="00D71745" w:rsidRPr="007114AF" w:rsidRDefault="00D71745" w:rsidP="00D71745">
            <w:pPr>
              <w:spacing w:after="0" w:line="240" w:lineRule="auto"/>
              <w:rPr>
                <w:rFonts w:ascii="Garamond" w:hAnsi="Garamond"/>
                <w:sz w:val="18"/>
                <w:szCs w:val="18"/>
              </w:rPr>
            </w:pPr>
            <w:r w:rsidRPr="007114AF">
              <w:rPr>
                <w:rFonts w:ascii="Garamond" w:hAnsi="Garamond"/>
                <w:iCs/>
                <w:color w:val="000000"/>
                <w:sz w:val="18"/>
                <w:szCs w:val="18"/>
              </w:rPr>
              <w:t>8962</w:t>
            </w:r>
          </w:p>
        </w:tc>
        <w:tc>
          <w:tcPr>
            <w:tcW w:w="218" w:type="pct"/>
            <w:tcBorders>
              <w:top w:val="single" w:sz="2" w:space="0" w:color="auto"/>
              <w:left w:val="single" w:sz="2" w:space="0" w:color="auto"/>
              <w:bottom w:val="single" w:sz="12" w:space="0" w:color="auto"/>
              <w:right w:val="single" w:sz="2" w:space="0" w:color="auto"/>
            </w:tcBorders>
            <w:shd w:val="clear" w:color="auto" w:fill="FFFFFF" w:themeFill="background1"/>
            <w:noWrap/>
            <w:vAlign w:val="center"/>
            <w:hideMark/>
          </w:tcPr>
          <w:p w14:paraId="6EDCF6E0" w14:textId="77777777" w:rsidR="00D71745" w:rsidRPr="007114AF" w:rsidRDefault="00D71745" w:rsidP="00D71745">
            <w:pPr>
              <w:spacing w:after="0" w:line="240" w:lineRule="auto"/>
              <w:rPr>
                <w:rFonts w:ascii="Garamond" w:hAnsi="Garamond"/>
                <w:sz w:val="18"/>
                <w:szCs w:val="18"/>
              </w:rPr>
            </w:pPr>
            <w:r w:rsidRPr="007114AF">
              <w:rPr>
                <w:rFonts w:ascii="Garamond" w:hAnsi="Garamond"/>
                <w:iCs/>
                <w:color w:val="000000"/>
                <w:sz w:val="18"/>
                <w:szCs w:val="18"/>
              </w:rPr>
              <w:t>8527</w:t>
            </w:r>
          </w:p>
        </w:tc>
        <w:tc>
          <w:tcPr>
            <w:tcW w:w="218" w:type="pct"/>
            <w:tcBorders>
              <w:top w:val="single" w:sz="2" w:space="0" w:color="auto"/>
              <w:left w:val="single" w:sz="2" w:space="0" w:color="auto"/>
              <w:bottom w:val="single" w:sz="12" w:space="0" w:color="auto"/>
              <w:right w:val="single" w:sz="2" w:space="0" w:color="auto"/>
            </w:tcBorders>
            <w:shd w:val="clear" w:color="auto" w:fill="FFFFFF" w:themeFill="background1"/>
            <w:noWrap/>
            <w:vAlign w:val="center"/>
            <w:hideMark/>
          </w:tcPr>
          <w:p w14:paraId="6EDCF6E1" w14:textId="77777777" w:rsidR="00D71745" w:rsidRPr="007114AF" w:rsidRDefault="00D71745" w:rsidP="00D71745">
            <w:pPr>
              <w:spacing w:after="0" w:line="240" w:lineRule="auto"/>
              <w:rPr>
                <w:rFonts w:ascii="Garamond" w:hAnsi="Garamond"/>
                <w:sz w:val="18"/>
                <w:szCs w:val="18"/>
              </w:rPr>
            </w:pPr>
            <w:r w:rsidRPr="007114AF">
              <w:rPr>
                <w:rFonts w:ascii="Garamond" w:hAnsi="Garamond"/>
                <w:iCs/>
                <w:color w:val="000000"/>
                <w:sz w:val="18"/>
                <w:szCs w:val="18"/>
              </w:rPr>
              <w:t>8544</w:t>
            </w:r>
          </w:p>
        </w:tc>
        <w:tc>
          <w:tcPr>
            <w:tcW w:w="218" w:type="pct"/>
            <w:tcBorders>
              <w:top w:val="single" w:sz="2" w:space="0" w:color="auto"/>
              <w:left w:val="single" w:sz="2" w:space="0" w:color="auto"/>
              <w:bottom w:val="single" w:sz="12" w:space="0" w:color="auto"/>
              <w:right w:val="single" w:sz="2" w:space="0" w:color="auto"/>
            </w:tcBorders>
            <w:shd w:val="clear" w:color="auto" w:fill="FFFFFF" w:themeFill="background1"/>
            <w:noWrap/>
            <w:vAlign w:val="center"/>
            <w:hideMark/>
          </w:tcPr>
          <w:p w14:paraId="6EDCF6E2" w14:textId="77777777" w:rsidR="00D71745" w:rsidRPr="007114AF" w:rsidRDefault="00D71745" w:rsidP="00D71745">
            <w:pPr>
              <w:spacing w:after="0" w:line="240" w:lineRule="auto"/>
              <w:rPr>
                <w:rFonts w:ascii="Garamond" w:hAnsi="Garamond"/>
                <w:sz w:val="18"/>
                <w:szCs w:val="18"/>
              </w:rPr>
            </w:pPr>
            <w:r w:rsidRPr="007114AF">
              <w:rPr>
                <w:rFonts w:ascii="Garamond" w:hAnsi="Garamond"/>
                <w:iCs/>
                <w:color w:val="000000"/>
                <w:sz w:val="18"/>
                <w:szCs w:val="18"/>
              </w:rPr>
              <w:t>8976</w:t>
            </w:r>
          </w:p>
        </w:tc>
        <w:tc>
          <w:tcPr>
            <w:tcW w:w="218" w:type="pct"/>
            <w:tcBorders>
              <w:top w:val="single" w:sz="2" w:space="0" w:color="auto"/>
              <w:left w:val="single" w:sz="2" w:space="0" w:color="auto"/>
              <w:bottom w:val="single" w:sz="12" w:space="0" w:color="auto"/>
              <w:right w:val="single" w:sz="2" w:space="0" w:color="auto"/>
            </w:tcBorders>
            <w:shd w:val="clear" w:color="auto" w:fill="FFFFFF" w:themeFill="background1"/>
            <w:noWrap/>
            <w:vAlign w:val="center"/>
            <w:hideMark/>
          </w:tcPr>
          <w:p w14:paraId="6EDCF6E3" w14:textId="77777777" w:rsidR="00D71745" w:rsidRPr="007114AF" w:rsidRDefault="00D71745" w:rsidP="00D71745">
            <w:pPr>
              <w:spacing w:after="0" w:line="240" w:lineRule="auto"/>
              <w:rPr>
                <w:rFonts w:ascii="Garamond" w:hAnsi="Garamond"/>
                <w:sz w:val="18"/>
                <w:szCs w:val="18"/>
              </w:rPr>
            </w:pPr>
            <w:r w:rsidRPr="007114AF">
              <w:rPr>
                <w:rFonts w:ascii="Garamond" w:hAnsi="Garamond"/>
                <w:iCs/>
                <w:color w:val="000000"/>
                <w:sz w:val="18"/>
                <w:szCs w:val="18"/>
              </w:rPr>
              <w:t>8863</w:t>
            </w:r>
          </w:p>
        </w:tc>
        <w:tc>
          <w:tcPr>
            <w:tcW w:w="218" w:type="pct"/>
            <w:tcBorders>
              <w:top w:val="single" w:sz="2" w:space="0" w:color="auto"/>
              <w:left w:val="single" w:sz="2" w:space="0" w:color="auto"/>
              <w:bottom w:val="single" w:sz="12" w:space="0" w:color="auto"/>
              <w:right w:val="single" w:sz="2" w:space="0" w:color="auto"/>
            </w:tcBorders>
            <w:shd w:val="clear" w:color="auto" w:fill="FFFFFF" w:themeFill="background1"/>
            <w:noWrap/>
            <w:vAlign w:val="center"/>
            <w:hideMark/>
          </w:tcPr>
          <w:p w14:paraId="6EDCF6E4" w14:textId="77777777" w:rsidR="00D71745" w:rsidRPr="007114AF" w:rsidRDefault="00D71745" w:rsidP="00D71745">
            <w:pPr>
              <w:spacing w:after="0" w:line="240" w:lineRule="auto"/>
              <w:rPr>
                <w:rFonts w:ascii="Garamond" w:hAnsi="Garamond"/>
                <w:sz w:val="18"/>
                <w:szCs w:val="18"/>
              </w:rPr>
            </w:pPr>
            <w:r w:rsidRPr="007114AF">
              <w:rPr>
                <w:rFonts w:ascii="Garamond" w:hAnsi="Garamond"/>
                <w:iCs/>
                <w:color w:val="000000"/>
                <w:sz w:val="18"/>
                <w:szCs w:val="18"/>
              </w:rPr>
              <w:t>8824</w:t>
            </w:r>
          </w:p>
        </w:tc>
        <w:tc>
          <w:tcPr>
            <w:tcW w:w="218" w:type="pct"/>
            <w:tcBorders>
              <w:top w:val="single" w:sz="2" w:space="0" w:color="auto"/>
              <w:left w:val="single" w:sz="2" w:space="0" w:color="auto"/>
              <w:bottom w:val="single" w:sz="12" w:space="0" w:color="auto"/>
              <w:right w:val="single" w:sz="2" w:space="0" w:color="auto"/>
            </w:tcBorders>
            <w:shd w:val="clear" w:color="auto" w:fill="FFFFFF" w:themeFill="background1"/>
            <w:noWrap/>
            <w:vAlign w:val="center"/>
            <w:hideMark/>
          </w:tcPr>
          <w:p w14:paraId="6EDCF6E5" w14:textId="77777777" w:rsidR="00D71745" w:rsidRPr="007114AF" w:rsidRDefault="00D71745" w:rsidP="00D71745">
            <w:pPr>
              <w:spacing w:after="0" w:line="240" w:lineRule="auto"/>
              <w:rPr>
                <w:rFonts w:ascii="Garamond" w:hAnsi="Garamond"/>
                <w:sz w:val="18"/>
                <w:szCs w:val="18"/>
              </w:rPr>
            </w:pPr>
            <w:r w:rsidRPr="007114AF">
              <w:rPr>
                <w:rFonts w:ascii="Garamond" w:hAnsi="Garamond"/>
                <w:iCs/>
                <w:color w:val="000000"/>
                <w:sz w:val="18"/>
                <w:szCs w:val="18"/>
              </w:rPr>
              <w:t>9175</w:t>
            </w:r>
          </w:p>
        </w:tc>
        <w:tc>
          <w:tcPr>
            <w:tcW w:w="218" w:type="pct"/>
            <w:tcBorders>
              <w:top w:val="single" w:sz="2" w:space="0" w:color="auto"/>
              <w:left w:val="single" w:sz="2" w:space="0" w:color="auto"/>
              <w:bottom w:val="single" w:sz="12" w:space="0" w:color="auto"/>
              <w:right w:val="single" w:sz="2" w:space="0" w:color="auto"/>
            </w:tcBorders>
            <w:shd w:val="clear" w:color="auto" w:fill="FFFFFF" w:themeFill="background1"/>
            <w:noWrap/>
            <w:vAlign w:val="center"/>
            <w:hideMark/>
          </w:tcPr>
          <w:p w14:paraId="6EDCF6E6" w14:textId="77777777" w:rsidR="00D71745" w:rsidRPr="007114AF" w:rsidRDefault="00D71745" w:rsidP="00D71745">
            <w:pPr>
              <w:spacing w:after="0" w:line="240" w:lineRule="auto"/>
              <w:rPr>
                <w:rFonts w:ascii="Garamond" w:hAnsi="Garamond"/>
                <w:sz w:val="18"/>
                <w:szCs w:val="18"/>
              </w:rPr>
            </w:pPr>
            <w:r w:rsidRPr="007114AF">
              <w:rPr>
                <w:rFonts w:ascii="Garamond" w:hAnsi="Garamond"/>
                <w:iCs/>
                <w:color w:val="000000"/>
                <w:sz w:val="18"/>
                <w:szCs w:val="18"/>
              </w:rPr>
              <w:t>8810</w:t>
            </w:r>
          </w:p>
        </w:tc>
        <w:tc>
          <w:tcPr>
            <w:tcW w:w="212" w:type="pct"/>
            <w:tcBorders>
              <w:top w:val="single" w:sz="2" w:space="0" w:color="auto"/>
              <w:left w:val="single" w:sz="2" w:space="0" w:color="auto"/>
              <w:bottom w:val="single" w:sz="12" w:space="0" w:color="auto"/>
              <w:right w:val="single" w:sz="12" w:space="0" w:color="auto"/>
            </w:tcBorders>
            <w:shd w:val="clear" w:color="auto" w:fill="FFFFFF" w:themeFill="background1"/>
            <w:noWrap/>
            <w:vAlign w:val="center"/>
            <w:hideMark/>
          </w:tcPr>
          <w:p w14:paraId="6EDCF6E7" w14:textId="77777777" w:rsidR="00D71745" w:rsidRPr="007114AF" w:rsidRDefault="00D71745" w:rsidP="00D71745">
            <w:pPr>
              <w:spacing w:after="0" w:line="240" w:lineRule="auto"/>
              <w:rPr>
                <w:rFonts w:ascii="Garamond" w:hAnsi="Garamond"/>
                <w:sz w:val="18"/>
                <w:szCs w:val="18"/>
              </w:rPr>
            </w:pPr>
            <w:r w:rsidRPr="007114AF">
              <w:rPr>
                <w:rFonts w:ascii="Garamond" w:hAnsi="Garamond"/>
                <w:iCs/>
                <w:color w:val="000000"/>
                <w:sz w:val="18"/>
                <w:szCs w:val="18"/>
              </w:rPr>
              <w:t>8989</w:t>
            </w:r>
          </w:p>
        </w:tc>
      </w:tr>
    </w:tbl>
    <w:p w14:paraId="6EDCF6E9" w14:textId="77777777" w:rsidR="00D71745" w:rsidRPr="007114AF" w:rsidRDefault="00D71745" w:rsidP="00D71745">
      <w:pPr>
        <w:spacing w:after="0" w:line="240" w:lineRule="auto"/>
        <w:ind w:firstLine="284"/>
        <w:rPr>
          <w:rFonts w:ascii="Garamond" w:hAnsi="Garamond"/>
          <w:sz w:val="24"/>
          <w:szCs w:val="24"/>
        </w:rPr>
      </w:pPr>
    </w:p>
    <w:p w14:paraId="6EDCF6EA" w14:textId="77777777" w:rsidR="00D71745" w:rsidRPr="007114AF" w:rsidRDefault="00D71745" w:rsidP="00D71745">
      <w:pPr>
        <w:spacing w:after="0" w:line="240" w:lineRule="auto"/>
        <w:ind w:firstLine="284"/>
        <w:rPr>
          <w:rFonts w:ascii="Garamond" w:hAnsi="Garamond"/>
          <w:sz w:val="24"/>
          <w:szCs w:val="24"/>
        </w:rPr>
      </w:pPr>
    </w:p>
    <w:p w14:paraId="6EDCF6EB" w14:textId="77777777" w:rsidR="00D71745" w:rsidRPr="007114AF" w:rsidRDefault="00D71745" w:rsidP="00D71745">
      <w:pPr>
        <w:spacing w:after="0" w:line="240" w:lineRule="auto"/>
        <w:ind w:firstLine="284"/>
        <w:rPr>
          <w:rFonts w:ascii="Garamond" w:hAnsi="Garamond"/>
          <w:sz w:val="24"/>
          <w:szCs w:val="24"/>
        </w:rPr>
      </w:pPr>
    </w:p>
    <w:p w14:paraId="6EDCF6EC" w14:textId="77777777" w:rsidR="00D71745" w:rsidRPr="007114AF" w:rsidRDefault="00D71745" w:rsidP="00D71745">
      <w:pPr>
        <w:spacing w:after="0" w:line="240" w:lineRule="auto"/>
        <w:ind w:firstLine="284"/>
        <w:rPr>
          <w:rFonts w:ascii="Garamond" w:hAnsi="Garamond"/>
          <w:sz w:val="24"/>
          <w:szCs w:val="24"/>
        </w:rPr>
      </w:pPr>
    </w:p>
    <w:p w14:paraId="6EDCF6ED" w14:textId="77777777" w:rsidR="00D71745" w:rsidRPr="007114AF" w:rsidRDefault="00D71745" w:rsidP="00D71745">
      <w:pPr>
        <w:spacing w:after="0" w:line="240" w:lineRule="auto"/>
        <w:ind w:firstLine="284"/>
        <w:rPr>
          <w:rFonts w:ascii="Garamond" w:hAnsi="Garamond"/>
          <w:sz w:val="24"/>
          <w:szCs w:val="24"/>
        </w:rPr>
      </w:pPr>
    </w:p>
    <w:p w14:paraId="6EDCF6EE" w14:textId="77777777" w:rsidR="00D71745" w:rsidRPr="007114AF" w:rsidRDefault="00D71745" w:rsidP="00D71745">
      <w:pPr>
        <w:spacing w:after="0" w:line="240" w:lineRule="auto"/>
        <w:ind w:firstLine="284"/>
        <w:rPr>
          <w:rFonts w:ascii="Garamond" w:hAnsi="Garamond"/>
          <w:sz w:val="24"/>
          <w:szCs w:val="24"/>
        </w:rPr>
      </w:pPr>
    </w:p>
    <w:p w14:paraId="6EDCF6EF" w14:textId="77777777" w:rsidR="00D71745" w:rsidRPr="007114AF" w:rsidRDefault="00D71745" w:rsidP="00D71745">
      <w:pPr>
        <w:spacing w:after="0" w:line="240" w:lineRule="auto"/>
        <w:ind w:firstLine="284"/>
        <w:rPr>
          <w:rFonts w:ascii="Garamond" w:hAnsi="Garamond"/>
          <w:sz w:val="24"/>
          <w:szCs w:val="24"/>
        </w:rPr>
      </w:pPr>
    </w:p>
    <w:p w14:paraId="6EDCF6F0" w14:textId="77777777" w:rsidR="00D71745" w:rsidRPr="007114AF" w:rsidRDefault="00D71745" w:rsidP="00D71745">
      <w:pPr>
        <w:spacing w:after="0" w:line="240" w:lineRule="auto"/>
        <w:ind w:firstLine="284"/>
        <w:rPr>
          <w:rFonts w:ascii="Garamond" w:hAnsi="Garamond"/>
          <w:sz w:val="24"/>
          <w:szCs w:val="24"/>
        </w:rPr>
      </w:pPr>
    </w:p>
    <w:p w14:paraId="6EDCF6F1" w14:textId="77777777" w:rsidR="00D71745" w:rsidRPr="007114AF" w:rsidRDefault="00D71745" w:rsidP="00D71745">
      <w:pPr>
        <w:spacing w:after="0" w:line="240" w:lineRule="auto"/>
        <w:ind w:firstLine="284"/>
        <w:rPr>
          <w:rFonts w:ascii="Garamond" w:hAnsi="Garamond"/>
          <w:sz w:val="24"/>
          <w:szCs w:val="24"/>
        </w:rPr>
      </w:pPr>
    </w:p>
    <w:p w14:paraId="6EDCF6F2" w14:textId="77777777" w:rsidR="00D71745" w:rsidRPr="007114AF" w:rsidRDefault="00D71745" w:rsidP="00D71745">
      <w:pPr>
        <w:spacing w:after="0" w:line="240" w:lineRule="auto"/>
        <w:ind w:firstLine="284"/>
        <w:rPr>
          <w:rFonts w:ascii="Garamond" w:hAnsi="Garamond"/>
          <w:sz w:val="24"/>
          <w:szCs w:val="24"/>
        </w:rPr>
      </w:pPr>
    </w:p>
    <w:p w14:paraId="6EDCF6F3" w14:textId="77777777" w:rsidR="00D71745" w:rsidRPr="007114AF" w:rsidRDefault="00D71745" w:rsidP="00D71745">
      <w:pPr>
        <w:spacing w:after="0" w:line="240" w:lineRule="auto"/>
        <w:ind w:firstLine="284"/>
        <w:rPr>
          <w:rFonts w:ascii="Garamond" w:hAnsi="Garamond"/>
          <w:sz w:val="24"/>
          <w:szCs w:val="24"/>
        </w:rPr>
      </w:pPr>
    </w:p>
    <w:p w14:paraId="6EDCF6F4" w14:textId="77777777" w:rsidR="00D71745" w:rsidRPr="007114AF" w:rsidRDefault="00D71745" w:rsidP="00D71745">
      <w:pPr>
        <w:spacing w:after="0" w:line="240" w:lineRule="auto"/>
        <w:ind w:firstLine="284"/>
        <w:rPr>
          <w:rFonts w:ascii="Garamond" w:hAnsi="Garamond"/>
          <w:sz w:val="24"/>
          <w:szCs w:val="24"/>
        </w:rPr>
      </w:pPr>
    </w:p>
    <w:p w14:paraId="6EDCF6F5" w14:textId="66058BF9" w:rsidR="00D71745" w:rsidRPr="007114AF" w:rsidRDefault="00D71745" w:rsidP="00D71745">
      <w:pPr>
        <w:spacing w:after="0" w:line="240" w:lineRule="auto"/>
        <w:ind w:firstLine="284"/>
        <w:rPr>
          <w:rFonts w:ascii="Garamond" w:hAnsi="Garamond"/>
          <w:b/>
          <w:sz w:val="24"/>
          <w:szCs w:val="24"/>
        </w:rPr>
      </w:pPr>
      <w:r w:rsidRPr="007114AF">
        <w:rPr>
          <w:rFonts w:ascii="Garamond" w:hAnsi="Garamond"/>
          <w:b/>
          <w:sz w:val="24"/>
          <w:szCs w:val="24"/>
        </w:rPr>
        <w:t>Tabela</w:t>
      </w:r>
      <w:r w:rsidR="00E32157" w:rsidRPr="007114AF">
        <w:rPr>
          <w:rFonts w:ascii="Garamond" w:hAnsi="Garamond"/>
          <w:b/>
          <w:sz w:val="24"/>
          <w:szCs w:val="24"/>
        </w:rPr>
        <w:t xml:space="preserve"> </w:t>
      </w:r>
      <w:r w:rsidRPr="007114AF">
        <w:rPr>
          <w:rFonts w:ascii="Garamond" w:hAnsi="Garamond"/>
          <w:b/>
          <w:sz w:val="24"/>
          <w:szCs w:val="24"/>
        </w:rPr>
        <w:fldChar w:fldCharType="begin"/>
      </w:r>
      <w:r w:rsidRPr="007114AF">
        <w:rPr>
          <w:rFonts w:ascii="Garamond" w:hAnsi="Garamond"/>
          <w:b/>
          <w:sz w:val="24"/>
          <w:szCs w:val="24"/>
        </w:rPr>
        <w:instrText xml:space="preserve"> SEQ Table \* ARABIC </w:instrText>
      </w:r>
      <w:r w:rsidRPr="007114AF">
        <w:rPr>
          <w:rFonts w:ascii="Garamond" w:hAnsi="Garamond"/>
          <w:b/>
          <w:sz w:val="24"/>
          <w:szCs w:val="24"/>
        </w:rPr>
        <w:fldChar w:fldCharType="separate"/>
      </w:r>
      <w:r w:rsidRPr="007114AF">
        <w:rPr>
          <w:rFonts w:ascii="Garamond" w:hAnsi="Garamond"/>
          <w:b/>
          <w:sz w:val="24"/>
          <w:szCs w:val="24"/>
        </w:rPr>
        <w:t>4</w:t>
      </w:r>
      <w:r w:rsidRPr="007114AF">
        <w:rPr>
          <w:rFonts w:ascii="Garamond" w:hAnsi="Garamond"/>
          <w:b/>
          <w:sz w:val="24"/>
          <w:szCs w:val="24"/>
        </w:rPr>
        <w:fldChar w:fldCharType="end"/>
      </w:r>
      <w:r w:rsidR="00F11685" w:rsidRPr="007114AF">
        <w:rPr>
          <w:rFonts w:ascii="Garamond" w:hAnsi="Garamond"/>
          <w:b/>
          <w:sz w:val="24"/>
          <w:szCs w:val="24"/>
        </w:rPr>
        <w:t xml:space="preserve"> </w:t>
      </w:r>
      <w:r w:rsidRPr="007114AF">
        <w:rPr>
          <w:rFonts w:ascii="Garamond" w:hAnsi="Garamond"/>
          <w:b/>
          <w:sz w:val="24"/>
          <w:szCs w:val="24"/>
        </w:rPr>
        <w:t>–</w:t>
      </w:r>
      <w:r w:rsidR="00F11685" w:rsidRPr="007114AF">
        <w:rPr>
          <w:rFonts w:ascii="Garamond" w:hAnsi="Garamond"/>
          <w:b/>
          <w:sz w:val="24"/>
          <w:szCs w:val="24"/>
        </w:rPr>
        <w:t xml:space="preserve"> </w:t>
      </w:r>
      <w:r w:rsidRPr="007114AF">
        <w:rPr>
          <w:rFonts w:ascii="Garamond" w:hAnsi="Garamond"/>
          <w:b/>
          <w:sz w:val="24"/>
          <w:szCs w:val="24"/>
        </w:rPr>
        <w:t>Pjesa e shkarkimeve totale GES për sektor nga viti 1990 deri në vitin 2009 sipas KPK-ës, KDK-ës dhe</w:t>
      </w:r>
      <w:r w:rsidR="003C603D">
        <w:rPr>
          <w:rFonts w:ascii="Garamond" w:hAnsi="Garamond"/>
          <w:b/>
          <w:sz w:val="24"/>
          <w:szCs w:val="24"/>
        </w:rPr>
        <w:t xml:space="preserve"> </w:t>
      </w:r>
      <w:r w:rsidRPr="007114AF">
        <w:rPr>
          <w:rFonts w:ascii="Garamond" w:hAnsi="Garamond"/>
          <w:b/>
          <w:sz w:val="24"/>
          <w:szCs w:val="24"/>
        </w:rPr>
        <w:t>KTK-ës</w:t>
      </w:r>
      <w:r w:rsidR="003C603D">
        <w:rPr>
          <w:rFonts w:ascii="Garamond" w:hAnsi="Garamond"/>
          <w:b/>
          <w:sz w:val="24"/>
          <w:szCs w:val="24"/>
        </w:rPr>
        <w:t xml:space="preserve"> </w:t>
      </w:r>
      <w:r w:rsidRPr="007114AF">
        <w:rPr>
          <w:rFonts w:ascii="Garamond" w:hAnsi="Garamond"/>
          <w:b/>
          <w:sz w:val="24"/>
          <w:szCs w:val="24"/>
        </w:rPr>
        <w:t>në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57"/>
        <w:gridCol w:w="1718"/>
        <w:gridCol w:w="589"/>
        <w:gridCol w:w="589"/>
        <w:gridCol w:w="589"/>
        <w:gridCol w:w="589"/>
        <w:gridCol w:w="589"/>
        <w:gridCol w:w="589"/>
        <w:gridCol w:w="589"/>
        <w:gridCol w:w="589"/>
        <w:gridCol w:w="589"/>
        <w:gridCol w:w="588"/>
        <w:gridCol w:w="588"/>
        <w:gridCol w:w="588"/>
        <w:gridCol w:w="588"/>
        <w:gridCol w:w="588"/>
        <w:gridCol w:w="588"/>
        <w:gridCol w:w="588"/>
        <w:gridCol w:w="588"/>
        <w:gridCol w:w="588"/>
        <w:gridCol w:w="588"/>
        <w:gridCol w:w="588"/>
      </w:tblGrid>
      <w:tr w:rsidR="00D71745" w:rsidRPr="007114AF" w14:paraId="6EDCF70C" w14:textId="77777777" w:rsidTr="00A9766F">
        <w:trPr>
          <w:trHeight w:hRule="exact" w:val="301"/>
          <w:jc w:val="center"/>
        </w:trPr>
        <w:tc>
          <w:tcPr>
            <w:tcW w:w="232" w:type="pct"/>
            <w:tcBorders>
              <w:top w:val="single" w:sz="12" w:space="0" w:color="auto"/>
              <w:left w:val="single" w:sz="12" w:space="0" w:color="auto"/>
              <w:bottom w:val="single" w:sz="12" w:space="0" w:color="auto"/>
              <w:right w:val="single" w:sz="4" w:space="0" w:color="auto"/>
            </w:tcBorders>
            <w:shd w:val="clear" w:color="auto" w:fill="auto"/>
            <w:noWrap/>
            <w:vAlign w:val="center"/>
            <w:hideMark/>
          </w:tcPr>
          <w:p w14:paraId="6EDCF6F6" w14:textId="77777777" w:rsidR="00D71745" w:rsidRPr="007114AF" w:rsidRDefault="00D71745" w:rsidP="00D71745">
            <w:pPr>
              <w:spacing w:after="0" w:line="240" w:lineRule="auto"/>
              <w:rPr>
                <w:rFonts w:ascii="Garamond" w:hAnsi="Garamond"/>
                <w:sz w:val="18"/>
                <w:szCs w:val="18"/>
              </w:rPr>
            </w:pPr>
          </w:p>
        </w:tc>
        <w:tc>
          <w:tcPr>
            <w:tcW w:w="607" w:type="pct"/>
            <w:tcBorders>
              <w:top w:val="single" w:sz="12" w:space="0" w:color="auto"/>
              <w:left w:val="single" w:sz="4" w:space="0" w:color="auto"/>
              <w:bottom w:val="single" w:sz="12" w:space="0" w:color="auto"/>
              <w:right w:val="single" w:sz="4" w:space="0" w:color="auto"/>
            </w:tcBorders>
            <w:shd w:val="clear" w:color="auto" w:fill="auto"/>
            <w:noWrap/>
            <w:vAlign w:val="center"/>
            <w:hideMark/>
          </w:tcPr>
          <w:p w14:paraId="6EDCF6F7" w14:textId="77777777" w:rsidR="00D71745" w:rsidRPr="007114AF" w:rsidRDefault="00D71745" w:rsidP="00D71745">
            <w:pPr>
              <w:spacing w:after="0" w:line="240" w:lineRule="auto"/>
              <w:rPr>
                <w:rFonts w:ascii="Garamond" w:hAnsi="Garamond"/>
                <w:sz w:val="18"/>
                <w:szCs w:val="18"/>
              </w:rPr>
            </w:pPr>
            <w:r w:rsidRPr="007114AF">
              <w:rPr>
                <w:rFonts w:ascii="Garamond" w:hAnsi="Garamond"/>
                <w:sz w:val="18"/>
                <w:szCs w:val="18"/>
              </w:rPr>
              <w:t>Sektori</w:t>
            </w:r>
          </w:p>
        </w:tc>
        <w:tc>
          <w:tcPr>
            <w:tcW w:w="208" w:type="pct"/>
            <w:tcBorders>
              <w:top w:val="single" w:sz="12" w:space="0" w:color="auto"/>
              <w:left w:val="single" w:sz="4" w:space="0" w:color="auto"/>
              <w:bottom w:val="single" w:sz="12" w:space="0" w:color="auto"/>
              <w:right w:val="single" w:sz="4" w:space="0" w:color="auto"/>
            </w:tcBorders>
            <w:shd w:val="clear" w:color="auto" w:fill="auto"/>
            <w:noWrap/>
            <w:vAlign w:val="center"/>
            <w:hideMark/>
          </w:tcPr>
          <w:p w14:paraId="6EDCF6F8" w14:textId="77777777" w:rsidR="00D71745" w:rsidRPr="007114AF" w:rsidRDefault="00D71745" w:rsidP="00D71745">
            <w:pPr>
              <w:spacing w:after="0" w:line="240" w:lineRule="auto"/>
              <w:rPr>
                <w:rFonts w:ascii="Garamond" w:hAnsi="Garamond"/>
                <w:sz w:val="18"/>
                <w:szCs w:val="18"/>
              </w:rPr>
            </w:pPr>
            <w:r w:rsidRPr="007114AF">
              <w:rPr>
                <w:rFonts w:ascii="Garamond" w:hAnsi="Garamond"/>
                <w:sz w:val="18"/>
                <w:szCs w:val="18"/>
              </w:rPr>
              <w:t>1990</w:t>
            </w:r>
          </w:p>
        </w:tc>
        <w:tc>
          <w:tcPr>
            <w:tcW w:w="208" w:type="pct"/>
            <w:tcBorders>
              <w:top w:val="single" w:sz="12" w:space="0" w:color="auto"/>
              <w:left w:val="single" w:sz="4" w:space="0" w:color="auto"/>
              <w:bottom w:val="single" w:sz="12" w:space="0" w:color="auto"/>
              <w:right w:val="single" w:sz="4" w:space="0" w:color="auto"/>
            </w:tcBorders>
            <w:shd w:val="clear" w:color="auto" w:fill="auto"/>
            <w:noWrap/>
            <w:vAlign w:val="center"/>
            <w:hideMark/>
          </w:tcPr>
          <w:p w14:paraId="6EDCF6F9" w14:textId="77777777" w:rsidR="00D71745" w:rsidRPr="007114AF" w:rsidRDefault="00D71745" w:rsidP="00D71745">
            <w:pPr>
              <w:spacing w:after="0" w:line="240" w:lineRule="auto"/>
              <w:rPr>
                <w:rFonts w:ascii="Garamond" w:hAnsi="Garamond"/>
                <w:sz w:val="18"/>
                <w:szCs w:val="18"/>
              </w:rPr>
            </w:pPr>
            <w:r w:rsidRPr="007114AF">
              <w:rPr>
                <w:rFonts w:ascii="Garamond" w:hAnsi="Garamond"/>
                <w:sz w:val="18"/>
                <w:szCs w:val="18"/>
              </w:rPr>
              <w:t>1991</w:t>
            </w:r>
          </w:p>
        </w:tc>
        <w:tc>
          <w:tcPr>
            <w:tcW w:w="208" w:type="pct"/>
            <w:tcBorders>
              <w:top w:val="single" w:sz="12" w:space="0" w:color="auto"/>
              <w:left w:val="single" w:sz="4" w:space="0" w:color="auto"/>
              <w:bottom w:val="single" w:sz="12" w:space="0" w:color="auto"/>
              <w:right w:val="single" w:sz="4" w:space="0" w:color="auto"/>
            </w:tcBorders>
            <w:shd w:val="clear" w:color="auto" w:fill="auto"/>
            <w:noWrap/>
            <w:vAlign w:val="center"/>
            <w:hideMark/>
          </w:tcPr>
          <w:p w14:paraId="6EDCF6FA" w14:textId="77777777" w:rsidR="00D71745" w:rsidRPr="007114AF" w:rsidRDefault="00D71745" w:rsidP="00D71745">
            <w:pPr>
              <w:spacing w:after="0" w:line="240" w:lineRule="auto"/>
              <w:rPr>
                <w:rFonts w:ascii="Garamond" w:hAnsi="Garamond"/>
                <w:sz w:val="18"/>
                <w:szCs w:val="18"/>
              </w:rPr>
            </w:pPr>
            <w:r w:rsidRPr="007114AF">
              <w:rPr>
                <w:rFonts w:ascii="Garamond" w:hAnsi="Garamond"/>
                <w:sz w:val="18"/>
                <w:szCs w:val="18"/>
              </w:rPr>
              <w:t>1992</w:t>
            </w:r>
          </w:p>
        </w:tc>
        <w:tc>
          <w:tcPr>
            <w:tcW w:w="208" w:type="pct"/>
            <w:tcBorders>
              <w:top w:val="single" w:sz="12" w:space="0" w:color="auto"/>
              <w:left w:val="single" w:sz="4" w:space="0" w:color="auto"/>
              <w:bottom w:val="single" w:sz="12" w:space="0" w:color="auto"/>
              <w:right w:val="single" w:sz="4" w:space="0" w:color="auto"/>
            </w:tcBorders>
            <w:shd w:val="clear" w:color="auto" w:fill="auto"/>
            <w:noWrap/>
            <w:vAlign w:val="center"/>
            <w:hideMark/>
          </w:tcPr>
          <w:p w14:paraId="6EDCF6FB" w14:textId="77777777" w:rsidR="00D71745" w:rsidRPr="007114AF" w:rsidRDefault="00D71745" w:rsidP="00D71745">
            <w:pPr>
              <w:spacing w:after="0" w:line="240" w:lineRule="auto"/>
              <w:rPr>
                <w:rFonts w:ascii="Garamond" w:hAnsi="Garamond"/>
                <w:sz w:val="18"/>
                <w:szCs w:val="18"/>
              </w:rPr>
            </w:pPr>
            <w:r w:rsidRPr="007114AF">
              <w:rPr>
                <w:rFonts w:ascii="Garamond" w:hAnsi="Garamond"/>
                <w:sz w:val="18"/>
                <w:szCs w:val="18"/>
              </w:rPr>
              <w:t>1993</w:t>
            </w:r>
          </w:p>
        </w:tc>
        <w:tc>
          <w:tcPr>
            <w:tcW w:w="208" w:type="pct"/>
            <w:tcBorders>
              <w:top w:val="single" w:sz="12" w:space="0" w:color="auto"/>
              <w:left w:val="single" w:sz="4" w:space="0" w:color="auto"/>
              <w:bottom w:val="single" w:sz="12" w:space="0" w:color="auto"/>
              <w:right w:val="single" w:sz="4" w:space="0" w:color="auto"/>
            </w:tcBorders>
            <w:shd w:val="clear" w:color="auto" w:fill="auto"/>
            <w:noWrap/>
            <w:vAlign w:val="center"/>
            <w:hideMark/>
          </w:tcPr>
          <w:p w14:paraId="6EDCF6FC" w14:textId="77777777" w:rsidR="00D71745" w:rsidRPr="007114AF" w:rsidRDefault="00D71745" w:rsidP="00D71745">
            <w:pPr>
              <w:spacing w:after="0" w:line="240" w:lineRule="auto"/>
              <w:rPr>
                <w:rFonts w:ascii="Garamond" w:hAnsi="Garamond"/>
                <w:sz w:val="18"/>
                <w:szCs w:val="18"/>
              </w:rPr>
            </w:pPr>
            <w:r w:rsidRPr="007114AF">
              <w:rPr>
                <w:rFonts w:ascii="Garamond" w:hAnsi="Garamond"/>
                <w:sz w:val="18"/>
                <w:szCs w:val="18"/>
              </w:rPr>
              <w:t>1994</w:t>
            </w:r>
          </w:p>
        </w:tc>
        <w:tc>
          <w:tcPr>
            <w:tcW w:w="208" w:type="pct"/>
            <w:tcBorders>
              <w:top w:val="single" w:sz="12" w:space="0" w:color="auto"/>
              <w:left w:val="single" w:sz="4" w:space="0" w:color="auto"/>
              <w:bottom w:val="single" w:sz="12" w:space="0" w:color="auto"/>
              <w:right w:val="single" w:sz="4" w:space="0" w:color="auto"/>
            </w:tcBorders>
            <w:shd w:val="clear" w:color="auto" w:fill="auto"/>
            <w:noWrap/>
            <w:vAlign w:val="center"/>
            <w:hideMark/>
          </w:tcPr>
          <w:p w14:paraId="6EDCF6FD" w14:textId="77777777" w:rsidR="00D71745" w:rsidRPr="007114AF" w:rsidRDefault="00D71745" w:rsidP="00D71745">
            <w:pPr>
              <w:spacing w:after="0" w:line="240" w:lineRule="auto"/>
              <w:rPr>
                <w:rFonts w:ascii="Garamond" w:hAnsi="Garamond"/>
                <w:sz w:val="18"/>
                <w:szCs w:val="18"/>
              </w:rPr>
            </w:pPr>
            <w:r w:rsidRPr="007114AF">
              <w:rPr>
                <w:rFonts w:ascii="Garamond" w:hAnsi="Garamond"/>
                <w:sz w:val="18"/>
                <w:szCs w:val="18"/>
              </w:rPr>
              <w:t>1995</w:t>
            </w:r>
          </w:p>
        </w:tc>
        <w:tc>
          <w:tcPr>
            <w:tcW w:w="208" w:type="pct"/>
            <w:tcBorders>
              <w:top w:val="single" w:sz="12" w:space="0" w:color="auto"/>
              <w:left w:val="single" w:sz="4" w:space="0" w:color="auto"/>
              <w:bottom w:val="single" w:sz="12" w:space="0" w:color="auto"/>
              <w:right w:val="single" w:sz="4" w:space="0" w:color="auto"/>
            </w:tcBorders>
            <w:shd w:val="clear" w:color="auto" w:fill="auto"/>
            <w:noWrap/>
            <w:vAlign w:val="center"/>
            <w:hideMark/>
          </w:tcPr>
          <w:p w14:paraId="6EDCF6FE" w14:textId="77777777" w:rsidR="00D71745" w:rsidRPr="007114AF" w:rsidRDefault="00D71745" w:rsidP="00D71745">
            <w:pPr>
              <w:spacing w:after="0" w:line="240" w:lineRule="auto"/>
              <w:rPr>
                <w:rFonts w:ascii="Garamond" w:hAnsi="Garamond"/>
                <w:sz w:val="18"/>
                <w:szCs w:val="18"/>
              </w:rPr>
            </w:pPr>
            <w:r w:rsidRPr="007114AF">
              <w:rPr>
                <w:rFonts w:ascii="Garamond" w:hAnsi="Garamond"/>
                <w:sz w:val="18"/>
                <w:szCs w:val="18"/>
              </w:rPr>
              <w:t>1996</w:t>
            </w:r>
          </w:p>
        </w:tc>
        <w:tc>
          <w:tcPr>
            <w:tcW w:w="208" w:type="pct"/>
            <w:tcBorders>
              <w:top w:val="single" w:sz="12" w:space="0" w:color="auto"/>
              <w:left w:val="single" w:sz="4" w:space="0" w:color="auto"/>
              <w:bottom w:val="single" w:sz="12" w:space="0" w:color="auto"/>
              <w:right w:val="single" w:sz="4" w:space="0" w:color="auto"/>
            </w:tcBorders>
            <w:shd w:val="clear" w:color="auto" w:fill="auto"/>
            <w:noWrap/>
            <w:vAlign w:val="center"/>
            <w:hideMark/>
          </w:tcPr>
          <w:p w14:paraId="6EDCF6FF" w14:textId="77777777" w:rsidR="00D71745" w:rsidRPr="007114AF" w:rsidRDefault="00D71745" w:rsidP="00D71745">
            <w:pPr>
              <w:spacing w:after="0" w:line="240" w:lineRule="auto"/>
              <w:rPr>
                <w:rFonts w:ascii="Garamond" w:hAnsi="Garamond"/>
                <w:sz w:val="18"/>
                <w:szCs w:val="18"/>
              </w:rPr>
            </w:pPr>
            <w:r w:rsidRPr="007114AF">
              <w:rPr>
                <w:rFonts w:ascii="Garamond" w:hAnsi="Garamond"/>
                <w:sz w:val="18"/>
                <w:szCs w:val="18"/>
              </w:rPr>
              <w:t>1997</w:t>
            </w:r>
          </w:p>
        </w:tc>
        <w:tc>
          <w:tcPr>
            <w:tcW w:w="208" w:type="pct"/>
            <w:tcBorders>
              <w:top w:val="single" w:sz="12" w:space="0" w:color="auto"/>
              <w:left w:val="single" w:sz="4" w:space="0" w:color="auto"/>
              <w:bottom w:val="single" w:sz="12" w:space="0" w:color="auto"/>
              <w:right w:val="single" w:sz="4" w:space="0" w:color="auto"/>
            </w:tcBorders>
            <w:shd w:val="clear" w:color="auto" w:fill="auto"/>
            <w:noWrap/>
            <w:vAlign w:val="center"/>
            <w:hideMark/>
          </w:tcPr>
          <w:p w14:paraId="6EDCF700" w14:textId="77777777" w:rsidR="00D71745" w:rsidRPr="007114AF" w:rsidRDefault="00D71745" w:rsidP="00D71745">
            <w:pPr>
              <w:spacing w:after="0" w:line="240" w:lineRule="auto"/>
              <w:rPr>
                <w:rFonts w:ascii="Garamond" w:hAnsi="Garamond"/>
                <w:sz w:val="18"/>
                <w:szCs w:val="18"/>
              </w:rPr>
            </w:pPr>
            <w:r w:rsidRPr="007114AF">
              <w:rPr>
                <w:rFonts w:ascii="Garamond" w:hAnsi="Garamond"/>
                <w:sz w:val="18"/>
                <w:szCs w:val="18"/>
              </w:rPr>
              <w:t>1998</w:t>
            </w:r>
          </w:p>
        </w:tc>
        <w:tc>
          <w:tcPr>
            <w:tcW w:w="208" w:type="pct"/>
            <w:tcBorders>
              <w:top w:val="single" w:sz="12" w:space="0" w:color="auto"/>
              <w:left w:val="single" w:sz="4" w:space="0" w:color="auto"/>
              <w:bottom w:val="single" w:sz="12" w:space="0" w:color="auto"/>
              <w:right w:val="single" w:sz="4" w:space="0" w:color="auto"/>
            </w:tcBorders>
            <w:shd w:val="clear" w:color="auto" w:fill="auto"/>
            <w:noWrap/>
            <w:vAlign w:val="center"/>
            <w:hideMark/>
          </w:tcPr>
          <w:p w14:paraId="6EDCF701" w14:textId="77777777" w:rsidR="00D71745" w:rsidRPr="007114AF" w:rsidRDefault="00D71745" w:rsidP="00D71745">
            <w:pPr>
              <w:spacing w:after="0" w:line="240" w:lineRule="auto"/>
              <w:rPr>
                <w:rFonts w:ascii="Garamond" w:hAnsi="Garamond"/>
                <w:sz w:val="18"/>
                <w:szCs w:val="18"/>
              </w:rPr>
            </w:pPr>
            <w:r w:rsidRPr="007114AF">
              <w:rPr>
                <w:rFonts w:ascii="Garamond" w:hAnsi="Garamond"/>
                <w:sz w:val="18"/>
                <w:szCs w:val="18"/>
              </w:rPr>
              <w:t>1999</w:t>
            </w:r>
          </w:p>
        </w:tc>
        <w:tc>
          <w:tcPr>
            <w:tcW w:w="208" w:type="pct"/>
            <w:tcBorders>
              <w:top w:val="single" w:sz="12" w:space="0" w:color="auto"/>
              <w:left w:val="single" w:sz="4" w:space="0" w:color="auto"/>
              <w:bottom w:val="single" w:sz="12" w:space="0" w:color="auto"/>
              <w:right w:val="single" w:sz="4" w:space="0" w:color="auto"/>
            </w:tcBorders>
            <w:shd w:val="clear" w:color="auto" w:fill="auto"/>
            <w:noWrap/>
            <w:vAlign w:val="center"/>
            <w:hideMark/>
          </w:tcPr>
          <w:p w14:paraId="6EDCF702" w14:textId="77777777" w:rsidR="00D71745" w:rsidRPr="007114AF" w:rsidRDefault="00D71745" w:rsidP="00D71745">
            <w:pPr>
              <w:spacing w:after="0" w:line="240" w:lineRule="auto"/>
              <w:rPr>
                <w:rFonts w:ascii="Garamond" w:hAnsi="Garamond"/>
                <w:sz w:val="18"/>
                <w:szCs w:val="18"/>
              </w:rPr>
            </w:pPr>
            <w:r w:rsidRPr="007114AF">
              <w:rPr>
                <w:rFonts w:ascii="Garamond" w:hAnsi="Garamond"/>
                <w:sz w:val="18"/>
                <w:szCs w:val="18"/>
              </w:rPr>
              <w:t>2000</w:t>
            </w:r>
          </w:p>
        </w:tc>
        <w:tc>
          <w:tcPr>
            <w:tcW w:w="208" w:type="pct"/>
            <w:tcBorders>
              <w:top w:val="single" w:sz="12" w:space="0" w:color="auto"/>
              <w:left w:val="single" w:sz="4" w:space="0" w:color="auto"/>
              <w:bottom w:val="single" w:sz="12" w:space="0" w:color="auto"/>
              <w:right w:val="single" w:sz="4" w:space="0" w:color="auto"/>
            </w:tcBorders>
            <w:shd w:val="clear" w:color="auto" w:fill="auto"/>
            <w:noWrap/>
            <w:vAlign w:val="center"/>
            <w:hideMark/>
          </w:tcPr>
          <w:p w14:paraId="6EDCF703" w14:textId="77777777" w:rsidR="00D71745" w:rsidRPr="007114AF" w:rsidRDefault="00D71745" w:rsidP="00D71745">
            <w:pPr>
              <w:spacing w:after="0" w:line="240" w:lineRule="auto"/>
              <w:rPr>
                <w:rFonts w:ascii="Garamond" w:hAnsi="Garamond"/>
                <w:sz w:val="18"/>
                <w:szCs w:val="18"/>
              </w:rPr>
            </w:pPr>
            <w:r w:rsidRPr="007114AF">
              <w:rPr>
                <w:rFonts w:ascii="Garamond" w:hAnsi="Garamond"/>
                <w:sz w:val="18"/>
                <w:szCs w:val="18"/>
              </w:rPr>
              <w:t>2001</w:t>
            </w:r>
          </w:p>
        </w:tc>
        <w:tc>
          <w:tcPr>
            <w:tcW w:w="208" w:type="pct"/>
            <w:tcBorders>
              <w:top w:val="single" w:sz="12" w:space="0" w:color="auto"/>
              <w:left w:val="single" w:sz="4" w:space="0" w:color="auto"/>
              <w:bottom w:val="single" w:sz="12" w:space="0" w:color="auto"/>
              <w:right w:val="single" w:sz="4" w:space="0" w:color="auto"/>
            </w:tcBorders>
            <w:shd w:val="clear" w:color="auto" w:fill="auto"/>
            <w:noWrap/>
            <w:vAlign w:val="center"/>
            <w:hideMark/>
          </w:tcPr>
          <w:p w14:paraId="6EDCF704" w14:textId="77777777" w:rsidR="00D71745" w:rsidRPr="007114AF" w:rsidRDefault="00D71745" w:rsidP="00D71745">
            <w:pPr>
              <w:spacing w:after="0" w:line="240" w:lineRule="auto"/>
              <w:rPr>
                <w:rFonts w:ascii="Garamond" w:hAnsi="Garamond"/>
                <w:sz w:val="18"/>
                <w:szCs w:val="18"/>
              </w:rPr>
            </w:pPr>
            <w:r w:rsidRPr="007114AF">
              <w:rPr>
                <w:rFonts w:ascii="Garamond" w:hAnsi="Garamond"/>
                <w:sz w:val="18"/>
                <w:szCs w:val="18"/>
              </w:rPr>
              <w:t>2002</w:t>
            </w:r>
          </w:p>
        </w:tc>
        <w:tc>
          <w:tcPr>
            <w:tcW w:w="208" w:type="pct"/>
            <w:tcBorders>
              <w:top w:val="single" w:sz="12" w:space="0" w:color="auto"/>
              <w:left w:val="single" w:sz="4" w:space="0" w:color="auto"/>
              <w:bottom w:val="single" w:sz="12" w:space="0" w:color="auto"/>
              <w:right w:val="single" w:sz="4" w:space="0" w:color="auto"/>
            </w:tcBorders>
            <w:shd w:val="clear" w:color="auto" w:fill="auto"/>
            <w:noWrap/>
            <w:vAlign w:val="center"/>
            <w:hideMark/>
          </w:tcPr>
          <w:p w14:paraId="6EDCF705" w14:textId="77777777" w:rsidR="00D71745" w:rsidRPr="007114AF" w:rsidRDefault="00D71745" w:rsidP="00D71745">
            <w:pPr>
              <w:spacing w:after="0" w:line="240" w:lineRule="auto"/>
              <w:rPr>
                <w:rFonts w:ascii="Garamond" w:hAnsi="Garamond"/>
                <w:sz w:val="18"/>
                <w:szCs w:val="18"/>
              </w:rPr>
            </w:pPr>
            <w:r w:rsidRPr="007114AF">
              <w:rPr>
                <w:rFonts w:ascii="Garamond" w:hAnsi="Garamond"/>
                <w:sz w:val="18"/>
                <w:szCs w:val="18"/>
              </w:rPr>
              <w:t>2003</w:t>
            </w:r>
          </w:p>
        </w:tc>
        <w:tc>
          <w:tcPr>
            <w:tcW w:w="208" w:type="pct"/>
            <w:tcBorders>
              <w:top w:val="single" w:sz="12" w:space="0" w:color="auto"/>
              <w:left w:val="single" w:sz="4" w:space="0" w:color="auto"/>
              <w:bottom w:val="single" w:sz="12" w:space="0" w:color="auto"/>
              <w:right w:val="single" w:sz="4" w:space="0" w:color="auto"/>
            </w:tcBorders>
            <w:shd w:val="clear" w:color="auto" w:fill="auto"/>
            <w:noWrap/>
            <w:vAlign w:val="center"/>
            <w:hideMark/>
          </w:tcPr>
          <w:p w14:paraId="6EDCF706" w14:textId="77777777" w:rsidR="00D71745" w:rsidRPr="007114AF" w:rsidRDefault="00D71745" w:rsidP="00D71745">
            <w:pPr>
              <w:spacing w:after="0" w:line="240" w:lineRule="auto"/>
              <w:rPr>
                <w:rFonts w:ascii="Garamond" w:hAnsi="Garamond"/>
                <w:sz w:val="18"/>
                <w:szCs w:val="18"/>
              </w:rPr>
            </w:pPr>
            <w:r w:rsidRPr="007114AF">
              <w:rPr>
                <w:rFonts w:ascii="Garamond" w:hAnsi="Garamond"/>
                <w:sz w:val="18"/>
                <w:szCs w:val="18"/>
              </w:rPr>
              <w:t>2004</w:t>
            </w:r>
          </w:p>
        </w:tc>
        <w:tc>
          <w:tcPr>
            <w:tcW w:w="208" w:type="pct"/>
            <w:tcBorders>
              <w:top w:val="single" w:sz="12" w:space="0" w:color="auto"/>
              <w:left w:val="single" w:sz="4" w:space="0" w:color="auto"/>
              <w:bottom w:val="single" w:sz="12" w:space="0" w:color="auto"/>
              <w:right w:val="single" w:sz="4" w:space="0" w:color="auto"/>
            </w:tcBorders>
            <w:shd w:val="clear" w:color="auto" w:fill="auto"/>
            <w:noWrap/>
            <w:vAlign w:val="center"/>
            <w:hideMark/>
          </w:tcPr>
          <w:p w14:paraId="6EDCF707" w14:textId="77777777" w:rsidR="00D71745" w:rsidRPr="007114AF" w:rsidRDefault="00D71745" w:rsidP="00D71745">
            <w:pPr>
              <w:spacing w:after="0" w:line="240" w:lineRule="auto"/>
              <w:rPr>
                <w:rFonts w:ascii="Garamond" w:hAnsi="Garamond"/>
                <w:sz w:val="18"/>
                <w:szCs w:val="18"/>
              </w:rPr>
            </w:pPr>
            <w:r w:rsidRPr="007114AF">
              <w:rPr>
                <w:rFonts w:ascii="Garamond" w:hAnsi="Garamond"/>
                <w:sz w:val="18"/>
                <w:szCs w:val="18"/>
              </w:rPr>
              <w:t>2005</w:t>
            </w:r>
          </w:p>
        </w:tc>
        <w:tc>
          <w:tcPr>
            <w:tcW w:w="208" w:type="pct"/>
            <w:tcBorders>
              <w:top w:val="single" w:sz="12" w:space="0" w:color="auto"/>
              <w:left w:val="single" w:sz="4" w:space="0" w:color="auto"/>
              <w:bottom w:val="single" w:sz="12" w:space="0" w:color="auto"/>
              <w:right w:val="single" w:sz="4" w:space="0" w:color="auto"/>
            </w:tcBorders>
            <w:shd w:val="clear" w:color="auto" w:fill="auto"/>
            <w:noWrap/>
            <w:vAlign w:val="center"/>
            <w:hideMark/>
          </w:tcPr>
          <w:p w14:paraId="6EDCF708" w14:textId="77777777" w:rsidR="00D71745" w:rsidRPr="007114AF" w:rsidRDefault="00D71745" w:rsidP="00D71745">
            <w:pPr>
              <w:spacing w:after="0" w:line="240" w:lineRule="auto"/>
              <w:rPr>
                <w:rFonts w:ascii="Garamond" w:hAnsi="Garamond"/>
                <w:sz w:val="18"/>
                <w:szCs w:val="18"/>
              </w:rPr>
            </w:pPr>
            <w:r w:rsidRPr="007114AF">
              <w:rPr>
                <w:rFonts w:ascii="Garamond" w:hAnsi="Garamond"/>
                <w:sz w:val="18"/>
                <w:szCs w:val="18"/>
              </w:rPr>
              <w:t>2006</w:t>
            </w:r>
          </w:p>
        </w:tc>
        <w:tc>
          <w:tcPr>
            <w:tcW w:w="208" w:type="pct"/>
            <w:tcBorders>
              <w:top w:val="single" w:sz="12" w:space="0" w:color="auto"/>
              <w:left w:val="single" w:sz="4" w:space="0" w:color="auto"/>
              <w:bottom w:val="single" w:sz="12" w:space="0" w:color="auto"/>
              <w:right w:val="single" w:sz="4" w:space="0" w:color="auto"/>
            </w:tcBorders>
            <w:shd w:val="clear" w:color="auto" w:fill="auto"/>
            <w:noWrap/>
            <w:vAlign w:val="center"/>
            <w:hideMark/>
          </w:tcPr>
          <w:p w14:paraId="6EDCF709" w14:textId="77777777" w:rsidR="00D71745" w:rsidRPr="007114AF" w:rsidRDefault="00D71745" w:rsidP="00D71745">
            <w:pPr>
              <w:spacing w:after="0" w:line="240" w:lineRule="auto"/>
              <w:rPr>
                <w:rFonts w:ascii="Garamond" w:hAnsi="Garamond"/>
                <w:sz w:val="18"/>
                <w:szCs w:val="18"/>
              </w:rPr>
            </w:pPr>
            <w:r w:rsidRPr="007114AF">
              <w:rPr>
                <w:rFonts w:ascii="Garamond" w:hAnsi="Garamond"/>
                <w:sz w:val="18"/>
                <w:szCs w:val="18"/>
              </w:rPr>
              <w:t>2007</w:t>
            </w:r>
          </w:p>
        </w:tc>
        <w:tc>
          <w:tcPr>
            <w:tcW w:w="208" w:type="pct"/>
            <w:tcBorders>
              <w:top w:val="single" w:sz="12" w:space="0" w:color="auto"/>
              <w:left w:val="single" w:sz="4" w:space="0" w:color="auto"/>
              <w:bottom w:val="single" w:sz="12" w:space="0" w:color="auto"/>
              <w:right w:val="single" w:sz="4" w:space="0" w:color="auto"/>
            </w:tcBorders>
            <w:shd w:val="clear" w:color="auto" w:fill="auto"/>
            <w:noWrap/>
            <w:vAlign w:val="center"/>
            <w:hideMark/>
          </w:tcPr>
          <w:p w14:paraId="6EDCF70A" w14:textId="77777777" w:rsidR="00D71745" w:rsidRPr="007114AF" w:rsidRDefault="00D71745" w:rsidP="00D71745">
            <w:pPr>
              <w:spacing w:after="0" w:line="240" w:lineRule="auto"/>
              <w:rPr>
                <w:rFonts w:ascii="Garamond" w:hAnsi="Garamond"/>
                <w:sz w:val="18"/>
                <w:szCs w:val="18"/>
              </w:rPr>
            </w:pPr>
            <w:r w:rsidRPr="007114AF">
              <w:rPr>
                <w:rFonts w:ascii="Garamond" w:hAnsi="Garamond"/>
                <w:sz w:val="18"/>
                <w:szCs w:val="18"/>
              </w:rPr>
              <w:t>2008</w:t>
            </w:r>
          </w:p>
        </w:tc>
        <w:tc>
          <w:tcPr>
            <w:tcW w:w="208" w:type="pct"/>
            <w:tcBorders>
              <w:top w:val="single" w:sz="12" w:space="0" w:color="auto"/>
              <w:left w:val="single" w:sz="4" w:space="0" w:color="auto"/>
              <w:bottom w:val="single" w:sz="12" w:space="0" w:color="auto"/>
              <w:right w:val="single" w:sz="12" w:space="0" w:color="auto"/>
            </w:tcBorders>
            <w:shd w:val="clear" w:color="auto" w:fill="auto"/>
            <w:noWrap/>
            <w:vAlign w:val="center"/>
            <w:hideMark/>
          </w:tcPr>
          <w:p w14:paraId="6EDCF70B" w14:textId="77777777" w:rsidR="00D71745" w:rsidRPr="007114AF" w:rsidRDefault="00D71745" w:rsidP="00D71745">
            <w:pPr>
              <w:spacing w:after="0" w:line="240" w:lineRule="auto"/>
              <w:rPr>
                <w:rFonts w:ascii="Garamond" w:hAnsi="Garamond"/>
                <w:sz w:val="18"/>
                <w:szCs w:val="18"/>
              </w:rPr>
            </w:pPr>
            <w:r w:rsidRPr="007114AF">
              <w:rPr>
                <w:rFonts w:ascii="Garamond" w:hAnsi="Garamond"/>
                <w:sz w:val="18"/>
                <w:szCs w:val="18"/>
              </w:rPr>
              <w:t>2009</w:t>
            </w:r>
          </w:p>
        </w:tc>
      </w:tr>
      <w:tr w:rsidR="00D71745" w:rsidRPr="007114AF" w14:paraId="6EDCF723" w14:textId="77777777" w:rsidTr="00A9766F">
        <w:trPr>
          <w:trHeight w:hRule="exact" w:val="301"/>
          <w:jc w:val="center"/>
        </w:trPr>
        <w:tc>
          <w:tcPr>
            <w:tcW w:w="232" w:type="pct"/>
            <w:vMerge w:val="restart"/>
            <w:tcBorders>
              <w:top w:val="single" w:sz="12" w:space="0" w:color="auto"/>
              <w:left w:val="single" w:sz="12" w:space="0" w:color="auto"/>
              <w:bottom w:val="single" w:sz="12" w:space="0" w:color="auto"/>
              <w:right w:val="single" w:sz="2" w:space="0" w:color="auto"/>
            </w:tcBorders>
            <w:shd w:val="clear" w:color="auto" w:fill="auto"/>
            <w:noWrap/>
            <w:textDirection w:val="btLr"/>
            <w:vAlign w:val="center"/>
            <w:hideMark/>
          </w:tcPr>
          <w:p w14:paraId="6EDCF70D" w14:textId="77777777" w:rsidR="00D71745" w:rsidRPr="007114AF" w:rsidRDefault="00D71745" w:rsidP="00D71745">
            <w:pPr>
              <w:spacing w:after="0" w:line="240" w:lineRule="auto"/>
              <w:rPr>
                <w:rFonts w:ascii="Garamond" w:hAnsi="Garamond"/>
                <w:sz w:val="18"/>
                <w:szCs w:val="18"/>
              </w:rPr>
            </w:pPr>
            <w:r w:rsidRPr="007114AF">
              <w:rPr>
                <w:rFonts w:ascii="Garamond" w:hAnsi="Garamond"/>
                <w:sz w:val="18"/>
                <w:szCs w:val="18"/>
              </w:rPr>
              <w:t>KPK</w:t>
            </w:r>
          </w:p>
        </w:tc>
        <w:tc>
          <w:tcPr>
            <w:tcW w:w="607" w:type="pct"/>
            <w:tcBorders>
              <w:top w:val="single" w:sz="12" w:space="0" w:color="auto"/>
              <w:left w:val="single" w:sz="2" w:space="0" w:color="auto"/>
              <w:bottom w:val="single" w:sz="2" w:space="0" w:color="auto"/>
              <w:right w:val="single" w:sz="2" w:space="0" w:color="auto"/>
            </w:tcBorders>
            <w:shd w:val="clear" w:color="auto" w:fill="auto"/>
            <w:noWrap/>
            <w:vAlign w:val="center"/>
            <w:hideMark/>
          </w:tcPr>
          <w:p w14:paraId="6EDCF70E" w14:textId="77777777" w:rsidR="00D71745" w:rsidRPr="007114AF" w:rsidRDefault="00D71745" w:rsidP="00D71745">
            <w:pPr>
              <w:spacing w:after="0" w:line="240" w:lineRule="auto"/>
              <w:rPr>
                <w:rFonts w:ascii="Garamond" w:hAnsi="Garamond"/>
                <w:sz w:val="18"/>
                <w:szCs w:val="18"/>
              </w:rPr>
            </w:pPr>
            <w:r w:rsidRPr="007114AF">
              <w:rPr>
                <w:rFonts w:ascii="Garamond" w:hAnsi="Garamond"/>
                <w:sz w:val="18"/>
                <w:szCs w:val="18"/>
              </w:rPr>
              <w:t>Energji</w:t>
            </w:r>
          </w:p>
        </w:tc>
        <w:tc>
          <w:tcPr>
            <w:tcW w:w="208" w:type="pct"/>
            <w:tcBorders>
              <w:top w:val="single" w:sz="12" w:space="0" w:color="auto"/>
              <w:left w:val="single" w:sz="2" w:space="0" w:color="auto"/>
              <w:bottom w:val="single" w:sz="2" w:space="0" w:color="auto"/>
              <w:right w:val="single" w:sz="2" w:space="0" w:color="auto"/>
            </w:tcBorders>
            <w:shd w:val="clear" w:color="auto" w:fill="auto"/>
            <w:noWrap/>
            <w:vAlign w:val="center"/>
            <w:hideMark/>
          </w:tcPr>
          <w:p w14:paraId="6EDCF70F"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w:t>
            </w:r>
          </w:p>
        </w:tc>
        <w:tc>
          <w:tcPr>
            <w:tcW w:w="208" w:type="pct"/>
            <w:tcBorders>
              <w:top w:val="single" w:sz="12" w:space="0" w:color="auto"/>
              <w:left w:val="single" w:sz="2" w:space="0" w:color="auto"/>
              <w:bottom w:val="single" w:sz="2" w:space="0" w:color="auto"/>
              <w:right w:val="single" w:sz="2" w:space="0" w:color="auto"/>
            </w:tcBorders>
            <w:shd w:val="clear" w:color="auto" w:fill="auto"/>
            <w:noWrap/>
            <w:vAlign w:val="center"/>
            <w:hideMark/>
          </w:tcPr>
          <w:p w14:paraId="6EDCF710"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w:t>
            </w:r>
          </w:p>
        </w:tc>
        <w:tc>
          <w:tcPr>
            <w:tcW w:w="208" w:type="pct"/>
            <w:tcBorders>
              <w:top w:val="single" w:sz="12" w:space="0" w:color="auto"/>
              <w:left w:val="single" w:sz="2" w:space="0" w:color="auto"/>
              <w:bottom w:val="single" w:sz="2" w:space="0" w:color="auto"/>
              <w:right w:val="single" w:sz="2" w:space="0" w:color="auto"/>
            </w:tcBorders>
            <w:shd w:val="clear" w:color="auto" w:fill="auto"/>
            <w:noWrap/>
            <w:vAlign w:val="center"/>
            <w:hideMark/>
          </w:tcPr>
          <w:p w14:paraId="6EDCF711"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w:t>
            </w:r>
          </w:p>
        </w:tc>
        <w:tc>
          <w:tcPr>
            <w:tcW w:w="208" w:type="pct"/>
            <w:tcBorders>
              <w:top w:val="single" w:sz="12" w:space="0" w:color="auto"/>
              <w:left w:val="single" w:sz="2" w:space="0" w:color="auto"/>
              <w:bottom w:val="single" w:sz="2" w:space="0" w:color="auto"/>
              <w:right w:val="single" w:sz="2" w:space="0" w:color="auto"/>
            </w:tcBorders>
            <w:shd w:val="clear" w:color="auto" w:fill="auto"/>
            <w:noWrap/>
            <w:vAlign w:val="center"/>
            <w:hideMark/>
          </w:tcPr>
          <w:p w14:paraId="6EDCF712"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w:t>
            </w:r>
          </w:p>
        </w:tc>
        <w:tc>
          <w:tcPr>
            <w:tcW w:w="208" w:type="pct"/>
            <w:tcBorders>
              <w:top w:val="single" w:sz="12" w:space="0" w:color="auto"/>
              <w:left w:val="single" w:sz="2" w:space="0" w:color="auto"/>
              <w:bottom w:val="single" w:sz="2" w:space="0" w:color="auto"/>
              <w:right w:val="single" w:sz="2" w:space="0" w:color="auto"/>
            </w:tcBorders>
            <w:shd w:val="clear" w:color="auto" w:fill="auto"/>
            <w:noWrap/>
            <w:vAlign w:val="center"/>
            <w:hideMark/>
          </w:tcPr>
          <w:p w14:paraId="6EDCF713"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44.0</w:t>
            </w:r>
          </w:p>
        </w:tc>
        <w:tc>
          <w:tcPr>
            <w:tcW w:w="208" w:type="pct"/>
            <w:tcBorders>
              <w:top w:val="single" w:sz="12" w:space="0" w:color="auto"/>
              <w:left w:val="single" w:sz="2" w:space="0" w:color="auto"/>
              <w:bottom w:val="single" w:sz="2" w:space="0" w:color="auto"/>
              <w:right w:val="single" w:sz="2" w:space="0" w:color="auto"/>
            </w:tcBorders>
            <w:shd w:val="clear" w:color="auto" w:fill="auto"/>
            <w:noWrap/>
            <w:vAlign w:val="center"/>
            <w:hideMark/>
          </w:tcPr>
          <w:p w14:paraId="6EDCF714"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w:t>
            </w:r>
          </w:p>
        </w:tc>
        <w:tc>
          <w:tcPr>
            <w:tcW w:w="208" w:type="pct"/>
            <w:tcBorders>
              <w:top w:val="single" w:sz="12" w:space="0" w:color="auto"/>
              <w:left w:val="single" w:sz="2" w:space="0" w:color="auto"/>
              <w:bottom w:val="single" w:sz="2" w:space="0" w:color="auto"/>
              <w:right w:val="single" w:sz="2" w:space="0" w:color="auto"/>
            </w:tcBorders>
            <w:shd w:val="clear" w:color="auto" w:fill="auto"/>
            <w:noWrap/>
            <w:vAlign w:val="center"/>
            <w:hideMark/>
          </w:tcPr>
          <w:p w14:paraId="6EDCF715"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w:t>
            </w:r>
          </w:p>
        </w:tc>
        <w:tc>
          <w:tcPr>
            <w:tcW w:w="208" w:type="pct"/>
            <w:tcBorders>
              <w:top w:val="single" w:sz="12" w:space="0" w:color="auto"/>
              <w:left w:val="single" w:sz="2" w:space="0" w:color="auto"/>
              <w:bottom w:val="single" w:sz="2" w:space="0" w:color="auto"/>
              <w:right w:val="single" w:sz="2" w:space="0" w:color="auto"/>
            </w:tcBorders>
            <w:shd w:val="clear" w:color="auto" w:fill="auto"/>
            <w:noWrap/>
            <w:vAlign w:val="center"/>
            <w:hideMark/>
          </w:tcPr>
          <w:p w14:paraId="6EDCF716"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w:t>
            </w:r>
          </w:p>
        </w:tc>
        <w:tc>
          <w:tcPr>
            <w:tcW w:w="208" w:type="pct"/>
            <w:tcBorders>
              <w:top w:val="single" w:sz="12" w:space="0" w:color="auto"/>
              <w:left w:val="single" w:sz="2" w:space="0" w:color="auto"/>
              <w:bottom w:val="single" w:sz="2" w:space="0" w:color="auto"/>
              <w:right w:val="single" w:sz="2" w:space="0" w:color="auto"/>
            </w:tcBorders>
            <w:shd w:val="clear" w:color="auto" w:fill="auto"/>
            <w:noWrap/>
            <w:vAlign w:val="center"/>
            <w:hideMark/>
          </w:tcPr>
          <w:p w14:paraId="6EDCF717"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w:t>
            </w:r>
          </w:p>
        </w:tc>
        <w:tc>
          <w:tcPr>
            <w:tcW w:w="208" w:type="pct"/>
            <w:tcBorders>
              <w:top w:val="single" w:sz="12" w:space="0" w:color="auto"/>
              <w:left w:val="single" w:sz="2" w:space="0" w:color="auto"/>
              <w:bottom w:val="single" w:sz="2" w:space="0" w:color="auto"/>
              <w:right w:val="single" w:sz="2" w:space="0" w:color="auto"/>
            </w:tcBorders>
            <w:shd w:val="clear" w:color="auto" w:fill="auto"/>
            <w:noWrap/>
            <w:vAlign w:val="center"/>
            <w:hideMark/>
          </w:tcPr>
          <w:p w14:paraId="6EDCF718"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w:t>
            </w:r>
          </w:p>
        </w:tc>
        <w:tc>
          <w:tcPr>
            <w:tcW w:w="208" w:type="pct"/>
            <w:tcBorders>
              <w:top w:val="single" w:sz="12" w:space="0" w:color="auto"/>
              <w:left w:val="single" w:sz="2" w:space="0" w:color="auto"/>
              <w:bottom w:val="single" w:sz="2" w:space="0" w:color="auto"/>
              <w:right w:val="single" w:sz="2" w:space="0" w:color="auto"/>
            </w:tcBorders>
            <w:shd w:val="clear" w:color="auto" w:fill="auto"/>
            <w:noWrap/>
            <w:vAlign w:val="center"/>
            <w:hideMark/>
          </w:tcPr>
          <w:p w14:paraId="6EDCF719"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w:t>
            </w:r>
          </w:p>
        </w:tc>
        <w:tc>
          <w:tcPr>
            <w:tcW w:w="208" w:type="pct"/>
            <w:tcBorders>
              <w:top w:val="single" w:sz="12" w:space="0" w:color="auto"/>
              <w:left w:val="single" w:sz="2" w:space="0" w:color="auto"/>
              <w:bottom w:val="single" w:sz="2" w:space="0" w:color="auto"/>
              <w:right w:val="single" w:sz="2" w:space="0" w:color="auto"/>
            </w:tcBorders>
            <w:shd w:val="clear" w:color="auto" w:fill="auto"/>
            <w:noWrap/>
            <w:vAlign w:val="center"/>
            <w:hideMark/>
          </w:tcPr>
          <w:p w14:paraId="6EDCF71A"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w:t>
            </w:r>
          </w:p>
        </w:tc>
        <w:tc>
          <w:tcPr>
            <w:tcW w:w="208" w:type="pct"/>
            <w:tcBorders>
              <w:top w:val="single" w:sz="12" w:space="0" w:color="auto"/>
              <w:left w:val="single" w:sz="2" w:space="0" w:color="auto"/>
              <w:bottom w:val="single" w:sz="2" w:space="0" w:color="auto"/>
              <w:right w:val="single" w:sz="2" w:space="0" w:color="auto"/>
            </w:tcBorders>
            <w:shd w:val="clear" w:color="auto" w:fill="auto"/>
            <w:noWrap/>
            <w:vAlign w:val="center"/>
            <w:hideMark/>
          </w:tcPr>
          <w:p w14:paraId="6EDCF71B"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w:t>
            </w:r>
          </w:p>
        </w:tc>
        <w:tc>
          <w:tcPr>
            <w:tcW w:w="208" w:type="pct"/>
            <w:tcBorders>
              <w:top w:val="single" w:sz="12" w:space="0" w:color="auto"/>
              <w:left w:val="single" w:sz="2" w:space="0" w:color="auto"/>
              <w:bottom w:val="single" w:sz="2" w:space="0" w:color="auto"/>
              <w:right w:val="single" w:sz="2" w:space="0" w:color="auto"/>
            </w:tcBorders>
            <w:shd w:val="clear" w:color="auto" w:fill="auto"/>
            <w:noWrap/>
            <w:vAlign w:val="center"/>
            <w:hideMark/>
          </w:tcPr>
          <w:p w14:paraId="6EDCF71C"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w:t>
            </w:r>
          </w:p>
        </w:tc>
        <w:tc>
          <w:tcPr>
            <w:tcW w:w="208" w:type="pct"/>
            <w:tcBorders>
              <w:top w:val="single" w:sz="12" w:space="0" w:color="auto"/>
              <w:left w:val="single" w:sz="2" w:space="0" w:color="auto"/>
              <w:bottom w:val="single" w:sz="2" w:space="0" w:color="auto"/>
              <w:right w:val="single" w:sz="2" w:space="0" w:color="auto"/>
            </w:tcBorders>
            <w:shd w:val="clear" w:color="auto" w:fill="auto"/>
            <w:noWrap/>
            <w:vAlign w:val="center"/>
            <w:hideMark/>
          </w:tcPr>
          <w:p w14:paraId="6EDCF71D"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w:t>
            </w:r>
          </w:p>
        </w:tc>
        <w:tc>
          <w:tcPr>
            <w:tcW w:w="208" w:type="pct"/>
            <w:tcBorders>
              <w:top w:val="single" w:sz="12" w:space="0" w:color="auto"/>
              <w:left w:val="single" w:sz="2" w:space="0" w:color="auto"/>
              <w:bottom w:val="single" w:sz="2" w:space="0" w:color="auto"/>
              <w:right w:val="single" w:sz="2" w:space="0" w:color="auto"/>
            </w:tcBorders>
            <w:shd w:val="clear" w:color="auto" w:fill="auto"/>
            <w:noWrap/>
            <w:vAlign w:val="center"/>
            <w:hideMark/>
          </w:tcPr>
          <w:p w14:paraId="6EDCF71E"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w:t>
            </w:r>
          </w:p>
        </w:tc>
        <w:tc>
          <w:tcPr>
            <w:tcW w:w="208" w:type="pct"/>
            <w:tcBorders>
              <w:top w:val="single" w:sz="12" w:space="0" w:color="auto"/>
              <w:left w:val="single" w:sz="2" w:space="0" w:color="auto"/>
              <w:bottom w:val="single" w:sz="2" w:space="0" w:color="auto"/>
              <w:right w:val="single" w:sz="2" w:space="0" w:color="auto"/>
            </w:tcBorders>
            <w:shd w:val="clear" w:color="auto" w:fill="auto"/>
            <w:noWrap/>
            <w:vAlign w:val="center"/>
            <w:hideMark/>
          </w:tcPr>
          <w:p w14:paraId="6EDCF71F"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w:t>
            </w:r>
          </w:p>
        </w:tc>
        <w:tc>
          <w:tcPr>
            <w:tcW w:w="208" w:type="pct"/>
            <w:tcBorders>
              <w:top w:val="single" w:sz="12" w:space="0" w:color="auto"/>
              <w:left w:val="single" w:sz="2" w:space="0" w:color="auto"/>
              <w:bottom w:val="single" w:sz="2" w:space="0" w:color="auto"/>
              <w:right w:val="single" w:sz="2" w:space="0" w:color="auto"/>
            </w:tcBorders>
            <w:shd w:val="clear" w:color="auto" w:fill="auto"/>
            <w:noWrap/>
            <w:vAlign w:val="center"/>
            <w:hideMark/>
          </w:tcPr>
          <w:p w14:paraId="6EDCF720"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w:t>
            </w:r>
          </w:p>
        </w:tc>
        <w:tc>
          <w:tcPr>
            <w:tcW w:w="208" w:type="pct"/>
            <w:tcBorders>
              <w:top w:val="single" w:sz="12" w:space="0" w:color="auto"/>
              <w:left w:val="single" w:sz="2" w:space="0" w:color="auto"/>
              <w:bottom w:val="single" w:sz="2" w:space="0" w:color="auto"/>
              <w:right w:val="single" w:sz="2" w:space="0" w:color="auto"/>
            </w:tcBorders>
            <w:shd w:val="clear" w:color="auto" w:fill="auto"/>
            <w:noWrap/>
            <w:vAlign w:val="center"/>
            <w:hideMark/>
          </w:tcPr>
          <w:p w14:paraId="6EDCF721"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w:t>
            </w:r>
          </w:p>
        </w:tc>
        <w:tc>
          <w:tcPr>
            <w:tcW w:w="208" w:type="pct"/>
            <w:tcBorders>
              <w:top w:val="single" w:sz="12" w:space="0" w:color="auto"/>
              <w:left w:val="single" w:sz="2" w:space="0" w:color="auto"/>
              <w:bottom w:val="single" w:sz="2" w:space="0" w:color="auto"/>
              <w:right w:val="single" w:sz="12" w:space="0" w:color="auto"/>
            </w:tcBorders>
            <w:shd w:val="clear" w:color="auto" w:fill="auto"/>
            <w:noWrap/>
            <w:vAlign w:val="center"/>
            <w:hideMark/>
          </w:tcPr>
          <w:p w14:paraId="6EDCF722"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w:t>
            </w:r>
          </w:p>
        </w:tc>
      </w:tr>
      <w:tr w:rsidR="00D71745" w:rsidRPr="007114AF" w14:paraId="6EDCF73A" w14:textId="77777777" w:rsidTr="00A9766F">
        <w:trPr>
          <w:trHeight w:hRule="exact" w:val="301"/>
          <w:jc w:val="center"/>
        </w:trPr>
        <w:tc>
          <w:tcPr>
            <w:tcW w:w="232" w:type="pct"/>
            <w:vMerge/>
            <w:tcBorders>
              <w:top w:val="single" w:sz="12" w:space="0" w:color="auto"/>
              <w:left w:val="single" w:sz="12" w:space="0" w:color="auto"/>
              <w:bottom w:val="single" w:sz="12" w:space="0" w:color="auto"/>
              <w:right w:val="single" w:sz="2" w:space="0" w:color="auto"/>
            </w:tcBorders>
            <w:shd w:val="clear" w:color="auto" w:fill="auto"/>
            <w:vAlign w:val="center"/>
            <w:hideMark/>
          </w:tcPr>
          <w:p w14:paraId="6EDCF724" w14:textId="77777777" w:rsidR="00D71745" w:rsidRPr="007114AF" w:rsidRDefault="00D71745" w:rsidP="00D71745">
            <w:pPr>
              <w:spacing w:after="0" w:line="240" w:lineRule="auto"/>
              <w:rPr>
                <w:rFonts w:ascii="Garamond" w:hAnsi="Garamond"/>
                <w:sz w:val="18"/>
                <w:szCs w:val="18"/>
              </w:rPr>
            </w:pPr>
          </w:p>
        </w:tc>
        <w:tc>
          <w:tcPr>
            <w:tcW w:w="607" w:type="pct"/>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EDCF725" w14:textId="77777777" w:rsidR="00D71745" w:rsidRPr="007114AF" w:rsidRDefault="00D71745" w:rsidP="00D71745">
            <w:pPr>
              <w:spacing w:after="0" w:line="240" w:lineRule="auto"/>
              <w:rPr>
                <w:rFonts w:ascii="Garamond" w:hAnsi="Garamond"/>
                <w:sz w:val="18"/>
                <w:szCs w:val="18"/>
              </w:rPr>
            </w:pPr>
            <w:r w:rsidRPr="007114AF">
              <w:rPr>
                <w:rFonts w:ascii="Garamond" w:hAnsi="Garamond"/>
                <w:sz w:val="18"/>
                <w:szCs w:val="18"/>
              </w:rPr>
              <w:t>Procese industriale</w:t>
            </w:r>
          </w:p>
        </w:tc>
        <w:tc>
          <w:tcPr>
            <w:tcW w:w="208" w:type="pct"/>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EDCF726"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w:t>
            </w:r>
          </w:p>
        </w:tc>
        <w:tc>
          <w:tcPr>
            <w:tcW w:w="208" w:type="pct"/>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EDCF727"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w:t>
            </w:r>
          </w:p>
        </w:tc>
        <w:tc>
          <w:tcPr>
            <w:tcW w:w="208" w:type="pct"/>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EDCF728"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w:t>
            </w:r>
          </w:p>
        </w:tc>
        <w:tc>
          <w:tcPr>
            <w:tcW w:w="208" w:type="pct"/>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EDCF729"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w:t>
            </w:r>
          </w:p>
        </w:tc>
        <w:tc>
          <w:tcPr>
            <w:tcW w:w="208" w:type="pct"/>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EDCF72A"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3.0</w:t>
            </w:r>
          </w:p>
        </w:tc>
        <w:tc>
          <w:tcPr>
            <w:tcW w:w="208" w:type="pct"/>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EDCF72B"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w:t>
            </w:r>
          </w:p>
        </w:tc>
        <w:tc>
          <w:tcPr>
            <w:tcW w:w="208" w:type="pct"/>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EDCF72C"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w:t>
            </w:r>
          </w:p>
        </w:tc>
        <w:tc>
          <w:tcPr>
            <w:tcW w:w="208" w:type="pct"/>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EDCF72D"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w:t>
            </w:r>
          </w:p>
        </w:tc>
        <w:tc>
          <w:tcPr>
            <w:tcW w:w="208" w:type="pct"/>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EDCF72E"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w:t>
            </w:r>
          </w:p>
        </w:tc>
        <w:tc>
          <w:tcPr>
            <w:tcW w:w="208" w:type="pct"/>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EDCF72F"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w:t>
            </w:r>
          </w:p>
        </w:tc>
        <w:tc>
          <w:tcPr>
            <w:tcW w:w="208" w:type="pct"/>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EDCF730"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w:t>
            </w:r>
          </w:p>
        </w:tc>
        <w:tc>
          <w:tcPr>
            <w:tcW w:w="208" w:type="pct"/>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EDCF731"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w:t>
            </w:r>
          </w:p>
        </w:tc>
        <w:tc>
          <w:tcPr>
            <w:tcW w:w="208" w:type="pct"/>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EDCF732"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w:t>
            </w:r>
          </w:p>
        </w:tc>
        <w:tc>
          <w:tcPr>
            <w:tcW w:w="208" w:type="pct"/>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EDCF733"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w:t>
            </w:r>
          </w:p>
        </w:tc>
        <w:tc>
          <w:tcPr>
            <w:tcW w:w="208" w:type="pct"/>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EDCF734"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w:t>
            </w:r>
          </w:p>
        </w:tc>
        <w:tc>
          <w:tcPr>
            <w:tcW w:w="208" w:type="pct"/>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EDCF735"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w:t>
            </w:r>
          </w:p>
        </w:tc>
        <w:tc>
          <w:tcPr>
            <w:tcW w:w="208" w:type="pct"/>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EDCF736"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w:t>
            </w:r>
          </w:p>
        </w:tc>
        <w:tc>
          <w:tcPr>
            <w:tcW w:w="208" w:type="pct"/>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EDCF737"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w:t>
            </w:r>
          </w:p>
        </w:tc>
        <w:tc>
          <w:tcPr>
            <w:tcW w:w="208" w:type="pct"/>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EDCF738"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w:t>
            </w:r>
          </w:p>
        </w:tc>
        <w:tc>
          <w:tcPr>
            <w:tcW w:w="208" w:type="pct"/>
            <w:tcBorders>
              <w:top w:val="single" w:sz="2" w:space="0" w:color="auto"/>
              <w:left w:val="single" w:sz="2" w:space="0" w:color="auto"/>
              <w:bottom w:val="single" w:sz="2" w:space="0" w:color="auto"/>
              <w:right w:val="single" w:sz="12" w:space="0" w:color="auto"/>
            </w:tcBorders>
            <w:shd w:val="clear" w:color="auto" w:fill="auto"/>
            <w:noWrap/>
            <w:vAlign w:val="center"/>
            <w:hideMark/>
          </w:tcPr>
          <w:p w14:paraId="6EDCF739"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w:t>
            </w:r>
          </w:p>
        </w:tc>
      </w:tr>
      <w:tr w:rsidR="00D71745" w:rsidRPr="007114AF" w14:paraId="6EDCF751" w14:textId="77777777" w:rsidTr="00A9766F">
        <w:trPr>
          <w:trHeight w:hRule="exact" w:val="301"/>
          <w:jc w:val="center"/>
        </w:trPr>
        <w:tc>
          <w:tcPr>
            <w:tcW w:w="232" w:type="pct"/>
            <w:vMerge/>
            <w:tcBorders>
              <w:top w:val="single" w:sz="12" w:space="0" w:color="auto"/>
              <w:left w:val="single" w:sz="12" w:space="0" w:color="auto"/>
              <w:bottom w:val="single" w:sz="12" w:space="0" w:color="auto"/>
              <w:right w:val="single" w:sz="2" w:space="0" w:color="auto"/>
            </w:tcBorders>
            <w:shd w:val="clear" w:color="auto" w:fill="auto"/>
            <w:vAlign w:val="center"/>
            <w:hideMark/>
          </w:tcPr>
          <w:p w14:paraId="6EDCF73B" w14:textId="77777777" w:rsidR="00D71745" w:rsidRPr="007114AF" w:rsidRDefault="00D71745" w:rsidP="00D71745">
            <w:pPr>
              <w:spacing w:after="0" w:line="240" w:lineRule="auto"/>
              <w:rPr>
                <w:rFonts w:ascii="Garamond" w:hAnsi="Garamond"/>
                <w:sz w:val="18"/>
                <w:szCs w:val="18"/>
              </w:rPr>
            </w:pPr>
          </w:p>
        </w:tc>
        <w:tc>
          <w:tcPr>
            <w:tcW w:w="607" w:type="pct"/>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EDCF73C" w14:textId="77777777" w:rsidR="00D71745" w:rsidRPr="007114AF" w:rsidRDefault="00D71745" w:rsidP="00D71745">
            <w:pPr>
              <w:spacing w:after="0" w:line="240" w:lineRule="auto"/>
              <w:rPr>
                <w:rFonts w:ascii="Garamond" w:hAnsi="Garamond"/>
                <w:sz w:val="18"/>
                <w:szCs w:val="18"/>
              </w:rPr>
            </w:pPr>
            <w:r w:rsidRPr="007114AF">
              <w:rPr>
                <w:rFonts w:ascii="Garamond" w:hAnsi="Garamond"/>
                <w:sz w:val="18"/>
                <w:szCs w:val="18"/>
              </w:rPr>
              <w:t xml:space="preserve">Bujqësi </w:t>
            </w:r>
          </w:p>
        </w:tc>
        <w:tc>
          <w:tcPr>
            <w:tcW w:w="208" w:type="pct"/>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EDCF73D"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w:t>
            </w:r>
          </w:p>
        </w:tc>
        <w:tc>
          <w:tcPr>
            <w:tcW w:w="208" w:type="pct"/>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EDCF73E"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w:t>
            </w:r>
          </w:p>
        </w:tc>
        <w:tc>
          <w:tcPr>
            <w:tcW w:w="208" w:type="pct"/>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EDCF73F"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w:t>
            </w:r>
          </w:p>
        </w:tc>
        <w:tc>
          <w:tcPr>
            <w:tcW w:w="208" w:type="pct"/>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EDCF740"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w:t>
            </w:r>
          </w:p>
        </w:tc>
        <w:tc>
          <w:tcPr>
            <w:tcW w:w="208" w:type="pct"/>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EDCF741"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27.1</w:t>
            </w:r>
          </w:p>
        </w:tc>
        <w:tc>
          <w:tcPr>
            <w:tcW w:w="208" w:type="pct"/>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EDCF742"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w:t>
            </w:r>
          </w:p>
        </w:tc>
        <w:tc>
          <w:tcPr>
            <w:tcW w:w="208" w:type="pct"/>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EDCF743"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w:t>
            </w:r>
          </w:p>
        </w:tc>
        <w:tc>
          <w:tcPr>
            <w:tcW w:w="208" w:type="pct"/>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EDCF744"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w:t>
            </w:r>
          </w:p>
        </w:tc>
        <w:tc>
          <w:tcPr>
            <w:tcW w:w="208" w:type="pct"/>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EDCF745"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w:t>
            </w:r>
          </w:p>
        </w:tc>
        <w:tc>
          <w:tcPr>
            <w:tcW w:w="208" w:type="pct"/>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EDCF746"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w:t>
            </w:r>
          </w:p>
        </w:tc>
        <w:tc>
          <w:tcPr>
            <w:tcW w:w="208" w:type="pct"/>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EDCF747"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w:t>
            </w:r>
          </w:p>
        </w:tc>
        <w:tc>
          <w:tcPr>
            <w:tcW w:w="208" w:type="pct"/>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EDCF748"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w:t>
            </w:r>
          </w:p>
        </w:tc>
        <w:tc>
          <w:tcPr>
            <w:tcW w:w="208" w:type="pct"/>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EDCF749"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w:t>
            </w:r>
          </w:p>
        </w:tc>
        <w:tc>
          <w:tcPr>
            <w:tcW w:w="208" w:type="pct"/>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EDCF74A"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w:t>
            </w:r>
          </w:p>
        </w:tc>
        <w:tc>
          <w:tcPr>
            <w:tcW w:w="208" w:type="pct"/>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EDCF74B"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w:t>
            </w:r>
          </w:p>
        </w:tc>
        <w:tc>
          <w:tcPr>
            <w:tcW w:w="208" w:type="pct"/>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EDCF74C"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w:t>
            </w:r>
          </w:p>
        </w:tc>
        <w:tc>
          <w:tcPr>
            <w:tcW w:w="208" w:type="pct"/>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EDCF74D"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w:t>
            </w:r>
          </w:p>
        </w:tc>
        <w:tc>
          <w:tcPr>
            <w:tcW w:w="208" w:type="pct"/>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EDCF74E"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w:t>
            </w:r>
          </w:p>
        </w:tc>
        <w:tc>
          <w:tcPr>
            <w:tcW w:w="208" w:type="pct"/>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EDCF74F"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w:t>
            </w:r>
          </w:p>
        </w:tc>
        <w:tc>
          <w:tcPr>
            <w:tcW w:w="208" w:type="pct"/>
            <w:tcBorders>
              <w:top w:val="single" w:sz="2" w:space="0" w:color="auto"/>
              <w:left w:val="single" w:sz="2" w:space="0" w:color="auto"/>
              <w:bottom w:val="single" w:sz="2" w:space="0" w:color="auto"/>
              <w:right w:val="single" w:sz="12" w:space="0" w:color="auto"/>
            </w:tcBorders>
            <w:shd w:val="clear" w:color="auto" w:fill="auto"/>
            <w:noWrap/>
            <w:vAlign w:val="center"/>
            <w:hideMark/>
          </w:tcPr>
          <w:p w14:paraId="6EDCF750"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w:t>
            </w:r>
          </w:p>
        </w:tc>
      </w:tr>
      <w:tr w:rsidR="00D71745" w:rsidRPr="007114AF" w14:paraId="6EDCF768" w14:textId="77777777" w:rsidTr="00A9766F">
        <w:trPr>
          <w:trHeight w:hRule="exact" w:val="301"/>
          <w:jc w:val="center"/>
        </w:trPr>
        <w:tc>
          <w:tcPr>
            <w:tcW w:w="232" w:type="pct"/>
            <w:vMerge/>
            <w:tcBorders>
              <w:top w:val="single" w:sz="12" w:space="0" w:color="auto"/>
              <w:left w:val="single" w:sz="12" w:space="0" w:color="auto"/>
              <w:bottom w:val="single" w:sz="12" w:space="0" w:color="auto"/>
              <w:right w:val="single" w:sz="2" w:space="0" w:color="auto"/>
            </w:tcBorders>
            <w:shd w:val="clear" w:color="auto" w:fill="auto"/>
            <w:vAlign w:val="center"/>
            <w:hideMark/>
          </w:tcPr>
          <w:p w14:paraId="6EDCF752" w14:textId="77777777" w:rsidR="00D71745" w:rsidRPr="007114AF" w:rsidRDefault="00D71745" w:rsidP="00D71745">
            <w:pPr>
              <w:spacing w:after="0" w:line="240" w:lineRule="auto"/>
              <w:rPr>
                <w:rFonts w:ascii="Garamond" w:hAnsi="Garamond"/>
                <w:sz w:val="18"/>
                <w:szCs w:val="18"/>
              </w:rPr>
            </w:pPr>
          </w:p>
        </w:tc>
        <w:tc>
          <w:tcPr>
            <w:tcW w:w="607" w:type="pct"/>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EDCF753" w14:textId="77777777" w:rsidR="00D71745" w:rsidRPr="007114AF" w:rsidRDefault="00D71745" w:rsidP="00D71745">
            <w:pPr>
              <w:spacing w:after="0" w:line="240" w:lineRule="auto"/>
              <w:rPr>
                <w:rFonts w:ascii="Garamond" w:hAnsi="Garamond"/>
                <w:sz w:val="18"/>
                <w:szCs w:val="18"/>
              </w:rPr>
            </w:pPr>
            <w:r w:rsidRPr="007114AF">
              <w:rPr>
                <w:rFonts w:ascii="Garamond" w:hAnsi="Garamond"/>
                <w:sz w:val="18"/>
                <w:szCs w:val="18"/>
              </w:rPr>
              <w:t>LULUCF</w:t>
            </w:r>
          </w:p>
        </w:tc>
        <w:tc>
          <w:tcPr>
            <w:tcW w:w="208" w:type="pct"/>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EDCF754"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w:t>
            </w:r>
          </w:p>
        </w:tc>
        <w:tc>
          <w:tcPr>
            <w:tcW w:w="208" w:type="pct"/>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EDCF755"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w:t>
            </w:r>
          </w:p>
        </w:tc>
        <w:tc>
          <w:tcPr>
            <w:tcW w:w="208" w:type="pct"/>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EDCF756"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w:t>
            </w:r>
          </w:p>
        </w:tc>
        <w:tc>
          <w:tcPr>
            <w:tcW w:w="208" w:type="pct"/>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EDCF757"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w:t>
            </w:r>
          </w:p>
        </w:tc>
        <w:tc>
          <w:tcPr>
            <w:tcW w:w="208" w:type="pct"/>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EDCF758"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21.6</w:t>
            </w:r>
          </w:p>
        </w:tc>
        <w:tc>
          <w:tcPr>
            <w:tcW w:w="208" w:type="pct"/>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EDCF759"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w:t>
            </w:r>
          </w:p>
        </w:tc>
        <w:tc>
          <w:tcPr>
            <w:tcW w:w="208" w:type="pct"/>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EDCF75A"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w:t>
            </w:r>
          </w:p>
        </w:tc>
        <w:tc>
          <w:tcPr>
            <w:tcW w:w="208" w:type="pct"/>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EDCF75B"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w:t>
            </w:r>
          </w:p>
        </w:tc>
        <w:tc>
          <w:tcPr>
            <w:tcW w:w="208" w:type="pct"/>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EDCF75C"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w:t>
            </w:r>
          </w:p>
        </w:tc>
        <w:tc>
          <w:tcPr>
            <w:tcW w:w="208" w:type="pct"/>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EDCF75D"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w:t>
            </w:r>
          </w:p>
        </w:tc>
        <w:tc>
          <w:tcPr>
            <w:tcW w:w="208" w:type="pct"/>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EDCF75E"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w:t>
            </w:r>
          </w:p>
        </w:tc>
        <w:tc>
          <w:tcPr>
            <w:tcW w:w="208" w:type="pct"/>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EDCF75F"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w:t>
            </w:r>
          </w:p>
        </w:tc>
        <w:tc>
          <w:tcPr>
            <w:tcW w:w="208" w:type="pct"/>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EDCF760"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w:t>
            </w:r>
          </w:p>
        </w:tc>
        <w:tc>
          <w:tcPr>
            <w:tcW w:w="208" w:type="pct"/>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EDCF761"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w:t>
            </w:r>
          </w:p>
        </w:tc>
        <w:tc>
          <w:tcPr>
            <w:tcW w:w="208" w:type="pct"/>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EDCF762"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w:t>
            </w:r>
          </w:p>
        </w:tc>
        <w:tc>
          <w:tcPr>
            <w:tcW w:w="208" w:type="pct"/>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EDCF763"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w:t>
            </w:r>
          </w:p>
        </w:tc>
        <w:tc>
          <w:tcPr>
            <w:tcW w:w="208" w:type="pct"/>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EDCF764"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w:t>
            </w:r>
          </w:p>
        </w:tc>
        <w:tc>
          <w:tcPr>
            <w:tcW w:w="208" w:type="pct"/>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EDCF765"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w:t>
            </w:r>
          </w:p>
        </w:tc>
        <w:tc>
          <w:tcPr>
            <w:tcW w:w="208" w:type="pct"/>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EDCF766"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w:t>
            </w:r>
          </w:p>
        </w:tc>
        <w:tc>
          <w:tcPr>
            <w:tcW w:w="208" w:type="pct"/>
            <w:tcBorders>
              <w:top w:val="single" w:sz="2" w:space="0" w:color="auto"/>
              <w:left w:val="single" w:sz="2" w:space="0" w:color="auto"/>
              <w:bottom w:val="single" w:sz="2" w:space="0" w:color="auto"/>
              <w:right w:val="single" w:sz="12" w:space="0" w:color="auto"/>
            </w:tcBorders>
            <w:shd w:val="clear" w:color="auto" w:fill="auto"/>
            <w:noWrap/>
            <w:vAlign w:val="center"/>
            <w:hideMark/>
          </w:tcPr>
          <w:p w14:paraId="6EDCF767"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w:t>
            </w:r>
          </w:p>
        </w:tc>
      </w:tr>
      <w:tr w:rsidR="00D71745" w:rsidRPr="007114AF" w14:paraId="6EDCF77F" w14:textId="77777777" w:rsidTr="00A9766F">
        <w:trPr>
          <w:trHeight w:hRule="exact" w:val="301"/>
          <w:jc w:val="center"/>
        </w:trPr>
        <w:tc>
          <w:tcPr>
            <w:tcW w:w="232" w:type="pct"/>
            <w:vMerge/>
            <w:tcBorders>
              <w:top w:val="single" w:sz="12" w:space="0" w:color="auto"/>
              <w:left w:val="single" w:sz="12" w:space="0" w:color="auto"/>
              <w:bottom w:val="single" w:sz="12" w:space="0" w:color="auto"/>
              <w:right w:val="single" w:sz="2" w:space="0" w:color="auto"/>
            </w:tcBorders>
            <w:shd w:val="clear" w:color="auto" w:fill="auto"/>
            <w:vAlign w:val="center"/>
            <w:hideMark/>
          </w:tcPr>
          <w:p w14:paraId="6EDCF769" w14:textId="77777777" w:rsidR="00D71745" w:rsidRPr="007114AF" w:rsidRDefault="00D71745" w:rsidP="00D71745">
            <w:pPr>
              <w:spacing w:after="0" w:line="240" w:lineRule="auto"/>
              <w:rPr>
                <w:rFonts w:ascii="Garamond" w:hAnsi="Garamond"/>
                <w:sz w:val="18"/>
                <w:szCs w:val="18"/>
              </w:rPr>
            </w:pPr>
          </w:p>
        </w:tc>
        <w:tc>
          <w:tcPr>
            <w:tcW w:w="607" w:type="pct"/>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EDCF76A" w14:textId="77777777" w:rsidR="00D71745" w:rsidRPr="007114AF" w:rsidRDefault="00D71745" w:rsidP="00D71745">
            <w:pPr>
              <w:spacing w:after="0" w:line="240" w:lineRule="auto"/>
              <w:rPr>
                <w:rFonts w:ascii="Garamond" w:hAnsi="Garamond"/>
                <w:sz w:val="18"/>
                <w:szCs w:val="18"/>
              </w:rPr>
            </w:pPr>
            <w:r w:rsidRPr="007114AF">
              <w:rPr>
                <w:rFonts w:ascii="Garamond" w:hAnsi="Garamond"/>
                <w:sz w:val="18"/>
                <w:szCs w:val="18"/>
              </w:rPr>
              <w:t xml:space="preserve">Mbetje </w:t>
            </w:r>
          </w:p>
        </w:tc>
        <w:tc>
          <w:tcPr>
            <w:tcW w:w="208" w:type="pct"/>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EDCF76B"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w:t>
            </w:r>
          </w:p>
        </w:tc>
        <w:tc>
          <w:tcPr>
            <w:tcW w:w="208" w:type="pct"/>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EDCF76C"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w:t>
            </w:r>
          </w:p>
        </w:tc>
        <w:tc>
          <w:tcPr>
            <w:tcW w:w="208" w:type="pct"/>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EDCF76D"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w:t>
            </w:r>
          </w:p>
        </w:tc>
        <w:tc>
          <w:tcPr>
            <w:tcW w:w="208" w:type="pct"/>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EDCF76E"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w:t>
            </w:r>
          </w:p>
        </w:tc>
        <w:tc>
          <w:tcPr>
            <w:tcW w:w="208" w:type="pct"/>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EDCF76F"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4.8</w:t>
            </w:r>
          </w:p>
        </w:tc>
        <w:tc>
          <w:tcPr>
            <w:tcW w:w="208" w:type="pct"/>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EDCF770"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w:t>
            </w:r>
          </w:p>
        </w:tc>
        <w:tc>
          <w:tcPr>
            <w:tcW w:w="208" w:type="pct"/>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EDCF771"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w:t>
            </w:r>
          </w:p>
        </w:tc>
        <w:tc>
          <w:tcPr>
            <w:tcW w:w="208" w:type="pct"/>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EDCF772"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w:t>
            </w:r>
          </w:p>
        </w:tc>
        <w:tc>
          <w:tcPr>
            <w:tcW w:w="208" w:type="pct"/>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EDCF773"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w:t>
            </w:r>
          </w:p>
        </w:tc>
        <w:tc>
          <w:tcPr>
            <w:tcW w:w="208" w:type="pct"/>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EDCF774"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w:t>
            </w:r>
          </w:p>
        </w:tc>
        <w:tc>
          <w:tcPr>
            <w:tcW w:w="208" w:type="pct"/>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EDCF775"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w:t>
            </w:r>
          </w:p>
        </w:tc>
        <w:tc>
          <w:tcPr>
            <w:tcW w:w="208" w:type="pct"/>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EDCF776"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w:t>
            </w:r>
          </w:p>
        </w:tc>
        <w:tc>
          <w:tcPr>
            <w:tcW w:w="208" w:type="pct"/>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EDCF777"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w:t>
            </w:r>
          </w:p>
        </w:tc>
        <w:tc>
          <w:tcPr>
            <w:tcW w:w="208" w:type="pct"/>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EDCF778"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w:t>
            </w:r>
          </w:p>
        </w:tc>
        <w:tc>
          <w:tcPr>
            <w:tcW w:w="208" w:type="pct"/>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EDCF779"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w:t>
            </w:r>
          </w:p>
        </w:tc>
        <w:tc>
          <w:tcPr>
            <w:tcW w:w="208" w:type="pct"/>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EDCF77A"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w:t>
            </w:r>
          </w:p>
        </w:tc>
        <w:tc>
          <w:tcPr>
            <w:tcW w:w="208" w:type="pct"/>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EDCF77B"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w:t>
            </w:r>
          </w:p>
        </w:tc>
        <w:tc>
          <w:tcPr>
            <w:tcW w:w="208" w:type="pct"/>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EDCF77C"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w:t>
            </w:r>
          </w:p>
        </w:tc>
        <w:tc>
          <w:tcPr>
            <w:tcW w:w="208" w:type="pct"/>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EDCF77D"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w:t>
            </w:r>
          </w:p>
        </w:tc>
        <w:tc>
          <w:tcPr>
            <w:tcW w:w="208" w:type="pct"/>
            <w:tcBorders>
              <w:top w:val="single" w:sz="2" w:space="0" w:color="auto"/>
              <w:left w:val="single" w:sz="2" w:space="0" w:color="auto"/>
              <w:bottom w:val="single" w:sz="2" w:space="0" w:color="auto"/>
              <w:right w:val="single" w:sz="12" w:space="0" w:color="auto"/>
            </w:tcBorders>
            <w:shd w:val="clear" w:color="auto" w:fill="auto"/>
            <w:noWrap/>
            <w:vAlign w:val="center"/>
            <w:hideMark/>
          </w:tcPr>
          <w:p w14:paraId="6EDCF77E"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w:t>
            </w:r>
          </w:p>
        </w:tc>
      </w:tr>
      <w:tr w:rsidR="00D71745" w:rsidRPr="007114AF" w14:paraId="6EDCF796" w14:textId="77777777" w:rsidTr="00A9766F">
        <w:trPr>
          <w:trHeight w:hRule="exact" w:val="301"/>
          <w:jc w:val="center"/>
        </w:trPr>
        <w:tc>
          <w:tcPr>
            <w:tcW w:w="232" w:type="pct"/>
            <w:vMerge/>
            <w:tcBorders>
              <w:top w:val="single" w:sz="12" w:space="0" w:color="auto"/>
              <w:left w:val="single" w:sz="12" w:space="0" w:color="auto"/>
              <w:bottom w:val="single" w:sz="12" w:space="0" w:color="auto"/>
              <w:right w:val="single" w:sz="2" w:space="0" w:color="auto"/>
            </w:tcBorders>
            <w:shd w:val="clear" w:color="auto" w:fill="auto"/>
            <w:vAlign w:val="center"/>
            <w:hideMark/>
          </w:tcPr>
          <w:p w14:paraId="6EDCF780" w14:textId="77777777" w:rsidR="00D71745" w:rsidRPr="007114AF" w:rsidRDefault="00D71745" w:rsidP="00D71745">
            <w:pPr>
              <w:spacing w:after="0" w:line="240" w:lineRule="auto"/>
              <w:rPr>
                <w:rFonts w:ascii="Garamond" w:hAnsi="Garamond"/>
                <w:sz w:val="18"/>
                <w:szCs w:val="18"/>
              </w:rPr>
            </w:pPr>
          </w:p>
        </w:tc>
        <w:tc>
          <w:tcPr>
            <w:tcW w:w="607" w:type="pct"/>
            <w:tcBorders>
              <w:top w:val="single" w:sz="2" w:space="0" w:color="auto"/>
              <w:left w:val="single" w:sz="2" w:space="0" w:color="auto"/>
              <w:bottom w:val="single" w:sz="12" w:space="0" w:color="auto"/>
              <w:right w:val="single" w:sz="2" w:space="0" w:color="auto"/>
            </w:tcBorders>
            <w:shd w:val="clear" w:color="auto" w:fill="auto"/>
            <w:noWrap/>
            <w:vAlign w:val="center"/>
            <w:hideMark/>
          </w:tcPr>
          <w:p w14:paraId="6EDCF781" w14:textId="77777777" w:rsidR="00D71745" w:rsidRPr="007114AF" w:rsidRDefault="00D71745" w:rsidP="00D71745">
            <w:pPr>
              <w:spacing w:after="0" w:line="240" w:lineRule="auto"/>
              <w:rPr>
                <w:rFonts w:ascii="Garamond" w:hAnsi="Garamond"/>
                <w:sz w:val="18"/>
                <w:szCs w:val="18"/>
              </w:rPr>
            </w:pPr>
            <w:r w:rsidRPr="007114AF">
              <w:rPr>
                <w:rFonts w:ascii="Garamond" w:hAnsi="Garamond"/>
                <w:sz w:val="18"/>
                <w:szCs w:val="18"/>
              </w:rPr>
              <w:t>TOTAL</w:t>
            </w:r>
          </w:p>
        </w:tc>
        <w:tc>
          <w:tcPr>
            <w:tcW w:w="208" w:type="pct"/>
            <w:tcBorders>
              <w:top w:val="single" w:sz="2" w:space="0" w:color="auto"/>
              <w:left w:val="single" w:sz="2" w:space="0" w:color="auto"/>
              <w:bottom w:val="single" w:sz="12" w:space="0" w:color="auto"/>
              <w:right w:val="single" w:sz="2" w:space="0" w:color="auto"/>
            </w:tcBorders>
            <w:shd w:val="clear" w:color="auto" w:fill="auto"/>
            <w:noWrap/>
            <w:vAlign w:val="center"/>
            <w:hideMark/>
          </w:tcPr>
          <w:p w14:paraId="6EDCF782"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w:t>
            </w:r>
          </w:p>
        </w:tc>
        <w:tc>
          <w:tcPr>
            <w:tcW w:w="208" w:type="pct"/>
            <w:tcBorders>
              <w:top w:val="single" w:sz="2" w:space="0" w:color="auto"/>
              <w:left w:val="single" w:sz="2" w:space="0" w:color="auto"/>
              <w:bottom w:val="single" w:sz="12" w:space="0" w:color="auto"/>
              <w:right w:val="single" w:sz="2" w:space="0" w:color="auto"/>
            </w:tcBorders>
            <w:shd w:val="clear" w:color="auto" w:fill="auto"/>
            <w:noWrap/>
            <w:vAlign w:val="center"/>
            <w:hideMark/>
          </w:tcPr>
          <w:p w14:paraId="6EDCF783"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w:t>
            </w:r>
          </w:p>
        </w:tc>
        <w:tc>
          <w:tcPr>
            <w:tcW w:w="208" w:type="pct"/>
            <w:tcBorders>
              <w:top w:val="single" w:sz="2" w:space="0" w:color="auto"/>
              <w:left w:val="single" w:sz="2" w:space="0" w:color="auto"/>
              <w:bottom w:val="single" w:sz="12" w:space="0" w:color="auto"/>
              <w:right w:val="single" w:sz="2" w:space="0" w:color="auto"/>
            </w:tcBorders>
            <w:shd w:val="clear" w:color="auto" w:fill="auto"/>
            <w:noWrap/>
            <w:vAlign w:val="center"/>
            <w:hideMark/>
          </w:tcPr>
          <w:p w14:paraId="6EDCF784"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w:t>
            </w:r>
          </w:p>
        </w:tc>
        <w:tc>
          <w:tcPr>
            <w:tcW w:w="208" w:type="pct"/>
            <w:tcBorders>
              <w:top w:val="single" w:sz="2" w:space="0" w:color="auto"/>
              <w:left w:val="single" w:sz="2" w:space="0" w:color="auto"/>
              <w:bottom w:val="single" w:sz="12" w:space="0" w:color="auto"/>
              <w:right w:val="single" w:sz="2" w:space="0" w:color="auto"/>
            </w:tcBorders>
            <w:shd w:val="clear" w:color="auto" w:fill="auto"/>
            <w:noWrap/>
            <w:vAlign w:val="center"/>
            <w:hideMark/>
          </w:tcPr>
          <w:p w14:paraId="6EDCF785"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w:t>
            </w:r>
          </w:p>
        </w:tc>
        <w:tc>
          <w:tcPr>
            <w:tcW w:w="208" w:type="pct"/>
            <w:tcBorders>
              <w:top w:val="single" w:sz="2" w:space="0" w:color="auto"/>
              <w:left w:val="single" w:sz="2" w:space="0" w:color="auto"/>
              <w:bottom w:val="single" w:sz="12" w:space="0" w:color="auto"/>
              <w:right w:val="single" w:sz="2" w:space="0" w:color="auto"/>
            </w:tcBorders>
            <w:shd w:val="clear" w:color="auto" w:fill="auto"/>
            <w:noWrap/>
            <w:vAlign w:val="center"/>
            <w:hideMark/>
          </w:tcPr>
          <w:p w14:paraId="6EDCF786"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100</w:t>
            </w:r>
          </w:p>
        </w:tc>
        <w:tc>
          <w:tcPr>
            <w:tcW w:w="208" w:type="pct"/>
            <w:tcBorders>
              <w:top w:val="single" w:sz="2" w:space="0" w:color="auto"/>
              <w:left w:val="single" w:sz="2" w:space="0" w:color="auto"/>
              <w:bottom w:val="single" w:sz="12" w:space="0" w:color="auto"/>
              <w:right w:val="single" w:sz="2" w:space="0" w:color="auto"/>
            </w:tcBorders>
            <w:shd w:val="clear" w:color="auto" w:fill="auto"/>
            <w:noWrap/>
            <w:vAlign w:val="center"/>
            <w:hideMark/>
          </w:tcPr>
          <w:p w14:paraId="6EDCF787"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w:t>
            </w:r>
          </w:p>
        </w:tc>
        <w:tc>
          <w:tcPr>
            <w:tcW w:w="208" w:type="pct"/>
            <w:tcBorders>
              <w:top w:val="single" w:sz="2" w:space="0" w:color="auto"/>
              <w:left w:val="single" w:sz="2" w:space="0" w:color="auto"/>
              <w:bottom w:val="single" w:sz="12" w:space="0" w:color="auto"/>
              <w:right w:val="single" w:sz="2" w:space="0" w:color="auto"/>
            </w:tcBorders>
            <w:shd w:val="clear" w:color="auto" w:fill="auto"/>
            <w:noWrap/>
            <w:vAlign w:val="center"/>
            <w:hideMark/>
          </w:tcPr>
          <w:p w14:paraId="6EDCF788"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w:t>
            </w:r>
          </w:p>
        </w:tc>
        <w:tc>
          <w:tcPr>
            <w:tcW w:w="208" w:type="pct"/>
            <w:tcBorders>
              <w:top w:val="single" w:sz="2" w:space="0" w:color="auto"/>
              <w:left w:val="single" w:sz="2" w:space="0" w:color="auto"/>
              <w:bottom w:val="single" w:sz="12" w:space="0" w:color="auto"/>
              <w:right w:val="single" w:sz="2" w:space="0" w:color="auto"/>
            </w:tcBorders>
            <w:shd w:val="clear" w:color="auto" w:fill="auto"/>
            <w:noWrap/>
            <w:vAlign w:val="center"/>
            <w:hideMark/>
          </w:tcPr>
          <w:p w14:paraId="6EDCF789"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w:t>
            </w:r>
          </w:p>
        </w:tc>
        <w:tc>
          <w:tcPr>
            <w:tcW w:w="208" w:type="pct"/>
            <w:tcBorders>
              <w:top w:val="single" w:sz="2" w:space="0" w:color="auto"/>
              <w:left w:val="single" w:sz="2" w:space="0" w:color="auto"/>
              <w:bottom w:val="single" w:sz="12" w:space="0" w:color="auto"/>
              <w:right w:val="single" w:sz="2" w:space="0" w:color="auto"/>
            </w:tcBorders>
            <w:shd w:val="clear" w:color="auto" w:fill="auto"/>
            <w:noWrap/>
            <w:vAlign w:val="center"/>
            <w:hideMark/>
          </w:tcPr>
          <w:p w14:paraId="6EDCF78A"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w:t>
            </w:r>
          </w:p>
        </w:tc>
        <w:tc>
          <w:tcPr>
            <w:tcW w:w="208" w:type="pct"/>
            <w:tcBorders>
              <w:top w:val="single" w:sz="2" w:space="0" w:color="auto"/>
              <w:left w:val="single" w:sz="2" w:space="0" w:color="auto"/>
              <w:bottom w:val="single" w:sz="12" w:space="0" w:color="auto"/>
              <w:right w:val="single" w:sz="2" w:space="0" w:color="auto"/>
            </w:tcBorders>
            <w:shd w:val="clear" w:color="auto" w:fill="auto"/>
            <w:noWrap/>
            <w:vAlign w:val="center"/>
            <w:hideMark/>
          </w:tcPr>
          <w:p w14:paraId="6EDCF78B"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w:t>
            </w:r>
          </w:p>
        </w:tc>
        <w:tc>
          <w:tcPr>
            <w:tcW w:w="208" w:type="pct"/>
            <w:tcBorders>
              <w:top w:val="single" w:sz="2" w:space="0" w:color="auto"/>
              <w:left w:val="single" w:sz="2" w:space="0" w:color="auto"/>
              <w:bottom w:val="single" w:sz="12" w:space="0" w:color="auto"/>
              <w:right w:val="single" w:sz="2" w:space="0" w:color="auto"/>
            </w:tcBorders>
            <w:shd w:val="clear" w:color="auto" w:fill="auto"/>
            <w:noWrap/>
            <w:vAlign w:val="center"/>
            <w:hideMark/>
          </w:tcPr>
          <w:p w14:paraId="6EDCF78C"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w:t>
            </w:r>
          </w:p>
        </w:tc>
        <w:tc>
          <w:tcPr>
            <w:tcW w:w="208" w:type="pct"/>
            <w:tcBorders>
              <w:top w:val="single" w:sz="2" w:space="0" w:color="auto"/>
              <w:left w:val="single" w:sz="2" w:space="0" w:color="auto"/>
              <w:bottom w:val="single" w:sz="12" w:space="0" w:color="auto"/>
              <w:right w:val="single" w:sz="2" w:space="0" w:color="auto"/>
            </w:tcBorders>
            <w:shd w:val="clear" w:color="auto" w:fill="auto"/>
            <w:noWrap/>
            <w:vAlign w:val="center"/>
            <w:hideMark/>
          </w:tcPr>
          <w:p w14:paraId="6EDCF78D"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w:t>
            </w:r>
          </w:p>
        </w:tc>
        <w:tc>
          <w:tcPr>
            <w:tcW w:w="208" w:type="pct"/>
            <w:tcBorders>
              <w:top w:val="single" w:sz="2" w:space="0" w:color="auto"/>
              <w:left w:val="single" w:sz="2" w:space="0" w:color="auto"/>
              <w:bottom w:val="single" w:sz="12" w:space="0" w:color="auto"/>
              <w:right w:val="single" w:sz="2" w:space="0" w:color="auto"/>
            </w:tcBorders>
            <w:shd w:val="clear" w:color="auto" w:fill="auto"/>
            <w:noWrap/>
            <w:vAlign w:val="center"/>
            <w:hideMark/>
          </w:tcPr>
          <w:p w14:paraId="6EDCF78E"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w:t>
            </w:r>
          </w:p>
        </w:tc>
        <w:tc>
          <w:tcPr>
            <w:tcW w:w="208" w:type="pct"/>
            <w:tcBorders>
              <w:top w:val="single" w:sz="2" w:space="0" w:color="auto"/>
              <w:left w:val="single" w:sz="2" w:space="0" w:color="auto"/>
              <w:bottom w:val="single" w:sz="12" w:space="0" w:color="auto"/>
              <w:right w:val="single" w:sz="2" w:space="0" w:color="auto"/>
            </w:tcBorders>
            <w:shd w:val="clear" w:color="auto" w:fill="auto"/>
            <w:noWrap/>
            <w:vAlign w:val="center"/>
            <w:hideMark/>
          </w:tcPr>
          <w:p w14:paraId="6EDCF78F"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w:t>
            </w:r>
          </w:p>
        </w:tc>
        <w:tc>
          <w:tcPr>
            <w:tcW w:w="208" w:type="pct"/>
            <w:tcBorders>
              <w:top w:val="single" w:sz="2" w:space="0" w:color="auto"/>
              <w:left w:val="single" w:sz="2" w:space="0" w:color="auto"/>
              <w:bottom w:val="single" w:sz="12" w:space="0" w:color="auto"/>
              <w:right w:val="single" w:sz="2" w:space="0" w:color="auto"/>
            </w:tcBorders>
            <w:shd w:val="clear" w:color="auto" w:fill="auto"/>
            <w:noWrap/>
            <w:vAlign w:val="center"/>
            <w:hideMark/>
          </w:tcPr>
          <w:p w14:paraId="6EDCF790"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w:t>
            </w:r>
          </w:p>
        </w:tc>
        <w:tc>
          <w:tcPr>
            <w:tcW w:w="208" w:type="pct"/>
            <w:tcBorders>
              <w:top w:val="single" w:sz="2" w:space="0" w:color="auto"/>
              <w:left w:val="single" w:sz="2" w:space="0" w:color="auto"/>
              <w:bottom w:val="single" w:sz="12" w:space="0" w:color="auto"/>
              <w:right w:val="single" w:sz="2" w:space="0" w:color="auto"/>
            </w:tcBorders>
            <w:shd w:val="clear" w:color="auto" w:fill="auto"/>
            <w:noWrap/>
            <w:vAlign w:val="center"/>
            <w:hideMark/>
          </w:tcPr>
          <w:p w14:paraId="6EDCF791"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w:t>
            </w:r>
          </w:p>
        </w:tc>
        <w:tc>
          <w:tcPr>
            <w:tcW w:w="208" w:type="pct"/>
            <w:tcBorders>
              <w:top w:val="single" w:sz="2" w:space="0" w:color="auto"/>
              <w:left w:val="single" w:sz="2" w:space="0" w:color="auto"/>
              <w:bottom w:val="single" w:sz="12" w:space="0" w:color="auto"/>
              <w:right w:val="single" w:sz="2" w:space="0" w:color="auto"/>
            </w:tcBorders>
            <w:shd w:val="clear" w:color="auto" w:fill="auto"/>
            <w:noWrap/>
            <w:vAlign w:val="center"/>
            <w:hideMark/>
          </w:tcPr>
          <w:p w14:paraId="6EDCF792"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w:t>
            </w:r>
          </w:p>
        </w:tc>
        <w:tc>
          <w:tcPr>
            <w:tcW w:w="208" w:type="pct"/>
            <w:tcBorders>
              <w:top w:val="single" w:sz="2" w:space="0" w:color="auto"/>
              <w:left w:val="single" w:sz="2" w:space="0" w:color="auto"/>
              <w:bottom w:val="single" w:sz="12" w:space="0" w:color="auto"/>
              <w:right w:val="single" w:sz="2" w:space="0" w:color="auto"/>
            </w:tcBorders>
            <w:shd w:val="clear" w:color="auto" w:fill="auto"/>
            <w:noWrap/>
            <w:vAlign w:val="center"/>
            <w:hideMark/>
          </w:tcPr>
          <w:p w14:paraId="6EDCF793"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w:t>
            </w:r>
          </w:p>
        </w:tc>
        <w:tc>
          <w:tcPr>
            <w:tcW w:w="208" w:type="pct"/>
            <w:tcBorders>
              <w:top w:val="single" w:sz="2" w:space="0" w:color="auto"/>
              <w:left w:val="single" w:sz="2" w:space="0" w:color="auto"/>
              <w:bottom w:val="single" w:sz="12" w:space="0" w:color="auto"/>
              <w:right w:val="single" w:sz="2" w:space="0" w:color="auto"/>
            </w:tcBorders>
            <w:shd w:val="clear" w:color="auto" w:fill="auto"/>
            <w:noWrap/>
            <w:vAlign w:val="center"/>
            <w:hideMark/>
          </w:tcPr>
          <w:p w14:paraId="6EDCF794"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w:t>
            </w:r>
          </w:p>
        </w:tc>
        <w:tc>
          <w:tcPr>
            <w:tcW w:w="208" w:type="pct"/>
            <w:tcBorders>
              <w:top w:val="single" w:sz="2" w:space="0" w:color="auto"/>
              <w:left w:val="single" w:sz="2" w:space="0" w:color="auto"/>
              <w:bottom w:val="single" w:sz="12" w:space="0" w:color="auto"/>
              <w:right w:val="single" w:sz="12" w:space="0" w:color="auto"/>
            </w:tcBorders>
            <w:shd w:val="clear" w:color="auto" w:fill="auto"/>
            <w:noWrap/>
            <w:vAlign w:val="center"/>
            <w:hideMark/>
          </w:tcPr>
          <w:p w14:paraId="6EDCF795"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w:t>
            </w:r>
          </w:p>
        </w:tc>
      </w:tr>
      <w:tr w:rsidR="00D71745" w:rsidRPr="007114AF" w14:paraId="6EDCF7AD" w14:textId="77777777" w:rsidTr="00A9766F">
        <w:trPr>
          <w:trHeight w:hRule="exact" w:val="301"/>
          <w:jc w:val="center"/>
        </w:trPr>
        <w:tc>
          <w:tcPr>
            <w:tcW w:w="232" w:type="pct"/>
            <w:vMerge w:val="restart"/>
            <w:tcBorders>
              <w:top w:val="single" w:sz="12" w:space="0" w:color="auto"/>
              <w:left w:val="single" w:sz="12" w:space="0" w:color="auto"/>
              <w:bottom w:val="single" w:sz="12" w:space="0" w:color="auto"/>
              <w:right w:val="single" w:sz="2" w:space="0" w:color="auto"/>
            </w:tcBorders>
            <w:shd w:val="clear" w:color="auto" w:fill="auto"/>
            <w:noWrap/>
            <w:textDirection w:val="btLr"/>
            <w:vAlign w:val="center"/>
            <w:hideMark/>
          </w:tcPr>
          <w:p w14:paraId="6EDCF797" w14:textId="77777777" w:rsidR="00D71745" w:rsidRPr="007114AF" w:rsidRDefault="00D71745" w:rsidP="00D71745">
            <w:pPr>
              <w:spacing w:after="0" w:line="240" w:lineRule="auto"/>
              <w:rPr>
                <w:rFonts w:ascii="Garamond" w:hAnsi="Garamond"/>
                <w:sz w:val="18"/>
                <w:szCs w:val="18"/>
              </w:rPr>
            </w:pPr>
            <w:r w:rsidRPr="007114AF">
              <w:rPr>
                <w:rFonts w:ascii="Garamond" w:hAnsi="Garamond"/>
                <w:sz w:val="18"/>
                <w:szCs w:val="18"/>
              </w:rPr>
              <w:t>KDK</w:t>
            </w:r>
          </w:p>
        </w:tc>
        <w:tc>
          <w:tcPr>
            <w:tcW w:w="607" w:type="pct"/>
            <w:tcBorders>
              <w:top w:val="single" w:sz="12" w:space="0" w:color="auto"/>
              <w:left w:val="single" w:sz="2" w:space="0" w:color="auto"/>
              <w:bottom w:val="single" w:sz="2" w:space="0" w:color="auto"/>
              <w:right w:val="single" w:sz="2" w:space="0" w:color="auto"/>
            </w:tcBorders>
            <w:shd w:val="clear" w:color="auto" w:fill="auto"/>
            <w:noWrap/>
            <w:vAlign w:val="center"/>
            <w:hideMark/>
          </w:tcPr>
          <w:p w14:paraId="6EDCF798" w14:textId="77777777" w:rsidR="00D71745" w:rsidRPr="007114AF" w:rsidRDefault="00D71745" w:rsidP="00D71745">
            <w:pPr>
              <w:spacing w:after="0" w:line="240" w:lineRule="auto"/>
              <w:rPr>
                <w:rFonts w:ascii="Garamond" w:hAnsi="Garamond"/>
                <w:sz w:val="18"/>
                <w:szCs w:val="18"/>
              </w:rPr>
            </w:pPr>
            <w:r w:rsidRPr="007114AF">
              <w:rPr>
                <w:rFonts w:ascii="Garamond" w:hAnsi="Garamond"/>
                <w:sz w:val="18"/>
                <w:szCs w:val="18"/>
              </w:rPr>
              <w:t>Energji</w:t>
            </w:r>
          </w:p>
        </w:tc>
        <w:tc>
          <w:tcPr>
            <w:tcW w:w="208" w:type="pct"/>
            <w:tcBorders>
              <w:top w:val="single" w:sz="12" w:space="0" w:color="auto"/>
              <w:left w:val="single" w:sz="2" w:space="0" w:color="auto"/>
              <w:bottom w:val="single" w:sz="2" w:space="0" w:color="auto"/>
              <w:right w:val="single" w:sz="2" w:space="0" w:color="auto"/>
            </w:tcBorders>
            <w:shd w:val="clear" w:color="auto" w:fill="auto"/>
            <w:noWrap/>
            <w:vAlign w:val="center"/>
            <w:hideMark/>
          </w:tcPr>
          <w:p w14:paraId="6EDCF799"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39.7</w:t>
            </w:r>
          </w:p>
        </w:tc>
        <w:tc>
          <w:tcPr>
            <w:tcW w:w="208" w:type="pct"/>
            <w:tcBorders>
              <w:top w:val="single" w:sz="12" w:space="0" w:color="auto"/>
              <w:left w:val="single" w:sz="2" w:space="0" w:color="auto"/>
              <w:bottom w:val="single" w:sz="2" w:space="0" w:color="auto"/>
              <w:right w:val="single" w:sz="2" w:space="0" w:color="auto"/>
            </w:tcBorders>
            <w:shd w:val="clear" w:color="auto" w:fill="auto"/>
            <w:noWrap/>
            <w:vAlign w:val="center"/>
            <w:hideMark/>
          </w:tcPr>
          <w:p w14:paraId="6EDCF79A"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50.5</w:t>
            </w:r>
          </w:p>
        </w:tc>
        <w:tc>
          <w:tcPr>
            <w:tcW w:w="208" w:type="pct"/>
            <w:tcBorders>
              <w:top w:val="single" w:sz="12" w:space="0" w:color="auto"/>
              <w:left w:val="single" w:sz="2" w:space="0" w:color="auto"/>
              <w:bottom w:val="single" w:sz="2" w:space="0" w:color="auto"/>
              <w:right w:val="single" w:sz="2" w:space="0" w:color="auto"/>
            </w:tcBorders>
            <w:shd w:val="clear" w:color="auto" w:fill="auto"/>
            <w:noWrap/>
            <w:vAlign w:val="center"/>
            <w:hideMark/>
          </w:tcPr>
          <w:p w14:paraId="6EDCF79B"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50.8</w:t>
            </w:r>
          </w:p>
        </w:tc>
        <w:tc>
          <w:tcPr>
            <w:tcW w:w="208" w:type="pct"/>
            <w:tcBorders>
              <w:top w:val="single" w:sz="12" w:space="0" w:color="auto"/>
              <w:left w:val="single" w:sz="2" w:space="0" w:color="auto"/>
              <w:bottom w:val="single" w:sz="2" w:space="0" w:color="auto"/>
              <w:right w:val="single" w:sz="2" w:space="0" w:color="auto"/>
            </w:tcBorders>
            <w:shd w:val="clear" w:color="auto" w:fill="auto"/>
            <w:noWrap/>
            <w:vAlign w:val="center"/>
            <w:hideMark/>
          </w:tcPr>
          <w:p w14:paraId="6EDCF79C"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53.2</w:t>
            </w:r>
          </w:p>
        </w:tc>
        <w:tc>
          <w:tcPr>
            <w:tcW w:w="208" w:type="pct"/>
            <w:tcBorders>
              <w:top w:val="single" w:sz="12" w:space="0" w:color="auto"/>
              <w:left w:val="single" w:sz="2" w:space="0" w:color="auto"/>
              <w:bottom w:val="single" w:sz="2" w:space="0" w:color="auto"/>
              <w:right w:val="single" w:sz="2" w:space="0" w:color="auto"/>
            </w:tcBorders>
            <w:shd w:val="clear" w:color="auto" w:fill="auto"/>
            <w:noWrap/>
            <w:vAlign w:val="center"/>
            <w:hideMark/>
          </w:tcPr>
          <w:p w14:paraId="6EDCF79D"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50.6</w:t>
            </w:r>
          </w:p>
        </w:tc>
        <w:tc>
          <w:tcPr>
            <w:tcW w:w="208" w:type="pct"/>
            <w:tcBorders>
              <w:top w:val="single" w:sz="12" w:space="0" w:color="auto"/>
              <w:left w:val="single" w:sz="2" w:space="0" w:color="auto"/>
              <w:bottom w:val="single" w:sz="2" w:space="0" w:color="auto"/>
              <w:right w:val="single" w:sz="2" w:space="0" w:color="auto"/>
            </w:tcBorders>
            <w:shd w:val="clear" w:color="auto" w:fill="auto"/>
            <w:noWrap/>
            <w:vAlign w:val="center"/>
            <w:hideMark/>
          </w:tcPr>
          <w:p w14:paraId="6EDCF79E"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50.8</w:t>
            </w:r>
          </w:p>
        </w:tc>
        <w:tc>
          <w:tcPr>
            <w:tcW w:w="208" w:type="pct"/>
            <w:tcBorders>
              <w:top w:val="single" w:sz="12" w:space="0" w:color="auto"/>
              <w:left w:val="single" w:sz="2" w:space="0" w:color="auto"/>
              <w:bottom w:val="single" w:sz="2" w:space="0" w:color="auto"/>
              <w:right w:val="single" w:sz="2" w:space="0" w:color="auto"/>
            </w:tcBorders>
            <w:shd w:val="clear" w:color="auto" w:fill="auto"/>
            <w:noWrap/>
            <w:vAlign w:val="center"/>
            <w:hideMark/>
          </w:tcPr>
          <w:p w14:paraId="6EDCF79F"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50.4</w:t>
            </w:r>
          </w:p>
        </w:tc>
        <w:tc>
          <w:tcPr>
            <w:tcW w:w="208" w:type="pct"/>
            <w:tcBorders>
              <w:top w:val="single" w:sz="12" w:space="0" w:color="auto"/>
              <w:left w:val="single" w:sz="2" w:space="0" w:color="auto"/>
              <w:bottom w:val="single" w:sz="2" w:space="0" w:color="auto"/>
              <w:right w:val="single" w:sz="2" w:space="0" w:color="auto"/>
            </w:tcBorders>
            <w:shd w:val="clear" w:color="auto" w:fill="auto"/>
            <w:noWrap/>
            <w:vAlign w:val="center"/>
            <w:hideMark/>
          </w:tcPr>
          <w:p w14:paraId="6EDCF7A0"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53.0</w:t>
            </w:r>
          </w:p>
        </w:tc>
        <w:tc>
          <w:tcPr>
            <w:tcW w:w="208" w:type="pct"/>
            <w:tcBorders>
              <w:top w:val="single" w:sz="12" w:space="0" w:color="auto"/>
              <w:left w:val="single" w:sz="2" w:space="0" w:color="auto"/>
              <w:bottom w:val="single" w:sz="2" w:space="0" w:color="auto"/>
              <w:right w:val="single" w:sz="2" w:space="0" w:color="auto"/>
            </w:tcBorders>
            <w:shd w:val="clear" w:color="auto" w:fill="auto"/>
            <w:noWrap/>
            <w:vAlign w:val="center"/>
            <w:hideMark/>
          </w:tcPr>
          <w:p w14:paraId="6EDCF7A1"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59.5</w:t>
            </w:r>
          </w:p>
        </w:tc>
        <w:tc>
          <w:tcPr>
            <w:tcW w:w="208" w:type="pct"/>
            <w:tcBorders>
              <w:top w:val="single" w:sz="12" w:space="0" w:color="auto"/>
              <w:left w:val="single" w:sz="2" w:space="0" w:color="auto"/>
              <w:bottom w:val="single" w:sz="2" w:space="0" w:color="auto"/>
              <w:right w:val="single" w:sz="2" w:space="0" w:color="auto"/>
            </w:tcBorders>
            <w:shd w:val="clear" w:color="auto" w:fill="auto"/>
            <w:noWrap/>
            <w:vAlign w:val="center"/>
            <w:hideMark/>
          </w:tcPr>
          <w:p w14:paraId="6EDCF7A2"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61.6</w:t>
            </w:r>
          </w:p>
        </w:tc>
        <w:tc>
          <w:tcPr>
            <w:tcW w:w="208" w:type="pct"/>
            <w:tcBorders>
              <w:top w:val="single" w:sz="12" w:space="0" w:color="auto"/>
              <w:left w:val="single" w:sz="2" w:space="0" w:color="auto"/>
              <w:bottom w:val="single" w:sz="2" w:space="0" w:color="auto"/>
              <w:right w:val="single" w:sz="2" w:space="0" w:color="auto"/>
            </w:tcBorders>
            <w:shd w:val="clear" w:color="auto" w:fill="auto"/>
            <w:noWrap/>
            <w:vAlign w:val="center"/>
            <w:hideMark/>
          </w:tcPr>
          <w:p w14:paraId="6EDCF7A3"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59.4</w:t>
            </w:r>
          </w:p>
        </w:tc>
        <w:tc>
          <w:tcPr>
            <w:tcW w:w="208" w:type="pct"/>
            <w:tcBorders>
              <w:top w:val="single" w:sz="12" w:space="0" w:color="auto"/>
              <w:left w:val="single" w:sz="2" w:space="0" w:color="auto"/>
              <w:bottom w:val="single" w:sz="2" w:space="0" w:color="auto"/>
              <w:right w:val="single" w:sz="2" w:space="0" w:color="auto"/>
            </w:tcBorders>
            <w:shd w:val="clear" w:color="auto" w:fill="auto"/>
            <w:noWrap/>
            <w:vAlign w:val="center"/>
            <w:hideMark/>
          </w:tcPr>
          <w:p w14:paraId="6EDCF7A4"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w:t>
            </w:r>
          </w:p>
        </w:tc>
        <w:tc>
          <w:tcPr>
            <w:tcW w:w="208" w:type="pct"/>
            <w:tcBorders>
              <w:top w:val="single" w:sz="12" w:space="0" w:color="auto"/>
              <w:left w:val="single" w:sz="2" w:space="0" w:color="auto"/>
              <w:bottom w:val="single" w:sz="2" w:space="0" w:color="auto"/>
              <w:right w:val="single" w:sz="2" w:space="0" w:color="auto"/>
            </w:tcBorders>
            <w:shd w:val="clear" w:color="auto" w:fill="auto"/>
            <w:noWrap/>
            <w:vAlign w:val="center"/>
            <w:hideMark/>
          </w:tcPr>
          <w:p w14:paraId="6EDCF7A5"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w:t>
            </w:r>
          </w:p>
        </w:tc>
        <w:tc>
          <w:tcPr>
            <w:tcW w:w="208" w:type="pct"/>
            <w:tcBorders>
              <w:top w:val="single" w:sz="12" w:space="0" w:color="auto"/>
              <w:left w:val="single" w:sz="2" w:space="0" w:color="auto"/>
              <w:bottom w:val="single" w:sz="2" w:space="0" w:color="auto"/>
              <w:right w:val="single" w:sz="2" w:space="0" w:color="auto"/>
            </w:tcBorders>
            <w:shd w:val="clear" w:color="auto" w:fill="auto"/>
            <w:noWrap/>
            <w:vAlign w:val="center"/>
            <w:hideMark/>
          </w:tcPr>
          <w:p w14:paraId="6EDCF7A6"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w:t>
            </w:r>
          </w:p>
        </w:tc>
        <w:tc>
          <w:tcPr>
            <w:tcW w:w="208" w:type="pct"/>
            <w:tcBorders>
              <w:top w:val="single" w:sz="12" w:space="0" w:color="auto"/>
              <w:left w:val="single" w:sz="2" w:space="0" w:color="auto"/>
              <w:bottom w:val="single" w:sz="2" w:space="0" w:color="auto"/>
              <w:right w:val="single" w:sz="2" w:space="0" w:color="auto"/>
            </w:tcBorders>
            <w:shd w:val="clear" w:color="auto" w:fill="auto"/>
            <w:noWrap/>
            <w:vAlign w:val="center"/>
            <w:hideMark/>
          </w:tcPr>
          <w:p w14:paraId="6EDCF7A7"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w:t>
            </w:r>
          </w:p>
        </w:tc>
        <w:tc>
          <w:tcPr>
            <w:tcW w:w="208" w:type="pct"/>
            <w:tcBorders>
              <w:top w:val="single" w:sz="12" w:space="0" w:color="auto"/>
              <w:left w:val="single" w:sz="2" w:space="0" w:color="auto"/>
              <w:bottom w:val="single" w:sz="2" w:space="0" w:color="auto"/>
              <w:right w:val="single" w:sz="2" w:space="0" w:color="auto"/>
            </w:tcBorders>
            <w:shd w:val="clear" w:color="auto" w:fill="auto"/>
            <w:noWrap/>
            <w:vAlign w:val="center"/>
            <w:hideMark/>
          </w:tcPr>
          <w:p w14:paraId="6EDCF7A8"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w:t>
            </w:r>
          </w:p>
        </w:tc>
        <w:tc>
          <w:tcPr>
            <w:tcW w:w="208" w:type="pct"/>
            <w:tcBorders>
              <w:top w:val="single" w:sz="12" w:space="0" w:color="auto"/>
              <w:left w:val="single" w:sz="2" w:space="0" w:color="auto"/>
              <w:bottom w:val="single" w:sz="2" w:space="0" w:color="auto"/>
              <w:right w:val="single" w:sz="2" w:space="0" w:color="auto"/>
            </w:tcBorders>
            <w:shd w:val="clear" w:color="auto" w:fill="auto"/>
            <w:noWrap/>
            <w:vAlign w:val="center"/>
            <w:hideMark/>
          </w:tcPr>
          <w:p w14:paraId="6EDCF7A9"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w:t>
            </w:r>
          </w:p>
        </w:tc>
        <w:tc>
          <w:tcPr>
            <w:tcW w:w="208" w:type="pct"/>
            <w:tcBorders>
              <w:top w:val="single" w:sz="12" w:space="0" w:color="auto"/>
              <w:left w:val="single" w:sz="2" w:space="0" w:color="auto"/>
              <w:bottom w:val="single" w:sz="2" w:space="0" w:color="auto"/>
              <w:right w:val="single" w:sz="2" w:space="0" w:color="auto"/>
            </w:tcBorders>
            <w:shd w:val="clear" w:color="auto" w:fill="auto"/>
            <w:noWrap/>
            <w:vAlign w:val="center"/>
            <w:hideMark/>
          </w:tcPr>
          <w:p w14:paraId="6EDCF7AA"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w:t>
            </w:r>
          </w:p>
        </w:tc>
        <w:tc>
          <w:tcPr>
            <w:tcW w:w="208" w:type="pct"/>
            <w:tcBorders>
              <w:top w:val="single" w:sz="12" w:space="0" w:color="auto"/>
              <w:left w:val="single" w:sz="2" w:space="0" w:color="auto"/>
              <w:bottom w:val="single" w:sz="2" w:space="0" w:color="auto"/>
              <w:right w:val="single" w:sz="2" w:space="0" w:color="auto"/>
            </w:tcBorders>
            <w:shd w:val="clear" w:color="auto" w:fill="auto"/>
            <w:noWrap/>
            <w:vAlign w:val="center"/>
            <w:hideMark/>
          </w:tcPr>
          <w:p w14:paraId="6EDCF7AB"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w:t>
            </w:r>
          </w:p>
        </w:tc>
        <w:tc>
          <w:tcPr>
            <w:tcW w:w="208" w:type="pct"/>
            <w:tcBorders>
              <w:top w:val="single" w:sz="12" w:space="0" w:color="auto"/>
              <w:left w:val="single" w:sz="2" w:space="0" w:color="auto"/>
              <w:bottom w:val="single" w:sz="2" w:space="0" w:color="auto"/>
              <w:right w:val="single" w:sz="12" w:space="0" w:color="auto"/>
            </w:tcBorders>
            <w:shd w:val="clear" w:color="auto" w:fill="auto"/>
            <w:noWrap/>
            <w:vAlign w:val="center"/>
            <w:hideMark/>
          </w:tcPr>
          <w:p w14:paraId="6EDCF7AC"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w:t>
            </w:r>
          </w:p>
        </w:tc>
      </w:tr>
      <w:tr w:rsidR="00D71745" w:rsidRPr="007114AF" w14:paraId="6EDCF7C4" w14:textId="77777777" w:rsidTr="00A9766F">
        <w:trPr>
          <w:trHeight w:hRule="exact" w:val="301"/>
          <w:jc w:val="center"/>
        </w:trPr>
        <w:tc>
          <w:tcPr>
            <w:tcW w:w="232" w:type="pct"/>
            <w:vMerge/>
            <w:tcBorders>
              <w:top w:val="single" w:sz="12" w:space="0" w:color="auto"/>
              <w:left w:val="single" w:sz="12" w:space="0" w:color="auto"/>
              <w:bottom w:val="single" w:sz="12" w:space="0" w:color="auto"/>
              <w:right w:val="single" w:sz="2" w:space="0" w:color="auto"/>
            </w:tcBorders>
            <w:shd w:val="clear" w:color="auto" w:fill="auto"/>
            <w:vAlign w:val="center"/>
            <w:hideMark/>
          </w:tcPr>
          <w:p w14:paraId="6EDCF7AE" w14:textId="77777777" w:rsidR="00D71745" w:rsidRPr="007114AF" w:rsidRDefault="00D71745" w:rsidP="00D71745">
            <w:pPr>
              <w:spacing w:after="0" w:line="240" w:lineRule="auto"/>
              <w:rPr>
                <w:rFonts w:ascii="Garamond" w:hAnsi="Garamond"/>
                <w:sz w:val="18"/>
                <w:szCs w:val="18"/>
              </w:rPr>
            </w:pPr>
          </w:p>
        </w:tc>
        <w:tc>
          <w:tcPr>
            <w:tcW w:w="607" w:type="pct"/>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EDCF7AF" w14:textId="77777777" w:rsidR="00D71745" w:rsidRPr="007114AF" w:rsidRDefault="00D71745" w:rsidP="00D71745">
            <w:pPr>
              <w:spacing w:after="0" w:line="240" w:lineRule="auto"/>
              <w:rPr>
                <w:rFonts w:ascii="Garamond" w:hAnsi="Garamond"/>
                <w:sz w:val="18"/>
                <w:szCs w:val="18"/>
              </w:rPr>
            </w:pPr>
            <w:r w:rsidRPr="007114AF">
              <w:rPr>
                <w:rFonts w:ascii="Garamond" w:hAnsi="Garamond"/>
                <w:sz w:val="18"/>
                <w:szCs w:val="18"/>
              </w:rPr>
              <w:t>Procese industriale</w:t>
            </w:r>
          </w:p>
        </w:tc>
        <w:tc>
          <w:tcPr>
            <w:tcW w:w="208" w:type="pct"/>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EDCF7B0"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2.7</w:t>
            </w:r>
          </w:p>
        </w:tc>
        <w:tc>
          <w:tcPr>
            <w:tcW w:w="208" w:type="pct"/>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EDCF7B1"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4.2</w:t>
            </w:r>
          </w:p>
        </w:tc>
        <w:tc>
          <w:tcPr>
            <w:tcW w:w="208" w:type="pct"/>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EDCF7B2"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3.8</w:t>
            </w:r>
          </w:p>
        </w:tc>
        <w:tc>
          <w:tcPr>
            <w:tcW w:w="208" w:type="pct"/>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EDCF7B3"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4.4</w:t>
            </w:r>
          </w:p>
        </w:tc>
        <w:tc>
          <w:tcPr>
            <w:tcW w:w="208" w:type="pct"/>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EDCF7B4"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4.4</w:t>
            </w:r>
          </w:p>
        </w:tc>
        <w:tc>
          <w:tcPr>
            <w:tcW w:w="208" w:type="pct"/>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EDCF7B5"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4.8</w:t>
            </w:r>
          </w:p>
        </w:tc>
        <w:tc>
          <w:tcPr>
            <w:tcW w:w="208" w:type="pct"/>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EDCF7B6"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3.9</w:t>
            </w:r>
          </w:p>
        </w:tc>
        <w:tc>
          <w:tcPr>
            <w:tcW w:w="208" w:type="pct"/>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EDCF7B7"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2.5</w:t>
            </w:r>
          </w:p>
        </w:tc>
        <w:tc>
          <w:tcPr>
            <w:tcW w:w="208" w:type="pct"/>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EDCF7B8"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2.1</w:t>
            </w:r>
          </w:p>
        </w:tc>
        <w:tc>
          <w:tcPr>
            <w:tcW w:w="208" w:type="pct"/>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EDCF7B9"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2.1</w:t>
            </w:r>
          </w:p>
        </w:tc>
        <w:tc>
          <w:tcPr>
            <w:tcW w:w="208" w:type="pct"/>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EDCF7BA"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3.5</w:t>
            </w:r>
          </w:p>
        </w:tc>
        <w:tc>
          <w:tcPr>
            <w:tcW w:w="208" w:type="pct"/>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EDCF7BB"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w:t>
            </w:r>
          </w:p>
        </w:tc>
        <w:tc>
          <w:tcPr>
            <w:tcW w:w="208" w:type="pct"/>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EDCF7BC"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w:t>
            </w:r>
          </w:p>
        </w:tc>
        <w:tc>
          <w:tcPr>
            <w:tcW w:w="208" w:type="pct"/>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EDCF7BD"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w:t>
            </w:r>
          </w:p>
        </w:tc>
        <w:tc>
          <w:tcPr>
            <w:tcW w:w="208" w:type="pct"/>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EDCF7BE"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w:t>
            </w:r>
          </w:p>
        </w:tc>
        <w:tc>
          <w:tcPr>
            <w:tcW w:w="208" w:type="pct"/>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EDCF7BF"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w:t>
            </w:r>
          </w:p>
        </w:tc>
        <w:tc>
          <w:tcPr>
            <w:tcW w:w="208" w:type="pct"/>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EDCF7C0"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w:t>
            </w:r>
          </w:p>
        </w:tc>
        <w:tc>
          <w:tcPr>
            <w:tcW w:w="208" w:type="pct"/>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EDCF7C1"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w:t>
            </w:r>
          </w:p>
        </w:tc>
        <w:tc>
          <w:tcPr>
            <w:tcW w:w="208" w:type="pct"/>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EDCF7C2"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w:t>
            </w:r>
          </w:p>
        </w:tc>
        <w:tc>
          <w:tcPr>
            <w:tcW w:w="208" w:type="pct"/>
            <w:tcBorders>
              <w:top w:val="single" w:sz="2" w:space="0" w:color="auto"/>
              <w:left w:val="single" w:sz="2" w:space="0" w:color="auto"/>
              <w:bottom w:val="single" w:sz="2" w:space="0" w:color="auto"/>
              <w:right w:val="single" w:sz="12" w:space="0" w:color="auto"/>
            </w:tcBorders>
            <w:shd w:val="clear" w:color="auto" w:fill="auto"/>
            <w:noWrap/>
            <w:vAlign w:val="center"/>
            <w:hideMark/>
          </w:tcPr>
          <w:p w14:paraId="6EDCF7C3"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w:t>
            </w:r>
          </w:p>
        </w:tc>
      </w:tr>
      <w:tr w:rsidR="00D71745" w:rsidRPr="007114AF" w14:paraId="6EDCF7DB" w14:textId="77777777" w:rsidTr="00A9766F">
        <w:trPr>
          <w:trHeight w:hRule="exact" w:val="301"/>
          <w:jc w:val="center"/>
        </w:trPr>
        <w:tc>
          <w:tcPr>
            <w:tcW w:w="232" w:type="pct"/>
            <w:vMerge/>
            <w:tcBorders>
              <w:top w:val="single" w:sz="12" w:space="0" w:color="auto"/>
              <w:left w:val="single" w:sz="12" w:space="0" w:color="auto"/>
              <w:bottom w:val="single" w:sz="12" w:space="0" w:color="auto"/>
              <w:right w:val="single" w:sz="2" w:space="0" w:color="auto"/>
            </w:tcBorders>
            <w:shd w:val="clear" w:color="auto" w:fill="auto"/>
            <w:vAlign w:val="center"/>
            <w:hideMark/>
          </w:tcPr>
          <w:p w14:paraId="6EDCF7C5" w14:textId="77777777" w:rsidR="00D71745" w:rsidRPr="007114AF" w:rsidRDefault="00D71745" w:rsidP="00D71745">
            <w:pPr>
              <w:spacing w:after="0" w:line="240" w:lineRule="auto"/>
              <w:rPr>
                <w:rFonts w:ascii="Garamond" w:hAnsi="Garamond"/>
                <w:sz w:val="18"/>
                <w:szCs w:val="18"/>
              </w:rPr>
            </w:pPr>
          </w:p>
        </w:tc>
        <w:tc>
          <w:tcPr>
            <w:tcW w:w="607" w:type="pct"/>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EDCF7C6" w14:textId="77777777" w:rsidR="00D71745" w:rsidRPr="007114AF" w:rsidRDefault="00D71745" w:rsidP="00D71745">
            <w:pPr>
              <w:spacing w:after="0" w:line="240" w:lineRule="auto"/>
              <w:rPr>
                <w:rFonts w:ascii="Garamond" w:hAnsi="Garamond"/>
                <w:sz w:val="18"/>
                <w:szCs w:val="18"/>
              </w:rPr>
            </w:pPr>
            <w:r w:rsidRPr="007114AF">
              <w:rPr>
                <w:rFonts w:ascii="Garamond" w:hAnsi="Garamond"/>
                <w:sz w:val="18"/>
                <w:szCs w:val="18"/>
              </w:rPr>
              <w:t xml:space="preserve">Bujqësi </w:t>
            </w:r>
          </w:p>
        </w:tc>
        <w:tc>
          <w:tcPr>
            <w:tcW w:w="208" w:type="pct"/>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EDCF7C7"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11.2</w:t>
            </w:r>
          </w:p>
        </w:tc>
        <w:tc>
          <w:tcPr>
            <w:tcW w:w="208" w:type="pct"/>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EDCF7C8"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8.5</w:t>
            </w:r>
          </w:p>
        </w:tc>
        <w:tc>
          <w:tcPr>
            <w:tcW w:w="208" w:type="pct"/>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EDCF7C9"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12.1</w:t>
            </w:r>
          </w:p>
        </w:tc>
        <w:tc>
          <w:tcPr>
            <w:tcW w:w="208" w:type="pct"/>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EDCF7CA"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14.3</w:t>
            </w:r>
          </w:p>
        </w:tc>
        <w:tc>
          <w:tcPr>
            <w:tcW w:w="208" w:type="pct"/>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EDCF7CB"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14.1</w:t>
            </w:r>
          </w:p>
        </w:tc>
        <w:tc>
          <w:tcPr>
            <w:tcW w:w="208" w:type="pct"/>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EDCF7CC"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15.8</w:t>
            </w:r>
          </w:p>
        </w:tc>
        <w:tc>
          <w:tcPr>
            <w:tcW w:w="208" w:type="pct"/>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EDCF7CD"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16.8</w:t>
            </w:r>
          </w:p>
        </w:tc>
        <w:tc>
          <w:tcPr>
            <w:tcW w:w="208" w:type="pct"/>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EDCF7CE"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16.8</w:t>
            </w:r>
          </w:p>
        </w:tc>
        <w:tc>
          <w:tcPr>
            <w:tcW w:w="208" w:type="pct"/>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EDCF7CF"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15.9</w:t>
            </w:r>
          </w:p>
        </w:tc>
        <w:tc>
          <w:tcPr>
            <w:tcW w:w="208" w:type="pct"/>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EDCF7D0"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16.3</w:t>
            </w:r>
          </w:p>
        </w:tc>
        <w:tc>
          <w:tcPr>
            <w:tcW w:w="208" w:type="pct"/>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EDCF7D1"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17.9</w:t>
            </w:r>
          </w:p>
        </w:tc>
        <w:tc>
          <w:tcPr>
            <w:tcW w:w="208" w:type="pct"/>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EDCF7D2"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w:t>
            </w:r>
          </w:p>
        </w:tc>
        <w:tc>
          <w:tcPr>
            <w:tcW w:w="208" w:type="pct"/>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EDCF7D3"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w:t>
            </w:r>
          </w:p>
        </w:tc>
        <w:tc>
          <w:tcPr>
            <w:tcW w:w="208" w:type="pct"/>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EDCF7D4"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w:t>
            </w:r>
          </w:p>
        </w:tc>
        <w:tc>
          <w:tcPr>
            <w:tcW w:w="208" w:type="pct"/>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EDCF7D5"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w:t>
            </w:r>
          </w:p>
        </w:tc>
        <w:tc>
          <w:tcPr>
            <w:tcW w:w="208" w:type="pct"/>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EDCF7D6"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w:t>
            </w:r>
          </w:p>
        </w:tc>
        <w:tc>
          <w:tcPr>
            <w:tcW w:w="208" w:type="pct"/>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EDCF7D7"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w:t>
            </w:r>
          </w:p>
        </w:tc>
        <w:tc>
          <w:tcPr>
            <w:tcW w:w="208" w:type="pct"/>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EDCF7D8"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w:t>
            </w:r>
          </w:p>
        </w:tc>
        <w:tc>
          <w:tcPr>
            <w:tcW w:w="208" w:type="pct"/>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EDCF7D9"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w:t>
            </w:r>
          </w:p>
        </w:tc>
        <w:tc>
          <w:tcPr>
            <w:tcW w:w="208" w:type="pct"/>
            <w:tcBorders>
              <w:top w:val="single" w:sz="2" w:space="0" w:color="auto"/>
              <w:left w:val="single" w:sz="2" w:space="0" w:color="auto"/>
              <w:bottom w:val="single" w:sz="2" w:space="0" w:color="auto"/>
              <w:right w:val="single" w:sz="12" w:space="0" w:color="auto"/>
            </w:tcBorders>
            <w:shd w:val="clear" w:color="auto" w:fill="auto"/>
            <w:noWrap/>
            <w:vAlign w:val="center"/>
            <w:hideMark/>
          </w:tcPr>
          <w:p w14:paraId="6EDCF7DA"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w:t>
            </w:r>
          </w:p>
        </w:tc>
      </w:tr>
      <w:tr w:rsidR="00D71745" w:rsidRPr="007114AF" w14:paraId="6EDCF7F2" w14:textId="77777777" w:rsidTr="00A9766F">
        <w:trPr>
          <w:trHeight w:hRule="exact" w:val="301"/>
          <w:jc w:val="center"/>
        </w:trPr>
        <w:tc>
          <w:tcPr>
            <w:tcW w:w="232" w:type="pct"/>
            <w:vMerge/>
            <w:tcBorders>
              <w:top w:val="single" w:sz="12" w:space="0" w:color="auto"/>
              <w:left w:val="single" w:sz="12" w:space="0" w:color="auto"/>
              <w:bottom w:val="single" w:sz="12" w:space="0" w:color="auto"/>
              <w:right w:val="single" w:sz="2" w:space="0" w:color="auto"/>
            </w:tcBorders>
            <w:shd w:val="clear" w:color="auto" w:fill="auto"/>
            <w:vAlign w:val="center"/>
            <w:hideMark/>
          </w:tcPr>
          <w:p w14:paraId="6EDCF7DC" w14:textId="77777777" w:rsidR="00D71745" w:rsidRPr="007114AF" w:rsidRDefault="00D71745" w:rsidP="00D71745">
            <w:pPr>
              <w:spacing w:after="0" w:line="240" w:lineRule="auto"/>
              <w:rPr>
                <w:rFonts w:ascii="Garamond" w:hAnsi="Garamond"/>
                <w:sz w:val="18"/>
                <w:szCs w:val="18"/>
              </w:rPr>
            </w:pPr>
          </w:p>
        </w:tc>
        <w:tc>
          <w:tcPr>
            <w:tcW w:w="607" w:type="pct"/>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EDCF7DD" w14:textId="77777777" w:rsidR="00D71745" w:rsidRPr="007114AF" w:rsidRDefault="00D71745" w:rsidP="00D71745">
            <w:pPr>
              <w:spacing w:after="0" w:line="240" w:lineRule="auto"/>
              <w:rPr>
                <w:rFonts w:ascii="Garamond" w:hAnsi="Garamond"/>
                <w:sz w:val="18"/>
                <w:szCs w:val="18"/>
              </w:rPr>
            </w:pPr>
            <w:r w:rsidRPr="007114AF">
              <w:rPr>
                <w:rFonts w:ascii="Garamond" w:hAnsi="Garamond"/>
                <w:sz w:val="18"/>
                <w:szCs w:val="18"/>
              </w:rPr>
              <w:t>LULUCF</w:t>
            </w:r>
          </w:p>
        </w:tc>
        <w:tc>
          <w:tcPr>
            <w:tcW w:w="208" w:type="pct"/>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EDCF7DE"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44.6</w:t>
            </w:r>
          </w:p>
        </w:tc>
        <w:tc>
          <w:tcPr>
            <w:tcW w:w="208" w:type="pct"/>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EDCF7DF"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35.3</w:t>
            </w:r>
          </w:p>
        </w:tc>
        <w:tc>
          <w:tcPr>
            <w:tcW w:w="208" w:type="pct"/>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EDCF7E0"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30.6</w:t>
            </w:r>
          </w:p>
        </w:tc>
        <w:tc>
          <w:tcPr>
            <w:tcW w:w="208" w:type="pct"/>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EDCF7E1"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24.8</w:t>
            </w:r>
          </w:p>
        </w:tc>
        <w:tc>
          <w:tcPr>
            <w:tcW w:w="208" w:type="pct"/>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EDCF7E2"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26.8</w:t>
            </w:r>
          </w:p>
        </w:tc>
        <w:tc>
          <w:tcPr>
            <w:tcW w:w="208" w:type="pct"/>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EDCF7E3"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23.7</w:t>
            </w:r>
          </w:p>
        </w:tc>
        <w:tc>
          <w:tcPr>
            <w:tcW w:w="208" w:type="pct"/>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EDCF7E4"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22.5</w:t>
            </w:r>
          </w:p>
        </w:tc>
        <w:tc>
          <w:tcPr>
            <w:tcW w:w="208" w:type="pct"/>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EDCF7E5"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20.5</w:t>
            </w:r>
          </w:p>
        </w:tc>
        <w:tc>
          <w:tcPr>
            <w:tcW w:w="208" w:type="pct"/>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EDCF7E6"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15.8</w:t>
            </w:r>
          </w:p>
        </w:tc>
        <w:tc>
          <w:tcPr>
            <w:tcW w:w="208" w:type="pct"/>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EDCF7E7"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12.6</w:t>
            </w:r>
          </w:p>
        </w:tc>
        <w:tc>
          <w:tcPr>
            <w:tcW w:w="208" w:type="pct"/>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EDCF7E8"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11.9</w:t>
            </w:r>
          </w:p>
        </w:tc>
        <w:tc>
          <w:tcPr>
            <w:tcW w:w="208" w:type="pct"/>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EDCF7E9"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w:t>
            </w:r>
          </w:p>
        </w:tc>
        <w:tc>
          <w:tcPr>
            <w:tcW w:w="208" w:type="pct"/>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EDCF7EA"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w:t>
            </w:r>
          </w:p>
        </w:tc>
        <w:tc>
          <w:tcPr>
            <w:tcW w:w="208" w:type="pct"/>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EDCF7EB"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w:t>
            </w:r>
          </w:p>
        </w:tc>
        <w:tc>
          <w:tcPr>
            <w:tcW w:w="208" w:type="pct"/>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EDCF7EC"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w:t>
            </w:r>
          </w:p>
        </w:tc>
        <w:tc>
          <w:tcPr>
            <w:tcW w:w="208" w:type="pct"/>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EDCF7ED"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w:t>
            </w:r>
          </w:p>
        </w:tc>
        <w:tc>
          <w:tcPr>
            <w:tcW w:w="208" w:type="pct"/>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EDCF7EE"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w:t>
            </w:r>
          </w:p>
        </w:tc>
        <w:tc>
          <w:tcPr>
            <w:tcW w:w="208" w:type="pct"/>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EDCF7EF"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w:t>
            </w:r>
          </w:p>
        </w:tc>
        <w:tc>
          <w:tcPr>
            <w:tcW w:w="208" w:type="pct"/>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EDCF7F0"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w:t>
            </w:r>
          </w:p>
        </w:tc>
        <w:tc>
          <w:tcPr>
            <w:tcW w:w="208" w:type="pct"/>
            <w:tcBorders>
              <w:top w:val="single" w:sz="2" w:space="0" w:color="auto"/>
              <w:left w:val="single" w:sz="2" w:space="0" w:color="auto"/>
              <w:bottom w:val="single" w:sz="2" w:space="0" w:color="auto"/>
              <w:right w:val="single" w:sz="12" w:space="0" w:color="auto"/>
            </w:tcBorders>
            <w:shd w:val="clear" w:color="auto" w:fill="auto"/>
            <w:noWrap/>
            <w:vAlign w:val="center"/>
            <w:hideMark/>
          </w:tcPr>
          <w:p w14:paraId="6EDCF7F1"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w:t>
            </w:r>
          </w:p>
        </w:tc>
      </w:tr>
      <w:tr w:rsidR="00D71745" w:rsidRPr="007114AF" w14:paraId="6EDCF809" w14:textId="77777777" w:rsidTr="00A9766F">
        <w:trPr>
          <w:trHeight w:hRule="exact" w:val="301"/>
          <w:jc w:val="center"/>
        </w:trPr>
        <w:tc>
          <w:tcPr>
            <w:tcW w:w="232" w:type="pct"/>
            <w:vMerge/>
            <w:tcBorders>
              <w:top w:val="single" w:sz="12" w:space="0" w:color="auto"/>
              <w:left w:val="single" w:sz="12" w:space="0" w:color="auto"/>
              <w:bottom w:val="single" w:sz="12" w:space="0" w:color="auto"/>
              <w:right w:val="single" w:sz="2" w:space="0" w:color="auto"/>
            </w:tcBorders>
            <w:shd w:val="clear" w:color="auto" w:fill="auto"/>
            <w:vAlign w:val="center"/>
            <w:hideMark/>
          </w:tcPr>
          <w:p w14:paraId="6EDCF7F3" w14:textId="77777777" w:rsidR="00D71745" w:rsidRPr="007114AF" w:rsidRDefault="00D71745" w:rsidP="00D71745">
            <w:pPr>
              <w:spacing w:after="0" w:line="240" w:lineRule="auto"/>
              <w:rPr>
                <w:rFonts w:ascii="Garamond" w:hAnsi="Garamond"/>
                <w:sz w:val="18"/>
                <w:szCs w:val="18"/>
              </w:rPr>
            </w:pPr>
          </w:p>
        </w:tc>
        <w:tc>
          <w:tcPr>
            <w:tcW w:w="607" w:type="pct"/>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EDCF7F4" w14:textId="77777777" w:rsidR="00D71745" w:rsidRPr="007114AF" w:rsidRDefault="00D71745" w:rsidP="00D71745">
            <w:pPr>
              <w:spacing w:after="0" w:line="240" w:lineRule="auto"/>
              <w:rPr>
                <w:rFonts w:ascii="Garamond" w:hAnsi="Garamond"/>
                <w:sz w:val="18"/>
                <w:szCs w:val="18"/>
              </w:rPr>
            </w:pPr>
            <w:r w:rsidRPr="007114AF">
              <w:rPr>
                <w:rFonts w:ascii="Garamond" w:hAnsi="Garamond"/>
                <w:sz w:val="18"/>
                <w:szCs w:val="18"/>
              </w:rPr>
              <w:t xml:space="preserve">Mbetje </w:t>
            </w:r>
          </w:p>
        </w:tc>
        <w:tc>
          <w:tcPr>
            <w:tcW w:w="208" w:type="pct"/>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EDCF7F5"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1.8</w:t>
            </w:r>
          </w:p>
        </w:tc>
        <w:tc>
          <w:tcPr>
            <w:tcW w:w="208" w:type="pct"/>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EDCF7F6"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1.5</w:t>
            </w:r>
          </w:p>
        </w:tc>
        <w:tc>
          <w:tcPr>
            <w:tcW w:w="208" w:type="pct"/>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EDCF7F7"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2.7</w:t>
            </w:r>
          </w:p>
        </w:tc>
        <w:tc>
          <w:tcPr>
            <w:tcW w:w="208" w:type="pct"/>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EDCF7F8"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3.4</w:t>
            </w:r>
          </w:p>
        </w:tc>
        <w:tc>
          <w:tcPr>
            <w:tcW w:w="208" w:type="pct"/>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EDCF7F9"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4.2</w:t>
            </w:r>
          </w:p>
        </w:tc>
        <w:tc>
          <w:tcPr>
            <w:tcW w:w="208" w:type="pct"/>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EDCF7FA"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5.0</w:t>
            </w:r>
          </w:p>
        </w:tc>
        <w:tc>
          <w:tcPr>
            <w:tcW w:w="208" w:type="pct"/>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EDCF7FB"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6.5</w:t>
            </w:r>
          </w:p>
        </w:tc>
        <w:tc>
          <w:tcPr>
            <w:tcW w:w="208" w:type="pct"/>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EDCF7FC"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7.2</w:t>
            </w:r>
          </w:p>
        </w:tc>
        <w:tc>
          <w:tcPr>
            <w:tcW w:w="208" w:type="pct"/>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EDCF7FD"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6.6</w:t>
            </w:r>
          </w:p>
        </w:tc>
        <w:tc>
          <w:tcPr>
            <w:tcW w:w="208" w:type="pct"/>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EDCF7FE"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7.4</w:t>
            </w:r>
          </w:p>
        </w:tc>
        <w:tc>
          <w:tcPr>
            <w:tcW w:w="208" w:type="pct"/>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EDCF7FF"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7.4</w:t>
            </w:r>
          </w:p>
        </w:tc>
        <w:tc>
          <w:tcPr>
            <w:tcW w:w="208" w:type="pct"/>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EDCF800"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w:t>
            </w:r>
          </w:p>
        </w:tc>
        <w:tc>
          <w:tcPr>
            <w:tcW w:w="208" w:type="pct"/>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EDCF801"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w:t>
            </w:r>
          </w:p>
        </w:tc>
        <w:tc>
          <w:tcPr>
            <w:tcW w:w="208" w:type="pct"/>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EDCF802"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w:t>
            </w:r>
          </w:p>
        </w:tc>
        <w:tc>
          <w:tcPr>
            <w:tcW w:w="208" w:type="pct"/>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EDCF803"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w:t>
            </w:r>
          </w:p>
        </w:tc>
        <w:tc>
          <w:tcPr>
            <w:tcW w:w="208" w:type="pct"/>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EDCF804"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w:t>
            </w:r>
          </w:p>
        </w:tc>
        <w:tc>
          <w:tcPr>
            <w:tcW w:w="208" w:type="pct"/>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EDCF805"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w:t>
            </w:r>
          </w:p>
        </w:tc>
        <w:tc>
          <w:tcPr>
            <w:tcW w:w="208" w:type="pct"/>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EDCF806"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w:t>
            </w:r>
          </w:p>
        </w:tc>
        <w:tc>
          <w:tcPr>
            <w:tcW w:w="208" w:type="pct"/>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EDCF807"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w:t>
            </w:r>
          </w:p>
        </w:tc>
        <w:tc>
          <w:tcPr>
            <w:tcW w:w="208" w:type="pct"/>
            <w:tcBorders>
              <w:top w:val="single" w:sz="2" w:space="0" w:color="auto"/>
              <w:left w:val="single" w:sz="2" w:space="0" w:color="auto"/>
              <w:bottom w:val="single" w:sz="2" w:space="0" w:color="auto"/>
              <w:right w:val="single" w:sz="12" w:space="0" w:color="auto"/>
            </w:tcBorders>
            <w:shd w:val="clear" w:color="auto" w:fill="auto"/>
            <w:noWrap/>
            <w:vAlign w:val="center"/>
            <w:hideMark/>
          </w:tcPr>
          <w:p w14:paraId="6EDCF808"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w:t>
            </w:r>
          </w:p>
        </w:tc>
      </w:tr>
      <w:tr w:rsidR="00D71745" w:rsidRPr="007114AF" w14:paraId="6EDCF820" w14:textId="77777777" w:rsidTr="00A9766F">
        <w:trPr>
          <w:trHeight w:hRule="exact" w:val="301"/>
          <w:jc w:val="center"/>
        </w:trPr>
        <w:tc>
          <w:tcPr>
            <w:tcW w:w="232" w:type="pct"/>
            <w:vMerge/>
            <w:tcBorders>
              <w:top w:val="single" w:sz="12" w:space="0" w:color="auto"/>
              <w:left w:val="single" w:sz="12" w:space="0" w:color="auto"/>
              <w:bottom w:val="single" w:sz="12" w:space="0" w:color="auto"/>
              <w:right w:val="single" w:sz="2" w:space="0" w:color="auto"/>
            </w:tcBorders>
            <w:shd w:val="clear" w:color="auto" w:fill="auto"/>
            <w:vAlign w:val="center"/>
            <w:hideMark/>
          </w:tcPr>
          <w:p w14:paraId="6EDCF80A" w14:textId="77777777" w:rsidR="00D71745" w:rsidRPr="007114AF" w:rsidRDefault="00D71745" w:rsidP="00D71745">
            <w:pPr>
              <w:spacing w:after="0" w:line="240" w:lineRule="auto"/>
              <w:rPr>
                <w:rFonts w:ascii="Garamond" w:hAnsi="Garamond"/>
                <w:sz w:val="18"/>
                <w:szCs w:val="18"/>
              </w:rPr>
            </w:pPr>
          </w:p>
        </w:tc>
        <w:tc>
          <w:tcPr>
            <w:tcW w:w="607" w:type="pct"/>
            <w:tcBorders>
              <w:top w:val="single" w:sz="2" w:space="0" w:color="auto"/>
              <w:left w:val="single" w:sz="2" w:space="0" w:color="auto"/>
              <w:bottom w:val="single" w:sz="12" w:space="0" w:color="auto"/>
              <w:right w:val="single" w:sz="2" w:space="0" w:color="auto"/>
            </w:tcBorders>
            <w:shd w:val="clear" w:color="auto" w:fill="auto"/>
            <w:noWrap/>
            <w:vAlign w:val="center"/>
            <w:hideMark/>
          </w:tcPr>
          <w:p w14:paraId="6EDCF80B" w14:textId="77777777" w:rsidR="00D71745" w:rsidRPr="007114AF" w:rsidRDefault="00D71745" w:rsidP="00D71745">
            <w:pPr>
              <w:spacing w:after="0" w:line="240" w:lineRule="auto"/>
              <w:rPr>
                <w:rFonts w:ascii="Garamond" w:hAnsi="Garamond"/>
                <w:sz w:val="18"/>
                <w:szCs w:val="18"/>
              </w:rPr>
            </w:pPr>
            <w:r w:rsidRPr="007114AF">
              <w:rPr>
                <w:rFonts w:ascii="Garamond" w:hAnsi="Garamond"/>
                <w:sz w:val="18"/>
                <w:szCs w:val="18"/>
              </w:rPr>
              <w:t>TOTAL</w:t>
            </w:r>
          </w:p>
        </w:tc>
        <w:tc>
          <w:tcPr>
            <w:tcW w:w="208" w:type="pct"/>
            <w:tcBorders>
              <w:top w:val="single" w:sz="2" w:space="0" w:color="auto"/>
              <w:left w:val="single" w:sz="2" w:space="0" w:color="auto"/>
              <w:bottom w:val="single" w:sz="12" w:space="0" w:color="auto"/>
              <w:right w:val="single" w:sz="2" w:space="0" w:color="auto"/>
            </w:tcBorders>
            <w:shd w:val="clear" w:color="auto" w:fill="auto"/>
            <w:noWrap/>
            <w:vAlign w:val="center"/>
            <w:hideMark/>
          </w:tcPr>
          <w:p w14:paraId="6EDCF80C"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100</w:t>
            </w:r>
          </w:p>
        </w:tc>
        <w:tc>
          <w:tcPr>
            <w:tcW w:w="208" w:type="pct"/>
            <w:tcBorders>
              <w:top w:val="single" w:sz="2" w:space="0" w:color="auto"/>
              <w:left w:val="single" w:sz="2" w:space="0" w:color="auto"/>
              <w:bottom w:val="single" w:sz="12" w:space="0" w:color="auto"/>
              <w:right w:val="single" w:sz="2" w:space="0" w:color="auto"/>
            </w:tcBorders>
            <w:shd w:val="clear" w:color="auto" w:fill="auto"/>
            <w:noWrap/>
            <w:vAlign w:val="center"/>
            <w:hideMark/>
          </w:tcPr>
          <w:p w14:paraId="6EDCF80D"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100</w:t>
            </w:r>
          </w:p>
        </w:tc>
        <w:tc>
          <w:tcPr>
            <w:tcW w:w="208" w:type="pct"/>
            <w:tcBorders>
              <w:top w:val="single" w:sz="2" w:space="0" w:color="auto"/>
              <w:left w:val="single" w:sz="2" w:space="0" w:color="auto"/>
              <w:bottom w:val="single" w:sz="12" w:space="0" w:color="auto"/>
              <w:right w:val="single" w:sz="2" w:space="0" w:color="auto"/>
            </w:tcBorders>
            <w:shd w:val="clear" w:color="auto" w:fill="auto"/>
            <w:noWrap/>
            <w:vAlign w:val="center"/>
            <w:hideMark/>
          </w:tcPr>
          <w:p w14:paraId="6EDCF80E"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100</w:t>
            </w:r>
          </w:p>
        </w:tc>
        <w:tc>
          <w:tcPr>
            <w:tcW w:w="208" w:type="pct"/>
            <w:tcBorders>
              <w:top w:val="single" w:sz="2" w:space="0" w:color="auto"/>
              <w:left w:val="single" w:sz="2" w:space="0" w:color="auto"/>
              <w:bottom w:val="single" w:sz="12" w:space="0" w:color="auto"/>
              <w:right w:val="single" w:sz="2" w:space="0" w:color="auto"/>
            </w:tcBorders>
            <w:shd w:val="clear" w:color="auto" w:fill="auto"/>
            <w:noWrap/>
            <w:vAlign w:val="center"/>
            <w:hideMark/>
          </w:tcPr>
          <w:p w14:paraId="6EDCF80F"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100</w:t>
            </w:r>
          </w:p>
        </w:tc>
        <w:tc>
          <w:tcPr>
            <w:tcW w:w="208" w:type="pct"/>
            <w:tcBorders>
              <w:top w:val="single" w:sz="2" w:space="0" w:color="auto"/>
              <w:left w:val="single" w:sz="2" w:space="0" w:color="auto"/>
              <w:bottom w:val="single" w:sz="12" w:space="0" w:color="auto"/>
              <w:right w:val="single" w:sz="2" w:space="0" w:color="auto"/>
            </w:tcBorders>
            <w:shd w:val="clear" w:color="auto" w:fill="auto"/>
            <w:noWrap/>
            <w:vAlign w:val="center"/>
            <w:hideMark/>
          </w:tcPr>
          <w:p w14:paraId="6EDCF810"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100</w:t>
            </w:r>
          </w:p>
        </w:tc>
        <w:tc>
          <w:tcPr>
            <w:tcW w:w="208" w:type="pct"/>
            <w:tcBorders>
              <w:top w:val="single" w:sz="2" w:space="0" w:color="auto"/>
              <w:left w:val="single" w:sz="2" w:space="0" w:color="auto"/>
              <w:bottom w:val="single" w:sz="12" w:space="0" w:color="auto"/>
              <w:right w:val="single" w:sz="2" w:space="0" w:color="auto"/>
            </w:tcBorders>
            <w:shd w:val="clear" w:color="auto" w:fill="auto"/>
            <w:noWrap/>
            <w:vAlign w:val="center"/>
            <w:hideMark/>
          </w:tcPr>
          <w:p w14:paraId="6EDCF811"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100</w:t>
            </w:r>
          </w:p>
        </w:tc>
        <w:tc>
          <w:tcPr>
            <w:tcW w:w="208" w:type="pct"/>
            <w:tcBorders>
              <w:top w:val="single" w:sz="2" w:space="0" w:color="auto"/>
              <w:left w:val="single" w:sz="2" w:space="0" w:color="auto"/>
              <w:bottom w:val="single" w:sz="12" w:space="0" w:color="auto"/>
              <w:right w:val="single" w:sz="2" w:space="0" w:color="auto"/>
            </w:tcBorders>
            <w:shd w:val="clear" w:color="auto" w:fill="auto"/>
            <w:noWrap/>
            <w:vAlign w:val="center"/>
            <w:hideMark/>
          </w:tcPr>
          <w:p w14:paraId="6EDCF812"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100</w:t>
            </w:r>
          </w:p>
        </w:tc>
        <w:tc>
          <w:tcPr>
            <w:tcW w:w="208" w:type="pct"/>
            <w:tcBorders>
              <w:top w:val="single" w:sz="2" w:space="0" w:color="auto"/>
              <w:left w:val="single" w:sz="2" w:space="0" w:color="auto"/>
              <w:bottom w:val="single" w:sz="12" w:space="0" w:color="auto"/>
              <w:right w:val="single" w:sz="2" w:space="0" w:color="auto"/>
            </w:tcBorders>
            <w:shd w:val="clear" w:color="auto" w:fill="auto"/>
            <w:noWrap/>
            <w:vAlign w:val="center"/>
            <w:hideMark/>
          </w:tcPr>
          <w:p w14:paraId="6EDCF813"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100</w:t>
            </w:r>
          </w:p>
        </w:tc>
        <w:tc>
          <w:tcPr>
            <w:tcW w:w="208" w:type="pct"/>
            <w:tcBorders>
              <w:top w:val="single" w:sz="2" w:space="0" w:color="auto"/>
              <w:left w:val="single" w:sz="2" w:space="0" w:color="auto"/>
              <w:bottom w:val="single" w:sz="12" w:space="0" w:color="auto"/>
              <w:right w:val="single" w:sz="2" w:space="0" w:color="auto"/>
            </w:tcBorders>
            <w:shd w:val="clear" w:color="auto" w:fill="auto"/>
            <w:noWrap/>
            <w:vAlign w:val="center"/>
            <w:hideMark/>
          </w:tcPr>
          <w:p w14:paraId="6EDCF814"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100</w:t>
            </w:r>
          </w:p>
        </w:tc>
        <w:tc>
          <w:tcPr>
            <w:tcW w:w="208" w:type="pct"/>
            <w:tcBorders>
              <w:top w:val="single" w:sz="2" w:space="0" w:color="auto"/>
              <w:left w:val="single" w:sz="2" w:space="0" w:color="auto"/>
              <w:bottom w:val="single" w:sz="12" w:space="0" w:color="auto"/>
              <w:right w:val="single" w:sz="2" w:space="0" w:color="auto"/>
            </w:tcBorders>
            <w:shd w:val="clear" w:color="auto" w:fill="auto"/>
            <w:noWrap/>
            <w:vAlign w:val="center"/>
            <w:hideMark/>
          </w:tcPr>
          <w:p w14:paraId="6EDCF815"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100</w:t>
            </w:r>
          </w:p>
        </w:tc>
        <w:tc>
          <w:tcPr>
            <w:tcW w:w="208" w:type="pct"/>
            <w:tcBorders>
              <w:top w:val="single" w:sz="2" w:space="0" w:color="auto"/>
              <w:left w:val="single" w:sz="2" w:space="0" w:color="auto"/>
              <w:bottom w:val="single" w:sz="12" w:space="0" w:color="auto"/>
              <w:right w:val="single" w:sz="2" w:space="0" w:color="auto"/>
            </w:tcBorders>
            <w:shd w:val="clear" w:color="auto" w:fill="auto"/>
            <w:noWrap/>
            <w:vAlign w:val="center"/>
            <w:hideMark/>
          </w:tcPr>
          <w:p w14:paraId="6EDCF816"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100</w:t>
            </w:r>
          </w:p>
        </w:tc>
        <w:tc>
          <w:tcPr>
            <w:tcW w:w="208" w:type="pct"/>
            <w:tcBorders>
              <w:top w:val="single" w:sz="2" w:space="0" w:color="auto"/>
              <w:left w:val="single" w:sz="2" w:space="0" w:color="auto"/>
              <w:bottom w:val="single" w:sz="12" w:space="0" w:color="auto"/>
              <w:right w:val="single" w:sz="2" w:space="0" w:color="auto"/>
            </w:tcBorders>
            <w:shd w:val="clear" w:color="auto" w:fill="auto"/>
            <w:noWrap/>
            <w:vAlign w:val="center"/>
            <w:hideMark/>
          </w:tcPr>
          <w:p w14:paraId="6EDCF817"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w:t>
            </w:r>
          </w:p>
        </w:tc>
        <w:tc>
          <w:tcPr>
            <w:tcW w:w="208" w:type="pct"/>
            <w:tcBorders>
              <w:top w:val="single" w:sz="2" w:space="0" w:color="auto"/>
              <w:left w:val="single" w:sz="2" w:space="0" w:color="auto"/>
              <w:bottom w:val="single" w:sz="12" w:space="0" w:color="auto"/>
              <w:right w:val="single" w:sz="2" w:space="0" w:color="auto"/>
            </w:tcBorders>
            <w:shd w:val="clear" w:color="auto" w:fill="auto"/>
            <w:noWrap/>
            <w:vAlign w:val="center"/>
            <w:hideMark/>
          </w:tcPr>
          <w:p w14:paraId="6EDCF818"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w:t>
            </w:r>
          </w:p>
        </w:tc>
        <w:tc>
          <w:tcPr>
            <w:tcW w:w="208" w:type="pct"/>
            <w:tcBorders>
              <w:top w:val="single" w:sz="2" w:space="0" w:color="auto"/>
              <w:left w:val="single" w:sz="2" w:space="0" w:color="auto"/>
              <w:bottom w:val="single" w:sz="12" w:space="0" w:color="auto"/>
              <w:right w:val="single" w:sz="2" w:space="0" w:color="auto"/>
            </w:tcBorders>
            <w:shd w:val="clear" w:color="auto" w:fill="auto"/>
            <w:noWrap/>
            <w:vAlign w:val="center"/>
            <w:hideMark/>
          </w:tcPr>
          <w:p w14:paraId="6EDCF819"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w:t>
            </w:r>
          </w:p>
        </w:tc>
        <w:tc>
          <w:tcPr>
            <w:tcW w:w="208" w:type="pct"/>
            <w:tcBorders>
              <w:top w:val="single" w:sz="2" w:space="0" w:color="auto"/>
              <w:left w:val="single" w:sz="2" w:space="0" w:color="auto"/>
              <w:bottom w:val="single" w:sz="12" w:space="0" w:color="auto"/>
              <w:right w:val="single" w:sz="2" w:space="0" w:color="auto"/>
            </w:tcBorders>
            <w:shd w:val="clear" w:color="auto" w:fill="auto"/>
            <w:noWrap/>
            <w:vAlign w:val="center"/>
            <w:hideMark/>
          </w:tcPr>
          <w:p w14:paraId="6EDCF81A"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w:t>
            </w:r>
          </w:p>
        </w:tc>
        <w:tc>
          <w:tcPr>
            <w:tcW w:w="208" w:type="pct"/>
            <w:tcBorders>
              <w:top w:val="single" w:sz="2" w:space="0" w:color="auto"/>
              <w:left w:val="single" w:sz="2" w:space="0" w:color="auto"/>
              <w:bottom w:val="single" w:sz="12" w:space="0" w:color="auto"/>
              <w:right w:val="single" w:sz="2" w:space="0" w:color="auto"/>
            </w:tcBorders>
            <w:shd w:val="clear" w:color="auto" w:fill="auto"/>
            <w:noWrap/>
            <w:vAlign w:val="center"/>
            <w:hideMark/>
          </w:tcPr>
          <w:p w14:paraId="6EDCF81B"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w:t>
            </w:r>
          </w:p>
        </w:tc>
        <w:tc>
          <w:tcPr>
            <w:tcW w:w="208" w:type="pct"/>
            <w:tcBorders>
              <w:top w:val="single" w:sz="2" w:space="0" w:color="auto"/>
              <w:left w:val="single" w:sz="2" w:space="0" w:color="auto"/>
              <w:bottom w:val="single" w:sz="12" w:space="0" w:color="auto"/>
              <w:right w:val="single" w:sz="2" w:space="0" w:color="auto"/>
            </w:tcBorders>
            <w:shd w:val="clear" w:color="auto" w:fill="auto"/>
            <w:noWrap/>
            <w:vAlign w:val="center"/>
            <w:hideMark/>
          </w:tcPr>
          <w:p w14:paraId="6EDCF81C"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w:t>
            </w:r>
          </w:p>
        </w:tc>
        <w:tc>
          <w:tcPr>
            <w:tcW w:w="208" w:type="pct"/>
            <w:tcBorders>
              <w:top w:val="single" w:sz="2" w:space="0" w:color="auto"/>
              <w:left w:val="single" w:sz="2" w:space="0" w:color="auto"/>
              <w:bottom w:val="single" w:sz="12" w:space="0" w:color="auto"/>
              <w:right w:val="single" w:sz="2" w:space="0" w:color="auto"/>
            </w:tcBorders>
            <w:shd w:val="clear" w:color="auto" w:fill="auto"/>
            <w:noWrap/>
            <w:vAlign w:val="center"/>
            <w:hideMark/>
          </w:tcPr>
          <w:p w14:paraId="6EDCF81D"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w:t>
            </w:r>
          </w:p>
        </w:tc>
        <w:tc>
          <w:tcPr>
            <w:tcW w:w="208" w:type="pct"/>
            <w:tcBorders>
              <w:top w:val="single" w:sz="2" w:space="0" w:color="auto"/>
              <w:left w:val="single" w:sz="2" w:space="0" w:color="auto"/>
              <w:bottom w:val="single" w:sz="12" w:space="0" w:color="auto"/>
              <w:right w:val="single" w:sz="2" w:space="0" w:color="auto"/>
            </w:tcBorders>
            <w:shd w:val="clear" w:color="auto" w:fill="auto"/>
            <w:noWrap/>
            <w:vAlign w:val="center"/>
            <w:hideMark/>
          </w:tcPr>
          <w:p w14:paraId="6EDCF81E"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w:t>
            </w:r>
          </w:p>
        </w:tc>
        <w:tc>
          <w:tcPr>
            <w:tcW w:w="208" w:type="pct"/>
            <w:tcBorders>
              <w:top w:val="single" w:sz="2" w:space="0" w:color="auto"/>
              <w:left w:val="single" w:sz="2" w:space="0" w:color="auto"/>
              <w:bottom w:val="single" w:sz="12" w:space="0" w:color="auto"/>
              <w:right w:val="single" w:sz="12" w:space="0" w:color="auto"/>
            </w:tcBorders>
            <w:shd w:val="clear" w:color="auto" w:fill="auto"/>
            <w:noWrap/>
            <w:vAlign w:val="center"/>
            <w:hideMark/>
          </w:tcPr>
          <w:p w14:paraId="6EDCF81F"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w:t>
            </w:r>
          </w:p>
        </w:tc>
      </w:tr>
      <w:tr w:rsidR="00D71745" w:rsidRPr="007114AF" w14:paraId="6EDCF837" w14:textId="77777777" w:rsidTr="00A9766F">
        <w:trPr>
          <w:trHeight w:hRule="exact" w:val="301"/>
          <w:jc w:val="center"/>
        </w:trPr>
        <w:tc>
          <w:tcPr>
            <w:tcW w:w="232" w:type="pct"/>
            <w:vMerge w:val="restart"/>
            <w:tcBorders>
              <w:top w:val="single" w:sz="12" w:space="0" w:color="auto"/>
              <w:left w:val="single" w:sz="12" w:space="0" w:color="auto"/>
              <w:bottom w:val="single" w:sz="12" w:space="0" w:color="auto"/>
              <w:right w:val="single" w:sz="2" w:space="0" w:color="auto"/>
            </w:tcBorders>
            <w:shd w:val="clear" w:color="auto" w:fill="auto"/>
            <w:noWrap/>
            <w:textDirection w:val="btLr"/>
            <w:vAlign w:val="center"/>
            <w:hideMark/>
          </w:tcPr>
          <w:p w14:paraId="6EDCF821" w14:textId="77777777" w:rsidR="00D71745" w:rsidRPr="007114AF" w:rsidRDefault="00D71745" w:rsidP="00D71745">
            <w:pPr>
              <w:spacing w:after="0" w:line="240" w:lineRule="auto"/>
              <w:rPr>
                <w:rFonts w:ascii="Garamond" w:hAnsi="Garamond"/>
                <w:sz w:val="18"/>
                <w:szCs w:val="18"/>
              </w:rPr>
            </w:pPr>
            <w:r w:rsidRPr="007114AF">
              <w:rPr>
                <w:rFonts w:ascii="Garamond" w:hAnsi="Garamond"/>
                <w:sz w:val="18"/>
                <w:szCs w:val="18"/>
              </w:rPr>
              <w:t>KTK</w:t>
            </w:r>
          </w:p>
        </w:tc>
        <w:tc>
          <w:tcPr>
            <w:tcW w:w="607" w:type="pct"/>
            <w:tcBorders>
              <w:top w:val="single" w:sz="12" w:space="0" w:color="auto"/>
              <w:left w:val="single" w:sz="2" w:space="0" w:color="auto"/>
              <w:bottom w:val="single" w:sz="2" w:space="0" w:color="auto"/>
              <w:right w:val="single" w:sz="2" w:space="0" w:color="auto"/>
            </w:tcBorders>
            <w:shd w:val="clear" w:color="auto" w:fill="auto"/>
            <w:noWrap/>
            <w:vAlign w:val="center"/>
            <w:hideMark/>
          </w:tcPr>
          <w:p w14:paraId="6EDCF822" w14:textId="77777777" w:rsidR="00D71745" w:rsidRPr="007114AF" w:rsidRDefault="00D71745" w:rsidP="00D71745">
            <w:pPr>
              <w:spacing w:after="0" w:line="240" w:lineRule="auto"/>
              <w:rPr>
                <w:rFonts w:ascii="Garamond" w:hAnsi="Garamond"/>
                <w:sz w:val="18"/>
                <w:szCs w:val="18"/>
              </w:rPr>
            </w:pPr>
            <w:r w:rsidRPr="007114AF">
              <w:rPr>
                <w:rFonts w:ascii="Garamond" w:hAnsi="Garamond"/>
                <w:sz w:val="18"/>
                <w:szCs w:val="18"/>
              </w:rPr>
              <w:t>Energji</w:t>
            </w:r>
          </w:p>
        </w:tc>
        <w:tc>
          <w:tcPr>
            <w:tcW w:w="208" w:type="pct"/>
            <w:tcBorders>
              <w:top w:val="single" w:sz="12" w:space="0" w:color="auto"/>
              <w:left w:val="single" w:sz="2" w:space="0" w:color="auto"/>
              <w:bottom w:val="single" w:sz="2" w:space="0" w:color="auto"/>
              <w:right w:val="single" w:sz="2" w:space="0" w:color="auto"/>
            </w:tcBorders>
            <w:shd w:val="clear" w:color="auto" w:fill="auto"/>
            <w:noWrap/>
            <w:vAlign w:val="center"/>
            <w:hideMark/>
          </w:tcPr>
          <w:p w14:paraId="6EDCF823"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w:t>
            </w:r>
          </w:p>
        </w:tc>
        <w:tc>
          <w:tcPr>
            <w:tcW w:w="208" w:type="pct"/>
            <w:tcBorders>
              <w:top w:val="single" w:sz="12" w:space="0" w:color="auto"/>
              <w:left w:val="single" w:sz="2" w:space="0" w:color="auto"/>
              <w:bottom w:val="single" w:sz="2" w:space="0" w:color="auto"/>
              <w:right w:val="single" w:sz="2" w:space="0" w:color="auto"/>
            </w:tcBorders>
            <w:shd w:val="clear" w:color="auto" w:fill="auto"/>
            <w:noWrap/>
            <w:vAlign w:val="center"/>
            <w:hideMark/>
          </w:tcPr>
          <w:p w14:paraId="6EDCF824"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w:t>
            </w:r>
          </w:p>
        </w:tc>
        <w:tc>
          <w:tcPr>
            <w:tcW w:w="208" w:type="pct"/>
            <w:tcBorders>
              <w:top w:val="single" w:sz="12" w:space="0" w:color="auto"/>
              <w:left w:val="single" w:sz="2" w:space="0" w:color="auto"/>
              <w:bottom w:val="single" w:sz="2" w:space="0" w:color="auto"/>
              <w:right w:val="single" w:sz="2" w:space="0" w:color="auto"/>
            </w:tcBorders>
            <w:shd w:val="clear" w:color="auto" w:fill="auto"/>
            <w:noWrap/>
            <w:vAlign w:val="center"/>
            <w:hideMark/>
          </w:tcPr>
          <w:p w14:paraId="6EDCF825"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w:t>
            </w:r>
          </w:p>
        </w:tc>
        <w:tc>
          <w:tcPr>
            <w:tcW w:w="208" w:type="pct"/>
            <w:tcBorders>
              <w:top w:val="single" w:sz="12" w:space="0" w:color="auto"/>
              <w:left w:val="single" w:sz="2" w:space="0" w:color="auto"/>
              <w:bottom w:val="single" w:sz="2" w:space="0" w:color="auto"/>
              <w:right w:val="single" w:sz="2" w:space="0" w:color="auto"/>
            </w:tcBorders>
            <w:shd w:val="clear" w:color="auto" w:fill="auto"/>
            <w:noWrap/>
            <w:vAlign w:val="center"/>
            <w:hideMark/>
          </w:tcPr>
          <w:p w14:paraId="6EDCF826"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w:t>
            </w:r>
          </w:p>
        </w:tc>
        <w:tc>
          <w:tcPr>
            <w:tcW w:w="208" w:type="pct"/>
            <w:tcBorders>
              <w:top w:val="single" w:sz="12" w:space="0" w:color="auto"/>
              <w:left w:val="single" w:sz="2" w:space="0" w:color="auto"/>
              <w:bottom w:val="single" w:sz="2" w:space="0" w:color="auto"/>
              <w:right w:val="single" w:sz="2" w:space="0" w:color="auto"/>
            </w:tcBorders>
            <w:shd w:val="clear" w:color="auto" w:fill="auto"/>
            <w:noWrap/>
            <w:vAlign w:val="center"/>
            <w:hideMark/>
          </w:tcPr>
          <w:p w14:paraId="6EDCF827"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w:t>
            </w:r>
          </w:p>
        </w:tc>
        <w:tc>
          <w:tcPr>
            <w:tcW w:w="208" w:type="pct"/>
            <w:tcBorders>
              <w:top w:val="single" w:sz="12" w:space="0" w:color="auto"/>
              <w:left w:val="single" w:sz="2" w:space="0" w:color="auto"/>
              <w:bottom w:val="single" w:sz="2" w:space="0" w:color="auto"/>
              <w:right w:val="single" w:sz="2" w:space="0" w:color="auto"/>
            </w:tcBorders>
            <w:shd w:val="clear" w:color="auto" w:fill="auto"/>
            <w:noWrap/>
            <w:vAlign w:val="center"/>
            <w:hideMark/>
          </w:tcPr>
          <w:p w14:paraId="6EDCF828"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w:t>
            </w:r>
          </w:p>
        </w:tc>
        <w:tc>
          <w:tcPr>
            <w:tcW w:w="208" w:type="pct"/>
            <w:tcBorders>
              <w:top w:val="single" w:sz="12" w:space="0" w:color="auto"/>
              <w:left w:val="single" w:sz="2" w:space="0" w:color="auto"/>
              <w:bottom w:val="single" w:sz="2" w:space="0" w:color="auto"/>
              <w:right w:val="single" w:sz="2" w:space="0" w:color="auto"/>
            </w:tcBorders>
            <w:shd w:val="clear" w:color="auto" w:fill="auto"/>
            <w:noWrap/>
            <w:vAlign w:val="center"/>
            <w:hideMark/>
          </w:tcPr>
          <w:p w14:paraId="6EDCF829"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w:t>
            </w:r>
          </w:p>
        </w:tc>
        <w:tc>
          <w:tcPr>
            <w:tcW w:w="208" w:type="pct"/>
            <w:tcBorders>
              <w:top w:val="single" w:sz="12" w:space="0" w:color="auto"/>
              <w:left w:val="single" w:sz="2" w:space="0" w:color="auto"/>
              <w:bottom w:val="single" w:sz="2" w:space="0" w:color="auto"/>
              <w:right w:val="single" w:sz="2" w:space="0" w:color="auto"/>
            </w:tcBorders>
            <w:shd w:val="clear" w:color="auto" w:fill="auto"/>
            <w:noWrap/>
            <w:vAlign w:val="center"/>
            <w:hideMark/>
          </w:tcPr>
          <w:p w14:paraId="6EDCF82A"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w:t>
            </w:r>
          </w:p>
        </w:tc>
        <w:tc>
          <w:tcPr>
            <w:tcW w:w="208" w:type="pct"/>
            <w:tcBorders>
              <w:top w:val="single" w:sz="12" w:space="0" w:color="auto"/>
              <w:left w:val="single" w:sz="2" w:space="0" w:color="auto"/>
              <w:bottom w:val="single" w:sz="2" w:space="0" w:color="auto"/>
              <w:right w:val="single" w:sz="2" w:space="0" w:color="auto"/>
            </w:tcBorders>
            <w:shd w:val="clear" w:color="auto" w:fill="auto"/>
            <w:noWrap/>
            <w:vAlign w:val="center"/>
            <w:hideMark/>
          </w:tcPr>
          <w:p w14:paraId="6EDCF82B"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w:t>
            </w:r>
          </w:p>
        </w:tc>
        <w:tc>
          <w:tcPr>
            <w:tcW w:w="208" w:type="pct"/>
            <w:tcBorders>
              <w:top w:val="single" w:sz="12" w:space="0" w:color="auto"/>
              <w:left w:val="single" w:sz="2" w:space="0" w:color="auto"/>
              <w:bottom w:val="single" w:sz="2" w:space="0" w:color="auto"/>
              <w:right w:val="single" w:sz="2" w:space="0" w:color="auto"/>
            </w:tcBorders>
            <w:shd w:val="clear" w:color="auto" w:fill="auto"/>
            <w:noWrap/>
            <w:vAlign w:val="center"/>
            <w:hideMark/>
          </w:tcPr>
          <w:p w14:paraId="6EDCF82C"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w:t>
            </w:r>
          </w:p>
        </w:tc>
        <w:tc>
          <w:tcPr>
            <w:tcW w:w="208" w:type="pct"/>
            <w:tcBorders>
              <w:top w:val="single" w:sz="12" w:space="0" w:color="auto"/>
              <w:left w:val="single" w:sz="2" w:space="0" w:color="auto"/>
              <w:bottom w:val="single" w:sz="2" w:space="0" w:color="auto"/>
              <w:right w:val="single" w:sz="2" w:space="0" w:color="auto"/>
            </w:tcBorders>
            <w:shd w:val="clear" w:color="auto" w:fill="auto"/>
            <w:noWrap/>
            <w:vAlign w:val="center"/>
            <w:hideMark/>
          </w:tcPr>
          <w:p w14:paraId="6EDCF82D"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45.4</w:t>
            </w:r>
          </w:p>
        </w:tc>
        <w:tc>
          <w:tcPr>
            <w:tcW w:w="208" w:type="pct"/>
            <w:tcBorders>
              <w:top w:val="single" w:sz="12" w:space="0" w:color="auto"/>
              <w:left w:val="single" w:sz="2" w:space="0" w:color="auto"/>
              <w:bottom w:val="single" w:sz="2" w:space="0" w:color="auto"/>
              <w:right w:val="single" w:sz="2" w:space="0" w:color="auto"/>
            </w:tcBorders>
            <w:shd w:val="clear" w:color="auto" w:fill="auto"/>
            <w:noWrap/>
            <w:vAlign w:val="center"/>
            <w:hideMark/>
          </w:tcPr>
          <w:p w14:paraId="6EDCF82E"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46.3</w:t>
            </w:r>
          </w:p>
        </w:tc>
        <w:tc>
          <w:tcPr>
            <w:tcW w:w="208" w:type="pct"/>
            <w:tcBorders>
              <w:top w:val="single" w:sz="12" w:space="0" w:color="auto"/>
              <w:left w:val="single" w:sz="2" w:space="0" w:color="auto"/>
              <w:bottom w:val="single" w:sz="2" w:space="0" w:color="auto"/>
              <w:right w:val="single" w:sz="2" w:space="0" w:color="auto"/>
            </w:tcBorders>
            <w:shd w:val="clear" w:color="auto" w:fill="auto"/>
            <w:noWrap/>
            <w:vAlign w:val="center"/>
            <w:hideMark/>
          </w:tcPr>
          <w:p w14:paraId="6EDCF82F"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50.1</w:t>
            </w:r>
          </w:p>
        </w:tc>
        <w:tc>
          <w:tcPr>
            <w:tcW w:w="208" w:type="pct"/>
            <w:tcBorders>
              <w:top w:val="single" w:sz="12" w:space="0" w:color="auto"/>
              <w:left w:val="single" w:sz="2" w:space="0" w:color="auto"/>
              <w:bottom w:val="single" w:sz="2" w:space="0" w:color="auto"/>
              <w:right w:val="single" w:sz="2" w:space="0" w:color="auto"/>
            </w:tcBorders>
            <w:shd w:val="clear" w:color="auto" w:fill="auto"/>
            <w:noWrap/>
            <w:vAlign w:val="center"/>
            <w:hideMark/>
          </w:tcPr>
          <w:p w14:paraId="6EDCF830"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52.1</w:t>
            </w:r>
          </w:p>
        </w:tc>
        <w:tc>
          <w:tcPr>
            <w:tcW w:w="208" w:type="pct"/>
            <w:tcBorders>
              <w:top w:val="single" w:sz="12" w:space="0" w:color="auto"/>
              <w:left w:val="single" w:sz="2" w:space="0" w:color="auto"/>
              <w:bottom w:val="single" w:sz="2" w:space="0" w:color="auto"/>
              <w:right w:val="single" w:sz="2" w:space="0" w:color="auto"/>
            </w:tcBorders>
            <w:shd w:val="clear" w:color="auto" w:fill="auto"/>
            <w:noWrap/>
            <w:vAlign w:val="center"/>
            <w:hideMark/>
          </w:tcPr>
          <w:p w14:paraId="6EDCF831"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52.3</w:t>
            </w:r>
          </w:p>
        </w:tc>
        <w:tc>
          <w:tcPr>
            <w:tcW w:w="208" w:type="pct"/>
            <w:tcBorders>
              <w:top w:val="single" w:sz="12" w:space="0" w:color="auto"/>
              <w:left w:val="single" w:sz="2" w:space="0" w:color="auto"/>
              <w:bottom w:val="single" w:sz="2" w:space="0" w:color="auto"/>
              <w:right w:val="single" w:sz="2" w:space="0" w:color="auto"/>
            </w:tcBorders>
            <w:shd w:val="clear" w:color="auto" w:fill="auto"/>
            <w:noWrap/>
            <w:vAlign w:val="center"/>
            <w:hideMark/>
          </w:tcPr>
          <w:p w14:paraId="6EDCF832"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52.3</w:t>
            </w:r>
          </w:p>
        </w:tc>
        <w:tc>
          <w:tcPr>
            <w:tcW w:w="208" w:type="pct"/>
            <w:tcBorders>
              <w:top w:val="single" w:sz="12" w:space="0" w:color="auto"/>
              <w:left w:val="single" w:sz="2" w:space="0" w:color="auto"/>
              <w:bottom w:val="single" w:sz="2" w:space="0" w:color="auto"/>
              <w:right w:val="single" w:sz="2" w:space="0" w:color="auto"/>
            </w:tcBorders>
            <w:shd w:val="clear" w:color="auto" w:fill="auto"/>
            <w:noWrap/>
            <w:vAlign w:val="center"/>
            <w:hideMark/>
          </w:tcPr>
          <w:p w14:paraId="6EDCF833"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52.9</w:t>
            </w:r>
          </w:p>
        </w:tc>
        <w:tc>
          <w:tcPr>
            <w:tcW w:w="208" w:type="pct"/>
            <w:tcBorders>
              <w:top w:val="single" w:sz="12" w:space="0" w:color="auto"/>
              <w:left w:val="single" w:sz="2" w:space="0" w:color="auto"/>
              <w:bottom w:val="single" w:sz="2" w:space="0" w:color="auto"/>
              <w:right w:val="single" w:sz="2" w:space="0" w:color="auto"/>
            </w:tcBorders>
            <w:shd w:val="clear" w:color="auto" w:fill="auto"/>
            <w:noWrap/>
            <w:vAlign w:val="center"/>
            <w:hideMark/>
          </w:tcPr>
          <w:p w14:paraId="6EDCF834"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51.5</w:t>
            </w:r>
          </w:p>
        </w:tc>
        <w:tc>
          <w:tcPr>
            <w:tcW w:w="208" w:type="pct"/>
            <w:tcBorders>
              <w:top w:val="single" w:sz="12" w:space="0" w:color="auto"/>
              <w:left w:val="single" w:sz="2" w:space="0" w:color="auto"/>
              <w:bottom w:val="single" w:sz="2" w:space="0" w:color="auto"/>
              <w:right w:val="single" w:sz="2" w:space="0" w:color="auto"/>
            </w:tcBorders>
            <w:shd w:val="clear" w:color="auto" w:fill="auto"/>
            <w:noWrap/>
            <w:vAlign w:val="center"/>
            <w:hideMark/>
          </w:tcPr>
          <w:p w14:paraId="6EDCF835"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54.2</w:t>
            </w:r>
          </w:p>
        </w:tc>
        <w:tc>
          <w:tcPr>
            <w:tcW w:w="208" w:type="pct"/>
            <w:tcBorders>
              <w:top w:val="single" w:sz="12" w:space="0" w:color="auto"/>
              <w:left w:val="single" w:sz="2" w:space="0" w:color="auto"/>
              <w:bottom w:val="single" w:sz="2" w:space="0" w:color="auto"/>
              <w:right w:val="single" w:sz="12" w:space="0" w:color="auto"/>
            </w:tcBorders>
            <w:shd w:val="clear" w:color="auto" w:fill="auto"/>
            <w:noWrap/>
            <w:vAlign w:val="center"/>
            <w:hideMark/>
          </w:tcPr>
          <w:p w14:paraId="6EDCF836"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56.9</w:t>
            </w:r>
          </w:p>
        </w:tc>
      </w:tr>
      <w:tr w:rsidR="00D71745" w:rsidRPr="007114AF" w14:paraId="6EDCF84E" w14:textId="77777777" w:rsidTr="00A9766F">
        <w:trPr>
          <w:trHeight w:hRule="exact" w:val="301"/>
          <w:jc w:val="center"/>
        </w:trPr>
        <w:tc>
          <w:tcPr>
            <w:tcW w:w="232" w:type="pct"/>
            <w:vMerge/>
            <w:tcBorders>
              <w:top w:val="single" w:sz="12" w:space="0" w:color="auto"/>
              <w:left w:val="single" w:sz="12" w:space="0" w:color="auto"/>
              <w:bottom w:val="single" w:sz="12" w:space="0" w:color="auto"/>
              <w:right w:val="single" w:sz="2" w:space="0" w:color="auto"/>
            </w:tcBorders>
            <w:shd w:val="clear" w:color="auto" w:fill="auto"/>
            <w:vAlign w:val="center"/>
            <w:hideMark/>
          </w:tcPr>
          <w:p w14:paraId="6EDCF838" w14:textId="77777777" w:rsidR="00D71745" w:rsidRPr="007114AF" w:rsidRDefault="00D71745" w:rsidP="00D71745">
            <w:pPr>
              <w:spacing w:after="0" w:line="240" w:lineRule="auto"/>
              <w:rPr>
                <w:rFonts w:ascii="Garamond" w:hAnsi="Garamond"/>
                <w:sz w:val="18"/>
                <w:szCs w:val="18"/>
              </w:rPr>
            </w:pPr>
          </w:p>
        </w:tc>
        <w:tc>
          <w:tcPr>
            <w:tcW w:w="607" w:type="pct"/>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EDCF839" w14:textId="77777777" w:rsidR="00D71745" w:rsidRPr="007114AF" w:rsidRDefault="00D71745" w:rsidP="00D71745">
            <w:pPr>
              <w:spacing w:after="0" w:line="240" w:lineRule="auto"/>
              <w:rPr>
                <w:rFonts w:ascii="Garamond" w:hAnsi="Garamond"/>
                <w:sz w:val="18"/>
                <w:szCs w:val="18"/>
              </w:rPr>
            </w:pPr>
            <w:r w:rsidRPr="007114AF">
              <w:rPr>
                <w:rFonts w:ascii="Garamond" w:hAnsi="Garamond"/>
                <w:sz w:val="18"/>
                <w:szCs w:val="18"/>
              </w:rPr>
              <w:t>Procese industriale</w:t>
            </w:r>
          </w:p>
        </w:tc>
        <w:tc>
          <w:tcPr>
            <w:tcW w:w="208" w:type="pct"/>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EDCF83A"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w:t>
            </w:r>
          </w:p>
        </w:tc>
        <w:tc>
          <w:tcPr>
            <w:tcW w:w="208" w:type="pct"/>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EDCF83B"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w:t>
            </w:r>
          </w:p>
        </w:tc>
        <w:tc>
          <w:tcPr>
            <w:tcW w:w="208" w:type="pct"/>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EDCF83C"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w:t>
            </w:r>
          </w:p>
        </w:tc>
        <w:tc>
          <w:tcPr>
            <w:tcW w:w="208" w:type="pct"/>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EDCF83D"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w:t>
            </w:r>
          </w:p>
        </w:tc>
        <w:tc>
          <w:tcPr>
            <w:tcW w:w="208" w:type="pct"/>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EDCF83E"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w:t>
            </w:r>
          </w:p>
        </w:tc>
        <w:tc>
          <w:tcPr>
            <w:tcW w:w="208" w:type="pct"/>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EDCF83F"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w:t>
            </w:r>
          </w:p>
        </w:tc>
        <w:tc>
          <w:tcPr>
            <w:tcW w:w="208" w:type="pct"/>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EDCF840"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w:t>
            </w:r>
          </w:p>
        </w:tc>
        <w:tc>
          <w:tcPr>
            <w:tcW w:w="208" w:type="pct"/>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EDCF841"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w:t>
            </w:r>
          </w:p>
        </w:tc>
        <w:tc>
          <w:tcPr>
            <w:tcW w:w="208" w:type="pct"/>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EDCF842"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w:t>
            </w:r>
          </w:p>
        </w:tc>
        <w:tc>
          <w:tcPr>
            <w:tcW w:w="208" w:type="pct"/>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EDCF843"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w:t>
            </w:r>
          </w:p>
        </w:tc>
        <w:tc>
          <w:tcPr>
            <w:tcW w:w="208" w:type="pct"/>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EDCF844"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5.7</w:t>
            </w:r>
          </w:p>
        </w:tc>
        <w:tc>
          <w:tcPr>
            <w:tcW w:w="208" w:type="pct"/>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EDCF845"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9.5</w:t>
            </w:r>
          </w:p>
        </w:tc>
        <w:tc>
          <w:tcPr>
            <w:tcW w:w="208" w:type="pct"/>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EDCF846"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9.5</w:t>
            </w:r>
          </w:p>
        </w:tc>
        <w:tc>
          <w:tcPr>
            <w:tcW w:w="208" w:type="pct"/>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EDCF847"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11.3</w:t>
            </w:r>
          </w:p>
        </w:tc>
        <w:tc>
          <w:tcPr>
            <w:tcW w:w="208" w:type="pct"/>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EDCF848"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11.6</w:t>
            </w:r>
          </w:p>
        </w:tc>
        <w:tc>
          <w:tcPr>
            <w:tcW w:w="208" w:type="pct"/>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EDCF849"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12.6</w:t>
            </w:r>
          </w:p>
        </w:tc>
        <w:tc>
          <w:tcPr>
            <w:tcW w:w="208" w:type="pct"/>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EDCF84A"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13.5</w:t>
            </w:r>
          </w:p>
        </w:tc>
        <w:tc>
          <w:tcPr>
            <w:tcW w:w="208" w:type="pct"/>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EDCF84B"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16.0</w:t>
            </w:r>
          </w:p>
        </w:tc>
        <w:tc>
          <w:tcPr>
            <w:tcW w:w="208" w:type="pct"/>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EDCF84C"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18.2</w:t>
            </w:r>
          </w:p>
        </w:tc>
        <w:tc>
          <w:tcPr>
            <w:tcW w:w="208" w:type="pct"/>
            <w:tcBorders>
              <w:top w:val="single" w:sz="2" w:space="0" w:color="auto"/>
              <w:left w:val="single" w:sz="2" w:space="0" w:color="auto"/>
              <w:bottom w:val="single" w:sz="2" w:space="0" w:color="auto"/>
              <w:right w:val="single" w:sz="12" w:space="0" w:color="auto"/>
            </w:tcBorders>
            <w:shd w:val="clear" w:color="auto" w:fill="auto"/>
            <w:noWrap/>
            <w:vAlign w:val="center"/>
            <w:hideMark/>
          </w:tcPr>
          <w:p w14:paraId="6EDCF84D"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18.9</w:t>
            </w:r>
          </w:p>
        </w:tc>
      </w:tr>
      <w:tr w:rsidR="00D71745" w:rsidRPr="007114AF" w14:paraId="6EDCF865" w14:textId="77777777" w:rsidTr="00A9766F">
        <w:trPr>
          <w:trHeight w:hRule="exact" w:val="301"/>
          <w:jc w:val="center"/>
        </w:trPr>
        <w:tc>
          <w:tcPr>
            <w:tcW w:w="232" w:type="pct"/>
            <w:vMerge/>
            <w:tcBorders>
              <w:top w:val="single" w:sz="12" w:space="0" w:color="auto"/>
              <w:left w:val="single" w:sz="12" w:space="0" w:color="auto"/>
              <w:bottom w:val="single" w:sz="12" w:space="0" w:color="auto"/>
              <w:right w:val="single" w:sz="2" w:space="0" w:color="auto"/>
            </w:tcBorders>
            <w:shd w:val="clear" w:color="auto" w:fill="auto"/>
            <w:vAlign w:val="center"/>
            <w:hideMark/>
          </w:tcPr>
          <w:p w14:paraId="6EDCF84F" w14:textId="77777777" w:rsidR="00D71745" w:rsidRPr="007114AF" w:rsidRDefault="00D71745" w:rsidP="00D71745">
            <w:pPr>
              <w:spacing w:after="0" w:line="240" w:lineRule="auto"/>
              <w:rPr>
                <w:rFonts w:ascii="Garamond" w:hAnsi="Garamond"/>
                <w:sz w:val="18"/>
                <w:szCs w:val="18"/>
              </w:rPr>
            </w:pPr>
          </w:p>
        </w:tc>
        <w:tc>
          <w:tcPr>
            <w:tcW w:w="607" w:type="pct"/>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EDCF850" w14:textId="77777777" w:rsidR="00D71745" w:rsidRPr="007114AF" w:rsidRDefault="00D71745" w:rsidP="00D71745">
            <w:pPr>
              <w:spacing w:after="0" w:line="240" w:lineRule="auto"/>
              <w:rPr>
                <w:rFonts w:ascii="Garamond" w:hAnsi="Garamond"/>
                <w:sz w:val="18"/>
                <w:szCs w:val="18"/>
              </w:rPr>
            </w:pPr>
            <w:r w:rsidRPr="007114AF">
              <w:rPr>
                <w:rFonts w:ascii="Garamond" w:hAnsi="Garamond"/>
                <w:sz w:val="18"/>
                <w:szCs w:val="18"/>
              </w:rPr>
              <w:t xml:space="preserve">Bujqësi </w:t>
            </w:r>
          </w:p>
        </w:tc>
        <w:tc>
          <w:tcPr>
            <w:tcW w:w="208" w:type="pct"/>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EDCF851"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w:t>
            </w:r>
          </w:p>
        </w:tc>
        <w:tc>
          <w:tcPr>
            <w:tcW w:w="208" w:type="pct"/>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EDCF852"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w:t>
            </w:r>
          </w:p>
        </w:tc>
        <w:tc>
          <w:tcPr>
            <w:tcW w:w="208" w:type="pct"/>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EDCF853"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w:t>
            </w:r>
          </w:p>
        </w:tc>
        <w:tc>
          <w:tcPr>
            <w:tcW w:w="208" w:type="pct"/>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EDCF854"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w:t>
            </w:r>
          </w:p>
        </w:tc>
        <w:tc>
          <w:tcPr>
            <w:tcW w:w="208" w:type="pct"/>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EDCF855"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w:t>
            </w:r>
          </w:p>
        </w:tc>
        <w:tc>
          <w:tcPr>
            <w:tcW w:w="208" w:type="pct"/>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EDCF856"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w:t>
            </w:r>
          </w:p>
        </w:tc>
        <w:tc>
          <w:tcPr>
            <w:tcW w:w="208" w:type="pct"/>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EDCF857"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w:t>
            </w:r>
          </w:p>
        </w:tc>
        <w:tc>
          <w:tcPr>
            <w:tcW w:w="208" w:type="pct"/>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EDCF858"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w:t>
            </w:r>
          </w:p>
        </w:tc>
        <w:tc>
          <w:tcPr>
            <w:tcW w:w="208" w:type="pct"/>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EDCF859"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w:t>
            </w:r>
          </w:p>
        </w:tc>
        <w:tc>
          <w:tcPr>
            <w:tcW w:w="208" w:type="pct"/>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EDCF85A"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w:t>
            </w:r>
          </w:p>
        </w:tc>
        <w:tc>
          <w:tcPr>
            <w:tcW w:w="208" w:type="pct"/>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EDCF85B"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17.1</w:t>
            </w:r>
          </w:p>
        </w:tc>
        <w:tc>
          <w:tcPr>
            <w:tcW w:w="208" w:type="pct"/>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EDCF85C"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16.9</w:t>
            </w:r>
          </w:p>
        </w:tc>
        <w:tc>
          <w:tcPr>
            <w:tcW w:w="208" w:type="pct"/>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EDCF85D"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17.2</w:t>
            </w:r>
          </w:p>
        </w:tc>
        <w:tc>
          <w:tcPr>
            <w:tcW w:w="208" w:type="pct"/>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EDCF85E"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17.3</w:t>
            </w:r>
          </w:p>
        </w:tc>
        <w:tc>
          <w:tcPr>
            <w:tcW w:w="208" w:type="pct"/>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EDCF85F"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16.3</w:t>
            </w:r>
          </w:p>
        </w:tc>
        <w:tc>
          <w:tcPr>
            <w:tcW w:w="208" w:type="pct"/>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EDCF860"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15.8</w:t>
            </w:r>
          </w:p>
        </w:tc>
        <w:tc>
          <w:tcPr>
            <w:tcW w:w="208" w:type="pct"/>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EDCF861"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15.6</w:t>
            </w:r>
          </w:p>
        </w:tc>
        <w:tc>
          <w:tcPr>
            <w:tcW w:w="208" w:type="pct"/>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EDCF862"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14.0</w:t>
            </w:r>
          </w:p>
        </w:tc>
        <w:tc>
          <w:tcPr>
            <w:tcW w:w="208" w:type="pct"/>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EDCF863"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13.7</w:t>
            </w:r>
          </w:p>
        </w:tc>
        <w:tc>
          <w:tcPr>
            <w:tcW w:w="208" w:type="pct"/>
            <w:tcBorders>
              <w:top w:val="single" w:sz="2" w:space="0" w:color="auto"/>
              <w:left w:val="single" w:sz="2" w:space="0" w:color="auto"/>
              <w:bottom w:val="single" w:sz="2" w:space="0" w:color="auto"/>
              <w:right w:val="single" w:sz="12" w:space="0" w:color="auto"/>
            </w:tcBorders>
            <w:shd w:val="clear" w:color="auto" w:fill="auto"/>
            <w:noWrap/>
            <w:vAlign w:val="center"/>
            <w:hideMark/>
          </w:tcPr>
          <w:p w14:paraId="6EDCF864"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12.6</w:t>
            </w:r>
          </w:p>
        </w:tc>
      </w:tr>
      <w:tr w:rsidR="00D71745" w:rsidRPr="007114AF" w14:paraId="6EDCF87C" w14:textId="77777777" w:rsidTr="00A9766F">
        <w:trPr>
          <w:trHeight w:hRule="exact" w:val="301"/>
          <w:jc w:val="center"/>
        </w:trPr>
        <w:tc>
          <w:tcPr>
            <w:tcW w:w="232" w:type="pct"/>
            <w:vMerge/>
            <w:tcBorders>
              <w:top w:val="single" w:sz="12" w:space="0" w:color="auto"/>
              <w:left w:val="single" w:sz="12" w:space="0" w:color="auto"/>
              <w:bottom w:val="single" w:sz="12" w:space="0" w:color="auto"/>
              <w:right w:val="single" w:sz="2" w:space="0" w:color="auto"/>
            </w:tcBorders>
            <w:shd w:val="clear" w:color="auto" w:fill="auto"/>
            <w:vAlign w:val="center"/>
            <w:hideMark/>
          </w:tcPr>
          <w:p w14:paraId="6EDCF866" w14:textId="77777777" w:rsidR="00D71745" w:rsidRPr="007114AF" w:rsidRDefault="00D71745" w:rsidP="00D71745">
            <w:pPr>
              <w:spacing w:after="0" w:line="240" w:lineRule="auto"/>
              <w:rPr>
                <w:rFonts w:ascii="Garamond" w:hAnsi="Garamond"/>
                <w:sz w:val="18"/>
                <w:szCs w:val="18"/>
              </w:rPr>
            </w:pPr>
          </w:p>
        </w:tc>
        <w:tc>
          <w:tcPr>
            <w:tcW w:w="607" w:type="pct"/>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EDCF867" w14:textId="77777777" w:rsidR="00D71745" w:rsidRPr="007114AF" w:rsidRDefault="00D71745" w:rsidP="00D71745">
            <w:pPr>
              <w:spacing w:after="0" w:line="240" w:lineRule="auto"/>
              <w:rPr>
                <w:rFonts w:ascii="Garamond" w:hAnsi="Garamond"/>
                <w:sz w:val="18"/>
                <w:szCs w:val="18"/>
              </w:rPr>
            </w:pPr>
            <w:r w:rsidRPr="007114AF">
              <w:rPr>
                <w:rFonts w:ascii="Garamond" w:hAnsi="Garamond"/>
                <w:sz w:val="18"/>
                <w:szCs w:val="18"/>
              </w:rPr>
              <w:t>LULUCF</w:t>
            </w:r>
          </w:p>
        </w:tc>
        <w:tc>
          <w:tcPr>
            <w:tcW w:w="208" w:type="pct"/>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EDCF868"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w:t>
            </w:r>
          </w:p>
        </w:tc>
        <w:tc>
          <w:tcPr>
            <w:tcW w:w="208" w:type="pct"/>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EDCF869"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w:t>
            </w:r>
          </w:p>
        </w:tc>
        <w:tc>
          <w:tcPr>
            <w:tcW w:w="208" w:type="pct"/>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EDCF86A"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w:t>
            </w:r>
          </w:p>
        </w:tc>
        <w:tc>
          <w:tcPr>
            <w:tcW w:w="208" w:type="pct"/>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EDCF86B"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w:t>
            </w:r>
          </w:p>
        </w:tc>
        <w:tc>
          <w:tcPr>
            <w:tcW w:w="208" w:type="pct"/>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EDCF86C"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w:t>
            </w:r>
          </w:p>
        </w:tc>
        <w:tc>
          <w:tcPr>
            <w:tcW w:w="208" w:type="pct"/>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EDCF86D"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w:t>
            </w:r>
          </w:p>
        </w:tc>
        <w:tc>
          <w:tcPr>
            <w:tcW w:w="208" w:type="pct"/>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EDCF86E"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w:t>
            </w:r>
          </w:p>
        </w:tc>
        <w:tc>
          <w:tcPr>
            <w:tcW w:w="208" w:type="pct"/>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EDCF86F"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w:t>
            </w:r>
          </w:p>
        </w:tc>
        <w:tc>
          <w:tcPr>
            <w:tcW w:w="208" w:type="pct"/>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EDCF870"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w:t>
            </w:r>
          </w:p>
        </w:tc>
        <w:tc>
          <w:tcPr>
            <w:tcW w:w="208" w:type="pct"/>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EDCF871"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w:t>
            </w:r>
          </w:p>
        </w:tc>
        <w:tc>
          <w:tcPr>
            <w:tcW w:w="208" w:type="pct"/>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EDCF872"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25.3</w:t>
            </w:r>
          </w:p>
        </w:tc>
        <w:tc>
          <w:tcPr>
            <w:tcW w:w="208" w:type="pct"/>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EDCF873"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20.7</w:t>
            </w:r>
          </w:p>
        </w:tc>
        <w:tc>
          <w:tcPr>
            <w:tcW w:w="208" w:type="pct"/>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EDCF874"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16.3</w:t>
            </w:r>
          </w:p>
        </w:tc>
        <w:tc>
          <w:tcPr>
            <w:tcW w:w="208" w:type="pct"/>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EDCF875"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12.3</w:t>
            </w:r>
          </w:p>
        </w:tc>
        <w:tc>
          <w:tcPr>
            <w:tcW w:w="208" w:type="pct"/>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EDCF876"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12.5</w:t>
            </w:r>
          </w:p>
        </w:tc>
        <w:tc>
          <w:tcPr>
            <w:tcW w:w="208" w:type="pct"/>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EDCF877"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11.9</w:t>
            </w:r>
          </w:p>
        </w:tc>
        <w:tc>
          <w:tcPr>
            <w:tcW w:w="208" w:type="pct"/>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EDCF878"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9.8</w:t>
            </w:r>
          </w:p>
        </w:tc>
        <w:tc>
          <w:tcPr>
            <w:tcW w:w="208" w:type="pct"/>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EDCF879"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10.6</w:t>
            </w:r>
          </w:p>
        </w:tc>
        <w:tc>
          <w:tcPr>
            <w:tcW w:w="208" w:type="pct"/>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EDCF87A"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6.0</w:t>
            </w:r>
          </w:p>
        </w:tc>
        <w:tc>
          <w:tcPr>
            <w:tcW w:w="208" w:type="pct"/>
            <w:tcBorders>
              <w:top w:val="single" w:sz="2" w:space="0" w:color="auto"/>
              <w:left w:val="single" w:sz="2" w:space="0" w:color="auto"/>
              <w:bottom w:val="single" w:sz="2" w:space="0" w:color="auto"/>
              <w:right w:val="single" w:sz="12" w:space="0" w:color="auto"/>
            </w:tcBorders>
            <w:shd w:val="clear" w:color="auto" w:fill="auto"/>
            <w:noWrap/>
            <w:vAlign w:val="center"/>
            <w:hideMark/>
          </w:tcPr>
          <w:p w14:paraId="6EDCF87B"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2.4</w:t>
            </w:r>
          </w:p>
        </w:tc>
      </w:tr>
      <w:tr w:rsidR="00D71745" w:rsidRPr="007114AF" w14:paraId="6EDCF893" w14:textId="77777777" w:rsidTr="00A9766F">
        <w:trPr>
          <w:trHeight w:hRule="exact" w:val="301"/>
          <w:jc w:val="center"/>
        </w:trPr>
        <w:tc>
          <w:tcPr>
            <w:tcW w:w="232" w:type="pct"/>
            <w:vMerge/>
            <w:tcBorders>
              <w:top w:val="single" w:sz="12" w:space="0" w:color="auto"/>
              <w:left w:val="single" w:sz="12" w:space="0" w:color="auto"/>
              <w:bottom w:val="single" w:sz="12" w:space="0" w:color="auto"/>
              <w:right w:val="single" w:sz="2" w:space="0" w:color="auto"/>
            </w:tcBorders>
            <w:shd w:val="clear" w:color="auto" w:fill="auto"/>
            <w:vAlign w:val="center"/>
            <w:hideMark/>
          </w:tcPr>
          <w:p w14:paraId="6EDCF87D" w14:textId="77777777" w:rsidR="00D71745" w:rsidRPr="007114AF" w:rsidRDefault="00D71745" w:rsidP="00D71745">
            <w:pPr>
              <w:spacing w:after="0" w:line="240" w:lineRule="auto"/>
              <w:rPr>
                <w:rFonts w:ascii="Garamond" w:hAnsi="Garamond"/>
                <w:sz w:val="18"/>
                <w:szCs w:val="18"/>
              </w:rPr>
            </w:pPr>
          </w:p>
        </w:tc>
        <w:tc>
          <w:tcPr>
            <w:tcW w:w="607" w:type="pct"/>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EDCF87E" w14:textId="77777777" w:rsidR="00D71745" w:rsidRPr="007114AF" w:rsidRDefault="00D71745" w:rsidP="00D71745">
            <w:pPr>
              <w:spacing w:after="0" w:line="240" w:lineRule="auto"/>
              <w:rPr>
                <w:rFonts w:ascii="Garamond" w:hAnsi="Garamond"/>
                <w:sz w:val="18"/>
                <w:szCs w:val="18"/>
              </w:rPr>
            </w:pPr>
            <w:r w:rsidRPr="007114AF">
              <w:rPr>
                <w:rFonts w:ascii="Garamond" w:hAnsi="Garamond"/>
                <w:sz w:val="18"/>
                <w:szCs w:val="18"/>
              </w:rPr>
              <w:t xml:space="preserve">Mbetje </w:t>
            </w:r>
          </w:p>
        </w:tc>
        <w:tc>
          <w:tcPr>
            <w:tcW w:w="208" w:type="pct"/>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EDCF87F"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w:t>
            </w:r>
          </w:p>
        </w:tc>
        <w:tc>
          <w:tcPr>
            <w:tcW w:w="208" w:type="pct"/>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EDCF880"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w:t>
            </w:r>
          </w:p>
        </w:tc>
        <w:tc>
          <w:tcPr>
            <w:tcW w:w="208" w:type="pct"/>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EDCF881"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w:t>
            </w:r>
          </w:p>
        </w:tc>
        <w:tc>
          <w:tcPr>
            <w:tcW w:w="208" w:type="pct"/>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EDCF882"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w:t>
            </w:r>
          </w:p>
        </w:tc>
        <w:tc>
          <w:tcPr>
            <w:tcW w:w="208" w:type="pct"/>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EDCF883"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w:t>
            </w:r>
          </w:p>
        </w:tc>
        <w:tc>
          <w:tcPr>
            <w:tcW w:w="208" w:type="pct"/>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EDCF884"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w:t>
            </w:r>
          </w:p>
        </w:tc>
        <w:tc>
          <w:tcPr>
            <w:tcW w:w="208" w:type="pct"/>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EDCF885"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w:t>
            </w:r>
          </w:p>
        </w:tc>
        <w:tc>
          <w:tcPr>
            <w:tcW w:w="208" w:type="pct"/>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EDCF886"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w:t>
            </w:r>
          </w:p>
        </w:tc>
        <w:tc>
          <w:tcPr>
            <w:tcW w:w="208" w:type="pct"/>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EDCF887"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w:t>
            </w:r>
          </w:p>
        </w:tc>
        <w:tc>
          <w:tcPr>
            <w:tcW w:w="208" w:type="pct"/>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EDCF888"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w:t>
            </w:r>
          </w:p>
        </w:tc>
        <w:tc>
          <w:tcPr>
            <w:tcW w:w="208" w:type="pct"/>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EDCF889"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6.5</w:t>
            </w:r>
          </w:p>
        </w:tc>
        <w:tc>
          <w:tcPr>
            <w:tcW w:w="208" w:type="pct"/>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EDCF88A"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6.6</w:t>
            </w:r>
          </w:p>
        </w:tc>
        <w:tc>
          <w:tcPr>
            <w:tcW w:w="208" w:type="pct"/>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EDCF88B"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6.9</w:t>
            </w:r>
          </w:p>
        </w:tc>
        <w:tc>
          <w:tcPr>
            <w:tcW w:w="208" w:type="pct"/>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EDCF88C"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7.0</w:t>
            </w:r>
          </w:p>
        </w:tc>
        <w:tc>
          <w:tcPr>
            <w:tcW w:w="208" w:type="pct"/>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EDCF88D"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7.2</w:t>
            </w:r>
          </w:p>
        </w:tc>
        <w:tc>
          <w:tcPr>
            <w:tcW w:w="208" w:type="pct"/>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EDCF88E"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7.4</w:t>
            </w:r>
          </w:p>
        </w:tc>
        <w:tc>
          <w:tcPr>
            <w:tcW w:w="208" w:type="pct"/>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EDCF88F"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8.2</w:t>
            </w:r>
          </w:p>
        </w:tc>
        <w:tc>
          <w:tcPr>
            <w:tcW w:w="208" w:type="pct"/>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EDCF890"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8.0</w:t>
            </w:r>
          </w:p>
        </w:tc>
        <w:tc>
          <w:tcPr>
            <w:tcW w:w="208" w:type="pct"/>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EDCF891"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7.9</w:t>
            </w:r>
          </w:p>
        </w:tc>
        <w:tc>
          <w:tcPr>
            <w:tcW w:w="208" w:type="pct"/>
            <w:tcBorders>
              <w:top w:val="single" w:sz="2" w:space="0" w:color="auto"/>
              <w:left w:val="single" w:sz="2" w:space="0" w:color="auto"/>
              <w:bottom w:val="single" w:sz="2" w:space="0" w:color="auto"/>
              <w:right w:val="single" w:sz="12" w:space="0" w:color="auto"/>
            </w:tcBorders>
            <w:shd w:val="clear" w:color="auto" w:fill="auto"/>
            <w:noWrap/>
            <w:vAlign w:val="center"/>
            <w:hideMark/>
          </w:tcPr>
          <w:p w14:paraId="6EDCF892"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9.2</w:t>
            </w:r>
          </w:p>
        </w:tc>
      </w:tr>
      <w:tr w:rsidR="00D71745" w:rsidRPr="007114AF" w14:paraId="6EDCF8AA" w14:textId="77777777" w:rsidTr="00A9766F">
        <w:trPr>
          <w:trHeight w:hRule="exact" w:val="301"/>
          <w:jc w:val="center"/>
        </w:trPr>
        <w:tc>
          <w:tcPr>
            <w:tcW w:w="232" w:type="pct"/>
            <w:vMerge/>
            <w:tcBorders>
              <w:top w:val="single" w:sz="12" w:space="0" w:color="auto"/>
              <w:left w:val="single" w:sz="12" w:space="0" w:color="auto"/>
              <w:bottom w:val="single" w:sz="12" w:space="0" w:color="auto"/>
              <w:right w:val="single" w:sz="2" w:space="0" w:color="auto"/>
            </w:tcBorders>
            <w:shd w:val="clear" w:color="auto" w:fill="auto"/>
            <w:vAlign w:val="center"/>
            <w:hideMark/>
          </w:tcPr>
          <w:p w14:paraId="6EDCF894" w14:textId="77777777" w:rsidR="00D71745" w:rsidRPr="007114AF" w:rsidRDefault="00D71745" w:rsidP="00D71745">
            <w:pPr>
              <w:spacing w:after="0" w:line="240" w:lineRule="auto"/>
              <w:rPr>
                <w:rFonts w:ascii="Garamond" w:hAnsi="Garamond"/>
                <w:sz w:val="18"/>
                <w:szCs w:val="18"/>
              </w:rPr>
            </w:pPr>
          </w:p>
        </w:tc>
        <w:tc>
          <w:tcPr>
            <w:tcW w:w="607" w:type="pct"/>
            <w:tcBorders>
              <w:top w:val="single" w:sz="2" w:space="0" w:color="auto"/>
              <w:left w:val="single" w:sz="2" w:space="0" w:color="auto"/>
              <w:bottom w:val="single" w:sz="12" w:space="0" w:color="auto"/>
              <w:right w:val="single" w:sz="2" w:space="0" w:color="auto"/>
            </w:tcBorders>
            <w:shd w:val="clear" w:color="auto" w:fill="auto"/>
            <w:noWrap/>
            <w:vAlign w:val="center"/>
            <w:hideMark/>
          </w:tcPr>
          <w:p w14:paraId="6EDCF895" w14:textId="77777777" w:rsidR="00D71745" w:rsidRPr="007114AF" w:rsidRDefault="00D71745" w:rsidP="00D71745">
            <w:pPr>
              <w:spacing w:after="0" w:line="240" w:lineRule="auto"/>
              <w:rPr>
                <w:rFonts w:ascii="Garamond" w:hAnsi="Garamond"/>
                <w:sz w:val="18"/>
                <w:szCs w:val="18"/>
              </w:rPr>
            </w:pPr>
            <w:r w:rsidRPr="007114AF">
              <w:rPr>
                <w:rFonts w:ascii="Garamond" w:hAnsi="Garamond"/>
                <w:sz w:val="18"/>
                <w:szCs w:val="18"/>
              </w:rPr>
              <w:t>TOTAL</w:t>
            </w:r>
          </w:p>
        </w:tc>
        <w:tc>
          <w:tcPr>
            <w:tcW w:w="208" w:type="pct"/>
            <w:tcBorders>
              <w:top w:val="single" w:sz="2" w:space="0" w:color="auto"/>
              <w:left w:val="single" w:sz="2" w:space="0" w:color="auto"/>
              <w:bottom w:val="single" w:sz="12" w:space="0" w:color="auto"/>
              <w:right w:val="single" w:sz="2" w:space="0" w:color="auto"/>
            </w:tcBorders>
            <w:shd w:val="clear" w:color="auto" w:fill="auto"/>
            <w:noWrap/>
            <w:vAlign w:val="center"/>
            <w:hideMark/>
          </w:tcPr>
          <w:p w14:paraId="6EDCF896"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w:t>
            </w:r>
          </w:p>
        </w:tc>
        <w:tc>
          <w:tcPr>
            <w:tcW w:w="208" w:type="pct"/>
            <w:tcBorders>
              <w:top w:val="single" w:sz="2" w:space="0" w:color="auto"/>
              <w:left w:val="single" w:sz="2" w:space="0" w:color="auto"/>
              <w:bottom w:val="single" w:sz="12" w:space="0" w:color="auto"/>
              <w:right w:val="single" w:sz="2" w:space="0" w:color="auto"/>
            </w:tcBorders>
            <w:shd w:val="clear" w:color="auto" w:fill="auto"/>
            <w:noWrap/>
            <w:vAlign w:val="center"/>
            <w:hideMark/>
          </w:tcPr>
          <w:p w14:paraId="6EDCF897"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w:t>
            </w:r>
          </w:p>
        </w:tc>
        <w:tc>
          <w:tcPr>
            <w:tcW w:w="208" w:type="pct"/>
            <w:tcBorders>
              <w:top w:val="single" w:sz="2" w:space="0" w:color="auto"/>
              <w:left w:val="single" w:sz="2" w:space="0" w:color="auto"/>
              <w:bottom w:val="single" w:sz="12" w:space="0" w:color="auto"/>
              <w:right w:val="single" w:sz="2" w:space="0" w:color="auto"/>
            </w:tcBorders>
            <w:shd w:val="clear" w:color="auto" w:fill="auto"/>
            <w:noWrap/>
            <w:vAlign w:val="center"/>
            <w:hideMark/>
          </w:tcPr>
          <w:p w14:paraId="6EDCF898"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w:t>
            </w:r>
          </w:p>
        </w:tc>
        <w:tc>
          <w:tcPr>
            <w:tcW w:w="208" w:type="pct"/>
            <w:tcBorders>
              <w:top w:val="single" w:sz="2" w:space="0" w:color="auto"/>
              <w:left w:val="single" w:sz="2" w:space="0" w:color="auto"/>
              <w:bottom w:val="single" w:sz="12" w:space="0" w:color="auto"/>
              <w:right w:val="single" w:sz="2" w:space="0" w:color="auto"/>
            </w:tcBorders>
            <w:shd w:val="clear" w:color="auto" w:fill="auto"/>
            <w:noWrap/>
            <w:vAlign w:val="center"/>
            <w:hideMark/>
          </w:tcPr>
          <w:p w14:paraId="6EDCF899"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w:t>
            </w:r>
          </w:p>
        </w:tc>
        <w:tc>
          <w:tcPr>
            <w:tcW w:w="208" w:type="pct"/>
            <w:tcBorders>
              <w:top w:val="single" w:sz="2" w:space="0" w:color="auto"/>
              <w:left w:val="single" w:sz="2" w:space="0" w:color="auto"/>
              <w:bottom w:val="single" w:sz="12" w:space="0" w:color="auto"/>
              <w:right w:val="single" w:sz="2" w:space="0" w:color="auto"/>
            </w:tcBorders>
            <w:shd w:val="clear" w:color="auto" w:fill="auto"/>
            <w:noWrap/>
            <w:vAlign w:val="center"/>
            <w:hideMark/>
          </w:tcPr>
          <w:p w14:paraId="6EDCF89A"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w:t>
            </w:r>
          </w:p>
        </w:tc>
        <w:tc>
          <w:tcPr>
            <w:tcW w:w="208" w:type="pct"/>
            <w:tcBorders>
              <w:top w:val="single" w:sz="2" w:space="0" w:color="auto"/>
              <w:left w:val="single" w:sz="2" w:space="0" w:color="auto"/>
              <w:bottom w:val="single" w:sz="12" w:space="0" w:color="auto"/>
              <w:right w:val="single" w:sz="2" w:space="0" w:color="auto"/>
            </w:tcBorders>
            <w:shd w:val="clear" w:color="auto" w:fill="auto"/>
            <w:noWrap/>
            <w:vAlign w:val="center"/>
            <w:hideMark/>
          </w:tcPr>
          <w:p w14:paraId="6EDCF89B"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w:t>
            </w:r>
          </w:p>
        </w:tc>
        <w:tc>
          <w:tcPr>
            <w:tcW w:w="208" w:type="pct"/>
            <w:tcBorders>
              <w:top w:val="single" w:sz="2" w:space="0" w:color="auto"/>
              <w:left w:val="single" w:sz="2" w:space="0" w:color="auto"/>
              <w:bottom w:val="single" w:sz="12" w:space="0" w:color="auto"/>
              <w:right w:val="single" w:sz="2" w:space="0" w:color="auto"/>
            </w:tcBorders>
            <w:shd w:val="clear" w:color="auto" w:fill="auto"/>
            <w:noWrap/>
            <w:vAlign w:val="center"/>
            <w:hideMark/>
          </w:tcPr>
          <w:p w14:paraId="6EDCF89C"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w:t>
            </w:r>
          </w:p>
        </w:tc>
        <w:tc>
          <w:tcPr>
            <w:tcW w:w="208" w:type="pct"/>
            <w:tcBorders>
              <w:top w:val="single" w:sz="2" w:space="0" w:color="auto"/>
              <w:left w:val="single" w:sz="2" w:space="0" w:color="auto"/>
              <w:bottom w:val="single" w:sz="12" w:space="0" w:color="auto"/>
              <w:right w:val="single" w:sz="2" w:space="0" w:color="auto"/>
            </w:tcBorders>
            <w:shd w:val="clear" w:color="auto" w:fill="auto"/>
            <w:noWrap/>
            <w:vAlign w:val="center"/>
            <w:hideMark/>
          </w:tcPr>
          <w:p w14:paraId="6EDCF89D"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w:t>
            </w:r>
          </w:p>
        </w:tc>
        <w:tc>
          <w:tcPr>
            <w:tcW w:w="208" w:type="pct"/>
            <w:tcBorders>
              <w:top w:val="single" w:sz="2" w:space="0" w:color="auto"/>
              <w:left w:val="single" w:sz="2" w:space="0" w:color="auto"/>
              <w:bottom w:val="single" w:sz="12" w:space="0" w:color="auto"/>
              <w:right w:val="single" w:sz="2" w:space="0" w:color="auto"/>
            </w:tcBorders>
            <w:shd w:val="clear" w:color="auto" w:fill="auto"/>
            <w:noWrap/>
            <w:vAlign w:val="center"/>
            <w:hideMark/>
          </w:tcPr>
          <w:p w14:paraId="6EDCF89E"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w:t>
            </w:r>
          </w:p>
        </w:tc>
        <w:tc>
          <w:tcPr>
            <w:tcW w:w="208" w:type="pct"/>
            <w:tcBorders>
              <w:top w:val="single" w:sz="2" w:space="0" w:color="auto"/>
              <w:left w:val="single" w:sz="2" w:space="0" w:color="auto"/>
              <w:bottom w:val="single" w:sz="12" w:space="0" w:color="auto"/>
              <w:right w:val="single" w:sz="2" w:space="0" w:color="auto"/>
            </w:tcBorders>
            <w:shd w:val="clear" w:color="auto" w:fill="auto"/>
            <w:noWrap/>
            <w:vAlign w:val="center"/>
            <w:hideMark/>
          </w:tcPr>
          <w:p w14:paraId="6EDCF89F"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w:t>
            </w:r>
          </w:p>
        </w:tc>
        <w:tc>
          <w:tcPr>
            <w:tcW w:w="208" w:type="pct"/>
            <w:tcBorders>
              <w:top w:val="single" w:sz="2" w:space="0" w:color="auto"/>
              <w:left w:val="single" w:sz="2" w:space="0" w:color="auto"/>
              <w:bottom w:val="single" w:sz="12" w:space="0" w:color="auto"/>
              <w:right w:val="single" w:sz="2" w:space="0" w:color="auto"/>
            </w:tcBorders>
            <w:shd w:val="clear" w:color="auto" w:fill="auto"/>
            <w:noWrap/>
            <w:vAlign w:val="center"/>
            <w:hideMark/>
          </w:tcPr>
          <w:p w14:paraId="6EDCF8A0"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100</w:t>
            </w:r>
          </w:p>
        </w:tc>
        <w:tc>
          <w:tcPr>
            <w:tcW w:w="208" w:type="pct"/>
            <w:tcBorders>
              <w:top w:val="single" w:sz="2" w:space="0" w:color="auto"/>
              <w:left w:val="single" w:sz="2" w:space="0" w:color="auto"/>
              <w:bottom w:val="single" w:sz="12" w:space="0" w:color="auto"/>
              <w:right w:val="single" w:sz="2" w:space="0" w:color="auto"/>
            </w:tcBorders>
            <w:shd w:val="clear" w:color="auto" w:fill="auto"/>
            <w:noWrap/>
            <w:vAlign w:val="center"/>
            <w:hideMark/>
          </w:tcPr>
          <w:p w14:paraId="6EDCF8A1"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100</w:t>
            </w:r>
          </w:p>
        </w:tc>
        <w:tc>
          <w:tcPr>
            <w:tcW w:w="208" w:type="pct"/>
            <w:tcBorders>
              <w:top w:val="single" w:sz="2" w:space="0" w:color="auto"/>
              <w:left w:val="single" w:sz="2" w:space="0" w:color="auto"/>
              <w:bottom w:val="single" w:sz="12" w:space="0" w:color="auto"/>
              <w:right w:val="single" w:sz="2" w:space="0" w:color="auto"/>
            </w:tcBorders>
            <w:shd w:val="clear" w:color="auto" w:fill="auto"/>
            <w:noWrap/>
            <w:vAlign w:val="center"/>
            <w:hideMark/>
          </w:tcPr>
          <w:p w14:paraId="6EDCF8A2"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100</w:t>
            </w:r>
          </w:p>
        </w:tc>
        <w:tc>
          <w:tcPr>
            <w:tcW w:w="208" w:type="pct"/>
            <w:tcBorders>
              <w:top w:val="single" w:sz="2" w:space="0" w:color="auto"/>
              <w:left w:val="single" w:sz="2" w:space="0" w:color="auto"/>
              <w:bottom w:val="single" w:sz="12" w:space="0" w:color="auto"/>
              <w:right w:val="single" w:sz="2" w:space="0" w:color="auto"/>
            </w:tcBorders>
            <w:shd w:val="clear" w:color="auto" w:fill="auto"/>
            <w:noWrap/>
            <w:vAlign w:val="center"/>
            <w:hideMark/>
          </w:tcPr>
          <w:p w14:paraId="6EDCF8A3"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100</w:t>
            </w:r>
          </w:p>
        </w:tc>
        <w:tc>
          <w:tcPr>
            <w:tcW w:w="208" w:type="pct"/>
            <w:tcBorders>
              <w:top w:val="single" w:sz="2" w:space="0" w:color="auto"/>
              <w:left w:val="single" w:sz="2" w:space="0" w:color="auto"/>
              <w:bottom w:val="single" w:sz="12" w:space="0" w:color="auto"/>
              <w:right w:val="single" w:sz="2" w:space="0" w:color="auto"/>
            </w:tcBorders>
            <w:shd w:val="clear" w:color="auto" w:fill="auto"/>
            <w:noWrap/>
            <w:vAlign w:val="center"/>
            <w:hideMark/>
          </w:tcPr>
          <w:p w14:paraId="6EDCF8A4"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100</w:t>
            </w:r>
          </w:p>
        </w:tc>
        <w:tc>
          <w:tcPr>
            <w:tcW w:w="208" w:type="pct"/>
            <w:tcBorders>
              <w:top w:val="single" w:sz="2" w:space="0" w:color="auto"/>
              <w:left w:val="single" w:sz="2" w:space="0" w:color="auto"/>
              <w:bottom w:val="single" w:sz="12" w:space="0" w:color="auto"/>
              <w:right w:val="single" w:sz="2" w:space="0" w:color="auto"/>
            </w:tcBorders>
            <w:shd w:val="clear" w:color="auto" w:fill="auto"/>
            <w:noWrap/>
            <w:vAlign w:val="center"/>
            <w:hideMark/>
          </w:tcPr>
          <w:p w14:paraId="6EDCF8A5"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100</w:t>
            </w:r>
          </w:p>
        </w:tc>
        <w:tc>
          <w:tcPr>
            <w:tcW w:w="208" w:type="pct"/>
            <w:tcBorders>
              <w:top w:val="single" w:sz="2" w:space="0" w:color="auto"/>
              <w:left w:val="single" w:sz="2" w:space="0" w:color="auto"/>
              <w:bottom w:val="single" w:sz="12" w:space="0" w:color="auto"/>
              <w:right w:val="single" w:sz="2" w:space="0" w:color="auto"/>
            </w:tcBorders>
            <w:shd w:val="clear" w:color="auto" w:fill="auto"/>
            <w:noWrap/>
            <w:vAlign w:val="center"/>
            <w:hideMark/>
          </w:tcPr>
          <w:p w14:paraId="6EDCF8A6"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100</w:t>
            </w:r>
          </w:p>
        </w:tc>
        <w:tc>
          <w:tcPr>
            <w:tcW w:w="208" w:type="pct"/>
            <w:tcBorders>
              <w:top w:val="single" w:sz="2" w:space="0" w:color="auto"/>
              <w:left w:val="single" w:sz="2" w:space="0" w:color="auto"/>
              <w:bottom w:val="single" w:sz="12" w:space="0" w:color="auto"/>
              <w:right w:val="single" w:sz="2" w:space="0" w:color="auto"/>
            </w:tcBorders>
            <w:shd w:val="clear" w:color="auto" w:fill="auto"/>
            <w:noWrap/>
            <w:vAlign w:val="center"/>
            <w:hideMark/>
          </w:tcPr>
          <w:p w14:paraId="6EDCF8A7"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100</w:t>
            </w:r>
          </w:p>
        </w:tc>
        <w:tc>
          <w:tcPr>
            <w:tcW w:w="208" w:type="pct"/>
            <w:tcBorders>
              <w:top w:val="single" w:sz="2" w:space="0" w:color="auto"/>
              <w:left w:val="single" w:sz="2" w:space="0" w:color="auto"/>
              <w:bottom w:val="single" w:sz="12" w:space="0" w:color="auto"/>
              <w:right w:val="single" w:sz="2" w:space="0" w:color="auto"/>
            </w:tcBorders>
            <w:shd w:val="clear" w:color="auto" w:fill="auto"/>
            <w:noWrap/>
            <w:vAlign w:val="center"/>
            <w:hideMark/>
          </w:tcPr>
          <w:p w14:paraId="6EDCF8A8"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100</w:t>
            </w:r>
          </w:p>
        </w:tc>
        <w:tc>
          <w:tcPr>
            <w:tcW w:w="208" w:type="pct"/>
            <w:tcBorders>
              <w:top w:val="single" w:sz="2" w:space="0" w:color="auto"/>
              <w:left w:val="single" w:sz="2" w:space="0" w:color="auto"/>
              <w:bottom w:val="single" w:sz="12" w:space="0" w:color="auto"/>
              <w:right w:val="single" w:sz="12" w:space="0" w:color="auto"/>
            </w:tcBorders>
            <w:shd w:val="clear" w:color="auto" w:fill="auto"/>
            <w:noWrap/>
            <w:vAlign w:val="center"/>
            <w:hideMark/>
          </w:tcPr>
          <w:p w14:paraId="6EDCF8A9" w14:textId="77777777" w:rsidR="00D71745" w:rsidRPr="007114AF" w:rsidRDefault="00D71745" w:rsidP="00D71745">
            <w:pPr>
              <w:spacing w:after="0" w:line="240" w:lineRule="auto"/>
              <w:rPr>
                <w:rFonts w:ascii="Garamond" w:hAnsi="Garamond"/>
                <w:color w:val="000000"/>
                <w:sz w:val="18"/>
                <w:szCs w:val="18"/>
              </w:rPr>
            </w:pPr>
            <w:r w:rsidRPr="007114AF">
              <w:rPr>
                <w:rFonts w:ascii="Garamond" w:hAnsi="Garamond"/>
                <w:color w:val="000000"/>
                <w:sz w:val="18"/>
                <w:szCs w:val="18"/>
              </w:rPr>
              <w:t>100</w:t>
            </w:r>
          </w:p>
        </w:tc>
      </w:tr>
    </w:tbl>
    <w:p w14:paraId="6EDCF8AB" w14:textId="77777777" w:rsidR="00220111" w:rsidRPr="007114AF" w:rsidRDefault="00220111" w:rsidP="00936091">
      <w:pPr>
        <w:spacing w:after="0" w:line="240" w:lineRule="auto"/>
        <w:ind w:firstLine="284"/>
        <w:rPr>
          <w:rFonts w:ascii="Garamond" w:hAnsi="Garamond"/>
          <w:sz w:val="24"/>
          <w:szCs w:val="24"/>
        </w:rPr>
      </w:pPr>
    </w:p>
    <w:p w14:paraId="6EDCF8AC" w14:textId="77777777" w:rsidR="00701834" w:rsidRPr="007114AF" w:rsidRDefault="00701834" w:rsidP="00936091">
      <w:pPr>
        <w:spacing w:after="0" w:line="240" w:lineRule="auto"/>
        <w:ind w:firstLine="284"/>
        <w:rPr>
          <w:rFonts w:ascii="Garamond" w:hAnsi="Garamond"/>
          <w:sz w:val="24"/>
          <w:szCs w:val="24"/>
        </w:rPr>
      </w:pPr>
    </w:p>
    <w:p w14:paraId="6EDCF8AD" w14:textId="77777777" w:rsidR="00BC2BE4" w:rsidRPr="007114AF" w:rsidRDefault="00BC2BE4" w:rsidP="00936091">
      <w:pPr>
        <w:spacing w:after="0" w:line="240" w:lineRule="auto"/>
        <w:ind w:firstLine="284"/>
        <w:rPr>
          <w:rFonts w:ascii="Garamond" w:hAnsi="Garamond"/>
          <w:sz w:val="24"/>
          <w:szCs w:val="24"/>
        </w:rPr>
      </w:pPr>
    </w:p>
    <w:p w14:paraId="6EDCF8AE" w14:textId="77777777" w:rsidR="00BC2BE4" w:rsidRPr="007114AF" w:rsidRDefault="00BC2BE4" w:rsidP="00936091">
      <w:pPr>
        <w:spacing w:after="0" w:line="240" w:lineRule="auto"/>
        <w:ind w:firstLine="284"/>
        <w:rPr>
          <w:rFonts w:ascii="Garamond" w:hAnsi="Garamond"/>
          <w:sz w:val="24"/>
          <w:szCs w:val="24"/>
        </w:rPr>
      </w:pPr>
    </w:p>
    <w:p w14:paraId="6EDCF8AF" w14:textId="77777777" w:rsidR="00BC2BE4" w:rsidRPr="007114AF" w:rsidRDefault="00BC2BE4" w:rsidP="00936091">
      <w:pPr>
        <w:spacing w:after="0" w:line="240" w:lineRule="auto"/>
        <w:ind w:firstLine="284"/>
        <w:rPr>
          <w:rFonts w:ascii="Garamond" w:hAnsi="Garamond"/>
          <w:sz w:val="24"/>
          <w:szCs w:val="24"/>
        </w:rPr>
      </w:pPr>
    </w:p>
    <w:p w14:paraId="6EDCF8B0" w14:textId="77777777" w:rsidR="00BC2BE4" w:rsidRPr="007114AF" w:rsidRDefault="00BC2BE4" w:rsidP="00936091">
      <w:pPr>
        <w:spacing w:after="0" w:line="240" w:lineRule="auto"/>
        <w:ind w:firstLine="284"/>
        <w:rPr>
          <w:rFonts w:ascii="Garamond" w:hAnsi="Garamond"/>
          <w:sz w:val="24"/>
          <w:szCs w:val="24"/>
        </w:rPr>
      </w:pPr>
    </w:p>
    <w:p w14:paraId="6EDCF8B1" w14:textId="77777777" w:rsidR="00BC2BE4" w:rsidRPr="007114AF" w:rsidRDefault="00BC2BE4" w:rsidP="00936091">
      <w:pPr>
        <w:spacing w:after="0" w:line="240" w:lineRule="auto"/>
        <w:ind w:firstLine="284"/>
        <w:rPr>
          <w:rFonts w:ascii="Garamond" w:hAnsi="Garamond"/>
          <w:sz w:val="24"/>
          <w:szCs w:val="24"/>
        </w:rPr>
      </w:pPr>
    </w:p>
    <w:p w14:paraId="6EDCF8B2" w14:textId="77777777" w:rsidR="00BC2BE4" w:rsidRPr="007114AF" w:rsidRDefault="00BC2BE4" w:rsidP="00936091">
      <w:pPr>
        <w:spacing w:after="0" w:line="240" w:lineRule="auto"/>
        <w:ind w:firstLine="284"/>
        <w:rPr>
          <w:rFonts w:ascii="Garamond" w:hAnsi="Garamond"/>
          <w:sz w:val="24"/>
          <w:szCs w:val="24"/>
        </w:rPr>
      </w:pPr>
    </w:p>
    <w:p w14:paraId="6EDCF8B3" w14:textId="77777777" w:rsidR="00BC2BE4" w:rsidRPr="007114AF" w:rsidRDefault="00BC2BE4" w:rsidP="00936091">
      <w:pPr>
        <w:spacing w:after="0" w:line="240" w:lineRule="auto"/>
        <w:ind w:firstLine="284"/>
        <w:rPr>
          <w:rFonts w:ascii="Garamond" w:hAnsi="Garamond"/>
          <w:sz w:val="24"/>
          <w:szCs w:val="24"/>
        </w:rPr>
      </w:pPr>
    </w:p>
    <w:p w14:paraId="6EDCF8B4" w14:textId="77777777" w:rsidR="00F72723" w:rsidRPr="007114AF" w:rsidRDefault="00F72723" w:rsidP="00936091">
      <w:pPr>
        <w:spacing w:after="0" w:line="240" w:lineRule="auto"/>
        <w:ind w:firstLine="284"/>
        <w:rPr>
          <w:rFonts w:ascii="Garamond" w:hAnsi="Garamond"/>
          <w:sz w:val="24"/>
          <w:szCs w:val="24"/>
        </w:rPr>
        <w:sectPr w:rsidR="00F72723" w:rsidRPr="007114AF" w:rsidSect="000327A8">
          <w:pgSz w:w="16840" w:h="11907" w:orient="landscape" w:code="9"/>
          <w:pgMar w:top="1418" w:right="1418" w:bottom="1418" w:left="1418" w:header="1304" w:footer="1134" w:gutter="0"/>
          <w:cols w:space="720"/>
          <w:docGrid w:linePitch="360"/>
        </w:sectPr>
      </w:pPr>
    </w:p>
    <w:p w14:paraId="6EDCF8B5" w14:textId="4D8B52E1" w:rsidR="00A9766F" w:rsidRPr="007114AF" w:rsidRDefault="00A9766F" w:rsidP="00B410B7">
      <w:pPr>
        <w:pStyle w:val="TEKSTI"/>
      </w:pPr>
      <w:r w:rsidRPr="007114AF">
        <w:lastRenderedPageBreak/>
        <w:t>Sipas KTK-ës, kontribuesi kryesor në terma të shkarkimeve GES (CO</w:t>
      </w:r>
      <w:r w:rsidRPr="007114AF">
        <w:rPr>
          <w:vertAlign w:val="subscript"/>
        </w:rPr>
        <w:t>2</w:t>
      </w:r>
      <w:r w:rsidRPr="007114AF">
        <w:t xml:space="preserve"> eq) për vitin 2005 (figura 15) është sektori i Energjisë (47.9%), ndjekur nga </w:t>
      </w:r>
      <w:r w:rsidR="00F11685" w:rsidRPr="007114AF">
        <w:t xml:space="preserve">bujqësia </w:t>
      </w:r>
      <w:r w:rsidRPr="007114AF">
        <w:t xml:space="preserve">(14.26%), </w:t>
      </w:r>
      <w:r w:rsidR="00F11685" w:rsidRPr="007114AF">
        <w:t xml:space="preserve">industria </w:t>
      </w:r>
      <w:r w:rsidRPr="007114AF">
        <w:t xml:space="preserve">(11.37%), </w:t>
      </w:r>
      <w:r w:rsidR="00F11685" w:rsidRPr="007114AF">
        <w:t xml:space="preserve">ndryshimi i përdorimit të tokës dhe pyjet </w:t>
      </w:r>
      <w:r w:rsidRPr="007114AF">
        <w:t>(20.64%), si</w:t>
      </w:r>
      <w:r w:rsidR="00F11685" w:rsidRPr="007114AF">
        <w:t xml:space="preserve"> </w:t>
      </w:r>
      <w:r w:rsidRPr="007114AF">
        <w:t xml:space="preserve">dhe </w:t>
      </w:r>
      <w:r w:rsidR="00F11685" w:rsidRPr="007114AF">
        <w:t xml:space="preserve">mbetjet </w:t>
      </w:r>
      <w:r w:rsidRPr="007114AF">
        <w:t xml:space="preserve">(6.64%). </w:t>
      </w:r>
    </w:p>
    <w:p w14:paraId="6EDCF8B6" w14:textId="77777777" w:rsidR="00A9766F" w:rsidRPr="007114AF" w:rsidRDefault="00A9766F" w:rsidP="00A9766F">
      <w:pPr>
        <w:rPr>
          <w:rFonts w:ascii="Garamond" w:hAnsi="Garamond"/>
        </w:rPr>
      </w:pPr>
    </w:p>
    <w:p w14:paraId="6EDCF8B7" w14:textId="55BDB0FF" w:rsidR="00A9766F" w:rsidRPr="007114AF" w:rsidRDefault="00A9766F" w:rsidP="00F72723">
      <w:pPr>
        <w:pStyle w:val="TEKSTI"/>
      </w:pPr>
      <w:r w:rsidRPr="007114AF">
        <w:rPr>
          <w:noProof/>
          <w:lang w:val="en-US" w:eastAsia="en-US"/>
        </w:rPr>
        <w:drawing>
          <wp:anchor distT="0" distB="0" distL="114300" distR="114300" simplePos="0" relativeHeight="251658241" behindDoc="0" locked="0" layoutInCell="1" allowOverlap="1" wp14:anchorId="6EDD17A0" wp14:editId="6EDD17A1">
            <wp:simplePos x="0" y="0"/>
            <wp:positionH relativeFrom="column">
              <wp:posOffset>2628900</wp:posOffset>
            </wp:positionH>
            <wp:positionV relativeFrom="paragraph">
              <wp:posOffset>-3175</wp:posOffset>
            </wp:positionV>
            <wp:extent cx="2457450" cy="2714625"/>
            <wp:effectExtent l="0" t="0" r="0" b="9525"/>
            <wp:wrapSquare wrapText="bothSides"/>
            <wp:docPr id="17" name="Immagin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457450" cy="2714625"/>
                    </a:xfrm>
                    <a:prstGeom prst="rect">
                      <a:avLst/>
                    </a:prstGeom>
                    <a:noFill/>
                    <a:ln>
                      <a:noFill/>
                    </a:ln>
                  </pic:spPr>
                </pic:pic>
              </a:graphicData>
            </a:graphic>
          </wp:anchor>
        </w:drawing>
      </w:r>
      <w:r w:rsidRPr="007114AF">
        <w:rPr>
          <w:noProof/>
          <w:lang w:val="en-US" w:eastAsia="en-US"/>
        </w:rPr>
        <mc:AlternateContent>
          <mc:Choice Requires="wps">
            <w:drawing>
              <wp:anchor distT="0" distB="0" distL="114300" distR="114300" simplePos="0" relativeHeight="251658244" behindDoc="0" locked="0" layoutInCell="1" allowOverlap="1" wp14:anchorId="6EDD17A2" wp14:editId="6EDD17A3">
                <wp:simplePos x="0" y="0"/>
                <wp:positionH relativeFrom="column">
                  <wp:posOffset>0</wp:posOffset>
                </wp:positionH>
                <wp:positionV relativeFrom="paragraph">
                  <wp:posOffset>2772410</wp:posOffset>
                </wp:positionV>
                <wp:extent cx="2489200" cy="462280"/>
                <wp:effectExtent l="0" t="0" r="0" b="0"/>
                <wp:wrapSquare wrapText="bothSides"/>
                <wp:docPr id="252" name="Casella di testo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89200" cy="462280"/>
                        </a:xfrm>
                        <a:prstGeom prst="rect">
                          <a:avLst/>
                        </a:prstGeom>
                        <a:solidFill>
                          <a:prstClr val="white"/>
                        </a:solidFill>
                        <a:ln>
                          <a:noFill/>
                        </a:ln>
                        <a:effectLst/>
                      </wps:spPr>
                      <wps:txbx>
                        <w:txbxContent>
                          <w:p w14:paraId="6EDD185D" w14:textId="11F4DFFE" w:rsidR="00622884" w:rsidRPr="00F72723" w:rsidRDefault="00622884" w:rsidP="00F72723">
                            <w:pPr>
                              <w:pStyle w:val="FIGURA"/>
                              <w:rPr>
                                <w:noProof/>
                                <w:sz w:val="20"/>
                                <w:szCs w:val="20"/>
                              </w:rPr>
                            </w:pPr>
                            <w:r w:rsidRPr="00F72723">
                              <w:rPr>
                                <w:sz w:val="20"/>
                                <w:szCs w:val="20"/>
                              </w:rPr>
                              <w:t xml:space="preserve">Figura </w:t>
                            </w:r>
                            <w:r w:rsidRPr="00F72723">
                              <w:rPr>
                                <w:sz w:val="20"/>
                                <w:szCs w:val="20"/>
                              </w:rPr>
                              <w:fldChar w:fldCharType="begin"/>
                            </w:r>
                            <w:r w:rsidRPr="00F72723">
                              <w:rPr>
                                <w:sz w:val="20"/>
                                <w:szCs w:val="20"/>
                              </w:rPr>
                              <w:instrText xml:space="preserve"> SEQ Figure \* ARABIC </w:instrText>
                            </w:r>
                            <w:r w:rsidRPr="00F72723">
                              <w:rPr>
                                <w:sz w:val="20"/>
                                <w:szCs w:val="20"/>
                              </w:rPr>
                              <w:fldChar w:fldCharType="separate"/>
                            </w:r>
                            <w:r w:rsidRPr="00F72723">
                              <w:rPr>
                                <w:noProof/>
                                <w:sz w:val="20"/>
                                <w:szCs w:val="20"/>
                              </w:rPr>
                              <w:t>17</w:t>
                            </w:r>
                            <w:r w:rsidRPr="00F72723">
                              <w:rPr>
                                <w:sz w:val="20"/>
                                <w:szCs w:val="20"/>
                              </w:rPr>
                              <w:fldChar w:fldCharType="end"/>
                            </w:r>
                            <w:r>
                              <w:rPr>
                                <w:sz w:val="20"/>
                                <w:szCs w:val="20"/>
                              </w:rPr>
                              <w:t xml:space="preserve"> </w:t>
                            </w:r>
                            <w:r w:rsidRPr="00F72723">
                              <w:rPr>
                                <w:sz w:val="20"/>
                                <w:szCs w:val="20"/>
                              </w:rPr>
                              <w:t>–</w:t>
                            </w:r>
                            <w:r>
                              <w:rPr>
                                <w:sz w:val="20"/>
                                <w:szCs w:val="20"/>
                              </w:rPr>
                              <w:t xml:space="preserve"> </w:t>
                            </w:r>
                            <w:r w:rsidRPr="00F72723">
                              <w:rPr>
                                <w:sz w:val="20"/>
                                <w:szCs w:val="20"/>
                              </w:rPr>
                              <w:t>Shkarkimet CO</w:t>
                            </w:r>
                            <w:r w:rsidRPr="00F72723">
                              <w:rPr>
                                <w:sz w:val="20"/>
                                <w:szCs w:val="20"/>
                                <w:vertAlign w:val="subscript"/>
                              </w:rPr>
                              <w:t>2 eq.</w:t>
                            </w:r>
                            <w:r>
                              <w:rPr>
                                <w:sz w:val="20"/>
                                <w:szCs w:val="20"/>
                                <w:vertAlign w:val="subscript"/>
                              </w:rPr>
                              <w:t xml:space="preserve"> </w:t>
                            </w:r>
                            <w:r w:rsidRPr="00F72723">
                              <w:rPr>
                                <w:sz w:val="20"/>
                                <w:szCs w:val="20"/>
                              </w:rPr>
                              <w:t>nga gjithë sektorët ekonomikë për vitin 2005 (%) (Burimi KTK)</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page">
                  <wp14:pctHeight>0</wp14:pctHeight>
                </wp14:sizeRelV>
              </wp:anchor>
            </w:drawing>
          </mc:Choice>
          <mc:Fallback>
            <w:pict>
              <v:shapetype w14:anchorId="6EDD17A2" id="_x0000_t202" coordsize="21600,21600" o:spt="202" path="m,l,21600r21600,l21600,xe">
                <v:stroke joinstyle="miter"/>
                <v:path gradientshapeok="t" o:connecttype="rect"/>
              </v:shapetype>
              <v:shape id="Casella di testo 27" o:spid="_x0000_s1026" type="#_x0000_t202" style="position:absolute;left:0;text-align:left;margin-left:0;margin-top:218.3pt;width:196pt;height:36.4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" stroked="f">
                <v:textbox style="mso-fit-shape-to-text:t" inset="0,0,0,0">
                  <w:txbxContent>
                    <w:p w14:paraId="6EDD185D" w14:textId="11F4DFFE" w:rsidR="00622884" w:rsidRPr="00F72723" w:rsidRDefault="00622884" w:rsidP="00F72723">
                      <w:pPr>
                        <w:pStyle w:val="FIGURA"/>
                        <w:rPr>
                          <w:noProof/>
                          <w:sz w:val="20"/>
                          <w:szCs w:val="20"/>
                        </w:rPr>
                      </w:pPr>
                      <w:r w:rsidRPr="00F72723">
                        <w:rPr>
                          <w:sz w:val="20"/>
                          <w:szCs w:val="20"/>
                        </w:rPr>
                        <w:t xml:space="preserve">Figura </w:t>
                      </w:r>
                      <w:r w:rsidRPr="00F72723">
                        <w:rPr>
                          <w:sz w:val="20"/>
                          <w:szCs w:val="20"/>
                        </w:rPr>
                        <w:fldChar w:fldCharType="begin"/>
                      </w:r>
                      <w:r w:rsidRPr="00F72723">
                        <w:rPr>
                          <w:sz w:val="20"/>
                          <w:szCs w:val="20"/>
                        </w:rPr>
                        <w:instrText xml:space="preserve"> SEQ Figure \* ARABIC </w:instrText>
                      </w:r>
                      <w:r w:rsidRPr="00F72723">
                        <w:rPr>
                          <w:sz w:val="20"/>
                          <w:szCs w:val="20"/>
                        </w:rPr>
                        <w:fldChar w:fldCharType="separate"/>
                      </w:r>
                      <w:r w:rsidRPr="00F72723">
                        <w:rPr>
                          <w:noProof/>
                          <w:sz w:val="20"/>
                          <w:szCs w:val="20"/>
                        </w:rPr>
                        <w:t>17</w:t>
                      </w:r>
                      <w:r w:rsidRPr="00F72723">
                        <w:rPr>
                          <w:sz w:val="20"/>
                          <w:szCs w:val="20"/>
                        </w:rPr>
                        <w:fldChar w:fldCharType="end"/>
                      </w:r>
                      <w:r>
                        <w:rPr>
                          <w:sz w:val="20"/>
                          <w:szCs w:val="20"/>
                        </w:rPr>
                        <w:t xml:space="preserve"> </w:t>
                      </w:r>
                      <w:r w:rsidRPr="00F72723">
                        <w:rPr>
                          <w:sz w:val="20"/>
                          <w:szCs w:val="20"/>
                        </w:rPr>
                        <w:t>–</w:t>
                      </w:r>
                      <w:r>
                        <w:rPr>
                          <w:sz w:val="20"/>
                          <w:szCs w:val="20"/>
                        </w:rPr>
                        <w:t xml:space="preserve"> </w:t>
                      </w:r>
                      <w:r w:rsidRPr="00F72723">
                        <w:rPr>
                          <w:sz w:val="20"/>
                          <w:szCs w:val="20"/>
                        </w:rPr>
                        <w:t>Shkarkimet CO</w:t>
                      </w:r>
                      <w:r w:rsidRPr="00F72723">
                        <w:rPr>
                          <w:sz w:val="20"/>
                          <w:szCs w:val="20"/>
                          <w:vertAlign w:val="subscript"/>
                        </w:rPr>
                        <w:t>2 eq.</w:t>
                      </w:r>
                      <w:r>
                        <w:rPr>
                          <w:sz w:val="20"/>
                          <w:szCs w:val="20"/>
                          <w:vertAlign w:val="subscript"/>
                        </w:rPr>
                        <w:t xml:space="preserve"> </w:t>
                      </w:r>
                      <w:r w:rsidRPr="00F72723">
                        <w:rPr>
                          <w:sz w:val="20"/>
                          <w:szCs w:val="20"/>
                        </w:rPr>
                        <w:t>nga gjithë sektorët ekonomikë për vitin 2005 (%) (Burimi KTK)</w:t>
                      </w:r>
                    </w:p>
                  </w:txbxContent>
                </v:textbox>
                <w10:wrap type="square"/>
              </v:shape>
            </w:pict>
          </mc:Fallback>
        </mc:AlternateContent>
      </w:r>
      <w:r w:rsidRPr="007114AF">
        <w:rPr>
          <w:noProof/>
          <w:lang w:val="en-US" w:eastAsia="en-US"/>
        </w:rPr>
        <w:drawing>
          <wp:anchor distT="0" distB="0" distL="114300" distR="114300" simplePos="0" relativeHeight="251658240" behindDoc="0" locked="0" layoutInCell="1" allowOverlap="1" wp14:anchorId="6EDD17A4" wp14:editId="6EDD17A5">
            <wp:simplePos x="0" y="0"/>
            <wp:positionH relativeFrom="column">
              <wp:align>left</wp:align>
            </wp:positionH>
            <wp:positionV relativeFrom="paragraph">
              <wp:align>top</wp:align>
            </wp:positionV>
            <wp:extent cx="2515235" cy="2717800"/>
            <wp:effectExtent l="0" t="0" r="0" b="6350"/>
            <wp:wrapSquare wrapText="bothSides"/>
            <wp:docPr id="18" name="Immagin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515411" cy="2717800"/>
                    </a:xfrm>
                    <a:prstGeom prst="rect">
                      <a:avLst/>
                    </a:prstGeom>
                    <a:noFill/>
                    <a:ln>
                      <a:noFill/>
                    </a:ln>
                  </pic:spPr>
                </pic:pic>
              </a:graphicData>
            </a:graphic>
          </wp:anchor>
        </w:drawing>
      </w:r>
      <w:r w:rsidRPr="007114AF">
        <w:rPr>
          <w:noProof/>
          <w:lang w:val="en-US" w:eastAsia="en-US"/>
        </w:rPr>
        <mc:AlternateContent>
          <mc:Choice Requires="wps">
            <w:drawing>
              <wp:anchor distT="0" distB="0" distL="114300" distR="114300" simplePos="0" relativeHeight="251658246" behindDoc="0" locked="0" layoutInCell="1" allowOverlap="1" wp14:anchorId="6EDD17A6" wp14:editId="6EDD17A7">
                <wp:simplePos x="0" y="0"/>
                <wp:positionH relativeFrom="column">
                  <wp:posOffset>2628900</wp:posOffset>
                </wp:positionH>
                <wp:positionV relativeFrom="paragraph">
                  <wp:posOffset>2772410</wp:posOffset>
                </wp:positionV>
                <wp:extent cx="2762250" cy="617220"/>
                <wp:effectExtent l="0" t="0" r="0" b="0"/>
                <wp:wrapSquare wrapText="bothSides"/>
                <wp:docPr id="251" name="Casella di testo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62250" cy="617220"/>
                        </a:xfrm>
                        <a:prstGeom prst="rect">
                          <a:avLst/>
                        </a:prstGeom>
                        <a:solidFill>
                          <a:prstClr val="white"/>
                        </a:solidFill>
                        <a:ln>
                          <a:noFill/>
                        </a:ln>
                        <a:effectLst/>
                      </wps:spPr>
                      <wps:txbx>
                        <w:txbxContent>
                          <w:p w14:paraId="6EDD185E" w14:textId="2D87E8D7" w:rsidR="00622884" w:rsidRPr="00F72723" w:rsidRDefault="00622884" w:rsidP="00F72723">
                            <w:pPr>
                              <w:pStyle w:val="FIGURA"/>
                              <w:rPr>
                                <w:noProof/>
                                <w:sz w:val="20"/>
                                <w:szCs w:val="20"/>
                              </w:rPr>
                            </w:pPr>
                            <w:r w:rsidRPr="00F72723">
                              <w:rPr>
                                <w:sz w:val="20"/>
                                <w:szCs w:val="20"/>
                              </w:rPr>
                              <w:t xml:space="preserve">Figura </w:t>
                            </w:r>
                            <w:r w:rsidRPr="00F72723">
                              <w:rPr>
                                <w:sz w:val="20"/>
                                <w:szCs w:val="20"/>
                              </w:rPr>
                              <w:fldChar w:fldCharType="begin"/>
                            </w:r>
                            <w:r w:rsidRPr="00F72723">
                              <w:rPr>
                                <w:sz w:val="20"/>
                                <w:szCs w:val="20"/>
                              </w:rPr>
                              <w:instrText xml:space="preserve"> SEQ Figure \* ARABIC </w:instrText>
                            </w:r>
                            <w:r w:rsidRPr="00F72723">
                              <w:rPr>
                                <w:sz w:val="20"/>
                                <w:szCs w:val="20"/>
                              </w:rPr>
                              <w:fldChar w:fldCharType="separate"/>
                            </w:r>
                            <w:r w:rsidRPr="00F72723">
                              <w:rPr>
                                <w:noProof/>
                                <w:sz w:val="20"/>
                                <w:szCs w:val="20"/>
                              </w:rPr>
                              <w:t>18</w:t>
                            </w:r>
                            <w:r w:rsidRPr="00F72723">
                              <w:rPr>
                                <w:sz w:val="20"/>
                                <w:szCs w:val="20"/>
                              </w:rPr>
                              <w:fldChar w:fldCharType="end"/>
                            </w:r>
                            <w:r>
                              <w:rPr>
                                <w:sz w:val="20"/>
                                <w:szCs w:val="20"/>
                              </w:rPr>
                              <w:t xml:space="preserve"> </w:t>
                            </w:r>
                            <w:r w:rsidRPr="00F72723">
                              <w:rPr>
                                <w:sz w:val="20"/>
                                <w:szCs w:val="20"/>
                              </w:rPr>
                              <w:t>–</w:t>
                            </w:r>
                            <w:r>
                              <w:rPr>
                                <w:sz w:val="20"/>
                                <w:szCs w:val="20"/>
                              </w:rPr>
                              <w:t xml:space="preserve"> </w:t>
                            </w:r>
                            <w:r w:rsidRPr="00F72723">
                              <w:rPr>
                                <w:sz w:val="20"/>
                                <w:szCs w:val="20"/>
                              </w:rPr>
                              <w:t>Shkarkimet nga gjithë sektorët ekonomikë për vitet 2000 (rrethi i brendshëm), 2005 dhe 2009 (rrethi i jashtëm) (GtCO</w:t>
                            </w:r>
                            <w:r w:rsidRPr="00F72723">
                              <w:rPr>
                                <w:sz w:val="20"/>
                                <w:szCs w:val="20"/>
                                <w:vertAlign w:val="subscript"/>
                              </w:rPr>
                              <w:t>2</w:t>
                            </w:r>
                            <w:r>
                              <w:rPr>
                                <w:sz w:val="20"/>
                                <w:szCs w:val="20"/>
                                <w:vertAlign w:val="subscript"/>
                              </w:rPr>
                              <w:t xml:space="preserve"> </w:t>
                            </w:r>
                            <w:r w:rsidRPr="00F72723">
                              <w:rPr>
                                <w:sz w:val="20"/>
                                <w:szCs w:val="20"/>
                              </w:rPr>
                              <w:t>eq) (Burimi TNC)</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 w14:anchorId="6EDD17A6" id="Casella di testo 29" o:spid="_x0000_s1027" type="#_x0000_t202" style="position:absolute;left:0;text-align:left;margin-left:207pt;margin-top:218.3pt;width:217.5pt;height:48.6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" stroked="f">
                <v:textbox style="mso-fit-shape-to-text:t" inset="0,0,0,0">
                  <w:txbxContent>
                    <w:p w14:paraId="6EDD185E" w14:textId="2D87E8D7" w:rsidR="00622884" w:rsidRPr="00F72723" w:rsidRDefault="00622884" w:rsidP="00F72723">
                      <w:pPr>
                        <w:pStyle w:val="FIGURA"/>
                        <w:rPr>
                          <w:noProof/>
                          <w:sz w:val="20"/>
                          <w:szCs w:val="20"/>
                        </w:rPr>
                      </w:pPr>
                      <w:r w:rsidRPr="00F72723">
                        <w:rPr>
                          <w:sz w:val="20"/>
                          <w:szCs w:val="20"/>
                        </w:rPr>
                        <w:t xml:space="preserve">Figura </w:t>
                      </w:r>
                      <w:r w:rsidRPr="00F72723">
                        <w:rPr>
                          <w:sz w:val="20"/>
                          <w:szCs w:val="20"/>
                        </w:rPr>
                        <w:fldChar w:fldCharType="begin"/>
                      </w:r>
                      <w:r w:rsidRPr="00F72723">
                        <w:rPr>
                          <w:sz w:val="20"/>
                          <w:szCs w:val="20"/>
                        </w:rPr>
                        <w:instrText xml:space="preserve"> SEQ Figure \* ARABIC </w:instrText>
                      </w:r>
                      <w:r w:rsidRPr="00F72723">
                        <w:rPr>
                          <w:sz w:val="20"/>
                          <w:szCs w:val="20"/>
                        </w:rPr>
                        <w:fldChar w:fldCharType="separate"/>
                      </w:r>
                      <w:r w:rsidRPr="00F72723">
                        <w:rPr>
                          <w:noProof/>
                          <w:sz w:val="20"/>
                          <w:szCs w:val="20"/>
                        </w:rPr>
                        <w:t>18</w:t>
                      </w:r>
                      <w:r w:rsidRPr="00F72723">
                        <w:rPr>
                          <w:sz w:val="20"/>
                          <w:szCs w:val="20"/>
                        </w:rPr>
                        <w:fldChar w:fldCharType="end"/>
                      </w:r>
                      <w:r>
                        <w:rPr>
                          <w:sz w:val="20"/>
                          <w:szCs w:val="20"/>
                        </w:rPr>
                        <w:t xml:space="preserve"> </w:t>
                      </w:r>
                      <w:r w:rsidRPr="00F72723">
                        <w:rPr>
                          <w:sz w:val="20"/>
                          <w:szCs w:val="20"/>
                        </w:rPr>
                        <w:t>–</w:t>
                      </w:r>
                      <w:r>
                        <w:rPr>
                          <w:sz w:val="20"/>
                          <w:szCs w:val="20"/>
                        </w:rPr>
                        <w:t xml:space="preserve"> </w:t>
                      </w:r>
                      <w:r w:rsidRPr="00F72723">
                        <w:rPr>
                          <w:sz w:val="20"/>
                          <w:szCs w:val="20"/>
                        </w:rPr>
                        <w:t>Shkarkimet nga gjithë sektorët ekonomikë për vitet 2000 (rrethi i brendshëm), 2005 dhe 2009 (rrethi i jashtëm) (GtCO</w:t>
                      </w:r>
                      <w:r w:rsidRPr="00F72723">
                        <w:rPr>
                          <w:sz w:val="20"/>
                          <w:szCs w:val="20"/>
                          <w:vertAlign w:val="subscript"/>
                        </w:rPr>
                        <w:t>2</w:t>
                      </w:r>
                      <w:r>
                        <w:rPr>
                          <w:sz w:val="20"/>
                          <w:szCs w:val="20"/>
                          <w:vertAlign w:val="subscript"/>
                        </w:rPr>
                        <w:t xml:space="preserve"> </w:t>
                      </w:r>
                      <w:r w:rsidRPr="00F72723">
                        <w:rPr>
                          <w:sz w:val="20"/>
                          <w:szCs w:val="20"/>
                        </w:rPr>
                        <w:t>eq) (Burimi TNC)</w:t>
                      </w:r>
                    </w:p>
                  </w:txbxContent>
                </v:textbox>
                <w10:wrap type="square"/>
              </v:shape>
            </w:pict>
          </mc:Fallback>
        </mc:AlternateContent>
      </w:r>
      <w:r w:rsidRPr="007114AF">
        <w:br w:type="textWrapping" w:clear="all"/>
        <w:t>Gjatë periudhës 2000-2009, shkarkimet CO</w:t>
      </w:r>
      <w:r w:rsidRPr="007114AF">
        <w:rPr>
          <w:vertAlign w:val="subscript"/>
        </w:rPr>
        <w:t>2</w:t>
      </w:r>
      <w:r w:rsidRPr="007114AF">
        <w:t>eq ndryshuan nga 9075 GtCO</w:t>
      </w:r>
      <w:r w:rsidRPr="007114AF">
        <w:rPr>
          <w:vertAlign w:val="subscript"/>
        </w:rPr>
        <w:t>2</w:t>
      </w:r>
      <w:r w:rsidRPr="007114AF">
        <w:t>eq në shkarkimet e vitit 2000,</w:t>
      </w:r>
      <w:r w:rsidR="000A2A01" w:rsidRPr="007114AF">
        <w:t xml:space="preserve"> </w:t>
      </w:r>
      <w:r w:rsidRPr="007114AF">
        <w:t>në 8988 GtCO</w:t>
      </w:r>
      <w:r w:rsidRPr="007114AF">
        <w:rPr>
          <w:vertAlign w:val="subscript"/>
        </w:rPr>
        <w:t>2</w:t>
      </w:r>
      <w:r w:rsidRPr="007114AF">
        <w:t>eq në 2009, me luhatje të vogla gjatë periudhës së inventarit. Pjesa e shkarkimeve ka ndryshuar në kohë: shkarkimet janë rritur në sektorin e energjisë (kryesisht për shkak të transportit), sektorin industrial dhe mbetjet me +24% dhe +227% dhe +40% përkatësisht në vitin 2009 krahasuar me 2000. Procesi industrial është rritur shumë, për shkak të zgjerimit të prodhimit të çimentos. Nga ana tjetër, shkarkimet CO</w:t>
      </w:r>
      <w:r w:rsidRPr="007114AF">
        <w:rPr>
          <w:vertAlign w:val="subscript"/>
        </w:rPr>
        <w:t>2</w:t>
      </w:r>
      <w:r w:rsidRPr="007114AF">
        <w:t>eq nga bujqësia dhe LUCF-ja kanë rënë gjatë periudhës së inventarit (2000</w:t>
      </w:r>
      <w:r w:rsidR="003C603D">
        <w:t>–</w:t>
      </w:r>
      <w:r w:rsidRPr="007114AF">
        <w:t>2009) me -27% dhe -91% përkatësisht, por mbeten ende burim shkarkimesh.</w:t>
      </w:r>
    </w:p>
    <w:p w14:paraId="6EDCF8B8" w14:textId="7E780E0C" w:rsidR="00A9766F" w:rsidRPr="007114AF" w:rsidRDefault="00A9766F" w:rsidP="00B410B7">
      <w:pPr>
        <w:pStyle w:val="TEKSTI"/>
      </w:pPr>
      <w:r w:rsidRPr="007114AF">
        <w:rPr>
          <w:b/>
        </w:rPr>
        <w:t>Sektori i energjisë</w:t>
      </w:r>
      <w:r w:rsidRPr="007114AF">
        <w:t xml:space="preserve"> tregon një përqindje në rritje të shkarkimeve nga vitit 2000 (43.57%) në vitin 2009 (56.92%). Mes nënsektorëve të energjisë, transportikontribuon më shumë, me rreth 45%, pasuar nga sektori i banesave (23%), industria e përpunimit dhe ndërtimet (14 %), bujqësia (7%) dhe shërbimet (4%). (tabela 4). Transporti dhe industritë e energjisë janë rritur me 27% të shkarkimeve të tyre nga vitit 2000 deri në vitin 2009, sektori i shërbimit me 25%, ndërsa bujqësia dhe sektori i banesave</w:t>
      </w:r>
      <w:r w:rsidR="00E04B1B" w:rsidRPr="007114AF">
        <w:t xml:space="preserve"> </w:t>
      </w:r>
      <w:r w:rsidRPr="007114AF">
        <w:t>me 24% (figura 21).</w:t>
      </w:r>
    </w:p>
    <w:p w14:paraId="6EDCF8B9" w14:textId="77777777" w:rsidR="00A9766F" w:rsidRPr="007114AF" w:rsidRDefault="00A9766F" w:rsidP="00A9766F">
      <w:pPr>
        <w:rPr>
          <w:rFonts w:ascii="Garamond" w:hAnsi="Garamond"/>
        </w:rPr>
      </w:pPr>
    </w:p>
    <w:p w14:paraId="6EDCF8BA" w14:textId="77777777" w:rsidR="00A9766F" w:rsidRPr="007114AF" w:rsidRDefault="00A9766F" w:rsidP="00A9766F">
      <w:pPr>
        <w:rPr>
          <w:rFonts w:ascii="Garamond" w:hAnsi="Garamond"/>
          <w:highlight w:val="yellow"/>
        </w:rPr>
      </w:pPr>
      <w:r w:rsidRPr="007114AF">
        <w:rPr>
          <w:rFonts w:ascii="Garamond" w:hAnsi="Garamond"/>
          <w:noProof/>
          <w:highlight w:val="yellow"/>
          <w:lang w:val="en-US" w:eastAsia="en-US"/>
        </w:rPr>
        <w:lastRenderedPageBreak/>
        <w:drawing>
          <wp:inline distT="0" distB="0" distL="0" distR="0" wp14:anchorId="6EDD17A8" wp14:editId="6EDD17A9">
            <wp:extent cx="6066155" cy="2743200"/>
            <wp:effectExtent l="0" t="0" r="10795" b="19050"/>
            <wp:docPr id="14" name="Grafico 1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14:paraId="6EDCF8BB" w14:textId="77777777" w:rsidR="00A9766F" w:rsidRPr="007114AF" w:rsidRDefault="00A9766F" w:rsidP="00495DC2">
      <w:pPr>
        <w:pStyle w:val="FIGURA"/>
        <w:rPr>
          <w:sz w:val="20"/>
          <w:szCs w:val="20"/>
        </w:rPr>
      </w:pPr>
      <w:r w:rsidRPr="007114AF">
        <w:rPr>
          <w:sz w:val="20"/>
          <w:szCs w:val="20"/>
        </w:rPr>
        <w:t>Figura</w:t>
      </w:r>
      <w:r w:rsidR="00495DC2" w:rsidRPr="007114AF">
        <w:rPr>
          <w:sz w:val="20"/>
          <w:szCs w:val="20"/>
        </w:rPr>
        <w:t xml:space="preserve"> </w:t>
      </w:r>
      <w:r w:rsidRPr="007114AF">
        <w:rPr>
          <w:sz w:val="20"/>
          <w:szCs w:val="20"/>
        </w:rPr>
        <w:fldChar w:fldCharType="begin"/>
      </w:r>
      <w:r w:rsidRPr="007114AF">
        <w:rPr>
          <w:sz w:val="20"/>
          <w:szCs w:val="20"/>
        </w:rPr>
        <w:instrText xml:space="preserve"> SEQ Figure \* ARABIC </w:instrText>
      </w:r>
      <w:r w:rsidRPr="007114AF">
        <w:rPr>
          <w:sz w:val="20"/>
          <w:szCs w:val="20"/>
        </w:rPr>
        <w:fldChar w:fldCharType="separate"/>
      </w:r>
      <w:r w:rsidRPr="007114AF">
        <w:rPr>
          <w:sz w:val="20"/>
          <w:szCs w:val="20"/>
        </w:rPr>
        <w:t>19</w:t>
      </w:r>
      <w:r w:rsidRPr="007114AF">
        <w:rPr>
          <w:sz w:val="20"/>
          <w:szCs w:val="20"/>
        </w:rPr>
        <w:fldChar w:fldCharType="end"/>
      </w:r>
      <w:r w:rsidRPr="007114AF">
        <w:rPr>
          <w:sz w:val="20"/>
          <w:szCs w:val="20"/>
        </w:rPr>
        <w:t>–Shkarkimet CO</w:t>
      </w:r>
      <w:r w:rsidRPr="007114AF">
        <w:rPr>
          <w:sz w:val="20"/>
          <w:szCs w:val="20"/>
          <w:vertAlign w:val="subscript"/>
        </w:rPr>
        <w:t>2</w:t>
      </w:r>
      <w:r w:rsidRPr="007114AF">
        <w:rPr>
          <w:sz w:val="20"/>
          <w:szCs w:val="20"/>
        </w:rPr>
        <w:t>eq nga sektori i energjisë (burimi KTK)</w:t>
      </w:r>
    </w:p>
    <w:p w14:paraId="6EDCF8BC" w14:textId="77777777" w:rsidR="00A9766F" w:rsidRPr="007114AF" w:rsidRDefault="00A9766F" w:rsidP="0018372B">
      <w:pPr>
        <w:spacing w:after="0" w:line="240" w:lineRule="auto"/>
        <w:ind w:firstLine="284"/>
        <w:rPr>
          <w:rFonts w:ascii="Garamond" w:hAnsi="Garamond"/>
        </w:rPr>
      </w:pPr>
    </w:p>
    <w:p w14:paraId="6EDCF8BD" w14:textId="6C6A8C51" w:rsidR="00A9766F" w:rsidRPr="007114AF" w:rsidRDefault="00A9766F" w:rsidP="00495DC2">
      <w:pPr>
        <w:pStyle w:val="FIGURA"/>
      </w:pPr>
      <w:r w:rsidRPr="007114AF">
        <w:t>Tabela</w:t>
      </w:r>
      <w:r w:rsidR="00495DC2" w:rsidRPr="007114AF">
        <w:t xml:space="preserve"> </w:t>
      </w:r>
      <w:r w:rsidRPr="007114AF">
        <w:fldChar w:fldCharType="begin"/>
      </w:r>
      <w:r w:rsidRPr="007114AF">
        <w:instrText xml:space="preserve"> SEQ Table \* ARABIC </w:instrText>
      </w:r>
      <w:r w:rsidRPr="007114AF">
        <w:fldChar w:fldCharType="separate"/>
      </w:r>
      <w:r w:rsidRPr="007114AF">
        <w:t>5</w:t>
      </w:r>
      <w:r w:rsidRPr="007114AF">
        <w:fldChar w:fldCharType="end"/>
      </w:r>
      <w:r w:rsidRPr="007114AF">
        <w:t xml:space="preserve"> – Shkarkimet nga nënsektorët e </w:t>
      </w:r>
      <w:r w:rsidR="005351B0" w:rsidRPr="007114AF">
        <w:t>e</w:t>
      </w:r>
      <w:r w:rsidRPr="007114AF">
        <w:t>nergjisë në GgCO</w:t>
      </w:r>
      <w:r w:rsidRPr="007114AF">
        <w:rPr>
          <w:vertAlign w:val="subscript"/>
        </w:rPr>
        <w:t>2</w:t>
      </w:r>
      <w:r w:rsidRPr="007114AF">
        <w:t>eq (burimi KTK)</w:t>
      </w:r>
    </w:p>
    <w:tbl>
      <w:tblPr>
        <w:tblStyle w:val="LightShading-Accent11"/>
        <w:tblW w:w="5089" w:type="pct"/>
        <w:jc w:val="center"/>
        <w:tblLayout w:type="fixed"/>
        <w:tblLook w:val="04A0" w:firstRow="1" w:lastRow="0" w:firstColumn="1" w:lastColumn="0" w:noHBand="0" w:noVBand="1"/>
      </w:tblPr>
      <w:tblGrid>
        <w:gridCol w:w="1346"/>
        <w:gridCol w:w="809"/>
        <w:gridCol w:w="811"/>
        <w:gridCol w:w="811"/>
        <w:gridCol w:w="811"/>
        <w:gridCol w:w="811"/>
        <w:gridCol w:w="811"/>
        <w:gridCol w:w="811"/>
        <w:gridCol w:w="811"/>
        <w:gridCol w:w="811"/>
        <w:gridCol w:w="809"/>
      </w:tblGrid>
      <w:tr w:rsidR="00A9766F" w:rsidRPr="007114AF" w14:paraId="6EDCF8C9" w14:textId="77777777" w:rsidTr="00A9766F">
        <w:trPr>
          <w:cnfStyle w:val="100000000000" w:firstRow="1" w:lastRow="0" w:firstColumn="0" w:lastColumn="0" w:oddVBand="0" w:evenVBand="0" w:oddHBand="0" w:evenHBand="0" w:firstRowFirstColumn="0" w:firstRowLastColumn="0" w:lastRowFirstColumn="0" w:lastRowLastColumn="0"/>
          <w:trHeight w:val="338"/>
          <w:jc w:val="center"/>
        </w:trPr>
        <w:tc>
          <w:tcPr>
            <w:cnfStyle w:val="001000000000" w:firstRow="0" w:lastRow="0" w:firstColumn="1" w:lastColumn="0" w:oddVBand="0" w:evenVBand="0" w:oddHBand="0" w:evenHBand="0" w:firstRowFirstColumn="0" w:firstRowLastColumn="0" w:lastRowFirstColumn="0" w:lastRowLastColumn="0"/>
            <w:tcW w:w="712" w:type="pct"/>
            <w:hideMark/>
          </w:tcPr>
          <w:p w14:paraId="6EDCF8BE" w14:textId="77777777" w:rsidR="00A9766F" w:rsidRPr="007114AF" w:rsidRDefault="00A9766F" w:rsidP="00A9766F">
            <w:pPr>
              <w:rPr>
                <w:rFonts w:ascii="Garamond" w:hAnsi="Garamond" w:cs="Calibri"/>
                <w:bCs w:val="0"/>
                <w:sz w:val="18"/>
                <w:szCs w:val="18"/>
              </w:rPr>
            </w:pPr>
            <w:r w:rsidRPr="007114AF">
              <w:rPr>
                <w:rFonts w:ascii="Garamond" w:hAnsi="Garamond" w:cs="Calibri"/>
                <w:sz w:val="18"/>
                <w:szCs w:val="18"/>
              </w:rPr>
              <w:t>Nënsektorët</w:t>
            </w:r>
          </w:p>
        </w:tc>
        <w:tc>
          <w:tcPr>
            <w:tcW w:w="428" w:type="pct"/>
            <w:vAlign w:val="center"/>
            <w:hideMark/>
          </w:tcPr>
          <w:p w14:paraId="6EDCF8BF" w14:textId="77777777" w:rsidR="00A9766F" w:rsidRPr="007114AF" w:rsidRDefault="00A9766F" w:rsidP="00A9766F">
            <w:pPr>
              <w:cnfStyle w:val="100000000000" w:firstRow="1" w:lastRow="0" w:firstColumn="0" w:lastColumn="0" w:oddVBand="0" w:evenVBand="0" w:oddHBand="0" w:evenHBand="0" w:firstRowFirstColumn="0" w:firstRowLastColumn="0" w:lastRowFirstColumn="0" w:lastRowLastColumn="0"/>
              <w:rPr>
                <w:rFonts w:ascii="Garamond" w:hAnsi="Garamond" w:cs="Calibri"/>
                <w:bCs w:val="0"/>
                <w:sz w:val="18"/>
                <w:szCs w:val="18"/>
              </w:rPr>
            </w:pPr>
            <w:r w:rsidRPr="007114AF">
              <w:rPr>
                <w:rFonts w:ascii="Garamond" w:hAnsi="Garamond" w:cs="Calibri"/>
                <w:sz w:val="18"/>
                <w:szCs w:val="18"/>
              </w:rPr>
              <w:t>2000</w:t>
            </w:r>
          </w:p>
        </w:tc>
        <w:tc>
          <w:tcPr>
            <w:tcW w:w="429" w:type="pct"/>
            <w:vAlign w:val="center"/>
            <w:hideMark/>
          </w:tcPr>
          <w:p w14:paraId="6EDCF8C0" w14:textId="77777777" w:rsidR="00A9766F" w:rsidRPr="007114AF" w:rsidRDefault="00A9766F" w:rsidP="00A9766F">
            <w:pPr>
              <w:cnfStyle w:val="100000000000" w:firstRow="1" w:lastRow="0" w:firstColumn="0" w:lastColumn="0" w:oddVBand="0" w:evenVBand="0" w:oddHBand="0" w:evenHBand="0" w:firstRowFirstColumn="0" w:firstRowLastColumn="0" w:lastRowFirstColumn="0" w:lastRowLastColumn="0"/>
              <w:rPr>
                <w:rFonts w:ascii="Garamond" w:hAnsi="Garamond" w:cs="Calibri"/>
                <w:bCs w:val="0"/>
                <w:sz w:val="18"/>
                <w:szCs w:val="18"/>
              </w:rPr>
            </w:pPr>
            <w:r w:rsidRPr="007114AF">
              <w:rPr>
                <w:rFonts w:ascii="Garamond" w:hAnsi="Garamond" w:cs="Calibri"/>
                <w:sz w:val="18"/>
                <w:szCs w:val="18"/>
              </w:rPr>
              <w:t>2001</w:t>
            </w:r>
          </w:p>
        </w:tc>
        <w:tc>
          <w:tcPr>
            <w:tcW w:w="429" w:type="pct"/>
            <w:vAlign w:val="center"/>
            <w:hideMark/>
          </w:tcPr>
          <w:p w14:paraId="6EDCF8C1" w14:textId="77777777" w:rsidR="00A9766F" w:rsidRPr="007114AF" w:rsidRDefault="00A9766F" w:rsidP="00A9766F">
            <w:pPr>
              <w:cnfStyle w:val="100000000000" w:firstRow="1" w:lastRow="0" w:firstColumn="0" w:lastColumn="0" w:oddVBand="0" w:evenVBand="0" w:oddHBand="0" w:evenHBand="0" w:firstRowFirstColumn="0" w:firstRowLastColumn="0" w:lastRowFirstColumn="0" w:lastRowLastColumn="0"/>
              <w:rPr>
                <w:rFonts w:ascii="Garamond" w:hAnsi="Garamond" w:cs="Calibri"/>
                <w:bCs w:val="0"/>
                <w:sz w:val="18"/>
                <w:szCs w:val="18"/>
              </w:rPr>
            </w:pPr>
            <w:r w:rsidRPr="007114AF">
              <w:rPr>
                <w:rFonts w:ascii="Garamond" w:hAnsi="Garamond" w:cs="Calibri"/>
                <w:sz w:val="18"/>
                <w:szCs w:val="18"/>
              </w:rPr>
              <w:t>2002</w:t>
            </w:r>
          </w:p>
        </w:tc>
        <w:tc>
          <w:tcPr>
            <w:tcW w:w="429" w:type="pct"/>
            <w:vAlign w:val="center"/>
            <w:hideMark/>
          </w:tcPr>
          <w:p w14:paraId="6EDCF8C2" w14:textId="77777777" w:rsidR="00A9766F" w:rsidRPr="007114AF" w:rsidRDefault="00A9766F" w:rsidP="00A9766F">
            <w:pPr>
              <w:cnfStyle w:val="100000000000" w:firstRow="1" w:lastRow="0" w:firstColumn="0" w:lastColumn="0" w:oddVBand="0" w:evenVBand="0" w:oddHBand="0" w:evenHBand="0" w:firstRowFirstColumn="0" w:firstRowLastColumn="0" w:lastRowFirstColumn="0" w:lastRowLastColumn="0"/>
              <w:rPr>
                <w:rFonts w:ascii="Garamond" w:hAnsi="Garamond" w:cs="Calibri"/>
                <w:bCs w:val="0"/>
                <w:sz w:val="18"/>
                <w:szCs w:val="18"/>
              </w:rPr>
            </w:pPr>
            <w:r w:rsidRPr="007114AF">
              <w:rPr>
                <w:rFonts w:ascii="Garamond" w:hAnsi="Garamond" w:cs="Calibri"/>
                <w:sz w:val="18"/>
                <w:szCs w:val="18"/>
              </w:rPr>
              <w:t>2003</w:t>
            </w:r>
          </w:p>
        </w:tc>
        <w:tc>
          <w:tcPr>
            <w:tcW w:w="429" w:type="pct"/>
            <w:vAlign w:val="center"/>
            <w:hideMark/>
          </w:tcPr>
          <w:p w14:paraId="6EDCF8C3" w14:textId="77777777" w:rsidR="00A9766F" w:rsidRPr="007114AF" w:rsidRDefault="00A9766F" w:rsidP="00A9766F">
            <w:pPr>
              <w:cnfStyle w:val="100000000000" w:firstRow="1" w:lastRow="0" w:firstColumn="0" w:lastColumn="0" w:oddVBand="0" w:evenVBand="0" w:oddHBand="0" w:evenHBand="0" w:firstRowFirstColumn="0" w:firstRowLastColumn="0" w:lastRowFirstColumn="0" w:lastRowLastColumn="0"/>
              <w:rPr>
                <w:rFonts w:ascii="Garamond" w:hAnsi="Garamond" w:cs="Calibri"/>
                <w:bCs w:val="0"/>
                <w:sz w:val="18"/>
                <w:szCs w:val="18"/>
              </w:rPr>
            </w:pPr>
            <w:r w:rsidRPr="007114AF">
              <w:rPr>
                <w:rFonts w:ascii="Garamond" w:hAnsi="Garamond" w:cs="Calibri"/>
                <w:sz w:val="18"/>
                <w:szCs w:val="18"/>
              </w:rPr>
              <w:t>2004</w:t>
            </w:r>
          </w:p>
        </w:tc>
        <w:tc>
          <w:tcPr>
            <w:tcW w:w="429" w:type="pct"/>
            <w:vAlign w:val="center"/>
            <w:hideMark/>
          </w:tcPr>
          <w:p w14:paraId="6EDCF8C4" w14:textId="77777777" w:rsidR="00A9766F" w:rsidRPr="007114AF" w:rsidRDefault="00A9766F" w:rsidP="00A9766F">
            <w:pPr>
              <w:cnfStyle w:val="100000000000" w:firstRow="1" w:lastRow="0" w:firstColumn="0" w:lastColumn="0" w:oddVBand="0" w:evenVBand="0" w:oddHBand="0" w:evenHBand="0" w:firstRowFirstColumn="0" w:firstRowLastColumn="0" w:lastRowFirstColumn="0" w:lastRowLastColumn="0"/>
              <w:rPr>
                <w:rFonts w:ascii="Garamond" w:hAnsi="Garamond" w:cs="Calibri"/>
                <w:bCs w:val="0"/>
                <w:sz w:val="18"/>
                <w:szCs w:val="18"/>
              </w:rPr>
            </w:pPr>
            <w:r w:rsidRPr="007114AF">
              <w:rPr>
                <w:rFonts w:ascii="Garamond" w:hAnsi="Garamond" w:cs="Calibri"/>
                <w:sz w:val="18"/>
                <w:szCs w:val="18"/>
              </w:rPr>
              <w:t>2005</w:t>
            </w:r>
          </w:p>
        </w:tc>
        <w:tc>
          <w:tcPr>
            <w:tcW w:w="429" w:type="pct"/>
            <w:vAlign w:val="center"/>
            <w:hideMark/>
          </w:tcPr>
          <w:p w14:paraId="6EDCF8C5" w14:textId="77777777" w:rsidR="00A9766F" w:rsidRPr="007114AF" w:rsidRDefault="00A9766F" w:rsidP="00A9766F">
            <w:pPr>
              <w:cnfStyle w:val="100000000000" w:firstRow="1" w:lastRow="0" w:firstColumn="0" w:lastColumn="0" w:oddVBand="0" w:evenVBand="0" w:oddHBand="0" w:evenHBand="0" w:firstRowFirstColumn="0" w:firstRowLastColumn="0" w:lastRowFirstColumn="0" w:lastRowLastColumn="0"/>
              <w:rPr>
                <w:rFonts w:ascii="Garamond" w:hAnsi="Garamond" w:cs="Calibri"/>
                <w:bCs w:val="0"/>
                <w:sz w:val="18"/>
                <w:szCs w:val="18"/>
              </w:rPr>
            </w:pPr>
            <w:r w:rsidRPr="007114AF">
              <w:rPr>
                <w:rFonts w:ascii="Garamond" w:hAnsi="Garamond" w:cs="Calibri"/>
                <w:sz w:val="18"/>
                <w:szCs w:val="18"/>
              </w:rPr>
              <w:t>2006</w:t>
            </w:r>
          </w:p>
        </w:tc>
        <w:tc>
          <w:tcPr>
            <w:tcW w:w="429" w:type="pct"/>
            <w:vAlign w:val="center"/>
            <w:hideMark/>
          </w:tcPr>
          <w:p w14:paraId="6EDCF8C6" w14:textId="77777777" w:rsidR="00A9766F" w:rsidRPr="007114AF" w:rsidRDefault="00A9766F" w:rsidP="00A9766F">
            <w:pPr>
              <w:cnfStyle w:val="100000000000" w:firstRow="1" w:lastRow="0" w:firstColumn="0" w:lastColumn="0" w:oddVBand="0" w:evenVBand="0" w:oddHBand="0" w:evenHBand="0" w:firstRowFirstColumn="0" w:firstRowLastColumn="0" w:lastRowFirstColumn="0" w:lastRowLastColumn="0"/>
              <w:rPr>
                <w:rFonts w:ascii="Garamond" w:hAnsi="Garamond" w:cs="Calibri"/>
                <w:bCs w:val="0"/>
                <w:sz w:val="18"/>
                <w:szCs w:val="18"/>
              </w:rPr>
            </w:pPr>
            <w:r w:rsidRPr="007114AF">
              <w:rPr>
                <w:rFonts w:ascii="Garamond" w:hAnsi="Garamond" w:cs="Calibri"/>
                <w:sz w:val="18"/>
                <w:szCs w:val="18"/>
              </w:rPr>
              <w:t>2007</w:t>
            </w:r>
          </w:p>
        </w:tc>
        <w:tc>
          <w:tcPr>
            <w:tcW w:w="429" w:type="pct"/>
            <w:vAlign w:val="center"/>
            <w:hideMark/>
          </w:tcPr>
          <w:p w14:paraId="6EDCF8C7" w14:textId="77777777" w:rsidR="00A9766F" w:rsidRPr="007114AF" w:rsidRDefault="00A9766F" w:rsidP="00A9766F">
            <w:pPr>
              <w:cnfStyle w:val="100000000000" w:firstRow="1" w:lastRow="0" w:firstColumn="0" w:lastColumn="0" w:oddVBand="0" w:evenVBand="0" w:oddHBand="0" w:evenHBand="0" w:firstRowFirstColumn="0" w:firstRowLastColumn="0" w:lastRowFirstColumn="0" w:lastRowLastColumn="0"/>
              <w:rPr>
                <w:rFonts w:ascii="Garamond" w:hAnsi="Garamond" w:cs="Calibri"/>
                <w:bCs w:val="0"/>
                <w:sz w:val="18"/>
                <w:szCs w:val="18"/>
              </w:rPr>
            </w:pPr>
            <w:r w:rsidRPr="007114AF">
              <w:rPr>
                <w:rFonts w:ascii="Garamond" w:hAnsi="Garamond" w:cs="Calibri"/>
                <w:sz w:val="18"/>
                <w:szCs w:val="18"/>
              </w:rPr>
              <w:t>2008</w:t>
            </w:r>
          </w:p>
        </w:tc>
        <w:tc>
          <w:tcPr>
            <w:tcW w:w="429" w:type="pct"/>
            <w:vAlign w:val="center"/>
            <w:hideMark/>
          </w:tcPr>
          <w:p w14:paraId="6EDCF8C8" w14:textId="77777777" w:rsidR="00A9766F" w:rsidRPr="007114AF" w:rsidRDefault="00A9766F" w:rsidP="00A9766F">
            <w:pPr>
              <w:cnfStyle w:val="100000000000" w:firstRow="1" w:lastRow="0" w:firstColumn="0" w:lastColumn="0" w:oddVBand="0" w:evenVBand="0" w:oddHBand="0" w:evenHBand="0" w:firstRowFirstColumn="0" w:firstRowLastColumn="0" w:lastRowFirstColumn="0" w:lastRowLastColumn="0"/>
              <w:rPr>
                <w:rFonts w:ascii="Garamond" w:hAnsi="Garamond" w:cs="Calibri"/>
                <w:bCs w:val="0"/>
                <w:sz w:val="18"/>
                <w:szCs w:val="18"/>
              </w:rPr>
            </w:pPr>
            <w:r w:rsidRPr="007114AF">
              <w:rPr>
                <w:rFonts w:ascii="Garamond" w:hAnsi="Garamond" w:cs="Calibri"/>
                <w:sz w:val="18"/>
                <w:szCs w:val="18"/>
              </w:rPr>
              <w:t>2009</w:t>
            </w:r>
          </w:p>
        </w:tc>
      </w:tr>
      <w:tr w:rsidR="00A9766F" w:rsidRPr="007114AF" w14:paraId="6EDCF8D5" w14:textId="77777777" w:rsidTr="00A9766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712" w:type="pct"/>
            <w:vAlign w:val="center"/>
            <w:hideMark/>
          </w:tcPr>
          <w:p w14:paraId="6EDCF8CA" w14:textId="77777777" w:rsidR="00A9766F" w:rsidRPr="007114AF" w:rsidRDefault="00A9766F" w:rsidP="00A9766F">
            <w:pPr>
              <w:rPr>
                <w:rFonts w:ascii="Garamond" w:hAnsi="Garamond" w:cs="Calibri"/>
                <w:b w:val="0"/>
                <w:sz w:val="18"/>
                <w:szCs w:val="18"/>
              </w:rPr>
            </w:pPr>
            <w:r w:rsidRPr="007114AF">
              <w:rPr>
                <w:rFonts w:ascii="Garamond" w:hAnsi="Garamond" w:cs="Calibri"/>
                <w:sz w:val="18"/>
                <w:szCs w:val="18"/>
              </w:rPr>
              <w:t xml:space="preserve"> Sektorët e Energjisë dhe Transportit </w:t>
            </w:r>
          </w:p>
        </w:tc>
        <w:tc>
          <w:tcPr>
            <w:tcW w:w="428" w:type="pct"/>
            <w:vAlign w:val="center"/>
            <w:hideMark/>
          </w:tcPr>
          <w:p w14:paraId="6EDCF8CB" w14:textId="77777777" w:rsidR="00A9766F" w:rsidRPr="007114AF" w:rsidRDefault="00A9766F" w:rsidP="00A9766F">
            <w:pPr>
              <w:cnfStyle w:val="000000100000" w:firstRow="0" w:lastRow="0" w:firstColumn="0" w:lastColumn="0" w:oddVBand="0" w:evenVBand="0" w:oddHBand="1" w:evenHBand="0" w:firstRowFirstColumn="0" w:firstRowLastColumn="0" w:lastRowFirstColumn="0" w:lastRowLastColumn="0"/>
              <w:rPr>
                <w:rFonts w:ascii="Garamond" w:hAnsi="Garamond" w:cs="Calibri"/>
                <w:sz w:val="18"/>
                <w:szCs w:val="18"/>
              </w:rPr>
            </w:pPr>
            <w:r w:rsidRPr="007114AF">
              <w:rPr>
                <w:rFonts w:ascii="Garamond" w:hAnsi="Garamond" w:cs="Calibri"/>
                <w:sz w:val="18"/>
                <w:szCs w:val="18"/>
              </w:rPr>
              <w:t>4116.93</w:t>
            </w:r>
          </w:p>
        </w:tc>
        <w:tc>
          <w:tcPr>
            <w:tcW w:w="429" w:type="pct"/>
            <w:vAlign w:val="center"/>
            <w:hideMark/>
          </w:tcPr>
          <w:p w14:paraId="6EDCF8CC" w14:textId="77777777" w:rsidR="00A9766F" w:rsidRPr="007114AF" w:rsidRDefault="00A9766F" w:rsidP="00A9766F">
            <w:pPr>
              <w:cnfStyle w:val="000000100000" w:firstRow="0" w:lastRow="0" w:firstColumn="0" w:lastColumn="0" w:oddVBand="0" w:evenVBand="0" w:oddHBand="1" w:evenHBand="0" w:firstRowFirstColumn="0" w:firstRowLastColumn="0" w:lastRowFirstColumn="0" w:lastRowLastColumn="0"/>
              <w:rPr>
                <w:rFonts w:ascii="Garamond" w:hAnsi="Garamond" w:cs="Calibri"/>
                <w:sz w:val="18"/>
                <w:szCs w:val="18"/>
              </w:rPr>
            </w:pPr>
            <w:r w:rsidRPr="007114AF">
              <w:rPr>
                <w:rFonts w:ascii="Garamond" w:hAnsi="Garamond" w:cs="Calibri"/>
                <w:sz w:val="18"/>
                <w:szCs w:val="18"/>
              </w:rPr>
              <w:t>4151.67</w:t>
            </w:r>
          </w:p>
        </w:tc>
        <w:tc>
          <w:tcPr>
            <w:tcW w:w="429" w:type="pct"/>
            <w:vAlign w:val="center"/>
            <w:hideMark/>
          </w:tcPr>
          <w:p w14:paraId="6EDCF8CD" w14:textId="77777777" w:rsidR="00A9766F" w:rsidRPr="007114AF" w:rsidRDefault="00A9766F" w:rsidP="00A9766F">
            <w:pPr>
              <w:cnfStyle w:val="000000100000" w:firstRow="0" w:lastRow="0" w:firstColumn="0" w:lastColumn="0" w:oddVBand="0" w:evenVBand="0" w:oddHBand="1" w:evenHBand="0" w:firstRowFirstColumn="0" w:firstRowLastColumn="0" w:lastRowFirstColumn="0" w:lastRowLastColumn="0"/>
              <w:rPr>
                <w:rFonts w:ascii="Garamond" w:hAnsi="Garamond" w:cs="Calibri"/>
                <w:sz w:val="18"/>
                <w:szCs w:val="18"/>
              </w:rPr>
            </w:pPr>
            <w:r w:rsidRPr="007114AF">
              <w:rPr>
                <w:rFonts w:ascii="Garamond" w:hAnsi="Garamond" w:cs="Calibri"/>
                <w:sz w:val="18"/>
                <w:szCs w:val="18"/>
              </w:rPr>
              <w:t>4274.11</w:t>
            </w:r>
          </w:p>
        </w:tc>
        <w:tc>
          <w:tcPr>
            <w:tcW w:w="429" w:type="pct"/>
            <w:vAlign w:val="center"/>
            <w:hideMark/>
          </w:tcPr>
          <w:p w14:paraId="6EDCF8CE" w14:textId="77777777" w:rsidR="00A9766F" w:rsidRPr="007114AF" w:rsidRDefault="00A9766F" w:rsidP="00A9766F">
            <w:pPr>
              <w:cnfStyle w:val="000000100000" w:firstRow="0" w:lastRow="0" w:firstColumn="0" w:lastColumn="0" w:oddVBand="0" w:evenVBand="0" w:oddHBand="1" w:evenHBand="0" w:firstRowFirstColumn="0" w:firstRowLastColumn="0" w:lastRowFirstColumn="0" w:lastRowLastColumn="0"/>
              <w:rPr>
                <w:rFonts w:ascii="Garamond" w:hAnsi="Garamond" w:cs="Calibri"/>
                <w:sz w:val="18"/>
                <w:szCs w:val="18"/>
              </w:rPr>
            </w:pPr>
            <w:r w:rsidRPr="007114AF">
              <w:rPr>
                <w:rFonts w:ascii="Garamond" w:hAnsi="Garamond" w:cs="Calibri"/>
                <w:sz w:val="18"/>
                <w:szCs w:val="18"/>
              </w:rPr>
              <w:t>4447.34</w:t>
            </w:r>
          </w:p>
        </w:tc>
        <w:tc>
          <w:tcPr>
            <w:tcW w:w="429" w:type="pct"/>
            <w:vAlign w:val="center"/>
            <w:hideMark/>
          </w:tcPr>
          <w:p w14:paraId="6EDCF8CF" w14:textId="77777777" w:rsidR="00A9766F" w:rsidRPr="007114AF" w:rsidRDefault="00A9766F" w:rsidP="00A9766F">
            <w:pPr>
              <w:cnfStyle w:val="000000100000" w:firstRow="0" w:lastRow="0" w:firstColumn="0" w:lastColumn="0" w:oddVBand="0" w:evenVBand="0" w:oddHBand="1" w:evenHBand="0" w:firstRowFirstColumn="0" w:firstRowLastColumn="0" w:lastRowFirstColumn="0" w:lastRowLastColumn="0"/>
              <w:rPr>
                <w:rFonts w:ascii="Garamond" w:hAnsi="Garamond" w:cs="Calibri"/>
                <w:sz w:val="18"/>
                <w:szCs w:val="18"/>
              </w:rPr>
            </w:pPr>
            <w:r w:rsidRPr="007114AF">
              <w:rPr>
                <w:rFonts w:ascii="Garamond" w:hAnsi="Garamond" w:cs="Calibri"/>
                <w:sz w:val="18"/>
                <w:szCs w:val="18"/>
              </w:rPr>
              <w:t>4698.02</w:t>
            </w:r>
          </w:p>
        </w:tc>
        <w:tc>
          <w:tcPr>
            <w:tcW w:w="429" w:type="pct"/>
            <w:vAlign w:val="center"/>
            <w:hideMark/>
          </w:tcPr>
          <w:p w14:paraId="6EDCF8D0" w14:textId="77777777" w:rsidR="00A9766F" w:rsidRPr="007114AF" w:rsidRDefault="00A9766F" w:rsidP="00A9766F">
            <w:pPr>
              <w:cnfStyle w:val="000000100000" w:firstRow="0" w:lastRow="0" w:firstColumn="0" w:lastColumn="0" w:oddVBand="0" w:evenVBand="0" w:oddHBand="1" w:evenHBand="0" w:firstRowFirstColumn="0" w:firstRowLastColumn="0" w:lastRowFirstColumn="0" w:lastRowLastColumn="0"/>
              <w:rPr>
                <w:rFonts w:ascii="Garamond" w:hAnsi="Garamond" w:cs="Calibri"/>
                <w:sz w:val="18"/>
                <w:szCs w:val="18"/>
              </w:rPr>
            </w:pPr>
            <w:r w:rsidRPr="007114AF">
              <w:rPr>
                <w:rFonts w:ascii="Garamond" w:hAnsi="Garamond" w:cs="Calibri"/>
                <w:sz w:val="18"/>
                <w:szCs w:val="18"/>
              </w:rPr>
              <w:t>4633.37</w:t>
            </w:r>
          </w:p>
        </w:tc>
        <w:tc>
          <w:tcPr>
            <w:tcW w:w="429" w:type="pct"/>
            <w:vAlign w:val="center"/>
            <w:hideMark/>
          </w:tcPr>
          <w:p w14:paraId="6EDCF8D1" w14:textId="77777777" w:rsidR="00A9766F" w:rsidRPr="007114AF" w:rsidRDefault="00A9766F" w:rsidP="00A9766F">
            <w:pPr>
              <w:cnfStyle w:val="000000100000" w:firstRow="0" w:lastRow="0" w:firstColumn="0" w:lastColumn="0" w:oddVBand="0" w:evenVBand="0" w:oddHBand="1" w:evenHBand="0" w:firstRowFirstColumn="0" w:firstRowLastColumn="0" w:lastRowFirstColumn="0" w:lastRowLastColumn="0"/>
              <w:rPr>
                <w:rFonts w:ascii="Garamond" w:hAnsi="Garamond" w:cs="Calibri"/>
                <w:sz w:val="18"/>
                <w:szCs w:val="18"/>
              </w:rPr>
            </w:pPr>
            <w:r w:rsidRPr="007114AF">
              <w:rPr>
                <w:rFonts w:ascii="Garamond" w:hAnsi="Garamond" w:cs="Calibri"/>
                <w:sz w:val="18"/>
                <w:szCs w:val="18"/>
              </w:rPr>
              <w:t>4671.28</w:t>
            </w:r>
          </w:p>
        </w:tc>
        <w:tc>
          <w:tcPr>
            <w:tcW w:w="429" w:type="pct"/>
            <w:vAlign w:val="center"/>
            <w:hideMark/>
          </w:tcPr>
          <w:p w14:paraId="6EDCF8D2" w14:textId="77777777" w:rsidR="00A9766F" w:rsidRPr="007114AF" w:rsidRDefault="00A9766F" w:rsidP="00A9766F">
            <w:pPr>
              <w:cnfStyle w:val="000000100000" w:firstRow="0" w:lastRow="0" w:firstColumn="0" w:lastColumn="0" w:oddVBand="0" w:evenVBand="0" w:oddHBand="1" w:evenHBand="0" w:firstRowFirstColumn="0" w:firstRowLastColumn="0" w:lastRowFirstColumn="0" w:lastRowLastColumn="0"/>
              <w:rPr>
                <w:rFonts w:ascii="Garamond" w:hAnsi="Garamond" w:cs="Calibri"/>
                <w:sz w:val="18"/>
                <w:szCs w:val="18"/>
              </w:rPr>
            </w:pPr>
            <w:r w:rsidRPr="007114AF">
              <w:rPr>
                <w:rFonts w:ascii="Garamond" w:hAnsi="Garamond" w:cs="Calibri"/>
                <w:sz w:val="18"/>
                <w:szCs w:val="18"/>
              </w:rPr>
              <w:t>4721.45</w:t>
            </w:r>
          </w:p>
        </w:tc>
        <w:tc>
          <w:tcPr>
            <w:tcW w:w="429" w:type="pct"/>
            <w:vAlign w:val="center"/>
            <w:hideMark/>
          </w:tcPr>
          <w:p w14:paraId="6EDCF8D3" w14:textId="77777777" w:rsidR="00A9766F" w:rsidRPr="007114AF" w:rsidRDefault="00A9766F" w:rsidP="00A9766F">
            <w:pPr>
              <w:cnfStyle w:val="000000100000" w:firstRow="0" w:lastRow="0" w:firstColumn="0" w:lastColumn="0" w:oddVBand="0" w:evenVBand="0" w:oddHBand="1" w:evenHBand="0" w:firstRowFirstColumn="0" w:firstRowLastColumn="0" w:lastRowFirstColumn="0" w:lastRowLastColumn="0"/>
              <w:rPr>
                <w:rFonts w:ascii="Garamond" w:hAnsi="Garamond" w:cs="Calibri"/>
                <w:sz w:val="18"/>
                <w:szCs w:val="18"/>
              </w:rPr>
            </w:pPr>
            <w:r w:rsidRPr="007114AF">
              <w:rPr>
                <w:rFonts w:ascii="Garamond" w:hAnsi="Garamond" w:cs="Calibri"/>
                <w:sz w:val="18"/>
                <w:szCs w:val="18"/>
              </w:rPr>
              <w:t>4778.86</w:t>
            </w:r>
          </w:p>
        </w:tc>
        <w:tc>
          <w:tcPr>
            <w:tcW w:w="429" w:type="pct"/>
            <w:vAlign w:val="center"/>
            <w:hideMark/>
          </w:tcPr>
          <w:p w14:paraId="6EDCF8D4" w14:textId="77777777" w:rsidR="00A9766F" w:rsidRPr="007114AF" w:rsidRDefault="00A9766F" w:rsidP="00A9766F">
            <w:pPr>
              <w:cnfStyle w:val="000000100000" w:firstRow="0" w:lastRow="0" w:firstColumn="0" w:lastColumn="0" w:oddVBand="0" w:evenVBand="0" w:oddHBand="1" w:evenHBand="0" w:firstRowFirstColumn="0" w:firstRowLastColumn="0" w:lastRowFirstColumn="0" w:lastRowLastColumn="0"/>
              <w:rPr>
                <w:rFonts w:ascii="Garamond" w:hAnsi="Garamond" w:cs="Calibri"/>
                <w:sz w:val="18"/>
                <w:szCs w:val="18"/>
              </w:rPr>
            </w:pPr>
            <w:r w:rsidRPr="007114AF">
              <w:rPr>
                <w:rFonts w:ascii="Garamond" w:hAnsi="Garamond" w:cs="Calibri"/>
                <w:sz w:val="18"/>
                <w:szCs w:val="18"/>
              </w:rPr>
              <w:t>5116.04</w:t>
            </w:r>
          </w:p>
        </w:tc>
      </w:tr>
      <w:tr w:rsidR="00A9766F" w:rsidRPr="007114AF" w14:paraId="6EDCF8E1" w14:textId="77777777" w:rsidTr="00A9766F">
        <w:trPr>
          <w:trHeight w:val="300"/>
          <w:jc w:val="center"/>
        </w:trPr>
        <w:tc>
          <w:tcPr>
            <w:cnfStyle w:val="001000000000" w:firstRow="0" w:lastRow="0" w:firstColumn="1" w:lastColumn="0" w:oddVBand="0" w:evenVBand="0" w:oddHBand="0" w:evenHBand="0" w:firstRowFirstColumn="0" w:firstRowLastColumn="0" w:lastRowFirstColumn="0" w:lastRowLastColumn="0"/>
            <w:tcW w:w="712" w:type="pct"/>
            <w:vAlign w:val="center"/>
            <w:hideMark/>
          </w:tcPr>
          <w:p w14:paraId="6EDCF8D6" w14:textId="77777777" w:rsidR="00A9766F" w:rsidRPr="007114AF" w:rsidRDefault="00A9766F" w:rsidP="00A9766F">
            <w:pPr>
              <w:rPr>
                <w:rFonts w:ascii="Garamond" w:hAnsi="Garamond" w:cs="Calibri"/>
                <w:b w:val="0"/>
                <w:sz w:val="18"/>
                <w:szCs w:val="18"/>
              </w:rPr>
            </w:pPr>
            <w:r w:rsidRPr="007114AF">
              <w:rPr>
                <w:rFonts w:ascii="Garamond" w:hAnsi="Garamond" w:cs="Calibri"/>
                <w:sz w:val="18"/>
                <w:szCs w:val="18"/>
              </w:rPr>
              <w:t xml:space="preserve">Industritë e Energjisë: Të gjitha </w:t>
            </w:r>
          </w:p>
        </w:tc>
        <w:tc>
          <w:tcPr>
            <w:tcW w:w="428" w:type="pct"/>
            <w:vAlign w:val="center"/>
            <w:hideMark/>
          </w:tcPr>
          <w:p w14:paraId="6EDCF8D7" w14:textId="77777777" w:rsidR="00A9766F" w:rsidRPr="007114AF" w:rsidRDefault="00A9766F" w:rsidP="00A9766F">
            <w:pPr>
              <w:cnfStyle w:val="000000000000" w:firstRow="0" w:lastRow="0" w:firstColumn="0" w:lastColumn="0" w:oddVBand="0" w:evenVBand="0" w:oddHBand="0" w:evenHBand="0" w:firstRowFirstColumn="0" w:firstRowLastColumn="0" w:lastRowFirstColumn="0" w:lastRowLastColumn="0"/>
              <w:rPr>
                <w:rFonts w:ascii="Garamond" w:hAnsi="Garamond" w:cs="Calibri"/>
                <w:sz w:val="18"/>
                <w:szCs w:val="18"/>
              </w:rPr>
            </w:pPr>
            <w:r w:rsidRPr="007114AF">
              <w:rPr>
                <w:rFonts w:ascii="Garamond" w:hAnsi="Garamond" w:cs="Calibri"/>
                <w:sz w:val="18"/>
                <w:szCs w:val="18"/>
              </w:rPr>
              <w:t>246.29</w:t>
            </w:r>
          </w:p>
        </w:tc>
        <w:tc>
          <w:tcPr>
            <w:tcW w:w="429" w:type="pct"/>
            <w:vAlign w:val="center"/>
            <w:hideMark/>
          </w:tcPr>
          <w:p w14:paraId="6EDCF8D8" w14:textId="77777777" w:rsidR="00A9766F" w:rsidRPr="007114AF" w:rsidRDefault="00A9766F" w:rsidP="00A9766F">
            <w:pPr>
              <w:cnfStyle w:val="000000000000" w:firstRow="0" w:lastRow="0" w:firstColumn="0" w:lastColumn="0" w:oddVBand="0" w:evenVBand="0" w:oddHBand="0" w:evenHBand="0" w:firstRowFirstColumn="0" w:firstRowLastColumn="0" w:lastRowFirstColumn="0" w:lastRowLastColumn="0"/>
              <w:rPr>
                <w:rFonts w:ascii="Garamond" w:hAnsi="Garamond" w:cs="Calibri"/>
                <w:sz w:val="18"/>
                <w:szCs w:val="18"/>
              </w:rPr>
            </w:pPr>
            <w:r w:rsidRPr="007114AF">
              <w:rPr>
                <w:rFonts w:ascii="Garamond" w:hAnsi="Garamond" w:cs="Calibri"/>
                <w:sz w:val="18"/>
                <w:szCs w:val="18"/>
              </w:rPr>
              <w:t>248.28</w:t>
            </w:r>
          </w:p>
        </w:tc>
        <w:tc>
          <w:tcPr>
            <w:tcW w:w="429" w:type="pct"/>
            <w:vAlign w:val="center"/>
            <w:hideMark/>
          </w:tcPr>
          <w:p w14:paraId="6EDCF8D9" w14:textId="77777777" w:rsidR="00A9766F" w:rsidRPr="007114AF" w:rsidRDefault="00A9766F" w:rsidP="00A9766F">
            <w:pPr>
              <w:cnfStyle w:val="000000000000" w:firstRow="0" w:lastRow="0" w:firstColumn="0" w:lastColumn="0" w:oddVBand="0" w:evenVBand="0" w:oddHBand="0" w:evenHBand="0" w:firstRowFirstColumn="0" w:firstRowLastColumn="0" w:lastRowFirstColumn="0" w:lastRowLastColumn="0"/>
              <w:rPr>
                <w:rFonts w:ascii="Garamond" w:hAnsi="Garamond" w:cs="Calibri"/>
                <w:sz w:val="18"/>
                <w:szCs w:val="18"/>
              </w:rPr>
            </w:pPr>
            <w:r w:rsidRPr="007114AF">
              <w:rPr>
                <w:rFonts w:ascii="Garamond" w:hAnsi="Garamond" w:cs="Calibri"/>
                <w:sz w:val="18"/>
                <w:szCs w:val="18"/>
              </w:rPr>
              <w:t>257.85</w:t>
            </w:r>
          </w:p>
        </w:tc>
        <w:tc>
          <w:tcPr>
            <w:tcW w:w="429" w:type="pct"/>
            <w:vAlign w:val="center"/>
            <w:hideMark/>
          </w:tcPr>
          <w:p w14:paraId="6EDCF8DA" w14:textId="77777777" w:rsidR="00A9766F" w:rsidRPr="007114AF" w:rsidRDefault="00A9766F" w:rsidP="00A9766F">
            <w:pPr>
              <w:cnfStyle w:val="000000000000" w:firstRow="0" w:lastRow="0" w:firstColumn="0" w:lastColumn="0" w:oddVBand="0" w:evenVBand="0" w:oddHBand="0" w:evenHBand="0" w:firstRowFirstColumn="0" w:firstRowLastColumn="0" w:lastRowFirstColumn="0" w:lastRowLastColumn="0"/>
              <w:rPr>
                <w:rFonts w:ascii="Garamond" w:hAnsi="Garamond" w:cs="Calibri"/>
                <w:sz w:val="18"/>
                <w:szCs w:val="18"/>
              </w:rPr>
            </w:pPr>
            <w:r w:rsidRPr="007114AF">
              <w:rPr>
                <w:rFonts w:ascii="Garamond" w:hAnsi="Garamond" w:cs="Calibri"/>
                <w:sz w:val="18"/>
                <w:szCs w:val="18"/>
              </w:rPr>
              <w:t>270.80</w:t>
            </w:r>
          </w:p>
        </w:tc>
        <w:tc>
          <w:tcPr>
            <w:tcW w:w="429" w:type="pct"/>
            <w:vAlign w:val="center"/>
            <w:hideMark/>
          </w:tcPr>
          <w:p w14:paraId="6EDCF8DB" w14:textId="77777777" w:rsidR="00A9766F" w:rsidRPr="007114AF" w:rsidRDefault="00A9766F" w:rsidP="00A9766F">
            <w:pPr>
              <w:cnfStyle w:val="000000000000" w:firstRow="0" w:lastRow="0" w:firstColumn="0" w:lastColumn="0" w:oddVBand="0" w:evenVBand="0" w:oddHBand="0" w:evenHBand="0" w:firstRowFirstColumn="0" w:firstRowLastColumn="0" w:lastRowFirstColumn="0" w:lastRowLastColumn="0"/>
              <w:rPr>
                <w:rFonts w:ascii="Garamond" w:hAnsi="Garamond" w:cs="Calibri"/>
                <w:sz w:val="18"/>
                <w:szCs w:val="18"/>
              </w:rPr>
            </w:pPr>
            <w:r w:rsidRPr="007114AF">
              <w:rPr>
                <w:rFonts w:ascii="Garamond" w:hAnsi="Garamond" w:cs="Calibri"/>
                <w:sz w:val="18"/>
                <w:szCs w:val="18"/>
              </w:rPr>
              <w:t>286.84</w:t>
            </w:r>
          </w:p>
        </w:tc>
        <w:tc>
          <w:tcPr>
            <w:tcW w:w="429" w:type="pct"/>
            <w:vAlign w:val="center"/>
            <w:hideMark/>
          </w:tcPr>
          <w:p w14:paraId="6EDCF8DC" w14:textId="77777777" w:rsidR="00A9766F" w:rsidRPr="007114AF" w:rsidRDefault="00A9766F" w:rsidP="00A9766F">
            <w:pPr>
              <w:cnfStyle w:val="000000000000" w:firstRow="0" w:lastRow="0" w:firstColumn="0" w:lastColumn="0" w:oddVBand="0" w:evenVBand="0" w:oddHBand="0" w:evenHBand="0" w:firstRowFirstColumn="0" w:firstRowLastColumn="0" w:lastRowFirstColumn="0" w:lastRowLastColumn="0"/>
              <w:rPr>
                <w:rFonts w:ascii="Garamond" w:hAnsi="Garamond" w:cs="Calibri"/>
                <w:sz w:val="18"/>
                <w:szCs w:val="18"/>
              </w:rPr>
            </w:pPr>
            <w:r w:rsidRPr="007114AF">
              <w:rPr>
                <w:rFonts w:ascii="Garamond" w:hAnsi="Garamond" w:cs="Calibri"/>
                <w:sz w:val="18"/>
                <w:szCs w:val="18"/>
              </w:rPr>
              <w:t>282.89</w:t>
            </w:r>
          </w:p>
        </w:tc>
        <w:tc>
          <w:tcPr>
            <w:tcW w:w="429" w:type="pct"/>
            <w:vAlign w:val="center"/>
            <w:hideMark/>
          </w:tcPr>
          <w:p w14:paraId="6EDCF8DD" w14:textId="77777777" w:rsidR="00A9766F" w:rsidRPr="007114AF" w:rsidRDefault="00A9766F" w:rsidP="00A9766F">
            <w:pPr>
              <w:cnfStyle w:val="000000000000" w:firstRow="0" w:lastRow="0" w:firstColumn="0" w:lastColumn="0" w:oddVBand="0" w:evenVBand="0" w:oddHBand="0" w:evenHBand="0" w:firstRowFirstColumn="0" w:firstRowLastColumn="0" w:lastRowFirstColumn="0" w:lastRowLastColumn="0"/>
              <w:rPr>
                <w:rFonts w:ascii="Garamond" w:hAnsi="Garamond" w:cs="Calibri"/>
                <w:sz w:val="18"/>
                <w:szCs w:val="18"/>
              </w:rPr>
            </w:pPr>
            <w:r w:rsidRPr="007114AF">
              <w:rPr>
                <w:rFonts w:ascii="Garamond" w:hAnsi="Garamond" w:cs="Calibri"/>
                <w:sz w:val="18"/>
                <w:szCs w:val="18"/>
              </w:rPr>
              <w:t>285.22</w:t>
            </w:r>
          </w:p>
        </w:tc>
        <w:tc>
          <w:tcPr>
            <w:tcW w:w="429" w:type="pct"/>
            <w:vAlign w:val="center"/>
            <w:hideMark/>
          </w:tcPr>
          <w:p w14:paraId="6EDCF8DE" w14:textId="77777777" w:rsidR="00A9766F" w:rsidRPr="007114AF" w:rsidRDefault="00A9766F" w:rsidP="00A9766F">
            <w:pPr>
              <w:cnfStyle w:val="000000000000" w:firstRow="0" w:lastRow="0" w:firstColumn="0" w:lastColumn="0" w:oddVBand="0" w:evenVBand="0" w:oddHBand="0" w:evenHBand="0" w:firstRowFirstColumn="0" w:firstRowLastColumn="0" w:lastRowFirstColumn="0" w:lastRowLastColumn="0"/>
              <w:rPr>
                <w:rFonts w:ascii="Garamond" w:hAnsi="Garamond" w:cs="Calibri"/>
                <w:sz w:val="18"/>
                <w:szCs w:val="18"/>
              </w:rPr>
            </w:pPr>
            <w:r w:rsidRPr="007114AF">
              <w:rPr>
                <w:rFonts w:ascii="Garamond" w:hAnsi="Garamond" w:cs="Calibri"/>
                <w:sz w:val="18"/>
                <w:szCs w:val="18"/>
              </w:rPr>
              <w:t>288.13</w:t>
            </w:r>
          </w:p>
        </w:tc>
        <w:tc>
          <w:tcPr>
            <w:tcW w:w="429" w:type="pct"/>
            <w:vAlign w:val="center"/>
            <w:hideMark/>
          </w:tcPr>
          <w:p w14:paraId="6EDCF8DF" w14:textId="77777777" w:rsidR="00A9766F" w:rsidRPr="007114AF" w:rsidRDefault="00A9766F" w:rsidP="00A9766F">
            <w:pPr>
              <w:cnfStyle w:val="000000000000" w:firstRow="0" w:lastRow="0" w:firstColumn="0" w:lastColumn="0" w:oddVBand="0" w:evenVBand="0" w:oddHBand="0" w:evenHBand="0" w:firstRowFirstColumn="0" w:firstRowLastColumn="0" w:lastRowFirstColumn="0" w:lastRowLastColumn="0"/>
              <w:rPr>
                <w:rFonts w:ascii="Garamond" w:hAnsi="Garamond" w:cs="Calibri"/>
                <w:sz w:val="18"/>
                <w:szCs w:val="18"/>
              </w:rPr>
            </w:pPr>
            <w:r w:rsidRPr="007114AF">
              <w:rPr>
                <w:rFonts w:ascii="Garamond" w:hAnsi="Garamond" w:cs="Calibri"/>
                <w:sz w:val="18"/>
                <w:szCs w:val="18"/>
              </w:rPr>
              <w:t>291.62</w:t>
            </w:r>
          </w:p>
        </w:tc>
        <w:tc>
          <w:tcPr>
            <w:tcW w:w="429" w:type="pct"/>
            <w:vAlign w:val="center"/>
            <w:hideMark/>
          </w:tcPr>
          <w:p w14:paraId="6EDCF8E0" w14:textId="77777777" w:rsidR="00A9766F" w:rsidRPr="007114AF" w:rsidRDefault="00A9766F" w:rsidP="00A9766F">
            <w:pPr>
              <w:cnfStyle w:val="000000000000" w:firstRow="0" w:lastRow="0" w:firstColumn="0" w:lastColumn="0" w:oddVBand="0" w:evenVBand="0" w:oddHBand="0" w:evenHBand="0" w:firstRowFirstColumn="0" w:firstRowLastColumn="0" w:lastRowFirstColumn="0" w:lastRowLastColumn="0"/>
              <w:rPr>
                <w:rFonts w:ascii="Garamond" w:hAnsi="Garamond" w:cs="Calibri"/>
                <w:sz w:val="18"/>
                <w:szCs w:val="18"/>
              </w:rPr>
            </w:pPr>
            <w:r w:rsidRPr="007114AF">
              <w:rPr>
                <w:rFonts w:ascii="Garamond" w:hAnsi="Garamond" w:cs="Calibri"/>
                <w:sz w:val="18"/>
                <w:szCs w:val="18"/>
              </w:rPr>
              <w:t>312.82</w:t>
            </w:r>
          </w:p>
        </w:tc>
      </w:tr>
      <w:tr w:rsidR="00A9766F" w:rsidRPr="007114AF" w14:paraId="6EDCF8ED" w14:textId="77777777" w:rsidTr="00A9766F">
        <w:trPr>
          <w:cnfStyle w:val="000000100000" w:firstRow="0" w:lastRow="0" w:firstColumn="0" w:lastColumn="0" w:oddVBand="0" w:evenVBand="0" w:oddHBand="1" w:evenHBand="0" w:firstRowFirstColumn="0" w:firstRowLastColumn="0" w:lastRowFirstColumn="0" w:lastRowLastColumn="0"/>
          <w:trHeight w:val="510"/>
          <w:jc w:val="center"/>
        </w:trPr>
        <w:tc>
          <w:tcPr>
            <w:cnfStyle w:val="001000000000" w:firstRow="0" w:lastRow="0" w:firstColumn="1" w:lastColumn="0" w:oddVBand="0" w:evenVBand="0" w:oddHBand="0" w:evenHBand="0" w:firstRowFirstColumn="0" w:firstRowLastColumn="0" w:lastRowFirstColumn="0" w:lastRowLastColumn="0"/>
            <w:tcW w:w="712" w:type="pct"/>
            <w:vAlign w:val="center"/>
            <w:hideMark/>
          </w:tcPr>
          <w:p w14:paraId="6EDCF8E2" w14:textId="77777777" w:rsidR="00A9766F" w:rsidRPr="007114AF" w:rsidRDefault="00A9766F" w:rsidP="00A9766F">
            <w:pPr>
              <w:rPr>
                <w:rFonts w:ascii="Garamond" w:hAnsi="Garamond" w:cs="Calibri"/>
                <w:b w:val="0"/>
                <w:sz w:val="18"/>
                <w:szCs w:val="18"/>
              </w:rPr>
            </w:pPr>
            <w:r w:rsidRPr="007114AF">
              <w:rPr>
                <w:rFonts w:ascii="Garamond" w:hAnsi="Garamond" w:cs="Calibri"/>
                <w:sz w:val="18"/>
                <w:szCs w:val="18"/>
              </w:rPr>
              <w:t xml:space="preserve">Industritë e Energjisë: Vetëm shkarkimet e çrregullta </w:t>
            </w:r>
          </w:p>
        </w:tc>
        <w:tc>
          <w:tcPr>
            <w:tcW w:w="428" w:type="pct"/>
            <w:vAlign w:val="center"/>
            <w:hideMark/>
          </w:tcPr>
          <w:p w14:paraId="6EDCF8E3" w14:textId="77777777" w:rsidR="00A9766F" w:rsidRPr="007114AF" w:rsidRDefault="00A9766F" w:rsidP="00A9766F">
            <w:pPr>
              <w:cnfStyle w:val="000000100000" w:firstRow="0" w:lastRow="0" w:firstColumn="0" w:lastColumn="0" w:oddVBand="0" w:evenVBand="0" w:oddHBand="1" w:evenHBand="0" w:firstRowFirstColumn="0" w:firstRowLastColumn="0" w:lastRowFirstColumn="0" w:lastRowLastColumn="0"/>
              <w:rPr>
                <w:rFonts w:ascii="Garamond" w:hAnsi="Garamond" w:cs="Calibri"/>
                <w:sz w:val="18"/>
                <w:szCs w:val="18"/>
              </w:rPr>
            </w:pPr>
            <w:r w:rsidRPr="007114AF">
              <w:rPr>
                <w:rFonts w:ascii="Garamond" w:hAnsi="Garamond" w:cs="Calibri"/>
                <w:sz w:val="18"/>
                <w:szCs w:val="18"/>
              </w:rPr>
              <w:t>7.46</w:t>
            </w:r>
          </w:p>
        </w:tc>
        <w:tc>
          <w:tcPr>
            <w:tcW w:w="429" w:type="pct"/>
            <w:vAlign w:val="center"/>
            <w:hideMark/>
          </w:tcPr>
          <w:p w14:paraId="6EDCF8E4" w14:textId="77777777" w:rsidR="00A9766F" w:rsidRPr="007114AF" w:rsidRDefault="00A9766F" w:rsidP="00A9766F">
            <w:pPr>
              <w:cnfStyle w:val="000000100000" w:firstRow="0" w:lastRow="0" w:firstColumn="0" w:lastColumn="0" w:oddVBand="0" w:evenVBand="0" w:oddHBand="1" w:evenHBand="0" w:firstRowFirstColumn="0" w:firstRowLastColumn="0" w:lastRowFirstColumn="0" w:lastRowLastColumn="0"/>
              <w:rPr>
                <w:rFonts w:ascii="Garamond" w:hAnsi="Garamond" w:cs="Calibri"/>
                <w:sz w:val="18"/>
                <w:szCs w:val="18"/>
              </w:rPr>
            </w:pPr>
            <w:r w:rsidRPr="007114AF">
              <w:rPr>
                <w:rFonts w:ascii="Garamond" w:hAnsi="Garamond" w:cs="Calibri"/>
                <w:sz w:val="18"/>
                <w:szCs w:val="18"/>
              </w:rPr>
              <w:t>7.48</w:t>
            </w:r>
          </w:p>
        </w:tc>
        <w:tc>
          <w:tcPr>
            <w:tcW w:w="429" w:type="pct"/>
            <w:vAlign w:val="center"/>
            <w:hideMark/>
          </w:tcPr>
          <w:p w14:paraId="6EDCF8E5" w14:textId="77777777" w:rsidR="00A9766F" w:rsidRPr="007114AF" w:rsidRDefault="00A9766F" w:rsidP="00A9766F">
            <w:pPr>
              <w:cnfStyle w:val="000000100000" w:firstRow="0" w:lastRow="0" w:firstColumn="0" w:lastColumn="0" w:oddVBand="0" w:evenVBand="0" w:oddHBand="1" w:evenHBand="0" w:firstRowFirstColumn="0" w:firstRowLastColumn="0" w:lastRowFirstColumn="0" w:lastRowLastColumn="0"/>
              <w:rPr>
                <w:rFonts w:ascii="Garamond" w:hAnsi="Garamond" w:cs="Calibri"/>
                <w:sz w:val="18"/>
                <w:szCs w:val="18"/>
              </w:rPr>
            </w:pPr>
            <w:r w:rsidRPr="007114AF">
              <w:rPr>
                <w:rFonts w:ascii="Garamond" w:hAnsi="Garamond" w:cs="Calibri"/>
                <w:sz w:val="18"/>
                <w:szCs w:val="18"/>
              </w:rPr>
              <w:t>7.50</w:t>
            </w:r>
          </w:p>
        </w:tc>
        <w:tc>
          <w:tcPr>
            <w:tcW w:w="429" w:type="pct"/>
            <w:vAlign w:val="center"/>
            <w:hideMark/>
          </w:tcPr>
          <w:p w14:paraId="6EDCF8E6" w14:textId="77777777" w:rsidR="00A9766F" w:rsidRPr="007114AF" w:rsidRDefault="00A9766F" w:rsidP="00A9766F">
            <w:pPr>
              <w:cnfStyle w:val="000000100000" w:firstRow="0" w:lastRow="0" w:firstColumn="0" w:lastColumn="0" w:oddVBand="0" w:evenVBand="0" w:oddHBand="1" w:evenHBand="0" w:firstRowFirstColumn="0" w:firstRowLastColumn="0" w:lastRowFirstColumn="0" w:lastRowLastColumn="0"/>
              <w:rPr>
                <w:rFonts w:ascii="Garamond" w:hAnsi="Garamond" w:cs="Calibri"/>
                <w:sz w:val="18"/>
                <w:szCs w:val="18"/>
              </w:rPr>
            </w:pPr>
            <w:r w:rsidRPr="007114AF">
              <w:rPr>
                <w:rFonts w:ascii="Garamond" w:hAnsi="Garamond" w:cs="Calibri"/>
                <w:sz w:val="18"/>
                <w:szCs w:val="18"/>
              </w:rPr>
              <w:t>7.52</w:t>
            </w:r>
          </w:p>
        </w:tc>
        <w:tc>
          <w:tcPr>
            <w:tcW w:w="429" w:type="pct"/>
            <w:vAlign w:val="center"/>
            <w:hideMark/>
          </w:tcPr>
          <w:p w14:paraId="6EDCF8E7" w14:textId="77777777" w:rsidR="00A9766F" w:rsidRPr="007114AF" w:rsidRDefault="00A9766F" w:rsidP="00A9766F">
            <w:pPr>
              <w:cnfStyle w:val="000000100000" w:firstRow="0" w:lastRow="0" w:firstColumn="0" w:lastColumn="0" w:oddVBand="0" w:evenVBand="0" w:oddHBand="1" w:evenHBand="0" w:firstRowFirstColumn="0" w:firstRowLastColumn="0" w:lastRowFirstColumn="0" w:lastRowLastColumn="0"/>
              <w:rPr>
                <w:rFonts w:ascii="Garamond" w:hAnsi="Garamond" w:cs="Calibri"/>
                <w:sz w:val="18"/>
                <w:szCs w:val="18"/>
              </w:rPr>
            </w:pPr>
            <w:r w:rsidRPr="007114AF">
              <w:rPr>
                <w:rFonts w:ascii="Garamond" w:hAnsi="Garamond" w:cs="Calibri"/>
                <w:sz w:val="18"/>
                <w:szCs w:val="18"/>
              </w:rPr>
              <w:t>7.54</w:t>
            </w:r>
          </w:p>
        </w:tc>
        <w:tc>
          <w:tcPr>
            <w:tcW w:w="429" w:type="pct"/>
            <w:vAlign w:val="center"/>
            <w:hideMark/>
          </w:tcPr>
          <w:p w14:paraId="6EDCF8E8" w14:textId="77777777" w:rsidR="00A9766F" w:rsidRPr="007114AF" w:rsidRDefault="00A9766F" w:rsidP="00A9766F">
            <w:pPr>
              <w:cnfStyle w:val="000000100000" w:firstRow="0" w:lastRow="0" w:firstColumn="0" w:lastColumn="0" w:oddVBand="0" w:evenVBand="0" w:oddHBand="1" w:evenHBand="0" w:firstRowFirstColumn="0" w:firstRowLastColumn="0" w:lastRowFirstColumn="0" w:lastRowLastColumn="0"/>
              <w:rPr>
                <w:rFonts w:ascii="Garamond" w:hAnsi="Garamond" w:cs="Calibri"/>
                <w:sz w:val="18"/>
                <w:szCs w:val="18"/>
              </w:rPr>
            </w:pPr>
            <w:r w:rsidRPr="007114AF">
              <w:rPr>
                <w:rFonts w:ascii="Garamond" w:hAnsi="Garamond" w:cs="Calibri"/>
                <w:sz w:val="18"/>
                <w:szCs w:val="18"/>
              </w:rPr>
              <w:t>7.56</w:t>
            </w:r>
          </w:p>
        </w:tc>
        <w:tc>
          <w:tcPr>
            <w:tcW w:w="429" w:type="pct"/>
            <w:vAlign w:val="center"/>
            <w:hideMark/>
          </w:tcPr>
          <w:p w14:paraId="6EDCF8E9" w14:textId="77777777" w:rsidR="00A9766F" w:rsidRPr="007114AF" w:rsidRDefault="00A9766F" w:rsidP="00A9766F">
            <w:pPr>
              <w:cnfStyle w:val="000000100000" w:firstRow="0" w:lastRow="0" w:firstColumn="0" w:lastColumn="0" w:oddVBand="0" w:evenVBand="0" w:oddHBand="1" w:evenHBand="0" w:firstRowFirstColumn="0" w:firstRowLastColumn="0" w:lastRowFirstColumn="0" w:lastRowLastColumn="0"/>
              <w:rPr>
                <w:rFonts w:ascii="Garamond" w:hAnsi="Garamond" w:cs="Calibri"/>
                <w:sz w:val="18"/>
                <w:szCs w:val="18"/>
              </w:rPr>
            </w:pPr>
            <w:r w:rsidRPr="007114AF">
              <w:rPr>
                <w:rFonts w:ascii="Garamond" w:hAnsi="Garamond" w:cs="Calibri"/>
                <w:sz w:val="18"/>
                <w:szCs w:val="18"/>
              </w:rPr>
              <w:t>7.58</w:t>
            </w:r>
          </w:p>
        </w:tc>
        <w:tc>
          <w:tcPr>
            <w:tcW w:w="429" w:type="pct"/>
            <w:vAlign w:val="center"/>
            <w:hideMark/>
          </w:tcPr>
          <w:p w14:paraId="6EDCF8EA" w14:textId="77777777" w:rsidR="00A9766F" w:rsidRPr="007114AF" w:rsidRDefault="00A9766F" w:rsidP="00A9766F">
            <w:pPr>
              <w:cnfStyle w:val="000000100000" w:firstRow="0" w:lastRow="0" w:firstColumn="0" w:lastColumn="0" w:oddVBand="0" w:evenVBand="0" w:oddHBand="1" w:evenHBand="0" w:firstRowFirstColumn="0" w:firstRowLastColumn="0" w:lastRowFirstColumn="0" w:lastRowLastColumn="0"/>
              <w:rPr>
                <w:rFonts w:ascii="Garamond" w:hAnsi="Garamond" w:cs="Calibri"/>
                <w:sz w:val="18"/>
                <w:szCs w:val="18"/>
              </w:rPr>
            </w:pPr>
            <w:r w:rsidRPr="007114AF">
              <w:rPr>
                <w:rFonts w:ascii="Garamond" w:hAnsi="Garamond" w:cs="Calibri"/>
                <w:sz w:val="18"/>
                <w:szCs w:val="18"/>
              </w:rPr>
              <w:t>7.60</w:t>
            </w:r>
          </w:p>
        </w:tc>
        <w:tc>
          <w:tcPr>
            <w:tcW w:w="429" w:type="pct"/>
            <w:vAlign w:val="center"/>
            <w:hideMark/>
          </w:tcPr>
          <w:p w14:paraId="6EDCF8EB" w14:textId="77777777" w:rsidR="00A9766F" w:rsidRPr="007114AF" w:rsidRDefault="00A9766F" w:rsidP="00A9766F">
            <w:pPr>
              <w:cnfStyle w:val="000000100000" w:firstRow="0" w:lastRow="0" w:firstColumn="0" w:lastColumn="0" w:oddVBand="0" w:evenVBand="0" w:oddHBand="1" w:evenHBand="0" w:firstRowFirstColumn="0" w:firstRowLastColumn="0" w:lastRowFirstColumn="0" w:lastRowLastColumn="0"/>
              <w:rPr>
                <w:rFonts w:ascii="Garamond" w:hAnsi="Garamond" w:cs="Calibri"/>
                <w:sz w:val="18"/>
                <w:szCs w:val="18"/>
              </w:rPr>
            </w:pPr>
            <w:r w:rsidRPr="007114AF">
              <w:rPr>
                <w:rFonts w:ascii="Garamond" w:hAnsi="Garamond" w:cs="Calibri"/>
                <w:sz w:val="18"/>
                <w:szCs w:val="18"/>
              </w:rPr>
              <w:t>7.62</w:t>
            </w:r>
          </w:p>
        </w:tc>
        <w:tc>
          <w:tcPr>
            <w:tcW w:w="429" w:type="pct"/>
            <w:vAlign w:val="center"/>
            <w:hideMark/>
          </w:tcPr>
          <w:p w14:paraId="6EDCF8EC" w14:textId="77777777" w:rsidR="00A9766F" w:rsidRPr="007114AF" w:rsidRDefault="00A9766F" w:rsidP="00A9766F">
            <w:pPr>
              <w:cnfStyle w:val="000000100000" w:firstRow="0" w:lastRow="0" w:firstColumn="0" w:lastColumn="0" w:oddVBand="0" w:evenVBand="0" w:oddHBand="1" w:evenHBand="0" w:firstRowFirstColumn="0" w:firstRowLastColumn="0" w:lastRowFirstColumn="0" w:lastRowLastColumn="0"/>
              <w:rPr>
                <w:rFonts w:ascii="Garamond" w:hAnsi="Garamond" w:cs="Calibri"/>
                <w:sz w:val="18"/>
                <w:szCs w:val="18"/>
              </w:rPr>
            </w:pPr>
            <w:r w:rsidRPr="007114AF">
              <w:rPr>
                <w:rFonts w:ascii="Garamond" w:hAnsi="Garamond" w:cs="Calibri"/>
                <w:sz w:val="18"/>
                <w:szCs w:val="18"/>
              </w:rPr>
              <w:t>7.65</w:t>
            </w:r>
          </w:p>
        </w:tc>
      </w:tr>
      <w:tr w:rsidR="00A9766F" w:rsidRPr="007114AF" w14:paraId="6EDCF8F9" w14:textId="77777777" w:rsidTr="00A9766F">
        <w:trPr>
          <w:trHeight w:val="300"/>
          <w:jc w:val="center"/>
        </w:trPr>
        <w:tc>
          <w:tcPr>
            <w:cnfStyle w:val="001000000000" w:firstRow="0" w:lastRow="0" w:firstColumn="1" w:lastColumn="0" w:oddVBand="0" w:evenVBand="0" w:oddHBand="0" w:evenHBand="0" w:firstRowFirstColumn="0" w:firstRowLastColumn="0" w:lastRowFirstColumn="0" w:lastRowLastColumn="0"/>
            <w:tcW w:w="712" w:type="pct"/>
            <w:vAlign w:val="center"/>
            <w:hideMark/>
          </w:tcPr>
          <w:p w14:paraId="6EDCF8EE" w14:textId="097E8BAD" w:rsidR="00A9766F" w:rsidRPr="007114AF" w:rsidRDefault="00A9766F" w:rsidP="00A9766F">
            <w:pPr>
              <w:rPr>
                <w:rFonts w:ascii="Garamond" w:hAnsi="Garamond" w:cs="Calibri"/>
                <w:b w:val="0"/>
                <w:sz w:val="18"/>
                <w:szCs w:val="18"/>
              </w:rPr>
            </w:pPr>
            <w:r w:rsidRPr="007114AF">
              <w:rPr>
                <w:rFonts w:ascii="Garamond" w:hAnsi="Garamond" w:cs="Calibri"/>
                <w:sz w:val="18"/>
                <w:szCs w:val="18"/>
              </w:rPr>
              <w:t>Industria përpunuese dhe ndërtimi</w:t>
            </w:r>
            <w:r w:rsidR="000A2A01" w:rsidRPr="007114AF">
              <w:rPr>
                <w:rFonts w:ascii="Garamond" w:hAnsi="Garamond" w:cs="Calibri"/>
                <w:sz w:val="18"/>
                <w:szCs w:val="18"/>
              </w:rPr>
              <w:t xml:space="preserve"> </w:t>
            </w:r>
          </w:p>
        </w:tc>
        <w:tc>
          <w:tcPr>
            <w:tcW w:w="428" w:type="pct"/>
            <w:vAlign w:val="center"/>
            <w:hideMark/>
          </w:tcPr>
          <w:p w14:paraId="6EDCF8EF" w14:textId="77777777" w:rsidR="00A9766F" w:rsidRPr="007114AF" w:rsidRDefault="00A9766F" w:rsidP="00A9766F">
            <w:pPr>
              <w:cnfStyle w:val="000000000000" w:firstRow="0" w:lastRow="0" w:firstColumn="0" w:lastColumn="0" w:oddVBand="0" w:evenVBand="0" w:oddHBand="0" w:evenHBand="0" w:firstRowFirstColumn="0" w:firstRowLastColumn="0" w:lastRowFirstColumn="0" w:lastRowLastColumn="0"/>
              <w:rPr>
                <w:rFonts w:ascii="Garamond" w:hAnsi="Garamond" w:cs="Calibri"/>
                <w:sz w:val="18"/>
                <w:szCs w:val="18"/>
              </w:rPr>
            </w:pPr>
            <w:r w:rsidRPr="007114AF">
              <w:rPr>
                <w:rFonts w:ascii="Garamond" w:hAnsi="Garamond" w:cs="Calibri"/>
                <w:sz w:val="18"/>
                <w:szCs w:val="18"/>
              </w:rPr>
              <w:t>612.64</w:t>
            </w:r>
          </w:p>
        </w:tc>
        <w:tc>
          <w:tcPr>
            <w:tcW w:w="429" w:type="pct"/>
            <w:vAlign w:val="center"/>
            <w:hideMark/>
          </w:tcPr>
          <w:p w14:paraId="6EDCF8F0" w14:textId="77777777" w:rsidR="00A9766F" w:rsidRPr="007114AF" w:rsidRDefault="00A9766F" w:rsidP="00A9766F">
            <w:pPr>
              <w:cnfStyle w:val="000000000000" w:firstRow="0" w:lastRow="0" w:firstColumn="0" w:lastColumn="0" w:oddVBand="0" w:evenVBand="0" w:oddHBand="0" w:evenHBand="0" w:firstRowFirstColumn="0" w:firstRowLastColumn="0" w:lastRowFirstColumn="0" w:lastRowLastColumn="0"/>
              <w:rPr>
                <w:rFonts w:ascii="Garamond" w:hAnsi="Garamond" w:cs="Calibri"/>
                <w:sz w:val="18"/>
                <w:szCs w:val="18"/>
              </w:rPr>
            </w:pPr>
            <w:r w:rsidRPr="007114AF">
              <w:rPr>
                <w:rFonts w:ascii="Garamond" w:hAnsi="Garamond" w:cs="Calibri"/>
                <w:sz w:val="18"/>
                <w:szCs w:val="18"/>
              </w:rPr>
              <w:t>617.52</w:t>
            </w:r>
          </w:p>
        </w:tc>
        <w:tc>
          <w:tcPr>
            <w:tcW w:w="429" w:type="pct"/>
            <w:vAlign w:val="center"/>
            <w:hideMark/>
          </w:tcPr>
          <w:p w14:paraId="6EDCF8F1" w14:textId="77777777" w:rsidR="00A9766F" w:rsidRPr="007114AF" w:rsidRDefault="00A9766F" w:rsidP="00A9766F">
            <w:pPr>
              <w:cnfStyle w:val="000000000000" w:firstRow="0" w:lastRow="0" w:firstColumn="0" w:lastColumn="0" w:oddVBand="0" w:evenVBand="0" w:oddHBand="0" w:evenHBand="0" w:firstRowFirstColumn="0" w:firstRowLastColumn="0" w:lastRowFirstColumn="0" w:lastRowLastColumn="0"/>
              <w:rPr>
                <w:rFonts w:ascii="Garamond" w:hAnsi="Garamond" w:cs="Calibri"/>
                <w:sz w:val="18"/>
                <w:szCs w:val="18"/>
              </w:rPr>
            </w:pPr>
            <w:r w:rsidRPr="007114AF">
              <w:rPr>
                <w:rFonts w:ascii="Garamond" w:hAnsi="Garamond" w:cs="Calibri"/>
                <w:sz w:val="18"/>
                <w:szCs w:val="18"/>
              </w:rPr>
              <w:t>617.59</w:t>
            </w:r>
          </w:p>
        </w:tc>
        <w:tc>
          <w:tcPr>
            <w:tcW w:w="429" w:type="pct"/>
            <w:vAlign w:val="center"/>
            <w:hideMark/>
          </w:tcPr>
          <w:p w14:paraId="6EDCF8F2" w14:textId="77777777" w:rsidR="00A9766F" w:rsidRPr="007114AF" w:rsidRDefault="00A9766F" w:rsidP="00A9766F">
            <w:pPr>
              <w:cnfStyle w:val="000000000000" w:firstRow="0" w:lastRow="0" w:firstColumn="0" w:lastColumn="0" w:oddVBand="0" w:evenVBand="0" w:oddHBand="0" w:evenHBand="0" w:firstRowFirstColumn="0" w:firstRowLastColumn="0" w:lastRowFirstColumn="0" w:lastRowLastColumn="0"/>
              <w:rPr>
                <w:rFonts w:ascii="Garamond" w:hAnsi="Garamond" w:cs="Calibri"/>
                <w:sz w:val="18"/>
                <w:szCs w:val="18"/>
              </w:rPr>
            </w:pPr>
            <w:r w:rsidRPr="007114AF">
              <w:rPr>
                <w:rFonts w:ascii="Garamond" w:hAnsi="Garamond" w:cs="Calibri"/>
                <w:sz w:val="18"/>
                <w:szCs w:val="18"/>
              </w:rPr>
              <w:t>617.88</w:t>
            </w:r>
          </w:p>
        </w:tc>
        <w:tc>
          <w:tcPr>
            <w:tcW w:w="429" w:type="pct"/>
            <w:vAlign w:val="center"/>
            <w:hideMark/>
          </w:tcPr>
          <w:p w14:paraId="6EDCF8F3" w14:textId="77777777" w:rsidR="00A9766F" w:rsidRPr="007114AF" w:rsidRDefault="00A9766F" w:rsidP="00A9766F">
            <w:pPr>
              <w:cnfStyle w:val="000000000000" w:firstRow="0" w:lastRow="0" w:firstColumn="0" w:lastColumn="0" w:oddVBand="0" w:evenVBand="0" w:oddHBand="0" w:evenHBand="0" w:firstRowFirstColumn="0" w:firstRowLastColumn="0" w:lastRowFirstColumn="0" w:lastRowLastColumn="0"/>
              <w:rPr>
                <w:rFonts w:ascii="Garamond" w:hAnsi="Garamond" w:cs="Calibri"/>
                <w:sz w:val="18"/>
                <w:szCs w:val="18"/>
              </w:rPr>
            </w:pPr>
            <w:r w:rsidRPr="007114AF">
              <w:rPr>
                <w:rFonts w:ascii="Garamond" w:hAnsi="Garamond" w:cs="Calibri"/>
                <w:sz w:val="18"/>
                <w:szCs w:val="18"/>
              </w:rPr>
              <w:t>653.70</w:t>
            </w:r>
          </w:p>
        </w:tc>
        <w:tc>
          <w:tcPr>
            <w:tcW w:w="429" w:type="pct"/>
            <w:vAlign w:val="center"/>
            <w:hideMark/>
          </w:tcPr>
          <w:p w14:paraId="6EDCF8F4" w14:textId="77777777" w:rsidR="00A9766F" w:rsidRPr="007114AF" w:rsidRDefault="00A9766F" w:rsidP="00A9766F">
            <w:pPr>
              <w:cnfStyle w:val="000000000000" w:firstRow="0" w:lastRow="0" w:firstColumn="0" w:lastColumn="0" w:oddVBand="0" w:evenVBand="0" w:oddHBand="0" w:evenHBand="0" w:firstRowFirstColumn="0" w:firstRowLastColumn="0" w:lastRowFirstColumn="0" w:lastRowLastColumn="0"/>
              <w:rPr>
                <w:rFonts w:ascii="Garamond" w:hAnsi="Garamond" w:cs="Calibri"/>
                <w:sz w:val="18"/>
                <w:szCs w:val="18"/>
              </w:rPr>
            </w:pPr>
            <w:r w:rsidRPr="007114AF">
              <w:rPr>
                <w:rFonts w:ascii="Garamond" w:hAnsi="Garamond" w:cs="Calibri"/>
                <w:sz w:val="18"/>
                <w:szCs w:val="18"/>
              </w:rPr>
              <w:t>644.71</w:t>
            </w:r>
          </w:p>
        </w:tc>
        <w:tc>
          <w:tcPr>
            <w:tcW w:w="429" w:type="pct"/>
            <w:vAlign w:val="center"/>
            <w:hideMark/>
          </w:tcPr>
          <w:p w14:paraId="6EDCF8F5" w14:textId="77777777" w:rsidR="00A9766F" w:rsidRPr="007114AF" w:rsidRDefault="00A9766F" w:rsidP="00A9766F">
            <w:pPr>
              <w:cnfStyle w:val="000000000000" w:firstRow="0" w:lastRow="0" w:firstColumn="0" w:lastColumn="0" w:oddVBand="0" w:evenVBand="0" w:oddHBand="0" w:evenHBand="0" w:firstRowFirstColumn="0" w:firstRowLastColumn="0" w:lastRowFirstColumn="0" w:lastRowLastColumn="0"/>
              <w:rPr>
                <w:rFonts w:ascii="Garamond" w:hAnsi="Garamond" w:cs="Calibri"/>
                <w:sz w:val="18"/>
                <w:szCs w:val="18"/>
              </w:rPr>
            </w:pPr>
            <w:r w:rsidRPr="007114AF">
              <w:rPr>
                <w:rFonts w:ascii="Garamond" w:hAnsi="Garamond" w:cs="Calibri"/>
                <w:sz w:val="18"/>
                <w:szCs w:val="18"/>
              </w:rPr>
              <w:t>649.95</w:t>
            </w:r>
          </w:p>
        </w:tc>
        <w:tc>
          <w:tcPr>
            <w:tcW w:w="429" w:type="pct"/>
            <w:vAlign w:val="center"/>
            <w:hideMark/>
          </w:tcPr>
          <w:p w14:paraId="6EDCF8F6" w14:textId="77777777" w:rsidR="00A9766F" w:rsidRPr="007114AF" w:rsidRDefault="00A9766F" w:rsidP="00A9766F">
            <w:pPr>
              <w:cnfStyle w:val="000000000000" w:firstRow="0" w:lastRow="0" w:firstColumn="0" w:lastColumn="0" w:oddVBand="0" w:evenVBand="0" w:oddHBand="0" w:evenHBand="0" w:firstRowFirstColumn="0" w:firstRowLastColumn="0" w:lastRowFirstColumn="0" w:lastRowLastColumn="0"/>
              <w:rPr>
                <w:rFonts w:ascii="Garamond" w:hAnsi="Garamond" w:cs="Calibri"/>
                <w:sz w:val="18"/>
                <w:szCs w:val="18"/>
              </w:rPr>
            </w:pPr>
            <w:r w:rsidRPr="007114AF">
              <w:rPr>
                <w:rFonts w:ascii="Garamond" w:hAnsi="Garamond" w:cs="Calibri"/>
                <w:sz w:val="18"/>
                <w:szCs w:val="18"/>
              </w:rPr>
              <w:t>656.83</w:t>
            </w:r>
          </w:p>
        </w:tc>
        <w:tc>
          <w:tcPr>
            <w:tcW w:w="429" w:type="pct"/>
            <w:vAlign w:val="center"/>
            <w:hideMark/>
          </w:tcPr>
          <w:p w14:paraId="6EDCF8F7" w14:textId="77777777" w:rsidR="00A9766F" w:rsidRPr="007114AF" w:rsidRDefault="00A9766F" w:rsidP="00A9766F">
            <w:pPr>
              <w:cnfStyle w:val="000000000000" w:firstRow="0" w:lastRow="0" w:firstColumn="0" w:lastColumn="0" w:oddVBand="0" w:evenVBand="0" w:oddHBand="0" w:evenHBand="0" w:firstRowFirstColumn="0" w:firstRowLastColumn="0" w:lastRowFirstColumn="0" w:lastRowLastColumn="0"/>
              <w:rPr>
                <w:rFonts w:ascii="Garamond" w:hAnsi="Garamond" w:cs="Calibri"/>
                <w:sz w:val="18"/>
                <w:szCs w:val="18"/>
              </w:rPr>
            </w:pPr>
            <w:r w:rsidRPr="007114AF">
              <w:rPr>
                <w:rFonts w:ascii="Garamond" w:hAnsi="Garamond" w:cs="Calibri"/>
                <w:sz w:val="18"/>
                <w:szCs w:val="18"/>
              </w:rPr>
              <w:t>664.58</w:t>
            </w:r>
          </w:p>
        </w:tc>
        <w:tc>
          <w:tcPr>
            <w:tcW w:w="429" w:type="pct"/>
            <w:vAlign w:val="center"/>
            <w:hideMark/>
          </w:tcPr>
          <w:p w14:paraId="6EDCF8F8" w14:textId="77777777" w:rsidR="00A9766F" w:rsidRPr="007114AF" w:rsidRDefault="00A9766F" w:rsidP="00A9766F">
            <w:pPr>
              <w:cnfStyle w:val="000000000000" w:firstRow="0" w:lastRow="0" w:firstColumn="0" w:lastColumn="0" w:oddVBand="0" w:evenVBand="0" w:oddHBand="0" w:evenHBand="0" w:firstRowFirstColumn="0" w:firstRowLastColumn="0" w:lastRowFirstColumn="0" w:lastRowLastColumn="0"/>
              <w:rPr>
                <w:rFonts w:ascii="Garamond" w:hAnsi="Garamond" w:cs="Calibri"/>
                <w:sz w:val="18"/>
                <w:szCs w:val="18"/>
              </w:rPr>
            </w:pPr>
            <w:r w:rsidRPr="007114AF">
              <w:rPr>
                <w:rFonts w:ascii="Garamond" w:hAnsi="Garamond" w:cs="Calibri"/>
                <w:sz w:val="18"/>
                <w:szCs w:val="18"/>
              </w:rPr>
              <w:t>712.28</w:t>
            </w:r>
          </w:p>
        </w:tc>
      </w:tr>
      <w:tr w:rsidR="00A9766F" w:rsidRPr="007114AF" w14:paraId="6EDCF905" w14:textId="77777777" w:rsidTr="00A9766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712" w:type="pct"/>
            <w:vAlign w:val="center"/>
            <w:hideMark/>
          </w:tcPr>
          <w:p w14:paraId="6EDCF8FA" w14:textId="77777777" w:rsidR="00A9766F" w:rsidRPr="007114AF" w:rsidRDefault="00A9766F" w:rsidP="00A9766F">
            <w:pPr>
              <w:rPr>
                <w:rFonts w:ascii="Garamond" w:hAnsi="Garamond" w:cs="Calibri"/>
                <w:b w:val="0"/>
                <w:sz w:val="18"/>
                <w:szCs w:val="18"/>
              </w:rPr>
            </w:pPr>
            <w:r w:rsidRPr="007114AF">
              <w:rPr>
                <w:rFonts w:ascii="Garamond" w:hAnsi="Garamond" w:cs="Calibri"/>
                <w:sz w:val="18"/>
                <w:szCs w:val="18"/>
              </w:rPr>
              <w:t xml:space="preserve">Transporti </w:t>
            </w:r>
          </w:p>
        </w:tc>
        <w:tc>
          <w:tcPr>
            <w:tcW w:w="428" w:type="pct"/>
            <w:vAlign w:val="center"/>
            <w:hideMark/>
          </w:tcPr>
          <w:p w14:paraId="6EDCF8FB" w14:textId="77777777" w:rsidR="00A9766F" w:rsidRPr="007114AF" w:rsidRDefault="00A9766F" w:rsidP="00A9766F">
            <w:pPr>
              <w:cnfStyle w:val="000000100000" w:firstRow="0" w:lastRow="0" w:firstColumn="0" w:lastColumn="0" w:oddVBand="0" w:evenVBand="0" w:oddHBand="1" w:evenHBand="0" w:firstRowFirstColumn="0" w:firstRowLastColumn="0" w:lastRowFirstColumn="0" w:lastRowLastColumn="0"/>
              <w:rPr>
                <w:rFonts w:ascii="Garamond" w:hAnsi="Garamond" w:cs="Calibri"/>
                <w:sz w:val="18"/>
                <w:szCs w:val="18"/>
              </w:rPr>
            </w:pPr>
            <w:r w:rsidRPr="007114AF">
              <w:rPr>
                <w:rFonts w:ascii="Garamond" w:hAnsi="Garamond" w:cs="Calibri"/>
                <w:sz w:val="18"/>
                <w:szCs w:val="18"/>
              </w:rPr>
              <w:t>1817.61</w:t>
            </w:r>
          </w:p>
        </w:tc>
        <w:tc>
          <w:tcPr>
            <w:tcW w:w="429" w:type="pct"/>
            <w:vAlign w:val="center"/>
            <w:hideMark/>
          </w:tcPr>
          <w:p w14:paraId="6EDCF8FC" w14:textId="77777777" w:rsidR="00A9766F" w:rsidRPr="007114AF" w:rsidRDefault="00A9766F" w:rsidP="00A9766F">
            <w:pPr>
              <w:cnfStyle w:val="000000100000" w:firstRow="0" w:lastRow="0" w:firstColumn="0" w:lastColumn="0" w:oddVBand="0" w:evenVBand="0" w:oddHBand="1" w:evenHBand="0" w:firstRowFirstColumn="0" w:firstRowLastColumn="0" w:lastRowFirstColumn="0" w:lastRowLastColumn="0"/>
              <w:rPr>
                <w:rFonts w:ascii="Garamond" w:hAnsi="Garamond" w:cs="Calibri"/>
                <w:sz w:val="18"/>
                <w:szCs w:val="18"/>
              </w:rPr>
            </w:pPr>
            <w:r w:rsidRPr="007114AF">
              <w:rPr>
                <w:rFonts w:ascii="Garamond" w:hAnsi="Garamond" w:cs="Calibri"/>
                <w:sz w:val="18"/>
                <w:szCs w:val="18"/>
              </w:rPr>
              <w:t>1835.36</w:t>
            </w:r>
          </w:p>
        </w:tc>
        <w:tc>
          <w:tcPr>
            <w:tcW w:w="429" w:type="pct"/>
            <w:vAlign w:val="center"/>
            <w:hideMark/>
          </w:tcPr>
          <w:p w14:paraId="6EDCF8FD" w14:textId="77777777" w:rsidR="00A9766F" w:rsidRPr="007114AF" w:rsidRDefault="00A9766F" w:rsidP="00A9766F">
            <w:pPr>
              <w:cnfStyle w:val="000000100000" w:firstRow="0" w:lastRow="0" w:firstColumn="0" w:lastColumn="0" w:oddVBand="0" w:evenVBand="0" w:oddHBand="1" w:evenHBand="0" w:firstRowFirstColumn="0" w:firstRowLastColumn="0" w:lastRowFirstColumn="0" w:lastRowLastColumn="0"/>
              <w:rPr>
                <w:rFonts w:ascii="Garamond" w:hAnsi="Garamond" w:cs="Calibri"/>
                <w:sz w:val="18"/>
                <w:szCs w:val="18"/>
              </w:rPr>
            </w:pPr>
            <w:r w:rsidRPr="007114AF">
              <w:rPr>
                <w:rFonts w:ascii="Garamond" w:hAnsi="Garamond" w:cs="Calibri"/>
                <w:sz w:val="18"/>
                <w:szCs w:val="18"/>
              </w:rPr>
              <w:t>1906.07</w:t>
            </w:r>
          </w:p>
        </w:tc>
        <w:tc>
          <w:tcPr>
            <w:tcW w:w="429" w:type="pct"/>
            <w:vAlign w:val="center"/>
            <w:hideMark/>
          </w:tcPr>
          <w:p w14:paraId="6EDCF8FE" w14:textId="77777777" w:rsidR="00A9766F" w:rsidRPr="007114AF" w:rsidRDefault="00A9766F" w:rsidP="00A9766F">
            <w:pPr>
              <w:cnfStyle w:val="000000100000" w:firstRow="0" w:lastRow="0" w:firstColumn="0" w:lastColumn="0" w:oddVBand="0" w:evenVBand="0" w:oddHBand="1" w:evenHBand="0" w:firstRowFirstColumn="0" w:firstRowLastColumn="0" w:lastRowFirstColumn="0" w:lastRowLastColumn="0"/>
              <w:rPr>
                <w:rFonts w:ascii="Garamond" w:hAnsi="Garamond" w:cs="Calibri"/>
                <w:sz w:val="18"/>
                <w:szCs w:val="18"/>
              </w:rPr>
            </w:pPr>
            <w:r w:rsidRPr="007114AF">
              <w:rPr>
                <w:rFonts w:ascii="Garamond" w:hAnsi="Garamond" w:cs="Calibri"/>
                <w:sz w:val="18"/>
                <w:szCs w:val="18"/>
              </w:rPr>
              <w:t>1996.71</w:t>
            </w:r>
          </w:p>
        </w:tc>
        <w:tc>
          <w:tcPr>
            <w:tcW w:w="429" w:type="pct"/>
            <w:vAlign w:val="center"/>
            <w:hideMark/>
          </w:tcPr>
          <w:p w14:paraId="6EDCF8FF" w14:textId="77777777" w:rsidR="00A9766F" w:rsidRPr="007114AF" w:rsidRDefault="00A9766F" w:rsidP="00A9766F">
            <w:pPr>
              <w:cnfStyle w:val="000000100000" w:firstRow="0" w:lastRow="0" w:firstColumn="0" w:lastColumn="0" w:oddVBand="0" w:evenVBand="0" w:oddHBand="1" w:evenHBand="0" w:firstRowFirstColumn="0" w:firstRowLastColumn="0" w:lastRowFirstColumn="0" w:lastRowLastColumn="0"/>
              <w:rPr>
                <w:rFonts w:ascii="Garamond" w:hAnsi="Garamond" w:cs="Calibri"/>
                <w:sz w:val="18"/>
                <w:szCs w:val="18"/>
              </w:rPr>
            </w:pPr>
            <w:r w:rsidRPr="007114AF">
              <w:rPr>
                <w:rFonts w:ascii="Garamond" w:hAnsi="Garamond" w:cs="Calibri"/>
                <w:sz w:val="18"/>
                <w:szCs w:val="18"/>
              </w:rPr>
              <w:t>2115.09</w:t>
            </w:r>
          </w:p>
        </w:tc>
        <w:tc>
          <w:tcPr>
            <w:tcW w:w="429" w:type="pct"/>
            <w:vAlign w:val="center"/>
            <w:hideMark/>
          </w:tcPr>
          <w:p w14:paraId="6EDCF900" w14:textId="77777777" w:rsidR="00A9766F" w:rsidRPr="007114AF" w:rsidRDefault="00A9766F" w:rsidP="00A9766F">
            <w:pPr>
              <w:cnfStyle w:val="000000100000" w:firstRow="0" w:lastRow="0" w:firstColumn="0" w:lastColumn="0" w:oddVBand="0" w:evenVBand="0" w:oddHBand="1" w:evenHBand="0" w:firstRowFirstColumn="0" w:firstRowLastColumn="0" w:lastRowFirstColumn="0" w:lastRowLastColumn="0"/>
              <w:rPr>
                <w:rFonts w:ascii="Garamond" w:hAnsi="Garamond" w:cs="Calibri"/>
                <w:sz w:val="18"/>
                <w:szCs w:val="18"/>
              </w:rPr>
            </w:pPr>
            <w:r w:rsidRPr="007114AF">
              <w:rPr>
                <w:rFonts w:ascii="Garamond" w:hAnsi="Garamond" w:cs="Calibri"/>
                <w:sz w:val="18"/>
                <w:szCs w:val="18"/>
              </w:rPr>
              <w:t>2085.95</w:t>
            </w:r>
          </w:p>
        </w:tc>
        <w:tc>
          <w:tcPr>
            <w:tcW w:w="429" w:type="pct"/>
            <w:vAlign w:val="center"/>
            <w:hideMark/>
          </w:tcPr>
          <w:p w14:paraId="6EDCF901" w14:textId="77777777" w:rsidR="00A9766F" w:rsidRPr="007114AF" w:rsidRDefault="00A9766F" w:rsidP="00A9766F">
            <w:pPr>
              <w:cnfStyle w:val="000000100000" w:firstRow="0" w:lastRow="0" w:firstColumn="0" w:lastColumn="0" w:oddVBand="0" w:evenVBand="0" w:oddHBand="1" w:evenHBand="0" w:firstRowFirstColumn="0" w:firstRowLastColumn="0" w:lastRowFirstColumn="0" w:lastRowLastColumn="0"/>
              <w:rPr>
                <w:rFonts w:ascii="Garamond" w:hAnsi="Garamond" w:cs="Calibri"/>
                <w:sz w:val="18"/>
                <w:szCs w:val="18"/>
              </w:rPr>
            </w:pPr>
            <w:r w:rsidRPr="007114AF">
              <w:rPr>
                <w:rFonts w:ascii="Garamond" w:hAnsi="Garamond" w:cs="Calibri"/>
                <w:sz w:val="18"/>
                <w:szCs w:val="18"/>
              </w:rPr>
              <w:t>2103.11</w:t>
            </w:r>
          </w:p>
        </w:tc>
        <w:tc>
          <w:tcPr>
            <w:tcW w:w="429" w:type="pct"/>
            <w:vAlign w:val="center"/>
            <w:hideMark/>
          </w:tcPr>
          <w:p w14:paraId="6EDCF902" w14:textId="77777777" w:rsidR="00A9766F" w:rsidRPr="007114AF" w:rsidRDefault="00A9766F" w:rsidP="00A9766F">
            <w:pPr>
              <w:cnfStyle w:val="000000100000" w:firstRow="0" w:lastRow="0" w:firstColumn="0" w:lastColumn="0" w:oddVBand="0" w:evenVBand="0" w:oddHBand="1" w:evenHBand="0" w:firstRowFirstColumn="0" w:firstRowLastColumn="0" w:lastRowFirstColumn="0" w:lastRowLastColumn="0"/>
              <w:rPr>
                <w:rFonts w:ascii="Garamond" w:hAnsi="Garamond" w:cs="Calibri"/>
                <w:sz w:val="18"/>
                <w:szCs w:val="18"/>
              </w:rPr>
            </w:pPr>
            <w:r w:rsidRPr="007114AF">
              <w:rPr>
                <w:rFonts w:ascii="Garamond" w:hAnsi="Garamond" w:cs="Calibri"/>
                <w:sz w:val="18"/>
                <w:szCs w:val="18"/>
              </w:rPr>
              <w:t>2124.57</w:t>
            </w:r>
          </w:p>
        </w:tc>
        <w:tc>
          <w:tcPr>
            <w:tcW w:w="429" w:type="pct"/>
            <w:vAlign w:val="center"/>
            <w:hideMark/>
          </w:tcPr>
          <w:p w14:paraId="6EDCF903" w14:textId="77777777" w:rsidR="00A9766F" w:rsidRPr="007114AF" w:rsidRDefault="00A9766F" w:rsidP="00A9766F">
            <w:pPr>
              <w:cnfStyle w:val="000000100000" w:firstRow="0" w:lastRow="0" w:firstColumn="0" w:lastColumn="0" w:oddVBand="0" w:evenVBand="0" w:oddHBand="1" w:evenHBand="0" w:firstRowFirstColumn="0" w:firstRowLastColumn="0" w:lastRowFirstColumn="0" w:lastRowLastColumn="0"/>
              <w:rPr>
                <w:rFonts w:ascii="Garamond" w:hAnsi="Garamond" w:cs="Calibri"/>
                <w:sz w:val="18"/>
                <w:szCs w:val="18"/>
              </w:rPr>
            </w:pPr>
            <w:r w:rsidRPr="007114AF">
              <w:rPr>
                <w:rFonts w:ascii="Garamond" w:hAnsi="Garamond" w:cs="Calibri"/>
                <w:sz w:val="18"/>
                <w:szCs w:val="18"/>
              </w:rPr>
              <w:t>2150.31</w:t>
            </w:r>
          </w:p>
        </w:tc>
        <w:tc>
          <w:tcPr>
            <w:tcW w:w="429" w:type="pct"/>
            <w:vAlign w:val="center"/>
            <w:hideMark/>
          </w:tcPr>
          <w:p w14:paraId="6EDCF904" w14:textId="77777777" w:rsidR="00A9766F" w:rsidRPr="007114AF" w:rsidRDefault="00A9766F" w:rsidP="00A9766F">
            <w:pPr>
              <w:cnfStyle w:val="000000100000" w:firstRow="0" w:lastRow="0" w:firstColumn="0" w:lastColumn="0" w:oddVBand="0" w:evenVBand="0" w:oddHBand="1" w:evenHBand="0" w:firstRowFirstColumn="0" w:firstRowLastColumn="0" w:lastRowFirstColumn="0" w:lastRowLastColumn="0"/>
              <w:rPr>
                <w:rFonts w:ascii="Garamond" w:hAnsi="Garamond" w:cs="Calibri"/>
                <w:sz w:val="18"/>
                <w:szCs w:val="18"/>
              </w:rPr>
            </w:pPr>
            <w:r w:rsidRPr="007114AF">
              <w:rPr>
                <w:rFonts w:ascii="Garamond" w:hAnsi="Garamond" w:cs="Calibri"/>
                <w:sz w:val="18"/>
                <w:szCs w:val="18"/>
              </w:rPr>
              <w:t>2306.46</w:t>
            </w:r>
          </w:p>
        </w:tc>
      </w:tr>
      <w:tr w:rsidR="00A9766F" w:rsidRPr="007114AF" w14:paraId="6EDCF911" w14:textId="77777777" w:rsidTr="00A9766F">
        <w:trPr>
          <w:trHeight w:val="300"/>
          <w:jc w:val="center"/>
        </w:trPr>
        <w:tc>
          <w:tcPr>
            <w:cnfStyle w:val="001000000000" w:firstRow="0" w:lastRow="0" w:firstColumn="1" w:lastColumn="0" w:oddVBand="0" w:evenVBand="0" w:oddHBand="0" w:evenHBand="0" w:firstRowFirstColumn="0" w:firstRowLastColumn="0" w:lastRowFirstColumn="0" w:lastRowLastColumn="0"/>
            <w:tcW w:w="712" w:type="pct"/>
            <w:vAlign w:val="center"/>
            <w:hideMark/>
          </w:tcPr>
          <w:p w14:paraId="6EDCF906" w14:textId="77777777" w:rsidR="00A9766F" w:rsidRPr="007114AF" w:rsidRDefault="00A9766F" w:rsidP="00A9766F">
            <w:pPr>
              <w:rPr>
                <w:rFonts w:ascii="Garamond" w:hAnsi="Garamond" w:cs="Calibri"/>
                <w:b w:val="0"/>
                <w:sz w:val="18"/>
                <w:szCs w:val="18"/>
              </w:rPr>
            </w:pPr>
            <w:r w:rsidRPr="007114AF">
              <w:rPr>
                <w:rFonts w:ascii="Garamond" w:hAnsi="Garamond" w:cs="Calibri"/>
                <w:sz w:val="18"/>
                <w:szCs w:val="18"/>
              </w:rPr>
              <w:t xml:space="preserve">Sektori i banesave </w:t>
            </w:r>
          </w:p>
        </w:tc>
        <w:tc>
          <w:tcPr>
            <w:tcW w:w="428" w:type="pct"/>
            <w:vAlign w:val="center"/>
            <w:hideMark/>
          </w:tcPr>
          <w:p w14:paraId="6EDCF907" w14:textId="77777777" w:rsidR="00A9766F" w:rsidRPr="007114AF" w:rsidRDefault="00A9766F" w:rsidP="00A9766F">
            <w:pPr>
              <w:cnfStyle w:val="000000000000" w:firstRow="0" w:lastRow="0" w:firstColumn="0" w:lastColumn="0" w:oddVBand="0" w:evenVBand="0" w:oddHBand="0" w:evenHBand="0" w:firstRowFirstColumn="0" w:firstRowLastColumn="0" w:lastRowFirstColumn="0" w:lastRowLastColumn="0"/>
              <w:rPr>
                <w:rFonts w:ascii="Garamond" w:hAnsi="Garamond" w:cs="Calibri"/>
                <w:sz w:val="18"/>
                <w:szCs w:val="18"/>
              </w:rPr>
            </w:pPr>
            <w:r w:rsidRPr="007114AF">
              <w:rPr>
                <w:rFonts w:ascii="Garamond" w:hAnsi="Garamond" w:cs="Calibri"/>
                <w:sz w:val="18"/>
                <w:szCs w:val="18"/>
              </w:rPr>
              <w:t>944.01</w:t>
            </w:r>
          </w:p>
        </w:tc>
        <w:tc>
          <w:tcPr>
            <w:tcW w:w="429" w:type="pct"/>
            <w:vAlign w:val="center"/>
            <w:hideMark/>
          </w:tcPr>
          <w:p w14:paraId="6EDCF908" w14:textId="77777777" w:rsidR="00A9766F" w:rsidRPr="007114AF" w:rsidRDefault="00A9766F" w:rsidP="00A9766F">
            <w:pPr>
              <w:cnfStyle w:val="000000000000" w:firstRow="0" w:lastRow="0" w:firstColumn="0" w:lastColumn="0" w:oddVBand="0" w:evenVBand="0" w:oddHBand="0" w:evenHBand="0" w:firstRowFirstColumn="0" w:firstRowLastColumn="0" w:lastRowFirstColumn="0" w:lastRowLastColumn="0"/>
              <w:rPr>
                <w:rFonts w:ascii="Garamond" w:hAnsi="Garamond" w:cs="Calibri"/>
                <w:sz w:val="18"/>
                <w:szCs w:val="18"/>
              </w:rPr>
            </w:pPr>
            <w:r w:rsidRPr="007114AF">
              <w:rPr>
                <w:rFonts w:ascii="Garamond" w:hAnsi="Garamond" w:cs="Calibri"/>
                <w:sz w:val="18"/>
                <w:szCs w:val="18"/>
              </w:rPr>
              <w:t>951.25</w:t>
            </w:r>
          </w:p>
        </w:tc>
        <w:tc>
          <w:tcPr>
            <w:tcW w:w="429" w:type="pct"/>
            <w:vAlign w:val="center"/>
            <w:hideMark/>
          </w:tcPr>
          <w:p w14:paraId="6EDCF909" w14:textId="77777777" w:rsidR="00A9766F" w:rsidRPr="007114AF" w:rsidRDefault="00A9766F" w:rsidP="00A9766F">
            <w:pPr>
              <w:cnfStyle w:val="000000000000" w:firstRow="0" w:lastRow="0" w:firstColumn="0" w:lastColumn="0" w:oddVBand="0" w:evenVBand="0" w:oddHBand="0" w:evenHBand="0" w:firstRowFirstColumn="0" w:firstRowLastColumn="0" w:lastRowFirstColumn="0" w:lastRowLastColumn="0"/>
              <w:rPr>
                <w:rFonts w:ascii="Garamond" w:hAnsi="Garamond" w:cs="Calibri"/>
                <w:sz w:val="18"/>
                <w:szCs w:val="18"/>
              </w:rPr>
            </w:pPr>
            <w:r w:rsidRPr="007114AF">
              <w:rPr>
                <w:rFonts w:ascii="Garamond" w:hAnsi="Garamond" w:cs="Calibri"/>
                <w:sz w:val="18"/>
                <w:szCs w:val="18"/>
              </w:rPr>
              <w:t>980.72</w:t>
            </w:r>
          </w:p>
        </w:tc>
        <w:tc>
          <w:tcPr>
            <w:tcW w:w="429" w:type="pct"/>
            <w:vAlign w:val="center"/>
            <w:hideMark/>
          </w:tcPr>
          <w:p w14:paraId="6EDCF90A" w14:textId="77777777" w:rsidR="00A9766F" w:rsidRPr="007114AF" w:rsidRDefault="00A9766F" w:rsidP="00A9766F">
            <w:pPr>
              <w:cnfStyle w:val="000000000000" w:firstRow="0" w:lastRow="0" w:firstColumn="0" w:lastColumn="0" w:oddVBand="0" w:evenVBand="0" w:oddHBand="0" w:evenHBand="0" w:firstRowFirstColumn="0" w:firstRowLastColumn="0" w:lastRowFirstColumn="0" w:lastRowLastColumn="0"/>
              <w:rPr>
                <w:rFonts w:ascii="Garamond" w:hAnsi="Garamond" w:cs="Calibri"/>
                <w:sz w:val="18"/>
                <w:szCs w:val="18"/>
              </w:rPr>
            </w:pPr>
            <w:r w:rsidRPr="007114AF">
              <w:rPr>
                <w:rFonts w:ascii="Garamond" w:hAnsi="Garamond" w:cs="Calibri"/>
                <w:sz w:val="18"/>
                <w:szCs w:val="18"/>
              </w:rPr>
              <w:t>1026.20</w:t>
            </w:r>
          </w:p>
        </w:tc>
        <w:tc>
          <w:tcPr>
            <w:tcW w:w="429" w:type="pct"/>
            <w:vAlign w:val="center"/>
            <w:hideMark/>
          </w:tcPr>
          <w:p w14:paraId="6EDCF90B" w14:textId="77777777" w:rsidR="00A9766F" w:rsidRPr="007114AF" w:rsidRDefault="00A9766F" w:rsidP="00A9766F">
            <w:pPr>
              <w:cnfStyle w:val="000000000000" w:firstRow="0" w:lastRow="0" w:firstColumn="0" w:lastColumn="0" w:oddVBand="0" w:evenVBand="0" w:oddHBand="0" w:evenHBand="0" w:firstRowFirstColumn="0" w:firstRowLastColumn="0" w:lastRowFirstColumn="0" w:lastRowLastColumn="0"/>
              <w:rPr>
                <w:rFonts w:ascii="Garamond" w:hAnsi="Garamond" w:cs="Calibri"/>
                <w:sz w:val="18"/>
                <w:szCs w:val="18"/>
              </w:rPr>
            </w:pPr>
            <w:r w:rsidRPr="007114AF">
              <w:rPr>
                <w:rFonts w:ascii="Garamond" w:hAnsi="Garamond" w:cs="Calibri"/>
                <w:sz w:val="18"/>
                <w:szCs w:val="18"/>
              </w:rPr>
              <w:t>1075.40</w:t>
            </w:r>
          </w:p>
        </w:tc>
        <w:tc>
          <w:tcPr>
            <w:tcW w:w="429" w:type="pct"/>
            <w:vAlign w:val="center"/>
            <w:hideMark/>
          </w:tcPr>
          <w:p w14:paraId="6EDCF90C" w14:textId="77777777" w:rsidR="00A9766F" w:rsidRPr="007114AF" w:rsidRDefault="00A9766F" w:rsidP="00A9766F">
            <w:pPr>
              <w:cnfStyle w:val="000000000000" w:firstRow="0" w:lastRow="0" w:firstColumn="0" w:lastColumn="0" w:oddVBand="0" w:evenVBand="0" w:oddHBand="0" w:evenHBand="0" w:firstRowFirstColumn="0" w:firstRowLastColumn="0" w:lastRowFirstColumn="0" w:lastRowLastColumn="0"/>
              <w:rPr>
                <w:rFonts w:ascii="Garamond" w:hAnsi="Garamond" w:cs="Calibri"/>
                <w:sz w:val="18"/>
                <w:szCs w:val="18"/>
              </w:rPr>
            </w:pPr>
            <w:r w:rsidRPr="007114AF">
              <w:rPr>
                <w:rFonts w:ascii="Garamond" w:hAnsi="Garamond" w:cs="Calibri"/>
                <w:sz w:val="18"/>
                <w:szCs w:val="18"/>
              </w:rPr>
              <w:t>1060.65</w:t>
            </w:r>
          </w:p>
        </w:tc>
        <w:tc>
          <w:tcPr>
            <w:tcW w:w="429" w:type="pct"/>
            <w:vAlign w:val="center"/>
            <w:hideMark/>
          </w:tcPr>
          <w:p w14:paraId="6EDCF90D" w14:textId="77777777" w:rsidR="00A9766F" w:rsidRPr="007114AF" w:rsidRDefault="00A9766F" w:rsidP="00A9766F">
            <w:pPr>
              <w:cnfStyle w:val="000000000000" w:firstRow="0" w:lastRow="0" w:firstColumn="0" w:lastColumn="0" w:oddVBand="0" w:evenVBand="0" w:oddHBand="0" w:evenHBand="0" w:firstRowFirstColumn="0" w:firstRowLastColumn="0" w:lastRowFirstColumn="0" w:lastRowLastColumn="0"/>
              <w:rPr>
                <w:rFonts w:ascii="Garamond" w:hAnsi="Garamond" w:cs="Calibri"/>
                <w:sz w:val="18"/>
                <w:szCs w:val="18"/>
              </w:rPr>
            </w:pPr>
            <w:r w:rsidRPr="007114AF">
              <w:rPr>
                <w:rFonts w:ascii="Garamond" w:hAnsi="Garamond" w:cs="Calibri"/>
                <w:sz w:val="18"/>
                <w:szCs w:val="18"/>
              </w:rPr>
              <w:t>1069.20</w:t>
            </w:r>
          </w:p>
        </w:tc>
        <w:tc>
          <w:tcPr>
            <w:tcW w:w="429" w:type="pct"/>
            <w:vAlign w:val="center"/>
            <w:hideMark/>
          </w:tcPr>
          <w:p w14:paraId="6EDCF90E" w14:textId="77777777" w:rsidR="00A9766F" w:rsidRPr="007114AF" w:rsidRDefault="00A9766F" w:rsidP="00A9766F">
            <w:pPr>
              <w:cnfStyle w:val="000000000000" w:firstRow="0" w:lastRow="0" w:firstColumn="0" w:lastColumn="0" w:oddVBand="0" w:evenVBand="0" w:oddHBand="0" w:evenHBand="0" w:firstRowFirstColumn="0" w:firstRowLastColumn="0" w:lastRowFirstColumn="0" w:lastRowLastColumn="0"/>
              <w:rPr>
                <w:rFonts w:ascii="Garamond" w:hAnsi="Garamond" w:cs="Calibri"/>
                <w:sz w:val="18"/>
                <w:szCs w:val="18"/>
              </w:rPr>
            </w:pPr>
            <w:r w:rsidRPr="007114AF">
              <w:rPr>
                <w:rFonts w:ascii="Garamond" w:hAnsi="Garamond" w:cs="Calibri"/>
                <w:sz w:val="18"/>
                <w:szCs w:val="18"/>
              </w:rPr>
              <w:t>1082.40</w:t>
            </w:r>
          </w:p>
        </w:tc>
        <w:tc>
          <w:tcPr>
            <w:tcW w:w="429" w:type="pct"/>
            <w:vAlign w:val="center"/>
            <w:hideMark/>
          </w:tcPr>
          <w:p w14:paraId="6EDCF90F" w14:textId="77777777" w:rsidR="00A9766F" w:rsidRPr="007114AF" w:rsidRDefault="00A9766F" w:rsidP="00A9766F">
            <w:pPr>
              <w:cnfStyle w:val="000000000000" w:firstRow="0" w:lastRow="0" w:firstColumn="0" w:lastColumn="0" w:oddVBand="0" w:evenVBand="0" w:oddHBand="0" w:evenHBand="0" w:firstRowFirstColumn="0" w:firstRowLastColumn="0" w:lastRowFirstColumn="0" w:lastRowLastColumn="0"/>
              <w:rPr>
                <w:rFonts w:ascii="Garamond" w:hAnsi="Garamond" w:cs="Calibri"/>
                <w:sz w:val="18"/>
                <w:szCs w:val="18"/>
              </w:rPr>
            </w:pPr>
            <w:r w:rsidRPr="007114AF">
              <w:rPr>
                <w:rFonts w:ascii="Garamond" w:hAnsi="Garamond" w:cs="Calibri"/>
                <w:sz w:val="18"/>
                <w:szCs w:val="18"/>
              </w:rPr>
              <w:t>1096.02</w:t>
            </w:r>
          </w:p>
        </w:tc>
        <w:tc>
          <w:tcPr>
            <w:tcW w:w="429" w:type="pct"/>
            <w:vAlign w:val="center"/>
            <w:hideMark/>
          </w:tcPr>
          <w:p w14:paraId="6EDCF910" w14:textId="77777777" w:rsidR="00A9766F" w:rsidRPr="007114AF" w:rsidRDefault="00A9766F" w:rsidP="00A9766F">
            <w:pPr>
              <w:cnfStyle w:val="000000000000" w:firstRow="0" w:lastRow="0" w:firstColumn="0" w:lastColumn="0" w:oddVBand="0" w:evenVBand="0" w:oddHBand="0" w:evenHBand="0" w:firstRowFirstColumn="0" w:firstRowLastColumn="0" w:lastRowFirstColumn="0" w:lastRowLastColumn="0"/>
              <w:rPr>
                <w:rFonts w:ascii="Garamond" w:hAnsi="Garamond" w:cs="Calibri"/>
                <w:sz w:val="18"/>
                <w:szCs w:val="18"/>
              </w:rPr>
            </w:pPr>
            <w:r w:rsidRPr="007114AF">
              <w:rPr>
                <w:rFonts w:ascii="Garamond" w:hAnsi="Garamond" w:cs="Calibri"/>
                <w:sz w:val="18"/>
                <w:szCs w:val="18"/>
              </w:rPr>
              <w:t>1168.18</w:t>
            </w:r>
          </w:p>
        </w:tc>
      </w:tr>
      <w:tr w:rsidR="00A9766F" w:rsidRPr="007114AF" w14:paraId="6EDCF91D" w14:textId="77777777" w:rsidTr="00A9766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712" w:type="pct"/>
            <w:vAlign w:val="center"/>
            <w:hideMark/>
          </w:tcPr>
          <w:p w14:paraId="6EDCF912" w14:textId="77777777" w:rsidR="00A9766F" w:rsidRPr="007114AF" w:rsidRDefault="00A9766F" w:rsidP="00A9766F">
            <w:pPr>
              <w:rPr>
                <w:rFonts w:ascii="Garamond" w:hAnsi="Garamond" w:cs="Calibri"/>
                <w:b w:val="0"/>
                <w:sz w:val="18"/>
                <w:szCs w:val="18"/>
              </w:rPr>
            </w:pPr>
            <w:r w:rsidRPr="007114AF">
              <w:rPr>
                <w:rFonts w:ascii="Garamond" w:hAnsi="Garamond" w:cs="Calibri"/>
                <w:sz w:val="18"/>
                <w:szCs w:val="18"/>
              </w:rPr>
              <w:t xml:space="preserve">Shërbimi </w:t>
            </w:r>
          </w:p>
        </w:tc>
        <w:tc>
          <w:tcPr>
            <w:tcW w:w="428" w:type="pct"/>
            <w:vAlign w:val="center"/>
            <w:hideMark/>
          </w:tcPr>
          <w:p w14:paraId="6EDCF913" w14:textId="77777777" w:rsidR="00A9766F" w:rsidRPr="007114AF" w:rsidRDefault="00A9766F" w:rsidP="00A9766F">
            <w:pPr>
              <w:cnfStyle w:val="000000100000" w:firstRow="0" w:lastRow="0" w:firstColumn="0" w:lastColumn="0" w:oddVBand="0" w:evenVBand="0" w:oddHBand="1" w:evenHBand="0" w:firstRowFirstColumn="0" w:firstRowLastColumn="0" w:lastRowFirstColumn="0" w:lastRowLastColumn="0"/>
              <w:rPr>
                <w:rFonts w:ascii="Garamond" w:hAnsi="Garamond" w:cs="Calibri"/>
                <w:sz w:val="18"/>
                <w:szCs w:val="18"/>
              </w:rPr>
            </w:pPr>
            <w:r w:rsidRPr="007114AF">
              <w:rPr>
                <w:rFonts w:ascii="Garamond" w:hAnsi="Garamond" w:cs="Calibri"/>
                <w:sz w:val="18"/>
                <w:szCs w:val="18"/>
              </w:rPr>
              <w:t>193.87</w:t>
            </w:r>
          </w:p>
        </w:tc>
        <w:tc>
          <w:tcPr>
            <w:tcW w:w="429" w:type="pct"/>
            <w:vAlign w:val="center"/>
            <w:hideMark/>
          </w:tcPr>
          <w:p w14:paraId="6EDCF914" w14:textId="77777777" w:rsidR="00A9766F" w:rsidRPr="007114AF" w:rsidRDefault="00A9766F" w:rsidP="00A9766F">
            <w:pPr>
              <w:cnfStyle w:val="000000100000" w:firstRow="0" w:lastRow="0" w:firstColumn="0" w:lastColumn="0" w:oddVBand="0" w:evenVBand="0" w:oddHBand="1" w:evenHBand="0" w:firstRowFirstColumn="0" w:firstRowLastColumn="0" w:lastRowFirstColumn="0" w:lastRowLastColumn="0"/>
              <w:rPr>
                <w:rFonts w:ascii="Garamond" w:hAnsi="Garamond" w:cs="Calibri"/>
                <w:sz w:val="18"/>
                <w:szCs w:val="18"/>
              </w:rPr>
            </w:pPr>
            <w:r w:rsidRPr="007114AF">
              <w:rPr>
                <w:rFonts w:ascii="Garamond" w:hAnsi="Garamond" w:cs="Calibri"/>
                <w:sz w:val="18"/>
                <w:szCs w:val="18"/>
              </w:rPr>
              <w:t>194.35</w:t>
            </w:r>
          </w:p>
        </w:tc>
        <w:tc>
          <w:tcPr>
            <w:tcW w:w="429" w:type="pct"/>
            <w:vAlign w:val="center"/>
            <w:hideMark/>
          </w:tcPr>
          <w:p w14:paraId="6EDCF915" w14:textId="77777777" w:rsidR="00A9766F" w:rsidRPr="007114AF" w:rsidRDefault="00A9766F" w:rsidP="00A9766F">
            <w:pPr>
              <w:cnfStyle w:val="000000100000" w:firstRow="0" w:lastRow="0" w:firstColumn="0" w:lastColumn="0" w:oddVBand="0" w:evenVBand="0" w:oddHBand="1" w:evenHBand="0" w:firstRowFirstColumn="0" w:firstRowLastColumn="0" w:lastRowFirstColumn="0" w:lastRowLastColumn="0"/>
              <w:rPr>
                <w:rFonts w:ascii="Garamond" w:hAnsi="Garamond" w:cs="Calibri"/>
                <w:sz w:val="18"/>
                <w:szCs w:val="18"/>
              </w:rPr>
            </w:pPr>
            <w:r w:rsidRPr="007114AF">
              <w:rPr>
                <w:rFonts w:ascii="Garamond" w:hAnsi="Garamond" w:cs="Calibri"/>
                <w:sz w:val="18"/>
                <w:szCs w:val="18"/>
              </w:rPr>
              <w:t>201.82</w:t>
            </w:r>
          </w:p>
        </w:tc>
        <w:tc>
          <w:tcPr>
            <w:tcW w:w="429" w:type="pct"/>
            <w:vAlign w:val="center"/>
            <w:hideMark/>
          </w:tcPr>
          <w:p w14:paraId="6EDCF916" w14:textId="77777777" w:rsidR="00A9766F" w:rsidRPr="007114AF" w:rsidRDefault="00A9766F" w:rsidP="00A9766F">
            <w:pPr>
              <w:cnfStyle w:val="000000100000" w:firstRow="0" w:lastRow="0" w:firstColumn="0" w:lastColumn="0" w:oddVBand="0" w:evenVBand="0" w:oddHBand="1" w:evenHBand="0" w:firstRowFirstColumn="0" w:firstRowLastColumn="0" w:lastRowFirstColumn="0" w:lastRowLastColumn="0"/>
              <w:rPr>
                <w:rFonts w:ascii="Garamond" w:hAnsi="Garamond" w:cs="Calibri"/>
                <w:sz w:val="18"/>
                <w:szCs w:val="18"/>
              </w:rPr>
            </w:pPr>
            <w:r w:rsidRPr="007114AF">
              <w:rPr>
                <w:rFonts w:ascii="Garamond" w:hAnsi="Garamond" w:cs="Calibri"/>
                <w:sz w:val="18"/>
                <w:szCs w:val="18"/>
              </w:rPr>
              <w:t>211.24</w:t>
            </w:r>
          </w:p>
        </w:tc>
        <w:tc>
          <w:tcPr>
            <w:tcW w:w="429" w:type="pct"/>
            <w:vAlign w:val="center"/>
            <w:hideMark/>
          </w:tcPr>
          <w:p w14:paraId="6EDCF917" w14:textId="77777777" w:rsidR="00A9766F" w:rsidRPr="007114AF" w:rsidRDefault="00A9766F" w:rsidP="00A9766F">
            <w:pPr>
              <w:cnfStyle w:val="000000100000" w:firstRow="0" w:lastRow="0" w:firstColumn="0" w:lastColumn="0" w:oddVBand="0" w:evenVBand="0" w:oddHBand="1" w:evenHBand="0" w:firstRowFirstColumn="0" w:firstRowLastColumn="0" w:lastRowFirstColumn="0" w:lastRowLastColumn="0"/>
              <w:rPr>
                <w:rFonts w:ascii="Garamond" w:hAnsi="Garamond" w:cs="Calibri"/>
                <w:sz w:val="18"/>
                <w:szCs w:val="18"/>
              </w:rPr>
            </w:pPr>
            <w:r w:rsidRPr="007114AF">
              <w:rPr>
                <w:rFonts w:ascii="Garamond" w:hAnsi="Garamond" w:cs="Calibri"/>
                <w:sz w:val="18"/>
                <w:szCs w:val="18"/>
              </w:rPr>
              <w:t>223.74</w:t>
            </w:r>
          </w:p>
        </w:tc>
        <w:tc>
          <w:tcPr>
            <w:tcW w:w="429" w:type="pct"/>
            <w:vAlign w:val="center"/>
            <w:hideMark/>
          </w:tcPr>
          <w:p w14:paraId="6EDCF918" w14:textId="77777777" w:rsidR="00A9766F" w:rsidRPr="007114AF" w:rsidRDefault="00A9766F" w:rsidP="00A9766F">
            <w:pPr>
              <w:cnfStyle w:val="000000100000" w:firstRow="0" w:lastRow="0" w:firstColumn="0" w:lastColumn="0" w:oddVBand="0" w:evenVBand="0" w:oddHBand="1" w:evenHBand="0" w:firstRowFirstColumn="0" w:firstRowLastColumn="0" w:lastRowFirstColumn="0" w:lastRowLastColumn="0"/>
              <w:rPr>
                <w:rFonts w:ascii="Garamond" w:hAnsi="Garamond" w:cs="Calibri"/>
                <w:sz w:val="18"/>
                <w:szCs w:val="18"/>
              </w:rPr>
            </w:pPr>
            <w:r w:rsidRPr="007114AF">
              <w:rPr>
                <w:rFonts w:ascii="Garamond" w:hAnsi="Garamond" w:cs="Calibri"/>
                <w:sz w:val="18"/>
                <w:szCs w:val="18"/>
              </w:rPr>
              <w:t>220.50</w:t>
            </w:r>
          </w:p>
        </w:tc>
        <w:tc>
          <w:tcPr>
            <w:tcW w:w="429" w:type="pct"/>
            <w:vAlign w:val="center"/>
            <w:hideMark/>
          </w:tcPr>
          <w:p w14:paraId="6EDCF919" w14:textId="77777777" w:rsidR="00A9766F" w:rsidRPr="007114AF" w:rsidRDefault="00A9766F" w:rsidP="00A9766F">
            <w:pPr>
              <w:cnfStyle w:val="000000100000" w:firstRow="0" w:lastRow="0" w:firstColumn="0" w:lastColumn="0" w:oddVBand="0" w:evenVBand="0" w:oddHBand="1" w:evenHBand="0" w:firstRowFirstColumn="0" w:firstRowLastColumn="0" w:lastRowFirstColumn="0" w:lastRowLastColumn="0"/>
              <w:rPr>
                <w:rFonts w:ascii="Garamond" w:hAnsi="Garamond" w:cs="Calibri"/>
                <w:sz w:val="18"/>
                <w:szCs w:val="18"/>
              </w:rPr>
            </w:pPr>
            <w:r w:rsidRPr="007114AF">
              <w:rPr>
                <w:rFonts w:ascii="Garamond" w:hAnsi="Garamond" w:cs="Calibri"/>
                <w:sz w:val="18"/>
                <w:szCs w:val="18"/>
              </w:rPr>
              <w:t>222.37</w:t>
            </w:r>
          </w:p>
        </w:tc>
        <w:tc>
          <w:tcPr>
            <w:tcW w:w="429" w:type="pct"/>
            <w:vAlign w:val="center"/>
            <w:hideMark/>
          </w:tcPr>
          <w:p w14:paraId="6EDCF91A" w14:textId="77777777" w:rsidR="00A9766F" w:rsidRPr="007114AF" w:rsidRDefault="00A9766F" w:rsidP="00A9766F">
            <w:pPr>
              <w:cnfStyle w:val="000000100000" w:firstRow="0" w:lastRow="0" w:firstColumn="0" w:lastColumn="0" w:oddVBand="0" w:evenVBand="0" w:oddHBand="1" w:evenHBand="0" w:firstRowFirstColumn="0" w:firstRowLastColumn="0" w:lastRowFirstColumn="0" w:lastRowLastColumn="0"/>
              <w:rPr>
                <w:rFonts w:ascii="Garamond" w:hAnsi="Garamond" w:cs="Calibri"/>
                <w:sz w:val="18"/>
                <w:szCs w:val="18"/>
              </w:rPr>
            </w:pPr>
            <w:r w:rsidRPr="007114AF">
              <w:rPr>
                <w:rFonts w:ascii="Garamond" w:hAnsi="Garamond" w:cs="Calibri"/>
                <w:sz w:val="18"/>
                <w:szCs w:val="18"/>
              </w:rPr>
              <w:t>224.66</w:t>
            </w:r>
          </w:p>
        </w:tc>
        <w:tc>
          <w:tcPr>
            <w:tcW w:w="429" w:type="pct"/>
            <w:vAlign w:val="center"/>
            <w:hideMark/>
          </w:tcPr>
          <w:p w14:paraId="6EDCF91B" w14:textId="77777777" w:rsidR="00A9766F" w:rsidRPr="007114AF" w:rsidRDefault="00A9766F" w:rsidP="00A9766F">
            <w:pPr>
              <w:cnfStyle w:val="000000100000" w:firstRow="0" w:lastRow="0" w:firstColumn="0" w:lastColumn="0" w:oddVBand="0" w:evenVBand="0" w:oddHBand="1" w:evenHBand="0" w:firstRowFirstColumn="0" w:firstRowLastColumn="0" w:lastRowFirstColumn="0" w:lastRowLastColumn="0"/>
              <w:rPr>
                <w:rFonts w:ascii="Garamond" w:hAnsi="Garamond" w:cs="Calibri"/>
                <w:sz w:val="18"/>
                <w:szCs w:val="18"/>
              </w:rPr>
            </w:pPr>
            <w:r w:rsidRPr="007114AF">
              <w:rPr>
                <w:rFonts w:ascii="Garamond" w:hAnsi="Garamond" w:cs="Calibri"/>
                <w:sz w:val="18"/>
                <w:szCs w:val="18"/>
              </w:rPr>
              <w:t>227.37</w:t>
            </w:r>
          </w:p>
        </w:tc>
        <w:tc>
          <w:tcPr>
            <w:tcW w:w="429" w:type="pct"/>
            <w:vAlign w:val="center"/>
            <w:hideMark/>
          </w:tcPr>
          <w:p w14:paraId="6EDCF91C" w14:textId="77777777" w:rsidR="00A9766F" w:rsidRPr="007114AF" w:rsidRDefault="00A9766F" w:rsidP="00A9766F">
            <w:pPr>
              <w:cnfStyle w:val="000000100000" w:firstRow="0" w:lastRow="0" w:firstColumn="0" w:lastColumn="0" w:oddVBand="0" w:evenVBand="0" w:oddHBand="1" w:evenHBand="0" w:firstRowFirstColumn="0" w:firstRowLastColumn="0" w:lastRowFirstColumn="0" w:lastRowLastColumn="0"/>
              <w:rPr>
                <w:rFonts w:ascii="Garamond" w:hAnsi="Garamond" w:cs="Calibri"/>
                <w:sz w:val="18"/>
                <w:szCs w:val="18"/>
              </w:rPr>
            </w:pPr>
            <w:r w:rsidRPr="007114AF">
              <w:rPr>
                <w:rFonts w:ascii="Garamond" w:hAnsi="Garamond" w:cs="Calibri"/>
                <w:sz w:val="18"/>
                <w:szCs w:val="18"/>
              </w:rPr>
              <w:t>242.50</w:t>
            </w:r>
          </w:p>
        </w:tc>
      </w:tr>
      <w:tr w:rsidR="00A9766F" w:rsidRPr="007114AF" w14:paraId="6EDCF929" w14:textId="77777777" w:rsidTr="00A9766F">
        <w:trPr>
          <w:trHeight w:val="300"/>
          <w:jc w:val="center"/>
        </w:trPr>
        <w:tc>
          <w:tcPr>
            <w:cnfStyle w:val="001000000000" w:firstRow="0" w:lastRow="0" w:firstColumn="1" w:lastColumn="0" w:oddVBand="0" w:evenVBand="0" w:oddHBand="0" w:evenHBand="0" w:firstRowFirstColumn="0" w:firstRowLastColumn="0" w:lastRowFirstColumn="0" w:lastRowLastColumn="0"/>
            <w:tcW w:w="712" w:type="pct"/>
            <w:vAlign w:val="center"/>
            <w:hideMark/>
          </w:tcPr>
          <w:p w14:paraId="6EDCF91E" w14:textId="4CB5A3FA" w:rsidR="00A9766F" w:rsidRPr="007114AF" w:rsidRDefault="00A9766F" w:rsidP="00A9766F">
            <w:pPr>
              <w:rPr>
                <w:rFonts w:ascii="Garamond" w:hAnsi="Garamond" w:cs="Calibri"/>
                <w:b w:val="0"/>
                <w:sz w:val="18"/>
                <w:szCs w:val="18"/>
              </w:rPr>
            </w:pPr>
            <w:r w:rsidRPr="007114AF">
              <w:rPr>
                <w:rFonts w:ascii="Garamond" w:hAnsi="Garamond" w:cs="Calibri"/>
                <w:sz w:val="18"/>
                <w:szCs w:val="18"/>
              </w:rPr>
              <w:t>Bujqësia</w:t>
            </w:r>
            <w:r w:rsidR="000A2A01" w:rsidRPr="007114AF">
              <w:rPr>
                <w:rFonts w:ascii="Garamond" w:hAnsi="Garamond" w:cs="Calibri"/>
                <w:sz w:val="18"/>
                <w:szCs w:val="18"/>
              </w:rPr>
              <w:t xml:space="preserve"> </w:t>
            </w:r>
          </w:p>
        </w:tc>
        <w:tc>
          <w:tcPr>
            <w:tcW w:w="428" w:type="pct"/>
            <w:vAlign w:val="center"/>
            <w:hideMark/>
          </w:tcPr>
          <w:p w14:paraId="6EDCF91F" w14:textId="77777777" w:rsidR="00A9766F" w:rsidRPr="007114AF" w:rsidRDefault="00A9766F" w:rsidP="00A9766F">
            <w:pPr>
              <w:cnfStyle w:val="000000000000" w:firstRow="0" w:lastRow="0" w:firstColumn="0" w:lastColumn="0" w:oddVBand="0" w:evenVBand="0" w:oddHBand="0" w:evenHBand="0" w:firstRowFirstColumn="0" w:firstRowLastColumn="0" w:lastRowFirstColumn="0" w:lastRowLastColumn="0"/>
              <w:rPr>
                <w:rFonts w:ascii="Garamond" w:hAnsi="Garamond" w:cs="Calibri"/>
                <w:sz w:val="18"/>
                <w:szCs w:val="18"/>
              </w:rPr>
            </w:pPr>
            <w:r w:rsidRPr="007114AF">
              <w:rPr>
                <w:rFonts w:ascii="Garamond" w:hAnsi="Garamond" w:cs="Calibri"/>
                <w:sz w:val="18"/>
                <w:szCs w:val="18"/>
              </w:rPr>
              <w:t>295.05</w:t>
            </w:r>
          </w:p>
        </w:tc>
        <w:tc>
          <w:tcPr>
            <w:tcW w:w="429" w:type="pct"/>
            <w:vAlign w:val="center"/>
            <w:hideMark/>
          </w:tcPr>
          <w:p w14:paraId="6EDCF920" w14:textId="77777777" w:rsidR="00A9766F" w:rsidRPr="007114AF" w:rsidRDefault="00A9766F" w:rsidP="00A9766F">
            <w:pPr>
              <w:cnfStyle w:val="000000000000" w:firstRow="0" w:lastRow="0" w:firstColumn="0" w:lastColumn="0" w:oddVBand="0" w:evenVBand="0" w:oddHBand="0" w:evenHBand="0" w:firstRowFirstColumn="0" w:firstRowLastColumn="0" w:lastRowFirstColumn="0" w:lastRowLastColumn="0"/>
              <w:rPr>
                <w:rFonts w:ascii="Garamond" w:hAnsi="Garamond" w:cs="Calibri"/>
                <w:sz w:val="18"/>
                <w:szCs w:val="18"/>
              </w:rPr>
            </w:pPr>
            <w:r w:rsidRPr="007114AF">
              <w:rPr>
                <w:rFonts w:ascii="Garamond" w:hAnsi="Garamond" w:cs="Calibri"/>
                <w:sz w:val="18"/>
                <w:szCs w:val="18"/>
              </w:rPr>
              <w:t>297.43</w:t>
            </w:r>
          </w:p>
        </w:tc>
        <w:tc>
          <w:tcPr>
            <w:tcW w:w="429" w:type="pct"/>
            <w:vAlign w:val="center"/>
            <w:hideMark/>
          </w:tcPr>
          <w:p w14:paraId="6EDCF921" w14:textId="77777777" w:rsidR="00A9766F" w:rsidRPr="007114AF" w:rsidRDefault="00A9766F" w:rsidP="00A9766F">
            <w:pPr>
              <w:cnfStyle w:val="000000000000" w:firstRow="0" w:lastRow="0" w:firstColumn="0" w:lastColumn="0" w:oddVBand="0" w:evenVBand="0" w:oddHBand="0" w:evenHBand="0" w:firstRowFirstColumn="0" w:firstRowLastColumn="0" w:lastRowFirstColumn="0" w:lastRowLastColumn="0"/>
              <w:rPr>
                <w:rFonts w:ascii="Garamond" w:hAnsi="Garamond" w:cs="Calibri"/>
                <w:sz w:val="18"/>
                <w:szCs w:val="18"/>
              </w:rPr>
            </w:pPr>
            <w:r w:rsidRPr="007114AF">
              <w:rPr>
                <w:rFonts w:ascii="Garamond" w:hAnsi="Garamond" w:cs="Calibri"/>
                <w:sz w:val="18"/>
                <w:szCs w:val="18"/>
              </w:rPr>
              <w:t>302.56</w:t>
            </w:r>
          </w:p>
        </w:tc>
        <w:tc>
          <w:tcPr>
            <w:tcW w:w="429" w:type="pct"/>
            <w:vAlign w:val="center"/>
            <w:hideMark/>
          </w:tcPr>
          <w:p w14:paraId="6EDCF922" w14:textId="77777777" w:rsidR="00A9766F" w:rsidRPr="007114AF" w:rsidRDefault="00A9766F" w:rsidP="00A9766F">
            <w:pPr>
              <w:cnfStyle w:val="000000000000" w:firstRow="0" w:lastRow="0" w:firstColumn="0" w:lastColumn="0" w:oddVBand="0" w:evenVBand="0" w:oddHBand="0" w:evenHBand="0" w:firstRowFirstColumn="0" w:firstRowLastColumn="0" w:lastRowFirstColumn="0" w:lastRowLastColumn="0"/>
              <w:rPr>
                <w:rFonts w:ascii="Garamond" w:hAnsi="Garamond" w:cs="Calibri"/>
                <w:sz w:val="18"/>
                <w:szCs w:val="18"/>
              </w:rPr>
            </w:pPr>
            <w:r w:rsidRPr="007114AF">
              <w:rPr>
                <w:rFonts w:ascii="Garamond" w:hAnsi="Garamond" w:cs="Calibri"/>
                <w:sz w:val="18"/>
                <w:szCs w:val="18"/>
              </w:rPr>
              <w:t>316.96</w:t>
            </w:r>
          </w:p>
        </w:tc>
        <w:tc>
          <w:tcPr>
            <w:tcW w:w="429" w:type="pct"/>
            <w:vAlign w:val="center"/>
            <w:hideMark/>
          </w:tcPr>
          <w:p w14:paraId="6EDCF923" w14:textId="77777777" w:rsidR="00A9766F" w:rsidRPr="007114AF" w:rsidRDefault="00A9766F" w:rsidP="00A9766F">
            <w:pPr>
              <w:cnfStyle w:val="000000000000" w:firstRow="0" w:lastRow="0" w:firstColumn="0" w:lastColumn="0" w:oddVBand="0" w:evenVBand="0" w:oddHBand="0" w:evenHBand="0" w:firstRowFirstColumn="0" w:firstRowLastColumn="0" w:lastRowFirstColumn="0" w:lastRowLastColumn="0"/>
              <w:rPr>
                <w:rFonts w:ascii="Garamond" w:hAnsi="Garamond" w:cs="Calibri"/>
                <w:sz w:val="18"/>
                <w:szCs w:val="18"/>
              </w:rPr>
            </w:pPr>
            <w:r w:rsidRPr="007114AF">
              <w:rPr>
                <w:rFonts w:ascii="Garamond" w:hAnsi="Garamond" w:cs="Calibri"/>
                <w:sz w:val="18"/>
                <w:szCs w:val="18"/>
              </w:rPr>
              <w:t>335.73</w:t>
            </w:r>
          </w:p>
        </w:tc>
        <w:tc>
          <w:tcPr>
            <w:tcW w:w="429" w:type="pct"/>
            <w:vAlign w:val="center"/>
            <w:hideMark/>
          </w:tcPr>
          <w:p w14:paraId="6EDCF924" w14:textId="77777777" w:rsidR="00A9766F" w:rsidRPr="007114AF" w:rsidRDefault="00A9766F" w:rsidP="00A9766F">
            <w:pPr>
              <w:cnfStyle w:val="000000000000" w:firstRow="0" w:lastRow="0" w:firstColumn="0" w:lastColumn="0" w:oddVBand="0" w:evenVBand="0" w:oddHBand="0" w:evenHBand="0" w:firstRowFirstColumn="0" w:firstRowLastColumn="0" w:lastRowFirstColumn="0" w:lastRowLastColumn="0"/>
              <w:rPr>
                <w:rFonts w:ascii="Garamond" w:hAnsi="Garamond" w:cs="Calibri"/>
                <w:sz w:val="18"/>
                <w:szCs w:val="18"/>
              </w:rPr>
            </w:pPr>
            <w:r w:rsidRPr="007114AF">
              <w:rPr>
                <w:rFonts w:ascii="Garamond" w:hAnsi="Garamond" w:cs="Calibri"/>
                <w:sz w:val="18"/>
                <w:szCs w:val="18"/>
              </w:rPr>
              <w:t>331.11</w:t>
            </w:r>
          </w:p>
        </w:tc>
        <w:tc>
          <w:tcPr>
            <w:tcW w:w="429" w:type="pct"/>
            <w:vAlign w:val="center"/>
            <w:hideMark/>
          </w:tcPr>
          <w:p w14:paraId="6EDCF925" w14:textId="77777777" w:rsidR="00A9766F" w:rsidRPr="007114AF" w:rsidRDefault="00A9766F" w:rsidP="00A9766F">
            <w:pPr>
              <w:cnfStyle w:val="000000000000" w:firstRow="0" w:lastRow="0" w:firstColumn="0" w:lastColumn="0" w:oddVBand="0" w:evenVBand="0" w:oddHBand="0" w:evenHBand="0" w:firstRowFirstColumn="0" w:firstRowLastColumn="0" w:lastRowFirstColumn="0" w:lastRowLastColumn="0"/>
              <w:rPr>
                <w:rFonts w:ascii="Garamond" w:hAnsi="Garamond" w:cs="Calibri"/>
                <w:sz w:val="18"/>
                <w:szCs w:val="18"/>
              </w:rPr>
            </w:pPr>
            <w:r w:rsidRPr="007114AF">
              <w:rPr>
                <w:rFonts w:ascii="Garamond" w:hAnsi="Garamond" w:cs="Calibri"/>
                <w:sz w:val="18"/>
                <w:szCs w:val="18"/>
              </w:rPr>
              <w:t>333.83</w:t>
            </w:r>
          </w:p>
        </w:tc>
        <w:tc>
          <w:tcPr>
            <w:tcW w:w="429" w:type="pct"/>
            <w:vAlign w:val="center"/>
            <w:hideMark/>
          </w:tcPr>
          <w:p w14:paraId="6EDCF926" w14:textId="77777777" w:rsidR="00A9766F" w:rsidRPr="007114AF" w:rsidRDefault="00A9766F" w:rsidP="00A9766F">
            <w:pPr>
              <w:cnfStyle w:val="000000000000" w:firstRow="0" w:lastRow="0" w:firstColumn="0" w:lastColumn="0" w:oddVBand="0" w:evenVBand="0" w:oddHBand="0" w:evenHBand="0" w:firstRowFirstColumn="0" w:firstRowLastColumn="0" w:lastRowFirstColumn="0" w:lastRowLastColumn="0"/>
              <w:rPr>
                <w:rFonts w:ascii="Garamond" w:hAnsi="Garamond" w:cs="Calibri"/>
                <w:sz w:val="18"/>
                <w:szCs w:val="18"/>
              </w:rPr>
            </w:pPr>
            <w:r w:rsidRPr="007114AF">
              <w:rPr>
                <w:rFonts w:ascii="Garamond" w:hAnsi="Garamond" w:cs="Calibri"/>
                <w:sz w:val="18"/>
                <w:szCs w:val="18"/>
              </w:rPr>
              <w:t>337.24</w:t>
            </w:r>
          </w:p>
        </w:tc>
        <w:tc>
          <w:tcPr>
            <w:tcW w:w="429" w:type="pct"/>
            <w:vAlign w:val="center"/>
            <w:hideMark/>
          </w:tcPr>
          <w:p w14:paraId="6EDCF927" w14:textId="77777777" w:rsidR="00A9766F" w:rsidRPr="007114AF" w:rsidRDefault="00A9766F" w:rsidP="00A9766F">
            <w:pPr>
              <w:cnfStyle w:val="000000000000" w:firstRow="0" w:lastRow="0" w:firstColumn="0" w:lastColumn="0" w:oddVBand="0" w:evenVBand="0" w:oddHBand="0" w:evenHBand="0" w:firstRowFirstColumn="0" w:firstRowLastColumn="0" w:lastRowFirstColumn="0" w:lastRowLastColumn="0"/>
              <w:rPr>
                <w:rFonts w:ascii="Garamond" w:hAnsi="Garamond" w:cs="Calibri"/>
                <w:sz w:val="18"/>
                <w:szCs w:val="18"/>
              </w:rPr>
            </w:pPr>
            <w:r w:rsidRPr="007114AF">
              <w:rPr>
                <w:rFonts w:ascii="Garamond" w:hAnsi="Garamond" w:cs="Calibri"/>
                <w:sz w:val="18"/>
                <w:szCs w:val="18"/>
              </w:rPr>
              <w:t>341.34</w:t>
            </w:r>
          </w:p>
        </w:tc>
        <w:tc>
          <w:tcPr>
            <w:tcW w:w="429" w:type="pct"/>
            <w:vAlign w:val="center"/>
            <w:hideMark/>
          </w:tcPr>
          <w:p w14:paraId="6EDCF928" w14:textId="77777777" w:rsidR="00A9766F" w:rsidRPr="007114AF" w:rsidRDefault="00A9766F" w:rsidP="00A9766F">
            <w:pPr>
              <w:cnfStyle w:val="000000000000" w:firstRow="0" w:lastRow="0" w:firstColumn="0" w:lastColumn="0" w:oddVBand="0" w:evenVBand="0" w:oddHBand="0" w:evenHBand="0" w:firstRowFirstColumn="0" w:firstRowLastColumn="0" w:lastRowFirstColumn="0" w:lastRowLastColumn="0"/>
              <w:rPr>
                <w:rFonts w:ascii="Garamond" w:hAnsi="Garamond" w:cs="Calibri"/>
                <w:sz w:val="18"/>
                <w:szCs w:val="18"/>
              </w:rPr>
            </w:pPr>
            <w:r w:rsidRPr="007114AF">
              <w:rPr>
                <w:rFonts w:ascii="Garamond" w:hAnsi="Garamond" w:cs="Calibri"/>
                <w:sz w:val="18"/>
                <w:szCs w:val="18"/>
              </w:rPr>
              <w:t>366.15</w:t>
            </w:r>
          </w:p>
        </w:tc>
      </w:tr>
    </w:tbl>
    <w:p w14:paraId="6EDCF92A" w14:textId="77777777" w:rsidR="00A9766F" w:rsidRPr="007114AF" w:rsidRDefault="00A9766F" w:rsidP="0018372B">
      <w:pPr>
        <w:spacing w:after="0" w:line="240" w:lineRule="auto"/>
        <w:ind w:firstLine="284"/>
        <w:rPr>
          <w:rFonts w:ascii="Garamond" w:hAnsi="Garamond"/>
        </w:rPr>
      </w:pPr>
    </w:p>
    <w:p w14:paraId="6EDCF92B" w14:textId="693BFC5A" w:rsidR="00A9766F" w:rsidRPr="007114AF" w:rsidRDefault="00A9766F" w:rsidP="00495DC2">
      <w:pPr>
        <w:pStyle w:val="FIGURA"/>
      </w:pPr>
      <w:r w:rsidRPr="007114AF">
        <w:t>Tabela</w:t>
      </w:r>
      <w:r w:rsidR="00495DC2" w:rsidRPr="007114AF">
        <w:t xml:space="preserve"> </w:t>
      </w:r>
      <w:r w:rsidRPr="007114AF">
        <w:fldChar w:fldCharType="begin"/>
      </w:r>
      <w:r w:rsidRPr="007114AF">
        <w:instrText xml:space="preserve"> SEQ Table \* ARABIC </w:instrText>
      </w:r>
      <w:r w:rsidRPr="007114AF">
        <w:fldChar w:fldCharType="separate"/>
      </w:r>
      <w:r w:rsidRPr="007114AF">
        <w:t>6</w:t>
      </w:r>
      <w:r w:rsidRPr="007114AF">
        <w:fldChar w:fldCharType="end"/>
      </w:r>
      <w:r w:rsidRPr="007114AF">
        <w:t xml:space="preserve"> – Shkarkimet nga nënsektorët e </w:t>
      </w:r>
      <w:r w:rsidR="005351B0" w:rsidRPr="007114AF">
        <w:t>e</w:t>
      </w:r>
      <w:r w:rsidRPr="007114AF">
        <w:t>nergjisë në % (burimi</w:t>
      </w:r>
      <w:r w:rsidR="003C603D">
        <w:t xml:space="preserve"> </w:t>
      </w:r>
      <w:r w:rsidRPr="007114AF">
        <w:t>KTK-ja)</w:t>
      </w:r>
    </w:p>
    <w:tbl>
      <w:tblPr>
        <w:tblStyle w:val="LightShading-Accent11"/>
        <w:tblW w:w="5034" w:type="pct"/>
        <w:jc w:val="center"/>
        <w:tblLayout w:type="fixed"/>
        <w:tblLook w:val="04A0" w:firstRow="1" w:lastRow="0" w:firstColumn="1" w:lastColumn="0" w:noHBand="0" w:noVBand="1"/>
      </w:tblPr>
      <w:tblGrid>
        <w:gridCol w:w="1315"/>
        <w:gridCol w:w="707"/>
        <w:gridCol w:w="707"/>
        <w:gridCol w:w="707"/>
        <w:gridCol w:w="707"/>
        <w:gridCol w:w="709"/>
        <w:gridCol w:w="707"/>
        <w:gridCol w:w="707"/>
        <w:gridCol w:w="707"/>
        <w:gridCol w:w="707"/>
        <w:gridCol w:w="709"/>
        <w:gridCol w:w="961"/>
      </w:tblGrid>
      <w:tr w:rsidR="00A9766F" w:rsidRPr="007114AF" w14:paraId="6EDCF938" w14:textId="77777777" w:rsidTr="00A9766F">
        <w:trPr>
          <w:cnfStyle w:val="100000000000" w:firstRow="1" w:lastRow="0" w:firstColumn="0" w:lastColumn="0" w:oddVBand="0" w:evenVBand="0" w:oddHBand="0" w:evenHBand="0" w:firstRowFirstColumn="0" w:firstRowLastColumn="0" w:lastRowFirstColumn="0" w:lastRowLastColumn="0"/>
          <w:trHeight w:val="338"/>
          <w:jc w:val="center"/>
        </w:trPr>
        <w:tc>
          <w:tcPr>
            <w:cnfStyle w:val="001000000000" w:firstRow="0" w:lastRow="0" w:firstColumn="1" w:lastColumn="0" w:oddVBand="0" w:evenVBand="0" w:oddHBand="0" w:evenHBand="0" w:firstRowFirstColumn="0" w:firstRowLastColumn="0" w:lastRowFirstColumn="0" w:lastRowLastColumn="0"/>
            <w:tcW w:w="703" w:type="pct"/>
            <w:hideMark/>
          </w:tcPr>
          <w:p w14:paraId="6EDCF92C" w14:textId="77777777" w:rsidR="00A9766F" w:rsidRPr="007114AF" w:rsidRDefault="00A9766F" w:rsidP="00A9766F">
            <w:pPr>
              <w:rPr>
                <w:rFonts w:ascii="Garamond" w:hAnsi="Garamond"/>
                <w:bCs w:val="0"/>
                <w:sz w:val="18"/>
                <w:szCs w:val="18"/>
              </w:rPr>
            </w:pPr>
            <w:r w:rsidRPr="007114AF">
              <w:rPr>
                <w:rFonts w:ascii="Garamond" w:hAnsi="Garamond"/>
                <w:sz w:val="18"/>
                <w:szCs w:val="18"/>
              </w:rPr>
              <w:t>Nën-sektorët</w:t>
            </w:r>
          </w:p>
        </w:tc>
        <w:tc>
          <w:tcPr>
            <w:tcW w:w="378" w:type="pct"/>
            <w:hideMark/>
          </w:tcPr>
          <w:p w14:paraId="6EDCF92D" w14:textId="77777777" w:rsidR="00A9766F" w:rsidRPr="007114AF" w:rsidRDefault="00A9766F" w:rsidP="00A9766F">
            <w:pPr>
              <w:cnfStyle w:val="100000000000" w:firstRow="1" w:lastRow="0" w:firstColumn="0" w:lastColumn="0" w:oddVBand="0" w:evenVBand="0" w:oddHBand="0" w:evenHBand="0" w:firstRowFirstColumn="0" w:firstRowLastColumn="0" w:lastRowFirstColumn="0" w:lastRowLastColumn="0"/>
              <w:rPr>
                <w:rFonts w:ascii="Garamond" w:hAnsi="Garamond"/>
                <w:bCs w:val="0"/>
                <w:sz w:val="18"/>
                <w:szCs w:val="18"/>
              </w:rPr>
            </w:pPr>
            <w:r w:rsidRPr="007114AF">
              <w:rPr>
                <w:rFonts w:ascii="Garamond" w:hAnsi="Garamond"/>
                <w:sz w:val="18"/>
                <w:szCs w:val="18"/>
              </w:rPr>
              <w:t>2000</w:t>
            </w:r>
          </w:p>
        </w:tc>
        <w:tc>
          <w:tcPr>
            <w:tcW w:w="378" w:type="pct"/>
            <w:hideMark/>
          </w:tcPr>
          <w:p w14:paraId="6EDCF92E" w14:textId="77777777" w:rsidR="00A9766F" w:rsidRPr="007114AF" w:rsidRDefault="00A9766F" w:rsidP="00A9766F">
            <w:pPr>
              <w:cnfStyle w:val="100000000000" w:firstRow="1" w:lastRow="0" w:firstColumn="0" w:lastColumn="0" w:oddVBand="0" w:evenVBand="0" w:oddHBand="0" w:evenHBand="0" w:firstRowFirstColumn="0" w:firstRowLastColumn="0" w:lastRowFirstColumn="0" w:lastRowLastColumn="0"/>
              <w:rPr>
                <w:rFonts w:ascii="Garamond" w:hAnsi="Garamond"/>
                <w:bCs w:val="0"/>
                <w:sz w:val="18"/>
                <w:szCs w:val="18"/>
              </w:rPr>
            </w:pPr>
            <w:r w:rsidRPr="007114AF">
              <w:rPr>
                <w:rFonts w:ascii="Garamond" w:hAnsi="Garamond"/>
                <w:sz w:val="18"/>
                <w:szCs w:val="18"/>
              </w:rPr>
              <w:t>2001</w:t>
            </w:r>
          </w:p>
        </w:tc>
        <w:tc>
          <w:tcPr>
            <w:tcW w:w="378" w:type="pct"/>
            <w:hideMark/>
          </w:tcPr>
          <w:p w14:paraId="6EDCF92F" w14:textId="77777777" w:rsidR="00A9766F" w:rsidRPr="007114AF" w:rsidRDefault="00A9766F" w:rsidP="00A9766F">
            <w:pPr>
              <w:cnfStyle w:val="100000000000" w:firstRow="1" w:lastRow="0" w:firstColumn="0" w:lastColumn="0" w:oddVBand="0" w:evenVBand="0" w:oddHBand="0" w:evenHBand="0" w:firstRowFirstColumn="0" w:firstRowLastColumn="0" w:lastRowFirstColumn="0" w:lastRowLastColumn="0"/>
              <w:rPr>
                <w:rFonts w:ascii="Garamond" w:hAnsi="Garamond"/>
                <w:bCs w:val="0"/>
                <w:sz w:val="18"/>
                <w:szCs w:val="18"/>
              </w:rPr>
            </w:pPr>
            <w:r w:rsidRPr="007114AF">
              <w:rPr>
                <w:rFonts w:ascii="Garamond" w:hAnsi="Garamond"/>
                <w:sz w:val="18"/>
                <w:szCs w:val="18"/>
              </w:rPr>
              <w:t>2002</w:t>
            </w:r>
          </w:p>
        </w:tc>
        <w:tc>
          <w:tcPr>
            <w:tcW w:w="378" w:type="pct"/>
            <w:hideMark/>
          </w:tcPr>
          <w:p w14:paraId="6EDCF930" w14:textId="77777777" w:rsidR="00A9766F" w:rsidRPr="007114AF" w:rsidRDefault="00A9766F" w:rsidP="00A9766F">
            <w:pPr>
              <w:cnfStyle w:val="100000000000" w:firstRow="1" w:lastRow="0" w:firstColumn="0" w:lastColumn="0" w:oddVBand="0" w:evenVBand="0" w:oddHBand="0" w:evenHBand="0" w:firstRowFirstColumn="0" w:firstRowLastColumn="0" w:lastRowFirstColumn="0" w:lastRowLastColumn="0"/>
              <w:rPr>
                <w:rFonts w:ascii="Garamond" w:hAnsi="Garamond"/>
                <w:bCs w:val="0"/>
                <w:sz w:val="18"/>
                <w:szCs w:val="18"/>
              </w:rPr>
            </w:pPr>
            <w:r w:rsidRPr="007114AF">
              <w:rPr>
                <w:rFonts w:ascii="Garamond" w:hAnsi="Garamond"/>
                <w:sz w:val="18"/>
                <w:szCs w:val="18"/>
              </w:rPr>
              <w:t>2003</w:t>
            </w:r>
          </w:p>
        </w:tc>
        <w:tc>
          <w:tcPr>
            <w:tcW w:w="379" w:type="pct"/>
            <w:hideMark/>
          </w:tcPr>
          <w:p w14:paraId="6EDCF931" w14:textId="77777777" w:rsidR="00A9766F" w:rsidRPr="007114AF" w:rsidRDefault="00A9766F" w:rsidP="00A9766F">
            <w:pPr>
              <w:cnfStyle w:val="100000000000" w:firstRow="1" w:lastRow="0" w:firstColumn="0" w:lastColumn="0" w:oddVBand="0" w:evenVBand="0" w:oddHBand="0" w:evenHBand="0" w:firstRowFirstColumn="0" w:firstRowLastColumn="0" w:lastRowFirstColumn="0" w:lastRowLastColumn="0"/>
              <w:rPr>
                <w:rFonts w:ascii="Garamond" w:hAnsi="Garamond"/>
                <w:bCs w:val="0"/>
                <w:sz w:val="18"/>
                <w:szCs w:val="18"/>
              </w:rPr>
            </w:pPr>
            <w:r w:rsidRPr="007114AF">
              <w:rPr>
                <w:rFonts w:ascii="Garamond" w:hAnsi="Garamond"/>
                <w:sz w:val="18"/>
                <w:szCs w:val="18"/>
              </w:rPr>
              <w:t>2004</w:t>
            </w:r>
          </w:p>
        </w:tc>
        <w:tc>
          <w:tcPr>
            <w:tcW w:w="378" w:type="pct"/>
            <w:hideMark/>
          </w:tcPr>
          <w:p w14:paraId="6EDCF932" w14:textId="77777777" w:rsidR="00A9766F" w:rsidRPr="007114AF" w:rsidRDefault="00A9766F" w:rsidP="00A9766F">
            <w:pPr>
              <w:cnfStyle w:val="100000000000" w:firstRow="1" w:lastRow="0" w:firstColumn="0" w:lastColumn="0" w:oddVBand="0" w:evenVBand="0" w:oddHBand="0" w:evenHBand="0" w:firstRowFirstColumn="0" w:firstRowLastColumn="0" w:lastRowFirstColumn="0" w:lastRowLastColumn="0"/>
              <w:rPr>
                <w:rFonts w:ascii="Garamond" w:hAnsi="Garamond"/>
                <w:bCs w:val="0"/>
                <w:sz w:val="18"/>
                <w:szCs w:val="18"/>
              </w:rPr>
            </w:pPr>
            <w:r w:rsidRPr="007114AF">
              <w:rPr>
                <w:rFonts w:ascii="Garamond" w:hAnsi="Garamond"/>
                <w:sz w:val="18"/>
                <w:szCs w:val="18"/>
              </w:rPr>
              <w:t>2005</w:t>
            </w:r>
          </w:p>
        </w:tc>
        <w:tc>
          <w:tcPr>
            <w:tcW w:w="378" w:type="pct"/>
            <w:hideMark/>
          </w:tcPr>
          <w:p w14:paraId="6EDCF933" w14:textId="77777777" w:rsidR="00A9766F" w:rsidRPr="007114AF" w:rsidRDefault="00A9766F" w:rsidP="00A9766F">
            <w:pPr>
              <w:cnfStyle w:val="100000000000" w:firstRow="1" w:lastRow="0" w:firstColumn="0" w:lastColumn="0" w:oddVBand="0" w:evenVBand="0" w:oddHBand="0" w:evenHBand="0" w:firstRowFirstColumn="0" w:firstRowLastColumn="0" w:lastRowFirstColumn="0" w:lastRowLastColumn="0"/>
              <w:rPr>
                <w:rFonts w:ascii="Garamond" w:hAnsi="Garamond"/>
                <w:bCs w:val="0"/>
                <w:sz w:val="18"/>
                <w:szCs w:val="18"/>
              </w:rPr>
            </w:pPr>
            <w:r w:rsidRPr="007114AF">
              <w:rPr>
                <w:rFonts w:ascii="Garamond" w:hAnsi="Garamond"/>
                <w:sz w:val="18"/>
                <w:szCs w:val="18"/>
              </w:rPr>
              <w:t>2006</w:t>
            </w:r>
          </w:p>
        </w:tc>
        <w:tc>
          <w:tcPr>
            <w:tcW w:w="378" w:type="pct"/>
            <w:hideMark/>
          </w:tcPr>
          <w:p w14:paraId="6EDCF934" w14:textId="77777777" w:rsidR="00A9766F" w:rsidRPr="007114AF" w:rsidRDefault="00A9766F" w:rsidP="00A9766F">
            <w:pPr>
              <w:cnfStyle w:val="100000000000" w:firstRow="1" w:lastRow="0" w:firstColumn="0" w:lastColumn="0" w:oddVBand="0" w:evenVBand="0" w:oddHBand="0" w:evenHBand="0" w:firstRowFirstColumn="0" w:firstRowLastColumn="0" w:lastRowFirstColumn="0" w:lastRowLastColumn="0"/>
              <w:rPr>
                <w:rFonts w:ascii="Garamond" w:hAnsi="Garamond"/>
                <w:bCs w:val="0"/>
                <w:sz w:val="18"/>
                <w:szCs w:val="18"/>
              </w:rPr>
            </w:pPr>
            <w:r w:rsidRPr="007114AF">
              <w:rPr>
                <w:rFonts w:ascii="Garamond" w:hAnsi="Garamond"/>
                <w:sz w:val="18"/>
                <w:szCs w:val="18"/>
              </w:rPr>
              <w:t>2007</w:t>
            </w:r>
          </w:p>
        </w:tc>
        <w:tc>
          <w:tcPr>
            <w:tcW w:w="378" w:type="pct"/>
            <w:hideMark/>
          </w:tcPr>
          <w:p w14:paraId="6EDCF935" w14:textId="77777777" w:rsidR="00A9766F" w:rsidRPr="007114AF" w:rsidRDefault="00A9766F" w:rsidP="00A9766F">
            <w:pPr>
              <w:cnfStyle w:val="100000000000" w:firstRow="1" w:lastRow="0" w:firstColumn="0" w:lastColumn="0" w:oddVBand="0" w:evenVBand="0" w:oddHBand="0" w:evenHBand="0" w:firstRowFirstColumn="0" w:firstRowLastColumn="0" w:lastRowFirstColumn="0" w:lastRowLastColumn="0"/>
              <w:rPr>
                <w:rFonts w:ascii="Garamond" w:hAnsi="Garamond"/>
                <w:bCs w:val="0"/>
                <w:sz w:val="18"/>
                <w:szCs w:val="18"/>
              </w:rPr>
            </w:pPr>
            <w:r w:rsidRPr="007114AF">
              <w:rPr>
                <w:rFonts w:ascii="Garamond" w:hAnsi="Garamond"/>
                <w:sz w:val="18"/>
                <w:szCs w:val="18"/>
              </w:rPr>
              <w:t>2008</w:t>
            </w:r>
          </w:p>
        </w:tc>
        <w:tc>
          <w:tcPr>
            <w:tcW w:w="379" w:type="pct"/>
            <w:hideMark/>
          </w:tcPr>
          <w:p w14:paraId="6EDCF936" w14:textId="77777777" w:rsidR="00A9766F" w:rsidRPr="007114AF" w:rsidRDefault="00A9766F" w:rsidP="00A9766F">
            <w:pPr>
              <w:cnfStyle w:val="100000000000" w:firstRow="1" w:lastRow="0" w:firstColumn="0" w:lastColumn="0" w:oddVBand="0" w:evenVBand="0" w:oddHBand="0" w:evenHBand="0" w:firstRowFirstColumn="0" w:firstRowLastColumn="0" w:lastRowFirstColumn="0" w:lastRowLastColumn="0"/>
              <w:rPr>
                <w:rFonts w:ascii="Garamond" w:hAnsi="Garamond"/>
                <w:bCs w:val="0"/>
                <w:sz w:val="18"/>
                <w:szCs w:val="18"/>
              </w:rPr>
            </w:pPr>
            <w:r w:rsidRPr="007114AF">
              <w:rPr>
                <w:rFonts w:ascii="Garamond" w:hAnsi="Garamond"/>
                <w:sz w:val="18"/>
                <w:szCs w:val="18"/>
              </w:rPr>
              <w:t>2009</w:t>
            </w:r>
          </w:p>
        </w:tc>
        <w:tc>
          <w:tcPr>
            <w:tcW w:w="514" w:type="pct"/>
          </w:tcPr>
          <w:p w14:paraId="6EDCF937" w14:textId="77777777" w:rsidR="00A9766F" w:rsidRPr="007114AF" w:rsidRDefault="00A9766F" w:rsidP="00A9766F">
            <w:pPr>
              <w:cnfStyle w:val="100000000000" w:firstRow="1" w:lastRow="0" w:firstColumn="0" w:lastColumn="0" w:oddVBand="0" w:evenVBand="0" w:oddHBand="0" w:evenHBand="0" w:firstRowFirstColumn="0" w:firstRowLastColumn="0" w:lastRowFirstColumn="0" w:lastRowLastColumn="0"/>
              <w:rPr>
                <w:rFonts w:ascii="Garamond" w:hAnsi="Garamond"/>
                <w:bCs w:val="0"/>
                <w:sz w:val="18"/>
                <w:szCs w:val="18"/>
              </w:rPr>
            </w:pPr>
            <w:r w:rsidRPr="007114AF">
              <w:rPr>
                <w:rFonts w:ascii="Garamond" w:hAnsi="Garamond"/>
                <w:sz w:val="18"/>
                <w:szCs w:val="18"/>
              </w:rPr>
              <w:t>% 2000-09</w:t>
            </w:r>
          </w:p>
        </w:tc>
      </w:tr>
      <w:tr w:rsidR="00A9766F" w:rsidRPr="007114AF" w14:paraId="6EDCF945" w14:textId="77777777" w:rsidTr="00A9766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703" w:type="pct"/>
            <w:vAlign w:val="center"/>
            <w:hideMark/>
          </w:tcPr>
          <w:p w14:paraId="6EDCF939" w14:textId="77777777" w:rsidR="00A9766F" w:rsidRPr="007114AF" w:rsidRDefault="00A9766F" w:rsidP="00A9766F">
            <w:pPr>
              <w:rPr>
                <w:rFonts w:ascii="Garamond" w:hAnsi="Garamond" w:cs="Calibri"/>
                <w:b w:val="0"/>
                <w:sz w:val="18"/>
                <w:szCs w:val="18"/>
              </w:rPr>
            </w:pPr>
            <w:r w:rsidRPr="007114AF">
              <w:rPr>
                <w:rFonts w:ascii="Garamond" w:hAnsi="Garamond" w:cs="Calibri"/>
                <w:sz w:val="18"/>
                <w:szCs w:val="18"/>
              </w:rPr>
              <w:t xml:space="preserve"> Sektorët e Energjisë dhe Transportit </w:t>
            </w:r>
          </w:p>
        </w:tc>
        <w:tc>
          <w:tcPr>
            <w:tcW w:w="378" w:type="pct"/>
            <w:vAlign w:val="center"/>
            <w:hideMark/>
          </w:tcPr>
          <w:p w14:paraId="6EDCF93A" w14:textId="77777777" w:rsidR="00A9766F" w:rsidRPr="007114AF" w:rsidRDefault="00A9766F" w:rsidP="00A9766F">
            <w:pPr>
              <w:cnfStyle w:val="000000100000" w:firstRow="0" w:lastRow="0" w:firstColumn="0" w:lastColumn="0" w:oddVBand="0" w:evenVBand="0" w:oddHBand="1" w:evenHBand="0" w:firstRowFirstColumn="0" w:firstRowLastColumn="0" w:lastRowFirstColumn="0" w:lastRowLastColumn="0"/>
              <w:rPr>
                <w:rFonts w:ascii="Garamond" w:hAnsi="Garamond"/>
                <w:sz w:val="18"/>
                <w:szCs w:val="18"/>
              </w:rPr>
            </w:pPr>
            <w:r w:rsidRPr="007114AF">
              <w:rPr>
                <w:rFonts w:ascii="Garamond" w:hAnsi="Garamond"/>
                <w:sz w:val="18"/>
                <w:szCs w:val="18"/>
              </w:rPr>
              <w:t>100.00</w:t>
            </w:r>
          </w:p>
        </w:tc>
        <w:tc>
          <w:tcPr>
            <w:tcW w:w="378" w:type="pct"/>
            <w:vAlign w:val="center"/>
            <w:hideMark/>
          </w:tcPr>
          <w:p w14:paraId="6EDCF93B" w14:textId="77777777" w:rsidR="00A9766F" w:rsidRPr="007114AF" w:rsidRDefault="00A9766F" w:rsidP="00A9766F">
            <w:pPr>
              <w:cnfStyle w:val="000000100000" w:firstRow="0" w:lastRow="0" w:firstColumn="0" w:lastColumn="0" w:oddVBand="0" w:evenVBand="0" w:oddHBand="1" w:evenHBand="0" w:firstRowFirstColumn="0" w:firstRowLastColumn="0" w:lastRowFirstColumn="0" w:lastRowLastColumn="0"/>
              <w:rPr>
                <w:rFonts w:ascii="Garamond" w:hAnsi="Garamond"/>
                <w:sz w:val="18"/>
                <w:szCs w:val="18"/>
              </w:rPr>
            </w:pPr>
            <w:r w:rsidRPr="007114AF">
              <w:rPr>
                <w:rFonts w:ascii="Garamond" w:hAnsi="Garamond"/>
                <w:sz w:val="18"/>
                <w:szCs w:val="18"/>
              </w:rPr>
              <w:t>100.00</w:t>
            </w:r>
          </w:p>
        </w:tc>
        <w:tc>
          <w:tcPr>
            <w:tcW w:w="378" w:type="pct"/>
            <w:vAlign w:val="center"/>
            <w:hideMark/>
          </w:tcPr>
          <w:p w14:paraId="6EDCF93C" w14:textId="77777777" w:rsidR="00A9766F" w:rsidRPr="007114AF" w:rsidRDefault="00A9766F" w:rsidP="00A9766F">
            <w:pPr>
              <w:cnfStyle w:val="000000100000" w:firstRow="0" w:lastRow="0" w:firstColumn="0" w:lastColumn="0" w:oddVBand="0" w:evenVBand="0" w:oddHBand="1" w:evenHBand="0" w:firstRowFirstColumn="0" w:firstRowLastColumn="0" w:lastRowFirstColumn="0" w:lastRowLastColumn="0"/>
              <w:rPr>
                <w:rFonts w:ascii="Garamond" w:hAnsi="Garamond"/>
                <w:sz w:val="18"/>
                <w:szCs w:val="18"/>
              </w:rPr>
            </w:pPr>
            <w:r w:rsidRPr="007114AF">
              <w:rPr>
                <w:rFonts w:ascii="Garamond" w:hAnsi="Garamond"/>
                <w:sz w:val="18"/>
                <w:szCs w:val="18"/>
              </w:rPr>
              <w:t>100.00</w:t>
            </w:r>
          </w:p>
        </w:tc>
        <w:tc>
          <w:tcPr>
            <w:tcW w:w="378" w:type="pct"/>
            <w:vAlign w:val="center"/>
            <w:hideMark/>
          </w:tcPr>
          <w:p w14:paraId="6EDCF93D" w14:textId="77777777" w:rsidR="00A9766F" w:rsidRPr="007114AF" w:rsidRDefault="00A9766F" w:rsidP="00A9766F">
            <w:pPr>
              <w:cnfStyle w:val="000000100000" w:firstRow="0" w:lastRow="0" w:firstColumn="0" w:lastColumn="0" w:oddVBand="0" w:evenVBand="0" w:oddHBand="1" w:evenHBand="0" w:firstRowFirstColumn="0" w:firstRowLastColumn="0" w:lastRowFirstColumn="0" w:lastRowLastColumn="0"/>
              <w:rPr>
                <w:rFonts w:ascii="Garamond" w:hAnsi="Garamond"/>
                <w:sz w:val="18"/>
                <w:szCs w:val="18"/>
              </w:rPr>
            </w:pPr>
            <w:r w:rsidRPr="007114AF">
              <w:rPr>
                <w:rFonts w:ascii="Garamond" w:hAnsi="Garamond"/>
                <w:sz w:val="18"/>
                <w:szCs w:val="18"/>
              </w:rPr>
              <w:t>100.00</w:t>
            </w:r>
          </w:p>
        </w:tc>
        <w:tc>
          <w:tcPr>
            <w:tcW w:w="379" w:type="pct"/>
            <w:vAlign w:val="center"/>
            <w:hideMark/>
          </w:tcPr>
          <w:p w14:paraId="6EDCF93E" w14:textId="77777777" w:rsidR="00A9766F" w:rsidRPr="007114AF" w:rsidRDefault="00A9766F" w:rsidP="00A9766F">
            <w:pPr>
              <w:cnfStyle w:val="000000100000" w:firstRow="0" w:lastRow="0" w:firstColumn="0" w:lastColumn="0" w:oddVBand="0" w:evenVBand="0" w:oddHBand="1" w:evenHBand="0" w:firstRowFirstColumn="0" w:firstRowLastColumn="0" w:lastRowFirstColumn="0" w:lastRowLastColumn="0"/>
              <w:rPr>
                <w:rFonts w:ascii="Garamond" w:hAnsi="Garamond"/>
                <w:sz w:val="18"/>
                <w:szCs w:val="18"/>
              </w:rPr>
            </w:pPr>
            <w:r w:rsidRPr="007114AF">
              <w:rPr>
                <w:rFonts w:ascii="Garamond" w:hAnsi="Garamond"/>
                <w:sz w:val="18"/>
                <w:szCs w:val="18"/>
              </w:rPr>
              <w:t>100.00</w:t>
            </w:r>
          </w:p>
        </w:tc>
        <w:tc>
          <w:tcPr>
            <w:tcW w:w="378" w:type="pct"/>
            <w:vAlign w:val="center"/>
            <w:hideMark/>
          </w:tcPr>
          <w:p w14:paraId="6EDCF93F" w14:textId="77777777" w:rsidR="00A9766F" w:rsidRPr="007114AF" w:rsidRDefault="00A9766F" w:rsidP="00A9766F">
            <w:pPr>
              <w:cnfStyle w:val="000000100000" w:firstRow="0" w:lastRow="0" w:firstColumn="0" w:lastColumn="0" w:oddVBand="0" w:evenVBand="0" w:oddHBand="1" w:evenHBand="0" w:firstRowFirstColumn="0" w:firstRowLastColumn="0" w:lastRowFirstColumn="0" w:lastRowLastColumn="0"/>
              <w:rPr>
                <w:rFonts w:ascii="Garamond" w:hAnsi="Garamond"/>
                <w:sz w:val="18"/>
                <w:szCs w:val="18"/>
              </w:rPr>
            </w:pPr>
            <w:r w:rsidRPr="007114AF">
              <w:rPr>
                <w:rFonts w:ascii="Garamond" w:hAnsi="Garamond"/>
                <w:sz w:val="18"/>
                <w:szCs w:val="18"/>
              </w:rPr>
              <w:t>100.00</w:t>
            </w:r>
          </w:p>
        </w:tc>
        <w:tc>
          <w:tcPr>
            <w:tcW w:w="378" w:type="pct"/>
            <w:vAlign w:val="center"/>
            <w:hideMark/>
          </w:tcPr>
          <w:p w14:paraId="6EDCF940" w14:textId="77777777" w:rsidR="00A9766F" w:rsidRPr="007114AF" w:rsidRDefault="00A9766F" w:rsidP="00A9766F">
            <w:pPr>
              <w:cnfStyle w:val="000000100000" w:firstRow="0" w:lastRow="0" w:firstColumn="0" w:lastColumn="0" w:oddVBand="0" w:evenVBand="0" w:oddHBand="1" w:evenHBand="0" w:firstRowFirstColumn="0" w:firstRowLastColumn="0" w:lastRowFirstColumn="0" w:lastRowLastColumn="0"/>
              <w:rPr>
                <w:rFonts w:ascii="Garamond" w:hAnsi="Garamond"/>
                <w:sz w:val="18"/>
                <w:szCs w:val="18"/>
              </w:rPr>
            </w:pPr>
            <w:r w:rsidRPr="007114AF">
              <w:rPr>
                <w:rFonts w:ascii="Garamond" w:hAnsi="Garamond"/>
                <w:sz w:val="18"/>
                <w:szCs w:val="18"/>
              </w:rPr>
              <w:t>100.00</w:t>
            </w:r>
          </w:p>
        </w:tc>
        <w:tc>
          <w:tcPr>
            <w:tcW w:w="378" w:type="pct"/>
            <w:vAlign w:val="center"/>
            <w:hideMark/>
          </w:tcPr>
          <w:p w14:paraId="6EDCF941" w14:textId="77777777" w:rsidR="00A9766F" w:rsidRPr="007114AF" w:rsidRDefault="00A9766F" w:rsidP="00A9766F">
            <w:pPr>
              <w:cnfStyle w:val="000000100000" w:firstRow="0" w:lastRow="0" w:firstColumn="0" w:lastColumn="0" w:oddVBand="0" w:evenVBand="0" w:oddHBand="1" w:evenHBand="0" w:firstRowFirstColumn="0" w:firstRowLastColumn="0" w:lastRowFirstColumn="0" w:lastRowLastColumn="0"/>
              <w:rPr>
                <w:rFonts w:ascii="Garamond" w:hAnsi="Garamond"/>
                <w:sz w:val="18"/>
                <w:szCs w:val="18"/>
              </w:rPr>
            </w:pPr>
            <w:r w:rsidRPr="007114AF">
              <w:rPr>
                <w:rFonts w:ascii="Garamond" w:hAnsi="Garamond"/>
                <w:sz w:val="18"/>
                <w:szCs w:val="18"/>
              </w:rPr>
              <w:t>100.00</w:t>
            </w:r>
          </w:p>
        </w:tc>
        <w:tc>
          <w:tcPr>
            <w:tcW w:w="378" w:type="pct"/>
            <w:vAlign w:val="center"/>
            <w:hideMark/>
          </w:tcPr>
          <w:p w14:paraId="6EDCF942" w14:textId="77777777" w:rsidR="00A9766F" w:rsidRPr="007114AF" w:rsidRDefault="00A9766F" w:rsidP="00A9766F">
            <w:pPr>
              <w:cnfStyle w:val="000000100000" w:firstRow="0" w:lastRow="0" w:firstColumn="0" w:lastColumn="0" w:oddVBand="0" w:evenVBand="0" w:oddHBand="1" w:evenHBand="0" w:firstRowFirstColumn="0" w:firstRowLastColumn="0" w:lastRowFirstColumn="0" w:lastRowLastColumn="0"/>
              <w:rPr>
                <w:rFonts w:ascii="Garamond" w:hAnsi="Garamond"/>
                <w:sz w:val="18"/>
                <w:szCs w:val="18"/>
              </w:rPr>
            </w:pPr>
            <w:r w:rsidRPr="007114AF">
              <w:rPr>
                <w:rFonts w:ascii="Garamond" w:hAnsi="Garamond"/>
                <w:sz w:val="18"/>
                <w:szCs w:val="18"/>
              </w:rPr>
              <w:t>100.00</w:t>
            </w:r>
          </w:p>
        </w:tc>
        <w:tc>
          <w:tcPr>
            <w:tcW w:w="379" w:type="pct"/>
            <w:vAlign w:val="center"/>
            <w:hideMark/>
          </w:tcPr>
          <w:p w14:paraId="6EDCF943" w14:textId="77777777" w:rsidR="00A9766F" w:rsidRPr="007114AF" w:rsidRDefault="00A9766F" w:rsidP="00A9766F">
            <w:pPr>
              <w:cnfStyle w:val="000000100000" w:firstRow="0" w:lastRow="0" w:firstColumn="0" w:lastColumn="0" w:oddVBand="0" w:evenVBand="0" w:oddHBand="1" w:evenHBand="0" w:firstRowFirstColumn="0" w:firstRowLastColumn="0" w:lastRowFirstColumn="0" w:lastRowLastColumn="0"/>
              <w:rPr>
                <w:rFonts w:ascii="Garamond" w:hAnsi="Garamond"/>
                <w:sz w:val="18"/>
                <w:szCs w:val="18"/>
              </w:rPr>
            </w:pPr>
            <w:r w:rsidRPr="007114AF">
              <w:rPr>
                <w:rFonts w:ascii="Garamond" w:hAnsi="Garamond"/>
                <w:sz w:val="18"/>
                <w:szCs w:val="18"/>
              </w:rPr>
              <w:t>100.00</w:t>
            </w:r>
          </w:p>
        </w:tc>
        <w:tc>
          <w:tcPr>
            <w:tcW w:w="514" w:type="pct"/>
            <w:vAlign w:val="center"/>
          </w:tcPr>
          <w:p w14:paraId="6EDCF944" w14:textId="77777777" w:rsidR="00A9766F" w:rsidRPr="007114AF" w:rsidRDefault="00A9766F" w:rsidP="00A9766F">
            <w:pPr>
              <w:cnfStyle w:val="000000100000" w:firstRow="0" w:lastRow="0" w:firstColumn="0" w:lastColumn="0" w:oddVBand="0" w:evenVBand="0" w:oddHBand="1" w:evenHBand="0" w:firstRowFirstColumn="0" w:firstRowLastColumn="0" w:lastRowFirstColumn="0" w:lastRowLastColumn="0"/>
              <w:rPr>
                <w:rFonts w:ascii="Garamond" w:hAnsi="Garamond"/>
                <w:sz w:val="18"/>
                <w:szCs w:val="18"/>
              </w:rPr>
            </w:pPr>
            <w:r w:rsidRPr="007114AF">
              <w:rPr>
                <w:rFonts w:ascii="Garamond" w:hAnsi="Garamond"/>
                <w:sz w:val="18"/>
                <w:szCs w:val="18"/>
              </w:rPr>
              <w:t>+24%</w:t>
            </w:r>
          </w:p>
        </w:tc>
      </w:tr>
      <w:tr w:rsidR="00A9766F" w:rsidRPr="007114AF" w14:paraId="6EDCF952" w14:textId="77777777" w:rsidTr="00A9766F">
        <w:trPr>
          <w:trHeight w:val="300"/>
          <w:jc w:val="center"/>
        </w:trPr>
        <w:tc>
          <w:tcPr>
            <w:cnfStyle w:val="001000000000" w:firstRow="0" w:lastRow="0" w:firstColumn="1" w:lastColumn="0" w:oddVBand="0" w:evenVBand="0" w:oddHBand="0" w:evenHBand="0" w:firstRowFirstColumn="0" w:firstRowLastColumn="0" w:lastRowFirstColumn="0" w:lastRowLastColumn="0"/>
            <w:tcW w:w="703" w:type="pct"/>
            <w:vAlign w:val="center"/>
            <w:hideMark/>
          </w:tcPr>
          <w:p w14:paraId="6EDCF946" w14:textId="77777777" w:rsidR="00A9766F" w:rsidRPr="007114AF" w:rsidRDefault="00A9766F" w:rsidP="00A9766F">
            <w:pPr>
              <w:rPr>
                <w:rFonts w:ascii="Garamond" w:hAnsi="Garamond" w:cs="Calibri"/>
                <w:b w:val="0"/>
                <w:sz w:val="18"/>
                <w:szCs w:val="18"/>
              </w:rPr>
            </w:pPr>
            <w:r w:rsidRPr="007114AF">
              <w:rPr>
                <w:rFonts w:ascii="Garamond" w:hAnsi="Garamond" w:cs="Calibri"/>
                <w:sz w:val="18"/>
                <w:szCs w:val="18"/>
              </w:rPr>
              <w:t xml:space="preserve">Industritë e Energjisë: Të gjitha </w:t>
            </w:r>
          </w:p>
        </w:tc>
        <w:tc>
          <w:tcPr>
            <w:tcW w:w="378" w:type="pct"/>
            <w:vAlign w:val="center"/>
            <w:hideMark/>
          </w:tcPr>
          <w:p w14:paraId="6EDCF947" w14:textId="77777777" w:rsidR="00A9766F" w:rsidRPr="007114AF" w:rsidRDefault="00A9766F" w:rsidP="00A9766F">
            <w:pPr>
              <w:cnfStyle w:val="000000000000" w:firstRow="0" w:lastRow="0" w:firstColumn="0" w:lastColumn="0" w:oddVBand="0" w:evenVBand="0" w:oddHBand="0" w:evenHBand="0" w:firstRowFirstColumn="0" w:firstRowLastColumn="0" w:lastRowFirstColumn="0" w:lastRowLastColumn="0"/>
              <w:rPr>
                <w:rFonts w:ascii="Garamond" w:hAnsi="Garamond"/>
                <w:sz w:val="18"/>
                <w:szCs w:val="18"/>
              </w:rPr>
            </w:pPr>
            <w:r w:rsidRPr="007114AF">
              <w:rPr>
                <w:rFonts w:ascii="Garamond" w:hAnsi="Garamond"/>
                <w:sz w:val="18"/>
                <w:szCs w:val="18"/>
              </w:rPr>
              <w:t>5.98</w:t>
            </w:r>
          </w:p>
        </w:tc>
        <w:tc>
          <w:tcPr>
            <w:tcW w:w="378" w:type="pct"/>
            <w:vAlign w:val="center"/>
            <w:hideMark/>
          </w:tcPr>
          <w:p w14:paraId="6EDCF948" w14:textId="77777777" w:rsidR="00A9766F" w:rsidRPr="007114AF" w:rsidRDefault="00A9766F" w:rsidP="00A9766F">
            <w:pPr>
              <w:cnfStyle w:val="000000000000" w:firstRow="0" w:lastRow="0" w:firstColumn="0" w:lastColumn="0" w:oddVBand="0" w:evenVBand="0" w:oddHBand="0" w:evenHBand="0" w:firstRowFirstColumn="0" w:firstRowLastColumn="0" w:lastRowFirstColumn="0" w:lastRowLastColumn="0"/>
              <w:rPr>
                <w:rFonts w:ascii="Garamond" w:hAnsi="Garamond"/>
                <w:sz w:val="18"/>
                <w:szCs w:val="18"/>
              </w:rPr>
            </w:pPr>
            <w:r w:rsidRPr="007114AF">
              <w:rPr>
                <w:rFonts w:ascii="Garamond" w:hAnsi="Garamond"/>
                <w:sz w:val="18"/>
                <w:szCs w:val="18"/>
              </w:rPr>
              <w:t>5.98</w:t>
            </w:r>
          </w:p>
        </w:tc>
        <w:tc>
          <w:tcPr>
            <w:tcW w:w="378" w:type="pct"/>
            <w:vAlign w:val="center"/>
            <w:hideMark/>
          </w:tcPr>
          <w:p w14:paraId="6EDCF949" w14:textId="77777777" w:rsidR="00A9766F" w:rsidRPr="007114AF" w:rsidRDefault="00A9766F" w:rsidP="00A9766F">
            <w:pPr>
              <w:cnfStyle w:val="000000000000" w:firstRow="0" w:lastRow="0" w:firstColumn="0" w:lastColumn="0" w:oddVBand="0" w:evenVBand="0" w:oddHBand="0" w:evenHBand="0" w:firstRowFirstColumn="0" w:firstRowLastColumn="0" w:lastRowFirstColumn="0" w:lastRowLastColumn="0"/>
              <w:rPr>
                <w:rFonts w:ascii="Garamond" w:hAnsi="Garamond"/>
                <w:sz w:val="18"/>
                <w:szCs w:val="18"/>
              </w:rPr>
            </w:pPr>
            <w:r w:rsidRPr="007114AF">
              <w:rPr>
                <w:rFonts w:ascii="Garamond" w:hAnsi="Garamond"/>
                <w:sz w:val="18"/>
                <w:szCs w:val="18"/>
              </w:rPr>
              <w:t>6.03</w:t>
            </w:r>
          </w:p>
        </w:tc>
        <w:tc>
          <w:tcPr>
            <w:tcW w:w="378" w:type="pct"/>
            <w:vAlign w:val="center"/>
            <w:hideMark/>
          </w:tcPr>
          <w:p w14:paraId="6EDCF94A" w14:textId="77777777" w:rsidR="00A9766F" w:rsidRPr="007114AF" w:rsidRDefault="00A9766F" w:rsidP="00A9766F">
            <w:pPr>
              <w:cnfStyle w:val="000000000000" w:firstRow="0" w:lastRow="0" w:firstColumn="0" w:lastColumn="0" w:oddVBand="0" w:evenVBand="0" w:oddHBand="0" w:evenHBand="0" w:firstRowFirstColumn="0" w:firstRowLastColumn="0" w:lastRowFirstColumn="0" w:lastRowLastColumn="0"/>
              <w:rPr>
                <w:rFonts w:ascii="Garamond" w:hAnsi="Garamond"/>
                <w:sz w:val="18"/>
                <w:szCs w:val="18"/>
              </w:rPr>
            </w:pPr>
            <w:r w:rsidRPr="007114AF">
              <w:rPr>
                <w:rFonts w:ascii="Garamond" w:hAnsi="Garamond"/>
                <w:sz w:val="18"/>
                <w:szCs w:val="18"/>
              </w:rPr>
              <w:t>6.09</w:t>
            </w:r>
          </w:p>
        </w:tc>
        <w:tc>
          <w:tcPr>
            <w:tcW w:w="379" w:type="pct"/>
            <w:vAlign w:val="center"/>
            <w:hideMark/>
          </w:tcPr>
          <w:p w14:paraId="6EDCF94B" w14:textId="77777777" w:rsidR="00A9766F" w:rsidRPr="007114AF" w:rsidRDefault="00A9766F" w:rsidP="00A9766F">
            <w:pPr>
              <w:cnfStyle w:val="000000000000" w:firstRow="0" w:lastRow="0" w:firstColumn="0" w:lastColumn="0" w:oddVBand="0" w:evenVBand="0" w:oddHBand="0" w:evenHBand="0" w:firstRowFirstColumn="0" w:firstRowLastColumn="0" w:lastRowFirstColumn="0" w:lastRowLastColumn="0"/>
              <w:rPr>
                <w:rFonts w:ascii="Garamond" w:hAnsi="Garamond"/>
                <w:sz w:val="18"/>
                <w:szCs w:val="18"/>
              </w:rPr>
            </w:pPr>
            <w:r w:rsidRPr="007114AF">
              <w:rPr>
                <w:rFonts w:ascii="Garamond" w:hAnsi="Garamond"/>
                <w:sz w:val="18"/>
                <w:szCs w:val="18"/>
              </w:rPr>
              <w:t>6.11</w:t>
            </w:r>
          </w:p>
        </w:tc>
        <w:tc>
          <w:tcPr>
            <w:tcW w:w="378" w:type="pct"/>
            <w:vAlign w:val="center"/>
            <w:hideMark/>
          </w:tcPr>
          <w:p w14:paraId="6EDCF94C" w14:textId="77777777" w:rsidR="00A9766F" w:rsidRPr="007114AF" w:rsidRDefault="00A9766F" w:rsidP="00A9766F">
            <w:pPr>
              <w:cnfStyle w:val="000000000000" w:firstRow="0" w:lastRow="0" w:firstColumn="0" w:lastColumn="0" w:oddVBand="0" w:evenVBand="0" w:oddHBand="0" w:evenHBand="0" w:firstRowFirstColumn="0" w:firstRowLastColumn="0" w:lastRowFirstColumn="0" w:lastRowLastColumn="0"/>
              <w:rPr>
                <w:rFonts w:ascii="Garamond" w:hAnsi="Garamond"/>
                <w:sz w:val="18"/>
                <w:szCs w:val="18"/>
              </w:rPr>
            </w:pPr>
            <w:r w:rsidRPr="007114AF">
              <w:rPr>
                <w:rFonts w:ascii="Garamond" w:hAnsi="Garamond"/>
                <w:sz w:val="18"/>
                <w:szCs w:val="18"/>
              </w:rPr>
              <w:t>6.11</w:t>
            </w:r>
          </w:p>
        </w:tc>
        <w:tc>
          <w:tcPr>
            <w:tcW w:w="378" w:type="pct"/>
            <w:vAlign w:val="center"/>
            <w:hideMark/>
          </w:tcPr>
          <w:p w14:paraId="6EDCF94D" w14:textId="77777777" w:rsidR="00A9766F" w:rsidRPr="007114AF" w:rsidRDefault="00A9766F" w:rsidP="00A9766F">
            <w:pPr>
              <w:cnfStyle w:val="000000000000" w:firstRow="0" w:lastRow="0" w:firstColumn="0" w:lastColumn="0" w:oddVBand="0" w:evenVBand="0" w:oddHBand="0" w:evenHBand="0" w:firstRowFirstColumn="0" w:firstRowLastColumn="0" w:lastRowFirstColumn="0" w:lastRowLastColumn="0"/>
              <w:rPr>
                <w:rFonts w:ascii="Garamond" w:hAnsi="Garamond"/>
                <w:sz w:val="18"/>
                <w:szCs w:val="18"/>
              </w:rPr>
            </w:pPr>
            <w:r w:rsidRPr="007114AF">
              <w:rPr>
                <w:rFonts w:ascii="Garamond" w:hAnsi="Garamond"/>
                <w:sz w:val="18"/>
                <w:szCs w:val="18"/>
              </w:rPr>
              <w:t>6.11</w:t>
            </w:r>
          </w:p>
        </w:tc>
        <w:tc>
          <w:tcPr>
            <w:tcW w:w="378" w:type="pct"/>
            <w:vAlign w:val="center"/>
            <w:hideMark/>
          </w:tcPr>
          <w:p w14:paraId="6EDCF94E" w14:textId="77777777" w:rsidR="00A9766F" w:rsidRPr="007114AF" w:rsidRDefault="00A9766F" w:rsidP="00A9766F">
            <w:pPr>
              <w:cnfStyle w:val="000000000000" w:firstRow="0" w:lastRow="0" w:firstColumn="0" w:lastColumn="0" w:oddVBand="0" w:evenVBand="0" w:oddHBand="0" w:evenHBand="0" w:firstRowFirstColumn="0" w:firstRowLastColumn="0" w:lastRowFirstColumn="0" w:lastRowLastColumn="0"/>
              <w:rPr>
                <w:rFonts w:ascii="Garamond" w:hAnsi="Garamond"/>
                <w:sz w:val="18"/>
                <w:szCs w:val="18"/>
              </w:rPr>
            </w:pPr>
            <w:r w:rsidRPr="007114AF">
              <w:rPr>
                <w:rFonts w:ascii="Garamond" w:hAnsi="Garamond"/>
                <w:sz w:val="18"/>
                <w:szCs w:val="18"/>
              </w:rPr>
              <w:t>6.10</w:t>
            </w:r>
          </w:p>
        </w:tc>
        <w:tc>
          <w:tcPr>
            <w:tcW w:w="378" w:type="pct"/>
            <w:vAlign w:val="center"/>
            <w:hideMark/>
          </w:tcPr>
          <w:p w14:paraId="6EDCF94F" w14:textId="77777777" w:rsidR="00A9766F" w:rsidRPr="007114AF" w:rsidRDefault="00A9766F" w:rsidP="00A9766F">
            <w:pPr>
              <w:cnfStyle w:val="000000000000" w:firstRow="0" w:lastRow="0" w:firstColumn="0" w:lastColumn="0" w:oddVBand="0" w:evenVBand="0" w:oddHBand="0" w:evenHBand="0" w:firstRowFirstColumn="0" w:firstRowLastColumn="0" w:lastRowFirstColumn="0" w:lastRowLastColumn="0"/>
              <w:rPr>
                <w:rFonts w:ascii="Garamond" w:hAnsi="Garamond"/>
                <w:sz w:val="18"/>
                <w:szCs w:val="18"/>
              </w:rPr>
            </w:pPr>
            <w:r w:rsidRPr="007114AF">
              <w:rPr>
                <w:rFonts w:ascii="Garamond" w:hAnsi="Garamond"/>
                <w:sz w:val="18"/>
                <w:szCs w:val="18"/>
              </w:rPr>
              <w:t>6.10</w:t>
            </w:r>
          </w:p>
        </w:tc>
        <w:tc>
          <w:tcPr>
            <w:tcW w:w="379" w:type="pct"/>
            <w:vAlign w:val="center"/>
            <w:hideMark/>
          </w:tcPr>
          <w:p w14:paraId="6EDCF950" w14:textId="77777777" w:rsidR="00A9766F" w:rsidRPr="007114AF" w:rsidRDefault="00A9766F" w:rsidP="00A9766F">
            <w:pPr>
              <w:cnfStyle w:val="000000000000" w:firstRow="0" w:lastRow="0" w:firstColumn="0" w:lastColumn="0" w:oddVBand="0" w:evenVBand="0" w:oddHBand="0" w:evenHBand="0" w:firstRowFirstColumn="0" w:firstRowLastColumn="0" w:lastRowFirstColumn="0" w:lastRowLastColumn="0"/>
              <w:rPr>
                <w:rFonts w:ascii="Garamond" w:hAnsi="Garamond"/>
                <w:sz w:val="18"/>
                <w:szCs w:val="18"/>
              </w:rPr>
            </w:pPr>
            <w:r w:rsidRPr="007114AF">
              <w:rPr>
                <w:rFonts w:ascii="Garamond" w:hAnsi="Garamond"/>
                <w:sz w:val="18"/>
                <w:szCs w:val="18"/>
              </w:rPr>
              <w:t>6.11</w:t>
            </w:r>
          </w:p>
        </w:tc>
        <w:tc>
          <w:tcPr>
            <w:tcW w:w="514" w:type="pct"/>
            <w:vAlign w:val="center"/>
          </w:tcPr>
          <w:p w14:paraId="6EDCF951" w14:textId="77777777" w:rsidR="00A9766F" w:rsidRPr="007114AF" w:rsidRDefault="00A9766F" w:rsidP="00A9766F">
            <w:pPr>
              <w:cnfStyle w:val="000000000000" w:firstRow="0" w:lastRow="0" w:firstColumn="0" w:lastColumn="0" w:oddVBand="0" w:evenVBand="0" w:oddHBand="0" w:evenHBand="0" w:firstRowFirstColumn="0" w:firstRowLastColumn="0" w:lastRowFirstColumn="0" w:lastRowLastColumn="0"/>
              <w:rPr>
                <w:rFonts w:ascii="Garamond" w:hAnsi="Garamond"/>
                <w:sz w:val="18"/>
                <w:szCs w:val="18"/>
              </w:rPr>
            </w:pPr>
            <w:r w:rsidRPr="007114AF">
              <w:rPr>
                <w:rFonts w:ascii="Garamond" w:hAnsi="Garamond"/>
                <w:sz w:val="18"/>
                <w:szCs w:val="18"/>
              </w:rPr>
              <w:t>+27%</w:t>
            </w:r>
          </w:p>
        </w:tc>
      </w:tr>
      <w:tr w:rsidR="00A9766F" w:rsidRPr="007114AF" w14:paraId="6EDCF95F" w14:textId="77777777" w:rsidTr="00A9766F">
        <w:trPr>
          <w:cnfStyle w:val="000000100000" w:firstRow="0" w:lastRow="0" w:firstColumn="0" w:lastColumn="0" w:oddVBand="0" w:evenVBand="0" w:oddHBand="1" w:evenHBand="0" w:firstRowFirstColumn="0" w:firstRowLastColumn="0" w:lastRowFirstColumn="0" w:lastRowLastColumn="0"/>
          <w:trHeight w:val="510"/>
          <w:jc w:val="center"/>
        </w:trPr>
        <w:tc>
          <w:tcPr>
            <w:cnfStyle w:val="001000000000" w:firstRow="0" w:lastRow="0" w:firstColumn="1" w:lastColumn="0" w:oddVBand="0" w:evenVBand="0" w:oddHBand="0" w:evenHBand="0" w:firstRowFirstColumn="0" w:firstRowLastColumn="0" w:lastRowFirstColumn="0" w:lastRowLastColumn="0"/>
            <w:tcW w:w="703" w:type="pct"/>
            <w:vAlign w:val="center"/>
            <w:hideMark/>
          </w:tcPr>
          <w:p w14:paraId="6EDCF953" w14:textId="77777777" w:rsidR="00A9766F" w:rsidRPr="007114AF" w:rsidRDefault="00A9766F" w:rsidP="00A9766F">
            <w:pPr>
              <w:rPr>
                <w:rFonts w:ascii="Garamond" w:hAnsi="Garamond" w:cs="Calibri"/>
                <w:b w:val="0"/>
                <w:sz w:val="18"/>
                <w:szCs w:val="18"/>
              </w:rPr>
            </w:pPr>
            <w:r w:rsidRPr="007114AF">
              <w:rPr>
                <w:rFonts w:ascii="Garamond" w:hAnsi="Garamond" w:cs="Calibri"/>
                <w:sz w:val="18"/>
                <w:szCs w:val="18"/>
              </w:rPr>
              <w:t xml:space="preserve">Industritë e Energjisë: Vetëm shkarkimet e </w:t>
            </w:r>
            <w:r w:rsidRPr="007114AF">
              <w:rPr>
                <w:rFonts w:ascii="Garamond" w:hAnsi="Garamond" w:cs="Calibri"/>
                <w:sz w:val="18"/>
                <w:szCs w:val="18"/>
              </w:rPr>
              <w:lastRenderedPageBreak/>
              <w:t xml:space="preserve">çrregullta </w:t>
            </w:r>
          </w:p>
        </w:tc>
        <w:tc>
          <w:tcPr>
            <w:tcW w:w="378" w:type="pct"/>
            <w:vAlign w:val="center"/>
            <w:hideMark/>
          </w:tcPr>
          <w:p w14:paraId="6EDCF954" w14:textId="77777777" w:rsidR="00A9766F" w:rsidRPr="007114AF" w:rsidRDefault="00A9766F" w:rsidP="00A9766F">
            <w:pPr>
              <w:cnfStyle w:val="000000100000" w:firstRow="0" w:lastRow="0" w:firstColumn="0" w:lastColumn="0" w:oddVBand="0" w:evenVBand="0" w:oddHBand="1" w:evenHBand="0" w:firstRowFirstColumn="0" w:firstRowLastColumn="0" w:lastRowFirstColumn="0" w:lastRowLastColumn="0"/>
              <w:rPr>
                <w:rFonts w:ascii="Garamond" w:hAnsi="Garamond"/>
                <w:sz w:val="18"/>
                <w:szCs w:val="18"/>
              </w:rPr>
            </w:pPr>
            <w:r w:rsidRPr="007114AF">
              <w:rPr>
                <w:rFonts w:ascii="Garamond" w:hAnsi="Garamond"/>
                <w:sz w:val="18"/>
                <w:szCs w:val="18"/>
              </w:rPr>
              <w:lastRenderedPageBreak/>
              <w:t>0.18</w:t>
            </w:r>
          </w:p>
        </w:tc>
        <w:tc>
          <w:tcPr>
            <w:tcW w:w="378" w:type="pct"/>
            <w:vAlign w:val="center"/>
            <w:hideMark/>
          </w:tcPr>
          <w:p w14:paraId="6EDCF955" w14:textId="77777777" w:rsidR="00A9766F" w:rsidRPr="007114AF" w:rsidRDefault="00A9766F" w:rsidP="00A9766F">
            <w:pPr>
              <w:cnfStyle w:val="000000100000" w:firstRow="0" w:lastRow="0" w:firstColumn="0" w:lastColumn="0" w:oddVBand="0" w:evenVBand="0" w:oddHBand="1" w:evenHBand="0" w:firstRowFirstColumn="0" w:firstRowLastColumn="0" w:lastRowFirstColumn="0" w:lastRowLastColumn="0"/>
              <w:rPr>
                <w:rFonts w:ascii="Garamond" w:hAnsi="Garamond"/>
                <w:sz w:val="18"/>
                <w:szCs w:val="18"/>
              </w:rPr>
            </w:pPr>
            <w:r w:rsidRPr="007114AF">
              <w:rPr>
                <w:rFonts w:ascii="Garamond" w:hAnsi="Garamond"/>
                <w:sz w:val="18"/>
                <w:szCs w:val="18"/>
              </w:rPr>
              <w:t>0.18</w:t>
            </w:r>
          </w:p>
        </w:tc>
        <w:tc>
          <w:tcPr>
            <w:tcW w:w="378" w:type="pct"/>
            <w:vAlign w:val="center"/>
            <w:hideMark/>
          </w:tcPr>
          <w:p w14:paraId="6EDCF956" w14:textId="77777777" w:rsidR="00A9766F" w:rsidRPr="007114AF" w:rsidRDefault="00A9766F" w:rsidP="00A9766F">
            <w:pPr>
              <w:cnfStyle w:val="000000100000" w:firstRow="0" w:lastRow="0" w:firstColumn="0" w:lastColumn="0" w:oddVBand="0" w:evenVBand="0" w:oddHBand="1" w:evenHBand="0" w:firstRowFirstColumn="0" w:firstRowLastColumn="0" w:lastRowFirstColumn="0" w:lastRowLastColumn="0"/>
              <w:rPr>
                <w:rFonts w:ascii="Garamond" w:hAnsi="Garamond"/>
                <w:sz w:val="18"/>
                <w:szCs w:val="18"/>
              </w:rPr>
            </w:pPr>
            <w:r w:rsidRPr="007114AF">
              <w:rPr>
                <w:rFonts w:ascii="Garamond" w:hAnsi="Garamond"/>
                <w:sz w:val="18"/>
                <w:szCs w:val="18"/>
              </w:rPr>
              <w:t>0.18</w:t>
            </w:r>
          </w:p>
        </w:tc>
        <w:tc>
          <w:tcPr>
            <w:tcW w:w="378" w:type="pct"/>
            <w:vAlign w:val="center"/>
            <w:hideMark/>
          </w:tcPr>
          <w:p w14:paraId="6EDCF957" w14:textId="77777777" w:rsidR="00A9766F" w:rsidRPr="007114AF" w:rsidRDefault="00A9766F" w:rsidP="00A9766F">
            <w:pPr>
              <w:cnfStyle w:val="000000100000" w:firstRow="0" w:lastRow="0" w:firstColumn="0" w:lastColumn="0" w:oddVBand="0" w:evenVBand="0" w:oddHBand="1" w:evenHBand="0" w:firstRowFirstColumn="0" w:firstRowLastColumn="0" w:lastRowFirstColumn="0" w:lastRowLastColumn="0"/>
              <w:rPr>
                <w:rFonts w:ascii="Garamond" w:hAnsi="Garamond"/>
                <w:sz w:val="18"/>
                <w:szCs w:val="18"/>
              </w:rPr>
            </w:pPr>
            <w:r w:rsidRPr="007114AF">
              <w:rPr>
                <w:rFonts w:ascii="Garamond" w:hAnsi="Garamond"/>
                <w:sz w:val="18"/>
                <w:szCs w:val="18"/>
              </w:rPr>
              <w:t>0.17</w:t>
            </w:r>
          </w:p>
        </w:tc>
        <w:tc>
          <w:tcPr>
            <w:tcW w:w="379" w:type="pct"/>
            <w:vAlign w:val="center"/>
            <w:hideMark/>
          </w:tcPr>
          <w:p w14:paraId="6EDCF958" w14:textId="77777777" w:rsidR="00A9766F" w:rsidRPr="007114AF" w:rsidRDefault="00A9766F" w:rsidP="00A9766F">
            <w:pPr>
              <w:cnfStyle w:val="000000100000" w:firstRow="0" w:lastRow="0" w:firstColumn="0" w:lastColumn="0" w:oddVBand="0" w:evenVBand="0" w:oddHBand="1" w:evenHBand="0" w:firstRowFirstColumn="0" w:firstRowLastColumn="0" w:lastRowFirstColumn="0" w:lastRowLastColumn="0"/>
              <w:rPr>
                <w:rFonts w:ascii="Garamond" w:hAnsi="Garamond"/>
                <w:sz w:val="18"/>
                <w:szCs w:val="18"/>
              </w:rPr>
            </w:pPr>
            <w:r w:rsidRPr="007114AF">
              <w:rPr>
                <w:rFonts w:ascii="Garamond" w:hAnsi="Garamond"/>
                <w:sz w:val="18"/>
                <w:szCs w:val="18"/>
              </w:rPr>
              <w:t>0.16</w:t>
            </w:r>
          </w:p>
        </w:tc>
        <w:tc>
          <w:tcPr>
            <w:tcW w:w="378" w:type="pct"/>
            <w:vAlign w:val="center"/>
            <w:hideMark/>
          </w:tcPr>
          <w:p w14:paraId="6EDCF959" w14:textId="77777777" w:rsidR="00A9766F" w:rsidRPr="007114AF" w:rsidRDefault="00A9766F" w:rsidP="00A9766F">
            <w:pPr>
              <w:cnfStyle w:val="000000100000" w:firstRow="0" w:lastRow="0" w:firstColumn="0" w:lastColumn="0" w:oddVBand="0" w:evenVBand="0" w:oddHBand="1" w:evenHBand="0" w:firstRowFirstColumn="0" w:firstRowLastColumn="0" w:lastRowFirstColumn="0" w:lastRowLastColumn="0"/>
              <w:rPr>
                <w:rFonts w:ascii="Garamond" w:hAnsi="Garamond"/>
                <w:sz w:val="18"/>
                <w:szCs w:val="18"/>
              </w:rPr>
            </w:pPr>
            <w:r w:rsidRPr="007114AF">
              <w:rPr>
                <w:rFonts w:ascii="Garamond" w:hAnsi="Garamond"/>
                <w:sz w:val="18"/>
                <w:szCs w:val="18"/>
              </w:rPr>
              <w:t>0.16</w:t>
            </w:r>
          </w:p>
        </w:tc>
        <w:tc>
          <w:tcPr>
            <w:tcW w:w="378" w:type="pct"/>
            <w:vAlign w:val="center"/>
            <w:hideMark/>
          </w:tcPr>
          <w:p w14:paraId="6EDCF95A" w14:textId="77777777" w:rsidR="00A9766F" w:rsidRPr="007114AF" w:rsidRDefault="00A9766F" w:rsidP="00A9766F">
            <w:pPr>
              <w:cnfStyle w:val="000000100000" w:firstRow="0" w:lastRow="0" w:firstColumn="0" w:lastColumn="0" w:oddVBand="0" w:evenVBand="0" w:oddHBand="1" w:evenHBand="0" w:firstRowFirstColumn="0" w:firstRowLastColumn="0" w:lastRowFirstColumn="0" w:lastRowLastColumn="0"/>
              <w:rPr>
                <w:rFonts w:ascii="Garamond" w:hAnsi="Garamond"/>
                <w:sz w:val="18"/>
                <w:szCs w:val="18"/>
              </w:rPr>
            </w:pPr>
            <w:r w:rsidRPr="007114AF">
              <w:rPr>
                <w:rFonts w:ascii="Garamond" w:hAnsi="Garamond"/>
                <w:sz w:val="18"/>
                <w:szCs w:val="18"/>
              </w:rPr>
              <w:t>0.16</w:t>
            </w:r>
          </w:p>
        </w:tc>
        <w:tc>
          <w:tcPr>
            <w:tcW w:w="378" w:type="pct"/>
            <w:vAlign w:val="center"/>
            <w:hideMark/>
          </w:tcPr>
          <w:p w14:paraId="6EDCF95B" w14:textId="77777777" w:rsidR="00A9766F" w:rsidRPr="007114AF" w:rsidRDefault="00A9766F" w:rsidP="00A9766F">
            <w:pPr>
              <w:cnfStyle w:val="000000100000" w:firstRow="0" w:lastRow="0" w:firstColumn="0" w:lastColumn="0" w:oddVBand="0" w:evenVBand="0" w:oddHBand="1" w:evenHBand="0" w:firstRowFirstColumn="0" w:firstRowLastColumn="0" w:lastRowFirstColumn="0" w:lastRowLastColumn="0"/>
              <w:rPr>
                <w:rFonts w:ascii="Garamond" w:hAnsi="Garamond"/>
                <w:sz w:val="18"/>
                <w:szCs w:val="18"/>
              </w:rPr>
            </w:pPr>
            <w:r w:rsidRPr="007114AF">
              <w:rPr>
                <w:rFonts w:ascii="Garamond" w:hAnsi="Garamond"/>
                <w:sz w:val="18"/>
                <w:szCs w:val="18"/>
              </w:rPr>
              <w:t>0.16</w:t>
            </w:r>
          </w:p>
        </w:tc>
        <w:tc>
          <w:tcPr>
            <w:tcW w:w="378" w:type="pct"/>
            <w:vAlign w:val="center"/>
            <w:hideMark/>
          </w:tcPr>
          <w:p w14:paraId="6EDCF95C" w14:textId="77777777" w:rsidR="00A9766F" w:rsidRPr="007114AF" w:rsidRDefault="00A9766F" w:rsidP="00A9766F">
            <w:pPr>
              <w:cnfStyle w:val="000000100000" w:firstRow="0" w:lastRow="0" w:firstColumn="0" w:lastColumn="0" w:oddVBand="0" w:evenVBand="0" w:oddHBand="1" w:evenHBand="0" w:firstRowFirstColumn="0" w:firstRowLastColumn="0" w:lastRowFirstColumn="0" w:lastRowLastColumn="0"/>
              <w:rPr>
                <w:rFonts w:ascii="Garamond" w:hAnsi="Garamond"/>
                <w:sz w:val="18"/>
                <w:szCs w:val="18"/>
              </w:rPr>
            </w:pPr>
            <w:r w:rsidRPr="007114AF">
              <w:rPr>
                <w:rFonts w:ascii="Garamond" w:hAnsi="Garamond"/>
                <w:sz w:val="18"/>
                <w:szCs w:val="18"/>
              </w:rPr>
              <w:t>0.16</w:t>
            </w:r>
          </w:p>
        </w:tc>
        <w:tc>
          <w:tcPr>
            <w:tcW w:w="379" w:type="pct"/>
            <w:vAlign w:val="center"/>
            <w:hideMark/>
          </w:tcPr>
          <w:p w14:paraId="6EDCF95D" w14:textId="77777777" w:rsidR="00A9766F" w:rsidRPr="007114AF" w:rsidRDefault="00A9766F" w:rsidP="00A9766F">
            <w:pPr>
              <w:cnfStyle w:val="000000100000" w:firstRow="0" w:lastRow="0" w:firstColumn="0" w:lastColumn="0" w:oddVBand="0" w:evenVBand="0" w:oddHBand="1" w:evenHBand="0" w:firstRowFirstColumn="0" w:firstRowLastColumn="0" w:lastRowFirstColumn="0" w:lastRowLastColumn="0"/>
              <w:rPr>
                <w:rFonts w:ascii="Garamond" w:hAnsi="Garamond"/>
                <w:sz w:val="18"/>
                <w:szCs w:val="18"/>
              </w:rPr>
            </w:pPr>
            <w:r w:rsidRPr="007114AF">
              <w:rPr>
                <w:rFonts w:ascii="Garamond" w:hAnsi="Garamond"/>
                <w:sz w:val="18"/>
                <w:szCs w:val="18"/>
              </w:rPr>
              <w:t>0.15</w:t>
            </w:r>
          </w:p>
        </w:tc>
        <w:tc>
          <w:tcPr>
            <w:tcW w:w="514" w:type="pct"/>
            <w:vAlign w:val="center"/>
          </w:tcPr>
          <w:p w14:paraId="6EDCF95E" w14:textId="77777777" w:rsidR="00A9766F" w:rsidRPr="007114AF" w:rsidRDefault="00A9766F" w:rsidP="00A9766F">
            <w:pPr>
              <w:cnfStyle w:val="000000100000" w:firstRow="0" w:lastRow="0" w:firstColumn="0" w:lastColumn="0" w:oddVBand="0" w:evenVBand="0" w:oddHBand="1" w:evenHBand="0" w:firstRowFirstColumn="0" w:firstRowLastColumn="0" w:lastRowFirstColumn="0" w:lastRowLastColumn="0"/>
              <w:rPr>
                <w:rFonts w:ascii="Garamond" w:hAnsi="Garamond"/>
                <w:sz w:val="18"/>
                <w:szCs w:val="18"/>
              </w:rPr>
            </w:pPr>
            <w:r w:rsidRPr="007114AF">
              <w:rPr>
                <w:rFonts w:ascii="Garamond" w:hAnsi="Garamond"/>
                <w:sz w:val="18"/>
                <w:szCs w:val="18"/>
              </w:rPr>
              <w:t>+3%</w:t>
            </w:r>
          </w:p>
        </w:tc>
      </w:tr>
      <w:tr w:rsidR="00A9766F" w:rsidRPr="007114AF" w14:paraId="6EDCF96C" w14:textId="77777777" w:rsidTr="00A9766F">
        <w:trPr>
          <w:trHeight w:val="300"/>
          <w:jc w:val="center"/>
        </w:trPr>
        <w:tc>
          <w:tcPr>
            <w:cnfStyle w:val="001000000000" w:firstRow="0" w:lastRow="0" w:firstColumn="1" w:lastColumn="0" w:oddVBand="0" w:evenVBand="0" w:oddHBand="0" w:evenHBand="0" w:firstRowFirstColumn="0" w:firstRowLastColumn="0" w:lastRowFirstColumn="0" w:lastRowLastColumn="0"/>
            <w:tcW w:w="703" w:type="pct"/>
            <w:vAlign w:val="center"/>
            <w:hideMark/>
          </w:tcPr>
          <w:p w14:paraId="6EDCF960" w14:textId="638C43B9" w:rsidR="00A9766F" w:rsidRPr="007114AF" w:rsidRDefault="00A9766F" w:rsidP="00A9766F">
            <w:pPr>
              <w:rPr>
                <w:rFonts w:ascii="Garamond" w:hAnsi="Garamond" w:cs="Calibri"/>
                <w:b w:val="0"/>
                <w:sz w:val="18"/>
                <w:szCs w:val="18"/>
              </w:rPr>
            </w:pPr>
            <w:r w:rsidRPr="007114AF">
              <w:rPr>
                <w:rFonts w:ascii="Garamond" w:hAnsi="Garamond" w:cs="Calibri"/>
                <w:sz w:val="18"/>
                <w:szCs w:val="18"/>
              </w:rPr>
              <w:t>Industria përpunuese dhe ndërtimi</w:t>
            </w:r>
            <w:r w:rsidR="000A2A01" w:rsidRPr="007114AF">
              <w:rPr>
                <w:rFonts w:ascii="Garamond" w:hAnsi="Garamond" w:cs="Calibri"/>
                <w:sz w:val="18"/>
                <w:szCs w:val="18"/>
              </w:rPr>
              <w:t xml:space="preserve"> </w:t>
            </w:r>
          </w:p>
        </w:tc>
        <w:tc>
          <w:tcPr>
            <w:tcW w:w="378" w:type="pct"/>
            <w:vAlign w:val="center"/>
            <w:hideMark/>
          </w:tcPr>
          <w:p w14:paraId="6EDCF961" w14:textId="77777777" w:rsidR="00A9766F" w:rsidRPr="007114AF" w:rsidRDefault="00A9766F" w:rsidP="00A9766F">
            <w:pPr>
              <w:cnfStyle w:val="000000000000" w:firstRow="0" w:lastRow="0" w:firstColumn="0" w:lastColumn="0" w:oddVBand="0" w:evenVBand="0" w:oddHBand="0" w:evenHBand="0" w:firstRowFirstColumn="0" w:firstRowLastColumn="0" w:lastRowFirstColumn="0" w:lastRowLastColumn="0"/>
              <w:rPr>
                <w:rFonts w:ascii="Garamond" w:hAnsi="Garamond"/>
                <w:sz w:val="18"/>
                <w:szCs w:val="18"/>
              </w:rPr>
            </w:pPr>
            <w:r w:rsidRPr="007114AF">
              <w:rPr>
                <w:rFonts w:ascii="Garamond" w:hAnsi="Garamond"/>
                <w:sz w:val="18"/>
                <w:szCs w:val="18"/>
              </w:rPr>
              <w:t>14.88</w:t>
            </w:r>
          </w:p>
        </w:tc>
        <w:tc>
          <w:tcPr>
            <w:tcW w:w="378" w:type="pct"/>
            <w:vAlign w:val="center"/>
            <w:hideMark/>
          </w:tcPr>
          <w:p w14:paraId="6EDCF962" w14:textId="77777777" w:rsidR="00A9766F" w:rsidRPr="007114AF" w:rsidRDefault="00A9766F" w:rsidP="00A9766F">
            <w:pPr>
              <w:cnfStyle w:val="000000000000" w:firstRow="0" w:lastRow="0" w:firstColumn="0" w:lastColumn="0" w:oddVBand="0" w:evenVBand="0" w:oddHBand="0" w:evenHBand="0" w:firstRowFirstColumn="0" w:firstRowLastColumn="0" w:lastRowFirstColumn="0" w:lastRowLastColumn="0"/>
              <w:rPr>
                <w:rFonts w:ascii="Garamond" w:hAnsi="Garamond"/>
                <w:sz w:val="18"/>
                <w:szCs w:val="18"/>
              </w:rPr>
            </w:pPr>
            <w:r w:rsidRPr="007114AF">
              <w:rPr>
                <w:rFonts w:ascii="Garamond" w:hAnsi="Garamond"/>
                <w:sz w:val="18"/>
                <w:szCs w:val="18"/>
              </w:rPr>
              <w:t>14.87</w:t>
            </w:r>
          </w:p>
        </w:tc>
        <w:tc>
          <w:tcPr>
            <w:tcW w:w="378" w:type="pct"/>
            <w:vAlign w:val="center"/>
            <w:hideMark/>
          </w:tcPr>
          <w:p w14:paraId="6EDCF963" w14:textId="77777777" w:rsidR="00A9766F" w:rsidRPr="007114AF" w:rsidRDefault="00A9766F" w:rsidP="00A9766F">
            <w:pPr>
              <w:cnfStyle w:val="000000000000" w:firstRow="0" w:lastRow="0" w:firstColumn="0" w:lastColumn="0" w:oddVBand="0" w:evenVBand="0" w:oddHBand="0" w:evenHBand="0" w:firstRowFirstColumn="0" w:firstRowLastColumn="0" w:lastRowFirstColumn="0" w:lastRowLastColumn="0"/>
              <w:rPr>
                <w:rFonts w:ascii="Garamond" w:hAnsi="Garamond"/>
                <w:sz w:val="18"/>
                <w:szCs w:val="18"/>
              </w:rPr>
            </w:pPr>
            <w:r w:rsidRPr="007114AF">
              <w:rPr>
                <w:rFonts w:ascii="Garamond" w:hAnsi="Garamond"/>
                <w:sz w:val="18"/>
                <w:szCs w:val="18"/>
              </w:rPr>
              <w:t>14.45</w:t>
            </w:r>
          </w:p>
        </w:tc>
        <w:tc>
          <w:tcPr>
            <w:tcW w:w="378" w:type="pct"/>
            <w:vAlign w:val="center"/>
            <w:hideMark/>
          </w:tcPr>
          <w:p w14:paraId="6EDCF964" w14:textId="77777777" w:rsidR="00A9766F" w:rsidRPr="007114AF" w:rsidRDefault="00A9766F" w:rsidP="00A9766F">
            <w:pPr>
              <w:cnfStyle w:val="000000000000" w:firstRow="0" w:lastRow="0" w:firstColumn="0" w:lastColumn="0" w:oddVBand="0" w:evenVBand="0" w:oddHBand="0" w:evenHBand="0" w:firstRowFirstColumn="0" w:firstRowLastColumn="0" w:lastRowFirstColumn="0" w:lastRowLastColumn="0"/>
              <w:rPr>
                <w:rFonts w:ascii="Garamond" w:hAnsi="Garamond"/>
                <w:sz w:val="18"/>
                <w:szCs w:val="18"/>
              </w:rPr>
            </w:pPr>
            <w:r w:rsidRPr="007114AF">
              <w:rPr>
                <w:rFonts w:ascii="Garamond" w:hAnsi="Garamond"/>
                <w:sz w:val="18"/>
                <w:szCs w:val="18"/>
              </w:rPr>
              <w:t>13.89</w:t>
            </w:r>
          </w:p>
        </w:tc>
        <w:tc>
          <w:tcPr>
            <w:tcW w:w="379" w:type="pct"/>
            <w:vAlign w:val="center"/>
            <w:hideMark/>
          </w:tcPr>
          <w:p w14:paraId="6EDCF965" w14:textId="77777777" w:rsidR="00A9766F" w:rsidRPr="007114AF" w:rsidRDefault="00A9766F" w:rsidP="00A9766F">
            <w:pPr>
              <w:cnfStyle w:val="000000000000" w:firstRow="0" w:lastRow="0" w:firstColumn="0" w:lastColumn="0" w:oddVBand="0" w:evenVBand="0" w:oddHBand="0" w:evenHBand="0" w:firstRowFirstColumn="0" w:firstRowLastColumn="0" w:lastRowFirstColumn="0" w:lastRowLastColumn="0"/>
              <w:rPr>
                <w:rFonts w:ascii="Garamond" w:hAnsi="Garamond"/>
                <w:sz w:val="18"/>
                <w:szCs w:val="18"/>
              </w:rPr>
            </w:pPr>
            <w:r w:rsidRPr="007114AF">
              <w:rPr>
                <w:rFonts w:ascii="Garamond" w:hAnsi="Garamond"/>
                <w:sz w:val="18"/>
                <w:szCs w:val="18"/>
              </w:rPr>
              <w:t>13.91</w:t>
            </w:r>
          </w:p>
        </w:tc>
        <w:tc>
          <w:tcPr>
            <w:tcW w:w="378" w:type="pct"/>
            <w:vAlign w:val="center"/>
            <w:hideMark/>
          </w:tcPr>
          <w:p w14:paraId="6EDCF966" w14:textId="77777777" w:rsidR="00A9766F" w:rsidRPr="007114AF" w:rsidRDefault="00A9766F" w:rsidP="00A9766F">
            <w:pPr>
              <w:cnfStyle w:val="000000000000" w:firstRow="0" w:lastRow="0" w:firstColumn="0" w:lastColumn="0" w:oddVBand="0" w:evenVBand="0" w:oddHBand="0" w:evenHBand="0" w:firstRowFirstColumn="0" w:firstRowLastColumn="0" w:lastRowFirstColumn="0" w:lastRowLastColumn="0"/>
              <w:rPr>
                <w:rFonts w:ascii="Garamond" w:hAnsi="Garamond"/>
                <w:sz w:val="18"/>
                <w:szCs w:val="18"/>
              </w:rPr>
            </w:pPr>
            <w:r w:rsidRPr="007114AF">
              <w:rPr>
                <w:rFonts w:ascii="Garamond" w:hAnsi="Garamond"/>
                <w:sz w:val="18"/>
                <w:szCs w:val="18"/>
              </w:rPr>
              <w:t>13.91</w:t>
            </w:r>
          </w:p>
        </w:tc>
        <w:tc>
          <w:tcPr>
            <w:tcW w:w="378" w:type="pct"/>
            <w:vAlign w:val="center"/>
            <w:hideMark/>
          </w:tcPr>
          <w:p w14:paraId="6EDCF967" w14:textId="77777777" w:rsidR="00A9766F" w:rsidRPr="007114AF" w:rsidRDefault="00A9766F" w:rsidP="00A9766F">
            <w:pPr>
              <w:cnfStyle w:val="000000000000" w:firstRow="0" w:lastRow="0" w:firstColumn="0" w:lastColumn="0" w:oddVBand="0" w:evenVBand="0" w:oddHBand="0" w:evenHBand="0" w:firstRowFirstColumn="0" w:firstRowLastColumn="0" w:lastRowFirstColumn="0" w:lastRowLastColumn="0"/>
              <w:rPr>
                <w:rFonts w:ascii="Garamond" w:hAnsi="Garamond"/>
                <w:sz w:val="18"/>
                <w:szCs w:val="18"/>
              </w:rPr>
            </w:pPr>
            <w:r w:rsidRPr="007114AF">
              <w:rPr>
                <w:rFonts w:ascii="Garamond" w:hAnsi="Garamond"/>
                <w:sz w:val="18"/>
                <w:szCs w:val="18"/>
              </w:rPr>
              <w:t>13.91</w:t>
            </w:r>
          </w:p>
        </w:tc>
        <w:tc>
          <w:tcPr>
            <w:tcW w:w="378" w:type="pct"/>
            <w:vAlign w:val="center"/>
            <w:hideMark/>
          </w:tcPr>
          <w:p w14:paraId="6EDCF968" w14:textId="77777777" w:rsidR="00A9766F" w:rsidRPr="007114AF" w:rsidRDefault="00A9766F" w:rsidP="00A9766F">
            <w:pPr>
              <w:cnfStyle w:val="000000000000" w:firstRow="0" w:lastRow="0" w:firstColumn="0" w:lastColumn="0" w:oddVBand="0" w:evenVBand="0" w:oddHBand="0" w:evenHBand="0" w:firstRowFirstColumn="0" w:firstRowLastColumn="0" w:lastRowFirstColumn="0" w:lastRowLastColumn="0"/>
              <w:rPr>
                <w:rFonts w:ascii="Garamond" w:hAnsi="Garamond"/>
                <w:sz w:val="18"/>
                <w:szCs w:val="18"/>
              </w:rPr>
            </w:pPr>
            <w:r w:rsidRPr="007114AF">
              <w:rPr>
                <w:rFonts w:ascii="Garamond" w:hAnsi="Garamond"/>
                <w:sz w:val="18"/>
                <w:szCs w:val="18"/>
              </w:rPr>
              <w:t>13.91</w:t>
            </w:r>
          </w:p>
        </w:tc>
        <w:tc>
          <w:tcPr>
            <w:tcW w:w="378" w:type="pct"/>
            <w:vAlign w:val="center"/>
            <w:hideMark/>
          </w:tcPr>
          <w:p w14:paraId="6EDCF969" w14:textId="77777777" w:rsidR="00A9766F" w:rsidRPr="007114AF" w:rsidRDefault="00A9766F" w:rsidP="00A9766F">
            <w:pPr>
              <w:cnfStyle w:val="000000000000" w:firstRow="0" w:lastRow="0" w:firstColumn="0" w:lastColumn="0" w:oddVBand="0" w:evenVBand="0" w:oddHBand="0" w:evenHBand="0" w:firstRowFirstColumn="0" w:firstRowLastColumn="0" w:lastRowFirstColumn="0" w:lastRowLastColumn="0"/>
              <w:rPr>
                <w:rFonts w:ascii="Garamond" w:hAnsi="Garamond"/>
                <w:sz w:val="18"/>
                <w:szCs w:val="18"/>
              </w:rPr>
            </w:pPr>
            <w:r w:rsidRPr="007114AF">
              <w:rPr>
                <w:rFonts w:ascii="Garamond" w:hAnsi="Garamond"/>
                <w:sz w:val="18"/>
                <w:szCs w:val="18"/>
              </w:rPr>
              <w:t>13.91</w:t>
            </w:r>
          </w:p>
        </w:tc>
        <w:tc>
          <w:tcPr>
            <w:tcW w:w="379" w:type="pct"/>
            <w:vAlign w:val="center"/>
            <w:hideMark/>
          </w:tcPr>
          <w:p w14:paraId="6EDCF96A" w14:textId="77777777" w:rsidR="00A9766F" w:rsidRPr="007114AF" w:rsidRDefault="00A9766F" w:rsidP="00A9766F">
            <w:pPr>
              <w:cnfStyle w:val="000000000000" w:firstRow="0" w:lastRow="0" w:firstColumn="0" w:lastColumn="0" w:oddVBand="0" w:evenVBand="0" w:oddHBand="0" w:evenHBand="0" w:firstRowFirstColumn="0" w:firstRowLastColumn="0" w:lastRowFirstColumn="0" w:lastRowLastColumn="0"/>
              <w:rPr>
                <w:rFonts w:ascii="Garamond" w:hAnsi="Garamond"/>
                <w:sz w:val="18"/>
                <w:szCs w:val="18"/>
              </w:rPr>
            </w:pPr>
            <w:r w:rsidRPr="007114AF">
              <w:rPr>
                <w:rFonts w:ascii="Garamond" w:hAnsi="Garamond"/>
                <w:sz w:val="18"/>
                <w:szCs w:val="18"/>
              </w:rPr>
              <w:t>13.92</w:t>
            </w:r>
          </w:p>
        </w:tc>
        <w:tc>
          <w:tcPr>
            <w:tcW w:w="514" w:type="pct"/>
            <w:vAlign w:val="center"/>
          </w:tcPr>
          <w:p w14:paraId="6EDCF96B" w14:textId="77777777" w:rsidR="00A9766F" w:rsidRPr="007114AF" w:rsidRDefault="00A9766F" w:rsidP="00A9766F">
            <w:pPr>
              <w:cnfStyle w:val="000000000000" w:firstRow="0" w:lastRow="0" w:firstColumn="0" w:lastColumn="0" w:oddVBand="0" w:evenVBand="0" w:oddHBand="0" w:evenHBand="0" w:firstRowFirstColumn="0" w:firstRowLastColumn="0" w:lastRowFirstColumn="0" w:lastRowLastColumn="0"/>
              <w:rPr>
                <w:rFonts w:ascii="Garamond" w:hAnsi="Garamond"/>
                <w:sz w:val="18"/>
                <w:szCs w:val="18"/>
              </w:rPr>
            </w:pPr>
            <w:r w:rsidRPr="007114AF">
              <w:rPr>
                <w:rFonts w:ascii="Garamond" w:hAnsi="Garamond"/>
                <w:sz w:val="18"/>
                <w:szCs w:val="18"/>
              </w:rPr>
              <w:t>+16%</w:t>
            </w:r>
          </w:p>
        </w:tc>
      </w:tr>
      <w:tr w:rsidR="00A9766F" w:rsidRPr="007114AF" w14:paraId="6EDCF979" w14:textId="77777777" w:rsidTr="00A9766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703" w:type="pct"/>
            <w:vAlign w:val="center"/>
            <w:hideMark/>
          </w:tcPr>
          <w:p w14:paraId="6EDCF96D" w14:textId="77777777" w:rsidR="00A9766F" w:rsidRPr="007114AF" w:rsidRDefault="00A9766F" w:rsidP="00A9766F">
            <w:pPr>
              <w:rPr>
                <w:rFonts w:ascii="Garamond" w:hAnsi="Garamond" w:cs="Calibri"/>
                <w:b w:val="0"/>
                <w:sz w:val="18"/>
                <w:szCs w:val="18"/>
              </w:rPr>
            </w:pPr>
            <w:r w:rsidRPr="007114AF">
              <w:rPr>
                <w:rFonts w:ascii="Garamond" w:hAnsi="Garamond" w:cs="Calibri"/>
                <w:sz w:val="18"/>
                <w:szCs w:val="18"/>
              </w:rPr>
              <w:t xml:space="preserve">Transporti </w:t>
            </w:r>
          </w:p>
        </w:tc>
        <w:tc>
          <w:tcPr>
            <w:tcW w:w="378" w:type="pct"/>
            <w:vAlign w:val="center"/>
            <w:hideMark/>
          </w:tcPr>
          <w:p w14:paraId="6EDCF96E" w14:textId="77777777" w:rsidR="00A9766F" w:rsidRPr="007114AF" w:rsidRDefault="00A9766F" w:rsidP="00A9766F">
            <w:pPr>
              <w:cnfStyle w:val="000000100000" w:firstRow="0" w:lastRow="0" w:firstColumn="0" w:lastColumn="0" w:oddVBand="0" w:evenVBand="0" w:oddHBand="1" w:evenHBand="0" w:firstRowFirstColumn="0" w:firstRowLastColumn="0" w:lastRowFirstColumn="0" w:lastRowLastColumn="0"/>
              <w:rPr>
                <w:rFonts w:ascii="Garamond" w:hAnsi="Garamond"/>
                <w:sz w:val="18"/>
                <w:szCs w:val="18"/>
              </w:rPr>
            </w:pPr>
            <w:r w:rsidRPr="007114AF">
              <w:rPr>
                <w:rFonts w:ascii="Garamond" w:hAnsi="Garamond"/>
                <w:sz w:val="18"/>
                <w:szCs w:val="18"/>
              </w:rPr>
              <w:t>44.15</w:t>
            </w:r>
          </w:p>
        </w:tc>
        <w:tc>
          <w:tcPr>
            <w:tcW w:w="378" w:type="pct"/>
            <w:vAlign w:val="center"/>
            <w:hideMark/>
          </w:tcPr>
          <w:p w14:paraId="6EDCF96F" w14:textId="77777777" w:rsidR="00A9766F" w:rsidRPr="007114AF" w:rsidRDefault="00A9766F" w:rsidP="00A9766F">
            <w:pPr>
              <w:cnfStyle w:val="000000100000" w:firstRow="0" w:lastRow="0" w:firstColumn="0" w:lastColumn="0" w:oddVBand="0" w:evenVBand="0" w:oddHBand="1" w:evenHBand="0" w:firstRowFirstColumn="0" w:firstRowLastColumn="0" w:lastRowFirstColumn="0" w:lastRowLastColumn="0"/>
              <w:rPr>
                <w:rFonts w:ascii="Garamond" w:hAnsi="Garamond"/>
                <w:sz w:val="18"/>
                <w:szCs w:val="18"/>
              </w:rPr>
            </w:pPr>
            <w:r w:rsidRPr="007114AF">
              <w:rPr>
                <w:rFonts w:ascii="Garamond" w:hAnsi="Garamond"/>
                <w:sz w:val="18"/>
                <w:szCs w:val="18"/>
              </w:rPr>
              <w:t>44.21</w:t>
            </w:r>
          </w:p>
        </w:tc>
        <w:tc>
          <w:tcPr>
            <w:tcW w:w="378" w:type="pct"/>
            <w:vAlign w:val="center"/>
            <w:hideMark/>
          </w:tcPr>
          <w:p w14:paraId="6EDCF970" w14:textId="77777777" w:rsidR="00A9766F" w:rsidRPr="007114AF" w:rsidRDefault="00A9766F" w:rsidP="00A9766F">
            <w:pPr>
              <w:cnfStyle w:val="000000100000" w:firstRow="0" w:lastRow="0" w:firstColumn="0" w:lastColumn="0" w:oddVBand="0" w:evenVBand="0" w:oddHBand="1" w:evenHBand="0" w:firstRowFirstColumn="0" w:firstRowLastColumn="0" w:lastRowFirstColumn="0" w:lastRowLastColumn="0"/>
              <w:rPr>
                <w:rFonts w:ascii="Garamond" w:hAnsi="Garamond"/>
                <w:sz w:val="18"/>
                <w:szCs w:val="18"/>
              </w:rPr>
            </w:pPr>
            <w:r w:rsidRPr="007114AF">
              <w:rPr>
                <w:rFonts w:ascii="Garamond" w:hAnsi="Garamond"/>
                <w:sz w:val="18"/>
                <w:szCs w:val="18"/>
              </w:rPr>
              <w:t>44.60</w:t>
            </w:r>
          </w:p>
        </w:tc>
        <w:tc>
          <w:tcPr>
            <w:tcW w:w="378" w:type="pct"/>
            <w:vAlign w:val="center"/>
            <w:hideMark/>
          </w:tcPr>
          <w:p w14:paraId="6EDCF971" w14:textId="77777777" w:rsidR="00A9766F" w:rsidRPr="007114AF" w:rsidRDefault="00A9766F" w:rsidP="00A9766F">
            <w:pPr>
              <w:cnfStyle w:val="000000100000" w:firstRow="0" w:lastRow="0" w:firstColumn="0" w:lastColumn="0" w:oddVBand="0" w:evenVBand="0" w:oddHBand="1" w:evenHBand="0" w:firstRowFirstColumn="0" w:firstRowLastColumn="0" w:lastRowFirstColumn="0" w:lastRowLastColumn="0"/>
              <w:rPr>
                <w:rFonts w:ascii="Garamond" w:hAnsi="Garamond"/>
                <w:sz w:val="18"/>
                <w:szCs w:val="18"/>
              </w:rPr>
            </w:pPr>
            <w:r w:rsidRPr="007114AF">
              <w:rPr>
                <w:rFonts w:ascii="Garamond" w:hAnsi="Garamond"/>
                <w:sz w:val="18"/>
                <w:szCs w:val="18"/>
              </w:rPr>
              <w:t>44.90</w:t>
            </w:r>
          </w:p>
        </w:tc>
        <w:tc>
          <w:tcPr>
            <w:tcW w:w="379" w:type="pct"/>
            <w:vAlign w:val="center"/>
            <w:hideMark/>
          </w:tcPr>
          <w:p w14:paraId="6EDCF972" w14:textId="77777777" w:rsidR="00A9766F" w:rsidRPr="007114AF" w:rsidRDefault="00A9766F" w:rsidP="00A9766F">
            <w:pPr>
              <w:cnfStyle w:val="000000100000" w:firstRow="0" w:lastRow="0" w:firstColumn="0" w:lastColumn="0" w:oddVBand="0" w:evenVBand="0" w:oddHBand="1" w:evenHBand="0" w:firstRowFirstColumn="0" w:firstRowLastColumn="0" w:lastRowFirstColumn="0" w:lastRowLastColumn="0"/>
              <w:rPr>
                <w:rFonts w:ascii="Garamond" w:hAnsi="Garamond"/>
                <w:sz w:val="18"/>
                <w:szCs w:val="18"/>
              </w:rPr>
            </w:pPr>
            <w:r w:rsidRPr="007114AF">
              <w:rPr>
                <w:rFonts w:ascii="Garamond" w:hAnsi="Garamond"/>
                <w:sz w:val="18"/>
                <w:szCs w:val="18"/>
              </w:rPr>
              <w:t>45.02</w:t>
            </w:r>
          </w:p>
        </w:tc>
        <w:tc>
          <w:tcPr>
            <w:tcW w:w="378" w:type="pct"/>
            <w:vAlign w:val="center"/>
            <w:hideMark/>
          </w:tcPr>
          <w:p w14:paraId="6EDCF973" w14:textId="77777777" w:rsidR="00A9766F" w:rsidRPr="007114AF" w:rsidRDefault="00A9766F" w:rsidP="00A9766F">
            <w:pPr>
              <w:cnfStyle w:val="000000100000" w:firstRow="0" w:lastRow="0" w:firstColumn="0" w:lastColumn="0" w:oddVBand="0" w:evenVBand="0" w:oddHBand="1" w:evenHBand="0" w:firstRowFirstColumn="0" w:firstRowLastColumn="0" w:lastRowFirstColumn="0" w:lastRowLastColumn="0"/>
              <w:rPr>
                <w:rFonts w:ascii="Garamond" w:hAnsi="Garamond"/>
                <w:sz w:val="18"/>
                <w:szCs w:val="18"/>
              </w:rPr>
            </w:pPr>
            <w:r w:rsidRPr="007114AF">
              <w:rPr>
                <w:rFonts w:ascii="Garamond" w:hAnsi="Garamond"/>
                <w:sz w:val="18"/>
                <w:szCs w:val="18"/>
              </w:rPr>
              <w:t>45.02</w:t>
            </w:r>
          </w:p>
        </w:tc>
        <w:tc>
          <w:tcPr>
            <w:tcW w:w="378" w:type="pct"/>
            <w:vAlign w:val="center"/>
            <w:hideMark/>
          </w:tcPr>
          <w:p w14:paraId="6EDCF974" w14:textId="77777777" w:rsidR="00A9766F" w:rsidRPr="007114AF" w:rsidRDefault="00A9766F" w:rsidP="00A9766F">
            <w:pPr>
              <w:cnfStyle w:val="000000100000" w:firstRow="0" w:lastRow="0" w:firstColumn="0" w:lastColumn="0" w:oddVBand="0" w:evenVBand="0" w:oddHBand="1" w:evenHBand="0" w:firstRowFirstColumn="0" w:firstRowLastColumn="0" w:lastRowFirstColumn="0" w:lastRowLastColumn="0"/>
              <w:rPr>
                <w:rFonts w:ascii="Garamond" w:hAnsi="Garamond"/>
                <w:sz w:val="18"/>
                <w:szCs w:val="18"/>
              </w:rPr>
            </w:pPr>
            <w:r w:rsidRPr="007114AF">
              <w:rPr>
                <w:rFonts w:ascii="Garamond" w:hAnsi="Garamond"/>
                <w:sz w:val="18"/>
                <w:szCs w:val="18"/>
              </w:rPr>
              <w:t>45.02</w:t>
            </w:r>
          </w:p>
        </w:tc>
        <w:tc>
          <w:tcPr>
            <w:tcW w:w="378" w:type="pct"/>
            <w:vAlign w:val="center"/>
            <w:hideMark/>
          </w:tcPr>
          <w:p w14:paraId="6EDCF975" w14:textId="77777777" w:rsidR="00A9766F" w:rsidRPr="007114AF" w:rsidRDefault="00A9766F" w:rsidP="00A9766F">
            <w:pPr>
              <w:cnfStyle w:val="000000100000" w:firstRow="0" w:lastRow="0" w:firstColumn="0" w:lastColumn="0" w:oddVBand="0" w:evenVBand="0" w:oddHBand="1" w:evenHBand="0" w:firstRowFirstColumn="0" w:firstRowLastColumn="0" w:lastRowFirstColumn="0" w:lastRowLastColumn="0"/>
              <w:rPr>
                <w:rFonts w:ascii="Garamond" w:hAnsi="Garamond"/>
                <w:sz w:val="18"/>
                <w:szCs w:val="18"/>
              </w:rPr>
            </w:pPr>
            <w:r w:rsidRPr="007114AF">
              <w:rPr>
                <w:rFonts w:ascii="Garamond" w:hAnsi="Garamond"/>
                <w:sz w:val="18"/>
                <w:szCs w:val="18"/>
              </w:rPr>
              <w:t>45.00</w:t>
            </w:r>
          </w:p>
        </w:tc>
        <w:tc>
          <w:tcPr>
            <w:tcW w:w="378" w:type="pct"/>
            <w:vAlign w:val="center"/>
            <w:hideMark/>
          </w:tcPr>
          <w:p w14:paraId="6EDCF976" w14:textId="77777777" w:rsidR="00A9766F" w:rsidRPr="007114AF" w:rsidRDefault="00A9766F" w:rsidP="00A9766F">
            <w:pPr>
              <w:cnfStyle w:val="000000100000" w:firstRow="0" w:lastRow="0" w:firstColumn="0" w:lastColumn="0" w:oddVBand="0" w:evenVBand="0" w:oddHBand="1" w:evenHBand="0" w:firstRowFirstColumn="0" w:firstRowLastColumn="0" w:lastRowFirstColumn="0" w:lastRowLastColumn="0"/>
              <w:rPr>
                <w:rFonts w:ascii="Garamond" w:hAnsi="Garamond"/>
                <w:sz w:val="18"/>
                <w:szCs w:val="18"/>
              </w:rPr>
            </w:pPr>
            <w:r w:rsidRPr="007114AF">
              <w:rPr>
                <w:rFonts w:ascii="Garamond" w:hAnsi="Garamond"/>
                <w:sz w:val="18"/>
                <w:szCs w:val="18"/>
              </w:rPr>
              <w:t>45.00</w:t>
            </w:r>
          </w:p>
        </w:tc>
        <w:tc>
          <w:tcPr>
            <w:tcW w:w="379" w:type="pct"/>
            <w:vAlign w:val="center"/>
            <w:hideMark/>
          </w:tcPr>
          <w:p w14:paraId="6EDCF977" w14:textId="77777777" w:rsidR="00A9766F" w:rsidRPr="007114AF" w:rsidRDefault="00A9766F" w:rsidP="00A9766F">
            <w:pPr>
              <w:cnfStyle w:val="000000100000" w:firstRow="0" w:lastRow="0" w:firstColumn="0" w:lastColumn="0" w:oddVBand="0" w:evenVBand="0" w:oddHBand="1" w:evenHBand="0" w:firstRowFirstColumn="0" w:firstRowLastColumn="0" w:lastRowFirstColumn="0" w:lastRowLastColumn="0"/>
              <w:rPr>
                <w:rFonts w:ascii="Garamond" w:hAnsi="Garamond"/>
                <w:sz w:val="18"/>
                <w:szCs w:val="18"/>
              </w:rPr>
            </w:pPr>
            <w:r w:rsidRPr="007114AF">
              <w:rPr>
                <w:rFonts w:ascii="Garamond" w:hAnsi="Garamond"/>
                <w:sz w:val="18"/>
                <w:szCs w:val="18"/>
              </w:rPr>
              <w:t>45.08</w:t>
            </w:r>
          </w:p>
        </w:tc>
        <w:tc>
          <w:tcPr>
            <w:tcW w:w="514" w:type="pct"/>
            <w:vAlign w:val="center"/>
          </w:tcPr>
          <w:p w14:paraId="6EDCF978" w14:textId="77777777" w:rsidR="00A9766F" w:rsidRPr="007114AF" w:rsidRDefault="00A9766F" w:rsidP="00A9766F">
            <w:pPr>
              <w:cnfStyle w:val="000000100000" w:firstRow="0" w:lastRow="0" w:firstColumn="0" w:lastColumn="0" w:oddVBand="0" w:evenVBand="0" w:oddHBand="1" w:evenHBand="0" w:firstRowFirstColumn="0" w:firstRowLastColumn="0" w:lastRowFirstColumn="0" w:lastRowLastColumn="0"/>
              <w:rPr>
                <w:rFonts w:ascii="Garamond" w:hAnsi="Garamond"/>
                <w:sz w:val="18"/>
                <w:szCs w:val="18"/>
              </w:rPr>
            </w:pPr>
            <w:r w:rsidRPr="007114AF">
              <w:rPr>
                <w:rFonts w:ascii="Garamond" w:hAnsi="Garamond"/>
                <w:sz w:val="18"/>
                <w:szCs w:val="18"/>
              </w:rPr>
              <w:t>+27%</w:t>
            </w:r>
          </w:p>
        </w:tc>
      </w:tr>
      <w:tr w:rsidR="00A9766F" w:rsidRPr="007114AF" w14:paraId="6EDCF986" w14:textId="77777777" w:rsidTr="00A9766F">
        <w:trPr>
          <w:trHeight w:val="300"/>
          <w:jc w:val="center"/>
        </w:trPr>
        <w:tc>
          <w:tcPr>
            <w:cnfStyle w:val="001000000000" w:firstRow="0" w:lastRow="0" w:firstColumn="1" w:lastColumn="0" w:oddVBand="0" w:evenVBand="0" w:oddHBand="0" w:evenHBand="0" w:firstRowFirstColumn="0" w:firstRowLastColumn="0" w:lastRowFirstColumn="0" w:lastRowLastColumn="0"/>
            <w:tcW w:w="703" w:type="pct"/>
            <w:vAlign w:val="center"/>
            <w:hideMark/>
          </w:tcPr>
          <w:p w14:paraId="6EDCF97A" w14:textId="77777777" w:rsidR="00A9766F" w:rsidRPr="007114AF" w:rsidRDefault="00A9766F" w:rsidP="00A9766F">
            <w:pPr>
              <w:rPr>
                <w:rFonts w:ascii="Garamond" w:hAnsi="Garamond" w:cs="Calibri"/>
                <w:b w:val="0"/>
                <w:sz w:val="18"/>
                <w:szCs w:val="18"/>
              </w:rPr>
            </w:pPr>
            <w:r w:rsidRPr="007114AF">
              <w:rPr>
                <w:rFonts w:ascii="Garamond" w:hAnsi="Garamond" w:cs="Calibri"/>
                <w:sz w:val="18"/>
                <w:szCs w:val="18"/>
              </w:rPr>
              <w:t xml:space="preserve">Sektori i banesave </w:t>
            </w:r>
          </w:p>
        </w:tc>
        <w:tc>
          <w:tcPr>
            <w:tcW w:w="378" w:type="pct"/>
            <w:vAlign w:val="center"/>
            <w:hideMark/>
          </w:tcPr>
          <w:p w14:paraId="6EDCF97B" w14:textId="77777777" w:rsidR="00A9766F" w:rsidRPr="007114AF" w:rsidRDefault="00A9766F" w:rsidP="00A9766F">
            <w:pPr>
              <w:cnfStyle w:val="000000000000" w:firstRow="0" w:lastRow="0" w:firstColumn="0" w:lastColumn="0" w:oddVBand="0" w:evenVBand="0" w:oddHBand="0" w:evenHBand="0" w:firstRowFirstColumn="0" w:firstRowLastColumn="0" w:lastRowFirstColumn="0" w:lastRowLastColumn="0"/>
              <w:rPr>
                <w:rFonts w:ascii="Garamond" w:hAnsi="Garamond"/>
                <w:sz w:val="18"/>
                <w:szCs w:val="18"/>
              </w:rPr>
            </w:pPr>
            <w:r w:rsidRPr="007114AF">
              <w:rPr>
                <w:rFonts w:ascii="Garamond" w:hAnsi="Garamond"/>
                <w:sz w:val="18"/>
                <w:szCs w:val="18"/>
              </w:rPr>
              <w:t>22.93</w:t>
            </w:r>
          </w:p>
        </w:tc>
        <w:tc>
          <w:tcPr>
            <w:tcW w:w="378" w:type="pct"/>
            <w:vAlign w:val="center"/>
            <w:hideMark/>
          </w:tcPr>
          <w:p w14:paraId="6EDCF97C" w14:textId="77777777" w:rsidR="00A9766F" w:rsidRPr="007114AF" w:rsidRDefault="00A9766F" w:rsidP="00A9766F">
            <w:pPr>
              <w:cnfStyle w:val="000000000000" w:firstRow="0" w:lastRow="0" w:firstColumn="0" w:lastColumn="0" w:oddVBand="0" w:evenVBand="0" w:oddHBand="0" w:evenHBand="0" w:firstRowFirstColumn="0" w:firstRowLastColumn="0" w:lastRowFirstColumn="0" w:lastRowLastColumn="0"/>
              <w:rPr>
                <w:rFonts w:ascii="Garamond" w:hAnsi="Garamond"/>
                <w:sz w:val="18"/>
                <w:szCs w:val="18"/>
              </w:rPr>
            </w:pPr>
            <w:r w:rsidRPr="007114AF">
              <w:rPr>
                <w:rFonts w:ascii="Garamond" w:hAnsi="Garamond"/>
                <w:sz w:val="18"/>
                <w:szCs w:val="18"/>
              </w:rPr>
              <w:t>22.91</w:t>
            </w:r>
          </w:p>
        </w:tc>
        <w:tc>
          <w:tcPr>
            <w:tcW w:w="378" w:type="pct"/>
            <w:vAlign w:val="center"/>
            <w:hideMark/>
          </w:tcPr>
          <w:p w14:paraId="6EDCF97D" w14:textId="77777777" w:rsidR="00A9766F" w:rsidRPr="007114AF" w:rsidRDefault="00A9766F" w:rsidP="00A9766F">
            <w:pPr>
              <w:cnfStyle w:val="000000000000" w:firstRow="0" w:lastRow="0" w:firstColumn="0" w:lastColumn="0" w:oddVBand="0" w:evenVBand="0" w:oddHBand="0" w:evenHBand="0" w:firstRowFirstColumn="0" w:firstRowLastColumn="0" w:lastRowFirstColumn="0" w:lastRowLastColumn="0"/>
              <w:rPr>
                <w:rFonts w:ascii="Garamond" w:hAnsi="Garamond"/>
                <w:sz w:val="18"/>
                <w:szCs w:val="18"/>
              </w:rPr>
            </w:pPr>
            <w:r w:rsidRPr="007114AF">
              <w:rPr>
                <w:rFonts w:ascii="Garamond" w:hAnsi="Garamond"/>
                <w:sz w:val="18"/>
                <w:szCs w:val="18"/>
              </w:rPr>
              <w:t>22.95</w:t>
            </w:r>
          </w:p>
        </w:tc>
        <w:tc>
          <w:tcPr>
            <w:tcW w:w="378" w:type="pct"/>
            <w:vAlign w:val="center"/>
            <w:hideMark/>
          </w:tcPr>
          <w:p w14:paraId="6EDCF97E" w14:textId="77777777" w:rsidR="00A9766F" w:rsidRPr="007114AF" w:rsidRDefault="00A9766F" w:rsidP="00A9766F">
            <w:pPr>
              <w:cnfStyle w:val="000000000000" w:firstRow="0" w:lastRow="0" w:firstColumn="0" w:lastColumn="0" w:oddVBand="0" w:evenVBand="0" w:oddHBand="0" w:evenHBand="0" w:firstRowFirstColumn="0" w:firstRowLastColumn="0" w:lastRowFirstColumn="0" w:lastRowLastColumn="0"/>
              <w:rPr>
                <w:rFonts w:ascii="Garamond" w:hAnsi="Garamond"/>
                <w:sz w:val="18"/>
                <w:szCs w:val="18"/>
              </w:rPr>
            </w:pPr>
            <w:r w:rsidRPr="007114AF">
              <w:rPr>
                <w:rFonts w:ascii="Garamond" w:hAnsi="Garamond"/>
                <w:sz w:val="18"/>
                <w:szCs w:val="18"/>
              </w:rPr>
              <w:t>23.07</w:t>
            </w:r>
          </w:p>
        </w:tc>
        <w:tc>
          <w:tcPr>
            <w:tcW w:w="379" w:type="pct"/>
            <w:vAlign w:val="center"/>
            <w:hideMark/>
          </w:tcPr>
          <w:p w14:paraId="6EDCF97F" w14:textId="77777777" w:rsidR="00A9766F" w:rsidRPr="007114AF" w:rsidRDefault="00A9766F" w:rsidP="00A9766F">
            <w:pPr>
              <w:cnfStyle w:val="000000000000" w:firstRow="0" w:lastRow="0" w:firstColumn="0" w:lastColumn="0" w:oddVBand="0" w:evenVBand="0" w:oddHBand="0" w:evenHBand="0" w:firstRowFirstColumn="0" w:firstRowLastColumn="0" w:lastRowFirstColumn="0" w:lastRowLastColumn="0"/>
              <w:rPr>
                <w:rFonts w:ascii="Garamond" w:hAnsi="Garamond"/>
                <w:sz w:val="18"/>
                <w:szCs w:val="18"/>
              </w:rPr>
            </w:pPr>
            <w:r w:rsidRPr="007114AF">
              <w:rPr>
                <w:rFonts w:ascii="Garamond" w:hAnsi="Garamond"/>
                <w:sz w:val="18"/>
                <w:szCs w:val="18"/>
              </w:rPr>
              <w:t>22.89</w:t>
            </w:r>
          </w:p>
        </w:tc>
        <w:tc>
          <w:tcPr>
            <w:tcW w:w="378" w:type="pct"/>
            <w:vAlign w:val="center"/>
            <w:hideMark/>
          </w:tcPr>
          <w:p w14:paraId="6EDCF980" w14:textId="77777777" w:rsidR="00A9766F" w:rsidRPr="007114AF" w:rsidRDefault="00A9766F" w:rsidP="00A9766F">
            <w:pPr>
              <w:cnfStyle w:val="000000000000" w:firstRow="0" w:lastRow="0" w:firstColumn="0" w:lastColumn="0" w:oddVBand="0" w:evenVBand="0" w:oddHBand="0" w:evenHBand="0" w:firstRowFirstColumn="0" w:firstRowLastColumn="0" w:lastRowFirstColumn="0" w:lastRowLastColumn="0"/>
              <w:rPr>
                <w:rFonts w:ascii="Garamond" w:hAnsi="Garamond"/>
                <w:sz w:val="18"/>
                <w:szCs w:val="18"/>
              </w:rPr>
            </w:pPr>
            <w:r w:rsidRPr="007114AF">
              <w:rPr>
                <w:rFonts w:ascii="Garamond" w:hAnsi="Garamond"/>
                <w:sz w:val="18"/>
                <w:szCs w:val="18"/>
              </w:rPr>
              <w:t>22.89</w:t>
            </w:r>
          </w:p>
        </w:tc>
        <w:tc>
          <w:tcPr>
            <w:tcW w:w="378" w:type="pct"/>
            <w:vAlign w:val="center"/>
            <w:hideMark/>
          </w:tcPr>
          <w:p w14:paraId="6EDCF981" w14:textId="77777777" w:rsidR="00A9766F" w:rsidRPr="007114AF" w:rsidRDefault="00A9766F" w:rsidP="00A9766F">
            <w:pPr>
              <w:cnfStyle w:val="000000000000" w:firstRow="0" w:lastRow="0" w:firstColumn="0" w:lastColumn="0" w:oddVBand="0" w:evenVBand="0" w:oddHBand="0" w:evenHBand="0" w:firstRowFirstColumn="0" w:firstRowLastColumn="0" w:lastRowFirstColumn="0" w:lastRowLastColumn="0"/>
              <w:rPr>
                <w:rFonts w:ascii="Garamond" w:hAnsi="Garamond"/>
                <w:sz w:val="18"/>
                <w:szCs w:val="18"/>
              </w:rPr>
            </w:pPr>
            <w:r w:rsidRPr="007114AF">
              <w:rPr>
                <w:rFonts w:ascii="Garamond" w:hAnsi="Garamond"/>
                <w:sz w:val="18"/>
                <w:szCs w:val="18"/>
              </w:rPr>
              <w:t>22.89</w:t>
            </w:r>
          </w:p>
        </w:tc>
        <w:tc>
          <w:tcPr>
            <w:tcW w:w="378" w:type="pct"/>
            <w:vAlign w:val="center"/>
            <w:hideMark/>
          </w:tcPr>
          <w:p w14:paraId="6EDCF982" w14:textId="77777777" w:rsidR="00A9766F" w:rsidRPr="007114AF" w:rsidRDefault="00A9766F" w:rsidP="00A9766F">
            <w:pPr>
              <w:cnfStyle w:val="000000000000" w:firstRow="0" w:lastRow="0" w:firstColumn="0" w:lastColumn="0" w:oddVBand="0" w:evenVBand="0" w:oddHBand="0" w:evenHBand="0" w:firstRowFirstColumn="0" w:firstRowLastColumn="0" w:lastRowFirstColumn="0" w:lastRowLastColumn="0"/>
              <w:rPr>
                <w:rFonts w:ascii="Garamond" w:hAnsi="Garamond"/>
                <w:sz w:val="18"/>
                <w:szCs w:val="18"/>
              </w:rPr>
            </w:pPr>
            <w:r w:rsidRPr="007114AF">
              <w:rPr>
                <w:rFonts w:ascii="Garamond" w:hAnsi="Garamond"/>
                <w:sz w:val="18"/>
                <w:szCs w:val="18"/>
              </w:rPr>
              <w:t>22.93</w:t>
            </w:r>
          </w:p>
        </w:tc>
        <w:tc>
          <w:tcPr>
            <w:tcW w:w="378" w:type="pct"/>
            <w:vAlign w:val="center"/>
            <w:hideMark/>
          </w:tcPr>
          <w:p w14:paraId="6EDCF983" w14:textId="77777777" w:rsidR="00A9766F" w:rsidRPr="007114AF" w:rsidRDefault="00A9766F" w:rsidP="00A9766F">
            <w:pPr>
              <w:cnfStyle w:val="000000000000" w:firstRow="0" w:lastRow="0" w:firstColumn="0" w:lastColumn="0" w:oddVBand="0" w:evenVBand="0" w:oddHBand="0" w:evenHBand="0" w:firstRowFirstColumn="0" w:firstRowLastColumn="0" w:lastRowFirstColumn="0" w:lastRowLastColumn="0"/>
              <w:rPr>
                <w:rFonts w:ascii="Garamond" w:hAnsi="Garamond"/>
                <w:sz w:val="18"/>
                <w:szCs w:val="18"/>
              </w:rPr>
            </w:pPr>
            <w:r w:rsidRPr="007114AF">
              <w:rPr>
                <w:rFonts w:ascii="Garamond" w:hAnsi="Garamond"/>
                <w:sz w:val="18"/>
                <w:szCs w:val="18"/>
              </w:rPr>
              <w:t>22.93</w:t>
            </w:r>
          </w:p>
        </w:tc>
        <w:tc>
          <w:tcPr>
            <w:tcW w:w="379" w:type="pct"/>
            <w:vAlign w:val="center"/>
            <w:hideMark/>
          </w:tcPr>
          <w:p w14:paraId="6EDCF984" w14:textId="77777777" w:rsidR="00A9766F" w:rsidRPr="007114AF" w:rsidRDefault="00A9766F" w:rsidP="00A9766F">
            <w:pPr>
              <w:cnfStyle w:val="000000000000" w:firstRow="0" w:lastRow="0" w:firstColumn="0" w:lastColumn="0" w:oddVBand="0" w:evenVBand="0" w:oddHBand="0" w:evenHBand="0" w:firstRowFirstColumn="0" w:firstRowLastColumn="0" w:lastRowFirstColumn="0" w:lastRowLastColumn="0"/>
              <w:rPr>
                <w:rFonts w:ascii="Garamond" w:hAnsi="Garamond"/>
                <w:sz w:val="18"/>
                <w:szCs w:val="18"/>
              </w:rPr>
            </w:pPr>
            <w:r w:rsidRPr="007114AF">
              <w:rPr>
                <w:rFonts w:ascii="Garamond" w:hAnsi="Garamond"/>
                <w:sz w:val="18"/>
                <w:szCs w:val="18"/>
              </w:rPr>
              <w:t>22.83</w:t>
            </w:r>
          </w:p>
        </w:tc>
        <w:tc>
          <w:tcPr>
            <w:tcW w:w="514" w:type="pct"/>
            <w:vAlign w:val="center"/>
          </w:tcPr>
          <w:p w14:paraId="6EDCF985" w14:textId="77777777" w:rsidR="00A9766F" w:rsidRPr="007114AF" w:rsidRDefault="00A9766F" w:rsidP="00A9766F">
            <w:pPr>
              <w:cnfStyle w:val="000000000000" w:firstRow="0" w:lastRow="0" w:firstColumn="0" w:lastColumn="0" w:oddVBand="0" w:evenVBand="0" w:oddHBand="0" w:evenHBand="0" w:firstRowFirstColumn="0" w:firstRowLastColumn="0" w:lastRowFirstColumn="0" w:lastRowLastColumn="0"/>
              <w:rPr>
                <w:rFonts w:ascii="Garamond" w:hAnsi="Garamond"/>
                <w:sz w:val="18"/>
                <w:szCs w:val="18"/>
              </w:rPr>
            </w:pPr>
            <w:r w:rsidRPr="007114AF">
              <w:rPr>
                <w:rFonts w:ascii="Garamond" w:hAnsi="Garamond"/>
                <w:sz w:val="18"/>
                <w:szCs w:val="18"/>
              </w:rPr>
              <w:t>+24%</w:t>
            </w:r>
          </w:p>
        </w:tc>
      </w:tr>
      <w:tr w:rsidR="00A9766F" w:rsidRPr="007114AF" w14:paraId="6EDCF993" w14:textId="77777777" w:rsidTr="00A9766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703" w:type="pct"/>
            <w:vAlign w:val="center"/>
            <w:hideMark/>
          </w:tcPr>
          <w:p w14:paraId="6EDCF987" w14:textId="77777777" w:rsidR="00A9766F" w:rsidRPr="007114AF" w:rsidRDefault="00A9766F" w:rsidP="00A9766F">
            <w:pPr>
              <w:rPr>
                <w:rFonts w:ascii="Garamond" w:hAnsi="Garamond" w:cs="Calibri"/>
                <w:b w:val="0"/>
                <w:sz w:val="18"/>
                <w:szCs w:val="18"/>
              </w:rPr>
            </w:pPr>
            <w:r w:rsidRPr="007114AF">
              <w:rPr>
                <w:rFonts w:ascii="Garamond" w:hAnsi="Garamond" w:cs="Calibri"/>
                <w:sz w:val="18"/>
                <w:szCs w:val="18"/>
              </w:rPr>
              <w:t xml:space="preserve">Shërbimi </w:t>
            </w:r>
          </w:p>
        </w:tc>
        <w:tc>
          <w:tcPr>
            <w:tcW w:w="378" w:type="pct"/>
            <w:vAlign w:val="center"/>
            <w:hideMark/>
          </w:tcPr>
          <w:p w14:paraId="6EDCF988" w14:textId="77777777" w:rsidR="00A9766F" w:rsidRPr="007114AF" w:rsidRDefault="00A9766F" w:rsidP="00A9766F">
            <w:pPr>
              <w:cnfStyle w:val="000000100000" w:firstRow="0" w:lastRow="0" w:firstColumn="0" w:lastColumn="0" w:oddVBand="0" w:evenVBand="0" w:oddHBand="1" w:evenHBand="0" w:firstRowFirstColumn="0" w:firstRowLastColumn="0" w:lastRowFirstColumn="0" w:lastRowLastColumn="0"/>
              <w:rPr>
                <w:rFonts w:ascii="Garamond" w:hAnsi="Garamond"/>
                <w:sz w:val="18"/>
                <w:szCs w:val="18"/>
              </w:rPr>
            </w:pPr>
            <w:r w:rsidRPr="007114AF">
              <w:rPr>
                <w:rFonts w:ascii="Garamond" w:hAnsi="Garamond"/>
                <w:sz w:val="18"/>
                <w:szCs w:val="18"/>
              </w:rPr>
              <w:t>4.71</w:t>
            </w:r>
          </w:p>
        </w:tc>
        <w:tc>
          <w:tcPr>
            <w:tcW w:w="378" w:type="pct"/>
            <w:vAlign w:val="center"/>
            <w:hideMark/>
          </w:tcPr>
          <w:p w14:paraId="6EDCF989" w14:textId="77777777" w:rsidR="00A9766F" w:rsidRPr="007114AF" w:rsidRDefault="00A9766F" w:rsidP="00A9766F">
            <w:pPr>
              <w:cnfStyle w:val="000000100000" w:firstRow="0" w:lastRow="0" w:firstColumn="0" w:lastColumn="0" w:oddVBand="0" w:evenVBand="0" w:oddHBand="1" w:evenHBand="0" w:firstRowFirstColumn="0" w:firstRowLastColumn="0" w:lastRowFirstColumn="0" w:lastRowLastColumn="0"/>
              <w:rPr>
                <w:rFonts w:ascii="Garamond" w:hAnsi="Garamond"/>
                <w:sz w:val="18"/>
                <w:szCs w:val="18"/>
              </w:rPr>
            </w:pPr>
            <w:r w:rsidRPr="007114AF">
              <w:rPr>
                <w:rFonts w:ascii="Garamond" w:hAnsi="Garamond"/>
                <w:sz w:val="18"/>
                <w:szCs w:val="18"/>
              </w:rPr>
              <w:t>4.68</w:t>
            </w:r>
          </w:p>
        </w:tc>
        <w:tc>
          <w:tcPr>
            <w:tcW w:w="378" w:type="pct"/>
            <w:vAlign w:val="center"/>
            <w:hideMark/>
          </w:tcPr>
          <w:p w14:paraId="6EDCF98A" w14:textId="77777777" w:rsidR="00A9766F" w:rsidRPr="007114AF" w:rsidRDefault="00A9766F" w:rsidP="00A9766F">
            <w:pPr>
              <w:cnfStyle w:val="000000100000" w:firstRow="0" w:lastRow="0" w:firstColumn="0" w:lastColumn="0" w:oddVBand="0" w:evenVBand="0" w:oddHBand="1" w:evenHBand="0" w:firstRowFirstColumn="0" w:firstRowLastColumn="0" w:lastRowFirstColumn="0" w:lastRowLastColumn="0"/>
              <w:rPr>
                <w:rFonts w:ascii="Garamond" w:hAnsi="Garamond"/>
                <w:sz w:val="18"/>
                <w:szCs w:val="18"/>
              </w:rPr>
            </w:pPr>
            <w:r w:rsidRPr="007114AF">
              <w:rPr>
                <w:rFonts w:ascii="Garamond" w:hAnsi="Garamond"/>
                <w:sz w:val="18"/>
                <w:szCs w:val="18"/>
              </w:rPr>
              <w:t>4.72</w:t>
            </w:r>
          </w:p>
        </w:tc>
        <w:tc>
          <w:tcPr>
            <w:tcW w:w="378" w:type="pct"/>
            <w:vAlign w:val="center"/>
            <w:hideMark/>
          </w:tcPr>
          <w:p w14:paraId="6EDCF98B" w14:textId="77777777" w:rsidR="00A9766F" w:rsidRPr="007114AF" w:rsidRDefault="00A9766F" w:rsidP="00A9766F">
            <w:pPr>
              <w:cnfStyle w:val="000000100000" w:firstRow="0" w:lastRow="0" w:firstColumn="0" w:lastColumn="0" w:oddVBand="0" w:evenVBand="0" w:oddHBand="1" w:evenHBand="0" w:firstRowFirstColumn="0" w:firstRowLastColumn="0" w:lastRowFirstColumn="0" w:lastRowLastColumn="0"/>
              <w:rPr>
                <w:rFonts w:ascii="Garamond" w:hAnsi="Garamond"/>
                <w:sz w:val="18"/>
                <w:szCs w:val="18"/>
              </w:rPr>
            </w:pPr>
            <w:r w:rsidRPr="007114AF">
              <w:rPr>
                <w:rFonts w:ascii="Garamond" w:hAnsi="Garamond"/>
                <w:sz w:val="18"/>
                <w:szCs w:val="18"/>
              </w:rPr>
              <w:t>4.75</w:t>
            </w:r>
          </w:p>
        </w:tc>
        <w:tc>
          <w:tcPr>
            <w:tcW w:w="379" w:type="pct"/>
            <w:vAlign w:val="center"/>
            <w:hideMark/>
          </w:tcPr>
          <w:p w14:paraId="6EDCF98C" w14:textId="77777777" w:rsidR="00A9766F" w:rsidRPr="007114AF" w:rsidRDefault="00A9766F" w:rsidP="00A9766F">
            <w:pPr>
              <w:cnfStyle w:val="000000100000" w:firstRow="0" w:lastRow="0" w:firstColumn="0" w:lastColumn="0" w:oddVBand="0" w:evenVBand="0" w:oddHBand="1" w:evenHBand="0" w:firstRowFirstColumn="0" w:firstRowLastColumn="0" w:lastRowFirstColumn="0" w:lastRowLastColumn="0"/>
              <w:rPr>
                <w:rFonts w:ascii="Garamond" w:hAnsi="Garamond"/>
                <w:sz w:val="18"/>
                <w:szCs w:val="18"/>
              </w:rPr>
            </w:pPr>
            <w:r w:rsidRPr="007114AF">
              <w:rPr>
                <w:rFonts w:ascii="Garamond" w:hAnsi="Garamond"/>
                <w:sz w:val="18"/>
                <w:szCs w:val="18"/>
              </w:rPr>
              <w:t>4.76</w:t>
            </w:r>
          </w:p>
        </w:tc>
        <w:tc>
          <w:tcPr>
            <w:tcW w:w="378" w:type="pct"/>
            <w:vAlign w:val="center"/>
            <w:hideMark/>
          </w:tcPr>
          <w:p w14:paraId="6EDCF98D" w14:textId="77777777" w:rsidR="00A9766F" w:rsidRPr="007114AF" w:rsidRDefault="00A9766F" w:rsidP="00A9766F">
            <w:pPr>
              <w:cnfStyle w:val="000000100000" w:firstRow="0" w:lastRow="0" w:firstColumn="0" w:lastColumn="0" w:oddVBand="0" w:evenVBand="0" w:oddHBand="1" w:evenHBand="0" w:firstRowFirstColumn="0" w:firstRowLastColumn="0" w:lastRowFirstColumn="0" w:lastRowLastColumn="0"/>
              <w:rPr>
                <w:rFonts w:ascii="Garamond" w:hAnsi="Garamond"/>
                <w:sz w:val="18"/>
                <w:szCs w:val="18"/>
              </w:rPr>
            </w:pPr>
            <w:r w:rsidRPr="007114AF">
              <w:rPr>
                <w:rFonts w:ascii="Garamond" w:hAnsi="Garamond"/>
                <w:sz w:val="18"/>
                <w:szCs w:val="18"/>
              </w:rPr>
              <w:t>4.76</w:t>
            </w:r>
          </w:p>
        </w:tc>
        <w:tc>
          <w:tcPr>
            <w:tcW w:w="378" w:type="pct"/>
            <w:vAlign w:val="center"/>
            <w:hideMark/>
          </w:tcPr>
          <w:p w14:paraId="6EDCF98E" w14:textId="77777777" w:rsidR="00A9766F" w:rsidRPr="007114AF" w:rsidRDefault="00A9766F" w:rsidP="00A9766F">
            <w:pPr>
              <w:cnfStyle w:val="000000100000" w:firstRow="0" w:lastRow="0" w:firstColumn="0" w:lastColumn="0" w:oddVBand="0" w:evenVBand="0" w:oddHBand="1" w:evenHBand="0" w:firstRowFirstColumn="0" w:firstRowLastColumn="0" w:lastRowFirstColumn="0" w:lastRowLastColumn="0"/>
              <w:rPr>
                <w:rFonts w:ascii="Garamond" w:hAnsi="Garamond"/>
                <w:sz w:val="18"/>
                <w:szCs w:val="18"/>
              </w:rPr>
            </w:pPr>
            <w:r w:rsidRPr="007114AF">
              <w:rPr>
                <w:rFonts w:ascii="Garamond" w:hAnsi="Garamond"/>
                <w:sz w:val="18"/>
                <w:szCs w:val="18"/>
              </w:rPr>
              <w:t>4.76</w:t>
            </w:r>
          </w:p>
        </w:tc>
        <w:tc>
          <w:tcPr>
            <w:tcW w:w="378" w:type="pct"/>
            <w:vAlign w:val="center"/>
            <w:hideMark/>
          </w:tcPr>
          <w:p w14:paraId="6EDCF98F" w14:textId="77777777" w:rsidR="00A9766F" w:rsidRPr="007114AF" w:rsidRDefault="00A9766F" w:rsidP="00A9766F">
            <w:pPr>
              <w:cnfStyle w:val="000000100000" w:firstRow="0" w:lastRow="0" w:firstColumn="0" w:lastColumn="0" w:oddVBand="0" w:evenVBand="0" w:oddHBand="1" w:evenHBand="0" w:firstRowFirstColumn="0" w:firstRowLastColumn="0" w:lastRowFirstColumn="0" w:lastRowLastColumn="0"/>
              <w:rPr>
                <w:rFonts w:ascii="Garamond" w:hAnsi="Garamond"/>
                <w:sz w:val="18"/>
                <w:szCs w:val="18"/>
              </w:rPr>
            </w:pPr>
            <w:r w:rsidRPr="007114AF">
              <w:rPr>
                <w:rFonts w:ascii="Garamond" w:hAnsi="Garamond"/>
                <w:sz w:val="18"/>
                <w:szCs w:val="18"/>
              </w:rPr>
              <w:t>4.76</w:t>
            </w:r>
          </w:p>
        </w:tc>
        <w:tc>
          <w:tcPr>
            <w:tcW w:w="378" w:type="pct"/>
            <w:vAlign w:val="center"/>
            <w:hideMark/>
          </w:tcPr>
          <w:p w14:paraId="6EDCF990" w14:textId="77777777" w:rsidR="00A9766F" w:rsidRPr="007114AF" w:rsidRDefault="00A9766F" w:rsidP="00A9766F">
            <w:pPr>
              <w:cnfStyle w:val="000000100000" w:firstRow="0" w:lastRow="0" w:firstColumn="0" w:lastColumn="0" w:oddVBand="0" w:evenVBand="0" w:oddHBand="1" w:evenHBand="0" w:firstRowFirstColumn="0" w:firstRowLastColumn="0" w:lastRowFirstColumn="0" w:lastRowLastColumn="0"/>
              <w:rPr>
                <w:rFonts w:ascii="Garamond" w:hAnsi="Garamond"/>
                <w:sz w:val="18"/>
                <w:szCs w:val="18"/>
              </w:rPr>
            </w:pPr>
            <w:r w:rsidRPr="007114AF">
              <w:rPr>
                <w:rFonts w:ascii="Garamond" w:hAnsi="Garamond"/>
                <w:sz w:val="18"/>
                <w:szCs w:val="18"/>
              </w:rPr>
              <w:t>4.76</w:t>
            </w:r>
          </w:p>
        </w:tc>
        <w:tc>
          <w:tcPr>
            <w:tcW w:w="379" w:type="pct"/>
            <w:vAlign w:val="center"/>
            <w:hideMark/>
          </w:tcPr>
          <w:p w14:paraId="6EDCF991" w14:textId="77777777" w:rsidR="00A9766F" w:rsidRPr="007114AF" w:rsidRDefault="00A9766F" w:rsidP="00A9766F">
            <w:pPr>
              <w:cnfStyle w:val="000000100000" w:firstRow="0" w:lastRow="0" w:firstColumn="0" w:lastColumn="0" w:oddVBand="0" w:evenVBand="0" w:oddHBand="1" w:evenHBand="0" w:firstRowFirstColumn="0" w:firstRowLastColumn="0" w:lastRowFirstColumn="0" w:lastRowLastColumn="0"/>
              <w:rPr>
                <w:rFonts w:ascii="Garamond" w:hAnsi="Garamond"/>
                <w:sz w:val="18"/>
                <w:szCs w:val="18"/>
              </w:rPr>
            </w:pPr>
            <w:r w:rsidRPr="007114AF">
              <w:rPr>
                <w:rFonts w:ascii="Garamond" w:hAnsi="Garamond"/>
                <w:sz w:val="18"/>
                <w:szCs w:val="18"/>
              </w:rPr>
              <w:t>4.74</w:t>
            </w:r>
          </w:p>
        </w:tc>
        <w:tc>
          <w:tcPr>
            <w:tcW w:w="514" w:type="pct"/>
            <w:vAlign w:val="center"/>
          </w:tcPr>
          <w:p w14:paraId="6EDCF992" w14:textId="77777777" w:rsidR="00A9766F" w:rsidRPr="007114AF" w:rsidRDefault="00A9766F" w:rsidP="00A9766F">
            <w:pPr>
              <w:cnfStyle w:val="000000100000" w:firstRow="0" w:lastRow="0" w:firstColumn="0" w:lastColumn="0" w:oddVBand="0" w:evenVBand="0" w:oddHBand="1" w:evenHBand="0" w:firstRowFirstColumn="0" w:firstRowLastColumn="0" w:lastRowFirstColumn="0" w:lastRowLastColumn="0"/>
              <w:rPr>
                <w:rFonts w:ascii="Garamond" w:hAnsi="Garamond"/>
                <w:sz w:val="18"/>
                <w:szCs w:val="18"/>
              </w:rPr>
            </w:pPr>
            <w:r w:rsidRPr="007114AF">
              <w:rPr>
                <w:rFonts w:ascii="Garamond" w:hAnsi="Garamond"/>
                <w:sz w:val="18"/>
                <w:szCs w:val="18"/>
              </w:rPr>
              <w:t>+25%</w:t>
            </w:r>
          </w:p>
        </w:tc>
      </w:tr>
      <w:tr w:rsidR="00A9766F" w:rsidRPr="007114AF" w14:paraId="6EDCF9A0" w14:textId="77777777" w:rsidTr="00A9766F">
        <w:trPr>
          <w:trHeight w:val="300"/>
          <w:jc w:val="center"/>
        </w:trPr>
        <w:tc>
          <w:tcPr>
            <w:cnfStyle w:val="001000000000" w:firstRow="0" w:lastRow="0" w:firstColumn="1" w:lastColumn="0" w:oddVBand="0" w:evenVBand="0" w:oddHBand="0" w:evenHBand="0" w:firstRowFirstColumn="0" w:firstRowLastColumn="0" w:lastRowFirstColumn="0" w:lastRowLastColumn="0"/>
            <w:tcW w:w="703" w:type="pct"/>
            <w:vAlign w:val="center"/>
            <w:hideMark/>
          </w:tcPr>
          <w:p w14:paraId="6EDCF994" w14:textId="34074B15" w:rsidR="00A9766F" w:rsidRPr="007114AF" w:rsidRDefault="00A9766F" w:rsidP="00A9766F">
            <w:pPr>
              <w:rPr>
                <w:rFonts w:ascii="Garamond" w:hAnsi="Garamond" w:cs="Calibri"/>
                <w:b w:val="0"/>
                <w:sz w:val="18"/>
                <w:szCs w:val="18"/>
              </w:rPr>
            </w:pPr>
            <w:r w:rsidRPr="007114AF">
              <w:rPr>
                <w:rFonts w:ascii="Garamond" w:hAnsi="Garamond" w:cs="Calibri"/>
                <w:sz w:val="18"/>
                <w:szCs w:val="18"/>
              </w:rPr>
              <w:t>Bujqësia</w:t>
            </w:r>
            <w:r w:rsidR="000A2A01" w:rsidRPr="007114AF">
              <w:rPr>
                <w:rFonts w:ascii="Garamond" w:hAnsi="Garamond" w:cs="Calibri"/>
                <w:sz w:val="18"/>
                <w:szCs w:val="18"/>
              </w:rPr>
              <w:t xml:space="preserve"> </w:t>
            </w:r>
          </w:p>
        </w:tc>
        <w:tc>
          <w:tcPr>
            <w:tcW w:w="378" w:type="pct"/>
            <w:vAlign w:val="center"/>
            <w:hideMark/>
          </w:tcPr>
          <w:p w14:paraId="6EDCF995" w14:textId="77777777" w:rsidR="00A9766F" w:rsidRPr="007114AF" w:rsidRDefault="00A9766F" w:rsidP="00A9766F">
            <w:pPr>
              <w:cnfStyle w:val="000000000000" w:firstRow="0" w:lastRow="0" w:firstColumn="0" w:lastColumn="0" w:oddVBand="0" w:evenVBand="0" w:oddHBand="0" w:evenHBand="0" w:firstRowFirstColumn="0" w:firstRowLastColumn="0" w:lastRowFirstColumn="0" w:lastRowLastColumn="0"/>
              <w:rPr>
                <w:rFonts w:ascii="Garamond" w:hAnsi="Garamond"/>
                <w:sz w:val="18"/>
                <w:szCs w:val="18"/>
              </w:rPr>
            </w:pPr>
            <w:r w:rsidRPr="007114AF">
              <w:rPr>
                <w:rFonts w:ascii="Garamond" w:hAnsi="Garamond"/>
                <w:sz w:val="18"/>
                <w:szCs w:val="18"/>
              </w:rPr>
              <w:t>7.17</w:t>
            </w:r>
          </w:p>
        </w:tc>
        <w:tc>
          <w:tcPr>
            <w:tcW w:w="378" w:type="pct"/>
            <w:vAlign w:val="center"/>
            <w:hideMark/>
          </w:tcPr>
          <w:p w14:paraId="6EDCF996" w14:textId="77777777" w:rsidR="00A9766F" w:rsidRPr="007114AF" w:rsidRDefault="00A9766F" w:rsidP="00A9766F">
            <w:pPr>
              <w:cnfStyle w:val="000000000000" w:firstRow="0" w:lastRow="0" w:firstColumn="0" w:lastColumn="0" w:oddVBand="0" w:evenVBand="0" w:oddHBand="0" w:evenHBand="0" w:firstRowFirstColumn="0" w:firstRowLastColumn="0" w:lastRowFirstColumn="0" w:lastRowLastColumn="0"/>
              <w:rPr>
                <w:rFonts w:ascii="Garamond" w:hAnsi="Garamond"/>
                <w:sz w:val="18"/>
                <w:szCs w:val="18"/>
              </w:rPr>
            </w:pPr>
            <w:r w:rsidRPr="007114AF">
              <w:rPr>
                <w:rFonts w:ascii="Garamond" w:hAnsi="Garamond"/>
                <w:sz w:val="18"/>
                <w:szCs w:val="18"/>
              </w:rPr>
              <w:t>7.16</w:t>
            </w:r>
          </w:p>
        </w:tc>
        <w:tc>
          <w:tcPr>
            <w:tcW w:w="378" w:type="pct"/>
            <w:vAlign w:val="center"/>
            <w:hideMark/>
          </w:tcPr>
          <w:p w14:paraId="6EDCF997" w14:textId="77777777" w:rsidR="00A9766F" w:rsidRPr="007114AF" w:rsidRDefault="00A9766F" w:rsidP="00A9766F">
            <w:pPr>
              <w:cnfStyle w:val="000000000000" w:firstRow="0" w:lastRow="0" w:firstColumn="0" w:lastColumn="0" w:oddVBand="0" w:evenVBand="0" w:oddHBand="0" w:evenHBand="0" w:firstRowFirstColumn="0" w:firstRowLastColumn="0" w:lastRowFirstColumn="0" w:lastRowLastColumn="0"/>
              <w:rPr>
                <w:rFonts w:ascii="Garamond" w:hAnsi="Garamond"/>
                <w:sz w:val="18"/>
                <w:szCs w:val="18"/>
              </w:rPr>
            </w:pPr>
            <w:r w:rsidRPr="007114AF">
              <w:rPr>
                <w:rFonts w:ascii="Garamond" w:hAnsi="Garamond"/>
                <w:sz w:val="18"/>
                <w:szCs w:val="18"/>
              </w:rPr>
              <w:t>7.08</w:t>
            </w:r>
          </w:p>
        </w:tc>
        <w:tc>
          <w:tcPr>
            <w:tcW w:w="378" w:type="pct"/>
            <w:vAlign w:val="center"/>
            <w:hideMark/>
          </w:tcPr>
          <w:p w14:paraId="6EDCF998" w14:textId="77777777" w:rsidR="00A9766F" w:rsidRPr="007114AF" w:rsidRDefault="00A9766F" w:rsidP="00A9766F">
            <w:pPr>
              <w:cnfStyle w:val="000000000000" w:firstRow="0" w:lastRow="0" w:firstColumn="0" w:lastColumn="0" w:oddVBand="0" w:evenVBand="0" w:oddHBand="0" w:evenHBand="0" w:firstRowFirstColumn="0" w:firstRowLastColumn="0" w:lastRowFirstColumn="0" w:lastRowLastColumn="0"/>
              <w:rPr>
                <w:rFonts w:ascii="Garamond" w:hAnsi="Garamond"/>
                <w:sz w:val="18"/>
                <w:szCs w:val="18"/>
              </w:rPr>
            </w:pPr>
            <w:r w:rsidRPr="007114AF">
              <w:rPr>
                <w:rFonts w:ascii="Garamond" w:hAnsi="Garamond"/>
                <w:sz w:val="18"/>
                <w:szCs w:val="18"/>
              </w:rPr>
              <w:t>7.13</w:t>
            </w:r>
          </w:p>
        </w:tc>
        <w:tc>
          <w:tcPr>
            <w:tcW w:w="379" w:type="pct"/>
            <w:vAlign w:val="center"/>
            <w:hideMark/>
          </w:tcPr>
          <w:p w14:paraId="6EDCF999" w14:textId="77777777" w:rsidR="00A9766F" w:rsidRPr="007114AF" w:rsidRDefault="00A9766F" w:rsidP="00A9766F">
            <w:pPr>
              <w:cnfStyle w:val="000000000000" w:firstRow="0" w:lastRow="0" w:firstColumn="0" w:lastColumn="0" w:oddVBand="0" w:evenVBand="0" w:oddHBand="0" w:evenHBand="0" w:firstRowFirstColumn="0" w:firstRowLastColumn="0" w:lastRowFirstColumn="0" w:lastRowLastColumn="0"/>
              <w:rPr>
                <w:rFonts w:ascii="Garamond" w:hAnsi="Garamond"/>
                <w:sz w:val="18"/>
                <w:szCs w:val="18"/>
              </w:rPr>
            </w:pPr>
            <w:r w:rsidRPr="007114AF">
              <w:rPr>
                <w:rFonts w:ascii="Garamond" w:hAnsi="Garamond"/>
                <w:sz w:val="18"/>
                <w:szCs w:val="18"/>
              </w:rPr>
              <w:t>7.15</w:t>
            </w:r>
          </w:p>
        </w:tc>
        <w:tc>
          <w:tcPr>
            <w:tcW w:w="378" w:type="pct"/>
            <w:vAlign w:val="center"/>
            <w:hideMark/>
          </w:tcPr>
          <w:p w14:paraId="6EDCF99A" w14:textId="77777777" w:rsidR="00A9766F" w:rsidRPr="007114AF" w:rsidRDefault="00A9766F" w:rsidP="00A9766F">
            <w:pPr>
              <w:cnfStyle w:val="000000000000" w:firstRow="0" w:lastRow="0" w:firstColumn="0" w:lastColumn="0" w:oddVBand="0" w:evenVBand="0" w:oddHBand="0" w:evenHBand="0" w:firstRowFirstColumn="0" w:firstRowLastColumn="0" w:lastRowFirstColumn="0" w:lastRowLastColumn="0"/>
              <w:rPr>
                <w:rFonts w:ascii="Garamond" w:hAnsi="Garamond"/>
                <w:sz w:val="18"/>
                <w:szCs w:val="18"/>
              </w:rPr>
            </w:pPr>
            <w:r w:rsidRPr="007114AF">
              <w:rPr>
                <w:rFonts w:ascii="Garamond" w:hAnsi="Garamond"/>
                <w:sz w:val="18"/>
                <w:szCs w:val="18"/>
              </w:rPr>
              <w:t>7.15</w:t>
            </w:r>
          </w:p>
        </w:tc>
        <w:tc>
          <w:tcPr>
            <w:tcW w:w="378" w:type="pct"/>
            <w:vAlign w:val="center"/>
            <w:hideMark/>
          </w:tcPr>
          <w:p w14:paraId="6EDCF99B" w14:textId="77777777" w:rsidR="00A9766F" w:rsidRPr="007114AF" w:rsidRDefault="00A9766F" w:rsidP="00A9766F">
            <w:pPr>
              <w:cnfStyle w:val="000000000000" w:firstRow="0" w:lastRow="0" w:firstColumn="0" w:lastColumn="0" w:oddVBand="0" w:evenVBand="0" w:oddHBand="0" w:evenHBand="0" w:firstRowFirstColumn="0" w:firstRowLastColumn="0" w:lastRowFirstColumn="0" w:lastRowLastColumn="0"/>
              <w:rPr>
                <w:rFonts w:ascii="Garamond" w:hAnsi="Garamond"/>
                <w:sz w:val="18"/>
                <w:szCs w:val="18"/>
              </w:rPr>
            </w:pPr>
            <w:r w:rsidRPr="007114AF">
              <w:rPr>
                <w:rFonts w:ascii="Garamond" w:hAnsi="Garamond"/>
                <w:sz w:val="18"/>
                <w:szCs w:val="18"/>
              </w:rPr>
              <w:t>7.15</w:t>
            </w:r>
          </w:p>
        </w:tc>
        <w:tc>
          <w:tcPr>
            <w:tcW w:w="378" w:type="pct"/>
            <w:vAlign w:val="center"/>
            <w:hideMark/>
          </w:tcPr>
          <w:p w14:paraId="6EDCF99C" w14:textId="77777777" w:rsidR="00A9766F" w:rsidRPr="007114AF" w:rsidRDefault="00A9766F" w:rsidP="00A9766F">
            <w:pPr>
              <w:cnfStyle w:val="000000000000" w:firstRow="0" w:lastRow="0" w:firstColumn="0" w:lastColumn="0" w:oddVBand="0" w:evenVBand="0" w:oddHBand="0" w:evenHBand="0" w:firstRowFirstColumn="0" w:firstRowLastColumn="0" w:lastRowFirstColumn="0" w:lastRowLastColumn="0"/>
              <w:rPr>
                <w:rFonts w:ascii="Garamond" w:hAnsi="Garamond"/>
                <w:sz w:val="18"/>
                <w:szCs w:val="18"/>
              </w:rPr>
            </w:pPr>
            <w:r w:rsidRPr="007114AF">
              <w:rPr>
                <w:rFonts w:ascii="Garamond" w:hAnsi="Garamond"/>
                <w:sz w:val="18"/>
                <w:szCs w:val="18"/>
              </w:rPr>
              <w:t>7.14</w:t>
            </w:r>
          </w:p>
        </w:tc>
        <w:tc>
          <w:tcPr>
            <w:tcW w:w="378" w:type="pct"/>
            <w:vAlign w:val="center"/>
            <w:hideMark/>
          </w:tcPr>
          <w:p w14:paraId="6EDCF99D" w14:textId="77777777" w:rsidR="00A9766F" w:rsidRPr="007114AF" w:rsidRDefault="00A9766F" w:rsidP="00A9766F">
            <w:pPr>
              <w:cnfStyle w:val="000000000000" w:firstRow="0" w:lastRow="0" w:firstColumn="0" w:lastColumn="0" w:oddVBand="0" w:evenVBand="0" w:oddHBand="0" w:evenHBand="0" w:firstRowFirstColumn="0" w:firstRowLastColumn="0" w:lastRowFirstColumn="0" w:lastRowLastColumn="0"/>
              <w:rPr>
                <w:rFonts w:ascii="Garamond" w:hAnsi="Garamond"/>
                <w:sz w:val="18"/>
                <w:szCs w:val="18"/>
              </w:rPr>
            </w:pPr>
            <w:r w:rsidRPr="007114AF">
              <w:rPr>
                <w:rFonts w:ascii="Garamond" w:hAnsi="Garamond"/>
                <w:sz w:val="18"/>
                <w:szCs w:val="18"/>
              </w:rPr>
              <w:t>7.14</w:t>
            </w:r>
          </w:p>
        </w:tc>
        <w:tc>
          <w:tcPr>
            <w:tcW w:w="379" w:type="pct"/>
            <w:vAlign w:val="center"/>
            <w:hideMark/>
          </w:tcPr>
          <w:p w14:paraId="6EDCF99E" w14:textId="77777777" w:rsidR="00A9766F" w:rsidRPr="007114AF" w:rsidRDefault="00A9766F" w:rsidP="00A9766F">
            <w:pPr>
              <w:cnfStyle w:val="000000000000" w:firstRow="0" w:lastRow="0" w:firstColumn="0" w:lastColumn="0" w:oddVBand="0" w:evenVBand="0" w:oddHBand="0" w:evenHBand="0" w:firstRowFirstColumn="0" w:firstRowLastColumn="0" w:lastRowFirstColumn="0" w:lastRowLastColumn="0"/>
              <w:rPr>
                <w:rFonts w:ascii="Garamond" w:hAnsi="Garamond"/>
                <w:sz w:val="18"/>
                <w:szCs w:val="18"/>
              </w:rPr>
            </w:pPr>
            <w:r w:rsidRPr="007114AF">
              <w:rPr>
                <w:rFonts w:ascii="Garamond" w:hAnsi="Garamond"/>
                <w:sz w:val="18"/>
                <w:szCs w:val="18"/>
              </w:rPr>
              <w:t>7.16</w:t>
            </w:r>
          </w:p>
        </w:tc>
        <w:tc>
          <w:tcPr>
            <w:tcW w:w="514" w:type="pct"/>
            <w:vAlign w:val="center"/>
          </w:tcPr>
          <w:p w14:paraId="6EDCF99F" w14:textId="77777777" w:rsidR="00A9766F" w:rsidRPr="007114AF" w:rsidRDefault="00A9766F" w:rsidP="00A9766F">
            <w:pPr>
              <w:cnfStyle w:val="000000000000" w:firstRow="0" w:lastRow="0" w:firstColumn="0" w:lastColumn="0" w:oddVBand="0" w:evenVBand="0" w:oddHBand="0" w:evenHBand="0" w:firstRowFirstColumn="0" w:firstRowLastColumn="0" w:lastRowFirstColumn="0" w:lastRowLastColumn="0"/>
              <w:rPr>
                <w:rFonts w:ascii="Garamond" w:hAnsi="Garamond"/>
                <w:sz w:val="18"/>
                <w:szCs w:val="18"/>
              </w:rPr>
            </w:pPr>
            <w:r w:rsidRPr="007114AF">
              <w:rPr>
                <w:rFonts w:ascii="Garamond" w:hAnsi="Garamond"/>
                <w:sz w:val="18"/>
                <w:szCs w:val="18"/>
              </w:rPr>
              <w:t>+24%</w:t>
            </w:r>
          </w:p>
        </w:tc>
      </w:tr>
    </w:tbl>
    <w:p w14:paraId="6EDCF9A1" w14:textId="77777777" w:rsidR="00A9766F" w:rsidRPr="007114AF" w:rsidRDefault="00A9766F" w:rsidP="0018372B">
      <w:pPr>
        <w:spacing w:after="0" w:line="240" w:lineRule="auto"/>
        <w:ind w:firstLine="284"/>
        <w:rPr>
          <w:rFonts w:ascii="Garamond" w:hAnsi="Garamond"/>
        </w:rPr>
      </w:pPr>
    </w:p>
    <w:p w14:paraId="6EDCF9A2" w14:textId="62376386" w:rsidR="00A9766F" w:rsidRPr="007114AF" w:rsidRDefault="00A9766F" w:rsidP="0018372B">
      <w:pPr>
        <w:pStyle w:val="TEKSTI"/>
      </w:pPr>
      <w:bookmarkStart w:id="72" w:name="_Toc446403349"/>
      <w:r w:rsidRPr="007114AF">
        <w:rPr>
          <w:b/>
        </w:rPr>
        <w:t>Aktivitetet bujqësore</w:t>
      </w:r>
      <w:r w:rsidRPr="007114AF">
        <w:t xml:space="preserve"> (kultivimi i të mbjellave dhe rritja e blegtorisë për plotësimin e nevojave të njerëzve me ushqim) kontribuojnë në shkarkime në shumë mënyra: shkarkimet CH</w:t>
      </w:r>
      <w:r w:rsidRPr="007114AF">
        <w:rPr>
          <w:vertAlign w:val="subscript"/>
        </w:rPr>
        <w:t>4</w:t>
      </w:r>
      <w:r w:rsidRPr="007114AF">
        <w:t xml:space="preserve"> dhe N</w:t>
      </w:r>
      <w:r w:rsidRPr="007114AF">
        <w:rPr>
          <w:vertAlign w:val="subscript"/>
        </w:rPr>
        <w:t>2</w:t>
      </w:r>
      <w:r w:rsidRPr="007114AF">
        <w:t>O nga bagëtitë shtëpiake (fermentimi i zorrëve dhe menaxhimi i plehrave organike); CH</w:t>
      </w:r>
      <w:r w:rsidRPr="007114AF">
        <w:rPr>
          <w:vertAlign w:val="subscript"/>
        </w:rPr>
        <w:t>4</w:t>
      </w:r>
      <w:r w:rsidRPr="007114AF">
        <w:t>, CO, N</w:t>
      </w:r>
      <w:r w:rsidRPr="007114AF">
        <w:rPr>
          <w:vertAlign w:val="subscript"/>
        </w:rPr>
        <w:t>2</w:t>
      </w:r>
      <w:r w:rsidRPr="007114AF">
        <w:t>O, dhe shkarkimet NO</w:t>
      </w:r>
      <w:r w:rsidRPr="007114AF">
        <w:rPr>
          <w:vertAlign w:val="subscript"/>
        </w:rPr>
        <w:t>X</w:t>
      </w:r>
      <w:r w:rsidR="005351B0" w:rsidRPr="007114AF">
        <w:rPr>
          <w:vertAlign w:val="subscript"/>
        </w:rPr>
        <w:t xml:space="preserve"> </w:t>
      </w:r>
      <w:r w:rsidRPr="007114AF">
        <w:t>nga djegia e mbetjeve bujqësore; shkarkimet CH</w:t>
      </w:r>
      <w:r w:rsidRPr="007114AF">
        <w:rPr>
          <w:vertAlign w:val="subscript"/>
        </w:rPr>
        <w:t>4</w:t>
      </w:r>
      <w:r w:rsidRPr="007114AF">
        <w:t>, dhe N</w:t>
      </w:r>
      <w:r w:rsidRPr="007114AF">
        <w:rPr>
          <w:vertAlign w:val="subscript"/>
        </w:rPr>
        <w:t>2</w:t>
      </w:r>
      <w:r w:rsidRPr="007114AF">
        <w:t>O nga tokat bujqësore për shkak të fertilizimit dhe praktikave të menaxhimit, shkarkimet nga sektori i bujqësisë kanë rënë gjatë periudhës 2000</w:t>
      </w:r>
      <w:r w:rsidR="005351B0" w:rsidRPr="007114AF">
        <w:t>–</w:t>
      </w:r>
      <w:r w:rsidRPr="007114AF">
        <w:t>2009, si pasojë e reduktimit të CH</w:t>
      </w:r>
      <w:r w:rsidRPr="007114AF">
        <w:rPr>
          <w:vertAlign w:val="subscript"/>
        </w:rPr>
        <w:t>4</w:t>
      </w:r>
      <w:r w:rsidRPr="007114AF">
        <w:t>të shkarkuar nga sektori i blegtorisë, për shkak të fermentimit të zorrëve dhe menaxhimit të plehrave organike pas tkurrjes së numrit të kafshëve.</w:t>
      </w:r>
    </w:p>
    <w:p w14:paraId="6EDCF9A3" w14:textId="24714142" w:rsidR="00A9766F" w:rsidRPr="007114AF" w:rsidRDefault="00A9766F" w:rsidP="0018372B">
      <w:pPr>
        <w:pStyle w:val="TEKSTI"/>
      </w:pPr>
      <w:r w:rsidRPr="007114AF">
        <w:rPr>
          <w:b/>
        </w:rPr>
        <w:t>Sektori LULUCF-ë</w:t>
      </w:r>
      <w:r w:rsidRPr="007114AF">
        <w:t xml:space="preserve"> zë shkarkimet dhe përthithjen e CO</w:t>
      </w:r>
      <w:r w:rsidRPr="007114AF">
        <w:rPr>
          <w:vertAlign w:val="subscript"/>
        </w:rPr>
        <w:t>2</w:t>
      </w:r>
      <w:r w:rsidRPr="007114AF">
        <w:t xml:space="preserve"> në gjashtë përdorimet e tokës (pyje, tokë bujqësore, kullota, ligatina, vendbanime dhe toka të tjera), për shkak të menaxhimit dhe ndryshimit të përdorimit të tokës. Balanca e shkarkimeve/sekuestrimit të sektorit dominohet nga shkarkimet e pyjeve, si pasojë e menaxhimit të tyre të paqëndrueshëm, që e bën këtë sektor një burim neto shkarkimesh, shkaktuar nga përdorimi i lartë i biomasës krahasuar me rritjen natyrore vjetore të pyjeve. Në të kundërt, shkarkimet LULUCF-ë ndjekin një prirje në rënie, që shkon nga 2295 GtCO</w:t>
      </w:r>
      <w:r w:rsidRPr="007114AF">
        <w:rPr>
          <w:vertAlign w:val="subscript"/>
        </w:rPr>
        <w:t>2</w:t>
      </w:r>
      <w:r w:rsidRPr="007114AF">
        <w:t>eq në vitin 2000 në</w:t>
      </w:r>
      <w:r w:rsidR="00E77013" w:rsidRPr="007114AF">
        <w:t xml:space="preserve"> </w:t>
      </w:r>
      <w:r w:rsidRPr="007114AF">
        <w:t>213 GtCO</w:t>
      </w:r>
      <w:r w:rsidRPr="007114AF">
        <w:rPr>
          <w:vertAlign w:val="subscript"/>
        </w:rPr>
        <w:t>2</w:t>
      </w:r>
      <w:r w:rsidRPr="007114AF">
        <w:t>eq në</w:t>
      </w:r>
      <w:r w:rsidR="00EC3C86">
        <w:t xml:space="preserve"> </w:t>
      </w:r>
      <w:r w:rsidRPr="007114AF">
        <w:t>vitin 2009. Zbatimi i parimeve të menaxhimit të qëndrueshëm të pyjeve në vijimësi do t</w:t>
      </w:r>
      <w:r w:rsidR="00D10DAB" w:rsidRPr="007114AF">
        <w:t>’</w:t>
      </w:r>
      <w:r w:rsidRPr="007114AF">
        <w:t>i kthejë ato në një sekuestrues të GES-it.</w:t>
      </w:r>
    </w:p>
    <w:p w14:paraId="6EDCF9A4" w14:textId="27E1398D" w:rsidR="00A9766F" w:rsidRPr="007114AF" w:rsidRDefault="00A9766F" w:rsidP="0018372B">
      <w:pPr>
        <w:pStyle w:val="TEKSTI"/>
      </w:pPr>
      <w:r w:rsidRPr="007114AF">
        <w:t>Pasiguria e përgjithshme kombëtare e inventarit GES</w:t>
      </w:r>
      <w:r w:rsidR="00EC3C86">
        <w:t xml:space="preserve"> </w:t>
      </w:r>
      <w:r w:rsidRPr="007114AF">
        <w:t>është 9.92% dhe kontribuesi kryesor për këtë pasiguri janë shkarkimet e CO</w:t>
      </w:r>
      <w:r w:rsidRPr="007114AF">
        <w:rPr>
          <w:vertAlign w:val="subscript"/>
        </w:rPr>
        <w:t>2</w:t>
      </w:r>
      <w:r w:rsidRPr="007114AF">
        <w:t>, nga konsumi i druve të zjarrit në sektorët e banesave</w:t>
      </w:r>
      <w:r w:rsidR="00E77013" w:rsidRPr="007114AF">
        <w:t xml:space="preserve"> </w:t>
      </w:r>
      <w:r w:rsidRPr="007114AF">
        <w:t>dhe të shërbimeve. Kjo vjen sidomos nga një shkallë e madhe pasigurie e të dhënave të aktivitetit në këtë nënkategori (sidomos vetëkontrolli i druve të zjarrit nga zonat rurale).</w:t>
      </w:r>
    </w:p>
    <w:p w14:paraId="6EDCF9A5" w14:textId="77777777" w:rsidR="00A9766F" w:rsidRPr="007114AF" w:rsidRDefault="00A9766F" w:rsidP="0018372B">
      <w:pPr>
        <w:pStyle w:val="TEKSTI"/>
      </w:pPr>
      <w:r w:rsidRPr="007114AF">
        <w:t xml:space="preserve">Gjatë tranzicionit në statusin e Aneksit I, Shqipëria do të duhet të përmirësojë shumë mbledhjen e të dhënave dhe sistemin përpunues, duke krijuar një kuadër të fortë institucional dhe ligjor për të përmirësuar inventarin transparent, të saktë, të plotë, të krahasueshëm dhe të qëndrueshëm, në përputhje me sistemet ndërkombëtare (UNFCCC-ë) dhe të BE-së (525/2013/UE) për monitorimin, raportimin dhe verifikimin. </w:t>
      </w:r>
    </w:p>
    <w:p w14:paraId="6EDCF9A6" w14:textId="77777777" w:rsidR="00A9766F" w:rsidRPr="007114AF" w:rsidRDefault="0018372B" w:rsidP="0018372B">
      <w:pPr>
        <w:pStyle w:val="TEKSTI"/>
        <w:rPr>
          <w:b/>
        </w:rPr>
      </w:pPr>
      <w:bookmarkStart w:id="73" w:name="_Toc484424487"/>
      <w:bookmarkStart w:id="74" w:name="_Toc449537132"/>
      <w:bookmarkStart w:id="75" w:name="_Toc450135237"/>
      <w:bookmarkStart w:id="76" w:name="_Toc450151840"/>
      <w:r w:rsidRPr="007114AF">
        <w:t xml:space="preserve">2.7.2 </w:t>
      </w:r>
      <w:r w:rsidR="00A9766F" w:rsidRPr="007114AF">
        <w:t>Parashikimi i prirjeve të shkarkimeve GES</w:t>
      </w:r>
      <w:bookmarkEnd w:id="72"/>
      <w:bookmarkEnd w:id="73"/>
      <w:bookmarkEnd w:id="74"/>
      <w:bookmarkEnd w:id="75"/>
      <w:bookmarkEnd w:id="76"/>
    </w:p>
    <w:p w14:paraId="6EDCF9A7" w14:textId="77777777" w:rsidR="00A9766F" w:rsidRPr="007114AF" w:rsidRDefault="0018372B" w:rsidP="0018372B">
      <w:pPr>
        <w:pStyle w:val="TEKSTI"/>
        <w:rPr>
          <w:b/>
        </w:rPr>
      </w:pPr>
      <w:bookmarkStart w:id="77" w:name="_Toc449537134"/>
      <w:r w:rsidRPr="007114AF">
        <w:rPr>
          <w:b/>
        </w:rPr>
        <w:t xml:space="preserve">2.7.2.1 </w:t>
      </w:r>
      <w:r w:rsidR="00A9766F" w:rsidRPr="007114AF">
        <w:rPr>
          <w:b/>
        </w:rPr>
        <w:t>Analiza e masave zbutëse e komunikimit të tretë kombëtar</w:t>
      </w:r>
      <w:bookmarkEnd w:id="77"/>
    </w:p>
    <w:p w14:paraId="6EDCF9A8" w14:textId="77777777" w:rsidR="00A9766F" w:rsidRPr="007114AF" w:rsidRDefault="00A9766F" w:rsidP="0018372B">
      <w:pPr>
        <w:pStyle w:val="TEKSTI"/>
        <w:rPr>
          <w:b/>
          <w:i/>
        </w:rPr>
      </w:pPr>
      <w:r w:rsidRPr="007114AF">
        <w:rPr>
          <w:b/>
          <w:i/>
        </w:rPr>
        <w:t>Sektori i energjisë</w:t>
      </w:r>
    </w:p>
    <w:p w14:paraId="6EDCF9A9" w14:textId="7ECC6BAC" w:rsidR="00A9766F" w:rsidRPr="007114AF" w:rsidRDefault="00A9766F" w:rsidP="0018372B">
      <w:pPr>
        <w:pStyle w:val="TEKSTI"/>
      </w:pPr>
      <w:r w:rsidRPr="007114AF">
        <w:t>Sipas popullsisë së pritshme dhe rritjes ekonomike të shprehur si PBB-ë, dhe vlerës së saj të shtuar nga çdo sektor, siç raportohet në KTK-ë.</w:t>
      </w:r>
      <w:r w:rsidR="0041140B" w:rsidRPr="007114AF">
        <w:t xml:space="preserve"> </w:t>
      </w:r>
      <w:r w:rsidRPr="007114AF">
        <w:t>Seksioni i analizave për masat zbutëse, shkarkimet GES të parashikuara të gazeve kryesore (CO2, CH4, N2O, shprehur si CO2 ekuivalent) nga gjithë sektorët që konsumojnë energji, duke përdorur</w:t>
      </w:r>
      <w:r w:rsidR="0041140B" w:rsidRPr="007114AF">
        <w:t xml:space="preserve"> </w:t>
      </w:r>
      <w:r w:rsidRPr="007114AF">
        <w:t>softuerin/modelin LEAP (Planifikim i Gjatë i Alternativave të Energjisë), pritet që pothuaj të dyfishohen nga 4795.6 kt në vitin 2009, në 9753.7 kt në vitin 2030. Kjo vlerë rritet, nëse marrin gjithashtu në konsideratë shkarkimet GES të gazeve kryesore (CO2, CH4, N2O, shprehur si CO2 ekuivalent) nga gjenerimi i energjisë elektrike, nxitur nga rritja e vlerësuar e kërkesës vjetore për energji elektrike në vitin 2030, që pritet të arrijë 13533 GWh. Duke pasur parasysh shkarkimet GES nga sektori i gjenerimit të energjisë (industritë e energjisë),shkarkimet totale GES nga gjithë sektorët që konsumojnë energji, rriten përafërsisht 2.15 herë nga 5108 kt CO</w:t>
      </w:r>
      <w:r w:rsidRPr="007114AF">
        <w:rPr>
          <w:vertAlign w:val="subscript"/>
        </w:rPr>
        <w:t>2</w:t>
      </w:r>
      <w:r w:rsidRPr="007114AF">
        <w:t>eq</w:t>
      </w:r>
      <w:r w:rsidR="0041140B" w:rsidRPr="007114AF">
        <w:t xml:space="preserve"> </w:t>
      </w:r>
      <w:r w:rsidRPr="007114AF">
        <w:t>në vitin</w:t>
      </w:r>
      <w:r w:rsidR="000A2A01" w:rsidRPr="007114AF">
        <w:t xml:space="preserve"> </w:t>
      </w:r>
      <w:r w:rsidRPr="007114AF">
        <w:t>2009 në 11004 kt CO</w:t>
      </w:r>
      <w:r w:rsidRPr="007114AF">
        <w:rPr>
          <w:vertAlign w:val="subscript"/>
        </w:rPr>
        <w:t>2</w:t>
      </w:r>
      <w:r w:rsidRPr="007114AF">
        <w:t>eq</w:t>
      </w:r>
      <w:r w:rsidR="0041140B" w:rsidRPr="007114AF">
        <w:t xml:space="preserve"> </w:t>
      </w:r>
      <w:r w:rsidRPr="007114AF">
        <w:t>në vitin 2030.</w:t>
      </w:r>
    </w:p>
    <w:p w14:paraId="6EDCF9AA" w14:textId="77777777" w:rsidR="00A9766F" w:rsidRPr="007114AF" w:rsidRDefault="00A9766F" w:rsidP="0018372B">
      <w:pPr>
        <w:pStyle w:val="TEKSTI"/>
      </w:pPr>
      <w:r w:rsidRPr="007114AF">
        <w:lastRenderedPageBreak/>
        <w:t xml:space="preserve">Sipas parashikimeve bazë të KTK-ës– seksioni për analizën e masave zbutëse, ndërsa shkarkimet absolute GES do të rriten, kontributi relativ i sektorëve do të ndryshojë si vijon: </w:t>
      </w:r>
    </w:p>
    <w:p w14:paraId="6EDCF9AB" w14:textId="77777777" w:rsidR="00A9766F" w:rsidRPr="007114AF" w:rsidRDefault="00F72723" w:rsidP="0018372B">
      <w:pPr>
        <w:pStyle w:val="TEKSTI"/>
      </w:pPr>
      <w:r w:rsidRPr="007114AF">
        <w:t xml:space="preserve">- </w:t>
      </w:r>
      <w:r w:rsidR="00A9766F" w:rsidRPr="007114AF">
        <w:t>Pjesa e familjeve do të bjerë nga 22.87% në vitin 2009 në 21.52% në vitin 2030, me gjithë faktin që shkarkimet totale GES nga familjet do të rriten në terma absolutë me përafërsisht dy herë nga viti 2009 deri në vitin 2030. Në fakt, sektori është shumë i rëndësishëm, duke qenë se konsumon më shumë se një të katërtën e energjisë totale, ndërsa përfaqëson gjithashtu një faktor të madh trysnie për sistemin e mbingarkuar të shpërndarjes së energjisë elektrike. Kërkesa për ngrohje nga familjet do të rritet, edhe me reduktimet në konsumin e paregjistruar të energjisë elektrike (përdorimi i paligjshëm). Energjia elektrike mbetet burimi kryesor për ngrohjen e banesave, duke përfaqësuar 60% të gjithë burimeve të energjisë, sidomos që prej vitit 2005, kur struktura e kërkesës për energjisë ka ndryshuar shumë (përveç zonave rurale), kryesisht për shkak të një ndryshimi nga drutë e zjarrit për ngrohje, gatim dhe ujë të ngrohtë, tek përdorimi i energjisë elektrike.</w:t>
      </w:r>
    </w:p>
    <w:p w14:paraId="6EDCF9AC" w14:textId="1AA08085" w:rsidR="00A9766F" w:rsidRPr="007114AF" w:rsidRDefault="00F72723" w:rsidP="0018372B">
      <w:pPr>
        <w:pStyle w:val="TEKSTI"/>
      </w:pPr>
      <w:r w:rsidRPr="007114AF">
        <w:t xml:space="preserve">- Pjesa e </w:t>
      </w:r>
      <w:r w:rsidR="00A9766F" w:rsidRPr="007114AF">
        <w:t>sektorit të shërbimit do të rritet nga 4.75% në vitin 2009 në 5.42% në vitin 2030, me një rritje neto të shkarkimeve GES nga sektori,</w:t>
      </w:r>
      <w:r w:rsidR="00EC3C86">
        <w:t xml:space="preserve"> </w:t>
      </w:r>
      <w:r w:rsidR="00A9766F" w:rsidRPr="007114AF">
        <w:t>përafërsisht 2.5 herë më shumë nga viti 2009 deri në vitin 2030. Megjithatë, rritja i detyrohet një rritjeje mjaft të përmbajtur të kërkesës për energji prej rreth 10%,falë njëfarë modernizimi të energjisë së adoptuar në mënyrë më intensive në sektorin e shërbimit, sesa në sektorin publik, që zakonisht kanë</w:t>
      </w:r>
      <w:r w:rsidR="00EC3C86">
        <w:t xml:space="preserve"> </w:t>
      </w:r>
      <w:r w:rsidR="00A9766F" w:rsidRPr="007114AF">
        <w:t xml:space="preserve">sisteme ngrohjeje të vjetra dhe mund të mbështetet vetëm në pak instalime të reja. </w:t>
      </w:r>
    </w:p>
    <w:p w14:paraId="6EDCF9AD" w14:textId="77777777" w:rsidR="00A9766F" w:rsidRPr="007114AF" w:rsidRDefault="00A9766F" w:rsidP="0018372B">
      <w:pPr>
        <w:pStyle w:val="TEKSTI"/>
      </w:pPr>
      <w:r w:rsidRPr="007114AF">
        <w:t>Pjesa e industrisë do të mbetet pak a shumë konstante, duke kaluar nga 13.94% në vitin 2009 në 13.98% në vitin 2030, me një rritje neto të shkarkimeve GES nga sektori, me përafërsisht dy herë nga viti 2009 deri në vitin 2030.</w:t>
      </w:r>
    </w:p>
    <w:p w14:paraId="6EDCF9AE" w14:textId="77777777" w:rsidR="00A9766F" w:rsidRPr="007114AF" w:rsidRDefault="00BA14F8" w:rsidP="0018372B">
      <w:pPr>
        <w:pStyle w:val="TEKSTI"/>
      </w:pPr>
      <w:r w:rsidRPr="007114AF">
        <w:t xml:space="preserve">- </w:t>
      </w:r>
      <w:r w:rsidR="00A9766F" w:rsidRPr="007114AF">
        <w:t xml:space="preserve">Pjesa e sektorit të transportit do të bjerë nga 45.15% në vitin 2009 në 40.97% në vitin 2030, ndonëse shkarkimet totale GES nga transporti do rriten në terma absolutë, me përafërsisht dy herë nga viti 2009 në vitin 2030. Në fakt, numri i mjeteve po rritet me shpejtësi që prej vitit 2000, ndërsa infrastruktura e transportit po përmirësohet, duke çuar në një ngarkesë totale të trafikut edhe më të shtuar, si për transportin e mallrave, ashtu dhe të pasagjerëve, duke konsumuar sasi shumë të mëdha energjie (kryesisht në formë nafte dhe benzine). </w:t>
      </w:r>
    </w:p>
    <w:p w14:paraId="6EDCF9AF" w14:textId="77777777" w:rsidR="00A9766F" w:rsidRPr="007114AF" w:rsidRDefault="00BA14F8" w:rsidP="0018372B">
      <w:pPr>
        <w:pStyle w:val="TEKSTI"/>
      </w:pPr>
      <w:r w:rsidRPr="007114AF">
        <w:t xml:space="preserve">- </w:t>
      </w:r>
      <w:r w:rsidR="00A9766F" w:rsidRPr="007114AF">
        <w:t>Pjesa e bujqësisë do të bjerë nga 7.17% në vitin 2009 në 6.38% në vitin 2030, megjithëse shkarkimet totale GES nga bujqësia do të rriten në terma absolutë. Në fakt, bujqësia është ende një konsumatore e vogël e energjisë dhe një sektor me intensitet të ulët të energjisë, për shkak të nivelit të përgjithshëm të ulët të mekanizimit. Megjithatë, sektori parashikohet të rritet me 1.7 herë në periudhën 2009-2030, me një rritje të parashikuar të intensitetit të energjisë së bujqësisë, ndonëse jo në nivelin e bujqësisë intensive. Shkarkimet e parashikuara GES nga bujqësia do të rriten përafërsisht me 2.5 herë nga viti 2009 deri në vitin 2030.</w:t>
      </w:r>
    </w:p>
    <w:p w14:paraId="6EDCF9B0" w14:textId="77777777" w:rsidR="00A9766F" w:rsidRPr="007114AF" w:rsidRDefault="00BA14F8" w:rsidP="0018372B">
      <w:pPr>
        <w:pStyle w:val="TEKSTI"/>
      </w:pPr>
      <w:r w:rsidRPr="007114AF">
        <w:t xml:space="preserve">- </w:t>
      </w:r>
      <w:r w:rsidR="00A9766F" w:rsidRPr="007114AF">
        <w:t>Pjesa e sektorit të energjisë (industritë e energjisë) do të rritet nga 6.12% në vitin 2009 në 11.37%në vitin 2030, duke pasur parasysh kërkesën e pritshme vjetore për energji elektrike prej 13533 GWh në vitin 2030 dhe përmirësimin gradual të eficiencës së transmetimit dhe shpërndarjes që do të arrijë 10% të humbjeve në vitin 2030.</w:t>
      </w:r>
    </w:p>
    <w:p w14:paraId="6EDCF9B1" w14:textId="032BB9D7" w:rsidR="00A9766F" w:rsidRPr="007114AF" w:rsidRDefault="00A9766F" w:rsidP="0018372B">
      <w:pPr>
        <w:pStyle w:val="TEKSTI"/>
      </w:pPr>
      <w:r w:rsidRPr="007114AF">
        <w:t>Në KTK-ë – seksioni i analizës së masave zbutëse, parashikohet zbatimi i një liste masash zbutëse në sektorin e energjisë, me synim përcaktimin e një skenari me masa zbutëse deri në vitin 2030. Shumica e masave të listuara janë përfshirë tanimë në strategjitë dhe planet kryesore lidhur me sektorin e energjisë (BERBER dhe</w:t>
      </w:r>
      <w:r w:rsidR="00AF51B6" w:rsidRPr="007114AF">
        <w:t xml:space="preserve"> </w:t>
      </w:r>
      <w:r w:rsidRPr="007114AF">
        <w:t xml:space="preserve">PKVEE) dhe janë mbledhur në KTK-ë – seksioni i analizës së masave zbutëse, me synim sigurimin e një skenari të përgjithshëm masash zbutëse për sektorin. Masat e listuara synojnë të reduktojnë si kërkesën për energji, ashtu dhe shkarkimet GES nga familjet, duke përmirësuar eficiencën e energjisë në sektorin e shërbimit, në sektorin industrial, si dhe në sektorin e transportit (reduktimi i konsumit të lëndës djegëse), për të reduktuar si kërkesën për energji, ashtu dhe shkarkimet GES. </w:t>
      </w:r>
    </w:p>
    <w:p w14:paraId="6EDCF9B2" w14:textId="226D1A21" w:rsidR="00A9766F" w:rsidRPr="007114AF" w:rsidRDefault="00A9766F" w:rsidP="0018372B">
      <w:pPr>
        <w:pStyle w:val="TEKSTI"/>
      </w:pPr>
      <w:r w:rsidRPr="007114AF">
        <w:t xml:space="preserve">Për më tepër, masa reduktuese parashikohen gjithashtu, në sektorin e transformimit të energjisë, duke pasur parasysh potencialin hidroenergjetik, pyjet dhe potencialin tjetër të biomasës </w:t>
      </w:r>
      <w:r w:rsidRPr="007114AF">
        <w:lastRenderedPageBreak/>
        <w:t>(gjeneruar nga industria e përpunimit të drurit dhe industria e përpunimit të ushqimit), si</w:t>
      </w:r>
      <w:r w:rsidR="00B31364">
        <w:t xml:space="preserve"> </w:t>
      </w:r>
      <w:r w:rsidRPr="007114AF">
        <w:t>dhe potencialin e energjisë elektrike nga era.</w:t>
      </w:r>
    </w:p>
    <w:p w14:paraId="6EDCF9B3" w14:textId="77777777" w:rsidR="00A9766F" w:rsidRPr="007114AF" w:rsidRDefault="00A9766F" w:rsidP="0018372B">
      <w:pPr>
        <w:pStyle w:val="TEKSTI"/>
      </w:pPr>
    </w:p>
    <w:p w14:paraId="6EDCF9B4" w14:textId="25EBA132" w:rsidR="0018372B" w:rsidRPr="007114AF" w:rsidRDefault="00A9766F" w:rsidP="0018372B">
      <w:pPr>
        <w:pStyle w:val="TEKSTI"/>
      </w:pPr>
      <w:r w:rsidRPr="007114AF">
        <w:t>Tabela e mëposhtme raporton një vlerësim të kryer në KTK-ë – seksioni i analizës së masave zbutëse, të potencialit reduktues të shkarkimeve CO</w:t>
      </w:r>
      <w:r w:rsidRPr="007114AF">
        <w:rPr>
          <w:vertAlign w:val="subscript"/>
        </w:rPr>
        <w:t>2</w:t>
      </w:r>
      <w:r w:rsidR="00A23D94" w:rsidRPr="007114AF">
        <w:t xml:space="preserve"> </w:t>
      </w:r>
      <w:r w:rsidRPr="007114AF">
        <w:t>shoqëruar me çdo masë dhe efikasitetin financiar, me zbatim në periudhën afatshkurtër (2020) dhe afatmesme (2030). Duke zbatuar gjithë masat e skenarit të masave zbutëse, reduktimi total potencial deri në vitin 2020 për sektorin e energjisë është 12.06% krahasuar me skenarin bazë, me një reduktim total të shkarkimeve prej 1051 kt CO</w:t>
      </w:r>
      <w:r w:rsidRPr="007114AF">
        <w:rPr>
          <w:vertAlign w:val="subscript"/>
        </w:rPr>
        <w:t>2</w:t>
      </w:r>
      <w:r w:rsidRPr="007114AF">
        <w:t>eq në vit. Këto vlera rriten deri në 19.12% në vitin 2030, me një reduktim total të shkarkimeve prej 2104 kt CO</w:t>
      </w:r>
      <w:r w:rsidRPr="007114AF">
        <w:rPr>
          <w:vertAlign w:val="subscript"/>
        </w:rPr>
        <w:t>2</w:t>
      </w:r>
      <w:r w:rsidRPr="007114AF">
        <w:t>eq në vit</w:t>
      </w:r>
      <w:r w:rsidR="0018372B" w:rsidRPr="007114AF">
        <w:t>.</w:t>
      </w:r>
    </w:p>
    <w:p w14:paraId="6EDCF9B5" w14:textId="77777777" w:rsidR="00BA14F8" w:rsidRPr="007114AF" w:rsidRDefault="00BA14F8" w:rsidP="0018372B">
      <w:pPr>
        <w:pStyle w:val="FIGURA"/>
      </w:pPr>
    </w:p>
    <w:p w14:paraId="6EDCF9B6" w14:textId="161A5EFA" w:rsidR="00A9766F" w:rsidRPr="007114AF" w:rsidRDefault="00A9766F" w:rsidP="0018372B">
      <w:pPr>
        <w:pStyle w:val="FIGURA"/>
      </w:pPr>
      <w:r w:rsidRPr="007114AF">
        <w:t>Tabela</w:t>
      </w:r>
      <w:r w:rsidR="0018372B" w:rsidRPr="007114AF">
        <w:t xml:space="preserve"> </w:t>
      </w:r>
      <w:r w:rsidRPr="007114AF">
        <w:fldChar w:fldCharType="begin"/>
      </w:r>
      <w:r w:rsidRPr="007114AF">
        <w:instrText xml:space="preserve"> SEQ Table \* ARABIC </w:instrText>
      </w:r>
      <w:r w:rsidRPr="007114AF">
        <w:fldChar w:fldCharType="separate"/>
      </w:r>
      <w:r w:rsidRPr="007114AF">
        <w:t>7</w:t>
      </w:r>
      <w:r w:rsidRPr="007114AF">
        <w:fldChar w:fldCharType="end"/>
      </w:r>
      <w:r w:rsidR="004E19CE" w:rsidRPr="007114AF">
        <w:t xml:space="preserve"> </w:t>
      </w:r>
      <w:r w:rsidRPr="007114AF">
        <w:t>–</w:t>
      </w:r>
      <w:r w:rsidR="004E19CE" w:rsidRPr="007114AF">
        <w:t xml:space="preserve"> </w:t>
      </w:r>
      <w:r w:rsidRPr="007114AF">
        <w:t>Shkarkimet CO</w:t>
      </w:r>
      <w:r w:rsidRPr="007114AF">
        <w:rPr>
          <w:vertAlign w:val="subscript"/>
        </w:rPr>
        <w:t>2</w:t>
      </w:r>
      <w:r w:rsidR="004E19CE" w:rsidRPr="007114AF">
        <w:rPr>
          <w:vertAlign w:val="subscript"/>
        </w:rPr>
        <w:t xml:space="preserve"> </w:t>
      </w:r>
      <w:r w:rsidRPr="007114AF">
        <w:t>reduktimi i masave zbutëse dhe efikasiteti financiar deri në vitin 2030. Burimi: KTK-ja Analiza e Masave Zbutëse</w:t>
      </w:r>
    </w:p>
    <w:tbl>
      <w:tblPr>
        <w:tblStyle w:val="GridTable6Colorful-Accent11"/>
        <w:tblW w:w="0" w:type="auto"/>
        <w:jc w:val="center"/>
        <w:tblLayout w:type="fixed"/>
        <w:tblLook w:val="0420" w:firstRow="1" w:lastRow="0" w:firstColumn="0" w:lastColumn="0" w:noHBand="0" w:noVBand="1"/>
      </w:tblPr>
      <w:tblGrid>
        <w:gridCol w:w="1668"/>
        <w:gridCol w:w="998"/>
        <w:gridCol w:w="1246"/>
        <w:gridCol w:w="1056"/>
        <w:gridCol w:w="1128"/>
        <w:gridCol w:w="1148"/>
        <w:gridCol w:w="1184"/>
        <w:gridCol w:w="1148"/>
      </w:tblGrid>
      <w:tr w:rsidR="00A9766F" w:rsidRPr="007114AF" w14:paraId="6EDCF9BF" w14:textId="77777777" w:rsidTr="00A9766F">
        <w:trPr>
          <w:cnfStyle w:val="100000000000" w:firstRow="1" w:lastRow="0" w:firstColumn="0" w:lastColumn="0" w:oddVBand="0" w:evenVBand="0" w:oddHBand="0" w:evenHBand="0" w:firstRowFirstColumn="0" w:firstRowLastColumn="0" w:lastRowFirstColumn="0" w:lastRowLastColumn="0"/>
          <w:trHeight w:val="73"/>
          <w:tblHeader/>
          <w:jc w:val="center"/>
        </w:trPr>
        <w:tc>
          <w:tcPr>
            <w:tcW w:w="1668" w:type="dxa"/>
            <w:vAlign w:val="center"/>
            <w:hideMark/>
          </w:tcPr>
          <w:p w14:paraId="6EDCF9B7" w14:textId="77777777" w:rsidR="00A9766F" w:rsidRPr="007114AF" w:rsidRDefault="00A9766F" w:rsidP="00A9766F">
            <w:pPr>
              <w:pStyle w:val="Default"/>
              <w:jc w:val="both"/>
              <w:rPr>
                <w:rFonts w:ascii="Garamond" w:hAnsi="Garamond"/>
                <w:i/>
                <w:sz w:val="18"/>
                <w:szCs w:val="18"/>
                <w:lang w:val="sq-AL"/>
              </w:rPr>
            </w:pPr>
            <w:r w:rsidRPr="007114AF">
              <w:rPr>
                <w:rFonts w:ascii="Garamond" w:hAnsi="Garamond"/>
                <w:i/>
                <w:sz w:val="18"/>
                <w:szCs w:val="18"/>
                <w:lang w:val="sq-AL"/>
              </w:rPr>
              <w:t xml:space="preserve"> Opsioni i reduktimit</w:t>
            </w:r>
          </w:p>
        </w:tc>
        <w:tc>
          <w:tcPr>
            <w:tcW w:w="998" w:type="dxa"/>
            <w:vAlign w:val="center"/>
          </w:tcPr>
          <w:p w14:paraId="6EDCF9B8" w14:textId="77777777" w:rsidR="00A9766F" w:rsidRPr="007114AF" w:rsidRDefault="00A9766F" w:rsidP="00A9766F">
            <w:pPr>
              <w:pStyle w:val="Default"/>
              <w:jc w:val="both"/>
              <w:rPr>
                <w:rFonts w:ascii="Garamond" w:hAnsi="Garamond"/>
                <w:i/>
                <w:sz w:val="18"/>
                <w:szCs w:val="18"/>
                <w:lang w:val="sq-AL"/>
              </w:rPr>
            </w:pPr>
            <w:r w:rsidRPr="007114AF">
              <w:rPr>
                <w:rFonts w:ascii="Garamond" w:hAnsi="Garamond"/>
                <w:i/>
                <w:sz w:val="18"/>
                <w:szCs w:val="18"/>
                <w:lang w:val="sq-AL"/>
              </w:rPr>
              <w:t>US$/tCO</w:t>
            </w:r>
            <w:r w:rsidRPr="007114AF">
              <w:rPr>
                <w:rFonts w:ascii="Garamond" w:hAnsi="Garamond"/>
                <w:i/>
                <w:sz w:val="18"/>
                <w:szCs w:val="18"/>
                <w:vertAlign w:val="subscript"/>
                <w:lang w:val="sq-AL"/>
              </w:rPr>
              <w:t>2</w:t>
            </w:r>
          </w:p>
        </w:tc>
        <w:tc>
          <w:tcPr>
            <w:tcW w:w="1246" w:type="dxa"/>
            <w:vAlign w:val="center"/>
            <w:hideMark/>
          </w:tcPr>
          <w:p w14:paraId="6EDCF9B9" w14:textId="63006145" w:rsidR="00A9766F" w:rsidRPr="007114AF" w:rsidRDefault="00A9766F" w:rsidP="00A9766F">
            <w:pPr>
              <w:pStyle w:val="Default"/>
              <w:jc w:val="both"/>
              <w:rPr>
                <w:rFonts w:ascii="Garamond" w:hAnsi="Garamond"/>
                <w:i/>
                <w:sz w:val="18"/>
                <w:szCs w:val="18"/>
                <w:lang w:val="sq-AL"/>
              </w:rPr>
            </w:pPr>
            <w:r w:rsidRPr="007114AF">
              <w:rPr>
                <w:rFonts w:ascii="Garamond" w:hAnsi="Garamond"/>
                <w:i/>
                <w:sz w:val="18"/>
                <w:szCs w:val="18"/>
                <w:lang w:val="sq-AL"/>
              </w:rPr>
              <w:t xml:space="preserve">Tipi i </w:t>
            </w:r>
            <w:r w:rsidR="004E19CE" w:rsidRPr="007114AF">
              <w:rPr>
                <w:rFonts w:ascii="Garamond" w:hAnsi="Garamond"/>
                <w:i/>
                <w:sz w:val="18"/>
                <w:szCs w:val="18"/>
                <w:lang w:val="sq-AL"/>
              </w:rPr>
              <w:t xml:space="preserve">njësisë </w:t>
            </w:r>
          </w:p>
        </w:tc>
        <w:tc>
          <w:tcPr>
            <w:tcW w:w="1056" w:type="dxa"/>
            <w:vAlign w:val="center"/>
            <w:hideMark/>
          </w:tcPr>
          <w:p w14:paraId="6EDCF9BA" w14:textId="77777777" w:rsidR="00A9766F" w:rsidRPr="007114AF" w:rsidRDefault="00A9766F" w:rsidP="00A9766F">
            <w:pPr>
              <w:pStyle w:val="Default"/>
              <w:jc w:val="both"/>
              <w:rPr>
                <w:rFonts w:ascii="Garamond" w:hAnsi="Garamond"/>
                <w:i/>
                <w:sz w:val="18"/>
                <w:szCs w:val="18"/>
                <w:lang w:val="sq-AL"/>
              </w:rPr>
            </w:pPr>
            <w:r w:rsidRPr="007114AF">
              <w:rPr>
                <w:rFonts w:ascii="Garamond" w:hAnsi="Garamond"/>
                <w:i/>
                <w:sz w:val="18"/>
                <w:szCs w:val="18"/>
                <w:lang w:val="sq-AL"/>
              </w:rPr>
              <w:t>Reduktimi i shkarkimit tCO</w:t>
            </w:r>
            <w:r w:rsidRPr="007114AF">
              <w:rPr>
                <w:rFonts w:ascii="Garamond" w:hAnsi="Garamond"/>
                <w:i/>
                <w:sz w:val="18"/>
                <w:szCs w:val="18"/>
                <w:vertAlign w:val="subscript"/>
                <w:lang w:val="sq-AL"/>
              </w:rPr>
              <w:t>2</w:t>
            </w:r>
            <w:r w:rsidRPr="007114AF">
              <w:rPr>
                <w:rFonts w:ascii="Garamond" w:hAnsi="Garamond"/>
                <w:i/>
                <w:sz w:val="18"/>
                <w:szCs w:val="18"/>
                <w:lang w:val="sq-AL"/>
              </w:rPr>
              <w:t>/njësi</w:t>
            </w:r>
          </w:p>
        </w:tc>
        <w:tc>
          <w:tcPr>
            <w:tcW w:w="1128" w:type="dxa"/>
            <w:vAlign w:val="center"/>
          </w:tcPr>
          <w:p w14:paraId="6EDCF9BB" w14:textId="496DE35F" w:rsidR="00A9766F" w:rsidRPr="007114AF" w:rsidRDefault="00A9766F" w:rsidP="004E19CE">
            <w:pPr>
              <w:pStyle w:val="Default"/>
              <w:jc w:val="both"/>
              <w:rPr>
                <w:rFonts w:ascii="Garamond" w:hAnsi="Garamond"/>
                <w:b w:val="0"/>
                <w:i/>
                <w:sz w:val="18"/>
                <w:szCs w:val="18"/>
                <w:lang w:val="sq-AL"/>
              </w:rPr>
            </w:pPr>
            <w:r w:rsidRPr="007114AF">
              <w:rPr>
                <w:rFonts w:ascii="Garamond" w:hAnsi="Garamond"/>
                <w:i/>
                <w:sz w:val="18"/>
                <w:szCs w:val="18"/>
                <w:lang w:val="sq-AL"/>
              </w:rPr>
              <w:t xml:space="preserve">Njësitë depërtuese </w:t>
            </w:r>
            <w:r w:rsidR="004E19CE" w:rsidRPr="007114AF">
              <w:rPr>
                <w:rFonts w:ascii="Garamond" w:hAnsi="Garamond"/>
                <w:i/>
                <w:sz w:val="18"/>
                <w:szCs w:val="18"/>
                <w:lang w:val="sq-AL"/>
              </w:rPr>
              <w:t>m</w:t>
            </w:r>
            <w:r w:rsidRPr="007114AF">
              <w:rPr>
                <w:rFonts w:ascii="Garamond" w:hAnsi="Garamond"/>
                <w:i/>
                <w:sz w:val="18"/>
                <w:szCs w:val="18"/>
                <w:lang w:val="sq-AL"/>
              </w:rPr>
              <w:t>ë 2020</w:t>
            </w:r>
          </w:p>
        </w:tc>
        <w:tc>
          <w:tcPr>
            <w:tcW w:w="1148" w:type="dxa"/>
            <w:vAlign w:val="center"/>
          </w:tcPr>
          <w:p w14:paraId="6EDCF9BC" w14:textId="77777777" w:rsidR="00A9766F" w:rsidRPr="007114AF" w:rsidRDefault="00A9766F" w:rsidP="00A9766F">
            <w:pPr>
              <w:pStyle w:val="Default"/>
              <w:jc w:val="both"/>
              <w:rPr>
                <w:rFonts w:ascii="Garamond" w:hAnsi="Garamond"/>
                <w:b w:val="0"/>
                <w:i/>
                <w:sz w:val="18"/>
                <w:szCs w:val="18"/>
                <w:lang w:val="sq-AL"/>
              </w:rPr>
            </w:pPr>
            <w:r w:rsidRPr="007114AF">
              <w:rPr>
                <w:rFonts w:ascii="Garamond" w:hAnsi="Garamond"/>
                <w:i/>
                <w:sz w:val="18"/>
                <w:szCs w:val="18"/>
                <w:lang w:val="sq-AL"/>
              </w:rPr>
              <w:t>Reduktimi i shkarkimit në vitin 2020 për opsion ktCO</w:t>
            </w:r>
            <w:r w:rsidRPr="007114AF">
              <w:rPr>
                <w:rFonts w:ascii="Garamond" w:hAnsi="Garamond"/>
                <w:i/>
                <w:sz w:val="18"/>
                <w:szCs w:val="18"/>
                <w:vertAlign w:val="subscript"/>
                <w:lang w:val="sq-AL"/>
              </w:rPr>
              <w:t>2</w:t>
            </w:r>
            <w:r w:rsidRPr="007114AF">
              <w:rPr>
                <w:rFonts w:ascii="Garamond" w:hAnsi="Garamond"/>
                <w:i/>
                <w:sz w:val="18"/>
                <w:szCs w:val="18"/>
                <w:lang w:val="sq-AL"/>
              </w:rPr>
              <w:t>/vit</w:t>
            </w:r>
          </w:p>
        </w:tc>
        <w:tc>
          <w:tcPr>
            <w:tcW w:w="1184" w:type="dxa"/>
            <w:vAlign w:val="center"/>
            <w:hideMark/>
          </w:tcPr>
          <w:p w14:paraId="6EDCF9BD" w14:textId="77777777" w:rsidR="00A9766F" w:rsidRPr="007114AF" w:rsidRDefault="00A9766F" w:rsidP="00A9766F">
            <w:pPr>
              <w:pStyle w:val="Default"/>
              <w:jc w:val="both"/>
              <w:rPr>
                <w:rFonts w:ascii="Garamond" w:hAnsi="Garamond"/>
                <w:i/>
                <w:sz w:val="18"/>
                <w:szCs w:val="18"/>
                <w:lang w:val="sq-AL"/>
              </w:rPr>
            </w:pPr>
            <w:r w:rsidRPr="007114AF">
              <w:rPr>
                <w:rFonts w:ascii="Garamond" w:hAnsi="Garamond"/>
                <w:i/>
                <w:sz w:val="18"/>
                <w:szCs w:val="18"/>
                <w:lang w:val="sq-AL"/>
              </w:rPr>
              <w:t>Njësitë depërtuese në 2030</w:t>
            </w:r>
          </w:p>
        </w:tc>
        <w:tc>
          <w:tcPr>
            <w:tcW w:w="1148" w:type="dxa"/>
            <w:vAlign w:val="center"/>
            <w:hideMark/>
          </w:tcPr>
          <w:p w14:paraId="6EDCF9BE" w14:textId="77777777" w:rsidR="00A9766F" w:rsidRPr="007114AF" w:rsidRDefault="00A9766F" w:rsidP="00A9766F">
            <w:pPr>
              <w:pStyle w:val="Default"/>
              <w:jc w:val="both"/>
              <w:rPr>
                <w:rFonts w:ascii="Garamond" w:hAnsi="Garamond"/>
                <w:i/>
                <w:sz w:val="18"/>
                <w:szCs w:val="18"/>
                <w:lang w:val="sq-AL"/>
              </w:rPr>
            </w:pPr>
            <w:r w:rsidRPr="007114AF">
              <w:rPr>
                <w:rFonts w:ascii="Garamond" w:hAnsi="Garamond"/>
                <w:i/>
                <w:sz w:val="18"/>
                <w:szCs w:val="18"/>
                <w:lang w:val="sq-AL"/>
              </w:rPr>
              <w:t>Reduktimi i shkarkimit në vitin 2030 për opsion ktCO</w:t>
            </w:r>
            <w:r w:rsidRPr="007114AF">
              <w:rPr>
                <w:rFonts w:ascii="Garamond" w:hAnsi="Garamond"/>
                <w:i/>
                <w:sz w:val="18"/>
                <w:szCs w:val="18"/>
                <w:vertAlign w:val="subscript"/>
                <w:lang w:val="sq-AL"/>
              </w:rPr>
              <w:t>2</w:t>
            </w:r>
            <w:r w:rsidRPr="007114AF">
              <w:rPr>
                <w:rFonts w:ascii="Garamond" w:hAnsi="Garamond"/>
                <w:i/>
                <w:sz w:val="18"/>
                <w:szCs w:val="18"/>
                <w:lang w:val="sq-AL"/>
              </w:rPr>
              <w:t>/vit</w:t>
            </w:r>
          </w:p>
        </w:tc>
      </w:tr>
      <w:tr w:rsidR="00A9766F" w:rsidRPr="007114AF" w14:paraId="6EDCF9C8" w14:textId="77777777" w:rsidTr="00A9766F">
        <w:trPr>
          <w:cnfStyle w:val="000000100000" w:firstRow="0" w:lastRow="0" w:firstColumn="0" w:lastColumn="0" w:oddVBand="0" w:evenVBand="0" w:oddHBand="1" w:evenHBand="0" w:firstRowFirstColumn="0" w:firstRowLastColumn="0" w:lastRowFirstColumn="0" w:lastRowLastColumn="0"/>
          <w:trHeight w:val="73"/>
          <w:jc w:val="center"/>
        </w:trPr>
        <w:tc>
          <w:tcPr>
            <w:tcW w:w="1668" w:type="dxa"/>
            <w:vAlign w:val="center"/>
            <w:hideMark/>
          </w:tcPr>
          <w:p w14:paraId="6EDCF9C0" w14:textId="77777777" w:rsidR="00A9766F" w:rsidRPr="007114AF" w:rsidRDefault="00A9766F" w:rsidP="00A9766F">
            <w:pPr>
              <w:rPr>
                <w:rFonts w:ascii="Garamond" w:eastAsiaTheme="minorHAnsi" w:hAnsi="Garamond"/>
                <w:sz w:val="18"/>
                <w:szCs w:val="18"/>
                <w:lang w:eastAsia="en-US"/>
              </w:rPr>
            </w:pPr>
            <w:r w:rsidRPr="007114AF">
              <w:rPr>
                <w:rFonts w:ascii="Garamond" w:eastAsiaTheme="minorHAnsi" w:hAnsi="Garamond"/>
                <w:sz w:val="18"/>
                <w:szCs w:val="18"/>
                <w:lang w:eastAsia="en-US"/>
              </w:rPr>
              <w:t>Izolimi termik i banesave -drutë</w:t>
            </w:r>
          </w:p>
        </w:tc>
        <w:tc>
          <w:tcPr>
            <w:tcW w:w="998" w:type="dxa"/>
            <w:vAlign w:val="center"/>
            <w:hideMark/>
          </w:tcPr>
          <w:p w14:paraId="6EDCF9C1" w14:textId="77777777" w:rsidR="00A9766F" w:rsidRPr="007114AF" w:rsidRDefault="00A9766F" w:rsidP="00A9766F">
            <w:pPr>
              <w:rPr>
                <w:rFonts w:ascii="Garamond" w:eastAsiaTheme="minorHAnsi" w:hAnsi="Garamond"/>
                <w:sz w:val="18"/>
                <w:szCs w:val="18"/>
                <w:lang w:eastAsia="en-US"/>
              </w:rPr>
            </w:pPr>
            <w:r w:rsidRPr="007114AF">
              <w:rPr>
                <w:rFonts w:ascii="Garamond" w:eastAsiaTheme="minorHAnsi" w:hAnsi="Garamond"/>
                <w:sz w:val="18"/>
                <w:szCs w:val="18"/>
                <w:lang w:eastAsia="en-US"/>
              </w:rPr>
              <w:t xml:space="preserve">-30.95 </w:t>
            </w:r>
          </w:p>
        </w:tc>
        <w:tc>
          <w:tcPr>
            <w:tcW w:w="1246" w:type="dxa"/>
            <w:vAlign w:val="center"/>
            <w:hideMark/>
          </w:tcPr>
          <w:p w14:paraId="6EDCF9C2" w14:textId="77777777" w:rsidR="00A9766F" w:rsidRPr="007114AF" w:rsidRDefault="00A9766F" w:rsidP="00A9766F">
            <w:pPr>
              <w:rPr>
                <w:rFonts w:ascii="Garamond" w:eastAsiaTheme="minorHAnsi" w:hAnsi="Garamond"/>
                <w:sz w:val="18"/>
                <w:szCs w:val="18"/>
                <w:lang w:eastAsia="en-US"/>
              </w:rPr>
            </w:pPr>
            <w:r w:rsidRPr="007114AF">
              <w:rPr>
                <w:rFonts w:ascii="Garamond" w:eastAsiaTheme="minorHAnsi" w:hAnsi="Garamond"/>
                <w:sz w:val="18"/>
                <w:szCs w:val="18"/>
                <w:lang w:eastAsia="en-US"/>
              </w:rPr>
              <w:t>apartamente</w:t>
            </w:r>
          </w:p>
        </w:tc>
        <w:tc>
          <w:tcPr>
            <w:tcW w:w="1056" w:type="dxa"/>
            <w:vAlign w:val="center"/>
            <w:hideMark/>
          </w:tcPr>
          <w:p w14:paraId="6EDCF9C3" w14:textId="77777777" w:rsidR="00A9766F" w:rsidRPr="007114AF" w:rsidRDefault="00A9766F" w:rsidP="00A9766F">
            <w:pPr>
              <w:rPr>
                <w:rFonts w:ascii="Garamond" w:eastAsiaTheme="minorHAnsi" w:hAnsi="Garamond"/>
                <w:sz w:val="18"/>
                <w:szCs w:val="18"/>
                <w:lang w:eastAsia="en-US"/>
              </w:rPr>
            </w:pPr>
            <w:r w:rsidRPr="007114AF">
              <w:rPr>
                <w:rFonts w:ascii="Garamond" w:eastAsiaTheme="minorHAnsi" w:hAnsi="Garamond"/>
                <w:sz w:val="18"/>
                <w:szCs w:val="18"/>
                <w:lang w:eastAsia="en-US"/>
              </w:rPr>
              <w:t xml:space="preserve">0.49 </w:t>
            </w:r>
          </w:p>
        </w:tc>
        <w:tc>
          <w:tcPr>
            <w:tcW w:w="1128" w:type="dxa"/>
            <w:vAlign w:val="center"/>
          </w:tcPr>
          <w:p w14:paraId="6EDCF9C4" w14:textId="77777777" w:rsidR="00A9766F" w:rsidRPr="007114AF" w:rsidRDefault="00A9766F" w:rsidP="00A9766F">
            <w:pPr>
              <w:rPr>
                <w:rFonts w:ascii="Garamond" w:eastAsiaTheme="minorHAnsi" w:hAnsi="Garamond"/>
                <w:sz w:val="18"/>
                <w:szCs w:val="18"/>
                <w:lang w:eastAsia="en-US"/>
              </w:rPr>
            </w:pPr>
            <w:r w:rsidRPr="007114AF">
              <w:rPr>
                <w:rFonts w:ascii="Garamond" w:eastAsiaTheme="minorHAnsi" w:hAnsi="Garamond"/>
                <w:sz w:val="18"/>
                <w:szCs w:val="18"/>
                <w:lang w:eastAsia="en-US"/>
              </w:rPr>
              <w:t xml:space="preserve">25,000 </w:t>
            </w:r>
          </w:p>
        </w:tc>
        <w:tc>
          <w:tcPr>
            <w:tcW w:w="1148" w:type="dxa"/>
            <w:vAlign w:val="center"/>
          </w:tcPr>
          <w:p w14:paraId="6EDCF9C5" w14:textId="77777777" w:rsidR="00A9766F" w:rsidRPr="007114AF" w:rsidRDefault="00A9766F" w:rsidP="00A9766F">
            <w:pPr>
              <w:rPr>
                <w:rFonts w:ascii="Garamond" w:eastAsiaTheme="minorHAnsi" w:hAnsi="Garamond"/>
                <w:sz w:val="18"/>
                <w:szCs w:val="18"/>
                <w:lang w:eastAsia="en-US"/>
              </w:rPr>
            </w:pPr>
            <w:r w:rsidRPr="007114AF">
              <w:rPr>
                <w:rFonts w:ascii="Garamond" w:eastAsiaTheme="minorHAnsi" w:hAnsi="Garamond"/>
                <w:sz w:val="18"/>
                <w:szCs w:val="18"/>
                <w:lang w:eastAsia="en-US"/>
              </w:rPr>
              <w:t xml:space="preserve">7.66 </w:t>
            </w:r>
          </w:p>
        </w:tc>
        <w:tc>
          <w:tcPr>
            <w:tcW w:w="1184" w:type="dxa"/>
            <w:vAlign w:val="center"/>
          </w:tcPr>
          <w:p w14:paraId="6EDCF9C6" w14:textId="77777777" w:rsidR="00A9766F" w:rsidRPr="007114AF" w:rsidRDefault="00A9766F" w:rsidP="00A9766F">
            <w:pPr>
              <w:rPr>
                <w:rFonts w:ascii="Garamond" w:eastAsiaTheme="minorHAnsi" w:hAnsi="Garamond"/>
                <w:sz w:val="18"/>
                <w:szCs w:val="18"/>
                <w:lang w:eastAsia="en-US"/>
              </w:rPr>
            </w:pPr>
            <w:r w:rsidRPr="007114AF">
              <w:rPr>
                <w:rFonts w:ascii="Garamond" w:eastAsiaTheme="minorHAnsi" w:hAnsi="Garamond"/>
                <w:sz w:val="18"/>
                <w:szCs w:val="18"/>
                <w:lang w:eastAsia="en-US"/>
              </w:rPr>
              <w:t xml:space="preserve">45,000 </w:t>
            </w:r>
          </w:p>
        </w:tc>
        <w:tc>
          <w:tcPr>
            <w:tcW w:w="1148" w:type="dxa"/>
            <w:vAlign w:val="center"/>
          </w:tcPr>
          <w:p w14:paraId="6EDCF9C7" w14:textId="77777777" w:rsidR="00A9766F" w:rsidRPr="007114AF" w:rsidRDefault="00A9766F" w:rsidP="00A9766F">
            <w:pPr>
              <w:rPr>
                <w:rFonts w:ascii="Garamond" w:eastAsiaTheme="minorHAnsi" w:hAnsi="Garamond"/>
                <w:sz w:val="18"/>
                <w:szCs w:val="18"/>
                <w:lang w:eastAsia="en-US"/>
              </w:rPr>
            </w:pPr>
            <w:r w:rsidRPr="007114AF">
              <w:rPr>
                <w:rFonts w:ascii="Garamond" w:eastAsiaTheme="minorHAnsi" w:hAnsi="Garamond"/>
                <w:sz w:val="18"/>
                <w:szCs w:val="18"/>
                <w:lang w:eastAsia="en-US"/>
              </w:rPr>
              <w:t>11.56</w:t>
            </w:r>
          </w:p>
        </w:tc>
      </w:tr>
      <w:tr w:rsidR="00A9766F" w:rsidRPr="007114AF" w14:paraId="6EDCF9D1" w14:textId="77777777" w:rsidTr="00A9766F">
        <w:trPr>
          <w:trHeight w:val="73"/>
          <w:jc w:val="center"/>
        </w:trPr>
        <w:tc>
          <w:tcPr>
            <w:tcW w:w="1668" w:type="dxa"/>
            <w:vAlign w:val="center"/>
            <w:hideMark/>
          </w:tcPr>
          <w:p w14:paraId="6EDCF9C9" w14:textId="77777777" w:rsidR="00A9766F" w:rsidRPr="007114AF" w:rsidRDefault="00A9766F" w:rsidP="00A9766F">
            <w:pPr>
              <w:rPr>
                <w:rFonts w:ascii="Garamond" w:eastAsiaTheme="minorHAnsi" w:hAnsi="Garamond"/>
                <w:sz w:val="18"/>
                <w:szCs w:val="18"/>
                <w:lang w:eastAsia="en-US"/>
              </w:rPr>
            </w:pPr>
            <w:r w:rsidRPr="007114AF">
              <w:rPr>
                <w:rFonts w:ascii="Garamond" w:eastAsiaTheme="minorHAnsi" w:hAnsi="Garamond"/>
                <w:sz w:val="18"/>
                <w:szCs w:val="18"/>
                <w:lang w:eastAsia="en-US"/>
              </w:rPr>
              <w:t>Izolimi termik i banesave -GNL</w:t>
            </w:r>
          </w:p>
        </w:tc>
        <w:tc>
          <w:tcPr>
            <w:tcW w:w="998" w:type="dxa"/>
            <w:vAlign w:val="center"/>
            <w:hideMark/>
          </w:tcPr>
          <w:p w14:paraId="6EDCF9CA" w14:textId="77777777" w:rsidR="00A9766F" w:rsidRPr="007114AF" w:rsidRDefault="00A9766F" w:rsidP="00A9766F">
            <w:pPr>
              <w:rPr>
                <w:rFonts w:ascii="Garamond" w:eastAsiaTheme="minorHAnsi" w:hAnsi="Garamond"/>
                <w:sz w:val="18"/>
                <w:szCs w:val="18"/>
                <w:lang w:eastAsia="en-US"/>
              </w:rPr>
            </w:pPr>
            <w:r w:rsidRPr="007114AF">
              <w:rPr>
                <w:rFonts w:ascii="Garamond" w:eastAsiaTheme="minorHAnsi" w:hAnsi="Garamond"/>
                <w:sz w:val="18"/>
                <w:szCs w:val="18"/>
                <w:lang w:eastAsia="en-US"/>
              </w:rPr>
              <w:t xml:space="preserve">-78.91 </w:t>
            </w:r>
          </w:p>
        </w:tc>
        <w:tc>
          <w:tcPr>
            <w:tcW w:w="1246" w:type="dxa"/>
            <w:vAlign w:val="center"/>
            <w:hideMark/>
          </w:tcPr>
          <w:p w14:paraId="6EDCF9CB" w14:textId="77777777" w:rsidR="00A9766F" w:rsidRPr="007114AF" w:rsidRDefault="00A9766F" w:rsidP="00A9766F">
            <w:pPr>
              <w:rPr>
                <w:rFonts w:ascii="Garamond" w:eastAsiaTheme="minorHAnsi" w:hAnsi="Garamond"/>
                <w:sz w:val="18"/>
                <w:szCs w:val="18"/>
                <w:lang w:eastAsia="en-US"/>
              </w:rPr>
            </w:pPr>
            <w:r w:rsidRPr="007114AF">
              <w:rPr>
                <w:rFonts w:ascii="Garamond" w:eastAsiaTheme="minorHAnsi" w:hAnsi="Garamond"/>
                <w:sz w:val="18"/>
                <w:szCs w:val="18"/>
                <w:lang w:eastAsia="en-US"/>
              </w:rPr>
              <w:t>apartamente</w:t>
            </w:r>
          </w:p>
        </w:tc>
        <w:tc>
          <w:tcPr>
            <w:tcW w:w="1056" w:type="dxa"/>
            <w:vAlign w:val="center"/>
            <w:hideMark/>
          </w:tcPr>
          <w:p w14:paraId="6EDCF9CC" w14:textId="77777777" w:rsidR="00A9766F" w:rsidRPr="007114AF" w:rsidRDefault="00A9766F" w:rsidP="00A9766F">
            <w:pPr>
              <w:rPr>
                <w:rFonts w:ascii="Garamond" w:eastAsiaTheme="minorHAnsi" w:hAnsi="Garamond"/>
                <w:sz w:val="18"/>
                <w:szCs w:val="18"/>
                <w:lang w:eastAsia="en-US"/>
              </w:rPr>
            </w:pPr>
            <w:r w:rsidRPr="007114AF">
              <w:rPr>
                <w:rFonts w:ascii="Garamond" w:eastAsiaTheme="minorHAnsi" w:hAnsi="Garamond"/>
                <w:sz w:val="18"/>
                <w:szCs w:val="18"/>
                <w:lang w:eastAsia="en-US"/>
              </w:rPr>
              <w:t xml:space="preserve">1.60 </w:t>
            </w:r>
          </w:p>
        </w:tc>
        <w:tc>
          <w:tcPr>
            <w:tcW w:w="1128" w:type="dxa"/>
            <w:vAlign w:val="center"/>
          </w:tcPr>
          <w:p w14:paraId="6EDCF9CD" w14:textId="77777777" w:rsidR="00A9766F" w:rsidRPr="007114AF" w:rsidRDefault="00A9766F" w:rsidP="00A9766F">
            <w:pPr>
              <w:rPr>
                <w:rFonts w:ascii="Garamond" w:eastAsiaTheme="minorHAnsi" w:hAnsi="Garamond"/>
                <w:sz w:val="18"/>
                <w:szCs w:val="18"/>
                <w:lang w:eastAsia="en-US"/>
              </w:rPr>
            </w:pPr>
            <w:r w:rsidRPr="007114AF">
              <w:rPr>
                <w:rFonts w:ascii="Garamond" w:eastAsiaTheme="minorHAnsi" w:hAnsi="Garamond"/>
                <w:sz w:val="18"/>
                <w:szCs w:val="18"/>
                <w:lang w:eastAsia="en-US"/>
              </w:rPr>
              <w:t xml:space="preserve">25,000 </w:t>
            </w:r>
          </w:p>
        </w:tc>
        <w:tc>
          <w:tcPr>
            <w:tcW w:w="1148" w:type="dxa"/>
            <w:vAlign w:val="center"/>
          </w:tcPr>
          <w:p w14:paraId="6EDCF9CE" w14:textId="77777777" w:rsidR="00A9766F" w:rsidRPr="007114AF" w:rsidRDefault="00A9766F" w:rsidP="00A9766F">
            <w:pPr>
              <w:rPr>
                <w:rFonts w:ascii="Garamond" w:eastAsiaTheme="minorHAnsi" w:hAnsi="Garamond"/>
                <w:sz w:val="18"/>
                <w:szCs w:val="18"/>
                <w:lang w:eastAsia="en-US"/>
              </w:rPr>
            </w:pPr>
            <w:r w:rsidRPr="007114AF">
              <w:rPr>
                <w:rFonts w:ascii="Garamond" w:eastAsiaTheme="minorHAnsi" w:hAnsi="Garamond"/>
                <w:sz w:val="18"/>
                <w:szCs w:val="18"/>
                <w:lang w:eastAsia="en-US"/>
              </w:rPr>
              <w:t xml:space="preserve">24.78 </w:t>
            </w:r>
          </w:p>
        </w:tc>
        <w:tc>
          <w:tcPr>
            <w:tcW w:w="1184" w:type="dxa"/>
            <w:vAlign w:val="center"/>
          </w:tcPr>
          <w:p w14:paraId="6EDCF9CF" w14:textId="77777777" w:rsidR="00A9766F" w:rsidRPr="007114AF" w:rsidRDefault="00A9766F" w:rsidP="00A9766F">
            <w:pPr>
              <w:rPr>
                <w:rFonts w:ascii="Garamond" w:eastAsiaTheme="minorHAnsi" w:hAnsi="Garamond"/>
                <w:sz w:val="18"/>
                <w:szCs w:val="18"/>
                <w:lang w:eastAsia="en-US"/>
              </w:rPr>
            </w:pPr>
            <w:r w:rsidRPr="007114AF">
              <w:rPr>
                <w:rFonts w:ascii="Garamond" w:eastAsiaTheme="minorHAnsi" w:hAnsi="Garamond"/>
                <w:sz w:val="18"/>
                <w:szCs w:val="18"/>
                <w:lang w:eastAsia="en-US"/>
              </w:rPr>
              <w:t xml:space="preserve">45,000 </w:t>
            </w:r>
          </w:p>
        </w:tc>
        <w:tc>
          <w:tcPr>
            <w:tcW w:w="1148" w:type="dxa"/>
            <w:vAlign w:val="center"/>
          </w:tcPr>
          <w:p w14:paraId="6EDCF9D0" w14:textId="77777777" w:rsidR="00A9766F" w:rsidRPr="007114AF" w:rsidRDefault="00A9766F" w:rsidP="00A9766F">
            <w:pPr>
              <w:rPr>
                <w:rFonts w:ascii="Garamond" w:eastAsiaTheme="minorHAnsi" w:hAnsi="Garamond"/>
                <w:sz w:val="18"/>
                <w:szCs w:val="18"/>
                <w:lang w:eastAsia="en-US"/>
              </w:rPr>
            </w:pPr>
            <w:r w:rsidRPr="007114AF">
              <w:rPr>
                <w:rFonts w:ascii="Garamond" w:eastAsiaTheme="minorHAnsi" w:hAnsi="Garamond"/>
                <w:sz w:val="18"/>
                <w:szCs w:val="18"/>
                <w:lang w:eastAsia="en-US"/>
              </w:rPr>
              <w:t>37.42</w:t>
            </w:r>
          </w:p>
        </w:tc>
      </w:tr>
      <w:tr w:rsidR="00A9766F" w:rsidRPr="007114AF" w14:paraId="6EDCF9DA" w14:textId="77777777" w:rsidTr="00A9766F">
        <w:trPr>
          <w:cnfStyle w:val="000000100000" w:firstRow="0" w:lastRow="0" w:firstColumn="0" w:lastColumn="0" w:oddVBand="0" w:evenVBand="0" w:oddHBand="1" w:evenHBand="0" w:firstRowFirstColumn="0" w:firstRowLastColumn="0" w:lastRowFirstColumn="0" w:lastRowLastColumn="0"/>
          <w:trHeight w:val="73"/>
          <w:jc w:val="center"/>
        </w:trPr>
        <w:tc>
          <w:tcPr>
            <w:tcW w:w="1668" w:type="dxa"/>
            <w:vAlign w:val="center"/>
            <w:hideMark/>
          </w:tcPr>
          <w:p w14:paraId="6EDCF9D2" w14:textId="77777777" w:rsidR="00A9766F" w:rsidRPr="007114AF" w:rsidRDefault="00A9766F" w:rsidP="00A9766F">
            <w:pPr>
              <w:rPr>
                <w:rFonts w:ascii="Garamond" w:eastAsiaTheme="minorHAnsi" w:hAnsi="Garamond"/>
                <w:sz w:val="18"/>
                <w:szCs w:val="18"/>
                <w:lang w:eastAsia="en-US"/>
              </w:rPr>
            </w:pPr>
            <w:r w:rsidRPr="007114AF">
              <w:rPr>
                <w:rFonts w:ascii="Garamond" w:eastAsiaTheme="minorHAnsi" w:hAnsi="Garamond"/>
                <w:sz w:val="18"/>
                <w:szCs w:val="18"/>
                <w:lang w:eastAsia="en-US"/>
              </w:rPr>
              <w:t xml:space="preserve">Korrigjimi i faktorit të fuqisë </w:t>
            </w:r>
          </w:p>
        </w:tc>
        <w:tc>
          <w:tcPr>
            <w:tcW w:w="998" w:type="dxa"/>
            <w:vAlign w:val="center"/>
            <w:hideMark/>
          </w:tcPr>
          <w:p w14:paraId="6EDCF9D3" w14:textId="77777777" w:rsidR="00A9766F" w:rsidRPr="007114AF" w:rsidRDefault="00A9766F" w:rsidP="00A9766F">
            <w:pPr>
              <w:rPr>
                <w:rFonts w:ascii="Garamond" w:eastAsiaTheme="minorHAnsi" w:hAnsi="Garamond"/>
                <w:sz w:val="18"/>
                <w:szCs w:val="18"/>
                <w:lang w:eastAsia="en-US"/>
              </w:rPr>
            </w:pPr>
            <w:r w:rsidRPr="007114AF">
              <w:rPr>
                <w:rFonts w:ascii="Garamond" w:eastAsiaTheme="minorHAnsi" w:hAnsi="Garamond"/>
                <w:sz w:val="18"/>
                <w:szCs w:val="18"/>
                <w:lang w:eastAsia="en-US"/>
              </w:rPr>
              <w:t xml:space="preserve">-32.49 </w:t>
            </w:r>
          </w:p>
        </w:tc>
        <w:tc>
          <w:tcPr>
            <w:tcW w:w="1246" w:type="dxa"/>
            <w:vAlign w:val="center"/>
            <w:hideMark/>
          </w:tcPr>
          <w:p w14:paraId="6EDCF9D4" w14:textId="77777777" w:rsidR="00A9766F" w:rsidRPr="007114AF" w:rsidRDefault="00A9766F" w:rsidP="00A9766F">
            <w:pPr>
              <w:rPr>
                <w:rFonts w:ascii="Garamond" w:eastAsiaTheme="minorHAnsi" w:hAnsi="Garamond"/>
                <w:sz w:val="18"/>
                <w:szCs w:val="18"/>
                <w:lang w:eastAsia="en-US"/>
              </w:rPr>
            </w:pPr>
            <w:r w:rsidRPr="007114AF">
              <w:rPr>
                <w:rFonts w:ascii="Garamond" w:eastAsiaTheme="minorHAnsi" w:hAnsi="Garamond"/>
                <w:sz w:val="18"/>
                <w:szCs w:val="18"/>
                <w:lang w:eastAsia="en-US"/>
              </w:rPr>
              <w:t xml:space="preserve">MVAR </w:t>
            </w:r>
          </w:p>
        </w:tc>
        <w:tc>
          <w:tcPr>
            <w:tcW w:w="1056" w:type="dxa"/>
            <w:vAlign w:val="center"/>
            <w:hideMark/>
          </w:tcPr>
          <w:p w14:paraId="6EDCF9D5" w14:textId="77777777" w:rsidR="00A9766F" w:rsidRPr="007114AF" w:rsidRDefault="00A9766F" w:rsidP="00A9766F">
            <w:pPr>
              <w:rPr>
                <w:rFonts w:ascii="Garamond" w:eastAsiaTheme="minorHAnsi" w:hAnsi="Garamond"/>
                <w:sz w:val="18"/>
                <w:szCs w:val="18"/>
                <w:lang w:eastAsia="en-US"/>
              </w:rPr>
            </w:pPr>
            <w:r w:rsidRPr="007114AF">
              <w:rPr>
                <w:rFonts w:ascii="Garamond" w:eastAsiaTheme="minorHAnsi" w:hAnsi="Garamond"/>
                <w:sz w:val="18"/>
                <w:szCs w:val="18"/>
                <w:lang w:eastAsia="en-US"/>
              </w:rPr>
              <w:t xml:space="preserve">499.61 </w:t>
            </w:r>
          </w:p>
        </w:tc>
        <w:tc>
          <w:tcPr>
            <w:tcW w:w="1128" w:type="dxa"/>
            <w:vAlign w:val="center"/>
          </w:tcPr>
          <w:p w14:paraId="6EDCF9D6" w14:textId="77777777" w:rsidR="00A9766F" w:rsidRPr="007114AF" w:rsidRDefault="00A9766F" w:rsidP="00A9766F">
            <w:pPr>
              <w:rPr>
                <w:rFonts w:ascii="Garamond" w:eastAsiaTheme="minorHAnsi" w:hAnsi="Garamond"/>
                <w:sz w:val="18"/>
                <w:szCs w:val="18"/>
                <w:lang w:eastAsia="en-US"/>
              </w:rPr>
            </w:pPr>
            <w:r w:rsidRPr="007114AF">
              <w:rPr>
                <w:rFonts w:ascii="Garamond" w:eastAsiaTheme="minorHAnsi" w:hAnsi="Garamond"/>
                <w:sz w:val="18"/>
                <w:szCs w:val="18"/>
                <w:lang w:eastAsia="en-US"/>
              </w:rPr>
              <w:t xml:space="preserve">80 </w:t>
            </w:r>
          </w:p>
        </w:tc>
        <w:tc>
          <w:tcPr>
            <w:tcW w:w="1148" w:type="dxa"/>
            <w:vAlign w:val="center"/>
          </w:tcPr>
          <w:p w14:paraId="6EDCF9D7" w14:textId="77777777" w:rsidR="00A9766F" w:rsidRPr="007114AF" w:rsidRDefault="00A9766F" w:rsidP="00A9766F">
            <w:pPr>
              <w:rPr>
                <w:rFonts w:ascii="Garamond" w:eastAsiaTheme="minorHAnsi" w:hAnsi="Garamond"/>
                <w:sz w:val="18"/>
                <w:szCs w:val="18"/>
                <w:lang w:eastAsia="en-US"/>
              </w:rPr>
            </w:pPr>
            <w:r w:rsidRPr="007114AF">
              <w:rPr>
                <w:rFonts w:ascii="Garamond" w:eastAsiaTheme="minorHAnsi" w:hAnsi="Garamond"/>
                <w:sz w:val="18"/>
                <w:szCs w:val="18"/>
                <w:lang w:eastAsia="en-US"/>
              </w:rPr>
              <w:t xml:space="preserve">24.78 </w:t>
            </w:r>
          </w:p>
        </w:tc>
        <w:tc>
          <w:tcPr>
            <w:tcW w:w="1184" w:type="dxa"/>
            <w:vAlign w:val="center"/>
          </w:tcPr>
          <w:p w14:paraId="6EDCF9D8" w14:textId="77777777" w:rsidR="00A9766F" w:rsidRPr="007114AF" w:rsidRDefault="00A9766F" w:rsidP="00A9766F">
            <w:pPr>
              <w:rPr>
                <w:rFonts w:ascii="Garamond" w:eastAsiaTheme="minorHAnsi" w:hAnsi="Garamond"/>
                <w:sz w:val="18"/>
                <w:szCs w:val="18"/>
                <w:lang w:eastAsia="en-US"/>
              </w:rPr>
            </w:pPr>
            <w:r w:rsidRPr="007114AF">
              <w:rPr>
                <w:rFonts w:ascii="Garamond" w:eastAsiaTheme="minorHAnsi" w:hAnsi="Garamond"/>
                <w:sz w:val="18"/>
                <w:szCs w:val="18"/>
                <w:lang w:eastAsia="en-US"/>
              </w:rPr>
              <w:t xml:space="preserve">120 </w:t>
            </w:r>
          </w:p>
        </w:tc>
        <w:tc>
          <w:tcPr>
            <w:tcW w:w="1148" w:type="dxa"/>
            <w:vAlign w:val="center"/>
          </w:tcPr>
          <w:p w14:paraId="6EDCF9D9" w14:textId="77777777" w:rsidR="00A9766F" w:rsidRPr="007114AF" w:rsidRDefault="00A9766F" w:rsidP="00A9766F">
            <w:pPr>
              <w:rPr>
                <w:rFonts w:ascii="Garamond" w:eastAsiaTheme="minorHAnsi" w:hAnsi="Garamond"/>
                <w:sz w:val="18"/>
                <w:szCs w:val="18"/>
                <w:lang w:eastAsia="en-US"/>
              </w:rPr>
            </w:pPr>
            <w:r w:rsidRPr="007114AF">
              <w:rPr>
                <w:rFonts w:ascii="Garamond" w:eastAsiaTheme="minorHAnsi" w:hAnsi="Garamond"/>
                <w:sz w:val="18"/>
                <w:szCs w:val="18"/>
                <w:lang w:eastAsia="en-US"/>
              </w:rPr>
              <w:t>31.17</w:t>
            </w:r>
          </w:p>
        </w:tc>
      </w:tr>
      <w:tr w:rsidR="00A9766F" w:rsidRPr="007114AF" w14:paraId="6EDCF9E3" w14:textId="77777777" w:rsidTr="00A9766F">
        <w:trPr>
          <w:trHeight w:val="73"/>
          <w:jc w:val="center"/>
        </w:trPr>
        <w:tc>
          <w:tcPr>
            <w:tcW w:w="1668" w:type="dxa"/>
            <w:vAlign w:val="center"/>
            <w:hideMark/>
          </w:tcPr>
          <w:p w14:paraId="6EDCF9DB" w14:textId="77777777" w:rsidR="00A9766F" w:rsidRPr="007114AF" w:rsidRDefault="00A9766F" w:rsidP="00A9766F">
            <w:pPr>
              <w:rPr>
                <w:rFonts w:ascii="Garamond" w:eastAsiaTheme="minorHAnsi" w:hAnsi="Garamond"/>
                <w:sz w:val="18"/>
                <w:szCs w:val="18"/>
                <w:lang w:eastAsia="en-US"/>
              </w:rPr>
            </w:pPr>
            <w:r w:rsidRPr="007114AF">
              <w:rPr>
                <w:rFonts w:ascii="Garamond" w:eastAsiaTheme="minorHAnsi" w:hAnsi="Garamond"/>
                <w:sz w:val="18"/>
                <w:szCs w:val="18"/>
                <w:lang w:eastAsia="en-US"/>
              </w:rPr>
              <w:t>Izolimi termik i banesave–energjia elektrike</w:t>
            </w:r>
          </w:p>
        </w:tc>
        <w:tc>
          <w:tcPr>
            <w:tcW w:w="998" w:type="dxa"/>
            <w:vAlign w:val="center"/>
            <w:hideMark/>
          </w:tcPr>
          <w:p w14:paraId="6EDCF9DC" w14:textId="77777777" w:rsidR="00A9766F" w:rsidRPr="007114AF" w:rsidRDefault="00A9766F" w:rsidP="00A9766F">
            <w:pPr>
              <w:rPr>
                <w:rFonts w:ascii="Garamond" w:eastAsiaTheme="minorHAnsi" w:hAnsi="Garamond"/>
                <w:sz w:val="18"/>
                <w:szCs w:val="18"/>
                <w:lang w:eastAsia="en-US"/>
              </w:rPr>
            </w:pPr>
            <w:r w:rsidRPr="007114AF">
              <w:rPr>
                <w:rFonts w:ascii="Garamond" w:eastAsiaTheme="minorHAnsi" w:hAnsi="Garamond"/>
                <w:sz w:val="18"/>
                <w:szCs w:val="18"/>
                <w:lang w:eastAsia="en-US"/>
              </w:rPr>
              <w:t xml:space="preserve">-19.93 </w:t>
            </w:r>
          </w:p>
        </w:tc>
        <w:tc>
          <w:tcPr>
            <w:tcW w:w="1246" w:type="dxa"/>
            <w:vAlign w:val="center"/>
            <w:hideMark/>
          </w:tcPr>
          <w:p w14:paraId="6EDCF9DD" w14:textId="77777777" w:rsidR="00A9766F" w:rsidRPr="007114AF" w:rsidRDefault="00A9766F" w:rsidP="00A9766F">
            <w:pPr>
              <w:rPr>
                <w:rFonts w:ascii="Garamond" w:eastAsiaTheme="minorHAnsi" w:hAnsi="Garamond"/>
                <w:sz w:val="18"/>
                <w:szCs w:val="18"/>
                <w:lang w:eastAsia="en-US"/>
              </w:rPr>
            </w:pPr>
            <w:r w:rsidRPr="007114AF">
              <w:rPr>
                <w:rFonts w:ascii="Garamond" w:eastAsiaTheme="minorHAnsi" w:hAnsi="Garamond"/>
                <w:sz w:val="18"/>
                <w:szCs w:val="18"/>
                <w:lang w:eastAsia="en-US"/>
              </w:rPr>
              <w:t>apartamente</w:t>
            </w:r>
          </w:p>
        </w:tc>
        <w:tc>
          <w:tcPr>
            <w:tcW w:w="1056" w:type="dxa"/>
            <w:vAlign w:val="center"/>
            <w:hideMark/>
          </w:tcPr>
          <w:p w14:paraId="6EDCF9DE" w14:textId="77777777" w:rsidR="00A9766F" w:rsidRPr="007114AF" w:rsidRDefault="00A9766F" w:rsidP="00A9766F">
            <w:pPr>
              <w:rPr>
                <w:rFonts w:ascii="Garamond" w:eastAsiaTheme="minorHAnsi" w:hAnsi="Garamond"/>
                <w:sz w:val="18"/>
                <w:szCs w:val="18"/>
                <w:lang w:eastAsia="en-US"/>
              </w:rPr>
            </w:pPr>
            <w:r w:rsidRPr="007114AF">
              <w:rPr>
                <w:rFonts w:ascii="Garamond" w:eastAsiaTheme="minorHAnsi" w:hAnsi="Garamond"/>
                <w:sz w:val="18"/>
                <w:szCs w:val="18"/>
                <w:lang w:eastAsia="en-US"/>
              </w:rPr>
              <w:t xml:space="preserve">0.55 </w:t>
            </w:r>
          </w:p>
        </w:tc>
        <w:tc>
          <w:tcPr>
            <w:tcW w:w="1128" w:type="dxa"/>
            <w:vAlign w:val="center"/>
          </w:tcPr>
          <w:p w14:paraId="6EDCF9DF" w14:textId="77777777" w:rsidR="00A9766F" w:rsidRPr="007114AF" w:rsidRDefault="00A9766F" w:rsidP="00A9766F">
            <w:pPr>
              <w:rPr>
                <w:rFonts w:ascii="Garamond" w:eastAsiaTheme="minorHAnsi" w:hAnsi="Garamond"/>
                <w:sz w:val="18"/>
                <w:szCs w:val="18"/>
                <w:lang w:eastAsia="en-US"/>
              </w:rPr>
            </w:pPr>
            <w:r w:rsidRPr="007114AF">
              <w:rPr>
                <w:rFonts w:ascii="Garamond" w:eastAsiaTheme="minorHAnsi" w:hAnsi="Garamond"/>
                <w:sz w:val="18"/>
                <w:szCs w:val="18"/>
                <w:lang w:eastAsia="en-US"/>
              </w:rPr>
              <w:t xml:space="preserve">25,000 </w:t>
            </w:r>
          </w:p>
        </w:tc>
        <w:tc>
          <w:tcPr>
            <w:tcW w:w="1148" w:type="dxa"/>
            <w:vAlign w:val="center"/>
          </w:tcPr>
          <w:p w14:paraId="6EDCF9E0" w14:textId="77777777" w:rsidR="00A9766F" w:rsidRPr="007114AF" w:rsidRDefault="00A9766F" w:rsidP="00A9766F">
            <w:pPr>
              <w:rPr>
                <w:rFonts w:ascii="Garamond" w:eastAsiaTheme="minorHAnsi" w:hAnsi="Garamond"/>
                <w:sz w:val="18"/>
                <w:szCs w:val="18"/>
                <w:lang w:eastAsia="en-US"/>
              </w:rPr>
            </w:pPr>
            <w:r w:rsidRPr="007114AF">
              <w:rPr>
                <w:rFonts w:ascii="Garamond" w:eastAsiaTheme="minorHAnsi" w:hAnsi="Garamond"/>
                <w:sz w:val="18"/>
                <w:szCs w:val="18"/>
                <w:lang w:eastAsia="en-US"/>
              </w:rPr>
              <w:t xml:space="preserve">8.46 </w:t>
            </w:r>
          </w:p>
        </w:tc>
        <w:tc>
          <w:tcPr>
            <w:tcW w:w="1184" w:type="dxa"/>
            <w:vAlign w:val="center"/>
          </w:tcPr>
          <w:p w14:paraId="6EDCF9E1" w14:textId="77777777" w:rsidR="00A9766F" w:rsidRPr="007114AF" w:rsidRDefault="00A9766F" w:rsidP="00A9766F">
            <w:pPr>
              <w:rPr>
                <w:rFonts w:ascii="Garamond" w:eastAsiaTheme="minorHAnsi" w:hAnsi="Garamond"/>
                <w:sz w:val="18"/>
                <w:szCs w:val="18"/>
                <w:lang w:eastAsia="en-US"/>
              </w:rPr>
            </w:pPr>
            <w:r w:rsidRPr="007114AF">
              <w:rPr>
                <w:rFonts w:ascii="Garamond" w:eastAsiaTheme="minorHAnsi" w:hAnsi="Garamond"/>
                <w:sz w:val="18"/>
                <w:szCs w:val="18"/>
                <w:lang w:eastAsia="en-US"/>
              </w:rPr>
              <w:t xml:space="preserve">50,000 </w:t>
            </w:r>
          </w:p>
        </w:tc>
        <w:tc>
          <w:tcPr>
            <w:tcW w:w="1148" w:type="dxa"/>
            <w:vAlign w:val="center"/>
          </w:tcPr>
          <w:p w14:paraId="6EDCF9E2" w14:textId="77777777" w:rsidR="00A9766F" w:rsidRPr="007114AF" w:rsidRDefault="00A9766F" w:rsidP="00A9766F">
            <w:pPr>
              <w:rPr>
                <w:rFonts w:ascii="Garamond" w:eastAsiaTheme="minorHAnsi" w:hAnsi="Garamond"/>
                <w:sz w:val="18"/>
                <w:szCs w:val="18"/>
                <w:lang w:eastAsia="en-US"/>
              </w:rPr>
            </w:pPr>
            <w:r w:rsidRPr="007114AF">
              <w:rPr>
                <w:rFonts w:ascii="Garamond" w:eastAsiaTheme="minorHAnsi" w:hAnsi="Garamond"/>
                <w:sz w:val="18"/>
                <w:szCs w:val="18"/>
                <w:lang w:eastAsia="en-US"/>
              </w:rPr>
              <w:t xml:space="preserve">14.19713 </w:t>
            </w:r>
          </w:p>
        </w:tc>
      </w:tr>
      <w:tr w:rsidR="00A9766F" w:rsidRPr="007114AF" w14:paraId="6EDCF9EC" w14:textId="77777777" w:rsidTr="00A9766F">
        <w:trPr>
          <w:cnfStyle w:val="000000100000" w:firstRow="0" w:lastRow="0" w:firstColumn="0" w:lastColumn="0" w:oddVBand="0" w:evenVBand="0" w:oddHBand="1" w:evenHBand="0" w:firstRowFirstColumn="0" w:firstRowLastColumn="0" w:lastRowFirstColumn="0" w:lastRowLastColumn="0"/>
          <w:trHeight w:val="73"/>
          <w:jc w:val="center"/>
        </w:trPr>
        <w:tc>
          <w:tcPr>
            <w:tcW w:w="1668" w:type="dxa"/>
            <w:vAlign w:val="center"/>
            <w:hideMark/>
          </w:tcPr>
          <w:p w14:paraId="6EDCF9E4" w14:textId="77777777" w:rsidR="00A9766F" w:rsidRPr="007114AF" w:rsidRDefault="00A9766F" w:rsidP="00A9766F">
            <w:pPr>
              <w:rPr>
                <w:rFonts w:ascii="Garamond" w:eastAsiaTheme="minorHAnsi" w:hAnsi="Garamond"/>
                <w:sz w:val="18"/>
                <w:szCs w:val="18"/>
                <w:lang w:eastAsia="en-US"/>
              </w:rPr>
            </w:pPr>
            <w:r w:rsidRPr="007114AF">
              <w:rPr>
                <w:rFonts w:ascii="Garamond" w:eastAsiaTheme="minorHAnsi" w:hAnsi="Garamond"/>
                <w:sz w:val="18"/>
                <w:szCs w:val="18"/>
                <w:lang w:eastAsia="en-US"/>
              </w:rPr>
              <w:t>Izolimi termik i banesave -vajguri</w:t>
            </w:r>
          </w:p>
        </w:tc>
        <w:tc>
          <w:tcPr>
            <w:tcW w:w="998" w:type="dxa"/>
            <w:vAlign w:val="center"/>
            <w:hideMark/>
          </w:tcPr>
          <w:p w14:paraId="6EDCF9E5" w14:textId="77777777" w:rsidR="00A9766F" w:rsidRPr="007114AF" w:rsidRDefault="00A9766F" w:rsidP="00A9766F">
            <w:pPr>
              <w:rPr>
                <w:rFonts w:ascii="Garamond" w:eastAsiaTheme="minorHAnsi" w:hAnsi="Garamond"/>
                <w:sz w:val="18"/>
                <w:szCs w:val="18"/>
                <w:lang w:eastAsia="en-US"/>
              </w:rPr>
            </w:pPr>
            <w:r w:rsidRPr="007114AF">
              <w:rPr>
                <w:rFonts w:ascii="Garamond" w:eastAsiaTheme="minorHAnsi" w:hAnsi="Garamond"/>
                <w:sz w:val="18"/>
                <w:szCs w:val="18"/>
                <w:lang w:eastAsia="en-US"/>
              </w:rPr>
              <w:t xml:space="preserve">-81.07 </w:t>
            </w:r>
          </w:p>
        </w:tc>
        <w:tc>
          <w:tcPr>
            <w:tcW w:w="1246" w:type="dxa"/>
            <w:vAlign w:val="center"/>
            <w:hideMark/>
          </w:tcPr>
          <w:p w14:paraId="6EDCF9E6" w14:textId="77777777" w:rsidR="00A9766F" w:rsidRPr="007114AF" w:rsidRDefault="00A9766F" w:rsidP="00A9766F">
            <w:pPr>
              <w:rPr>
                <w:rFonts w:ascii="Garamond" w:eastAsiaTheme="minorHAnsi" w:hAnsi="Garamond"/>
                <w:sz w:val="18"/>
                <w:szCs w:val="18"/>
                <w:lang w:eastAsia="en-US"/>
              </w:rPr>
            </w:pPr>
            <w:r w:rsidRPr="007114AF">
              <w:rPr>
                <w:rFonts w:ascii="Garamond" w:eastAsiaTheme="minorHAnsi" w:hAnsi="Garamond"/>
                <w:sz w:val="18"/>
                <w:szCs w:val="18"/>
                <w:lang w:eastAsia="en-US"/>
              </w:rPr>
              <w:t>apartamente</w:t>
            </w:r>
          </w:p>
        </w:tc>
        <w:tc>
          <w:tcPr>
            <w:tcW w:w="1056" w:type="dxa"/>
            <w:vAlign w:val="center"/>
            <w:hideMark/>
          </w:tcPr>
          <w:p w14:paraId="6EDCF9E7" w14:textId="77777777" w:rsidR="00A9766F" w:rsidRPr="007114AF" w:rsidRDefault="00A9766F" w:rsidP="00A9766F">
            <w:pPr>
              <w:rPr>
                <w:rFonts w:ascii="Garamond" w:eastAsiaTheme="minorHAnsi" w:hAnsi="Garamond"/>
                <w:sz w:val="18"/>
                <w:szCs w:val="18"/>
                <w:lang w:eastAsia="en-US"/>
              </w:rPr>
            </w:pPr>
            <w:r w:rsidRPr="007114AF">
              <w:rPr>
                <w:rFonts w:ascii="Garamond" w:eastAsiaTheme="minorHAnsi" w:hAnsi="Garamond"/>
                <w:sz w:val="18"/>
                <w:szCs w:val="18"/>
                <w:lang w:eastAsia="en-US"/>
              </w:rPr>
              <w:t xml:space="preserve">1.64 </w:t>
            </w:r>
          </w:p>
        </w:tc>
        <w:tc>
          <w:tcPr>
            <w:tcW w:w="1128" w:type="dxa"/>
            <w:vAlign w:val="center"/>
          </w:tcPr>
          <w:p w14:paraId="6EDCF9E8" w14:textId="77777777" w:rsidR="00A9766F" w:rsidRPr="007114AF" w:rsidRDefault="00A9766F" w:rsidP="00A9766F">
            <w:pPr>
              <w:rPr>
                <w:rFonts w:ascii="Garamond" w:eastAsiaTheme="minorHAnsi" w:hAnsi="Garamond"/>
                <w:sz w:val="18"/>
                <w:szCs w:val="18"/>
                <w:lang w:eastAsia="en-US"/>
              </w:rPr>
            </w:pPr>
            <w:r w:rsidRPr="007114AF">
              <w:rPr>
                <w:rFonts w:ascii="Garamond" w:eastAsiaTheme="minorHAnsi" w:hAnsi="Garamond"/>
                <w:sz w:val="18"/>
                <w:szCs w:val="18"/>
                <w:lang w:eastAsia="en-US"/>
              </w:rPr>
              <w:t xml:space="preserve">0 </w:t>
            </w:r>
          </w:p>
        </w:tc>
        <w:tc>
          <w:tcPr>
            <w:tcW w:w="1148" w:type="dxa"/>
            <w:vAlign w:val="center"/>
          </w:tcPr>
          <w:p w14:paraId="6EDCF9E9" w14:textId="77777777" w:rsidR="00A9766F" w:rsidRPr="007114AF" w:rsidRDefault="00A9766F" w:rsidP="00A9766F">
            <w:pPr>
              <w:rPr>
                <w:rFonts w:ascii="Garamond" w:eastAsiaTheme="minorHAnsi" w:hAnsi="Garamond"/>
                <w:sz w:val="18"/>
                <w:szCs w:val="18"/>
                <w:lang w:eastAsia="en-US"/>
              </w:rPr>
            </w:pPr>
            <w:r w:rsidRPr="007114AF">
              <w:rPr>
                <w:rFonts w:ascii="Garamond" w:eastAsiaTheme="minorHAnsi" w:hAnsi="Garamond"/>
                <w:sz w:val="18"/>
                <w:szCs w:val="18"/>
                <w:lang w:eastAsia="en-US"/>
              </w:rPr>
              <w:t xml:space="preserve">0.00 </w:t>
            </w:r>
          </w:p>
        </w:tc>
        <w:tc>
          <w:tcPr>
            <w:tcW w:w="1184" w:type="dxa"/>
            <w:vAlign w:val="center"/>
          </w:tcPr>
          <w:p w14:paraId="6EDCF9EA" w14:textId="77777777" w:rsidR="00A9766F" w:rsidRPr="007114AF" w:rsidRDefault="00A9766F" w:rsidP="00A9766F">
            <w:pPr>
              <w:rPr>
                <w:rFonts w:ascii="Garamond" w:eastAsiaTheme="minorHAnsi" w:hAnsi="Garamond"/>
                <w:sz w:val="18"/>
                <w:szCs w:val="18"/>
                <w:lang w:eastAsia="en-US"/>
              </w:rPr>
            </w:pPr>
            <w:r w:rsidRPr="007114AF">
              <w:rPr>
                <w:rFonts w:ascii="Garamond" w:eastAsiaTheme="minorHAnsi" w:hAnsi="Garamond"/>
                <w:sz w:val="18"/>
                <w:szCs w:val="18"/>
                <w:lang w:eastAsia="en-US"/>
              </w:rPr>
              <w:t xml:space="preserve">1,000 </w:t>
            </w:r>
          </w:p>
        </w:tc>
        <w:tc>
          <w:tcPr>
            <w:tcW w:w="1148" w:type="dxa"/>
            <w:vAlign w:val="center"/>
          </w:tcPr>
          <w:p w14:paraId="6EDCF9EB" w14:textId="77777777" w:rsidR="00A9766F" w:rsidRPr="007114AF" w:rsidRDefault="00A9766F" w:rsidP="00A9766F">
            <w:pPr>
              <w:rPr>
                <w:rFonts w:ascii="Garamond" w:eastAsiaTheme="minorHAnsi" w:hAnsi="Garamond"/>
                <w:sz w:val="18"/>
                <w:szCs w:val="18"/>
                <w:lang w:eastAsia="en-US"/>
              </w:rPr>
            </w:pPr>
            <w:r w:rsidRPr="007114AF">
              <w:rPr>
                <w:rFonts w:ascii="Garamond" w:eastAsiaTheme="minorHAnsi" w:hAnsi="Garamond"/>
                <w:sz w:val="18"/>
                <w:szCs w:val="18"/>
                <w:lang w:eastAsia="en-US"/>
              </w:rPr>
              <w:t>0.85</w:t>
            </w:r>
          </w:p>
        </w:tc>
      </w:tr>
      <w:tr w:rsidR="00A9766F" w:rsidRPr="007114AF" w14:paraId="6EDCF9F5" w14:textId="77777777" w:rsidTr="00A9766F">
        <w:trPr>
          <w:trHeight w:val="73"/>
          <w:jc w:val="center"/>
        </w:trPr>
        <w:tc>
          <w:tcPr>
            <w:tcW w:w="1668" w:type="dxa"/>
            <w:vAlign w:val="center"/>
            <w:hideMark/>
          </w:tcPr>
          <w:p w14:paraId="6EDCF9ED" w14:textId="77777777" w:rsidR="00A9766F" w:rsidRPr="007114AF" w:rsidRDefault="00A9766F" w:rsidP="00A9766F">
            <w:pPr>
              <w:rPr>
                <w:rFonts w:ascii="Garamond" w:eastAsiaTheme="minorHAnsi" w:hAnsi="Garamond"/>
                <w:sz w:val="18"/>
                <w:szCs w:val="18"/>
                <w:lang w:eastAsia="en-US"/>
              </w:rPr>
            </w:pPr>
            <w:r w:rsidRPr="007114AF">
              <w:rPr>
                <w:rFonts w:ascii="Garamond" w:eastAsiaTheme="minorHAnsi" w:hAnsi="Garamond"/>
                <w:sz w:val="18"/>
                <w:szCs w:val="18"/>
                <w:lang w:eastAsia="en-US"/>
              </w:rPr>
              <w:t>Taksitë me gaz</w:t>
            </w:r>
          </w:p>
        </w:tc>
        <w:tc>
          <w:tcPr>
            <w:tcW w:w="998" w:type="dxa"/>
            <w:vAlign w:val="center"/>
            <w:hideMark/>
          </w:tcPr>
          <w:p w14:paraId="6EDCF9EE" w14:textId="77777777" w:rsidR="00A9766F" w:rsidRPr="007114AF" w:rsidRDefault="00A9766F" w:rsidP="00A9766F">
            <w:pPr>
              <w:rPr>
                <w:rFonts w:ascii="Garamond" w:eastAsiaTheme="minorHAnsi" w:hAnsi="Garamond"/>
                <w:sz w:val="18"/>
                <w:szCs w:val="18"/>
                <w:lang w:eastAsia="en-US"/>
              </w:rPr>
            </w:pPr>
            <w:r w:rsidRPr="007114AF">
              <w:rPr>
                <w:rFonts w:ascii="Garamond" w:eastAsiaTheme="minorHAnsi" w:hAnsi="Garamond"/>
                <w:sz w:val="18"/>
                <w:szCs w:val="18"/>
                <w:lang w:eastAsia="en-US"/>
              </w:rPr>
              <w:t xml:space="preserve">-321.65 </w:t>
            </w:r>
          </w:p>
        </w:tc>
        <w:tc>
          <w:tcPr>
            <w:tcW w:w="1246" w:type="dxa"/>
            <w:vAlign w:val="center"/>
            <w:hideMark/>
          </w:tcPr>
          <w:p w14:paraId="6EDCF9EF" w14:textId="77777777" w:rsidR="00A9766F" w:rsidRPr="007114AF" w:rsidRDefault="00A9766F" w:rsidP="00A9766F">
            <w:pPr>
              <w:rPr>
                <w:rFonts w:ascii="Garamond" w:eastAsiaTheme="minorHAnsi" w:hAnsi="Garamond"/>
                <w:sz w:val="18"/>
                <w:szCs w:val="18"/>
                <w:lang w:eastAsia="en-US"/>
              </w:rPr>
            </w:pPr>
            <w:r w:rsidRPr="007114AF">
              <w:rPr>
                <w:rFonts w:ascii="Garamond" w:eastAsiaTheme="minorHAnsi" w:hAnsi="Garamond"/>
                <w:sz w:val="18"/>
                <w:szCs w:val="18"/>
                <w:lang w:eastAsia="en-US"/>
              </w:rPr>
              <w:t xml:space="preserve">1 taksi </w:t>
            </w:r>
          </w:p>
        </w:tc>
        <w:tc>
          <w:tcPr>
            <w:tcW w:w="1056" w:type="dxa"/>
            <w:vAlign w:val="center"/>
            <w:hideMark/>
          </w:tcPr>
          <w:p w14:paraId="6EDCF9F0" w14:textId="77777777" w:rsidR="00A9766F" w:rsidRPr="007114AF" w:rsidRDefault="00A9766F" w:rsidP="00A9766F">
            <w:pPr>
              <w:rPr>
                <w:rFonts w:ascii="Garamond" w:eastAsiaTheme="minorHAnsi" w:hAnsi="Garamond"/>
                <w:sz w:val="18"/>
                <w:szCs w:val="18"/>
                <w:lang w:eastAsia="en-US"/>
              </w:rPr>
            </w:pPr>
            <w:r w:rsidRPr="007114AF">
              <w:rPr>
                <w:rFonts w:ascii="Garamond" w:eastAsiaTheme="minorHAnsi" w:hAnsi="Garamond"/>
                <w:sz w:val="18"/>
                <w:szCs w:val="18"/>
                <w:lang w:eastAsia="en-US"/>
              </w:rPr>
              <w:t xml:space="preserve">11.14 </w:t>
            </w:r>
          </w:p>
        </w:tc>
        <w:tc>
          <w:tcPr>
            <w:tcW w:w="1128" w:type="dxa"/>
            <w:vAlign w:val="center"/>
          </w:tcPr>
          <w:p w14:paraId="6EDCF9F1" w14:textId="77777777" w:rsidR="00A9766F" w:rsidRPr="007114AF" w:rsidRDefault="00A9766F" w:rsidP="00A9766F">
            <w:pPr>
              <w:rPr>
                <w:rFonts w:ascii="Garamond" w:eastAsiaTheme="minorHAnsi" w:hAnsi="Garamond"/>
                <w:sz w:val="18"/>
                <w:szCs w:val="18"/>
                <w:lang w:eastAsia="en-US"/>
              </w:rPr>
            </w:pPr>
            <w:r w:rsidRPr="007114AF">
              <w:rPr>
                <w:rFonts w:ascii="Garamond" w:eastAsiaTheme="minorHAnsi" w:hAnsi="Garamond"/>
                <w:sz w:val="18"/>
                <w:szCs w:val="18"/>
                <w:lang w:eastAsia="en-US"/>
              </w:rPr>
              <w:t xml:space="preserve">10,000 </w:t>
            </w:r>
          </w:p>
        </w:tc>
        <w:tc>
          <w:tcPr>
            <w:tcW w:w="1148" w:type="dxa"/>
            <w:vAlign w:val="center"/>
          </w:tcPr>
          <w:p w14:paraId="6EDCF9F2" w14:textId="77777777" w:rsidR="00A9766F" w:rsidRPr="007114AF" w:rsidRDefault="00A9766F" w:rsidP="00A9766F">
            <w:pPr>
              <w:rPr>
                <w:rFonts w:ascii="Garamond" w:eastAsiaTheme="minorHAnsi" w:hAnsi="Garamond"/>
                <w:sz w:val="18"/>
                <w:szCs w:val="18"/>
                <w:lang w:eastAsia="en-US"/>
              </w:rPr>
            </w:pPr>
            <w:r w:rsidRPr="007114AF">
              <w:rPr>
                <w:rFonts w:ascii="Garamond" w:eastAsiaTheme="minorHAnsi" w:hAnsi="Garamond"/>
                <w:sz w:val="18"/>
                <w:szCs w:val="18"/>
                <w:lang w:eastAsia="en-US"/>
              </w:rPr>
              <w:t xml:space="preserve">69.06 </w:t>
            </w:r>
          </w:p>
        </w:tc>
        <w:tc>
          <w:tcPr>
            <w:tcW w:w="1184" w:type="dxa"/>
            <w:vAlign w:val="center"/>
          </w:tcPr>
          <w:p w14:paraId="6EDCF9F3" w14:textId="77777777" w:rsidR="00A9766F" w:rsidRPr="007114AF" w:rsidRDefault="00A9766F" w:rsidP="00A9766F">
            <w:pPr>
              <w:rPr>
                <w:rFonts w:ascii="Garamond" w:eastAsiaTheme="minorHAnsi" w:hAnsi="Garamond"/>
                <w:sz w:val="18"/>
                <w:szCs w:val="18"/>
                <w:lang w:eastAsia="en-US"/>
              </w:rPr>
            </w:pPr>
            <w:r w:rsidRPr="007114AF">
              <w:rPr>
                <w:rFonts w:ascii="Garamond" w:eastAsiaTheme="minorHAnsi" w:hAnsi="Garamond"/>
                <w:sz w:val="18"/>
                <w:szCs w:val="18"/>
                <w:lang w:eastAsia="en-US"/>
              </w:rPr>
              <w:t xml:space="preserve">35,000 </w:t>
            </w:r>
          </w:p>
        </w:tc>
        <w:tc>
          <w:tcPr>
            <w:tcW w:w="1148" w:type="dxa"/>
            <w:vAlign w:val="center"/>
          </w:tcPr>
          <w:p w14:paraId="6EDCF9F4" w14:textId="77777777" w:rsidR="00A9766F" w:rsidRPr="007114AF" w:rsidRDefault="00A9766F" w:rsidP="00A9766F">
            <w:pPr>
              <w:rPr>
                <w:rFonts w:ascii="Garamond" w:eastAsiaTheme="minorHAnsi" w:hAnsi="Garamond"/>
                <w:sz w:val="18"/>
                <w:szCs w:val="18"/>
                <w:lang w:eastAsia="en-US"/>
              </w:rPr>
            </w:pPr>
            <w:r w:rsidRPr="007114AF">
              <w:rPr>
                <w:rFonts w:ascii="Garamond" w:eastAsiaTheme="minorHAnsi" w:hAnsi="Garamond"/>
                <w:sz w:val="18"/>
                <w:szCs w:val="18"/>
                <w:lang w:eastAsia="en-US"/>
              </w:rPr>
              <w:t>202.73</w:t>
            </w:r>
          </w:p>
        </w:tc>
      </w:tr>
      <w:tr w:rsidR="00A9766F" w:rsidRPr="007114AF" w14:paraId="6EDCF9FE" w14:textId="77777777" w:rsidTr="00A9766F">
        <w:trPr>
          <w:cnfStyle w:val="000000100000" w:firstRow="0" w:lastRow="0" w:firstColumn="0" w:lastColumn="0" w:oddVBand="0" w:evenVBand="0" w:oddHBand="1" w:evenHBand="0" w:firstRowFirstColumn="0" w:firstRowLastColumn="0" w:lastRowFirstColumn="0" w:lastRowLastColumn="0"/>
          <w:trHeight w:val="73"/>
          <w:jc w:val="center"/>
        </w:trPr>
        <w:tc>
          <w:tcPr>
            <w:tcW w:w="1668" w:type="dxa"/>
            <w:vAlign w:val="center"/>
            <w:hideMark/>
          </w:tcPr>
          <w:p w14:paraId="6EDCF9F6" w14:textId="77777777" w:rsidR="00A9766F" w:rsidRPr="007114AF" w:rsidRDefault="00A9766F" w:rsidP="00A9766F">
            <w:pPr>
              <w:rPr>
                <w:rFonts w:ascii="Garamond" w:eastAsiaTheme="minorHAnsi" w:hAnsi="Garamond"/>
                <w:sz w:val="18"/>
                <w:szCs w:val="18"/>
                <w:lang w:eastAsia="en-US"/>
              </w:rPr>
            </w:pPr>
            <w:r w:rsidRPr="007114AF">
              <w:rPr>
                <w:rFonts w:ascii="Garamond" w:eastAsiaTheme="minorHAnsi" w:hAnsi="Garamond"/>
                <w:sz w:val="18"/>
                <w:szCs w:val="18"/>
                <w:lang w:eastAsia="en-US"/>
              </w:rPr>
              <w:t>Ndriçimi efikas</w:t>
            </w:r>
          </w:p>
        </w:tc>
        <w:tc>
          <w:tcPr>
            <w:tcW w:w="998" w:type="dxa"/>
            <w:vAlign w:val="center"/>
            <w:hideMark/>
          </w:tcPr>
          <w:p w14:paraId="6EDCF9F7" w14:textId="77777777" w:rsidR="00A9766F" w:rsidRPr="007114AF" w:rsidRDefault="00A9766F" w:rsidP="00A9766F">
            <w:pPr>
              <w:rPr>
                <w:rFonts w:ascii="Garamond" w:eastAsiaTheme="minorHAnsi" w:hAnsi="Garamond"/>
                <w:sz w:val="18"/>
                <w:szCs w:val="18"/>
                <w:lang w:eastAsia="en-US"/>
              </w:rPr>
            </w:pPr>
            <w:r w:rsidRPr="007114AF">
              <w:rPr>
                <w:rFonts w:ascii="Garamond" w:eastAsiaTheme="minorHAnsi" w:hAnsi="Garamond"/>
                <w:sz w:val="18"/>
                <w:szCs w:val="18"/>
                <w:lang w:eastAsia="en-US"/>
              </w:rPr>
              <w:t xml:space="preserve">-153.79 </w:t>
            </w:r>
          </w:p>
        </w:tc>
        <w:tc>
          <w:tcPr>
            <w:tcW w:w="1246" w:type="dxa"/>
            <w:vAlign w:val="center"/>
            <w:hideMark/>
          </w:tcPr>
          <w:p w14:paraId="6EDCF9F8" w14:textId="77777777" w:rsidR="00A9766F" w:rsidRPr="007114AF" w:rsidRDefault="00A9766F" w:rsidP="00A9766F">
            <w:pPr>
              <w:rPr>
                <w:rFonts w:ascii="Garamond" w:eastAsiaTheme="minorHAnsi" w:hAnsi="Garamond"/>
                <w:sz w:val="18"/>
                <w:szCs w:val="18"/>
                <w:lang w:eastAsia="en-US"/>
              </w:rPr>
            </w:pPr>
            <w:r w:rsidRPr="007114AF">
              <w:rPr>
                <w:rFonts w:ascii="Garamond" w:eastAsiaTheme="minorHAnsi" w:hAnsi="Garamond"/>
                <w:sz w:val="18"/>
                <w:szCs w:val="18"/>
                <w:lang w:eastAsia="en-US"/>
              </w:rPr>
              <w:t>1000 llamba</w:t>
            </w:r>
          </w:p>
        </w:tc>
        <w:tc>
          <w:tcPr>
            <w:tcW w:w="1056" w:type="dxa"/>
            <w:vAlign w:val="center"/>
            <w:hideMark/>
          </w:tcPr>
          <w:p w14:paraId="6EDCF9F9" w14:textId="77777777" w:rsidR="00A9766F" w:rsidRPr="007114AF" w:rsidRDefault="00A9766F" w:rsidP="00A9766F">
            <w:pPr>
              <w:rPr>
                <w:rFonts w:ascii="Garamond" w:eastAsiaTheme="minorHAnsi" w:hAnsi="Garamond"/>
                <w:sz w:val="18"/>
                <w:szCs w:val="18"/>
                <w:lang w:eastAsia="en-US"/>
              </w:rPr>
            </w:pPr>
            <w:r w:rsidRPr="007114AF">
              <w:rPr>
                <w:rFonts w:ascii="Garamond" w:eastAsiaTheme="minorHAnsi" w:hAnsi="Garamond"/>
                <w:sz w:val="18"/>
                <w:szCs w:val="18"/>
                <w:lang w:eastAsia="en-US"/>
              </w:rPr>
              <w:t xml:space="preserve">0.15 </w:t>
            </w:r>
          </w:p>
        </w:tc>
        <w:tc>
          <w:tcPr>
            <w:tcW w:w="1128" w:type="dxa"/>
            <w:vAlign w:val="center"/>
          </w:tcPr>
          <w:p w14:paraId="6EDCF9FA" w14:textId="77777777" w:rsidR="00A9766F" w:rsidRPr="007114AF" w:rsidRDefault="00A9766F" w:rsidP="00A9766F">
            <w:pPr>
              <w:rPr>
                <w:rFonts w:ascii="Garamond" w:eastAsiaTheme="minorHAnsi" w:hAnsi="Garamond"/>
                <w:sz w:val="18"/>
                <w:szCs w:val="18"/>
                <w:lang w:eastAsia="en-US"/>
              </w:rPr>
            </w:pPr>
            <w:r w:rsidRPr="007114AF">
              <w:rPr>
                <w:rFonts w:ascii="Garamond" w:eastAsiaTheme="minorHAnsi" w:hAnsi="Garamond"/>
                <w:sz w:val="18"/>
                <w:szCs w:val="18"/>
                <w:lang w:eastAsia="en-US"/>
              </w:rPr>
              <w:t xml:space="preserve">900 </w:t>
            </w:r>
          </w:p>
        </w:tc>
        <w:tc>
          <w:tcPr>
            <w:tcW w:w="1148" w:type="dxa"/>
            <w:vAlign w:val="center"/>
          </w:tcPr>
          <w:p w14:paraId="6EDCF9FB" w14:textId="77777777" w:rsidR="00A9766F" w:rsidRPr="007114AF" w:rsidRDefault="00A9766F" w:rsidP="00A9766F">
            <w:pPr>
              <w:rPr>
                <w:rFonts w:ascii="Garamond" w:eastAsiaTheme="minorHAnsi" w:hAnsi="Garamond"/>
                <w:sz w:val="18"/>
                <w:szCs w:val="18"/>
                <w:lang w:eastAsia="en-US"/>
              </w:rPr>
            </w:pPr>
            <w:r w:rsidRPr="007114AF">
              <w:rPr>
                <w:rFonts w:ascii="Garamond" w:eastAsiaTheme="minorHAnsi" w:hAnsi="Garamond"/>
                <w:sz w:val="18"/>
                <w:szCs w:val="18"/>
                <w:lang w:eastAsia="en-US"/>
              </w:rPr>
              <w:t xml:space="preserve">0.09 </w:t>
            </w:r>
          </w:p>
        </w:tc>
        <w:tc>
          <w:tcPr>
            <w:tcW w:w="1184" w:type="dxa"/>
            <w:vAlign w:val="center"/>
          </w:tcPr>
          <w:p w14:paraId="6EDCF9FC" w14:textId="77777777" w:rsidR="00A9766F" w:rsidRPr="007114AF" w:rsidRDefault="00A9766F" w:rsidP="00A9766F">
            <w:pPr>
              <w:rPr>
                <w:rFonts w:ascii="Garamond" w:eastAsiaTheme="minorHAnsi" w:hAnsi="Garamond"/>
                <w:sz w:val="18"/>
                <w:szCs w:val="18"/>
                <w:lang w:eastAsia="en-US"/>
              </w:rPr>
            </w:pPr>
            <w:r w:rsidRPr="007114AF">
              <w:rPr>
                <w:rFonts w:ascii="Garamond" w:eastAsiaTheme="minorHAnsi" w:hAnsi="Garamond"/>
                <w:sz w:val="18"/>
                <w:szCs w:val="18"/>
                <w:lang w:eastAsia="en-US"/>
              </w:rPr>
              <w:t xml:space="preserve">4,420 </w:t>
            </w:r>
          </w:p>
        </w:tc>
        <w:tc>
          <w:tcPr>
            <w:tcW w:w="1148" w:type="dxa"/>
            <w:vAlign w:val="center"/>
          </w:tcPr>
          <w:p w14:paraId="6EDCF9FD" w14:textId="77777777" w:rsidR="00A9766F" w:rsidRPr="007114AF" w:rsidRDefault="00A9766F" w:rsidP="00A9766F">
            <w:pPr>
              <w:rPr>
                <w:rFonts w:ascii="Garamond" w:eastAsiaTheme="minorHAnsi" w:hAnsi="Garamond"/>
                <w:sz w:val="18"/>
                <w:szCs w:val="18"/>
                <w:lang w:eastAsia="en-US"/>
              </w:rPr>
            </w:pPr>
            <w:r w:rsidRPr="007114AF">
              <w:rPr>
                <w:rFonts w:ascii="Garamond" w:eastAsiaTheme="minorHAnsi" w:hAnsi="Garamond"/>
                <w:sz w:val="18"/>
                <w:szCs w:val="18"/>
                <w:lang w:eastAsia="en-US"/>
              </w:rPr>
              <w:t>0.35</w:t>
            </w:r>
          </w:p>
        </w:tc>
      </w:tr>
      <w:tr w:rsidR="00A9766F" w:rsidRPr="007114AF" w14:paraId="6EDCFA07" w14:textId="77777777" w:rsidTr="00A9766F">
        <w:trPr>
          <w:trHeight w:val="73"/>
          <w:jc w:val="center"/>
        </w:trPr>
        <w:tc>
          <w:tcPr>
            <w:tcW w:w="1668" w:type="dxa"/>
            <w:vAlign w:val="center"/>
            <w:hideMark/>
          </w:tcPr>
          <w:p w14:paraId="6EDCF9FF" w14:textId="77777777" w:rsidR="00A9766F" w:rsidRPr="007114AF" w:rsidRDefault="00A9766F" w:rsidP="00A9766F">
            <w:pPr>
              <w:rPr>
                <w:rFonts w:ascii="Garamond" w:eastAsiaTheme="minorHAnsi" w:hAnsi="Garamond"/>
                <w:sz w:val="18"/>
                <w:szCs w:val="18"/>
                <w:lang w:eastAsia="en-US"/>
              </w:rPr>
            </w:pPr>
            <w:r w:rsidRPr="007114AF">
              <w:rPr>
                <w:rFonts w:ascii="Garamond" w:eastAsiaTheme="minorHAnsi" w:hAnsi="Garamond"/>
                <w:sz w:val="18"/>
                <w:szCs w:val="18"/>
                <w:lang w:eastAsia="en-US"/>
              </w:rPr>
              <w:t xml:space="preserve">Bojlerë efikasë lëndë djegëse naftë -dizel </w:t>
            </w:r>
          </w:p>
        </w:tc>
        <w:tc>
          <w:tcPr>
            <w:tcW w:w="998" w:type="dxa"/>
            <w:vAlign w:val="center"/>
            <w:hideMark/>
          </w:tcPr>
          <w:p w14:paraId="6EDCFA00" w14:textId="77777777" w:rsidR="00A9766F" w:rsidRPr="007114AF" w:rsidRDefault="00A9766F" w:rsidP="00A9766F">
            <w:pPr>
              <w:rPr>
                <w:rFonts w:ascii="Garamond" w:eastAsiaTheme="minorHAnsi" w:hAnsi="Garamond"/>
                <w:sz w:val="18"/>
                <w:szCs w:val="18"/>
                <w:lang w:eastAsia="en-US"/>
              </w:rPr>
            </w:pPr>
            <w:r w:rsidRPr="007114AF">
              <w:rPr>
                <w:rFonts w:ascii="Garamond" w:eastAsiaTheme="minorHAnsi" w:hAnsi="Garamond"/>
                <w:sz w:val="18"/>
                <w:szCs w:val="18"/>
                <w:lang w:eastAsia="en-US"/>
              </w:rPr>
              <w:t xml:space="preserve">-85.70 </w:t>
            </w:r>
          </w:p>
        </w:tc>
        <w:tc>
          <w:tcPr>
            <w:tcW w:w="1246" w:type="dxa"/>
            <w:vAlign w:val="center"/>
            <w:hideMark/>
          </w:tcPr>
          <w:p w14:paraId="6EDCFA01" w14:textId="77777777" w:rsidR="00A9766F" w:rsidRPr="007114AF" w:rsidRDefault="00A9766F" w:rsidP="00A9766F">
            <w:pPr>
              <w:rPr>
                <w:rFonts w:ascii="Garamond" w:eastAsiaTheme="minorHAnsi" w:hAnsi="Garamond"/>
                <w:sz w:val="18"/>
                <w:szCs w:val="18"/>
                <w:lang w:eastAsia="en-US"/>
              </w:rPr>
            </w:pPr>
            <w:r w:rsidRPr="007114AF">
              <w:rPr>
                <w:rFonts w:ascii="Garamond" w:eastAsiaTheme="minorHAnsi" w:hAnsi="Garamond"/>
                <w:sz w:val="18"/>
                <w:szCs w:val="18"/>
                <w:lang w:eastAsia="en-US"/>
              </w:rPr>
              <w:t xml:space="preserve">bojler </w:t>
            </w:r>
          </w:p>
        </w:tc>
        <w:tc>
          <w:tcPr>
            <w:tcW w:w="1056" w:type="dxa"/>
            <w:vAlign w:val="center"/>
            <w:hideMark/>
          </w:tcPr>
          <w:p w14:paraId="6EDCFA02" w14:textId="77777777" w:rsidR="00A9766F" w:rsidRPr="007114AF" w:rsidRDefault="00A9766F" w:rsidP="00A9766F">
            <w:pPr>
              <w:rPr>
                <w:rFonts w:ascii="Garamond" w:eastAsiaTheme="minorHAnsi" w:hAnsi="Garamond"/>
                <w:sz w:val="18"/>
                <w:szCs w:val="18"/>
                <w:lang w:eastAsia="en-US"/>
              </w:rPr>
            </w:pPr>
            <w:r w:rsidRPr="007114AF">
              <w:rPr>
                <w:rFonts w:ascii="Garamond" w:eastAsiaTheme="minorHAnsi" w:hAnsi="Garamond"/>
                <w:sz w:val="18"/>
                <w:szCs w:val="18"/>
                <w:lang w:eastAsia="en-US"/>
              </w:rPr>
              <w:t xml:space="preserve">492.56 </w:t>
            </w:r>
          </w:p>
        </w:tc>
        <w:tc>
          <w:tcPr>
            <w:tcW w:w="1128" w:type="dxa"/>
            <w:vAlign w:val="center"/>
          </w:tcPr>
          <w:p w14:paraId="6EDCFA03" w14:textId="77777777" w:rsidR="00A9766F" w:rsidRPr="007114AF" w:rsidRDefault="00A9766F" w:rsidP="00A9766F">
            <w:pPr>
              <w:rPr>
                <w:rFonts w:ascii="Garamond" w:eastAsiaTheme="minorHAnsi" w:hAnsi="Garamond"/>
                <w:sz w:val="18"/>
                <w:szCs w:val="18"/>
                <w:lang w:eastAsia="en-US"/>
              </w:rPr>
            </w:pPr>
            <w:r w:rsidRPr="007114AF">
              <w:rPr>
                <w:rFonts w:ascii="Garamond" w:eastAsiaTheme="minorHAnsi" w:hAnsi="Garamond"/>
                <w:sz w:val="18"/>
                <w:szCs w:val="18"/>
                <w:lang w:eastAsia="en-US"/>
              </w:rPr>
              <w:t xml:space="preserve">360 </w:t>
            </w:r>
          </w:p>
        </w:tc>
        <w:tc>
          <w:tcPr>
            <w:tcW w:w="1148" w:type="dxa"/>
            <w:vAlign w:val="center"/>
          </w:tcPr>
          <w:p w14:paraId="6EDCFA04" w14:textId="77777777" w:rsidR="00A9766F" w:rsidRPr="007114AF" w:rsidRDefault="00A9766F" w:rsidP="00A9766F">
            <w:pPr>
              <w:rPr>
                <w:rFonts w:ascii="Garamond" w:eastAsiaTheme="minorHAnsi" w:hAnsi="Garamond"/>
                <w:sz w:val="18"/>
                <w:szCs w:val="18"/>
                <w:lang w:eastAsia="en-US"/>
              </w:rPr>
            </w:pPr>
            <w:r w:rsidRPr="007114AF">
              <w:rPr>
                <w:rFonts w:ascii="Garamond" w:eastAsiaTheme="minorHAnsi" w:hAnsi="Garamond"/>
                <w:sz w:val="18"/>
                <w:szCs w:val="18"/>
                <w:lang w:eastAsia="en-US"/>
              </w:rPr>
              <w:t xml:space="preserve">109.94 </w:t>
            </w:r>
          </w:p>
        </w:tc>
        <w:tc>
          <w:tcPr>
            <w:tcW w:w="1184" w:type="dxa"/>
            <w:vAlign w:val="center"/>
          </w:tcPr>
          <w:p w14:paraId="6EDCFA05" w14:textId="77777777" w:rsidR="00A9766F" w:rsidRPr="007114AF" w:rsidRDefault="00A9766F" w:rsidP="00A9766F">
            <w:pPr>
              <w:rPr>
                <w:rFonts w:ascii="Garamond" w:eastAsiaTheme="minorHAnsi" w:hAnsi="Garamond"/>
                <w:sz w:val="18"/>
                <w:szCs w:val="18"/>
                <w:lang w:eastAsia="en-US"/>
              </w:rPr>
            </w:pPr>
            <w:r w:rsidRPr="007114AF">
              <w:rPr>
                <w:rFonts w:ascii="Garamond" w:eastAsiaTheme="minorHAnsi" w:hAnsi="Garamond"/>
                <w:sz w:val="18"/>
                <w:szCs w:val="18"/>
                <w:lang w:eastAsia="en-US"/>
              </w:rPr>
              <w:t xml:space="preserve">500 </w:t>
            </w:r>
          </w:p>
        </w:tc>
        <w:tc>
          <w:tcPr>
            <w:tcW w:w="1148" w:type="dxa"/>
            <w:vAlign w:val="center"/>
          </w:tcPr>
          <w:p w14:paraId="6EDCFA06" w14:textId="77777777" w:rsidR="00A9766F" w:rsidRPr="007114AF" w:rsidRDefault="00A9766F" w:rsidP="00A9766F">
            <w:pPr>
              <w:rPr>
                <w:rFonts w:ascii="Garamond" w:eastAsiaTheme="minorHAnsi" w:hAnsi="Garamond"/>
                <w:sz w:val="18"/>
                <w:szCs w:val="18"/>
                <w:lang w:eastAsia="en-US"/>
              </w:rPr>
            </w:pPr>
            <w:r w:rsidRPr="007114AF">
              <w:rPr>
                <w:rFonts w:ascii="Garamond" w:eastAsiaTheme="minorHAnsi" w:hAnsi="Garamond"/>
                <w:sz w:val="18"/>
                <w:szCs w:val="18"/>
                <w:lang w:eastAsia="en-US"/>
              </w:rPr>
              <w:t>128.06</w:t>
            </w:r>
          </w:p>
        </w:tc>
      </w:tr>
      <w:tr w:rsidR="00A9766F" w:rsidRPr="007114AF" w14:paraId="6EDCFA10" w14:textId="77777777" w:rsidTr="00A9766F">
        <w:trPr>
          <w:cnfStyle w:val="000000100000" w:firstRow="0" w:lastRow="0" w:firstColumn="0" w:lastColumn="0" w:oddVBand="0" w:evenVBand="0" w:oddHBand="1" w:evenHBand="0" w:firstRowFirstColumn="0" w:firstRowLastColumn="0" w:lastRowFirstColumn="0" w:lastRowLastColumn="0"/>
          <w:trHeight w:val="73"/>
          <w:jc w:val="center"/>
        </w:trPr>
        <w:tc>
          <w:tcPr>
            <w:tcW w:w="1668" w:type="dxa"/>
            <w:vAlign w:val="center"/>
            <w:hideMark/>
          </w:tcPr>
          <w:p w14:paraId="6EDCFA08" w14:textId="77777777" w:rsidR="00A9766F" w:rsidRPr="007114AF" w:rsidRDefault="00A9766F" w:rsidP="00A9766F">
            <w:pPr>
              <w:rPr>
                <w:rFonts w:ascii="Garamond" w:eastAsiaTheme="minorHAnsi" w:hAnsi="Garamond"/>
                <w:sz w:val="18"/>
                <w:szCs w:val="18"/>
                <w:lang w:eastAsia="en-US"/>
              </w:rPr>
            </w:pPr>
            <w:r w:rsidRPr="007114AF">
              <w:rPr>
                <w:rFonts w:ascii="Garamond" w:eastAsiaTheme="minorHAnsi" w:hAnsi="Garamond"/>
                <w:sz w:val="18"/>
                <w:szCs w:val="18"/>
                <w:lang w:eastAsia="en-US"/>
              </w:rPr>
              <w:t>Metan nga ujërat e zeza</w:t>
            </w:r>
          </w:p>
        </w:tc>
        <w:tc>
          <w:tcPr>
            <w:tcW w:w="998" w:type="dxa"/>
            <w:vAlign w:val="center"/>
            <w:hideMark/>
          </w:tcPr>
          <w:p w14:paraId="6EDCFA09" w14:textId="77777777" w:rsidR="00A9766F" w:rsidRPr="007114AF" w:rsidRDefault="00A9766F" w:rsidP="00A9766F">
            <w:pPr>
              <w:rPr>
                <w:rFonts w:ascii="Garamond" w:eastAsiaTheme="minorHAnsi" w:hAnsi="Garamond"/>
                <w:sz w:val="18"/>
                <w:szCs w:val="18"/>
                <w:lang w:eastAsia="en-US"/>
              </w:rPr>
            </w:pPr>
            <w:r w:rsidRPr="007114AF">
              <w:rPr>
                <w:rFonts w:ascii="Garamond" w:eastAsiaTheme="minorHAnsi" w:hAnsi="Garamond"/>
                <w:sz w:val="18"/>
                <w:szCs w:val="18"/>
                <w:lang w:eastAsia="en-US"/>
              </w:rPr>
              <w:t xml:space="preserve">-69.94 </w:t>
            </w:r>
          </w:p>
        </w:tc>
        <w:tc>
          <w:tcPr>
            <w:tcW w:w="1246" w:type="dxa"/>
            <w:vAlign w:val="center"/>
            <w:hideMark/>
          </w:tcPr>
          <w:p w14:paraId="6EDCFA0A" w14:textId="77777777" w:rsidR="00A9766F" w:rsidRPr="007114AF" w:rsidRDefault="00A9766F" w:rsidP="00A9766F">
            <w:pPr>
              <w:rPr>
                <w:rFonts w:ascii="Garamond" w:eastAsiaTheme="minorHAnsi" w:hAnsi="Garamond"/>
                <w:sz w:val="18"/>
                <w:szCs w:val="18"/>
                <w:lang w:eastAsia="en-US"/>
              </w:rPr>
            </w:pPr>
            <w:r w:rsidRPr="007114AF">
              <w:rPr>
                <w:rFonts w:ascii="Garamond" w:eastAsiaTheme="minorHAnsi" w:hAnsi="Garamond"/>
                <w:sz w:val="18"/>
                <w:szCs w:val="18"/>
                <w:lang w:eastAsia="en-US"/>
              </w:rPr>
              <w:t>impiant</w:t>
            </w:r>
          </w:p>
        </w:tc>
        <w:tc>
          <w:tcPr>
            <w:tcW w:w="1056" w:type="dxa"/>
            <w:vAlign w:val="center"/>
            <w:hideMark/>
          </w:tcPr>
          <w:p w14:paraId="6EDCFA0B" w14:textId="77777777" w:rsidR="00A9766F" w:rsidRPr="007114AF" w:rsidRDefault="00A9766F" w:rsidP="00A9766F">
            <w:pPr>
              <w:rPr>
                <w:rFonts w:ascii="Garamond" w:eastAsiaTheme="minorHAnsi" w:hAnsi="Garamond"/>
                <w:sz w:val="18"/>
                <w:szCs w:val="18"/>
                <w:lang w:eastAsia="en-US"/>
              </w:rPr>
            </w:pPr>
            <w:r w:rsidRPr="007114AF">
              <w:rPr>
                <w:rFonts w:ascii="Garamond" w:eastAsiaTheme="minorHAnsi" w:hAnsi="Garamond"/>
                <w:sz w:val="18"/>
                <w:szCs w:val="18"/>
                <w:lang w:eastAsia="en-US"/>
              </w:rPr>
              <w:t xml:space="preserve">820.52 </w:t>
            </w:r>
          </w:p>
        </w:tc>
        <w:tc>
          <w:tcPr>
            <w:tcW w:w="1128" w:type="dxa"/>
            <w:vAlign w:val="center"/>
          </w:tcPr>
          <w:p w14:paraId="6EDCFA0C" w14:textId="77777777" w:rsidR="00A9766F" w:rsidRPr="007114AF" w:rsidRDefault="00A9766F" w:rsidP="00A9766F">
            <w:pPr>
              <w:rPr>
                <w:rFonts w:ascii="Garamond" w:eastAsiaTheme="minorHAnsi" w:hAnsi="Garamond"/>
                <w:sz w:val="18"/>
                <w:szCs w:val="18"/>
                <w:lang w:eastAsia="en-US"/>
              </w:rPr>
            </w:pPr>
            <w:r w:rsidRPr="007114AF">
              <w:rPr>
                <w:rFonts w:ascii="Garamond" w:eastAsiaTheme="minorHAnsi" w:hAnsi="Garamond"/>
                <w:sz w:val="18"/>
                <w:szCs w:val="18"/>
                <w:lang w:eastAsia="en-US"/>
              </w:rPr>
              <w:t xml:space="preserve">1 </w:t>
            </w:r>
          </w:p>
        </w:tc>
        <w:tc>
          <w:tcPr>
            <w:tcW w:w="1148" w:type="dxa"/>
            <w:vAlign w:val="center"/>
          </w:tcPr>
          <w:p w14:paraId="6EDCFA0D" w14:textId="77777777" w:rsidR="00A9766F" w:rsidRPr="007114AF" w:rsidRDefault="00A9766F" w:rsidP="00A9766F">
            <w:pPr>
              <w:rPr>
                <w:rFonts w:ascii="Garamond" w:eastAsiaTheme="minorHAnsi" w:hAnsi="Garamond"/>
                <w:sz w:val="18"/>
                <w:szCs w:val="18"/>
                <w:lang w:eastAsia="en-US"/>
              </w:rPr>
            </w:pPr>
            <w:r w:rsidRPr="007114AF">
              <w:rPr>
                <w:rFonts w:ascii="Garamond" w:eastAsiaTheme="minorHAnsi" w:hAnsi="Garamond"/>
                <w:sz w:val="18"/>
                <w:szCs w:val="18"/>
                <w:lang w:eastAsia="en-US"/>
              </w:rPr>
              <w:t xml:space="preserve">0.51 </w:t>
            </w:r>
          </w:p>
        </w:tc>
        <w:tc>
          <w:tcPr>
            <w:tcW w:w="1184" w:type="dxa"/>
            <w:vAlign w:val="center"/>
          </w:tcPr>
          <w:p w14:paraId="6EDCFA0E" w14:textId="77777777" w:rsidR="00A9766F" w:rsidRPr="007114AF" w:rsidRDefault="00A9766F" w:rsidP="00A9766F">
            <w:pPr>
              <w:rPr>
                <w:rFonts w:ascii="Garamond" w:eastAsiaTheme="minorHAnsi" w:hAnsi="Garamond"/>
                <w:sz w:val="18"/>
                <w:szCs w:val="18"/>
                <w:lang w:eastAsia="en-US"/>
              </w:rPr>
            </w:pPr>
            <w:r w:rsidRPr="007114AF">
              <w:rPr>
                <w:rFonts w:ascii="Garamond" w:eastAsiaTheme="minorHAnsi" w:hAnsi="Garamond"/>
                <w:sz w:val="18"/>
                <w:szCs w:val="18"/>
                <w:lang w:eastAsia="en-US"/>
              </w:rPr>
              <w:t xml:space="preserve">3 </w:t>
            </w:r>
          </w:p>
        </w:tc>
        <w:tc>
          <w:tcPr>
            <w:tcW w:w="1148" w:type="dxa"/>
            <w:vAlign w:val="center"/>
          </w:tcPr>
          <w:p w14:paraId="6EDCFA0F" w14:textId="77777777" w:rsidR="00A9766F" w:rsidRPr="007114AF" w:rsidRDefault="00A9766F" w:rsidP="00A9766F">
            <w:pPr>
              <w:rPr>
                <w:rFonts w:ascii="Garamond" w:eastAsiaTheme="minorHAnsi" w:hAnsi="Garamond"/>
                <w:sz w:val="18"/>
                <w:szCs w:val="18"/>
                <w:lang w:eastAsia="en-US"/>
              </w:rPr>
            </w:pPr>
            <w:r w:rsidRPr="007114AF">
              <w:rPr>
                <w:rFonts w:ascii="Garamond" w:eastAsiaTheme="minorHAnsi" w:hAnsi="Garamond"/>
                <w:sz w:val="18"/>
                <w:szCs w:val="18"/>
                <w:lang w:eastAsia="en-US"/>
              </w:rPr>
              <w:t>1.28</w:t>
            </w:r>
          </w:p>
        </w:tc>
      </w:tr>
      <w:tr w:rsidR="00A9766F" w:rsidRPr="007114AF" w14:paraId="6EDCFA19" w14:textId="77777777" w:rsidTr="00A9766F">
        <w:trPr>
          <w:trHeight w:val="73"/>
          <w:jc w:val="center"/>
        </w:trPr>
        <w:tc>
          <w:tcPr>
            <w:tcW w:w="1668" w:type="dxa"/>
            <w:vAlign w:val="center"/>
            <w:hideMark/>
          </w:tcPr>
          <w:p w14:paraId="6EDCFA11" w14:textId="77777777" w:rsidR="00A9766F" w:rsidRPr="007114AF" w:rsidRDefault="00A9766F" w:rsidP="00A9766F">
            <w:pPr>
              <w:rPr>
                <w:rFonts w:ascii="Garamond" w:eastAsiaTheme="minorHAnsi" w:hAnsi="Garamond"/>
                <w:sz w:val="18"/>
                <w:szCs w:val="18"/>
                <w:lang w:eastAsia="en-US"/>
              </w:rPr>
            </w:pPr>
            <w:r w:rsidRPr="007114AF">
              <w:rPr>
                <w:rFonts w:ascii="Garamond" w:eastAsiaTheme="minorHAnsi" w:hAnsi="Garamond"/>
                <w:sz w:val="18"/>
                <w:szCs w:val="18"/>
                <w:lang w:eastAsia="en-US"/>
              </w:rPr>
              <w:t>Boljerë efikasë qymyr</w:t>
            </w:r>
          </w:p>
        </w:tc>
        <w:tc>
          <w:tcPr>
            <w:tcW w:w="998" w:type="dxa"/>
            <w:vAlign w:val="center"/>
            <w:hideMark/>
          </w:tcPr>
          <w:p w14:paraId="6EDCFA12" w14:textId="77777777" w:rsidR="00A9766F" w:rsidRPr="007114AF" w:rsidRDefault="00A9766F" w:rsidP="00A9766F">
            <w:pPr>
              <w:rPr>
                <w:rFonts w:ascii="Garamond" w:eastAsiaTheme="minorHAnsi" w:hAnsi="Garamond"/>
                <w:sz w:val="18"/>
                <w:szCs w:val="18"/>
                <w:lang w:eastAsia="en-US"/>
              </w:rPr>
            </w:pPr>
            <w:r w:rsidRPr="007114AF">
              <w:rPr>
                <w:rFonts w:ascii="Garamond" w:eastAsiaTheme="minorHAnsi" w:hAnsi="Garamond"/>
                <w:sz w:val="18"/>
                <w:szCs w:val="18"/>
                <w:lang w:eastAsia="en-US"/>
              </w:rPr>
              <w:t xml:space="preserve">-68.47 </w:t>
            </w:r>
          </w:p>
        </w:tc>
        <w:tc>
          <w:tcPr>
            <w:tcW w:w="1246" w:type="dxa"/>
            <w:vAlign w:val="center"/>
            <w:hideMark/>
          </w:tcPr>
          <w:p w14:paraId="6EDCFA13" w14:textId="77777777" w:rsidR="00A9766F" w:rsidRPr="007114AF" w:rsidRDefault="00A9766F" w:rsidP="00A9766F">
            <w:pPr>
              <w:rPr>
                <w:rFonts w:ascii="Garamond" w:eastAsiaTheme="minorHAnsi" w:hAnsi="Garamond"/>
                <w:sz w:val="18"/>
                <w:szCs w:val="18"/>
                <w:lang w:eastAsia="en-US"/>
              </w:rPr>
            </w:pPr>
            <w:r w:rsidRPr="007114AF">
              <w:rPr>
                <w:rFonts w:ascii="Garamond" w:eastAsiaTheme="minorHAnsi" w:hAnsi="Garamond"/>
                <w:sz w:val="18"/>
                <w:szCs w:val="18"/>
                <w:lang w:eastAsia="en-US"/>
              </w:rPr>
              <w:t xml:space="preserve">bojler </w:t>
            </w:r>
          </w:p>
        </w:tc>
        <w:tc>
          <w:tcPr>
            <w:tcW w:w="1056" w:type="dxa"/>
            <w:vAlign w:val="center"/>
            <w:hideMark/>
          </w:tcPr>
          <w:p w14:paraId="6EDCFA14" w14:textId="77777777" w:rsidR="00A9766F" w:rsidRPr="007114AF" w:rsidRDefault="00A9766F" w:rsidP="00A9766F">
            <w:pPr>
              <w:rPr>
                <w:rFonts w:ascii="Garamond" w:eastAsiaTheme="minorHAnsi" w:hAnsi="Garamond"/>
                <w:sz w:val="18"/>
                <w:szCs w:val="18"/>
                <w:lang w:eastAsia="en-US"/>
              </w:rPr>
            </w:pPr>
            <w:r w:rsidRPr="007114AF">
              <w:rPr>
                <w:rFonts w:ascii="Garamond" w:eastAsiaTheme="minorHAnsi" w:hAnsi="Garamond"/>
                <w:sz w:val="18"/>
                <w:szCs w:val="18"/>
                <w:lang w:eastAsia="en-US"/>
              </w:rPr>
              <w:t xml:space="preserve">929.39 </w:t>
            </w:r>
          </w:p>
        </w:tc>
        <w:tc>
          <w:tcPr>
            <w:tcW w:w="1128" w:type="dxa"/>
            <w:vAlign w:val="center"/>
          </w:tcPr>
          <w:p w14:paraId="6EDCFA15" w14:textId="77777777" w:rsidR="00A9766F" w:rsidRPr="007114AF" w:rsidRDefault="00A9766F" w:rsidP="00A9766F">
            <w:pPr>
              <w:rPr>
                <w:rFonts w:ascii="Garamond" w:eastAsiaTheme="minorHAnsi" w:hAnsi="Garamond"/>
                <w:sz w:val="18"/>
                <w:szCs w:val="18"/>
                <w:lang w:eastAsia="en-US"/>
              </w:rPr>
            </w:pPr>
            <w:r w:rsidRPr="007114AF">
              <w:rPr>
                <w:rFonts w:ascii="Garamond" w:eastAsiaTheme="minorHAnsi" w:hAnsi="Garamond"/>
                <w:sz w:val="18"/>
                <w:szCs w:val="18"/>
                <w:lang w:eastAsia="en-US"/>
              </w:rPr>
              <w:t xml:space="preserve">50 </w:t>
            </w:r>
          </w:p>
        </w:tc>
        <w:tc>
          <w:tcPr>
            <w:tcW w:w="1148" w:type="dxa"/>
            <w:vAlign w:val="center"/>
          </w:tcPr>
          <w:p w14:paraId="6EDCFA16" w14:textId="77777777" w:rsidR="00A9766F" w:rsidRPr="007114AF" w:rsidRDefault="00A9766F" w:rsidP="00A9766F">
            <w:pPr>
              <w:rPr>
                <w:rFonts w:ascii="Garamond" w:eastAsiaTheme="minorHAnsi" w:hAnsi="Garamond"/>
                <w:sz w:val="18"/>
                <w:szCs w:val="18"/>
                <w:lang w:eastAsia="en-US"/>
              </w:rPr>
            </w:pPr>
            <w:r w:rsidRPr="007114AF">
              <w:rPr>
                <w:rFonts w:ascii="Garamond" w:eastAsiaTheme="minorHAnsi" w:hAnsi="Garamond"/>
                <w:sz w:val="18"/>
                <w:szCs w:val="18"/>
                <w:lang w:eastAsia="en-US"/>
              </w:rPr>
              <w:t xml:space="preserve">28.81 </w:t>
            </w:r>
          </w:p>
        </w:tc>
        <w:tc>
          <w:tcPr>
            <w:tcW w:w="1184" w:type="dxa"/>
            <w:vAlign w:val="center"/>
          </w:tcPr>
          <w:p w14:paraId="6EDCFA17" w14:textId="77777777" w:rsidR="00A9766F" w:rsidRPr="007114AF" w:rsidRDefault="00A9766F" w:rsidP="00A9766F">
            <w:pPr>
              <w:rPr>
                <w:rFonts w:ascii="Garamond" w:eastAsiaTheme="minorHAnsi" w:hAnsi="Garamond"/>
                <w:sz w:val="18"/>
                <w:szCs w:val="18"/>
                <w:lang w:eastAsia="en-US"/>
              </w:rPr>
            </w:pPr>
            <w:r w:rsidRPr="007114AF">
              <w:rPr>
                <w:rFonts w:ascii="Garamond" w:eastAsiaTheme="minorHAnsi" w:hAnsi="Garamond"/>
                <w:sz w:val="18"/>
                <w:szCs w:val="18"/>
                <w:lang w:eastAsia="en-US"/>
              </w:rPr>
              <w:t xml:space="preserve">200 </w:t>
            </w:r>
          </w:p>
        </w:tc>
        <w:tc>
          <w:tcPr>
            <w:tcW w:w="1148" w:type="dxa"/>
            <w:vAlign w:val="center"/>
          </w:tcPr>
          <w:p w14:paraId="6EDCFA18" w14:textId="77777777" w:rsidR="00A9766F" w:rsidRPr="007114AF" w:rsidRDefault="00A9766F" w:rsidP="00A9766F">
            <w:pPr>
              <w:rPr>
                <w:rFonts w:ascii="Garamond" w:eastAsiaTheme="minorHAnsi" w:hAnsi="Garamond"/>
                <w:sz w:val="18"/>
                <w:szCs w:val="18"/>
                <w:lang w:eastAsia="en-US"/>
              </w:rPr>
            </w:pPr>
            <w:r w:rsidRPr="007114AF">
              <w:rPr>
                <w:rFonts w:ascii="Garamond" w:eastAsiaTheme="minorHAnsi" w:hAnsi="Garamond"/>
                <w:sz w:val="18"/>
                <w:szCs w:val="18"/>
                <w:lang w:eastAsia="en-US"/>
              </w:rPr>
              <w:t>96.65</w:t>
            </w:r>
          </w:p>
        </w:tc>
      </w:tr>
      <w:tr w:rsidR="00A9766F" w:rsidRPr="007114AF" w14:paraId="6EDCFA22" w14:textId="77777777" w:rsidTr="00A9766F">
        <w:trPr>
          <w:cnfStyle w:val="000000100000" w:firstRow="0" w:lastRow="0" w:firstColumn="0" w:lastColumn="0" w:oddVBand="0" w:evenVBand="0" w:oddHBand="1" w:evenHBand="0" w:firstRowFirstColumn="0" w:firstRowLastColumn="0" w:lastRowFirstColumn="0" w:lastRowLastColumn="0"/>
          <w:trHeight w:val="73"/>
          <w:jc w:val="center"/>
        </w:trPr>
        <w:tc>
          <w:tcPr>
            <w:tcW w:w="1668" w:type="dxa"/>
            <w:vAlign w:val="center"/>
            <w:hideMark/>
          </w:tcPr>
          <w:p w14:paraId="6EDCFA1A" w14:textId="77777777" w:rsidR="00A9766F" w:rsidRPr="007114AF" w:rsidRDefault="00A9766F" w:rsidP="00A9766F">
            <w:pPr>
              <w:rPr>
                <w:rFonts w:ascii="Garamond" w:eastAsiaTheme="minorHAnsi" w:hAnsi="Garamond"/>
                <w:sz w:val="18"/>
                <w:szCs w:val="18"/>
                <w:lang w:eastAsia="en-US"/>
              </w:rPr>
            </w:pPr>
            <w:r w:rsidRPr="007114AF">
              <w:rPr>
                <w:rFonts w:ascii="Garamond" w:eastAsiaTheme="minorHAnsi" w:hAnsi="Garamond"/>
                <w:sz w:val="18"/>
                <w:szCs w:val="18"/>
                <w:lang w:eastAsia="en-US"/>
              </w:rPr>
              <w:t xml:space="preserve">Çelësa termikë </w:t>
            </w:r>
          </w:p>
        </w:tc>
        <w:tc>
          <w:tcPr>
            <w:tcW w:w="998" w:type="dxa"/>
            <w:vAlign w:val="center"/>
            <w:hideMark/>
          </w:tcPr>
          <w:p w14:paraId="6EDCFA1B" w14:textId="77777777" w:rsidR="00A9766F" w:rsidRPr="007114AF" w:rsidRDefault="00A9766F" w:rsidP="00A9766F">
            <w:pPr>
              <w:rPr>
                <w:rFonts w:ascii="Garamond" w:eastAsiaTheme="minorHAnsi" w:hAnsi="Garamond"/>
                <w:sz w:val="18"/>
                <w:szCs w:val="18"/>
                <w:lang w:eastAsia="en-US"/>
              </w:rPr>
            </w:pPr>
            <w:r w:rsidRPr="007114AF">
              <w:rPr>
                <w:rFonts w:ascii="Garamond" w:eastAsiaTheme="minorHAnsi" w:hAnsi="Garamond"/>
                <w:sz w:val="18"/>
                <w:szCs w:val="18"/>
                <w:lang w:eastAsia="en-US"/>
              </w:rPr>
              <w:t xml:space="preserve">-68.28 </w:t>
            </w:r>
          </w:p>
        </w:tc>
        <w:tc>
          <w:tcPr>
            <w:tcW w:w="1246" w:type="dxa"/>
            <w:vAlign w:val="center"/>
            <w:hideMark/>
          </w:tcPr>
          <w:p w14:paraId="6EDCFA1C" w14:textId="77777777" w:rsidR="00A9766F" w:rsidRPr="007114AF" w:rsidRDefault="00A9766F" w:rsidP="00A9766F">
            <w:pPr>
              <w:rPr>
                <w:rFonts w:ascii="Garamond" w:eastAsiaTheme="minorHAnsi" w:hAnsi="Garamond"/>
                <w:sz w:val="18"/>
                <w:szCs w:val="18"/>
                <w:lang w:eastAsia="en-US"/>
              </w:rPr>
            </w:pPr>
            <w:r w:rsidRPr="007114AF">
              <w:rPr>
                <w:rFonts w:ascii="Garamond" w:eastAsiaTheme="minorHAnsi" w:hAnsi="Garamond"/>
                <w:sz w:val="18"/>
                <w:szCs w:val="18"/>
                <w:lang w:eastAsia="en-US"/>
              </w:rPr>
              <w:t>njësi</w:t>
            </w:r>
          </w:p>
        </w:tc>
        <w:tc>
          <w:tcPr>
            <w:tcW w:w="1056" w:type="dxa"/>
            <w:vAlign w:val="center"/>
            <w:hideMark/>
          </w:tcPr>
          <w:p w14:paraId="6EDCFA1D" w14:textId="77777777" w:rsidR="00A9766F" w:rsidRPr="007114AF" w:rsidRDefault="00A9766F" w:rsidP="00A9766F">
            <w:pPr>
              <w:rPr>
                <w:rFonts w:ascii="Garamond" w:eastAsiaTheme="minorHAnsi" w:hAnsi="Garamond"/>
                <w:sz w:val="18"/>
                <w:szCs w:val="18"/>
                <w:lang w:eastAsia="en-US"/>
              </w:rPr>
            </w:pPr>
            <w:r w:rsidRPr="007114AF">
              <w:rPr>
                <w:rFonts w:ascii="Garamond" w:eastAsiaTheme="minorHAnsi" w:hAnsi="Garamond"/>
                <w:sz w:val="18"/>
                <w:szCs w:val="18"/>
                <w:lang w:eastAsia="en-US"/>
              </w:rPr>
              <w:t xml:space="preserve">1.18 </w:t>
            </w:r>
          </w:p>
        </w:tc>
        <w:tc>
          <w:tcPr>
            <w:tcW w:w="1128" w:type="dxa"/>
            <w:vAlign w:val="center"/>
          </w:tcPr>
          <w:p w14:paraId="6EDCFA1E" w14:textId="77777777" w:rsidR="00A9766F" w:rsidRPr="007114AF" w:rsidRDefault="00A9766F" w:rsidP="00A9766F">
            <w:pPr>
              <w:rPr>
                <w:rFonts w:ascii="Garamond" w:eastAsiaTheme="minorHAnsi" w:hAnsi="Garamond"/>
                <w:sz w:val="18"/>
                <w:szCs w:val="18"/>
                <w:lang w:eastAsia="en-US"/>
              </w:rPr>
            </w:pPr>
            <w:r w:rsidRPr="007114AF">
              <w:rPr>
                <w:rFonts w:ascii="Garamond" w:eastAsiaTheme="minorHAnsi" w:hAnsi="Garamond"/>
                <w:sz w:val="18"/>
                <w:szCs w:val="18"/>
                <w:lang w:eastAsia="en-US"/>
              </w:rPr>
              <w:t xml:space="preserve">30,000 </w:t>
            </w:r>
          </w:p>
        </w:tc>
        <w:tc>
          <w:tcPr>
            <w:tcW w:w="1148" w:type="dxa"/>
            <w:vAlign w:val="center"/>
          </w:tcPr>
          <w:p w14:paraId="6EDCFA1F" w14:textId="77777777" w:rsidR="00A9766F" w:rsidRPr="007114AF" w:rsidRDefault="00A9766F" w:rsidP="00A9766F">
            <w:pPr>
              <w:rPr>
                <w:rFonts w:ascii="Garamond" w:eastAsiaTheme="minorHAnsi" w:hAnsi="Garamond"/>
                <w:sz w:val="18"/>
                <w:szCs w:val="18"/>
                <w:lang w:eastAsia="en-US"/>
              </w:rPr>
            </w:pPr>
            <w:r w:rsidRPr="007114AF">
              <w:rPr>
                <w:rFonts w:ascii="Garamond" w:eastAsiaTheme="minorHAnsi" w:hAnsi="Garamond"/>
                <w:sz w:val="18"/>
                <w:szCs w:val="18"/>
                <w:lang w:eastAsia="en-US"/>
              </w:rPr>
              <w:t xml:space="preserve">21.95 </w:t>
            </w:r>
          </w:p>
        </w:tc>
        <w:tc>
          <w:tcPr>
            <w:tcW w:w="1184" w:type="dxa"/>
            <w:vAlign w:val="center"/>
          </w:tcPr>
          <w:p w14:paraId="6EDCFA20" w14:textId="77777777" w:rsidR="00A9766F" w:rsidRPr="007114AF" w:rsidRDefault="00A9766F" w:rsidP="00A9766F">
            <w:pPr>
              <w:rPr>
                <w:rFonts w:ascii="Garamond" w:eastAsiaTheme="minorHAnsi" w:hAnsi="Garamond"/>
                <w:sz w:val="18"/>
                <w:szCs w:val="18"/>
                <w:lang w:eastAsia="en-US"/>
              </w:rPr>
            </w:pPr>
            <w:r w:rsidRPr="007114AF">
              <w:rPr>
                <w:rFonts w:ascii="Garamond" w:eastAsiaTheme="minorHAnsi" w:hAnsi="Garamond"/>
                <w:sz w:val="18"/>
                <w:szCs w:val="18"/>
                <w:lang w:eastAsia="en-US"/>
              </w:rPr>
              <w:t xml:space="preserve">60,000 </w:t>
            </w:r>
          </w:p>
        </w:tc>
        <w:tc>
          <w:tcPr>
            <w:tcW w:w="1148" w:type="dxa"/>
            <w:vAlign w:val="center"/>
          </w:tcPr>
          <w:p w14:paraId="6EDCFA21" w14:textId="77777777" w:rsidR="00A9766F" w:rsidRPr="007114AF" w:rsidRDefault="00A9766F" w:rsidP="00A9766F">
            <w:pPr>
              <w:rPr>
                <w:rFonts w:ascii="Garamond" w:eastAsiaTheme="minorHAnsi" w:hAnsi="Garamond"/>
                <w:sz w:val="18"/>
                <w:szCs w:val="18"/>
                <w:lang w:eastAsia="en-US"/>
              </w:rPr>
            </w:pPr>
            <w:r w:rsidRPr="007114AF">
              <w:rPr>
                <w:rFonts w:ascii="Garamond" w:eastAsiaTheme="minorHAnsi" w:hAnsi="Garamond"/>
                <w:sz w:val="18"/>
                <w:szCs w:val="18"/>
                <w:lang w:eastAsia="en-US"/>
              </w:rPr>
              <w:t>36.82</w:t>
            </w:r>
          </w:p>
        </w:tc>
      </w:tr>
      <w:tr w:rsidR="00A9766F" w:rsidRPr="007114AF" w14:paraId="6EDCFA2B" w14:textId="77777777" w:rsidTr="00A9766F">
        <w:trPr>
          <w:trHeight w:val="73"/>
          <w:jc w:val="center"/>
        </w:trPr>
        <w:tc>
          <w:tcPr>
            <w:tcW w:w="1668" w:type="dxa"/>
            <w:vAlign w:val="center"/>
            <w:hideMark/>
          </w:tcPr>
          <w:p w14:paraId="6EDCFA23" w14:textId="77777777" w:rsidR="00A9766F" w:rsidRPr="007114AF" w:rsidRDefault="00A9766F" w:rsidP="00A9766F">
            <w:pPr>
              <w:rPr>
                <w:rFonts w:ascii="Garamond" w:eastAsiaTheme="minorHAnsi" w:hAnsi="Garamond"/>
                <w:sz w:val="18"/>
                <w:szCs w:val="18"/>
                <w:lang w:eastAsia="en-US"/>
              </w:rPr>
            </w:pPr>
            <w:r w:rsidRPr="007114AF">
              <w:rPr>
                <w:rFonts w:ascii="Garamond" w:eastAsiaTheme="minorHAnsi" w:hAnsi="Garamond"/>
                <w:sz w:val="18"/>
                <w:szCs w:val="18"/>
                <w:lang w:eastAsia="en-US"/>
              </w:rPr>
              <w:t xml:space="preserve">Matës me parapagesë </w:t>
            </w:r>
          </w:p>
        </w:tc>
        <w:tc>
          <w:tcPr>
            <w:tcW w:w="998" w:type="dxa"/>
            <w:vAlign w:val="center"/>
            <w:hideMark/>
          </w:tcPr>
          <w:p w14:paraId="6EDCFA24" w14:textId="77777777" w:rsidR="00A9766F" w:rsidRPr="007114AF" w:rsidRDefault="00A9766F" w:rsidP="00A9766F">
            <w:pPr>
              <w:rPr>
                <w:rFonts w:ascii="Garamond" w:eastAsiaTheme="minorHAnsi" w:hAnsi="Garamond"/>
                <w:sz w:val="18"/>
                <w:szCs w:val="18"/>
                <w:lang w:eastAsia="en-US"/>
              </w:rPr>
            </w:pPr>
            <w:r w:rsidRPr="007114AF">
              <w:rPr>
                <w:rFonts w:ascii="Garamond" w:eastAsiaTheme="minorHAnsi" w:hAnsi="Garamond"/>
                <w:sz w:val="18"/>
                <w:szCs w:val="18"/>
                <w:lang w:eastAsia="en-US"/>
              </w:rPr>
              <w:t xml:space="preserve">-54.87 </w:t>
            </w:r>
          </w:p>
        </w:tc>
        <w:tc>
          <w:tcPr>
            <w:tcW w:w="1246" w:type="dxa"/>
            <w:vAlign w:val="center"/>
            <w:hideMark/>
          </w:tcPr>
          <w:p w14:paraId="6EDCFA25" w14:textId="77777777" w:rsidR="00A9766F" w:rsidRPr="007114AF" w:rsidRDefault="00A9766F" w:rsidP="00A9766F">
            <w:pPr>
              <w:rPr>
                <w:rFonts w:ascii="Garamond" w:eastAsiaTheme="minorHAnsi" w:hAnsi="Garamond"/>
                <w:sz w:val="18"/>
                <w:szCs w:val="18"/>
                <w:lang w:eastAsia="en-US"/>
              </w:rPr>
            </w:pPr>
            <w:r w:rsidRPr="007114AF">
              <w:rPr>
                <w:rFonts w:ascii="Garamond" w:eastAsiaTheme="minorHAnsi" w:hAnsi="Garamond"/>
                <w:sz w:val="18"/>
                <w:szCs w:val="18"/>
                <w:lang w:eastAsia="en-US"/>
              </w:rPr>
              <w:t>apartamente</w:t>
            </w:r>
          </w:p>
        </w:tc>
        <w:tc>
          <w:tcPr>
            <w:tcW w:w="1056" w:type="dxa"/>
            <w:vAlign w:val="center"/>
            <w:hideMark/>
          </w:tcPr>
          <w:p w14:paraId="6EDCFA26" w14:textId="77777777" w:rsidR="00A9766F" w:rsidRPr="007114AF" w:rsidRDefault="00A9766F" w:rsidP="00A9766F">
            <w:pPr>
              <w:rPr>
                <w:rFonts w:ascii="Garamond" w:eastAsiaTheme="minorHAnsi" w:hAnsi="Garamond"/>
                <w:sz w:val="18"/>
                <w:szCs w:val="18"/>
                <w:lang w:eastAsia="en-US"/>
              </w:rPr>
            </w:pPr>
            <w:r w:rsidRPr="007114AF">
              <w:rPr>
                <w:rFonts w:ascii="Garamond" w:eastAsiaTheme="minorHAnsi" w:hAnsi="Garamond"/>
                <w:sz w:val="18"/>
                <w:szCs w:val="18"/>
                <w:lang w:eastAsia="en-US"/>
              </w:rPr>
              <w:t xml:space="preserve">1.06 </w:t>
            </w:r>
          </w:p>
        </w:tc>
        <w:tc>
          <w:tcPr>
            <w:tcW w:w="1128" w:type="dxa"/>
            <w:vAlign w:val="center"/>
          </w:tcPr>
          <w:p w14:paraId="6EDCFA27" w14:textId="77777777" w:rsidR="00A9766F" w:rsidRPr="007114AF" w:rsidRDefault="00A9766F" w:rsidP="00A9766F">
            <w:pPr>
              <w:rPr>
                <w:rFonts w:ascii="Garamond" w:eastAsiaTheme="minorHAnsi" w:hAnsi="Garamond"/>
                <w:sz w:val="18"/>
                <w:szCs w:val="18"/>
                <w:lang w:eastAsia="en-US"/>
              </w:rPr>
            </w:pPr>
            <w:r w:rsidRPr="007114AF">
              <w:rPr>
                <w:rFonts w:ascii="Garamond" w:eastAsiaTheme="minorHAnsi" w:hAnsi="Garamond"/>
                <w:sz w:val="18"/>
                <w:szCs w:val="18"/>
                <w:lang w:eastAsia="en-US"/>
              </w:rPr>
              <w:t xml:space="preserve">50,000 </w:t>
            </w:r>
          </w:p>
        </w:tc>
        <w:tc>
          <w:tcPr>
            <w:tcW w:w="1148" w:type="dxa"/>
            <w:vAlign w:val="center"/>
          </w:tcPr>
          <w:p w14:paraId="6EDCFA28" w14:textId="77777777" w:rsidR="00A9766F" w:rsidRPr="007114AF" w:rsidRDefault="00A9766F" w:rsidP="00A9766F">
            <w:pPr>
              <w:rPr>
                <w:rFonts w:ascii="Garamond" w:eastAsiaTheme="minorHAnsi" w:hAnsi="Garamond"/>
                <w:sz w:val="18"/>
                <w:szCs w:val="18"/>
                <w:lang w:eastAsia="en-US"/>
              </w:rPr>
            </w:pPr>
            <w:r w:rsidRPr="007114AF">
              <w:rPr>
                <w:rFonts w:ascii="Garamond" w:eastAsiaTheme="minorHAnsi" w:hAnsi="Garamond"/>
                <w:sz w:val="18"/>
                <w:szCs w:val="18"/>
                <w:lang w:eastAsia="en-US"/>
              </w:rPr>
              <w:t xml:space="preserve">32.75 </w:t>
            </w:r>
          </w:p>
        </w:tc>
        <w:tc>
          <w:tcPr>
            <w:tcW w:w="1184" w:type="dxa"/>
            <w:vAlign w:val="center"/>
          </w:tcPr>
          <w:p w14:paraId="6EDCFA29" w14:textId="77777777" w:rsidR="00A9766F" w:rsidRPr="007114AF" w:rsidRDefault="00A9766F" w:rsidP="00A9766F">
            <w:pPr>
              <w:rPr>
                <w:rFonts w:ascii="Garamond" w:eastAsiaTheme="minorHAnsi" w:hAnsi="Garamond"/>
                <w:sz w:val="18"/>
                <w:szCs w:val="18"/>
                <w:lang w:eastAsia="en-US"/>
              </w:rPr>
            </w:pPr>
            <w:r w:rsidRPr="007114AF">
              <w:rPr>
                <w:rFonts w:ascii="Garamond" w:eastAsiaTheme="minorHAnsi" w:hAnsi="Garamond"/>
                <w:sz w:val="18"/>
                <w:szCs w:val="18"/>
                <w:lang w:eastAsia="en-US"/>
              </w:rPr>
              <w:t xml:space="preserve">100,000 </w:t>
            </w:r>
          </w:p>
        </w:tc>
        <w:tc>
          <w:tcPr>
            <w:tcW w:w="1148" w:type="dxa"/>
            <w:vAlign w:val="center"/>
          </w:tcPr>
          <w:p w14:paraId="6EDCFA2A" w14:textId="77777777" w:rsidR="00A9766F" w:rsidRPr="007114AF" w:rsidRDefault="00A9766F" w:rsidP="00A9766F">
            <w:pPr>
              <w:rPr>
                <w:rFonts w:ascii="Garamond" w:eastAsiaTheme="minorHAnsi" w:hAnsi="Garamond"/>
                <w:sz w:val="18"/>
                <w:szCs w:val="18"/>
                <w:lang w:eastAsia="en-US"/>
              </w:rPr>
            </w:pPr>
            <w:r w:rsidRPr="007114AF">
              <w:rPr>
                <w:rFonts w:ascii="Garamond" w:eastAsiaTheme="minorHAnsi" w:hAnsi="Garamond"/>
                <w:sz w:val="18"/>
                <w:szCs w:val="18"/>
                <w:lang w:eastAsia="en-US"/>
              </w:rPr>
              <w:t>54.94</w:t>
            </w:r>
          </w:p>
        </w:tc>
      </w:tr>
      <w:tr w:rsidR="00A9766F" w:rsidRPr="007114AF" w14:paraId="6EDCFA34" w14:textId="77777777" w:rsidTr="00A9766F">
        <w:trPr>
          <w:cnfStyle w:val="000000100000" w:firstRow="0" w:lastRow="0" w:firstColumn="0" w:lastColumn="0" w:oddVBand="0" w:evenVBand="0" w:oddHBand="1" w:evenHBand="0" w:firstRowFirstColumn="0" w:firstRowLastColumn="0" w:lastRowFirstColumn="0" w:lastRowLastColumn="0"/>
          <w:trHeight w:val="73"/>
          <w:jc w:val="center"/>
        </w:trPr>
        <w:tc>
          <w:tcPr>
            <w:tcW w:w="1668" w:type="dxa"/>
            <w:vAlign w:val="center"/>
            <w:hideMark/>
          </w:tcPr>
          <w:p w14:paraId="6EDCFA2C" w14:textId="77777777" w:rsidR="00A9766F" w:rsidRPr="007114AF" w:rsidRDefault="00A9766F" w:rsidP="00A9766F">
            <w:pPr>
              <w:rPr>
                <w:rFonts w:ascii="Garamond" w:eastAsiaTheme="minorHAnsi" w:hAnsi="Garamond"/>
                <w:sz w:val="18"/>
                <w:szCs w:val="18"/>
                <w:lang w:eastAsia="en-US"/>
              </w:rPr>
            </w:pPr>
            <w:r w:rsidRPr="007114AF">
              <w:rPr>
                <w:rFonts w:ascii="Garamond" w:eastAsiaTheme="minorHAnsi" w:hAnsi="Garamond"/>
                <w:sz w:val="18"/>
                <w:szCs w:val="18"/>
                <w:lang w:eastAsia="en-US"/>
              </w:rPr>
              <w:t>Turbina me erë</w:t>
            </w:r>
          </w:p>
        </w:tc>
        <w:tc>
          <w:tcPr>
            <w:tcW w:w="998" w:type="dxa"/>
            <w:vAlign w:val="center"/>
            <w:hideMark/>
          </w:tcPr>
          <w:p w14:paraId="6EDCFA2D" w14:textId="77777777" w:rsidR="00A9766F" w:rsidRPr="007114AF" w:rsidRDefault="00A9766F" w:rsidP="00A9766F">
            <w:pPr>
              <w:rPr>
                <w:rFonts w:ascii="Garamond" w:eastAsiaTheme="minorHAnsi" w:hAnsi="Garamond"/>
                <w:sz w:val="18"/>
                <w:szCs w:val="18"/>
                <w:lang w:eastAsia="en-US"/>
              </w:rPr>
            </w:pPr>
            <w:r w:rsidRPr="007114AF">
              <w:rPr>
                <w:rFonts w:ascii="Garamond" w:eastAsiaTheme="minorHAnsi" w:hAnsi="Garamond"/>
                <w:sz w:val="18"/>
                <w:szCs w:val="18"/>
                <w:lang w:eastAsia="en-US"/>
              </w:rPr>
              <w:t xml:space="preserve">-21.74 </w:t>
            </w:r>
          </w:p>
        </w:tc>
        <w:tc>
          <w:tcPr>
            <w:tcW w:w="1246" w:type="dxa"/>
            <w:vAlign w:val="center"/>
            <w:hideMark/>
          </w:tcPr>
          <w:p w14:paraId="6EDCFA2E" w14:textId="77777777" w:rsidR="00A9766F" w:rsidRPr="007114AF" w:rsidRDefault="00A9766F" w:rsidP="00A9766F">
            <w:pPr>
              <w:rPr>
                <w:rFonts w:ascii="Garamond" w:eastAsiaTheme="minorHAnsi" w:hAnsi="Garamond"/>
                <w:sz w:val="18"/>
                <w:szCs w:val="18"/>
                <w:lang w:eastAsia="en-US"/>
              </w:rPr>
            </w:pPr>
            <w:r w:rsidRPr="007114AF">
              <w:rPr>
                <w:rFonts w:ascii="Garamond" w:eastAsiaTheme="minorHAnsi" w:hAnsi="Garamond"/>
                <w:sz w:val="18"/>
                <w:szCs w:val="18"/>
                <w:lang w:eastAsia="en-US"/>
              </w:rPr>
              <w:t xml:space="preserve">kW </w:t>
            </w:r>
          </w:p>
        </w:tc>
        <w:tc>
          <w:tcPr>
            <w:tcW w:w="1056" w:type="dxa"/>
            <w:vAlign w:val="center"/>
            <w:hideMark/>
          </w:tcPr>
          <w:p w14:paraId="6EDCFA2F" w14:textId="77777777" w:rsidR="00A9766F" w:rsidRPr="007114AF" w:rsidRDefault="00A9766F" w:rsidP="00A9766F">
            <w:pPr>
              <w:rPr>
                <w:rFonts w:ascii="Garamond" w:eastAsiaTheme="minorHAnsi" w:hAnsi="Garamond"/>
                <w:sz w:val="18"/>
                <w:szCs w:val="18"/>
                <w:lang w:eastAsia="en-US"/>
              </w:rPr>
            </w:pPr>
            <w:r w:rsidRPr="007114AF">
              <w:rPr>
                <w:rFonts w:ascii="Garamond" w:eastAsiaTheme="minorHAnsi" w:hAnsi="Garamond"/>
                <w:sz w:val="18"/>
                <w:szCs w:val="18"/>
                <w:lang w:eastAsia="en-US"/>
              </w:rPr>
              <w:t xml:space="preserve">1.37 </w:t>
            </w:r>
          </w:p>
        </w:tc>
        <w:tc>
          <w:tcPr>
            <w:tcW w:w="1128" w:type="dxa"/>
            <w:vAlign w:val="center"/>
          </w:tcPr>
          <w:p w14:paraId="6EDCFA30" w14:textId="77777777" w:rsidR="00A9766F" w:rsidRPr="007114AF" w:rsidRDefault="00A9766F" w:rsidP="00A9766F">
            <w:pPr>
              <w:rPr>
                <w:rFonts w:ascii="Garamond" w:eastAsiaTheme="minorHAnsi" w:hAnsi="Garamond"/>
                <w:sz w:val="18"/>
                <w:szCs w:val="18"/>
                <w:lang w:eastAsia="en-US"/>
              </w:rPr>
            </w:pPr>
            <w:r w:rsidRPr="007114AF">
              <w:rPr>
                <w:rFonts w:ascii="Garamond" w:eastAsiaTheme="minorHAnsi" w:hAnsi="Garamond"/>
                <w:sz w:val="18"/>
                <w:szCs w:val="18"/>
                <w:lang w:eastAsia="en-US"/>
              </w:rPr>
              <w:t xml:space="preserve">20,000 </w:t>
            </w:r>
          </w:p>
        </w:tc>
        <w:tc>
          <w:tcPr>
            <w:tcW w:w="1148" w:type="dxa"/>
            <w:vAlign w:val="center"/>
          </w:tcPr>
          <w:p w14:paraId="6EDCFA31" w14:textId="77777777" w:rsidR="00A9766F" w:rsidRPr="007114AF" w:rsidRDefault="00A9766F" w:rsidP="00A9766F">
            <w:pPr>
              <w:rPr>
                <w:rFonts w:ascii="Garamond" w:eastAsiaTheme="minorHAnsi" w:hAnsi="Garamond"/>
                <w:sz w:val="18"/>
                <w:szCs w:val="18"/>
                <w:lang w:eastAsia="en-US"/>
              </w:rPr>
            </w:pPr>
            <w:r w:rsidRPr="007114AF">
              <w:rPr>
                <w:rFonts w:ascii="Garamond" w:eastAsiaTheme="minorHAnsi" w:hAnsi="Garamond"/>
                <w:sz w:val="18"/>
                <w:szCs w:val="18"/>
                <w:lang w:eastAsia="en-US"/>
              </w:rPr>
              <w:t xml:space="preserve">16.96 </w:t>
            </w:r>
          </w:p>
        </w:tc>
        <w:tc>
          <w:tcPr>
            <w:tcW w:w="1184" w:type="dxa"/>
            <w:vAlign w:val="center"/>
          </w:tcPr>
          <w:p w14:paraId="6EDCFA32" w14:textId="77777777" w:rsidR="00A9766F" w:rsidRPr="007114AF" w:rsidRDefault="00A9766F" w:rsidP="00A9766F">
            <w:pPr>
              <w:rPr>
                <w:rFonts w:ascii="Garamond" w:eastAsiaTheme="minorHAnsi" w:hAnsi="Garamond"/>
                <w:sz w:val="18"/>
                <w:szCs w:val="18"/>
                <w:lang w:eastAsia="en-US"/>
              </w:rPr>
            </w:pPr>
            <w:r w:rsidRPr="007114AF">
              <w:rPr>
                <w:rFonts w:ascii="Garamond" w:eastAsiaTheme="minorHAnsi" w:hAnsi="Garamond"/>
                <w:sz w:val="18"/>
                <w:szCs w:val="18"/>
                <w:lang w:eastAsia="en-US"/>
              </w:rPr>
              <w:t xml:space="preserve">60,000 </w:t>
            </w:r>
          </w:p>
        </w:tc>
        <w:tc>
          <w:tcPr>
            <w:tcW w:w="1148" w:type="dxa"/>
            <w:vAlign w:val="center"/>
          </w:tcPr>
          <w:p w14:paraId="6EDCFA33" w14:textId="77777777" w:rsidR="00A9766F" w:rsidRPr="007114AF" w:rsidRDefault="00A9766F" w:rsidP="00A9766F">
            <w:pPr>
              <w:rPr>
                <w:rFonts w:ascii="Garamond" w:eastAsiaTheme="minorHAnsi" w:hAnsi="Garamond"/>
                <w:sz w:val="18"/>
                <w:szCs w:val="18"/>
                <w:lang w:eastAsia="en-US"/>
              </w:rPr>
            </w:pPr>
            <w:r w:rsidRPr="007114AF">
              <w:rPr>
                <w:rFonts w:ascii="Garamond" w:eastAsiaTheme="minorHAnsi" w:hAnsi="Garamond"/>
                <w:sz w:val="18"/>
                <w:szCs w:val="18"/>
                <w:lang w:eastAsia="en-US"/>
              </w:rPr>
              <w:t>42.68</w:t>
            </w:r>
          </w:p>
        </w:tc>
      </w:tr>
      <w:tr w:rsidR="00A9766F" w:rsidRPr="007114AF" w14:paraId="6EDCFA3D" w14:textId="77777777" w:rsidTr="00A9766F">
        <w:trPr>
          <w:trHeight w:val="73"/>
          <w:jc w:val="center"/>
        </w:trPr>
        <w:tc>
          <w:tcPr>
            <w:tcW w:w="1668" w:type="dxa"/>
            <w:vAlign w:val="center"/>
            <w:hideMark/>
          </w:tcPr>
          <w:p w14:paraId="6EDCFA35" w14:textId="77777777" w:rsidR="00A9766F" w:rsidRPr="007114AF" w:rsidRDefault="00A9766F" w:rsidP="00A9766F">
            <w:pPr>
              <w:rPr>
                <w:rFonts w:ascii="Garamond" w:eastAsiaTheme="minorHAnsi" w:hAnsi="Garamond"/>
                <w:sz w:val="18"/>
                <w:szCs w:val="18"/>
                <w:lang w:eastAsia="en-US"/>
              </w:rPr>
            </w:pPr>
            <w:r w:rsidRPr="007114AF">
              <w:rPr>
                <w:rFonts w:ascii="Garamond" w:eastAsiaTheme="minorHAnsi" w:hAnsi="Garamond"/>
                <w:sz w:val="18"/>
                <w:szCs w:val="18"/>
                <w:lang w:eastAsia="en-US"/>
              </w:rPr>
              <w:t xml:space="preserve">Hidrocentrale të vegjël, të mesëm </w:t>
            </w:r>
          </w:p>
        </w:tc>
        <w:tc>
          <w:tcPr>
            <w:tcW w:w="998" w:type="dxa"/>
            <w:vAlign w:val="center"/>
            <w:hideMark/>
          </w:tcPr>
          <w:p w14:paraId="6EDCFA36" w14:textId="77777777" w:rsidR="00A9766F" w:rsidRPr="007114AF" w:rsidRDefault="00A9766F" w:rsidP="00A9766F">
            <w:pPr>
              <w:rPr>
                <w:rFonts w:ascii="Garamond" w:eastAsiaTheme="minorHAnsi" w:hAnsi="Garamond"/>
                <w:sz w:val="18"/>
                <w:szCs w:val="18"/>
                <w:lang w:eastAsia="en-US"/>
              </w:rPr>
            </w:pPr>
            <w:r w:rsidRPr="007114AF">
              <w:rPr>
                <w:rFonts w:ascii="Garamond" w:eastAsiaTheme="minorHAnsi" w:hAnsi="Garamond"/>
                <w:sz w:val="18"/>
                <w:szCs w:val="18"/>
                <w:lang w:eastAsia="en-US"/>
              </w:rPr>
              <w:t xml:space="preserve">-184.22 </w:t>
            </w:r>
          </w:p>
        </w:tc>
        <w:tc>
          <w:tcPr>
            <w:tcW w:w="1246" w:type="dxa"/>
            <w:vAlign w:val="center"/>
            <w:hideMark/>
          </w:tcPr>
          <w:p w14:paraId="6EDCFA37" w14:textId="77777777" w:rsidR="00A9766F" w:rsidRPr="007114AF" w:rsidRDefault="00A9766F" w:rsidP="00A9766F">
            <w:pPr>
              <w:rPr>
                <w:rFonts w:ascii="Garamond" w:eastAsiaTheme="minorHAnsi" w:hAnsi="Garamond"/>
                <w:sz w:val="18"/>
                <w:szCs w:val="18"/>
                <w:lang w:eastAsia="en-US"/>
              </w:rPr>
            </w:pPr>
            <w:r w:rsidRPr="007114AF">
              <w:rPr>
                <w:rFonts w:ascii="Garamond" w:eastAsiaTheme="minorHAnsi" w:hAnsi="Garamond"/>
                <w:sz w:val="18"/>
                <w:szCs w:val="18"/>
                <w:lang w:eastAsia="en-US"/>
              </w:rPr>
              <w:t xml:space="preserve">kW </w:t>
            </w:r>
          </w:p>
        </w:tc>
        <w:tc>
          <w:tcPr>
            <w:tcW w:w="1056" w:type="dxa"/>
            <w:vAlign w:val="center"/>
            <w:hideMark/>
          </w:tcPr>
          <w:p w14:paraId="6EDCFA38" w14:textId="77777777" w:rsidR="00A9766F" w:rsidRPr="007114AF" w:rsidRDefault="00A9766F" w:rsidP="00A9766F">
            <w:pPr>
              <w:rPr>
                <w:rFonts w:ascii="Garamond" w:eastAsiaTheme="minorHAnsi" w:hAnsi="Garamond"/>
                <w:sz w:val="18"/>
                <w:szCs w:val="18"/>
                <w:lang w:eastAsia="en-US"/>
              </w:rPr>
            </w:pPr>
            <w:r w:rsidRPr="007114AF">
              <w:rPr>
                <w:rFonts w:ascii="Garamond" w:eastAsiaTheme="minorHAnsi" w:hAnsi="Garamond"/>
                <w:sz w:val="18"/>
                <w:szCs w:val="18"/>
                <w:lang w:eastAsia="en-US"/>
              </w:rPr>
              <w:t xml:space="preserve">1.56 </w:t>
            </w:r>
          </w:p>
        </w:tc>
        <w:tc>
          <w:tcPr>
            <w:tcW w:w="1128" w:type="dxa"/>
            <w:vAlign w:val="center"/>
          </w:tcPr>
          <w:p w14:paraId="6EDCFA39" w14:textId="77777777" w:rsidR="00A9766F" w:rsidRPr="007114AF" w:rsidRDefault="00A9766F" w:rsidP="00A9766F">
            <w:pPr>
              <w:rPr>
                <w:rFonts w:ascii="Garamond" w:eastAsiaTheme="minorHAnsi" w:hAnsi="Garamond"/>
                <w:sz w:val="18"/>
                <w:szCs w:val="18"/>
                <w:lang w:eastAsia="en-US"/>
              </w:rPr>
            </w:pPr>
            <w:r w:rsidRPr="007114AF">
              <w:rPr>
                <w:rFonts w:ascii="Garamond" w:eastAsiaTheme="minorHAnsi" w:hAnsi="Garamond"/>
                <w:sz w:val="18"/>
                <w:szCs w:val="18"/>
                <w:lang w:eastAsia="en-US"/>
              </w:rPr>
              <w:t xml:space="preserve">300,000 </w:t>
            </w:r>
          </w:p>
        </w:tc>
        <w:tc>
          <w:tcPr>
            <w:tcW w:w="1148" w:type="dxa"/>
            <w:vAlign w:val="center"/>
          </w:tcPr>
          <w:p w14:paraId="6EDCFA3A" w14:textId="77777777" w:rsidR="00A9766F" w:rsidRPr="007114AF" w:rsidRDefault="00A9766F" w:rsidP="00A9766F">
            <w:pPr>
              <w:rPr>
                <w:rFonts w:ascii="Garamond" w:eastAsiaTheme="minorHAnsi" w:hAnsi="Garamond"/>
                <w:sz w:val="18"/>
                <w:szCs w:val="18"/>
                <w:lang w:eastAsia="en-US"/>
              </w:rPr>
            </w:pPr>
            <w:r w:rsidRPr="007114AF">
              <w:rPr>
                <w:rFonts w:ascii="Garamond" w:eastAsiaTheme="minorHAnsi" w:hAnsi="Garamond"/>
                <w:sz w:val="18"/>
                <w:szCs w:val="18"/>
                <w:lang w:eastAsia="en-US"/>
              </w:rPr>
              <w:t xml:space="preserve">290.95 </w:t>
            </w:r>
          </w:p>
        </w:tc>
        <w:tc>
          <w:tcPr>
            <w:tcW w:w="1184" w:type="dxa"/>
            <w:vAlign w:val="center"/>
          </w:tcPr>
          <w:p w14:paraId="6EDCFA3B" w14:textId="77777777" w:rsidR="00A9766F" w:rsidRPr="007114AF" w:rsidRDefault="00A9766F" w:rsidP="00A9766F">
            <w:pPr>
              <w:rPr>
                <w:rFonts w:ascii="Garamond" w:eastAsiaTheme="minorHAnsi" w:hAnsi="Garamond"/>
                <w:sz w:val="18"/>
                <w:szCs w:val="18"/>
                <w:lang w:eastAsia="en-US"/>
              </w:rPr>
            </w:pPr>
            <w:r w:rsidRPr="007114AF">
              <w:rPr>
                <w:rFonts w:ascii="Garamond" w:eastAsiaTheme="minorHAnsi" w:hAnsi="Garamond"/>
                <w:sz w:val="18"/>
                <w:szCs w:val="18"/>
                <w:lang w:eastAsia="en-US"/>
              </w:rPr>
              <w:t xml:space="preserve">630,000 </w:t>
            </w:r>
          </w:p>
        </w:tc>
        <w:tc>
          <w:tcPr>
            <w:tcW w:w="1148" w:type="dxa"/>
            <w:vAlign w:val="center"/>
          </w:tcPr>
          <w:p w14:paraId="6EDCFA3C" w14:textId="77777777" w:rsidR="00A9766F" w:rsidRPr="007114AF" w:rsidRDefault="00A9766F" w:rsidP="00A9766F">
            <w:pPr>
              <w:rPr>
                <w:rFonts w:ascii="Garamond" w:eastAsiaTheme="minorHAnsi" w:hAnsi="Garamond"/>
                <w:sz w:val="18"/>
                <w:szCs w:val="18"/>
                <w:lang w:eastAsia="en-US"/>
              </w:rPr>
            </w:pPr>
            <w:r w:rsidRPr="007114AF">
              <w:rPr>
                <w:rFonts w:ascii="Garamond" w:eastAsiaTheme="minorHAnsi" w:hAnsi="Garamond"/>
                <w:sz w:val="18"/>
                <w:szCs w:val="18"/>
                <w:lang w:eastAsia="en-US"/>
              </w:rPr>
              <w:t>512.44</w:t>
            </w:r>
          </w:p>
        </w:tc>
      </w:tr>
      <w:tr w:rsidR="00A9766F" w:rsidRPr="007114AF" w14:paraId="6EDCFA46" w14:textId="77777777" w:rsidTr="00A9766F">
        <w:trPr>
          <w:cnfStyle w:val="000000100000" w:firstRow="0" w:lastRow="0" w:firstColumn="0" w:lastColumn="0" w:oddVBand="0" w:evenVBand="0" w:oddHBand="1" w:evenHBand="0" w:firstRowFirstColumn="0" w:firstRowLastColumn="0" w:lastRowFirstColumn="0" w:lastRowLastColumn="0"/>
          <w:trHeight w:val="73"/>
          <w:jc w:val="center"/>
        </w:trPr>
        <w:tc>
          <w:tcPr>
            <w:tcW w:w="1668" w:type="dxa"/>
            <w:vAlign w:val="center"/>
            <w:hideMark/>
          </w:tcPr>
          <w:p w14:paraId="6EDCFA3E" w14:textId="77777777" w:rsidR="00A9766F" w:rsidRPr="007114AF" w:rsidRDefault="00A9766F" w:rsidP="00A9766F">
            <w:pPr>
              <w:rPr>
                <w:rFonts w:ascii="Garamond" w:eastAsiaTheme="minorHAnsi" w:hAnsi="Garamond"/>
                <w:sz w:val="18"/>
                <w:szCs w:val="18"/>
                <w:lang w:eastAsia="en-US"/>
              </w:rPr>
            </w:pPr>
            <w:r w:rsidRPr="007114AF">
              <w:rPr>
                <w:rFonts w:ascii="Garamond" w:eastAsiaTheme="minorHAnsi" w:hAnsi="Garamond"/>
                <w:sz w:val="18"/>
                <w:szCs w:val="18"/>
                <w:lang w:eastAsia="en-US"/>
              </w:rPr>
              <w:t xml:space="preserve">Izolimi termik i banesave -DH </w:t>
            </w:r>
          </w:p>
        </w:tc>
        <w:tc>
          <w:tcPr>
            <w:tcW w:w="998" w:type="dxa"/>
            <w:vAlign w:val="center"/>
            <w:hideMark/>
          </w:tcPr>
          <w:p w14:paraId="6EDCFA3F" w14:textId="77777777" w:rsidR="00A9766F" w:rsidRPr="007114AF" w:rsidRDefault="00A9766F" w:rsidP="00A9766F">
            <w:pPr>
              <w:rPr>
                <w:rFonts w:ascii="Garamond" w:eastAsiaTheme="minorHAnsi" w:hAnsi="Garamond"/>
                <w:sz w:val="18"/>
                <w:szCs w:val="18"/>
                <w:lang w:eastAsia="en-US"/>
              </w:rPr>
            </w:pPr>
            <w:r w:rsidRPr="007114AF">
              <w:rPr>
                <w:rFonts w:ascii="Garamond" w:eastAsiaTheme="minorHAnsi" w:hAnsi="Garamond"/>
                <w:sz w:val="18"/>
                <w:szCs w:val="18"/>
                <w:lang w:eastAsia="en-US"/>
              </w:rPr>
              <w:t xml:space="preserve">-48.21 </w:t>
            </w:r>
          </w:p>
        </w:tc>
        <w:tc>
          <w:tcPr>
            <w:tcW w:w="1246" w:type="dxa"/>
            <w:vAlign w:val="center"/>
            <w:hideMark/>
          </w:tcPr>
          <w:p w14:paraId="6EDCFA40" w14:textId="77777777" w:rsidR="00A9766F" w:rsidRPr="007114AF" w:rsidRDefault="00A9766F" w:rsidP="00A9766F">
            <w:pPr>
              <w:rPr>
                <w:rFonts w:ascii="Garamond" w:eastAsiaTheme="minorHAnsi" w:hAnsi="Garamond"/>
                <w:sz w:val="18"/>
                <w:szCs w:val="18"/>
                <w:lang w:eastAsia="en-US"/>
              </w:rPr>
            </w:pPr>
            <w:r w:rsidRPr="007114AF">
              <w:rPr>
                <w:rFonts w:ascii="Garamond" w:eastAsiaTheme="minorHAnsi" w:hAnsi="Garamond"/>
                <w:sz w:val="18"/>
                <w:szCs w:val="18"/>
                <w:lang w:eastAsia="en-US"/>
              </w:rPr>
              <w:t>apartamente</w:t>
            </w:r>
          </w:p>
        </w:tc>
        <w:tc>
          <w:tcPr>
            <w:tcW w:w="1056" w:type="dxa"/>
            <w:vAlign w:val="center"/>
            <w:hideMark/>
          </w:tcPr>
          <w:p w14:paraId="6EDCFA41" w14:textId="77777777" w:rsidR="00A9766F" w:rsidRPr="007114AF" w:rsidRDefault="00A9766F" w:rsidP="00A9766F">
            <w:pPr>
              <w:rPr>
                <w:rFonts w:ascii="Garamond" w:eastAsiaTheme="minorHAnsi" w:hAnsi="Garamond"/>
                <w:sz w:val="18"/>
                <w:szCs w:val="18"/>
                <w:lang w:eastAsia="en-US"/>
              </w:rPr>
            </w:pPr>
            <w:r w:rsidRPr="007114AF">
              <w:rPr>
                <w:rFonts w:ascii="Garamond" w:eastAsiaTheme="minorHAnsi" w:hAnsi="Garamond"/>
                <w:sz w:val="18"/>
                <w:szCs w:val="18"/>
                <w:lang w:eastAsia="en-US"/>
              </w:rPr>
              <w:t xml:space="preserve">1.67 </w:t>
            </w:r>
          </w:p>
        </w:tc>
        <w:tc>
          <w:tcPr>
            <w:tcW w:w="1128" w:type="dxa"/>
            <w:vAlign w:val="center"/>
          </w:tcPr>
          <w:p w14:paraId="6EDCFA42" w14:textId="77777777" w:rsidR="00A9766F" w:rsidRPr="007114AF" w:rsidRDefault="00A9766F" w:rsidP="00A9766F">
            <w:pPr>
              <w:rPr>
                <w:rFonts w:ascii="Garamond" w:eastAsiaTheme="minorHAnsi" w:hAnsi="Garamond"/>
                <w:sz w:val="18"/>
                <w:szCs w:val="18"/>
                <w:lang w:eastAsia="en-US"/>
              </w:rPr>
            </w:pPr>
            <w:r w:rsidRPr="007114AF">
              <w:rPr>
                <w:rFonts w:ascii="Garamond" w:eastAsiaTheme="minorHAnsi" w:hAnsi="Garamond"/>
                <w:sz w:val="18"/>
                <w:szCs w:val="18"/>
                <w:lang w:eastAsia="en-US"/>
              </w:rPr>
              <w:t xml:space="preserve">0 </w:t>
            </w:r>
          </w:p>
        </w:tc>
        <w:tc>
          <w:tcPr>
            <w:tcW w:w="1148" w:type="dxa"/>
            <w:vAlign w:val="center"/>
          </w:tcPr>
          <w:p w14:paraId="6EDCFA43" w14:textId="77777777" w:rsidR="00A9766F" w:rsidRPr="007114AF" w:rsidRDefault="00A9766F" w:rsidP="00A9766F">
            <w:pPr>
              <w:rPr>
                <w:rFonts w:ascii="Garamond" w:eastAsiaTheme="minorHAnsi" w:hAnsi="Garamond"/>
                <w:sz w:val="18"/>
                <w:szCs w:val="18"/>
                <w:lang w:eastAsia="en-US"/>
              </w:rPr>
            </w:pPr>
            <w:r w:rsidRPr="007114AF">
              <w:rPr>
                <w:rFonts w:ascii="Garamond" w:eastAsiaTheme="minorHAnsi" w:hAnsi="Garamond"/>
                <w:sz w:val="18"/>
                <w:szCs w:val="18"/>
                <w:lang w:eastAsia="en-US"/>
              </w:rPr>
              <w:t xml:space="preserve">0.00 </w:t>
            </w:r>
          </w:p>
        </w:tc>
        <w:tc>
          <w:tcPr>
            <w:tcW w:w="1184" w:type="dxa"/>
            <w:vAlign w:val="center"/>
          </w:tcPr>
          <w:p w14:paraId="6EDCFA44" w14:textId="77777777" w:rsidR="00A9766F" w:rsidRPr="007114AF" w:rsidRDefault="00A9766F" w:rsidP="00A9766F">
            <w:pPr>
              <w:rPr>
                <w:rFonts w:ascii="Garamond" w:eastAsiaTheme="minorHAnsi" w:hAnsi="Garamond"/>
                <w:sz w:val="18"/>
                <w:szCs w:val="18"/>
                <w:lang w:eastAsia="en-US"/>
              </w:rPr>
            </w:pPr>
            <w:r w:rsidRPr="007114AF">
              <w:rPr>
                <w:rFonts w:ascii="Garamond" w:eastAsiaTheme="minorHAnsi" w:hAnsi="Garamond"/>
                <w:sz w:val="18"/>
                <w:szCs w:val="18"/>
                <w:lang w:eastAsia="en-US"/>
              </w:rPr>
              <w:t xml:space="preserve">300 </w:t>
            </w:r>
          </w:p>
        </w:tc>
        <w:tc>
          <w:tcPr>
            <w:tcW w:w="1148" w:type="dxa"/>
            <w:vAlign w:val="center"/>
          </w:tcPr>
          <w:p w14:paraId="6EDCFA45" w14:textId="77777777" w:rsidR="00A9766F" w:rsidRPr="007114AF" w:rsidRDefault="00A9766F" w:rsidP="00A9766F">
            <w:pPr>
              <w:rPr>
                <w:rFonts w:ascii="Garamond" w:eastAsiaTheme="minorHAnsi" w:hAnsi="Garamond"/>
                <w:sz w:val="18"/>
                <w:szCs w:val="18"/>
                <w:lang w:eastAsia="en-US"/>
              </w:rPr>
            </w:pPr>
            <w:r w:rsidRPr="007114AF">
              <w:rPr>
                <w:rFonts w:ascii="Garamond" w:eastAsiaTheme="minorHAnsi" w:hAnsi="Garamond"/>
                <w:sz w:val="18"/>
                <w:szCs w:val="18"/>
                <w:lang w:eastAsia="en-US"/>
              </w:rPr>
              <w:t>0.26</w:t>
            </w:r>
          </w:p>
        </w:tc>
      </w:tr>
      <w:tr w:rsidR="00A9766F" w:rsidRPr="007114AF" w14:paraId="6EDCFA4F" w14:textId="77777777" w:rsidTr="00A9766F">
        <w:trPr>
          <w:trHeight w:val="73"/>
          <w:jc w:val="center"/>
        </w:trPr>
        <w:tc>
          <w:tcPr>
            <w:tcW w:w="1668" w:type="dxa"/>
            <w:vAlign w:val="center"/>
            <w:hideMark/>
          </w:tcPr>
          <w:p w14:paraId="6EDCFA47" w14:textId="77777777" w:rsidR="00A9766F" w:rsidRPr="007114AF" w:rsidRDefault="00A9766F" w:rsidP="00A9766F">
            <w:pPr>
              <w:rPr>
                <w:rFonts w:ascii="Garamond" w:eastAsiaTheme="minorHAnsi" w:hAnsi="Garamond"/>
                <w:sz w:val="18"/>
                <w:szCs w:val="18"/>
                <w:lang w:eastAsia="en-US"/>
              </w:rPr>
            </w:pPr>
            <w:r w:rsidRPr="007114AF">
              <w:rPr>
                <w:rFonts w:ascii="Garamond" w:eastAsiaTheme="minorHAnsi" w:hAnsi="Garamond"/>
                <w:sz w:val="18"/>
                <w:szCs w:val="18"/>
                <w:lang w:eastAsia="en-US"/>
              </w:rPr>
              <w:t>Motorë efikasë</w:t>
            </w:r>
          </w:p>
        </w:tc>
        <w:tc>
          <w:tcPr>
            <w:tcW w:w="998" w:type="dxa"/>
            <w:vAlign w:val="center"/>
            <w:hideMark/>
          </w:tcPr>
          <w:p w14:paraId="6EDCFA48" w14:textId="77777777" w:rsidR="00A9766F" w:rsidRPr="007114AF" w:rsidRDefault="00A9766F" w:rsidP="00A9766F">
            <w:pPr>
              <w:rPr>
                <w:rFonts w:ascii="Garamond" w:eastAsiaTheme="minorHAnsi" w:hAnsi="Garamond"/>
                <w:sz w:val="18"/>
                <w:szCs w:val="18"/>
                <w:lang w:eastAsia="en-US"/>
              </w:rPr>
            </w:pPr>
            <w:r w:rsidRPr="007114AF">
              <w:rPr>
                <w:rFonts w:ascii="Garamond" w:eastAsiaTheme="minorHAnsi" w:hAnsi="Garamond"/>
                <w:sz w:val="18"/>
                <w:szCs w:val="18"/>
                <w:lang w:eastAsia="en-US"/>
              </w:rPr>
              <w:t xml:space="preserve">-28.01 </w:t>
            </w:r>
          </w:p>
        </w:tc>
        <w:tc>
          <w:tcPr>
            <w:tcW w:w="1246" w:type="dxa"/>
            <w:vAlign w:val="center"/>
            <w:hideMark/>
          </w:tcPr>
          <w:p w14:paraId="6EDCFA49" w14:textId="77777777" w:rsidR="00A9766F" w:rsidRPr="007114AF" w:rsidRDefault="00A9766F" w:rsidP="00A9766F">
            <w:pPr>
              <w:rPr>
                <w:rFonts w:ascii="Garamond" w:eastAsiaTheme="minorHAnsi" w:hAnsi="Garamond"/>
                <w:sz w:val="18"/>
                <w:szCs w:val="18"/>
                <w:lang w:eastAsia="en-US"/>
              </w:rPr>
            </w:pPr>
            <w:r w:rsidRPr="007114AF">
              <w:rPr>
                <w:rFonts w:ascii="Garamond" w:eastAsiaTheme="minorHAnsi" w:hAnsi="Garamond"/>
                <w:sz w:val="18"/>
                <w:szCs w:val="18"/>
                <w:lang w:eastAsia="en-US"/>
              </w:rPr>
              <w:t xml:space="preserve">kW </w:t>
            </w:r>
          </w:p>
        </w:tc>
        <w:tc>
          <w:tcPr>
            <w:tcW w:w="1056" w:type="dxa"/>
            <w:vAlign w:val="center"/>
            <w:hideMark/>
          </w:tcPr>
          <w:p w14:paraId="6EDCFA4A" w14:textId="77777777" w:rsidR="00A9766F" w:rsidRPr="007114AF" w:rsidRDefault="00A9766F" w:rsidP="00A9766F">
            <w:pPr>
              <w:rPr>
                <w:rFonts w:ascii="Garamond" w:eastAsiaTheme="minorHAnsi" w:hAnsi="Garamond"/>
                <w:sz w:val="18"/>
                <w:szCs w:val="18"/>
                <w:lang w:eastAsia="en-US"/>
              </w:rPr>
            </w:pPr>
            <w:r w:rsidRPr="007114AF">
              <w:rPr>
                <w:rFonts w:ascii="Garamond" w:eastAsiaTheme="minorHAnsi" w:hAnsi="Garamond"/>
                <w:sz w:val="18"/>
                <w:szCs w:val="18"/>
                <w:lang w:eastAsia="en-US"/>
              </w:rPr>
              <w:t xml:space="preserve">4.33 </w:t>
            </w:r>
          </w:p>
        </w:tc>
        <w:tc>
          <w:tcPr>
            <w:tcW w:w="1128" w:type="dxa"/>
            <w:vAlign w:val="center"/>
          </w:tcPr>
          <w:p w14:paraId="6EDCFA4B" w14:textId="77777777" w:rsidR="00A9766F" w:rsidRPr="007114AF" w:rsidRDefault="00A9766F" w:rsidP="00A9766F">
            <w:pPr>
              <w:rPr>
                <w:rFonts w:ascii="Garamond" w:eastAsiaTheme="minorHAnsi" w:hAnsi="Garamond"/>
                <w:sz w:val="18"/>
                <w:szCs w:val="18"/>
                <w:lang w:eastAsia="en-US"/>
              </w:rPr>
            </w:pPr>
            <w:r w:rsidRPr="007114AF">
              <w:rPr>
                <w:rFonts w:ascii="Garamond" w:eastAsiaTheme="minorHAnsi" w:hAnsi="Garamond"/>
                <w:sz w:val="18"/>
                <w:szCs w:val="18"/>
                <w:lang w:eastAsia="en-US"/>
              </w:rPr>
              <w:t xml:space="preserve">20,000 </w:t>
            </w:r>
          </w:p>
        </w:tc>
        <w:tc>
          <w:tcPr>
            <w:tcW w:w="1148" w:type="dxa"/>
            <w:vAlign w:val="center"/>
          </w:tcPr>
          <w:p w14:paraId="6EDCFA4C" w14:textId="77777777" w:rsidR="00A9766F" w:rsidRPr="007114AF" w:rsidRDefault="00A9766F" w:rsidP="00A9766F">
            <w:pPr>
              <w:rPr>
                <w:rFonts w:ascii="Garamond" w:eastAsiaTheme="minorHAnsi" w:hAnsi="Garamond"/>
                <w:sz w:val="18"/>
                <w:szCs w:val="18"/>
                <w:lang w:eastAsia="en-US"/>
              </w:rPr>
            </w:pPr>
            <w:r w:rsidRPr="007114AF">
              <w:rPr>
                <w:rFonts w:ascii="Garamond" w:eastAsiaTheme="minorHAnsi" w:hAnsi="Garamond"/>
                <w:sz w:val="18"/>
                <w:szCs w:val="18"/>
                <w:lang w:eastAsia="en-US"/>
              </w:rPr>
              <w:t xml:space="preserve">53.69 </w:t>
            </w:r>
          </w:p>
        </w:tc>
        <w:tc>
          <w:tcPr>
            <w:tcW w:w="1184" w:type="dxa"/>
            <w:vAlign w:val="center"/>
          </w:tcPr>
          <w:p w14:paraId="6EDCFA4D" w14:textId="77777777" w:rsidR="00A9766F" w:rsidRPr="007114AF" w:rsidRDefault="00A9766F" w:rsidP="00A9766F">
            <w:pPr>
              <w:rPr>
                <w:rFonts w:ascii="Garamond" w:eastAsiaTheme="minorHAnsi" w:hAnsi="Garamond"/>
                <w:sz w:val="18"/>
                <w:szCs w:val="18"/>
                <w:lang w:eastAsia="en-US"/>
              </w:rPr>
            </w:pPr>
            <w:r w:rsidRPr="007114AF">
              <w:rPr>
                <w:rFonts w:ascii="Garamond" w:eastAsiaTheme="minorHAnsi" w:hAnsi="Garamond"/>
                <w:sz w:val="18"/>
                <w:szCs w:val="18"/>
                <w:lang w:eastAsia="en-US"/>
              </w:rPr>
              <w:t xml:space="preserve">80,000 </w:t>
            </w:r>
          </w:p>
        </w:tc>
        <w:tc>
          <w:tcPr>
            <w:tcW w:w="1148" w:type="dxa"/>
            <w:vAlign w:val="center"/>
          </w:tcPr>
          <w:p w14:paraId="6EDCFA4E" w14:textId="77777777" w:rsidR="00A9766F" w:rsidRPr="007114AF" w:rsidRDefault="00A9766F" w:rsidP="00A9766F">
            <w:pPr>
              <w:rPr>
                <w:rFonts w:ascii="Garamond" w:eastAsiaTheme="minorHAnsi" w:hAnsi="Garamond"/>
                <w:sz w:val="18"/>
                <w:szCs w:val="18"/>
                <w:lang w:eastAsia="en-US"/>
              </w:rPr>
            </w:pPr>
            <w:r w:rsidRPr="007114AF">
              <w:rPr>
                <w:rFonts w:ascii="Garamond" w:eastAsiaTheme="minorHAnsi" w:hAnsi="Garamond"/>
                <w:sz w:val="18"/>
                <w:szCs w:val="18"/>
                <w:lang w:eastAsia="en-US"/>
              </w:rPr>
              <w:t>180.14</w:t>
            </w:r>
          </w:p>
        </w:tc>
      </w:tr>
      <w:tr w:rsidR="00A9766F" w:rsidRPr="007114AF" w14:paraId="6EDCFA58" w14:textId="77777777" w:rsidTr="00A9766F">
        <w:trPr>
          <w:cnfStyle w:val="000000100000" w:firstRow="0" w:lastRow="0" w:firstColumn="0" w:lastColumn="0" w:oddVBand="0" w:evenVBand="0" w:oddHBand="1" w:evenHBand="0" w:firstRowFirstColumn="0" w:firstRowLastColumn="0" w:lastRowFirstColumn="0" w:lastRowLastColumn="0"/>
          <w:trHeight w:val="73"/>
          <w:jc w:val="center"/>
        </w:trPr>
        <w:tc>
          <w:tcPr>
            <w:tcW w:w="1668" w:type="dxa"/>
            <w:vAlign w:val="center"/>
            <w:hideMark/>
          </w:tcPr>
          <w:p w14:paraId="6EDCFA50" w14:textId="77777777" w:rsidR="00A9766F" w:rsidRPr="007114AF" w:rsidRDefault="00A9766F" w:rsidP="00A9766F">
            <w:pPr>
              <w:rPr>
                <w:rFonts w:ascii="Garamond" w:eastAsiaTheme="minorHAnsi" w:hAnsi="Garamond"/>
                <w:sz w:val="18"/>
                <w:szCs w:val="18"/>
                <w:lang w:eastAsia="en-US"/>
              </w:rPr>
            </w:pPr>
            <w:r w:rsidRPr="007114AF">
              <w:rPr>
                <w:rFonts w:ascii="Garamond" w:eastAsiaTheme="minorHAnsi" w:hAnsi="Garamond"/>
                <w:sz w:val="18"/>
                <w:szCs w:val="18"/>
                <w:lang w:eastAsia="en-US"/>
              </w:rPr>
              <w:t>Frigoriferë efikasë</w:t>
            </w:r>
          </w:p>
        </w:tc>
        <w:tc>
          <w:tcPr>
            <w:tcW w:w="998" w:type="dxa"/>
            <w:vAlign w:val="center"/>
            <w:hideMark/>
          </w:tcPr>
          <w:p w14:paraId="6EDCFA51" w14:textId="77777777" w:rsidR="00A9766F" w:rsidRPr="007114AF" w:rsidRDefault="00A9766F" w:rsidP="00A9766F">
            <w:pPr>
              <w:rPr>
                <w:rFonts w:ascii="Garamond" w:eastAsiaTheme="minorHAnsi" w:hAnsi="Garamond"/>
                <w:sz w:val="18"/>
                <w:szCs w:val="18"/>
                <w:lang w:eastAsia="en-US"/>
              </w:rPr>
            </w:pPr>
            <w:r w:rsidRPr="007114AF">
              <w:rPr>
                <w:rFonts w:ascii="Garamond" w:eastAsiaTheme="minorHAnsi" w:hAnsi="Garamond"/>
                <w:sz w:val="18"/>
                <w:szCs w:val="18"/>
                <w:lang w:eastAsia="en-US"/>
              </w:rPr>
              <w:t xml:space="preserve">-47.59 </w:t>
            </w:r>
          </w:p>
        </w:tc>
        <w:tc>
          <w:tcPr>
            <w:tcW w:w="1246" w:type="dxa"/>
            <w:vAlign w:val="center"/>
            <w:hideMark/>
          </w:tcPr>
          <w:p w14:paraId="6EDCFA52" w14:textId="77777777" w:rsidR="00A9766F" w:rsidRPr="007114AF" w:rsidRDefault="00A9766F" w:rsidP="00A9766F">
            <w:pPr>
              <w:rPr>
                <w:rFonts w:ascii="Garamond" w:eastAsiaTheme="minorHAnsi" w:hAnsi="Garamond"/>
                <w:sz w:val="18"/>
                <w:szCs w:val="18"/>
                <w:lang w:eastAsia="en-US"/>
              </w:rPr>
            </w:pPr>
            <w:r w:rsidRPr="007114AF">
              <w:rPr>
                <w:rFonts w:ascii="Garamond" w:eastAsiaTheme="minorHAnsi" w:hAnsi="Garamond"/>
                <w:sz w:val="18"/>
                <w:szCs w:val="18"/>
                <w:lang w:eastAsia="en-US"/>
              </w:rPr>
              <w:t>frigorifer</w:t>
            </w:r>
          </w:p>
        </w:tc>
        <w:tc>
          <w:tcPr>
            <w:tcW w:w="1056" w:type="dxa"/>
            <w:vAlign w:val="center"/>
            <w:hideMark/>
          </w:tcPr>
          <w:p w14:paraId="6EDCFA53" w14:textId="77777777" w:rsidR="00A9766F" w:rsidRPr="007114AF" w:rsidRDefault="00A9766F" w:rsidP="00A9766F">
            <w:pPr>
              <w:rPr>
                <w:rFonts w:ascii="Garamond" w:eastAsiaTheme="minorHAnsi" w:hAnsi="Garamond"/>
                <w:sz w:val="18"/>
                <w:szCs w:val="18"/>
                <w:lang w:eastAsia="en-US"/>
              </w:rPr>
            </w:pPr>
            <w:r w:rsidRPr="007114AF">
              <w:rPr>
                <w:rFonts w:ascii="Garamond" w:eastAsiaTheme="minorHAnsi" w:hAnsi="Garamond"/>
                <w:sz w:val="18"/>
                <w:szCs w:val="18"/>
                <w:lang w:eastAsia="en-US"/>
              </w:rPr>
              <w:t xml:space="preserve">0.84 </w:t>
            </w:r>
          </w:p>
        </w:tc>
        <w:tc>
          <w:tcPr>
            <w:tcW w:w="1128" w:type="dxa"/>
            <w:vAlign w:val="center"/>
          </w:tcPr>
          <w:p w14:paraId="6EDCFA54" w14:textId="77777777" w:rsidR="00A9766F" w:rsidRPr="007114AF" w:rsidRDefault="00A9766F" w:rsidP="00A9766F">
            <w:pPr>
              <w:rPr>
                <w:rFonts w:ascii="Garamond" w:eastAsiaTheme="minorHAnsi" w:hAnsi="Garamond"/>
                <w:sz w:val="18"/>
                <w:szCs w:val="18"/>
                <w:lang w:eastAsia="en-US"/>
              </w:rPr>
            </w:pPr>
            <w:r w:rsidRPr="007114AF">
              <w:rPr>
                <w:rFonts w:ascii="Garamond" w:eastAsiaTheme="minorHAnsi" w:hAnsi="Garamond"/>
                <w:sz w:val="18"/>
                <w:szCs w:val="18"/>
                <w:lang w:eastAsia="en-US"/>
              </w:rPr>
              <w:t xml:space="preserve">20,000 </w:t>
            </w:r>
          </w:p>
        </w:tc>
        <w:tc>
          <w:tcPr>
            <w:tcW w:w="1148" w:type="dxa"/>
            <w:vAlign w:val="center"/>
          </w:tcPr>
          <w:p w14:paraId="6EDCFA55" w14:textId="77777777" w:rsidR="00A9766F" w:rsidRPr="007114AF" w:rsidRDefault="00A9766F" w:rsidP="00A9766F">
            <w:pPr>
              <w:rPr>
                <w:rFonts w:ascii="Garamond" w:eastAsiaTheme="minorHAnsi" w:hAnsi="Garamond"/>
                <w:sz w:val="18"/>
                <w:szCs w:val="18"/>
                <w:lang w:eastAsia="en-US"/>
              </w:rPr>
            </w:pPr>
            <w:r w:rsidRPr="007114AF">
              <w:rPr>
                <w:rFonts w:ascii="Garamond" w:eastAsiaTheme="minorHAnsi" w:hAnsi="Garamond"/>
                <w:sz w:val="18"/>
                <w:szCs w:val="18"/>
                <w:lang w:eastAsia="en-US"/>
              </w:rPr>
              <w:t xml:space="preserve">10.46 </w:t>
            </w:r>
          </w:p>
        </w:tc>
        <w:tc>
          <w:tcPr>
            <w:tcW w:w="1184" w:type="dxa"/>
            <w:vAlign w:val="center"/>
          </w:tcPr>
          <w:p w14:paraId="6EDCFA56" w14:textId="77777777" w:rsidR="00A9766F" w:rsidRPr="007114AF" w:rsidRDefault="00A9766F" w:rsidP="00A9766F">
            <w:pPr>
              <w:rPr>
                <w:rFonts w:ascii="Garamond" w:eastAsiaTheme="minorHAnsi" w:hAnsi="Garamond"/>
                <w:sz w:val="18"/>
                <w:szCs w:val="18"/>
                <w:lang w:eastAsia="en-US"/>
              </w:rPr>
            </w:pPr>
            <w:r w:rsidRPr="007114AF">
              <w:rPr>
                <w:rFonts w:ascii="Garamond" w:eastAsiaTheme="minorHAnsi" w:hAnsi="Garamond"/>
                <w:sz w:val="18"/>
                <w:szCs w:val="18"/>
                <w:lang w:eastAsia="en-US"/>
              </w:rPr>
              <w:t xml:space="preserve">30,000 </w:t>
            </w:r>
          </w:p>
        </w:tc>
        <w:tc>
          <w:tcPr>
            <w:tcW w:w="1148" w:type="dxa"/>
            <w:vAlign w:val="center"/>
          </w:tcPr>
          <w:p w14:paraId="6EDCFA57" w14:textId="77777777" w:rsidR="00A9766F" w:rsidRPr="007114AF" w:rsidRDefault="00A9766F" w:rsidP="00A9766F">
            <w:pPr>
              <w:rPr>
                <w:rFonts w:ascii="Garamond" w:eastAsiaTheme="minorHAnsi" w:hAnsi="Garamond"/>
                <w:sz w:val="18"/>
                <w:szCs w:val="18"/>
                <w:lang w:eastAsia="en-US"/>
              </w:rPr>
            </w:pPr>
            <w:r w:rsidRPr="007114AF">
              <w:rPr>
                <w:rFonts w:ascii="Garamond" w:eastAsiaTheme="minorHAnsi" w:hAnsi="Garamond"/>
                <w:sz w:val="18"/>
                <w:szCs w:val="18"/>
                <w:lang w:eastAsia="en-US"/>
              </w:rPr>
              <w:t>13.15</w:t>
            </w:r>
          </w:p>
        </w:tc>
      </w:tr>
      <w:tr w:rsidR="00A9766F" w:rsidRPr="007114AF" w14:paraId="6EDCFA61" w14:textId="77777777" w:rsidTr="00A9766F">
        <w:trPr>
          <w:trHeight w:val="73"/>
          <w:jc w:val="center"/>
        </w:trPr>
        <w:tc>
          <w:tcPr>
            <w:tcW w:w="1668" w:type="dxa"/>
            <w:vAlign w:val="center"/>
            <w:hideMark/>
          </w:tcPr>
          <w:p w14:paraId="6EDCFA59" w14:textId="77777777" w:rsidR="00A9766F" w:rsidRPr="007114AF" w:rsidRDefault="00A9766F" w:rsidP="00A9766F">
            <w:pPr>
              <w:rPr>
                <w:rFonts w:ascii="Garamond" w:eastAsiaTheme="minorHAnsi" w:hAnsi="Garamond"/>
                <w:sz w:val="18"/>
                <w:szCs w:val="18"/>
                <w:lang w:eastAsia="en-US"/>
              </w:rPr>
            </w:pPr>
            <w:r w:rsidRPr="007114AF">
              <w:rPr>
                <w:rFonts w:ascii="Garamond" w:eastAsiaTheme="minorHAnsi" w:hAnsi="Garamond"/>
                <w:sz w:val="18"/>
                <w:szCs w:val="18"/>
                <w:lang w:eastAsia="en-US"/>
              </w:rPr>
              <w:t>Sisteme diellore për ujë të ngrohtë</w:t>
            </w:r>
          </w:p>
        </w:tc>
        <w:tc>
          <w:tcPr>
            <w:tcW w:w="998" w:type="dxa"/>
            <w:vAlign w:val="center"/>
            <w:hideMark/>
          </w:tcPr>
          <w:p w14:paraId="6EDCFA5A" w14:textId="77777777" w:rsidR="00A9766F" w:rsidRPr="007114AF" w:rsidRDefault="00A9766F" w:rsidP="00A9766F">
            <w:pPr>
              <w:rPr>
                <w:rFonts w:ascii="Garamond" w:eastAsiaTheme="minorHAnsi" w:hAnsi="Garamond"/>
                <w:sz w:val="18"/>
                <w:szCs w:val="18"/>
                <w:lang w:eastAsia="en-US"/>
              </w:rPr>
            </w:pPr>
            <w:r w:rsidRPr="007114AF">
              <w:rPr>
                <w:rFonts w:ascii="Garamond" w:eastAsiaTheme="minorHAnsi" w:hAnsi="Garamond"/>
                <w:sz w:val="18"/>
                <w:szCs w:val="18"/>
                <w:lang w:eastAsia="en-US"/>
              </w:rPr>
              <w:t xml:space="preserve">-59.12 </w:t>
            </w:r>
          </w:p>
        </w:tc>
        <w:tc>
          <w:tcPr>
            <w:tcW w:w="1246" w:type="dxa"/>
            <w:vAlign w:val="center"/>
            <w:hideMark/>
          </w:tcPr>
          <w:p w14:paraId="6EDCFA5B" w14:textId="77777777" w:rsidR="00A9766F" w:rsidRPr="007114AF" w:rsidRDefault="00A9766F" w:rsidP="00A9766F">
            <w:pPr>
              <w:rPr>
                <w:rFonts w:ascii="Garamond" w:eastAsiaTheme="minorHAnsi" w:hAnsi="Garamond"/>
                <w:sz w:val="18"/>
                <w:szCs w:val="18"/>
                <w:lang w:eastAsia="en-US"/>
              </w:rPr>
            </w:pPr>
            <w:r w:rsidRPr="007114AF">
              <w:rPr>
                <w:rFonts w:ascii="Garamond" w:eastAsiaTheme="minorHAnsi" w:hAnsi="Garamond"/>
                <w:sz w:val="18"/>
                <w:szCs w:val="18"/>
                <w:lang w:eastAsia="en-US"/>
              </w:rPr>
              <w:t>njësi</w:t>
            </w:r>
          </w:p>
        </w:tc>
        <w:tc>
          <w:tcPr>
            <w:tcW w:w="1056" w:type="dxa"/>
            <w:vAlign w:val="center"/>
            <w:hideMark/>
          </w:tcPr>
          <w:p w14:paraId="6EDCFA5C" w14:textId="77777777" w:rsidR="00A9766F" w:rsidRPr="007114AF" w:rsidRDefault="00A9766F" w:rsidP="00A9766F">
            <w:pPr>
              <w:rPr>
                <w:rFonts w:ascii="Garamond" w:eastAsiaTheme="minorHAnsi" w:hAnsi="Garamond"/>
                <w:sz w:val="18"/>
                <w:szCs w:val="18"/>
                <w:lang w:eastAsia="en-US"/>
              </w:rPr>
            </w:pPr>
            <w:r w:rsidRPr="007114AF">
              <w:rPr>
                <w:rFonts w:ascii="Garamond" w:eastAsiaTheme="minorHAnsi" w:hAnsi="Garamond"/>
                <w:sz w:val="18"/>
                <w:szCs w:val="18"/>
                <w:lang w:eastAsia="en-US"/>
              </w:rPr>
              <w:t xml:space="preserve">2.59 </w:t>
            </w:r>
          </w:p>
        </w:tc>
        <w:tc>
          <w:tcPr>
            <w:tcW w:w="1128" w:type="dxa"/>
            <w:vAlign w:val="center"/>
          </w:tcPr>
          <w:p w14:paraId="6EDCFA5D" w14:textId="77777777" w:rsidR="00A9766F" w:rsidRPr="007114AF" w:rsidRDefault="00A9766F" w:rsidP="00A9766F">
            <w:pPr>
              <w:rPr>
                <w:rFonts w:ascii="Garamond" w:eastAsiaTheme="minorHAnsi" w:hAnsi="Garamond"/>
                <w:sz w:val="18"/>
                <w:szCs w:val="18"/>
                <w:lang w:eastAsia="en-US"/>
              </w:rPr>
            </w:pPr>
            <w:r w:rsidRPr="007114AF">
              <w:rPr>
                <w:rFonts w:ascii="Garamond" w:eastAsiaTheme="minorHAnsi" w:hAnsi="Garamond"/>
                <w:sz w:val="18"/>
                <w:szCs w:val="18"/>
                <w:lang w:eastAsia="en-US"/>
              </w:rPr>
              <w:t xml:space="preserve">20,000 </w:t>
            </w:r>
          </w:p>
        </w:tc>
        <w:tc>
          <w:tcPr>
            <w:tcW w:w="1148" w:type="dxa"/>
            <w:vAlign w:val="center"/>
          </w:tcPr>
          <w:p w14:paraId="6EDCFA5E" w14:textId="77777777" w:rsidR="00A9766F" w:rsidRPr="007114AF" w:rsidRDefault="00A9766F" w:rsidP="00A9766F">
            <w:pPr>
              <w:rPr>
                <w:rFonts w:ascii="Garamond" w:eastAsiaTheme="minorHAnsi" w:hAnsi="Garamond"/>
                <w:sz w:val="18"/>
                <w:szCs w:val="18"/>
                <w:lang w:eastAsia="en-US"/>
              </w:rPr>
            </w:pPr>
            <w:r w:rsidRPr="007114AF">
              <w:rPr>
                <w:rFonts w:ascii="Garamond" w:eastAsiaTheme="minorHAnsi" w:hAnsi="Garamond"/>
                <w:sz w:val="18"/>
                <w:szCs w:val="18"/>
                <w:lang w:eastAsia="en-US"/>
              </w:rPr>
              <w:t xml:space="preserve">32.05 </w:t>
            </w:r>
          </w:p>
        </w:tc>
        <w:tc>
          <w:tcPr>
            <w:tcW w:w="1184" w:type="dxa"/>
            <w:vAlign w:val="center"/>
          </w:tcPr>
          <w:p w14:paraId="6EDCFA5F" w14:textId="77777777" w:rsidR="00A9766F" w:rsidRPr="007114AF" w:rsidRDefault="00A9766F" w:rsidP="00A9766F">
            <w:pPr>
              <w:rPr>
                <w:rFonts w:ascii="Garamond" w:eastAsiaTheme="minorHAnsi" w:hAnsi="Garamond"/>
                <w:sz w:val="18"/>
                <w:szCs w:val="18"/>
                <w:lang w:eastAsia="en-US"/>
              </w:rPr>
            </w:pPr>
            <w:r w:rsidRPr="007114AF">
              <w:rPr>
                <w:rFonts w:ascii="Garamond" w:eastAsiaTheme="minorHAnsi" w:hAnsi="Garamond"/>
                <w:sz w:val="18"/>
                <w:szCs w:val="18"/>
                <w:lang w:eastAsia="en-US"/>
              </w:rPr>
              <w:t xml:space="preserve">60,000 </w:t>
            </w:r>
          </w:p>
        </w:tc>
        <w:tc>
          <w:tcPr>
            <w:tcW w:w="1148" w:type="dxa"/>
            <w:vAlign w:val="center"/>
          </w:tcPr>
          <w:p w14:paraId="6EDCFA60" w14:textId="77777777" w:rsidR="00A9766F" w:rsidRPr="007114AF" w:rsidRDefault="00A9766F" w:rsidP="00A9766F">
            <w:pPr>
              <w:rPr>
                <w:rFonts w:ascii="Garamond" w:eastAsiaTheme="minorHAnsi" w:hAnsi="Garamond"/>
                <w:sz w:val="18"/>
                <w:szCs w:val="18"/>
                <w:lang w:eastAsia="en-US"/>
              </w:rPr>
            </w:pPr>
            <w:r w:rsidRPr="007114AF">
              <w:rPr>
                <w:rFonts w:ascii="Garamond" w:eastAsiaTheme="minorHAnsi" w:hAnsi="Garamond"/>
                <w:sz w:val="18"/>
                <w:szCs w:val="18"/>
                <w:lang w:eastAsia="en-US"/>
              </w:rPr>
              <w:t>80.65</w:t>
            </w:r>
          </w:p>
        </w:tc>
      </w:tr>
      <w:tr w:rsidR="00A9766F" w:rsidRPr="007114AF" w14:paraId="6EDCFA6A" w14:textId="77777777" w:rsidTr="00A9766F">
        <w:trPr>
          <w:cnfStyle w:val="000000100000" w:firstRow="0" w:lastRow="0" w:firstColumn="0" w:lastColumn="0" w:oddVBand="0" w:evenVBand="0" w:oddHBand="1" w:evenHBand="0" w:firstRowFirstColumn="0" w:firstRowLastColumn="0" w:lastRowFirstColumn="0" w:lastRowLastColumn="0"/>
          <w:trHeight w:val="73"/>
          <w:jc w:val="center"/>
        </w:trPr>
        <w:tc>
          <w:tcPr>
            <w:tcW w:w="1668" w:type="dxa"/>
            <w:vAlign w:val="center"/>
            <w:hideMark/>
          </w:tcPr>
          <w:p w14:paraId="6EDCFA62" w14:textId="77777777" w:rsidR="00A9766F" w:rsidRPr="007114AF" w:rsidRDefault="00A9766F" w:rsidP="00A9766F">
            <w:pPr>
              <w:rPr>
                <w:rFonts w:ascii="Garamond" w:eastAsiaTheme="minorHAnsi" w:hAnsi="Garamond"/>
                <w:sz w:val="18"/>
                <w:szCs w:val="18"/>
                <w:lang w:eastAsia="en-US"/>
              </w:rPr>
            </w:pPr>
            <w:r w:rsidRPr="007114AF">
              <w:rPr>
                <w:rFonts w:ascii="Garamond" w:eastAsiaTheme="minorHAnsi" w:hAnsi="Garamond"/>
                <w:sz w:val="18"/>
                <w:szCs w:val="18"/>
                <w:lang w:eastAsia="en-US"/>
              </w:rPr>
              <w:t>Hidrocentral i vogël</w:t>
            </w:r>
          </w:p>
        </w:tc>
        <w:tc>
          <w:tcPr>
            <w:tcW w:w="998" w:type="dxa"/>
            <w:vAlign w:val="center"/>
            <w:hideMark/>
          </w:tcPr>
          <w:p w14:paraId="6EDCFA63" w14:textId="77777777" w:rsidR="00A9766F" w:rsidRPr="007114AF" w:rsidRDefault="00A9766F" w:rsidP="00A9766F">
            <w:pPr>
              <w:rPr>
                <w:rFonts w:ascii="Garamond" w:eastAsiaTheme="minorHAnsi" w:hAnsi="Garamond"/>
                <w:sz w:val="18"/>
                <w:szCs w:val="18"/>
                <w:lang w:eastAsia="en-US"/>
              </w:rPr>
            </w:pPr>
            <w:r w:rsidRPr="007114AF">
              <w:rPr>
                <w:rFonts w:ascii="Garamond" w:eastAsiaTheme="minorHAnsi" w:hAnsi="Garamond"/>
                <w:sz w:val="18"/>
                <w:szCs w:val="18"/>
                <w:lang w:eastAsia="en-US"/>
              </w:rPr>
              <w:t xml:space="preserve">-214.57 </w:t>
            </w:r>
          </w:p>
        </w:tc>
        <w:tc>
          <w:tcPr>
            <w:tcW w:w="1246" w:type="dxa"/>
            <w:vAlign w:val="center"/>
            <w:hideMark/>
          </w:tcPr>
          <w:p w14:paraId="6EDCFA64" w14:textId="77777777" w:rsidR="00A9766F" w:rsidRPr="007114AF" w:rsidRDefault="00A9766F" w:rsidP="00A9766F">
            <w:pPr>
              <w:rPr>
                <w:rFonts w:ascii="Garamond" w:eastAsiaTheme="minorHAnsi" w:hAnsi="Garamond"/>
                <w:sz w:val="18"/>
                <w:szCs w:val="18"/>
                <w:lang w:eastAsia="en-US"/>
              </w:rPr>
            </w:pPr>
            <w:r w:rsidRPr="007114AF">
              <w:rPr>
                <w:rFonts w:ascii="Garamond" w:eastAsiaTheme="minorHAnsi" w:hAnsi="Garamond"/>
                <w:sz w:val="18"/>
                <w:szCs w:val="18"/>
                <w:lang w:eastAsia="en-US"/>
              </w:rPr>
              <w:t xml:space="preserve">kW </w:t>
            </w:r>
          </w:p>
        </w:tc>
        <w:tc>
          <w:tcPr>
            <w:tcW w:w="1056" w:type="dxa"/>
            <w:vAlign w:val="center"/>
            <w:hideMark/>
          </w:tcPr>
          <w:p w14:paraId="6EDCFA65" w14:textId="77777777" w:rsidR="00A9766F" w:rsidRPr="007114AF" w:rsidRDefault="00A9766F" w:rsidP="00A9766F">
            <w:pPr>
              <w:rPr>
                <w:rFonts w:ascii="Garamond" w:eastAsiaTheme="minorHAnsi" w:hAnsi="Garamond"/>
                <w:sz w:val="18"/>
                <w:szCs w:val="18"/>
                <w:lang w:eastAsia="en-US"/>
              </w:rPr>
            </w:pPr>
            <w:r w:rsidRPr="007114AF">
              <w:rPr>
                <w:rFonts w:ascii="Garamond" w:eastAsiaTheme="minorHAnsi" w:hAnsi="Garamond"/>
                <w:sz w:val="18"/>
                <w:szCs w:val="18"/>
                <w:lang w:eastAsia="en-US"/>
              </w:rPr>
              <w:t xml:space="preserve">5.61 </w:t>
            </w:r>
          </w:p>
        </w:tc>
        <w:tc>
          <w:tcPr>
            <w:tcW w:w="1128" w:type="dxa"/>
            <w:vAlign w:val="center"/>
          </w:tcPr>
          <w:p w14:paraId="6EDCFA66" w14:textId="77777777" w:rsidR="00A9766F" w:rsidRPr="007114AF" w:rsidRDefault="00A9766F" w:rsidP="00A9766F">
            <w:pPr>
              <w:rPr>
                <w:rFonts w:ascii="Garamond" w:eastAsiaTheme="minorHAnsi" w:hAnsi="Garamond"/>
                <w:sz w:val="18"/>
                <w:szCs w:val="18"/>
                <w:lang w:eastAsia="en-US"/>
              </w:rPr>
            </w:pPr>
            <w:r w:rsidRPr="007114AF">
              <w:rPr>
                <w:rFonts w:ascii="Garamond" w:eastAsiaTheme="minorHAnsi" w:hAnsi="Garamond"/>
                <w:sz w:val="18"/>
                <w:szCs w:val="18"/>
                <w:lang w:eastAsia="en-US"/>
              </w:rPr>
              <w:t xml:space="preserve">25,000 </w:t>
            </w:r>
          </w:p>
        </w:tc>
        <w:tc>
          <w:tcPr>
            <w:tcW w:w="1148" w:type="dxa"/>
            <w:vAlign w:val="center"/>
          </w:tcPr>
          <w:p w14:paraId="6EDCFA67" w14:textId="77777777" w:rsidR="00A9766F" w:rsidRPr="007114AF" w:rsidRDefault="00A9766F" w:rsidP="00A9766F">
            <w:pPr>
              <w:rPr>
                <w:rFonts w:ascii="Garamond" w:eastAsiaTheme="minorHAnsi" w:hAnsi="Garamond"/>
                <w:sz w:val="18"/>
                <w:szCs w:val="18"/>
                <w:lang w:eastAsia="en-US"/>
              </w:rPr>
            </w:pPr>
            <w:r w:rsidRPr="007114AF">
              <w:rPr>
                <w:rFonts w:ascii="Garamond" w:eastAsiaTheme="minorHAnsi" w:hAnsi="Garamond"/>
                <w:sz w:val="18"/>
                <w:szCs w:val="18"/>
                <w:lang w:eastAsia="en-US"/>
              </w:rPr>
              <w:t xml:space="preserve">86.98 </w:t>
            </w:r>
          </w:p>
        </w:tc>
        <w:tc>
          <w:tcPr>
            <w:tcW w:w="1184" w:type="dxa"/>
            <w:vAlign w:val="center"/>
          </w:tcPr>
          <w:p w14:paraId="6EDCFA68" w14:textId="77777777" w:rsidR="00A9766F" w:rsidRPr="007114AF" w:rsidRDefault="00A9766F" w:rsidP="00A9766F">
            <w:pPr>
              <w:rPr>
                <w:rFonts w:ascii="Garamond" w:eastAsiaTheme="minorHAnsi" w:hAnsi="Garamond"/>
                <w:sz w:val="18"/>
                <w:szCs w:val="18"/>
                <w:lang w:eastAsia="en-US"/>
              </w:rPr>
            </w:pPr>
            <w:r w:rsidRPr="007114AF">
              <w:rPr>
                <w:rFonts w:ascii="Garamond" w:eastAsiaTheme="minorHAnsi" w:hAnsi="Garamond"/>
                <w:sz w:val="18"/>
                <w:szCs w:val="18"/>
                <w:lang w:eastAsia="en-US"/>
              </w:rPr>
              <w:t xml:space="preserve">80,000 </w:t>
            </w:r>
          </w:p>
        </w:tc>
        <w:tc>
          <w:tcPr>
            <w:tcW w:w="1148" w:type="dxa"/>
            <w:vAlign w:val="center"/>
          </w:tcPr>
          <w:p w14:paraId="6EDCFA69" w14:textId="77777777" w:rsidR="00A9766F" w:rsidRPr="007114AF" w:rsidRDefault="00A9766F" w:rsidP="00A9766F">
            <w:pPr>
              <w:rPr>
                <w:rFonts w:ascii="Garamond" w:eastAsiaTheme="minorHAnsi" w:hAnsi="Garamond"/>
                <w:sz w:val="18"/>
                <w:szCs w:val="18"/>
                <w:lang w:eastAsia="en-US"/>
              </w:rPr>
            </w:pPr>
            <w:r w:rsidRPr="007114AF">
              <w:rPr>
                <w:rFonts w:ascii="Garamond" w:eastAsiaTheme="minorHAnsi" w:hAnsi="Garamond"/>
                <w:sz w:val="18"/>
                <w:szCs w:val="18"/>
                <w:lang w:eastAsia="en-US"/>
              </w:rPr>
              <w:t>233.43</w:t>
            </w:r>
          </w:p>
        </w:tc>
      </w:tr>
      <w:tr w:rsidR="00A9766F" w:rsidRPr="007114AF" w14:paraId="6EDCFA73" w14:textId="77777777" w:rsidTr="00A9766F">
        <w:trPr>
          <w:trHeight w:val="73"/>
          <w:jc w:val="center"/>
        </w:trPr>
        <w:tc>
          <w:tcPr>
            <w:tcW w:w="1668" w:type="dxa"/>
            <w:vAlign w:val="center"/>
            <w:hideMark/>
          </w:tcPr>
          <w:p w14:paraId="6EDCFA6B" w14:textId="77777777" w:rsidR="00A9766F" w:rsidRPr="007114AF" w:rsidRDefault="00A9766F" w:rsidP="00A9766F">
            <w:pPr>
              <w:rPr>
                <w:rFonts w:ascii="Garamond" w:eastAsiaTheme="minorHAnsi" w:hAnsi="Garamond"/>
                <w:sz w:val="18"/>
                <w:szCs w:val="18"/>
                <w:lang w:eastAsia="en-US"/>
              </w:rPr>
            </w:pPr>
            <w:r w:rsidRPr="007114AF">
              <w:rPr>
                <w:rFonts w:ascii="Garamond" w:eastAsiaTheme="minorHAnsi" w:hAnsi="Garamond"/>
                <w:sz w:val="18"/>
                <w:szCs w:val="18"/>
                <w:lang w:eastAsia="en-US"/>
              </w:rPr>
              <w:lastRenderedPageBreak/>
              <w:t xml:space="preserve">Impiant gazi në vend groposjeje me 70% përpunim </w:t>
            </w:r>
          </w:p>
        </w:tc>
        <w:tc>
          <w:tcPr>
            <w:tcW w:w="998" w:type="dxa"/>
            <w:vAlign w:val="center"/>
            <w:hideMark/>
          </w:tcPr>
          <w:p w14:paraId="6EDCFA6C" w14:textId="77777777" w:rsidR="00A9766F" w:rsidRPr="007114AF" w:rsidRDefault="00A9766F" w:rsidP="00A9766F">
            <w:pPr>
              <w:rPr>
                <w:rFonts w:ascii="Garamond" w:eastAsiaTheme="minorHAnsi" w:hAnsi="Garamond"/>
                <w:sz w:val="18"/>
                <w:szCs w:val="18"/>
                <w:lang w:eastAsia="en-US"/>
              </w:rPr>
            </w:pPr>
            <w:r w:rsidRPr="007114AF">
              <w:rPr>
                <w:rFonts w:ascii="Garamond" w:eastAsiaTheme="minorHAnsi" w:hAnsi="Garamond"/>
                <w:sz w:val="18"/>
                <w:szCs w:val="18"/>
                <w:lang w:eastAsia="en-US"/>
              </w:rPr>
              <w:t xml:space="preserve">29.90 </w:t>
            </w:r>
          </w:p>
        </w:tc>
        <w:tc>
          <w:tcPr>
            <w:tcW w:w="1246" w:type="dxa"/>
            <w:vAlign w:val="center"/>
            <w:hideMark/>
          </w:tcPr>
          <w:p w14:paraId="6EDCFA6D" w14:textId="77777777" w:rsidR="00A9766F" w:rsidRPr="007114AF" w:rsidRDefault="00A9766F" w:rsidP="00A9766F">
            <w:pPr>
              <w:rPr>
                <w:rFonts w:ascii="Garamond" w:eastAsiaTheme="minorHAnsi" w:hAnsi="Garamond"/>
                <w:sz w:val="18"/>
                <w:szCs w:val="18"/>
                <w:lang w:eastAsia="en-US"/>
              </w:rPr>
            </w:pPr>
            <w:r w:rsidRPr="007114AF">
              <w:rPr>
                <w:rFonts w:ascii="Garamond" w:eastAsiaTheme="minorHAnsi" w:hAnsi="Garamond"/>
                <w:sz w:val="18"/>
                <w:szCs w:val="18"/>
                <w:lang w:eastAsia="en-US"/>
              </w:rPr>
              <w:t xml:space="preserve">Impiant i vend groposjes </w:t>
            </w:r>
          </w:p>
        </w:tc>
        <w:tc>
          <w:tcPr>
            <w:tcW w:w="1056" w:type="dxa"/>
            <w:vAlign w:val="center"/>
            <w:hideMark/>
          </w:tcPr>
          <w:p w14:paraId="6EDCFA6E" w14:textId="77777777" w:rsidR="00A9766F" w:rsidRPr="007114AF" w:rsidRDefault="00A9766F" w:rsidP="00A9766F">
            <w:pPr>
              <w:rPr>
                <w:rFonts w:ascii="Garamond" w:eastAsiaTheme="minorHAnsi" w:hAnsi="Garamond"/>
                <w:sz w:val="18"/>
                <w:szCs w:val="18"/>
                <w:lang w:eastAsia="en-US"/>
              </w:rPr>
            </w:pPr>
            <w:r w:rsidRPr="007114AF">
              <w:rPr>
                <w:rFonts w:ascii="Garamond" w:eastAsiaTheme="minorHAnsi" w:hAnsi="Garamond"/>
                <w:sz w:val="18"/>
                <w:szCs w:val="18"/>
                <w:lang w:eastAsia="en-US"/>
              </w:rPr>
              <w:t xml:space="preserve">24,019.17 </w:t>
            </w:r>
          </w:p>
        </w:tc>
        <w:tc>
          <w:tcPr>
            <w:tcW w:w="1128" w:type="dxa"/>
            <w:vAlign w:val="center"/>
          </w:tcPr>
          <w:p w14:paraId="6EDCFA6F" w14:textId="77777777" w:rsidR="00A9766F" w:rsidRPr="007114AF" w:rsidRDefault="00A9766F" w:rsidP="00A9766F">
            <w:pPr>
              <w:rPr>
                <w:rFonts w:ascii="Garamond" w:eastAsiaTheme="minorHAnsi" w:hAnsi="Garamond"/>
                <w:sz w:val="18"/>
                <w:szCs w:val="18"/>
                <w:lang w:eastAsia="en-US"/>
              </w:rPr>
            </w:pPr>
            <w:r w:rsidRPr="007114AF">
              <w:rPr>
                <w:rFonts w:ascii="Garamond" w:eastAsiaTheme="minorHAnsi" w:hAnsi="Garamond"/>
                <w:sz w:val="18"/>
                <w:szCs w:val="18"/>
                <w:lang w:eastAsia="en-US"/>
              </w:rPr>
              <w:t xml:space="preserve">2 </w:t>
            </w:r>
          </w:p>
        </w:tc>
        <w:tc>
          <w:tcPr>
            <w:tcW w:w="1148" w:type="dxa"/>
            <w:vAlign w:val="center"/>
          </w:tcPr>
          <w:p w14:paraId="6EDCFA70" w14:textId="77777777" w:rsidR="00A9766F" w:rsidRPr="007114AF" w:rsidRDefault="00A9766F" w:rsidP="00A9766F">
            <w:pPr>
              <w:rPr>
                <w:rFonts w:ascii="Garamond" w:eastAsiaTheme="minorHAnsi" w:hAnsi="Garamond"/>
                <w:sz w:val="18"/>
                <w:szCs w:val="18"/>
                <w:lang w:eastAsia="en-US"/>
              </w:rPr>
            </w:pPr>
            <w:r w:rsidRPr="007114AF">
              <w:rPr>
                <w:rFonts w:ascii="Garamond" w:eastAsiaTheme="minorHAnsi" w:hAnsi="Garamond"/>
                <w:sz w:val="18"/>
                <w:szCs w:val="18"/>
                <w:lang w:eastAsia="en-US"/>
              </w:rPr>
              <w:t xml:space="preserve">29.78 </w:t>
            </w:r>
          </w:p>
        </w:tc>
        <w:tc>
          <w:tcPr>
            <w:tcW w:w="1184" w:type="dxa"/>
            <w:vAlign w:val="center"/>
          </w:tcPr>
          <w:p w14:paraId="6EDCFA71" w14:textId="77777777" w:rsidR="00A9766F" w:rsidRPr="007114AF" w:rsidRDefault="00A9766F" w:rsidP="00A9766F">
            <w:pPr>
              <w:rPr>
                <w:rFonts w:ascii="Garamond" w:eastAsiaTheme="minorHAnsi" w:hAnsi="Garamond"/>
                <w:sz w:val="18"/>
                <w:szCs w:val="18"/>
                <w:lang w:eastAsia="en-US"/>
              </w:rPr>
            </w:pPr>
            <w:r w:rsidRPr="007114AF">
              <w:rPr>
                <w:rFonts w:ascii="Garamond" w:eastAsiaTheme="minorHAnsi" w:hAnsi="Garamond"/>
                <w:sz w:val="18"/>
                <w:szCs w:val="18"/>
                <w:lang w:eastAsia="en-US"/>
              </w:rPr>
              <w:t xml:space="preserve">8 </w:t>
            </w:r>
          </w:p>
        </w:tc>
        <w:tc>
          <w:tcPr>
            <w:tcW w:w="1148" w:type="dxa"/>
            <w:vAlign w:val="center"/>
          </w:tcPr>
          <w:p w14:paraId="6EDCFA72" w14:textId="77777777" w:rsidR="00A9766F" w:rsidRPr="007114AF" w:rsidRDefault="00A9766F" w:rsidP="00A9766F">
            <w:pPr>
              <w:rPr>
                <w:rFonts w:ascii="Garamond" w:eastAsiaTheme="minorHAnsi" w:hAnsi="Garamond"/>
                <w:sz w:val="18"/>
                <w:szCs w:val="18"/>
                <w:lang w:eastAsia="en-US"/>
              </w:rPr>
            </w:pPr>
            <w:r w:rsidRPr="007114AF">
              <w:rPr>
                <w:rFonts w:ascii="Garamond" w:eastAsiaTheme="minorHAnsi" w:hAnsi="Garamond"/>
                <w:sz w:val="18"/>
                <w:szCs w:val="18"/>
                <w:lang w:eastAsia="en-US"/>
              </w:rPr>
              <w:t>99.92</w:t>
            </w:r>
          </w:p>
        </w:tc>
      </w:tr>
      <w:tr w:rsidR="00A9766F" w:rsidRPr="007114AF" w14:paraId="6EDCFA7C" w14:textId="77777777" w:rsidTr="00A9766F">
        <w:trPr>
          <w:cnfStyle w:val="000000100000" w:firstRow="0" w:lastRow="0" w:firstColumn="0" w:lastColumn="0" w:oddVBand="0" w:evenVBand="0" w:oddHBand="1" w:evenHBand="0" w:firstRowFirstColumn="0" w:firstRowLastColumn="0" w:lastRowFirstColumn="0" w:lastRowLastColumn="0"/>
          <w:trHeight w:val="73"/>
          <w:jc w:val="center"/>
        </w:trPr>
        <w:tc>
          <w:tcPr>
            <w:tcW w:w="1668" w:type="dxa"/>
            <w:vAlign w:val="center"/>
            <w:hideMark/>
          </w:tcPr>
          <w:p w14:paraId="6EDCFA74" w14:textId="77777777" w:rsidR="00A9766F" w:rsidRPr="007114AF" w:rsidRDefault="00A9766F" w:rsidP="00A9766F">
            <w:pPr>
              <w:rPr>
                <w:rFonts w:ascii="Garamond" w:eastAsiaTheme="minorHAnsi" w:hAnsi="Garamond"/>
                <w:sz w:val="18"/>
                <w:szCs w:val="18"/>
                <w:lang w:eastAsia="en-US"/>
              </w:rPr>
            </w:pPr>
            <w:r w:rsidRPr="007114AF">
              <w:rPr>
                <w:rFonts w:ascii="Garamond" w:eastAsiaTheme="minorHAnsi" w:hAnsi="Garamond"/>
                <w:sz w:val="18"/>
                <w:szCs w:val="18"/>
                <w:lang w:eastAsia="en-US"/>
              </w:rPr>
              <w:t>Central me gaz</w:t>
            </w:r>
          </w:p>
        </w:tc>
        <w:tc>
          <w:tcPr>
            <w:tcW w:w="998" w:type="dxa"/>
            <w:vAlign w:val="center"/>
            <w:hideMark/>
          </w:tcPr>
          <w:p w14:paraId="6EDCFA75" w14:textId="77777777" w:rsidR="00A9766F" w:rsidRPr="007114AF" w:rsidRDefault="00A9766F" w:rsidP="00A9766F">
            <w:pPr>
              <w:rPr>
                <w:rFonts w:ascii="Garamond" w:eastAsiaTheme="minorHAnsi" w:hAnsi="Garamond"/>
                <w:sz w:val="18"/>
                <w:szCs w:val="18"/>
                <w:lang w:eastAsia="en-US"/>
              </w:rPr>
            </w:pPr>
            <w:r w:rsidRPr="007114AF">
              <w:rPr>
                <w:rFonts w:ascii="Garamond" w:eastAsiaTheme="minorHAnsi" w:hAnsi="Garamond"/>
                <w:sz w:val="18"/>
                <w:szCs w:val="18"/>
                <w:lang w:eastAsia="en-US"/>
              </w:rPr>
              <w:t xml:space="preserve">-85.12 </w:t>
            </w:r>
          </w:p>
        </w:tc>
        <w:tc>
          <w:tcPr>
            <w:tcW w:w="1246" w:type="dxa"/>
            <w:vAlign w:val="center"/>
            <w:hideMark/>
          </w:tcPr>
          <w:p w14:paraId="6EDCFA76" w14:textId="77777777" w:rsidR="00A9766F" w:rsidRPr="007114AF" w:rsidRDefault="00A9766F" w:rsidP="00A9766F">
            <w:pPr>
              <w:rPr>
                <w:rFonts w:ascii="Garamond" w:eastAsiaTheme="minorHAnsi" w:hAnsi="Garamond"/>
                <w:sz w:val="18"/>
                <w:szCs w:val="18"/>
                <w:lang w:eastAsia="en-US"/>
              </w:rPr>
            </w:pPr>
            <w:r w:rsidRPr="007114AF">
              <w:rPr>
                <w:rFonts w:ascii="Garamond" w:eastAsiaTheme="minorHAnsi" w:hAnsi="Garamond"/>
                <w:sz w:val="18"/>
                <w:szCs w:val="18"/>
                <w:lang w:eastAsia="en-US"/>
              </w:rPr>
              <w:t xml:space="preserve">kW </w:t>
            </w:r>
          </w:p>
        </w:tc>
        <w:tc>
          <w:tcPr>
            <w:tcW w:w="1056" w:type="dxa"/>
            <w:vAlign w:val="center"/>
            <w:hideMark/>
          </w:tcPr>
          <w:p w14:paraId="6EDCFA77" w14:textId="77777777" w:rsidR="00A9766F" w:rsidRPr="007114AF" w:rsidRDefault="00A9766F" w:rsidP="00A9766F">
            <w:pPr>
              <w:rPr>
                <w:rFonts w:ascii="Garamond" w:eastAsiaTheme="minorHAnsi" w:hAnsi="Garamond"/>
                <w:sz w:val="18"/>
                <w:szCs w:val="18"/>
                <w:lang w:eastAsia="en-US"/>
              </w:rPr>
            </w:pPr>
            <w:r w:rsidRPr="007114AF">
              <w:rPr>
                <w:rFonts w:ascii="Garamond" w:eastAsiaTheme="minorHAnsi" w:hAnsi="Garamond"/>
                <w:sz w:val="18"/>
                <w:szCs w:val="18"/>
                <w:lang w:eastAsia="en-US"/>
              </w:rPr>
              <w:t xml:space="preserve">2.43 </w:t>
            </w:r>
          </w:p>
        </w:tc>
        <w:tc>
          <w:tcPr>
            <w:tcW w:w="1128" w:type="dxa"/>
            <w:vAlign w:val="center"/>
          </w:tcPr>
          <w:p w14:paraId="6EDCFA78" w14:textId="77777777" w:rsidR="00A9766F" w:rsidRPr="007114AF" w:rsidRDefault="00A9766F" w:rsidP="00A9766F">
            <w:pPr>
              <w:rPr>
                <w:rFonts w:ascii="Garamond" w:eastAsiaTheme="minorHAnsi" w:hAnsi="Garamond"/>
                <w:sz w:val="18"/>
                <w:szCs w:val="18"/>
                <w:lang w:eastAsia="en-US"/>
              </w:rPr>
            </w:pPr>
            <w:r w:rsidRPr="007114AF">
              <w:rPr>
                <w:rFonts w:ascii="Garamond" w:eastAsiaTheme="minorHAnsi" w:hAnsi="Garamond"/>
                <w:sz w:val="18"/>
                <w:szCs w:val="18"/>
                <w:lang w:eastAsia="en-US"/>
              </w:rPr>
              <w:t xml:space="preserve">97,000 </w:t>
            </w:r>
          </w:p>
        </w:tc>
        <w:tc>
          <w:tcPr>
            <w:tcW w:w="1148" w:type="dxa"/>
            <w:vAlign w:val="center"/>
          </w:tcPr>
          <w:p w14:paraId="6EDCFA79" w14:textId="77777777" w:rsidR="00A9766F" w:rsidRPr="007114AF" w:rsidRDefault="00A9766F" w:rsidP="00A9766F">
            <w:pPr>
              <w:rPr>
                <w:rFonts w:ascii="Garamond" w:eastAsiaTheme="minorHAnsi" w:hAnsi="Garamond"/>
                <w:sz w:val="18"/>
                <w:szCs w:val="18"/>
                <w:lang w:eastAsia="en-US"/>
              </w:rPr>
            </w:pPr>
            <w:r w:rsidRPr="007114AF">
              <w:rPr>
                <w:rFonts w:ascii="Garamond" w:eastAsiaTheme="minorHAnsi" w:hAnsi="Garamond"/>
                <w:sz w:val="18"/>
                <w:szCs w:val="18"/>
                <w:lang w:eastAsia="en-US"/>
              </w:rPr>
              <w:t xml:space="preserve">146.23 </w:t>
            </w:r>
          </w:p>
        </w:tc>
        <w:tc>
          <w:tcPr>
            <w:tcW w:w="1184" w:type="dxa"/>
            <w:vAlign w:val="center"/>
          </w:tcPr>
          <w:p w14:paraId="6EDCFA7A" w14:textId="77777777" w:rsidR="00A9766F" w:rsidRPr="007114AF" w:rsidRDefault="00A9766F" w:rsidP="00A9766F">
            <w:pPr>
              <w:rPr>
                <w:rFonts w:ascii="Garamond" w:eastAsiaTheme="minorHAnsi" w:hAnsi="Garamond"/>
                <w:sz w:val="18"/>
                <w:szCs w:val="18"/>
                <w:lang w:eastAsia="en-US"/>
              </w:rPr>
            </w:pPr>
            <w:r w:rsidRPr="007114AF">
              <w:rPr>
                <w:rFonts w:ascii="Garamond" w:eastAsiaTheme="minorHAnsi" w:hAnsi="Garamond"/>
                <w:sz w:val="18"/>
                <w:szCs w:val="18"/>
                <w:lang w:eastAsia="en-US"/>
              </w:rPr>
              <w:t xml:space="preserve">150,000 </w:t>
            </w:r>
          </w:p>
        </w:tc>
        <w:tc>
          <w:tcPr>
            <w:tcW w:w="1148" w:type="dxa"/>
            <w:vAlign w:val="center"/>
          </w:tcPr>
          <w:p w14:paraId="6EDCFA7B" w14:textId="77777777" w:rsidR="00A9766F" w:rsidRPr="007114AF" w:rsidRDefault="00A9766F" w:rsidP="00A9766F">
            <w:pPr>
              <w:rPr>
                <w:rFonts w:ascii="Garamond" w:eastAsiaTheme="minorHAnsi" w:hAnsi="Garamond"/>
                <w:sz w:val="18"/>
                <w:szCs w:val="18"/>
                <w:lang w:eastAsia="en-US"/>
              </w:rPr>
            </w:pPr>
            <w:r w:rsidRPr="007114AF">
              <w:rPr>
                <w:rFonts w:ascii="Garamond" w:eastAsiaTheme="minorHAnsi" w:hAnsi="Garamond"/>
                <w:sz w:val="18"/>
                <w:szCs w:val="18"/>
                <w:lang w:eastAsia="en-US"/>
              </w:rPr>
              <w:t>189.66</w:t>
            </w:r>
          </w:p>
        </w:tc>
      </w:tr>
      <w:tr w:rsidR="00A9766F" w:rsidRPr="007114AF" w14:paraId="6EDCFA85" w14:textId="77777777" w:rsidTr="00A9766F">
        <w:trPr>
          <w:trHeight w:val="73"/>
          <w:jc w:val="center"/>
        </w:trPr>
        <w:tc>
          <w:tcPr>
            <w:tcW w:w="1668" w:type="dxa"/>
            <w:vAlign w:val="center"/>
            <w:hideMark/>
          </w:tcPr>
          <w:p w14:paraId="6EDCFA7D" w14:textId="77777777" w:rsidR="00A9766F" w:rsidRPr="007114AF" w:rsidRDefault="00A9766F" w:rsidP="00A9766F">
            <w:pPr>
              <w:rPr>
                <w:rFonts w:ascii="Garamond" w:eastAsiaTheme="minorHAnsi" w:hAnsi="Garamond"/>
                <w:sz w:val="18"/>
                <w:szCs w:val="18"/>
                <w:lang w:eastAsia="en-US"/>
              </w:rPr>
            </w:pPr>
            <w:r w:rsidRPr="007114AF">
              <w:rPr>
                <w:rFonts w:ascii="Garamond" w:eastAsiaTheme="minorHAnsi" w:hAnsi="Garamond"/>
                <w:sz w:val="18"/>
                <w:szCs w:val="18"/>
                <w:lang w:eastAsia="en-US"/>
              </w:rPr>
              <w:t>Kogjenerim-NKE</w:t>
            </w:r>
          </w:p>
        </w:tc>
        <w:tc>
          <w:tcPr>
            <w:tcW w:w="998" w:type="dxa"/>
            <w:vAlign w:val="center"/>
            <w:hideMark/>
          </w:tcPr>
          <w:p w14:paraId="6EDCFA7E" w14:textId="77777777" w:rsidR="00A9766F" w:rsidRPr="007114AF" w:rsidRDefault="00A9766F" w:rsidP="00A9766F">
            <w:pPr>
              <w:rPr>
                <w:rFonts w:ascii="Garamond" w:eastAsiaTheme="minorHAnsi" w:hAnsi="Garamond"/>
                <w:sz w:val="18"/>
                <w:szCs w:val="18"/>
                <w:lang w:eastAsia="en-US"/>
              </w:rPr>
            </w:pPr>
            <w:r w:rsidRPr="007114AF">
              <w:rPr>
                <w:rFonts w:ascii="Garamond" w:eastAsiaTheme="minorHAnsi" w:hAnsi="Garamond"/>
                <w:sz w:val="18"/>
                <w:szCs w:val="18"/>
                <w:lang w:eastAsia="en-US"/>
              </w:rPr>
              <w:t xml:space="preserve">-114.75 </w:t>
            </w:r>
          </w:p>
        </w:tc>
        <w:tc>
          <w:tcPr>
            <w:tcW w:w="1246" w:type="dxa"/>
            <w:vAlign w:val="center"/>
            <w:hideMark/>
          </w:tcPr>
          <w:p w14:paraId="6EDCFA7F" w14:textId="77777777" w:rsidR="00A9766F" w:rsidRPr="007114AF" w:rsidRDefault="00A9766F" w:rsidP="00A9766F">
            <w:pPr>
              <w:rPr>
                <w:rFonts w:ascii="Garamond" w:eastAsiaTheme="minorHAnsi" w:hAnsi="Garamond"/>
                <w:sz w:val="18"/>
                <w:szCs w:val="18"/>
                <w:lang w:eastAsia="en-US"/>
              </w:rPr>
            </w:pPr>
            <w:r w:rsidRPr="007114AF">
              <w:rPr>
                <w:rFonts w:ascii="Garamond" w:eastAsiaTheme="minorHAnsi" w:hAnsi="Garamond"/>
                <w:sz w:val="18"/>
                <w:szCs w:val="18"/>
                <w:lang w:eastAsia="en-US"/>
              </w:rPr>
              <w:t xml:space="preserve">kW </w:t>
            </w:r>
          </w:p>
        </w:tc>
        <w:tc>
          <w:tcPr>
            <w:tcW w:w="1056" w:type="dxa"/>
            <w:vAlign w:val="center"/>
            <w:hideMark/>
          </w:tcPr>
          <w:p w14:paraId="6EDCFA80" w14:textId="77777777" w:rsidR="00A9766F" w:rsidRPr="007114AF" w:rsidRDefault="00A9766F" w:rsidP="00A9766F">
            <w:pPr>
              <w:rPr>
                <w:rFonts w:ascii="Garamond" w:eastAsiaTheme="minorHAnsi" w:hAnsi="Garamond"/>
                <w:sz w:val="18"/>
                <w:szCs w:val="18"/>
                <w:lang w:eastAsia="en-US"/>
              </w:rPr>
            </w:pPr>
            <w:r w:rsidRPr="007114AF">
              <w:rPr>
                <w:rFonts w:ascii="Garamond" w:eastAsiaTheme="minorHAnsi" w:hAnsi="Garamond"/>
                <w:sz w:val="18"/>
                <w:szCs w:val="18"/>
                <w:lang w:eastAsia="en-US"/>
              </w:rPr>
              <w:t xml:space="preserve">2.65 </w:t>
            </w:r>
          </w:p>
        </w:tc>
        <w:tc>
          <w:tcPr>
            <w:tcW w:w="1128" w:type="dxa"/>
            <w:vAlign w:val="center"/>
          </w:tcPr>
          <w:p w14:paraId="6EDCFA81" w14:textId="77777777" w:rsidR="00A9766F" w:rsidRPr="007114AF" w:rsidRDefault="00A9766F" w:rsidP="00A9766F">
            <w:pPr>
              <w:rPr>
                <w:rFonts w:ascii="Garamond" w:eastAsiaTheme="minorHAnsi" w:hAnsi="Garamond"/>
                <w:sz w:val="18"/>
                <w:szCs w:val="18"/>
                <w:lang w:eastAsia="en-US"/>
              </w:rPr>
            </w:pPr>
            <w:r w:rsidRPr="007114AF">
              <w:rPr>
                <w:rFonts w:ascii="Garamond" w:eastAsiaTheme="minorHAnsi" w:hAnsi="Garamond"/>
                <w:sz w:val="18"/>
                <w:szCs w:val="18"/>
                <w:lang w:eastAsia="en-US"/>
              </w:rPr>
              <w:t xml:space="preserve">5,000 </w:t>
            </w:r>
          </w:p>
        </w:tc>
        <w:tc>
          <w:tcPr>
            <w:tcW w:w="1148" w:type="dxa"/>
            <w:vAlign w:val="center"/>
          </w:tcPr>
          <w:p w14:paraId="6EDCFA82" w14:textId="77777777" w:rsidR="00A9766F" w:rsidRPr="007114AF" w:rsidRDefault="00A9766F" w:rsidP="00A9766F">
            <w:pPr>
              <w:rPr>
                <w:rFonts w:ascii="Garamond" w:eastAsiaTheme="minorHAnsi" w:hAnsi="Garamond"/>
                <w:sz w:val="18"/>
                <w:szCs w:val="18"/>
                <w:lang w:eastAsia="en-US"/>
              </w:rPr>
            </w:pPr>
            <w:r w:rsidRPr="007114AF">
              <w:rPr>
                <w:rFonts w:ascii="Garamond" w:eastAsiaTheme="minorHAnsi" w:hAnsi="Garamond"/>
                <w:sz w:val="18"/>
                <w:szCs w:val="18"/>
                <w:lang w:eastAsia="en-US"/>
              </w:rPr>
              <w:t xml:space="preserve">8.23 </w:t>
            </w:r>
          </w:p>
        </w:tc>
        <w:tc>
          <w:tcPr>
            <w:tcW w:w="1184" w:type="dxa"/>
            <w:vAlign w:val="center"/>
          </w:tcPr>
          <w:p w14:paraId="6EDCFA83" w14:textId="77777777" w:rsidR="00A9766F" w:rsidRPr="007114AF" w:rsidRDefault="00A9766F" w:rsidP="00A9766F">
            <w:pPr>
              <w:rPr>
                <w:rFonts w:ascii="Garamond" w:eastAsiaTheme="minorHAnsi" w:hAnsi="Garamond"/>
                <w:sz w:val="18"/>
                <w:szCs w:val="18"/>
                <w:lang w:eastAsia="en-US"/>
              </w:rPr>
            </w:pPr>
            <w:r w:rsidRPr="007114AF">
              <w:rPr>
                <w:rFonts w:ascii="Garamond" w:eastAsiaTheme="minorHAnsi" w:hAnsi="Garamond"/>
                <w:sz w:val="18"/>
                <w:szCs w:val="18"/>
                <w:lang w:eastAsia="en-US"/>
              </w:rPr>
              <w:t xml:space="preserve">14,000 </w:t>
            </w:r>
          </w:p>
        </w:tc>
        <w:tc>
          <w:tcPr>
            <w:tcW w:w="1148" w:type="dxa"/>
            <w:vAlign w:val="center"/>
          </w:tcPr>
          <w:p w14:paraId="6EDCFA84" w14:textId="77777777" w:rsidR="00A9766F" w:rsidRPr="007114AF" w:rsidRDefault="00A9766F" w:rsidP="00A9766F">
            <w:pPr>
              <w:rPr>
                <w:rFonts w:ascii="Garamond" w:eastAsiaTheme="minorHAnsi" w:hAnsi="Garamond"/>
                <w:sz w:val="18"/>
                <w:szCs w:val="18"/>
                <w:lang w:eastAsia="en-US"/>
              </w:rPr>
            </w:pPr>
            <w:r w:rsidRPr="007114AF">
              <w:rPr>
                <w:rFonts w:ascii="Garamond" w:eastAsiaTheme="minorHAnsi" w:hAnsi="Garamond"/>
                <w:sz w:val="18"/>
                <w:szCs w:val="18"/>
                <w:lang w:eastAsia="en-US"/>
              </w:rPr>
              <w:t>19.32</w:t>
            </w:r>
          </w:p>
        </w:tc>
      </w:tr>
      <w:tr w:rsidR="00A9766F" w:rsidRPr="007114AF" w14:paraId="6EDCFA8E" w14:textId="77777777" w:rsidTr="00A9766F">
        <w:trPr>
          <w:cnfStyle w:val="000000100000" w:firstRow="0" w:lastRow="0" w:firstColumn="0" w:lastColumn="0" w:oddVBand="0" w:evenVBand="0" w:oddHBand="1" w:evenHBand="0" w:firstRowFirstColumn="0" w:firstRowLastColumn="0" w:lastRowFirstColumn="0" w:lastRowLastColumn="0"/>
          <w:trHeight w:val="73"/>
          <w:jc w:val="center"/>
        </w:trPr>
        <w:tc>
          <w:tcPr>
            <w:tcW w:w="1668" w:type="dxa"/>
            <w:vAlign w:val="center"/>
            <w:hideMark/>
          </w:tcPr>
          <w:p w14:paraId="6EDCFA86" w14:textId="77777777" w:rsidR="00A9766F" w:rsidRPr="007114AF" w:rsidRDefault="00A9766F" w:rsidP="00A9766F">
            <w:pPr>
              <w:rPr>
                <w:rFonts w:ascii="Garamond" w:eastAsiaTheme="minorHAnsi" w:hAnsi="Garamond"/>
                <w:sz w:val="18"/>
                <w:szCs w:val="18"/>
                <w:lang w:eastAsia="en-US"/>
              </w:rPr>
            </w:pPr>
            <w:r w:rsidRPr="007114AF">
              <w:rPr>
                <w:rFonts w:ascii="Garamond" w:eastAsiaTheme="minorHAnsi" w:hAnsi="Garamond"/>
                <w:sz w:val="18"/>
                <w:szCs w:val="18"/>
                <w:lang w:eastAsia="en-US"/>
              </w:rPr>
              <w:t>Ngrohja zonale-NZ</w:t>
            </w:r>
          </w:p>
        </w:tc>
        <w:tc>
          <w:tcPr>
            <w:tcW w:w="998" w:type="dxa"/>
            <w:vAlign w:val="center"/>
            <w:hideMark/>
          </w:tcPr>
          <w:p w14:paraId="6EDCFA87" w14:textId="77777777" w:rsidR="00A9766F" w:rsidRPr="007114AF" w:rsidRDefault="00A9766F" w:rsidP="00A9766F">
            <w:pPr>
              <w:rPr>
                <w:rFonts w:ascii="Garamond" w:eastAsiaTheme="minorHAnsi" w:hAnsi="Garamond"/>
                <w:sz w:val="18"/>
                <w:szCs w:val="18"/>
                <w:lang w:eastAsia="en-US"/>
              </w:rPr>
            </w:pPr>
            <w:r w:rsidRPr="007114AF">
              <w:rPr>
                <w:rFonts w:ascii="Garamond" w:eastAsiaTheme="minorHAnsi" w:hAnsi="Garamond"/>
                <w:sz w:val="18"/>
                <w:szCs w:val="18"/>
                <w:lang w:eastAsia="en-US"/>
              </w:rPr>
              <w:t xml:space="preserve">-77.42 </w:t>
            </w:r>
          </w:p>
        </w:tc>
        <w:tc>
          <w:tcPr>
            <w:tcW w:w="1246" w:type="dxa"/>
            <w:vAlign w:val="center"/>
            <w:hideMark/>
          </w:tcPr>
          <w:p w14:paraId="6EDCFA88" w14:textId="77777777" w:rsidR="00A9766F" w:rsidRPr="007114AF" w:rsidRDefault="00A9766F" w:rsidP="00A9766F">
            <w:pPr>
              <w:rPr>
                <w:rFonts w:ascii="Garamond" w:eastAsiaTheme="minorHAnsi" w:hAnsi="Garamond"/>
                <w:sz w:val="18"/>
                <w:szCs w:val="18"/>
                <w:lang w:eastAsia="en-US"/>
              </w:rPr>
            </w:pPr>
            <w:r w:rsidRPr="007114AF">
              <w:rPr>
                <w:rFonts w:ascii="Garamond" w:eastAsiaTheme="minorHAnsi" w:hAnsi="Garamond"/>
                <w:sz w:val="18"/>
                <w:szCs w:val="18"/>
                <w:lang w:eastAsia="en-US"/>
              </w:rPr>
              <w:t xml:space="preserve">kW </w:t>
            </w:r>
          </w:p>
        </w:tc>
        <w:tc>
          <w:tcPr>
            <w:tcW w:w="1056" w:type="dxa"/>
            <w:vAlign w:val="center"/>
            <w:hideMark/>
          </w:tcPr>
          <w:p w14:paraId="6EDCFA89" w14:textId="77777777" w:rsidR="00A9766F" w:rsidRPr="007114AF" w:rsidRDefault="00A9766F" w:rsidP="00A9766F">
            <w:pPr>
              <w:rPr>
                <w:rFonts w:ascii="Garamond" w:eastAsiaTheme="minorHAnsi" w:hAnsi="Garamond"/>
                <w:sz w:val="18"/>
                <w:szCs w:val="18"/>
                <w:lang w:eastAsia="en-US"/>
              </w:rPr>
            </w:pPr>
            <w:r w:rsidRPr="007114AF">
              <w:rPr>
                <w:rFonts w:ascii="Garamond" w:eastAsiaTheme="minorHAnsi" w:hAnsi="Garamond"/>
                <w:sz w:val="18"/>
                <w:szCs w:val="18"/>
                <w:lang w:eastAsia="en-US"/>
              </w:rPr>
              <w:t xml:space="preserve">5.59 </w:t>
            </w:r>
          </w:p>
        </w:tc>
        <w:tc>
          <w:tcPr>
            <w:tcW w:w="1128" w:type="dxa"/>
            <w:vAlign w:val="center"/>
          </w:tcPr>
          <w:p w14:paraId="6EDCFA8A" w14:textId="77777777" w:rsidR="00A9766F" w:rsidRPr="007114AF" w:rsidRDefault="00A9766F" w:rsidP="00A9766F">
            <w:pPr>
              <w:rPr>
                <w:rFonts w:ascii="Garamond" w:eastAsiaTheme="minorHAnsi" w:hAnsi="Garamond"/>
                <w:sz w:val="18"/>
                <w:szCs w:val="18"/>
                <w:lang w:eastAsia="en-US"/>
              </w:rPr>
            </w:pPr>
            <w:r w:rsidRPr="007114AF">
              <w:rPr>
                <w:rFonts w:ascii="Garamond" w:eastAsiaTheme="minorHAnsi" w:hAnsi="Garamond"/>
                <w:sz w:val="18"/>
                <w:szCs w:val="18"/>
                <w:lang w:eastAsia="en-US"/>
              </w:rPr>
              <w:t xml:space="preserve">6,000 </w:t>
            </w:r>
          </w:p>
        </w:tc>
        <w:tc>
          <w:tcPr>
            <w:tcW w:w="1148" w:type="dxa"/>
            <w:vAlign w:val="center"/>
          </w:tcPr>
          <w:p w14:paraId="6EDCFA8B" w14:textId="77777777" w:rsidR="00A9766F" w:rsidRPr="007114AF" w:rsidRDefault="00A9766F" w:rsidP="00A9766F">
            <w:pPr>
              <w:rPr>
                <w:rFonts w:ascii="Garamond" w:eastAsiaTheme="minorHAnsi" w:hAnsi="Garamond"/>
                <w:sz w:val="18"/>
                <w:szCs w:val="18"/>
                <w:lang w:eastAsia="en-US"/>
              </w:rPr>
            </w:pPr>
            <w:r w:rsidRPr="007114AF">
              <w:rPr>
                <w:rFonts w:ascii="Garamond" w:eastAsiaTheme="minorHAnsi" w:hAnsi="Garamond"/>
                <w:sz w:val="18"/>
                <w:szCs w:val="18"/>
                <w:lang w:eastAsia="en-US"/>
              </w:rPr>
              <w:t xml:space="preserve">20.79 </w:t>
            </w:r>
          </w:p>
        </w:tc>
        <w:tc>
          <w:tcPr>
            <w:tcW w:w="1184" w:type="dxa"/>
            <w:vAlign w:val="center"/>
          </w:tcPr>
          <w:p w14:paraId="6EDCFA8C" w14:textId="77777777" w:rsidR="00A9766F" w:rsidRPr="007114AF" w:rsidRDefault="00A9766F" w:rsidP="00A9766F">
            <w:pPr>
              <w:rPr>
                <w:rFonts w:ascii="Garamond" w:eastAsiaTheme="minorHAnsi" w:hAnsi="Garamond"/>
                <w:sz w:val="18"/>
                <w:szCs w:val="18"/>
                <w:lang w:eastAsia="en-US"/>
              </w:rPr>
            </w:pPr>
            <w:r w:rsidRPr="007114AF">
              <w:rPr>
                <w:rFonts w:ascii="Garamond" w:eastAsiaTheme="minorHAnsi" w:hAnsi="Garamond"/>
                <w:sz w:val="18"/>
                <w:szCs w:val="18"/>
                <w:lang w:eastAsia="en-US"/>
              </w:rPr>
              <w:t xml:space="preserve">13,000 </w:t>
            </w:r>
          </w:p>
        </w:tc>
        <w:tc>
          <w:tcPr>
            <w:tcW w:w="1148" w:type="dxa"/>
            <w:vAlign w:val="center"/>
          </w:tcPr>
          <w:p w14:paraId="6EDCFA8D" w14:textId="77777777" w:rsidR="00A9766F" w:rsidRPr="007114AF" w:rsidRDefault="00A9766F" w:rsidP="00A9766F">
            <w:pPr>
              <w:rPr>
                <w:rFonts w:ascii="Garamond" w:eastAsiaTheme="minorHAnsi" w:hAnsi="Garamond"/>
                <w:sz w:val="18"/>
                <w:szCs w:val="18"/>
                <w:lang w:eastAsia="en-US"/>
              </w:rPr>
            </w:pPr>
            <w:r w:rsidRPr="007114AF">
              <w:rPr>
                <w:rFonts w:ascii="Garamond" w:eastAsiaTheme="minorHAnsi" w:hAnsi="Garamond"/>
                <w:sz w:val="18"/>
                <w:szCs w:val="18"/>
                <w:lang w:eastAsia="en-US"/>
              </w:rPr>
              <w:t>37.77</w:t>
            </w:r>
          </w:p>
        </w:tc>
      </w:tr>
      <w:tr w:rsidR="00A9766F" w:rsidRPr="007114AF" w14:paraId="6EDCFA97" w14:textId="77777777" w:rsidTr="00A9766F">
        <w:trPr>
          <w:trHeight w:val="73"/>
          <w:jc w:val="center"/>
        </w:trPr>
        <w:tc>
          <w:tcPr>
            <w:tcW w:w="1668" w:type="dxa"/>
            <w:vAlign w:val="center"/>
            <w:hideMark/>
          </w:tcPr>
          <w:p w14:paraId="6EDCFA8F" w14:textId="77777777" w:rsidR="00A9766F" w:rsidRPr="007114AF" w:rsidRDefault="00A9766F" w:rsidP="00A9766F">
            <w:pPr>
              <w:rPr>
                <w:rFonts w:ascii="Garamond" w:eastAsiaTheme="minorHAnsi" w:hAnsi="Garamond"/>
                <w:sz w:val="18"/>
                <w:szCs w:val="18"/>
                <w:lang w:eastAsia="en-US"/>
              </w:rPr>
            </w:pPr>
            <w:r w:rsidRPr="007114AF">
              <w:rPr>
                <w:rFonts w:ascii="Garamond" w:eastAsiaTheme="minorHAnsi" w:hAnsi="Garamond"/>
                <w:sz w:val="18"/>
                <w:szCs w:val="18"/>
                <w:lang w:eastAsia="en-US"/>
              </w:rPr>
              <w:t>Ngrohja qendrore-NQ</w:t>
            </w:r>
          </w:p>
        </w:tc>
        <w:tc>
          <w:tcPr>
            <w:tcW w:w="998" w:type="dxa"/>
            <w:vAlign w:val="center"/>
            <w:hideMark/>
          </w:tcPr>
          <w:p w14:paraId="6EDCFA90" w14:textId="77777777" w:rsidR="00A9766F" w:rsidRPr="007114AF" w:rsidRDefault="00A9766F" w:rsidP="00A9766F">
            <w:pPr>
              <w:rPr>
                <w:rFonts w:ascii="Garamond" w:eastAsiaTheme="minorHAnsi" w:hAnsi="Garamond"/>
                <w:sz w:val="18"/>
                <w:szCs w:val="18"/>
                <w:lang w:eastAsia="en-US"/>
              </w:rPr>
            </w:pPr>
            <w:r w:rsidRPr="007114AF">
              <w:rPr>
                <w:rFonts w:ascii="Garamond" w:eastAsiaTheme="minorHAnsi" w:hAnsi="Garamond"/>
                <w:sz w:val="18"/>
                <w:szCs w:val="18"/>
                <w:lang w:eastAsia="en-US"/>
              </w:rPr>
              <w:t xml:space="preserve">-64.64 </w:t>
            </w:r>
          </w:p>
        </w:tc>
        <w:tc>
          <w:tcPr>
            <w:tcW w:w="1246" w:type="dxa"/>
            <w:vAlign w:val="center"/>
            <w:hideMark/>
          </w:tcPr>
          <w:p w14:paraId="6EDCFA91" w14:textId="77777777" w:rsidR="00A9766F" w:rsidRPr="007114AF" w:rsidRDefault="00A9766F" w:rsidP="00A9766F">
            <w:pPr>
              <w:rPr>
                <w:rFonts w:ascii="Garamond" w:eastAsiaTheme="minorHAnsi" w:hAnsi="Garamond"/>
                <w:sz w:val="18"/>
                <w:szCs w:val="18"/>
                <w:lang w:eastAsia="en-US"/>
              </w:rPr>
            </w:pPr>
            <w:r w:rsidRPr="007114AF">
              <w:rPr>
                <w:rFonts w:ascii="Garamond" w:eastAsiaTheme="minorHAnsi" w:hAnsi="Garamond"/>
                <w:sz w:val="18"/>
                <w:szCs w:val="18"/>
                <w:lang w:eastAsia="en-US"/>
              </w:rPr>
              <w:t xml:space="preserve">kW </w:t>
            </w:r>
          </w:p>
        </w:tc>
        <w:tc>
          <w:tcPr>
            <w:tcW w:w="1056" w:type="dxa"/>
            <w:vAlign w:val="center"/>
            <w:hideMark/>
          </w:tcPr>
          <w:p w14:paraId="6EDCFA92" w14:textId="77777777" w:rsidR="00A9766F" w:rsidRPr="007114AF" w:rsidRDefault="00A9766F" w:rsidP="00A9766F">
            <w:pPr>
              <w:rPr>
                <w:rFonts w:ascii="Garamond" w:eastAsiaTheme="minorHAnsi" w:hAnsi="Garamond"/>
                <w:sz w:val="18"/>
                <w:szCs w:val="18"/>
                <w:lang w:eastAsia="en-US"/>
              </w:rPr>
            </w:pPr>
            <w:r w:rsidRPr="007114AF">
              <w:rPr>
                <w:rFonts w:ascii="Garamond" w:eastAsiaTheme="minorHAnsi" w:hAnsi="Garamond"/>
                <w:sz w:val="18"/>
                <w:szCs w:val="18"/>
                <w:lang w:eastAsia="en-US"/>
              </w:rPr>
              <w:t xml:space="preserve">3.36 </w:t>
            </w:r>
          </w:p>
        </w:tc>
        <w:tc>
          <w:tcPr>
            <w:tcW w:w="1128" w:type="dxa"/>
            <w:vAlign w:val="center"/>
          </w:tcPr>
          <w:p w14:paraId="6EDCFA93" w14:textId="77777777" w:rsidR="00A9766F" w:rsidRPr="007114AF" w:rsidRDefault="00A9766F" w:rsidP="00A9766F">
            <w:pPr>
              <w:rPr>
                <w:rFonts w:ascii="Garamond" w:eastAsiaTheme="minorHAnsi" w:hAnsi="Garamond"/>
                <w:sz w:val="18"/>
                <w:szCs w:val="18"/>
                <w:lang w:eastAsia="en-US"/>
              </w:rPr>
            </w:pPr>
            <w:r w:rsidRPr="007114AF">
              <w:rPr>
                <w:rFonts w:ascii="Garamond" w:eastAsiaTheme="minorHAnsi" w:hAnsi="Garamond"/>
                <w:sz w:val="18"/>
                <w:szCs w:val="18"/>
                <w:lang w:eastAsia="en-US"/>
              </w:rPr>
              <w:t xml:space="preserve">5,000 </w:t>
            </w:r>
          </w:p>
        </w:tc>
        <w:tc>
          <w:tcPr>
            <w:tcW w:w="1148" w:type="dxa"/>
            <w:vAlign w:val="center"/>
          </w:tcPr>
          <w:p w14:paraId="6EDCFA94" w14:textId="77777777" w:rsidR="00A9766F" w:rsidRPr="007114AF" w:rsidRDefault="00A9766F" w:rsidP="00A9766F">
            <w:pPr>
              <w:rPr>
                <w:rFonts w:ascii="Garamond" w:eastAsiaTheme="minorHAnsi" w:hAnsi="Garamond"/>
                <w:sz w:val="18"/>
                <w:szCs w:val="18"/>
                <w:lang w:eastAsia="en-US"/>
              </w:rPr>
            </w:pPr>
            <w:r w:rsidRPr="007114AF">
              <w:rPr>
                <w:rFonts w:ascii="Garamond" w:eastAsiaTheme="minorHAnsi" w:hAnsi="Garamond"/>
                <w:sz w:val="18"/>
                <w:szCs w:val="18"/>
                <w:lang w:eastAsia="en-US"/>
              </w:rPr>
              <w:t xml:space="preserve">10.43 </w:t>
            </w:r>
          </w:p>
        </w:tc>
        <w:tc>
          <w:tcPr>
            <w:tcW w:w="1184" w:type="dxa"/>
            <w:vAlign w:val="center"/>
          </w:tcPr>
          <w:p w14:paraId="6EDCFA95" w14:textId="77777777" w:rsidR="00A9766F" w:rsidRPr="007114AF" w:rsidRDefault="00A9766F" w:rsidP="00A9766F">
            <w:pPr>
              <w:rPr>
                <w:rFonts w:ascii="Garamond" w:eastAsiaTheme="minorHAnsi" w:hAnsi="Garamond"/>
                <w:sz w:val="18"/>
                <w:szCs w:val="18"/>
                <w:lang w:eastAsia="en-US"/>
              </w:rPr>
            </w:pPr>
            <w:r w:rsidRPr="007114AF">
              <w:rPr>
                <w:rFonts w:ascii="Garamond" w:eastAsiaTheme="minorHAnsi" w:hAnsi="Garamond"/>
                <w:sz w:val="18"/>
                <w:szCs w:val="18"/>
                <w:lang w:eastAsia="en-US"/>
              </w:rPr>
              <w:t xml:space="preserve">15,000 </w:t>
            </w:r>
          </w:p>
        </w:tc>
        <w:tc>
          <w:tcPr>
            <w:tcW w:w="1148" w:type="dxa"/>
            <w:vAlign w:val="center"/>
          </w:tcPr>
          <w:p w14:paraId="6EDCFA96" w14:textId="77777777" w:rsidR="00A9766F" w:rsidRPr="007114AF" w:rsidRDefault="00A9766F" w:rsidP="00A9766F">
            <w:pPr>
              <w:rPr>
                <w:rFonts w:ascii="Garamond" w:eastAsiaTheme="minorHAnsi" w:hAnsi="Garamond"/>
                <w:sz w:val="18"/>
                <w:szCs w:val="18"/>
                <w:lang w:eastAsia="en-US"/>
              </w:rPr>
            </w:pPr>
            <w:r w:rsidRPr="007114AF">
              <w:rPr>
                <w:rFonts w:ascii="Garamond" w:eastAsiaTheme="minorHAnsi" w:hAnsi="Garamond"/>
                <w:sz w:val="18"/>
                <w:szCs w:val="18"/>
                <w:lang w:eastAsia="en-US"/>
              </w:rPr>
              <w:t>26.24</w:t>
            </w:r>
          </w:p>
        </w:tc>
      </w:tr>
      <w:tr w:rsidR="00A9766F" w:rsidRPr="007114AF" w14:paraId="6EDCFAA0" w14:textId="77777777" w:rsidTr="00A9766F">
        <w:trPr>
          <w:cnfStyle w:val="000000100000" w:firstRow="0" w:lastRow="0" w:firstColumn="0" w:lastColumn="0" w:oddVBand="0" w:evenVBand="0" w:oddHBand="1" w:evenHBand="0" w:firstRowFirstColumn="0" w:firstRowLastColumn="0" w:lastRowFirstColumn="0" w:lastRowLastColumn="0"/>
          <w:trHeight w:val="73"/>
          <w:jc w:val="center"/>
        </w:trPr>
        <w:tc>
          <w:tcPr>
            <w:tcW w:w="1668" w:type="dxa"/>
            <w:vAlign w:val="center"/>
          </w:tcPr>
          <w:p w14:paraId="6EDCFA98" w14:textId="77777777" w:rsidR="00A9766F" w:rsidRPr="007114AF" w:rsidRDefault="00A9766F" w:rsidP="00A9766F">
            <w:pPr>
              <w:rPr>
                <w:rFonts w:ascii="Garamond" w:eastAsiaTheme="minorHAnsi" w:hAnsi="Garamond"/>
                <w:sz w:val="18"/>
                <w:szCs w:val="18"/>
                <w:lang w:eastAsia="en-US"/>
              </w:rPr>
            </w:pPr>
            <w:r w:rsidRPr="007114AF">
              <w:rPr>
                <w:rFonts w:ascii="Garamond" w:eastAsiaTheme="minorHAnsi" w:hAnsi="Garamond"/>
                <w:sz w:val="18"/>
                <w:szCs w:val="18"/>
                <w:lang w:eastAsia="en-US"/>
              </w:rPr>
              <w:t>Pyllëzimi me pisha</w:t>
            </w:r>
          </w:p>
        </w:tc>
        <w:tc>
          <w:tcPr>
            <w:tcW w:w="998" w:type="dxa"/>
            <w:vAlign w:val="center"/>
          </w:tcPr>
          <w:p w14:paraId="6EDCFA99" w14:textId="77777777" w:rsidR="00A9766F" w:rsidRPr="007114AF" w:rsidRDefault="00A9766F" w:rsidP="00A9766F">
            <w:pPr>
              <w:rPr>
                <w:rFonts w:ascii="Garamond" w:eastAsiaTheme="minorHAnsi" w:hAnsi="Garamond"/>
                <w:sz w:val="18"/>
                <w:szCs w:val="18"/>
                <w:lang w:eastAsia="en-US"/>
              </w:rPr>
            </w:pPr>
            <w:r w:rsidRPr="007114AF">
              <w:rPr>
                <w:rFonts w:ascii="Garamond" w:eastAsiaTheme="minorHAnsi" w:hAnsi="Garamond"/>
                <w:sz w:val="18"/>
                <w:szCs w:val="18"/>
                <w:lang w:eastAsia="en-US"/>
              </w:rPr>
              <w:t xml:space="preserve">10.56 </w:t>
            </w:r>
          </w:p>
        </w:tc>
        <w:tc>
          <w:tcPr>
            <w:tcW w:w="1246" w:type="dxa"/>
            <w:vAlign w:val="center"/>
          </w:tcPr>
          <w:p w14:paraId="6EDCFA9A" w14:textId="77777777" w:rsidR="00A9766F" w:rsidRPr="007114AF" w:rsidRDefault="00A9766F" w:rsidP="00A9766F">
            <w:pPr>
              <w:rPr>
                <w:rFonts w:ascii="Garamond" w:eastAsiaTheme="minorHAnsi" w:hAnsi="Garamond"/>
                <w:sz w:val="18"/>
                <w:szCs w:val="18"/>
                <w:lang w:eastAsia="en-US"/>
              </w:rPr>
            </w:pPr>
            <w:r w:rsidRPr="007114AF">
              <w:rPr>
                <w:rFonts w:ascii="Garamond" w:eastAsiaTheme="minorHAnsi" w:hAnsi="Garamond"/>
                <w:sz w:val="18"/>
                <w:szCs w:val="18"/>
                <w:lang w:eastAsia="en-US"/>
              </w:rPr>
              <w:t xml:space="preserve">ha </w:t>
            </w:r>
          </w:p>
        </w:tc>
        <w:tc>
          <w:tcPr>
            <w:tcW w:w="1056" w:type="dxa"/>
            <w:vAlign w:val="center"/>
          </w:tcPr>
          <w:p w14:paraId="6EDCFA9B" w14:textId="77777777" w:rsidR="00A9766F" w:rsidRPr="007114AF" w:rsidRDefault="00A9766F" w:rsidP="00A9766F">
            <w:pPr>
              <w:rPr>
                <w:rFonts w:ascii="Garamond" w:eastAsiaTheme="minorHAnsi" w:hAnsi="Garamond"/>
                <w:sz w:val="18"/>
                <w:szCs w:val="18"/>
                <w:lang w:eastAsia="en-US"/>
              </w:rPr>
            </w:pPr>
            <w:r w:rsidRPr="007114AF">
              <w:rPr>
                <w:rFonts w:ascii="Garamond" w:eastAsiaTheme="minorHAnsi" w:hAnsi="Garamond"/>
                <w:sz w:val="18"/>
                <w:szCs w:val="18"/>
                <w:lang w:eastAsia="en-US"/>
              </w:rPr>
              <w:t xml:space="preserve">29.42 </w:t>
            </w:r>
          </w:p>
        </w:tc>
        <w:tc>
          <w:tcPr>
            <w:tcW w:w="1128" w:type="dxa"/>
            <w:vAlign w:val="center"/>
          </w:tcPr>
          <w:p w14:paraId="6EDCFA9C" w14:textId="77777777" w:rsidR="00A9766F" w:rsidRPr="007114AF" w:rsidRDefault="00A9766F" w:rsidP="00A9766F">
            <w:pPr>
              <w:rPr>
                <w:rFonts w:ascii="Garamond" w:eastAsiaTheme="minorHAnsi" w:hAnsi="Garamond"/>
                <w:sz w:val="18"/>
                <w:szCs w:val="18"/>
                <w:lang w:eastAsia="en-US"/>
              </w:rPr>
            </w:pPr>
            <w:r w:rsidRPr="007114AF">
              <w:rPr>
                <w:rFonts w:ascii="Garamond" w:eastAsiaTheme="minorHAnsi" w:hAnsi="Garamond"/>
                <w:sz w:val="18"/>
                <w:szCs w:val="18"/>
                <w:lang w:eastAsia="en-US"/>
              </w:rPr>
              <w:t xml:space="preserve">0 </w:t>
            </w:r>
          </w:p>
        </w:tc>
        <w:tc>
          <w:tcPr>
            <w:tcW w:w="1148" w:type="dxa"/>
            <w:vAlign w:val="center"/>
          </w:tcPr>
          <w:p w14:paraId="6EDCFA9D" w14:textId="77777777" w:rsidR="00A9766F" w:rsidRPr="007114AF" w:rsidRDefault="00A9766F" w:rsidP="00A9766F">
            <w:pPr>
              <w:rPr>
                <w:rFonts w:ascii="Garamond" w:eastAsiaTheme="minorHAnsi" w:hAnsi="Garamond"/>
                <w:sz w:val="18"/>
                <w:szCs w:val="18"/>
                <w:lang w:eastAsia="en-US"/>
              </w:rPr>
            </w:pPr>
            <w:r w:rsidRPr="007114AF">
              <w:rPr>
                <w:rFonts w:ascii="Garamond" w:eastAsiaTheme="minorHAnsi" w:hAnsi="Garamond"/>
                <w:sz w:val="18"/>
                <w:szCs w:val="18"/>
                <w:lang w:eastAsia="en-US"/>
              </w:rPr>
              <w:t xml:space="preserve">0.00 </w:t>
            </w:r>
          </w:p>
        </w:tc>
        <w:tc>
          <w:tcPr>
            <w:tcW w:w="1184" w:type="dxa"/>
            <w:vAlign w:val="center"/>
          </w:tcPr>
          <w:p w14:paraId="6EDCFA9E" w14:textId="77777777" w:rsidR="00A9766F" w:rsidRPr="007114AF" w:rsidRDefault="00A9766F" w:rsidP="00A9766F">
            <w:pPr>
              <w:pStyle w:val="Default"/>
              <w:jc w:val="both"/>
              <w:rPr>
                <w:rFonts w:ascii="Garamond" w:hAnsi="Garamond"/>
                <w:sz w:val="18"/>
                <w:szCs w:val="18"/>
                <w:lang w:val="sq-AL"/>
              </w:rPr>
            </w:pPr>
            <w:r w:rsidRPr="007114AF">
              <w:rPr>
                <w:rFonts w:ascii="Garamond" w:hAnsi="Garamond"/>
                <w:sz w:val="18"/>
                <w:szCs w:val="18"/>
                <w:lang w:val="sq-AL"/>
              </w:rPr>
              <w:t>--</w:t>
            </w:r>
          </w:p>
        </w:tc>
        <w:tc>
          <w:tcPr>
            <w:tcW w:w="1148" w:type="dxa"/>
            <w:vAlign w:val="center"/>
          </w:tcPr>
          <w:p w14:paraId="6EDCFA9F" w14:textId="77777777" w:rsidR="00A9766F" w:rsidRPr="007114AF" w:rsidRDefault="00A9766F" w:rsidP="00A9766F">
            <w:pPr>
              <w:pStyle w:val="Default"/>
              <w:jc w:val="both"/>
              <w:rPr>
                <w:rFonts w:ascii="Garamond" w:hAnsi="Garamond"/>
                <w:sz w:val="18"/>
                <w:szCs w:val="18"/>
                <w:lang w:val="sq-AL"/>
              </w:rPr>
            </w:pPr>
            <w:r w:rsidRPr="007114AF">
              <w:rPr>
                <w:rFonts w:ascii="Garamond" w:hAnsi="Garamond"/>
                <w:sz w:val="18"/>
                <w:szCs w:val="18"/>
                <w:lang w:val="sq-AL"/>
              </w:rPr>
              <w:t>--</w:t>
            </w:r>
          </w:p>
        </w:tc>
      </w:tr>
      <w:tr w:rsidR="00A9766F" w:rsidRPr="007114AF" w14:paraId="6EDCFAA9" w14:textId="77777777" w:rsidTr="00A9766F">
        <w:trPr>
          <w:trHeight w:val="73"/>
          <w:jc w:val="center"/>
        </w:trPr>
        <w:tc>
          <w:tcPr>
            <w:tcW w:w="1668" w:type="dxa"/>
            <w:vAlign w:val="center"/>
            <w:hideMark/>
          </w:tcPr>
          <w:p w14:paraId="6EDCFAA1" w14:textId="18D585A7" w:rsidR="00A9766F" w:rsidRPr="007114AF" w:rsidRDefault="00A9766F" w:rsidP="00A9766F">
            <w:pPr>
              <w:rPr>
                <w:rFonts w:ascii="Garamond" w:eastAsiaTheme="minorHAnsi" w:hAnsi="Garamond"/>
                <w:sz w:val="18"/>
                <w:szCs w:val="18"/>
                <w:lang w:eastAsia="en-US"/>
              </w:rPr>
            </w:pPr>
            <w:r w:rsidRPr="007114AF">
              <w:rPr>
                <w:rFonts w:ascii="Garamond" w:eastAsiaTheme="minorHAnsi" w:hAnsi="Garamond"/>
                <w:sz w:val="18"/>
                <w:szCs w:val="18"/>
                <w:lang w:eastAsia="en-US"/>
              </w:rPr>
              <w:t>Biogaz</w:t>
            </w:r>
            <w:r w:rsidR="00022F8B">
              <w:rPr>
                <w:rFonts w:ascii="Garamond" w:eastAsiaTheme="minorHAnsi" w:hAnsi="Garamond"/>
                <w:sz w:val="18"/>
                <w:szCs w:val="18"/>
                <w:lang w:eastAsia="en-US"/>
              </w:rPr>
              <w:t xml:space="preserve"> </w:t>
            </w:r>
            <w:r w:rsidRPr="007114AF">
              <w:rPr>
                <w:rFonts w:ascii="Garamond" w:eastAsiaTheme="minorHAnsi" w:hAnsi="Garamond"/>
                <w:sz w:val="18"/>
                <w:szCs w:val="18"/>
                <w:lang w:eastAsia="en-US"/>
              </w:rPr>
              <w:t>për banesat rurale</w:t>
            </w:r>
          </w:p>
        </w:tc>
        <w:tc>
          <w:tcPr>
            <w:tcW w:w="998" w:type="dxa"/>
            <w:vAlign w:val="center"/>
            <w:hideMark/>
          </w:tcPr>
          <w:p w14:paraId="6EDCFAA2" w14:textId="77777777" w:rsidR="00A9766F" w:rsidRPr="007114AF" w:rsidRDefault="00A9766F" w:rsidP="00A9766F">
            <w:pPr>
              <w:rPr>
                <w:rFonts w:ascii="Garamond" w:eastAsiaTheme="minorHAnsi" w:hAnsi="Garamond"/>
                <w:sz w:val="18"/>
                <w:szCs w:val="18"/>
                <w:lang w:eastAsia="en-US"/>
              </w:rPr>
            </w:pPr>
            <w:r w:rsidRPr="007114AF">
              <w:rPr>
                <w:rFonts w:ascii="Garamond" w:eastAsiaTheme="minorHAnsi" w:hAnsi="Garamond"/>
                <w:sz w:val="18"/>
                <w:szCs w:val="18"/>
                <w:lang w:eastAsia="en-US"/>
              </w:rPr>
              <w:t xml:space="preserve">28.28 </w:t>
            </w:r>
          </w:p>
        </w:tc>
        <w:tc>
          <w:tcPr>
            <w:tcW w:w="1246" w:type="dxa"/>
            <w:vAlign w:val="center"/>
            <w:hideMark/>
          </w:tcPr>
          <w:p w14:paraId="6EDCFAA3" w14:textId="77777777" w:rsidR="00A9766F" w:rsidRPr="007114AF" w:rsidRDefault="00A9766F" w:rsidP="00A9766F">
            <w:pPr>
              <w:rPr>
                <w:rFonts w:ascii="Garamond" w:eastAsiaTheme="minorHAnsi" w:hAnsi="Garamond"/>
                <w:sz w:val="18"/>
                <w:szCs w:val="18"/>
                <w:lang w:eastAsia="en-US"/>
              </w:rPr>
            </w:pPr>
            <w:r w:rsidRPr="007114AF">
              <w:rPr>
                <w:rFonts w:ascii="Garamond" w:eastAsiaTheme="minorHAnsi" w:hAnsi="Garamond"/>
                <w:sz w:val="18"/>
                <w:szCs w:val="18"/>
                <w:lang w:eastAsia="en-US"/>
              </w:rPr>
              <w:t>tretës</w:t>
            </w:r>
          </w:p>
        </w:tc>
        <w:tc>
          <w:tcPr>
            <w:tcW w:w="1056" w:type="dxa"/>
            <w:vAlign w:val="center"/>
            <w:hideMark/>
          </w:tcPr>
          <w:p w14:paraId="6EDCFAA4" w14:textId="77777777" w:rsidR="00A9766F" w:rsidRPr="007114AF" w:rsidRDefault="00A9766F" w:rsidP="00A9766F">
            <w:pPr>
              <w:rPr>
                <w:rFonts w:ascii="Garamond" w:eastAsiaTheme="minorHAnsi" w:hAnsi="Garamond"/>
                <w:sz w:val="18"/>
                <w:szCs w:val="18"/>
                <w:lang w:eastAsia="en-US"/>
              </w:rPr>
            </w:pPr>
            <w:r w:rsidRPr="007114AF">
              <w:rPr>
                <w:rFonts w:ascii="Garamond" w:eastAsiaTheme="minorHAnsi" w:hAnsi="Garamond"/>
                <w:sz w:val="18"/>
                <w:szCs w:val="18"/>
                <w:lang w:eastAsia="en-US"/>
              </w:rPr>
              <w:t xml:space="preserve">8.84 </w:t>
            </w:r>
          </w:p>
        </w:tc>
        <w:tc>
          <w:tcPr>
            <w:tcW w:w="1128" w:type="dxa"/>
            <w:vAlign w:val="center"/>
          </w:tcPr>
          <w:p w14:paraId="6EDCFAA5" w14:textId="77777777" w:rsidR="00A9766F" w:rsidRPr="007114AF" w:rsidRDefault="00A9766F" w:rsidP="00A9766F">
            <w:pPr>
              <w:rPr>
                <w:rFonts w:ascii="Garamond" w:eastAsiaTheme="minorHAnsi" w:hAnsi="Garamond"/>
                <w:sz w:val="18"/>
                <w:szCs w:val="18"/>
                <w:lang w:eastAsia="en-US"/>
              </w:rPr>
            </w:pPr>
            <w:r w:rsidRPr="007114AF">
              <w:rPr>
                <w:rFonts w:ascii="Garamond" w:eastAsiaTheme="minorHAnsi" w:hAnsi="Garamond"/>
                <w:sz w:val="18"/>
                <w:szCs w:val="18"/>
                <w:lang w:eastAsia="en-US"/>
              </w:rPr>
              <w:t xml:space="preserve">1,000 </w:t>
            </w:r>
          </w:p>
        </w:tc>
        <w:tc>
          <w:tcPr>
            <w:tcW w:w="1148" w:type="dxa"/>
            <w:vAlign w:val="center"/>
          </w:tcPr>
          <w:p w14:paraId="6EDCFAA6" w14:textId="77777777" w:rsidR="00A9766F" w:rsidRPr="007114AF" w:rsidRDefault="00A9766F" w:rsidP="00A9766F">
            <w:pPr>
              <w:rPr>
                <w:rFonts w:ascii="Garamond" w:eastAsiaTheme="minorHAnsi" w:hAnsi="Garamond"/>
                <w:sz w:val="18"/>
                <w:szCs w:val="18"/>
                <w:lang w:eastAsia="en-US"/>
              </w:rPr>
            </w:pPr>
            <w:r w:rsidRPr="007114AF">
              <w:rPr>
                <w:rFonts w:ascii="Garamond" w:eastAsiaTheme="minorHAnsi" w:hAnsi="Garamond"/>
                <w:sz w:val="18"/>
                <w:szCs w:val="18"/>
                <w:lang w:eastAsia="en-US"/>
              </w:rPr>
              <w:t xml:space="preserve">5.48 </w:t>
            </w:r>
          </w:p>
        </w:tc>
        <w:tc>
          <w:tcPr>
            <w:tcW w:w="1184" w:type="dxa"/>
            <w:vAlign w:val="center"/>
            <w:hideMark/>
          </w:tcPr>
          <w:p w14:paraId="6EDCFAA7" w14:textId="77777777" w:rsidR="00A9766F" w:rsidRPr="007114AF" w:rsidRDefault="00A9766F" w:rsidP="00A9766F">
            <w:pPr>
              <w:rPr>
                <w:rFonts w:ascii="Garamond" w:eastAsiaTheme="minorHAnsi" w:hAnsi="Garamond"/>
                <w:sz w:val="18"/>
                <w:szCs w:val="18"/>
                <w:lang w:eastAsia="en-US"/>
              </w:rPr>
            </w:pPr>
            <w:r w:rsidRPr="007114AF">
              <w:rPr>
                <w:rFonts w:ascii="Garamond" w:eastAsiaTheme="minorHAnsi" w:hAnsi="Garamond"/>
                <w:sz w:val="18"/>
                <w:szCs w:val="18"/>
                <w:lang w:eastAsia="en-US"/>
              </w:rPr>
              <w:t xml:space="preserve">5,000 </w:t>
            </w:r>
          </w:p>
        </w:tc>
        <w:tc>
          <w:tcPr>
            <w:tcW w:w="1148" w:type="dxa"/>
            <w:vAlign w:val="center"/>
            <w:hideMark/>
          </w:tcPr>
          <w:p w14:paraId="6EDCFAA8" w14:textId="77777777" w:rsidR="00A9766F" w:rsidRPr="007114AF" w:rsidRDefault="00A9766F" w:rsidP="00A9766F">
            <w:pPr>
              <w:rPr>
                <w:rFonts w:ascii="Garamond" w:eastAsiaTheme="minorHAnsi" w:hAnsi="Garamond"/>
                <w:sz w:val="18"/>
                <w:szCs w:val="18"/>
                <w:lang w:eastAsia="en-US"/>
              </w:rPr>
            </w:pPr>
            <w:r w:rsidRPr="007114AF">
              <w:rPr>
                <w:rFonts w:ascii="Garamond" w:eastAsiaTheme="minorHAnsi" w:hAnsi="Garamond"/>
                <w:sz w:val="18"/>
                <w:szCs w:val="18"/>
                <w:lang w:eastAsia="en-US"/>
              </w:rPr>
              <w:t>22.99</w:t>
            </w:r>
          </w:p>
        </w:tc>
      </w:tr>
      <w:tr w:rsidR="00A9766F" w:rsidRPr="007114AF" w14:paraId="6EDCFAB2" w14:textId="77777777" w:rsidTr="00A9766F">
        <w:trPr>
          <w:cnfStyle w:val="000000100000" w:firstRow="0" w:lastRow="0" w:firstColumn="0" w:lastColumn="0" w:oddVBand="0" w:evenVBand="0" w:oddHBand="1" w:evenHBand="0" w:firstRowFirstColumn="0" w:firstRowLastColumn="0" w:lastRowFirstColumn="0" w:lastRowLastColumn="0"/>
          <w:trHeight w:val="73"/>
          <w:jc w:val="center"/>
        </w:trPr>
        <w:tc>
          <w:tcPr>
            <w:tcW w:w="1668" w:type="dxa"/>
            <w:vAlign w:val="center"/>
          </w:tcPr>
          <w:p w14:paraId="6EDCFAAA" w14:textId="77777777" w:rsidR="00A9766F" w:rsidRPr="007114AF" w:rsidRDefault="00A9766F" w:rsidP="00A9766F">
            <w:pPr>
              <w:rPr>
                <w:rFonts w:ascii="Garamond" w:eastAsiaTheme="minorHAnsi" w:hAnsi="Garamond"/>
                <w:sz w:val="18"/>
                <w:szCs w:val="18"/>
                <w:lang w:eastAsia="en-US"/>
              </w:rPr>
            </w:pPr>
            <w:r w:rsidRPr="007114AF">
              <w:rPr>
                <w:rFonts w:ascii="Garamond" w:eastAsiaTheme="minorHAnsi" w:hAnsi="Garamond"/>
                <w:sz w:val="18"/>
                <w:szCs w:val="18"/>
                <w:lang w:eastAsia="en-US"/>
              </w:rPr>
              <w:t>Ajër i kondicionuar</w:t>
            </w:r>
          </w:p>
        </w:tc>
        <w:tc>
          <w:tcPr>
            <w:tcW w:w="998" w:type="dxa"/>
            <w:vAlign w:val="center"/>
          </w:tcPr>
          <w:p w14:paraId="6EDCFAAB" w14:textId="77777777" w:rsidR="00A9766F" w:rsidRPr="007114AF" w:rsidRDefault="00A9766F" w:rsidP="00A9766F">
            <w:pPr>
              <w:rPr>
                <w:rFonts w:ascii="Garamond" w:eastAsiaTheme="minorHAnsi" w:hAnsi="Garamond"/>
                <w:sz w:val="18"/>
                <w:szCs w:val="18"/>
                <w:lang w:eastAsia="en-US"/>
              </w:rPr>
            </w:pPr>
            <w:r w:rsidRPr="007114AF">
              <w:rPr>
                <w:rFonts w:ascii="Garamond" w:eastAsiaTheme="minorHAnsi" w:hAnsi="Garamond"/>
                <w:sz w:val="18"/>
                <w:szCs w:val="18"/>
                <w:lang w:eastAsia="en-US"/>
              </w:rPr>
              <w:t xml:space="preserve">60.43 </w:t>
            </w:r>
          </w:p>
        </w:tc>
        <w:tc>
          <w:tcPr>
            <w:tcW w:w="1246" w:type="dxa"/>
            <w:vAlign w:val="center"/>
          </w:tcPr>
          <w:p w14:paraId="6EDCFAAC" w14:textId="77777777" w:rsidR="00A9766F" w:rsidRPr="007114AF" w:rsidRDefault="00A9766F" w:rsidP="00A9766F">
            <w:pPr>
              <w:rPr>
                <w:rFonts w:ascii="Garamond" w:eastAsiaTheme="minorHAnsi" w:hAnsi="Garamond"/>
                <w:sz w:val="18"/>
                <w:szCs w:val="18"/>
                <w:lang w:eastAsia="en-US"/>
              </w:rPr>
            </w:pPr>
            <w:r w:rsidRPr="007114AF">
              <w:rPr>
                <w:rFonts w:ascii="Garamond" w:eastAsiaTheme="minorHAnsi" w:hAnsi="Garamond"/>
                <w:sz w:val="18"/>
                <w:szCs w:val="18"/>
                <w:lang w:eastAsia="en-US"/>
              </w:rPr>
              <w:t>Njësi</w:t>
            </w:r>
          </w:p>
        </w:tc>
        <w:tc>
          <w:tcPr>
            <w:tcW w:w="1056" w:type="dxa"/>
            <w:vAlign w:val="center"/>
          </w:tcPr>
          <w:p w14:paraId="6EDCFAAD" w14:textId="77777777" w:rsidR="00A9766F" w:rsidRPr="007114AF" w:rsidRDefault="00A9766F" w:rsidP="00A9766F">
            <w:pPr>
              <w:rPr>
                <w:rFonts w:ascii="Garamond" w:eastAsiaTheme="minorHAnsi" w:hAnsi="Garamond"/>
                <w:sz w:val="18"/>
                <w:szCs w:val="18"/>
                <w:lang w:eastAsia="en-US"/>
              </w:rPr>
            </w:pPr>
            <w:r w:rsidRPr="007114AF">
              <w:rPr>
                <w:rFonts w:ascii="Garamond" w:eastAsiaTheme="minorHAnsi" w:hAnsi="Garamond"/>
                <w:sz w:val="18"/>
                <w:szCs w:val="18"/>
                <w:lang w:eastAsia="en-US"/>
              </w:rPr>
              <w:t xml:space="preserve">2.12 </w:t>
            </w:r>
          </w:p>
        </w:tc>
        <w:tc>
          <w:tcPr>
            <w:tcW w:w="1128" w:type="dxa"/>
            <w:vAlign w:val="center"/>
          </w:tcPr>
          <w:p w14:paraId="6EDCFAAE" w14:textId="77777777" w:rsidR="00A9766F" w:rsidRPr="007114AF" w:rsidRDefault="00A9766F" w:rsidP="00A9766F">
            <w:pPr>
              <w:rPr>
                <w:rFonts w:ascii="Garamond" w:eastAsiaTheme="minorHAnsi" w:hAnsi="Garamond"/>
                <w:sz w:val="18"/>
                <w:szCs w:val="18"/>
                <w:lang w:eastAsia="en-US"/>
              </w:rPr>
            </w:pPr>
            <w:r w:rsidRPr="007114AF">
              <w:rPr>
                <w:rFonts w:ascii="Garamond" w:eastAsiaTheme="minorHAnsi" w:hAnsi="Garamond"/>
                <w:sz w:val="18"/>
                <w:szCs w:val="18"/>
                <w:lang w:eastAsia="en-US"/>
              </w:rPr>
              <w:t xml:space="preserve">0 </w:t>
            </w:r>
          </w:p>
        </w:tc>
        <w:tc>
          <w:tcPr>
            <w:tcW w:w="1148" w:type="dxa"/>
            <w:vAlign w:val="center"/>
          </w:tcPr>
          <w:p w14:paraId="6EDCFAAF" w14:textId="77777777" w:rsidR="00A9766F" w:rsidRPr="007114AF" w:rsidRDefault="00A9766F" w:rsidP="00A9766F">
            <w:pPr>
              <w:rPr>
                <w:rFonts w:ascii="Garamond" w:eastAsiaTheme="minorHAnsi" w:hAnsi="Garamond"/>
                <w:sz w:val="18"/>
                <w:szCs w:val="18"/>
                <w:lang w:eastAsia="en-US"/>
              </w:rPr>
            </w:pPr>
            <w:r w:rsidRPr="007114AF">
              <w:rPr>
                <w:rFonts w:ascii="Garamond" w:eastAsiaTheme="minorHAnsi" w:hAnsi="Garamond"/>
                <w:sz w:val="18"/>
                <w:szCs w:val="18"/>
                <w:lang w:eastAsia="en-US"/>
              </w:rPr>
              <w:t xml:space="preserve">0.00 </w:t>
            </w:r>
          </w:p>
        </w:tc>
        <w:tc>
          <w:tcPr>
            <w:tcW w:w="1184" w:type="dxa"/>
            <w:vAlign w:val="center"/>
          </w:tcPr>
          <w:p w14:paraId="6EDCFAB0" w14:textId="77777777" w:rsidR="00A9766F" w:rsidRPr="007114AF" w:rsidRDefault="00A9766F" w:rsidP="00A9766F">
            <w:pPr>
              <w:pStyle w:val="Default"/>
              <w:jc w:val="both"/>
              <w:rPr>
                <w:rFonts w:ascii="Garamond" w:hAnsi="Garamond"/>
                <w:sz w:val="18"/>
                <w:szCs w:val="18"/>
                <w:lang w:val="sq-AL"/>
              </w:rPr>
            </w:pPr>
            <w:r w:rsidRPr="007114AF">
              <w:rPr>
                <w:rFonts w:ascii="Garamond" w:hAnsi="Garamond"/>
                <w:sz w:val="18"/>
                <w:szCs w:val="18"/>
                <w:lang w:val="sq-AL"/>
              </w:rPr>
              <w:t>--</w:t>
            </w:r>
          </w:p>
        </w:tc>
        <w:tc>
          <w:tcPr>
            <w:tcW w:w="1148" w:type="dxa"/>
            <w:vAlign w:val="center"/>
          </w:tcPr>
          <w:p w14:paraId="6EDCFAB1" w14:textId="77777777" w:rsidR="00A9766F" w:rsidRPr="007114AF" w:rsidRDefault="00A9766F" w:rsidP="00A9766F">
            <w:pPr>
              <w:pStyle w:val="Default"/>
              <w:jc w:val="both"/>
              <w:rPr>
                <w:rFonts w:ascii="Garamond" w:hAnsi="Garamond"/>
                <w:sz w:val="18"/>
                <w:szCs w:val="18"/>
                <w:lang w:val="sq-AL"/>
              </w:rPr>
            </w:pPr>
            <w:r w:rsidRPr="007114AF">
              <w:rPr>
                <w:rFonts w:ascii="Garamond" w:hAnsi="Garamond"/>
                <w:sz w:val="18"/>
                <w:szCs w:val="18"/>
                <w:lang w:val="sq-AL"/>
              </w:rPr>
              <w:t>--</w:t>
            </w:r>
          </w:p>
        </w:tc>
      </w:tr>
      <w:tr w:rsidR="00A9766F" w:rsidRPr="007114AF" w14:paraId="6EDCFABB" w14:textId="77777777" w:rsidTr="00A9766F">
        <w:trPr>
          <w:trHeight w:val="73"/>
          <w:jc w:val="center"/>
        </w:trPr>
        <w:tc>
          <w:tcPr>
            <w:tcW w:w="1668" w:type="dxa"/>
            <w:vAlign w:val="center"/>
            <w:hideMark/>
          </w:tcPr>
          <w:p w14:paraId="6EDCFAB3" w14:textId="77777777" w:rsidR="00A9766F" w:rsidRPr="007114AF" w:rsidRDefault="00A9766F" w:rsidP="00A9766F">
            <w:pPr>
              <w:rPr>
                <w:rFonts w:ascii="Garamond" w:eastAsiaTheme="minorHAnsi" w:hAnsi="Garamond"/>
                <w:sz w:val="18"/>
                <w:szCs w:val="18"/>
                <w:lang w:eastAsia="en-US"/>
              </w:rPr>
            </w:pPr>
            <w:r w:rsidRPr="007114AF">
              <w:rPr>
                <w:rFonts w:ascii="Garamond" w:eastAsiaTheme="minorHAnsi" w:hAnsi="Garamond"/>
                <w:sz w:val="18"/>
                <w:szCs w:val="18"/>
                <w:lang w:eastAsia="en-US"/>
              </w:rPr>
              <w:t xml:space="preserve">CV energji elektrike 1 </w:t>
            </w:r>
          </w:p>
        </w:tc>
        <w:tc>
          <w:tcPr>
            <w:tcW w:w="998" w:type="dxa"/>
            <w:vAlign w:val="center"/>
            <w:hideMark/>
          </w:tcPr>
          <w:p w14:paraId="6EDCFAB4" w14:textId="77777777" w:rsidR="00A9766F" w:rsidRPr="007114AF" w:rsidRDefault="00A9766F" w:rsidP="00A9766F">
            <w:pPr>
              <w:rPr>
                <w:rFonts w:ascii="Garamond" w:eastAsiaTheme="minorHAnsi" w:hAnsi="Garamond"/>
                <w:sz w:val="18"/>
                <w:szCs w:val="18"/>
                <w:lang w:eastAsia="en-US"/>
              </w:rPr>
            </w:pPr>
            <w:r w:rsidRPr="007114AF">
              <w:rPr>
                <w:rFonts w:ascii="Garamond" w:eastAsiaTheme="minorHAnsi" w:hAnsi="Garamond"/>
                <w:sz w:val="18"/>
                <w:szCs w:val="18"/>
                <w:lang w:eastAsia="en-US"/>
              </w:rPr>
              <w:t xml:space="preserve">70.76 </w:t>
            </w:r>
          </w:p>
        </w:tc>
        <w:tc>
          <w:tcPr>
            <w:tcW w:w="1246" w:type="dxa"/>
            <w:vAlign w:val="center"/>
            <w:hideMark/>
          </w:tcPr>
          <w:p w14:paraId="6EDCFAB5" w14:textId="77777777" w:rsidR="00A9766F" w:rsidRPr="007114AF" w:rsidRDefault="00A9766F" w:rsidP="00A9766F">
            <w:pPr>
              <w:rPr>
                <w:rFonts w:ascii="Garamond" w:eastAsiaTheme="minorHAnsi" w:hAnsi="Garamond"/>
                <w:sz w:val="18"/>
                <w:szCs w:val="18"/>
                <w:lang w:eastAsia="en-US"/>
              </w:rPr>
            </w:pPr>
            <w:r w:rsidRPr="007114AF">
              <w:rPr>
                <w:rFonts w:ascii="Garamond" w:eastAsiaTheme="minorHAnsi" w:hAnsi="Garamond"/>
                <w:sz w:val="18"/>
                <w:szCs w:val="18"/>
                <w:lang w:eastAsia="en-US"/>
              </w:rPr>
              <w:t xml:space="preserve">kW </w:t>
            </w:r>
          </w:p>
        </w:tc>
        <w:tc>
          <w:tcPr>
            <w:tcW w:w="1056" w:type="dxa"/>
            <w:vAlign w:val="center"/>
            <w:hideMark/>
          </w:tcPr>
          <w:p w14:paraId="6EDCFAB6" w14:textId="77777777" w:rsidR="00A9766F" w:rsidRPr="007114AF" w:rsidRDefault="00A9766F" w:rsidP="00A9766F">
            <w:pPr>
              <w:rPr>
                <w:rFonts w:ascii="Garamond" w:eastAsiaTheme="minorHAnsi" w:hAnsi="Garamond"/>
                <w:sz w:val="18"/>
                <w:szCs w:val="18"/>
                <w:lang w:eastAsia="en-US"/>
              </w:rPr>
            </w:pPr>
            <w:r w:rsidRPr="007114AF">
              <w:rPr>
                <w:rFonts w:ascii="Garamond" w:eastAsiaTheme="minorHAnsi" w:hAnsi="Garamond"/>
                <w:sz w:val="18"/>
                <w:szCs w:val="18"/>
                <w:lang w:eastAsia="en-US"/>
              </w:rPr>
              <w:t xml:space="preserve">0.77 </w:t>
            </w:r>
          </w:p>
        </w:tc>
        <w:tc>
          <w:tcPr>
            <w:tcW w:w="1128" w:type="dxa"/>
            <w:vAlign w:val="center"/>
          </w:tcPr>
          <w:p w14:paraId="6EDCFAB7" w14:textId="77777777" w:rsidR="00A9766F" w:rsidRPr="007114AF" w:rsidRDefault="00A9766F" w:rsidP="00A9766F">
            <w:pPr>
              <w:rPr>
                <w:rFonts w:ascii="Garamond" w:eastAsiaTheme="minorHAnsi" w:hAnsi="Garamond"/>
                <w:sz w:val="18"/>
                <w:szCs w:val="18"/>
                <w:lang w:eastAsia="en-US"/>
              </w:rPr>
            </w:pPr>
            <w:r w:rsidRPr="007114AF">
              <w:rPr>
                <w:rFonts w:ascii="Garamond" w:eastAsiaTheme="minorHAnsi" w:hAnsi="Garamond"/>
                <w:sz w:val="18"/>
                <w:szCs w:val="18"/>
                <w:lang w:eastAsia="en-US"/>
              </w:rPr>
              <w:t xml:space="preserve">20,000 </w:t>
            </w:r>
          </w:p>
        </w:tc>
        <w:tc>
          <w:tcPr>
            <w:tcW w:w="1148" w:type="dxa"/>
            <w:vAlign w:val="center"/>
          </w:tcPr>
          <w:p w14:paraId="6EDCFAB8" w14:textId="77777777" w:rsidR="00A9766F" w:rsidRPr="007114AF" w:rsidRDefault="00A9766F" w:rsidP="00A9766F">
            <w:pPr>
              <w:rPr>
                <w:rFonts w:ascii="Garamond" w:eastAsiaTheme="minorHAnsi" w:hAnsi="Garamond"/>
                <w:sz w:val="18"/>
                <w:szCs w:val="18"/>
                <w:lang w:eastAsia="en-US"/>
              </w:rPr>
            </w:pPr>
            <w:r w:rsidRPr="007114AF">
              <w:rPr>
                <w:rFonts w:ascii="Garamond" w:eastAsiaTheme="minorHAnsi" w:hAnsi="Garamond"/>
                <w:sz w:val="18"/>
                <w:szCs w:val="18"/>
                <w:lang w:eastAsia="en-US"/>
              </w:rPr>
              <w:t xml:space="preserve">9.49 </w:t>
            </w:r>
          </w:p>
        </w:tc>
        <w:tc>
          <w:tcPr>
            <w:tcW w:w="1184" w:type="dxa"/>
            <w:vAlign w:val="center"/>
            <w:hideMark/>
          </w:tcPr>
          <w:p w14:paraId="6EDCFAB9" w14:textId="77777777" w:rsidR="00A9766F" w:rsidRPr="007114AF" w:rsidRDefault="00A9766F" w:rsidP="00A9766F">
            <w:pPr>
              <w:pStyle w:val="Default"/>
              <w:jc w:val="both"/>
              <w:rPr>
                <w:rFonts w:ascii="Garamond" w:eastAsiaTheme="minorHAnsi" w:hAnsi="Garamond"/>
                <w:color w:val="auto"/>
                <w:sz w:val="18"/>
                <w:szCs w:val="18"/>
                <w:lang w:val="sq-AL" w:eastAsia="en-US"/>
              </w:rPr>
            </w:pPr>
            <w:r w:rsidRPr="007114AF">
              <w:rPr>
                <w:rFonts w:ascii="Garamond" w:eastAsiaTheme="minorHAnsi" w:hAnsi="Garamond"/>
                <w:color w:val="auto"/>
                <w:sz w:val="18"/>
                <w:szCs w:val="18"/>
                <w:lang w:val="sq-AL" w:eastAsia="en-US"/>
              </w:rPr>
              <w:t xml:space="preserve">62,000 </w:t>
            </w:r>
          </w:p>
        </w:tc>
        <w:tc>
          <w:tcPr>
            <w:tcW w:w="1148" w:type="dxa"/>
            <w:vAlign w:val="center"/>
            <w:hideMark/>
          </w:tcPr>
          <w:p w14:paraId="6EDCFABA" w14:textId="77777777" w:rsidR="00A9766F" w:rsidRPr="007114AF" w:rsidRDefault="00A9766F" w:rsidP="00A9766F">
            <w:pPr>
              <w:pStyle w:val="Default"/>
              <w:jc w:val="both"/>
              <w:rPr>
                <w:rFonts w:ascii="Garamond" w:eastAsiaTheme="minorHAnsi" w:hAnsi="Garamond"/>
                <w:color w:val="auto"/>
                <w:sz w:val="18"/>
                <w:szCs w:val="18"/>
                <w:lang w:val="sq-AL" w:eastAsia="en-US"/>
              </w:rPr>
            </w:pPr>
            <w:r w:rsidRPr="007114AF">
              <w:rPr>
                <w:rFonts w:ascii="Garamond" w:eastAsiaTheme="minorHAnsi" w:hAnsi="Garamond"/>
                <w:color w:val="auto"/>
                <w:sz w:val="18"/>
                <w:szCs w:val="18"/>
                <w:lang w:val="sq-AL" w:eastAsia="en-US"/>
              </w:rPr>
              <w:t>24.68</w:t>
            </w:r>
          </w:p>
        </w:tc>
      </w:tr>
      <w:tr w:rsidR="00A9766F" w:rsidRPr="007114AF" w14:paraId="6EDCFAC4" w14:textId="77777777" w:rsidTr="00A9766F">
        <w:trPr>
          <w:cnfStyle w:val="000000100000" w:firstRow="0" w:lastRow="0" w:firstColumn="0" w:lastColumn="0" w:oddVBand="0" w:evenVBand="0" w:oddHBand="1" w:evenHBand="0" w:firstRowFirstColumn="0" w:firstRowLastColumn="0" w:lastRowFirstColumn="0" w:lastRowLastColumn="0"/>
          <w:trHeight w:val="73"/>
          <w:jc w:val="center"/>
        </w:trPr>
        <w:tc>
          <w:tcPr>
            <w:tcW w:w="1668" w:type="dxa"/>
            <w:vAlign w:val="center"/>
            <w:hideMark/>
          </w:tcPr>
          <w:p w14:paraId="6EDCFABC" w14:textId="77777777" w:rsidR="00A9766F" w:rsidRPr="007114AF" w:rsidRDefault="00A9766F" w:rsidP="00A9766F">
            <w:pPr>
              <w:rPr>
                <w:rFonts w:ascii="Garamond" w:eastAsiaTheme="minorHAnsi" w:hAnsi="Garamond"/>
                <w:sz w:val="18"/>
                <w:szCs w:val="18"/>
                <w:lang w:eastAsia="en-US"/>
              </w:rPr>
            </w:pPr>
            <w:r w:rsidRPr="007114AF">
              <w:rPr>
                <w:rFonts w:ascii="Garamond" w:eastAsiaTheme="minorHAnsi" w:hAnsi="Garamond"/>
                <w:sz w:val="18"/>
                <w:szCs w:val="18"/>
                <w:lang w:eastAsia="en-US"/>
              </w:rPr>
              <w:t>CV diellor pompa uji</w:t>
            </w:r>
          </w:p>
        </w:tc>
        <w:tc>
          <w:tcPr>
            <w:tcW w:w="998" w:type="dxa"/>
            <w:vAlign w:val="center"/>
            <w:hideMark/>
          </w:tcPr>
          <w:p w14:paraId="6EDCFABD" w14:textId="77777777" w:rsidR="00A9766F" w:rsidRPr="007114AF" w:rsidRDefault="00A9766F" w:rsidP="00A9766F">
            <w:pPr>
              <w:rPr>
                <w:rFonts w:ascii="Garamond" w:eastAsiaTheme="minorHAnsi" w:hAnsi="Garamond"/>
                <w:sz w:val="18"/>
                <w:szCs w:val="18"/>
                <w:lang w:eastAsia="en-US"/>
              </w:rPr>
            </w:pPr>
            <w:r w:rsidRPr="007114AF">
              <w:rPr>
                <w:rFonts w:ascii="Garamond" w:eastAsiaTheme="minorHAnsi" w:hAnsi="Garamond"/>
                <w:sz w:val="18"/>
                <w:szCs w:val="18"/>
                <w:lang w:eastAsia="en-US"/>
              </w:rPr>
              <w:t xml:space="preserve">114.87 </w:t>
            </w:r>
          </w:p>
        </w:tc>
        <w:tc>
          <w:tcPr>
            <w:tcW w:w="1246" w:type="dxa"/>
            <w:vAlign w:val="center"/>
            <w:hideMark/>
          </w:tcPr>
          <w:p w14:paraId="6EDCFABE" w14:textId="77777777" w:rsidR="00A9766F" w:rsidRPr="007114AF" w:rsidRDefault="00A9766F" w:rsidP="00A9766F">
            <w:pPr>
              <w:rPr>
                <w:rFonts w:ascii="Garamond" w:eastAsiaTheme="minorHAnsi" w:hAnsi="Garamond"/>
                <w:sz w:val="18"/>
                <w:szCs w:val="18"/>
                <w:lang w:eastAsia="en-US"/>
              </w:rPr>
            </w:pPr>
            <w:r w:rsidRPr="007114AF">
              <w:rPr>
                <w:rFonts w:ascii="Garamond" w:eastAsiaTheme="minorHAnsi" w:hAnsi="Garamond"/>
                <w:sz w:val="18"/>
                <w:szCs w:val="18"/>
                <w:lang w:eastAsia="en-US"/>
              </w:rPr>
              <w:t xml:space="preserve">kW </w:t>
            </w:r>
          </w:p>
        </w:tc>
        <w:tc>
          <w:tcPr>
            <w:tcW w:w="1056" w:type="dxa"/>
            <w:vAlign w:val="center"/>
            <w:hideMark/>
          </w:tcPr>
          <w:p w14:paraId="6EDCFABF" w14:textId="77777777" w:rsidR="00A9766F" w:rsidRPr="007114AF" w:rsidRDefault="00A9766F" w:rsidP="00A9766F">
            <w:pPr>
              <w:rPr>
                <w:rFonts w:ascii="Garamond" w:eastAsiaTheme="minorHAnsi" w:hAnsi="Garamond"/>
                <w:sz w:val="18"/>
                <w:szCs w:val="18"/>
                <w:lang w:eastAsia="en-US"/>
              </w:rPr>
            </w:pPr>
            <w:r w:rsidRPr="007114AF">
              <w:rPr>
                <w:rFonts w:ascii="Garamond" w:eastAsiaTheme="minorHAnsi" w:hAnsi="Garamond"/>
                <w:sz w:val="18"/>
                <w:szCs w:val="18"/>
                <w:lang w:eastAsia="en-US"/>
              </w:rPr>
              <w:t xml:space="preserve">0.19 </w:t>
            </w:r>
          </w:p>
        </w:tc>
        <w:tc>
          <w:tcPr>
            <w:tcW w:w="1128" w:type="dxa"/>
            <w:vAlign w:val="center"/>
          </w:tcPr>
          <w:p w14:paraId="6EDCFAC0" w14:textId="77777777" w:rsidR="00A9766F" w:rsidRPr="007114AF" w:rsidRDefault="00A9766F" w:rsidP="00A9766F">
            <w:pPr>
              <w:rPr>
                <w:rFonts w:ascii="Garamond" w:eastAsiaTheme="minorHAnsi" w:hAnsi="Garamond"/>
                <w:sz w:val="18"/>
                <w:szCs w:val="18"/>
                <w:lang w:eastAsia="en-US"/>
              </w:rPr>
            </w:pPr>
            <w:r w:rsidRPr="007114AF">
              <w:rPr>
                <w:rFonts w:ascii="Garamond" w:eastAsiaTheme="minorHAnsi" w:hAnsi="Garamond"/>
                <w:sz w:val="18"/>
                <w:szCs w:val="18"/>
                <w:lang w:eastAsia="en-US"/>
              </w:rPr>
              <w:t xml:space="preserve">10,000 </w:t>
            </w:r>
          </w:p>
        </w:tc>
        <w:tc>
          <w:tcPr>
            <w:tcW w:w="1148" w:type="dxa"/>
            <w:vAlign w:val="center"/>
          </w:tcPr>
          <w:p w14:paraId="6EDCFAC1" w14:textId="77777777" w:rsidR="00A9766F" w:rsidRPr="007114AF" w:rsidRDefault="00A9766F" w:rsidP="00A9766F">
            <w:pPr>
              <w:rPr>
                <w:rFonts w:ascii="Garamond" w:eastAsiaTheme="minorHAnsi" w:hAnsi="Garamond"/>
                <w:sz w:val="18"/>
                <w:szCs w:val="18"/>
                <w:lang w:eastAsia="en-US"/>
              </w:rPr>
            </w:pPr>
            <w:r w:rsidRPr="007114AF">
              <w:rPr>
                <w:rFonts w:ascii="Garamond" w:eastAsiaTheme="minorHAnsi" w:hAnsi="Garamond"/>
                <w:sz w:val="18"/>
                <w:szCs w:val="18"/>
                <w:lang w:eastAsia="en-US"/>
              </w:rPr>
              <w:t xml:space="preserve">1.16 </w:t>
            </w:r>
          </w:p>
        </w:tc>
        <w:tc>
          <w:tcPr>
            <w:tcW w:w="1184" w:type="dxa"/>
            <w:vAlign w:val="center"/>
            <w:hideMark/>
          </w:tcPr>
          <w:p w14:paraId="6EDCFAC2" w14:textId="77777777" w:rsidR="00A9766F" w:rsidRPr="007114AF" w:rsidRDefault="00A9766F" w:rsidP="00A9766F">
            <w:pPr>
              <w:pStyle w:val="Default"/>
              <w:jc w:val="both"/>
              <w:rPr>
                <w:rFonts w:ascii="Garamond" w:eastAsiaTheme="minorHAnsi" w:hAnsi="Garamond"/>
                <w:color w:val="auto"/>
                <w:sz w:val="18"/>
                <w:szCs w:val="18"/>
                <w:lang w:val="sq-AL" w:eastAsia="en-US"/>
              </w:rPr>
            </w:pPr>
            <w:r w:rsidRPr="007114AF">
              <w:rPr>
                <w:rFonts w:ascii="Garamond" w:eastAsiaTheme="minorHAnsi" w:hAnsi="Garamond"/>
                <w:color w:val="auto"/>
                <w:sz w:val="18"/>
                <w:szCs w:val="18"/>
                <w:lang w:val="sq-AL" w:eastAsia="en-US"/>
              </w:rPr>
              <w:t xml:space="preserve">50,000 </w:t>
            </w:r>
          </w:p>
        </w:tc>
        <w:tc>
          <w:tcPr>
            <w:tcW w:w="1148" w:type="dxa"/>
            <w:vAlign w:val="center"/>
            <w:hideMark/>
          </w:tcPr>
          <w:p w14:paraId="6EDCFAC3" w14:textId="77777777" w:rsidR="00A9766F" w:rsidRPr="007114AF" w:rsidRDefault="00A9766F" w:rsidP="00A9766F">
            <w:pPr>
              <w:pStyle w:val="Default"/>
              <w:jc w:val="both"/>
              <w:rPr>
                <w:rFonts w:ascii="Garamond" w:eastAsiaTheme="minorHAnsi" w:hAnsi="Garamond"/>
                <w:color w:val="auto"/>
                <w:sz w:val="18"/>
                <w:szCs w:val="18"/>
                <w:lang w:val="sq-AL" w:eastAsia="en-US"/>
              </w:rPr>
            </w:pPr>
            <w:r w:rsidRPr="007114AF">
              <w:rPr>
                <w:rFonts w:ascii="Garamond" w:eastAsiaTheme="minorHAnsi" w:hAnsi="Garamond"/>
                <w:color w:val="auto"/>
                <w:sz w:val="18"/>
                <w:szCs w:val="18"/>
                <w:lang w:val="sq-AL" w:eastAsia="en-US"/>
              </w:rPr>
              <w:t>4.86</w:t>
            </w:r>
          </w:p>
        </w:tc>
      </w:tr>
      <w:tr w:rsidR="00A9766F" w:rsidRPr="007114AF" w14:paraId="6EDCFACA" w14:textId="77777777" w:rsidTr="00A9766F">
        <w:trPr>
          <w:trHeight w:val="72"/>
          <w:jc w:val="center"/>
        </w:trPr>
        <w:tc>
          <w:tcPr>
            <w:tcW w:w="3912" w:type="dxa"/>
            <w:gridSpan w:val="3"/>
            <w:vAlign w:val="center"/>
            <w:hideMark/>
          </w:tcPr>
          <w:p w14:paraId="6EDCFAC5" w14:textId="77777777" w:rsidR="00A9766F" w:rsidRPr="007114AF" w:rsidRDefault="00A9766F" w:rsidP="00A9766F">
            <w:pPr>
              <w:pStyle w:val="Default"/>
              <w:jc w:val="both"/>
              <w:rPr>
                <w:rFonts w:ascii="Garamond" w:hAnsi="Garamond"/>
                <w:b/>
                <w:color w:val="auto"/>
                <w:sz w:val="18"/>
                <w:szCs w:val="18"/>
                <w:lang w:val="sq-AL"/>
              </w:rPr>
            </w:pPr>
            <w:r w:rsidRPr="007114AF">
              <w:rPr>
                <w:rFonts w:ascii="Garamond" w:hAnsi="Garamond"/>
                <w:b/>
                <w:color w:val="auto"/>
                <w:sz w:val="18"/>
                <w:szCs w:val="18"/>
                <w:lang w:val="sq-AL"/>
              </w:rPr>
              <w:t>Shkarkime Totale</w:t>
            </w:r>
          </w:p>
        </w:tc>
        <w:tc>
          <w:tcPr>
            <w:tcW w:w="1056" w:type="dxa"/>
            <w:vAlign w:val="center"/>
          </w:tcPr>
          <w:p w14:paraId="6EDCFAC6" w14:textId="77777777" w:rsidR="00A9766F" w:rsidRPr="007114AF" w:rsidRDefault="00A9766F" w:rsidP="00A9766F">
            <w:pPr>
              <w:pStyle w:val="Default"/>
              <w:jc w:val="both"/>
              <w:rPr>
                <w:rFonts w:ascii="Garamond" w:hAnsi="Garamond"/>
                <w:b/>
                <w:color w:val="auto"/>
                <w:sz w:val="18"/>
                <w:szCs w:val="18"/>
                <w:lang w:val="sq-AL"/>
              </w:rPr>
            </w:pPr>
          </w:p>
        </w:tc>
        <w:tc>
          <w:tcPr>
            <w:tcW w:w="1128" w:type="dxa"/>
            <w:vAlign w:val="center"/>
          </w:tcPr>
          <w:p w14:paraId="6EDCFAC7" w14:textId="77777777" w:rsidR="00A9766F" w:rsidRPr="007114AF" w:rsidRDefault="00A9766F" w:rsidP="00A9766F">
            <w:pPr>
              <w:pStyle w:val="Default"/>
              <w:jc w:val="both"/>
              <w:rPr>
                <w:rFonts w:ascii="Garamond" w:hAnsi="Garamond"/>
                <w:b/>
                <w:color w:val="auto"/>
                <w:sz w:val="18"/>
                <w:szCs w:val="18"/>
                <w:lang w:val="sq-AL"/>
              </w:rPr>
            </w:pPr>
            <w:r w:rsidRPr="007114AF">
              <w:rPr>
                <w:rFonts w:ascii="Garamond" w:hAnsi="Garamond"/>
                <w:b/>
                <w:color w:val="auto"/>
                <w:sz w:val="18"/>
                <w:szCs w:val="18"/>
                <w:lang w:val="sq-AL"/>
              </w:rPr>
              <w:t>1051</w:t>
            </w:r>
          </w:p>
        </w:tc>
        <w:tc>
          <w:tcPr>
            <w:tcW w:w="2332" w:type="dxa"/>
            <w:gridSpan w:val="2"/>
            <w:vAlign w:val="center"/>
          </w:tcPr>
          <w:p w14:paraId="6EDCFAC8" w14:textId="77777777" w:rsidR="00A9766F" w:rsidRPr="007114AF" w:rsidRDefault="00A9766F" w:rsidP="00A9766F">
            <w:pPr>
              <w:pStyle w:val="Default"/>
              <w:jc w:val="both"/>
              <w:rPr>
                <w:rFonts w:ascii="Garamond" w:hAnsi="Garamond"/>
                <w:b/>
                <w:color w:val="auto"/>
                <w:sz w:val="18"/>
                <w:szCs w:val="18"/>
                <w:lang w:val="sq-AL"/>
              </w:rPr>
            </w:pPr>
          </w:p>
        </w:tc>
        <w:tc>
          <w:tcPr>
            <w:tcW w:w="1148" w:type="dxa"/>
            <w:vAlign w:val="center"/>
            <w:hideMark/>
          </w:tcPr>
          <w:p w14:paraId="6EDCFAC9" w14:textId="77777777" w:rsidR="00A9766F" w:rsidRPr="007114AF" w:rsidRDefault="00A9766F" w:rsidP="00A9766F">
            <w:pPr>
              <w:pStyle w:val="Default"/>
              <w:jc w:val="both"/>
              <w:rPr>
                <w:rFonts w:ascii="Garamond" w:hAnsi="Garamond"/>
                <w:b/>
                <w:color w:val="auto"/>
                <w:sz w:val="18"/>
                <w:szCs w:val="18"/>
                <w:lang w:val="sq-AL"/>
              </w:rPr>
            </w:pPr>
            <w:r w:rsidRPr="007114AF">
              <w:rPr>
                <w:rFonts w:ascii="Garamond" w:hAnsi="Garamond"/>
                <w:b/>
                <w:bCs/>
                <w:color w:val="auto"/>
                <w:sz w:val="18"/>
                <w:szCs w:val="18"/>
                <w:lang w:val="sq-AL"/>
              </w:rPr>
              <w:t>2104</w:t>
            </w:r>
          </w:p>
        </w:tc>
      </w:tr>
      <w:tr w:rsidR="00A9766F" w:rsidRPr="007114AF" w14:paraId="6EDCFAD0" w14:textId="77777777" w:rsidTr="00A9766F">
        <w:trPr>
          <w:cnfStyle w:val="000000100000" w:firstRow="0" w:lastRow="0" w:firstColumn="0" w:lastColumn="0" w:oddVBand="0" w:evenVBand="0" w:oddHBand="1" w:evenHBand="0" w:firstRowFirstColumn="0" w:firstRowLastColumn="0" w:lastRowFirstColumn="0" w:lastRowLastColumn="0"/>
          <w:trHeight w:val="80"/>
          <w:jc w:val="center"/>
        </w:trPr>
        <w:tc>
          <w:tcPr>
            <w:tcW w:w="3912" w:type="dxa"/>
            <w:gridSpan w:val="3"/>
            <w:vAlign w:val="center"/>
            <w:hideMark/>
          </w:tcPr>
          <w:p w14:paraId="6EDCFACB" w14:textId="1AE9C909" w:rsidR="00A9766F" w:rsidRPr="007114AF" w:rsidRDefault="00A9766F" w:rsidP="00A9766F">
            <w:pPr>
              <w:pStyle w:val="Default"/>
              <w:jc w:val="both"/>
              <w:rPr>
                <w:rFonts w:ascii="Garamond" w:hAnsi="Garamond"/>
                <w:b/>
                <w:color w:val="auto"/>
                <w:sz w:val="18"/>
                <w:szCs w:val="18"/>
                <w:lang w:val="sq-AL"/>
              </w:rPr>
            </w:pPr>
            <w:r w:rsidRPr="007114AF">
              <w:rPr>
                <w:rFonts w:ascii="Garamond" w:hAnsi="Garamond"/>
                <w:b/>
                <w:color w:val="auto"/>
                <w:sz w:val="18"/>
                <w:szCs w:val="18"/>
                <w:lang w:val="sq-AL"/>
              </w:rPr>
              <w:t>Reduktimi final CO</w:t>
            </w:r>
            <w:r w:rsidRPr="007114AF">
              <w:rPr>
                <w:rFonts w:ascii="Garamond" w:hAnsi="Garamond"/>
                <w:b/>
                <w:color w:val="auto"/>
                <w:sz w:val="18"/>
                <w:szCs w:val="18"/>
                <w:vertAlign w:val="subscript"/>
                <w:lang w:val="sq-AL"/>
              </w:rPr>
              <w:t>2</w:t>
            </w:r>
            <w:r w:rsidRPr="007114AF">
              <w:rPr>
                <w:rFonts w:ascii="Garamond" w:hAnsi="Garamond"/>
                <w:b/>
                <w:color w:val="auto"/>
                <w:sz w:val="18"/>
                <w:szCs w:val="18"/>
                <w:lang w:val="sq-AL"/>
              </w:rPr>
              <w:t>eq</w:t>
            </w:r>
            <w:r w:rsidR="000A2A01" w:rsidRPr="007114AF">
              <w:rPr>
                <w:rFonts w:ascii="Garamond" w:hAnsi="Garamond"/>
                <w:b/>
                <w:color w:val="auto"/>
                <w:sz w:val="18"/>
                <w:szCs w:val="18"/>
                <w:lang w:val="sq-AL"/>
              </w:rPr>
              <w:t xml:space="preserve"> </w:t>
            </w:r>
          </w:p>
        </w:tc>
        <w:tc>
          <w:tcPr>
            <w:tcW w:w="1056" w:type="dxa"/>
            <w:vAlign w:val="center"/>
          </w:tcPr>
          <w:p w14:paraId="6EDCFACC" w14:textId="77777777" w:rsidR="00A9766F" w:rsidRPr="007114AF" w:rsidRDefault="00A9766F" w:rsidP="00A9766F">
            <w:pPr>
              <w:pStyle w:val="Default"/>
              <w:jc w:val="both"/>
              <w:rPr>
                <w:rFonts w:ascii="Garamond" w:hAnsi="Garamond"/>
                <w:b/>
                <w:color w:val="auto"/>
                <w:sz w:val="18"/>
                <w:szCs w:val="18"/>
                <w:lang w:val="sq-AL"/>
              </w:rPr>
            </w:pPr>
          </w:p>
        </w:tc>
        <w:tc>
          <w:tcPr>
            <w:tcW w:w="1128" w:type="dxa"/>
            <w:vAlign w:val="center"/>
          </w:tcPr>
          <w:p w14:paraId="6EDCFACD" w14:textId="77777777" w:rsidR="00A9766F" w:rsidRPr="007114AF" w:rsidRDefault="00A9766F" w:rsidP="00A9766F">
            <w:pPr>
              <w:pStyle w:val="Default"/>
              <w:jc w:val="both"/>
              <w:rPr>
                <w:rFonts w:ascii="Garamond" w:hAnsi="Garamond"/>
                <w:b/>
                <w:color w:val="auto"/>
                <w:sz w:val="18"/>
                <w:szCs w:val="18"/>
                <w:lang w:val="sq-AL"/>
              </w:rPr>
            </w:pPr>
            <w:r w:rsidRPr="007114AF">
              <w:rPr>
                <w:rFonts w:ascii="Garamond" w:hAnsi="Garamond"/>
                <w:b/>
                <w:color w:val="auto"/>
                <w:sz w:val="18"/>
                <w:szCs w:val="18"/>
                <w:lang w:val="sq-AL"/>
              </w:rPr>
              <w:t>12.06%</w:t>
            </w:r>
          </w:p>
        </w:tc>
        <w:tc>
          <w:tcPr>
            <w:tcW w:w="2332" w:type="dxa"/>
            <w:gridSpan w:val="2"/>
            <w:vAlign w:val="center"/>
          </w:tcPr>
          <w:p w14:paraId="6EDCFACE" w14:textId="77777777" w:rsidR="00A9766F" w:rsidRPr="007114AF" w:rsidRDefault="00A9766F" w:rsidP="00A9766F">
            <w:pPr>
              <w:pStyle w:val="Default"/>
              <w:jc w:val="both"/>
              <w:rPr>
                <w:rFonts w:ascii="Garamond" w:hAnsi="Garamond"/>
                <w:b/>
                <w:color w:val="auto"/>
                <w:sz w:val="18"/>
                <w:szCs w:val="18"/>
                <w:lang w:val="sq-AL"/>
              </w:rPr>
            </w:pPr>
          </w:p>
        </w:tc>
        <w:tc>
          <w:tcPr>
            <w:tcW w:w="1148" w:type="dxa"/>
            <w:vAlign w:val="center"/>
            <w:hideMark/>
          </w:tcPr>
          <w:p w14:paraId="6EDCFACF" w14:textId="77777777" w:rsidR="00A9766F" w:rsidRPr="007114AF" w:rsidRDefault="00A9766F" w:rsidP="00A9766F">
            <w:pPr>
              <w:pStyle w:val="Default"/>
              <w:jc w:val="both"/>
              <w:rPr>
                <w:rFonts w:ascii="Garamond" w:hAnsi="Garamond"/>
                <w:b/>
                <w:color w:val="auto"/>
                <w:sz w:val="18"/>
                <w:szCs w:val="18"/>
                <w:lang w:val="sq-AL"/>
              </w:rPr>
            </w:pPr>
            <w:r w:rsidRPr="007114AF">
              <w:rPr>
                <w:rFonts w:ascii="Garamond" w:hAnsi="Garamond"/>
                <w:b/>
                <w:bCs/>
                <w:color w:val="auto"/>
                <w:sz w:val="18"/>
                <w:szCs w:val="18"/>
                <w:lang w:val="sq-AL"/>
              </w:rPr>
              <w:t>19.12%</w:t>
            </w:r>
          </w:p>
        </w:tc>
      </w:tr>
    </w:tbl>
    <w:p w14:paraId="6EDCFAD1" w14:textId="77777777" w:rsidR="00A9766F" w:rsidRPr="007114AF" w:rsidRDefault="00A9766F" w:rsidP="00A9766F">
      <w:pPr>
        <w:pStyle w:val="Default"/>
        <w:jc w:val="both"/>
        <w:rPr>
          <w:rFonts w:ascii="Garamond" w:hAnsi="Garamond"/>
          <w:color w:val="auto"/>
          <w:sz w:val="22"/>
          <w:szCs w:val="22"/>
          <w:lang w:val="sq-AL"/>
        </w:rPr>
      </w:pPr>
    </w:p>
    <w:p w14:paraId="6EDCFAD2" w14:textId="77777777" w:rsidR="00A9766F" w:rsidRPr="007114AF" w:rsidRDefault="00A9766F" w:rsidP="0018372B">
      <w:pPr>
        <w:pStyle w:val="TEKSTI"/>
      </w:pPr>
      <w:r w:rsidRPr="007114AF">
        <w:t>KTK-ja arrin në konkluzionin se, duke marrë parasysh rolin e BER në situatën aktuale shqiptare, mund të propozohen objektivat e mëposhtëm politikë:</w:t>
      </w:r>
    </w:p>
    <w:p w14:paraId="6EDCFAD3" w14:textId="77777777" w:rsidR="00A9766F" w:rsidRPr="007114AF" w:rsidRDefault="00BA14F8" w:rsidP="0018372B">
      <w:pPr>
        <w:pStyle w:val="TEKSTI"/>
      </w:pPr>
      <w:r w:rsidRPr="007114AF">
        <w:t xml:space="preserve">- </w:t>
      </w:r>
      <w:r w:rsidR="00A9766F" w:rsidRPr="007114AF">
        <w:t>Reduktimi i importeve të energjisë elektrike;</w:t>
      </w:r>
    </w:p>
    <w:p w14:paraId="6EDCFAD4" w14:textId="77777777" w:rsidR="00A9766F" w:rsidRPr="007114AF" w:rsidRDefault="00BA14F8" w:rsidP="0018372B">
      <w:pPr>
        <w:pStyle w:val="TEKSTI"/>
      </w:pPr>
      <w:r w:rsidRPr="007114AF">
        <w:t xml:space="preserve">- </w:t>
      </w:r>
      <w:r w:rsidR="00A9766F" w:rsidRPr="007114AF">
        <w:t>Diversifikimi i burimeve primare të energjisë për furnizimin me energji elektrike;</w:t>
      </w:r>
    </w:p>
    <w:p w14:paraId="6EDCFAD5" w14:textId="77777777" w:rsidR="00A9766F" w:rsidRPr="007114AF" w:rsidRDefault="00BA14F8" w:rsidP="0018372B">
      <w:pPr>
        <w:pStyle w:val="TEKSTI"/>
      </w:pPr>
      <w:r w:rsidRPr="007114AF">
        <w:t xml:space="preserve">- </w:t>
      </w:r>
      <w:r w:rsidR="00A9766F" w:rsidRPr="007114AF">
        <w:t>Reduktimi i humbjeve të transmetimit dhe shpërndarjes nga promovimi i gjenerimit të shpërndarë;</w:t>
      </w:r>
    </w:p>
    <w:p w14:paraId="6EDCFAD6" w14:textId="77777777" w:rsidR="00A9766F" w:rsidRPr="007114AF" w:rsidRDefault="00BA14F8" w:rsidP="0018372B">
      <w:pPr>
        <w:pStyle w:val="TEKSTI"/>
      </w:pPr>
      <w:r w:rsidRPr="007114AF">
        <w:t xml:space="preserve">- </w:t>
      </w:r>
      <w:r w:rsidR="00A9766F" w:rsidRPr="007114AF">
        <w:t>Krijimi i biznesit vendor dhe mundësive të punësimit, duke instaluar dhe prodhuar pjesë/komponentë/sisteme të impianteve BER nga sektori industrial shqiptar;</w:t>
      </w:r>
    </w:p>
    <w:p w14:paraId="6EDCFAD7" w14:textId="77777777" w:rsidR="00A9766F" w:rsidRPr="007114AF" w:rsidRDefault="00BA14F8" w:rsidP="0018372B">
      <w:pPr>
        <w:pStyle w:val="TEKSTI"/>
      </w:pPr>
      <w:r w:rsidRPr="007114AF">
        <w:t xml:space="preserve">- </w:t>
      </w:r>
      <w:r w:rsidR="00A9766F" w:rsidRPr="007114AF">
        <w:t xml:space="preserve">Përdorimi i burimeve të energjisë vendore sidomos në zonat e largëta, duke sjellë vende pune dhe duke përmirësuar standardin e jetesës. </w:t>
      </w:r>
    </w:p>
    <w:p w14:paraId="6EDCFAD8" w14:textId="77777777" w:rsidR="00A9766F" w:rsidRPr="007114AF" w:rsidRDefault="00A9766F" w:rsidP="00351EAC">
      <w:pPr>
        <w:pStyle w:val="TEKSTI"/>
        <w:rPr>
          <w:b/>
        </w:rPr>
      </w:pPr>
      <w:r w:rsidRPr="007114AF">
        <w:rPr>
          <w:b/>
        </w:rPr>
        <w:t>Sektorët e bujqësisë dhe pyjeve</w:t>
      </w:r>
    </w:p>
    <w:p w14:paraId="6EDCFAD9" w14:textId="0E4C2692" w:rsidR="00A9766F" w:rsidRPr="007114AF" w:rsidRDefault="00A9766F" w:rsidP="00351EAC">
      <w:pPr>
        <w:pStyle w:val="TEKSTI"/>
      </w:pPr>
      <w:r w:rsidRPr="007114AF">
        <w:t>KTK-ja</w:t>
      </w:r>
      <w:r w:rsidR="002E116B" w:rsidRPr="007114AF">
        <w:t xml:space="preserve"> </w:t>
      </w:r>
      <w:r w:rsidRPr="007114AF">
        <w:t>– seksioni për analizën e masave zbutëse për Bujqësinë, parashikon një listë konsideratash lidhur me masat që do të zbatohen në sektorin e Bujqësisë dhe LULUCF-së, me synim zbutjen e ndryshimit të klimës përmes reduktimit të shkarkimeve, shtimit të përthithësve dhe shmangies (apo sekuestrimin) e shkarkimeve. Masat e përgjithshme zbutëse të sugjeruara për Bujqësinë dhe LULUCF-ë</w:t>
      </w:r>
      <w:r w:rsidR="002E116B" w:rsidRPr="007114AF">
        <w:t xml:space="preserve"> </w:t>
      </w:r>
      <w:r w:rsidRPr="007114AF">
        <w:t xml:space="preserve">janë: </w:t>
      </w:r>
    </w:p>
    <w:p w14:paraId="6EDCFADA" w14:textId="41A266BD" w:rsidR="00A9766F" w:rsidRPr="007114AF" w:rsidRDefault="00BA14F8" w:rsidP="0018372B">
      <w:pPr>
        <w:pStyle w:val="TEKSTI"/>
      </w:pPr>
      <w:r w:rsidRPr="007114AF">
        <w:t xml:space="preserve">- </w:t>
      </w:r>
      <w:r w:rsidR="00A9766F" w:rsidRPr="007114AF">
        <w:t>Reduktimet në shkarkimet CH</w:t>
      </w:r>
      <w:r w:rsidR="00A9766F" w:rsidRPr="007114AF">
        <w:rPr>
          <w:vertAlign w:val="subscript"/>
        </w:rPr>
        <w:t>4</w:t>
      </w:r>
      <w:r w:rsidR="002E116B" w:rsidRPr="007114AF">
        <w:rPr>
          <w:vertAlign w:val="subscript"/>
        </w:rPr>
        <w:t xml:space="preserve"> </w:t>
      </w:r>
      <w:r w:rsidR="00A9766F" w:rsidRPr="007114AF">
        <w:t>apo N</w:t>
      </w:r>
      <w:r w:rsidR="00A9766F" w:rsidRPr="007114AF">
        <w:rPr>
          <w:vertAlign w:val="subscript"/>
        </w:rPr>
        <w:t>2</w:t>
      </w:r>
      <w:r w:rsidR="00A9766F" w:rsidRPr="007114AF">
        <w:t xml:space="preserve">O nga tokat bujqësore, tokat kullotë dhe bagëtitë </w:t>
      </w:r>
    </w:p>
    <w:p w14:paraId="6EDCFADB" w14:textId="77777777" w:rsidR="00A9766F" w:rsidRPr="007114AF" w:rsidRDefault="00BA14F8" w:rsidP="0018372B">
      <w:pPr>
        <w:pStyle w:val="TEKSTI"/>
      </w:pPr>
      <w:r w:rsidRPr="007114AF">
        <w:t xml:space="preserve">- </w:t>
      </w:r>
      <w:r w:rsidR="00A9766F" w:rsidRPr="007114AF">
        <w:t>Konservimi i stoqeve ekzistuese të karbonit, për shembull, konservimi i biomasës së pyjeve, zonave kënetore dhe karbonit të tokës, që ndryshe do të humbte.</w:t>
      </w:r>
    </w:p>
    <w:p w14:paraId="6EDCFADC" w14:textId="77777777" w:rsidR="00A9766F" w:rsidRPr="007114AF" w:rsidRDefault="00BA14F8" w:rsidP="0018372B">
      <w:pPr>
        <w:pStyle w:val="TEKSTI"/>
      </w:pPr>
      <w:r w:rsidRPr="007114AF">
        <w:t xml:space="preserve">- </w:t>
      </w:r>
      <w:r w:rsidR="00A9766F" w:rsidRPr="007114AF">
        <w:t>Reduktimet e humbjeve të karbonit nga biota dhe dherat, për shembull, përmes ndryshimeve të menaxhimit brenda të njëjtit lloj përdorimi toke (p.sh. duke reduktuar humbjet e karbonit të tokës me kalimin nga lëvrimi në kultivim të thjeshtuar), apo duke reduktuar humbjet e ekosistemeve të pasura me karbon, për shembull, shpyllëzimi i reduktuar, rikthimi i ujit në tokat kënetore të thara.</w:t>
      </w:r>
    </w:p>
    <w:p w14:paraId="6EDCFADD" w14:textId="717BC1A0" w:rsidR="00A9766F" w:rsidRPr="007114AF" w:rsidRDefault="00BA14F8" w:rsidP="0018372B">
      <w:pPr>
        <w:pStyle w:val="TEKSTI"/>
      </w:pPr>
      <w:r w:rsidRPr="007114AF">
        <w:t xml:space="preserve">- </w:t>
      </w:r>
      <w:r w:rsidR="00A9766F" w:rsidRPr="007114AF">
        <w:t xml:space="preserve">Shtimi i izolimit të karbonit në dhera, biota dhe produkte jetëgjata përmes rritjeve në zonën e ekosistemeve të pasura me karbon, si pyjet (pyllëzimi, ripyllëzimi), rritja e rezervave të karbonit </w:t>
      </w:r>
      <w:r w:rsidR="00A9766F" w:rsidRPr="007114AF">
        <w:lastRenderedPageBreak/>
        <w:t>për njësi zone, për shembull, duke rritur densitetin e rezervave në pyje, izolimin e karbonit në dhera, si dhe përdorimin e druve në aktivitete ndërtimi.</w:t>
      </w:r>
    </w:p>
    <w:p w14:paraId="6EDCFADE" w14:textId="77777777" w:rsidR="00A9766F" w:rsidRPr="007114AF" w:rsidRDefault="00BA14F8" w:rsidP="0018372B">
      <w:pPr>
        <w:pStyle w:val="TEKSTI"/>
      </w:pPr>
      <w:r w:rsidRPr="007114AF">
        <w:t xml:space="preserve">- </w:t>
      </w:r>
      <w:r w:rsidR="00A9766F" w:rsidRPr="007114AF">
        <w:t>Sigurimi i produkteve me shkarkime të ulëta GES që mund të zëvendësojnë produktet me shkarkime më të larta GES, për të dhënë të njëjtin shërbim (p.sh</w:t>
      </w:r>
      <w:r w:rsidR="00A9766F" w:rsidRPr="007114AF">
        <w:rPr>
          <w:color w:val="FF0000"/>
        </w:rPr>
        <w:t>.</w:t>
      </w:r>
      <w:r w:rsidR="00A9766F" w:rsidRPr="007114AF">
        <w:t xml:space="preserve"> zëvendësimi i betonit dhe çelikut në ndërtesa me dru dhe disa opsione të bioenergjisë).</w:t>
      </w:r>
    </w:p>
    <w:p w14:paraId="6EDCFADF" w14:textId="77777777" w:rsidR="00A9766F" w:rsidRPr="007114AF" w:rsidRDefault="00BA14F8" w:rsidP="0018372B">
      <w:pPr>
        <w:pStyle w:val="TEKSTI"/>
      </w:pPr>
      <w:r w:rsidRPr="007114AF">
        <w:t xml:space="preserve">- </w:t>
      </w:r>
      <w:r w:rsidR="00A9766F" w:rsidRPr="007114AF">
        <w:t xml:space="preserve">Reduktimet e shkarkimeve të drejtpërdrejta dhe të tërthorta (p.sh. prodhimi i plehrave kimike, përdorimi i energjisë fosile në bujqësi, peshkim, akuakulturë dhe pylltari apo nga prodhimi i inputeve). </w:t>
      </w:r>
    </w:p>
    <w:p w14:paraId="6EDCFAE0" w14:textId="52752897" w:rsidR="00A9766F" w:rsidRPr="007114AF" w:rsidRDefault="00A9766F" w:rsidP="00BA14F8">
      <w:pPr>
        <w:pStyle w:val="TEKSTI"/>
      </w:pPr>
      <w:r w:rsidRPr="007114AF">
        <w:t>Megjithatë, masat zbutëse për bujqësinë, të përfshira në skenarin e masave zbutëse të KTK-ës, lidhen kryesisht me reduktimin e shkarkimeve CH4nga bagëtia, duke marrë parasysh tr</w:t>
      </w:r>
      <w:r w:rsidR="008A0106" w:rsidRPr="007114AF">
        <w:t>i</w:t>
      </w:r>
      <w:r w:rsidRPr="007114AF">
        <w:t xml:space="preserve"> kategori të përgjithshme: i) praktika ushqyerje të përmirësuara</w:t>
      </w:r>
      <w:r w:rsidR="008A0106" w:rsidRPr="007114AF">
        <w:t xml:space="preserve">; </w:t>
      </w:r>
      <w:r w:rsidRPr="007114AF">
        <w:t>ii) përdorimin e agjentëve specifikë apo shtesave dietetike</w:t>
      </w:r>
      <w:r w:rsidR="00022F8B">
        <w:t xml:space="preserve"> </w:t>
      </w:r>
      <w:r w:rsidRPr="007114AF">
        <w:t>dhe</w:t>
      </w:r>
      <w:r w:rsidR="008A0106" w:rsidRPr="007114AF">
        <w:t xml:space="preserve">; </w:t>
      </w:r>
      <w:r w:rsidRPr="007114AF">
        <w:t>iii) ndryshimet afatgjata të menaxhimit dhe mbarështimit të kafshëve. Duke hamendësuar se zbatimi i këtyre masave konkrete kërkon kohë të gjatë, vlerësohet një periudhë kohore prej 40 vjetësh (2010</w:t>
      </w:r>
      <w:r w:rsidR="008A0106" w:rsidRPr="007114AF">
        <w:t>–</w:t>
      </w:r>
      <w:r w:rsidRPr="007114AF">
        <w:t xml:space="preserve">2050), me një rritje vjetore të teknologjisë prej 2.5%. </w:t>
      </w:r>
    </w:p>
    <w:p w14:paraId="6EDCFAE1" w14:textId="77777777" w:rsidR="00A9766F" w:rsidRPr="007114AF" w:rsidRDefault="00A9766F" w:rsidP="0018372B">
      <w:pPr>
        <w:pStyle w:val="TEKSTI"/>
        <w:rPr>
          <w:sz w:val="22"/>
          <w:szCs w:val="22"/>
        </w:rPr>
      </w:pPr>
    </w:p>
    <w:p w14:paraId="6EDCFAE2" w14:textId="77777777" w:rsidR="00A9766F" w:rsidRPr="007114AF" w:rsidRDefault="00A9766F" w:rsidP="00351EAC">
      <w:pPr>
        <w:spacing w:after="200"/>
        <w:jc w:val="center"/>
        <w:rPr>
          <w:rFonts w:ascii="Garamond" w:hAnsi="Garamond"/>
        </w:rPr>
      </w:pPr>
      <w:r w:rsidRPr="007114AF">
        <w:rPr>
          <w:rFonts w:ascii="Garamond" w:hAnsi="Garamond"/>
          <w:lang w:eastAsia="en-US"/>
        </w:rPr>
        <w:t>B</w:t>
      </w:r>
      <w:r w:rsidRPr="007114AF">
        <w:rPr>
          <w:rFonts w:ascii="Garamond" w:hAnsi="Garamond"/>
          <w:noProof/>
          <w:lang w:val="en-US" w:eastAsia="en-US"/>
        </w:rPr>
        <w:drawing>
          <wp:inline distT="0" distB="0" distL="0" distR="0" wp14:anchorId="6EDD17AA" wp14:editId="6EDD17AB">
            <wp:extent cx="5057030" cy="2830664"/>
            <wp:effectExtent l="0" t="0" r="0" b="8255"/>
            <wp:docPr id="21" name="Immagin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061098" cy="2832941"/>
                    </a:xfrm>
                    <a:prstGeom prst="rect">
                      <a:avLst/>
                    </a:prstGeom>
                    <a:noFill/>
                    <a:ln>
                      <a:noFill/>
                    </a:ln>
                  </pic:spPr>
                </pic:pic>
              </a:graphicData>
            </a:graphic>
          </wp:inline>
        </w:drawing>
      </w:r>
    </w:p>
    <w:p w14:paraId="6EDCFAE3" w14:textId="3B443282" w:rsidR="00A9766F" w:rsidRPr="007114AF" w:rsidRDefault="00A9766F" w:rsidP="0018372B">
      <w:pPr>
        <w:pStyle w:val="FIGURA"/>
        <w:rPr>
          <w:rFonts w:cs="Calibri"/>
          <w:color w:val="000000"/>
          <w:sz w:val="20"/>
          <w:szCs w:val="20"/>
        </w:rPr>
      </w:pPr>
      <w:r w:rsidRPr="007114AF">
        <w:rPr>
          <w:sz w:val="20"/>
          <w:szCs w:val="20"/>
        </w:rPr>
        <w:t>Figura</w:t>
      </w:r>
      <w:r w:rsidR="0018372B" w:rsidRPr="007114AF">
        <w:rPr>
          <w:sz w:val="20"/>
          <w:szCs w:val="20"/>
        </w:rPr>
        <w:t xml:space="preserve"> </w:t>
      </w:r>
      <w:r w:rsidRPr="007114AF">
        <w:rPr>
          <w:sz w:val="20"/>
          <w:szCs w:val="20"/>
        </w:rPr>
        <w:fldChar w:fldCharType="begin"/>
      </w:r>
      <w:r w:rsidRPr="007114AF">
        <w:rPr>
          <w:sz w:val="20"/>
          <w:szCs w:val="20"/>
        </w:rPr>
        <w:instrText xml:space="preserve"> SEQ Figure \* ARABIC </w:instrText>
      </w:r>
      <w:r w:rsidRPr="007114AF">
        <w:rPr>
          <w:sz w:val="20"/>
          <w:szCs w:val="20"/>
        </w:rPr>
        <w:fldChar w:fldCharType="separate"/>
      </w:r>
      <w:r w:rsidRPr="007114AF">
        <w:rPr>
          <w:sz w:val="20"/>
          <w:szCs w:val="20"/>
        </w:rPr>
        <w:t>20</w:t>
      </w:r>
      <w:r w:rsidRPr="007114AF">
        <w:rPr>
          <w:sz w:val="20"/>
          <w:szCs w:val="20"/>
        </w:rPr>
        <w:fldChar w:fldCharType="end"/>
      </w:r>
      <w:r w:rsidR="00985E4C" w:rsidRPr="007114AF">
        <w:rPr>
          <w:sz w:val="20"/>
          <w:szCs w:val="20"/>
        </w:rPr>
        <w:t xml:space="preserve"> </w:t>
      </w:r>
      <w:r w:rsidRPr="007114AF">
        <w:rPr>
          <w:sz w:val="20"/>
          <w:szCs w:val="20"/>
        </w:rPr>
        <w:t>–</w:t>
      </w:r>
      <w:r w:rsidR="00985E4C" w:rsidRPr="007114AF">
        <w:rPr>
          <w:sz w:val="20"/>
          <w:szCs w:val="20"/>
        </w:rPr>
        <w:t xml:space="preserve"> </w:t>
      </w:r>
      <w:r w:rsidRPr="007114AF">
        <w:rPr>
          <w:sz w:val="20"/>
          <w:szCs w:val="20"/>
        </w:rPr>
        <w:t>Shkarkimet e parashikuara GES nga bagëtia, 2010-2050, në Gg CO</w:t>
      </w:r>
      <w:r w:rsidRPr="007114AF">
        <w:rPr>
          <w:sz w:val="20"/>
          <w:szCs w:val="20"/>
          <w:vertAlign w:val="subscript"/>
        </w:rPr>
        <w:t>2</w:t>
      </w:r>
      <w:r w:rsidRPr="007114AF">
        <w:rPr>
          <w:sz w:val="20"/>
          <w:szCs w:val="20"/>
        </w:rPr>
        <w:t>eq. Burimi: KTK-ja</w:t>
      </w:r>
    </w:p>
    <w:p w14:paraId="6EDCFAE4" w14:textId="77777777" w:rsidR="00A9766F" w:rsidRPr="007114AF" w:rsidRDefault="00A9766F" w:rsidP="0018372B">
      <w:pPr>
        <w:pStyle w:val="FIGURA"/>
        <w:rPr>
          <w:sz w:val="22"/>
          <w:szCs w:val="22"/>
        </w:rPr>
      </w:pPr>
    </w:p>
    <w:p w14:paraId="6EDCFAE5" w14:textId="77777777" w:rsidR="00A9766F" w:rsidRPr="007114AF" w:rsidRDefault="00A9766F" w:rsidP="009E78A1">
      <w:pPr>
        <w:pStyle w:val="TEKSTI"/>
      </w:pPr>
      <w:r w:rsidRPr="007114AF">
        <w:t>Masat zbutëse për sektorin e pylltarisë të përfshira në skenarin e masave zbutëse të KTK-ës janë:</w:t>
      </w:r>
    </w:p>
    <w:p w14:paraId="6EDCFAE6" w14:textId="11619DD5" w:rsidR="00A9766F" w:rsidRPr="007114AF" w:rsidRDefault="00782894" w:rsidP="009E78A1">
      <w:pPr>
        <w:pStyle w:val="TEKSTI"/>
      </w:pPr>
      <w:r w:rsidRPr="007114AF">
        <w:t xml:space="preserve">- </w:t>
      </w:r>
      <w:r w:rsidR="00A9766F" w:rsidRPr="007114AF">
        <w:t>Përmirësimi i teknologjisë së shfrytëzimit të pyjeve dhe djegies së druve. Përmes kësaj mase, eficienca aktuale e përdorimit të druve pritet të përmirësohet nga 40% në 86% në një periudhë prej 35 vitesh (2015</w:t>
      </w:r>
      <w:r w:rsidR="00985E4C" w:rsidRPr="007114AF">
        <w:t>–</w:t>
      </w:r>
      <w:r w:rsidR="00A9766F" w:rsidRPr="007114AF">
        <w:t xml:space="preserve">2050) me një normë prej 1.3% në vit. </w:t>
      </w:r>
    </w:p>
    <w:p w14:paraId="6EDCFAE7" w14:textId="17A3BD95" w:rsidR="00A9766F" w:rsidRPr="007114AF" w:rsidRDefault="00782894" w:rsidP="009E78A1">
      <w:pPr>
        <w:pStyle w:val="TEKSTI"/>
      </w:pPr>
      <w:r w:rsidRPr="007114AF">
        <w:t xml:space="preserve">- </w:t>
      </w:r>
      <w:r w:rsidR="00A9766F" w:rsidRPr="007114AF">
        <w:t>Rritja e sipërfaqes pyjore. Në mënyrë që të përdoren pyjet në mënyrë të qëndrueshme, duke pasur parasysh rritjen vjetore kombëtare të pyjeve, është me rëndësi të jashtëzakonshme që të investohet në mbjellje të reja pyjesh. Duke pasur parasysh rrethanat aktuale kombëtare të sektorit të pylltarisë, sasia e sipërfaqes pyjore që do të mbillet në vit duhet të jetë 500</w:t>
      </w:r>
      <w:r w:rsidR="00756337" w:rsidRPr="007114AF">
        <w:t>–</w:t>
      </w:r>
      <w:r w:rsidR="00A9766F" w:rsidRPr="007114AF">
        <w:t xml:space="preserve">1000 ha. </w:t>
      </w:r>
    </w:p>
    <w:p w14:paraId="6EDCFAE8" w14:textId="1F61B796" w:rsidR="00A9766F" w:rsidRPr="007114AF" w:rsidRDefault="00A9766F" w:rsidP="009E78A1">
      <w:pPr>
        <w:pStyle w:val="TEKSTI"/>
      </w:pPr>
      <w:r w:rsidRPr="007114AF">
        <w:t>Efektet e balancës GES (CO</w:t>
      </w:r>
      <w:r w:rsidRPr="007114AF">
        <w:rPr>
          <w:vertAlign w:val="subscript"/>
        </w:rPr>
        <w:t>2</w:t>
      </w:r>
      <w:r w:rsidRPr="007114AF">
        <w:t>eq) të zbatimit të masave të propozuara raportohen në figurat e mëposhtme (figurat 23</w:t>
      </w:r>
      <w:r w:rsidR="00756337" w:rsidRPr="007114AF">
        <w:t>–</w:t>
      </w:r>
      <w:r w:rsidRPr="007114AF">
        <w:t xml:space="preserve">24), që tregojnë se masat e skenarit </w:t>
      </w:r>
      <w:r w:rsidR="000A2A01" w:rsidRPr="007114AF">
        <w:t>“</w:t>
      </w:r>
      <w:r w:rsidRPr="007114AF">
        <w:t>me projekt</w:t>
      </w:r>
      <w:r w:rsidR="000A2A01" w:rsidRPr="007114AF">
        <w:t>”</w:t>
      </w:r>
      <w:r w:rsidRPr="007114AF">
        <w:t xml:space="preserve"> e kthejnë sektorin pyjor nga një burim neto në një përthithës neto CO</w:t>
      </w:r>
      <w:r w:rsidRPr="007114AF">
        <w:rPr>
          <w:vertAlign w:val="subscript"/>
        </w:rPr>
        <w:t>2</w:t>
      </w:r>
      <w:r w:rsidRPr="007114AF">
        <w:t>.</w:t>
      </w:r>
    </w:p>
    <w:p w14:paraId="6EDCFAE9" w14:textId="77777777" w:rsidR="00A9766F" w:rsidRPr="007114AF" w:rsidRDefault="00A9766F" w:rsidP="00351EAC">
      <w:pPr>
        <w:pStyle w:val="Default"/>
        <w:keepNext/>
        <w:tabs>
          <w:tab w:val="left" w:pos="2311"/>
        </w:tabs>
        <w:spacing w:after="120"/>
        <w:jc w:val="center"/>
        <w:rPr>
          <w:rFonts w:ascii="Garamond" w:hAnsi="Garamond"/>
          <w:lang w:val="sq-AL"/>
        </w:rPr>
      </w:pPr>
      <w:r w:rsidRPr="007114AF">
        <w:rPr>
          <w:rFonts w:ascii="Garamond" w:hAnsi="Garamond"/>
          <w:noProof/>
          <w:color w:val="auto"/>
          <w:sz w:val="22"/>
          <w:szCs w:val="22"/>
          <w:lang w:val="en-US" w:eastAsia="en-US"/>
        </w:rPr>
        <w:lastRenderedPageBreak/>
        <w:drawing>
          <wp:inline distT="0" distB="0" distL="0" distR="0" wp14:anchorId="6EDD17AC" wp14:editId="6EDD17AD">
            <wp:extent cx="4072255" cy="2158365"/>
            <wp:effectExtent l="0" t="0" r="4445" b="0"/>
            <wp:docPr id="22" name="Immagin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4072255" cy="2158365"/>
                    </a:xfrm>
                    <a:prstGeom prst="rect">
                      <a:avLst/>
                    </a:prstGeom>
                    <a:noFill/>
                    <a:ln>
                      <a:noFill/>
                    </a:ln>
                  </pic:spPr>
                </pic:pic>
              </a:graphicData>
            </a:graphic>
          </wp:inline>
        </w:drawing>
      </w:r>
    </w:p>
    <w:p w14:paraId="3669D360" w14:textId="77777777" w:rsidR="009F3D0C" w:rsidRPr="007114AF" w:rsidRDefault="00A9766F" w:rsidP="009E78A1">
      <w:pPr>
        <w:pStyle w:val="FIGURA"/>
        <w:rPr>
          <w:sz w:val="20"/>
          <w:szCs w:val="20"/>
        </w:rPr>
      </w:pPr>
      <w:r w:rsidRPr="007114AF">
        <w:rPr>
          <w:sz w:val="20"/>
          <w:szCs w:val="20"/>
        </w:rPr>
        <w:t>Figura</w:t>
      </w:r>
      <w:r w:rsidR="009E78A1" w:rsidRPr="007114AF">
        <w:rPr>
          <w:sz w:val="20"/>
          <w:szCs w:val="20"/>
        </w:rPr>
        <w:t xml:space="preserve"> </w:t>
      </w:r>
      <w:r w:rsidRPr="007114AF">
        <w:rPr>
          <w:sz w:val="20"/>
          <w:szCs w:val="20"/>
        </w:rPr>
        <w:fldChar w:fldCharType="begin"/>
      </w:r>
      <w:r w:rsidRPr="007114AF">
        <w:rPr>
          <w:sz w:val="20"/>
          <w:szCs w:val="20"/>
        </w:rPr>
        <w:instrText xml:space="preserve"> SEQ Figure \* ARABIC </w:instrText>
      </w:r>
      <w:r w:rsidRPr="007114AF">
        <w:rPr>
          <w:sz w:val="20"/>
          <w:szCs w:val="20"/>
        </w:rPr>
        <w:fldChar w:fldCharType="separate"/>
      </w:r>
      <w:r w:rsidRPr="007114AF">
        <w:rPr>
          <w:sz w:val="20"/>
          <w:szCs w:val="20"/>
        </w:rPr>
        <w:t>21</w:t>
      </w:r>
      <w:r w:rsidRPr="007114AF">
        <w:rPr>
          <w:sz w:val="20"/>
          <w:szCs w:val="20"/>
        </w:rPr>
        <w:fldChar w:fldCharType="end"/>
      </w:r>
      <w:r w:rsidR="009F3D0C" w:rsidRPr="007114AF">
        <w:rPr>
          <w:sz w:val="20"/>
          <w:szCs w:val="20"/>
        </w:rPr>
        <w:t xml:space="preserve"> </w:t>
      </w:r>
      <w:r w:rsidRPr="007114AF">
        <w:rPr>
          <w:sz w:val="20"/>
          <w:szCs w:val="20"/>
        </w:rPr>
        <w:t>–</w:t>
      </w:r>
      <w:r w:rsidR="009F3D0C" w:rsidRPr="007114AF">
        <w:rPr>
          <w:sz w:val="20"/>
          <w:szCs w:val="20"/>
        </w:rPr>
        <w:t xml:space="preserve"> </w:t>
      </w:r>
      <w:r w:rsidRPr="007114AF">
        <w:rPr>
          <w:sz w:val="20"/>
          <w:szCs w:val="20"/>
        </w:rPr>
        <w:t>Shkarkimet CO</w:t>
      </w:r>
      <w:r w:rsidRPr="007114AF">
        <w:rPr>
          <w:sz w:val="20"/>
          <w:szCs w:val="20"/>
          <w:vertAlign w:val="subscript"/>
        </w:rPr>
        <w:t>2</w:t>
      </w:r>
      <w:r w:rsidR="009F3D0C" w:rsidRPr="007114AF">
        <w:rPr>
          <w:sz w:val="20"/>
          <w:szCs w:val="20"/>
          <w:vertAlign w:val="subscript"/>
        </w:rPr>
        <w:t xml:space="preserve"> </w:t>
      </w:r>
      <w:r w:rsidRPr="007114AF">
        <w:rPr>
          <w:sz w:val="20"/>
          <w:szCs w:val="20"/>
        </w:rPr>
        <w:t>për periudhën 2015</w:t>
      </w:r>
      <w:r w:rsidR="009F3D0C" w:rsidRPr="007114AF">
        <w:t>–</w:t>
      </w:r>
      <w:r w:rsidRPr="007114AF">
        <w:rPr>
          <w:sz w:val="20"/>
          <w:szCs w:val="20"/>
        </w:rPr>
        <w:t xml:space="preserve">2050 në Kt, pa projekt dhe me projekt </w:t>
      </w:r>
    </w:p>
    <w:p w14:paraId="6EDCFAEA" w14:textId="14DECBAA" w:rsidR="00A9766F" w:rsidRPr="007114AF" w:rsidRDefault="00A9766F" w:rsidP="009E78A1">
      <w:pPr>
        <w:pStyle w:val="FIGURA"/>
        <w:rPr>
          <w:sz w:val="20"/>
          <w:szCs w:val="20"/>
        </w:rPr>
      </w:pPr>
      <w:r w:rsidRPr="007114AF">
        <w:rPr>
          <w:sz w:val="20"/>
          <w:szCs w:val="20"/>
        </w:rPr>
        <w:t>për pyllëzimin e 1000 ha/vit. Burimi: KTK-ja</w:t>
      </w:r>
    </w:p>
    <w:p w14:paraId="6EDCFAEB" w14:textId="77777777" w:rsidR="00A9766F" w:rsidRPr="007114AF" w:rsidRDefault="00A9766F" w:rsidP="00A9766F">
      <w:pPr>
        <w:pStyle w:val="Default"/>
        <w:tabs>
          <w:tab w:val="left" w:pos="2311"/>
        </w:tabs>
        <w:spacing w:after="120"/>
        <w:jc w:val="both"/>
        <w:rPr>
          <w:rFonts w:ascii="Garamond" w:hAnsi="Garamond"/>
          <w:color w:val="auto"/>
          <w:sz w:val="22"/>
          <w:szCs w:val="22"/>
          <w:lang w:val="sq-AL"/>
        </w:rPr>
      </w:pPr>
    </w:p>
    <w:p w14:paraId="6EDCFAEC" w14:textId="77777777" w:rsidR="00A9766F" w:rsidRPr="007114AF" w:rsidRDefault="00A9766F" w:rsidP="00351EAC">
      <w:pPr>
        <w:pStyle w:val="Default"/>
        <w:keepNext/>
        <w:tabs>
          <w:tab w:val="left" w:pos="2311"/>
        </w:tabs>
        <w:spacing w:after="120"/>
        <w:jc w:val="center"/>
        <w:rPr>
          <w:rFonts w:ascii="Garamond" w:hAnsi="Garamond"/>
          <w:lang w:val="sq-AL"/>
        </w:rPr>
      </w:pPr>
      <w:r w:rsidRPr="007114AF">
        <w:rPr>
          <w:rFonts w:ascii="Garamond" w:hAnsi="Garamond"/>
          <w:noProof/>
          <w:color w:val="auto"/>
          <w:sz w:val="22"/>
          <w:szCs w:val="22"/>
          <w:lang w:val="en-US" w:eastAsia="en-US"/>
        </w:rPr>
        <w:drawing>
          <wp:inline distT="0" distB="0" distL="0" distR="0" wp14:anchorId="6EDD17AE" wp14:editId="6EDD17AF">
            <wp:extent cx="4029710" cy="2147570"/>
            <wp:effectExtent l="0" t="0" r="8890" b="5080"/>
            <wp:docPr id="23" name="Immagin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4029710" cy="2147570"/>
                    </a:xfrm>
                    <a:prstGeom prst="rect">
                      <a:avLst/>
                    </a:prstGeom>
                    <a:noFill/>
                    <a:ln>
                      <a:noFill/>
                    </a:ln>
                  </pic:spPr>
                </pic:pic>
              </a:graphicData>
            </a:graphic>
          </wp:inline>
        </w:drawing>
      </w:r>
    </w:p>
    <w:p w14:paraId="4237FEAB" w14:textId="5ED17B02" w:rsidR="009F3D0C" w:rsidRPr="007114AF" w:rsidRDefault="00A9766F" w:rsidP="009E78A1">
      <w:pPr>
        <w:pStyle w:val="FIGURA"/>
        <w:rPr>
          <w:sz w:val="20"/>
          <w:szCs w:val="20"/>
        </w:rPr>
      </w:pPr>
      <w:r w:rsidRPr="007114AF">
        <w:rPr>
          <w:sz w:val="20"/>
          <w:szCs w:val="20"/>
        </w:rPr>
        <w:t>Figura</w:t>
      </w:r>
      <w:r w:rsidR="009E78A1" w:rsidRPr="007114AF">
        <w:rPr>
          <w:sz w:val="20"/>
          <w:szCs w:val="20"/>
        </w:rPr>
        <w:t xml:space="preserve"> </w:t>
      </w:r>
      <w:r w:rsidRPr="007114AF">
        <w:rPr>
          <w:sz w:val="20"/>
          <w:szCs w:val="20"/>
        </w:rPr>
        <w:fldChar w:fldCharType="begin"/>
      </w:r>
      <w:r w:rsidRPr="007114AF">
        <w:rPr>
          <w:sz w:val="20"/>
          <w:szCs w:val="20"/>
        </w:rPr>
        <w:instrText xml:space="preserve"> SEQ Figure \* ARABIC </w:instrText>
      </w:r>
      <w:r w:rsidRPr="007114AF">
        <w:rPr>
          <w:sz w:val="20"/>
          <w:szCs w:val="20"/>
        </w:rPr>
        <w:fldChar w:fldCharType="separate"/>
      </w:r>
      <w:r w:rsidRPr="007114AF">
        <w:rPr>
          <w:sz w:val="20"/>
          <w:szCs w:val="20"/>
        </w:rPr>
        <w:t>22</w:t>
      </w:r>
      <w:r w:rsidRPr="007114AF">
        <w:rPr>
          <w:sz w:val="20"/>
          <w:szCs w:val="20"/>
        </w:rPr>
        <w:fldChar w:fldCharType="end"/>
      </w:r>
      <w:r w:rsidRPr="007114AF">
        <w:rPr>
          <w:sz w:val="20"/>
          <w:szCs w:val="20"/>
        </w:rPr>
        <w:t>–Shkarkimet CO</w:t>
      </w:r>
      <w:r w:rsidRPr="007114AF">
        <w:rPr>
          <w:sz w:val="20"/>
          <w:szCs w:val="20"/>
          <w:vertAlign w:val="subscript"/>
        </w:rPr>
        <w:t>2</w:t>
      </w:r>
      <w:r w:rsidR="00022F8B">
        <w:rPr>
          <w:sz w:val="20"/>
          <w:szCs w:val="20"/>
          <w:vertAlign w:val="subscript"/>
        </w:rPr>
        <w:t xml:space="preserve"> </w:t>
      </w:r>
      <w:r w:rsidRPr="007114AF">
        <w:rPr>
          <w:sz w:val="20"/>
          <w:szCs w:val="20"/>
        </w:rPr>
        <w:t>për periudhën 2015</w:t>
      </w:r>
      <w:r w:rsidR="00022F8B">
        <w:t>–</w:t>
      </w:r>
      <w:r w:rsidRPr="007114AF">
        <w:rPr>
          <w:sz w:val="20"/>
          <w:szCs w:val="20"/>
        </w:rPr>
        <w:t xml:space="preserve">2050 në Kt, pa projekt dhe me projekt </w:t>
      </w:r>
    </w:p>
    <w:p w14:paraId="6EDCFAED" w14:textId="7931ABA7" w:rsidR="00A9766F" w:rsidRPr="007114AF" w:rsidRDefault="00A9766F" w:rsidP="009E78A1">
      <w:pPr>
        <w:pStyle w:val="FIGURA"/>
        <w:rPr>
          <w:sz w:val="20"/>
          <w:szCs w:val="20"/>
        </w:rPr>
      </w:pPr>
      <w:r w:rsidRPr="007114AF">
        <w:rPr>
          <w:sz w:val="20"/>
          <w:szCs w:val="20"/>
        </w:rPr>
        <w:t>për pyllëzimin e 500 ha/vit. Burimi: Draft KTK-ja</w:t>
      </w:r>
    </w:p>
    <w:p w14:paraId="6EDCFAEE" w14:textId="77777777" w:rsidR="00A9766F" w:rsidRPr="007114AF" w:rsidRDefault="00A9766F" w:rsidP="00A9766F">
      <w:pPr>
        <w:pStyle w:val="Default"/>
        <w:spacing w:after="120"/>
        <w:jc w:val="both"/>
        <w:rPr>
          <w:rFonts w:ascii="Garamond" w:hAnsi="Garamond"/>
          <w:b/>
          <w:color w:val="auto"/>
          <w:sz w:val="20"/>
          <w:szCs w:val="20"/>
          <w:lang w:val="sq-AL"/>
        </w:rPr>
      </w:pPr>
    </w:p>
    <w:p w14:paraId="6EDCFAEF" w14:textId="77777777" w:rsidR="00A9766F" w:rsidRPr="007114AF" w:rsidRDefault="00351EAC" w:rsidP="00351EAC">
      <w:pPr>
        <w:pStyle w:val="TEKSTI"/>
      </w:pPr>
      <w:bookmarkStart w:id="78" w:name="_Toc449537135"/>
      <w:r w:rsidRPr="007114AF">
        <w:t xml:space="preserve">2.7.2.2 </w:t>
      </w:r>
      <w:r w:rsidR="00A9766F" w:rsidRPr="007114AF">
        <w:t xml:space="preserve">Parashikimet në kontributin e synuar të përcaktuar në nivel kombëtar </w:t>
      </w:r>
      <w:bookmarkEnd w:id="78"/>
    </w:p>
    <w:p w14:paraId="6EDCFAF0" w14:textId="78E61623" w:rsidR="00A9766F" w:rsidRPr="007114AF" w:rsidRDefault="00A9766F" w:rsidP="00351EAC">
      <w:pPr>
        <w:pStyle w:val="TEKSTI"/>
        <w:rPr>
          <w:b/>
          <w:i/>
          <w:lang w:eastAsia="en-US"/>
        </w:rPr>
      </w:pPr>
      <w:r w:rsidRPr="007114AF">
        <w:t>Sipas INDC-ës, është parashikuar një skenar bazë i shkarkimeve GES</w:t>
      </w:r>
      <w:r w:rsidR="00CA0B80">
        <w:t xml:space="preserve"> </w:t>
      </w:r>
      <w:r w:rsidRPr="007114AF">
        <w:t xml:space="preserve">deri në vitin 2030,duke nisur në 2012 si vit bazë, dhe duke përdorur modelin </w:t>
      </w:r>
      <w:r w:rsidR="000A2A01" w:rsidRPr="007114AF">
        <w:t>“</w:t>
      </w:r>
      <w:r w:rsidRPr="007114AF">
        <w:t>PRIMES</w:t>
      </w:r>
      <w:r w:rsidR="000A2A01" w:rsidRPr="007114AF">
        <w:t>”</w:t>
      </w:r>
      <w:r w:rsidR="00CA0B80">
        <w:t xml:space="preserve"> </w:t>
      </w:r>
      <w:r w:rsidRPr="007114AF">
        <w:t xml:space="preserve">për parashikimet e intensitetit të energjisë dhe nivelet e aktivitetit, si dhe modele të tjera sektoriale (në veçanti modelet SLED të energjisë elektrike dhe ndërtimit dhe modelin UNDP LEAP ), të dhëna nga AKBN-ja dhe INSTAT-i. </w:t>
      </w:r>
    </w:p>
    <w:p w14:paraId="6EDCFAF1" w14:textId="589F6F80" w:rsidR="00A9766F" w:rsidRPr="007114AF" w:rsidRDefault="00A9766F" w:rsidP="00351EAC">
      <w:pPr>
        <w:pStyle w:val="TEKSTI"/>
      </w:pPr>
      <w:r w:rsidRPr="007114AF">
        <w:t>Në mënyrë ideale e gjithë ekonomia duhet mbuluar nga parashikimet e raportuara në INDC-ë, por dy aspekte duhen konsideruar me kujdes,</w:t>
      </w:r>
      <w:r w:rsidR="00CA0B80">
        <w:t xml:space="preserve"> </w:t>
      </w:r>
      <w:r w:rsidRPr="007114AF">
        <w:t>ndërsa dëshirohet një mbulim sa më gjithëpërfshirës i sektorëve, mungesa e të dhënave të disponueshme apo cilësisë së të dhënave në disa sektorë, mund ta kufizojë atë çka mund të mbulohet. Për këto arsye, sipas dokumentit teknik bazë INDC-ë,</w:t>
      </w:r>
      <w:r w:rsidR="00CA0B80">
        <w:t xml:space="preserve"> </w:t>
      </w:r>
      <w:r w:rsidRPr="007114AF">
        <w:t xml:space="preserve">të miratuar nga qeveria shqiptare në shtator 2015, të dhënat e disponueshme dhe kufizimet e cilësisë së të dhënave janë menaxhuar me dy kufizime: </w:t>
      </w:r>
    </w:p>
    <w:p w14:paraId="6EDCFAF2" w14:textId="2DEC2DA2" w:rsidR="00A9766F" w:rsidRPr="007114AF" w:rsidRDefault="00782894" w:rsidP="00351EAC">
      <w:pPr>
        <w:pStyle w:val="TEKSTI"/>
      </w:pPr>
      <w:r w:rsidRPr="007114AF">
        <w:t xml:space="preserve">- </w:t>
      </w:r>
      <w:r w:rsidR="00A9766F" w:rsidRPr="007114AF">
        <w:t>Duke mos përfshirë sektorin LULUCF-ës, duke qenë se inventari shqiptar GES –që aktualisht përmbledh pesë sektorë kryesorë: energjinë, proceset industriale, bujqësinë, ndryshimin në përdorimin e tokës dhe pylltarinë, si dhe mbetjet –përmban një pasiguri të madhe të përthithjes që lidhen me LULUCF-në. Megjithatë, qeveria shqiptare ka rezervuar të drejtën ta përfshijë pylltarinë në INDC-ë</w:t>
      </w:r>
      <w:r w:rsidR="00CA0B80">
        <w:t xml:space="preserve"> </w:t>
      </w:r>
      <w:r w:rsidR="00A9766F" w:rsidRPr="007114AF">
        <w:t xml:space="preserve">në të ardhmen, por para fillimit të </w:t>
      </w:r>
      <w:r w:rsidR="000A2A01" w:rsidRPr="007114AF">
        <w:t>“</w:t>
      </w:r>
      <w:r w:rsidR="00A9766F" w:rsidRPr="007114AF">
        <w:t>periudhës së parashikuar të angazhimit</w:t>
      </w:r>
      <w:r w:rsidR="000A2A01" w:rsidRPr="007114AF">
        <w:t>”</w:t>
      </w:r>
      <w:r w:rsidR="00A9766F" w:rsidRPr="007114AF">
        <w:t>, 2020.</w:t>
      </w:r>
    </w:p>
    <w:p w14:paraId="6EDCFAF3" w14:textId="77777777" w:rsidR="00A9766F" w:rsidRPr="007114AF" w:rsidRDefault="00782894" w:rsidP="00351EAC">
      <w:pPr>
        <w:pStyle w:val="TEKSTI"/>
      </w:pPr>
      <w:r w:rsidRPr="007114AF">
        <w:lastRenderedPageBreak/>
        <w:t xml:space="preserve">- </w:t>
      </w:r>
      <w:r w:rsidR="00A9766F" w:rsidRPr="007114AF">
        <w:t>Duke mos përfshirë GES-in përveç CO</w:t>
      </w:r>
      <w:r w:rsidR="00A9766F" w:rsidRPr="007114AF">
        <w:rPr>
          <w:vertAlign w:val="subscript"/>
        </w:rPr>
        <w:t>2</w:t>
      </w:r>
      <w:r w:rsidR="00A9766F" w:rsidRPr="007114AF">
        <w:t>. Në fakt, inventari i gazeve serrë të Shqipërisë, ka seri kohore të plotë deri në vitin 2000, dhe inventari i të dhënave u vu në dispozicion për vitet 2005 dhe 2009 si pjesë e Komunikimit të Tretë Kombëtar. Duke mos i pasur seritë kohore deri në vitin 2012 dhe duke pasur një pasiguri të lartë relative të raportimit të gazeve të tjerë përveç CO</w:t>
      </w:r>
      <w:r w:rsidR="00A9766F" w:rsidRPr="007114AF">
        <w:rPr>
          <w:vertAlign w:val="subscript"/>
        </w:rPr>
        <w:t>2</w:t>
      </w:r>
      <w:r w:rsidR="00A9766F" w:rsidRPr="007114AF">
        <w:t>, Shqipëria zgjodhi vetëm CO</w:t>
      </w:r>
      <w:r w:rsidR="00A9766F" w:rsidRPr="007114AF">
        <w:rPr>
          <w:vertAlign w:val="subscript"/>
        </w:rPr>
        <w:t>2</w:t>
      </w:r>
      <w:r w:rsidR="00A9766F" w:rsidRPr="007114AF">
        <w:t>si gazi ku shprehet INDC-ja e saj. Megjithatë, Shqipëria njoftoi synimin për ta shtrirë INDC-nënë gaze të tjerë në një stad të mëvonshëm, sapo cilësia e të dhënave të përmirësohet. Kjo do të përjashtonte automatikisht bujqësinë dhe mbetjet, meqë inventari nuk përmban shkarkime të lidhura me GES-in, lidhur me bujqësinë dhe mbetjet.</w:t>
      </w:r>
    </w:p>
    <w:p w14:paraId="6EDCFAF4" w14:textId="45AD54E4" w:rsidR="00A9766F" w:rsidRPr="007114AF" w:rsidRDefault="00782894" w:rsidP="00351EAC">
      <w:pPr>
        <w:pStyle w:val="TEKSTI"/>
      </w:pPr>
      <w:r w:rsidRPr="007114AF">
        <w:t xml:space="preserve">- </w:t>
      </w:r>
      <w:r w:rsidR="00A9766F" w:rsidRPr="007114AF">
        <w:t>Duke përjashtuar LULUCF-në</w:t>
      </w:r>
      <w:r w:rsidR="00CA0B80">
        <w:t xml:space="preserve"> </w:t>
      </w:r>
      <w:r w:rsidR="00A9766F" w:rsidRPr="007114AF">
        <w:t>dhe gaze të tjera përveç CO</w:t>
      </w:r>
      <w:r w:rsidR="00A9766F" w:rsidRPr="007114AF">
        <w:rPr>
          <w:vertAlign w:val="subscript"/>
        </w:rPr>
        <w:t>2</w:t>
      </w:r>
      <w:r w:rsidR="00A9766F" w:rsidRPr="007114AF">
        <w:t>, shkarkimet GES të mbuluara nga parashikimet e INDC-ës</w:t>
      </w:r>
      <w:r w:rsidR="00CA0B80">
        <w:t xml:space="preserve"> </w:t>
      </w:r>
      <w:r w:rsidR="00A9766F" w:rsidRPr="007114AF">
        <w:t xml:space="preserve">shqiptare, për momentin kufizohen me </w:t>
      </w:r>
      <w:r w:rsidR="00A9766F" w:rsidRPr="007114AF">
        <w:rPr>
          <w:b/>
        </w:rPr>
        <w:t>sektorët që lidhen me energjinë, përfshirë transportin dhe proceset industriale</w:t>
      </w:r>
      <w:r w:rsidR="00A9766F" w:rsidRPr="007114AF">
        <w:t>,</w:t>
      </w:r>
      <w:r w:rsidR="00CA0B80">
        <w:t xml:space="preserve"> </w:t>
      </w:r>
      <w:r w:rsidR="00A9766F" w:rsidRPr="007114AF">
        <w:t>që së bashku mbulojnë më pak se 60% të shkarkimeve totale GES në inventar. Kjo mund të përfaqësojë një kufizim serioz, edhe nëse përfshirja e LULUCF-ës</w:t>
      </w:r>
      <w:r w:rsidR="00CA0B80">
        <w:t xml:space="preserve"> </w:t>
      </w:r>
      <w:r w:rsidR="00A9766F" w:rsidRPr="007114AF">
        <w:t>dhe gazeve të tjerë jo-CO</w:t>
      </w:r>
      <w:r w:rsidR="00A9766F" w:rsidRPr="007114AF">
        <w:rPr>
          <w:vertAlign w:val="subscript"/>
        </w:rPr>
        <w:t>2</w:t>
      </w:r>
      <w:r w:rsidR="00A9766F" w:rsidRPr="007114AF">
        <w:t>do të sillnin pasiguri të madhe. Megjithatë, Shqipëria me gjasë do ta shtrijë INDC-nënë sektorë të tjerë ekonomikë dhe gaze serrë para vitit 2020, nëse cilësia e të dhënave dhe disponueshmëria përmirësohen.</w:t>
      </w:r>
    </w:p>
    <w:p w14:paraId="6EDCFAF5" w14:textId="77777777" w:rsidR="00A9766F" w:rsidRPr="007114AF" w:rsidRDefault="00A9766F" w:rsidP="00351EAC">
      <w:pPr>
        <w:pStyle w:val="TEKSTI"/>
      </w:pPr>
      <w:r w:rsidRPr="007114AF">
        <w:t>Tabela 8 raporton shkarkimet totale CO</w:t>
      </w:r>
      <w:r w:rsidRPr="007114AF">
        <w:rPr>
          <w:vertAlign w:val="subscript"/>
        </w:rPr>
        <w:t>2</w:t>
      </w:r>
      <w:r w:rsidRPr="007114AF">
        <w:t>nga nënsektorët që lidhen me energjinë, me shkarkime gati zero CO</w:t>
      </w:r>
      <w:r w:rsidRPr="007114AF">
        <w:rPr>
          <w:vertAlign w:val="subscript"/>
        </w:rPr>
        <w:t>2</w:t>
      </w:r>
      <w:r w:rsidRPr="007114AF">
        <w:t xml:space="preserve">, lidhur me sektorin e energjisë. </w:t>
      </w:r>
    </w:p>
    <w:p w14:paraId="259E787C" w14:textId="77777777" w:rsidR="00CA0B80" w:rsidRDefault="00CA0B80" w:rsidP="00782894">
      <w:pPr>
        <w:pStyle w:val="FIGURA"/>
        <w:rPr>
          <w:sz w:val="20"/>
          <w:szCs w:val="20"/>
        </w:rPr>
      </w:pPr>
    </w:p>
    <w:p w14:paraId="6EDCFAF7" w14:textId="2F178DF8" w:rsidR="00A9766F" w:rsidRPr="007114AF" w:rsidRDefault="00A9766F" w:rsidP="00782894">
      <w:pPr>
        <w:pStyle w:val="FIGURA"/>
        <w:rPr>
          <w:sz w:val="20"/>
          <w:szCs w:val="20"/>
        </w:rPr>
      </w:pPr>
      <w:r w:rsidRPr="007114AF">
        <w:rPr>
          <w:sz w:val="20"/>
          <w:szCs w:val="20"/>
        </w:rPr>
        <w:t>Tabela</w:t>
      </w:r>
      <w:r w:rsidR="00782894" w:rsidRPr="007114AF">
        <w:rPr>
          <w:sz w:val="20"/>
          <w:szCs w:val="20"/>
        </w:rPr>
        <w:t xml:space="preserve"> </w:t>
      </w:r>
      <w:r w:rsidRPr="007114AF">
        <w:rPr>
          <w:sz w:val="20"/>
          <w:szCs w:val="20"/>
        </w:rPr>
        <w:fldChar w:fldCharType="begin"/>
      </w:r>
      <w:r w:rsidRPr="007114AF">
        <w:rPr>
          <w:sz w:val="20"/>
          <w:szCs w:val="20"/>
        </w:rPr>
        <w:instrText xml:space="preserve"> SEQ Table \* ARABIC </w:instrText>
      </w:r>
      <w:r w:rsidRPr="007114AF">
        <w:rPr>
          <w:sz w:val="20"/>
          <w:szCs w:val="20"/>
        </w:rPr>
        <w:fldChar w:fldCharType="separate"/>
      </w:r>
      <w:r w:rsidRPr="007114AF">
        <w:rPr>
          <w:sz w:val="20"/>
          <w:szCs w:val="20"/>
        </w:rPr>
        <w:t>8</w:t>
      </w:r>
      <w:r w:rsidRPr="007114AF">
        <w:rPr>
          <w:sz w:val="20"/>
          <w:szCs w:val="20"/>
        </w:rPr>
        <w:fldChar w:fldCharType="end"/>
      </w:r>
      <w:r w:rsidR="00CA0B80">
        <w:rPr>
          <w:sz w:val="20"/>
          <w:szCs w:val="20"/>
        </w:rPr>
        <w:t xml:space="preserve"> </w:t>
      </w:r>
      <w:r w:rsidRPr="007114AF">
        <w:rPr>
          <w:sz w:val="20"/>
          <w:szCs w:val="20"/>
        </w:rPr>
        <w:t>–</w:t>
      </w:r>
      <w:r w:rsidR="00CA0B80">
        <w:rPr>
          <w:sz w:val="20"/>
          <w:szCs w:val="20"/>
        </w:rPr>
        <w:t xml:space="preserve"> </w:t>
      </w:r>
      <w:r w:rsidRPr="007114AF">
        <w:rPr>
          <w:sz w:val="20"/>
          <w:szCs w:val="20"/>
        </w:rPr>
        <w:t>Shkarkimet totale CO</w:t>
      </w:r>
      <w:r w:rsidRPr="007114AF">
        <w:rPr>
          <w:sz w:val="20"/>
          <w:szCs w:val="20"/>
          <w:vertAlign w:val="subscript"/>
        </w:rPr>
        <w:t>2</w:t>
      </w:r>
      <w:r w:rsidRPr="007114AF">
        <w:rPr>
          <w:sz w:val="20"/>
          <w:szCs w:val="20"/>
        </w:rPr>
        <w:t xml:space="preserve"> (Gg CO</w:t>
      </w:r>
      <w:r w:rsidRPr="007114AF">
        <w:rPr>
          <w:sz w:val="20"/>
          <w:szCs w:val="20"/>
          <w:vertAlign w:val="subscript"/>
        </w:rPr>
        <w:t>2</w:t>
      </w:r>
      <w:r w:rsidRPr="007114AF">
        <w:rPr>
          <w:sz w:val="20"/>
          <w:szCs w:val="20"/>
        </w:rPr>
        <w:t>), jobiogjenike (Burimi: INDC2015)</w:t>
      </w:r>
    </w:p>
    <w:p w14:paraId="6EDCFAF8" w14:textId="77777777" w:rsidR="00782894" w:rsidRPr="007114AF" w:rsidRDefault="00782894" w:rsidP="00782894">
      <w:pPr>
        <w:pStyle w:val="FIGURA"/>
        <w:rPr>
          <w:sz w:val="20"/>
          <w:szCs w:val="20"/>
        </w:rPr>
      </w:pPr>
    </w:p>
    <w:tbl>
      <w:tblPr>
        <w:tblStyle w:val="GridTable6Colorful-Accent11"/>
        <w:tblW w:w="9513" w:type="dxa"/>
        <w:tblLayout w:type="fixed"/>
        <w:tblLook w:val="04A0" w:firstRow="1" w:lastRow="0" w:firstColumn="1" w:lastColumn="0" w:noHBand="0" w:noVBand="1"/>
      </w:tblPr>
      <w:tblGrid>
        <w:gridCol w:w="2850"/>
        <w:gridCol w:w="1332"/>
        <w:gridCol w:w="1333"/>
        <w:gridCol w:w="1332"/>
        <w:gridCol w:w="1333"/>
        <w:gridCol w:w="1333"/>
      </w:tblGrid>
      <w:tr w:rsidR="00A9766F" w:rsidRPr="007114AF" w14:paraId="6EDCFAFF" w14:textId="77777777" w:rsidTr="00A9766F">
        <w:trPr>
          <w:cnfStyle w:val="100000000000" w:firstRow="1" w:lastRow="0" w:firstColumn="0" w:lastColumn="0" w:oddVBand="0" w:evenVBand="0" w:oddHBand="0"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2850" w:type="dxa"/>
            <w:noWrap/>
            <w:vAlign w:val="center"/>
            <w:hideMark/>
          </w:tcPr>
          <w:p w14:paraId="6EDCFAF9" w14:textId="77777777" w:rsidR="00A9766F" w:rsidRPr="007114AF" w:rsidRDefault="00A9766F" w:rsidP="00A9766F">
            <w:pPr>
              <w:rPr>
                <w:rFonts w:ascii="Garamond" w:hAnsi="Garamond"/>
                <w:i/>
                <w:sz w:val="18"/>
                <w:szCs w:val="18"/>
              </w:rPr>
            </w:pPr>
            <w:r w:rsidRPr="007114AF">
              <w:rPr>
                <w:rFonts w:ascii="Garamond" w:hAnsi="Garamond"/>
                <w:sz w:val="18"/>
                <w:szCs w:val="18"/>
              </w:rPr>
              <w:t>Sektori</w:t>
            </w:r>
          </w:p>
        </w:tc>
        <w:tc>
          <w:tcPr>
            <w:tcW w:w="1332" w:type="dxa"/>
            <w:noWrap/>
            <w:vAlign w:val="center"/>
            <w:hideMark/>
          </w:tcPr>
          <w:p w14:paraId="6EDCFAFA" w14:textId="77777777" w:rsidR="00A9766F" w:rsidRPr="007114AF" w:rsidRDefault="00A9766F" w:rsidP="00A9766F">
            <w:pPr>
              <w:cnfStyle w:val="100000000000" w:firstRow="1" w:lastRow="0" w:firstColumn="0" w:lastColumn="0" w:oddVBand="0" w:evenVBand="0" w:oddHBand="0" w:evenHBand="0" w:firstRowFirstColumn="0" w:firstRowLastColumn="0" w:lastRowFirstColumn="0" w:lastRowLastColumn="0"/>
              <w:rPr>
                <w:rFonts w:ascii="Garamond" w:hAnsi="Garamond"/>
                <w:i/>
                <w:sz w:val="18"/>
                <w:szCs w:val="18"/>
              </w:rPr>
            </w:pPr>
            <w:r w:rsidRPr="007114AF">
              <w:rPr>
                <w:rFonts w:ascii="Garamond" w:hAnsi="Garamond"/>
                <w:sz w:val="18"/>
                <w:szCs w:val="18"/>
              </w:rPr>
              <w:t>2012</w:t>
            </w:r>
          </w:p>
        </w:tc>
        <w:tc>
          <w:tcPr>
            <w:tcW w:w="1333" w:type="dxa"/>
            <w:noWrap/>
            <w:vAlign w:val="center"/>
            <w:hideMark/>
          </w:tcPr>
          <w:p w14:paraId="6EDCFAFB" w14:textId="77777777" w:rsidR="00A9766F" w:rsidRPr="007114AF" w:rsidRDefault="00A9766F" w:rsidP="00A9766F">
            <w:pPr>
              <w:cnfStyle w:val="100000000000" w:firstRow="1" w:lastRow="0" w:firstColumn="0" w:lastColumn="0" w:oddVBand="0" w:evenVBand="0" w:oddHBand="0" w:evenHBand="0" w:firstRowFirstColumn="0" w:firstRowLastColumn="0" w:lastRowFirstColumn="0" w:lastRowLastColumn="0"/>
              <w:rPr>
                <w:rFonts w:ascii="Garamond" w:hAnsi="Garamond"/>
                <w:i/>
                <w:sz w:val="18"/>
                <w:szCs w:val="18"/>
              </w:rPr>
            </w:pPr>
            <w:r w:rsidRPr="007114AF">
              <w:rPr>
                <w:rFonts w:ascii="Garamond" w:hAnsi="Garamond"/>
                <w:sz w:val="18"/>
                <w:szCs w:val="18"/>
              </w:rPr>
              <w:t>2015</w:t>
            </w:r>
          </w:p>
        </w:tc>
        <w:tc>
          <w:tcPr>
            <w:tcW w:w="1332" w:type="dxa"/>
            <w:noWrap/>
            <w:vAlign w:val="center"/>
            <w:hideMark/>
          </w:tcPr>
          <w:p w14:paraId="6EDCFAFC" w14:textId="77777777" w:rsidR="00A9766F" w:rsidRPr="007114AF" w:rsidRDefault="00A9766F" w:rsidP="00A9766F">
            <w:pPr>
              <w:cnfStyle w:val="100000000000" w:firstRow="1" w:lastRow="0" w:firstColumn="0" w:lastColumn="0" w:oddVBand="0" w:evenVBand="0" w:oddHBand="0" w:evenHBand="0" w:firstRowFirstColumn="0" w:firstRowLastColumn="0" w:lastRowFirstColumn="0" w:lastRowLastColumn="0"/>
              <w:rPr>
                <w:rFonts w:ascii="Garamond" w:hAnsi="Garamond"/>
                <w:i/>
                <w:sz w:val="18"/>
                <w:szCs w:val="18"/>
              </w:rPr>
            </w:pPr>
            <w:r w:rsidRPr="007114AF">
              <w:rPr>
                <w:rFonts w:ascii="Garamond" w:hAnsi="Garamond"/>
                <w:sz w:val="18"/>
                <w:szCs w:val="18"/>
              </w:rPr>
              <w:t>2020</w:t>
            </w:r>
          </w:p>
        </w:tc>
        <w:tc>
          <w:tcPr>
            <w:tcW w:w="1333" w:type="dxa"/>
            <w:noWrap/>
            <w:vAlign w:val="center"/>
            <w:hideMark/>
          </w:tcPr>
          <w:p w14:paraId="6EDCFAFD" w14:textId="77777777" w:rsidR="00A9766F" w:rsidRPr="007114AF" w:rsidRDefault="00A9766F" w:rsidP="00A9766F">
            <w:pPr>
              <w:cnfStyle w:val="100000000000" w:firstRow="1" w:lastRow="0" w:firstColumn="0" w:lastColumn="0" w:oddVBand="0" w:evenVBand="0" w:oddHBand="0" w:evenHBand="0" w:firstRowFirstColumn="0" w:firstRowLastColumn="0" w:lastRowFirstColumn="0" w:lastRowLastColumn="0"/>
              <w:rPr>
                <w:rFonts w:ascii="Garamond" w:hAnsi="Garamond"/>
                <w:i/>
                <w:sz w:val="18"/>
                <w:szCs w:val="18"/>
              </w:rPr>
            </w:pPr>
            <w:r w:rsidRPr="007114AF">
              <w:rPr>
                <w:rFonts w:ascii="Garamond" w:hAnsi="Garamond"/>
                <w:sz w:val="18"/>
                <w:szCs w:val="18"/>
              </w:rPr>
              <w:t>2025</w:t>
            </w:r>
          </w:p>
        </w:tc>
        <w:tc>
          <w:tcPr>
            <w:tcW w:w="1333" w:type="dxa"/>
            <w:noWrap/>
            <w:vAlign w:val="center"/>
            <w:hideMark/>
          </w:tcPr>
          <w:p w14:paraId="6EDCFAFE" w14:textId="77777777" w:rsidR="00A9766F" w:rsidRPr="007114AF" w:rsidRDefault="00A9766F" w:rsidP="00A9766F">
            <w:pPr>
              <w:cnfStyle w:val="100000000000" w:firstRow="1" w:lastRow="0" w:firstColumn="0" w:lastColumn="0" w:oddVBand="0" w:evenVBand="0" w:oddHBand="0" w:evenHBand="0" w:firstRowFirstColumn="0" w:firstRowLastColumn="0" w:lastRowFirstColumn="0" w:lastRowLastColumn="0"/>
              <w:rPr>
                <w:rFonts w:ascii="Garamond" w:hAnsi="Garamond"/>
                <w:i/>
                <w:sz w:val="18"/>
                <w:szCs w:val="18"/>
              </w:rPr>
            </w:pPr>
            <w:r w:rsidRPr="007114AF">
              <w:rPr>
                <w:rFonts w:ascii="Garamond" w:hAnsi="Garamond"/>
                <w:sz w:val="18"/>
                <w:szCs w:val="18"/>
              </w:rPr>
              <w:t>2030</w:t>
            </w:r>
          </w:p>
        </w:tc>
      </w:tr>
      <w:tr w:rsidR="00A9766F" w:rsidRPr="007114AF" w14:paraId="6EDCFB06" w14:textId="77777777" w:rsidTr="00A9766F">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2850" w:type="dxa"/>
            <w:noWrap/>
            <w:vAlign w:val="center"/>
            <w:hideMark/>
          </w:tcPr>
          <w:p w14:paraId="6EDCFB00" w14:textId="77777777" w:rsidR="00A9766F" w:rsidRPr="007114AF" w:rsidRDefault="00A9766F" w:rsidP="00A9766F">
            <w:pPr>
              <w:spacing w:after="0"/>
              <w:rPr>
                <w:rFonts w:ascii="Garamond" w:hAnsi="Garamond"/>
                <w:b w:val="0"/>
                <w:i/>
                <w:sz w:val="18"/>
                <w:szCs w:val="18"/>
              </w:rPr>
            </w:pPr>
            <w:r w:rsidRPr="007114AF">
              <w:rPr>
                <w:rFonts w:ascii="Garamond" w:hAnsi="Garamond"/>
                <w:sz w:val="18"/>
                <w:szCs w:val="18"/>
              </w:rPr>
              <w:t>Sektori i banesave dhe shërbimeve</w:t>
            </w:r>
          </w:p>
        </w:tc>
        <w:tc>
          <w:tcPr>
            <w:tcW w:w="1332" w:type="dxa"/>
            <w:noWrap/>
            <w:vAlign w:val="center"/>
          </w:tcPr>
          <w:p w14:paraId="6EDCFB01" w14:textId="77777777" w:rsidR="00A9766F" w:rsidRPr="007114AF" w:rsidRDefault="00A9766F" w:rsidP="00A9766F">
            <w:pPr>
              <w:spacing w:after="0"/>
              <w:cnfStyle w:val="000000100000" w:firstRow="0" w:lastRow="0" w:firstColumn="0" w:lastColumn="0" w:oddVBand="0" w:evenVBand="0" w:oddHBand="1" w:evenHBand="0" w:firstRowFirstColumn="0" w:firstRowLastColumn="0" w:lastRowFirstColumn="0" w:lastRowLastColumn="0"/>
              <w:rPr>
                <w:rFonts w:ascii="Garamond" w:hAnsi="Garamond"/>
                <w:i/>
                <w:sz w:val="18"/>
                <w:szCs w:val="18"/>
              </w:rPr>
            </w:pPr>
            <w:r w:rsidRPr="007114AF">
              <w:rPr>
                <w:rFonts w:ascii="Garamond" w:hAnsi="Garamond"/>
                <w:sz w:val="18"/>
                <w:szCs w:val="18"/>
              </w:rPr>
              <w:t>251</w:t>
            </w:r>
          </w:p>
        </w:tc>
        <w:tc>
          <w:tcPr>
            <w:tcW w:w="1333" w:type="dxa"/>
            <w:noWrap/>
            <w:vAlign w:val="center"/>
          </w:tcPr>
          <w:p w14:paraId="6EDCFB02" w14:textId="77777777" w:rsidR="00A9766F" w:rsidRPr="007114AF" w:rsidRDefault="00A9766F" w:rsidP="00A9766F">
            <w:pPr>
              <w:spacing w:after="0"/>
              <w:cnfStyle w:val="000000100000" w:firstRow="0" w:lastRow="0" w:firstColumn="0" w:lastColumn="0" w:oddVBand="0" w:evenVBand="0" w:oddHBand="1" w:evenHBand="0" w:firstRowFirstColumn="0" w:firstRowLastColumn="0" w:lastRowFirstColumn="0" w:lastRowLastColumn="0"/>
              <w:rPr>
                <w:rFonts w:ascii="Garamond" w:hAnsi="Garamond"/>
                <w:i/>
                <w:sz w:val="18"/>
                <w:szCs w:val="18"/>
              </w:rPr>
            </w:pPr>
            <w:r w:rsidRPr="007114AF">
              <w:rPr>
                <w:rFonts w:ascii="Garamond" w:hAnsi="Garamond"/>
                <w:sz w:val="18"/>
                <w:szCs w:val="18"/>
              </w:rPr>
              <w:t>269</w:t>
            </w:r>
          </w:p>
        </w:tc>
        <w:tc>
          <w:tcPr>
            <w:tcW w:w="1332" w:type="dxa"/>
            <w:noWrap/>
            <w:vAlign w:val="center"/>
          </w:tcPr>
          <w:p w14:paraId="6EDCFB03" w14:textId="77777777" w:rsidR="00A9766F" w:rsidRPr="007114AF" w:rsidRDefault="00A9766F" w:rsidP="00A9766F">
            <w:pPr>
              <w:spacing w:after="0"/>
              <w:cnfStyle w:val="000000100000" w:firstRow="0" w:lastRow="0" w:firstColumn="0" w:lastColumn="0" w:oddVBand="0" w:evenVBand="0" w:oddHBand="1" w:evenHBand="0" w:firstRowFirstColumn="0" w:firstRowLastColumn="0" w:lastRowFirstColumn="0" w:lastRowLastColumn="0"/>
              <w:rPr>
                <w:rFonts w:ascii="Garamond" w:hAnsi="Garamond"/>
                <w:i/>
                <w:sz w:val="18"/>
                <w:szCs w:val="18"/>
              </w:rPr>
            </w:pPr>
            <w:r w:rsidRPr="007114AF">
              <w:rPr>
                <w:rFonts w:ascii="Garamond" w:hAnsi="Garamond"/>
                <w:sz w:val="18"/>
                <w:szCs w:val="18"/>
              </w:rPr>
              <w:t>293</w:t>
            </w:r>
          </w:p>
        </w:tc>
        <w:tc>
          <w:tcPr>
            <w:tcW w:w="1333" w:type="dxa"/>
            <w:noWrap/>
            <w:vAlign w:val="center"/>
          </w:tcPr>
          <w:p w14:paraId="6EDCFB04" w14:textId="77777777" w:rsidR="00A9766F" w:rsidRPr="007114AF" w:rsidRDefault="00A9766F" w:rsidP="00A9766F">
            <w:pPr>
              <w:spacing w:after="0"/>
              <w:cnfStyle w:val="000000100000" w:firstRow="0" w:lastRow="0" w:firstColumn="0" w:lastColumn="0" w:oddVBand="0" w:evenVBand="0" w:oddHBand="1" w:evenHBand="0" w:firstRowFirstColumn="0" w:firstRowLastColumn="0" w:lastRowFirstColumn="0" w:lastRowLastColumn="0"/>
              <w:rPr>
                <w:rFonts w:ascii="Garamond" w:hAnsi="Garamond"/>
                <w:i/>
                <w:sz w:val="18"/>
                <w:szCs w:val="18"/>
              </w:rPr>
            </w:pPr>
            <w:r w:rsidRPr="007114AF">
              <w:rPr>
                <w:rFonts w:ascii="Garamond" w:hAnsi="Garamond"/>
                <w:sz w:val="18"/>
                <w:szCs w:val="18"/>
              </w:rPr>
              <w:t>320</w:t>
            </w:r>
          </w:p>
        </w:tc>
        <w:tc>
          <w:tcPr>
            <w:tcW w:w="1333" w:type="dxa"/>
            <w:noWrap/>
            <w:vAlign w:val="center"/>
          </w:tcPr>
          <w:p w14:paraId="6EDCFB05" w14:textId="77777777" w:rsidR="00A9766F" w:rsidRPr="007114AF" w:rsidRDefault="00A9766F" w:rsidP="00A9766F">
            <w:pPr>
              <w:spacing w:after="0"/>
              <w:cnfStyle w:val="000000100000" w:firstRow="0" w:lastRow="0" w:firstColumn="0" w:lastColumn="0" w:oddVBand="0" w:evenVBand="0" w:oddHBand="1" w:evenHBand="0" w:firstRowFirstColumn="0" w:firstRowLastColumn="0" w:lastRowFirstColumn="0" w:lastRowLastColumn="0"/>
              <w:rPr>
                <w:rFonts w:ascii="Garamond" w:hAnsi="Garamond"/>
                <w:i/>
                <w:sz w:val="18"/>
                <w:szCs w:val="18"/>
              </w:rPr>
            </w:pPr>
            <w:r w:rsidRPr="007114AF">
              <w:rPr>
                <w:rFonts w:ascii="Garamond" w:hAnsi="Garamond"/>
                <w:sz w:val="18"/>
                <w:szCs w:val="18"/>
              </w:rPr>
              <w:t>352</w:t>
            </w:r>
          </w:p>
        </w:tc>
      </w:tr>
      <w:tr w:rsidR="00A9766F" w:rsidRPr="007114AF" w14:paraId="6EDCFB0D" w14:textId="77777777" w:rsidTr="00A9766F">
        <w:trPr>
          <w:trHeight w:val="270"/>
        </w:trPr>
        <w:tc>
          <w:tcPr>
            <w:cnfStyle w:val="001000000000" w:firstRow="0" w:lastRow="0" w:firstColumn="1" w:lastColumn="0" w:oddVBand="0" w:evenVBand="0" w:oddHBand="0" w:evenHBand="0" w:firstRowFirstColumn="0" w:firstRowLastColumn="0" w:lastRowFirstColumn="0" w:lastRowLastColumn="0"/>
            <w:tcW w:w="2850" w:type="dxa"/>
            <w:noWrap/>
            <w:vAlign w:val="center"/>
            <w:hideMark/>
          </w:tcPr>
          <w:p w14:paraId="6EDCFB07" w14:textId="77777777" w:rsidR="00A9766F" w:rsidRPr="007114AF" w:rsidRDefault="00A9766F" w:rsidP="00A9766F">
            <w:pPr>
              <w:spacing w:after="0"/>
              <w:rPr>
                <w:rFonts w:ascii="Garamond" w:hAnsi="Garamond"/>
                <w:b w:val="0"/>
                <w:i/>
                <w:sz w:val="18"/>
                <w:szCs w:val="18"/>
              </w:rPr>
            </w:pPr>
            <w:r w:rsidRPr="007114AF">
              <w:rPr>
                <w:rFonts w:ascii="Garamond" w:hAnsi="Garamond"/>
                <w:sz w:val="18"/>
                <w:szCs w:val="18"/>
              </w:rPr>
              <w:t>Industria</w:t>
            </w:r>
          </w:p>
        </w:tc>
        <w:tc>
          <w:tcPr>
            <w:tcW w:w="1332" w:type="dxa"/>
            <w:noWrap/>
            <w:vAlign w:val="center"/>
          </w:tcPr>
          <w:p w14:paraId="6EDCFB08" w14:textId="77777777" w:rsidR="00A9766F" w:rsidRPr="007114AF" w:rsidRDefault="00A9766F" w:rsidP="00A9766F">
            <w:pPr>
              <w:spacing w:after="0"/>
              <w:cnfStyle w:val="000000000000" w:firstRow="0" w:lastRow="0" w:firstColumn="0" w:lastColumn="0" w:oddVBand="0" w:evenVBand="0" w:oddHBand="0" w:evenHBand="0" w:firstRowFirstColumn="0" w:firstRowLastColumn="0" w:lastRowFirstColumn="0" w:lastRowLastColumn="0"/>
              <w:rPr>
                <w:rFonts w:ascii="Garamond" w:hAnsi="Garamond"/>
                <w:i/>
                <w:sz w:val="18"/>
                <w:szCs w:val="18"/>
              </w:rPr>
            </w:pPr>
            <w:r w:rsidRPr="007114AF">
              <w:rPr>
                <w:rFonts w:ascii="Garamond" w:hAnsi="Garamond"/>
                <w:sz w:val="18"/>
                <w:szCs w:val="18"/>
              </w:rPr>
              <w:t>980</w:t>
            </w:r>
          </w:p>
        </w:tc>
        <w:tc>
          <w:tcPr>
            <w:tcW w:w="1333" w:type="dxa"/>
            <w:noWrap/>
            <w:vAlign w:val="center"/>
          </w:tcPr>
          <w:p w14:paraId="6EDCFB09" w14:textId="77777777" w:rsidR="00A9766F" w:rsidRPr="007114AF" w:rsidRDefault="00A9766F" w:rsidP="00A9766F">
            <w:pPr>
              <w:spacing w:after="0"/>
              <w:cnfStyle w:val="000000000000" w:firstRow="0" w:lastRow="0" w:firstColumn="0" w:lastColumn="0" w:oddVBand="0" w:evenVBand="0" w:oddHBand="0" w:evenHBand="0" w:firstRowFirstColumn="0" w:firstRowLastColumn="0" w:lastRowFirstColumn="0" w:lastRowLastColumn="0"/>
              <w:rPr>
                <w:rFonts w:ascii="Garamond" w:hAnsi="Garamond"/>
                <w:i/>
                <w:sz w:val="18"/>
                <w:szCs w:val="18"/>
              </w:rPr>
            </w:pPr>
            <w:r w:rsidRPr="007114AF">
              <w:rPr>
                <w:rFonts w:ascii="Garamond" w:hAnsi="Garamond"/>
                <w:sz w:val="18"/>
                <w:szCs w:val="18"/>
              </w:rPr>
              <w:t>1064</w:t>
            </w:r>
          </w:p>
        </w:tc>
        <w:tc>
          <w:tcPr>
            <w:tcW w:w="1332" w:type="dxa"/>
            <w:noWrap/>
            <w:vAlign w:val="center"/>
          </w:tcPr>
          <w:p w14:paraId="6EDCFB0A" w14:textId="77777777" w:rsidR="00A9766F" w:rsidRPr="007114AF" w:rsidRDefault="00A9766F" w:rsidP="00A9766F">
            <w:pPr>
              <w:spacing w:after="0"/>
              <w:cnfStyle w:val="000000000000" w:firstRow="0" w:lastRow="0" w:firstColumn="0" w:lastColumn="0" w:oddVBand="0" w:evenVBand="0" w:oddHBand="0" w:evenHBand="0" w:firstRowFirstColumn="0" w:firstRowLastColumn="0" w:lastRowFirstColumn="0" w:lastRowLastColumn="0"/>
              <w:rPr>
                <w:rFonts w:ascii="Garamond" w:hAnsi="Garamond"/>
                <w:i/>
                <w:sz w:val="18"/>
                <w:szCs w:val="18"/>
              </w:rPr>
            </w:pPr>
            <w:r w:rsidRPr="007114AF">
              <w:rPr>
                <w:rFonts w:ascii="Garamond" w:hAnsi="Garamond"/>
                <w:sz w:val="18"/>
                <w:szCs w:val="18"/>
              </w:rPr>
              <w:t>1243</w:t>
            </w:r>
          </w:p>
        </w:tc>
        <w:tc>
          <w:tcPr>
            <w:tcW w:w="1333" w:type="dxa"/>
            <w:noWrap/>
            <w:vAlign w:val="center"/>
          </w:tcPr>
          <w:p w14:paraId="6EDCFB0B" w14:textId="77777777" w:rsidR="00A9766F" w:rsidRPr="007114AF" w:rsidRDefault="00A9766F" w:rsidP="00A9766F">
            <w:pPr>
              <w:spacing w:after="0"/>
              <w:cnfStyle w:val="000000000000" w:firstRow="0" w:lastRow="0" w:firstColumn="0" w:lastColumn="0" w:oddVBand="0" w:evenVBand="0" w:oddHBand="0" w:evenHBand="0" w:firstRowFirstColumn="0" w:firstRowLastColumn="0" w:lastRowFirstColumn="0" w:lastRowLastColumn="0"/>
              <w:rPr>
                <w:rFonts w:ascii="Garamond" w:hAnsi="Garamond"/>
                <w:i/>
                <w:sz w:val="18"/>
                <w:szCs w:val="18"/>
              </w:rPr>
            </w:pPr>
            <w:r w:rsidRPr="007114AF">
              <w:rPr>
                <w:rFonts w:ascii="Garamond" w:hAnsi="Garamond"/>
                <w:sz w:val="18"/>
                <w:szCs w:val="18"/>
              </w:rPr>
              <w:t>1534</w:t>
            </w:r>
          </w:p>
        </w:tc>
        <w:tc>
          <w:tcPr>
            <w:tcW w:w="1333" w:type="dxa"/>
            <w:noWrap/>
            <w:vAlign w:val="center"/>
          </w:tcPr>
          <w:p w14:paraId="6EDCFB0C" w14:textId="77777777" w:rsidR="00A9766F" w:rsidRPr="007114AF" w:rsidRDefault="00A9766F" w:rsidP="00A9766F">
            <w:pPr>
              <w:spacing w:after="0"/>
              <w:cnfStyle w:val="000000000000" w:firstRow="0" w:lastRow="0" w:firstColumn="0" w:lastColumn="0" w:oddVBand="0" w:evenVBand="0" w:oddHBand="0" w:evenHBand="0" w:firstRowFirstColumn="0" w:firstRowLastColumn="0" w:lastRowFirstColumn="0" w:lastRowLastColumn="0"/>
              <w:rPr>
                <w:rFonts w:ascii="Garamond" w:hAnsi="Garamond"/>
                <w:i/>
                <w:sz w:val="18"/>
                <w:szCs w:val="18"/>
              </w:rPr>
            </w:pPr>
            <w:r w:rsidRPr="007114AF">
              <w:rPr>
                <w:rFonts w:ascii="Garamond" w:hAnsi="Garamond"/>
                <w:sz w:val="18"/>
                <w:szCs w:val="18"/>
              </w:rPr>
              <w:t>2032</w:t>
            </w:r>
          </w:p>
        </w:tc>
      </w:tr>
      <w:tr w:rsidR="00A9766F" w:rsidRPr="007114AF" w14:paraId="6EDCFB14" w14:textId="77777777" w:rsidTr="00A9766F">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2850" w:type="dxa"/>
            <w:noWrap/>
            <w:vAlign w:val="center"/>
            <w:hideMark/>
          </w:tcPr>
          <w:p w14:paraId="6EDCFB0E" w14:textId="77777777" w:rsidR="00A9766F" w:rsidRPr="007114AF" w:rsidRDefault="00A9766F" w:rsidP="00A9766F">
            <w:pPr>
              <w:spacing w:after="0"/>
              <w:rPr>
                <w:rFonts w:ascii="Garamond" w:hAnsi="Garamond"/>
                <w:b w:val="0"/>
                <w:i/>
                <w:sz w:val="18"/>
                <w:szCs w:val="18"/>
              </w:rPr>
            </w:pPr>
            <w:r w:rsidRPr="007114AF">
              <w:rPr>
                <w:rFonts w:ascii="Garamond" w:hAnsi="Garamond"/>
                <w:sz w:val="18"/>
                <w:szCs w:val="18"/>
              </w:rPr>
              <w:t>Transporti</w:t>
            </w:r>
          </w:p>
        </w:tc>
        <w:tc>
          <w:tcPr>
            <w:tcW w:w="1332" w:type="dxa"/>
            <w:noWrap/>
            <w:vAlign w:val="center"/>
          </w:tcPr>
          <w:p w14:paraId="6EDCFB0F" w14:textId="77777777" w:rsidR="00A9766F" w:rsidRPr="007114AF" w:rsidRDefault="00A9766F" w:rsidP="00A9766F">
            <w:pPr>
              <w:spacing w:after="0"/>
              <w:cnfStyle w:val="000000100000" w:firstRow="0" w:lastRow="0" w:firstColumn="0" w:lastColumn="0" w:oddVBand="0" w:evenVBand="0" w:oddHBand="1" w:evenHBand="0" w:firstRowFirstColumn="0" w:firstRowLastColumn="0" w:lastRowFirstColumn="0" w:lastRowLastColumn="0"/>
              <w:rPr>
                <w:rFonts w:ascii="Garamond" w:hAnsi="Garamond"/>
                <w:i/>
                <w:sz w:val="18"/>
                <w:szCs w:val="18"/>
              </w:rPr>
            </w:pPr>
            <w:r w:rsidRPr="007114AF">
              <w:rPr>
                <w:rFonts w:ascii="Garamond" w:hAnsi="Garamond"/>
                <w:sz w:val="18"/>
                <w:szCs w:val="18"/>
              </w:rPr>
              <w:t>2238</w:t>
            </w:r>
          </w:p>
        </w:tc>
        <w:tc>
          <w:tcPr>
            <w:tcW w:w="1333" w:type="dxa"/>
            <w:noWrap/>
            <w:vAlign w:val="center"/>
          </w:tcPr>
          <w:p w14:paraId="6EDCFB10" w14:textId="77777777" w:rsidR="00A9766F" w:rsidRPr="007114AF" w:rsidRDefault="00A9766F" w:rsidP="00A9766F">
            <w:pPr>
              <w:spacing w:after="0"/>
              <w:cnfStyle w:val="000000100000" w:firstRow="0" w:lastRow="0" w:firstColumn="0" w:lastColumn="0" w:oddVBand="0" w:evenVBand="0" w:oddHBand="1" w:evenHBand="0" w:firstRowFirstColumn="0" w:firstRowLastColumn="0" w:lastRowFirstColumn="0" w:lastRowLastColumn="0"/>
              <w:rPr>
                <w:rFonts w:ascii="Garamond" w:hAnsi="Garamond"/>
                <w:i/>
                <w:sz w:val="18"/>
                <w:szCs w:val="18"/>
              </w:rPr>
            </w:pPr>
            <w:r w:rsidRPr="007114AF">
              <w:rPr>
                <w:rFonts w:ascii="Garamond" w:hAnsi="Garamond"/>
                <w:sz w:val="18"/>
                <w:szCs w:val="18"/>
              </w:rPr>
              <w:t>2431</w:t>
            </w:r>
          </w:p>
        </w:tc>
        <w:tc>
          <w:tcPr>
            <w:tcW w:w="1332" w:type="dxa"/>
            <w:noWrap/>
            <w:vAlign w:val="center"/>
          </w:tcPr>
          <w:p w14:paraId="6EDCFB11" w14:textId="77777777" w:rsidR="00A9766F" w:rsidRPr="007114AF" w:rsidRDefault="00A9766F" w:rsidP="00A9766F">
            <w:pPr>
              <w:spacing w:after="0"/>
              <w:cnfStyle w:val="000000100000" w:firstRow="0" w:lastRow="0" w:firstColumn="0" w:lastColumn="0" w:oddVBand="0" w:evenVBand="0" w:oddHBand="1" w:evenHBand="0" w:firstRowFirstColumn="0" w:firstRowLastColumn="0" w:lastRowFirstColumn="0" w:lastRowLastColumn="0"/>
              <w:rPr>
                <w:rFonts w:ascii="Garamond" w:hAnsi="Garamond"/>
                <w:i/>
                <w:sz w:val="18"/>
                <w:szCs w:val="18"/>
              </w:rPr>
            </w:pPr>
            <w:r w:rsidRPr="007114AF">
              <w:rPr>
                <w:rFonts w:ascii="Garamond" w:hAnsi="Garamond"/>
                <w:sz w:val="18"/>
                <w:szCs w:val="18"/>
              </w:rPr>
              <w:t>2682</w:t>
            </w:r>
          </w:p>
        </w:tc>
        <w:tc>
          <w:tcPr>
            <w:tcW w:w="1333" w:type="dxa"/>
            <w:noWrap/>
            <w:vAlign w:val="center"/>
          </w:tcPr>
          <w:p w14:paraId="6EDCFB12" w14:textId="77777777" w:rsidR="00A9766F" w:rsidRPr="007114AF" w:rsidRDefault="00A9766F" w:rsidP="00A9766F">
            <w:pPr>
              <w:spacing w:after="0"/>
              <w:cnfStyle w:val="000000100000" w:firstRow="0" w:lastRow="0" w:firstColumn="0" w:lastColumn="0" w:oddVBand="0" w:evenVBand="0" w:oddHBand="1" w:evenHBand="0" w:firstRowFirstColumn="0" w:firstRowLastColumn="0" w:lastRowFirstColumn="0" w:lastRowLastColumn="0"/>
              <w:rPr>
                <w:rFonts w:ascii="Garamond" w:hAnsi="Garamond"/>
                <w:i/>
                <w:sz w:val="18"/>
                <w:szCs w:val="18"/>
              </w:rPr>
            </w:pPr>
            <w:r w:rsidRPr="007114AF">
              <w:rPr>
                <w:rFonts w:ascii="Garamond" w:hAnsi="Garamond"/>
                <w:sz w:val="18"/>
                <w:szCs w:val="18"/>
              </w:rPr>
              <w:t>2898</w:t>
            </w:r>
          </w:p>
        </w:tc>
        <w:tc>
          <w:tcPr>
            <w:tcW w:w="1333" w:type="dxa"/>
            <w:noWrap/>
            <w:vAlign w:val="center"/>
          </w:tcPr>
          <w:p w14:paraId="6EDCFB13" w14:textId="77777777" w:rsidR="00A9766F" w:rsidRPr="007114AF" w:rsidRDefault="00A9766F" w:rsidP="00A9766F">
            <w:pPr>
              <w:spacing w:after="0"/>
              <w:cnfStyle w:val="000000100000" w:firstRow="0" w:lastRow="0" w:firstColumn="0" w:lastColumn="0" w:oddVBand="0" w:evenVBand="0" w:oddHBand="1" w:evenHBand="0" w:firstRowFirstColumn="0" w:firstRowLastColumn="0" w:lastRowFirstColumn="0" w:lastRowLastColumn="0"/>
              <w:rPr>
                <w:rFonts w:ascii="Garamond" w:hAnsi="Garamond"/>
                <w:i/>
                <w:sz w:val="18"/>
                <w:szCs w:val="18"/>
              </w:rPr>
            </w:pPr>
            <w:r w:rsidRPr="007114AF">
              <w:rPr>
                <w:rFonts w:ascii="Garamond" w:hAnsi="Garamond"/>
                <w:sz w:val="18"/>
                <w:szCs w:val="18"/>
              </w:rPr>
              <w:t>3197</w:t>
            </w:r>
          </w:p>
        </w:tc>
      </w:tr>
      <w:tr w:rsidR="00A9766F" w:rsidRPr="007114AF" w14:paraId="6EDCFB1B" w14:textId="77777777" w:rsidTr="00A9766F">
        <w:trPr>
          <w:trHeight w:val="270"/>
        </w:trPr>
        <w:tc>
          <w:tcPr>
            <w:cnfStyle w:val="001000000000" w:firstRow="0" w:lastRow="0" w:firstColumn="1" w:lastColumn="0" w:oddVBand="0" w:evenVBand="0" w:oddHBand="0" w:evenHBand="0" w:firstRowFirstColumn="0" w:firstRowLastColumn="0" w:lastRowFirstColumn="0" w:lastRowLastColumn="0"/>
            <w:tcW w:w="2850" w:type="dxa"/>
            <w:noWrap/>
            <w:vAlign w:val="center"/>
            <w:hideMark/>
          </w:tcPr>
          <w:p w14:paraId="6EDCFB15" w14:textId="77777777" w:rsidR="00A9766F" w:rsidRPr="007114AF" w:rsidRDefault="00A9766F" w:rsidP="00A9766F">
            <w:pPr>
              <w:spacing w:after="0"/>
              <w:rPr>
                <w:rFonts w:ascii="Garamond" w:hAnsi="Garamond"/>
                <w:b w:val="0"/>
                <w:i/>
                <w:sz w:val="18"/>
                <w:szCs w:val="18"/>
              </w:rPr>
            </w:pPr>
            <w:r w:rsidRPr="007114AF">
              <w:rPr>
                <w:rFonts w:ascii="Garamond" w:hAnsi="Garamond"/>
                <w:sz w:val="18"/>
                <w:szCs w:val="18"/>
              </w:rPr>
              <w:t>Bujqësia</w:t>
            </w:r>
          </w:p>
        </w:tc>
        <w:tc>
          <w:tcPr>
            <w:tcW w:w="1332" w:type="dxa"/>
            <w:noWrap/>
            <w:vAlign w:val="center"/>
          </w:tcPr>
          <w:p w14:paraId="6EDCFB16" w14:textId="77777777" w:rsidR="00A9766F" w:rsidRPr="007114AF" w:rsidRDefault="00A9766F" w:rsidP="00A9766F">
            <w:pPr>
              <w:spacing w:after="0"/>
              <w:cnfStyle w:val="000000000000" w:firstRow="0" w:lastRow="0" w:firstColumn="0" w:lastColumn="0" w:oddVBand="0" w:evenVBand="0" w:oddHBand="0" w:evenHBand="0" w:firstRowFirstColumn="0" w:firstRowLastColumn="0" w:lastRowFirstColumn="0" w:lastRowLastColumn="0"/>
              <w:rPr>
                <w:rFonts w:ascii="Garamond" w:hAnsi="Garamond"/>
                <w:i/>
                <w:sz w:val="18"/>
                <w:szCs w:val="18"/>
              </w:rPr>
            </w:pPr>
            <w:r w:rsidRPr="007114AF">
              <w:rPr>
                <w:rFonts w:ascii="Garamond" w:hAnsi="Garamond"/>
                <w:sz w:val="18"/>
                <w:szCs w:val="18"/>
              </w:rPr>
              <w:t>243</w:t>
            </w:r>
          </w:p>
        </w:tc>
        <w:tc>
          <w:tcPr>
            <w:tcW w:w="1333" w:type="dxa"/>
            <w:noWrap/>
            <w:vAlign w:val="center"/>
          </w:tcPr>
          <w:p w14:paraId="6EDCFB17" w14:textId="77777777" w:rsidR="00A9766F" w:rsidRPr="007114AF" w:rsidRDefault="00A9766F" w:rsidP="00A9766F">
            <w:pPr>
              <w:spacing w:after="0"/>
              <w:cnfStyle w:val="000000000000" w:firstRow="0" w:lastRow="0" w:firstColumn="0" w:lastColumn="0" w:oddVBand="0" w:evenVBand="0" w:oddHBand="0" w:evenHBand="0" w:firstRowFirstColumn="0" w:firstRowLastColumn="0" w:lastRowFirstColumn="0" w:lastRowLastColumn="0"/>
              <w:rPr>
                <w:rFonts w:ascii="Garamond" w:hAnsi="Garamond"/>
                <w:i/>
                <w:sz w:val="18"/>
                <w:szCs w:val="18"/>
              </w:rPr>
            </w:pPr>
            <w:r w:rsidRPr="007114AF">
              <w:rPr>
                <w:rFonts w:ascii="Garamond" w:hAnsi="Garamond"/>
                <w:sz w:val="18"/>
                <w:szCs w:val="18"/>
              </w:rPr>
              <w:t>275</w:t>
            </w:r>
          </w:p>
        </w:tc>
        <w:tc>
          <w:tcPr>
            <w:tcW w:w="1332" w:type="dxa"/>
            <w:noWrap/>
            <w:vAlign w:val="center"/>
          </w:tcPr>
          <w:p w14:paraId="6EDCFB18" w14:textId="77777777" w:rsidR="00A9766F" w:rsidRPr="007114AF" w:rsidRDefault="00A9766F" w:rsidP="00A9766F">
            <w:pPr>
              <w:spacing w:after="0"/>
              <w:cnfStyle w:val="000000000000" w:firstRow="0" w:lastRow="0" w:firstColumn="0" w:lastColumn="0" w:oddVBand="0" w:evenVBand="0" w:oddHBand="0" w:evenHBand="0" w:firstRowFirstColumn="0" w:firstRowLastColumn="0" w:lastRowFirstColumn="0" w:lastRowLastColumn="0"/>
              <w:rPr>
                <w:rFonts w:ascii="Garamond" w:hAnsi="Garamond"/>
                <w:i/>
                <w:sz w:val="18"/>
                <w:szCs w:val="18"/>
              </w:rPr>
            </w:pPr>
            <w:r w:rsidRPr="007114AF">
              <w:rPr>
                <w:rFonts w:ascii="Garamond" w:hAnsi="Garamond"/>
                <w:sz w:val="18"/>
                <w:szCs w:val="18"/>
              </w:rPr>
              <w:t>307</w:t>
            </w:r>
          </w:p>
        </w:tc>
        <w:tc>
          <w:tcPr>
            <w:tcW w:w="1333" w:type="dxa"/>
            <w:noWrap/>
            <w:vAlign w:val="center"/>
          </w:tcPr>
          <w:p w14:paraId="6EDCFB19" w14:textId="77777777" w:rsidR="00A9766F" w:rsidRPr="007114AF" w:rsidRDefault="00A9766F" w:rsidP="00A9766F">
            <w:pPr>
              <w:spacing w:after="0"/>
              <w:cnfStyle w:val="000000000000" w:firstRow="0" w:lastRow="0" w:firstColumn="0" w:lastColumn="0" w:oddVBand="0" w:evenVBand="0" w:oddHBand="0" w:evenHBand="0" w:firstRowFirstColumn="0" w:firstRowLastColumn="0" w:lastRowFirstColumn="0" w:lastRowLastColumn="0"/>
              <w:rPr>
                <w:rFonts w:ascii="Garamond" w:hAnsi="Garamond"/>
                <w:i/>
                <w:sz w:val="18"/>
                <w:szCs w:val="18"/>
              </w:rPr>
            </w:pPr>
            <w:r w:rsidRPr="007114AF">
              <w:rPr>
                <w:rFonts w:ascii="Garamond" w:hAnsi="Garamond"/>
                <w:sz w:val="18"/>
                <w:szCs w:val="18"/>
              </w:rPr>
              <w:t>341</w:t>
            </w:r>
          </w:p>
        </w:tc>
        <w:tc>
          <w:tcPr>
            <w:tcW w:w="1333" w:type="dxa"/>
            <w:noWrap/>
            <w:vAlign w:val="center"/>
          </w:tcPr>
          <w:p w14:paraId="6EDCFB1A" w14:textId="77777777" w:rsidR="00A9766F" w:rsidRPr="007114AF" w:rsidRDefault="00A9766F" w:rsidP="00A9766F">
            <w:pPr>
              <w:spacing w:after="0"/>
              <w:cnfStyle w:val="000000000000" w:firstRow="0" w:lastRow="0" w:firstColumn="0" w:lastColumn="0" w:oddVBand="0" w:evenVBand="0" w:oddHBand="0" w:evenHBand="0" w:firstRowFirstColumn="0" w:firstRowLastColumn="0" w:lastRowFirstColumn="0" w:lastRowLastColumn="0"/>
              <w:rPr>
                <w:rFonts w:ascii="Garamond" w:hAnsi="Garamond"/>
                <w:i/>
                <w:sz w:val="18"/>
                <w:szCs w:val="18"/>
              </w:rPr>
            </w:pPr>
            <w:r w:rsidRPr="007114AF">
              <w:rPr>
                <w:rFonts w:ascii="Garamond" w:hAnsi="Garamond"/>
                <w:sz w:val="18"/>
                <w:szCs w:val="18"/>
              </w:rPr>
              <w:t>311</w:t>
            </w:r>
          </w:p>
        </w:tc>
      </w:tr>
      <w:tr w:rsidR="00A9766F" w:rsidRPr="007114AF" w14:paraId="6EDCFB22" w14:textId="77777777" w:rsidTr="00A9766F">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2850" w:type="dxa"/>
            <w:noWrap/>
            <w:vAlign w:val="center"/>
            <w:hideMark/>
          </w:tcPr>
          <w:p w14:paraId="6EDCFB1C" w14:textId="77777777" w:rsidR="00A9766F" w:rsidRPr="007114AF" w:rsidRDefault="00A9766F" w:rsidP="00A9766F">
            <w:pPr>
              <w:spacing w:after="0"/>
              <w:rPr>
                <w:rFonts w:ascii="Garamond" w:hAnsi="Garamond"/>
                <w:b w:val="0"/>
                <w:i/>
                <w:sz w:val="18"/>
                <w:szCs w:val="18"/>
              </w:rPr>
            </w:pPr>
            <w:r w:rsidRPr="007114AF">
              <w:rPr>
                <w:rFonts w:ascii="Garamond" w:hAnsi="Garamond"/>
                <w:sz w:val="18"/>
                <w:szCs w:val="18"/>
              </w:rPr>
              <w:t>Përdorimi Joenergjetik</w:t>
            </w:r>
          </w:p>
        </w:tc>
        <w:tc>
          <w:tcPr>
            <w:tcW w:w="1332" w:type="dxa"/>
            <w:noWrap/>
            <w:vAlign w:val="center"/>
          </w:tcPr>
          <w:p w14:paraId="6EDCFB1D" w14:textId="77777777" w:rsidR="00A9766F" w:rsidRPr="007114AF" w:rsidRDefault="00A9766F" w:rsidP="00A9766F">
            <w:pPr>
              <w:spacing w:after="0"/>
              <w:cnfStyle w:val="000000100000" w:firstRow="0" w:lastRow="0" w:firstColumn="0" w:lastColumn="0" w:oddVBand="0" w:evenVBand="0" w:oddHBand="1" w:evenHBand="0" w:firstRowFirstColumn="0" w:firstRowLastColumn="0" w:lastRowFirstColumn="0" w:lastRowLastColumn="0"/>
              <w:rPr>
                <w:rFonts w:ascii="Garamond" w:hAnsi="Garamond"/>
                <w:i/>
                <w:sz w:val="18"/>
                <w:szCs w:val="18"/>
              </w:rPr>
            </w:pPr>
            <w:r w:rsidRPr="007114AF">
              <w:rPr>
                <w:rFonts w:ascii="Garamond" w:hAnsi="Garamond"/>
                <w:sz w:val="18"/>
                <w:szCs w:val="18"/>
              </w:rPr>
              <w:t>101</w:t>
            </w:r>
          </w:p>
        </w:tc>
        <w:tc>
          <w:tcPr>
            <w:tcW w:w="1333" w:type="dxa"/>
            <w:noWrap/>
            <w:vAlign w:val="center"/>
          </w:tcPr>
          <w:p w14:paraId="6EDCFB1E" w14:textId="77777777" w:rsidR="00A9766F" w:rsidRPr="007114AF" w:rsidRDefault="00A9766F" w:rsidP="00A9766F">
            <w:pPr>
              <w:spacing w:after="0"/>
              <w:cnfStyle w:val="000000100000" w:firstRow="0" w:lastRow="0" w:firstColumn="0" w:lastColumn="0" w:oddVBand="0" w:evenVBand="0" w:oddHBand="1" w:evenHBand="0" w:firstRowFirstColumn="0" w:firstRowLastColumn="0" w:lastRowFirstColumn="0" w:lastRowLastColumn="0"/>
              <w:rPr>
                <w:rFonts w:ascii="Garamond" w:hAnsi="Garamond"/>
                <w:i/>
                <w:sz w:val="18"/>
                <w:szCs w:val="18"/>
              </w:rPr>
            </w:pPr>
            <w:r w:rsidRPr="007114AF">
              <w:rPr>
                <w:rFonts w:ascii="Garamond" w:hAnsi="Garamond"/>
                <w:sz w:val="18"/>
                <w:szCs w:val="18"/>
              </w:rPr>
              <w:t>101</w:t>
            </w:r>
          </w:p>
        </w:tc>
        <w:tc>
          <w:tcPr>
            <w:tcW w:w="1332" w:type="dxa"/>
            <w:noWrap/>
            <w:vAlign w:val="center"/>
          </w:tcPr>
          <w:p w14:paraId="6EDCFB1F" w14:textId="77777777" w:rsidR="00A9766F" w:rsidRPr="007114AF" w:rsidRDefault="00A9766F" w:rsidP="00A9766F">
            <w:pPr>
              <w:spacing w:after="0"/>
              <w:cnfStyle w:val="000000100000" w:firstRow="0" w:lastRow="0" w:firstColumn="0" w:lastColumn="0" w:oddVBand="0" w:evenVBand="0" w:oddHBand="1" w:evenHBand="0" w:firstRowFirstColumn="0" w:firstRowLastColumn="0" w:lastRowFirstColumn="0" w:lastRowLastColumn="0"/>
              <w:rPr>
                <w:rFonts w:ascii="Garamond" w:hAnsi="Garamond"/>
                <w:i/>
                <w:sz w:val="18"/>
                <w:szCs w:val="18"/>
              </w:rPr>
            </w:pPr>
            <w:r w:rsidRPr="007114AF">
              <w:rPr>
                <w:rFonts w:ascii="Garamond" w:hAnsi="Garamond"/>
                <w:sz w:val="18"/>
                <w:szCs w:val="18"/>
              </w:rPr>
              <w:t>101</w:t>
            </w:r>
          </w:p>
        </w:tc>
        <w:tc>
          <w:tcPr>
            <w:tcW w:w="1333" w:type="dxa"/>
            <w:noWrap/>
            <w:vAlign w:val="center"/>
          </w:tcPr>
          <w:p w14:paraId="6EDCFB20" w14:textId="77777777" w:rsidR="00A9766F" w:rsidRPr="007114AF" w:rsidRDefault="00A9766F" w:rsidP="00A9766F">
            <w:pPr>
              <w:spacing w:after="0"/>
              <w:cnfStyle w:val="000000100000" w:firstRow="0" w:lastRow="0" w:firstColumn="0" w:lastColumn="0" w:oddVBand="0" w:evenVBand="0" w:oddHBand="1" w:evenHBand="0" w:firstRowFirstColumn="0" w:firstRowLastColumn="0" w:lastRowFirstColumn="0" w:lastRowLastColumn="0"/>
              <w:rPr>
                <w:rFonts w:ascii="Garamond" w:hAnsi="Garamond"/>
                <w:i/>
                <w:sz w:val="18"/>
                <w:szCs w:val="18"/>
              </w:rPr>
            </w:pPr>
            <w:r w:rsidRPr="007114AF">
              <w:rPr>
                <w:rFonts w:ascii="Garamond" w:hAnsi="Garamond"/>
                <w:sz w:val="18"/>
                <w:szCs w:val="18"/>
              </w:rPr>
              <w:t>101</w:t>
            </w:r>
          </w:p>
        </w:tc>
        <w:tc>
          <w:tcPr>
            <w:tcW w:w="1333" w:type="dxa"/>
            <w:noWrap/>
            <w:vAlign w:val="center"/>
          </w:tcPr>
          <w:p w14:paraId="6EDCFB21" w14:textId="77777777" w:rsidR="00A9766F" w:rsidRPr="007114AF" w:rsidRDefault="00A9766F" w:rsidP="00A9766F">
            <w:pPr>
              <w:spacing w:after="0"/>
              <w:cnfStyle w:val="000000100000" w:firstRow="0" w:lastRow="0" w:firstColumn="0" w:lastColumn="0" w:oddVBand="0" w:evenVBand="0" w:oddHBand="1" w:evenHBand="0" w:firstRowFirstColumn="0" w:firstRowLastColumn="0" w:lastRowFirstColumn="0" w:lastRowLastColumn="0"/>
              <w:rPr>
                <w:rFonts w:ascii="Garamond" w:hAnsi="Garamond"/>
                <w:i/>
                <w:sz w:val="18"/>
                <w:szCs w:val="18"/>
              </w:rPr>
            </w:pPr>
            <w:r w:rsidRPr="007114AF">
              <w:rPr>
                <w:rFonts w:ascii="Garamond" w:hAnsi="Garamond"/>
                <w:sz w:val="18"/>
                <w:szCs w:val="18"/>
              </w:rPr>
              <w:t>101</w:t>
            </w:r>
          </w:p>
        </w:tc>
      </w:tr>
      <w:tr w:rsidR="00A9766F" w:rsidRPr="007114AF" w14:paraId="6EDCFB29" w14:textId="77777777" w:rsidTr="00A9766F">
        <w:trPr>
          <w:trHeight w:val="270"/>
        </w:trPr>
        <w:tc>
          <w:tcPr>
            <w:cnfStyle w:val="001000000000" w:firstRow="0" w:lastRow="0" w:firstColumn="1" w:lastColumn="0" w:oddVBand="0" w:evenVBand="0" w:oddHBand="0" w:evenHBand="0" w:firstRowFirstColumn="0" w:firstRowLastColumn="0" w:lastRowFirstColumn="0" w:lastRowLastColumn="0"/>
            <w:tcW w:w="2850" w:type="dxa"/>
            <w:noWrap/>
            <w:vAlign w:val="center"/>
          </w:tcPr>
          <w:p w14:paraId="6EDCFB23" w14:textId="77777777" w:rsidR="00A9766F" w:rsidRPr="007114AF" w:rsidRDefault="00A9766F" w:rsidP="00A9766F">
            <w:pPr>
              <w:spacing w:after="0"/>
              <w:rPr>
                <w:rFonts w:ascii="Garamond" w:hAnsi="Garamond"/>
                <w:b w:val="0"/>
                <w:sz w:val="18"/>
                <w:szCs w:val="18"/>
              </w:rPr>
            </w:pPr>
            <w:r w:rsidRPr="007114AF">
              <w:rPr>
                <w:rFonts w:ascii="Garamond" w:hAnsi="Garamond"/>
                <w:sz w:val="18"/>
                <w:szCs w:val="18"/>
              </w:rPr>
              <w:t>Dega e Energjisë</w:t>
            </w:r>
          </w:p>
        </w:tc>
        <w:tc>
          <w:tcPr>
            <w:tcW w:w="1332" w:type="dxa"/>
            <w:noWrap/>
            <w:vAlign w:val="center"/>
          </w:tcPr>
          <w:p w14:paraId="6EDCFB24" w14:textId="77777777" w:rsidR="00A9766F" w:rsidRPr="007114AF" w:rsidRDefault="00A9766F" w:rsidP="00A9766F">
            <w:pPr>
              <w:spacing w:after="0"/>
              <w:cnfStyle w:val="000000000000" w:firstRow="0" w:lastRow="0" w:firstColumn="0" w:lastColumn="0" w:oddVBand="0" w:evenVBand="0" w:oddHBand="0" w:evenHBand="0" w:firstRowFirstColumn="0" w:firstRowLastColumn="0" w:lastRowFirstColumn="0" w:lastRowLastColumn="0"/>
              <w:rPr>
                <w:rFonts w:ascii="Garamond" w:hAnsi="Garamond"/>
                <w:sz w:val="18"/>
                <w:szCs w:val="18"/>
              </w:rPr>
            </w:pPr>
            <w:r w:rsidRPr="007114AF">
              <w:rPr>
                <w:rFonts w:ascii="Garamond" w:hAnsi="Garamond"/>
                <w:sz w:val="18"/>
                <w:szCs w:val="18"/>
              </w:rPr>
              <w:t>139</w:t>
            </w:r>
          </w:p>
        </w:tc>
        <w:tc>
          <w:tcPr>
            <w:tcW w:w="1333" w:type="dxa"/>
            <w:noWrap/>
            <w:vAlign w:val="center"/>
          </w:tcPr>
          <w:p w14:paraId="6EDCFB25" w14:textId="77777777" w:rsidR="00A9766F" w:rsidRPr="007114AF" w:rsidRDefault="00A9766F" w:rsidP="00A9766F">
            <w:pPr>
              <w:spacing w:after="0"/>
              <w:cnfStyle w:val="000000000000" w:firstRow="0" w:lastRow="0" w:firstColumn="0" w:lastColumn="0" w:oddVBand="0" w:evenVBand="0" w:oddHBand="0" w:evenHBand="0" w:firstRowFirstColumn="0" w:firstRowLastColumn="0" w:lastRowFirstColumn="0" w:lastRowLastColumn="0"/>
              <w:rPr>
                <w:rFonts w:ascii="Garamond" w:hAnsi="Garamond"/>
                <w:sz w:val="18"/>
                <w:szCs w:val="18"/>
              </w:rPr>
            </w:pPr>
            <w:r w:rsidRPr="007114AF">
              <w:rPr>
                <w:rFonts w:ascii="Garamond" w:hAnsi="Garamond"/>
                <w:sz w:val="18"/>
                <w:szCs w:val="18"/>
              </w:rPr>
              <w:t>142</w:t>
            </w:r>
          </w:p>
        </w:tc>
        <w:tc>
          <w:tcPr>
            <w:tcW w:w="1332" w:type="dxa"/>
            <w:noWrap/>
            <w:vAlign w:val="center"/>
          </w:tcPr>
          <w:p w14:paraId="6EDCFB26" w14:textId="77777777" w:rsidR="00A9766F" w:rsidRPr="007114AF" w:rsidRDefault="00A9766F" w:rsidP="00A9766F">
            <w:pPr>
              <w:spacing w:after="0"/>
              <w:cnfStyle w:val="000000000000" w:firstRow="0" w:lastRow="0" w:firstColumn="0" w:lastColumn="0" w:oddVBand="0" w:evenVBand="0" w:oddHBand="0" w:evenHBand="0" w:firstRowFirstColumn="0" w:firstRowLastColumn="0" w:lastRowFirstColumn="0" w:lastRowLastColumn="0"/>
              <w:rPr>
                <w:rFonts w:ascii="Garamond" w:hAnsi="Garamond"/>
                <w:sz w:val="18"/>
                <w:szCs w:val="18"/>
              </w:rPr>
            </w:pPr>
            <w:r w:rsidRPr="007114AF">
              <w:rPr>
                <w:rFonts w:ascii="Garamond" w:hAnsi="Garamond"/>
                <w:sz w:val="18"/>
                <w:szCs w:val="18"/>
              </w:rPr>
              <w:t>155</w:t>
            </w:r>
          </w:p>
        </w:tc>
        <w:tc>
          <w:tcPr>
            <w:tcW w:w="1333" w:type="dxa"/>
            <w:noWrap/>
            <w:vAlign w:val="center"/>
          </w:tcPr>
          <w:p w14:paraId="6EDCFB27" w14:textId="77777777" w:rsidR="00A9766F" w:rsidRPr="007114AF" w:rsidRDefault="00A9766F" w:rsidP="00A9766F">
            <w:pPr>
              <w:spacing w:after="0"/>
              <w:cnfStyle w:val="000000000000" w:firstRow="0" w:lastRow="0" w:firstColumn="0" w:lastColumn="0" w:oddVBand="0" w:evenVBand="0" w:oddHBand="0" w:evenHBand="0" w:firstRowFirstColumn="0" w:firstRowLastColumn="0" w:lastRowFirstColumn="0" w:lastRowLastColumn="0"/>
              <w:rPr>
                <w:rFonts w:ascii="Garamond" w:hAnsi="Garamond"/>
                <w:sz w:val="18"/>
                <w:szCs w:val="18"/>
              </w:rPr>
            </w:pPr>
            <w:r w:rsidRPr="007114AF">
              <w:rPr>
                <w:rFonts w:ascii="Garamond" w:hAnsi="Garamond"/>
                <w:sz w:val="18"/>
                <w:szCs w:val="18"/>
              </w:rPr>
              <w:t>159</w:t>
            </w:r>
          </w:p>
        </w:tc>
        <w:tc>
          <w:tcPr>
            <w:tcW w:w="1333" w:type="dxa"/>
            <w:noWrap/>
            <w:vAlign w:val="center"/>
          </w:tcPr>
          <w:p w14:paraId="6EDCFB28" w14:textId="77777777" w:rsidR="00A9766F" w:rsidRPr="007114AF" w:rsidRDefault="00A9766F" w:rsidP="00A9766F">
            <w:pPr>
              <w:spacing w:after="0"/>
              <w:cnfStyle w:val="000000000000" w:firstRow="0" w:lastRow="0" w:firstColumn="0" w:lastColumn="0" w:oddVBand="0" w:evenVBand="0" w:oddHBand="0" w:evenHBand="0" w:firstRowFirstColumn="0" w:firstRowLastColumn="0" w:lastRowFirstColumn="0" w:lastRowLastColumn="0"/>
              <w:rPr>
                <w:rFonts w:ascii="Garamond" w:hAnsi="Garamond"/>
                <w:sz w:val="18"/>
                <w:szCs w:val="18"/>
              </w:rPr>
            </w:pPr>
            <w:r w:rsidRPr="007114AF">
              <w:rPr>
                <w:rFonts w:ascii="Garamond" w:hAnsi="Garamond"/>
                <w:sz w:val="18"/>
                <w:szCs w:val="18"/>
              </w:rPr>
              <w:t>175</w:t>
            </w:r>
          </w:p>
        </w:tc>
      </w:tr>
      <w:tr w:rsidR="00A9766F" w:rsidRPr="007114AF" w14:paraId="6EDCFB30" w14:textId="77777777" w:rsidTr="00A9766F">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2850" w:type="dxa"/>
            <w:noWrap/>
            <w:vAlign w:val="center"/>
          </w:tcPr>
          <w:p w14:paraId="6EDCFB2A" w14:textId="77777777" w:rsidR="00A9766F" w:rsidRPr="007114AF" w:rsidRDefault="00A9766F" w:rsidP="00A9766F">
            <w:pPr>
              <w:spacing w:after="0"/>
              <w:rPr>
                <w:rFonts w:ascii="Garamond" w:hAnsi="Garamond"/>
                <w:b w:val="0"/>
                <w:i/>
                <w:sz w:val="18"/>
                <w:szCs w:val="18"/>
              </w:rPr>
            </w:pPr>
            <w:r w:rsidRPr="007114AF">
              <w:rPr>
                <w:rFonts w:ascii="Garamond" w:hAnsi="Garamond"/>
                <w:sz w:val="18"/>
                <w:szCs w:val="18"/>
              </w:rPr>
              <w:t>Prodhimi i Energjisë Elektrike</w:t>
            </w:r>
          </w:p>
        </w:tc>
        <w:tc>
          <w:tcPr>
            <w:tcW w:w="1332" w:type="dxa"/>
            <w:noWrap/>
            <w:vAlign w:val="center"/>
          </w:tcPr>
          <w:p w14:paraId="6EDCFB2B" w14:textId="77777777" w:rsidR="00A9766F" w:rsidRPr="007114AF" w:rsidRDefault="00A9766F" w:rsidP="00A9766F">
            <w:pPr>
              <w:spacing w:after="0"/>
              <w:cnfStyle w:val="000000100000" w:firstRow="0" w:lastRow="0" w:firstColumn="0" w:lastColumn="0" w:oddVBand="0" w:evenVBand="0" w:oddHBand="1" w:evenHBand="0" w:firstRowFirstColumn="0" w:firstRowLastColumn="0" w:lastRowFirstColumn="0" w:lastRowLastColumn="0"/>
              <w:rPr>
                <w:rFonts w:ascii="Garamond" w:hAnsi="Garamond"/>
                <w:sz w:val="18"/>
                <w:szCs w:val="18"/>
              </w:rPr>
            </w:pPr>
            <w:r w:rsidRPr="007114AF">
              <w:rPr>
                <w:rFonts w:ascii="Garamond" w:hAnsi="Garamond"/>
                <w:sz w:val="18"/>
                <w:szCs w:val="18"/>
              </w:rPr>
              <w:t>0</w:t>
            </w:r>
          </w:p>
        </w:tc>
        <w:tc>
          <w:tcPr>
            <w:tcW w:w="1333" w:type="dxa"/>
            <w:noWrap/>
            <w:vAlign w:val="center"/>
          </w:tcPr>
          <w:p w14:paraId="6EDCFB2C" w14:textId="77777777" w:rsidR="00A9766F" w:rsidRPr="007114AF" w:rsidRDefault="00A9766F" w:rsidP="00A9766F">
            <w:pPr>
              <w:spacing w:after="0"/>
              <w:cnfStyle w:val="000000100000" w:firstRow="0" w:lastRow="0" w:firstColumn="0" w:lastColumn="0" w:oddVBand="0" w:evenVBand="0" w:oddHBand="1" w:evenHBand="0" w:firstRowFirstColumn="0" w:firstRowLastColumn="0" w:lastRowFirstColumn="0" w:lastRowLastColumn="0"/>
              <w:rPr>
                <w:rFonts w:ascii="Garamond" w:hAnsi="Garamond"/>
                <w:sz w:val="18"/>
                <w:szCs w:val="18"/>
              </w:rPr>
            </w:pPr>
            <w:r w:rsidRPr="007114AF">
              <w:rPr>
                <w:rFonts w:ascii="Garamond" w:hAnsi="Garamond"/>
                <w:sz w:val="18"/>
                <w:szCs w:val="18"/>
              </w:rPr>
              <w:t>0</w:t>
            </w:r>
          </w:p>
        </w:tc>
        <w:tc>
          <w:tcPr>
            <w:tcW w:w="1332" w:type="dxa"/>
            <w:noWrap/>
            <w:vAlign w:val="center"/>
          </w:tcPr>
          <w:p w14:paraId="6EDCFB2D" w14:textId="77777777" w:rsidR="00A9766F" w:rsidRPr="007114AF" w:rsidRDefault="00A9766F" w:rsidP="00A9766F">
            <w:pPr>
              <w:spacing w:after="0"/>
              <w:cnfStyle w:val="000000100000" w:firstRow="0" w:lastRow="0" w:firstColumn="0" w:lastColumn="0" w:oddVBand="0" w:evenVBand="0" w:oddHBand="1" w:evenHBand="0" w:firstRowFirstColumn="0" w:firstRowLastColumn="0" w:lastRowFirstColumn="0" w:lastRowLastColumn="0"/>
              <w:rPr>
                <w:rFonts w:ascii="Garamond" w:hAnsi="Garamond"/>
                <w:sz w:val="18"/>
                <w:szCs w:val="18"/>
              </w:rPr>
            </w:pPr>
            <w:r w:rsidRPr="007114AF">
              <w:rPr>
                <w:rFonts w:ascii="Garamond" w:hAnsi="Garamond"/>
                <w:sz w:val="18"/>
                <w:szCs w:val="18"/>
              </w:rPr>
              <w:t>0</w:t>
            </w:r>
          </w:p>
        </w:tc>
        <w:tc>
          <w:tcPr>
            <w:tcW w:w="1333" w:type="dxa"/>
            <w:noWrap/>
            <w:vAlign w:val="center"/>
          </w:tcPr>
          <w:p w14:paraId="6EDCFB2E" w14:textId="77777777" w:rsidR="00A9766F" w:rsidRPr="007114AF" w:rsidRDefault="00A9766F" w:rsidP="00A9766F">
            <w:pPr>
              <w:spacing w:after="0"/>
              <w:cnfStyle w:val="000000100000" w:firstRow="0" w:lastRow="0" w:firstColumn="0" w:lastColumn="0" w:oddVBand="0" w:evenVBand="0" w:oddHBand="1" w:evenHBand="0" w:firstRowFirstColumn="0" w:firstRowLastColumn="0" w:lastRowFirstColumn="0" w:lastRowLastColumn="0"/>
              <w:rPr>
                <w:rFonts w:ascii="Garamond" w:hAnsi="Garamond"/>
                <w:sz w:val="18"/>
                <w:szCs w:val="18"/>
              </w:rPr>
            </w:pPr>
            <w:r w:rsidRPr="007114AF">
              <w:rPr>
                <w:rFonts w:ascii="Garamond" w:hAnsi="Garamond"/>
                <w:sz w:val="18"/>
                <w:szCs w:val="18"/>
              </w:rPr>
              <w:t>0</w:t>
            </w:r>
          </w:p>
        </w:tc>
        <w:tc>
          <w:tcPr>
            <w:tcW w:w="1333" w:type="dxa"/>
            <w:noWrap/>
            <w:vAlign w:val="center"/>
          </w:tcPr>
          <w:p w14:paraId="6EDCFB2F" w14:textId="77777777" w:rsidR="00A9766F" w:rsidRPr="007114AF" w:rsidRDefault="00A9766F" w:rsidP="00A9766F">
            <w:pPr>
              <w:spacing w:after="0"/>
              <w:cnfStyle w:val="000000100000" w:firstRow="0" w:lastRow="0" w:firstColumn="0" w:lastColumn="0" w:oddVBand="0" w:evenVBand="0" w:oddHBand="1" w:evenHBand="0" w:firstRowFirstColumn="0" w:firstRowLastColumn="0" w:lastRowFirstColumn="0" w:lastRowLastColumn="0"/>
              <w:rPr>
                <w:rFonts w:ascii="Garamond" w:hAnsi="Garamond"/>
                <w:sz w:val="18"/>
                <w:szCs w:val="18"/>
              </w:rPr>
            </w:pPr>
            <w:r w:rsidRPr="007114AF">
              <w:rPr>
                <w:rFonts w:ascii="Garamond" w:hAnsi="Garamond"/>
                <w:sz w:val="18"/>
                <w:szCs w:val="18"/>
              </w:rPr>
              <w:t>7</w:t>
            </w:r>
          </w:p>
        </w:tc>
      </w:tr>
      <w:tr w:rsidR="00A9766F" w:rsidRPr="007114AF" w14:paraId="6EDCFB37" w14:textId="77777777" w:rsidTr="00A9766F">
        <w:trPr>
          <w:trHeight w:val="270"/>
        </w:trPr>
        <w:tc>
          <w:tcPr>
            <w:cnfStyle w:val="001000000000" w:firstRow="0" w:lastRow="0" w:firstColumn="1" w:lastColumn="0" w:oddVBand="0" w:evenVBand="0" w:oddHBand="0" w:evenHBand="0" w:firstRowFirstColumn="0" w:firstRowLastColumn="0" w:lastRowFirstColumn="0" w:lastRowLastColumn="0"/>
            <w:tcW w:w="2850" w:type="dxa"/>
            <w:noWrap/>
            <w:vAlign w:val="center"/>
            <w:hideMark/>
          </w:tcPr>
          <w:p w14:paraId="6EDCFB31" w14:textId="77777777" w:rsidR="00A9766F" w:rsidRPr="007114AF" w:rsidRDefault="00A9766F" w:rsidP="00A9766F">
            <w:pPr>
              <w:spacing w:after="0"/>
              <w:rPr>
                <w:rFonts w:ascii="Garamond" w:hAnsi="Garamond"/>
                <w:b w:val="0"/>
                <w:i/>
                <w:sz w:val="18"/>
                <w:szCs w:val="18"/>
              </w:rPr>
            </w:pPr>
            <w:r w:rsidRPr="007114AF">
              <w:rPr>
                <w:rFonts w:ascii="Garamond" w:hAnsi="Garamond"/>
                <w:sz w:val="18"/>
                <w:szCs w:val="18"/>
              </w:rPr>
              <w:t>Totali</w:t>
            </w:r>
          </w:p>
        </w:tc>
        <w:tc>
          <w:tcPr>
            <w:tcW w:w="1332" w:type="dxa"/>
            <w:noWrap/>
            <w:vAlign w:val="center"/>
          </w:tcPr>
          <w:p w14:paraId="6EDCFB32" w14:textId="77777777" w:rsidR="00A9766F" w:rsidRPr="007114AF" w:rsidRDefault="00A9766F" w:rsidP="00A9766F">
            <w:pPr>
              <w:spacing w:after="0"/>
              <w:cnfStyle w:val="000000000000" w:firstRow="0" w:lastRow="0" w:firstColumn="0" w:lastColumn="0" w:oddVBand="0" w:evenVBand="0" w:oddHBand="0" w:evenHBand="0" w:firstRowFirstColumn="0" w:firstRowLastColumn="0" w:lastRowFirstColumn="0" w:lastRowLastColumn="0"/>
              <w:rPr>
                <w:rFonts w:ascii="Garamond" w:hAnsi="Garamond"/>
                <w:i/>
                <w:sz w:val="18"/>
                <w:szCs w:val="18"/>
              </w:rPr>
            </w:pPr>
            <w:r w:rsidRPr="007114AF">
              <w:rPr>
                <w:rFonts w:ascii="Garamond" w:hAnsi="Garamond"/>
                <w:sz w:val="18"/>
                <w:szCs w:val="18"/>
              </w:rPr>
              <w:t>3952</w:t>
            </w:r>
          </w:p>
        </w:tc>
        <w:tc>
          <w:tcPr>
            <w:tcW w:w="1333" w:type="dxa"/>
            <w:noWrap/>
            <w:vAlign w:val="center"/>
          </w:tcPr>
          <w:p w14:paraId="6EDCFB33" w14:textId="77777777" w:rsidR="00A9766F" w:rsidRPr="007114AF" w:rsidRDefault="00A9766F" w:rsidP="00A9766F">
            <w:pPr>
              <w:spacing w:after="0"/>
              <w:cnfStyle w:val="000000000000" w:firstRow="0" w:lastRow="0" w:firstColumn="0" w:lastColumn="0" w:oddVBand="0" w:evenVBand="0" w:oddHBand="0" w:evenHBand="0" w:firstRowFirstColumn="0" w:firstRowLastColumn="0" w:lastRowFirstColumn="0" w:lastRowLastColumn="0"/>
              <w:rPr>
                <w:rFonts w:ascii="Garamond" w:hAnsi="Garamond"/>
                <w:i/>
                <w:sz w:val="18"/>
                <w:szCs w:val="18"/>
              </w:rPr>
            </w:pPr>
            <w:r w:rsidRPr="007114AF">
              <w:rPr>
                <w:rFonts w:ascii="Garamond" w:hAnsi="Garamond"/>
                <w:sz w:val="18"/>
                <w:szCs w:val="18"/>
              </w:rPr>
              <w:t>4282</w:t>
            </w:r>
          </w:p>
        </w:tc>
        <w:tc>
          <w:tcPr>
            <w:tcW w:w="1332" w:type="dxa"/>
            <w:noWrap/>
            <w:vAlign w:val="center"/>
          </w:tcPr>
          <w:p w14:paraId="6EDCFB34" w14:textId="77777777" w:rsidR="00A9766F" w:rsidRPr="007114AF" w:rsidRDefault="00A9766F" w:rsidP="00A9766F">
            <w:pPr>
              <w:spacing w:after="0"/>
              <w:cnfStyle w:val="000000000000" w:firstRow="0" w:lastRow="0" w:firstColumn="0" w:lastColumn="0" w:oddVBand="0" w:evenVBand="0" w:oddHBand="0" w:evenHBand="0" w:firstRowFirstColumn="0" w:firstRowLastColumn="0" w:lastRowFirstColumn="0" w:lastRowLastColumn="0"/>
              <w:rPr>
                <w:rFonts w:ascii="Garamond" w:hAnsi="Garamond"/>
                <w:i/>
                <w:sz w:val="18"/>
                <w:szCs w:val="18"/>
              </w:rPr>
            </w:pPr>
            <w:r w:rsidRPr="007114AF">
              <w:rPr>
                <w:rFonts w:ascii="Garamond" w:hAnsi="Garamond"/>
                <w:sz w:val="18"/>
                <w:szCs w:val="18"/>
              </w:rPr>
              <w:t>4781</w:t>
            </w:r>
          </w:p>
        </w:tc>
        <w:tc>
          <w:tcPr>
            <w:tcW w:w="1333" w:type="dxa"/>
            <w:noWrap/>
            <w:vAlign w:val="center"/>
          </w:tcPr>
          <w:p w14:paraId="6EDCFB35" w14:textId="77777777" w:rsidR="00A9766F" w:rsidRPr="007114AF" w:rsidRDefault="00A9766F" w:rsidP="00A9766F">
            <w:pPr>
              <w:spacing w:after="0"/>
              <w:cnfStyle w:val="000000000000" w:firstRow="0" w:lastRow="0" w:firstColumn="0" w:lastColumn="0" w:oddVBand="0" w:evenVBand="0" w:oddHBand="0" w:evenHBand="0" w:firstRowFirstColumn="0" w:firstRowLastColumn="0" w:lastRowFirstColumn="0" w:lastRowLastColumn="0"/>
              <w:rPr>
                <w:rFonts w:ascii="Garamond" w:hAnsi="Garamond"/>
                <w:i/>
                <w:sz w:val="18"/>
                <w:szCs w:val="18"/>
              </w:rPr>
            </w:pPr>
            <w:r w:rsidRPr="007114AF">
              <w:rPr>
                <w:rFonts w:ascii="Garamond" w:hAnsi="Garamond"/>
                <w:sz w:val="18"/>
                <w:szCs w:val="18"/>
              </w:rPr>
              <w:t>5353</w:t>
            </w:r>
          </w:p>
        </w:tc>
        <w:tc>
          <w:tcPr>
            <w:tcW w:w="1333" w:type="dxa"/>
            <w:noWrap/>
            <w:vAlign w:val="center"/>
          </w:tcPr>
          <w:p w14:paraId="6EDCFB36" w14:textId="77777777" w:rsidR="00A9766F" w:rsidRPr="007114AF" w:rsidRDefault="00A9766F" w:rsidP="00A9766F">
            <w:pPr>
              <w:spacing w:after="0"/>
              <w:cnfStyle w:val="000000000000" w:firstRow="0" w:lastRow="0" w:firstColumn="0" w:lastColumn="0" w:oddVBand="0" w:evenVBand="0" w:oddHBand="0" w:evenHBand="0" w:firstRowFirstColumn="0" w:firstRowLastColumn="0" w:lastRowFirstColumn="0" w:lastRowLastColumn="0"/>
              <w:rPr>
                <w:rFonts w:ascii="Garamond" w:hAnsi="Garamond"/>
                <w:i/>
                <w:sz w:val="18"/>
                <w:szCs w:val="18"/>
              </w:rPr>
            </w:pPr>
            <w:r w:rsidRPr="007114AF">
              <w:rPr>
                <w:rFonts w:ascii="Garamond" w:hAnsi="Garamond"/>
                <w:sz w:val="18"/>
                <w:szCs w:val="18"/>
              </w:rPr>
              <w:t>6174</w:t>
            </w:r>
          </w:p>
        </w:tc>
      </w:tr>
    </w:tbl>
    <w:p w14:paraId="6EDCFB38" w14:textId="77777777" w:rsidR="00A9766F" w:rsidRPr="007114AF" w:rsidRDefault="00A9766F" w:rsidP="00A9766F">
      <w:pPr>
        <w:rPr>
          <w:rFonts w:ascii="Garamond" w:hAnsi="Garamond"/>
        </w:rPr>
      </w:pPr>
    </w:p>
    <w:p w14:paraId="6EDCFB39" w14:textId="7384E69F" w:rsidR="00A9766F" w:rsidRPr="007114AF" w:rsidRDefault="00A9766F" w:rsidP="00351EAC">
      <w:pPr>
        <w:pStyle w:val="TEKSTI"/>
      </w:pPr>
      <w:r w:rsidRPr="007114AF">
        <w:t>Ky skenar konfirmon se sektorët e transportit, industrisë dhe banesave</w:t>
      </w:r>
      <w:r w:rsidR="00CA0B80">
        <w:t xml:space="preserve"> </w:t>
      </w:r>
      <w:r w:rsidRPr="007114AF">
        <w:t>janë sektorët kyçë shkarkues, me shkarkimet e shërbimeve, transportit dhe industrisë që do të rriten shumë gjatë periudhës deri në vitin 2030,nxitur nga rritja ekonomike. Kjo tregohet në figurën 4.3, si më</w:t>
      </w:r>
      <w:r w:rsidR="00CA0B80">
        <w:t xml:space="preserve"> </w:t>
      </w:r>
      <w:r w:rsidRPr="007114AF">
        <w:t>poshtë.</w:t>
      </w:r>
    </w:p>
    <w:p w14:paraId="6EDCFB3A" w14:textId="77777777" w:rsidR="00A9766F" w:rsidRPr="007114AF" w:rsidRDefault="00A9766F" w:rsidP="00351EAC">
      <w:pPr>
        <w:jc w:val="center"/>
        <w:rPr>
          <w:rFonts w:ascii="Garamond" w:hAnsi="Garamond"/>
        </w:rPr>
      </w:pPr>
      <w:r w:rsidRPr="007114AF">
        <w:rPr>
          <w:rFonts w:ascii="Garamond" w:hAnsi="Garamond"/>
          <w:noProof/>
          <w:color w:val="FF0000"/>
          <w:lang w:val="en-US" w:eastAsia="en-US"/>
        </w:rPr>
        <w:drawing>
          <wp:inline distT="0" distB="0" distL="0" distR="0" wp14:anchorId="6EDD17B0" wp14:editId="6EDD17B1">
            <wp:extent cx="5502303" cy="2289976"/>
            <wp:effectExtent l="0" t="0" r="3175" b="0"/>
            <wp:docPr id="9"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5505450" cy="2291286"/>
                    </a:xfrm>
                    <a:prstGeom prst="rect">
                      <a:avLst/>
                    </a:prstGeom>
                    <a:noFill/>
                    <a:ln>
                      <a:noFill/>
                    </a:ln>
                  </pic:spPr>
                </pic:pic>
              </a:graphicData>
            </a:graphic>
          </wp:inline>
        </w:drawing>
      </w:r>
    </w:p>
    <w:p w14:paraId="6EDCFB3B" w14:textId="77777777" w:rsidR="00A9766F" w:rsidRPr="007114AF" w:rsidRDefault="00A9766F" w:rsidP="00351EAC">
      <w:pPr>
        <w:pStyle w:val="FIGURA"/>
        <w:rPr>
          <w:sz w:val="20"/>
          <w:szCs w:val="20"/>
        </w:rPr>
      </w:pPr>
      <w:r w:rsidRPr="007114AF">
        <w:rPr>
          <w:sz w:val="20"/>
          <w:szCs w:val="20"/>
        </w:rPr>
        <w:t>Figura</w:t>
      </w:r>
      <w:r w:rsidR="00351EAC" w:rsidRPr="007114AF">
        <w:rPr>
          <w:sz w:val="20"/>
          <w:szCs w:val="20"/>
        </w:rPr>
        <w:t xml:space="preserve"> </w:t>
      </w:r>
      <w:r w:rsidRPr="007114AF">
        <w:rPr>
          <w:sz w:val="20"/>
          <w:szCs w:val="20"/>
        </w:rPr>
        <w:fldChar w:fldCharType="begin"/>
      </w:r>
      <w:r w:rsidRPr="007114AF">
        <w:rPr>
          <w:sz w:val="20"/>
          <w:szCs w:val="20"/>
        </w:rPr>
        <w:instrText xml:space="preserve"> SEQ Figure \* ARABIC </w:instrText>
      </w:r>
      <w:r w:rsidRPr="007114AF">
        <w:rPr>
          <w:sz w:val="20"/>
          <w:szCs w:val="20"/>
        </w:rPr>
        <w:fldChar w:fldCharType="separate"/>
      </w:r>
      <w:r w:rsidRPr="007114AF">
        <w:rPr>
          <w:sz w:val="20"/>
          <w:szCs w:val="20"/>
        </w:rPr>
        <w:t>23</w:t>
      </w:r>
      <w:r w:rsidRPr="007114AF">
        <w:rPr>
          <w:sz w:val="20"/>
          <w:szCs w:val="20"/>
        </w:rPr>
        <w:fldChar w:fldCharType="end"/>
      </w:r>
      <w:r w:rsidRPr="007114AF">
        <w:rPr>
          <w:sz w:val="20"/>
          <w:szCs w:val="20"/>
        </w:rPr>
        <w:t>–Shkarkimet e sektorit të energjisë në vitin 2012 dhe 2030 (Gg CO</w:t>
      </w:r>
      <w:r w:rsidRPr="007114AF">
        <w:rPr>
          <w:sz w:val="20"/>
          <w:szCs w:val="20"/>
          <w:vertAlign w:val="subscript"/>
        </w:rPr>
        <w:t>2</w:t>
      </w:r>
      <w:r w:rsidRPr="007114AF">
        <w:rPr>
          <w:sz w:val="20"/>
          <w:szCs w:val="20"/>
        </w:rPr>
        <w:t>) (Burimi: INDC2015)</w:t>
      </w:r>
    </w:p>
    <w:p w14:paraId="6EDCFB3C" w14:textId="77777777" w:rsidR="00A9766F" w:rsidRPr="007114AF" w:rsidRDefault="00A9766F" w:rsidP="00A9766F">
      <w:pPr>
        <w:rPr>
          <w:rFonts w:ascii="Garamond" w:hAnsi="Garamond"/>
        </w:rPr>
      </w:pPr>
      <w:bookmarkStart w:id="79" w:name="_Toc428308245"/>
    </w:p>
    <w:p w14:paraId="6EDCFB3D" w14:textId="57CC2C57" w:rsidR="00A9766F" w:rsidRPr="007114AF" w:rsidRDefault="00A9766F" w:rsidP="00351EAC">
      <w:pPr>
        <w:pStyle w:val="TEKSTI"/>
      </w:pPr>
      <w:r w:rsidRPr="007114AF">
        <w:lastRenderedPageBreak/>
        <w:t>Duke pasur parasysh gjendjen aktuale të Shqipërisë, si vend kandidat për anëtarësim në BE, ka gjasa që në periudhën e vlefshmërisë së dokumentit të SKNK&amp;P-ës,</w:t>
      </w:r>
      <w:r w:rsidR="00CA0B80">
        <w:t xml:space="preserve"> </w:t>
      </w:r>
      <w:r w:rsidRPr="007114AF">
        <w:t>Shqipëria të hyjë në BE. Për këtë arsye, është me rëndësi shumë të madhe të garantohet që veprimet zbutëse të ndërmarra në këtë dokument të SKNK&amp;P-ës</w:t>
      </w:r>
      <w:r w:rsidR="00CA0B80">
        <w:t xml:space="preserve"> </w:t>
      </w:r>
      <w:r w:rsidRPr="007114AF">
        <w:t>të jenë në nivelet e ambicies së shprehur në objektivat dhe synimet politike të BE-së.</w:t>
      </w:r>
    </w:p>
    <w:p w14:paraId="6EDCFB3E" w14:textId="17DC724D" w:rsidR="00A9766F" w:rsidRPr="007114AF" w:rsidRDefault="00A9766F" w:rsidP="00351EAC">
      <w:pPr>
        <w:pStyle w:val="TEKSTI"/>
      </w:pPr>
      <w:r w:rsidRPr="007114AF">
        <w:t>Duke pasur parasysh shkarkimet për kokë në Shqipëri, siç raportohen në INDC-ë, shkarkimet për kokë në Shqipëri janë më pak se një e treta e mesatares së shkarkimeve të BE-së për kokë. Kjo mund t</w:t>
      </w:r>
      <w:r w:rsidR="00D10DAB" w:rsidRPr="007114AF">
        <w:t>’</w:t>
      </w:r>
      <w:r w:rsidRPr="007114AF">
        <w:t xml:space="preserve">i atribuohet pjesërisht gjendjes së zhvillimit të saj dhe pjesërisht sektorit të dekarbonizuar të gjenerimit të energjisë elektrike. Duke marrë në konsideratë këta dy faktorë, INDC-ja afirmon se mund të pritet, në mënyrë të arsyeshme, që shkarkimet e gazeve serrë në Shqipëri të rriten, duke iu përshtatur nevojave të zhvillimit të vendit, por me prirje që mund të ndjekin një rrugë me karbon të ulët, duke e ndarë rritjen ekonomike nga rritja e shkarkimeve. </w:t>
      </w:r>
    </w:p>
    <w:p w14:paraId="6EDCFB3F" w14:textId="77777777" w:rsidR="00782894" w:rsidRPr="007114AF" w:rsidRDefault="00782894" w:rsidP="00351EAC">
      <w:pPr>
        <w:pStyle w:val="FIGURA"/>
      </w:pPr>
    </w:p>
    <w:p w14:paraId="6EDCFB40" w14:textId="4EC4DEC3" w:rsidR="00A9766F" w:rsidRPr="007114AF" w:rsidRDefault="00A9766F" w:rsidP="00351EAC">
      <w:pPr>
        <w:pStyle w:val="FIGURA"/>
        <w:rPr>
          <w:sz w:val="20"/>
          <w:szCs w:val="20"/>
        </w:rPr>
      </w:pPr>
      <w:r w:rsidRPr="007114AF">
        <w:rPr>
          <w:sz w:val="20"/>
          <w:szCs w:val="20"/>
        </w:rPr>
        <w:t>Tabela</w:t>
      </w:r>
      <w:r w:rsidR="000A2A01" w:rsidRPr="007114AF">
        <w:rPr>
          <w:sz w:val="20"/>
          <w:szCs w:val="20"/>
        </w:rPr>
        <w:t xml:space="preserve"> </w:t>
      </w:r>
      <w:r w:rsidRPr="007114AF">
        <w:rPr>
          <w:sz w:val="20"/>
          <w:szCs w:val="20"/>
        </w:rPr>
        <w:fldChar w:fldCharType="begin"/>
      </w:r>
      <w:r w:rsidRPr="007114AF">
        <w:rPr>
          <w:sz w:val="20"/>
          <w:szCs w:val="20"/>
        </w:rPr>
        <w:instrText xml:space="preserve"> SEQ Table \* ARABIC </w:instrText>
      </w:r>
      <w:r w:rsidRPr="007114AF">
        <w:rPr>
          <w:sz w:val="20"/>
          <w:szCs w:val="20"/>
        </w:rPr>
        <w:fldChar w:fldCharType="separate"/>
      </w:r>
      <w:r w:rsidRPr="007114AF">
        <w:rPr>
          <w:sz w:val="20"/>
          <w:szCs w:val="20"/>
        </w:rPr>
        <w:t>9</w:t>
      </w:r>
      <w:r w:rsidRPr="007114AF">
        <w:rPr>
          <w:sz w:val="20"/>
          <w:szCs w:val="20"/>
        </w:rPr>
        <w:fldChar w:fldCharType="end"/>
      </w:r>
      <w:r w:rsidR="00CA0B80">
        <w:rPr>
          <w:sz w:val="20"/>
          <w:szCs w:val="20"/>
        </w:rPr>
        <w:t xml:space="preserve"> </w:t>
      </w:r>
      <w:r w:rsidRPr="007114AF">
        <w:rPr>
          <w:sz w:val="20"/>
          <w:szCs w:val="20"/>
        </w:rPr>
        <w:t>–</w:t>
      </w:r>
      <w:r w:rsidR="00CA0B80">
        <w:rPr>
          <w:sz w:val="20"/>
          <w:szCs w:val="20"/>
        </w:rPr>
        <w:t xml:space="preserve"> </w:t>
      </w:r>
      <w:r w:rsidRPr="007114AF">
        <w:rPr>
          <w:sz w:val="20"/>
          <w:szCs w:val="20"/>
        </w:rPr>
        <w:t>Supozimet kryesore lidhur me skenarët e shkarkimeve GES për Shqipërinë – Tabela nga INDC 2015 (Burimet e të dhënave: JRC, Eurostat, Instat, Primes, të dhëna të inventarit)</w:t>
      </w:r>
    </w:p>
    <w:tbl>
      <w:tblPr>
        <w:tblStyle w:val="GridTable6Colorful-Accent11"/>
        <w:tblW w:w="5000" w:type="pct"/>
        <w:tblLook w:val="04A0" w:firstRow="1" w:lastRow="0" w:firstColumn="1" w:lastColumn="0" w:noHBand="0" w:noVBand="1"/>
      </w:tblPr>
      <w:tblGrid>
        <w:gridCol w:w="2189"/>
        <w:gridCol w:w="1774"/>
        <w:gridCol w:w="1774"/>
        <w:gridCol w:w="1774"/>
        <w:gridCol w:w="1776"/>
      </w:tblGrid>
      <w:tr w:rsidR="00A9766F" w:rsidRPr="007114AF" w14:paraId="6EDCFB46" w14:textId="77777777" w:rsidTr="00A9766F">
        <w:trPr>
          <w:cnfStyle w:val="100000000000" w:firstRow="1" w:lastRow="0" w:firstColumn="0" w:lastColumn="0" w:oddVBand="0" w:evenVBand="0" w:oddHBand="0"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179" w:type="pct"/>
            <w:vAlign w:val="center"/>
            <w:hideMark/>
          </w:tcPr>
          <w:p w14:paraId="6EDCFB41" w14:textId="77777777" w:rsidR="00A9766F" w:rsidRPr="007114AF" w:rsidRDefault="00A9766F" w:rsidP="00A9766F">
            <w:pPr>
              <w:rPr>
                <w:rFonts w:ascii="Garamond" w:hAnsi="Garamond"/>
                <w:sz w:val="18"/>
                <w:szCs w:val="18"/>
              </w:rPr>
            </w:pPr>
          </w:p>
        </w:tc>
        <w:tc>
          <w:tcPr>
            <w:tcW w:w="955" w:type="pct"/>
            <w:vAlign w:val="center"/>
            <w:hideMark/>
          </w:tcPr>
          <w:p w14:paraId="6EDCFB42" w14:textId="77777777" w:rsidR="00A9766F" w:rsidRPr="007114AF" w:rsidRDefault="00A9766F" w:rsidP="00A9766F">
            <w:pPr>
              <w:cnfStyle w:val="100000000000" w:firstRow="1" w:lastRow="0" w:firstColumn="0" w:lastColumn="0" w:oddVBand="0" w:evenVBand="0" w:oddHBand="0" w:evenHBand="0" w:firstRowFirstColumn="0" w:firstRowLastColumn="0" w:lastRowFirstColumn="0" w:lastRowLastColumn="0"/>
              <w:rPr>
                <w:rFonts w:ascii="Garamond" w:hAnsi="Garamond"/>
                <w:sz w:val="18"/>
                <w:szCs w:val="18"/>
              </w:rPr>
            </w:pPr>
            <w:r w:rsidRPr="007114AF">
              <w:rPr>
                <w:rFonts w:ascii="Garamond" w:hAnsi="Garamond"/>
                <w:sz w:val="18"/>
                <w:szCs w:val="18"/>
              </w:rPr>
              <w:t>1990</w:t>
            </w:r>
          </w:p>
        </w:tc>
        <w:tc>
          <w:tcPr>
            <w:tcW w:w="955" w:type="pct"/>
            <w:vAlign w:val="center"/>
            <w:hideMark/>
          </w:tcPr>
          <w:p w14:paraId="6EDCFB43" w14:textId="77777777" w:rsidR="00A9766F" w:rsidRPr="007114AF" w:rsidRDefault="00A9766F" w:rsidP="00A9766F">
            <w:pPr>
              <w:cnfStyle w:val="100000000000" w:firstRow="1" w:lastRow="0" w:firstColumn="0" w:lastColumn="0" w:oddVBand="0" w:evenVBand="0" w:oddHBand="0" w:evenHBand="0" w:firstRowFirstColumn="0" w:firstRowLastColumn="0" w:lastRowFirstColumn="0" w:lastRowLastColumn="0"/>
              <w:rPr>
                <w:rFonts w:ascii="Garamond" w:hAnsi="Garamond"/>
                <w:sz w:val="18"/>
                <w:szCs w:val="18"/>
              </w:rPr>
            </w:pPr>
            <w:r w:rsidRPr="007114AF">
              <w:rPr>
                <w:rFonts w:ascii="Garamond" w:hAnsi="Garamond"/>
                <w:sz w:val="18"/>
                <w:szCs w:val="18"/>
              </w:rPr>
              <w:t>2000</w:t>
            </w:r>
          </w:p>
        </w:tc>
        <w:tc>
          <w:tcPr>
            <w:tcW w:w="955" w:type="pct"/>
            <w:vAlign w:val="center"/>
            <w:hideMark/>
          </w:tcPr>
          <w:p w14:paraId="6EDCFB44" w14:textId="77777777" w:rsidR="00A9766F" w:rsidRPr="007114AF" w:rsidRDefault="00A9766F" w:rsidP="00A9766F">
            <w:pPr>
              <w:cnfStyle w:val="100000000000" w:firstRow="1" w:lastRow="0" w:firstColumn="0" w:lastColumn="0" w:oddVBand="0" w:evenVBand="0" w:oddHBand="0" w:evenHBand="0" w:firstRowFirstColumn="0" w:firstRowLastColumn="0" w:lastRowFirstColumn="0" w:lastRowLastColumn="0"/>
              <w:rPr>
                <w:rFonts w:ascii="Garamond" w:hAnsi="Garamond"/>
                <w:sz w:val="18"/>
                <w:szCs w:val="18"/>
              </w:rPr>
            </w:pPr>
            <w:r w:rsidRPr="007114AF">
              <w:rPr>
                <w:rFonts w:ascii="Garamond" w:hAnsi="Garamond"/>
                <w:sz w:val="18"/>
                <w:szCs w:val="18"/>
              </w:rPr>
              <w:t>2010</w:t>
            </w:r>
          </w:p>
        </w:tc>
        <w:tc>
          <w:tcPr>
            <w:tcW w:w="956" w:type="pct"/>
            <w:noWrap/>
            <w:vAlign w:val="center"/>
            <w:hideMark/>
          </w:tcPr>
          <w:p w14:paraId="6EDCFB45" w14:textId="77777777" w:rsidR="00A9766F" w:rsidRPr="007114AF" w:rsidRDefault="00A9766F" w:rsidP="00A9766F">
            <w:pPr>
              <w:cnfStyle w:val="100000000000" w:firstRow="1" w:lastRow="0" w:firstColumn="0" w:lastColumn="0" w:oddVBand="0" w:evenVBand="0" w:oddHBand="0" w:evenHBand="0" w:firstRowFirstColumn="0" w:firstRowLastColumn="0" w:lastRowFirstColumn="0" w:lastRowLastColumn="0"/>
              <w:rPr>
                <w:rFonts w:ascii="Garamond" w:hAnsi="Garamond"/>
                <w:sz w:val="18"/>
                <w:szCs w:val="18"/>
              </w:rPr>
            </w:pPr>
            <w:r w:rsidRPr="007114AF">
              <w:rPr>
                <w:rFonts w:ascii="Garamond" w:hAnsi="Garamond"/>
                <w:sz w:val="18"/>
                <w:szCs w:val="18"/>
              </w:rPr>
              <w:t>2030</w:t>
            </w:r>
          </w:p>
        </w:tc>
      </w:tr>
      <w:tr w:rsidR="00A9766F" w:rsidRPr="007114AF" w14:paraId="6EDCFB4C" w14:textId="77777777" w:rsidTr="00A9766F">
        <w:trPr>
          <w:cnfStyle w:val="000000100000" w:firstRow="0" w:lastRow="0" w:firstColumn="0" w:lastColumn="0" w:oddVBand="0" w:evenVBand="0" w:oddHBand="1" w:evenHBand="0" w:firstRowFirstColumn="0" w:firstRowLastColumn="0" w:lastRowFirstColumn="0" w:lastRowLastColumn="0"/>
          <w:trHeight w:val="159"/>
        </w:trPr>
        <w:tc>
          <w:tcPr>
            <w:cnfStyle w:val="001000000000" w:firstRow="0" w:lastRow="0" w:firstColumn="1" w:lastColumn="0" w:oddVBand="0" w:evenVBand="0" w:oddHBand="0" w:evenHBand="0" w:firstRowFirstColumn="0" w:firstRowLastColumn="0" w:lastRowFirstColumn="0" w:lastRowLastColumn="0"/>
            <w:tcW w:w="1179" w:type="pct"/>
            <w:vAlign w:val="center"/>
            <w:hideMark/>
          </w:tcPr>
          <w:p w14:paraId="6EDCFB47" w14:textId="77777777" w:rsidR="00A9766F" w:rsidRPr="007114AF" w:rsidRDefault="00A9766F" w:rsidP="00A9766F">
            <w:pPr>
              <w:spacing w:after="0"/>
              <w:rPr>
                <w:rFonts w:ascii="Garamond" w:hAnsi="Garamond"/>
                <w:b w:val="0"/>
                <w:sz w:val="18"/>
                <w:szCs w:val="18"/>
              </w:rPr>
            </w:pPr>
            <w:r w:rsidRPr="007114AF">
              <w:rPr>
                <w:rFonts w:ascii="Garamond" w:hAnsi="Garamond"/>
                <w:sz w:val="18"/>
                <w:szCs w:val="18"/>
              </w:rPr>
              <w:t>Shkarkimet totale botërore Gg</w:t>
            </w:r>
          </w:p>
        </w:tc>
        <w:tc>
          <w:tcPr>
            <w:tcW w:w="955" w:type="pct"/>
            <w:noWrap/>
            <w:vAlign w:val="center"/>
            <w:hideMark/>
          </w:tcPr>
          <w:p w14:paraId="6EDCFB48" w14:textId="77777777" w:rsidR="00A9766F" w:rsidRPr="007114AF" w:rsidRDefault="00A9766F" w:rsidP="00A9766F">
            <w:pPr>
              <w:spacing w:after="0"/>
              <w:cnfStyle w:val="000000100000" w:firstRow="0" w:lastRow="0" w:firstColumn="0" w:lastColumn="0" w:oddVBand="0" w:evenVBand="0" w:oddHBand="1" w:evenHBand="0" w:firstRowFirstColumn="0" w:firstRowLastColumn="0" w:lastRowFirstColumn="0" w:lastRowLastColumn="0"/>
              <w:rPr>
                <w:rFonts w:ascii="Garamond" w:hAnsi="Garamond"/>
                <w:sz w:val="18"/>
                <w:szCs w:val="18"/>
              </w:rPr>
            </w:pPr>
            <w:r w:rsidRPr="007114AF">
              <w:rPr>
                <w:rFonts w:ascii="Garamond" w:hAnsi="Garamond"/>
                <w:sz w:val="18"/>
                <w:szCs w:val="18"/>
              </w:rPr>
              <w:t>38,232,170.06</w:t>
            </w:r>
          </w:p>
        </w:tc>
        <w:tc>
          <w:tcPr>
            <w:tcW w:w="955" w:type="pct"/>
            <w:noWrap/>
            <w:vAlign w:val="center"/>
            <w:hideMark/>
          </w:tcPr>
          <w:p w14:paraId="6EDCFB49" w14:textId="77777777" w:rsidR="00A9766F" w:rsidRPr="007114AF" w:rsidRDefault="00A9766F" w:rsidP="00A9766F">
            <w:pPr>
              <w:spacing w:after="0"/>
              <w:cnfStyle w:val="000000100000" w:firstRow="0" w:lastRow="0" w:firstColumn="0" w:lastColumn="0" w:oddVBand="0" w:evenVBand="0" w:oddHBand="1" w:evenHBand="0" w:firstRowFirstColumn="0" w:firstRowLastColumn="0" w:lastRowFirstColumn="0" w:lastRowLastColumn="0"/>
              <w:rPr>
                <w:rFonts w:ascii="Garamond" w:hAnsi="Garamond"/>
                <w:sz w:val="18"/>
                <w:szCs w:val="18"/>
              </w:rPr>
            </w:pPr>
            <w:r w:rsidRPr="007114AF">
              <w:rPr>
                <w:rFonts w:ascii="Garamond" w:hAnsi="Garamond"/>
                <w:sz w:val="18"/>
                <w:szCs w:val="18"/>
              </w:rPr>
              <w:t>40,563,437.00</w:t>
            </w:r>
          </w:p>
        </w:tc>
        <w:tc>
          <w:tcPr>
            <w:tcW w:w="955" w:type="pct"/>
            <w:noWrap/>
            <w:vAlign w:val="center"/>
            <w:hideMark/>
          </w:tcPr>
          <w:p w14:paraId="6EDCFB4A" w14:textId="77777777" w:rsidR="00A9766F" w:rsidRPr="007114AF" w:rsidRDefault="00A9766F" w:rsidP="00A9766F">
            <w:pPr>
              <w:spacing w:after="0"/>
              <w:cnfStyle w:val="000000100000" w:firstRow="0" w:lastRow="0" w:firstColumn="0" w:lastColumn="0" w:oddVBand="0" w:evenVBand="0" w:oddHBand="1" w:evenHBand="0" w:firstRowFirstColumn="0" w:firstRowLastColumn="0" w:lastRowFirstColumn="0" w:lastRowLastColumn="0"/>
              <w:rPr>
                <w:rFonts w:ascii="Garamond" w:hAnsi="Garamond"/>
                <w:sz w:val="18"/>
                <w:szCs w:val="18"/>
              </w:rPr>
            </w:pPr>
            <w:r w:rsidRPr="007114AF">
              <w:rPr>
                <w:rFonts w:ascii="Garamond" w:hAnsi="Garamond"/>
                <w:sz w:val="18"/>
                <w:szCs w:val="18"/>
              </w:rPr>
              <w:t>50,911,113.68</w:t>
            </w:r>
          </w:p>
        </w:tc>
        <w:tc>
          <w:tcPr>
            <w:tcW w:w="956" w:type="pct"/>
            <w:noWrap/>
            <w:vAlign w:val="center"/>
            <w:hideMark/>
          </w:tcPr>
          <w:p w14:paraId="6EDCFB4B" w14:textId="77777777" w:rsidR="00A9766F" w:rsidRPr="007114AF" w:rsidRDefault="00A9766F" w:rsidP="00A9766F">
            <w:pPr>
              <w:spacing w:after="0"/>
              <w:cnfStyle w:val="000000100000" w:firstRow="0" w:lastRow="0" w:firstColumn="0" w:lastColumn="0" w:oddVBand="0" w:evenVBand="0" w:oddHBand="1" w:evenHBand="0" w:firstRowFirstColumn="0" w:firstRowLastColumn="0" w:lastRowFirstColumn="0" w:lastRowLastColumn="0"/>
              <w:rPr>
                <w:rFonts w:ascii="Garamond" w:hAnsi="Garamond"/>
                <w:sz w:val="18"/>
                <w:szCs w:val="18"/>
              </w:rPr>
            </w:pPr>
            <w:r w:rsidRPr="007114AF">
              <w:rPr>
                <w:rFonts w:ascii="Garamond" w:hAnsi="Garamond"/>
                <w:sz w:val="18"/>
                <w:szCs w:val="18"/>
              </w:rPr>
              <w:t> </w:t>
            </w:r>
          </w:p>
        </w:tc>
      </w:tr>
      <w:tr w:rsidR="00A9766F" w:rsidRPr="007114AF" w14:paraId="6EDCFB52" w14:textId="77777777" w:rsidTr="00A9766F">
        <w:trPr>
          <w:trHeight w:val="290"/>
        </w:trPr>
        <w:tc>
          <w:tcPr>
            <w:cnfStyle w:val="001000000000" w:firstRow="0" w:lastRow="0" w:firstColumn="1" w:lastColumn="0" w:oddVBand="0" w:evenVBand="0" w:oddHBand="0" w:evenHBand="0" w:firstRowFirstColumn="0" w:firstRowLastColumn="0" w:lastRowFirstColumn="0" w:lastRowLastColumn="0"/>
            <w:tcW w:w="1179" w:type="pct"/>
            <w:vAlign w:val="center"/>
            <w:hideMark/>
          </w:tcPr>
          <w:p w14:paraId="6EDCFB4D" w14:textId="77777777" w:rsidR="00A9766F" w:rsidRPr="007114AF" w:rsidRDefault="00A9766F" w:rsidP="00A9766F">
            <w:pPr>
              <w:spacing w:after="0"/>
              <w:rPr>
                <w:rFonts w:ascii="Garamond" w:hAnsi="Garamond"/>
                <w:b w:val="0"/>
                <w:sz w:val="18"/>
                <w:szCs w:val="18"/>
              </w:rPr>
            </w:pPr>
            <w:r w:rsidRPr="007114AF">
              <w:rPr>
                <w:rFonts w:ascii="Garamond" w:hAnsi="Garamond"/>
                <w:sz w:val="18"/>
                <w:szCs w:val="18"/>
              </w:rPr>
              <w:t>BE 28</w:t>
            </w:r>
          </w:p>
        </w:tc>
        <w:tc>
          <w:tcPr>
            <w:tcW w:w="955" w:type="pct"/>
            <w:noWrap/>
            <w:vAlign w:val="center"/>
            <w:hideMark/>
          </w:tcPr>
          <w:p w14:paraId="6EDCFB4E" w14:textId="77777777" w:rsidR="00A9766F" w:rsidRPr="007114AF" w:rsidRDefault="00A9766F" w:rsidP="00A9766F">
            <w:pPr>
              <w:spacing w:after="0"/>
              <w:cnfStyle w:val="000000000000" w:firstRow="0" w:lastRow="0" w:firstColumn="0" w:lastColumn="0" w:oddVBand="0" w:evenVBand="0" w:oddHBand="0" w:evenHBand="0" w:firstRowFirstColumn="0" w:firstRowLastColumn="0" w:lastRowFirstColumn="0" w:lastRowLastColumn="0"/>
              <w:rPr>
                <w:rFonts w:ascii="Garamond" w:hAnsi="Garamond"/>
                <w:sz w:val="18"/>
                <w:szCs w:val="18"/>
              </w:rPr>
            </w:pPr>
            <w:r w:rsidRPr="007114AF">
              <w:rPr>
                <w:rFonts w:ascii="Garamond" w:hAnsi="Garamond"/>
                <w:sz w:val="18"/>
                <w:szCs w:val="18"/>
              </w:rPr>
              <w:t>5,636,933.47</w:t>
            </w:r>
          </w:p>
        </w:tc>
        <w:tc>
          <w:tcPr>
            <w:tcW w:w="955" w:type="pct"/>
            <w:noWrap/>
            <w:vAlign w:val="center"/>
            <w:hideMark/>
          </w:tcPr>
          <w:p w14:paraId="6EDCFB4F" w14:textId="77777777" w:rsidR="00A9766F" w:rsidRPr="007114AF" w:rsidRDefault="00A9766F" w:rsidP="00A9766F">
            <w:pPr>
              <w:spacing w:after="0"/>
              <w:cnfStyle w:val="000000000000" w:firstRow="0" w:lastRow="0" w:firstColumn="0" w:lastColumn="0" w:oddVBand="0" w:evenVBand="0" w:oddHBand="0" w:evenHBand="0" w:firstRowFirstColumn="0" w:firstRowLastColumn="0" w:lastRowFirstColumn="0" w:lastRowLastColumn="0"/>
              <w:rPr>
                <w:rFonts w:ascii="Garamond" w:hAnsi="Garamond"/>
                <w:sz w:val="18"/>
                <w:szCs w:val="18"/>
              </w:rPr>
            </w:pPr>
            <w:r w:rsidRPr="007114AF">
              <w:rPr>
                <w:rFonts w:ascii="Garamond" w:hAnsi="Garamond"/>
                <w:sz w:val="18"/>
                <w:szCs w:val="18"/>
              </w:rPr>
              <w:t>5,103,281.75</w:t>
            </w:r>
          </w:p>
        </w:tc>
        <w:tc>
          <w:tcPr>
            <w:tcW w:w="955" w:type="pct"/>
            <w:noWrap/>
            <w:vAlign w:val="center"/>
            <w:hideMark/>
          </w:tcPr>
          <w:p w14:paraId="6EDCFB50" w14:textId="77777777" w:rsidR="00A9766F" w:rsidRPr="007114AF" w:rsidRDefault="00A9766F" w:rsidP="00A9766F">
            <w:pPr>
              <w:spacing w:after="0"/>
              <w:cnfStyle w:val="000000000000" w:firstRow="0" w:lastRow="0" w:firstColumn="0" w:lastColumn="0" w:oddVBand="0" w:evenVBand="0" w:oddHBand="0" w:evenHBand="0" w:firstRowFirstColumn="0" w:firstRowLastColumn="0" w:lastRowFirstColumn="0" w:lastRowLastColumn="0"/>
              <w:rPr>
                <w:rFonts w:ascii="Garamond" w:hAnsi="Garamond"/>
                <w:sz w:val="18"/>
                <w:szCs w:val="18"/>
              </w:rPr>
            </w:pPr>
            <w:r w:rsidRPr="007114AF">
              <w:rPr>
                <w:rFonts w:ascii="Garamond" w:hAnsi="Garamond"/>
                <w:sz w:val="18"/>
                <w:szCs w:val="18"/>
              </w:rPr>
              <w:t>4,834,156.78</w:t>
            </w:r>
          </w:p>
        </w:tc>
        <w:tc>
          <w:tcPr>
            <w:tcW w:w="956" w:type="pct"/>
            <w:noWrap/>
            <w:vAlign w:val="center"/>
            <w:hideMark/>
          </w:tcPr>
          <w:p w14:paraId="6EDCFB51" w14:textId="77777777" w:rsidR="00A9766F" w:rsidRPr="007114AF" w:rsidRDefault="00A9766F" w:rsidP="00A9766F">
            <w:pPr>
              <w:spacing w:after="0"/>
              <w:cnfStyle w:val="000000000000" w:firstRow="0" w:lastRow="0" w:firstColumn="0" w:lastColumn="0" w:oddVBand="0" w:evenVBand="0" w:oddHBand="0" w:evenHBand="0" w:firstRowFirstColumn="0" w:firstRowLastColumn="0" w:lastRowFirstColumn="0" w:lastRowLastColumn="0"/>
              <w:rPr>
                <w:rFonts w:ascii="Garamond" w:hAnsi="Garamond"/>
                <w:sz w:val="18"/>
                <w:szCs w:val="18"/>
              </w:rPr>
            </w:pPr>
            <w:r w:rsidRPr="007114AF">
              <w:rPr>
                <w:rFonts w:ascii="Garamond" w:hAnsi="Garamond"/>
                <w:sz w:val="18"/>
                <w:szCs w:val="18"/>
              </w:rPr>
              <w:t>3,382,160.08</w:t>
            </w:r>
          </w:p>
        </w:tc>
      </w:tr>
      <w:tr w:rsidR="00A9766F" w:rsidRPr="007114AF" w14:paraId="6EDCFB58" w14:textId="77777777" w:rsidTr="00A9766F">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179" w:type="pct"/>
            <w:vAlign w:val="center"/>
            <w:hideMark/>
          </w:tcPr>
          <w:p w14:paraId="6EDCFB53" w14:textId="77777777" w:rsidR="00A9766F" w:rsidRPr="007114AF" w:rsidRDefault="00A9766F" w:rsidP="00A9766F">
            <w:pPr>
              <w:spacing w:after="0"/>
              <w:rPr>
                <w:rFonts w:ascii="Garamond" w:hAnsi="Garamond"/>
                <w:b w:val="0"/>
                <w:sz w:val="18"/>
                <w:szCs w:val="18"/>
              </w:rPr>
            </w:pPr>
            <w:r w:rsidRPr="007114AF">
              <w:rPr>
                <w:rFonts w:ascii="Garamond" w:hAnsi="Garamond"/>
                <w:sz w:val="18"/>
                <w:szCs w:val="18"/>
              </w:rPr>
              <w:t xml:space="preserve">Popullsia e BE-së 28 </w:t>
            </w:r>
          </w:p>
        </w:tc>
        <w:tc>
          <w:tcPr>
            <w:tcW w:w="955" w:type="pct"/>
            <w:noWrap/>
            <w:vAlign w:val="center"/>
            <w:hideMark/>
          </w:tcPr>
          <w:p w14:paraId="6EDCFB54" w14:textId="77777777" w:rsidR="00A9766F" w:rsidRPr="007114AF" w:rsidRDefault="00A9766F" w:rsidP="00A9766F">
            <w:pPr>
              <w:spacing w:after="0"/>
              <w:cnfStyle w:val="000000100000" w:firstRow="0" w:lastRow="0" w:firstColumn="0" w:lastColumn="0" w:oddVBand="0" w:evenVBand="0" w:oddHBand="1" w:evenHBand="0" w:firstRowFirstColumn="0" w:firstRowLastColumn="0" w:lastRowFirstColumn="0" w:lastRowLastColumn="0"/>
              <w:rPr>
                <w:rFonts w:ascii="Garamond" w:hAnsi="Garamond"/>
                <w:sz w:val="18"/>
                <w:szCs w:val="18"/>
              </w:rPr>
            </w:pPr>
            <w:r w:rsidRPr="007114AF">
              <w:rPr>
                <w:rFonts w:ascii="Garamond" w:hAnsi="Garamond"/>
                <w:sz w:val="18"/>
                <w:szCs w:val="18"/>
              </w:rPr>
              <w:t>475,160,781.00</w:t>
            </w:r>
          </w:p>
        </w:tc>
        <w:tc>
          <w:tcPr>
            <w:tcW w:w="955" w:type="pct"/>
            <w:noWrap/>
            <w:vAlign w:val="center"/>
            <w:hideMark/>
          </w:tcPr>
          <w:p w14:paraId="6EDCFB55" w14:textId="77777777" w:rsidR="00A9766F" w:rsidRPr="007114AF" w:rsidRDefault="00A9766F" w:rsidP="00A9766F">
            <w:pPr>
              <w:spacing w:after="0"/>
              <w:cnfStyle w:val="000000100000" w:firstRow="0" w:lastRow="0" w:firstColumn="0" w:lastColumn="0" w:oddVBand="0" w:evenVBand="0" w:oddHBand="1" w:evenHBand="0" w:firstRowFirstColumn="0" w:firstRowLastColumn="0" w:lastRowFirstColumn="0" w:lastRowLastColumn="0"/>
              <w:rPr>
                <w:rFonts w:ascii="Garamond" w:hAnsi="Garamond"/>
                <w:sz w:val="18"/>
                <w:szCs w:val="18"/>
              </w:rPr>
            </w:pPr>
            <w:r w:rsidRPr="007114AF">
              <w:rPr>
                <w:rFonts w:ascii="Garamond" w:hAnsi="Garamond"/>
                <w:sz w:val="18"/>
                <w:szCs w:val="18"/>
              </w:rPr>
              <w:t>486,958,178.00</w:t>
            </w:r>
          </w:p>
        </w:tc>
        <w:tc>
          <w:tcPr>
            <w:tcW w:w="955" w:type="pct"/>
            <w:noWrap/>
            <w:vAlign w:val="center"/>
            <w:hideMark/>
          </w:tcPr>
          <w:p w14:paraId="6EDCFB56" w14:textId="77777777" w:rsidR="00A9766F" w:rsidRPr="007114AF" w:rsidRDefault="00A9766F" w:rsidP="00A9766F">
            <w:pPr>
              <w:spacing w:after="0"/>
              <w:cnfStyle w:val="000000100000" w:firstRow="0" w:lastRow="0" w:firstColumn="0" w:lastColumn="0" w:oddVBand="0" w:evenVBand="0" w:oddHBand="1" w:evenHBand="0" w:firstRowFirstColumn="0" w:firstRowLastColumn="0" w:lastRowFirstColumn="0" w:lastRowLastColumn="0"/>
              <w:rPr>
                <w:rFonts w:ascii="Garamond" w:hAnsi="Garamond"/>
                <w:sz w:val="18"/>
                <w:szCs w:val="18"/>
              </w:rPr>
            </w:pPr>
            <w:r w:rsidRPr="007114AF">
              <w:rPr>
                <w:rFonts w:ascii="Garamond" w:hAnsi="Garamond"/>
                <w:sz w:val="18"/>
                <w:szCs w:val="18"/>
              </w:rPr>
              <w:t>503,234,845.00</w:t>
            </w:r>
          </w:p>
        </w:tc>
        <w:tc>
          <w:tcPr>
            <w:tcW w:w="956" w:type="pct"/>
            <w:noWrap/>
            <w:vAlign w:val="center"/>
            <w:hideMark/>
          </w:tcPr>
          <w:p w14:paraId="6EDCFB57" w14:textId="77777777" w:rsidR="00A9766F" w:rsidRPr="007114AF" w:rsidRDefault="00A9766F" w:rsidP="00A9766F">
            <w:pPr>
              <w:spacing w:after="0"/>
              <w:cnfStyle w:val="000000100000" w:firstRow="0" w:lastRow="0" w:firstColumn="0" w:lastColumn="0" w:oddVBand="0" w:evenVBand="0" w:oddHBand="1" w:evenHBand="0" w:firstRowFirstColumn="0" w:firstRowLastColumn="0" w:lastRowFirstColumn="0" w:lastRowLastColumn="0"/>
              <w:rPr>
                <w:rFonts w:ascii="Garamond" w:hAnsi="Garamond"/>
                <w:sz w:val="18"/>
                <w:szCs w:val="18"/>
              </w:rPr>
            </w:pPr>
            <w:r w:rsidRPr="007114AF">
              <w:rPr>
                <w:rFonts w:ascii="Garamond" w:hAnsi="Garamond"/>
                <w:sz w:val="18"/>
                <w:szCs w:val="18"/>
              </w:rPr>
              <w:t>518,499,055.00</w:t>
            </w:r>
          </w:p>
        </w:tc>
      </w:tr>
      <w:tr w:rsidR="00A9766F" w:rsidRPr="007114AF" w14:paraId="6EDCFB5E" w14:textId="77777777" w:rsidTr="00A9766F">
        <w:trPr>
          <w:trHeight w:val="290"/>
        </w:trPr>
        <w:tc>
          <w:tcPr>
            <w:cnfStyle w:val="001000000000" w:firstRow="0" w:lastRow="0" w:firstColumn="1" w:lastColumn="0" w:oddVBand="0" w:evenVBand="0" w:oddHBand="0" w:evenHBand="0" w:firstRowFirstColumn="0" w:firstRowLastColumn="0" w:lastRowFirstColumn="0" w:lastRowLastColumn="0"/>
            <w:tcW w:w="1179" w:type="pct"/>
            <w:vAlign w:val="center"/>
            <w:hideMark/>
          </w:tcPr>
          <w:p w14:paraId="6EDCFB59" w14:textId="77777777" w:rsidR="00A9766F" w:rsidRPr="007114AF" w:rsidRDefault="00A9766F" w:rsidP="00A9766F">
            <w:pPr>
              <w:spacing w:after="0"/>
              <w:rPr>
                <w:rFonts w:ascii="Garamond" w:hAnsi="Garamond"/>
                <w:b w:val="0"/>
                <w:sz w:val="18"/>
                <w:szCs w:val="18"/>
              </w:rPr>
            </w:pPr>
            <w:r w:rsidRPr="007114AF">
              <w:rPr>
                <w:rFonts w:ascii="Garamond" w:hAnsi="Garamond"/>
                <w:sz w:val="18"/>
                <w:szCs w:val="18"/>
              </w:rPr>
              <w:t>Shkarkimi/kokë BE</w:t>
            </w:r>
          </w:p>
        </w:tc>
        <w:tc>
          <w:tcPr>
            <w:tcW w:w="955" w:type="pct"/>
            <w:noWrap/>
            <w:vAlign w:val="center"/>
            <w:hideMark/>
          </w:tcPr>
          <w:p w14:paraId="6EDCFB5A" w14:textId="77777777" w:rsidR="00A9766F" w:rsidRPr="007114AF" w:rsidRDefault="00A9766F" w:rsidP="00A9766F">
            <w:pPr>
              <w:spacing w:after="0"/>
              <w:cnfStyle w:val="000000000000" w:firstRow="0" w:lastRow="0" w:firstColumn="0" w:lastColumn="0" w:oddVBand="0" w:evenVBand="0" w:oddHBand="0" w:evenHBand="0" w:firstRowFirstColumn="0" w:firstRowLastColumn="0" w:lastRowFirstColumn="0" w:lastRowLastColumn="0"/>
              <w:rPr>
                <w:rFonts w:ascii="Garamond" w:hAnsi="Garamond"/>
                <w:sz w:val="18"/>
                <w:szCs w:val="18"/>
              </w:rPr>
            </w:pPr>
            <w:r w:rsidRPr="007114AF">
              <w:rPr>
                <w:rFonts w:ascii="Garamond" w:hAnsi="Garamond"/>
                <w:sz w:val="18"/>
                <w:szCs w:val="18"/>
              </w:rPr>
              <w:t>11.86</w:t>
            </w:r>
          </w:p>
        </w:tc>
        <w:tc>
          <w:tcPr>
            <w:tcW w:w="955" w:type="pct"/>
            <w:noWrap/>
            <w:vAlign w:val="center"/>
            <w:hideMark/>
          </w:tcPr>
          <w:p w14:paraId="6EDCFB5B" w14:textId="77777777" w:rsidR="00A9766F" w:rsidRPr="007114AF" w:rsidRDefault="00A9766F" w:rsidP="00A9766F">
            <w:pPr>
              <w:spacing w:after="0"/>
              <w:cnfStyle w:val="000000000000" w:firstRow="0" w:lastRow="0" w:firstColumn="0" w:lastColumn="0" w:oddVBand="0" w:evenVBand="0" w:oddHBand="0" w:evenHBand="0" w:firstRowFirstColumn="0" w:firstRowLastColumn="0" w:lastRowFirstColumn="0" w:lastRowLastColumn="0"/>
              <w:rPr>
                <w:rFonts w:ascii="Garamond" w:hAnsi="Garamond"/>
                <w:sz w:val="18"/>
                <w:szCs w:val="18"/>
              </w:rPr>
            </w:pPr>
            <w:r w:rsidRPr="007114AF">
              <w:rPr>
                <w:rFonts w:ascii="Garamond" w:hAnsi="Garamond"/>
                <w:sz w:val="18"/>
                <w:szCs w:val="18"/>
              </w:rPr>
              <w:t>10.48</w:t>
            </w:r>
          </w:p>
        </w:tc>
        <w:tc>
          <w:tcPr>
            <w:tcW w:w="955" w:type="pct"/>
            <w:noWrap/>
            <w:vAlign w:val="center"/>
            <w:hideMark/>
          </w:tcPr>
          <w:p w14:paraId="6EDCFB5C" w14:textId="77777777" w:rsidR="00A9766F" w:rsidRPr="007114AF" w:rsidRDefault="00A9766F" w:rsidP="00A9766F">
            <w:pPr>
              <w:spacing w:after="0"/>
              <w:cnfStyle w:val="000000000000" w:firstRow="0" w:lastRow="0" w:firstColumn="0" w:lastColumn="0" w:oddVBand="0" w:evenVBand="0" w:oddHBand="0" w:evenHBand="0" w:firstRowFirstColumn="0" w:firstRowLastColumn="0" w:lastRowFirstColumn="0" w:lastRowLastColumn="0"/>
              <w:rPr>
                <w:rFonts w:ascii="Garamond" w:hAnsi="Garamond"/>
                <w:sz w:val="18"/>
                <w:szCs w:val="18"/>
              </w:rPr>
            </w:pPr>
            <w:r w:rsidRPr="007114AF">
              <w:rPr>
                <w:rFonts w:ascii="Garamond" w:hAnsi="Garamond"/>
                <w:sz w:val="18"/>
                <w:szCs w:val="18"/>
              </w:rPr>
              <w:t>9.61</w:t>
            </w:r>
          </w:p>
        </w:tc>
        <w:tc>
          <w:tcPr>
            <w:tcW w:w="956" w:type="pct"/>
            <w:noWrap/>
            <w:vAlign w:val="center"/>
            <w:hideMark/>
          </w:tcPr>
          <w:p w14:paraId="6EDCFB5D" w14:textId="77777777" w:rsidR="00A9766F" w:rsidRPr="007114AF" w:rsidRDefault="00A9766F" w:rsidP="00A9766F">
            <w:pPr>
              <w:spacing w:after="0"/>
              <w:cnfStyle w:val="000000000000" w:firstRow="0" w:lastRow="0" w:firstColumn="0" w:lastColumn="0" w:oddVBand="0" w:evenVBand="0" w:oddHBand="0" w:evenHBand="0" w:firstRowFirstColumn="0" w:firstRowLastColumn="0" w:lastRowFirstColumn="0" w:lastRowLastColumn="0"/>
              <w:rPr>
                <w:rFonts w:ascii="Garamond" w:hAnsi="Garamond"/>
                <w:sz w:val="18"/>
                <w:szCs w:val="18"/>
              </w:rPr>
            </w:pPr>
            <w:r w:rsidRPr="007114AF">
              <w:rPr>
                <w:rFonts w:ascii="Garamond" w:hAnsi="Garamond"/>
                <w:sz w:val="18"/>
                <w:szCs w:val="18"/>
              </w:rPr>
              <w:t>6.52</w:t>
            </w:r>
          </w:p>
        </w:tc>
      </w:tr>
      <w:tr w:rsidR="00A9766F" w:rsidRPr="007114AF" w14:paraId="6EDCFB64" w14:textId="77777777" w:rsidTr="00A9766F">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179" w:type="pct"/>
            <w:vAlign w:val="center"/>
            <w:hideMark/>
          </w:tcPr>
          <w:p w14:paraId="6EDCFB5F" w14:textId="4699F8EC" w:rsidR="00A9766F" w:rsidRPr="007114AF" w:rsidRDefault="00A9766F" w:rsidP="00A9766F">
            <w:pPr>
              <w:spacing w:after="0"/>
              <w:rPr>
                <w:rFonts w:ascii="Garamond" w:hAnsi="Garamond"/>
                <w:b w:val="0"/>
                <w:sz w:val="18"/>
                <w:szCs w:val="18"/>
              </w:rPr>
            </w:pPr>
            <w:r w:rsidRPr="007114AF">
              <w:rPr>
                <w:rFonts w:ascii="Garamond" w:hAnsi="Garamond"/>
                <w:sz w:val="18"/>
                <w:szCs w:val="18"/>
              </w:rPr>
              <w:t>Popullsia e Shqipërisë</w:t>
            </w:r>
            <w:r w:rsidR="000A2A01" w:rsidRPr="007114AF">
              <w:rPr>
                <w:rFonts w:ascii="Garamond" w:hAnsi="Garamond"/>
                <w:sz w:val="18"/>
                <w:szCs w:val="18"/>
              </w:rPr>
              <w:t xml:space="preserve"> </w:t>
            </w:r>
          </w:p>
        </w:tc>
        <w:tc>
          <w:tcPr>
            <w:tcW w:w="955" w:type="pct"/>
            <w:noWrap/>
            <w:vAlign w:val="center"/>
            <w:hideMark/>
          </w:tcPr>
          <w:p w14:paraId="6EDCFB60" w14:textId="77777777" w:rsidR="00A9766F" w:rsidRPr="007114AF" w:rsidRDefault="00A9766F" w:rsidP="00A9766F">
            <w:pPr>
              <w:spacing w:after="0"/>
              <w:cnfStyle w:val="000000100000" w:firstRow="0" w:lastRow="0" w:firstColumn="0" w:lastColumn="0" w:oddVBand="0" w:evenVBand="0" w:oddHBand="1" w:evenHBand="0" w:firstRowFirstColumn="0" w:firstRowLastColumn="0" w:lastRowFirstColumn="0" w:lastRowLastColumn="0"/>
              <w:rPr>
                <w:rFonts w:ascii="Garamond" w:hAnsi="Garamond"/>
                <w:sz w:val="18"/>
                <w:szCs w:val="18"/>
              </w:rPr>
            </w:pPr>
            <w:r w:rsidRPr="007114AF">
              <w:rPr>
                <w:rFonts w:ascii="Garamond" w:hAnsi="Garamond"/>
                <w:sz w:val="18"/>
                <w:szCs w:val="18"/>
              </w:rPr>
              <w:t>3,286,000</w:t>
            </w:r>
          </w:p>
        </w:tc>
        <w:tc>
          <w:tcPr>
            <w:tcW w:w="955" w:type="pct"/>
            <w:noWrap/>
            <w:vAlign w:val="center"/>
            <w:hideMark/>
          </w:tcPr>
          <w:p w14:paraId="6EDCFB61" w14:textId="77777777" w:rsidR="00A9766F" w:rsidRPr="007114AF" w:rsidRDefault="00A9766F" w:rsidP="00A9766F">
            <w:pPr>
              <w:spacing w:after="0"/>
              <w:cnfStyle w:val="000000100000" w:firstRow="0" w:lastRow="0" w:firstColumn="0" w:lastColumn="0" w:oddVBand="0" w:evenVBand="0" w:oddHBand="1" w:evenHBand="0" w:firstRowFirstColumn="0" w:firstRowLastColumn="0" w:lastRowFirstColumn="0" w:lastRowLastColumn="0"/>
              <w:rPr>
                <w:rFonts w:ascii="Garamond" w:hAnsi="Garamond"/>
                <w:sz w:val="18"/>
                <w:szCs w:val="18"/>
              </w:rPr>
            </w:pPr>
            <w:r w:rsidRPr="007114AF">
              <w:rPr>
                <w:rFonts w:ascii="Garamond" w:hAnsi="Garamond"/>
                <w:sz w:val="18"/>
                <w:szCs w:val="18"/>
              </w:rPr>
              <w:t>3,196,130</w:t>
            </w:r>
          </w:p>
        </w:tc>
        <w:tc>
          <w:tcPr>
            <w:tcW w:w="955" w:type="pct"/>
            <w:noWrap/>
            <w:vAlign w:val="center"/>
            <w:hideMark/>
          </w:tcPr>
          <w:p w14:paraId="6EDCFB62" w14:textId="77777777" w:rsidR="00A9766F" w:rsidRPr="007114AF" w:rsidRDefault="00A9766F" w:rsidP="00A9766F">
            <w:pPr>
              <w:spacing w:after="0"/>
              <w:cnfStyle w:val="000000100000" w:firstRow="0" w:lastRow="0" w:firstColumn="0" w:lastColumn="0" w:oddVBand="0" w:evenVBand="0" w:oddHBand="1" w:evenHBand="0" w:firstRowFirstColumn="0" w:firstRowLastColumn="0" w:lastRowFirstColumn="0" w:lastRowLastColumn="0"/>
              <w:rPr>
                <w:rFonts w:ascii="Garamond" w:hAnsi="Garamond"/>
                <w:sz w:val="18"/>
                <w:szCs w:val="18"/>
              </w:rPr>
            </w:pPr>
            <w:r w:rsidRPr="007114AF">
              <w:rPr>
                <w:rFonts w:ascii="Garamond" w:hAnsi="Garamond"/>
                <w:sz w:val="18"/>
                <w:szCs w:val="18"/>
              </w:rPr>
              <w:t>3,150,143</w:t>
            </w:r>
          </w:p>
        </w:tc>
        <w:tc>
          <w:tcPr>
            <w:tcW w:w="956" w:type="pct"/>
            <w:noWrap/>
            <w:vAlign w:val="center"/>
          </w:tcPr>
          <w:p w14:paraId="6EDCFB63" w14:textId="77777777" w:rsidR="00A9766F" w:rsidRPr="007114AF" w:rsidRDefault="00A9766F" w:rsidP="00A9766F">
            <w:pPr>
              <w:spacing w:after="0"/>
              <w:cnfStyle w:val="000000100000" w:firstRow="0" w:lastRow="0" w:firstColumn="0" w:lastColumn="0" w:oddVBand="0" w:evenVBand="0" w:oddHBand="1" w:evenHBand="0" w:firstRowFirstColumn="0" w:firstRowLastColumn="0" w:lastRowFirstColumn="0" w:lastRowLastColumn="0"/>
              <w:rPr>
                <w:rFonts w:ascii="Garamond" w:hAnsi="Garamond"/>
                <w:sz w:val="18"/>
                <w:szCs w:val="18"/>
              </w:rPr>
            </w:pPr>
          </w:p>
        </w:tc>
      </w:tr>
      <w:tr w:rsidR="00A9766F" w:rsidRPr="007114AF" w14:paraId="6EDCFB6A" w14:textId="77777777" w:rsidTr="00A9766F">
        <w:trPr>
          <w:trHeight w:val="290"/>
        </w:trPr>
        <w:tc>
          <w:tcPr>
            <w:cnfStyle w:val="001000000000" w:firstRow="0" w:lastRow="0" w:firstColumn="1" w:lastColumn="0" w:oddVBand="0" w:evenVBand="0" w:oddHBand="0" w:evenHBand="0" w:firstRowFirstColumn="0" w:firstRowLastColumn="0" w:lastRowFirstColumn="0" w:lastRowLastColumn="0"/>
            <w:tcW w:w="1179" w:type="pct"/>
            <w:vAlign w:val="center"/>
            <w:hideMark/>
          </w:tcPr>
          <w:p w14:paraId="6EDCFB65" w14:textId="77777777" w:rsidR="00A9766F" w:rsidRPr="007114AF" w:rsidRDefault="00A9766F" w:rsidP="00A9766F">
            <w:pPr>
              <w:spacing w:after="0"/>
              <w:rPr>
                <w:rFonts w:ascii="Garamond" w:hAnsi="Garamond"/>
                <w:b w:val="0"/>
                <w:sz w:val="18"/>
                <w:szCs w:val="18"/>
              </w:rPr>
            </w:pPr>
            <w:r w:rsidRPr="007114AF">
              <w:rPr>
                <w:rFonts w:ascii="Garamond" w:hAnsi="Garamond"/>
                <w:sz w:val="18"/>
                <w:szCs w:val="18"/>
              </w:rPr>
              <w:t>Shkarkimet e Shqipërisë Gg CO</w:t>
            </w:r>
            <w:r w:rsidRPr="007114AF">
              <w:rPr>
                <w:rFonts w:ascii="Garamond" w:hAnsi="Garamond"/>
                <w:sz w:val="18"/>
                <w:szCs w:val="18"/>
                <w:vertAlign w:val="subscript"/>
              </w:rPr>
              <w:t>2</w:t>
            </w:r>
            <w:r w:rsidRPr="007114AF">
              <w:rPr>
                <w:rFonts w:ascii="Garamond" w:hAnsi="Garamond"/>
                <w:sz w:val="18"/>
                <w:szCs w:val="18"/>
              </w:rPr>
              <w:t>eq</w:t>
            </w:r>
          </w:p>
        </w:tc>
        <w:tc>
          <w:tcPr>
            <w:tcW w:w="955" w:type="pct"/>
            <w:noWrap/>
            <w:vAlign w:val="center"/>
            <w:hideMark/>
          </w:tcPr>
          <w:p w14:paraId="6EDCFB66" w14:textId="77777777" w:rsidR="00A9766F" w:rsidRPr="007114AF" w:rsidRDefault="00A9766F" w:rsidP="00A9766F">
            <w:pPr>
              <w:spacing w:after="0"/>
              <w:cnfStyle w:val="000000000000" w:firstRow="0" w:lastRow="0" w:firstColumn="0" w:lastColumn="0" w:oddVBand="0" w:evenVBand="0" w:oddHBand="0" w:evenHBand="0" w:firstRowFirstColumn="0" w:firstRowLastColumn="0" w:lastRowFirstColumn="0" w:lastRowLastColumn="0"/>
              <w:rPr>
                <w:rFonts w:ascii="Garamond" w:hAnsi="Garamond"/>
                <w:sz w:val="18"/>
                <w:szCs w:val="18"/>
              </w:rPr>
            </w:pPr>
            <w:r w:rsidRPr="007114AF">
              <w:rPr>
                <w:rFonts w:ascii="Garamond" w:hAnsi="Garamond"/>
                <w:sz w:val="18"/>
                <w:szCs w:val="18"/>
              </w:rPr>
              <w:t>4,341.02</w:t>
            </w:r>
          </w:p>
        </w:tc>
        <w:tc>
          <w:tcPr>
            <w:tcW w:w="955" w:type="pct"/>
            <w:noWrap/>
            <w:vAlign w:val="center"/>
            <w:hideMark/>
          </w:tcPr>
          <w:p w14:paraId="6EDCFB67" w14:textId="77777777" w:rsidR="00A9766F" w:rsidRPr="007114AF" w:rsidRDefault="00A9766F" w:rsidP="00A9766F">
            <w:pPr>
              <w:spacing w:after="0"/>
              <w:cnfStyle w:val="000000000000" w:firstRow="0" w:lastRow="0" w:firstColumn="0" w:lastColumn="0" w:oddVBand="0" w:evenVBand="0" w:oddHBand="0" w:evenHBand="0" w:firstRowFirstColumn="0" w:firstRowLastColumn="0" w:lastRowFirstColumn="0" w:lastRowLastColumn="0"/>
              <w:rPr>
                <w:rFonts w:ascii="Garamond" w:hAnsi="Garamond"/>
                <w:sz w:val="18"/>
                <w:szCs w:val="18"/>
              </w:rPr>
            </w:pPr>
            <w:r w:rsidRPr="007114AF">
              <w:rPr>
                <w:rFonts w:ascii="Garamond" w:hAnsi="Garamond"/>
                <w:sz w:val="18"/>
                <w:szCs w:val="18"/>
              </w:rPr>
              <w:t>6,774.54</w:t>
            </w:r>
          </w:p>
        </w:tc>
        <w:tc>
          <w:tcPr>
            <w:tcW w:w="955" w:type="pct"/>
            <w:noWrap/>
            <w:vAlign w:val="center"/>
            <w:hideMark/>
          </w:tcPr>
          <w:p w14:paraId="6EDCFB68" w14:textId="77777777" w:rsidR="00A9766F" w:rsidRPr="007114AF" w:rsidRDefault="00A9766F" w:rsidP="00A9766F">
            <w:pPr>
              <w:spacing w:after="0"/>
              <w:cnfStyle w:val="000000000000" w:firstRow="0" w:lastRow="0" w:firstColumn="0" w:lastColumn="0" w:oddVBand="0" w:evenVBand="0" w:oddHBand="0" w:evenHBand="0" w:firstRowFirstColumn="0" w:firstRowLastColumn="0" w:lastRowFirstColumn="0" w:lastRowLastColumn="0"/>
              <w:rPr>
                <w:rFonts w:ascii="Garamond" w:hAnsi="Garamond"/>
                <w:sz w:val="18"/>
                <w:szCs w:val="18"/>
              </w:rPr>
            </w:pPr>
            <w:r w:rsidRPr="007114AF">
              <w:rPr>
                <w:rFonts w:ascii="Garamond" w:hAnsi="Garamond"/>
                <w:sz w:val="18"/>
                <w:szCs w:val="18"/>
              </w:rPr>
              <w:t>8,687.00</w:t>
            </w:r>
            <w:r w:rsidRPr="007114AF">
              <w:rPr>
                <w:rFonts w:ascii="Garamond" w:hAnsi="Garamond"/>
                <w:sz w:val="18"/>
                <w:szCs w:val="18"/>
                <w:vertAlign w:val="superscript"/>
              </w:rPr>
              <w:footnoteReference w:id="32"/>
            </w:r>
          </w:p>
        </w:tc>
        <w:tc>
          <w:tcPr>
            <w:tcW w:w="956" w:type="pct"/>
            <w:noWrap/>
            <w:vAlign w:val="center"/>
          </w:tcPr>
          <w:p w14:paraId="6EDCFB69" w14:textId="77777777" w:rsidR="00A9766F" w:rsidRPr="007114AF" w:rsidRDefault="00A9766F" w:rsidP="00A9766F">
            <w:pPr>
              <w:spacing w:after="0"/>
              <w:cnfStyle w:val="000000000000" w:firstRow="0" w:lastRow="0" w:firstColumn="0" w:lastColumn="0" w:oddVBand="0" w:evenVBand="0" w:oddHBand="0" w:evenHBand="0" w:firstRowFirstColumn="0" w:firstRowLastColumn="0" w:lastRowFirstColumn="0" w:lastRowLastColumn="0"/>
              <w:rPr>
                <w:rFonts w:ascii="Garamond" w:hAnsi="Garamond"/>
                <w:sz w:val="18"/>
                <w:szCs w:val="18"/>
              </w:rPr>
            </w:pPr>
          </w:p>
        </w:tc>
      </w:tr>
      <w:tr w:rsidR="00A9766F" w:rsidRPr="007114AF" w14:paraId="6EDCFB70" w14:textId="77777777" w:rsidTr="00A9766F">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179" w:type="pct"/>
            <w:vAlign w:val="center"/>
            <w:hideMark/>
          </w:tcPr>
          <w:p w14:paraId="6EDCFB6B" w14:textId="77777777" w:rsidR="00A9766F" w:rsidRPr="007114AF" w:rsidRDefault="00A9766F" w:rsidP="00A9766F">
            <w:pPr>
              <w:spacing w:after="0"/>
              <w:rPr>
                <w:rFonts w:ascii="Garamond" w:hAnsi="Garamond"/>
                <w:b w:val="0"/>
                <w:sz w:val="18"/>
                <w:szCs w:val="18"/>
              </w:rPr>
            </w:pPr>
            <w:r w:rsidRPr="007114AF">
              <w:rPr>
                <w:rFonts w:ascii="Garamond" w:hAnsi="Garamond"/>
                <w:sz w:val="18"/>
                <w:szCs w:val="18"/>
              </w:rPr>
              <w:t xml:space="preserve">Shkarkimi / kokë i Shqipërisë </w:t>
            </w:r>
          </w:p>
        </w:tc>
        <w:tc>
          <w:tcPr>
            <w:tcW w:w="955" w:type="pct"/>
            <w:noWrap/>
            <w:vAlign w:val="center"/>
            <w:hideMark/>
          </w:tcPr>
          <w:p w14:paraId="6EDCFB6C" w14:textId="77777777" w:rsidR="00A9766F" w:rsidRPr="007114AF" w:rsidRDefault="00A9766F" w:rsidP="00A9766F">
            <w:pPr>
              <w:spacing w:after="0"/>
              <w:cnfStyle w:val="000000100000" w:firstRow="0" w:lastRow="0" w:firstColumn="0" w:lastColumn="0" w:oddVBand="0" w:evenVBand="0" w:oddHBand="1" w:evenHBand="0" w:firstRowFirstColumn="0" w:firstRowLastColumn="0" w:lastRowFirstColumn="0" w:lastRowLastColumn="0"/>
              <w:rPr>
                <w:rFonts w:ascii="Garamond" w:hAnsi="Garamond"/>
                <w:sz w:val="18"/>
                <w:szCs w:val="18"/>
              </w:rPr>
            </w:pPr>
            <w:r w:rsidRPr="007114AF">
              <w:rPr>
                <w:rFonts w:ascii="Garamond" w:hAnsi="Garamond"/>
                <w:sz w:val="18"/>
                <w:szCs w:val="18"/>
              </w:rPr>
              <w:t>1.32</w:t>
            </w:r>
          </w:p>
        </w:tc>
        <w:tc>
          <w:tcPr>
            <w:tcW w:w="955" w:type="pct"/>
            <w:noWrap/>
            <w:vAlign w:val="center"/>
            <w:hideMark/>
          </w:tcPr>
          <w:p w14:paraId="6EDCFB6D" w14:textId="77777777" w:rsidR="00A9766F" w:rsidRPr="007114AF" w:rsidRDefault="00A9766F" w:rsidP="00A9766F">
            <w:pPr>
              <w:spacing w:after="0"/>
              <w:cnfStyle w:val="000000100000" w:firstRow="0" w:lastRow="0" w:firstColumn="0" w:lastColumn="0" w:oddVBand="0" w:evenVBand="0" w:oddHBand="1" w:evenHBand="0" w:firstRowFirstColumn="0" w:firstRowLastColumn="0" w:lastRowFirstColumn="0" w:lastRowLastColumn="0"/>
              <w:rPr>
                <w:rFonts w:ascii="Garamond" w:hAnsi="Garamond"/>
                <w:sz w:val="18"/>
                <w:szCs w:val="18"/>
              </w:rPr>
            </w:pPr>
            <w:r w:rsidRPr="007114AF">
              <w:rPr>
                <w:rFonts w:ascii="Garamond" w:hAnsi="Garamond"/>
                <w:sz w:val="18"/>
                <w:szCs w:val="18"/>
              </w:rPr>
              <w:t>2.44</w:t>
            </w:r>
          </w:p>
        </w:tc>
        <w:tc>
          <w:tcPr>
            <w:tcW w:w="955" w:type="pct"/>
            <w:noWrap/>
            <w:vAlign w:val="center"/>
            <w:hideMark/>
          </w:tcPr>
          <w:p w14:paraId="6EDCFB6E" w14:textId="77777777" w:rsidR="00A9766F" w:rsidRPr="007114AF" w:rsidRDefault="00A9766F" w:rsidP="00A9766F">
            <w:pPr>
              <w:spacing w:after="0"/>
              <w:cnfStyle w:val="000000100000" w:firstRow="0" w:lastRow="0" w:firstColumn="0" w:lastColumn="0" w:oddVBand="0" w:evenVBand="0" w:oddHBand="1" w:evenHBand="0" w:firstRowFirstColumn="0" w:firstRowLastColumn="0" w:lastRowFirstColumn="0" w:lastRowLastColumn="0"/>
              <w:rPr>
                <w:rFonts w:ascii="Garamond" w:hAnsi="Garamond"/>
                <w:sz w:val="18"/>
                <w:szCs w:val="18"/>
              </w:rPr>
            </w:pPr>
            <w:r w:rsidRPr="007114AF">
              <w:rPr>
                <w:rFonts w:ascii="Garamond" w:hAnsi="Garamond"/>
                <w:sz w:val="18"/>
                <w:szCs w:val="18"/>
              </w:rPr>
              <w:t>2.76</w:t>
            </w:r>
          </w:p>
        </w:tc>
        <w:tc>
          <w:tcPr>
            <w:tcW w:w="956" w:type="pct"/>
            <w:noWrap/>
            <w:vAlign w:val="center"/>
          </w:tcPr>
          <w:p w14:paraId="6EDCFB6F" w14:textId="77777777" w:rsidR="00A9766F" w:rsidRPr="007114AF" w:rsidRDefault="00A9766F" w:rsidP="00A9766F">
            <w:pPr>
              <w:spacing w:after="0"/>
              <w:cnfStyle w:val="000000100000" w:firstRow="0" w:lastRow="0" w:firstColumn="0" w:lastColumn="0" w:oddVBand="0" w:evenVBand="0" w:oddHBand="1" w:evenHBand="0" w:firstRowFirstColumn="0" w:firstRowLastColumn="0" w:lastRowFirstColumn="0" w:lastRowLastColumn="0"/>
              <w:rPr>
                <w:rFonts w:ascii="Garamond" w:hAnsi="Garamond"/>
                <w:sz w:val="18"/>
                <w:szCs w:val="18"/>
              </w:rPr>
            </w:pPr>
          </w:p>
        </w:tc>
      </w:tr>
      <w:tr w:rsidR="00A9766F" w:rsidRPr="007114AF" w14:paraId="6EDCFB76" w14:textId="77777777" w:rsidTr="00A9766F">
        <w:trPr>
          <w:trHeight w:val="460"/>
        </w:trPr>
        <w:tc>
          <w:tcPr>
            <w:cnfStyle w:val="001000000000" w:firstRow="0" w:lastRow="0" w:firstColumn="1" w:lastColumn="0" w:oddVBand="0" w:evenVBand="0" w:oddHBand="0" w:evenHBand="0" w:firstRowFirstColumn="0" w:firstRowLastColumn="0" w:lastRowFirstColumn="0" w:lastRowLastColumn="0"/>
            <w:tcW w:w="1179" w:type="pct"/>
            <w:vAlign w:val="center"/>
            <w:hideMark/>
          </w:tcPr>
          <w:p w14:paraId="6EDCFB71" w14:textId="77777777" w:rsidR="00A9766F" w:rsidRPr="007114AF" w:rsidRDefault="00A9766F" w:rsidP="00A9766F">
            <w:pPr>
              <w:spacing w:after="0"/>
              <w:rPr>
                <w:rFonts w:ascii="Garamond" w:hAnsi="Garamond"/>
                <w:b w:val="0"/>
                <w:sz w:val="18"/>
                <w:szCs w:val="18"/>
              </w:rPr>
            </w:pPr>
            <w:r w:rsidRPr="007114AF">
              <w:rPr>
                <w:rFonts w:ascii="Garamond" w:hAnsi="Garamond"/>
                <w:sz w:val="18"/>
                <w:szCs w:val="18"/>
              </w:rPr>
              <w:t xml:space="preserve">Shkarkimet e Shqipërisë në % të shkarkimeve botërore </w:t>
            </w:r>
          </w:p>
        </w:tc>
        <w:tc>
          <w:tcPr>
            <w:tcW w:w="955" w:type="pct"/>
            <w:noWrap/>
            <w:vAlign w:val="center"/>
            <w:hideMark/>
          </w:tcPr>
          <w:p w14:paraId="6EDCFB72" w14:textId="77777777" w:rsidR="00A9766F" w:rsidRPr="007114AF" w:rsidRDefault="00A9766F" w:rsidP="00A9766F">
            <w:pPr>
              <w:spacing w:after="0"/>
              <w:cnfStyle w:val="000000000000" w:firstRow="0" w:lastRow="0" w:firstColumn="0" w:lastColumn="0" w:oddVBand="0" w:evenVBand="0" w:oddHBand="0" w:evenHBand="0" w:firstRowFirstColumn="0" w:firstRowLastColumn="0" w:lastRowFirstColumn="0" w:lastRowLastColumn="0"/>
              <w:rPr>
                <w:rFonts w:ascii="Garamond" w:hAnsi="Garamond"/>
                <w:sz w:val="18"/>
                <w:szCs w:val="18"/>
              </w:rPr>
            </w:pPr>
            <w:r w:rsidRPr="007114AF">
              <w:rPr>
                <w:rFonts w:ascii="Garamond" w:hAnsi="Garamond"/>
                <w:sz w:val="18"/>
                <w:szCs w:val="18"/>
              </w:rPr>
              <w:t>0.011</w:t>
            </w:r>
          </w:p>
        </w:tc>
        <w:tc>
          <w:tcPr>
            <w:tcW w:w="955" w:type="pct"/>
            <w:noWrap/>
            <w:vAlign w:val="center"/>
            <w:hideMark/>
          </w:tcPr>
          <w:p w14:paraId="6EDCFB73" w14:textId="77777777" w:rsidR="00A9766F" w:rsidRPr="007114AF" w:rsidRDefault="00A9766F" w:rsidP="00A9766F">
            <w:pPr>
              <w:spacing w:after="0"/>
              <w:cnfStyle w:val="000000000000" w:firstRow="0" w:lastRow="0" w:firstColumn="0" w:lastColumn="0" w:oddVBand="0" w:evenVBand="0" w:oddHBand="0" w:evenHBand="0" w:firstRowFirstColumn="0" w:firstRowLastColumn="0" w:lastRowFirstColumn="0" w:lastRowLastColumn="0"/>
              <w:rPr>
                <w:rFonts w:ascii="Garamond" w:hAnsi="Garamond"/>
                <w:sz w:val="18"/>
                <w:szCs w:val="18"/>
              </w:rPr>
            </w:pPr>
            <w:r w:rsidRPr="007114AF">
              <w:rPr>
                <w:rFonts w:ascii="Garamond" w:hAnsi="Garamond"/>
                <w:sz w:val="18"/>
                <w:szCs w:val="18"/>
              </w:rPr>
              <w:t>0.017</w:t>
            </w:r>
          </w:p>
        </w:tc>
        <w:tc>
          <w:tcPr>
            <w:tcW w:w="955" w:type="pct"/>
            <w:noWrap/>
            <w:vAlign w:val="center"/>
            <w:hideMark/>
          </w:tcPr>
          <w:p w14:paraId="6EDCFB74" w14:textId="77777777" w:rsidR="00A9766F" w:rsidRPr="007114AF" w:rsidRDefault="00A9766F" w:rsidP="00A9766F">
            <w:pPr>
              <w:spacing w:after="0"/>
              <w:cnfStyle w:val="000000000000" w:firstRow="0" w:lastRow="0" w:firstColumn="0" w:lastColumn="0" w:oddVBand="0" w:evenVBand="0" w:oddHBand="0" w:evenHBand="0" w:firstRowFirstColumn="0" w:firstRowLastColumn="0" w:lastRowFirstColumn="0" w:lastRowLastColumn="0"/>
              <w:rPr>
                <w:rFonts w:ascii="Garamond" w:hAnsi="Garamond"/>
                <w:sz w:val="18"/>
                <w:szCs w:val="18"/>
              </w:rPr>
            </w:pPr>
            <w:r w:rsidRPr="007114AF">
              <w:rPr>
                <w:rFonts w:ascii="Garamond" w:hAnsi="Garamond"/>
                <w:sz w:val="18"/>
                <w:szCs w:val="18"/>
              </w:rPr>
              <w:t>0.017</w:t>
            </w:r>
          </w:p>
        </w:tc>
        <w:tc>
          <w:tcPr>
            <w:tcW w:w="956" w:type="pct"/>
            <w:noWrap/>
            <w:vAlign w:val="center"/>
          </w:tcPr>
          <w:p w14:paraId="6EDCFB75" w14:textId="77777777" w:rsidR="00A9766F" w:rsidRPr="007114AF" w:rsidRDefault="00A9766F" w:rsidP="00A9766F">
            <w:pPr>
              <w:spacing w:after="0"/>
              <w:cnfStyle w:val="000000000000" w:firstRow="0" w:lastRow="0" w:firstColumn="0" w:lastColumn="0" w:oddVBand="0" w:evenVBand="0" w:oddHBand="0" w:evenHBand="0" w:firstRowFirstColumn="0" w:firstRowLastColumn="0" w:lastRowFirstColumn="0" w:lastRowLastColumn="0"/>
              <w:rPr>
                <w:rFonts w:ascii="Garamond" w:hAnsi="Garamond"/>
                <w:sz w:val="18"/>
                <w:szCs w:val="18"/>
              </w:rPr>
            </w:pPr>
          </w:p>
        </w:tc>
      </w:tr>
    </w:tbl>
    <w:p w14:paraId="6EDCFB77" w14:textId="77777777" w:rsidR="00A9766F" w:rsidRPr="007114AF" w:rsidRDefault="00A9766F" w:rsidP="00206985">
      <w:pPr>
        <w:pStyle w:val="TEKSTI"/>
      </w:pPr>
    </w:p>
    <w:p w14:paraId="6EDCFB78" w14:textId="0A969CC2" w:rsidR="00A9766F" w:rsidRPr="007114AF" w:rsidRDefault="00A9766F" w:rsidP="00206985">
      <w:pPr>
        <w:pStyle w:val="TEKSTI"/>
      </w:pPr>
      <w:r w:rsidRPr="007114AF">
        <w:t>Analiza INDC-ë</w:t>
      </w:r>
      <w:r w:rsidR="00CA0B80">
        <w:t xml:space="preserve"> </w:t>
      </w:r>
      <w:r w:rsidRPr="007114AF">
        <w:t>supozon se rruga e parashikuar për Shqipërinë mundëson arritjen e nivelit të shkarkimit GES- 2 tonë për kokë, deri në vitin 2050. Kjo nënkupton një rritje të kufizuar të shkarkimeve GES</w:t>
      </w:r>
      <w:r w:rsidR="00CA0B80">
        <w:t xml:space="preserve"> </w:t>
      </w:r>
      <w:r w:rsidRPr="007114AF">
        <w:t>në dy dekadat e ardhshme, krahasuar me synimin politik të BE-së për vitin 2050. INDC-ja specifikon se ky objektiv është i arritshëm, me besim të lartë me rritjen e parashikuar të shkarkimeve pasuar nga ndarja dhe ulja e ngadaltë e shkarkimeve.</w:t>
      </w:r>
    </w:p>
    <w:p w14:paraId="6EDCFB79" w14:textId="4F086D75" w:rsidR="00A9766F" w:rsidRPr="007114AF" w:rsidRDefault="00A9766F" w:rsidP="00206985">
      <w:pPr>
        <w:pStyle w:val="TEKSTI"/>
      </w:pPr>
      <w:r w:rsidRPr="007114AF">
        <w:t>Veprimet zbutëse GES bazuar në INDC-ë</w:t>
      </w:r>
      <w:r w:rsidR="00CA0B80">
        <w:t xml:space="preserve"> </w:t>
      </w:r>
      <w:r w:rsidRPr="007114AF">
        <w:t xml:space="preserve">kërkojnë përdorimin e politikave specifike, strategjive sektoriale apo veprimeve të tjera, që do të kenë një potencial reduktues të shkarkimeve dhe përbëjnë një zotim kundrejt komunitetit ndërkombëtar për zbatimin e këtyre veprimeve. Këto veprime përfshijnë gjithashtu NAMA të planifikuara. </w:t>
      </w:r>
    </w:p>
    <w:bookmarkEnd w:id="79"/>
    <w:p w14:paraId="6EDCFB7A" w14:textId="77777777" w:rsidR="00A9766F" w:rsidRPr="007114AF" w:rsidRDefault="00A9766F" w:rsidP="00206985">
      <w:pPr>
        <w:pStyle w:val="TEKSTI"/>
      </w:pPr>
      <w:r w:rsidRPr="007114AF">
        <w:t>Tabela e mëposhtme përmbledh reduktimet absolute dhe në përqindje nga shkarkimet bazë CO</w:t>
      </w:r>
      <w:r w:rsidRPr="007114AF">
        <w:rPr>
          <w:vertAlign w:val="subscript"/>
        </w:rPr>
        <w:t>2</w:t>
      </w:r>
      <w:r w:rsidRPr="007114AF">
        <w:t>që mund të arrihen në vitin 2030,që bazohen në supozimin e zbatimit të një numri paketash politike të identifikuara për eficiencën e kostos së tyre. Këto përfshijnë:</w:t>
      </w:r>
    </w:p>
    <w:p w14:paraId="6EDCFB7B" w14:textId="10225804" w:rsidR="00A9766F" w:rsidRPr="007114AF" w:rsidRDefault="00782894" w:rsidP="00206985">
      <w:pPr>
        <w:pStyle w:val="TEKSTI"/>
      </w:pPr>
      <w:r w:rsidRPr="007114AF">
        <w:t xml:space="preserve">- </w:t>
      </w:r>
      <w:r w:rsidR="00A9766F" w:rsidRPr="007114AF">
        <w:t>Gjithë masat zbutëse të identifikuara me kosto efektive në KTK-ë</w:t>
      </w:r>
      <w:r w:rsidR="00CA0B80">
        <w:t xml:space="preserve"> </w:t>
      </w:r>
      <w:r w:rsidR="00A9766F" w:rsidRPr="007114AF">
        <w:t>dhe PKVEE-n e parë, përveç ngrohjes zonale/qendrore;</w:t>
      </w:r>
    </w:p>
    <w:p w14:paraId="6EDCFB7C" w14:textId="115BF713" w:rsidR="00A9766F" w:rsidRPr="007114AF" w:rsidRDefault="00782894" w:rsidP="00206985">
      <w:pPr>
        <w:pStyle w:val="TEKSTI"/>
      </w:pPr>
      <w:r w:rsidRPr="007114AF">
        <w:t xml:space="preserve">- </w:t>
      </w:r>
      <w:r w:rsidR="00A9766F" w:rsidRPr="007114AF">
        <w:t>Masat për sektorin e ndërtimeve të</w:t>
      </w:r>
      <w:r w:rsidR="00CA0B80">
        <w:t xml:space="preserve"> </w:t>
      </w:r>
      <w:r w:rsidR="00A9766F" w:rsidRPr="007114AF">
        <w:t>identifikuara si me kosto efektive në raportin Eficienca e Energjisë në Ndërtesa në Palët Kontraktore të Komunitetit të Energjisë (CPEC);</w:t>
      </w:r>
    </w:p>
    <w:p w14:paraId="6EDCFB7D" w14:textId="77777777" w:rsidR="00A9766F" w:rsidRPr="007114AF" w:rsidRDefault="00782894" w:rsidP="00206985">
      <w:pPr>
        <w:pStyle w:val="TEKSTI"/>
      </w:pPr>
      <w:r w:rsidRPr="007114AF">
        <w:t xml:space="preserve">- </w:t>
      </w:r>
      <w:r w:rsidR="00A9766F" w:rsidRPr="007114AF">
        <w:t>Opsione të tjera zbutëse për sektorët e transportit dhe industrisë bazuar në përvojën ndërkombëtare;</w:t>
      </w:r>
    </w:p>
    <w:p w14:paraId="6EDCFB7E" w14:textId="77777777" w:rsidR="00A9766F" w:rsidRPr="007114AF" w:rsidRDefault="00782894" w:rsidP="00206985">
      <w:pPr>
        <w:pStyle w:val="TEKSTI"/>
      </w:pPr>
      <w:r w:rsidRPr="007114AF">
        <w:t xml:space="preserve">- </w:t>
      </w:r>
      <w:r w:rsidR="00A9766F" w:rsidRPr="007114AF">
        <w:t>Futjen e 10% biokarbureve në përzierjen e lëndëve djegëse për transportin deri në vitin 2030.</w:t>
      </w:r>
    </w:p>
    <w:p w14:paraId="6EDCFB7F" w14:textId="77777777" w:rsidR="00A9766F" w:rsidRPr="007114AF" w:rsidRDefault="00A9766F" w:rsidP="00206985">
      <w:pPr>
        <w:pStyle w:val="TEKSTI"/>
      </w:pPr>
    </w:p>
    <w:p w14:paraId="6EDCFB80" w14:textId="77777777" w:rsidR="00A9766F" w:rsidRPr="007114AF" w:rsidRDefault="00A9766F" w:rsidP="00206985">
      <w:pPr>
        <w:pStyle w:val="TEKSTI"/>
      </w:pPr>
      <w:r w:rsidRPr="007114AF">
        <w:t xml:space="preserve">Kontributi i sektorit të gjenerimit të energjisë pritet të jetë minimal. </w:t>
      </w:r>
    </w:p>
    <w:p w14:paraId="6EDCFB81" w14:textId="77777777" w:rsidR="00A9766F" w:rsidRPr="007114AF" w:rsidRDefault="00A9766F" w:rsidP="00206985">
      <w:pPr>
        <w:pStyle w:val="TEKSTI"/>
      </w:pPr>
      <w:r w:rsidRPr="007114AF">
        <w:t>Tabela më poshtë raporton kontributet e pritshme zbutëse deri në vitin 2030 nga sektorët e ndërtimeve, industrisë dhe transportit, sipas dokumentit bazë INDC-ë.</w:t>
      </w:r>
    </w:p>
    <w:p w14:paraId="6EDCFB82" w14:textId="77777777" w:rsidR="00782894" w:rsidRPr="007114AF" w:rsidRDefault="00782894" w:rsidP="00206985">
      <w:pPr>
        <w:pStyle w:val="FIGURA"/>
        <w:rPr>
          <w:sz w:val="20"/>
          <w:szCs w:val="20"/>
        </w:rPr>
      </w:pPr>
    </w:p>
    <w:p w14:paraId="6EDCFB83" w14:textId="16E008C4" w:rsidR="00A9766F" w:rsidRPr="007114AF" w:rsidRDefault="00A9766F" w:rsidP="00206985">
      <w:pPr>
        <w:pStyle w:val="FIGURA"/>
        <w:rPr>
          <w:sz w:val="20"/>
          <w:szCs w:val="20"/>
        </w:rPr>
      </w:pPr>
      <w:r w:rsidRPr="007114AF">
        <w:rPr>
          <w:sz w:val="20"/>
          <w:szCs w:val="20"/>
        </w:rPr>
        <w:t>Tabela</w:t>
      </w:r>
      <w:r w:rsidR="00782894" w:rsidRPr="007114AF">
        <w:rPr>
          <w:sz w:val="20"/>
          <w:szCs w:val="20"/>
        </w:rPr>
        <w:t xml:space="preserve"> </w:t>
      </w:r>
      <w:r w:rsidRPr="007114AF">
        <w:rPr>
          <w:sz w:val="20"/>
          <w:szCs w:val="20"/>
        </w:rPr>
        <w:fldChar w:fldCharType="begin"/>
      </w:r>
      <w:r w:rsidRPr="007114AF">
        <w:rPr>
          <w:sz w:val="20"/>
          <w:szCs w:val="20"/>
        </w:rPr>
        <w:instrText xml:space="preserve"> SEQ Table \* ARABIC </w:instrText>
      </w:r>
      <w:r w:rsidRPr="007114AF">
        <w:rPr>
          <w:sz w:val="20"/>
          <w:szCs w:val="20"/>
        </w:rPr>
        <w:fldChar w:fldCharType="separate"/>
      </w:r>
      <w:r w:rsidRPr="007114AF">
        <w:rPr>
          <w:sz w:val="20"/>
          <w:szCs w:val="20"/>
        </w:rPr>
        <w:t>10</w:t>
      </w:r>
      <w:r w:rsidRPr="007114AF">
        <w:rPr>
          <w:sz w:val="20"/>
          <w:szCs w:val="20"/>
        </w:rPr>
        <w:fldChar w:fldCharType="end"/>
      </w:r>
      <w:r w:rsidR="00CA0B80">
        <w:rPr>
          <w:sz w:val="20"/>
          <w:szCs w:val="20"/>
        </w:rPr>
        <w:t xml:space="preserve"> </w:t>
      </w:r>
      <w:r w:rsidRPr="007114AF">
        <w:rPr>
          <w:sz w:val="20"/>
          <w:szCs w:val="20"/>
        </w:rPr>
        <w:t>–</w:t>
      </w:r>
      <w:r w:rsidR="00CA0B80">
        <w:rPr>
          <w:sz w:val="20"/>
          <w:szCs w:val="20"/>
        </w:rPr>
        <w:t xml:space="preserve"> </w:t>
      </w:r>
      <w:r w:rsidRPr="007114AF">
        <w:rPr>
          <w:sz w:val="20"/>
          <w:szCs w:val="20"/>
        </w:rPr>
        <w:t>Potencial i vlerësuar zbutës me kosto efektive për Shqipërinë në vitin 2030, MtCO</w:t>
      </w:r>
      <w:r w:rsidRPr="007114AF">
        <w:rPr>
          <w:sz w:val="20"/>
          <w:szCs w:val="20"/>
          <w:vertAlign w:val="subscript"/>
        </w:rPr>
        <w:t>2</w:t>
      </w:r>
      <w:r w:rsidRPr="007114AF">
        <w:rPr>
          <w:sz w:val="20"/>
          <w:szCs w:val="20"/>
        </w:rPr>
        <w:t xml:space="preserve"> (Burimi: INDC 2015)</w:t>
      </w:r>
    </w:p>
    <w:tbl>
      <w:tblPr>
        <w:tblStyle w:val="GridTable6Colorful-Accent11"/>
        <w:tblW w:w="8468" w:type="dxa"/>
        <w:jc w:val="center"/>
        <w:tblLook w:val="04A0" w:firstRow="1" w:lastRow="0" w:firstColumn="1" w:lastColumn="0" w:noHBand="0" w:noVBand="1"/>
      </w:tblPr>
      <w:tblGrid>
        <w:gridCol w:w="4815"/>
        <w:gridCol w:w="1402"/>
        <w:gridCol w:w="2217"/>
        <w:gridCol w:w="34"/>
      </w:tblGrid>
      <w:tr w:rsidR="00A9766F" w:rsidRPr="007114AF" w14:paraId="6EDCFB87" w14:textId="77777777" w:rsidTr="00A9766F">
        <w:trPr>
          <w:gridAfter w:val="1"/>
          <w:cnfStyle w:val="100000000000" w:firstRow="1" w:lastRow="0" w:firstColumn="0" w:lastColumn="0" w:oddVBand="0" w:evenVBand="0" w:oddHBand="0" w:evenHBand="0" w:firstRowFirstColumn="0" w:firstRowLastColumn="0" w:lastRowFirstColumn="0" w:lastRowLastColumn="0"/>
          <w:wAfter w:w="34" w:type="dxa"/>
          <w:trHeight w:val="255"/>
          <w:jc w:val="center"/>
        </w:trPr>
        <w:tc>
          <w:tcPr>
            <w:cnfStyle w:val="001000000000" w:firstRow="0" w:lastRow="0" w:firstColumn="1" w:lastColumn="0" w:oddVBand="0" w:evenVBand="0" w:oddHBand="0" w:evenHBand="0" w:firstRowFirstColumn="0" w:firstRowLastColumn="0" w:lastRowFirstColumn="0" w:lastRowLastColumn="0"/>
            <w:tcW w:w="4815" w:type="dxa"/>
            <w:noWrap/>
            <w:vAlign w:val="center"/>
          </w:tcPr>
          <w:p w14:paraId="6EDCFB84" w14:textId="77777777" w:rsidR="00A9766F" w:rsidRPr="007114AF" w:rsidRDefault="00A9766F" w:rsidP="00A9766F">
            <w:pPr>
              <w:rPr>
                <w:rFonts w:ascii="Garamond" w:hAnsi="Garamond"/>
                <w:sz w:val="20"/>
              </w:rPr>
            </w:pPr>
            <w:r w:rsidRPr="007114AF">
              <w:rPr>
                <w:rFonts w:ascii="Garamond" w:hAnsi="Garamond"/>
                <w:sz w:val="20"/>
              </w:rPr>
              <w:t>Paketat e masave</w:t>
            </w:r>
          </w:p>
        </w:tc>
        <w:tc>
          <w:tcPr>
            <w:tcW w:w="1402" w:type="dxa"/>
            <w:noWrap/>
            <w:vAlign w:val="center"/>
          </w:tcPr>
          <w:p w14:paraId="6EDCFB85" w14:textId="77777777" w:rsidR="00A9766F" w:rsidRPr="007114AF" w:rsidRDefault="00A9766F" w:rsidP="00A9766F">
            <w:pPr>
              <w:cnfStyle w:val="100000000000" w:firstRow="1" w:lastRow="0" w:firstColumn="0" w:lastColumn="0" w:oddVBand="0" w:evenVBand="0" w:oddHBand="0" w:evenHBand="0" w:firstRowFirstColumn="0" w:firstRowLastColumn="0" w:lastRowFirstColumn="0" w:lastRowLastColumn="0"/>
              <w:rPr>
                <w:rFonts w:ascii="Garamond" w:hAnsi="Garamond"/>
                <w:sz w:val="20"/>
              </w:rPr>
            </w:pPr>
            <w:r w:rsidRPr="007114AF">
              <w:rPr>
                <w:rFonts w:ascii="Garamond" w:hAnsi="Garamond"/>
                <w:sz w:val="20"/>
              </w:rPr>
              <w:t>kursimet ktCO</w:t>
            </w:r>
            <w:r w:rsidRPr="007114AF">
              <w:rPr>
                <w:rFonts w:ascii="Garamond" w:hAnsi="Garamond"/>
                <w:sz w:val="20"/>
                <w:vertAlign w:val="subscript"/>
              </w:rPr>
              <w:t>2</w:t>
            </w:r>
            <w:r w:rsidRPr="007114AF">
              <w:rPr>
                <w:rFonts w:ascii="Garamond" w:hAnsi="Garamond"/>
                <w:sz w:val="20"/>
              </w:rPr>
              <w:t>në vitin 2030</w:t>
            </w:r>
          </w:p>
        </w:tc>
        <w:tc>
          <w:tcPr>
            <w:tcW w:w="2217" w:type="dxa"/>
            <w:vAlign w:val="center"/>
          </w:tcPr>
          <w:p w14:paraId="6EDCFB86" w14:textId="77777777" w:rsidR="00A9766F" w:rsidRPr="007114AF" w:rsidRDefault="00A9766F" w:rsidP="00A9766F">
            <w:pPr>
              <w:cnfStyle w:val="100000000000" w:firstRow="1" w:lastRow="0" w:firstColumn="0" w:lastColumn="0" w:oddVBand="0" w:evenVBand="0" w:oddHBand="0" w:evenHBand="0" w:firstRowFirstColumn="0" w:firstRowLastColumn="0" w:lastRowFirstColumn="0" w:lastRowLastColumn="0"/>
              <w:rPr>
                <w:rFonts w:ascii="Garamond" w:hAnsi="Garamond"/>
                <w:sz w:val="20"/>
              </w:rPr>
            </w:pPr>
            <w:r w:rsidRPr="007114AF">
              <w:rPr>
                <w:rFonts w:ascii="Garamond" w:hAnsi="Garamond"/>
                <w:sz w:val="20"/>
              </w:rPr>
              <w:t>Përqindja e reduktimit nga shkarkimet bazë CO</w:t>
            </w:r>
            <w:r w:rsidRPr="007114AF">
              <w:rPr>
                <w:rFonts w:ascii="Garamond" w:hAnsi="Garamond"/>
                <w:sz w:val="20"/>
                <w:vertAlign w:val="subscript"/>
              </w:rPr>
              <w:t>2</w:t>
            </w:r>
            <w:r w:rsidRPr="007114AF">
              <w:rPr>
                <w:rFonts w:ascii="Garamond" w:hAnsi="Garamond"/>
                <w:sz w:val="20"/>
              </w:rPr>
              <w:t>në vitin 2030</w:t>
            </w:r>
          </w:p>
        </w:tc>
      </w:tr>
      <w:tr w:rsidR="00A9766F" w:rsidRPr="007114AF" w14:paraId="6EDCFB8B" w14:textId="77777777" w:rsidTr="00A9766F">
        <w:trPr>
          <w:cnfStyle w:val="000000100000" w:firstRow="0" w:lastRow="0" w:firstColumn="0" w:lastColumn="0" w:oddVBand="0" w:evenVBand="0" w:oddHBand="1" w:evenHBand="0" w:firstRowFirstColumn="0" w:firstRowLastColumn="0" w:lastRowFirstColumn="0" w:lastRowLastColumn="0"/>
          <w:trHeight w:val="452"/>
          <w:jc w:val="center"/>
        </w:trPr>
        <w:tc>
          <w:tcPr>
            <w:cnfStyle w:val="001000000000" w:firstRow="0" w:lastRow="0" w:firstColumn="1" w:lastColumn="0" w:oddVBand="0" w:evenVBand="0" w:oddHBand="0" w:evenHBand="0" w:firstRowFirstColumn="0" w:firstRowLastColumn="0" w:lastRowFirstColumn="0" w:lastRowLastColumn="0"/>
            <w:tcW w:w="4815" w:type="dxa"/>
            <w:noWrap/>
            <w:vAlign w:val="center"/>
          </w:tcPr>
          <w:p w14:paraId="6EDCFB88" w14:textId="77777777" w:rsidR="00A9766F" w:rsidRPr="007114AF" w:rsidRDefault="00A9766F" w:rsidP="00A9766F">
            <w:pPr>
              <w:spacing w:after="0"/>
              <w:ind w:left="360"/>
              <w:rPr>
                <w:rFonts w:ascii="Garamond" w:hAnsi="Garamond"/>
                <w:b w:val="0"/>
                <w:sz w:val="20"/>
              </w:rPr>
            </w:pPr>
            <w:r w:rsidRPr="007114AF">
              <w:rPr>
                <w:rFonts w:ascii="Garamond" w:hAnsi="Garamond"/>
                <w:sz w:val="20"/>
              </w:rPr>
              <w:t xml:space="preserve">Ndërtesat </w:t>
            </w:r>
          </w:p>
        </w:tc>
        <w:tc>
          <w:tcPr>
            <w:tcW w:w="1402" w:type="dxa"/>
            <w:noWrap/>
            <w:vAlign w:val="center"/>
          </w:tcPr>
          <w:p w14:paraId="6EDCFB89" w14:textId="77777777" w:rsidR="00A9766F" w:rsidRPr="007114AF" w:rsidRDefault="00A9766F" w:rsidP="00A9766F">
            <w:pPr>
              <w:spacing w:after="0"/>
              <w:cnfStyle w:val="000000100000" w:firstRow="0" w:lastRow="0" w:firstColumn="0" w:lastColumn="0" w:oddVBand="0" w:evenVBand="0" w:oddHBand="1" w:evenHBand="0" w:firstRowFirstColumn="0" w:firstRowLastColumn="0" w:lastRowFirstColumn="0" w:lastRowLastColumn="0"/>
              <w:rPr>
                <w:rFonts w:ascii="Garamond" w:hAnsi="Garamond"/>
                <w:sz w:val="20"/>
              </w:rPr>
            </w:pPr>
            <w:r w:rsidRPr="007114AF">
              <w:rPr>
                <w:rFonts w:ascii="Garamond" w:hAnsi="Garamond"/>
                <w:sz w:val="20"/>
              </w:rPr>
              <w:t>50</w:t>
            </w:r>
          </w:p>
        </w:tc>
        <w:tc>
          <w:tcPr>
            <w:tcW w:w="2251" w:type="dxa"/>
            <w:gridSpan w:val="2"/>
            <w:vMerge w:val="restart"/>
          </w:tcPr>
          <w:p w14:paraId="6EDCFB8A" w14:textId="77777777" w:rsidR="00A9766F" w:rsidRPr="007114AF" w:rsidRDefault="00A9766F" w:rsidP="00A9766F">
            <w:pPr>
              <w:spacing w:after="0"/>
              <w:cnfStyle w:val="000000100000" w:firstRow="0" w:lastRow="0" w:firstColumn="0" w:lastColumn="0" w:oddVBand="0" w:evenVBand="0" w:oddHBand="1" w:evenHBand="0" w:firstRowFirstColumn="0" w:firstRowLastColumn="0" w:lastRowFirstColumn="0" w:lastRowLastColumn="0"/>
              <w:rPr>
                <w:rFonts w:ascii="Garamond" w:hAnsi="Garamond"/>
                <w:sz w:val="20"/>
              </w:rPr>
            </w:pPr>
          </w:p>
        </w:tc>
      </w:tr>
      <w:tr w:rsidR="00A9766F" w:rsidRPr="007114AF" w14:paraId="6EDCFB8F" w14:textId="77777777" w:rsidTr="00A9766F">
        <w:trPr>
          <w:trHeight w:val="452"/>
          <w:jc w:val="center"/>
        </w:trPr>
        <w:tc>
          <w:tcPr>
            <w:cnfStyle w:val="001000000000" w:firstRow="0" w:lastRow="0" w:firstColumn="1" w:lastColumn="0" w:oddVBand="0" w:evenVBand="0" w:oddHBand="0" w:evenHBand="0" w:firstRowFirstColumn="0" w:firstRowLastColumn="0" w:lastRowFirstColumn="0" w:lastRowLastColumn="0"/>
            <w:tcW w:w="4815" w:type="dxa"/>
            <w:noWrap/>
            <w:vAlign w:val="center"/>
          </w:tcPr>
          <w:p w14:paraId="6EDCFB8C" w14:textId="77777777" w:rsidR="00A9766F" w:rsidRPr="007114AF" w:rsidRDefault="00A9766F" w:rsidP="00A9766F">
            <w:pPr>
              <w:spacing w:after="0"/>
              <w:ind w:left="360"/>
              <w:rPr>
                <w:rFonts w:ascii="Garamond" w:hAnsi="Garamond"/>
                <w:b w:val="0"/>
                <w:sz w:val="20"/>
              </w:rPr>
            </w:pPr>
            <w:r w:rsidRPr="007114AF">
              <w:rPr>
                <w:rFonts w:ascii="Garamond" w:hAnsi="Garamond"/>
                <w:sz w:val="20"/>
              </w:rPr>
              <w:t>Industria</w:t>
            </w:r>
          </w:p>
        </w:tc>
        <w:tc>
          <w:tcPr>
            <w:tcW w:w="1402" w:type="dxa"/>
            <w:noWrap/>
            <w:vAlign w:val="center"/>
          </w:tcPr>
          <w:p w14:paraId="6EDCFB8D" w14:textId="77777777" w:rsidR="00A9766F" w:rsidRPr="007114AF" w:rsidRDefault="00A9766F" w:rsidP="00A9766F">
            <w:pPr>
              <w:spacing w:after="0"/>
              <w:cnfStyle w:val="000000000000" w:firstRow="0" w:lastRow="0" w:firstColumn="0" w:lastColumn="0" w:oddVBand="0" w:evenVBand="0" w:oddHBand="0" w:evenHBand="0" w:firstRowFirstColumn="0" w:firstRowLastColumn="0" w:lastRowFirstColumn="0" w:lastRowLastColumn="0"/>
              <w:rPr>
                <w:rFonts w:ascii="Garamond" w:hAnsi="Garamond"/>
                <w:sz w:val="20"/>
              </w:rPr>
            </w:pPr>
            <w:r w:rsidRPr="007114AF">
              <w:rPr>
                <w:rFonts w:ascii="Garamond" w:hAnsi="Garamond"/>
                <w:sz w:val="20"/>
              </w:rPr>
              <w:t>277</w:t>
            </w:r>
          </w:p>
        </w:tc>
        <w:tc>
          <w:tcPr>
            <w:tcW w:w="2251" w:type="dxa"/>
            <w:gridSpan w:val="2"/>
            <w:vMerge/>
          </w:tcPr>
          <w:p w14:paraId="6EDCFB8E" w14:textId="77777777" w:rsidR="00A9766F" w:rsidRPr="007114AF" w:rsidRDefault="00A9766F" w:rsidP="00A9766F">
            <w:pPr>
              <w:spacing w:after="0"/>
              <w:cnfStyle w:val="000000000000" w:firstRow="0" w:lastRow="0" w:firstColumn="0" w:lastColumn="0" w:oddVBand="0" w:evenVBand="0" w:oddHBand="0" w:evenHBand="0" w:firstRowFirstColumn="0" w:firstRowLastColumn="0" w:lastRowFirstColumn="0" w:lastRowLastColumn="0"/>
              <w:rPr>
                <w:rFonts w:ascii="Garamond" w:hAnsi="Garamond"/>
                <w:sz w:val="20"/>
              </w:rPr>
            </w:pPr>
          </w:p>
        </w:tc>
      </w:tr>
      <w:tr w:rsidR="00A9766F" w:rsidRPr="007114AF" w14:paraId="6EDCFB93" w14:textId="77777777" w:rsidTr="00A9766F">
        <w:trPr>
          <w:cnfStyle w:val="000000100000" w:firstRow="0" w:lastRow="0" w:firstColumn="0" w:lastColumn="0" w:oddVBand="0" w:evenVBand="0" w:oddHBand="1" w:evenHBand="0" w:firstRowFirstColumn="0" w:firstRowLastColumn="0" w:lastRowFirstColumn="0" w:lastRowLastColumn="0"/>
          <w:trHeight w:val="452"/>
          <w:jc w:val="center"/>
        </w:trPr>
        <w:tc>
          <w:tcPr>
            <w:cnfStyle w:val="001000000000" w:firstRow="0" w:lastRow="0" w:firstColumn="1" w:lastColumn="0" w:oddVBand="0" w:evenVBand="0" w:oddHBand="0" w:evenHBand="0" w:firstRowFirstColumn="0" w:firstRowLastColumn="0" w:lastRowFirstColumn="0" w:lastRowLastColumn="0"/>
            <w:tcW w:w="4815" w:type="dxa"/>
            <w:noWrap/>
            <w:vAlign w:val="center"/>
          </w:tcPr>
          <w:p w14:paraId="6EDCFB90" w14:textId="77777777" w:rsidR="00A9766F" w:rsidRPr="007114AF" w:rsidRDefault="00A9766F" w:rsidP="00A9766F">
            <w:pPr>
              <w:spacing w:after="0"/>
              <w:ind w:left="360"/>
              <w:rPr>
                <w:rFonts w:ascii="Garamond" w:hAnsi="Garamond"/>
                <w:b w:val="0"/>
                <w:sz w:val="20"/>
              </w:rPr>
            </w:pPr>
            <w:r w:rsidRPr="007114AF">
              <w:rPr>
                <w:rFonts w:ascii="Garamond" w:hAnsi="Garamond"/>
                <w:sz w:val="20"/>
              </w:rPr>
              <w:t>Transporti</w:t>
            </w:r>
          </w:p>
        </w:tc>
        <w:tc>
          <w:tcPr>
            <w:tcW w:w="1402" w:type="dxa"/>
            <w:noWrap/>
            <w:vAlign w:val="center"/>
          </w:tcPr>
          <w:p w14:paraId="6EDCFB91" w14:textId="77777777" w:rsidR="00A9766F" w:rsidRPr="007114AF" w:rsidRDefault="00A9766F" w:rsidP="00A9766F">
            <w:pPr>
              <w:spacing w:after="0"/>
              <w:cnfStyle w:val="000000100000" w:firstRow="0" w:lastRow="0" w:firstColumn="0" w:lastColumn="0" w:oddVBand="0" w:evenVBand="0" w:oddHBand="1" w:evenHBand="0" w:firstRowFirstColumn="0" w:firstRowLastColumn="0" w:lastRowFirstColumn="0" w:lastRowLastColumn="0"/>
              <w:rPr>
                <w:rFonts w:ascii="Garamond" w:hAnsi="Garamond"/>
                <w:sz w:val="20"/>
              </w:rPr>
            </w:pPr>
            <w:r w:rsidRPr="007114AF">
              <w:rPr>
                <w:rFonts w:ascii="Garamond" w:hAnsi="Garamond"/>
                <w:sz w:val="20"/>
              </w:rPr>
              <w:t>381</w:t>
            </w:r>
          </w:p>
        </w:tc>
        <w:tc>
          <w:tcPr>
            <w:tcW w:w="2251" w:type="dxa"/>
            <w:gridSpan w:val="2"/>
            <w:vMerge/>
          </w:tcPr>
          <w:p w14:paraId="6EDCFB92" w14:textId="77777777" w:rsidR="00A9766F" w:rsidRPr="007114AF" w:rsidRDefault="00A9766F" w:rsidP="00A9766F">
            <w:pPr>
              <w:spacing w:after="0"/>
              <w:cnfStyle w:val="000000100000" w:firstRow="0" w:lastRow="0" w:firstColumn="0" w:lastColumn="0" w:oddVBand="0" w:evenVBand="0" w:oddHBand="1" w:evenHBand="0" w:firstRowFirstColumn="0" w:firstRowLastColumn="0" w:lastRowFirstColumn="0" w:lastRowLastColumn="0"/>
              <w:rPr>
                <w:rFonts w:ascii="Garamond" w:hAnsi="Garamond"/>
                <w:sz w:val="20"/>
              </w:rPr>
            </w:pPr>
          </w:p>
        </w:tc>
      </w:tr>
      <w:tr w:rsidR="00A9766F" w:rsidRPr="007114AF" w14:paraId="6EDCFB97" w14:textId="77777777" w:rsidTr="00A9766F">
        <w:trPr>
          <w:trHeight w:val="452"/>
          <w:jc w:val="center"/>
        </w:trPr>
        <w:tc>
          <w:tcPr>
            <w:cnfStyle w:val="001000000000" w:firstRow="0" w:lastRow="0" w:firstColumn="1" w:lastColumn="0" w:oddVBand="0" w:evenVBand="0" w:oddHBand="0" w:evenHBand="0" w:firstRowFirstColumn="0" w:firstRowLastColumn="0" w:lastRowFirstColumn="0" w:lastRowLastColumn="0"/>
            <w:tcW w:w="4815" w:type="dxa"/>
            <w:noWrap/>
            <w:vAlign w:val="center"/>
          </w:tcPr>
          <w:p w14:paraId="6EDCFB94" w14:textId="77777777" w:rsidR="00A9766F" w:rsidRPr="007114AF" w:rsidRDefault="00A9766F" w:rsidP="00A9766F">
            <w:pPr>
              <w:spacing w:after="0"/>
              <w:ind w:left="360"/>
              <w:rPr>
                <w:rFonts w:ascii="Garamond" w:hAnsi="Garamond"/>
                <w:b w:val="0"/>
                <w:sz w:val="20"/>
              </w:rPr>
            </w:pPr>
            <w:r w:rsidRPr="007114AF">
              <w:rPr>
                <w:rFonts w:ascii="Garamond" w:hAnsi="Garamond"/>
                <w:sz w:val="20"/>
              </w:rPr>
              <w:t>Totali</w:t>
            </w:r>
          </w:p>
        </w:tc>
        <w:tc>
          <w:tcPr>
            <w:tcW w:w="1402" w:type="dxa"/>
            <w:noWrap/>
            <w:vAlign w:val="center"/>
          </w:tcPr>
          <w:p w14:paraId="6EDCFB95" w14:textId="77777777" w:rsidR="00A9766F" w:rsidRPr="007114AF" w:rsidRDefault="00A9766F" w:rsidP="00A9766F">
            <w:pPr>
              <w:spacing w:after="0"/>
              <w:cnfStyle w:val="000000000000" w:firstRow="0" w:lastRow="0" w:firstColumn="0" w:lastColumn="0" w:oddVBand="0" w:evenVBand="0" w:oddHBand="0" w:evenHBand="0" w:firstRowFirstColumn="0" w:firstRowLastColumn="0" w:lastRowFirstColumn="0" w:lastRowLastColumn="0"/>
              <w:rPr>
                <w:rFonts w:ascii="Garamond" w:hAnsi="Garamond"/>
                <w:sz w:val="20"/>
              </w:rPr>
            </w:pPr>
            <w:r w:rsidRPr="007114AF">
              <w:rPr>
                <w:rFonts w:ascii="Garamond" w:hAnsi="Garamond"/>
                <w:sz w:val="20"/>
              </w:rPr>
              <w:t>708</w:t>
            </w:r>
          </w:p>
        </w:tc>
        <w:tc>
          <w:tcPr>
            <w:tcW w:w="2251" w:type="dxa"/>
            <w:gridSpan w:val="2"/>
            <w:vAlign w:val="center"/>
          </w:tcPr>
          <w:p w14:paraId="6EDCFB96" w14:textId="77777777" w:rsidR="00A9766F" w:rsidRPr="007114AF" w:rsidRDefault="00A9766F" w:rsidP="00A9766F">
            <w:pPr>
              <w:spacing w:after="0"/>
              <w:cnfStyle w:val="000000000000" w:firstRow="0" w:lastRow="0" w:firstColumn="0" w:lastColumn="0" w:oddVBand="0" w:evenVBand="0" w:oddHBand="0" w:evenHBand="0" w:firstRowFirstColumn="0" w:firstRowLastColumn="0" w:lastRowFirstColumn="0" w:lastRowLastColumn="0"/>
              <w:rPr>
                <w:rFonts w:ascii="Garamond" w:hAnsi="Garamond"/>
                <w:sz w:val="20"/>
              </w:rPr>
            </w:pPr>
            <w:r w:rsidRPr="007114AF">
              <w:rPr>
                <w:rFonts w:ascii="Garamond" w:hAnsi="Garamond"/>
                <w:sz w:val="20"/>
              </w:rPr>
              <w:t>11.5%</w:t>
            </w:r>
          </w:p>
        </w:tc>
      </w:tr>
    </w:tbl>
    <w:p w14:paraId="6EDCFB98" w14:textId="77777777" w:rsidR="00A9766F" w:rsidRPr="007114AF" w:rsidRDefault="00A9766F" w:rsidP="00A9766F">
      <w:pPr>
        <w:rPr>
          <w:rFonts w:ascii="Garamond" w:hAnsi="Garamond"/>
        </w:rPr>
      </w:pPr>
    </w:p>
    <w:p w14:paraId="6EDCFB99" w14:textId="77777777" w:rsidR="00A9766F" w:rsidRDefault="00A9766F" w:rsidP="00206985">
      <w:pPr>
        <w:pStyle w:val="TEKSTI"/>
      </w:pPr>
      <w:r w:rsidRPr="007114AF">
        <w:t xml:space="preserve">Dokumenti teknik bazë INDC-ja jep një vlerësim të kostos së investimit lidhur me çdo masë zbutëse të raportuar në tabelën 11. </w:t>
      </w:r>
    </w:p>
    <w:p w14:paraId="671F4B08" w14:textId="77777777" w:rsidR="00CA0B80" w:rsidRPr="007114AF" w:rsidRDefault="00CA0B80" w:rsidP="00206985">
      <w:pPr>
        <w:pStyle w:val="TEKSTI"/>
      </w:pPr>
    </w:p>
    <w:p w14:paraId="6EDCFB9A" w14:textId="0B235FCF" w:rsidR="00A9766F" w:rsidRPr="007114AF" w:rsidRDefault="00A9766F" w:rsidP="00206985">
      <w:pPr>
        <w:pStyle w:val="FIGURA"/>
        <w:rPr>
          <w:sz w:val="20"/>
          <w:szCs w:val="20"/>
        </w:rPr>
      </w:pPr>
      <w:r w:rsidRPr="007114AF">
        <w:rPr>
          <w:sz w:val="20"/>
          <w:szCs w:val="20"/>
        </w:rPr>
        <w:t>Tabela</w:t>
      </w:r>
      <w:r w:rsidR="00782894" w:rsidRPr="007114AF">
        <w:rPr>
          <w:sz w:val="20"/>
          <w:szCs w:val="20"/>
        </w:rPr>
        <w:t xml:space="preserve"> </w:t>
      </w:r>
      <w:r w:rsidRPr="007114AF">
        <w:rPr>
          <w:sz w:val="20"/>
          <w:szCs w:val="20"/>
        </w:rPr>
        <w:fldChar w:fldCharType="begin"/>
      </w:r>
      <w:r w:rsidRPr="007114AF">
        <w:rPr>
          <w:sz w:val="20"/>
          <w:szCs w:val="20"/>
        </w:rPr>
        <w:instrText xml:space="preserve"> SEQ Table \* ARABIC </w:instrText>
      </w:r>
      <w:r w:rsidRPr="007114AF">
        <w:rPr>
          <w:sz w:val="20"/>
          <w:szCs w:val="20"/>
        </w:rPr>
        <w:fldChar w:fldCharType="separate"/>
      </w:r>
      <w:r w:rsidRPr="007114AF">
        <w:rPr>
          <w:sz w:val="20"/>
          <w:szCs w:val="20"/>
        </w:rPr>
        <w:t>11</w:t>
      </w:r>
      <w:r w:rsidRPr="007114AF">
        <w:rPr>
          <w:sz w:val="20"/>
          <w:szCs w:val="20"/>
        </w:rPr>
        <w:fldChar w:fldCharType="end"/>
      </w:r>
      <w:r w:rsidR="00CA0B80">
        <w:rPr>
          <w:sz w:val="20"/>
          <w:szCs w:val="20"/>
        </w:rPr>
        <w:t xml:space="preserve"> </w:t>
      </w:r>
      <w:r w:rsidRPr="007114AF">
        <w:rPr>
          <w:sz w:val="20"/>
          <w:szCs w:val="20"/>
        </w:rPr>
        <w:t>–</w:t>
      </w:r>
      <w:r w:rsidR="00CA0B80">
        <w:rPr>
          <w:sz w:val="20"/>
          <w:szCs w:val="20"/>
        </w:rPr>
        <w:t xml:space="preserve"> </w:t>
      </w:r>
      <w:r w:rsidRPr="007114AF">
        <w:rPr>
          <w:sz w:val="20"/>
          <w:szCs w:val="20"/>
        </w:rPr>
        <w:t>Kostot e investimit për masat zbutëse deri në vitin 2030 (m€)</w:t>
      </w:r>
      <w:r w:rsidRPr="007114AF">
        <w:rPr>
          <w:rStyle w:val="FootnoteReference"/>
          <w:sz w:val="20"/>
          <w:szCs w:val="20"/>
        </w:rPr>
        <w:footnoteReference w:id="33"/>
      </w:r>
      <w:r w:rsidRPr="007114AF">
        <w:rPr>
          <w:sz w:val="20"/>
          <w:szCs w:val="20"/>
        </w:rPr>
        <w:t xml:space="preserve"> (Burimi: INDC 2015)</w:t>
      </w:r>
    </w:p>
    <w:tbl>
      <w:tblPr>
        <w:tblStyle w:val="GridTable6Colorful-Accent11"/>
        <w:tblW w:w="9351" w:type="dxa"/>
        <w:jc w:val="center"/>
        <w:tblLayout w:type="fixed"/>
        <w:tblLook w:val="04A0" w:firstRow="1" w:lastRow="0" w:firstColumn="1" w:lastColumn="0" w:noHBand="0" w:noVBand="1"/>
      </w:tblPr>
      <w:tblGrid>
        <w:gridCol w:w="1271"/>
        <w:gridCol w:w="1843"/>
        <w:gridCol w:w="1417"/>
        <w:gridCol w:w="1157"/>
        <w:gridCol w:w="3663"/>
      </w:tblGrid>
      <w:tr w:rsidR="00A9766F" w:rsidRPr="007114AF" w14:paraId="6EDCFBA0" w14:textId="77777777" w:rsidTr="00A9766F">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271" w:type="dxa"/>
            <w:vAlign w:val="center"/>
          </w:tcPr>
          <w:p w14:paraId="6EDCFB9B" w14:textId="77777777" w:rsidR="00A9766F" w:rsidRPr="007114AF" w:rsidRDefault="00A9766F" w:rsidP="00A9766F">
            <w:pPr>
              <w:rPr>
                <w:rFonts w:ascii="Garamond" w:hAnsi="Garamond"/>
                <w:sz w:val="18"/>
                <w:szCs w:val="18"/>
              </w:rPr>
            </w:pPr>
            <w:r w:rsidRPr="007114AF">
              <w:rPr>
                <w:rFonts w:ascii="Garamond" w:hAnsi="Garamond"/>
                <w:sz w:val="18"/>
                <w:szCs w:val="18"/>
              </w:rPr>
              <w:t>Sektori</w:t>
            </w:r>
          </w:p>
        </w:tc>
        <w:tc>
          <w:tcPr>
            <w:tcW w:w="1843" w:type="dxa"/>
            <w:vAlign w:val="center"/>
          </w:tcPr>
          <w:p w14:paraId="6EDCFB9C" w14:textId="77777777" w:rsidR="00A9766F" w:rsidRPr="007114AF" w:rsidRDefault="00A9766F" w:rsidP="00A9766F">
            <w:pPr>
              <w:cnfStyle w:val="100000000000" w:firstRow="1" w:lastRow="0" w:firstColumn="0" w:lastColumn="0" w:oddVBand="0" w:evenVBand="0" w:oddHBand="0" w:evenHBand="0" w:firstRowFirstColumn="0" w:firstRowLastColumn="0" w:lastRowFirstColumn="0" w:lastRowLastColumn="0"/>
              <w:rPr>
                <w:rFonts w:ascii="Garamond" w:hAnsi="Garamond"/>
                <w:sz w:val="18"/>
                <w:szCs w:val="18"/>
              </w:rPr>
            </w:pPr>
            <w:r w:rsidRPr="007114AF">
              <w:rPr>
                <w:rFonts w:ascii="Garamond" w:hAnsi="Garamond"/>
                <w:sz w:val="18"/>
                <w:szCs w:val="18"/>
              </w:rPr>
              <w:t>Masa</w:t>
            </w:r>
          </w:p>
        </w:tc>
        <w:tc>
          <w:tcPr>
            <w:tcW w:w="1417" w:type="dxa"/>
            <w:vAlign w:val="center"/>
          </w:tcPr>
          <w:p w14:paraId="6EDCFB9D" w14:textId="77777777" w:rsidR="00A9766F" w:rsidRPr="007114AF" w:rsidRDefault="00A9766F" w:rsidP="00A9766F">
            <w:pPr>
              <w:cnfStyle w:val="100000000000" w:firstRow="1" w:lastRow="0" w:firstColumn="0" w:lastColumn="0" w:oddVBand="0" w:evenVBand="0" w:oddHBand="0" w:evenHBand="0" w:firstRowFirstColumn="0" w:firstRowLastColumn="0" w:lastRowFirstColumn="0" w:lastRowLastColumn="0"/>
              <w:rPr>
                <w:rFonts w:ascii="Garamond" w:hAnsi="Garamond"/>
                <w:sz w:val="18"/>
                <w:szCs w:val="18"/>
              </w:rPr>
            </w:pPr>
            <w:r w:rsidRPr="007114AF">
              <w:rPr>
                <w:rFonts w:ascii="Garamond" w:hAnsi="Garamond"/>
                <w:sz w:val="18"/>
                <w:szCs w:val="18"/>
              </w:rPr>
              <w:t>Zbutja ktCO</w:t>
            </w:r>
            <w:r w:rsidRPr="007114AF">
              <w:rPr>
                <w:rFonts w:ascii="Garamond" w:hAnsi="Garamond"/>
                <w:sz w:val="18"/>
                <w:szCs w:val="18"/>
                <w:vertAlign w:val="subscript"/>
              </w:rPr>
              <w:t>2</w:t>
            </w:r>
            <w:r w:rsidRPr="007114AF">
              <w:rPr>
                <w:rFonts w:ascii="Garamond" w:hAnsi="Garamond"/>
                <w:sz w:val="18"/>
                <w:szCs w:val="18"/>
              </w:rPr>
              <w:br/>
            </w:r>
          </w:p>
        </w:tc>
        <w:tc>
          <w:tcPr>
            <w:tcW w:w="1157" w:type="dxa"/>
            <w:vAlign w:val="center"/>
          </w:tcPr>
          <w:p w14:paraId="6EDCFB9E" w14:textId="77777777" w:rsidR="00A9766F" w:rsidRPr="007114AF" w:rsidRDefault="00A9766F" w:rsidP="00A9766F">
            <w:pPr>
              <w:cnfStyle w:val="100000000000" w:firstRow="1" w:lastRow="0" w:firstColumn="0" w:lastColumn="0" w:oddVBand="0" w:evenVBand="0" w:oddHBand="0" w:evenHBand="0" w:firstRowFirstColumn="0" w:firstRowLastColumn="0" w:lastRowFirstColumn="0" w:lastRowLastColumn="0"/>
              <w:rPr>
                <w:rFonts w:ascii="Garamond" w:hAnsi="Garamond"/>
                <w:sz w:val="18"/>
                <w:szCs w:val="18"/>
              </w:rPr>
            </w:pPr>
            <w:r w:rsidRPr="007114AF">
              <w:rPr>
                <w:rFonts w:ascii="Garamond" w:hAnsi="Garamond"/>
                <w:sz w:val="18"/>
                <w:szCs w:val="18"/>
              </w:rPr>
              <w:t>Kosto e investimit m€</w:t>
            </w:r>
          </w:p>
        </w:tc>
        <w:tc>
          <w:tcPr>
            <w:tcW w:w="3663" w:type="dxa"/>
            <w:vAlign w:val="center"/>
          </w:tcPr>
          <w:p w14:paraId="6EDCFB9F" w14:textId="77777777" w:rsidR="00A9766F" w:rsidRPr="007114AF" w:rsidRDefault="00A9766F" w:rsidP="00A9766F">
            <w:pPr>
              <w:cnfStyle w:val="100000000000" w:firstRow="1" w:lastRow="0" w:firstColumn="0" w:lastColumn="0" w:oddVBand="0" w:evenVBand="0" w:oddHBand="0" w:evenHBand="0" w:firstRowFirstColumn="0" w:firstRowLastColumn="0" w:lastRowFirstColumn="0" w:lastRowLastColumn="0"/>
              <w:rPr>
                <w:rFonts w:ascii="Garamond" w:hAnsi="Garamond"/>
                <w:sz w:val="18"/>
                <w:szCs w:val="18"/>
              </w:rPr>
            </w:pPr>
            <w:r w:rsidRPr="007114AF">
              <w:rPr>
                <w:rFonts w:ascii="Garamond" w:hAnsi="Garamond"/>
                <w:sz w:val="18"/>
                <w:szCs w:val="18"/>
              </w:rPr>
              <w:t xml:space="preserve">Burimi/supozimi </w:t>
            </w:r>
          </w:p>
        </w:tc>
      </w:tr>
      <w:tr w:rsidR="00A9766F" w:rsidRPr="007114AF" w14:paraId="6EDCFBA6" w14:textId="77777777" w:rsidTr="00A9766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271" w:type="dxa"/>
            <w:vAlign w:val="center"/>
          </w:tcPr>
          <w:p w14:paraId="6EDCFBA1" w14:textId="77777777" w:rsidR="00A9766F" w:rsidRPr="007114AF" w:rsidRDefault="00A9766F" w:rsidP="00A9766F">
            <w:pPr>
              <w:spacing w:after="0"/>
              <w:rPr>
                <w:rFonts w:ascii="Garamond" w:hAnsi="Garamond"/>
                <w:b w:val="0"/>
                <w:sz w:val="18"/>
                <w:szCs w:val="18"/>
              </w:rPr>
            </w:pPr>
            <w:r w:rsidRPr="007114AF">
              <w:rPr>
                <w:rFonts w:ascii="Garamond" w:hAnsi="Garamond"/>
                <w:sz w:val="18"/>
                <w:szCs w:val="18"/>
              </w:rPr>
              <w:t xml:space="preserve">Ndërtesat </w:t>
            </w:r>
          </w:p>
        </w:tc>
        <w:tc>
          <w:tcPr>
            <w:tcW w:w="1843" w:type="dxa"/>
            <w:vAlign w:val="center"/>
          </w:tcPr>
          <w:p w14:paraId="6EDCFBA2" w14:textId="77777777" w:rsidR="00A9766F" w:rsidRPr="007114AF" w:rsidRDefault="00A9766F" w:rsidP="00A9766F">
            <w:pPr>
              <w:spacing w:after="0"/>
              <w:cnfStyle w:val="000000100000" w:firstRow="0" w:lastRow="0" w:firstColumn="0" w:lastColumn="0" w:oddVBand="0" w:evenVBand="0" w:oddHBand="1" w:evenHBand="0" w:firstRowFirstColumn="0" w:firstRowLastColumn="0" w:lastRowFirstColumn="0" w:lastRowLastColumn="0"/>
              <w:rPr>
                <w:rFonts w:ascii="Garamond" w:hAnsi="Garamond"/>
                <w:sz w:val="18"/>
                <w:szCs w:val="18"/>
              </w:rPr>
            </w:pPr>
            <w:r w:rsidRPr="007114AF">
              <w:rPr>
                <w:rFonts w:ascii="Garamond" w:hAnsi="Garamond"/>
                <w:sz w:val="18"/>
                <w:szCs w:val="18"/>
              </w:rPr>
              <w:t xml:space="preserve">Izolimi termik </w:t>
            </w:r>
          </w:p>
        </w:tc>
        <w:tc>
          <w:tcPr>
            <w:tcW w:w="1417" w:type="dxa"/>
            <w:vAlign w:val="center"/>
          </w:tcPr>
          <w:p w14:paraId="6EDCFBA3" w14:textId="77777777" w:rsidR="00A9766F" w:rsidRPr="007114AF" w:rsidRDefault="00A9766F" w:rsidP="00A9766F">
            <w:pPr>
              <w:spacing w:after="0"/>
              <w:cnfStyle w:val="000000100000" w:firstRow="0" w:lastRow="0" w:firstColumn="0" w:lastColumn="0" w:oddVBand="0" w:evenVBand="0" w:oddHBand="1" w:evenHBand="0" w:firstRowFirstColumn="0" w:firstRowLastColumn="0" w:lastRowFirstColumn="0" w:lastRowLastColumn="0"/>
              <w:rPr>
                <w:rFonts w:ascii="Garamond" w:hAnsi="Garamond"/>
                <w:sz w:val="18"/>
                <w:szCs w:val="18"/>
              </w:rPr>
            </w:pPr>
            <w:r w:rsidRPr="007114AF">
              <w:rPr>
                <w:rFonts w:ascii="Garamond" w:hAnsi="Garamond"/>
                <w:sz w:val="18"/>
                <w:szCs w:val="18"/>
              </w:rPr>
              <w:t>50</w:t>
            </w:r>
          </w:p>
        </w:tc>
        <w:tc>
          <w:tcPr>
            <w:tcW w:w="1157" w:type="dxa"/>
            <w:vAlign w:val="center"/>
          </w:tcPr>
          <w:p w14:paraId="6EDCFBA4" w14:textId="77777777" w:rsidR="00A9766F" w:rsidRPr="007114AF" w:rsidRDefault="00A9766F" w:rsidP="00A9766F">
            <w:pPr>
              <w:spacing w:after="0"/>
              <w:cnfStyle w:val="000000100000" w:firstRow="0" w:lastRow="0" w:firstColumn="0" w:lastColumn="0" w:oddVBand="0" w:evenVBand="0" w:oddHBand="1" w:evenHBand="0" w:firstRowFirstColumn="0" w:firstRowLastColumn="0" w:lastRowFirstColumn="0" w:lastRowLastColumn="0"/>
              <w:rPr>
                <w:rFonts w:ascii="Garamond" w:hAnsi="Garamond"/>
                <w:sz w:val="18"/>
                <w:szCs w:val="18"/>
              </w:rPr>
            </w:pPr>
            <w:r w:rsidRPr="007114AF">
              <w:rPr>
                <w:rFonts w:ascii="Garamond" w:hAnsi="Garamond"/>
                <w:sz w:val="18"/>
                <w:szCs w:val="18"/>
              </w:rPr>
              <w:t>21</w:t>
            </w:r>
          </w:p>
        </w:tc>
        <w:tc>
          <w:tcPr>
            <w:tcW w:w="3663" w:type="dxa"/>
            <w:vAlign w:val="center"/>
          </w:tcPr>
          <w:p w14:paraId="6EDCFBA5" w14:textId="368E7302" w:rsidR="00A9766F" w:rsidRPr="007114AF" w:rsidRDefault="00A9766F" w:rsidP="00A9766F">
            <w:pPr>
              <w:spacing w:after="0"/>
              <w:cnfStyle w:val="000000100000" w:firstRow="0" w:lastRow="0" w:firstColumn="0" w:lastColumn="0" w:oddVBand="0" w:evenVBand="0" w:oddHBand="1" w:evenHBand="0" w:firstRowFirstColumn="0" w:firstRowLastColumn="0" w:lastRowFirstColumn="0" w:lastRowLastColumn="0"/>
              <w:rPr>
                <w:rFonts w:ascii="Garamond" w:hAnsi="Garamond"/>
                <w:sz w:val="18"/>
                <w:szCs w:val="18"/>
              </w:rPr>
            </w:pPr>
            <w:r w:rsidRPr="007114AF">
              <w:rPr>
                <w:rFonts w:ascii="Garamond" w:hAnsi="Garamond"/>
                <w:sz w:val="18"/>
                <w:szCs w:val="18"/>
              </w:rPr>
              <w:t>Të dhëna specifike për Shqipërinë për</w:t>
            </w:r>
            <w:r w:rsidR="00CA0B80">
              <w:rPr>
                <w:rFonts w:ascii="Garamond" w:hAnsi="Garamond"/>
                <w:sz w:val="18"/>
                <w:szCs w:val="18"/>
              </w:rPr>
              <w:t xml:space="preserve"> </w:t>
            </w:r>
            <w:r w:rsidRPr="007114AF">
              <w:rPr>
                <w:rFonts w:ascii="Garamond" w:hAnsi="Garamond"/>
                <w:sz w:val="18"/>
                <w:szCs w:val="18"/>
              </w:rPr>
              <w:t xml:space="preserve">koston nga Komunikata e Tretë Kombëtare </w:t>
            </w:r>
          </w:p>
        </w:tc>
      </w:tr>
      <w:tr w:rsidR="00A9766F" w:rsidRPr="007114AF" w14:paraId="6EDCFBAC" w14:textId="77777777" w:rsidTr="00A9766F">
        <w:trPr>
          <w:jc w:val="center"/>
        </w:trPr>
        <w:tc>
          <w:tcPr>
            <w:cnfStyle w:val="001000000000" w:firstRow="0" w:lastRow="0" w:firstColumn="1" w:lastColumn="0" w:oddVBand="0" w:evenVBand="0" w:oddHBand="0" w:evenHBand="0" w:firstRowFirstColumn="0" w:firstRowLastColumn="0" w:lastRowFirstColumn="0" w:lastRowLastColumn="0"/>
            <w:tcW w:w="1271" w:type="dxa"/>
            <w:vAlign w:val="center"/>
          </w:tcPr>
          <w:p w14:paraId="6EDCFBA7" w14:textId="77777777" w:rsidR="00A9766F" w:rsidRPr="007114AF" w:rsidRDefault="00A9766F" w:rsidP="00A9766F">
            <w:pPr>
              <w:spacing w:after="0"/>
              <w:rPr>
                <w:rFonts w:ascii="Garamond" w:hAnsi="Garamond"/>
                <w:b w:val="0"/>
                <w:sz w:val="18"/>
                <w:szCs w:val="18"/>
              </w:rPr>
            </w:pPr>
            <w:r w:rsidRPr="007114AF">
              <w:rPr>
                <w:rFonts w:ascii="Garamond" w:hAnsi="Garamond"/>
                <w:sz w:val="18"/>
                <w:szCs w:val="18"/>
              </w:rPr>
              <w:t>Industria</w:t>
            </w:r>
          </w:p>
        </w:tc>
        <w:tc>
          <w:tcPr>
            <w:tcW w:w="1843" w:type="dxa"/>
            <w:vAlign w:val="center"/>
          </w:tcPr>
          <w:p w14:paraId="6EDCFBA8" w14:textId="77777777" w:rsidR="00A9766F" w:rsidRPr="007114AF" w:rsidRDefault="00A9766F" w:rsidP="00A9766F">
            <w:pPr>
              <w:spacing w:after="0"/>
              <w:cnfStyle w:val="000000000000" w:firstRow="0" w:lastRow="0" w:firstColumn="0" w:lastColumn="0" w:oddVBand="0" w:evenVBand="0" w:oddHBand="0" w:evenHBand="0" w:firstRowFirstColumn="0" w:firstRowLastColumn="0" w:lastRowFirstColumn="0" w:lastRowLastColumn="0"/>
              <w:rPr>
                <w:rFonts w:ascii="Garamond" w:hAnsi="Garamond"/>
                <w:sz w:val="18"/>
                <w:szCs w:val="18"/>
              </w:rPr>
            </w:pPr>
            <w:r w:rsidRPr="007114AF">
              <w:rPr>
                <w:rFonts w:ascii="Garamond" w:hAnsi="Garamond"/>
                <w:sz w:val="18"/>
                <w:szCs w:val="18"/>
              </w:rPr>
              <w:t>Bojlerë më efikasë</w:t>
            </w:r>
          </w:p>
        </w:tc>
        <w:tc>
          <w:tcPr>
            <w:tcW w:w="1417" w:type="dxa"/>
            <w:vAlign w:val="center"/>
          </w:tcPr>
          <w:p w14:paraId="6EDCFBA9" w14:textId="77777777" w:rsidR="00A9766F" w:rsidRPr="007114AF" w:rsidRDefault="00A9766F" w:rsidP="00A9766F">
            <w:pPr>
              <w:spacing w:after="0"/>
              <w:cnfStyle w:val="000000000000" w:firstRow="0" w:lastRow="0" w:firstColumn="0" w:lastColumn="0" w:oddVBand="0" w:evenVBand="0" w:oddHBand="0" w:evenHBand="0" w:firstRowFirstColumn="0" w:firstRowLastColumn="0" w:lastRowFirstColumn="0" w:lastRowLastColumn="0"/>
              <w:rPr>
                <w:rFonts w:ascii="Garamond" w:hAnsi="Garamond"/>
                <w:sz w:val="18"/>
                <w:szCs w:val="18"/>
              </w:rPr>
            </w:pPr>
            <w:r w:rsidRPr="007114AF">
              <w:rPr>
                <w:rFonts w:ascii="Garamond" w:hAnsi="Garamond"/>
                <w:sz w:val="18"/>
                <w:szCs w:val="18"/>
              </w:rPr>
              <w:t>225</w:t>
            </w:r>
          </w:p>
        </w:tc>
        <w:tc>
          <w:tcPr>
            <w:tcW w:w="1157" w:type="dxa"/>
            <w:vAlign w:val="center"/>
          </w:tcPr>
          <w:p w14:paraId="6EDCFBAA" w14:textId="77777777" w:rsidR="00A9766F" w:rsidRPr="007114AF" w:rsidRDefault="00A9766F" w:rsidP="00A9766F">
            <w:pPr>
              <w:spacing w:after="0"/>
              <w:cnfStyle w:val="000000000000" w:firstRow="0" w:lastRow="0" w:firstColumn="0" w:lastColumn="0" w:oddVBand="0" w:evenVBand="0" w:oddHBand="0" w:evenHBand="0" w:firstRowFirstColumn="0" w:firstRowLastColumn="0" w:lastRowFirstColumn="0" w:lastRowLastColumn="0"/>
              <w:rPr>
                <w:rFonts w:ascii="Garamond" w:hAnsi="Garamond"/>
                <w:sz w:val="18"/>
                <w:szCs w:val="18"/>
              </w:rPr>
            </w:pPr>
            <w:r w:rsidRPr="007114AF">
              <w:rPr>
                <w:rFonts w:ascii="Garamond" w:hAnsi="Garamond"/>
                <w:sz w:val="18"/>
                <w:szCs w:val="18"/>
              </w:rPr>
              <w:t>15</w:t>
            </w:r>
          </w:p>
        </w:tc>
        <w:tc>
          <w:tcPr>
            <w:tcW w:w="3663" w:type="dxa"/>
            <w:vAlign w:val="center"/>
          </w:tcPr>
          <w:p w14:paraId="6EDCFBAB" w14:textId="77777777" w:rsidR="00A9766F" w:rsidRPr="007114AF" w:rsidRDefault="00A9766F" w:rsidP="00A9766F">
            <w:pPr>
              <w:spacing w:after="0"/>
              <w:cnfStyle w:val="000000000000" w:firstRow="0" w:lastRow="0" w:firstColumn="0" w:lastColumn="0" w:oddVBand="0" w:evenVBand="0" w:oddHBand="0" w:evenHBand="0" w:firstRowFirstColumn="0" w:firstRowLastColumn="0" w:lastRowFirstColumn="0" w:lastRowLastColumn="0"/>
              <w:rPr>
                <w:rFonts w:ascii="Garamond" w:hAnsi="Garamond"/>
                <w:sz w:val="18"/>
                <w:szCs w:val="18"/>
              </w:rPr>
            </w:pPr>
            <w:r w:rsidRPr="007114AF">
              <w:rPr>
                <w:rFonts w:ascii="Garamond" w:hAnsi="Garamond"/>
                <w:sz w:val="18"/>
                <w:szCs w:val="18"/>
              </w:rPr>
              <w:t xml:space="preserve">Nga modeli GACMO i përdorur për Komunikimin e Tretë Kombëtar </w:t>
            </w:r>
          </w:p>
        </w:tc>
      </w:tr>
      <w:tr w:rsidR="00A9766F" w:rsidRPr="007114AF" w14:paraId="6EDCFBB2" w14:textId="77777777" w:rsidTr="00A9766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271" w:type="dxa"/>
            <w:vAlign w:val="center"/>
          </w:tcPr>
          <w:p w14:paraId="6EDCFBAD" w14:textId="77777777" w:rsidR="00A9766F" w:rsidRPr="007114AF" w:rsidRDefault="00A9766F" w:rsidP="00A9766F">
            <w:pPr>
              <w:spacing w:after="0"/>
              <w:rPr>
                <w:rFonts w:ascii="Garamond" w:hAnsi="Garamond"/>
                <w:b w:val="0"/>
                <w:sz w:val="18"/>
                <w:szCs w:val="18"/>
              </w:rPr>
            </w:pPr>
            <w:r w:rsidRPr="007114AF">
              <w:rPr>
                <w:rFonts w:ascii="Garamond" w:hAnsi="Garamond"/>
                <w:sz w:val="18"/>
                <w:szCs w:val="18"/>
              </w:rPr>
              <w:t>Industria</w:t>
            </w:r>
          </w:p>
        </w:tc>
        <w:tc>
          <w:tcPr>
            <w:tcW w:w="1843" w:type="dxa"/>
            <w:vAlign w:val="center"/>
          </w:tcPr>
          <w:p w14:paraId="6EDCFBAE" w14:textId="77777777" w:rsidR="00A9766F" w:rsidRPr="007114AF" w:rsidRDefault="00A9766F" w:rsidP="00A9766F">
            <w:pPr>
              <w:spacing w:after="0"/>
              <w:cnfStyle w:val="000000100000" w:firstRow="0" w:lastRow="0" w:firstColumn="0" w:lastColumn="0" w:oddVBand="0" w:evenVBand="0" w:oddHBand="1" w:evenHBand="0" w:firstRowFirstColumn="0" w:firstRowLastColumn="0" w:lastRowFirstColumn="0" w:lastRowLastColumn="0"/>
              <w:rPr>
                <w:rFonts w:ascii="Garamond" w:hAnsi="Garamond"/>
                <w:sz w:val="18"/>
                <w:szCs w:val="18"/>
              </w:rPr>
            </w:pPr>
            <w:r w:rsidRPr="007114AF">
              <w:rPr>
                <w:rFonts w:ascii="Garamond" w:hAnsi="Garamond"/>
                <w:sz w:val="18"/>
                <w:szCs w:val="18"/>
              </w:rPr>
              <w:t>Ndryshimi i lëndës djegëse</w:t>
            </w:r>
          </w:p>
        </w:tc>
        <w:tc>
          <w:tcPr>
            <w:tcW w:w="1417" w:type="dxa"/>
            <w:vAlign w:val="center"/>
          </w:tcPr>
          <w:p w14:paraId="6EDCFBAF" w14:textId="77777777" w:rsidR="00A9766F" w:rsidRPr="007114AF" w:rsidRDefault="00A9766F" w:rsidP="00A9766F">
            <w:pPr>
              <w:spacing w:after="0"/>
              <w:cnfStyle w:val="000000100000" w:firstRow="0" w:lastRow="0" w:firstColumn="0" w:lastColumn="0" w:oddVBand="0" w:evenVBand="0" w:oddHBand="1" w:evenHBand="0" w:firstRowFirstColumn="0" w:firstRowLastColumn="0" w:lastRowFirstColumn="0" w:lastRowLastColumn="0"/>
              <w:rPr>
                <w:rFonts w:ascii="Garamond" w:hAnsi="Garamond"/>
                <w:sz w:val="18"/>
                <w:szCs w:val="18"/>
              </w:rPr>
            </w:pPr>
            <w:r w:rsidRPr="007114AF">
              <w:rPr>
                <w:rFonts w:ascii="Garamond" w:hAnsi="Garamond"/>
                <w:sz w:val="18"/>
                <w:szCs w:val="18"/>
              </w:rPr>
              <w:t>52</w:t>
            </w:r>
          </w:p>
        </w:tc>
        <w:tc>
          <w:tcPr>
            <w:tcW w:w="1157" w:type="dxa"/>
            <w:vAlign w:val="center"/>
          </w:tcPr>
          <w:p w14:paraId="6EDCFBB0" w14:textId="77777777" w:rsidR="00A9766F" w:rsidRPr="007114AF" w:rsidRDefault="00A9766F" w:rsidP="00A9766F">
            <w:pPr>
              <w:spacing w:after="0"/>
              <w:cnfStyle w:val="000000100000" w:firstRow="0" w:lastRow="0" w:firstColumn="0" w:lastColumn="0" w:oddVBand="0" w:evenVBand="0" w:oddHBand="1" w:evenHBand="0" w:firstRowFirstColumn="0" w:firstRowLastColumn="0" w:lastRowFirstColumn="0" w:lastRowLastColumn="0"/>
              <w:rPr>
                <w:rFonts w:ascii="Garamond" w:hAnsi="Garamond"/>
                <w:sz w:val="18"/>
                <w:szCs w:val="18"/>
              </w:rPr>
            </w:pPr>
            <w:r w:rsidRPr="007114AF">
              <w:rPr>
                <w:rFonts w:ascii="Garamond" w:hAnsi="Garamond"/>
                <w:sz w:val="18"/>
                <w:szCs w:val="18"/>
              </w:rPr>
              <w:t>0</w:t>
            </w:r>
          </w:p>
        </w:tc>
        <w:tc>
          <w:tcPr>
            <w:tcW w:w="3663" w:type="dxa"/>
            <w:vAlign w:val="center"/>
          </w:tcPr>
          <w:p w14:paraId="6EDCFBB1" w14:textId="77777777" w:rsidR="00A9766F" w:rsidRPr="007114AF" w:rsidRDefault="00A9766F" w:rsidP="00A9766F">
            <w:pPr>
              <w:spacing w:after="0"/>
              <w:cnfStyle w:val="000000100000" w:firstRow="0" w:lastRow="0" w:firstColumn="0" w:lastColumn="0" w:oddVBand="0" w:evenVBand="0" w:oddHBand="1" w:evenHBand="0" w:firstRowFirstColumn="0" w:firstRowLastColumn="0" w:lastRowFirstColumn="0" w:lastRowLastColumn="0"/>
              <w:rPr>
                <w:rFonts w:ascii="Garamond" w:hAnsi="Garamond"/>
                <w:sz w:val="18"/>
                <w:szCs w:val="18"/>
              </w:rPr>
            </w:pPr>
            <w:r w:rsidRPr="007114AF">
              <w:rPr>
                <w:rFonts w:ascii="Garamond" w:hAnsi="Garamond"/>
                <w:sz w:val="18"/>
                <w:szCs w:val="18"/>
              </w:rPr>
              <w:t>Duke mos supozuar kosto shtesë për pajisjet me gaz natyror kundrejt pajisjeve me qymyr/naftë dhe që gazi natyror është i disponueshëm në vendet kryesore industriale në kuadrin e bazës.</w:t>
            </w:r>
          </w:p>
        </w:tc>
      </w:tr>
      <w:tr w:rsidR="00A9766F" w:rsidRPr="007114AF" w14:paraId="6EDCFBB8" w14:textId="77777777" w:rsidTr="00A9766F">
        <w:trPr>
          <w:jc w:val="center"/>
        </w:trPr>
        <w:tc>
          <w:tcPr>
            <w:cnfStyle w:val="001000000000" w:firstRow="0" w:lastRow="0" w:firstColumn="1" w:lastColumn="0" w:oddVBand="0" w:evenVBand="0" w:oddHBand="0" w:evenHBand="0" w:firstRowFirstColumn="0" w:firstRowLastColumn="0" w:lastRowFirstColumn="0" w:lastRowLastColumn="0"/>
            <w:tcW w:w="1271" w:type="dxa"/>
            <w:vAlign w:val="center"/>
          </w:tcPr>
          <w:p w14:paraId="6EDCFBB3" w14:textId="77777777" w:rsidR="00A9766F" w:rsidRPr="007114AF" w:rsidRDefault="00A9766F" w:rsidP="00A9766F">
            <w:pPr>
              <w:spacing w:after="0"/>
              <w:rPr>
                <w:rFonts w:ascii="Garamond" w:hAnsi="Garamond"/>
                <w:b w:val="0"/>
                <w:sz w:val="18"/>
                <w:szCs w:val="18"/>
              </w:rPr>
            </w:pPr>
            <w:r w:rsidRPr="007114AF">
              <w:rPr>
                <w:rFonts w:ascii="Garamond" w:hAnsi="Garamond"/>
                <w:sz w:val="18"/>
                <w:szCs w:val="18"/>
              </w:rPr>
              <w:t>Transporti</w:t>
            </w:r>
          </w:p>
        </w:tc>
        <w:tc>
          <w:tcPr>
            <w:tcW w:w="1843" w:type="dxa"/>
            <w:vAlign w:val="center"/>
          </w:tcPr>
          <w:p w14:paraId="6EDCFBB4" w14:textId="77777777" w:rsidR="00A9766F" w:rsidRPr="007114AF" w:rsidRDefault="00A9766F" w:rsidP="00A9766F">
            <w:pPr>
              <w:spacing w:after="0"/>
              <w:cnfStyle w:val="000000000000" w:firstRow="0" w:lastRow="0" w:firstColumn="0" w:lastColumn="0" w:oddVBand="0" w:evenVBand="0" w:oddHBand="0" w:evenHBand="0" w:firstRowFirstColumn="0" w:firstRowLastColumn="0" w:lastRowFirstColumn="0" w:lastRowLastColumn="0"/>
              <w:rPr>
                <w:rFonts w:ascii="Garamond" w:hAnsi="Garamond"/>
                <w:sz w:val="18"/>
                <w:szCs w:val="18"/>
              </w:rPr>
            </w:pPr>
            <w:r w:rsidRPr="007114AF">
              <w:rPr>
                <w:rFonts w:ascii="Garamond" w:hAnsi="Garamond"/>
                <w:sz w:val="18"/>
                <w:szCs w:val="18"/>
              </w:rPr>
              <w:t>Masa me kosto efektive</w:t>
            </w:r>
          </w:p>
        </w:tc>
        <w:tc>
          <w:tcPr>
            <w:tcW w:w="1417" w:type="dxa"/>
            <w:vAlign w:val="center"/>
          </w:tcPr>
          <w:p w14:paraId="6EDCFBB5" w14:textId="77777777" w:rsidR="00A9766F" w:rsidRPr="007114AF" w:rsidRDefault="00A9766F" w:rsidP="00A9766F">
            <w:pPr>
              <w:spacing w:after="0"/>
              <w:cnfStyle w:val="000000000000" w:firstRow="0" w:lastRow="0" w:firstColumn="0" w:lastColumn="0" w:oddVBand="0" w:evenVBand="0" w:oddHBand="0" w:evenHBand="0" w:firstRowFirstColumn="0" w:firstRowLastColumn="0" w:lastRowFirstColumn="0" w:lastRowLastColumn="0"/>
              <w:rPr>
                <w:rFonts w:ascii="Garamond" w:hAnsi="Garamond"/>
                <w:sz w:val="18"/>
                <w:szCs w:val="18"/>
              </w:rPr>
            </w:pPr>
            <w:r w:rsidRPr="007114AF">
              <w:rPr>
                <w:rFonts w:ascii="Garamond" w:hAnsi="Garamond"/>
                <w:sz w:val="18"/>
                <w:szCs w:val="18"/>
              </w:rPr>
              <w:t>116</w:t>
            </w:r>
          </w:p>
        </w:tc>
        <w:tc>
          <w:tcPr>
            <w:tcW w:w="1157" w:type="dxa"/>
            <w:vAlign w:val="center"/>
          </w:tcPr>
          <w:p w14:paraId="6EDCFBB6" w14:textId="77777777" w:rsidR="00A9766F" w:rsidRPr="007114AF" w:rsidRDefault="00A9766F" w:rsidP="00A9766F">
            <w:pPr>
              <w:spacing w:after="0"/>
              <w:cnfStyle w:val="000000000000" w:firstRow="0" w:lastRow="0" w:firstColumn="0" w:lastColumn="0" w:oddVBand="0" w:evenVBand="0" w:oddHBand="0" w:evenHBand="0" w:firstRowFirstColumn="0" w:firstRowLastColumn="0" w:lastRowFirstColumn="0" w:lastRowLastColumn="0"/>
              <w:rPr>
                <w:rFonts w:ascii="Garamond" w:hAnsi="Garamond"/>
                <w:sz w:val="18"/>
                <w:szCs w:val="18"/>
              </w:rPr>
            </w:pPr>
            <w:r w:rsidRPr="007114AF">
              <w:rPr>
                <w:rFonts w:ascii="Garamond" w:hAnsi="Garamond"/>
                <w:sz w:val="18"/>
                <w:szCs w:val="18"/>
              </w:rPr>
              <w:t>195</w:t>
            </w:r>
          </w:p>
        </w:tc>
        <w:tc>
          <w:tcPr>
            <w:tcW w:w="3663" w:type="dxa"/>
            <w:vAlign w:val="center"/>
          </w:tcPr>
          <w:p w14:paraId="6EDCFBB7" w14:textId="450380A3" w:rsidR="00A9766F" w:rsidRPr="007114AF" w:rsidRDefault="00A9766F" w:rsidP="00A9766F">
            <w:pPr>
              <w:spacing w:after="0"/>
              <w:cnfStyle w:val="000000000000" w:firstRow="0" w:lastRow="0" w:firstColumn="0" w:lastColumn="0" w:oddVBand="0" w:evenVBand="0" w:oddHBand="0" w:evenHBand="0" w:firstRowFirstColumn="0" w:firstRowLastColumn="0" w:lastRowFirstColumn="0" w:lastRowLastColumn="0"/>
              <w:rPr>
                <w:rFonts w:ascii="Garamond" w:hAnsi="Garamond"/>
                <w:sz w:val="18"/>
                <w:szCs w:val="18"/>
              </w:rPr>
            </w:pPr>
            <w:r w:rsidRPr="007114AF">
              <w:rPr>
                <w:rFonts w:ascii="Garamond" w:hAnsi="Garamond"/>
                <w:sz w:val="18"/>
                <w:szCs w:val="18"/>
              </w:rPr>
              <w:t>Gjithë masat me kosto efektive në</w:t>
            </w:r>
            <w:r w:rsidR="000A2A01" w:rsidRPr="007114AF">
              <w:rPr>
                <w:rFonts w:ascii="Garamond" w:hAnsi="Garamond"/>
                <w:sz w:val="18"/>
                <w:szCs w:val="18"/>
              </w:rPr>
              <w:t xml:space="preserve"> </w:t>
            </w:r>
            <w:r w:rsidRPr="007114AF">
              <w:rPr>
                <w:rFonts w:ascii="Garamond" w:hAnsi="Garamond"/>
                <w:sz w:val="18"/>
                <w:szCs w:val="18"/>
              </w:rPr>
              <w:t>transport MACC; të dhënat e kostos së BE-së, supozon se gazi natyror gjendet në depot e mjeteve pa kosto shtesë për shpërndarjen e gazit.</w:t>
            </w:r>
          </w:p>
        </w:tc>
      </w:tr>
      <w:tr w:rsidR="00A9766F" w:rsidRPr="007114AF" w14:paraId="6EDCFBBE" w14:textId="77777777" w:rsidTr="00A9766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271" w:type="dxa"/>
            <w:vAlign w:val="center"/>
          </w:tcPr>
          <w:p w14:paraId="6EDCFBB9" w14:textId="77777777" w:rsidR="00A9766F" w:rsidRPr="007114AF" w:rsidRDefault="00A9766F" w:rsidP="00A9766F">
            <w:pPr>
              <w:spacing w:after="0"/>
              <w:rPr>
                <w:rFonts w:ascii="Garamond" w:hAnsi="Garamond"/>
                <w:b w:val="0"/>
                <w:sz w:val="18"/>
                <w:szCs w:val="18"/>
              </w:rPr>
            </w:pPr>
            <w:r w:rsidRPr="007114AF">
              <w:rPr>
                <w:rFonts w:ascii="Garamond" w:hAnsi="Garamond"/>
                <w:sz w:val="18"/>
                <w:szCs w:val="18"/>
              </w:rPr>
              <w:t>Transporti</w:t>
            </w:r>
          </w:p>
        </w:tc>
        <w:tc>
          <w:tcPr>
            <w:tcW w:w="1843" w:type="dxa"/>
            <w:vAlign w:val="center"/>
          </w:tcPr>
          <w:p w14:paraId="6EDCFBBA" w14:textId="77777777" w:rsidR="00A9766F" w:rsidRPr="007114AF" w:rsidRDefault="00A9766F" w:rsidP="00A9766F">
            <w:pPr>
              <w:spacing w:after="0"/>
              <w:cnfStyle w:val="000000100000" w:firstRow="0" w:lastRow="0" w:firstColumn="0" w:lastColumn="0" w:oddVBand="0" w:evenVBand="0" w:oddHBand="1" w:evenHBand="0" w:firstRowFirstColumn="0" w:firstRowLastColumn="0" w:lastRowFirstColumn="0" w:lastRowLastColumn="0"/>
              <w:rPr>
                <w:rFonts w:ascii="Garamond" w:hAnsi="Garamond"/>
                <w:sz w:val="18"/>
                <w:szCs w:val="18"/>
              </w:rPr>
            </w:pPr>
            <w:r w:rsidRPr="007114AF">
              <w:rPr>
                <w:rFonts w:ascii="Garamond" w:hAnsi="Garamond"/>
                <w:sz w:val="18"/>
                <w:szCs w:val="18"/>
              </w:rPr>
              <w:t>10% biokarbure</w:t>
            </w:r>
          </w:p>
        </w:tc>
        <w:tc>
          <w:tcPr>
            <w:tcW w:w="1417" w:type="dxa"/>
            <w:vAlign w:val="center"/>
          </w:tcPr>
          <w:p w14:paraId="6EDCFBBB" w14:textId="77777777" w:rsidR="00A9766F" w:rsidRPr="007114AF" w:rsidRDefault="00A9766F" w:rsidP="00A9766F">
            <w:pPr>
              <w:spacing w:after="0"/>
              <w:cnfStyle w:val="000000100000" w:firstRow="0" w:lastRow="0" w:firstColumn="0" w:lastColumn="0" w:oddVBand="0" w:evenVBand="0" w:oddHBand="1" w:evenHBand="0" w:firstRowFirstColumn="0" w:firstRowLastColumn="0" w:lastRowFirstColumn="0" w:lastRowLastColumn="0"/>
              <w:rPr>
                <w:rFonts w:ascii="Garamond" w:hAnsi="Garamond"/>
                <w:sz w:val="18"/>
                <w:szCs w:val="18"/>
              </w:rPr>
            </w:pPr>
            <w:r w:rsidRPr="007114AF">
              <w:rPr>
                <w:rFonts w:ascii="Garamond" w:hAnsi="Garamond"/>
                <w:sz w:val="18"/>
                <w:szCs w:val="18"/>
              </w:rPr>
              <w:t>265</w:t>
            </w:r>
          </w:p>
        </w:tc>
        <w:tc>
          <w:tcPr>
            <w:tcW w:w="1157" w:type="dxa"/>
            <w:vAlign w:val="center"/>
          </w:tcPr>
          <w:p w14:paraId="6EDCFBBC" w14:textId="77777777" w:rsidR="00A9766F" w:rsidRPr="007114AF" w:rsidRDefault="00A9766F" w:rsidP="00A9766F">
            <w:pPr>
              <w:spacing w:after="0"/>
              <w:cnfStyle w:val="000000100000" w:firstRow="0" w:lastRow="0" w:firstColumn="0" w:lastColumn="0" w:oddVBand="0" w:evenVBand="0" w:oddHBand="1" w:evenHBand="0" w:firstRowFirstColumn="0" w:firstRowLastColumn="0" w:lastRowFirstColumn="0" w:lastRowLastColumn="0"/>
              <w:rPr>
                <w:rFonts w:ascii="Garamond" w:hAnsi="Garamond"/>
                <w:sz w:val="18"/>
                <w:szCs w:val="18"/>
              </w:rPr>
            </w:pPr>
            <w:r w:rsidRPr="007114AF">
              <w:rPr>
                <w:rFonts w:ascii="Garamond" w:hAnsi="Garamond"/>
                <w:sz w:val="18"/>
                <w:szCs w:val="18"/>
              </w:rPr>
              <w:t>456</w:t>
            </w:r>
          </w:p>
        </w:tc>
        <w:tc>
          <w:tcPr>
            <w:tcW w:w="3663" w:type="dxa"/>
            <w:vAlign w:val="center"/>
          </w:tcPr>
          <w:p w14:paraId="6EDCFBBD" w14:textId="77777777" w:rsidR="00A9766F" w:rsidRPr="007114AF" w:rsidRDefault="00A9766F" w:rsidP="00A9766F">
            <w:pPr>
              <w:spacing w:after="0"/>
              <w:cnfStyle w:val="000000100000" w:firstRow="0" w:lastRow="0" w:firstColumn="0" w:lastColumn="0" w:oddVBand="0" w:evenVBand="0" w:oddHBand="1" w:evenHBand="0" w:firstRowFirstColumn="0" w:firstRowLastColumn="0" w:lastRowFirstColumn="0" w:lastRowLastColumn="0"/>
              <w:rPr>
                <w:rFonts w:ascii="Garamond" w:hAnsi="Garamond"/>
                <w:sz w:val="18"/>
                <w:szCs w:val="18"/>
              </w:rPr>
            </w:pPr>
            <w:r w:rsidRPr="007114AF">
              <w:rPr>
                <w:rFonts w:ascii="Garamond" w:hAnsi="Garamond"/>
                <w:sz w:val="18"/>
                <w:szCs w:val="18"/>
              </w:rPr>
              <w:t>Supozon se një impiant me kapacitet 100 milionë litra biokarbure kushton 250m$ (të dhëna MB)</w:t>
            </w:r>
          </w:p>
        </w:tc>
      </w:tr>
      <w:tr w:rsidR="00A9766F" w:rsidRPr="007114AF" w14:paraId="6EDCFBC4" w14:textId="77777777" w:rsidTr="00A9766F">
        <w:trPr>
          <w:jc w:val="center"/>
        </w:trPr>
        <w:tc>
          <w:tcPr>
            <w:cnfStyle w:val="001000000000" w:firstRow="0" w:lastRow="0" w:firstColumn="1" w:lastColumn="0" w:oddVBand="0" w:evenVBand="0" w:oddHBand="0" w:evenHBand="0" w:firstRowFirstColumn="0" w:firstRowLastColumn="0" w:lastRowFirstColumn="0" w:lastRowLastColumn="0"/>
            <w:tcW w:w="1271" w:type="dxa"/>
            <w:vAlign w:val="center"/>
          </w:tcPr>
          <w:p w14:paraId="6EDCFBBF" w14:textId="77777777" w:rsidR="00A9766F" w:rsidRPr="007114AF" w:rsidRDefault="00A9766F" w:rsidP="00A9766F">
            <w:pPr>
              <w:spacing w:after="0"/>
              <w:rPr>
                <w:rFonts w:ascii="Garamond" w:hAnsi="Garamond"/>
                <w:b w:val="0"/>
                <w:sz w:val="18"/>
                <w:szCs w:val="18"/>
              </w:rPr>
            </w:pPr>
            <w:r w:rsidRPr="007114AF">
              <w:rPr>
                <w:rFonts w:ascii="Garamond" w:hAnsi="Garamond"/>
                <w:sz w:val="18"/>
                <w:szCs w:val="18"/>
              </w:rPr>
              <w:t>Totali</w:t>
            </w:r>
          </w:p>
        </w:tc>
        <w:tc>
          <w:tcPr>
            <w:tcW w:w="1843" w:type="dxa"/>
            <w:vAlign w:val="center"/>
          </w:tcPr>
          <w:p w14:paraId="6EDCFBC0" w14:textId="77777777" w:rsidR="00A9766F" w:rsidRPr="007114AF" w:rsidRDefault="00A9766F" w:rsidP="00A9766F">
            <w:pPr>
              <w:spacing w:after="0"/>
              <w:cnfStyle w:val="000000000000" w:firstRow="0" w:lastRow="0" w:firstColumn="0" w:lastColumn="0" w:oddVBand="0" w:evenVBand="0" w:oddHBand="0" w:evenHBand="0" w:firstRowFirstColumn="0" w:firstRowLastColumn="0" w:lastRowFirstColumn="0" w:lastRowLastColumn="0"/>
              <w:rPr>
                <w:rFonts w:ascii="Garamond" w:hAnsi="Garamond"/>
                <w:sz w:val="18"/>
                <w:szCs w:val="18"/>
              </w:rPr>
            </w:pPr>
            <w:r w:rsidRPr="007114AF">
              <w:rPr>
                <w:rFonts w:ascii="Garamond" w:hAnsi="Garamond"/>
                <w:sz w:val="18"/>
                <w:szCs w:val="18"/>
              </w:rPr>
              <w:t>Gjithë masat e mësipërme</w:t>
            </w:r>
          </w:p>
        </w:tc>
        <w:tc>
          <w:tcPr>
            <w:tcW w:w="1417" w:type="dxa"/>
            <w:vAlign w:val="center"/>
          </w:tcPr>
          <w:p w14:paraId="6EDCFBC1" w14:textId="77777777" w:rsidR="00A9766F" w:rsidRPr="007114AF" w:rsidRDefault="00A9766F" w:rsidP="00A9766F">
            <w:pPr>
              <w:spacing w:after="0"/>
              <w:cnfStyle w:val="000000000000" w:firstRow="0" w:lastRow="0" w:firstColumn="0" w:lastColumn="0" w:oddVBand="0" w:evenVBand="0" w:oddHBand="0" w:evenHBand="0" w:firstRowFirstColumn="0" w:firstRowLastColumn="0" w:lastRowFirstColumn="0" w:lastRowLastColumn="0"/>
              <w:rPr>
                <w:rFonts w:ascii="Garamond" w:hAnsi="Garamond"/>
                <w:sz w:val="18"/>
                <w:szCs w:val="18"/>
              </w:rPr>
            </w:pPr>
            <w:r w:rsidRPr="007114AF">
              <w:rPr>
                <w:rFonts w:ascii="Garamond" w:hAnsi="Garamond"/>
                <w:sz w:val="18"/>
                <w:szCs w:val="18"/>
              </w:rPr>
              <w:t>708</w:t>
            </w:r>
          </w:p>
        </w:tc>
        <w:tc>
          <w:tcPr>
            <w:tcW w:w="1157" w:type="dxa"/>
            <w:vAlign w:val="center"/>
          </w:tcPr>
          <w:p w14:paraId="6EDCFBC2" w14:textId="77777777" w:rsidR="00A9766F" w:rsidRPr="007114AF" w:rsidRDefault="00A9766F" w:rsidP="00A9766F">
            <w:pPr>
              <w:spacing w:after="0"/>
              <w:cnfStyle w:val="000000000000" w:firstRow="0" w:lastRow="0" w:firstColumn="0" w:lastColumn="0" w:oddVBand="0" w:evenVBand="0" w:oddHBand="0" w:evenHBand="0" w:firstRowFirstColumn="0" w:firstRowLastColumn="0" w:lastRowFirstColumn="0" w:lastRowLastColumn="0"/>
              <w:rPr>
                <w:rFonts w:ascii="Garamond" w:hAnsi="Garamond"/>
                <w:sz w:val="18"/>
                <w:szCs w:val="18"/>
              </w:rPr>
            </w:pPr>
            <w:r w:rsidRPr="007114AF">
              <w:rPr>
                <w:rFonts w:ascii="Garamond" w:hAnsi="Garamond"/>
                <w:sz w:val="18"/>
                <w:szCs w:val="18"/>
              </w:rPr>
              <w:t>687</w:t>
            </w:r>
          </w:p>
        </w:tc>
        <w:tc>
          <w:tcPr>
            <w:tcW w:w="3663" w:type="dxa"/>
            <w:vAlign w:val="center"/>
          </w:tcPr>
          <w:p w14:paraId="6EDCFBC3" w14:textId="77777777" w:rsidR="00A9766F" w:rsidRPr="007114AF" w:rsidRDefault="00A9766F" w:rsidP="00A9766F">
            <w:pPr>
              <w:spacing w:after="0"/>
              <w:cnfStyle w:val="000000000000" w:firstRow="0" w:lastRow="0" w:firstColumn="0" w:lastColumn="0" w:oddVBand="0" w:evenVBand="0" w:oddHBand="0" w:evenHBand="0" w:firstRowFirstColumn="0" w:firstRowLastColumn="0" w:lastRowFirstColumn="0" w:lastRowLastColumn="0"/>
              <w:rPr>
                <w:rFonts w:ascii="Garamond" w:hAnsi="Garamond"/>
                <w:sz w:val="18"/>
                <w:szCs w:val="18"/>
              </w:rPr>
            </w:pPr>
          </w:p>
        </w:tc>
      </w:tr>
    </w:tbl>
    <w:p w14:paraId="6EDCFBC5" w14:textId="77777777" w:rsidR="00A9766F" w:rsidRPr="007114AF" w:rsidRDefault="00A9766F" w:rsidP="00206985">
      <w:pPr>
        <w:pStyle w:val="TEKSTI"/>
      </w:pPr>
    </w:p>
    <w:p w14:paraId="6EDCFBC6" w14:textId="77777777" w:rsidR="00A9766F" w:rsidRPr="007114AF" w:rsidRDefault="00A9766F" w:rsidP="00206985">
      <w:pPr>
        <w:pStyle w:val="TEKSTI"/>
      </w:pPr>
      <w:r w:rsidRPr="007114AF">
        <w:t xml:space="preserve">Masat në tabelën 11 përfshijnë ndryshimin e lëndës djegëse në gaz natyror në sektorët e industrisë dhe transportit, çka përputhet me supozimin se gazi natyror do të futet në Shqipëri para vitit 2030, fillimisht për përdorim në sektorin e energjisë. Në INDC-ë nuk përfshihej asnjë kosto investimi lidhur me ndërtimin e një rrjeti të shpërndarjes së gazit që lidhte tubacionin e gazit me zonat kryesore industriale dhe depot e mjeteve, meqë kjo supozohet se do të ndërtohet në kuadrin e skenarit bazë. </w:t>
      </w:r>
    </w:p>
    <w:p w14:paraId="6EDCFBC7" w14:textId="77777777" w:rsidR="00A9766F" w:rsidRPr="007114AF" w:rsidRDefault="00A9766F" w:rsidP="00206985">
      <w:pPr>
        <w:pStyle w:val="TEKSTI"/>
      </w:pPr>
    </w:p>
    <w:p w14:paraId="6EDCFBC8" w14:textId="77777777" w:rsidR="00A9766F" w:rsidRPr="007114AF" w:rsidRDefault="00A9766F" w:rsidP="00206985">
      <w:pPr>
        <w:jc w:val="center"/>
        <w:rPr>
          <w:rFonts w:ascii="Garamond" w:hAnsi="Garamond"/>
        </w:rPr>
      </w:pPr>
      <w:r w:rsidRPr="007114AF">
        <w:rPr>
          <w:rFonts w:ascii="Garamond" w:hAnsi="Garamond"/>
          <w:noProof/>
          <w:lang w:val="en-US" w:eastAsia="en-US"/>
        </w:rPr>
        <w:lastRenderedPageBreak/>
        <w:drawing>
          <wp:inline distT="0" distB="0" distL="0" distR="0" wp14:anchorId="6EDD17B2" wp14:editId="6EDD17B3">
            <wp:extent cx="4991100" cy="3035300"/>
            <wp:effectExtent l="0" t="0" r="0" b="0"/>
            <wp:docPr id="7"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4991100" cy="3035300"/>
                    </a:xfrm>
                    <a:prstGeom prst="rect">
                      <a:avLst/>
                    </a:prstGeom>
                    <a:noFill/>
                    <a:ln>
                      <a:noFill/>
                    </a:ln>
                  </pic:spPr>
                </pic:pic>
              </a:graphicData>
            </a:graphic>
          </wp:inline>
        </w:drawing>
      </w:r>
    </w:p>
    <w:p w14:paraId="6EDCFBC9" w14:textId="34C31895" w:rsidR="00A9766F" w:rsidRPr="007114AF" w:rsidRDefault="00A9766F" w:rsidP="00206985">
      <w:pPr>
        <w:pStyle w:val="FIGURA"/>
        <w:rPr>
          <w:sz w:val="20"/>
          <w:szCs w:val="20"/>
        </w:rPr>
      </w:pPr>
      <w:r w:rsidRPr="007114AF">
        <w:rPr>
          <w:sz w:val="20"/>
          <w:szCs w:val="20"/>
        </w:rPr>
        <w:t>Figura</w:t>
      </w:r>
      <w:r w:rsidR="00206985" w:rsidRPr="007114AF">
        <w:rPr>
          <w:sz w:val="20"/>
          <w:szCs w:val="20"/>
        </w:rPr>
        <w:t xml:space="preserve"> </w:t>
      </w:r>
      <w:r w:rsidRPr="007114AF">
        <w:rPr>
          <w:sz w:val="20"/>
          <w:szCs w:val="20"/>
        </w:rPr>
        <w:fldChar w:fldCharType="begin"/>
      </w:r>
      <w:r w:rsidRPr="007114AF">
        <w:rPr>
          <w:sz w:val="20"/>
          <w:szCs w:val="20"/>
        </w:rPr>
        <w:instrText xml:space="preserve"> SEQ Figure \* ARABIC </w:instrText>
      </w:r>
      <w:r w:rsidRPr="007114AF">
        <w:rPr>
          <w:sz w:val="20"/>
          <w:szCs w:val="20"/>
        </w:rPr>
        <w:fldChar w:fldCharType="separate"/>
      </w:r>
      <w:r w:rsidRPr="007114AF">
        <w:rPr>
          <w:sz w:val="20"/>
          <w:szCs w:val="20"/>
        </w:rPr>
        <w:t>24</w:t>
      </w:r>
      <w:r w:rsidRPr="007114AF">
        <w:rPr>
          <w:sz w:val="20"/>
          <w:szCs w:val="20"/>
        </w:rPr>
        <w:fldChar w:fldCharType="end"/>
      </w:r>
      <w:r w:rsidR="00CA0B80">
        <w:rPr>
          <w:sz w:val="20"/>
          <w:szCs w:val="20"/>
        </w:rPr>
        <w:t xml:space="preserve"> </w:t>
      </w:r>
      <w:r w:rsidRPr="007114AF">
        <w:rPr>
          <w:sz w:val="20"/>
          <w:szCs w:val="20"/>
        </w:rPr>
        <w:t>–</w:t>
      </w:r>
      <w:r w:rsidR="00CA0B80">
        <w:rPr>
          <w:sz w:val="20"/>
          <w:szCs w:val="20"/>
        </w:rPr>
        <w:t xml:space="preserve"> </w:t>
      </w:r>
      <w:r w:rsidRPr="007114AF">
        <w:rPr>
          <w:sz w:val="20"/>
          <w:szCs w:val="20"/>
        </w:rPr>
        <w:t>Shkarkimet e skenarit bazë dhe zbutës, paketa C (Gg CO</w:t>
      </w:r>
      <w:r w:rsidRPr="007114AF">
        <w:rPr>
          <w:sz w:val="20"/>
          <w:szCs w:val="20"/>
          <w:vertAlign w:val="subscript"/>
        </w:rPr>
        <w:t>2</w:t>
      </w:r>
      <w:r w:rsidRPr="007114AF">
        <w:rPr>
          <w:sz w:val="20"/>
          <w:szCs w:val="20"/>
        </w:rPr>
        <w:t>) (Burimi</w:t>
      </w:r>
      <w:r w:rsidR="00CA0B80">
        <w:rPr>
          <w:sz w:val="20"/>
          <w:szCs w:val="20"/>
        </w:rPr>
        <w:t xml:space="preserve"> </w:t>
      </w:r>
      <w:r w:rsidRPr="007114AF">
        <w:rPr>
          <w:sz w:val="20"/>
          <w:szCs w:val="20"/>
        </w:rPr>
        <w:t>INDC 2015)</w:t>
      </w:r>
    </w:p>
    <w:p w14:paraId="6EDCFBCA" w14:textId="77777777" w:rsidR="00782894" w:rsidRPr="007114AF" w:rsidRDefault="00782894" w:rsidP="00206985">
      <w:pPr>
        <w:pStyle w:val="TEKSTI"/>
      </w:pPr>
      <w:bookmarkStart w:id="80" w:name="_Toc471987581"/>
      <w:bookmarkStart w:id="81" w:name="_Toc484424488"/>
      <w:bookmarkStart w:id="82" w:name="_Toc479083851"/>
      <w:bookmarkStart w:id="83" w:name="_Toc483570090"/>
      <w:bookmarkStart w:id="84" w:name="_Toc450135239"/>
      <w:bookmarkEnd w:id="80"/>
    </w:p>
    <w:p w14:paraId="6EDCFBCB" w14:textId="77777777" w:rsidR="00A9766F" w:rsidRPr="007114AF" w:rsidRDefault="00782894" w:rsidP="00206985">
      <w:pPr>
        <w:pStyle w:val="TEKSTI"/>
        <w:rPr>
          <w:b/>
        </w:rPr>
      </w:pPr>
      <w:r w:rsidRPr="007114AF">
        <w:rPr>
          <w:b/>
        </w:rPr>
        <w:t xml:space="preserve">2.8 </w:t>
      </w:r>
      <w:r w:rsidR="00A9766F" w:rsidRPr="007114AF">
        <w:rPr>
          <w:b/>
        </w:rPr>
        <w:t>Situata aktuale e Shqipërisë në procesin e përshtatjes</w:t>
      </w:r>
      <w:bookmarkEnd w:id="81"/>
      <w:bookmarkEnd w:id="82"/>
      <w:bookmarkEnd w:id="83"/>
    </w:p>
    <w:p w14:paraId="6EDCFBCC" w14:textId="1944B568" w:rsidR="00A9766F" w:rsidRPr="007114AF" w:rsidRDefault="00A9766F" w:rsidP="00206985">
      <w:pPr>
        <w:pStyle w:val="TEKSTI"/>
      </w:pPr>
      <w:r w:rsidRPr="007114AF">
        <w:t>Sipas parimeve të parashikuara në Udhëzimet Teknike për NAP-in, procesi i NAP- it</w:t>
      </w:r>
      <w:r w:rsidR="000A2A01" w:rsidRPr="007114AF">
        <w:t xml:space="preserve"> </w:t>
      </w:r>
      <w:r w:rsidRPr="007114AF">
        <w:t>duhet të ofrojë vlerë të shtuar, përmes mbështetjes në strukturat dhe proceset ekzistuese. Në përputhje me këtë, vlerësimi i situatës konsiderohet si një hap i rëndësishëm fillestar për hartimin e një procesi adekuat të NAP-it, i cili t</w:t>
      </w:r>
      <w:r w:rsidR="00D10DAB" w:rsidRPr="007114AF">
        <w:t>’</w:t>
      </w:r>
      <w:r w:rsidRPr="007114AF">
        <w:t xml:space="preserve">i trajtojë boshllëqet në mënyrën e duhur. </w:t>
      </w:r>
    </w:p>
    <w:p w14:paraId="6EDCFBCD" w14:textId="77777777" w:rsidR="00A9766F" w:rsidRPr="007114AF" w:rsidRDefault="00782894" w:rsidP="00206985">
      <w:pPr>
        <w:pStyle w:val="TEKSTI"/>
        <w:rPr>
          <w:b/>
        </w:rPr>
      </w:pPr>
      <w:bookmarkStart w:id="85" w:name="_Toc484424489"/>
      <w:bookmarkStart w:id="86" w:name="_Toc479083852"/>
      <w:bookmarkStart w:id="87" w:name="_Toc483570091"/>
      <w:r w:rsidRPr="007114AF">
        <w:rPr>
          <w:b/>
        </w:rPr>
        <w:t xml:space="preserve">2.8.1 </w:t>
      </w:r>
      <w:r w:rsidR="00A9766F" w:rsidRPr="007114AF">
        <w:rPr>
          <w:b/>
        </w:rPr>
        <w:t>Analizë e situatës ekzistuese</w:t>
      </w:r>
      <w:bookmarkEnd w:id="85"/>
      <w:bookmarkEnd w:id="86"/>
      <w:bookmarkEnd w:id="87"/>
    </w:p>
    <w:p w14:paraId="6EDCFBCE" w14:textId="59085FE7" w:rsidR="00A9766F" w:rsidRPr="007114AF" w:rsidRDefault="00A9766F" w:rsidP="00206985">
      <w:pPr>
        <w:pStyle w:val="TEKSTI"/>
        <w:rPr>
          <w:bCs/>
          <w:iCs/>
        </w:rPr>
      </w:pPr>
      <w:r w:rsidRPr="007114AF">
        <w:rPr>
          <w:bCs/>
          <w:iCs/>
        </w:rPr>
        <w:t xml:space="preserve">Si një hap fillestar për analizimin e situatës ekzistuese, instrumenti analitik </w:t>
      </w:r>
      <w:r w:rsidR="000A2A01" w:rsidRPr="007114AF">
        <w:rPr>
          <w:bCs/>
          <w:iCs/>
        </w:rPr>
        <w:t>“</w:t>
      </w:r>
      <w:r w:rsidRPr="007114AF">
        <w:rPr>
          <w:bCs/>
          <w:iCs/>
        </w:rPr>
        <w:t>Vlerësimi i situatës për planifikimin kombëtar të përshtatjes (SNAP)</w:t>
      </w:r>
      <w:r w:rsidR="000A2A01" w:rsidRPr="007114AF">
        <w:rPr>
          <w:bCs/>
          <w:iCs/>
        </w:rPr>
        <w:t>”</w:t>
      </w:r>
      <w:r w:rsidRPr="00500FF7">
        <w:rPr>
          <w:bCs/>
          <w:iCs/>
          <w:vertAlign w:val="superscript"/>
        </w:rPr>
        <w:footnoteReference w:id="34"/>
      </w:r>
      <w:r w:rsidRPr="007114AF">
        <w:rPr>
          <w:bCs/>
          <w:iCs/>
        </w:rPr>
        <w:t>, përgatitur nga GIZ-i, është përdorur gjatë një takimipune më 19 shkurt 2015. Instrumenti ofroi një panoramë të kapaciteteve të përshtatjes që ekzistojnë aktualisht, si dhe që mendohet të krijohen në vend. Elementi kryesor i instrumentit SNAP është</w:t>
      </w:r>
      <w:r w:rsidR="000A2A01" w:rsidRPr="007114AF">
        <w:rPr>
          <w:bCs/>
          <w:iCs/>
        </w:rPr>
        <w:t xml:space="preserve"> </w:t>
      </w:r>
      <w:r w:rsidRPr="007114AF">
        <w:rPr>
          <w:bCs/>
          <w:iCs/>
        </w:rPr>
        <w:t>vlerësimi i nevojave dhe kapaciteteve të vendit, i cili mundëson një perspektivë strategjike për procesin e përgjithshëm NAP. Përdorimi i instrumentit SNAP ka ndihmuar në identifikimin e një pikënisjeje të përbashkët, nga e cila palët e interesit të mund të fillojnë të formulojnë një dokument udhërrëfyes për procesin e NAP-it.</w:t>
      </w:r>
    </w:p>
    <w:p w14:paraId="6EDCFBCF" w14:textId="33E3AAB1" w:rsidR="00A9766F" w:rsidRPr="007114AF" w:rsidRDefault="00A9766F" w:rsidP="00206985">
      <w:pPr>
        <w:pStyle w:val="TEKSTI"/>
        <w:rPr>
          <w:bCs/>
          <w:iCs/>
        </w:rPr>
      </w:pPr>
      <w:r w:rsidRPr="007114AF">
        <w:rPr>
          <w:bCs/>
          <w:iCs/>
        </w:rPr>
        <w:t>Ky instrument u zbatua nëpërmjet përfshirjes së palëve të interesit të lidhura me procesin e përshtatjes. Në takimin e punës për</w:t>
      </w:r>
      <w:r w:rsidR="000A2A01" w:rsidRPr="007114AF">
        <w:rPr>
          <w:bCs/>
          <w:iCs/>
        </w:rPr>
        <w:t xml:space="preserve"> </w:t>
      </w:r>
      <w:r w:rsidRPr="007114AF">
        <w:rPr>
          <w:bCs/>
          <w:iCs/>
        </w:rPr>
        <w:t>vlerësimin e situatës u krye një analizë dhe një diskutim i përbashkët, si edhe u plotësua një pyetësor në formë individuale nga secili pjesëmarrës. Pyetësori qe hartuar në bazë të 20 faktorëve të suksesit, që janë parë se kanë pasur rëndësi kryesore në procese të ngjashme në vende të tjera. Faktorët u grupuan në 7 fusha suksesi:</w:t>
      </w:r>
    </w:p>
    <w:p w14:paraId="6EDCFBD0" w14:textId="0D5F8CBD" w:rsidR="00A9766F" w:rsidRPr="007114AF" w:rsidRDefault="00782894" w:rsidP="00206985">
      <w:pPr>
        <w:pStyle w:val="TEKSTI"/>
      </w:pPr>
      <w:r w:rsidRPr="007114AF">
        <w:t xml:space="preserve">- </w:t>
      </w:r>
      <w:r w:rsidR="00A9766F" w:rsidRPr="007114AF">
        <w:t>Informacion për klimën</w:t>
      </w:r>
      <w:r w:rsidR="00500FF7">
        <w:t>;</w:t>
      </w:r>
    </w:p>
    <w:p w14:paraId="6EDCFBD1" w14:textId="25A6DA32" w:rsidR="00A9766F" w:rsidRPr="007114AF" w:rsidRDefault="00782894" w:rsidP="00206985">
      <w:pPr>
        <w:pStyle w:val="TEKSTI"/>
      </w:pPr>
      <w:r w:rsidRPr="007114AF">
        <w:t xml:space="preserve">- </w:t>
      </w:r>
      <w:r w:rsidR="00A9766F" w:rsidRPr="007114AF">
        <w:t>Kapacitetet njerëzorë dhe institucionale</w:t>
      </w:r>
      <w:r w:rsidR="00500FF7">
        <w:t>;</w:t>
      </w:r>
    </w:p>
    <w:p w14:paraId="6EDCFBD2" w14:textId="0D0D7819" w:rsidR="00A9766F" w:rsidRPr="007114AF" w:rsidRDefault="00782894" w:rsidP="00206985">
      <w:pPr>
        <w:pStyle w:val="TEKSTI"/>
      </w:pPr>
      <w:r w:rsidRPr="007114AF">
        <w:t xml:space="preserve">- </w:t>
      </w:r>
      <w:r w:rsidR="00A9766F" w:rsidRPr="007114AF">
        <w:t>Vizioni afatgjatë dhe mandati</w:t>
      </w:r>
      <w:r w:rsidR="00500FF7">
        <w:t>;</w:t>
      </w:r>
    </w:p>
    <w:p w14:paraId="6EDCFBD3" w14:textId="58C518F1" w:rsidR="00A9766F" w:rsidRPr="007114AF" w:rsidRDefault="00782894" w:rsidP="00206985">
      <w:pPr>
        <w:pStyle w:val="TEKSTI"/>
      </w:pPr>
      <w:r w:rsidRPr="007114AF">
        <w:t xml:space="preserve">- </w:t>
      </w:r>
      <w:r w:rsidR="00A9766F" w:rsidRPr="007114AF">
        <w:t>Zbatimi</w:t>
      </w:r>
      <w:r w:rsidR="00500FF7">
        <w:t>;</w:t>
      </w:r>
    </w:p>
    <w:p w14:paraId="6EDCFBD4" w14:textId="1C5AC8CB" w:rsidR="00A9766F" w:rsidRPr="007114AF" w:rsidRDefault="00782894" w:rsidP="00206985">
      <w:pPr>
        <w:pStyle w:val="TEKSTI"/>
      </w:pPr>
      <w:r w:rsidRPr="007114AF">
        <w:t xml:space="preserve">- </w:t>
      </w:r>
      <w:r w:rsidR="00A9766F" w:rsidRPr="007114AF">
        <w:t>Integrimi</w:t>
      </w:r>
      <w:r w:rsidR="00500FF7">
        <w:t>;</w:t>
      </w:r>
    </w:p>
    <w:p w14:paraId="6EDCFBD5" w14:textId="61D5D528" w:rsidR="00A9766F" w:rsidRPr="007114AF" w:rsidRDefault="00782894" w:rsidP="00206985">
      <w:pPr>
        <w:pStyle w:val="TEKSTI"/>
      </w:pPr>
      <w:r w:rsidRPr="007114AF">
        <w:t xml:space="preserve">- </w:t>
      </w:r>
      <w:r w:rsidR="00A9766F" w:rsidRPr="007114AF">
        <w:t>Pjesëmarrja</w:t>
      </w:r>
      <w:r w:rsidR="00500FF7">
        <w:t>;</w:t>
      </w:r>
    </w:p>
    <w:p w14:paraId="6EDCFBD6" w14:textId="77777777" w:rsidR="00A9766F" w:rsidRPr="007114AF" w:rsidRDefault="00782894" w:rsidP="00206985">
      <w:pPr>
        <w:pStyle w:val="TEKSTI"/>
      </w:pPr>
      <w:r w:rsidRPr="007114AF">
        <w:t xml:space="preserve">- </w:t>
      </w:r>
      <w:r w:rsidR="00A9766F" w:rsidRPr="007114AF">
        <w:t>Monitorimi dhe vlerësimi.</w:t>
      </w:r>
    </w:p>
    <w:p w14:paraId="6EDCFBD7" w14:textId="1A349844" w:rsidR="00A9766F" w:rsidRPr="007114AF" w:rsidRDefault="00A9766F" w:rsidP="00206985">
      <w:pPr>
        <w:pStyle w:val="TEKSTI"/>
        <w:rPr>
          <w:bCs/>
          <w:iCs/>
        </w:rPr>
      </w:pPr>
      <w:r w:rsidRPr="007114AF">
        <w:rPr>
          <w:bCs/>
          <w:iCs/>
        </w:rPr>
        <w:t xml:space="preserve">Rezultatet kryesore të analizës së situatës janë kondensuar në një </w:t>
      </w:r>
      <w:r w:rsidR="000A2A01" w:rsidRPr="007114AF">
        <w:rPr>
          <w:bCs/>
          <w:iCs/>
        </w:rPr>
        <w:t>“</w:t>
      </w:r>
      <w:r w:rsidRPr="007114AF">
        <w:rPr>
          <w:bCs/>
          <w:iCs/>
        </w:rPr>
        <w:t>diagram rrjete</w:t>
      </w:r>
      <w:r w:rsidR="000A2A01" w:rsidRPr="007114AF">
        <w:rPr>
          <w:bCs/>
          <w:iCs/>
        </w:rPr>
        <w:t>”</w:t>
      </w:r>
      <w:r w:rsidRPr="007114AF">
        <w:rPr>
          <w:bCs/>
          <w:iCs/>
        </w:rPr>
        <w:t xml:space="preserve">, si në figurën 25.Vija e kaltër identifikon situatën aktuale, siç u vlerësua nga pjesëmarrësit e takimit të </w:t>
      </w:r>
      <w:r w:rsidRPr="007114AF">
        <w:rPr>
          <w:bCs/>
          <w:iCs/>
        </w:rPr>
        <w:lastRenderedPageBreak/>
        <w:t>punës, ndërsa vija e kuqe përfaqëson objektivin strategjik, siç e shihnin pjesëmarrësit. Të gjitha kontributet e pjesëmarrëse dokumentohen në një dosje të veçantë vlerësimi që përfshin shpjegimin për secilin kontribut.</w:t>
      </w:r>
    </w:p>
    <w:p w14:paraId="6EDCFBD8" w14:textId="77777777" w:rsidR="00A9766F" w:rsidRPr="007114AF" w:rsidRDefault="00A9766F" w:rsidP="00206985">
      <w:pPr>
        <w:pStyle w:val="TEKSTI"/>
        <w:rPr>
          <w:bCs/>
          <w:iCs/>
        </w:rPr>
      </w:pPr>
      <w:r w:rsidRPr="007114AF">
        <w:rPr>
          <w:bCs/>
          <w:iCs/>
        </w:rPr>
        <w:t>Diagrami rrjetë mundëson këto përfundime të përgjithshme:</w:t>
      </w:r>
    </w:p>
    <w:p w14:paraId="6EDCFBD9" w14:textId="77777777" w:rsidR="00A9766F" w:rsidRPr="007114AF" w:rsidRDefault="00782894" w:rsidP="00206985">
      <w:pPr>
        <w:pStyle w:val="TEKSTI"/>
      </w:pPr>
      <w:r w:rsidRPr="007114AF">
        <w:t xml:space="preserve">- </w:t>
      </w:r>
      <w:r w:rsidR="00A9766F" w:rsidRPr="007114AF">
        <w:t>Në përgjithësi, ekziston një boshllëk i konsiderueshëm midis situatës aktuale dhe objektivit strategjik. Kjo shpjegon një proces ambicioz të NAP-it, ku të trajtohen pak a shumë të gjithë faktorët e suksesit të lartpërmendur.</w:t>
      </w:r>
    </w:p>
    <w:p w14:paraId="6EDCFBDA" w14:textId="279A0C0C" w:rsidR="00A9766F" w:rsidRPr="007114AF" w:rsidRDefault="00782894" w:rsidP="00206985">
      <w:pPr>
        <w:pStyle w:val="TEKSTI"/>
      </w:pPr>
      <w:r w:rsidRPr="007114AF">
        <w:t xml:space="preserve">- </w:t>
      </w:r>
      <w:r w:rsidR="00A9766F" w:rsidRPr="007114AF">
        <w:t xml:space="preserve">Situata aktuale tregon një nivel mbi mesataren për fushën e suksesit </w:t>
      </w:r>
      <w:r w:rsidR="000A2A01" w:rsidRPr="007114AF">
        <w:t>“</w:t>
      </w:r>
      <w:r w:rsidR="00A9766F" w:rsidRPr="007114AF">
        <w:t>vizioni afatgjatë dhe mandati</w:t>
      </w:r>
      <w:r w:rsidR="000A2A01" w:rsidRPr="007114AF">
        <w:t>”</w:t>
      </w:r>
      <w:r w:rsidR="00A9766F" w:rsidRPr="007114AF">
        <w:t xml:space="preserve">. Kjo i detyrohet mandatit të qartë ekzistues i cili është parashikuar nëpërmjet </w:t>
      </w:r>
      <w:r w:rsidR="009717A4">
        <w:t>u</w:t>
      </w:r>
      <w:r w:rsidR="00A9766F" w:rsidRPr="007114AF">
        <w:t>rdhrit të Kryeministrit</w:t>
      </w:r>
      <w:r w:rsidR="00242009" w:rsidRPr="007114AF">
        <w:t xml:space="preserve"> nr. </w:t>
      </w:r>
      <w:r w:rsidR="009717A4">
        <w:t>155, datë 25.</w:t>
      </w:r>
      <w:r w:rsidR="00A9766F" w:rsidRPr="007114AF">
        <w:t>4.2014, për krijimin e Grupit Ndërministror të Punës për Ndryshimet Klimatike, dhe është përforcuar nëpërmjet lançimit të procesit të NAP-it nga zëvendësministri e Mjedisit më 19 shkurt 2015. E kundërta ndodh me dy faktorët e tjerë të suksesit për vizionin afatgjatë (ekzistenca e një plani koherent për përshtatjen dhe mbajtja në konsideratë e ndryshimit klimatik në planin zyrtar) të cilët janë vlerësuar si të dobët.</w:t>
      </w:r>
    </w:p>
    <w:p w14:paraId="6EDCFBDB" w14:textId="77777777" w:rsidR="00A9766F" w:rsidRPr="007114AF" w:rsidRDefault="00782894" w:rsidP="00206985">
      <w:pPr>
        <w:pStyle w:val="TEKSTI"/>
      </w:pPr>
      <w:r w:rsidRPr="007114AF">
        <w:t xml:space="preserve">- </w:t>
      </w:r>
      <w:r w:rsidR="00A9766F" w:rsidRPr="007114AF">
        <w:t>Instrumenti SNAP e vlerëson situatën aktuale për informacionin mbi klimën shumë më poshtë se niveli i nevojshëm. Nga diskutimi doli se ekzistojnë një sërë studimesh, vlerësimesh dhe parashikimesh, por këto nuk njihen dhe nuk janë në dispozicion të ekspertëve të sektorit. Prandaj, e drejta për të marrë informacion duket se përbën një sfidë më të fortë se vetë informacioni.</w:t>
      </w:r>
    </w:p>
    <w:p w14:paraId="6EDCFBDC" w14:textId="38E60F05" w:rsidR="00A9766F" w:rsidRPr="007114AF" w:rsidRDefault="00782894" w:rsidP="00206985">
      <w:pPr>
        <w:pStyle w:val="TEKSTI"/>
      </w:pPr>
      <w:r w:rsidRPr="007114AF">
        <w:rPr>
          <w:b/>
          <w:noProof/>
          <w:sz w:val="20"/>
          <w:szCs w:val="20"/>
          <w:lang w:val="en-US" w:eastAsia="en-US"/>
        </w:rPr>
        <w:drawing>
          <wp:anchor distT="0" distB="0" distL="114300" distR="114300" simplePos="0" relativeHeight="251658242" behindDoc="0" locked="0" layoutInCell="1" allowOverlap="1" wp14:anchorId="6EDD17B4" wp14:editId="6EDD17B5">
            <wp:simplePos x="0" y="0"/>
            <wp:positionH relativeFrom="column">
              <wp:posOffset>61595</wp:posOffset>
            </wp:positionH>
            <wp:positionV relativeFrom="paragraph">
              <wp:posOffset>653415</wp:posOffset>
            </wp:positionV>
            <wp:extent cx="5906770" cy="2933700"/>
            <wp:effectExtent l="0" t="0" r="0" b="0"/>
            <wp:wrapTopAndBottom/>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6"/>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5906770" cy="2933700"/>
                    </a:xfrm>
                    <a:prstGeom prst="rect">
                      <a:avLst/>
                    </a:prstGeom>
                    <a:noFill/>
                  </pic:spPr>
                </pic:pic>
              </a:graphicData>
            </a:graphic>
            <wp14:sizeRelH relativeFrom="margin">
              <wp14:pctWidth>0</wp14:pctWidth>
            </wp14:sizeRelH>
            <wp14:sizeRelV relativeFrom="margin">
              <wp14:pctHeight>0</wp14:pctHeight>
            </wp14:sizeRelV>
          </wp:anchor>
        </w:drawing>
      </w:r>
      <w:r w:rsidRPr="007114AF">
        <w:t xml:space="preserve">- </w:t>
      </w:r>
      <w:r w:rsidR="00A9766F" w:rsidRPr="007114AF">
        <w:t xml:space="preserve">Ndjeshëm nën mesataren për situatën aktuale është fusha e suksesit </w:t>
      </w:r>
      <w:r w:rsidR="000A2A01" w:rsidRPr="007114AF">
        <w:t>“</w:t>
      </w:r>
      <w:r w:rsidR="00A9766F" w:rsidRPr="007114AF">
        <w:t>monitorimi dhe vlerësimi</w:t>
      </w:r>
      <w:r w:rsidR="000A2A01" w:rsidRPr="007114AF">
        <w:t>”</w:t>
      </w:r>
      <w:r w:rsidR="00A9766F" w:rsidRPr="007114AF">
        <w:t>. Kjo nuk përbën habi duke qenë se procesi i NAP-it është ende në fillimet e tij dhe nuk ka filluar ende me monitorimin e progresit të mëtejshëm të tij.</w:t>
      </w:r>
    </w:p>
    <w:p w14:paraId="6EDCFBDD" w14:textId="5BCCECD8" w:rsidR="00A9766F" w:rsidRPr="007114AF" w:rsidRDefault="00A9766F" w:rsidP="00206985">
      <w:pPr>
        <w:pStyle w:val="TEKSTI"/>
      </w:pPr>
      <w:r w:rsidRPr="007114AF">
        <w:rPr>
          <w:b/>
          <w:sz w:val="20"/>
          <w:szCs w:val="20"/>
        </w:rPr>
        <w:t>Diagram rrjetë nga analiza SNAP për Shqipërinë.</w:t>
      </w:r>
      <w:r w:rsidRPr="007114AF">
        <w:t xml:space="preserve"> Siç është përmendur, analiza SNAP ofron potencial për projektimin e një procesi NAP, që u jep zgjidhje boshllëqeve të dukshme dhe shfrytëzon mundësitë ekzistuese. Përfundimet në lidhje me projektimin e procesit të NAP-it janë nxjerrë gjatë takimit të punës,</w:t>
      </w:r>
      <w:r w:rsidR="009717A4">
        <w:t xml:space="preserve"> </w:t>
      </w:r>
      <w:r w:rsidRPr="007114AF">
        <w:t xml:space="preserve">të vlerësimit të situatës nëpërmjet një analize SWOT. Rezultatet e analizës SWOT e nxjerra përgjatë këtij takimi, janë pasqyruar dhe përshtatur në diskutimet e mëpasshme nga të cilat ka dalë dhe diagrami SWOT, që paraqitet në figurën 26. </w:t>
      </w:r>
    </w:p>
    <w:p w14:paraId="6EDCFBDE" w14:textId="77777777" w:rsidR="00206985" w:rsidRPr="007114AF" w:rsidRDefault="00206985" w:rsidP="00206985">
      <w:pPr>
        <w:pStyle w:val="TEKSTI"/>
      </w:pPr>
    </w:p>
    <w:tbl>
      <w:tblPr>
        <w:tblStyle w:val="TableGrid"/>
        <w:tblW w:w="0" w:type="auto"/>
        <w:tblLook w:val="04A0" w:firstRow="1" w:lastRow="0" w:firstColumn="1" w:lastColumn="0" w:noHBand="0" w:noVBand="1"/>
      </w:tblPr>
      <w:tblGrid>
        <w:gridCol w:w="4644"/>
        <w:gridCol w:w="4643"/>
      </w:tblGrid>
      <w:tr w:rsidR="00A9766F" w:rsidRPr="007114AF" w14:paraId="6EDCFBEC" w14:textId="77777777" w:rsidTr="00A9766F">
        <w:tc>
          <w:tcPr>
            <w:tcW w:w="4756" w:type="dxa"/>
          </w:tcPr>
          <w:p w14:paraId="6EDCFBDF" w14:textId="77777777" w:rsidR="00A9766F" w:rsidRPr="007114AF" w:rsidRDefault="00A9766F" w:rsidP="00206985">
            <w:pPr>
              <w:pStyle w:val="Standardtextbody"/>
              <w:spacing w:after="0" w:line="240" w:lineRule="auto"/>
              <w:jc w:val="both"/>
              <w:rPr>
                <w:rFonts w:ascii="Garamond" w:hAnsi="Garamond"/>
                <w:b/>
                <w:lang w:val="sq-AL"/>
              </w:rPr>
            </w:pPr>
            <w:r w:rsidRPr="007114AF">
              <w:rPr>
                <w:rFonts w:ascii="Garamond" w:hAnsi="Garamond"/>
                <w:b/>
                <w:lang w:val="sq-AL"/>
              </w:rPr>
              <w:t>Pikat e forta</w:t>
            </w:r>
          </w:p>
          <w:p w14:paraId="6EDCFBE0" w14:textId="77777777" w:rsidR="00A9766F" w:rsidRPr="007114AF" w:rsidRDefault="00A9766F" w:rsidP="00206985">
            <w:pPr>
              <w:pStyle w:val="Standardtextbody"/>
              <w:spacing w:after="0" w:line="240" w:lineRule="auto"/>
              <w:jc w:val="both"/>
              <w:rPr>
                <w:rFonts w:ascii="Garamond" w:hAnsi="Garamond"/>
                <w:lang w:val="sq-AL"/>
              </w:rPr>
            </w:pPr>
          </w:p>
          <w:p w14:paraId="6EDCFBE1" w14:textId="77777777" w:rsidR="00A9766F" w:rsidRPr="007114AF" w:rsidRDefault="00A9766F" w:rsidP="00206985">
            <w:pPr>
              <w:pStyle w:val="Standardtextbody"/>
              <w:spacing w:after="0" w:line="240" w:lineRule="auto"/>
              <w:jc w:val="both"/>
              <w:rPr>
                <w:rFonts w:ascii="Garamond" w:hAnsi="Garamond"/>
                <w:lang w:val="sq-AL"/>
              </w:rPr>
            </w:pPr>
            <w:r w:rsidRPr="007114AF">
              <w:rPr>
                <w:rFonts w:ascii="Garamond" w:hAnsi="Garamond"/>
                <w:lang w:val="sq-AL"/>
              </w:rPr>
              <w:t>• Këshilli i Ministrave e ka dhënë mandatin për përgatitjen e NAP-it</w:t>
            </w:r>
          </w:p>
          <w:p w14:paraId="6EDCFBE2" w14:textId="33C85945" w:rsidR="00A9766F" w:rsidRPr="007114AF" w:rsidRDefault="00A9766F" w:rsidP="00206985">
            <w:pPr>
              <w:pStyle w:val="Standardtextbody"/>
              <w:spacing w:after="0" w:line="240" w:lineRule="auto"/>
              <w:jc w:val="both"/>
              <w:rPr>
                <w:rFonts w:ascii="Garamond" w:hAnsi="Garamond"/>
                <w:lang w:val="sq-AL"/>
              </w:rPr>
            </w:pPr>
            <w:r w:rsidRPr="007114AF">
              <w:rPr>
                <w:rFonts w:ascii="Garamond" w:hAnsi="Garamond"/>
                <w:lang w:val="sq-AL"/>
              </w:rPr>
              <w:t>•</w:t>
            </w:r>
            <w:r w:rsidR="008D30FC" w:rsidRPr="007114AF">
              <w:rPr>
                <w:rFonts w:ascii="Garamond" w:hAnsi="Garamond"/>
                <w:lang w:val="sq-AL"/>
              </w:rPr>
              <w:t xml:space="preserve"> </w:t>
            </w:r>
            <w:r w:rsidRPr="007114AF">
              <w:rPr>
                <w:rFonts w:ascii="Garamond" w:hAnsi="Garamond"/>
                <w:lang w:val="sq-AL"/>
              </w:rPr>
              <w:t>Motivim i lartë nga ana e Ministrisë së Mjedisit</w:t>
            </w:r>
          </w:p>
          <w:p w14:paraId="6EDCFBE3" w14:textId="77777777" w:rsidR="00A9766F" w:rsidRPr="007114AF" w:rsidRDefault="00A9766F" w:rsidP="00206985">
            <w:pPr>
              <w:pStyle w:val="Standardtextbody"/>
              <w:spacing w:after="0" w:line="240" w:lineRule="auto"/>
              <w:jc w:val="both"/>
              <w:rPr>
                <w:rFonts w:ascii="Garamond" w:hAnsi="Garamond"/>
                <w:lang w:val="sq-AL"/>
              </w:rPr>
            </w:pPr>
            <w:r w:rsidRPr="007114AF">
              <w:rPr>
                <w:rFonts w:ascii="Garamond" w:hAnsi="Garamond"/>
                <w:lang w:val="sq-AL"/>
              </w:rPr>
              <w:t xml:space="preserve">• Cilësi e mirë e informacioneve ekzistuese për </w:t>
            </w:r>
            <w:r w:rsidRPr="007114AF">
              <w:rPr>
                <w:rFonts w:ascii="Garamond" w:hAnsi="Garamond"/>
                <w:lang w:val="sq-AL"/>
              </w:rPr>
              <w:lastRenderedPageBreak/>
              <w:t>klimën.</w:t>
            </w:r>
          </w:p>
          <w:p w14:paraId="6EDCFBE4" w14:textId="77777777" w:rsidR="00A9766F" w:rsidRPr="007114AF" w:rsidRDefault="00A9766F" w:rsidP="00206985">
            <w:pPr>
              <w:pStyle w:val="Standardtextbody"/>
              <w:spacing w:after="0" w:line="240" w:lineRule="auto"/>
              <w:jc w:val="both"/>
              <w:rPr>
                <w:rFonts w:ascii="Garamond" w:hAnsi="Garamond"/>
                <w:lang w:val="sq-AL"/>
              </w:rPr>
            </w:pPr>
          </w:p>
        </w:tc>
        <w:tc>
          <w:tcPr>
            <w:tcW w:w="4756" w:type="dxa"/>
          </w:tcPr>
          <w:p w14:paraId="6EDCFBE5" w14:textId="77777777" w:rsidR="00A9766F" w:rsidRPr="007114AF" w:rsidRDefault="00A9766F" w:rsidP="00206985">
            <w:pPr>
              <w:pStyle w:val="Standardtextbody"/>
              <w:spacing w:after="0" w:line="240" w:lineRule="auto"/>
              <w:jc w:val="both"/>
              <w:rPr>
                <w:rFonts w:ascii="Garamond" w:hAnsi="Garamond"/>
                <w:b/>
                <w:lang w:val="sq-AL"/>
              </w:rPr>
            </w:pPr>
            <w:r w:rsidRPr="007114AF">
              <w:rPr>
                <w:rFonts w:ascii="Garamond" w:hAnsi="Garamond"/>
                <w:b/>
                <w:lang w:val="sq-AL"/>
              </w:rPr>
              <w:lastRenderedPageBreak/>
              <w:t>Pikat e dobëta</w:t>
            </w:r>
          </w:p>
          <w:p w14:paraId="6EDCFBE6" w14:textId="77777777" w:rsidR="00A9766F" w:rsidRPr="007114AF" w:rsidRDefault="00A9766F" w:rsidP="00206985">
            <w:pPr>
              <w:pStyle w:val="Standardtextbody"/>
              <w:spacing w:after="0" w:line="240" w:lineRule="auto"/>
              <w:jc w:val="both"/>
              <w:rPr>
                <w:rFonts w:ascii="Garamond" w:hAnsi="Garamond"/>
                <w:lang w:val="sq-AL"/>
              </w:rPr>
            </w:pPr>
          </w:p>
          <w:p w14:paraId="6EDCFBE7" w14:textId="77777777" w:rsidR="00A9766F" w:rsidRPr="007114AF" w:rsidRDefault="00A9766F" w:rsidP="00206985">
            <w:pPr>
              <w:pStyle w:val="Standardtextbody"/>
              <w:spacing w:after="0" w:line="240" w:lineRule="auto"/>
              <w:jc w:val="both"/>
              <w:rPr>
                <w:rFonts w:ascii="Garamond" w:hAnsi="Garamond"/>
                <w:lang w:val="sq-AL"/>
              </w:rPr>
            </w:pPr>
            <w:r w:rsidRPr="007114AF">
              <w:rPr>
                <w:rFonts w:ascii="Garamond" w:hAnsi="Garamond"/>
                <w:lang w:val="sq-AL"/>
              </w:rPr>
              <w:t>• Nuk ka të dhëna të gatshme dhe të përpunueshme për ministritë e linjës</w:t>
            </w:r>
          </w:p>
          <w:p w14:paraId="6EDCFBE8" w14:textId="0F98CB28" w:rsidR="00A9766F" w:rsidRPr="007114AF" w:rsidRDefault="00A9766F" w:rsidP="00206985">
            <w:pPr>
              <w:pStyle w:val="Standardtextbody"/>
              <w:spacing w:after="0" w:line="240" w:lineRule="auto"/>
              <w:jc w:val="both"/>
              <w:rPr>
                <w:rFonts w:ascii="Garamond" w:hAnsi="Garamond"/>
                <w:lang w:val="sq-AL"/>
              </w:rPr>
            </w:pPr>
            <w:r w:rsidRPr="007114AF">
              <w:rPr>
                <w:rFonts w:ascii="Garamond" w:hAnsi="Garamond"/>
                <w:lang w:val="sq-AL"/>
              </w:rPr>
              <w:t>•</w:t>
            </w:r>
            <w:r w:rsidR="000A2A01" w:rsidRPr="007114AF">
              <w:rPr>
                <w:rFonts w:ascii="Garamond" w:hAnsi="Garamond"/>
                <w:lang w:val="sq-AL"/>
              </w:rPr>
              <w:t xml:space="preserve"> </w:t>
            </w:r>
            <w:r w:rsidRPr="007114AF">
              <w:rPr>
                <w:rFonts w:ascii="Garamond" w:hAnsi="Garamond"/>
                <w:lang w:val="sq-AL"/>
              </w:rPr>
              <w:t>Nuk ka struktura të konsoliduara shtetërore për ndryshimet klimatike</w:t>
            </w:r>
          </w:p>
          <w:p w14:paraId="6EDCFBE9" w14:textId="3748805A" w:rsidR="00A9766F" w:rsidRPr="007114AF" w:rsidRDefault="00A9766F" w:rsidP="00206985">
            <w:pPr>
              <w:pStyle w:val="Standardtextbody"/>
              <w:spacing w:after="0" w:line="240" w:lineRule="auto"/>
              <w:jc w:val="both"/>
              <w:rPr>
                <w:rFonts w:ascii="Garamond" w:hAnsi="Garamond"/>
                <w:lang w:val="sq-AL"/>
              </w:rPr>
            </w:pPr>
            <w:r w:rsidRPr="007114AF">
              <w:rPr>
                <w:rFonts w:ascii="Garamond" w:hAnsi="Garamond"/>
                <w:lang w:val="sq-AL"/>
              </w:rPr>
              <w:lastRenderedPageBreak/>
              <w:t>•</w:t>
            </w:r>
            <w:r w:rsidR="000A2A01" w:rsidRPr="007114AF">
              <w:rPr>
                <w:rFonts w:ascii="Garamond" w:hAnsi="Garamond"/>
                <w:lang w:val="sq-AL"/>
              </w:rPr>
              <w:t xml:space="preserve"> </w:t>
            </w:r>
            <w:r w:rsidRPr="007114AF">
              <w:rPr>
                <w:rFonts w:ascii="Garamond" w:hAnsi="Garamond"/>
                <w:lang w:val="sq-AL"/>
              </w:rPr>
              <w:t>Struktura të pamjaftueshme bashkërendimi për ndryshimet klimatike / nuk ka angazhim proaktiv nga ministritë e linjës</w:t>
            </w:r>
          </w:p>
          <w:p w14:paraId="6EDCFBEA" w14:textId="77777777" w:rsidR="00A9766F" w:rsidRPr="007114AF" w:rsidRDefault="00A9766F" w:rsidP="00206985">
            <w:pPr>
              <w:pStyle w:val="Standardtextbody"/>
              <w:spacing w:after="0" w:line="240" w:lineRule="auto"/>
              <w:jc w:val="both"/>
              <w:rPr>
                <w:rFonts w:ascii="Garamond" w:hAnsi="Garamond"/>
                <w:lang w:val="sq-AL"/>
              </w:rPr>
            </w:pPr>
            <w:r w:rsidRPr="007114AF">
              <w:rPr>
                <w:rFonts w:ascii="Garamond" w:hAnsi="Garamond"/>
                <w:lang w:val="sq-AL"/>
              </w:rPr>
              <w:t>• Mbizotëron puna e konsulentëve të jashtëm e palidhur me proceset shtetërore.</w:t>
            </w:r>
          </w:p>
          <w:p w14:paraId="6EDCFBEB" w14:textId="77777777" w:rsidR="00A9766F" w:rsidRPr="007114AF" w:rsidRDefault="00A9766F" w:rsidP="00206985">
            <w:pPr>
              <w:pStyle w:val="Standardtextbody"/>
              <w:spacing w:after="0" w:line="240" w:lineRule="auto"/>
              <w:jc w:val="both"/>
              <w:rPr>
                <w:rFonts w:ascii="Garamond" w:hAnsi="Garamond"/>
                <w:lang w:val="sq-AL"/>
              </w:rPr>
            </w:pPr>
          </w:p>
        </w:tc>
      </w:tr>
      <w:tr w:rsidR="00A9766F" w:rsidRPr="007114AF" w14:paraId="6EDCFBFB" w14:textId="77777777" w:rsidTr="00A9766F">
        <w:tc>
          <w:tcPr>
            <w:tcW w:w="4756" w:type="dxa"/>
          </w:tcPr>
          <w:p w14:paraId="6EDCFBED" w14:textId="77777777" w:rsidR="00A9766F" w:rsidRPr="007114AF" w:rsidRDefault="00A9766F" w:rsidP="00206985">
            <w:pPr>
              <w:pStyle w:val="Standardtextbody"/>
              <w:spacing w:after="0" w:line="240" w:lineRule="auto"/>
              <w:jc w:val="both"/>
              <w:rPr>
                <w:rFonts w:ascii="Garamond" w:hAnsi="Garamond"/>
                <w:b/>
                <w:lang w:val="sq-AL"/>
              </w:rPr>
            </w:pPr>
            <w:r w:rsidRPr="007114AF">
              <w:rPr>
                <w:rFonts w:ascii="Garamond" w:hAnsi="Garamond"/>
                <w:b/>
                <w:lang w:val="sq-AL"/>
              </w:rPr>
              <w:lastRenderedPageBreak/>
              <w:t>Mundësitë</w:t>
            </w:r>
          </w:p>
          <w:p w14:paraId="6EDCFBEE" w14:textId="77777777" w:rsidR="00A9766F" w:rsidRPr="007114AF" w:rsidRDefault="00A9766F" w:rsidP="00206985">
            <w:pPr>
              <w:pStyle w:val="Standardtextbody"/>
              <w:spacing w:after="0" w:line="240" w:lineRule="auto"/>
              <w:jc w:val="both"/>
              <w:rPr>
                <w:rFonts w:ascii="Garamond" w:hAnsi="Garamond"/>
                <w:lang w:val="sq-AL"/>
              </w:rPr>
            </w:pPr>
          </w:p>
          <w:p w14:paraId="6EDCFBEF" w14:textId="77777777" w:rsidR="00A9766F" w:rsidRPr="007114AF" w:rsidRDefault="00A9766F" w:rsidP="00206985">
            <w:pPr>
              <w:pStyle w:val="Standardtextbody"/>
              <w:spacing w:after="0" w:line="240" w:lineRule="auto"/>
              <w:jc w:val="both"/>
              <w:rPr>
                <w:rFonts w:ascii="Garamond" w:hAnsi="Garamond"/>
                <w:lang w:val="sq-AL"/>
              </w:rPr>
            </w:pPr>
            <w:r w:rsidRPr="007114AF">
              <w:rPr>
                <w:rFonts w:ascii="Garamond" w:hAnsi="Garamond"/>
                <w:lang w:val="sq-AL"/>
              </w:rPr>
              <w:t>• Këshilli i Ministrave e ka dhënë mandatin për përgatitjen e NAP-it</w:t>
            </w:r>
          </w:p>
          <w:p w14:paraId="6EDCFBF0" w14:textId="47623FCA" w:rsidR="00A9766F" w:rsidRPr="007114AF" w:rsidRDefault="00A9766F" w:rsidP="00206985">
            <w:pPr>
              <w:pStyle w:val="Standardtextbody"/>
              <w:spacing w:after="0" w:line="240" w:lineRule="auto"/>
              <w:jc w:val="both"/>
              <w:rPr>
                <w:rFonts w:ascii="Garamond" w:hAnsi="Garamond"/>
                <w:lang w:val="sq-AL"/>
              </w:rPr>
            </w:pPr>
            <w:r w:rsidRPr="007114AF">
              <w:rPr>
                <w:rFonts w:ascii="Garamond" w:hAnsi="Garamond"/>
                <w:lang w:val="sq-AL"/>
              </w:rPr>
              <w:t>•</w:t>
            </w:r>
            <w:r w:rsidR="000A2A01" w:rsidRPr="007114AF">
              <w:rPr>
                <w:rFonts w:ascii="Garamond" w:hAnsi="Garamond"/>
                <w:lang w:val="sq-AL"/>
              </w:rPr>
              <w:t xml:space="preserve"> </w:t>
            </w:r>
            <w:r w:rsidRPr="007114AF">
              <w:rPr>
                <w:rFonts w:ascii="Garamond" w:hAnsi="Garamond"/>
                <w:lang w:val="sq-AL"/>
              </w:rPr>
              <w:t>Ka ekspertë të gatshëm jashtë administratës</w:t>
            </w:r>
          </w:p>
          <w:p w14:paraId="6EDCFBF1" w14:textId="78E5B502" w:rsidR="00A9766F" w:rsidRPr="007114AF" w:rsidRDefault="00A9766F" w:rsidP="00206985">
            <w:pPr>
              <w:pStyle w:val="Standardtextbody"/>
              <w:spacing w:after="0" w:line="240" w:lineRule="auto"/>
              <w:jc w:val="both"/>
              <w:rPr>
                <w:rFonts w:ascii="Garamond" w:hAnsi="Garamond"/>
                <w:lang w:val="sq-AL"/>
              </w:rPr>
            </w:pPr>
            <w:r w:rsidRPr="007114AF">
              <w:rPr>
                <w:rFonts w:ascii="Garamond" w:hAnsi="Garamond"/>
                <w:lang w:val="sq-AL"/>
              </w:rPr>
              <w:t>•</w:t>
            </w:r>
            <w:r w:rsidR="000A2A01" w:rsidRPr="007114AF">
              <w:rPr>
                <w:rFonts w:ascii="Garamond" w:hAnsi="Garamond"/>
                <w:lang w:val="sq-AL"/>
              </w:rPr>
              <w:t xml:space="preserve"> </w:t>
            </w:r>
            <w:r w:rsidRPr="007114AF">
              <w:rPr>
                <w:rFonts w:ascii="Garamond" w:hAnsi="Garamond"/>
                <w:lang w:val="sq-AL"/>
              </w:rPr>
              <w:t>Opsionet teknike dihen në parim</w:t>
            </w:r>
          </w:p>
          <w:p w14:paraId="6EDCFBF2" w14:textId="77777777" w:rsidR="00A9766F" w:rsidRPr="007114AF" w:rsidRDefault="00A9766F" w:rsidP="00206985">
            <w:pPr>
              <w:pStyle w:val="Standardtextbody"/>
              <w:spacing w:after="0" w:line="240" w:lineRule="auto"/>
              <w:jc w:val="both"/>
              <w:rPr>
                <w:rFonts w:ascii="Garamond" w:hAnsi="Garamond"/>
                <w:lang w:val="sq-AL"/>
              </w:rPr>
            </w:pPr>
            <w:r w:rsidRPr="007114AF">
              <w:rPr>
                <w:rFonts w:ascii="Garamond" w:hAnsi="Garamond"/>
                <w:lang w:val="sq-AL"/>
              </w:rPr>
              <w:t>•Ka potenciale për integrimin e përshtatjes ndaj ndryshimive klimatike në disa plane të reja të ardhshme</w:t>
            </w:r>
          </w:p>
          <w:p w14:paraId="6EDCFBF3" w14:textId="77777777" w:rsidR="00A9766F" w:rsidRPr="007114AF" w:rsidRDefault="00A9766F" w:rsidP="00206985">
            <w:pPr>
              <w:pStyle w:val="Standardtextbody"/>
              <w:spacing w:after="0" w:line="240" w:lineRule="auto"/>
              <w:jc w:val="both"/>
              <w:rPr>
                <w:rFonts w:ascii="Garamond" w:hAnsi="Garamond"/>
                <w:lang w:val="sq-AL"/>
              </w:rPr>
            </w:pPr>
            <w:r w:rsidRPr="007114AF">
              <w:rPr>
                <w:rFonts w:ascii="Garamond" w:hAnsi="Garamond"/>
                <w:lang w:val="sq-AL"/>
              </w:rPr>
              <w:t>• Procesi NAP përfiton nga mundësitë e ardhshme për fonde klimatike.</w:t>
            </w:r>
          </w:p>
        </w:tc>
        <w:tc>
          <w:tcPr>
            <w:tcW w:w="4756" w:type="dxa"/>
          </w:tcPr>
          <w:p w14:paraId="6EDCFBF4" w14:textId="77777777" w:rsidR="00A9766F" w:rsidRPr="007114AF" w:rsidRDefault="00A9766F" w:rsidP="00206985">
            <w:pPr>
              <w:pStyle w:val="Standardtextbody"/>
              <w:spacing w:after="0" w:line="240" w:lineRule="auto"/>
              <w:jc w:val="both"/>
              <w:rPr>
                <w:rFonts w:ascii="Garamond" w:hAnsi="Garamond"/>
                <w:b/>
                <w:lang w:val="sq-AL"/>
              </w:rPr>
            </w:pPr>
            <w:r w:rsidRPr="007114AF">
              <w:rPr>
                <w:rFonts w:ascii="Garamond" w:hAnsi="Garamond"/>
                <w:b/>
                <w:lang w:val="sq-AL"/>
              </w:rPr>
              <w:t>Rreziqet</w:t>
            </w:r>
          </w:p>
          <w:p w14:paraId="6EDCFBF5" w14:textId="77777777" w:rsidR="00A9766F" w:rsidRPr="007114AF" w:rsidRDefault="00A9766F" w:rsidP="00206985">
            <w:pPr>
              <w:pStyle w:val="Standardtextbody"/>
              <w:spacing w:after="0" w:line="240" w:lineRule="auto"/>
              <w:jc w:val="both"/>
              <w:rPr>
                <w:rFonts w:ascii="Garamond" w:hAnsi="Garamond"/>
                <w:lang w:val="sq-AL"/>
              </w:rPr>
            </w:pPr>
          </w:p>
          <w:p w14:paraId="6EDCFBF6" w14:textId="77777777" w:rsidR="00A9766F" w:rsidRPr="007114AF" w:rsidRDefault="00A9766F" w:rsidP="00206985">
            <w:pPr>
              <w:pStyle w:val="Standardtextbody"/>
              <w:spacing w:after="0" w:line="240" w:lineRule="auto"/>
              <w:jc w:val="both"/>
              <w:rPr>
                <w:rFonts w:ascii="Garamond" w:hAnsi="Garamond"/>
                <w:lang w:val="sq-AL"/>
              </w:rPr>
            </w:pPr>
            <w:r w:rsidRPr="007114AF">
              <w:rPr>
                <w:rFonts w:ascii="Garamond" w:hAnsi="Garamond"/>
                <w:lang w:val="sq-AL"/>
              </w:rPr>
              <w:t>• Mungesë kapacitetesh në të gjitha fushate qeverisjes shtetërore</w:t>
            </w:r>
          </w:p>
          <w:p w14:paraId="6EDCFBF7" w14:textId="77DBA319" w:rsidR="00A9766F" w:rsidRPr="007114AF" w:rsidRDefault="00A9766F" w:rsidP="00206985">
            <w:pPr>
              <w:pStyle w:val="Standardtextbody"/>
              <w:spacing w:after="0" w:line="240" w:lineRule="auto"/>
              <w:jc w:val="both"/>
              <w:rPr>
                <w:rFonts w:ascii="Garamond" w:hAnsi="Garamond"/>
                <w:lang w:val="sq-AL"/>
              </w:rPr>
            </w:pPr>
            <w:r w:rsidRPr="007114AF">
              <w:rPr>
                <w:rFonts w:ascii="Garamond" w:hAnsi="Garamond"/>
                <w:lang w:val="sq-AL"/>
              </w:rPr>
              <w:t>• Kapacitet i ulët personeli për ndryshimet</w:t>
            </w:r>
            <w:r w:rsidR="000A2A01" w:rsidRPr="007114AF">
              <w:rPr>
                <w:rFonts w:ascii="Garamond" w:hAnsi="Garamond"/>
                <w:lang w:val="sq-AL"/>
              </w:rPr>
              <w:t xml:space="preserve"> </w:t>
            </w:r>
            <w:r w:rsidRPr="007114AF">
              <w:rPr>
                <w:rFonts w:ascii="Garamond" w:hAnsi="Garamond"/>
                <w:lang w:val="sq-AL"/>
              </w:rPr>
              <w:t>klimatike</w:t>
            </w:r>
          </w:p>
          <w:p w14:paraId="6EDCFBF8" w14:textId="4D11B787" w:rsidR="00A9766F" w:rsidRPr="007114AF" w:rsidRDefault="00A9766F" w:rsidP="00206985">
            <w:pPr>
              <w:pStyle w:val="Standardtextbody"/>
              <w:spacing w:after="0" w:line="240" w:lineRule="auto"/>
              <w:jc w:val="both"/>
              <w:rPr>
                <w:rFonts w:ascii="Garamond" w:hAnsi="Garamond"/>
                <w:lang w:val="sq-AL"/>
              </w:rPr>
            </w:pPr>
            <w:r w:rsidRPr="007114AF">
              <w:rPr>
                <w:rFonts w:ascii="Garamond" w:hAnsi="Garamond"/>
                <w:lang w:val="sq-AL"/>
              </w:rPr>
              <w:t>•</w:t>
            </w:r>
            <w:r w:rsidR="000A2A01" w:rsidRPr="007114AF">
              <w:rPr>
                <w:rFonts w:ascii="Garamond" w:hAnsi="Garamond"/>
                <w:lang w:val="sq-AL"/>
              </w:rPr>
              <w:t xml:space="preserve"> </w:t>
            </w:r>
            <w:r w:rsidRPr="007114AF">
              <w:rPr>
                <w:rFonts w:ascii="Garamond" w:hAnsi="Garamond"/>
                <w:lang w:val="sq-AL"/>
              </w:rPr>
              <w:t>Njohuri relativisht të ulëta për ndryshimet klimatike në ministritë e linjës</w:t>
            </w:r>
          </w:p>
          <w:p w14:paraId="6EDCFBF9" w14:textId="7DFB109C" w:rsidR="00A9766F" w:rsidRPr="007114AF" w:rsidRDefault="00A9766F" w:rsidP="00206985">
            <w:pPr>
              <w:pStyle w:val="Standardtextbody"/>
              <w:spacing w:after="0" w:line="240" w:lineRule="auto"/>
              <w:jc w:val="both"/>
              <w:rPr>
                <w:rFonts w:ascii="Garamond" w:hAnsi="Garamond"/>
                <w:lang w:val="sq-AL"/>
              </w:rPr>
            </w:pPr>
            <w:r w:rsidRPr="007114AF">
              <w:rPr>
                <w:rFonts w:ascii="Garamond" w:hAnsi="Garamond"/>
                <w:lang w:val="sq-AL"/>
              </w:rPr>
              <w:t>•</w:t>
            </w:r>
            <w:r w:rsidR="000A2A01" w:rsidRPr="007114AF">
              <w:rPr>
                <w:rFonts w:ascii="Garamond" w:hAnsi="Garamond"/>
                <w:lang w:val="sq-AL"/>
              </w:rPr>
              <w:t xml:space="preserve"> </w:t>
            </w:r>
            <w:r w:rsidRPr="007114AF">
              <w:rPr>
                <w:rFonts w:ascii="Garamond" w:hAnsi="Garamond"/>
                <w:lang w:val="sq-AL"/>
              </w:rPr>
              <w:t>Mospranim i rëndësisë së ndryshimeve klimatike nga politikat dhe publiku.</w:t>
            </w:r>
          </w:p>
          <w:p w14:paraId="6EDCFBFA" w14:textId="0F9B1552" w:rsidR="00A9766F" w:rsidRPr="007114AF" w:rsidRDefault="00A9766F" w:rsidP="00206985">
            <w:pPr>
              <w:pStyle w:val="Standardtextbody"/>
              <w:spacing w:after="0" w:line="240" w:lineRule="auto"/>
              <w:jc w:val="both"/>
              <w:rPr>
                <w:rFonts w:ascii="Garamond" w:hAnsi="Garamond"/>
                <w:lang w:val="sq-AL"/>
              </w:rPr>
            </w:pPr>
            <w:r w:rsidRPr="007114AF">
              <w:rPr>
                <w:rFonts w:ascii="Garamond" w:hAnsi="Garamond"/>
                <w:lang w:val="sq-AL"/>
              </w:rPr>
              <w:t>•</w:t>
            </w:r>
            <w:r w:rsidR="000A2A01" w:rsidRPr="007114AF">
              <w:rPr>
                <w:rFonts w:ascii="Garamond" w:hAnsi="Garamond"/>
                <w:lang w:val="sq-AL"/>
              </w:rPr>
              <w:t xml:space="preserve"> </w:t>
            </w:r>
            <w:r w:rsidRPr="007114AF">
              <w:rPr>
                <w:rFonts w:ascii="Garamond" w:hAnsi="Garamond"/>
                <w:lang w:val="sq-AL"/>
              </w:rPr>
              <w:t>Përputhshmëri e kufizuar mes fushave të ndryshme të bërjes së politikave.</w:t>
            </w:r>
          </w:p>
        </w:tc>
      </w:tr>
    </w:tbl>
    <w:p w14:paraId="6EDCFBFC" w14:textId="77777777" w:rsidR="00A9766F" w:rsidRPr="007114AF" w:rsidRDefault="00A9766F" w:rsidP="00206985">
      <w:pPr>
        <w:pStyle w:val="TEKSTI"/>
      </w:pPr>
    </w:p>
    <w:p w14:paraId="6EDCFBFD" w14:textId="77777777" w:rsidR="00A9766F" w:rsidRPr="007114AF" w:rsidRDefault="00A9766F" w:rsidP="00206985">
      <w:pPr>
        <w:pStyle w:val="FIGURA"/>
        <w:rPr>
          <w:sz w:val="20"/>
          <w:szCs w:val="20"/>
        </w:rPr>
      </w:pPr>
      <w:r w:rsidRPr="007114AF">
        <w:rPr>
          <w:sz w:val="20"/>
          <w:szCs w:val="20"/>
        </w:rPr>
        <w:t>Figura</w:t>
      </w:r>
      <w:r w:rsidR="00206985" w:rsidRPr="007114AF">
        <w:rPr>
          <w:sz w:val="20"/>
          <w:szCs w:val="20"/>
        </w:rPr>
        <w:t xml:space="preserve"> </w:t>
      </w:r>
      <w:r w:rsidRPr="007114AF">
        <w:rPr>
          <w:sz w:val="20"/>
          <w:szCs w:val="20"/>
        </w:rPr>
        <w:fldChar w:fldCharType="begin"/>
      </w:r>
      <w:r w:rsidRPr="007114AF">
        <w:rPr>
          <w:sz w:val="20"/>
          <w:szCs w:val="20"/>
        </w:rPr>
        <w:instrText xml:space="preserve"> SEQ Figure \* ARABIC </w:instrText>
      </w:r>
      <w:r w:rsidRPr="007114AF">
        <w:rPr>
          <w:sz w:val="20"/>
          <w:szCs w:val="20"/>
        </w:rPr>
        <w:fldChar w:fldCharType="separate"/>
      </w:r>
      <w:r w:rsidRPr="007114AF">
        <w:rPr>
          <w:sz w:val="20"/>
          <w:szCs w:val="20"/>
        </w:rPr>
        <w:t>25</w:t>
      </w:r>
      <w:r w:rsidRPr="007114AF">
        <w:rPr>
          <w:sz w:val="20"/>
          <w:szCs w:val="20"/>
        </w:rPr>
        <w:fldChar w:fldCharType="end"/>
      </w:r>
      <w:r w:rsidRPr="007114AF">
        <w:rPr>
          <w:sz w:val="20"/>
          <w:szCs w:val="20"/>
        </w:rPr>
        <w:t>6: Analiza SWOT për procesin shqiptar të NAP-it</w:t>
      </w:r>
    </w:p>
    <w:p w14:paraId="6EDCFBFE" w14:textId="77777777" w:rsidR="00A9766F" w:rsidRPr="007114AF" w:rsidRDefault="00A9766F" w:rsidP="00206985">
      <w:pPr>
        <w:pStyle w:val="TEKSTI"/>
      </w:pPr>
    </w:p>
    <w:p w14:paraId="6EDCFBFF" w14:textId="77777777" w:rsidR="00A9766F" w:rsidRPr="007114AF" w:rsidRDefault="00A9766F" w:rsidP="00206985">
      <w:pPr>
        <w:pStyle w:val="TEKSTI"/>
      </w:pPr>
      <w:r w:rsidRPr="007114AF">
        <w:t>Mesazhet kryesore të analizës SWOT mund të përmblidhen si vijon:</w:t>
      </w:r>
    </w:p>
    <w:p w14:paraId="6EDCFC00" w14:textId="77777777" w:rsidR="00A9766F" w:rsidRPr="007114AF" w:rsidRDefault="00782894" w:rsidP="00206985">
      <w:pPr>
        <w:pStyle w:val="TEKSTI"/>
      </w:pPr>
      <w:r w:rsidRPr="007114AF">
        <w:t xml:space="preserve">- </w:t>
      </w:r>
      <w:r w:rsidR="00A9766F" w:rsidRPr="007114AF">
        <w:t>Situata e informacionit ekzistues për klimën është relativisht e mirë, por nuk njihet mirë dhe nuk është e aksesueshme, siç është thënë më parë.</w:t>
      </w:r>
    </w:p>
    <w:p w14:paraId="6EDCFC01" w14:textId="77777777" w:rsidR="00A9766F" w:rsidRPr="007114AF" w:rsidRDefault="00782894" w:rsidP="00206985">
      <w:pPr>
        <w:pStyle w:val="TEKSTI"/>
      </w:pPr>
      <w:r w:rsidRPr="007114AF">
        <w:t xml:space="preserve">- </w:t>
      </w:r>
      <w:r w:rsidR="00A9766F" w:rsidRPr="007114AF">
        <w:t>Studimet, siç është përmendur më lart, ofrojnë baza të mira tematike për procesin e përshtatjes, por nuk janë të lidhura mjaftueshëm me proceset e qeverisë.</w:t>
      </w:r>
    </w:p>
    <w:p w14:paraId="6EDCFC02" w14:textId="1A8423A2" w:rsidR="00A9766F" w:rsidRPr="007114AF" w:rsidRDefault="00782894" w:rsidP="00206985">
      <w:pPr>
        <w:pStyle w:val="TEKSTI"/>
      </w:pPr>
      <w:r w:rsidRPr="007114AF">
        <w:t xml:space="preserve">- </w:t>
      </w:r>
      <w:r w:rsidR="00A9766F" w:rsidRPr="007114AF">
        <w:t>Ndërgjegjësimi i kufizuar për ndryshimet klimatike në nivel politikëbërës</w:t>
      </w:r>
      <w:r w:rsidR="00345C65">
        <w:t>,</w:t>
      </w:r>
      <w:r w:rsidR="00A9766F" w:rsidRPr="007114AF">
        <w:t xml:space="preserve"> si dhe</w:t>
      </w:r>
      <w:r w:rsidR="000A2A01" w:rsidRPr="007114AF">
        <w:t xml:space="preserve"> </w:t>
      </w:r>
      <w:r w:rsidR="00A9766F" w:rsidRPr="007114AF">
        <w:t>njohuritë e limituara</w:t>
      </w:r>
      <w:r w:rsidR="002C011E">
        <w:t xml:space="preserve"> </w:t>
      </w:r>
      <w:r w:rsidR="00A9766F" w:rsidRPr="007114AF">
        <w:t>të publikut e pengojnë të paturit e një procesi të fuqishëm të NAP-it. Politikat për ndryshimet klimatike vijojnë të jenë relativisht në fund të agjendës politike.</w:t>
      </w:r>
    </w:p>
    <w:p w14:paraId="6EDCFC03" w14:textId="77777777" w:rsidR="00A9766F" w:rsidRPr="007114AF" w:rsidRDefault="00782894" w:rsidP="00206985">
      <w:pPr>
        <w:pStyle w:val="TEKSTI"/>
      </w:pPr>
      <w:r w:rsidRPr="007114AF">
        <w:t xml:space="preserve">- </w:t>
      </w:r>
      <w:r w:rsidR="00A9766F" w:rsidRPr="007114AF">
        <w:t>Njohja e ndryshimeve klimatike dhe e procesit të NAP-it në veçanti, mund të përfitojë nga fakti që NAP-i mund të nxisë mundësitë për të marrë financim për klimën në përgjithësi dhe për të përfituar nga Fondi i Gjelbër për Klimën në veçanti.</w:t>
      </w:r>
    </w:p>
    <w:p w14:paraId="6EDCFC04" w14:textId="77777777" w:rsidR="00A9766F" w:rsidRPr="007114AF" w:rsidRDefault="00782894" w:rsidP="00206985">
      <w:pPr>
        <w:pStyle w:val="TEKSTI"/>
      </w:pPr>
      <w:r w:rsidRPr="007114AF">
        <w:t xml:space="preserve">- </w:t>
      </w:r>
      <w:r w:rsidR="00A9766F" w:rsidRPr="007114AF">
        <w:t xml:space="preserve">Një mundësi e rëndësishme lind nga fakti se janë duke u zhvilluar disa plane zhvillimi dhe plane sektoriale të cilët mundësojnë integrimin e ndryshimeve klimatike. Kjo analizohet më tej në kapitullin 4.6. </w:t>
      </w:r>
    </w:p>
    <w:p w14:paraId="6EDCFC05" w14:textId="16D3F29D" w:rsidR="00A9766F" w:rsidRPr="007114AF" w:rsidRDefault="00A9766F" w:rsidP="00206985">
      <w:pPr>
        <w:pStyle w:val="TEKSTI"/>
      </w:pPr>
      <w:r w:rsidRPr="007114AF">
        <w:t>Në bazë të këtij instrumenti SNAP me pjesëmarrje dhe analize SWOT, procesi i NAP-it</w:t>
      </w:r>
      <w:r w:rsidR="00330D80">
        <w:t xml:space="preserve"> </w:t>
      </w:r>
      <w:r w:rsidRPr="007114AF">
        <w:t xml:space="preserve">do të asistojë në plotësimin e boshllëqeve të identifikuara dhe do të përmbushë nevojat përmes zhvillimit të veprimeve prioritare në kapitullin 6.1. </w:t>
      </w:r>
    </w:p>
    <w:p w14:paraId="6EDCFC06" w14:textId="77777777" w:rsidR="00A9766F" w:rsidRPr="007114AF" w:rsidRDefault="00206985" w:rsidP="00206985">
      <w:pPr>
        <w:pStyle w:val="TEKSTI"/>
        <w:rPr>
          <w:b/>
        </w:rPr>
      </w:pPr>
      <w:bookmarkStart w:id="88" w:name="_Toc484424490"/>
      <w:bookmarkStart w:id="89" w:name="_Toc479083853"/>
      <w:bookmarkStart w:id="90" w:name="_Toc483570092"/>
      <w:r w:rsidRPr="007114AF">
        <w:rPr>
          <w:b/>
        </w:rPr>
        <w:t xml:space="preserve">2.8.2 </w:t>
      </w:r>
      <w:r w:rsidR="00A9766F" w:rsidRPr="007114AF">
        <w:rPr>
          <w:b/>
        </w:rPr>
        <w:t>Rezultatet e studimeve të mëparshme, vlerësimet e vulnerabilitetit dhe zhvillimet e koncepteve për përshtatjen.</w:t>
      </w:r>
      <w:bookmarkEnd w:id="88"/>
      <w:bookmarkEnd w:id="89"/>
      <w:bookmarkEnd w:id="90"/>
    </w:p>
    <w:p w14:paraId="6EDCFC07" w14:textId="77777777" w:rsidR="00A9766F" w:rsidRPr="007114AF" w:rsidRDefault="00206985" w:rsidP="00206985">
      <w:pPr>
        <w:pStyle w:val="TEKSTI"/>
        <w:rPr>
          <w:b/>
        </w:rPr>
      </w:pPr>
      <w:r w:rsidRPr="007114AF">
        <w:rPr>
          <w:b/>
        </w:rPr>
        <w:t xml:space="preserve">2.8.2.1 </w:t>
      </w:r>
      <w:r w:rsidR="00A9766F" w:rsidRPr="007114AF">
        <w:rPr>
          <w:b/>
        </w:rPr>
        <w:t xml:space="preserve">Statusi i dijeve për efektet dhe vulnerabilitetin ndaj ndryshimeve klimatike </w:t>
      </w:r>
    </w:p>
    <w:p w14:paraId="6EDCFC08" w14:textId="6C920BD4" w:rsidR="00A9766F" w:rsidRPr="007114AF" w:rsidRDefault="00A9766F" w:rsidP="00206985">
      <w:pPr>
        <w:pStyle w:val="TEKSTI"/>
      </w:pPr>
      <w:r w:rsidRPr="007114AF">
        <w:t xml:space="preserve">Shqipëria ka filluar mjaft herët të analizojë sistematikisht vulnerabilitetin ndaj ndryshimeve klimatike. Studimi i parë në këtë kuadër është kryer me 1993 për </w:t>
      </w:r>
      <w:r w:rsidR="000A2A01" w:rsidRPr="007114AF">
        <w:t>“</w:t>
      </w:r>
      <w:r w:rsidRPr="007114AF">
        <w:t>Rrjedhojat e ndryshimeve klimatike për bregdetin shqiptar</w:t>
      </w:r>
      <w:r w:rsidR="000A2A01" w:rsidRPr="007114AF">
        <w:t>”</w:t>
      </w:r>
      <w:r w:rsidRPr="007114AF">
        <w:footnoteReference w:id="35"/>
      </w:r>
      <w:r w:rsidRPr="007114AF">
        <w:t xml:space="preserve">, në kuadër të Programit të Menaxhimit të Zonave Bregdetare të UNEP/MAP-it. Komunikimi i Parë (KPK) dhe i Dytë (KDK) Kombëtar i Shqipërisë për UNFCCC-në (KPK-ja në vitin 2002 dhe KDK-ja në 2009) japin në kapitujt e tyre përkatës për vulnerabilitetin, dhe përshtatjen, informacion për skenarët e ndryshimit të klimës, analizën e efektit të ndryshimeve klimatike aktuale dhe të pritura, si edhe për vlerësimin e masave dhe </w:t>
      </w:r>
      <w:r w:rsidRPr="007114AF">
        <w:lastRenderedPageBreak/>
        <w:t>veprimeve të përshtatjes.</w:t>
      </w:r>
      <w:r w:rsidR="000A2A01" w:rsidRPr="007114AF">
        <w:t xml:space="preserve"> </w:t>
      </w:r>
      <w:r w:rsidRPr="007114AF">
        <w:t>Komunikimi i Tretë Kombëtar jep njohuri të përditësuara dhe më të hollësishme për efektet e klimës dhe zgjedhjet alternative për përshtatjen për zonën bregdetare të Shqipërisë.</w:t>
      </w:r>
    </w:p>
    <w:p w14:paraId="6EDCFC09" w14:textId="77777777" w:rsidR="00A9766F" w:rsidRPr="007114AF" w:rsidRDefault="00A9766F" w:rsidP="00206985">
      <w:pPr>
        <w:pStyle w:val="TEKSTI"/>
      </w:pPr>
      <w:r w:rsidRPr="007114AF">
        <w:t>Procesi i komunikimeve kombëtare jo vetëm që është konsideruar si një instrument për raportimin përpara UNFCCC-ës, por edhe për nxitjen e integrimit, nëpërmjet identifikimit dhe integrimit të drejtimeve kryesore të politikave për klimën në proceset kombëtare të planifikimit dhe programimit.</w:t>
      </w:r>
    </w:p>
    <w:p w14:paraId="6EDCFC0A" w14:textId="0AFF2F08" w:rsidR="00A9766F" w:rsidRPr="007114AF" w:rsidRDefault="00A9766F" w:rsidP="00206985">
      <w:pPr>
        <w:pStyle w:val="TEKSTI"/>
      </w:pPr>
      <w:r w:rsidRPr="007114AF">
        <w:t>Analiza e efektit për ndryshimet klimatike aktuale dhe të pritura, si dhe formulimi i</w:t>
      </w:r>
      <w:r w:rsidR="000A2A01" w:rsidRPr="007114AF">
        <w:t xml:space="preserve"> </w:t>
      </w:r>
      <w:r w:rsidRPr="007114AF">
        <w:t>nevojave për përshtatje, janë fokusuar në disa sektorë/sisteme:</w:t>
      </w:r>
    </w:p>
    <w:p w14:paraId="6EDCFC0B" w14:textId="69711F4D" w:rsidR="00A9766F" w:rsidRPr="007114AF" w:rsidRDefault="00782894" w:rsidP="00206985">
      <w:pPr>
        <w:pStyle w:val="TEKSTI"/>
      </w:pPr>
      <w:r w:rsidRPr="007114AF">
        <w:t xml:space="preserve">- </w:t>
      </w:r>
      <w:r w:rsidR="00A9766F" w:rsidRPr="007114AF">
        <w:t>Burimet ujore (KPK, KDK dhe KTK)</w:t>
      </w:r>
      <w:r w:rsidR="00F165B7">
        <w:t>;</w:t>
      </w:r>
    </w:p>
    <w:p w14:paraId="6EDCFC0C" w14:textId="33CAB6EC" w:rsidR="00A9766F" w:rsidRPr="007114AF" w:rsidRDefault="00782894" w:rsidP="00206985">
      <w:pPr>
        <w:pStyle w:val="TEKSTI"/>
      </w:pPr>
      <w:r w:rsidRPr="007114AF">
        <w:t xml:space="preserve">- </w:t>
      </w:r>
      <w:r w:rsidR="00A9766F" w:rsidRPr="007114AF">
        <w:t>Ekosistemet natyrore (KPK, KTK)</w:t>
      </w:r>
      <w:r w:rsidR="00F165B7">
        <w:t>;</w:t>
      </w:r>
    </w:p>
    <w:p w14:paraId="6EDCFC0D" w14:textId="26C43143" w:rsidR="00A9766F" w:rsidRPr="007114AF" w:rsidRDefault="00782894" w:rsidP="00206985">
      <w:pPr>
        <w:pStyle w:val="TEKSTI"/>
      </w:pPr>
      <w:r w:rsidRPr="007114AF">
        <w:t xml:space="preserve">- </w:t>
      </w:r>
      <w:r w:rsidR="00A9766F" w:rsidRPr="007114AF">
        <w:t>Ekosistemet e menaxhuara</w:t>
      </w:r>
      <w:r w:rsidR="00A10282">
        <w:t xml:space="preserve"> </w:t>
      </w:r>
      <w:r w:rsidR="00A9766F" w:rsidRPr="007114AF">
        <w:t>(bujqësia, pylltaria – KPK)</w:t>
      </w:r>
      <w:r w:rsidR="00F165B7">
        <w:t>;</w:t>
      </w:r>
    </w:p>
    <w:p w14:paraId="6EDCFC0E" w14:textId="3F6C04AE" w:rsidR="00A9766F" w:rsidRPr="007114AF" w:rsidRDefault="00782894" w:rsidP="00206985">
      <w:pPr>
        <w:pStyle w:val="TEKSTI"/>
      </w:pPr>
      <w:r w:rsidRPr="007114AF">
        <w:t xml:space="preserve">- </w:t>
      </w:r>
      <w:r w:rsidR="00A9766F" w:rsidRPr="007114AF">
        <w:t>Energjetika, transporti (KPK, KDK)</w:t>
      </w:r>
      <w:r w:rsidR="00F165B7">
        <w:t>;</w:t>
      </w:r>
    </w:p>
    <w:p w14:paraId="6EDCFC0F" w14:textId="2DFC5943" w:rsidR="00A9766F" w:rsidRPr="007114AF" w:rsidRDefault="00782894" w:rsidP="00206985">
      <w:pPr>
        <w:pStyle w:val="TEKSTI"/>
      </w:pPr>
      <w:r w:rsidRPr="007114AF">
        <w:t xml:space="preserve">- </w:t>
      </w:r>
      <w:r w:rsidR="00A9766F" w:rsidRPr="007114AF">
        <w:t>Turizmi (KPK, KDK dhe KTK)</w:t>
      </w:r>
      <w:r w:rsidR="00F165B7">
        <w:t>;</w:t>
      </w:r>
    </w:p>
    <w:p w14:paraId="6EDCFC10" w14:textId="44F925D9" w:rsidR="00A9766F" w:rsidRPr="007114AF" w:rsidRDefault="00782894" w:rsidP="00206985">
      <w:pPr>
        <w:pStyle w:val="TEKSTI"/>
      </w:pPr>
      <w:r w:rsidRPr="007114AF">
        <w:t xml:space="preserve">- </w:t>
      </w:r>
      <w:r w:rsidR="00A9766F" w:rsidRPr="007114AF">
        <w:t>Popullsia (KPK, KDK dhe KTK)</w:t>
      </w:r>
      <w:r w:rsidR="00F165B7">
        <w:t>;</w:t>
      </w:r>
    </w:p>
    <w:p w14:paraId="6EDCFC11" w14:textId="252DCCC0" w:rsidR="00A9766F" w:rsidRPr="007114AF" w:rsidRDefault="00782894" w:rsidP="00206985">
      <w:pPr>
        <w:pStyle w:val="TEKSTI"/>
      </w:pPr>
      <w:r w:rsidRPr="007114AF">
        <w:t xml:space="preserve">- </w:t>
      </w:r>
      <w:r w:rsidR="00A9766F" w:rsidRPr="007114AF">
        <w:t>Shëndetësia (KPK dhe KTK)</w:t>
      </w:r>
      <w:r w:rsidR="00F165B7">
        <w:t>;</w:t>
      </w:r>
    </w:p>
    <w:p w14:paraId="6EDCFC12" w14:textId="77777777" w:rsidR="00A9766F" w:rsidRPr="007114AF" w:rsidRDefault="00782894" w:rsidP="00206985">
      <w:pPr>
        <w:pStyle w:val="TEKSTI"/>
      </w:pPr>
      <w:r w:rsidRPr="007114AF">
        <w:t xml:space="preserve">- </w:t>
      </w:r>
      <w:r w:rsidR="00A9766F" w:rsidRPr="007114AF">
        <w:t>Fatkeqësitë natyrore të lidhura me klimën (KTK).</w:t>
      </w:r>
    </w:p>
    <w:p w14:paraId="6EDCFC13" w14:textId="538169C9" w:rsidR="00A9766F" w:rsidRPr="007114AF" w:rsidRDefault="00A9766F" w:rsidP="00206985">
      <w:pPr>
        <w:pStyle w:val="TEKSTI"/>
      </w:pPr>
      <w:r w:rsidRPr="007114AF">
        <w:t>Krahas komunikimeve kombëtare të gjithanshme, studimet dhe projektet sektoriale dhe rajonale sigurojnë informacion të rëndësishëm për modelimin klimatik, analizën e efekteve, vulnerabilitetet</w:t>
      </w:r>
      <w:r w:rsidR="00A10282">
        <w:t xml:space="preserve"> </w:t>
      </w:r>
      <w:r w:rsidRPr="007114AF">
        <w:t>dhe masat e mundshme të përshtatjes në Shqipëri:</w:t>
      </w:r>
    </w:p>
    <w:p w14:paraId="6EDCFC14" w14:textId="7A6258AD" w:rsidR="00A9766F" w:rsidRPr="007114AF" w:rsidRDefault="00782894" w:rsidP="00206985">
      <w:pPr>
        <w:pStyle w:val="TEKSTI"/>
      </w:pPr>
      <w:r w:rsidRPr="007114AF">
        <w:t xml:space="preserve">- </w:t>
      </w:r>
      <w:r w:rsidR="000A2A01" w:rsidRPr="007114AF">
        <w:t>“</w:t>
      </w:r>
      <w:r w:rsidR="00A9766F" w:rsidRPr="007114AF">
        <w:t>Identifikimi dhe zbatimi i masave</w:t>
      </w:r>
      <w:r w:rsidR="000A2A01" w:rsidRPr="007114AF">
        <w:t xml:space="preserve"> </w:t>
      </w:r>
      <w:r w:rsidR="00A9766F" w:rsidRPr="007114AF">
        <w:t>përshtatëse në grykëderdhjet e Drinit dhe Matit</w:t>
      </w:r>
      <w:r w:rsidR="000A2A01" w:rsidRPr="007114AF">
        <w:t>”</w:t>
      </w:r>
      <w:r w:rsidR="00A9766F" w:rsidRPr="007114AF">
        <w:t xml:space="preserve"> (GDDM)</w:t>
      </w:r>
      <w:r w:rsidR="00A9766F" w:rsidRPr="007114AF">
        <w:footnoteReference w:id="36"/>
      </w:r>
      <w:r w:rsidR="00A9766F" w:rsidRPr="007114AF">
        <w:t>: Në rezultatet e këtij projekti pilot, të mbështetur nga GEF/UNDP/Qeveria shqiptare</w:t>
      </w:r>
      <w:r w:rsidR="00456B31">
        <w:t xml:space="preserve"> </w:t>
      </w:r>
      <w:r w:rsidR="00A9766F" w:rsidRPr="007114AF">
        <w:t xml:space="preserve">përfshihen: </w:t>
      </w:r>
    </w:p>
    <w:p w14:paraId="6EDCFC15" w14:textId="29F0D684" w:rsidR="00A9766F" w:rsidRPr="007114AF" w:rsidRDefault="00A9766F" w:rsidP="00206985">
      <w:pPr>
        <w:pStyle w:val="TEKSTI"/>
      </w:pPr>
      <w:r w:rsidRPr="007114AF">
        <w:t>1. Zhvillimi i kapaciteteve për të monitoruar dhe për t</w:t>
      </w:r>
      <w:r w:rsidR="00D10DAB" w:rsidRPr="007114AF">
        <w:t>’</w:t>
      </w:r>
      <w:r w:rsidRPr="007114AF">
        <w:t>iu përgjigjur efekteve të pritura të ndryshimeve klimatike në GDDM-ë në nivel institucional dhe në nivel komuniteti; 2. Integrimi i rreziqeve</w:t>
      </w:r>
      <w:r w:rsidR="00456B31">
        <w:t xml:space="preserve"> </w:t>
      </w:r>
      <w:r w:rsidRPr="007114AF">
        <w:t>të ndryshimit të klimës dhe veprimeve vendore pilote për përshtatjen bregdetare në programet, planet dhe politikat për ruajtjen dhe zhvillimin e rajonit të GDDM-ës: 3. Zhvillimi i kapaciteteve për menaxhim, monitorim dhe vlerësim përshtatës për nxjerrjen e mësimeve dhe përhapjen e rezultateve të projektit.</w:t>
      </w:r>
    </w:p>
    <w:p w14:paraId="6EDCFC16" w14:textId="5D9897AD" w:rsidR="00A9766F" w:rsidRPr="007114AF" w:rsidRDefault="00782894" w:rsidP="00206985">
      <w:pPr>
        <w:pStyle w:val="TEKSTI"/>
      </w:pPr>
      <w:r w:rsidRPr="007114AF">
        <w:t xml:space="preserve">- </w:t>
      </w:r>
      <w:r w:rsidR="000A2A01" w:rsidRPr="007114AF">
        <w:t>“</w:t>
      </w:r>
      <w:r w:rsidR="00A9766F" w:rsidRPr="007114AF">
        <w:t>Përshtatja ndaj ndryshimeve klimatike në Ballkanin Perëndimor</w:t>
      </w:r>
      <w:r w:rsidR="000A2A01" w:rsidRPr="007114AF">
        <w:t>”</w:t>
      </w:r>
      <w:r w:rsidR="00A9766F" w:rsidRPr="007114AF">
        <w:t>: Ky projekt i mbështetur nga GIZ-i këshillon ministritë përkatëse në Shqipëri, Kosovë, Maqedoni, Malin e Zi dhe Serbi, për hartimin dhe zbatimin e strategjive për përshtatjen ndaj ndryshimeve klimatike. Në mënyrë specifike, projekti synon uljen e rreziqeve të përmbytjeve dhe thatësirës, si edhe fuqizimin e bashkëpunimit rajonal në fushën e menaxhimit të integruar të burimeve ujore.</w:t>
      </w:r>
    </w:p>
    <w:p w14:paraId="6EDCFC17" w14:textId="09CB9252" w:rsidR="00A9766F" w:rsidRPr="007114AF" w:rsidRDefault="00782894" w:rsidP="00206985">
      <w:pPr>
        <w:pStyle w:val="TEKSTI"/>
      </w:pPr>
      <w:r w:rsidRPr="007114AF">
        <w:t xml:space="preserve">- </w:t>
      </w:r>
      <w:r w:rsidR="000A2A01" w:rsidRPr="007114AF">
        <w:t>“</w:t>
      </w:r>
      <w:r w:rsidR="00A9766F" w:rsidRPr="007114AF">
        <w:t>Ulja e vulnerabilitetit ndaj ndryshimeve të klimës në sistemet agrare të Shqipërisë: Vlerësimi i ndikimit dhe alternativat për përshtatjen</w:t>
      </w:r>
      <w:r w:rsidR="000A2A01" w:rsidRPr="007114AF">
        <w:t>”</w:t>
      </w:r>
      <w:r w:rsidR="00A9766F" w:rsidRPr="007114AF">
        <w:t>. Ky projekt i mbështetur nga Banka Botërore, ofron zgjedhje alternative për t</w:t>
      </w:r>
      <w:r w:rsidR="00D10DAB" w:rsidRPr="007114AF">
        <w:t>’</w:t>
      </w:r>
      <w:r w:rsidR="00A9766F" w:rsidRPr="007114AF">
        <w:t>iu përshtatur ndryshimit të klimës, për sektorin agrar dhe atë të burimeve ujore, së bashku me masat konkrete të përshtatjes, për katër zonat e veçanta agroekologjike të Shqipërisë</w:t>
      </w:r>
      <w:r w:rsidR="00A9766F" w:rsidRPr="007114AF">
        <w:footnoteReference w:id="37"/>
      </w:r>
      <w:r w:rsidR="00A9766F" w:rsidRPr="007114AF">
        <w:t>.</w:t>
      </w:r>
    </w:p>
    <w:p w14:paraId="6EDCFC18" w14:textId="4E50BE76" w:rsidR="00A9766F" w:rsidRPr="007114AF" w:rsidRDefault="00782894" w:rsidP="00206985">
      <w:pPr>
        <w:pStyle w:val="TEKSTI"/>
      </w:pPr>
      <w:r w:rsidRPr="007114AF">
        <w:t xml:space="preserve">- </w:t>
      </w:r>
      <w:r w:rsidR="000A2A01" w:rsidRPr="007114AF">
        <w:t>“</w:t>
      </w:r>
      <w:r w:rsidR="00A9766F" w:rsidRPr="007114AF">
        <w:t>Vlerësimi i vulnerabilitetit, rreziqet</w:t>
      </w:r>
      <w:r w:rsidR="000A2A01" w:rsidRPr="007114AF">
        <w:t xml:space="preserve"> </w:t>
      </w:r>
      <w:r w:rsidR="00A9766F" w:rsidRPr="007114AF">
        <w:t>dhe përshtatja në lidhje me ndryshimet klimatike në sektorin energjetik të Shqipërisë</w:t>
      </w:r>
      <w:r w:rsidR="000A2A01" w:rsidRPr="007114AF">
        <w:t>”</w:t>
      </w:r>
      <w:r w:rsidR="00A9766F" w:rsidRPr="007114AF">
        <w:t>: Ky projekt ka ofruar rritje të njohurive teknike dhe të kapaciteteve teknike për të arritur zgjidhje energjetike të qëndrueshme nga aspekti mjedisor dhe me aftësi rimëkëmbëse,</w:t>
      </w:r>
      <w:r w:rsidR="000A2A01" w:rsidRPr="007114AF">
        <w:t xml:space="preserve"> </w:t>
      </w:r>
      <w:r w:rsidR="00A9766F" w:rsidRPr="007114AF">
        <w:t>në kuadër të uljes së varfërisë dhe rritjes ekonomike.</w:t>
      </w:r>
    </w:p>
    <w:p w14:paraId="6EDCFC19" w14:textId="77777777" w:rsidR="00A9766F" w:rsidRPr="007114AF" w:rsidRDefault="00A9766F" w:rsidP="00206985">
      <w:pPr>
        <w:pStyle w:val="TEKSTI"/>
        <w:rPr>
          <w:b/>
        </w:rPr>
      </w:pPr>
      <w:r w:rsidRPr="007114AF">
        <w:rPr>
          <w:b/>
        </w:rPr>
        <w:t>2.8.2.2 Njohuritë ekzistuese për ndryshimet klimatike, efektet e saj dhe vulnerabiliteti i Shqipërisë</w:t>
      </w:r>
    </w:p>
    <w:p w14:paraId="6EDCFC1A" w14:textId="77777777" w:rsidR="00A9766F" w:rsidRPr="007114AF" w:rsidRDefault="00A9766F" w:rsidP="00782894">
      <w:pPr>
        <w:pStyle w:val="TEKSTI"/>
      </w:pPr>
      <w:r w:rsidRPr="007114AF">
        <w:lastRenderedPageBreak/>
        <w:t>Klima e Shqipërisë është një klimë tipike mesdhetare. Karakterizohet nga dimra të butë dhe reshje të bollshme dhe nga vera të nxehta dhe pa shira. Në bazë të relievit dhe të largësisë nga deti, territori i Shqipërisë ndahet në katër zona klimatike: zona fushore mesdhetare, zona kodrinore mesdhetare, zona paramalore mesdhet</w:t>
      </w:r>
      <w:r w:rsidR="00782894" w:rsidRPr="007114AF">
        <w:t>are dhe zona malore mesdhetare.</w:t>
      </w:r>
    </w:p>
    <w:p w14:paraId="6EDCFC1B" w14:textId="77777777" w:rsidR="00A9766F" w:rsidRPr="007114AF" w:rsidRDefault="00782894" w:rsidP="00206985">
      <w:pPr>
        <w:pStyle w:val="TEKSTI"/>
        <w:rPr>
          <w:b/>
        </w:rPr>
      </w:pPr>
      <w:r w:rsidRPr="007114AF">
        <w:rPr>
          <w:noProof/>
          <w:sz w:val="20"/>
          <w:lang w:val="en-US" w:eastAsia="en-US"/>
        </w:rPr>
        <w:drawing>
          <wp:anchor distT="0" distB="0" distL="114300" distR="114300" simplePos="0" relativeHeight="251658245" behindDoc="0" locked="0" layoutInCell="1" allowOverlap="0" wp14:anchorId="6EDD17B6" wp14:editId="6EDD17B7">
            <wp:simplePos x="0" y="0"/>
            <wp:positionH relativeFrom="column">
              <wp:posOffset>2486660</wp:posOffset>
            </wp:positionH>
            <wp:positionV relativeFrom="paragraph">
              <wp:posOffset>60960</wp:posOffset>
            </wp:positionV>
            <wp:extent cx="3434715" cy="2082800"/>
            <wp:effectExtent l="0" t="0" r="0" b="0"/>
            <wp:wrapSquare wrapText="bothSides"/>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7"/>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3434715" cy="2082800"/>
                    </a:xfrm>
                    <a:prstGeom prst="rect">
                      <a:avLst/>
                    </a:prstGeom>
                    <a:noFill/>
                  </pic:spPr>
                </pic:pic>
              </a:graphicData>
            </a:graphic>
            <wp14:sizeRelH relativeFrom="margin">
              <wp14:pctWidth>0</wp14:pctWidth>
            </wp14:sizeRelH>
            <wp14:sizeRelV relativeFrom="margin">
              <wp14:pctHeight>0</wp14:pctHeight>
            </wp14:sizeRelV>
          </wp:anchor>
        </w:drawing>
      </w:r>
      <w:r w:rsidR="00A9766F" w:rsidRPr="007114AF">
        <w:rPr>
          <w:b/>
        </w:rPr>
        <w:t xml:space="preserve">Parashikimet për temperaturat </w:t>
      </w:r>
    </w:p>
    <w:p w14:paraId="6EDCFC1C" w14:textId="77777777" w:rsidR="00A9766F" w:rsidRPr="007114AF" w:rsidRDefault="00A9766F" w:rsidP="00206985">
      <w:pPr>
        <w:pStyle w:val="TEKSTI"/>
      </w:pPr>
      <w:r w:rsidRPr="007114AF">
        <w:t>Të gjitha studimet ekzistuese thonë se Shqipëria ka të ngjarë të ngrohet më shumë sipas skenarëve të IPCC-ës. Figura 27 tregon se vëzhgimet reale të bëra pas vitit 2000, kanë dëshmuar se vlerat e arritura janë të barabarta me ato që qenë parashikuar më parë për vitin 2020.</w:t>
      </w:r>
    </w:p>
    <w:p w14:paraId="6EDCFC1D" w14:textId="77777777" w:rsidR="00A9766F" w:rsidRPr="007114AF" w:rsidRDefault="00A9766F" w:rsidP="00206985">
      <w:pPr>
        <w:pStyle w:val="TEKSTI"/>
      </w:pPr>
      <w:r w:rsidRPr="00A10282">
        <w:rPr>
          <w:highlight w:val="yellow"/>
          <w:vertAlign w:val="superscript"/>
        </w:rPr>
        <w:footnoteReference w:id="38"/>
      </w:r>
      <w:r w:rsidRPr="00A10282">
        <w:rPr>
          <w:highlight w:val="yellow"/>
          <w:vertAlign w:val="superscript"/>
        </w:rPr>
        <w:t>.</w:t>
      </w:r>
      <w:r w:rsidRPr="007114AF">
        <w:t xml:space="preserve"> Në parashikimet për verën, ndryshimi i temperaturës vjetore ka të ngjarë të arrijë deri në 5,3°C (4,6 -6,0°C) deri në vitin 2100. Zona bregdetare nuk ka të ngjarë të ketë temperatura mesatare më të ulëta se 25°C, duke filluar nga viti 2050; temperatura mesatare deri në 30°C do të mbizotërojnë në të gjitha pjesët e kësaj zone nga viti 2100. Skenarët e IPCC-ës parashikojnë rritje më të ulët për temperaturat e dimrit dhe rritje më të larta për pranverën.</w:t>
      </w:r>
    </w:p>
    <w:p w14:paraId="6EDCFC1E" w14:textId="77777777" w:rsidR="00A9766F" w:rsidRPr="007114AF" w:rsidRDefault="00782894" w:rsidP="00782894">
      <w:pPr>
        <w:pStyle w:val="TEKSTI"/>
        <w:rPr>
          <w:b/>
        </w:rPr>
      </w:pPr>
      <w:r w:rsidRPr="007114AF">
        <w:rPr>
          <w:b/>
        </w:rPr>
        <w:t xml:space="preserve">Parashikimet për reshjet </w:t>
      </w:r>
      <w:r w:rsidR="00A9766F" w:rsidRPr="007114AF">
        <w:rPr>
          <w:noProof/>
          <w:lang w:val="en-US" w:eastAsia="en-US"/>
        </w:rPr>
        <w:drawing>
          <wp:anchor distT="0" distB="0" distL="114300" distR="114300" simplePos="0" relativeHeight="251658247" behindDoc="1" locked="0" layoutInCell="1" allowOverlap="1" wp14:anchorId="6EDD17B8" wp14:editId="6EDD17B9">
            <wp:simplePos x="0" y="0"/>
            <wp:positionH relativeFrom="column">
              <wp:posOffset>71120</wp:posOffset>
            </wp:positionH>
            <wp:positionV relativeFrom="paragraph">
              <wp:posOffset>56515</wp:posOffset>
            </wp:positionV>
            <wp:extent cx="3479165" cy="2585085"/>
            <wp:effectExtent l="0" t="0" r="6985" b="5715"/>
            <wp:wrapTight wrapText="bothSides">
              <wp:wrapPolygon edited="0">
                <wp:start x="0" y="0"/>
                <wp:lineTo x="0" y="21489"/>
                <wp:lineTo x="21525" y="21489"/>
                <wp:lineTo x="21525" y="0"/>
                <wp:lineTo x="0" y="0"/>
              </wp:wrapPolygon>
            </wp:wrapTight>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3479165" cy="2585085"/>
                    </a:xfrm>
                    <a:prstGeom prst="rect">
                      <a:avLst/>
                    </a:prstGeom>
                    <a:noFill/>
                  </pic:spPr>
                </pic:pic>
              </a:graphicData>
            </a:graphic>
          </wp:anchor>
        </w:drawing>
      </w:r>
    </w:p>
    <w:p w14:paraId="6EDCFC1F" w14:textId="77777777" w:rsidR="00A9766F" w:rsidRPr="007114AF" w:rsidRDefault="00A9766F" w:rsidP="00206985">
      <w:pPr>
        <w:pStyle w:val="TEKSTI"/>
      </w:pPr>
      <w:r w:rsidRPr="007114AF">
        <w:t>Figura28:Parashikimet e reshjeve vjetore, pa dhe me ndryshimin e klimës (skenari mesatar). Fusha e përhirtë tregon ndrysheshmërinë e lartë të reshjeve (5%, kuantile 95%), që dëshmon rritjen e mundshme të shpeshtësisë së reshjeve të dendura dhe thatësirës. Burimi: Projektraporti i KTK-së.</w:t>
      </w:r>
    </w:p>
    <w:p w14:paraId="6EDCFC20" w14:textId="5F09312F" w:rsidR="00A9766F" w:rsidRPr="007114AF" w:rsidRDefault="00A9766F" w:rsidP="00206985">
      <w:pPr>
        <w:pStyle w:val="TEKSTI"/>
      </w:pPr>
      <w:r w:rsidRPr="007114AF">
        <w:t>Të gjithë skenarët parashikojnë një pakësim të mundshëm të reshjeve stinore në krahasim me vitin 1990 për të gjitha periudhat krahasuese. Reshjet vjetore ka të ngjarë të pakësohen deri në -8,5% (-56,0 deri në 47,4 mm), deri në vitin 2050; dhe deri në -18,1% (-89,7 deri në 94,9 mm) brenda vitit 2100. Pavarësisht nga trendi i përgjithshëm në rënie, pritet ndryshim më i madh (vjetor dhe stinor), shoqëruar me një rritje të shpeshtësisë së reshjeve ekstreme dhe rreziqe të lidhura me klimën (</w:t>
      </w:r>
      <w:r w:rsidR="00EE091B" w:rsidRPr="007114AF">
        <w:t>f</w:t>
      </w:r>
      <w:r w:rsidRPr="007114AF">
        <w:t>igura 4). Parashikohet se, një herë në 10 vjet, mund të ndodhin dukuri të rrezikshme reshjesh në rajonin bregdetar verior (zona e Shkodrës) ndërsa në rajonin bregdetar të mesëm dhe jugor pritet të ndodhin një herë në 20 vjet. Megjithëse numri i dukurive të reshjeve</w:t>
      </w:r>
      <w:r w:rsidR="000A2A01" w:rsidRPr="007114AF">
        <w:t xml:space="preserve"> </w:t>
      </w:r>
      <w:r w:rsidRPr="007114AF">
        <w:t>ekstreme</w:t>
      </w:r>
      <w:r w:rsidR="000A2A01" w:rsidRPr="007114AF">
        <w:t xml:space="preserve"> </w:t>
      </w:r>
      <w:r w:rsidRPr="007114AF">
        <w:t>pritet të rritet, sa i takon shkallës dhe shpeshtësisë, ulja e niveleve të reshjeve në përgjithësi, do të rrisë numrin e ditëve të njëpasnjëshme pa reshje (thatësirë). Numri maksimal i ditëve me thatësirë ka të ngjarë të jetë më i madh në pjesën veriore (23 ditë) dhe deri në 15 ditë më në jug, brenda vitit 2100 në krahasim me periudhën krahasuese 1960-1990.</w:t>
      </w:r>
    </w:p>
    <w:p w14:paraId="6EDCFC21" w14:textId="77777777" w:rsidR="00A9766F" w:rsidRPr="007114AF" w:rsidRDefault="00A9766F" w:rsidP="00206985">
      <w:pPr>
        <w:pStyle w:val="TEKSTI"/>
        <w:rPr>
          <w:b/>
        </w:rPr>
      </w:pPr>
    </w:p>
    <w:p w14:paraId="6EDCFC22" w14:textId="77777777" w:rsidR="00617388" w:rsidRPr="007114AF" w:rsidRDefault="00617388" w:rsidP="00206985">
      <w:pPr>
        <w:pStyle w:val="TEKSTI"/>
        <w:rPr>
          <w:b/>
        </w:rPr>
      </w:pPr>
    </w:p>
    <w:p w14:paraId="6EDCFC23" w14:textId="77777777" w:rsidR="00617388" w:rsidRPr="007114AF" w:rsidRDefault="00617388" w:rsidP="00206985">
      <w:pPr>
        <w:pStyle w:val="TEKSTI"/>
        <w:rPr>
          <w:b/>
        </w:rPr>
      </w:pPr>
    </w:p>
    <w:p w14:paraId="6EDCFC24" w14:textId="77777777" w:rsidR="00A9766F" w:rsidRPr="007114AF" w:rsidRDefault="00A9766F" w:rsidP="00206985">
      <w:pPr>
        <w:pStyle w:val="TEKSTI"/>
        <w:rPr>
          <w:b/>
        </w:rPr>
      </w:pPr>
      <w:r w:rsidRPr="007114AF">
        <w:rPr>
          <w:b/>
        </w:rPr>
        <w:t xml:space="preserve">Parashikimet për ngritjen e nivelit të detit </w:t>
      </w:r>
    </w:p>
    <w:p w14:paraId="6EDCFC25" w14:textId="77777777" w:rsidR="00A9766F" w:rsidRPr="007114AF" w:rsidRDefault="00A9766F" w:rsidP="00206985">
      <w:pPr>
        <w:pStyle w:val="TEKSTI"/>
      </w:pPr>
      <w:r w:rsidRPr="007114AF">
        <w:t>Rritja e parashikuar e nivelit të detit (shih figurën 29) do të sjellë rreziqe më të larta të përmbytjes për shumicën e zonave urbane në bregdet dhe rritje të rreziqeve të erozionit bregdetar.</w:t>
      </w:r>
    </w:p>
    <w:p w14:paraId="6EDCFC26" w14:textId="77777777" w:rsidR="00A9766F" w:rsidRPr="007114AF" w:rsidRDefault="00A9766F" w:rsidP="00A9766F">
      <w:pPr>
        <w:pStyle w:val="Standardtextbody"/>
        <w:jc w:val="both"/>
        <w:rPr>
          <w:rFonts w:ascii="Garamond" w:hAnsi="Garamond"/>
          <w:lang w:val="sq-AL"/>
        </w:rPr>
      </w:pPr>
      <w:r w:rsidRPr="007114AF">
        <w:rPr>
          <w:rFonts w:ascii="Garamond" w:eastAsiaTheme="minorEastAsia" w:hAnsi="Garamond"/>
          <w:noProof/>
        </w:rPr>
        <w:drawing>
          <wp:anchor distT="0" distB="0" distL="114300" distR="114300" simplePos="0" relativeHeight="251658243" behindDoc="0" locked="0" layoutInCell="1" allowOverlap="1" wp14:anchorId="6EDD17BA" wp14:editId="6EDD17BB">
            <wp:simplePos x="0" y="0"/>
            <wp:positionH relativeFrom="column">
              <wp:posOffset>34290</wp:posOffset>
            </wp:positionH>
            <wp:positionV relativeFrom="paragraph">
              <wp:posOffset>76200</wp:posOffset>
            </wp:positionV>
            <wp:extent cx="3200400" cy="2007870"/>
            <wp:effectExtent l="0" t="0" r="0" b="0"/>
            <wp:wrapSquare wrapText="bothSides"/>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8"/>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3200400" cy="2007870"/>
                    </a:xfrm>
                    <a:prstGeom prst="rect">
                      <a:avLst/>
                    </a:prstGeom>
                    <a:noFill/>
                  </pic:spPr>
                </pic:pic>
              </a:graphicData>
            </a:graphic>
          </wp:anchor>
        </w:drawing>
      </w:r>
    </w:p>
    <w:p w14:paraId="6EDCFC27" w14:textId="6C72EAA2" w:rsidR="00A9766F" w:rsidRPr="007114AF" w:rsidRDefault="00A9766F" w:rsidP="00206985">
      <w:pPr>
        <w:pStyle w:val="FIGURA"/>
      </w:pPr>
      <w:r w:rsidRPr="007114AF">
        <w:t>Figur</w:t>
      </w:r>
      <w:r w:rsidR="00A10282">
        <w:t>a</w:t>
      </w:r>
      <w:r w:rsidRPr="007114AF">
        <w:t xml:space="preserve"> 29: Ndryshimet e mundshme në nivelin mesatar vjetor të detit (cm) </w:t>
      </w:r>
    </w:p>
    <w:p w14:paraId="6EDCFC28" w14:textId="77777777" w:rsidR="00617388" w:rsidRPr="007114AF" w:rsidRDefault="00617388" w:rsidP="00206985">
      <w:pPr>
        <w:pStyle w:val="TEKSTI"/>
        <w:rPr>
          <w:sz w:val="12"/>
        </w:rPr>
      </w:pPr>
    </w:p>
    <w:p w14:paraId="6EDCFC29" w14:textId="43DA529A" w:rsidR="00A9766F" w:rsidRPr="007114AF" w:rsidRDefault="00A9766F" w:rsidP="00206985">
      <w:pPr>
        <w:pStyle w:val="TEKSTI"/>
      </w:pPr>
      <w:r w:rsidRPr="007114AF">
        <w:t>Si pasojë e rritjes së nivelit të detit, niveli i lumenjve pritet të rritet në pjesët e poshtme të baseneve lumore dhe prurjet të ngadalësohen. Gjithsej, deri në vitin 2030 afërsisht 1082,45 km2 (32% e sipërfaqes së zonave bregdetare ose 3,76% e sipërfaqes së vendit) do të vuajë pasojat e drejtpërdrejta të përmbytjeve. Do të humbasin sipërfaqe të mëdha toke bujqësore të cilat nuk do të përdoren dot më, për shkak të mbulimit me ujë dhe të rritjes së sasisë së kripës në të. Shumica e habitat</w:t>
      </w:r>
      <w:r w:rsidR="00773485">
        <w:t>e</w:t>
      </w:r>
      <w:r w:rsidRPr="007114AF">
        <w:t>ve bregdetare, si dunat e rërës, ligatinat me ujë të ëmbël dhe të kripur, kënetat dhe lagunat, do të zhduken</w:t>
      </w:r>
      <w:r w:rsidR="00773485">
        <w:t xml:space="preserve"> </w:t>
      </w:r>
      <w:r w:rsidRPr="007114AF">
        <w:t>ose do të përkeqësohet më tej statusi i tyre. Vija bregdetare e Adriatikut do të futet më në brendësi të tokës, erozioni bregdetar do të intensifikohet, ndërsa migrimi nga ligatinat bregdetare dhe habitatet e tjera në brendësi të tokës</w:t>
      </w:r>
      <w:r w:rsidR="00773485">
        <w:t xml:space="preserve"> </w:t>
      </w:r>
      <w:r w:rsidRPr="007114AF">
        <w:t xml:space="preserve">do të pengohet nga argjinaturat dhe veprat e kullimit të ndërtuara në kuadër të veprave të bonifikimit gjatë viteve </w:t>
      </w:r>
      <w:r w:rsidR="00D10DAB" w:rsidRPr="007114AF">
        <w:t>‘</w:t>
      </w:r>
      <w:r w:rsidRPr="007114AF">
        <w:t>50</w:t>
      </w:r>
      <w:r w:rsidR="00773485">
        <w:t>–</w:t>
      </w:r>
      <w:r w:rsidR="00D10DAB" w:rsidRPr="007114AF">
        <w:t>’</w:t>
      </w:r>
      <w:r w:rsidRPr="007114AF">
        <w:t>60 të shekullit të shkuar.</w:t>
      </w:r>
    </w:p>
    <w:p w14:paraId="6EDCFC2A" w14:textId="5F786F61" w:rsidR="00A9766F" w:rsidRPr="007114AF" w:rsidRDefault="00A9766F" w:rsidP="00206985">
      <w:pPr>
        <w:pStyle w:val="TEKSTI"/>
        <w:rPr>
          <w:b/>
          <w:i/>
        </w:rPr>
      </w:pPr>
      <w:r w:rsidRPr="007114AF">
        <w:rPr>
          <w:b/>
          <w:i/>
        </w:rPr>
        <w:t>SHËNIM</w:t>
      </w:r>
      <w:r w:rsidR="00773485">
        <w:rPr>
          <w:b/>
          <w:i/>
        </w:rPr>
        <w:t>.</w:t>
      </w:r>
      <w:r w:rsidRPr="007114AF">
        <w:rPr>
          <w:b/>
          <w:i/>
        </w:rPr>
        <w:t xml:space="preserve"> Informacione të hollësishme për studimet kërkimore më të fundit për parashikimet e ndryshimeve klimatike dhe efektin e pritur do të jepen në raportin e Komunikimit të Tretë Kombëtar të Shqipërisë për UNFCCC-ën.</w:t>
      </w:r>
    </w:p>
    <w:p w14:paraId="6EDCFC2B" w14:textId="77777777" w:rsidR="00206985" w:rsidRPr="007114AF" w:rsidRDefault="00206985" w:rsidP="00206985">
      <w:pPr>
        <w:pStyle w:val="TEKSTI"/>
        <w:rPr>
          <w:b/>
          <w:sz w:val="20"/>
          <w:szCs w:val="20"/>
        </w:rPr>
      </w:pPr>
    </w:p>
    <w:p w14:paraId="6EDCFC2C" w14:textId="77777777" w:rsidR="00A9766F" w:rsidRPr="007114AF" w:rsidRDefault="00206985" w:rsidP="00206985">
      <w:pPr>
        <w:pStyle w:val="TEKSTI"/>
        <w:rPr>
          <w:b/>
        </w:rPr>
      </w:pPr>
      <w:r w:rsidRPr="007114AF">
        <w:rPr>
          <w:b/>
        </w:rPr>
        <w:t xml:space="preserve">2.8.2.3 </w:t>
      </w:r>
      <w:r w:rsidR="00A9766F" w:rsidRPr="007114AF">
        <w:rPr>
          <w:b/>
        </w:rPr>
        <w:t>Njohuritë ekzistuese për vulnerabilitetin</w:t>
      </w:r>
    </w:p>
    <w:p w14:paraId="6EDCFC2D" w14:textId="0B81B620" w:rsidR="00A9766F" w:rsidRPr="007114AF" w:rsidRDefault="00A9766F" w:rsidP="00206985">
      <w:pPr>
        <w:pStyle w:val="TEKSTI"/>
      </w:pPr>
      <w:r w:rsidRPr="007114AF">
        <w:t>Disa studime, si edhe Komunikimi i Parë, i Dytë dhe i Tretë, japin një pamje të qartë për vulnerabilitetet ndaj</w:t>
      </w:r>
      <w:r w:rsidR="000A2A01" w:rsidRPr="007114AF">
        <w:t xml:space="preserve"> </w:t>
      </w:r>
      <w:r w:rsidRPr="007114AF">
        <w:t xml:space="preserve">ndryshimeve klimatike në Shqipëri. Shumë elemente të prekshmërisë kanë të bëjnë me sektorët e veprimtarive shoqëroro-ekonomike. Përmbledhja e mëposhtme pasqyron kryesisht situatën aktuale, për shembull, ato fusha të vulnerabilitetit që janë të dukshme që tani. Megjithatë, shumica e efekteve mund të parashikohen se do të rriten në shkallë në të ardhmen. </w:t>
      </w:r>
    </w:p>
    <w:p w14:paraId="6EDCFC2E" w14:textId="77777777" w:rsidR="00A9766F" w:rsidRPr="007114AF" w:rsidRDefault="00617388" w:rsidP="00206985">
      <w:pPr>
        <w:pStyle w:val="TEKSTI"/>
      </w:pPr>
      <w:r w:rsidRPr="007114AF">
        <w:rPr>
          <w:b/>
        </w:rPr>
        <w:t xml:space="preserve">- </w:t>
      </w:r>
      <w:r w:rsidR="00A9766F" w:rsidRPr="007114AF">
        <w:rPr>
          <w:b/>
        </w:rPr>
        <w:t>Sistemet hidrologjike:</w:t>
      </w:r>
      <w:r w:rsidR="00A9766F" w:rsidRPr="007114AF">
        <w:t xml:space="preserve"> Ndryshimi i reshjeve ose shkrirja e borës po i ndryshon sistemet hidrologjike, duke prekur burimet ujore në sasi dhe në cilësi (siç është rasti i akuifereve të Matit).</w:t>
      </w:r>
    </w:p>
    <w:p w14:paraId="6EDCFC2F" w14:textId="77777777" w:rsidR="00A9766F" w:rsidRPr="007114AF" w:rsidRDefault="00617388" w:rsidP="00206985">
      <w:pPr>
        <w:pStyle w:val="TEKSTI"/>
      </w:pPr>
      <w:r w:rsidRPr="007114AF">
        <w:rPr>
          <w:b/>
        </w:rPr>
        <w:t xml:space="preserve">- </w:t>
      </w:r>
      <w:r w:rsidR="00A9766F" w:rsidRPr="007114AF">
        <w:rPr>
          <w:b/>
        </w:rPr>
        <w:t>Bujqësia</w:t>
      </w:r>
      <w:r w:rsidR="00A9766F" w:rsidRPr="007114AF">
        <w:t>: Efektet negative të ndryshimit klimatik te rendimentet e kulturave bujqësore, kanë qenë më të shumta se efektet pozitive. Efektet mund të vijnë nga ndryshimi i temperaturave, reshjeve, sistemeve hidrologjike (për shembull, sistemet e ujitjes), cilësisë së tokës, erozionit dhe dukurive të motit ekstrem. Ndryshimet klimatike ka dhënë tashmë efekte negative në rendimentin e grurit, misrit dhe të kulturave të tjera në shumë krahina, si: Shkodra, Lezha, Lushnja, Fieri dhe Vlora. Disa periudha me rritje të shpejtë të çmimeve të ushqimeve dhe drithërave pas dukurive ekstreme të motit, në disa krahina bujqësore, tregojnë dhe ndjeshmërinë e tregjeve të tanishme nga moti ekstrem, ndër faktorë të tjerë.</w:t>
      </w:r>
    </w:p>
    <w:p w14:paraId="6EDCFC30" w14:textId="1F5941AC" w:rsidR="00A9766F" w:rsidRPr="007114AF" w:rsidRDefault="00617388" w:rsidP="00206985">
      <w:pPr>
        <w:pStyle w:val="TEKSTI"/>
      </w:pPr>
      <w:r w:rsidRPr="007114AF">
        <w:rPr>
          <w:b/>
        </w:rPr>
        <w:t xml:space="preserve">- </w:t>
      </w:r>
      <w:r w:rsidR="00A9766F" w:rsidRPr="007114AF">
        <w:rPr>
          <w:b/>
        </w:rPr>
        <w:t>Energjetika:</w:t>
      </w:r>
      <w:r w:rsidR="00A9766F" w:rsidRPr="007114AF">
        <w:t xml:space="preserve"> Përqindja e lartë që zënë burimet hidroenergjetike (lumi Drin prodhon rreth 90% të energjisë elektrike që përdoret nga industria dhe konsumatorët familjarë në Shqipëri) nënkupton efekte të drejtpërdrejta që mund të kenë ndryshimet e sistemeve hidroenergjetike te prodhimi i energjisë. Prodhimi i energjisë elektrike mund të shkojë nga thuajse 6.000 GWh në më pak se një e dyta e kësaj sasie në vite me shumë thatësirë. Ndryshimet klimatike kanë të ngjarë të </w:t>
      </w:r>
      <w:r w:rsidR="00A9766F" w:rsidRPr="007114AF">
        <w:lastRenderedPageBreak/>
        <w:t>kenë një efekt negativ në prodhimin hidroenergjetik, deri në vitin 2050; prodhimi mesatar vjetor i energjisë elektrike nga HEC-et e mëdhenj të Shqipërisë, mund të bjerë me rreth 15% dhe nga HEC-et e vegjël</w:t>
      </w:r>
      <w:r w:rsidR="000A2A01" w:rsidRPr="007114AF">
        <w:t xml:space="preserve"> </w:t>
      </w:r>
      <w:r w:rsidR="00A9766F" w:rsidRPr="007114AF">
        <w:t>me rreth 20%.</w:t>
      </w:r>
    </w:p>
    <w:p w14:paraId="6EDCFC31" w14:textId="77777777" w:rsidR="00A9766F" w:rsidRPr="007114AF" w:rsidRDefault="00617388" w:rsidP="00206985">
      <w:pPr>
        <w:pStyle w:val="TEKSTI"/>
      </w:pPr>
      <w:r w:rsidRPr="007114AF">
        <w:rPr>
          <w:b/>
        </w:rPr>
        <w:t xml:space="preserve">- </w:t>
      </w:r>
      <w:r w:rsidR="00A9766F" w:rsidRPr="007114AF">
        <w:rPr>
          <w:b/>
        </w:rPr>
        <w:t>Shëndetësia:</w:t>
      </w:r>
      <w:r w:rsidR="00A9766F" w:rsidRPr="007114AF">
        <w:t xml:space="preserve"> Ka pasur rritje të vdekshmërisë së lidhur me motin e nxehtë dhe me motin e ftohtë në disa rajone, si pasojë e ndryshimeve klimatike. Ndryshimet lokale të temperaturave dhe shirave e kanë modifikuar përhapjen e disa sëmundjeve që transmetohen përmes ujit dhe të disa vektorë sëmundjeve. Megjithatë, statistikat nuk janë ende të qarta lidhur me shkaqet.</w:t>
      </w:r>
    </w:p>
    <w:p w14:paraId="6EDCFC32" w14:textId="003D81A7" w:rsidR="00A9766F" w:rsidRPr="007114AF" w:rsidRDefault="00617388" w:rsidP="00206985">
      <w:pPr>
        <w:pStyle w:val="TEKSTI"/>
      </w:pPr>
      <w:r w:rsidRPr="007114AF">
        <w:rPr>
          <w:b/>
        </w:rPr>
        <w:t xml:space="preserve">- </w:t>
      </w:r>
      <w:r w:rsidR="00A9766F" w:rsidRPr="007114AF">
        <w:rPr>
          <w:b/>
        </w:rPr>
        <w:t>Vulnerabiliteti social:</w:t>
      </w:r>
      <w:r w:rsidR="00A9766F" w:rsidRPr="007114AF">
        <w:t xml:space="preserve"> Pabarazitë dhe vulnerabiliteti social, që vijnë si rrjedhojë e proceseve me zhvillim jo të njëjtë, i rëndojnë rreziqet</w:t>
      </w:r>
      <w:r w:rsidR="00D75679">
        <w:t xml:space="preserve"> </w:t>
      </w:r>
      <w:r w:rsidR="00A9766F" w:rsidRPr="007114AF">
        <w:t>nga ndryshimet klimatike. Personat në rrezik përjashtimi social janë sidomos të prekshëm nga ndryshimet klimatike, siç është parë në vendbanimet e paligjshme në brigjet e lumenjve dhe komunitetet periferike të Tiranës, në kënetë të Durrësit, në Mifol dhe në rrethinat e Vlorës, Shkodrës dhe Lezhës.</w:t>
      </w:r>
    </w:p>
    <w:p w14:paraId="6EDCFC33" w14:textId="3A2388A2" w:rsidR="00A9766F" w:rsidRPr="007114AF" w:rsidRDefault="00617388" w:rsidP="00206985">
      <w:pPr>
        <w:pStyle w:val="TEKSTI"/>
      </w:pPr>
      <w:r w:rsidRPr="007114AF">
        <w:rPr>
          <w:b/>
        </w:rPr>
        <w:t xml:space="preserve">- </w:t>
      </w:r>
      <w:r w:rsidR="00A9766F" w:rsidRPr="007114AF">
        <w:rPr>
          <w:b/>
        </w:rPr>
        <w:t>Pyjet:</w:t>
      </w:r>
      <w:r w:rsidR="00A9766F" w:rsidRPr="007114AF">
        <w:t xml:space="preserve"> Zjarret e pakontrolluara kanë qenë të pranishme përpara disa vjetësh në zonën e lisnajave,</w:t>
      </w:r>
      <w:r w:rsidR="00D75679">
        <w:t xml:space="preserve"> </w:t>
      </w:r>
      <w:r w:rsidR="00A9766F" w:rsidRPr="007114AF">
        <w:t>por nuk ka prova të qarta për shkaqet e tyre (sigurisht që këto zjarre ndihmohen nga efektet e lidhura me klimën).</w:t>
      </w:r>
    </w:p>
    <w:p w14:paraId="6EDCFC34" w14:textId="77777777" w:rsidR="00A9766F" w:rsidRPr="007114AF" w:rsidRDefault="00617388" w:rsidP="00206985">
      <w:pPr>
        <w:pStyle w:val="TEKSTI"/>
      </w:pPr>
      <w:r w:rsidRPr="007114AF">
        <w:rPr>
          <w:b/>
        </w:rPr>
        <w:t xml:space="preserve">- </w:t>
      </w:r>
      <w:r w:rsidR="00A9766F" w:rsidRPr="007114AF">
        <w:rPr>
          <w:b/>
        </w:rPr>
        <w:t>Rreziqet dhe fatkeqësitë e lidhura me klimën:</w:t>
      </w:r>
      <w:r w:rsidR="00A9766F" w:rsidRPr="007114AF">
        <w:t xml:space="preserve"> Rritja e shpeshtësisë së përmbytjeve, thatësirës dhe dukurive të tjera ekstreme i përkeqësojnë faktorët e tjerë, shpesh me rezultate negative për infrastrukturën, sektorët e prodhimit dhe mjetet e jetesës së popullsisë, sidomos për komunitetet në rrezik përjashtimi social. Rreziqet e lidhura me klimën mund të prekin drejtpërdrejt jetën e njerëzve ose tërthorazi, nëpërmjet pasigurisë ushqimore, ndërprerjes së furnizimit me ujë të pijshëm dhe energji elektrike, shkatërrimit të shtëpive etj.</w:t>
      </w:r>
    </w:p>
    <w:p w14:paraId="6EDCFC35" w14:textId="6743AB20" w:rsidR="00A9766F" w:rsidRPr="007114AF" w:rsidRDefault="00617388" w:rsidP="00206985">
      <w:pPr>
        <w:pStyle w:val="TEKSTI"/>
      </w:pPr>
      <w:r w:rsidRPr="007114AF">
        <w:rPr>
          <w:b/>
        </w:rPr>
        <w:t xml:space="preserve">- </w:t>
      </w:r>
      <w:r w:rsidR="00A9766F" w:rsidRPr="007114AF">
        <w:rPr>
          <w:b/>
        </w:rPr>
        <w:t>Ekosistemet:</w:t>
      </w:r>
      <w:r w:rsidR="00A9766F" w:rsidRPr="007114AF">
        <w:t xml:space="preserve"> Ndryshimet e klimës kanë shkaktuar efekte në sistemet natyrore, të cilat janë të dukshme që tani në lagunat dhe zonat e mbrojtura bregdetare (që nga lumi i Bunës deri te lumi i Pavlës), si edhe në basenet lumore në ultësirë (shpeshtësia është më e madhe në lumenjtë Drin, Bunë dhe Vjosë). Dëshmitë për efektet e ndryshimeve klimatike janë më të forta dhe më të plota për sistemet natyrore, përfshirë zonat e mbrojtura bregdetare (p.sh. në Kune</w:t>
      </w:r>
      <w:r w:rsidR="00D75679">
        <w:t>–</w:t>
      </w:r>
      <w:r w:rsidR="00A9766F" w:rsidRPr="007114AF">
        <w:t>Vain).</w:t>
      </w:r>
    </w:p>
    <w:p w14:paraId="6EDCFC36" w14:textId="77777777" w:rsidR="00A9766F" w:rsidRPr="007114AF" w:rsidRDefault="00617388" w:rsidP="00206985">
      <w:pPr>
        <w:pStyle w:val="TEKSTI"/>
      </w:pPr>
      <w:r w:rsidRPr="007114AF">
        <w:rPr>
          <w:b/>
        </w:rPr>
        <w:t xml:space="preserve">- </w:t>
      </w:r>
      <w:r w:rsidR="00A9766F" w:rsidRPr="007114AF">
        <w:rPr>
          <w:b/>
        </w:rPr>
        <w:t>Speciet:</w:t>
      </w:r>
      <w:r w:rsidR="00A9766F" w:rsidRPr="007114AF">
        <w:t xml:space="preserve"> Shumë specie të tokës, ujërave të ëmbla dhe ujërave detare i kanë ndryshuar territoret e tyre, aktivitetet stinore, skemat e shtegtimit, numrin e popullatës dhe ndërveprimet mes specieve, si kundërpërgjigje ndaj ndryshimeve klimatike. E zakonshme po bëhet në Shqipëri hyrja në numër të madh e breshkave të detit </w:t>
      </w:r>
      <w:r w:rsidR="00A9766F" w:rsidRPr="007114AF">
        <w:rPr>
          <w:i/>
        </w:rPr>
        <w:t>Caretta caretta</w:t>
      </w:r>
      <w:r w:rsidR="00A9766F" w:rsidRPr="007114AF">
        <w:t>, në lagunën e Patokut, krahas hyrjeve të tjera të shumta të specieve të huaja (peshq, gaforre etj.).</w:t>
      </w:r>
    </w:p>
    <w:p w14:paraId="6EDCFC37" w14:textId="77777777" w:rsidR="00A9766F" w:rsidRPr="007114AF" w:rsidRDefault="00617388" w:rsidP="00206985">
      <w:pPr>
        <w:pStyle w:val="TEKSTI"/>
      </w:pPr>
      <w:r w:rsidRPr="007114AF">
        <w:rPr>
          <w:b/>
        </w:rPr>
        <w:t xml:space="preserve">- </w:t>
      </w:r>
      <w:r w:rsidR="00A9766F" w:rsidRPr="007114AF">
        <w:rPr>
          <w:b/>
        </w:rPr>
        <w:t>Turizmi:</w:t>
      </w:r>
      <w:r w:rsidR="00A9766F" w:rsidRPr="007114AF">
        <w:t xml:space="preserve"> Ky sektor është i ekspozuar ndaj efekteve të shumta të drejtpërdrejta dhe të tërthorta nga ndryshimi i klimës. Rritja e nivelit të detit do ta rrezikojë infrastrukturën turistike dhe pikat turistike natyrore.</w:t>
      </w:r>
    </w:p>
    <w:p w14:paraId="6EDCFC38" w14:textId="77777777" w:rsidR="00A9766F" w:rsidRPr="007114AF" w:rsidRDefault="00206985" w:rsidP="00206985">
      <w:pPr>
        <w:pStyle w:val="TEKSTI"/>
        <w:rPr>
          <w:b/>
        </w:rPr>
      </w:pPr>
      <w:bookmarkStart w:id="92" w:name="_Toc484424491"/>
      <w:bookmarkStart w:id="93" w:name="_Toc483570093"/>
      <w:r w:rsidRPr="007114AF">
        <w:rPr>
          <w:b/>
        </w:rPr>
        <w:t xml:space="preserve">2.9 </w:t>
      </w:r>
      <w:r w:rsidR="00A9766F" w:rsidRPr="007114AF">
        <w:rPr>
          <w:b/>
        </w:rPr>
        <w:t>Parimet e NAP-it</w:t>
      </w:r>
      <w:bookmarkEnd w:id="92"/>
      <w:bookmarkEnd w:id="93"/>
    </w:p>
    <w:p w14:paraId="6EDCFC39" w14:textId="77777777" w:rsidR="00A9766F" w:rsidRPr="007114AF" w:rsidRDefault="00206985" w:rsidP="00206985">
      <w:pPr>
        <w:pStyle w:val="TEKSTI"/>
        <w:rPr>
          <w:b/>
        </w:rPr>
      </w:pPr>
      <w:bookmarkStart w:id="94" w:name="_Toc484424492"/>
      <w:bookmarkStart w:id="95" w:name="_Toc483570094"/>
      <w:r w:rsidRPr="007114AF">
        <w:rPr>
          <w:b/>
        </w:rPr>
        <w:t xml:space="preserve">2.9.1 </w:t>
      </w:r>
      <w:r w:rsidR="00A9766F" w:rsidRPr="007114AF">
        <w:rPr>
          <w:b/>
        </w:rPr>
        <w:t>Mesazhet kryesore</w:t>
      </w:r>
      <w:bookmarkEnd w:id="94"/>
      <w:bookmarkEnd w:id="95"/>
    </w:p>
    <w:p w14:paraId="6EDCFC3A" w14:textId="77777777" w:rsidR="00A9766F" w:rsidRPr="007114AF" w:rsidRDefault="00A9766F" w:rsidP="00206985">
      <w:pPr>
        <w:pStyle w:val="TEKSTI"/>
      </w:pPr>
      <w:r w:rsidRPr="007114AF">
        <w:t>Procesi i NAP-it për Shqipërinë ndjek këto parime:</w:t>
      </w:r>
    </w:p>
    <w:p w14:paraId="6EDCFC3B" w14:textId="30CADAAD" w:rsidR="00A9766F" w:rsidRPr="007114AF" w:rsidRDefault="00617388" w:rsidP="00206985">
      <w:pPr>
        <w:pStyle w:val="TEKSTI"/>
      </w:pPr>
      <w:r w:rsidRPr="007114AF">
        <w:t xml:space="preserve">- </w:t>
      </w:r>
      <w:r w:rsidR="00A9766F" w:rsidRPr="007114AF">
        <w:t>NAP-i kuptohet kryesisht si një proces që zgjat shumë për të cilin ky dokument ofron elementet kuadër,</w:t>
      </w:r>
      <w:r w:rsidR="000A2A01" w:rsidRPr="007114AF">
        <w:t xml:space="preserve"> </w:t>
      </w:r>
      <w:r w:rsidR="00A9766F" w:rsidRPr="007114AF">
        <w:t>si: parimet, objektivat, treguesit, veprimet prioritare dhe elementet e procesit.</w:t>
      </w:r>
    </w:p>
    <w:p w14:paraId="6EDCFC3C" w14:textId="77777777" w:rsidR="00A9766F" w:rsidRPr="007114AF" w:rsidRDefault="00617388" w:rsidP="00206985">
      <w:pPr>
        <w:pStyle w:val="TEKSTI"/>
      </w:pPr>
      <w:r w:rsidRPr="007114AF">
        <w:t xml:space="preserve">- </w:t>
      </w:r>
      <w:r w:rsidR="00A9766F" w:rsidRPr="007114AF">
        <w:t>Ofron një kuadër për integrimin e synuar.</w:t>
      </w:r>
    </w:p>
    <w:p w14:paraId="6EDCFC3D" w14:textId="77777777" w:rsidR="00A9766F" w:rsidRPr="007114AF" w:rsidRDefault="00617388" w:rsidP="00206985">
      <w:pPr>
        <w:pStyle w:val="TEKSTI"/>
      </w:pPr>
      <w:r w:rsidRPr="007114AF">
        <w:t xml:space="preserve">- </w:t>
      </w:r>
      <w:r w:rsidR="00A9766F" w:rsidRPr="007114AF">
        <w:t>Vendos një kuadër zbatimi.</w:t>
      </w:r>
    </w:p>
    <w:p w14:paraId="6EDCFC3E" w14:textId="77777777" w:rsidR="00A9766F" w:rsidRPr="007114AF" w:rsidRDefault="00617388" w:rsidP="00206985">
      <w:pPr>
        <w:pStyle w:val="TEKSTI"/>
      </w:pPr>
      <w:r w:rsidRPr="007114AF">
        <w:t xml:space="preserve">- </w:t>
      </w:r>
      <w:r w:rsidR="00A9766F" w:rsidRPr="007114AF">
        <w:t>Mbështet mundësinë për të marrë financim sistematik nëpërmjet një dokumenti financiar.</w:t>
      </w:r>
    </w:p>
    <w:p w14:paraId="6EDCFC3F" w14:textId="2E48F0B0" w:rsidR="00A9766F" w:rsidRPr="007114AF" w:rsidRDefault="00617388" w:rsidP="00206985">
      <w:pPr>
        <w:pStyle w:val="TEKSTI"/>
      </w:pPr>
      <w:r w:rsidRPr="007114AF">
        <w:t xml:space="preserve">- </w:t>
      </w:r>
      <w:r w:rsidR="00D75679" w:rsidRPr="007114AF">
        <w:t>Është</w:t>
      </w:r>
      <w:r w:rsidR="00A9766F" w:rsidRPr="007114AF">
        <w:t xml:space="preserve"> një katalizator për pjesëmarrjen dhe ndërgjegjësimin.</w:t>
      </w:r>
    </w:p>
    <w:p w14:paraId="6EDCFC40" w14:textId="77777777" w:rsidR="00A9766F" w:rsidRPr="007114AF" w:rsidRDefault="00617388" w:rsidP="00206985">
      <w:pPr>
        <w:pStyle w:val="TEKSTI"/>
      </w:pPr>
      <w:r w:rsidRPr="007114AF">
        <w:t xml:space="preserve">- </w:t>
      </w:r>
      <w:r w:rsidR="00A9766F" w:rsidRPr="007114AF">
        <w:t>Dokumenti Strategjik BE-IPA II Procesi në lidhje me Strategjinë e BE-së për Përshtatjen ndaj Ndryshimeve Klimatike është një udhëzues i rëndësishëm për integrimin e veprimeve për klimën në kuadër të procesit të anëtarësimit në BE.</w:t>
      </w:r>
    </w:p>
    <w:p w14:paraId="6EDCFC41" w14:textId="77777777" w:rsidR="00A9766F" w:rsidRPr="007114AF" w:rsidRDefault="00206985" w:rsidP="00206985">
      <w:pPr>
        <w:pStyle w:val="TEKSTI"/>
        <w:rPr>
          <w:b/>
        </w:rPr>
      </w:pPr>
      <w:bookmarkStart w:id="96" w:name="_Toc484424493"/>
      <w:bookmarkStart w:id="97" w:name="_Toc483570095"/>
      <w:r w:rsidRPr="007114AF">
        <w:rPr>
          <w:b/>
        </w:rPr>
        <w:t xml:space="preserve">2.9.2 </w:t>
      </w:r>
      <w:r w:rsidR="00A9766F" w:rsidRPr="007114AF">
        <w:rPr>
          <w:b/>
        </w:rPr>
        <w:t>Funksionet dhe parimet e përgjithshme</w:t>
      </w:r>
      <w:bookmarkEnd w:id="96"/>
      <w:bookmarkEnd w:id="97"/>
    </w:p>
    <w:p w14:paraId="6EDCFC42" w14:textId="3F4656AC" w:rsidR="00A9766F" w:rsidRPr="007114AF" w:rsidRDefault="00A9766F" w:rsidP="00206985">
      <w:pPr>
        <w:pStyle w:val="TEKSTI"/>
      </w:pPr>
      <w:r w:rsidRPr="007114AF">
        <w:t>Në përputhje me kuadrin konceptual, siç parashikohet në Udhëzimet Teknike për NAP-in,</w:t>
      </w:r>
      <w:r w:rsidR="000A2A01" w:rsidRPr="007114AF">
        <w:t xml:space="preserve"> </w:t>
      </w:r>
      <w:r w:rsidRPr="007114AF">
        <w:t xml:space="preserve">NAP-i është projektuar në Shqipëri, si një proces nën drejtimin e Ministrisë së Turizmit dhe Mjedisit në bashkëpunim me Grupin Ndërministror të Punës për Ndryshimet Klimatike. Me anë të këtij procesi, ai mbështetet në orientimet që japin Udhëzimet Teknike, por i zbaton orientimet </w:t>
      </w:r>
      <w:r w:rsidRPr="007114AF">
        <w:lastRenderedPageBreak/>
        <w:t>sipas situatës në Shqipëri në mënyrë të përshtatur,</w:t>
      </w:r>
      <w:r w:rsidR="000A2A01" w:rsidRPr="007114AF">
        <w:t xml:space="preserve"> </w:t>
      </w:r>
      <w:r w:rsidRPr="007114AF">
        <w:t>duke marrë në konsideratë situatën në fushën e përshtatjes ndaj ndryshimeve klimatike. Në këtë</w:t>
      </w:r>
      <w:r w:rsidR="00D75679">
        <w:t xml:space="preserve"> </w:t>
      </w:r>
      <w:r w:rsidRPr="007114AF">
        <w:t>mënyrë, Shqipëria siguron që procesi i NAP-it të ofrojë vlerë të shtuar, siç pritet.</w:t>
      </w:r>
    </w:p>
    <w:p w14:paraId="6EDCFC43" w14:textId="77777777" w:rsidR="00A9766F" w:rsidRPr="007114AF" w:rsidRDefault="00A9766F" w:rsidP="00206985">
      <w:pPr>
        <w:pStyle w:val="TEKSTI"/>
      </w:pPr>
      <w:r w:rsidRPr="007114AF">
        <w:t>Në këtë kontekst, procesi i NAP-it në Shqipëri do të ndjekë funksionet e mëposhtme:</w:t>
      </w:r>
    </w:p>
    <w:p w14:paraId="6EDCFC44" w14:textId="04B02E6E" w:rsidR="00A9766F" w:rsidRPr="007114AF" w:rsidRDefault="00617388" w:rsidP="00206985">
      <w:pPr>
        <w:pStyle w:val="TEKSTI"/>
        <w:rPr>
          <w:rFonts w:cs="Times New Roman"/>
        </w:rPr>
      </w:pPr>
      <w:r w:rsidRPr="007114AF">
        <w:rPr>
          <w:b/>
        </w:rPr>
        <w:t xml:space="preserve">- </w:t>
      </w:r>
      <w:r w:rsidR="00A9766F" w:rsidRPr="007114AF">
        <w:rPr>
          <w:b/>
        </w:rPr>
        <w:t xml:space="preserve">NAP si një proces efektiv: </w:t>
      </w:r>
      <w:r w:rsidR="00A9766F" w:rsidRPr="007114AF">
        <w:t>Siç thuhet edhe</w:t>
      </w:r>
      <w:r w:rsidR="000A2A01" w:rsidRPr="007114AF">
        <w:t xml:space="preserve"> </w:t>
      </w:r>
      <w:r w:rsidR="00A9766F" w:rsidRPr="007114AF">
        <w:t xml:space="preserve">më lart, NAP-i do të ndërtohet si një proces i vazhdueshëm gjatë një periudhe të gjatë kohore (me këtë dokument parashikohet një periudhë prej 20 vjetësh) që përfshin elementet e hartimit të planit, zbatimit të tij dhe nxjerrjes së mësimeve nga përvojat. Ky proces përfshin ministritë e linjës, të cilat do të luajnë një rol proaktiv në integrimin e përshtatjes ndaj ndryshimeve klimatike në portofolat sektorialë përkatës. </w:t>
      </w:r>
    </w:p>
    <w:p w14:paraId="6EDCFC45" w14:textId="0877C9F2" w:rsidR="00A9766F" w:rsidRPr="007114AF" w:rsidRDefault="00617388" w:rsidP="00206985">
      <w:pPr>
        <w:pStyle w:val="TEKSTI"/>
      </w:pPr>
      <w:r w:rsidRPr="007114AF">
        <w:rPr>
          <w:b/>
        </w:rPr>
        <w:t xml:space="preserve">- </w:t>
      </w:r>
      <w:r w:rsidR="00A9766F" w:rsidRPr="007114AF">
        <w:rPr>
          <w:b/>
        </w:rPr>
        <w:t xml:space="preserve">Dokumenti i NAP-it si </w:t>
      </w:r>
      <w:r w:rsidR="000A2A01" w:rsidRPr="007114AF">
        <w:rPr>
          <w:b/>
        </w:rPr>
        <w:t>“</w:t>
      </w:r>
      <w:r w:rsidR="00A9766F" w:rsidRPr="007114AF">
        <w:rPr>
          <w:b/>
        </w:rPr>
        <w:t>një ombrellë</w:t>
      </w:r>
      <w:r w:rsidR="000A2A01" w:rsidRPr="007114AF">
        <w:rPr>
          <w:b/>
        </w:rPr>
        <w:t>”</w:t>
      </w:r>
      <w:r w:rsidR="00D75679">
        <w:rPr>
          <w:b/>
        </w:rPr>
        <w:t xml:space="preserve"> </w:t>
      </w:r>
      <w:r w:rsidR="00A9766F" w:rsidRPr="007114AF">
        <w:rPr>
          <w:b/>
        </w:rPr>
        <w:t xml:space="preserve">që orienton drejtimin dhe veprimet e procesit të NAP-it: </w:t>
      </w:r>
    </w:p>
    <w:p w14:paraId="6EDCFC46" w14:textId="0238EFCC" w:rsidR="00617388" w:rsidRPr="007114AF" w:rsidRDefault="00A9766F" w:rsidP="00206985">
      <w:pPr>
        <w:pStyle w:val="TEKSTI"/>
        <w:rPr>
          <w:b/>
        </w:rPr>
      </w:pPr>
      <w:r w:rsidRPr="007114AF">
        <w:t xml:space="preserve">Në përputhje me parimet e lartpërmendura, dokumenti i NAP-it është formuluar në formë koncize, që të japë orientim për elementet e procesit gjithëpërfshirës, siç janë objektivat dhe treguesit, specifikimet e procesit, qasjet integruese, veprimet prioritare, financimi, strategjitë e informimit dhe përfshirjes, zhvillimi i kapaciteteve, monitorimi dhe rishikimi. Kjo natyrë </w:t>
      </w:r>
      <w:r w:rsidR="000A2A01" w:rsidRPr="007114AF">
        <w:t>“</w:t>
      </w:r>
      <w:r w:rsidRPr="007114AF">
        <w:t>ombrellë</w:t>
      </w:r>
      <w:r w:rsidR="000A2A01" w:rsidRPr="007114AF">
        <w:t>”</w:t>
      </w:r>
      <w:r w:rsidRPr="007114AF">
        <w:t xml:space="preserve"> e dokumentit NAP, justifikohet edhe me faktin se ekzistojnë ose janë duke u përgatitur disa dokumente planifikimi dhe programimi për politikat klimatike, sidomos Komunikimet Kombëtare.</w:t>
      </w:r>
      <w:r w:rsidR="00206985" w:rsidRPr="007114AF">
        <w:rPr>
          <w:b/>
        </w:rPr>
        <w:t xml:space="preserve"> </w:t>
      </w:r>
    </w:p>
    <w:p w14:paraId="6EDCFC47" w14:textId="2428B80B" w:rsidR="00A9766F" w:rsidRPr="007114AF" w:rsidRDefault="00A9766F" w:rsidP="00206985">
      <w:pPr>
        <w:pStyle w:val="TEKSTI"/>
      </w:pPr>
      <w:r w:rsidRPr="007114AF">
        <w:rPr>
          <w:b/>
        </w:rPr>
        <w:t xml:space="preserve">Kuadër për integrimin e synuar: </w:t>
      </w:r>
      <w:r w:rsidRPr="007114AF">
        <w:t>Siç është përmendur, integrimi i përshtatjes ndaj ndryshimeve klimatike në sektorë është një qasje kyçe e parashikuar nga UNFCCC-ja dhe Udhëzimet Teknike të NAP-it</w:t>
      </w:r>
      <w:r w:rsidR="00191838" w:rsidRPr="007114AF">
        <w:t>.</w:t>
      </w:r>
      <w:r w:rsidRPr="007114AF">
        <w:t xml:space="preserve"> Përshtatja ndaj ndryshimeve klimatike është e lidhur ngushtë me planifikimin afatgjatë të zhvillimit urban, burimeve ujore, bujqësisë, ruajtjes së natyrës dhe zhvillimit të territorit. Prandaj përfshirja e përshtatjes klimatike në sektorët e linjës që preken nga ndryshimet klimatike, është një qasje e efektshme. Vetëm në këtë mënyrë përshtatja ndaj ndryshimeve klimatike mund të shndërrohet në kontribues për vendin, dhe mund të ndihmojë në sigurimin e rritjes ekonomike. </w:t>
      </w:r>
    </w:p>
    <w:p w14:paraId="6EDCFC48" w14:textId="6F1D8357" w:rsidR="00A9766F" w:rsidRPr="007114AF" w:rsidRDefault="00617388" w:rsidP="00206985">
      <w:pPr>
        <w:pStyle w:val="TEKSTI"/>
      </w:pPr>
      <w:r w:rsidRPr="007114AF">
        <w:rPr>
          <w:b/>
        </w:rPr>
        <w:t xml:space="preserve">- </w:t>
      </w:r>
      <w:r w:rsidR="00A9766F" w:rsidRPr="007114AF">
        <w:rPr>
          <w:b/>
        </w:rPr>
        <w:t xml:space="preserve">Krijimi i mekanizmave të zbatimit: </w:t>
      </w:r>
      <w:r w:rsidR="00A9766F" w:rsidRPr="007114AF">
        <w:t xml:space="preserve">Studimet dhe strategjitë ekzistuese, sikurse përmendet në kapitullin 3, mbulojnë sektorë dhe aspekte të ndryshme të përshtatjes dhe përfshijnë disa propozime për veprime konkrete, për shembull nëpërmjet </w:t>
      </w:r>
      <w:r w:rsidR="000A2A01" w:rsidRPr="007114AF">
        <w:t>“</w:t>
      </w:r>
      <w:r w:rsidR="00A9766F" w:rsidRPr="007114AF">
        <w:t>fishave të projekteve</w:t>
      </w:r>
      <w:r w:rsidR="000A2A01" w:rsidRPr="007114AF">
        <w:t>”</w:t>
      </w:r>
      <w:r w:rsidR="00A9766F" w:rsidRPr="007114AF">
        <w:t>, për disa prej të cilave është rënë dakord të zbatohen. Megjithatë, në to nuk jepet një kuadër i njëtrajtshëm zbatimi. Ky dokument i NAP-it ofron vlerë të shtuar,</w:t>
      </w:r>
      <w:r w:rsidR="000A2A01" w:rsidRPr="007114AF">
        <w:t xml:space="preserve"> </w:t>
      </w:r>
      <w:r w:rsidR="00A9766F" w:rsidRPr="007114AF">
        <w:t>nëpërmjet vënies në eficiencë të zbatimit. Por kjo nuk shkon përtej veprimeve të ashtuquajtura prioritare, të cilat konsiderohen se janë me rëndësi kryesore për të gjithë procesin e përshtatjes në Shqipëri. Dokumenti NAP përcakton piketat, afatet, aktorët dhe burimet për këto veprime</w:t>
      </w:r>
      <w:r w:rsidR="000A2A01" w:rsidRPr="007114AF">
        <w:t xml:space="preserve"> </w:t>
      </w:r>
      <w:r w:rsidR="00A9766F" w:rsidRPr="007114AF">
        <w:t xml:space="preserve">kryesore në kapitullin 6.1. Një mekanizëm monitorimi do të ndjekë progresin e zbatimit për këto veprime dhe do të mundësojë bërjen e korrigjimeve, nëse del nevoja. </w:t>
      </w:r>
    </w:p>
    <w:p w14:paraId="6EDCFC49" w14:textId="4F31E0C8" w:rsidR="00A9766F" w:rsidRPr="007114AF" w:rsidRDefault="00617388" w:rsidP="00206985">
      <w:pPr>
        <w:pStyle w:val="TEKSTI"/>
      </w:pPr>
      <w:r w:rsidRPr="007114AF">
        <w:rPr>
          <w:b/>
        </w:rPr>
        <w:t xml:space="preserve">- </w:t>
      </w:r>
      <w:r w:rsidR="00A9766F" w:rsidRPr="007114AF">
        <w:rPr>
          <w:b/>
        </w:rPr>
        <w:t>Mbështetje në mënyrë sistematike për financimin:</w:t>
      </w:r>
      <w:r w:rsidR="00206985" w:rsidRPr="007114AF">
        <w:t xml:space="preserve"> </w:t>
      </w:r>
      <w:r w:rsidR="00A9766F" w:rsidRPr="007114AF">
        <w:t>Sigurimi i financimit përbën parakusht për zbatimin dhe pasqyrohet në dokument. Gjithashtu një dokument financiar mbështetës është përgatitur me një grup më të gj</w:t>
      </w:r>
      <w:r w:rsidR="00D75679">
        <w:t>e</w:t>
      </w:r>
      <w:r w:rsidR="00A9766F" w:rsidRPr="007114AF">
        <w:t>rë se GNMPNK-ja, duke përfshirë përfaqësues nga zyrat e planifikimit të buxhetit të ministrive respektive (6.2). Aksesi I mekanizmave të reja të klimës do të operacionalizohet përmes procesit të NAP-it në bashkëpunim të ngushtë me institucionet përkatëse, si dhe do të mbështetet nga donatorë të fushës. Aspekti I marrjes së burimeve shtesë financiare nëpërmjet NAP-it, mund të forcojë njohjen e tij në nivel politik.</w:t>
      </w:r>
      <w:r w:rsidR="000A2A01" w:rsidRPr="007114AF">
        <w:t xml:space="preserve"> </w:t>
      </w:r>
      <w:r w:rsidR="00A9766F" w:rsidRPr="007114AF">
        <w:t>Përveç burimeve ndërkombëtare të financimit, burimet nacionale dhe lokale të buxhetit duhet të hulumtohen sistematikisht, për financimin e përshtatjes ndaj ndryshimeve klimatike.</w:t>
      </w:r>
    </w:p>
    <w:p w14:paraId="6EDCFC4A" w14:textId="5D85016D" w:rsidR="00A9766F" w:rsidRPr="007114AF" w:rsidRDefault="00617388" w:rsidP="00206985">
      <w:pPr>
        <w:pStyle w:val="TEKSTI"/>
      </w:pPr>
      <w:r w:rsidRPr="007114AF">
        <w:rPr>
          <w:b/>
        </w:rPr>
        <w:t xml:space="preserve">- </w:t>
      </w:r>
      <w:r w:rsidR="00A9766F" w:rsidRPr="007114AF">
        <w:rPr>
          <w:b/>
        </w:rPr>
        <w:t>Katalizator për pjesëmarrjen dhe ndërgjegjësimin:</w:t>
      </w:r>
      <w:r w:rsidR="00206985" w:rsidRPr="007114AF">
        <w:t xml:space="preserve"> </w:t>
      </w:r>
      <w:r w:rsidR="00A9766F" w:rsidRPr="007114AF">
        <w:t>Analiza SWOTka identifikuar dobësitë në njohjen publike të ndryshimeve klimatike dhe të nevojave për t</w:t>
      </w:r>
      <w:r w:rsidR="00D10DAB" w:rsidRPr="007114AF">
        <w:t>’</w:t>
      </w:r>
      <w:r w:rsidR="00A9766F" w:rsidRPr="007114AF">
        <w:t>iu përshtatur këtyre ndryshimeve. Procesi i NAP-it</w:t>
      </w:r>
      <w:r w:rsidR="000A2A01" w:rsidRPr="007114AF">
        <w:t xml:space="preserve"> </w:t>
      </w:r>
      <w:r w:rsidR="00A9766F" w:rsidRPr="007114AF">
        <w:t>do të ketë me shumë pjesëmarrje dhe do të vazhdojë të aplikojë aktivitete të informimit dhe përfshirjes së publikut të gjerë dhe të grupeve të veçanta të synuara, si bujqit, sektori privat etj.</w:t>
      </w:r>
    </w:p>
    <w:p w14:paraId="6EDCFC4B" w14:textId="77777777" w:rsidR="00A9766F" w:rsidRPr="007114AF" w:rsidRDefault="00206985" w:rsidP="00206985">
      <w:pPr>
        <w:pStyle w:val="TEKSTI"/>
        <w:rPr>
          <w:b/>
        </w:rPr>
      </w:pPr>
      <w:bookmarkStart w:id="98" w:name="_Toc484424494"/>
      <w:bookmarkStart w:id="99" w:name="_Toc483570096"/>
      <w:r w:rsidRPr="007114AF">
        <w:rPr>
          <w:b/>
        </w:rPr>
        <w:t xml:space="preserve">2.9.3 </w:t>
      </w:r>
      <w:r w:rsidR="00A9766F" w:rsidRPr="007114AF">
        <w:rPr>
          <w:b/>
        </w:rPr>
        <w:t>Lidhja me procesin e paraaderimit në BE</w:t>
      </w:r>
      <w:bookmarkEnd w:id="98"/>
      <w:bookmarkEnd w:id="99"/>
    </w:p>
    <w:p w14:paraId="6EDCFC4C" w14:textId="5AC4C8D5" w:rsidR="00A9766F" w:rsidRPr="007114AF" w:rsidRDefault="00A9766F" w:rsidP="00206985">
      <w:pPr>
        <w:pStyle w:val="TEKSTI"/>
      </w:pPr>
      <w:r w:rsidRPr="007114AF">
        <w:rPr>
          <w:rFonts w:cs="Arial"/>
        </w:rPr>
        <w:lastRenderedPageBreak/>
        <w:t>Shqipërisë i është dhënë statusi i vendit kandidat për shtet anëtar në Bashkimin Evropian dhe po ecën përpara në përafrimin e legjislacionit të brendshëm me kërkesat e BE-së. Për këtë arsye, strategjia e BE-së për përshtatjen ndaj ndryshimeve klimatike, e miratuar nga Komisioni Evropian në prill 2013, do të konsiderohet si një kuadër referimi i rëndësishme, brenda të gjithë procesit të NAP-it. Rëndësi të madhe sa i takon veprimit të programuar dhe mundësisë për të përfituar nga fondet e BE-së, ka Dokumenti Strategjik Orientues për Instrumentin e BE-së për Asistencën Paraaderimi</w:t>
      </w:r>
      <w:bookmarkStart w:id="100" w:name="_Ref453762200"/>
      <w:r w:rsidRPr="007114AF">
        <w:rPr>
          <w:rFonts w:cs="Arial"/>
        </w:rPr>
        <w:t>t</w:t>
      </w:r>
      <w:r w:rsidRPr="007114AF">
        <w:rPr>
          <w:rFonts w:cs="Arial"/>
          <w:vertAlign w:val="superscript"/>
        </w:rPr>
        <w:footnoteReference w:id="39"/>
      </w:r>
      <w:bookmarkEnd w:id="100"/>
      <w:r w:rsidRPr="007114AF">
        <w:rPr>
          <w:rFonts w:cs="Arial"/>
        </w:rPr>
        <w:t xml:space="preserve">, miratuar më 18 gusht 2014. Dokumenti Strategjik për IPA II përcakton objektivat, treguesit dhe veprimet në një kapitull të veçantë </w:t>
      </w:r>
      <w:r w:rsidR="000A2A01" w:rsidRPr="007114AF">
        <w:rPr>
          <w:rFonts w:cs="Arial"/>
        </w:rPr>
        <w:t>“</w:t>
      </w:r>
      <w:r w:rsidRPr="007114AF">
        <w:rPr>
          <w:rFonts w:cs="Arial"/>
        </w:rPr>
        <w:t>Dritarja për mjedisin dhe klimën</w:t>
      </w:r>
      <w:r w:rsidR="000A2A01" w:rsidRPr="007114AF">
        <w:rPr>
          <w:rFonts w:cs="Arial"/>
        </w:rPr>
        <w:t>”</w:t>
      </w:r>
      <w:r w:rsidRPr="007114AF">
        <w:rPr>
          <w:rFonts w:cs="Arial"/>
        </w:rPr>
        <w:t xml:space="preserve"> dhe e përcakton veprimin për klimën si një element ndërsektorial, i cili prek shumicën e sektorëve në Dokumentin Strategjik, sidomos transportin, energjetikën, bujqësinë, zhvillimin rural dhe menaxhimin e fatkeqësive. Shpenzimet e lidhura me klimën do të monitorohen në të gjithë gamën e ndërhyrjeve në Shqipëri, në përputhje me treguesit statistikorë të OECD-DAC-ës për zbutjen e ndryshimeve klimatike dhe përshtatjen ndaj saj. Kjo ofron një potencial të lartë për procesin e përgjithshëm të zbatimit të NAP-it të Shqipërisë.</w:t>
      </w:r>
    </w:p>
    <w:p w14:paraId="6EDCFC4D" w14:textId="47893425" w:rsidR="00A9766F" w:rsidRPr="007114AF" w:rsidRDefault="00206985" w:rsidP="00206985">
      <w:pPr>
        <w:pStyle w:val="TEKSTI"/>
        <w:rPr>
          <w:b/>
        </w:rPr>
      </w:pPr>
      <w:bookmarkStart w:id="101" w:name="_Toc484424495"/>
      <w:r w:rsidRPr="007114AF">
        <w:rPr>
          <w:b/>
        </w:rPr>
        <w:t>3</w:t>
      </w:r>
      <w:r w:rsidR="00D75679">
        <w:rPr>
          <w:b/>
        </w:rPr>
        <w:t>.</w:t>
      </w:r>
      <w:r w:rsidRPr="007114AF">
        <w:rPr>
          <w:b/>
        </w:rPr>
        <w:t xml:space="preserve"> </w:t>
      </w:r>
      <w:r w:rsidR="00A9766F" w:rsidRPr="007114AF">
        <w:rPr>
          <w:b/>
        </w:rPr>
        <w:t>VIZIONI DHE</w:t>
      </w:r>
      <w:r w:rsidR="000A2A01" w:rsidRPr="007114AF">
        <w:rPr>
          <w:b/>
        </w:rPr>
        <w:t xml:space="preserve"> </w:t>
      </w:r>
      <w:r w:rsidR="00A9766F" w:rsidRPr="007114AF">
        <w:rPr>
          <w:b/>
        </w:rPr>
        <w:t>PRIORITETET E STRATEGJISË</w:t>
      </w:r>
      <w:bookmarkEnd w:id="84"/>
      <w:bookmarkEnd w:id="101"/>
    </w:p>
    <w:p w14:paraId="6EDCFC4E" w14:textId="77777777" w:rsidR="00A9766F" w:rsidRPr="007114AF" w:rsidRDefault="00A9766F" w:rsidP="00206985">
      <w:pPr>
        <w:pStyle w:val="TEKSTI"/>
        <w:rPr>
          <w:i/>
        </w:rPr>
      </w:pPr>
      <w:r w:rsidRPr="007114AF">
        <w:t>Vizioni i strategjisë kombëtare të ndryshime klimatike fokusohet fort në tre komponentë kryesorë të ndryshimit të klimës në Shqipëri: masat zbutëse, adaptimi dhe zhvillimi i qëndrueshëm, që kanë rezultuar me vizionin e përgjithshëm si më poshtë:</w:t>
      </w:r>
    </w:p>
    <w:p w14:paraId="6EDCFC4F" w14:textId="246F94E9" w:rsidR="00A9766F" w:rsidRPr="007114AF" w:rsidRDefault="000A2A01" w:rsidP="00206985">
      <w:pPr>
        <w:pStyle w:val="TEKSTI"/>
        <w:rPr>
          <w:i/>
        </w:rPr>
      </w:pPr>
      <w:r w:rsidRPr="007114AF">
        <w:rPr>
          <w:i/>
        </w:rPr>
        <w:t>“</w:t>
      </w:r>
      <w:r w:rsidR="00A9766F" w:rsidRPr="007114AF">
        <w:rPr>
          <w:i/>
        </w:rPr>
        <w:t xml:space="preserve">Duke pranuar se ndryshimi i klimës përfaqëson një kërcënim urgjent dhe potencialisht të pakthyeshëm për shoqëritë njerëzore, sidomos për zonën e Mesdheut, </w:t>
      </w:r>
      <w:r w:rsidR="00A9766F" w:rsidRPr="007114AF">
        <w:rPr>
          <w:b/>
          <w:bCs/>
          <w:i/>
        </w:rPr>
        <w:t>zhvillimi drejt ekonomisë me karbon të ulët është kyç për arritjen e objektivave global</w:t>
      </w:r>
      <w:r w:rsidR="0082368C">
        <w:rPr>
          <w:b/>
          <w:bCs/>
          <w:i/>
        </w:rPr>
        <w:t>ë</w:t>
      </w:r>
      <w:r w:rsidR="00A9766F" w:rsidRPr="007114AF">
        <w:rPr>
          <w:b/>
          <w:bCs/>
          <w:i/>
        </w:rPr>
        <w:t xml:space="preserve"> të zbutjes </w:t>
      </w:r>
      <w:r w:rsidR="00A9766F" w:rsidRPr="007114AF">
        <w:rPr>
          <w:i/>
        </w:rPr>
        <w:t xml:space="preserve">dhe </w:t>
      </w:r>
      <w:r w:rsidR="00A9766F" w:rsidRPr="007114AF">
        <w:rPr>
          <w:b/>
          <w:i/>
        </w:rPr>
        <w:t>për të lejuar një</w:t>
      </w:r>
      <w:r w:rsidR="00D75679">
        <w:rPr>
          <w:b/>
          <w:i/>
        </w:rPr>
        <w:t xml:space="preserve"> </w:t>
      </w:r>
      <w:r w:rsidR="00A9766F" w:rsidRPr="007114AF">
        <w:rPr>
          <w:b/>
          <w:i/>
        </w:rPr>
        <w:t>reagim të përshtatur</w:t>
      </w:r>
      <w:r w:rsidR="00A9766F" w:rsidRPr="007114AF">
        <w:rPr>
          <w:i/>
        </w:rPr>
        <w:t xml:space="preserve"> të brezit të ardhshëm me kosto të arsyeshme mjedisore, ekonomike dhe sociale.</w:t>
      </w:r>
      <w:r w:rsidRPr="007114AF">
        <w:rPr>
          <w:i/>
        </w:rPr>
        <w:t>”</w:t>
      </w:r>
    </w:p>
    <w:p w14:paraId="6EDCFC50" w14:textId="77777777" w:rsidR="00A9766F" w:rsidRPr="007114AF" w:rsidRDefault="00206985" w:rsidP="00206985">
      <w:pPr>
        <w:pStyle w:val="TEKSTI"/>
        <w:rPr>
          <w:b/>
        </w:rPr>
      </w:pPr>
      <w:bookmarkStart w:id="102" w:name="_Toc484424496"/>
      <w:r w:rsidRPr="007114AF">
        <w:rPr>
          <w:b/>
        </w:rPr>
        <w:t xml:space="preserve">3.1 </w:t>
      </w:r>
      <w:r w:rsidR="00A9766F" w:rsidRPr="007114AF">
        <w:rPr>
          <w:b/>
        </w:rPr>
        <w:t>Prioritetet e strategjisë</w:t>
      </w:r>
      <w:bookmarkEnd w:id="102"/>
    </w:p>
    <w:p w14:paraId="6EDCFC51" w14:textId="77777777" w:rsidR="00A9766F" w:rsidRPr="007114AF" w:rsidRDefault="00A9766F" w:rsidP="00206985">
      <w:pPr>
        <w:pStyle w:val="TEKSTI"/>
      </w:pPr>
      <w:r w:rsidRPr="007114AF">
        <w:t xml:space="preserve">Në ndjekje të vizionit të lartpërmendur, janë identifikuar përparësitë e mëposhtme të strategjisë (PS): </w:t>
      </w:r>
    </w:p>
    <w:p w14:paraId="6EDCFC52" w14:textId="77777777" w:rsidR="00A9766F" w:rsidRPr="007114AF" w:rsidRDefault="00617388" w:rsidP="00206985">
      <w:pPr>
        <w:pStyle w:val="TEKSTI"/>
        <w:rPr>
          <w:rFonts w:eastAsiaTheme="minorHAnsi"/>
        </w:rPr>
      </w:pPr>
      <w:r w:rsidRPr="007114AF">
        <w:rPr>
          <w:b/>
        </w:rPr>
        <w:t xml:space="preserve">- </w:t>
      </w:r>
      <w:r w:rsidR="00A9766F" w:rsidRPr="007114AF">
        <w:rPr>
          <w:b/>
        </w:rPr>
        <w:t>SP.1</w:t>
      </w:r>
      <w:r w:rsidR="00206985" w:rsidRPr="007114AF">
        <w:t xml:space="preserve"> </w:t>
      </w:r>
      <w:r w:rsidR="00A9766F" w:rsidRPr="007114AF">
        <w:t>Garantimi i një rritjeje të qëndrueshme të ekonomisë në përputhje me rrugët e shkarkimit GES, të përcaktuara në NDC-ë(Kontributi Kombëtar),dhe shkuarja drejt një pikësynimi në një ekonomi me karbon të ulët për të cilin kontribuojnë të gjithë sektorët.</w:t>
      </w:r>
    </w:p>
    <w:p w14:paraId="6EDCFC53" w14:textId="77777777" w:rsidR="00A9766F" w:rsidRPr="007114AF" w:rsidRDefault="00617388" w:rsidP="00206985">
      <w:pPr>
        <w:pStyle w:val="TEKSTI"/>
      </w:pPr>
      <w:r w:rsidRPr="007114AF">
        <w:rPr>
          <w:b/>
        </w:rPr>
        <w:t xml:space="preserve">- </w:t>
      </w:r>
      <w:r w:rsidR="00A9766F" w:rsidRPr="007114AF">
        <w:rPr>
          <w:b/>
        </w:rPr>
        <w:t>SP.2</w:t>
      </w:r>
      <w:r w:rsidR="00206985" w:rsidRPr="007114AF">
        <w:t xml:space="preserve"> </w:t>
      </w:r>
      <w:r w:rsidR="00A9766F" w:rsidRPr="007114AF">
        <w:t>Ngritja e një sistemi monitorues, raportues dhe verifikues GES, në përputhje me kërkesat e BE-së.</w:t>
      </w:r>
    </w:p>
    <w:p w14:paraId="6EDCFC54" w14:textId="77777777" w:rsidR="00A9766F" w:rsidRPr="007114AF" w:rsidRDefault="00617388" w:rsidP="00206985">
      <w:pPr>
        <w:pStyle w:val="TEKSTI"/>
      </w:pPr>
      <w:r w:rsidRPr="007114AF">
        <w:rPr>
          <w:b/>
        </w:rPr>
        <w:t xml:space="preserve">- </w:t>
      </w:r>
      <w:r w:rsidR="00A9766F" w:rsidRPr="007114AF">
        <w:rPr>
          <w:b/>
        </w:rPr>
        <w:t>SP.3</w:t>
      </w:r>
      <w:r w:rsidR="00206985" w:rsidRPr="007114AF">
        <w:t xml:space="preserve"> </w:t>
      </w:r>
      <w:r w:rsidR="00A9766F" w:rsidRPr="007114AF">
        <w:t>Forcimi i kapacitetit të institucioneve përkatëse dhe bashkëpunimi ndërinstitucional për trajtimin e çështjeve të ndryshimit të klimës.</w:t>
      </w:r>
    </w:p>
    <w:p w14:paraId="6EDCFC55" w14:textId="77777777" w:rsidR="00A9766F" w:rsidRPr="007114AF" w:rsidRDefault="00617388" w:rsidP="00206985">
      <w:pPr>
        <w:pStyle w:val="TEKSTI"/>
      </w:pPr>
      <w:r w:rsidRPr="007114AF">
        <w:rPr>
          <w:b/>
        </w:rPr>
        <w:t xml:space="preserve">- </w:t>
      </w:r>
      <w:r w:rsidR="00A9766F" w:rsidRPr="007114AF">
        <w:rPr>
          <w:b/>
        </w:rPr>
        <w:t>SP.4</w:t>
      </w:r>
      <w:r w:rsidR="00206985" w:rsidRPr="007114AF">
        <w:t xml:space="preserve"> </w:t>
      </w:r>
      <w:r w:rsidR="00A9766F" w:rsidRPr="007114AF">
        <w:t>Integrimi i ndryshimeve klimatike në planifikimin strategjik sektorial.</w:t>
      </w:r>
    </w:p>
    <w:p w14:paraId="6EDCFC56" w14:textId="77777777" w:rsidR="00A9766F" w:rsidRPr="007114AF" w:rsidRDefault="00617388" w:rsidP="00206985">
      <w:pPr>
        <w:pStyle w:val="TEKSTI"/>
      </w:pPr>
      <w:r w:rsidRPr="007114AF">
        <w:rPr>
          <w:b/>
        </w:rPr>
        <w:t xml:space="preserve">- </w:t>
      </w:r>
      <w:r w:rsidR="00A9766F" w:rsidRPr="007114AF">
        <w:rPr>
          <w:b/>
        </w:rPr>
        <w:t>SP.5</w:t>
      </w:r>
      <w:r w:rsidR="00206985" w:rsidRPr="007114AF">
        <w:t xml:space="preserve"> </w:t>
      </w:r>
      <w:r w:rsidR="00A9766F" w:rsidRPr="007114AF">
        <w:t>Përforcimi i kapacitetit dhe ndërgjegjësimit për çështjet e ndryshimit të klimës.</w:t>
      </w:r>
    </w:p>
    <w:p w14:paraId="6EDCFC57" w14:textId="77777777" w:rsidR="00A9766F" w:rsidRPr="007114AF" w:rsidRDefault="00617388" w:rsidP="00206985">
      <w:pPr>
        <w:pStyle w:val="TEKSTI"/>
      </w:pPr>
      <w:r w:rsidRPr="007114AF">
        <w:rPr>
          <w:b/>
        </w:rPr>
        <w:t xml:space="preserve">- </w:t>
      </w:r>
      <w:r w:rsidR="00A9766F" w:rsidRPr="007114AF">
        <w:rPr>
          <w:b/>
        </w:rPr>
        <w:t>SP.6</w:t>
      </w:r>
      <w:r w:rsidR="00206985" w:rsidRPr="007114AF">
        <w:t xml:space="preserve"> </w:t>
      </w:r>
      <w:r w:rsidR="00A9766F" w:rsidRPr="007114AF">
        <w:t>Afrimi me kuadrin ligjor të BE-së për ndryshimin e klimës në gjithë sektorët.</w:t>
      </w:r>
    </w:p>
    <w:p w14:paraId="6EDCFC58" w14:textId="16966424" w:rsidR="00A9766F" w:rsidRPr="007114AF" w:rsidRDefault="00A9766F" w:rsidP="00206985">
      <w:pPr>
        <w:pStyle w:val="TEKSTI"/>
        <w:rPr>
          <w:bCs/>
          <w:iCs/>
        </w:rPr>
      </w:pPr>
      <w:r w:rsidRPr="007114AF">
        <w:t>Objektivat kryesore të politikave specifikohen në paragrafët e mëposhtëm, duke marrë parasysh strategjitë dhe planet kryesore sektoriale dhe ndërsektoriale.</w:t>
      </w:r>
      <w:r w:rsidR="00D75679">
        <w:t xml:space="preserve"> </w:t>
      </w:r>
      <w:r w:rsidRPr="007114AF">
        <w:t>Për</w:t>
      </w:r>
      <w:r w:rsidR="00D75679">
        <w:t xml:space="preserve"> </w:t>
      </w:r>
      <w:r w:rsidRPr="007114AF">
        <w:t>sa i përket përshtatjes, objektivat gjithëpërfshirës dhe indikatorët e NAP-it kontibuojnë në plotësimin e e prioriteteve të strategjisë së lartpërmendura 3-6 (</w:t>
      </w:r>
      <w:r w:rsidR="00D75679" w:rsidRPr="007114AF">
        <w:t>siç</w:t>
      </w:r>
      <w:r w:rsidRPr="007114AF">
        <w:t xml:space="preserve"> jepen dhe në tabelën 16). Sidoqoftë, rezultatet përfundimtare afatgjata të procesit të përshtatjes do të synojnë:</w:t>
      </w:r>
    </w:p>
    <w:p w14:paraId="6EDCFC59" w14:textId="77777777" w:rsidR="00A9766F" w:rsidRPr="007114AF" w:rsidRDefault="00617388" w:rsidP="00206985">
      <w:pPr>
        <w:pStyle w:val="TEKSTI"/>
      </w:pPr>
      <w:r w:rsidRPr="007114AF">
        <w:t xml:space="preserve">- </w:t>
      </w:r>
      <w:r w:rsidR="00A9766F" w:rsidRPr="007114AF">
        <w:t>Zvogëlimin e dëmeve të shkaktuara nga përmbytjet.</w:t>
      </w:r>
    </w:p>
    <w:p w14:paraId="6EDCFC5A" w14:textId="77777777" w:rsidR="00A9766F" w:rsidRPr="007114AF" w:rsidRDefault="00617388" w:rsidP="00206985">
      <w:pPr>
        <w:pStyle w:val="TEKSTI"/>
      </w:pPr>
      <w:r w:rsidRPr="007114AF">
        <w:t xml:space="preserve">- </w:t>
      </w:r>
      <w:r w:rsidR="00A9766F" w:rsidRPr="007114AF">
        <w:t>Përmirësimin e aftësisë rimëkëmbëse të bujqësisë ndaj përmbytjeve.</w:t>
      </w:r>
    </w:p>
    <w:p w14:paraId="6EDCFC5B" w14:textId="77777777" w:rsidR="00A9766F" w:rsidRPr="007114AF" w:rsidRDefault="00617388" w:rsidP="00206985">
      <w:pPr>
        <w:pStyle w:val="TEKSTI"/>
      </w:pPr>
      <w:r w:rsidRPr="007114AF">
        <w:t xml:space="preserve">- </w:t>
      </w:r>
      <w:r w:rsidR="00A9766F" w:rsidRPr="007114AF">
        <w:t>Sigurimin e ujit të pijshëm cilësor pavarësisht ndikimeve nga ndryshimet klimatike.</w:t>
      </w:r>
    </w:p>
    <w:p w14:paraId="6EDCFC5C" w14:textId="77777777" w:rsidR="00A9766F" w:rsidRPr="007114AF" w:rsidRDefault="00206985" w:rsidP="00206985">
      <w:pPr>
        <w:pStyle w:val="TEKSTI"/>
        <w:rPr>
          <w:b/>
        </w:rPr>
      </w:pPr>
      <w:bookmarkStart w:id="103" w:name="_Toc484424497"/>
      <w:r w:rsidRPr="007114AF">
        <w:rPr>
          <w:b/>
        </w:rPr>
        <w:t xml:space="preserve">4 </w:t>
      </w:r>
      <w:r w:rsidR="00A9766F" w:rsidRPr="007114AF">
        <w:rPr>
          <w:b/>
        </w:rPr>
        <w:t>POLITIKAT KRYESORE QË PREKIN NDRYSHIMIN E KLIMËS</w:t>
      </w:r>
      <w:bookmarkEnd w:id="103"/>
    </w:p>
    <w:p w14:paraId="6EDCFC5D" w14:textId="77777777" w:rsidR="00A9766F" w:rsidRPr="007114AF" w:rsidRDefault="00206985" w:rsidP="00206985">
      <w:pPr>
        <w:pStyle w:val="TEKSTI"/>
        <w:rPr>
          <w:b/>
        </w:rPr>
      </w:pPr>
      <w:bookmarkStart w:id="104" w:name="_Toc484424498"/>
      <w:r w:rsidRPr="007114AF">
        <w:rPr>
          <w:b/>
        </w:rPr>
        <w:t xml:space="preserve">4.1 </w:t>
      </w:r>
      <w:r w:rsidR="00A9766F" w:rsidRPr="007114AF">
        <w:rPr>
          <w:b/>
        </w:rPr>
        <w:t>Qasjet specifike të sektorit përmes zbutjes</w:t>
      </w:r>
      <w:bookmarkEnd w:id="104"/>
    </w:p>
    <w:p w14:paraId="6EDCFC5E" w14:textId="77777777" w:rsidR="00A9766F" w:rsidRPr="007114AF" w:rsidRDefault="00A9766F" w:rsidP="00206985">
      <w:pPr>
        <w:pStyle w:val="TEKSTI"/>
      </w:pPr>
      <w:r w:rsidRPr="007114AF">
        <w:t xml:space="preserve">Planet dhe strategjitë ekzistuese janë përmbledhur dhe analizuar në perspektivën e zbutjes së ndryshimeve klimatike, duke trajtuar sinergjitë e shumta, boshllëqet dhe dobësitë, si dhe duke siguruar listën e masave kryesore strategjike, për të garantuar rrugët e zhvillimit me karbon të ulët. </w:t>
      </w:r>
    </w:p>
    <w:p w14:paraId="6EDCFC5F" w14:textId="77777777" w:rsidR="00A9766F" w:rsidRPr="007114AF" w:rsidRDefault="00A9766F" w:rsidP="00206985">
      <w:pPr>
        <w:pStyle w:val="TEKSTI"/>
      </w:pPr>
      <w:r w:rsidRPr="007114AF">
        <w:lastRenderedPageBreak/>
        <w:t>Në kohën e shkrimit, po hartoheshin disa strategji dhe plane, dhe prandaj janë në formë drafti (si në rastin e planit dhe Strategjisë së Transportit, SKZHI-II dhe Komunikimit të Tretë Kombëtar) apo në stadin fillestar (si në rastin e Strategjisë Kombëtare të Energjisë). Ndaj është parashikuar një rishikim periodik i kësaj strategjienë dritën e zhvillimit të strategjive kryesore sektoriale në rrjedhën e viteve të ardhshme.</w:t>
      </w:r>
    </w:p>
    <w:p w14:paraId="6EDCFC60" w14:textId="77777777" w:rsidR="00A9766F" w:rsidRPr="007114AF" w:rsidRDefault="00A9766F" w:rsidP="00206985">
      <w:pPr>
        <w:pStyle w:val="TEKSTI"/>
      </w:pPr>
      <w:r w:rsidRPr="007114AF">
        <w:t>Tabela më poshtë rendit strategjitë, planet dhe ligjet e analizuara me vlefshmërinë e tyre, institucionet përgjegjëse dhe versionin e përdorur në kohën e shkrimit.</w:t>
      </w:r>
    </w:p>
    <w:p w14:paraId="6EDCFC61" w14:textId="04188821" w:rsidR="00A9766F" w:rsidRPr="007114AF" w:rsidRDefault="00A9766F" w:rsidP="00206985">
      <w:pPr>
        <w:pStyle w:val="TEKSTI"/>
      </w:pPr>
      <w:r w:rsidRPr="007114AF">
        <w:t xml:space="preserve">Përveç strategjive dhe planeve të përmendura në tabelë, janë marrë në konsideratë një seri raportesh dhe analizash të renditura në </w:t>
      </w:r>
      <w:r w:rsidR="00D75679">
        <w:t>a</w:t>
      </w:r>
      <w:r w:rsidRPr="007114AF">
        <w:t>neksin 1. Mes tyre, vëmendje e veçantë i është kushtuar Komunikimit të Tretë Kombëtar, që ndonëse nuk mund të konsiderohet plan operativ, siguron tregues të dobishëm për veprimet e masave zbutëse që janë marrë në konsideratë në hartimin e strategjisë dhe planit.</w:t>
      </w:r>
    </w:p>
    <w:p w14:paraId="6EDCFC62" w14:textId="77777777" w:rsidR="00617388" w:rsidRPr="007114AF" w:rsidRDefault="00617388" w:rsidP="00617388">
      <w:pPr>
        <w:pStyle w:val="FIGURA"/>
        <w:rPr>
          <w:sz w:val="12"/>
          <w:szCs w:val="20"/>
        </w:rPr>
      </w:pPr>
    </w:p>
    <w:p w14:paraId="6EDCFC63" w14:textId="77777777" w:rsidR="00206985" w:rsidRPr="007114AF" w:rsidRDefault="00A9766F" w:rsidP="00617388">
      <w:pPr>
        <w:pStyle w:val="FIGURA"/>
        <w:rPr>
          <w:sz w:val="20"/>
          <w:szCs w:val="20"/>
        </w:rPr>
      </w:pPr>
      <w:r w:rsidRPr="007114AF">
        <w:rPr>
          <w:sz w:val="20"/>
          <w:szCs w:val="20"/>
        </w:rPr>
        <w:t>Tabela</w:t>
      </w:r>
      <w:r w:rsidR="00617388" w:rsidRPr="007114AF">
        <w:rPr>
          <w:sz w:val="20"/>
          <w:szCs w:val="20"/>
        </w:rPr>
        <w:t xml:space="preserve"> </w:t>
      </w:r>
      <w:r w:rsidRPr="007114AF">
        <w:rPr>
          <w:sz w:val="20"/>
          <w:szCs w:val="20"/>
        </w:rPr>
        <w:fldChar w:fldCharType="begin"/>
      </w:r>
      <w:r w:rsidRPr="007114AF">
        <w:rPr>
          <w:sz w:val="20"/>
          <w:szCs w:val="20"/>
        </w:rPr>
        <w:instrText xml:space="preserve"> SEQ Table \* ARABIC </w:instrText>
      </w:r>
      <w:r w:rsidRPr="007114AF">
        <w:rPr>
          <w:sz w:val="20"/>
          <w:szCs w:val="20"/>
        </w:rPr>
        <w:fldChar w:fldCharType="separate"/>
      </w:r>
      <w:r w:rsidRPr="007114AF">
        <w:rPr>
          <w:sz w:val="20"/>
          <w:szCs w:val="20"/>
        </w:rPr>
        <w:t>12</w:t>
      </w:r>
      <w:r w:rsidRPr="007114AF">
        <w:rPr>
          <w:sz w:val="20"/>
          <w:szCs w:val="20"/>
        </w:rPr>
        <w:fldChar w:fldCharType="end"/>
      </w:r>
      <w:r w:rsidRPr="007114AF">
        <w:rPr>
          <w:sz w:val="20"/>
          <w:szCs w:val="20"/>
        </w:rPr>
        <w:t xml:space="preserve"> – Lista e strategjive, ligjeve dhe planeve të përfshira në dokumentin e SKNK-ës</w:t>
      </w:r>
      <w:r w:rsidR="00206985" w:rsidRPr="007114AF">
        <w:rPr>
          <w:sz w:val="20"/>
          <w:szCs w:val="20"/>
        </w:rPr>
        <w:t xml:space="preserve"> </w:t>
      </w:r>
    </w:p>
    <w:tbl>
      <w:tblPr>
        <w:tblStyle w:val="GridTable1Light-Accent11"/>
        <w:tblW w:w="5000" w:type="pct"/>
        <w:tblLayout w:type="fixed"/>
        <w:tblLook w:val="05A0" w:firstRow="1" w:lastRow="0" w:firstColumn="1" w:lastColumn="1" w:noHBand="0" w:noVBand="1"/>
      </w:tblPr>
      <w:tblGrid>
        <w:gridCol w:w="4229"/>
        <w:gridCol w:w="137"/>
        <w:gridCol w:w="1503"/>
        <w:gridCol w:w="1248"/>
        <w:gridCol w:w="147"/>
        <w:gridCol w:w="2023"/>
      </w:tblGrid>
      <w:tr w:rsidR="00A9766F" w:rsidRPr="007114AF" w14:paraId="6EDCFC68" w14:textId="77777777" w:rsidTr="00D75679">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351" w:type="pct"/>
            <w:gridSpan w:val="2"/>
            <w:shd w:val="clear" w:color="auto" w:fill="C6D9F1" w:themeFill="text2" w:themeFillTint="33"/>
            <w:vAlign w:val="center"/>
            <w:hideMark/>
          </w:tcPr>
          <w:p w14:paraId="6EDCFC64" w14:textId="77777777" w:rsidR="00A9766F" w:rsidRPr="007114AF" w:rsidRDefault="00A9766F" w:rsidP="00206985">
            <w:pPr>
              <w:spacing w:after="0"/>
              <w:rPr>
                <w:rFonts w:ascii="Garamond" w:hAnsi="Garamond"/>
                <w:sz w:val="18"/>
                <w:szCs w:val="18"/>
              </w:rPr>
            </w:pPr>
            <w:r w:rsidRPr="007114AF">
              <w:rPr>
                <w:rFonts w:ascii="Garamond" w:hAnsi="Garamond"/>
                <w:sz w:val="18"/>
                <w:szCs w:val="18"/>
              </w:rPr>
              <w:t>Dokumenti</w:t>
            </w:r>
          </w:p>
        </w:tc>
        <w:tc>
          <w:tcPr>
            <w:tcW w:w="809" w:type="pct"/>
            <w:shd w:val="clear" w:color="auto" w:fill="C6D9F1" w:themeFill="text2" w:themeFillTint="33"/>
            <w:vAlign w:val="center"/>
            <w:hideMark/>
          </w:tcPr>
          <w:p w14:paraId="6EDCFC65" w14:textId="77777777" w:rsidR="00A9766F" w:rsidRPr="007114AF" w:rsidRDefault="00A9766F" w:rsidP="00206985">
            <w:pPr>
              <w:spacing w:after="0"/>
              <w:cnfStyle w:val="100000000000" w:firstRow="1" w:lastRow="0" w:firstColumn="0" w:lastColumn="0" w:oddVBand="0" w:evenVBand="0" w:oddHBand="0" w:evenHBand="0" w:firstRowFirstColumn="0" w:firstRowLastColumn="0" w:lastRowFirstColumn="0" w:lastRowLastColumn="0"/>
              <w:rPr>
                <w:rFonts w:ascii="Garamond" w:hAnsi="Garamond"/>
                <w:sz w:val="18"/>
                <w:szCs w:val="18"/>
              </w:rPr>
            </w:pPr>
            <w:r w:rsidRPr="007114AF">
              <w:rPr>
                <w:rFonts w:ascii="Garamond" w:hAnsi="Garamond"/>
                <w:sz w:val="18"/>
                <w:szCs w:val="18"/>
              </w:rPr>
              <w:t xml:space="preserve">Vlefshmëria </w:t>
            </w:r>
          </w:p>
        </w:tc>
        <w:tc>
          <w:tcPr>
            <w:tcW w:w="751" w:type="pct"/>
            <w:gridSpan w:val="2"/>
            <w:shd w:val="clear" w:color="auto" w:fill="C6D9F1" w:themeFill="text2" w:themeFillTint="33"/>
            <w:vAlign w:val="center"/>
            <w:hideMark/>
          </w:tcPr>
          <w:p w14:paraId="6EDCFC66" w14:textId="77777777" w:rsidR="00A9766F" w:rsidRPr="007114AF" w:rsidRDefault="00A9766F" w:rsidP="00206985">
            <w:pPr>
              <w:spacing w:after="0"/>
              <w:cnfStyle w:val="100000000000" w:firstRow="1" w:lastRow="0" w:firstColumn="0" w:lastColumn="0" w:oddVBand="0" w:evenVBand="0" w:oddHBand="0" w:evenHBand="0" w:firstRowFirstColumn="0" w:firstRowLastColumn="0" w:lastRowFirstColumn="0" w:lastRowLastColumn="0"/>
              <w:rPr>
                <w:rFonts w:ascii="Garamond" w:hAnsi="Garamond"/>
                <w:sz w:val="18"/>
                <w:szCs w:val="18"/>
              </w:rPr>
            </w:pPr>
            <w:r w:rsidRPr="007114AF">
              <w:rPr>
                <w:rFonts w:ascii="Garamond" w:hAnsi="Garamond"/>
                <w:sz w:val="18"/>
                <w:szCs w:val="18"/>
              </w:rPr>
              <w:t>Institucionet*</w:t>
            </w:r>
          </w:p>
        </w:tc>
        <w:tc>
          <w:tcPr>
            <w:cnfStyle w:val="000100000000" w:firstRow="0" w:lastRow="0" w:firstColumn="0" w:lastColumn="1" w:oddVBand="0" w:evenVBand="0" w:oddHBand="0" w:evenHBand="0" w:firstRowFirstColumn="0" w:firstRowLastColumn="0" w:lastRowFirstColumn="0" w:lastRowLastColumn="0"/>
            <w:tcW w:w="1090" w:type="pct"/>
            <w:shd w:val="clear" w:color="auto" w:fill="C6D9F1" w:themeFill="text2" w:themeFillTint="33"/>
            <w:vAlign w:val="center"/>
          </w:tcPr>
          <w:p w14:paraId="6EDCFC67" w14:textId="77777777" w:rsidR="00A9766F" w:rsidRPr="007114AF" w:rsidRDefault="00A9766F" w:rsidP="00206985">
            <w:pPr>
              <w:spacing w:after="0"/>
              <w:rPr>
                <w:rFonts w:ascii="Garamond" w:hAnsi="Garamond"/>
                <w:sz w:val="18"/>
                <w:szCs w:val="18"/>
              </w:rPr>
            </w:pPr>
            <w:r w:rsidRPr="007114AF">
              <w:rPr>
                <w:rFonts w:ascii="Garamond" w:hAnsi="Garamond"/>
                <w:sz w:val="18"/>
                <w:szCs w:val="18"/>
              </w:rPr>
              <w:t>Versioni aktual</w:t>
            </w:r>
          </w:p>
        </w:tc>
      </w:tr>
      <w:tr w:rsidR="00A9766F" w:rsidRPr="007114AF" w14:paraId="6EDCFC6A" w14:textId="77777777" w:rsidTr="00A9766F">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6"/>
            <w:shd w:val="clear" w:color="auto" w:fill="C6D9F1" w:themeFill="text2" w:themeFillTint="33"/>
            <w:noWrap/>
            <w:vAlign w:val="center"/>
          </w:tcPr>
          <w:p w14:paraId="6EDCFC69" w14:textId="77777777" w:rsidR="00A9766F" w:rsidRPr="007114AF" w:rsidRDefault="00A9766F" w:rsidP="00206985">
            <w:pPr>
              <w:spacing w:after="0"/>
              <w:rPr>
                <w:rFonts w:ascii="Garamond" w:hAnsi="Garamond"/>
                <w:sz w:val="18"/>
                <w:szCs w:val="18"/>
              </w:rPr>
            </w:pPr>
            <w:r w:rsidRPr="007114AF">
              <w:rPr>
                <w:rFonts w:ascii="Garamond" w:hAnsi="Garamond"/>
                <w:sz w:val="18"/>
                <w:szCs w:val="18"/>
              </w:rPr>
              <w:t xml:space="preserve">Ndërsektorial </w:t>
            </w:r>
          </w:p>
        </w:tc>
      </w:tr>
      <w:tr w:rsidR="00A9766F" w:rsidRPr="007114AF" w14:paraId="6EDCFC6F" w14:textId="77777777" w:rsidTr="00D75679">
        <w:trPr>
          <w:trHeight w:val="20"/>
        </w:trPr>
        <w:tc>
          <w:tcPr>
            <w:cnfStyle w:val="001000000000" w:firstRow="0" w:lastRow="0" w:firstColumn="1" w:lastColumn="0" w:oddVBand="0" w:evenVBand="0" w:oddHBand="0" w:evenHBand="0" w:firstRowFirstColumn="0" w:firstRowLastColumn="0" w:lastRowFirstColumn="0" w:lastRowLastColumn="0"/>
            <w:tcW w:w="2277" w:type="pct"/>
            <w:noWrap/>
            <w:vAlign w:val="center"/>
            <w:hideMark/>
          </w:tcPr>
          <w:p w14:paraId="6EDCFC6B" w14:textId="77777777" w:rsidR="00A9766F" w:rsidRPr="007114AF" w:rsidRDefault="00A9766F" w:rsidP="00206985">
            <w:pPr>
              <w:spacing w:after="0"/>
              <w:rPr>
                <w:rFonts w:ascii="Garamond" w:hAnsi="Garamond"/>
                <w:b w:val="0"/>
                <w:sz w:val="18"/>
                <w:szCs w:val="18"/>
              </w:rPr>
            </w:pPr>
            <w:r w:rsidRPr="007114AF">
              <w:rPr>
                <w:rFonts w:ascii="Garamond" w:hAnsi="Garamond"/>
                <w:sz w:val="18"/>
                <w:szCs w:val="18"/>
              </w:rPr>
              <w:t>Kontributi i Kombëtar i Pikësynuar (INDC) në kuadrin e UNFCCC-ëS</w:t>
            </w:r>
          </w:p>
        </w:tc>
        <w:tc>
          <w:tcPr>
            <w:tcW w:w="882" w:type="pct"/>
            <w:gridSpan w:val="2"/>
            <w:vAlign w:val="center"/>
            <w:hideMark/>
          </w:tcPr>
          <w:p w14:paraId="6EDCFC6C" w14:textId="77777777" w:rsidR="00A9766F" w:rsidRPr="007114AF" w:rsidRDefault="00A9766F" w:rsidP="00206985">
            <w:pPr>
              <w:spacing w:after="0"/>
              <w:cnfStyle w:val="000000000000" w:firstRow="0" w:lastRow="0" w:firstColumn="0" w:lastColumn="0" w:oddVBand="0" w:evenVBand="0" w:oddHBand="0" w:evenHBand="0" w:firstRowFirstColumn="0" w:firstRowLastColumn="0" w:lastRowFirstColumn="0" w:lastRowLastColumn="0"/>
              <w:rPr>
                <w:rFonts w:ascii="Garamond" w:hAnsi="Garamond"/>
                <w:sz w:val="18"/>
                <w:szCs w:val="18"/>
              </w:rPr>
            </w:pPr>
            <w:r w:rsidRPr="007114AF">
              <w:rPr>
                <w:rFonts w:ascii="Garamond" w:hAnsi="Garamond"/>
                <w:sz w:val="18"/>
                <w:szCs w:val="18"/>
              </w:rPr>
              <w:t>2015-2030</w:t>
            </w:r>
          </w:p>
        </w:tc>
        <w:tc>
          <w:tcPr>
            <w:tcW w:w="672" w:type="pct"/>
            <w:vAlign w:val="center"/>
            <w:hideMark/>
          </w:tcPr>
          <w:p w14:paraId="6EDCFC6D" w14:textId="77777777" w:rsidR="00A9766F" w:rsidRPr="007114AF" w:rsidRDefault="00A9766F" w:rsidP="00206985">
            <w:pPr>
              <w:spacing w:after="0"/>
              <w:cnfStyle w:val="000000000000" w:firstRow="0" w:lastRow="0" w:firstColumn="0" w:lastColumn="0" w:oddVBand="0" w:evenVBand="0" w:oddHBand="0" w:evenHBand="0" w:firstRowFirstColumn="0" w:firstRowLastColumn="0" w:lastRowFirstColumn="0" w:lastRowLastColumn="0"/>
              <w:rPr>
                <w:rFonts w:ascii="Garamond" w:hAnsi="Garamond"/>
                <w:sz w:val="18"/>
                <w:szCs w:val="18"/>
              </w:rPr>
            </w:pPr>
            <w:r w:rsidRPr="007114AF">
              <w:rPr>
                <w:rFonts w:ascii="Garamond" w:hAnsi="Garamond"/>
                <w:sz w:val="18"/>
                <w:szCs w:val="18"/>
              </w:rPr>
              <w:t>MIE</w:t>
            </w:r>
          </w:p>
        </w:tc>
        <w:tc>
          <w:tcPr>
            <w:cnfStyle w:val="000100000000" w:firstRow="0" w:lastRow="0" w:firstColumn="0" w:lastColumn="1" w:oddVBand="0" w:evenVBand="0" w:oddHBand="0" w:evenHBand="0" w:firstRowFirstColumn="0" w:firstRowLastColumn="0" w:lastRowFirstColumn="0" w:lastRowLastColumn="0"/>
            <w:tcW w:w="1168" w:type="pct"/>
            <w:gridSpan w:val="2"/>
            <w:vAlign w:val="center"/>
          </w:tcPr>
          <w:p w14:paraId="6EDCFC6E" w14:textId="77777777" w:rsidR="00A9766F" w:rsidRPr="007114AF" w:rsidRDefault="00A9766F" w:rsidP="00206985">
            <w:pPr>
              <w:spacing w:after="0"/>
              <w:rPr>
                <w:rFonts w:ascii="Garamond" w:hAnsi="Garamond"/>
                <w:b w:val="0"/>
                <w:sz w:val="18"/>
                <w:szCs w:val="18"/>
              </w:rPr>
            </w:pPr>
            <w:r w:rsidRPr="007114AF">
              <w:rPr>
                <w:rFonts w:ascii="Garamond" w:hAnsi="Garamond"/>
                <w:sz w:val="18"/>
                <w:szCs w:val="18"/>
              </w:rPr>
              <w:t>25 gusht 2015</w:t>
            </w:r>
          </w:p>
        </w:tc>
      </w:tr>
      <w:tr w:rsidR="00A9766F" w:rsidRPr="007114AF" w14:paraId="6EDCFC74" w14:textId="77777777" w:rsidTr="00D75679">
        <w:trPr>
          <w:trHeight w:val="20"/>
        </w:trPr>
        <w:tc>
          <w:tcPr>
            <w:cnfStyle w:val="001000000000" w:firstRow="0" w:lastRow="0" w:firstColumn="1" w:lastColumn="0" w:oddVBand="0" w:evenVBand="0" w:oddHBand="0" w:evenHBand="0" w:firstRowFirstColumn="0" w:firstRowLastColumn="0" w:lastRowFirstColumn="0" w:lastRowLastColumn="0"/>
            <w:tcW w:w="2277" w:type="pct"/>
            <w:vAlign w:val="center"/>
            <w:hideMark/>
          </w:tcPr>
          <w:p w14:paraId="6EDCFC70" w14:textId="77777777" w:rsidR="00A9766F" w:rsidRPr="007114AF" w:rsidRDefault="00A9766F" w:rsidP="00206985">
            <w:pPr>
              <w:spacing w:after="0"/>
              <w:rPr>
                <w:rFonts w:ascii="Garamond" w:hAnsi="Garamond"/>
                <w:b w:val="0"/>
                <w:sz w:val="18"/>
                <w:szCs w:val="18"/>
              </w:rPr>
            </w:pPr>
            <w:r w:rsidRPr="007114AF">
              <w:rPr>
                <w:rFonts w:ascii="Garamond" w:hAnsi="Garamond"/>
                <w:sz w:val="18"/>
                <w:szCs w:val="18"/>
              </w:rPr>
              <w:t xml:space="preserve">Strategjia Mjedisore Ndërsektoriale (SMNS) </w:t>
            </w:r>
          </w:p>
        </w:tc>
        <w:tc>
          <w:tcPr>
            <w:tcW w:w="882" w:type="pct"/>
            <w:gridSpan w:val="2"/>
            <w:vAlign w:val="center"/>
            <w:hideMark/>
          </w:tcPr>
          <w:p w14:paraId="6EDCFC71" w14:textId="77777777" w:rsidR="00A9766F" w:rsidRPr="007114AF" w:rsidRDefault="00A9766F" w:rsidP="00206985">
            <w:pPr>
              <w:spacing w:after="0"/>
              <w:cnfStyle w:val="000000000000" w:firstRow="0" w:lastRow="0" w:firstColumn="0" w:lastColumn="0" w:oddVBand="0" w:evenVBand="0" w:oddHBand="0" w:evenHBand="0" w:firstRowFirstColumn="0" w:firstRowLastColumn="0" w:lastRowFirstColumn="0" w:lastRowLastColumn="0"/>
              <w:rPr>
                <w:rFonts w:ascii="Garamond" w:hAnsi="Garamond"/>
                <w:sz w:val="18"/>
                <w:szCs w:val="18"/>
              </w:rPr>
            </w:pPr>
            <w:r w:rsidRPr="007114AF">
              <w:rPr>
                <w:rFonts w:ascii="Garamond" w:hAnsi="Garamond"/>
                <w:sz w:val="18"/>
                <w:szCs w:val="18"/>
              </w:rPr>
              <w:t>2015-2020</w:t>
            </w:r>
          </w:p>
        </w:tc>
        <w:tc>
          <w:tcPr>
            <w:tcW w:w="672" w:type="pct"/>
            <w:vAlign w:val="center"/>
            <w:hideMark/>
          </w:tcPr>
          <w:p w14:paraId="6EDCFC72" w14:textId="77777777" w:rsidR="00A9766F" w:rsidRPr="007114AF" w:rsidRDefault="00A9766F" w:rsidP="00206985">
            <w:pPr>
              <w:spacing w:after="0"/>
              <w:cnfStyle w:val="000000000000" w:firstRow="0" w:lastRow="0" w:firstColumn="0" w:lastColumn="0" w:oddVBand="0" w:evenVBand="0" w:oddHBand="0" w:evenHBand="0" w:firstRowFirstColumn="0" w:firstRowLastColumn="0" w:lastRowFirstColumn="0" w:lastRowLastColumn="0"/>
              <w:rPr>
                <w:rFonts w:ascii="Garamond" w:hAnsi="Garamond"/>
                <w:sz w:val="18"/>
                <w:szCs w:val="18"/>
              </w:rPr>
            </w:pPr>
            <w:r w:rsidRPr="007114AF">
              <w:rPr>
                <w:rFonts w:ascii="Garamond" w:hAnsi="Garamond"/>
                <w:sz w:val="18"/>
                <w:szCs w:val="18"/>
              </w:rPr>
              <w:t>MIE</w:t>
            </w:r>
          </w:p>
        </w:tc>
        <w:tc>
          <w:tcPr>
            <w:cnfStyle w:val="000100000000" w:firstRow="0" w:lastRow="0" w:firstColumn="0" w:lastColumn="1" w:oddVBand="0" w:evenVBand="0" w:oddHBand="0" w:evenHBand="0" w:firstRowFirstColumn="0" w:firstRowLastColumn="0" w:lastRowFirstColumn="0" w:lastRowLastColumn="0"/>
            <w:tcW w:w="1168" w:type="pct"/>
            <w:gridSpan w:val="2"/>
            <w:vAlign w:val="center"/>
          </w:tcPr>
          <w:p w14:paraId="6EDCFC73" w14:textId="77777777" w:rsidR="00A9766F" w:rsidRPr="007114AF" w:rsidRDefault="00A9766F" w:rsidP="00206985">
            <w:pPr>
              <w:spacing w:after="0"/>
              <w:rPr>
                <w:rFonts w:ascii="Garamond" w:hAnsi="Garamond"/>
                <w:b w:val="0"/>
                <w:sz w:val="18"/>
                <w:szCs w:val="18"/>
              </w:rPr>
            </w:pPr>
            <w:r w:rsidRPr="007114AF">
              <w:rPr>
                <w:rFonts w:ascii="Garamond" w:hAnsi="Garamond"/>
                <w:sz w:val="18"/>
                <w:szCs w:val="18"/>
              </w:rPr>
              <w:t>Nuk ka datë në dokument</w:t>
            </w:r>
          </w:p>
        </w:tc>
      </w:tr>
      <w:tr w:rsidR="00A9766F" w:rsidRPr="007114AF" w14:paraId="6EDCFC79" w14:textId="77777777" w:rsidTr="00D75679">
        <w:trPr>
          <w:trHeight w:val="20"/>
        </w:trPr>
        <w:tc>
          <w:tcPr>
            <w:cnfStyle w:val="001000000000" w:firstRow="0" w:lastRow="0" w:firstColumn="1" w:lastColumn="0" w:oddVBand="0" w:evenVBand="0" w:oddHBand="0" w:evenHBand="0" w:firstRowFirstColumn="0" w:firstRowLastColumn="0" w:lastRowFirstColumn="0" w:lastRowLastColumn="0"/>
            <w:tcW w:w="2277" w:type="pct"/>
            <w:vAlign w:val="center"/>
            <w:hideMark/>
          </w:tcPr>
          <w:p w14:paraId="6EDCFC75" w14:textId="77777777" w:rsidR="00A9766F" w:rsidRPr="007114AF" w:rsidRDefault="00A9766F" w:rsidP="00206985">
            <w:pPr>
              <w:spacing w:after="0"/>
              <w:rPr>
                <w:rFonts w:ascii="Garamond" w:hAnsi="Garamond"/>
                <w:b w:val="0"/>
                <w:sz w:val="18"/>
                <w:szCs w:val="18"/>
              </w:rPr>
            </w:pPr>
            <w:r w:rsidRPr="007114AF">
              <w:rPr>
                <w:rFonts w:ascii="Garamond" w:hAnsi="Garamond"/>
                <w:sz w:val="18"/>
                <w:szCs w:val="18"/>
              </w:rPr>
              <w:t xml:space="preserve">Strategjia Kombëtare për Integrimin e Zhvillimit (SKZHI-II) </w:t>
            </w:r>
          </w:p>
        </w:tc>
        <w:tc>
          <w:tcPr>
            <w:tcW w:w="882" w:type="pct"/>
            <w:gridSpan w:val="2"/>
            <w:vAlign w:val="center"/>
            <w:hideMark/>
          </w:tcPr>
          <w:p w14:paraId="6EDCFC76" w14:textId="77777777" w:rsidR="00A9766F" w:rsidRPr="007114AF" w:rsidRDefault="00A9766F" w:rsidP="00206985">
            <w:pPr>
              <w:spacing w:after="0"/>
              <w:cnfStyle w:val="000000000000" w:firstRow="0" w:lastRow="0" w:firstColumn="0" w:lastColumn="0" w:oddVBand="0" w:evenVBand="0" w:oddHBand="0" w:evenHBand="0" w:firstRowFirstColumn="0" w:firstRowLastColumn="0" w:lastRowFirstColumn="0" w:lastRowLastColumn="0"/>
              <w:rPr>
                <w:rFonts w:ascii="Garamond" w:hAnsi="Garamond"/>
                <w:sz w:val="18"/>
                <w:szCs w:val="18"/>
              </w:rPr>
            </w:pPr>
            <w:r w:rsidRPr="007114AF">
              <w:rPr>
                <w:rFonts w:ascii="Garamond" w:hAnsi="Garamond"/>
                <w:sz w:val="18"/>
                <w:szCs w:val="18"/>
              </w:rPr>
              <w:t>2015-2020</w:t>
            </w:r>
          </w:p>
        </w:tc>
        <w:tc>
          <w:tcPr>
            <w:tcW w:w="672" w:type="pct"/>
            <w:vAlign w:val="center"/>
            <w:hideMark/>
          </w:tcPr>
          <w:p w14:paraId="6EDCFC77" w14:textId="77777777" w:rsidR="00A9766F" w:rsidRPr="007114AF" w:rsidRDefault="00A9766F" w:rsidP="00206985">
            <w:pPr>
              <w:spacing w:after="0"/>
              <w:cnfStyle w:val="000000000000" w:firstRow="0" w:lastRow="0" w:firstColumn="0" w:lastColumn="0" w:oddVBand="0" w:evenVBand="0" w:oddHBand="0" w:evenHBand="0" w:firstRowFirstColumn="0" w:firstRowLastColumn="0" w:lastRowFirstColumn="0" w:lastRowLastColumn="0"/>
              <w:rPr>
                <w:rFonts w:ascii="Garamond" w:hAnsi="Garamond"/>
                <w:sz w:val="18"/>
                <w:szCs w:val="18"/>
              </w:rPr>
            </w:pPr>
            <w:r w:rsidRPr="007114AF">
              <w:rPr>
                <w:rFonts w:ascii="Garamond" w:hAnsi="Garamond"/>
                <w:sz w:val="18"/>
                <w:szCs w:val="18"/>
              </w:rPr>
              <w:t>QSh</w:t>
            </w:r>
          </w:p>
        </w:tc>
        <w:tc>
          <w:tcPr>
            <w:cnfStyle w:val="000100000000" w:firstRow="0" w:lastRow="0" w:firstColumn="0" w:lastColumn="1" w:oddVBand="0" w:evenVBand="0" w:oddHBand="0" w:evenHBand="0" w:firstRowFirstColumn="0" w:firstRowLastColumn="0" w:lastRowFirstColumn="0" w:lastRowLastColumn="0"/>
            <w:tcW w:w="1168" w:type="pct"/>
            <w:gridSpan w:val="2"/>
            <w:vAlign w:val="center"/>
          </w:tcPr>
          <w:p w14:paraId="6EDCFC78" w14:textId="77777777" w:rsidR="00A9766F" w:rsidRPr="007114AF" w:rsidRDefault="00A9766F" w:rsidP="00206985">
            <w:pPr>
              <w:spacing w:after="0"/>
              <w:rPr>
                <w:rFonts w:ascii="Garamond" w:hAnsi="Garamond"/>
                <w:b w:val="0"/>
                <w:sz w:val="18"/>
                <w:szCs w:val="18"/>
              </w:rPr>
            </w:pPr>
            <w:r w:rsidRPr="007114AF">
              <w:rPr>
                <w:rFonts w:ascii="Garamond" w:hAnsi="Garamond"/>
                <w:sz w:val="18"/>
                <w:szCs w:val="18"/>
              </w:rPr>
              <w:t>Drafti i dytë korrik 2015</w:t>
            </w:r>
          </w:p>
        </w:tc>
      </w:tr>
      <w:tr w:rsidR="00A9766F" w:rsidRPr="007114AF" w14:paraId="6EDCFC7E" w14:textId="77777777" w:rsidTr="00D75679">
        <w:trPr>
          <w:trHeight w:val="20"/>
        </w:trPr>
        <w:tc>
          <w:tcPr>
            <w:cnfStyle w:val="001000000000" w:firstRow="0" w:lastRow="0" w:firstColumn="1" w:lastColumn="0" w:oddVBand="0" w:evenVBand="0" w:oddHBand="0" w:evenHBand="0" w:firstRowFirstColumn="0" w:firstRowLastColumn="0" w:lastRowFirstColumn="0" w:lastRowLastColumn="0"/>
            <w:tcW w:w="2277" w:type="pct"/>
            <w:vAlign w:val="center"/>
          </w:tcPr>
          <w:p w14:paraId="6EDCFC7A" w14:textId="77777777" w:rsidR="00A9766F" w:rsidRPr="007114AF" w:rsidRDefault="00A9766F" w:rsidP="00206985">
            <w:pPr>
              <w:spacing w:after="0"/>
              <w:rPr>
                <w:rFonts w:ascii="Garamond" w:hAnsi="Garamond"/>
                <w:b w:val="0"/>
                <w:sz w:val="18"/>
                <w:szCs w:val="18"/>
              </w:rPr>
            </w:pPr>
            <w:r w:rsidRPr="007114AF">
              <w:rPr>
                <w:rFonts w:ascii="Garamond" w:hAnsi="Garamond"/>
                <w:sz w:val="18"/>
                <w:szCs w:val="18"/>
              </w:rPr>
              <w:t>Projektligj për Ndryshimin e Klimës</w:t>
            </w:r>
          </w:p>
        </w:tc>
        <w:tc>
          <w:tcPr>
            <w:tcW w:w="882" w:type="pct"/>
            <w:gridSpan w:val="2"/>
            <w:vAlign w:val="center"/>
          </w:tcPr>
          <w:p w14:paraId="6EDCFC7B" w14:textId="77777777" w:rsidR="00A9766F" w:rsidRPr="007114AF" w:rsidRDefault="00A9766F" w:rsidP="00206985">
            <w:pPr>
              <w:spacing w:after="0"/>
              <w:cnfStyle w:val="000000000000" w:firstRow="0" w:lastRow="0" w:firstColumn="0" w:lastColumn="0" w:oddVBand="0" w:evenVBand="0" w:oddHBand="0" w:evenHBand="0" w:firstRowFirstColumn="0" w:firstRowLastColumn="0" w:lastRowFirstColumn="0" w:lastRowLastColumn="0"/>
              <w:rPr>
                <w:rFonts w:ascii="Garamond" w:hAnsi="Garamond"/>
                <w:sz w:val="18"/>
                <w:szCs w:val="18"/>
              </w:rPr>
            </w:pPr>
            <w:r w:rsidRPr="007114AF">
              <w:rPr>
                <w:rFonts w:ascii="Garamond" w:hAnsi="Garamond"/>
                <w:color w:val="000000" w:themeColor="text1"/>
                <w:sz w:val="18"/>
                <w:szCs w:val="18"/>
              </w:rPr>
              <w:t xml:space="preserve">Nga hyrja në fuqi deri në rishikim </w:t>
            </w:r>
          </w:p>
        </w:tc>
        <w:tc>
          <w:tcPr>
            <w:tcW w:w="672" w:type="pct"/>
            <w:vAlign w:val="center"/>
          </w:tcPr>
          <w:p w14:paraId="6EDCFC7C" w14:textId="77777777" w:rsidR="00A9766F" w:rsidRPr="007114AF" w:rsidRDefault="00A9766F" w:rsidP="00206985">
            <w:pPr>
              <w:spacing w:after="0"/>
              <w:cnfStyle w:val="000000000000" w:firstRow="0" w:lastRow="0" w:firstColumn="0" w:lastColumn="0" w:oddVBand="0" w:evenVBand="0" w:oddHBand="0" w:evenHBand="0" w:firstRowFirstColumn="0" w:firstRowLastColumn="0" w:lastRowFirstColumn="0" w:lastRowLastColumn="0"/>
              <w:rPr>
                <w:rFonts w:ascii="Garamond" w:hAnsi="Garamond"/>
                <w:sz w:val="18"/>
                <w:szCs w:val="18"/>
              </w:rPr>
            </w:pPr>
            <w:r w:rsidRPr="007114AF">
              <w:rPr>
                <w:rFonts w:ascii="Garamond" w:hAnsi="Garamond"/>
                <w:sz w:val="18"/>
                <w:szCs w:val="18"/>
              </w:rPr>
              <w:t>MM</w:t>
            </w:r>
          </w:p>
        </w:tc>
        <w:tc>
          <w:tcPr>
            <w:cnfStyle w:val="000100000000" w:firstRow="0" w:lastRow="0" w:firstColumn="0" w:lastColumn="1" w:oddVBand="0" w:evenVBand="0" w:oddHBand="0" w:evenHBand="0" w:firstRowFirstColumn="0" w:firstRowLastColumn="0" w:lastRowFirstColumn="0" w:lastRowLastColumn="0"/>
            <w:tcW w:w="1168" w:type="pct"/>
            <w:gridSpan w:val="2"/>
            <w:vAlign w:val="center"/>
          </w:tcPr>
          <w:p w14:paraId="6EDCFC7D" w14:textId="77777777" w:rsidR="00A9766F" w:rsidRPr="007114AF" w:rsidRDefault="00A9766F" w:rsidP="00206985">
            <w:pPr>
              <w:spacing w:after="0"/>
              <w:rPr>
                <w:rFonts w:ascii="Garamond" w:hAnsi="Garamond"/>
                <w:b w:val="0"/>
                <w:sz w:val="18"/>
                <w:szCs w:val="18"/>
              </w:rPr>
            </w:pPr>
            <w:r w:rsidRPr="007114AF">
              <w:rPr>
                <w:rFonts w:ascii="Garamond" w:hAnsi="Garamond"/>
                <w:sz w:val="18"/>
                <w:szCs w:val="18"/>
              </w:rPr>
              <w:t>Drafti i tretë (Janar 2018)</w:t>
            </w:r>
          </w:p>
        </w:tc>
      </w:tr>
      <w:tr w:rsidR="00A9766F" w:rsidRPr="007114AF" w14:paraId="6EDCFC83" w14:textId="77777777" w:rsidTr="00D75679">
        <w:trPr>
          <w:trHeight w:val="20"/>
        </w:trPr>
        <w:tc>
          <w:tcPr>
            <w:cnfStyle w:val="001000000000" w:firstRow="0" w:lastRow="0" w:firstColumn="1" w:lastColumn="0" w:oddVBand="0" w:evenVBand="0" w:oddHBand="0" w:evenHBand="0" w:firstRowFirstColumn="0" w:firstRowLastColumn="0" w:lastRowFirstColumn="0" w:lastRowLastColumn="0"/>
            <w:tcW w:w="2277" w:type="pct"/>
            <w:vAlign w:val="center"/>
          </w:tcPr>
          <w:p w14:paraId="6EDCFC7F" w14:textId="77777777" w:rsidR="00A9766F" w:rsidRPr="007114AF" w:rsidRDefault="00A9766F" w:rsidP="00206985">
            <w:pPr>
              <w:spacing w:after="0"/>
              <w:rPr>
                <w:rFonts w:ascii="Garamond" w:hAnsi="Garamond"/>
                <w:b w:val="0"/>
                <w:sz w:val="18"/>
                <w:szCs w:val="18"/>
              </w:rPr>
            </w:pPr>
            <w:r w:rsidRPr="007114AF">
              <w:rPr>
                <w:rFonts w:ascii="Garamond" w:hAnsi="Garamond"/>
                <w:sz w:val="18"/>
                <w:szCs w:val="18"/>
              </w:rPr>
              <w:t xml:space="preserve">Plani Kombëtar i Territorit (PKT) </w:t>
            </w:r>
          </w:p>
        </w:tc>
        <w:tc>
          <w:tcPr>
            <w:tcW w:w="882" w:type="pct"/>
            <w:gridSpan w:val="2"/>
            <w:vAlign w:val="center"/>
          </w:tcPr>
          <w:p w14:paraId="6EDCFC80" w14:textId="77777777" w:rsidR="00A9766F" w:rsidRPr="007114AF" w:rsidRDefault="00A9766F" w:rsidP="00206985">
            <w:pPr>
              <w:spacing w:after="0"/>
              <w:cnfStyle w:val="000000000000" w:firstRow="0" w:lastRow="0" w:firstColumn="0" w:lastColumn="0" w:oddVBand="0" w:evenVBand="0" w:oddHBand="0" w:evenHBand="0" w:firstRowFirstColumn="0" w:firstRowLastColumn="0" w:lastRowFirstColumn="0" w:lastRowLastColumn="0"/>
              <w:rPr>
                <w:rFonts w:ascii="Garamond" w:hAnsi="Garamond"/>
                <w:color w:val="000000" w:themeColor="text1"/>
                <w:sz w:val="18"/>
                <w:szCs w:val="18"/>
              </w:rPr>
            </w:pPr>
            <w:r w:rsidRPr="007114AF">
              <w:rPr>
                <w:rFonts w:ascii="Garamond" w:hAnsi="Garamond"/>
                <w:color w:val="000000" w:themeColor="text1"/>
                <w:sz w:val="18"/>
                <w:szCs w:val="18"/>
              </w:rPr>
              <w:t>2015-2030</w:t>
            </w:r>
          </w:p>
        </w:tc>
        <w:tc>
          <w:tcPr>
            <w:tcW w:w="672" w:type="pct"/>
            <w:vAlign w:val="center"/>
          </w:tcPr>
          <w:p w14:paraId="6EDCFC81" w14:textId="57CDA123" w:rsidR="00A9766F" w:rsidRPr="007114AF" w:rsidRDefault="00A9766F" w:rsidP="00206985">
            <w:pPr>
              <w:spacing w:after="0"/>
              <w:cnfStyle w:val="000000000000" w:firstRow="0" w:lastRow="0" w:firstColumn="0" w:lastColumn="0" w:oddVBand="0" w:evenVBand="0" w:oddHBand="0" w:evenHBand="0" w:firstRowFirstColumn="0" w:firstRowLastColumn="0" w:lastRowFirstColumn="0" w:lastRowLastColumn="0"/>
              <w:rPr>
                <w:rFonts w:ascii="Garamond" w:hAnsi="Garamond"/>
                <w:sz w:val="18"/>
                <w:szCs w:val="18"/>
              </w:rPr>
            </w:pPr>
            <w:r w:rsidRPr="007114AF">
              <w:rPr>
                <w:rFonts w:ascii="Garamond" w:eastAsia="Times New Roman" w:hAnsi="Garamond" w:cs="Calibri"/>
                <w:sz w:val="18"/>
                <w:szCs w:val="18"/>
                <w:shd w:val="clear" w:color="auto" w:fill="FFFFFF"/>
              </w:rPr>
              <w:t>AKPT</w:t>
            </w:r>
            <w:r w:rsidR="00D75679">
              <w:rPr>
                <w:rFonts w:ascii="Garamond" w:eastAsia="Times New Roman" w:hAnsi="Garamond" w:cs="Calibri"/>
                <w:sz w:val="18"/>
                <w:szCs w:val="18"/>
                <w:shd w:val="clear" w:color="auto" w:fill="FFFFFF"/>
              </w:rPr>
              <w:t xml:space="preserve"> </w:t>
            </w:r>
            <w:r w:rsidRPr="007114AF">
              <w:rPr>
                <w:rFonts w:ascii="Garamond" w:eastAsia="Times New Roman" w:hAnsi="Garamond" w:cs="Calibri"/>
                <w:sz w:val="18"/>
                <w:szCs w:val="18"/>
                <w:shd w:val="clear" w:color="auto" w:fill="FFFFFF"/>
              </w:rPr>
              <w:t>dhe</w:t>
            </w:r>
            <w:r w:rsidR="00D75679">
              <w:rPr>
                <w:rFonts w:ascii="Garamond" w:eastAsia="Times New Roman" w:hAnsi="Garamond" w:cs="Calibri"/>
                <w:sz w:val="18"/>
                <w:szCs w:val="18"/>
                <w:shd w:val="clear" w:color="auto" w:fill="FFFFFF"/>
              </w:rPr>
              <w:t xml:space="preserve"> </w:t>
            </w:r>
            <w:r w:rsidRPr="007114AF">
              <w:rPr>
                <w:rFonts w:ascii="Garamond" w:eastAsia="Times New Roman" w:hAnsi="Garamond" w:cs="Calibri"/>
                <w:sz w:val="18"/>
                <w:szCs w:val="18"/>
                <w:shd w:val="clear" w:color="auto" w:fill="FFFFFF"/>
              </w:rPr>
              <w:t>MZHU</w:t>
            </w:r>
          </w:p>
        </w:tc>
        <w:tc>
          <w:tcPr>
            <w:cnfStyle w:val="000100000000" w:firstRow="0" w:lastRow="0" w:firstColumn="0" w:lastColumn="1" w:oddVBand="0" w:evenVBand="0" w:oddHBand="0" w:evenHBand="0" w:firstRowFirstColumn="0" w:firstRowLastColumn="0" w:lastRowFirstColumn="0" w:lastRowLastColumn="0"/>
            <w:tcW w:w="1168" w:type="pct"/>
            <w:gridSpan w:val="2"/>
            <w:vAlign w:val="center"/>
          </w:tcPr>
          <w:p w14:paraId="6EDCFC82" w14:textId="02756148" w:rsidR="00A9766F" w:rsidRPr="007114AF" w:rsidRDefault="00A9766F" w:rsidP="00206985">
            <w:pPr>
              <w:spacing w:after="0"/>
              <w:rPr>
                <w:rFonts w:ascii="Garamond" w:hAnsi="Garamond"/>
                <w:b w:val="0"/>
                <w:sz w:val="18"/>
                <w:szCs w:val="18"/>
              </w:rPr>
            </w:pPr>
            <w:r w:rsidRPr="007114AF">
              <w:rPr>
                <w:rFonts w:ascii="Garamond" w:hAnsi="Garamond"/>
                <w:sz w:val="18"/>
                <w:szCs w:val="18"/>
              </w:rPr>
              <w:t>Aprovuar me VKM</w:t>
            </w:r>
            <w:r w:rsidR="00242009" w:rsidRPr="007114AF">
              <w:rPr>
                <w:rFonts w:ascii="Garamond" w:hAnsi="Garamond"/>
                <w:sz w:val="18"/>
                <w:szCs w:val="18"/>
              </w:rPr>
              <w:t xml:space="preserve"> nr. </w:t>
            </w:r>
            <w:r w:rsidRPr="007114AF">
              <w:rPr>
                <w:rFonts w:ascii="Garamond" w:hAnsi="Garamond"/>
                <w:sz w:val="18"/>
                <w:szCs w:val="18"/>
              </w:rPr>
              <w:t>881, datë 14.12.2016</w:t>
            </w:r>
          </w:p>
        </w:tc>
      </w:tr>
      <w:tr w:rsidR="00A9766F" w:rsidRPr="007114AF" w14:paraId="6EDCFC88" w14:textId="77777777" w:rsidTr="00D75679">
        <w:trPr>
          <w:trHeight w:val="20"/>
        </w:trPr>
        <w:tc>
          <w:tcPr>
            <w:cnfStyle w:val="001000000000" w:firstRow="0" w:lastRow="0" w:firstColumn="1" w:lastColumn="0" w:oddVBand="0" w:evenVBand="0" w:oddHBand="0" w:evenHBand="0" w:firstRowFirstColumn="0" w:firstRowLastColumn="0" w:lastRowFirstColumn="0" w:lastRowLastColumn="0"/>
            <w:tcW w:w="2277" w:type="pct"/>
          </w:tcPr>
          <w:p w14:paraId="6EDCFC84" w14:textId="77777777" w:rsidR="00A9766F" w:rsidRPr="007114AF" w:rsidRDefault="00A9766F" w:rsidP="00206985">
            <w:pPr>
              <w:spacing w:after="0"/>
              <w:rPr>
                <w:rFonts w:ascii="Garamond" w:hAnsi="Garamond"/>
                <w:sz w:val="18"/>
                <w:szCs w:val="18"/>
              </w:rPr>
            </w:pPr>
            <w:r w:rsidRPr="007114AF">
              <w:rPr>
                <w:rFonts w:ascii="Garamond" w:hAnsi="Garamond"/>
                <w:color w:val="000000" w:themeColor="text1"/>
                <w:sz w:val="18"/>
                <w:szCs w:val="18"/>
              </w:rPr>
              <w:t>Plani i integruar ndërsektorial për bregdetin.</w:t>
            </w:r>
          </w:p>
        </w:tc>
        <w:tc>
          <w:tcPr>
            <w:tcW w:w="882" w:type="pct"/>
            <w:gridSpan w:val="2"/>
          </w:tcPr>
          <w:p w14:paraId="6EDCFC85" w14:textId="77777777" w:rsidR="00A9766F" w:rsidRPr="007114AF" w:rsidRDefault="00A9766F" w:rsidP="00206985">
            <w:pPr>
              <w:spacing w:after="0"/>
              <w:cnfStyle w:val="000000000000" w:firstRow="0" w:lastRow="0" w:firstColumn="0" w:lastColumn="0" w:oddVBand="0" w:evenVBand="0" w:oddHBand="0" w:evenHBand="0" w:firstRowFirstColumn="0" w:firstRowLastColumn="0" w:lastRowFirstColumn="0" w:lastRowLastColumn="0"/>
              <w:rPr>
                <w:rFonts w:ascii="Garamond" w:hAnsi="Garamond"/>
                <w:color w:val="000000" w:themeColor="text1"/>
                <w:sz w:val="18"/>
                <w:szCs w:val="18"/>
              </w:rPr>
            </w:pPr>
            <w:r w:rsidRPr="007114AF">
              <w:rPr>
                <w:rFonts w:ascii="Garamond" w:hAnsi="Garamond"/>
                <w:color w:val="000000" w:themeColor="text1"/>
                <w:sz w:val="18"/>
                <w:szCs w:val="18"/>
              </w:rPr>
              <w:t>2015-2030</w:t>
            </w:r>
          </w:p>
        </w:tc>
        <w:tc>
          <w:tcPr>
            <w:tcW w:w="672" w:type="pct"/>
          </w:tcPr>
          <w:p w14:paraId="6EDCFC86" w14:textId="3E56B8E0" w:rsidR="00A9766F" w:rsidRPr="007114AF" w:rsidRDefault="00A9766F" w:rsidP="0020698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Calibri"/>
                <w:sz w:val="18"/>
                <w:szCs w:val="18"/>
                <w:shd w:val="clear" w:color="auto" w:fill="FFFFFF"/>
              </w:rPr>
            </w:pPr>
            <w:r w:rsidRPr="007114AF">
              <w:rPr>
                <w:rFonts w:ascii="Garamond" w:hAnsi="Garamond"/>
                <w:color w:val="000000" w:themeColor="text1"/>
                <w:sz w:val="18"/>
                <w:szCs w:val="18"/>
              </w:rPr>
              <w:t>AKPT dhe</w:t>
            </w:r>
            <w:r w:rsidR="000A2A01" w:rsidRPr="007114AF">
              <w:rPr>
                <w:rFonts w:ascii="Garamond" w:hAnsi="Garamond"/>
                <w:color w:val="000000" w:themeColor="text1"/>
                <w:sz w:val="18"/>
                <w:szCs w:val="18"/>
              </w:rPr>
              <w:t xml:space="preserve"> </w:t>
            </w:r>
            <w:r w:rsidRPr="007114AF">
              <w:rPr>
                <w:rFonts w:ascii="Garamond" w:hAnsi="Garamond"/>
                <w:color w:val="000000" w:themeColor="text1"/>
                <w:sz w:val="18"/>
                <w:szCs w:val="18"/>
              </w:rPr>
              <w:t>MZHU</w:t>
            </w:r>
          </w:p>
        </w:tc>
        <w:tc>
          <w:tcPr>
            <w:cnfStyle w:val="000100000000" w:firstRow="0" w:lastRow="0" w:firstColumn="0" w:lastColumn="1" w:oddVBand="0" w:evenVBand="0" w:oddHBand="0" w:evenHBand="0" w:firstRowFirstColumn="0" w:firstRowLastColumn="0" w:lastRowFirstColumn="0" w:lastRowLastColumn="0"/>
            <w:tcW w:w="1168" w:type="pct"/>
            <w:gridSpan w:val="2"/>
          </w:tcPr>
          <w:p w14:paraId="6EDCFC87" w14:textId="77777777" w:rsidR="00A9766F" w:rsidRPr="007114AF" w:rsidRDefault="00A9766F" w:rsidP="00206985">
            <w:pPr>
              <w:spacing w:after="0"/>
              <w:rPr>
                <w:rFonts w:ascii="Garamond" w:hAnsi="Garamond"/>
                <w:sz w:val="18"/>
                <w:szCs w:val="18"/>
              </w:rPr>
            </w:pPr>
            <w:r w:rsidRPr="007114AF">
              <w:rPr>
                <w:rFonts w:ascii="Garamond" w:hAnsi="Garamond"/>
                <w:color w:val="000000" w:themeColor="text1"/>
                <w:sz w:val="18"/>
                <w:szCs w:val="18"/>
              </w:rPr>
              <w:t>Dhjetor 2016</w:t>
            </w:r>
          </w:p>
        </w:tc>
      </w:tr>
      <w:tr w:rsidR="00A9766F" w:rsidRPr="007114AF" w14:paraId="6EDCFC8A" w14:textId="77777777" w:rsidTr="00A9766F">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6"/>
            <w:shd w:val="clear" w:color="auto" w:fill="C6D9F1" w:themeFill="text2" w:themeFillTint="33"/>
            <w:vAlign w:val="center"/>
          </w:tcPr>
          <w:p w14:paraId="6EDCFC89" w14:textId="77777777" w:rsidR="00A9766F" w:rsidRPr="007114AF" w:rsidRDefault="00A9766F" w:rsidP="00206985">
            <w:pPr>
              <w:spacing w:after="0"/>
              <w:rPr>
                <w:rFonts w:ascii="Garamond" w:hAnsi="Garamond"/>
                <w:sz w:val="18"/>
                <w:szCs w:val="18"/>
              </w:rPr>
            </w:pPr>
            <w:r w:rsidRPr="007114AF">
              <w:rPr>
                <w:rFonts w:ascii="Garamond" w:hAnsi="Garamond"/>
                <w:sz w:val="18"/>
                <w:szCs w:val="18"/>
              </w:rPr>
              <w:t xml:space="preserve">Sektori i energjisë </w:t>
            </w:r>
          </w:p>
        </w:tc>
      </w:tr>
      <w:tr w:rsidR="00A9766F" w:rsidRPr="007114AF" w14:paraId="6EDCFC8F" w14:textId="77777777" w:rsidTr="00D75679">
        <w:trPr>
          <w:trHeight w:val="20"/>
        </w:trPr>
        <w:tc>
          <w:tcPr>
            <w:cnfStyle w:val="001000000000" w:firstRow="0" w:lastRow="0" w:firstColumn="1" w:lastColumn="0" w:oddVBand="0" w:evenVBand="0" w:oddHBand="0" w:evenHBand="0" w:firstRowFirstColumn="0" w:firstRowLastColumn="0" w:lastRowFirstColumn="0" w:lastRowLastColumn="0"/>
            <w:tcW w:w="2277" w:type="pct"/>
            <w:vAlign w:val="center"/>
            <w:hideMark/>
          </w:tcPr>
          <w:p w14:paraId="6EDCFC8B" w14:textId="77777777" w:rsidR="00A9766F" w:rsidRPr="007114AF" w:rsidRDefault="00A9766F" w:rsidP="00206985">
            <w:pPr>
              <w:spacing w:after="0"/>
              <w:rPr>
                <w:rFonts w:ascii="Garamond" w:hAnsi="Garamond"/>
                <w:b w:val="0"/>
                <w:sz w:val="18"/>
                <w:szCs w:val="18"/>
              </w:rPr>
            </w:pPr>
            <w:r w:rsidRPr="007114AF">
              <w:rPr>
                <w:rFonts w:ascii="Garamond" w:hAnsi="Garamond"/>
                <w:sz w:val="18"/>
                <w:szCs w:val="18"/>
              </w:rPr>
              <w:t>NAMA- Zëvendësimi i lëndëve djegëse fosile me mbetje të parrezikshme në industrinë e çimentos në Shqipëri</w:t>
            </w:r>
          </w:p>
        </w:tc>
        <w:tc>
          <w:tcPr>
            <w:tcW w:w="882" w:type="pct"/>
            <w:gridSpan w:val="2"/>
            <w:vAlign w:val="center"/>
            <w:hideMark/>
          </w:tcPr>
          <w:p w14:paraId="6EDCFC8C" w14:textId="77777777" w:rsidR="00A9766F" w:rsidRPr="007114AF" w:rsidRDefault="00A9766F" w:rsidP="00206985">
            <w:pPr>
              <w:spacing w:after="0"/>
              <w:cnfStyle w:val="000000000000" w:firstRow="0" w:lastRow="0" w:firstColumn="0" w:lastColumn="0" w:oddVBand="0" w:evenVBand="0" w:oddHBand="0" w:evenHBand="0" w:firstRowFirstColumn="0" w:firstRowLastColumn="0" w:lastRowFirstColumn="0" w:lastRowLastColumn="0"/>
              <w:rPr>
                <w:rFonts w:ascii="Garamond" w:hAnsi="Garamond"/>
                <w:sz w:val="18"/>
                <w:szCs w:val="18"/>
              </w:rPr>
            </w:pPr>
            <w:r w:rsidRPr="007114AF">
              <w:rPr>
                <w:rFonts w:ascii="Garamond" w:hAnsi="Garamond"/>
                <w:sz w:val="18"/>
                <w:szCs w:val="18"/>
              </w:rPr>
              <w:t>2015-2020</w:t>
            </w:r>
          </w:p>
        </w:tc>
        <w:tc>
          <w:tcPr>
            <w:tcW w:w="672" w:type="pct"/>
            <w:vAlign w:val="center"/>
            <w:hideMark/>
          </w:tcPr>
          <w:p w14:paraId="6EDCFC8D" w14:textId="77777777" w:rsidR="00A9766F" w:rsidRPr="007114AF" w:rsidRDefault="00A9766F" w:rsidP="00206985">
            <w:pPr>
              <w:spacing w:after="0"/>
              <w:cnfStyle w:val="000000000000" w:firstRow="0" w:lastRow="0" w:firstColumn="0" w:lastColumn="0" w:oddVBand="0" w:evenVBand="0" w:oddHBand="0" w:evenHBand="0" w:firstRowFirstColumn="0" w:firstRowLastColumn="0" w:lastRowFirstColumn="0" w:lastRowLastColumn="0"/>
              <w:rPr>
                <w:rFonts w:ascii="Garamond" w:hAnsi="Garamond"/>
                <w:sz w:val="18"/>
                <w:szCs w:val="18"/>
              </w:rPr>
            </w:pPr>
            <w:r w:rsidRPr="007114AF">
              <w:rPr>
                <w:rFonts w:ascii="Garamond" w:hAnsi="Garamond"/>
                <w:sz w:val="18"/>
                <w:szCs w:val="18"/>
              </w:rPr>
              <w:t>MIE /ME</w:t>
            </w:r>
          </w:p>
        </w:tc>
        <w:tc>
          <w:tcPr>
            <w:cnfStyle w:val="000100000000" w:firstRow="0" w:lastRow="0" w:firstColumn="0" w:lastColumn="1" w:oddVBand="0" w:evenVBand="0" w:oddHBand="0" w:evenHBand="0" w:firstRowFirstColumn="0" w:firstRowLastColumn="0" w:lastRowFirstColumn="0" w:lastRowLastColumn="0"/>
            <w:tcW w:w="1168" w:type="pct"/>
            <w:gridSpan w:val="2"/>
            <w:vAlign w:val="center"/>
          </w:tcPr>
          <w:p w14:paraId="6EDCFC8E" w14:textId="77777777" w:rsidR="00A9766F" w:rsidRPr="007114AF" w:rsidRDefault="00A9766F" w:rsidP="00206985">
            <w:pPr>
              <w:spacing w:after="0"/>
              <w:rPr>
                <w:rFonts w:ascii="Garamond" w:hAnsi="Garamond"/>
                <w:b w:val="0"/>
                <w:sz w:val="18"/>
                <w:szCs w:val="18"/>
              </w:rPr>
            </w:pPr>
            <w:r w:rsidRPr="007114AF">
              <w:rPr>
                <w:rFonts w:ascii="Garamond" w:hAnsi="Garamond"/>
                <w:sz w:val="18"/>
                <w:szCs w:val="18"/>
              </w:rPr>
              <w:t>Nuk ka datë në dokument</w:t>
            </w:r>
          </w:p>
        </w:tc>
      </w:tr>
      <w:tr w:rsidR="00A9766F" w:rsidRPr="007114AF" w14:paraId="6EDCFC94" w14:textId="77777777" w:rsidTr="00D75679">
        <w:trPr>
          <w:trHeight w:val="20"/>
        </w:trPr>
        <w:tc>
          <w:tcPr>
            <w:cnfStyle w:val="001000000000" w:firstRow="0" w:lastRow="0" w:firstColumn="1" w:lastColumn="0" w:oddVBand="0" w:evenVBand="0" w:oddHBand="0" w:evenHBand="0" w:firstRowFirstColumn="0" w:firstRowLastColumn="0" w:lastRowFirstColumn="0" w:lastRowLastColumn="0"/>
            <w:tcW w:w="2277" w:type="pct"/>
            <w:vAlign w:val="center"/>
            <w:hideMark/>
          </w:tcPr>
          <w:p w14:paraId="6EDCFC90" w14:textId="77777777" w:rsidR="00A9766F" w:rsidRPr="007114AF" w:rsidRDefault="00A9766F" w:rsidP="00206985">
            <w:pPr>
              <w:spacing w:after="0"/>
              <w:rPr>
                <w:rFonts w:ascii="Garamond" w:hAnsi="Garamond"/>
                <w:b w:val="0"/>
                <w:sz w:val="18"/>
                <w:szCs w:val="18"/>
              </w:rPr>
            </w:pPr>
            <w:r w:rsidRPr="007114AF">
              <w:rPr>
                <w:rFonts w:ascii="Garamond" w:hAnsi="Garamond"/>
                <w:sz w:val="18"/>
                <w:szCs w:val="18"/>
              </w:rPr>
              <w:t xml:space="preserve">NAMA-Financimi i mekanizmit për eficiencën e energjisë në ndërtesa </w:t>
            </w:r>
          </w:p>
        </w:tc>
        <w:tc>
          <w:tcPr>
            <w:tcW w:w="882" w:type="pct"/>
            <w:gridSpan w:val="2"/>
            <w:vAlign w:val="center"/>
            <w:hideMark/>
          </w:tcPr>
          <w:p w14:paraId="6EDCFC91" w14:textId="77777777" w:rsidR="00A9766F" w:rsidRPr="007114AF" w:rsidRDefault="00A9766F" w:rsidP="00206985">
            <w:pPr>
              <w:spacing w:after="0"/>
              <w:cnfStyle w:val="000000000000" w:firstRow="0" w:lastRow="0" w:firstColumn="0" w:lastColumn="0" w:oddVBand="0" w:evenVBand="0" w:oddHBand="0" w:evenHBand="0" w:firstRowFirstColumn="0" w:firstRowLastColumn="0" w:lastRowFirstColumn="0" w:lastRowLastColumn="0"/>
              <w:rPr>
                <w:rFonts w:ascii="Garamond" w:hAnsi="Garamond"/>
                <w:sz w:val="18"/>
                <w:szCs w:val="18"/>
              </w:rPr>
            </w:pPr>
            <w:r w:rsidRPr="007114AF">
              <w:rPr>
                <w:rFonts w:ascii="Garamond" w:hAnsi="Garamond"/>
                <w:sz w:val="18"/>
                <w:szCs w:val="18"/>
              </w:rPr>
              <w:t>2015-2020</w:t>
            </w:r>
          </w:p>
        </w:tc>
        <w:tc>
          <w:tcPr>
            <w:tcW w:w="672" w:type="pct"/>
            <w:vAlign w:val="center"/>
            <w:hideMark/>
          </w:tcPr>
          <w:p w14:paraId="6EDCFC92" w14:textId="77777777" w:rsidR="00A9766F" w:rsidRPr="007114AF" w:rsidRDefault="00A9766F" w:rsidP="00206985">
            <w:pPr>
              <w:spacing w:after="0"/>
              <w:cnfStyle w:val="000000000000" w:firstRow="0" w:lastRow="0" w:firstColumn="0" w:lastColumn="0" w:oddVBand="0" w:evenVBand="0" w:oddHBand="0" w:evenHBand="0" w:firstRowFirstColumn="0" w:firstRowLastColumn="0" w:lastRowFirstColumn="0" w:lastRowLastColumn="0"/>
              <w:rPr>
                <w:rFonts w:ascii="Garamond" w:hAnsi="Garamond"/>
                <w:sz w:val="18"/>
                <w:szCs w:val="18"/>
              </w:rPr>
            </w:pPr>
            <w:r w:rsidRPr="007114AF">
              <w:rPr>
                <w:rFonts w:ascii="Garamond" w:hAnsi="Garamond"/>
                <w:sz w:val="18"/>
                <w:szCs w:val="18"/>
              </w:rPr>
              <w:t>MIE /ME</w:t>
            </w:r>
          </w:p>
        </w:tc>
        <w:tc>
          <w:tcPr>
            <w:cnfStyle w:val="000100000000" w:firstRow="0" w:lastRow="0" w:firstColumn="0" w:lastColumn="1" w:oddVBand="0" w:evenVBand="0" w:oddHBand="0" w:evenHBand="0" w:firstRowFirstColumn="0" w:firstRowLastColumn="0" w:lastRowFirstColumn="0" w:lastRowLastColumn="0"/>
            <w:tcW w:w="1168" w:type="pct"/>
            <w:gridSpan w:val="2"/>
            <w:vAlign w:val="center"/>
          </w:tcPr>
          <w:p w14:paraId="6EDCFC93" w14:textId="77777777" w:rsidR="00A9766F" w:rsidRPr="007114AF" w:rsidRDefault="00A9766F" w:rsidP="00206985">
            <w:pPr>
              <w:spacing w:after="0"/>
              <w:rPr>
                <w:rFonts w:ascii="Garamond" w:hAnsi="Garamond"/>
                <w:b w:val="0"/>
                <w:sz w:val="18"/>
                <w:szCs w:val="18"/>
              </w:rPr>
            </w:pPr>
            <w:r w:rsidRPr="007114AF">
              <w:rPr>
                <w:rFonts w:ascii="Garamond" w:hAnsi="Garamond"/>
                <w:sz w:val="18"/>
                <w:szCs w:val="18"/>
              </w:rPr>
              <w:t>10 dhjetor 2014</w:t>
            </w:r>
          </w:p>
        </w:tc>
      </w:tr>
      <w:tr w:rsidR="00A9766F" w:rsidRPr="007114AF" w14:paraId="6EDCFC99" w14:textId="77777777" w:rsidTr="00D75679">
        <w:trPr>
          <w:trHeight w:val="20"/>
        </w:trPr>
        <w:tc>
          <w:tcPr>
            <w:cnfStyle w:val="001000000000" w:firstRow="0" w:lastRow="0" w:firstColumn="1" w:lastColumn="0" w:oddVBand="0" w:evenVBand="0" w:oddHBand="0" w:evenHBand="0" w:firstRowFirstColumn="0" w:firstRowLastColumn="0" w:lastRowFirstColumn="0" w:lastRowLastColumn="0"/>
            <w:tcW w:w="2277" w:type="pct"/>
            <w:vAlign w:val="center"/>
            <w:hideMark/>
          </w:tcPr>
          <w:p w14:paraId="6EDCFC95" w14:textId="1F4C6072" w:rsidR="00A9766F" w:rsidRPr="007114AF" w:rsidRDefault="00A9766F" w:rsidP="00206985">
            <w:pPr>
              <w:spacing w:after="0"/>
              <w:rPr>
                <w:rFonts w:ascii="Garamond" w:hAnsi="Garamond"/>
                <w:b w:val="0"/>
                <w:sz w:val="18"/>
                <w:szCs w:val="18"/>
              </w:rPr>
            </w:pPr>
            <w:r w:rsidRPr="007114AF">
              <w:rPr>
                <w:rFonts w:ascii="Garamond" w:hAnsi="Garamond"/>
                <w:sz w:val="18"/>
                <w:szCs w:val="18"/>
              </w:rPr>
              <w:t>Plani i Parë Kombëtar i</w:t>
            </w:r>
            <w:r w:rsidR="000A2A01" w:rsidRPr="007114AF">
              <w:rPr>
                <w:rFonts w:ascii="Garamond" w:hAnsi="Garamond"/>
                <w:sz w:val="18"/>
                <w:szCs w:val="18"/>
              </w:rPr>
              <w:t xml:space="preserve"> </w:t>
            </w:r>
            <w:r w:rsidRPr="007114AF">
              <w:rPr>
                <w:rFonts w:ascii="Garamond" w:hAnsi="Garamond"/>
                <w:sz w:val="18"/>
                <w:szCs w:val="18"/>
              </w:rPr>
              <w:t>Veprimit për Eficiencën e Energjisë (PKVEE)</w:t>
            </w:r>
          </w:p>
        </w:tc>
        <w:tc>
          <w:tcPr>
            <w:tcW w:w="882" w:type="pct"/>
            <w:gridSpan w:val="2"/>
            <w:noWrap/>
            <w:vAlign w:val="center"/>
            <w:hideMark/>
          </w:tcPr>
          <w:p w14:paraId="6EDCFC96" w14:textId="77777777" w:rsidR="00A9766F" w:rsidRPr="007114AF" w:rsidRDefault="00A9766F" w:rsidP="00206985">
            <w:pPr>
              <w:spacing w:after="0"/>
              <w:cnfStyle w:val="000000000000" w:firstRow="0" w:lastRow="0" w:firstColumn="0" w:lastColumn="0" w:oddVBand="0" w:evenVBand="0" w:oddHBand="0" w:evenHBand="0" w:firstRowFirstColumn="0" w:firstRowLastColumn="0" w:lastRowFirstColumn="0" w:lastRowLastColumn="0"/>
              <w:rPr>
                <w:rFonts w:ascii="Garamond" w:hAnsi="Garamond"/>
                <w:sz w:val="18"/>
                <w:szCs w:val="18"/>
              </w:rPr>
            </w:pPr>
            <w:r w:rsidRPr="007114AF">
              <w:rPr>
                <w:rFonts w:ascii="Garamond" w:hAnsi="Garamond"/>
                <w:sz w:val="18"/>
                <w:szCs w:val="18"/>
              </w:rPr>
              <w:t>2010-2018</w:t>
            </w:r>
          </w:p>
        </w:tc>
        <w:tc>
          <w:tcPr>
            <w:tcW w:w="672" w:type="pct"/>
            <w:vAlign w:val="center"/>
            <w:hideMark/>
          </w:tcPr>
          <w:p w14:paraId="6EDCFC97" w14:textId="77777777" w:rsidR="00A9766F" w:rsidRPr="007114AF" w:rsidRDefault="00A9766F" w:rsidP="00206985">
            <w:pPr>
              <w:spacing w:after="0"/>
              <w:cnfStyle w:val="000000000000" w:firstRow="0" w:lastRow="0" w:firstColumn="0" w:lastColumn="0" w:oddVBand="0" w:evenVBand="0" w:oddHBand="0" w:evenHBand="0" w:firstRowFirstColumn="0" w:firstRowLastColumn="0" w:lastRowFirstColumn="0" w:lastRowLastColumn="0"/>
              <w:rPr>
                <w:rFonts w:ascii="Garamond" w:hAnsi="Garamond"/>
                <w:sz w:val="18"/>
                <w:szCs w:val="18"/>
              </w:rPr>
            </w:pPr>
            <w:r w:rsidRPr="007114AF">
              <w:rPr>
                <w:rFonts w:ascii="Garamond" w:hAnsi="Garamond"/>
                <w:sz w:val="18"/>
                <w:szCs w:val="18"/>
              </w:rPr>
              <w:t>MIE</w:t>
            </w:r>
          </w:p>
        </w:tc>
        <w:tc>
          <w:tcPr>
            <w:cnfStyle w:val="000100000000" w:firstRow="0" w:lastRow="0" w:firstColumn="0" w:lastColumn="1" w:oddVBand="0" w:evenVBand="0" w:oddHBand="0" w:evenHBand="0" w:firstRowFirstColumn="0" w:firstRowLastColumn="0" w:lastRowFirstColumn="0" w:lastRowLastColumn="0"/>
            <w:tcW w:w="1168" w:type="pct"/>
            <w:gridSpan w:val="2"/>
            <w:vAlign w:val="center"/>
          </w:tcPr>
          <w:p w14:paraId="6EDCFC98" w14:textId="77777777" w:rsidR="00A9766F" w:rsidRPr="007114AF" w:rsidRDefault="00A9766F" w:rsidP="00206985">
            <w:pPr>
              <w:spacing w:after="0"/>
              <w:rPr>
                <w:rFonts w:ascii="Garamond" w:hAnsi="Garamond"/>
                <w:b w:val="0"/>
                <w:sz w:val="18"/>
                <w:szCs w:val="18"/>
              </w:rPr>
            </w:pPr>
            <w:r w:rsidRPr="007114AF">
              <w:rPr>
                <w:rFonts w:ascii="Garamond" w:hAnsi="Garamond"/>
                <w:sz w:val="18"/>
                <w:szCs w:val="18"/>
              </w:rPr>
              <w:t>Miratuar 2011</w:t>
            </w:r>
          </w:p>
        </w:tc>
      </w:tr>
      <w:tr w:rsidR="00A9766F" w:rsidRPr="007114AF" w14:paraId="6EDCFC9E" w14:textId="77777777" w:rsidTr="00D75679">
        <w:trPr>
          <w:trHeight w:val="20"/>
        </w:trPr>
        <w:tc>
          <w:tcPr>
            <w:cnfStyle w:val="001000000000" w:firstRow="0" w:lastRow="0" w:firstColumn="1" w:lastColumn="0" w:oddVBand="0" w:evenVBand="0" w:oddHBand="0" w:evenHBand="0" w:firstRowFirstColumn="0" w:firstRowLastColumn="0" w:lastRowFirstColumn="0" w:lastRowLastColumn="0"/>
            <w:tcW w:w="2277" w:type="pct"/>
            <w:vAlign w:val="center"/>
            <w:hideMark/>
          </w:tcPr>
          <w:p w14:paraId="6EDCFC9A" w14:textId="77777777" w:rsidR="00A9766F" w:rsidRPr="007114AF" w:rsidRDefault="00A9766F" w:rsidP="00206985">
            <w:pPr>
              <w:spacing w:after="0"/>
              <w:rPr>
                <w:rFonts w:ascii="Garamond" w:hAnsi="Garamond"/>
                <w:b w:val="0"/>
                <w:color w:val="000000" w:themeColor="text1"/>
                <w:sz w:val="18"/>
                <w:szCs w:val="18"/>
              </w:rPr>
            </w:pPr>
            <w:r w:rsidRPr="007114AF">
              <w:rPr>
                <w:rFonts w:ascii="Garamond" w:hAnsi="Garamond"/>
                <w:color w:val="000000" w:themeColor="text1"/>
                <w:sz w:val="18"/>
                <w:szCs w:val="18"/>
              </w:rPr>
              <w:t xml:space="preserve">Plani i Veprimit për Burimet e Rinovueshme të Energjisë në Shqipëri (BERBER) </w:t>
            </w:r>
          </w:p>
        </w:tc>
        <w:tc>
          <w:tcPr>
            <w:tcW w:w="882" w:type="pct"/>
            <w:gridSpan w:val="2"/>
            <w:noWrap/>
            <w:vAlign w:val="center"/>
            <w:hideMark/>
          </w:tcPr>
          <w:p w14:paraId="6EDCFC9B" w14:textId="77777777" w:rsidR="00A9766F" w:rsidRPr="007114AF" w:rsidRDefault="00A9766F" w:rsidP="00206985">
            <w:pPr>
              <w:spacing w:after="0"/>
              <w:cnfStyle w:val="000000000000" w:firstRow="0" w:lastRow="0" w:firstColumn="0" w:lastColumn="0" w:oddVBand="0" w:evenVBand="0" w:oddHBand="0" w:evenHBand="0" w:firstRowFirstColumn="0" w:firstRowLastColumn="0" w:lastRowFirstColumn="0" w:lastRowLastColumn="0"/>
              <w:rPr>
                <w:rFonts w:ascii="Garamond" w:hAnsi="Garamond"/>
                <w:color w:val="000000" w:themeColor="text1"/>
                <w:sz w:val="18"/>
                <w:szCs w:val="18"/>
              </w:rPr>
            </w:pPr>
            <w:r w:rsidRPr="007114AF">
              <w:rPr>
                <w:rFonts w:ascii="Garamond" w:hAnsi="Garamond"/>
                <w:color w:val="000000" w:themeColor="text1"/>
                <w:sz w:val="18"/>
                <w:szCs w:val="18"/>
              </w:rPr>
              <w:t>2015-2020</w:t>
            </w:r>
          </w:p>
        </w:tc>
        <w:tc>
          <w:tcPr>
            <w:tcW w:w="672" w:type="pct"/>
            <w:noWrap/>
            <w:vAlign w:val="center"/>
            <w:hideMark/>
          </w:tcPr>
          <w:p w14:paraId="6EDCFC9C" w14:textId="77777777" w:rsidR="00A9766F" w:rsidRPr="007114AF" w:rsidRDefault="00A9766F" w:rsidP="00206985">
            <w:pPr>
              <w:spacing w:after="0"/>
              <w:cnfStyle w:val="000000000000" w:firstRow="0" w:lastRow="0" w:firstColumn="0" w:lastColumn="0" w:oddVBand="0" w:evenVBand="0" w:oddHBand="0" w:evenHBand="0" w:firstRowFirstColumn="0" w:firstRowLastColumn="0" w:lastRowFirstColumn="0" w:lastRowLastColumn="0"/>
              <w:rPr>
                <w:rFonts w:ascii="Garamond" w:hAnsi="Garamond"/>
                <w:color w:val="000000" w:themeColor="text1"/>
                <w:sz w:val="18"/>
                <w:szCs w:val="18"/>
              </w:rPr>
            </w:pPr>
            <w:r w:rsidRPr="007114AF">
              <w:rPr>
                <w:rFonts w:ascii="Garamond" w:hAnsi="Garamond"/>
                <w:color w:val="000000" w:themeColor="text1"/>
                <w:sz w:val="18"/>
                <w:szCs w:val="18"/>
              </w:rPr>
              <w:t>MIE</w:t>
            </w:r>
          </w:p>
        </w:tc>
        <w:tc>
          <w:tcPr>
            <w:cnfStyle w:val="000100000000" w:firstRow="0" w:lastRow="0" w:firstColumn="0" w:lastColumn="1" w:oddVBand="0" w:evenVBand="0" w:oddHBand="0" w:evenHBand="0" w:firstRowFirstColumn="0" w:firstRowLastColumn="0" w:lastRowFirstColumn="0" w:lastRowLastColumn="0"/>
            <w:tcW w:w="1168" w:type="pct"/>
            <w:gridSpan w:val="2"/>
            <w:vAlign w:val="center"/>
          </w:tcPr>
          <w:p w14:paraId="6EDCFC9D" w14:textId="77777777" w:rsidR="00A9766F" w:rsidRPr="007114AF" w:rsidRDefault="00A9766F" w:rsidP="00206985">
            <w:pPr>
              <w:spacing w:after="0"/>
              <w:rPr>
                <w:rFonts w:ascii="Garamond" w:hAnsi="Garamond"/>
                <w:b w:val="0"/>
                <w:color w:val="000000" w:themeColor="text1"/>
                <w:sz w:val="18"/>
                <w:szCs w:val="18"/>
              </w:rPr>
            </w:pPr>
            <w:r w:rsidRPr="007114AF">
              <w:rPr>
                <w:rFonts w:ascii="Garamond" w:hAnsi="Garamond"/>
                <w:color w:val="000000" w:themeColor="text1"/>
                <w:sz w:val="18"/>
                <w:szCs w:val="18"/>
              </w:rPr>
              <w:t>Janar2016 (miratuar nga Këshilli i Ministrave)</w:t>
            </w:r>
          </w:p>
        </w:tc>
      </w:tr>
      <w:tr w:rsidR="00A9766F" w:rsidRPr="007114AF" w14:paraId="6EDCFCA3" w14:textId="77777777" w:rsidTr="00D75679">
        <w:trPr>
          <w:trHeight w:val="20"/>
        </w:trPr>
        <w:tc>
          <w:tcPr>
            <w:cnfStyle w:val="001000000000" w:firstRow="0" w:lastRow="0" w:firstColumn="1" w:lastColumn="0" w:oddVBand="0" w:evenVBand="0" w:oddHBand="0" w:evenHBand="0" w:firstRowFirstColumn="0" w:firstRowLastColumn="0" w:lastRowFirstColumn="0" w:lastRowLastColumn="0"/>
            <w:tcW w:w="2277" w:type="pct"/>
            <w:vAlign w:val="center"/>
          </w:tcPr>
          <w:p w14:paraId="6EDCFC9F" w14:textId="77777777" w:rsidR="00A9766F" w:rsidRPr="007114AF" w:rsidRDefault="00A9766F" w:rsidP="00206985">
            <w:pPr>
              <w:spacing w:after="0"/>
              <w:rPr>
                <w:rFonts w:ascii="Garamond" w:hAnsi="Garamond"/>
                <w:b w:val="0"/>
                <w:color w:val="000000" w:themeColor="text1"/>
                <w:sz w:val="18"/>
                <w:szCs w:val="18"/>
              </w:rPr>
            </w:pPr>
            <w:r w:rsidRPr="007114AF">
              <w:rPr>
                <w:rFonts w:ascii="Garamond" w:hAnsi="Garamond"/>
                <w:color w:val="000000" w:themeColor="text1"/>
                <w:sz w:val="18"/>
                <w:szCs w:val="18"/>
              </w:rPr>
              <w:t xml:space="preserve">Ligji 124/2015 për Eficiencën e Energjisë </w:t>
            </w:r>
          </w:p>
        </w:tc>
        <w:tc>
          <w:tcPr>
            <w:tcW w:w="882" w:type="pct"/>
            <w:gridSpan w:val="2"/>
            <w:noWrap/>
          </w:tcPr>
          <w:p w14:paraId="6EDCFCA0" w14:textId="77777777" w:rsidR="00A9766F" w:rsidRPr="007114AF" w:rsidRDefault="00A9766F" w:rsidP="00206985">
            <w:pPr>
              <w:spacing w:after="0"/>
              <w:cnfStyle w:val="000000000000" w:firstRow="0" w:lastRow="0" w:firstColumn="0" w:lastColumn="0" w:oddVBand="0" w:evenVBand="0" w:oddHBand="0" w:evenHBand="0" w:firstRowFirstColumn="0" w:firstRowLastColumn="0" w:lastRowFirstColumn="0" w:lastRowLastColumn="0"/>
              <w:rPr>
                <w:rFonts w:ascii="Garamond" w:hAnsi="Garamond"/>
                <w:sz w:val="18"/>
                <w:szCs w:val="18"/>
              </w:rPr>
            </w:pPr>
            <w:r w:rsidRPr="007114AF">
              <w:rPr>
                <w:rFonts w:ascii="Garamond" w:hAnsi="Garamond"/>
                <w:color w:val="000000" w:themeColor="text1"/>
                <w:sz w:val="18"/>
                <w:szCs w:val="18"/>
              </w:rPr>
              <w:t>Nga hyrja në fuqi deri në rishikim</w:t>
            </w:r>
          </w:p>
        </w:tc>
        <w:tc>
          <w:tcPr>
            <w:tcW w:w="672" w:type="pct"/>
            <w:vAlign w:val="center"/>
          </w:tcPr>
          <w:p w14:paraId="6EDCFCA1" w14:textId="77777777" w:rsidR="00A9766F" w:rsidRPr="007114AF" w:rsidRDefault="00A9766F" w:rsidP="00206985">
            <w:pPr>
              <w:spacing w:after="0"/>
              <w:cnfStyle w:val="000000000000" w:firstRow="0" w:lastRow="0" w:firstColumn="0" w:lastColumn="0" w:oddVBand="0" w:evenVBand="0" w:oddHBand="0" w:evenHBand="0" w:firstRowFirstColumn="0" w:firstRowLastColumn="0" w:lastRowFirstColumn="0" w:lastRowLastColumn="0"/>
              <w:rPr>
                <w:rFonts w:ascii="Garamond" w:hAnsi="Garamond"/>
                <w:color w:val="000000" w:themeColor="text1"/>
                <w:sz w:val="18"/>
                <w:szCs w:val="18"/>
              </w:rPr>
            </w:pPr>
            <w:r w:rsidRPr="007114AF">
              <w:rPr>
                <w:rFonts w:ascii="Garamond" w:hAnsi="Garamond"/>
                <w:color w:val="000000" w:themeColor="text1"/>
                <w:sz w:val="18"/>
                <w:szCs w:val="18"/>
              </w:rPr>
              <w:t>MIE</w:t>
            </w:r>
          </w:p>
        </w:tc>
        <w:tc>
          <w:tcPr>
            <w:cnfStyle w:val="000100000000" w:firstRow="0" w:lastRow="0" w:firstColumn="0" w:lastColumn="1" w:oddVBand="0" w:evenVBand="0" w:oddHBand="0" w:evenHBand="0" w:firstRowFirstColumn="0" w:firstRowLastColumn="0" w:lastRowFirstColumn="0" w:lastRowLastColumn="0"/>
            <w:tcW w:w="1168" w:type="pct"/>
            <w:gridSpan w:val="2"/>
            <w:vAlign w:val="center"/>
          </w:tcPr>
          <w:p w14:paraId="6EDCFCA2" w14:textId="77777777" w:rsidR="00A9766F" w:rsidRPr="007114AF" w:rsidRDefault="00A9766F" w:rsidP="00206985">
            <w:pPr>
              <w:spacing w:after="0"/>
              <w:rPr>
                <w:rFonts w:ascii="Garamond" w:hAnsi="Garamond"/>
                <w:b w:val="0"/>
                <w:color w:val="000000" w:themeColor="text1"/>
                <w:sz w:val="18"/>
                <w:szCs w:val="18"/>
              </w:rPr>
            </w:pPr>
            <w:r w:rsidRPr="007114AF">
              <w:rPr>
                <w:rFonts w:ascii="Garamond" w:hAnsi="Garamond"/>
                <w:color w:val="000000" w:themeColor="text1"/>
                <w:sz w:val="18"/>
                <w:szCs w:val="18"/>
              </w:rPr>
              <w:t>Miratuar nga Kuvendi i Shqipërisë dhe Presidenti në nëntor 2015</w:t>
            </w:r>
          </w:p>
        </w:tc>
      </w:tr>
      <w:tr w:rsidR="00A9766F" w:rsidRPr="007114AF" w14:paraId="6EDCFCA8" w14:textId="77777777" w:rsidTr="00D75679">
        <w:trPr>
          <w:trHeight w:val="20"/>
        </w:trPr>
        <w:tc>
          <w:tcPr>
            <w:cnfStyle w:val="001000000000" w:firstRow="0" w:lastRow="0" w:firstColumn="1" w:lastColumn="0" w:oddVBand="0" w:evenVBand="0" w:oddHBand="0" w:evenHBand="0" w:firstRowFirstColumn="0" w:firstRowLastColumn="0" w:lastRowFirstColumn="0" w:lastRowLastColumn="0"/>
            <w:tcW w:w="2277" w:type="pct"/>
            <w:vAlign w:val="center"/>
          </w:tcPr>
          <w:p w14:paraId="6EDCFCA4" w14:textId="77777777" w:rsidR="00A9766F" w:rsidRPr="007114AF" w:rsidRDefault="00A9766F" w:rsidP="00206985">
            <w:pPr>
              <w:spacing w:after="0"/>
              <w:rPr>
                <w:rFonts w:ascii="Garamond" w:hAnsi="Garamond"/>
                <w:b w:val="0"/>
                <w:color w:val="000000" w:themeColor="text1"/>
                <w:sz w:val="18"/>
                <w:szCs w:val="18"/>
              </w:rPr>
            </w:pPr>
            <w:r w:rsidRPr="007114AF">
              <w:rPr>
                <w:rFonts w:ascii="Garamond" w:hAnsi="Garamond"/>
                <w:color w:val="000000" w:themeColor="text1"/>
                <w:sz w:val="18"/>
                <w:szCs w:val="18"/>
              </w:rPr>
              <w:t>Projektligj për Burimet e Energjisë së Rinovueshme</w:t>
            </w:r>
          </w:p>
        </w:tc>
        <w:tc>
          <w:tcPr>
            <w:tcW w:w="882" w:type="pct"/>
            <w:gridSpan w:val="2"/>
            <w:noWrap/>
          </w:tcPr>
          <w:p w14:paraId="6EDCFCA5" w14:textId="77777777" w:rsidR="00A9766F" w:rsidRPr="007114AF" w:rsidRDefault="00A9766F" w:rsidP="00206985">
            <w:pPr>
              <w:spacing w:after="0"/>
              <w:cnfStyle w:val="000000000000" w:firstRow="0" w:lastRow="0" w:firstColumn="0" w:lastColumn="0" w:oddVBand="0" w:evenVBand="0" w:oddHBand="0" w:evenHBand="0" w:firstRowFirstColumn="0" w:firstRowLastColumn="0" w:lastRowFirstColumn="0" w:lastRowLastColumn="0"/>
              <w:rPr>
                <w:rFonts w:ascii="Garamond" w:hAnsi="Garamond"/>
                <w:sz w:val="18"/>
                <w:szCs w:val="18"/>
              </w:rPr>
            </w:pPr>
            <w:r w:rsidRPr="007114AF">
              <w:rPr>
                <w:rFonts w:ascii="Garamond" w:hAnsi="Garamond"/>
                <w:color w:val="000000" w:themeColor="text1"/>
                <w:sz w:val="18"/>
                <w:szCs w:val="18"/>
              </w:rPr>
              <w:t>Nga hyrja në fuqi deri në rishikim</w:t>
            </w:r>
          </w:p>
        </w:tc>
        <w:tc>
          <w:tcPr>
            <w:tcW w:w="672" w:type="pct"/>
            <w:vAlign w:val="center"/>
          </w:tcPr>
          <w:p w14:paraId="6EDCFCA6" w14:textId="77777777" w:rsidR="00A9766F" w:rsidRPr="007114AF" w:rsidRDefault="00A9766F" w:rsidP="00206985">
            <w:pPr>
              <w:spacing w:after="0"/>
              <w:cnfStyle w:val="000000000000" w:firstRow="0" w:lastRow="0" w:firstColumn="0" w:lastColumn="0" w:oddVBand="0" w:evenVBand="0" w:oddHBand="0" w:evenHBand="0" w:firstRowFirstColumn="0" w:firstRowLastColumn="0" w:lastRowFirstColumn="0" w:lastRowLastColumn="0"/>
              <w:rPr>
                <w:rFonts w:ascii="Garamond" w:hAnsi="Garamond"/>
                <w:color w:val="000000" w:themeColor="text1"/>
                <w:sz w:val="18"/>
                <w:szCs w:val="18"/>
              </w:rPr>
            </w:pPr>
            <w:r w:rsidRPr="007114AF">
              <w:rPr>
                <w:rFonts w:ascii="Garamond" w:hAnsi="Garamond"/>
                <w:color w:val="000000" w:themeColor="text1"/>
                <w:sz w:val="18"/>
                <w:szCs w:val="18"/>
              </w:rPr>
              <w:t>MIE</w:t>
            </w:r>
          </w:p>
        </w:tc>
        <w:tc>
          <w:tcPr>
            <w:cnfStyle w:val="000100000000" w:firstRow="0" w:lastRow="0" w:firstColumn="0" w:lastColumn="1" w:oddVBand="0" w:evenVBand="0" w:oddHBand="0" w:evenHBand="0" w:firstRowFirstColumn="0" w:firstRowLastColumn="0" w:lastRowFirstColumn="0" w:lastRowLastColumn="0"/>
            <w:tcW w:w="1168" w:type="pct"/>
            <w:gridSpan w:val="2"/>
            <w:vAlign w:val="center"/>
          </w:tcPr>
          <w:p w14:paraId="6EDCFCA7" w14:textId="77777777" w:rsidR="00A9766F" w:rsidRPr="007114AF" w:rsidRDefault="00A9766F" w:rsidP="00206985">
            <w:pPr>
              <w:spacing w:after="0"/>
              <w:rPr>
                <w:rFonts w:ascii="Garamond" w:hAnsi="Garamond"/>
                <w:b w:val="0"/>
                <w:color w:val="000000" w:themeColor="text1"/>
                <w:sz w:val="18"/>
                <w:szCs w:val="18"/>
              </w:rPr>
            </w:pPr>
            <w:r w:rsidRPr="007114AF">
              <w:rPr>
                <w:rFonts w:ascii="Garamond" w:hAnsi="Garamond"/>
                <w:color w:val="000000" w:themeColor="text1"/>
                <w:sz w:val="18"/>
                <w:szCs w:val="18"/>
              </w:rPr>
              <w:t>Drafti shtator 2015</w:t>
            </w:r>
          </w:p>
        </w:tc>
      </w:tr>
      <w:tr w:rsidR="00A9766F" w:rsidRPr="007114AF" w14:paraId="6EDCFCAD" w14:textId="77777777" w:rsidTr="00D75679">
        <w:trPr>
          <w:trHeight w:val="20"/>
        </w:trPr>
        <w:tc>
          <w:tcPr>
            <w:cnfStyle w:val="001000000000" w:firstRow="0" w:lastRow="0" w:firstColumn="1" w:lastColumn="0" w:oddVBand="0" w:evenVBand="0" w:oddHBand="0" w:evenHBand="0" w:firstRowFirstColumn="0" w:firstRowLastColumn="0" w:lastRowFirstColumn="0" w:lastRowLastColumn="0"/>
            <w:tcW w:w="2277" w:type="pct"/>
            <w:vAlign w:val="center"/>
          </w:tcPr>
          <w:p w14:paraId="6EDCFCA9" w14:textId="77777777" w:rsidR="00A9766F" w:rsidRPr="007114AF" w:rsidRDefault="00A9766F" w:rsidP="00206985">
            <w:pPr>
              <w:spacing w:after="0"/>
              <w:rPr>
                <w:rFonts w:ascii="Garamond" w:hAnsi="Garamond"/>
                <w:b w:val="0"/>
                <w:sz w:val="18"/>
                <w:szCs w:val="18"/>
              </w:rPr>
            </w:pPr>
            <w:r w:rsidRPr="007114AF">
              <w:rPr>
                <w:rFonts w:ascii="Garamond" w:hAnsi="Garamond"/>
                <w:sz w:val="18"/>
                <w:szCs w:val="18"/>
              </w:rPr>
              <w:t>Projektligj për Performancën e Energjisë në Ndërtesa (PEN).</w:t>
            </w:r>
          </w:p>
        </w:tc>
        <w:tc>
          <w:tcPr>
            <w:tcW w:w="882" w:type="pct"/>
            <w:gridSpan w:val="2"/>
            <w:noWrap/>
          </w:tcPr>
          <w:p w14:paraId="6EDCFCAA" w14:textId="77777777" w:rsidR="00A9766F" w:rsidRPr="007114AF" w:rsidRDefault="00A9766F" w:rsidP="00206985">
            <w:pPr>
              <w:spacing w:after="0"/>
              <w:cnfStyle w:val="000000000000" w:firstRow="0" w:lastRow="0" w:firstColumn="0" w:lastColumn="0" w:oddVBand="0" w:evenVBand="0" w:oddHBand="0" w:evenHBand="0" w:firstRowFirstColumn="0" w:firstRowLastColumn="0" w:lastRowFirstColumn="0" w:lastRowLastColumn="0"/>
              <w:rPr>
                <w:rFonts w:ascii="Garamond" w:hAnsi="Garamond"/>
                <w:sz w:val="18"/>
                <w:szCs w:val="18"/>
              </w:rPr>
            </w:pPr>
            <w:r w:rsidRPr="007114AF">
              <w:rPr>
                <w:rFonts w:ascii="Garamond" w:hAnsi="Garamond"/>
                <w:color w:val="000000" w:themeColor="text1"/>
                <w:sz w:val="18"/>
                <w:szCs w:val="18"/>
              </w:rPr>
              <w:t>Nga hyrja në fuqi deri në rishikim</w:t>
            </w:r>
          </w:p>
        </w:tc>
        <w:tc>
          <w:tcPr>
            <w:tcW w:w="672" w:type="pct"/>
            <w:vAlign w:val="center"/>
          </w:tcPr>
          <w:p w14:paraId="6EDCFCAB" w14:textId="77777777" w:rsidR="00A9766F" w:rsidRPr="007114AF" w:rsidRDefault="00A9766F" w:rsidP="00206985">
            <w:pPr>
              <w:spacing w:after="0"/>
              <w:cnfStyle w:val="000000000000" w:firstRow="0" w:lastRow="0" w:firstColumn="0" w:lastColumn="0" w:oddVBand="0" w:evenVBand="0" w:oddHBand="0" w:evenHBand="0" w:firstRowFirstColumn="0" w:firstRowLastColumn="0" w:lastRowFirstColumn="0" w:lastRowLastColumn="0"/>
              <w:rPr>
                <w:rFonts w:ascii="Garamond" w:hAnsi="Garamond"/>
                <w:sz w:val="18"/>
                <w:szCs w:val="18"/>
              </w:rPr>
            </w:pPr>
            <w:r w:rsidRPr="007114AF">
              <w:rPr>
                <w:rFonts w:ascii="Garamond" w:hAnsi="Garamond"/>
                <w:sz w:val="18"/>
                <w:szCs w:val="18"/>
              </w:rPr>
              <w:t>MIE</w:t>
            </w:r>
          </w:p>
        </w:tc>
        <w:tc>
          <w:tcPr>
            <w:cnfStyle w:val="000100000000" w:firstRow="0" w:lastRow="0" w:firstColumn="0" w:lastColumn="1" w:oddVBand="0" w:evenVBand="0" w:oddHBand="0" w:evenHBand="0" w:firstRowFirstColumn="0" w:firstRowLastColumn="0" w:lastRowFirstColumn="0" w:lastRowLastColumn="0"/>
            <w:tcW w:w="1168" w:type="pct"/>
            <w:gridSpan w:val="2"/>
            <w:vAlign w:val="center"/>
          </w:tcPr>
          <w:p w14:paraId="6EDCFCAC" w14:textId="77777777" w:rsidR="00A9766F" w:rsidRPr="007114AF" w:rsidRDefault="00A9766F" w:rsidP="00206985">
            <w:pPr>
              <w:spacing w:after="0"/>
              <w:rPr>
                <w:rFonts w:ascii="Garamond" w:hAnsi="Garamond"/>
                <w:b w:val="0"/>
                <w:sz w:val="18"/>
                <w:szCs w:val="18"/>
              </w:rPr>
            </w:pPr>
            <w:r w:rsidRPr="007114AF">
              <w:rPr>
                <w:rFonts w:ascii="Garamond" w:hAnsi="Garamond"/>
                <w:sz w:val="18"/>
                <w:szCs w:val="18"/>
              </w:rPr>
              <w:t>Draftifinal – 15 dhjetor 2015</w:t>
            </w:r>
          </w:p>
        </w:tc>
      </w:tr>
      <w:tr w:rsidR="00A9766F" w:rsidRPr="007114AF" w14:paraId="6EDCFCAF" w14:textId="77777777" w:rsidTr="00A9766F">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6"/>
            <w:shd w:val="clear" w:color="auto" w:fill="C6D9F1" w:themeFill="text2" w:themeFillTint="33"/>
            <w:vAlign w:val="center"/>
          </w:tcPr>
          <w:p w14:paraId="6EDCFCAE" w14:textId="77777777" w:rsidR="00A9766F" w:rsidRPr="007114AF" w:rsidRDefault="00A9766F" w:rsidP="00206985">
            <w:pPr>
              <w:spacing w:after="0"/>
              <w:rPr>
                <w:rFonts w:ascii="Garamond" w:hAnsi="Garamond"/>
                <w:sz w:val="18"/>
                <w:szCs w:val="18"/>
              </w:rPr>
            </w:pPr>
            <w:r w:rsidRPr="007114AF">
              <w:rPr>
                <w:rFonts w:ascii="Garamond" w:hAnsi="Garamond"/>
                <w:sz w:val="18"/>
                <w:szCs w:val="18"/>
              </w:rPr>
              <w:t>Sektori i Transportit</w:t>
            </w:r>
          </w:p>
        </w:tc>
      </w:tr>
      <w:tr w:rsidR="00A9766F" w:rsidRPr="007114AF" w14:paraId="6EDCFCB4" w14:textId="77777777" w:rsidTr="00D75679">
        <w:trPr>
          <w:trHeight w:val="70"/>
        </w:trPr>
        <w:tc>
          <w:tcPr>
            <w:cnfStyle w:val="001000000000" w:firstRow="0" w:lastRow="0" w:firstColumn="1" w:lastColumn="0" w:oddVBand="0" w:evenVBand="0" w:oddHBand="0" w:evenHBand="0" w:firstRowFirstColumn="0" w:firstRowLastColumn="0" w:lastRowFirstColumn="0" w:lastRowLastColumn="0"/>
            <w:tcW w:w="2277" w:type="pct"/>
            <w:vAlign w:val="center"/>
            <w:hideMark/>
          </w:tcPr>
          <w:p w14:paraId="6EDCFCB0" w14:textId="7B508D67" w:rsidR="00A9766F" w:rsidRPr="007114AF" w:rsidRDefault="00A9766F" w:rsidP="00206985">
            <w:pPr>
              <w:spacing w:after="0"/>
              <w:rPr>
                <w:rFonts w:ascii="Garamond" w:hAnsi="Garamond"/>
                <w:b w:val="0"/>
                <w:sz w:val="18"/>
                <w:szCs w:val="18"/>
              </w:rPr>
            </w:pPr>
            <w:r w:rsidRPr="007114AF">
              <w:rPr>
                <w:rFonts w:ascii="Garamond" w:hAnsi="Garamond"/>
                <w:sz w:val="18"/>
                <w:szCs w:val="18"/>
              </w:rPr>
              <w:t>Strategjia dhe Plani i Veprimit i</w:t>
            </w:r>
            <w:r w:rsidR="000A2A01" w:rsidRPr="007114AF">
              <w:rPr>
                <w:rFonts w:ascii="Garamond" w:hAnsi="Garamond"/>
                <w:sz w:val="18"/>
                <w:szCs w:val="18"/>
              </w:rPr>
              <w:t xml:space="preserve"> </w:t>
            </w:r>
            <w:r w:rsidRPr="007114AF">
              <w:rPr>
                <w:rFonts w:ascii="Garamond" w:hAnsi="Garamond"/>
                <w:sz w:val="18"/>
                <w:szCs w:val="18"/>
              </w:rPr>
              <w:t>Sektorit të Transportit (SSTPV)</w:t>
            </w:r>
          </w:p>
        </w:tc>
        <w:tc>
          <w:tcPr>
            <w:tcW w:w="882" w:type="pct"/>
            <w:gridSpan w:val="2"/>
            <w:noWrap/>
            <w:vAlign w:val="center"/>
            <w:hideMark/>
          </w:tcPr>
          <w:p w14:paraId="6EDCFCB1" w14:textId="77777777" w:rsidR="00A9766F" w:rsidRPr="007114AF" w:rsidRDefault="00A9766F" w:rsidP="00206985">
            <w:pPr>
              <w:spacing w:after="0"/>
              <w:cnfStyle w:val="000000000000" w:firstRow="0" w:lastRow="0" w:firstColumn="0" w:lastColumn="0" w:oddVBand="0" w:evenVBand="0" w:oddHBand="0" w:evenHBand="0" w:firstRowFirstColumn="0" w:firstRowLastColumn="0" w:lastRowFirstColumn="0" w:lastRowLastColumn="0"/>
              <w:rPr>
                <w:rFonts w:ascii="Garamond" w:hAnsi="Garamond"/>
                <w:sz w:val="18"/>
                <w:szCs w:val="18"/>
              </w:rPr>
            </w:pPr>
            <w:r w:rsidRPr="007114AF">
              <w:rPr>
                <w:rFonts w:ascii="Garamond" w:hAnsi="Garamond"/>
                <w:sz w:val="18"/>
                <w:szCs w:val="18"/>
              </w:rPr>
              <w:t>2016-2020</w:t>
            </w:r>
          </w:p>
        </w:tc>
        <w:tc>
          <w:tcPr>
            <w:tcW w:w="672" w:type="pct"/>
            <w:noWrap/>
            <w:vAlign w:val="center"/>
            <w:hideMark/>
          </w:tcPr>
          <w:p w14:paraId="6EDCFCB2" w14:textId="77777777" w:rsidR="00A9766F" w:rsidRPr="007114AF" w:rsidRDefault="00A9766F" w:rsidP="00206985">
            <w:pPr>
              <w:spacing w:after="0"/>
              <w:cnfStyle w:val="000000000000" w:firstRow="0" w:lastRow="0" w:firstColumn="0" w:lastColumn="0" w:oddVBand="0" w:evenVBand="0" w:oddHBand="0" w:evenHBand="0" w:firstRowFirstColumn="0" w:firstRowLastColumn="0" w:lastRowFirstColumn="0" w:lastRowLastColumn="0"/>
              <w:rPr>
                <w:rFonts w:ascii="Garamond" w:hAnsi="Garamond"/>
                <w:sz w:val="18"/>
                <w:szCs w:val="18"/>
              </w:rPr>
            </w:pPr>
            <w:r w:rsidRPr="007114AF">
              <w:rPr>
                <w:rFonts w:ascii="Garamond" w:hAnsi="Garamond"/>
                <w:sz w:val="18"/>
                <w:szCs w:val="18"/>
              </w:rPr>
              <w:t>MTI</w:t>
            </w:r>
          </w:p>
        </w:tc>
        <w:tc>
          <w:tcPr>
            <w:cnfStyle w:val="000100000000" w:firstRow="0" w:lastRow="0" w:firstColumn="0" w:lastColumn="1" w:oddVBand="0" w:evenVBand="0" w:oddHBand="0" w:evenHBand="0" w:firstRowFirstColumn="0" w:firstRowLastColumn="0" w:lastRowFirstColumn="0" w:lastRowLastColumn="0"/>
            <w:tcW w:w="1168" w:type="pct"/>
            <w:gridSpan w:val="2"/>
            <w:vAlign w:val="center"/>
          </w:tcPr>
          <w:p w14:paraId="6EDCFCB3" w14:textId="77777777" w:rsidR="00A9766F" w:rsidRPr="007114AF" w:rsidRDefault="00A9766F" w:rsidP="00206985">
            <w:pPr>
              <w:spacing w:after="0"/>
              <w:rPr>
                <w:rFonts w:ascii="Garamond" w:hAnsi="Garamond"/>
                <w:b w:val="0"/>
                <w:sz w:val="18"/>
                <w:szCs w:val="18"/>
              </w:rPr>
            </w:pPr>
            <w:r w:rsidRPr="007114AF">
              <w:rPr>
                <w:rFonts w:ascii="Garamond" w:hAnsi="Garamond"/>
                <w:sz w:val="18"/>
                <w:szCs w:val="18"/>
              </w:rPr>
              <w:t>Draft 0.1 – 31 janar 2016</w:t>
            </w:r>
          </w:p>
        </w:tc>
      </w:tr>
      <w:tr w:rsidR="00A9766F" w:rsidRPr="007114AF" w14:paraId="6EDCFCB9" w14:textId="77777777" w:rsidTr="00D75679">
        <w:trPr>
          <w:trHeight w:val="20"/>
        </w:trPr>
        <w:tc>
          <w:tcPr>
            <w:cnfStyle w:val="001000000000" w:firstRow="0" w:lastRow="0" w:firstColumn="1" w:lastColumn="0" w:oddVBand="0" w:evenVBand="0" w:oddHBand="0" w:evenHBand="0" w:firstRowFirstColumn="0" w:firstRowLastColumn="0" w:lastRowFirstColumn="0" w:lastRowLastColumn="0"/>
            <w:tcW w:w="2277" w:type="pct"/>
            <w:vAlign w:val="center"/>
            <w:hideMark/>
          </w:tcPr>
          <w:p w14:paraId="6EDCFCB5" w14:textId="77777777" w:rsidR="00A9766F" w:rsidRPr="007114AF" w:rsidRDefault="00A9766F" w:rsidP="00206985">
            <w:pPr>
              <w:spacing w:after="0"/>
              <w:rPr>
                <w:rFonts w:ascii="Garamond" w:hAnsi="Garamond"/>
                <w:b w:val="0"/>
                <w:sz w:val="18"/>
                <w:szCs w:val="18"/>
              </w:rPr>
            </w:pPr>
            <w:r w:rsidRPr="007114AF">
              <w:rPr>
                <w:rFonts w:ascii="Garamond" w:hAnsi="Garamond"/>
                <w:sz w:val="18"/>
                <w:szCs w:val="18"/>
              </w:rPr>
              <w:t>Plani për Transport të Qëndrueshëm (TECTQ) – Dokumenti bazë.</w:t>
            </w:r>
          </w:p>
        </w:tc>
        <w:tc>
          <w:tcPr>
            <w:tcW w:w="882" w:type="pct"/>
            <w:gridSpan w:val="2"/>
            <w:noWrap/>
            <w:vAlign w:val="center"/>
            <w:hideMark/>
          </w:tcPr>
          <w:p w14:paraId="6EDCFCB6" w14:textId="77777777" w:rsidR="00A9766F" w:rsidRPr="007114AF" w:rsidRDefault="00A9766F" w:rsidP="00206985">
            <w:pPr>
              <w:spacing w:after="0"/>
              <w:cnfStyle w:val="000000000000" w:firstRow="0" w:lastRow="0" w:firstColumn="0" w:lastColumn="0" w:oddVBand="0" w:evenVBand="0" w:oddHBand="0" w:evenHBand="0" w:firstRowFirstColumn="0" w:firstRowLastColumn="0" w:lastRowFirstColumn="0" w:lastRowLastColumn="0"/>
              <w:rPr>
                <w:rFonts w:ascii="Garamond" w:hAnsi="Garamond"/>
                <w:sz w:val="18"/>
                <w:szCs w:val="18"/>
              </w:rPr>
            </w:pPr>
            <w:r w:rsidRPr="007114AF">
              <w:rPr>
                <w:rFonts w:ascii="Garamond" w:hAnsi="Garamond"/>
                <w:sz w:val="18"/>
                <w:szCs w:val="18"/>
              </w:rPr>
              <w:t>2016-2020</w:t>
            </w:r>
          </w:p>
        </w:tc>
        <w:tc>
          <w:tcPr>
            <w:tcW w:w="672" w:type="pct"/>
            <w:vAlign w:val="center"/>
            <w:hideMark/>
          </w:tcPr>
          <w:p w14:paraId="6EDCFCB7" w14:textId="77777777" w:rsidR="00A9766F" w:rsidRPr="007114AF" w:rsidRDefault="00A9766F" w:rsidP="00206985">
            <w:pPr>
              <w:spacing w:after="0"/>
              <w:cnfStyle w:val="000000000000" w:firstRow="0" w:lastRow="0" w:firstColumn="0" w:lastColumn="0" w:oddVBand="0" w:evenVBand="0" w:oddHBand="0" w:evenHBand="0" w:firstRowFirstColumn="0" w:firstRowLastColumn="0" w:lastRowFirstColumn="0" w:lastRowLastColumn="0"/>
              <w:rPr>
                <w:rFonts w:ascii="Garamond" w:hAnsi="Garamond"/>
                <w:sz w:val="18"/>
                <w:szCs w:val="18"/>
              </w:rPr>
            </w:pPr>
            <w:r w:rsidRPr="007114AF">
              <w:rPr>
                <w:rFonts w:ascii="Garamond" w:hAnsi="Garamond"/>
                <w:sz w:val="18"/>
                <w:szCs w:val="18"/>
              </w:rPr>
              <w:t>MTI</w:t>
            </w:r>
          </w:p>
        </w:tc>
        <w:tc>
          <w:tcPr>
            <w:cnfStyle w:val="000100000000" w:firstRow="0" w:lastRow="0" w:firstColumn="0" w:lastColumn="1" w:oddVBand="0" w:evenVBand="0" w:oddHBand="0" w:evenHBand="0" w:firstRowFirstColumn="0" w:firstRowLastColumn="0" w:lastRowFirstColumn="0" w:lastRowLastColumn="0"/>
            <w:tcW w:w="1168" w:type="pct"/>
            <w:gridSpan w:val="2"/>
            <w:vAlign w:val="center"/>
          </w:tcPr>
          <w:p w14:paraId="6EDCFCB8" w14:textId="1811D323" w:rsidR="00A9766F" w:rsidRPr="007114AF" w:rsidRDefault="00A9766F" w:rsidP="0082368C">
            <w:pPr>
              <w:spacing w:after="0"/>
              <w:rPr>
                <w:rFonts w:ascii="Garamond" w:hAnsi="Garamond"/>
                <w:b w:val="0"/>
                <w:bCs w:val="0"/>
                <w:sz w:val="18"/>
                <w:szCs w:val="18"/>
              </w:rPr>
            </w:pPr>
            <w:r w:rsidRPr="007114AF">
              <w:rPr>
                <w:rFonts w:ascii="Garamond" w:hAnsi="Garamond" w:cs="Georgia"/>
                <w:color w:val="000000"/>
                <w:sz w:val="18"/>
                <w:szCs w:val="18"/>
              </w:rPr>
              <w:t>Raporti i Objektivave të Qëndruesh</w:t>
            </w:r>
            <w:r w:rsidR="0082368C">
              <w:rPr>
                <w:rFonts w:ascii="Garamond" w:hAnsi="Garamond" w:cs="Georgia"/>
                <w:color w:val="000000"/>
                <w:sz w:val="18"/>
                <w:szCs w:val="18"/>
              </w:rPr>
              <w:t>ë</w:t>
            </w:r>
            <w:r w:rsidRPr="007114AF">
              <w:rPr>
                <w:rFonts w:ascii="Garamond" w:hAnsi="Garamond" w:cs="Georgia"/>
                <w:color w:val="000000"/>
                <w:sz w:val="18"/>
                <w:szCs w:val="18"/>
              </w:rPr>
              <w:t>m – 05 maj 2015</w:t>
            </w:r>
          </w:p>
        </w:tc>
      </w:tr>
      <w:tr w:rsidR="00A9766F" w:rsidRPr="007114AF" w14:paraId="6EDCFCBB" w14:textId="77777777" w:rsidTr="00A9766F">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6"/>
            <w:shd w:val="clear" w:color="auto" w:fill="C6D9F1" w:themeFill="text2" w:themeFillTint="33"/>
            <w:vAlign w:val="center"/>
          </w:tcPr>
          <w:p w14:paraId="6EDCFCBA" w14:textId="77777777" w:rsidR="00A9766F" w:rsidRPr="007114AF" w:rsidRDefault="00A9766F" w:rsidP="00206985">
            <w:pPr>
              <w:spacing w:after="0"/>
              <w:rPr>
                <w:rFonts w:ascii="Garamond" w:hAnsi="Garamond"/>
                <w:sz w:val="18"/>
                <w:szCs w:val="18"/>
              </w:rPr>
            </w:pPr>
            <w:r w:rsidRPr="007114AF">
              <w:rPr>
                <w:rFonts w:ascii="Garamond" w:hAnsi="Garamond"/>
                <w:sz w:val="18"/>
                <w:szCs w:val="18"/>
              </w:rPr>
              <w:t>Bujqësia dhe LUCF-ja</w:t>
            </w:r>
          </w:p>
        </w:tc>
      </w:tr>
      <w:tr w:rsidR="00A9766F" w:rsidRPr="007114AF" w14:paraId="6EDCFCC0" w14:textId="77777777" w:rsidTr="00D75679">
        <w:trPr>
          <w:trHeight w:val="20"/>
        </w:trPr>
        <w:tc>
          <w:tcPr>
            <w:cnfStyle w:val="001000000000" w:firstRow="0" w:lastRow="0" w:firstColumn="1" w:lastColumn="0" w:oddVBand="0" w:evenVBand="0" w:oddHBand="0" w:evenHBand="0" w:firstRowFirstColumn="0" w:firstRowLastColumn="0" w:lastRowFirstColumn="0" w:lastRowLastColumn="0"/>
            <w:tcW w:w="2277" w:type="pct"/>
            <w:vAlign w:val="center"/>
            <w:hideMark/>
          </w:tcPr>
          <w:p w14:paraId="6EDCFCBC" w14:textId="77777777" w:rsidR="00A9766F" w:rsidRPr="007114AF" w:rsidRDefault="00A9766F" w:rsidP="00206985">
            <w:pPr>
              <w:spacing w:after="0"/>
              <w:rPr>
                <w:rFonts w:ascii="Garamond" w:hAnsi="Garamond"/>
                <w:b w:val="0"/>
                <w:sz w:val="18"/>
                <w:szCs w:val="18"/>
              </w:rPr>
            </w:pPr>
            <w:r w:rsidRPr="007114AF">
              <w:rPr>
                <w:rFonts w:ascii="Garamond" w:hAnsi="Garamond"/>
                <w:sz w:val="18"/>
                <w:szCs w:val="18"/>
              </w:rPr>
              <w:t>Strategjia ndërsektoriale për Bujqësinë dhe zhvillimin rural në Shqipëri (SNBZHR)</w:t>
            </w:r>
          </w:p>
        </w:tc>
        <w:tc>
          <w:tcPr>
            <w:tcW w:w="882" w:type="pct"/>
            <w:gridSpan w:val="2"/>
            <w:vAlign w:val="center"/>
            <w:hideMark/>
          </w:tcPr>
          <w:p w14:paraId="6EDCFCBD" w14:textId="77777777" w:rsidR="00A9766F" w:rsidRPr="007114AF" w:rsidRDefault="00A9766F" w:rsidP="00206985">
            <w:pPr>
              <w:spacing w:after="0"/>
              <w:cnfStyle w:val="000000000000" w:firstRow="0" w:lastRow="0" w:firstColumn="0" w:lastColumn="0" w:oddVBand="0" w:evenVBand="0" w:oddHBand="0" w:evenHBand="0" w:firstRowFirstColumn="0" w:firstRowLastColumn="0" w:lastRowFirstColumn="0" w:lastRowLastColumn="0"/>
              <w:rPr>
                <w:rFonts w:ascii="Garamond" w:hAnsi="Garamond"/>
                <w:sz w:val="18"/>
                <w:szCs w:val="18"/>
              </w:rPr>
            </w:pPr>
            <w:r w:rsidRPr="007114AF">
              <w:rPr>
                <w:rFonts w:ascii="Garamond" w:hAnsi="Garamond"/>
                <w:sz w:val="18"/>
                <w:szCs w:val="18"/>
              </w:rPr>
              <w:t>2014-2020</w:t>
            </w:r>
          </w:p>
        </w:tc>
        <w:tc>
          <w:tcPr>
            <w:tcW w:w="672" w:type="pct"/>
            <w:noWrap/>
            <w:vAlign w:val="center"/>
            <w:hideMark/>
          </w:tcPr>
          <w:p w14:paraId="6EDCFCBE" w14:textId="77777777" w:rsidR="00A9766F" w:rsidRPr="007114AF" w:rsidRDefault="00A9766F" w:rsidP="00206985">
            <w:pPr>
              <w:spacing w:after="0"/>
              <w:cnfStyle w:val="000000000000" w:firstRow="0" w:lastRow="0" w:firstColumn="0" w:lastColumn="0" w:oddVBand="0" w:evenVBand="0" w:oddHBand="0" w:evenHBand="0" w:firstRowFirstColumn="0" w:firstRowLastColumn="0" w:lastRowFirstColumn="0" w:lastRowLastColumn="0"/>
              <w:rPr>
                <w:rFonts w:ascii="Garamond" w:hAnsi="Garamond"/>
                <w:sz w:val="18"/>
                <w:szCs w:val="18"/>
              </w:rPr>
            </w:pPr>
            <w:r w:rsidRPr="007114AF">
              <w:rPr>
                <w:rFonts w:ascii="Garamond" w:hAnsi="Garamond"/>
                <w:sz w:val="18"/>
                <w:szCs w:val="18"/>
                <w:lang w:eastAsia="de-DE"/>
              </w:rPr>
              <w:t>MBZHR</w:t>
            </w:r>
          </w:p>
        </w:tc>
        <w:tc>
          <w:tcPr>
            <w:cnfStyle w:val="000100000000" w:firstRow="0" w:lastRow="0" w:firstColumn="0" w:lastColumn="1" w:oddVBand="0" w:evenVBand="0" w:oddHBand="0" w:evenHBand="0" w:firstRowFirstColumn="0" w:firstRowLastColumn="0" w:lastRowFirstColumn="0" w:lastRowLastColumn="0"/>
            <w:tcW w:w="1168" w:type="pct"/>
            <w:gridSpan w:val="2"/>
            <w:vAlign w:val="center"/>
          </w:tcPr>
          <w:p w14:paraId="6EDCFCBF" w14:textId="77777777" w:rsidR="00A9766F" w:rsidRPr="007114AF" w:rsidRDefault="00A9766F" w:rsidP="00206985">
            <w:pPr>
              <w:spacing w:after="0"/>
              <w:rPr>
                <w:rFonts w:ascii="Garamond" w:hAnsi="Garamond"/>
                <w:b w:val="0"/>
                <w:sz w:val="18"/>
                <w:szCs w:val="18"/>
              </w:rPr>
            </w:pPr>
            <w:r w:rsidRPr="007114AF">
              <w:rPr>
                <w:rFonts w:ascii="Garamond" w:hAnsi="Garamond"/>
                <w:sz w:val="18"/>
                <w:szCs w:val="18"/>
              </w:rPr>
              <w:t>Versioni i fundit qershor 2014</w:t>
            </w:r>
          </w:p>
        </w:tc>
      </w:tr>
      <w:tr w:rsidR="00A9766F" w:rsidRPr="007114AF" w14:paraId="6EDCFCC5" w14:textId="77777777" w:rsidTr="00D75679">
        <w:trPr>
          <w:trHeight w:val="20"/>
        </w:trPr>
        <w:tc>
          <w:tcPr>
            <w:cnfStyle w:val="001000000000" w:firstRow="0" w:lastRow="0" w:firstColumn="1" w:lastColumn="0" w:oddVBand="0" w:evenVBand="0" w:oddHBand="0" w:evenHBand="0" w:firstRowFirstColumn="0" w:firstRowLastColumn="0" w:lastRowFirstColumn="0" w:lastRowLastColumn="0"/>
            <w:tcW w:w="2277" w:type="pct"/>
            <w:vAlign w:val="center"/>
            <w:hideMark/>
          </w:tcPr>
          <w:p w14:paraId="6EDCFCC1" w14:textId="2ECDEF03" w:rsidR="00A9766F" w:rsidRPr="007114AF" w:rsidRDefault="00A9766F" w:rsidP="00206985">
            <w:pPr>
              <w:spacing w:after="0"/>
              <w:rPr>
                <w:rFonts w:ascii="Garamond" w:hAnsi="Garamond"/>
                <w:b w:val="0"/>
                <w:sz w:val="18"/>
                <w:szCs w:val="18"/>
              </w:rPr>
            </w:pPr>
            <w:r w:rsidRPr="007114AF">
              <w:rPr>
                <w:rFonts w:ascii="Garamond" w:hAnsi="Garamond"/>
                <w:sz w:val="18"/>
                <w:szCs w:val="18"/>
              </w:rPr>
              <w:t xml:space="preserve">Programi i Zhvillimit Rural </w:t>
            </w:r>
            <w:r w:rsidR="00C6608F" w:rsidRPr="007114AF">
              <w:rPr>
                <w:rFonts w:ascii="Garamond" w:hAnsi="Garamond"/>
                <w:sz w:val="18"/>
                <w:szCs w:val="18"/>
              </w:rPr>
              <w:t>2014–2020</w:t>
            </w:r>
            <w:r w:rsidRPr="007114AF">
              <w:rPr>
                <w:rFonts w:ascii="Garamond" w:hAnsi="Garamond"/>
                <w:sz w:val="18"/>
                <w:szCs w:val="18"/>
              </w:rPr>
              <w:t>në kuadrin e Instrumentit për Asistencë para Anëtarësimit (IPARD)</w:t>
            </w:r>
          </w:p>
        </w:tc>
        <w:tc>
          <w:tcPr>
            <w:tcW w:w="882" w:type="pct"/>
            <w:gridSpan w:val="2"/>
            <w:vAlign w:val="center"/>
            <w:hideMark/>
          </w:tcPr>
          <w:p w14:paraId="6EDCFCC2" w14:textId="77777777" w:rsidR="00A9766F" w:rsidRPr="007114AF" w:rsidRDefault="00A9766F" w:rsidP="00206985">
            <w:pPr>
              <w:spacing w:after="0"/>
              <w:cnfStyle w:val="000000000000" w:firstRow="0" w:lastRow="0" w:firstColumn="0" w:lastColumn="0" w:oddVBand="0" w:evenVBand="0" w:oddHBand="0" w:evenHBand="0" w:firstRowFirstColumn="0" w:firstRowLastColumn="0" w:lastRowFirstColumn="0" w:lastRowLastColumn="0"/>
              <w:rPr>
                <w:rFonts w:ascii="Garamond" w:hAnsi="Garamond"/>
                <w:sz w:val="18"/>
                <w:szCs w:val="18"/>
              </w:rPr>
            </w:pPr>
            <w:r w:rsidRPr="007114AF">
              <w:rPr>
                <w:rFonts w:ascii="Garamond" w:hAnsi="Garamond"/>
                <w:sz w:val="18"/>
                <w:szCs w:val="18"/>
              </w:rPr>
              <w:t>2014-2020</w:t>
            </w:r>
          </w:p>
        </w:tc>
        <w:tc>
          <w:tcPr>
            <w:tcW w:w="672" w:type="pct"/>
            <w:vAlign w:val="center"/>
            <w:hideMark/>
          </w:tcPr>
          <w:p w14:paraId="6EDCFCC3" w14:textId="77777777" w:rsidR="00A9766F" w:rsidRPr="007114AF" w:rsidRDefault="00A9766F" w:rsidP="00206985">
            <w:pPr>
              <w:spacing w:after="0"/>
              <w:cnfStyle w:val="000000000000" w:firstRow="0" w:lastRow="0" w:firstColumn="0" w:lastColumn="0" w:oddVBand="0" w:evenVBand="0" w:oddHBand="0" w:evenHBand="0" w:firstRowFirstColumn="0" w:firstRowLastColumn="0" w:lastRowFirstColumn="0" w:lastRowLastColumn="0"/>
              <w:rPr>
                <w:rFonts w:ascii="Garamond" w:hAnsi="Garamond"/>
                <w:sz w:val="18"/>
                <w:szCs w:val="18"/>
              </w:rPr>
            </w:pPr>
            <w:r w:rsidRPr="007114AF">
              <w:rPr>
                <w:rFonts w:ascii="Garamond" w:hAnsi="Garamond"/>
                <w:sz w:val="18"/>
                <w:szCs w:val="18"/>
                <w:lang w:eastAsia="de-DE"/>
              </w:rPr>
              <w:t>MBZHR</w:t>
            </w:r>
          </w:p>
        </w:tc>
        <w:tc>
          <w:tcPr>
            <w:cnfStyle w:val="000100000000" w:firstRow="0" w:lastRow="0" w:firstColumn="0" w:lastColumn="1" w:oddVBand="0" w:evenVBand="0" w:oddHBand="0" w:evenHBand="0" w:firstRowFirstColumn="0" w:firstRowLastColumn="0" w:lastRowFirstColumn="0" w:lastRowLastColumn="0"/>
            <w:tcW w:w="1168" w:type="pct"/>
            <w:gridSpan w:val="2"/>
            <w:vAlign w:val="center"/>
          </w:tcPr>
          <w:p w14:paraId="6EDCFCC4" w14:textId="77777777" w:rsidR="00A9766F" w:rsidRPr="007114AF" w:rsidRDefault="00A9766F" w:rsidP="00206985">
            <w:pPr>
              <w:spacing w:after="0"/>
              <w:rPr>
                <w:rFonts w:ascii="Garamond" w:hAnsi="Garamond"/>
                <w:b w:val="0"/>
                <w:sz w:val="18"/>
                <w:szCs w:val="18"/>
              </w:rPr>
            </w:pPr>
            <w:r w:rsidRPr="007114AF">
              <w:rPr>
                <w:rFonts w:ascii="Garamond" w:hAnsi="Garamond"/>
                <w:sz w:val="18"/>
                <w:szCs w:val="18"/>
              </w:rPr>
              <w:t>28 Maj 2015</w:t>
            </w:r>
          </w:p>
        </w:tc>
      </w:tr>
      <w:tr w:rsidR="00A9766F" w:rsidRPr="007114AF" w14:paraId="6EDCFCCA" w14:textId="77777777" w:rsidTr="00D75679">
        <w:trPr>
          <w:trHeight w:val="20"/>
        </w:trPr>
        <w:tc>
          <w:tcPr>
            <w:cnfStyle w:val="001000000000" w:firstRow="0" w:lastRow="0" w:firstColumn="1" w:lastColumn="0" w:oddVBand="0" w:evenVBand="0" w:oddHBand="0" w:evenHBand="0" w:firstRowFirstColumn="0" w:firstRowLastColumn="0" w:lastRowFirstColumn="0" w:lastRowLastColumn="0"/>
            <w:tcW w:w="2277" w:type="pct"/>
            <w:vAlign w:val="center"/>
            <w:hideMark/>
          </w:tcPr>
          <w:p w14:paraId="6EDCFCC6" w14:textId="77777777" w:rsidR="00A9766F" w:rsidRPr="007114AF" w:rsidRDefault="00A9766F" w:rsidP="00206985">
            <w:pPr>
              <w:spacing w:after="0"/>
              <w:rPr>
                <w:rFonts w:ascii="Garamond" w:hAnsi="Garamond"/>
                <w:b w:val="0"/>
                <w:sz w:val="18"/>
                <w:szCs w:val="18"/>
              </w:rPr>
            </w:pPr>
            <w:r w:rsidRPr="007114AF">
              <w:rPr>
                <w:rFonts w:ascii="Garamond" w:hAnsi="Garamond"/>
                <w:sz w:val="18"/>
                <w:szCs w:val="18"/>
              </w:rPr>
              <w:t>Dokumenti i Politikave Strategjike për Mbrojtjen e Biodiversitetit (DPSMB)</w:t>
            </w:r>
          </w:p>
        </w:tc>
        <w:tc>
          <w:tcPr>
            <w:tcW w:w="882" w:type="pct"/>
            <w:gridSpan w:val="2"/>
            <w:vAlign w:val="center"/>
            <w:hideMark/>
          </w:tcPr>
          <w:p w14:paraId="6EDCFCC7" w14:textId="77777777" w:rsidR="00A9766F" w:rsidRPr="007114AF" w:rsidRDefault="00A9766F" w:rsidP="00206985">
            <w:pPr>
              <w:spacing w:after="0"/>
              <w:cnfStyle w:val="000000000000" w:firstRow="0" w:lastRow="0" w:firstColumn="0" w:lastColumn="0" w:oddVBand="0" w:evenVBand="0" w:oddHBand="0" w:evenHBand="0" w:firstRowFirstColumn="0" w:firstRowLastColumn="0" w:lastRowFirstColumn="0" w:lastRowLastColumn="0"/>
              <w:rPr>
                <w:rFonts w:ascii="Garamond" w:hAnsi="Garamond"/>
                <w:sz w:val="18"/>
                <w:szCs w:val="18"/>
              </w:rPr>
            </w:pPr>
            <w:r w:rsidRPr="007114AF">
              <w:rPr>
                <w:rFonts w:ascii="Garamond" w:hAnsi="Garamond"/>
                <w:sz w:val="18"/>
                <w:szCs w:val="18"/>
              </w:rPr>
              <w:t>2016-2020</w:t>
            </w:r>
          </w:p>
        </w:tc>
        <w:tc>
          <w:tcPr>
            <w:tcW w:w="672" w:type="pct"/>
            <w:vAlign w:val="center"/>
            <w:hideMark/>
          </w:tcPr>
          <w:p w14:paraId="6EDCFCC8" w14:textId="77777777" w:rsidR="00A9766F" w:rsidRPr="007114AF" w:rsidRDefault="00A9766F" w:rsidP="00206985">
            <w:pPr>
              <w:spacing w:after="0"/>
              <w:cnfStyle w:val="000000000000" w:firstRow="0" w:lastRow="0" w:firstColumn="0" w:lastColumn="0" w:oddVBand="0" w:evenVBand="0" w:oddHBand="0" w:evenHBand="0" w:firstRowFirstColumn="0" w:firstRowLastColumn="0" w:lastRowFirstColumn="0" w:lastRowLastColumn="0"/>
              <w:rPr>
                <w:rFonts w:ascii="Garamond" w:hAnsi="Garamond"/>
                <w:sz w:val="18"/>
                <w:szCs w:val="18"/>
              </w:rPr>
            </w:pPr>
            <w:r w:rsidRPr="007114AF">
              <w:rPr>
                <w:rFonts w:ascii="Garamond" w:hAnsi="Garamond"/>
                <w:sz w:val="18"/>
                <w:szCs w:val="18"/>
              </w:rPr>
              <w:t>ME</w:t>
            </w:r>
          </w:p>
        </w:tc>
        <w:tc>
          <w:tcPr>
            <w:cnfStyle w:val="000100000000" w:firstRow="0" w:lastRow="0" w:firstColumn="0" w:lastColumn="1" w:oddVBand="0" w:evenVBand="0" w:oddHBand="0" w:evenHBand="0" w:firstRowFirstColumn="0" w:firstRowLastColumn="0" w:lastRowFirstColumn="0" w:lastRowLastColumn="0"/>
            <w:tcW w:w="1168" w:type="pct"/>
            <w:gridSpan w:val="2"/>
            <w:vAlign w:val="center"/>
          </w:tcPr>
          <w:p w14:paraId="6EDCFCC9" w14:textId="6623FD76" w:rsidR="00A9766F" w:rsidRPr="007114AF" w:rsidRDefault="00A9766F" w:rsidP="00206985">
            <w:pPr>
              <w:spacing w:after="0"/>
              <w:rPr>
                <w:rFonts w:ascii="Garamond" w:hAnsi="Garamond"/>
                <w:b w:val="0"/>
                <w:sz w:val="18"/>
                <w:szCs w:val="18"/>
              </w:rPr>
            </w:pPr>
            <w:r w:rsidRPr="007114AF">
              <w:rPr>
                <w:rFonts w:ascii="Garamond" w:hAnsi="Garamond"/>
                <w:sz w:val="18"/>
                <w:szCs w:val="18"/>
              </w:rPr>
              <w:t>Miratuar me VKM</w:t>
            </w:r>
            <w:r w:rsidR="00242009" w:rsidRPr="007114AF">
              <w:rPr>
                <w:rFonts w:ascii="Garamond" w:hAnsi="Garamond"/>
                <w:sz w:val="18"/>
                <w:szCs w:val="18"/>
              </w:rPr>
              <w:t xml:space="preserve"> nr. </w:t>
            </w:r>
            <w:r w:rsidRPr="007114AF">
              <w:rPr>
                <w:rFonts w:ascii="Garamond" w:hAnsi="Garamond"/>
                <w:sz w:val="18"/>
                <w:szCs w:val="18"/>
              </w:rPr>
              <w:t>31 datë 20 janar 2016</w:t>
            </w:r>
          </w:p>
        </w:tc>
      </w:tr>
      <w:tr w:rsidR="00A9766F" w:rsidRPr="007114AF" w14:paraId="6EDCFCCF" w14:textId="77777777" w:rsidTr="00D75679">
        <w:trPr>
          <w:trHeight w:val="20"/>
        </w:trPr>
        <w:tc>
          <w:tcPr>
            <w:cnfStyle w:val="001000000000" w:firstRow="0" w:lastRow="0" w:firstColumn="1" w:lastColumn="0" w:oddVBand="0" w:evenVBand="0" w:oddHBand="0" w:evenHBand="0" w:firstRowFirstColumn="0" w:firstRowLastColumn="0" w:lastRowFirstColumn="0" w:lastRowLastColumn="0"/>
            <w:tcW w:w="2277" w:type="pct"/>
            <w:vAlign w:val="center"/>
          </w:tcPr>
          <w:p w14:paraId="6EDCFCCB" w14:textId="77777777" w:rsidR="00A9766F" w:rsidRPr="007114AF" w:rsidRDefault="00A9766F" w:rsidP="00206985">
            <w:pPr>
              <w:spacing w:after="0"/>
              <w:rPr>
                <w:rFonts w:ascii="Garamond" w:hAnsi="Garamond"/>
                <w:b w:val="0"/>
                <w:sz w:val="18"/>
                <w:szCs w:val="18"/>
              </w:rPr>
            </w:pPr>
            <w:r w:rsidRPr="007114AF">
              <w:rPr>
                <w:rFonts w:ascii="Garamond" w:hAnsi="Garamond"/>
                <w:sz w:val="18"/>
                <w:szCs w:val="18"/>
              </w:rPr>
              <w:t>Projektligj për Administrimin e Fondit Kombëtar të Pyjeve dhe Kullotave në Republikën e Shqipërisë.</w:t>
            </w:r>
          </w:p>
        </w:tc>
        <w:tc>
          <w:tcPr>
            <w:tcW w:w="882" w:type="pct"/>
            <w:gridSpan w:val="2"/>
            <w:vAlign w:val="center"/>
          </w:tcPr>
          <w:p w14:paraId="6EDCFCCC" w14:textId="77777777" w:rsidR="00A9766F" w:rsidRPr="007114AF" w:rsidRDefault="00A9766F" w:rsidP="00206985">
            <w:pPr>
              <w:spacing w:after="0"/>
              <w:cnfStyle w:val="000000000000" w:firstRow="0" w:lastRow="0" w:firstColumn="0" w:lastColumn="0" w:oddVBand="0" w:evenVBand="0" w:oddHBand="0" w:evenHBand="0" w:firstRowFirstColumn="0" w:firstRowLastColumn="0" w:lastRowFirstColumn="0" w:lastRowLastColumn="0"/>
              <w:rPr>
                <w:rFonts w:ascii="Garamond" w:hAnsi="Garamond"/>
                <w:sz w:val="18"/>
                <w:szCs w:val="18"/>
              </w:rPr>
            </w:pPr>
            <w:r w:rsidRPr="007114AF">
              <w:rPr>
                <w:rFonts w:ascii="Garamond" w:hAnsi="Garamond"/>
                <w:color w:val="000000" w:themeColor="text1"/>
                <w:sz w:val="18"/>
                <w:szCs w:val="18"/>
              </w:rPr>
              <w:t>Nga hyrja në fuqi deri në rishikim</w:t>
            </w:r>
          </w:p>
        </w:tc>
        <w:tc>
          <w:tcPr>
            <w:tcW w:w="672" w:type="pct"/>
            <w:vAlign w:val="center"/>
          </w:tcPr>
          <w:p w14:paraId="6EDCFCCD" w14:textId="77777777" w:rsidR="00A9766F" w:rsidRPr="007114AF" w:rsidRDefault="00A9766F" w:rsidP="00206985">
            <w:pPr>
              <w:spacing w:after="0"/>
              <w:cnfStyle w:val="000000000000" w:firstRow="0" w:lastRow="0" w:firstColumn="0" w:lastColumn="0" w:oddVBand="0" w:evenVBand="0" w:oddHBand="0" w:evenHBand="0" w:firstRowFirstColumn="0" w:firstRowLastColumn="0" w:lastRowFirstColumn="0" w:lastRowLastColumn="0"/>
              <w:rPr>
                <w:rFonts w:ascii="Garamond" w:hAnsi="Garamond"/>
                <w:sz w:val="18"/>
                <w:szCs w:val="18"/>
              </w:rPr>
            </w:pPr>
            <w:r w:rsidRPr="007114AF">
              <w:rPr>
                <w:rFonts w:ascii="Garamond" w:hAnsi="Garamond"/>
                <w:sz w:val="18"/>
                <w:szCs w:val="18"/>
              </w:rPr>
              <w:t>ME</w:t>
            </w:r>
          </w:p>
        </w:tc>
        <w:tc>
          <w:tcPr>
            <w:cnfStyle w:val="000100000000" w:firstRow="0" w:lastRow="0" w:firstColumn="0" w:lastColumn="1" w:oddVBand="0" w:evenVBand="0" w:oddHBand="0" w:evenHBand="0" w:firstRowFirstColumn="0" w:firstRowLastColumn="0" w:lastRowFirstColumn="0" w:lastRowLastColumn="0"/>
            <w:tcW w:w="1168" w:type="pct"/>
            <w:gridSpan w:val="2"/>
            <w:vAlign w:val="center"/>
          </w:tcPr>
          <w:p w14:paraId="6EDCFCCE" w14:textId="77777777" w:rsidR="00A9766F" w:rsidRPr="007114AF" w:rsidRDefault="00A9766F" w:rsidP="00206985">
            <w:pPr>
              <w:spacing w:after="0"/>
              <w:rPr>
                <w:rFonts w:ascii="Garamond" w:hAnsi="Garamond"/>
                <w:b w:val="0"/>
                <w:sz w:val="18"/>
                <w:szCs w:val="18"/>
              </w:rPr>
            </w:pPr>
            <w:r w:rsidRPr="007114AF">
              <w:rPr>
                <w:rFonts w:ascii="Garamond" w:hAnsi="Garamond"/>
                <w:color w:val="000000" w:themeColor="text1"/>
                <w:sz w:val="18"/>
                <w:szCs w:val="18"/>
              </w:rPr>
              <w:t>Drafti janar 2015</w:t>
            </w:r>
          </w:p>
        </w:tc>
      </w:tr>
      <w:tr w:rsidR="00A9766F" w:rsidRPr="007114AF" w14:paraId="6EDCFCD4" w14:textId="77777777" w:rsidTr="00D75679">
        <w:trPr>
          <w:trHeight w:val="20"/>
        </w:trPr>
        <w:tc>
          <w:tcPr>
            <w:cnfStyle w:val="001000000000" w:firstRow="0" w:lastRow="0" w:firstColumn="1" w:lastColumn="0" w:oddVBand="0" w:evenVBand="0" w:oddHBand="0" w:evenHBand="0" w:firstRowFirstColumn="0" w:firstRowLastColumn="0" w:lastRowFirstColumn="0" w:lastRowLastColumn="0"/>
            <w:tcW w:w="2277" w:type="pct"/>
          </w:tcPr>
          <w:p w14:paraId="6EDCFCD0" w14:textId="77777777" w:rsidR="00A9766F" w:rsidRPr="007114AF" w:rsidRDefault="00A9766F" w:rsidP="00206985">
            <w:pPr>
              <w:spacing w:after="0"/>
              <w:rPr>
                <w:rFonts w:ascii="Garamond" w:hAnsi="Garamond"/>
                <w:sz w:val="18"/>
                <w:szCs w:val="18"/>
              </w:rPr>
            </w:pPr>
            <w:r w:rsidRPr="007114AF">
              <w:rPr>
                <w:rFonts w:ascii="Garamond" w:hAnsi="Garamond"/>
                <w:sz w:val="18"/>
                <w:szCs w:val="18"/>
              </w:rPr>
              <w:t>Sektori i ujit</w:t>
            </w:r>
          </w:p>
        </w:tc>
        <w:tc>
          <w:tcPr>
            <w:tcW w:w="882" w:type="pct"/>
            <w:gridSpan w:val="2"/>
          </w:tcPr>
          <w:p w14:paraId="6EDCFCD1" w14:textId="77777777" w:rsidR="00A9766F" w:rsidRPr="007114AF" w:rsidRDefault="00A9766F" w:rsidP="00206985">
            <w:pPr>
              <w:spacing w:after="0"/>
              <w:cnfStyle w:val="000000000000" w:firstRow="0" w:lastRow="0" w:firstColumn="0" w:lastColumn="0" w:oddVBand="0" w:evenVBand="0" w:oddHBand="0" w:evenHBand="0" w:firstRowFirstColumn="0" w:firstRowLastColumn="0" w:lastRowFirstColumn="0" w:lastRowLastColumn="0"/>
              <w:rPr>
                <w:rFonts w:ascii="Garamond" w:hAnsi="Garamond"/>
                <w:color w:val="000000" w:themeColor="text1"/>
                <w:sz w:val="18"/>
                <w:szCs w:val="18"/>
              </w:rPr>
            </w:pPr>
          </w:p>
        </w:tc>
        <w:tc>
          <w:tcPr>
            <w:tcW w:w="672" w:type="pct"/>
          </w:tcPr>
          <w:p w14:paraId="6EDCFCD2" w14:textId="77777777" w:rsidR="00A9766F" w:rsidRPr="007114AF" w:rsidRDefault="00A9766F" w:rsidP="00206985">
            <w:pPr>
              <w:spacing w:after="0"/>
              <w:cnfStyle w:val="000000000000" w:firstRow="0" w:lastRow="0" w:firstColumn="0" w:lastColumn="0" w:oddVBand="0" w:evenVBand="0" w:oddHBand="0" w:evenHBand="0" w:firstRowFirstColumn="0" w:firstRowLastColumn="0" w:lastRowFirstColumn="0" w:lastRowLastColumn="0"/>
              <w:rPr>
                <w:rFonts w:ascii="Garamond" w:hAnsi="Garamond"/>
                <w:sz w:val="18"/>
                <w:szCs w:val="18"/>
              </w:rPr>
            </w:pPr>
          </w:p>
        </w:tc>
        <w:tc>
          <w:tcPr>
            <w:cnfStyle w:val="000100000000" w:firstRow="0" w:lastRow="0" w:firstColumn="0" w:lastColumn="1" w:oddVBand="0" w:evenVBand="0" w:oddHBand="0" w:evenHBand="0" w:firstRowFirstColumn="0" w:firstRowLastColumn="0" w:lastRowFirstColumn="0" w:lastRowLastColumn="0"/>
            <w:tcW w:w="1168" w:type="pct"/>
            <w:gridSpan w:val="2"/>
          </w:tcPr>
          <w:p w14:paraId="6EDCFCD3" w14:textId="77777777" w:rsidR="00A9766F" w:rsidRPr="007114AF" w:rsidRDefault="00A9766F" w:rsidP="00206985">
            <w:pPr>
              <w:spacing w:after="0"/>
              <w:rPr>
                <w:rFonts w:ascii="Garamond" w:hAnsi="Garamond"/>
                <w:color w:val="000000" w:themeColor="text1"/>
                <w:sz w:val="18"/>
                <w:szCs w:val="18"/>
              </w:rPr>
            </w:pPr>
          </w:p>
        </w:tc>
      </w:tr>
      <w:tr w:rsidR="00A9766F" w:rsidRPr="007114AF" w14:paraId="6EDCFCD9" w14:textId="77777777" w:rsidTr="00D75679">
        <w:trPr>
          <w:trHeight w:val="20"/>
        </w:trPr>
        <w:tc>
          <w:tcPr>
            <w:cnfStyle w:val="001000000000" w:firstRow="0" w:lastRow="0" w:firstColumn="1" w:lastColumn="0" w:oddVBand="0" w:evenVBand="0" w:oddHBand="0" w:evenHBand="0" w:firstRowFirstColumn="0" w:firstRowLastColumn="0" w:lastRowFirstColumn="0" w:lastRowLastColumn="0"/>
            <w:tcW w:w="2277" w:type="pct"/>
          </w:tcPr>
          <w:p w14:paraId="6EDCFCD5" w14:textId="77777777" w:rsidR="00A9766F" w:rsidRPr="007114AF" w:rsidRDefault="00A9766F" w:rsidP="00206985">
            <w:pPr>
              <w:spacing w:after="0"/>
              <w:rPr>
                <w:rFonts w:ascii="Garamond" w:hAnsi="Garamond"/>
                <w:sz w:val="18"/>
                <w:szCs w:val="18"/>
              </w:rPr>
            </w:pPr>
            <w:r w:rsidRPr="007114AF">
              <w:rPr>
                <w:rFonts w:ascii="Garamond" w:hAnsi="Garamond"/>
                <w:sz w:val="18"/>
                <w:szCs w:val="18"/>
              </w:rPr>
              <w:t xml:space="preserve">Strategjia Kombëtare për Menaxhimin e Integruar të </w:t>
            </w:r>
            <w:r w:rsidRPr="007114AF">
              <w:rPr>
                <w:rFonts w:ascii="Garamond" w:hAnsi="Garamond"/>
                <w:sz w:val="18"/>
                <w:szCs w:val="18"/>
              </w:rPr>
              <w:lastRenderedPageBreak/>
              <w:t>Burimeve Ujore</w:t>
            </w:r>
          </w:p>
        </w:tc>
        <w:tc>
          <w:tcPr>
            <w:tcW w:w="882" w:type="pct"/>
            <w:gridSpan w:val="2"/>
          </w:tcPr>
          <w:p w14:paraId="6EDCFCD6" w14:textId="77777777" w:rsidR="00A9766F" w:rsidRPr="007114AF" w:rsidRDefault="00A9766F" w:rsidP="00206985">
            <w:pPr>
              <w:spacing w:after="0"/>
              <w:cnfStyle w:val="000000000000" w:firstRow="0" w:lastRow="0" w:firstColumn="0" w:lastColumn="0" w:oddVBand="0" w:evenVBand="0" w:oddHBand="0" w:evenHBand="0" w:firstRowFirstColumn="0" w:firstRowLastColumn="0" w:lastRowFirstColumn="0" w:lastRowLastColumn="0"/>
              <w:rPr>
                <w:rFonts w:ascii="Garamond" w:hAnsi="Garamond"/>
                <w:color w:val="000000" w:themeColor="text1"/>
                <w:sz w:val="18"/>
                <w:szCs w:val="18"/>
              </w:rPr>
            </w:pPr>
          </w:p>
        </w:tc>
        <w:tc>
          <w:tcPr>
            <w:tcW w:w="672" w:type="pct"/>
          </w:tcPr>
          <w:p w14:paraId="6EDCFCD7" w14:textId="77777777" w:rsidR="00A9766F" w:rsidRPr="007114AF" w:rsidRDefault="00A9766F" w:rsidP="00206985">
            <w:pPr>
              <w:spacing w:after="0"/>
              <w:cnfStyle w:val="000000000000" w:firstRow="0" w:lastRow="0" w:firstColumn="0" w:lastColumn="0" w:oddVBand="0" w:evenVBand="0" w:oddHBand="0" w:evenHBand="0" w:firstRowFirstColumn="0" w:firstRowLastColumn="0" w:lastRowFirstColumn="0" w:lastRowLastColumn="0"/>
              <w:rPr>
                <w:rFonts w:ascii="Garamond" w:hAnsi="Garamond"/>
                <w:sz w:val="18"/>
                <w:szCs w:val="18"/>
              </w:rPr>
            </w:pPr>
            <w:r w:rsidRPr="007114AF">
              <w:rPr>
                <w:rFonts w:ascii="Garamond" w:hAnsi="Garamond"/>
                <w:sz w:val="18"/>
                <w:szCs w:val="18"/>
                <w:lang w:eastAsia="de-DE"/>
              </w:rPr>
              <w:t>MBZHR</w:t>
            </w:r>
          </w:p>
        </w:tc>
        <w:tc>
          <w:tcPr>
            <w:cnfStyle w:val="000100000000" w:firstRow="0" w:lastRow="0" w:firstColumn="0" w:lastColumn="1" w:oddVBand="0" w:evenVBand="0" w:oddHBand="0" w:evenHBand="0" w:firstRowFirstColumn="0" w:firstRowLastColumn="0" w:lastRowFirstColumn="0" w:lastRowLastColumn="0"/>
            <w:tcW w:w="1168" w:type="pct"/>
            <w:gridSpan w:val="2"/>
          </w:tcPr>
          <w:p w14:paraId="6EDCFCD8" w14:textId="2B981E82" w:rsidR="00A9766F" w:rsidRPr="007114AF" w:rsidRDefault="00A9766F" w:rsidP="00206985">
            <w:pPr>
              <w:spacing w:after="0"/>
              <w:rPr>
                <w:rFonts w:ascii="Garamond" w:hAnsi="Garamond"/>
                <w:color w:val="000000" w:themeColor="text1"/>
                <w:sz w:val="18"/>
                <w:szCs w:val="18"/>
              </w:rPr>
            </w:pPr>
            <w:r w:rsidRPr="007114AF">
              <w:rPr>
                <w:rFonts w:ascii="Garamond" w:hAnsi="Garamond"/>
                <w:color w:val="000000" w:themeColor="text1"/>
                <w:sz w:val="18"/>
                <w:szCs w:val="18"/>
              </w:rPr>
              <w:t>Drafti</w:t>
            </w:r>
            <w:r w:rsidR="000A2A01" w:rsidRPr="007114AF">
              <w:rPr>
                <w:rFonts w:ascii="Garamond" w:hAnsi="Garamond"/>
                <w:color w:val="000000" w:themeColor="text1"/>
                <w:sz w:val="18"/>
                <w:szCs w:val="18"/>
              </w:rPr>
              <w:t xml:space="preserve"> </w:t>
            </w:r>
            <w:r w:rsidRPr="007114AF">
              <w:rPr>
                <w:rFonts w:ascii="Garamond" w:hAnsi="Garamond"/>
                <w:color w:val="000000" w:themeColor="text1"/>
                <w:sz w:val="18"/>
                <w:szCs w:val="18"/>
              </w:rPr>
              <w:t>21 dhjetor 2016</w:t>
            </w:r>
          </w:p>
        </w:tc>
      </w:tr>
    </w:tbl>
    <w:p w14:paraId="6EDCFCDA" w14:textId="77777777" w:rsidR="00A9766F" w:rsidRPr="007114AF" w:rsidRDefault="00A9766F" w:rsidP="00206985">
      <w:pPr>
        <w:pStyle w:val="TEKSTI"/>
      </w:pPr>
    </w:p>
    <w:p w14:paraId="6EDCFCDC" w14:textId="77777777" w:rsidR="00A9766F" w:rsidRPr="007114AF" w:rsidRDefault="00617388" w:rsidP="00206985">
      <w:pPr>
        <w:pStyle w:val="TEKSTI"/>
        <w:rPr>
          <w:b/>
        </w:rPr>
      </w:pPr>
      <w:bookmarkStart w:id="105" w:name="_Toc484424499"/>
      <w:r w:rsidRPr="007114AF">
        <w:rPr>
          <w:b/>
        </w:rPr>
        <w:t xml:space="preserve">4.1.1 </w:t>
      </w:r>
      <w:r w:rsidR="00A9766F" w:rsidRPr="007114AF">
        <w:rPr>
          <w:b/>
        </w:rPr>
        <w:t>Strategji dhe plane ndërsektoriale</w:t>
      </w:r>
      <w:bookmarkEnd w:id="105"/>
    </w:p>
    <w:p w14:paraId="6EDCFCDD" w14:textId="5E53A538" w:rsidR="00A9766F" w:rsidRPr="007114AF" w:rsidRDefault="00A9766F" w:rsidP="00206985">
      <w:pPr>
        <w:pStyle w:val="TEKSTI"/>
        <w:rPr>
          <w:rFonts w:eastAsia="Times New Roman" w:cs="Calibri"/>
        </w:rPr>
      </w:pPr>
      <w:r w:rsidRPr="007114AF">
        <w:t xml:space="preserve">Strategjia e Dytë Kombëtare për Zhvillim dhe Integrim (SKZHI-II), Strategjia Mjedisore Ndërsektoriale (SMNS) dhe </w:t>
      </w:r>
      <w:r w:rsidRPr="007114AF">
        <w:rPr>
          <w:rFonts w:cs="Arial"/>
        </w:rPr>
        <w:t xml:space="preserve">Plani Kombëtar i Territorit (PKT) </w:t>
      </w:r>
      <w:r w:rsidR="000A2A01" w:rsidRPr="007114AF">
        <w:rPr>
          <w:rFonts w:cs="Arial"/>
        </w:rPr>
        <w:t>“</w:t>
      </w:r>
      <w:r w:rsidRPr="007114AF">
        <w:rPr>
          <w:rFonts w:cs="Arial"/>
        </w:rPr>
        <w:t>Shqipëria 2030</w:t>
      </w:r>
      <w:r w:rsidR="000A2A01" w:rsidRPr="007114AF">
        <w:rPr>
          <w:rFonts w:cs="Arial"/>
        </w:rPr>
        <w:t>”</w:t>
      </w:r>
      <w:r w:rsidRPr="007114AF">
        <w:rPr>
          <w:rFonts w:cs="Arial"/>
        </w:rPr>
        <w:t xml:space="preserve"> janë </w:t>
      </w:r>
      <w:r w:rsidRPr="007114AF">
        <w:t>strategjitë kryesore ndërsektoriale që trajtojnë, ndër të tjera, çështje që lidhen me zbutjen e ndryshimit të klimës, duke përfshirë veprime dhe masa për të trajtuar drejtpërdrejt apo tërthorazi, çështjet e ndryshimit të klimës. SKZHI-II, që ishte ende në formë drafti në kohën e shkrimit, paraqet vizionin e Shqipërisë për zhvillimin e saj kombëtar, social, demokratik dhe ekonomik gjatë periudhës 2015</w:t>
      </w:r>
      <w:r w:rsidR="00D75679">
        <w:t>–</w:t>
      </w:r>
      <w:r w:rsidRPr="007114AF">
        <w:t>2020, si dhe aspiratat e saj për Integrimin Evropian. Strategjia Mjedisore Ndërsektoriale 2015</w:t>
      </w:r>
      <w:r w:rsidR="00D75679">
        <w:t>–</w:t>
      </w:r>
      <w:r w:rsidRPr="007114AF">
        <w:t xml:space="preserve">2020, miratuar së fundmi, fokusohet te çështjet mjedisore në përgjithësi, përfshirë ndryshimin e klimës, ndërsa </w:t>
      </w:r>
      <w:r w:rsidRPr="007114AF">
        <w:rPr>
          <w:rFonts w:cs="Arial"/>
        </w:rPr>
        <w:t>Plani Kombëtar i Territorit (PKT)</w:t>
      </w:r>
      <w:r w:rsidR="000A2A01" w:rsidRPr="007114AF">
        <w:rPr>
          <w:rFonts w:cs="Arial"/>
        </w:rPr>
        <w:t xml:space="preserve"> “</w:t>
      </w:r>
      <w:r w:rsidRPr="007114AF">
        <w:rPr>
          <w:rFonts w:cs="Arial"/>
        </w:rPr>
        <w:t>Shqipëria 2030</w:t>
      </w:r>
      <w:r w:rsidR="000A2A01" w:rsidRPr="007114AF">
        <w:rPr>
          <w:rFonts w:cs="Arial"/>
        </w:rPr>
        <w:t>”</w:t>
      </w:r>
      <w:r w:rsidRPr="007114AF">
        <w:rPr>
          <w:rFonts w:cs="Arial"/>
        </w:rPr>
        <w:t xml:space="preserve"> përfaqëson një </w:t>
      </w:r>
      <w:r w:rsidRPr="007114AF">
        <w:rPr>
          <w:rFonts w:eastAsia="Times New Roman" w:cs="Calibri"/>
          <w:shd w:val="clear" w:color="auto" w:fill="FFFFFF"/>
        </w:rPr>
        <w:t xml:space="preserve">instrument me rëndësi të planifikimit të territorit në Shqipëri, dhe fokusohet në zhvillimin e qëndrueshëm </w:t>
      </w:r>
      <w:r w:rsidRPr="007114AF">
        <w:rPr>
          <w:rFonts w:eastAsia="Times New Roman" w:cs="Calibri"/>
        </w:rPr>
        <w:t xml:space="preserve">strategjik të territorit, përmes përdorimit racional të tokës, menaxhimit të përgjegjshëm të burimeve të tij natyrore dhe mbrojtjes së mjedisit. </w:t>
      </w:r>
    </w:p>
    <w:p w14:paraId="6EDCFCDE" w14:textId="77777777" w:rsidR="00A9766F" w:rsidRPr="007114AF" w:rsidRDefault="00A9766F" w:rsidP="00206985">
      <w:pPr>
        <w:pStyle w:val="TEKSTI"/>
        <w:rPr>
          <w:b/>
          <w:i/>
          <w:u w:val="single"/>
        </w:rPr>
      </w:pPr>
      <w:r w:rsidRPr="007114AF">
        <w:rPr>
          <w:b/>
          <w:i/>
          <w:u w:val="single"/>
        </w:rPr>
        <w:t xml:space="preserve">Draftstrategjia Mjedisore Ndërsektoriale (SMNS) </w:t>
      </w:r>
    </w:p>
    <w:p w14:paraId="6EDCFCDF" w14:textId="77777777" w:rsidR="00A9766F" w:rsidRPr="007114AF" w:rsidRDefault="00A9766F" w:rsidP="00206985">
      <w:pPr>
        <w:pStyle w:val="TEKSTI"/>
        <w:rPr>
          <w:i/>
        </w:rPr>
      </w:pPr>
      <w:r w:rsidRPr="007114AF">
        <w:rPr>
          <w:i/>
        </w:rPr>
        <w:t xml:space="preserve">Vlefshmëria: 2015-2020 </w:t>
      </w:r>
    </w:p>
    <w:p w14:paraId="6EDCFCE0" w14:textId="765DB087" w:rsidR="00A9766F" w:rsidRPr="007114AF" w:rsidRDefault="00A9766F" w:rsidP="00206985">
      <w:pPr>
        <w:pStyle w:val="TEKSTI"/>
      </w:pPr>
      <w:r w:rsidRPr="007114AF">
        <w:t xml:space="preserve">Vizioni i përgjithshëm i dokumentit është </w:t>
      </w:r>
      <w:r w:rsidR="000A2A01" w:rsidRPr="007114AF">
        <w:t>“</w:t>
      </w:r>
      <w:r w:rsidRPr="007114AF">
        <w:t>një vend me zhvillim të qëndrueshëm social dhe ekonomik, ndërsa mbron burimet natyrore nga ndotja dhe degradimi, përmes menaxhimit të integruar dhe promovimit të vlerave, duke i vënë në dobi të prosperitetit ekonomik. Ky vizion bazohet në parimin e zhvillimit të integruar, ku mbrojtja dhe përmirësimi i gjendjes afatmesme mjedisore garanton sigurinë</w:t>
      </w:r>
      <w:r w:rsidR="000A2A01" w:rsidRPr="007114AF">
        <w:t xml:space="preserve"> </w:t>
      </w:r>
      <w:r w:rsidRPr="007114AF">
        <w:t>e rritjes ekonomike dhe mirëqenies sociale.</w:t>
      </w:r>
      <w:r w:rsidR="000A2A01" w:rsidRPr="007114AF">
        <w:t>”</w:t>
      </w:r>
    </w:p>
    <w:p w14:paraId="6EDCFCE1" w14:textId="405B77DA" w:rsidR="00A9766F" w:rsidRPr="007114AF" w:rsidRDefault="00A9766F" w:rsidP="00206985">
      <w:pPr>
        <w:pStyle w:val="TEKSTI"/>
      </w:pPr>
      <w:r w:rsidRPr="007114AF">
        <w:t>Strategjia siguron një listë veprimesh dhe masash për temat kryesore, si vijojnë: ndryshimi i klimës, cilësia e ajrit, produktet kimike, ujërat, menaxhimi, mbrojtja e natyrës, pyjet dhe kullotat, me synim mbrojtjen e mjedisit, me disa veprime të fokusuara veçanërisht te përshtatja dhe zbutja e ndryshimeve klimatike, për periudhën afatmesme (2015</w:t>
      </w:r>
      <w:r w:rsidR="00D75679">
        <w:t>–</w:t>
      </w:r>
      <w:r w:rsidRPr="007114AF">
        <w:t>2017) dhe afatgjatë (2017</w:t>
      </w:r>
      <w:r w:rsidR="00D75679">
        <w:t>–</w:t>
      </w:r>
      <w:r w:rsidRPr="007114AF">
        <w:t>2020).</w:t>
      </w:r>
    </w:p>
    <w:p w14:paraId="6EDCFCE2" w14:textId="77777777" w:rsidR="00A9766F" w:rsidRPr="007114AF" w:rsidRDefault="00A9766F" w:rsidP="00206985">
      <w:pPr>
        <w:pStyle w:val="TEKSTI"/>
      </w:pPr>
      <w:r w:rsidRPr="007114AF">
        <w:t xml:space="preserve">Shumë nga masat e shumta të përfshira në dokument ndikojnë pozitivisht në zbutjen e ndryshimit të klimës, ndonëse nuk synojnë në mënyrë eksplicite atë qëllim. Masa të tilla janë përfshirë në sektorë të ndryshëm: </w:t>
      </w:r>
    </w:p>
    <w:p w14:paraId="6EDCFCE3" w14:textId="6FD23F31" w:rsidR="00A9766F" w:rsidRPr="007114AF" w:rsidRDefault="00617388" w:rsidP="00206985">
      <w:pPr>
        <w:pStyle w:val="TEKSTI"/>
      </w:pPr>
      <w:r w:rsidRPr="007114AF">
        <w:rPr>
          <w:b/>
        </w:rPr>
        <w:t xml:space="preserve">- </w:t>
      </w:r>
      <w:r w:rsidR="00A9766F" w:rsidRPr="007114AF">
        <w:rPr>
          <w:b/>
        </w:rPr>
        <w:t>Cilësia e ajrit dhe shkarkimet</w:t>
      </w:r>
      <w:r w:rsidR="00A9766F" w:rsidRPr="007114AF">
        <w:t>: planifikimi më i mirë urban (sidomos në qytetet më të ndotura Tiranë dhe Durrës), optimizimi i trafikut, përmirësimi i transportit publik për të zëvendësuar mjetet private, dhe përdorimi i mjeteve alternative të transportit rrugor, kontrolli i shkarkimeve të gazrave të mjeteve</w:t>
      </w:r>
      <w:r w:rsidR="00CA77E2">
        <w:t xml:space="preserve"> </w:t>
      </w:r>
      <w:r w:rsidR="00A9766F" w:rsidRPr="007114AF">
        <w:t>etj., dhe shtimi i sipërfaqeve të gjelbra;</w:t>
      </w:r>
    </w:p>
    <w:p w14:paraId="6EDCFCE4" w14:textId="77777777" w:rsidR="00A9766F" w:rsidRPr="007114AF" w:rsidRDefault="00617388" w:rsidP="00206985">
      <w:pPr>
        <w:pStyle w:val="TEKSTI"/>
      </w:pPr>
      <w:r w:rsidRPr="007114AF">
        <w:rPr>
          <w:b/>
        </w:rPr>
        <w:t xml:space="preserve">- </w:t>
      </w:r>
      <w:r w:rsidR="00A9766F" w:rsidRPr="007114AF">
        <w:rPr>
          <w:b/>
        </w:rPr>
        <w:t>Kimikatet</w:t>
      </w:r>
      <w:r w:rsidR="00A9766F" w:rsidRPr="007114AF">
        <w:t>: menaxhim më i mirë i produkteve kimike për mbrojtjen/fertilizimin e bimëve, duke përfshirë këtu padyshim plehrat azotike që janë përgjegjëse për shkarkimet GES;</w:t>
      </w:r>
    </w:p>
    <w:p w14:paraId="6EDCFCE5" w14:textId="41495845" w:rsidR="00A9766F" w:rsidRPr="007114AF" w:rsidRDefault="00617388" w:rsidP="00206985">
      <w:pPr>
        <w:pStyle w:val="TEKSTI"/>
      </w:pPr>
      <w:r w:rsidRPr="007114AF">
        <w:rPr>
          <w:b/>
        </w:rPr>
        <w:t xml:space="preserve">- </w:t>
      </w:r>
      <w:r w:rsidR="00A9766F" w:rsidRPr="007114AF">
        <w:rPr>
          <w:b/>
        </w:rPr>
        <w:t>Zonat e mbrojtura</w:t>
      </w:r>
      <w:r w:rsidR="00A9766F" w:rsidRPr="007114AF">
        <w:t xml:space="preserve">: rritja e sipërfaqes dhe përmirësimi i menaxhimit të atyre ekzistuese, identifikimi dhe ngritja e rrjetit </w:t>
      </w:r>
      <w:r w:rsidR="000A2A01" w:rsidRPr="007114AF">
        <w:t>“</w:t>
      </w:r>
      <w:r w:rsidR="00A9766F" w:rsidRPr="007114AF">
        <w:t>Natura 2000</w:t>
      </w:r>
      <w:r w:rsidR="000A2A01" w:rsidRPr="007114AF">
        <w:t>”</w:t>
      </w:r>
      <w:r w:rsidR="00A9766F" w:rsidRPr="007114AF">
        <w:t xml:space="preserve"> të Zonave Speciale të Konservimit me rëndësi për Bashkimin Evropian, për të siguruar një gjendje të favorshme konservimi, si dhe rritja e potencialit të izolimit të karbonit të ekosistemit natyror;</w:t>
      </w:r>
    </w:p>
    <w:p w14:paraId="6EDCFCE6" w14:textId="77777777" w:rsidR="00A9766F" w:rsidRPr="007114AF" w:rsidRDefault="00617388" w:rsidP="00206985">
      <w:pPr>
        <w:pStyle w:val="TEKSTI"/>
      </w:pPr>
      <w:r w:rsidRPr="007114AF">
        <w:rPr>
          <w:b/>
        </w:rPr>
        <w:t xml:space="preserve">- </w:t>
      </w:r>
      <w:r w:rsidR="00A9766F" w:rsidRPr="007114AF">
        <w:rPr>
          <w:b/>
        </w:rPr>
        <w:t>Pyjet dhe kullotat</w:t>
      </w:r>
      <w:r w:rsidR="00A9766F" w:rsidRPr="007114AF">
        <w:t>: përmirësimi i pyjeve me plane menaxhimi të qëndrueshme dhe multifunksionale dhe pyllëzimi, parandalimi i prerjeve të paligjshme përmes kontrollit të Policisë Pyjore, parandalimi i zjarreve, ripyllëzimi i pyjeve bregdetare dhe të brendshme për të shmangur erozionin e tokës me pasojë humbjen e karbonit, parandalimi i degradimit të mëtejshëm, si dhe mbrojtja e biodiversitetit, duke siguruar potencialin maksimal për të përmbushur funksionet ekologjike, dhe për të rritur sekuestrimin e karbonit;</w:t>
      </w:r>
    </w:p>
    <w:p w14:paraId="6EDCFCE7" w14:textId="77777777" w:rsidR="00A9766F" w:rsidRPr="007114AF" w:rsidRDefault="00617388" w:rsidP="00206985">
      <w:pPr>
        <w:pStyle w:val="TEKSTI"/>
        <w:rPr>
          <w:b/>
        </w:rPr>
      </w:pPr>
      <w:r w:rsidRPr="007114AF">
        <w:rPr>
          <w:b/>
        </w:rPr>
        <w:t xml:space="preserve">- </w:t>
      </w:r>
      <w:r w:rsidR="00A9766F" w:rsidRPr="007114AF">
        <w:rPr>
          <w:b/>
        </w:rPr>
        <w:t>Burimet ujore</w:t>
      </w:r>
      <w:r w:rsidR="00A9766F" w:rsidRPr="007114AF">
        <w:t>: përfshirja e çështjeve të ndryshimit të klimës në gjithë dokumentet strategjike të menaxhimit të ujit, menaxhimi më i mirë i burimeve ujore, për reduktimin e efekteve të përmbytjeve dhe thatësive dhe humbjeve pasuese të tokës.</w:t>
      </w:r>
    </w:p>
    <w:p w14:paraId="6EDCFCE8" w14:textId="77777777" w:rsidR="00A9766F" w:rsidRPr="007114AF" w:rsidRDefault="00A9766F" w:rsidP="00206985">
      <w:pPr>
        <w:pStyle w:val="TEKSTI"/>
        <w:rPr>
          <w:b/>
          <w:i/>
          <w:u w:val="single"/>
        </w:rPr>
      </w:pPr>
      <w:r w:rsidRPr="007114AF">
        <w:rPr>
          <w:b/>
          <w:i/>
          <w:u w:val="single"/>
        </w:rPr>
        <w:t>Strategjia Kombëtare për Zhvillim dhe Integrim (SKZHI-II)</w:t>
      </w:r>
    </w:p>
    <w:p w14:paraId="6EDCFCE9" w14:textId="77777777" w:rsidR="00A9766F" w:rsidRPr="007114AF" w:rsidRDefault="00A9766F" w:rsidP="00206985">
      <w:pPr>
        <w:pStyle w:val="TEKSTI"/>
        <w:rPr>
          <w:i/>
        </w:rPr>
      </w:pPr>
      <w:r w:rsidRPr="007114AF">
        <w:rPr>
          <w:i/>
        </w:rPr>
        <w:t xml:space="preserve">Vlefshmëria: 2015-2020 </w:t>
      </w:r>
    </w:p>
    <w:p w14:paraId="6EDCFCEA" w14:textId="6FCF3BC0" w:rsidR="00A9766F" w:rsidRPr="007114AF" w:rsidRDefault="00A9766F" w:rsidP="00206985">
      <w:pPr>
        <w:pStyle w:val="TEKSTI"/>
      </w:pPr>
      <w:r w:rsidRPr="007114AF">
        <w:lastRenderedPageBreak/>
        <w:t xml:space="preserve">Vizioni i përgjithshëm i dokumentit është </w:t>
      </w:r>
      <w:r w:rsidR="000A2A01" w:rsidRPr="007114AF">
        <w:t>“</w:t>
      </w:r>
      <w:r w:rsidRPr="007114AF">
        <w:t>Shqipëria –</w:t>
      </w:r>
      <w:r w:rsidR="00CA77E2">
        <w:t xml:space="preserve"> </w:t>
      </w:r>
      <w:r w:rsidRPr="007114AF">
        <w:t>një demokraci vibruese në udhën drejt integrimit me Bashkimin Evropian, me një ekonomi konkurruese, të fortë dhe të qëndrueshme, si dhe me garanci të të drejtave themelore dhe lirive të njeriut</w:t>
      </w:r>
      <w:r w:rsidR="000A2A01" w:rsidRPr="007114AF">
        <w:t>”</w:t>
      </w:r>
      <w:r w:rsidRPr="007114AF">
        <w:t xml:space="preserve">. </w:t>
      </w:r>
    </w:p>
    <w:p w14:paraId="6EDCFCEB" w14:textId="7C3425D0" w:rsidR="00A9766F" w:rsidRPr="007114AF" w:rsidRDefault="00A9766F" w:rsidP="00206985">
      <w:pPr>
        <w:pStyle w:val="TEKSTI"/>
        <w:rPr>
          <w:iCs/>
        </w:rPr>
      </w:pPr>
      <w:r w:rsidRPr="007114AF">
        <w:t>Strategjia identifikon gjashtë përparësi kyçe të qeverisë,</w:t>
      </w:r>
      <w:r w:rsidR="00CA77E2">
        <w:t xml:space="preserve"> </w:t>
      </w:r>
      <w:r w:rsidRPr="007114AF">
        <w:t>synimi kryesor i të cilave është integrimi në BE</w:t>
      </w:r>
      <w:r w:rsidRPr="007114AF">
        <w:rPr>
          <w:iCs/>
        </w:rPr>
        <w:t>: (1) shërbime publike novatore dhe të përqendruara te qytetarët (qeverisja e mirë</w:t>
      </w:r>
      <w:r w:rsidRPr="007114AF">
        <w:t>); (2) furnizimi me kosto efektive me energji elektrike (energji); (3) rritja e novacionit dhe konkurrencës (investime të huaja direkte); (4) rritja e disponueshmërisë së tokës së ujitur dhe të kulluar (uji dhe bujqësia); (5) rritja e qëndrueshmërisë së tregjeve të tokës (pronat);</w:t>
      </w:r>
      <w:r w:rsidR="000A2A01" w:rsidRPr="007114AF">
        <w:t xml:space="preserve"> </w:t>
      </w:r>
      <w:r w:rsidRPr="007114AF">
        <w:t>(6) reforma strukturore e taksave.</w:t>
      </w:r>
    </w:p>
    <w:p w14:paraId="6EDCFCEC" w14:textId="77777777" w:rsidR="00A9766F" w:rsidRPr="007114AF" w:rsidRDefault="00A9766F" w:rsidP="00206985">
      <w:pPr>
        <w:pStyle w:val="TEKSTI"/>
        <w:rPr>
          <w:iCs/>
          <w:lang w:eastAsia="en-US"/>
        </w:rPr>
      </w:pPr>
      <w:r w:rsidRPr="007114AF">
        <w:rPr>
          <w:lang w:eastAsia="en-CA"/>
        </w:rPr>
        <w:t xml:space="preserve">Synimet e strategjisë mbështeten nga katër shtylla: Zhvillimi përmes stabilitetit makroekonomik dhe fiskal- përbën </w:t>
      </w:r>
      <w:r w:rsidRPr="007114AF">
        <w:rPr>
          <w:b/>
          <w:bCs/>
          <w:lang w:eastAsia="en-CA"/>
        </w:rPr>
        <w:t xml:space="preserve">Shtyllën 1 </w:t>
      </w:r>
      <w:r w:rsidRPr="007114AF">
        <w:rPr>
          <w:lang w:eastAsia="en-CA"/>
        </w:rPr>
        <w:t xml:space="preserve">të mbështetjes mbi të cilën do të arrihet vizioni i SKZHI-II; Rritja përmes shtimit të konkurrencës- përbën </w:t>
      </w:r>
      <w:r w:rsidRPr="007114AF">
        <w:rPr>
          <w:b/>
          <w:bCs/>
          <w:lang w:eastAsia="en-CA"/>
        </w:rPr>
        <w:t>Shtyllën 2</w:t>
      </w:r>
      <w:r w:rsidRPr="007114AF">
        <w:rPr>
          <w:lang w:eastAsia="en-CA"/>
        </w:rPr>
        <w:t xml:space="preserve">; Investimi te njerëzit dhe kohezioni social- përbën </w:t>
      </w:r>
      <w:r w:rsidRPr="007114AF">
        <w:rPr>
          <w:b/>
          <w:bCs/>
          <w:lang w:eastAsia="en-CA"/>
        </w:rPr>
        <w:t xml:space="preserve">Shtyllën 3; </w:t>
      </w:r>
      <w:r w:rsidRPr="007114AF">
        <w:rPr>
          <w:bCs/>
          <w:lang w:eastAsia="en-CA"/>
        </w:rPr>
        <w:t xml:space="preserve">Zhvillimi përmes përdorimit të qëndrueshëm të burimeve- përbën </w:t>
      </w:r>
      <w:r w:rsidRPr="007114AF">
        <w:rPr>
          <w:b/>
          <w:bCs/>
          <w:lang w:eastAsia="en-CA"/>
        </w:rPr>
        <w:t>Shtyllën 4</w:t>
      </w:r>
      <w:r w:rsidRPr="007114AF">
        <w:rPr>
          <w:lang w:eastAsia="en-CA"/>
        </w:rPr>
        <w:t xml:space="preserve">. </w:t>
      </w:r>
    </w:p>
    <w:p w14:paraId="6EDCFCED" w14:textId="77777777" w:rsidR="00A9766F" w:rsidRPr="007114AF" w:rsidRDefault="00A9766F" w:rsidP="00206985">
      <w:pPr>
        <w:pStyle w:val="TEKSTI"/>
      </w:pPr>
      <w:r w:rsidRPr="007114AF">
        <w:t xml:space="preserve">Strategjia bazohet ndër të tjera te </w:t>
      </w:r>
      <w:r w:rsidRPr="007114AF">
        <w:rPr>
          <w:b/>
        </w:rPr>
        <w:t>Parimet e Qëndrueshmërisë</w:t>
      </w:r>
      <w:r w:rsidRPr="007114AF">
        <w:t>. SKZHI-II bazohet në zbatimin e parimeve të pranuara botërisht të zhvillimit të qëndrueshëm, përfshirë ato të Deklaratës së Komisionit Evropian për Parimet Udhëheqëse për Zhvillimin e Qëndrueshëm.</w:t>
      </w:r>
      <w:r w:rsidRPr="007114AF">
        <w:rPr>
          <w:rStyle w:val="FootnoteReference"/>
        </w:rPr>
        <w:footnoteReference w:id="40"/>
      </w:r>
      <w:r w:rsidRPr="007114AF">
        <w:t>Ndër shumë parime të përfshira te qëndrueshmëria, theks i veçantë i jepet ruajtjes mjedisore, përmes promovimit të prodhimit dhe konsumit të qëndrueshëm, parandalimit të degradimit mjedisor, integrimit të çështjeve mjedisore në gjithë strategjitë sektoriale, në nocionin e përgjegjësisë së përbashkët sociale, si dhe në zbatimin e parimit parandalues në aktivitetet e planifikuara</w:t>
      </w:r>
      <w:r w:rsidRPr="007114AF">
        <w:rPr>
          <w:rStyle w:val="FootnoteReference"/>
        </w:rPr>
        <w:footnoteReference w:id="41"/>
      </w:r>
      <w:r w:rsidRPr="007114AF">
        <w:t>.</w:t>
      </w:r>
    </w:p>
    <w:p w14:paraId="6EDCFCEE" w14:textId="77777777" w:rsidR="00A9766F" w:rsidRPr="007114AF" w:rsidRDefault="00A9766F" w:rsidP="00206985">
      <w:pPr>
        <w:pStyle w:val="TEKSTI"/>
      </w:pPr>
      <w:r w:rsidRPr="007114AF">
        <w:t xml:space="preserve">Mes gjashtë përparësive, përparësia 6 synon të </w:t>
      </w:r>
      <w:r w:rsidRPr="007114AF">
        <w:rPr>
          <w:b/>
          <w:i/>
        </w:rPr>
        <w:t xml:space="preserve">sigurojë rritje përmes ndërlidhjes dhe përdorimit të qëndrueshëm të burimeve. </w:t>
      </w:r>
      <w:r w:rsidRPr="007114AF">
        <w:t>Ajo parashikon investime në infrastrukturën e vendit – energji, transport, burime natyrore dhe mjedis, bujqësi, miniera, turizëm, ujë – që do të zgjerojnë mundësitë për biznesin dhe ekonominë, do të rrisin mirëqenien e qytetarëve shqiptarë, si dhe do ta çojnë përpara vendin në udhën e tij të integrimit në sistemet evropiane përmes:</w:t>
      </w:r>
    </w:p>
    <w:p w14:paraId="6EDCFCEF" w14:textId="77777777" w:rsidR="00A9766F" w:rsidRPr="007114AF" w:rsidRDefault="00617388" w:rsidP="00206985">
      <w:pPr>
        <w:pStyle w:val="TEKSTI"/>
      </w:pPr>
      <w:r w:rsidRPr="007114AF">
        <w:t xml:space="preserve">- </w:t>
      </w:r>
      <w:r w:rsidR="00A9766F" w:rsidRPr="007114AF">
        <w:t xml:space="preserve">një sistemi energjie me kosto efektive dhe të qëndrueshme bazuar te parimet e tregut </w:t>
      </w:r>
    </w:p>
    <w:p w14:paraId="6EDCFCF0" w14:textId="6C350343" w:rsidR="00A9766F" w:rsidRPr="007114AF" w:rsidRDefault="00617388" w:rsidP="00206985">
      <w:pPr>
        <w:pStyle w:val="TEKSTI"/>
      </w:pPr>
      <w:r w:rsidRPr="007114AF">
        <w:t xml:space="preserve">- </w:t>
      </w:r>
      <w:r w:rsidR="00A9766F" w:rsidRPr="007114AF">
        <w:t>një sistemi</w:t>
      </w:r>
      <w:r w:rsidR="00E132F0">
        <w:t xml:space="preserve"> </w:t>
      </w:r>
      <w:r w:rsidR="00A9766F" w:rsidRPr="007114AF">
        <w:t>transporti kombëtar dhe të integruar</w:t>
      </w:r>
    </w:p>
    <w:p w14:paraId="6EDCFCF1" w14:textId="77777777" w:rsidR="00A9766F" w:rsidRPr="007114AF" w:rsidRDefault="00617388" w:rsidP="00206985">
      <w:pPr>
        <w:pStyle w:val="TEKSTI"/>
      </w:pPr>
      <w:r w:rsidRPr="007114AF">
        <w:t xml:space="preserve">- </w:t>
      </w:r>
      <w:r w:rsidR="00A9766F" w:rsidRPr="007114AF">
        <w:t>një sektori bujqësor dhe agroushqimor më të diversifikuar</w:t>
      </w:r>
    </w:p>
    <w:p w14:paraId="6EDCFCF2" w14:textId="4CF7F93E" w:rsidR="00A9766F" w:rsidRPr="007114AF" w:rsidRDefault="00617388" w:rsidP="00206985">
      <w:pPr>
        <w:pStyle w:val="TEKSTI"/>
      </w:pPr>
      <w:r w:rsidRPr="007114AF">
        <w:rPr>
          <w:rFonts w:eastAsia="MS Mincho"/>
        </w:rPr>
        <w:t xml:space="preserve">- </w:t>
      </w:r>
      <w:r w:rsidR="00A9766F" w:rsidRPr="007114AF">
        <w:rPr>
          <w:rFonts w:eastAsia="MS Mincho"/>
        </w:rPr>
        <w:t xml:space="preserve">një mjedisi të </w:t>
      </w:r>
      <w:r w:rsidR="00E132F0" w:rsidRPr="007114AF">
        <w:rPr>
          <w:rFonts w:eastAsia="MS Mincho"/>
        </w:rPr>
        <w:t>shënd</w:t>
      </w:r>
      <w:r w:rsidR="00E132F0">
        <w:rPr>
          <w:rFonts w:eastAsia="MS Mincho"/>
        </w:rPr>
        <w:t>etsh</w:t>
      </w:r>
      <w:r w:rsidR="00A9766F" w:rsidRPr="007114AF">
        <w:rPr>
          <w:rFonts w:eastAsia="MS Mincho"/>
        </w:rPr>
        <w:t xml:space="preserve">ëm dhe të qëndrueshëm </w:t>
      </w:r>
    </w:p>
    <w:p w14:paraId="6EDCFCF3" w14:textId="77777777" w:rsidR="00A9766F" w:rsidRPr="007114AF" w:rsidRDefault="00617388" w:rsidP="00206985">
      <w:pPr>
        <w:pStyle w:val="TEKSTI"/>
      </w:pPr>
      <w:r w:rsidRPr="007114AF">
        <w:t xml:space="preserve">- </w:t>
      </w:r>
      <w:r w:rsidR="00A9766F" w:rsidRPr="007114AF">
        <w:t>një industrie minierash të qëndrueshme dhe të diversifikuar</w:t>
      </w:r>
    </w:p>
    <w:p w14:paraId="6EDCFCF4" w14:textId="77777777" w:rsidR="00A9766F" w:rsidRPr="007114AF" w:rsidRDefault="00617388" w:rsidP="00206985">
      <w:pPr>
        <w:pStyle w:val="TEKSTI"/>
      </w:pPr>
      <w:r w:rsidRPr="007114AF">
        <w:t xml:space="preserve">- </w:t>
      </w:r>
      <w:r w:rsidR="00A9766F" w:rsidRPr="007114AF">
        <w:t xml:space="preserve">sisteme të zgjeruara dhe të përmirësuara të furnizimit me ujë dhe të menaxhimit të ujit </w:t>
      </w:r>
    </w:p>
    <w:p w14:paraId="6EDCFCF5" w14:textId="77777777" w:rsidR="00A9766F" w:rsidRPr="007114AF" w:rsidRDefault="00617388" w:rsidP="00206985">
      <w:pPr>
        <w:pStyle w:val="TEKSTI"/>
      </w:pPr>
      <w:r w:rsidRPr="007114AF">
        <w:t xml:space="preserve">- </w:t>
      </w:r>
      <w:r w:rsidR="00A9766F" w:rsidRPr="007114AF">
        <w:t xml:space="preserve">forcimin e planifikimit të territorit, hapësirës dhe të banesave. </w:t>
      </w:r>
    </w:p>
    <w:p w14:paraId="6EDCFCF6" w14:textId="77777777" w:rsidR="00A9766F" w:rsidRPr="007114AF" w:rsidRDefault="00A9766F" w:rsidP="00206985">
      <w:pPr>
        <w:pStyle w:val="TEKSTI"/>
        <w:rPr>
          <w:lang w:eastAsia="en-CA"/>
        </w:rPr>
      </w:pPr>
      <w:r w:rsidRPr="007114AF">
        <w:rPr>
          <w:lang w:eastAsia="en-CA"/>
        </w:rPr>
        <w:t xml:space="preserve">Veprimet që ndikojnë pozitivisht në zbutjen e ndryshimit të klimës në kuadrin e </w:t>
      </w:r>
      <w:r w:rsidRPr="007114AF">
        <w:rPr>
          <w:b/>
          <w:lang w:eastAsia="en-CA"/>
        </w:rPr>
        <w:t>Shtyllës 4: Rritja përmes Përdorimit të Qëndrueshëm të Burimeve</w:t>
      </w:r>
      <w:r w:rsidRPr="007114AF">
        <w:rPr>
          <w:lang w:eastAsia="en-CA"/>
        </w:rPr>
        <w:t xml:space="preserve">, synojnë: </w:t>
      </w:r>
    </w:p>
    <w:p w14:paraId="6EDCFCF7" w14:textId="3C29DF32" w:rsidR="00A9766F" w:rsidRPr="007114AF" w:rsidRDefault="00617388" w:rsidP="00206985">
      <w:pPr>
        <w:pStyle w:val="TEKSTI"/>
        <w:rPr>
          <w:rFonts w:eastAsia="MS Mincho"/>
          <w:lang w:eastAsia="en-GB"/>
        </w:rPr>
      </w:pPr>
      <w:r w:rsidRPr="007114AF">
        <w:t xml:space="preserve">- </w:t>
      </w:r>
      <w:r w:rsidR="00A9766F" w:rsidRPr="007114AF">
        <w:t xml:space="preserve">Nënsektorin e energjive të rinovueshme dhe eficiencën e energjisë: (1) duke arritur angazhimet e Shqipërisë në kuadrin e nismës së BE-së </w:t>
      </w:r>
      <w:r w:rsidR="000A2A01" w:rsidRPr="007114AF">
        <w:t>“</w:t>
      </w:r>
      <w:r w:rsidR="00A9766F" w:rsidRPr="007114AF">
        <w:t>Paketa për Klimën dhe Energjinë 2020</w:t>
      </w:r>
      <w:r w:rsidR="000A2A01" w:rsidRPr="007114AF">
        <w:t>”</w:t>
      </w:r>
      <w:r w:rsidR="00A9766F" w:rsidRPr="007114AF">
        <w:t xml:space="preserve"> për rritjen e përdorimit të burimeve të rinovueshme; (2) përmirësimi i eficiencës së energjisë dhe reduktimin e shkarkimeve CO</w:t>
      </w:r>
      <w:r w:rsidR="00A9766F" w:rsidRPr="007114AF">
        <w:rPr>
          <w:vertAlign w:val="subscript"/>
        </w:rPr>
        <w:t>2</w:t>
      </w:r>
      <w:r w:rsidR="00A9766F" w:rsidRPr="007114AF">
        <w:t xml:space="preserve">; (3) diversifikimi i burimeve të rinovueshme në vend, jo vetëm nga burimet hidroenergjetike, por edhe nga era, dielli, biomasa dhe burimet gjeotermale; (4) menaxhimi i kërkesës për energji përmes rritjes së eficiencës së përdorimit të energjisë, sidomos në banesa. </w:t>
      </w:r>
    </w:p>
    <w:p w14:paraId="6EDCFCF8" w14:textId="77777777" w:rsidR="00A9766F" w:rsidRPr="007114AF" w:rsidRDefault="00617388" w:rsidP="00206985">
      <w:pPr>
        <w:pStyle w:val="TEKSTI"/>
        <w:rPr>
          <w:rFonts w:eastAsia="Calibri" w:cs="Arial"/>
        </w:rPr>
      </w:pPr>
      <w:r w:rsidRPr="007114AF">
        <w:t xml:space="preserve">- </w:t>
      </w:r>
      <w:r w:rsidR="00A9766F" w:rsidRPr="007114AF">
        <w:t>Reduktimi i humbjeve të energjisë elektrike në rrjetin e shpërndarjes deri në 14%.</w:t>
      </w:r>
    </w:p>
    <w:p w14:paraId="6EDCFCF9" w14:textId="250281A9" w:rsidR="00A9766F" w:rsidRPr="007114AF" w:rsidRDefault="00A9766F" w:rsidP="00206985">
      <w:pPr>
        <w:pStyle w:val="TEKSTI"/>
      </w:pPr>
      <w:r w:rsidRPr="007114AF">
        <w:t>Deri në vitin 2020, të arrihet një rritje e pesëfishtë në vëllimin e</w:t>
      </w:r>
      <w:r w:rsidR="00E132F0">
        <w:t xml:space="preserve"> </w:t>
      </w:r>
      <w:r w:rsidRPr="007114AF">
        <w:t xml:space="preserve">pasagjerëve krahasuar me nivelet e vitit 2013, dhe një rritje e dyfishtë në transportin hekurudhor të mallrave mbi nivelet e </w:t>
      </w:r>
      <w:r w:rsidRPr="007114AF">
        <w:lastRenderedPageBreak/>
        <w:t>vitit 2013 (me theks te transporti rajonal),</w:t>
      </w:r>
      <w:r w:rsidR="00E132F0">
        <w:t xml:space="preserve"> </w:t>
      </w:r>
      <w:r w:rsidRPr="007114AF">
        <w:t>përmes rindërtimit të hekurudhës që lidh Tiranë</w:t>
      </w:r>
      <w:r w:rsidR="00E132F0">
        <w:t>–</w:t>
      </w:r>
      <w:r w:rsidRPr="007114AF">
        <w:t>Durrës, Vorë</w:t>
      </w:r>
      <w:r w:rsidR="00E132F0">
        <w:t>–</w:t>
      </w:r>
      <w:r w:rsidRPr="007114AF">
        <w:t>Hani</w:t>
      </w:r>
      <w:r w:rsidR="00E132F0">
        <w:t xml:space="preserve"> i </w:t>
      </w:r>
      <w:r w:rsidRPr="007114AF">
        <w:t>Hotit, Durrës</w:t>
      </w:r>
      <w:r w:rsidR="00E132F0">
        <w:t>–</w:t>
      </w:r>
      <w:r w:rsidRPr="007114AF">
        <w:t>Elbasan, Rrogozhinë</w:t>
      </w:r>
      <w:r w:rsidR="00E132F0">
        <w:t>–</w:t>
      </w:r>
      <w:r w:rsidRPr="007114AF">
        <w:t>Vlorë dhe Elbasan</w:t>
      </w:r>
      <w:r w:rsidR="00E132F0">
        <w:t>–</w:t>
      </w:r>
      <w:r w:rsidRPr="007114AF">
        <w:t>Pogradec</w:t>
      </w:r>
      <w:r w:rsidR="00E132F0">
        <w:t>–</w:t>
      </w:r>
      <w:r w:rsidRPr="007114AF">
        <w:t>Kufi me Maqedoninë</w:t>
      </w:r>
      <w:r w:rsidRPr="007114AF">
        <w:rPr>
          <w:rStyle w:val="FootnoteReference"/>
          <w:rFonts w:eastAsia="MS Mincho"/>
          <w:bCs/>
        </w:rPr>
        <w:footnoteReference w:id="42"/>
      </w:r>
      <w:r w:rsidRPr="007114AF">
        <w:rPr>
          <w:rFonts w:eastAsia="MS Mincho"/>
          <w:bCs/>
        </w:rPr>
        <w:t>.</w:t>
      </w:r>
    </w:p>
    <w:p w14:paraId="6EDCFCFA" w14:textId="77777777" w:rsidR="00A9766F" w:rsidRPr="007114AF" w:rsidRDefault="00617388" w:rsidP="00206985">
      <w:pPr>
        <w:pStyle w:val="TEKSTI"/>
        <w:rPr>
          <w:rFonts w:eastAsia="Calibri" w:cs="Arial"/>
        </w:rPr>
      </w:pPr>
      <w:r w:rsidRPr="007114AF">
        <w:t xml:space="preserve">- </w:t>
      </w:r>
      <w:r w:rsidR="00A9766F" w:rsidRPr="007114AF">
        <w:t>Arritja e targetit prej 38% në përdorimin e energjisë së rinovueshme krahasuar me konsumin përfundimtar total të energjisë, përmes miratimit dhe zbatimit të Planit Kombëtar të Veprimit për Energjinë e Rinovueshme.</w:t>
      </w:r>
    </w:p>
    <w:p w14:paraId="6EDCFCFB" w14:textId="77777777" w:rsidR="00A9766F" w:rsidRPr="007114AF" w:rsidRDefault="00617388" w:rsidP="00206985">
      <w:pPr>
        <w:pStyle w:val="TEKSTI"/>
        <w:rPr>
          <w:i/>
        </w:rPr>
      </w:pPr>
      <w:r w:rsidRPr="007114AF">
        <w:t xml:space="preserve">- </w:t>
      </w:r>
      <w:r w:rsidR="00A9766F" w:rsidRPr="007114AF">
        <w:t>Nxit prodhimin e qëndrueshëm të ushqimit dhe cilësinë, duke zhvilluar një sektor konkurrues dhe novator agroushqimor që është i aftë të përballojnë trysnitë e konkurrencës.</w:t>
      </w:r>
    </w:p>
    <w:p w14:paraId="6EDCFCFC" w14:textId="77777777" w:rsidR="00A9766F" w:rsidRPr="007114AF" w:rsidRDefault="00617388" w:rsidP="00206985">
      <w:pPr>
        <w:pStyle w:val="TEKSTI"/>
        <w:rPr>
          <w:i/>
        </w:rPr>
      </w:pPr>
      <w:r w:rsidRPr="007114AF">
        <w:t xml:space="preserve">- </w:t>
      </w:r>
      <w:r w:rsidR="00A9766F" w:rsidRPr="007114AF">
        <w:t>Siguron menaxhimin e qëndrueshëm të burimeve natyrore dhe ndërmerr veprime për klimën përmes:</w:t>
      </w:r>
    </w:p>
    <w:p w14:paraId="6EDCFCFD" w14:textId="77777777" w:rsidR="00A9766F" w:rsidRPr="007114AF" w:rsidRDefault="00617388" w:rsidP="00206985">
      <w:pPr>
        <w:pStyle w:val="TEKSTI"/>
      </w:pPr>
      <w:r w:rsidRPr="007114AF">
        <w:t xml:space="preserve">- </w:t>
      </w:r>
      <w:r w:rsidR="00A9766F" w:rsidRPr="007114AF">
        <w:t xml:space="preserve">Menaxhimit më të mirë të pyjeve dhe ujërave, si dhe zbatimit të metodave të prodhimit bujqësor në mbrojtjen e mjedisit dhe zbutjen e ndryshimeve të klimës; </w:t>
      </w:r>
    </w:p>
    <w:p w14:paraId="6EDCFCFE" w14:textId="77777777" w:rsidR="00A9766F" w:rsidRPr="007114AF" w:rsidRDefault="00617388" w:rsidP="00206985">
      <w:pPr>
        <w:pStyle w:val="TEKSTI"/>
      </w:pPr>
      <w:r w:rsidRPr="007114AF">
        <w:t xml:space="preserve">- </w:t>
      </w:r>
      <w:r w:rsidR="00A9766F" w:rsidRPr="007114AF">
        <w:t>Një rritjeje t</w:t>
      </w:r>
      <w:r w:rsidR="00A9766F" w:rsidRPr="007114AF">
        <w:rPr>
          <w:rFonts w:eastAsia="MS Mincho" w:cs="MS Mincho"/>
        </w:rPr>
        <w:t>ë</w:t>
      </w:r>
      <w:r w:rsidR="00A9766F" w:rsidRPr="007114AF">
        <w:t xml:space="preserve"> synuar e numrit të fermave organike të certifikuara deri në vitin 2020; </w:t>
      </w:r>
    </w:p>
    <w:p w14:paraId="6EDCFCFF" w14:textId="77777777" w:rsidR="00A9766F" w:rsidRPr="007114AF" w:rsidRDefault="00617388" w:rsidP="00206985">
      <w:pPr>
        <w:pStyle w:val="TEKSTI"/>
      </w:pPr>
      <w:r w:rsidRPr="007114AF">
        <w:t xml:space="preserve">- </w:t>
      </w:r>
      <w:r w:rsidR="00A9766F" w:rsidRPr="007114AF">
        <w:t>Një rritjeje në numrin e fermerëve që përfitojnë nga infrastruktura e ujitjes, me 300,000 deri në vitin 2020.</w:t>
      </w:r>
    </w:p>
    <w:p w14:paraId="6EDCFD00" w14:textId="77777777" w:rsidR="00A9766F" w:rsidRPr="007114AF" w:rsidRDefault="00617388" w:rsidP="00206985">
      <w:pPr>
        <w:pStyle w:val="TEKSTI"/>
        <w:rPr>
          <w:rFonts w:eastAsia="MS Mincho"/>
          <w:lang w:eastAsia="en-GB"/>
        </w:rPr>
      </w:pPr>
      <w:r w:rsidRPr="007114AF">
        <w:rPr>
          <w:rFonts w:eastAsia="MS Mincho"/>
        </w:rPr>
        <w:t xml:space="preserve">- </w:t>
      </w:r>
      <w:r w:rsidR="00A9766F" w:rsidRPr="007114AF">
        <w:rPr>
          <w:rFonts w:eastAsia="MS Mincho"/>
        </w:rPr>
        <w:t xml:space="preserve">Reagimit ndaj ndryshimit të klimës dhe kontributit për mbrojtjen e shtresës së ozonit deri në vitin 2020 përmes: </w:t>
      </w:r>
    </w:p>
    <w:p w14:paraId="6EDCFD01" w14:textId="77777777" w:rsidR="00A9766F" w:rsidRPr="007114AF" w:rsidRDefault="00617388" w:rsidP="00206985">
      <w:pPr>
        <w:pStyle w:val="TEKSTI"/>
        <w:rPr>
          <w:rFonts w:eastAsia="MS Mincho"/>
        </w:rPr>
      </w:pPr>
      <w:r w:rsidRPr="007114AF">
        <w:rPr>
          <w:rFonts w:eastAsia="MS Mincho"/>
        </w:rPr>
        <w:t xml:space="preserve">- </w:t>
      </w:r>
      <w:r w:rsidR="00A9766F" w:rsidRPr="007114AF">
        <w:rPr>
          <w:rFonts w:eastAsia="MS Mincho"/>
        </w:rPr>
        <w:t>Pikësynimit për reduktimin me 8% të GES-it krahasuar me skenarin bazë</w:t>
      </w:r>
      <w:r w:rsidR="00A9766F" w:rsidRPr="007114AF">
        <w:rPr>
          <w:rFonts w:eastAsia="MS Mincho"/>
          <w:vertAlign w:val="superscript"/>
        </w:rPr>
        <w:footnoteReference w:id="43"/>
      </w:r>
      <w:r w:rsidR="00A9766F" w:rsidRPr="007114AF">
        <w:rPr>
          <w:rFonts w:eastAsia="MS Mincho"/>
        </w:rPr>
        <w:t xml:space="preserve">; </w:t>
      </w:r>
    </w:p>
    <w:p w14:paraId="6EDCFD02" w14:textId="77777777" w:rsidR="00A9766F" w:rsidRPr="007114AF" w:rsidRDefault="00617388" w:rsidP="00206985">
      <w:pPr>
        <w:pStyle w:val="TEKSTI"/>
        <w:rPr>
          <w:rFonts w:eastAsia="MS Mincho"/>
          <w:lang w:eastAsia="en-GB"/>
        </w:rPr>
      </w:pPr>
      <w:r w:rsidRPr="007114AF">
        <w:rPr>
          <w:rFonts w:eastAsia="MS Mincho"/>
        </w:rPr>
        <w:t xml:space="preserve">- </w:t>
      </w:r>
      <w:r w:rsidR="00A9766F" w:rsidRPr="007114AF">
        <w:rPr>
          <w:rFonts w:eastAsia="MS Mincho"/>
        </w:rPr>
        <w:t>Pikësynimit për reduktimin me 40% të sasisë së HCFC-ës (</w:t>
      </w:r>
      <w:r w:rsidR="00A9766F" w:rsidRPr="007114AF">
        <w:rPr>
          <w:rFonts w:eastAsia="TTE21F03E8t00" w:cs="TTE21F03E8t00"/>
          <w:color w:val="262626"/>
          <w:lang w:eastAsia="en-CA"/>
        </w:rPr>
        <w:t>hidroklorofluorokarboni)</w:t>
      </w:r>
      <w:r w:rsidR="00A9766F" w:rsidRPr="007114AF">
        <w:rPr>
          <w:rFonts w:eastAsia="MS Mincho"/>
        </w:rPr>
        <w:t xml:space="preserve">. </w:t>
      </w:r>
    </w:p>
    <w:p w14:paraId="6EDCFD03" w14:textId="77777777" w:rsidR="00A9766F" w:rsidRPr="007114AF" w:rsidRDefault="00617388" w:rsidP="00206985">
      <w:pPr>
        <w:pStyle w:val="TEKSTI"/>
        <w:rPr>
          <w:rFonts w:eastAsia="MS Mincho"/>
          <w:lang w:eastAsia="en-GB"/>
        </w:rPr>
      </w:pPr>
      <w:r w:rsidRPr="007114AF">
        <w:rPr>
          <w:rFonts w:eastAsia="MS Mincho"/>
        </w:rPr>
        <w:t xml:space="preserve">- </w:t>
      </w:r>
      <w:r w:rsidR="00A9766F" w:rsidRPr="007114AF">
        <w:rPr>
          <w:rFonts w:eastAsia="MS Mincho"/>
        </w:rPr>
        <w:t xml:space="preserve">Rritja dhe forcimi i mbrojtjes së natyrës përmes: </w:t>
      </w:r>
    </w:p>
    <w:p w14:paraId="6EDCFD04" w14:textId="77777777" w:rsidR="00A9766F" w:rsidRPr="007114AF" w:rsidRDefault="00617388" w:rsidP="00206985">
      <w:pPr>
        <w:pStyle w:val="TEKSTI"/>
        <w:rPr>
          <w:rFonts w:eastAsia="MS Mincho"/>
        </w:rPr>
      </w:pPr>
      <w:r w:rsidRPr="007114AF">
        <w:rPr>
          <w:rFonts w:eastAsia="MS Mincho"/>
        </w:rPr>
        <w:t xml:space="preserve">- </w:t>
      </w:r>
      <w:r w:rsidR="00A9766F" w:rsidRPr="007114AF">
        <w:rPr>
          <w:rFonts w:eastAsia="MS Mincho"/>
        </w:rPr>
        <w:t>Pikësynimit për rritje me 17% të sipërfaqes së zonave të mbrojtura të territorit, përmes përmirësimit dhe menaxhimit të integruar të zonave të mbrojtura.</w:t>
      </w:r>
    </w:p>
    <w:p w14:paraId="6EDCFD05" w14:textId="7F16F735" w:rsidR="00A9766F" w:rsidRPr="007114AF" w:rsidRDefault="00617388" w:rsidP="00206985">
      <w:pPr>
        <w:pStyle w:val="TEKSTI"/>
        <w:rPr>
          <w:rFonts w:eastAsia="MS Mincho"/>
        </w:rPr>
      </w:pPr>
      <w:r w:rsidRPr="007114AF">
        <w:rPr>
          <w:rFonts w:eastAsia="MS Mincho"/>
        </w:rPr>
        <w:t xml:space="preserve">- </w:t>
      </w:r>
      <w:r w:rsidR="00A9766F" w:rsidRPr="007114AF">
        <w:rPr>
          <w:rFonts w:eastAsia="MS Mincho"/>
        </w:rPr>
        <w:t xml:space="preserve">Ngritja e rrjetit ekologjik </w:t>
      </w:r>
      <w:r w:rsidR="000A2A01" w:rsidRPr="007114AF">
        <w:rPr>
          <w:rFonts w:eastAsia="MS Mincho"/>
        </w:rPr>
        <w:t>“</w:t>
      </w:r>
      <w:r w:rsidR="00A9766F" w:rsidRPr="007114AF">
        <w:rPr>
          <w:rFonts w:eastAsia="MS Mincho"/>
        </w:rPr>
        <w:t>Natura 2000</w:t>
      </w:r>
      <w:r w:rsidR="000A2A01" w:rsidRPr="007114AF">
        <w:rPr>
          <w:rFonts w:eastAsia="MS Mincho"/>
        </w:rPr>
        <w:t>”</w:t>
      </w:r>
      <w:r w:rsidR="00A9766F" w:rsidRPr="007114AF">
        <w:rPr>
          <w:rFonts w:eastAsia="MS Mincho"/>
        </w:rPr>
        <w:t>.</w:t>
      </w:r>
    </w:p>
    <w:p w14:paraId="6EDCFD06" w14:textId="77777777" w:rsidR="00A9766F" w:rsidRPr="007114AF" w:rsidRDefault="00617388" w:rsidP="00206985">
      <w:pPr>
        <w:pStyle w:val="TEKSTI"/>
        <w:rPr>
          <w:rFonts w:eastAsia="MS Mincho"/>
        </w:rPr>
      </w:pPr>
      <w:r w:rsidRPr="007114AF">
        <w:rPr>
          <w:rFonts w:eastAsia="MS Mincho"/>
        </w:rPr>
        <w:t xml:space="preserve">- </w:t>
      </w:r>
      <w:r w:rsidR="00A9766F" w:rsidRPr="007114AF">
        <w:rPr>
          <w:rFonts w:eastAsia="MS Mincho"/>
        </w:rPr>
        <w:t>Sigurimi i statusit të konservimit për 5% të specieve dhe habitateve të rrezikuara.</w:t>
      </w:r>
    </w:p>
    <w:p w14:paraId="6EDCFD07" w14:textId="77777777" w:rsidR="00A9766F" w:rsidRPr="007114AF" w:rsidRDefault="00617388" w:rsidP="00206985">
      <w:pPr>
        <w:pStyle w:val="TEKSTI"/>
        <w:rPr>
          <w:rFonts w:eastAsia="MS Mincho"/>
          <w:lang w:eastAsia="en-GB"/>
        </w:rPr>
      </w:pPr>
      <w:r w:rsidRPr="007114AF">
        <w:t xml:space="preserve">- </w:t>
      </w:r>
      <w:r w:rsidR="00A9766F" w:rsidRPr="007114AF">
        <w:t xml:space="preserve">Forcimi i menaxhimit dhe ruajtjes së burimeve pyjore dhe kullotave përmes: </w:t>
      </w:r>
    </w:p>
    <w:p w14:paraId="6EDCFD08" w14:textId="77777777" w:rsidR="00A9766F" w:rsidRPr="007114AF" w:rsidRDefault="00617388" w:rsidP="00206985">
      <w:pPr>
        <w:pStyle w:val="TEKSTI"/>
        <w:rPr>
          <w:rFonts w:eastAsia="MS Mincho"/>
        </w:rPr>
      </w:pPr>
      <w:r w:rsidRPr="007114AF">
        <w:rPr>
          <w:rFonts w:eastAsia="MS Mincho"/>
        </w:rPr>
        <w:t xml:space="preserve">- </w:t>
      </w:r>
      <w:r w:rsidR="00A9766F" w:rsidRPr="007114AF">
        <w:rPr>
          <w:rFonts w:eastAsia="MS Mincho"/>
        </w:rPr>
        <w:t>Një pikësynimi për reduktimin 40% të prerjeve të paligjshme deri në vitin 2020.</w:t>
      </w:r>
    </w:p>
    <w:p w14:paraId="6EDCFD09" w14:textId="77777777" w:rsidR="00A9766F" w:rsidRPr="007114AF" w:rsidRDefault="00617388" w:rsidP="00206985">
      <w:pPr>
        <w:pStyle w:val="TEKSTI"/>
        <w:rPr>
          <w:rFonts w:eastAsia="MS Mincho"/>
        </w:rPr>
      </w:pPr>
      <w:r w:rsidRPr="007114AF">
        <w:rPr>
          <w:rFonts w:eastAsia="MS Mincho"/>
        </w:rPr>
        <w:t xml:space="preserve">- </w:t>
      </w:r>
      <w:r w:rsidR="00A9766F" w:rsidRPr="007114AF">
        <w:rPr>
          <w:rFonts w:eastAsia="MS Mincho"/>
        </w:rPr>
        <w:t>Arritjes së mbulimit 100% me plane menaxhimi për gjithë ekonomitë pyjore në mbarë vendin.</w:t>
      </w:r>
    </w:p>
    <w:p w14:paraId="6EDCFD0A" w14:textId="77777777" w:rsidR="00A9766F" w:rsidRPr="007114AF" w:rsidRDefault="00617388" w:rsidP="00206985">
      <w:pPr>
        <w:pStyle w:val="TEKSTI"/>
        <w:rPr>
          <w:rFonts w:eastAsia="MS Mincho"/>
        </w:rPr>
      </w:pPr>
      <w:r w:rsidRPr="007114AF">
        <w:rPr>
          <w:rFonts w:eastAsia="MS Mincho"/>
        </w:rPr>
        <w:t xml:space="preserve">- </w:t>
      </w:r>
      <w:r w:rsidR="00A9766F" w:rsidRPr="007114AF">
        <w:rPr>
          <w:rFonts w:eastAsia="MS Mincho"/>
        </w:rPr>
        <w:t>Rehabilitimit të 25% të zonave të degraduara.</w:t>
      </w:r>
    </w:p>
    <w:p w14:paraId="6EDCFD0B" w14:textId="779BA082" w:rsidR="00A9766F" w:rsidRPr="007114AF" w:rsidRDefault="00617388" w:rsidP="00206985">
      <w:pPr>
        <w:pStyle w:val="TEKSTI"/>
      </w:pPr>
      <w:r w:rsidRPr="007114AF">
        <w:t xml:space="preserve">- </w:t>
      </w:r>
      <w:r w:rsidR="00A9766F" w:rsidRPr="007114AF">
        <w:t>Zhvillimi i turizmit të qëndrueshëm në Shqipëri, që ndikon</w:t>
      </w:r>
      <w:r w:rsidR="00CA77E2">
        <w:t xml:space="preserve"> </w:t>
      </w:r>
      <w:r w:rsidR="00A9766F" w:rsidRPr="007114AF">
        <w:t>në mënyrë indirekte pozitivisht në ndryshimin e klimës, duke qenë se ruan ekosistemet natyrore.</w:t>
      </w:r>
    </w:p>
    <w:p w14:paraId="6EDCFD0C" w14:textId="77777777" w:rsidR="00A9766F" w:rsidRPr="007114AF" w:rsidRDefault="00617388" w:rsidP="00206985">
      <w:pPr>
        <w:pStyle w:val="TEKSTI"/>
      </w:pPr>
      <w:r w:rsidRPr="007114AF">
        <w:t xml:space="preserve">- </w:t>
      </w:r>
      <w:r w:rsidR="00A9766F" w:rsidRPr="007114AF">
        <w:t>Forcimi i menaxhimit të përdorimit të ujit, me qëllim që të reduktohen përmbytjet dhe fenomeni i erozionit dhe humbjes së tokës, përmes:</w:t>
      </w:r>
    </w:p>
    <w:p w14:paraId="6EDCFD0D" w14:textId="77777777" w:rsidR="00A9766F" w:rsidRPr="007114AF" w:rsidRDefault="00617388" w:rsidP="00206985">
      <w:pPr>
        <w:pStyle w:val="TEKSTI"/>
        <w:rPr>
          <w:rFonts w:eastAsia="MS Mincho"/>
        </w:rPr>
      </w:pPr>
      <w:r w:rsidRPr="007114AF">
        <w:rPr>
          <w:rFonts w:eastAsia="MS Mincho"/>
        </w:rPr>
        <w:t xml:space="preserve">- </w:t>
      </w:r>
      <w:r w:rsidR="00A9766F" w:rsidRPr="007114AF">
        <w:rPr>
          <w:rFonts w:eastAsia="MS Mincho"/>
        </w:rPr>
        <w:t>Rehabilitimit dhe modernizimit të infrastrukturës ekzistuese lidhur me ujitjen, kullimin dhe mbrojtjen nga përmbytjet.</w:t>
      </w:r>
    </w:p>
    <w:p w14:paraId="6EDCFD0E" w14:textId="77777777" w:rsidR="00A9766F" w:rsidRPr="007114AF" w:rsidRDefault="00617388" w:rsidP="00206985">
      <w:pPr>
        <w:pStyle w:val="TEKSTI"/>
        <w:rPr>
          <w:rFonts w:eastAsia="MS Mincho"/>
        </w:rPr>
      </w:pPr>
      <w:r w:rsidRPr="007114AF">
        <w:rPr>
          <w:rFonts w:eastAsia="MS Mincho"/>
        </w:rPr>
        <w:t xml:space="preserve">- </w:t>
      </w:r>
      <w:r w:rsidR="00A9766F" w:rsidRPr="007114AF">
        <w:rPr>
          <w:rFonts w:eastAsia="MS Mincho"/>
        </w:rPr>
        <w:t>Zhvillimit dhe zbatimit të mekanizmave për menaxhimin e qëndrueshëm të ujitjes, kullimit dhe sistemeve të mbrojtjes nga përmbytjet(përmirësimi cilësor i funksionalitetit të sistemit të kullimit).</w:t>
      </w:r>
    </w:p>
    <w:p w14:paraId="6EDCFD0F" w14:textId="77777777" w:rsidR="00A9766F" w:rsidRPr="007114AF" w:rsidRDefault="00617388" w:rsidP="00206985">
      <w:pPr>
        <w:pStyle w:val="TEKSTI"/>
        <w:rPr>
          <w:rFonts w:eastAsia="MS Mincho"/>
        </w:rPr>
      </w:pPr>
      <w:r w:rsidRPr="007114AF">
        <w:rPr>
          <w:rFonts w:eastAsia="MS Mincho"/>
        </w:rPr>
        <w:t xml:space="preserve">- </w:t>
      </w:r>
      <w:r w:rsidR="00A9766F" w:rsidRPr="007114AF">
        <w:rPr>
          <w:rFonts w:eastAsia="MS Mincho"/>
        </w:rPr>
        <w:t>Përgatitjes dhe zbatimit të planeve të menaxhimit të baseneve të lumenjve.</w:t>
      </w:r>
    </w:p>
    <w:p w14:paraId="6EDCFD10" w14:textId="77777777" w:rsidR="00A9766F" w:rsidRPr="007114AF" w:rsidRDefault="00617388" w:rsidP="00206985">
      <w:pPr>
        <w:pStyle w:val="TEKSTI"/>
        <w:rPr>
          <w:rFonts w:eastAsia="MS Mincho"/>
        </w:rPr>
      </w:pPr>
      <w:r w:rsidRPr="007114AF">
        <w:rPr>
          <w:rFonts w:eastAsia="MS Mincho"/>
        </w:rPr>
        <w:t xml:space="preserve">- </w:t>
      </w:r>
      <w:r w:rsidR="00A9766F" w:rsidRPr="007114AF">
        <w:rPr>
          <w:rFonts w:eastAsia="MS Mincho"/>
        </w:rPr>
        <w:t>Koordinimit dhe menaxhimit të përdorimit të ujërave në kontekstin e çështjeve që lidhen me ndryshimin/zbutjen e klimës.</w:t>
      </w:r>
    </w:p>
    <w:p w14:paraId="6EDCFD11" w14:textId="77777777" w:rsidR="00A9766F" w:rsidRPr="007114AF" w:rsidRDefault="00617388" w:rsidP="00206985">
      <w:pPr>
        <w:pStyle w:val="TEKSTI"/>
        <w:rPr>
          <w:rFonts w:eastAsia="MS Mincho"/>
        </w:rPr>
      </w:pPr>
      <w:r w:rsidRPr="007114AF">
        <w:rPr>
          <w:rFonts w:eastAsia="MS Mincho"/>
        </w:rPr>
        <w:t xml:space="preserve">- </w:t>
      </w:r>
      <w:r w:rsidR="00A9766F" w:rsidRPr="007114AF">
        <w:rPr>
          <w:rFonts w:eastAsia="MS Mincho"/>
        </w:rPr>
        <w:t>Rehabilitimit të shtretërve të dëmtuar të lumenjve.</w:t>
      </w:r>
    </w:p>
    <w:p w14:paraId="6EDCFD12" w14:textId="77777777" w:rsidR="00A9766F" w:rsidRPr="007114AF" w:rsidRDefault="00A9766F" w:rsidP="00206985">
      <w:pPr>
        <w:pStyle w:val="TEKSTI"/>
        <w:rPr>
          <w:rFonts w:cs="Arial"/>
          <w:b/>
        </w:rPr>
      </w:pPr>
      <w:r w:rsidRPr="007114AF">
        <w:rPr>
          <w:rFonts w:cs="Arial"/>
          <w:b/>
          <w:i/>
          <w:u w:val="single"/>
        </w:rPr>
        <w:t>Plani Kombëtari Territorit (PKT)</w:t>
      </w:r>
    </w:p>
    <w:p w14:paraId="6EDCFD13" w14:textId="77777777" w:rsidR="00A9766F" w:rsidRPr="007114AF" w:rsidRDefault="00A9766F" w:rsidP="00206985">
      <w:pPr>
        <w:pStyle w:val="TEKSTI"/>
        <w:rPr>
          <w:rStyle w:val="Heading1Char"/>
          <w:rFonts w:ascii="Garamond" w:hAnsi="Garamond"/>
          <w:b w:val="0"/>
          <w:i/>
        </w:rPr>
      </w:pPr>
      <w:r w:rsidRPr="007114AF">
        <w:rPr>
          <w:rFonts w:cs="Arial"/>
          <w:i/>
        </w:rPr>
        <w:t>Vlefshmëria: 2015-2030</w:t>
      </w:r>
    </w:p>
    <w:p w14:paraId="6EDCFD14" w14:textId="2869967C" w:rsidR="00A9766F" w:rsidRPr="007114AF" w:rsidRDefault="00A9766F" w:rsidP="00206985">
      <w:pPr>
        <w:pStyle w:val="TEKSTI"/>
        <w:rPr>
          <w:rFonts w:cs="Arial"/>
        </w:rPr>
      </w:pPr>
      <w:r w:rsidRPr="007114AF">
        <w:rPr>
          <w:rFonts w:cs="Arial"/>
        </w:rPr>
        <w:lastRenderedPageBreak/>
        <w:t xml:space="preserve">Plani Kombëtari Territorit (PKT) </w:t>
      </w:r>
      <w:r w:rsidR="000A2A01" w:rsidRPr="007114AF">
        <w:rPr>
          <w:rFonts w:cs="Arial"/>
        </w:rPr>
        <w:t>“</w:t>
      </w:r>
      <w:r w:rsidRPr="007114AF">
        <w:rPr>
          <w:rFonts w:cs="Arial"/>
        </w:rPr>
        <w:t>Shqipëria 2030</w:t>
      </w:r>
      <w:r w:rsidR="000A2A01" w:rsidRPr="007114AF">
        <w:rPr>
          <w:rFonts w:cs="Arial"/>
        </w:rPr>
        <w:t>”</w:t>
      </w:r>
      <w:r w:rsidRPr="007114AF">
        <w:rPr>
          <w:rFonts w:cs="Arial"/>
        </w:rPr>
        <w:t xml:space="preserve"> </w:t>
      </w:r>
      <w:r w:rsidRPr="007114AF">
        <w:rPr>
          <w:rFonts w:eastAsia="Times New Roman" w:cs="Calibri"/>
          <w:shd w:val="clear" w:color="auto" w:fill="FFFFFF"/>
        </w:rPr>
        <w:t xml:space="preserve">është përgatitur nga Agjencia Kombëtare për Planifikimin e Territorit dhe ish Ministria e Zhvillimit Urban, në përputhje me Ligjin 107/2014 </w:t>
      </w:r>
      <w:r w:rsidR="000A2A01" w:rsidRPr="007114AF">
        <w:rPr>
          <w:rFonts w:eastAsia="Times New Roman" w:cs="Calibri"/>
          <w:shd w:val="clear" w:color="auto" w:fill="FFFFFF"/>
        </w:rPr>
        <w:t>“</w:t>
      </w:r>
      <w:r w:rsidRPr="007114AF">
        <w:rPr>
          <w:rFonts w:eastAsia="Times New Roman" w:cs="Calibri"/>
          <w:shd w:val="clear" w:color="auto" w:fill="FFFFFF"/>
        </w:rPr>
        <w:t>Për planifikimin dhe zhvillimin e territorit</w:t>
      </w:r>
      <w:r w:rsidR="000A2A01" w:rsidRPr="007114AF">
        <w:rPr>
          <w:rFonts w:eastAsia="Times New Roman" w:cs="Calibri"/>
          <w:shd w:val="clear" w:color="auto" w:fill="FFFFFF"/>
        </w:rPr>
        <w:t>”</w:t>
      </w:r>
      <w:r w:rsidRPr="007114AF">
        <w:rPr>
          <w:rFonts w:eastAsia="Times New Roman" w:cs="Calibri"/>
          <w:shd w:val="clear" w:color="auto" w:fill="FFFFFF"/>
        </w:rPr>
        <w:t>. Ai përfaqëson një instrument me rëndësi të planifikimit të territorit</w:t>
      </w:r>
      <w:r w:rsidR="00CA77E2">
        <w:rPr>
          <w:rFonts w:eastAsia="Times New Roman" w:cs="Calibri"/>
          <w:shd w:val="clear" w:color="auto" w:fill="FFFFFF"/>
        </w:rPr>
        <w:t xml:space="preserve"> </w:t>
      </w:r>
      <w:r w:rsidRPr="007114AF">
        <w:rPr>
          <w:rFonts w:eastAsia="Times New Roman" w:cs="Calibri"/>
          <w:shd w:val="clear" w:color="auto" w:fill="FFFFFF"/>
        </w:rPr>
        <w:t xml:space="preserve">në Shqipëri, që i trajton çështjet sektoriale në mënyrë të integruar, në kuadrin e synimit për planifikimin e territorit shqiptar (61 bashki të organizuara në 4 zona kryesore) si i tërë. </w:t>
      </w:r>
    </w:p>
    <w:p w14:paraId="6EDCFD15" w14:textId="79EEF141" w:rsidR="00A9766F" w:rsidRPr="007114AF" w:rsidRDefault="00A9766F" w:rsidP="00206985">
      <w:pPr>
        <w:pStyle w:val="TEKSTI"/>
        <w:rPr>
          <w:rFonts w:eastAsia="Times New Roman" w:cs="Calibri"/>
        </w:rPr>
      </w:pPr>
      <w:r w:rsidRPr="007114AF">
        <w:rPr>
          <w:rFonts w:eastAsia="Times New Roman" w:cs="Calibri"/>
          <w:shd w:val="clear" w:color="auto" w:fill="FFFFFF"/>
        </w:rPr>
        <w:t xml:space="preserve">Synimi kryesor i </w:t>
      </w:r>
      <w:r w:rsidRPr="007114AF">
        <w:rPr>
          <w:rFonts w:cs="Arial"/>
        </w:rPr>
        <w:t>PKT-ës</w:t>
      </w:r>
      <w:r w:rsidR="00CA77E2">
        <w:rPr>
          <w:rFonts w:cs="Arial"/>
        </w:rPr>
        <w:t xml:space="preserve"> </w:t>
      </w:r>
      <w:r w:rsidRPr="007114AF">
        <w:rPr>
          <w:rFonts w:eastAsia="Times New Roman" w:cs="Calibri"/>
          <w:shd w:val="clear" w:color="auto" w:fill="FFFFFF"/>
        </w:rPr>
        <w:t xml:space="preserve">është përgatitja e një kuadri zhvillimi hapësinor për </w:t>
      </w:r>
      <w:r w:rsidRPr="007114AF">
        <w:rPr>
          <w:rFonts w:eastAsia="Times New Roman" w:cs="Calibri"/>
        </w:rPr>
        <w:t>territorin shqiptar, me qëllim që të rritet mirëqenia e qytetarëve dhe rritja ekonomike e vendit, duke zvogëluar pabarazinë, duke forcuar partneritetin strategjik me vendet fqinje</w:t>
      </w:r>
      <w:r w:rsidR="00CA77E2">
        <w:rPr>
          <w:rFonts w:eastAsia="Times New Roman" w:cs="Calibri"/>
        </w:rPr>
        <w:t xml:space="preserve"> </w:t>
      </w:r>
      <w:r w:rsidRPr="007114AF">
        <w:rPr>
          <w:rFonts w:eastAsia="Times New Roman" w:cs="Calibri"/>
        </w:rPr>
        <w:t xml:space="preserve">dhe zbatimin e politikave që forcojnë konkurrencën e sektorëve ekonomikë, duke siguruar kështu integrimin në Bashkimin Evropian. </w:t>
      </w:r>
      <w:r w:rsidRPr="007114AF">
        <w:rPr>
          <w:rFonts w:cs="Arial"/>
        </w:rPr>
        <w:t>PKT-ja</w:t>
      </w:r>
      <w:r w:rsidR="00CA77E2">
        <w:rPr>
          <w:rFonts w:cs="Arial"/>
        </w:rPr>
        <w:t xml:space="preserve"> </w:t>
      </w:r>
      <w:r w:rsidRPr="007114AF">
        <w:rPr>
          <w:rFonts w:eastAsia="Times New Roman" w:cs="Calibri"/>
        </w:rPr>
        <w:t xml:space="preserve">përfaqëson bazën për harmonizimin e politikave ndërsektoriale dhe siguron kuadrin strategjik për zhvillimin e qëndrueshëm të territorit për 15 vitet e ardhshme, duke siguruar një zhvillim të balancuar ekonomik dhe social, përmes përdorimit racional të tokës, menaxhimit të përgjegjshëm të burimeve të saj natyrore dhe mbrojtjes së mjedisit. </w:t>
      </w:r>
    </w:p>
    <w:p w14:paraId="6EDCFD16" w14:textId="5EAA3F5A" w:rsidR="00A9766F" w:rsidRPr="007114AF" w:rsidRDefault="00A9766F" w:rsidP="00206985">
      <w:pPr>
        <w:pStyle w:val="TEKSTI"/>
        <w:rPr>
          <w:rFonts w:eastAsia="Times New Roman" w:cs="Calibri"/>
        </w:rPr>
      </w:pPr>
      <w:r w:rsidRPr="007114AF">
        <w:rPr>
          <w:rFonts w:cs="Arial"/>
        </w:rPr>
        <w:t>PKT-ja</w:t>
      </w:r>
      <w:r w:rsidR="00CA77E2">
        <w:rPr>
          <w:rFonts w:cs="Arial"/>
        </w:rPr>
        <w:t xml:space="preserve"> </w:t>
      </w:r>
      <w:r w:rsidRPr="007114AF">
        <w:rPr>
          <w:rFonts w:eastAsia="Times New Roman" w:cs="Calibri"/>
        </w:rPr>
        <w:t>përfshin shumë masa që ndikojnë pozitivisht në zbutjen e ndryshimit të klimës në sektorë të ndryshëm.</w:t>
      </w:r>
    </w:p>
    <w:p w14:paraId="6EDCFD17" w14:textId="77777777" w:rsidR="00A9766F" w:rsidRPr="007114AF" w:rsidRDefault="00A9766F" w:rsidP="00206985">
      <w:pPr>
        <w:pStyle w:val="TEKSTI"/>
        <w:rPr>
          <w:rFonts w:eastAsia="Times New Roman" w:cs="Calibri"/>
        </w:rPr>
      </w:pPr>
      <w:r w:rsidRPr="007114AF">
        <w:rPr>
          <w:rFonts w:eastAsia="Times New Roman" w:cs="Calibri"/>
        </w:rPr>
        <w:t>Energjia:</w:t>
      </w:r>
    </w:p>
    <w:p w14:paraId="6EDCFD18" w14:textId="77777777" w:rsidR="00A9766F" w:rsidRPr="007114AF" w:rsidRDefault="00617388" w:rsidP="00206985">
      <w:pPr>
        <w:pStyle w:val="TEKSTI"/>
      </w:pPr>
      <w:r w:rsidRPr="007114AF">
        <w:t xml:space="preserve">- </w:t>
      </w:r>
      <w:r w:rsidR="00A9766F" w:rsidRPr="007114AF">
        <w:t>Zhvillimi i infrastrukturës së energjisë për të rritur energjinë e rinovueshme;</w:t>
      </w:r>
    </w:p>
    <w:p w14:paraId="6EDCFD19" w14:textId="77777777" w:rsidR="00A9766F" w:rsidRPr="007114AF" w:rsidRDefault="00617388" w:rsidP="00206985">
      <w:pPr>
        <w:pStyle w:val="TEKSTI"/>
      </w:pPr>
      <w:r w:rsidRPr="007114AF">
        <w:t xml:space="preserve">- </w:t>
      </w:r>
      <w:r w:rsidR="00A9766F" w:rsidRPr="007114AF">
        <w:t>Realizimi i korridoreve të energjisë për integrimin e rrjetit të shpërndarjes së energjisë elektrike dhe gazit me korridoret e transportit, duke realizuar unifikimin e korridoreve të infrastrukturës;</w:t>
      </w:r>
    </w:p>
    <w:p w14:paraId="6EDCFD1A" w14:textId="444D3962" w:rsidR="00A9766F" w:rsidRPr="007114AF" w:rsidRDefault="00617388" w:rsidP="00206985">
      <w:pPr>
        <w:pStyle w:val="TEKSTI"/>
      </w:pPr>
      <w:r w:rsidRPr="007114AF">
        <w:t xml:space="preserve">- </w:t>
      </w:r>
      <w:r w:rsidR="00A9766F" w:rsidRPr="007114AF">
        <w:t>Përmirësimi i furnizimit me energji elektrike në rajonin perëndimor, skajet</w:t>
      </w:r>
      <w:r w:rsidR="00CA77E2">
        <w:t xml:space="preserve"> </w:t>
      </w:r>
      <w:r w:rsidR="00A9766F" w:rsidRPr="007114AF">
        <w:t>verilindore dhe në juglindje të vendit, duke shtuar qasjen në rrjetin kombëtar;</w:t>
      </w:r>
    </w:p>
    <w:p w14:paraId="6EDCFD1B" w14:textId="2985E339" w:rsidR="00A9766F" w:rsidRPr="007114AF" w:rsidRDefault="00617388" w:rsidP="00206985">
      <w:pPr>
        <w:pStyle w:val="TEKSTI"/>
      </w:pPr>
      <w:r w:rsidRPr="007114AF">
        <w:t xml:space="preserve">- </w:t>
      </w:r>
      <w:r w:rsidR="00A9766F" w:rsidRPr="007114AF">
        <w:t>Forcimi i rrjetit të furnizimit me energji elektrike për t</w:t>
      </w:r>
      <w:r w:rsidR="00D10DAB" w:rsidRPr="007114AF">
        <w:t>’</w:t>
      </w:r>
      <w:r w:rsidR="00A9766F" w:rsidRPr="007114AF">
        <w:t>i shërbyer grupeve specifike për kërkesat në zonat industriale, zonave përpunuese të paraqitura si zona të lira ekonomike, dhe të tjera të ngjashme;</w:t>
      </w:r>
    </w:p>
    <w:p w14:paraId="6EDCFD1C" w14:textId="77777777" w:rsidR="00A9766F" w:rsidRPr="007114AF" w:rsidRDefault="00617388" w:rsidP="00206985">
      <w:pPr>
        <w:pStyle w:val="TEKSTI"/>
      </w:pPr>
      <w:r w:rsidRPr="007114AF">
        <w:t xml:space="preserve">- </w:t>
      </w:r>
      <w:r w:rsidR="00A9766F" w:rsidRPr="007114AF">
        <w:t>Një integrim më i mirë në rrjetin e jugut dhe juglindjes së Shqipërisë;</w:t>
      </w:r>
    </w:p>
    <w:p w14:paraId="6EDCFD1D" w14:textId="51329F42" w:rsidR="00A9766F" w:rsidRPr="007114AF" w:rsidRDefault="00617388" w:rsidP="00206985">
      <w:pPr>
        <w:pStyle w:val="TEKSTI"/>
      </w:pPr>
      <w:r w:rsidRPr="007114AF">
        <w:t xml:space="preserve">- </w:t>
      </w:r>
      <w:r w:rsidR="00A9766F" w:rsidRPr="007114AF">
        <w:t>Përfundimi i projektit të Gazsjellësit Trans-Adriatik</w:t>
      </w:r>
      <w:r w:rsidR="000A2A01" w:rsidRPr="007114AF">
        <w:t xml:space="preserve"> </w:t>
      </w:r>
      <w:r w:rsidR="00A9766F" w:rsidRPr="007114AF">
        <w:t>(TAP);</w:t>
      </w:r>
    </w:p>
    <w:p w14:paraId="6EDCFD1E" w14:textId="77777777" w:rsidR="00A9766F" w:rsidRPr="007114AF" w:rsidRDefault="00617388" w:rsidP="00206985">
      <w:pPr>
        <w:pStyle w:val="TEKSTI"/>
      </w:pPr>
      <w:r w:rsidRPr="007114AF">
        <w:t xml:space="preserve">- </w:t>
      </w:r>
      <w:r w:rsidR="00A9766F" w:rsidRPr="007114AF">
        <w:t>Realizimi i projektit të Gazsjellësit Jon-Adriatik (IAP).</w:t>
      </w:r>
    </w:p>
    <w:p w14:paraId="6EDCFD1F" w14:textId="77777777" w:rsidR="00A9766F" w:rsidRPr="007114AF" w:rsidRDefault="00A9766F" w:rsidP="00206985">
      <w:pPr>
        <w:pStyle w:val="TEKSTI"/>
        <w:rPr>
          <w:rFonts w:eastAsia="Times New Roman" w:cs="Calibri"/>
        </w:rPr>
      </w:pPr>
      <w:r w:rsidRPr="007114AF">
        <w:rPr>
          <w:rFonts w:eastAsia="Times New Roman" w:cs="Calibri"/>
        </w:rPr>
        <w:t>Transporti:</w:t>
      </w:r>
    </w:p>
    <w:p w14:paraId="6EDCFD20" w14:textId="379B0AA9" w:rsidR="00A9766F" w:rsidRPr="007114AF" w:rsidRDefault="00617388" w:rsidP="00206985">
      <w:pPr>
        <w:pStyle w:val="TEKSTI"/>
      </w:pPr>
      <w:r w:rsidRPr="007114AF">
        <w:t xml:space="preserve">- </w:t>
      </w:r>
      <w:r w:rsidR="00A9766F" w:rsidRPr="007114AF">
        <w:t>Reduktimi i shkarkimeve ndotëse (CO</w:t>
      </w:r>
      <w:r w:rsidR="00A9766F" w:rsidRPr="007114AF">
        <w:rPr>
          <w:vertAlign w:val="subscript"/>
        </w:rPr>
        <w:t>2</w:t>
      </w:r>
      <w:r w:rsidR="00A9766F" w:rsidRPr="007114AF">
        <w:t>) deri në vitin 2030,përmes investimeve në teknologji, inovacionit</w:t>
      </w:r>
      <w:r w:rsidR="00CA77E2">
        <w:t xml:space="preserve"> </w:t>
      </w:r>
      <w:r w:rsidR="00A9766F" w:rsidRPr="007114AF">
        <w:t>dhe ndërtimit të kapacitetit, në përputhje me objektivin evropian</w:t>
      </w:r>
      <w:r w:rsidR="00CA77E2">
        <w:t xml:space="preserve"> </w:t>
      </w:r>
      <w:r w:rsidR="00A9766F" w:rsidRPr="007114AF">
        <w:t>për vitin 2030, për reduktimin e shkarkimeve me 60% për transportin në përgjithësi;</w:t>
      </w:r>
    </w:p>
    <w:p w14:paraId="6EDCFD21" w14:textId="77777777" w:rsidR="00A9766F" w:rsidRPr="007114AF" w:rsidRDefault="00617388" w:rsidP="00206985">
      <w:pPr>
        <w:pStyle w:val="TEKSTI"/>
        <w:rPr>
          <w:rFonts w:cs="Calibri"/>
        </w:rPr>
      </w:pPr>
      <w:r w:rsidRPr="007114AF">
        <w:rPr>
          <w:rFonts w:cs="Calibri"/>
        </w:rPr>
        <w:t xml:space="preserve">- </w:t>
      </w:r>
      <w:r w:rsidR="00A9766F" w:rsidRPr="007114AF">
        <w:rPr>
          <w:rFonts w:cs="Calibri"/>
        </w:rPr>
        <w:t xml:space="preserve">Stimulimi i sistemit inteligjent të zhvillimit urban me sisteme transporti multimodale dhe miqësore me mjedisin, nëpërmjet lidhjeve të linjave hekurudhore me </w:t>
      </w:r>
      <w:r w:rsidR="00A9766F" w:rsidRPr="007114AF">
        <w:t xml:space="preserve">portet dhe </w:t>
      </w:r>
      <w:r w:rsidR="00A9766F" w:rsidRPr="007114AF">
        <w:rPr>
          <w:rFonts w:cs="Calibri"/>
        </w:rPr>
        <w:t>aeroportet kryesore;</w:t>
      </w:r>
    </w:p>
    <w:p w14:paraId="6EDCFD22" w14:textId="77777777" w:rsidR="00A9766F" w:rsidRPr="007114AF" w:rsidRDefault="00617388" w:rsidP="00206985">
      <w:pPr>
        <w:pStyle w:val="TEKSTI"/>
        <w:rPr>
          <w:rFonts w:eastAsiaTheme="majorEastAsia" w:cstheme="majorBidi"/>
          <w:bCs/>
          <w:sz w:val="28"/>
          <w:szCs w:val="28"/>
        </w:rPr>
      </w:pPr>
      <w:r w:rsidRPr="007114AF">
        <w:t xml:space="preserve">- </w:t>
      </w:r>
      <w:r w:rsidR="00A9766F" w:rsidRPr="007114AF">
        <w:t>Nxitja e përdorimit të teknologjive të reja miqësore me mjedisin në transport, si përdorimi i energjisë elektrike, hidrogjenit dhe teknologjive hibride, për transportin e mallrave në distanca të largëta;</w:t>
      </w:r>
    </w:p>
    <w:p w14:paraId="6EDCFD23" w14:textId="77777777" w:rsidR="00A9766F" w:rsidRPr="007114AF" w:rsidRDefault="00617388" w:rsidP="00206985">
      <w:pPr>
        <w:pStyle w:val="TEKSTI"/>
        <w:rPr>
          <w:rFonts w:eastAsiaTheme="majorEastAsia" w:cstheme="majorBidi"/>
          <w:bCs/>
          <w:sz w:val="28"/>
          <w:szCs w:val="28"/>
        </w:rPr>
      </w:pPr>
      <w:r w:rsidRPr="007114AF">
        <w:t xml:space="preserve">- </w:t>
      </w:r>
      <w:r w:rsidR="00A9766F" w:rsidRPr="007114AF">
        <w:t>Promovimi i transportit publik urban dhe infrastrukturës alternative të transportit, si rrugët për biçikleta;</w:t>
      </w:r>
    </w:p>
    <w:p w14:paraId="6EDCFD24" w14:textId="77777777" w:rsidR="00A9766F" w:rsidRPr="007114AF" w:rsidRDefault="00617388" w:rsidP="00206985">
      <w:pPr>
        <w:pStyle w:val="TEKSTI"/>
        <w:rPr>
          <w:rFonts w:cs="Calibri"/>
        </w:rPr>
      </w:pPr>
      <w:r w:rsidRPr="007114AF">
        <w:t xml:space="preserve">- </w:t>
      </w:r>
      <w:r w:rsidR="00A9766F" w:rsidRPr="007114AF">
        <w:t>Ristrukturimi i sistemit hekurudhor për linjat kombëtare që lidhin Shqipërinë me Ballkanin dhe Evropën, si dhe ndërtimi i linjave hekurudhore dhe sistemeve rrugore efikase për të mbështetur lëvizjen ndërqytetëse, në distancë të gjatë dhe ndërkufitare;</w:t>
      </w:r>
    </w:p>
    <w:p w14:paraId="6EDCFD25" w14:textId="77777777" w:rsidR="00A9766F" w:rsidRPr="007114AF" w:rsidRDefault="00617388" w:rsidP="00206985">
      <w:pPr>
        <w:pStyle w:val="TEKSTI"/>
        <w:rPr>
          <w:rFonts w:cs="Calibri"/>
        </w:rPr>
      </w:pPr>
      <w:r w:rsidRPr="007114AF">
        <w:t xml:space="preserve">- </w:t>
      </w:r>
      <w:r w:rsidR="00A9766F" w:rsidRPr="007114AF">
        <w:t>Forcimi i strukturave ekzistuese të porteve dhe aeroporteve.</w:t>
      </w:r>
    </w:p>
    <w:p w14:paraId="6EDCFD26" w14:textId="77777777" w:rsidR="00A9766F" w:rsidRPr="007114AF" w:rsidRDefault="00A9766F" w:rsidP="00617388">
      <w:pPr>
        <w:pStyle w:val="TEKSTI"/>
      </w:pPr>
      <w:r w:rsidRPr="007114AF">
        <w:t>Bujqësia:</w:t>
      </w:r>
    </w:p>
    <w:p w14:paraId="6EDCFD27" w14:textId="77777777" w:rsidR="00A9766F" w:rsidRPr="007114AF" w:rsidRDefault="00617388" w:rsidP="00206985">
      <w:pPr>
        <w:pStyle w:val="TEKSTI"/>
      </w:pPr>
      <w:r w:rsidRPr="007114AF">
        <w:t xml:space="preserve">- </w:t>
      </w:r>
      <w:r w:rsidR="00A9766F" w:rsidRPr="007114AF">
        <w:t>Ngritja dhe konsolidimi i qendrave kërkimore për analizën e produkteve bujqësore;</w:t>
      </w:r>
    </w:p>
    <w:p w14:paraId="6EDCFD28" w14:textId="77777777" w:rsidR="00A9766F" w:rsidRPr="007114AF" w:rsidRDefault="00617388" w:rsidP="00206985">
      <w:pPr>
        <w:pStyle w:val="TEKSTI"/>
      </w:pPr>
      <w:r w:rsidRPr="007114AF">
        <w:t xml:space="preserve">- </w:t>
      </w:r>
      <w:r w:rsidR="00A9766F" w:rsidRPr="007114AF">
        <w:t>Ndërtimi i strukturave me kapacitet të mjaftueshëm për mbledhjen, përpunimin dhe paketimin e produkteve të ndryshme bujqësore, të mbledhura nga fermerët vendorë;</w:t>
      </w:r>
    </w:p>
    <w:p w14:paraId="6EDCFD29" w14:textId="77777777" w:rsidR="00A9766F" w:rsidRPr="007114AF" w:rsidRDefault="00617388" w:rsidP="00206985">
      <w:pPr>
        <w:pStyle w:val="TEKSTI"/>
      </w:pPr>
      <w:r w:rsidRPr="007114AF">
        <w:t xml:space="preserve">- </w:t>
      </w:r>
      <w:r w:rsidR="00A9766F" w:rsidRPr="007114AF">
        <w:t>Krijimi i tregjeve vendore për promovimin dhe marketingun e produkteve bio-organike;</w:t>
      </w:r>
    </w:p>
    <w:p w14:paraId="6EDCFD2A" w14:textId="77777777" w:rsidR="00A9766F" w:rsidRPr="007114AF" w:rsidRDefault="00617388" w:rsidP="00206985">
      <w:pPr>
        <w:pStyle w:val="TEKSTI"/>
      </w:pPr>
      <w:r w:rsidRPr="007114AF">
        <w:lastRenderedPageBreak/>
        <w:t xml:space="preserve">- </w:t>
      </w:r>
      <w:r w:rsidR="00A9766F" w:rsidRPr="007114AF">
        <w:t>Mbrojtja dhe ruajtja e zonave të thella të përshtatshme për kultivimin e bimëve aromatiko-mjekësore, si dhe sigurimi i mbështetjes për të garantuar vazhdimin e kultivimit dhe mbledhjes së llojeve të ndryshme të bimëve aromatike-mjekësore, të përdorura gjerësisht në tregun farmaceutik;</w:t>
      </w:r>
    </w:p>
    <w:p w14:paraId="6EDCFD2B" w14:textId="77777777" w:rsidR="00A9766F" w:rsidRPr="007114AF" w:rsidRDefault="00617388" w:rsidP="00206985">
      <w:pPr>
        <w:pStyle w:val="TEKSTI"/>
      </w:pPr>
      <w:r w:rsidRPr="007114AF">
        <w:t xml:space="preserve">- </w:t>
      </w:r>
      <w:r w:rsidR="00A9766F" w:rsidRPr="007114AF">
        <w:t>Promovimi i lidhjeve kërkimore dhe zhvilluese mes qendrave të inovacionit dhe fermave/qendrave të përpunimit të ushqimit, me qëllim që të krijohen qendra bujqësore të nivelit të lartë.</w:t>
      </w:r>
    </w:p>
    <w:p w14:paraId="6EDCFD2C" w14:textId="77777777" w:rsidR="00A9766F" w:rsidRPr="007114AF" w:rsidRDefault="00A9766F" w:rsidP="00206985">
      <w:pPr>
        <w:pStyle w:val="TEKSTI"/>
        <w:rPr>
          <w:rFonts w:eastAsia="Times New Roman" w:cs="Calibri"/>
        </w:rPr>
      </w:pPr>
      <w:r w:rsidRPr="007114AF">
        <w:rPr>
          <w:rFonts w:eastAsia="Times New Roman" w:cs="Calibri"/>
        </w:rPr>
        <w:t xml:space="preserve">LUCF-ja: </w:t>
      </w:r>
    </w:p>
    <w:p w14:paraId="6EDCFD2D" w14:textId="77777777" w:rsidR="00A9766F" w:rsidRPr="007114AF" w:rsidRDefault="008D6C6A" w:rsidP="00206985">
      <w:pPr>
        <w:pStyle w:val="TEKSTI"/>
      </w:pPr>
      <w:r w:rsidRPr="007114AF">
        <w:t xml:space="preserve">- </w:t>
      </w:r>
      <w:r w:rsidR="00A9766F" w:rsidRPr="007114AF">
        <w:t>Ruajtja e ekosistemeve, biodiversitetit dhe burimeve natyrore në zonat e gjelbra, duke balancuar efektet e sistemeve të banesave dhe aktiviteteve ekonomike;</w:t>
      </w:r>
    </w:p>
    <w:p w14:paraId="6EDCFD2E" w14:textId="77777777" w:rsidR="00A9766F" w:rsidRPr="007114AF" w:rsidRDefault="008D6C6A" w:rsidP="00206985">
      <w:pPr>
        <w:pStyle w:val="TEKSTI"/>
      </w:pPr>
      <w:r w:rsidRPr="007114AF">
        <w:t xml:space="preserve">- </w:t>
      </w:r>
      <w:r w:rsidR="00A9766F" w:rsidRPr="007114AF">
        <w:t>Rritja e zonave natyrore dhe hapja e korridoreve parësorë që lidhin luginat natyrore përgjatë lumenjve;</w:t>
      </w:r>
    </w:p>
    <w:p w14:paraId="6EDCFD2F" w14:textId="1D6C0F36" w:rsidR="00A9766F" w:rsidRPr="007114AF" w:rsidRDefault="008D6C6A" w:rsidP="00206985">
      <w:pPr>
        <w:pStyle w:val="TEKSTI"/>
      </w:pPr>
      <w:r w:rsidRPr="007114AF">
        <w:t xml:space="preserve">- </w:t>
      </w:r>
      <w:r w:rsidR="00A9766F" w:rsidRPr="007114AF">
        <w:t>Njohja e tri zonave strategjike, si tr</w:t>
      </w:r>
      <w:r w:rsidR="000B5C70" w:rsidRPr="007114AF">
        <w:t>i</w:t>
      </w:r>
      <w:r w:rsidR="00A9766F" w:rsidRPr="007114AF">
        <w:t xml:space="preserve"> parqe kombëtare, zhvillimit të të cilave i duhet dhënë përparësi për ruajtjen dhe mbrojtjen e vlerave të peizazhit natyror: parku i Alpeve, parku i</w:t>
      </w:r>
      <w:r w:rsidR="00AB1F4E" w:rsidRPr="007114AF">
        <w:t xml:space="preserve"> </w:t>
      </w:r>
      <w:r w:rsidR="00A9766F" w:rsidRPr="007114AF">
        <w:t>Bunës, parku i Vjosës;</w:t>
      </w:r>
    </w:p>
    <w:p w14:paraId="6EDCFD30" w14:textId="3ADD5C20" w:rsidR="00A9766F" w:rsidRPr="007114AF" w:rsidRDefault="008D6C6A" w:rsidP="00206985">
      <w:pPr>
        <w:pStyle w:val="TEKSTI"/>
      </w:pPr>
      <w:r w:rsidRPr="007114AF">
        <w:t xml:space="preserve">- </w:t>
      </w:r>
      <w:r w:rsidR="00A9766F" w:rsidRPr="007114AF">
        <w:t xml:space="preserve">Zbatimi i projektit </w:t>
      </w:r>
      <w:r w:rsidR="000A2A01" w:rsidRPr="007114AF">
        <w:t>“</w:t>
      </w:r>
      <w:r w:rsidR="00A9766F" w:rsidRPr="007114AF">
        <w:t>Rrjeti kombëtar i biçikletave, që hyn dhe kalon në zona natyrore, historike dhe të trashëgimisë kulturore</w:t>
      </w:r>
      <w:r w:rsidR="000A2A01" w:rsidRPr="007114AF">
        <w:t>”</w:t>
      </w:r>
      <w:r w:rsidR="00A9766F" w:rsidRPr="007114AF">
        <w:t>;</w:t>
      </w:r>
    </w:p>
    <w:p w14:paraId="6EDCFD31" w14:textId="77777777" w:rsidR="00A9766F" w:rsidRPr="007114AF" w:rsidRDefault="008D6C6A" w:rsidP="00206985">
      <w:pPr>
        <w:pStyle w:val="TEKSTI"/>
      </w:pPr>
      <w:r w:rsidRPr="007114AF">
        <w:t xml:space="preserve">- </w:t>
      </w:r>
      <w:r w:rsidR="00A9766F" w:rsidRPr="007114AF">
        <w:t>Projektet e ripyllëzimit dhe rigjenerimit në zonat e degraduara nga erozioni dhe ndodhitë e përmbytjeve.</w:t>
      </w:r>
    </w:p>
    <w:p w14:paraId="6EDCFD32" w14:textId="3F7922EA" w:rsidR="00A9766F" w:rsidRPr="007114AF" w:rsidRDefault="00A9766F" w:rsidP="00206985">
      <w:pPr>
        <w:pStyle w:val="TEKSTI"/>
        <w:rPr>
          <w:b/>
          <w:u w:val="single"/>
        </w:rPr>
      </w:pPr>
      <w:r w:rsidRPr="007114AF">
        <w:rPr>
          <w:b/>
          <w:u w:val="single"/>
        </w:rPr>
        <w:t xml:space="preserve">Projektligj për </w:t>
      </w:r>
      <w:r w:rsidR="00CE5F15" w:rsidRPr="007114AF">
        <w:rPr>
          <w:b/>
          <w:u w:val="single"/>
        </w:rPr>
        <w:t xml:space="preserve">ndryshimet klimatike </w:t>
      </w:r>
    </w:p>
    <w:p w14:paraId="6EDCFD33" w14:textId="77777777" w:rsidR="00A9766F" w:rsidRPr="007114AF" w:rsidRDefault="00A9766F" w:rsidP="00206985">
      <w:pPr>
        <w:pStyle w:val="TEKSTI"/>
        <w:rPr>
          <w:i/>
        </w:rPr>
      </w:pPr>
      <w:r w:rsidRPr="007114AF">
        <w:rPr>
          <w:i/>
        </w:rPr>
        <w:t>Vlefshmëria: Nga hyrja në fuqi (pritet brenda vitit 2019) deri në rishikim</w:t>
      </w:r>
    </w:p>
    <w:p w14:paraId="6EDCFD34" w14:textId="51F4C2DF" w:rsidR="00A9766F" w:rsidRPr="007114AF" w:rsidRDefault="00A9766F" w:rsidP="00206985">
      <w:pPr>
        <w:pStyle w:val="TEKSTI"/>
      </w:pPr>
      <w:r w:rsidRPr="007114AF">
        <w:t>Qeveria e Shqipërisë po punon aktualisht për të përfunduar një ligj mbi ndryshimet</w:t>
      </w:r>
      <w:r w:rsidR="00CA77E2">
        <w:t xml:space="preserve"> </w:t>
      </w:r>
      <w:r w:rsidRPr="007114AF">
        <w:t>klimatike, me qëllim që të përmbushë detyrimet kombëtare në kuadrin e UNFCCC-ës, duke pasur parasysh detyrimet e ardhshme të Marrëveshjes së Parisit, si dhe për të garantuar një kuadër institucional efektiv në nivel kombëtar që kontribuon për zbutjen e shkarkimeve GES të vendit, dhe ruan e shton përthithësit dhe sekuestruesit e karbonit.</w:t>
      </w:r>
    </w:p>
    <w:p w14:paraId="6EDCFD35" w14:textId="77777777" w:rsidR="00A9766F" w:rsidRPr="007114AF" w:rsidRDefault="00A9766F" w:rsidP="00206985">
      <w:pPr>
        <w:pStyle w:val="TEKSTI"/>
      </w:pPr>
      <w:r w:rsidRPr="007114AF">
        <w:t xml:space="preserve">Synimi i ligjit është që të krijojë një bazë ligjore në Republikën e Shqipërisë, për përmbushjen e detyrimeve kombëtare në kuadrin e UNFCCC-ës dhe garantimin e masave efektive për zbutjen dhe përshtatjen ndaj ndryshimit të klimës, si në nivel kombëtar ashtu dhe vendor, si dhe veprimet matëse/monitoruese, raportuese dhe verifikuese që lidhen me to. </w:t>
      </w:r>
    </w:p>
    <w:p w14:paraId="6EDCFD36" w14:textId="77777777" w:rsidR="00A9766F" w:rsidRPr="007114AF" w:rsidRDefault="00A9766F" w:rsidP="00206985">
      <w:pPr>
        <w:pStyle w:val="TEKSTI"/>
      </w:pPr>
      <w:r w:rsidRPr="007114AF">
        <w:t>Ligji fokusohet te rregullimi i aktiviteteve që lidhen me shkarkimet dhe përthithjen e GES-it, si dhe me matjen, monitorimin, raportimin dhe verifikimin e tyre në lidhje me operatorët e instalimeve të mëdha, sektorin e transportit, referuar veçanërisht aviacionit, aktiviteteve të transportit të mallrave dhe atij rrugor, energjisë dhe sektorit të ndërtimeve, substancave holluese të ozonit dhe gazet e fluorit, pylltarisë dhe bujqësisë, si dhe kapjes nëpërmjet përthithësve të karbonit dhe magazinimit gjeologjik.</w:t>
      </w:r>
    </w:p>
    <w:p w14:paraId="6EDCFD37" w14:textId="77777777" w:rsidR="00A9766F" w:rsidRPr="007114AF" w:rsidRDefault="008D6C6A" w:rsidP="00206985">
      <w:pPr>
        <w:pStyle w:val="TEKSTI"/>
        <w:rPr>
          <w:b/>
        </w:rPr>
      </w:pPr>
      <w:bookmarkStart w:id="106" w:name="_Toc471987585"/>
      <w:bookmarkStart w:id="107" w:name="_Toc450135241"/>
      <w:bookmarkStart w:id="108" w:name="_Toc484424500"/>
      <w:bookmarkEnd w:id="106"/>
      <w:r w:rsidRPr="007114AF">
        <w:rPr>
          <w:b/>
        </w:rPr>
        <w:t xml:space="preserve">4.1.2 </w:t>
      </w:r>
      <w:r w:rsidR="00A9766F" w:rsidRPr="007114AF">
        <w:rPr>
          <w:b/>
        </w:rPr>
        <w:t>Energ</w:t>
      </w:r>
      <w:bookmarkEnd w:id="107"/>
      <w:r w:rsidR="00A9766F" w:rsidRPr="007114AF">
        <w:rPr>
          <w:b/>
        </w:rPr>
        <w:t>jia</w:t>
      </w:r>
      <w:bookmarkEnd w:id="108"/>
    </w:p>
    <w:p w14:paraId="6EDCFD38" w14:textId="55CCAAC3" w:rsidR="00A9766F" w:rsidRPr="007114AF" w:rsidRDefault="00A9766F" w:rsidP="00206985">
      <w:pPr>
        <w:pStyle w:val="TEKSTI"/>
      </w:pPr>
      <w:r w:rsidRPr="007114AF">
        <w:t xml:space="preserve">Kuadri kryesor i politikës i cili duhet konsideruar brenda dokumentit të </w:t>
      </w:r>
      <w:r w:rsidR="000A2A01" w:rsidRPr="007114AF">
        <w:t xml:space="preserve">SKNK&amp;P-së </w:t>
      </w:r>
      <w:r w:rsidRPr="007114AF">
        <w:t>për sektorin e energjisë është INDC-ja shqiptare, i cili u dorëzua në shtator 2015, dhe përshkruan uljen e intensitetit të shkarkimeve deri në vitin 2030. Përveç këtij, një tjetër dokument i rëndësishëm është Plani i Veprimit BER, i cili është miratuar nga Këshilli i Ministrave në janar 2016, dhe institucionet përgjegjëse për zbatimin dhe monitorimin e tij janë: Ministria e Infrastrukturës dhe Energjisë (MIE) me Agjencitë e saj të varësisë – Agjencia Kombëtare e Burimeve Natyrore (AKBN).</w:t>
      </w:r>
    </w:p>
    <w:p w14:paraId="6EDCFD39" w14:textId="30207651" w:rsidR="00A9766F" w:rsidRPr="007114AF" w:rsidRDefault="00A9766F" w:rsidP="00206985">
      <w:pPr>
        <w:pStyle w:val="TEKSTI"/>
      </w:pPr>
      <w:r w:rsidRPr="007114AF">
        <w:t>Dokumenti i SKNK&amp;PV-ës fokusohen në P</w:t>
      </w:r>
      <w:r w:rsidRPr="007114AF">
        <w:rPr>
          <w:color w:val="000000"/>
        </w:rPr>
        <w:t>lanin e dytë dhe të tretë Kombëtar të Veprimit për Efi</w:t>
      </w:r>
      <w:r w:rsidR="00CA77E2">
        <w:rPr>
          <w:color w:val="000000"/>
        </w:rPr>
        <w:t>ci</w:t>
      </w:r>
      <w:r w:rsidRPr="007114AF">
        <w:rPr>
          <w:color w:val="000000"/>
        </w:rPr>
        <w:t>encën e Energjisë për Shqipërinë, 2017-2020</w:t>
      </w:r>
      <w:r w:rsidRPr="007114AF">
        <w:t>.</w:t>
      </w:r>
    </w:p>
    <w:p w14:paraId="6EDCFD3A" w14:textId="3E9D48C8" w:rsidR="00A9766F" w:rsidRPr="007114AF" w:rsidRDefault="00A9766F" w:rsidP="00206985">
      <w:pPr>
        <w:pStyle w:val="TEKSTI"/>
        <w:rPr>
          <w:strike/>
          <w:highlight w:val="yellow"/>
        </w:rPr>
      </w:pPr>
      <w:r w:rsidRPr="007114AF">
        <w:t>Veç PKVEE-së, tre janë ligjet kryesore të cilat rregullojnë sektorin: Ligji</w:t>
      </w:r>
      <w:r w:rsidR="00242009" w:rsidRPr="007114AF">
        <w:t xml:space="preserve"> nr. </w:t>
      </w:r>
      <w:r w:rsidRPr="007114AF">
        <w:t xml:space="preserve">7/2007 </w:t>
      </w:r>
      <w:r w:rsidR="000A2A01" w:rsidRPr="007114AF">
        <w:t>“</w:t>
      </w:r>
      <w:r w:rsidRPr="007114AF">
        <w:t>Per nxitjen e përdorimit të energjisë së rinovueshme</w:t>
      </w:r>
      <w:r w:rsidR="000A2A01" w:rsidRPr="007114AF">
        <w:t>”</w:t>
      </w:r>
      <w:r w:rsidRPr="007114AF">
        <w:t>, Ligji 124/2015 mbi Eficiencën e Energjisë dhe Ligji</w:t>
      </w:r>
      <w:r w:rsidR="00242009" w:rsidRPr="007114AF">
        <w:t xml:space="preserve"> nr. </w:t>
      </w:r>
      <w:r w:rsidRPr="007114AF">
        <w:t xml:space="preserve">116/2016 </w:t>
      </w:r>
      <w:r w:rsidR="000A2A01" w:rsidRPr="007114AF">
        <w:t>“</w:t>
      </w:r>
      <w:r w:rsidRPr="007114AF">
        <w:t xml:space="preserve">Për performancën e energjisë së ndërtesave. Së bashku, këto ligje sigurojnë themelin mbi të cilin mund të ndërtohet një kuadër më i plotë rregullator, mund të sigurojnë strukturën institucionale dhe mbështetje financiare, si dhe të zbatojnë masat e parashikuara </w:t>
      </w:r>
      <w:r w:rsidRPr="007114AF">
        <w:lastRenderedPageBreak/>
        <w:t>brenda PKVEE-ës dhe Planit të Veprimit BER. Për më tepër, ligjet përafrojnë shumë kërkesa të legjislacionit të BE-së.</w:t>
      </w:r>
    </w:p>
    <w:p w14:paraId="6EDCFD3B" w14:textId="24E6DA13" w:rsidR="00A9766F" w:rsidRPr="007114AF" w:rsidRDefault="00A9766F" w:rsidP="00206985">
      <w:pPr>
        <w:pStyle w:val="TEKSTI"/>
      </w:pPr>
      <w:r w:rsidRPr="007114AF">
        <w:rPr>
          <w:bCs/>
        </w:rPr>
        <w:t>S</w:t>
      </w:r>
      <w:r w:rsidRPr="007114AF">
        <w:t>ë fundi</w:t>
      </w:r>
      <w:r w:rsidRPr="007114AF">
        <w:rPr>
          <w:bCs/>
        </w:rPr>
        <w:t xml:space="preserve">, merren parasysh dhe </w:t>
      </w:r>
      <w:r w:rsidRPr="007114AF">
        <w:rPr>
          <w:rFonts w:cs="Calibri"/>
          <w:color w:val="222222"/>
          <w:shd w:val="clear" w:color="auto" w:fill="FFFFFF"/>
        </w:rPr>
        <w:t>Masat Zbutëse të Përshtatshme për Vendin</w:t>
      </w:r>
      <w:r w:rsidR="007114AF">
        <w:rPr>
          <w:rFonts w:cs="Calibri"/>
          <w:color w:val="222222"/>
          <w:shd w:val="clear" w:color="auto" w:fill="FFFFFF"/>
        </w:rPr>
        <w:t xml:space="preserve"> </w:t>
      </w:r>
      <w:r w:rsidRPr="007114AF">
        <w:rPr>
          <w:bCs/>
        </w:rPr>
        <w:t>(NAMA-t)</w:t>
      </w:r>
      <w:r w:rsidRPr="007114AF">
        <w:t xml:space="preserve">. NAMA-t i referohen një sërë politikash dhe veprimesh të cilat ndërmarrin vendet si pjesë e një angazhimi, për të reduktuar shkarkimet e gazit me efektin serrë nën UNFCCC-ë. NAMA-t mund të marrin forma të ndryshme në varësi të vendit në zhvillim, i cili i propozon, ato zakonisht kërkojnë asistencë financiare dhe teknike nga vendet e zhvilluara për të reduktuar shkarkimet. Qeveria shqiptare ka aprovuar dy NAMA-t, një që merret me përdorimin e mbetjeve si burim energjie në industrinë e çimentos dhe tjetra që merret me mekanizmin e financimit për përmirësimin e eficiencës së energjisë në banesa. </w:t>
      </w:r>
    </w:p>
    <w:p w14:paraId="6EDCFD3C" w14:textId="270B244C" w:rsidR="00A9766F" w:rsidRPr="007114AF" w:rsidRDefault="00A9766F" w:rsidP="00206985">
      <w:pPr>
        <w:pStyle w:val="TEKSTI"/>
      </w:pPr>
      <w:r w:rsidRPr="007114AF">
        <w:t>Gjatë analizës së mjeteve ekzistuese të politikave, është marrë gjithashtu në konsideratë si referencë Plani i Procesit të Uljes së Karbonit në Shqipëri, i cili u hartua nën projektin e LOCSEE</w:t>
      </w:r>
      <w:r w:rsidRPr="007114AF">
        <w:rPr>
          <w:rStyle w:val="FootnoteReference"/>
        </w:rPr>
        <w:footnoteReference w:id="44"/>
      </w:r>
      <w:r w:rsidRPr="007114AF">
        <w:t>-së. Ky dokument nuk është një plan i plotë, por i jep sugjerime të përgjithshme Qeverisë shqiptare, se si të vendosë objektivin e zhvillimit të një procesi të uljes së karbonit në Shqipëri, në bazë të objektivave dhe planeve ekzistuese (të përshkruara në PKVEE dhe BER)</w:t>
      </w:r>
      <w:r w:rsidR="00F9476F">
        <w:t>,</w:t>
      </w:r>
      <w:r w:rsidRPr="007114AF">
        <w:t xml:space="preserve"> si dhe çështjeve të tjera përkatëse.</w:t>
      </w:r>
    </w:p>
    <w:p w14:paraId="6EDCFD3D" w14:textId="77777777" w:rsidR="00A9766F" w:rsidRPr="007114AF" w:rsidRDefault="00A9766F" w:rsidP="00206985">
      <w:pPr>
        <w:pStyle w:val="TEKSTI"/>
        <w:rPr>
          <w:b/>
          <w:bCs/>
          <w:i/>
          <w:u w:val="single"/>
        </w:rPr>
      </w:pPr>
      <w:r w:rsidRPr="007114AF">
        <w:rPr>
          <w:b/>
          <w:i/>
          <w:u w:val="single"/>
        </w:rPr>
        <w:t>Kontributi Kombëtar i Pikësynuar i Shqipërisë (INDC)</w:t>
      </w:r>
    </w:p>
    <w:p w14:paraId="6EDCFD3E" w14:textId="3AE82B9F" w:rsidR="00A9766F" w:rsidRPr="007114AF" w:rsidRDefault="00A9766F" w:rsidP="00206985">
      <w:pPr>
        <w:pStyle w:val="TEKSTI"/>
        <w:rPr>
          <w:i/>
        </w:rPr>
      </w:pPr>
      <w:r w:rsidRPr="007114AF">
        <w:rPr>
          <w:i/>
        </w:rPr>
        <w:t>Vlefshmëria: 2016</w:t>
      </w:r>
      <w:r w:rsidR="00CA77E2">
        <w:t>–</w:t>
      </w:r>
      <w:r w:rsidRPr="007114AF">
        <w:rPr>
          <w:i/>
        </w:rPr>
        <w:t>2030</w:t>
      </w:r>
    </w:p>
    <w:p w14:paraId="6EDCFD3F" w14:textId="636FE078" w:rsidR="00A9766F" w:rsidRPr="007114AF" w:rsidRDefault="00A9766F" w:rsidP="00206985">
      <w:pPr>
        <w:pStyle w:val="TEKSTI"/>
      </w:pPr>
      <w:r w:rsidRPr="007114AF">
        <w:t>Ky dokument përcakton karakteristikat kryesore të Kontributit Kombëtar të Pikësynuar</w:t>
      </w:r>
      <w:r w:rsidR="00C3034E">
        <w:t xml:space="preserve"> </w:t>
      </w:r>
      <w:r w:rsidRPr="007114AF">
        <w:t>nga Shqipëria në Procesin e Marrëveshjes së Parisit, dërguar pranë Sekretariatit të UNFCCC-ës, në shtator 2015. INDC-ja</w:t>
      </w:r>
      <w:r w:rsidR="00CA77E2">
        <w:t xml:space="preserve"> </w:t>
      </w:r>
      <w:r w:rsidRPr="007114AF">
        <w:t>përfaqëson një deklaratë nga një Palë e UNFCCC-ës mbi kontributin e saj kundrejt zbutjes së ndryshimeve klimatike, sipas Marrëveshjes së Parisit. Në INDC-në e saj, Shqipëria shpreh angazhimin e saj për uljen e shkarkimeve CO</w:t>
      </w:r>
      <w:r w:rsidRPr="007114AF">
        <w:rPr>
          <w:vertAlign w:val="subscript"/>
        </w:rPr>
        <w:t>2</w:t>
      </w:r>
      <w:r w:rsidRPr="007114AF">
        <w:t xml:space="preserve"> krahasuar me skenarin bazë gjatë periudhës 2016 dhe 2030 në masën 11.5%. Kjo ulje nënkupton ulje 708 kt CO</w:t>
      </w:r>
      <w:r w:rsidRPr="007114AF">
        <w:rPr>
          <w:vertAlign w:val="subscript"/>
        </w:rPr>
        <w:t>2</w:t>
      </w:r>
      <w:r w:rsidR="00646375">
        <w:rPr>
          <w:vertAlign w:val="subscript"/>
        </w:rPr>
        <w:t xml:space="preserve"> </w:t>
      </w:r>
      <w:r w:rsidRPr="007114AF">
        <w:t>deri në vitin 2030. Sipas dokumentit, kjo është në përputhje me normën vjetore për frymë të shkarkimit të gazit të 2 ton CO</w:t>
      </w:r>
      <w:r w:rsidRPr="007114AF">
        <w:rPr>
          <w:vertAlign w:val="subscript"/>
        </w:rPr>
        <w:t>2</w:t>
      </w:r>
      <w:r w:rsidRPr="007114AF">
        <w:t>, deri në vitin 2050. Karakteristikat kryesore të INDC-ës janë:</w:t>
      </w:r>
    </w:p>
    <w:p w14:paraId="6EDCFD40" w14:textId="77777777" w:rsidR="00A9766F" w:rsidRPr="007114AF" w:rsidRDefault="008D6C6A" w:rsidP="00206985">
      <w:pPr>
        <w:pStyle w:val="TEKSTI"/>
      </w:pPr>
      <w:r w:rsidRPr="007114AF">
        <w:t xml:space="preserve">- </w:t>
      </w:r>
      <w:r w:rsidR="00A9766F" w:rsidRPr="007114AF">
        <w:t>Përqendrimi vetëm mbi CO</w:t>
      </w:r>
      <w:r w:rsidR="00A9766F" w:rsidRPr="007114AF">
        <w:rPr>
          <w:vertAlign w:val="subscript"/>
        </w:rPr>
        <w:t>2</w:t>
      </w:r>
      <w:r w:rsidR="00A9766F" w:rsidRPr="007114AF">
        <w:t xml:space="preserve"> dhe në sektorët e energjisë dhe industrisë;</w:t>
      </w:r>
    </w:p>
    <w:p w14:paraId="6EDCFD41" w14:textId="4A3A17C2" w:rsidR="00A9766F" w:rsidRPr="007114AF" w:rsidRDefault="008D6C6A" w:rsidP="00206985">
      <w:pPr>
        <w:pStyle w:val="TEKSTI"/>
      </w:pPr>
      <w:r w:rsidRPr="007114AF">
        <w:t xml:space="preserve">- </w:t>
      </w:r>
      <w:r w:rsidR="00A9766F" w:rsidRPr="007114AF">
        <w:t xml:space="preserve">Synimi për të shitur kreditet e karbonit deri në vitin 2030, në kuadër të një </w:t>
      </w:r>
      <w:r w:rsidR="000A2A01" w:rsidRPr="007114AF">
        <w:t>“</w:t>
      </w:r>
      <w:r w:rsidR="00A9766F" w:rsidRPr="007114AF">
        <w:t>mekanizmi</w:t>
      </w:r>
      <w:r w:rsidR="000A2A01" w:rsidRPr="007114AF">
        <w:t xml:space="preserve"> </w:t>
      </w:r>
      <w:r w:rsidR="00A9766F" w:rsidRPr="007114AF">
        <w:t>të tregut ndërkombëtar</w:t>
      </w:r>
      <w:r w:rsidR="000A2A01" w:rsidRPr="007114AF">
        <w:t>”</w:t>
      </w:r>
      <w:r w:rsidR="00A9766F" w:rsidRPr="007114AF">
        <w:t xml:space="preserve"> </w:t>
      </w:r>
      <w:r w:rsidR="000A2A01" w:rsidRPr="007114AF">
        <w:t>“</w:t>
      </w:r>
      <w:r w:rsidR="00A9766F" w:rsidRPr="007114AF">
        <w:t>kushtëzuar nga të pasurit e rregullave efektive të kontabilitetit, të zhvilluara nën UNFCCC-ën për të siguruar integritetin mjedisor të mekanizmave</w:t>
      </w:r>
      <w:r w:rsidR="000A2A01" w:rsidRPr="007114AF">
        <w:t>”</w:t>
      </w:r>
      <w:r w:rsidR="00A9766F" w:rsidRPr="007114AF">
        <w:t>;</w:t>
      </w:r>
    </w:p>
    <w:p w14:paraId="6EDCFD42" w14:textId="77777777" w:rsidR="00A9766F" w:rsidRPr="007114AF" w:rsidRDefault="008D6C6A" w:rsidP="00206985">
      <w:pPr>
        <w:pStyle w:val="TEKSTI"/>
      </w:pPr>
      <w:r w:rsidRPr="007114AF">
        <w:t xml:space="preserve">- </w:t>
      </w:r>
      <w:r w:rsidR="00A9766F" w:rsidRPr="007114AF">
        <w:t xml:space="preserve">Synimi për të zhvilluar një strategji Mjedisore dhe të Ndryshimeve Klimatike, të bashkërenduar nga Ministria e Turizmit dhe Mjedisit. </w:t>
      </w:r>
    </w:p>
    <w:p w14:paraId="6EDCFD43" w14:textId="26F24970" w:rsidR="00A9766F" w:rsidRPr="007114AF" w:rsidRDefault="00A9766F" w:rsidP="00206985">
      <w:pPr>
        <w:pStyle w:val="TEKSTI"/>
      </w:pPr>
      <w:r w:rsidRPr="007114AF">
        <w:t xml:space="preserve">Dispozita kryesore dhe zyrtare është përcaktimi i objektivit të uljes së shkarkimeve, të përcaktuara si ulje kundrejt një kufiri bazë të shkarkimit, të llogaritur me anë të një skenari bazë. Duke iu referuar përkufizimit, ky objektiv do të ndikojë pozitivisht në zbutjen e ndryshimeve klimatike, në qoftë se përfshihet në mënyrë efektive në planifikimin e politikave në Shqipëri, dhe në qoftë se ushtrimi i modelimit, i cili mbështet këtë objektiv kryhet në mënyrë korrekte. Objektivi përcaktohet si më tej: </w:t>
      </w:r>
      <w:r w:rsidR="000A2A01" w:rsidRPr="007114AF">
        <w:t>“</w:t>
      </w:r>
      <w:r w:rsidRPr="007114AF">
        <w:t>të ulë shkarkimet CO</w:t>
      </w:r>
      <w:r w:rsidRPr="007114AF">
        <w:rPr>
          <w:vertAlign w:val="subscript"/>
        </w:rPr>
        <w:t>2</w:t>
      </w:r>
      <w:r w:rsidRPr="007114AF">
        <w:t xml:space="preserve"> në krahasim me skenarin bazë gjatë periudhës të vitit 2016 dhe 2030 në masën 11.5%</w:t>
      </w:r>
      <w:r w:rsidR="000A2A01" w:rsidRPr="007114AF">
        <w:t>”</w:t>
      </w:r>
      <w:r w:rsidRPr="007114AF">
        <w:t>. Uljet duhet të kryhen në sektorin e industrisë dhe energjisë, duke zbatuar mundësitë e zbutjes së kostos efektive, të identifikuara në KTK-ën dhe PKVEE-në, duke përfshirë futjen në masën 10% të biokarbureve në përzierjen e karburantit të transportit deri në vitin 2030.</w:t>
      </w:r>
    </w:p>
    <w:p w14:paraId="6EDCFD44" w14:textId="77777777" w:rsidR="00A9766F" w:rsidRPr="007114AF" w:rsidRDefault="00A9766F" w:rsidP="00206985">
      <w:pPr>
        <w:pStyle w:val="TEKSTI"/>
      </w:pPr>
      <w:r w:rsidRPr="007114AF">
        <w:t xml:space="preserve">Synimi i shprehur nga Shqipëria për të marrë pjesë në një treg ndërkombëtar karboni ka gjithashtu një potencial të mirë për të kontribuar në uljen e shkarkimeve GES në një mënyrë me kosto efektive. </w:t>
      </w:r>
    </w:p>
    <w:p w14:paraId="6EDCFD45" w14:textId="77777777" w:rsidR="00A9766F" w:rsidRPr="007114AF" w:rsidRDefault="00A9766F" w:rsidP="00206985">
      <w:pPr>
        <w:pStyle w:val="TEKSTI"/>
        <w:rPr>
          <w:b/>
          <w:i/>
          <w:u w:val="single"/>
        </w:rPr>
      </w:pPr>
      <w:r w:rsidRPr="007114AF">
        <w:rPr>
          <w:b/>
          <w:i/>
          <w:u w:val="single"/>
        </w:rPr>
        <w:lastRenderedPageBreak/>
        <w:t>NAMA: Zëvendësimi i lëndëve djegëse fosile me mbetje të parrezikshme në industrinë shqiptare të çimentos</w:t>
      </w:r>
    </w:p>
    <w:p w14:paraId="6EDCFD46" w14:textId="77777777" w:rsidR="00A9766F" w:rsidRPr="007114AF" w:rsidRDefault="00A9766F" w:rsidP="00206985">
      <w:pPr>
        <w:pStyle w:val="TEKSTI"/>
        <w:rPr>
          <w:bCs/>
          <w:i/>
        </w:rPr>
      </w:pPr>
      <w:r w:rsidRPr="007114AF">
        <w:rPr>
          <w:bCs/>
          <w:i/>
        </w:rPr>
        <w:t xml:space="preserve">Vlefshmëria: 2015 -2017 </w:t>
      </w:r>
      <w:r w:rsidRPr="007114AF">
        <w:rPr>
          <w:i/>
        </w:rPr>
        <w:t>(me synimin për të vazhduar edhe pas kësaj periudhe)</w:t>
      </w:r>
    </w:p>
    <w:p w14:paraId="6EDCFD47" w14:textId="59F65660" w:rsidR="00A9766F" w:rsidRPr="007114AF" w:rsidRDefault="00A9766F" w:rsidP="00206985">
      <w:pPr>
        <w:pStyle w:val="TEKSTI"/>
        <w:rPr>
          <w:b/>
          <w:bCs/>
        </w:rPr>
      </w:pPr>
      <w:r w:rsidRPr="007114AF">
        <w:t xml:space="preserve">Ky është një nga dy </w:t>
      </w:r>
      <w:r w:rsidRPr="007114AF">
        <w:rPr>
          <w:rFonts w:cs="Calibri"/>
          <w:color w:val="222222"/>
          <w:shd w:val="clear" w:color="auto" w:fill="FFFFFF"/>
        </w:rPr>
        <w:t>Masat Zbutëse të Përshtatshme për Vendin</w:t>
      </w:r>
      <w:r w:rsidR="00C3034E">
        <w:rPr>
          <w:rFonts w:cs="Calibri"/>
          <w:color w:val="222222"/>
          <w:shd w:val="clear" w:color="auto" w:fill="FFFFFF"/>
        </w:rPr>
        <w:t xml:space="preserve"> </w:t>
      </w:r>
      <w:r w:rsidRPr="007114AF">
        <w:t xml:space="preserve">(NAMA), të aprovuara nga qeveria shqiptare. Veprimi propozon organizimin e grumbullimit të mbetjeve në mënyrë të tillë që të çojë në përdorimin e mbetjeve, në vend të lëndëve djegëse fosile në furra, nga industria shqiptare e çimentos. Kjo do të ndihmojë në uljen e ndotjes lokale, për shkak të mbetjeve dhe depozitimit të jashtëligjshëm të tyre, uljen e shkarkimeve të karbonit dhe varësisë nga lëndët djegëse fosile. Masa përmblidhet në një subvencion në sektorin e grumbullimit të mbetjeve. </w:t>
      </w:r>
    </w:p>
    <w:p w14:paraId="6EDCFD48" w14:textId="724B9DEC" w:rsidR="00A9766F" w:rsidRPr="007114AF" w:rsidRDefault="00A9766F" w:rsidP="00206985">
      <w:pPr>
        <w:pStyle w:val="TEKSTI"/>
      </w:pPr>
      <w:r w:rsidRPr="007114AF">
        <w:t>Sipas studimit që mbështet tek</w:t>
      </w:r>
      <w:r w:rsidR="00C3034E">
        <w:t xml:space="preserve"> </w:t>
      </w:r>
      <w:r w:rsidRPr="007114AF">
        <w:t>NAMA-t, i gjithë veprimi do të zvogëlonte më mënyrë efektive shkarkimet e karbonit nga këta sektorë. Masa është një plan (pilot) i vetëkontrolluar, i cili zëvendëson lëndën djegëse fosile me mbetje në procesin prodhues të industrisë së çimentos në Shqipëri. Sidoqoftë, në dokument, janë veçuar fazat e mëposhtme:</w:t>
      </w:r>
    </w:p>
    <w:p w14:paraId="6EDCFD49" w14:textId="77777777" w:rsidR="00A9766F" w:rsidRPr="007114AF" w:rsidRDefault="008D6C6A" w:rsidP="00206985">
      <w:pPr>
        <w:pStyle w:val="TEKSTI"/>
      </w:pPr>
      <w:r w:rsidRPr="007114AF">
        <w:t xml:space="preserve">- </w:t>
      </w:r>
      <w:r w:rsidR="00A9766F" w:rsidRPr="007114AF">
        <w:t>Komponenti 1: Studimi i mundësive teknologjike dhe mundësia e përdorimit të mbetjeve të ngurta të bashkisë si lëndë djegëse alternative në industrinë e çimentos.</w:t>
      </w:r>
    </w:p>
    <w:p w14:paraId="6EDCFD4A" w14:textId="77777777" w:rsidR="00A9766F" w:rsidRPr="007114AF" w:rsidRDefault="008D6C6A" w:rsidP="00206985">
      <w:pPr>
        <w:pStyle w:val="TEKSTI"/>
      </w:pPr>
      <w:r w:rsidRPr="007114AF">
        <w:t xml:space="preserve">- </w:t>
      </w:r>
      <w:r w:rsidR="00A9766F" w:rsidRPr="007114AF">
        <w:t>Komponenti 2: Investimi në qendra riciklimi në nivel bashkie.</w:t>
      </w:r>
    </w:p>
    <w:p w14:paraId="6EDCFD4B" w14:textId="77777777" w:rsidR="00A9766F" w:rsidRPr="007114AF" w:rsidRDefault="008D6C6A" w:rsidP="00206985">
      <w:pPr>
        <w:pStyle w:val="TEKSTI"/>
      </w:pPr>
      <w:r w:rsidRPr="007114AF">
        <w:t xml:space="preserve">- </w:t>
      </w:r>
      <w:r w:rsidR="00A9766F" w:rsidRPr="007114AF">
        <w:t>Komponenti 3: Vënia në punë e qendrave të riciklimit.</w:t>
      </w:r>
    </w:p>
    <w:p w14:paraId="6EDCFD4C" w14:textId="77777777" w:rsidR="00A9766F" w:rsidRPr="007114AF" w:rsidRDefault="008D6C6A" w:rsidP="00206985">
      <w:pPr>
        <w:pStyle w:val="TEKSTI"/>
      </w:pPr>
      <w:r w:rsidRPr="007114AF">
        <w:t xml:space="preserve">- </w:t>
      </w:r>
      <w:r w:rsidR="00A9766F" w:rsidRPr="007114AF">
        <w:t>Komponenti 4: Ngritja e kapaciteteve në sektorët përkatës të sistemit të menaxhimit të mbetjeve.</w:t>
      </w:r>
    </w:p>
    <w:p w14:paraId="6EDCFD4D" w14:textId="77777777" w:rsidR="00A9766F" w:rsidRPr="007114AF" w:rsidRDefault="008D6C6A" w:rsidP="00206985">
      <w:pPr>
        <w:pStyle w:val="TEKSTI"/>
      </w:pPr>
      <w:r w:rsidRPr="007114AF">
        <w:t xml:space="preserve">- </w:t>
      </w:r>
      <w:r w:rsidR="00A9766F" w:rsidRPr="007114AF">
        <w:t>Dokumenti diskuton gjithashtu mundësitë e financimit dhe MRV-ës.</w:t>
      </w:r>
    </w:p>
    <w:p w14:paraId="6EDCFD4E" w14:textId="77777777" w:rsidR="00A9766F" w:rsidRPr="007114AF" w:rsidRDefault="00A9766F" w:rsidP="00206985">
      <w:pPr>
        <w:pStyle w:val="TEKSTI"/>
        <w:rPr>
          <w:b/>
          <w:i/>
          <w:u w:val="single"/>
        </w:rPr>
      </w:pPr>
      <w:r w:rsidRPr="007114AF">
        <w:rPr>
          <w:b/>
          <w:i/>
          <w:u w:val="single"/>
        </w:rPr>
        <w:t>Plani i Parë i Veprimit në Nivel Kombëtar mbi Eficiencën e Energjisë (2011)</w:t>
      </w:r>
    </w:p>
    <w:p w14:paraId="6EDCFD4F" w14:textId="530EFC16" w:rsidR="00A9766F" w:rsidRPr="007114AF" w:rsidRDefault="00A9766F" w:rsidP="00206985">
      <w:pPr>
        <w:pStyle w:val="TEKSTI"/>
        <w:rPr>
          <w:i/>
        </w:rPr>
      </w:pPr>
      <w:r w:rsidRPr="007114AF">
        <w:rPr>
          <w:i/>
        </w:rPr>
        <w:t>Vlefshmëria: 2010</w:t>
      </w:r>
      <w:r w:rsidR="00C3034E">
        <w:t>–</w:t>
      </w:r>
      <w:r w:rsidRPr="007114AF">
        <w:rPr>
          <w:i/>
        </w:rPr>
        <w:t>2018</w:t>
      </w:r>
    </w:p>
    <w:p w14:paraId="6EDCFD50" w14:textId="3B92CB39" w:rsidR="00A9766F" w:rsidRPr="007114AF" w:rsidRDefault="00A9766F" w:rsidP="00206985">
      <w:pPr>
        <w:pStyle w:val="TEKSTI"/>
      </w:pPr>
      <w:r w:rsidRPr="007114AF">
        <w:t>PKVEE-ja e parë</w:t>
      </w:r>
      <w:r w:rsidR="00C3034E">
        <w:t xml:space="preserve"> </w:t>
      </w:r>
      <w:r w:rsidRPr="007114AF">
        <w:t>për Shqipërinë u zhvillua në përputhje me përafrimin e Direktivës 2006/32/EC të BE-së në vitin 2009, me Vendim të Këshillit të Ministrave të Komunitetit të Energjisë. Plani u miratua nga Qeveria e Shqipërisë në shtator 2011 dhe parashikonte realizimin e kursimeve të energjisë vjetore kumulative në masën 3% në vitin 2012, dhe 9% në vitin 2018, të llogaritura si një përqindje e konsumit të energjisë përfundimtare mesatare të periudhës pesëvjeçare, duke përfshirë vitet 2004</w:t>
      </w:r>
      <w:r w:rsidR="00E64584">
        <w:t>–</w:t>
      </w:r>
      <w:r w:rsidRPr="007114AF">
        <w:t xml:space="preserve">2008. </w:t>
      </w:r>
    </w:p>
    <w:p w14:paraId="6EDCFD51" w14:textId="2C91257A" w:rsidR="00A9766F" w:rsidRPr="007114AF" w:rsidRDefault="00A9766F" w:rsidP="00206985">
      <w:pPr>
        <w:pStyle w:val="TEKSTI"/>
      </w:pPr>
      <w:r w:rsidRPr="007114AF">
        <w:t>PKVEE-ja</w:t>
      </w:r>
      <w:r w:rsidR="00C3034E">
        <w:t xml:space="preserve"> </w:t>
      </w:r>
      <w:r w:rsidRPr="007114AF">
        <w:t>e parë është një plan afatshkurtër, i cili përcakton objektivat e eficiencës së energjisë dhe mbledhjen e masave ekzistuese dhe të planifikuara në sektorët e banesave, terciarë (privatë dhe publikë), sektorët industrialë dhe ata të transportit, me një potencial për të kontribuar në arritjen e një objektivi të tillë.</w:t>
      </w:r>
    </w:p>
    <w:p w14:paraId="6EDCFD52" w14:textId="72343005" w:rsidR="00A9766F" w:rsidRPr="007114AF" w:rsidRDefault="00A9766F" w:rsidP="00206985">
      <w:pPr>
        <w:pStyle w:val="TEKSTI"/>
      </w:pPr>
      <w:r w:rsidRPr="007114AF">
        <w:t>Kontributi pozitiv kryesor në ndryshimet klimatike është ai i vendosjes së objektivave për eficiencën e energjisë (ulje në masën 9% deri në vitin 2018 në lidhje me konsumin mesatar gjatë periudhës 2004</w:t>
      </w:r>
      <w:r w:rsidR="00E64584">
        <w:t>–</w:t>
      </w:r>
      <w:r w:rsidRPr="007114AF">
        <w:t>2008, ose një ulje të konsumit të energjisë me 168 Ktoe), i cili pritet të sjellë uljen e shkarkimeve të karbonit me 332.8 ton</w:t>
      </w:r>
      <w:r w:rsidR="00B8345A">
        <w:t>ë</w:t>
      </w:r>
      <w:r w:rsidRPr="007114AF">
        <w:t xml:space="preserve"> të CO</w:t>
      </w:r>
      <w:r w:rsidRPr="007114AF">
        <w:rPr>
          <w:vertAlign w:val="subscript"/>
        </w:rPr>
        <w:t>2</w:t>
      </w:r>
      <w:r w:rsidRPr="007114AF">
        <w:t>/vit deri në vitin 2018.</w:t>
      </w:r>
    </w:p>
    <w:p w14:paraId="6EDCFD53" w14:textId="77777777" w:rsidR="00A9766F" w:rsidRPr="007114AF" w:rsidRDefault="00A9766F" w:rsidP="00206985">
      <w:pPr>
        <w:pStyle w:val="TEKSTI"/>
      </w:pPr>
      <w:r w:rsidRPr="007114AF">
        <w:t>Objektivat e para të PKVEE-së ishin menduar të arriheshin me anë të një sërë masash politike. Lista është mjaft e gjatë, duke qenë se përfshin të gjithë gamën e politikave ekzistuese dhe atyre të planifikuara, në lidhje me eficiencën e energjisë, si dhe përfshin masat specifike sektoriale dhe ato ndërsektoriale.</w:t>
      </w:r>
    </w:p>
    <w:p w14:paraId="6EDCFD54" w14:textId="6939D7CB" w:rsidR="00A9766F" w:rsidRPr="007114AF" w:rsidRDefault="00A9766F" w:rsidP="00206985">
      <w:pPr>
        <w:pStyle w:val="TEKSTI"/>
      </w:pPr>
      <w:r w:rsidRPr="007114AF">
        <w:t xml:space="preserve">Për banesat, ka kërkesa minimale për cilësinë termike të banesave të reja, të cilat mbulojnë shtëpi me një familje, banesa me shumë familje si dhe sektorin e shërbimit privat. Specifikimi i standardeve mbështetet nga masa ndihmëse që garantojnë zbatimin efektiv të standardeve. Do të ketë më shumë masa mbështetëse, specifike, për secilin nënsektor: një program mbështetës për instalimin e ngrohjes diellore të ujit në shtëpitë me një familje (me një linjë të veçantë krediti dhe trajnim për instaluesit); përafrimin e rregullave të BE-së për administrimin e bashkëpronësisë për banesat me shumë familje, duke siguruar një kuadër më të favorshëm ligjor për përmirësimin e banesave; një skemë subvencionimi që mbështet përmirësime të tilla, me kusht që të veprojnë në përputhje me standardet e eficiencës së energjisë, dhe që rritet me vlerën e eficiencës së energjisë të përmirësimit. Përdorimi i energjisë së banesave, pritet të jetë gjithashtu, subjekt i standardeve minimale të energjisë për pajisjet dhe për një skemë të etiketimit për pajisje të tilla. Në të njëjtën </w:t>
      </w:r>
      <w:r w:rsidRPr="007114AF">
        <w:lastRenderedPageBreak/>
        <w:t>mënyrë, zyrat në sektorin privat do t</w:t>
      </w:r>
      <w:r w:rsidR="00D10DAB" w:rsidRPr="007114AF">
        <w:t>’</w:t>
      </w:r>
      <w:r w:rsidRPr="007114AF">
        <w:t xml:space="preserve">iu nënshtrohen standardeve minimale për pajisje zyre dhe për një skemë të etiketimit të pajisjeve në fjalë. </w:t>
      </w:r>
    </w:p>
    <w:p w14:paraId="6EDCFD55" w14:textId="7A74D2E4" w:rsidR="00A9766F" w:rsidRPr="007114AF" w:rsidRDefault="00A9766F" w:rsidP="00206985">
      <w:pPr>
        <w:pStyle w:val="TEKSTI"/>
      </w:pPr>
      <w:r w:rsidRPr="007114AF">
        <w:t>Sektori</w:t>
      </w:r>
      <w:r w:rsidR="00B8345A">
        <w:t xml:space="preserve"> </w:t>
      </w:r>
      <w:r w:rsidRPr="007114AF">
        <w:t xml:space="preserve">publik </w:t>
      </w:r>
      <w:r w:rsidRPr="007114AF">
        <w:rPr>
          <w:rStyle w:val="FootnoteReference"/>
        </w:rPr>
        <w:footnoteReference w:id="45"/>
      </w:r>
      <w:r w:rsidRPr="007114AF">
        <w:t xml:space="preserve"> pritet që të zbatojë standarde më të rrepta të eficiencës së energjisë në ndërtesa, standarde më të rrepta se sa sektori privat (</w:t>
      </w:r>
      <w:r w:rsidR="000A2A01" w:rsidRPr="007114AF">
        <w:t>“</w:t>
      </w:r>
      <w:r w:rsidRPr="007114AF">
        <w:t>të përdoret sa më pak energji të jetë e mundur nga ana teknike</w:t>
      </w:r>
      <w:r w:rsidR="000A2A01" w:rsidRPr="007114AF">
        <w:t>”</w:t>
      </w:r>
      <w:r w:rsidRPr="007114AF">
        <w:t>). Kjo do të shoqërohet me rinovimin e ndërtesave publike (si ato që janë në pronësi të shtetit ashtu edhe atyre që janë në pronësi të bashkive). Masa të tjera specifike</w:t>
      </w:r>
      <w:r w:rsidR="00B8345A">
        <w:t xml:space="preserve"> </w:t>
      </w:r>
      <w:r w:rsidRPr="007114AF">
        <w:t>sektoriale për sektorin publik kanë të bëjnë me nxitjen e kontraktimit dhe prokurimit që synon, ndërtesat publike dhe ndriçimin me eficiencë energjie, si dhe me trajnimin e stafit të administrimit të ndërtesave mbi eficiencën e energjisë.</w:t>
      </w:r>
    </w:p>
    <w:p w14:paraId="6EDCFD56" w14:textId="7DAFE0D5" w:rsidR="00A9766F" w:rsidRPr="007114AF" w:rsidRDefault="00A9766F" w:rsidP="00206985">
      <w:pPr>
        <w:pStyle w:val="TEKSTI"/>
      </w:pPr>
      <w:r w:rsidRPr="007114AF">
        <w:t>Sektori i industrisë do të jetë përfituesi i masave të veçanta që përfshijnë një skemë auditimi të energjisë, kërkesa minimale për eficiencën e motorëve elektrikë, sistemet e ndriçimit dhe furrave industriale (zbatimin e direktivës së BE-së); ndërtimin</w:t>
      </w:r>
      <w:r w:rsidR="00B8345A">
        <w:t xml:space="preserve"> </w:t>
      </w:r>
      <w:r w:rsidRPr="007114AF">
        <w:t>e një impianti të kombinuar me ngrohje dhe energji (NKE) për përdorim industrial, dhënien e informacionit dhe trajnimit</w:t>
      </w:r>
      <w:r w:rsidR="00B8345A">
        <w:t>,</w:t>
      </w:r>
      <w:r w:rsidRPr="007114AF">
        <w:t xml:space="preserve"> si dhe monitorimin</w:t>
      </w:r>
      <w:r w:rsidR="00B8345A">
        <w:t xml:space="preserve"> </w:t>
      </w:r>
      <w:r w:rsidRPr="007114AF">
        <w:t>e kuadrit ligjor; përfshirjen e kërkesave të eficiencës</w:t>
      </w:r>
      <w:r w:rsidR="00B8345A">
        <w:t xml:space="preserve"> </w:t>
      </w:r>
      <w:r w:rsidRPr="007114AF">
        <w:t>së energjisë në lejen mjedisore, për të punuar në fabrika të reja, në industri intensive të energjisë; promovimin</w:t>
      </w:r>
      <w:r w:rsidR="00B8345A">
        <w:t xml:space="preserve"> </w:t>
      </w:r>
      <w:r w:rsidRPr="007114AF">
        <w:t>e marrëveshjeve vullnetare.</w:t>
      </w:r>
    </w:p>
    <w:p w14:paraId="6EDCFD57" w14:textId="77777777" w:rsidR="00A9766F" w:rsidRPr="007114AF" w:rsidRDefault="00A9766F" w:rsidP="00206985">
      <w:pPr>
        <w:pStyle w:val="TEKSTI"/>
      </w:pPr>
      <w:r w:rsidRPr="007114AF">
        <w:t>Një numër masash janë parashikuar edhe për sektorin e transportit: etiketimin e makinave me energji; një taksë mbi përmbajtjen e CO</w:t>
      </w:r>
      <w:r w:rsidRPr="007114AF">
        <w:rPr>
          <w:vertAlign w:val="subscript"/>
        </w:rPr>
        <w:t>2</w:t>
      </w:r>
      <w:r w:rsidRPr="007114AF">
        <w:t xml:space="preserve">; fushata informuese; promovim të ndarjes së mënyrës së transportit (përmirësimi i transportit publik, përmirësimi hekurudhor; promovimi i lëvizjes në këmbë dhe me biçikleta). Për transportin tregtar janë parashikuar kurse patente për makinat </w:t>
      </w:r>
      <w:r w:rsidRPr="007114AF">
        <w:rPr>
          <w:rFonts w:cstheme="minorHAnsi"/>
        </w:rPr>
        <w:t>ekologjike</w:t>
      </w:r>
      <w:r w:rsidRPr="007114AF">
        <w:t xml:space="preserve"> për shoferët e kamionëve, dhe përmirësimi i transportit hekurudhor të mallrave. </w:t>
      </w:r>
    </w:p>
    <w:p w14:paraId="6EDCFD58" w14:textId="2823FB89" w:rsidR="00A9766F" w:rsidRPr="007114AF" w:rsidRDefault="00A9766F" w:rsidP="00206985">
      <w:pPr>
        <w:pStyle w:val="TEKSTI"/>
      </w:pPr>
      <w:r w:rsidRPr="007114AF">
        <w:t>Së fundi, do të ketë një sërë masash të ndërlidhura: politika informacioni për përdoruesit përfundimtarë</w:t>
      </w:r>
      <w:r w:rsidR="000A2A01" w:rsidRPr="007114AF">
        <w:t xml:space="preserve"> </w:t>
      </w:r>
      <w:r w:rsidRPr="007114AF">
        <w:t xml:space="preserve">(familjarët, punëtorët në sektorin privat/shërbimin publik), të tilla si: fushatat e ndërgjegjësimit; edukimi dhe trajnimi i audituesve të energjisë dhe administratorëve të banesave; certifikimi i energjisë së banesave. </w:t>
      </w:r>
    </w:p>
    <w:p w14:paraId="6EDCFD59" w14:textId="77777777" w:rsidR="00A9766F" w:rsidRPr="007114AF" w:rsidRDefault="00A9766F" w:rsidP="00206985">
      <w:pPr>
        <w:pStyle w:val="TEKSTI"/>
      </w:pPr>
      <w:r w:rsidRPr="007114AF">
        <w:t xml:space="preserve">Shqipëria u përball me një sërë sfidash në zbatimin e masave të përfshira në PKVEE-n e parë. Shumica e masave kishin të nevojshëm bashkëpunimin e ministrive dhe subjekteve të tjera jashtë Ministrisë së Energjisë dhe Industrisë. Sidoqoftë, vizioni, bashkërendimi dhe hartimi i planit ndërministror munguan, duke penguar integrimin e masave brenda planeve sektoriale të një kuadri më të gjerë. Gjithashtu u vonua miratimi i Ligjit për Eficiencën e Energjisë – i nevojshëm për të siguruar kuadrin ligjor dhe rregullator për krijimin e tregjeve të shërbimit të energjisë, një agjenci e dedikuar për EE-në, dhe një fond i EE-së. Për më tepër, disa masa nuk mund të realizoheshin brenda afateve kohore të propozuara dhe nuk iu nënshtruan një vlerësimi të detajuar të ndikimit. </w:t>
      </w:r>
    </w:p>
    <w:p w14:paraId="6EDCFD5A" w14:textId="77777777" w:rsidR="00A9766F" w:rsidRPr="007114AF" w:rsidRDefault="00A9766F" w:rsidP="00206985">
      <w:pPr>
        <w:pStyle w:val="TEKSTI"/>
      </w:pPr>
      <w:r w:rsidRPr="007114AF">
        <w:t>Pavarësisht vështirësive të lartpërmendura, është arritur deri diku progres mbi EE-në në Shqipëri. U bënë një numër projektesh pilote për restaurimin e ndërtesave publike, u zhvilluan disa trajnime për auditues dhe administratorë të energjisë dhe me mbështetjen e instituteve ndërkombëtare të financimit (IFI) dhe donatorëve; banka vendase dhanë kredi për masat e eficiencës së energjisë, kryesisht për përmirësimin e veshjes së banesave. PNUD-i ka mbështetur gjithashtu një përdorim të konsiderueshëm të ngrohjeve diellore të ujit (SWH).</w:t>
      </w:r>
    </w:p>
    <w:p w14:paraId="6EDCFD5B" w14:textId="0D26F958" w:rsidR="00A9766F" w:rsidRPr="007114AF" w:rsidRDefault="00A9766F" w:rsidP="00206985">
      <w:pPr>
        <w:pStyle w:val="TEKSTI"/>
      </w:pPr>
      <w:r w:rsidRPr="007114AF">
        <w:t>Përgatitja e Planit të dytë dhe të tretë Kombëtar të Veprimit për Eficiencën e Energjisë u zhvillua me asistencën e BERZH-it. PKVEE-ja e</w:t>
      </w:r>
      <w:r w:rsidR="006C3337">
        <w:t xml:space="preserve"> </w:t>
      </w:r>
      <w:r w:rsidRPr="007114AF">
        <w:t xml:space="preserve">dytë dhe e tretë u përgatitën në një dokument në përputhje të plotë me formatin e Sekretariatit të Energjisë për Komunitetin. </w:t>
      </w:r>
    </w:p>
    <w:p w14:paraId="6EDCFD5C" w14:textId="6C290DE6" w:rsidR="00A9766F" w:rsidRPr="007114AF" w:rsidRDefault="00A9766F" w:rsidP="00206985">
      <w:pPr>
        <w:pStyle w:val="TEKSTI"/>
      </w:pPr>
      <w:r w:rsidRPr="007114AF">
        <w:t>Projektligji përfundimtar i PKVEE-së</w:t>
      </w:r>
      <w:r w:rsidR="006C3337">
        <w:t xml:space="preserve"> </w:t>
      </w:r>
      <w:r w:rsidRPr="007114AF">
        <w:t>së dytë dhe të tretë përfundoi në fund të muajit prill 2016, dhe pas marrjes së mendimeve nga departamentet e MIE-t, dokumenti është gati për t</w:t>
      </w:r>
      <w:r w:rsidR="00D10DAB" w:rsidRPr="007114AF">
        <w:t>’</w:t>
      </w:r>
      <w:r w:rsidRPr="007114AF">
        <w:t>iu dërguar për mendim</w:t>
      </w:r>
      <w:r w:rsidR="000A2A01" w:rsidRPr="007114AF">
        <w:t xml:space="preserve"> </w:t>
      </w:r>
      <w:r w:rsidRPr="007114AF">
        <w:t xml:space="preserve">institucioneve të linjës, pra nuk ishte ende i disponueshëm në kohën kur </w:t>
      </w:r>
      <w:r w:rsidR="006C3337" w:rsidRPr="007114AF">
        <w:t>është</w:t>
      </w:r>
      <w:r w:rsidRPr="007114AF">
        <w:t xml:space="preserve"> shkruar dokumenti i</w:t>
      </w:r>
      <w:r w:rsidR="006C3337">
        <w:t xml:space="preserve"> </w:t>
      </w:r>
      <w:r w:rsidRPr="007114AF">
        <w:t xml:space="preserve">SKNK&amp;P-ës. </w:t>
      </w:r>
    </w:p>
    <w:p w14:paraId="6EDCFD5D" w14:textId="7E071C39" w:rsidR="00A9766F" w:rsidRPr="007114AF" w:rsidRDefault="00A9766F" w:rsidP="00206985">
      <w:pPr>
        <w:pStyle w:val="TEKSTI"/>
      </w:pPr>
      <w:r w:rsidRPr="007114AF">
        <w:lastRenderedPageBreak/>
        <w:t>Projektligji vuri në dukje se objektivi i vitit 2018 bie ndjeshëm me 169 ktoe (ose 9%) të cilat ishin brenda PKVEEPKVEE-s së parë për të njëjtin vit. Megjithatë, për shkak të afatit të shkurtër të mbetur përpara përmbushjes së tij përfundimtare dhe kërkesave të mbetura për zhvillimin e legjislacionit dytësor dhe rregulloreve, si dhe arkitekturën e nevojshme për zbatimin e skemave, ky objektiv nuk konsiderohet realist. Prandaj, projektligji i dytë dhe i tretë i PKVEEPKVEE-s</w:t>
      </w:r>
      <w:r w:rsidR="006C3337">
        <w:t xml:space="preserve"> </w:t>
      </w:r>
      <w:r w:rsidRPr="007114AF">
        <w:t>me shumë gjasa, do të propozojë, se deri në vitin 2020, kursimet kumulative të energjisë përfundimtare t</w:t>
      </w:r>
      <w:r w:rsidR="00D10DAB" w:rsidRPr="007114AF">
        <w:t>’</w:t>
      </w:r>
      <w:r w:rsidRPr="007114AF">
        <w:t xml:space="preserve">i afrohen këtij niveli me një objektiv të kursimit të energjisë përfundimtare në masën 123.7 ktoe (ose 6.8%). </w:t>
      </w:r>
    </w:p>
    <w:p w14:paraId="6EDCFD5E" w14:textId="6FE14A7F" w:rsidR="00A9766F" w:rsidRPr="007114AF" w:rsidRDefault="00A9766F" w:rsidP="00206985">
      <w:pPr>
        <w:pStyle w:val="TEKSTI"/>
        <w:rPr>
          <w:b/>
          <w:u w:val="single"/>
        </w:rPr>
      </w:pPr>
      <w:r w:rsidRPr="007114AF">
        <w:rPr>
          <w:b/>
          <w:u w:val="single"/>
        </w:rPr>
        <w:t>Plani i Dyt</w:t>
      </w:r>
      <w:r w:rsidR="001F4085">
        <w:rPr>
          <w:b/>
          <w:u w:val="single"/>
        </w:rPr>
        <w:t>ë</w:t>
      </w:r>
      <w:r w:rsidRPr="007114AF">
        <w:rPr>
          <w:b/>
          <w:u w:val="single"/>
        </w:rPr>
        <w:t xml:space="preserve"> dhe </w:t>
      </w:r>
      <w:r w:rsidR="001F4085">
        <w:rPr>
          <w:b/>
          <w:u w:val="single"/>
        </w:rPr>
        <w:t>i</w:t>
      </w:r>
      <w:r w:rsidRPr="007114AF">
        <w:rPr>
          <w:b/>
          <w:u w:val="single"/>
        </w:rPr>
        <w:t xml:space="preserve"> Tret</w:t>
      </w:r>
      <w:r w:rsidR="001F4085">
        <w:rPr>
          <w:b/>
          <w:u w:val="single"/>
        </w:rPr>
        <w:t>ë</w:t>
      </w:r>
      <w:r w:rsidRPr="007114AF">
        <w:rPr>
          <w:b/>
          <w:u w:val="single"/>
        </w:rPr>
        <w:t xml:space="preserve"> i Veprimit Kombëtar mbi Eficiencën e Energjisë (2017</w:t>
      </w:r>
      <w:r w:rsidR="006C3337" w:rsidRPr="001F4085">
        <w:rPr>
          <w:u w:val="single"/>
        </w:rPr>
        <w:t>–</w:t>
      </w:r>
      <w:r w:rsidRPr="007114AF">
        <w:rPr>
          <w:b/>
          <w:u w:val="single"/>
        </w:rPr>
        <w:t>2020)</w:t>
      </w:r>
    </w:p>
    <w:p w14:paraId="6EDCFD5F" w14:textId="1597BE34" w:rsidR="00A9766F" w:rsidRPr="007114AF" w:rsidRDefault="00A9766F" w:rsidP="00206985">
      <w:pPr>
        <w:pStyle w:val="TEKSTI"/>
      </w:pPr>
      <w:r w:rsidRPr="007114AF">
        <w:t>Vlefshmëria: 2017</w:t>
      </w:r>
      <w:r w:rsidR="001F4085">
        <w:t>–</w:t>
      </w:r>
      <w:r w:rsidRPr="007114AF">
        <w:t>2020</w:t>
      </w:r>
    </w:p>
    <w:p w14:paraId="6EDCFD60" w14:textId="77777777" w:rsidR="00A9766F" w:rsidRPr="007114AF" w:rsidRDefault="00A9766F" w:rsidP="00206985">
      <w:pPr>
        <w:pStyle w:val="TEKSTI"/>
        <w:rPr>
          <w:b/>
        </w:rPr>
      </w:pPr>
      <w:r w:rsidRPr="007114AF">
        <w:rPr>
          <w:b/>
        </w:rPr>
        <w:t>Përmbledhje ekzekutive</w:t>
      </w:r>
    </w:p>
    <w:p w14:paraId="6EDCFD61" w14:textId="48D64147" w:rsidR="00A9766F" w:rsidRPr="007114AF" w:rsidRDefault="00A9766F" w:rsidP="00206985">
      <w:pPr>
        <w:pStyle w:val="TEKSTI"/>
        <w:rPr>
          <w:b/>
        </w:rPr>
      </w:pPr>
      <w:bookmarkStart w:id="109" w:name="_Toc438130651"/>
      <w:bookmarkStart w:id="110" w:name="_Toc438130704"/>
      <w:bookmarkStart w:id="111" w:name="_Toc438131074"/>
      <w:bookmarkStart w:id="112" w:name="_Toc430026810"/>
      <w:bookmarkStart w:id="113" w:name="_Toc430026811"/>
      <w:bookmarkStart w:id="114" w:name="_Toc430026822"/>
      <w:bookmarkStart w:id="115" w:name="_Toc430026852"/>
      <w:bookmarkStart w:id="116" w:name="_Toc432784629"/>
      <w:bookmarkStart w:id="117" w:name="_Toc432784630"/>
      <w:bookmarkStart w:id="118" w:name="_Toc438130663"/>
      <w:bookmarkStart w:id="119" w:name="_Toc438130716"/>
      <w:bookmarkStart w:id="120" w:name="_Toc438131086"/>
      <w:bookmarkStart w:id="121" w:name="_Toc438130664"/>
      <w:bookmarkStart w:id="122" w:name="_Toc438130717"/>
      <w:bookmarkStart w:id="123" w:name="_Toc438131087"/>
      <w:bookmarkStart w:id="124" w:name="_Ref443323314"/>
      <w:bookmarkStart w:id="125" w:name="_Toc448735055"/>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r w:rsidRPr="007114AF">
        <w:rPr>
          <w:b/>
        </w:rPr>
        <w:t>Politika Kombëtare për Efi</w:t>
      </w:r>
      <w:r w:rsidR="001F4085">
        <w:rPr>
          <w:b/>
        </w:rPr>
        <w:t>ci</w:t>
      </w:r>
      <w:r w:rsidRPr="007114AF">
        <w:rPr>
          <w:b/>
        </w:rPr>
        <w:t>iencën e Energjisë</w:t>
      </w:r>
      <w:bookmarkEnd w:id="124"/>
      <w:bookmarkEnd w:id="125"/>
    </w:p>
    <w:p w14:paraId="6EDCFD62" w14:textId="7444C856" w:rsidR="00A9766F" w:rsidRPr="007114AF" w:rsidRDefault="00A9766F" w:rsidP="00206985">
      <w:pPr>
        <w:pStyle w:val="TEKSTI"/>
      </w:pPr>
      <w:r w:rsidRPr="007114AF">
        <w:t>Sektori i energjisë konsiderohet nga Qeveria e Shqipërisë si një sektor strategjik për zhvillimin ekonomik të vendit.</w:t>
      </w:r>
      <w:r w:rsidR="000A2A01" w:rsidRPr="007114AF">
        <w:t xml:space="preserve"> </w:t>
      </w:r>
      <w:r w:rsidRPr="007114AF">
        <w:t>Për të ofruar një kuadër parimesh operative që mundësojnë planifikimin e politikave qeveritare, në mënyrë të koordinuar, koherente dhe të integruar, Shqipëria ka miratuar një Sistem Planifikimi të Integruar (SPI).</w:t>
      </w:r>
      <w:r w:rsidR="000A2A01" w:rsidRPr="007114AF">
        <w:t xml:space="preserve"> </w:t>
      </w:r>
      <w:r w:rsidRPr="007114AF">
        <w:t>Një karakteristikë kryesore e SPI-së është Strategjia e dytë Kombëtare për Zhvillim dhe Integrim (SKZHI-II), e cila përshkruan objektivat kombëtar</w:t>
      </w:r>
      <w:r w:rsidR="0082368C">
        <w:t>ë</w:t>
      </w:r>
      <w:r w:rsidRPr="007114AF">
        <w:t xml:space="preserve"> të zhvillimit social, demokratik dhe ekonomik për periudhën 2015</w:t>
      </w:r>
      <w:r w:rsidR="001F4085">
        <w:t>–</w:t>
      </w:r>
      <w:r w:rsidRPr="007114AF">
        <w:t>2020.</w:t>
      </w:r>
    </w:p>
    <w:p w14:paraId="6EDCFD63" w14:textId="6706B11B" w:rsidR="00A9766F" w:rsidRPr="007114AF" w:rsidRDefault="00A9766F" w:rsidP="00206985">
      <w:pPr>
        <w:pStyle w:val="TEKSTI"/>
      </w:pPr>
      <w:r w:rsidRPr="007114AF">
        <w:t>SKZHI-II identifikon furnizimin me energji, në mënyrë të sigurt dhe me kosto efektive, si një objektiv kryesor të politikave për Shqipërinë.</w:t>
      </w:r>
      <w:r w:rsidR="000A2A01" w:rsidRPr="007114AF">
        <w:t xml:space="preserve"> </w:t>
      </w:r>
      <w:r w:rsidRPr="007114AF">
        <w:t>Kjo është përcaktuar në kuadër të qëllimeve më të gjera ekonomike, që përfshijnë një normë rritjeje reale të përkohshme e të synuar të Prodhimit të Brendshëm Bruto (PBB) prej 4.9%, deri në 2020.</w:t>
      </w:r>
      <w:r w:rsidR="000A2A01" w:rsidRPr="007114AF">
        <w:t xml:space="preserve"> </w:t>
      </w:r>
      <w:r w:rsidRPr="007114AF">
        <w:t>Kjo është në kontrast me një normë rritjeje të ngadalësuar, megjithëse pozitive, ndërmjet 2009 dhe 2013, e shkaktuar pjesërisht nga efektet e krizës financiare globale të 2008</w:t>
      </w:r>
      <w:r w:rsidR="001F4085">
        <w:t>–</w:t>
      </w:r>
      <w:r w:rsidRPr="007114AF">
        <w:t xml:space="preserve">2009 që ende vazhdojnë. </w:t>
      </w:r>
    </w:p>
    <w:p w14:paraId="6EDCFD64" w14:textId="1D446435" w:rsidR="00A9766F" w:rsidRPr="007114AF" w:rsidRDefault="00A9766F" w:rsidP="00206985">
      <w:pPr>
        <w:pStyle w:val="TEKSTI"/>
      </w:pPr>
      <w:r w:rsidRPr="007114AF">
        <w:t xml:space="preserve">Konsumi final i energjisë në Shqipëri u rrit në mënyrë graduale, ndërmjet 2007 dhe 2011, përpara se të tkurrej në 2012, që përkon me një ngadalësim të ekonomisë shqiptare, siç paraqitet në </w:t>
      </w:r>
      <w:r w:rsidRPr="007114AF">
        <w:fldChar w:fldCharType="begin"/>
      </w:r>
      <w:r w:rsidRPr="007114AF">
        <w:instrText xml:space="preserve"> REF _Ref443402584 \h  \* MERGEFORMAT </w:instrText>
      </w:r>
      <w:r w:rsidRPr="007114AF">
        <w:fldChar w:fldCharType="separate"/>
      </w:r>
      <w:r w:rsidR="00CF00FE">
        <w:rPr>
          <w:b/>
        </w:rPr>
        <w:t>f</w:t>
      </w:r>
      <w:r w:rsidRPr="007114AF">
        <w:rPr>
          <w:b/>
        </w:rPr>
        <w:t>igur</w:t>
      </w:r>
      <w:r w:rsidR="00CF00FE">
        <w:rPr>
          <w:b/>
        </w:rPr>
        <w:t>ën</w:t>
      </w:r>
      <w:r w:rsidRPr="007114AF">
        <w:rPr>
          <w:b/>
        </w:rPr>
        <w:t xml:space="preserve"> 26</w:t>
      </w:r>
      <w:r w:rsidRPr="007114AF">
        <w:fldChar w:fldCharType="end"/>
      </w:r>
      <w:r w:rsidRPr="007114AF">
        <w:t>.</w:t>
      </w:r>
      <w:r w:rsidR="000A2A01" w:rsidRPr="007114AF">
        <w:t xml:space="preserve"> </w:t>
      </w:r>
      <w:r w:rsidRPr="007114AF">
        <w:t>Kjo rënie e konsumit në 2012 ishte veçanërisht e dukshme në nën-sektorin e ndërtimit dhe sektorin e transportit, të cilët janë të ndjeshëm ndaj prodhimit ekonomik.</w:t>
      </w:r>
      <w:r w:rsidR="000A2A01" w:rsidRPr="007114AF">
        <w:t xml:space="preserve"> </w:t>
      </w:r>
      <w:r w:rsidRPr="007114AF">
        <w:t>Megjithatë, pavarësisht se rritja e PBB-së mbeti e ulët, prapëseprapë konsumi i energjisë u rrit në mënyrë të shpejtë, në 2013, kryesisht për shkak të rritjes së kërkesës në sektorin e banesave.</w:t>
      </w:r>
      <w:r w:rsidR="000A2A01" w:rsidRPr="007114AF">
        <w:t xml:space="preserve"> </w:t>
      </w:r>
      <w:r w:rsidRPr="007114AF">
        <w:t>Më pas, në 2014, konsumi pësoi një rritje të madhe të mëtejshme, kryesisht në sajë të sektorit të hekurit dhe çelikut.</w:t>
      </w:r>
      <w:r w:rsidR="000A2A01" w:rsidRPr="007114AF">
        <w:t xml:space="preserve"> </w:t>
      </w:r>
      <w:r w:rsidRPr="007114AF">
        <w:t>Si përmbledhje, gjatë periudhës 2009-2014, konsumi final i energjisë u rrit nga 1,871 ktoe në 2,070 ktoe.</w:t>
      </w:r>
      <w:r w:rsidR="000A2A01" w:rsidRPr="007114AF">
        <w:t xml:space="preserve"> </w:t>
      </w:r>
      <w:r w:rsidRPr="007114AF">
        <w:t>Kjo përfaqëson një rritje prej rreth 11%, por norma e rritjes nuk ishte e qëndrueshme gjatë periudhës.</w:t>
      </w:r>
    </w:p>
    <w:p w14:paraId="6EDCFD65" w14:textId="77777777" w:rsidR="00206985" w:rsidRPr="007114AF" w:rsidRDefault="00206985" w:rsidP="00206985">
      <w:pPr>
        <w:pStyle w:val="TEKSTI"/>
        <w:rPr>
          <w:b/>
        </w:rPr>
      </w:pPr>
      <w:bookmarkStart w:id="126" w:name="_Ref443402584"/>
    </w:p>
    <w:p w14:paraId="6EDCFD66" w14:textId="21472011" w:rsidR="00A9766F" w:rsidRPr="007114AF" w:rsidRDefault="00A9766F" w:rsidP="00206985">
      <w:pPr>
        <w:pStyle w:val="FIGURA"/>
        <w:rPr>
          <w:sz w:val="20"/>
          <w:szCs w:val="20"/>
        </w:rPr>
      </w:pPr>
      <w:r w:rsidRPr="007114AF">
        <w:rPr>
          <w:sz w:val="20"/>
          <w:szCs w:val="20"/>
        </w:rPr>
        <w:t>Figura</w:t>
      </w:r>
      <w:r w:rsidR="000A2A01" w:rsidRPr="007114AF">
        <w:rPr>
          <w:sz w:val="20"/>
          <w:szCs w:val="20"/>
        </w:rPr>
        <w:t xml:space="preserve"> </w:t>
      </w:r>
      <w:r w:rsidRPr="007114AF">
        <w:rPr>
          <w:sz w:val="20"/>
          <w:szCs w:val="20"/>
        </w:rPr>
        <w:fldChar w:fldCharType="begin"/>
      </w:r>
      <w:r w:rsidRPr="007114AF">
        <w:rPr>
          <w:sz w:val="20"/>
          <w:szCs w:val="20"/>
        </w:rPr>
        <w:instrText xml:space="preserve"> SEQ Figure \* ARABIC </w:instrText>
      </w:r>
      <w:r w:rsidRPr="007114AF">
        <w:rPr>
          <w:sz w:val="20"/>
          <w:szCs w:val="20"/>
        </w:rPr>
        <w:fldChar w:fldCharType="separate"/>
      </w:r>
      <w:r w:rsidRPr="007114AF">
        <w:rPr>
          <w:sz w:val="20"/>
          <w:szCs w:val="20"/>
        </w:rPr>
        <w:t>26</w:t>
      </w:r>
      <w:r w:rsidRPr="007114AF">
        <w:rPr>
          <w:sz w:val="20"/>
          <w:szCs w:val="20"/>
        </w:rPr>
        <w:fldChar w:fldCharType="end"/>
      </w:r>
      <w:bookmarkEnd w:id="126"/>
      <w:r w:rsidRPr="007114AF">
        <w:rPr>
          <w:sz w:val="20"/>
          <w:szCs w:val="20"/>
        </w:rPr>
        <w:t xml:space="preserve"> Konsumi final i energjisë gjatë periudhës së shqyrtuar</w:t>
      </w:r>
    </w:p>
    <w:p w14:paraId="6EDCFD67" w14:textId="77777777" w:rsidR="00A9766F" w:rsidRPr="007114AF" w:rsidRDefault="00A9766F" w:rsidP="00206985">
      <w:pPr>
        <w:jc w:val="center"/>
        <w:rPr>
          <w:rFonts w:ascii="Garamond" w:hAnsi="Garamond"/>
        </w:rPr>
      </w:pPr>
      <w:r w:rsidRPr="007114AF">
        <w:rPr>
          <w:rFonts w:ascii="Garamond" w:hAnsi="Garamond"/>
          <w:noProof/>
          <w:lang w:val="en-US" w:eastAsia="en-US"/>
        </w:rPr>
        <w:drawing>
          <wp:inline distT="0" distB="0" distL="0" distR="0" wp14:anchorId="6EDD17BC" wp14:editId="6EDD17BD">
            <wp:extent cx="3686174" cy="2257425"/>
            <wp:effectExtent l="0" t="0" r="0" b="0"/>
            <wp:docPr id="27"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1" cstate="print"/>
                    <a:srcRect/>
                    <a:stretch>
                      <a:fillRect/>
                    </a:stretch>
                  </pic:blipFill>
                  <pic:spPr bwMode="auto">
                    <a:xfrm>
                      <a:off x="0" y="0"/>
                      <a:ext cx="3692016" cy="2261003"/>
                    </a:xfrm>
                    <a:prstGeom prst="rect">
                      <a:avLst/>
                    </a:prstGeom>
                    <a:noFill/>
                  </pic:spPr>
                </pic:pic>
              </a:graphicData>
            </a:graphic>
          </wp:inline>
        </w:drawing>
      </w:r>
    </w:p>
    <w:p w14:paraId="6EDCFD68" w14:textId="11BFCD79" w:rsidR="00A9766F" w:rsidRPr="007114AF" w:rsidRDefault="00A9766F" w:rsidP="00206985">
      <w:pPr>
        <w:pStyle w:val="TEKSTI"/>
      </w:pPr>
      <w:r w:rsidRPr="007114AF">
        <w:t>Burimi: Bilanci Energjetik i Shqipërisë 2009</w:t>
      </w:r>
      <w:r w:rsidR="00CF00FE">
        <w:t>–</w:t>
      </w:r>
      <w:r w:rsidRPr="007114AF">
        <w:t>2014, AKBN; INSTAT</w:t>
      </w:r>
    </w:p>
    <w:p w14:paraId="6EDCFD69" w14:textId="0D4A7BAE" w:rsidR="00A9766F" w:rsidRPr="007114AF" w:rsidRDefault="00A9766F" w:rsidP="00206985">
      <w:pPr>
        <w:pStyle w:val="TEKSTI"/>
      </w:pPr>
      <w:r w:rsidRPr="007114AF">
        <w:lastRenderedPageBreak/>
        <w:t>Plani i Parë Kombëtar i Veprimit për Efi</w:t>
      </w:r>
      <w:r w:rsidR="00CF00FE">
        <w:t>ci</w:t>
      </w:r>
      <w:r w:rsidRPr="007114AF">
        <w:t xml:space="preserve">iencën e Energjisë në Shqipëri u hartua në përputhje me transpozimin e Direktivës së Bashkimit Evropian (BE) 2006/32/KE (Direktiva e Shërbimeve Energjetike </w:t>
      </w:r>
      <w:r w:rsidR="0082368C">
        <w:t>–</w:t>
      </w:r>
      <w:r w:rsidRPr="007114AF">
        <w:t xml:space="preserve"> DSHE) dhe me </w:t>
      </w:r>
      <w:r w:rsidR="0082368C">
        <w:t>v</w:t>
      </w:r>
      <w:r w:rsidRPr="007114AF">
        <w:t>endimin e Këshillit Ministerial të Komunitet</w:t>
      </w:r>
      <w:r w:rsidR="00D43DF3" w:rsidRPr="007114AF">
        <w:t xml:space="preserve">it të Energjisë të vitit 2009. </w:t>
      </w:r>
      <w:r w:rsidRPr="007114AF">
        <w:t>Plani u miratua nga Qeveria e Shqipërisë, në shtator 2011, dhe parashikoi arritjen e kursimeve vjetore të energjisë prej 3% në vitin 2012</w:t>
      </w:r>
      <w:r w:rsidRPr="007114AF">
        <w:rPr>
          <w:vertAlign w:val="superscript"/>
        </w:rPr>
        <w:footnoteReference w:id="46"/>
      </w:r>
      <w:r w:rsidRPr="007114AF">
        <w:t xml:space="preserve"> dhe 9% në vitin 2018, të llogaritura si përqindje e konsumit mesatar final të energjisë për periudhën pesëvjeçare 2004-2008 (përfshirë). </w:t>
      </w:r>
    </w:p>
    <w:p w14:paraId="6EDCFD6A" w14:textId="6E7BDE88" w:rsidR="00A9766F" w:rsidRPr="007114AF" w:rsidRDefault="00A9766F" w:rsidP="00206985">
      <w:pPr>
        <w:pStyle w:val="TEKSTI"/>
      </w:pPr>
      <w:r w:rsidRPr="007114AF">
        <w:t>Me VKM</w:t>
      </w:r>
      <w:r w:rsidR="00CF00FE">
        <w:t>-në</w:t>
      </w:r>
      <w:r w:rsidR="00242009" w:rsidRPr="007114AF">
        <w:t xml:space="preserve"> nr. </w:t>
      </w:r>
      <w:r w:rsidRPr="007114AF">
        <w:t>348</w:t>
      </w:r>
      <w:r w:rsidR="00CF00FE">
        <w:t>, datë 11.</w:t>
      </w:r>
      <w:r w:rsidRPr="007114AF">
        <w:t xml:space="preserve">5.2016 </w:t>
      </w:r>
      <w:r w:rsidR="000A2A01" w:rsidRPr="007114AF">
        <w:t>“</w:t>
      </w:r>
      <w:r w:rsidRPr="007114AF">
        <w:t xml:space="preserve"> Për Miratimin e Strategjisë Kombëtare për zhvillim dhe integrim 2015</w:t>
      </w:r>
      <w:r w:rsidR="00CF00FE">
        <w:t>–</w:t>
      </w:r>
      <w:r w:rsidRPr="007114AF">
        <w:t>2020</w:t>
      </w:r>
      <w:r w:rsidR="000A2A01" w:rsidRPr="007114AF">
        <w:t>”</w:t>
      </w:r>
      <w:r w:rsidRPr="007114AF">
        <w:t xml:space="preserve"> për sektorin e energjisë, SKZHI 2015</w:t>
      </w:r>
      <w:r w:rsidR="00CF00FE">
        <w:t>–</w:t>
      </w:r>
      <w:r w:rsidRPr="007114AF">
        <w:t>2020 nxjerr në pah objektiva strategjik</w:t>
      </w:r>
      <w:r w:rsidR="0082368C">
        <w:t>ë</w:t>
      </w:r>
      <w:r w:rsidRPr="007114AF">
        <w:t xml:space="preserve"> shtesë, të cilat përfshijnë një numër objektivash që kanë rëndësi për zbatimin e masave për efi</w:t>
      </w:r>
      <w:r w:rsidR="00CF00FE">
        <w:t>c</w:t>
      </w:r>
      <w:r w:rsidRPr="007114AF">
        <w:t>iencën e energjisë:</w:t>
      </w:r>
    </w:p>
    <w:p w14:paraId="6EDCFD6B" w14:textId="6B77DDED" w:rsidR="00A9766F" w:rsidRPr="007114AF" w:rsidRDefault="008D6C6A" w:rsidP="00206985">
      <w:pPr>
        <w:pStyle w:val="TEKSTI"/>
      </w:pPr>
      <w:r w:rsidRPr="007114AF">
        <w:t xml:space="preserve">- </w:t>
      </w:r>
      <w:r w:rsidR="00A9766F" w:rsidRPr="007114AF">
        <w:t>Uljen e intensitetit të energjisë me mbi 12.5%, deri në 2020, krahasuar me nivelin e 2012</w:t>
      </w:r>
      <w:r w:rsidR="00AB4345">
        <w:t>-s</w:t>
      </w:r>
      <w:r w:rsidR="00A9766F" w:rsidRPr="007114AF">
        <w:t>;</w:t>
      </w:r>
    </w:p>
    <w:p w14:paraId="6EDCFD6C" w14:textId="67F64D58" w:rsidR="00A9766F" w:rsidRPr="007114AF" w:rsidRDefault="008D6C6A" w:rsidP="00206985">
      <w:pPr>
        <w:pStyle w:val="TEKSTI"/>
      </w:pPr>
      <w:r w:rsidRPr="007114AF">
        <w:t xml:space="preserve">- </w:t>
      </w:r>
      <w:r w:rsidR="00A9766F" w:rsidRPr="007114AF">
        <w:t>Plotësimi i angazhimeve të Shqipërisë në kuadrin e iniciativës 20/20/20, me përmirësimi i efi</w:t>
      </w:r>
      <w:r w:rsidR="00CF00FE">
        <w:t>ci</w:t>
      </w:r>
      <w:r w:rsidR="00A9766F" w:rsidRPr="007114AF">
        <w:t>encës së energjisë dhe ulja e emetimeve të karbonit (CO2);</w:t>
      </w:r>
    </w:p>
    <w:p w14:paraId="6EDCFD6D" w14:textId="20B32B49" w:rsidR="00A9766F" w:rsidRPr="007114AF" w:rsidRDefault="008D6C6A" w:rsidP="00206985">
      <w:pPr>
        <w:pStyle w:val="TEKSTI"/>
      </w:pPr>
      <w:r w:rsidRPr="007114AF">
        <w:t xml:space="preserve">- </w:t>
      </w:r>
      <w:r w:rsidR="00A9766F" w:rsidRPr="007114AF">
        <w:t>Menaxhimi i kërkesës për energji përmes rritjes së efi</w:t>
      </w:r>
      <w:r w:rsidR="00AB4345">
        <w:t>ci</w:t>
      </w:r>
      <w:r w:rsidR="00A9766F" w:rsidRPr="007114AF">
        <w:t>encës të përdorimit të energjisë, sidomos në sektorin e ndërtesave;</w:t>
      </w:r>
    </w:p>
    <w:p w14:paraId="6EDCFD6E" w14:textId="77777777" w:rsidR="00A9766F" w:rsidRPr="007114AF" w:rsidRDefault="008D6C6A" w:rsidP="00206985">
      <w:pPr>
        <w:pStyle w:val="TEKSTI"/>
      </w:pPr>
      <w:r w:rsidRPr="007114AF">
        <w:t xml:space="preserve">- </w:t>
      </w:r>
      <w:r w:rsidR="00A9766F" w:rsidRPr="007114AF">
        <w:t>Uljen e humbjeve të energjisë elektrike në rrjetin e shpërndarjes deri në 14%, deri në 2018;</w:t>
      </w:r>
    </w:p>
    <w:p w14:paraId="6EDCFD6F" w14:textId="71400B5F" w:rsidR="00A9766F" w:rsidRPr="007114AF" w:rsidRDefault="00A9766F" w:rsidP="00206985">
      <w:pPr>
        <w:pStyle w:val="TEKSTI"/>
      </w:pPr>
      <w:r w:rsidRPr="007114AF">
        <w:t xml:space="preserve">Në lidhje me ndryshimet klimatike, Shqipëria ka paraqitur </w:t>
      </w:r>
      <w:r w:rsidRPr="007114AF">
        <w:rPr>
          <w:i/>
        </w:rPr>
        <w:t>objektivin e saj kombëtar të pikësynuar</w:t>
      </w:r>
      <w:r w:rsidRPr="007114AF">
        <w:t xml:space="preserve"> (INDC), i cili është pjesë e procesit të Konventës Kuadër të Kombeve të Bashkuara për Ndryshimet Klimatike (UNFCCC), për përcaktimin dhe përmbushjen e objektivave për uljen e emetimeve në nivel ndërkombëtar.</w:t>
      </w:r>
      <w:r w:rsidR="000A2A01" w:rsidRPr="007114AF">
        <w:t xml:space="preserve"> </w:t>
      </w:r>
      <w:r w:rsidRPr="007114AF">
        <w:t>Në përputhje me vendimin 1/CP.19 dhe vendimin 1/CP.20 të UNFCCC-së, INDC-të e vendeve përcaktojnë objektivat që lidhen me uljen e emetimeve, mbi bazën e kushteve ekonomike dhe industriale vendase.</w:t>
      </w:r>
      <w:r w:rsidR="000A2A01" w:rsidRPr="007114AF">
        <w:t xml:space="preserve"> </w:t>
      </w:r>
      <w:r w:rsidRPr="007114AF">
        <w:t>Shqipëria ka përcaktuar një objektiv të skenarit bazë, i cili synon një nivel kursimesh (ulje të emetimeve të CO</w:t>
      </w:r>
      <w:r w:rsidRPr="007114AF">
        <w:rPr>
          <w:vertAlign w:val="subscript"/>
        </w:rPr>
        <w:t>2</w:t>
      </w:r>
      <w:r w:rsidRPr="007114AF">
        <w:t xml:space="preserve"> me 11.5%, deri në 2030) nën nivelin e trajektores së parashikuar të skenarit bazë.</w:t>
      </w:r>
    </w:p>
    <w:p w14:paraId="6EDCFD70" w14:textId="471A6F0D" w:rsidR="00A9766F" w:rsidRPr="007114AF" w:rsidRDefault="00A9766F" w:rsidP="00206985">
      <w:pPr>
        <w:pStyle w:val="TEKSTI"/>
      </w:pPr>
      <w:r w:rsidRPr="007114AF">
        <w:t>Për të përmirësuar performancën e sektorit të energjisë në Shqipëri dhe për të përmbushur objektivat e mësipër</w:t>
      </w:r>
      <w:r w:rsidR="0082368C">
        <w:t>ë</w:t>
      </w:r>
      <w:r w:rsidRPr="007114AF">
        <w:t>m, ka zhvillime të konsiderueshme.</w:t>
      </w:r>
      <w:r w:rsidR="000A2A01" w:rsidRPr="007114AF">
        <w:t xml:space="preserve"> </w:t>
      </w:r>
      <w:r w:rsidRPr="007114AF">
        <w:t>Për këtë qëllim, Plani Kombëtar i Veprimit për Burimet e Energjisë së Rinovueshme (PKVBER), për periudhën 2015-2020, u miratua nga Këshilli i Ministrave më 20 janar 2016, i cili përcakton planin për arritjen e objektivit të vitit 2020, që 38% e konsumit final të energjisë të jetë nga burimet e energjive të rinovueshme.</w:t>
      </w:r>
    </w:p>
    <w:p w14:paraId="6EDCFD71" w14:textId="253799A9" w:rsidR="00A9766F" w:rsidRPr="007114AF" w:rsidRDefault="00A9766F" w:rsidP="00206985">
      <w:pPr>
        <w:pStyle w:val="TEKSTI"/>
      </w:pPr>
      <w:r w:rsidRPr="007114AF">
        <w:t>Në lidhje me Efiçiencën e Energjisë (EE), ligji i referimit për efi</w:t>
      </w:r>
      <w:r w:rsidR="00AB4345">
        <w:t>c</w:t>
      </w:r>
      <w:r w:rsidRPr="007114AF">
        <w:t>iencën e energjisë (ligji</w:t>
      </w:r>
      <w:r w:rsidR="00242009" w:rsidRPr="007114AF">
        <w:t xml:space="preserve"> nr. </w:t>
      </w:r>
      <w:r w:rsidRPr="007114AF">
        <w:t>124/2015) u miratua në nëntor 2015, i cili transpozon shumë prej kërkesave të Direktivës 2012/27/BE (</w:t>
      </w:r>
      <w:r w:rsidR="000A2A01" w:rsidRPr="007114AF">
        <w:t>“</w:t>
      </w:r>
      <w:r w:rsidRPr="007114AF">
        <w:t>Direktiva për Efiçiencën e Energjisë</w:t>
      </w:r>
      <w:r w:rsidR="000A2A01" w:rsidRPr="007114AF">
        <w:t>”</w:t>
      </w:r>
      <w:r w:rsidRPr="007114AF">
        <w:t>).</w:t>
      </w:r>
      <w:r w:rsidR="000A2A01" w:rsidRPr="007114AF">
        <w:t xml:space="preserve"> </w:t>
      </w:r>
      <w:r w:rsidRPr="007114AF">
        <w:t>Në mënyrë të ngjashme ligji</w:t>
      </w:r>
      <w:r w:rsidR="00242009" w:rsidRPr="007114AF">
        <w:t xml:space="preserve"> nr. </w:t>
      </w:r>
      <w:r w:rsidRPr="007114AF">
        <w:t xml:space="preserve">116/2016 </w:t>
      </w:r>
      <w:r w:rsidR="00AB4345">
        <w:t>“</w:t>
      </w:r>
      <w:r w:rsidRPr="007114AF">
        <w:t xml:space="preserve">Për </w:t>
      </w:r>
      <w:r w:rsidR="00AB4345" w:rsidRPr="007114AF">
        <w:t xml:space="preserve">performancën energjetike të ndërtesave </w:t>
      </w:r>
      <w:r w:rsidRPr="007114AF">
        <w:t>(PEN)</w:t>
      </w:r>
      <w:r w:rsidR="00AB4345">
        <w:t>”</w:t>
      </w:r>
      <w:r w:rsidRPr="007114AF">
        <w:t xml:space="preserve">, i cili transpozon </w:t>
      </w:r>
      <w:r w:rsidR="00AB4345">
        <w:t>d</w:t>
      </w:r>
      <w:r w:rsidRPr="007114AF">
        <w:t>irektivën 2010/31/BE (</w:t>
      </w:r>
      <w:r w:rsidR="000A2A01" w:rsidRPr="007114AF">
        <w:t>“</w:t>
      </w:r>
      <w:r w:rsidRPr="007114AF">
        <w:t xml:space="preserve">Direktiva për </w:t>
      </w:r>
      <w:r w:rsidR="00AB4345" w:rsidRPr="007114AF">
        <w:t>performancën energjetike të ndërtesave</w:t>
      </w:r>
      <w:r w:rsidR="000A2A01" w:rsidRPr="007114AF">
        <w:t>”</w:t>
      </w:r>
      <w:r w:rsidRPr="007114AF">
        <w:t xml:space="preserve">) </w:t>
      </w:r>
      <w:r w:rsidR="00AB4345">
        <w:t>–</w:t>
      </w:r>
      <w:r w:rsidRPr="007114AF">
        <w:t xml:space="preserve"> një</w:t>
      </w:r>
      <w:r w:rsidR="00AB4345">
        <w:t xml:space="preserve"> </w:t>
      </w:r>
      <w:r w:rsidRPr="007114AF">
        <w:t>fushë me potencial të lartë në Shqipëri, janë referenca të qarta për zhvillimin e efi</w:t>
      </w:r>
      <w:r w:rsidR="00AB4345">
        <w:t>ci</w:t>
      </w:r>
      <w:r w:rsidRPr="007114AF">
        <w:t>encës se energjisë.</w:t>
      </w:r>
    </w:p>
    <w:p w14:paraId="6EDCFD72" w14:textId="1F9F8352" w:rsidR="00A9766F" w:rsidRPr="007114AF" w:rsidRDefault="00A9766F" w:rsidP="00206985">
      <w:pPr>
        <w:pStyle w:val="TEKSTI"/>
      </w:pPr>
      <w:r w:rsidRPr="007114AF">
        <w:t>Së bashku, këto ligje krijojnë bazën mbi të cilën mund të ngrihet një kuadër rregullator më i plotë, mund të krijohet struktura institucionale dhe mbështetja financiare, si dhe të zbatohen në mënyrë të suksesshme masat e parashikuara në kuadër të kësaj PKVEE-je të re.</w:t>
      </w:r>
      <w:r w:rsidR="000A2A01" w:rsidRPr="007114AF">
        <w:t xml:space="preserve"> </w:t>
      </w:r>
      <w:r w:rsidRPr="007114AF">
        <w:t>Në të vërtetë, ligji për efi</w:t>
      </w:r>
      <w:r w:rsidR="00AB4345">
        <w:t>ci</w:t>
      </w:r>
      <w:r w:rsidRPr="007114AF">
        <w:t>iencën e energjisë parashikon një detyrim ligjor, i cili mungonte më parë, për Agjencinë për Efi</w:t>
      </w:r>
      <w:r w:rsidR="00AB4345">
        <w:t>c</w:t>
      </w:r>
      <w:r w:rsidRPr="007114AF">
        <w:t>iencën e Energjisë që të hartojë një PKVEE për Shqipërinë.</w:t>
      </w:r>
      <w:r w:rsidR="000A2A01" w:rsidRPr="007114AF">
        <w:t xml:space="preserve"> </w:t>
      </w:r>
    </w:p>
    <w:p w14:paraId="6EDCFD73" w14:textId="20393F6C" w:rsidR="00A9766F" w:rsidRPr="007114AF" w:rsidRDefault="00A9766F" w:rsidP="00206985">
      <w:pPr>
        <w:pStyle w:val="TEKSTI"/>
      </w:pPr>
      <w:r w:rsidRPr="007114AF">
        <w:t>PKVEE parashikon një plan sesi këto zhvillime do të arrijnë objektivat e Shqipërisë për efi</w:t>
      </w:r>
      <w:r w:rsidR="00AB4345">
        <w:t>c</w:t>
      </w:r>
      <w:r w:rsidRPr="007114AF">
        <w:t>iencën e energjisë dhe përmbushin detyrimet e saj</w:t>
      </w:r>
      <w:r w:rsidR="000A2A01" w:rsidRPr="007114AF">
        <w:t xml:space="preserve"> </w:t>
      </w:r>
      <w:r w:rsidRPr="007114AF">
        <w:t xml:space="preserve">në kuadër të </w:t>
      </w:r>
      <w:r w:rsidR="00AB4345">
        <w:t>d</w:t>
      </w:r>
      <w:r w:rsidRPr="007114AF">
        <w:t>irektivës 2012/27/BE (</w:t>
      </w:r>
      <w:r w:rsidR="000A2A01" w:rsidRPr="007114AF">
        <w:t>“</w:t>
      </w:r>
      <w:r w:rsidRPr="007114AF">
        <w:t>DEE</w:t>
      </w:r>
      <w:r w:rsidR="000A2A01" w:rsidRPr="007114AF">
        <w:t>”</w:t>
      </w:r>
      <w:r w:rsidRPr="007114AF">
        <w:t>), e cila u miratua nga Komuniteti i Energjisë, më 16 tetor 2015, duke mbuluar edhe aspektet përkatëse të DPEN-së.</w:t>
      </w:r>
    </w:p>
    <w:p w14:paraId="6EDCFD74" w14:textId="77777777" w:rsidR="00A9766F" w:rsidRPr="007114AF" w:rsidRDefault="00A9766F" w:rsidP="00206985">
      <w:pPr>
        <w:pStyle w:val="TEKSTI"/>
        <w:rPr>
          <w:b/>
        </w:rPr>
      </w:pPr>
      <w:bookmarkStart w:id="127" w:name="_Ref443488517"/>
      <w:bookmarkStart w:id="128" w:name="_Toc448735056"/>
      <w:r w:rsidRPr="007114AF">
        <w:rPr>
          <w:b/>
        </w:rPr>
        <w:t>Pikat kryesore të PKVEE-së</w:t>
      </w:r>
      <w:bookmarkEnd w:id="127"/>
      <w:bookmarkEnd w:id="128"/>
    </w:p>
    <w:p w14:paraId="6EDCFD75" w14:textId="0F2AD39E" w:rsidR="00A9766F" w:rsidRPr="007114AF" w:rsidRDefault="00A9766F" w:rsidP="00206985">
      <w:pPr>
        <w:pStyle w:val="TEKSTI"/>
      </w:pPr>
      <w:r w:rsidRPr="007114AF">
        <w:lastRenderedPageBreak/>
        <w:t>Kjo PKVEE e re për Shqipërinë rishikon arritjet e PKVEE-së I, për periudhën 2010</w:t>
      </w:r>
      <w:r w:rsidR="00AB4345">
        <w:t>–</w:t>
      </w:r>
      <w:r w:rsidRPr="007114AF">
        <w:t>2014, dhe më pas përshkruan një plan për përmbushjen e objektivave të r</w:t>
      </w:r>
      <w:r w:rsidR="0082368C">
        <w:t>inj</w:t>
      </w:r>
      <w:r w:rsidRPr="007114AF">
        <w:t xml:space="preserve"> që dalin, për periudhën deri në vitin 2020.</w:t>
      </w:r>
    </w:p>
    <w:p w14:paraId="6EDCFD76" w14:textId="5E454443" w:rsidR="00A9766F" w:rsidRPr="007114AF" w:rsidRDefault="00A9766F" w:rsidP="00206985">
      <w:pPr>
        <w:pStyle w:val="TEKSTI"/>
        <w:rPr>
          <w:b/>
        </w:rPr>
      </w:pPr>
      <w:r w:rsidRPr="007114AF">
        <w:rPr>
          <w:b/>
        </w:rPr>
        <w:t>Arritjet e PKVEE së parë, 2011</w:t>
      </w:r>
      <w:r w:rsidR="00414BCD">
        <w:rPr>
          <w:b/>
        </w:rPr>
        <w:t>–</w:t>
      </w:r>
      <w:r w:rsidRPr="007114AF">
        <w:rPr>
          <w:b/>
        </w:rPr>
        <w:t>2018</w:t>
      </w:r>
    </w:p>
    <w:p w14:paraId="6EDCFD77" w14:textId="3C1DAB05" w:rsidR="00A9766F" w:rsidRPr="007114AF" w:rsidRDefault="00A9766F" w:rsidP="00206985">
      <w:pPr>
        <w:pStyle w:val="TEKSTI"/>
      </w:pPr>
      <w:r w:rsidRPr="007114AF">
        <w:t xml:space="preserve">Shqipëria nuk përballoi një sërë sfidash në zbatimin e masave që përmbahen në PKVEE-në I të miratuar nga Qeveria në </w:t>
      </w:r>
      <w:r w:rsidR="00414BCD">
        <w:t>s</w:t>
      </w:r>
      <w:r w:rsidRPr="007114AF">
        <w:t>htator 2011.</w:t>
      </w:r>
      <w:r w:rsidR="000A2A01" w:rsidRPr="007114AF">
        <w:t xml:space="preserve"> </w:t>
      </w:r>
      <w:r w:rsidRPr="007114AF">
        <w:t>Shumë prej masave kërkuan bashkëpunimin e ministrive dhe entiteteve të tjera jashtë Ministrisë së Ekonomisë, Tregtisë dhe Energjisë dhe Ministrisë se Infrastrukturës dhe Energjisë (MIE).</w:t>
      </w:r>
      <w:r w:rsidR="000A2A01" w:rsidRPr="007114AF">
        <w:t xml:space="preserve"> </w:t>
      </w:r>
      <w:r w:rsidRPr="007114AF">
        <w:t>Megjithatë, mirëkuptimi, koordinimi ndërministror, dhe si rrjedhojë mbështetja me akte ligjore dhe financiare për planin mungoi, duke penguar integrimin e masave në planet sektoriale. Gjithashtu, miratimi i ligjit për efi</w:t>
      </w:r>
      <w:r w:rsidR="00AB4345">
        <w:t>c</w:t>
      </w:r>
      <w:r w:rsidRPr="007114AF">
        <w:t>iencën e energjisë, i kërkuar për plotësimin e kuadrit ligjor dhe rregullator për krijimin e tregut për shërbimet energjetike, për Agjencinë e dedikuar për EE-në dhe Fondin për EE-në, u vonuan së tepërmi.</w:t>
      </w:r>
      <w:r w:rsidR="000A2A01" w:rsidRPr="007114AF">
        <w:t xml:space="preserve"> </w:t>
      </w:r>
      <w:r w:rsidRPr="007114AF">
        <w:t>Për më tepër, disa masa nuk ishin realiste, si për</w:t>
      </w:r>
      <w:r w:rsidR="00AB4345">
        <w:t xml:space="preserve"> </w:t>
      </w:r>
      <w:r w:rsidRPr="007114AF">
        <w:t xml:space="preserve">sa </w:t>
      </w:r>
      <w:r w:rsidR="00AB4345">
        <w:t>u</w:t>
      </w:r>
      <w:r w:rsidRPr="007114AF">
        <w:t xml:space="preserve"> përket afateve kohore të propozuara, ashtu edhe </w:t>
      </w:r>
      <w:r w:rsidR="00AB4345" w:rsidRPr="007114AF">
        <w:t>gatishmërisë</w:t>
      </w:r>
      <w:r w:rsidRPr="007114AF">
        <w:t xml:space="preserve"> për të monitoruar dhe implementuar ato.</w:t>
      </w:r>
    </w:p>
    <w:p w14:paraId="6EDCFD78" w14:textId="594CF0DC" w:rsidR="00A9766F" w:rsidRPr="007114AF" w:rsidRDefault="00A9766F" w:rsidP="00206985">
      <w:pPr>
        <w:pStyle w:val="TEKSTI"/>
      </w:pPr>
      <w:r w:rsidRPr="007114AF">
        <w:t>Pavarësisht vështirësive të mësipërme, pak progres është bërë për EE-në në Shqipëri.</w:t>
      </w:r>
      <w:r w:rsidR="000A2A01" w:rsidRPr="007114AF">
        <w:t xml:space="preserve"> </w:t>
      </w:r>
      <w:r w:rsidRPr="007114AF">
        <w:t>Janë zhvilluar një sërë projektesh pilote për rinovimin e ndërtesave publike, është kryer trajnim për audituesit dhe menaxherët e energjisë, dhe me mbështetjen e institucioneve financiare ndërkombëtare (IFN) dhe donatorëve, bankat vendase ofruan linja kreditimi për masat për efi</w:t>
      </w:r>
      <w:r w:rsidR="00AB4345">
        <w:t>c</w:t>
      </w:r>
      <w:r w:rsidRPr="007114AF">
        <w:t>iencën e energjisë, kryesisht për përmirësimin e veshjeve të jashtme të ndërtesës.</w:t>
      </w:r>
      <w:r w:rsidR="000A2A01" w:rsidRPr="007114AF">
        <w:t xml:space="preserve"> </w:t>
      </w:r>
    </w:p>
    <w:p w14:paraId="6EDCFD79" w14:textId="4388D559" w:rsidR="00A9766F" w:rsidRPr="007114AF" w:rsidRDefault="00A9766F" w:rsidP="00206985">
      <w:pPr>
        <w:pStyle w:val="TEKSTI"/>
      </w:pPr>
      <w:r w:rsidRPr="007114AF">
        <w:t xml:space="preserve">Vlerësimi formal i kursimeve të energjisë të arritura nga masat e mësipërme është penguar nga mungesa e një platforme monitorimi dhe verifikimi, sipas </w:t>
      </w:r>
      <w:r w:rsidR="00362F59">
        <w:t>s</w:t>
      </w:r>
      <w:r w:rsidRPr="007114AF">
        <w:t xml:space="preserve">ë cilës do të llogariteshin kursimet me metodën </w:t>
      </w:r>
      <w:r w:rsidR="000A2A01" w:rsidRPr="007114AF">
        <w:t>“</w:t>
      </w:r>
      <w:r w:rsidRPr="007114AF">
        <w:t>Poshtë-Lart</w:t>
      </w:r>
      <w:r w:rsidR="000A2A01" w:rsidRPr="007114AF">
        <w:t>”</w:t>
      </w:r>
      <w:r w:rsidRPr="007114AF">
        <w:t xml:space="preserve"> (PL) (</w:t>
      </w:r>
      <w:r w:rsidRPr="007114AF">
        <w:rPr>
          <w:i/>
        </w:rPr>
        <w:t>Bottom-Up</w:t>
      </w:r>
      <w:r w:rsidRPr="007114AF">
        <w:t xml:space="preserve">), ndërsa ekzistenca dhe cilësia e ulet statistikave kombëtare ka kufizuar dobishmërinë e metodës </w:t>
      </w:r>
      <w:r w:rsidR="000A2A01" w:rsidRPr="007114AF">
        <w:t>“</w:t>
      </w:r>
      <w:r w:rsidRPr="007114AF">
        <w:t>Lart-Poshtë</w:t>
      </w:r>
      <w:r w:rsidR="000A2A01" w:rsidRPr="007114AF">
        <w:t>”</w:t>
      </w:r>
      <w:r w:rsidRPr="007114AF">
        <w:t xml:space="preserve"> (LP) (</w:t>
      </w:r>
      <w:r w:rsidRPr="007114AF">
        <w:rPr>
          <w:i/>
        </w:rPr>
        <w:t>Top-Down</w:t>
      </w:r>
      <w:r w:rsidRPr="007114AF">
        <w:t>).</w:t>
      </w:r>
      <w:r w:rsidR="000A2A01" w:rsidRPr="007114AF">
        <w:t xml:space="preserve"> </w:t>
      </w:r>
      <w:r w:rsidRPr="007114AF">
        <w:t>Prandaj, për të mundësuar raportim të saktë e në kohë, gjatë periudhës së mbuluar nga kjo PKVEE e re, është parë si masë prioritare krijimi i platform</w:t>
      </w:r>
      <w:r w:rsidR="00AB4345">
        <w:t>ë</w:t>
      </w:r>
      <w:r w:rsidRPr="007114AF">
        <w:t>s së monitorimit dhe verifikimit të masave.</w:t>
      </w:r>
    </w:p>
    <w:p w14:paraId="6EDCFD7A" w14:textId="23BFCFE1" w:rsidR="00A9766F" w:rsidRPr="007114AF" w:rsidRDefault="00A9766F" w:rsidP="00206985">
      <w:pPr>
        <w:pStyle w:val="TEKSTI"/>
        <w:rPr>
          <w:b/>
        </w:rPr>
      </w:pPr>
      <w:r w:rsidRPr="007114AF">
        <w:rPr>
          <w:b/>
        </w:rPr>
        <w:t>Prioritetet për kursimin e energjisë për PKVEE e re</w:t>
      </w:r>
    </w:p>
    <w:p w14:paraId="6EDCFD7B" w14:textId="1096BF7C" w:rsidR="00A9766F" w:rsidRPr="007114AF" w:rsidRDefault="00A9766F" w:rsidP="00206985">
      <w:pPr>
        <w:pStyle w:val="TEKSTI"/>
        <w:rPr>
          <w:b/>
        </w:rPr>
      </w:pPr>
      <w:r w:rsidRPr="007114AF">
        <w:rPr>
          <w:b/>
        </w:rPr>
        <w:t>Stoku i ndërtesave të banimit në Shqipëri dhe efic</w:t>
      </w:r>
      <w:r w:rsidR="00D565A2" w:rsidRPr="007114AF">
        <w:rPr>
          <w:b/>
        </w:rPr>
        <w:t>i</w:t>
      </w:r>
      <w:r w:rsidRPr="007114AF">
        <w:rPr>
          <w:b/>
        </w:rPr>
        <w:t>enca e energjisë 2020</w:t>
      </w:r>
    </w:p>
    <w:p w14:paraId="6EDCFD7C" w14:textId="69DC6D7E" w:rsidR="00A9766F" w:rsidRPr="007114AF" w:rsidRDefault="00A9766F" w:rsidP="00206985">
      <w:pPr>
        <w:pStyle w:val="TEKSTI"/>
      </w:pPr>
      <w:r w:rsidRPr="007114AF">
        <w:t>Kërkesa për energji nga sektori i ndërtesave të banimit përbën një sfidë të madhe për Shqipërinë. Në vitin 2013, ky sektor ishte përgjegjës për 30 për qind të konsumit fundor kombëtar të energjisë dhe për 60 për qind të konsumit kombëtar të energjisë elektrike.</w:t>
      </w:r>
      <w:r w:rsidR="000A2A01" w:rsidRPr="007114AF">
        <w:t xml:space="preserve"> </w:t>
      </w:r>
      <w:r w:rsidRPr="007114AF">
        <w:t>Përgjithësisht, banesat shqiptare ngrohen pjesërisht për pak orë në ditë.</w:t>
      </w:r>
      <w:r w:rsidR="000A2A01" w:rsidRPr="007114AF">
        <w:t xml:space="preserve"> </w:t>
      </w:r>
      <w:r w:rsidRPr="007114AF">
        <w:t>Përdorimi i vazhdueshëm i sobave të vjetra me dru zjarri sjell probleme të shumta për mjedisin dhe shëndetin.</w:t>
      </w:r>
    </w:p>
    <w:p w14:paraId="6EDCFD7D" w14:textId="7D776845" w:rsidR="00A9766F" w:rsidRPr="007114AF" w:rsidRDefault="00A9766F" w:rsidP="00206985">
      <w:pPr>
        <w:pStyle w:val="TEKSTI"/>
        <w:rPr>
          <w:b/>
          <w:i/>
        </w:rPr>
      </w:pPr>
      <w:r w:rsidRPr="007114AF">
        <w:t>Jan</w:t>
      </w:r>
      <w:r w:rsidR="00D565A2" w:rsidRPr="007114AF">
        <w:t>ë</w:t>
      </w:r>
      <w:r w:rsidRPr="007114AF">
        <w:t xml:space="preserve"> propozuar dy paketa në shtesë të kuadrit të sotëm të politikave, të cilat kanë si qëllim ta shndërroj</w:t>
      </w:r>
      <w:r w:rsidR="00D565A2" w:rsidRPr="007114AF">
        <w:t>ë</w:t>
      </w:r>
      <w:r w:rsidRPr="007114AF">
        <w:t xml:space="preserve"> stokun e ndërtesave të banimit në ndërtesa me nivelin minimal të harxhimit të energjisë dhe çlirimit të karbonit deri në vitin 2050.</w:t>
      </w:r>
      <w:r w:rsidR="000A2A01" w:rsidRPr="007114AF">
        <w:t xml:space="preserve"> </w:t>
      </w:r>
      <w:r w:rsidRPr="007114AF">
        <w:t>Është vlerësuar shkalla e përpjekjeve të nevojshme për të arritur këto objektiva të matur për sipërfaqen e dyshemesë (banimit) të marre në konsiderate, si edhe investimet e kërkuara.</w:t>
      </w:r>
      <w:r w:rsidR="000A2A01" w:rsidRPr="007114AF">
        <w:t xml:space="preserve"> </w:t>
      </w:r>
      <w:r w:rsidRPr="007114AF">
        <w:t>Është vlerësuar kursimi i energjisë, kostot e kursyera lidhur me energjinë, impakti në shkarkimet e CO2 që dhe kosto-efektshmërinë e paketave të ndërhyrjeve</w:t>
      </w:r>
      <w:r w:rsidRPr="007114AF">
        <w:rPr>
          <w:vertAlign w:val="superscript"/>
        </w:rPr>
        <w:footnoteReference w:id="47"/>
      </w:r>
      <w:r w:rsidRPr="007114AF">
        <w:t xml:space="preserve">. </w:t>
      </w:r>
    </w:p>
    <w:p w14:paraId="6EDCFD7E" w14:textId="3146174F" w:rsidR="00A9766F" w:rsidRPr="007114AF" w:rsidRDefault="00A9766F" w:rsidP="00206985">
      <w:pPr>
        <w:pStyle w:val="TEKSTI"/>
      </w:pPr>
      <w:r w:rsidRPr="007114AF">
        <w:t>Gjetjet se konsumi përfundimtar i energjisë në vitin 2015 në sektorin e banimit për shërbimet e energjisë termike ishte 4.9 miliardë kWh, nga të cilat 54% përmbusheshin nga energjia elektrike, 37% nga lënda drusore dhe 9% nga gazi i lëngët.</w:t>
      </w:r>
      <w:r w:rsidR="000A2A01" w:rsidRPr="007114AF">
        <w:t xml:space="preserve"> </w:t>
      </w:r>
      <w:r w:rsidRPr="007114AF">
        <w:t>Sektori shkarkoi 96 mijë tonë CO2 i bashkëlidhur me konsumin e gazit të lëngët.</w:t>
      </w:r>
      <w:r w:rsidR="000A2A01" w:rsidRPr="007114AF">
        <w:t xml:space="preserve"> </w:t>
      </w:r>
      <w:r w:rsidRPr="007114AF">
        <w:t>Energjia përfundimtare e konsumuar e përllogaritur mbi bazën e veçorive gjeometrike dhe termike të ndërtesave si dhe veçoritë e sistemeve të instaluara energjisë ndryshojnë në mënyrë thelbësore nga balanca e energjisë.</w:t>
      </w:r>
      <w:r w:rsidR="000A2A01" w:rsidRPr="007114AF">
        <w:t xml:space="preserve"> </w:t>
      </w:r>
      <w:r w:rsidRPr="007114AF">
        <w:t xml:space="preserve">Për këtë shkak, konsumi përfundimtar i energjisë u kalibrua kundrejt balancës duke korrigjuar nivelin e sotëm të komfortit termik, shprehimisht sipërfaqja e pjesshme e dyshemesë e ngrohur dhe e ftohur dhe kohëzgjatja e ngrohjes dhe ftohjes së hapësirës. </w:t>
      </w:r>
    </w:p>
    <w:p w14:paraId="6EDCFD7F" w14:textId="5503E0AF" w:rsidR="00A9766F" w:rsidRPr="007114AF" w:rsidRDefault="00A9766F" w:rsidP="00206985">
      <w:pPr>
        <w:pStyle w:val="TEKSTI"/>
      </w:pPr>
      <w:r w:rsidRPr="007114AF">
        <w:lastRenderedPageBreak/>
        <w:t>Duke ndjekur tendencat e tregut, ne supozojmë një rritje të shpejtë të ngrohjes me energji elektrike të banesave ekzistuese.</w:t>
      </w:r>
      <w:r w:rsidR="000A2A01" w:rsidRPr="007114AF">
        <w:t xml:space="preserve"> </w:t>
      </w:r>
      <w:r w:rsidRPr="007114AF">
        <w:t>Për këtë shkak, gjatë periudhës 2015–2030 konsumi i energjisë elektrike do të rritet afërsisht me 2.2%/vit, ndërsa konsumi i druve të zjarrit dhe gazit të lëngët do të ulet respektivisht me afërsisht 11%/vit dhe 10%/vit.</w:t>
      </w:r>
      <w:r w:rsidR="000A2A01" w:rsidRPr="007114AF">
        <w:t xml:space="preserve"> </w:t>
      </w:r>
      <w:r w:rsidRPr="007114AF">
        <w:t>Në vitin 2030, shkarkimet e CO</w:t>
      </w:r>
      <w:r w:rsidRPr="00AB4345">
        <w:rPr>
          <w:vertAlign w:val="subscript"/>
        </w:rPr>
        <w:t>2</w:t>
      </w:r>
      <w:r w:rsidRPr="007114AF">
        <w:t xml:space="preserve"> do të zënë 23% të nivelit të tyre në vitin 2015, ndikuar kryesisht prej ndryshimit në llojit të energjisë, kalimit nga gazi i lëngët tek energjia elektrike.</w:t>
      </w:r>
      <w:r w:rsidR="000A2A01" w:rsidRPr="007114AF">
        <w:t xml:space="preserve"> </w:t>
      </w:r>
      <w:r w:rsidRPr="007114AF">
        <w:t>Kërkesa për energji në ndërtesat ekzistuese pritet të zvogëlohet pavarësisht rritjes së konfortit termik për shkak të përmirësimeve qe lidhen me periudhën e përdorimit të ndërtesës duke mare në konsiderate ritmin e rinovimit t</w:t>
      </w:r>
      <w:r w:rsidR="00362F59">
        <w:t>ë</w:t>
      </w:r>
      <w:r w:rsidRPr="007114AF">
        <w:t xml:space="preserve"> ndërtesave të stokut ekzistues me 2.8%/vit.</w:t>
      </w:r>
      <w:r w:rsidR="000A2A01" w:rsidRPr="007114AF">
        <w:t xml:space="preserve"> </w:t>
      </w:r>
    </w:p>
    <w:p w14:paraId="6EDCFD80" w14:textId="348E5701" w:rsidR="00A9766F" w:rsidRPr="007114AF" w:rsidRDefault="00AB4345" w:rsidP="00206985">
      <w:pPr>
        <w:pStyle w:val="TEKSTI"/>
      </w:pPr>
      <w:r w:rsidRPr="007114AF">
        <w:t>Është</w:t>
      </w:r>
      <w:r w:rsidR="00A9766F" w:rsidRPr="007114AF">
        <w:t xml:space="preserve"> e domosdoshme qe kodet energjetike të ndërtimit q</w:t>
      </w:r>
      <w:r>
        <w:t>ë</w:t>
      </w:r>
      <w:r w:rsidR="00A9766F" w:rsidRPr="007114AF">
        <w:t xml:space="preserve"> do t</w:t>
      </w:r>
      <w:r>
        <w:t>ë</w:t>
      </w:r>
      <w:r w:rsidR="00A9766F" w:rsidRPr="007114AF">
        <w:t xml:space="preserve"> miratohen brenda 2018 dhe ne në vitin 2022 duhet t</w:t>
      </w:r>
      <w:r>
        <w:t>ë</w:t>
      </w:r>
      <w:r w:rsidR="00A9766F" w:rsidRPr="007114AF">
        <w:t xml:space="preserve"> parashikohet nj</w:t>
      </w:r>
      <w:r>
        <w:t>ë</w:t>
      </w:r>
      <w:r w:rsidR="00A9766F" w:rsidRPr="007114AF">
        <w:t xml:space="preserve"> kod energjetik edhe më i rreptë, me kërkesa që </w:t>
      </w:r>
      <w:r w:rsidRPr="007114AF">
        <w:t>përfshijnë</w:t>
      </w:r>
      <w:r w:rsidR="00A9766F" w:rsidRPr="007114AF">
        <w:t xml:space="preserve"> jo </w:t>
      </w:r>
      <w:r w:rsidRPr="007114AF">
        <w:t>vetëm</w:t>
      </w:r>
      <w:r w:rsidR="00A9766F" w:rsidRPr="007114AF">
        <w:t xml:space="preserve"> </w:t>
      </w:r>
      <w:r w:rsidRPr="007114AF">
        <w:t>ndërhyrjet</w:t>
      </w:r>
      <w:r w:rsidR="00A9766F" w:rsidRPr="007114AF">
        <w:t xml:space="preserve"> n</w:t>
      </w:r>
      <w:r w:rsidR="0000517F">
        <w:t>ë</w:t>
      </w:r>
      <w:r w:rsidR="00A9766F" w:rsidRPr="007114AF">
        <w:t xml:space="preserve"> izolimin termik</w:t>
      </w:r>
      <w:r>
        <w:t>,</w:t>
      </w:r>
      <w:r w:rsidR="00A9766F" w:rsidRPr="007114AF">
        <w:t xml:space="preserve"> por edhe vendosjen e sistemit termik me efic</w:t>
      </w:r>
      <w:r>
        <w:t>i</w:t>
      </w:r>
      <w:r w:rsidR="00A9766F" w:rsidRPr="007114AF">
        <w:t>enc</w:t>
      </w:r>
      <w:r>
        <w:t>ë</w:t>
      </w:r>
      <w:r w:rsidR="00A9766F" w:rsidRPr="007114AF">
        <w:t xml:space="preserve"> t</w:t>
      </w:r>
      <w:r>
        <w:t>ë</w:t>
      </w:r>
      <w:r w:rsidR="00A9766F" w:rsidRPr="007114AF">
        <w:t xml:space="preserve"> lart</w:t>
      </w:r>
      <w:r>
        <w:t>ë</w:t>
      </w:r>
      <w:r w:rsidR="00A9766F" w:rsidRPr="007114AF">
        <w:t>.</w:t>
      </w:r>
      <w:r w:rsidR="000A2A01" w:rsidRPr="007114AF">
        <w:t xml:space="preserve"> </w:t>
      </w:r>
      <w:r w:rsidR="00A9766F" w:rsidRPr="007114AF">
        <w:t>Me qëllim që tregu të përgatitet, Shqipëria duhet të zbatojë kreditë me interesa të ul</w:t>
      </w:r>
      <w:r>
        <w:t>ë</w:t>
      </w:r>
      <w:r w:rsidR="00A9766F" w:rsidRPr="007114AF">
        <w:t xml:space="preserve">ta për ndërtimin e ndërtesave të reja në mënyrë të arrijë performancën e kërkuar prej kodit të ndërtesave të vitit 2022. </w:t>
      </w:r>
    </w:p>
    <w:p w14:paraId="6EDCFD81" w14:textId="20A6C93A" w:rsidR="00A9766F" w:rsidRPr="007114AF" w:rsidRDefault="00A9766F" w:rsidP="00206985">
      <w:pPr>
        <w:pStyle w:val="TEKSTI"/>
      </w:pPr>
      <w:r w:rsidRPr="007114AF">
        <w:t>Për të siguruar kryerjen e rinovimit t</w:t>
      </w:r>
      <w:r w:rsidR="00AB4345">
        <w:t>ë</w:t>
      </w:r>
      <w:r w:rsidRPr="007114AF">
        <w:t xml:space="preserve"> </w:t>
      </w:r>
      <w:r w:rsidR="00AB4345" w:rsidRPr="007114AF">
        <w:t>ndërtesave</w:t>
      </w:r>
      <w:r w:rsidRPr="007114AF">
        <w:t xml:space="preserve"> t</w:t>
      </w:r>
      <w:r w:rsidR="00AB4345">
        <w:t>ë</w:t>
      </w:r>
      <w:r w:rsidRPr="007114AF">
        <w:t xml:space="preserve"> stokut e</w:t>
      </w:r>
      <w:r w:rsidR="00AB4345">
        <w:t>k</w:t>
      </w:r>
      <w:r w:rsidRPr="007114AF">
        <w:t>zistues, Shqipëria duhet të fusë stimujt financiarë për investitorët e sektorit të ndërtesave të banimit. Deri në vitin 2022, duhet të jepen stimujt financiarë, në mënyrë që të arrihet shkalla e performancës sipas modelit me karbon t</w:t>
      </w:r>
      <w:r w:rsidR="00362F59">
        <w:t>ë</w:t>
      </w:r>
      <w:r w:rsidRPr="007114AF">
        <w:t xml:space="preserve"> ul</w:t>
      </w:r>
      <w:r w:rsidR="00362F59">
        <w:t>ë</w:t>
      </w:r>
      <w:r w:rsidRPr="007114AF">
        <w:t xml:space="preserve">t. </w:t>
      </w:r>
    </w:p>
    <w:p w14:paraId="6EDCFD82" w14:textId="398282B9" w:rsidR="00A9766F" w:rsidRPr="002F2257" w:rsidRDefault="00A9766F" w:rsidP="00206985">
      <w:pPr>
        <w:pStyle w:val="TEKSTI"/>
        <w:rPr>
          <w:b/>
        </w:rPr>
      </w:pPr>
      <w:r w:rsidRPr="002F2257">
        <w:rPr>
          <w:b/>
        </w:rPr>
        <w:t xml:space="preserve">Stoku i </w:t>
      </w:r>
      <w:r w:rsidR="00BB4743" w:rsidRPr="002F2257">
        <w:rPr>
          <w:b/>
        </w:rPr>
        <w:t>ndërtesave</w:t>
      </w:r>
      <w:r w:rsidRPr="002F2257">
        <w:rPr>
          <w:b/>
        </w:rPr>
        <w:t xml:space="preserve"> </w:t>
      </w:r>
      <w:r w:rsidR="002F2257" w:rsidRPr="002F2257">
        <w:rPr>
          <w:b/>
        </w:rPr>
        <w:t xml:space="preserve">publike </w:t>
      </w:r>
      <w:r w:rsidRPr="002F2257">
        <w:rPr>
          <w:b/>
        </w:rPr>
        <w:t>dhe efic</w:t>
      </w:r>
      <w:r w:rsidR="00BB4743" w:rsidRPr="002F2257">
        <w:rPr>
          <w:b/>
        </w:rPr>
        <w:t>i</w:t>
      </w:r>
      <w:r w:rsidRPr="002F2257">
        <w:rPr>
          <w:b/>
        </w:rPr>
        <w:t xml:space="preserve">enca e </w:t>
      </w:r>
      <w:r w:rsidR="00BB4743" w:rsidRPr="002F2257">
        <w:rPr>
          <w:b/>
        </w:rPr>
        <w:t>energjisë</w:t>
      </w:r>
      <w:r w:rsidRPr="002F2257">
        <w:rPr>
          <w:b/>
        </w:rPr>
        <w:t xml:space="preserve"> 2020</w:t>
      </w:r>
    </w:p>
    <w:p w14:paraId="6EDCFD83" w14:textId="7EF3DD4C" w:rsidR="00A9766F" w:rsidRPr="002F2257" w:rsidRDefault="00BB4743" w:rsidP="00206985">
      <w:pPr>
        <w:pStyle w:val="TEKSTI"/>
      </w:pPr>
      <w:r w:rsidRPr="002F2257">
        <w:t>Një</w:t>
      </w:r>
      <w:r w:rsidR="00A9766F" w:rsidRPr="002F2257">
        <w:t xml:space="preserve"> studim i financuar nga ADA (Austrian Developement Agency) siguroi informacion për modelimin sektorial të stokut të ndërtesave publike të Shqipërisë me qellim strategjinë e rinovimit të tyre me Efi</w:t>
      </w:r>
      <w:r w:rsidRPr="002F2257">
        <w:t>ci</w:t>
      </w:r>
      <w:r w:rsidR="00A9766F" w:rsidRPr="002F2257">
        <w:t xml:space="preserve">encën e </w:t>
      </w:r>
      <w:r w:rsidRPr="002F2257">
        <w:t>Energjisë</w:t>
      </w:r>
      <w:r w:rsidR="00A9766F" w:rsidRPr="002F2257">
        <w:t>. Një element kyç i arritur në këtë studim është identifikimi i tipologjisë së ndërtesave publike për Shqipërinë, i cili nuk ka ekzistuar më parë. Bazuar në studim janë identifikuar</w:t>
      </w:r>
      <w:r w:rsidR="000A2A01" w:rsidRPr="002F2257">
        <w:t xml:space="preserve"> </w:t>
      </w:r>
      <w:r w:rsidR="00A9766F" w:rsidRPr="002F2257">
        <w:t>gjashtë kategori në bazë sipas funksionit të ndërtesave Publike qe mirëmbahen nga buxheti qendror dhe Lokal: (i) konvikte, (ii) spitale, (iii) kopshte, (iv) zyra, (v) shkolla dhe (vi) universitete.</w:t>
      </w:r>
      <w:r w:rsidR="000A2A01" w:rsidRPr="002F2257">
        <w:t xml:space="preserve"> </w:t>
      </w:r>
      <w:r w:rsidR="00A9766F" w:rsidRPr="002F2257">
        <w:t xml:space="preserve">Është vlerësuar kërkesa për energji për çdo kategori. </w:t>
      </w:r>
    </w:p>
    <w:p w14:paraId="6EDCFD84" w14:textId="2162D12D" w:rsidR="00A9766F" w:rsidRPr="002F2257" w:rsidRDefault="00A9766F" w:rsidP="00206985">
      <w:pPr>
        <w:pStyle w:val="TEKSTI"/>
      </w:pPr>
      <w:r w:rsidRPr="002F2257">
        <w:t>Është bërë identifikimi dhe kosto e përfitimeve të tjera lidhur me përmirësimin e efi</w:t>
      </w:r>
      <w:r w:rsidR="00D565A2" w:rsidRPr="002F2257">
        <w:t>ci</w:t>
      </w:r>
      <w:r w:rsidRPr="002F2257">
        <w:t>encës termike përtej kursimeve të kostove të energjisë. Këto përfitime përfshijnë, përveç të tjerave (i) komfortin</w:t>
      </w:r>
      <w:r w:rsidR="000A2A01" w:rsidRPr="002F2257">
        <w:t xml:space="preserve"> </w:t>
      </w:r>
      <w:r w:rsidRPr="002F2257">
        <w:t>termik, (ii) shmangiet e çlirimeve të</w:t>
      </w:r>
      <w:r w:rsidR="000A2A01" w:rsidRPr="002F2257">
        <w:t xml:space="preserve"> </w:t>
      </w:r>
      <w:r w:rsidRPr="002F2257">
        <w:t>CO2, (iii) shmangie e efekteve</w:t>
      </w:r>
      <w:r w:rsidR="000A2A01" w:rsidRPr="002F2257">
        <w:t xml:space="preserve"> </w:t>
      </w:r>
      <w:r w:rsidRPr="002F2257">
        <w:t>ekonomike nga ndotësve ajrit, (iv) punësimin, dhe (v) rritjen ekonomike</w:t>
      </w:r>
    </w:p>
    <w:p w14:paraId="6EDCFD85" w14:textId="139E0B7A" w:rsidR="00A9766F" w:rsidRPr="007114AF" w:rsidRDefault="00A9766F" w:rsidP="00206985">
      <w:pPr>
        <w:pStyle w:val="TEKSTI"/>
      </w:pPr>
      <w:r w:rsidRPr="002F2257">
        <w:t>U vlerësuan</w:t>
      </w:r>
      <w:r w:rsidR="000A2A01" w:rsidRPr="002F2257">
        <w:t xml:space="preserve"> </w:t>
      </w:r>
      <w:r w:rsidRPr="002F2257">
        <w:t>6.6 milionë m</w:t>
      </w:r>
      <w:r w:rsidRPr="002F2257">
        <w:rPr>
          <w:vertAlign w:val="superscript"/>
        </w:rPr>
        <w:t>2</w:t>
      </w:r>
      <w:r w:rsidRPr="002F2257">
        <w:t xml:space="preserve"> sipërfaqe e target grupit të llojeve kryesore të ndërtesave publike, shifër qe nuk pritet të ndryshoj</w:t>
      </w:r>
      <w:r w:rsidR="00D565A2" w:rsidRPr="002F2257">
        <w:t>ë</w:t>
      </w:r>
      <w:r w:rsidRPr="002F2257">
        <w:t xml:space="preserve"> në m</w:t>
      </w:r>
      <w:r w:rsidR="00D565A2" w:rsidRPr="002F2257">
        <w:t>ë</w:t>
      </w:r>
      <w:r w:rsidRPr="002F2257">
        <w:t>nyr</w:t>
      </w:r>
      <w:r w:rsidR="00D565A2" w:rsidRPr="002F2257">
        <w:t>ë</w:t>
      </w:r>
      <w:r w:rsidRPr="002F2257">
        <w:t xml:space="preserve"> të konsiderueshme. Nd</w:t>
      </w:r>
      <w:r w:rsidR="00D565A2" w:rsidRPr="002F2257">
        <w:t>ë</w:t>
      </w:r>
      <w:r w:rsidRPr="002F2257">
        <w:t>rkoh</w:t>
      </w:r>
      <w:r w:rsidR="00D565A2" w:rsidRPr="002F2257">
        <w:t>ë</w:t>
      </w:r>
      <w:r w:rsidRPr="002F2257">
        <w:t xml:space="preserve"> q</w:t>
      </w:r>
      <w:r w:rsidR="00D565A2" w:rsidRPr="002F2257">
        <w:t>ë</w:t>
      </w:r>
      <w:r w:rsidRPr="002F2257">
        <w:t xml:space="preserve"> klasifikimi sipas </w:t>
      </w:r>
      <w:r w:rsidRPr="002F2257">
        <w:rPr>
          <w:b/>
        </w:rPr>
        <w:t>Tipologjisë tregon se r</w:t>
      </w:r>
      <w:r w:rsidRPr="002F2257">
        <w:t>reth 75% ose ¾ e sipërfaqes është e zënë nga ndërtesa që përdoren për qëllime arsimore, 13</w:t>
      </w:r>
      <w:r w:rsidR="002F2257" w:rsidRPr="002F2257">
        <w:t>% zyrat dhe 11% spitalet</w:t>
      </w:r>
      <w:r w:rsidRPr="002F2257">
        <w:t>. Analiza tregon se 57%</w:t>
      </w:r>
      <w:r w:rsidR="003F649E" w:rsidRPr="002F2257">
        <w:t>,</w:t>
      </w:r>
      <w:r w:rsidRPr="002F2257">
        <w:t>është e vendosur në zonën e klimës A, 26% në zonën klimatike B dhe 17% është në zonën klimatike C.</w:t>
      </w:r>
      <w:r w:rsidRPr="007114AF">
        <w:t xml:space="preserve"> </w:t>
      </w:r>
    </w:p>
    <w:p w14:paraId="6EDCFD86" w14:textId="2DDE250C" w:rsidR="00A9766F" w:rsidRPr="007114AF" w:rsidRDefault="00A9766F" w:rsidP="00206985">
      <w:pPr>
        <w:pStyle w:val="TEKSTI"/>
        <w:rPr>
          <w:b/>
        </w:rPr>
      </w:pPr>
      <w:r w:rsidRPr="007114AF">
        <w:rPr>
          <w:b/>
        </w:rPr>
        <w:t xml:space="preserve">Kosto e </w:t>
      </w:r>
      <w:r w:rsidR="002F2257" w:rsidRPr="007114AF">
        <w:rPr>
          <w:b/>
        </w:rPr>
        <w:t xml:space="preserve">rikonstruksionit </w:t>
      </w:r>
      <w:r w:rsidRPr="007114AF">
        <w:rPr>
          <w:b/>
        </w:rPr>
        <w:t>dhe prioritete</w:t>
      </w:r>
    </w:p>
    <w:p w14:paraId="6EDCFD87" w14:textId="77777777" w:rsidR="00A9766F" w:rsidRPr="007114AF" w:rsidRDefault="00A9766F" w:rsidP="00206985">
      <w:pPr>
        <w:pStyle w:val="TEKSTI"/>
      </w:pPr>
      <w:r w:rsidRPr="007114AF">
        <w:t xml:space="preserve">Prioriteti sipas kërkesës për investim klasifikohet fillimisht për Kopshtet, të ndjekur nga Shkollat, Spitalet dhe Zyrat. Investimi më i madh është i nevojshëm në zonën klimaterike A. </w:t>
      </w:r>
    </w:p>
    <w:p w14:paraId="6EDCFD88" w14:textId="07292898" w:rsidR="00A9766F" w:rsidRPr="007114AF" w:rsidRDefault="00A9766F" w:rsidP="00206985">
      <w:pPr>
        <w:pStyle w:val="TEKSTI"/>
      </w:pPr>
      <w:r w:rsidRPr="007114AF">
        <w:t>Kursimet më të larta të kërkesës për energji primare dhe fundore, si dhe reduktimet e emetimeve t</w:t>
      </w:r>
      <w:r w:rsidR="00043796">
        <w:t>ë</w:t>
      </w:r>
      <w:r w:rsidRPr="007114AF">
        <w:t xml:space="preserve"> CO</w:t>
      </w:r>
      <w:r w:rsidRPr="00043796">
        <w:rPr>
          <w:vertAlign w:val="subscript"/>
        </w:rPr>
        <w:t>2</w:t>
      </w:r>
      <w:r w:rsidRPr="007114AF">
        <w:t xml:space="preserve"> për m</w:t>
      </w:r>
      <w:r w:rsidRPr="007114AF">
        <w:rPr>
          <w:vertAlign w:val="superscript"/>
        </w:rPr>
        <w:t>2</w:t>
      </w:r>
      <w:r w:rsidRPr="007114AF">
        <w:t xml:space="preserve"> janë pa mëdyshje në ndërtesat e zonës klimatike C. Këta tregues janë dy herë më të vegjël për të zonat klimatike A dhe B, dallimi midis tyre nuk është dhe aq i rëndësishëm. Kursimet me te larta te kërkesës për energji primare dhe për m</w:t>
      </w:r>
      <w:r w:rsidRPr="007114AF">
        <w:rPr>
          <w:vertAlign w:val="superscript"/>
        </w:rPr>
        <w:t>2</w:t>
      </w:r>
      <w:r w:rsidRPr="007114AF">
        <w:t xml:space="preserve"> janë në konvikte, spitale dhe zyra</w:t>
      </w:r>
    </w:p>
    <w:p w14:paraId="6EDCFD89" w14:textId="5EAC9769" w:rsidR="00A9766F" w:rsidRPr="007114AF" w:rsidRDefault="00A9766F" w:rsidP="00206985">
      <w:pPr>
        <w:pStyle w:val="TEKSTI"/>
      </w:pPr>
      <w:r w:rsidRPr="007114AF">
        <w:t>Zona Klimatike A zë pjesën më të madhe të kursimeve finale të energjisë në vlera absolute për shkak të numrit më të madh të ndërtesave në zonën klimatike A se sa në zonën klimatike C. Për sa i përket potencialit absolut për kursime fillestare dhe përfundimtare</w:t>
      </w:r>
      <w:r w:rsidR="003F649E" w:rsidRPr="007114AF">
        <w:t>,</w:t>
      </w:r>
      <w:r w:rsidRPr="007114AF">
        <w:t xml:space="preserve"> kopshtet janë</w:t>
      </w:r>
      <w:r w:rsidR="008D30FC" w:rsidRPr="007114AF">
        <w:t xml:space="preserve"> </w:t>
      </w:r>
      <w:r w:rsidRPr="007114AF">
        <w:t>n</w:t>
      </w:r>
      <w:r w:rsidR="0000517F">
        <w:t>ë</w:t>
      </w:r>
      <w:r w:rsidRPr="007114AF">
        <w:t xml:space="preserve"> radhë të parë, te ndjekur nga shkollat </w:t>
      </w:r>
      <w:r w:rsidRPr="007114AF">
        <w:rPr>
          <w:rFonts w:ascii="Times New Roman" w:hAnsi="Times New Roman" w:cs="Times New Roman"/>
        </w:rPr>
        <w:t>​​</w:t>
      </w:r>
      <w:r w:rsidRPr="007114AF">
        <w:t>dhe spitalet. N</w:t>
      </w:r>
      <w:r w:rsidRPr="007114AF">
        <w:rPr>
          <w:rFonts w:cs="Garamond"/>
        </w:rPr>
        <w:t>ë</w:t>
      </w:r>
      <w:r w:rsidRPr="007114AF">
        <w:t xml:space="preserve"> kushtet e kursimeve t</w:t>
      </w:r>
      <w:r w:rsidRPr="007114AF">
        <w:rPr>
          <w:rFonts w:cs="Garamond"/>
        </w:rPr>
        <w:t>ë</w:t>
      </w:r>
      <w:r w:rsidRPr="007114AF">
        <w:t xml:space="preserve"> mundshme t</w:t>
      </w:r>
      <w:r w:rsidRPr="007114AF">
        <w:rPr>
          <w:rFonts w:cs="Garamond"/>
        </w:rPr>
        <w:t>ë</w:t>
      </w:r>
      <w:r w:rsidRPr="007114AF">
        <w:t xml:space="preserve"> shkarkimeve CO2, potenciali m</w:t>
      </w:r>
      <w:r w:rsidRPr="007114AF">
        <w:rPr>
          <w:rFonts w:cs="Garamond"/>
        </w:rPr>
        <w:t>ë</w:t>
      </w:r>
      <w:r w:rsidRPr="007114AF">
        <w:t xml:space="preserve"> i madh </w:t>
      </w:r>
      <w:r w:rsidRPr="007114AF">
        <w:rPr>
          <w:rFonts w:cs="Garamond"/>
        </w:rPr>
        <w:t>ë</w:t>
      </w:r>
      <w:r w:rsidRPr="007114AF">
        <w:t>sht</w:t>
      </w:r>
      <w:r w:rsidRPr="007114AF">
        <w:rPr>
          <w:rFonts w:cs="Garamond"/>
        </w:rPr>
        <w:t>ë</w:t>
      </w:r>
      <w:r w:rsidRPr="007114AF">
        <w:t xml:space="preserve"> n</w:t>
      </w:r>
      <w:r w:rsidRPr="007114AF">
        <w:rPr>
          <w:rFonts w:cs="Garamond"/>
        </w:rPr>
        <w:t>ë</w:t>
      </w:r>
      <w:r w:rsidRPr="007114AF">
        <w:t xml:space="preserve"> spitale dhe kopshte.</w:t>
      </w:r>
    </w:p>
    <w:p w14:paraId="6EDCFD8A" w14:textId="51C9C9D6" w:rsidR="00A9766F" w:rsidRPr="007114AF" w:rsidRDefault="00A9766F" w:rsidP="00206985">
      <w:pPr>
        <w:pStyle w:val="TEKSTI"/>
      </w:pPr>
      <w:r w:rsidRPr="007114AF">
        <w:t>Kursimet Mesatare të Energjisë sipas jetëgjatësisë së rikonstruktimit janë 4.4 EUR/m</w:t>
      </w:r>
      <w:r w:rsidRPr="007114AF">
        <w:rPr>
          <w:vertAlign w:val="superscript"/>
        </w:rPr>
        <w:t>2</w:t>
      </w:r>
      <w:r w:rsidRPr="007114AF">
        <w:t xml:space="preserve"> në vit, ose 76 EUR/m</w:t>
      </w:r>
      <w:r w:rsidRPr="007114AF">
        <w:rPr>
          <w:vertAlign w:val="superscript"/>
        </w:rPr>
        <w:t>2</w:t>
      </w:r>
      <w:r w:rsidRPr="007114AF">
        <w:t xml:space="preserve"> gjatë gjithë jetëgjatësisë. Nd</w:t>
      </w:r>
      <w:r w:rsidR="000E3890">
        <w:t>ë</w:t>
      </w:r>
      <w:r w:rsidRPr="007114AF">
        <w:t xml:space="preserve">rsa Totali i Kursimeve te kostos së energjisë është </w:t>
      </w:r>
      <w:r w:rsidRPr="007114AF">
        <w:lastRenderedPageBreak/>
        <w:t xml:space="preserve">29 </w:t>
      </w:r>
      <w:r w:rsidR="001C47F0" w:rsidRPr="007114AF">
        <w:t xml:space="preserve">milionë </w:t>
      </w:r>
      <w:r w:rsidRPr="007114AF">
        <w:t>EUR/vit dhe 502 milionë EUR gjatë jetëgjatësisë. Pothuajse 45% e saj është në zonën klimaterike</w:t>
      </w:r>
      <w:r w:rsidR="000A2A01" w:rsidRPr="007114AF">
        <w:t xml:space="preserve"> </w:t>
      </w:r>
      <w:r w:rsidRPr="007114AF">
        <w:t>A për shkak të numrit te madh të ndërtesave. Kursimet më të larta te kostos së energjisë për m</w:t>
      </w:r>
      <w:r w:rsidRPr="007114AF">
        <w:rPr>
          <w:vertAlign w:val="superscript"/>
        </w:rPr>
        <w:t>2</w:t>
      </w:r>
      <w:r w:rsidRPr="007114AF">
        <w:t xml:space="preserve"> janë të ofruara nga spitalet, te ndjekur nga konviktet. Shpenzimet e kursyera të energjisë për m</w:t>
      </w:r>
      <w:r w:rsidRPr="007114AF">
        <w:rPr>
          <w:vertAlign w:val="superscript"/>
        </w:rPr>
        <w:t>2</w:t>
      </w:r>
      <w:r w:rsidRPr="007114AF">
        <w:t xml:space="preserve"> në zonën klimaterike</w:t>
      </w:r>
      <w:r w:rsidR="000A2A01" w:rsidRPr="007114AF">
        <w:t xml:space="preserve"> </w:t>
      </w:r>
      <w:r w:rsidRPr="007114AF">
        <w:t>C janë më shumë se dy herë më të larta se ato në zonën klimaterike A dhe janë 65% më të larta se ato në zonën klimaterike B.</w:t>
      </w:r>
    </w:p>
    <w:p w14:paraId="6EDCFD8B" w14:textId="3F94FD39" w:rsidR="00A9766F" w:rsidRPr="007114AF" w:rsidRDefault="00A9766F" w:rsidP="00206985">
      <w:pPr>
        <w:pStyle w:val="TEKSTI"/>
      </w:pPr>
      <w:r w:rsidRPr="007114AF">
        <w:t>Rikonstruksionet e universiteteve nuk janë financiarisht të realizueshme, nëse</w:t>
      </w:r>
      <w:r w:rsidR="000A2A01" w:rsidRPr="007114AF">
        <w:t xml:space="preserve"> </w:t>
      </w:r>
      <w:r w:rsidRPr="007114AF">
        <w:t>vetëm shpenzimet e ruajtjes se energjisë do të merren si përfitime (vetëshlyerje më të lartë se</w:t>
      </w:r>
      <w:r w:rsidR="000A2A01" w:rsidRPr="007114AF">
        <w:t xml:space="preserve"> </w:t>
      </w:r>
      <w:r w:rsidRPr="007114AF">
        <w:t>jetëgjat</w:t>
      </w:r>
      <w:r w:rsidR="000E3890">
        <w:t>ë</w:t>
      </w:r>
      <w:r w:rsidRPr="007114AF">
        <w:t>sia, raporti kosto-benefit më i lartë se 1, NPV negative, IRR negative). Gjithashtu, rikonstruksionet e shkollave dhe kopshteve, nuk do të jenë financiarisht tërheqë</w:t>
      </w:r>
      <w:r w:rsidR="005D299A">
        <w:t>se (NPV negative, raporti kosto</w:t>
      </w:r>
      <w:r w:rsidRPr="007114AF">
        <w:t xml:space="preserve">-benefit më e lartë se 1). Konviktet dhe spitalet janë financiarisht të realizueshme për rikonstruksione ndërsa zyrat janë në kufi të fizibilitetit. </w:t>
      </w:r>
    </w:p>
    <w:p w14:paraId="6EDCFD8C" w14:textId="3BAA468E" w:rsidR="00A9766F" w:rsidRPr="007114AF" w:rsidRDefault="000E3890" w:rsidP="00206985">
      <w:pPr>
        <w:pStyle w:val="TEKSTI"/>
      </w:pPr>
      <w:r w:rsidRPr="007114AF">
        <w:t>Veçanërisht</w:t>
      </w:r>
      <w:r w:rsidR="00A9766F" w:rsidRPr="007114AF">
        <w:t xml:space="preserve"> të larta janë edhe efektet në GDP dhe punësim. Nëse të gjitha këto përfitime do të merren parasysh në analizën financiare, kost-efektiviteti i rikonstruksioneve të efic</w:t>
      </w:r>
      <w:r>
        <w:t>i</w:t>
      </w:r>
      <w:r w:rsidR="00A9766F" w:rsidRPr="007114AF">
        <w:t>encës termale i të gjitha llojeve t</w:t>
      </w:r>
      <w:r w:rsidR="00F3633F">
        <w:t>ë</w:t>
      </w:r>
      <w:r w:rsidR="00A9766F" w:rsidRPr="007114AF">
        <w:t xml:space="preserve"> ndërtesave publike do të jetë shumë më i lartë.</w:t>
      </w:r>
    </w:p>
    <w:p w14:paraId="6EDCFD8D" w14:textId="1715E049" w:rsidR="00A9766F" w:rsidRPr="007114AF" w:rsidRDefault="00A9766F" w:rsidP="00206985">
      <w:pPr>
        <w:pStyle w:val="TEKSTI"/>
        <w:rPr>
          <w:b/>
        </w:rPr>
      </w:pPr>
      <w:r w:rsidRPr="007114AF">
        <w:rPr>
          <w:b/>
        </w:rPr>
        <w:t xml:space="preserve">Skenarët e </w:t>
      </w:r>
      <w:r w:rsidR="00043796" w:rsidRPr="007114AF">
        <w:rPr>
          <w:b/>
        </w:rPr>
        <w:t xml:space="preserve">rinovimit </w:t>
      </w:r>
      <w:r w:rsidRPr="007114AF">
        <w:rPr>
          <w:b/>
        </w:rPr>
        <w:t>të ndërtesave publike të parashikuara në PKVEE 2018</w:t>
      </w:r>
      <w:r w:rsidR="00AA2C6A">
        <w:t>–</w:t>
      </w:r>
      <w:r w:rsidRPr="007114AF">
        <w:rPr>
          <w:b/>
        </w:rPr>
        <w:t>2020</w:t>
      </w:r>
    </w:p>
    <w:p w14:paraId="6EDCFD8E" w14:textId="77777777" w:rsidR="00A9766F" w:rsidRPr="007114AF" w:rsidRDefault="00A9766F" w:rsidP="00206985">
      <w:pPr>
        <w:pStyle w:val="TEKSTI"/>
      </w:pPr>
      <w:r w:rsidRPr="007114AF">
        <w:t xml:space="preserve">Nga modelimi, janë identifikuar 2 skenarë të mundshëm që mund të përfshihen në PKVEE. </w:t>
      </w:r>
    </w:p>
    <w:p w14:paraId="6EDCFD8F" w14:textId="78F2511F" w:rsidR="00A9766F" w:rsidRPr="007114AF" w:rsidRDefault="00A9766F" w:rsidP="00206985">
      <w:pPr>
        <w:pStyle w:val="TEKSTI"/>
      </w:pPr>
      <w:r w:rsidRPr="007114AF">
        <w:rPr>
          <w:b/>
        </w:rPr>
        <w:t>Skenari i</w:t>
      </w:r>
      <w:r w:rsidR="000A2A01" w:rsidRPr="007114AF">
        <w:rPr>
          <w:b/>
        </w:rPr>
        <w:t xml:space="preserve"> </w:t>
      </w:r>
      <w:r w:rsidRPr="007114AF">
        <w:rPr>
          <w:b/>
        </w:rPr>
        <w:t xml:space="preserve">Parë, </w:t>
      </w:r>
      <w:r w:rsidRPr="007114AF">
        <w:t>fokusohet në tipologjinë e ndërtesave ku rikonstruksionet janë me kosto efektive më të lartë dhe të cilat mund të zgjidhen si prioritet nga pikëpamja sociale, të cilat janë, Spitale dhe Kopshtet për të cilat parashikohet rikonstruktimi i 545,000 m</w:t>
      </w:r>
      <w:r w:rsidRPr="007114AF">
        <w:rPr>
          <w:vertAlign w:val="superscript"/>
        </w:rPr>
        <w:t>2</w:t>
      </w:r>
      <w:r w:rsidRPr="007114AF">
        <w:t>, në zonën klimatike C ku kosto totale e investimit është 40 Mil. EUR në periudhën 2018-2020 dhe përbën rreth 8% të stokut total të ndërtesave publike ose 2% në vit (10 Mil. EUR/Vit)</w:t>
      </w:r>
    </w:p>
    <w:p w14:paraId="6EDCFD90" w14:textId="0A1C93A5" w:rsidR="00A9766F" w:rsidRPr="007114AF" w:rsidRDefault="00A9766F" w:rsidP="00206985">
      <w:pPr>
        <w:pStyle w:val="TEKSTI"/>
      </w:pPr>
      <w:r w:rsidRPr="007114AF">
        <w:t xml:space="preserve">Të gjitha kopshtet dhe spitalet në zonën e klimës C do të rikonstruktohen duke pasur parasysh nivelin </w:t>
      </w:r>
      <w:r w:rsidRPr="007114AF">
        <w:rPr>
          <w:b/>
        </w:rPr>
        <w:t xml:space="preserve">e moderuar </w:t>
      </w:r>
      <w:r w:rsidRPr="007114AF">
        <w:t>të performancës të përcaktuar masat për përmirësimin e performanc</w:t>
      </w:r>
      <w:r w:rsidR="000E3890">
        <w:t>ë</w:t>
      </w:r>
      <w:r w:rsidRPr="007114AF">
        <w:t>s s</w:t>
      </w:r>
      <w:r w:rsidR="000E3890">
        <w:t>ë</w:t>
      </w:r>
      <w:r w:rsidRPr="007114AF">
        <w:t xml:space="preserve"> energjisë.</w:t>
      </w:r>
    </w:p>
    <w:p w14:paraId="6EDCFD91" w14:textId="02DD50A9" w:rsidR="00A9766F" w:rsidRPr="007114AF" w:rsidRDefault="00A9766F" w:rsidP="00206985">
      <w:pPr>
        <w:pStyle w:val="TEKSTI"/>
      </w:pPr>
      <w:r w:rsidRPr="007114AF">
        <w:rPr>
          <w:b/>
        </w:rPr>
        <w:t xml:space="preserve">Skenari i Dytë, </w:t>
      </w:r>
      <w:r w:rsidRPr="007114AF">
        <w:t>parashikon të njëjtën sasi investimi të shpërndarë në të gjitha zonat në mënyrë proporcionale me ndarjen e sipërfaqes së ndërtesave sipas tipit të ndërtesave.</w:t>
      </w:r>
      <w:r w:rsidRPr="007114AF">
        <w:br/>
        <w:t>Ky skenar sugjeron 530,000 m</w:t>
      </w:r>
      <w:r w:rsidRPr="007114AF">
        <w:rPr>
          <w:vertAlign w:val="superscript"/>
        </w:rPr>
        <w:t>2</w:t>
      </w:r>
      <w:r w:rsidRPr="007114AF">
        <w:t xml:space="preserve"> sipërfaqe të rikonstruktuar të shpërndarë proporcionalisht në tre zonat ku kosto</w:t>
      </w:r>
      <w:r w:rsidR="000A2A01" w:rsidRPr="007114AF">
        <w:t xml:space="preserve"> </w:t>
      </w:r>
      <w:r w:rsidRPr="007114AF">
        <w:t>40 mil. EUR do të aplikohet në 8 % të sipërfaqes se ndërtimeve ose 2%/vit qe p</w:t>
      </w:r>
      <w:r w:rsidR="00F3633F">
        <w:t>ë</w:t>
      </w:r>
      <w:r w:rsidRPr="007114AF">
        <w:t>rb</w:t>
      </w:r>
      <w:r w:rsidR="00F3633F">
        <w:t>ë</w:t>
      </w:r>
      <w:r w:rsidRPr="007114AF">
        <w:t>n 10 mil. EUR në Vit</w:t>
      </w:r>
    </w:p>
    <w:p w14:paraId="6EDCFD92" w14:textId="77777777" w:rsidR="00A9766F" w:rsidRPr="007114AF" w:rsidRDefault="00A9766F" w:rsidP="00206985">
      <w:pPr>
        <w:pStyle w:val="TEKSTI"/>
        <w:rPr>
          <w:b/>
        </w:rPr>
      </w:pPr>
      <w:r w:rsidRPr="007114AF">
        <w:rPr>
          <w:b/>
        </w:rPr>
        <w:t>Aktivitetet e planifikuara për PKVEE-në e re</w:t>
      </w:r>
    </w:p>
    <w:p w14:paraId="6EDCFD93" w14:textId="76DC6364" w:rsidR="00A9766F" w:rsidRPr="007114AF" w:rsidRDefault="00A9766F" w:rsidP="00206985">
      <w:pPr>
        <w:pStyle w:val="TEKSTI"/>
      </w:pPr>
      <w:r w:rsidRPr="007114AF">
        <w:t>Miratimi i ligjit për efiçiencën e energjisë (124/2015) dhe miratimi i ligjit për performancën energjetike të ndërtesave (116/2016), ofrojnë bazën mbi të cilën mund të krijohet një strategji e re për efiçencën e energjisë</w:t>
      </w:r>
      <w:r w:rsidR="000A2A01" w:rsidRPr="007114AF">
        <w:t xml:space="preserve"> </w:t>
      </w:r>
      <w:r w:rsidRPr="007114AF">
        <w:t>në Shqipëri.</w:t>
      </w:r>
      <w:r w:rsidR="000A2A01" w:rsidRPr="007114AF">
        <w:t xml:space="preserve"> </w:t>
      </w:r>
      <w:r w:rsidRPr="007114AF">
        <w:t>Kjo përfshin krijimin e Agjencisë për Efi</w:t>
      </w:r>
      <w:r w:rsidR="00F3633F">
        <w:t>c</w:t>
      </w:r>
      <w:r w:rsidRPr="007114AF">
        <w:t>iencën e Energjisë (AEE) dhe Fondit për Efiçiencën e Energjisë, hartimin e akteve nënligjore e mjeteve rregullatore të nevojshme, dhe më e rëndësishmja zbatimin e një sërë masash të reja, siç propozohet në këtë PKVEE.</w:t>
      </w:r>
    </w:p>
    <w:p w14:paraId="6EDCFD94" w14:textId="28F87800" w:rsidR="00A9766F" w:rsidRPr="007114AF" w:rsidRDefault="00A9766F" w:rsidP="00206985">
      <w:pPr>
        <w:pStyle w:val="TEKSTI"/>
      </w:pPr>
      <w:r w:rsidRPr="007114AF">
        <w:t>Masat e propozuara këtu dhe objektivat për efi</w:t>
      </w:r>
      <w:r w:rsidR="00F3633F">
        <w:t>c</w:t>
      </w:r>
      <w:r w:rsidRPr="007114AF">
        <w:t xml:space="preserve">iencën e energjisë të krijuara prej tyre, përbëjnë deklaratën e qëllimit të Shqipërisë për përmbushjen e detyrimeve të saj, në kuadër të transpozimit të </w:t>
      </w:r>
      <w:r w:rsidR="00F3633F">
        <w:t>d</w:t>
      </w:r>
      <w:r w:rsidRPr="007114AF">
        <w:t>irektiv</w:t>
      </w:r>
      <w:r w:rsidR="00F3633F">
        <w:t>ë</w:t>
      </w:r>
      <w:r w:rsidRPr="007114AF">
        <w:t>s së EE-së.</w:t>
      </w:r>
      <w:r w:rsidR="000A2A01" w:rsidRPr="007114AF">
        <w:t xml:space="preserve"> </w:t>
      </w:r>
      <w:r w:rsidRPr="007114AF">
        <w:t>Ato përfshijnë kursimet në energjinë primare dhe përdorimin fundor dhe për këtë të fundit adresojnë masa për përdorimin e energjisë në ndërtesa, proceset industriale dhe transportin, si dhe respektimin e rëndësisë së rolit model që duhet të luajë sektori publik.</w:t>
      </w:r>
    </w:p>
    <w:p w14:paraId="6EDCFD95" w14:textId="1325BFBA" w:rsidR="00A9766F" w:rsidRPr="007114AF" w:rsidRDefault="00A9766F" w:rsidP="00206985">
      <w:pPr>
        <w:pStyle w:val="TEKSTI"/>
      </w:pPr>
      <w:r w:rsidRPr="007114AF">
        <w:t>Tabelat paraqesin, përkatësisht, një pasqyrë të të gjitha masave të propozuara për kursimin e energjisë primare dhe finale, së bashku me kursimet e pritshme deri në 2018, si dhe deri në 2020.</w:t>
      </w:r>
      <w:r w:rsidR="000A2A01" w:rsidRPr="007114AF">
        <w:t xml:space="preserve"> </w:t>
      </w:r>
      <w:r w:rsidRPr="007114AF">
        <w:t>Kursimet e pritshme të energjisë për një sërë masash nuk janë dhënë ose për shkak se kërkohet punë shtesë, përpara se ato të mund të vlerësohen me një nivel të arsyeshëm besimi (ky është rasti për pjesën më të madhe të masave në energjinë primare), ose ato janë masa mbështetëse që ndihmojnë në kursimin e energjisë, por vetë nuk rezultojnë drejtpërdrejt në kursime (ky është rasti për masat horizontale).</w:t>
      </w:r>
    </w:p>
    <w:p w14:paraId="6EDCFD96" w14:textId="7DA4B36E" w:rsidR="00A9766F" w:rsidRPr="007114AF" w:rsidRDefault="00A9766F" w:rsidP="00206985">
      <w:pPr>
        <w:pStyle w:val="TEKSTI"/>
        <w:rPr>
          <w:b/>
        </w:rPr>
      </w:pPr>
      <w:r w:rsidRPr="007114AF">
        <w:rPr>
          <w:b/>
        </w:rPr>
        <w:t>Kërkesa për financime publike n</w:t>
      </w:r>
      <w:r w:rsidR="0000517F">
        <w:rPr>
          <w:b/>
        </w:rPr>
        <w:t>ë</w:t>
      </w:r>
      <w:r w:rsidRPr="007114AF">
        <w:rPr>
          <w:b/>
        </w:rPr>
        <w:t xml:space="preserve"> PKVEE-në e re</w:t>
      </w:r>
    </w:p>
    <w:p w14:paraId="6EDCFD97" w14:textId="3BEB9DBA" w:rsidR="00A9766F" w:rsidRPr="007114AF" w:rsidRDefault="00A9766F" w:rsidP="00206985">
      <w:pPr>
        <w:pStyle w:val="TEKSTI"/>
      </w:pPr>
      <w:r w:rsidRPr="007114AF">
        <w:t xml:space="preserve">Zbatimi i masave të propozuara për EE-në në Shqipëri, do të varet nga atraktiviteti i kostos së atyre masave, në krahasim me koston e energjisë në mungesë të tyre. Konkurrueshmëria e kostos </w:t>
      </w:r>
      <w:r w:rsidRPr="007114AF">
        <w:lastRenderedPageBreak/>
        <w:t>do të varet nga çmimet e tregut, subvencionet, politikat dhe mirëqenien dhe vendimet e konsumatorit. Parashikimet e penetrimit të teknologjive të ndryshme në treg dhe vendimet e konsumatorit janë çështje që po fitojnë terren në modelimin e politikave energjetike dhe qarqet vendimmarrëse në BE, megjithatë ende nuk janë publikuar kërkime të mjaftueshme për të kryer analizë gjithëpërfshirëse. Në të vërtetë, masat specifike në kuadër të kësaj PKVEE-je mund t</w:t>
      </w:r>
      <w:r w:rsidR="00D10DAB" w:rsidRPr="007114AF">
        <w:t>’</w:t>
      </w:r>
      <w:r w:rsidRPr="007114AF">
        <w:t>i nënshtrohen veçmas vlerësimeve të plota të ndikimit rregullator për të vlerësuar kostot neto për zbatimin e tyre, si për sektorin publik ashtu edhe atë privat. Kjo do të thotë masat e parashikuara në këtë dokument do kenë plane konkrete zhvillimi dhe plane të ndërhyrjeve të mëtejshme, të cilat, do të japin të dhëna më konkrete mbi zbatimin e masave.</w:t>
      </w:r>
    </w:p>
    <w:p w14:paraId="6EDCFD98" w14:textId="0DBBF7B5" w:rsidR="00A9766F" w:rsidRPr="007114AF" w:rsidRDefault="00A9766F" w:rsidP="00206985">
      <w:pPr>
        <w:pStyle w:val="TEKSTI"/>
      </w:pPr>
      <w:r w:rsidRPr="007114AF">
        <w:t>Ky dokument adreson pritshmërinë për reduktimin e energjisë në mënyre realiste, i cili, vjen i mbështetur në 3 prioritete (sektori i ndërtesave</w:t>
      </w:r>
      <w:r w:rsidR="00043796" w:rsidRPr="007114AF">
        <w:t>, industrisë dhe transporti</w:t>
      </w:r>
      <w:r w:rsidRPr="007114AF">
        <w:t>) dhe i jep shembull ekzemplar veprimeve të Qeveris</w:t>
      </w:r>
      <w:r w:rsidR="00043796">
        <w:t>ë</w:t>
      </w:r>
      <w:r w:rsidRPr="007114AF">
        <w:t>. Kjo nënkupton se për të arritur objektivin (6.8% deri në 2020) nevojiten masa të financuara drejtpërdrejt nga Buxheti.</w:t>
      </w:r>
    </w:p>
    <w:p w14:paraId="6EDCFD99" w14:textId="3AFCE604" w:rsidR="00A9766F" w:rsidRPr="007114AF" w:rsidRDefault="00A9766F" w:rsidP="00206985">
      <w:pPr>
        <w:pStyle w:val="TEKSTI"/>
      </w:pPr>
      <w:r w:rsidRPr="007114AF">
        <w:t>Tabelat e mëposhtme paraqesin gjithashtu një vlerësim të kostove direkte nga buxheti publik për masat e propozuara dhe të kostuara, kur vlerësime të tilla janë të mundura. Për më tepër, masat e propozuara përfshijnë aktivitete të cilat kanë përfitime të konsiderueshme më të gjera sesa efi</w:t>
      </w:r>
      <w:r w:rsidR="00043796">
        <w:t>c</w:t>
      </w:r>
      <w:r w:rsidRPr="007114AF">
        <w:t>ienca e energjisë, veçanërisht në lidhje me përmirësimin e infrastrukturës së transportit dhe furnizimit me ujë, dhe prandaj një krahasim direkt i efektivitetit të kostos ndërmjet masave mund të jetë çorientues.</w:t>
      </w:r>
    </w:p>
    <w:p w14:paraId="6EDCFD9A" w14:textId="684964C0" w:rsidR="00A9766F" w:rsidRPr="007114AF" w:rsidRDefault="00A9766F" w:rsidP="00206985">
      <w:pPr>
        <w:pStyle w:val="TEKSTI"/>
        <w:rPr>
          <w:b/>
          <w:i/>
          <w:u w:val="single"/>
        </w:rPr>
      </w:pPr>
      <w:r w:rsidRPr="007114AF">
        <w:rPr>
          <w:b/>
          <w:i/>
          <w:u w:val="single"/>
        </w:rPr>
        <w:t>NAMA – Mekanizëm Financimi për</w:t>
      </w:r>
      <w:r w:rsidR="000A2A01" w:rsidRPr="007114AF">
        <w:rPr>
          <w:b/>
          <w:i/>
          <w:u w:val="single"/>
        </w:rPr>
        <w:t xml:space="preserve"> </w:t>
      </w:r>
      <w:r w:rsidRPr="007114AF">
        <w:rPr>
          <w:b/>
          <w:i/>
          <w:u w:val="single"/>
        </w:rPr>
        <w:t>Eficiencën e Energjisë në Banesa</w:t>
      </w:r>
    </w:p>
    <w:p w14:paraId="6EDCFD9B" w14:textId="77777777" w:rsidR="00A9766F" w:rsidRPr="007114AF" w:rsidRDefault="00A9766F" w:rsidP="00206985">
      <w:pPr>
        <w:pStyle w:val="TEKSTI"/>
        <w:rPr>
          <w:bCs/>
          <w:i/>
        </w:rPr>
      </w:pPr>
      <w:r w:rsidRPr="007114AF">
        <w:rPr>
          <w:bCs/>
          <w:i/>
        </w:rPr>
        <w:t>Vlefshm</w:t>
      </w:r>
      <w:r w:rsidRPr="007114AF">
        <w:rPr>
          <w:i/>
        </w:rPr>
        <w:t>ëria</w:t>
      </w:r>
      <w:r w:rsidRPr="007114AF">
        <w:rPr>
          <w:bCs/>
          <w:i/>
        </w:rPr>
        <w:t xml:space="preserve">: 2016-2020 </w:t>
      </w:r>
      <w:r w:rsidRPr="007114AF">
        <w:rPr>
          <w:i/>
        </w:rPr>
        <w:t>(me qëllim për të vazhduar më tej nëse fondet janë të disponueshme)</w:t>
      </w:r>
    </w:p>
    <w:p w14:paraId="6EDCFD9C" w14:textId="77777777" w:rsidR="00A9766F" w:rsidRPr="007114AF" w:rsidRDefault="00A9766F" w:rsidP="00206985">
      <w:pPr>
        <w:pStyle w:val="TEKSTI"/>
      </w:pPr>
      <w:r w:rsidRPr="007114AF">
        <w:t>Kjo është NAMA e aprovuar nga Qeveria e Shqipërisë në fushën e energjisë dhe përbëhet nga katër veprimet e mëposhtme, me qëllim uljen e shkarkimeve GES. Thelbi i veprimit është sigurimi i mbështetjes financiare, përmes granteve ose kredive të subvencionuara për përmirësimet e eficiencës së energjisë në banesa.</w:t>
      </w:r>
    </w:p>
    <w:p w14:paraId="6EDCFD9D" w14:textId="77777777" w:rsidR="00A9766F" w:rsidRPr="007114AF" w:rsidRDefault="00A9766F" w:rsidP="00206985">
      <w:pPr>
        <w:pStyle w:val="TEKSTI"/>
      </w:pPr>
      <w:r w:rsidRPr="007114AF">
        <w:t>Këto masa janë:</w:t>
      </w:r>
    </w:p>
    <w:p w14:paraId="6EDCFD9E" w14:textId="77777777" w:rsidR="00A9766F" w:rsidRPr="007114AF" w:rsidRDefault="008D6C6A" w:rsidP="00206985">
      <w:pPr>
        <w:pStyle w:val="TEKSTI"/>
      </w:pPr>
      <w:r w:rsidRPr="007114AF">
        <w:t xml:space="preserve">- </w:t>
      </w:r>
      <w:r w:rsidR="00A9766F" w:rsidRPr="007114AF">
        <w:t>Ekzistenca e një mekanizmi financues që siguron grante dhe kredi me interesa të ulëta për investime në eficiencën e energjinë në banesa (në bashkëpunim me Institucionet Financiare Ndërkombëtare – IFIs – dhe donatorët).</w:t>
      </w:r>
    </w:p>
    <w:p w14:paraId="6EDCFD9F" w14:textId="77777777" w:rsidR="00A9766F" w:rsidRPr="007114AF" w:rsidRDefault="008D6C6A" w:rsidP="00206985">
      <w:pPr>
        <w:pStyle w:val="TEKSTI"/>
      </w:pPr>
      <w:r w:rsidRPr="007114AF">
        <w:t xml:space="preserve">- </w:t>
      </w:r>
      <w:r w:rsidR="00A9766F" w:rsidRPr="007114AF">
        <w:t>Mbështetja teknike për projektet e financuara nga fondi në të gjitha fazat e projektit, nga projektimi deri në zbatimin dhe menaxhimin e funksionimit të banesave. Mbështetja teknike përfshin MRV-ën.</w:t>
      </w:r>
    </w:p>
    <w:p w14:paraId="6EDCFDA0" w14:textId="131106FD" w:rsidR="00A9766F" w:rsidRPr="007114AF" w:rsidRDefault="008D6C6A" w:rsidP="00206985">
      <w:pPr>
        <w:pStyle w:val="TEKSTI"/>
      </w:pPr>
      <w:r w:rsidRPr="007114AF">
        <w:t xml:space="preserve">- </w:t>
      </w:r>
      <w:r w:rsidR="00A9766F" w:rsidRPr="007114AF">
        <w:t>Përhapja</w:t>
      </w:r>
      <w:r w:rsidRPr="007114AF">
        <w:t xml:space="preserve"> </w:t>
      </w:r>
      <w:r w:rsidR="00A9766F" w:rsidRPr="007114AF">
        <w:t>dhe ndërgjegjësim</w:t>
      </w:r>
      <w:r w:rsidRPr="007114AF">
        <w:t xml:space="preserve"> </w:t>
      </w:r>
      <w:r w:rsidR="00A9766F" w:rsidRPr="007114AF">
        <w:t>i</w:t>
      </w:r>
      <w:r w:rsidR="00043796">
        <w:t xml:space="preserve"> </w:t>
      </w:r>
      <w:r w:rsidR="00A9766F" w:rsidRPr="007114AF">
        <w:t>që promovojnë avantazhet e eficiencës së energjisë dhe investimeve në energjinë e rinovueshme, si dhe promovimin e mundësive financiare të ofruara nga vetë fondi.</w:t>
      </w:r>
    </w:p>
    <w:p w14:paraId="6EDCFDA1" w14:textId="77777777" w:rsidR="00A9766F" w:rsidRPr="007114AF" w:rsidRDefault="008D6C6A" w:rsidP="00206985">
      <w:pPr>
        <w:pStyle w:val="TEKSTI"/>
      </w:pPr>
      <w:r w:rsidRPr="007114AF">
        <w:t xml:space="preserve">- </w:t>
      </w:r>
      <w:r w:rsidR="00A9766F" w:rsidRPr="007114AF">
        <w:t>Mbështetja</w:t>
      </w:r>
      <w:r w:rsidRPr="007114AF">
        <w:t xml:space="preserve"> </w:t>
      </w:r>
      <w:r w:rsidR="00A9766F" w:rsidRPr="007114AF">
        <w:t>për përmirësimin e administrimit të ndërtesave.</w:t>
      </w:r>
    </w:p>
    <w:p w14:paraId="6EDCFDA2" w14:textId="77777777" w:rsidR="00A9766F" w:rsidRPr="007114AF" w:rsidRDefault="00A9766F" w:rsidP="00206985">
      <w:pPr>
        <w:pStyle w:val="TEKSTI"/>
      </w:pPr>
      <w:r w:rsidRPr="007114AF">
        <w:t xml:space="preserve">Për më tepër, dokumenti ka një seksion të veçantë mbi politikat e informimit. Më i rëndësishëm është përcaktimi i bazës së centralizuar të të dhënave, duke mbledhur të gjithë informacionin përkatës për monitorimin dhe vlerësimin e ecurisë së planit. Një mjet i dytë është konsultimi publik, që, sipas dokumentit, përfshin një platformë të palëve të interesuara me bazë të gjerë. Këto palë të interesuara duhet të mbahen të përditësuara sipas planit, me hartimin e dokumenteve kryesore strategjike të cilat do të botohen nga qeveritë në këtë fushë dhe në veçanti, të përditësuara me dokumentin strategjik nga Komiteti Kombëtar për Planifikimin Afatgjatë të Energjisë, që pritet të përfundojë brenda gjysmës së dytë të vitit 2016. </w:t>
      </w:r>
    </w:p>
    <w:p w14:paraId="6EDCFDA3" w14:textId="06FF5F74" w:rsidR="00A9766F" w:rsidRPr="007114AF" w:rsidRDefault="00A9766F" w:rsidP="00206985">
      <w:pPr>
        <w:pStyle w:val="TEKSTI"/>
        <w:rPr>
          <w:b/>
          <w:i/>
          <w:u w:val="single"/>
        </w:rPr>
      </w:pPr>
      <w:r w:rsidRPr="007114AF">
        <w:rPr>
          <w:b/>
          <w:i/>
          <w:u w:val="single"/>
        </w:rPr>
        <w:t>Plani i Veprimit mbi Burimet Rinovueshme të Energjisë 2018</w:t>
      </w:r>
      <w:r w:rsidR="00043796">
        <w:t>–</w:t>
      </w:r>
      <w:r w:rsidRPr="007114AF">
        <w:rPr>
          <w:b/>
          <w:i/>
          <w:u w:val="single"/>
        </w:rPr>
        <w:t>2020</w:t>
      </w:r>
    </w:p>
    <w:p w14:paraId="6EDCFDA4" w14:textId="77777777" w:rsidR="00A9766F" w:rsidRPr="007114AF" w:rsidRDefault="00A9766F" w:rsidP="00206985">
      <w:pPr>
        <w:pStyle w:val="TEKSTI"/>
        <w:rPr>
          <w:i/>
        </w:rPr>
      </w:pPr>
      <w:r w:rsidRPr="007114AF">
        <w:rPr>
          <w:i/>
        </w:rPr>
        <w:t xml:space="preserve">Vlefshmëria: deri në vitin 2020 </w:t>
      </w:r>
    </w:p>
    <w:p w14:paraId="6EDCFDA5" w14:textId="61E7A214" w:rsidR="00A9766F" w:rsidRPr="007114AF" w:rsidRDefault="00A9766F" w:rsidP="00206985">
      <w:pPr>
        <w:pStyle w:val="TEKSTI"/>
      </w:pPr>
      <w:r w:rsidRPr="007114AF">
        <w:t>Plani i Veprimit BER u miratua në janar 2016 dhe institucioni përgjegjës për zbatimin dhe monitorimin e tij është Ministria e Infrastrukturës dhe Energjisë me agjencinë e saj vartëse – Agjencia Kombëtare e Burimeve Natyrore (AKBN). BER-i ka një objektiv parësor: të modernizojë politikat e saj BER me</w:t>
      </w:r>
      <w:r w:rsidR="000A2A01" w:rsidRPr="007114AF">
        <w:t xml:space="preserve"> </w:t>
      </w:r>
      <w:r w:rsidRPr="007114AF">
        <w:t>politikat RE-a të BE-së (</w:t>
      </w:r>
      <w:r w:rsidR="00437702">
        <w:t>d</w:t>
      </w:r>
      <w:r w:rsidRPr="007114AF">
        <w:t xml:space="preserve">irektiva 2009/28), në përputhje me procesin e përcaktuar brenda Komunitetit të Energjisë. </w:t>
      </w:r>
    </w:p>
    <w:p w14:paraId="6EDCFDA6" w14:textId="77777777" w:rsidR="00A9766F" w:rsidRPr="007114AF" w:rsidRDefault="00A9766F" w:rsidP="00206985">
      <w:pPr>
        <w:pStyle w:val="TEKSTI"/>
      </w:pPr>
      <w:r w:rsidRPr="007114AF">
        <w:lastRenderedPageBreak/>
        <w:t>Objektivat e BER-it synojnë rritjen e përdorimit të burimeve të energjisë pa karbon/nivel të ulët karboni deri në vitin 2020, të gjithë do të kontribuojnë në zbutjen e përdorimit të tyre. Veçanërisht:</w:t>
      </w:r>
    </w:p>
    <w:p w14:paraId="6EDCFDA7" w14:textId="1750EE39" w:rsidR="00A9766F" w:rsidRPr="007114AF" w:rsidRDefault="008D6C6A" w:rsidP="00206985">
      <w:pPr>
        <w:pStyle w:val="TEKSTI"/>
      </w:pPr>
      <w:r w:rsidRPr="007114AF">
        <w:t xml:space="preserve">- </w:t>
      </w:r>
      <w:r w:rsidR="00A9766F" w:rsidRPr="007114AF">
        <w:t>Përcaktimi i një objektivi të përgjithshëm 38% për vitin 2020 (për</w:t>
      </w:r>
      <w:r w:rsidR="00437702">
        <w:t xml:space="preserve"> </w:t>
      </w:r>
      <w:r w:rsidR="00A9766F" w:rsidRPr="007114AF">
        <w:t xml:space="preserve">sa i përket pjesës së BER-it mbi konsumin bruto të energjisë përfundimtare). Ky duhet të jetë ekuivalent me 1017.28 </w:t>
      </w:r>
      <w:r w:rsidR="00437702">
        <w:t>k</w:t>
      </w:r>
      <w:r w:rsidR="00A9766F" w:rsidRPr="007114AF">
        <w:t xml:space="preserve">toe, krahasuar me 29.74% (560.76 </w:t>
      </w:r>
      <w:r w:rsidR="00437702">
        <w:t>k</w:t>
      </w:r>
      <w:r w:rsidR="00A9766F" w:rsidRPr="007114AF">
        <w:t>toe) në vitin bazë.</w:t>
      </w:r>
    </w:p>
    <w:p w14:paraId="6EDCFDA8" w14:textId="30C96B29" w:rsidR="00A9766F" w:rsidRPr="007114AF" w:rsidRDefault="008D6C6A" w:rsidP="00206985">
      <w:pPr>
        <w:pStyle w:val="TEKSTI"/>
      </w:pPr>
      <w:r w:rsidRPr="007114AF">
        <w:t xml:space="preserve">- </w:t>
      </w:r>
      <w:r w:rsidR="00A9766F" w:rsidRPr="007114AF">
        <w:t>Ky objektiv ndahet në një objektiv në m</w:t>
      </w:r>
      <w:r w:rsidR="00437702">
        <w:t>a</w:t>
      </w:r>
      <w:r w:rsidR="00A9766F" w:rsidRPr="007114AF">
        <w:t>sën 10.8% për ngrohje dhe ftohje, një objektiv në masën 23.67% për energjinë elektrike dhe një tjetër në masën 3.65% për transportin. Dokumenti vë në dukje se objektiva të till</w:t>
      </w:r>
      <w:r w:rsidR="00414BCD">
        <w:t>ë</w:t>
      </w:r>
      <w:r w:rsidR="00A9766F" w:rsidRPr="007114AF">
        <w:t xml:space="preserve"> mund të jenë mesatarisht rreth 3% më shumë ambiciozë, nëse plani i PKVEE-së zbatohet në mënyrë korrekte.</w:t>
      </w:r>
    </w:p>
    <w:p w14:paraId="6EDCFDA9" w14:textId="12BAE1AC" w:rsidR="00A9766F" w:rsidRPr="007114AF" w:rsidRDefault="008D6C6A" w:rsidP="00206985">
      <w:pPr>
        <w:pStyle w:val="TEKSTI"/>
      </w:pPr>
      <w:r w:rsidRPr="007114AF">
        <w:t xml:space="preserve">- </w:t>
      </w:r>
      <w:r w:rsidR="00A9766F" w:rsidRPr="007114AF">
        <w:t xml:space="preserve">Një objektiv në masën 10% për vitin 2020 për pjesën e BER-it të lëndëve djegëse të përdorura në transport (duke përmbushur kërkesat e </w:t>
      </w:r>
      <w:r w:rsidR="00437702" w:rsidRPr="007114AF">
        <w:t xml:space="preserve">nenit </w:t>
      </w:r>
      <w:r w:rsidR="00A9766F" w:rsidRPr="007114AF">
        <w:t xml:space="preserve">3(4) të </w:t>
      </w:r>
      <w:r w:rsidR="00437702" w:rsidRPr="007114AF">
        <w:t xml:space="preserve">direktivës </w:t>
      </w:r>
      <w:r w:rsidR="00A9766F" w:rsidRPr="007114AF">
        <w:t>2009/28/EC).</w:t>
      </w:r>
    </w:p>
    <w:p w14:paraId="6EDCFDAA" w14:textId="5594D421" w:rsidR="00A9766F" w:rsidRPr="007114AF" w:rsidRDefault="00A9766F" w:rsidP="00206985">
      <w:pPr>
        <w:pStyle w:val="TEKSTI"/>
      </w:pPr>
      <w:r w:rsidRPr="007114AF">
        <w:t>Për më tepër, Plani i Veprimit i BER paraqet këto objektiva të përgjithsh</w:t>
      </w:r>
      <w:r w:rsidR="00414BCD">
        <w:t>ë</w:t>
      </w:r>
      <w:r w:rsidRPr="007114AF">
        <w:t>m të politikave të energjisë:</w:t>
      </w:r>
    </w:p>
    <w:p w14:paraId="6EDCFDAB" w14:textId="77777777" w:rsidR="00A9766F" w:rsidRPr="007114AF" w:rsidRDefault="008D6C6A" w:rsidP="00206985">
      <w:pPr>
        <w:pStyle w:val="TEKSTI"/>
      </w:pPr>
      <w:r w:rsidRPr="007114AF">
        <w:t xml:space="preserve">- </w:t>
      </w:r>
      <w:r w:rsidR="00A9766F" w:rsidRPr="007114AF">
        <w:t>Reduktimin e importit të energjisë;</w:t>
      </w:r>
    </w:p>
    <w:p w14:paraId="6EDCFDAC" w14:textId="78D79945" w:rsidR="00A9766F" w:rsidRPr="007114AF" w:rsidRDefault="008D6C6A" w:rsidP="00206985">
      <w:pPr>
        <w:pStyle w:val="TEKSTI"/>
      </w:pPr>
      <w:r w:rsidRPr="007114AF">
        <w:t xml:space="preserve">- </w:t>
      </w:r>
      <w:r w:rsidR="00A9766F" w:rsidRPr="007114AF">
        <w:t>Diversifikimin e burimeve të energjisë</w:t>
      </w:r>
      <w:r w:rsidR="000A2A01" w:rsidRPr="007114AF">
        <w:t xml:space="preserve"> </w:t>
      </w:r>
      <w:r w:rsidR="00A9766F" w:rsidRPr="007114AF">
        <w:t>primare për furnizimin me energji;</w:t>
      </w:r>
    </w:p>
    <w:p w14:paraId="6EDCFDAD" w14:textId="77777777" w:rsidR="00A9766F" w:rsidRPr="007114AF" w:rsidRDefault="008D6C6A" w:rsidP="00206985">
      <w:pPr>
        <w:pStyle w:val="TEKSTI"/>
      </w:pPr>
      <w:r w:rsidRPr="007114AF">
        <w:t xml:space="preserve">- </w:t>
      </w:r>
      <w:r w:rsidR="00A9766F" w:rsidRPr="007114AF">
        <w:t>Reduktimin e humbjeve të transmetimit dhe shpërndarjes duke nxitur prodhimin e energjisë;</w:t>
      </w:r>
    </w:p>
    <w:p w14:paraId="6EDCFDAE" w14:textId="77777777" w:rsidR="00A9766F" w:rsidRPr="007114AF" w:rsidRDefault="008D6C6A" w:rsidP="00206985">
      <w:pPr>
        <w:pStyle w:val="TEKSTI"/>
      </w:pPr>
      <w:r w:rsidRPr="007114AF">
        <w:t xml:space="preserve">- </w:t>
      </w:r>
      <w:r w:rsidR="00A9766F" w:rsidRPr="007114AF">
        <w:t>Krijimin e bizneseve vendore dhe mundësive të punësimit, duke instaluar dhe prodhuar pjesë/komponentë/sisteme të impianteve BER nga sektori industrial shqiptar;</w:t>
      </w:r>
    </w:p>
    <w:p w14:paraId="6EDCFDAF" w14:textId="77777777" w:rsidR="00A9766F" w:rsidRPr="007114AF" w:rsidRDefault="008D6C6A" w:rsidP="00206985">
      <w:pPr>
        <w:pStyle w:val="TEKSTI"/>
      </w:pPr>
      <w:r w:rsidRPr="007114AF">
        <w:t xml:space="preserve">- </w:t>
      </w:r>
      <w:r w:rsidR="00A9766F" w:rsidRPr="007114AF">
        <w:t>Shfrytëzimin e burimeve vendase të energjisë, veçanërisht në zonat e largëta, duke hapur vende pune dhe përmirësimin e standardit të jetesës;</w:t>
      </w:r>
    </w:p>
    <w:p w14:paraId="6EDCFDB0" w14:textId="77777777" w:rsidR="00A9766F" w:rsidRPr="007114AF" w:rsidRDefault="008D6C6A" w:rsidP="00206985">
      <w:pPr>
        <w:pStyle w:val="TEKSTI"/>
      </w:pPr>
      <w:r w:rsidRPr="007114AF">
        <w:t xml:space="preserve">- </w:t>
      </w:r>
      <w:r w:rsidR="00A9766F" w:rsidRPr="007114AF">
        <w:t>Rritje të pjesës</w:t>
      </w:r>
      <w:r w:rsidRPr="007114AF">
        <w:t xml:space="preserve"> </w:t>
      </w:r>
      <w:r w:rsidR="00A9766F" w:rsidRPr="007114AF">
        <w:t xml:space="preserve">së biokarbureve dhe lëndëve të tjera të djegshme nga burimet e energjisë së rinovueshme. </w:t>
      </w:r>
    </w:p>
    <w:p w14:paraId="6EDCFDB1" w14:textId="77777777" w:rsidR="00A9766F" w:rsidRPr="007114AF" w:rsidRDefault="00A9766F" w:rsidP="00206985">
      <w:pPr>
        <w:pStyle w:val="TEKSTI"/>
      </w:pPr>
      <w:r w:rsidRPr="007114AF">
        <w:t xml:space="preserve">Objektivat BER, të cilat sipas llogaritjeve të bëra në mënyrë efektive duhet të çojnë në rritje të përdorimit të burimeve të energjisë pa karbon/nivel të ulët karboni deri në vitin 2020, do të kontribuojnë të gjitha në zbutjen e efekteve. Masat ndihmëse të përmendura si të dobishme, por jo të përcaktuara në mënyrë të qartë në plan, janë: </w:t>
      </w:r>
    </w:p>
    <w:p w14:paraId="6EDCFDB2" w14:textId="4B1913F0" w:rsidR="00A9766F" w:rsidRPr="007114AF" w:rsidRDefault="008D6C6A" w:rsidP="00206985">
      <w:pPr>
        <w:pStyle w:val="TEKSTI"/>
      </w:pPr>
      <w:r w:rsidRPr="007114AF">
        <w:t xml:space="preserve">- </w:t>
      </w:r>
      <w:r w:rsidR="00A9766F" w:rsidRPr="007114AF">
        <w:t xml:space="preserve">Marrja e </w:t>
      </w:r>
      <w:r w:rsidR="000A2A01" w:rsidRPr="007114AF">
        <w:t>“</w:t>
      </w:r>
      <w:r w:rsidR="00A9766F" w:rsidRPr="007114AF">
        <w:t>masave të përgjithshme për parandalimin e mospagimit të energjisë</w:t>
      </w:r>
      <w:r w:rsidR="000A2A01" w:rsidRPr="007114AF">
        <w:t>”</w:t>
      </w:r>
      <w:r w:rsidR="00A9766F" w:rsidRPr="007114AF">
        <w:t xml:space="preserve"> </w:t>
      </w:r>
    </w:p>
    <w:p w14:paraId="6EDCFDB3" w14:textId="3BF7E173" w:rsidR="00A9766F" w:rsidRPr="007114AF" w:rsidRDefault="008D6C6A" w:rsidP="00206985">
      <w:pPr>
        <w:pStyle w:val="TEKSTI"/>
      </w:pPr>
      <w:r w:rsidRPr="007114AF">
        <w:t xml:space="preserve">- </w:t>
      </w:r>
      <w:r w:rsidR="00A9766F" w:rsidRPr="007114AF">
        <w:t>Përmirësimi i procesit të licen</w:t>
      </w:r>
      <w:r w:rsidR="00437702">
        <w:t>c</w:t>
      </w:r>
      <w:r w:rsidR="00A9766F" w:rsidRPr="007114AF">
        <w:t>imit për zhvillimin e projekteve RE.</w:t>
      </w:r>
    </w:p>
    <w:p w14:paraId="6EDCFDB4" w14:textId="63DAF90E" w:rsidR="00A9766F" w:rsidRPr="007114AF" w:rsidRDefault="00A9766F" w:rsidP="00206985">
      <w:pPr>
        <w:pStyle w:val="TEKSTI"/>
        <w:rPr>
          <w:b/>
          <w:i/>
          <w:u w:val="single"/>
        </w:rPr>
      </w:pPr>
      <w:r w:rsidRPr="007114AF">
        <w:rPr>
          <w:b/>
          <w:i/>
          <w:u w:val="single"/>
        </w:rPr>
        <w:t xml:space="preserve">Ligji </w:t>
      </w:r>
      <w:r w:rsidR="00437702">
        <w:rPr>
          <w:b/>
          <w:i/>
          <w:u w:val="single"/>
        </w:rPr>
        <w:t xml:space="preserve">nr. </w:t>
      </w:r>
      <w:r w:rsidRPr="007114AF">
        <w:rPr>
          <w:b/>
          <w:i/>
          <w:u w:val="single"/>
        </w:rPr>
        <w:t xml:space="preserve">24/2015 mbi </w:t>
      </w:r>
      <w:r w:rsidR="00437702">
        <w:rPr>
          <w:b/>
          <w:i/>
          <w:u w:val="single"/>
        </w:rPr>
        <w:t>e</w:t>
      </w:r>
      <w:r w:rsidRPr="007114AF">
        <w:rPr>
          <w:b/>
          <w:i/>
          <w:u w:val="single"/>
        </w:rPr>
        <w:t xml:space="preserve">ficiencën e </w:t>
      </w:r>
      <w:r w:rsidR="00437702">
        <w:rPr>
          <w:b/>
          <w:i/>
          <w:u w:val="single"/>
        </w:rPr>
        <w:t>e</w:t>
      </w:r>
      <w:r w:rsidRPr="007114AF">
        <w:rPr>
          <w:b/>
          <w:i/>
          <w:u w:val="single"/>
        </w:rPr>
        <w:t>nergjisë</w:t>
      </w:r>
    </w:p>
    <w:p w14:paraId="6EDCFDB5" w14:textId="1D8FA6A0" w:rsidR="00A9766F" w:rsidRPr="007114AF" w:rsidRDefault="00A9766F" w:rsidP="00206985">
      <w:pPr>
        <w:pStyle w:val="TEKSTI"/>
        <w:rPr>
          <w:i/>
        </w:rPr>
      </w:pPr>
      <w:r w:rsidRPr="007114AF">
        <w:rPr>
          <w:i/>
        </w:rPr>
        <w:t>Vlefshmëria: hyrja në fuqi në vitin 2016 dhe më tej e pakufizuar,</w:t>
      </w:r>
      <w:r w:rsidR="000A2A01" w:rsidRPr="007114AF">
        <w:rPr>
          <w:i/>
        </w:rPr>
        <w:t xml:space="preserve"> </w:t>
      </w:r>
      <w:r w:rsidRPr="007114AF">
        <w:rPr>
          <w:i/>
        </w:rPr>
        <w:t>deri në rishikime të mëtejshme</w:t>
      </w:r>
    </w:p>
    <w:p w14:paraId="6EDCFDB6" w14:textId="09F01B97" w:rsidR="00A9766F" w:rsidRPr="007114AF" w:rsidRDefault="00A9766F" w:rsidP="00206985">
      <w:pPr>
        <w:pStyle w:val="TEKSTI"/>
      </w:pPr>
      <w:r w:rsidRPr="007114AF">
        <w:t xml:space="preserve">Ky ligj tregon prioritetet kryesore strategjike në fushën e Eficiencës së Energjisë në Shqipëri dhe përcakton institucionet kryesore dhe instrumentet e përfshirë në realizimin e prioriteteve të tilla, duke përafruarshumë nga kërkesat e </w:t>
      </w:r>
      <w:r w:rsidR="00437702">
        <w:t>d</w:t>
      </w:r>
      <w:r w:rsidRPr="007114AF">
        <w:t>irektivës 2012/27/EU (</w:t>
      </w:r>
      <w:r w:rsidR="000A2A01" w:rsidRPr="007114AF">
        <w:t>“</w:t>
      </w:r>
      <w:r w:rsidRPr="007114AF">
        <w:t xml:space="preserve">Direktiva mbi </w:t>
      </w:r>
      <w:r w:rsidR="00437702" w:rsidRPr="007114AF">
        <w:t>efic</w:t>
      </w:r>
      <w:r w:rsidR="00437702">
        <w:t>i</w:t>
      </w:r>
      <w:r w:rsidR="00437702" w:rsidRPr="007114AF">
        <w:t>encën e energjisë</w:t>
      </w:r>
      <w:r w:rsidR="000A2A01" w:rsidRPr="007114AF">
        <w:t>”</w:t>
      </w:r>
      <w:r w:rsidRPr="007114AF">
        <w:t xml:space="preserve">). </w:t>
      </w:r>
    </w:p>
    <w:p w14:paraId="6EDCFDB7" w14:textId="37334707" w:rsidR="00A9766F" w:rsidRPr="007114AF" w:rsidRDefault="00A9766F" w:rsidP="00206985">
      <w:pPr>
        <w:pStyle w:val="TEKSTI"/>
      </w:pPr>
      <w:r w:rsidRPr="007114AF">
        <w:t>Çka është më e rëndësishmja, ligji nuk përcakton drejtpërdrejt objektiva sasior</w:t>
      </w:r>
      <w:r w:rsidR="00414BCD">
        <w:t>ë</w:t>
      </w:r>
      <w:r w:rsidRPr="007114AF">
        <w:t xml:space="preserve"> dhe as zgjedh masat e politikave për t</w:t>
      </w:r>
      <w:r w:rsidR="00D10DAB" w:rsidRPr="007114AF">
        <w:rPr>
          <w:rFonts w:cs="Times New Roman"/>
        </w:rPr>
        <w:t>’</w:t>
      </w:r>
      <w:r w:rsidRPr="007114AF">
        <w:t>i vënë ato në zbatim, por delegon zgjedhje të tilla në aktet nënligjore dhe në PKVEE-n në vazhdim. Sidoqoftë, ai parashikon se objektiva të till</w:t>
      </w:r>
      <w:r w:rsidR="00414BCD">
        <w:t>ë</w:t>
      </w:r>
      <w:r w:rsidRPr="007114AF">
        <w:t xml:space="preserve"> duhet të përmbushen dhe të bëhet një listë e mjeteve të politikave nga të cilat autoritetet përgjegjëse për zbatimin</w:t>
      </w:r>
      <w:r w:rsidR="00437702">
        <w:t xml:space="preserve"> </w:t>
      </w:r>
      <w:r w:rsidRPr="007114AF">
        <w:t>e ligjit mund të zgjedhin, si ta gjykojnë të arsyeshme, pa qenë të shtrënguara të ndërmarrin masa specifike politikash. Megjithatë, ka disa përjashtime të rëndësishme, për shkak se një grup mjetesh përcaktohet në mënyrë të drejtpërdrejtë me ligj. Hollësi të mëtejshme mbi këto masa do të prezantohen më tej në këtë seksion.</w:t>
      </w:r>
    </w:p>
    <w:p w14:paraId="6EDCFDB8" w14:textId="57DFF253" w:rsidR="00A9766F" w:rsidRPr="007114AF" w:rsidRDefault="00A9766F" w:rsidP="00206985">
      <w:pPr>
        <w:pStyle w:val="TEKSTI"/>
      </w:pPr>
      <w:r w:rsidRPr="007114AF">
        <w:t>Pas përcaktimit të qëllimeve të ligjit dhe fushës së veprimit si dhe terminologjisë përkatëse (</w:t>
      </w:r>
      <w:r w:rsidR="00437702" w:rsidRPr="007114AF">
        <w:t xml:space="preserve">kreu </w:t>
      </w:r>
      <w:r w:rsidRPr="007114AF">
        <w:t xml:space="preserve">I), në </w:t>
      </w:r>
      <w:r w:rsidR="00437702" w:rsidRPr="007114AF">
        <w:t xml:space="preserve">kreun </w:t>
      </w:r>
      <w:r w:rsidRPr="007114AF">
        <w:t>II, ligji dikton parimet frymëzuese të politikës së eficiencës</w:t>
      </w:r>
      <w:r w:rsidR="00437702">
        <w:t xml:space="preserve"> </w:t>
      </w:r>
      <w:r w:rsidRPr="007114AF">
        <w:t>së energjisë në Shqipëri (</w:t>
      </w:r>
      <w:r w:rsidR="00437702" w:rsidRPr="007114AF">
        <w:t>neni</w:t>
      </w:r>
      <w:r w:rsidRPr="007114AF">
        <w:t xml:space="preserve"> 5), ndër të cilat janë të rëndësishme ruajtja e</w:t>
      </w:r>
      <w:r w:rsidR="00437702">
        <w:t xml:space="preserve"> </w:t>
      </w:r>
      <w:r w:rsidRPr="007114AF">
        <w:t xml:space="preserve">operacioneve të tregut, përmendja haptas e stimujve financiarë dhe promovimi i investimeve që nxisin eficiencën e energjisë, roli shembullor që i jepet sektorit publik, rëndësia e hulumtimit, arsimit, informimit dhe bashkëpunimit të brendshëm dhe të jashtëm, ndërmjet aktorëve të interesuar në fushën e eficiencës së energjisë, dhe kujdesi ndaj qëndrueshmërisë mjedisore dhe sociale. </w:t>
      </w:r>
    </w:p>
    <w:p w14:paraId="6EDCFDB9" w14:textId="45603EB5" w:rsidR="00A9766F" w:rsidRPr="007114AF" w:rsidRDefault="00A9766F" w:rsidP="00206985">
      <w:pPr>
        <w:pStyle w:val="TEKSTI"/>
      </w:pPr>
      <w:r w:rsidRPr="007114AF">
        <w:lastRenderedPageBreak/>
        <w:t>Ligji i delegon Këshillit të Ministrave detyrën e përcaktimit të objektivave për Kursimin e Energjisë (</w:t>
      </w:r>
      <w:r w:rsidR="00437702" w:rsidRPr="007114AF">
        <w:t>neni</w:t>
      </w:r>
      <w:r w:rsidRPr="007114AF">
        <w:t xml:space="preserve"> 6) ndërsa Agjencisë për Eficiencën e Energjisë detyrën e hartimit të</w:t>
      </w:r>
      <w:r w:rsidR="00437702">
        <w:t xml:space="preserve"> </w:t>
      </w:r>
      <w:r w:rsidRPr="007114AF">
        <w:t>PKVEE-së (neni 7) dhe monitorimin e zbatimit të tij (neni 8).</w:t>
      </w:r>
    </w:p>
    <w:p w14:paraId="6EDCFDBA" w14:textId="265CAE03" w:rsidR="00A9766F" w:rsidRPr="007114AF" w:rsidRDefault="00A9766F" w:rsidP="00206985">
      <w:pPr>
        <w:pStyle w:val="TEKSTI"/>
      </w:pPr>
      <w:r w:rsidRPr="007114AF">
        <w:t xml:space="preserve">Më poshtë jepen në mënyrë të detajuar masat specifike që kanë synim të drejtpërdrejtë nxitjen e eficiencës së energjisë: Neni 9 trajton masat në sektorin publik dhe ato ndërsektoriale, ku sektori publik duhet të identifikojë rregullat e prokurimit që përshkruajnë standardet e duhura të eficiencës së energjisë, sa herë që konsumi i energjisë mund të ndikohet nga vendimet e prokurimit; gjithashtu neni rendit klasat e masave që konsiderohen të kenë ndikime ndërsektoriale, si në sektorët privatë ashtu edhe në ato publikë (standardet, rregullorja, informacioni tatimor dhe edukimi, monitorimi); Neni 10 parashikon që konsumatorët e mëdhenj (që përcaktohen si ata me konsum vjetor të energjisë mbi ekuivalentin e 3 </w:t>
      </w:r>
      <w:r w:rsidR="001C47F0" w:rsidRPr="007114AF">
        <w:t xml:space="preserve">milionë </w:t>
      </w:r>
      <w:r w:rsidRPr="007114AF">
        <w:t>KWh energjie elektrike) duhet të emërojnë një Administrator të Energjisë profesionalisht</w:t>
      </w:r>
      <w:r w:rsidR="00437702">
        <w:t xml:space="preserve"> </w:t>
      </w:r>
      <w:r w:rsidRPr="007114AF">
        <w:t xml:space="preserve">të kualifikuar, </w:t>
      </w:r>
      <w:r w:rsidR="000A2A01" w:rsidRPr="007114AF">
        <w:t>“</w:t>
      </w:r>
      <w:r w:rsidRPr="007114AF">
        <w:t>përgjegjës për mirëmbajtjen e objekteve që konsumojnë çdo lloj energjie, duke përmirësuar dhe mbikëqyrur metodën e përdorimit të energjisë</w:t>
      </w:r>
      <w:r w:rsidR="003F649E" w:rsidRPr="007114AF">
        <w:t>,</w:t>
      </w:r>
      <w:r w:rsidRPr="007114AF">
        <w:t xml:space="preserve"> si dhe kryerjen e të gjitha punëve të tjera për përdorimin racional të energjisë në industri dhe ndërtesa</w:t>
      </w:r>
      <w:r w:rsidR="000A2A01" w:rsidRPr="007114AF">
        <w:t>”</w:t>
      </w:r>
      <w:r w:rsidRPr="007114AF">
        <w:t>. Gjithashtu, konsumatorët e mëdhenj duhet të marrin masa specifike për të rritur kursimet e energjisë, në mënyrë që të respektohen objektivat specifikë që PKVEE-ja do të caktojë për ta (neni 11). Në nenin 12 nxiten marrëveshje vullnetare mes konsumatorëve të mëdhenj të energjisë (dhe ndoshta Agjencisë së</w:t>
      </w:r>
      <w:r w:rsidR="00437702">
        <w:t xml:space="preserve"> </w:t>
      </w:r>
      <w:r w:rsidRPr="007114AF">
        <w:t>Eficiencëssë Energjisë – teksti nuk është plotësisht i qartë në këtë pikë).</w:t>
      </w:r>
    </w:p>
    <w:p w14:paraId="6EDCFDBB" w14:textId="41A24302" w:rsidR="00A9766F" w:rsidRPr="007114AF" w:rsidRDefault="00A9766F" w:rsidP="00206985">
      <w:pPr>
        <w:pStyle w:val="TEKSTI"/>
      </w:pPr>
      <w:r w:rsidRPr="007114AF">
        <w:t>Kreu III trajton informacionin dhe masat e matjes së eficiencës së energjisë. Në veçanti, ai përcakton se duhet ngritur një bazë e centralizuar të dhënash mbi konsumin e energjisë e cila duhet përditësuar çdo vit (neni 13); ai përcakton se duhen instaluar sisteme matëse individuale ose, kur këto nuk janë të realizueshme, rregulla transparente për caktimin e volumit të konsumit të matshëm në mënyrë kolektive te të gjithë konsumatorët dhe llojin e përdorimit (neni 14), dhe se Agjencia e Eficiencës së Energjisë duhet t</w:t>
      </w:r>
      <w:r w:rsidR="00D10DAB" w:rsidRPr="007114AF">
        <w:t>’</w:t>
      </w:r>
      <w:r w:rsidRPr="007114AF">
        <w:t xml:space="preserve">i japë rëndësinë e duhur informacionit përkatës (neni 15). Kreu IV trajton objektivat dhe rregulloren e ofrimit të shërbimeve që mund të përmirësojnë eficiencën e energjisë, të tilla si auditet e energjisë (neni 16 dhe 17) dhe ato të kompanive të shërbimit të energjisë (ESCO). Kreu V trajton themelimin e Fondit të Eficiencës së Energjisë, një mjet financiar me statusin e organizatës jofitimprurëse që synon mbështetjen financiare të veprimeve përmirësuese të eficiencës së energjisë. Së fundi, </w:t>
      </w:r>
      <w:r w:rsidR="00437702">
        <w:t>k</w:t>
      </w:r>
      <w:r w:rsidRPr="007114AF">
        <w:t xml:space="preserve">reu VI përcakton Agjencinë e Eficiencës së Energjisë, si dhe kompetencat, qëllimet dhe përgjegjësitë e saj. </w:t>
      </w:r>
    </w:p>
    <w:p w14:paraId="6EDCFDBC" w14:textId="06F680B7" w:rsidR="00A9766F" w:rsidRPr="007114AF" w:rsidRDefault="00214466" w:rsidP="00206985">
      <w:pPr>
        <w:pStyle w:val="TEKSTI"/>
        <w:rPr>
          <w:b/>
          <w:i/>
          <w:u w:val="single"/>
        </w:rPr>
      </w:pPr>
      <w:r w:rsidRPr="007114AF">
        <w:rPr>
          <w:b/>
          <w:i/>
          <w:u w:val="single"/>
        </w:rPr>
        <w:t xml:space="preserve">- </w:t>
      </w:r>
      <w:r w:rsidR="00A9766F" w:rsidRPr="007114AF">
        <w:rPr>
          <w:b/>
          <w:i/>
          <w:u w:val="single"/>
        </w:rPr>
        <w:t xml:space="preserve">Ligji </w:t>
      </w:r>
      <w:r w:rsidR="003E1E77">
        <w:rPr>
          <w:b/>
          <w:i/>
          <w:u w:val="single"/>
        </w:rPr>
        <w:t xml:space="preserve">nr. </w:t>
      </w:r>
      <w:r w:rsidR="00A9766F" w:rsidRPr="007114AF">
        <w:rPr>
          <w:b/>
          <w:i/>
          <w:u w:val="single"/>
        </w:rPr>
        <w:t xml:space="preserve">7/2017 </w:t>
      </w:r>
      <w:r w:rsidR="000A2A01" w:rsidRPr="007114AF">
        <w:rPr>
          <w:b/>
          <w:i/>
          <w:u w:val="single"/>
        </w:rPr>
        <w:t>“</w:t>
      </w:r>
      <w:r w:rsidR="00A9766F" w:rsidRPr="007114AF">
        <w:rPr>
          <w:b/>
          <w:i/>
          <w:u w:val="single"/>
        </w:rPr>
        <w:t>P</w:t>
      </w:r>
      <w:r w:rsidR="003E1E77">
        <w:rPr>
          <w:b/>
          <w:i/>
          <w:u w:val="single"/>
        </w:rPr>
        <w:t>ë</w:t>
      </w:r>
      <w:r w:rsidR="00A9766F" w:rsidRPr="007114AF">
        <w:rPr>
          <w:b/>
          <w:i/>
          <w:u w:val="single"/>
        </w:rPr>
        <w:t>r nxitjen e p</w:t>
      </w:r>
      <w:r w:rsidR="003E1E77">
        <w:rPr>
          <w:b/>
          <w:i/>
          <w:u w:val="single"/>
        </w:rPr>
        <w:t>ë</w:t>
      </w:r>
      <w:r w:rsidR="00A9766F" w:rsidRPr="007114AF">
        <w:rPr>
          <w:b/>
          <w:i/>
          <w:u w:val="single"/>
        </w:rPr>
        <w:t>rdorimit t</w:t>
      </w:r>
      <w:r w:rsidR="003E1E77">
        <w:rPr>
          <w:b/>
          <w:i/>
          <w:u w:val="single"/>
        </w:rPr>
        <w:t>ë</w:t>
      </w:r>
      <w:r w:rsidR="00A9766F" w:rsidRPr="007114AF">
        <w:rPr>
          <w:b/>
          <w:i/>
          <w:u w:val="single"/>
        </w:rPr>
        <w:t xml:space="preserve"> burimeve t</w:t>
      </w:r>
      <w:r w:rsidR="003E1E77">
        <w:rPr>
          <w:b/>
          <w:i/>
          <w:u w:val="single"/>
        </w:rPr>
        <w:t>ë</w:t>
      </w:r>
      <w:r w:rsidR="00A9766F" w:rsidRPr="007114AF">
        <w:rPr>
          <w:b/>
          <w:i/>
          <w:u w:val="single"/>
        </w:rPr>
        <w:t xml:space="preserve"> rinovueshme t</w:t>
      </w:r>
      <w:r w:rsidR="003E1E77">
        <w:rPr>
          <w:b/>
          <w:i/>
          <w:u w:val="single"/>
        </w:rPr>
        <w:t>ë</w:t>
      </w:r>
      <w:r w:rsidR="00A9766F" w:rsidRPr="007114AF">
        <w:rPr>
          <w:b/>
          <w:i/>
          <w:u w:val="single"/>
        </w:rPr>
        <w:t xml:space="preserve"> energjie</w:t>
      </w:r>
      <w:r w:rsidR="000A2A01" w:rsidRPr="007114AF">
        <w:rPr>
          <w:b/>
          <w:i/>
          <w:u w:val="single"/>
        </w:rPr>
        <w:t>”</w:t>
      </w:r>
    </w:p>
    <w:p w14:paraId="6EDCFDBD" w14:textId="77777777" w:rsidR="00A9766F" w:rsidRPr="007114AF" w:rsidRDefault="00A9766F" w:rsidP="00206985">
      <w:pPr>
        <w:pStyle w:val="TEKSTI"/>
        <w:rPr>
          <w:i/>
        </w:rPr>
      </w:pPr>
      <w:r w:rsidRPr="007114AF">
        <w:rPr>
          <w:i/>
        </w:rPr>
        <w:t>Vlefshmëria: Nga hyrja në fuqi dhe më tej e pakufizuar deri në rishikime të mëtejshme</w:t>
      </w:r>
    </w:p>
    <w:p w14:paraId="6EDCFDBE" w14:textId="646D467E" w:rsidR="00A9766F" w:rsidRPr="007114AF" w:rsidRDefault="00A9766F" w:rsidP="00206985">
      <w:pPr>
        <w:pStyle w:val="TEKSTI"/>
      </w:pPr>
      <w:r w:rsidRPr="007114AF">
        <w:t>Ky ligj tregon prioritetet kryesore strategjike në fushën e burimeve të energjisë së rinovueshme në Shqipëri, dhe përcakton institucionet dhe instrumentet kryesore të përfshira në realizimin e prioriteteve të tilla. Ai ofron gjithashtu specifikime teknike të drejtpërdrejta që lidhen me rregullin e llogaritjes për pjesën e BER-it në prodhimin e energjisë, dhe për objektiva të ngjash</w:t>
      </w:r>
      <w:r w:rsidR="00414BCD">
        <w:t>ë</w:t>
      </w:r>
      <w:r w:rsidRPr="007114AF">
        <w:t xml:space="preserve">m dhe në integrimin në rrjetin e transmetimit të energjisë elektrike BER për prodhimin e energjisë elektrike. Përveç këtyre rregulloreve teknike, struktura e tij është shumë e ngjashme me </w:t>
      </w:r>
      <w:r w:rsidR="00414BCD" w:rsidRPr="007114AF">
        <w:t xml:space="preserve">ligjin e eficiencës së energjisë. </w:t>
      </w:r>
    </w:p>
    <w:p w14:paraId="6EDCFDBF" w14:textId="69688AE6" w:rsidR="00A9766F" w:rsidRPr="007114AF" w:rsidRDefault="00A9766F" w:rsidP="00206985">
      <w:pPr>
        <w:pStyle w:val="TEKSTI"/>
      </w:pPr>
      <w:r w:rsidRPr="007114AF">
        <w:t>Ky ligj nuk përcakton direkt objektivat sasiorë dhe as zgjedh masat e politikave për t</w:t>
      </w:r>
      <w:r w:rsidR="00D10DAB" w:rsidRPr="007114AF">
        <w:t>’</w:t>
      </w:r>
      <w:r w:rsidRPr="007114AF">
        <w:t>i zbatuar ato, por ia delegon zgjedhje të tilla akteve nënligjore dhe planeve të njëpasnjëshme të</w:t>
      </w:r>
      <w:r w:rsidR="00416FCE">
        <w:t xml:space="preserve"> </w:t>
      </w:r>
      <w:r w:rsidRPr="007114AF">
        <w:t>BER-it. Megjithatë, ai parashikon se objektiva të till</w:t>
      </w:r>
      <w:r w:rsidR="00414BCD">
        <w:t>ë</w:t>
      </w:r>
      <w:r w:rsidRPr="007114AF">
        <w:t xml:space="preserve"> duhen</w:t>
      </w:r>
      <w:r w:rsidR="00416FCE">
        <w:t xml:space="preserve"> </w:t>
      </w:r>
      <w:r w:rsidRPr="007114AF">
        <w:t>përcaktuar, dhe rendit një listë të mjeteve të politikave nga të cilat autoritetet përgjegjëse për zbatim mund të zgjedhin si ta gjykojnë të përshtatshme, pa qenë të detyruara të ndërmarrin masa specifike politikash. Sa i përket ligjit të EE-së, ka një set kryesor të mjeteve të përcaktuara në mënyrë të drejtpërdrejtë me ligj, kryesisht me natyrë teknike. Hollësi të mëtejshme mbi këto masa do të sigurohen në vijim të këtij seksioni.</w:t>
      </w:r>
    </w:p>
    <w:p w14:paraId="6EDCFDC0" w14:textId="6254A65C" w:rsidR="00A9766F" w:rsidRPr="007114AF" w:rsidRDefault="00A9766F" w:rsidP="00206985">
      <w:pPr>
        <w:pStyle w:val="TEKSTI"/>
      </w:pPr>
      <w:r w:rsidRPr="007114AF">
        <w:t>Ligji fillon me përcaktimin e qëllimit të përgjithshëm të tij (rritje të depërtimit të burimeve të rinovueshmeve, rritje të diversifikimit të burimeve të energjisë, ulje të shkarkimeve GES, promovimin e teknologjive të pastra). Më tej, rendit objektivat e politikave në nenin 2, të cilat përfshijnë përcaktimin e objektivave kombëtar</w:t>
      </w:r>
      <w:r w:rsidR="00414BCD">
        <w:t>ë</w:t>
      </w:r>
      <w:r w:rsidRPr="007114AF">
        <w:t xml:space="preserve">, përcaktimin e përgjegjësive administrative, si dhe </w:t>
      </w:r>
      <w:r w:rsidRPr="007114AF">
        <w:lastRenderedPageBreak/>
        <w:t xml:space="preserve">harton mekanizma nxitës për promovimin e BER-it. Terminologjia përkatëse përcaktohet në nenin 3. Në </w:t>
      </w:r>
      <w:r w:rsidR="00163F78">
        <w:t>k</w:t>
      </w:r>
      <w:r w:rsidRPr="007114AF">
        <w:t>reun II ligji i delegon Këshillit të Ministrave detyrën e përcaktimit të objektivave të detyruesh</w:t>
      </w:r>
      <w:r w:rsidR="00163F78">
        <w:t>ë</w:t>
      </w:r>
      <w:r w:rsidRPr="007114AF">
        <w:t>m për pjesën e BER-it në konsumin bruto të energjisë përfundimtare (neni 4), dhe i delegon Ministrisë së Energjisë, në vijim të propozimit të Agjencisë për Burimet e Energjisë së Rinovueshme,</w:t>
      </w:r>
      <w:r w:rsidR="00416FCE">
        <w:t xml:space="preserve"> </w:t>
      </w:r>
      <w:r w:rsidRPr="007114AF">
        <w:t>detyrën e hartimit të Planit Kombëtar të Veprimit të Energjisë së Rinovueshme dhe monitorimin e zbatimit</w:t>
      </w:r>
      <w:r w:rsidR="00416FCE">
        <w:t xml:space="preserve"> </w:t>
      </w:r>
      <w:r w:rsidRPr="007114AF">
        <w:t xml:space="preserve">të tij (neni 5). Neni 6 përcakton rregullat që duhen ndjekur në mënyrë që të llogariten pjesën e BER-it për vektorë të ndryshëm të energjisë dhe teknologjive, të cilat duhet të dorëzohen nga Agjencia BER, në Ministrinë e Energjisë dhe Entit Rregullator të Energjisë Elektrike (ERE) çdo vit. Rregullat për miratimin zyrtar nga ana e qeverisë të aktivitetit të monitorimit dhe raportimit të Agjencisë mbi zbatimin e Planit paraqiten në </w:t>
      </w:r>
      <w:r w:rsidR="00416FCE">
        <w:t>n</w:t>
      </w:r>
      <w:r w:rsidRPr="007114AF">
        <w:t xml:space="preserve">enin 7. </w:t>
      </w:r>
    </w:p>
    <w:p w14:paraId="6EDCFDC1" w14:textId="77777777" w:rsidR="00A9766F" w:rsidRPr="007114AF" w:rsidRDefault="00A9766F" w:rsidP="00206985">
      <w:pPr>
        <w:pStyle w:val="TEKSTI"/>
      </w:pPr>
      <w:r w:rsidRPr="007114AF">
        <w:t>Neni 8 ka të bëjë me autorizimin e projekteve të përbashkëta ndërmjet Qeverisë shqiptare, shteteve anëtare të BE-së ose palëve kontraktuese të Traktatit të Komunitetit të Energjisë. Neni 9 përmban një listë mjetesh të politikave të mundshme të cilat mund të përdoren në nxitjen e BER-it. Neni 10 përcakton Fondin e Burimeve të Energjisë së Rinovueshme, një mjet financiar që synon mbështetjen financiare të investimeve në BER, ndërsa neni 11 siguron rregullat bazë për administrimin e tij.</w:t>
      </w:r>
    </w:p>
    <w:p w14:paraId="6EDCFDC2" w14:textId="1DBB2791" w:rsidR="00A9766F" w:rsidRPr="007114AF" w:rsidRDefault="00A9766F" w:rsidP="00206985">
      <w:pPr>
        <w:pStyle w:val="TEKSTI"/>
      </w:pPr>
      <w:r w:rsidRPr="007114AF">
        <w:t>Neni 12 merret në terma shumë të përgjithshme me masat informuese dhe trajnuese për BER-in, duke siguruar një listë të veprimeve të mundshme mes të cilave ministria mund të zgjedhë nisma të veçanta dhe lejon përdorimin e Fondit BER si burim financues. Nenet 13 dhe 14 përcaktojnë rregullat të krijimit, përcaktimin e qëllimit dhe përgjegjësitë e Agjencisë BER, ndër të cilat: hartimin e planit BER, zhvillimin e rregullave të veçanta për kontabilitetin e energjisë së teknologjive të veçanta, zhvillimin e rregullave që autorizojnë dhe licen</w:t>
      </w:r>
      <w:r w:rsidR="00416FCE">
        <w:t>c</w:t>
      </w:r>
      <w:r w:rsidRPr="007114AF">
        <w:t xml:space="preserve">ojnë instalime të reja, mbledhjen dhe raportimin e informacioneve, të tilla si bilancet e energjisë dhe aksionet BER në konsumin e energjisë. </w:t>
      </w:r>
    </w:p>
    <w:p w14:paraId="6EDCFDC3" w14:textId="36FCEA4F" w:rsidR="00A9766F" w:rsidRPr="007114AF" w:rsidRDefault="00A9766F" w:rsidP="00206985">
      <w:pPr>
        <w:pStyle w:val="TEKSTI"/>
      </w:pPr>
      <w:r w:rsidRPr="007114AF">
        <w:t xml:space="preserve">Masa teknike të veçanta që synojnë nxitjen e BER-it përcaktohen më tej në </w:t>
      </w:r>
      <w:r w:rsidR="00416FCE">
        <w:t>k</w:t>
      </w:r>
      <w:r w:rsidRPr="007114AF">
        <w:t>reun III. Nenet 14-17 trajtojnë rregullat në lidhje me impiantet</w:t>
      </w:r>
      <w:r w:rsidR="00416FCE">
        <w:t xml:space="preserve"> </w:t>
      </w:r>
      <w:r w:rsidRPr="007114AF">
        <w:t>BER. Neni 18 përcakton prodhuesit të cilëve do t</w:t>
      </w:r>
      <w:r w:rsidR="00D10DAB" w:rsidRPr="007114AF">
        <w:t>’</w:t>
      </w:r>
      <w:r w:rsidRPr="007114AF">
        <w:t xml:space="preserve">iu jepet përparësi në shpërndarjen e energjisë elektrike, bazuar në kapacitetin e tyre (më pak se </w:t>
      </w:r>
      <w:r w:rsidR="00416FCE" w:rsidRPr="007114AF">
        <w:t>10mw</w:t>
      </w:r>
      <w:r w:rsidRPr="007114AF">
        <w:t>), dhe fakti në se ata përdorin BER-in. Procedurat parësore favorizohen nga ky ligj nëpërmjet nenit 21, ku</w:t>
      </w:r>
      <w:r w:rsidR="000A2A01" w:rsidRPr="007114AF">
        <w:t xml:space="preserve"> </w:t>
      </w:r>
      <w:r w:rsidRPr="007114AF">
        <w:t>jepen opsionet</w:t>
      </w:r>
      <w:r w:rsidR="00416FCE">
        <w:t xml:space="preserve"> </w:t>
      </w:r>
      <w:r w:rsidRPr="007114AF">
        <w:t>që, ose ta shesin energjinë e tyre elektrike në tregun konkurrues, ose t</w:t>
      </w:r>
      <w:r w:rsidR="00D10DAB" w:rsidRPr="007114AF">
        <w:t>’</w:t>
      </w:r>
      <w:r w:rsidRPr="007114AF">
        <w:t>ia shesin transmetimin e energjisë elektrike</w:t>
      </w:r>
      <w:r w:rsidR="000A2A01" w:rsidRPr="007114AF">
        <w:t xml:space="preserve"> </w:t>
      </w:r>
      <w:r w:rsidRPr="007114AF">
        <w:t>kompanive shpërndarëse (</w:t>
      </w:r>
      <w:r w:rsidR="000A2A01" w:rsidRPr="007114AF">
        <w:t>“</w:t>
      </w:r>
      <w:r w:rsidRPr="007114AF">
        <w:t>përfituesve</w:t>
      </w:r>
      <w:r w:rsidR="000A2A01" w:rsidRPr="007114AF">
        <w:t>”</w:t>
      </w:r>
      <w:r w:rsidRPr="007114AF">
        <w:t xml:space="preserve"> në përkthimin e ligjit që na është dhënë),që do të jenë më pas të detyruara ta blejnë në kushtet e paracaktuara nga ERE, ku përfshihet një tarifë furnizimi (neni</w:t>
      </w:r>
      <w:r w:rsidR="00416FCE">
        <w:t xml:space="preserve"> </w:t>
      </w:r>
      <w:r w:rsidRPr="007114AF">
        <w:t xml:space="preserve">22). Përfituesit do të jenë në gjendje të mbulojnë shpenzimet e bëra, për shkak të detyrimeve të tyre kontraktuale me prodhuesit parësorë, nga konsumatori përfundimtar (neni 22). Rregullat për caktimin e tarifave të furnizimit renditen në nenin 24. </w:t>
      </w:r>
    </w:p>
    <w:p w14:paraId="6EDCFDC4" w14:textId="4BA40CC6" w:rsidR="00A9766F" w:rsidRPr="007114AF" w:rsidRDefault="00A9766F" w:rsidP="00206985">
      <w:pPr>
        <w:pStyle w:val="TEKSTI"/>
      </w:pPr>
      <w:r w:rsidRPr="007114AF">
        <w:t xml:space="preserve">Prodhimi i Energjisë së Rinovueshme duhet të certifikohet në mënyrë që të marrë përfitimet që përcaktohen në </w:t>
      </w:r>
      <w:r w:rsidR="00416FCE">
        <w:t>k</w:t>
      </w:r>
      <w:r w:rsidRPr="007114AF">
        <w:t>reun II të ligjit, kjo kërkon një Garanci të Origjinës.</w:t>
      </w:r>
      <w:r w:rsidR="00416FCE">
        <w:t xml:space="preserve"> </w:t>
      </w:r>
      <w:r w:rsidRPr="007114AF">
        <w:t>Ky dokument lëshohet nga ERE me kërkesë të prodhuesit, për çdo MWh të prodhuar. Procedura për lëshimin e këtyre certifikatave jepet në mënyrë të detajuar në nenin 26.</w:t>
      </w:r>
    </w:p>
    <w:p w14:paraId="6EDCFDC5" w14:textId="5F1AFFA7" w:rsidR="00A9766F" w:rsidRPr="007114AF" w:rsidRDefault="00A9766F" w:rsidP="00206985">
      <w:pPr>
        <w:pStyle w:val="TEKSTI"/>
      </w:pPr>
      <w:r w:rsidRPr="007114AF">
        <w:t>Kreu IV trajton rregullimin e masave të mëtejshme që mbështesin përhapjen e BER-it në sektorët e ngrohjes dhe ftohjes, pra në atë fushë</w:t>
      </w:r>
      <w:r w:rsidR="00416FCE">
        <w:t xml:space="preserve"> </w:t>
      </w:r>
      <w:r w:rsidRPr="007114AF">
        <w:t>që lidhet drejtpërdrejt me sjelljen dhe vendimet e konsumatorit familjar dhe biznesit të vogël. Ai trajton objektivat minimalë (neni 30), veçanërisht për bojlerët diellorë,</w:t>
      </w:r>
      <w:r w:rsidR="000A2A01" w:rsidRPr="007114AF">
        <w:t xml:space="preserve"> </w:t>
      </w:r>
      <w:r w:rsidRPr="007114AF">
        <w:t>dhe i jep mundësi</w:t>
      </w:r>
      <w:r w:rsidR="00416FCE">
        <w:t xml:space="preserve"> </w:t>
      </w:r>
      <w:r w:rsidRPr="007114AF">
        <w:t xml:space="preserve">ministrisë të vendosë instalimin e detyrueshëm të sistemeve të ngrohjes diellore të ujit, bazuar në karakteristikat e banesave. Neni 31 përmban lidhjet interesante me ligjin e Energjisë Efikase, sepse instalimi i bojlerëve duhet të konsiderohet nga certifikimi i performancës së energjisë së banesave dhe në mënyrë analoge, në rastin e eficiencës së energjisë, ndërtesave publike u kërkohet të vendosin një shembull dhe të jenë të parat që instalojnë bojlerë të tillë. Bojlerët diellorë të instaluar duhet të përmbushin standarde teknike të përcaktuara nga Këshilli i Ministrave. Këto standarde, nëse është e mundur, duhet të hartohen duke ndjekur kriteret e BE-së dhe të testohen duke ndjekur procedurat e BE-së (neni 32). Instalimi i sistemeve me ngrohje diellore do të gëzojë të drejtën e përjashtimit nga TVSH-ja </w:t>
      </w:r>
      <w:r w:rsidR="00416FCE">
        <w:lastRenderedPageBreak/>
        <w:t>dhe detyrimet doganore (neni</w:t>
      </w:r>
      <w:r w:rsidRPr="007114AF">
        <w:t xml:space="preserve"> 33). Grantet në sektorin bujqësor deri në 30% të kostos së investimit për ngrohje dhe ftohje, duke përdorur burimet e rinovueshme, parashikohen në nenin 34. Së fundi, drafti përfshin titullin për nenin 35 mbi sanksionet administrative, i cili nuk ishte hartuar ende në kohën e shkrimit të këtij dokumenti.</w:t>
      </w:r>
    </w:p>
    <w:p w14:paraId="6EDCFDC6" w14:textId="689A61F7" w:rsidR="00A9766F" w:rsidRPr="007114AF" w:rsidRDefault="00A9766F" w:rsidP="00206985">
      <w:pPr>
        <w:pStyle w:val="TEKSTI"/>
        <w:rPr>
          <w:b/>
          <w:i/>
          <w:u w:val="single"/>
        </w:rPr>
      </w:pPr>
      <w:r w:rsidRPr="007114AF">
        <w:rPr>
          <w:b/>
          <w:i/>
          <w:u w:val="single"/>
        </w:rPr>
        <w:t xml:space="preserve">Ligji </w:t>
      </w:r>
      <w:r w:rsidR="00416FCE">
        <w:rPr>
          <w:b/>
          <w:i/>
          <w:u w:val="single"/>
        </w:rPr>
        <w:t xml:space="preserve">nr. </w:t>
      </w:r>
      <w:r w:rsidRPr="007114AF">
        <w:rPr>
          <w:b/>
          <w:i/>
          <w:u w:val="single"/>
        </w:rPr>
        <w:t xml:space="preserve">116/2016 </w:t>
      </w:r>
      <w:r w:rsidR="000A2A01" w:rsidRPr="007114AF">
        <w:rPr>
          <w:b/>
          <w:i/>
          <w:u w:val="single"/>
        </w:rPr>
        <w:t>“</w:t>
      </w:r>
      <w:r w:rsidRPr="007114AF">
        <w:rPr>
          <w:b/>
          <w:i/>
          <w:u w:val="single"/>
        </w:rPr>
        <w:t>P</w:t>
      </w:r>
      <w:r w:rsidR="00416FCE">
        <w:rPr>
          <w:b/>
          <w:i/>
          <w:u w:val="single"/>
        </w:rPr>
        <w:t>ë</w:t>
      </w:r>
      <w:r w:rsidRPr="007114AF">
        <w:rPr>
          <w:b/>
          <w:i/>
          <w:u w:val="single"/>
        </w:rPr>
        <w:t>r performanc</w:t>
      </w:r>
      <w:r w:rsidR="00416FCE">
        <w:rPr>
          <w:b/>
          <w:i/>
          <w:u w:val="single"/>
        </w:rPr>
        <w:t>ë</w:t>
      </w:r>
      <w:r w:rsidRPr="007114AF">
        <w:rPr>
          <w:b/>
          <w:i/>
          <w:u w:val="single"/>
        </w:rPr>
        <w:t xml:space="preserve">n e </w:t>
      </w:r>
      <w:r w:rsidR="00416FCE" w:rsidRPr="007114AF">
        <w:rPr>
          <w:b/>
          <w:i/>
          <w:u w:val="single"/>
        </w:rPr>
        <w:t>energjisë</w:t>
      </w:r>
      <w:r w:rsidRPr="007114AF">
        <w:rPr>
          <w:b/>
          <w:i/>
          <w:u w:val="single"/>
        </w:rPr>
        <w:t xml:space="preserve"> s</w:t>
      </w:r>
      <w:r w:rsidR="00416FCE">
        <w:rPr>
          <w:b/>
          <w:i/>
          <w:u w:val="single"/>
        </w:rPr>
        <w:t>ë</w:t>
      </w:r>
      <w:r w:rsidRPr="007114AF">
        <w:rPr>
          <w:b/>
          <w:i/>
          <w:u w:val="single"/>
        </w:rPr>
        <w:t xml:space="preserve"> </w:t>
      </w:r>
      <w:r w:rsidR="00416FCE" w:rsidRPr="007114AF">
        <w:rPr>
          <w:b/>
          <w:i/>
          <w:u w:val="single"/>
        </w:rPr>
        <w:t>ndërtesave</w:t>
      </w:r>
      <w:r w:rsidR="000A2A01" w:rsidRPr="007114AF">
        <w:rPr>
          <w:b/>
          <w:i/>
          <w:u w:val="single"/>
        </w:rPr>
        <w:t>”</w:t>
      </w:r>
    </w:p>
    <w:p w14:paraId="6EDCFDC7" w14:textId="77777777" w:rsidR="00A9766F" w:rsidRPr="007114AF" w:rsidRDefault="00A9766F" w:rsidP="00206985">
      <w:pPr>
        <w:pStyle w:val="TEKSTI"/>
        <w:rPr>
          <w:i/>
        </w:rPr>
      </w:pPr>
      <w:r w:rsidRPr="007114AF">
        <w:rPr>
          <w:i/>
        </w:rPr>
        <w:t>Vlefshmëria: Nga hyrja në fuqi dhe më tej e pakufizuar deri në rishikime të mëtejshme</w:t>
      </w:r>
    </w:p>
    <w:p w14:paraId="6EDCFDC8" w14:textId="7DDAACA8" w:rsidR="00A9766F" w:rsidRPr="007114AF" w:rsidRDefault="00A9766F" w:rsidP="00206985">
      <w:pPr>
        <w:pStyle w:val="TEKSTI"/>
      </w:pPr>
      <w:r w:rsidRPr="007114AF">
        <w:t xml:space="preserve">Një pjesë e veçantë e legjislacionit parësor mbi performancën e energjisë në banesa (Projektligji PEN) është përgatitur në përputhje me dispozitat e </w:t>
      </w:r>
      <w:r w:rsidR="00416FCE" w:rsidRPr="007114AF">
        <w:t>direktivave të banesave mbi performancën e energjisë s</w:t>
      </w:r>
      <w:r w:rsidRPr="007114AF">
        <w:t>ë BE-së</w:t>
      </w:r>
      <w:r w:rsidR="000A2A01" w:rsidRPr="007114AF">
        <w:t xml:space="preserve"> </w:t>
      </w:r>
      <w:r w:rsidRPr="007114AF">
        <w:t>(</w:t>
      </w:r>
      <w:r w:rsidR="00416FCE">
        <w:t>d</w:t>
      </w:r>
      <w:r w:rsidRPr="007114AF">
        <w:t xml:space="preserve">irektiva 2010/31/EU). </w:t>
      </w:r>
    </w:p>
    <w:p w14:paraId="6EDCFDC9" w14:textId="6216E8B4" w:rsidR="00A9766F" w:rsidRPr="007114AF" w:rsidRDefault="00A9766F" w:rsidP="00206985">
      <w:pPr>
        <w:pStyle w:val="TEKSTI"/>
      </w:pPr>
      <w:r w:rsidRPr="007114AF">
        <w:t>Ligji</w:t>
      </w:r>
      <w:r w:rsidR="000A2A01" w:rsidRPr="007114AF">
        <w:t xml:space="preserve"> </w:t>
      </w:r>
      <w:r w:rsidRPr="007114AF">
        <w:t xml:space="preserve">i PEN-it përfshin dispozitat përkatëse për banesa me energji thuajse zero (NZEB), dhe për këtë arsye përcakton bazën për identifikimin e objektivit (objektivave) kombëtar përkatës dhe përgatitjen e planit për arritjen e objektivit (objektivave). Në mënyrë të veçantë, dispozitat përkatëse të </w:t>
      </w:r>
      <w:r w:rsidR="00416FCE">
        <w:t>l</w:t>
      </w:r>
      <w:r w:rsidRPr="007114AF">
        <w:t>igjit për PEN parashikojnë ndër të tjera</w:t>
      </w:r>
      <w:r w:rsidR="00191838" w:rsidRPr="007114AF">
        <w:t>:</w:t>
      </w:r>
    </w:p>
    <w:p w14:paraId="6EDCFDCA" w14:textId="63C7356B" w:rsidR="00A9766F" w:rsidRPr="007114AF" w:rsidRDefault="00214466" w:rsidP="00206985">
      <w:pPr>
        <w:pStyle w:val="TEKSTI"/>
      </w:pPr>
      <w:r w:rsidRPr="007114AF">
        <w:t xml:space="preserve">- </w:t>
      </w:r>
      <w:r w:rsidR="00A9766F" w:rsidRPr="007114AF">
        <w:t>Përgjegjësinë për përgatitjen e planit do ta mbajnë</w:t>
      </w:r>
      <w:r w:rsidR="000A2A01" w:rsidRPr="007114AF">
        <w:t xml:space="preserve"> </w:t>
      </w:r>
      <w:r w:rsidR="00A9766F" w:rsidRPr="007114AF">
        <w:t>ministritë e energjisë dhe ndërtimit;</w:t>
      </w:r>
    </w:p>
    <w:p w14:paraId="6EDCFDCB" w14:textId="468F3EB8" w:rsidR="00A9766F" w:rsidRPr="007114AF" w:rsidRDefault="00214466" w:rsidP="00206985">
      <w:pPr>
        <w:pStyle w:val="TEKSTI"/>
      </w:pPr>
      <w:r w:rsidRPr="007114AF">
        <w:t xml:space="preserve">- </w:t>
      </w:r>
      <w:r w:rsidR="00A9766F" w:rsidRPr="007114AF">
        <w:t>Objektivat janë vendosur për t</w:t>
      </w:r>
      <w:r w:rsidR="00D10DAB" w:rsidRPr="007114AF">
        <w:t>’</w:t>
      </w:r>
      <w:r w:rsidR="00A9766F" w:rsidRPr="007114AF">
        <w:t>u zbatuar nga të gjitha banesat e reja publike, pas 31 dhjetorit 2018, dhe nga të gjitha ndërtesat e reja, pas 31 dhjetorit 2020;</w:t>
      </w:r>
    </w:p>
    <w:p w14:paraId="6EDCFDCC" w14:textId="4461DE9D" w:rsidR="00A9766F" w:rsidRPr="007114AF" w:rsidRDefault="00214466" w:rsidP="00206985">
      <w:pPr>
        <w:pStyle w:val="TEKSTI"/>
      </w:pPr>
      <w:r w:rsidRPr="007114AF">
        <w:t xml:space="preserve">- </w:t>
      </w:r>
      <w:r w:rsidR="00A9766F" w:rsidRPr="007114AF">
        <w:t>Objektivat e ndërmjet</w:t>
      </w:r>
      <w:r w:rsidR="00163F78">
        <w:t>ë</w:t>
      </w:r>
      <w:r w:rsidR="00A9766F" w:rsidRPr="007114AF">
        <w:t>m që janë vendosur për përmirësimin e performancës së banesave të reja dhe stokut të banesave ekzistuese, të cilat mund të jenë të diferencuara, sipas kategorisë së ndërtimit.</w:t>
      </w:r>
    </w:p>
    <w:p w14:paraId="6EDCFDCD" w14:textId="77777777" w:rsidR="00A9766F" w:rsidRPr="007114AF" w:rsidRDefault="00A9766F" w:rsidP="00206985">
      <w:pPr>
        <w:pStyle w:val="TEKSTI"/>
      </w:pPr>
      <w:r w:rsidRPr="007114AF">
        <w:t>Masat kryesore të kursimit të energjisë të cilat përfshihen në ligj janë:</w:t>
      </w:r>
    </w:p>
    <w:p w14:paraId="6EDCFDCE" w14:textId="77777777" w:rsidR="00A9766F" w:rsidRPr="007114AF" w:rsidRDefault="00214466" w:rsidP="00206985">
      <w:pPr>
        <w:pStyle w:val="TEKSTI"/>
      </w:pPr>
      <w:r w:rsidRPr="007114AF">
        <w:rPr>
          <w:b/>
        </w:rPr>
        <w:t xml:space="preserve">- </w:t>
      </w:r>
      <w:r w:rsidR="00A9766F" w:rsidRPr="007114AF">
        <w:rPr>
          <w:b/>
        </w:rPr>
        <w:t>Taksa e shkarkimeve direkte CO</w:t>
      </w:r>
      <w:r w:rsidR="00A9766F" w:rsidRPr="007114AF">
        <w:rPr>
          <w:b/>
          <w:vertAlign w:val="subscript"/>
        </w:rPr>
        <w:t>2</w:t>
      </w:r>
      <w:r w:rsidR="00A9766F" w:rsidRPr="007114AF">
        <w:rPr>
          <w:b/>
        </w:rPr>
        <w:t xml:space="preserve"> për banesat bazuar në performancën e energjisë së banesave,</w:t>
      </w:r>
      <w:r w:rsidR="00A9766F" w:rsidRPr="007114AF">
        <w:t xml:space="preserve"> e cila parashikon funksionin e menjëhershëm të Fondit për Eficiencën e Energjisë, në mënyrë që fondet të kanalizohen në programet e eficiencës së energjisë. </w:t>
      </w:r>
    </w:p>
    <w:p w14:paraId="6EDCFDCF" w14:textId="77777777" w:rsidR="00A9766F" w:rsidRPr="007114AF" w:rsidRDefault="00214466" w:rsidP="00206985">
      <w:pPr>
        <w:pStyle w:val="TEKSTI"/>
      </w:pPr>
      <w:r w:rsidRPr="007114AF">
        <w:rPr>
          <w:b/>
        </w:rPr>
        <w:t xml:space="preserve">- </w:t>
      </w:r>
      <w:r w:rsidR="00A9766F" w:rsidRPr="007114AF">
        <w:rPr>
          <w:b/>
        </w:rPr>
        <w:t>Zbatimi i skemës së certifikimit të performancës së energjisë bazuar në energjinë përfundimtare</w:t>
      </w:r>
      <w:r w:rsidR="00A9766F" w:rsidRPr="007114AF">
        <w:t>. Përkufizimi i faktorëve parësorë të energjisë dhe shkarkimeve CO</w:t>
      </w:r>
      <w:r w:rsidR="00A9766F" w:rsidRPr="007114AF">
        <w:rPr>
          <w:vertAlign w:val="subscript"/>
        </w:rPr>
        <w:t>2</w:t>
      </w:r>
      <w:r w:rsidR="00A9766F" w:rsidRPr="007114AF">
        <w:t xml:space="preserve"> bazuar në bilancin kombëtar të energjisë.</w:t>
      </w:r>
    </w:p>
    <w:p w14:paraId="6EDCFDD0" w14:textId="2B7ADC47" w:rsidR="00A9766F" w:rsidRPr="007114AF" w:rsidRDefault="00214466" w:rsidP="00206985">
      <w:pPr>
        <w:pStyle w:val="TEKSTI"/>
      </w:pPr>
      <w:r w:rsidRPr="007114AF">
        <w:rPr>
          <w:b/>
        </w:rPr>
        <w:t xml:space="preserve">- </w:t>
      </w:r>
      <w:r w:rsidR="00A9766F" w:rsidRPr="007114AF">
        <w:rPr>
          <w:b/>
        </w:rPr>
        <w:t>Certifikimi i energjisë për banesat</w:t>
      </w:r>
      <w:r w:rsidR="00A9766F" w:rsidRPr="007114AF">
        <w:t xml:space="preserve">, në përputhje me kuadrin ligjor aktual (Kodi i Energjisë së Banesave dhe </w:t>
      </w:r>
      <w:r w:rsidR="00AE747C">
        <w:t>l</w:t>
      </w:r>
      <w:r w:rsidR="00A9766F" w:rsidRPr="007114AF">
        <w:t>igji i EE-së).</w:t>
      </w:r>
    </w:p>
    <w:p w14:paraId="6EDCFDD1" w14:textId="2887F291" w:rsidR="00A9766F" w:rsidRPr="007114AF" w:rsidRDefault="00A9766F" w:rsidP="00206985">
      <w:pPr>
        <w:pStyle w:val="TEKSTI"/>
      </w:pPr>
      <w:r w:rsidRPr="007114AF">
        <w:rPr>
          <w:b/>
        </w:rPr>
        <w:t xml:space="preserve">Prokurimi publik </w:t>
      </w:r>
      <w:r w:rsidR="00AE747C">
        <w:rPr>
          <w:b/>
        </w:rPr>
        <w:t>“</w:t>
      </w:r>
      <w:r w:rsidRPr="007114AF">
        <w:rPr>
          <w:b/>
        </w:rPr>
        <w:t>i gjelbër</w:t>
      </w:r>
      <w:r w:rsidR="00AE747C">
        <w:rPr>
          <w:b/>
        </w:rPr>
        <w:t>”</w:t>
      </w:r>
      <w:r w:rsidRPr="007114AF">
        <w:t>: Ministria e Turizmit dhe Mjedisit, në bashkëpunim me Ministrinë e Infrastrukturës dhe Energjisë si dhe me organizma të tjerë, duhet të hartojnë një manual udhëzimesh për integrimin e kërkesave të eficiencës së energjisë në procedurat e prokurimit publik, të cilat do të përfshijnë një zhvillim të detajuar të kritereve teknike për prokurimin e gjelbër për produkte të caktuara. Me udhëzim të qeverisë, ky manual duhet t</w:t>
      </w:r>
      <w:r w:rsidR="00D10DAB" w:rsidRPr="007114AF">
        <w:t>’</w:t>
      </w:r>
      <w:r w:rsidRPr="007114AF">
        <w:t>u dërgohet të gjitha institucioneve shtetërore dhe autoriteteve rajonale dhe vendore. Pas hartimit të manualit, duhet të hartohen dhe zbatohen kurse dhe aktivitete të tjera edukative për punonjësit e administratës publike qendrore dhe vendore, të cilët do të kryejnë prokurimin,</w:t>
      </w:r>
      <w:r w:rsidR="00AE747C">
        <w:t xml:space="preserve"> </w:t>
      </w:r>
      <w:r w:rsidRPr="007114AF">
        <w:t>si edhe të krijohet një sistem monitorimi për përdorimin e kritereve të gjelbra.</w:t>
      </w:r>
      <w:r w:rsidR="00AE747C">
        <w:t xml:space="preserve"> </w:t>
      </w:r>
      <w:r w:rsidRPr="007114AF">
        <w:t>Megjithatë, zbatimi i plotë i ligjit qëndron mbi zhvillimin akteve nënligjore shoqëruese, që përfshijnë:</w:t>
      </w:r>
    </w:p>
    <w:p w14:paraId="6EDCFDD2" w14:textId="77777777" w:rsidR="00A9766F" w:rsidRPr="007114AF" w:rsidRDefault="00214466" w:rsidP="00206985">
      <w:pPr>
        <w:pStyle w:val="TEKSTI"/>
      </w:pPr>
      <w:r w:rsidRPr="007114AF">
        <w:t xml:space="preserve">- </w:t>
      </w:r>
      <w:r w:rsidR="00A9766F" w:rsidRPr="007114AF">
        <w:t>Një Metodë Kombëtare të Llogaritjes (NCM) për llogaritjen e performancës së energjisë së integruar të një ndërtese apo njësive të ndërtimit dhe që janë përdorur në llogaritjen e niveleve optimale të kostos së kërkesave të performancës së energjisë për ndërtesat, njësitë dhe elementët e ndërtimit që do të mundësojnë lëshimin e certifikatave të performancës së energjisë (CPEs).</w:t>
      </w:r>
    </w:p>
    <w:p w14:paraId="6EDCFDD3" w14:textId="77777777" w:rsidR="00A9766F" w:rsidRPr="007114AF" w:rsidRDefault="00214466" w:rsidP="00206985">
      <w:pPr>
        <w:pStyle w:val="TEKSTI"/>
      </w:pPr>
      <w:r w:rsidRPr="007114AF">
        <w:t xml:space="preserve">- </w:t>
      </w:r>
      <w:r w:rsidR="00A9766F" w:rsidRPr="007114AF">
        <w:t>Kërkesat minimale të performancës së energjisë për ndërtesat (të llogaritura në përputhje me NCM).</w:t>
      </w:r>
    </w:p>
    <w:p w14:paraId="6EDCFDD4" w14:textId="35F4C9AC" w:rsidR="00A9766F" w:rsidRPr="007114AF" w:rsidRDefault="00214466" w:rsidP="00206985">
      <w:pPr>
        <w:pStyle w:val="TEKSTI"/>
      </w:pPr>
      <w:r w:rsidRPr="007114AF">
        <w:t xml:space="preserve">- </w:t>
      </w:r>
      <w:r w:rsidR="00A9766F" w:rsidRPr="007114AF">
        <w:t>Kërkesat e sistemit për performancën e përgjithshme të energjisë, instalimin dhe dimensionimin e duhur,</w:t>
      </w:r>
      <w:r w:rsidR="000A2A01" w:rsidRPr="007114AF">
        <w:t xml:space="preserve"> </w:t>
      </w:r>
      <w:r w:rsidR="00A9766F" w:rsidRPr="007114AF">
        <w:t>rregullimin dhe kontrollin e sistemeve teknike të ndërtimit në ndërtesat ekzistuese.</w:t>
      </w:r>
    </w:p>
    <w:p w14:paraId="6EDCFDD5" w14:textId="77777777" w:rsidR="00A9766F" w:rsidRPr="007114AF" w:rsidRDefault="00214466" w:rsidP="00206985">
      <w:pPr>
        <w:pStyle w:val="TEKSTI"/>
      </w:pPr>
      <w:r w:rsidRPr="007114AF">
        <w:t xml:space="preserve">- </w:t>
      </w:r>
      <w:r w:rsidR="00A9766F" w:rsidRPr="007114AF">
        <w:t>Metodologjia për llogaritjen e kërkesave të performancës së energjisë për banesat, njësitë dhe elementet e ndërtimit.</w:t>
      </w:r>
    </w:p>
    <w:p w14:paraId="6EDCFDD6" w14:textId="77777777" w:rsidR="00A9766F" w:rsidRPr="007114AF" w:rsidRDefault="00214466" w:rsidP="00206985">
      <w:pPr>
        <w:pStyle w:val="TEKSTI"/>
      </w:pPr>
      <w:r w:rsidRPr="007114AF">
        <w:t xml:space="preserve">- </w:t>
      </w:r>
      <w:r w:rsidR="00A9766F" w:rsidRPr="007114AF">
        <w:t>Kërkesat minimale të performancës dhe kërkesat e përdorimit të sistemit alternativ me eficiencë të lartë për banesa që përdorin 100% energji të rinovueshme.</w:t>
      </w:r>
    </w:p>
    <w:p w14:paraId="6EDCFDD7" w14:textId="77777777" w:rsidR="00A9766F" w:rsidRPr="007114AF" w:rsidRDefault="00214466" w:rsidP="00206985">
      <w:pPr>
        <w:pStyle w:val="TEKSTI"/>
      </w:pPr>
      <w:r w:rsidRPr="007114AF">
        <w:lastRenderedPageBreak/>
        <w:t xml:space="preserve">- </w:t>
      </w:r>
      <w:r w:rsidR="00A9766F" w:rsidRPr="007114AF">
        <w:t>Procedurat me të cilat do të kryhet certifikimi i energjisë së banesave dhe njësive të ndërtimit, si dhe për llojin, mostrën, përmbajtjen, ashtu edhe për procedurat për lëshimin dhe regjistrimin e certifikatës së performancës së energjisë të njësisë përkatëse.</w:t>
      </w:r>
    </w:p>
    <w:p w14:paraId="6EDCFDD8" w14:textId="77777777" w:rsidR="00A9766F" w:rsidRPr="007114AF" w:rsidRDefault="00214466" w:rsidP="00206985">
      <w:pPr>
        <w:pStyle w:val="TEKSTI"/>
      </w:pPr>
      <w:r w:rsidRPr="007114AF">
        <w:t xml:space="preserve">- </w:t>
      </w:r>
      <w:r w:rsidR="00A9766F" w:rsidRPr="007114AF">
        <w:t>Procedurat për inspektimin e sistemeve të ngrohjes dhe ajrit të kondicionuar.</w:t>
      </w:r>
    </w:p>
    <w:p w14:paraId="6EDCFDD9" w14:textId="77777777" w:rsidR="00A9766F" w:rsidRPr="007114AF" w:rsidRDefault="00214466" w:rsidP="00206985">
      <w:pPr>
        <w:pStyle w:val="TEKSTI"/>
      </w:pPr>
      <w:r w:rsidRPr="007114AF">
        <w:t xml:space="preserve">- </w:t>
      </w:r>
      <w:r w:rsidR="00A9766F" w:rsidRPr="007114AF">
        <w:t>Ekspertiza e një eksperti të pavarur dhe kërkesat e përshtatshme për procedurat e certifikimit, procedurat operative si dhe ato të regjistrimit, mbikëqyrjes dhe trajnimit.</w:t>
      </w:r>
    </w:p>
    <w:p w14:paraId="6EDCFDDA" w14:textId="77777777" w:rsidR="00A9766F" w:rsidRPr="007114AF" w:rsidRDefault="00214466" w:rsidP="00206985">
      <w:pPr>
        <w:pStyle w:val="TEKSTI"/>
      </w:pPr>
      <w:r w:rsidRPr="007114AF">
        <w:t xml:space="preserve">- </w:t>
      </w:r>
      <w:r w:rsidR="00A9766F" w:rsidRPr="007114AF">
        <w:t>Një kod i praktikës për ekspertë të pavarur që kryen certifikimin e energjisë të banesave dhe njësive të banimit.</w:t>
      </w:r>
    </w:p>
    <w:p w14:paraId="6EDCFDDB" w14:textId="77777777" w:rsidR="00A9766F" w:rsidRPr="007114AF" w:rsidRDefault="00214466" w:rsidP="00206985">
      <w:pPr>
        <w:pStyle w:val="TEKSTI"/>
      </w:pPr>
      <w:r w:rsidRPr="007114AF">
        <w:t xml:space="preserve">- </w:t>
      </w:r>
      <w:r w:rsidR="00A9766F" w:rsidRPr="007114AF">
        <w:t>Një sistem i pavarur kontrolli që verifikon CPEs me anë të një verifikimi të të dhënave të banesave dhe njësive të banimit të përdorura, për të lëshuar certifikatën e performancës së energjisë dhe rezultat e përcaktuara në certifikatë.</w:t>
      </w:r>
    </w:p>
    <w:p w14:paraId="6EDCFDDC" w14:textId="77777777" w:rsidR="00A9766F" w:rsidRPr="007114AF" w:rsidRDefault="00A9766F" w:rsidP="00206985">
      <w:pPr>
        <w:pStyle w:val="TEKSTI"/>
      </w:pPr>
      <w:r w:rsidRPr="007114AF">
        <w:t>Ligji PEN kërkon gjithashtu, që ministria përgjegjëse për ndërtimin, të hartojë një plan kombëtar për të rritur numrin e banesave që përdorin pothuajse 100% energji të rinovueshme në Shqipëri. Plani do të përfshijë:</w:t>
      </w:r>
    </w:p>
    <w:p w14:paraId="6EDCFDDD" w14:textId="77777777" w:rsidR="00A9766F" w:rsidRPr="007114AF" w:rsidRDefault="00214466" w:rsidP="00206985">
      <w:pPr>
        <w:pStyle w:val="TEKSTI"/>
      </w:pPr>
      <w:r w:rsidRPr="007114AF">
        <w:t xml:space="preserve">- </w:t>
      </w:r>
      <w:r w:rsidR="00A9766F" w:rsidRPr="007114AF">
        <w:t>Përkufizimin e detajuar për banesat që përdorin pothuajse 100% energji të rinovueshme në Shqipëri, me një referencë me tregues numerik të përdorimit të energjisë primare (në kWh/m</w:t>
      </w:r>
      <w:r w:rsidR="00A9766F" w:rsidRPr="007114AF">
        <w:rPr>
          <w:vertAlign w:val="superscript"/>
        </w:rPr>
        <w:t>2</w:t>
      </w:r>
      <w:r w:rsidR="00A9766F" w:rsidRPr="007114AF">
        <w:t xml:space="preserve"> në vit).</w:t>
      </w:r>
    </w:p>
    <w:p w14:paraId="6EDCFDDE" w14:textId="77777777" w:rsidR="00A9766F" w:rsidRPr="007114AF" w:rsidRDefault="00214466" w:rsidP="00206985">
      <w:pPr>
        <w:pStyle w:val="TEKSTI"/>
      </w:pPr>
      <w:r w:rsidRPr="007114AF">
        <w:t xml:space="preserve">- </w:t>
      </w:r>
      <w:r w:rsidR="00A9766F" w:rsidRPr="007114AF">
        <w:t>Objektivin se të gjitha ndërtesat e reja duhet ta përmbushin këtë kusht deri në 31 dhjetor 2020.</w:t>
      </w:r>
    </w:p>
    <w:p w14:paraId="6EDCFDDF" w14:textId="566E66DE" w:rsidR="00A9766F" w:rsidRPr="007114AF" w:rsidRDefault="00214466" w:rsidP="00206985">
      <w:pPr>
        <w:pStyle w:val="TEKSTI"/>
      </w:pPr>
      <w:r w:rsidRPr="007114AF">
        <w:t xml:space="preserve">- </w:t>
      </w:r>
      <w:r w:rsidR="00A9766F" w:rsidRPr="007114AF">
        <w:t xml:space="preserve">Objektivin se të gjitha banesat e reja të banuara dhe në pronësi të autoriteteve publike duhet ta përmbushin këtë kusht deri </w:t>
      </w:r>
      <w:r w:rsidR="00AE747C">
        <w:t>m</w:t>
      </w:r>
      <w:r w:rsidR="00A9766F" w:rsidRPr="007114AF">
        <w:t>ë 31 dhjetor 2018.</w:t>
      </w:r>
    </w:p>
    <w:p w14:paraId="6EDCFDE0" w14:textId="11FC2328" w:rsidR="00A9766F" w:rsidRPr="007114AF" w:rsidRDefault="00214466" w:rsidP="00206985">
      <w:pPr>
        <w:pStyle w:val="TEKSTI"/>
      </w:pPr>
      <w:r w:rsidRPr="007114AF">
        <w:t xml:space="preserve">- </w:t>
      </w:r>
      <w:r w:rsidR="00A9766F" w:rsidRPr="007114AF">
        <w:t>Objektivat e ndërmjet</w:t>
      </w:r>
      <w:r w:rsidR="00163F78">
        <w:t>ë</w:t>
      </w:r>
      <w:r w:rsidR="00A9766F" w:rsidRPr="007114AF">
        <w:t>m për të përmirësuar performancën e banesave të reja dhe të stokut të banesave ekzistuese.</w:t>
      </w:r>
    </w:p>
    <w:p w14:paraId="6EDCFDE1" w14:textId="77777777" w:rsidR="00A9766F" w:rsidRPr="007114AF" w:rsidRDefault="00214466" w:rsidP="00206985">
      <w:pPr>
        <w:pStyle w:val="TEKSTI"/>
      </w:pPr>
      <w:r w:rsidRPr="007114AF">
        <w:t xml:space="preserve">- </w:t>
      </w:r>
      <w:r w:rsidR="00A9766F" w:rsidRPr="007114AF">
        <w:t>Objektivat e ndryshëm që varen nga kategoria e banesave.</w:t>
      </w:r>
    </w:p>
    <w:p w14:paraId="6EDCFDE2" w14:textId="4163E838" w:rsidR="00A9766F" w:rsidRPr="007114AF" w:rsidRDefault="00214466" w:rsidP="00206985">
      <w:pPr>
        <w:pStyle w:val="TEKSTI"/>
      </w:pPr>
      <w:r w:rsidRPr="007114AF">
        <w:t xml:space="preserve">- </w:t>
      </w:r>
      <w:r w:rsidR="00A9766F" w:rsidRPr="007114AF">
        <w:t>Informacionin mbi politikat shtesë dhe ato financiare ose masa të tjera të nevojshme për përmbushjen e këtyre objektivave. Plani do të konsiderojë instrumentet më të përshtatshme çdo tre vjet, duke filluar nga data 30 qershor 2015, do të rendisë masat ekzistuese, si dhe masat dhe instrumentet e propozuara.</w:t>
      </w:r>
      <w:r w:rsidR="000A2A01" w:rsidRPr="007114AF">
        <w:t xml:space="preserve"> </w:t>
      </w:r>
    </w:p>
    <w:p w14:paraId="6EDCFDE3" w14:textId="10DD60C5" w:rsidR="00A9766F" w:rsidRPr="007114AF" w:rsidRDefault="00A9766F" w:rsidP="00206985">
      <w:pPr>
        <w:pStyle w:val="TEKSTI"/>
      </w:pPr>
      <w:r w:rsidRPr="007114AF">
        <w:t>Ky ligj i përgjigjet një objektivi strategjik të përcaktuar brenda SKZHI-II, i cili</w:t>
      </w:r>
      <w:r w:rsidR="000A2A01" w:rsidRPr="007114AF">
        <w:t xml:space="preserve"> </w:t>
      </w:r>
      <w:r w:rsidRPr="007114AF">
        <w:t>përcakton gjithashtu MIE si entin kryesor përgjegjës për përmbushjen e objektivave të përcaktuar në SKZHI-II me asistencën e Agjencisë Rregullatore të Energjisë dhe Agjencinë Kombëtare të Burimeve Natyrore.</w:t>
      </w:r>
    </w:p>
    <w:p w14:paraId="6EDCFDE4" w14:textId="77777777" w:rsidR="00A9766F" w:rsidRPr="007114AF" w:rsidRDefault="00D43DF3" w:rsidP="00206985">
      <w:pPr>
        <w:pStyle w:val="TEKSTI"/>
        <w:rPr>
          <w:b/>
        </w:rPr>
      </w:pPr>
      <w:bookmarkStart w:id="129" w:name="_Toc450135242"/>
      <w:bookmarkStart w:id="130" w:name="_Toc484424501"/>
      <w:r w:rsidRPr="007114AF">
        <w:rPr>
          <w:b/>
        </w:rPr>
        <w:t xml:space="preserve">4.1.3 </w:t>
      </w:r>
      <w:r w:rsidR="00A9766F" w:rsidRPr="007114AF">
        <w:rPr>
          <w:b/>
        </w:rPr>
        <w:t>Transport</w:t>
      </w:r>
      <w:bookmarkEnd w:id="129"/>
      <w:r w:rsidR="00A9766F" w:rsidRPr="007114AF">
        <w:rPr>
          <w:b/>
        </w:rPr>
        <w:t>i</w:t>
      </w:r>
      <w:bookmarkEnd w:id="130"/>
    </w:p>
    <w:p w14:paraId="6EDCFDE5" w14:textId="77777777" w:rsidR="00A9766F" w:rsidRPr="007114AF" w:rsidRDefault="00A9766F" w:rsidP="00206985">
      <w:pPr>
        <w:pStyle w:val="TEKSTI"/>
      </w:pPr>
      <w:r w:rsidRPr="007114AF">
        <w:t>Ministria përgjegjëse për Infrastruktur</w:t>
      </w:r>
      <w:r w:rsidRPr="007114AF">
        <w:rPr>
          <w:rFonts w:cstheme="minorHAnsi"/>
        </w:rPr>
        <w:t>ën kohët e fundit është duke punuar për dy strategjitë dhe planet kryesore</w:t>
      </w:r>
      <w:r w:rsidRPr="007114AF">
        <w:t>: Planin Shqiptar</w:t>
      </w:r>
      <w:r w:rsidRPr="007114AF">
        <w:rPr>
          <w:rFonts w:cstheme="minorHAnsi"/>
        </w:rPr>
        <w:t xml:space="preserve"> të Transportit të Qëndrueshëm dhe Strategjinë Sektoriale të Transportit. Të dy dokumentet ishin ende në proces apo përpunim në kohën e shkrimit të dokumentit të </w:t>
      </w:r>
      <w:r w:rsidRPr="007114AF">
        <w:t>SKNK&amp;P-</w:t>
      </w:r>
      <w:r w:rsidRPr="007114AF">
        <w:rPr>
          <w:rFonts w:cs="Arial"/>
        </w:rPr>
        <w:t>ës</w:t>
      </w:r>
      <w:r w:rsidRPr="007114AF">
        <w:t>, k</w:t>
      </w:r>
      <w:r w:rsidRPr="007114AF">
        <w:rPr>
          <w:rFonts w:cstheme="minorHAnsi"/>
        </w:rPr>
        <w:t>ështu që analiza e mëposhtme bazohet në draftin e parë të dokumenteve</w:t>
      </w:r>
      <w:r w:rsidRPr="007114AF">
        <w:t>. T</w:t>
      </w:r>
      <w:r w:rsidRPr="007114AF">
        <w:rPr>
          <w:rFonts w:cstheme="minorHAnsi"/>
        </w:rPr>
        <w:t xml:space="preserve">ë dy dokumentet kanë si qëllim përcaktimin e një rruge për riorganizimin e sektorit të Transportit sipas </w:t>
      </w:r>
      <w:r w:rsidRPr="007114AF">
        <w:rPr>
          <w:rFonts w:cstheme="minorHAnsi"/>
          <w:i/>
        </w:rPr>
        <w:t>acquis</w:t>
      </w:r>
      <w:r w:rsidRPr="007114AF">
        <w:rPr>
          <w:rFonts w:cstheme="minorHAnsi"/>
        </w:rPr>
        <w:t xml:space="preserve"> dhe standardeve të BE-së, si dhe zbatimin e udhëzimeve themelore strategjike të parashikuara nga strategjitë </w:t>
      </w:r>
      <w:r w:rsidRPr="007114AF">
        <w:t>e energjis</w:t>
      </w:r>
      <w:r w:rsidRPr="007114AF">
        <w:rPr>
          <w:rFonts w:cstheme="minorHAnsi"/>
        </w:rPr>
        <w:t>ë, planet dhe rrjeti i lëvizshmërisë</w:t>
      </w:r>
      <w:r w:rsidRPr="007114AF">
        <w:t>.</w:t>
      </w:r>
    </w:p>
    <w:p w14:paraId="6EDCFDE6" w14:textId="77777777" w:rsidR="00A9766F" w:rsidRPr="007114AF" w:rsidRDefault="00A9766F" w:rsidP="00206985">
      <w:pPr>
        <w:pStyle w:val="TEKSTI"/>
        <w:rPr>
          <w:b/>
          <w:i/>
          <w:u w:val="single"/>
        </w:rPr>
      </w:pPr>
      <w:r w:rsidRPr="007114AF">
        <w:rPr>
          <w:b/>
          <w:i/>
          <w:u w:val="single"/>
        </w:rPr>
        <w:t>Plani i Q</w:t>
      </w:r>
      <w:r w:rsidRPr="007114AF">
        <w:rPr>
          <w:rFonts w:cstheme="minorHAnsi"/>
          <w:b/>
          <w:i/>
          <w:u w:val="single"/>
        </w:rPr>
        <w:t>ëndrueshëm i Transportit (TECTQ) – Dokumenti bazë</w:t>
      </w:r>
    </w:p>
    <w:p w14:paraId="6EDCFDE7" w14:textId="77777777" w:rsidR="00A9766F" w:rsidRPr="007114AF" w:rsidRDefault="00A9766F" w:rsidP="00206985">
      <w:pPr>
        <w:pStyle w:val="TEKSTI"/>
        <w:rPr>
          <w:i/>
        </w:rPr>
      </w:pPr>
      <w:r w:rsidRPr="007114AF">
        <w:rPr>
          <w:i/>
        </w:rPr>
        <w:t>Vlefshmëria: 2016-2020</w:t>
      </w:r>
    </w:p>
    <w:p w14:paraId="6EDCFDE8" w14:textId="245B6BBF" w:rsidR="00A9766F" w:rsidRPr="007114AF" w:rsidRDefault="00A9766F" w:rsidP="00206985">
      <w:pPr>
        <w:pStyle w:val="TEKSTI"/>
      </w:pPr>
      <w:r w:rsidRPr="007114AF">
        <w:t xml:space="preserve">Qeveria shqiptare </w:t>
      </w:r>
      <w:r w:rsidRPr="007114AF">
        <w:rPr>
          <w:rFonts w:cstheme="minorHAnsi"/>
        </w:rPr>
        <w:t xml:space="preserve">është angazhuar përparaqitjen e politikave dhe praktikave të </w:t>
      </w:r>
      <w:r w:rsidRPr="007114AF">
        <w:t>eficiencës s</w:t>
      </w:r>
      <w:r w:rsidRPr="007114AF">
        <w:rPr>
          <w:rFonts w:cstheme="minorHAnsi"/>
        </w:rPr>
        <w:t xml:space="preserve">ë </w:t>
      </w:r>
      <w:r w:rsidRPr="007114AF">
        <w:t>energjis</w:t>
      </w:r>
      <w:r w:rsidRPr="007114AF">
        <w:rPr>
          <w:rFonts w:cstheme="minorHAnsi"/>
        </w:rPr>
        <w:t>ë, si pjesë të Strategjisë së saj Kombëtare për Energjinë</w:t>
      </w:r>
      <w:r w:rsidRPr="007114AF">
        <w:t>, e cila nxit mes të tjerash harmonizimin me k</w:t>
      </w:r>
      <w:r w:rsidRPr="007114AF">
        <w:rPr>
          <w:rFonts w:cstheme="minorHAnsi"/>
        </w:rPr>
        <w:t>ërkesat e BE-së</w:t>
      </w:r>
      <w:r w:rsidRPr="007114AF">
        <w:t>, si pjes</w:t>
      </w:r>
      <w:r w:rsidRPr="007114AF">
        <w:rPr>
          <w:rFonts w:cstheme="minorHAnsi"/>
        </w:rPr>
        <w:t>ë e procesit më të gjerë të paraanëtarësimit</w:t>
      </w:r>
      <w:r w:rsidRPr="007114AF">
        <w:t>. N</w:t>
      </w:r>
      <w:r w:rsidRPr="007114AF">
        <w:rPr>
          <w:rFonts w:cstheme="minorHAnsi"/>
        </w:rPr>
        <w:t>ë</w:t>
      </w:r>
      <w:r w:rsidRPr="007114AF">
        <w:t xml:space="preserve"> k</w:t>
      </w:r>
      <w:r w:rsidRPr="007114AF">
        <w:rPr>
          <w:rFonts w:cstheme="minorHAnsi"/>
        </w:rPr>
        <w:t>ëtë kuadër</w:t>
      </w:r>
      <w:r w:rsidRPr="007114AF">
        <w:t>, nj</w:t>
      </w:r>
      <w:r w:rsidRPr="007114AF">
        <w:rPr>
          <w:rFonts w:cstheme="minorHAnsi"/>
        </w:rPr>
        <w:t>ë Plan i Qëndrueshëm Transporti</w:t>
      </w:r>
      <w:r w:rsidRPr="007114AF">
        <w:t xml:space="preserve"> (TECTQ) po p</w:t>
      </w:r>
      <w:r w:rsidRPr="007114AF">
        <w:rPr>
          <w:rFonts w:cstheme="minorHAnsi"/>
        </w:rPr>
        <w:t>ërgatitet nga Ministria p</w:t>
      </w:r>
      <w:r w:rsidR="00AE747C">
        <w:rPr>
          <w:rFonts w:cstheme="minorHAnsi"/>
        </w:rPr>
        <w:t>ë</w:t>
      </w:r>
      <w:r w:rsidRPr="007114AF">
        <w:rPr>
          <w:rFonts w:cstheme="minorHAnsi"/>
        </w:rPr>
        <w:t>rgjegj</w:t>
      </w:r>
      <w:r w:rsidR="00AE747C">
        <w:rPr>
          <w:rFonts w:cstheme="minorHAnsi"/>
        </w:rPr>
        <w:t>ë</w:t>
      </w:r>
      <w:r w:rsidRPr="007114AF">
        <w:rPr>
          <w:rFonts w:cstheme="minorHAnsi"/>
        </w:rPr>
        <w:t>se p</w:t>
      </w:r>
      <w:r w:rsidR="00AE747C">
        <w:rPr>
          <w:rFonts w:cstheme="minorHAnsi"/>
        </w:rPr>
        <w:t>ë</w:t>
      </w:r>
      <w:r w:rsidRPr="007114AF">
        <w:rPr>
          <w:rFonts w:cstheme="minorHAnsi"/>
        </w:rPr>
        <w:t>r Transportin dhe Infrastrukturën</w:t>
      </w:r>
      <w:r w:rsidRPr="007114AF">
        <w:t xml:space="preserve"> p</w:t>
      </w:r>
      <w:r w:rsidRPr="007114AF">
        <w:rPr>
          <w:rFonts w:cstheme="minorHAnsi"/>
        </w:rPr>
        <w:t>ër të ndihmuar në përmbushjen e objektivave të konsumit të reduktuar të energjisë, si dhe për të përmirësuar qëndrueshmërinë e përgjithshme në sektorin e t</w:t>
      </w:r>
      <w:r w:rsidRPr="007114AF">
        <w:t>ransportit.</w:t>
      </w:r>
    </w:p>
    <w:p w14:paraId="6EDCFDE9" w14:textId="646D2CA3" w:rsidR="00A9766F" w:rsidRPr="007114AF" w:rsidRDefault="00A9766F" w:rsidP="00206985">
      <w:pPr>
        <w:pStyle w:val="TEKSTI"/>
      </w:pPr>
      <w:r w:rsidRPr="007114AF">
        <w:t>Politikat e</w:t>
      </w:r>
      <w:r w:rsidRPr="007114AF">
        <w:rPr>
          <w:rFonts w:cstheme="minorHAnsi"/>
        </w:rPr>
        <w:t xml:space="preserve"> qëndrueshme të transportit do të përqendrohen në uljen e nevojës për të udhëtuar dhe në zhvendosjen e udhëtimit në mënyrën më efikase të mundshme sociale, ekonomike dhe </w:t>
      </w:r>
      <w:r w:rsidRPr="007114AF">
        <w:rPr>
          <w:rFonts w:cstheme="minorHAnsi"/>
        </w:rPr>
        <w:lastRenderedPageBreak/>
        <w:t>mjedisore, si dhe në</w:t>
      </w:r>
      <w:r w:rsidR="00AE747C">
        <w:rPr>
          <w:rFonts w:cstheme="minorHAnsi"/>
        </w:rPr>
        <w:t xml:space="preserve"> </w:t>
      </w:r>
      <w:r w:rsidRPr="007114AF">
        <w:rPr>
          <w:rFonts w:cstheme="minorHAnsi"/>
        </w:rPr>
        <w:t>vendosjen e përmirësimit teknologjik të automjeteve dhe karburanteve në qendër të vëmendjes.</w:t>
      </w:r>
    </w:p>
    <w:p w14:paraId="6EDCFDEA" w14:textId="42A4A133" w:rsidR="00A9766F" w:rsidRPr="007114AF" w:rsidRDefault="00A9766F" w:rsidP="00206985">
      <w:pPr>
        <w:pStyle w:val="TEKSTI"/>
      </w:pPr>
      <w:r w:rsidRPr="007114AF">
        <w:t>Kjo paradigm</w:t>
      </w:r>
      <w:r w:rsidRPr="007114AF">
        <w:rPr>
          <w:rFonts w:cstheme="minorHAnsi"/>
        </w:rPr>
        <w:t>ë është përkthyer në një kuadër metodologjik</w:t>
      </w:r>
      <w:r w:rsidRPr="007114AF">
        <w:t xml:space="preserve">, </w:t>
      </w:r>
      <w:r w:rsidRPr="007114AF">
        <w:rPr>
          <w:rFonts w:cstheme="minorHAnsi"/>
        </w:rPr>
        <w:t>qasja</w:t>
      </w:r>
      <w:r w:rsidR="00AE747C">
        <w:t xml:space="preserve"> “</w:t>
      </w:r>
      <w:r w:rsidRPr="007114AF">
        <w:t>Shmang–</w:t>
      </w:r>
      <w:r w:rsidR="00AE747C" w:rsidRPr="007114AF">
        <w:t>zhvendos–p</w:t>
      </w:r>
      <w:r w:rsidR="00AE747C" w:rsidRPr="007114AF">
        <w:rPr>
          <w:rFonts w:cstheme="minorHAnsi"/>
        </w:rPr>
        <w:t>ërmirëso</w:t>
      </w:r>
      <w:r w:rsidR="000A2A01" w:rsidRPr="007114AF">
        <w:t>”</w:t>
      </w:r>
      <w:r w:rsidRPr="007114AF">
        <w:t>, t</w:t>
      </w:r>
      <w:r w:rsidRPr="007114AF">
        <w:rPr>
          <w:rFonts w:cstheme="minorHAnsi"/>
        </w:rPr>
        <w:t>ë pranuar gjerësisht si një udhëzues për politikat që promovojnë lëvizjen e qëndrueshme</w:t>
      </w:r>
      <w:r w:rsidRPr="007114AF">
        <w:t>. Kjo do t</w:t>
      </w:r>
      <w:r w:rsidRPr="007114AF">
        <w:rPr>
          <w:rFonts w:cstheme="minorHAnsi"/>
        </w:rPr>
        <w:t>ë thotë se politika e transportit duhet të ulë nevojën e udhëtimit dhe të shkurtojë gjatësitë e udhëtimit, të promovojë një zhvendosje ndaj mënyrave të qëndrueshme dhe të përmirësojë qëndrueshmërinë e të gjitha mënyrave</w:t>
      </w:r>
      <w:r w:rsidRPr="007114AF">
        <w:t>, duke p</w:t>
      </w:r>
      <w:r w:rsidRPr="007114AF">
        <w:rPr>
          <w:rFonts w:cstheme="minorHAnsi"/>
        </w:rPr>
        <w:t>ërdorur teknologjitë më efikase të energjisë</w:t>
      </w:r>
      <w:r w:rsidRPr="007114AF">
        <w:t>. Nj</w:t>
      </w:r>
      <w:r w:rsidRPr="007114AF">
        <w:rPr>
          <w:rFonts w:cstheme="minorHAnsi"/>
        </w:rPr>
        <w:t>ë program i detajuar dhe një përkufizim i një buxheti të mundshëm financiar është zhvilluar për pjesën më të madhe të masave të propozuara</w:t>
      </w:r>
      <w:r w:rsidRPr="007114AF">
        <w:t>.</w:t>
      </w:r>
    </w:p>
    <w:p w14:paraId="6EDCFDEB" w14:textId="77B0EA37" w:rsidR="00A9766F" w:rsidRPr="00AE747C" w:rsidRDefault="00A9766F" w:rsidP="00206985">
      <w:pPr>
        <w:pStyle w:val="TEKSTI"/>
        <w:rPr>
          <w:b/>
          <w:bCs/>
          <w:szCs w:val="22"/>
        </w:rPr>
      </w:pPr>
      <w:r w:rsidRPr="00AE747C">
        <w:rPr>
          <w:szCs w:val="22"/>
        </w:rPr>
        <w:t>T</w:t>
      </w:r>
      <w:r w:rsidRPr="00AE747C">
        <w:rPr>
          <w:rFonts w:cstheme="minorHAnsi"/>
          <w:szCs w:val="22"/>
        </w:rPr>
        <w:t xml:space="preserve">ë nëntë masat e përfshira në </w:t>
      </w:r>
      <w:r w:rsidRPr="00AE747C">
        <w:rPr>
          <w:szCs w:val="22"/>
        </w:rPr>
        <w:t>TECTQ p</w:t>
      </w:r>
      <w:r w:rsidRPr="00AE747C">
        <w:rPr>
          <w:rFonts w:cstheme="minorHAnsi"/>
          <w:szCs w:val="22"/>
        </w:rPr>
        <w:t>ërfshijnë pes</w:t>
      </w:r>
      <w:r w:rsidRPr="00AE747C">
        <w:rPr>
          <w:szCs w:val="22"/>
        </w:rPr>
        <w:t>ë</w:t>
      </w:r>
      <w:r w:rsidRPr="00AE747C">
        <w:rPr>
          <w:rFonts w:cstheme="minorHAnsi"/>
          <w:szCs w:val="22"/>
        </w:rPr>
        <w:t xml:space="preserve"> masa të cilat japin një ndikim të drejtpërdrejtë dhe të matshëm në lidhje me kursimin e energjisë dhe uljen e ndotësve</w:t>
      </w:r>
      <w:r w:rsidRPr="00AE747C">
        <w:rPr>
          <w:szCs w:val="22"/>
        </w:rPr>
        <w:t>, dy masa t</w:t>
      </w:r>
      <w:r w:rsidRPr="00AE747C">
        <w:rPr>
          <w:rFonts w:cstheme="minorHAnsi"/>
          <w:szCs w:val="22"/>
        </w:rPr>
        <w:t>ë zhvilluara si udhëzime për palët e interesuara</w:t>
      </w:r>
      <w:r w:rsidRPr="00AE747C">
        <w:rPr>
          <w:szCs w:val="22"/>
        </w:rPr>
        <w:t xml:space="preserve"> (duke pasur nj</w:t>
      </w:r>
      <w:r w:rsidRPr="00AE747C">
        <w:rPr>
          <w:rFonts w:cstheme="minorHAnsi"/>
          <w:szCs w:val="22"/>
        </w:rPr>
        <w:t>ë</w:t>
      </w:r>
      <w:r w:rsidR="00AE747C">
        <w:rPr>
          <w:rFonts w:cstheme="minorHAnsi"/>
          <w:szCs w:val="22"/>
        </w:rPr>
        <w:t xml:space="preserve"> </w:t>
      </w:r>
      <w:r w:rsidRPr="00AE747C">
        <w:rPr>
          <w:rFonts w:cstheme="minorHAnsi"/>
          <w:szCs w:val="22"/>
        </w:rPr>
        <w:t xml:space="preserve">horizont konkret të zbatimit përtej </w:t>
      </w:r>
      <w:r w:rsidRPr="00AE747C">
        <w:rPr>
          <w:szCs w:val="22"/>
        </w:rPr>
        <w:t>2020) dhe dy masa shoq</w:t>
      </w:r>
      <w:r w:rsidRPr="00AE747C">
        <w:rPr>
          <w:rFonts w:cstheme="minorHAnsi"/>
          <w:szCs w:val="22"/>
        </w:rPr>
        <w:t>ëruese të cilat mbështesin planin e përgjithshëm me komunikimin e duhur dhe mjetet e monitorimit</w:t>
      </w:r>
      <w:r w:rsidRPr="00AE747C">
        <w:rPr>
          <w:szCs w:val="22"/>
        </w:rPr>
        <w:t>.</w:t>
      </w:r>
      <w:r w:rsidR="00AE747C">
        <w:rPr>
          <w:szCs w:val="22"/>
        </w:rPr>
        <w:t xml:space="preserve"> </w:t>
      </w:r>
      <w:r w:rsidRPr="00AE747C">
        <w:rPr>
          <w:szCs w:val="22"/>
        </w:rPr>
        <w:t>T</w:t>
      </w:r>
      <w:r w:rsidRPr="00AE747C">
        <w:rPr>
          <w:rFonts w:cstheme="minorHAnsi"/>
          <w:szCs w:val="22"/>
        </w:rPr>
        <w:t>ë nëntë masat e përfshira janë si më poshtë:</w:t>
      </w:r>
    </w:p>
    <w:p w14:paraId="6EDCFDEC" w14:textId="72331CC4" w:rsidR="00A9766F" w:rsidRPr="007114AF" w:rsidRDefault="00214466" w:rsidP="00206985">
      <w:pPr>
        <w:pStyle w:val="TEKSTI"/>
      </w:pPr>
      <w:r w:rsidRPr="007114AF">
        <w:rPr>
          <w:b/>
          <w:bCs/>
        </w:rPr>
        <w:t xml:space="preserve">1. </w:t>
      </w:r>
      <w:r w:rsidR="00A9766F" w:rsidRPr="007114AF">
        <w:rPr>
          <w:b/>
          <w:bCs/>
        </w:rPr>
        <w:t>Zgjerimi i kapaciteteve rrugore</w:t>
      </w:r>
      <w:r w:rsidR="00A9766F" w:rsidRPr="007114AF">
        <w:t xml:space="preserve">: </w:t>
      </w:r>
      <w:r w:rsidR="00F16CDF" w:rsidRPr="007114AF">
        <w:t xml:space="preserve">ulja </w:t>
      </w:r>
      <w:r w:rsidR="00A9766F" w:rsidRPr="007114AF">
        <w:t>e shkarkimit t</w:t>
      </w:r>
      <w:r w:rsidR="00A9766F" w:rsidRPr="007114AF">
        <w:rPr>
          <w:rFonts w:cstheme="minorHAnsi"/>
        </w:rPr>
        <w:t xml:space="preserve">ë </w:t>
      </w:r>
      <w:r w:rsidR="00A9766F" w:rsidRPr="007114AF">
        <w:t>ndot</w:t>
      </w:r>
      <w:r w:rsidR="00A9766F" w:rsidRPr="007114AF">
        <w:rPr>
          <w:rFonts w:cstheme="minorHAnsi"/>
        </w:rPr>
        <w:t>ësve të ajrit dhe konsumi i energjisë,</w:t>
      </w:r>
      <w:r w:rsidR="000A2A01" w:rsidRPr="007114AF">
        <w:rPr>
          <w:rFonts w:cstheme="minorHAnsi"/>
        </w:rPr>
        <w:t xml:space="preserve"> </w:t>
      </w:r>
      <w:r w:rsidR="00A9766F" w:rsidRPr="007114AF">
        <w:rPr>
          <w:rFonts w:cstheme="minorHAnsi"/>
        </w:rPr>
        <w:t>duke ulur ngarkesën e qarkullimit</w:t>
      </w:r>
      <w:r w:rsidR="00A9766F" w:rsidRPr="007114AF">
        <w:t xml:space="preserve"> rrugor fal</w:t>
      </w:r>
      <w:r w:rsidR="00A9766F" w:rsidRPr="007114AF">
        <w:rPr>
          <w:rFonts w:cstheme="minorHAnsi"/>
        </w:rPr>
        <w:t>ë kapaciteteve shtesë</w:t>
      </w:r>
      <w:r w:rsidR="000A2A01" w:rsidRPr="007114AF">
        <w:rPr>
          <w:rFonts w:cstheme="minorHAnsi"/>
        </w:rPr>
        <w:t xml:space="preserve"> </w:t>
      </w:r>
      <w:r w:rsidR="00A9766F" w:rsidRPr="007114AF">
        <w:rPr>
          <w:rFonts w:cstheme="minorHAnsi"/>
        </w:rPr>
        <w:t>në seksionet rrugore me trafik më të rënduar</w:t>
      </w:r>
      <w:r w:rsidR="00A9766F" w:rsidRPr="007114AF">
        <w:t>(n</w:t>
      </w:r>
      <w:r w:rsidR="00A9766F" w:rsidRPr="007114AF">
        <w:rPr>
          <w:rFonts w:cstheme="minorHAnsi"/>
        </w:rPr>
        <w:t>ë bashkëpunim me Projektet Parësore të Infrastrukturës së Tr</w:t>
      </w:r>
      <w:r w:rsidR="00A9766F" w:rsidRPr="007114AF">
        <w:t>ansportit), ka t</w:t>
      </w:r>
      <w:r w:rsidR="00A9766F" w:rsidRPr="007114AF">
        <w:rPr>
          <w:rFonts w:cstheme="minorHAnsi"/>
        </w:rPr>
        <w:t>ë bëjë kryesisht me zgjerimin e kapacitetit të akseve rrugore më të nevojshëm</w:t>
      </w:r>
      <w:r w:rsidR="00A9766F" w:rsidRPr="007114AF">
        <w:t>. Projektet e k</w:t>
      </w:r>
      <w:r w:rsidR="00A9766F" w:rsidRPr="007114AF">
        <w:rPr>
          <w:rFonts w:cstheme="minorHAnsi"/>
        </w:rPr>
        <w:t>ëtij lloji mundtë kursejnë energji dhe të ulin shkarkimet e automjeteve kur zbatohen në segmente rrugore me trafik të lartë</w:t>
      </w:r>
      <w:r w:rsidR="00A9766F" w:rsidRPr="007114AF">
        <w:t xml:space="preserve">, ku </w:t>
      </w:r>
      <w:r w:rsidR="00A9766F" w:rsidRPr="007114AF">
        <w:rPr>
          <w:rFonts w:cstheme="minorHAnsi"/>
        </w:rPr>
        <w:t>efikasiteti i karburantit</w:t>
      </w:r>
      <w:r w:rsidR="00A9766F" w:rsidRPr="007114AF">
        <w:t xml:space="preserve"> ulet ndjesh</w:t>
      </w:r>
      <w:r w:rsidR="00A9766F" w:rsidRPr="007114AF">
        <w:rPr>
          <w:rFonts w:cstheme="minorHAnsi"/>
        </w:rPr>
        <w:t>ëm</w:t>
      </w:r>
      <w:r w:rsidR="00A9766F" w:rsidRPr="007114AF">
        <w:t xml:space="preserve">. </w:t>
      </w:r>
    </w:p>
    <w:p w14:paraId="6EDCFDED" w14:textId="0D56A74F" w:rsidR="00A9766F" w:rsidRPr="007114AF" w:rsidRDefault="00214466" w:rsidP="00206985">
      <w:pPr>
        <w:pStyle w:val="TEKSTI"/>
        <w:rPr>
          <w:rFonts w:eastAsia="Georgia" w:cs="Georgia"/>
        </w:rPr>
      </w:pPr>
      <w:r w:rsidRPr="007114AF">
        <w:rPr>
          <w:b/>
          <w:bCs/>
        </w:rPr>
        <w:t xml:space="preserve">2. </w:t>
      </w:r>
      <w:r w:rsidR="00A9766F" w:rsidRPr="007114AF">
        <w:rPr>
          <w:b/>
          <w:bCs/>
        </w:rPr>
        <w:t>P</w:t>
      </w:r>
      <w:r w:rsidR="00A9766F" w:rsidRPr="007114AF">
        <w:rPr>
          <w:rFonts w:cs="Calibri"/>
          <w:b/>
          <w:bCs/>
        </w:rPr>
        <w:t>ërmirësimi i kushteve të shtrimit të rrugëve</w:t>
      </w:r>
      <w:r w:rsidR="00A9766F" w:rsidRPr="007114AF">
        <w:t xml:space="preserve">: </w:t>
      </w:r>
      <w:r w:rsidR="00F16CDF" w:rsidRPr="007114AF">
        <w:t xml:space="preserve">ulja </w:t>
      </w:r>
      <w:r w:rsidR="00A9766F" w:rsidRPr="007114AF">
        <w:t>e shkarkimit t</w:t>
      </w:r>
      <w:r w:rsidR="00A9766F" w:rsidRPr="007114AF">
        <w:rPr>
          <w:rFonts w:cstheme="minorHAnsi"/>
        </w:rPr>
        <w:t>ë ndotësve të ajrit dhe konsumit të energjisë me anë të përmirësimit të kushteve të shtrimit të rrugëve</w:t>
      </w:r>
      <w:r w:rsidR="00A9766F" w:rsidRPr="007114AF">
        <w:t>, n</w:t>
      </w:r>
      <w:r w:rsidR="00A9766F" w:rsidRPr="007114AF">
        <w:rPr>
          <w:rFonts w:cstheme="minorHAnsi"/>
        </w:rPr>
        <w:t>ëpërmjet një strategjie të re të mirëmbajtjes rrugore</w:t>
      </w:r>
      <w:r w:rsidR="00A9766F" w:rsidRPr="007114AF">
        <w:t xml:space="preserve">. </w:t>
      </w:r>
    </w:p>
    <w:p w14:paraId="6EDCFDEE" w14:textId="1CD0D542" w:rsidR="00A9766F" w:rsidRPr="007114AF" w:rsidRDefault="00214466" w:rsidP="00206985">
      <w:pPr>
        <w:pStyle w:val="TEKSTI"/>
      </w:pPr>
      <w:r w:rsidRPr="007114AF">
        <w:rPr>
          <w:b/>
          <w:bCs/>
        </w:rPr>
        <w:t xml:space="preserve">3. </w:t>
      </w:r>
      <w:r w:rsidR="00A9766F" w:rsidRPr="007114AF">
        <w:rPr>
          <w:b/>
          <w:bCs/>
        </w:rPr>
        <w:t>Risia e shtrimit t</w:t>
      </w:r>
      <w:r w:rsidR="00A9766F" w:rsidRPr="007114AF">
        <w:rPr>
          <w:rFonts w:cs="Calibri"/>
          <w:b/>
          <w:bCs/>
        </w:rPr>
        <w:t xml:space="preserve">ë </w:t>
      </w:r>
      <w:r w:rsidR="00A9766F" w:rsidRPr="007114AF">
        <w:rPr>
          <w:b/>
          <w:bCs/>
        </w:rPr>
        <w:t>rrug</w:t>
      </w:r>
      <w:r w:rsidR="00A9766F" w:rsidRPr="007114AF">
        <w:rPr>
          <w:rFonts w:cs="Calibri"/>
          <w:b/>
          <w:bCs/>
        </w:rPr>
        <w:t>ë</w:t>
      </w:r>
      <w:r w:rsidR="00A9766F" w:rsidRPr="007114AF">
        <w:rPr>
          <w:b/>
          <w:bCs/>
        </w:rPr>
        <w:t xml:space="preserve">ve: </w:t>
      </w:r>
      <w:r w:rsidR="00F16CDF" w:rsidRPr="007114AF">
        <w:t xml:space="preserve">zbatimi </w:t>
      </w:r>
      <w:r w:rsidR="00A9766F" w:rsidRPr="007114AF">
        <w:t>i teknologjive t</w:t>
      </w:r>
      <w:r w:rsidR="00A9766F" w:rsidRPr="007114AF">
        <w:rPr>
          <w:rFonts w:cstheme="minorHAnsi"/>
        </w:rPr>
        <w:t>ë reja në shtrimin e rrugëve, duke ulur ndikimet mjedisore të mirëmbajtjes rrugore dhe qarkullimin rrugor, si</w:t>
      </w:r>
      <w:r w:rsidR="00A9766F" w:rsidRPr="007114AF">
        <w:t xml:space="preserve"> teknologjia e ftoht</w:t>
      </w:r>
      <w:r w:rsidR="00A9766F" w:rsidRPr="007114AF">
        <w:rPr>
          <w:rFonts w:cstheme="minorHAnsi"/>
        </w:rPr>
        <w:t>ë e riciklimit dhe trajtimi fotokatalitik</w:t>
      </w:r>
      <w:r w:rsidR="00A9766F" w:rsidRPr="007114AF">
        <w:t xml:space="preserve"> antindotje.</w:t>
      </w:r>
    </w:p>
    <w:p w14:paraId="6EDCFDEF" w14:textId="7E01C9B6" w:rsidR="00A9766F" w:rsidRPr="007114AF" w:rsidRDefault="00214466" w:rsidP="00206985">
      <w:pPr>
        <w:pStyle w:val="TEKSTI"/>
        <w:rPr>
          <w:b/>
          <w:bCs/>
        </w:rPr>
      </w:pPr>
      <w:r w:rsidRPr="007114AF">
        <w:rPr>
          <w:b/>
          <w:bCs/>
        </w:rPr>
        <w:t xml:space="preserve">4. </w:t>
      </w:r>
      <w:r w:rsidR="00A9766F" w:rsidRPr="007114AF">
        <w:rPr>
          <w:b/>
          <w:bCs/>
        </w:rPr>
        <w:t>Transport i</w:t>
      </w:r>
      <w:r w:rsidR="00F16CDF">
        <w:rPr>
          <w:b/>
          <w:bCs/>
        </w:rPr>
        <w:t xml:space="preserve"> </w:t>
      </w:r>
      <w:r w:rsidR="00A9766F" w:rsidRPr="007114AF">
        <w:rPr>
          <w:rFonts w:cs="Calibri"/>
          <w:b/>
          <w:bCs/>
        </w:rPr>
        <w:t>integruar dhe shfrytëzimi tokës</w:t>
      </w:r>
      <w:r w:rsidR="00A9766F" w:rsidRPr="007114AF">
        <w:rPr>
          <w:b/>
          <w:bCs/>
        </w:rPr>
        <w:t xml:space="preserve">: </w:t>
      </w:r>
      <w:r w:rsidR="00F16CDF" w:rsidRPr="007114AF">
        <w:t>ulja</w:t>
      </w:r>
      <w:r w:rsidR="00F16CDF">
        <w:t xml:space="preserve"> </w:t>
      </w:r>
      <w:r w:rsidR="00A9766F" w:rsidRPr="007114AF">
        <w:t>e</w:t>
      </w:r>
      <w:r w:rsidR="00A9766F" w:rsidRPr="007114AF">
        <w:rPr>
          <w:rFonts w:cstheme="minorHAnsi"/>
        </w:rPr>
        <w:t xml:space="preserve"> nevojës së udhëtimit dhe shkurtimi i gjatësisë</w:t>
      </w:r>
      <w:r w:rsidR="00F16CDF">
        <w:rPr>
          <w:rFonts w:cstheme="minorHAnsi"/>
        </w:rPr>
        <w:t xml:space="preserve"> </w:t>
      </w:r>
      <w:r w:rsidR="00A9766F" w:rsidRPr="007114AF">
        <w:rPr>
          <w:rFonts w:cstheme="minorHAnsi"/>
        </w:rPr>
        <w:t>së udhëtimeve</w:t>
      </w:r>
      <w:r w:rsidR="00A9766F" w:rsidRPr="007114AF">
        <w:t>, fal</w:t>
      </w:r>
      <w:r w:rsidR="00A9766F" w:rsidRPr="007114AF">
        <w:rPr>
          <w:rFonts w:cstheme="minorHAnsi"/>
        </w:rPr>
        <w:t>ë strategjive të përziera të shfrytëzimit të tokës dhe vlerësimit paraprak të transportit, ndikon në planet e zhvillimit</w:t>
      </w:r>
      <w:r w:rsidR="00A9766F" w:rsidRPr="007114AF">
        <w:t>. N</w:t>
      </w:r>
      <w:r w:rsidR="00A9766F" w:rsidRPr="007114AF">
        <w:rPr>
          <w:rFonts w:cstheme="minorHAnsi"/>
        </w:rPr>
        <w:t>ë Shqipëri</w:t>
      </w:r>
      <w:r w:rsidR="00A9766F" w:rsidRPr="007114AF">
        <w:t>, mungesa e v</w:t>
      </w:r>
      <w:r w:rsidR="00A9766F" w:rsidRPr="007114AF">
        <w:rPr>
          <w:rFonts w:cstheme="minorHAnsi"/>
        </w:rPr>
        <w:t>ëmendjes ndaj planifikimit të territorit</w:t>
      </w:r>
      <w:r w:rsidR="00F16CDF">
        <w:rPr>
          <w:rFonts w:cstheme="minorHAnsi"/>
        </w:rPr>
        <w:t xml:space="preserve"> </w:t>
      </w:r>
      <w:r w:rsidR="00A9766F" w:rsidRPr="007114AF">
        <w:t>rezultoi me</w:t>
      </w:r>
      <w:r w:rsidR="00A9766F" w:rsidRPr="007114AF">
        <w:rPr>
          <w:rFonts w:cstheme="minorHAnsi"/>
        </w:rPr>
        <w:t xml:space="preserve"> rritje të frekuencës dhe gjatësisë së udhëtimit, për shkak të mungesës së strategjive që synojnë bashkërendimin e zhvillimit të zonave rezidenciale,</w:t>
      </w:r>
      <w:r w:rsidR="00A9766F" w:rsidRPr="007114AF">
        <w:t xml:space="preserve"> industriale dhe ato të </w:t>
      </w:r>
      <w:r w:rsidR="00A9766F" w:rsidRPr="007114AF">
        <w:rPr>
          <w:rFonts w:cstheme="minorHAnsi"/>
        </w:rPr>
        <w:t>shërbimit</w:t>
      </w:r>
      <w:r w:rsidR="00A9766F" w:rsidRPr="007114AF">
        <w:t xml:space="preserve">. </w:t>
      </w:r>
    </w:p>
    <w:p w14:paraId="6EDCFDF0" w14:textId="3B41E762" w:rsidR="00A9766F" w:rsidRPr="007114AF" w:rsidRDefault="00214466" w:rsidP="00206985">
      <w:pPr>
        <w:pStyle w:val="TEKSTI"/>
        <w:rPr>
          <w:b/>
          <w:bCs/>
        </w:rPr>
      </w:pPr>
      <w:r w:rsidRPr="007114AF">
        <w:rPr>
          <w:b/>
          <w:bCs/>
        </w:rPr>
        <w:t xml:space="preserve">5. </w:t>
      </w:r>
      <w:r w:rsidR="00A9766F" w:rsidRPr="007114AF">
        <w:rPr>
          <w:b/>
          <w:bCs/>
        </w:rPr>
        <w:t>P</w:t>
      </w:r>
      <w:r w:rsidR="00A9766F" w:rsidRPr="007114AF">
        <w:rPr>
          <w:rFonts w:cs="Calibri"/>
          <w:b/>
          <w:bCs/>
        </w:rPr>
        <w:t xml:space="preserve">ërmirësimi i </w:t>
      </w:r>
      <w:r w:rsidR="00F16CDF" w:rsidRPr="007114AF">
        <w:rPr>
          <w:rFonts w:cs="Calibri"/>
          <w:b/>
          <w:bCs/>
        </w:rPr>
        <w:t>transportit publik rrugor</w:t>
      </w:r>
      <w:r w:rsidR="00A9766F" w:rsidRPr="007114AF">
        <w:rPr>
          <w:b/>
          <w:bCs/>
        </w:rPr>
        <w:t xml:space="preserve">: </w:t>
      </w:r>
      <w:r w:rsidR="00F16CDF" w:rsidRPr="007114AF">
        <w:t xml:space="preserve">zhvendosja </w:t>
      </w:r>
      <w:r w:rsidR="00A9766F" w:rsidRPr="007114AF">
        <w:t>e trafikut nga transporti privat n</w:t>
      </w:r>
      <w:r w:rsidR="00A9766F" w:rsidRPr="007114AF">
        <w:rPr>
          <w:rFonts w:cstheme="minorHAnsi"/>
        </w:rPr>
        <w:t>ë atë publik përmes r</w:t>
      </w:r>
      <w:r w:rsidR="00A9766F" w:rsidRPr="007114AF">
        <w:t>acionalizimit dhe qasjes m</w:t>
      </w:r>
      <w:r w:rsidR="00A9766F" w:rsidRPr="007114AF">
        <w:rPr>
          <w:rFonts w:cstheme="minorHAnsi"/>
        </w:rPr>
        <w:t>ë të mirë në rrjetin</w:t>
      </w:r>
      <w:r w:rsidR="00F16CDF">
        <w:rPr>
          <w:rFonts w:cstheme="minorHAnsi"/>
        </w:rPr>
        <w:t xml:space="preserve"> </w:t>
      </w:r>
      <w:r w:rsidR="00A9766F" w:rsidRPr="007114AF">
        <w:t>nd</w:t>
      </w:r>
      <w:r w:rsidR="00A9766F" w:rsidRPr="007114AF">
        <w:rPr>
          <w:rFonts w:cstheme="minorHAnsi"/>
        </w:rPr>
        <w:t>ërqytetës të autobusëve</w:t>
      </w:r>
      <w:r w:rsidR="00A9766F" w:rsidRPr="007114AF">
        <w:t>. Transporti nd</w:t>
      </w:r>
      <w:r w:rsidR="00A9766F" w:rsidRPr="007114AF">
        <w:rPr>
          <w:rFonts w:cstheme="minorHAnsi"/>
        </w:rPr>
        <w:t>ërqytetës</w:t>
      </w:r>
      <w:r w:rsidR="00A9766F" w:rsidRPr="007114AF">
        <w:t>/rajonal n</w:t>
      </w:r>
      <w:r w:rsidR="00A9766F" w:rsidRPr="007114AF">
        <w:rPr>
          <w:rFonts w:cstheme="minorHAnsi"/>
        </w:rPr>
        <w:t>ë Shqipëri, për momentin, është tejet i varur nga kushtet e rrugëve</w:t>
      </w:r>
      <w:r w:rsidR="00A9766F" w:rsidRPr="007114AF">
        <w:t xml:space="preserve"> dhe n</w:t>
      </w:r>
      <w:r w:rsidR="00A9766F" w:rsidRPr="007114AF">
        <w:rPr>
          <w:rFonts w:cstheme="minorHAnsi"/>
        </w:rPr>
        <w:t>ë ve</w:t>
      </w:r>
      <w:r w:rsidR="00A9766F" w:rsidRPr="007114AF">
        <w:rPr>
          <w:rFonts w:cs="Calibri"/>
        </w:rPr>
        <w:t>ç</w:t>
      </w:r>
      <w:r w:rsidR="00A9766F" w:rsidRPr="007114AF">
        <w:rPr>
          <w:rFonts w:cstheme="minorHAnsi"/>
        </w:rPr>
        <w:t>anti, nga makinat private</w:t>
      </w:r>
      <w:r w:rsidR="00A9766F" w:rsidRPr="007114AF">
        <w:t>. P</w:t>
      </w:r>
      <w:r w:rsidR="00A9766F" w:rsidRPr="007114AF">
        <w:rPr>
          <w:rFonts w:cstheme="minorHAnsi"/>
        </w:rPr>
        <w:t>ër shkak të cilësisë së keqe aktuale të sistemit hekurudhor</w:t>
      </w:r>
      <w:r w:rsidR="00A9766F" w:rsidRPr="007114AF">
        <w:t>, transporti hekurudhor nuk mund t</w:t>
      </w:r>
      <w:r w:rsidR="00A9766F" w:rsidRPr="007114AF">
        <w:rPr>
          <w:rFonts w:cstheme="minorHAnsi"/>
        </w:rPr>
        <w:t>ë konsiderohet një zgjidhje afatshkurtër</w:t>
      </w:r>
      <w:r w:rsidR="00A9766F" w:rsidRPr="007114AF">
        <w:t>. Prandaj, masa afatshkurtra p</w:t>
      </w:r>
      <w:r w:rsidR="00A9766F" w:rsidRPr="007114AF">
        <w:rPr>
          <w:rFonts w:cstheme="minorHAnsi"/>
        </w:rPr>
        <w:t xml:space="preserve">ër uljen e udhëtimeve </w:t>
      </w:r>
      <w:r w:rsidR="00A9766F" w:rsidRPr="007114AF">
        <w:t>nd</w:t>
      </w:r>
      <w:r w:rsidR="00A9766F" w:rsidRPr="007114AF">
        <w:rPr>
          <w:rFonts w:cstheme="minorHAnsi"/>
        </w:rPr>
        <w:t>ërqytetëse</w:t>
      </w:r>
      <w:r w:rsidR="00F16CDF">
        <w:rPr>
          <w:rFonts w:cstheme="minorHAnsi"/>
        </w:rPr>
        <w:t xml:space="preserve"> </w:t>
      </w:r>
      <w:r w:rsidR="00A9766F" w:rsidRPr="007114AF">
        <w:t>me makin</w:t>
      </w:r>
      <w:r w:rsidR="00A9766F" w:rsidRPr="007114AF">
        <w:rPr>
          <w:rFonts w:cstheme="minorHAnsi"/>
        </w:rPr>
        <w:t xml:space="preserve">ë do të bazohen në zhvillimin e </w:t>
      </w:r>
      <w:r w:rsidR="00A9766F" w:rsidRPr="007114AF">
        <w:t>transportit publik me autobus</w:t>
      </w:r>
      <w:r w:rsidR="00A9766F" w:rsidRPr="007114AF">
        <w:rPr>
          <w:rFonts w:cstheme="minorHAnsi"/>
        </w:rPr>
        <w:t>ë</w:t>
      </w:r>
      <w:r w:rsidR="00A9766F" w:rsidRPr="007114AF">
        <w:t xml:space="preserve">. Masa </w:t>
      </w:r>
      <w:r w:rsidR="00A9766F" w:rsidRPr="007114AF">
        <w:rPr>
          <w:rFonts w:cstheme="minorHAnsi"/>
        </w:rPr>
        <w:t>është koherente me skenarin zbutës t</w:t>
      </w:r>
      <w:r w:rsidR="00A9766F" w:rsidRPr="007114AF">
        <w:t>ë</w:t>
      </w:r>
      <w:r w:rsidR="00A9766F" w:rsidRPr="007114AF">
        <w:rPr>
          <w:bCs/>
        </w:rPr>
        <w:t>INDC-ës.</w:t>
      </w:r>
    </w:p>
    <w:p w14:paraId="6EDCFDF1" w14:textId="60B73A97" w:rsidR="00A9766F" w:rsidRPr="007114AF" w:rsidRDefault="00214466" w:rsidP="00206985">
      <w:pPr>
        <w:pStyle w:val="TEKSTI"/>
      </w:pPr>
      <w:r w:rsidRPr="007114AF">
        <w:rPr>
          <w:b/>
          <w:bCs/>
        </w:rPr>
        <w:t xml:space="preserve">6. </w:t>
      </w:r>
      <w:r w:rsidR="00A9766F" w:rsidRPr="007114AF">
        <w:rPr>
          <w:b/>
          <w:bCs/>
        </w:rPr>
        <w:t xml:space="preserve">Menaxhimi i integruar i mallrave: </w:t>
      </w:r>
      <w:r w:rsidR="00F16CDF" w:rsidRPr="007114AF">
        <w:t xml:space="preserve">ulja </w:t>
      </w:r>
      <w:r w:rsidR="00A9766F" w:rsidRPr="007114AF">
        <w:t>e shkarkimit t</w:t>
      </w:r>
      <w:r w:rsidR="00A9766F" w:rsidRPr="007114AF">
        <w:rPr>
          <w:rFonts w:cstheme="minorHAnsi"/>
        </w:rPr>
        <w:t xml:space="preserve">ë </w:t>
      </w:r>
      <w:r w:rsidR="00A9766F" w:rsidRPr="007114AF">
        <w:t>ndot</w:t>
      </w:r>
      <w:r w:rsidR="00A9766F" w:rsidRPr="007114AF">
        <w:rPr>
          <w:rFonts w:cstheme="minorHAnsi"/>
        </w:rPr>
        <w:t>ësve të ajrit dhe konsumi i energjisë përmes përmirësimit të faktorit të ngarkesës së mallrave rrugorë</w:t>
      </w:r>
      <w:r w:rsidR="00A9766F" w:rsidRPr="007114AF">
        <w:t>, n</w:t>
      </w:r>
      <w:r w:rsidR="00A9766F" w:rsidRPr="007114AF">
        <w:rPr>
          <w:rFonts w:cstheme="minorHAnsi"/>
        </w:rPr>
        <w:t>ë sajë të veprimeve të konsolidimit të mallrave</w:t>
      </w:r>
      <w:r w:rsidR="00A9766F" w:rsidRPr="007114AF">
        <w:t>. Masa ka p</w:t>
      </w:r>
      <w:r w:rsidR="00A9766F" w:rsidRPr="007114AF">
        <w:rPr>
          <w:rFonts w:cstheme="minorHAnsi"/>
        </w:rPr>
        <w:t>ër qëllim r</w:t>
      </w:r>
      <w:r w:rsidR="00A9766F" w:rsidRPr="007114AF">
        <w:t>acionalizimin e proceseve logjistike q</w:t>
      </w:r>
      <w:r w:rsidR="00A9766F" w:rsidRPr="007114AF">
        <w:rPr>
          <w:rFonts w:cstheme="minorHAnsi"/>
        </w:rPr>
        <w:t xml:space="preserve">ë </w:t>
      </w:r>
      <w:r w:rsidR="00A9766F" w:rsidRPr="007114AF">
        <w:rPr>
          <w:rFonts w:cs="Calibri"/>
        </w:rPr>
        <w:t>ç</w:t>
      </w:r>
      <w:r w:rsidR="00A9766F" w:rsidRPr="007114AF">
        <w:rPr>
          <w:rFonts w:cstheme="minorHAnsi"/>
        </w:rPr>
        <w:t xml:space="preserve">ojnë në përmirësimin e produktivitetit dhe besueshmërinë e operacioneve të transportit, si dhe trajtimin e mallrave </w:t>
      </w:r>
      <w:r w:rsidR="00A9766F" w:rsidRPr="007114AF">
        <w:t>(dhe n</w:t>
      </w:r>
      <w:r w:rsidR="00A9766F" w:rsidRPr="007114AF">
        <w:rPr>
          <w:rFonts w:cstheme="minorHAnsi"/>
        </w:rPr>
        <w:t>ë ve</w:t>
      </w:r>
      <w:r w:rsidR="00A9766F" w:rsidRPr="007114AF">
        <w:rPr>
          <w:rFonts w:cs="Calibri"/>
        </w:rPr>
        <w:t>çan</w:t>
      </w:r>
      <w:r w:rsidR="00A9766F" w:rsidRPr="007114AF">
        <w:rPr>
          <w:rFonts w:cstheme="minorHAnsi"/>
        </w:rPr>
        <w:t>ti një</w:t>
      </w:r>
      <w:r w:rsidR="00F16CDF">
        <w:rPr>
          <w:rFonts w:cstheme="minorHAnsi"/>
        </w:rPr>
        <w:t xml:space="preserve"> </w:t>
      </w:r>
      <w:r w:rsidR="00A9766F" w:rsidRPr="007114AF">
        <w:rPr>
          <w:rFonts w:cstheme="minorHAnsi"/>
        </w:rPr>
        <w:t>rritje në faktorin e ngarkesës së kamionëve</w:t>
      </w:r>
      <w:r w:rsidR="00A9766F" w:rsidRPr="007114AF">
        <w:t xml:space="preserve">), </w:t>
      </w:r>
      <w:r w:rsidR="00A9766F" w:rsidRPr="007114AF">
        <w:rPr>
          <w:rFonts w:cstheme="minorHAnsi"/>
        </w:rPr>
        <w:t xml:space="preserve">duke </w:t>
      </w:r>
      <w:r w:rsidR="00A9766F" w:rsidRPr="007114AF">
        <w:rPr>
          <w:rFonts w:cs="Calibri"/>
        </w:rPr>
        <w:t>ç</w:t>
      </w:r>
      <w:r w:rsidR="00A9766F" w:rsidRPr="007114AF">
        <w:rPr>
          <w:rFonts w:cstheme="minorHAnsi"/>
        </w:rPr>
        <w:t>uar në kursim të kostos dhe ndotjes</w:t>
      </w:r>
      <w:r w:rsidR="00A9766F" w:rsidRPr="007114AF">
        <w:t>.</w:t>
      </w:r>
    </w:p>
    <w:p w14:paraId="6EDCFDF2" w14:textId="704FAA37" w:rsidR="00A9766F" w:rsidRPr="007114AF" w:rsidRDefault="00214466" w:rsidP="00206985">
      <w:pPr>
        <w:pStyle w:val="TEKSTI"/>
      </w:pPr>
      <w:r w:rsidRPr="007114AF">
        <w:rPr>
          <w:b/>
          <w:bCs/>
        </w:rPr>
        <w:t xml:space="preserve">7. </w:t>
      </w:r>
      <w:r w:rsidR="00A9766F" w:rsidRPr="007114AF">
        <w:rPr>
          <w:b/>
          <w:bCs/>
        </w:rPr>
        <w:t>Tarifat e makinave eficiente dhe stimujt p</w:t>
      </w:r>
      <w:r w:rsidR="00A9766F" w:rsidRPr="007114AF">
        <w:rPr>
          <w:rFonts w:cs="Calibri"/>
          <w:b/>
          <w:bCs/>
        </w:rPr>
        <w:t>ër rinovimin e flotës</w:t>
      </w:r>
      <w:r w:rsidR="00A9766F" w:rsidRPr="007114AF">
        <w:rPr>
          <w:b/>
          <w:bCs/>
        </w:rPr>
        <w:t>:</w:t>
      </w:r>
      <w:r w:rsidR="00F16CDF">
        <w:rPr>
          <w:b/>
          <w:bCs/>
        </w:rPr>
        <w:t xml:space="preserve"> </w:t>
      </w:r>
      <w:r w:rsidR="00F16CDF" w:rsidRPr="007114AF">
        <w:t xml:space="preserve">ulja </w:t>
      </w:r>
      <w:r w:rsidR="00A9766F" w:rsidRPr="007114AF">
        <w:t>e shkarkimeve t</w:t>
      </w:r>
      <w:r w:rsidR="00A9766F" w:rsidRPr="007114AF">
        <w:rPr>
          <w:rFonts w:cstheme="minorHAnsi"/>
        </w:rPr>
        <w:t>ë ndotësve dhe konsumit të energjisë përmes rinovimit të flotës së makinave</w:t>
      </w:r>
      <w:r w:rsidR="00A9766F" w:rsidRPr="007114AF">
        <w:t xml:space="preserve"> stimuluar nga tarifat e efic</w:t>
      </w:r>
      <w:r w:rsidR="00F16CDF">
        <w:t>i</w:t>
      </w:r>
      <w:r w:rsidR="00A9766F" w:rsidRPr="007114AF">
        <w:t xml:space="preserve">encës </w:t>
      </w:r>
      <w:r w:rsidR="00A9766F" w:rsidRPr="007114AF">
        <w:rPr>
          <w:rFonts w:cstheme="minorHAnsi"/>
        </w:rPr>
        <w:t>dhe stimujt</w:t>
      </w:r>
      <w:r w:rsidR="00A9766F" w:rsidRPr="007114AF">
        <w:t>. Skema e taksave</w:t>
      </w:r>
      <w:r w:rsidR="00F16CDF">
        <w:t xml:space="preserve"> </w:t>
      </w:r>
      <w:r w:rsidR="00A9766F" w:rsidRPr="007114AF">
        <w:t>t</w:t>
      </w:r>
      <w:r w:rsidR="00A9766F" w:rsidRPr="007114AF">
        <w:rPr>
          <w:rFonts w:cstheme="minorHAnsi"/>
        </w:rPr>
        <w:t>ë makinave mbi eficiencën e tyre dhe stimujt që mbështesin rinovimin e flotës, përdoret në të gjithë botën për të përshpejtuar përhapjen e mjeteve me ndotje të ulët</w:t>
      </w:r>
      <w:r w:rsidR="00A9766F" w:rsidRPr="007114AF">
        <w:t>, nd</w:t>
      </w:r>
      <w:r w:rsidR="00A9766F" w:rsidRPr="007114AF">
        <w:rPr>
          <w:rFonts w:cstheme="minorHAnsi"/>
        </w:rPr>
        <w:t>ërsa në Shqipëri taksa e automjeteve të transportit nuk lidhet ngushtë me klasën e</w:t>
      </w:r>
      <w:r w:rsidR="00A9766F" w:rsidRPr="007114AF">
        <w:t xml:space="preserve"> Euros dhe nuk ekzistojn</w:t>
      </w:r>
      <w:r w:rsidR="00A9766F" w:rsidRPr="007114AF">
        <w:rPr>
          <w:rFonts w:cstheme="minorHAnsi"/>
        </w:rPr>
        <w:t xml:space="preserve">ë skema </w:t>
      </w:r>
      <w:r w:rsidR="00A9766F" w:rsidRPr="007114AF">
        <w:t>bonusesh q</w:t>
      </w:r>
      <w:r w:rsidR="00A9766F" w:rsidRPr="007114AF">
        <w:rPr>
          <w:rFonts w:cstheme="minorHAnsi"/>
        </w:rPr>
        <w:t xml:space="preserve">ë stimulojnë prirjen për të </w:t>
      </w:r>
      <w:r w:rsidR="00A9766F" w:rsidRPr="007114AF">
        <w:rPr>
          <w:rFonts w:cstheme="minorHAnsi"/>
        </w:rPr>
        <w:lastRenderedPageBreak/>
        <w:t>zëvendësuar automjetet e vjetruara</w:t>
      </w:r>
      <w:r w:rsidR="00A9766F" w:rsidRPr="007114AF">
        <w:t xml:space="preserve">. Flota aktuale shqiptare mbizotërohet fuqishëm nga </w:t>
      </w:r>
      <w:r w:rsidR="00A9766F" w:rsidRPr="007114AF">
        <w:rPr>
          <w:rFonts w:cstheme="minorHAnsi"/>
        </w:rPr>
        <w:t>automjete të vjetra ndotëse</w:t>
      </w:r>
      <w:r w:rsidR="00A9766F" w:rsidRPr="007114AF">
        <w:t>, q</w:t>
      </w:r>
      <w:r w:rsidR="00A9766F" w:rsidRPr="007114AF">
        <w:rPr>
          <w:rFonts w:cstheme="minorHAnsi"/>
        </w:rPr>
        <w:t>ë ndikojnë negativisht në ndotjen e ajrit</w:t>
      </w:r>
      <w:r w:rsidR="00A9766F" w:rsidRPr="007114AF">
        <w:t>, n</w:t>
      </w:r>
      <w:r w:rsidR="00A9766F" w:rsidRPr="007114AF">
        <w:rPr>
          <w:rFonts w:cstheme="minorHAnsi"/>
        </w:rPr>
        <w:t xml:space="preserve">ë shkarkimet </w:t>
      </w:r>
      <w:r w:rsidR="00A9766F" w:rsidRPr="007114AF">
        <w:t>CO</w:t>
      </w:r>
      <w:r w:rsidR="00A9766F" w:rsidRPr="007114AF">
        <w:rPr>
          <w:vertAlign w:val="subscript"/>
        </w:rPr>
        <w:t>2</w:t>
      </w:r>
      <w:r w:rsidR="00A9766F" w:rsidRPr="007114AF">
        <w:t xml:space="preserve"> dhe në konsumin e energjis</w:t>
      </w:r>
      <w:r w:rsidR="00A9766F" w:rsidRPr="007114AF">
        <w:rPr>
          <w:rFonts w:cstheme="minorHAnsi"/>
        </w:rPr>
        <w:t>ë. Në përputhje me praktikën ndërkombëtare</w:t>
      </w:r>
      <w:r w:rsidR="00A9766F" w:rsidRPr="007114AF">
        <w:t>, masa duhet zbatuar p</w:t>
      </w:r>
      <w:r w:rsidR="00A9766F" w:rsidRPr="007114AF">
        <w:rPr>
          <w:rFonts w:cstheme="minorHAnsi"/>
        </w:rPr>
        <w:t xml:space="preserve">ërmes modifikimi të skemës së taksave të makinave dhe strukturave të stimujve financiarë. Masa është në përputhje me skenarin e zbutjes së </w:t>
      </w:r>
      <w:r w:rsidR="00A9766F" w:rsidRPr="007114AF">
        <w:t>INDC-ës.</w:t>
      </w:r>
    </w:p>
    <w:p w14:paraId="6EDCFDF3" w14:textId="4AEA1454" w:rsidR="00A9766F" w:rsidRPr="007114AF" w:rsidRDefault="00214466" w:rsidP="00206985">
      <w:pPr>
        <w:pStyle w:val="TEKSTI"/>
        <w:rPr>
          <w:b/>
          <w:bCs/>
        </w:rPr>
      </w:pPr>
      <w:r w:rsidRPr="007114AF">
        <w:rPr>
          <w:b/>
          <w:bCs/>
        </w:rPr>
        <w:t xml:space="preserve">8. </w:t>
      </w:r>
      <w:r w:rsidR="00A9766F" w:rsidRPr="007114AF">
        <w:rPr>
          <w:b/>
          <w:bCs/>
        </w:rPr>
        <w:t>Masa t</w:t>
      </w:r>
      <w:r w:rsidR="00A9766F" w:rsidRPr="007114AF">
        <w:rPr>
          <w:rFonts w:cs="Calibri"/>
          <w:b/>
          <w:bCs/>
        </w:rPr>
        <w:t xml:space="preserve">ë buta dhe të ashpra </w:t>
      </w:r>
      <w:r w:rsidR="00A9766F" w:rsidRPr="007114AF">
        <w:rPr>
          <w:b/>
          <w:bCs/>
        </w:rPr>
        <w:t>(iniciativa t</w:t>
      </w:r>
      <w:r w:rsidR="00A9766F" w:rsidRPr="007114AF">
        <w:rPr>
          <w:rFonts w:cstheme="minorHAnsi"/>
          <w:b/>
        </w:rPr>
        <w:t>ë ndërgjegjshme të</w:t>
      </w:r>
      <w:r w:rsidR="00A9766F" w:rsidRPr="007114AF">
        <w:rPr>
          <w:b/>
          <w:bCs/>
        </w:rPr>
        <w:t xml:space="preserve"> l</w:t>
      </w:r>
      <w:r w:rsidR="00A9766F" w:rsidRPr="007114AF">
        <w:rPr>
          <w:rFonts w:cstheme="minorHAnsi"/>
          <w:b/>
        </w:rPr>
        <w:t>ëvizjes</w:t>
      </w:r>
      <w:r w:rsidR="00A9766F" w:rsidRPr="007114AF">
        <w:rPr>
          <w:b/>
          <w:bCs/>
        </w:rPr>
        <w:t>)</w:t>
      </w:r>
      <w:r w:rsidR="00A9766F" w:rsidRPr="007114AF">
        <w:t xml:space="preserve">: </w:t>
      </w:r>
      <w:r w:rsidR="00F16CDF" w:rsidRPr="007114AF">
        <w:t>mb</w:t>
      </w:r>
      <w:r w:rsidR="00F16CDF" w:rsidRPr="007114AF">
        <w:rPr>
          <w:rFonts w:cstheme="minorHAnsi"/>
        </w:rPr>
        <w:t xml:space="preserve">ështetja </w:t>
      </w:r>
      <w:r w:rsidR="00A9766F" w:rsidRPr="007114AF">
        <w:rPr>
          <w:rFonts w:cstheme="minorHAnsi"/>
        </w:rPr>
        <w:t xml:space="preserve">e zbatimit </w:t>
      </w:r>
      <w:r w:rsidR="00A9766F" w:rsidRPr="007114AF">
        <w:t>TECTQ p</w:t>
      </w:r>
      <w:r w:rsidR="00A9766F" w:rsidRPr="007114AF">
        <w:rPr>
          <w:rFonts w:cstheme="minorHAnsi"/>
        </w:rPr>
        <w:t>ërmes fushatave të duhura të informacionit që kanë si qëllim gjithashtu, shmangien ose uljen e sjelljeve më pak të qëndrueshme të transportit</w:t>
      </w:r>
      <w:r w:rsidR="00A9766F" w:rsidRPr="007114AF">
        <w:t>.</w:t>
      </w:r>
    </w:p>
    <w:p w14:paraId="6EDCFDF4" w14:textId="4BAD9464" w:rsidR="00A9766F" w:rsidRPr="00F16CDF" w:rsidRDefault="00214466" w:rsidP="00206985">
      <w:pPr>
        <w:pStyle w:val="TEKSTI"/>
      </w:pPr>
      <w:r w:rsidRPr="007114AF">
        <w:rPr>
          <w:b/>
          <w:bCs/>
        </w:rPr>
        <w:t xml:space="preserve">9. </w:t>
      </w:r>
      <w:r w:rsidR="00A9766F" w:rsidRPr="007114AF">
        <w:rPr>
          <w:b/>
          <w:bCs/>
        </w:rPr>
        <w:t>Monitorimi i cil</w:t>
      </w:r>
      <w:r w:rsidR="00A9766F" w:rsidRPr="007114AF">
        <w:rPr>
          <w:rFonts w:cs="Calibri"/>
          <w:b/>
          <w:bCs/>
        </w:rPr>
        <w:t>ësisë së ajrit dhe trafikut</w:t>
      </w:r>
      <w:r w:rsidR="00A9766F" w:rsidRPr="007114AF">
        <w:rPr>
          <w:b/>
          <w:bCs/>
        </w:rPr>
        <w:t xml:space="preserve">: </w:t>
      </w:r>
      <w:r w:rsidR="00F16CDF" w:rsidRPr="007114AF">
        <w:t xml:space="preserve">monitorimi </w:t>
      </w:r>
      <w:r w:rsidR="00A9766F" w:rsidRPr="007114AF">
        <w:t>i cil</w:t>
      </w:r>
      <w:r w:rsidR="00A9766F" w:rsidRPr="007114AF">
        <w:rPr>
          <w:rFonts w:cstheme="minorHAnsi"/>
        </w:rPr>
        <w:t xml:space="preserve">ësisë së ajrit dhe trafikut në rrjetin rrugor kryesor për të vlerësuar eficiencën e zbatimit </w:t>
      </w:r>
      <w:r w:rsidR="00A9766F" w:rsidRPr="007114AF">
        <w:t>TEC</w:t>
      </w:r>
      <w:r w:rsidR="00A9766F" w:rsidRPr="007114AF">
        <w:rPr>
          <w:rFonts w:cstheme="minorHAnsi"/>
        </w:rPr>
        <w:t>TQ</w:t>
      </w:r>
      <w:r w:rsidR="00A9766F" w:rsidRPr="007114AF">
        <w:t xml:space="preserve"> dhe zhvillimit t</w:t>
      </w:r>
      <w:r w:rsidR="00A9766F" w:rsidRPr="007114AF">
        <w:rPr>
          <w:rFonts w:cstheme="minorHAnsi"/>
        </w:rPr>
        <w:t>ë përgjithshëm në kushtet e trafikut dhe ajrit</w:t>
      </w:r>
      <w:r w:rsidR="00A9766F" w:rsidRPr="007114AF">
        <w:t xml:space="preserve">. </w:t>
      </w:r>
      <w:r w:rsidR="00A9766F" w:rsidRPr="007114AF">
        <w:rPr>
          <w:rFonts w:cs="Calibri"/>
        </w:rPr>
        <w:t>Çd</w:t>
      </w:r>
      <w:r w:rsidR="00A9766F" w:rsidRPr="007114AF">
        <w:t>o plan q</w:t>
      </w:r>
      <w:r w:rsidR="00A9766F" w:rsidRPr="007114AF">
        <w:rPr>
          <w:rFonts w:cstheme="minorHAnsi"/>
        </w:rPr>
        <w:t>ë synon një sistem transporti më të qëndrueshëm do të kërkojë</w:t>
      </w:r>
      <w:r w:rsidR="000A2A01" w:rsidRPr="007114AF">
        <w:rPr>
          <w:rFonts w:cstheme="minorHAnsi"/>
        </w:rPr>
        <w:t xml:space="preserve"> </w:t>
      </w:r>
      <w:r w:rsidR="00A9766F" w:rsidRPr="007114AF">
        <w:rPr>
          <w:rFonts w:cstheme="minorHAnsi"/>
        </w:rPr>
        <w:t>një monitorim efektiv të cilësisë së ajrit dhe kushteve të trafikut përgjatë rrjetit</w:t>
      </w:r>
      <w:r w:rsidR="00A9766F" w:rsidRPr="007114AF">
        <w:t>. Sistemi i monitorimit duhet t</w:t>
      </w:r>
      <w:r w:rsidR="00A9766F" w:rsidRPr="007114AF">
        <w:rPr>
          <w:rFonts w:cstheme="minorHAnsi"/>
        </w:rPr>
        <w:t xml:space="preserve">ë lejojë të kuptuarit në detaje të burimeve kryesore </w:t>
      </w:r>
      <w:r w:rsidR="00A9766F" w:rsidRPr="00F16CDF">
        <w:t>GES dhe shkarkimeve t</w:t>
      </w:r>
      <w:r w:rsidR="00A9766F" w:rsidRPr="00F16CDF">
        <w:rPr>
          <w:rFonts w:cstheme="minorHAnsi"/>
        </w:rPr>
        <w:t>ë ndotësve të ajrit</w:t>
      </w:r>
      <w:r w:rsidR="00A9766F" w:rsidRPr="00F16CDF">
        <w:t>; monitorimi i efektivitetit t</w:t>
      </w:r>
      <w:r w:rsidR="00A9766F" w:rsidRPr="00F16CDF">
        <w:rPr>
          <w:rFonts w:cstheme="minorHAnsi"/>
        </w:rPr>
        <w:t xml:space="preserve">ë të gjitha masave të identifikuara në </w:t>
      </w:r>
      <w:r w:rsidR="00A9766F" w:rsidRPr="00F16CDF">
        <w:t>TEC</w:t>
      </w:r>
      <w:r w:rsidR="00A9766F" w:rsidRPr="00F16CDF">
        <w:rPr>
          <w:rFonts w:cstheme="minorHAnsi"/>
        </w:rPr>
        <w:t>TQ</w:t>
      </w:r>
      <w:r w:rsidR="00A9766F" w:rsidRPr="00F16CDF">
        <w:t>; zhvillimin e politikave t</w:t>
      </w:r>
      <w:r w:rsidR="00A9766F" w:rsidRPr="00F16CDF">
        <w:rPr>
          <w:rFonts w:cstheme="minorHAnsi"/>
        </w:rPr>
        <w:t xml:space="preserve">ë ardhshme dhe </w:t>
      </w:r>
      <w:r w:rsidR="00A9766F" w:rsidRPr="00F16CDF">
        <w:t>strategjive p</w:t>
      </w:r>
      <w:r w:rsidR="00A9766F" w:rsidRPr="00F16CDF">
        <w:rPr>
          <w:rFonts w:cstheme="minorHAnsi"/>
        </w:rPr>
        <w:t>ër të përmirësuar cilësinë e ajrit</w:t>
      </w:r>
      <w:r w:rsidR="00A9766F" w:rsidRPr="00F16CDF">
        <w:t>; vler</w:t>
      </w:r>
      <w:r w:rsidR="00A9766F" w:rsidRPr="00F16CDF">
        <w:rPr>
          <w:rFonts w:cstheme="minorHAnsi"/>
        </w:rPr>
        <w:t>ësimin e pajtueshmërisë me objektivat dhe vlerat kufi</w:t>
      </w:r>
      <w:r w:rsidR="00A9766F" w:rsidRPr="00F16CDF">
        <w:t xml:space="preserve">, duke e bërë </w:t>
      </w:r>
      <w:r w:rsidR="00A9766F" w:rsidRPr="00F16CDF">
        <w:rPr>
          <w:rFonts w:cs="Calibri"/>
        </w:rPr>
        <w:t>ç</w:t>
      </w:r>
      <w:r w:rsidR="00A9766F" w:rsidRPr="00F16CDF">
        <w:rPr>
          <w:rFonts w:cstheme="minorHAnsi"/>
        </w:rPr>
        <w:t>ështjen më të dukshme</w:t>
      </w:r>
      <w:r w:rsidR="00A9766F" w:rsidRPr="00F16CDF">
        <w:t xml:space="preserve">. </w:t>
      </w:r>
    </w:p>
    <w:p w14:paraId="6EDCFDF5" w14:textId="77777777" w:rsidR="00A9766F" w:rsidRPr="00F16CDF" w:rsidRDefault="00A9766F" w:rsidP="00206985">
      <w:pPr>
        <w:pStyle w:val="TEKSTI"/>
        <w:rPr>
          <w:b/>
          <w:i/>
          <w:u w:val="single"/>
        </w:rPr>
      </w:pPr>
      <w:r w:rsidRPr="00F16CDF">
        <w:rPr>
          <w:b/>
          <w:i/>
          <w:u w:val="single"/>
        </w:rPr>
        <w:t>Strategjia e Sektorit t</w:t>
      </w:r>
      <w:r w:rsidRPr="00F16CDF">
        <w:rPr>
          <w:rFonts w:cstheme="minorHAnsi"/>
          <w:b/>
          <w:i/>
          <w:u w:val="single"/>
        </w:rPr>
        <w:t>ë</w:t>
      </w:r>
      <w:r w:rsidRPr="00F16CDF">
        <w:rPr>
          <w:b/>
          <w:i/>
          <w:u w:val="single"/>
        </w:rPr>
        <w:t xml:space="preserve"> Transportit dhe Plani i Veprimit (SSTPV)</w:t>
      </w:r>
    </w:p>
    <w:p w14:paraId="6EDCFDF6" w14:textId="78A131F5" w:rsidR="00A9766F" w:rsidRPr="00F16CDF" w:rsidRDefault="00A9766F" w:rsidP="00206985">
      <w:pPr>
        <w:pStyle w:val="TEKSTI"/>
        <w:rPr>
          <w:i/>
        </w:rPr>
      </w:pPr>
      <w:r w:rsidRPr="00F16CDF">
        <w:rPr>
          <w:i/>
        </w:rPr>
        <w:t>Vlefshm</w:t>
      </w:r>
      <w:r w:rsidRPr="00F16CDF">
        <w:rPr>
          <w:rFonts w:cstheme="minorHAnsi"/>
          <w:i/>
        </w:rPr>
        <w:t>ëria</w:t>
      </w:r>
      <w:r w:rsidRPr="00F16CDF">
        <w:rPr>
          <w:i/>
        </w:rPr>
        <w:t>: 2016</w:t>
      </w:r>
      <w:r w:rsidR="00F16CDF">
        <w:t>–</w:t>
      </w:r>
      <w:r w:rsidRPr="00F16CDF">
        <w:rPr>
          <w:i/>
        </w:rPr>
        <w:t>2020</w:t>
      </w:r>
    </w:p>
    <w:p w14:paraId="6EDCFDF7" w14:textId="237DDD44" w:rsidR="00A9766F" w:rsidRPr="00F16CDF" w:rsidRDefault="00A9766F" w:rsidP="00206985">
      <w:pPr>
        <w:pStyle w:val="TEKSTI"/>
      </w:pPr>
      <w:r w:rsidRPr="00F16CDF">
        <w:t>Objektivi i p</w:t>
      </w:r>
      <w:r w:rsidRPr="00F16CDF">
        <w:rPr>
          <w:rFonts w:cstheme="minorHAnsi"/>
        </w:rPr>
        <w:t xml:space="preserve">ërgjithshëm i </w:t>
      </w:r>
      <w:r w:rsidRPr="00F16CDF">
        <w:t>SSTPV 2016</w:t>
      </w:r>
      <w:r w:rsidR="00F16CDF">
        <w:t>–</w:t>
      </w:r>
      <w:r w:rsidRPr="00F16CDF">
        <w:t xml:space="preserve">2020 </w:t>
      </w:r>
      <w:r w:rsidRPr="00F16CDF">
        <w:rPr>
          <w:rFonts w:cstheme="minorHAnsi"/>
        </w:rPr>
        <w:t>është ai i zhvillimit të mëtejshëm të sistemit kombëtar të transportit në Shqipëri dhe përmirësimit të</w:t>
      </w:r>
      <w:r w:rsidR="00F16CDF">
        <w:rPr>
          <w:rFonts w:cstheme="minorHAnsi"/>
        </w:rPr>
        <w:t xml:space="preserve"> </w:t>
      </w:r>
      <w:r w:rsidRPr="00F16CDF">
        <w:rPr>
          <w:rFonts w:cstheme="minorHAnsi"/>
        </w:rPr>
        <w:t>ndjeshëm të qëndrueshmërisë së tij</w:t>
      </w:r>
      <w:r w:rsidRPr="00F16CDF">
        <w:t>, nd</w:t>
      </w:r>
      <w:r w:rsidRPr="00F16CDF">
        <w:rPr>
          <w:rFonts w:cstheme="minorHAnsi"/>
        </w:rPr>
        <w:t>ërlidhjes</w:t>
      </w:r>
      <w:r w:rsidRPr="00F16CDF">
        <w:t>, nd</w:t>
      </w:r>
      <w:r w:rsidRPr="00F16CDF">
        <w:rPr>
          <w:rFonts w:cstheme="minorHAnsi"/>
        </w:rPr>
        <w:t xml:space="preserve">ërveprimit dhe </w:t>
      </w:r>
      <w:r w:rsidRPr="00F16CDF">
        <w:t>integrimit</w:t>
      </w:r>
      <w:r w:rsidR="00F16CDF">
        <w:t xml:space="preserve"> </w:t>
      </w:r>
      <w:r w:rsidRPr="00F16CDF">
        <w:t>me sistemin m</w:t>
      </w:r>
      <w:r w:rsidRPr="00F16CDF">
        <w:rPr>
          <w:rFonts w:cstheme="minorHAnsi"/>
        </w:rPr>
        <w:t>ë të gjerë të</w:t>
      </w:r>
      <w:r w:rsidRPr="00F16CDF">
        <w:t xml:space="preserve"> transportit nd</w:t>
      </w:r>
      <w:r w:rsidRPr="00F16CDF">
        <w:rPr>
          <w:rFonts w:cstheme="minorHAnsi"/>
        </w:rPr>
        <w:t>ërkombëtar, si dhe atë rajonal</w:t>
      </w:r>
      <w:r w:rsidRPr="00F16CDF">
        <w:t>.</w:t>
      </w:r>
    </w:p>
    <w:p w14:paraId="6EDCFDF8" w14:textId="727A4CBD" w:rsidR="00A9766F" w:rsidRPr="007114AF" w:rsidRDefault="00A9766F" w:rsidP="00206985">
      <w:pPr>
        <w:pStyle w:val="TEKSTI"/>
      </w:pPr>
      <w:r w:rsidRPr="00F16CDF">
        <w:t>Vizioni, prioritetet strategjike dhe objektivat jan</w:t>
      </w:r>
      <w:r w:rsidRPr="00F16CDF">
        <w:rPr>
          <w:rFonts w:cstheme="minorHAnsi"/>
        </w:rPr>
        <w:t>ë në përputhje me vizionin strategjik të Qeverisë shqiptare</w:t>
      </w:r>
      <w:r w:rsidRPr="007114AF">
        <w:rPr>
          <w:rFonts w:cstheme="minorHAnsi"/>
        </w:rPr>
        <w:t xml:space="preserve"> dhe me konceptet kryesore të politikës evropiane të transportit</w:t>
      </w:r>
      <w:r w:rsidRPr="007114AF">
        <w:t>. Ai siguron zhvillimin e nj</w:t>
      </w:r>
      <w:r w:rsidRPr="007114AF">
        <w:rPr>
          <w:rFonts w:cstheme="minorHAnsi"/>
        </w:rPr>
        <w:t>ë sistemi efikas</w:t>
      </w:r>
      <w:r w:rsidRPr="007114AF">
        <w:t>, t</w:t>
      </w:r>
      <w:r w:rsidRPr="007114AF">
        <w:rPr>
          <w:rFonts w:cstheme="minorHAnsi"/>
        </w:rPr>
        <w:t>ë qëndrueshëm dhe të një</w:t>
      </w:r>
      <w:r w:rsidR="000A2A01" w:rsidRPr="007114AF">
        <w:rPr>
          <w:rFonts w:cstheme="minorHAnsi"/>
        </w:rPr>
        <w:t xml:space="preserve"> </w:t>
      </w:r>
      <w:r w:rsidRPr="007114AF">
        <w:rPr>
          <w:rFonts w:cstheme="minorHAnsi"/>
        </w:rPr>
        <w:t>transporti miqësor ndaj mjedisit, në gjendje të mbështesë objektivat kryesor</w:t>
      </w:r>
      <w:r w:rsidR="00163F78">
        <w:rPr>
          <w:rFonts w:cstheme="minorHAnsi"/>
        </w:rPr>
        <w:t>ë</w:t>
      </w:r>
      <w:r w:rsidRPr="007114AF">
        <w:rPr>
          <w:rFonts w:cstheme="minorHAnsi"/>
        </w:rPr>
        <w:t xml:space="preserve"> të zhvillimit ekonomik dhe social të Shqipërisë, si dhe integrimin e mëtejshëm të Shqipërisë në Bashkimin Evropian</w:t>
      </w:r>
      <w:r w:rsidRPr="007114AF">
        <w:t xml:space="preserve">. </w:t>
      </w:r>
    </w:p>
    <w:p w14:paraId="6EDCFDF9" w14:textId="54A699A0" w:rsidR="00A9766F" w:rsidRPr="007114AF" w:rsidRDefault="00A9766F" w:rsidP="00206985">
      <w:pPr>
        <w:pStyle w:val="TEKSTI"/>
        <w:rPr>
          <w:highlight w:val="yellow"/>
        </w:rPr>
      </w:pPr>
      <w:r w:rsidRPr="007114AF">
        <w:t>T</w:t>
      </w:r>
      <w:r w:rsidRPr="007114AF">
        <w:rPr>
          <w:rFonts w:cstheme="minorHAnsi"/>
        </w:rPr>
        <w:t>ë gjitha masat e cituara janë të përfshira në</w:t>
      </w:r>
      <w:r w:rsidR="000641ED">
        <w:rPr>
          <w:rFonts w:cstheme="minorHAnsi"/>
        </w:rPr>
        <w:t xml:space="preserve"> </w:t>
      </w:r>
      <w:r w:rsidRPr="007114AF">
        <w:t>SKZHI-II dhe konsiderohen n</w:t>
      </w:r>
      <w:r w:rsidRPr="007114AF">
        <w:rPr>
          <w:rFonts w:cstheme="minorHAnsi"/>
        </w:rPr>
        <w:t>ë përputhje me dokumente të tjera përkatës që kanë të bëjnë me planifikimin, si Lib</w:t>
      </w:r>
      <w:r w:rsidRPr="007114AF">
        <w:t>ri i Bardhë 2011 i BE-së mbi Transportin, Strategjia 2020 e Evropës Juglindore (SEE2020) dhe disa objektiva t</w:t>
      </w:r>
      <w:r w:rsidRPr="007114AF">
        <w:rPr>
          <w:rFonts w:cstheme="minorHAnsi"/>
        </w:rPr>
        <w:t xml:space="preserve">ë mbetur të cilët përfshihen në </w:t>
      </w:r>
      <w:r w:rsidRPr="007114AF">
        <w:t>2010 ANTP-ën (Plani Komb</w:t>
      </w:r>
      <w:r w:rsidRPr="007114AF">
        <w:rPr>
          <w:rFonts w:cstheme="minorHAnsi"/>
        </w:rPr>
        <w:t>ëtar Shqiptar për Transportin</w:t>
      </w:r>
      <w:r w:rsidRPr="007114AF">
        <w:t xml:space="preserve">). </w:t>
      </w:r>
    </w:p>
    <w:p w14:paraId="6EDCFDFA" w14:textId="77777777" w:rsidR="00A9766F" w:rsidRPr="007114AF" w:rsidRDefault="00A9766F" w:rsidP="00206985">
      <w:pPr>
        <w:pStyle w:val="TEKSTI"/>
      </w:pPr>
      <w:r w:rsidRPr="007114AF">
        <w:t>Prioritetet strategjike p</w:t>
      </w:r>
      <w:r w:rsidRPr="007114AF">
        <w:rPr>
          <w:rFonts w:cstheme="minorHAnsi"/>
        </w:rPr>
        <w:t xml:space="preserve">ër transportin rrugor kanë të bëjnë me kushtet ligjore dhe qeverisëse, përfundimin dhe </w:t>
      </w:r>
      <w:r w:rsidRPr="007114AF">
        <w:t>modernizimin e rrjetit shqiptar primar</w:t>
      </w:r>
      <w:r w:rsidRPr="007114AF">
        <w:rPr>
          <w:rFonts w:cstheme="minorHAnsi"/>
        </w:rPr>
        <w:t xml:space="preserve"> dhe sekondar</w:t>
      </w:r>
      <w:r w:rsidRPr="007114AF">
        <w:t>, si dhe fuqizimin e bashk</w:t>
      </w:r>
      <w:r w:rsidRPr="007114AF">
        <w:rPr>
          <w:rFonts w:cstheme="minorHAnsi"/>
        </w:rPr>
        <w:t>ëpunimit rajonal përmes lidhjeve rrugore</w:t>
      </w:r>
      <w:r w:rsidRPr="007114AF">
        <w:t>. Qasja e p</w:t>
      </w:r>
      <w:r w:rsidRPr="007114AF">
        <w:rPr>
          <w:rFonts w:cstheme="minorHAnsi"/>
        </w:rPr>
        <w:t>ërgjithshme është arritja e një tregu të transportit rrugor në përputhje me standardet e BE-së</w:t>
      </w:r>
      <w:r w:rsidRPr="007114AF">
        <w:t>. Prioritetet strategjike p</w:t>
      </w:r>
      <w:r w:rsidRPr="007114AF">
        <w:rPr>
          <w:rFonts w:cstheme="minorHAnsi"/>
        </w:rPr>
        <w:t xml:space="preserve">ër transportin hekurudhor lidhen me ngritjen e një tregu të hapur për </w:t>
      </w:r>
      <w:r w:rsidRPr="007114AF">
        <w:t>investitor</w:t>
      </w:r>
      <w:r w:rsidRPr="007114AF">
        <w:rPr>
          <w:rFonts w:cstheme="minorHAnsi"/>
        </w:rPr>
        <w:t>ë dhe rritjen dukshëm të v</w:t>
      </w:r>
      <w:r w:rsidRPr="007114AF">
        <w:t>isibilitetit t</w:t>
      </w:r>
      <w:r w:rsidRPr="007114AF">
        <w:rPr>
          <w:rFonts w:cstheme="minorHAnsi"/>
        </w:rPr>
        <w:t>ë</w:t>
      </w:r>
      <w:r w:rsidRPr="007114AF">
        <w:t xml:space="preserve"> zon</w:t>
      </w:r>
      <w:r w:rsidRPr="007114AF">
        <w:rPr>
          <w:rFonts w:cstheme="minorHAnsi"/>
        </w:rPr>
        <w:t xml:space="preserve">ës së </w:t>
      </w:r>
      <w:r w:rsidRPr="007114AF">
        <w:t>SEETO-s (Observatorit t</w:t>
      </w:r>
      <w:r w:rsidRPr="007114AF">
        <w:rPr>
          <w:rFonts w:cstheme="minorHAnsi"/>
        </w:rPr>
        <w:t>ë Transportit të Evropës Juglindore</w:t>
      </w:r>
      <w:r w:rsidRPr="007114AF">
        <w:rPr>
          <w:bCs/>
        </w:rPr>
        <w:t>)</w:t>
      </w:r>
      <w:r w:rsidRPr="007114AF">
        <w:t xml:space="preserve">. </w:t>
      </w:r>
    </w:p>
    <w:p w14:paraId="6EDCFDFB" w14:textId="77777777" w:rsidR="00A9766F" w:rsidRPr="007114AF" w:rsidRDefault="00A9766F" w:rsidP="00206985">
      <w:pPr>
        <w:pStyle w:val="TEKSTI"/>
      </w:pPr>
      <w:r w:rsidRPr="007114AF">
        <w:t>Prioritetet strategjike p</w:t>
      </w:r>
      <w:r w:rsidRPr="007114AF">
        <w:rPr>
          <w:rFonts w:cstheme="minorHAnsi"/>
        </w:rPr>
        <w:t>ër transportin detar synojnë përmirësimin e sistemit rregullator në përputhje me rregulloret e BE</w:t>
      </w:r>
      <w:r w:rsidRPr="007114AF">
        <w:t>/IMO (Organizata Nd</w:t>
      </w:r>
      <w:r w:rsidRPr="007114AF">
        <w:rPr>
          <w:rFonts w:cstheme="minorHAnsi"/>
        </w:rPr>
        <w:t>ërkombëtare Detare</w:t>
      </w:r>
      <w:r w:rsidRPr="007114AF">
        <w:t>), mb</w:t>
      </w:r>
      <w:r w:rsidRPr="007114AF">
        <w:rPr>
          <w:rFonts w:cstheme="minorHAnsi"/>
        </w:rPr>
        <w:t>ështetjen e zhvillimit të tregjeve detare dhe portuale</w:t>
      </w:r>
      <w:r w:rsidRPr="007114AF">
        <w:t>. P</w:t>
      </w:r>
      <w:r w:rsidRPr="007114AF">
        <w:rPr>
          <w:rFonts w:cstheme="minorHAnsi"/>
        </w:rPr>
        <w:t>ër sa i përket transportit ajror</w:t>
      </w:r>
      <w:r w:rsidRPr="007114AF">
        <w:t>, zhvillimi i infrastruktur</w:t>
      </w:r>
      <w:r w:rsidRPr="007114AF">
        <w:rPr>
          <w:rFonts w:cstheme="minorHAnsi"/>
        </w:rPr>
        <w:t>ës së re të aeroportit në jug të vendit duhet të shërbejë për të zhvilluar turizmin;</w:t>
      </w:r>
      <w:r w:rsidRPr="007114AF">
        <w:t xml:space="preserve"> nj</w:t>
      </w:r>
      <w:r w:rsidRPr="007114AF">
        <w:rPr>
          <w:rFonts w:cstheme="minorHAnsi"/>
        </w:rPr>
        <w:t>ë treg më konkurrues me shërbime ajrore të liberalizuara</w:t>
      </w:r>
      <w:r w:rsidRPr="007114AF">
        <w:t>, zbatimin dhe unifikimin e standardeve nd</w:t>
      </w:r>
      <w:r w:rsidRPr="007114AF">
        <w:rPr>
          <w:rFonts w:cstheme="minorHAnsi"/>
        </w:rPr>
        <w:t>ërkombëtare ajrore, si dhe uljen e tarifave të udhëtimit për pasagjerët janë prioritetet për periudhën e vlefshmërisë</w:t>
      </w:r>
      <w:r w:rsidRPr="007114AF">
        <w:t>.</w:t>
      </w:r>
    </w:p>
    <w:p w14:paraId="6EDCFDFC" w14:textId="77777777" w:rsidR="00A9766F" w:rsidRPr="007114AF" w:rsidRDefault="00A9766F" w:rsidP="00206985">
      <w:pPr>
        <w:pStyle w:val="TEKSTI"/>
      </w:pPr>
      <w:r w:rsidRPr="007114AF">
        <w:t>Nj</w:t>
      </w:r>
      <w:r w:rsidRPr="007114AF">
        <w:rPr>
          <w:rFonts w:cstheme="minorHAnsi"/>
        </w:rPr>
        <w:t xml:space="preserve">ë prioritet agregat final duhet të mbështesë krijimin e një </w:t>
      </w:r>
      <w:r w:rsidRPr="007114AF">
        <w:rPr>
          <w:rFonts w:cstheme="minorHAnsi"/>
          <w:b/>
        </w:rPr>
        <w:t>sistemi transporti</w:t>
      </w:r>
      <w:r w:rsidRPr="007114AF">
        <w:rPr>
          <w:rFonts w:cstheme="minorHAnsi"/>
        </w:rPr>
        <w:t xml:space="preserve"> efikas dhe </w:t>
      </w:r>
      <w:r w:rsidRPr="007114AF">
        <w:rPr>
          <w:rFonts w:cstheme="minorHAnsi"/>
          <w:b/>
        </w:rPr>
        <w:t>të integruar</w:t>
      </w:r>
      <w:r w:rsidRPr="007114AF">
        <w:rPr>
          <w:rFonts w:cstheme="minorHAnsi"/>
        </w:rPr>
        <w:t xml:space="preserve"> përmes veprimeve të tërthorta</w:t>
      </w:r>
      <w:r w:rsidRPr="007114AF">
        <w:t xml:space="preserve">. </w:t>
      </w:r>
    </w:p>
    <w:p w14:paraId="6EDCFDFD" w14:textId="77777777" w:rsidR="00A9766F" w:rsidRPr="007114AF" w:rsidRDefault="00A9766F" w:rsidP="00206985">
      <w:pPr>
        <w:pStyle w:val="TEKSTI"/>
      </w:pPr>
      <w:r w:rsidRPr="007114AF">
        <w:t>Dokumenti parashikon secil</w:t>
      </w:r>
      <w:r w:rsidRPr="007114AF">
        <w:rPr>
          <w:rFonts w:cstheme="minorHAnsi"/>
        </w:rPr>
        <w:t xml:space="preserve">ën nga strategjitë e mësipërme në politika </w:t>
      </w:r>
      <w:r w:rsidRPr="007114AF">
        <w:t>specifike dhe t</w:t>
      </w:r>
      <w:r w:rsidRPr="007114AF">
        <w:rPr>
          <w:rFonts w:cstheme="minorHAnsi"/>
        </w:rPr>
        <w:t>ë</w:t>
      </w:r>
      <w:r w:rsidRPr="007114AF">
        <w:t xml:space="preserve"> detajuara (Veprime Parësore), vendosjen e piketave, treguesve dhe objektivave.</w:t>
      </w:r>
    </w:p>
    <w:p w14:paraId="6EDCFDFE" w14:textId="77777777" w:rsidR="00A9766F" w:rsidRPr="007114AF" w:rsidRDefault="00A9766F" w:rsidP="00206985">
      <w:pPr>
        <w:pStyle w:val="TEKSTI"/>
      </w:pPr>
      <w:r w:rsidRPr="007114AF">
        <w:t>Tridhjet</w:t>
      </w:r>
      <w:r w:rsidRPr="007114AF">
        <w:rPr>
          <w:rFonts w:cstheme="minorHAnsi"/>
        </w:rPr>
        <w:t>ë e nëntë politikat</w:t>
      </w:r>
      <w:r w:rsidRPr="007114AF">
        <w:t xml:space="preserve"> (Veprime Parësore) e identifikuara p</w:t>
      </w:r>
      <w:r w:rsidRPr="007114AF">
        <w:rPr>
          <w:rFonts w:cstheme="minorHAnsi"/>
        </w:rPr>
        <w:t>ër periudhën pesëvjeçare, ndërlidhen thellë</w:t>
      </w:r>
      <w:r w:rsidRPr="007114AF">
        <w:t xml:space="preserve">, duke vendosur një </w:t>
      </w:r>
      <w:r w:rsidRPr="007114AF">
        <w:rPr>
          <w:rFonts w:cstheme="minorHAnsi"/>
        </w:rPr>
        <w:t xml:space="preserve">ekuilibër mes masave të buta dhe investimeve, dhe janë </w:t>
      </w:r>
      <w:r w:rsidRPr="007114AF">
        <w:rPr>
          <w:rFonts w:cstheme="minorHAnsi"/>
        </w:rPr>
        <w:lastRenderedPageBreak/>
        <w:t>zgjedhur për të përcaktuar një Plan të Qëndrueshëm të Veprimit të Strategjisë së Transportit Kombëtar</w:t>
      </w:r>
      <w:r w:rsidRPr="007114AF">
        <w:t xml:space="preserve">. </w:t>
      </w:r>
    </w:p>
    <w:p w14:paraId="6EDCFDFF" w14:textId="0F78F16F" w:rsidR="00A9766F" w:rsidRPr="007114AF" w:rsidRDefault="00A9766F" w:rsidP="00206985">
      <w:pPr>
        <w:pStyle w:val="TEKSTI"/>
      </w:pPr>
      <w:r w:rsidRPr="007114AF">
        <w:t>Efikasiteti dhe zhvillimi rajonal patjet</w:t>
      </w:r>
      <w:r w:rsidRPr="007114AF">
        <w:rPr>
          <w:rFonts w:cstheme="minorHAnsi"/>
        </w:rPr>
        <w:t>ër që udhëheqin</w:t>
      </w:r>
      <w:r w:rsidR="000641ED">
        <w:rPr>
          <w:rFonts w:cstheme="minorHAnsi"/>
        </w:rPr>
        <w:t xml:space="preserve"> </w:t>
      </w:r>
      <w:r w:rsidRPr="007114AF">
        <w:t>strategjit</w:t>
      </w:r>
      <w:r w:rsidRPr="007114AF">
        <w:rPr>
          <w:rFonts w:cstheme="minorHAnsi"/>
        </w:rPr>
        <w:t>ë dhe politikat</w:t>
      </w:r>
      <w:r w:rsidRPr="007114AF">
        <w:t>; vet</w:t>
      </w:r>
      <w:r w:rsidRPr="007114AF">
        <w:rPr>
          <w:rFonts w:cstheme="minorHAnsi"/>
        </w:rPr>
        <w:t>ëm disa prej veprimeve të detajuara parësore kanë rëndësi për një strategji të drejtpërdrejtë</w:t>
      </w:r>
      <w:r w:rsidR="000641ED">
        <w:rPr>
          <w:rFonts w:cstheme="minorHAnsi"/>
        </w:rPr>
        <w:t xml:space="preserve"> </w:t>
      </w:r>
      <w:r w:rsidRPr="007114AF">
        <w:rPr>
          <w:rFonts w:cstheme="minorHAnsi"/>
        </w:rPr>
        <w:t>masash zbutëse</w:t>
      </w:r>
      <w:r w:rsidRPr="007114AF">
        <w:t xml:space="preserve"> dhe vet</w:t>
      </w:r>
      <w:r w:rsidRPr="007114AF">
        <w:rPr>
          <w:rFonts w:cstheme="minorHAnsi"/>
        </w:rPr>
        <w:t xml:space="preserve">ëm dy veprime parësore </w:t>
      </w:r>
      <w:r w:rsidRPr="007114AF">
        <w:t>(n</w:t>
      </w:r>
      <w:r w:rsidRPr="007114AF">
        <w:rPr>
          <w:rFonts w:cstheme="minorHAnsi"/>
        </w:rPr>
        <w:t>ë lidhje me transportin rrugor dhe atë intermodal</w:t>
      </w:r>
      <w:r w:rsidRPr="007114AF">
        <w:t>) kan</w:t>
      </w:r>
      <w:r w:rsidRPr="007114AF">
        <w:rPr>
          <w:rFonts w:cstheme="minorHAnsi"/>
        </w:rPr>
        <w:t>ë një ndikim të drejtpërdrejtë në zbutje</w:t>
      </w:r>
      <w:r w:rsidRPr="007114AF">
        <w:t>, p</w:t>
      </w:r>
      <w:r w:rsidRPr="007114AF">
        <w:rPr>
          <w:rFonts w:cstheme="minorHAnsi"/>
        </w:rPr>
        <w:t>ërkatësisht:</w:t>
      </w:r>
    </w:p>
    <w:p w14:paraId="6EDCFE00" w14:textId="77777777" w:rsidR="00A9766F" w:rsidRPr="007114AF" w:rsidRDefault="00214466" w:rsidP="00206985">
      <w:pPr>
        <w:pStyle w:val="TEKSTI"/>
      </w:pPr>
      <w:r w:rsidRPr="007114AF">
        <w:t xml:space="preserve">- </w:t>
      </w:r>
      <w:r w:rsidR="00A9766F" w:rsidRPr="007114AF">
        <w:t>Finalizimi i p</w:t>
      </w:r>
      <w:r w:rsidR="00A9766F" w:rsidRPr="007114AF">
        <w:rPr>
          <w:rFonts w:cstheme="minorHAnsi"/>
        </w:rPr>
        <w:t xml:space="preserve">ërshtatjes së </w:t>
      </w:r>
      <w:r w:rsidR="00A9766F" w:rsidRPr="007114AF">
        <w:t>legjislacionit shqiptar t</w:t>
      </w:r>
      <w:r w:rsidR="00A9766F" w:rsidRPr="007114AF">
        <w:rPr>
          <w:rFonts w:cstheme="minorHAnsi"/>
        </w:rPr>
        <w:t xml:space="preserve">ë transportit me </w:t>
      </w:r>
      <w:r w:rsidR="00A9766F" w:rsidRPr="007114AF">
        <w:rPr>
          <w:rFonts w:cstheme="minorHAnsi"/>
          <w:i/>
        </w:rPr>
        <w:t>acquis</w:t>
      </w:r>
      <w:r w:rsidR="00A9766F" w:rsidRPr="007114AF">
        <w:rPr>
          <w:rFonts w:cstheme="minorHAnsi"/>
        </w:rPr>
        <w:t xml:space="preserve"> të BE-së</w:t>
      </w:r>
      <w:r w:rsidR="00A9766F" w:rsidRPr="007114AF">
        <w:t>, n</w:t>
      </w:r>
      <w:r w:rsidR="00A9766F" w:rsidRPr="007114AF">
        <w:rPr>
          <w:rFonts w:cstheme="minorHAnsi"/>
        </w:rPr>
        <w:t>ëse finalizohet duke përfshirë rregulloren dhe zbatimin e standardeve të shkarkimit të automjeteve</w:t>
      </w:r>
      <w:r w:rsidR="00A9766F" w:rsidRPr="007114AF">
        <w:rPr>
          <w:rStyle w:val="FootnoteReference"/>
        </w:rPr>
        <w:footnoteReference w:id="48"/>
      </w:r>
      <w:r w:rsidR="00A9766F" w:rsidRPr="007114AF">
        <w:t>.</w:t>
      </w:r>
    </w:p>
    <w:p w14:paraId="6EDCFE01" w14:textId="643BD55C" w:rsidR="00A9766F" w:rsidRPr="007114AF" w:rsidRDefault="00214466" w:rsidP="00206985">
      <w:pPr>
        <w:pStyle w:val="TEKSTI"/>
      </w:pPr>
      <w:r w:rsidRPr="007114AF">
        <w:t xml:space="preserve">- </w:t>
      </w:r>
      <w:r w:rsidR="00A9766F" w:rsidRPr="007114AF">
        <w:t>Bashk</w:t>
      </w:r>
      <w:r w:rsidR="00A9766F" w:rsidRPr="007114AF">
        <w:rPr>
          <w:rFonts w:cstheme="minorHAnsi"/>
        </w:rPr>
        <w:t>ërendimi i masave të politikave kombëtare që promovojnë transportinintermodal</w:t>
      </w:r>
      <w:r w:rsidR="00A9766F" w:rsidRPr="007114AF">
        <w:t>dhe t</w:t>
      </w:r>
      <w:r w:rsidR="00A9766F" w:rsidRPr="007114AF">
        <w:rPr>
          <w:rFonts w:cstheme="minorHAnsi"/>
        </w:rPr>
        <w:t>ë kombinuar, përmes një detyre ins</w:t>
      </w:r>
      <w:r w:rsidR="00A9766F" w:rsidRPr="007114AF">
        <w:t>titucionale dhe specifike gjat</w:t>
      </w:r>
      <w:r w:rsidR="00A9766F" w:rsidRPr="007114AF">
        <w:rPr>
          <w:rFonts w:cstheme="minorHAnsi"/>
        </w:rPr>
        <w:t>ë periudhës</w:t>
      </w:r>
      <w:r w:rsidR="00A9766F" w:rsidRPr="007114AF">
        <w:t xml:space="preserve"> 2017</w:t>
      </w:r>
      <w:r w:rsidR="00E907B7">
        <w:t>–</w:t>
      </w:r>
      <w:r w:rsidR="00A9766F" w:rsidRPr="007114AF">
        <w:t>2020</w:t>
      </w:r>
      <w:r w:rsidR="00A9766F" w:rsidRPr="007114AF">
        <w:rPr>
          <w:rStyle w:val="FootnoteReference"/>
        </w:rPr>
        <w:footnoteReference w:id="49"/>
      </w:r>
      <w:r w:rsidR="00A9766F" w:rsidRPr="007114AF">
        <w:t>, e cila zyrtarizon zbatimin e rekomandimeve t</w:t>
      </w:r>
      <w:r w:rsidR="00A9766F" w:rsidRPr="007114AF">
        <w:rPr>
          <w:rFonts w:cstheme="minorHAnsi"/>
        </w:rPr>
        <w:t>ë Planit të Transportit të Qëndrueshëm</w:t>
      </w:r>
      <w:r w:rsidR="00A9766F" w:rsidRPr="007114AF">
        <w:t>.</w:t>
      </w:r>
    </w:p>
    <w:p w14:paraId="6EDCFE02" w14:textId="77777777" w:rsidR="00A9766F" w:rsidRPr="007114AF" w:rsidRDefault="00D43DF3" w:rsidP="00206985">
      <w:pPr>
        <w:pStyle w:val="TEKSTI"/>
        <w:rPr>
          <w:b/>
        </w:rPr>
      </w:pPr>
      <w:bookmarkStart w:id="131" w:name="_Toc450135243"/>
      <w:bookmarkStart w:id="132" w:name="_Toc484424502"/>
      <w:r w:rsidRPr="007114AF">
        <w:rPr>
          <w:b/>
        </w:rPr>
        <w:t xml:space="preserve">4.1.4 </w:t>
      </w:r>
      <w:r w:rsidR="00A9766F" w:rsidRPr="007114AF">
        <w:rPr>
          <w:b/>
        </w:rPr>
        <w:t>Bujqësia dhe LUCF</w:t>
      </w:r>
      <w:bookmarkEnd w:id="131"/>
      <w:r w:rsidR="00A9766F" w:rsidRPr="007114AF">
        <w:rPr>
          <w:b/>
        </w:rPr>
        <w:t>-ja</w:t>
      </w:r>
      <w:bookmarkEnd w:id="132"/>
    </w:p>
    <w:p w14:paraId="6EDCFE03" w14:textId="27288323" w:rsidR="00A9766F" w:rsidRPr="007114AF" w:rsidRDefault="00A9766F" w:rsidP="00206985">
      <w:pPr>
        <w:pStyle w:val="TEKSTI"/>
      </w:pPr>
      <w:r w:rsidRPr="007114AF">
        <w:t>Kuadri kryesor i politik</w:t>
      </w:r>
      <w:r w:rsidRPr="007114AF">
        <w:rPr>
          <w:rFonts w:cstheme="minorHAnsi"/>
        </w:rPr>
        <w:t>ës që duhet marrë në konsideratë në</w:t>
      </w:r>
      <w:r w:rsidR="000641ED">
        <w:rPr>
          <w:rFonts w:cstheme="minorHAnsi"/>
        </w:rPr>
        <w:t xml:space="preserve"> </w:t>
      </w:r>
      <w:r w:rsidRPr="007114AF">
        <w:t xml:space="preserve">dokumentin e </w:t>
      </w:r>
      <w:r w:rsidR="000A2A01" w:rsidRPr="007114AF">
        <w:t xml:space="preserve">SKNK&amp;P-së </w:t>
      </w:r>
      <w:r w:rsidRPr="007114AF">
        <w:t>p</w:t>
      </w:r>
      <w:r w:rsidRPr="007114AF">
        <w:rPr>
          <w:rFonts w:cstheme="minorHAnsi"/>
        </w:rPr>
        <w:t>ër sektorin bujqësor është Strategjia Ndësektoriale për Bujqësi dhe Zhvillim Rural (</w:t>
      </w:r>
      <w:r w:rsidRPr="007114AF">
        <w:t>SNBZHR) dhe Programi i saj p</w:t>
      </w:r>
      <w:r w:rsidRPr="007114AF">
        <w:rPr>
          <w:rFonts w:cstheme="minorHAnsi"/>
        </w:rPr>
        <w:t xml:space="preserve">ër Zhvillimin Rural </w:t>
      </w:r>
      <w:r w:rsidR="00C6608F" w:rsidRPr="007114AF">
        <w:t>2014–2020</w:t>
      </w:r>
      <w:r w:rsidR="000641ED">
        <w:t xml:space="preserve"> </w:t>
      </w:r>
      <w:r w:rsidRPr="007114AF">
        <w:t>n</w:t>
      </w:r>
      <w:r w:rsidRPr="007114AF">
        <w:rPr>
          <w:rFonts w:cstheme="minorHAnsi"/>
        </w:rPr>
        <w:t xml:space="preserve">ë kuadër të </w:t>
      </w:r>
      <w:r w:rsidRPr="007114AF">
        <w:t>Instrumentit dhe</w:t>
      </w:r>
      <w:r w:rsidRPr="007114AF">
        <w:rPr>
          <w:rFonts w:cstheme="minorHAnsi"/>
        </w:rPr>
        <w:t xml:space="preserve"> Asistencës</w:t>
      </w:r>
      <w:r w:rsidR="000641ED">
        <w:rPr>
          <w:rFonts w:cstheme="minorHAnsi"/>
        </w:rPr>
        <w:t xml:space="preserve"> </w:t>
      </w:r>
      <w:r w:rsidRPr="007114AF">
        <w:t>Paraan</w:t>
      </w:r>
      <w:r w:rsidRPr="007114AF">
        <w:rPr>
          <w:rFonts w:cstheme="minorHAnsi"/>
        </w:rPr>
        <w:t>ëtarësim</w:t>
      </w:r>
      <w:r w:rsidRPr="007114AF">
        <w:t xml:space="preserve"> (IPARD), t</w:t>
      </w:r>
      <w:r w:rsidRPr="007114AF">
        <w:rPr>
          <w:rFonts w:cstheme="minorHAnsi"/>
        </w:rPr>
        <w:t>ë dyja të dorëzuara në maj 2</w:t>
      </w:r>
      <w:r w:rsidRPr="007114AF">
        <w:t xml:space="preserve">014 dhe që </w:t>
      </w:r>
      <w:r w:rsidRPr="007114AF">
        <w:rPr>
          <w:rFonts w:cstheme="minorHAnsi"/>
        </w:rPr>
        <w:t xml:space="preserve">shtjellojnë, në përputhje me </w:t>
      </w:r>
      <w:r w:rsidR="000A2A01" w:rsidRPr="007114AF">
        <w:t>“</w:t>
      </w:r>
      <w:r w:rsidRPr="007114AF">
        <w:t>Paket</w:t>
      </w:r>
      <w:r w:rsidRPr="007114AF">
        <w:rPr>
          <w:rFonts w:cstheme="minorHAnsi"/>
        </w:rPr>
        <w:t xml:space="preserve">ën e BE-së për Klimën dhe Energjinë </w:t>
      </w:r>
      <w:r w:rsidRPr="007114AF">
        <w:t>2020</w:t>
      </w:r>
      <w:r w:rsidR="000A2A01" w:rsidRPr="007114AF">
        <w:t>”</w:t>
      </w:r>
      <w:r w:rsidRPr="007114AF">
        <w:t>, masat dhe veprimet p</w:t>
      </w:r>
      <w:r w:rsidRPr="007114AF">
        <w:rPr>
          <w:rFonts w:cstheme="minorHAnsi"/>
        </w:rPr>
        <w:t>ër rritje të fortë, të qëndrueshme dhe gjithëpërfshirëse, në sektorin e bujqësisë në Shqipëri</w:t>
      </w:r>
      <w:r w:rsidRPr="007114AF">
        <w:t>. Sektori pyjor</w:t>
      </w:r>
      <w:r w:rsidRPr="007114AF">
        <w:rPr>
          <w:rFonts w:cstheme="minorHAnsi"/>
        </w:rPr>
        <w:t xml:space="preserve"> është rregulluar me projektligjin për </w:t>
      </w:r>
      <w:r w:rsidRPr="007114AF">
        <w:t>administrimin e fondit</w:t>
      </w:r>
      <w:r w:rsidR="000641ED">
        <w:t xml:space="preserve"> </w:t>
      </w:r>
      <w:r w:rsidRPr="007114AF">
        <w:t>komb</w:t>
      </w:r>
      <w:r w:rsidRPr="007114AF">
        <w:rPr>
          <w:rFonts w:cstheme="minorHAnsi"/>
        </w:rPr>
        <w:t>ëtar</w:t>
      </w:r>
      <w:r w:rsidR="004A5C35">
        <w:rPr>
          <w:rFonts w:cstheme="minorHAnsi"/>
        </w:rPr>
        <w:t xml:space="preserve"> </w:t>
      </w:r>
      <w:r w:rsidRPr="007114AF">
        <w:t xml:space="preserve">të pyjeve dhe kullotave </w:t>
      </w:r>
      <w:r w:rsidRPr="007114AF">
        <w:rPr>
          <w:rFonts w:cstheme="minorHAnsi"/>
        </w:rPr>
        <w:t>në Republikën e Shqipërisë, i cili është gati që në dhjetor</w:t>
      </w:r>
      <w:r w:rsidRPr="007114AF">
        <w:t xml:space="preserve"> 2015, por n</w:t>
      </w:r>
      <w:r w:rsidRPr="007114AF">
        <w:rPr>
          <w:rFonts w:cstheme="minorHAnsi"/>
        </w:rPr>
        <w:t>ë kohën e shkrimit të dokumentit nuk ishte</w:t>
      </w:r>
      <w:r w:rsidR="000641ED">
        <w:rPr>
          <w:rFonts w:cstheme="minorHAnsi"/>
        </w:rPr>
        <w:t xml:space="preserve"> </w:t>
      </w:r>
      <w:r w:rsidRPr="007114AF">
        <w:rPr>
          <w:rFonts w:cstheme="minorHAnsi"/>
        </w:rPr>
        <w:t>miratuar ende</w:t>
      </w:r>
      <w:r w:rsidRPr="007114AF">
        <w:t>. P</w:t>
      </w:r>
      <w:r w:rsidRPr="007114AF">
        <w:rPr>
          <w:rFonts w:cstheme="minorHAnsi"/>
        </w:rPr>
        <w:t>ër më tepër, një tjetër kuadër politik për t</w:t>
      </w:r>
      <w:r w:rsidR="00D10DAB" w:rsidRPr="007114AF">
        <w:rPr>
          <w:rFonts w:cstheme="minorHAnsi"/>
        </w:rPr>
        <w:t>’</w:t>
      </w:r>
      <w:r w:rsidRPr="007114AF">
        <w:rPr>
          <w:rFonts w:cstheme="minorHAnsi"/>
        </w:rPr>
        <w:t xml:space="preserve">u konsideruar për ekosistemet natyrore në përgjithësi, është Dokumenti i Politikave Strategjike për Mbrojtjen e Biodiversitetit </w:t>
      </w:r>
      <w:r w:rsidRPr="007114AF">
        <w:t>(DPSMB - Dokumenti i Politikave Strategjike Për Mbrojtjen e Biodiversitetit) 2016</w:t>
      </w:r>
      <w:r w:rsidR="000641ED">
        <w:t>–</w:t>
      </w:r>
      <w:r w:rsidRPr="007114AF">
        <w:t>2020, i cili siguron nj</w:t>
      </w:r>
      <w:r w:rsidRPr="007114AF">
        <w:rPr>
          <w:rFonts w:cstheme="minorHAnsi"/>
        </w:rPr>
        <w:t>ë listë masash për mbrojtjen dhe rritjen e ekosistemeve natyrore</w:t>
      </w:r>
      <w:r w:rsidRPr="007114AF">
        <w:t>.</w:t>
      </w:r>
    </w:p>
    <w:p w14:paraId="6EDCFE04" w14:textId="5DFF84C8" w:rsidR="00A9766F" w:rsidRPr="007114AF" w:rsidRDefault="00A9766F" w:rsidP="00206985">
      <w:pPr>
        <w:pStyle w:val="TEKSTI"/>
        <w:rPr>
          <w:b/>
          <w:i/>
          <w:u w:val="single"/>
        </w:rPr>
      </w:pPr>
      <w:r w:rsidRPr="007114AF">
        <w:rPr>
          <w:b/>
          <w:i/>
          <w:u w:val="single"/>
        </w:rPr>
        <w:t>Strategjia Nd</w:t>
      </w:r>
      <w:r w:rsidRPr="007114AF">
        <w:rPr>
          <w:rFonts w:cstheme="minorHAnsi"/>
          <w:b/>
          <w:i/>
          <w:u w:val="single"/>
        </w:rPr>
        <w:t>ër</w:t>
      </w:r>
      <w:r w:rsidRPr="007114AF">
        <w:rPr>
          <w:b/>
          <w:i/>
          <w:u w:val="single"/>
        </w:rPr>
        <w:t>sektoriale p</w:t>
      </w:r>
      <w:r w:rsidRPr="007114AF">
        <w:rPr>
          <w:rFonts w:cstheme="minorHAnsi"/>
          <w:b/>
          <w:i/>
          <w:u w:val="single"/>
        </w:rPr>
        <w:t>ër Zhvillimin e Bujqësor dhe Rural</w:t>
      </w:r>
      <w:r w:rsidRPr="007114AF">
        <w:rPr>
          <w:b/>
          <w:i/>
          <w:u w:val="single"/>
        </w:rPr>
        <w:t xml:space="preserve"> (SNBZHR) dhe Programin e Zhvillimit Rural </w:t>
      </w:r>
      <w:r w:rsidR="00C6608F" w:rsidRPr="007114AF">
        <w:rPr>
          <w:b/>
          <w:i/>
          <w:u w:val="single"/>
        </w:rPr>
        <w:t>2014–2020</w:t>
      </w:r>
      <w:r w:rsidRPr="007114AF">
        <w:rPr>
          <w:b/>
          <w:i/>
          <w:u w:val="single"/>
        </w:rPr>
        <w:t>n</w:t>
      </w:r>
      <w:r w:rsidRPr="007114AF">
        <w:rPr>
          <w:rFonts w:cstheme="minorHAnsi"/>
          <w:b/>
          <w:i/>
          <w:u w:val="single"/>
        </w:rPr>
        <w:t xml:space="preserve">ën Instrumentin e Asistencës Paraanëtarësim </w:t>
      </w:r>
      <w:r w:rsidRPr="007114AF">
        <w:rPr>
          <w:b/>
          <w:i/>
          <w:u w:val="single"/>
        </w:rPr>
        <w:t>(IPARD)</w:t>
      </w:r>
    </w:p>
    <w:p w14:paraId="6EDCFE05" w14:textId="42740D3E" w:rsidR="00A9766F" w:rsidRPr="007114AF" w:rsidRDefault="00A9766F" w:rsidP="00206985">
      <w:pPr>
        <w:pStyle w:val="TEKSTI"/>
        <w:rPr>
          <w:i/>
        </w:rPr>
      </w:pPr>
      <w:r w:rsidRPr="007114AF">
        <w:rPr>
          <w:i/>
        </w:rPr>
        <w:t xml:space="preserve">Vlefshmëria: </w:t>
      </w:r>
      <w:r w:rsidR="00C6608F" w:rsidRPr="007114AF">
        <w:rPr>
          <w:i/>
        </w:rPr>
        <w:t>2014–2020</w:t>
      </w:r>
    </w:p>
    <w:p w14:paraId="6EDCFE06" w14:textId="31ABEB3A" w:rsidR="00A9766F" w:rsidRPr="007114AF" w:rsidRDefault="00A9766F" w:rsidP="00206985">
      <w:pPr>
        <w:pStyle w:val="TEKSTI"/>
      </w:pPr>
      <w:r w:rsidRPr="007114AF">
        <w:t>SNBZHR-ja dhe IPARD-i u p</w:t>
      </w:r>
      <w:r w:rsidRPr="007114AF">
        <w:rPr>
          <w:rFonts w:cstheme="minorHAnsi"/>
        </w:rPr>
        <w:t>ërgatitën nga ish Ministria e Bujqësisë, Zhvillimit Rural dhe Administrimit të Ujërave (</w:t>
      </w:r>
      <w:r w:rsidRPr="007114AF">
        <w:rPr>
          <w:color w:val="000000"/>
          <w:lang w:eastAsia="de-DE"/>
        </w:rPr>
        <w:t>MBZHR) nga muaji tetor</w:t>
      </w:r>
      <w:r w:rsidRPr="007114AF">
        <w:t xml:space="preserve"> 2012 deri n</w:t>
      </w:r>
      <w:r w:rsidRPr="007114AF">
        <w:rPr>
          <w:rFonts w:cstheme="minorHAnsi"/>
        </w:rPr>
        <w:t xml:space="preserve">ë maj </w:t>
      </w:r>
      <w:r w:rsidRPr="007114AF">
        <w:t>2014, dhe u p</w:t>
      </w:r>
      <w:r w:rsidRPr="007114AF">
        <w:rPr>
          <w:rFonts w:cstheme="minorHAnsi"/>
        </w:rPr>
        <w:t xml:space="preserve">ërpunuan në përputhje me kuadrin e strategjisë </w:t>
      </w:r>
      <w:r w:rsidR="000A2A01" w:rsidRPr="007114AF">
        <w:rPr>
          <w:rFonts w:cstheme="minorHAnsi"/>
        </w:rPr>
        <w:t>“</w:t>
      </w:r>
      <w:r w:rsidRPr="007114AF">
        <w:rPr>
          <w:rFonts w:cstheme="minorHAnsi"/>
        </w:rPr>
        <w:t>Europa</w:t>
      </w:r>
      <w:r w:rsidRPr="007114AF">
        <w:t xml:space="preserve"> 2020</w:t>
      </w:r>
      <w:r w:rsidR="000A2A01" w:rsidRPr="007114AF">
        <w:t>”</w:t>
      </w:r>
      <w:r w:rsidRPr="007114AF">
        <w:t xml:space="preserve"> p</w:t>
      </w:r>
      <w:r w:rsidRPr="007114AF">
        <w:rPr>
          <w:rFonts w:cstheme="minorHAnsi"/>
        </w:rPr>
        <w:t>ër rritje të fortë</w:t>
      </w:r>
      <w:r w:rsidRPr="007114AF">
        <w:t>, t</w:t>
      </w:r>
      <w:r w:rsidRPr="007114AF">
        <w:rPr>
          <w:rFonts w:cstheme="minorHAnsi"/>
        </w:rPr>
        <w:t>ë qëndrueshme dhe gjithëpërfshirëse</w:t>
      </w:r>
      <w:r w:rsidRPr="007114AF">
        <w:rPr>
          <w:rStyle w:val="FootnoteReference"/>
        </w:rPr>
        <w:footnoteReference w:id="50"/>
      </w:r>
      <w:r w:rsidRPr="007114AF">
        <w:t>, si dhe me objektivin e p</w:t>
      </w:r>
      <w:r w:rsidRPr="007114AF">
        <w:rPr>
          <w:rFonts w:cstheme="minorHAnsi"/>
        </w:rPr>
        <w:t>ërgjithshëm strategjik të anëtarësimit të Shqipërisë në BE</w:t>
      </w:r>
      <w:r w:rsidRPr="007114AF">
        <w:t>, n</w:t>
      </w:r>
      <w:r w:rsidRPr="007114AF">
        <w:rPr>
          <w:rFonts w:cstheme="minorHAnsi"/>
        </w:rPr>
        <w:t>ë përputhje me parimet kryesore të ardhshme, të Politikës së Përbashkët Bujqësore të BE-së</w:t>
      </w:r>
      <w:r w:rsidRPr="007114AF">
        <w:t xml:space="preserve"> (PBB) </w:t>
      </w:r>
      <w:r w:rsidR="00C6608F" w:rsidRPr="007114AF">
        <w:t>2014–2020</w:t>
      </w:r>
      <w:r w:rsidR="00E907B7">
        <w:t xml:space="preserve"> </w:t>
      </w:r>
      <w:r w:rsidRPr="007114AF">
        <w:t>dhe politikave t</w:t>
      </w:r>
      <w:r w:rsidRPr="007114AF">
        <w:rPr>
          <w:rFonts w:cstheme="minorHAnsi"/>
        </w:rPr>
        <w:t>ë para</w:t>
      </w:r>
      <w:r w:rsidRPr="007114AF">
        <w:t>an</w:t>
      </w:r>
      <w:r w:rsidRPr="007114AF">
        <w:rPr>
          <w:rFonts w:cstheme="minorHAnsi"/>
        </w:rPr>
        <w:t>ëtarësimit</w:t>
      </w:r>
      <w:r w:rsidRPr="007114AF">
        <w:t>.</w:t>
      </w:r>
    </w:p>
    <w:p w14:paraId="6EDCFE07" w14:textId="77777777" w:rsidR="00A9766F" w:rsidRPr="007114AF" w:rsidRDefault="00A9766F" w:rsidP="00206985">
      <w:pPr>
        <w:pStyle w:val="TEKSTI"/>
      </w:pPr>
      <w:r w:rsidRPr="007114AF">
        <w:t>SNBZHR-ja dhe IPARD-i p</w:t>
      </w:r>
      <w:r w:rsidRPr="007114AF">
        <w:rPr>
          <w:rFonts w:cstheme="minorHAnsi"/>
        </w:rPr>
        <w:t xml:space="preserve">araqesin ndërhyrjet strategjike për zhvillimin e bujqësisë në Shqipëri dhe që zonat rurale të jenë të afta të përmbushin sfidat e kërkesave të tregut të vetëm të BE-së, si dhe përshtatjen e politikave shqiptare të zhvillimit bujqësor dhe rural me </w:t>
      </w:r>
      <w:r w:rsidRPr="007114AF">
        <w:t xml:space="preserve">PBB. </w:t>
      </w:r>
    </w:p>
    <w:p w14:paraId="6EDCFE08" w14:textId="77777777" w:rsidR="00A9766F" w:rsidRPr="007114AF" w:rsidRDefault="00A9766F" w:rsidP="00206985">
      <w:pPr>
        <w:pStyle w:val="TEKSTI"/>
      </w:pPr>
      <w:r w:rsidRPr="007114AF">
        <w:t xml:space="preserve">Vizioni </w:t>
      </w:r>
      <w:r w:rsidRPr="007114AF">
        <w:rPr>
          <w:rFonts w:cstheme="minorHAnsi"/>
        </w:rPr>
        <w:t xml:space="preserve">është zhvillimi i kushteve të duhura të kuadrit ligjor për një sektor </w:t>
      </w:r>
      <w:r w:rsidRPr="007114AF">
        <w:t>efikas, novator dhe praktik agroushqimor, i</w:t>
      </w:r>
      <w:r w:rsidRPr="007114AF">
        <w:rPr>
          <w:rFonts w:cstheme="minorHAnsi"/>
        </w:rPr>
        <w:t xml:space="preserve"> aftë të mbështesë presionin konkurrues dhe të përmbushë kërkesat e tregut të BE-së, përmes përdorimit të qëndrueshëm të burimeve dhe zonave të qëndrueshme rurale që ofrojnë aktivitete ekonomike dhe mundësi punësimi</w:t>
      </w:r>
      <w:r w:rsidRPr="007114AF">
        <w:t>, p</w:t>
      </w:r>
      <w:r w:rsidRPr="007114AF">
        <w:rPr>
          <w:rFonts w:cstheme="minorHAnsi"/>
        </w:rPr>
        <w:t xml:space="preserve">ërfshirje </w:t>
      </w:r>
      <w:r w:rsidRPr="007114AF">
        <w:t>sociale dhe cil</w:t>
      </w:r>
      <w:r w:rsidRPr="007114AF">
        <w:rPr>
          <w:rFonts w:cstheme="minorHAnsi"/>
        </w:rPr>
        <w:t>ësi jete për banorët e zonave rurale</w:t>
      </w:r>
      <w:r w:rsidRPr="007114AF">
        <w:t>.</w:t>
      </w:r>
    </w:p>
    <w:p w14:paraId="6EDCFE09" w14:textId="2EEAD72E" w:rsidR="00A9766F" w:rsidRPr="007114AF" w:rsidRDefault="00A9766F" w:rsidP="00206985">
      <w:pPr>
        <w:pStyle w:val="TEKSTI"/>
      </w:pPr>
      <w:r w:rsidRPr="007114AF">
        <w:t>SNBZHR-ja p</w:t>
      </w:r>
      <w:r w:rsidRPr="007114AF">
        <w:rPr>
          <w:rFonts w:cstheme="minorHAnsi"/>
        </w:rPr>
        <w:t>ërfshin një përshkrim të detajuar të gjendjes aktuale të bujqësisë dhe zonave rurale në Shqipëri, nga një pikëpamje ekonomike, mjedisore dhe sociale</w:t>
      </w:r>
      <w:r w:rsidRPr="007114AF">
        <w:t>; p</w:t>
      </w:r>
      <w:r w:rsidRPr="007114AF">
        <w:rPr>
          <w:rFonts w:cstheme="minorHAnsi"/>
        </w:rPr>
        <w:t xml:space="preserve">ërcakton objektivat për </w:t>
      </w:r>
      <w:r w:rsidRPr="007114AF">
        <w:rPr>
          <w:rFonts w:cstheme="minorHAnsi"/>
        </w:rPr>
        <w:lastRenderedPageBreak/>
        <w:t>zhvillim ekonomik dhe ulje të varfërisë</w:t>
      </w:r>
      <w:r w:rsidRPr="007114AF">
        <w:t>, bazuar n</w:t>
      </w:r>
      <w:r w:rsidRPr="007114AF">
        <w:rPr>
          <w:rFonts w:cstheme="minorHAnsi"/>
        </w:rPr>
        <w:t>ë rritjen e konkurrencës</w:t>
      </w:r>
      <w:r w:rsidRPr="007114AF">
        <w:t>, p</w:t>
      </w:r>
      <w:r w:rsidRPr="007114AF">
        <w:rPr>
          <w:rFonts w:cstheme="minorHAnsi"/>
        </w:rPr>
        <w:t>ërdorimit të qëndrueshëm të burimeve natyrore, si dhe zhvillimin gjithëpërfshirës dhe te</w:t>
      </w:r>
      <w:r w:rsidRPr="007114AF">
        <w:t>rritorial n</w:t>
      </w:r>
      <w:r w:rsidRPr="007114AF">
        <w:rPr>
          <w:rFonts w:cstheme="minorHAnsi"/>
        </w:rPr>
        <w:t>ë zonat rurale</w:t>
      </w:r>
      <w:r w:rsidRPr="007114AF">
        <w:t>; p</w:t>
      </w:r>
      <w:r w:rsidRPr="007114AF">
        <w:rPr>
          <w:rFonts w:cstheme="minorHAnsi"/>
        </w:rPr>
        <w:t xml:space="preserve">ërshkruan politikat e </w:t>
      </w:r>
      <w:r w:rsidRPr="007114AF">
        <w:t>MBZHR-t p</w:t>
      </w:r>
      <w:r w:rsidRPr="007114AF">
        <w:rPr>
          <w:rFonts w:cstheme="minorHAnsi"/>
        </w:rPr>
        <w:t xml:space="preserve">ër periudhën </w:t>
      </w:r>
      <w:r w:rsidR="00C6608F" w:rsidRPr="007114AF">
        <w:t>2014–2020</w:t>
      </w:r>
      <w:r w:rsidR="003B683D">
        <w:t xml:space="preserve"> </w:t>
      </w:r>
      <w:r w:rsidRPr="007114AF">
        <w:t>p</w:t>
      </w:r>
      <w:r w:rsidRPr="007114AF">
        <w:rPr>
          <w:rFonts w:cstheme="minorHAnsi"/>
        </w:rPr>
        <w:t>ër tri nga politikat kryesore</w:t>
      </w:r>
      <w:r w:rsidRPr="007114AF">
        <w:t>: (i) Zhvillimin Rural n</w:t>
      </w:r>
      <w:r w:rsidRPr="007114AF">
        <w:rPr>
          <w:rFonts w:cstheme="minorHAnsi"/>
        </w:rPr>
        <w:t xml:space="preserve">ë përputhje me </w:t>
      </w:r>
      <w:r w:rsidRPr="007114AF">
        <w:t>PBB-ën shtylla 2, (ii) Mb</w:t>
      </w:r>
      <w:r w:rsidRPr="007114AF">
        <w:rPr>
          <w:rFonts w:cstheme="minorHAnsi"/>
        </w:rPr>
        <w:t xml:space="preserve">ështetje të drejtpërdrejtë ndaj fermerëve sipas </w:t>
      </w:r>
      <w:r w:rsidRPr="007114AF">
        <w:t>PBB-ës shtylla 1, investime n</w:t>
      </w:r>
      <w:r w:rsidRPr="007114AF">
        <w:rPr>
          <w:rFonts w:cstheme="minorHAnsi"/>
        </w:rPr>
        <w:t xml:space="preserve">ë infrastrukturën </w:t>
      </w:r>
      <w:r w:rsidRPr="007114AF">
        <w:t>rurale n</w:t>
      </w:r>
      <w:r w:rsidRPr="007114AF">
        <w:rPr>
          <w:rFonts w:cstheme="minorHAnsi"/>
        </w:rPr>
        <w:t>ë administrimin e ujërave dhe konsolidimin e tokës si dhe veprime që mbështesin mundësi të barabarta</w:t>
      </w:r>
      <w:r w:rsidRPr="007114AF">
        <w:t xml:space="preserve">, (iii) Zhvillim institucional, rregullim dhe zbatim. </w:t>
      </w:r>
    </w:p>
    <w:p w14:paraId="6EDCFE0A" w14:textId="2463239D" w:rsidR="00A9766F" w:rsidRPr="007114AF" w:rsidRDefault="00A9766F" w:rsidP="00206985">
      <w:pPr>
        <w:pStyle w:val="TEKSTI"/>
      </w:pPr>
      <w:r w:rsidRPr="007114AF">
        <w:t>P</w:t>
      </w:r>
      <w:r w:rsidRPr="007114AF">
        <w:rPr>
          <w:rFonts w:cstheme="minorHAnsi"/>
        </w:rPr>
        <w:t>ër më tepër, përcaktohet një ndarje e përgjithshme e buxhetit për periudhën</w:t>
      </w:r>
      <w:r w:rsidRPr="007114AF">
        <w:t xml:space="preserve"> 2014</w:t>
      </w:r>
      <w:r w:rsidR="003B683D">
        <w:t>–</w:t>
      </w:r>
      <w:r w:rsidRPr="007114AF">
        <w:t>2020, si dhe kuadri i monitorimit dhe vler</w:t>
      </w:r>
      <w:r w:rsidRPr="007114AF">
        <w:rPr>
          <w:rFonts w:cstheme="minorHAnsi"/>
        </w:rPr>
        <w:t>ësimit</w:t>
      </w:r>
      <w:r w:rsidRPr="007114AF">
        <w:t xml:space="preserve">. </w:t>
      </w:r>
      <w:r w:rsidRPr="007114AF">
        <w:rPr>
          <w:rFonts w:cstheme="minorHAnsi"/>
        </w:rPr>
        <w:t>Është përgatitur dhe bashkëngjitur në strategji, n</w:t>
      </w:r>
      <w:r w:rsidRPr="007114AF">
        <w:t>j</w:t>
      </w:r>
      <w:r w:rsidRPr="007114AF">
        <w:rPr>
          <w:rFonts w:cstheme="minorHAnsi"/>
        </w:rPr>
        <w:t xml:space="preserve">ë plan veprimi i </w:t>
      </w:r>
      <w:r w:rsidRPr="007114AF">
        <w:t>MBZHR-t, që p</w:t>
      </w:r>
      <w:r w:rsidRPr="007114AF">
        <w:rPr>
          <w:rFonts w:cstheme="minorHAnsi"/>
        </w:rPr>
        <w:t xml:space="preserve">ërshkruan veprimet </w:t>
      </w:r>
      <w:r w:rsidRPr="007114AF">
        <w:t>specifike q</w:t>
      </w:r>
      <w:r w:rsidRPr="007114AF">
        <w:rPr>
          <w:rFonts w:cstheme="minorHAnsi"/>
        </w:rPr>
        <w:t>ë do të ndërmerren në një periudhë afatshkurtër</w:t>
      </w:r>
      <w:r w:rsidRPr="007114AF">
        <w:t xml:space="preserve"> (2014 dhe 2015), </w:t>
      </w:r>
      <w:r w:rsidRPr="007114AF">
        <w:rPr>
          <w:rFonts w:cstheme="minorHAnsi"/>
        </w:rPr>
        <w:t>afatmesme</w:t>
      </w:r>
      <w:r w:rsidRPr="007114AF">
        <w:t xml:space="preserve"> (2016-2020) dhe </w:t>
      </w:r>
      <w:r w:rsidRPr="007114AF">
        <w:rPr>
          <w:rFonts w:cstheme="minorHAnsi"/>
        </w:rPr>
        <w:t xml:space="preserve">afatgjatë </w:t>
      </w:r>
      <w:r w:rsidRPr="007114AF">
        <w:t>(pas vitit 2020).</w:t>
      </w:r>
    </w:p>
    <w:p w14:paraId="6EDCFE0B" w14:textId="7C97AACF" w:rsidR="00A9766F" w:rsidRPr="007114AF" w:rsidRDefault="00A9766F" w:rsidP="00206985">
      <w:pPr>
        <w:pStyle w:val="TEKSTI"/>
      </w:pPr>
      <w:r w:rsidRPr="007114AF">
        <w:t>SNBZHR-ja</w:t>
      </w:r>
      <w:r w:rsidR="003B683D">
        <w:t xml:space="preserve"> </w:t>
      </w:r>
      <w:r w:rsidRPr="007114AF">
        <w:t>është</w:t>
      </w:r>
      <w:r w:rsidRPr="007114AF">
        <w:rPr>
          <w:rFonts w:cstheme="minorHAnsi"/>
        </w:rPr>
        <w:t xml:space="preserve"> përgatitur</w:t>
      </w:r>
      <w:r w:rsidR="003B683D">
        <w:rPr>
          <w:rFonts w:cstheme="minorHAnsi"/>
        </w:rPr>
        <w:t xml:space="preserve"> </w:t>
      </w:r>
      <w:r w:rsidRPr="007114AF">
        <w:rPr>
          <w:rFonts w:cstheme="minorHAnsi"/>
        </w:rPr>
        <w:t xml:space="preserve">gjithashtu, si një pjesë </w:t>
      </w:r>
      <w:r w:rsidRPr="007114AF">
        <w:t>integrale e</w:t>
      </w:r>
      <w:r w:rsidR="000A2A01" w:rsidRPr="007114AF">
        <w:t xml:space="preserve"> </w:t>
      </w:r>
      <w:r w:rsidRPr="007114AF">
        <w:rPr>
          <w:rFonts w:cstheme="minorHAnsi"/>
        </w:rPr>
        <w:t xml:space="preserve">Strategjisë Kombëtare për Zhvillim dhe </w:t>
      </w:r>
      <w:r w:rsidRPr="007114AF">
        <w:t>Integrim (SKZHI-II), e</w:t>
      </w:r>
      <w:r w:rsidRPr="007114AF">
        <w:rPr>
          <w:rFonts w:cstheme="minorHAnsi"/>
        </w:rPr>
        <w:t xml:space="preserve"> bashkërenduar nga Planifikimi Strategjik dhe Programet e Zhvillimit pranë Zyrës së Kryeministrit</w:t>
      </w:r>
      <w:r w:rsidRPr="007114AF">
        <w:t xml:space="preserve">. </w:t>
      </w:r>
    </w:p>
    <w:p w14:paraId="6EDCFE0C" w14:textId="77777777" w:rsidR="00A9766F" w:rsidRPr="007114AF" w:rsidRDefault="00A9766F" w:rsidP="00206985">
      <w:pPr>
        <w:pStyle w:val="TEKSTI"/>
      </w:pPr>
      <w:r w:rsidRPr="007114AF">
        <w:t>IPARD-i identifikon tremb</w:t>
      </w:r>
      <w:r w:rsidRPr="007114AF">
        <w:rPr>
          <w:rFonts w:cstheme="minorHAnsi"/>
        </w:rPr>
        <w:t xml:space="preserve">ëdhjetë masa në kuadrin e Zhvillimit Rural në përputhje me </w:t>
      </w:r>
      <w:r w:rsidRPr="007114AF">
        <w:t>PBB-ën, shtylla 2, p</w:t>
      </w:r>
      <w:r w:rsidRPr="007114AF">
        <w:rPr>
          <w:rFonts w:cstheme="minorHAnsi"/>
        </w:rPr>
        <w:t>ër të përmbushur standardet përkatëse të BE-së</w:t>
      </w:r>
      <w:r w:rsidRPr="007114AF">
        <w:t>. Pes</w:t>
      </w:r>
      <w:r w:rsidRPr="007114AF">
        <w:rPr>
          <w:rFonts w:cstheme="minorHAnsi"/>
        </w:rPr>
        <w:t>ë nga këto masa</w:t>
      </w:r>
      <w:r w:rsidRPr="007114AF">
        <w:t xml:space="preserve"> (masat 1-5) kan</w:t>
      </w:r>
      <w:r w:rsidRPr="007114AF">
        <w:rPr>
          <w:rFonts w:cstheme="minorHAnsi"/>
        </w:rPr>
        <w:t>ë për qëllim rritjen e qëndrueshmërisë dhe konkurrencës së bujqësisë dhe përpunimit të ushqimit</w:t>
      </w:r>
      <w:r w:rsidRPr="007114AF">
        <w:t>, duke u kujdesur</w:t>
      </w:r>
      <w:r w:rsidRPr="007114AF">
        <w:rPr>
          <w:rFonts w:cstheme="minorHAnsi"/>
        </w:rPr>
        <w:t xml:space="preserve"> njëkohësisht për sigurinë dhe </w:t>
      </w:r>
      <w:r w:rsidRPr="007114AF">
        <w:t>cil</w:t>
      </w:r>
      <w:r w:rsidRPr="007114AF">
        <w:rPr>
          <w:rFonts w:cstheme="minorHAnsi"/>
        </w:rPr>
        <w:t>ësinë e ushqimit, rritjen e prodhimit organik dhe mbrojtjen mjedisore</w:t>
      </w:r>
      <w:r w:rsidRPr="007114AF">
        <w:t xml:space="preserve">. </w:t>
      </w:r>
    </w:p>
    <w:p w14:paraId="6EDCFE0D" w14:textId="1917ED7E" w:rsidR="00A9766F" w:rsidRPr="007114AF" w:rsidRDefault="00A9766F" w:rsidP="00206985">
      <w:pPr>
        <w:pStyle w:val="TEKSTI"/>
      </w:pPr>
      <w:r w:rsidRPr="007114AF">
        <w:t>N</w:t>
      </w:r>
      <w:r w:rsidRPr="007114AF">
        <w:rPr>
          <w:rFonts w:cstheme="minorHAnsi"/>
        </w:rPr>
        <w:t xml:space="preserve">ë veçanti </w:t>
      </w:r>
      <w:r w:rsidRPr="007114AF">
        <w:rPr>
          <w:b/>
        </w:rPr>
        <w:t>Masa 3 – Investimet n</w:t>
      </w:r>
      <w:r w:rsidRPr="007114AF">
        <w:rPr>
          <w:rFonts w:cstheme="minorHAnsi"/>
          <w:b/>
        </w:rPr>
        <w:t>ë asete fizike që lidhen me përpunimin dhe tregtimin e produkteve bujqësore dhe ato të peshkimit</w:t>
      </w:r>
      <w:r w:rsidRPr="007114AF">
        <w:rPr>
          <w:b/>
        </w:rPr>
        <w:t xml:space="preserve">, </w:t>
      </w:r>
      <w:r w:rsidRPr="007114AF">
        <w:t>ndihmojnë</w:t>
      </w:r>
      <w:r w:rsidR="009250F2">
        <w:t xml:space="preserve"> </w:t>
      </w:r>
      <w:r w:rsidRPr="007114AF">
        <w:t>p</w:t>
      </w:r>
      <w:r w:rsidRPr="007114AF">
        <w:rPr>
          <w:rFonts w:cstheme="minorHAnsi"/>
        </w:rPr>
        <w:t>ërtrajtimin e sfidës ndaj ndryshimeve klimatike, duke nxitur eficiencën e burimeve dhe energjisë së rinovueshme</w:t>
      </w:r>
      <w:r w:rsidRPr="007114AF">
        <w:t>.</w:t>
      </w:r>
    </w:p>
    <w:p w14:paraId="6EDCFE0E" w14:textId="77777777" w:rsidR="00A9766F" w:rsidRPr="007114AF" w:rsidRDefault="00A9766F" w:rsidP="00206985">
      <w:pPr>
        <w:pStyle w:val="TEKSTI"/>
      </w:pPr>
      <w:r w:rsidRPr="007114AF">
        <w:t>Masat 6 dhe 7 kan</w:t>
      </w:r>
      <w:r w:rsidRPr="007114AF">
        <w:rPr>
          <w:rFonts w:cstheme="minorHAnsi"/>
        </w:rPr>
        <w:t>ë si objektiv të veçantë atë të restaurimit, ruajtjes dhe rritjes së ekosistemeve, të administrimit të qëndrueshëm të burimeve natyrore dhe veprimeve klimatike, duke administruar burimet pyjore dhe ujore, si dhe futjen e metodave të prodhimit bujqësor që mbrojnë mjedisin dhe ulin ndikimin në klimë</w:t>
      </w:r>
      <w:r w:rsidRPr="007114AF">
        <w:t>. N</w:t>
      </w:r>
      <w:r w:rsidRPr="007114AF">
        <w:rPr>
          <w:rFonts w:cstheme="minorHAnsi"/>
        </w:rPr>
        <w:t>ë veçanti</w:t>
      </w:r>
      <w:r w:rsidRPr="007114AF">
        <w:t xml:space="preserve">, </w:t>
      </w:r>
      <w:r w:rsidRPr="007114AF">
        <w:rPr>
          <w:rFonts w:cs="Times"/>
          <w:b/>
        </w:rPr>
        <w:t>Masa 6 - Agro</w:t>
      </w:r>
      <w:r w:rsidRPr="007114AF">
        <w:rPr>
          <w:b/>
        </w:rPr>
        <w:t>mjedisi dhe bujq</w:t>
      </w:r>
      <w:r w:rsidRPr="007114AF">
        <w:rPr>
          <w:rFonts w:cstheme="minorHAnsi"/>
          <w:b/>
        </w:rPr>
        <w:t>ësia organike</w:t>
      </w:r>
      <w:r w:rsidRPr="007114AF">
        <w:rPr>
          <w:rFonts w:cstheme="minorHAnsi"/>
        </w:rPr>
        <w:t xml:space="preserve">, mbështet futjen e metodave të prodhimit bujqësor me ndikim pozitiv ndaj mjedisit </w:t>
      </w:r>
      <w:r w:rsidRPr="007114AF">
        <w:t>(bujq</w:t>
      </w:r>
      <w:r w:rsidRPr="007114AF">
        <w:rPr>
          <w:rFonts w:cstheme="minorHAnsi"/>
        </w:rPr>
        <w:t>ësi organike</w:t>
      </w:r>
      <w:r w:rsidRPr="007114AF">
        <w:t xml:space="preserve">) dhe </w:t>
      </w:r>
      <w:r w:rsidRPr="007114AF">
        <w:rPr>
          <w:b/>
        </w:rPr>
        <w:t>Masa 7 – Krijimi dhe mbrojtja e pyjeve</w:t>
      </w:r>
      <w:r w:rsidRPr="007114AF">
        <w:t xml:space="preserve"> p</w:t>
      </w:r>
      <w:r w:rsidRPr="007114AF">
        <w:rPr>
          <w:rFonts w:cstheme="minorHAnsi"/>
        </w:rPr>
        <w:t>ërqendrohet në</w:t>
      </w:r>
      <w:r w:rsidRPr="007114AF">
        <w:t>:</w:t>
      </w:r>
    </w:p>
    <w:p w14:paraId="6EDCFE0F" w14:textId="77777777" w:rsidR="00A9766F" w:rsidRPr="007114AF" w:rsidRDefault="00721B1B" w:rsidP="00206985">
      <w:pPr>
        <w:pStyle w:val="TEKSTI"/>
      </w:pPr>
      <w:r w:rsidRPr="007114AF">
        <w:t xml:space="preserve">- </w:t>
      </w:r>
      <w:r w:rsidR="00A9766F" w:rsidRPr="007114AF">
        <w:t>Zgjerimin dhe p</w:t>
      </w:r>
      <w:r w:rsidR="00A9766F" w:rsidRPr="007114AF">
        <w:rPr>
          <w:rFonts w:cstheme="minorHAnsi"/>
        </w:rPr>
        <w:t>ërmirësimin e burimeve pyjore përmes pyllëzimit të tokës, me qëllim parandalimin e erozionit</w:t>
      </w:r>
      <w:r w:rsidR="00A9766F" w:rsidRPr="007114AF">
        <w:t xml:space="preserve">, mbrojtjen e burimeve ujore, zhvillimin e biodiversitetit, si dhe ndihmon me </w:t>
      </w:r>
      <w:r w:rsidR="00A9766F" w:rsidRPr="007114AF">
        <w:rPr>
          <w:rFonts w:cstheme="minorHAnsi"/>
        </w:rPr>
        <w:t>përshtatjen ndaj sfidave të ndryshimeve klimatike</w:t>
      </w:r>
      <w:r w:rsidR="00A9766F" w:rsidRPr="007114AF">
        <w:t>;</w:t>
      </w:r>
    </w:p>
    <w:p w14:paraId="6EDCFE10" w14:textId="34664B58" w:rsidR="00A9766F" w:rsidRPr="007114AF" w:rsidRDefault="00721B1B" w:rsidP="00206985">
      <w:pPr>
        <w:pStyle w:val="TEKSTI"/>
      </w:pPr>
      <w:r w:rsidRPr="007114AF">
        <w:t xml:space="preserve">- </w:t>
      </w:r>
      <w:r w:rsidR="00A9766F" w:rsidRPr="007114AF">
        <w:t>Rikthimin e potencialit pyjor n</w:t>
      </w:r>
      <w:r w:rsidR="00A9766F" w:rsidRPr="007114AF">
        <w:rPr>
          <w:rFonts w:cstheme="minorHAnsi"/>
        </w:rPr>
        <w:t>ë pyjet e dëmtuara nga zjarri dhe futjen e veprimeve parandaluese,</w:t>
      </w:r>
      <w:r w:rsidR="000A2A01" w:rsidRPr="007114AF">
        <w:rPr>
          <w:rFonts w:cstheme="minorHAnsi"/>
        </w:rPr>
        <w:t xml:space="preserve"> </w:t>
      </w:r>
      <w:r w:rsidR="00A9766F" w:rsidRPr="007114AF">
        <w:rPr>
          <w:rFonts w:cstheme="minorHAnsi"/>
        </w:rPr>
        <w:t>me qëllim mirëmbajtjen dhe mbrojtjen e pyjeve, si një nga burimet kryesore të shërbimeve të ekosistemit</w:t>
      </w:r>
      <w:r w:rsidR="00A9766F" w:rsidRPr="007114AF">
        <w:t xml:space="preserve">. </w:t>
      </w:r>
    </w:p>
    <w:p w14:paraId="6EDCFE11" w14:textId="77777777" w:rsidR="00A9766F" w:rsidRPr="007114AF" w:rsidRDefault="00A9766F" w:rsidP="00206985">
      <w:pPr>
        <w:pStyle w:val="TEKSTI"/>
      </w:pPr>
      <w:r w:rsidRPr="007114AF">
        <w:rPr>
          <w:b/>
        </w:rPr>
        <w:t>Gjithashtu, veprimet p</w:t>
      </w:r>
      <w:r w:rsidRPr="007114AF">
        <w:rPr>
          <w:rFonts w:cstheme="minorHAnsi"/>
          <w:b/>
        </w:rPr>
        <w:t xml:space="preserve">ër mbështetjen e drejtpërdrejtë të fermerëve sipas </w:t>
      </w:r>
      <w:r w:rsidRPr="007114AF">
        <w:rPr>
          <w:b/>
        </w:rPr>
        <w:t>PBB-së shtylla 1, që i ndihmojn</w:t>
      </w:r>
      <w:r w:rsidRPr="007114AF">
        <w:rPr>
          <w:rFonts w:cstheme="minorHAnsi"/>
          <w:b/>
        </w:rPr>
        <w:t>ë fermerët shqiptarë të ndërmarrin praktika bujqësore në dobi të klimës dhe mjedisit, dhe</w:t>
      </w:r>
      <w:r w:rsidRPr="007114AF">
        <w:rPr>
          <w:rFonts w:cstheme="minorHAnsi"/>
        </w:rPr>
        <w:t xml:space="preserve"> që ndihmojnë zhvillimin </w:t>
      </w:r>
      <w:r w:rsidRPr="007114AF">
        <w:t>institucional, rregullimin dhe zbatimin e parashikuar nga SNBZHR-ja dhe IPARD-i do t</w:t>
      </w:r>
      <w:r w:rsidRPr="007114AF">
        <w:rPr>
          <w:rFonts w:cstheme="minorHAnsi"/>
        </w:rPr>
        <w:t xml:space="preserve">ë lejojnë </w:t>
      </w:r>
      <w:r w:rsidRPr="007114AF">
        <w:t xml:space="preserve">gradualisht futjen e kritereve </w:t>
      </w:r>
      <w:r w:rsidRPr="007114AF">
        <w:rPr>
          <w:rFonts w:cstheme="minorHAnsi"/>
        </w:rPr>
        <w:t>të BE-së për rregullimin e tregjeve</w:t>
      </w:r>
      <w:r w:rsidRPr="007114AF">
        <w:t>, standardeve sh</w:t>
      </w:r>
      <w:r w:rsidRPr="007114AF">
        <w:rPr>
          <w:rFonts w:cstheme="minorHAnsi"/>
        </w:rPr>
        <w:t>ëndetësore dhe të higjienës</w:t>
      </w:r>
      <w:r w:rsidRPr="007114AF">
        <w:t>, mbrojtjen e mjedisit dhe zbutjen e efekteve prej ndryshimit të klim</w:t>
      </w:r>
      <w:r w:rsidRPr="007114AF">
        <w:rPr>
          <w:rFonts w:cstheme="minorHAnsi"/>
        </w:rPr>
        <w:t>ës në sektorin bujqësor shqiptar</w:t>
      </w:r>
      <w:r w:rsidRPr="007114AF">
        <w:t>.</w:t>
      </w:r>
    </w:p>
    <w:p w14:paraId="6EDCFE12" w14:textId="77777777" w:rsidR="00A9766F" w:rsidRPr="007114AF" w:rsidRDefault="00A9766F" w:rsidP="00206985">
      <w:pPr>
        <w:pStyle w:val="TEKSTI"/>
        <w:rPr>
          <w:b/>
          <w:i/>
          <w:u w:val="single"/>
        </w:rPr>
      </w:pPr>
      <w:r w:rsidRPr="007114AF">
        <w:rPr>
          <w:b/>
          <w:i/>
          <w:u w:val="single"/>
        </w:rPr>
        <w:t>Projektligji mbi administrimin e fondit komb</w:t>
      </w:r>
      <w:r w:rsidRPr="007114AF">
        <w:rPr>
          <w:rFonts w:cstheme="minorHAnsi"/>
          <w:b/>
          <w:i/>
          <w:u w:val="single"/>
        </w:rPr>
        <w:t>ë</w:t>
      </w:r>
      <w:r w:rsidRPr="007114AF">
        <w:rPr>
          <w:b/>
          <w:i/>
          <w:u w:val="single"/>
        </w:rPr>
        <w:t>tar të pyjeve n</w:t>
      </w:r>
      <w:r w:rsidRPr="007114AF">
        <w:rPr>
          <w:rFonts w:cstheme="minorHAnsi"/>
          <w:b/>
          <w:i/>
          <w:u w:val="single"/>
        </w:rPr>
        <w:t>ë Republikën e Shqipërisë</w:t>
      </w:r>
    </w:p>
    <w:p w14:paraId="6EDCFE13" w14:textId="77777777" w:rsidR="00A9766F" w:rsidRPr="007114AF" w:rsidRDefault="00A9766F" w:rsidP="00206985">
      <w:pPr>
        <w:pStyle w:val="TEKSTI"/>
        <w:rPr>
          <w:i/>
        </w:rPr>
      </w:pPr>
      <w:r w:rsidRPr="007114AF">
        <w:rPr>
          <w:i/>
        </w:rPr>
        <w:t>Vlefshmëria: pritet t</w:t>
      </w:r>
      <w:r w:rsidRPr="007114AF">
        <w:rPr>
          <w:rFonts w:cstheme="minorHAnsi"/>
          <w:i/>
        </w:rPr>
        <w:t>ë hyjë në fuqi në vitin</w:t>
      </w:r>
      <w:r w:rsidRPr="007114AF">
        <w:rPr>
          <w:i/>
        </w:rPr>
        <w:t xml:space="preserve"> 2019, pa afat deri n</w:t>
      </w:r>
      <w:r w:rsidRPr="007114AF">
        <w:rPr>
          <w:rFonts w:cstheme="minorHAnsi"/>
          <w:i/>
        </w:rPr>
        <w:t>ë rishikime të mëtejshme</w:t>
      </w:r>
    </w:p>
    <w:p w14:paraId="6EDCFE14" w14:textId="7D1013DA" w:rsidR="00A9766F" w:rsidRPr="007114AF" w:rsidRDefault="00A9766F" w:rsidP="00206985">
      <w:pPr>
        <w:pStyle w:val="TEKSTI"/>
      </w:pPr>
      <w:r w:rsidRPr="007114AF">
        <w:t xml:space="preserve">Projektligji mbi Administrimin e fondit </w:t>
      </w:r>
      <w:r w:rsidRPr="007114AF">
        <w:rPr>
          <w:rFonts w:cstheme="minorHAnsi"/>
        </w:rPr>
        <w:t xml:space="preserve">kombëtar </w:t>
      </w:r>
      <w:r w:rsidRPr="007114AF">
        <w:t xml:space="preserve">të pyjeve </w:t>
      </w:r>
      <w:r w:rsidRPr="007114AF">
        <w:rPr>
          <w:rFonts w:cstheme="minorHAnsi"/>
        </w:rPr>
        <w:t>në Republikën e Shqipërisë</w:t>
      </w:r>
      <w:r w:rsidR="000A2A01" w:rsidRPr="007114AF">
        <w:t>”</w:t>
      </w:r>
      <w:r w:rsidRPr="007114AF">
        <w:t xml:space="preserve"> po pwrgatitet dhe n</w:t>
      </w:r>
      <w:r w:rsidRPr="007114AF">
        <w:rPr>
          <w:rFonts w:cstheme="minorHAnsi"/>
        </w:rPr>
        <w:t>ë momentin e shkrimit të dokumentit ende nuk ishte miratuar</w:t>
      </w:r>
      <w:r w:rsidRPr="007114AF">
        <w:t>.</w:t>
      </w:r>
    </w:p>
    <w:p w14:paraId="6EDCFE15" w14:textId="77777777" w:rsidR="00A9766F" w:rsidRPr="007114AF" w:rsidRDefault="00A9766F" w:rsidP="00206985">
      <w:pPr>
        <w:pStyle w:val="TEKSTI"/>
      </w:pPr>
      <w:r w:rsidRPr="007114AF">
        <w:t>Q</w:t>
      </w:r>
      <w:r w:rsidRPr="007114AF">
        <w:rPr>
          <w:rFonts w:cstheme="minorHAnsi"/>
        </w:rPr>
        <w:t>ëllimi i ligjit është zhvillimi dhe mbrojtja e pyjeve</w:t>
      </w:r>
      <w:r w:rsidRPr="007114AF">
        <w:t>, si nj</w:t>
      </w:r>
      <w:r w:rsidRPr="007114AF">
        <w:rPr>
          <w:rFonts w:cstheme="minorHAnsi"/>
        </w:rPr>
        <w:t>ë pasuri kombëtare e një rëndësie të veçantë</w:t>
      </w:r>
      <w:r w:rsidRPr="007114AF">
        <w:t>, duke njohur vlerat e tyre t</w:t>
      </w:r>
      <w:r w:rsidRPr="007114AF">
        <w:rPr>
          <w:rFonts w:cstheme="minorHAnsi"/>
        </w:rPr>
        <w:t>ë mëdha për mbrojtjen e klimës dhe tokës,</w:t>
      </w:r>
      <w:r w:rsidRPr="007114AF">
        <w:t xml:space="preserve"> biodiversitetit, burimeve gjenetike</w:t>
      </w:r>
      <w:r w:rsidRPr="007114AF">
        <w:rPr>
          <w:rFonts w:cstheme="minorHAnsi"/>
        </w:rPr>
        <w:t xml:space="preserve"> dhe regjimit hidrik</w:t>
      </w:r>
      <w:r w:rsidRPr="007114AF">
        <w:t>, si nj</w:t>
      </w:r>
      <w:r w:rsidRPr="007114AF">
        <w:rPr>
          <w:rFonts w:cstheme="minorHAnsi"/>
        </w:rPr>
        <w:t>ë detyrim për brezat e tanishëm dhe ata të ardhshëm</w:t>
      </w:r>
      <w:r w:rsidRPr="007114AF">
        <w:t xml:space="preserve">. </w:t>
      </w:r>
    </w:p>
    <w:p w14:paraId="6EDCFE16" w14:textId="77777777" w:rsidR="00A9766F" w:rsidRPr="007114AF" w:rsidRDefault="00A9766F" w:rsidP="00206985">
      <w:pPr>
        <w:pStyle w:val="TEKSTI"/>
      </w:pPr>
      <w:r w:rsidRPr="007114AF">
        <w:t>Ligji synon t</w:t>
      </w:r>
      <w:r w:rsidRPr="007114AF">
        <w:rPr>
          <w:rFonts w:cstheme="minorHAnsi"/>
        </w:rPr>
        <w:t xml:space="preserve">ë përcaktojë </w:t>
      </w:r>
      <w:r w:rsidRPr="007114AF">
        <w:t>administrimin, qeverisjen dhe mbrojtjen e fondit komb</w:t>
      </w:r>
      <w:r w:rsidRPr="007114AF">
        <w:rPr>
          <w:rFonts w:cstheme="minorHAnsi"/>
        </w:rPr>
        <w:t xml:space="preserve">ëtar </w:t>
      </w:r>
      <w:r w:rsidRPr="007114AF">
        <w:t>të pyjeve dhe kullotave, duke u bazuar n</w:t>
      </w:r>
      <w:r w:rsidRPr="007114AF">
        <w:rPr>
          <w:rFonts w:cstheme="minorHAnsi"/>
        </w:rPr>
        <w:t>ë parimet e zhvillimit të qëndrueshëm, si dhe të përcaktojë rregullat, detyrimet, të drejtat, përgjegjësitë dhe marrëdhëniet e institucioneve shtetërore</w:t>
      </w:r>
      <w:r w:rsidRPr="007114AF">
        <w:t xml:space="preserve">, </w:t>
      </w:r>
      <w:r w:rsidRPr="007114AF">
        <w:lastRenderedPageBreak/>
        <w:t>pronar</w:t>
      </w:r>
      <w:r w:rsidRPr="007114AF">
        <w:rPr>
          <w:rFonts w:cstheme="minorHAnsi"/>
        </w:rPr>
        <w:t>ëve dhe bizneseve private</w:t>
      </w:r>
      <w:r w:rsidRPr="007114AF">
        <w:t>. P</w:t>
      </w:r>
      <w:r w:rsidRPr="007114AF">
        <w:rPr>
          <w:rFonts w:cstheme="minorHAnsi"/>
        </w:rPr>
        <w:t xml:space="preserve">ër këtë qëllim ai përcakton funksionimin e </w:t>
      </w:r>
      <w:r w:rsidRPr="007114AF">
        <w:rPr>
          <w:b/>
        </w:rPr>
        <w:t>sh</w:t>
      </w:r>
      <w:r w:rsidRPr="007114AF">
        <w:rPr>
          <w:rFonts w:cstheme="minorHAnsi"/>
          <w:b/>
        </w:rPr>
        <w:t>ë</w:t>
      </w:r>
      <w:r w:rsidRPr="007114AF">
        <w:rPr>
          <w:b/>
        </w:rPr>
        <w:t>rbimit pyjor</w:t>
      </w:r>
      <w:r w:rsidRPr="007114AF">
        <w:t xml:space="preserve"> si nj</w:t>
      </w:r>
      <w:r w:rsidRPr="007114AF">
        <w:rPr>
          <w:rFonts w:cstheme="minorHAnsi"/>
        </w:rPr>
        <w:t xml:space="preserve">ë shërbim </w:t>
      </w:r>
      <w:r w:rsidRPr="007114AF">
        <w:t>publik.</w:t>
      </w:r>
    </w:p>
    <w:p w14:paraId="6EDCFE17" w14:textId="45FEC0D5" w:rsidR="00A9766F" w:rsidRPr="007114AF" w:rsidRDefault="00A9766F" w:rsidP="00206985">
      <w:pPr>
        <w:pStyle w:val="TEKSTI"/>
      </w:pPr>
      <w:r w:rsidRPr="007114AF">
        <w:t>Sipas projektligjit, Politikat e Zhvillimit t</w:t>
      </w:r>
      <w:r w:rsidRPr="007114AF">
        <w:rPr>
          <w:rFonts w:cstheme="minorHAnsi"/>
        </w:rPr>
        <w:t xml:space="preserve">ë </w:t>
      </w:r>
      <w:r w:rsidRPr="007114AF">
        <w:t>Pyjeve do t</w:t>
      </w:r>
      <w:r w:rsidRPr="007114AF">
        <w:rPr>
          <w:rFonts w:cstheme="minorHAnsi"/>
        </w:rPr>
        <w:t xml:space="preserve">ë përfaqësojnë objektivat, prioritetet dhe udhëzimet kryesore afatgjata dhe zhvillimin e qëndrueshëm të pyjeve, të cilat duhet të zbatohen në një periudhë afatgjatë të </w:t>
      </w:r>
      <w:r w:rsidRPr="007114AF">
        <w:rPr>
          <w:b/>
        </w:rPr>
        <w:t>Strategjis</w:t>
      </w:r>
      <w:r w:rsidRPr="007114AF">
        <w:rPr>
          <w:rFonts w:cstheme="minorHAnsi"/>
          <w:b/>
        </w:rPr>
        <w:t>ë së Zhvillimit të Pyjeve dhe Kullotave</w:t>
      </w:r>
      <w:r w:rsidRPr="007114AF">
        <w:t>, e cila duhet t</w:t>
      </w:r>
      <w:r w:rsidRPr="007114AF">
        <w:rPr>
          <w:rFonts w:cstheme="minorHAnsi"/>
        </w:rPr>
        <w:t>ë përcaktojë qëllimet dhe objektivat strategjikë që duhen zbatuar në periudhën afatgjatë</w:t>
      </w:r>
      <w:r w:rsidRPr="007114AF">
        <w:t>, n</w:t>
      </w:r>
      <w:r w:rsidRPr="007114AF">
        <w:rPr>
          <w:rFonts w:cstheme="minorHAnsi"/>
        </w:rPr>
        <w:t>ë përputhje me detyrimet që rrjedhin nga konventat, marrëveshjet, protokollet ndërkombëtare dhe nga politikat dhe strategjitë e sektorëve të tjerë</w:t>
      </w:r>
      <w:r w:rsidRPr="007114AF">
        <w:t>. P</w:t>
      </w:r>
      <w:r w:rsidRPr="007114AF">
        <w:rPr>
          <w:rFonts w:cstheme="minorHAnsi"/>
        </w:rPr>
        <w:t xml:space="preserve">ër zbatimin e Strategjisë së Pyjeve dhe Kullotave, do të hartohet një </w:t>
      </w:r>
      <w:r w:rsidRPr="007114AF">
        <w:rPr>
          <w:b/>
        </w:rPr>
        <w:t>Program Komb</w:t>
      </w:r>
      <w:r w:rsidRPr="007114AF">
        <w:rPr>
          <w:rFonts w:cstheme="minorHAnsi"/>
          <w:b/>
        </w:rPr>
        <w:t>ëtar i Pyjeve dhe Kullotave</w:t>
      </w:r>
      <w:r w:rsidRPr="007114AF">
        <w:t xml:space="preserve"> p</w:t>
      </w:r>
      <w:r w:rsidRPr="007114AF">
        <w:rPr>
          <w:rFonts w:cstheme="minorHAnsi"/>
        </w:rPr>
        <w:t xml:space="preserve">ër një periudhë </w:t>
      </w:r>
      <w:r w:rsidRPr="007114AF">
        <w:t>10-vje</w:t>
      </w:r>
      <w:r w:rsidRPr="007114AF">
        <w:rPr>
          <w:rFonts w:cstheme="minorHAnsi"/>
        </w:rPr>
        <w:t>ç</w:t>
      </w:r>
      <w:r w:rsidRPr="007114AF">
        <w:t>are, duke ofruar veprime, buxhet, afate konkrete dhe detyra p</w:t>
      </w:r>
      <w:r w:rsidRPr="007114AF">
        <w:rPr>
          <w:rFonts w:cstheme="minorHAnsi"/>
        </w:rPr>
        <w:t>ërkatëse për institucionet e përfshira në zbatimin e tij në nivel qendror, rajonal dhe vendor, për një administrim të qëndrueshëm të pyjeve dhe kullotave, me qëllim sigurimin e përdorimit shumë</w:t>
      </w:r>
      <w:r w:rsidRPr="007114AF">
        <w:t>funksional</w:t>
      </w:r>
      <w:r w:rsidR="009250F2">
        <w:t xml:space="preserve"> </w:t>
      </w:r>
      <w:r w:rsidRPr="007114AF">
        <w:t>t</w:t>
      </w:r>
      <w:r w:rsidRPr="007114AF">
        <w:rPr>
          <w:rFonts w:cstheme="minorHAnsi"/>
        </w:rPr>
        <w:t>ë pyjeve dhe kullotave</w:t>
      </w:r>
      <w:r w:rsidRPr="007114AF">
        <w:t>.</w:t>
      </w:r>
    </w:p>
    <w:p w14:paraId="6EDCFE18" w14:textId="77777777" w:rsidR="00A9766F" w:rsidRPr="007114AF" w:rsidRDefault="00A9766F" w:rsidP="00206985">
      <w:pPr>
        <w:pStyle w:val="TEKSTI"/>
      </w:pPr>
      <w:r w:rsidRPr="007114AF">
        <w:t>Ligji ndalon shum</w:t>
      </w:r>
      <w:r w:rsidRPr="007114AF">
        <w:rPr>
          <w:rFonts w:cstheme="minorHAnsi"/>
        </w:rPr>
        <w:t xml:space="preserve">ë aktivitete, të tilla si ai i prerjes në mënyrë </w:t>
      </w:r>
      <w:r w:rsidRPr="007114AF">
        <w:t>të paligjshme të pyjeve, i cili aktualisht shkakton nj</w:t>
      </w:r>
      <w:r w:rsidRPr="007114AF">
        <w:rPr>
          <w:rFonts w:cstheme="minorHAnsi"/>
        </w:rPr>
        <w:t xml:space="preserve">ë problem konkret të uljes së stokut të karbonit nga pyjet në Shqipëri, dhe aktivitete të tjera të paautorizuara, të paparashikuara nga </w:t>
      </w:r>
      <w:r w:rsidRPr="007114AF">
        <w:rPr>
          <w:b/>
        </w:rPr>
        <w:t xml:space="preserve">plani i administrimit </w:t>
      </w:r>
      <w:r w:rsidRPr="007114AF">
        <w:t>t</w:t>
      </w:r>
      <w:r w:rsidRPr="007114AF">
        <w:rPr>
          <w:rFonts w:cstheme="minorHAnsi"/>
        </w:rPr>
        <w:t>ë secilit pyll</w:t>
      </w:r>
      <w:r w:rsidRPr="007114AF">
        <w:t>, i cilido t</w:t>
      </w:r>
      <w:r w:rsidRPr="007114AF">
        <w:rPr>
          <w:rFonts w:cstheme="minorHAnsi"/>
        </w:rPr>
        <w:t>ë jetë një dokument zyrtar dhe instrument qeverisës i zhvillimit dhe mbrojtjes së pyjeve dhe kullotave</w:t>
      </w:r>
      <w:r w:rsidRPr="007114AF">
        <w:t>, i vlefsh</w:t>
      </w:r>
      <w:r w:rsidRPr="007114AF">
        <w:rPr>
          <w:rFonts w:cstheme="minorHAnsi"/>
        </w:rPr>
        <w:t>ëm për një periudhë dhjetëvjeçare</w:t>
      </w:r>
      <w:r w:rsidRPr="007114AF">
        <w:t>.</w:t>
      </w:r>
    </w:p>
    <w:p w14:paraId="6EDCFE19" w14:textId="77777777" w:rsidR="00A9766F" w:rsidRPr="007114AF" w:rsidRDefault="00A9766F" w:rsidP="00206985">
      <w:pPr>
        <w:pStyle w:val="TEKSTI"/>
      </w:pPr>
      <w:r w:rsidRPr="007114AF">
        <w:t>Nj</w:t>
      </w:r>
      <w:r w:rsidRPr="007114AF">
        <w:rPr>
          <w:rFonts w:cstheme="minorHAnsi"/>
        </w:rPr>
        <w:t xml:space="preserve">ë tjetër aspekt i rëndësishëm i projektligjit është organizimi i </w:t>
      </w:r>
      <w:r w:rsidRPr="007114AF">
        <w:rPr>
          <w:b/>
        </w:rPr>
        <w:t>Kadastr</w:t>
      </w:r>
      <w:r w:rsidRPr="007114AF">
        <w:rPr>
          <w:rFonts w:cstheme="minorHAnsi"/>
          <w:b/>
        </w:rPr>
        <w:t xml:space="preserve">ës Kombëtare të Pyjeve dhe Kullotave, </w:t>
      </w:r>
      <w:r w:rsidRPr="007114AF">
        <w:t>që do t</w:t>
      </w:r>
      <w:r w:rsidRPr="007114AF">
        <w:rPr>
          <w:rFonts w:cstheme="minorHAnsi"/>
        </w:rPr>
        <w:t>ë bashkojë sistemin e informacionit të pyjeve dhe kullotave, duke përfaqësuar regjistrin zyrtar dhe bazën e të dhënave, duke regjistruar tërësinë e informacionit të nevojshëm për administrimin dhe qeverisjen e fondit kombëtar të pyjeve dhe kullotave</w:t>
      </w:r>
      <w:r w:rsidRPr="007114AF">
        <w:t>, t</w:t>
      </w:r>
      <w:r w:rsidRPr="007114AF">
        <w:rPr>
          <w:rFonts w:cstheme="minorHAnsi"/>
        </w:rPr>
        <w:t xml:space="preserve">ë shoqëruar nga Sistemi i Informacionit Strategjik </w:t>
      </w:r>
      <w:r w:rsidRPr="007114AF">
        <w:t>(GIS). Ligji nxit</w:t>
      </w:r>
      <w:r w:rsidRPr="007114AF">
        <w:rPr>
          <w:rFonts w:cstheme="minorHAnsi"/>
        </w:rPr>
        <w:t xml:space="preserve"> gjithashtu, parandalimin e zjarreve dhe krijimin e Regjistrit të Zjarreve</w:t>
      </w:r>
      <w:r w:rsidRPr="007114AF">
        <w:t>.</w:t>
      </w:r>
    </w:p>
    <w:p w14:paraId="6EDCFE1A" w14:textId="77777777" w:rsidR="00A9766F" w:rsidRPr="007114AF" w:rsidRDefault="00A9766F" w:rsidP="00206985">
      <w:pPr>
        <w:pStyle w:val="TEKSTI"/>
      </w:pPr>
      <w:r w:rsidRPr="007114AF">
        <w:t>P</w:t>
      </w:r>
      <w:r w:rsidRPr="007114AF">
        <w:rPr>
          <w:rFonts w:cstheme="minorHAnsi"/>
        </w:rPr>
        <w:t>ër më tepër</w:t>
      </w:r>
      <w:r w:rsidRPr="007114AF">
        <w:t>, mbledhja e t</w:t>
      </w:r>
      <w:r w:rsidRPr="007114AF">
        <w:rPr>
          <w:rFonts w:cstheme="minorHAnsi"/>
        </w:rPr>
        <w:t>ë dhënave mbi pyjet shqiptare</w:t>
      </w:r>
      <w:r w:rsidRPr="007114AF">
        <w:t>, shum</w:t>
      </w:r>
      <w:r w:rsidRPr="007114AF">
        <w:rPr>
          <w:rFonts w:cstheme="minorHAnsi"/>
        </w:rPr>
        <w:t xml:space="preserve">ë e dobishme për të lejuar një vlerësim të saktë të sektorit edhe në terma të përafërta të tendencave </w:t>
      </w:r>
      <w:r w:rsidRPr="007114AF">
        <w:t>GES nga LUCFF-ja, p</w:t>
      </w:r>
      <w:r w:rsidRPr="007114AF">
        <w:rPr>
          <w:rFonts w:cstheme="minorHAnsi"/>
        </w:rPr>
        <w:t>ërcaktohet</w:t>
      </w:r>
      <w:r w:rsidRPr="007114AF">
        <w:t xml:space="preserve"> nga Inventari Komb</w:t>
      </w:r>
      <w:r w:rsidRPr="007114AF">
        <w:rPr>
          <w:rFonts w:cstheme="minorHAnsi"/>
        </w:rPr>
        <w:t>ëtar i Pyjeve dhe Kullotave</w:t>
      </w:r>
      <w:r w:rsidRPr="007114AF">
        <w:t>, që do t</w:t>
      </w:r>
      <w:r w:rsidRPr="007114AF">
        <w:rPr>
          <w:rFonts w:cstheme="minorHAnsi"/>
        </w:rPr>
        <w:t xml:space="preserve">ë përditësohet nga </w:t>
      </w:r>
      <w:r w:rsidRPr="007114AF">
        <w:t>ministria t</w:t>
      </w:r>
      <w:r w:rsidRPr="007114AF">
        <w:rPr>
          <w:rFonts w:cstheme="minorHAnsi"/>
        </w:rPr>
        <w:t>ë paktën një herë në dhjetë vjet</w:t>
      </w:r>
      <w:r w:rsidR="00D43DF3" w:rsidRPr="007114AF">
        <w:t xml:space="preserve">. </w:t>
      </w:r>
    </w:p>
    <w:p w14:paraId="6EDCFE1B" w14:textId="77777777" w:rsidR="00A9766F" w:rsidRPr="007114AF" w:rsidRDefault="00A9766F" w:rsidP="00206985">
      <w:pPr>
        <w:pStyle w:val="TEKSTI"/>
      </w:pPr>
      <w:r w:rsidRPr="007114AF">
        <w:t>Zbatimi dhe hyrja n</w:t>
      </w:r>
      <w:r w:rsidRPr="007114AF">
        <w:rPr>
          <w:rFonts w:cstheme="minorHAnsi"/>
        </w:rPr>
        <w:t>ë fuqi e këtij projektligji është shumë e rëndësishme për të siguruar zhvillimin e qëndrueshëm të sektorit pyjor, veçanërisht duke pasur parasysh përdorimin e drurit, si një burim alternativ energjie për të zëvendësuar lëndët e djegshme fosile</w:t>
      </w:r>
      <w:r w:rsidRPr="007114AF">
        <w:t>. Vet</w:t>
      </w:r>
      <w:r w:rsidRPr="007114AF">
        <w:rPr>
          <w:rFonts w:cstheme="minorHAnsi"/>
        </w:rPr>
        <w:t>ëm duke iu bindur rregullave të rrepta për administrimin e qëndrueshëm të pyjeve, do të jetë i mundur kthimi i sektorit shqiptar të L</w:t>
      </w:r>
      <w:r w:rsidRPr="007114AF">
        <w:t>CF-ës, nga nj</w:t>
      </w:r>
      <w:r w:rsidRPr="007114AF">
        <w:rPr>
          <w:rFonts w:cstheme="minorHAnsi"/>
        </w:rPr>
        <w:t>ë sektor shkarkimi në një depozitë pozitive e sekuestrimit të karbonit</w:t>
      </w:r>
      <w:r w:rsidRPr="007114AF">
        <w:t>, duke sjell</w:t>
      </w:r>
      <w:r w:rsidRPr="007114AF">
        <w:rPr>
          <w:rFonts w:cstheme="minorHAnsi"/>
        </w:rPr>
        <w:t>ë një kontribut konkret në zbutjen e ndryshimeve klimatike</w:t>
      </w:r>
      <w:r w:rsidRPr="007114AF">
        <w:t>.</w:t>
      </w:r>
    </w:p>
    <w:p w14:paraId="6EDCFE1C" w14:textId="77777777" w:rsidR="00A9766F" w:rsidRPr="007114AF" w:rsidRDefault="00A9766F" w:rsidP="00206985">
      <w:pPr>
        <w:pStyle w:val="TEKSTI"/>
        <w:rPr>
          <w:b/>
          <w:i/>
          <w:u w:val="single"/>
        </w:rPr>
      </w:pPr>
      <w:r w:rsidRPr="007114AF">
        <w:rPr>
          <w:b/>
          <w:i/>
          <w:u w:val="single"/>
        </w:rPr>
        <w:t>Dokumenti i Politikave Strategjike për Mbrojtjen e Biodiversitetit (DPSMB)</w:t>
      </w:r>
    </w:p>
    <w:p w14:paraId="6EDCFE1D" w14:textId="77777777" w:rsidR="00A9766F" w:rsidRPr="007114AF" w:rsidRDefault="00A9766F" w:rsidP="00206985">
      <w:pPr>
        <w:pStyle w:val="TEKSTI"/>
        <w:rPr>
          <w:i/>
        </w:rPr>
      </w:pPr>
      <w:r w:rsidRPr="007114AF">
        <w:rPr>
          <w:i/>
        </w:rPr>
        <w:t xml:space="preserve">Vlefshmëria: 2016-2020 </w:t>
      </w:r>
    </w:p>
    <w:p w14:paraId="6EDCFE1E" w14:textId="77777777" w:rsidR="00A9766F" w:rsidRPr="007114AF" w:rsidRDefault="00A9766F" w:rsidP="00206985">
      <w:pPr>
        <w:pStyle w:val="TEKSTI"/>
      </w:pPr>
      <w:r w:rsidRPr="007114AF">
        <w:t>Objektivat kryesore t</w:t>
      </w:r>
      <w:r w:rsidRPr="007114AF">
        <w:rPr>
          <w:rFonts w:cstheme="minorHAnsi"/>
        </w:rPr>
        <w:t xml:space="preserve">ë Dokumentit të Politikave Strategjike për Mbrojtjen e Biodiversitetit </w:t>
      </w:r>
      <w:r w:rsidRPr="007114AF">
        <w:t>(DPSMB) jan</w:t>
      </w:r>
      <w:r w:rsidRPr="007114AF">
        <w:rPr>
          <w:rFonts w:cstheme="minorHAnsi"/>
        </w:rPr>
        <w:t>ë</w:t>
      </w:r>
      <w:r w:rsidRPr="007114AF">
        <w:t>: rritja e sip</w:t>
      </w:r>
      <w:r w:rsidRPr="007114AF">
        <w:rPr>
          <w:rFonts w:cstheme="minorHAnsi"/>
        </w:rPr>
        <w:t>ërfaqes së zonave të mbrojtura</w:t>
      </w:r>
      <w:r w:rsidRPr="007114AF">
        <w:t>; hartimi dhe zbatimi i planeve t</w:t>
      </w:r>
      <w:r w:rsidRPr="007114AF">
        <w:rPr>
          <w:rFonts w:cstheme="minorHAnsi"/>
        </w:rPr>
        <w:t>ë administrimit</w:t>
      </w:r>
      <w:r w:rsidRPr="007114AF">
        <w:t>; plot</w:t>
      </w:r>
      <w:r w:rsidRPr="007114AF">
        <w:rPr>
          <w:rFonts w:cstheme="minorHAnsi"/>
        </w:rPr>
        <w:t xml:space="preserve">ësimi i kuadrit ligjor në përputhje me </w:t>
      </w:r>
      <w:r w:rsidRPr="007114AF">
        <w:rPr>
          <w:i/>
        </w:rPr>
        <w:t>acquis</w:t>
      </w:r>
      <w:r w:rsidRPr="007114AF">
        <w:t xml:space="preserve"> e BE-së mbi natyr</w:t>
      </w:r>
      <w:r w:rsidRPr="007114AF">
        <w:rPr>
          <w:rFonts w:cstheme="minorHAnsi"/>
        </w:rPr>
        <w:t>ën dhe mjedisin</w:t>
      </w:r>
      <w:r w:rsidRPr="007114AF">
        <w:t>; eliminimi i prerjeve dhe gjuetis</w:t>
      </w:r>
      <w:r w:rsidRPr="007114AF">
        <w:rPr>
          <w:rFonts w:cstheme="minorHAnsi"/>
        </w:rPr>
        <w:t>ë së jashtëligjshme</w:t>
      </w:r>
      <w:r w:rsidRPr="007114AF">
        <w:t>, duke zbatuar kuadrin ligjor dhe aktivitetet q</w:t>
      </w:r>
      <w:r w:rsidRPr="007114AF">
        <w:rPr>
          <w:rFonts w:cstheme="minorHAnsi"/>
        </w:rPr>
        <w:t>ë shërbejnë për rritjen e kapaciteteve dhe së fundi</w:t>
      </w:r>
      <w:r w:rsidRPr="007114AF">
        <w:t>, zbatimi i planeve t</w:t>
      </w:r>
      <w:r w:rsidRPr="007114AF">
        <w:rPr>
          <w:rFonts w:cstheme="minorHAnsi"/>
        </w:rPr>
        <w:t>ë veprimit për mbrojtjen e specieve dhe habitateve të rrezikuara</w:t>
      </w:r>
      <w:r w:rsidRPr="007114AF">
        <w:t xml:space="preserve">. </w:t>
      </w:r>
    </w:p>
    <w:p w14:paraId="6EDCFE1F" w14:textId="21AAC0EC" w:rsidR="00A9766F" w:rsidRPr="007114AF" w:rsidRDefault="00A9766F" w:rsidP="00206985">
      <w:pPr>
        <w:pStyle w:val="TEKSTI"/>
      </w:pPr>
      <w:r w:rsidRPr="007114AF">
        <w:rPr>
          <w:rFonts w:cstheme="minorHAnsi"/>
        </w:rPr>
        <w:t>Është përpiluar një listë masash, në mënyrë që të arrihen objektivat specifik</w:t>
      </w:r>
      <w:r w:rsidR="00163F78">
        <w:rPr>
          <w:rFonts w:cstheme="minorHAnsi"/>
        </w:rPr>
        <w:t>ë</w:t>
      </w:r>
      <w:r w:rsidRPr="007114AF">
        <w:rPr>
          <w:rFonts w:cstheme="minorHAnsi"/>
        </w:rPr>
        <w:t xml:space="preserve"> të mëposhtëm</w:t>
      </w:r>
      <w:r w:rsidRPr="007114AF">
        <w:t>:</w:t>
      </w:r>
    </w:p>
    <w:p w14:paraId="6EDCFE20" w14:textId="6DE0D34D" w:rsidR="00A9766F" w:rsidRPr="007114AF" w:rsidRDefault="00721B1B" w:rsidP="00206985">
      <w:pPr>
        <w:pStyle w:val="TEKSTI"/>
      </w:pPr>
      <w:r w:rsidRPr="007114AF">
        <w:t xml:space="preserve">- </w:t>
      </w:r>
      <w:r w:rsidR="00A9766F" w:rsidRPr="007114AF">
        <w:t>Deri n</w:t>
      </w:r>
      <w:r w:rsidR="00A9766F" w:rsidRPr="007114AF">
        <w:rPr>
          <w:rFonts w:cstheme="minorHAnsi"/>
        </w:rPr>
        <w:t>ë vitin 2</w:t>
      </w:r>
      <w:r w:rsidR="00A9766F" w:rsidRPr="007114AF">
        <w:t>020 -</w:t>
      </w:r>
      <w:r w:rsidR="000A2A01" w:rsidRPr="007114AF">
        <w:t xml:space="preserve"> </w:t>
      </w:r>
      <w:r w:rsidR="00A9766F" w:rsidRPr="007114AF">
        <w:t>t</w:t>
      </w:r>
      <w:r w:rsidR="00A9766F" w:rsidRPr="007114AF">
        <w:rPr>
          <w:rFonts w:cstheme="minorHAnsi"/>
        </w:rPr>
        <w:t xml:space="preserve">ë sigurohet harmonizimi dhe zbatimi i </w:t>
      </w:r>
      <w:r w:rsidR="00A9766F" w:rsidRPr="007114AF">
        <w:rPr>
          <w:i/>
        </w:rPr>
        <w:t>acquis</w:t>
      </w:r>
      <w:r w:rsidR="00A9766F" w:rsidRPr="007114AF">
        <w:t>të BE-së n</w:t>
      </w:r>
      <w:r w:rsidR="00A9766F" w:rsidRPr="007114AF">
        <w:rPr>
          <w:rFonts w:cstheme="minorHAnsi"/>
        </w:rPr>
        <w:t>ë fushën e mbrojtjes së natyrës</w:t>
      </w:r>
      <w:r w:rsidR="00A9766F" w:rsidRPr="007114AF">
        <w:t>.</w:t>
      </w:r>
    </w:p>
    <w:p w14:paraId="6EDCFE21" w14:textId="77777777" w:rsidR="00A9766F" w:rsidRPr="007114AF" w:rsidRDefault="00721B1B" w:rsidP="00206985">
      <w:pPr>
        <w:pStyle w:val="TEKSTI"/>
      </w:pPr>
      <w:r w:rsidRPr="007114AF">
        <w:t xml:space="preserve">- </w:t>
      </w:r>
      <w:r w:rsidR="00A9766F" w:rsidRPr="007114AF">
        <w:t>Deri n</w:t>
      </w:r>
      <w:r w:rsidR="00A9766F" w:rsidRPr="007114AF">
        <w:rPr>
          <w:rFonts w:cstheme="minorHAnsi"/>
        </w:rPr>
        <w:t xml:space="preserve">ë vitin </w:t>
      </w:r>
      <w:r w:rsidR="00A9766F" w:rsidRPr="007114AF">
        <w:t>2015 - t</w:t>
      </w:r>
      <w:r w:rsidR="00A9766F" w:rsidRPr="007114AF">
        <w:rPr>
          <w:rFonts w:cstheme="minorHAnsi"/>
        </w:rPr>
        <w:t>ë miratohet rishikimi i dokumentit</w:t>
      </w:r>
      <w:r w:rsidR="00A9766F" w:rsidRPr="007114AF">
        <w:t xml:space="preserve"> strategjik mbi biodiversitetin (DPSMB) </w:t>
      </w:r>
      <w:r w:rsidR="00A9766F" w:rsidRPr="007114AF">
        <w:rPr>
          <w:rFonts w:cstheme="minorHAnsi"/>
        </w:rPr>
        <w:t>në përputhje me objektivin</w:t>
      </w:r>
      <w:r w:rsidR="00A9766F" w:rsidRPr="007114AF">
        <w:t xml:space="preserve"> Aichi 17</w:t>
      </w:r>
      <w:r w:rsidR="00A9766F" w:rsidRPr="007114AF">
        <w:rPr>
          <w:rStyle w:val="FootnoteReference"/>
        </w:rPr>
        <w:footnoteReference w:id="51"/>
      </w:r>
      <w:r w:rsidR="00A9766F" w:rsidRPr="007114AF">
        <w:t>.</w:t>
      </w:r>
    </w:p>
    <w:p w14:paraId="6EDCFE22" w14:textId="458CDFAE" w:rsidR="00A9766F" w:rsidRPr="007114AF" w:rsidRDefault="00721B1B" w:rsidP="00206985">
      <w:pPr>
        <w:pStyle w:val="TEKSTI"/>
      </w:pPr>
      <w:r w:rsidRPr="007114AF">
        <w:lastRenderedPageBreak/>
        <w:t xml:space="preserve">- </w:t>
      </w:r>
      <w:r w:rsidR="00A9766F" w:rsidRPr="007114AF">
        <w:t>Deri n</w:t>
      </w:r>
      <w:r w:rsidR="00A9766F" w:rsidRPr="007114AF">
        <w:rPr>
          <w:rFonts w:cstheme="minorHAnsi"/>
        </w:rPr>
        <w:t xml:space="preserve">ë vitin </w:t>
      </w:r>
      <w:r w:rsidR="00A9766F" w:rsidRPr="007114AF">
        <w:t>2020 - t</w:t>
      </w:r>
      <w:r w:rsidR="00A9766F" w:rsidRPr="007114AF">
        <w:rPr>
          <w:rFonts w:cstheme="minorHAnsi"/>
        </w:rPr>
        <w:t>ë përcaktohet një objektiv konservimi në masën</w:t>
      </w:r>
      <w:r w:rsidR="00A9766F" w:rsidRPr="007114AF">
        <w:t xml:space="preserve"> 17% t</w:t>
      </w:r>
      <w:r w:rsidR="00A9766F" w:rsidRPr="007114AF">
        <w:rPr>
          <w:rFonts w:cstheme="minorHAnsi"/>
        </w:rPr>
        <w:t xml:space="preserve">ë zonave tokësore dhe ujore dhe </w:t>
      </w:r>
      <w:r w:rsidR="00A9766F" w:rsidRPr="007114AF">
        <w:t>5% t</w:t>
      </w:r>
      <w:r w:rsidR="00A9766F" w:rsidRPr="007114AF">
        <w:rPr>
          <w:rFonts w:cstheme="minorHAnsi"/>
        </w:rPr>
        <w:t>ë zonave detare bregdetare</w:t>
      </w:r>
      <w:r w:rsidR="00A9766F" w:rsidRPr="007114AF">
        <w:t>. Të krijohet</w:t>
      </w:r>
      <w:r w:rsidR="000A2A01" w:rsidRPr="007114AF">
        <w:t xml:space="preserve"> </w:t>
      </w:r>
      <w:r w:rsidR="00A9766F" w:rsidRPr="007114AF">
        <w:t>Rrjeti Ekologjik Komb</w:t>
      </w:r>
      <w:r w:rsidR="00A9766F" w:rsidRPr="007114AF">
        <w:rPr>
          <w:rFonts w:cstheme="minorHAnsi"/>
        </w:rPr>
        <w:t>ëtar i Shqipërisë</w:t>
      </w:r>
      <w:r w:rsidR="00A9766F" w:rsidRPr="007114AF">
        <w:t>, si nj</w:t>
      </w:r>
      <w:r w:rsidR="00A9766F" w:rsidRPr="007114AF">
        <w:rPr>
          <w:rFonts w:cstheme="minorHAnsi"/>
        </w:rPr>
        <w:t>ë pjesë përbërëse e Rrjetit Ekologji</w:t>
      </w:r>
      <w:r w:rsidR="00A9766F" w:rsidRPr="007114AF">
        <w:t>k Panevropian (PEEN) – n</w:t>
      </w:r>
      <w:r w:rsidR="00A9766F" w:rsidRPr="007114AF">
        <w:rPr>
          <w:rFonts w:cstheme="minorHAnsi"/>
        </w:rPr>
        <w:t xml:space="preserve">ë përputhje me objektivin e </w:t>
      </w:r>
      <w:r w:rsidR="00A9766F" w:rsidRPr="007114AF">
        <w:t>Aichi 11.</w:t>
      </w:r>
    </w:p>
    <w:p w14:paraId="6EDCFE23" w14:textId="77777777" w:rsidR="00A9766F" w:rsidRPr="007114AF" w:rsidRDefault="00721B1B" w:rsidP="00206985">
      <w:pPr>
        <w:pStyle w:val="TEKSTI"/>
      </w:pPr>
      <w:r w:rsidRPr="007114AF">
        <w:t xml:space="preserve">- </w:t>
      </w:r>
      <w:r w:rsidR="00A9766F" w:rsidRPr="007114AF">
        <w:t>T</w:t>
      </w:r>
      <w:r w:rsidR="00A9766F" w:rsidRPr="007114AF">
        <w:rPr>
          <w:rFonts w:cstheme="minorHAnsi"/>
        </w:rPr>
        <w:t xml:space="preserve">ë rimëkëmben të paktën </w:t>
      </w:r>
      <w:r w:rsidR="00A9766F" w:rsidRPr="007114AF">
        <w:t>15% e zonave t</w:t>
      </w:r>
      <w:r w:rsidR="00A9766F" w:rsidRPr="007114AF">
        <w:rPr>
          <w:rFonts w:cstheme="minorHAnsi"/>
        </w:rPr>
        <w:t>ë degraduara, përmes aktiviteteve të konservimit dhe përtëritjes</w:t>
      </w:r>
      <w:r w:rsidR="00A9766F" w:rsidRPr="007114AF">
        <w:t xml:space="preserve"> – n</w:t>
      </w:r>
      <w:r w:rsidR="00A9766F" w:rsidRPr="007114AF">
        <w:rPr>
          <w:rFonts w:cstheme="minorHAnsi"/>
        </w:rPr>
        <w:t>ë përputhje me objektivat e biodiversitetit</w:t>
      </w:r>
      <w:r w:rsidR="00A9766F" w:rsidRPr="007114AF">
        <w:t xml:space="preserve"> Aichi – ky veprim do t</w:t>
      </w:r>
      <w:r w:rsidR="00A9766F" w:rsidRPr="007114AF">
        <w:rPr>
          <w:rFonts w:cstheme="minorHAnsi"/>
        </w:rPr>
        <w:t xml:space="preserve">ë arrihet përmes zbatimit të planeve të administrimit </w:t>
      </w:r>
      <w:r w:rsidR="00A9766F" w:rsidRPr="007114AF">
        <w:t>p</w:t>
      </w:r>
      <w:r w:rsidR="00A9766F" w:rsidRPr="007114AF">
        <w:rPr>
          <w:rFonts w:cstheme="minorHAnsi"/>
        </w:rPr>
        <w:t>ër zonat e mbrojtura dhe zbatimit të planeve të veprimit për specie dhe habitate në veçanti</w:t>
      </w:r>
      <w:r w:rsidR="00A9766F" w:rsidRPr="007114AF">
        <w:t>.</w:t>
      </w:r>
    </w:p>
    <w:p w14:paraId="6EDCFE24" w14:textId="2EB7EE5C" w:rsidR="00A9766F" w:rsidRPr="007114AF" w:rsidRDefault="00A9766F" w:rsidP="00206985">
      <w:pPr>
        <w:pStyle w:val="TEKSTI"/>
      </w:pPr>
      <w:r w:rsidRPr="007114AF">
        <w:t>P</w:t>
      </w:r>
      <w:r w:rsidRPr="007114AF">
        <w:rPr>
          <w:rFonts w:cstheme="minorHAnsi"/>
        </w:rPr>
        <w:t>ër t</w:t>
      </w:r>
      <w:r w:rsidR="00D10DAB" w:rsidRPr="007114AF">
        <w:rPr>
          <w:rFonts w:cstheme="minorHAnsi"/>
        </w:rPr>
        <w:t>’</w:t>
      </w:r>
      <w:r w:rsidRPr="007114AF">
        <w:rPr>
          <w:rFonts w:cstheme="minorHAnsi"/>
        </w:rPr>
        <w:t>i përmbushur objektivat e identifikuar</w:t>
      </w:r>
      <w:r w:rsidRPr="007114AF">
        <w:t xml:space="preserve">, </w:t>
      </w:r>
      <w:r w:rsidRPr="007114AF">
        <w:rPr>
          <w:rFonts w:cstheme="minorHAnsi"/>
        </w:rPr>
        <w:t xml:space="preserve">është hartuar </w:t>
      </w:r>
      <w:r w:rsidRPr="007114AF">
        <w:t>Plani Komb</w:t>
      </w:r>
      <w:r w:rsidRPr="007114AF">
        <w:rPr>
          <w:rFonts w:cstheme="minorHAnsi"/>
        </w:rPr>
        <w:t>ëtar i Veprimit, që</w:t>
      </w:r>
      <w:r w:rsidR="000A2A01" w:rsidRPr="007114AF">
        <w:rPr>
          <w:rFonts w:cstheme="minorHAnsi"/>
        </w:rPr>
        <w:t xml:space="preserve"> </w:t>
      </w:r>
      <w:r w:rsidRPr="007114AF">
        <w:rPr>
          <w:rFonts w:cstheme="minorHAnsi"/>
        </w:rPr>
        <w:t>shërben si një udhërrëfyes për zbatimin e kësaj strategjie sektoriale, me masa dhe afate konkrete. Për më tepër, janë identifikuar dhe treguesit e monitorimit</w:t>
      </w:r>
      <w:r w:rsidRPr="007114AF">
        <w:t>.</w:t>
      </w:r>
    </w:p>
    <w:p w14:paraId="6EDCFE25" w14:textId="77777777" w:rsidR="00A9766F" w:rsidRPr="007114AF" w:rsidRDefault="00524E98" w:rsidP="00206985">
      <w:pPr>
        <w:pStyle w:val="TEKSTI"/>
        <w:rPr>
          <w:b/>
        </w:rPr>
      </w:pPr>
      <w:bookmarkStart w:id="133" w:name="_Toc484424503"/>
      <w:r w:rsidRPr="007114AF">
        <w:rPr>
          <w:b/>
        </w:rPr>
        <w:t xml:space="preserve">4.1.5 </w:t>
      </w:r>
      <w:r w:rsidR="00A9766F" w:rsidRPr="007114AF">
        <w:rPr>
          <w:b/>
        </w:rPr>
        <w:t>Sinergjitë ndërsektoriale dhe boshllëqet/mungesat</w:t>
      </w:r>
      <w:bookmarkEnd w:id="133"/>
    </w:p>
    <w:p w14:paraId="6EDCFE26" w14:textId="04AB1721" w:rsidR="00A9766F" w:rsidRPr="007114AF" w:rsidRDefault="00A9766F" w:rsidP="00206985">
      <w:pPr>
        <w:pStyle w:val="TEKSTI"/>
      </w:pPr>
      <w:r w:rsidRPr="007114AF">
        <w:t>N</w:t>
      </w:r>
      <w:r w:rsidRPr="007114AF">
        <w:rPr>
          <w:rFonts w:cstheme="minorHAnsi"/>
        </w:rPr>
        <w:t>ë bazë të analizës së mësipërme</w:t>
      </w:r>
      <w:r w:rsidRPr="007114AF">
        <w:t xml:space="preserve">, </w:t>
      </w:r>
      <w:r w:rsidRPr="007114AF">
        <w:rPr>
          <w:rFonts w:cstheme="minorHAnsi"/>
        </w:rPr>
        <w:t>janë identifikuar</w:t>
      </w:r>
      <w:r w:rsidRPr="007114AF">
        <w:t xml:space="preserve"> sinergjit</w:t>
      </w:r>
      <w:r w:rsidRPr="007114AF">
        <w:rPr>
          <w:rFonts w:cstheme="minorHAnsi"/>
        </w:rPr>
        <w:t>ë dhe boshllëqet/mungesat</w:t>
      </w:r>
      <w:r w:rsidR="009250F2">
        <w:rPr>
          <w:rFonts w:cstheme="minorHAnsi"/>
        </w:rPr>
        <w:t xml:space="preserve"> </w:t>
      </w:r>
      <w:r w:rsidRPr="007114AF">
        <w:rPr>
          <w:rFonts w:cstheme="minorHAnsi"/>
        </w:rPr>
        <w:t>kryesore në mënyrë që të dalin në pah përpjekjet e përbashkëta për arritjen e objektivave të zbutjes, dhe të analizohen</w:t>
      </w:r>
      <w:r w:rsidR="009250F2">
        <w:rPr>
          <w:rFonts w:cstheme="minorHAnsi"/>
        </w:rPr>
        <w:t xml:space="preserve"> </w:t>
      </w:r>
      <w:r w:rsidRPr="007114AF">
        <w:rPr>
          <w:rFonts w:cstheme="minorHAnsi"/>
        </w:rPr>
        <w:t>boshllëqet/mungesat dhe dobësitë e sistemit</w:t>
      </w:r>
      <w:r w:rsidRPr="007114AF">
        <w:t>, duke propozuar masa korrigjuese p</w:t>
      </w:r>
      <w:r w:rsidRPr="007114AF">
        <w:rPr>
          <w:rFonts w:cstheme="minorHAnsi"/>
        </w:rPr>
        <w:t>ër t</w:t>
      </w:r>
      <w:r w:rsidR="00D10DAB" w:rsidRPr="007114AF">
        <w:rPr>
          <w:rFonts w:cstheme="minorHAnsi"/>
        </w:rPr>
        <w:t>’</w:t>
      </w:r>
      <w:r w:rsidRPr="007114AF">
        <w:rPr>
          <w:rFonts w:cstheme="minorHAnsi"/>
        </w:rPr>
        <w:t>i adresuar ato</w:t>
      </w:r>
      <w:r w:rsidRPr="007114AF">
        <w:t>.</w:t>
      </w:r>
    </w:p>
    <w:p w14:paraId="6EDCFE27" w14:textId="7CF65522" w:rsidR="00A9766F" w:rsidRPr="007114AF" w:rsidRDefault="00A9766F" w:rsidP="00206985">
      <w:pPr>
        <w:pStyle w:val="TEKSTI"/>
      </w:pPr>
      <w:r w:rsidRPr="007114AF">
        <w:t>N</w:t>
      </w:r>
      <w:r w:rsidRPr="007114AF">
        <w:rPr>
          <w:rFonts w:cstheme="minorHAnsi"/>
        </w:rPr>
        <w:t>ë përgjithësi</w:t>
      </w:r>
      <w:r w:rsidRPr="007114AF">
        <w:t>, ekziston nj</w:t>
      </w:r>
      <w:r w:rsidRPr="007114AF">
        <w:rPr>
          <w:rFonts w:cstheme="minorHAnsi"/>
        </w:rPr>
        <w:t>ë sinergji e mirë ndërmjet masave të propozuara në nivelet sektoriale dhe ndërsektoriale të cilat mbulojnë plotësisht çështjet e zbutjes së efekteve prej ndryshimeve klimatike</w:t>
      </w:r>
      <w:r w:rsidR="009250F2">
        <w:rPr>
          <w:rFonts w:cstheme="minorHAnsi"/>
        </w:rPr>
        <w:t xml:space="preserve"> </w:t>
      </w:r>
      <w:r w:rsidRPr="007114AF">
        <w:rPr>
          <w:rFonts w:cstheme="minorHAnsi"/>
        </w:rPr>
        <w:t>në të gjithë sektorët ekonomikë</w:t>
      </w:r>
      <w:r w:rsidR="009250F2">
        <w:rPr>
          <w:rFonts w:cstheme="minorHAnsi"/>
        </w:rPr>
        <w:t xml:space="preserve"> </w:t>
      </w:r>
      <w:r w:rsidRPr="007114AF">
        <w:rPr>
          <w:rFonts w:cstheme="minorHAnsi"/>
        </w:rPr>
        <w:t>shqiptarë përkatës, që përfshijnë edhe sektorin e energjisë</w:t>
      </w:r>
      <w:r w:rsidRPr="007114AF">
        <w:t>, zhvillimit t</w:t>
      </w:r>
      <w:r w:rsidRPr="007114AF">
        <w:rPr>
          <w:rFonts w:cstheme="minorHAnsi"/>
        </w:rPr>
        <w:t xml:space="preserve">ë </w:t>
      </w:r>
      <w:r w:rsidRPr="007114AF">
        <w:t>transportit dhe planifikimit të territorit, bujq</w:t>
      </w:r>
      <w:r w:rsidRPr="007114AF">
        <w:rPr>
          <w:rFonts w:cstheme="minorHAnsi"/>
        </w:rPr>
        <w:t>ësisë dhe burimeve natyrore</w:t>
      </w:r>
      <w:r w:rsidRPr="007114AF">
        <w:t xml:space="preserve">. Vihen re disa boshllëqe/mungesa </w:t>
      </w:r>
      <w:r w:rsidRPr="007114AF">
        <w:rPr>
          <w:rFonts w:cstheme="minorHAnsi"/>
        </w:rPr>
        <w:t>dhe dobësi në të gjithë sektorët</w:t>
      </w:r>
      <w:r w:rsidR="009250F2">
        <w:rPr>
          <w:rFonts w:cstheme="minorHAnsi"/>
        </w:rPr>
        <w:t xml:space="preserve"> </w:t>
      </w:r>
      <w:r w:rsidRPr="007114AF">
        <w:rPr>
          <w:rFonts w:cstheme="minorHAnsi"/>
        </w:rPr>
        <w:t xml:space="preserve">,që duhen kapërcyer përmes masave specifike të propozuara në </w:t>
      </w:r>
      <w:r w:rsidRPr="007114AF">
        <w:t>PKVZNK-ë:</w:t>
      </w:r>
    </w:p>
    <w:p w14:paraId="6EDCFE28" w14:textId="77777777" w:rsidR="00A9766F" w:rsidRPr="007114AF" w:rsidRDefault="00721B1B" w:rsidP="00206985">
      <w:pPr>
        <w:pStyle w:val="TEKSTI"/>
      </w:pPr>
      <w:r w:rsidRPr="007114AF">
        <w:t xml:space="preserve">- </w:t>
      </w:r>
      <w:r w:rsidR="00A9766F" w:rsidRPr="007114AF">
        <w:t>mungesa e nj</w:t>
      </w:r>
      <w:r w:rsidR="00A9766F" w:rsidRPr="007114AF">
        <w:rPr>
          <w:rFonts w:cstheme="minorHAnsi"/>
        </w:rPr>
        <w:t>ë kuadri ligjor që lidhet me ndryshimet klimatike</w:t>
      </w:r>
      <w:r w:rsidR="00A9766F" w:rsidRPr="007114AF">
        <w:t>, çka pengon zbatimin e masave afatgjata dhe t</w:t>
      </w:r>
      <w:r w:rsidR="00A9766F" w:rsidRPr="007114AF">
        <w:rPr>
          <w:rFonts w:cstheme="minorHAnsi"/>
        </w:rPr>
        <w:t>ë qëndrueshme;</w:t>
      </w:r>
    </w:p>
    <w:p w14:paraId="6EDCFE29" w14:textId="77777777" w:rsidR="00A9766F" w:rsidRPr="007114AF" w:rsidRDefault="00721B1B" w:rsidP="00206985">
      <w:pPr>
        <w:pStyle w:val="TEKSTI"/>
      </w:pPr>
      <w:r w:rsidRPr="007114AF">
        <w:t xml:space="preserve">- </w:t>
      </w:r>
      <w:r w:rsidR="00A9766F" w:rsidRPr="007114AF">
        <w:t>mungesa e kapacitetit institucional p</w:t>
      </w:r>
      <w:r w:rsidR="00A9766F" w:rsidRPr="007114AF">
        <w:rPr>
          <w:rFonts w:cstheme="minorHAnsi"/>
        </w:rPr>
        <w:t xml:space="preserve">ër të vlerësuar ndikimet e ndryshimeve klimatike dhe për </w:t>
      </w:r>
      <w:r w:rsidRPr="007114AF">
        <w:rPr>
          <w:rFonts w:cstheme="minorHAnsi"/>
        </w:rPr>
        <w:t xml:space="preserve">ta </w:t>
      </w:r>
      <w:r w:rsidR="00A9766F" w:rsidRPr="007114AF">
        <w:rPr>
          <w:rFonts w:cstheme="minorHAnsi"/>
        </w:rPr>
        <w:t xml:space="preserve">zbatuar më tej këtë informacion teknik, për </w:t>
      </w:r>
      <w:r w:rsidR="00A9766F" w:rsidRPr="007114AF">
        <w:t>mobilizimin e zgjedhjeve programatike q</w:t>
      </w:r>
      <w:r w:rsidR="00A9766F" w:rsidRPr="007114AF">
        <w:rPr>
          <w:rFonts w:cstheme="minorHAnsi"/>
        </w:rPr>
        <w:t>ë kanë të bëjnë me zhvillimin e qëndrueshëm;</w:t>
      </w:r>
    </w:p>
    <w:p w14:paraId="6EDCFE2A" w14:textId="01D04DDD" w:rsidR="00A9766F" w:rsidRPr="007114AF" w:rsidRDefault="00721B1B" w:rsidP="00206985">
      <w:pPr>
        <w:pStyle w:val="TEKSTI"/>
      </w:pPr>
      <w:r w:rsidRPr="007114AF">
        <w:t xml:space="preserve">- </w:t>
      </w:r>
      <w:r w:rsidR="00A9766F" w:rsidRPr="007114AF">
        <w:t>ekziston nj</w:t>
      </w:r>
      <w:r w:rsidR="00A9766F" w:rsidRPr="007114AF">
        <w:rPr>
          <w:rFonts w:cstheme="minorHAnsi"/>
        </w:rPr>
        <w:t>ë nevojë urgjente për ngritjen e kapaciteteve dhe krijimin e bazës për t</w:t>
      </w:r>
      <w:r w:rsidR="00D10DAB" w:rsidRPr="007114AF">
        <w:rPr>
          <w:rFonts w:cstheme="minorHAnsi"/>
        </w:rPr>
        <w:t>’</w:t>
      </w:r>
      <w:r w:rsidR="00A9766F" w:rsidRPr="007114AF">
        <w:rPr>
          <w:rFonts w:cstheme="minorHAnsi"/>
        </w:rPr>
        <w:t xml:space="preserve">iu përgjigjur </w:t>
      </w:r>
      <w:r w:rsidR="00A9766F" w:rsidRPr="007114AF">
        <w:t>n</w:t>
      </w:r>
      <w:r w:rsidR="00A9766F" w:rsidRPr="007114AF">
        <w:rPr>
          <w:rFonts w:cstheme="minorHAnsi"/>
        </w:rPr>
        <w:t>ë mënyrë proaktive</w:t>
      </w:r>
      <w:r w:rsidR="00A9766F" w:rsidRPr="007114AF">
        <w:t xml:space="preserve"> nevojave p</w:t>
      </w:r>
      <w:r w:rsidR="00A9766F" w:rsidRPr="007114AF">
        <w:rPr>
          <w:rFonts w:cstheme="minorHAnsi"/>
        </w:rPr>
        <w:t>ër përshtatje ndaj ndryshimeve klimatike, veçanërisht në procesin e planifikimit</w:t>
      </w:r>
      <w:r w:rsidR="00A9766F" w:rsidRPr="007114AF">
        <w:t>.</w:t>
      </w:r>
    </w:p>
    <w:p w14:paraId="6EDCFE2B" w14:textId="77777777" w:rsidR="00A9766F" w:rsidRPr="007114AF" w:rsidRDefault="00A9766F" w:rsidP="00206985">
      <w:pPr>
        <w:pStyle w:val="TEKSTI"/>
        <w:rPr>
          <w:b/>
          <w:i/>
        </w:rPr>
      </w:pPr>
      <w:bookmarkStart w:id="134" w:name="_Toc450135246"/>
      <w:r w:rsidRPr="007114AF">
        <w:rPr>
          <w:b/>
          <w:i/>
        </w:rPr>
        <w:t>Energ</w:t>
      </w:r>
      <w:bookmarkEnd w:id="134"/>
      <w:r w:rsidRPr="007114AF">
        <w:rPr>
          <w:b/>
          <w:i/>
        </w:rPr>
        <w:t>jia</w:t>
      </w:r>
    </w:p>
    <w:p w14:paraId="6EDCFE2C" w14:textId="4E2BF563" w:rsidR="00A9766F" w:rsidRPr="007114AF" w:rsidRDefault="00A9766F" w:rsidP="00206985">
      <w:pPr>
        <w:pStyle w:val="TEKSTI"/>
        <w:rPr>
          <w:iCs/>
        </w:rPr>
      </w:pPr>
      <w:r w:rsidRPr="007114AF">
        <w:rPr>
          <w:i/>
          <w:u w:val="single"/>
        </w:rPr>
        <w:t>Sinergjit</w:t>
      </w:r>
      <w:r w:rsidRPr="007114AF">
        <w:rPr>
          <w:rFonts w:cstheme="minorHAnsi"/>
          <w:i/>
          <w:u w:val="single"/>
        </w:rPr>
        <w:t>ë dhe Pikëtakimet Ndërsektoriale</w:t>
      </w:r>
      <w:r w:rsidRPr="007114AF">
        <w:rPr>
          <w:i/>
          <w:u w:val="single"/>
        </w:rPr>
        <w:t>:</w:t>
      </w:r>
      <w:r w:rsidRPr="007114AF">
        <w:t xml:space="preserve"> Sektori i energjis</w:t>
      </w:r>
      <w:r w:rsidRPr="007114AF">
        <w:rPr>
          <w:rFonts w:cstheme="minorHAnsi"/>
        </w:rPr>
        <w:t>ë shtjellohet mirë edhe nga strategjitë dhe nga plani i analizuar, edhe pse Strategjia Kombëtare e Energjisë</w:t>
      </w:r>
      <w:r w:rsidR="00A019D2">
        <w:rPr>
          <w:rFonts w:cstheme="minorHAnsi"/>
        </w:rPr>
        <w:t xml:space="preserve"> </w:t>
      </w:r>
      <w:r w:rsidRPr="007114AF">
        <w:rPr>
          <w:rFonts w:cstheme="minorHAnsi"/>
        </w:rPr>
        <w:t>mungonte</w:t>
      </w:r>
      <w:r w:rsidRPr="007114AF">
        <w:t xml:space="preserve"> n</w:t>
      </w:r>
      <w:r w:rsidRPr="007114AF">
        <w:rPr>
          <w:rFonts w:cstheme="minorHAnsi"/>
        </w:rPr>
        <w:t>ë kohën kur u shkrua ky dokument</w:t>
      </w:r>
      <w:r w:rsidRPr="007114AF">
        <w:rPr>
          <w:iCs/>
        </w:rPr>
        <w:t>.</w:t>
      </w:r>
    </w:p>
    <w:p w14:paraId="6EDCFE2D" w14:textId="74D42A85" w:rsidR="00A9766F" w:rsidRPr="007114AF" w:rsidRDefault="00A9766F" w:rsidP="00206985">
      <w:pPr>
        <w:pStyle w:val="TEKSTI"/>
      </w:pPr>
      <w:r w:rsidRPr="007114AF">
        <w:t>Strategjit</w:t>
      </w:r>
      <w:r w:rsidRPr="007114AF">
        <w:rPr>
          <w:rFonts w:cstheme="minorHAnsi"/>
        </w:rPr>
        <w:t>ë dhe planet emarra deri tani në konsideratë për sektorin e energjisë</w:t>
      </w:r>
      <w:r w:rsidRPr="007114AF">
        <w:t>, m</w:t>
      </w:r>
      <w:r w:rsidRPr="007114AF">
        <w:rPr>
          <w:rFonts w:cstheme="minorHAnsi"/>
        </w:rPr>
        <w:t xml:space="preserve">e përjashtim të </w:t>
      </w:r>
      <w:r w:rsidRPr="007114AF">
        <w:t>NAMA-vembi mekanizmin financiar p</w:t>
      </w:r>
      <w:r w:rsidRPr="007114AF">
        <w:rPr>
          <w:rFonts w:cstheme="minorHAnsi"/>
        </w:rPr>
        <w:t>ër eficiencën e energjisë në banesa</w:t>
      </w:r>
      <w:r w:rsidRPr="007114AF">
        <w:t>, n</w:t>
      </w:r>
      <w:r w:rsidRPr="007114AF">
        <w:rPr>
          <w:rFonts w:cstheme="minorHAnsi"/>
        </w:rPr>
        <w:t>ë përgjithësi kanë një potencial të mirë për sinergji dhe karakteristika të përbashkëta me sektorë të tjerë ekonomikë, ku janë zbatuar ose mund të zbatohen masa të njëjta</w:t>
      </w:r>
      <w:r w:rsidRPr="007114AF">
        <w:t>. N</w:t>
      </w:r>
      <w:r w:rsidRPr="007114AF">
        <w:rPr>
          <w:rFonts w:cstheme="minorHAnsi"/>
        </w:rPr>
        <w:t xml:space="preserve">ë veçanti, </w:t>
      </w:r>
      <w:r w:rsidRPr="007114AF">
        <w:t>INDC-ja natyrsh</w:t>
      </w:r>
      <w:r w:rsidRPr="007114AF">
        <w:rPr>
          <w:rFonts w:cstheme="minorHAnsi"/>
        </w:rPr>
        <w:t>ëm vë në dukje përfshirjen e sektorit të transportit dhe bujqësisë</w:t>
      </w:r>
      <w:r w:rsidRPr="007114AF">
        <w:t>/pyll</w:t>
      </w:r>
      <w:r w:rsidRPr="007114AF">
        <w:rPr>
          <w:rFonts w:cstheme="minorHAnsi"/>
        </w:rPr>
        <w:t>ëzimit</w:t>
      </w:r>
      <w:r w:rsidRPr="007114AF">
        <w:t>, megjithëse</w:t>
      </w:r>
      <w:r w:rsidRPr="007114AF">
        <w:rPr>
          <w:rFonts w:cstheme="minorHAnsi"/>
        </w:rPr>
        <w:t xml:space="preserve"> shkarkimet LUCF-ë</w:t>
      </w:r>
      <w:r w:rsidRPr="007114AF">
        <w:t xml:space="preserve"> nuk jan</w:t>
      </w:r>
      <w:r w:rsidRPr="007114AF">
        <w:rPr>
          <w:rFonts w:cstheme="minorHAnsi"/>
        </w:rPr>
        <w:t>ë marrë parasysh në këtë llogaritje të objektivit</w:t>
      </w:r>
      <w:r w:rsidRPr="007114AF">
        <w:t>, edhe pse rishikimi i parashikuar që p</w:t>
      </w:r>
      <w:r w:rsidRPr="007114AF">
        <w:rPr>
          <w:rFonts w:cstheme="minorHAnsi"/>
        </w:rPr>
        <w:t xml:space="preserve">ërmendet në dokument duhet të çojë në përfshirjen e tij deri në vitin </w:t>
      </w:r>
      <w:r w:rsidRPr="007114AF">
        <w:t>2020. N</w:t>
      </w:r>
      <w:r w:rsidRPr="007114AF">
        <w:rPr>
          <w:rFonts w:cstheme="minorHAnsi"/>
        </w:rPr>
        <w:t>ë mënyrë të ngjashme</w:t>
      </w:r>
      <w:r w:rsidRPr="007114AF">
        <w:t>, PKVEE-ja ka nj</w:t>
      </w:r>
      <w:r w:rsidRPr="007114AF">
        <w:rPr>
          <w:rFonts w:cstheme="minorHAnsi"/>
        </w:rPr>
        <w:t xml:space="preserve">ë seksion mbi sektorin e transportit dhe kjo tregon nevojën për një kontroll të qëndrueshëm, kundrejt dokumenteve </w:t>
      </w:r>
      <w:r w:rsidRPr="007114AF">
        <w:t>strategjik</w:t>
      </w:r>
      <w:r w:rsidRPr="007114AF">
        <w:rPr>
          <w:rFonts w:cstheme="minorHAnsi"/>
        </w:rPr>
        <w:t>e</w:t>
      </w:r>
      <w:r w:rsidRPr="007114AF">
        <w:t xml:space="preserve"> dhe </w:t>
      </w:r>
      <w:r w:rsidRPr="007114AF">
        <w:rPr>
          <w:rFonts w:cstheme="minorHAnsi"/>
        </w:rPr>
        <w:t>planifikuese nga Ministria p</w:t>
      </w:r>
      <w:r w:rsidR="00A019D2">
        <w:rPr>
          <w:rFonts w:cstheme="minorHAnsi"/>
        </w:rPr>
        <w:t>ë</w:t>
      </w:r>
      <w:r w:rsidRPr="007114AF">
        <w:rPr>
          <w:rFonts w:cstheme="minorHAnsi"/>
        </w:rPr>
        <w:t>rgjegj</w:t>
      </w:r>
      <w:r w:rsidR="00A019D2">
        <w:rPr>
          <w:rFonts w:cstheme="minorHAnsi"/>
        </w:rPr>
        <w:t>ë</w:t>
      </w:r>
      <w:r w:rsidRPr="007114AF">
        <w:rPr>
          <w:rFonts w:cstheme="minorHAnsi"/>
        </w:rPr>
        <w:t>s p</w:t>
      </w:r>
      <w:r w:rsidR="00A019D2">
        <w:rPr>
          <w:rFonts w:cstheme="minorHAnsi"/>
        </w:rPr>
        <w:t>ë</w:t>
      </w:r>
      <w:r w:rsidRPr="007114AF">
        <w:rPr>
          <w:rFonts w:cstheme="minorHAnsi"/>
        </w:rPr>
        <w:t>r Transportin</w:t>
      </w:r>
      <w:r w:rsidRPr="007114AF">
        <w:t xml:space="preserve">. </w:t>
      </w:r>
    </w:p>
    <w:p w14:paraId="6EDCFE2E" w14:textId="77777777" w:rsidR="00A9766F" w:rsidRPr="007114AF" w:rsidRDefault="00A9766F" w:rsidP="00206985">
      <w:pPr>
        <w:pStyle w:val="TEKSTI"/>
        <w:rPr>
          <w:rFonts w:cstheme="minorHAnsi"/>
        </w:rPr>
      </w:pPr>
      <w:r w:rsidRPr="007114AF">
        <w:t>Masat q</w:t>
      </w:r>
      <w:r w:rsidRPr="007114AF">
        <w:rPr>
          <w:rFonts w:cstheme="minorHAnsi"/>
        </w:rPr>
        <w:t>ë synojnë zbutjen e ndryshimeve klimatike dhe që merren në konsiderata si në</w:t>
      </w:r>
      <w:r w:rsidRPr="007114AF">
        <w:t>SKZHI-II dhe n</w:t>
      </w:r>
      <w:r w:rsidRPr="007114AF">
        <w:rPr>
          <w:rFonts w:cstheme="minorHAnsi"/>
        </w:rPr>
        <w:t xml:space="preserve">ë </w:t>
      </w:r>
      <w:r w:rsidRPr="007114AF">
        <w:t>PKT-ë, shpesh mbivendosen me masat kryesore t</w:t>
      </w:r>
      <w:r w:rsidRPr="007114AF">
        <w:rPr>
          <w:rFonts w:cstheme="minorHAnsi"/>
        </w:rPr>
        <w:t>ë përfshira në strategjitë sektoriale dhe dokumentet për sektorët strategjikë</w:t>
      </w:r>
      <w:r w:rsidRPr="007114AF">
        <w:t xml:space="preserve"> (BER dhe PKVEE) dhe me masat q</w:t>
      </w:r>
      <w:r w:rsidRPr="007114AF">
        <w:rPr>
          <w:rFonts w:cstheme="minorHAnsi"/>
        </w:rPr>
        <w:t>ë synojnë rritjen e përdorimit të energjisë efikase dhe uljen e humbjeve të energjisë elektrike</w:t>
      </w:r>
      <w:r w:rsidRPr="007114AF">
        <w:t>.</w:t>
      </w:r>
    </w:p>
    <w:p w14:paraId="6EDCFE2F" w14:textId="0A701A32" w:rsidR="00A9766F" w:rsidRPr="007114AF" w:rsidRDefault="00A9766F" w:rsidP="00206985">
      <w:pPr>
        <w:pStyle w:val="TEKSTI"/>
      </w:pPr>
      <w:r w:rsidRPr="007114AF">
        <w:t>S</w:t>
      </w:r>
      <w:r w:rsidRPr="007114AF">
        <w:rPr>
          <w:rFonts w:cstheme="minorHAnsi"/>
        </w:rPr>
        <w:t>ë fundi, edhe propozimi shumë i përqendruar i</w:t>
      </w:r>
      <w:r w:rsidRPr="007114AF">
        <w:t>NAMA-s, mbi z</w:t>
      </w:r>
      <w:r w:rsidRPr="007114AF">
        <w:rPr>
          <w:rFonts w:cstheme="minorHAnsi"/>
        </w:rPr>
        <w:t>ëvendësimin e lëndëve djegëse fosile</w:t>
      </w:r>
      <w:r w:rsidRPr="007114AF">
        <w:t xml:space="preserve"> me mbetje jo t</w:t>
      </w:r>
      <w:r w:rsidRPr="007114AF">
        <w:rPr>
          <w:rFonts w:cstheme="minorHAnsi"/>
        </w:rPr>
        <w:t xml:space="preserve">ë rrezikshme në industrinë shqiptare të çimentos, bazohet në një sinergji të </w:t>
      </w:r>
      <w:r w:rsidRPr="007114AF">
        <w:rPr>
          <w:rFonts w:cstheme="minorHAnsi"/>
        </w:rPr>
        <w:lastRenderedPageBreak/>
        <w:t>pashfrytëzuar ndërmjet këtyre dy sektorëve, dhe një sinergji e tillë mund të shtrihet</w:t>
      </w:r>
      <w:r w:rsidR="00A019D2">
        <w:rPr>
          <w:rFonts w:cstheme="minorHAnsi"/>
        </w:rPr>
        <w:t xml:space="preserve"> </w:t>
      </w:r>
      <w:r w:rsidRPr="007114AF">
        <w:rPr>
          <w:rFonts w:cstheme="minorHAnsi"/>
        </w:rPr>
        <w:t>nëpërmjet logjistikës së mbledhjes së mbetjeve në sektorin e transportit</w:t>
      </w:r>
      <w:r w:rsidRPr="007114AF">
        <w:t>.</w:t>
      </w:r>
    </w:p>
    <w:p w14:paraId="6EDCFE30" w14:textId="015623AB" w:rsidR="00A9766F" w:rsidRPr="007114AF" w:rsidRDefault="00A9766F" w:rsidP="00206985">
      <w:pPr>
        <w:pStyle w:val="TEKSTI"/>
      </w:pPr>
      <w:r w:rsidRPr="007114AF">
        <w:t>Miratimi i ligjit mbi Eficiencën e Energjis</w:t>
      </w:r>
      <w:r w:rsidRPr="007114AF">
        <w:rPr>
          <w:rFonts w:cstheme="minorHAnsi"/>
        </w:rPr>
        <w:t xml:space="preserve">ë dhe </w:t>
      </w:r>
      <w:r w:rsidRPr="007114AF">
        <w:t>ligji mbi Performanc</w:t>
      </w:r>
      <w:r w:rsidRPr="007114AF">
        <w:rPr>
          <w:rFonts w:cstheme="minorHAnsi"/>
        </w:rPr>
        <w:t>ën e Energjisë në Banesa, që është në pritje për t</w:t>
      </w:r>
      <w:r w:rsidR="00D10DAB" w:rsidRPr="007114AF">
        <w:rPr>
          <w:rFonts w:cstheme="minorHAnsi"/>
        </w:rPr>
        <w:t>’</w:t>
      </w:r>
      <w:r w:rsidRPr="007114AF">
        <w:rPr>
          <w:rFonts w:cstheme="minorHAnsi"/>
        </w:rPr>
        <w:t>u miratuar</w:t>
      </w:r>
      <w:r w:rsidRPr="007114AF">
        <w:t>, sigurojn</w:t>
      </w:r>
      <w:r w:rsidRPr="007114AF">
        <w:rPr>
          <w:rFonts w:cstheme="minorHAnsi"/>
        </w:rPr>
        <w:t xml:space="preserve">ë bazën mbi të cilën mund të ngrihet strategjia e re e </w:t>
      </w:r>
      <w:r w:rsidRPr="007114AF">
        <w:t>EE-s</w:t>
      </w:r>
      <w:r w:rsidRPr="007114AF">
        <w:rPr>
          <w:rFonts w:cstheme="minorHAnsi"/>
        </w:rPr>
        <w:t>ë</w:t>
      </w:r>
      <w:r w:rsidRPr="007114AF">
        <w:t xml:space="preserve"> n</w:t>
      </w:r>
      <w:r w:rsidRPr="007114AF">
        <w:rPr>
          <w:rFonts w:cstheme="minorHAnsi"/>
        </w:rPr>
        <w:t>ë Shqipëri</w:t>
      </w:r>
      <w:r w:rsidRPr="007114AF">
        <w:t>. Kjo p</w:t>
      </w:r>
      <w:r w:rsidRPr="007114AF">
        <w:rPr>
          <w:rFonts w:cstheme="minorHAnsi"/>
        </w:rPr>
        <w:t xml:space="preserve">ërfshin krijimin e Agjencisë për Eficiencën e Energjisë </w:t>
      </w:r>
      <w:r w:rsidRPr="007114AF">
        <w:t>(AEE) dhe Fondin p</w:t>
      </w:r>
      <w:r w:rsidRPr="007114AF">
        <w:rPr>
          <w:rFonts w:cstheme="minorHAnsi"/>
        </w:rPr>
        <w:t xml:space="preserve">ër </w:t>
      </w:r>
      <w:r w:rsidRPr="007114AF">
        <w:t>Eficiencën</w:t>
      </w:r>
      <w:r w:rsidR="00A019D2">
        <w:t xml:space="preserve"> </w:t>
      </w:r>
      <w:r w:rsidRPr="007114AF">
        <w:rPr>
          <w:rFonts w:cstheme="minorHAnsi"/>
        </w:rPr>
        <w:t>e Energjisë</w:t>
      </w:r>
      <w:r w:rsidRPr="007114AF">
        <w:t>, zhvillimin e akteve nënligjore t</w:t>
      </w:r>
      <w:r w:rsidRPr="007114AF">
        <w:rPr>
          <w:rFonts w:cstheme="minorHAnsi"/>
        </w:rPr>
        <w:t>ë nevojshme dhe mjetet rregullatore, dhe çka është më e rëndësishmja, zbatimin</w:t>
      </w:r>
      <w:r w:rsidR="00A019D2">
        <w:rPr>
          <w:rFonts w:cstheme="minorHAnsi"/>
        </w:rPr>
        <w:t xml:space="preserve"> </w:t>
      </w:r>
      <w:r w:rsidRPr="007114AF">
        <w:rPr>
          <w:rFonts w:cstheme="minorHAnsi"/>
        </w:rPr>
        <w:t>e një sërë masash të parashikuara në rishikimin e parë të</w:t>
      </w:r>
      <w:r w:rsidR="00A019D2">
        <w:rPr>
          <w:rFonts w:cstheme="minorHAnsi"/>
        </w:rPr>
        <w:t xml:space="preserve"> </w:t>
      </w:r>
      <w:r w:rsidRPr="007114AF">
        <w:t>PKVEE-së.</w:t>
      </w:r>
    </w:p>
    <w:p w14:paraId="6EDCFE31" w14:textId="1B60178B" w:rsidR="00A9766F" w:rsidRPr="007114AF" w:rsidRDefault="00A9766F" w:rsidP="00206985">
      <w:pPr>
        <w:pStyle w:val="TEKSTI"/>
      </w:pPr>
      <w:r w:rsidRPr="007114AF">
        <w:rPr>
          <w:i/>
          <w:u w:val="single"/>
        </w:rPr>
        <w:t>Boshllëqet/mungesat</w:t>
      </w:r>
      <w:r w:rsidR="00C15277">
        <w:rPr>
          <w:i/>
          <w:u w:val="single"/>
        </w:rPr>
        <w:t xml:space="preserve"> </w:t>
      </w:r>
      <w:r w:rsidRPr="007114AF">
        <w:rPr>
          <w:i/>
          <w:u w:val="single"/>
        </w:rPr>
        <w:t>dhe konfliktet:</w:t>
      </w:r>
      <w:r w:rsidRPr="007114AF">
        <w:t xml:space="preserve"> Sa </w:t>
      </w:r>
      <w:r w:rsidR="00EE091B" w:rsidRPr="007114AF">
        <w:t>u</w:t>
      </w:r>
      <w:r w:rsidRPr="007114AF">
        <w:t xml:space="preserve"> p</w:t>
      </w:r>
      <w:r w:rsidRPr="007114AF">
        <w:rPr>
          <w:rFonts w:cstheme="minorHAnsi"/>
        </w:rPr>
        <w:t>ërket boshllëqeve/mungesave</w:t>
      </w:r>
      <w:r w:rsidR="00C15277">
        <w:rPr>
          <w:rFonts w:cstheme="minorHAnsi"/>
        </w:rPr>
        <w:t xml:space="preserve"> </w:t>
      </w:r>
      <w:r w:rsidRPr="007114AF">
        <w:rPr>
          <w:rFonts w:cstheme="minorHAnsi"/>
        </w:rPr>
        <w:t>dhe konflikteve</w:t>
      </w:r>
      <w:r w:rsidRPr="007114AF">
        <w:t>, ka disa arsye për t</w:t>
      </w:r>
      <w:r w:rsidR="00D10DAB" w:rsidRPr="007114AF">
        <w:t>’</w:t>
      </w:r>
      <w:r w:rsidRPr="007114AF">
        <w:t>u shqet</w:t>
      </w:r>
      <w:r w:rsidRPr="007114AF">
        <w:rPr>
          <w:rFonts w:cstheme="minorHAnsi"/>
        </w:rPr>
        <w:t>ësuar</w:t>
      </w:r>
      <w:r w:rsidRPr="007114AF">
        <w:t>. N</w:t>
      </w:r>
      <w:r w:rsidRPr="007114AF">
        <w:rPr>
          <w:rFonts w:cstheme="minorHAnsi"/>
        </w:rPr>
        <w:t>ë përgjithësi</w:t>
      </w:r>
      <w:r w:rsidRPr="007114AF">
        <w:t>, disa masa t</w:t>
      </w:r>
      <w:r w:rsidRPr="007114AF">
        <w:rPr>
          <w:rFonts w:cstheme="minorHAnsi"/>
        </w:rPr>
        <w:t>ë parashikuara nga</w:t>
      </w:r>
      <w:r w:rsidRPr="007114AF">
        <w:t xml:space="preserve"> ISKZHI-II mund t</w:t>
      </w:r>
      <w:r w:rsidRPr="007114AF">
        <w:rPr>
          <w:rFonts w:cstheme="minorHAnsi"/>
        </w:rPr>
        <w:t>ë sjellin rrezikun potencial të ndikimit negativ</w:t>
      </w:r>
      <w:r w:rsidR="00C15277">
        <w:rPr>
          <w:rFonts w:cstheme="minorHAnsi"/>
        </w:rPr>
        <w:t xml:space="preserve"> </w:t>
      </w:r>
      <w:r w:rsidRPr="007114AF">
        <w:rPr>
          <w:rFonts w:cstheme="minorHAnsi"/>
        </w:rPr>
        <w:t>mbi zbutjen e ndryshimeve klimatike</w:t>
      </w:r>
      <w:r w:rsidRPr="007114AF">
        <w:t>. N</w:t>
      </w:r>
      <w:r w:rsidRPr="007114AF">
        <w:rPr>
          <w:rFonts w:cstheme="minorHAnsi"/>
        </w:rPr>
        <w:t>ë fakt, strategjia ndjek objektivat e përmbushjes së kërkesave në rritje për energji, për të siguruar zhvillim ekonomik dhe social, për të rritur prodhimin industrial dhe shfrytëzimin e mineraleve të tjera</w:t>
      </w:r>
      <w:r w:rsidRPr="007114AF">
        <w:t>, t</w:t>
      </w:r>
      <w:r w:rsidRPr="007114AF">
        <w:rPr>
          <w:rFonts w:cstheme="minorHAnsi"/>
        </w:rPr>
        <w:t>ë tilla si magnezi</w:t>
      </w:r>
      <w:r w:rsidRPr="007114AF">
        <w:t>, i kombinuar me nj</w:t>
      </w:r>
      <w:r w:rsidRPr="007114AF">
        <w:rPr>
          <w:rFonts w:cstheme="minorHAnsi"/>
        </w:rPr>
        <w:t>ë nivel në rritje të përpunimit</w:t>
      </w:r>
      <w:r w:rsidRPr="007114AF">
        <w:t>. Megjithat</w:t>
      </w:r>
      <w:r w:rsidRPr="007114AF">
        <w:rPr>
          <w:rFonts w:cstheme="minorHAnsi"/>
        </w:rPr>
        <w:t xml:space="preserve">ë, ky rrezik mund të shmangej falë </w:t>
      </w:r>
      <w:r w:rsidRPr="007114AF">
        <w:rPr>
          <w:b/>
        </w:rPr>
        <w:t>Prioriteteve 6,</w:t>
      </w:r>
      <w:r w:rsidRPr="007114AF">
        <w:t>q</w:t>
      </w:r>
      <w:r w:rsidRPr="007114AF">
        <w:rPr>
          <w:rFonts w:cstheme="minorHAnsi"/>
        </w:rPr>
        <w:t>ë duhet të garantojnë një zhvillim ekonomik në përputhje me përdorimin e qëndrueshëm të burimeve</w:t>
      </w:r>
      <w:r w:rsidRPr="007114AF">
        <w:t>.</w:t>
      </w:r>
    </w:p>
    <w:p w14:paraId="6EDCFE32" w14:textId="77777777" w:rsidR="00A9766F" w:rsidRPr="007114AF" w:rsidRDefault="00A9766F" w:rsidP="00206985">
      <w:pPr>
        <w:pStyle w:val="TEKSTI"/>
      </w:pPr>
      <w:r w:rsidRPr="007114AF">
        <w:t>Nj</w:t>
      </w:r>
      <w:r w:rsidRPr="007114AF">
        <w:rPr>
          <w:rFonts w:cstheme="minorHAnsi"/>
        </w:rPr>
        <w:t xml:space="preserve">ë arsye e zakonshme për shqetësim, për disa nga masat e renditura në </w:t>
      </w:r>
      <w:r w:rsidRPr="007114AF">
        <w:t>PKVEE-n dhe n</w:t>
      </w:r>
      <w:r w:rsidRPr="007114AF">
        <w:rPr>
          <w:rFonts w:cstheme="minorHAnsi"/>
        </w:rPr>
        <w:t xml:space="preserve">ë një nivel më të vogël për </w:t>
      </w:r>
      <w:r w:rsidRPr="007114AF">
        <w:t xml:space="preserve">NAMA-t, </w:t>
      </w:r>
      <w:r w:rsidRPr="007114AF">
        <w:rPr>
          <w:rFonts w:cstheme="minorHAnsi"/>
        </w:rPr>
        <w:t>është përshtatshmëria e buxhetit të propozuar për një zbatim afatgjatë dhe në shkallë mbarëkombëtare</w:t>
      </w:r>
      <w:r w:rsidRPr="007114AF">
        <w:t xml:space="preserve">. Shkalla e buxheteve </w:t>
      </w:r>
      <w:r w:rsidRPr="007114AF">
        <w:rPr>
          <w:rFonts w:cstheme="minorHAnsi"/>
        </w:rPr>
        <w:t>të propozuara duket, në shikim të parë, e përshtatshme për veprimet e kufizuara pilote dhe përhapja e këtyre veprimeve në shkallë mbarëkombëtare për periudhën afatgjatë, kërkon studime të thella të fizibilitetit financiar</w:t>
      </w:r>
      <w:r w:rsidRPr="007114AF">
        <w:t>.</w:t>
      </w:r>
    </w:p>
    <w:p w14:paraId="6EDCFE33" w14:textId="342B24E8" w:rsidR="00A9766F" w:rsidRPr="007114AF" w:rsidRDefault="00A9766F" w:rsidP="00206985">
      <w:pPr>
        <w:pStyle w:val="TEKSTI"/>
        <w:rPr>
          <w:rFonts w:cstheme="minorHAnsi"/>
        </w:rPr>
      </w:pPr>
      <w:r w:rsidRPr="007114AF">
        <w:t>Nj</w:t>
      </w:r>
      <w:r w:rsidRPr="007114AF">
        <w:rPr>
          <w:rFonts w:cstheme="minorHAnsi"/>
        </w:rPr>
        <w:t>ë tjetër hendek i rëndësishëm</w:t>
      </w:r>
      <w:r w:rsidRPr="007114AF">
        <w:t xml:space="preserve">, i përbashkët për INDC-ën dhe PKVEE-n, </w:t>
      </w:r>
      <w:r w:rsidRPr="007114AF">
        <w:rPr>
          <w:rFonts w:cstheme="minorHAnsi"/>
        </w:rPr>
        <w:t>është mbulimi jo i plotë sektorial, çka mund të çojë në rrjedhje të karbonit</w:t>
      </w:r>
      <w:r w:rsidRPr="007114AF">
        <w:t>. Sektori i pap</w:t>
      </w:r>
      <w:r w:rsidRPr="007114AF">
        <w:rPr>
          <w:rFonts w:cstheme="minorHAnsi"/>
        </w:rPr>
        <w:t xml:space="preserve">ërfaqësuar mirë në të dy rastet është ai bujqësor dhe pyjor, pavarësisht rolit të tij </w:t>
      </w:r>
      <w:r w:rsidRPr="007114AF">
        <w:t>të r</w:t>
      </w:r>
      <w:r w:rsidRPr="007114AF">
        <w:rPr>
          <w:rFonts w:cstheme="minorHAnsi"/>
        </w:rPr>
        <w:t>ëndësishëm si sektor prodhues dhe përdorues i energjisë</w:t>
      </w:r>
      <w:r w:rsidRPr="007114AF">
        <w:t xml:space="preserve"> (dhe p</w:t>
      </w:r>
      <w:r w:rsidRPr="007114AF">
        <w:rPr>
          <w:rFonts w:cstheme="minorHAnsi"/>
        </w:rPr>
        <w:t>ër këtë arsye si një objektiv i masave të eficiencës së energjisë</w:t>
      </w:r>
      <w:r w:rsidRPr="007114AF">
        <w:t>) dhe si shkarkues GES.</w:t>
      </w:r>
      <w:r w:rsidR="000A2A01" w:rsidRPr="007114AF">
        <w:t xml:space="preserve"> </w:t>
      </w:r>
    </w:p>
    <w:p w14:paraId="6EDCFE34" w14:textId="5073E30C" w:rsidR="00A9766F" w:rsidRPr="007114AF" w:rsidRDefault="00A9766F" w:rsidP="00206985">
      <w:pPr>
        <w:pStyle w:val="TEKSTI"/>
      </w:pPr>
      <w:r w:rsidRPr="007114AF">
        <w:t>Nj</w:t>
      </w:r>
      <w:r w:rsidRPr="007114AF">
        <w:rPr>
          <w:rFonts w:cstheme="minorHAnsi"/>
        </w:rPr>
        <w:t>ë fushë e tretë e përmirësimit është: koha dhe bashkërendimi mes nismave të ndryshme strategjike</w:t>
      </w:r>
      <w:r w:rsidRPr="007114AF">
        <w:t>. P</w:t>
      </w:r>
      <w:r w:rsidRPr="007114AF">
        <w:rPr>
          <w:rFonts w:cstheme="minorHAnsi"/>
        </w:rPr>
        <w:t xml:space="preserve">ër shembull, </w:t>
      </w:r>
      <w:r w:rsidRPr="007114AF">
        <w:t>PKVEE-ja aktuale</w:t>
      </w:r>
      <w:r w:rsidR="00C15277">
        <w:t xml:space="preserve"> </w:t>
      </w:r>
      <w:r w:rsidRPr="007114AF">
        <w:rPr>
          <w:rFonts w:cstheme="minorHAnsi"/>
        </w:rPr>
        <w:t xml:space="preserve">është tepër afatshkurtër dhe nuk jep tregues të qartë rreth vizionit për periudhën </w:t>
      </w:r>
      <w:r w:rsidRPr="007114AF">
        <w:t>pas vitit 2018. Nj</w:t>
      </w:r>
      <w:r w:rsidRPr="007114AF">
        <w:rPr>
          <w:rFonts w:cstheme="minorHAnsi"/>
        </w:rPr>
        <w:t xml:space="preserve">ë drejtim i qartë për bashkërendim do të ishte riorganizimi i botimeve të ardhshme të këtij plani me strategjitë e uljes së nivelit të karbonit, si ato të përfshira në </w:t>
      </w:r>
      <w:r w:rsidRPr="007114AF">
        <w:t>INDC-ën dhe n</w:t>
      </w:r>
      <w:r w:rsidRPr="007114AF">
        <w:rPr>
          <w:rFonts w:cstheme="minorHAnsi"/>
        </w:rPr>
        <w:t>ë planin e Karbonit të Ulët</w:t>
      </w:r>
      <w:r w:rsidRPr="007114AF">
        <w:t xml:space="preserve"> – si dhe, me sa duket, planin BER dhe Strategjin</w:t>
      </w:r>
      <w:r w:rsidRPr="007114AF">
        <w:rPr>
          <w:rFonts w:cstheme="minorHAnsi"/>
        </w:rPr>
        <w:t>ë e Energjisë</w:t>
      </w:r>
      <w:r w:rsidRPr="007114AF">
        <w:t xml:space="preserve">. </w:t>
      </w:r>
    </w:p>
    <w:p w14:paraId="6EDCFE35" w14:textId="2983A25B" w:rsidR="00A9766F" w:rsidRPr="007114AF" w:rsidRDefault="00A9766F" w:rsidP="00206985">
      <w:pPr>
        <w:pStyle w:val="TEKSTI"/>
      </w:pPr>
      <w:r w:rsidRPr="007114AF">
        <w:t>Nj</w:t>
      </w:r>
      <w:r w:rsidRPr="007114AF">
        <w:rPr>
          <w:rFonts w:cstheme="minorHAnsi"/>
        </w:rPr>
        <w:t xml:space="preserve">ë arsye e katërt shqetësuese është mbështetja në stimujt financiarë dhe në skemat mbështetëse, që mbështeten te </w:t>
      </w:r>
      <w:r w:rsidRPr="007114AF">
        <w:t>NAMA, p</w:t>
      </w:r>
      <w:r w:rsidRPr="007114AF">
        <w:rPr>
          <w:rFonts w:cstheme="minorHAnsi"/>
        </w:rPr>
        <w:t xml:space="preserve">ër mekanizma financimi dhe për disa masa të renditura në </w:t>
      </w:r>
      <w:r w:rsidRPr="007114AF">
        <w:t>PKVEE-n p</w:t>
      </w:r>
      <w:r w:rsidRPr="007114AF">
        <w:rPr>
          <w:rFonts w:cstheme="minorHAnsi"/>
        </w:rPr>
        <w:t>ër sektorin e banesave</w:t>
      </w:r>
      <w:r w:rsidRPr="007114AF">
        <w:t xml:space="preserve">. </w:t>
      </w:r>
      <w:r w:rsidRPr="007114AF">
        <w:rPr>
          <w:rFonts w:cstheme="minorHAnsi"/>
        </w:rPr>
        <w:t xml:space="preserve">Është e njohur në </w:t>
      </w:r>
      <w:r w:rsidRPr="007114AF">
        <w:t>literatur</w:t>
      </w:r>
      <w:r w:rsidRPr="007114AF">
        <w:rPr>
          <w:rFonts w:cstheme="minorHAnsi"/>
        </w:rPr>
        <w:t>ë</w:t>
      </w:r>
      <w:r w:rsidRPr="007114AF">
        <w:t xml:space="preserve"> se stimujt financiar</w:t>
      </w:r>
      <w:r w:rsidRPr="007114AF">
        <w:rPr>
          <w:rFonts w:cstheme="minorHAnsi"/>
        </w:rPr>
        <w:t>ë për eficiencën e energjisë janë të prirë ndaj rrezikut</w:t>
      </w:r>
      <w:r w:rsidR="00C15277">
        <w:rPr>
          <w:rFonts w:cstheme="minorHAnsi"/>
        </w:rPr>
        <w:t xml:space="preserve"> </w:t>
      </w:r>
      <w:r w:rsidRPr="007114AF">
        <w:rPr>
          <w:rFonts w:cstheme="minorHAnsi"/>
        </w:rPr>
        <w:t>të</w:t>
      </w:r>
      <w:r w:rsidR="00C15277">
        <w:rPr>
          <w:rFonts w:cstheme="minorHAnsi"/>
        </w:rPr>
        <w:t xml:space="preserve"> </w:t>
      </w:r>
      <w:r w:rsidRPr="007114AF">
        <w:rPr>
          <w:rFonts w:cstheme="minorHAnsi"/>
        </w:rPr>
        <w:t>drejtimit falas</w:t>
      </w:r>
      <w:r w:rsidRPr="007114AF">
        <w:t>, q</w:t>
      </w:r>
      <w:r w:rsidRPr="007114AF">
        <w:rPr>
          <w:rFonts w:cstheme="minorHAnsi"/>
        </w:rPr>
        <w:t>ë do të thotë</w:t>
      </w:r>
      <w:r w:rsidRPr="007114AF">
        <w:t>, se ka gjasa t</w:t>
      </w:r>
      <w:r w:rsidRPr="007114AF">
        <w:rPr>
          <w:rFonts w:cstheme="minorHAnsi"/>
        </w:rPr>
        <w:t>ë mëdha që përfituesit e subvencioneve t</w:t>
      </w:r>
      <w:r w:rsidR="00D10DAB" w:rsidRPr="007114AF">
        <w:rPr>
          <w:rFonts w:cstheme="minorHAnsi"/>
        </w:rPr>
        <w:t>’</w:t>
      </w:r>
      <w:r w:rsidRPr="007114AF">
        <w:rPr>
          <w:rFonts w:cstheme="minorHAnsi"/>
        </w:rPr>
        <w:t>i përvetësojnë fondet e rinovimit, që ata do të kishin kryer</w:t>
      </w:r>
      <w:r w:rsidR="00C15277">
        <w:rPr>
          <w:rFonts w:cstheme="minorHAnsi"/>
        </w:rPr>
        <w:t xml:space="preserve"> </w:t>
      </w:r>
      <w:r w:rsidRPr="007114AF">
        <w:rPr>
          <w:rFonts w:cstheme="minorHAnsi"/>
        </w:rPr>
        <w:t>gjithsesi. Kështu, efektiviteti i kostos së programit mund të jetë tejet i ulët</w:t>
      </w:r>
      <w:r w:rsidRPr="007114AF">
        <w:t>. Fatmir</w:t>
      </w:r>
      <w:r w:rsidRPr="007114AF">
        <w:rPr>
          <w:rFonts w:cstheme="minorHAnsi"/>
        </w:rPr>
        <w:t>ësisht, këto politika</w:t>
      </w:r>
      <w:r w:rsidRPr="007114AF">
        <w:t xml:space="preserve"> n</w:t>
      </w:r>
      <w:r w:rsidRPr="007114AF">
        <w:rPr>
          <w:rFonts w:cstheme="minorHAnsi"/>
        </w:rPr>
        <w:t xml:space="preserve">ë </w:t>
      </w:r>
      <w:r w:rsidRPr="007114AF">
        <w:t>NAMA-n e p</w:t>
      </w:r>
      <w:r w:rsidRPr="007114AF">
        <w:rPr>
          <w:rFonts w:cstheme="minorHAnsi"/>
        </w:rPr>
        <w:t xml:space="preserve">ërmendur dhe në </w:t>
      </w:r>
      <w:r w:rsidRPr="007114AF">
        <w:t>PKVEE-n nuk q</w:t>
      </w:r>
      <w:r w:rsidRPr="007114AF">
        <w:rPr>
          <w:rFonts w:cstheme="minorHAnsi"/>
        </w:rPr>
        <w:t xml:space="preserve">ëndrojnë vetëm, por përfshihen në paketa që përfshijnë masa </w:t>
      </w:r>
      <w:r w:rsidRPr="007114AF">
        <w:t>(t</w:t>
      </w:r>
      <w:r w:rsidRPr="007114AF">
        <w:rPr>
          <w:rFonts w:cstheme="minorHAnsi"/>
        </w:rPr>
        <w:t xml:space="preserve">ë tilla si: standardet e detyrueshme, masat </w:t>
      </w:r>
      <w:r w:rsidRPr="007114AF">
        <w:t>monitoruese dhe rritjen e nd</w:t>
      </w:r>
      <w:r w:rsidRPr="007114AF">
        <w:rPr>
          <w:rFonts w:cstheme="minorHAnsi"/>
        </w:rPr>
        <w:t>ërgjegjësimit</w:t>
      </w:r>
      <w:r w:rsidRPr="007114AF">
        <w:t>),q</w:t>
      </w:r>
      <w:r w:rsidRPr="007114AF">
        <w:rPr>
          <w:rFonts w:cstheme="minorHAnsi"/>
        </w:rPr>
        <w:t>ë janë në gjendje ta</w:t>
      </w:r>
      <w:r w:rsidR="00C15277">
        <w:rPr>
          <w:rFonts w:cstheme="minorHAnsi"/>
        </w:rPr>
        <w:t xml:space="preserve"> </w:t>
      </w:r>
      <w:r w:rsidRPr="007114AF">
        <w:rPr>
          <w:rFonts w:cstheme="minorHAnsi"/>
        </w:rPr>
        <w:t>zbusin këtë pengesë të mundshme</w:t>
      </w:r>
      <w:r w:rsidRPr="007114AF">
        <w:t xml:space="preserve">. </w:t>
      </w:r>
    </w:p>
    <w:p w14:paraId="6EDCFE36" w14:textId="39F8346E" w:rsidR="00A9766F" w:rsidRPr="007114AF" w:rsidRDefault="00A9766F" w:rsidP="00206985">
      <w:pPr>
        <w:pStyle w:val="TEKSTI"/>
      </w:pPr>
      <w:r w:rsidRPr="007114AF">
        <w:t>Nj</w:t>
      </w:r>
      <w:r w:rsidRPr="007114AF">
        <w:rPr>
          <w:rFonts w:cstheme="minorHAnsi"/>
        </w:rPr>
        <w:t>ë arsye e pestë për t</w:t>
      </w:r>
      <w:r w:rsidR="00D10DAB" w:rsidRPr="007114AF">
        <w:rPr>
          <w:rFonts w:cstheme="minorHAnsi"/>
        </w:rPr>
        <w:t>’</w:t>
      </w:r>
      <w:r w:rsidRPr="007114AF">
        <w:rPr>
          <w:rFonts w:cstheme="minorHAnsi"/>
        </w:rPr>
        <w:t xml:space="preserve">u shqetësuar është nevoja e forcimit të anës së zbatimit. Ligji i </w:t>
      </w:r>
      <w:r w:rsidRPr="007114AF">
        <w:t>eficiencës</w:t>
      </w:r>
      <w:r w:rsidRPr="007114AF">
        <w:rPr>
          <w:rFonts w:cstheme="minorHAnsi"/>
        </w:rPr>
        <w:t xml:space="preserve"> së energjisë është dokumenti i vetëm i politikave, ku parashikohen sanksionet për mospajtueshmëri</w:t>
      </w:r>
      <w:r w:rsidRPr="007114AF">
        <w:t>. Kjo duhet t</w:t>
      </w:r>
      <w:r w:rsidRPr="007114AF">
        <w:rPr>
          <w:rFonts w:cstheme="minorHAnsi"/>
        </w:rPr>
        <w:t>ë shtrihet në të gjithë spektrin e veprimeve të politikave që lidhen me zbutjen e ndryshimeve klimatike</w:t>
      </w:r>
      <w:r w:rsidRPr="007114AF">
        <w:t>; n</w:t>
      </w:r>
      <w:r w:rsidRPr="007114AF">
        <w:rPr>
          <w:rFonts w:cstheme="minorHAnsi"/>
        </w:rPr>
        <w:t>ë veçanti, ky nen thelbësor mungon në projektligjin mbi</w:t>
      </w:r>
      <w:r w:rsidR="00C15277">
        <w:rPr>
          <w:rFonts w:cstheme="minorHAnsi"/>
        </w:rPr>
        <w:t xml:space="preserve"> </w:t>
      </w:r>
      <w:r w:rsidRPr="007114AF">
        <w:t xml:space="preserve">BER dhe </w:t>
      </w:r>
      <w:r w:rsidRPr="007114AF">
        <w:rPr>
          <w:rFonts w:cstheme="minorHAnsi"/>
        </w:rPr>
        <w:t>parandalimin e humbjeve joteknike</w:t>
      </w:r>
      <w:r w:rsidRPr="007114AF">
        <w:t>. P</w:t>
      </w:r>
      <w:r w:rsidRPr="007114AF">
        <w:rPr>
          <w:rFonts w:cstheme="minorHAnsi"/>
        </w:rPr>
        <w:t>ër shkeljet më të rënda</w:t>
      </w:r>
      <w:r w:rsidRPr="007114AF">
        <w:t xml:space="preserve"> duhen marrë në konsideratë sanksione administrative shtes</w:t>
      </w:r>
      <w:r w:rsidRPr="007114AF">
        <w:rPr>
          <w:rFonts w:cstheme="minorHAnsi"/>
        </w:rPr>
        <w:t>ë për vepra penale</w:t>
      </w:r>
      <w:r w:rsidRPr="007114AF">
        <w:t>.</w:t>
      </w:r>
    </w:p>
    <w:p w14:paraId="6EDCFE37" w14:textId="77777777" w:rsidR="00A9766F" w:rsidRPr="007114AF" w:rsidRDefault="00A9766F" w:rsidP="00206985">
      <w:pPr>
        <w:pStyle w:val="TEKSTI"/>
      </w:pPr>
      <w:r w:rsidRPr="007114AF">
        <w:t>S</w:t>
      </w:r>
      <w:r w:rsidRPr="007114AF">
        <w:rPr>
          <w:rFonts w:cstheme="minorHAnsi"/>
        </w:rPr>
        <w:t>ë fundi</w:t>
      </w:r>
      <w:r w:rsidRPr="007114AF">
        <w:t>, veprimi i politikave t</w:t>
      </w:r>
      <w:r w:rsidRPr="007114AF">
        <w:rPr>
          <w:rFonts w:cstheme="minorHAnsi"/>
        </w:rPr>
        <w:t>ë</w:t>
      </w:r>
      <w:r w:rsidRPr="007114AF">
        <w:t xml:space="preserve"> BE-s</w:t>
      </w:r>
      <w:r w:rsidRPr="007114AF">
        <w:rPr>
          <w:rFonts w:cstheme="minorHAnsi"/>
        </w:rPr>
        <w:t>ë në fushën e energjisë së qëndrueshme thekson fort zhvillimet teknologjike që mundësojnë një përdorim më efikas të energjisë, dhe shpërndarjen e më shumë burimeve konkurruese të energjisë së rinovueshme</w:t>
      </w:r>
      <w:r w:rsidRPr="007114AF">
        <w:t>. Pra, ka nj</w:t>
      </w:r>
      <w:r w:rsidRPr="007114AF">
        <w:rPr>
          <w:rFonts w:cstheme="minorHAnsi"/>
        </w:rPr>
        <w:t xml:space="preserve">ë mundësi të qartë për Shqipërinë që të përfitojë nga kjo tendencë dhe të ndërmarrë një perspektivë që drejtohet nga </w:t>
      </w:r>
      <w:r w:rsidRPr="007114AF">
        <w:rPr>
          <w:rFonts w:cstheme="minorHAnsi"/>
        </w:rPr>
        <w:lastRenderedPageBreak/>
        <w:t>zgjidhjet teknologjike të avancuara</w:t>
      </w:r>
      <w:r w:rsidRPr="007114AF">
        <w:t>, çka sigurisht do t</w:t>
      </w:r>
      <w:r w:rsidRPr="007114AF">
        <w:rPr>
          <w:rFonts w:cstheme="minorHAnsi"/>
        </w:rPr>
        <w:t>ë mirëpritet nga BE-ja në procesin e anëtarësimit</w:t>
      </w:r>
      <w:r w:rsidRPr="007114AF">
        <w:t>.</w:t>
      </w:r>
    </w:p>
    <w:p w14:paraId="6EDCFE38" w14:textId="77777777" w:rsidR="00A9766F" w:rsidRPr="007114AF" w:rsidRDefault="00A9766F" w:rsidP="00206985">
      <w:pPr>
        <w:pStyle w:val="TEKSTI"/>
        <w:rPr>
          <w:b/>
          <w:i/>
        </w:rPr>
      </w:pPr>
      <w:bookmarkStart w:id="135" w:name="_Toc450135247"/>
      <w:r w:rsidRPr="007114AF">
        <w:rPr>
          <w:b/>
          <w:i/>
        </w:rPr>
        <w:t>Transport</w:t>
      </w:r>
      <w:bookmarkEnd w:id="135"/>
      <w:r w:rsidRPr="007114AF">
        <w:rPr>
          <w:b/>
          <w:i/>
        </w:rPr>
        <w:t>i</w:t>
      </w:r>
    </w:p>
    <w:p w14:paraId="6EDCFE39" w14:textId="5F0C4FC1" w:rsidR="00A9766F" w:rsidRPr="007114AF" w:rsidRDefault="00A9766F" w:rsidP="00206985">
      <w:pPr>
        <w:pStyle w:val="TEKSTI"/>
      </w:pPr>
      <w:bookmarkStart w:id="136" w:name="_Toc450135248"/>
      <w:r w:rsidRPr="007114AF">
        <w:rPr>
          <w:i/>
          <w:u w:val="single"/>
        </w:rPr>
        <w:t xml:space="preserve">Sinergjitë dhe </w:t>
      </w:r>
      <w:r w:rsidR="00C15277" w:rsidRPr="007114AF">
        <w:rPr>
          <w:i/>
          <w:u w:val="single"/>
        </w:rPr>
        <w:t>pikëtakimet ndërsektoriale</w:t>
      </w:r>
      <w:r w:rsidRPr="007114AF">
        <w:rPr>
          <w:i/>
          <w:u w:val="single"/>
        </w:rPr>
        <w:t>:</w:t>
      </w:r>
      <w:r w:rsidRPr="007114AF">
        <w:t xml:space="preserve"> Duke q</w:t>
      </w:r>
      <w:r w:rsidRPr="007114AF">
        <w:rPr>
          <w:rFonts w:cstheme="minorHAnsi"/>
        </w:rPr>
        <w:t xml:space="preserve">enë se </w:t>
      </w:r>
      <w:r w:rsidRPr="007114AF">
        <w:t xml:space="preserve">transporti </w:t>
      </w:r>
      <w:r w:rsidRPr="007114AF">
        <w:rPr>
          <w:rFonts w:cstheme="minorHAnsi"/>
        </w:rPr>
        <w:t>është një burim i rëndësishëm i shkarkimeve GES</w:t>
      </w:r>
      <w:r w:rsidRPr="007114AF">
        <w:t>, masat q</w:t>
      </w:r>
      <w:r w:rsidRPr="007114AF">
        <w:rPr>
          <w:rFonts w:cstheme="minorHAnsi"/>
        </w:rPr>
        <w:t>ë lidhen me një lëvizshmëri të qëndrueshme shpesh përfshihen gjithashtu, në strategjitë dhe planet ndërsektoriale</w:t>
      </w:r>
      <w:r w:rsidRPr="007114AF">
        <w:t xml:space="preserve">: INDC, SKZHI-II, PKT, SMNS dhe PKVEE. </w:t>
      </w:r>
    </w:p>
    <w:p w14:paraId="6EDCFE3A" w14:textId="6CD420A2" w:rsidR="00A9766F" w:rsidRPr="007114AF" w:rsidRDefault="00A9766F" w:rsidP="00206985">
      <w:pPr>
        <w:pStyle w:val="TEKSTI"/>
      </w:pPr>
      <w:r w:rsidRPr="007114AF">
        <w:t>Masat nd</w:t>
      </w:r>
      <w:r w:rsidRPr="007114AF">
        <w:rPr>
          <w:rFonts w:cstheme="minorHAnsi"/>
        </w:rPr>
        <w:t xml:space="preserve">ërsektoriale marrin në </w:t>
      </w:r>
      <w:r w:rsidRPr="007114AF">
        <w:t xml:space="preserve">konsideratë </w:t>
      </w:r>
      <w:r w:rsidRPr="007114AF">
        <w:rPr>
          <w:rFonts w:cstheme="minorHAnsi"/>
        </w:rPr>
        <w:t>disa nga praktikat më të mira ndërkombëtare</w:t>
      </w:r>
      <w:r w:rsidRPr="007114AF">
        <w:t>, duke p</w:t>
      </w:r>
      <w:r w:rsidRPr="007114AF">
        <w:rPr>
          <w:rFonts w:cstheme="minorHAnsi"/>
        </w:rPr>
        <w:t xml:space="preserve">ërjashtuar ndryshimin kundrejt lëvizjes me mjete </w:t>
      </w:r>
      <w:r w:rsidRPr="007114AF">
        <w:t>elektrike, që nuk duket prioritet afatshkurt</w:t>
      </w:r>
      <w:r w:rsidRPr="007114AF">
        <w:rPr>
          <w:rFonts w:cstheme="minorHAnsi"/>
        </w:rPr>
        <w:t xml:space="preserve">ër </w:t>
      </w:r>
      <w:r w:rsidRPr="007114AF">
        <w:t xml:space="preserve">i këtij </w:t>
      </w:r>
      <w:r w:rsidRPr="007114AF">
        <w:rPr>
          <w:rFonts w:cstheme="minorHAnsi"/>
        </w:rPr>
        <w:t>sektori</w:t>
      </w:r>
      <w:r w:rsidRPr="007114AF">
        <w:t>. Megjithat</w:t>
      </w:r>
      <w:r w:rsidRPr="007114AF">
        <w:rPr>
          <w:rFonts w:cstheme="minorHAnsi"/>
        </w:rPr>
        <w:t>ë, praktikat më të mira mbeten për t</w:t>
      </w:r>
      <w:r w:rsidR="00D10DAB" w:rsidRPr="007114AF">
        <w:rPr>
          <w:rFonts w:cstheme="minorHAnsi"/>
        </w:rPr>
        <w:t>’</w:t>
      </w:r>
      <w:r w:rsidRPr="007114AF">
        <w:rPr>
          <w:rFonts w:cstheme="minorHAnsi"/>
        </w:rPr>
        <w:t>u integruar plotësisht në planifikimin sektorial</w:t>
      </w:r>
      <w:r w:rsidRPr="007114AF">
        <w:t>.</w:t>
      </w:r>
    </w:p>
    <w:p w14:paraId="6EDCFE3B" w14:textId="1E541A18" w:rsidR="00A9766F" w:rsidRPr="007114AF" w:rsidRDefault="00A9766F" w:rsidP="00206985">
      <w:pPr>
        <w:pStyle w:val="TEKSTI"/>
        <w:rPr>
          <w:rFonts w:cstheme="minorHAnsi"/>
        </w:rPr>
      </w:pPr>
      <w:r w:rsidRPr="007114AF">
        <w:t>Si PKVEE-ja dhe SMNS-ja thekso</w:t>
      </w:r>
      <w:r w:rsidRPr="007114AF">
        <w:rPr>
          <w:rFonts w:cstheme="minorHAnsi"/>
        </w:rPr>
        <w:t xml:space="preserve">jnë rëndësinë e miratimit të standardeve të BE-së në sektorin e </w:t>
      </w:r>
      <w:r w:rsidRPr="007114AF">
        <w:t>transportit dhe cil</w:t>
      </w:r>
      <w:r w:rsidRPr="007114AF">
        <w:rPr>
          <w:rFonts w:cstheme="minorHAnsi"/>
        </w:rPr>
        <w:t>ësisë së ajrit</w:t>
      </w:r>
      <w:r w:rsidRPr="007114AF">
        <w:t>. Rinovimi i flot</w:t>
      </w:r>
      <w:r w:rsidRPr="007114AF">
        <w:rPr>
          <w:rFonts w:cstheme="minorHAnsi"/>
        </w:rPr>
        <w:t>ës së automjeteve</w:t>
      </w:r>
      <w:r w:rsidRPr="007114AF">
        <w:t>, rregullimi, sistemi</w:t>
      </w:r>
      <w:r w:rsidR="00C15277">
        <w:t xml:space="preserve"> </w:t>
      </w:r>
      <w:r w:rsidRPr="007114AF">
        <w:rPr>
          <w:rFonts w:cstheme="minorHAnsi"/>
        </w:rPr>
        <w:t>i monitorimit dhe kontrollit</w:t>
      </w:r>
      <w:r w:rsidR="00C15277">
        <w:rPr>
          <w:rFonts w:cstheme="minorHAnsi"/>
        </w:rPr>
        <w:t xml:space="preserve"> </w:t>
      </w:r>
      <w:r w:rsidRPr="007114AF">
        <w:rPr>
          <w:rFonts w:cstheme="minorHAnsi"/>
        </w:rPr>
        <w:t>të shkarkimeve të makinave janë prioritete të rëndësishme</w:t>
      </w:r>
      <w:r w:rsidRPr="007114AF">
        <w:t>. PKVEE-ja p</w:t>
      </w:r>
      <w:r w:rsidRPr="007114AF">
        <w:rPr>
          <w:rFonts w:cstheme="minorHAnsi"/>
        </w:rPr>
        <w:t>ërshkruan përmirësimin e transportit publik (</w:t>
      </w:r>
      <w:r w:rsidRPr="007114AF">
        <w:t>urban dhe rajonal), si dhe merr në konsideratë disa masa t</w:t>
      </w:r>
      <w:r w:rsidRPr="007114AF">
        <w:rPr>
          <w:rFonts w:cstheme="minorHAnsi"/>
        </w:rPr>
        <w:t>ë vogla, si:</w:t>
      </w:r>
      <w:r w:rsidR="00C15277">
        <w:rPr>
          <w:rFonts w:cstheme="minorHAnsi"/>
        </w:rPr>
        <w:t xml:space="preserve"> </w:t>
      </w:r>
      <w:r w:rsidRPr="007114AF">
        <w:rPr>
          <w:rFonts w:cstheme="minorHAnsi"/>
        </w:rPr>
        <w:t>ngarja e mjeteve</w:t>
      </w:r>
      <w:r w:rsidR="00C15277">
        <w:rPr>
          <w:rFonts w:cstheme="minorHAnsi"/>
        </w:rPr>
        <w:t xml:space="preserve"> </w:t>
      </w:r>
      <w:r w:rsidRPr="007114AF">
        <w:rPr>
          <w:rFonts w:cstheme="minorHAnsi"/>
        </w:rPr>
        <w:t xml:space="preserve">ekologjie, </w:t>
      </w:r>
      <w:r w:rsidRPr="007114AF">
        <w:t xml:space="preserve">nxitja e lëvizjes më këmbë </w:t>
      </w:r>
      <w:r w:rsidRPr="007114AF">
        <w:rPr>
          <w:rFonts w:cstheme="minorHAnsi"/>
        </w:rPr>
        <w:t>dhe përdorimit të biçikletës në bashkitë e zgjedhura</w:t>
      </w:r>
      <w:r w:rsidRPr="007114AF">
        <w:t>. Nj</w:t>
      </w:r>
      <w:r w:rsidRPr="007114AF">
        <w:rPr>
          <w:rFonts w:cstheme="minorHAnsi"/>
        </w:rPr>
        <w:t>ë kërkesë e përgjithshme për integrimin në planet vendore të çështjeve të ndryshimeve klimatike përshkruhet në SMNS-ën</w:t>
      </w:r>
      <w:r w:rsidRPr="007114AF">
        <w:t>.</w:t>
      </w:r>
    </w:p>
    <w:p w14:paraId="6EDCFE3C" w14:textId="1B79BDE6" w:rsidR="00A9766F" w:rsidRPr="007114AF" w:rsidRDefault="00A9766F" w:rsidP="00206985">
      <w:pPr>
        <w:pStyle w:val="TEKSTI"/>
      </w:pPr>
      <w:r w:rsidRPr="007114AF">
        <w:rPr>
          <w:i/>
          <w:u w:val="single"/>
        </w:rPr>
        <w:t>Boshllëqe/mungesa dhe konflikte:</w:t>
      </w:r>
      <w:r w:rsidR="00C15277">
        <w:rPr>
          <w:i/>
          <w:u w:val="single"/>
        </w:rPr>
        <w:t xml:space="preserve"> </w:t>
      </w:r>
      <w:r w:rsidRPr="007114AF">
        <w:t>N</w:t>
      </w:r>
      <w:r w:rsidRPr="007114AF">
        <w:rPr>
          <w:rFonts w:cstheme="minorHAnsi"/>
        </w:rPr>
        <w:t>ë zbatim të objektivave të disa dokumenteve</w:t>
      </w:r>
      <w:r w:rsidRPr="007114AF">
        <w:t xml:space="preserve"> nd</w:t>
      </w:r>
      <w:r w:rsidRPr="007114AF">
        <w:rPr>
          <w:rFonts w:cstheme="minorHAnsi"/>
        </w:rPr>
        <w:t xml:space="preserve">ërsektoriale </w:t>
      </w:r>
      <w:r w:rsidRPr="007114AF">
        <w:t>(SKZHI-II dhe PKT), p</w:t>
      </w:r>
      <w:r w:rsidRPr="007114AF">
        <w:rPr>
          <w:rFonts w:cstheme="minorHAnsi"/>
        </w:rPr>
        <w:t>ër të përballuar shkëmbimin në rritje të mallrave në treg përmes zgjerimit të rrugëve dhe zhvillimit të porteve</w:t>
      </w:r>
      <w:r w:rsidRPr="007114AF">
        <w:t>, mund t</w:t>
      </w:r>
      <w:r w:rsidRPr="007114AF">
        <w:rPr>
          <w:rFonts w:cstheme="minorHAnsi"/>
        </w:rPr>
        <w:t>ë ketë rrezik që disa nga masat të ndikojnë negativisht në zbutjen e efekteve të ndryshimeve klimatike. Megjithatë, ky rrezik duhet të shmanget përmes një vizioni të qartë të politikave gjithëpërfshirëse të rritjes ekonomike, përmes përdorimit të qëndrueshëm të burimeve</w:t>
      </w:r>
      <w:r w:rsidRPr="007114AF">
        <w:t>.</w:t>
      </w:r>
    </w:p>
    <w:p w14:paraId="6EDCFE3D" w14:textId="77777777" w:rsidR="00A9766F" w:rsidRPr="007114AF" w:rsidRDefault="00A9766F" w:rsidP="00206985">
      <w:pPr>
        <w:pStyle w:val="TEKSTI"/>
        <w:rPr>
          <w:rFonts w:eastAsia="MS Mincho"/>
          <w:i/>
          <w:u w:val="single"/>
        </w:rPr>
      </w:pPr>
      <w:r w:rsidRPr="007114AF">
        <w:t>Duke marrë në konsideratë nevoj</w:t>
      </w:r>
      <w:r w:rsidRPr="007114AF">
        <w:rPr>
          <w:rFonts w:cstheme="minorHAnsi"/>
        </w:rPr>
        <w:t xml:space="preserve">ën e përgjithshme të </w:t>
      </w:r>
      <w:r w:rsidRPr="007114AF">
        <w:t>rehabilitimit dhe modernizimit t</w:t>
      </w:r>
      <w:r w:rsidRPr="007114AF">
        <w:rPr>
          <w:rFonts w:cstheme="minorHAnsi"/>
        </w:rPr>
        <w:t xml:space="preserve">ë sektorit të transportit, është e nevojshme të krijohet një lidhje e fortë ndërmjet lëvizshmërisë dhe strukturës </w:t>
      </w:r>
      <w:r w:rsidRPr="007114AF">
        <w:t>urbane</w:t>
      </w:r>
      <w:r w:rsidRPr="007114AF">
        <w:rPr>
          <w:rFonts w:cstheme="minorHAnsi"/>
        </w:rPr>
        <w:t>, me qëllim optimizimin e sektorit të transportit</w:t>
      </w:r>
      <w:r w:rsidRPr="007114AF">
        <w:t xml:space="preserve">. Kjo </w:t>
      </w:r>
      <w:r w:rsidRPr="007114AF">
        <w:rPr>
          <w:rFonts w:cstheme="minorHAnsi"/>
        </w:rPr>
        <w:t>çështje nuk është studiuar gjithmonë dhe transporti u</w:t>
      </w:r>
      <w:r w:rsidRPr="007114AF">
        <w:t xml:space="preserve">rban </w:t>
      </w:r>
      <w:r w:rsidRPr="007114AF">
        <w:rPr>
          <w:rFonts w:cstheme="minorHAnsi"/>
        </w:rPr>
        <w:t>pothuajse, është anashkaluar në strategjitë sektoriale</w:t>
      </w:r>
      <w:r w:rsidRPr="007114AF">
        <w:t xml:space="preserve">. Edhe pse </w:t>
      </w:r>
      <w:r w:rsidRPr="007114AF">
        <w:rPr>
          <w:rFonts w:cstheme="minorHAnsi"/>
        </w:rPr>
        <w:t xml:space="preserve">është cituar në disa raporte ndërsektoriale </w:t>
      </w:r>
      <w:r w:rsidRPr="007114AF">
        <w:t>(INDC, PKVEE) dhe shkurtimisht n</w:t>
      </w:r>
      <w:r w:rsidRPr="007114AF">
        <w:rPr>
          <w:rFonts w:cstheme="minorHAnsi"/>
        </w:rPr>
        <w:t xml:space="preserve">ë </w:t>
      </w:r>
      <w:r w:rsidRPr="007114AF">
        <w:t xml:space="preserve">TECTQ, </w:t>
      </w:r>
      <w:r w:rsidRPr="007114AF">
        <w:rPr>
          <w:rFonts w:cstheme="minorHAnsi"/>
        </w:rPr>
        <w:t>duhet marrë në konsideratë në mënyrë korrekte</w:t>
      </w:r>
      <w:r w:rsidRPr="007114AF">
        <w:t xml:space="preserve"> nj</w:t>
      </w:r>
      <w:r w:rsidRPr="007114AF">
        <w:rPr>
          <w:rFonts w:cstheme="minorHAnsi"/>
        </w:rPr>
        <w:t>ë kuadër ligjor lidhur me planifikimin e qëndrueshëm të transportit urban, duke qenë se popullsia parashikohet të rritet, veçanërisht në qendrat kryesore urbane</w:t>
      </w:r>
      <w:r w:rsidRPr="007114AF">
        <w:t xml:space="preserve">. </w:t>
      </w:r>
    </w:p>
    <w:p w14:paraId="6EDCFE3E" w14:textId="2876D65B" w:rsidR="00A9766F" w:rsidRPr="007114AF" w:rsidRDefault="00A9766F" w:rsidP="00206985">
      <w:pPr>
        <w:pStyle w:val="TEKSTI"/>
      </w:pPr>
      <w:r w:rsidRPr="007114AF">
        <w:t>Mungesa e vëmendjes ndaj planifikimit të territorit shpesh rezulton n</w:t>
      </w:r>
      <w:r w:rsidRPr="007114AF">
        <w:rPr>
          <w:rFonts w:cstheme="minorHAnsi"/>
        </w:rPr>
        <w:t>ë rritje të frekuencës dhe gjatësisë së udhëtimeve</w:t>
      </w:r>
      <w:r w:rsidRPr="007114AF">
        <w:t>, p</w:t>
      </w:r>
      <w:r w:rsidRPr="007114AF">
        <w:rPr>
          <w:rFonts w:cstheme="minorHAnsi"/>
        </w:rPr>
        <w:t>ër shkak të mungesës së strategjive që synojnë bashkërendimin e zhvillimit në fushat e banesave,</w:t>
      </w:r>
      <w:r w:rsidR="00C15277">
        <w:rPr>
          <w:rFonts w:cstheme="minorHAnsi"/>
        </w:rPr>
        <w:t xml:space="preserve"> </w:t>
      </w:r>
      <w:r w:rsidRPr="007114AF">
        <w:t>industriale dhe t</w:t>
      </w:r>
      <w:r w:rsidRPr="007114AF">
        <w:rPr>
          <w:rFonts w:cstheme="minorHAnsi"/>
        </w:rPr>
        <w:t>ë shërbimeve</w:t>
      </w:r>
      <w:r w:rsidRPr="007114AF">
        <w:t xml:space="preserve">. </w:t>
      </w:r>
    </w:p>
    <w:p w14:paraId="6EDCFE3F" w14:textId="77777777" w:rsidR="00A9766F" w:rsidRPr="007114AF" w:rsidRDefault="00A9766F" w:rsidP="00206985">
      <w:pPr>
        <w:pStyle w:val="TEKSTI"/>
      </w:pPr>
      <w:r w:rsidRPr="007114AF">
        <w:t>P</w:t>
      </w:r>
      <w:r w:rsidRPr="007114AF">
        <w:rPr>
          <w:rFonts w:cstheme="minorHAnsi"/>
        </w:rPr>
        <w:t>ërmirësimi i nënsektorit të transportit hekurudhor kombëtar mund të jetë një qasje e rëndësishme për një strategji të masave lehtësuese</w:t>
      </w:r>
      <w:r w:rsidRPr="007114AF">
        <w:t>, n</w:t>
      </w:r>
      <w:r w:rsidRPr="007114AF">
        <w:rPr>
          <w:rFonts w:cstheme="minorHAnsi"/>
        </w:rPr>
        <w:t>ë sajë të zhvendosjes së</w:t>
      </w:r>
      <w:r w:rsidRPr="007114AF">
        <w:t xml:space="preserve"> pasagjer</w:t>
      </w:r>
      <w:r w:rsidRPr="007114AF">
        <w:rPr>
          <w:rFonts w:cstheme="minorHAnsi"/>
        </w:rPr>
        <w:t>ëve dhe mallrave nga transporti rrugor në hekurudhor.</w:t>
      </w:r>
      <w:r w:rsidRPr="007114AF">
        <w:t xml:space="preserve"> Ky objektiv strategjik </w:t>
      </w:r>
      <w:r w:rsidRPr="007114AF">
        <w:rPr>
          <w:rFonts w:cstheme="minorHAnsi"/>
        </w:rPr>
        <w:t xml:space="preserve">është </w:t>
      </w:r>
      <w:r w:rsidRPr="007114AF">
        <w:t>parashikuar n</w:t>
      </w:r>
      <w:r w:rsidRPr="007114AF">
        <w:rPr>
          <w:rFonts w:cstheme="minorHAnsi"/>
        </w:rPr>
        <w:t xml:space="preserve">ë </w:t>
      </w:r>
      <w:r w:rsidRPr="007114AF">
        <w:t xml:space="preserve">SKZHI-II, edhe pse </w:t>
      </w:r>
      <w:r w:rsidRPr="007114AF">
        <w:rPr>
          <w:rFonts w:cstheme="minorHAnsi"/>
        </w:rPr>
        <w:t>rehabilitimi i plotë i rrjeteve përkatëse hekurudhore do të jetë i mundur vetëm pas shumë kohësh. Objektivi i</w:t>
      </w:r>
      <w:r w:rsidRPr="007114AF">
        <w:rPr>
          <w:rFonts w:eastAsia="Calibri"/>
        </w:rPr>
        <w:t>SKZHI-II p</w:t>
      </w:r>
      <w:r w:rsidRPr="007114AF">
        <w:rPr>
          <w:rFonts w:cstheme="minorHAnsi"/>
        </w:rPr>
        <w:t xml:space="preserve">ër të rritur në mënyrë të dukshme </w:t>
      </w:r>
      <w:r w:rsidRPr="007114AF">
        <w:rPr>
          <w:rFonts w:eastAsia="Calibri"/>
        </w:rPr>
        <w:t>transportin hekurudhor deri n</w:t>
      </w:r>
      <w:r w:rsidRPr="007114AF">
        <w:rPr>
          <w:rFonts w:cstheme="minorHAnsi"/>
        </w:rPr>
        <w:t>ë vitin 2</w:t>
      </w:r>
      <w:r w:rsidRPr="007114AF">
        <w:rPr>
          <w:rFonts w:eastAsia="Calibri"/>
        </w:rPr>
        <w:t>020, p</w:t>
      </w:r>
      <w:r w:rsidRPr="007114AF">
        <w:rPr>
          <w:rFonts w:cstheme="minorHAnsi"/>
        </w:rPr>
        <w:t xml:space="preserve">ërmes rikonstruksionit të hekurudhave që lidhin </w:t>
      </w:r>
      <w:r w:rsidRPr="007114AF">
        <w:rPr>
          <w:rFonts w:eastAsia="Calibri"/>
        </w:rPr>
        <w:t>Tiran</w:t>
      </w:r>
      <w:r w:rsidRPr="007114AF">
        <w:rPr>
          <w:rFonts w:cstheme="minorHAnsi"/>
        </w:rPr>
        <w:t xml:space="preserve">ën me </w:t>
      </w:r>
      <w:r w:rsidRPr="007114AF">
        <w:rPr>
          <w:rFonts w:eastAsia="Calibri"/>
        </w:rPr>
        <w:t>Durr</w:t>
      </w:r>
      <w:r w:rsidRPr="007114AF">
        <w:rPr>
          <w:rFonts w:cstheme="minorHAnsi"/>
        </w:rPr>
        <w:t>ë</w:t>
      </w:r>
      <w:r w:rsidRPr="007114AF">
        <w:rPr>
          <w:rFonts w:eastAsia="Calibri"/>
        </w:rPr>
        <w:t>sin, Vor</w:t>
      </w:r>
      <w:r w:rsidRPr="007114AF">
        <w:rPr>
          <w:rFonts w:cstheme="minorHAnsi"/>
        </w:rPr>
        <w:t>ën me H</w:t>
      </w:r>
      <w:r w:rsidRPr="007114AF">
        <w:rPr>
          <w:rFonts w:eastAsia="Calibri"/>
        </w:rPr>
        <w:t>anin e Hotit, Durr</w:t>
      </w:r>
      <w:r w:rsidRPr="007114AF">
        <w:rPr>
          <w:rFonts w:cstheme="minorHAnsi"/>
        </w:rPr>
        <w:t>ë</w:t>
      </w:r>
      <w:r w:rsidRPr="007114AF">
        <w:rPr>
          <w:rFonts w:eastAsia="Calibri"/>
        </w:rPr>
        <w:t>sin me Elbasanin, Rrogozhin</w:t>
      </w:r>
      <w:r w:rsidRPr="007114AF">
        <w:rPr>
          <w:rFonts w:cstheme="minorHAnsi"/>
        </w:rPr>
        <w:t xml:space="preserve">ën me Vlorën dhe </w:t>
      </w:r>
      <w:r w:rsidRPr="007114AF">
        <w:rPr>
          <w:rFonts w:eastAsia="Calibri"/>
        </w:rPr>
        <w:t>Elbasanin me Pogradecin, duhet t</w:t>
      </w:r>
      <w:r w:rsidRPr="007114AF">
        <w:rPr>
          <w:rFonts w:cstheme="minorHAnsi"/>
        </w:rPr>
        <w:t>ë monitorohet dhe përfundimisht të përafrohet me ecurinë aktuale të punës</w:t>
      </w:r>
      <w:r w:rsidRPr="007114AF">
        <w:rPr>
          <w:rFonts w:eastAsia="Calibri"/>
        </w:rPr>
        <w:t>.</w:t>
      </w:r>
    </w:p>
    <w:p w14:paraId="6EDCFE40" w14:textId="77777777" w:rsidR="00A9766F" w:rsidRPr="007114AF" w:rsidRDefault="00A9766F" w:rsidP="00206985">
      <w:pPr>
        <w:pStyle w:val="TEKSTI"/>
      </w:pPr>
      <w:r w:rsidRPr="007114AF">
        <w:rPr>
          <w:rFonts w:eastAsia="Calibri"/>
        </w:rPr>
        <w:t>Masat e parashikuara p</w:t>
      </w:r>
      <w:r w:rsidRPr="007114AF">
        <w:rPr>
          <w:rFonts w:cstheme="minorHAnsi"/>
        </w:rPr>
        <w:t>ër këtë sektor kanë si qëllim uljen e GES-it, edhe duke u nisur nga një bazë e dobët të dhënash dhe të gjitha masat dhe vlerësimi i planeve të analizuara duket se bazohen në parametra agregatë</w:t>
      </w:r>
      <w:r w:rsidRPr="007114AF">
        <w:t>, me besueshm</w:t>
      </w:r>
      <w:r w:rsidRPr="007114AF">
        <w:rPr>
          <w:rFonts w:cstheme="minorHAnsi"/>
        </w:rPr>
        <w:t>ëri të ulët dhe prirje historike</w:t>
      </w:r>
      <w:r w:rsidRPr="007114AF">
        <w:t>. Prandaj, efikasiteti dhe efektiviteti i masave mund t</w:t>
      </w:r>
      <w:r w:rsidRPr="007114AF">
        <w:rPr>
          <w:rFonts w:cstheme="minorHAnsi"/>
        </w:rPr>
        <w:t>ë mbivlerësohet</w:t>
      </w:r>
      <w:r w:rsidRPr="007114AF">
        <w:t xml:space="preserve"> (ose n</w:t>
      </w:r>
      <w:r w:rsidRPr="007114AF">
        <w:rPr>
          <w:rFonts w:cstheme="minorHAnsi"/>
        </w:rPr>
        <w:t>ënvlerësohet</w:t>
      </w:r>
      <w:r w:rsidRPr="007114AF">
        <w:t xml:space="preserve">). </w:t>
      </w:r>
    </w:p>
    <w:p w14:paraId="6EDCFE41" w14:textId="77777777" w:rsidR="00A9766F" w:rsidRPr="007114AF" w:rsidRDefault="00A9766F" w:rsidP="00206985">
      <w:pPr>
        <w:pStyle w:val="TEKSTI"/>
      </w:pPr>
      <w:r w:rsidRPr="007114AF">
        <w:t>Ndarja mes SSTPV-ës dhe Planit t</w:t>
      </w:r>
      <w:r w:rsidRPr="007114AF">
        <w:rPr>
          <w:rFonts w:cstheme="minorHAnsi"/>
        </w:rPr>
        <w:t xml:space="preserve">ë Qëndrueshëm të Transportit i jep formë strategjive të ndryshme dhe masave për zhvillimin e </w:t>
      </w:r>
      <w:r w:rsidRPr="007114AF">
        <w:t>transportit dhe zhvillimit ve</w:t>
      </w:r>
      <w:r w:rsidRPr="007114AF">
        <w:rPr>
          <w:rFonts w:cstheme="minorHAnsi"/>
        </w:rPr>
        <w:t>ç</w:t>
      </w:r>
      <w:r w:rsidRPr="007114AF">
        <w:t>mas t</w:t>
      </w:r>
      <w:r w:rsidRPr="007114AF">
        <w:rPr>
          <w:rFonts w:cstheme="minorHAnsi"/>
        </w:rPr>
        <w:t xml:space="preserve">ë </w:t>
      </w:r>
      <w:r w:rsidRPr="007114AF">
        <w:t>Transportit t</w:t>
      </w:r>
      <w:r w:rsidRPr="007114AF">
        <w:rPr>
          <w:rFonts w:cstheme="minorHAnsi"/>
        </w:rPr>
        <w:t>ë Qëndrueshëm</w:t>
      </w:r>
      <w:r w:rsidRPr="007114AF">
        <w:t>. P</w:t>
      </w:r>
      <w:r w:rsidRPr="007114AF">
        <w:rPr>
          <w:rFonts w:cstheme="minorHAnsi"/>
        </w:rPr>
        <w:t>ër përditësime të mëtejshme</w:t>
      </w:r>
      <w:r w:rsidRPr="007114AF">
        <w:t>, MTI-ja duhet t</w:t>
      </w:r>
      <w:r w:rsidRPr="007114AF">
        <w:rPr>
          <w:rFonts w:cstheme="minorHAnsi"/>
        </w:rPr>
        <w:t xml:space="preserve">ë marrë në konsideratë lidhjen e dy </w:t>
      </w:r>
      <w:r w:rsidRPr="007114AF">
        <w:rPr>
          <w:rFonts w:cstheme="minorHAnsi"/>
        </w:rPr>
        <w:lastRenderedPageBreak/>
        <w:t>planeve dhe të krijojë një strategji të vetme transporti me një objektiv gjithëpërfshirës për uljen e shkarkimeve</w:t>
      </w:r>
      <w:r w:rsidRPr="007114AF">
        <w:t>.</w:t>
      </w:r>
    </w:p>
    <w:p w14:paraId="6EDCFE42" w14:textId="0A29C1C5" w:rsidR="00A9766F" w:rsidRPr="007114AF" w:rsidRDefault="00A9766F" w:rsidP="00206985">
      <w:pPr>
        <w:pStyle w:val="TEKSTI"/>
      </w:pPr>
      <w:r w:rsidRPr="007114AF">
        <w:t>Nj</w:t>
      </w:r>
      <w:r w:rsidRPr="007114AF">
        <w:rPr>
          <w:rFonts w:cstheme="minorHAnsi"/>
        </w:rPr>
        <w:t xml:space="preserve">ë rrezik i mundshëm në sektorin e </w:t>
      </w:r>
      <w:r w:rsidRPr="007114AF">
        <w:t>transportit mund t</w:t>
      </w:r>
      <w:r w:rsidRPr="007114AF">
        <w:rPr>
          <w:rFonts w:cstheme="minorHAnsi"/>
        </w:rPr>
        <w:t>ë jetë një zhvendosje</w:t>
      </w:r>
      <w:r w:rsidR="000A2A01" w:rsidRPr="007114AF">
        <w:rPr>
          <w:rFonts w:cstheme="minorHAnsi"/>
        </w:rPr>
        <w:t xml:space="preserve"> </w:t>
      </w:r>
      <w:r w:rsidRPr="007114AF">
        <w:rPr>
          <w:rFonts w:cstheme="minorHAnsi"/>
        </w:rPr>
        <w:t>drejt një rritjeje të madhe të trafikut rrugor</w:t>
      </w:r>
      <w:r w:rsidRPr="007114AF">
        <w:t>, n</w:t>
      </w:r>
      <w:r w:rsidRPr="007114AF">
        <w:rPr>
          <w:rFonts w:cstheme="minorHAnsi"/>
        </w:rPr>
        <w:t>ë sajë të përmirësimeve të kapacitetit që duhet monitoruar</w:t>
      </w:r>
      <w:r w:rsidRPr="007114AF">
        <w:t>. Numri total i automjeteve n</w:t>
      </w:r>
      <w:r w:rsidRPr="007114AF">
        <w:rPr>
          <w:rFonts w:cstheme="minorHAnsi"/>
        </w:rPr>
        <w:t>ë rrugë po rritet</w:t>
      </w:r>
      <w:r w:rsidRPr="007114AF">
        <w:t xml:space="preserve"> (burim i INSTAT), edhe pse </w:t>
      </w:r>
      <w:r w:rsidRPr="007114AF">
        <w:rPr>
          <w:rFonts w:cstheme="minorHAnsi"/>
        </w:rPr>
        <w:t xml:space="preserve">është ende mesatarisht </w:t>
      </w:r>
      <w:r w:rsidRPr="007114AF">
        <w:t>200 automjete p</w:t>
      </w:r>
      <w:r w:rsidRPr="007114AF">
        <w:rPr>
          <w:rFonts w:cstheme="minorHAnsi"/>
        </w:rPr>
        <w:t xml:space="preserve">ër </w:t>
      </w:r>
      <w:r w:rsidRPr="007114AF">
        <w:t>1000 banor</w:t>
      </w:r>
      <w:r w:rsidRPr="007114AF">
        <w:rPr>
          <w:rFonts w:cstheme="minorHAnsi"/>
        </w:rPr>
        <w:t>ë</w:t>
      </w:r>
      <w:r w:rsidRPr="007114AF">
        <w:t>. P</w:t>
      </w:r>
      <w:r w:rsidRPr="007114AF">
        <w:rPr>
          <w:rFonts w:cstheme="minorHAnsi"/>
        </w:rPr>
        <w:t>ërmirësimi i kapacitetit rrugor, stimujt për makina të reja dhe një objektiv i zhvillimit ekonomik dhe mirëqenies mund të rrisin dukshëm numrin e makinave, krahasuar me mesataren</w:t>
      </w:r>
      <w:r w:rsidR="00C15277">
        <w:rPr>
          <w:rFonts w:cstheme="minorHAnsi"/>
        </w:rPr>
        <w:t xml:space="preserve"> </w:t>
      </w:r>
      <w:r w:rsidRPr="007114AF">
        <w:rPr>
          <w:rFonts w:cstheme="minorHAnsi"/>
        </w:rPr>
        <w:t>e BE-së</w:t>
      </w:r>
      <w:r w:rsidR="00C15277">
        <w:rPr>
          <w:rFonts w:cstheme="minorHAnsi"/>
        </w:rPr>
        <w:t xml:space="preserve"> </w:t>
      </w:r>
      <w:r w:rsidRPr="007114AF">
        <w:rPr>
          <w:rFonts w:cstheme="minorHAnsi"/>
        </w:rPr>
        <w:t xml:space="preserve">prej </w:t>
      </w:r>
      <w:r w:rsidRPr="007114AF">
        <w:t>450-500 automjete/1000 banor</w:t>
      </w:r>
      <w:r w:rsidRPr="007114AF">
        <w:rPr>
          <w:rFonts w:cstheme="minorHAnsi"/>
        </w:rPr>
        <w:t>ë</w:t>
      </w:r>
      <w:r w:rsidRPr="007114AF">
        <w:t xml:space="preserve">. </w:t>
      </w:r>
    </w:p>
    <w:bookmarkEnd w:id="136"/>
    <w:p w14:paraId="6EDCFE43" w14:textId="77777777" w:rsidR="00A9766F" w:rsidRPr="007114AF" w:rsidRDefault="00A9766F" w:rsidP="00206985">
      <w:pPr>
        <w:pStyle w:val="TEKSTI"/>
        <w:rPr>
          <w:b/>
          <w:i/>
        </w:rPr>
      </w:pPr>
      <w:r w:rsidRPr="007114AF">
        <w:rPr>
          <w:b/>
          <w:i/>
        </w:rPr>
        <w:t>Bujqësia dhe LUCF-ja</w:t>
      </w:r>
    </w:p>
    <w:p w14:paraId="6EDCFE44" w14:textId="1B5F81D1" w:rsidR="00A9766F" w:rsidRPr="007114AF" w:rsidRDefault="00A9766F" w:rsidP="00206985">
      <w:pPr>
        <w:pStyle w:val="TEKSTI"/>
      </w:pPr>
      <w:r w:rsidRPr="007114AF">
        <w:rPr>
          <w:i/>
          <w:u w:val="single"/>
        </w:rPr>
        <w:t xml:space="preserve">Sinergjitë dhe </w:t>
      </w:r>
      <w:r w:rsidR="00C15277" w:rsidRPr="007114AF">
        <w:rPr>
          <w:i/>
          <w:u w:val="single"/>
        </w:rPr>
        <w:t>pikëtakimet ndërsektoriale</w:t>
      </w:r>
      <w:r w:rsidRPr="007114AF">
        <w:rPr>
          <w:i/>
          <w:u w:val="single"/>
        </w:rPr>
        <w:t>:</w:t>
      </w:r>
      <w:r w:rsidRPr="007114AF">
        <w:t xml:space="preserve"> Strategjia kryesore q</w:t>
      </w:r>
      <w:r w:rsidRPr="007114AF">
        <w:rPr>
          <w:rFonts w:cstheme="minorHAnsi"/>
        </w:rPr>
        <w:t xml:space="preserve">ë mbulon sektorët e bujqësisë dhe </w:t>
      </w:r>
      <w:r w:rsidRPr="007114AF">
        <w:t>LUCF-ës</w:t>
      </w:r>
      <w:r w:rsidRPr="007114AF">
        <w:rPr>
          <w:rFonts w:cstheme="minorHAnsi"/>
        </w:rPr>
        <w:t xml:space="preserve">është </w:t>
      </w:r>
      <w:r w:rsidRPr="007114AF">
        <w:t xml:space="preserve">SNBZHR-ja, e cila </w:t>
      </w:r>
      <w:r w:rsidRPr="007114AF">
        <w:rPr>
          <w:rFonts w:cstheme="minorHAnsi"/>
        </w:rPr>
        <w:t>është një strategji shumë e plotë, që synon përmirësimin dhe rritjen e nivelit të përgjithshëm të bujqësisë shqiptare, për të përmbushur standardet përkatëse të</w:t>
      </w:r>
      <w:r w:rsidR="00C15277">
        <w:rPr>
          <w:rFonts w:cstheme="minorHAnsi"/>
        </w:rPr>
        <w:t xml:space="preserve"> </w:t>
      </w:r>
      <w:r w:rsidRPr="007114AF">
        <w:t>PBB-ës të BE-së. Masat specifike t</w:t>
      </w:r>
      <w:r w:rsidRPr="007114AF">
        <w:rPr>
          <w:rFonts w:cstheme="minorHAnsi"/>
        </w:rPr>
        <w:t>ë përfshira në SNBZHR-në</w:t>
      </w:r>
      <w:r w:rsidRPr="007114AF">
        <w:t xml:space="preserve"> dhe n</w:t>
      </w:r>
      <w:r w:rsidRPr="007114AF">
        <w:rPr>
          <w:rFonts w:cstheme="minorHAnsi"/>
        </w:rPr>
        <w:t xml:space="preserve">ë </w:t>
      </w:r>
      <w:r w:rsidRPr="007114AF">
        <w:t>IPARD mbulojn</w:t>
      </w:r>
      <w:r w:rsidRPr="007114AF">
        <w:rPr>
          <w:rFonts w:cstheme="minorHAnsi"/>
        </w:rPr>
        <w:t xml:space="preserve">ë bujqësinë dhe pyjet, si dhe përmbajnë disa masa që ndërlidhen me sektorët e energjisë dhe </w:t>
      </w:r>
      <w:r w:rsidRPr="007114AF">
        <w:t>transportit,</w:t>
      </w:r>
      <w:r w:rsidR="00C15277">
        <w:t xml:space="preserve"> </w:t>
      </w:r>
      <w:r w:rsidRPr="007114AF">
        <w:t xml:space="preserve">lidhur </w:t>
      </w:r>
      <w:r w:rsidRPr="007114AF">
        <w:rPr>
          <w:rFonts w:cstheme="minorHAnsi"/>
        </w:rPr>
        <w:t xml:space="preserve">me përmirësimin e </w:t>
      </w:r>
      <w:r w:rsidRPr="007114AF">
        <w:t>eficiencës</w:t>
      </w:r>
      <w:r w:rsidRPr="007114AF">
        <w:rPr>
          <w:rFonts w:cstheme="minorHAnsi"/>
        </w:rPr>
        <w:t xml:space="preserve"> së energjisë në pajisjet e fermave dhe zhvillimin e infrastrukturës rrugore në zonat rurale</w:t>
      </w:r>
      <w:r w:rsidRPr="007114AF">
        <w:t xml:space="preserve">. </w:t>
      </w:r>
    </w:p>
    <w:p w14:paraId="6EDCFE45" w14:textId="77777777" w:rsidR="00A9766F" w:rsidRPr="007114AF" w:rsidRDefault="00A9766F" w:rsidP="00206985">
      <w:pPr>
        <w:pStyle w:val="TEKSTI"/>
      </w:pPr>
      <w:r w:rsidRPr="007114AF">
        <w:t>Sektori pyjor mbulohet nga projektligji p</w:t>
      </w:r>
      <w:r w:rsidRPr="007114AF">
        <w:rPr>
          <w:rFonts w:cstheme="minorHAnsi"/>
        </w:rPr>
        <w:t xml:space="preserve">ër </w:t>
      </w:r>
      <w:r w:rsidRPr="007114AF">
        <w:t xml:space="preserve">Administrimin e Fondit </w:t>
      </w:r>
      <w:r w:rsidRPr="007114AF">
        <w:rPr>
          <w:rFonts w:cstheme="minorHAnsi"/>
        </w:rPr>
        <w:t xml:space="preserve">Kombëtar </w:t>
      </w:r>
      <w:r w:rsidRPr="007114AF">
        <w:t xml:space="preserve">të Pyjeve dhe Kullotave </w:t>
      </w:r>
      <w:r w:rsidRPr="007114AF">
        <w:rPr>
          <w:rFonts w:cstheme="minorHAnsi"/>
        </w:rPr>
        <w:t>në Republikën e Shqipërisë</w:t>
      </w:r>
      <w:r w:rsidRPr="007114AF">
        <w:t>, dhe rregullohet me Dokumentin Strategjik p</w:t>
      </w:r>
      <w:r w:rsidRPr="007114AF">
        <w:rPr>
          <w:rFonts w:cstheme="minorHAnsi"/>
        </w:rPr>
        <w:t xml:space="preserve">ër </w:t>
      </w:r>
      <w:r w:rsidRPr="007114AF">
        <w:t>Planin e Veprimit p</w:t>
      </w:r>
      <w:r w:rsidRPr="007114AF">
        <w:rPr>
          <w:rFonts w:cstheme="minorHAnsi"/>
        </w:rPr>
        <w:t>ër</w:t>
      </w:r>
      <w:r w:rsidRPr="007114AF">
        <w:t xml:space="preserve"> Mbrojtjen e Biodiversitetit (DPSMB) dhe</w:t>
      </w:r>
      <w:r w:rsidRPr="007114AF">
        <w:rPr>
          <w:rFonts w:cstheme="minorHAnsi"/>
        </w:rPr>
        <w:t xml:space="preserve"> strategjia specifike sektoriale për Zhvillimin e Pyjeve dhe Kullotave</w:t>
      </w:r>
      <w:r w:rsidRPr="007114AF">
        <w:t>. DPSMB-ja trajton me v</w:t>
      </w:r>
      <w:r w:rsidRPr="007114AF">
        <w:rPr>
          <w:rFonts w:cstheme="minorHAnsi"/>
        </w:rPr>
        <w:t xml:space="preserve">ëmendje të veçantë çështjen në lidhje me prodhimin e energjisë nga hidrocentralet </w:t>
      </w:r>
      <w:r w:rsidRPr="007114AF">
        <w:t>n</w:t>
      </w:r>
      <w:r w:rsidRPr="007114AF">
        <w:rPr>
          <w:rFonts w:cstheme="minorHAnsi"/>
        </w:rPr>
        <w:t>ë zonat natyrore</w:t>
      </w:r>
      <w:r w:rsidRPr="007114AF">
        <w:t>, me q</w:t>
      </w:r>
      <w:r w:rsidRPr="007114AF">
        <w:rPr>
          <w:rFonts w:cstheme="minorHAnsi"/>
        </w:rPr>
        <w:t xml:space="preserve">ëllim sigurimin e mbrojtjes së zonave natyrore të prekura nga hidrocentralet, </w:t>
      </w:r>
      <w:r w:rsidRPr="007114AF">
        <w:t>p</w:t>
      </w:r>
      <w:r w:rsidRPr="007114AF">
        <w:rPr>
          <w:rFonts w:cstheme="minorHAnsi"/>
        </w:rPr>
        <w:t>ërmes monitorimit dhe vlerësimit periodik të</w:t>
      </w:r>
      <w:r w:rsidRPr="007114AF">
        <w:t xml:space="preserve"> flor</w:t>
      </w:r>
      <w:r w:rsidRPr="007114AF">
        <w:rPr>
          <w:rFonts w:cstheme="minorHAnsi"/>
        </w:rPr>
        <w:t xml:space="preserve">ës dhe </w:t>
      </w:r>
      <w:r w:rsidRPr="007114AF">
        <w:t>faun</w:t>
      </w:r>
      <w:r w:rsidRPr="007114AF">
        <w:rPr>
          <w:rFonts w:cstheme="minorHAnsi"/>
        </w:rPr>
        <w:t>ës në lumenj dhe degët e lumenjve në të cilët janë ndërtuar dhe do të ndërtohen hidrocentralet</w:t>
      </w:r>
      <w:r w:rsidRPr="007114AF">
        <w:t>.</w:t>
      </w:r>
    </w:p>
    <w:p w14:paraId="6EDCFE46" w14:textId="45B4BCB1" w:rsidR="00A9766F" w:rsidRPr="007114AF" w:rsidRDefault="00A9766F" w:rsidP="00524E98">
      <w:pPr>
        <w:pStyle w:val="TEKSTI"/>
      </w:pPr>
      <w:r w:rsidRPr="007114AF">
        <w:t>Masat që lidhen me zbutjen e ndryshimeve klimatike të parashikuara nga dokumentet kryesore të përgatitura për sektorin bujqësor dhe LUCF-ës konsiderohen gjithashtu si opsione të vlefshme në KTK-ë;</w:t>
      </w:r>
      <w:r w:rsidR="008D30FC" w:rsidRPr="007114AF">
        <w:t xml:space="preserve"> </w:t>
      </w:r>
      <w:r w:rsidRPr="007114AF">
        <w:t>seksioni i analizës së masave zbutëse për bujqësinë dhe pyjet, me një mbivendosje të objektivave koherentë, të tilla si ulja e shkarkimeve nga tokat bujqësore, kullotat dhe bagëtitë; ulja e humbjeve të karbonit nga gjallesa dhe toka; rritja e sekuestrimit të karbonit në toka, gjallesa dhe produkte që jetojnë gjatë.</w:t>
      </w:r>
    </w:p>
    <w:p w14:paraId="6EDCFE47" w14:textId="3A03FAAE" w:rsidR="00A9766F" w:rsidRPr="007114AF" w:rsidRDefault="00A9766F" w:rsidP="00524E98">
      <w:pPr>
        <w:pStyle w:val="TEKSTI"/>
      </w:pPr>
      <w:r w:rsidRPr="007114AF">
        <w:t>Masat synonin zbutjen e efekteve të ndryshimeve klimatike, të cilat konsiderohen në dokumentet ndërsektoriale, të tilla si SMNS, SKZHI-II dhe PKT,</w:t>
      </w:r>
      <w:r w:rsidR="00C15277">
        <w:t xml:space="preserve"> </w:t>
      </w:r>
      <w:r w:rsidRPr="007114AF">
        <w:t>dhe përputhen në mënyrë koherente me masat kryesore të përfshira në dokumentet sektoriale dhe ato mbi bujqësinë dhe LUCF-ë, dhe me masat që synonin promovimin e prodhimit të ushqimit të qëndrueshëm, përmirësimin dhe forcimin e mbrojtjes së natyrës, si dhe ruajtjen e pyjeve dhe kullotave.</w:t>
      </w:r>
    </w:p>
    <w:p w14:paraId="6EDCFE48" w14:textId="77777777" w:rsidR="00A9766F" w:rsidRPr="007114AF" w:rsidRDefault="00A9766F" w:rsidP="00524E98">
      <w:pPr>
        <w:pStyle w:val="TEKSTI"/>
      </w:pPr>
      <w:r w:rsidRPr="007114AF">
        <w:t>Boshllëqet/mungesat, dobësitë dhe konfliktet: Rreziku hipotetik i një rritje të madhe të shkarkimeve GES nga sektori i bujqësisë, për shkak të masave që nxisin prodhimin bujqësor shqiptar dhe konkurrencën në SNBZHR-ë, parandalohet nga qasja e tij e fortë dhe e qëndrueshme ndaj përdorimit të burimeve natyrore. Nga ana tjetër, në sektorin e pyjeve, mungesa e strategjive sektoriale specifike për zhvillimin e pyjeve dhe kullotave, përfaqëson një mangësi thelbësore, veçanërisht duke pasur parasysh faktin se biomasa e pyjeve drusore konsiderohet si burim alternativ i energjisë për ngrohje, siç parashikohet nga masat e përfshira në KTK-ë dhe BER. Ashtu sikurse theksohet edhe nga projektligji mbi Administrimin e Fondit Kombëtar të Pyjeve dhe Kullotave në Republikën e Shqipërisë, do të duhej një qasje e bashkërenduar me qëllim parandalimin e shfrytëzimit të burimeve pyjore.</w:t>
      </w:r>
    </w:p>
    <w:p w14:paraId="6EDCFE49" w14:textId="1DBA1867" w:rsidR="00A9766F" w:rsidRPr="007114AF" w:rsidRDefault="00524E98" w:rsidP="00206985">
      <w:pPr>
        <w:pStyle w:val="TEKSTI"/>
        <w:rPr>
          <w:b/>
        </w:rPr>
      </w:pPr>
      <w:bookmarkStart w:id="137" w:name="_Toc484424504"/>
      <w:r w:rsidRPr="007114AF">
        <w:rPr>
          <w:b/>
        </w:rPr>
        <w:t xml:space="preserve">4.2 </w:t>
      </w:r>
      <w:r w:rsidR="00A9766F" w:rsidRPr="007114AF">
        <w:rPr>
          <w:b/>
        </w:rPr>
        <w:t>Objektivat kryesor</w:t>
      </w:r>
      <w:r w:rsidR="00163F78">
        <w:rPr>
          <w:b/>
        </w:rPr>
        <w:t>ë</w:t>
      </w:r>
      <w:r w:rsidR="00A9766F" w:rsidRPr="007114AF">
        <w:rPr>
          <w:b/>
        </w:rPr>
        <w:t xml:space="preserve"> për trajtimin e zbutjes së efekteve prej ndryshimeve klimatike</w:t>
      </w:r>
      <w:bookmarkEnd w:id="137"/>
    </w:p>
    <w:p w14:paraId="6EDCFE4A" w14:textId="0AED756A" w:rsidR="00A9766F" w:rsidRPr="007114AF" w:rsidRDefault="00A9766F" w:rsidP="00524E98">
      <w:pPr>
        <w:pStyle w:val="TEKSTI"/>
        <w:rPr>
          <w:rFonts w:eastAsia="Times New Roman" w:cs="Times New Roman"/>
          <w:b/>
          <w:bCs/>
          <w:sz w:val="20"/>
          <w:szCs w:val="20"/>
        </w:rPr>
      </w:pPr>
      <w:r w:rsidRPr="007114AF">
        <w:t>Për të siguruar që politikat dhe instrumentet e Qeverisë</w:t>
      </w:r>
      <w:r w:rsidR="00C15277">
        <w:t xml:space="preserve"> </w:t>
      </w:r>
      <w:r w:rsidRPr="007114AF">
        <w:t>shqiptare përpiqen të orientohen drejt një ekonomie me nivel të ulët të karbonit, më poshtë janë identifikuar një grup objektivash kryesore të nevojshme për t</w:t>
      </w:r>
      <w:r w:rsidR="00D10DAB" w:rsidRPr="007114AF">
        <w:t>’</w:t>
      </w:r>
      <w:r w:rsidRPr="007114AF">
        <w:t>iu përgjigjur gjashtë prioriteteve të identifikuara të</w:t>
      </w:r>
      <w:r w:rsidR="00C15277">
        <w:t xml:space="preserve"> </w:t>
      </w:r>
      <w:r w:rsidRPr="007114AF">
        <w:t>SKZNK-ës</w:t>
      </w:r>
      <w:r w:rsidR="00C15277">
        <w:t xml:space="preserve"> </w:t>
      </w:r>
      <w:r w:rsidRPr="007114AF">
        <w:rPr>
          <w:bCs/>
        </w:rPr>
        <w:t>(tabela 13).</w:t>
      </w:r>
    </w:p>
    <w:p w14:paraId="6EDCFE4B" w14:textId="52BE2B4A" w:rsidR="00A9766F" w:rsidRPr="007114AF" w:rsidRDefault="00A9766F" w:rsidP="00524E98">
      <w:pPr>
        <w:pStyle w:val="FIGURA"/>
      </w:pPr>
      <w:r w:rsidRPr="007114AF">
        <w:rPr>
          <w:sz w:val="20"/>
          <w:szCs w:val="20"/>
        </w:rPr>
        <w:t xml:space="preserve">Tabela </w:t>
      </w:r>
      <w:r w:rsidRPr="007114AF">
        <w:rPr>
          <w:sz w:val="20"/>
          <w:szCs w:val="20"/>
        </w:rPr>
        <w:fldChar w:fldCharType="begin"/>
      </w:r>
      <w:r w:rsidRPr="007114AF">
        <w:rPr>
          <w:sz w:val="20"/>
          <w:szCs w:val="20"/>
        </w:rPr>
        <w:instrText xml:space="preserve"> SEQ Table \* ARABIC </w:instrText>
      </w:r>
      <w:r w:rsidRPr="007114AF">
        <w:rPr>
          <w:sz w:val="20"/>
          <w:szCs w:val="20"/>
        </w:rPr>
        <w:fldChar w:fldCharType="separate"/>
      </w:r>
      <w:r w:rsidRPr="007114AF">
        <w:rPr>
          <w:sz w:val="20"/>
          <w:szCs w:val="20"/>
        </w:rPr>
        <w:t>13</w:t>
      </w:r>
      <w:r w:rsidRPr="007114AF">
        <w:rPr>
          <w:sz w:val="20"/>
          <w:szCs w:val="20"/>
        </w:rPr>
        <w:fldChar w:fldCharType="end"/>
      </w:r>
      <w:r w:rsidR="00C15277">
        <w:rPr>
          <w:sz w:val="20"/>
          <w:szCs w:val="20"/>
        </w:rPr>
        <w:t xml:space="preserve"> </w:t>
      </w:r>
      <w:r w:rsidRPr="007114AF">
        <w:rPr>
          <w:sz w:val="20"/>
          <w:szCs w:val="20"/>
        </w:rPr>
        <w:t>– Objektivat e politikave kryesore dhe lidhja e tyre me prioritetet strategjike</w:t>
      </w:r>
      <w:r w:rsidRPr="007114AF">
        <w:t>.</w:t>
      </w:r>
    </w:p>
    <w:tbl>
      <w:tblPr>
        <w:tblStyle w:val="GridTable1Light-Accent11"/>
        <w:tblW w:w="5000" w:type="pct"/>
        <w:tblLook w:val="04A0" w:firstRow="1" w:lastRow="0" w:firstColumn="1" w:lastColumn="0" w:noHBand="0" w:noVBand="1"/>
      </w:tblPr>
      <w:tblGrid>
        <w:gridCol w:w="7354"/>
        <w:gridCol w:w="1933"/>
      </w:tblGrid>
      <w:tr w:rsidR="00A9766F" w:rsidRPr="007114AF" w14:paraId="6EDCFE4E" w14:textId="77777777" w:rsidTr="00A9766F">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917" w:type="pct"/>
            <w:noWrap/>
            <w:vAlign w:val="center"/>
            <w:hideMark/>
          </w:tcPr>
          <w:p w14:paraId="6EDCFE4C" w14:textId="77777777" w:rsidR="00A9766F" w:rsidRPr="007114AF" w:rsidRDefault="00A9766F" w:rsidP="00721B1B">
            <w:pPr>
              <w:spacing w:after="0"/>
              <w:rPr>
                <w:rFonts w:ascii="Garamond" w:eastAsia="Times New Roman" w:hAnsi="Garamond" w:cs="Times New Roman"/>
                <w:color w:val="000000"/>
                <w:sz w:val="18"/>
                <w:szCs w:val="18"/>
              </w:rPr>
            </w:pPr>
            <w:r w:rsidRPr="007114AF">
              <w:rPr>
                <w:rFonts w:ascii="Garamond" w:eastAsia="Times New Roman" w:hAnsi="Garamond" w:cs="Times New Roman"/>
                <w:color w:val="000000"/>
                <w:sz w:val="18"/>
                <w:szCs w:val="18"/>
              </w:rPr>
              <w:lastRenderedPageBreak/>
              <w:t>Objektivi i politikave kryesore</w:t>
            </w:r>
          </w:p>
        </w:tc>
        <w:tc>
          <w:tcPr>
            <w:tcW w:w="1083" w:type="pct"/>
            <w:noWrap/>
            <w:vAlign w:val="center"/>
            <w:hideMark/>
          </w:tcPr>
          <w:p w14:paraId="6EDCFE4D" w14:textId="77777777" w:rsidR="00A9766F" w:rsidRPr="007114AF" w:rsidRDefault="00A9766F" w:rsidP="00721B1B">
            <w:pPr>
              <w:spacing w:after="0"/>
              <w:cnfStyle w:val="100000000000" w:firstRow="1" w:lastRow="0" w:firstColumn="0" w:lastColumn="0" w:oddVBand="0" w:evenVBand="0" w:oddHBand="0" w:evenHBand="0" w:firstRowFirstColumn="0" w:firstRowLastColumn="0" w:lastRowFirstColumn="0" w:lastRowLastColumn="0"/>
              <w:rPr>
                <w:rFonts w:ascii="Garamond" w:eastAsia="Times New Roman" w:hAnsi="Garamond" w:cs="Times New Roman"/>
                <w:color w:val="000000"/>
                <w:sz w:val="18"/>
                <w:szCs w:val="18"/>
              </w:rPr>
            </w:pPr>
            <w:r w:rsidRPr="007114AF">
              <w:rPr>
                <w:rFonts w:ascii="Garamond" w:eastAsia="Times New Roman" w:hAnsi="Garamond" w:cs="Times New Roman"/>
                <w:color w:val="000000"/>
                <w:sz w:val="18"/>
                <w:szCs w:val="18"/>
              </w:rPr>
              <w:t>Lidhja me Prioritetet Strategjike (SP)</w:t>
            </w:r>
          </w:p>
        </w:tc>
      </w:tr>
      <w:tr w:rsidR="00A9766F" w:rsidRPr="007114AF" w14:paraId="6EDCFE51" w14:textId="77777777" w:rsidTr="00A9766F">
        <w:trPr>
          <w:trHeight w:val="38"/>
        </w:trPr>
        <w:tc>
          <w:tcPr>
            <w:cnfStyle w:val="001000000000" w:firstRow="0" w:lastRow="0" w:firstColumn="1" w:lastColumn="0" w:oddVBand="0" w:evenVBand="0" w:oddHBand="0" w:evenHBand="0" w:firstRowFirstColumn="0" w:firstRowLastColumn="0" w:lastRowFirstColumn="0" w:lastRowLastColumn="0"/>
            <w:tcW w:w="3917" w:type="pct"/>
            <w:noWrap/>
            <w:vAlign w:val="center"/>
            <w:hideMark/>
          </w:tcPr>
          <w:p w14:paraId="6EDCFE4F" w14:textId="77777777" w:rsidR="00A9766F" w:rsidRPr="007114AF" w:rsidRDefault="00A9766F" w:rsidP="00037830">
            <w:pPr>
              <w:pStyle w:val="ListParagraph"/>
              <w:numPr>
                <w:ilvl w:val="0"/>
                <w:numId w:val="11"/>
              </w:numPr>
              <w:spacing w:before="0" w:after="0"/>
              <w:ind w:left="0" w:firstLine="0"/>
              <w:rPr>
                <w:rFonts w:ascii="Garamond" w:hAnsi="Garamond"/>
                <w:b w:val="0"/>
                <w:color w:val="000000"/>
                <w:sz w:val="18"/>
                <w:szCs w:val="18"/>
              </w:rPr>
            </w:pPr>
            <w:r w:rsidRPr="007114AF">
              <w:rPr>
                <w:rFonts w:ascii="Garamond" w:hAnsi="Garamond"/>
                <w:color w:val="000000"/>
                <w:sz w:val="18"/>
                <w:szCs w:val="18"/>
              </w:rPr>
              <w:t>P</w:t>
            </w:r>
            <w:r w:rsidRPr="007114AF">
              <w:rPr>
                <w:rFonts w:ascii="Garamond" w:hAnsi="Garamond" w:cs="Calibri"/>
                <w:color w:val="000000"/>
                <w:sz w:val="18"/>
                <w:szCs w:val="18"/>
              </w:rPr>
              <w:t>ërpjekja për të përmbushur Kontributin e Synuar të Përcaktuar në Nivel Kombëtar në kuadrin e Marrëveshjes së Parisit.</w:t>
            </w:r>
          </w:p>
        </w:tc>
        <w:tc>
          <w:tcPr>
            <w:tcW w:w="1083" w:type="pct"/>
            <w:noWrap/>
            <w:vAlign w:val="center"/>
            <w:hideMark/>
          </w:tcPr>
          <w:p w14:paraId="6EDCFE50" w14:textId="77777777" w:rsidR="00A9766F" w:rsidRPr="007114AF" w:rsidRDefault="00A9766F" w:rsidP="00721B1B">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sz w:val="18"/>
                <w:szCs w:val="18"/>
              </w:rPr>
            </w:pPr>
            <w:r w:rsidRPr="007114AF">
              <w:rPr>
                <w:rFonts w:ascii="Garamond" w:eastAsia="Times New Roman" w:hAnsi="Garamond" w:cs="Times New Roman"/>
                <w:color w:val="000000"/>
                <w:sz w:val="18"/>
                <w:szCs w:val="18"/>
              </w:rPr>
              <w:t>SP.1</w:t>
            </w:r>
          </w:p>
        </w:tc>
      </w:tr>
      <w:tr w:rsidR="00A9766F" w:rsidRPr="007114AF" w14:paraId="6EDCFE54" w14:textId="77777777" w:rsidTr="00A9766F">
        <w:trPr>
          <w:trHeight w:val="300"/>
        </w:trPr>
        <w:tc>
          <w:tcPr>
            <w:cnfStyle w:val="001000000000" w:firstRow="0" w:lastRow="0" w:firstColumn="1" w:lastColumn="0" w:oddVBand="0" w:evenVBand="0" w:oddHBand="0" w:evenHBand="0" w:firstRowFirstColumn="0" w:firstRowLastColumn="0" w:lastRowFirstColumn="0" w:lastRowLastColumn="0"/>
            <w:tcW w:w="3917" w:type="pct"/>
            <w:noWrap/>
            <w:vAlign w:val="center"/>
            <w:hideMark/>
          </w:tcPr>
          <w:p w14:paraId="6EDCFE52" w14:textId="77777777" w:rsidR="00A9766F" w:rsidRPr="007114AF" w:rsidRDefault="00A9766F" w:rsidP="00037830">
            <w:pPr>
              <w:pStyle w:val="ListParagraph"/>
              <w:numPr>
                <w:ilvl w:val="0"/>
                <w:numId w:val="11"/>
              </w:numPr>
              <w:spacing w:before="0" w:after="0"/>
              <w:ind w:left="0" w:firstLine="0"/>
              <w:rPr>
                <w:rFonts w:ascii="Garamond" w:hAnsi="Garamond"/>
                <w:b w:val="0"/>
                <w:color w:val="000000"/>
                <w:sz w:val="18"/>
                <w:szCs w:val="18"/>
              </w:rPr>
            </w:pPr>
            <w:r w:rsidRPr="007114AF">
              <w:rPr>
                <w:rFonts w:ascii="Garamond" w:hAnsi="Garamond"/>
                <w:color w:val="000000"/>
                <w:sz w:val="18"/>
                <w:szCs w:val="18"/>
              </w:rPr>
              <w:t>Forcimi i kapaciteteve t</w:t>
            </w:r>
            <w:r w:rsidRPr="007114AF">
              <w:rPr>
                <w:rFonts w:ascii="Garamond" w:hAnsi="Garamond" w:cs="Calibri"/>
                <w:color w:val="000000"/>
                <w:sz w:val="18"/>
                <w:szCs w:val="18"/>
              </w:rPr>
              <w:t>ë institucioneve përkatëse dhe bashkëpunimi ndër</w:t>
            </w:r>
            <w:r w:rsidRPr="007114AF">
              <w:rPr>
                <w:rFonts w:ascii="Garamond" w:hAnsi="Garamond"/>
                <w:color w:val="000000"/>
                <w:sz w:val="18"/>
                <w:szCs w:val="18"/>
              </w:rPr>
              <w:t>institucional p</w:t>
            </w:r>
            <w:r w:rsidRPr="007114AF">
              <w:rPr>
                <w:rFonts w:ascii="Garamond" w:hAnsi="Garamond" w:cs="Calibri"/>
                <w:color w:val="000000"/>
                <w:sz w:val="18"/>
                <w:szCs w:val="18"/>
              </w:rPr>
              <w:t>ër trajtimin e zbutjes së ndryshimeve klimatike.</w:t>
            </w:r>
          </w:p>
        </w:tc>
        <w:tc>
          <w:tcPr>
            <w:tcW w:w="1083" w:type="pct"/>
            <w:noWrap/>
            <w:vAlign w:val="center"/>
            <w:hideMark/>
          </w:tcPr>
          <w:p w14:paraId="6EDCFE53" w14:textId="77777777" w:rsidR="00A9766F" w:rsidRPr="007114AF" w:rsidRDefault="00A9766F" w:rsidP="00721B1B">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sz w:val="18"/>
                <w:szCs w:val="18"/>
              </w:rPr>
            </w:pPr>
            <w:r w:rsidRPr="007114AF">
              <w:rPr>
                <w:rFonts w:ascii="Garamond" w:eastAsia="Times New Roman" w:hAnsi="Garamond" w:cs="Times New Roman"/>
                <w:color w:val="000000"/>
                <w:sz w:val="18"/>
                <w:szCs w:val="18"/>
              </w:rPr>
              <w:t>SP.3; SP.4; SP.5</w:t>
            </w:r>
          </w:p>
        </w:tc>
      </w:tr>
      <w:tr w:rsidR="00A9766F" w:rsidRPr="007114AF" w14:paraId="6EDCFE57" w14:textId="77777777" w:rsidTr="00A9766F">
        <w:trPr>
          <w:trHeight w:val="300"/>
        </w:trPr>
        <w:tc>
          <w:tcPr>
            <w:cnfStyle w:val="001000000000" w:firstRow="0" w:lastRow="0" w:firstColumn="1" w:lastColumn="0" w:oddVBand="0" w:evenVBand="0" w:oddHBand="0" w:evenHBand="0" w:firstRowFirstColumn="0" w:firstRowLastColumn="0" w:lastRowFirstColumn="0" w:lastRowLastColumn="0"/>
            <w:tcW w:w="3917" w:type="pct"/>
            <w:noWrap/>
            <w:vAlign w:val="center"/>
            <w:hideMark/>
          </w:tcPr>
          <w:p w14:paraId="6EDCFE55" w14:textId="77777777" w:rsidR="00A9766F" w:rsidRPr="007114AF" w:rsidRDefault="00A9766F" w:rsidP="00037830">
            <w:pPr>
              <w:pStyle w:val="ListParagraph"/>
              <w:numPr>
                <w:ilvl w:val="0"/>
                <w:numId w:val="11"/>
              </w:numPr>
              <w:spacing w:before="0" w:after="0"/>
              <w:ind w:left="0" w:firstLine="0"/>
              <w:rPr>
                <w:rFonts w:ascii="Garamond" w:hAnsi="Garamond"/>
                <w:b w:val="0"/>
                <w:color w:val="000000"/>
                <w:sz w:val="18"/>
                <w:szCs w:val="18"/>
              </w:rPr>
            </w:pPr>
            <w:r w:rsidRPr="007114AF">
              <w:rPr>
                <w:rFonts w:ascii="Garamond" w:hAnsi="Garamond"/>
                <w:color w:val="000000"/>
                <w:sz w:val="18"/>
                <w:szCs w:val="18"/>
              </w:rPr>
              <w:t>Krijimi i sistemit t</w:t>
            </w:r>
            <w:r w:rsidRPr="007114AF">
              <w:rPr>
                <w:rFonts w:ascii="Garamond" w:hAnsi="Garamond" w:cs="Calibri"/>
                <w:color w:val="000000"/>
                <w:sz w:val="18"/>
                <w:szCs w:val="18"/>
              </w:rPr>
              <w:t xml:space="preserve">ë të dhënave dhe sistemeve </w:t>
            </w:r>
            <w:r w:rsidRPr="007114AF">
              <w:rPr>
                <w:rFonts w:ascii="Garamond" w:hAnsi="Garamond"/>
                <w:color w:val="000000"/>
                <w:sz w:val="18"/>
                <w:szCs w:val="18"/>
              </w:rPr>
              <w:t>MRV p</w:t>
            </w:r>
            <w:r w:rsidRPr="007114AF">
              <w:rPr>
                <w:rFonts w:ascii="Garamond" w:hAnsi="Garamond" w:cs="Calibri"/>
                <w:color w:val="000000"/>
                <w:sz w:val="18"/>
                <w:szCs w:val="18"/>
              </w:rPr>
              <w:t>ër inventarin vjetor GES,</w:t>
            </w:r>
            <w:r w:rsidRPr="007114AF">
              <w:rPr>
                <w:rFonts w:ascii="Garamond" w:hAnsi="Garamond"/>
                <w:color w:val="000000"/>
                <w:sz w:val="18"/>
                <w:szCs w:val="18"/>
              </w:rPr>
              <w:t xml:space="preserve"> n</w:t>
            </w:r>
            <w:r w:rsidRPr="007114AF">
              <w:rPr>
                <w:rFonts w:ascii="Garamond" w:hAnsi="Garamond" w:cs="Calibri"/>
                <w:color w:val="000000"/>
                <w:sz w:val="18"/>
                <w:szCs w:val="18"/>
              </w:rPr>
              <w:t xml:space="preserve">ë përputhje me kërkesat e raportimit të BE-së dhe </w:t>
            </w:r>
            <w:r w:rsidRPr="007114AF">
              <w:rPr>
                <w:rFonts w:ascii="Garamond" w:hAnsi="Garamond"/>
                <w:color w:val="000000"/>
                <w:sz w:val="18"/>
                <w:szCs w:val="18"/>
              </w:rPr>
              <w:t>UNFCCC –së.</w:t>
            </w:r>
          </w:p>
        </w:tc>
        <w:tc>
          <w:tcPr>
            <w:tcW w:w="1083" w:type="pct"/>
            <w:noWrap/>
            <w:vAlign w:val="center"/>
            <w:hideMark/>
          </w:tcPr>
          <w:p w14:paraId="6EDCFE56" w14:textId="77777777" w:rsidR="00A9766F" w:rsidRPr="007114AF" w:rsidRDefault="00A9766F" w:rsidP="00721B1B">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sz w:val="18"/>
                <w:szCs w:val="18"/>
              </w:rPr>
            </w:pPr>
            <w:r w:rsidRPr="007114AF">
              <w:rPr>
                <w:rFonts w:ascii="Garamond" w:eastAsia="Times New Roman" w:hAnsi="Garamond" w:cs="Times New Roman"/>
                <w:color w:val="000000"/>
                <w:sz w:val="18"/>
                <w:szCs w:val="18"/>
              </w:rPr>
              <w:t>SP.2; SP.5</w:t>
            </w:r>
          </w:p>
        </w:tc>
      </w:tr>
      <w:tr w:rsidR="00A9766F" w:rsidRPr="007114AF" w14:paraId="6EDCFE5A" w14:textId="77777777" w:rsidTr="00A9766F">
        <w:trPr>
          <w:trHeight w:val="300"/>
        </w:trPr>
        <w:tc>
          <w:tcPr>
            <w:cnfStyle w:val="001000000000" w:firstRow="0" w:lastRow="0" w:firstColumn="1" w:lastColumn="0" w:oddVBand="0" w:evenVBand="0" w:oddHBand="0" w:evenHBand="0" w:firstRowFirstColumn="0" w:firstRowLastColumn="0" w:lastRowFirstColumn="0" w:lastRowLastColumn="0"/>
            <w:tcW w:w="3917" w:type="pct"/>
            <w:noWrap/>
            <w:vAlign w:val="center"/>
            <w:hideMark/>
          </w:tcPr>
          <w:p w14:paraId="6EDCFE58" w14:textId="77777777" w:rsidR="00A9766F" w:rsidRPr="007114AF" w:rsidRDefault="00A9766F" w:rsidP="00037830">
            <w:pPr>
              <w:pStyle w:val="ListParagraph"/>
              <w:numPr>
                <w:ilvl w:val="0"/>
                <w:numId w:val="11"/>
              </w:numPr>
              <w:spacing w:before="0" w:after="0"/>
              <w:ind w:left="0" w:firstLine="0"/>
              <w:rPr>
                <w:rFonts w:ascii="Garamond" w:hAnsi="Garamond"/>
                <w:b w:val="0"/>
                <w:color w:val="000000"/>
                <w:sz w:val="18"/>
                <w:szCs w:val="18"/>
              </w:rPr>
            </w:pPr>
            <w:r w:rsidRPr="007114AF">
              <w:rPr>
                <w:rFonts w:ascii="Garamond" w:hAnsi="Garamond"/>
                <w:color w:val="000000"/>
                <w:sz w:val="18"/>
                <w:szCs w:val="18"/>
              </w:rPr>
              <w:t xml:space="preserve">Nxitja e </w:t>
            </w:r>
            <w:r w:rsidRPr="007114AF">
              <w:rPr>
                <w:rFonts w:ascii="Garamond" w:hAnsi="Garamond" w:cs="Calibri"/>
                <w:color w:val="000000"/>
                <w:sz w:val="18"/>
                <w:szCs w:val="18"/>
              </w:rPr>
              <w:t>aktiviteteve ndërgjegjësuese dhe edukuese që mbështetin veprimet e uljes së shkarkimeve.</w:t>
            </w:r>
          </w:p>
        </w:tc>
        <w:tc>
          <w:tcPr>
            <w:tcW w:w="1083" w:type="pct"/>
            <w:noWrap/>
            <w:vAlign w:val="center"/>
            <w:hideMark/>
          </w:tcPr>
          <w:p w14:paraId="6EDCFE59" w14:textId="77777777" w:rsidR="00A9766F" w:rsidRPr="007114AF" w:rsidRDefault="00A9766F" w:rsidP="00721B1B">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sz w:val="18"/>
                <w:szCs w:val="18"/>
              </w:rPr>
            </w:pPr>
            <w:r w:rsidRPr="007114AF">
              <w:rPr>
                <w:rFonts w:ascii="Garamond" w:eastAsia="Times New Roman" w:hAnsi="Garamond" w:cs="Times New Roman"/>
                <w:color w:val="000000"/>
                <w:sz w:val="18"/>
                <w:szCs w:val="18"/>
              </w:rPr>
              <w:t>SP.1; SP.5</w:t>
            </w:r>
          </w:p>
        </w:tc>
      </w:tr>
      <w:tr w:rsidR="00A9766F" w:rsidRPr="007114AF" w14:paraId="6EDCFE5D" w14:textId="77777777" w:rsidTr="00A9766F">
        <w:trPr>
          <w:trHeight w:val="300"/>
        </w:trPr>
        <w:tc>
          <w:tcPr>
            <w:cnfStyle w:val="001000000000" w:firstRow="0" w:lastRow="0" w:firstColumn="1" w:lastColumn="0" w:oddVBand="0" w:evenVBand="0" w:oddHBand="0" w:evenHBand="0" w:firstRowFirstColumn="0" w:firstRowLastColumn="0" w:lastRowFirstColumn="0" w:lastRowLastColumn="0"/>
            <w:tcW w:w="3917" w:type="pct"/>
            <w:noWrap/>
            <w:vAlign w:val="center"/>
            <w:hideMark/>
          </w:tcPr>
          <w:p w14:paraId="6EDCFE5B" w14:textId="77777777" w:rsidR="00A9766F" w:rsidRPr="007114AF" w:rsidRDefault="00A9766F" w:rsidP="00037830">
            <w:pPr>
              <w:pStyle w:val="ListParagraph"/>
              <w:numPr>
                <w:ilvl w:val="0"/>
                <w:numId w:val="11"/>
              </w:numPr>
              <w:spacing w:before="0" w:after="0"/>
              <w:ind w:left="0" w:firstLine="0"/>
              <w:rPr>
                <w:rFonts w:ascii="Garamond" w:hAnsi="Garamond"/>
                <w:b w:val="0"/>
                <w:color w:val="000000"/>
                <w:sz w:val="18"/>
                <w:szCs w:val="18"/>
              </w:rPr>
            </w:pPr>
            <w:r w:rsidRPr="007114AF">
              <w:rPr>
                <w:rFonts w:ascii="Garamond" w:hAnsi="Garamond"/>
                <w:color w:val="000000"/>
                <w:sz w:val="18"/>
                <w:szCs w:val="18"/>
              </w:rPr>
              <w:t xml:space="preserve">Nxitja e eficiencës së </w:t>
            </w:r>
            <w:r w:rsidRPr="007114AF">
              <w:rPr>
                <w:rFonts w:ascii="Garamond" w:hAnsi="Garamond" w:cs="Calibri"/>
                <w:color w:val="000000"/>
                <w:sz w:val="18"/>
                <w:szCs w:val="18"/>
              </w:rPr>
              <w:t>energjisë.</w:t>
            </w:r>
          </w:p>
        </w:tc>
        <w:tc>
          <w:tcPr>
            <w:tcW w:w="1083" w:type="pct"/>
            <w:noWrap/>
            <w:vAlign w:val="center"/>
            <w:hideMark/>
          </w:tcPr>
          <w:p w14:paraId="6EDCFE5C" w14:textId="77777777" w:rsidR="00A9766F" w:rsidRPr="007114AF" w:rsidRDefault="00A9766F" w:rsidP="00721B1B">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sz w:val="18"/>
                <w:szCs w:val="18"/>
              </w:rPr>
            </w:pPr>
            <w:r w:rsidRPr="007114AF">
              <w:rPr>
                <w:rFonts w:ascii="Garamond" w:eastAsia="Times New Roman" w:hAnsi="Garamond" w:cs="Times New Roman"/>
                <w:color w:val="000000"/>
                <w:sz w:val="18"/>
                <w:szCs w:val="18"/>
              </w:rPr>
              <w:t>SP.1; SP.6</w:t>
            </w:r>
          </w:p>
        </w:tc>
      </w:tr>
      <w:tr w:rsidR="00A9766F" w:rsidRPr="007114AF" w14:paraId="6EDCFE60" w14:textId="77777777" w:rsidTr="00A9766F">
        <w:trPr>
          <w:trHeight w:val="300"/>
        </w:trPr>
        <w:tc>
          <w:tcPr>
            <w:cnfStyle w:val="001000000000" w:firstRow="0" w:lastRow="0" w:firstColumn="1" w:lastColumn="0" w:oddVBand="0" w:evenVBand="0" w:oddHBand="0" w:evenHBand="0" w:firstRowFirstColumn="0" w:firstRowLastColumn="0" w:lastRowFirstColumn="0" w:lastRowLastColumn="0"/>
            <w:tcW w:w="3917" w:type="pct"/>
            <w:noWrap/>
            <w:vAlign w:val="center"/>
            <w:hideMark/>
          </w:tcPr>
          <w:p w14:paraId="6EDCFE5E" w14:textId="2EFCB76C" w:rsidR="00A9766F" w:rsidRPr="007114AF" w:rsidRDefault="00A9766F" w:rsidP="00037830">
            <w:pPr>
              <w:pStyle w:val="ListParagraph"/>
              <w:numPr>
                <w:ilvl w:val="0"/>
                <w:numId w:val="11"/>
              </w:numPr>
              <w:spacing w:before="0" w:after="0"/>
              <w:ind w:left="0" w:firstLine="0"/>
              <w:rPr>
                <w:rFonts w:ascii="Garamond" w:hAnsi="Garamond"/>
                <w:b w:val="0"/>
                <w:color w:val="000000"/>
                <w:sz w:val="18"/>
                <w:szCs w:val="18"/>
              </w:rPr>
            </w:pPr>
            <w:r w:rsidRPr="007114AF">
              <w:rPr>
                <w:rFonts w:ascii="Garamond" w:hAnsi="Garamond"/>
                <w:color w:val="000000"/>
                <w:sz w:val="18"/>
                <w:szCs w:val="18"/>
              </w:rPr>
              <w:t>Nxitja e</w:t>
            </w:r>
            <w:r w:rsidR="000A2A01" w:rsidRPr="007114AF">
              <w:rPr>
                <w:rFonts w:ascii="Garamond" w:hAnsi="Garamond"/>
                <w:color w:val="000000"/>
                <w:sz w:val="18"/>
                <w:szCs w:val="18"/>
              </w:rPr>
              <w:t xml:space="preserve"> </w:t>
            </w:r>
            <w:r w:rsidRPr="007114AF">
              <w:rPr>
                <w:rFonts w:ascii="Garamond" w:hAnsi="Garamond" w:cs="Calibri"/>
                <w:color w:val="000000"/>
                <w:sz w:val="18"/>
                <w:szCs w:val="18"/>
              </w:rPr>
              <w:t xml:space="preserve">Burimeve të </w:t>
            </w:r>
            <w:r w:rsidRPr="007114AF">
              <w:rPr>
                <w:rFonts w:ascii="Garamond" w:hAnsi="Garamond"/>
                <w:color w:val="000000"/>
                <w:sz w:val="18"/>
                <w:szCs w:val="18"/>
              </w:rPr>
              <w:t>Q</w:t>
            </w:r>
            <w:r w:rsidRPr="007114AF">
              <w:rPr>
                <w:rFonts w:ascii="Garamond" w:hAnsi="Garamond" w:cs="Calibri"/>
                <w:color w:val="000000"/>
                <w:sz w:val="18"/>
                <w:szCs w:val="18"/>
              </w:rPr>
              <w:t>ëndrueshme të Energjisë së Rinovueshme.</w:t>
            </w:r>
          </w:p>
        </w:tc>
        <w:tc>
          <w:tcPr>
            <w:tcW w:w="1083" w:type="pct"/>
            <w:noWrap/>
            <w:vAlign w:val="center"/>
            <w:hideMark/>
          </w:tcPr>
          <w:p w14:paraId="6EDCFE5F" w14:textId="77777777" w:rsidR="00A9766F" w:rsidRPr="007114AF" w:rsidRDefault="00A9766F" w:rsidP="00721B1B">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sz w:val="18"/>
                <w:szCs w:val="18"/>
              </w:rPr>
            </w:pPr>
            <w:r w:rsidRPr="007114AF">
              <w:rPr>
                <w:rFonts w:ascii="Garamond" w:eastAsia="Times New Roman" w:hAnsi="Garamond" w:cs="Times New Roman"/>
                <w:color w:val="000000"/>
                <w:sz w:val="18"/>
                <w:szCs w:val="18"/>
              </w:rPr>
              <w:t>SP.1; SP.6</w:t>
            </w:r>
          </w:p>
        </w:tc>
      </w:tr>
      <w:tr w:rsidR="00A9766F" w:rsidRPr="007114AF" w14:paraId="6EDCFE63" w14:textId="77777777" w:rsidTr="00A9766F">
        <w:trPr>
          <w:trHeight w:val="300"/>
        </w:trPr>
        <w:tc>
          <w:tcPr>
            <w:cnfStyle w:val="001000000000" w:firstRow="0" w:lastRow="0" w:firstColumn="1" w:lastColumn="0" w:oddVBand="0" w:evenVBand="0" w:oddHBand="0" w:evenHBand="0" w:firstRowFirstColumn="0" w:firstRowLastColumn="0" w:lastRowFirstColumn="0" w:lastRowLastColumn="0"/>
            <w:tcW w:w="3917" w:type="pct"/>
            <w:noWrap/>
            <w:vAlign w:val="center"/>
            <w:hideMark/>
          </w:tcPr>
          <w:p w14:paraId="6EDCFE61" w14:textId="77777777" w:rsidR="00A9766F" w:rsidRPr="007114AF" w:rsidRDefault="00A9766F" w:rsidP="00037830">
            <w:pPr>
              <w:pStyle w:val="ListParagraph"/>
              <w:numPr>
                <w:ilvl w:val="0"/>
                <w:numId w:val="11"/>
              </w:numPr>
              <w:spacing w:before="0" w:after="0"/>
              <w:ind w:left="0" w:firstLine="0"/>
              <w:rPr>
                <w:rFonts w:ascii="Garamond" w:hAnsi="Garamond"/>
                <w:b w:val="0"/>
                <w:color w:val="000000"/>
                <w:sz w:val="18"/>
                <w:szCs w:val="18"/>
              </w:rPr>
            </w:pPr>
            <w:r w:rsidRPr="007114AF">
              <w:rPr>
                <w:rFonts w:ascii="Garamond" w:hAnsi="Garamond"/>
                <w:color w:val="000000"/>
                <w:sz w:val="18"/>
                <w:szCs w:val="18"/>
              </w:rPr>
              <w:t>Nxitja e m</w:t>
            </w:r>
            <w:r w:rsidRPr="007114AF">
              <w:rPr>
                <w:rFonts w:ascii="Garamond" w:hAnsi="Garamond" w:cs="Calibri"/>
                <w:color w:val="000000"/>
                <w:sz w:val="18"/>
                <w:szCs w:val="18"/>
              </w:rPr>
              <w:t>ënyrave të qëndrueshme të transportit.</w:t>
            </w:r>
          </w:p>
        </w:tc>
        <w:tc>
          <w:tcPr>
            <w:tcW w:w="1083" w:type="pct"/>
            <w:noWrap/>
            <w:vAlign w:val="center"/>
            <w:hideMark/>
          </w:tcPr>
          <w:p w14:paraId="6EDCFE62" w14:textId="77777777" w:rsidR="00A9766F" w:rsidRPr="007114AF" w:rsidRDefault="00A9766F" w:rsidP="00721B1B">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sz w:val="18"/>
                <w:szCs w:val="18"/>
              </w:rPr>
            </w:pPr>
            <w:r w:rsidRPr="007114AF">
              <w:rPr>
                <w:rFonts w:ascii="Garamond" w:eastAsia="Times New Roman" w:hAnsi="Garamond" w:cs="Times New Roman"/>
                <w:color w:val="000000"/>
                <w:sz w:val="18"/>
                <w:szCs w:val="18"/>
              </w:rPr>
              <w:t>SP.1; SP.6</w:t>
            </w:r>
          </w:p>
        </w:tc>
      </w:tr>
      <w:tr w:rsidR="00A9766F" w:rsidRPr="007114AF" w14:paraId="6EDCFE66" w14:textId="77777777" w:rsidTr="00A9766F">
        <w:trPr>
          <w:trHeight w:val="300"/>
        </w:trPr>
        <w:tc>
          <w:tcPr>
            <w:cnfStyle w:val="001000000000" w:firstRow="0" w:lastRow="0" w:firstColumn="1" w:lastColumn="0" w:oddVBand="0" w:evenVBand="0" w:oddHBand="0" w:evenHBand="0" w:firstRowFirstColumn="0" w:firstRowLastColumn="0" w:lastRowFirstColumn="0" w:lastRowLastColumn="0"/>
            <w:tcW w:w="3917" w:type="pct"/>
            <w:noWrap/>
            <w:vAlign w:val="center"/>
            <w:hideMark/>
          </w:tcPr>
          <w:p w14:paraId="6EDCFE64" w14:textId="77777777" w:rsidR="00A9766F" w:rsidRPr="007114AF" w:rsidRDefault="00A9766F" w:rsidP="00037830">
            <w:pPr>
              <w:pStyle w:val="ListParagraph"/>
              <w:numPr>
                <w:ilvl w:val="0"/>
                <w:numId w:val="11"/>
              </w:numPr>
              <w:spacing w:before="0" w:after="0"/>
              <w:ind w:left="0" w:firstLine="0"/>
              <w:rPr>
                <w:rFonts w:ascii="Garamond" w:hAnsi="Garamond"/>
                <w:b w:val="0"/>
                <w:color w:val="000000"/>
                <w:sz w:val="18"/>
                <w:szCs w:val="18"/>
              </w:rPr>
            </w:pPr>
            <w:r w:rsidRPr="007114AF">
              <w:rPr>
                <w:rFonts w:ascii="Garamond" w:hAnsi="Garamond"/>
                <w:color w:val="000000"/>
                <w:sz w:val="18"/>
                <w:szCs w:val="18"/>
              </w:rPr>
              <w:t>Nxitja e nj</w:t>
            </w:r>
            <w:r w:rsidRPr="007114AF">
              <w:rPr>
                <w:rFonts w:ascii="Garamond" w:hAnsi="Garamond" w:cs="Calibri"/>
                <w:color w:val="000000"/>
                <w:sz w:val="18"/>
                <w:szCs w:val="18"/>
              </w:rPr>
              <w:t>ë sistemi mjetesh miqësore me mjedisin.</w:t>
            </w:r>
          </w:p>
        </w:tc>
        <w:tc>
          <w:tcPr>
            <w:tcW w:w="1083" w:type="pct"/>
            <w:noWrap/>
            <w:vAlign w:val="center"/>
            <w:hideMark/>
          </w:tcPr>
          <w:p w14:paraId="6EDCFE65" w14:textId="77777777" w:rsidR="00A9766F" w:rsidRPr="007114AF" w:rsidRDefault="00A9766F" w:rsidP="00721B1B">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sz w:val="18"/>
                <w:szCs w:val="18"/>
              </w:rPr>
            </w:pPr>
            <w:r w:rsidRPr="007114AF">
              <w:rPr>
                <w:rFonts w:ascii="Garamond" w:eastAsia="Times New Roman" w:hAnsi="Garamond" w:cs="Times New Roman"/>
                <w:color w:val="000000"/>
                <w:sz w:val="18"/>
                <w:szCs w:val="18"/>
              </w:rPr>
              <w:t>SP.1; SP.6</w:t>
            </w:r>
          </w:p>
        </w:tc>
      </w:tr>
      <w:tr w:rsidR="00A9766F" w:rsidRPr="007114AF" w14:paraId="6EDCFE69" w14:textId="77777777" w:rsidTr="00A9766F">
        <w:trPr>
          <w:trHeight w:val="300"/>
        </w:trPr>
        <w:tc>
          <w:tcPr>
            <w:cnfStyle w:val="001000000000" w:firstRow="0" w:lastRow="0" w:firstColumn="1" w:lastColumn="0" w:oddVBand="0" w:evenVBand="0" w:oddHBand="0" w:evenHBand="0" w:firstRowFirstColumn="0" w:firstRowLastColumn="0" w:lastRowFirstColumn="0" w:lastRowLastColumn="0"/>
            <w:tcW w:w="3917" w:type="pct"/>
            <w:noWrap/>
            <w:vAlign w:val="center"/>
            <w:hideMark/>
          </w:tcPr>
          <w:p w14:paraId="6EDCFE67" w14:textId="77777777" w:rsidR="00A9766F" w:rsidRPr="007114AF" w:rsidRDefault="00A9766F" w:rsidP="00037830">
            <w:pPr>
              <w:pStyle w:val="ListParagraph"/>
              <w:numPr>
                <w:ilvl w:val="0"/>
                <w:numId w:val="11"/>
              </w:numPr>
              <w:spacing w:before="0" w:after="0"/>
              <w:ind w:left="0" w:firstLine="0"/>
              <w:rPr>
                <w:rFonts w:ascii="Garamond" w:hAnsi="Garamond"/>
                <w:b w:val="0"/>
                <w:color w:val="000000"/>
                <w:sz w:val="18"/>
                <w:szCs w:val="18"/>
              </w:rPr>
            </w:pPr>
            <w:r w:rsidRPr="007114AF">
              <w:rPr>
                <w:rFonts w:ascii="Garamond" w:hAnsi="Garamond"/>
                <w:color w:val="000000"/>
                <w:sz w:val="18"/>
                <w:szCs w:val="18"/>
              </w:rPr>
              <w:t>Nxitja e shkarkimeve t</w:t>
            </w:r>
            <w:r w:rsidRPr="007114AF">
              <w:rPr>
                <w:rFonts w:ascii="Garamond" w:hAnsi="Garamond" w:cs="Calibri"/>
                <w:color w:val="000000"/>
                <w:sz w:val="18"/>
                <w:szCs w:val="18"/>
              </w:rPr>
              <w:t>ë ulëta të qëndrueshme për prodhimin e ushqimit.</w:t>
            </w:r>
          </w:p>
        </w:tc>
        <w:tc>
          <w:tcPr>
            <w:tcW w:w="1083" w:type="pct"/>
            <w:noWrap/>
            <w:vAlign w:val="center"/>
            <w:hideMark/>
          </w:tcPr>
          <w:p w14:paraId="6EDCFE68" w14:textId="77777777" w:rsidR="00A9766F" w:rsidRPr="007114AF" w:rsidRDefault="00A9766F" w:rsidP="00721B1B">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sz w:val="18"/>
                <w:szCs w:val="18"/>
              </w:rPr>
            </w:pPr>
            <w:r w:rsidRPr="007114AF">
              <w:rPr>
                <w:rFonts w:ascii="Garamond" w:eastAsia="Times New Roman" w:hAnsi="Garamond" w:cs="Times New Roman"/>
                <w:color w:val="000000"/>
                <w:sz w:val="18"/>
                <w:szCs w:val="18"/>
              </w:rPr>
              <w:t>SP.1; SP.6</w:t>
            </w:r>
          </w:p>
        </w:tc>
      </w:tr>
      <w:tr w:rsidR="00A9766F" w:rsidRPr="007114AF" w14:paraId="6EDCFE6C" w14:textId="77777777" w:rsidTr="00A9766F">
        <w:trPr>
          <w:trHeight w:val="300"/>
        </w:trPr>
        <w:tc>
          <w:tcPr>
            <w:cnfStyle w:val="001000000000" w:firstRow="0" w:lastRow="0" w:firstColumn="1" w:lastColumn="0" w:oddVBand="0" w:evenVBand="0" w:oddHBand="0" w:evenHBand="0" w:firstRowFirstColumn="0" w:firstRowLastColumn="0" w:lastRowFirstColumn="0" w:lastRowLastColumn="0"/>
            <w:tcW w:w="3917" w:type="pct"/>
            <w:noWrap/>
            <w:vAlign w:val="center"/>
            <w:hideMark/>
          </w:tcPr>
          <w:p w14:paraId="6EDCFE6A" w14:textId="77777777" w:rsidR="00A9766F" w:rsidRPr="007114AF" w:rsidRDefault="00A9766F" w:rsidP="00037830">
            <w:pPr>
              <w:pStyle w:val="ListParagraph"/>
              <w:numPr>
                <w:ilvl w:val="0"/>
                <w:numId w:val="11"/>
              </w:numPr>
              <w:spacing w:before="0" w:after="0"/>
              <w:ind w:left="0" w:firstLine="0"/>
              <w:rPr>
                <w:rFonts w:ascii="Garamond" w:hAnsi="Garamond"/>
                <w:b w:val="0"/>
                <w:color w:val="000000"/>
                <w:sz w:val="18"/>
                <w:szCs w:val="18"/>
              </w:rPr>
            </w:pPr>
            <w:r w:rsidRPr="007114AF">
              <w:rPr>
                <w:rFonts w:ascii="Garamond" w:hAnsi="Garamond" w:cs="Calibri"/>
                <w:color w:val="000000"/>
                <w:sz w:val="18"/>
                <w:szCs w:val="18"/>
              </w:rPr>
              <w:t>Mbajtja në kontroll dhe rritja e</w:t>
            </w:r>
            <w:r w:rsidRPr="007114AF">
              <w:rPr>
                <w:rFonts w:ascii="Garamond" w:hAnsi="Garamond"/>
                <w:color w:val="000000"/>
                <w:sz w:val="18"/>
                <w:szCs w:val="18"/>
              </w:rPr>
              <w:t xml:space="preserve"> p</w:t>
            </w:r>
            <w:r w:rsidRPr="007114AF">
              <w:rPr>
                <w:rFonts w:ascii="Garamond" w:hAnsi="Garamond" w:cs="Calibri"/>
                <w:color w:val="000000"/>
                <w:sz w:val="18"/>
                <w:szCs w:val="18"/>
              </w:rPr>
              <w:t xml:space="preserve">ërmbajtjes së karbonit </w:t>
            </w:r>
            <w:r w:rsidRPr="007114AF">
              <w:rPr>
                <w:rFonts w:ascii="Garamond" w:hAnsi="Garamond"/>
                <w:color w:val="000000"/>
                <w:sz w:val="18"/>
                <w:szCs w:val="18"/>
              </w:rPr>
              <w:t>n</w:t>
            </w:r>
            <w:r w:rsidRPr="007114AF">
              <w:rPr>
                <w:rFonts w:ascii="Garamond" w:hAnsi="Garamond" w:cs="Calibri"/>
                <w:color w:val="000000"/>
                <w:sz w:val="18"/>
                <w:szCs w:val="18"/>
              </w:rPr>
              <w:t>ë tokat bujqësore.</w:t>
            </w:r>
          </w:p>
        </w:tc>
        <w:tc>
          <w:tcPr>
            <w:tcW w:w="1083" w:type="pct"/>
            <w:noWrap/>
            <w:vAlign w:val="center"/>
            <w:hideMark/>
          </w:tcPr>
          <w:p w14:paraId="6EDCFE6B" w14:textId="77777777" w:rsidR="00A9766F" w:rsidRPr="007114AF" w:rsidRDefault="00A9766F" w:rsidP="00721B1B">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sz w:val="18"/>
                <w:szCs w:val="18"/>
              </w:rPr>
            </w:pPr>
            <w:r w:rsidRPr="007114AF">
              <w:rPr>
                <w:rFonts w:ascii="Garamond" w:eastAsia="Times New Roman" w:hAnsi="Garamond" w:cs="Times New Roman"/>
                <w:color w:val="000000"/>
                <w:sz w:val="18"/>
                <w:szCs w:val="18"/>
              </w:rPr>
              <w:t>SP.1; SP.6</w:t>
            </w:r>
          </w:p>
        </w:tc>
      </w:tr>
      <w:tr w:rsidR="00A9766F" w:rsidRPr="007114AF" w14:paraId="6EDCFE6F" w14:textId="77777777" w:rsidTr="00A9766F">
        <w:trPr>
          <w:trHeight w:val="300"/>
        </w:trPr>
        <w:tc>
          <w:tcPr>
            <w:cnfStyle w:val="001000000000" w:firstRow="0" w:lastRow="0" w:firstColumn="1" w:lastColumn="0" w:oddVBand="0" w:evenVBand="0" w:oddHBand="0" w:evenHBand="0" w:firstRowFirstColumn="0" w:firstRowLastColumn="0" w:lastRowFirstColumn="0" w:lastRowLastColumn="0"/>
            <w:tcW w:w="3917" w:type="pct"/>
            <w:noWrap/>
            <w:vAlign w:val="center"/>
          </w:tcPr>
          <w:p w14:paraId="6EDCFE6D" w14:textId="77777777" w:rsidR="00A9766F" w:rsidRPr="007114AF" w:rsidRDefault="00A9766F" w:rsidP="00037830">
            <w:pPr>
              <w:pStyle w:val="ListParagraph"/>
              <w:numPr>
                <w:ilvl w:val="0"/>
                <w:numId w:val="11"/>
              </w:numPr>
              <w:spacing w:before="0" w:after="0"/>
              <w:ind w:left="0" w:firstLine="0"/>
              <w:rPr>
                <w:rFonts w:ascii="Garamond" w:hAnsi="Garamond"/>
                <w:b w:val="0"/>
                <w:bCs w:val="0"/>
                <w:color w:val="000000"/>
                <w:sz w:val="18"/>
                <w:szCs w:val="18"/>
              </w:rPr>
            </w:pPr>
            <w:r w:rsidRPr="007114AF">
              <w:rPr>
                <w:rFonts w:ascii="Garamond" w:hAnsi="Garamond"/>
                <w:color w:val="000000"/>
                <w:sz w:val="18"/>
                <w:szCs w:val="18"/>
              </w:rPr>
              <w:t>Rritja e potencialit të përthithësve të karbonit dhe mbrojtja e rezervave të karbonit në ekosistemet tokësore.</w:t>
            </w:r>
          </w:p>
        </w:tc>
        <w:tc>
          <w:tcPr>
            <w:tcW w:w="1083" w:type="pct"/>
            <w:noWrap/>
            <w:vAlign w:val="center"/>
          </w:tcPr>
          <w:p w14:paraId="6EDCFE6E" w14:textId="77777777" w:rsidR="00A9766F" w:rsidRPr="007114AF" w:rsidRDefault="00A9766F" w:rsidP="00721B1B">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sz w:val="18"/>
                <w:szCs w:val="18"/>
              </w:rPr>
            </w:pPr>
            <w:r w:rsidRPr="007114AF">
              <w:rPr>
                <w:rFonts w:ascii="Garamond" w:eastAsia="Times New Roman" w:hAnsi="Garamond" w:cs="Times New Roman"/>
                <w:color w:val="000000"/>
                <w:sz w:val="18"/>
                <w:szCs w:val="18"/>
              </w:rPr>
              <w:t>SP.1; SP.6</w:t>
            </w:r>
          </w:p>
        </w:tc>
      </w:tr>
    </w:tbl>
    <w:p w14:paraId="6EDCFE70" w14:textId="77777777" w:rsidR="00A9766F" w:rsidRPr="007114AF" w:rsidRDefault="00A9766F" w:rsidP="00524E98">
      <w:pPr>
        <w:pStyle w:val="TEKSTI"/>
      </w:pPr>
    </w:p>
    <w:p w14:paraId="6EDCFE71" w14:textId="284383DF" w:rsidR="00A9766F" w:rsidRPr="007114AF" w:rsidRDefault="00A9766F" w:rsidP="00524E98">
      <w:pPr>
        <w:pStyle w:val="TEKSTI"/>
      </w:pPr>
      <w:r w:rsidRPr="007114AF">
        <w:rPr>
          <w:rFonts w:cstheme="minorHAnsi"/>
        </w:rPr>
        <w:t>Prandaj, objektivat e çdo sektori grupohen sipas njëmbëdhjetë objektivave të politikave kryesore, që tregojnë burimin e dokumenteve ku trajtohet</w:t>
      </w:r>
      <w:r w:rsidRPr="007114AF">
        <w:t>, p</w:t>
      </w:r>
      <w:r w:rsidRPr="007114AF">
        <w:rPr>
          <w:rFonts w:cstheme="minorHAnsi"/>
        </w:rPr>
        <w:t>ër t</w:t>
      </w:r>
      <w:r w:rsidR="00D10DAB" w:rsidRPr="007114AF">
        <w:rPr>
          <w:rFonts w:cstheme="minorHAnsi"/>
        </w:rPr>
        <w:t>’</w:t>
      </w:r>
      <w:r w:rsidRPr="007114AF">
        <w:rPr>
          <w:rFonts w:cstheme="minorHAnsi"/>
        </w:rPr>
        <w:t xml:space="preserve">i siguruar Qeverisë shqiptare një hartë strategjike mbi politikat që duhet të jenë prioritet </w:t>
      </w:r>
      <w:r w:rsidRPr="007114AF">
        <w:t>n</w:t>
      </w:r>
      <w:r w:rsidRPr="007114AF">
        <w:rPr>
          <w:rFonts w:cstheme="minorHAnsi"/>
        </w:rPr>
        <w:t>ë sektorë të ndryshëm në procesin e uljes së nivelit të karbonit</w:t>
      </w:r>
      <w:r w:rsidRPr="007114AF">
        <w:t>.</w:t>
      </w:r>
    </w:p>
    <w:p w14:paraId="6EDCFE72" w14:textId="77777777" w:rsidR="00BC2BE4" w:rsidRPr="007114AF" w:rsidRDefault="00BC2BE4" w:rsidP="00524E98">
      <w:pPr>
        <w:pStyle w:val="TEKSTI"/>
      </w:pPr>
    </w:p>
    <w:p w14:paraId="6EDCFE73" w14:textId="77777777" w:rsidR="0025723E" w:rsidRPr="007114AF" w:rsidRDefault="0025723E" w:rsidP="00524E98">
      <w:pPr>
        <w:pStyle w:val="TEKSTI"/>
      </w:pPr>
    </w:p>
    <w:p w14:paraId="6EDCFE74" w14:textId="77777777" w:rsidR="00721B1B" w:rsidRPr="007114AF" w:rsidRDefault="00721B1B" w:rsidP="00524E98">
      <w:pPr>
        <w:pStyle w:val="TEKSTI"/>
      </w:pPr>
    </w:p>
    <w:p w14:paraId="6EDCFE75" w14:textId="77777777" w:rsidR="00721B1B" w:rsidRPr="007114AF" w:rsidRDefault="00721B1B" w:rsidP="00524E98">
      <w:pPr>
        <w:pStyle w:val="TEKSTI"/>
      </w:pPr>
    </w:p>
    <w:p w14:paraId="6EDCFE76" w14:textId="77777777" w:rsidR="00721B1B" w:rsidRPr="007114AF" w:rsidRDefault="00721B1B" w:rsidP="00524E98">
      <w:pPr>
        <w:pStyle w:val="TEKSTI"/>
      </w:pPr>
    </w:p>
    <w:p w14:paraId="6EDCFE77" w14:textId="77777777" w:rsidR="00721B1B" w:rsidRPr="007114AF" w:rsidRDefault="00721B1B" w:rsidP="00524E98">
      <w:pPr>
        <w:pStyle w:val="TEKSTI"/>
      </w:pPr>
    </w:p>
    <w:p w14:paraId="6EDCFE78" w14:textId="77777777" w:rsidR="00721B1B" w:rsidRPr="007114AF" w:rsidRDefault="00721B1B" w:rsidP="00524E98">
      <w:pPr>
        <w:pStyle w:val="TEKSTI"/>
      </w:pPr>
    </w:p>
    <w:p w14:paraId="6EDCFE79" w14:textId="77777777" w:rsidR="00721B1B" w:rsidRPr="007114AF" w:rsidRDefault="00721B1B" w:rsidP="00524E98">
      <w:pPr>
        <w:pStyle w:val="TEKSTI"/>
      </w:pPr>
    </w:p>
    <w:p w14:paraId="6EDCFE7A" w14:textId="77777777" w:rsidR="00721B1B" w:rsidRPr="007114AF" w:rsidRDefault="00721B1B" w:rsidP="00524E98">
      <w:pPr>
        <w:pStyle w:val="TEKSTI"/>
      </w:pPr>
    </w:p>
    <w:p w14:paraId="6EDCFE7B" w14:textId="77777777" w:rsidR="00721B1B" w:rsidRPr="007114AF" w:rsidRDefault="00721B1B" w:rsidP="00524E98">
      <w:pPr>
        <w:pStyle w:val="TEKSTI"/>
      </w:pPr>
    </w:p>
    <w:p w14:paraId="6EDCFE7C" w14:textId="77777777" w:rsidR="00721B1B" w:rsidRPr="007114AF" w:rsidRDefault="00721B1B" w:rsidP="00524E98">
      <w:pPr>
        <w:pStyle w:val="TEKSTI"/>
      </w:pPr>
    </w:p>
    <w:p w14:paraId="6EDCFE7D" w14:textId="77777777" w:rsidR="00721B1B" w:rsidRPr="007114AF" w:rsidRDefault="00721B1B" w:rsidP="00524E98">
      <w:pPr>
        <w:pStyle w:val="TEKSTI"/>
      </w:pPr>
    </w:p>
    <w:p w14:paraId="6EDCFE7E" w14:textId="77777777" w:rsidR="00721B1B" w:rsidRPr="007114AF" w:rsidRDefault="00721B1B" w:rsidP="00524E98">
      <w:pPr>
        <w:pStyle w:val="TEKSTI"/>
      </w:pPr>
    </w:p>
    <w:p w14:paraId="6EDCFE7F" w14:textId="77777777" w:rsidR="00721B1B" w:rsidRPr="007114AF" w:rsidRDefault="00721B1B" w:rsidP="00524E98">
      <w:pPr>
        <w:pStyle w:val="TEKSTI"/>
      </w:pPr>
    </w:p>
    <w:p w14:paraId="6EDCFE80" w14:textId="77777777" w:rsidR="00721B1B" w:rsidRPr="007114AF" w:rsidRDefault="00721B1B" w:rsidP="00524E98">
      <w:pPr>
        <w:pStyle w:val="TEKSTI"/>
      </w:pPr>
    </w:p>
    <w:p w14:paraId="6EDCFE81" w14:textId="77777777" w:rsidR="00721B1B" w:rsidRPr="007114AF" w:rsidRDefault="00721B1B" w:rsidP="00524E98">
      <w:pPr>
        <w:pStyle w:val="TEKSTI"/>
      </w:pPr>
    </w:p>
    <w:p w14:paraId="6EDCFE82" w14:textId="77777777" w:rsidR="00721B1B" w:rsidRPr="007114AF" w:rsidRDefault="00721B1B" w:rsidP="00524E98">
      <w:pPr>
        <w:pStyle w:val="TEKSTI"/>
      </w:pPr>
    </w:p>
    <w:p w14:paraId="6EDCFE83" w14:textId="77777777" w:rsidR="00721B1B" w:rsidRPr="007114AF" w:rsidRDefault="00721B1B" w:rsidP="00524E98">
      <w:pPr>
        <w:pStyle w:val="TEKSTI"/>
      </w:pPr>
    </w:p>
    <w:p w14:paraId="6EDCFE84" w14:textId="77777777" w:rsidR="00721B1B" w:rsidRPr="007114AF" w:rsidRDefault="00721B1B" w:rsidP="00524E98">
      <w:pPr>
        <w:pStyle w:val="TEKSTI"/>
      </w:pPr>
    </w:p>
    <w:p w14:paraId="6EDCFE85" w14:textId="77777777" w:rsidR="00721B1B" w:rsidRPr="007114AF" w:rsidRDefault="00721B1B" w:rsidP="00524E98">
      <w:pPr>
        <w:pStyle w:val="TEKSTI"/>
      </w:pPr>
    </w:p>
    <w:p w14:paraId="6EDCFE86" w14:textId="77777777" w:rsidR="00721B1B" w:rsidRPr="007114AF" w:rsidRDefault="00721B1B" w:rsidP="00524E98">
      <w:pPr>
        <w:pStyle w:val="TEKSTI"/>
      </w:pPr>
    </w:p>
    <w:p w14:paraId="6EDCFE87" w14:textId="77777777" w:rsidR="00721B1B" w:rsidRPr="007114AF" w:rsidRDefault="00721B1B" w:rsidP="00524E98">
      <w:pPr>
        <w:pStyle w:val="TEKSTI"/>
      </w:pPr>
    </w:p>
    <w:p w14:paraId="6EDCFE88" w14:textId="77777777" w:rsidR="00721B1B" w:rsidRPr="007114AF" w:rsidRDefault="00721B1B" w:rsidP="00524E98">
      <w:pPr>
        <w:pStyle w:val="TEKSTI"/>
      </w:pPr>
    </w:p>
    <w:p w14:paraId="6EDCFE89" w14:textId="77777777" w:rsidR="00721B1B" w:rsidRPr="007114AF" w:rsidRDefault="00721B1B" w:rsidP="00524E98">
      <w:pPr>
        <w:pStyle w:val="TEKSTI"/>
      </w:pPr>
    </w:p>
    <w:p w14:paraId="6EDCFE8A" w14:textId="77777777" w:rsidR="00721B1B" w:rsidRPr="007114AF" w:rsidRDefault="00721B1B" w:rsidP="00524E98">
      <w:pPr>
        <w:pStyle w:val="TEKSTI"/>
      </w:pPr>
    </w:p>
    <w:p w14:paraId="6EDCFE8B" w14:textId="77777777" w:rsidR="00721B1B" w:rsidRPr="007114AF" w:rsidRDefault="00721B1B" w:rsidP="00524E98">
      <w:pPr>
        <w:pStyle w:val="TEKSTI"/>
      </w:pPr>
    </w:p>
    <w:p w14:paraId="6EDCFE8C" w14:textId="77777777" w:rsidR="00721B1B" w:rsidRPr="007114AF" w:rsidRDefault="00721B1B" w:rsidP="00524E98">
      <w:pPr>
        <w:pStyle w:val="TEKSTI"/>
      </w:pPr>
    </w:p>
    <w:p w14:paraId="6EDCFE8D" w14:textId="77777777" w:rsidR="00721B1B" w:rsidRPr="007114AF" w:rsidRDefault="00721B1B" w:rsidP="00524E98">
      <w:pPr>
        <w:pStyle w:val="TEKSTI"/>
      </w:pPr>
    </w:p>
    <w:p w14:paraId="6EDCFE8E" w14:textId="77777777" w:rsidR="00721B1B" w:rsidRPr="007114AF" w:rsidRDefault="00721B1B" w:rsidP="00524E98">
      <w:pPr>
        <w:pStyle w:val="TEKSTI"/>
      </w:pPr>
    </w:p>
    <w:p w14:paraId="6EDCFE8F" w14:textId="77777777" w:rsidR="00721B1B" w:rsidRPr="007114AF" w:rsidRDefault="00721B1B" w:rsidP="00524E98">
      <w:pPr>
        <w:pStyle w:val="TEKSTI"/>
      </w:pPr>
    </w:p>
    <w:p w14:paraId="6EDCFE90" w14:textId="77777777" w:rsidR="00721B1B" w:rsidRPr="007114AF" w:rsidRDefault="00721B1B" w:rsidP="00524E98">
      <w:pPr>
        <w:pStyle w:val="TEKSTI"/>
      </w:pPr>
    </w:p>
    <w:p w14:paraId="6EDCFE91" w14:textId="77777777" w:rsidR="00721B1B" w:rsidRPr="007114AF" w:rsidRDefault="00721B1B" w:rsidP="00524E98">
      <w:pPr>
        <w:pStyle w:val="TEKSTI"/>
      </w:pPr>
    </w:p>
    <w:p w14:paraId="6EDCFE92" w14:textId="77777777" w:rsidR="00721B1B" w:rsidRPr="007114AF" w:rsidRDefault="00721B1B" w:rsidP="00524E98">
      <w:pPr>
        <w:pStyle w:val="TEKSTI"/>
      </w:pPr>
    </w:p>
    <w:p w14:paraId="6EDCFE93" w14:textId="77777777" w:rsidR="00721B1B" w:rsidRPr="007114AF" w:rsidRDefault="00721B1B" w:rsidP="00524E98">
      <w:pPr>
        <w:pStyle w:val="TEKSTI"/>
      </w:pPr>
    </w:p>
    <w:p w14:paraId="6EDCFE94" w14:textId="77777777" w:rsidR="00721B1B" w:rsidRPr="007114AF" w:rsidRDefault="00721B1B" w:rsidP="00524E98">
      <w:pPr>
        <w:pStyle w:val="TEKSTI"/>
      </w:pPr>
    </w:p>
    <w:p w14:paraId="6EDCFE95" w14:textId="77777777" w:rsidR="00721B1B" w:rsidRPr="007114AF" w:rsidRDefault="00721B1B" w:rsidP="00524E98">
      <w:pPr>
        <w:pStyle w:val="TEKSTI"/>
      </w:pPr>
    </w:p>
    <w:p w14:paraId="6EDCFE96" w14:textId="77777777" w:rsidR="00721B1B" w:rsidRPr="007114AF" w:rsidRDefault="00721B1B" w:rsidP="00524E98">
      <w:pPr>
        <w:pStyle w:val="TEKSTI"/>
        <w:sectPr w:rsidR="00721B1B" w:rsidRPr="007114AF" w:rsidSect="00F72723">
          <w:pgSz w:w="11907" w:h="16840" w:code="9"/>
          <w:pgMar w:top="1418" w:right="1418" w:bottom="1418" w:left="1418" w:header="1304" w:footer="1134" w:gutter="0"/>
          <w:cols w:space="720"/>
          <w:docGrid w:linePitch="360"/>
        </w:sectPr>
      </w:pPr>
    </w:p>
    <w:p w14:paraId="6EDCFE97" w14:textId="232FF2BB" w:rsidR="00291489" w:rsidRPr="007114AF" w:rsidRDefault="00291489" w:rsidP="00291489">
      <w:pPr>
        <w:pStyle w:val="FIGURA"/>
      </w:pPr>
      <w:r w:rsidRPr="007114AF">
        <w:lastRenderedPageBreak/>
        <w:t xml:space="preserve">Tabela </w:t>
      </w:r>
      <w:r w:rsidRPr="007114AF">
        <w:fldChar w:fldCharType="begin"/>
      </w:r>
      <w:r w:rsidRPr="007114AF">
        <w:instrText xml:space="preserve"> SEQ Table \* ARABIC </w:instrText>
      </w:r>
      <w:r w:rsidRPr="007114AF">
        <w:fldChar w:fldCharType="separate"/>
      </w:r>
      <w:r w:rsidRPr="007114AF">
        <w:t>14</w:t>
      </w:r>
      <w:r w:rsidRPr="007114AF">
        <w:fldChar w:fldCharType="end"/>
      </w:r>
      <w:r w:rsidR="00C15277">
        <w:t xml:space="preserve"> </w:t>
      </w:r>
      <w:r w:rsidRPr="007114AF">
        <w:t>– Lista e objektivave</w:t>
      </w:r>
      <w:r w:rsidR="00C15277">
        <w:t xml:space="preserve"> </w:t>
      </w:r>
      <w:r w:rsidRPr="007114AF">
        <w:t>kryesor</w:t>
      </w:r>
      <w:r w:rsidR="00163F78">
        <w:t>ë</w:t>
      </w:r>
      <w:r w:rsidRPr="007114AF">
        <w:t xml:space="preserve"> politik</w:t>
      </w:r>
      <w:r w:rsidR="00163F78">
        <w:t>ë</w:t>
      </w:r>
      <w:r w:rsidR="00C15277">
        <w:t xml:space="preserve"> </w:t>
      </w:r>
      <w:r w:rsidRPr="007114AF">
        <w:t>që lidhen me objektiva specifikë për secilin sektor dhe burim</w:t>
      </w:r>
    </w:p>
    <w:tbl>
      <w:tblPr>
        <w:tblStyle w:val="Sfondomedio1-Colore11"/>
        <w:tblW w:w="5000" w:type="pct"/>
        <w:tblLayout w:type="fixed"/>
        <w:tblLook w:val="04A0" w:firstRow="1" w:lastRow="0" w:firstColumn="1" w:lastColumn="0" w:noHBand="0" w:noVBand="1"/>
      </w:tblPr>
      <w:tblGrid>
        <w:gridCol w:w="2658"/>
        <w:gridCol w:w="8319"/>
        <w:gridCol w:w="919"/>
        <w:gridCol w:w="2324"/>
      </w:tblGrid>
      <w:tr w:rsidR="008A4207" w:rsidRPr="007114AF" w14:paraId="6EDCFE9B" w14:textId="77777777" w:rsidTr="001C467C">
        <w:trPr>
          <w:trHeight w:val="20"/>
        </w:trPr>
        <w:tc>
          <w:tcPr>
            <w:tcW w:w="935" w:type="pct"/>
            <w:noWrap/>
            <w:vAlign w:val="center"/>
            <w:hideMark/>
          </w:tcPr>
          <w:p w14:paraId="6EDCFE98" w14:textId="77777777" w:rsidR="008A4207" w:rsidRPr="007114AF" w:rsidRDefault="008A4207" w:rsidP="001C467C">
            <w:pPr>
              <w:spacing w:after="0"/>
              <w:rPr>
                <w:rFonts w:ascii="Garamond" w:hAnsi="Garamond"/>
                <w:b/>
                <w:bCs/>
                <w:i/>
                <w:iCs/>
                <w:color w:val="000000" w:themeColor="text1"/>
                <w:u w:val="single"/>
              </w:rPr>
            </w:pPr>
            <w:r w:rsidRPr="007114AF">
              <w:rPr>
                <w:rFonts w:ascii="Garamond" w:hAnsi="Garamond"/>
                <w:b/>
                <w:bCs/>
                <w:i/>
                <w:iCs/>
                <w:color w:val="000000" w:themeColor="text1"/>
                <w:u w:val="single"/>
              </w:rPr>
              <w:t>Objektivi kryesor i politik</w:t>
            </w:r>
            <w:r w:rsidRPr="007114AF">
              <w:rPr>
                <w:rFonts w:ascii="Garamond" w:hAnsi="Garamond" w:cstheme="minorHAnsi"/>
                <w:b/>
                <w:bCs/>
                <w:i/>
                <w:iCs/>
                <w:color w:val="000000" w:themeColor="text1"/>
                <w:u w:val="single"/>
              </w:rPr>
              <w:t>ë</w:t>
            </w:r>
            <w:r w:rsidRPr="007114AF">
              <w:rPr>
                <w:rFonts w:ascii="Garamond" w:hAnsi="Garamond"/>
                <w:b/>
                <w:bCs/>
                <w:i/>
                <w:iCs/>
                <w:color w:val="000000" w:themeColor="text1"/>
                <w:u w:val="single"/>
              </w:rPr>
              <w:t>s /Sektori</w:t>
            </w:r>
          </w:p>
        </w:tc>
        <w:tc>
          <w:tcPr>
            <w:tcW w:w="2925" w:type="pct"/>
            <w:vAlign w:val="center"/>
            <w:hideMark/>
          </w:tcPr>
          <w:p w14:paraId="6EDCFE99" w14:textId="77777777" w:rsidR="008A4207" w:rsidRPr="007114AF" w:rsidRDefault="008A4207" w:rsidP="001C467C">
            <w:pPr>
              <w:spacing w:after="0"/>
              <w:rPr>
                <w:rFonts w:ascii="Garamond" w:hAnsi="Garamond"/>
                <w:b/>
                <w:bCs/>
                <w:i/>
                <w:iCs/>
                <w:color w:val="000000" w:themeColor="text1"/>
                <w:u w:val="single"/>
              </w:rPr>
            </w:pPr>
            <w:r w:rsidRPr="007114AF">
              <w:rPr>
                <w:rFonts w:ascii="Garamond" w:hAnsi="Garamond"/>
                <w:b/>
                <w:bCs/>
                <w:i/>
                <w:iCs/>
                <w:color w:val="000000" w:themeColor="text1"/>
                <w:u w:val="single"/>
              </w:rPr>
              <w:t>P</w:t>
            </w:r>
            <w:r w:rsidRPr="007114AF">
              <w:rPr>
                <w:rFonts w:ascii="Garamond" w:hAnsi="Garamond" w:cs="Calibri"/>
                <w:b/>
                <w:bCs/>
                <w:i/>
                <w:iCs/>
                <w:color w:val="000000" w:themeColor="text1"/>
                <w:u w:val="single"/>
              </w:rPr>
              <w:t>ë</w:t>
            </w:r>
            <w:r w:rsidRPr="007114AF">
              <w:rPr>
                <w:rFonts w:ascii="Garamond" w:hAnsi="Garamond"/>
                <w:b/>
                <w:bCs/>
                <w:i/>
                <w:iCs/>
                <w:color w:val="000000" w:themeColor="text1"/>
                <w:u w:val="single"/>
              </w:rPr>
              <w:t>rshkrimi</w:t>
            </w:r>
          </w:p>
        </w:tc>
        <w:tc>
          <w:tcPr>
            <w:tcW w:w="1140" w:type="pct"/>
            <w:gridSpan w:val="2"/>
            <w:noWrap/>
            <w:vAlign w:val="center"/>
            <w:hideMark/>
          </w:tcPr>
          <w:p w14:paraId="6EDCFE9A" w14:textId="77777777" w:rsidR="008A4207" w:rsidRPr="007114AF" w:rsidRDefault="008A4207" w:rsidP="001C467C">
            <w:pPr>
              <w:spacing w:after="0"/>
              <w:rPr>
                <w:rFonts w:ascii="Garamond" w:hAnsi="Garamond"/>
                <w:b/>
                <w:bCs/>
                <w:i/>
                <w:iCs/>
                <w:color w:val="000000" w:themeColor="text1"/>
                <w:u w:val="single"/>
              </w:rPr>
            </w:pPr>
            <w:r w:rsidRPr="007114AF">
              <w:rPr>
                <w:rFonts w:ascii="Garamond" w:hAnsi="Garamond"/>
                <w:b/>
                <w:bCs/>
                <w:i/>
                <w:iCs/>
                <w:color w:val="000000" w:themeColor="text1"/>
                <w:u w:val="single"/>
              </w:rPr>
              <w:t>Burimi</w:t>
            </w:r>
          </w:p>
        </w:tc>
      </w:tr>
      <w:tr w:rsidR="008A4207" w:rsidRPr="007114AF" w14:paraId="6EDCFE9D" w14:textId="77777777" w:rsidTr="001C467C">
        <w:trPr>
          <w:trHeight w:val="20"/>
        </w:trPr>
        <w:tc>
          <w:tcPr>
            <w:tcW w:w="5000" w:type="pct"/>
            <w:gridSpan w:val="4"/>
            <w:shd w:val="clear" w:color="auto" w:fill="C6D9F1" w:themeFill="text2" w:themeFillTint="33"/>
            <w:noWrap/>
            <w:vAlign w:val="center"/>
            <w:hideMark/>
          </w:tcPr>
          <w:p w14:paraId="6EDCFE9C" w14:textId="77777777" w:rsidR="008A4207" w:rsidRPr="007114AF" w:rsidRDefault="008A4207" w:rsidP="001C467C">
            <w:pPr>
              <w:spacing w:after="0"/>
              <w:rPr>
                <w:rFonts w:ascii="Garamond" w:hAnsi="Garamond"/>
                <w:b/>
                <w:bCs/>
                <w:color w:val="000000"/>
              </w:rPr>
            </w:pPr>
            <w:r w:rsidRPr="007114AF">
              <w:rPr>
                <w:rFonts w:ascii="Garamond" w:hAnsi="Garamond"/>
                <w:b/>
                <w:bCs/>
                <w:color w:val="000000"/>
              </w:rPr>
              <w:t>Ngritja e sistemit të të dhënave dhe sistemeve MRV për inventarin vjetor GES në përputhje me kërkesat e raportimit të BE-së dhe UNFCCC-ë (SP2; SP5)</w:t>
            </w:r>
          </w:p>
        </w:tc>
      </w:tr>
      <w:tr w:rsidR="008A4207" w:rsidRPr="007114AF" w14:paraId="6EDCFEA1" w14:textId="77777777" w:rsidTr="001C467C">
        <w:trPr>
          <w:trHeight w:val="20"/>
        </w:trPr>
        <w:tc>
          <w:tcPr>
            <w:tcW w:w="935" w:type="pct"/>
            <w:noWrap/>
            <w:vAlign w:val="center"/>
            <w:hideMark/>
          </w:tcPr>
          <w:p w14:paraId="6EDCFE9E" w14:textId="77777777" w:rsidR="008A4207" w:rsidRPr="007114AF" w:rsidRDefault="008A4207" w:rsidP="001C467C">
            <w:pPr>
              <w:spacing w:after="0"/>
              <w:rPr>
                <w:rFonts w:ascii="Garamond" w:hAnsi="Garamond"/>
                <w:i/>
                <w:color w:val="000000"/>
              </w:rPr>
            </w:pPr>
            <w:r w:rsidRPr="007114AF">
              <w:rPr>
                <w:rFonts w:ascii="Garamond" w:hAnsi="Garamond"/>
                <w:i/>
                <w:color w:val="000000"/>
              </w:rPr>
              <w:t>Energjia</w:t>
            </w:r>
          </w:p>
        </w:tc>
        <w:tc>
          <w:tcPr>
            <w:tcW w:w="3248" w:type="pct"/>
            <w:gridSpan w:val="2"/>
            <w:vAlign w:val="center"/>
            <w:hideMark/>
          </w:tcPr>
          <w:p w14:paraId="6EDCFE9F" w14:textId="445BDFDE" w:rsidR="008A4207" w:rsidRPr="007114AF" w:rsidRDefault="008A4207" w:rsidP="001C467C">
            <w:pPr>
              <w:spacing w:after="0"/>
              <w:rPr>
                <w:rFonts w:ascii="Garamond" w:hAnsi="Garamond"/>
                <w:color w:val="000000"/>
              </w:rPr>
            </w:pPr>
            <w:r w:rsidRPr="007114AF">
              <w:rPr>
                <w:rFonts w:ascii="Garamond" w:hAnsi="Garamond"/>
                <w:color w:val="000000"/>
              </w:rPr>
              <w:t>Krijimi</w:t>
            </w:r>
            <w:r w:rsidR="000A2A01" w:rsidRPr="007114AF">
              <w:rPr>
                <w:rFonts w:ascii="Garamond" w:hAnsi="Garamond"/>
                <w:color w:val="000000"/>
              </w:rPr>
              <w:t xml:space="preserve"> </w:t>
            </w:r>
            <w:r w:rsidRPr="007114AF">
              <w:rPr>
                <w:rFonts w:ascii="Garamond" w:hAnsi="Garamond"/>
                <w:color w:val="000000"/>
              </w:rPr>
              <w:t>i nj</w:t>
            </w:r>
            <w:r w:rsidRPr="007114AF">
              <w:rPr>
                <w:rFonts w:ascii="Garamond" w:hAnsi="Garamond" w:cs="Calibri"/>
                <w:color w:val="000000"/>
              </w:rPr>
              <w:t>ë baze të dhënash mbi energjinë e cila do të mbledhë gjithë informacionin që i duhet një sistemi monitorimi</w:t>
            </w:r>
          </w:p>
        </w:tc>
        <w:tc>
          <w:tcPr>
            <w:tcW w:w="817" w:type="pct"/>
            <w:noWrap/>
            <w:vAlign w:val="center"/>
            <w:hideMark/>
          </w:tcPr>
          <w:p w14:paraId="6EDCFEA0" w14:textId="584B8AAB" w:rsidR="008A4207" w:rsidRPr="007114AF" w:rsidRDefault="008A4207" w:rsidP="0028717C">
            <w:pPr>
              <w:spacing w:after="0"/>
              <w:ind w:left="-108"/>
              <w:rPr>
                <w:rFonts w:ascii="Garamond" w:hAnsi="Garamond"/>
                <w:color w:val="000000"/>
              </w:rPr>
            </w:pPr>
            <w:r w:rsidRPr="007114AF">
              <w:rPr>
                <w:rFonts w:ascii="Garamond" w:hAnsi="Garamond"/>
                <w:color w:val="000000"/>
              </w:rPr>
              <w:t>Ligji 124/2015 mbi Efic</w:t>
            </w:r>
            <w:r w:rsidR="0028717C">
              <w:rPr>
                <w:rFonts w:ascii="Garamond" w:hAnsi="Garamond"/>
                <w:color w:val="000000"/>
              </w:rPr>
              <w:t>i</w:t>
            </w:r>
            <w:r w:rsidRPr="007114AF">
              <w:rPr>
                <w:rFonts w:ascii="Garamond" w:hAnsi="Garamond"/>
                <w:color w:val="000000"/>
              </w:rPr>
              <w:t>encën e Energjis</w:t>
            </w:r>
            <w:r w:rsidRPr="007114AF">
              <w:rPr>
                <w:rFonts w:ascii="Garamond" w:hAnsi="Garamond" w:cs="Calibri"/>
                <w:color w:val="000000"/>
              </w:rPr>
              <w:t>ë</w:t>
            </w:r>
          </w:p>
        </w:tc>
      </w:tr>
      <w:tr w:rsidR="008A4207" w:rsidRPr="007114AF" w14:paraId="6EDCFEA5" w14:textId="77777777" w:rsidTr="001C467C">
        <w:trPr>
          <w:trHeight w:val="20"/>
        </w:trPr>
        <w:tc>
          <w:tcPr>
            <w:tcW w:w="935" w:type="pct"/>
            <w:noWrap/>
            <w:vAlign w:val="center"/>
            <w:hideMark/>
          </w:tcPr>
          <w:p w14:paraId="6EDCFEA2" w14:textId="77777777" w:rsidR="008A4207" w:rsidRPr="007114AF" w:rsidRDefault="008A4207" w:rsidP="001C467C">
            <w:pPr>
              <w:spacing w:after="0"/>
              <w:rPr>
                <w:rFonts w:ascii="Garamond" w:hAnsi="Garamond"/>
                <w:i/>
                <w:color w:val="000000"/>
              </w:rPr>
            </w:pPr>
            <w:r w:rsidRPr="007114AF">
              <w:rPr>
                <w:rFonts w:ascii="Garamond" w:hAnsi="Garamond"/>
                <w:i/>
                <w:color w:val="000000"/>
              </w:rPr>
              <w:t>Transporti</w:t>
            </w:r>
          </w:p>
        </w:tc>
        <w:tc>
          <w:tcPr>
            <w:tcW w:w="3248" w:type="pct"/>
            <w:gridSpan w:val="2"/>
            <w:vAlign w:val="center"/>
            <w:hideMark/>
          </w:tcPr>
          <w:p w14:paraId="6EDCFEA3" w14:textId="77777777" w:rsidR="008A4207" w:rsidRPr="007114AF" w:rsidRDefault="008A4207" w:rsidP="001C467C">
            <w:pPr>
              <w:spacing w:after="0"/>
              <w:rPr>
                <w:rFonts w:ascii="Garamond" w:hAnsi="Garamond"/>
                <w:color w:val="000000"/>
              </w:rPr>
            </w:pPr>
            <w:r w:rsidRPr="007114AF">
              <w:rPr>
                <w:rFonts w:ascii="Garamond" w:hAnsi="Garamond"/>
                <w:color w:val="000000"/>
              </w:rPr>
              <w:t>Konsolidimi i Sistemit Komb</w:t>
            </w:r>
            <w:r w:rsidRPr="007114AF">
              <w:rPr>
                <w:rFonts w:ascii="Garamond" w:hAnsi="Garamond" w:cs="Calibri"/>
                <w:color w:val="000000"/>
              </w:rPr>
              <w:t>ëtar të Monitorimit të Cilësisë së Ajrit dhe Trafikut</w:t>
            </w:r>
          </w:p>
        </w:tc>
        <w:tc>
          <w:tcPr>
            <w:tcW w:w="817" w:type="pct"/>
            <w:noWrap/>
            <w:vAlign w:val="center"/>
            <w:hideMark/>
          </w:tcPr>
          <w:p w14:paraId="6EDCFEA4" w14:textId="77777777" w:rsidR="008A4207" w:rsidRPr="007114AF" w:rsidRDefault="008A4207" w:rsidP="001C467C">
            <w:pPr>
              <w:spacing w:after="0"/>
              <w:ind w:left="-108"/>
              <w:rPr>
                <w:rFonts w:ascii="Garamond" w:hAnsi="Garamond"/>
                <w:color w:val="000000"/>
              </w:rPr>
            </w:pPr>
            <w:r w:rsidRPr="007114AF">
              <w:rPr>
                <w:rFonts w:ascii="Garamond" w:hAnsi="Garamond"/>
                <w:color w:val="000000"/>
              </w:rPr>
              <w:t>SMNS; TECTQ; OZHQ 13</w:t>
            </w:r>
          </w:p>
        </w:tc>
      </w:tr>
      <w:tr w:rsidR="008A4207" w:rsidRPr="007114AF" w14:paraId="6EDCFEA9" w14:textId="77777777" w:rsidTr="001C467C">
        <w:trPr>
          <w:trHeight w:val="20"/>
        </w:trPr>
        <w:tc>
          <w:tcPr>
            <w:tcW w:w="935" w:type="pct"/>
            <w:noWrap/>
            <w:vAlign w:val="center"/>
            <w:hideMark/>
          </w:tcPr>
          <w:p w14:paraId="6EDCFEA6" w14:textId="77777777" w:rsidR="008A4207" w:rsidRPr="007114AF" w:rsidRDefault="008A4207" w:rsidP="001C467C">
            <w:pPr>
              <w:spacing w:after="0"/>
              <w:rPr>
                <w:rFonts w:ascii="Garamond" w:hAnsi="Garamond"/>
                <w:i/>
                <w:color w:val="000000"/>
              </w:rPr>
            </w:pPr>
            <w:r w:rsidRPr="007114AF">
              <w:rPr>
                <w:rFonts w:ascii="Garamond" w:hAnsi="Garamond"/>
                <w:i/>
                <w:color w:val="000000"/>
              </w:rPr>
              <w:t>Bujq</w:t>
            </w:r>
            <w:r w:rsidRPr="007114AF">
              <w:rPr>
                <w:rFonts w:ascii="Garamond" w:hAnsi="Garamond" w:cs="Calibri"/>
                <w:i/>
                <w:color w:val="000000"/>
              </w:rPr>
              <w:t>ë</w:t>
            </w:r>
            <w:r w:rsidRPr="007114AF">
              <w:rPr>
                <w:rFonts w:ascii="Garamond" w:hAnsi="Garamond"/>
                <w:i/>
                <w:color w:val="000000"/>
              </w:rPr>
              <w:t>sia</w:t>
            </w:r>
          </w:p>
        </w:tc>
        <w:tc>
          <w:tcPr>
            <w:tcW w:w="3248" w:type="pct"/>
            <w:gridSpan w:val="2"/>
            <w:vAlign w:val="center"/>
            <w:hideMark/>
          </w:tcPr>
          <w:p w14:paraId="6EDCFEA7" w14:textId="77777777" w:rsidR="008A4207" w:rsidRPr="007114AF" w:rsidRDefault="008A4207" w:rsidP="001C467C">
            <w:pPr>
              <w:spacing w:after="0"/>
              <w:rPr>
                <w:rFonts w:ascii="Garamond" w:hAnsi="Garamond"/>
                <w:color w:val="000000"/>
              </w:rPr>
            </w:pPr>
            <w:r w:rsidRPr="007114AF">
              <w:rPr>
                <w:rFonts w:ascii="Garamond" w:hAnsi="Garamond"/>
                <w:color w:val="000000"/>
              </w:rPr>
              <w:t>Krijimi i nj</w:t>
            </w:r>
            <w:r w:rsidRPr="007114AF">
              <w:rPr>
                <w:rFonts w:ascii="Garamond" w:hAnsi="Garamond" w:cs="Calibri"/>
                <w:color w:val="000000"/>
              </w:rPr>
              <w:t>ë monitorimi të përhershëm kombëtar të tokave dhe aktiviteteve bujqësore</w:t>
            </w:r>
          </w:p>
        </w:tc>
        <w:tc>
          <w:tcPr>
            <w:tcW w:w="817" w:type="pct"/>
            <w:noWrap/>
            <w:vAlign w:val="center"/>
            <w:hideMark/>
          </w:tcPr>
          <w:p w14:paraId="6EDCFEA8" w14:textId="77777777" w:rsidR="008A4207" w:rsidRPr="007114AF" w:rsidRDefault="008A4207" w:rsidP="001C467C">
            <w:pPr>
              <w:spacing w:after="0"/>
              <w:ind w:left="-108"/>
              <w:rPr>
                <w:rFonts w:ascii="Garamond" w:hAnsi="Garamond"/>
                <w:color w:val="000000"/>
              </w:rPr>
            </w:pPr>
            <w:r w:rsidRPr="007114AF">
              <w:rPr>
                <w:rFonts w:ascii="Garamond" w:hAnsi="Garamond"/>
                <w:color w:val="000000"/>
              </w:rPr>
              <w:t>Dokumenti i SKNK; OZHQ 13</w:t>
            </w:r>
          </w:p>
        </w:tc>
      </w:tr>
      <w:tr w:rsidR="008A4207" w:rsidRPr="007114AF" w14:paraId="6EDCFEAD" w14:textId="77777777" w:rsidTr="001C467C">
        <w:trPr>
          <w:trHeight w:val="20"/>
        </w:trPr>
        <w:tc>
          <w:tcPr>
            <w:tcW w:w="935" w:type="pct"/>
            <w:noWrap/>
            <w:vAlign w:val="center"/>
            <w:hideMark/>
          </w:tcPr>
          <w:p w14:paraId="6EDCFEAA" w14:textId="77777777" w:rsidR="008A4207" w:rsidRPr="007114AF" w:rsidRDefault="008A4207" w:rsidP="001C467C">
            <w:pPr>
              <w:spacing w:after="0"/>
              <w:rPr>
                <w:rFonts w:ascii="Garamond" w:hAnsi="Garamond"/>
                <w:i/>
                <w:color w:val="000000"/>
              </w:rPr>
            </w:pPr>
            <w:r w:rsidRPr="007114AF">
              <w:rPr>
                <w:rFonts w:ascii="Garamond" w:hAnsi="Garamond"/>
                <w:i/>
                <w:color w:val="000000"/>
              </w:rPr>
              <w:t>LUCF-ja</w:t>
            </w:r>
          </w:p>
        </w:tc>
        <w:tc>
          <w:tcPr>
            <w:tcW w:w="3248" w:type="pct"/>
            <w:gridSpan w:val="2"/>
            <w:vAlign w:val="center"/>
            <w:hideMark/>
          </w:tcPr>
          <w:p w14:paraId="6EDCFEAB" w14:textId="77777777" w:rsidR="008A4207" w:rsidRPr="007114AF" w:rsidRDefault="008A4207" w:rsidP="001C467C">
            <w:pPr>
              <w:spacing w:after="0"/>
              <w:rPr>
                <w:rFonts w:ascii="Garamond" w:hAnsi="Garamond"/>
                <w:color w:val="000000"/>
              </w:rPr>
            </w:pPr>
            <w:r w:rsidRPr="007114AF">
              <w:rPr>
                <w:rFonts w:ascii="Garamond" w:hAnsi="Garamond"/>
                <w:color w:val="000000"/>
              </w:rPr>
              <w:t>Krijimi i nj</w:t>
            </w:r>
            <w:r w:rsidRPr="007114AF">
              <w:rPr>
                <w:rFonts w:ascii="Garamond" w:hAnsi="Garamond" w:cs="Calibri"/>
                <w:color w:val="000000"/>
              </w:rPr>
              <w:t>ë monitorimi të përhershëm kombëtar të pyjeve dhe kullotave</w:t>
            </w:r>
            <w:r w:rsidRPr="007114AF">
              <w:rPr>
                <w:rFonts w:ascii="Garamond" w:hAnsi="Garamond"/>
                <w:color w:val="000000"/>
              </w:rPr>
              <w:t>, q</w:t>
            </w:r>
            <w:r w:rsidRPr="007114AF">
              <w:rPr>
                <w:rFonts w:ascii="Garamond" w:hAnsi="Garamond" w:cs="Calibri"/>
                <w:color w:val="000000"/>
              </w:rPr>
              <w:t>ë përfshijnë zonat e konservimit</w:t>
            </w:r>
          </w:p>
        </w:tc>
        <w:tc>
          <w:tcPr>
            <w:tcW w:w="817" w:type="pct"/>
            <w:noWrap/>
            <w:vAlign w:val="center"/>
            <w:hideMark/>
          </w:tcPr>
          <w:p w14:paraId="6EDCFEAC" w14:textId="77777777" w:rsidR="008A4207" w:rsidRPr="007114AF" w:rsidRDefault="008A4207" w:rsidP="001C467C">
            <w:pPr>
              <w:spacing w:after="0"/>
              <w:ind w:left="-108"/>
              <w:rPr>
                <w:rFonts w:ascii="Garamond" w:hAnsi="Garamond"/>
                <w:color w:val="000000"/>
              </w:rPr>
            </w:pPr>
            <w:r w:rsidRPr="007114AF">
              <w:rPr>
                <w:rFonts w:ascii="Garamond" w:hAnsi="Garamond"/>
                <w:color w:val="000000"/>
              </w:rPr>
              <w:t>SMNS; SKZHI-II; DPSMB; Projektligji i fondit të pyjeve dhe kullotave; OZHQ 13</w:t>
            </w:r>
          </w:p>
        </w:tc>
      </w:tr>
      <w:tr w:rsidR="008A4207" w:rsidRPr="007114AF" w14:paraId="6EDCFEAF" w14:textId="77777777" w:rsidTr="001C467C">
        <w:trPr>
          <w:trHeight w:val="20"/>
        </w:trPr>
        <w:tc>
          <w:tcPr>
            <w:tcW w:w="5000" w:type="pct"/>
            <w:gridSpan w:val="4"/>
            <w:shd w:val="clear" w:color="auto" w:fill="C6D9F1" w:themeFill="text2" w:themeFillTint="33"/>
            <w:noWrap/>
            <w:vAlign w:val="center"/>
            <w:hideMark/>
          </w:tcPr>
          <w:p w14:paraId="6EDCFEAE" w14:textId="77777777" w:rsidR="008A4207" w:rsidRPr="007114AF" w:rsidRDefault="008A4207" w:rsidP="001C467C">
            <w:pPr>
              <w:spacing w:after="0"/>
              <w:ind w:left="-108"/>
              <w:rPr>
                <w:rFonts w:ascii="Garamond" w:hAnsi="Garamond"/>
                <w:color w:val="000000"/>
              </w:rPr>
            </w:pPr>
            <w:r w:rsidRPr="007114AF">
              <w:rPr>
                <w:rFonts w:ascii="Garamond" w:hAnsi="Garamond"/>
                <w:b/>
                <w:bCs/>
                <w:color w:val="000000"/>
              </w:rPr>
              <w:t>Përpjekja për të përmbushur Kontributin e Synuar të Përcaktuar në Nivel Kombëtar në kuadrin e Marrëveshjessë Parisit (SP1)</w:t>
            </w:r>
          </w:p>
        </w:tc>
      </w:tr>
      <w:tr w:rsidR="008A4207" w:rsidRPr="007114AF" w14:paraId="6EDCFEB4" w14:textId="77777777" w:rsidTr="001C467C">
        <w:trPr>
          <w:trHeight w:val="20"/>
        </w:trPr>
        <w:tc>
          <w:tcPr>
            <w:tcW w:w="935" w:type="pct"/>
            <w:vMerge w:val="restart"/>
            <w:noWrap/>
            <w:vAlign w:val="center"/>
            <w:hideMark/>
          </w:tcPr>
          <w:p w14:paraId="6EDCFEB0" w14:textId="77777777" w:rsidR="008A4207" w:rsidRPr="007114AF" w:rsidRDefault="008A4207" w:rsidP="001C467C">
            <w:pPr>
              <w:spacing w:after="0"/>
              <w:rPr>
                <w:rFonts w:ascii="Garamond" w:hAnsi="Garamond"/>
                <w:color w:val="000000"/>
              </w:rPr>
            </w:pPr>
            <w:r w:rsidRPr="007114AF">
              <w:rPr>
                <w:rFonts w:ascii="Garamond" w:hAnsi="Garamond"/>
                <w:i/>
                <w:color w:val="000000"/>
              </w:rPr>
              <w:t>Ndërsektoriale</w:t>
            </w:r>
          </w:p>
          <w:p w14:paraId="6EDCFEB1" w14:textId="77777777" w:rsidR="008A4207" w:rsidRPr="007114AF" w:rsidRDefault="008A4207" w:rsidP="001C467C">
            <w:pPr>
              <w:spacing w:after="0"/>
              <w:rPr>
                <w:rFonts w:ascii="Garamond" w:hAnsi="Garamond"/>
                <w:color w:val="000000"/>
              </w:rPr>
            </w:pPr>
          </w:p>
        </w:tc>
        <w:tc>
          <w:tcPr>
            <w:tcW w:w="3248" w:type="pct"/>
            <w:gridSpan w:val="2"/>
            <w:vAlign w:val="center"/>
            <w:hideMark/>
          </w:tcPr>
          <w:p w14:paraId="6EDCFEB2" w14:textId="77777777" w:rsidR="008A4207" w:rsidRPr="007114AF" w:rsidRDefault="008A4207" w:rsidP="001C467C">
            <w:pPr>
              <w:spacing w:after="0"/>
              <w:rPr>
                <w:rFonts w:ascii="Garamond" w:hAnsi="Garamond"/>
                <w:color w:val="000000"/>
              </w:rPr>
            </w:pPr>
            <w:r w:rsidRPr="007114AF">
              <w:rPr>
                <w:rFonts w:ascii="Garamond" w:hAnsi="Garamond"/>
                <w:color w:val="000000"/>
              </w:rPr>
              <w:t>Ulja e shkarkimeve CO</w:t>
            </w:r>
            <w:r w:rsidRPr="007114AF">
              <w:rPr>
                <w:rFonts w:ascii="Garamond" w:hAnsi="Garamond"/>
                <w:color w:val="000000"/>
                <w:vertAlign w:val="subscript"/>
              </w:rPr>
              <w:t>2</w:t>
            </w:r>
            <w:r w:rsidRPr="007114AF">
              <w:rPr>
                <w:rFonts w:ascii="Garamond" w:hAnsi="Garamond"/>
                <w:color w:val="000000"/>
              </w:rPr>
              <w:t>krahasuar me skenarin baz</w:t>
            </w:r>
            <w:r w:rsidRPr="007114AF">
              <w:rPr>
                <w:rFonts w:ascii="Garamond" w:hAnsi="Garamond" w:cs="Calibri"/>
                <w:color w:val="000000"/>
              </w:rPr>
              <w:t xml:space="preserve">ë në periudhën </w:t>
            </w:r>
            <w:r w:rsidRPr="007114AF">
              <w:rPr>
                <w:rFonts w:ascii="Garamond" w:hAnsi="Garamond"/>
                <w:color w:val="000000"/>
              </w:rPr>
              <w:t>2016 dhe 2030 n</w:t>
            </w:r>
            <w:r w:rsidRPr="007114AF">
              <w:rPr>
                <w:rFonts w:ascii="Garamond" w:hAnsi="Garamond" w:cs="Calibri"/>
                <w:color w:val="000000"/>
              </w:rPr>
              <w:t xml:space="preserve">ë masën </w:t>
            </w:r>
            <w:r w:rsidRPr="007114AF">
              <w:rPr>
                <w:rFonts w:ascii="Garamond" w:hAnsi="Garamond"/>
                <w:color w:val="000000"/>
              </w:rPr>
              <w:t>11.5%. Kjo do t</w:t>
            </w:r>
            <w:r w:rsidRPr="007114AF">
              <w:rPr>
                <w:rFonts w:ascii="Garamond" w:hAnsi="Garamond" w:cs="Calibri"/>
                <w:color w:val="000000"/>
              </w:rPr>
              <w:t xml:space="preserve">ë thotë </w:t>
            </w:r>
            <w:r w:rsidRPr="007114AF">
              <w:rPr>
                <w:rFonts w:ascii="Garamond" w:hAnsi="Garamond"/>
                <w:color w:val="000000"/>
              </w:rPr>
              <w:t>708 kt CO</w:t>
            </w:r>
            <w:r w:rsidRPr="007114AF">
              <w:rPr>
                <w:rFonts w:ascii="Garamond" w:hAnsi="Garamond"/>
                <w:color w:val="000000"/>
                <w:vertAlign w:val="subscript"/>
              </w:rPr>
              <w:t xml:space="preserve">2 </w:t>
            </w:r>
            <w:r w:rsidRPr="007114AF">
              <w:rPr>
                <w:rFonts w:ascii="Garamond" w:hAnsi="Garamond"/>
                <w:color w:val="000000"/>
              </w:rPr>
              <w:t>ulje deri n</w:t>
            </w:r>
            <w:r w:rsidRPr="007114AF">
              <w:rPr>
                <w:rFonts w:ascii="Garamond" w:hAnsi="Garamond" w:cs="Calibri"/>
                <w:color w:val="000000"/>
              </w:rPr>
              <w:t>ë vitin</w:t>
            </w:r>
            <w:r w:rsidRPr="007114AF">
              <w:rPr>
                <w:rFonts w:ascii="Garamond" w:hAnsi="Garamond"/>
                <w:color w:val="000000"/>
              </w:rPr>
              <w:t xml:space="preserve"> 2030</w:t>
            </w:r>
          </w:p>
        </w:tc>
        <w:tc>
          <w:tcPr>
            <w:tcW w:w="817" w:type="pct"/>
            <w:noWrap/>
            <w:vAlign w:val="center"/>
            <w:hideMark/>
          </w:tcPr>
          <w:p w14:paraId="6EDCFEB3" w14:textId="77777777" w:rsidR="008A4207" w:rsidRPr="007114AF" w:rsidRDefault="008A4207" w:rsidP="001C467C">
            <w:pPr>
              <w:spacing w:after="0"/>
              <w:ind w:left="-108"/>
              <w:rPr>
                <w:rFonts w:ascii="Garamond" w:hAnsi="Garamond"/>
                <w:color w:val="000000"/>
              </w:rPr>
            </w:pPr>
            <w:r w:rsidRPr="007114AF">
              <w:rPr>
                <w:rFonts w:ascii="Garamond" w:hAnsi="Garamond"/>
                <w:color w:val="000000"/>
              </w:rPr>
              <w:t>INDC; OZHQ 13</w:t>
            </w:r>
          </w:p>
        </w:tc>
      </w:tr>
      <w:tr w:rsidR="008A4207" w:rsidRPr="007114AF" w14:paraId="6EDCFEB8" w14:textId="77777777" w:rsidTr="001C467C">
        <w:trPr>
          <w:trHeight w:val="20"/>
        </w:trPr>
        <w:tc>
          <w:tcPr>
            <w:tcW w:w="935" w:type="pct"/>
            <w:vMerge/>
            <w:noWrap/>
            <w:vAlign w:val="center"/>
            <w:hideMark/>
          </w:tcPr>
          <w:p w14:paraId="6EDCFEB5" w14:textId="77777777" w:rsidR="008A4207" w:rsidRPr="007114AF" w:rsidRDefault="008A4207" w:rsidP="001C467C">
            <w:pPr>
              <w:spacing w:after="0"/>
              <w:rPr>
                <w:rFonts w:ascii="Garamond" w:hAnsi="Garamond"/>
                <w:color w:val="000000"/>
              </w:rPr>
            </w:pPr>
          </w:p>
        </w:tc>
        <w:tc>
          <w:tcPr>
            <w:tcW w:w="3248" w:type="pct"/>
            <w:gridSpan w:val="2"/>
            <w:vAlign w:val="center"/>
            <w:hideMark/>
          </w:tcPr>
          <w:p w14:paraId="6EDCFEB6" w14:textId="77777777" w:rsidR="008A4207" w:rsidRPr="007114AF" w:rsidRDefault="008A4207" w:rsidP="001C467C">
            <w:pPr>
              <w:spacing w:after="0"/>
              <w:rPr>
                <w:rFonts w:ascii="Garamond" w:hAnsi="Garamond"/>
                <w:color w:val="000000"/>
              </w:rPr>
            </w:pPr>
            <w:r w:rsidRPr="007114AF">
              <w:rPr>
                <w:rFonts w:ascii="Garamond" w:hAnsi="Garamond"/>
                <w:color w:val="000000"/>
              </w:rPr>
              <w:t>Rishikim t</w:t>
            </w:r>
            <w:r w:rsidRPr="007114AF">
              <w:rPr>
                <w:rFonts w:ascii="Garamond" w:hAnsi="Garamond" w:cs="Calibri"/>
                <w:color w:val="000000"/>
              </w:rPr>
              <w:t>ë objektivave të</w:t>
            </w:r>
            <w:r w:rsidRPr="007114AF">
              <w:rPr>
                <w:rFonts w:ascii="Garamond" w:hAnsi="Garamond"/>
                <w:color w:val="000000"/>
              </w:rPr>
              <w:t>INDC-sëderi n</w:t>
            </w:r>
            <w:r w:rsidRPr="007114AF">
              <w:rPr>
                <w:rFonts w:ascii="Garamond" w:hAnsi="Garamond" w:cs="Calibri"/>
                <w:color w:val="000000"/>
              </w:rPr>
              <w:t>ë vitin 2</w:t>
            </w:r>
            <w:r w:rsidRPr="007114AF">
              <w:rPr>
                <w:rFonts w:ascii="Garamond" w:hAnsi="Garamond"/>
                <w:color w:val="000000"/>
              </w:rPr>
              <w:t>020, p</w:t>
            </w:r>
            <w:r w:rsidRPr="007114AF">
              <w:rPr>
                <w:rFonts w:ascii="Garamond" w:hAnsi="Garamond" w:cs="Calibri"/>
                <w:color w:val="000000"/>
              </w:rPr>
              <w:t>ër përfshirjen e gazeve të tjera përveç</w:t>
            </w:r>
            <w:r w:rsidRPr="007114AF">
              <w:rPr>
                <w:rFonts w:ascii="Garamond" w:hAnsi="Garamond"/>
                <w:color w:val="000000"/>
              </w:rPr>
              <w:t xml:space="preserve"> CO</w:t>
            </w:r>
            <w:r w:rsidRPr="007114AF">
              <w:rPr>
                <w:rFonts w:ascii="Garamond" w:hAnsi="Garamond"/>
                <w:color w:val="000000"/>
                <w:vertAlign w:val="subscript"/>
              </w:rPr>
              <w:t>2</w:t>
            </w:r>
            <w:r w:rsidRPr="007114AF">
              <w:rPr>
                <w:rFonts w:ascii="Garamond" w:hAnsi="Garamond"/>
                <w:color w:val="000000"/>
              </w:rPr>
              <w:t>, dhe sektor</w:t>
            </w:r>
            <w:r w:rsidRPr="007114AF">
              <w:rPr>
                <w:rFonts w:ascii="Garamond" w:hAnsi="Garamond" w:cs="Calibri"/>
                <w:color w:val="000000"/>
              </w:rPr>
              <w:t xml:space="preserve">ëve të tjerë, si Bujqësia dhe </w:t>
            </w:r>
            <w:r w:rsidRPr="007114AF">
              <w:rPr>
                <w:rFonts w:ascii="Garamond" w:hAnsi="Garamond"/>
                <w:color w:val="000000"/>
              </w:rPr>
              <w:t>LUCF-ja</w:t>
            </w:r>
          </w:p>
        </w:tc>
        <w:tc>
          <w:tcPr>
            <w:tcW w:w="817" w:type="pct"/>
            <w:noWrap/>
            <w:vAlign w:val="center"/>
            <w:hideMark/>
          </w:tcPr>
          <w:p w14:paraId="6EDCFEB7" w14:textId="77777777" w:rsidR="008A4207" w:rsidRPr="007114AF" w:rsidRDefault="008A4207" w:rsidP="001C467C">
            <w:pPr>
              <w:spacing w:after="0"/>
              <w:ind w:left="-108"/>
              <w:rPr>
                <w:rFonts w:ascii="Garamond" w:hAnsi="Garamond"/>
                <w:color w:val="000000"/>
              </w:rPr>
            </w:pPr>
            <w:r w:rsidRPr="007114AF">
              <w:rPr>
                <w:rFonts w:ascii="Garamond" w:hAnsi="Garamond"/>
                <w:color w:val="000000"/>
              </w:rPr>
              <w:t>INDC; OZHQ 13</w:t>
            </w:r>
          </w:p>
        </w:tc>
      </w:tr>
      <w:tr w:rsidR="008A4207" w:rsidRPr="007114AF" w14:paraId="6EDCFEBC" w14:textId="77777777" w:rsidTr="001C467C">
        <w:trPr>
          <w:trHeight w:val="20"/>
        </w:trPr>
        <w:tc>
          <w:tcPr>
            <w:tcW w:w="935" w:type="pct"/>
            <w:vMerge/>
            <w:noWrap/>
            <w:vAlign w:val="center"/>
            <w:hideMark/>
          </w:tcPr>
          <w:p w14:paraId="6EDCFEB9" w14:textId="77777777" w:rsidR="008A4207" w:rsidRPr="007114AF" w:rsidRDefault="008A4207" w:rsidP="001C467C">
            <w:pPr>
              <w:spacing w:after="0"/>
              <w:rPr>
                <w:rFonts w:ascii="Garamond" w:hAnsi="Garamond"/>
                <w:color w:val="000000"/>
              </w:rPr>
            </w:pPr>
          </w:p>
        </w:tc>
        <w:tc>
          <w:tcPr>
            <w:tcW w:w="3248" w:type="pct"/>
            <w:gridSpan w:val="2"/>
            <w:vAlign w:val="center"/>
            <w:hideMark/>
          </w:tcPr>
          <w:p w14:paraId="6EDCFEBA" w14:textId="77777777" w:rsidR="008A4207" w:rsidRPr="007114AF" w:rsidRDefault="008A4207" w:rsidP="001C467C">
            <w:pPr>
              <w:spacing w:after="0"/>
              <w:rPr>
                <w:rFonts w:ascii="Garamond" w:hAnsi="Garamond"/>
                <w:color w:val="000000"/>
              </w:rPr>
            </w:pPr>
            <w:r w:rsidRPr="007114AF">
              <w:rPr>
                <w:rFonts w:ascii="Garamond" w:hAnsi="Garamond"/>
                <w:color w:val="000000"/>
              </w:rPr>
              <w:t xml:space="preserve">Integrimi i </w:t>
            </w:r>
            <w:r w:rsidRPr="007114AF">
              <w:rPr>
                <w:rFonts w:ascii="Garamond" w:hAnsi="Garamond" w:cs="Calibri"/>
                <w:color w:val="000000"/>
              </w:rPr>
              <w:t>objektivave</w:t>
            </w:r>
            <w:r w:rsidRPr="007114AF">
              <w:rPr>
                <w:rFonts w:ascii="Garamond" w:hAnsi="Garamond"/>
                <w:color w:val="000000"/>
              </w:rPr>
              <w:t xml:space="preserve"> të p</w:t>
            </w:r>
            <w:r w:rsidRPr="007114AF">
              <w:rPr>
                <w:rFonts w:ascii="Garamond" w:hAnsi="Garamond" w:cs="Calibri"/>
                <w:color w:val="000000"/>
              </w:rPr>
              <w:t>ërshtatjes dhe masave zbutëse në planifikimin fizik</w:t>
            </w:r>
            <w:r w:rsidRPr="007114AF">
              <w:rPr>
                <w:rFonts w:ascii="Garamond" w:hAnsi="Garamond"/>
                <w:color w:val="000000"/>
              </w:rPr>
              <w:t>, administrimit t</w:t>
            </w:r>
            <w:r w:rsidRPr="007114AF">
              <w:rPr>
                <w:rFonts w:ascii="Garamond" w:hAnsi="Garamond" w:cs="Calibri"/>
                <w:color w:val="000000"/>
              </w:rPr>
              <w:t>ë ujit dhe tokës që përfshijnë bujqësinë</w:t>
            </w:r>
            <w:r w:rsidRPr="007114AF">
              <w:rPr>
                <w:rFonts w:ascii="Garamond" w:hAnsi="Garamond"/>
                <w:color w:val="000000"/>
              </w:rPr>
              <w:t>, pyjet, ujërat dhe konservimin e natyr</w:t>
            </w:r>
            <w:r w:rsidRPr="007114AF">
              <w:rPr>
                <w:rFonts w:ascii="Garamond" w:hAnsi="Garamond" w:cs="Calibri"/>
                <w:color w:val="000000"/>
              </w:rPr>
              <w:t>ës</w:t>
            </w:r>
          </w:p>
        </w:tc>
        <w:tc>
          <w:tcPr>
            <w:tcW w:w="817" w:type="pct"/>
            <w:noWrap/>
            <w:vAlign w:val="center"/>
            <w:hideMark/>
          </w:tcPr>
          <w:p w14:paraId="6EDCFEBB" w14:textId="77777777" w:rsidR="008A4207" w:rsidRPr="007114AF" w:rsidRDefault="008A4207" w:rsidP="001C467C">
            <w:pPr>
              <w:spacing w:after="0"/>
              <w:ind w:left="-108"/>
              <w:rPr>
                <w:rFonts w:ascii="Garamond" w:hAnsi="Garamond"/>
                <w:color w:val="000000"/>
              </w:rPr>
            </w:pPr>
            <w:r w:rsidRPr="007114AF">
              <w:rPr>
                <w:rFonts w:ascii="Garamond" w:hAnsi="Garamond"/>
                <w:color w:val="000000"/>
              </w:rPr>
              <w:t>SMNS; OZHQ 13</w:t>
            </w:r>
          </w:p>
        </w:tc>
      </w:tr>
      <w:tr w:rsidR="008A4207" w:rsidRPr="007114AF" w14:paraId="6EDCFEBE" w14:textId="77777777" w:rsidTr="001C467C">
        <w:trPr>
          <w:trHeight w:val="20"/>
        </w:trPr>
        <w:tc>
          <w:tcPr>
            <w:tcW w:w="5000" w:type="pct"/>
            <w:gridSpan w:val="4"/>
            <w:shd w:val="clear" w:color="auto" w:fill="C6D9F1" w:themeFill="text2" w:themeFillTint="33"/>
            <w:noWrap/>
            <w:vAlign w:val="center"/>
            <w:hideMark/>
          </w:tcPr>
          <w:p w14:paraId="6EDCFEBD" w14:textId="77777777" w:rsidR="008A4207" w:rsidRPr="007114AF" w:rsidRDefault="008A4207" w:rsidP="001C467C">
            <w:pPr>
              <w:spacing w:after="0"/>
              <w:ind w:left="-108"/>
              <w:rPr>
                <w:rFonts w:ascii="Garamond" w:hAnsi="Garamond"/>
                <w:color w:val="000000"/>
              </w:rPr>
            </w:pPr>
            <w:r w:rsidRPr="007114AF">
              <w:rPr>
                <w:rFonts w:ascii="Garamond" w:hAnsi="Garamond"/>
                <w:b/>
                <w:bCs/>
                <w:color w:val="000000"/>
              </w:rPr>
              <w:t>Forcimi i kapaciteteve të institucioneve përkatëse dhe bashkëpunimi ndërinstitucional për trajtimin e zbutjes së ndryshimeve klimatike (SP3; SP4; SP5)</w:t>
            </w:r>
          </w:p>
        </w:tc>
      </w:tr>
      <w:tr w:rsidR="008A4207" w:rsidRPr="007114AF" w14:paraId="6EDCFEC2" w14:textId="77777777" w:rsidTr="001C467C">
        <w:trPr>
          <w:trHeight w:val="20"/>
        </w:trPr>
        <w:tc>
          <w:tcPr>
            <w:tcW w:w="935" w:type="pct"/>
            <w:noWrap/>
            <w:vAlign w:val="center"/>
            <w:hideMark/>
          </w:tcPr>
          <w:p w14:paraId="6EDCFEBF" w14:textId="77777777" w:rsidR="008A4207" w:rsidRPr="007114AF" w:rsidRDefault="008A4207" w:rsidP="001C467C">
            <w:pPr>
              <w:spacing w:after="0"/>
              <w:rPr>
                <w:rFonts w:ascii="Garamond" w:hAnsi="Garamond"/>
                <w:i/>
                <w:color w:val="000000"/>
              </w:rPr>
            </w:pPr>
            <w:r w:rsidRPr="007114AF">
              <w:rPr>
                <w:rFonts w:ascii="Garamond" w:hAnsi="Garamond"/>
                <w:i/>
                <w:color w:val="000000"/>
              </w:rPr>
              <w:t>Energjia</w:t>
            </w:r>
          </w:p>
        </w:tc>
        <w:tc>
          <w:tcPr>
            <w:tcW w:w="3248" w:type="pct"/>
            <w:gridSpan w:val="2"/>
            <w:vAlign w:val="center"/>
            <w:hideMark/>
          </w:tcPr>
          <w:p w14:paraId="6EDCFEC0" w14:textId="77777777" w:rsidR="008A4207" w:rsidRPr="007114AF" w:rsidRDefault="008A4207" w:rsidP="001C467C">
            <w:pPr>
              <w:spacing w:after="0"/>
              <w:rPr>
                <w:rFonts w:ascii="Garamond" w:hAnsi="Garamond"/>
                <w:color w:val="000000"/>
              </w:rPr>
            </w:pPr>
            <w:r w:rsidRPr="007114AF">
              <w:rPr>
                <w:rFonts w:ascii="Garamond" w:hAnsi="Garamond"/>
                <w:color w:val="000000"/>
              </w:rPr>
              <w:t>Bashk</w:t>
            </w:r>
            <w:r w:rsidRPr="007114AF">
              <w:rPr>
                <w:rFonts w:ascii="Garamond" w:hAnsi="Garamond" w:cs="Calibri"/>
                <w:color w:val="000000"/>
              </w:rPr>
              <w:t>ëpunim mes të gjitha strategjive dhe planeve të Ministrive që lidhen direkt ose indirekt me energjinë, kryesisht ndërmjet e</w:t>
            </w:r>
            <w:r w:rsidRPr="007114AF">
              <w:rPr>
                <w:rFonts w:ascii="Garamond" w:hAnsi="Garamond"/>
                <w:color w:val="000000"/>
              </w:rPr>
              <w:t>nergjis</w:t>
            </w:r>
            <w:r w:rsidRPr="007114AF">
              <w:rPr>
                <w:rFonts w:ascii="Garamond" w:hAnsi="Garamond" w:cs="Calibri"/>
                <w:color w:val="000000"/>
              </w:rPr>
              <w:t>ë dhe transportit për lëndët e djegshme fosile dhe në një perspektivë afatgjatë, për energjinë elektrike dhe me bujqësinë dhe pyjet për biomasën</w:t>
            </w:r>
            <w:r w:rsidRPr="007114AF">
              <w:rPr>
                <w:rFonts w:ascii="Garamond" w:hAnsi="Garamond"/>
                <w:color w:val="000000"/>
              </w:rPr>
              <w:t>.</w:t>
            </w:r>
          </w:p>
        </w:tc>
        <w:tc>
          <w:tcPr>
            <w:tcW w:w="817" w:type="pct"/>
            <w:noWrap/>
            <w:vAlign w:val="center"/>
            <w:hideMark/>
          </w:tcPr>
          <w:p w14:paraId="6EDCFEC1" w14:textId="77777777" w:rsidR="008A4207" w:rsidRPr="007114AF" w:rsidRDefault="008A4207" w:rsidP="001C467C">
            <w:pPr>
              <w:spacing w:after="0"/>
              <w:ind w:left="-108" w:firstLine="1"/>
              <w:rPr>
                <w:rFonts w:ascii="Garamond" w:hAnsi="Garamond"/>
                <w:color w:val="000000"/>
              </w:rPr>
            </w:pPr>
            <w:r w:rsidRPr="007114AF">
              <w:rPr>
                <w:rFonts w:ascii="Garamond" w:hAnsi="Garamond"/>
                <w:color w:val="000000"/>
              </w:rPr>
              <w:t>Dokumenti i SKNK; OZHQ 13</w:t>
            </w:r>
          </w:p>
        </w:tc>
      </w:tr>
      <w:tr w:rsidR="008A4207" w:rsidRPr="007114AF" w14:paraId="6EDCFEC6" w14:textId="77777777" w:rsidTr="001C467C">
        <w:trPr>
          <w:trHeight w:val="20"/>
        </w:trPr>
        <w:tc>
          <w:tcPr>
            <w:tcW w:w="935" w:type="pct"/>
            <w:noWrap/>
            <w:vAlign w:val="center"/>
            <w:hideMark/>
          </w:tcPr>
          <w:p w14:paraId="6EDCFEC3" w14:textId="77777777" w:rsidR="008A4207" w:rsidRPr="007114AF" w:rsidRDefault="008A4207" w:rsidP="001C467C">
            <w:pPr>
              <w:spacing w:after="0"/>
              <w:rPr>
                <w:rFonts w:ascii="Garamond" w:hAnsi="Garamond"/>
                <w:i/>
                <w:color w:val="000000"/>
              </w:rPr>
            </w:pPr>
            <w:r w:rsidRPr="007114AF">
              <w:rPr>
                <w:rFonts w:ascii="Garamond" w:hAnsi="Garamond"/>
                <w:i/>
                <w:color w:val="000000"/>
              </w:rPr>
              <w:t>Transporti</w:t>
            </w:r>
          </w:p>
        </w:tc>
        <w:tc>
          <w:tcPr>
            <w:tcW w:w="3248" w:type="pct"/>
            <w:gridSpan w:val="2"/>
            <w:vAlign w:val="center"/>
            <w:hideMark/>
          </w:tcPr>
          <w:p w14:paraId="6EDCFEC4" w14:textId="77777777" w:rsidR="008A4207" w:rsidRPr="007114AF" w:rsidRDefault="008A4207" w:rsidP="001C467C">
            <w:pPr>
              <w:spacing w:after="0"/>
              <w:rPr>
                <w:rFonts w:ascii="Garamond" w:hAnsi="Garamond"/>
                <w:color w:val="000000"/>
              </w:rPr>
            </w:pPr>
            <w:r w:rsidRPr="007114AF">
              <w:rPr>
                <w:rFonts w:ascii="Garamond" w:hAnsi="Garamond"/>
                <w:color w:val="000000"/>
              </w:rPr>
              <w:t>Bashk</w:t>
            </w:r>
            <w:r w:rsidRPr="007114AF">
              <w:rPr>
                <w:rFonts w:ascii="Garamond" w:hAnsi="Garamond" w:cs="Calibri"/>
                <w:color w:val="000000"/>
              </w:rPr>
              <w:t>ëpunimi mes institucioneve dhe qeverive lokale për cilësinë e ajrit dhe politikave të trafikut, si dhe miratimin dhe zbatimin e planeve të veprimit për cilësinë e ajrit</w:t>
            </w:r>
          </w:p>
        </w:tc>
        <w:tc>
          <w:tcPr>
            <w:tcW w:w="817" w:type="pct"/>
            <w:noWrap/>
            <w:vAlign w:val="center"/>
            <w:hideMark/>
          </w:tcPr>
          <w:p w14:paraId="6EDCFEC5" w14:textId="77777777" w:rsidR="008A4207" w:rsidRPr="007114AF" w:rsidRDefault="008A4207" w:rsidP="001C467C">
            <w:pPr>
              <w:spacing w:after="0"/>
              <w:ind w:left="-108" w:firstLine="1"/>
              <w:rPr>
                <w:rFonts w:ascii="Garamond" w:hAnsi="Garamond"/>
                <w:color w:val="000000"/>
              </w:rPr>
            </w:pPr>
            <w:r w:rsidRPr="007114AF">
              <w:rPr>
                <w:rFonts w:ascii="Garamond" w:hAnsi="Garamond"/>
                <w:color w:val="000000"/>
              </w:rPr>
              <w:t>SMNS; OZHQ 13</w:t>
            </w:r>
          </w:p>
        </w:tc>
      </w:tr>
      <w:tr w:rsidR="008A4207" w:rsidRPr="007114AF" w14:paraId="6EDCFECA" w14:textId="77777777" w:rsidTr="001C467C">
        <w:trPr>
          <w:trHeight w:val="20"/>
        </w:trPr>
        <w:tc>
          <w:tcPr>
            <w:tcW w:w="935" w:type="pct"/>
            <w:noWrap/>
            <w:vAlign w:val="center"/>
            <w:hideMark/>
          </w:tcPr>
          <w:p w14:paraId="6EDCFEC7" w14:textId="77777777" w:rsidR="008A4207" w:rsidRPr="007114AF" w:rsidRDefault="008A4207" w:rsidP="001C467C">
            <w:pPr>
              <w:spacing w:after="0"/>
              <w:rPr>
                <w:rFonts w:ascii="Garamond" w:hAnsi="Garamond"/>
                <w:i/>
              </w:rPr>
            </w:pPr>
            <w:r w:rsidRPr="007114AF">
              <w:rPr>
                <w:rFonts w:ascii="Garamond" w:hAnsi="Garamond"/>
                <w:i/>
                <w:color w:val="000000"/>
              </w:rPr>
              <w:t>Bujq</w:t>
            </w:r>
            <w:r w:rsidRPr="007114AF">
              <w:rPr>
                <w:rFonts w:ascii="Garamond" w:hAnsi="Garamond" w:cs="Calibri"/>
                <w:i/>
                <w:color w:val="000000"/>
              </w:rPr>
              <w:t>ë</w:t>
            </w:r>
            <w:r w:rsidRPr="007114AF">
              <w:rPr>
                <w:rFonts w:ascii="Garamond" w:hAnsi="Garamond"/>
                <w:i/>
                <w:color w:val="000000"/>
              </w:rPr>
              <w:t>sia</w:t>
            </w:r>
          </w:p>
        </w:tc>
        <w:tc>
          <w:tcPr>
            <w:tcW w:w="3248" w:type="pct"/>
            <w:gridSpan w:val="2"/>
            <w:vAlign w:val="center"/>
            <w:hideMark/>
          </w:tcPr>
          <w:p w14:paraId="6EDCFEC8" w14:textId="77777777" w:rsidR="008A4207" w:rsidRPr="007114AF" w:rsidRDefault="008A4207" w:rsidP="001C467C">
            <w:pPr>
              <w:spacing w:after="0"/>
              <w:rPr>
                <w:rFonts w:ascii="Garamond" w:hAnsi="Garamond"/>
              </w:rPr>
            </w:pPr>
            <w:r w:rsidRPr="007114AF">
              <w:rPr>
                <w:rFonts w:ascii="Garamond" w:hAnsi="Garamond"/>
              </w:rPr>
              <w:t>Forcimi i administrimit t</w:t>
            </w:r>
            <w:r w:rsidRPr="007114AF">
              <w:rPr>
                <w:rFonts w:ascii="Garamond" w:hAnsi="Garamond" w:cs="Calibri"/>
                <w:color w:val="000000"/>
              </w:rPr>
              <w:t>ë përdorimit të ujit, me qëllim uljen e përmbytjeve dhe fenomenit të erozionit dhe humbjes së tokës</w:t>
            </w:r>
          </w:p>
        </w:tc>
        <w:tc>
          <w:tcPr>
            <w:tcW w:w="817" w:type="pct"/>
            <w:noWrap/>
            <w:vAlign w:val="center"/>
            <w:hideMark/>
          </w:tcPr>
          <w:p w14:paraId="6EDCFEC9" w14:textId="77777777" w:rsidR="008A4207" w:rsidRPr="007114AF" w:rsidRDefault="008A4207" w:rsidP="001C467C">
            <w:pPr>
              <w:spacing w:after="0"/>
              <w:ind w:left="-108" w:firstLine="1"/>
              <w:rPr>
                <w:rFonts w:ascii="Garamond" w:hAnsi="Garamond"/>
                <w:color w:val="000000"/>
              </w:rPr>
            </w:pPr>
            <w:r w:rsidRPr="007114AF">
              <w:rPr>
                <w:rFonts w:ascii="Garamond" w:hAnsi="Garamond"/>
                <w:color w:val="000000"/>
              </w:rPr>
              <w:t>SKZHI-II; OZHQ 13</w:t>
            </w:r>
          </w:p>
        </w:tc>
      </w:tr>
      <w:tr w:rsidR="008A4207" w:rsidRPr="007114AF" w14:paraId="6EDCFECE" w14:textId="77777777" w:rsidTr="001C467C">
        <w:trPr>
          <w:trHeight w:val="20"/>
        </w:trPr>
        <w:tc>
          <w:tcPr>
            <w:tcW w:w="935" w:type="pct"/>
            <w:noWrap/>
            <w:vAlign w:val="center"/>
            <w:hideMark/>
          </w:tcPr>
          <w:p w14:paraId="6EDCFECB" w14:textId="77777777" w:rsidR="008A4207" w:rsidRPr="007114AF" w:rsidRDefault="008A4207" w:rsidP="001C467C">
            <w:pPr>
              <w:spacing w:after="0"/>
              <w:rPr>
                <w:rFonts w:ascii="Garamond" w:hAnsi="Garamond"/>
                <w:i/>
              </w:rPr>
            </w:pPr>
            <w:r w:rsidRPr="007114AF">
              <w:rPr>
                <w:rFonts w:ascii="Garamond" w:hAnsi="Garamond"/>
                <w:i/>
              </w:rPr>
              <w:t>LUCF-ja</w:t>
            </w:r>
          </w:p>
        </w:tc>
        <w:tc>
          <w:tcPr>
            <w:tcW w:w="3248" w:type="pct"/>
            <w:gridSpan w:val="2"/>
            <w:vAlign w:val="center"/>
            <w:hideMark/>
          </w:tcPr>
          <w:p w14:paraId="6EDCFECC" w14:textId="77777777" w:rsidR="008A4207" w:rsidRPr="007114AF" w:rsidRDefault="008A4207" w:rsidP="001C467C">
            <w:pPr>
              <w:spacing w:after="0"/>
              <w:rPr>
                <w:rFonts w:ascii="Garamond" w:hAnsi="Garamond"/>
              </w:rPr>
            </w:pPr>
            <w:r w:rsidRPr="007114AF">
              <w:rPr>
                <w:rFonts w:ascii="Garamond" w:hAnsi="Garamond"/>
              </w:rPr>
              <w:t>Forcimi i kapaciteteve p</w:t>
            </w:r>
            <w:r w:rsidRPr="007114AF">
              <w:rPr>
                <w:rFonts w:ascii="Garamond" w:hAnsi="Garamond" w:cs="Calibri"/>
                <w:color w:val="000000"/>
              </w:rPr>
              <w:t>ër administrimin e qëndrueshëm dhe shumëfunksional të pyjeve dhe kullotave</w:t>
            </w:r>
          </w:p>
        </w:tc>
        <w:tc>
          <w:tcPr>
            <w:tcW w:w="817" w:type="pct"/>
            <w:noWrap/>
            <w:vAlign w:val="center"/>
            <w:hideMark/>
          </w:tcPr>
          <w:p w14:paraId="6EDCFECD" w14:textId="77777777" w:rsidR="008A4207" w:rsidRPr="007114AF" w:rsidRDefault="008A4207" w:rsidP="001C467C">
            <w:pPr>
              <w:spacing w:after="0"/>
              <w:ind w:left="-108" w:firstLine="1"/>
              <w:rPr>
                <w:rFonts w:ascii="Garamond" w:hAnsi="Garamond"/>
                <w:color w:val="000000"/>
              </w:rPr>
            </w:pPr>
            <w:r w:rsidRPr="007114AF">
              <w:rPr>
                <w:rFonts w:ascii="Garamond" w:hAnsi="Garamond"/>
                <w:color w:val="000000"/>
              </w:rPr>
              <w:t>SMNS; SNBZHR OZHQ 13</w:t>
            </w:r>
          </w:p>
        </w:tc>
      </w:tr>
      <w:tr w:rsidR="008A4207" w:rsidRPr="007114AF" w14:paraId="6EDCFED0" w14:textId="77777777" w:rsidTr="001C467C">
        <w:trPr>
          <w:trHeight w:val="20"/>
        </w:trPr>
        <w:tc>
          <w:tcPr>
            <w:tcW w:w="5000" w:type="pct"/>
            <w:gridSpan w:val="4"/>
            <w:shd w:val="clear" w:color="auto" w:fill="C6D9F1" w:themeFill="text2" w:themeFillTint="33"/>
            <w:noWrap/>
            <w:vAlign w:val="center"/>
            <w:hideMark/>
          </w:tcPr>
          <w:p w14:paraId="6EDCFECF" w14:textId="77777777" w:rsidR="008A4207" w:rsidRPr="007114AF" w:rsidRDefault="008A4207" w:rsidP="001C467C">
            <w:pPr>
              <w:spacing w:after="0"/>
              <w:ind w:left="-108" w:firstLine="109"/>
              <w:rPr>
                <w:rFonts w:ascii="Garamond" w:hAnsi="Garamond"/>
                <w:color w:val="000000"/>
              </w:rPr>
            </w:pPr>
            <w:r w:rsidRPr="007114AF">
              <w:rPr>
                <w:rFonts w:ascii="Garamond" w:hAnsi="Garamond"/>
                <w:b/>
                <w:bCs/>
                <w:color w:val="000000"/>
              </w:rPr>
              <w:t>Nxitja e aktiviteteve ndërgjegjësuese dhe edukuese që mbështetin veprimet e uljes së shkarkimeve (SP1; SP5)</w:t>
            </w:r>
          </w:p>
        </w:tc>
      </w:tr>
      <w:tr w:rsidR="008A4207" w:rsidRPr="007114AF" w14:paraId="6EDCFED4" w14:textId="77777777" w:rsidTr="001C467C">
        <w:trPr>
          <w:trHeight w:val="20"/>
        </w:trPr>
        <w:tc>
          <w:tcPr>
            <w:tcW w:w="935" w:type="pct"/>
            <w:noWrap/>
            <w:vAlign w:val="center"/>
            <w:hideMark/>
          </w:tcPr>
          <w:p w14:paraId="6EDCFED1" w14:textId="77777777" w:rsidR="008A4207" w:rsidRPr="007114AF" w:rsidRDefault="008A4207" w:rsidP="001C467C">
            <w:pPr>
              <w:spacing w:after="0"/>
              <w:rPr>
                <w:rFonts w:ascii="Garamond" w:hAnsi="Garamond"/>
                <w:i/>
                <w:color w:val="000000"/>
              </w:rPr>
            </w:pPr>
            <w:r w:rsidRPr="007114AF">
              <w:rPr>
                <w:rFonts w:ascii="Garamond" w:hAnsi="Garamond"/>
                <w:i/>
                <w:color w:val="000000"/>
              </w:rPr>
              <w:t xml:space="preserve">Ndërsektoriale </w:t>
            </w:r>
          </w:p>
        </w:tc>
        <w:tc>
          <w:tcPr>
            <w:tcW w:w="3248" w:type="pct"/>
            <w:gridSpan w:val="2"/>
            <w:vAlign w:val="center"/>
            <w:hideMark/>
          </w:tcPr>
          <w:p w14:paraId="6EDCFED2" w14:textId="77777777" w:rsidR="008A4207" w:rsidRPr="007114AF" w:rsidRDefault="008A4207" w:rsidP="001C467C">
            <w:pPr>
              <w:spacing w:after="0"/>
              <w:rPr>
                <w:rFonts w:ascii="Garamond" w:hAnsi="Garamond"/>
                <w:color w:val="000000"/>
              </w:rPr>
            </w:pPr>
            <w:r w:rsidRPr="007114AF">
              <w:rPr>
                <w:rFonts w:ascii="Garamond" w:hAnsi="Garamond"/>
                <w:color w:val="000000"/>
              </w:rPr>
              <w:t xml:space="preserve">Riorganizimi i </w:t>
            </w:r>
            <w:r w:rsidRPr="007114AF">
              <w:rPr>
                <w:rFonts w:ascii="Garamond" w:hAnsi="Garamond" w:cs="Calibri"/>
                <w:color w:val="000000"/>
              </w:rPr>
              <w:t>ç</w:t>
            </w:r>
            <w:r w:rsidRPr="007114AF">
              <w:rPr>
                <w:rFonts w:ascii="Garamond" w:hAnsi="Garamond" w:cstheme="minorHAnsi"/>
                <w:color w:val="000000"/>
              </w:rPr>
              <w:t>ështjeve të ndryshimeve klimatike në arsim dhe rritja e aktiviteteve ndërgjegjësuese në të gjithë sektorët</w:t>
            </w:r>
          </w:p>
        </w:tc>
        <w:tc>
          <w:tcPr>
            <w:tcW w:w="817" w:type="pct"/>
            <w:noWrap/>
            <w:vAlign w:val="center"/>
            <w:hideMark/>
          </w:tcPr>
          <w:p w14:paraId="6EDCFED3" w14:textId="77777777" w:rsidR="008A4207" w:rsidRPr="007114AF" w:rsidRDefault="008A4207" w:rsidP="001C467C">
            <w:pPr>
              <w:spacing w:after="0"/>
              <w:ind w:left="-108" w:firstLine="1"/>
              <w:rPr>
                <w:rFonts w:ascii="Garamond" w:hAnsi="Garamond"/>
                <w:color w:val="000000"/>
              </w:rPr>
            </w:pPr>
            <w:r w:rsidRPr="007114AF">
              <w:rPr>
                <w:rFonts w:ascii="Garamond" w:hAnsi="Garamond"/>
                <w:color w:val="000000"/>
              </w:rPr>
              <w:t>Dokumenti i SKNK; OZHQ 13</w:t>
            </w:r>
          </w:p>
        </w:tc>
      </w:tr>
      <w:tr w:rsidR="008A4207" w:rsidRPr="007114AF" w14:paraId="6EDCFED8" w14:textId="77777777" w:rsidTr="001C467C">
        <w:trPr>
          <w:trHeight w:val="20"/>
        </w:trPr>
        <w:tc>
          <w:tcPr>
            <w:tcW w:w="935" w:type="pct"/>
            <w:noWrap/>
            <w:vAlign w:val="center"/>
            <w:hideMark/>
          </w:tcPr>
          <w:p w14:paraId="6EDCFED5" w14:textId="77777777" w:rsidR="008A4207" w:rsidRPr="007114AF" w:rsidRDefault="008A4207" w:rsidP="001C467C">
            <w:pPr>
              <w:spacing w:after="0"/>
              <w:rPr>
                <w:rFonts w:ascii="Garamond" w:hAnsi="Garamond"/>
              </w:rPr>
            </w:pPr>
            <w:r w:rsidRPr="007114AF">
              <w:rPr>
                <w:rFonts w:ascii="Garamond" w:hAnsi="Garamond"/>
              </w:rPr>
              <w:t>Energjia</w:t>
            </w:r>
          </w:p>
        </w:tc>
        <w:tc>
          <w:tcPr>
            <w:tcW w:w="3248" w:type="pct"/>
            <w:gridSpan w:val="2"/>
            <w:vAlign w:val="center"/>
            <w:hideMark/>
          </w:tcPr>
          <w:p w14:paraId="6EDCFED6" w14:textId="77777777" w:rsidR="008A4207" w:rsidRPr="007114AF" w:rsidRDefault="008A4207" w:rsidP="001C467C">
            <w:pPr>
              <w:spacing w:after="0"/>
              <w:rPr>
                <w:rFonts w:ascii="Garamond" w:hAnsi="Garamond"/>
              </w:rPr>
            </w:pPr>
            <w:r w:rsidRPr="007114AF">
              <w:rPr>
                <w:rFonts w:ascii="Garamond" w:hAnsi="Garamond"/>
              </w:rPr>
              <w:t>Nxitja e fushatave t</w:t>
            </w:r>
            <w:r w:rsidRPr="007114AF">
              <w:rPr>
                <w:rFonts w:ascii="Garamond" w:hAnsi="Garamond" w:cstheme="minorHAnsi"/>
                <w:color w:val="000000"/>
              </w:rPr>
              <w:t xml:space="preserve">ë ndërgjegjësimit publik, për të informuar publikun mbi mundësitë dhe përfitimet nga </w:t>
            </w:r>
            <w:r w:rsidRPr="007114AF">
              <w:rPr>
                <w:rFonts w:ascii="Garamond" w:hAnsi="Garamond"/>
                <w:color w:val="000000"/>
              </w:rPr>
              <w:t xml:space="preserve">eficienca e </w:t>
            </w:r>
            <w:r w:rsidRPr="007114AF">
              <w:rPr>
                <w:rFonts w:ascii="Garamond" w:hAnsi="Garamond" w:cstheme="minorHAnsi"/>
                <w:color w:val="000000"/>
              </w:rPr>
              <w:t>energjisë</w:t>
            </w:r>
          </w:p>
        </w:tc>
        <w:tc>
          <w:tcPr>
            <w:tcW w:w="817" w:type="pct"/>
            <w:vAlign w:val="center"/>
            <w:hideMark/>
          </w:tcPr>
          <w:p w14:paraId="6EDCFED7" w14:textId="6513A014" w:rsidR="008A4207" w:rsidRPr="007114AF" w:rsidRDefault="008A4207" w:rsidP="001C467C">
            <w:pPr>
              <w:spacing w:after="0"/>
              <w:ind w:left="-108" w:firstLine="1"/>
              <w:rPr>
                <w:rFonts w:ascii="Garamond" w:hAnsi="Garamond"/>
              </w:rPr>
            </w:pPr>
            <w:r w:rsidRPr="007114AF">
              <w:rPr>
                <w:rFonts w:ascii="Garamond" w:hAnsi="Garamond"/>
              </w:rPr>
              <w:t>Nama – Mekaniz</w:t>
            </w:r>
            <w:r w:rsidRPr="007114AF">
              <w:rPr>
                <w:rFonts w:ascii="Garamond" w:hAnsi="Garamond" w:cs="Calibri"/>
              </w:rPr>
              <w:t xml:space="preserve">ëm </w:t>
            </w:r>
            <w:r w:rsidRPr="007114AF">
              <w:rPr>
                <w:rFonts w:ascii="Garamond" w:hAnsi="Garamond"/>
              </w:rPr>
              <w:t>Financimi p</w:t>
            </w:r>
            <w:r w:rsidRPr="007114AF">
              <w:rPr>
                <w:rFonts w:ascii="Garamond" w:hAnsi="Garamond" w:cs="Calibri"/>
              </w:rPr>
              <w:t>ër</w:t>
            </w:r>
            <w:r w:rsidR="0028717C">
              <w:rPr>
                <w:rFonts w:ascii="Garamond" w:hAnsi="Garamond" w:cs="Calibri"/>
              </w:rPr>
              <w:t xml:space="preserve"> </w:t>
            </w:r>
            <w:r w:rsidRPr="007114AF">
              <w:rPr>
                <w:rFonts w:ascii="Garamond" w:hAnsi="Garamond"/>
                <w:color w:val="000000"/>
              </w:rPr>
              <w:t>Eficencën</w:t>
            </w:r>
            <w:r w:rsidRPr="007114AF">
              <w:rPr>
                <w:rFonts w:ascii="Garamond" w:hAnsi="Garamond"/>
              </w:rPr>
              <w:t xml:space="preserve"> e Energjis</w:t>
            </w:r>
            <w:r w:rsidRPr="007114AF">
              <w:rPr>
                <w:rFonts w:ascii="Garamond" w:hAnsi="Garamond" w:cs="Calibri"/>
              </w:rPr>
              <w:t>ë në Banesa</w:t>
            </w:r>
            <w:r w:rsidRPr="007114AF">
              <w:rPr>
                <w:rFonts w:ascii="Garamond" w:hAnsi="Garamond"/>
              </w:rPr>
              <w:t xml:space="preserve"> (fondi p</w:t>
            </w:r>
            <w:r w:rsidRPr="007114AF">
              <w:rPr>
                <w:rFonts w:ascii="Garamond" w:hAnsi="Garamond" w:cs="Calibri"/>
              </w:rPr>
              <w:t xml:space="preserve">ër </w:t>
            </w:r>
            <w:r w:rsidRPr="007114AF">
              <w:rPr>
                <w:rFonts w:ascii="Garamond" w:hAnsi="Garamond"/>
                <w:color w:val="000000"/>
              </w:rPr>
              <w:t>eficencën</w:t>
            </w:r>
            <w:r w:rsidRPr="007114AF">
              <w:rPr>
                <w:rFonts w:ascii="Garamond" w:hAnsi="Garamond" w:cs="Calibri"/>
              </w:rPr>
              <w:t xml:space="preserve"> e energjisë</w:t>
            </w:r>
            <w:r w:rsidRPr="007114AF">
              <w:rPr>
                <w:rFonts w:ascii="Garamond" w:hAnsi="Garamond"/>
              </w:rPr>
              <w:t xml:space="preserve">); PKVEE; </w:t>
            </w:r>
            <w:r w:rsidRPr="007114AF">
              <w:rPr>
                <w:rFonts w:ascii="Garamond" w:hAnsi="Garamond"/>
                <w:color w:val="000000"/>
              </w:rPr>
              <w:t>OZHQ 13</w:t>
            </w:r>
          </w:p>
        </w:tc>
      </w:tr>
      <w:tr w:rsidR="008A4207" w:rsidRPr="007114AF" w14:paraId="6EDCFEDC" w14:textId="77777777" w:rsidTr="001C467C">
        <w:trPr>
          <w:trHeight w:val="20"/>
        </w:trPr>
        <w:tc>
          <w:tcPr>
            <w:tcW w:w="935" w:type="pct"/>
            <w:noWrap/>
            <w:vAlign w:val="center"/>
            <w:hideMark/>
          </w:tcPr>
          <w:p w14:paraId="6EDCFED9" w14:textId="77777777" w:rsidR="008A4207" w:rsidRPr="007114AF" w:rsidRDefault="008A4207" w:rsidP="001C467C">
            <w:pPr>
              <w:spacing w:after="0"/>
              <w:rPr>
                <w:rFonts w:ascii="Garamond" w:hAnsi="Garamond"/>
                <w:i/>
                <w:color w:val="000000"/>
              </w:rPr>
            </w:pPr>
            <w:r w:rsidRPr="007114AF">
              <w:rPr>
                <w:rFonts w:ascii="Garamond" w:hAnsi="Garamond"/>
                <w:i/>
                <w:color w:val="000000"/>
              </w:rPr>
              <w:t>Transporti</w:t>
            </w:r>
          </w:p>
        </w:tc>
        <w:tc>
          <w:tcPr>
            <w:tcW w:w="3248" w:type="pct"/>
            <w:gridSpan w:val="2"/>
            <w:vAlign w:val="center"/>
            <w:hideMark/>
          </w:tcPr>
          <w:p w14:paraId="6EDCFEDA" w14:textId="77777777" w:rsidR="008A4207" w:rsidRPr="007114AF" w:rsidRDefault="008A4207" w:rsidP="001C467C">
            <w:pPr>
              <w:spacing w:after="0"/>
              <w:rPr>
                <w:rFonts w:ascii="Garamond" w:hAnsi="Garamond"/>
              </w:rPr>
            </w:pPr>
            <w:r w:rsidRPr="007114AF">
              <w:rPr>
                <w:rFonts w:ascii="Garamond" w:hAnsi="Garamond"/>
              </w:rPr>
              <w:t>Investime n</w:t>
            </w:r>
            <w:r w:rsidRPr="007114AF">
              <w:rPr>
                <w:rFonts w:ascii="Garamond" w:hAnsi="Garamond" w:cstheme="minorHAnsi"/>
                <w:color w:val="000000"/>
              </w:rPr>
              <w:t>ë arsimin publik dhe ndërgjegjësim, për të ndikuar në sjelljen i</w:t>
            </w:r>
            <w:r w:rsidRPr="007114AF">
              <w:rPr>
                <w:rFonts w:ascii="Garamond" w:hAnsi="Garamond"/>
              </w:rPr>
              <w:t>ndividuale</w:t>
            </w:r>
          </w:p>
        </w:tc>
        <w:tc>
          <w:tcPr>
            <w:tcW w:w="817" w:type="pct"/>
            <w:noWrap/>
            <w:vAlign w:val="center"/>
            <w:hideMark/>
          </w:tcPr>
          <w:p w14:paraId="6EDCFEDB" w14:textId="77777777" w:rsidR="008A4207" w:rsidRPr="007114AF" w:rsidRDefault="008A4207" w:rsidP="001C467C">
            <w:pPr>
              <w:spacing w:after="0"/>
              <w:ind w:left="-108"/>
              <w:rPr>
                <w:rFonts w:ascii="Garamond" w:hAnsi="Garamond"/>
                <w:color w:val="000000"/>
              </w:rPr>
            </w:pPr>
            <w:r w:rsidRPr="007114AF">
              <w:rPr>
                <w:rFonts w:ascii="Garamond" w:hAnsi="Garamond"/>
                <w:color w:val="000000"/>
              </w:rPr>
              <w:t xml:space="preserve">SMNS; TECTQ; PKT; </w:t>
            </w:r>
            <w:r w:rsidRPr="007114AF">
              <w:rPr>
                <w:rFonts w:ascii="Garamond" w:hAnsi="Garamond"/>
                <w:color w:val="000000"/>
              </w:rPr>
              <w:lastRenderedPageBreak/>
              <w:t>OZHQ 13</w:t>
            </w:r>
          </w:p>
        </w:tc>
      </w:tr>
      <w:tr w:rsidR="008A4207" w:rsidRPr="007114AF" w14:paraId="6EDCFEE0" w14:textId="77777777" w:rsidTr="001C467C">
        <w:trPr>
          <w:trHeight w:val="20"/>
        </w:trPr>
        <w:tc>
          <w:tcPr>
            <w:tcW w:w="935" w:type="pct"/>
            <w:noWrap/>
            <w:vAlign w:val="center"/>
            <w:hideMark/>
          </w:tcPr>
          <w:p w14:paraId="6EDCFEDD" w14:textId="77777777" w:rsidR="008A4207" w:rsidRPr="007114AF" w:rsidRDefault="008A4207" w:rsidP="001C467C">
            <w:pPr>
              <w:spacing w:after="0"/>
              <w:rPr>
                <w:rFonts w:ascii="Garamond" w:hAnsi="Garamond"/>
                <w:i/>
                <w:color w:val="000000"/>
              </w:rPr>
            </w:pPr>
            <w:r w:rsidRPr="007114AF">
              <w:rPr>
                <w:rFonts w:ascii="Garamond" w:hAnsi="Garamond"/>
                <w:i/>
                <w:color w:val="000000"/>
              </w:rPr>
              <w:lastRenderedPageBreak/>
              <w:t>Bujq</w:t>
            </w:r>
            <w:r w:rsidRPr="007114AF">
              <w:rPr>
                <w:rFonts w:ascii="Garamond" w:hAnsi="Garamond" w:cs="Calibri"/>
                <w:i/>
                <w:color w:val="000000"/>
              </w:rPr>
              <w:t>ë</w:t>
            </w:r>
            <w:r w:rsidRPr="007114AF">
              <w:rPr>
                <w:rFonts w:ascii="Garamond" w:hAnsi="Garamond"/>
                <w:i/>
                <w:color w:val="000000"/>
              </w:rPr>
              <w:t>sia</w:t>
            </w:r>
          </w:p>
        </w:tc>
        <w:tc>
          <w:tcPr>
            <w:tcW w:w="3248" w:type="pct"/>
            <w:gridSpan w:val="2"/>
            <w:vAlign w:val="center"/>
            <w:hideMark/>
          </w:tcPr>
          <w:p w14:paraId="6EDCFEDE" w14:textId="77777777" w:rsidR="008A4207" w:rsidRPr="007114AF" w:rsidRDefault="008A4207" w:rsidP="001C467C">
            <w:pPr>
              <w:spacing w:after="0"/>
              <w:rPr>
                <w:rFonts w:ascii="Garamond" w:hAnsi="Garamond"/>
                <w:color w:val="000000"/>
              </w:rPr>
            </w:pPr>
            <w:r w:rsidRPr="007114AF">
              <w:rPr>
                <w:rFonts w:ascii="Garamond" w:hAnsi="Garamond"/>
                <w:color w:val="000000"/>
              </w:rPr>
              <w:t>Forcimi i sistemit k</w:t>
            </w:r>
            <w:r w:rsidRPr="007114AF">
              <w:rPr>
                <w:rFonts w:ascii="Garamond" w:hAnsi="Garamond" w:cstheme="minorHAnsi"/>
                <w:color w:val="000000"/>
              </w:rPr>
              <w:t>ërkimor</w:t>
            </w:r>
            <w:r w:rsidRPr="007114AF">
              <w:rPr>
                <w:rFonts w:ascii="Garamond" w:hAnsi="Garamond"/>
                <w:color w:val="000000"/>
              </w:rPr>
              <w:t>, zhvillimeve teknologjike dhe inovacionit n</w:t>
            </w:r>
            <w:r w:rsidRPr="007114AF">
              <w:rPr>
                <w:rFonts w:ascii="Garamond" w:hAnsi="Garamond" w:cstheme="minorHAnsi"/>
                <w:color w:val="000000"/>
              </w:rPr>
              <w:t>ë sektorin bujqësor, duhet të kryhen nga institucionet arsimore dhe shkencore</w:t>
            </w:r>
          </w:p>
        </w:tc>
        <w:tc>
          <w:tcPr>
            <w:tcW w:w="817" w:type="pct"/>
            <w:noWrap/>
            <w:vAlign w:val="center"/>
            <w:hideMark/>
          </w:tcPr>
          <w:p w14:paraId="6EDCFEDF" w14:textId="77777777" w:rsidR="008A4207" w:rsidRPr="007114AF" w:rsidRDefault="008A4207" w:rsidP="001C467C">
            <w:pPr>
              <w:spacing w:after="0"/>
              <w:ind w:left="-108"/>
              <w:rPr>
                <w:rFonts w:ascii="Garamond" w:hAnsi="Garamond"/>
                <w:color w:val="000000"/>
              </w:rPr>
            </w:pPr>
            <w:r w:rsidRPr="007114AF">
              <w:rPr>
                <w:rFonts w:ascii="Garamond" w:hAnsi="Garamond"/>
                <w:color w:val="000000"/>
              </w:rPr>
              <w:t>SMNS; SNBZHR; PKT; OZHQ 13</w:t>
            </w:r>
          </w:p>
        </w:tc>
      </w:tr>
      <w:tr w:rsidR="008A4207" w:rsidRPr="007114AF" w14:paraId="6EDCFEE4" w14:textId="77777777" w:rsidTr="001C467C">
        <w:trPr>
          <w:trHeight w:val="20"/>
        </w:trPr>
        <w:tc>
          <w:tcPr>
            <w:tcW w:w="935" w:type="pct"/>
            <w:noWrap/>
            <w:vAlign w:val="center"/>
            <w:hideMark/>
          </w:tcPr>
          <w:p w14:paraId="6EDCFEE1" w14:textId="77777777" w:rsidR="008A4207" w:rsidRPr="007114AF" w:rsidRDefault="008A4207" w:rsidP="001C467C">
            <w:pPr>
              <w:spacing w:after="0"/>
              <w:rPr>
                <w:rFonts w:ascii="Garamond" w:hAnsi="Garamond"/>
                <w:i/>
                <w:color w:val="000000"/>
              </w:rPr>
            </w:pPr>
            <w:r w:rsidRPr="007114AF">
              <w:rPr>
                <w:rFonts w:ascii="Garamond" w:hAnsi="Garamond"/>
                <w:i/>
                <w:color w:val="000000"/>
              </w:rPr>
              <w:t>LUCF-ja</w:t>
            </w:r>
          </w:p>
        </w:tc>
        <w:tc>
          <w:tcPr>
            <w:tcW w:w="3248" w:type="pct"/>
            <w:gridSpan w:val="2"/>
            <w:vAlign w:val="center"/>
            <w:hideMark/>
          </w:tcPr>
          <w:p w14:paraId="6EDCFEE2" w14:textId="77777777" w:rsidR="008A4207" w:rsidRPr="007114AF" w:rsidRDefault="008A4207" w:rsidP="001C467C">
            <w:pPr>
              <w:spacing w:after="0"/>
              <w:rPr>
                <w:rFonts w:ascii="Garamond" w:hAnsi="Garamond"/>
                <w:color w:val="000000"/>
              </w:rPr>
            </w:pPr>
            <w:r w:rsidRPr="007114AF">
              <w:rPr>
                <w:rFonts w:ascii="Garamond" w:hAnsi="Garamond"/>
                <w:color w:val="000000"/>
              </w:rPr>
              <w:t>Forcimi i sistemit k</w:t>
            </w:r>
            <w:r w:rsidRPr="007114AF">
              <w:rPr>
                <w:rFonts w:ascii="Garamond" w:hAnsi="Garamond" w:cstheme="minorHAnsi"/>
                <w:color w:val="000000"/>
              </w:rPr>
              <w:t>ërkimor</w:t>
            </w:r>
            <w:r w:rsidRPr="007114AF">
              <w:rPr>
                <w:rFonts w:ascii="Garamond" w:hAnsi="Garamond"/>
                <w:color w:val="000000"/>
              </w:rPr>
              <w:t>, zhvillimeve teknologjike dhe inovacionit n</w:t>
            </w:r>
            <w:r w:rsidRPr="007114AF">
              <w:rPr>
                <w:rFonts w:ascii="Garamond" w:hAnsi="Garamond" w:cstheme="minorHAnsi"/>
                <w:color w:val="000000"/>
              </w:rPr>
              <w:t>ë sektorin e pyjeve dhe kullotave duhet të kryet nga institucionet arsimore dhe shkencore</w:t>
            </w:r>
          </w:p>
        </w:tc>
        <w:tc>
          <w:tcPr>
            <w:tcW w:w="817" w:type="pct"/>
            <w:noWrap/>
            <w:vAlign w:val="center"/>
            <w:hideMark/>
          </w:tcPr>
          <w:p w14:paraId="6EDCFEE3" w14:textId="77777777" w:rsidR="008A4207" w:rsidRPr="007114AF" w:rsidRDefault="008A4207" w:rsidP="001C467C">
            <w:pPr>
              <w:spacing w:after="0"/>
              <w:ind w:left="-108"/>
              <w:rPr>
                <w:rFonts w:ascii="Garamond" w:hAnsi="Garamond"/>
                <w:color w:val="000000"/>
              </w:rPr>
            </w:pPr>
            <w:r w:rsidRPr="007114AF">
              <w:rPr>
                <w:rFonts w:ascii="Garamond" w:hAnsi="Garamond"/>
                <w:color w:val="000000"/>
              </w:rPr>
              <w:t>SMNS; PKT; Projektligji mbi fondin e pyjeve dhe kullotave; OZHQ 13</w:t>
            </w:r>
          </w:p>
        </w:tc>
      </w:tr>
      <w:tr w:rsidR="008A4207" w:rsidRPr="007114AF" w14:paraId="6EDCFEE6" w14:textId="77777777" w:rsidTr="001C467C">
        <w:trPr>
          <w:trHeight w:val="20"/>
        </w:trPr>
        <w:tc>
          <w:tcPr>
            <w:tcW w:w="5000" w:type="pct"/>
            <w:gridSpan w:val="4"/>
            <w:shd w:val="clear" w:color="auto" w:fill="C6D9F1" w:themeFill="text2" w:themeFillTint="33"/>
            <w:noWrap/>
            <w:vAlign w:val="center"/>
            <w:hideMark/>
          </w:tcPr>
          <w:p w14:paraId="6EDCFEE5" w14:textId="77777777" w:rsidR="008A4207" w:rsidRPr="007114AF" w:rsidRDefault="008A4207" w:rsidP="001C467C">
            <w:pPr>
              <w:spacing w:after="0"/>
              <w:ind w:left="-108" w:firstLine="109"/>
              <w:rPr>
                <w:rFonts w:ascii="Garamond" w:hAnsi="Garamond"/>
                <w:b/>
                <w:bCs/>
                <w:color w:val="000000"/>
              </w:rPr>
            </w:pPr>
            <w:r w:rsidRPr="007114AF">
              <w:rPr>
                <w:rFonts w:ascii="Garamond" w:hAnsi="Garamond"/>
                <w:b/>
                <w:bCs/>
                <w:color w:val="000000"/>
              </w:rPr>
              <w:t>Nxitja e eficiencës s</w:t>
            </w:r>
            <w:r w:rsidRPr="007114AF">
              <w:rPr>
                <w:rFonts w:ascii="Garamond" w:hAnsi="Garamond" w:cs="Calibri"/>
                <w:b/>
                <w:bCs/>
                <w:color w:val="000000"/>
              </w:rPr>
              <w:t>ë energjis</w:t>
            </w:r>
            <w:r w:rsidRPr="007114AF">
              <w:rPr>
                <w:rFonts w:ascii="Garamond" w:hAnsi="Garamond" w:cstheme="minorHAnsi"/>
                <w:b/>
                <w:bCs/>
                <w:color w:val="000000"/>
              </w:rPr>
              <w:t>ë</w:t>
            </w:r>
            <w:r w:rsidRPr="007114AF">
              <w:rPr>
                <w:rFonts w:ascii="Garamond" w:hAnsi="Garamond"/>
                <w:b/>
                <w:bCs/>
                <w:color w:val="000000"/>
              </w:rPr>
              <w:t xml:space="preserve"> (SP1; SP6)</w:t>
            </w:r>
          </w:p>
        </w:tc>
      </w:tr>
      <w:tr w:rsidR="008A4207" w:rsidRPr="007114AF" w14:paraId="6EDCFEEB" w14:textId="77777777" w:rsidTr="001C467C">
        <w:trPr>
          <w:trHeight w:val="20"/>
        </w:trPr>
        <w:tc>
          <w:tcPr>
            <w:tcW w:w="935" w:type="pct"/>
            <w:vMerge w:val="restart"/>
            <w:noWrap/>
            <w:vAlign w:val="center"/>
            <w:hideMark/>
          </w:tcPr>
          <w:p w14:paraId="6EDCFEE7" w14:textId="77777777" w:rsidR="008A4207" w:rsidRPr="007114AF" w:rsidRDefault="008A4207" w:rsidP="001C467C">
            <w:pPr>
              <w:spacing w:after="0"/>
              <w:rPr>
                <w:rFonts w:ascii="Garamond" w:hAnsi="Garamond"/>
                <w:color w:val="000000"/>
              </w:rPr>
            </w:pPr>
            <w:r w:rsidRPr="007114AF">
              <w:rPr>
                <w:rFonts w:ascii="Garamond" w:hAnsi="Garamond"/>
                <w:color w:val="000000"/>
              </w:rPr>
              <w:t>Energjia</w:t>
            </w:r>
          </w:p>
          <w:p w14:paraId="6EDCFEE8" w14:textId="77777777" w:rsidR="008A4207" w:rsidRPr="007114AF" w:rsidRDefault="008A4207" w:rsidP="001C467C">
            <w:pPr>
              <w:spacing w:after="0"/>
              <w:rPr>
                <w:rFonts w:ascii="Garamond" w:hAnsi="Garamond"/>
                <w:color w:val="000000"/>
              </w:rPr>
            </w:pPr>
          </w:p>
        </w:tc>
        <w:tc>
          <w:tcPr>
            <w:tcW w:w="3248" w:type="pct"/>
            <w:gridSpan w:val="2"/>
            <w:vAlign w:val="center"/>
            <w:hideMark/>
          </w:tcPr>
          <w:p w14:paraId="6EDCFEE9" w14:textId="77777777" w:rsidR="008A4207" w:rsidRPr="007114AF" w:rsidRDefault="008A4207" w:rsidP="001C467C">
            <w:pPr>
              <w:spacing w:after="0"/>
              <w:rPr>
                <w:rFonts w:ascii="Garamond" w:hAnsi="Garamond"/>
                <w:color w:val="000000"/>
              </w:rPr>
            </w:pPr>
            <w:r w:rsidRPr="007114AF">
              <w:rPr>
                <w:rFonts w:ascii="Garamond" w:hAnsi="Garamond"/>
                <w:color w:val="000000"/>
              </w:rPr>
              <w:t>Ulja e humbjeve t</w:t>
            </w:r>
            <w:r w:rsidRPr="007114AF">
              <w:rPr>
                <w:rFonts w:ascii="Garamond" w:hAnsi="Garamond" w:cstheme="minorHAnsi"/>
                <w:color w:val="000000"/>
              </w:rPr>
              <w:t xml:space="preserve">ë energjisë elektrike në rrjetin e rrjetin e shpërndarjes deri në </w:t>
            </w:r>
            <w:r w:rsidRPr="007114AF">
              <w:rPr>
                <w:rFonts w:ascii="Garamond" w:hAnsi="Garamond"/>
                <w:color w:val="000000"/>
              </w:rPr>
              <w:t>14%</w:t>
            </w:r>
          </w:p>
        </w:tc>
        <w:tc>
          <w:tcPr>
            <w:tcW w:w="817" w:type="pct"/>
            <w:noWrap/>
            <w:vAlign w:val="center"/>
            <w:hideMark/>
          </w:tcPr>
          <w:p w14:paraId="6EDCFEEA" w14:textId="77777777" w:rsidR="008A4207" w:rsidRPr="007114AF" w:rsidRDefault="008A4207" w:rsidP="001C467C">
            <w:pPr>
              <w:spacing w:after="0"/>
              <w:ind w:left="-108"/>
              <w:rPr>
                <w:rFonts w:ascii="Garamond" w:hAnsi="Garamond"/>
                <w:color w:val="000000"/>
              </w:rPr>
            </w:pPr>
            <w:r w:rsidRPr="007114AF">
              <w:rPr>
                <w:rFonts w:ascii="Garamond" w:hAnsi="Garamond"/>
                <w:color w:val="000000"/>
              </w:rPr>
              <w:t>SKZHI-II; OZHQ 13</w:t>
            </w:r>
          </w:p>
        </w:tc>
      </w:tr>
      <w:tr w:rsidR="008A4207" w:rsidRPr="007114AF" w14:paraId="6EDCFEEF" w14:textId="77777777" w:rsidTr="001C467C">
        <w:trPr>
          <w:trHeight w:val="20"/>
        </w:trPr>
        <w:tc>
          <w:tcPr>
            <w:tcW w:w="935" w:type="pct"/>
            <w:vMerge/>
            <w:noWrap/>
            <w:vAlign w:val="center"/>
            <w:hideMark/>
          </w:tcPr>
          <w:p w14:paraId="6EDCFEEC" w14:textId="77777777" w:rsidR="008A4207" w:rsidRPr="007114AF" w:rsidRDefault="008A4207" w:rsidP="001C467C">
            <w:pPr>
              <w:spacing w:after="0"/>
              <w:rPr>
                <w:rFonts w:ascii="Garamond" w:hAnsi="Garamond"/>
                <w:color w:val="000000"/>
              </w:rPr>
            </w:pPr>
          </w:p>
        </w:tc>
        <w:tc>
          <w:tcPr>
            <w:tcW w:w="3248" w:type="pct"/>
            <w:gridSpan w:val="2"/>
            <w:vAlign w:val="center"/>
            <w:hideMark/>
          </w:tcPr>
          <w:p w14:paraId="6EDCFEED" w14:textId="77777777" w:rsidR="008A4207" w:rsidRPr="007114AF" w:rsidRDefault="008A4207" w:rsidP="001C467C">
            <w:pPr>
              <w:spacing w:after="0"/>
              <w:rPr>
                <w:rFonts w:ascii="Garamond" w:hAnsi="Garamond"/>
                <w:color w:val="000000"/>
              </w:rPr>
            </w:pPr>
            <w:r w:rsidRPr="007114AF">
              <w:rPr>
                <w:rFonts w:ascii="Garamond" w:hAnsi="Garamond"/>
                <w:color w:val="000000"/>
              </w:rPr>
              <w:t>Arritja e rritjes n</w:t>
            </w:r>
            <w:r w:rsidRPr="007114AF">
              <w:rPr>
                <w:rFonts w:ascii="Garamond" w:hAnsi="Garamond" w:cstheme="minorHAnsi"/>
                <w:color w:val="000000"/>
              </w:rPr>
              <w:t xml:space="preserve">ë masën </w:t>
            </w:r>
            <w:r w:rsidRPr="007114AF">
              <w:rPr>
                <w:rFonts w:ascii="Garamond" w:hAnsi="Garamond"/>
                <w:color w:val="000000"/>
              </w:rPr>
              <w:t>6.8% t</w:t>
            </w:r>
            <w:r w:rsidRPr="007114AF">
              <w:rPr>
                <w:rFonts w:ascii="Garamond" w:hAnsi="Garamond" w:cstheme="minorHAnsi"/>
                <w:color w:val="000000"/>
              </w:rPr>
              <w:t xml:space="preserve">ë </w:t>
            </w:r>
            <w:r w:rsidRPr="007114AF">
              <w:rPr>
                <w:rFonts w:ascii="Garamond" w:hAnsi="Garamond"/>
                <w:color w:val="000000"/>
              </w:rPr>
              <w:t>eficiencës</w:t>
            </w:r>
            <w:r w:rsidRPr="007114AF">
              <w:rPr>
                <w:rFonts w:ascii="Garamond" w:hAnsi="Garamond" w:cstheme="minorHAnsi"/>
                <w:color w:val="000000"/>
              </w:rPr>
              <w:t xml:space="preserve"> së energjisë në të gjithë sektorët ekonomikë</w:t>
            </w:r>
            <w:r w:rsidRPr="007114AF">
              <w:rPr>
                <w:rFonts w:ascii="Garamond" w:hAnsi="Garamond"/>
                <w:color w:val="000000"/>
              </w:rPr>
              <w:t>, krahasuar me konsumin p</w:t>
            </w:r>
            <w:r w:rsidRPr="007114AF">
              <w:rPr>
                <w:rFonts w:ascii="Garamond" w:hAnsi="Garamond" w:cstheme="minorHAnsi"/>
                <w:color w:val="000000"/>
              </w:rPr>
              <w:t xml:space="preserve">ërfundimtar </w:t>
            </w:r>
            <w:r w:rsidRPr="007114AF">
              <w:rPr>
                <w:rFonts w:ascii="Garamond" w:hAnsi="Garamond"/>
                <w:color w:val="000000"/>
              </w:rPr>
              <w:t>total</w:t>
            </w:r>
            <w:r w:rsidRPr="007114AF">
              <w:rPr>
                <w:rFonts w:ascii="Garamond" w:hAnsi="Garamond" w:cstheme="minorHAnsi"/>
                <w:color w:val="000000"/>
              </w:rPr>
              <w:t xml:space="preserve"> të energjisë deri në vitin </w:t>
            </w:r>
            <w:r w:rsidRPr="007114AF">
              <w:rPr>
                <w:rFonts w:ascii="Garamond" w:hAnsi="Garamond"/>
                <w:color w:val="000000"/>
              </w:rPr>
              <w:t>2020</w:t>
            </w:r>
          </w:p>
        </w:tc>
        <w:tc>
          <w:tcPr>
            <w:tcW w:w="817" w:type="pct"/>
            <w:noWrap/>
            <w:vAlign w:val="center"/>
            <w:hideMark/>
          </w:tcPr>
          <w:p w14:paraId="6EDCFEEE" w14:textId="347585F2" w:rsidR="008A4207" w:rsidRPr="007114AF" w:rsidRDefault="008A4207" w:rsidP="001C467C">
            <w:pPr>
              <w:spacing w:after="0"/>
              <w:ind w:left="-108"/>
              <w:rPr>
                <w:rFonts w:ascii="Garamond" w:hAnsi="Garamond"/>
                <w:color w:val="000000"/>
              </w:rPr>
            </w:pPr>
            <w:r w:rsidRPr="007114AF">
              <w:rPr>
                <w:rFonts w:ascii="Garamond" w:hAnsi="Garamond"/>
                <w:color w:val="000000"/>
              </w:rPr>
              <w:t>SKZHI-II;</w:t>
            </w:r>
            <w:r w:rsidR="000A2A01" w:rsidRPr="007114AF">
              <w:rPr>
                <w:rFonts w:ascii="Garamond" w:hAnsi="Garamond"/>
                <w:color w:val="000000"/>
              </w:rPr>
              <w:t xml:space="preserve"> </w:t>
            </w:r>
            <w:r w:rsidRPr="007114AF">
              <w:rPr>
                <w:rFonts w:ascii="Garamond" w:hAnsi="Garamond"/>
                <w:color w:val="000000"/>
              </w:rPr>
              <w:t>PKVEE 2020; OZHQ 13</w:t>
            </w:r>
          </w:p>
        </w:tc>
      </w:tr>
      <w:tr w:rsidR="008A4207" w:rsidRPr="007114AF" w14:paraId="6EDCFEF3" w14:textId="77777777" w:rsidTr="001C467C">
        <w:trPr>
          <w:trHeight w:val="20"/>
        </w:trPr>
        <w:tc>
          <w:tcPr>
            <w:tcW w:w="935" w:type="pct"/>
            <w:vMerge/>
            <w:noWrap/>
            <w:vAlign w:val="center"/>
            <w:hideMark/>
          </w:tcPr>
          <w:p w14:paraId="6EDCFEF0" w14:textId="77777777" w:rsidR="008A4207" w:rsidRPr="007114AF" w:rsidRDefault="008A4207" w:rsidP="001C467C">
            <w:pPr>
              <w:spacing w:after="0"/>
              <w:rPr>
                <w:rFonts w:ascii="Garamond" w:hAnsi="Garamond"/>
                <w:color w:val="000000"/>
              </w:rPr>
            </w:pPr>
          </w:p>
        </w:tc>
        <w:tc>
          <w:tcPr>
            <w:tcW w:w="3248" w:type="pct"/>
            <w:gridSpan w:val="2"/>
            <w:vAlign w:val="center"/>
            <w:hideMark/>
          </w:tcPr>
          <w:p w14:paraId="6EDCFEF1" w14:textId="77777777" w:rsidR="008A4207" w:rsidRPr="007114AF" w:rsidRDefault="008A4207" w:rsidP="001C467C">
            <w:pPr>
              <w:spacing w:after="0"/>
              <w:rPr>
                <w:rFonts w:ascii="Garamond" w:hAnsi="Garamond"/>
                <w:color w:val="000000"/>
                <w:highlight w:val="yellow"/>
              </w:rPr>
            </w:pPr>
            <w:r w:rsidRPr="007114AF">
              <w:rPr>
                <w:rFonts w:ascii="Garamond" w:hAnsi="Garamond"/>
                <w:color w:val="000000"/>
              </w:rPr>
              <w:t>Arritja e uljes në masën 6.8% deri në vitin 2020 krahasuar me skenarin baze, ose një ulje në konsumin e energjisë prej 123.7 Ktoe</w:t>
            </w:r>
          </w:p>
        </w:tc>
        <w:tc>
          <w:tcPr>
            <w:tcW w:w="817" w:type="pct"/>
            <w:noWrap/>
            <w:vAlign w:val="center"/>
            <w:hideMark/>
          </w:tcPr>
          <w:p w14:paraId="6EDCFEF2" w14:textId="77777777" w:rsidR="008A4207" w:rsidRPr="007114AF" w:rsidRDefault="008A4207" w:rsidP="001C467C">
            <w:pPr>
              <w:spacing w:after="0"/>
              <w:ind w:left="-108"/>
              <w:rPr>
                <w:rFonts w:ascii="Garamond" w:hAnsi="Garamond"/>
                <w:color w:val="000000"/>
              </w:rPr>
            </w:pPr>
            <w:r w:rsidRPr="007114AF">
              <w:rPr>
                <w:rFonts w:ascii="Garamond" w:hAnsi="Garamond"/>
                <w:color w:val="000000"/>
              </w:rPr>
              <w:t>PKVEE 2&amp;3 2020; OZHQ 13</w:t>
            </w:r>
          </w:p>
        </w:tc>
      </w:tr>
      <w:tr w:rsidR="008A4207" w:rsidRPr="007114AF" w14:paraId="6EDCFEF8" w14:textId="77777777" w:rsidTr="001C467C">
        <w:trPr>
          <w:trHeight w:val="20"/>
        </w:trPr>
        <w:tc>
          <w:tcPr>
            <w:tcW w:w="935" w:type="pct"/>
            <w:vMerge w:val="restart"/>
            <w:noWrap/>
            <w:vAlign w:val="center"/>
            <w:hideMark/>
          </w:tcPr>
          <w:p w14:paraId="6EDCFEF4" w14:textId="77777777" w:rsidR="008A4207" w:rsidRPr="007114AF" w:rsidRDefault="008A4207" w:rsidP="001C467C">
            <w:pPr>
              <w:spacing w:after="0"/>
              <w:rPr>
                <w:rFonts w:ascii="Garamond" w:hAnsi="Garamond"/>
                <w:color w:val="000000"/>
              </w:rPr>
            </w:pPr>
            <w:r w:rsidRPr="007114AF">
              <w:rPr>
                <w:rFonts w:ascii="Garamond" w:hAnsi="Garamond"/>
                <w:color w:val="000000"/>
              </w:rPr>
              <w:t>Transporti</w:t>
            </w:r>
          </w:p>
          <w:p w14:paraId="6EDCFEF5" w14:textId="77777777" w:rsidR="008A4207" w:rsidRPr="007114AF" w:rsidRDefault="008A4207" w:rsidP="001C467C">
            <w:pPr>
              <w:spacing w:after="0"/>
              <w:rPr>
                <w:rFonts w:ascii="Garamond" w:hAnsi="Garamond"/>
                <w:color w:val="000000"/>
              </w:rPr>
            </w:pPr>
          </w:p>
        </w:tc>
        <w:tc>
          <w:tcPr>
            <w:tcW w:w="3248" w:type="pct"/>
            <w:gridSpan w:val="2"/>
            <w:vAlign w:val="center"/>
            <w:hideMark/>
          </w:tcPr>
          <w:p w14:paraId="6EDCFEF6" w14:textId="3CF116ED" w:rsidR="008A4207" w:rsidRPr="007114AF" w:rsidRDefault="008A4207" w:rsidP="001C467C">
            <w:pPr>
              <w:spacing w:after="0"/>
              <w:rPr>
                <w:rFonts w:ascii="Garamond" w:hAnsi="Garamond"/>
                <w:color w:val="000000"/>
              </w:rPr>
            </w:pPr>
            <w:r w:rsidRPr="007114AF">
              <w:rPr>
                <w:rFonts w:ascii="Garamond" w:hAnsi="Garamond"/>
                <w:color w:val="000000"/>
              </w:rPr>
              <w:t>Ulja e shkarkimit t</w:t>
            </w:r>
            <w:r w:rsidRPr="007114AF">
              <w:rPr>
                <w:rFonts w:ascii="Garamond" w:hAnsi="Garamond" w:cstheme="minorHAnsi"/>
                <w:color w:val="000000"/>
              </w:rPr>
              <w:t xml:space="preserve">ë </w:t>
            </w:r>
            <w:r w:rsidRPr="007114AF">
              <w:rPr>
                <w:rFonts w:ascii="Garamond" w:hAnsi="Garamond"/>
                <w:color w:val="000000"/>
              </w:rPr>
              <w:t>ndot</w:t>
            </w:r>
            <w:r w:rsidRPr="007114AF">
              <w:rPr>
                <w:rFonts w:ascii="Garamond" w:hAnsi="Garamond" w:cstheme="minorHAnsi"/>
                <w:color w:val="000000"/>
              </w:rPr>
              <w:t>ësve të ajrit dhe konsumit të energjisë, përmes përmirësimit të kushteve të rrugëve dhe futja e teknologjive të reja të shtrimit të</w:t>
            </w:r>
            <w:r w:rsidR="0028717C">
              <w:rPr>
                <w:rFonts w:ascii="Garamond" w:hAnsi="Garamond" w:cstheme="minorHAnsi"/>
                <w:color w:val="000000"/>
              </w:rPr>
              <w:t xml:space="preserve"> </w:t>
            </w:r>
            <w:r w:rsidRPr="007114AF">
              <w:rPr>
                <w:rFonts w:ascii="Garamond" w:hAnsi="Garamond"/>
                <w:color w:val="000000"/>
              </w:rPr>
              <w:t>rrug</w:t>
            </w:r>
            <w:r w:rsidRPr="007114AF">
              <w:rPr>
                <w:rFonts w:ascii="Garamond" w:hAnsi="Garamond" w:cstheme="minorHAnsi"/>
                <w:color w:val="000000"/>
              </w:rPr>
              <w:t>ëve</w:t>
            </w:r>
          </w:p>
        </w:tc>
        <w:tc>
          <w:tcPr>
            <w:tcW w:w="817" w:type="pct"/>
            <w:noWrap/>
            <w:vAlign w:val="center"/>
            <w:hideMark/>
          </w:tcPr>
          <w:p w14:paraId="6EDCFEF7" w14:textId="77777777" w:rsidR="008A4207" w:rsidRPr="007114AF" w:rsidRDefault="008A4207" w:rsidP="001C467C">
            <w:pPr>
              <w:spacing w:after="0"/>
              <w:ind w:left="-108"/>
              <w:rPr>
                <w:rFonts w:ascii="Garamond" w:hAnsi="Garamond"/>
                <w:color w:val="000000"/>
              </w:rPr>
            </w:pPr>
            <w:r w:rsidRPr="007114AF">
              <w:rPr>
                <w:rFonts w:ascii="Garamond" w:hAnsi="Garamond"/>
                <w:color w:val="000000"/>
              </w:rPr>
              <w:t>TECTQ; OZHQ 13</w:t>
            </w:r>
          </w:p>
        </w:tc>
      </w:tr>
      <w:tr w:rsidR="008A4207" w:rsidRPr="007114AF" w14:paraId="6EDCFEFC" w14:textId="77777777" w:rsidTr="001C467C">
        <w:trPr>
          <w:trHeight w:val="20"/>
        </w:trPr>
        <w:tc>
          <w:tcPr>
            <w:tcW w:w="935" w:type="pct"/>
            <w:vMerge/>
            <w:noWrap/>
            <w:vAlign w:val="center"/>
            <w:hideMark/>
          </w:tcPr>
          <w:p w14:paraId="6EDCFEF9" w14:textId="77777777" w:rsidR="008A4207" w:rsidRPr="007114AF" w:rsidRDefault="008A4207" w:rsidP="001C467C">
            <w:pPr>
              <w:spacing w:after="0"/>
              <w:rPr>
                <w:rFonts w:ascii="Garamond" w:hAnsi="Garamond"/>
                <w:color w:val="000000"/>
              </w:rPr>
            </w:pPr>
          </w:p>
        </w:tc>
        <w:tc>
          <w:tcPr>
            <w:tcW w:w="3248" w:type="pct"/>
            <w:gridSpan w:val="2"/>
            <w:vAlign w:val="center"/>
            <w:hideMark/>
          </w:tcPr>
          <w:p w14:paraId="6EDCFEFA" w14:textId="77777777" w:rsidR="008A4207" w:rsidRPr="007114AF" w:rsidRDefault="008A4207" w:rsidP="001C467C">
            <w:pPr>
              <w:spacing w:after="0"/>
              <w:rPr>
                <w:rFonts w:ascii="Garamond" w:hAnsi="Garamond"/>
                <w:color w:val="000000"/>
              </w:rPr>
            </w:pPr>
            <w:r w:rsidRPr="007114AF">
              <w:rPr>
                <w:rFonts w:ascii="Garamond" w:hAnsi="Garamond"/>
                <w:color w:val="000000"/>
              </w:rPr>
              <w:t>P</w:t>
            </w:r>
            <w:r w:rsidRPr="007114AF">
              <w:rPr>
                <w:rFonts w:ascii="Garamond" w:hAnsi="Garamond" w:cstheme="minorHAnsi"/>
                <w:color w:val="000000"/>
              </w:rPr>
              <w:t>ërmirësimi i transportit rrugor që nxit kalimin nga trafiku privat në atë publik, përmes racionalizimit dhe qasjes më të mirë në rrjetin e autobusëve ndërurbanë</w:t>
            </w:r>
          </w:p>
        </w:tc>
        <w:tc>
          <w:tcPr>
            <w:tcW w:w="817" w:type="pct"/>
            <w:noWrap/>
            <w:vAlign w:val="center"/>
            <w:hideMark/>
          </w:tcPr>
          <w:p w14:paraId="6EDCFEFB" w14:textId="77777777" w:rsidR="008A4207" w:rsidRPr="007114AF" w:rsidRDefault="008A4207" w:rsidP="001C467C">
            <w:pPr>
              <w:spacing w:after="0"/>
              <w:ind w:left="-108"/>
              <w:rPr>
                <w:rFonts w:ascii="Garamond" w:hAnsi="Garamond"/>
                <w:color w:val="000000"/>
              </w:rPr>
            </w:pPr>
            <w:r w:rsidRPr="007114AF">
              <w:rPr>
                <w:rFonts w:ascii="Garamond" w:hAnsi="Garamond"/>
                <w:color w:val="000000"/>
              </w:rPr>
              <w:t>TECTQ</w:t>
            </w:r>
          </w:p>
        </w:tc>
      </w:tr>
      <w:tr w:rsidR="008A4207" w:rsidRPr="007114AF" w14:paraId="6EDCFEFE" w14:textId="77777777" w:rsidTr="001C467C">
        <w:trPr>
          <w:trHeight w:val="20"/>
        </w:trPr>
        <w:tc>
          <w:tcPr>
            <w:tcW w:w="5000" w:type="pct"/>
            <w:gridSpan w:val="4"/>
            <w:shd w:val="clear" w:color="auto" w:fill="C6D9F1" w:themeFill="text2" w:themeFillTint="33"/>
            <w:noWrap/>
            <w:vAlign w:val="center"/>
            <w:hideMark/>
          </w:tcPr>
          <w:p w14:paraId="6EDCFEFD" w14:textId="77777777" w:rsidR="008A4207" w:rsidRPr="007114AF" w:rsidRDefault="008A4207" w:rsidP="001C467C">
            <w:pPr>
              <w:spacing w:after="0"/>
              <w:ind w:left="-108" w:firstLine="109"/>
              <w:rPr>
                <w:rFonts w:ascii="Garamond" w:hAnsi="Garamond"/>
                <w:color w:val="000000"/>
              </w:rPr>
            </w:pPr>
            <w:r w:rsidRPr="007114AF">
              <w:rPr>
                <w:rFonts w:ascii="Garamond" w:hAnsi="Garamond"/>
                <w:b/>
                <w:bCs/>
                <w:color w:val="000000"/>
              </w:rPr>
              <w:t>Nxitja e Burimeve të Qëndrueshme të Energjisë së Rinovueshme(SP1; SP6)</w:t>
            </w:r>
          </w:p>
        </w:tc>
      </w:tr>
      <w:tr w:rsidR="008A4207" w:rsidRPr="007114AF" w14:paraId="6EDCFF02" w14:textId="77777777" w:rsidTr="001C467C">
        <w:trPr>
          <w:trHeight w:val="20"/>
        </w:trPr>
        <w:tc>
          <w:tcPr>
            <w:tcW w:w="935" w:type="pct"/>
            <w:vMerge w:val="restart"/>
            <w:noWrap/>
            <w:vAlign w:val="center"/>
            <w:hideMark/>
          </w:tcPr>
          <w:p w14:paraId="6EDCFEFF" w14:textId="77777777" w:rsidR="008A4207" w:rsidRPr="007114AF" w:rsidRDefault="008A4207" w:rsidP="001C467C">
            <w:pPr>
              <w:spacing w:after="0"/>
              <w:rPr>
                <w:rFonts w:ascii="Garamond" w:hAnsi="Garamond"/>
                <w:color w:val="000000"/>
              </w:rPr>
            </w:pPr>
            <w:r w:rsidRPr="007114AF">
              <w:rPr>
                <w:rFonts w:ascii="Garamond" w:hAnsi="Garamond"/>
                <w:color w:val="000000"/>
              </w:rPr>
              <w:t>Energjia</w:t>
            </w:r>
          </w:p>
        </w:tc>
        <w:tc>
          <w:tcPr>
            <w:tcW w:w="3248" w:type="pct"/>
            <w:gridSpan w:val="2"/>
            <w:vAlign w:val="center"/>
            <w:hideMark/>
          </w:tcPr>
          <w:p w14:paraId="6EDCFF00" w14:textId="77777777" w:rsidR="008A4207" w:rsidRPr="007114AF" w:rsidRDefault="008A4207" w:rsidP="001C467C">
            <w:pPr>
              <w:spacing w:after="0"/>
              <w:rPr>
                <w:rFonts w:ascii="Garamond" w:hAnsi="Garamond"/>
                <w:color w:val="000000"/>
              </w:rPr>
            </w:pPr>
            <w:r w:rsidRPr="007114AF">
              <w:rPr>
                <w:rFonts w:ascii="Garamond" w:hAnsi="Garamond"/>
                <w:color w:val="000000"/>
              </w:rPr>
              <w:t>Arritja e rritjes n</w:t>
            </w:r>
            <w:r w:rsidRPr="007114AF">
              <w:rPr>
                <w:rFonts w:ascii="Garamond" w:hAnsi="Garamond" w:cstheme="minorHAnsi"/>
                <w:color w:val="000000"/>
              </w:rPr>
              <w:t xml:space="preserve">ë masën </w:t>
            </w:r>
            <w:r w:rsidRPr="007114AF">
              <w:rPr>
                <w:rFonts w:ascii="Garamond" w:hAnsi="Garamond"/>
                <w:color w:val="000000"/>
              </w:rPr>
              <w:t>38% t</w:t>
            </w:r>
            <w:r w:rsidRPr="007114AF">
              <w:rPr>
                <w:rFonts w:ascii="Garamond" w:hAnsi="Garamond" w:cstheme="minorHAnsi"/>
                <w:color w:val="000000"/>
              </w:rPr>
              <w:t>ë përdorimit të energjisë së rinovueshme krahasuar me konsumin përfundimtar total të energjisë</w:t>
            </w:r>
            <w:r w:rsidRPr="007114AF">
              <w:rPr>
                <w:rFonts w:ascii="Garamond" w:hAnsi="Garamond"/>
                <w:color w:val="000000"/>
              </w:rPr>
              <w:t>, p</w:t>
            </w:r>
            <w:r w:rsidRPr="007114AF">
              <w:rPr>
                <w:rFonts w:ascii="Garamond" w:hAnsi="Garamond" w:cstheme="minorHAnsi"/>
                <w:color w:val="000000"/>
              </w:rPr>
              <w:t>ërmes aprovimit dhe zbatimit të Planit Kombëtar të Veprimit për Energjinë e Rinovueshme</w:t>
            </w:r>
          </w:p>
        </w:tc>
        <w:tc>
          <w:tcPr>
            <w:tcW w:w="817" w:type="pct"/>
            <w:noWrap/>
            <w:vAlign w:val="center"/>
            <w:hideMark/>
          </w:tcPr>
          <w:p w14:paraId="6EDCFF01" w14:textId="77777777" w:rsidR="008A4207" w:rsidRPr="007114AF" w:rsidRDefault="008A4207" w:rsidP="001C467C">
            <w:pPr>
              <w:spacing w:after="0"/>
              <w:ind w:left="-108"/>
              <w:rPr>
                <w:rFonts w:ascii="Garamond" w:hAnsi="Garamond"/>
                <w:color w:val="000000"/>
              </w:rPr>
            </w:pPr>
            <w:r w:rsidRPr="007114AF">
              <w:rPr>
                <w:rFonts w:ascii="Garamond" w:hAnsi="Garamond"/>
                <w:color w:val="000000"/>
              </w:rPr>
              <w:t>SKZHI-II; BER 2020; LOCSEE Plani i Procesit të Uljes së Karbonit; OZHQ 13</w:t>
            </w:r>
          </w:p>
        </w:tc>
      </w:tr>
      <w:tr w:rsidR="008A4207" w:rsidRPr="007114AF" w14:paraId="6EDCFF06" w14:textId="77777777" w:rsidTr="001C467C">
        <w:trPr>
          <w:trHeight w:val="20"/>
        </w:trPr>
        <w:tc>
          <w:tcPr>
            <w:tcW w:w="935" w:type="pct"/>
            <w:vMerge/>
            <w:noWrap/>
            <w:vAlign w:val="center"/>
            <w:hideMark/>
          </w:tcPr>
          <w:p w14:paraId="6EDCFF03" w14:textId="77777777" w:rsidR="008A4207" w:rsidRPr="007114AF" w:rsidRDefault="008A4207" w:rsidP="001C467C">
            <w:pPr>
              <w:spacing w:after="0"/>
              <w:rPr>
                <w:rFonts w:ascii="Garamond" w:hAnsi="Garamond"/>
                <w:color w:val="000000"/>
              </w:rPr>
            </w:pPr>
          </w:p>
        </w:tc>
        <w:tc>
          <w:tcPr>
            <w:tcW w:w="3248" w:type="pct"/>
            <w:gridSpan w:val="2"/>
            <w:vAlign w:val="center"/>
            <w:hideMark/>
          </w:tcPr>
          <w:p w14:paraId="6EDCFF04" w14:textId="18FF8898" w:rsidR="008A4207" w:rsidRPr="007114AF" w:rsidRDefault="008A4207" w:rsidP="0000517F">
            <w:pPr>
              <w:spacing w:after="0"/>
              <w:rPr>
                <w:rFonts w:ascii="Garamond" w:hAnsi="Garamond"/>
                <w:color w:val="000000"/>
              </w:rPr>
            </w:pPr>
            <w:r w:rsidRPr="007114AF">
              <w:rPr>
                <w:rFonts w:ascii="Garamond" w:hAnsi="Garamond"/>
                <w:color w:val="000000"/>
              </w:rPr>
              <w:t>Rritje t</w:t>
            </w:r>
            <w:r w:rsidR="0028717C">
              <w:rPr>
                <w:rFonts w:ascii="Garamond" w:hAnsi="Garamond"/>
                <w:color w:val="000000"/>
              </w:rPr>
              <w:t>ë</w:t>
            </w:r>
            <w:r w:rsidRPr="007114AF">
              <w:rPr>
                <w:rFonts w:ascii="Garamond" w:hAnsi="Garamond"/>
                <w:color w:val="000000"/>
              </w:rPr>
              <w:t xml:space="preserve"> </w:t>
            </w:r>
            <w:r w:rsidR="0028717C" w:rsidRPr="007114AF">
              <w:rPr>
                <w:rFonts w:ascii="Garamond" w:hAnsi="Garamond"/>
                <w:color w:val="000000"/>
              </w:rPr>
              <w:t>sasisë</w:t>
            </w:r>
            <w:r w:rsidRPr="007114AF">
              <w:rPr>
                <w:rFonts w:ascii="Garamond" w:hAnsi="Garamond"/>
                <w:color w:val="000000"/>
              </w:rPr>
              <w:t xml:space="preserve"> shtes</w:t>
            </w:r>
            <w:r w:rsidR="0028717C">
              <w:rPr>
                <w:rFonts w:ascii="Garamond" w:hAnsi="Garamond"/>
                <w:color w:val="000000"/>
              </w:rPr>
              <w:t>ë</w:t>
            </w:r>
            <w:r w:rsidRPr="007114AF">
              <w:rPr>
                <w:rFonts w:ascii="Garamond" w:hAnsi="Garamond"/>
                <w:color w:val="000000"/>
              </w:rPr>
              <w:t xml:space="preserve"> t</w:t>
            </w:r>
            <w:r w:rsidR="0028717C">
              <w:rPr>
                <w:rFonts w:ascii="Garamond" w:hAnsi="Garamond"/>
                <w:color w:val="000000"/>
              </w:rPr>
              <w:t>ë</w:t>
            </w:r>
            <w:r w:rsidRPr="007114AF">
              <w:rPr>
                <w:rFonts w:ascii="Garamond" w:hAnsi="Garamond"/>
                <w:color w:val="000000"/>
              </w:rPr>
              <w:t xml:space="preserve"> konsumuar </w:t>
            </w:r>
            <w:r w:rsidR="0028717C" w:rsidRPr="007114AF">
              <w:rPr>
                <w:rFonts w:ascii="Garamond" w:hAnsi="Garamond"/>
                <w:color w:val="000000"/>
              </w:rPr>
              <w:t>energjisë</w:t>
            </w:r>
            <w:r w:rsidRPr="007114AF">
              <w:rPr>
                <w:rFonts w:ascii="Garamond" w:hAnsi="Garamond"/>
                <w:color w:val="000000"/>
              </w:rPr>
              <w:t xml:space="preserve"> elektrike nga burime te rinovueshme me t</w:t>
            </w:r>
            <w:r w:rsidR="0028717C">
              <w:rPr>
                <w:rFonts w:ascii="Garamond" w:hAnsi="Garamond"/>
                <w:color w:val="000000"/>
              </w:rPr>
              <w:t>ë</w:t>
            </w:r>
            <w:r w:rsidRPr="007114AF">
              <w:rPr>
                <w:rFonts w:ascii="Garamond" w:hAnsi="Garamond"/>
                <w:color w:val="000000"/>
              </w:rPr>
              <w:t xml:space="preserve"> pakt</w:t>
            </w:r>
            <w:r w:rsidR="0028717C">
              <w:rPr>
                <w:rFonts w:ascii="Garamond" w:hAnsi="Garamond"/>
                <w:color w:val="000000"/>
              </w:rPr>
              <w:t>ë</w:t>
            </w:r>
            <w:r w:rsidRPr="007114AF">
              <w:rPr>
                <w:rFonts w:ascii="Garamond" w:hAnsi="Garamond"/>
                <w:color w:val="000000"/>
              </w:rPr>
              <w:t>n 172 ktoe (2,044 GWh) deri n</w:t>
            </w:r>
            <w:r w:rsidR="0000517F">
              <w:rPr>
                <w:rFonts w:ascii="Garamond" w:hAnsi="Garamond"/>
                <w:color w:val="000000"/>
              </w:rPr>
              <w:t>ë</w:t>
            </w:r>
            <w:r w:rsidRPr="007114AF">
              <w:rPr>
                <w:rFonts w:ascii="Garamond" w:hAnsi="Garamond"/>
                <w:color w:val="000000"/>
              </w:rPr>
              <w:t xml:space="preserve"> vitin 2020</w:t>
            </w:r>
          </w:p>
        </w:tc>
        <w:tc>
          <w:tcPr>
            <w:tcW w:w="817" w:type="pct"/>
            <w:noWrap/>
            <w:vAlign w:val="center"/>
            <w:hideMark/>
          </w:tcPr>
          <w:p w14:paraId="6EDCFF05" w14:textId="77777777" w:rsidR="008A4207" w:rsidRPr="007114AF" w:rsidRDefault="008A4207" w:rsidP="001C467C">
            <w:pPr>
              <w:spacing w:after="0"/>
              <w:ind w:left="-109" w:firstLine="1"/>
              <w:rPr>
                <w:rFonts w:ascii="Garamond" w:hAnsi="Garamond"/>
                <w:color w:val="000000"/>
              </w:rPr>
            </w:pPr>
            <w:r w:rsidRPr="007114AF">
              <w:rPr>
                <w:rFonts w:ascii="Garamond" w:hAnsi="Garamond"/>
                <w:color w:val="000000"/>
              </w:rPr>
              <w:t>Plani i Veprimit BER</w:t>
            </w:r>
          </w:p>
        </w:tc>
      </w:tr>
      <w:tr w:rsidR="008A4207" w:rsidRPr="007114AF" w14:paraId="6EDCFF0B" w14:textId="77777777" w:rsidTr="001C467C">
        <w:trPr>
          <w:trHeight w:val="20"/>
        </w:trPr>
        <w:tc>
          <w:tcPr>
            <w:tcW w:w="935" w:type="pct"/>
            <w:vMerge w:val="restart"/>
            <w:noWrap/>
            <w:vAlign w:val="center"/>
            <w:hideMark/>
          </w:tcPr>
          <w:p w14:paraId="6EDCFF07" w14:textId="77777777" w:rsidR="008A4207" w:rsidRPr="007114AF" w:rsidRDefault="008A4207" w:rsidP="001C467C">
            <w:pPr>
              <w:spacing w:after="0"/>
              <w:rPr>
                <w:rFonts w:ascii="Garamond" w:hAnsi="Garamond"/>
                <w:color w:val="000000"/>
              </w:rPr>
            </w:pPr>
            <w:r w:rsidRPr="007114AF">
              <w:rPr>
                <w:rFonts w:ascii="Garamond" w:hAnsi="Garamond"/>
                <w:color w:val="000000"/>
              </w:rPr>
              <w:t>Transporti</w:t>
            </w:r>
          </w:p>
          <w:p w14:paraId="6EDCFF08" w14:textId="77777777" w:rsidR="008A4207" w:rsidRPr="007114AF" w:rsidRDefault="008A4207" w:rsidP="001C467C">
            <w:pPr>
              <w:spacing w:after="0"/>
              <w:rPr>
                <w:rFonts w:ascii="Garamond" w:hAnsi="Garamond"/>
                <w:color w:val="000000"/>
              </w:rPr>
            </w:pPr>
          </w:p>
        </w:tc>
        <w:tc>
          <w:tcPr>
            <w:tcW w:w="3248" w:type="pct"/>
            <w:gridSpan w:val="2"/>
            <w:vAlign w:val="center"/>
            <w:hideMark/>
          </w:tcPr>
          <w:p w14:paraId="6EDCFF09" w14:textId="77777777" w:rsidR="008A4207" w:rsidRPr="007114AF" w:rsidRDefault="008A4207" w:rsidP="001C467C">
            <w:pPr>
              <w:spacing w:after="0"/>
              <w:rPr>
                <w:rFonts w:ascii="Garamond" w:hAnsi="Garamond"/>
                <w:color w:val="000000"/>
              </w:rPr>
            </w:pPr>
            <w:r w:rsidRPr="007114AF">
              <w:rPr>
                <w:rFonts w:ascii="Garamond" w:hAnsi="Garamond"/>
                <w:color w:val="000000"/>
              </w:rPr>
              <w:t>Arritja e kuotës së transportit tëBERnë 3% në konsumin final bruto të energjisë</w:t>
            </w:r>
          </w:p>
        </w:tc>
        <w:tc>
          <w:tcPr>
            <w:tcW w:w="817" w:type="pct"/>
            <w:noWrap/>
            <w:vAlign w:val="center"/>
            <w:hideMark/>
          </w:tcPr>
          <w:p w14:paraId="6EDCFF0A" w14:textId="77777777" w:rsidR="008A4207" w:rsidRPr="007114AF" w:rsidRDefault="008A4207" w:rsidP="001C467C">
            <w:pPr>
              <w:spacing w:after="0"/>
              <w:ind w:left="-109" w:firstLine="1"/>
              <w:rPr>
                <w:rFonts w:ascii="Garamond" w:hAnsi="Garamond"/>
                <w:color w:val="000000"/>
              </w:rPr>
            </w:pPr>
            <w:r w:rsidRPr="007114AF">
              <w:rPr>
                <w:rFonts w:ascii="Garamond" w:hAnsi="Garamond"/>
                <w:color w:val="000000"/>
              </w:rPr>
              <w:t>Plani i Veprimit BER</w:t>
            </w:r>
          </w:p>
        </w:tc>
      </w:tr>
      <w:tr w:rsidR="008A4207" w:rsidRPr="007114AF" w14:paraId="6EDCFF0F" w14:textId="77777777" w:rsidTr="001C467C">
        <w:trPr>
          <w:trHeight w:val="20"/>
        </w:trPr>
        <w:tc>
          <w:tcPr>
            <w:tcW w:w="935" w:type="pct"/>
            <w:vMerge/>
            <w:noWrap/>
            <w:vAlign w:val="center"/>
            <w:hideMark/>
          </w:tcPr>
          <w:p w14:paraId="6EDCFF0C" w14:textId="77777777" w:rsidR="008A4207" w:rsidRPr="007114AF" w:rsidRDefault="008A4207" w:rsidP="001C467C">
            <w:pPr>
              <w:spacing w:after="0"/>
              <w:rPr>
                <w:rFonts w:ascii="Garamond" w:hAnsi="Garamond"/>
                <w:color w:val="000000"/>
              </w:rPr>
            </w:pPr>
          </w:p>
        </w:tc>
        <w:tc>
          <w:tcPr>
            <w:tcW w:w="3248" w:type="pct"/>
            <w:gridSpan w:val="2"/>
            <w:vAlign w:val="center"/>
            <w:hideMark/>
          </w:tcPr>
          <w:p w14:paraId="6EDCFF0D" w14:textId="77777777" w:rsidR="008A4207" w:rsidRPr="007114AF" w:rsidRDefault="008A4207" w:rsidP="001C467C">
            <w:pPr>
              <w:spacing w:after="0"/>
              <w:rPr>
                <w:rFonts w:ascii="Garamond" w:hAnsi="Garamond"/>
                <w:color w:val="000000"/>
              </w:rPr>
            </w:pPr>
            <w:r w:rsidRPr="007114AF">
              <w:rPr>
                <w:rFonts w:ascii="Garamond" w:hAnsi="Garamond"/>
                <w:color w:val="000000"/>
              </w:rPr>
              <w:t>Arritja e objektivit specifik p</w:t>
            </w:r>
            <w:r w:rsidRPr="007114AF">
              <w:rPr>
                <w:rFonts w:ascii="Garamond" w:hAnsi="Garamond" w:cstheme="minorHAnsi"/>
                <w:color w:val="000000"/>
              </w:rPr>
              <w:t>ër t</w:t>
            </w:r>
            <w:r w:rsidRPr="007114AF">
              <w:rPr>
                <w:rFonts w:ascii="Garamond" w:hAnsi="Garamond"/>
                <w:color w:val="000000"/>
              </w:rPr>
              <w:t>ransportin që k</w:t>
            </w:r>
            <w:r w:rsidRPr="007114AF">
              <w:rPr>
                <w:rFonts w:ascii="Garamond" w:hAnsi="Garamond" w:cstheme="minorHAnsi"/>
                <w:color w:val="000000"/>
              </w:rPr>
              <w:t>ërkon që</w:t>
            </w:r>
            <w:r w:rsidRPr="007114AF">
              <w:rPr>
                <w:rFonts w:ascii="Garamond" w:hAnsi="Garamond"/>
                <w:color w:val="000000"/>
              </w:rPr>
              <w:t xml:space="preserve"> 10% e konsumit t</w:t>
            </w:r>
            <w:r w:rsidRPr="007114AF">
              <w:rPr>
                <w:rFonts w:ascii="Garamond" w:hAnsi="Garamond" w:cstheme="minorHAnsi"/>
                <w:color w:val="000000"/>
              </w:rPr>
              <w:t>ë të gjithë karburantit në transport të vijë nga b</w:t>
            </w:r>
            <w:r w:rsidRPr="007114AF">
              <w:rPr>
                <w:rFonts w:ascii="Garamond" w:hAnsi="Garamond"/>
                <w:color w:val="000000"/>
              </w:rPr>
              <w:t>iokarburet</w:t>
            </w:r>
          </w:p>
        </w:tc>
        <w:tc>
          <w:tcPr>
            <w:tcW w:w="817" w:type="pct"/>
            <w:noWrap/>
            <w:vAlign w:val="center"/>
            <w:hideMark/>
          </w:tcPr>
          <w:p w14:paraId="6EDCFF0E" w14:textId="77777777" w:rsidR="008A4207" w:rsidRPr="007114AF" w:rsidRDefault="008A4207" w:rsidP="001C467C">
            <w:pPr>
              <w:spacing w:after="0"/>
              <w:ind w:left="-109" w:firstLine="1"/>
              <w:rPr>
                <w:rFonts w:ascii="Garamond" w:hAnsi="Garamond"/>
                <w:color w:val="000000"/>
              </w:rPr>
            </w:pPr>
            <w:r w:rsidRPr="007114AF">
              <w:rPr>
                <w:rFonts w:ascii="Garamond" w:hAnsi="Garamond"/>
                <w:color w:val="000000"/>
              </w:rPr>
              <w:t>Plani i Veprimit BER; INDC</w:t>
            </w:r>
          </w:p>
        </w:tc>
      </w:tr>
      <w:tr w:rsidR="008A4207" w:rsidRPr="007114AF" w14:paraId="6EDCFF13" w14:textId="77777777" w:rsidTr="001C467C">
        <w:trPr>
          <w:trHeight w:val="20"/>
        </w:trPr>
        <w:tc>
          <w:tcPr>
            <w:tcW w:w="935" w:type="pct"/>
            <w:noWrap/>
            <w:vAlign w:val="center"/>
            <w:hideMark/>
          </w:tcPr>
          <w:p w14:paraId="6EDCFF10" w14:textId="77777777" w:rsidR="008A4207" w:rsidRPr="007114AF" w:rsidRDefault="008A4207" w:rsidP="001C467C">
            <w:pPr>
              <w:spacing w:after="0"/>
              <w:rPr>
                <w:rFonts w:ascii="Garamond" w:hAnsi="Garamond"/>
                <w:color w:val="000000"/>
              </w:rPr>
            </w:pPr>
            <w:r w:rsidRPr="007114AF">
              <w:rPr>
                <w:rFonts w:ascii="Garamond" w:hAnsi="Garamond"/>
                <w:color w:val="000000"/>
              </w:rPr>
              <w:t>Energjia/LUCF-ja</w:t>
            </w:r>
          </w:p>
        </w:tc>
        <w:tc>
          <w:tcPr>
            <w:tcW w:w="3248" w:type="pct"/>
            <w:gridSpan w:val="2"/>
            <w:vAlign w:val="center"/>
            <w:hideMark/>
          </w:tcPr>
          <w:p w14:paraId="6EDCFF11" w14:textId="72309187" w:rsidR="008A4207" w:rsidRPr="007114AF" w:rsidRDefault="008A4207" w:rsidP="001C467C">
            <w:pPr>
              <w:spacing w:after="0"/>
              <w:rPr>
                <w:rFonts w:ascii="Garamond" w:hAnsi="Garamond"/>
                <w:color w:val="000000"/>
              </w:rPr>
            </w:pPr>
            <w:r w:rsidRPr="007114AF">
              <w:rPr>
                <w:rFonts w:ascii="Garamond" w:hAnsi="Garamond"/>
                <w:color w:val="000000"/>
              </w:rPr>
              <w:t>Rritja e efektivitetit ekonomik dhe eficiencës s</w:t>
            </w:r>
            <w:r w:rsidRPr="007114AF">
              <w:rPr>
                <w:rFonts w:ascii="Garamond" w:hAnsi="Garamond" w:cstheme="minorHAnsi"/>
                <w:color w:val="000000"/>
              </w:rPr>
              <w:t>ë energjisë nga përdorimi i qëndrueshëm i pyjeve shtetërore, me qëllim uljen e shfrytëzimit të pyjeve dhe përmirësimin e përdorimit të teknologjisë drusore</w:t>
            </w:r>
            <w:r w:rsidRPr="007114AF">
              <w:rPr>
                <w:rFonts w:ascii="Garamond" w:hAnsi="Garamond"/>
                <w:color w:val="000000"/>
              </w:rPr>
              <w:t xml:space="preserve"> (p</w:t>
            </w:r>
            <w:r w:rsidRPr="007114AF">
              <w:rPr>
                <w:rFonts w:ascii="Garamond" w:hAnsi="Garamond" w:cstheme="minorHAnsi"/>
                <w:color w:val="000000"/>
              </w:rPr>
              <w:t>ërdorimi i mbetjeve nga të korrat dhe përmirësimi</w:t>
            </w:r>
            <w:r w:rsidR="000A2A01" w:rsidRPr="007114AF">
              <w:rPr>
                <w:rFonts w:ascii="Garamond" w:hAnsi="Garamond" w:cstheme="minorHAnsi"/>
                <w:color w:val="000000"/>
              </w:rPr>
              <w:t xml:space="preserve"> </w:t>
            </w:r>
            <w:r w:rsidRPr="007114AF">
              <w:rPr>
                <w:rFonts w:ascii="Garamond" w:hAnsi="Garamond" w:cstheme="minorHAnsi"/>
                <w:color w:val="000000"/>
              </w:rPr>
              <w:t xml:space="preserve">teknologjive </w:t>
            </w:r>
            <w:r w:rsidRPr="007114AF">
              <w:rPr>
                <w:rFonts w:ascii="Garamond" w:hAnsi="Garamond"/>
                <w:color w:val="000000"/>
              </w:rPr>
              <w:t>t</w:t>
            </w:r>
            <w:r w:rsidRPr="007114AF">
              <w:rPr>
                <w:rFonts w:ascii="Garamond" w:hAnsi="Garamond" w:cstheme="minorHAnsi"/>
                <w:color w:val="000000"/>
              </w:rPr>
              <w:t xml:space="preserve">ë djegies së </w:t>
            </w:r>
            <w:r w:rsidRPr="007114AF">
              <w:rPr>
                <w:rFonts w:ascii="Garamond" w:hAnsi="Garamond"/>
                <w:color w:val="000000"/>
              </w:rPr>
              <w:t>biomas</w:t>
            </w:r>
            <w:r w:rsidRPr="007114AF">
              <w:rPr>
                <w:rFonts w:ascii="Garamond" w:hAnsi="Garamond" w:cstheme="minorHAnsi"/>
                <w:color w:val="000000"/>
              </w:rPr>
              <w:t>ës</w:t>
            </w:r>
            <w:r w:rsidRPr="007114AF">
              <w:rPr>
                <w:rFonts w:ascii="Garamond" w:hAnsi="Garamond"/>
                <w:color w:val="000000"/>
              </w:rPr>
              <w:t>)</w:t>
            </w:r>
          </w:p>
        </w:tc>
        <w:tc>
          <w:tcPr>
            <w:tcW w:w="817" w:type="pct"/>
            <w:noWrap/>
            <w:vAlign w:val="center"/>
            <w:hideMark/>
          </w:tcPr>
          <w:p w14:paraId="6EDCFF12" w14:textId="77777777" w:rsidR="008A4207" w:rsidRPr="007114AF" w:rsidRDefault="008A4207" w:rsidP="001C467C">
            <w:pPr>
              <w:spacing w:after="0"/>
              <w:ind w:left="-109" w:firstLine="1"/>
              <w:rPr>
                <w:rFonts w:ascii="Garamond" w:hAnsi="Garamond"/>
                <w:color w:val="000000"/>
              </w:rPr>
            </w:pPr>
            <w:r w:rsidRPr="007114AF">
              <w:rPr>
                <w:rFonts w:ascii="Garamond" w:hAnsi="Garamond"/>
                <w:color w:val="000000"/>
              </w:rPr>
              <w:t>SMNS; KTK</w:t>
            </w:r>
          </w:p>
        </w:tc>
      </w:tr>
      <w:tr w:rsidR="008A4207" w:rsidRPr="007114AF" w14:paraId="6EDCFF17" w14:textId="77777777" w:rsidTr="001C467C">
        <w:trPr>
          <w:trHeight w:val="20"/>
        </w:trPr>
        <w:tc>
          <w:tcPr>
            <w:tcW w:w="935" w:type="pct"/>
            <w:noWrap/>
            <w:vAlign w:val="center"/>
            <w:hideMark/>
          </w:tcPr>
          <w:p w14:paraId="6EDCFF14" w14:textId="77777777" w:rsidR="008A4207" w:rsidRPr="007114AF" w:rsidRDefault="008A4207" w:rsidP="001C467C">
            <w:pPr>
              <w:spacing w:after="0"/>
              <w:rPr>
                <w:rFonts w:ascii="Garamond" w:hAnsi="Garamond"/>
                <w:color w:val="000000"/>
              </w:rPr>
            </w:pPr>
            <w:r w:rsidRPr="007114AF">
              <w:rPr>
                <w:rFonts w:ascii="Garamond" w:hAnsi="Garamond"/>
                <w:color w:val="000000"/>
              </w:rPr>
              <w:t>Energjia</w:t>
            </w:r>
          </w:p>
        </w:tc>
        <w:tc>
          <w:tcPr>
            <w:tcW w:w="3248" w:type="pct"/>
            <w:gridSpan w:val="2"/>
            <w:vAlign w:val="center"/>
            <w:hideMark/>
          </w:tcPr>
          <w:p w14:paraId="6EDCFF15" w14:textId="77777777" w:rsidR="008A4207" w:rsidRPr="007114AF" w:rsidRDefault="008A4207" w:rsidP="001C467C">
            <w:pPr>
              <w:spacing w:after="0"/>
              <w:rPr>
                <w:rFonts w:ascii="Garamond" w:hAnsi="Garamond"/>
                <w:color w:val="000000"/>
              </w:rPr>
            </w:pPr>
            <w:r w:rsidRPr="007114AF">
              <w:rPr>
                <w:rFonts w:ascii="Garamond" w:hAnsi="Garamond"/>
                <w:color w:val="000000"/>
              </w:rPr>
              <w:t>Diversifikimi i burimeve t</w:t>
            </w:r>
            <w:r w:rsidRPr="007114AF">
              <w:rPr>
                <w:rFonts w:ascii="Garamond" w:hAnsi="Garamond" w:cstheme="minorHAnsi"/>
                <w:color w:val="000000"/>
              </w:rPr>
              <w:t>ë rinovueshme në vend</w:t>
            </w:r>
            <w:r w:rsidRPr="007114AF">
              <w:rPr>
                <w:rFonts w:ascii="Garamond" w:hAnsi="Garamond"/>
                <w:color w:val="000000"/>
              </w:rPr>
              <w:t>, jo vet</w:t>
            </w:r>
            <w:r w:rsidRPr="007114AF">
              <w:rPr>
                <w:rFonts w:ascii="Garamond" w:hAnsi="Garamond" w:cstheme="minorHAnsi"/>
                <w:color w:val="000000"/>
              </w:rPr>
              <w:t xml:space="preserve">ëm nga burimet </w:t>
            </w:r>
            <w:r w:rsidRPr="007114AF">
              <w:rPr>
                <w:rFonts w:ascii="Garamond" w:hAnsi="Garamond"/>
                <w:color w:val="000000"/>
              </w:rPr>
              <w:t>hidrike, por edhe nga era, dielli, biomasa dhe burimet gjeotermale</w:t>
            </w:r>
          </w:p>
        </w:tc>
        <w:tc>
          <w:tcPr>
            <w:tcW w:w="817" w:type="pct"/>
            <w:noWrap/>
            <w:vAlign w:val="center"/>
            <w:hideMark/>
          </w:tcPr>
          <w:p w14:paraId="6EDCFF16" w14:textId="77777777" w:rsidR="008A4207" w:rsidRPr="007114AF" w:rsidRDefault="008A4207" w:rsidP="001C467C">
            <w:pPr>
              <w:spacing w:after="0"/>
              <w:ind w:left="-109" w:firstLine="1"/>
              <w:rPr>
                <w:rFonts w:ascii="Garamond" w:hAnsi="Garamond"/>
                <w:color w:val="000000"/>
              </w:rPr>
            </w:pPr>
            <w:r w:rsidRPr="007114AF">
              <w:rPr>
                <w:rFonts w:ascii="Garamond" w:hAnsi="Garamond"/>
                <w:color w:val="000000"/>
              </w:rPr>
              <w:t>SKZHI-II</w:t>
            </w:r>
          </w:p>
        </w:tc>
      </w:tr>
      <w:tr w:rsidR="008A4207" w:rsidRPr="007114AF" w14:paraId="6EDCFF19" w14:textId="77777777" w:rsidTr="001C467C">
        <w:trPr>
          <w:trHeight w:val="20"/>
        </w:trPr>
        <w:tc>
          <w:tcPr>
            <w:tcW w:w="5000" w:type="pct"/>
            <w:gridSpan w:val="4"/>
            <w:shd w:val="clear" w:color="auto" w:fill="C6D9F1" w:themeFill="text2" w:themeFillTint="33"/>
            <w:noWrap/>
            <w:vAlign w:val="center"/>
            <w:hideMark/>
          </w:tcPr>
          <w:p w14:paraId="6EDCFF18" w14:textId="77777777" w:rsidR="008A4207" w:rsidRPr="007114AF" w:rsidRDefault="008A4207" w:rsidP="001C467C">
            <w:pPr>
              <w:spacing w:after="0"/>
              <w:ind w:left="-109" w:firstLine="1"/>
              <w:rPr>
                <w:rFonts w:ascii="Garamond" w:hAnsi="Garamond"/>
                <w:b/>
                <w:bCs/>
                <w:color w:val="000000"/>
              </w:rPr>
            </w:pPr>
            <w:r w:rsidRPr="007114AF">
              <w:rPr>
                <w:rFonts w:ascii="Garamond" w:hAnsi="Garamond"/>
                <w:b/>
                <w:bCs/>
                <w:color w:val="000000"/>
              </w:rPr>
              <w:t>Nxitja e mënyrave të transportit të qëndruesh</w:t>
            </w:r>
            <w:r w:rsidRPr="007114AF">
              <w:rPr>
                <w:rFonts w:ascii="Garamond" w:hAnsi="Garamond" w:cstheme="minorHAnsi"/>
                <w:b/>
                <w:bCs/>
                <w:color w:val="000000"/>
              </w:rPr>
              <w:t>ë</w:t>
            </w:r>
            <w:r w:rsidRPr="007114AF">
              <w:rPr>
                <w:rFonts w:ascii="Garamond" w:hAnsi="Garamond"/>
                <w:b/>
                <w:bCs/>
                <w:color w:val="000000"/>
              </w:rPr>
              <w:t>m(SP1; SP6)</w:t>
            </w:r>
          </w:p>
        </w:tc>
      </w:tr>
      <w:tr w:rsidR="008A4207" w:rsidRPr="007114AF" w14:paraId="6EDCFF1E" w14:textId="77777777" w:rsidTr="001C467C">
        <w:trPr>
          <w:trHeight w:val="20"/>
        </w:trPr>
        <w:tc>
          <w:tcPr>
            <w:tcW w:w="935" w:type="pct"/>
            <w:vMerge w:val="restart"/>
            <w:noWrap/>
            <w:vAlign w:val="center"/>
            <w:hideMark/>
          </w:tcPr>
          <w:p w14:paraId="6EDCFF1A" w14:textId="77777777" w:rsidR="008A4207" w:rsidRPr="007114AF" w:rsidRDefault="008A4207" w:rsidP="001C467C">
            <w:pPr>
              <w:spacing w:after="0"/>
              <w:rPr>
                <w:rFonts w:ascii="Garamond" w:hAnsi="Garamond"/>
                <w:color w:val="000000"/>
              </w:rPr>
            </w:pPr>
            <w:r w:rsidRPr="007114AF">
              <w:rPr>
                <w:rFonts w:ascii="Garamond" w:hAnsi="Garamond"/>
                <w:color w:val="000000"/>
              </w:rPr>
              <w:t>Transporti</w:t>
            </w:r>
          </w:p>
          <w:p w14:paraId="6EDCFF1B" w14:textId="77777777" w:rsidR="008A4207" w:rsidRPr="007114AF" w:rsidRDefault="008A4207" w:rsidP="001C467C">
            <w:pPr>
              <w:spacing w:after="0"/>
              <w:rPr>
                <w:rFonts w:ascii="Garamond" w:hAnsi="Garamond"/>
                <w:color w:val="000000"/>
              </w:rPr>
            </w:pPr>
          </w:p>
        </w:tc>
        <w:tc>
          <w:tcPr>
            <w:tcW w:w="3248" w:type="pct"/>
            <w:gridSpan w:val="2"/>
            <w:vAlign w:val="center"/>
            <w:hideMark/>
          </w:tcPr>
          <w:p w14:paraId="6EDCFF1C" w14:textId="77777777" w:rsidR="008A4207" w:rsidRPr="007114AF" w:rsidRDefault="008A4207" w:rsidP="001C467C">
            <w:pPr>
              <w:spacing w:after="0"/>
              <w:rPr>
                <w:rFonts w:ascii="Garamond" w:hAnsi="Garamond"/>
                <w:color w:val="000000"/>
              </w:rPr>
            </w:pPr>
            <w:r w:rsidRPr="007114AF">
              <w:rPr>
                <w:rFonts w:ascii="Garamond" w:hAnsi="Garamond"/>
                <w:color w:val="000000"/>
              </w:rPr>
              <w:t>Bashk</w:t>
            </w:r>
            <w:r w:rsidRPr="007114AF">
              <w:rPr>
                <w:rFonts w:ascii="Garamond" w:hAnsi="Garamond" w:cstheme="minorHAnsi"/>
                <w:color w:val="000000"/>
              </w:rPr>
              <w:t>ërendimi i masave politike kombëtare që nxisin transportin shumëformësh dhe atë të kombinuar</w:t>
            </w:r>
          </w:p>
        </w:tc>
        <w:tc>
          <w:tcPr>
            <w:tcW w:w="817" w:type="pct"/>
            <w:noWrap/>
            <w:vAlign w:val="center"/>
            <w:hideMark/>
          </w:tcPr>
          <w:p w14:paraId="6EDCFF1D" w14:textId="77777777" w:rsidR="008A4207" w:rsidRPr="007114AF" w:rsidRDefault="008A4207" w:rsidP="001C467C">
            <w:pPr>
              <w:spacing w:after="0"/>
              <w:ind w:left="-109" w:firstLine="1"/>
              <w:rPr>
                <w:rFonts w:ascii="Garamond" w:hAnsi="Garamond"/>
                <w:color w:val="000000"/>
              </w:rPr>
            </w:pPr>
            <w:r w:rsidRPr="007114AF">
              <w:rPr>
                <w:rFonts w:ascii="Garamond" w:hAnsi="Garamond"/>
                <w:color w:val="000000"/>
              </w:rPr>
              <w:t>SSTPV</w:t>
            </w:r>
          </w:p>
        </w:tc>
      </w:tr>
      <w:tr w:rsidR="008A4207" w:rsidRPr="007114AF" w14:paraId="6EDCFF22" w14:textId="77777777" w:rsidTr="001C467C">
        <w:trPr>
          <w:trHeight w:val="20"/>
        </w:trPr>
        <w:tc>
          <w:tcPr>
            <w:tcW w:w="935" w:type="pct"/>
            <w:vMerge/>
            <w:noWrap/>
            <w:vAlign w:val="center"/>
            <w:hideMark/>
          </w:tcPr>
          <w:p w14:paraId="6EDCFF1F" w14:textId="77777777" w:rsidR="008A4207" w:rsidRPr="007114AF" w:rsidRDefault="008A4207" w:rsidP="001C467C">
            <w:pPr>
              <w:spacing w:after="0"/>
              <w:rPr>
                <w:rFonts w:ascii="Garamond" w:hAnsi="Garamond"/>
                <w:color w:val="000000"/>
              </w:rPr>
            </w:pPr>
          </w:p>
        </w:tc>
        <w:tc>
          <w:tcPr>
            <w:tcW w:w="3248" w:type="pct"/>
            <w:gridSpan w:val="2"/>
            <w:vAlign w:val="center"/>
            <w:hideMark/>
          </w:tcPr>
          <w:p w14:paraId="6EDCFF20" w14:textId="77777777" w:rsidR="008A4207" w:rsidRPr="007114AF" w:rsidRDefault="008A4207" w:rsidP="001C467C">
            <w:pPr>
              <w:spacing w:after="0"/>
              <w:rPr>
                <w:rFonts w:ascii="Garamond" w:hAnsi="Garamond"/>
                <w:color w:val="000000"/>
              </w:rPr>
            </w:pPr>
            <w:r w:rsidRPr="007114AF">
              <w:rPr>
                <w:rFonts w:ascii="Garamond" w:hAnsi="Garamond"/>
                <w:color w:val="000000"/>
              </w:rPr>
              <w:t>Integrimi dhe nxitja e proceseve t</w:t>
            </w:r>
            <w:r w:rsidRPr="007114AF">
              <w:rPr>
                <w:rFonts w:ascii="Garamond" w:hAnsi="Garamond" w:cstheme="minorHAnsi"/>
                <w:color w:val="000000"/>
              </w:rPr>
              <w:t>ë planifikimit të lëvizjes në planet lokale dhe programet e bashkive si dhe në planifikimin e përdorimit të tokës</w:t>
            </w:r>
          </w:p>
        </w:tc>
        <w:tc>
          <w:tcPr>
            <w:tcW w:w="817" w:type="pct"/>
            <w:noWrap/>
            <w:vAlign w:val="center"/>
            <w:hideMark/>
          </w:tcPr>
          <w:p w14:paraId="6EDCFF21" w14:textId="77777777" w:rsidR="008A4207" w:rsidRPr="007114AF" w:rsidRDefault="008A4207" w:rsidP="001C467C">
            <w:pPr>
              <w:spacing w:after="0"/>
              <w:ind w:left="-109" w:firstLine="1"/>
              <w:rPr>
                <w:rFonts w:ascii="Garamond" w:hAnsi="Garamond"/>
                <w:color w:val="000000"/>
              </w:rPr>
            </w:pPr>
            <w:r w:rsidRPr="007114AF">
              <w:rPr>
                <w:rFonts w:ascii="Garamond" w:hAnsi="Garamond"/>
                <w:color w:val="000000"/>
              </w:rPr>
              <w:t>TECTQ; PKT</w:t>
            </w:r>
          </w:p>
        </w:tc>
      </w:tr>
      <w:tr w:rsidR="008A4207" w:rsidRPr="007114AF" w14:paraId="6EDCFF26" w14:textId="77777777" w:rsidTr="001C467C">
        <w:trPr>
          <w:trHeight w:val="20"/>
        </w:trPr>
        <w:tc>
          <w:tcPr>
            <w:tcW w:w="935" w:type="pct"/>
            <w:vMerge/>
            <w:noWrap/>
            <w:vAlign w:val="center"/>
            <w:hideMark/>
          </w:tcPr>
          <w:p w14:paraId="6EDCFF23" w14:textId="77777777" w:rsidR="008A4207" w:rsidRPr="007114AF" w:rsidRDefault="008A4207" w:rsidP="001C467C">
            <w:pPr>
              <w:spacing w:after="0"/>
              <w:rPr>
                <w:rFonts w:ascii="Garamond" w:hAnsi="Garamond"/>
                <w:color w:val="000000"/>
              </w:rPr>
            </w:pPr>
          </w:p>
        </w:tc>
        <w:tc>
          <w:tcPr>
            <w:tcW w:w="3248" w:type="pct"/>
            <w:gridSpan w:val="2"/>
            <w:vAlign w:val="center"/>
            <w:hideMark/>
          </w:tcPr>
          <w:p w14:paraId="6EDCFF24" w14:textId="77777777" w:rsidR="008A4207" w:rsidRPr="007114AF" w:rsidRDefault="008A4207" w:rsidP="001C467C">
            <w:pPr>
              <w:spacing w:after="0"/>
              <w:rPr>
                <w:rFonts w:ascii="Garamond" w:hAnsi="Garamond"/>
                <w:color w:val="000000"/>
              </w:rPr>
            </w:pPr>
            <w:r w:rsidRPr="007114AF">
              <w:rPr>
                <w:rFonts w:ascii="Garamond" w:hAnsi="Garamond"/>
                <w:color w:val="000000"/>
              </w:rPr>
              <w:t>Dyfishimi i transportit hekurudhor t</w:t>
            </w:r>
            <w:r w:rsidRPr="007114AF">
              <w:rPr>
                <w:rFonts w:ascii="Garamond" w:hAnsi="Garamond" w:cstheme="minorHAnsi"/>
                <w:color w:val="000000"/>
              </w:rPr>
              <w:t xml:space="preserve">ë mallrave mbi nivelet e vitit </w:t>
            </w:r>
            <w:r w:rsidRPr="007114AF">
              <w:rPr>
                <w:rFonts w:ascii="Garamond" w:hAnsi="Garamond"/>
                <w:color w:val="000000"/>
              </w:rPr>
              <w:t>2013 deri n</w:t>
            </w:r>
            <w:r w:rsidRPr="007114AF">
              <w:rPr>
                <w:rFonts w:ascii="Garamond" w:hAnsi="Garamond" w:cstheme="minorHAnsi"/>
                <w:color w:val="000000"/>
              </w:rPr>
              <w:t xml:space="preserve">ë vitin </w:t>
            </w:r>
            <w:r w:rsidRPr="007114AF">
              <w:rPr>
                <w:rFonts w:ascii="Garamond" w:hAnsi="Garamond"/>
                <w:color w:val="000000"/>
              </w:rPr>
              <w:t>2020</w:t>
            </w:r>
          </w:p>
        </w:tc>
        <w:tc>
          <w:tcPr>
            <w:tcW w:w="817" w:type="pct"/>
            <w:noWrap/>
            <w:vAlign w:val="center"/>
            <w:hideMark/>
          </w:tcPr>
          <w:p w14:paraId="6EDCFF25" w14:textId="77777777" w:rsidR="008A4207" w:rsidRPr="007114AF" w:rsidRDefault="008A4207" w:rsidP="001C467C">
            <w:pPr>
              <w:spacing w:after="0"/>
              <w:ind w:left="-109" w:firstLine="1"/>
              <w:rPr>
                <w:rFonts w:ascii="Garamond" w:hAnsi="Garamond"/>
                <w:color w:val="000000"/>
              </w:rPr>
            </w:pPr>
            <w:r w:rsidRPr="007114AF">
              <w:rPr>
                <w:rFonts w:ascii="Garamond" w:hAnsi="Garamond"/>
                <w:color w:val="000000"/>
              </w:rPr>
              <w:t>SKZHI-II</w:t>
            </w:r>
          </w:p>
        </w:tc>
      </w:tr>
      <w:tr w:rsidR="008A4207" w:rsidRPr="007114AF" w14:paraId="6EDCFF29" w14:textId="77777777" w:rsidTr="001C467C">
        <w:trPr>
          <w:trHeight w:val="20"/>
        </w:trPr>
        <w:tc>
          <w:tcPr>
            <w:tcW w:w="4183" w:type="pct"/>
            <w:gridSpan w:val="3"/>
            <w:shd w:val="clear" w:color="auto" w:fill="C6D9F1" w:themeFill="text2" w:themeFillTint="33"/>
            <w:noWrap/>
            <w:vAlign w:val="center"/>
            <w:hideMark/>
          </w:tcPr>
          <w:p w14:paraId="6EDCFF27" w14:textId="77777777" w:rsidR="008A4207" w:rsidRPr="007114AF" w:rsidRDefault="008A4207" w:rsidP="001C467C">
            <w:pPr>
              <w:spacing w:after="0"/>
              <w:rPr>
                <w:rFonts w:ascii="Garamond" w:hAnsi="Garamond"/>
                <w:b/>
                <w:bCs/>
                <w:color w:val="000000"/>
              </w:rPr>
            </w:pPr>
            <w:r w:rsidRPr="007114AF">
              <w:rPr>
                <w:rFonts w:ascii="Garamond" w:hAnsi="Garamond"/>
                <w:b/>
                <w:bCs/>
                <w:color w:val="000000"/>
              </w:rPr>
              <w:t>Nxitja e një sistemi të makinave miqësor me mjedisin (SP1; SP6)</w:t>
            </w:r>
          </w:p>
        </w:tc>
        <w:tc>
          <w:tcPr>
            <w:tcW w:w="817" w:type="pct"/>
            <w:shd w:val="clear" w:color="auto" w:fill="C6D9F1" w:themeFill="text2" w:themeFillTint="33"/>
            <w:noWrap/>
            <w:vAlign w:val="center"/>
            <w:hideMark/>
          </w:tcPr>
          <w:p w14:paraId="6EDCFF28" w14:textId="77777777" w:rsidR="008A4207" w:rsidRPr="007114AF" w:rsidRDefault="008A4207" w:rsidP="001C467C">
            <w:pPr>
              <w:spacing w:after="0"/>
              <w:ind w:left="-109" w:firstLine="1"/>
              <w:rPr>
                <w:rFonts w:ascii="Garamond" w:hAnsi="Garamond"/>
                <w:color w:val="000000"/>
              </w:rPr>
            </w:pPr>
          </w:p>
        </w:tc>
      </w:tr>
      <w:tr w:rsidR="008A4207" w:rsidRPr="007114AF" w14:paraId="6EDCFF2E" w14:textId="77777777" w:rsidTr="001C467C">
        <w:trPr>
          <w:trHeight w:val="20"/>
        </w:trPr>
        <w:tc>
          <w:tcPr>
            <w:tcW w:w="935" w:type="pct"/>
            <w:vMerge w:val="restart"/>
            <w:noWrap/>
            <w:vAlign w:val="center"/>
            <w:hideMark/>
          </w:tcPr>
          <w:p w14:paraId="6EDCFF2A" w14:textId="77777777" w:rsidR="008A4207" w:rsidRPr="007114AF" w:rsidRDefault="008A4207" w:rsidP="001C467C">
            <w:pPr>
              <w:spacing w:after="0"/>
              <w:rPr>
                <w:rFonts w:ascii="Garamond" w:hAnsi="Garamond"/>
                <w:color w:val="000000"/>
              </w:rPr>
            </w:pPr>
            <w:r w:rsidRPr="007114AF">
              <w:rPr>
                <w:rFonts w:ascii="Garamond" w:hAnsi="Garamond"/>
                <w:color w:val="000000"/>
              </w:rPr>
              <w:t>Transporti</w:t>
            </w:r>
          </w:p>
          <w:p w14:paraId="6EDCFF2B" w14:textId="77777777" w:rsidR="008A4207" w:rsidRPr="007114AF" w:rsidRDefault="008A4207" w:rsidP="001C467C">
            <w:pPr>
              <w:spacing w:after="0"/>
              <w:rPr>
                <w:rFonts w:ascii="Garamond" w:hAnsi="Garamond"/>
                <w:color w:val="000000"/>
              </w:rPr>
            </w:pPr>
          </w:p>
        </w:tc>
        <w:tc>
          <w:tcPr>
            <w:tcW w:w="3248" w:type="pct"/>
            <w:gridSpan w:val="2"/>
            <w:vAlign w:val="center"/>
            <w:hideMark/>
          </w:tcPr>
          <w:p w14:paraId="6EDCFF2C" w14:textId="77777777" w:rsidR="008A4207" w:rsidRPr="007114AF" w:rsidRDefault="008A4207" w:rsidP="001C467C">
            <w:pPr>
              <w:spacing w:after="0"/>
              <w:rPr>
                <w:rFonts w:ascii="Garamond" w:hAnsi="Garamond"/>
                <w:color w:val="000000"/>
              </w:rPr>
            </w:pPr>
            <w:r w:rsidRPr="007114AF">
              <w:rPr>
                <w:rFonts w:ascii="Garamond" w:hAnsi="Garamond"/>
                <w:color w:val="000000"/>
              </w:rPr>
              <w:t>Miratimi dhe zbatimi i plot</w:t>
            </w:r>
            <w:r w:rsidRPr="007114AF">
              <w:rPr>
                <w:rFonts w:ascii="Garamond" w:hAnsi="Garamond" w:cs="Calibri"/>
                <w:color w:val="000000"/>
              </w:rPr>
              <w:t xml:space="preserve">ë i standardeve evropiane të cilësisë së ajrit </w:t>
            </w:r>
            <w:r w:rsidRPr="007114AF">
              <w:rPr>
                <w:rFonts w:ascii="Garamond" w:hAnsi="Garamond"/>
                <w:color w:val="000000"/>
              </w:rPr>
              <w:t>urban dhe shkarkimeve n</w:t>
            </w:r>
            <w:r w:rsidRPr="007114AF">
              <w:rPr>
                <w:rFonts w:ascii="Garamond" w:hAnsi="Garamond" w:cs="Calibri"/>
                <w:color w:val="000000"/>
              </w:rPr>
              <w:t>ë ajër</w:t>
            </w:r>
          </w:p>
        </w:tc>
        <w:tc>
          <w:tcPr>
            <w:tcW w:w="817" w:type="pct"/>
            <w:noWrap/>
            <w:vAlign w:val="center"/>
            <w:hideMark/>
          </w:tcPr>
          <w:p w14:paraId="6EDCFF2D" w14:textId="77777777" w:rsidR="008A4207" w:rsidRPr="007114AF" w:rsidRDefault="008A4207" w:rsidP="001C467C">
            <w:pPr>
              <w:spacing w:after="0"/>
              <w:ind w:left="-109" w:firstLine="1"/>
              <w:rPr>
                <w:rFonts w:ascii="Garamond" w:hAnsi="Garamond"/>
                <w:color w:val="000000"/>
              </w:rPr>
            </w:pPr>
            <w:r w:rsidRPr="007114AF">
              <w:rPr>
                <w:rFonts w:ascii="Garamond" w:hAnsi="Garamond"/>
                <w:color w:val="000000"/>
              </w:rPr>
              <w:t>SMNS; TECTQ</w:t>
            </w:r>
          </w:p>
        </w:tc>
      </w:tr>
      <w:tr w:rsidR="008A4207" w:rsidRPr="007114AF" w14:paraId="6EDCFF32" w14:textId="77777777" w:rsidTr="001C467C">
        <w:trPr>
          <w:trHeight w:val="20"/>
        </w:trPr>
        <w:tc>
          <w:tcPr>
            <w:tcW w:w="935" w:type="pct"/>
            <w:vMerge/>
            <w:noWrap/>
            <w:vAlign w:val="center"/>
            <w:hideMark/>
          </w:tcPr>
          <w:p w14:paraId="6EDCFF2F" w14:textId="77777777" w:rsidR="008A4207" w:rsidRPr="007114AF" w:rsidRDefault="008A4207" w:rsidP="001C467C">
            <w:pPr>
              <w:spacing w:after="0"/>
              <w:rPr>
                <w:rFonts w:ascii="Garamond" w:hAnsi="Garamond"/>
                <w:color w:val="000000"/>
              </w:rPr>
            </w:pPr>
          </w:p>
        </w:tc>
        <w:tc>
          <w:tcPr>
            <w:tcW w:w="3248" w:type="pct"/>
            <w:gridSpan w:val="2"/>
            <w:vAlign w:val="center"/>
            <w:hideMark/>
          </w:tcPr>
          <w:p w14:paraId="6EDCFF30" w14:textId="77777777" w:rsidR="008A4207" w:rsidRPr="007114AF" w:rsidRDefault="008A4207" w:rsidP="001C467C">
            <w:pPr>
              <w:spacing w:after="0"/>
              <w:rPr>
                <w:rFonts w:ascii="Garamond" w:hAnsi="Garamond"/>
                <w:color w:val="000000"/>
              </w:rPr>
            </w:pPr>
            <w:r w:rsidRPr="007114AF">
              <w:rPr>
                <w:rFonts w:ascii="Garamond" w:hAnsi="Garamond"/>
                <w:color w:val="000000"/>
              </w:rPr>
              <w:t>Ulja e shkarkimeve t</w:t>
            </w:r>
            <w:r w:rsidRPr="007114AF">
              <w:rPr>
                <w:rFonts w:ascii="Garamond" w:hAnsi="Garamond" w:cs="Calibri"/>
                <w:color w:val="000000"/>
              </w:rPr>
              <w:t>ë ndotësve të ajrit dhe konsumi i energjisë së automjeteve</w:t>
            </w:r>
          </w:p>
        </w:tc>
        <w:tc>
          <w:tcPr>
            <w:tcW w:w="817" w:type="pct"/>
            <w:noWrap/>
            <w:vAlign w:val="center"/>
            <w:hideMark/>
          </w:tcPr>
          <w:p w14:paraId="6EDCFF31" w14:textId="15591ED0" w:rsidR="008A4207" w:rsidRPr="007114AF" w:rsidRDefault="008A4207" w:rsidP="001C467C">
            <w:pPr>
              <w:spacing w:after="0"/>
              <w:ind w:left="-109" w:firstLine="1"/>
              <w:rPr>
                <w:rFonts w:ascii="Garamond" w:hAnsi="Garamond"/>
                <w:color w:val="000000"/>
              </w:rPr>
            </w:pPr>
            <w:r w:rsidRPr="007114AF">
              <w:rPr>
                <w:rFonts w:ascii="Garamond" w:hAnsi="Garamond"/>
                <w:color w:val="000000"/>
              </w:rPr>
              <w:t>TECTQ; SSTPV;</w:t>
            </w:r>
            <w:r w:rsidR="000A2A01" w:rsidRPr="007114AF">
              <w:rPr>
                <w:rFonts w:ascii="Garamond" w:hAnsi="Garamond"/>
                <w:color w:val="000000"/>
              </w:rPr>
              <w:t xml:space="preserve"> </w:t>
            </w:r>
            <w:r w:rsidRPr="007114AF">
              <w:rPr>
                <w:rFonts w:ascii="Garamond" w:hAnsi="Garamond"/>
                <w:color w:val="000000"/>
              </w:rPr>
              <w:t>PKVEE</w:t>
            </w:r>
          </w:p>
        </w:tc>
      </w:tr>
      <w:tr w:rsidR="008A4207" w:rsidRPr="007114AF" w14:paraId="6EDCFF36" w14:textId="77777777" w:rsidTr="001C467C">
        <w:trPr>
          <w:trHeight w:val="20"/>
        </w:trPr>
        <w:tc>
          <w:tcPr>
            <w:tcW w:w="935" w:type="pct"/>
            <w:vMerge/>
            <w:noWrap/>
            <w:vAlign w:val="center"/>
            <w:hideMark/>
          </w:tcPr>
          <w:p w14:paraId="6EDCFF33" w14:textId="77777777" w:rsidR="008A4207" w:rsidRPr="007114AF" w:rsidRDefault="008A4207" w:rsidP="001C467C">
            <w:pPr>
              <w:spacing w:after="0"/>
              <w:rPr>
                <w:rFonts w:ascii="Garamond" w:hAnsi="Garamond"/>
                <w:color w:val="000000"/>
              </w:rPr>
            </w:pPr>
          </w:p>
        </w:tc>
        <w:tc>
          <w:tcPr>
            <w:tcW w:w="3248" w:type="pct"/>
            <w:gridSpan w:val="2"/>
            <w:vAlign w:val="center"/>
            <w:hideMark/>
          </w:tcPr>
          <w:p w14:paraId="6EDCFF34" w14:textId="77777777" w:rsidR="008A4207" w:rsidRPr="007114AF" w:rsidRDefault="008A4207" w:rsidP="001C467C">
            <w:pPr>
              <w:spacing w:after="0"/>
              <w:rPr>
                <w:rFonts w:ascii="Garamond" w:hAnsi="Garamond"/>
                <w:color w:val="000000"/>
              </w:rPr>
            </w:pPr>
            <w:r w:rsidRPr="007114AF">
              <w:rPr>
                <w:rFonts w:ascii="Garamond" w:hAnsi="Garamond"/>
                <w:color w:val="000000"/>
              </w:rPr>
              <w:t>P</w:t>
            </w:r>
            <w:r w:rsidRPr="007114AF">
              <w:rPr>
                <w:rFonts w:ascii="Garamond" w:hAnsi="Garamond" w:cs="Calibri"/>
                <w:color w:val="000000"/>
              </w:rPr>
              <w:t xml:space="preserve">ërmbushja e përafrimit të legjislacionit shqiptar të transportit me </w:t>
            </w:r>
            <w:r w:rsidRPr="007114AF">
              <w:rPr>
                <w:rFonts w:ascii="Garamond" w:hAnsi="Garamond"/>
                <w:i/>
                <w:color w:val="000000"/>
              </w:rPr>
              <w:t>acquis</w:t>
            </w:r>
            <w:r w:rsidRPr="007114AF">
              <w:rPr>
                <w:rFonts w:ascii="Garamond" w:hAnsi="Garamond"/>
                <w:color w:val="000000"/>
              </w:rPr>
              <w:t xml:space="preserve"> e BE-së</w:t>
            </w:r>
          </w:p>
        </w:tc>
        <w:tc>
          <w:tcPr>
            <w:tcW w:w="817" w:type="pct"/>
            <w:noWrap/>
            <w:vAlign w:val="center"/>
            <w:hideMark/>
          </w:tcPr>
          <w:p w14:paraId="6EDCFF35" w14:textId="77777777" w:rsidR="008A4207" w:rsidRPr="007114AF" w:rsidRDefault="008A4207" w:rsidP="001C467C">
            <w:pPr>
              <w:spacing w:after="0"/>
              <w:ind w:left="-109" w:firstLine="1"/>
              <w:rPr>
                <w:rFonts w:ascii="Garamond" w:hAnsi="Garamond"/>
                <w:color w:val="000000"/>
              </w:rPr>
            </w:pPr>
            <w:r w:rsidRPr="007114AF">
              <w:rPr>
                <w:rFonts w:ascii="Garamond" w:hAnsi="Garamond"/>
                <w:color w:val="000000"/>
              </w:rPr>
              <w:t>SSTPV</w:t>
            </w:r>
          </w:p>
        </w:tc>
      </w:tr>
      <w:tr w:rsidR="008A4207" w:rsidRPr="007114AF" w14:paraId="6EDCFF38" w14:textId="77777777" w:rsidTr="001C467C">
        <w:trPr>
          <w:trHeight w:val="20"/>
        </w:trPr>
        <w:tc>
          <w:tcPr>
            <w:tcW w:w="5000" w:type="pct"/>
            <w:gridSpan w:val="4"/>
            <w:shd w:val="clear" w:color="auto" w:fill="C6D9F1" w:themeFill="text2" w:themeFillTint="33"/>
            <w:noWrap/>
            <w:vAlign w:val="center"/>
            <w:hideMark/>
          </w:tcPr>
          <w:p w14:paraId="6EDCFF37" w14:textId="1A398C09" w:rsidR="008A4207" w:rsidRPr="007114AF" w:rsidRDefault="008A4207" w:rsidP="001C467C">
            <w:pPr>
              <w:spacing w:after="0"/>
              <w:ind w:left="-109" w:firstLine="109"/>
              <w:rPr>
                <w:rFonts w:ascii="Garamond" w:hAnsi="Garamond"/>
                <w:color w:val="000000"/>
              </w:rPr>
            </w:pPr>
            <w:r w:rsidRPr="007114AF">
              <w:rPr>
                <w:rFonts w:ascii="Garamond" w:hAnsi="Garamond"/>
                <w:b/>
                <w:bCs/>
                <w:color w:val="000000"/>
              </w:rPr>
              <w:t>Nxitja e prodhimit të ushqimit të</w:t>
            </w:r>
            <w:r w:rsidR="0028717C">
              <w:rPr>
                <w:rFonts w:ascii="Garamond" w:hAnsi="Garamond"/>
                <w:b/>
                <w:bCs/>
                <w:color w:val="000000"/>
              </w:rPr>
              <w:t xml:space="preserve"> </w:t>
            </w:r>
            <w:r w:rsidRPr="007114AF">
              <w:rPr>
                <w:rFonts w:ascii="Garamond" w:hAnsi="Garamond"/>
                <w:b/>
                <w:bCs/>
                <w:color w:val="000000"/>
              </w:rPr>
              <w:t>qëndrueshëm me shkarkime të ulëta (SP1; SP6)</w:t>
            </w:r>
          </w:p>
        </w:tc>
      </w:tr>
      <w:tr w:rsidR="008A4207" w:rsidRPr="007114AF" w14:paraId="6EDCFF3D" w14:textId="77777777" w:rsidTr="001C467C">
        <w:trPr>
          <w:trHeight w:val="20"/>
        </w:trPr>
        <w:tc>
          <w:tcPr>
            <w:tcW w:w="935" w:type="pct"/>
            <w:vMerge w:val="restart"/>
            <w:noWrap/>
            <w:vAlign w:val="center"/>
            <w:hideMark/>
          </w:tcPr>
          <w:p w14:paraId="6EDCFF39" w14:textId="77777777" w:rsidR="008A4207" w:rsidRPr="007114AF" w:rsidRDefault="008A4207" w:rsidP="001C467C">
            <w:pPr>
              <w:spacing w:after="0"/>
              <w:rPr>
                <w:rFonts w:ascii="Garamond" w:hAnsi="Garamond"/>
                <w:color w:val="000000"/>
              </w:rPr>
            </w:pPr>
            <w:r w:rsidRPr="007114AF">
              <w:rPr>
                <w:rFonts w:ascii="Garamond" w:hAnsi="Garamond"/>
                <w:color w:val="000000"/>
              </w:rPr>
              <w:t xml:space="preserve">Bujqësia </w:t>
            </w:r>
          </w:p>
          <w:p w14:paraId="6EDCFF3A" w14:textId="77777777" w:rsidR="008A4207" w:rsidRPr="007114AF" w:rsidRDefault="008A4207" w:rsidP="001C467C">
            <w:pPr>
              <w:spacing w:after="0"/>
              <w:rPr>
                <w:rFonts w:ascii="Garamond" w:hAnsi="Garamond"/>
                <w:color w:val="000000"/>
              </w:rPr>
            </w:pPr>
          </w:p>
        </w:tc>
        <w:tc>
          <w:tcPr>
            <w:tcW w:w="3248" w:type="pct"/>
            <w:gridSpan w:val="2"/>
            <w:vAlign w:val="center"/>
            <w:hideMark/>
          </w:tcPr>
          <w:p w14:paraId="6EDCFF3B" w14:textId="77777777" w:rsidR="008A4207" w:rsidRPr="007114AF" w:rsidRDefault="008A4207" w:rsidP="001C467C">
            <w:pPr>
              <w:spacing w:after="0"/>
              <w:rPr>
                <w:rFonts w:ascii="Garamond" w:hAnsi="Garamond"/>
                <w:color w:val="000000"/>
              </w:rPr>
            </w:pPr>
            <w:r w:rsidRPr="007114AF">
              <w:rPr>
                <w:rFonts w:ascii="Garamond" w:hAnsi="Garamond"/>
                <w:color w:val="000000"/>
              </w:rPr>
              <w:t>Zhvillimi i nj</w:t>
            </w:r>
            <w:r w:rsidRPr="007114AF">
              <w:rPr>
                <w:rFonts w:ascii="Garamond" w:hAnsi="Garamond" w:cs="Calibri"/>
                <w:color w:val="000000"/>
              </w:rPr>
              <w:t>ë sektori agro-ushqimor konkurrues dhe novator, si dhe nxitja e prodhimit të ushqimit të qëndrueshëm dhe cilësisë</w:t>
            </w:r>
          </w:p>
        </w:tc>
        <w:tc>
          <w:tcPr>
            <w:tcW w:w="817" w:type="pct"/>
            <w:noWrap/>
            <w:vAlign w:val="center"/>
            <w:hideMark/>
          </w:tcPr>
          <w:p w14:paraId="6EDCFF3C" w14:textId="77777777" w:rsidR="008A4207" w:rsidRPr="007114AF" w:rsidRDefault="008A4207" w:rsidP="001C467C">
            <w:pPr>
              <w:spacing w:after="0"/>
              <w:ind w:left="-109" w:firstLine="1"/>
              <w:rPr>
                <w:rFonts w:ascii="Garamond" w:hAnsi="Garamond"/>
                <w:color w:val="000000"/>
              </w:rPr>
            </w:pPr>
            <w:r w:rsidRPr="007114AF">
              <w:rPr>
                <w:rFonts w:ascii="Garamond" w:hAnsi="Garamond"/>
                <w:color w:val="000000"/>
              </w:rPr>
              <w:t>SKZHI-II; SMNS; KTK</w:t>
            </w:r>
          </w:p>
        </w:tc>
      </w:tr>
      <w:tr w:rsidR="008A4207" w:rsidRPr="007114AF" w14:paraId="6EDCFF41" w14:textId="77777777" w:rsidTr="001C467C">
        <w:trPr>
          <w:trHeight w:val="20"/>
        </w:trPr>
        <w:tc>
          <w:tcPr>
            <w:tcW w:w="935" w:type="pct"/>
            <w:vMerge/>
            <w:noWrap/>
            <w:vAlign w:val="center"/>
            <w:hideMark/>
          </w:tcPr>
          <w:p w14:paraId="6EDCFF3E" w14:textId="77777777" w:rsidR="008A4207" w:rsidRPr="007114AF" w:rsidRDefault="008A4207" w:rsidP="001C467C">
            <w:pPr>
              <w:spacing w:after="0"/>
              <w:rPr>
                <w:rFonts w:ascii="Garamond" w:hAnsi="Garamond"/>
                <w:color w:val="000000"/>
              </w:rPr>
            </w:pPr>
          </w:p>
        </w:tc>
        <w:tc>
          <w:tcPr>
            <w:tcW w:w="3248" w:type="pct"/>
            <w:gridSpan w:val="2"/>
            <w:vAlign w:val="center"/>
            <w:hideMark/>
          </w:tcPr>
          <w:p w14:paraId="6EDCFF3F" w14:textId="77777777" w:rsidR="008A4207" w:rsidRPr="007114AF" w:rsidRDefault="008A4207" w:rsidP="001C467C">
            <w:pPr>
              <w:spacing w:after="0"/>
              <w:rPr>
                <w:rFonts w:ascii="Garamond" w:hAnsi="Garamond"/>
                <w:color w:val="000000"/>
              </w:rPr>
            </w:pPr>
            <w:r w:rsidRPr="007114AF">
              <w:rPr>
                <w:rFonts w:ascii="Garamond" w:hAnsi="Garamond"/>
                <w:color w:val="000000"/>
              </w:rPr>
              <w:t>Nxitja e futjes s</w:t>
            </w:r>
            <w:r w:rsidRPr="007114AF">
              <w:rPr>
                <w:rFonts w:ascii="Garamond" w:hAnsi="Garamond" w:cs="Calibri"/>
                <w:color w:val="000000"/>
              </w:rPr>
              <w:t>ë metodave të prodhimit bujqësor miqësore me mjedisin</w:t>
            </w:r>
            <w:r w:rsidRPr="007114AF">
              <w:rPr>
                <w:rFonts w:ascii="Garamond" w:hAnsi="Garamond"/>
                <w:color w:val="000000"/>
              </w:rPr>
              <w:t xml:space="preserve"> (buj</w:t>
            </w:r>
            <w:r w:rsidRPr="007114AF">
              <w:rPr>
                <w:rFonts w:ascii="Garamond" w:hAnsi="Garamond" w:cs="Calibri"/>
                <w:color w:val="000000"/>
              </w:rPr>
              <w:t xml:space="preserve">qësi </w:t>
            </w:r>
            <w:r w:rsidRPr="007114AF">
              <w:rPr>
                <w:rFonts w:ascii="Garamond" w:hAnsi="Garamond"/>
                <w:color w:val="000000"/>
              </w:rPr>
              <w:t>organike) dhe ajo e rritjes s</w:t>
            </w:r>
            <w:r w:rsidRPr="007114AF">
              <w:rPr>
                <w:rFonts w:ascii="Garamond" w:hAnsi="Garamond" w:cs="Calibri"/>
                <w:color w:val="000000"/>
              </w:rPr>
              <w:t>ë numrit të fermave organike të certifikuara deri në vitin</w:t>
            </w:r>
            <w:r w:rsidRPr="007114AF">
              <w:rPr>
                <w:rFonts w:ascii="Garamond" w:hAnsi="Garamond"/>
                <w:color w:val="000000"/>
              </w:rPr>
              <w:t xml:space="preserve"> 2020</w:t>
            </w:r>
          </w:p>
        </w:tc>
        <w:tc>
          <w:tcPr>
            <w:tcW w:w="817" w:type="pct"/>
            <w:noWrap/>
            <w:vAlign w:val="center"/>
            <w:hideMark/>
          </w:tcPr>
          <w:p w14:paraId="6EDCFF40" w14:textId="77777777" w:rsidR="008A4207" w:rsidRPr="007114AF" w:rsidRDefault="008A4207" w:rsidP="001C467C">
            <w:pPr>
              <w:spacing w:after="0"/>
              <w:ind w:left="-109" w:firstLine="1"/>
              <w:rPr>
                <w:rFonts w:ascii="Garamond" w:hAnsi="Garamond"/>
                <w:color w:val="000000"/>
              </w:rPr>
            </w:pPr>
            <w:r w:rsidRPr="007114AF">
              <w:rPr>
                <w:rFonts w:ascii="Garamond" w:hAnsi="Garamond"/>
                <w:color w:val="000000"/>
              </w:rPr>
              <w:t>SKZHI-II</w:t>
            </w:r>
          </w:p>
        </w:tc>
      </w:tr>
      <w:tr w:rsidR="008A4207" w:rsidRPr="007114AF" w14:paraId="6EDCFF45" w14:textId="77777777" w:rsidTr="001C467C">
        <w:trPr>
          <w:trHeight w:val="20"/>
        </w:trPr>
        <w:tc>
          <w:tcPr>
            <w:tcW w:w="935" w:type="pct"/>
            <w:noWrap/>
            <w:vAlign w:val="center"/>
            <w:hideMark/>
          </w:tcPr>
          <w:p w14:paraId="6EDCFF42" w14:textId="77777777" w:rsidR="008A4207" w:rsidRPr="007114AF" w:rsidRDefault="008A4207" w:rsidP="001C467C">
            <w:pPr>
              <w:spacing w:after="0"/>
              <w:rPr>
                <w:rFonts w:ascii="Garamond" w:hAnsi="Garamond"/>
                <w:color w:val="000000"/>
              </w:rPr>
            </w:pPr>
            <w:r w:rsidRPr="007114AF">
              <w:rPr>
                <w:rFonts w:ascii="Garamond" w:hAnsi="Garamond"/>
                <w:color w:val="000000"/>
              </w:rPr>
              <w:t>Bujqësia/Uji</w:t>
            </w:r>
          </w:p>
        </w:tc>
        <w:tc>
          <w:tcPr>
            <w:tcW w:w="3248" w:type="pct"/>
            <w:gridSpan w:val="2"/>
            <w:vAlign w:val="center"/>
            <w:hideMark/>
          </w:tcPr>
          <w:p w14:paraId="6EDCFF43" w14:textId="77777777" w:rsidR="008A4207" w:rsidRPr="007114AF" w:rsidRDefault="008A4207" w:rsidP="001C467C">
            <w:pPr>
              <w:spacing w:after="0"/>
              <w:rPr>
                <w:rFonts w:ascii="Garamond" w:hAnsi="Garamond"/>
                <w:color w:val="000000"/>
              </w:rPr>
            </w:pPr>
            <w:r w:rsidRPr="007114AF">
              <w:rPr>
                <w:rFonts w:ascii="Garamond" w:hAnsi="Garamond"/>
                <w:color w:val="000000"/>
              </w:rPr>
              <w:t xml:space="preserve">Përmirësimi i menaxhimit të ujit për bujqësinë për mbrojtjen e tokës dhe rritjen e produktivitetit të të mbjellave </w:t>
            </w:r>
          </w:p>
        </w:tc>
        <w:tc>
          <w:tcPr>
            <w:tcW w:w="817" w:type="pct"/>
            <w:noWrap/>
            <w:vAlign w:val="center"/>
            <w:hideMark/>
          </w:tcPr>
          <w:p w14:paraId="6EDCFF44" w14:textId="77777777" w:rsidR="008A4207" w:rsidRPr="007114AF" w:rsidRDefault="008A4207" w:rsidP="001C467C">
            <w:pPr>
              <w:spacing w:after="0"/>
              <w:ind w:left="-109" w:firstLine="1"/>
              <w:rPr>
                <w:rFonts w:ascii="Garamond" w:hAnsi="Garamond"/>
                <w:color w:val="000000"/>
              </w:rPr>
            </w:pPr>
            <w:r w:rsidRPr="007114AF">
              <w:rPr>
                <w:rFonts w:ascii="Garamond" w:hAnsi="Garamond"/>
                <w:color w:val="000000"/>
              </w:rPr>
              <w:t>SKZHI-II</w:t>
            </w:r>
          </w:p>
        </w:tc>
      </w:tr>
      <w:tr w:rsidR="008A4207" w:rsidRPr="007114AF" w14:paraId="6EDCFF47" w14:textId="77777777" w:rsidTr="001C467C">
        <w:trPr>
          <w:trHeight w:val="20"/>
        </w:trPr>
        <w:tc>
          <w:tcPr>
            <w:tcW w:w="5000" w:type="pct"/>
            <w:gridSpan w:val="4"/>
            <w:shd w:val="clear" w:color="auto" w:fill="C6D9F1" w:themeFill="text2" w:themeFillTint="33"/>
            <w:noWrap/>
            <w:vAlign w:val="center"/>
            <w:hideMark/>
          </w:tcPr>
          <w:p w14:paraId="6EDCFF46" w14:textId="77777777" w:rsidR="008A4207" w:rsidRPr="007114AF" w:rsidRDefault="008A4207" w:rsidP="001C467C">
            <w:pPr>
              <w:spacing w:after="0"/>
              <w:ind w:left="-109" w:firstLine="1"/>
              <w:rPr>
                <w:rFonts w:ascii="Garamond" w:hAnsi="Garamond"/>
                <w:color w:val="000000"/>
              </w:rPr>
            </w:pPr>
            <w:r w:rsidRPr="007114AF">
              <w:rPr>
                <w:rFonts w:ascii="Garamond" w:hAnsi="Garamond"/>
                <w:b/>
                <w:bCs/>
                <w:color w:val="000000"/>
              </w:rPr>
              <w:t>Mbajtja në kontroll dhe rritja e përmbajtjes së karbonit të tokave bujqësore(SP1; SP6)</w:t>
            </w:r>
          </w:p>
        </w:tc>
      </w:tr>
      <w:tr w:rsidR="008A4207" w:rsidRPr="007114AF" w14:paraId="6EDCFF4B" w14:textId="77777777" w:rsidTr="001C467C">
        <w:trPr>
          <w:trHeight w:val="20"/>
        </w:trPr>
        <w:tc>
          <w:tcPr>
            <w:tcW w:w="935" w:type="pct"/>
            <w:vMerge w:val="restart"/>
            <w:noWrap/>
            <w:vAlign w:val="center"/>
            <w:hideMark/>
          </w:tcPr>
          <w:p w14:paraId="6EDCFF48" w14:textId="77777777" w:rsidR="008A4207" w:rsidRPr="007114AF" w:rsidRDefault="008A4207" w:rsidP="001C467C">
            <w:pPr>
              <w:spacing w:after="0"/>
              <w:rPr>
                <w:rFonts w:ascii="Garamond" w:hAnsi="Garamond"/>
                <w:color w:val="000000"/>
              </w:rPr>
            </w:pPr>
            <w:r w:rsidRPr="007114AF">
              <w:rPr>
                <w:rFonts w:ascii="Garamond" w:hAnsi="Garamond"/>
                <w:color w:val="000000"/>
              </w:rPr>
              <w:t>Bujq</w:t>
            </w:r>
            <w:r w:rsidRPr="007114AF">
              <w:rPr>
                <w:rFonts w:ascii="Garamond" w:hAnsi="Garamond" w:cstheme="minorHAnsi"/>
                <w:color w:val="000000"/>
              </w:rPr>
              <w:t>ësia</w:t>
            </w:r>
            <w:r w:rsidRPr="007114AF">
              <w:rPr>
                <w:rFonts w:ascii="Garamond" w:hAnsi="Garamond"/>
                <w:color w:val="000000"/>
              </w:rPr>
              <w:t>/LUCF-ja</w:t>
            </w:r>
          </w:p>
        </w:tc>
        <w:tc>
          <w:tcPr>
            <w:tcW w:w="3248" w:type="pct"/>
            <w:gridSpan w:val="2"/>
            <w:vAlign w:val="center"/>
            <w:hideMark/>
          </w:tcPr>
          <w:p w14:paraId="6EDCFF49" w14:textId="77777777" w:rsidR="008A4207" w:rsidRPr="007114AF" w:rsidRDefault="008A4207" w:rsidP="001C467C">
            <w:pPr>
              <w:spacing w:after="0"/>
              <w:rPr>
                <w:rFonts w:ascii="Garamond" w:hAnsi="Garamond"/>
                <w:color w:val="000000"/>
              </w:rPr>
            </w:pPr>
            <w:r w:rsidRPr="007114AF">
              <w:rPr>
                <w:rFonts w:ascii="Garamond" w:hAnsi="Garamond"/>
                <w:color w:val="000000"/>
              </w:rPr>
              <w:t>Ulja e nd</w:t>
            </w:r>
            <w:r w:rsidRPr="007114AF">
              <w:rPr>
                <w:rFonts w:ascii="Garamond" w:hAnsi="Garamond" w:cs="Calibri"/>
                <w:color w:val="000000"/>
              </w:rPr>
              <w:t xml:space="preserve">ërhyrjeve në tokë dhe parandalimi i erozioneve të mëtejshme të tokës së punueshme dhe kullotave në masën </w:t>
            </w:r>
            <w:r w:rsidRPr="007114AF">
              <w:rPr>
                <w:rFonts w:ascii="Garamond" w:hAnsi="Garamond"/>
                <w:color w:val="000000"/>
              </w:rPr>
              <w:t>25% t</w:t>
            </w:r>
            <w:r w:rsidRPr="007114AF">
              <w:rPr>
                <w:rFonts w:ascii="Garamond" w:hAnsi="Garamond" w:cs="Calibri"/>
                <w:color w:val="000000"/>
              </w:rPr>
              <w:t xml:space="preserve">ë sipërfaqes deri në vitin </w:t>
            </w:r>
            <w:r w:rsidRPr="007114AF">
              <w:rPr>
                <w:rFonts w:ascii="Garamond" w:hAnsi="Garamond"/>
                <w:color w:val="000000"/>
              </w:rPr>
              <w:t>2020</w:t>
            </w:r>
          </w:p>
        </w:tc>
        <w:tc>
          <w:tcPr>
            <w:tcW w:w="817" w:type="pct"/>
            <w:noWrap/>
            <w:vAlign w:val="center"/>
            <w:hideMark/>
          </w:tcPr>
          <w:p w14:paraId="6EDCFF4A" w14:textId="77777777" w:rsidR="008A4207" w:rsidRPr="007114AF" w:rsidRDefault="008A4207" w:rsidP="001C467C">
            <w:pPr>
              <w:spacing w:after="0"/>
              <w:ind w:left="-109" w:firstLine="1"/>
              <w:rPr>
                <w:rFonts w:ascii="Garamond" w:hAnsi="Garamond"/>
                <w:color w:val="000000"/>
              </w:rPr>
            </w:pPr>
            <w:r w:rsidRPr="007114AF">
              <w:rPr>
                <w:rFonts w:ascii="Garamond" w:hAnsi="Garamond"/>
                <w:color w:val="000000"/>
              </w:rPr>
              <w:t>KTK; SMNS</w:t>
            </w:r>
          </w:p>
        </w:tc>
      </w:tr>
      <w:tr w:rsidR="008A4207" w:rsidRPr="007114AF" w14:paraId="6EDCFF4F" w14:textId="77777777" w:rsidTr="001C467C">
        <w:trPr>
          <w:trHeight w:val="20"/>
        </w:trPr>
        <w:tc>
          <w:tcPr>
            <w:tcW w:w="935" w:type="pct"/>
            <w:vMerge/>
            <w:noWrap/>
            <w:vAlign w:val="center"/>
            <w:hideMark/>
          </w:tcPr>
          <w:p w14:paraId="6EDCFF4C" w14:textId="77777777" w:rsidR="008A4207" w:rsidRPr="007114AF" w:rsidRDefault="008A4207" w:rsidP="001C467C">
            <w:pPr>
              <w:spacing w:after="0"/>
              <w:rPr>
                <w:rFonts w:ascii="Garamond" w:hAnsi="Garamond"/>
                <w:color w:val="000000"/>
              </w:rPr>
            </w:pPr>
          </w:p>
        </w:tc>
        <w:tc>
          <w:tcPr>
            <w:tcW w:w="3248" w:type="pct"/>
            <w:gridSpan w:val="2"/>
            <w:vAlign w:val="center"/>
            <w:hideMark/>
          </w:tcPr>
          <w:p w14:paraId="6EDCFF4D" w14:textId="2CBE048C" w:rsidR="008A4207" w:rsidRPr="007114AF" w:rsidRDefault="008A4207" w:rsidP="001C467C">
            <w:pPr>
              <w:spacing w:after="0"/>
              <w:rPr>
                <w:rFonts w:ascii="Garamond" w:hAnsi="Garamond"/>
                <w:color w:val="000000"/>
              </w:rPr>
            </w:pPr>
            <w:r w:rsidRPr="007114AF">
              <w:rPr>
                <w:rFonts w:ascii="Garamond" w:hAnsi="Garamond"/>
                <w:color w:val="000000"/>
              </w:rPr>
              <w:t>Optimizimi i administrimit të mbetjeve me q</w:t>
            </w:r>
            <w:r w:rsidRPr="007114AF">
              <w:rPr>
                <w:rFonts w:ascii="Garamond" w:hAnsi="Garamond" w:cs="Calibri"/>
                <w:color w:val="000000"/>
              </w:rPr>
              <w:t>ëllim rritjen e karbonit të tokës</w:t>
            </w:r>
            <w:r w:rsidR="0028717C">
              <w:rPr>
                <w:rFonts w:ascii="Garamond" w:hAnsi="Garamond" w:cs="Calibri"/>
                <w:color w:val="000000"/>
              </w:rPr>
              <w:t xml:space="preserve"> </w:t>
            </w:r>
            <w:r w:rsidRPr="007114AF">
              <w:rPr>
                <w:rFonts w:ascii="Garamond" w:hAnsi="Garamond"/>
                <w:color w:val="000000"/>
              </w:rPr>
              <w:t>dhe z</w:t>
            </w:r>
            <w:r w:rsidRPr="007114AF">
              <w:rPr>
                <w:rFonts w:ascii="Garamond" w:hAnsi="Garamond" w:cs="Calibri"/>
                <w:color w:val="000000"/>
              </w:rPr>
              <w:t>ëvendësimin e plehrave kimike</w:t>
            </w:r>
          </w:p>
        </w:tc>
        <w:tc>
          <w:tcPr>
            <w:tcW w:w="817" w:type="pct"/>
            <w:noWrap/>
            <w:vAlign w:val="center"/>
            <w:hideMark/>
          </w:tcPr>
          <w:p w14:paraId="6EDCFF4E" w14:textId="77777777" w:rsidR="008A4207" w:rsidRPr="007114AF" w:rsidRDefault="008A4207" w:rsidP="001C467C">
            <w:pPr>
              <w:spacing w:after="0"/>
              <w:ind w:left="-109" w:firstLine="1"/>
              <w:rPr>
                <w:rFonts w:ascii="Garamond" w:hAnsi="Garamond"/>
                <w:color w:val="000000"/>
              </w:rPr>
            </w:pPr>
            <w:r w:rsidRPr="007114AF">
              <w:rPr>
                <w:rFonts w:ascii="Garamond" w:hAnsi="Garamond"/>
                <w:color w:val="000000"/>
              </w:rPr>
              <w:t>KTK</w:t>
            </w:r>
          </w:p>
        </w:tc>
      </w:tr>
      <w:tr w:rsidR="008A4207" w:rsidRPr="007114AF" w14:paraId="6EDCFF53" w14:textId="77777777" w:rsidTr="001C467C">
        <w:trPr>
          <w:trHeight w:val="20"/>
        </w:trPr>
        <w:tc>
          <w:tcPr>
            <w:tcW w:w="935" w:type="pct"/>
            <w:vMerge/>
            <w:noWrap/>
            <w:vAlign w:val="center"/>
            <w:hideMark/>
          </w:tcPr>
          <w:p w14:paraId="6EDCFF50" w14:textId="77777777" w:rsidR="008A4207" w:rsidRPr="007114AF" w:rsidRDefault="008A4207" w:rsidP="001C467C">
            <w:pPr>
              <w:spacing w:after="0"/>
              <w:rPr>
                <w:rFonts w:ascii="Garamond" w:hAnsi="Garamond"/>
                <w:color w:val="000000"/>
              </w:rPr>
            </w:pPr>
          </w:p>
        </w:tc>
        <w:tc>
          <w:tcPr>
            <w:tcW w:w="3248" w:type="pct"/>
            <w:gridSpan w:val="2"/>
            <w:vAlign w:val="center"/>
            <w:hideMark/>
          </w:tcPr>
          <w:p w14:paraId="6EDCFF51" w14:textId="77777777" w:rsidR="008A4207" w:rsidRPr="007114AF" w:rsidRDefault="008A4207" w:rsidP="001C467C">
            <w:pPr>
              <w:spacing w:after="0"/>
              <w:rPr>
                <w:rFonts w:ascii="Garamond" w:hAnsi="Garamond"/>
                <w:color w:val="000000"/>
              </w:rPr>
            </w:pPr>
            <w:r w:rsidRPr="007114AF">
              <w:rPr>
                <w:rFonts w:ascii="Garamond" w:hAnsi="Garamond"/>
                <w:color w:val="000000"/>
              </w:rPr>
              <w:t>P</w:t>
            </w:r>
            <w:r w:rsidRPr="007114AF">
              <w:rPr>
                <w:rFonts w:ascii="Garamond" w:hAnsi="Garamond" w:cs="Calibri"/>
                <w:color w:val="000000"/>
              </w:rPr>
              <w:t>ërmirësimi i eficiencës së plehrave kimike dhe rritja e ndryshimeve organike me qëllim rritjen e ruajtjes së karbonit të tokës dhe produktivitetit të tokës</w:t>
            </w:r>
          </w:p>
        </w:tc>
        <w:tc>
          <w:tcPr>
            <w:tcW w:w="817" w:type="pct"/>
            <w:noWrap/>
            <w:vAlign w:val="center"/>
            <w:hideMark/>
          </w:tcPr>
          <w:p w14:paraId="6EDCFF52" w14:textId="77777777" w:rsidR="008A4207" w:rsidRPr="007114AF" w:rsidRDefault="008A4207" w:rsidP="001C467C">
            <w:pPr>
              <w:spacing w:after="0"/>
              <w:ind w:left="-109" w:firstLine="1"/>
              <w:rPr>
                <w:rFonts w:ascii="Garamond" w:hAnsi="Garamond"/>
                <w:color w:val="000000"/>
              </w:rPr>
            </w:pPr>
            <w:r w:rsidRPr="007114AF">
              <w:rPr>
                <w:rFonts w:ascii="Garamond" w:hAnsi="Garamond"/>
                <w:color w:val="000000"/>
              </w:rPr>
              <w:t>KTK</w:t>
            </w:r>
          </w:p>
        </w:tc>
      </w:tr>
      <w:tr w:rsidR="008A4207" w:rsidRPr="007114AF" w14:paraId="6EDCFF57" w14:textId="77777777" w:rsidTr="001C467C">
        <w:trPr>
          <w:trHeight w:val="20"/>
        </w:trPr>
        <w:tc>
          <w:tcPr>
            <w:tcW w:w="935" w:type="pct"/>
            <w:vMerge/>
            <w:noWrap/>
            <w:vAlign w:val="center"/>
            <w:hideMark/>
          </w:tcPr>
          <w:p w14:paraId="6EDCFF54" w14:textId="77777777" w:rsidR="008A4207" w:rsidRPr="007114AF" w:rsidRDefault="008A4207" w:rsidP="001C467C">
            <w:pPr>
              <w:spacing w:after="0"/>
              <w:rPr>
                <w:rFonts w:ascii="Garamond" w:hAnsi="Garamond"/>
                <w:color w:val="000000"/>
              </w:rPr>
            </w:pPr>
          </w:p>
        </w:tc>
        <w:tc>
          <w:tcPr>
            <w:tcW w:w="3248" w:type="pct"/>
            <w:gridSpan w:val="2"/>
            <w:vAlign w:val="center"/>
            <w:hideMark/>
          </w:tcPr>
          <w:p w14:paraId="6EDCFF55" w14:textId="77777777" w:rsidR="008A4207" w:rsidRPr="007114AF" w:rsidRDefault="008A4207" w:rsidP="001C467C">
            <w:pPr>
              <w:spacing w:after="0"/>
              <w:rPr>
                <w:rFonts w:ascii="Garamond" w:hAnsi="Garamond"/>
                <w:color w:val="000000"/>
              </w:rPr>
            </w:pPr>
            <w:r w:rsidRPr="007114AF">
              <w:rPr>
                <w:rFonts w:ascii="Garamond" w:hAnsi="Garamond"/>
                <w:color w:val="000000"/>
              </w:rPr>
              <w:t>Stimulimi i intensitetit dhe koh</w:t>
            </w:r>
            <w:r w:rsidRPr="007114AF">
              <w:rPr>
                <w:rFonts w:ascii="Garamond" w:hAnsi="Garamond" w:cs="Calibri"/>
                <w:color w:val="000000"/>
              </w:rPr>
              <w:t>ëmatjes së kullotave të qëndrueshme me qëllim ruajtjen e rritjes</w:t>
            </w:r>
            <w:r w:rsidRPr="007114AF">
              <w:rPr>
                <w:rFonts w:ascii="Garamond" w:hAnsi="Garamond"/>
                <w:color w:val="000000"/>
              </w:rPr>
              <w:t>, shp</w:t>
            </w:r>
            <w:r w:rsidRPr="007114AF">
              <w:rPr>
                <w:rFonts w:ascii="Garamond" w:hAnsi="Garamond" w:cs="Calibri"/>
                <w:color w:val="000000"/>
              </w:rPr>
              <w:t>ërndarjen e karbonit dhe florën e kullotave</w:t>
            </w:r>
            <w:r w:rsidRPr="007114AF">
              <w:rPr>
                <w:rFonts w:ascii="Garamond" w:hAnsi="Garamond"/>
                <w:color w:val="000000"/>
              </w:rPr>
              <w:t>, duke ndikuar n</w:t>
            </w:r>
            <w:r w:rsidRPr="007114AF">
              <w:rPr>
                <w:rFonts w:ascii="Garamond" w:hAnsi="Garamond" w:cs="Calibri"/>
                <w:color w:val="000000"/>
              </w:rPr>
              <w:t xml:space="preserve">ë këtë mënyrë në sasinë e depozitimit të </w:t>
            </w:r>
            <w:r w:rsidRPr="007114AF">
              <w:rPr>
                <w:rFonts w:ascii="Garamond" w:hAnsi="Garamond"/>
                <w:color w:val="000000"/>
              </w:rPr>
              <w:t>C n</w:t>
            </w:r>
            <w:r w:rsidRPr="007114AF">
              <w:rPr>
                <w:rFonts w:ascii="Garamond" w:hAnsi="Garamond" w:cs="Calibri"/>
                <w:color w:val="000000"/>
              </w:rPr>
              <w:t>ë toka</w:t>
            </w:r>
            <w:r w:rsidRPr="007114AF">
              <w:rPr>
                <w:rFonts w:ascii="Garamond" w:hAnsi="Garamond"/>
                <w:color w:val="000000"/>
              </w:rPr>
              <w:t>.</w:t>
            </w:r>
          </w:p>
        </w:tc>
        <w:tc>
          <w:tcPr>
            <w:tcW w:w="817" w:type="pct"/>
            <w:noWrap/>
            <w:vAlign w:val="center"/>
            <w:hideMark/>
          </w:tcPr>
          <w:p w14:paraId="6EDCFF56" w14:textId="77777777" w:rsidR="008A4207" w:rsidRPr="007114AF" w:rsidRDefault="008A4207" w:rsidP="001C467C">
            <w:pPr>
              <w:spacing w:after="0"/>
              <w:ind w:left="-109" w:firstLine="1"/>
              <w:rPr>
                <w:rFonts w:ascii="Garamond" w:hAnsi="Garamond"/>
                <w:color w:val="000000"/>
              </w:rPr>
            </w:pPr>
            <w:r w:rsidRPr="007114AF">
              <w:rPr>
                <w:rFonts w:ascii="Garamond" w:hAnsi="Garamond"/>
                <w:color w:val="000000"/>
              </w:rPr>
              <w:t>KTK</w:t>
            </w:r>
          </w:p>
        </w:tc>
      </w:tr>
      <w:tr w:rsidR="008A4207" w:rsidRPr="007114AF" w14:paraId="6EDCFF59" w14:textId="77777777" w:rsidTr="001C467C">
        <w:trPr>
          <w:trHeight w:val="20"/>
        </w:trPr>
        <w:tc>
          <w:tcPr>
            <w:tcW w:w="5000" w:type="pct"/>
            <w:gridSpan w:val="4"/>
            <w:shd w:val="clear" w:color="auto" w:fill="C6D9F1" w:themeFill="text2" w:themeFillTint="33"/>
            <w:noWrap/>
            <w:vAlign w:val="center"/>
            <w:hideMark/>
          </w:tcPr>
          <w:p w14:paraId="6EDCFF58" w14:textId="77777777" w:rsidR="008A4207" w:rsidRPr="007114AF" w:rsidRDefault="008A4207" w:rsidP="001C467C">
            <w:pPr>
              <w:spacing w:after="0"/>
              <w:ind w:left="-109" w:firstLine="109"/>
              <w:rPr>
                <w:rFonts w:ascii="Garamond" w:hAnsi="Garamond"/>
                <w:color w:val="000000"/>
              </w:rPr>
            </w:pPr>
            <w:r w:rsidRPr="007114AF">
              <w:rPr>
                <w:rFonts w:ascii="Garamond" w:hAnsi="Garamond"/>
                <w:b/>
                <w:bCs/>
                <w:color w:val="000000"/>
              </w:rPr>
              <w:t>Rritja e potencialit të depozitës së karbonit dhe mbrojtja e stoqeve të karbonit në ekosistemet tokësore (SP1; SP6))</w:t>
            </w:r>
          </w:p>
        </w:tc>
      </w:tr>
      <w:tr w:rsidR="008A4207" w:rsidRPr="007114AF" w14:paraId="6EDCFF5E" w14:textId="77777777" w:rsidTr="001C467C">
        <w:trPr>
          <w:trHeight w:val="20"/>
        </w:trPr>
        <w:tc>
          <w:tcPr>
            <w:tcW w:w="935" w:type="pct"/>
            <w:vMerge w:val="restart"/>
            <w:noWrap/>
            <w:vAlign w:val="center"/>
            <w:hideMark/>
          </w:tcPr>
          <w:p w14:paraId="6EDCFF5A" w14:textId="77777777" w:rsidR="008A4207" w:rsidRPr="007114AF" w:rsidRDefault="008A4207" w:rsidP="001C467C">
            <w:pPr>
              <w:spacing w:after="0"/>
              <w:rPr>
                <w:rFonts w:ascii="Garamond" w:hAnsi="Garamond"/>
                <w:color w:val="000000"/>
              </w:rPr>
            </w:pPr>
            <w:r w:rsidRPr="007114AF">
              <w:rPr>
                <w:rFonts w:ascii="Garamond" w:hAnsi="Garamond"/>
                <w:color w:val="000000"/>
              </w:rPr>
              <w:t>LUCF-ja</w:t>
            </w:r>
          </w:p>
          <w:p w14:paraId="6EDCFF5B" w14:textId="77777777" w:rsidR="008A4207" w:rsidRPr="007114AF" w:rsidRDefault="008A4207" w:rsidP="001C467C">
            <w:pPr>
              <w:spacing w:after="0"/>
              <w:rPr>
                <w:rFonts w:ascii="Garamond" w:hAnsi="Garamond"/>
                <w:color w:val="000000"/>
              </w:rPr>
            </w:pPr>
          </w:p>
        </w:tc>
        <w:tc>
          <w:tcPr>
            <w:tcW w:w="3248" w:type="pct"/>
            <w:gridSpan w:val="2"/>
            <w:vAlign w:val="center"/>
            <w:hideMark/>
          </w:tcPr>
          <w:p w14:paraId="6EDCFF5C" w14:textId="77777777" w:rsidR="008A4207" w:rsidRPr="007114AF" w:rsidRDefault="008A4207" w:rsidP="001C467C">
            <w:pPr>
              <w:spacing w:after="0"/>
              <w:rPr>
                <w:rFonts w:ascii="Garamond" w:hAnsi="Garamond"/>
                <w:color w:val="000000"/>
              </w:rPr>
            </w:pPr>
            <w:r w:rsidRPr="007114AF">
              <w:rPr>
                <w:rFonts w:ascii="Garamond" w:hAnsi="Garamond"/>
                <w:color w:val="000000"/>
              </w:rPr>
              <w:t>Mbrojtja e biodiversitetit dhe rritja e statusit t</w:t>
            </w:r>
            <w:r w:rsidRPr="007114AF">
              <w:rPr>
                <w:rFonts w:ascii="Garamond" w:hAnsi="Garamond" w:cs="Calibri"/>
                <w:color w:val="000000"/>
              </w:rPr>
              <w:t>ë k</w:t>
            </w:r>
            <w:r w:rsidRPr="007114AF">
              <w:rPr>
                <w:rFonts w:ascii="Garamond" w:hAnsi="Garamond"/>
                <w:color w:val="000000"/>
              </w:rPr>
              <w:t>onservimit t</w:t>
            </w:r>
            <w:r w:rsidRPr="007114AF">
              <w:rPr>
                <w:rFonts w:ascii="Garamond" w:hAnsi="Garamond" w:cs="Calibri"/>
                <w:color w:val="000000"/>
              </w:rPr>
              <w:t>ë specieve dhe habitateve të kërcënuara</w:t>
            </w:r>
          </w:p>
        </w:tc>
        <w:tc>
          <w:tcPr>
            <w:tcW w:w="817" w:type="pct"/>
            <w:noWrap/>
            <w:vAlign w:val="center"/>
            <w:hideMark/>
          </w:tcPr>
          <w:p w14:paraId="6EDCFF5D" w14:textId="77777777" w:rsidR="008A4207" w:rsidRPr="007114AF" w:rsidRDefault="008A4207" w:rsidP="001C467C">
            <w:pPr>
              <w:spacing w:after="0"/>
              <w:ind w:left="-109" w:firstLine="1"/>
              <w:rPr>
                <w:rFonts w:ascii="Garamond" w:hAnsi="Garamond"/>
                <w:color w:val="000000"/>
              </w:rPr>
            </w:pPr>
            <w:r w:rsidRPr="007114AF">
              <w:rPr>
                <w:rFonts w:ascii="Garamond" w:hAnsi="Garamond"/>
                <w:color w:val="000000"/>
              </w:rPr>
              <w:t>SMNS; SKZHI-II; DPSMB</w:t>
            </w:r>
          </w:p>
        </w:tc>
      </w:tr>
      <w:tr w:rsidR="008A4207" w:rsidRPr="007114AF" w14:paraId="6EDCFF62" w14:textId="77777777" w:rsidTr="001C467C">
        <w:trPr>
          <w:trHeight w:val="20"/>
        </w:trPr>
        <w:tc>
          <w:tcPr>
            <w:tcW w:w="935" w:type="pct"/>
            <w:vMerge/>
            <w:noWrap/>
            <w:vAlign w:val="center"/>
            <w:hideMark/>
          </w:tcPr>
          <w:p w14:paraId="6EDCFF5F" w14:textId="77777777" w:rsidR="008A4207" w:rsidRPr="007114AF" w:rsidRDefault="008A4207" w:rsidP="001C467C">
            <w:pPr>
              <w:spacing w:after="0"/>
              <w:rPr>
                <w:rFonts w:ascii="Garamond" w:hAnsi="Garamond"/>
                <w:color w:val="000000"/>
              </w:rPr>
            </w:pPr>
          </w:p>
        </w:tc>
        <w:tc>
          <w:tcPr>
            <w:tcW w:w="3248" w:type="pct"/>
            <w:gridSpan w:val="2"/>
            <w:vAlign w:val="center"/>
            <w:hideMark/>
          </w:tcPr>
          <w:p w14:paraId="6EDCFF60" w14:textId="77777777" w:rsidR="008A4207" w:rsidRPr="007114AF" w:rsidRDefault="008A4207" w:rsidP="001C467C">
            <w:pPr>
              <w:spacing w:after="0"/>
              <w:rPr>
                <w:rFonts w:ascii="Garamond" w:hAnsi="Garamond"/>
                <w:color w:val="000000"/>
              </w:rPr>
            </w:pPr>
            <w:r w:rsidRPr="007114AF">
              <w:rPr>
                <w:rFonts w:ascii="Garamond" w:hAnsi="Garamond"/>
                <w:color w:val="000000"/>
              </w:rPr>
              <w:t>Parandalimi i degradimit t</w:t>
            </w:r>
            <w:r w:rsidRPr="007114AF">
              <w:rPr>
                <w:rFonts w:ascii="Garamond" w:hAnsi="Garamond" w:cs="Calibri"/>
                <w:color w:val="000000"/>
              </w:rPr>
              <w:t>ë</w:t>
            </w:r>
            <w:r w:rsidRPr="007114AF">
              <w:rPr>
                <w:rFonts w:ascii="Garamond" w:hAnsi="Garamond"/>
                <w:color w:val="000000"/>
              </w:rPr>
              <w:t xml:space="preserve"> m</w:t>
            </w:r>
            <w:r w:rsidRPr="007114AF">
              <w:rPr>
                <w:rFonts w:ascii="Garamond" w:hAnsi="Garamond" w:cs="Calibri"/>
                <w:color w:val="000000"/>
              </w:rPr>
              <w:t>ëtejshëm të tokës dhe re</w:t>
            </w:r>
            <w:r w:rsidRPr="007114AF">
              <w:rPr>
                <w:rFonts w:ascii="Garamond" w:hAnsi="Garamond"/>
                <w:color w:val="000000"/>
              </w:rPr>
              <w:t>habilitimi n</w:t>
            </w:r>
            <w:r w:rsidRPr="007114AF">
              <w:rPr>
                <w:rFonts w:ascii="Garamond" w:hAnsi="Garamond" w:cs="Calibri"/>
                <w:color w:val="000000"/>
              </w:rPr>
              <w:t xml:space="preserve">ë masën </w:t>
            </w:r>
            <w:r w:rsidRPr="007114AF">
              <w:rPr>
                <w:rFonts w:ascii="Garamond" w:hAnsi="Garamond"/>
                <w:color w:val="000000"/>
              </w:rPr>
              <w:t>25% i</w:t>
            </w:r>
            <w:r w:rsidRPr="007114AF">
              <w:rPr>
                <w:rFonts w:ascii="Garamond" w:hAnsi="Garamond" w:cs="Calibri"/>
                <w:color w:val="000000"/>
              </w:rPr>
              <w:t xml:space="preserve"> zonave të degraduara deri në vitin</w:t>
            </w:r>
            <w:r w:rsidRPr="007114AF">
              <w:rPr>
                <w:rFonts w:ascii="Garamond" w:hAnsi="Garamond"/>
                <w:color w:val="000000"/>
              </w:rPr>
              <w:t xml:space="preserve"> 2020</w:t>
            </w:r>
          </w:p>
        </w:tc>
        <w:tc>
          <w:tcPr>
            <w:tcW w:w="817" w:type="pct"/>
            <w:noWrap/>
            <w:vAlign w:val="center"/>
            <w:hideMark/>
          </w:tcPr>
          <w:p w14:paraId="6EDCFF61" w14:textId="41A291DB" w:rsidR="008A4207" w:rsidRPr="007114AF" w:rsidRDefault="008A4207" w:rsidP="001C467C">
            <w:pPr>
              <w:spacing w:after="0"/>
              <w:ind w:left="-109" w:firstLine="1"/>
              <w:rPr>
                <w:rFonts w:ascii="Garamond" w:hAnsi="Garamond"/>
                <w:color w:val="000000"/>
              </w:rPr>
            </w:pPr>
            <w:r w:rsidRPr="007114AF">
              <w:rPr>
                <w:rFonts w:ascii="Garamond" w:hAnsi="Garamond"/>
                <w:color w:val="000000"/>
              </w:rPr>
              <w:t>SMNS</w:t>
            </w:r>
            <w:r w:rsidR="00191838" w:rsidRPr="007114AF">
              <w:rPr>
                <w:rFonts w:ascii="Garamond" w:hAnsi="Garamond"/>
                <w:color w:val="000000"/>
              </w:rPr>
              <w:t>;</w:t>
            </w:r>
            <w:r w:rsidRPr="007114AF">
              <w:rPr>
                <w:rFonts w:ascii="Garamond" w:hAnsi="Garamond"/>
                <w:color w:val="000000"/>
              </w:rPr>
              <w:t xml:space="preserve"> SKZHI-II</w:t>
            </w:r>
          </w:p>
        </w:tc>
      </w:tr>
      <w:tr w:rsidR="008A4207" w:rsidRPr="007114AF" w14:paraId="6EDCFF66" w14:textId="77777777" w:rsidTr="001C467C">
        <w:trPr>
          <w:trHeight w:val="20"/>
        </w:trPr>
        <w:tc>
          <w:tcPr>
            <w:tcW w:w="935" w:type="pct"/>
            <w:vMerge/>
            <w:noWrap/>
            <w:vAlign w:val="center"/>
            <w:hideMark/>
          </w:tcPr>
          <w:p w14:paraId="6EDCFF63" w14:textId="77777777" w:rsidR="008A4207" w:rsidRPr="007114AF" w:rsidRDefault="008A4207" w:rsidP="001C467C">
            <w:pPr>
              <w:spacing w:after="0"/>
              <w:rPr>
                <w:rFonts w:ascii="Garamond" w:hAnsi="Garamond"/>
                <w:color w:val="000000"/>
              </w:rPr>
            </w:pPr>
          </w:p>
        </w:tc>
        <w:tc>
          <w:tcPr>
            <w:tcW w:w="3248" w:type="pct"/>
            <w:gridSpan w:val="2"/>
            <w:vAlign w:val="center"/>
            <w:hideMark/>
          </w:tcPr>
          <w:p w14:paraId="6EDCFF64" w14:textId="77777777" w:rsidR="008A4207" w:rsidRPr="007114AF" w:rsidRDefault="008A4207" w:rsidP="001C467C">
            <w:pPr>
              <w:spacing w:after="0"/>
              <w:rPr>
                <w:rFonts w:ascii="Garamond" w:hAnsi="Garamond"/>
                <w:color w:val="000000"/>
              </w:rPr>
            </w:pPr>
            <w:r w:rsidRPr="007114AF">
              <w:rPr>
                <w:rFonts w:ascii="Garamond" w:hAnsi="Garamond"/>
                <w:color w:val="000000"/>
              </w:rPr>
              <w:t>P</w:t>
            </w:r>
            <w:r w:rsidRPr="007114AF">
              <w:rPr>
                <w:rFonts w:ascii="Garamond" w:hAnsi="Garamond" w:cs="Calibri"/>
                <w:color w:val="000000"/>
              </w:rPr>
              <w:t>ërfundimi i kuadrit ligjor kombëtar për natyrën dhe biod</w:t>
            </w:r>
            <w:r w:rsidRPr="007114AF">
              <w:rPr>
                <w:rFonts w:ascii="Garamond" w:hAnsi="Garamond"/>
                <w:color w:val="000000"/>
              </w:rPr>
              <w:t>iversitetin</w:t>
            </w:r>
          </w:p>
        </w:tc>
        <w:tc>
          <w:tcPr>
            <w:tcW w:w="817" w:type="pct"/>
            <w:noWrap/>
            <w:vAlign w:val="center"/>
            <w:hideMark/>
          </w:tcPr>
          <w:p w14:paraId="6EDCFF65" w14:textId="77777777" w:rsidR="008A4207" w:rsidRPr="007114AF" w:rsidRDefault="008A4207" w:rsidP="001C467C">
            <w:pPr>
              <w:spacing w:after="0"/>
              <w:ind w:left="-109" w:firstLine="1"/>
              <w:rPr>
                <w:rFonts w:ascii="Garamond" w:hAnsi="Garamond"/>
                <w:color w:val="000000"/>
              </w:rPr>
            </w:pPr>
            <w:r w:rsidRPr="007114AF">
              <w:rPr>
                <w:rFonts w:ascii="Garamond" w:hAnsi="Garamond"/>
                <w:color w:val="000000"/>
              </w:rPr>
              <w:t>DPSMB</w:t>
            </w:r>
          </w:p>
        </w:tc>
      </w:tr>
      <w:tr w:rsidR="008A4207" w:rsidRPr="007114AF" w14:paraId="6EDCFF6A" w14:textId="77777777" w:rsidTr="001C467C">
        <w:trPr>
          <w:trHeight w:val="20"/>
        </w:trPr>
        <w:tc>
          <w:tcPr>
            <w:tcW w:w="935" w:type="pct"/>
            <w:vMerge/>
            <w:noWrap/>
            <w:vAlign w:val="center"/>
            <w:hideMark/>
          </w:tcPr>
          <w:p w14:paraId="6EDCFF67" w14:textId="77777777" w:rsidR="008A4207" w:rsidRPr="007114AF" w:rsidRDefault="008A4207" w:rsidP="001C467C">
            <w:pPr>
              <w:spacing w:after="0"/>
              <w:rPr>
                <w:rFonts w:ascii="Garamond" w:hAnsi="Garamond"/>
                <w:color w:val="000000"/>
              </w:rPr>
            </w:pPr>
          </w:p>
        </w:tc>
        <w:tc>
          <w:tcPr>
            <w:tcW w:w="3248" w:type="pct"/>
            <w:gridSpan w:val="2"/>
            <w:vAlign w:val="center"/>
            <w:hideMark/>
          </w:tcPr>
          <w:p w14:paraId="6EDCFF68" w14:textId="77777777" w:rsidR="008A4207" w:rsidRPr="007114AF" w:rsidRDefault="008A4207" w:rsidP="001C467C">
            <w:pPr>
              <w:spacing w:after="0"/>
              <w:rPr>
                <w:rFonts w:ascii="Garamond" w:hAnsi="Garamond"/>
                <w:color w:val="000000"/>
              </w:rPr>
            </w:pPr>
            <w:r w:rsidRPr="007114AF">
              <w:rPr>
                <w:rFonts w:ascii="Garamond" w:hAnsi="Garamond"/>
                <w:color w:val="000000"/>
              </w:rPr>
              <w:t>Nxitja e zgjerimit dhe p</w:t>
            </w:r>
            <w:r w:rsidRPr="007114AF">
              <w:rPr>
                <w:rFonts w:ascii="Garamond" w:hAnsi="Garamond" w:cs="Calibri"/>
                <w:color w:val="000000"/>
              </w:rPr>
              <w:t>ërmirësimit të burimeve pyjore përmes pyllëzimit të tokës me qëllim parandalimin e erozionit</w:t>
            </w:r>
            <w:r w:rsidRPr="007114AF">
              <w:rPr>
                <w:rFonts w:ascii="Garamond" w:hAnsi="Garamond"/>
                <w:color w:val="000000"/>
              </w:rPr>
              <w:t>, mbrojtjen e burimeve ujore, rritjen e biodiversitetit dhe duke ndihm</w:t>
            </w:r>
            <w:r w:rsidRPr="007114AF">
              <w:rPr>
                <w:rFonts w:ascii="Garamond" w:hAnsi="Garamond" w:cs="Calibri"/>
                <w:color w:val="000000"/>
              </w:rPr>
              <w:t>uar në përshtatjen ndaj sfidave të ndryshimeve klimatike</w:t>
            </w:r>
          </w:p>
        </w:tc>
        <w:tc>
          <w:tcPr>
            <w:tcW w:w="817" w:type="pct"/>
            <w:noWrap/>
            <w:vAlign w:val="center"/>
            <w:hideMark/>
          </w:tcPr>
          <w:p w14:paraId="6EDCFF69" w14:textId="6CCC8716" w:rsidR="008A4207" w:rsidRPr="007114AF" w:rsidRDefault="008A4207" w:rsidP="001C467C">
            <w:pPr>
              <w:spacing w:after="0"/>
              <w:ind w:left="-109" w:firstLine="1"/>
              <w:rPr>
                <w:rFonts w:ascii="Garamond" w:hAnsi="Garamond"/>
                <w:color w:val="000000"/>
              </w:rPr>
            </w:pPr>
            <w:r w:rsidRPr="007114AF">
              <w:rPr>
                <w:rFonts w:ascii="Garamond" w:hAnsi="Garamond"/>
                <w:color w:val="000000"/>
              </w:rPr>
              <w:t>SNBZHR; SMNS;</w:t>
            </w:r>
            <w:r w:rsidR="000A2A01" w:rsidRPr="007114AF">
              <w:rPr>
                <w:rFonts w:ascii="Garamond" w:hAnsi="Garamond"/>
                <w:color w:val="000000"/>
              </w:rPr>
              <w:t xml:space="preserve"> </w:t>
            </w:r>
            <w:r w:rsidRPr="007114AF">
              <w:rPr>
                <w:rFonts w:ascii="Garamond" w:hAnsi="Garamond"/>
                <w:color w:val="000000"/>
              </w:rPr>
              <w:t>KTK; DPSMB</w:t>
            </w:r>
          </w:p>
        </w:tc>
      </w:tr>
      <w:tr w:rsidR="008A4207" w:rsidRPr="007114AF" w14:paraId="6EDCFF6E" w14:textId="77777777" w:rsidTr="001C467C">
        <w:trPr>
          <w:trHeight w:val="20"/>
        </w:trPr>
        <w:tc>
          <w:tcPr>
            <w:tcW w:w="935" w:type="pct"/>
            <w:vMerge/>
            <w:noWrap/>
            <w:vAlign w:val="center"/>
            <w:hideMark/>
          </w:tcPr>
          <w:p w14:paraId="6EDCFF6B" w14:textId="77777777" w:rsidR="008A4207" w:rsidRPr="007114AF" w:rsidRDefault="008A4207" w:rsidP="001C467C">
            <w:pPr>
              <w:spacing w:after="0"/>
              <w:rPr>
                <w:rFonts w:ascii="Garamond" w:hAnsi="Garamond"/>
                <w:color w:val="000000"/>
              </w:rPr>
            </w:pPr>
          </w:p>
        </w:tc>
        <w:tc>
          <w:tcPr>
            <w:tcW w:w="3248" w:type="pct"/>
            <w:gridSpan w:val="2"/>
            <w:vAlign w:val="center"/>
            <w:hideMark/>
          </w:tcPr>
          <w:p w14:paraId="6EDCFF6C" w14:textId="77777777" w:rsidR="008A4207" w:rsidRPr="007114AF" w:rsidRDefault="008A4207" w:rsidP="001C467C">
            <w:pPr>
              <w:spacing w:after="0"/>
              <w:rPr>
                <w:rFonts w:ascii="Garamond" w:hAnsi="Garamond"/>
                <w:color w:val="000000"/>
              </w:rPr>
            </w:pPr>
            <w:r w:rsidRPr="007114AF">
              <w:rPr>
                <w:rFonts w:ascii="Garamond" w:hAnsi="Garamond"/>
                <w:color w:val="000000"/>
              </w:rPr>
              <w:t>Parandalimi i zjarreve n</w:t>
            </w:r>
            <w:r w:rsidRPr="007114AF">
              <w:rPr>
                <w:rFonts w:ascii="Garamond" w:hAnsi="Garamond" w:cs="Calibri"/>
                <w:color w:val="000000"/>
              </w:rPr>
              <w:t>ë pyje dhe zbatimi i masave të nevojshme për zhdukjen e shpejtë të tyre</w:t>
            </w:r>
          </w:p>
        </w:tc>
        <w:tc>
          <w:tcPr>
            <w:tcW w:w="817" w:type="pct"/>
            <w:noWrap/>
            <w:vAlign w:val="center"/>
            <w:hideMark/>
          </w:tcPr>
          <w:p w14:paraId="6EDCFF6D" w14:textId="77777777" w:rsidR="008A4207" w:rsidRPr="007114AF" w:rsidRDefault="008A4207" w:rsidP="001C467C">
            <w:pPr>
              <w:spacing w:after="0"/>
              <w:ind w:left="-109" w:firstLine="1"/>
              <w:rPr>
                <w:rFonts w:ascii="Garamond" w:hAnsi="Garamond"/>
                <w:color w:val="000000"/>
              </w:rPr>
            </w:pPr>
            <w:r w:rsidRPr="007114AF">
              <w:rPr>
                <w:rFonts w:ascii="Garamond" w:hAnsi="Garamond"/>
                <w:color w:val="000000"/>
              </w:rPr>
              <w:t>SMNS; KTK</w:t>
            </w:r>
          </w:p>
        </w:tc>
      </w:tr>
      <w:tr w:rsidR="008A4207" w:rsidRPr="007114AF" w14:paraId="6EDCFF72" w14:textId="77777777" w:rsidTr="001C467C">
        <w:trPr>
          <w:trHeight w:val="20"/>
        </w:trPr>
        <w:tc>
          <w:tcPr>
            <w:tcW w:w="935" w:type="pct"/>
            <w:vMerge/>
            <w:noWrap/>
            <w:vAlign w:val="center"/>
            <w:hideMark/>
          </w:tcPr>
          <w:p w14:paraId="6EDCFF6F" w14:textId="77777777" w:rsidR="008A4207" w:rsidRPr="007114AF" w:rsidRDefault="008A4207" w:rsidP="001C467C">
            <w:pPr>
              <w:spacing w:after="0"/>
              <w:rPr>
                <w:rFonts w:ascii="Garamond" w:hAnsi="Garamond"/>
                <w:color w:val="000000"/>
              </w:rPr>
            </w:pPr>
          </w:p>
        </w:tc>
        <w:tc>
          <w:tcPr>
            <w:tcW w:w="3248" w:type="pct"/>
            <w:gridSpan w:val="2"/>
            <w:vAlign w:val="center"/>
            <w:hideMark/>
          </w:tcPr>
          <w:p w14:paraId="6EDCFF70" w14:textId="77777777" w:rsidR="008A4207" w:rsidRPr="007114AF" w:rsidRDefault="008A4207" w:rsidP="001C467C">
            <w:pPr>
              <w:spacing w:after="0"/>
              <w:rPr>
                <w:rFonts w:ascii="Garamond" w:hAnsi="Garamond"/>
                <w:color w:val="000000"/>
              </w:rPr>
            </w:pPr>
            <w:r w:rsidRPr="007114AF">
              <w:rPr>
                <w:rFonts w:ascii="Garamond" w:hAnsi="Garamond"/>
                <w:color w:val="000000"/>
              </w:rPr>
              <w:t>P</w:t>
            </w:r>
            <w:r w:rsidRPr="007114AF">
              <w:rPr>
                <w:rFonts w:ascii="Garamond" w:hAnsi="Garamond" w:cs="Calibri"/>
                <w:color w:val="000000"/>
              </w:rPr>
              <w:t>ërmirësimi i kushteve të pyjeve</w:t>
            </w:r>
            <w:r w:rsidRPr="007114AF">
              <w:rPr>
                <w:rFonts w:ascii="Garamond" w:hAnsi="Garamond"/>
                <w:color w:val="000000"/>
              </w:rPr>
              <w:t>, rritja e produktivitetit t</w:t>
            </w:r>
            <w:r w:rsidRPr="007114AF">
              <w:rPr>
                <w:rFonts w:ascii="Garamond" w:hAnsi="Garamond" w:cs="Calibri"/>
                <w:color w:val="000000"/>
              </w:rPr>
              <w:t>ë pyjeve</w:t>
            </w:r>
            <w:r w:rsidRPr="007114AF">
              <w:rPr>
                <w:rFonts w:ascii="Garamond" w:hAnsi="Garamond"/>
                <w:color w:val="000000"/>
              </w:rPr>
              <w:t>, mb</w:t>
            </w:r>
            <w:r w:rsidRPr="007114AF">
              <w:rPr>
                <w:rFonts w:ascii="Garamond" w:hAnsi="Garamond" w:cs="Calibri"/>
                <w:color w:val="000000"/>
              </w:rPr>
              <w:t xml:space="preserve">ështetja ndaj zhvillimit shumëfunksional të burimeve pyjore dhe të kullotave, si dhe rritja e aftësisë ripërtëritëse në </w:t>
            </w:r>
            <w:r w:rsidRPr="007114AF">
              <w:rPr>
                <w:rFonts w:ascii="Garamond" w:hAnsi="Garamond"/>
                <w:color w:val="000000"/>
              </w:rPr>
              <w:t>3.000 ha deri n</w:t>
            </w:r>
            <w:r w:rsidRPr="007114AF">
              <w:rPr>
                <w:rFonts w:ascii="Garamond" w:hAnsi="Garamond" w:cs="Calibri"/>
                <w:color w:val="000000"/>
              </w:rPr>
              <w:t xml:space="preserve">ë vitin </w:t>
            </w:r>
            <w:r w:rsidRPr="007114AF">
              <w:rPr>
                <w:rFonts w:ascii="Garamond" w:hAnsi="Garamond"/>
                <w:color w:val="000000"/>
              </w:rPr>
              <w:t>2017 dhe n</w:t>
            </w:r>
            <w:r w:rsidRPr="007114AF">
              <w:rPr>
                <w:rFonts w:ascii="Garamond" w:hAnsi="Garamond" w:cs="Calibri"/>
                <w:color w:val="000000"/>
              </w:rPr>
              <w:t>ë</w:t>
            </w:r>
            <w:r w:rsidRPr="007114AF">
              <w:rPr>
                <w:rFonts w:ascii="Garamond" w:hAnsi="Garamond"/>
                <w:color w:val="000000"/>
              </w:rPr>
              <w:t xml:space="preserve"> 30.000 ha deri n</w:t>
            </w:r>
            <w:r w:rsidRPr="007114AF">
              <w:rPr>
                <w:rFonts w:ascii="Garamond" w:hAnsi="Garamond" w:cs="Calibri"/>
                <w:color w:val="000000"/>
              </w:rPr>
              <w:t xml:space="preserve">ë vitin </w:t>
            </w:r>
            <w:r w:rsidRPr="007114AF">
              <w:rPr>
                <w:rFonts w:ascii="Garamond" w:hAnsi="Garamond"/>
                <w:color w:val="000000"/>
              </w:rPr>
              <w:t>2020</w:t>
            </w:r>
          </w:p>
        </w:tc>
        <w:tc>
          <w:tcPr>
            <w:tcW w:w="817" w:type="pct"/>
            <w:noWrap/>
            <w:vAlign w:val="center"/>
            <w:hideMark/>
          </w:tcPr>
          <w:p w14:paraId="6EDCFF71" w14:textId="77777777" w:rsidR="008A4207" w:rsidRPr="007114AF" w:rsidRDefault="008A4207" w:rsidP="001C467C">
            <w:pPr>
              <w:spacing w:after="0"/>
              <w:ind w:left="-109" w:firstLine="1"/>
              <w:rPr>
                <w:rFonts w:ascii="Garamond" w:hAnsi="Garamond"/>
                <w:color w:val="000000"/>
              </w:rPr>
            </w:pPr>
            <w:r w:rsidRPr="007114AF">
              <w:rPr>
                <w:rFonts w:ascii="Garamond" w:hAnsi="Garamond"/>
                <w:color w:val="000000"/>
              </w:rPr>
              <w:t>SMNS; PKT</w:t>
            </w:r>
          </w:p>
        </w:tc>
      </w:tr>
      <w:tr w:rsidR="008A4207" w:rsidRPr="007114AF" w14:paraId="6EDCFF76" w14:textId="77777777" w:rsidTr="001C467C">
        <w:trPr>
          <w:trHeight w:val="20"/>
        </w:trPr>
        <w:tc>
          <w:tcPr>
            <w:tcW w:w="935" w:type="pct"/>
            <w:vMerge/>
            <w:noWrap/>
            <w:vAlign w:val="center"/>
            <w:hideMark/>
          </w:tcPr>
          <w:p w14:paraId="6EDCFF73" w14:textId="77777777" w:rsidR="008A4207" w:rsidRPr="007114AF" w:rsidRDefault="008A4207" w:rsidP="001C467C">
            <w:pPr>
              <w:spacing w:after="0"/>
              <w:rPr>
                <w:rFonts w:ascii="Garamond" w:hAnsi="Garamond"/>
                <w:color w:val="000000"/>
              </w:rPr>
            </w:pPr>
          </w:p>
        </w:tc>
        <w:tc>
          <w:tcPr>
            <w:tcW w:w="3248" w:type="pct"/>
            <w:gridSpan w:val="2"/>
            <w:vAlign w:val="center"/>
            <w:hideMark/>
          </w:tcPr>
          <w:p w14:paraId="6EDCFF74" w14:textId="00524D4C" w:rsidR="008A4207" w:rsidRPr="007114AF" w:rsidRDefault="008A4207" w:rsidP="001C467C">
            <w:pPr>
              <w:spacing w:after="0"/>
              <w:rPr>
                <w:rFonts w:ascii="Garamond" w:hAnsi="Garamond"/>
                <w:color w:val="000000"/>
              </w:rPr>
            </w:pPr>
            <w:r w:rsidRPr="007114AF">
              <w:rPr>
                <w:rFonts w:ascii="Garamond" w:hAnsi="Garamond"/>
                <w:color w:val="000000"/>
              </w:rPr>
              <w:t>Rritja e zon</w:t>
            </w:r>
            <w:r w:rsidRPr="007114AF">
              <w:rPr>
                <w:rFonts w:ascii="Garamond" w:hAnsi="Garamond" w:cs="Calibri"/>
                <w:color w:val="000000"/>
              </w:rPr>
              <w:t>ës pyjore nëpërmjet pyllëzimit dhe ripyllëzimit me ara pyjore dhe sipërfaqe pyjesh, në një zonë prej</w:t>
            </w:r>
            <w:r w:rsidR="000A2A01" w:rsidRPr="007114AF">
              <w:rPr>
                <w:rFonts w:ascii="Garamond" w:hAnsi="Garamond" w:cs="Calibri"/>
                <w:color w:val="000000"/>
              </w:rPr>
              <w:t xml:space="preserve"> </w:t>
            </w:r>
            <w:r w:rsidRPr="007114AF">
              <w:rPr>
                <w:rFonts w:ascii="Garamond" w:hAnsi="Garamond"/>
                <w:color w:val="000000"/>
              </w:rPr>
              <w:t>6.000 ha deri n</w:t>
            </w:r>
            <w:r w:rsidRPr="007114AF">
              <w:rPr>
                <w:rFonts w:ascii="Garamond" w:hAnsi="Garamond" w:cs="Calibri"/>
                <w:color w:val="000000"/>
              </w:rPr>
              <w:t>ë vitin</w:t>
            </w:r>
            <w:r w:rsidRPr="007114AF">
              <w:rPr>
                <w:rFonts w:ascii="Garamond" w:hAnsi="Garamond"/>
                <w:color w:val="000000"/>
              </w:rPr>
              <w:t xml:space="preserve"> 2017, dhe n</w:t>
            </w:r>
            <w:r w:rsidRPr="007114AF">
              <w:rPr>
                <w:rFonts w:ascii="Garamond" w:hAnsi="Garamond" w:cs="Calibri"/>
                <w:color w:val="000000"/>
              </w:rPr>
              <w:t xml:space="preserve">ë masën </w:t>
            </w:r>
            <w:r w:rsidRPr="007114AF">
              <w:rPr>
                <w:rFonts w:ascii="Garamond" w:hAnsi="Garamond"/>
                <w:color w:val="000000"/>
              </w:rPr>
              <w:t>15% t</w:t>
            </w:r>
            <w:r w:rsidRPr="007114AF">
              <w:rPr>
                <w:rFonts w:ascii="Garamond" w:hAnsi="Garamond" w:cs="Calibri"/>
                <w:color w:val="000000"/>
              </w:rPr>
              <w:t>ë sipërfaqes me bimësi pyjore dhe tokë ugare deri në vitin</w:t>
            </w:r>
            <w:r w:rsidRPr="007114AF">
              <w:rPr>
                <w:rFonts w:ascii="Garamond" w:hAnsi="Garamond"/>
                <w:color w:val="000000"/>
              </w:rPr>
              <w:t xml:space="preserve"> 2020</w:t>
            </w:r>
          </w:p>
        </w:tc>
        <w:tc>
          <w:tcPr>
            <w:tcW w:w="817" w:type="pct"/>
            <w:noWrap/>
            <w:vAlign w:val="center"/>
            <w:hideMark/>
          </w:tcPr>
          <w:p w14:paraId="6EDCFF75" w14:textId="77777777" w:rsidR="008A4207" w:rsidRPr="007114AF" w:rsidRDefault="008A4207" w:rsidP="001C467C">
            <w:pPr>
              <w:spacing w:after="0"/>
              <w:ind w:left="-109" w:firstLine="1"/>
              <w:rPr>
                <w:rFonts w:ascii="Garamond" w:hAnsi="Garamond"/>
                <w:color w:val="000000"/>
              </w:rPr>
            </w:pPr>
            <w:r w:rsidRPr="007114AF">
              <w:rPr>
                <w:rFonts w:ascii="Garamond" w:hAnsi="Garamond"/>
                <w:color w:val="000000"/>
              </w:rPr>
              <w:t>SMNS; SNBZHR</w:t>
            </w:r>
          </w:p>
        </w:tc>
      </w:tr>
    </w:tbl>
    <w:p w14:paraId="6EDCFF77" w14:textId="77777777" w:rsidR="00BC2BE4" w:rsidRPr="007114AF" w:rsidRDefault="00BC2BE4" w:rsidP="00524E98">
      <w:pPr>
        <w:pStyle w:val="TEKSTI"/>
      </w:pPr>
    </w:p>
    <w:p w14:paraId="6EDCFF78" w14:textId="77777777" w:rsidR="0025723E" w:rsidRPr="007114AF" w:rsidRDefault="0025723E" w:rsidP="00524E98">
      <w:pPr>
        <w:pStyle w:val="TEKSTI"/>
      </w:pPr>
    </w:p>
    <w:p w14:paraId="6EDCFF79" w14:textId="77777777" w:rsidR="008A4207" w:rsidRPr="007114AF" w:rsidRDefault="008A4207" w:rsidP="00524E98">
      <w:pPr>
        <w:pStyle w:val="TEKSTI"/>
      </w:pPr>
    </w:p>
    <w:p w14:paraId="6EDCFF7A" w14:textId="77777777" w:rsidR="008A4207" w:rsidRPr="007114AF" w:rsidRDefault="008A4207" w:rsidP="00524E98">
      <w:pPr>
        <w:pStyle w:val="TEKSTI"/>
      </w:pPr>
    </w:p>
    <w:p w14:paraId="6EDCFF7B" w14:textId="77777777" w:rsidR="008A4207" w:rsidRPr="007114AF" w:rsidRDefault="008A4207" w:rsidP="00524E98">
      <w:pPr>
        <w:pStyle w:val="TEKSTI"/>
      </w:pPr>
    </w:p>
    <w:p w14:paraId="6EDCFF7C" w14:textId="77777777" w:rsidR="008A4207" w:rsidRPr="007114AF" w:rsidRDefault="008A4207" w:rsidP="00524E98">
      <w:pPr>
        <w:pStyle w:val="TEKSTI"/>
      </w:pPr>
    </w:p>
    <w:p w14:paraId="6EDCFF7D" w14:textId="77777777" w:rsidR="00056A3A" w:rsidRPr="007114AF" w:rsidRDefault="00056A3A" w:rsidP="00524E98">
      <w:pPr>
        <w:pStyle w:val="TEKSTI"/>
        <w:sectPr w:rsidR="00056A3A" w:rsidRPr="007114AF" w:rsidSect="00721B1B">
          <w:pgSz w:w="16840" w:h="11907" w:orient="landscape" w:code="9"/>
          <w:pgMar w:top="1418" w:right="1418" w:bottom="1418" w:left="1418" w:header="1304" w:footer="1134" w:gutter="0"/>
          <w:cols w:space="720"/>
          <w:docGrid w:linePitch="360"/>
        </w:sectPr>
      </w:pPr>
    </w:p>
    <w:p w14:paraId="6EDCFF7E" w14:textId="77777777" w:rsidR="002C406F" w:rsidRPr="007114AF" w:rsidRDefault="00056A3A" w:rsidP="002C406F">
      <w:pPr>
        <w:pStyle w:val="TEKSTI"/>
        <w:rPr>
          <w:b/>
        </w:rPr>
      </w:pPr>
      <w:bookmarkStart w:id="138" w:name="_Toc484424505"/>
      <w:bookmarkStart w:id="139" w:name="_Toc483570107"/>
      <w:r w:rsidRPr="007114AF">
        <w:rPr>
          <w:b/>
        </w:rPr>
        <w:lastRenderedPageBreak/>
        <w:t xml:space="preserve">4.3 </w:t>
      </w:r>
      <w:r w:rsidR="002C406F" w:rsidRPr="007114AF">
        <w:rPr>
          <w:b/>
        </w:rPr>
        <w:t>Integrimi i përshtatjes në qasjet sektoriale</w:t>
      </w:r>
      <w:bookmarkEnd w:id="138"/>
      <w:bookmarkEnd w:id="139"/>
    </w:p>
    <w:p w14:paraId="6EDCFF7F" w14:textId="10C12915" w:rsidR="002C406F" w:rsidRPr="007114AF" w:rsidRDefault="002C406F" w:rsidP="002C406F">
      <w:pPr>
        <w:pStyle w:val="TEKSTI"/>
        <w:rPr>
          <w:bCs/>
          <w:iCs/>
        </w:rPr>
      </w:pPr>
      <w:r w:rsidRPr="007114AF">
        <w:rPr>
          <w:bCs/>
          <w:iCs/>
        </w:rPr>
        <w:t>Integrimi i përshtatjes ndaj ndryshimeve klimatike, në planet dhe politikat sektoriale përkatëse, është parimi kryesor për procesin e NAP-it në Shqipëri. Aktivitete integruese janë kryer tashmë për disa sektorë</w:t>
      </w:r>
      <w:r w:rsidR="0028717C">
        <w:rPr>
          <w:bCs/>
          <w:iCs/>
        </w:rPr>
        <w:t xml:space="preserve"> </w:t>
      </w:r>
      <w:r w:rsidRPr="007114AF">
        <w:rPr>
          <w:bCs/>
          <w:iCs/>
        </w:rPr>
        <w:t xml:space="preserve">dhe për Strategjinë Kombëtare për Zhvillim dhe Integrim. Procesi i anëtarësimit në BE mund të kuptohet si një nxitës i fuqishëm për përshtatjen ndaj ndryshimeve klimatike, duke mbajtur në konsideratë qasjen integruese të Strategjisë së BE-së për Përshtatjen, si dhe integrimin e detyrueshëm në kuadër të procesit të IPA-s. Integrimi duhet të organizohet si një proces afatgjatë, i cili do të trajtojë edhe përgatitjen e politikave dhe planeve të ardhshme. </w:t>
      </w:r>
    </w:p>
    <w:p w14:paraId="6EDCFF80" w14:textId="77777777" w:rsidR="002C406F" w:rsidRPr="007114AF" w:rsidRDefault="002C406F" w:rsidP="002C406F">
      <w:pPr>
        <w:pStyle w:val="TEKSTI"/>
        <w:rPr>
          <w:b/>
        </w:rPr>
      </w:pPr>
      <w:r w:rsidRPr="007114AF">
        <w:rPr>
          <w:b/>
        </w:rPr>
        <w:t>Rast praktik: Integrimi i përshtatjes ndaj ndryshimeve klimatike në planin e integruar ndërsektorial për bregdetin</w:t>
      </w:r>
    </w:p>
    <w:p w14:paraId="6EDCFF81" w14:textId="77777777" w:rsidR="002C406F" w:rsidRPr="007114AF" w:rsidRDefault="002C406F" w:rsidP="002C406F">
      <w:pPr>
        <w:pStyle w:val="TEKSTI"/>
        <w:rPr>
          <w:bCs/>
          <w:iCs/>
        </w:rPr>
      </w:pPr>
      <w:r w:rsidRPr="007114AF">
        <w:rPr>
          <w:bCs/>
          <w:iCs/>
        </w:rPr>
        <w:t>Ministria përgjegjëse për Zhvillimin Urban lançoi një draftplan të integruar ndërsektorial për bregdetin, në vitin 2015. Gjatë hartimit të planit është kryer një vlerësim strategjik mjedisor, në të cilin janë pasqyruar edhe politikat për zbutjen e ndryshimeve klimatike dhe përshtatja ndaj tij. Doli se qe me rëndësi të merreshin në konsideratë efektet e mundshme të ndryshimeve klimatike në qytetet bregdetare, në infrastrukturë dhe në peizazhin natyror. Rekomandohet që bashkitë të mendojnë marrjen e masave të përshtatjes, të tilla si:</w:t>
      </w:r>
    </w:p>
    <w:p w14:paraId="6EDCFF82" w14:textId="77777777" w:rsidR="002C406F" w:rsidRPr="007114AF" w:rsidRDefault="00CF2A42" w:rsidP="002C406F">
      <w:pPr>
        <w:pStyle w:val="TEKSTI"/>
        <w:rPr>
          <w:bCs/>
          <w:iCs/>
        </w:rPr>
      </w:pPr>
      <w:r w:rsidRPr="007114AF">
        <w:rPr>
          <w:bCs/>
          <w:iCs/>
        </w:rPr>
        <w:t xml:space="preserve">- </w:t>
      </w:r>
      <w:r w:rsidR="002C406F" w:rsidRPr="007114AF">
        <w:rPr>
          <w:bCs/>
          <w:iCs/>
        </w:rPr>
        <w:t>Pyllëzimi / mbjellja e pemëve në zonat më vulnerabël;</w:t>
      </w:r>
    </w:p>
    <w:p w14:paraId="6EDCFF83" w14:textId="77777777" w:rsidR="002C406F" w:rsidRPr="007114AF" w:rsidRDefault="00CF2A42" w:rsidP="002C406F">
      <w:pPr>
        <w:pStyle w:val="TEKSTI"/>
        <w:rPr>
          <w:bCs/>
          <w:iCs/>
        </w:rPr>
      </w:pPr>
      <w:r w:rsidRPr="007114AF">
        <w:rPr>
          <w:bCs/>
          <w:iCs/>
        </w:rPr>
        <w:t xml:space="preserve">- </w:t>
      </w:r>
      <w:r w:rsidR="002C406F" w:rsidRPr="007114AF">
        <w:rPr>
          <w:bCs/>
          <w:iCs/>
        </w:rPr>
        <w:t>Ndërtimi i digave për parandalimin e përmbytjeve;</w:t>
      </w:r>
    </w:p>
    <w:p w14:paraId="6EDCFF84" w14:textId="5D51C346" w:rsidR="002C406F" w:rsidRPr="007114AF" w:rsidRDefault="00CF2A42" w:rsidP="002C406F">
      <w:pPr>
        <w:pStyle w:val="TEKSTI"/>
        <w:rPr>
          <w:bCs/>
          <w:iCs/>
        </w:rPr>
      </w:pPr>
      <w:r w:rsidRPr="007114AF">
        <w:rPr>
          <w:bCs/>
          <w:iCs/>
        </w:rPr>
        <w:t xml:space="preserve">- </w:t>
      </w:r>
      <w:r w:rsidR="002C406F" w:rsidRPr="007114AF">
        <w:rPr>
          <w:bCs/>
          <w:iCs/>
        </w:rPr>
        <w:t>Kufizimi i shtrirjes urbane etj</w:t>
      </w:r>
      <w:r w:rsidR="0028717C">
        <w:rPr>
          <w:bCs/>
          <w:iCs/>
        </w:rPr>
        <w:t>.</w:t>
      </w:r>
      <w:r w:rsidR="002C406F" w:rsidRPr="007114AF">
        <w:rPr>
          <w:bCs/>
          <w:iCs/>
        </w:rPr>
        <w:t>;</w:t>
      </w:r>
    </w:p>
    <w:p w14:paraId="6EDCFF85" w14:textId="77777777" w:rsidR="002C406F" w:rsidRPr="007114AF" w:rsidRDefault="002C406F" w:rsidP="002C406F">
      <w:pPr>
        <w:pStyle w:val="TEKSTI"/>
        <w:rPr>
          <w:bCs/>
          <w:iCs/>
        </w:rPr>
      </w:pPr>
      <w:r w:rsidRPr="007114AF">
        <w:rPr>
          <w:bCs/>
          <w:iCs/>
        </w:rPr>
        <w:t>Masat e përshtatjes përshkruhen në shtojcën e planit.</w:t>
      </w:r>
    </w:p>
    <w:p w14:paraId="6EDCFF86" w14:textId="77777777" w:rsidR="002C406F" w:rsidRPr="007114AF" w:rsidRDefault="00CF2A42" w:rsidP="002C406F">
      <w:pPr>
        <w:pStyle w:val="TEKSTI"/>
        <w:rPr>
          <w:b/>
        </w:rPr>
      </w:pPr>
      <w:bookmarkStart w:id="140" w:name="_Toc484424506"/>
      <w:bookmarkStart w:id="141" w:name="_Toc483570108"/>
      <w:r w:rsidRPr="007114AF">
        <w:rPr>
          <w:b/>
        </w:rPr>
        <w:t xml:space="preserve">4.3.1 </w:t>
      </w:r>
      <w:r w:rsidR="002C406F" w:rsidRPr="007114AF">
        <w:rPr>
          <w:b/>
        </w:rPr>
        <w:t>Qasja për integrim</w:t>
      </w:r>
      <w:bookmarkEnd w:id="140"/>
      <w:bookmarkEnd w:id="141"/>
    </w:p>
    <w:p w14:paraId="6EDCFF87" w14:textId="77777777" w:rsidR="002C406F" w:rsidRPr="007114AF" w:rsidRDefault="002C406F" w:rsidP="002C406F">
      <w:pPr>
        <w:pStyle w:val="TEKSTI"/>
        <w:rPr>
          <w:bCs/>
          <w:iCs/>
        </w:rPr>
      </w:pPr>
      <w:r w:rsidRPr="007114AF">
        <w:rPr>
          <w:bCs/>
          <w:iCs/>
        </w:rPr>
        <w:t>Si një sfidë e përgjithshme për zhvillimin, përshtatja ndaj ndryshimeve klimatike lipset të integrohet në proceset e qeverisjes qendrore, rajonale dhe vendore, përfshirë formulimin e politikave, planifikimin, shpërndarjen e burimeve, zbatimin dhe monitorimin. Integrimi i përshtatjes ka rëndësi, si për politikat e gjithanshme për zhvillimin ( p.sh. SKZHI), ashtu edhe për politikat sektoriale.</w:t>
      </w:r>
    </w:p>
    <w:p w14:paraId="6EDCFF88" w14:textId="77777777" w:rsidR="002C406F" w:rsidRPr="007114AF" w:rsidRDefault="002C406F" w:rsidP="002C406F">
      <w:pPr>
        <w:pStyle w:val="TEKSTI"/>
        <w:rPr>
          <w:b/>
          <w:bCs/>
        </w:rPr>
      </w:pPr>
      <w:bookmarkStart w:id="142" w:name="_Toc470186703"/>
      <w:r w:rsidRPr="007114AF">
        <w:rPr>
          <w:b/>
          <w:bCs/>
        </w:rPr>
        <w:t>Integrimi në kuadër të politikës së BE-së</w:t>
      </w:r>
      <w:bookmarkEnd w:id="142"/>
    </w:p>
    <w:p w14:paraId="6EDCFF89" w14:textId="5D1DA81E" w:rsidR="002C406F" w:rsidRPr="007114AF" w:rsidRDefault="002C406F" w:rsidP="002C406F">
      <w:pPr>
        <w:pStyle w:val="TEKSTI"/>
        <w:rPr>
          <w:lang w:eastAsia="en-US"/>
        </w:rPr>
      </w:pPr>
      <w:r w:rsidRPr="007114AF">
        <w:rPr>
          <w:lang w:eastAsia="en-US"/>
        </w:rPr>
        <w:t>Shqipëria është vend kandidat për anëtarësim në Bashkimin Evropian dhe, si i tillë, ka filluar ta harmonizojë legjislacionin dhe kuadrin e politikave me kërkesat e BE-së, në bazë të Marrëveshjes së Stabilizim-Asocimit. Sikurse shpjegohet në kapitullin 4, Strategjia e BE-së për Përshtatjen ndaj Ndryshimeve Klimatike do të bëhet e rëndësishme edhe për Shqipërinë. Kjo strategji përcakton në objektivin</w:t>
      </w:r>
      <w:r w:rsidR="00242009" w:rsidRPr="007114AF">
        <w:rPr>
          <w:lang w:eastAsia="en-US"/>
        </w:rPr>
        <w:t xml:space="preserve"> nr. </w:t>
      </w:r>
      <w:r w:rsidRPr="007114AF">
        <w:rPr>
          <w:lang w:eastAsia="en-US"/>
        </w:rPr>
        <w:t>3 të saj, se përshtatja duhet integruar në sektorët më kryesorë</w:t>
      </w:r>
      <w:r w:rsidR="000A2A01" w:rsidRPr="007114AF">
        <w:rPr>
          <w:lang w:eastAsia="en-US"/>
        </w:rPr>
        <w:t xml:space="preserve"> </w:t>
      </w:r>
      <w:r w:rsidRPr="007114AF">
        <w:rPr>
          <w:lang w:eastAsia="en-US"/>
        </w:rPr>
        <w:t>e</w:t>
      </w:r>
      <w:r w:rsidR="0028717C">
        <w:rPr>
          <w:lang w:eastAsia="en-US"/>
        </w:rPr>
        <w:t xml:space="preserve"> </w:t>
      </w:r>
      <w:r w:rsidRPr="007114AF">
        <w:rPr>
          <w:lang w:eastAsia="en-US"/>
        </w:rPr>
        <w:t xml:space="preserve">më vulnerabël, nëpërmjet politikave të bujqësisë, peshkimit dhe kohezionit. Po kështu, edhe Instrumenti për Asistencën Para-aderimit (IPA II) </w:t>
      </w:r>
      <w:r w:rsidR="00C6608F" w:rsidRPr="007114AF">
        <w:rPr>
          <w:lang w:eastAsia="en-US"/>
        </w:rPr>
        <w:t>2014–2020</w:t>
      </w:r>
      <w:r w:rsidR="0028717C">
        <w:rPr>
          <w:lang w:eastAsia="en-US"/>
        </w:rPr>
        <w:t xml:space="preserve"> </w:t>
      </w:r>
      <w:r w:rsidRPr="007114AF">
        <w:rPr>
          <w:lang w:eastAsia="en-US"/>
        </w:rPr>
        <w:t xml:space="preserve">ndjek një qasje ndërsektoriale për integrimin e përshtatjes ndaj ndryshimeve klimatike në shumicën e sektorëve, sidomos transportin, energjetikën, bujqësinë, zhvillimin rural dhe menaxhimin e fatkeqësive. Një instrument i fuqishëm për integrimin është qasja për të ndjekur shpenzimet e lidhura me klimën në të gjithë gamën e ndërhyrjeve të IPA II në Shqipëri, në përputhje me treguesit statistikorë të OECD-DAC-it për zbutjen e ndryshimeve klimatike dhe përshtatjen ndaj tyre. </w:t>
      </w:r>
    </w:p>
    <w:p w14:paraId="6EDCFF8A" w14:textId="5E8ED08B" w:rsidR="002C406F" w:rsidRPr="007114AF" w:rsidRDefault="00CF2A42" w:rsidP="002C406F">
      <w:pPr>
        <w:pStyle w:val="TEKSTI"/>
        <w:rPr>
          <w:b/>
        </w:rPr>
      </w:pPr>
      <w:bookmarkStart w:id="143" w:name="_Toc483570109"/>
      <w:bookmarkStart w:id="144" w:name="_Toc484424507"/>
      <w:r w:rsidRPr="007114AF">
        <w:rPr>
          <w:b/>
        </w:rPr>
        <w:t xml:space="preserve">4.3.2 </w:t>
      </w:r>
      <w:r w:rsidR="002C406F" w:rsidRPr="007114AF">
        <w:rPr>
          <w:b/>
        </w:rPr>
        <w:t>Integrimi për SKZHI 2014–2020</w:t>
      </w:r>
      <w:bookmarkEnd w:id="143"/>
      <w:bookmarkEnd w:id="144"/>
    </w:p>
    <w:p w14:paraId="6EDCFF8B" w14:textId="67A0E470" w:rsidR="002C406F" w:rsidRPr="007114AF" w:rsidRDefault="002C406F" w:rsidP="002C406F">
      <w:pPr>
        <w:pStyle w:val="TEKSTI"/>
      </w:pPr>
      <w:r w:rsidRPr="007114AF">
        <w:rPr>
          <w:bCs/>
          <w:iCs/>
        </w:rPr>
        <w:t xml:space="preserve">Përdorimi i thjerrës klimatike është një koncept që përshkruhet në Udhëzimin e OECD-ës </w:t>
      </w:r>
      <w:r w:rsidR="000A2A01" w:rsidRPr="007114AF">
        <w:rPr>
          <w:bCs/>
          <w:iCs/>
        </w:rPr>
        <w:t>“</w:t>
      </w:r>
      <w:r w:rsidRPr="007114AF">
        <w:rPr>
          <w:bCs/>
          <w:iCs/>
        </w:rPr>
        <w:t>Integrimi i përshtatjes ndaj ndryshimeve klimatike në bashkëpunimin për zhvillim</w:t>
      </w:r>
      <w:r w:rsidR="000A2A01" w:rsidRPr="007114AF">
        <w:rPr>
          <w:bCs/>
          <w:iCs/>
        </w:rPr>
        <w:t>”</w:t>
      </w:r>
      <w:bookmarkStart w:id="145" w:name="_Ref453841387"/>
      <w:r w:rsidRPr="007114AF">
        <w:rPr>
          <w:bCs/>
          <w:iCs/>
        </w:rPr>
        <w:footnoteReference w:id="52"/>
      </w:r>
      <w:bookmarkEnd w:id="145"/>
      <w:r w:rsidRPr="007114AF">
        <w:rPr>
          <w:bCs/>
          <w:iCs/>
        </w:rPr>
        <w:t>. Thjerra klimatike analizon korrelacionet e mundshme midis politikave sektoriale dhe përshtatjes ndaj ndryshimeve klimatike, me fokusin te dhënia e një informacioni dhe orientimi të përgjithshëm, çka dallon nga vlerësimet e thella klimatike.</w:t>
      </w:r>
    </w:p>
    <w:p w14:paraId="6EDCFF8C" w14:textId="5708B650" w:rsidR="002C406F" w:rsidRPr="007114AF" w:rsidRDefault="002C406F" w:rsidP="002C406F">
      <w:pPr>
        <w:pStyle w:val="TEKSTI"/>
        <w:rPr>
          <w:bCs/>
          <w:iCs/>
        </w:rPr>
      </w:pPr>
      <w:r w:rsidRPr="007114AF">
        <w:rPr>
          <w:bCs/>
          <w:iCs/>
        </w:rPr>
        <w:t>Thjerra klimatike është përdorur në qershor 2015 për Projektstrategjinë Kombëtare për Zhvillim dhe Integrim (SKZHI) 2014-2015, duke q</w:t>
      </w:r>
      <w:r w:rsidR="0028717C">
        <w:rPr>
          <w:bCs/>
          <w:iCs/>
        </w:rPr>
        <w:t>e</w:t>
      </w:r>
      <w:r w:rsidRPr="007114AF">
        <w:rPr>
          <w:bCs/>
          <w:iCs/>
        </w:rPr>
        <w:t>në se ekzistonte në atë kohë. Ky proces ndoqi një qasje me 3 hapa si më poshtë</w:t>
      </w:r>
      <w:r w:rsidR="00191838" w:rsidRPr="007114AF">
        <w:t>:</w:t>
      </w:r>
      <w:r w:rsidRPr="007114AF">
        <w:t xml:space="preserve"> </w:t>
      </w:r>
    </w:p>
    <w:p w14:paraId="6EDCFF8D" w14:textId="77777777" w:rsidR="002C406F" w:rsidRPr="007114AF" w:rsidRDefault="002C406F" w:rsidP="002C406F">
      <w:pPr>
        <w:pStyle w:val="TEKSTI"/>
      </w:pPr>
      <w:r w:rsidRPr="007114AF">
        <w:rPr>
          <w:b/>
        </w:rPr>
        <w:lastRenderedPageBreak/>
        <w:t>Hapi 1: Përcaktimi i fushëveprimit:</w:t>
      </w:r>
      <w:r w:rsidRPr="007114AF">
        <w:t xml:space="preserve"> SKZHI-ja mbulon një numër të madh sektorësh të ndryshëm, me objektiva dhe masa të ndryshme. Sigurisht, jo të gjithë këta sektorë kanë lidhje për integrimin e përshtatjes ndaj ndryshimeve klimatike. Prandaj, hapi i përcaktimit të fushëveprimit siguroi që përpjekjet (e kufizuara) e integrimit të fokusoheshin tek ato pjesë të SKZHI-së që kishin më shumë lidhje me këtë proces.</w:t>
      </w:r>
    </w:p>
    <w:p w14:paraId="6EDCFF8E" w14:textId="77777777" w:rsidR="002C406F" w:rsidRPr="007114AF" w:rsidRDefault="002C406F" w:rsidP="002C406F">
      <w:pPr>
        <w:pStyle w:val="TEKSTI"/>
      </w:pPr>
      <w:r w:rsidRPr="007114AF">
        <w:rPr>
          <w:b/>
        </w:rPr>
        <w:t>Hapi 2: Vlerësimi sipas objektivave.</w:t>
      </w:r>
      <w:r w:rsidRPr="007114AF">
        <w:t xml:space="preserve"> Objektivat e identifikuar në hapin 1, si objektiva që lidheshin me integrimin e mëtejshëm, u vlerësuan më me hollësi, sipas një skeme me matricë.</w:t>
      </w:r>
    </w:p>
    <w:p w14:paraId="6EDCFF8F" w14:textId="04470B75" w:rsidR="002C406F" w:rsidRPr="007114AF" w:rsidRDefault="002C406F" w:rsidP="002C406F">
      <w:pPr>
        <w:pStyle w:val="TEKSTI"/>
      </w:pPr>
      <w:r w:rsidRPr="007114AF">
        <w:rPr>
          <w:b/>
        </w:rPr>
        <w:t>Hapi 3: Përfundime dhe rekomandime</w:t>
      </w:r>
      <w:r w:rsidRPr="007114AF">
        <w:t>. Rezultatet e vlerësimit me matricë u</w:t>
      </w:r>
      <w:r w:rsidR="0028717C">
        <w:t xml:space="preserve"> </w:t>
      </w:r>
      <w:r w:rsidRPr="007114AF">
        <w:t>përmblodhën në konstatime dhe rekomandime kryesore, për të cilat duhej vepruar më tej.</w:t>
      </w:r>
    </w:p>
    <w:p w14:paraId="6EDCFF90" w14:textId="77777777" w:rsidR="002C406F" w:rsidRPr="007114AF" w:rsidRDefault="002C406F" w:rsidP="002C406F">
      <w:pPr>
        <w:pStyle w:val="TEKSTI"/>
        <w:rPr>
          <w:bCs/>
          <w:iCs/>
        </w:rPr>
      </w:pPr>
      <w:r w:rsidRPr="007114AF">
        <w:rPr>
          <w:bCs/>
          <w:iCs/>
        </w:rPr>
        <w:t>Vlerësimi sipas objektivave, në hapin 2, nxori përfundime sipas kategorive të mëposhtme (të paraqitura me kode me ngjyra):</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386"/>
        <w:gridCol w:w="1134"/>
      </w:tblGrid>
      <w:tr w:rsidR="002C406F" w:rsidRPr="007114AF" w14:paraId="6EDCFF93" w14:textId="77777777" w:rsidTr="002C406F">
        <w:trPr>
          <w:jc w:val="center"/>
        </w:trPr>
        <w:tc>
          <w:tcPr>
            <w:tcW w:w="5386" w:type="dxa"/>
            <w:shd w:val="clear" w:color="auto" w:fill="auto"/>
          </w:tcPr>
          <w:p w14:paraId="6EDCFF91" w14:textId="77777777" w:rsidR="002C406F" w:rsidRPr="007114AF" w:rsidRDefault="002C406F" w:rsidP="001C467C">
            <w:pPr>
              <w:spacing w:after="200"/>
              <w:rPr>
                <w:rFonts w:ascii="Garamond" w:hAnsi="Garamond"/>
                <w:b/>
                <w:bCs/>
                <w:iCs/>
              </w:rPr>
            </w:pPr>
            <w:r w:rsidRPr="007114AF">
              <w:rPr>
                <w:rFonts w:ascii="Garamond" w:hAnsi="Garamond"/>
                <w:b/>
                <w:bCs/>
                <w:iCs/>
              </w:rPr>
              <w:t>Rekomandohen korrigjime të objektivave</w:t>
            </w:r>
          </w:p>
        </w:tc>
        <w:tc>
          <w:tcPr>
            <w:tcW w:w="1134" w:type="dxa"/>
            <w:shd w:val="clear" w:color="auto" w:fill="FF0000"/>
          </w:tcPr>
          <w:p w14:paraId="6EDCFF92" w14:textId="77777777" w:rsidR="002C406F" w:rsidRPr="007114AF" w:rsidRDefault="002C406F" w:rsidP="001C467C">
            <w:pPr>
              <w:spacing w:after="200"/>
              <w:rPr>
                <w:rFonts w:ascii="Garamond" w:hAnsi="Garamond"/>
                <w:b/>
                <w:bCs/>
                <w:iCs/>
              </w:rPr>
            </w:pPr>
          </w:p>
        </w:tc>
      </w:tr>
      <w:tr w:rsidR="002C406F" w:rsidRPr="007114AF" w14:paraId="6EDCFF96" w14:textId="77777777" w:rsidTr="002C406F">
        <w:trPr>
          <w:jc w:val="center"/>
        </w:trPr>
        <w:tc>
          <w:tcPr>
            <w:tcW w:w="5386" w:type="dxa"/>
            <w:shd w:val="clear" w:color="auto" w:fill="auto"/>
          </w:tcPr>
          <w:p w14:paraId="6EDCFF94" w14:textId="77777777" w:rsidR="002C406F" w:rsidRPr="007114AF" w:rsidRDefault="002C406F" w:rsidP="001C467C">
            <w:pPr>
              <w:spacing w:after="200"/>
              <w:rPr>
                <w:rFonts w:ascii="Garamond" w:hAnsi="Garamond"/>
                <w:b/>
                <w:bCs/>
                <w:iCs/>
              </w:rPr>
            </w:pPr>
            <w:r w:rsidRPr="007114AF">
              <w:rPr>
                <w:rFonts w:ascii="Garamond" w:hAnsi="Garamond"/>
                <w:b/>
                <w:bCs/>
                <w:iCs/>
              </w:rPr>
              <w:t>Nevojitet integrim i mëtejshëm në strategjitë sektoriale</w:t>
            </w:r>
          </w:p>
        </w:tc>
        <w:tc>
          <w:tcPr>
            <w:tcW w:w="1134" w:type="dxa"/>
            <w:shd w:val="clear" w:color="auto" w:fill="FFC000"/>
          </w:tcPr>
          <w:p w14:paraId="6EDCFF95" w14:textId="77777777" w:rsidR="002C406F" w:rsidRPr="007114AF" w:rsidRDefault="002C406F" w:rsidP="001C467C">
            <w:pPr>
              <w:spacing w:after="200"/>
              <w:rPr>
                <w:rFonts w:ascii="Garamond" w:hAnsi="Garamond"/>
                <w:b/>
                <w:bCs/>
                <w:iCs/>
              </w:rPr>
            </w:pPr>
          </w:p>
        </w:tc>
      </w:tr>
      <w:tr w:rsidR="002C406F" w:rsidRPr="007114AF" w14:paraId="6EDCFF99" w14:textId="77777777" w:rsidTr="002C406F">
        <w:trPr>
          <w:jc w:val="center"/>
        </w:trPr>
        <w:tc>
          <w:tcPr>
            <w:tcW w:w="5386" w:type="dxa"/>
            <w:shd w:val="clear" w:color="auto" w:fill="auto"/>
          </w:tcPr>
          <w:p w14:paraId="6EDCFF97" w14:textId="77777777" w:rsidR="002C406F" w:rsidRPr="007114AF" w:rsidRDefault="002C406F" w:rsidP="001C467C">
            <w:pPr>
              <w:spacing w:after="200"/>
              <w:rPr>
                <w:rFonts w:ascii="Garamond" w:hAnsi="Garamond"/>
                <w:b/>
                <w:bCs/>
                <w:iCs/>
              </w:rPr>
            </w:pPr>
            <w:r w:rsidRPr="007114AF">
              <w:rPr>
                <w:rFonts w:ascii="Garamond" w:hAnsi="Garamond"/>
                <w:b/>
                <w:bCs/>
                <w:iCs/>
              </w:rPr>
              <w:t>Përcaktohen kushte për procesin e mëtejshëm të zbatimit</w:t>
            </w:r>
          </w:p>
        </w:tc>
        <w:tc>
          <w:tcPr>
            <w:tcW w:w="1134" w:type="dxa"/>
            <w:shd w:val="clear" w:color="auto" w:fill="FFFF00"/>
          </w:tcPr>
          <w:p w14:paraId="6EDCFF98" w14:textId="77777777" w:rsidR="002C406F" w:rsidRPr="007114AF" w:rsidRDefault="002C406F" w:rsidP="001C467C">
            <w:pPr>
              <w:spacing w:after="200"/>
              <w:rPr>
                <w:rFonts w:ascii="Garamond" w:hAnsi="Garamond"/>
                <w:b/>
                <w:bCs/>
                <w:iCs/>
              </w:rPr>
            </w:pPr>
          </w:p>
        </w:tc>
      </w:tr>
      <w:tr w:rsidR="002C406F" w:rsidRPr="007114AF" w14:paraId="6EDCFF9C" w14:textId="77777777" w:rsidTr="00C056F9">
        <w:trPr>
          <w:trHeight w:val="610"/>
          <w:jc w:val="center"/>
        </w:trPr>
        <w:tc>
          <w:tcPr>
            <w:tcW w:w="5386" w:type="dxa"/>
            <w:shd w:val="clear" w:color="auto" w:fill="auto"/>
          </w:tcPr>
          <w:p w14:paraId="6EDCFF9A" w14:textId="77777777" w:rsidR="002C406F" w:rsidRPr="007114AF" w:rsidRDefault="002C406F" w:rsidP="001C467C">
            <w:pPr>
              <w:spacing w:after="200"/>
              <w:rPr>
                <w:rFonts w:ascii="Garamond" w:hAnsi="Garamond"/>
                <w:b/>
                <w:bCs/>
                <w:iCs/>
              </w:rPr>
            </w:pPr>
            <w:r w:rsidRPr="007114AF">
              <w:rPr>
                <w:rFonts w:ascii="Garamond" w:hAnsi="Garamond"/>
                <w:b/>
                <w:bCs/>
                <w:iCs/>
              </w:rPr>
              <w:t>Rekomandohet pasqyrim në diskutimin e mëtejshëm të politikave</w:t>
            </w:r>
          </w:p>
        </w:tc>
        <w:tc>
          <w:tcPr>
            <w:tcW w:w="1134" w:type="dxa"/>
            <w:shd w:val="clear" w:color="auto" w:fill="9CC2E5"/>
          </w:tcPr>
          <w:p w14:paraId="6EDCFF9B" w14:textId="77777777" w:rsidR="002C406F" w:rsidRPr="007114AF" w:rsidRDefault="002C406F" w:rsidP="001C467C">
            <w:pPr>
              <w:spacing w:after="200"/>
              <w:rPr>
                <w:rFonts w:ascii="Garamond" w:hAnsi="Garamond"/>
                <w:b/>
                <w:bCs/>
                <w:iCs/>
              </w:rPr>
            </w:pPr>
          </w:p>
        </w:tc>
      </w:tr>
    </w:tbl>
    <w:p w14:paraId="6EDCFF9D" w14:textId="77777777" w:rsidR="002C406F" w:rsidRPr="007114AF" w:rsidRDefault="002C406F" w:rsidP="002C406F">
      <w:pPr>
        <w:pStyle w:val="TEKSTI"/>
      </w:pPr>
    </w:p>
    <w:p w14:paraId="6EDCFF9E" w14:textId="77777777" w:rsidR="002C406F" w:rsidRPr="007114AF" w:rsidRDefault="002C406F" w:rsidP="002C406F">
      <w:pPr>
        <w:pStyle w:val="TEKSTI"/>
      </w:pPr>
      <w:r w:rsidRPr="007114AF">
        <w:t>Përfundimet dhe rekomandimet konkrete që dolën nga përdorimi i thjerrës klimatike mund të përmblidhen në pikat më kryesore, si vijon:</w:t>
      </w:r>
    </w:p>
    <w:p w14:paraId="6EDCFF9F" w14:textId="77777777" w:rsidR="002C406F" w:rsidRPr="007114AF" w:rsidRDefault="002C406F" w:rsidP="002C406F">
      <w:pPr>
        <w:pStyle w:val="TEKSTI"/>
        <w:rPr>
          <w:u w:val="single"/>
        </w:rPr>
      </w:pPr>
      <w:r w:rsidRPr="007114AF">
        <w:rPr>
          <w:u w:val="single"/>
        </w:rPr>
        <w:t>Korrigjimi i objektivave (kodi me ngjyrë të kuqe)</w:t>
      </w:r>
    </w:p>
    <w:p w14:paraId="6EDCFFA0" w14:textId="77777777" w:rsidR="002C406F" w:rsidRPr="007114AF" w:rsidRDefault="002C406F" w:rsidP="002C406F">
      <w:pPr>
        <w:pStyle w:val="TEKSTI"/>
      </w:pPr>
      <w:r w:rsidRPr="007114AF">
        <w:t>Korrigjimi i objektivave është rekomanduar vetëm në raste të jashtëzakonshme. Disa shembuj të korrigjimeve të rekomanduara:</w:t>
      </w:r>
    </w:p>
    <w:p w14:paraId="6EDCFFA1" w14:textId="77777777" w:rsidR="002C406F" w:rsidRPr="007114AF" w:rsidRDefault="002C406F" w:rsidP="002C406F">
      <w:pPr>
        <w:pStyle w:val="TEKSTI"/>
      </w:pPr>
      <w:r w:rsidRPr="007114AF">
        <w:t>Treguesit e zhvillimit për turizmin: Ndryshimet klimatike mund të kërkojnë korrigjime në strukturat e turizmit. Rekomandohet që kjo të përmendet, të paktën, me fjalë (në mos me shifra të detajuara).</w:t>
      </w:r>
    </w:p>
    <w:p w14:paraId="6EDCFFA2" w14:textId="77777777" w:rsidR="002C406F" w:rsidRPr="007114AF" w:rsidRDefault="002C406F" w:rsidP="002C406F">
      <w:pPr>
        <w:pStyle w:val="TEKSTI"/>
      </w:pPr>
      <w:r w:rsidRPr="007114AF">
        <w:t>Sigurimi i statusit në ruajtje për 5% të specieve dhe habitateve të rrezikuara përmes një objektivi është i mirëformuluar, por kjo mund të ndikohet nga ndryshimet klimatike. Ndaj, mund të jetë nevoja për vendosjen e njëfarë diferencimi.</w:t>
      </w:r>
    </w:p>
    <w:p w14:paraId="6EDCFFA3" w14:textId="77777777" w:rsidR="002C406F" w:rsidRPr="007114AF" w:rsidRDefault="002C406F" w:rsidP="002C406F">
      <w:pPr>
        <w:pStyle w:val="TEKSTI"/>
        <w:rPr>
          <w:u w:val="single"/>
        </w:rPr>
      </w:pPr>
      <w:r w:rsidRPr="007114AF">
        <w:rPr>
          <w:u w:val="single"/>
        </w:rPr>
        <w:t>Integrimi i mëtejshëm në strategjitë dhe planet sektoriale (kodi me ngjyrë portokalli)</w:t>
      </w:r>
    </w:p>
    <w:p w14:paraId="6EDCFFA4" w14:textId="77777777" w:rsidR="002C406F" w:rsidRPr="007114AF" w:rsidRDefault="002C406F" w:rsidP="002C406F">
      <w:pPr>
        <w:pStyle w:val="TEKSTI"/>
      </w:pPr>
      <w:r w:rsidRPr="007114AF">
        <w:t>Në shumë raste, SKZHI përmend strategjitë dhe planet sektoriale, që po hartohen ose ekzistojnë. Rekomandohet integrimi i ndryshimeve klimatike në këto strategji dhe plane. Disa shembuj për të cilët është identifikuar gjatë përdorimit të thjerrës klimatike nevoja për integrim të ndryshimeve klimatike janë:</w:t>
      </w:r>
    </w:p>
    <w:p w14:paraId="6EDCFFA5" w14:textId="348F4CAA" w:rsidR="002C406F" w:rsidRPr="007114AF" w:rsidRDefault="00CF2A42" w:rsidP="002C406F">
      <w:pPr>
        <w:pStyle w:val="TEKSTI"/>
      </w:pPr>
      <w:r w:rsidRPr="007114AF">
        <w:t xml:space="preserve">- </w:t>
      </w:r>
      <w:r w:rsidR="002C406F" w:rsidRPr="007114AF">
        <w:t>Strategjia Kombëtare e Energjisë</w:t>
      </w:r>
      <w:r w:rsidR="0028717C">
        <w:t>;</w:t>
      </w:r>
    </w:p>
    <w:p w14:paraId="6EDCFFA6" w14:textId="787CE255" w:rsidR="002C406F" w:rsidRPr="007114AF" w:rsidRDefault="00CF2A42" w:rsidP="002C406F">
      <w:pPr>
        <w:pStyle w:val="TEKSTI"/>
      </w:pPr>
      <w:r w:rsidRPr="007114AF">
        <w:t xml:space="preserve">- </w:t>
      </w:r>
      <w:r w:rsidR="002C406F" w:rsidRPr="007114AF">
        <w:t>Strategjia Kombëtare për Burimet Ujore</w:t>
      </w:r>
      <w:r w:rsidR="0028717C">
        <w:t>;</w:t>
      </w:r>
    </w:p>
    <w:p w14:paraId="6EDCFFA7" w14:textId="6A03C924" w:rsidR="002C406F" w:rsidRPr="007114AF" w:rsidRDefault="00CF2A42" w:rsidP="002C406F">
      <w:pPr>
        <w:pStyle w:val="TEKSTI"/>
      </w:pPr>
      <w:r w:rsidRPr="007114AF">
        <w:t xml:space="preserve">- </w:t>
      </w:r>
      <w:r w:rsidR="002C406F" w:rsidRPr="007114AF">
        <w:t>Plani i Menaxhimit të Burimeve Ujore</w:t>
      </w:r>
      <w:r w:rsidR="0028717C">
        <w:t>;</w:t>
      </w:r>
    </w:p>
    <w:p w14:paraId="6EDCFFA8" w14:textId="2E486A6F" w:rsidR="002C406F" w:rsidRPr="007114AF" w:rsidRDefault="00CF2A42" w:rsidP="002C406F">
      <w:pPr>
        <w:pStyle w:val="TEKSTI"/>
      </w:pPr>
      <w:r w:rsidRPr="007114AF">
        <w:t xml:space="preserve">- </w:t>
      </w:r>
      <w:r w:rsidR="002C406F" w:rsidRPr="007114AF">
        <w:t>Plani Kombëtar për Zhvillimin e Turizmit</w:t>
      </w:r>
      <w:r w:rsidR="0028717C">
        <w:t>;</w:t>
      </w:r>
    </w:p>
    <w:p w14:paraId="6EDCFFA9" w14:textId="2B27DD92" w:rsidR="002C406F" w:rsidRPr="007114AF" w:rsidRDefault="00CF2A42" w:rsidP="002C406F">
      <w:pPr>
        <w:pStyle w:val="TEKSTI"/>
      </w:pPr>
      <w:bookmarkStart w:id="146" w:name="OLE_LINK5"/>
      <w:bookmarkStart w:id="147" w:name="OLE_LINK6"/>
      <w:r w:rsidRPr="007114AF">
        <w:t xml:space="preserve">- </w:t>
      </w:r>
      <w:r w:rsidR="002C406F" w:rsidRPr="007114AF">
        <w:t>Plani për Rregullimin e Territorit</w:t>
      </w:r>
      <w:bookmarkEnd w:id="146"/>
      <w:bookmarkEnd w:id="147"/>
      <w:r w:rsidR="0028717C">
        <w:t>;</w:t>
      </w:r>
    </w:p>
    <w:p w14:paraId="6EDCFFAA" w14:textId="336BFB30" w:rsidR="002C406F" w:rsidRPr="007114AF" w:rsidRDefault="00CF2A42" w:rsidP="002C406F">
      <w:pPr>
        <w:pStyle w:val="TEKSTI"/>
      </w:pPr>
      <w:r w:rsidRPr="007114AF">
        <w:t xml:space="preserve">- </w:t>
      </w:r>
      <w:r w:rsidR="002C406F" w:rsidRPr="007114AF">
        <w:t>Plani për Zhvillimin e Bregdetit</w:t>
      </w:r>
      <w:r w:rsidR="0028717C">
        <w:t>;</w:t>
      </w:r>
    </w:p>
    <w:p w14:paraId="6EDCFFAB" w14:textId="77777777" w:rsidR="002C406F" w:rsidRPr="007114AF" w:rsidRDefault="00CF2A42" w:rsidP="002C406F">
      <w:pPr>
        <w:pStyle w:val="TEKSTI"/>
      </w:pPr>
      <w:bookmarkStart w:id="148" w:name="OLE_LINK7"/>
      <w:bookmarkStart w:id="149" w:name="OLE_LINK8"/>
      <w:r w:rsidRPr="007114AF">
        <w:t xml:space="preserve">- </w:t>
      </w:r>
      <w:r w:rsidR="002C406F" w:rsidRPr="007114AF">
        <w:t>Strategjia për Bujqësinë dhe Zhvillimin Rural</w:t>
      </w:r>
      <w:bookmarkEnd w:id="148"/>
      <w:bookmarkEnd w:id="149"/>
      <w:r w:rsidR="002C406F" w:rsidRPr="007114AF">
        <w:t>.</w:t>
      </w:r>
    </w:p>
    <w:p w14:paraId="6EDCFFAC" w14:textId="77777777" w:rsidR="002C406F" w:rsidRPr="007114AF" w:rsidRDefault="002C406F" w:rsidP="002C406F">
      <w:pPr>
        <w:pStyle w:val="TEKSTI"/>
        <w:rPr>
          <w:u w:val="single"/>
        </w:rPr>
      </w:pPr>
      <w:r w:rsidRPr="007114AF">
        <w:rPr>
          <w:u w:val="single"/>
        </w:rPr>
        <w:t>Kushtet për proceset e zhvillimit në të ardhmen (kodi me ngjyrë të verdhë)</w:t>
      </w:r>
    </w:p>
    <w:p w14:paraId="6EDCFFAD" w14:textId="77777777" w:rsidR="002C406F" w:rsidRPr="007114AF" w:rsidRDefault="002C406F" w:rsidP="002C406F">
      <w:pPr>
        <w:pStyle w:val="TEKSTI"/>
      </w:pPr>
      <w:r w:rsidRPr="007114AF">
        <w:t>Në disa raste, objektivat sektorialë janë të mirëformuluar, edhe në lidhje me efektet e mundshme të ndryshimeve klimatike në të ardhmen. Sfida e ardhshme, sa i takon përshtatjes ndaj ndryshimeve klimatike, do të jetë sigurimi i arritjes së objektivave në një klimë që ndryshon. Kjo vlen për:</w:t>
      </w:r>
    </w:p>
    <w:p w14:paraId="6EDCFFAE" w14:textId="77777777" w:rsidR="002C406F" w:rsidRPr="007114AF" w:rsidRDefault="00CF2A42" w:rsidP="002C406F">
      <w:pPr>
        <w:pStyle w:val="TEKSTI"/>
      </w:pPr>
      <w:r w:rsidRPr="007114AF">
        <w:t xml:space="preserve">- </w:t>
      </w:r>
      <w:r w:rsidR="002C406F" w:rsidRPr="007114AF">
        <w:t>përmirësimin e mirëmbajtjes së rrugëve,</w:t>
      </w:r>
    </w:p>
    <w:p w14:paraId="6EDCFFAF" w14:textId="77777777" w:rsidR="002C406F" w:rsidRPr="007114AF" w:rsidRDefault="00CF2A42" w:rsidP="002C406F">
      <w:pPr>
        <w:pStyle w:val="TEKSTI"/>
      </w:pPr>
      <w:r w:rsidRPr="007114AF">
        <w:t xml:space="preserve">- </w:t>
      </w:r>
      <w:r w:rsidR="002C406F" w:rsidRPr="007114AF">
        <w:t>masat e lidhura me administrimin e pellgjeve lumore, si ruajtja e pyjeve dhe kullotave,</w:t>
      </w:r>
    </w:p>
    <w:p w14:paraId="6EDCFFB0" w14:textId="77777777" w:rsidR="002C406F" w:rsidRPr="007114AF" w:rsidRDefault="00CF2A42" w:rsidP="002C406F">
      <w:pPr>
        <w:pStyle w:val="TEKSTI"/>
      </w:pPr>
      <w:r w:rsidRPr="007114AF">
        <w:lastRenderedPageBreak/>
        <w:t xml:space="preserve">- </w:t>
      </w:r>
      <w:r w:rsidR="002C406F" w:rsidRPr="007114AF">
        <w:t>fuqizimin e shërbimeve shëndetësore.</w:t>
      </w:r>
    </w:p>
    <w:p w14:paraId="6EDCFFB1" w14:textId="77777777" w:rsidR="002C406F" w:rsidRPr="007114AF" w:rsidRDefault="002C406F" w:rsidP="002C406F">
      <w:pPr>
        <w:pStyle w:val="TEKSTI"/>
        <w:rPr>
          <w:u w:val="single"/>
        </w:rPr>
      </w:pPr>
      <w:r w:rsidRPr="007114AF">
        <w:rPr>
          <w:u w:val="single"/>
        </w:rPr>
        <w:t>Pasqyrimi i përshtatjes ndaj ndryshimeve klimatike në diskutimin e politikave për të ardhmen (kodi me ngjyrë të kaltër)</w:t>
      </w:r>
    </w:p>
    <w:p w14:paraId="6EDCFFB2" w14:textId="77777777" w:rsidR="002C406F" w:rsidRPr="007114AF" w:rsidRDefault="002C406F" w:rsidP="002C406F">
      <w:pPr>
        <w:pStyle w:val="TEKSTI"/>
      </w:pPr>
      <w:r w:rsidRPr="007114AF">
        <w:t>Në një sërë rastesh, objektivat sektorialë siç janë formuluar nga SKZHI, ofrojnë potencial të madh për masat e lidhura me përshtatjen ndaj ndryshimeve klimatike. Ky potencial për integrim kërkon diskutim të mëtejshëm me sektorët përkatës, duke qenë se nuk ka një qasje të qartë për integrimin ende, si në rastet e shënuara me ngjyrë portokalli. Shembujt përfshijnë:</w:t>
      </w:r>
    </w:p>
    <w:p w14:paraId="6EDCFFB3" w14:textId="77777777" w:rsidR="002C406F" w:rsidRPr="007114AF" w:rsidRDefault="00CF2A42" w:rsidP="00CF2A42">
      <w:pPr>
        <w:pStyle w:val="TEKSTI"/>
      </w:pPr>
      <w:r w:rsidRPr="007114AF">
        <w:t xml:space="preserve">- </w:t>
      </w:r>
      <w:r w:rsidR="002C406F" w:rsidRPr="007114AF">
        <w:t>Përdorimin e reformave të parashikuara statistikore dhe të inventa</w:t>
      </w:r>
      <w:r w:rsidRPr="007114AF">
        <w:t xml:space="preserve">rit ujor / Kadastrës Kombëtare </w:t>
      </w:r>
      <w:r w:rsidR="002C406F" w:rsidRPr="007114AF">
        <w:t>për Burimet Ujore për të zhvilluar një sistem të monitorimit të përshtatjes ndaj ndryshimeve</w:t>
      </w:r>
      <w:r w:rsidRPr="007114AF">
        <w:t xml:space="preserve"> </w:t>
      </w:r>
      <w:r w:rsidR="002C406F" w:rsidRPr="007114AF">
        <w:t>klimatike. Kjo mund të realizohej madje, si pjesë e reformave statistikore.</w:t>
      </w:r>
    </w:p>
    <w:p w14:paraId="6EDCFFB4" w14:textId="77777777" w:rsidR="002C406F" w:rsidRPr="007114AF" w:rsidRDefault="00CF2A42" w:rsidP="002C406F">
      <w:pPr>
        <w:pStyle w:val="TEKSTI"/>
      </w:pPr>
      <w:r w:rsidRPr="007114AF">
        <w:t xml:space="preserve">- </w:t>
      </w:r>
      <w:r w:rsidR="002C406F" w:rsidRPr="007114AF">
        <w:t>Përfshirjen e mbrojtjes ndaj ndryshimeve klimatike në aktet nënligjore për vlerësimet mjedisore strategjike dhe vlerësimet e ndikimit mjedisor, të cilat sigurojnë një pasqyrim të përgjithshëm të ndryshimeve klimatike në përgatitjen e të gjitha projekteve dhe planeve.</w:t>
      </w:r>
    </w:p>
    <w:p w14:paraId="6EDCFFB5" w14:textId="77777777" w:rsidR="002C406F" w:rsidRPr="007114AF" w:rsidRDefault="00CF2A42" w:rsidP="002C406F">
      <w:pPr>
        <w:pStyle w:val="TEKSTI"/>
      </w:pPr>
      <w:r w:rsidRPr="007114AF">
        <w:t xml:space="preserve">- </w:t>
      </w:r>
      <w:r w:rsidR="002C406F" w:rsidRPr="007114AF">
        <w:t>Përfshirjen e integrimit të përshtatjes ndaj ndryshimeve klimatike në procesin e përgatitjes së buxhetit dhe në fondet rajonale dhe vendore.</w:t>
      </w:r>
    </w:p>
    <w:p w14:paraId="6EDCFFB6" w14:textId="77777777" w:rsidR="002C406F" w:rsidRPr="007114AF" w:rsidRDefault="00CF2A42" w:rsidP="002C406F">
      <w:pPr>
        <w:pStyle w:val="TEKSTI"/>
      </w:pPr>
      <w:r w:rsidRPr="007114AF">
        <w:t xml:space="preserve">- </w:t>
      </w:r>
      <w:r w:rsidR="002C406F" w:rsidRPr="007114AF">
        <w:t>Sigurimin e pasqyrimit adekuat të konflikteve të mundshme ujore, nën nxitjen e ndryshimit klimatik në politikën e jashtme.</w:t>
      </w:r>
    </w:p>
    <w:p w14:paraId="6EDCFFB7" w14:textId="77777777" w:rsidR="002C406F" w:rsidRPr="007114AF" w:rsidRDefault="00CF2A42" w:rsidP="002C406F">
      <w:pPr>
        <w:pStyle w:val="TEKSTI"/>
      </w:pPr>
      <w:r w:rsidRPr="007114AF">
        <w:t xml:space="preserve">- </w:t>
      </w:r>
      <w:r w:rsidR="002C406F" w:rsidRPr="007114AF">
        <w:t>Pasqyrimin e temave të lidhura me përshtatjen ndaj ndryshimeve klimatike në programin kërkimor kombëtar.</w:t>
      </w:r>
    </w:p>
    <w:p w14:paraId="6EDCFFB8" w14:textId="77777777" w:rsidR="002C406F" w:rsidRPr="007114AF" w:rsidRDefault="00CF2A42" w:rsidP="002C406F">
      <w:pPr>
        <w:pStyle w:val="TEKSTI"/>
      </w:pPr>
      <w:r w:rsidRPr="007114AF">
        <w:t xml:space="preserve">- </w:t>
      </w:r>
      <w:r w:rsidR="002C406F" w:rsidRPr="007114AF">
        <w:t>Diskutimin e alternativave për integrimin e përshtatjes ndaj ndryshimeve klimatike në planifikimin e zhvillimit rrugor</w:t>
      </w:r>
      <w:r w:rsidR="002C406F" w:rsidRPr="007114AF">
        <w:rPr>
          <w:vertAlign w:val="superscript"/>
        </w:rPr>
        <w:footnoteReference w:id="53"/>
      </w:r>
      <w:r w:rsidR="002C406F" w:rsidRPr="007114AF">
        <w:t>.</w:t>
      </w:r>
    </w:p>
    <w:p w14:paraId="6EDCFFB9" w14:textId="77777777" w:rsidR="002C406F" w:rsidRPr="007114AF" w:rsidRDefault="00CF2A42" w:rsidP="002C406F">
      <w:pPr>
        <w:pStyle w:val="TEKSTI"/>
      </w:pPr>
      <w:bookmarkStart w:id="150" w:name="_Toc483570110"/>
      <w:r w:rsidRPr="007114AF">
        <w:t xml:space="preserve">4.3.3 </w:t>
      </w:r>
    </w:p>
    <w:bookmarkEnd w:id="150"/>
    <w:p w14:paraId="6EDCFFBA" w14:textId="77777777" w:rsidR="002C406F" w:rsidRPr="007114AF" w:rsidRDefault="002C406F" w:rsidP="002C406F">
      <w:pPr>
        <w:pStyle w:val="TEKSTI"/>
        <w:rPr>
          <w:b/>
        </w:rPr>
      </w:pPr>
      <w:r w:rsidRPr="007114AF">
        <w:rPr>
          <w:b/>
        </w:rPr>
        <w:t>Sektori i ujit</w:t>
      </w:r>
    </w:p>
    <w:p w14:paraId="6EDCFFBB" w14:textId="77777777" w:rsidR="002C406F" w:rsidRPr="007114AF" w:rsidRDefault="002C406F" w:rsidP="002C406F">
      <w:pPr>
        <w:pStyle w:val="TEKSTI"/>
      </w:pPr>
      <w:r w:rsidRPr="007114AF">
        <w:t>Janë në zhvillim një sërë nismash të cilat ndihmojnë në rritjen e kapaciteteve të përshtatjes. Këtu përfshihen:</w:t>
      </w:r>
    </w:p>
    <w:p w14:paraId="6EDCFFBC" w14:textId="40CC773C" w:rsidR="002C406F" w:rsidRPr="007114AF" w:rsidRDefault="00CF2A42" w:rsidP="002C406F">
      <w:pPr>
        <w:pStyle w:val="TEKSTI"/>
      </w:pPr>
      <w:r w:rsidRPr="007114AF">
        <w:t xml:space="preserve">- </w:t>
      </w:r>
      <w:r w:rsidR="002C406F" w:rsidRPr="007114AF">
        <w:t>Plani i Menaxhimit të Rrezikut të Përmbytjes Qarku Shkodër</w:t>
      </w:r>
      <w:r w:rsidR="002C406F" w:rsidRPr="007114AF">
        <w:rPr>
          <w:vertAlign w:val="superscript"/>
        </w:rPr>
        <w:footnoteReference w:id="54"/>
      </w:r>
      <w:r w:rsidR="002C406F" w:rsidRPr="007114AF">
        <w:t>, 2012</w:t>
      </w:r>
      <w:r w:rsidR="0028717C">
        <w:t>–</w:t>
      </w:r>
      <w:r w:rsidR="002C406F" w:rsidRPr="007114AF">
        <w:t>2018, i cili është hartuar për të përmirësuar menaxhimin e rrezikut të përmbytjes, veçanërisht duke u fokusuar në masat jostrukturore, si sistemet e paralajmërimit të hershëm, gatishmërinë dhe planifikimin hapësinor. Përfshirja e masave të gatishmërisë për përmbytjet dhe një kuadër rajonal për menaxhimin e rrezikut</w:t>
      </w:r>
      <w:r w:rsidR="000A2A01" w:rsidRPr="007114AF">
        <w:t xml:space="preserve"> </w:t>
      </w:r>
      <w:r w:rsidR="002C406F" w:rsidRPr="007114AF">
        <w:t>të përmbytjeve, do ta zhvillojë kapacitetin</w:t>
      </w:r>
      <w:r w:rsidR="000A2A01" w:rsidRPr="007114AF">
        <w:t xml:space="preserve"> </w:t>
      </w:r>
      <w:r w:rsidR="002C406F" w:rsidRPr="007114AF">
        <w:t xml:space="preserve">përshtatës për menaxherët e rrezikut ndaj përmbytjeve, dhe mund të përdoren edhe nga menaxherët e qarqeve të tjera. </w:t>
      </w:r>
    </w:p>
    <w:p w14:paraId="6EDCFFBD" w14:textId="77777777" w:rsidR="002C406F" w:rsidRPr="007114AF" w:rsidRDefault="00CF2A42" w:rsidP="002C406F">
      <w:pPr>
        <w:pStyle w:val="TEKSTI"/>
      </w:pPr>
      <w:r w:rsidRPr="007114AF">
        <w:t xml:space="preserve">- </w:t>
      </w:r>
      <w:r w:rsidR="002C406F" w:rsidRPr="007114AF">
        <w:t>Aprovimi dhe zbatimi i Strategjisë Kombëtare për Menaxhimin e Integruar të Burimeve Ujore, do ta përmirësojë kapacitetin e atyre që administrojnë burimet ujore, për të trajtuar faktorët e stresit klimatik në administrimin e burimeve ujore. Kjo do të ndihmojë edhe në zhvillimin e kapaciteteve për përshtatjen te këta persona, të sigurisë ushqimore dhe energjetike dhe mbrojtjen nga përmbytjet.</w:t>
      </w:r>
    </w:p>
    <w:p w14:paraId="6EDCFFBE" w14:textId="4677BA38" w:rsidR="002C406F" w:rsidRPr="007114AF" w:rsidRDefault="002C406F" w:rsidP="002C406F">
      <w:pPr>
        <w:pStyle w:val="TEKSTI"/>
      </w:pPr>
      <w:r w:rsidRPr="007114AF">
        <w:t>Në përgjithësi, sektori ujor duhet të fokusohet më shumë tek Planet e Menaxhimit të Baseneve Lumore (PMBL), që përfshijnë në tërësi pellgjet lumore (për momentin ka nisur puna me PMBL të Drin</w:t>
      </w:r>
      <w:r w:rsidR="0028717C">
        <w:t>–</w:t>
      </w:r>
      <w:r w:rsidRPr="007114AF">
        <w:t>Bunës dhe Semanit) dhe të integrohet më tej te çështjet e klimës në të gjitha planet dhe projektet e lidhura me ujin. Strategjia e re Kombëtare për Menaxhimin e Integruar të Burimeve Ujore do të japë orientimet adekuate në këtë drejtim.</w:t>
      </w:r>
    </w:p>
    <w:p w14:paraId="6EDCFFBF" w14:textId="77777777" w:rsidR="002C406F" w:rsidRPr="007114AF" w:rsidRDefault="002C406F" w:rsidP="002C406F">
      <w:pPr>
        <w:pStyle w:val="TEKSTI"/>
        <w:rPr>
          <w:b/>
        </w:rPr>
      </w:pPr>
      <w:r w:rsidRPr="007114AF">
        <w:rPr>
          <w:b/>
        </w:rPr>
        <w:t>Bujqësia</w:t>
      </w:r>
    </w:p>
    <w:p w14:paraId="6EDCFFC0" w14:textId="7A2FBF78" w:rsidR="002C406F" w:rsidRPr="007114AF" w:rsidRDefault="002C406F" w:rsidP="002C406F">
      <w:pPr>
        <w:pStyle w:val="TEKSTI"/>
      </w:pPr>
      <w:r w:rsidRPr="007114AF">
        <w:t>Një faktor kyç në përmirësimin e kapaciteteve për përshtatje të Shqipërisë në bujqësi, është procesi i aderimit në BE. Tashmë Shqipëria i ka zhvilluar ligjet për rregullimin e tokës bujqësore, mbrojtjen e tokës dhe mjedisin, në përputhje me standardet dhe kërkesat evropiane. Krahas këtyre reformave, BE-ja nxit veprimin drejt gatishmërisë dhe përshtatjes për ndryshimet</w:t>
      </w:r>
      <w:r w:rsidR="0028717C">
        <w:t xml:space="preserve"> </w:t>
      </w:r>
      <w:r w:rsidRPr="007114AF">
        <w:t xml:space="preserve">e klimës. </w:t>
      </w:r>
      <w:r w:rsidRPr="007114AF">
        <w:lastRenderedPageBreak/>
        <w:t>Për t</w:t>
      </w:r>
      <w:r w:rsidR="00D10DAB" w:rsidRPr="007114AF">
        <w:t>’</w:t>
      </w:r>
      <w:r w:rsidRPr="007114AF">
        <w:t>iu përshtatur efekteve dhe mundësive që rrjedhin nga ndryshime klimatike, ekziston nevoja për t</w:t>
      </w:r>
      <w:r w:rsidR="00D10DAB" w:rsidRPr="007114AF">
        <w:t>’</w:t>
      </w:r>
      <w:r w:rsidRPr="007114AF">
        <w:t>u fokusuar te rritja e mundësive të bujqve për aksesin në teknologji dhe informacion, si dhe për të përmirësuar shpërndarjen e informacioneve hidrometeorologjike te bujqit. Kjo mund të jetë një sfidë e veçantë</w:t>
      </w:r>
      <w:r w:rsidR="000A2A01" w:rsidRPr="007114AF">
        <w:t xml:space="preserve"> </w:t>
      </w:r>
      <w:r w:rsidRPr="007114AF">
        <w:t>për bujqit e vegjël në Shqipëri, të cilët kanë akses të limituar në</w:t>
      </w:r>
      <w:r w:rsidR="000A2A01" w:rsidRPr="007114AF">
        <w:t xml:space="preserve"> </w:t>
      </w:r>
      <w:r w:rsidRPr="007114AF">
        <w:t xml:space="preserve">burimet financiare. </w:t>
      </w:r>
    </w:p>
    <w:p w14:paraId="6EDCFFC1" w14:textId="77777777" w:rsidR="002C406F" w:rsidRPr="007114AF" w:rsidRDefault="002C406F" w:rsidP="002C406F">
      <w:pPr>
        <w:pStyle w:val="TEKSTI"/>
        <w:rPr>
          <w:b/>
        </w:rPr>
      </w:pPr>
      <w:r w:rsidRPr="007114AF">
        <w:rPr>
          <w:b/>
        </w:rPr>
        <w:t>Energjetika</w:t>
      </w:r>
    </w:p>
    <w:p w14:paraId="6EDCFFC2" w14:textId="77777777" w:rsidR="002C406F" w:rsidRPr="007114AF" w:rsidRDefault="002C406F" w:rsidP="002C406F">
      <w:pPr>
        <w:pStyle w:val="TEKSTI"/>
      </w:pPr>
      <w:r w:rsidRPr="007114AF">
        <w:t>Strategjia Kombëtare e Rishikuar për Energjinë (miratimi i së cilës pritet në vitin 2017) parashikon mundësi për të integruar më fort përshtatjen ndaj ndryshimeve klimatike në politikën energjetike, e cila ka një vulnerabilitet të lartë ndaj ndryshimeve klimatike, krahas rëndësisë së madhe që politika energjetike ka për zbutjen e pasojave të ndryshimeve klimatike.</w:t>
      </w:r>
    </w:p>
    <w:p w14:paraId="6EDCFFC3" w14:textId="77777777" w:rsidR="002C406F" w:rsidRPr="007114AF" w:rsidRDefault="002C406F" w:rsidP="002C406F">
      <w:pPr>
        <w:pStyle w:val="TEKSTI"/>
        <w:rPr>
          <w:b/>
        </w:rPr>
      </w:pPr>
      <w:r w:rsidRPr="007114AF">
        <w:rPr>
          <w:b/>
        </w:rPr>
        <w:t>Larmia biologjike</w:t>
      </w:r>
    </w:p>
    <w:p w14:paraId="6EDCFFC4" w14:textId="7F07072B" w:rsidR="002C406F" w:rsidRPr="007114AF" w:rsidRDefault="002C406F" w:rsidP="00CF2A42">
      <w:pPr>
        <w:pStyle w:val="TEKSTI"/>
      </w:pPr>
      <w:r w:rsidRPr="007114AF">
        <w:t>Shqipëria ka marrë fonde ndërkombëtare për biodiversitetin, të cilat kanë sjellë përfitime g</w:t>
      </w:r>
      <w:r w:rsidR="0028717C">
        <w:t>j</w:t>
      </w:r>
      <w:r w:rsidRPr="007114AF">
        <w:t>ithashtu për përshtatjen ndaj ndryshimeve klimatike. Shembujt përfshijnë:</w:t>
      </w:r>
    </w:p>
    <w:p w14:paraId="6EDCFFC5" w14:textId="659315B9" w:rsidR="002C406F" w:rsidRPr="007114AF" w:rsidRDefault="00CF2A42" w:rsidP="002C406F">
      <w:pPr>
        <w:pStyle w:val="TEKSTI"/>
      </w:pPr>
      <w:r w:rsidRPr="007114AF">
        <w:t xml:space="preserve">- </w:t>
      </w:r>
      <w:r w:rsidR="002C406F" w:rsidRPr="007114AF">
        <w:t>Projekti i Shërbimeve Mjedisore (2014</w:t>
      </w:r>
      <w:r w:rsidR="00847405">
        <w:t>–</w:t>
      </w:r>
      <w:r w:rsidR="002C406F" w:rsidRPr="007114AF">
        <w:t>2019)</w:t>
      </w:r>
      <w:bookmarkStart w:id="151" w:name="_Ref453849840"/>
      <w:r w:rsidR="002C406F" w:rsidRPr="007114AF">
        <w:rPr>
          <w:vertAlign w:val="superscript"/>
        </w:rPr>
        <w:footnoteReference w:id="55"/>
      </w:r>
      <w:bookmarkEnd w:id="151"/>
      <w:r w:rsidR="002C406F" w:rsidRPr="007114AF">
        <w:t>, i cili synon ngritjen e skemave të Pagesave për Shërbimet Mjedisore (PSHM), për të ndaluar degradimin e mëtejshëm të tokave dhe pyjeve dhe për të siguruar një përdorim racional të burimeve natyrore në vend.</w:t>
      </w:r>
    </w:p>
    <w:p w14:paraId="6EDCFFC6" w14:textId="6E85906B" w:rsidR="002C406F" w:rsidRPr="007114AF" w:rsidRDefault="00CF2A42" w:rsidP="002C406F">
      <w:pPr>
        <w:pStyle w:val="TEKSTI"/>
      </w:pPr>
      <w:r w:rsidRPr="007114AF">
        <w:t xml:space="preserve">- </w:t>
      </w:r>
      <w:r w:rsidR="002C406F" w:rsidRPr="007114AF">
        <w:t xml:space="preserve">Masat e përshtatjes të propozuara dhe rekomanduara në kuadër të projektit </w:t>
      </w:r>
      <w:r w:rsidR="000A2A01" w:rsidRPr="007114AF">
        <w:t>“</w:t>
      </w:r>
      <w:r w:rsidR="002C406F" w:rsidRPr="007114AF">
        <w:t>Identifikimi dhe zbatimi i masave të kundërpërgjigjes përshtatëse në grykëderdhjet e Drinit dhe Matit</w:t>
      </w:r>
      <w:r w:rsidR="000A2A01" w:rsidRPr="007114AF">
        <w:t>”</w:t>
      </w:r>
      <w:r w:rsidR="002C406F" w:rsidRPr="007114AF">
        <w:t>, të cilat janë marrë në konsideratë dhe janë shtrirë më tej në të gjithë bregdetin shqiptar.</w:t>
      </w:r>
    </w:p>
    <w:p w14:paraId="6EDCFFC7" w14:textId="7EAB2DE2" w:rsidR="002C406F" w:rsidRPr="007114AF" w:rsidRDefault="00CF2A42" w:rsidP="002C406F">
      <w:pPr>
        <w:pStyle w:val="TEKSTI"/>
      </w:pPr>
      <w:r w:rsidRPr="007114AF">
        <w:t xml:space="preserve">- </w:t>
      </w:r>
      <w:r w:rsidR="002C406F" w:rsidRPr="007114AF">
        <w:t xml:space="preserve">Projekti </w:t>
      </w:r>
      <w:r w:rsidR="000A2A01" w:rsidRPr="007114AF">
        <w:t>“</w:t>
      </w:r>
      <w:r w:rsidR="002C406F" w:rsidRPr="007114AF">
        <w:t>Mbrojtja e larmisë biologjike detare dhe bregdetare të Shqipërisë</w:t>
      </w:r>
      <w:r w:rsidR="000A2A01" w:rsidRPr="007114AF">
        <w:t>”</w:t>
      </w:r>
      <w:bookmarkStart w:id="152" w:name="_Ref453853198"/>
      <w:r w:rsidR="002C406F" w:rsidRPr="007114AF">
        <w:rPr>
          <w:vertAlign w:val="superscript"/>
        </w:rPr>
        <w:footnoteReference w:id="56"/>
      </w:r>
      <w:bookmarkEnd w:id="152"/>
      <w:r w:rsidR="002C406F" w:rsidRPr="007114AF">
        <w:t>, i cili mbështet planet e qeverisë për të dyfishuar numrin e zonave të mbrojtura detare dhe për të përmirësuar menaxhimin e përgjithshëm të tyre.</w:t>
      </w:r>
    </w:p>
    <w:p w14:paraId="6EDCFFC8" w14:textId="139FCD36" w:rsidR="002C406F" w:rsidRPr="007114AF" w:rsidRDefault="00CF2A42" w:rsidP="002C406F">
      <w:pPr>
        <w:pStyle w:val="TEKSTI"/>
      </w:pPr>
      <w:r w:rsidRPr="007114AF">
        <w:t xml:space="preserve">- </w:t>
      </w:r>
      <w:r w:rsidR="002C406F" w:rsidRPr="007114AF">
        <w:t>Ngritja e kapaciteteve në nivel vendor, për nevojën e rritjes së aftësisë rimëkëmbëse</w:t>
      </w:r>
      <w:r w:rsidR="0028717C">
        <w:t xml:space="preserve"> </w:t>
      </w:r>
      <w:r w:rsidR="002C406F" w:rsidRPr="007114AF">
        <w:t>të ekosistemeve dhe mënyrës së jetesës nga rreziku i përmbytjes dhe thatësirës, nëpërmjet aktiviteteve demonstruese pilot të përshtatjes me bazë ekosistemin në sistemin e lagunës së Kune</w:t>
      </w:r>
      <w:r w:rsidR="0028717C">
        <w:t>–</w:t>
      </w:r>
      <w:r w:rsidR="002C406F" w:rsidRPr="007114AF">
        <w:t>Vainit, financuar nga SCCF-ja.</w:t>
      </w:r>
    </w:p>
    <w:p w14:paraId="6EDCFFC9" w14:textId="77777777" w:rsidR="002C406F" w:rsidRPr="007114AF" w:rsidRDefault="002C406F" w:rsidP="002C406F">
      <w:pPr>
        <w:pStyle w:val="TEKSTI"/>
        <w:rPr>
          <w:b/>
        </w:rPr>
      </w:pPr>
      <w:r w:rsidRPr="007114AF">
        <w:rPr>
          <w:b/>
        </w:rPr>
        <w:t>Turizmi</w:t>
      </w:r>
    </w:p>
    <w:p w14:paraId="6EDCFFCA" w14:textId="4BAAFCAC" w:rsidR="002C406F" w:rsidRPr="007114AF" w:rsidRDefault="002C406F" w:rsidP="002C406F">
      <w:pPr>
        <w:pStyle w:val="TEKSTI"/>
      </w:pPr>
      <w:r w:rsidRPr="007114AF">
        <w:t>Deri tani, planifikimi ekzistues për turizmin nuk e ka të integruar mjaftueshëm përshtatjen ndaj ndryshimeve klimatike. Për shembull, ndërtimi i infrastrukturës turistike është bërë pa marrë në konsideratë dëmet</w:t>
      </w:r>
      <w:r w:rsidR="0028717C">
        <w:t xml:space="preserve"> </w:t>
      </w:r>
      <w:r w:rsidRPr="007114AF">
        <w:t>e mundshme nga dukuritë ekstreme të motit (përmbytjet, stuhitë, erozioni detar dhe thatësira). Qasjet e para për t</w:t>
      </w:r>
      <w:r w:rsidR="00D10DAB" w:rsidRPr="007114AF">
        <w:t>’</w:t>
      </w:r>
      <w:r w:rsidRPr="007114AF">
        <w:t>i ndryshuar në kah të kundërt këto praktika janë:</w:t>
      </w:r>
    </w:p>
    <w:p w14:paraId="6EDCFFCB" w14:textId="77777777" w:rsidR="002C406F" w:rsidRPr="007114AF" w:rsidRDefault="00CF2A42" w:rsidP="002C406F">
      <w:pPr>
        <w:pStyle w:val="TEKSTI"/>
      </w:pPr>
      <w:r w:rsidRPr="007114AF">
        <w:t xml:space="preserve">- </w:t>
      </w:r>
      <w:r w:rsidR="002C406F" w:rsidRPr="007114AF">
        <w:t>Integrimi i përshtatjes ndaj ndryshimeve klimatike në Planin Ndërsektorial të Bregdetit, i cili është përgatitur nga Agjencia Kombëtare e Planifikimit të Territorit. Plani Ndërsektorial i Bregdetit fokusohet fuqimisht te sektori turistik shqiptar dhe tek infrastruktura e këtij sektori.</w:t>
      </w:r>
    </w:p>
    <w:p w14:paraId="6EDCFFCC" w14:textId="5C9149E6" w:rsidR="002C406F" w:rsidRPr="007114AF" w:rsidRDefault="00CF2A42" w:rsidP="002C406F">
      <w:pPr>
        <w:pStyle w:val="TEKSTI"/>
      </w:pPr>
      <w:r w:rsidRPr="007114AF">
        <w:t xml:space="preserve">- </w:t>
      </w:r>
      <w:r w:rsidR="002C406F" w:rsidRPr="007114AF">
        <w:t>Një version paraprak i Strategjisë Kombëtare Ndërsektoriale për Turizmin, 2014</w:t>
      </w:r>
      <w:r w:rsidR="0028717C">
        <w:t>–</w:t>
      </w:r>
      <w:r w:rsidR="002C406F" w:rsidRPr="007114AF">
        <w:t>2020, me potencial për të përmirësuar edhe aftësinë rimëkëmbëse ndaj ndryshimeve klimatike.</w:t>
      </w:r>
    </w:p>
    <w:p w14:paraId="6EDCFFCD" w14:textId="77777777" w:rsidR="002C406F" w:rsidRPr="007114AF" w:rsidRDefault="002C406F" w:rsidP="002C406F">
      <w:pPr>
        <w:pStyle w:val="TEKSTI"/>
        <w:rPr>
          <w:b/>
        </w:rPr>
      </w:pPr>
      <w:r w:rsidRPr="007114AF">
        <w:rPr>
          <w:b/>
        </w:rPr>
        <w:t>Shëndetësia</w:t>
      </w:r>
    </w:p>
    <w:p w14:paraId="6EDCFFCE" w14:textId="435DFADF" w:rsidR="002C406F" w:rsidRPr="007114AF" w:rsidRDefault="002C406F" w:rsidP="002C406F">
      <w:pPr>
        <w:pStyle w:val="TEKSTI"/>
      </w:pPr>
      <w:r w:rsidRPr="007114AF">
        <w:t>Janë marrë një sërë hapash në Shqipëri për të siguruar një lidhje të fortë ndërmjet masave të përshtatjes të fokusuara te mbrojtja dhe ruajtja e mjedisit, si dhe</w:t>
      </w:r>
      <w:r w:rsidR="000A2A01" w:rsidRPr="007114AF">
        <w:t xml:space="preserve"> </w:t>
      </w:r>
      <w:r w:rsidRPr="007114AF">
        <w:t>ruajtja e mirëqenies së njerëzve.</w:t>
      </w:r>
    </w:p>
    <w:p w14:paraId="6EDCFFCF" w14:textId="4D75330C" w:rsidR="002C406F" w:rsidRPr="007114AF" w:rsidRDefault="00CF2A42" w:rsidP="002C406F">
      <w:pPr>
        <w:pStyle w:val="TEKSTI"/>
      </w:pPr>
      <w:r w:rsidRPr="007114AF">
        <w:t xml:space="preserve">- </w:t>
      </w:r>
      <w:r w:rsidR="002C406F" w:rsidRPr="007114AF">
        <w:t>Qeveria shqiptare është përfshirë në një sërë deklaratash ndërkombëtare, të fokusuara në ndryshimin e klimës dhe shëndetin. Ndër to përfshihet rezoluta që ka nxjerrë Asambleja e 61-të Botërore për Shëndetësinë, e cila i nxit shtetet anëtare të marrin masa me vendosmëri për t</w:t>
      </w:r>
      <w:r w:rsidR="00D10DAB" w:rsidRPr="007114AF">
        <w:t>’</w:t>
      </w:r>
      <w:r w:rsidR="002C406F" w:rsidRPr="007114AF">
        <w:t>u dhënë përgjigje efekteve në shëndetësi që vijnë nga ndryshimet klimatike, duke paralajmëruar kështu</w:t>
      </w:r>
      <w:r w:rsidR="000A2A01" w:rsidRPr="007114AF">
        <w:t xml:space="preserve"> </w:t>
      </w:r>
      <w:r w:rsidR="002C406F" w:rsidRPr="007114AF">
        <w:t>rreziqet</w:t>
      </w:r>
      <w:r w:rsidR="000A2A01" w:rsidRPr="007114AF">
        <w:t xml:space="preserve"> </w:t>
      </w:r>
      <w:r w:rsidR="002C406F" w:rsidRPr="007114AF">
        <w:t>e mundshme që i kanosen shëndetit të njeriut.</w:t>
      </w:r>
    </w:p>
    <w:p w14:paraId="6EDCFFD0" w14:textId="77777777" w:rsidR="002C406F" w:rsidRPr="007114AF" w:rsidRDefault="00CF2A42" w:rsidP="002C406F">
      <w:pPr>
        <w:pStyle w:val="TEKSTI"/>
      </w:pPr>
      <w:r w:rsidRPr="007114AF">
        <w:t xml:space="preserve">- </w:t>
      </w:r>
      <w:r w:rsidR="002C406F" w:rsidRPr="007114AF">
        <w:t xml:space="preserve">Ministria përgjegjëse e Shëndetësisë ka hartuar, si sektor i parë, një strategji të veçantë për shëndetësinë dhe përshtatjen ndaj ndryshimeve klimatike, ku parashikohen qasjet strategjike për integrimin e përshtatjes ndaj ndryshimeve klimatike në politikat e shëndetësisë. </w:t>
      </w:r>
    </w:p>
    <w:p w14:paraId="6EDCFFD1" w14:textId="77777777" w:rsidR="002C406F" w:rsidRPr="007114AF" w:rsidRDefault="002C406F" w:rsidP="002C406F">
      <w:pPr>
        <w:pStyle w:val="TEKSTI"/>
        <w:rPr>
          <w:b/>
        </w:rPr>
      </w:pPr>
      <w:r w:rsidRPr="007114AF">
        <w:rPr>
          <w:b/>
        </w:rPr>
        <w:t>Përgjigjja në situata të jashtëzakonshme/emergjente</w:t>
      </w:r>
    </w:p>
    <w:p w14:paraId="6EDCFFD2" w14:textId="0E069AF9" w:rsidR="002C406F" w:rsidRPr="007114AF" w:rsidRDefault="002C406F" w:rsidP="002C406F">
      <w:pPr>
        <w:pStyle w:val="TEKSTI"/>
      </w:pPr>
      <w:r w:rsidRPr="007114AF">
        <w:lastRenderedPageBreak/>
        <w:t>Plani Kombëtar për Emergjencat Civile përfshin dhe sqaron rolet dhe përgjegjësitë e të gjitha palëve publike dhe private të interesit. Kjo synon kanalizimin e lëvizjes së informacioneve përkatëse, fuqizimin e vendimmarrjes dhe, nëpërmjet bashkërendimit, përforcimin e kapaciteteve për t</w:t>
      </w:r>
      <w:r w:rsidR="00D10DAB" w:rsidRPr="007114AF">
        <w:t>’</w:t>
      </w:r>
      <w:r w:rsidRPr="007114AF">
        <w:t>iu përgjigjur të gjitha fazave të ciklit të katastrofave. Zhvillimi i kapaciteteve të tilla ka rëndësi edhe për fatkeqësitë e shkaktuara nga ndryshimet klimatike. Veprimi prioritare</w:t>
      </w:r>
      <w:r w:rsidR="00242009" w:rsidRPr="007114AF">
        <w:t xml:space="preserve"> nr. </w:t>
      </w:r>
      <w:r w:rsidRPr="007114AF">
        <w:t>12 (kapitulli 6.2) përcakton masat/veprimet për rritjen e aftësisë ripërtëritëse ndaj përmbytjeve, si një ndërkatastrofat më e rëndësishme lidhur me ndryshimet klimatike,</w:t>
      </w:r>
      <w:r w:rsidR="000E345C">
        <w:t xml:space="preserve"> </w:t>
      </w:r>
      <w:r w:rsidRPr="007114AF">
        <w:t>nëpërmjet sistemeve të lajmërimit të hershëm dhe mekanizmave të tjerë të parandalimit të fatkeqësive në Shqipëri.</w:t>
      </w:r>
    </w:p>
    <w:p w14:paraId="6EDCFFD3" w14:textId="77777777" w:rsidR="002C406F" w:rsidRPr="007114AF" w:rsidRDefault="00CF2A42" w:rsidP="009C45FD">
      <w:pPr>
        <w:pStyle w:val="TEKSTI"/>
        <w:rPr>
          <w:b/>
        </w:rPr>
      </w:pPr>
      <w:bookmarkStart w:id="153" w:name="_Toc484424509"/>
      <w:bookmarkStart w:id="154" w:name="_Toc483570111"/>
      <w:r w:rsidRPr="007114AF">
        <w:rPr>
          <w:b/>
        </w:rPr>
        <w:t xml:space="preserve">4.3.4 </w:t>
      </w:r>
      <w:r w:rsidR="002C406F" w:rsidRPr="007114AF">
        <w:rPr>
          <w:b/>
        </w:rPr>
        <w:t>Proceset e integrimit në të ardhmen</w:t>
      </w:r>
      <w:bookmarkEnd w:id="153"/>
      <w:bookmarkEnd w:id="154"/>
    </w:p>
    <w:p w14:paraId="6EDCFFD4" w14:textId="6ED98D8A" w:rsidR="002C406F" w:rsidRPr="007114AF" w:rsidRDefault="002C406F" w:rsidP="009C45FD">
      <w:pPr>
        <w:pStyle w:val="TEKSTI"/>
      </w:pPr>
      <w:r w:rsidRPr="007114AF">
        <w:t>Nevojitet një fuqizim i mëtejshëm sistematik, i cili kërkon një strategji integrimi gjithëpërfshirëse. Hollësitë për një strategji të tillë jepen në veprimin prioritar</w:t>
      </w:r>
      <w:r w:rsidR="00242009" w:rsidRPr="007114AF">
        <w:t xml:space="preserve"> nr. </w:t>
      </w:r>
      <w:r w:rsidRPr="007114AF">
        <w:t>2. Në aktivitetet përkatëse të kësaj strategjie përfshihen:</w:t>
      </w:r>
    </w:p>
    <w:p w14:paraId="6EDCFFD5" w14:textId="77777777" w:rsidR="002C406F" w:rsidRPr="007114AF" w:rsidRDefault="002C406F" w:rsidP="002C406F">
      <w:pPr>
        <w:pStyle w:val="TEKSTI"/>
      </w:pPr>
      <w:r w:rsidRPr="007114AF">
        <w:t>Integrimi duhet kuptuar si një proces i vazhdueshëm i cili kërkon bashkërendim dhe bashkëpunim të palëve të ndryshme sektoriale të interesit. GNMP-ja për Ndryshimet Klimatike do të vijojë të punojë nën drejtimin e Ministrisë së Turizmit dhe Mjedisit, duke përfshirë nismat integruese si një prej detyrave kryesore. Nevojat dhe rezultatet e integrimit do të pasqyrohen rregullisht gjatë mbledhjeve të GNMP-ës.</w:t>
      </w:r>
    </w:p>
    <w:p w14:paraId="6EDCFFD6" w14:textId="77777777" w:rsidR="002C406F" w:rsidRPr="007114AF" w:rsidRDefault="002C406F" w:rsidP="002C406F">
      <w:pPr>
        <w:pStyle w:val="TEKSTI"/>
      </w:pPr>
      <w:r w:rsidRPr="007114AF">
        <w:t>Integrimi i përshtatjes ndaj ndryshimeve klimatike mund të mbështetet dhe të vihet në eficiencë, nëpërmjet një pakete instrumentesh të ndryshme, si: thjerra klimatike, mbrojtja klimatike, vlerësimi mjedisor strategjike me ndjeshmëri klimatike dhe treguesit e shpenzimeve klimatike. Kjo paketë instrumentesh do të shtjellohet dhe përcaktohet për situatën shqiptare, nëpërmjet kontributit të një eksperti në vitin 2016.</w:t>
      </w:r>
    </w:p>
    <w:p w14:paraId="6EDCFFD7" w14:textId="77777777" w:rsidR="002C406F" w:rsidRPr="007114AF" w:rsidRDefault="002C406F" w:rsidP="002C406F">
      <w:pPr>
        <w:pStyle w:val="TEKSTI"/>
      </w:pPr>
      <w:r w:rsidRPr="007114AF">
        <w:t>GNMP-ja do të vendosë të ketë një projekt pilot mbi integrimin në vit, që do të kryhet nga një ministri sektoriale përkatëse dhe do të mbështetet nga Ministria e Turizmit dhe Mjedisit si dhe me kontribut të ekspertëve.</w:t>
      </w:r>
    </w:p>
    <w:p w14:paraId="6EDCFFD8" w14:textId="77777777" w:rsidR="002C406F" w:rsidRPr="007114AF" w:rsidRDefault="002C406F" w:rsidP="002C406F">
      <w:pPr>
        <w:pStyle w:val="TEKSTI"/>
      </w:pPr>
      <w:r w:rsidRPr="007114AF">
        <w:t>Zyra e Kryeministrisë do ta përdorë kuadrin zbatues të SKZHI-së për të bërë pasqyrime të rregullta të asaj që është arritur, si dhe për të kuptuar se deri ku janë ndjekur rekomandimet e bëra sipas thjerrës klimatike.</w:t>
      </w:r>
    </w:p>
    <w:p w14:paraId="6EDCFFD9" w14:textId="2E73F9FB" w:rsidR="002C406F" w:rsidRPr="007114AF" w:rsidRDefault="002C406F" w:rsidP="002C406F">
      <w:pPr>
        <w:pStyle w:val="TEKSTI"/>
      </w:pPr>
      <w:r w:rsidRPr="007114AF">
        <w:t>Edhe procesi i anëtarësimit në BE do të përdoret për integrimin e ndryshimeve klimatike nëpërmjet asistencës financiare në kuadër të IPA-s.</w:t>
      </w:r>
      <w:r w:rsidR="000E345C">
        <w:t xml:space="preserve"> </w:t>
      </w:r>
      <w:r w:rsidRPr="007114AF">
        <w:t>Në këtë kontekst, në 2016, zbatimi i dokumentit të NAP-it si dhe zbatimi i Veprimeve Prioritare të këtij dokumenti u përfshinë në rishikimin e Dokumentit Strategjik Kombëtar EU IPA II. Ministria e Turizmit dhe Mjedisit do të sigurojë përputhjen e NAP-it me strategjinë e BE-së për klimën.</w:t>
      </w:r>
    </w:p>
    <w:p w14:paraId="6EDCFFDA" w14:textId="77777777" w:rsidR="002C406F" w:rsidRPr="007114AF" w:rsidRDefault="002C406F" w:rsidP="002C406F">
      <w:pPr>
        <w:pStyle w:val="TEKSTI"/>
      </w:pPr>
      <w:r w:rsidRPr="007114AF">
        <w:t>Asistenca e BE-së do të duhet për të bërë ndjekjen në mënyrë sistematike të shpenzimeve brenda kuadrit të IPA-s në kuadër të aspekteve të klimës. Raportimi për asistencën e BE-së do të përfshijë përfundimet në lidhje me shkallën e integrimit të çështjeve klimatike.</w:t>
      </w:r>
    </w:p>
    <w:p w14:paraId="6EDCFFDB" w14:textId="77777777" w:rsidR="002C406F" w:rsidRPr="007114AF" w:rsidRDefault="00CF2A42" w:rsidP="009C45FD">
      <w:pPr>
        <w:pStyle w:val="TEKSTI"/>
      </w:pPr>
      <w:bookmarkStart w:id="155" w:name="_Toc470186708"/>
      <w:bookmarkStart w:id="156" w:name="_Toc484424510"/>
      <w:bookmarkStart w:id="157" w:name="_Toc483570112"/>
      <w:r w:rsidRPr="007114AF">
        <w:t xml:space="preserve">4.3.5 </w:t>
      </w:r>
      <w:r w:rsidR="002C406F" w:rsidRPr="007114AF">
        <w:t>Projektet pilot, konkrete për integrimin</w:t>
      </w:r>
      <w:bookmarkEnd w:id="155"/>
      <w:bookmarkEnd w:id="156"/>
    </w:p>
    <w:bookmarkEnd w:id="157"/>
    <w:p w14:paraId="6EDCFFDC" w14:textId="77777777" w:rsidR="002C406F" w:rsidRPr="007114AF" w:rsidRDefault="002C406F" w:rsidP="002C406F">
      <w:pPr>
        <w:pStyle w:val="TEKSTI"/>
      </w:pPr>
      <w:r w:rsidRPr="007114AF">
        <w:t>Table16 jep shembuj të kohëve të fundit të planeve dhe strategjive, ku është integruar ose po integrohet përshtatja ndaj ndryshimeve klimatike. Aktivitetet integruese, sikurse tregohet, është mirë të kuptohen si projekte pilot, të cilët dëshmojnë potencialin dhe strategjitë për integrimin. Strategjia integruese gjithëpërfshirëse, sikurse shpjegohet më lart, lipset të mbështetet në mësimet e nxjerra nga këto projekte pilot.</w:t>
      </w:r>
    </w:p>
    <w:p w14:paraId="6EDCFFDD" w14:textId="77777777" w:rsidR="002C406F" w:rsidRPr="007114AF" w:rsidRDefault="002C406F" w:rsidP="002C406F">
      <w:pPr>
        <w:pStyle w:val="TEKSTI"/>
      </w:pPr>
      <w:r w:rsidRPr="007114AF">
        <w:t>Duke qenë se aktivitetet integruese pak a shumë kanë përfunduar për hartimin e planeve dhe të strategjive, sfida në të ardhmen do të jetë marrja në konsideratë gjatë procesit të zbatimit. Shembulli i SKZHI-së në rubrikën më lart tregon se si mund të bëhet kjo marrje në konsideratë.</w:t>
      </w:r>
    </w:p>
    <w:p w14:paraId="6EDCFFDE" w14:textId="77777777" w:rsidR="008A4207" w:rsidRPr="007114AF" w:rsidRDefault="008A4207" w:rsidP="00524E98">
      <w:pPr>
        <w:pStyle w:val="TEKSTI"/>
      </w:pPr>
    </w:p>
    <w:tbl>
      <w:tblPr>
        <w:tblW w:w="9808" w:type="dxa"/>
        <w:tblCellMar>
          <w:left w:w="0" w:type="dxa"/>
          <w:right w:w="0" w:type="dxa"/>
        </w:tblCellMar>
        <w:tblLook w:val="0420" w:firstRow="1" w:lastRow="0" w:firstColumn="0" w:lastColumn="0" w:noHBand="0" w:noVBand="1"/>
      </w:tblPr>
      <w:tblGrid>
        <w:gridCol w:w="1820"/>
        <w:gridCol w:w="2045"/>
        <w:gridCol w:w="2998"/>
        <w:gridCol w:w="2945"/>
      </w:tblGrid>
      <w:tr w:rsidR="00861DB2" w:rsidRPr="007114AF" w14:paraId="6EDCFFE3" w14:textId="77777777" w:rsidTr="001C467C">
        <w:trPr>
          <w:trHeight w:val="584"/>
        </w:trPr>
        <w:tc>
          <w:tcPr>
            <w:tcW w:w="1820" w:type="dxa"/>
            <w:tcBorders>
              <w:top w:val="single" w:sz="8" w:space="0" w:color="FFFFFF"/>
              <w:left w:val="single" w:sz="8" w:space="0" w:color="FFFFFF"/>
              <w:bottom w:val="single" w:sz="24" w:space="0" w:color="FFFFFF"/>
              <w:right w:val="single" w:sz="8" w:space="0" w:color="FFFFFF"/>
            </w:tcBorders>
            <w:shd w:val="clear" w:color="auto" w:fill="8DB3E2"/>
            <w:tcMar>
              <w:top w:w="72" w:type="dxa"/>
              <w:left w:w="144" w:type="dxa"/>
              <w:bottom w:w="72" w:type="dxa"/>
              <w:right w:w="144" w:type="dxa"/>
            </w:tcMar>
            <w:hideMark/>
          </w:tcPr>
          <w:p w14:paraId="6EDCFFDF" w14:textId="77777777" w:rsidR="00861DB2" w:rsidRPr="007114AF" w:rsidRDefault="00861DB2" w:rsidP="001C467C">
            <w:pPr>
              <w:pBdr>
                <w:bar w:val="single" w:sz="4" w:color="FF8080"/>
              </w:pBdr>
              <w:spacing w:line="240" w:lineRule="auto"/>
              <w:rPr>
                <w:rFonts w:ascii="Garamond" w:eastAsia="MS Mincho" w:hAnsi="Garamond" w:cs="Arial"/>
                <w:sz w:val="18"/>
                <w:szCs w:val="18"/>
                <w:lang w:eastAsia="en-US"/>
              </w:rPr>
            </w:pPr>
            <w:r w:rsidRPr="007114AF">
              <w:rPr>
                <w:rFonts w:ascii="Garamond" w:eastAsia="MS Mincho" w:hAnsi="Garamond" w:cs="Arial"/>
                <w:b/>
                <w:bCs/>
                <w:sz w:val="18"/>
                <w:szCs w:val="18"/>
                <w:lang w:eastAsia="en-US"/>
              </w:rPr>
              <w:t>Plan me rëndësi për integrimin</w:t>
            </w:r>
          </w:p>
        </w:tc>
        <w:tc>
          <w:tcPr>
            <w:tcW w:w="2045" w:type="dxa"/>
            <w:tcBorders>
              <w:top w:val="single" w:sz="8" w:space="0" w:color="FFFFFF"/>
              <w:left w:val="single" w:sz="8" w:space="0" w:color="FFFFFF"/>
              <w:bottom w:val="single" w:sz="24" w:space="0" w:color="FFFFFF"/>
              <w:right w:val="single" w:sz="8" w:space="0" w:color="FFFFFF"/>
            </w:tcBorders>
            <w:shd w:val="clear" w:color="auto" w:fill="8DB3E2"/>
            <w:tcMar>
              <w:top w:w="72" w:type="dxa"/>
              <w:left w:w="144" w:type="dxa"/>
              <w:bottom w:w="72" w:type="dxa"/>
              <w:right w:w="144" w:type="dxa"/>
            </w:tcMar>
            <w:hideMark/>
          </w:tcPr>
          <w:p w14:paraId="6EDCFFE0" w14:textId="77777777" w:rsidR="00861DB2" w:rsidRPr="007114AF" w:rsidRDefault="00861DB2" w:rsidP="001C467C">
            <w:pPr>
              <w:pBdr>
                <w:bar w:val="single" w:sz="4" w:color="FF8080"/>
              </w:pBdr>
              <w:spacing w:line="240" w:lineRule="auto"/>
              <w:rPr>
                <w:rFonts w:ascii="Garamond" w:eastAsia="MS Mincho" w:hAnsi="Garamond" w:cs="Arial"/>
                <w:sz w:val="18"/>
                <w:szCs w:val="18"/>
                <w:lang w:eastAsia="en-US"/>
              </w:rPr>
            </w:pPr>
            <w:r w:rsidRPr="007114AF">
              <w:rPr>
                <w:rFonts w:ascii="Garamond" w:eastAsia="MS Mincho" w:hAnsi="Garamond" w:cs="Arial"/>
                <w:b/>
                <w:bCs/>
                <w:sz w:val="18"/>
                <w:szCs w:val="18"/>
                <w:lang w:eastAsia="en-US"/>
              </w:rPr>
              <w:t>Periudha e planifikimit ose shqyrtimit</w:t>
            </w:r>
          </w:p>
        </w:tc>
        <w:tc>
          <w:tcPr>
            <w:tcW w:w="2998" w:type="dxa"/>
            <w:tcBorders>
              <w:top w:val="single" w:sz="8" w:space="0" w:color="FFFFFF"/>
              <w:left w:val="single" w:sz="8" w:space="0" w:color="FFFFFF"/>
              <w:bottom w:val="single" w:sz="24" w:space="0" w:color="FFFFFF"/>
              <w:right w:val="single" w:sz="8" w:space="0" w:color="FFFFFF"/>
            </w:tcBorders>
            <w:shd w:val="clear" w:color="auto" w:fill="8DB3E2"/>
            <w:tcMar>
              <w:top w:w="72" w:type="dxa"/>
              <w:left w:w="144" w:type="dxa"/>
              <w:bottom w:w="72" w:type="dxa"/>
              <w:right w:w="144" w:type="dxa"/>
            </w:tcMar>
            <w:hideMark/>
          </w:tcPr>
          <w:p w14:paraId="6EDCFFE1" w14:textId="77777777" w:rsidR="00861DB2" w:rsidRPr="007114AF" w:rsidRDefault="00861DB2" w:rsidP="001C467C">
            <w:pPr>
              <w:pBdr>
                <w:bar w:val="single" w:sz="4" w:color="FF8080"/>
              </w:pBdr>
              <w:spacing w:line="240" w:lineRule="auto"/>
              <w:rPr>
                <w:rFonts w:ascii="Garamond" w:eastAsia="MS Mincho" w:hAnsi="Garamond" w:cs="Arial"/>
                <w:sz w:val="18"/>
                <w:szCs w:val="18"/>
                <w:lang w:eastAsia="en-US"/>
              </w:rPr>
            </w:pPr>
            <w:r w:rsidRPr="007114AF">
              <w:rPr>
                <w:rFonts w:ascii="Garamond" w:eastAsia="MS Mincho" w:hAnsi="Garamond" w:cs="Arial"/>
                <w:b/>
                <w:bCs/>
                <w:sz w:val="18"/>
                <w:szCs w:val="18"/>
                <w:lang w:eastAsia="en-US"/>
              </w:rPr>
              <w:t>Drejtimi strategjik i integrimit</w:t>
            </w:r>
          </w:p>
        </w:tc>
        <w:tc>
          <w:tcPr>
            <w:tcW w:w="2945" w:type="dxa"/>
            <w:tcBorders>
              <w:top w:val="single" w:sz="8" w:space="0" w:color="FFFFFF"/>
              <w:left w:val="single" w:sz="8" w:space="0" w:color="FFFFFF"/>
              <w:bottom w:val="single" w:sz="24" w:space="0" w:color="FFFFFF"/>
              <w:right w:val="single" w:sz="8" w:space="0" w:color="FFFFFF"/>
            </w:tcBorders>
            <w:shd w:val="clear" w:color="auto" w:fill="8DB3E2"/>
            <w:tcMar>
              <w:top w:w="72" w:type="dxa"/>
              <w:left w:w="144" w:type="dxa"/>
              <w:bottom w:w="72" w:type="dxa"/>
              <w:right w:w="144" w:type="dxa"/>
            </w:tcMar>
            <w:hideMark/>
          </w:tcPr>
          <w:p w14:paraId="6EDCFFE2" w14:textId="77777777" w:rsidR="00861DB2" w:rsidRPr="007114AF" w:rsidRDefault="00861DB2" w:rsidP="001C467C">
            <w:pPr>
              <w:pBdr>
                <w:bar w:val="single" w:sz="4" w:color="FF8080"/>
              </w:pBdr>
              <w:spacing w:line="240" w:lineRule="auto"/>
              <w:rPr>
                <w:rFonts w:ascii="Garamond" w:eastAsia="MS Mincho" w:hAnsi="Garamond" w:cs="Arial"/>
                <w:sz w:val="18"/>
                <w:szCs w:val="18"/>
                <w:lang w:eastAsia="en-US"/>
              </w:rPr>
            </w:pPr>
            <w:r w:rsidRPr="007114AF">
              <w:rPr>
                <w:rFonts w:ascii="Garamond" w:eastAsia="MS Mincho" w:hAnsi="Garamond" w:cs="Arial"/>
                <w:b/>
                <w:bCs/>
                <w:sz w:val="18"/>
                <w:szCs w:val="18"/>
                <w:lang w:eastAsia="en-US"/>
              </w:rPr>
              <w:t>Instrumenti integrues</w:t>
            </w:r>
          </w:p>
        </w:tc>
      </w:tr>
      <w:tr w:rsidR="00861DB2" w:rsidRPr="007114AF" w14:paraId="6EDCFFE8" w14:textId="77777777" w:rsidTr="001C467C">
        <w:trPr>
          <w:trHeight w:val="584"/>
        </w:trPr>
        <w:tc>
          <w:tcPr>
            <w:tcW w:w="1820" w:type="dxa"/>
            <w:tcBorders>
              <w:top w:val="single" w:sz="24" w:space="0" w:color="FFFFFF"/>
              <w:left w:val="single" w:sz="8" w:space="0" w:color="FFFFFF"/>
              <w:bottom w:val="single" w:sz="8" w:space="0" w:color="FFFFFF"/>
              <w:right w:val="single" w:sz="8" w:space="0" w:color="FFFFFF"/>
            </w:tcBorders>
            <w:shd w:val="clear" w:color="auto" w:fill="CCD1E5"/>
            <w:tcMar>
              <w:top w:w="72" w:type="dxa"/>
              <w:left w:w="144" w:type="dxa"/>
              <w:bottom w:w="72" w:type="dxa"/>
              <w:right w:w="144" w:type="dxa"/>
            </w:tcMar>
            <w:hideMark/>
          </w:tcPr>
          <w:p w14:paraId="6EDCFFE4" w14:textId="77777777" w:rsidR="00861DB2" w:rsidRPr="007114AF" w:rsidRDefault="00861DB2" w:rsidP="001C467C">
            <w:pPr>
              <w:pBdr>
                <w:bar w:val="single" w:sz="4" w:color="FF8080"/>
              </w:pBdr>
              <w:spacing w:line="240" w:lineRule="auto"/>
              <w:rPr>
                <w:rFonts w:ascii="Garamond" w:eastAsia="MS Mincho" w:hAnsi="Garamond" w:cs="Arial"/>
                <w:sz w:val="18"/>
                <w:szCs w:val="18"/>
                <w:lang w:eastAsia="en-US"/>
              </w:rPr>
            </w:pPr>
            <w:r w:rsidRPr="007114AF">
              <w:rPr>
                <w:rFonts w:ascii="Garamond" w:eastAsia="MS Mincho" w:hAnsi="Garamond" w:cs="Arial"/>
                <w:sz w:val="18"/>
                <w:szCs w:val="18"/>
                <w:lang w:eastAsia="en-US"/>
              </w:rPr>
              <w:lastRenderedPageBreak/>
              <w:t>SKZHI</w:t>
            </w:r>
          </w:p>
        </w:tc>
        <w:tc>
          <w:tcPr>
            <w:tcW w:w="2045" w:type="dxa"/>
            <w:tcBorders>
              <w:top w:val="single" w:sz="24" w:space="0" w:color="FFFFFF"/>
              <w:left w:val="single" w:sz="8" w:space="0" w:color="FFFFFF"/>
              <w:bottom w:val="single" w:sz="8" w:space="0" w:color="FFFFFF"/>
              <w:right w:val="single" w:sz="8" w:space="0" w:color="FFFFFF"/>
            </w:tcBorders>
            <w:shd w:val="clear" w:color="auto" w:fill="CCD1E5"/>
            <w:tcMar>
              <w:top w:w="72" w:type="dxa"/>
              <w:left w:w="144" w:type="dxa"/>
              <w:bottom w:w="72" w:type="dxa"/>
              <w:right w:w="144" w:type="dxa"/>
            </w:tcMar>
            <w:hideMark/>
          </w:tcPr>
          <w:p w14:paraId="6EDCFFE5" w14:textId="77777777" w:rsidR="00861DB2" w:rsidRPr="007114AF" w:rsidRDefault="00861DB2" w:rsidP="001C467C">
            <w:pPr>
              <w:pBdr>
                <w:bar w:val="single" w:sz="4" w:color="FF8080"/>
              </w:pBdr>
              <w:spacing w:line="240" w:lineRule="auto"/>
              <w:rPr>
                <w:rFonts w:ascii="Garamond" w:eastAsia="MS Mincho" w:hAnsi="Garamond" w:cs="Arial"/>
                <w:sz w:val="18"/>
                <w:szCs w:val="18"/>
                <w:lang w:eastAsia="en-US"/>
              </w:rPr>
            </w:pPr>
            <w:r w:rsidRPr="007114AF">
              <w:rPr>
                <w:rFonts w:ascii="Garamond" w:eastAsia="MS Mincho" w:hAnsi="Garamond" w:cs="Arial"/>
                <w:sz w:val="18"/>
                <w:szCs w:val="18"/>
                <w:lang w:eastAsia="en-US"/>
              </w:rPr>
              <w:t>Qershor 2015</w:t>
            </w:r>
          </w:p>
        </w:tc>
        <w:tc>
          <w:tcPr>
            <w:tcW w:w="2998" w:type="dxa"/>
            <w:tcBorders>
              <w:top w:val="single" w:sz="24" w:space="0" w:color="FFFFFF"/>
              <w:left w:val="single" w:sz="8" w:space="0" w:color="FFFFFF"/>
              <w:bottom w:val="single" w:sz="8" w:space="0" w:color="FFFFFF"/>
              <w:right w:val="single" w:sz="8" w:space="0" w:color="FFFFFF"/>
            </w:tcBorders>
            <w:shd w:val="clear" w:color="auto" w:fill="CCD1E5"/>
            <w:tcMar>
              <w:top w:w="72" w:type="dxa"/>
              <w:left w:w="144" w:type="dxa"/>
              <w:bottom w:w="72" w:type="dxa"/>
              <w:right w:w="144" w:type="dxa"/>
            </w:tcMar>
            <w:hideMark/>
          </w:tcPr>
          <w:p w14:paraId="6EDCFFE6" w14:textId="77777777" w:rsidR="00861DB2" w:rsidRPr="007114AF" w:rsidRDefault="00861DB2" w:rsidP="001C467C">
            <w:pPr>
              <w:pBdr>
                <w:bar w:val="single" w:sz="4" w:color="FF8080"/>
              </w:pBdr>
              <w:spacing w:line="240" w:lineRule="auto"/>
              <w:rPr>
                <w:rFonts w:ascii="Garamond" w:eastAsia="MS Mincho" w:hAnsi="Garamond" w:cs="Arial"/>
                <w:sz w:val="18"/>
                <w:szCs w:val="18"/>
                <w:lang w:eastAsia="en-US"/>
              </w:rPr>
            </w:pPr>
            <w:r w:rsidRPr="007114AF">
              <w:rPr>
                <w:rFonts w:ascii="Garamond" w:eastAsia="MS Mincho" w:hAnsi="Garamond" w:cs="Arial"/>
                <w:sz w:val="18"/>
                <w:szCs w:val="18"/>
                <w:lang w:eastAsia="en-US"/>
              </w:rPr>
              <w:t>Ofron kuadrin për pasqyrimin e përshtatjes ndaj ndryshimeve klimatike në përgatitjen dhe zbatimin e politikave sektoriale në të ardhmen.</w:t>
            </w:r>
          </w:p>
        </w:tc>
        <w:tc>
          <w:tcPr>
            <w:tcW w:w="2945" w:type="dxa"/>
            <w:tcBorders>
              <w:top w:val="single" w:sz="24" w:space="0" w:color="FFFFFF"/>
              <w:left w:val="single" w:sz="8" w:space="0" w:color="FFFFFF"/>
              <w:bottom w:val="single" w:sz="8" w:space="0" w:color="FFFFFF"/>
              <w:right w:val="single" w:sz="8" w:space="0" w:color="FFFFFF"/>
            </w:tcBorders>
            <w:shd w:val="clear" w:color="auto" w:fill="CCD1E5"/>
            <w:tcMar>
              <w:top w:w="72" w:type="dxa"/>
              <w:left w:w="144" w:type="dxa"/>
              <w:bottom w:w="72" w:type="dxa"/>
              <w:right w:w="144" w:type="dxa"/>
            </w:tcMar>
            <w:hideMark/>
          </w:tcPr>
          <w:p w14:paraId="6EDCFFE7" w14:textId="77777777" w:rsidR="00861DB2" w:rsidRPr="007114AF" w:rsidRDefault="00861DB2" w:rsidP="001C467C">
            <w:pPr>
              <w:pBdr>
                <w:bar w:val="single" w:sz="4" w:color="FF8080"/>
              </w:pBdr>
              <w:spacing w:line="240" w:lineRule="auto"/>
              <w:rPr>
                <w:rFonts w:ascii="Garamond" w:eastAsia="MS Mincho" w:hAnsi="Garamond" w:cs="Arial"/>
                <w:sz w:val="18"/>
                <w:szCs w:val="18"/>
                <w:lang w:eastAsia="en-US"/>
              </w:rPr>
            </w:pPr>
            <w:r w:rsidRPr="007114AF">
              <w:rPr>
                <w:rFonts w:ascii="Garamond" w:eastAsia="MS Mincho" w:hAnsi="Garamond" w:cs="Arial"/>
                <w:sz w:val="18"/>
                <w:szCs w:val="18"/>
                <w:lang w:eastAsia="en-US"/>
              </w:rPr>
              <w:t>Thjerra klimatike</w:t>
            </w:r>
          </w:p>
        </w:tc>
      </w:tr>
      <w:tr w:rsidR="00861DB2" w:rsidRPr="007114AF" w14:paraId="6EDCFFEE" w14:textId="77777777" w:rsidTr="001C467C">
        <w:trPr>
          <w:trHeight w:val="584"/>
        </w:trPr>
        <w:tc>
          <w:tcPr>
            <w:tcW w:w="1820" w:type="dxa"/>
            <w:tcBorders>
              <w:top w:val="single" w:sz="8" w:space="0" w:color="FFFFFF"/>
              <w:left w:val="single" w:sz="8" w:space="0" w:color="FFFFFF"/>
              <w:bottom w:val="single" w:sz="8" w:space="0" w:color="FFFFFF"/>
              <w:right w:val="single" w:sz="8" w:space="0" w:color="FFFFFF"/>
            </w:tcBorders>
            <w:shd w:val="clear" w:color="auto" w:fill="E8EAF2"/>
            <w:tcMar>
              <w:top w:w="72" w:type="dxa"/>
              <w:left w:w="144" w:type="dxa"/>
              <w:bottom w:w="72" w:type="dxa"/>
              <w:right w:w="144" w:type="dxa"/>
            </w:tcMar>
            <w:hideMark/>
          </w:tcPr>
          <w:p w14:paraId="6EDCFFE9" w14:textId="77777777" w:rsidR="00861DB2" w:rsidRPr="007114AF" w:rsidRDefault="00861DB2" w:rsidP="001C467C">
            <w:pPr>
              <w:pBdr>
                <w:bar w:val="single" w:sz="4" w:color="FF8080"/>
              </w:pBdr>
              <w:spacing w:line="240" w:lineRule="auto"/>
              <w:rPr>
                <w:rFonts w:ascii="Garamond" w:eastAsia="MS Mincho" w:hAnsi="Garamond" w:cs="Arial"/>
                <w:sz w:val="18"/>
                <w:szCs w:val="18"/>
                <w:lang w:eastAsia="en-US"/>
              </w:rPr>
            </w:pPr>
            <w:r w:rsidRPr="007114AF">
              <w:rPr>
                <w:rFonts w:ascii="Garamond" w:eastAsia="MS Mincho" w:hAnsi="Garamond" w:cs="Arial"/>
                <w:sz w:val="18"/>
                <w:szCs w:val="18"/>
                <w:lang w:eastAsia="en-US"/>
              </w:rPr>
              <w:t>Plani Kombëtar i Territorit / Plani Ndërsektorial i Integruar për Bregdetin</w:t>
            </w:r>
          </w:p>
        </w:tc>
        <w:tc>
          <w:tcPr>
            <w:tcW w:w="2045" w:type="dxa"/>
            <w:tcBorders>
              <w:top w:val="single" w:sz="8" w:space="0" w:color="FFFFFF"/>
              <w:left w:val="single" w:sz="8" w:space="0" w:color="FFFFFF"/>
              <w:bottom w:val="single" w:sz="8" w:space="0" w:color="FFFFFF"/>
              <w:right w:val="single" w:sz="8" w:space="0" w:color="FFFFFF"/>
            </w:tcBorders>
            <w:shd w:val="clear" w:color="auto" w:fill="E8EAF2"/>
            <w:tcMar>
              <w:top w:w="72" w:type="dxa"/>
              <w:left w:w="144" w:type="dxa"/>
              <w:bottom w:w="72" w:type="dxa"/>
              <w:right w:w="144" w:type="dxa"/>
            </w:tcMar>
            <w:hideMark/>
          </w:tcPr>
          <w:p w14:paraId="6EDCFFEA" w14:textId="77777777" w:rsidR="00861DB2" w:rsidRPr="007114AF" w:rsidRDefault="00861DB2" w:rsidP="001C467C">
            <w:pPr>
              <w:pBdr>
                <w:bar w:val="single" w:sz="4" w:color="FF8080"/>
              </w:pBdr>
              <w:spacing w:line="240" w:lineRule="auto"/>
              <w:rPr>
                <w:rFonts w:ascii="Garamond" w:eastAsia="MS Mincho" w:hAnsi="Garamond" w:cs="Arial"/>
                <w:sz w:val="18"/>
                <w:szCs w:val="18"/>
                <w:lang w:eastAsia="en-US"/>
              </w:rPr>
            </w:pPr>
            <w:r w:rsidRPr="007114AF">
              <w:rPr>
                <w:rFonts w:ascii="Garamond" w:eastAsia="MS Mincho" w:hAnsi="Garamond" w:cs="Arial"/>
                <w:sz w:val="18"/>
                <w:szCs w:val="18"/>
                <w:lang w:eastAsia="en-US"/>
              </w:rPr>
              <w:t>Mars 2016</w:t>
            </w:r>
          </w:p>
        </w:tc>
        <w:tc>
          <w:tcPr>
            <w:tcW w:w="2998" w:type="dxa"/>
            <w:tcBorders>
              <w:top w:val="single" w:sz="8" w:space="0" w:color="FFFFFF"/>
              <w:left w:val="single" w:sz="8" w:space="0" w:color="FFFFFF"/>
              <w:bottom w:val="single" w:sz="8" w:space="0" w:color="FFFFFF"/>
              <w:right w:val="single" w:sz="8" w:space="0" w:color="FFFFFF"/>
            </w:tcBorders>
            <w:shd w:val="clear" w:color="auto" w:fill="E8EAF2"/>
            <w:tcMar>
              <w:top w:w="72" w:type="dxa"/>
              <w:left w:w="144" w:type="dxa"/>
              <w:bottom w:w="72" w:type="dxa"/>
              <w:right w:w="144" w:type="dxa"/>
            </w:tcMar>
            <w:hideMark/>
          </w:tcPr>
          <w:p w14:paraId="6EDCFFEB" w14:textId="3249DC83" w:rsidR="00861DB2" w:rsidRPr="007114AF" w:rsidRDefault="00861DB2" w:rsidP="001C467C">
            <w:pPr>
              <w:pBdr>
                <w:bar w:val="single" w:sz="4" w:color="FF8080"/>
              </w:pBdr>
              <w:spacing w:line="240" w:lineRule="auto"/>
              <w:rPr>
                <w:rFonts w:ascii="Garamond" w:eastAsia="MS Mincho" w:hAnsi="Garamond" w:cs="Arial"/>
                <w:sz w:val="18"/>
                <w:szCs w:val="18"/>
                <w:lang w:eastAsia="en-US"/>
              </w:rPr>
            </w:pPr>
            <w:r w:rsidRPr="007114AF">
              <w:rPr>
                <w:rFonts w:ascii="Garamond" w:eastAsia="MS Mincho" w:hAnsi="Garamond" w:cs="Arial"/>
                <w:sz w:val="18"/>
                <w:szCs w:val="18"/>
                <w:lang w:eastAsia="en-US"/>
              </w:rPr>
              <w:t>Ulja e vulnerabilitetit</w:t>
            </w:r>
            <w:r w:rsidR="000E345C">
              <w:rPr>
                <w:rFonts w:ascii="Garamond" w:eastAsia="MS Mincho" w:hAnsi="Garamond" w:cs="Arial"/>
                <w:sz w:val="18"/>
                <w:szCs w:val="18"/>
                <w:lang w:eastAsia="en-US"/>
              </w:rPr>
              <w:t xml:space="preserve"> </w:t>
            </w:r>
            <w:r w:rsidRPr="007114AF">
              <w:rPr>
                <w:rFonts w:ascii="Garamond" w:eastAsia="MS Mincho" w:hAnsi="Garamond" w:cs="Arial"/>
                <w:sz w:val="18"/>
                <w:szCs w:val="18"/>
                <w:lang w:eastAsia="en-US"/>
              </w:rPr>
              <w:t>nëpërmjet Planit.</w:t>
            </w:r>
          </w:p>
        </w:tc>
        <w:tc>
          <w:tcPr>
            <w:tcW w:w="2945" w:type="dxa"/>
            <w:tcBorders>
              <w:top w:val="single" w:sz="8" w:space="0" w:color="FFFFFF"/>
              <w:left w:val="single" w:sz="8" w:space="0" w:color="FFFFFF"/>
              <w:bottom w:val="single" w:sz="8" w:space="0" w:color="FFFFFF"/>
              <w:right w:val="single" w:sz="8" w:space="0" w:color="FFFFFF"/>
            </w:tcBorders>
            <w:shd w:val="clear" w:color="auto" w:fill="E8EAF2"/>
            <w:tcMar>
              <w:top w:w="72" w:type="dxa"/>
              <w:left w:w="144" w:type="dxa"/>
              <w:bottom w:w="72" w:type="dxa"/>
              <w:right w:w="144" w:type="dxa"/>
            </w:tcMar>
            <w:hideMark/>
          </w:tcPr>
          <w:p w14:paraId="6EDCFFEC" w14:textId="77777777" w:rsidR="00861DB2" w:rsidRPr="007114AF" w:rsidRDefault="00861DB2" w:rsidP="001C467C">
            <w:pPr>
              <w:pBdr>
                <w:bar w:val="single" w:sz="4" w:color="FF8080"/>
              </w:pBdr>
              <w:spacing w:line="240" w:lineRule="auto"/>
              <w:rPr>
                <w:rFonts w:ascii="Garamond" w:eastAsia="MS Mincho" w:hAnsi="Garamond" w:cs="Arial"/>
                <w:sz w:val="18"/>
                <w:szCs w:val="18"/>
                <w:lang w:eastAsia="en-US"/>
              </w:rPr>
            </w:pPr>
            <w:r w:rsidRPr="007114AF">
              <w:rPr>
                <w:rFonts w:ascii="Garamond" w:eastAsia="MS Mincho" w:hAnsi="Garamond" w:cs="Arial"/>
                <w:sz w:val="18"/>
                <w:szCs w:val="18"/>
                <w:lang w:eastAsia="en-US"/>
              </w:rPr>
              <w:t>Përfshirja e mbrojtjes klimatike në vlerësimin strategjik mjedisor, shfrytëzimi i ekspertizës nga Komunikimet Kombëtare të Shqipërisë për UNFCCC-ën.</w:t>
            </w:r>
          </w:p>
          <w:p w14:paraId="6EDCFFED" w14:textId="77777777" w:rsidR="00861DB2" w:rsidRPr="007114AF" w:rsidRDefault="00861DB2" w:rsidP="001C467C">
            <w:pPr>
              <w:pBdr>
                <w:bar w:val="single" w:sz="4" w:color="FF8080"/>
              </w:pBdr>
              <w:spacing w:line="240" w:lineRule="auto"/>
              <w:rPr>
                <w:rFonts w:ascii="Garamond" w:eastAsia="MS Mincho" w:hAnsi="Garamond" w:cs="Arial"/>
                <w:sz w:val="18"/>
                <w:szCs w:val="18"/>
                <w:lang w:eastAsia="en-US"/>
              </w:rPr>
            </w:pPr>
            <w:r w:rsidRPr="007114AF">
              <w:rPr>
                <w:rFonts w:ascii="Garamond" w:eastAsia="MS Mincho" w:hAnsi="Garamond" w:cs="Arial"/>
                <w:sz w:val="18"/>
                <w:szCs w:val="18"/>
                <w:lang w:eastAsia="en-US"/>
              </w:rPr>
              <w:t>Futja në dokument e një kapitulli të shkurtër për përshtatjen ndaj ndryshimeve klimatike.</w:t>
            </w:r>
          </w:p>
        </w:tc>
      </w:tr>
      <w:tr w:rsidR="00861DB2" w:rsidRPr="007114AF" w14:paraId="6EDCFFF3" w14:textId="77777777" w:rsidTr="001C467C">
        <w:trPr>
          <w:trHeight w:val="584"/>
        </w:trPr>
        <w:tc>
          <w:tcPr>
            <w:tcW w:w="1820" w:type="dxa"/>
            <w:tcBorders>
              <w:top w:val="single" w:sz="8" w:space="0" w:color="FFFFFF"/>
              <w:left w:val="single" w:sz="8" w:space="0" w:color="FFFFFF"/>
              <w:bottom w:val="single" w:sz="8" w:space="0" w:color="FFFFFF"/>
              <w:right w:val="single" w:sz="8" w:space="0" w:color="FFFFFF"/>
            </w:tcBorders>
            <w:shd w:val="clear" w:color="auto" w:fill="CCD1E5"/>
            <w:tcMar>
              <w:top w:w="72" w:type="dxa"/>
              <w:left w:w="144" w:type="dxa"/>
              <w:bottom w:w="72" w:type="dxa"/>
              <w:right w:w="144" w:type="dxa"/>
            </w:tcMar>
            <w:hideMark/>
          </w:tcPr>
          <w:p w14:paraId="6EDCFFEF" w14:textId="77777777" w:rsidR="00861DB2" w:rsidRPr="007114AF" w:rsidRDefault="00861DB2" w:rsidP="001C467C">
            <w:pPr>
              <w:pBdr>
                <w:bar w:val="single" w:sz="4" w:color="FF8080"/>
              </w:pBdr>
              <w:spacing w:line="240" w:lineRule="auto"/>
              <w:rPr>
                <w:rFonts w:ascii="Garamond" w:eastAsia="MS Mincho" w:hAnsi="Garamond" w:cs="Arial"/>
                <w:sz w:val="18"/>
                <w:szCs w:val="18"/>
                <w:lang w:eastAsia="en-US"/>
              </w:rPr>
            </w:pPr>
            <w:r w:rsidRPr="007114AF">
              <w:rPr>
                <w:rFonts w:ascii="Garamond" w:eastAsia="MS Mincho" w:hAnsi="Garamond" w:cs="Arial"/>
                <w:sz w:val="18"/>
                <w:szCs w:val="18"/>
                <w:lang w:eastAsia="en-US"/>
              </w:rPr>
              <w:t>Plani për Zhvillimin e Bregdetit</w:t>
            </w:r>
          </w:p>
        </w:tc>
        <w:tc>
          <w:tcPr>
            <w:tcW w:w="2045" w:type="dxa"/>
            <w:tcBorders>
              <w:top w:val="single" w:sz="8" w:space="0" w:color="FFFFFF"/>
              <w:left w:val="single" w:sz="8" w:space="0" w:color="FFFFFF"/>
              <w:bottom w:val="single" w:sz="8" w:space="0" w:color="FFFFFF"/>
              <w:right w:val="single" w:sz="8" w:space="0" w:color="FFFFFF"/>
            </w:tcBorders>
            <w:shd w:val="clear" w:color="auto" w:fill="CCD1E5"/>
            <w:tcMar>
              <w:top w:w="72" w:type="dxa"/>
              <w:left w:w="144" w:type="dxa"/>
              <w:bottom w:w="72" w:type="dxa"/>
              <w:right w:w="144" w:type="dxa"/>
            </w:tcMar>
            <w:hideMark/>
          </w:tcPr>
          <w:p w14:paraId="6EDCFFF0" w14:textId="77777777" w:rsidR="00861DB2" w:rsidRPr="007114AF" w:rsidRDefault="00861DB2" w:rsidP="001C467C">
            <w:pPr>
              <w:pBdr>
                <w:bar w:val="single" w:sz="4" w:color="FF8080"/>
              </w:pBdr>
              <w:spacing w:line="240" w:lineRule="auto"/>
              <w:rPr>
                <w:rFonts w:ascii="Garamond" w:eastAsia="MS Mincho" w:hAnsi="Garamond" w:cs="Arial"/>
                <w:sz w:val="18"/>
                <w:szCs w:val="18"/>
                <w:lang w:eastAsia="en-US"/>
              </w:rPr>
            </w:pPr>
            <w:r w:rsidRPr="007114AF">
              <w:rPr>
                <w:rFonts w:ascii="Garamond" w:eastAsia="MS Mincho" w:hAnsi="Garamond" w:cs="Arial"/>
                <w:sz w:val="18"/>
                <w:szCs w:val="18"/>
                <w:lang w:eastAsia="en-US"/>
              </w:rPr>
              <w:t>Fund i vitit 2016</w:t>
            </w:r>
          </w:p>
        </w:tc>
        <w:tc>
          <w:tcPr>
            <w:tcW w:w="2998" w:type="dxa"/>
            <w:tcBorders>
              <w:top w:val="single" w:sz="8" w:space="0" w:color="FFFFFF"/>
              <w:left w:val="single" w:sz="8" w:space="0" w:color="FFFFFF"/>
              <w:bottom w:val="single" w:sz="8" w:space="0" w:color="FFFFFF"/>
              <w:right w:val="single" w:sz="8" w:space="0" w:color="FFFFFF"/>
            </w:tcBorders>
            <w:shd w:val="clear" w:color="auto" w:fill="CCD1E5"/>
            <w:tcMar>
              <w:top w:w="72" w:type="dxa"/>
              <w:left w:w="144" w:type="dxa"/>
              <w:bottom w:w="72" w:type="dxa"/>
              <w:right w:w="144" w:type="dxa"/>
            </w:tcMar>
            <w:hideMark/>
          </w:tcPr>
          <w:p w14:paraId="6EDCFFF1" w14:textId="77777777" w:rsidR="00861DB2" w:rsidRPr="007114AF" w:rsidRDefault="00861DB2" w:rsidP="001C467C">
            <w:pPr>
              <w:pBdr>
                <w:bar w:val="single" w:sz="4" w:color="FF8080"/>
              </w:pBdr>
              <w:spacing w:line="240" w:lineRule="auto"/>
              <w:rPr>
                <w:rFonts w:ascii="Garamond" w:eastAsia="MS Mincho" w:hAnsi="Garamond" w:cs="Arial"/>
                <w:sz w:val="18"/>
                <w:szCs w:val="18"/>
                <w:lang w:eastAsia="en-US"/>
              </w:rPr>
            </w:pPr>
            <w:r w:rsidRPr="007114AF">
              <w:rPr>
                <w:rFonts w:ascii="Garamond" w:eastAsia="MS Mincho" w:hAnsi="Garamond" w:cs="Arial"/>
                <w:sz w:val="18"/>
                <w:szCs w:val="18"/>
                <w:lang w:eastAsia="en-US"/>
              </w:rPr>
              <w:t>Lidhja me mekanizmat e zbatimit të NAP-it.</w:t>
            </w:r>
          </w:p>
        </w:tc>
        <w:tc>
          <w:tcPr>
            <w:tcW w:w="2945" w:type="dxa"/>
            <w:tcBorders>
              <w:top w:val="single" w:sz="8" w:space="0" w:color="FFFFFF"/>
              <w:left w:val="single" w:sz="8" w:space="0" w:color="FFFFFF"/>
              <w:bottom w:val="single" w:sz="8" w:space="0" w:color="FFFFFF"/>
              <w:right w:val="single" w:sz="8" w:space="0" w:color="FFFFFF"/>
            </w:tcBorders>
            <w:shd w:val="clear" w:color="auto" w:fill="CCD1E5"/>
            <w:tcMar>
              <w:top w:w="72" w:type="dxa"/>
              <w:left w:w="144" w:type="dxa"/>
              <w:bottom w:w="72" w:type="dxa"/>
              <w:right w:w="144" w:type="dxa"/>
            </w:tcMar>
            <w:hideMark/>
          </w:tcPr>
          <w:p w14:paraId="6EDCFFF2" w14:textId="77777777" w:rsidR="00861DB2" w:rsidRPr="007114AF" w:rsidRDefault="00861DB2" w:rsidP="001C467C">
            <w:pPr>
              <w:pBdr>
                <w:bar w:val="single" w:sz="4" w:color="FF8080"/>
              </w:pBdr>
              <w:spacing w:line="240" w:lineRule="auto"/>
              <w:rPr>
                <w:rFonts w:ascii="Garamond" w:eastAsia="MS Mincho" w:hAnsi="Garamond" w:cs="Arial"/>
                <w:sz w:val="18"/>
                <w:szCs w:val="18"/>
                <w:lang w:eastAsia="en-US"/>
              </w:rPr>
            </w:pPr>
            <w:r w:rsidRPr="007114AF">
              <w:rPr>
                <w:rFonts w:ascii="Garamond" w:eastAsia="MS Mincho" w:hAnsi="Garamond" w:cs="Arial"/>
                <w:sz w:val="18"/>
                <w:szCs w:val="18"/>
                <w:lang w:eastAsia="en-US"/>
              </w:rPr>
              <w:t>Përfshirja në ekip e ekspertit të përshtatjes ndaj ndryshimeve klimatike, shfrytëzimi i ekspertizës nga projektet e GIZ-it dhe KTK-së.</w:t>
            </w:r>
          </w:p>
        </w:tc>
      </w:tr>
      <w:tr w:rsidR="00861DB2" w:rsidRPr="007114AF" w14:paraId="6EDCFFF8" w14:textId="77777777" w:rsidTr="001C467C">
        <w:trPr>
          <w:trHeight w:val="584"/>
        </w:trPr>
        <w:tc>
          <w:tcPr>
            <w:tcW w:w="1820" w:type="dxa"/>
            <w:tcBorders>
              <w:top w:val="single" w:sz="8" w:space="0" w:color="FFFFFF"/>
              <w:left w:val="single" w:sz="8" w:space="0" w:color="FFFFFF"/>
              <w:bottom w:val="single" w:sz="8" w:space="0" w:color="FFFFFF"/>
              <w:right w:val="single" w:sz="8" w:space="0" w:color="FFFFFF"/>
            </w:tcBorders>
            <w:shd w:val="clear" w:color="auto" w:fill="E8EAF2"/>
            <w:tcMar>
              <w:top w:w="72" w:type="dxa"/>
              <w:left w:w="144" w:type="dxa"/>
              <w:bottom w:w="72" w:type="dxa"/>
              <w:right w:w="144" w:type="dxa"/>
            </w:tcMar>
            <w:hideMark/>
          </w:tcPr>
          <w:p w14:paraId="6EDCFFF4" w14:textId="77777777" w:rsidR="00861DB2" w:rsidRPr="007114AF" w:rsidRDefault="00861DB2" w:rsidP="001C467C">
            <w:pPr>
              <w:pBdr>
                <w:bar w:val="single" w:sz="4" w:color="FF8080"/>
              </w:pBdr>
              <w:spacing w:line="240" w:lineRule="auto"/>
              <w:rPr>
                <w:rFonts w:ascii="Garamond" w:eastAsia="MS Mincho" w:hAnsi="Garamond" w:cs="Arial"/>
                <w:sz w:val="18"/>
                <w:szCs w:val="18"/>
                <w:lang w:eastAsia="en-US"/>
              </w:rPr>
            </w:pPr>
            <w:r w:rsidRPr="007114AF">
              <w:rPr>
                <w:rFonts w:ascii="Garamond" w:eastAsia="MS Mincho" w:hAnsi="Garamond" w:cs="Arial"/>
                <w:sz w:val="18"/>
                <w:szCs w:val="18"/>
                <w:lang w:eastAsia="en-US"/>
              </w:rPr>
              <w:t xml:space="preserve">Strategjia Kombëtare për Menaxhimin e Integruar të Burimeve Ujore </w:t>
            </w:r>
          </w:p>
        </w:tc>
        <w:tc>
          <w:tcPr>
            <w:tcW w:w="2045" w:type="dxa"/>
            <w:tcBorders>
              <w:top w:val="single" w:sz="8" w:space="0" w:color="FFFFFF"/>
              <w:left w:val="single" w:sz="8" w:space="0" w:color="FFFFFF"/>
              <w:bottom w:val="single" w:sz="8" w:space="0" w:color="FFFFFF"/>
              <w:right w:val="single" w:sz="8" w:space="0" w:color="FFFFFF"/>
            </w:tcBorders>
            <w:shd w:val="clear" w:color="auto" w:fill="E8EAF2"/>
            <w:tcMar>
              <w:top w:w="72" w:type="dxa"/>
              <w:left w:w="144" w:type="dxa"/>
              <w:bottom w:w="72" w:type="dxa"/>
              <w:right w:w="144" w:type="dxa"/>
            </w:tcMar>
            <w:hideMark/>
          </w:tcPr>
          <w:p w14:paraId="6EDCFFF5" w14:textId="77777777" w:rsidR="00861DB2" w:rsidRPr="007114AF" w:rsidRDefault="00861DB2" w:rsidP="001C467C">
            <w:pPr>
              <w:pBdr>
                <w:bar w:val="single" w:sz="4" w:color="FF8080"/>
              </w:pBdr>
              <w:spacing w:line="240" w:lineRule="auto"/>
              <w:rPr>
                <w:rFonts w:ascii="Garamond" w:eastAsia="MS Mincho" w:hAnsi="Garamond" w:cs="Arial"/>
                <w:sz w:val="18"/>
                <w:szCs w:val="18"/>
                <w:lang w:eastAsia="en-US"/>
              </w:rPr>
            </w:pPr>
            <w:r w:rsidRPr="007114AF">
              <w:rPr>
                <w:rFonts w:ascii="Garamond" w:eastAsia="MS Mincho" w:hAnsi="Garamond" w:cs="Arial"/>
                <w:sz w:val="18"/>
                <w:szCs w:val="18"/>
                <w:lang w:eastAsia="en-US"/>
              </w:rPr>
              <w:t>Prill 2016</w:t>
            </w:r>
          </w:p>
        </w:tc>
        <w:tc>
          <w:tcPr>
            <w:tcW w:w="2998" w:type="dxa"/>
            <w:tcBorders>
              <w:top w:val="single" w:sz="8" w:space="0" w:color="FFFFFF"/>
              <w:left w:val="single" w:sz="8" w:space="0" w:color="FFFFFF"/>
              <w:bottom w:val="single" w:sz="8" w:space="0" w:color="FFFFFF"/>
              <w:right w:val="single" w:sz="8" w:space="0" w:color="FFFFFF"/>
            </w:tcBorders>
            <w:shd w:val="clear" w:color="auto" w:fill="E8EAF2"/>
            <w:tcMar>
              <w:top w:w="72" w:type="dxa"/>
              <w:left w:w="144" w:type="dxa"/>
              <w:bottom w:w="72" w:type="dxa"/>
              <w:right w:w="144" w:type="dxa"/>
            </w:tcMar>
            <w:hideMark/>
          </w:tcPr>
          <w:p w14:paraId="6EDCFFF6" w14:textId="77777777" w:rsidR="00861DB2" w:rsidRPr="007114AF" w:rsidRDefault="00861DB2" w:rsidP="001C467C">
            <w:pPr>
              <w:pBdr>
                <w:bar w:val="single" w:sz="4" w:color="FF8080"/>
              </w:pBdr>
              <w:spacing w:line="240" w:lineRule="auto"/>
              <w:rPr>
                <w:rFonts w:ascii="Garamond" w:eastAsia="MS Mincho" w:hAnsi="Garamond" w:cs="Arial"/>
                <w:sz w:val="18"/>
                <w:szCs w:val="18"/>
                <w:lang w:eastAsia="en-US"/>
              </w:rPr>
            </w:pPr>
            <w:r w:rsidRPr="007114AF">
              <w:rPr>
                <w:rFonts w:ascii="Garamond" w:eastAsia="MS Mincho" w:hAnsi="Garamond" w:cs="Arial"/>
                <w:sz w:val="18"/>
                <w:szCs w:val="18"/>
                <w:lang w:eastAsia="en-US"/>
              </w:rPr>
              <w:t>Sigurimi i një sektori uji me aftësi rimëkëmbëse kundrejt ndryshimeve të klimës.</w:t>
            </w:r>
          </w:p>
        </w:tc>
        <w:tc>
          <w:tcPr>
            <w:tcW w:w="2945" w:type="dxa"/>
            <w:tcBorders>
              <w:top w:val="single" w:sz="8" w:space="0" w:color="FFFFFF"/>
              <w:left w:val="single" w:sz="8" w:space="0" w:color="FFFFFF"/>
              <w:bottom w:val="single" w:sz="8" w:space="0" w:color="FFFFFF"/>
              <w:right w:val="single" w:sz="8" w:space="0" w:color="FFFFFF"/>
            </w:tcBorders>
            <w:shd w:val="clear" w:color="auto" w:fill="E8EAF2"/>
            <w:tcMar>
              <w:top w:w="72" w:type="dxa"/>
              <w:left w:w="144" w:type="dxa"/>
              <w:bottom w:w="72" w:type="dxa"/>
              <w:right w:w="144" w:type="dxa"/>
            </w:tcMar>
            <w:hideMark/>
          </w:tcPr>
          <w:p w14:paraId="6EDCFFF7" w14:textId="4029B28F" w:rsidR="00861DB2" w:rsidRPr="007114AF" w:rsidRDefault="00861DB2" w:rsidP="001C467C">
            <w:pPr>
              <w:pBdr>
                <w:bar w:val="single" w:sz="4" w:color="FF8080"/>
              </w:pBdr>
              <w:spacing w:line="240" w:lineRule="auto"/>
              <w:rPr>
                <w:rFonts w:ascii="Garamond" w:eastAsia="MS Mincho" w:hAnsi="Garamond" w:cs="Arial"/>
                <w:sz w:val="18"/>
                <w:szCs w:val="18"/>
                <w:lang w:eastAsia="en-US"/>
              </w:rPr>
            </w:pPr>
            <w:r w:rsidRPr="007114AF">
              <w:rPr>
                <w:rFonts w:ascii="Garamond" w:eastAsia="MS Mincho" w:hAnsi="Garamond" w:cs="Arial"/>
                <w:sz w:val="18"/>
                <w:szCs w:val="18"/>
                <w:lang w:eastAsia="en-US"/>
              </w:rPr>
              <w:t>Futja e ndryshimeve klimatike si një element ndërsektorial i strategjisë kombëtare. Kontribute të konsiderueshme nga projekte ekzistuese për të siguruar përputhshmërinë,</w:t>
            </w:r>
            <w:r w:rsidR="000A2A01" w:rsidRPr="007114AF">
              <w:rPr>
                <w:rFonts w:ascii="Garamond" w:eastAsia="MS Mincho" w:hAnsi="Garamond" w:cs="Arial"/>
                <w:sz w:val="18"/>
                <w:szCs w:val="18"/>
                <w:lang w:eastAsia="en-US"/>
              </w:rPr>
              <w:t xml:space="preserve"> </w:t>
            </w:r>
            <w:r w:rsidRPr="007114AF">
              <w:rPr>
                <w:rFonts w:ascii="Garamond" w:eastAsia="MS Mincho" w:hAnsi="Garamond" w:cs="Arial"/>
                <w:sz w:val="18"/>
                <w:szCs w:val="18"/>
                <w:lang w:eastAsia="en-US"/>
              </w:rPr>
              <w:t>nëpërmjet bashkërendimit me aktivitete të tjera sektoriale të lidhura me përshtatjen ndaj ndryshimeve klimatike.</w:t>
            </w:r>
          </w:p>
        </w:tc>
      </w:tr>
      <w:tr w:rsidR="00861DB2" w:rsidRPr="007114AF" w14:paraId="6EDCFFFD" w14:textId="77777777" w:rsidTr="001C467C">
        <w:trPr>
          <w:trHeight w:val="584"/>
        </w:trPr>
        <w:tc>
          <w:tcPr>
            <w:tcW w:w="1820" w:type="dxa"/>
            <w:tcBorders>
              <w:top w:val="single" w:sz="8" w:space="0" w:color="FFFFFF"/>
              <w:left w:val="single" w:sz="8" w:space="0" w:color="FFFFFF"/>
              <w:bottom w:val="single" w:sz="8" w:space="0" w:color="FFFFFF"/>
              <w:right w:val="single" w:sz="8" w:space="0" w:color="FFFFFF"/>
            </w:tcBorders>
            <w:shd w:val="clear" w:color="auto" w:fill="CCD1E5"/>
            <w:tcMar>
              <w:top w:w="72" w:type="dxa"/>
              <w:left w:w="144" w:type="dxa"/>
              <w:bottom w:w="72" w:type="dxa"/>
              <w:right w:w="144" w:type="dxa"/>
            </w:tcMar>
            <w:hideMark/>
          </w:tcPr>
          <w:p w14:paraId="6EDCFFF9" w14:textId="77777777" w:rsidR="00861DB2" w:rsidRPr="007114AF" w:rsidRDefault="00861DB2" w:rsidP="001C467C">
            <w:pPr>
              <w:pBdr>
                <w:bar w:val="single" w:sz="4" w:color="FF8080"/>
              </w:pBdr>
              <w:spacing w:line="240" w:lineRule="auto"/>
              <w:rPr>
                <w:rFonts w:ascii="Garamond" w:eastAsia="MS Mincho" w:hAnsi="Garamond" w:cs="Arial"/>
                <w:sz w:val="18"/>
                <w:szCs w:val="18"/>
                <w:lang w:eastAsia="en-US"/>
              </w:rPr>
            </w:pPr>
            <w:r w:rsidRPr="007114AF">
              <w:rPr>
                <w:rFonts w:ascii="Garamond" w:eastAsia="MS Mincho" w:hAnsi="Garamond" w:cs="Arial"/>
                <w:sz w:val="18"/>
                <w:szCs w:val="18"/>
                <w:lang w:eastAsia="en-US"/>
              </w:rPr>
              <w:t>Strategjia Kombëtare e Energjisë</w:t>
            </w:r>
          </w:p>
        </w:tc>
        <w:tc>
          <w:tcPr>
            <w:tcW w:w="2045" w:type="dxa"/>
            <w:tcBorders>
              <w:top w:val="single" w:sz="8" w:space="0" w:color="FFFFFF"/>
              <w:left w:val="single" w:sz="8" w:space="0" w:color="FFFFFF"/>
              <w:bottom w:val="single" w:sz="8" w:space="0" w:color="FFFFFF"/>
              <w:right w:val="single" w:sz="8" w:space="0" w:color="FFFFFF"/>
            </w:tcBorders>
            <w:shd w:val="clear" w:color="auto" w:fill="CCD1E5"/>
            <w:tcMar>
              <w:top w:w="72" w:type="dxa"/>
              <w:left w:w="144" w:type="dxa"/>
              <w:bottom w:w="72" w:type="dxa"/>
              <w:right w:w="144" w:type="dxa"/>
            </w:tcMar>
            <w:hideMark/>
          </w:tcPr>
          <w:p w14:paraId="6EDCFFFA" w14:textId="4E0D0BAF" w:rsidR="00861DB2" w:rsidRPr="007114AF" w:rsidRDefault="00861DB2" w:rsidP="001C467C">
            <w:pPr>
              <w:pBdr>
                <w:bar w:val="single" w:sz="4" w:color="FF8080"/>
              </w:pBdr>
              <w:spacing w:line="240" w:lineRule="auto"/>
              <w:rPr>
                <w:rFonts w:ascii="Garamond" w:eastAsia="MS Mincho" w:hAnsi="Garamond" w:cs="Arial"/>
                <w:sz w:val="18"/>
                <w:szCs w:val="18"/>
                <w:lang w:eastAsia="en-US"/>
              </w:rPr>
            </w:pPr>
            <w:r w:rsidRPr="007114AF">
              <w:rPr>
                <w:rFonts w:ascii="Garamond" w:eastAsia="MS Mincho" w:hAnsi="Garamond" w:cs="Arial"/>
                <w:sz w:val="18"/>
                <w:szCs w:val="18"/>
                <w:lang w:eastAsia="en-US"/>
              </w:rPr>
              <w:t>Vendim i KM,</w:t>
            </w:r>
            <w:r w:rsidR="00242009" w:rsidRPr="007114AF">
              <w:rPr>
                <w:rFonts w:ascii="Garamond" w:eastAsia="MS Mincho" w:hAnsi="Garamond" w:cs="Arial"/>
                <w:sz w:val="18"/>
                <w:szCs w:val="18"/>
                <w:lang w:eastAsia="en-US"/>
              </w:rPr>
              <w:t xml:space="preserve"> nr. </w:t>
            </w:r>
            <w:r w:rsidRPr="007114AF">
              <w:rPr>
                <w:rFonts w:ascii="Garamond" w:eastAsia="MS Mincho" w:hAnsi="Garamond" w:cs="Arial"/>
                <w:sz w:val="18"/>
                <w:szCs w:val="18"/>
                <w:lang w:eastAsia="en-US"/>
              </w:rPr>
              <w:t>480, Dt.Aktit:31.07.2018,</w:t>
            </w:r>
          </w:p>
        </w:tc>
        <w:tc>
          <w:tcPr>
            <w:tcW w:w="2998" w:type="dxa"/>
            <w:tcBorders>
              <w:top w:val="single" w:sz="8" w:space="0" w:color="FFFFFF"/>
              <w:left w:val="single" w:sz="8" w:space="0" w:color="FFFFFF"/>
              <w:bottom w:val="single" w:sz="8" w:space="0" w:color="FFFFFF"/>
              <w:right w:val="single" w:sz="8" w:space="0" w:color="FFFFFF"/>
            </w:tcBorders>
            <w:shd w:val="clear" w:color="auto" w:fill="CCD1E5"/>
            <w:tcMar>
              <w:top w:w="72" w:type="dxa"/>
              <w:left w:w="144" w:type="dxa"/>
              <w:bottom w:w="72" w:type="dxa"/>
              <w:right w:w="144" w:type="dxa"/>
            </w:tcMar>
            <w:hideMark/>
          </w:tcPr>
          <w:p w14:paraId="6EDCFFFB" w14:textId="77777777" w:rsidR="00861DB2" w:rsidRPr="007114AF" w:rsidRDefault="00861DB2" w:rsidP="001C467C">
            <w:pPr>
              <w:pBdr>
                <w:bar w:val="single" w:sz="4" w:color="FF8080"/>
              </w:pBdr>
              <w:spacing w:line="240" w:lineRule="auto"/>
              <w:rPr>
                <w:rFonts w:ascii="Garamond" w:eastAsia="MS Mincho" w:hAnsi="Garamond" w:cs="Arial"/>
                <w:sz w:val="18"/>
                <w:szCs w:val="18"/>
                <w:lang w:eastAsia="en-US"/>
              </w:rPr>
            </w:pPr>
            <w:r w:rsidRPr="007114AF">
              <w:rPr>
                <w:rFonts w:ascii="Garamond" w:eastAsia="MS Mincho" w:hAnsi="Garamond" w:cs="Arial"/>
                <w:sz w:val="18"/>
                <w:szCs w:val="18"/>
                <w:lang w:eastAsia="en-US"/>
              </w:rPr>
              <w:t>Sigurimi i një sektori energjetik me aftësi rimëkëmbëse kundrejt ndryshimeve të klimës.</w:t>
            </w:r>
          </w:p>
        </w:tc>
        <w:tc>
          <w:tcPr>
            <w:tcW w:w="2945" w:type="dxa"/>
            <w:tcBorders>
              <w:top w:val="single" w:sz="8" w:space="0" w:color="FFFFFF"/>
              <w:left w:val="single" w:sz="8" w:space="0" w:color="FFFFFF"/>
              <w:bottom w:val="single" w:sz="8" w:space="0" w:color="FFFFFF"/>
              <w:right w:val="single" w:sz="8" w:space="0" w:color="FFFFFF"/>
            </w:tcBorders>
            <w:shd w:val="clear" w:color="auto" w:fill="CCD1E5"/>
            <w:tcMar>
              <w:top w:w="72" w:type="dxa"/>
              <w:left w:w="144" w:type="dxa"/>
              <w:bottom w:w="72" w:type="dxa"/>
              <w:right w:w="144" w:type="dxa"/>
            </w:tcMar>
            <w:hideMark/>
          </w:tcPr>
          <w:p w14:paraId="6EDCFFFC" w14:textId="77777777" w:rsidR="00861DB2" w:rsidRPr="007114AF" w:rsidRDefault="00861DB2" w:rsidP="001C467C">
            <w:pPr>
              <w:pBdr>
                <w:bar w:val="single" w:sz="4" w:color="FF8080"/>
              </w:pBdr>
              <w:spacing w:line="240" w:lineRule="auto"/>
              <w:rPr>
                <w:rFonts w:ascii="Garamond" w:eastAsia="MS Mincho" w:hAnsi="Garamond" w:cs="Arial"/>
                <w:sz w:val="18"/>
                <w:szCs w:val="18"/>
                <w:lang w:eastAsia="en-US"/>
              </w:rPr>
            </w:pPr>
            <w:r w:rsidRPr="007114AF">
              <w:rPr>
                <w:rFonts w:ascii="Garamond" w:eastAsia="MS Mincho" w:hAnsi="Garamond" w:cs="Arial"/>
                <w:sz w:val="18"/>
                <w:szCs w:val="18"/>
                <w:lang w:eastAsia="en-US"/>
              </w:rPr>
              <w:t>Parashikimi i thjerrës klimatike në varësi të ecurisë së mëtejshme të përgatitjes së strategjisë, shfrytëzimi i ekspertizës së Komunikimeve Kombëtare të Shqipërisë për UNFCCC-në.</w:t>
            </w:r>
          </w:p>
        </w:tc>
      </w:tr>
    </w:tbl>
    <w:p w14:paraId="6EDCFFFE" w14:textId="77777777" w:rsidR="008A4207" w:rsidRPr="007114AF" w:rsidRDefault="008A4207" w:rsidP="00524E98">
      <w:pPr>
        <w:pStyle w:val="TEKSTI"/>
      </w:pPr>
    </w:p>
    <w:p w14:paraId="6EDCFFFF" w14:textId="77777777" w:rsidR="00861DB2" w:rsidRPr="007114AF" w:rsidRDefault="00861DB2" w:rsidP="00861DB2">
      <w:pPr>
        <w:pStyle w:val="FIGURA"/>
        <w:rPr>
          <w:sz w:val="20"/>
          <w:szCs w:val="20"/>
        </w:rPr>
      </w:pPr>
      <w:r w:rsidRPr="007114AF">
        <w:rPr>
          <w:sz w:val="20"/>
          <w:szCs w:val="20"/>
        </w:rPr>
        <w:t>Tabela 16: Disa procese planifikimi të përzgjedhura me disa pika hyrëse për integrimin e përshtatjes ndaj ndryshimeve klimatike</w:t>
      </w:r>
    </w:p>
    <w:p w14:paraId="6EDD0000" w14:textId="77777777" w:rsidR="008A4207" w:rsidRPr="007114AF" w:rsidRDefault="008A4207" w:rsidP="001617A3">
      <w:pPr>
        <w:pStyle w:val="TEKSTI"/>
      </w:pPr>
    </w:p>
    <w:p w14:paraId="6EDD0001" w14:textId="6B72B33B" w:rsidR="001617A3" w:rsidRPr="007114AF" w:rsidRDefault="00CF2A42" w:rsidP="00CF2A42">
      <w:pPr>
        <w:pStyle w:val="TEKSTI"/>
      </w:pPr>
      <w:r w:rsidRPr="007114AF">
        <w:t xml:space="preserve">4.4 </w:t>
      </w:r>
      <w:r w:rsidR="001617A3" w:rsidRPr="007114AF">
        <w:t>Objektivat kryesor</w:t>
      </w:r>
      <w:r w:rsidR="00163F78">
        <w:t>ë</w:t>
      </w:r>
      <w:r w:rsidR="001617A3" w:rsidRPr="007114AF">
        <w:t xml:space="preserve"> të politikave për adresimin e përshtatjes ndaj ndryshimeve klimatike</w:t>
      </w:r>
    </w:p>
    <w:p w14:paraId="6EDD0002" w14:textId="2A52BD72" w:rsidR="001617A3" w:rsidRPr="007114AF" w:rsidRDefault="001617A3" w:rsidP="00CF2A42">
      <w:pPr>
        <w:pStyle w:val="TEKSTI"/>
      </w:pPr>
      <w:bookmarkStart w:id="158" w:name="_Toc479083858"/>
      <w:r w:rsidRPr="007114AF">
        <w:t>Një drejtim i efektshëm i procesit të përshtatjes kërkon objektiva dhe tregues të orientuar nga rezultatet. Ata e kufizojnë kompleksitetin, përmes reduktimit mbi treguesit kryesorë</w:t>
      </w:r>
      <w:r w:rsidR="000E345C">
        <w:t xml:space="preserve"> </w:t>
      </w:r>
      <w:r w:rsidRPr="007114AF">
        <w:t>që karakterizojnë progresin e përshtatjes dhe përmes mbështetjes te</w:t>
      </w:r>
      <w:r w:rsidR="00163F78">
        <w:t>k</w:t>
      </w:r>
      <w:r w:rsidRPr="007114AF">
        <w:t xml:space="preserve"> objektivat dhe treguesit ekzistues, për shembull ata që janë përcaktuar në SKZHI.</w:t>
      </w:r>
    </w:p>
    <w:p w14:paraId="6EDD0003" w14:textId="77777777" w:rsidR="001617A3" w:rsidRPr="007114AF" w:rsidRDefault="001617A3" w:rsidP="001617A3">
      <w:pPr>
        <w:pStyle w:val="TEKSTI"/>
        <w:rPr>
          <w:rFonts w:eastAsia="Times New Roman" w:cs="Times New Roman"/>
          <w:lang w:eastAsia="en-US"/>
        </w:rPr>
      </w:pPr>
      <w:bookmarkStart w:id="159" w:name="_Toc470186698"/>
      <w:r w:rsidRPr="007114AF">
        <w:rPr>
          <w:rFonts w:eastAsia="Times New Roman" w:cs="Times New Roman"/>
          <w:lang w:eastAsia="en-US"/>
        </w:rPr>
        <w:t>Parimet për një proces përshtatjeje të orientuar nga rezultatet</w:t>
      </w:r>
      <w:bookmarkEnd w:id="159"/>
    </w:p>
    <w:p w14:paraId="6EDD0004" w14:textId="77777777" w:rsidR="001617A3" w:rsidRPr="007114AF" w:rsidRDefault="001617A3" w:rsidP="001617A3">
      <w:pPr>
        <w:pStyle w:val="TEKSTI"/>
        <w:rPr>
          <w:bCs/>
          <w:iCs/>
        </w:rPr>
      </w:pPr>
      <w:bookmarkStart w:id="160" w:name="_Toc479083859"/>
      <w:bookmarkEnd w:id="158"/>
      <w:r w:rsidRPr="007114AF">
        <w:rPr>
          <w:bCs/>
          <w:iCs/>
        </w:rPr>
        <w:t>Procesi i NAP-it do të orientohet drejt zvogëlimit të vulnerabilitetit së Shqipërisë, nëpërmjet përmirësimit të menaxhimit të rreziqeve klimatike në sektorët përkatës. Ky proces do të ndjekë një qasje afatgjatë, duke qenë se ndryshimet klimatike, si edhe kundërpërgjigjet përkatëse të politikave për uljen e rreziqeve, evoluojnë gjatë shumë viteve / dekadave.</w:t>
      </w:r>
    </w:p>
    <w:p w14:paraId="6EDD0005" w14:textId="77777777" w:rsidR="001617A3" w:rsidRPr="007114AF" w:rsidRDefault="001617A3" w:rsidP="001617A3">
      <w:pPr>
        <w:pStyle w:val="TEKSTI"/>
        <w:rPr>
          <w:rFonts w:eastAsia="Times New Roman" w:cs="Times New Roman"/>
          <w:b/>
          <w:bCs/>
          <w:i/>
          <w:lang w:eastAsia="en-US"/>
        </w:rPr>
      </w:pPr>
      <w:bookmarkStart w:id="161" w:name="_Toc470186699"/>
      <w:bookmarkEnd w:id="160"/>
      <w:r w:rsidRPr="007114AF">
        <w:rPr>
          <w:rFonts w:eastAsia="Times New Roman" w:cs="Times New Roman"/>
          <w:b/>
          <w:bCs/>
          <w:i/>
          <w:lang w:eastAsia="en-US"/>
        </w:rPr>
        <w:t>Objektivat dhe treguesit gjithëpërfshirës</w:t>
      </w:r>
      <w:bookmarkEnd w:id="161"/>
    </w:p>
    <w:p w14:paraId="6EDD0006" w14:textId="77777777" w:rsidR="001617A3" w:rsidRPr="007114AF" w:rsidRDefault="001617A3" w:rsidP="001617A3">
      <w:pPr>
        <w:pStyle w:val="TEKSTI"/>
        <w:rPr>
          <w:bCs/>
          <w:iCs/>
        </w:rPr>
      </w:pPr>
      <w:r w:rsidRPr="007114AF">
        <w:rPr>
          <w:bCs/>
          <w:iCs/>
        </w:rPr>
        <w:t>Në përputhje me parimet e mësipërme, janë formuluar objektivat dhe treguesit për ato fusha të cilat janë me rëndësi strategjike gjithëpërfshirëse në procesin e përshtatjes në Shqipëri. Objektivat dhe treguesit në nivel operativ dhe për masa të veçanta sektoriale nuk mbulohen në NAP, por në strategjitë sektoriale përkatëse ose në SKZHI, e cila ka funksionin e saj drejtues për të gjithë procesin e zhvillimit dhe integrimit në Shqipëri.</w:t>
      </w:r>
    </w:p>
    <w:p w14:paraId="6EDD0007" w14:textId="77777777" w:rsidR="001617A3" w:rsidRPr="007114AF" w:rsidRDefault="001617A3" w:rsidP="001617A3">
      <w:pPr>
        <w:pStyle w:val="TEKSTI"/>
        <w:rPr>
          <w:bCs/>
          <w:iCs/>
        </w:rPr>
      </w:pPr>
      <w:r w:rsidRPr="007114AF">
        <w:rPr>
          <w:bCs/>
          <w:iCs/>
        </w:rPr>
        <w:t>Objektivat dhe treguesit e përmendur më poshtë, kanë nevojë për më shumë specifikim në lidhje me:</w:t>
      </w:r>
    </w:p>
    <w:p w14:paraId="6EDD0008" w14:textId="77777777" w:rsidR="001617A3" w:rsidRPr="007114AF" w:rsidRDefault="00CF2A42" w:rsidP="001617A3">
      <w:pPr>
        <w:pStyle w:val="TEKSTI"/>
      </w:pPr>
      <w:r w:rsidRPr="007114AF">
        <w:t xml:space="preserve">- </w:t>
      </w:r>
      <w:r w:rsidR="001617A3" w:rsidRPr="007114AF">
        <w:t>Aktorët përgjegjës për monitorimin</w:t>
      </w:r>
    </w:p>
    <w:p w14:paraId="6EDD0009" w14:textId="77777777" w:rsidR="001617A3" w:rsidRPr="007114AF" w:rsidRDefault="00CF2A42" w:rsidP="001617A3">
      <w:pPr>
        <w:pStyle w:val="TEKSTI"/>
      </w:pPr>
      <w:r w:rsidRPr="007114AF">
        <w:lastRenderedPageBreak/>
        <w:t xml:space="preserve">- </w:t>
      </w:r>
      <w:r w:rsidR="001617A3" w:rsidRPr="007114AF">
        <w:t>Burimet e informacionit</w:t>
      </w:r>
    </w:p>
    <w:p w14:paraId="6EDD000A" w14:textId="77777777" w:rsidR="001617A3" w:rsidRPr="007114AF" w:rsidRDefault="00CF2A42" w:rsidP="001617A3">
      <w:pPr>
        <w:pStyle w:val="TEKSTI"/>
      </w:pPr>
      <w:r w:rsidRPr="007114AF">
        <w:t xml:space="preserve">- </w:t>
      </w:r>
      <w:r w:rsidR="001617A3" w:rsidRPr="007114AF">
        <w:t>Afatet dhe përcaktimin e piketave.</w:t>
      </w:r>
    </w:p>
    <w:p w14:paraId="6EDD000B" w14:textId="62216DD4" w:rsidR="001617A3" w:rsidRDefault="001617A3" w:rsidP="001617A3">
      <w:pPr>
        <w:pStyle w:val="TEKSTI"/>
        <w:rPr>
          <w:bCs/>
          <w:iCs/>
        </w:rPr>
      </w:pPr>
      <w:r w:rsidRPr="007114AF">
        <w:rPr>
          <w:bCs/>
          <w:iCs/>
        </w:rPr>
        <w:t>Këto hollësi do të zhvillohen në kuadër të Sistemit të Monitorimit të Zbatimit të NAP-it (veprimi prioritar</w:t>
      </w:r>
      <w:r w:rsidR="00242009" w:rsidRPr="007114AF">
        <w:rPr>
          <w:bCs/>
          <w:iCs/>
        </w:rPr>
        <w:t xml:space="preserve"> nr. </w:t>
      </w:r>
      <w:r w:rsidRPr="007114AF">
        <w:rPr>
          <w:bCs/>
          <w:iCs/>
        </w:rPr>
        <w:t>4).</w:t>
      </w:r>
    </w:p>
    <w:p w14:paraId="7FBA45F1" w14:textId="77777777" w:rsidR="00836B59" w:rsidRPr="007114AF" w:rsidRDefault="00836B59" w:rsidP="001617A3">
      <w:pPr>
        <w:pStyle w:val="TEKSTI"/>
        <w:rPr>
          <w:bCs/>
          <w:iCs/>
        </w:rPr>
      </w:pPr>
    </w:p>
    <w:p w14:paraId="6EDD000C" w14:textId="281A3400" w:rsidR="001617A3" w:rsidRPr="007114AF" w:rsidRDefault="001617A3" w:rsidP="001617A3">
      <w:pPr>
        <w:pStyle w:val="FIGURA"/>
        <w:rPr>
          <w:bCs/>
          <w:iCs/>
          <w:sz w:val="20"/>
          <w:szCs w:val="20"/>
        </w:rPr>
      </w:pPr>
      <w:r w:rsidRPr="00836B59">
        <w:rPr>
          <w:sz w:val="20"/>
          <w:szCs w:val="20"/>
          <w:highlight w:val="yellow"/>
        </w:rPr>
        <w:fldChar w:fldCharType="begin"/>
      </w:r>
      <w:r w:rsidRPr="00836B59">
        <w:rPr>
          <w:sz w:val="20"/>
          <w:szCs w:val="20"/>
          <w:highlight w:val="yellow"/>
        </w:rPr>
        <w:instrText xml:space="preserve"> SEQ Table \* ARABIC </w:instrText>
      </w:r>
      <w:r w:rsidRPr="00836B59">
        <w:rPr>
          <w:sz w:val="20"/>
          <w:szCs w:val="20"/>
          <w:highlight w:val="yellow"/>
        </w:rPr>
        <w:fldChar w:fldCharType="separate"/>
      </w:r>
      <w:r w:rsidRPr="00836B59">
        <w:rPr>
          <w:sz w:val="20"/>
          <w:szCs w:val="20"/>
          <w:highlight w:val="yellow"/>
        </w:rPr>
        <w:t>15</w:t>
      </w:r>
      <w:r w:rsidRPr="00836B59">
        <w:rPr>
          <w:sz w:val="20"/>
          <w:szCs w:val="20"/>
          <w:highlight w:val="yellow"/>
        </w:rPr>
        <w:fldChar w:fldCharType="end"/>
      </w:r>
      <w:r w:rsidRPr="00836B59">
        <w:rPr>
          <w:sz w:val="20"/>
          <w:szCs w:val="20"/>
          <w:highlight w:val="yellow"/>
        </w:rPr>
        <w:t xml:space="preserve"> Objektivat</w:t>
      </w:r>
      <w:r w:rsidRPr="007114AF">
        <w:rPr>
          <w:sz w:val="20"/>
          <w:szCs w:val="20"/>
        </w:rPr>
        <w:t xml:space="preserve"> dhe treguesit për procesin e NAP-it të Shqipërisë</w:t>
      </w:r>
      <w:r w:rsidR="00836B59">
        <w:rPr>
          <w:sz w:val="20"/>
          <w:szCs w:val="20"/>
        </w:rPr>
        <w:t xml:space="preserve"> </w:t>
      </w:r>
      <w:r w:rsidRPr="007114AF">
        <w:rPr>
          <w:sz w:val="20"/>
          <w:szCs w:val="20"/>
        </w:rPr>
        <w:t xml:space="preserve">dhe lidhja e tyre me prioritetet e strategjisë </w:t>
      </w:r>
    </w:p>
    <w:tbl>
      <w:tblPr>
        <w:tblW w:w="95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93"/>
        <w:gridCol w:w="3503"/>
        <w:gridCol w:w="3330"/>
        <w:gridCol w:w="1350"/>
      </w:tblGrid>
      <w:tr w:rsidR="001617A3" w:rsidRPr="007114AF" w14:paraId="6EDD0012" w14:textId="77777777" w:rsidTr="001C467C">
        <w:tc>
          <w:tcPr>
            <w:tcW w:w="1393" w:type="dxa"/>
            <w:tcBorders>
              <w:top w:val="single" w:sz="4" w:space="0" w:color="000000"/>
              <w:left w:val="single" w:sz="4" w:space="0" w:color="000000"/>
              <w:bottom w:val="single" w:sz="4" w:space="0" w:color="000000"/>
              <w:right w:val="single" w:sz="4" w:space="0" w:color="000000"/>
            </w:tcBorders>
            <w:shd w:val="clear" w:color="auto" w:fill="9CC2E5"/>
          </w:tcPr>
          <w:p w14:paraId="6EDD000D" w14:textId="77777777" w:rsidR="001617A3" w:rsidRPr="007114AF" w:rsidRDefault="001617A3" w:rsidP="001617A3">
            <w:pPr>
              <w:pStyle w:val="Standardtextbody"/>
              <w:pBdr>
                <w:bar w:val="single" w:sz="4" w:color="FF8080"/>
              </w:pBdr>
              <w:spacing w:after="0" w:line="240" w:lineRule="auto"/>
              <w:jc w:val="both"/>
              <w:rPr>
                <w:rFonts w:ascii="Garamond" w:eastAsia="Times New Roman" w:hAnsi="Garamond" w:cs="Times New Roman"/>
                <w:b/>
                <w:bCs w:val="0"/>
                <w:iCs w:val="0"/>
                <w:color w:val="000000"/>
                <w:sz w:val="18"/>
                <w:szCs w:val="18"/>
                <w:lang w:val="sq-AL" w:eastAsia="it-IT"/>
              </w:rPr>
            </w:pPr>
            <w:r w:rsidRPr="007114AF">
              <w:rPr>
                <w:rFonts w:ascii="Garamond" w:eastAsia="Times New Roman" w:hAnsi="Garamond" w:cs="Times New Roman"/>
                <w:b/>
                <w:bCs w:val="0"/>
                <w:iCs w:val="0"/>
                <w:color w:val="000000"/>
                <w:sz w:val="18"/>
                <w:szCs w:val="18"/>
                <w:lang w:val="sq-AL" w:eastAsia="it-IT"/>
              </w:rPr>
              <w:t>Fusha</w:t>
            </w:r>
          </w:p>
          <w:p w14:paraId="6EDD000E" w14:textId="77777777" w:rsidR="001617A3" w:rsidRPr="007114AF" w:rsidRDefault="001617A3" w:rsidP="001617A3">
            <w:pPr>
              <w:spacing w:after="0" w:line="240" w:lineRule="auto"/>
              <w:rPr>
                <w:rFonts w:ascii="Garamond" w:eastAsia="Times New Roman" w:hAnsi="Garamond" w:cs="Times New Roman"/>
                <w:b/>
                <w:color w:val="000000"/>
                <w:sz w:val="18"/>
                <w:szCs w:val="18"/>
              </w:rPr>
            </w:pPr>
          </w:p>
        </w:tc>
        <w:tc>
          <w:tcPr>
            <w:tcW w:w="3503" w:type="dxa"/>
            <w:tcBorders>
              <w:top w:val="single" w:sz="4" w:space="0" w:color="000000"/>
              <w:left w:val="single" w:sz="4" w:space="0" w:color="000000"/>
              <w:bottom w:val="single" w:sz="4" w:space="0" w:color="000000"/>
              <w:right w:val="single" w:sz="4" w:space="0" w:color="000000"/>
            </w:tcBorders>
            <w:shd w:val="clear" w:color="auto" w:fill="9CC2E5"/>
            <w:hideMark/>
          </w:tcPr>
          <w:p w14:paraId="6EDD000F" w14:textId="77777777" w:rsidR="001617A3" w:rsidRPr="007114AF" w:rsidRDefault="001617A3" w:rsidP="001617A3">
            <w:pPr>
              <w:spacing w:after="0" w:line="240" w:lineRule="auto"/>
              <w:rPr>
                <w:rFonts w:ascii="Garamond" w:eastAsia="Times New Roman" w:hAnsi="Garamond" w:cs="Times New Roman"/>
                <w:b/>
                <w:color w:val="000000"/>
                <w:sz w:val="18"/>
                <w:szCs w:val="18"/>
              </w:rPr>
            </w:pPr>
            <w:r w:rsidRPr="007114AF">
              <w:rPr>
                <w:rFonts w:ascii="Garamond" w:eastAsia="Times New Roman" w:hAnsi="Garamond" w:cs="Times New Roman"/>
                <w:b/>
                <w:color w:val="000000"/>
                <w:sz w:val="18"/>
                <w:szCs w:val="18"/>
              </w:rPr>
              <w:t>Objektivi</w:t>
            </w:r>
          </w:p>
        </w:tc>
        <w:tc>
          <w:tcPr>
            <w:tcW w:w="3330" w:type="dxa"/>
            <w:tcBorders>
              <w:top w:val="single" w:sz="4" w:space="0" w:color="000000"/>
              <w:left w:val="single" w:sz="4" w:space="0" w:color="000000"/>
              <w:bottom w:val="single" w:sz="4" w:space="0" w:color="000000"/>
              <w:right w:val="single" w:sz="4" w:space="0" w:color="000000"/>
            </w:tcBorders>
            <w:shd w:val="clear" w:color="auto" w:fill="9CC2E5"/>
            <w:hideMark/>
          </w:tcPr>
          <w:p w14:paraId="6EDD0010" w14:textId="77777777" w:rsidR="001617A3" w:rsidRPr="007114AF" w:rsidRDefault="001617A3" w:rsidP="001617A3">
            <w:pPr>
              <w:spacing w:after="0" w:line="240" w:lineRule="auto"/>
              <w:rPr>
                <w:rFonts w:ascii="Garamond" w:eastAsia="Times New Roman" w:hAnsi="Garamond" w:cs="Times New Roman"/>
                <w:b/>
                <w:color w:val="000000"/>
                <w:sz w:val="18"/>
                <w:szCs w:val="18"/>
              </w:rPr>
            </w:pPr>
            <w:r w:rsidRPr="007114AF">
              <w:rPr>
                <w:rFonts w:ascii="Garamond" w:eastAsia="Times New Roman" w:hAnsi="Garamond" w:cs="Times New Roman"/>
                <w:b/>
                <w:color w:val="000000"/>
                <w:sz w:val="18"/>
                <w:szCs w:val="18"/>
              </w:rPr>
              <w:t>Treguesi</w:t>
            </w:r>
          </w:p>
        </w:tc>
        <w:tc>
          <w:tcPr>
            <w:tcW w:w="1350" w:type="dxa"/>
            <w:tcBorders>
              <w:top w:val="single" w:sz="4" w:space="0" w:color="000000"/>
              <w:left w:val="single" w:sz="4" w:space="0" w:color="000000"/>
              <w:bottom w:val="single" w:sz="4" w:space="0" w:color="000000"/>
              <w:right w:val="single" w:sz="4" w:space="0" w:color="000000"/>
            </w:tcBorders>
            <w:shd w:val="clear" w:color="auto" w:fill="9CC2E5"/>
          </w:tcPr>
          <w:p w14:paraId="6EDD0011" w14:textId="77777777" w:rsidR="001617A3" w:rsidRPr="007114AF" w:rsidRDefault="001617A3" w:rsidP="001617A3">
            <w:pPr>
              <w:spacing w:after="0" w:line="240" w:lineRule="auto"/>
              <w:rPr>
                <w:rFonts w:ascii="Garamond" w:hAnsi="Garamond"/>
                <w:b/>
                <w:bCs/>
                <w:iCs/>
                <w:sz w:val="18"/>
                <w:szCs w:val="18"/>
              </w:rPr>
            </w:pPr>
            <w:r w:rsidRPr="007114AF">
              <w:rPr>
                <w:rFonts w:ascii="Garamond" w:eastAsia="Times New Roman" w:hAnsi="Garamond" w:cs="Times New Roman"/>
                <w:b/>
                <w:color w:val="000000"/>
                <w:sz w:val="18"/>
                <w:szCs w:val="18"/>
              </w:rPr>
              <w:t>Lidhja me prioritetet e (SP)</w:t>
            </w:r>
          </w:p>
        </w:tc>
      </w:tr>
      <w:tr w:rsidR="001617A3" w:rsidRPr="007114AF" w14:paraId="6EDD001B" w14:textId="77777777" w:rsidTr="001C467C">
        <w:tc>
          <w:tcPr>
            <w:tcW w:w="1393" w:type="dxa"/>
            <w:tcBorders>
              <w:top w:val="single" w:sz="4" w:space="0" w:color="000000"/>
              <w:left w:val="single" w:sz="4" w:space="0" w:color="000000"/>
              <w:bottom w:val="single" w:sz="4" w:space="0" w:color="000000"/>
              <w:right w:val="single" w:sz="4" w:space="0" w:color="000000"/>
            </w:tcBorders>
            <w:hideMark/>
          </w:tcPr>
          <w:p w14:paraId="6EDD0013" w14:textId="77777777" w:rsidR="001617A3" w:rsidRPr="007114AF" w:rsidRDefault="001617A3" w:rsidP="001617A3">
            <w:pPr>
              <w:spacing w:after="0" w:line="240" w:lineRule="auto"/>
              <w:rPr>
                <w:rFonts w:ascii="Garamond" w:hAnsi="Garamond"/>
                <w:sz w:val="18"/>
                <w:szCs w:val="18"/>
              </w:rPr>
            </w:pPr>
            <w:r w:rsidRPr="007114AF">
              <w:rPr>
                <w:rFonts w:ascii="Garamond" w:hAnsi="Garamond"/>
                <w:sz w:val="18"/>
                <w:szCs w:val="18"/>
              </w:rPr>
              <w:t>Rezultatet e përshtatjes</w:t>
            </w:r>
          </w:p>
        </w:tc>
        <w:tc>
          <w:tcPr>
            <w:tcW w:w="3503" w:type="dxa"/>
            <w:tcBorders>
              <w:top w:val="single" w:sz="4" w:space="0" w:color="000000"/>
              <w:left w:val="single" w:sz="4" w:space="0" w:color="000000"/>
              <w:bottom w:val="single" w:sz="4" w:space="0" w:color="000000"/>
              <w:right w:val="single" w:sz="4" w:space="0" w:color="000000"/>
            </w:tcBorders>
          </w:tcPr>
          <w:p w14:paraId="6EDD0014" w14:textId="77777777" w:rsidR="001617A3" w:rsidRPr="007114AF" w:rsidRDefault="001617A3" w:rsidP="001617A3">
            <w:pPr>
              <w:spacing w:after="0" w:line="240" w:lineRule="auto"/>
              <w:rPr>
                <w:rFonts w:ascii="Garamond" w:hAnsi="Garamond"/>
                <w:b/>
                <w:bCs/>
                <w:iCs/>
                <w:sz w:val="18"/>
                <w:szCs w:val="18"/>
              </w:rPr>
            </w:pPr>
            <w:r w:rsidRPr="007114AF">
              <w:rPr>
                <w:rFonts w:ascii="Garamond" w:hAnsi="Garamond"/>
                <w:b/>
                <w:bCs/>
                <w:iCs/>
                <w:sz w:val="18"/>
                <w:szCs w:val="18"/>
              </w:rPr>
              <w:t xml:space="preserve">Objektivi 1: </w:t>
            </w:r>
            <w:r w:rsidRPr="007114AF">
              <w:rPr>
                <w:rFonts w:ascii="Garamond" w:hAnsi="Garamond"/>
                <w:bCs/>
                <w:iCs/>
                <w:sz w:val="18"/>
                <w:szCs w:val="18"/>
              </w:rPr>
              <w:t>Pakësim i dëmeve të përmbytjeve.</w:t>
            </w:r>
          </w:p>
          <w:p w14:paraId="6EDD0015" w14:textId="77777777" w:rsidR="001617A3" w:rsidRPr="007114AF" w:rsidRDefault="001617A3" w:rsidP="001617A3">
            <w:pPr>
              <w:spacing w:after="0" w:line="240" w:lineRule="auto"/>
              <w:rPr>
                <w:rFonts w:ascii="Garamond" w:hAnsi="Garamond"/>
                <w:b/>
                <w:bCs/>
                <w:iCs/>
                <w:sz w:val="18"/>
                <w:szCs w:val="18"/>
              </w:rPr>
            </w:pPr>
            <w:r w:rsidRPr="007114AF">
              <w:rPr>
                <w:rFonts w:ascii="Garamond" w:hAnsi="Garamond"/>
                <w:b/>
                <w:bCs/>
                <w:iCs/>
                <w:sz w:val="18"/>
                <w:szCs w:val="18"/>
              </w:rPr>
              <w:t xml:space="preserve">Objektivi 2: </w:t>
            </w:r>
            <w:r w:rsidRPr="007114AF">
              <w:rPr>
                <w:rFonts w:ascii="Garamond" w:hAnsi="Garamond"/>
                <w:bCs/>
                <w:iCs/>
                <w:sz w:val="18"/>
                <w:szCs w:val="18"/>
              </w:rPr>
              <w:t>Rritje e aftësisë rimëkëmbëse të bujqësisë kundrejt thatësirave.</w:t>
            </w:r>
          </w:p>
          <w:p w14:paraId="6EDD0016" w14:textId="77777777" w:rsidR="001617A3" w:rsidRPr="007114AF" w:rsidRDefault="001617A3" w:rsidP="001617A3">
            <w:pPr>
              <w:spacing w:after="0" w:line="240" w:lineRule="auto"/>
              <w:rPr>
                <w:rFonts w:ascii="Garamond" w:hAnsi="Garamond"/>
                <w:sz w:val="18"/>
                <w:szCs w:val="18"/>
              </w:rPr>
            </w:pPr>
            <w:r w:rsidRPr="007114AF">
              <w:rPr>
                <w:rFonts w:ascii="Garamond" w:hAnsi="Garamond"/>
                <w:b/>
                <w:sz w:val="18"/>
                <w:szCs w:val="18"/>
              </w:rPr>
              <w:t xml:space="preserve">Objektivi 3: </w:t>
            </w:r>
            <w:r w:rsidRPr="007114AF">
              <w:rPr>
                <w:rFonts w:ascii="Garamond" w:hAnsi="Garamond"/>
                <w:sz w:val="18"/>
                <w:szCs w:val="18"/>
              </w:rPr>
              <w:t>Sigurimi i cilësisë së ujit të pijshëm për rajonet e Shkodrës, Fierit dhe Vlorës, pavarësisht nga ndikimet e ndryshimeve klimatike.</w:t>
            </w:r>
          </w:p>
        </w:tc>
        <w:tc>
          <w:tcPr>
            <w:tcW w:w="3330" w:type="dxa"/>
            <w:tcBorders>
              <w:top w:val="single" w:sz="4" w:space="0" w:color="000000"/>
              <w:left w:val="single" w:sz="4" w:space="0" w:color="000000"/>
              <w:bottom w:val="single" w:sz="4" w:space="0" w:color="000000"/>
              <w:right w:val="single" w:sz="4" w:space="0" w:color="000000"/>
            </w:tcBorders>
          </w:tcPr>
          <w:p w14:paraId="6EDD0017" w14:textId="77777777" w:rsidR="001617A3" w:rsidRPr="007114AF" w:rsidRDefault="001617A3" w:rsidP="001617A3">
            <w:pPr>
              <w:spacing w:after="0" w:line="240" w:lineRule="auto"/>
              <w:rPr>
                <w:rFonts w:ascii="Garamond" w:hAnsi="Garamond"/>
                <w:b/>
                <w:bCs/>
                <w:iCs/>
                <w:sz w:val="18"/>
                <w:szCs w:val="18"/>
              </w:rPr>
            </w:pPr>
            <w:r w:rsidRPr="007114AF">
              <w:rPr>
                <w:rFonts w:ascii="Garamond" w:hAnsi="Garamond"/>
                <w:b/>
                <w:bCs/>
                <w:iCs/>
                <w:sz w:val="18"/>
                <w:szCs w:val="18"/>
              </w:rPr>
              <w:t xml:space="preserve">Treguesi 1.1: </w:t>
            </w:r>
            <w:r w:rsidRPr="007114AF">
              <w:rPr>
                <w:rFonts w:ascii="Garamond" w:hAnsi="Garamond"/>
                <w:bCs/>
                <w:iCs/>
                <w:sz w:val="18"/>
                <w:szCs w:val="18"/>
              </w:rPr>
              <w:t>Dëmet mesatare në rast përmbytjeje (të përllogaritura në miliona lekë) zvogëlohen me 5% për çdo periudhë pesëvjeçare të mëpasshme.</w:t>
            </w:r>
          </w:p>
          <w:p w14:paraId="6EDD0018" w14:textId="77777777" w:rsidR="001617A3" w:rsidRPr="007114AF" w:rsidRDefault="001617A3" w:rsidP="001617A3">
            <w:pPr>
              <w:spacing w:after="0" w:line="240" w:lineRule="auto"/>
              <w:rPr>
                <w:rFonts w:ascii="Garamond" w:hAnsi="Garamond"/>
                <w:b/>
                <w:bCs/>
                <w:iCs/>
                <w:sz w:val="18"/>
                <w:szCs w:val="18"/>
              </w:rPr>
            </w:pPr>
            <w:r w:rsidRPr="007114AF">
              <w:rPr>
                <w:rFonts w:ascii="Garamond" w:hAnsi="Garamond"/>
                <w:b/>
                <w:bCs/>
                <w:iCs/>
                <w:sz w:val="18"/>
                <w:szCs w:val="18"/>
              </w:rPr>
              <w:t>Treguesi 2.1:</w:t>
            </w:r>
            <w:r w:rsidRPr="007114AF">
              <w:rPr>
                <w:rFonts w:ascii="Garamond" w:hAnsi="Garamond"/>
                <w:bCs/>
                <w:iCs/>
                <w:sz w:val="18"/>
                <w:szCs w:val="18"/>
              </w:rPr>
              <w:t>Pothuaj të gjitha produktet e fermave, të shprehura në rendiment për hektar, qëndrojnë të njëjta edhe në vitet me thatësirë.</w:t>
            </w:r>
          </w:p>
          <w:p w14:paraId="6EDD0019" w14:textId="77777777" w:rsidR="001617A3" w:rsidRPr="007114AF" w:rsidRDefault="001617A3" w:rsidP="001617A3">
            <w:pPr>
              <w:spacing w:after="0" w:line="240" w:lineRule="auto"/>
              <w:rPr>
                <w:rFonts w:ascii="Garamond" w:hAnsi="Garamond"/>
                <w:sz w:val="18"/>
                <w:szCs w:val="18"/>
              </w:rPr>
            </w:pPr>
            <w:r w:rsidRPr="007114AF">
              <w:rPr>
                <w:rFonts w:ascii="Garamond" w:hAnsi="Garamond"/>
                <w:b/>
                <w:sz w:val="18"/>
                <w:szCs w:val="18"/>
              </w:rPr>
              <w:t xml:space="preserve">Treguesi 3.1: </w:t>
            </w:r>
            <w:r w:rsidRPr="007114AF">
              <w:rPr>
                <w:rFonts w:ascii="Garamond" w:hAnsi="Garamond"/>
                <w:sz w:val="18"/>
                <w:szCs w:val="18"/>
              </w:rPr>
              <w:t>Standardet e cilësisë së ujit të pijshëm përmbushen në të gjitha bashkitë në çdo rajon.</w:t>
            </w:r>
          </w:p>
        </w:tc>
        <w:tc>
          <w:tcPr>
            <w:tcW w:w="1350" w:type="dxa"/>
            <w:tcBorders>
              <w:top w:val="single" w:sz="4" w:space="0" w:color="000000"/>
              <w:left w:val="single" w:sz="4" w:space="0" w:color="000000"/>
              <w:bottom w:val="single" w:sz="4" w:space="0" w:color="000000"/>
              <w:right w:val="single" w:sz="4" w:space="0" w:color="000000"/>
            </w:tcBorders>
          </w:tcPr>
          <w:p w14:paraId="6EDD001A" w14:textId="77777777" w:rsidR="001617A3" w:rsidRPr="007114AF" w:rsidRDefault="001617A3" w:rsidP="001617A3">
            <w:pPr>
              <w:spacing w:after="0" w:line="240" w:lineRule="auto"/>
              <w:rPr>
                <w:rFonts w:ascii="Garamond" w:hAnsi="Garamond"/>
                <w:sz w:val="18"/>
                <w:szCs w:val="18"/>
              </w:rPr>
            </w:pPr>
            <w:r w:rsidRPr="007114AF">
              <w:rPr>
                <w:rFonts w:ascii="Garamond" w:hAnsi="Garamond"/>
                <w:sz w:val="18"/>
                <w:szCs w:val="18"/>
              </w:rPr>
              <w:t>SP.6</w:t>
            </w:r>
          </w:p>
        </w:tc>
      </w:tr>
      <w:tr w:rsidR="001617A3" w:rsidRPr="007114AF" w14:paraId="6EDD0022" w14:textId="77777777" w:rsidTr="001C467C">
        <w:tc>
          <w:tcPr>
            <w:tcW w:w="1393" w:type="dxa"/>
            <w:tcBorders>
              <w:top w:val="single" w:sz="4" w:space="0" w:color="000000"/>
              <w:left w:val="single" w:sz="4" w:space="0" w:color="000000"/>
              <w:bottom w:val="single" w:sz="4" w:space="0" w:color="000000"/>
              <w:right w:val="single" w:sz="4" w:space="0" w:color="000000"/>
            </w:tcBorders>
            <w:hideMark/>
          </w:tcPr>
          <w:p w14:paraId="6EDD001C" w14:textId="77777777" w:rsidR="001617A3" w:rsidRPr="007114AF" w:rsidRDefault="001617A3" w:rsidP="001617A3">
            <w:pPr>
              <w:spacing w:after="0" w:line="240" w:lineRule="auto"/>
              <w:rPr>
                <w:rFonts w:ascii="Garamond" w:hAnsi="Garamond"/>
                <w:sz w:val="18"/>
                <w:szCs w:val="18"/>
              </w:rPr>
            </w:pPr>
            <w:r w:rsidRPr="007114AF">
              <w:rPr>
                <w:rFonts w:ascii="Garamond" w:hAnsi="Garamond"/>
                <w:sz w:val="18"/>
                <w:szCs w:val="18"/>
              </w:rPr>
              <w:t>Drejtimi i zbatimit të NAP-it</w:t>
            </w:r>
          </w:p>
        </w:tc>
        <w:tc>
          <w:tcPr>
            <w:tcW w:w="3503" w:type="dxa"/>
            <w:tcBorders>
              <w:top w:val="single" w:sz="4" w:space="0" w:color="000000"/>
              <w:left w:val="single" w:sz="4" w:space="0" w:color="000000"/>
              <w:bottom w:val="single" w:sz="4" w:space="0" w:color="000000"/>
              <w:right w:val="single" w:sz="4" w:space="0" w:color="000000"/>
            </w:tcBorders>
          </w:tcPr>
          <w:p w14:paraId="6EDD001D" w14:textId="752A93A0" w:rsidR="001617A3" w:rsidRPr="007114AF" w:rsidRDefault="001617A3" w:rsidP="001617A3">
            <w:pPr>
              <w:spacing w:after="0" w:line="240" w:lineRule="auto"/>
              <w:rPr>
                <w:rFonts w:ascii="Garamond" w:hAnsi="Garamond"/>
                <w:b/>
                <w:bCs/>
                <w:iCs/>
                <w:sz w:val="18"/>
                <w:szCs w:val="18"/>
              </w:rPr>
            </w:pPr>
            <w:r w:rsidRPr="007114AF">
              <w:rPr>
                <w:rFonts w:ascii="Garamond" w:hAnsi="Garamond"/>
                <w:b/>
                <w:bCs/>
                <w:iCs/>
                <w:sz w:val="18"/>
                <w:szCs w:val="18"/>
              </w:rPr>
              <w:t xml:space="preserve">Objektivi 4: </w:t>
            </w:r>
            <w:r w:rsidRPr="007114AF">
              <w:rPr>
                <w:rFonts w:ascii="Garamond" w:hAnsi="Garamond"/>
                <w:bCs/>
                <w:iCs/>
                <w:sz w:val="18"/>
                <w:szCs w:val="18"/>
              </w:rPr>
              <w:t xml:space="preserve">Masat e parashikuara në dokumentin e NAP-it janë zbatuar në </w:t>
            </w:r>
            <w:r w:rsidR="00836B59" w:rsidRPr="007114AF">
              <w:rPr>
                <w:rFonts w:ascii="Garamond" w:hAnsi="Garamond"/>
                <w:bCs/>
                <w:iCs/>
                <w:sz w:val="18"/>
                <w:szCs w:val="18"/>
              </w:rPr>
              <w:t>mënyrë</w:t>
            </w:r>
            <w:r w:rsidRPr="007114AF">
              <w:rPr>
                <w:rFonts w:ascii="Garamond" w:hAnsi="Garamond"/>
                <w:bCs/>
                <w:iCs/>
                <w:sz w:val="18"/>
                <w:szCs w:val="18"/>
              </w:rPr>
              <w:t xml:space="preserve"> efikase.</w:t>
            </w:r>
          </w:p>
          <w:p w14:paraId="6EDD001E" w14:textId="1847DE0B" w:rsidR="001617A3" w:rsidRPr="007114AF" w:rsidRDefault="001617A3" w:rsidP="001617A3">
            <w:pPr>
              <w:spacing w:after="0" w:line="240" w:lineRule="auto"/>
              <w:rPr>
                <w:rFonts w:ascii="Garamond" w:hAnsi="Garamond"/>
                <w:b/>
                <w:bCs/>
                <w:iCs/>
                <w:sz w:val="18"/>
                <w:szCs w:val="18"/>
              </w:rPr>
            </w:pPr>
            <w:r w:rsidRPr="007114AF">
              <w:rPr>
                <w:rFonts w:ascii="Garamond" w:hAnsi="Garamond"/>
                <w:b/>
                <w:bCs/>
                <w:iCs/>
                <w:sz w:val="18"/>
                <w:szCs w:val="18"/>
              </w:rPr>
              <w:t xml:space="preserve">Objektivi 5: </w:t>
            </w:r>
            <w:r w:rsidRPr="007114AF">
              <w:rPr>
                <w:rFonts w:ascii="Garamond" w:hAnsi="Garamond"/>
                <w:bCs/>
                <w:iCs/>
                <w:sz w:val="18"/>
                <w:szCs w:val="18"/>
              </w:rPr>
              <w:t xml:space="preserve">Organizimi i një sistemi mbi </w:t>
            </w:r>
            <w:r w:rsidR="000A2A01" w:rsidRPr="007114AF">
              <w:rPr>
                <w:rFonts w:ascii="Garamond" w:hAnsi="Garamond"/>
                <w:bCs/>
                <w:iCs/>
                <w:sz w:val="18"/>
                <w:szCs w:val="18"/>
              </w:rPr>
              <w:t>“</w:t>
            </w:r>
            <w:r w:rsidRPr="007114AF">
              <w:rPr>
                <w:rFonts w:ascii="Garamond" w:hAnsi="Garamond"/>
                <w:bCs/>
                <w:iCs/>
                <w:sz w:val="18"/>
                <w:szCs w:val="18"/>
              </w:rPr>
              <w:t>mësimet e nxjerra</w:t>
            </w:r>
            <w:r w:rsidR="000A2A01" w:rsidRPr="007114AF">
              <w:rPr>
                <w:rFonts w:ascii="Garamond" w:hAnsi="Garamond"/>
                <w:bCs/>
                <w:iCs/>
                <w:sz w:val="18"/>
                <w:szCs w:val="18"/>
              </w:rPr>
              <w:t>”</w:t>
            </w:r>
            <w:r w:rsidRPr="007114AF">
              <w:rPr>
                <w:rFonts w:ascii="Garamond" w:hAnsi="Garamond"/>
                <w:bCs/>
                <w:iCs/>
                <w:sz w:val="18"/>
                <w:szCs w:val="18"/>
              </w:rPr>
              <w:t xml:space="preserve">për procesin e NAP-it. </w:t>
            </w:r>
          </w:p>
        </w:tc>
        <w:tc>
          <w:tcPr>
            <w:tcW w:w="3330" w:type="dxa"/>
            <w:tcBorders>
              <w:top w:val="single" w:sz="4" w:space="0" w:color="000000"/>
              <w:left w:val="single" w:sz="4" w:space="0" w:color="000000"/>
              <w:bottom w:val="single" w:sz="4" w:space="0" w:color="000000"/>
              <w:right w:val="single" w:sz="4" w:space="0" w:color="000000"/>
            </w:tcBorders>
            <w:hideMark/>
          </w:tcPr>
          <w:p w14:paraId="6EDD001F" w14:textId="77777777" w:rsidR="001617A3" w:rsidRPr="007114AF" w:rsidRDefault="001617A3" w:rsidP="001617A3">
            <w:pPr>
              <w:spacing w:after="0" w:line="240" w:lineRule="auto"/>
              <w:rPr>
                <w:rFonts w:ascii="Garamond" w:hAnsi="Garamond"/>
                <w:b/>
                <w:bCs/>
                <w:iCs/>
                <w:sz w:val="18"/>
                <w:szCs w:val="18"/>
              </w:rPr>
            </w:pPr>
            <w:r w:rsidRPr="007114AF">
              <w:rPr>
                <w:rFonts w:ascii="Garamond" w:hAnsi="Garamond"/>
                <w:b/>
                <w:bCs/>
                <w:iCs/>
                <w:sz w:val="18"/>
                <w:szCs w:val="18"/>
              </w:rPr>
              <w:t xml:space="preserve">Treguesi 4.1: </w:t>
            </w:r>
            <w:r w:rsidRPr="007114AF">
              <w:rPr>
                <w:rFonts w:ascii="Garamond" w:hAnsi="Garamond"/>
                <w:bCs/>
                <w:iCs/>
                <w:sz w:val="18"/>
                <w:szCs w:val="18"/>
              </w:rPr>
              <w:t>Ngritja e një sistemi monitorim-vlerësimi, i cili ndjek statusin e zbatimit të veprimeve prioritare dhe mundëson bërjen e korrigjimeve në procesin e NAP-it.</w:t>
            </w:r>
          </w:p>
          <w:p w14:paraId="6EDD0020" w14:textId="77777777" w:rsidR="001617A3" w:rsidRPr="007114AF" w:rsidRDefault="001617A3" w:rsidP="001617A3">
            <w:pPr>
              <w:spacing w:after="0" w:line="240" w:lineRule="auto"/>
              <w:rPr>
                <w:rFonts w:ascii="Garamond" w:hAnsi="Garamond"/>
                <w:sz w:val="18"/>
                <w:szCs w:val="18"/>
              </w:rPr>
            </w:pPr>
            <w:r w:rsidRPr="007114AF">
              <w:rPr>
                <w:rFonts w:ascii="Garamond" w:hAnsi="Garamond"/>
                <w:b/>
                <w:sz w:val="18"/>
                <w:szCs w:val="18"/>
              </w:rPr>
              <w:t xml:space="preserve">Treguesi 5.1: </w:t>
            </w:r>
            <w:r w:rsidRPr="007114AF">
              <w:rPr>
                <w:rFonts w:ascii="Garamond" w:hAnsi="Garamond"/>
                <w:sz w:val="18"/>
                <w:szCs w:val="18"/>
              </w:rPr>
              <w:t>Raportet e vlerësimit për procesin e NAP-it dalin çdo 4 vjet dhe japin rekomandime për korrigjimet e mundshme të procesit.</w:t>
            </w:r>
          </w:p>
        </w:tc>
        <w:tc>
          <w:tcPr>
            <w:tcW w:w="1350" w:type="dxa"/>
            <w:tcBorders>
              <w:top w:val="single" w:sz="4" w:space="0" w:color="000000"/>
              <w:left w:val="single" w:sz="4" w:space="0" w:color="000000"/>
              <w:bottom w:val="single" w:sz="4" w:space="0" w:color="000000"/>
              <w:right w:val="single" w:sz="4" w:space="0" w:color="000000"/>
            </w:tcBorders>
          </w:tcPr>
          <w:p w14:paraId="6EDD0021" w14:textId="77777777" w:rsidR="001617A3" w:rsidRPr="007114AF" w:rsidRDefault="001617A3" w:rsidP="001617A3">
            <w:pPr>
              <w:spacing w:after="0" w:line="240" w:lineRule="auto"/>
              <w:rPr>
                <w:rFonts w:ascii="Garamond" w:hAnsi="Garamond"/>
                <w:sz w:val="18"/>
                <w:szCs w:val="18"/>
              </w:rPr>
            </w:pPr>
            <w:r w:rsidRPr="007114AF">
              <w:rPr>
                <w:rFonts w:ascii="Garamond" w:hAnsi="Garamond"/>
                <w:sz w:val="18"/>
                <w:szCs w:val="18"/>
              </w:rPr>
              <w:t>SP.3; SP.6</w:t>
            </w:r>
          </w:p>
        </w:tc>
      </w:tr>
      <w:tr w:rsidR="001617A3" w:rsidRPr="007114AF" w14:paraId="6EDD0033" w14:textId="77777777" w:rsidTr="001C467C">
        <w:tc>
          <w:tcPr>
            <w:tcW w:w="1393" w:type="dxa"/>
            <w:tcBorders>
              <w:top w:val="single" w:sz="4" w:space="0" w:color="000000"/>
              <w:left w:val="single" w:sz="4" w:space="0" w:color="000000"/>
              <w:bottom w:val="single" w:sz="4" w:space="0" w:color="000000"/>
              <w:right w:val="single" w:sz="4" w:space="0" w:color="000000"/>
            </w:tcBorders>
            <w:hideMark/>
          </w:tcPr>
          <w:p w14:paraId="6EDD0023" w14:textId="77777777" w:rsidR="001617A3" w:rsidRPr="007114AF" w:rsidRDefault="001617A3" w:rsidP="001617A3">
            <w:pPr>
              <w:spacing w:after="0" w:line="240" w:lineRule="auto"/>
              <w:rPr>
                <w:rFonts w:ascii="Garamond" w:hAnsi="Garamond"/>
                <w:sz w:val="18"/>
                <w:szCs w:val="18"/>
              </w:rPr>
            </w:pPr>
            <w:r w:rsidRPr="007114AF">
              <w:rPr>
                <w:rFonts w:ascii="Garamond" w:hAnsi="Garamond"/>
                <w:sz w:val="18"/>
                <w:szCs w:val="18"/>
              </w:rPr>
              <w:t>Integrimi</w:t>
            </w:r>
          </w:p>
        </w:tc>
        <w:tc>
          <w:tcPr>
            <w:tcW w:w="3503" w:type="dxa"/>
            <w:tcBorders>
              <w:top w:val="single" w:sz="4" w:space="0" w:color="000000"/>
              <w:left w:val="single" w:sz="4" w:space="0" w:color="000000"/>
              <w:bottom w:val="single" w:sz="4" w:space="0" w:color="000000"/>
              <w:right w:val="single" w:sz="4" w:space="0" w:color="000000"/>
            </w:tcBorders>
          </w:tcPr>
          <w:p w14:paraId="6EDD0024" w14:textId="77777777" w:rsidR="001617A3" w:rsidRPr="007114AF" w:rsidRDefault="001617A3" w:rsidP="001617A3">
            <w:pPr>
              <w:spacing w:after="0" w:line="240" w:lineRule="auto"/>
              <w:rPr>
                <w:rFonts w:ascii="Garamond" w:hAnsi="Garamond"/>
                <w:b/>
                <w:bCs/>
                <w:iCs/>
                <w:sz w:val="18"/>
                <w:szCs w:val="18"/>
              </w:rPr>
            </w:pPr>
            <w:r w:rsidRPr="007114AF">
              <w:rPr>
                <w:rFonts w:ascii="Garamond" w:hAnsi="Garamond"/>
                <w:b/>
                <w:bCs/>
                <w:iCs/>
                <w:sz w:val="18"/>
                <w:szCs w:val="18"/>
              </w:rPr>
              <w:t xml:space="preserve">Objektivi 6: </w:t>
            </w:r>
            <w:r w:rsidRPr="007114AF">
              <w:rPr>
                <w:rFonts w:ascii="Garamond" w:hAnsi="Garamond"/>
                <w:bCs/>
                <w:iCs/>
                <w:sz w:val="18"/>
                <w:szCs w:val="18"/>
              </w:rPr>
              <w:t>Pasqyrimi i përshtatjes ndaj ndryshimeve klimatike në procesin e formulimit dhe zbatimit të SKZHI-së.</w:t>
            </w:r>
          </w:p>
          <w:p w14:paraId="6EDD0025" w14:textId="77777777" w:rsidR="001617A3" w:rsidRPr="007114AF" w:rsidRDefault="001617A3" w:rsidP="001617A3">
            <w:pPr>
              <w:spacing w:after="0" w:line="240" w:lineRule="auto"/>
              <w:rPr>
                <w:rFonts w:ascii="Garamond" w:hAnsi="Garamond"/>
                <w:b/>
                <w:bCs/>
                <w:iCs/>
                <w:sz w:val="18"/>
                <w:szCs w:val="18"/>
              </w:rPr>
            </w:pPr>
            <w:r w:rsidRPr="007114AF">
              <w:rPr>
                <w:rFonts w:ascii="Garamond" w:hAnsi="Garamond"/>
                <w:b/>
                <w:bCs/>
                <w:iCs/>
                <w:sz w:val="18"/>
                <w:szCs w:val="18"/>
              </w:rPr>
              <w:t xml:space="preserve">Objektivi 7: </w:t>
            </w:r>
            <w:r w:rsidRPr="007114AF">
              <w:rPr>
                <w:rFonts w:ascii="Garamond" w:hAnsi="Garamond"/>
                <w:bCs/>
                <w:iCs/>
                <w:sz w:val="18"/>
                <w:szCs w:val="18"/>
              </w:rPr>
              <w:t>Nxitja e përshtatjes ndaj ndryshimeve klimatike në asistencën për aderim në përputhje me objektivat e politikës së BE-së për përshtatjen.</w:t>
            </w:r>
          </w:p>
          <w:p w14:paraId="6EDD0026" w14:textId="0C13FBAF" w:rsidR="001617A3" w:rsidRPr="007114AF" w:rsidRDefault="001617A3" w:rsidP="001617A3">
            <w:pPr>
              <w:spacing w:after="0" w:line="240" w:lineRule="auto"/>
              <w:rPr>
                <w:rFonts w:ascii="Garamond" w:hAnsi="Garamond"/>
                <w:b/>
                <w:bCs/>
                <w:iCs/>
                <w:sz w:val="18"/>
                <w:szCs w:val="18"/>
              </w:rPr>
            </w:pPr>
            <w:r w:rsidRPr="007114AF">
              <w:rPr>
                <w:rFonts w:ascii="Garamond" w:hAnsi="Garamond"/>
                <w:b/>
                <w:bCs/>
                <w:iCs/>
                <w:sz w:val="18"/>
                <w:szCs w:val="18"/>
              </w:rPr>
              <w:t xml:space="preserve">Objektivi 8: </w:t>
            </w:r>
            <w:r w:rsidRPr="007114AF">
              <w:rPr>
                <w:rFonts w:ascii="Garamond" w:hAnsi="Garamond"/>
                <w:bCs/>
                <w:iCs/>
                <w:sz w:val="18"/>
                <w:szCs w:val="18"/>
              </w:rPr>
              <w:t>Planifikimi territorial dhe rregulloret p</w:t>
            </w:r>
            <w:r w:rsidR="00C6608F" w:rsidRPr="007114AF">
              <w:rPr>
                <w:rFonts w:ascii="Garamond" w:hAnsi="Garamond"/>
                <w:bCs/>
                <w:iCs/>
                <w:sz w:val="18"/>
                <w:szCs w:val="18"/>
              </w:rPr>
              <w:t>ë</w:t>
            </w:r>
            <w:r w:rsidRPr="007114AF">
              <w:rPr>
                <w:rFonts w:ascii="Garamond" w:hAnsi="Garamond"/>
                <w:bCs/>
                <w:iCs/>
                <w:sz w:val="18"/>
                <w:szCs w:val="18"/>
              </w:rPr>
              <w:t>r planin bregdetar për të adresuar</w:t>
            </w:r>
            <w:r w:rsidR="000A2A01" w:rsidRPr="007114AF">
              <w:rPr>
                <w:rFonts w:ascii="Garamond" w:hAnsi="Garamond"/>
                <w:bCs/>
                <w:iCs/>
                <w:sz w:val="18"/>
                <w:szCs w:val="18"/>
              </w:rPr>
              <w:t xml:space="preserve"> </w:t>
            </w:r>
            <w:r w:rsidRPr="007114AF">
              <w:rPr>
                <w:rFonts w:ascii="Garamond" w:hAnsi="Garamond"/>
                <w:bCs/>
                <w:iCs/>
                <w:sz w:val="18"/>
                <w:szCs w:val="18"/>
              </w:rPr>
              <w:t>masat për përshtatjen ndaj ndryshimeve klimatike që duhen marrë nga bashkitë në nivel vendor.</w:t>
            </w:r>
          </w:p>
          <w:p w14:paraId="6EDD0027" w14:textId="77777777" w:rsidR="001617A3" w:rsidRPr="007114AF" w:rsidRDefault="001617A3" w:rsidP="001617A3">
            <w:pPr>
              <w:spacing w:after="0" w:line="240" w:lineRule="auto"/>
              <w:rPr>
                <w:rFonts w:ascii="Garamond" w:hAnsi="Garamond"/>
                <w:b/>
                <w:bCs/>
                <w:iCs/>
                <w:sz w:val="18"/>
                <w:szCs w:val="18"/>
              </w:rPr>
            </w:pPr>
            <w:r w:rsidRPr="007114AF">
              <w:rPr>
                <w:rFonts w:ascii="Garamond" w:hAnsi="Garamond"/>
                <w:b/>
                <w:bCs/>
                <w:iCs/>
                <w:sz w:val="18"/>
                <w:szCs w:val="18"/>
              </w:rPr>
              <w:t xml:space="preserve">Objektivi 9: </w:t>
            </w:r>
            <w:r w:rsidRPr="007114AF">
              <w:rPr>
                <w:rFonts w:ascii="Garamond" w:hAnsi="Garamond"/>
                <w:bCs/>
                <w:iCs/>
                <w:sz w:val="18"/>
                <w:szCs w:val="18"/>
              </w:rPr>
              <w:t>Strategjia Ndërsektoriale për Bujqësinë dhe Zhvillimin Rural të orientojë aftësinë rimëkëmbëse të prodhimit bujqësor ndaj ndryshimeve klimatike.</w:t>
            </w:r>
          </w:p>
          <w:p w14:paraId="6EDD0028" w14:textId="77777777" w:rsidR="001617A3" w:rsidRPr="007114AF" w:rsidRDefault="001617A3" w:rsidP="001617A3">
            <w:pPr>
              <w:spacing w:after="0" w:line="240" w:lineRule="auto"/>
              <w:rPr>
                <w:rFonts w:ascii="Garamond" w:hAnsi="Garamond"/>
                <w:b/>
                <w:bCs/>
                <w:iCs/>
                <w:sz w:val="18"/>
                <w:szCs w:val="18"/>
              </w:rPr>
            </w:pPr>
            <w:r w:rsidRPr="007114AF">
              <w:rPr>
                <w:rFonts w:ascii="Garamond" w:hAnsi="Garamond"/>
                <w:b/>
                <w:bCs/>
                <w:iCs/>
                <w:sz w:val="18"/>
                <w:szCs w:val="18"/>
              </w:rPr>
              <w:t xml:space="preserve">Objektivi 10: </w:t>
            </w:r>
            <w:r w:rsidRPr="007114AF">
              <w:rPr>
                <w:rFonts w:ascii="Garamond" w:hAnsi="Garamond"/>
                <w:bCs/>
                <w:iCs/>
                <w:sz w:val="18"/>
                <w:szCs w:val="18"/>
              </w:rPr>
              <w:t>Strategjia për Menaxhimin e Integruar të Burimeve Ujore si dhe Planet e Menaxhimit të baseneve lumorë të përfshijnë masat e përshtatjes në fushën e disponibilitetit të ujit.</w:t>
            </w:r>
          </w:p>
          <w:p w14:paraId="6EDD0029" w14:textId="77777777" w:rsidR="001617A3" w:rsidRPr="007114AF" w:rsidRDefault="001617A3" w:rsidP="001617A3">
            <w:pPr>
              <w:spacing w:after="0" w:line="240" w:lineRule="auto"/>
              <w:rPr>
                <w:rFonts w:ascii="Garamond" w:hAnsi="Garamond"/>
                <w:sz w:val="18"/>
                <w:szCs w:val="18"/>
              </w:rPr>
            </w:pPr>
            <w:r w:rsidRPr="007114AF">
              <w:rPr>
                <w:rFonts w:ascii="Garamond" w:hAnsi="Garamond"/>
                <w:b/>
                <w:sz w:val="18"/>
                <w:szCs w:val="18"/>
              </w:rPr>
              <w:t xml:space="preserve">Objektivi 11: </w:t>
            </w:r>
            <w:r w:rsidRPr="007114AF">
              <w:rPr>
                <w:rFonts w:ascii="Garamond" w:hAnsi="Garamond"/>
                <w:sz w:val="18"/>
                <w:szCs w:val="18"/>
              </w:rPr>
              <w:t>Strategjia Kombëtare për Energjinë të orientojë masat e përshtatjes në fushën e prodhimit të energjisë.</w:t>
            </w:r>
          </w:p>
        </w:tc>
        <w:tc>
          <w:tcPr>
            <w:tcW w:w="3330" w:type="dxa"/>
            <w:tcBorders>
              <w:top w:val="single" w:sz="4" w:space="0" w:color="000000"/>
              <w:left w:val="single" w:sz="4" w:space="0" w:color="000000"/>
              <w:bottom w:val="single" w:sz="4" w:space="0" w:color="000000"/>
              <w:right w:val="single" w:sz="4" w:space="0" w:color="000000"/>
            </w:tcBorders>
          </w:tcPr>
          <w:p w14:paraId="6EDD002A" w14:textId="77777777" w:rsidR="001617A3" w:rsidRPr="007114AF" w:rsidRDefault="001617A3" w:rsidP="001617A3">
            <w:pPr>
              <w:spacing w:after="0" w:line="240" w:lineRule="auto"/>
              <w:rPr>
                <w:rFonts w:ascii="Garamond" w:hAnsi="Garamond"/>
                <w:b/>
                <w:bCs/>
                <w:iCs/>
                <w:sz w:val="18"/>
                <w:szCs w:val="18"/>
              </w:rPr>
            </w:pPr>
            <w:r w:rsidRPr="007114AF">
              <w:rPr>
                <w:rFonts w:ascii="Garamond" w:hAnsi="Garamond"/>
                <w:b/>
                <w:bCs/>
                <w:iCs/>
                <w:sz w:val="18"/>
                <w:szCs w:val="18"/>
              </w:rPr>
              <w:t xml:space="preserve">Treguesi 6.1: </w:t>
            </w:r>
            <w:r w:rsidRPr="007114AF">
              <w:rPr>
                <w:rFonts w:ascii="Garamond" w:hAnsi="Garamond"/>
                <w:bCs/>
                <w:iCs/>
                <w:sz w:val="18"/>
                <w:szCs w:val="18"/>
              </w:rPr>
              <w:t>Krijohet një mekanizëm për reflektimin e rregullt të përshtatjes ndaj ndryshimeve klimatike, si pjesë e procesit të zbatimit të SKZHI-së.</w:t>
            </w:r>
          </w:p>
          <w:p w14:paraId="6EDD002B" w14:textId="77777777" w:rsidR="001617A3" w:rsidRPr="007114AF" w:rsidRDefault="001617A3" w:rsidP="001617A3">
            <w:pPr>
              <w:spacing w:after="0" w:line="240" w:lineRule="auto"/>
              <w:rPr>
                <w:rFonts w:ascii="Garamond" w:hAnsi="Garamond"/>
                <w:b/>
                <w:bCs/>
                <w:iCs/>
                <w:sz w:val="18"/>
                <w:szCs w:val="18"/>
              </w:rPr>
            </w:pPr>
            <w:r w:rsidRPr="007114AF">
              <w:rPr>
                <w:rFonts w:ascii="Garamond" w:hAnsi="Garamond"/>
                <w:b/>
                <w:bCs/>
                <w:iCs/>
                <w:sz w:val="18"/>
                <w:szCs w:val="18"/>
              </w:rPr>
              <w:t xml:space="preserve">Treguesi 6.2: </w:t>
            </w:r>
            <w:r w:rsidRPr="007114AF">
              <w:rPr>
                <w:rFonts w:ascii="Garamond" w:hAnsi="Garamond"/>
                <w:bCs/>
                <w:iCs/>
                <w:sz w:val="18"/>
                <w:szCs w:val="18"/>
              </w:rPr>
              <w:t>Në një strategji sektoriale përkatëse përfshihet të paktën një qasje integruese në vit.</w:t>
            </w:r>
          </w:p>
          <w:p w14:paraId="6EDD002C" w14:textId="77777777" w:rsidR="001617A3" w:rsidRPr="007114AF" w:rsidRDefault="001617A3" w:rsidP="001617A3">
            <w:pPr>
              <w:spacing w:after="0" w:line="240" w:lineRule="auto"/>
              <w:rPr>
                <w:rFonts w:ascii="Garamond" w:hAnsi="Garamond"/>
                <w:b/>
                <w:bCs/>
                <w:iCs/>
                <w:sz w:val="18"/>
                <w:szCs w:val="18"/>
              </w:rPr>
            </w:pPr>
            <w:r w:rsidRPr="007114AF">
              <w:rPr>
                <w:rFonts w:ascii="Garamond" w:hAnsi="Garamond"/>
                <w:b/>
                <w:bCs/>
                <w:iCs/>
                <w:sz w:val="18"/>
                <w:szCs w:val="18"/>
              </w:rPr>
              <w:t xml:space="preserve">Treguesi 7.1: </w:t>
            </w:r>
            <w:r w:rsidRPr="007114AF">
              <w:rPr>
                <w:rFonts w:ascii="Garamond" w:hAnsi="Garamond"/>
                <w:bCs/>
                <w:iCs/>
                <w:sz w:val="18"/>
                <w:szCs w:val="18"/>
              </w:rPr>
              <w:t>Asistenca financiare e BE-së brenda kuadrit të IPA-s ndiqet në përputhje me treguesit statistikorë të OECD-CAD-së për ndryshimet klimatike.</w:t>
            </w:r>
          </w:p>
          <w:p w14:paraId="6EDD002D" w14:textId="77777777" w:rsidR="001617A3" w:rsidRPr="007114AF" w:rsidRDefault="001617A3" w:rsidP="001617A3">
            <w:pPr>
              <w:spacing w:after="0" w:line="240" w:lineRule="auto"/>
              <w:rPr>
                <w:rFonts w:ascii="Garamond" w:hAnsi="Garamond"/>
                <w:b/>
                <w:bCs/>
                <w:iCs/>
                <w:sz w:val="18"/>
                <w:szCs w:val="18"/>
              </w:rPr>
            </w:pPr>
            <w:r w:rsidRPr="007114AF">
              <w:rPr>
                <w:rFonts w:ascii="Garamond" w:hAnsi="Garamond"/>
                <w:b/>
                <w:bCs/>
                <w:iCs/>
                <w:sz w:val="18"/>
                <w:szCs w:val="18"/>
              </w:rPr>
              <w:t xml:space="preserve">Treguesi 8.1: </w:t>
            </w:r>
            <w:r w:rsidRPr="007114AF">
              <w:rPr>
                <w:rFonts w:ascii="Garamond" w:hAnsi="Garamond"/>
                <w:bCs/>
                <w:iCs/>
                <w:sz w:val="18"/>
                <w:szCs w:val="18"/>
              </w:rPr>
              <w:t>Bashkitë më vulnerabël ndaj ndryshimeve klimatike i kanë transferuar kornizat kombëtare të përshtatjes në strategjitë vendore për zhvillim dhe në planet e qeverisjes vendore.</w:t>
            </w:r>
          </w:p>
          <w:p w14:paraId="6EDD002E" w14:textId="77777777" w:rsidR="001617A3" w:rsidRPr="007114AF" w:rsidRDefault="001617A3" w:rsidP="001617A3">
            <w:pPr>
              <w:spacing w:after="0" w:line="240" w:lineRule="auto"/>
              <w:rPr>
                <w:rFonts w:ascii="Garamond" w:hAnsi="Garamond"/>
                <w:b/>
                <w:bCs/>
                <w:iCs/>
                <w:sz w:val="18"/>
                <w:szCs w:val="18"/>
              </w:rPr>
            </w:pPr>
            <w:r w:rsidRPr="007114AF">
              <w:rPr>
                <w:rFonts w:ascii="Garamond" w:hAnsi="Garamond"/>
                <w:b/>
                <w:bCs/>
                <w:iCs/>
                <w:sz w:val="18"/>
                <w:szCs w:val="18"/>
              </w:rPr>
              <w:t xml:space="preserve">Treguesi 9.1: </w:t>
            </w:r>
            <w:r w:rsidRPr="007114AF">
              <w:rPr>
                <w:rFonts w:ascii="Garamond" w:hAnsi="Garamond"/>
                <w:bCs/>
                <w:iCs/>
                <w:sz w:val="18"/>
                <w:szCs w:val="18"/>
              </w:rPr>
              <w:t>Masat e përshtatjes që përcaktohen në Strategjinë Ndërsektoriale për Bujqësinë dhe Zhvillimin Rural janë duke u zbatuar.</w:t>
            </w:r>
          </w:p>
          <w:p w14:paraId="6EDD002F" w14:textId="5027606B" w:rsidR="001617A3" w:rsidRPr="007114AF" w:rsidRDefault="001617A3" w:rsidP="001617A3">
            <w:pPr>
              <w:spacing w:after="0" w:line="240" w:lineRule="auto"/>
              <w:rPr>
                <w:rFonts w:ascii="Garamond" w:hAnsi="Garamond"/>
                <w:b/>
                <w:bCs/>
                <w:iCs/>
                <w:sz w:val="18"/>
                <w:szCs w:val="18"/>
              </w:rPr>
            </w:pPr>
            <w:r w:rsidRPr="007114AF">
              <w:rPr>
                <w:rFonts w:ascii="Garamond" w:hAnsi="Garamond"/>
                <w:b/>
                <w:bCs/>
                <w:iCs/>
                <w:sz w:val="18"/>
                <w:szCs w:val="18"/>
              </w:rPr>
              <w:t xml:space="preserve">Treguesi 10.1: </w:t>
            </w:r>
            <w:r w:rsidRPr="007114AF">
              <w:rPr>
                <w:rFonts w:ascii="Garamond" w:hAnsi="Garamond"/>
                <w:bCs/>
                <w:iCs/>
                <w:sz w:val="18"/>
                <w:szCs w:val="18"/>
              </w:rPr>
              <w:t>Masat e përshtatjes ndaj ndryshimeve klimatike të pasqyrohen në mënyrë adekuate në planin dhe procesin e zbatimit për dy plane menaxhimi pilote të baseneve lumore.</w:t>
            </w:r>
            <w:r w:rsidR="00191838" w:rsidRPr="007114AF">
              <w:rPr>
                <w:rFonts w:ascii="Garamond" w:hAnsi="Garamond"/>
                <w:bCs/>
                <w:iCs/>
                <w:sz w:val="18"/>
                <w:szCs w:val="18"/>
              </w:rPr>
              <w:t>.</w:t>
            </w:r>
          </w:p>
          <w:p w14:paraId="6EDD0030" w14:textId="77777777" w:rsidR="001617A3" w:rsidRPr="007114AF" w:rsidRDefault="001617A3" w:rsidP="001617A3">
            <w:pPr>
              <w:spacing w:after="0" w:line="240" w:lineRule="auto"/>
              <w:rPr>
                <w:rFonts w:ascii="Garamond" w:hAnsi="Garamond"/>
                <w:b/>
                <w:bCs/>
                <w:iCs/>
                <w:sz w:val="18"/>
                <w:szCs w:val="18"/>
              </w:rPr>
            </w:pPr>
            <w:r w:rsidRPr="007114AF">
              <w:rPr>
                <w:rFonts w:ascii="Garamond" w:hAnsi="Garamond"/>
                <w:b/>
                <w:bCs/>
                <w:iCs/>
                <w:sz w:val="18"/>
                <w:szCs w:val="18"/>
              </w:rPr>
              <w:t xml:space="preserve">Treguesi 11.1: </w:t>
            </w:r>
            <w:r w:rsidRPr="007114AF">
              <w:rPr>
                <w:rFonts w:ascii="Garamond" w:hAnsi="Garamond"/>
                <w:bCs/>
                <w:iCs/>
                <w:sz w:val="18"/>
                <w:szCs w:val="18"/>
              </w:rPr>
              <w:t>Masat e përshtatjes që përcaktohen në Strategjinë Kombëtare për Energjinë janë duke u zbatuar.</w:t>
            </w:r>
          </w:p>
          <w:p w14:paraId="6EDD0031" w14:textId="77777777" w:rsidR="001617A3" w:rsidRPr="007114AF" w:rsidRDefault="001617A3" w:rsidP="001617A3">
            <w:pPr>
              <w:spacing w:after="0" w:line="240" w:lineRule="auto"/>
              <w:rPr>
                <w:rFonts w:ascii="Garamond" w:hAnsi="Garamond"/>
                <w:sz w:val="18"/>
                <w:szCs w:val="18"/>
              </w:rPr>
            </w:pPr>
          </w:p>
        </w:tc>
        <w:tc>
          <w:tcPr>
            <w:tcW w:w="1350" w:type="dxa"/>
            <w:tcBorders>
              <w:top w:val="single" w:sz="4" w:space="0" w:color="000000"/>
              <w:left w:val="single" w:sz="4" w:space="0" w:color="000000"/>
              <w:bottom w:val="single" w:sz="4" w:space="0" w:color="000000"/>
              <w:right w:val="single" w:sz="4" w:space="0" w:color="000000"/>
            </w:tcBorders>
          </w:tcPr>
          <w:p w14:paraId="6EDD0032" w14:textId="77777777" w:rsidR="001617A3" w:rsidRPr="007114AF" w:rsidRDefault="001617A3" w:rsidP="001617A3">
            <w:pPr>
              <w:spacing w:after="0" w:line="240" w:lineRule="auto"/>
              <w:rPr>
                <w:rFonts w:ascii="Garamond" w:hAnsi="Garamond"/>
                <w:sz w:val="18"/>
                <w:szCs w:val="18"/>
              </w:rPr>
            </w:pPr>
            <w:r w:rsidRPr="007114AF">
              <w:rPr>
                <w:rFonts w:ascii="Garamond" w:hAnsi="Garamond"/>
                <w:sz w:val="18"/>
                <w:szCs w:val="18"/>
              </w:rPr>
              <w:t xml:space="preserve">SP.4; SP.6 </w:t>
            </w:r>
          </w:p>
        </w:tc>
      </w:tr>
      <w:tr w:rsidR="001617A3" w:rsidRPr="007114AF" w14:paraId="6EDD003D" w14:textId="77777777" w:rsidTr="001C467C">
        <w:tc>
          <w:tcPr>
            <w:tcW w:w="1393" w:type="dxa"/>
            <w:tcBorders>
              <w:top w:val="single" w:sz="4" w:space="0" w:color="000000"/>
              <w:left w:val="single" w:sz="4" w:space="0" w:color="000000"/>
              <w:bottom w:val="single" w:sz="4" w:space="0" w:color="000000"/>
              <w:right w:val="single" w:sz="4" w:space="0" w:color="000000"/>
            </w:tcBorders>
            <w:hideMark/>
          </w:tcPr>
          <w:p w14:paraId="6EDD0034" w14:textId="77777777" w:rsidR="001617A3" w:rsidRPr="00E646DC" w:rsidRDefault="001617A3" w:rsidP="001617A3">
            <w:pPr>
              <w:spacing w:after="0" w:line="240" w:lineRule="auto"/>
              <w:rPr>
                <w:rFonts w:ascii="Garamond" w:hAnsi="Garamond"/>
                <w:sz w:val="18"/>
                <w:szCs w:val="18"/>
              </w:rPr>
            </w:pPr>
            <w:r w:rsidRPr="00E646DC">
              <w:rPr>
                <w:rFonts w:ascii="Garamond" w:hAnsi="Garamond"/>
                <w:sz w:val="18"/>
                <w:szCs w:val="18"/>
              </w:rPr>
              <w:t>Financimi mbi klimën</w:t>
            </w:r>
          </w:p>
        </w:tc>
        <w:tc>
          <w:tcPr>
            <w:tcW w:w="3503" w:type="dxa"/>
            <w:tcBorders>
              <w:top w:val="single" w:sz="4" w:space="0" w:color="000000"/>
              <w:left w:val="single" w:sz="4" w:space="0" w:color="000000"/>
              <w:bottom w:val="single" w:sz="4" w:space="0" w:color="000000"/>
              <w:right w:val="single" w:sz="4" w:space="0" w:color="000000"/>
            </w:tcBorders>
          </w:tcPr>
          <w:p w14:paraId="6EDD0035" w14:textId="77777777" w:rsidR="001617A3" w:rsidRPr="00E646DC" w:rsidRDefault="001617A3" w:rsidP="001617A3">
            <w:pPr>
              <w:pStyle w:val="Standardtextbody"/>
              <w:pBdr>
                <w:bar w:val="single" w:sz="4" w:color="FF8080"/>
              </w:pBdr>
              <w:spacing w:after="0" w:line="240" w:lineRule="auto"/>
              <w:jc w:val="both"/>
              <w:rPr>
                <w:rFonts w:ascii="Garamond" w:eastAsiaTheme="minorEastAsia" w:hAnsi="Garamond" w:cstheme="minorBidi"/>
                <w:bCs w:val="0"/>
                <w:iCs w:val="0"/>
                <w:sz w:val="18"/>
                <w:szCs w:val="18"/>
                <w:lang w:val="sq-AL" w:eastAsia="it-IT"/>
              </w:rPr>
            </w:pPr>
            <w:r w:rsidRPr="00E646DC">
              <w:rPr>
                <w:rFonts w:ascii="Garamond" w:eastAsiaTheme="minorEastAsia" w:hAnsi="Garamond" w:cstheme="minorBidi"/>
                <w:b/>
                <w:bCs w:val="0"/>
                <w:iCs w:val="0"/>
                <w:sz w:val="18"/>
                <w:szCs w:val="18"/>
                <w:lang w:val="sq-AL" w:eastAsia="it-IT"/>
              </w:rPr>
              <w:t xml:space="preserve">Objektivi 12: </w:t>
            </w:r>
            <w:r w:rsidRPr="00E646DC">
              <w:rPr>
                <w:rFonts w:ascii="Garamond" w:eastAsiaTheme="minorEastAsia" w:hAnsi="Garamond" w:cstheme="minorBidi"/>
                <w:bCs w:val="0"/>
                <w:iCs w:val="0"/>
                <w:sz w:val="18"/>
                <w:szCs w:val="18"/>
                <w:lang w:val="sq-AL" w:eastAsia="it-IT"/>
              </w:rPr>
              <w:t>Aksesimi me sukses i buxhetit publik të Shqipërisë për financimin e zbatimit të NAP-it.</w:t>
            </w:r>
          </w:p>
          <w:p w14:paraId="6EDD0036" w14:textId="77777777" w:rsidR="001617A3" w:rsidRPr="00E646DC" w:rsidRDefault="001617A3" w:rsidP="001617A3">
            <w:pPr>
              <w:pStyle w:val="Standardtextbody"/>
              <w:pBdr>
                <w:bar w:val="single" w:sz="4" w:color="FF8080"/>
              </w:pBdr>
              <w:spacing w:after="0" w:line="240" w:lineRule="auto"/>
              <w:jc w:val="both"/>
              <w:rPr>
                <w:rFonts w:ascii="Garamond" w:hAnsi="Garamond"/>
                <w:sz w:val="18"/>
                <w:szCs w:val="18"/>
                <w:lang w:val="sq-AL"/>
              </w:rPr>
            </w:pPr>
            <w:r w:rsidRPr="00E646DC">
              <w:rPr>
                <w:rFonts w:ascii="Garamond" w:eastAsiaTheme="minorEastAsia" w:hAnsi="Garamond" w:cstheme="minorBidi"/>
                <w:b/>
                <w:bCs w:val="0"/>
                <w:iCs w:val="0"/>
                <w:sz w:val="18"/>
                <w:szCs w:val="18"/>
                <w:lang w:val="sq-AL" w:eastAsia="it-IT"/>
              </w:rPr>
              <w:t xml:space="preserve">Objektivi 13: </w:t>
            </w:r>
            <w:r w:rsidRPr="00E646DC">
              <w:rPr>
                <w:rFonts w:ascii="Garamond" w:eastAsiaTheme="minorEastAsia" w:hAnsi="Garamond" w:cstheme="minorBidi"/>
                <w:bCs w:val="0"/>
                <w:iCs w:val="0"/>
                <w:sz w:val="18"/>
                <w:szCs w:val="18"/>
                <w:lang w:val="sq-AL" w:eastAsia="it-IT"/>
              </w:rPr>
              <w:t>Kërkesat e miratuara për projekte të cilat sigurojnë mbështetje e GCF-ës për procesin e përshtatjes në Shqipëri</w:t>
            </w:r>
            <w:r w:rsidRPr="00E646DC">
              <w:rPr>
                <w:rFonts w:ascii="Garamond" w:hAnsi="Garamond"/>
                <w:sz w:val="18"/>
                <w:szCs w:val="18"/>
                <w:lang w:val="sq-AL"/>
              </w:rPr>
              <w:t>.</w:t>
            </w:r>
          </w:p>
          <w:p w14:paraId="6EDD0037" w14:textId="77777777" w:rsidR="001617A3" w:rsidRPr="00E646DC" w:rsidRDefault="001617A3" w:rsidP="001617A3">
            <w:pPr>
              <w:spacing w:after="0" w:line="240" w:lineRule="auto"/>
              <w:rPr>
                <w:rFonts w:ascii="Garamond" w:hAnsi="Garamond"/>
                <w:sz w:val="18"/>
                <w:szCs w:val="18"/>
              </w:rPr>
            </w:pPr>
          </w:p>
          <w:p w14:paraId="6EDD0038" w14:textId="77777777" w:rsidR="001617A3" w:rsidRPr="00E646DC" w:rsidRDefault="001617A3" w:rsidP="001617A3">
            <w:pPr>
              <w:spacing w:after="0" w:line="240" w:lineRule="auto"/>
              <w:rPr>
                <w:rFonts w:ascii="Garamond" w:hAnsi="Garamond"/>
                <w:sz w:val="18"/>
                <w:szCs w:val="18"/>
              </w:rPr>
            </w:pPr>
          </w:p>
        </w:tc>
        <w:tc>
          <w:tcPr>
            <w:tcW w:w="3330" w:type="dxa"/>
            <w:tcBorders>
              <w:top w:val="single" w:sz="4" w:space="0" w:color="000000"/>
              <w:left w:val="single" w:sz="4" w:space="0" w:color="000000"/>
              <w:bottom w:val="single" w:sz="4" w:space="0" w:color="000000"/>
              <w:right w:val="single" w:sz="4" w:space="0" w:color="000000"/>
            </w:tcBorders>
            <w:hideMark/>
          </w:tcPr>
          <w:p w14:paraId="6EDD0039" w14:textId="7E5F33EA" w:rsidR="001617A3" w:rsidRPr="00E646DC" w:rsidRDefault="001617A3" w:rsidP="001617A3">
            <w:pPr>
              <w:spacing w:after="0" w:line="240" w:lineRule="auto"/>
              <w:rPr>
                <w:rFonts w:ascii="Garamond" w:hAnsi="Garamond"/>
                <w:b/>
                <w:bCs/>
                <w:iCs/>
                <w:sz w:val="18"/>
                <w:szCs w:val="18"/>
              </w:rPr>
            </w:pPr>
            <w:r w:rsidRPr="00E646DC">
              <w:rPr>
                <w:rFonts w:ascii="Garamond" w:hAnsi="Garamond"/>
                <w:b/>
                <w:bCs/>
                <w:iCs/>
                <w:sz w:val="18"/>
                <w:szCs w:val="18"/>
              </w:rPr>
              <w:t xml:space="preserve">Treguesi 12.1: </w:t>
            </w:r>
            <w:r w:rsidRPr="00E646DC">
              <w:rPr>
                <w:rFonts w:ascii="Garamond" w:hAnsi="Garamond"/>
                <w:bCs/>
                <w:iCs/>
                <w:sz w:val="18"/>
                <w:szCs w:val="18"/>
              </w:rPr>
              <w:t xml:space="preserve">Evidencat publike tregojnë se të paktën 5 </w:t>
            </w:r>
            <w:r w:rsidR="001C47F0" w:rsidRPr="00E646DC">
              <w:rPr>
                <w:rFonts w:ascii="Garamond" w:hAnsi="Garamond"/>
                <w:bCs/>
                <w:iCs/>
                <w:sz w:val="18"/>
                <w:szCs w:val="18"/>
              </w:rPr>
              <w:t xml:space="preserve">milionë </w:t>
            </w:r>
            <w:r w:rsidRPr="00E646DC">
              <w:rPr>
                <w:rFonts w:ascii="Garamond" w:hAnsi="Garamond"/>
                <w:bCs/>
                <w:iCs/>
                <w:sz w:val="18"/>
                <w:szCs w:val="18"/>
              </w:rPr>
              <w:t>USD janë shpenzuar brenda muajit janar 2018, si fillim, nga buxheti publik i Shqipërisë për zbatimin e NAP-it.</w:t>
            </w:r>
          </w:p>
          <w:p w14:paraId="6EDD003A" w14:textId="77777777" w:rsidR="001617A3" w:rsidRPr="00E646DC" w:rsidRDefault="001617A3" w:rsidP="001617A3">
            <w:pPr>
              <w:spacing w:after="0" w:line="240" w:lineRule="auto"/>
              <w:rPr>
                <w:rFonts w:ascii="Garamond" w:hAnsi="Garamond"/>
                <w:b/>
                <w:sz w:val="18"/>
                <w:szCs w:val="18"/>
              </w:rPr>
            </w:pPr>
            <w:r w:rsidRPr="00E646DC">
              <w:rPr>
                <w:rFonts w:ascii="Garamond" w:hAnsi="Garamond"/>
                <w:b/>
                <w:sz w:val="18"/>
                <w:szCs w:val="18"/>
              </w:rPr>
              <w:t xml:space="preserve">Treguesi 13.1: </w:t>
            </w:r>
            <w:r w:rsidRPr="00E646DC">
              <w:rPr>
                <w:rFonts w:ascii="Garamond" w:hAnsi="Garamond"/>
                <w:sz w:val="18"/>
                <w:szCs w:val="18"/>
              </w:rPr>
              <w:t>GCF-ja i ka dhënë Shqipërisë mbështetje financiare për aktivitetet e gatishmërisë brenda muajit dhjetor 2016.</w:t>
            </w:r>
          </w:p>
          <w:p w14:paraId="6EDD003B" w14:textId="75AB1381" w:rsidR="001617A3" w:rsidRPr="00E646DC" w:rsidRDefault="001617A3" w:rsidP="001617A3">
            <w:pPr>
              <w:spacing w:after="0" w:line="240" w:lineRule="auto"/>
              <w:rPr>
                <w:rFonts w:ascii="Garamond" w:hAnsi="Garamond"/>
                <w:sz w:val="18"/>
                <w:szCs w:val="18"/>
              </w:rPr>
            </w:pPr>
            <w:r w:rsidRPr="00E646DC">
              <w:rPr>
                <w:rFonts w:ascii="Garamond" w:hAnsi="Garamond"/>
                <w:b/>
                <w:sz w:val="18"/>
                <w:szCs w:val="18"/>
              </w:rPr>
              <w:lastRenderedPageBreak/>
              <w:t xml:space="preserve">Treguesi 13.2: </w:t>
            </w:r>
            <w:r w:rsidRPr="00E646DC">
              <w:rPr>
                <w:rFonts w:ascii="Garamond" w:hAnsi="Garamond"/>
                <w:sz w:val="18"/>
                <w:szCs w:val="18"/>
              </w:rPr>
              <w:t>Një propozim me rëndësi për zbatimin e NAP-it</w:t>
            </w:r>
            <w:r w:rsidR="00C6608F" w:rsidRPr="00E646DC">
              <w:rPr>
                <w:rFonts w:ascii="Garamond" w:hAnsi="Garamond"/>
                <w:sz w:val="18"/>
                <w:szCs w:val="18"/>
              </w:rPr>
              <w:t xml:space="preserve"> </w:t>
            </w:r>
            <w:r w:rsidRPr="00E646DC">
              <w:rPr>
                <w:rFonts w:ascii="Garamond" w:hAnsi="Garamond"/>
                <w:sz w:val="18"/>
                <w:szCs w:val="18"/>
              </w:rPr>
              <w:t>të Shqipërisë është aprovuar nga mbledhja e Këshillit të GCF-së në muajin mars 2018.</w:t>
            </w:r>
          </w:p>
        </w:tc>
        <w:tc>
          <w:tcPr>
            <w:tcW w:w="1350" w:type="dxa"/>
            <w:tcBorders>
              <w:top w:val="single" w:sz="4" w:space="0" w:color="000000"/>
              <w:left w:val="single" w:sz="4" w:space="0" w:color="000000"/>
              <w:bottom w:val="single" w:sz="4" w:space="0" w:color="000000"/>
              <w:right w:val="single" w:sz="4" w:space="0" w:color="000000"/>
            </w:tcBorders>
          </w:tcPr>
          <w:p w14:paraId="6EDD003C" w14:textId="77777777" w:rsidR="001617A3" w:rsidRPr="007114AF" w:rsidRDefault="001617A3" w:rsidP="001617A3">
            <w:pPr>
              <w:spacing w:after="0" w:line="240" w:lineRule="auto"/>
              <w:rPr>
                <w:rFonts w:ascii="Garamond" w:hAnsi="Garamond"/>
                <w:sz w:val="18"/>
                <w:szCs w:val="18"/>
              </w:rPr>
            </w:pPr>
            <w:r w:rsidRPr="00E646DC">
              <w:rPr>
                <w:rFonts w:ascii="Garamond" w:hAnsi="Garamond"/>
                <w:sz w:val="18"/>
                <w:szCs w:val="18"/>
              </w:rPr>
              <w:lastRenderedPageBreak/>
              <w:t>SP.3; SP.5</w:t>
            </w:r>
          </w:p>
        </w:tc>
      </w:tr>
      <w:tr w:rsidR="001617A3" w:rsidRPr="007114AF" w14:paraId="6EDD0043" w14:textId="77777777" w:rsidTr="001C467C">
        <w:tc>
          <w:tcPr>
            <w:tcW w:w="1393" w:type="dxa"/>
            <w:tcBorders>
              <w:top w:val="single" w:sz="4" w:space="0" w:color="000000"/>
              <w:left w:val="single" w:sz="4" w:space="0" w:color="000000"/>
              <w:bottom w:val="single" w:sz="4" w:space="0" w:color="000000"/>
              <w:right w:val="single" w:sz="4" w:space="0" w:color="000000"/>
            </w:tcBorders>
            <w:hideMark/>
          </w:tcPr>
          <w:p w14:paraId="6EDD003E" w14:textId="77777777" w:rsidR="001617A3" w:rsidRPr="007114AF" w:rsidRDefault="001617A3" w:rsidP="001617A3">
            <w:pPr>
              <w:spacing w:after="0" w:line="240" w:lineRule="auto"/>
              <w:rPr>
                <w:rFonts w:ascii="Garamond" w:hAnsi="Garamond"/>
                <w:sz w:val="18"/>
                <w:szCs w:val="18"/>
              </w:rPr>
            </w:pPr>
            <w:r w:rsidRPr="007114AF">
              <w:rPr>
                <w:rFonts w:ascii="Garamond" w:hAnsi="Garamond"/>
                <w:sz w:val="18"/>
                <w:szCs w:val="18"/>
              </w:rPr>
              <w:t>Komunikimi dhe përfshirja e publikut</w:t>
            </w:r>
          </w:p>
        </w:tc>
        <w:tc>
          <w:tcPr>
            <w:tcW w:w="3503" w:type="dxa"/>
            <w:tcBorders>
              <w:top w:val="single" w:sz="4" w:space="0" w:color="000000"/>
              <w:left w:val="single" w:sz="4" w:space="0" w:color="000000"/>
              <w:bottom w:val="single" w:sz="4" w:space="0" w:color="000000"/>
              <w:right w:val="single" w:sz="4" w:space="0" w:color="000000"/>
            </w:tcBorders>
            <w:hideMark/>
          </w:tcPr>
          <w:p w14:paraId="6EDD003F" w14:textId="77777777" w:rsidR="001617A3" w:rsidRPr="007114AF" w:rsidRDefault="001617A3" w:rsidP="001617A3">
            <w:pPr>
              <w:spacing w:after="0" w:line="240" w:lineRule="auto"/>
              <w:rPr>
                <w:rFonts w:ascii="Garamond" w:hAnsi="Garamond"/>
                <w:sz w:val="18"/>
                <w:szCs w:val="18"/>
              </w:rPr>
            </w:pPr>
            <w:r w:rsidRPr="007114AF">
              <w:rPr>
                <w:rFonts w:ascii="Garamond" w:hAnsi="Garamond"/>
                <w:b/>
                <w:sz w:val="18"/>
                <w:szCs w:val="18"/>
              </w:rPr>
              <w:t xml:space="preserve">Objektivi 14: </w:t>
            </w:r>
            <w:r w:rsidRPr="007114AF">
              <w:rPr>
                <w:rFonts w:ascii="Garamond" w:hAnsi="Garamond"/>
                <w:sz w:val="18"/>
                <w:szCs w:val="18"/>
              </w:rPr>
              <w:t>Publiku të informohet për ecurinë e përshtatjes ndaj ndryshimeve klimatike.</w:t>
            </w:r>
          </w:p>
        </w:tc>
        <w:tc>
          <w:tcPr>
            <w:tcW w:w="3330" w:type="dxa"/>
            <w:tcBorders>
              <w:top w:val="single" w:sz="4" w:space="0" w:color="000000"/>
              <w:left w:val="single" w:sz="4" w:space="0" w:color="000000"/>
              <w:bottom w:val="single" w:sz="4" w:space="0" w:color="000000"/>
              <w:right w:val="single" w:sz="4" w:space="0" w:color="000000"/>
            </w:tcBorders>
            <w:hideMark/>
          </w:tcPr>
          <w:p w14:paraId="6EDD0040" w14:textId="77777777" w:rsidR="001617A3" w:rsidRPr="007114AF" w:rsidRDefault="001617A3" w:rsidP="001617A3">
            <w:pPr>
              <w:spacing w:after="0" w:line="240" w:lineRule="auto"/>
              <w:rPr>
                <w:rFonts w:ascii="Garamond" w:hAnsi="Garamond"/>
                <w:b/>
                <w:bCs/>
                <w:iCs/>
                <w:sz w:val="18"/>
                <w:szCs w:val="18"/>
              </w:rPr>
            </w:pPr>
            <w:r w:rsidRPr="007114AF">
              <w:rPr>
                <w:rFonts w:ascii="Garamond" w:hAnsi="Garamond"/>
                <w:b/>
                <w:bCs/>
                <w:iCs/>
                <w:sz w:val="18"/>
                <w:szCs w:val="18"/>
              </w:rPr>
              <w:t xml:space="preserve">Treguesi 14.1: </w:t>
            </w:r>
            <w:r w:rsidRPr="007114AF">
              <w:rPr>
                <w:rFonts w:ascii="Garamond" w:hAnsi="Garamond"/>
                <w:bCs/>
                <w:iCs/>
                <w:sz w:val="18"/>
                <w:szCs w:val="18"/>
              </w:rPr>
              <w:t>Informacioni për përshtatjen përfshihet në sistemin e ri të realizimit të shërbimeve publike dhe qeverisjes elektronike (të parashikuar nga SKZHI).</w:t>
            </w:r>
          </w:p>
          <w:p w14:paraId="6EDD0041" w14:textId="3F183F23" w:rsidR="001617A3" w:rsidRPr="007114AF" w:rsidRDefault="001617A3" w:rsidP="001617A3">
            <w:pPr>
              <w:spacing w:after="0" w:line="240" w:lineRule="auto"/>
              <w:rPr>
                <w:rFonts w:ascii="Garamond" w:hAnsi="Garamond"/>
                <w:bCs/>
                <w:iCs/>
                <w:sz w:val="18"/>
                <w:szCs w:val="18"/>
              </w:rPr>
            </w:pPr>
            <w:r w:rsidRPr="007114AF">
              <w:rPr>
                <w:rFonts w:ascii="Garamond" w:hAnsi="Garamond"/>
                <w:b/>
                <w:bCs/>
                <w:iCs/>
                <w:sz w:val="18"/>
                <w:szCs w:val="18"/>
              </w:rPr>
              <w:t xml:space="preserve">Treguesi 14.2: </w:t>
            </w:r>
            <w:r w:rsidRPr="007114AF">
              <w:rPr>
                <w:rFonts w:ascii="Garamond" w:hAnsi="Garamond"/>
                <w:bCs/>
                <w:iCs/>
                <w:sz w:val="18"/>
                <w:szCs w:val="18"/>
              </w:rPr>
              <w:t>Realizimi i një</w:t>
            </w:r>
            <w:r w:rsidR="00C6608F" w:rsidRPr="007114AF">
              <w:rPr>
                <w:rFonts w:ascii="Garamond" w:hAnsi="Garamond"/>
                <w:bCs/>
                <w:iCs/>
                <w:sz w:val="18"/>
                <w:szCs w:val="18"/>
              </w:rPr>
              <w:t xml:space="preserve"> </w:t>
            </w:r>
            <w:r w:rsidRPr="007114AF">
              <w:rPr>
                <w:rFonts w:ascii="Garamond" w:hAnsi="Garamond"/>
                <w:bCs/>
                <w:iCs/>
                <w:sz w:val="18"/>
                <w:szCs w:val="18"/>
              </w:rPr>
              <w:t>fushate në vit për çështjet e lidhura me përshtatjen ndaj ndryshimeve klimatike.</w:t>
            </w:r>
          </w:p>
        </w:tc>
        <w:tc>
          <w:tcPr>
            <w:tcW w:w="1350" w:type="dxa"/>
            <w:tcBorders>
              <w:top w:val="single" w:sz="4" w:space="0" w:color="000000"/>
              <w:left w:val="single" w:sz="4" w:space="0" w:color="000000"/>
              <w:bottom w:val="single" w:sz="4" w:space="0" w:color="000000"/>
              <w:right w:val="single" w:sz="4" w:space="0" w:color="000000"/>
            </w:tcBorders>
          </w:tcPr>
          <w:p w14:paraId="6EDD0042" w14:textId="77777777" w:rsidR="001617A3" w:rsidRPr="007114AF" w:rsidRDefault="001617A3" w:rsidP="001617A3">
            <w:pPr>
              <w:spacing w:after="0" w:line="240" w:lineRule="auto"/>
              <w:rPr>
                <w:rFonts w:ascii="Garamond" w:hAnsi="Garamond"/>
                <w:sz w:val="18"/>
                <w:szCs w:val="18"/>
              </w:rPr>
            </w:pPr>
            <w:r w:rsidRPr="007114AF">
              <w:rPr>
                <w:rFonts w:ascii="Garamond" w:hAnsi="Garamond"/>
                <w:sz w:val="18"/>
                <w:szCs w:val="18"/>
              </w:rPr>
              <w:t>SP.4; SP. 5</w:t>
            </w:r>
          </w:p>
        </w:tc>
      </w:tr>
      <w:tr w:rsidR="001617A3" w:rsidRPr="007114AF" w14:paraId="6EDD004A" w14:textId="77777777" w:rsidTr="00CF2A42">
        <w:trPr>
          <w:trHeight w:val="1799"/>
        </w:trPr>
        <w:tc>
          <w:tcPr>
            <w:tcW w:w="1393" w:type="dxa"/>
            <w:tcBorders>
              <w:top w:val="single" w:sz="4" w:space="0" w:color="000000"/>
              <w:left w:val="single" w:sz="4" w:space="0" w:color="000000"/>
              <w:bottom w:val="single" w:sz="4" w:space="0" w:color="000000"/>
              <w:right w:val="single" w:sz="4" w:space="0" w:color="000000"/>
            </w:tcBorders>
            <w:hideMark/>
          </w:tcPr>
          <w:p w14:paraId="6EDD0044" w14:textId="4BABD599" w:rsidR="001617A3" w:rsidRPr="007114AF" w:rsidRDefault="001617A3" w:rsidP="001617A3">
            <w:pPr>
              <w:spacing w:after="0" w:line="240" w:lineRule="auto"/>
              <w:rPr>
                <w:rFonts w:ascii="Garamond" w:hAnsi="Garamond"/>
                <w:sz w:val="18"/>
                <w:szCs w:val="18"/>
              </w:rPr>
            </w:pPr>
            <w:r w:rsidRPr="007114AF">
              <w:rPr>
                <w:rFonts w:ascii="Garamond" w:hAnsi="Garamond"/>
                <w:sz w:val="18"/>
                <w:szCs w:val="18"/>
              </w:rPr>
              <w:t>Ngritja e institucioneve</w:t>
            </w:r>
            <w:r w:rsidR="000A2A01" w:rsidRPr="007114AF">
              <w:rPr>
                <w:rFonts w:ascii="Garamond" w:hAnsi="Garamond"/>
                <w:sz w:val="18"/>
                <w:szCs w:val="18"/>
              </w:rPr>
              <w:t xml:space="preserve"> </w:t>
            </w:r>
            <w:r w:rsidRPr="007114AF">
              <w:rPr>
                <w:rFonts w:ascii="Garamond" w:hAnsi="Garamond"/>
                <w:sz w:val="18"/>
                <w:szCs w:val="18"/>
              </w:rPr>
              <w:t>dhe zhvillimi i kapaciteteve.</w:t>
            </w:r>
          </w:p>
        </w:tc>
        <w:tc>
          <w:tcPr>
            <w:tcW w:w="3503" w:type="dxa"/>
            <w:tcBorders>
              <w:top w:val="single" w:sz="4" w:space="0" w:color="000000"/>
              <w:left w:val="single" w:sz="4" w:space="0" w:color="000000"/>
              <w:bottom w:val="single" w:sz="4" w:space="0" w:color="000000"/>
              <w:right w:val="single" w:sz="4" w:space="0" w:color="000000"/>
            </w:tcBorders>
            <w:hideMark/>
          </w:tcPr>
          <w:p w14:paraId="6EDD0045" w14:textId="4FD6C3E8" w:rsidR="001617A3" w:rsidRPr="007114AF" w:rsidRDefault="001617A3" w:rsidP="001617A3">
            <w:pPr>
              <w:spacing w:after="0" w:line="240" w:lineRule="auto"/>
              <w:rPr>
                <w:rFonts w:ascii="Garamond" w:hAnsi="Garamond"/>
                <w:b/>
                <w:bCs/>
                <w:iCs/>
                <w:sz w:val="18"/>
                <w:szCs w:val="18"/>
              </w:rPr>
            </w:pPr>
            <w:r w:rsidRPr="007114AF">
              <w:rPr>
                <w:rFonts w:ascii="Garamond" w:hAnsi="Garamond"/>
                <w:b/>
                <w:bCs/>
                <w:iCs/>
                <w:sz w:val="18"/>
                <w:szCs w:val="18"/>
              </w:rPr>
              <w:t xml:space="preserve">Objektivi 15: </w:t>
            </w:r>
            <w:r w:rsidRPr="007114AF">
              <w:rPr>
                <w:rFonts w:ascii="Garamond" w:hAnsi="Garamond"/>
                <w:bCs/>
                <w:iCs/>
                <w:sz w:val="18"/>
                <w:szCs w:val="18"/>
              </w:rPr>
              <w:t>Aktorët dhe palët e interesit të përfshira në procesin e NAP-it</w:t>
            </w:r>
            <w:r w:rsidR="000A2A01" w:rsidRPr="007114AF">
              <w:rPr>
                <w:rFonts w:ascii="Garamond" w:hAnsi="Garamond"/>
                <w:bCs/>
                <w:iCs/>
                <w:sz w:val="18"/>
                <w:szCs w:val="18"/>
              </w:rPr>
              <w:t xml:space="preserve"> </w:t>
            </w:r>
            <w:r w:rsidRPr="007114AF">
              <w:rPr>
                <w:rFonts w:ascii="Garamond" w:hAnsi="Garamond"/>
                <w:bCs/>
                <w:iCs/>
                <w:sz w:val="18"/>
                <w:szCs w:val="18"/>
              </w:rPr>
              <w:t>të kenë njohuri dhe aftësi mbi</w:t>
            </w:r>
            <w:r w:rsidR="00C6608F" w:rsidRPr="007114AF">
              <w:rPr>
                <w:rFonts w:ascii="Garamond" w:hAnsi="Garamond"/>
                <w:bCs/>
                <w:iCs/>
                <w:sz w:val="18"/>
                <w:szCs w:val="18"/>
              </w:rPr>
              <w:t xml:space="preserve"> </w:t>
            </w:r>
            <w:r w:rsidRPr="007114AF">
              <w:rPr>
                <w:rFonts w:ascii="Garamond" w:hAnsi="Garamond"/>
                <w:bCs/>
                <w:iCs/>
                <w:sz w:val="18"/>
                <w:szCs w:val="18"/>
              </w:rPr>
              <w:t>çështjet e përshtatjes.</w:t>
            </w:r>
          </w:p>
          <w:p w14:paraId="6EDD0046" w14:textId="77777777" w:rsidR="001617A3" w:rsidRPr="007114AF" w:rsidRDefault="001617A3" w:rsidP="001617A3">
            <w:pPr>
              <w:spacing w:after="0" w:line="240" w:lineRule="auto"/>
              <w:rPr>
                <w:rFonts w:ascii="Garamond" w:hAnsi="Garamond"/>
                <w:sz w:val="18"/>
                <w:szCs w:val="18"/>
              </w:rPr>
            </w:pPr>
            <w:r w:rsidRPr="007114AF">
              <w:rPr>
                <w:rFonts w:ascii="Garamond" w:hAnsi="Garamond"/>
                <w:b/>
                <w:sz w:val="18"/>
                <w:szCs w:val="18"/>
              </w:rPr>
              <w:t xml:space="preserve">Objektivi 16: </w:t>
            </w:r>
            <w:r w:rsidRPr="007114AF">
              <w:rPr>
                <w:rFonts w:ascii="Garamond" w:hAnsi="Garamond"/>
                <w:sz w:val="18"/>
                <w:szCs w:val="18"/>
              </w:rPr>
              <w:t>Strukturat, rregulloret dhe politikat institucionale në sektorë të përzgjedhur janë në mbështetje të përshtatjes ndaj ndryshimeve klimatike.</w:t>
            </w:r>
          </w:p>
        </w:tc>
        <w:tc>
          <w:tcPr>
            <w:tcW w:w="3330" w:type="dxa"/>
            <w:tcBorders>
              <w:top w:val="single" w:sz="4" w:space="0" w:color="000000"/>
              <w:left w:val="single" w:sz="4" w:space="0" w:color="000000"/>
              <w:bottom w:val="single" w:sz="4" w:space="0" w:color="000000"/>
              <w:right w:val="single" w:sz="4" w:space="0" w:color="000000"/>
            </w:tcBorders>
          </w:tcPr>
          <w:p w14:paraId="6EDD0047" w14:textId="15AAADB5" w:rsidR="001617A3" w:rsidRPr="007114AF" w:rsidRDefault="001617A3" w:rsidP="001617A3">
            <w:pPr>
              <w:spacing w:after="0" w:line="240" w:lineRule="auto"/>
              <w:rPr>
                <w:rFonts w:ascii="Garamond" w:hAnsi="Garamond"/>
                <w:b/>
                <w:bCs/>
                <w:iCs/>
                <w:sz w:val="18"/>
                <w:szCs w:val="18"/>
              </w:rPr>
            </w:pPr>
            <w:r w:rsidRPr="007114AF">
              <w:rPr>
                <w:rFonts w:ascii="Garamond" w:hAnsi="Garamond"/>
                <w:b/>
                <w:bCs/>
                <w:iCs/>
                <w:sz w:val="18"/>
                <w:szCs w:val="18"/>
              </w:rPr>
              <w:t xml:space="preserve">Treguesi 15.1: </w:t>
            </w:r>
            <w:r w:rsidRPr="007114AF">
              <w:rPr>
                <w:rFonts w:ascii="Garamond" w:hAnsi="Garamond"/>
                <w:bCs/>
                <w:iCs/>
                <w:sz w:val="18"/>
                <w:szCs w:val="18"/>
              </w:rPr>
              <w:t xml:space="preserve">Njësia e </w:t>
            </w:r>
            <w:r w:rsidR="00C6608F" w:rsidRPr="007114AF">
              <w:rPr>
                <w:rFonts w:ascii="Garamond" w:hAnsi="Garamond"/>
                <w:bCs/>
                <w:iCs/>
                <w:sz w:val="18"/>
                <w:szCs w:val="18"/>
              </w:rPr>
              <w:t>ndryshimeve</w:t>
            </w:r>
            <w:r w:rsidRPr="007114AF">
              <w:rPr>
                <w:rFonts w:ascii="Garamond" w:hAnsi="Garamond"/>
                <w:bCs/>
                <w:iCs/>
                <w:sz w:val="18"/>
                <w:szCs w:val="18"/>
              </w:rPr>
              <w:t xml:space="preserve"> klimatike pranë MM-ës si dhe pjesëtarë të grupit ndërministror të punës marrin pjesë</w:t>
            </w:r>
            <w:r w:rsidR="00C6608F" w:rsidRPr="007114AF">
              <w:rPr>
                <w:rFonts w:ascii="Garamond" w:hAnsi="Garamond"/>
                <w:bCs/>
                <w:iCs/>
                <w:sz w:val="18"/>
                <w:szCs w:val="18"/>
              </w:rPr>
              <w:t xml:space="preserve"> </w:t>
            </w:r>
            <w:r w:rsidRPr="007114AF">
              <w:rPr>
                <w:rFonts w:ascii="Garamond" w:hAnsi="Garamond"/>
                <w:bCs/>
                <w:iCs/>
                <w:sz w:val="18"/>
                <w:szCs w:val="18"/>
              </w:rPr>
              <w:t xml:space="preserve">rregullisht të paktën një takim të NAP-it në vit. </w:t>
            </w:r>
          </w:p>
          <w:p w14:paraId="6EDD0048" w14:textId="77777777" w:rsidR="001617A3" w:rsidRPr="007114AF" w:rsidRDefault="001617A3" w:rsidP="001617A3">
            <w:pPr>
              <w:spacing w:after="0" w:line="240" w:lineRule="auto"/>
              <w:rPr>
                <w:rFonts w:ascii="Garamond" w:hAnsi="Garamond"/>
                <w:b/>
                <w:bCs/>
                <w:iCs/>
                <w:sz w:val="18"/>
                <w:szCs w:val="18"/>
              </w:rPr>
            </w:pPr>
            <w:r w:rsidRPr="007114AF">
              <w:rPr>
                <w:rFonts w:ascii="Garamond" w:hAnsi="Garamond"/>
                <w:b/>
                <w:bCs/>
                <w:iCs/>
                <w:sz w:val="18"/>
                <w:szCs w:val="18"/>
              </w:rPr>
              <w:t xml:space="preserve">Treguesi 16.1: </w:t>
            </w:r>
            <w:r w:rsidRPr="007114AF">
              <w:rPr>
                <w:rFonts w:ascii="Garamond" w:hAnsi="Garamond"/>
                <w:bCs/>
                <w:iCs/>
                <w:sz w:val="18"/>
                <w:szCs w:val="18"/>
              </w:rPr>
              <w:t>2-5 politika dhe rregullore me rëndësi për procesin e NAP-it të përfshijnë dispozita të lidhura me përshtatjen deri në vitin 2020.</w:t>
            </w:r>
          </w:p>
        </w:tc>
        <w:tc>
          <w:tcPr>
            <w:tcW w:w="1350" w:type="dxa"/>
            <w:tcBorders>
              <w:top w:val="single" w:sz="4" w:space="0" w:color="000000"/>
              <w:left w:val="single" w:sz="4" w:space="0" w:color="000000"/>
              <w:bottom w:val="single" w:sz="4" w:space="0" w:color="000000"/>
              <w:right w:val="single" w:sz="4" w:space="0" w:color="000000"/>
            </w:tcBorders>
          </w:tcPr>
          <w:p w14:paraId="6EDD0049" w14:textId="77777777" w:rsidR="001617A3" w:rsidRPr="007114AF" w:rsidRDefault="001617A3" w:rsidP="001617A3">
            <w:pPr>
              <w:spacing w:after="0" w:line="240" w:lineRule="auto"/>
              <w:rPr>
                <w:rFonts w:ascii="Garamond" w:hAnsi="Garamond"/>
                <w:sz w:val="18"/>
                <w:szCs w:val="18"/>
              </w:rPr>
            </w:pPr>
            <w:r w:rsidRPr="007114AF">
              <w:rPr>
                <w:rFonts w:ascii="Garamond" w:hAnsi="Garamond"/>
                <w:sz w:val="18"/>
                <w:szCs w:val="18"/>
              </w:rPr>
              <w:t>SP.3</w:t>
            </w:r>
          </w:p>
        </w:tc>
      </w:tr>
    </w:tbl>
    <w:p w14:paraId="6EDD004B" w14:textId="77777777" w:rsidR="001617A3" w:rsidRPr="007114AF" w:rsidRDefault="001617A3" w:rsidP="001617A3">
      <w:pPr>
        <w:pStyle w:val="TEKSTI"/>
      </w:pPr>
    </w:p>
    <w:p w14:paraId="6EDD004C" w14:textId="7D6E4573" w:rsidR="001617A3" w:rsidRPr="007114AF" w:rsidRDefault="001617A3" w:rsidP="001617A3">
      <w:pPr>
        <w:pStyle w:val="TEKSTI"/>
        <w:rPr>
          <w:bCs/>
          <w:iCs/>
        </w:rPr>
      </w:pPr>
      <w:bookmarkStart w:id="162" w:name="_Toc456086425"/>
      <w:bookmarkStart w:id="163" w:name="_Toc456165848"/>
      <w:bookmarkStart w:id="164" w:name="_Toc456690589"/>
      <w:bookmarkEnd w:id="162"/>
      <w:bookmarkEnd w:id="163"/>
      <w:bookmarkEnd w:id="164"/>
      <w:r w:rsidRPr="007114AF">
        <w:rPr>
          <w:bCs/>
          <w:iCs/>
        </w:rPr>
        <w:t>NAP-i</w:t>
      </w:r>
      <w:r w:rsidR="00836B59">
        <w:rPr>
          <w:bCs/>
          <w:iCs/>
        </w:rPr>
        <w:t xml:space="preserve"> </w:t>
      </w:r>
      <w:r w:rsidRPr="007114AF">
        <w:rPr>
          <w:bCs/>
          <w:iCs/>
        </w:rPr>
        <w:t>shqiptar është projektuar si një proces afatgjatë. Afati i përgjithshëm për arritjen e objektivave për përshtatjen është 20 vjet (deri në vitin 2035). Kjo vlen kryesisht për 3 objektivat e parë për rezultatet e procesit të përshtatjes. Shumë objektiva të tjerë janë më në vijë dhe mund të arrihen brenda afateve shumë më të shkurtra. Treguesit specifikë do të përcaktojnë edhe këto afate.</w:t>
      </w:r>
    </w:p>
    <w:p w14:paraId="6EDD004D" w14:textId="77777777" w:rsidR="001617A3" w:rsidRPr="007114AF" w:rsidRDefault="001617A3" w:rsidP="001617A3">
      <w:pPr>
        <w:pStyle w:val="TEKSTI"/>
        <w:rPr>
          <w:b/>
          <w:bCs/>
          <w:iCs/>
          <w:u w:val="single"/>
        </w:rPr>
      </w:pPr>
      <w:r w:rsidRPr="007114AF">
        <w:rPr>
          <w:b/>
          <w:bCs/>
          <w:iCs/>
          <w:u w:val="single"/>
        </w:rPr>
        <w:t>Objektivat e Zhvillimit të qëndrueshëm</w:t>
      </w:r>
    </w:p>
    <w:p w14:paraId="6EDD004E" w14:textId="77777777" w:rsidR="001617A3" w:rsidRPr="007114AF" w:rsidRDefault="001617A3" w:rsidP="001617A3">
      <w:pPr>
        <w:pStyle w:val="TEKSTI"/>
        <w:rPr>
          <w:b/>
          <w:u w:val="single"/>
        </w:rPr>
      </w:pPr>
      <w:r w:rsidRPr="007114AF">
        <w:rPr>
          <w:b/>
          <w:u w:val="single"/>
        </w:rPr>
        <w:t>Objektivat 13.1, 13.2, 13.3 dhe 11.b të Agjendës 2030 për Zhvillimin e Qëndrueshëm</w:t>
      </w:r>
    </w:p>
    <w:p w14:paraId="6EDD004F" w14:textId="77777777" w:rsidR="001617A3" w:rsidRPr="007114AF" w:rsidRDefault="001617A3" w:rsidP="001617A3">
      <w:pPr>
        <w:pStyle w:val="TEKSTI"/>
      </w:pPr>
      <w:r w:rsidRPr="007114AF">
        <w:rPr>
          <w:b/>
        </w:rPr>
        <w:t>Qëllimi 13:</w:t>
      </w:r>
      <w:r w:rsidRPr="007114AF">
        <w:t xml:space="preserve"> Të ndërmerren masa urgjente për të luftuar ndryshimet klimatike dhe ndikimet e saj [1]</w:t>
      </w:r>
    </w:p>
    <w:p w14:paraId="6EDD0050" w14:textId="25F3C88D" w:rsidR="001617A3" w:rsidRPr="007114AF" w:rsidRDefault="001617A3" w:rsidP="001617A3">
      <w:pPr>
        <w:pStyle w:val="TEKSTI"/>
      </w:pPr>
      <w:r w:rsidRPr="007114AF">
        <w:rPr>
          <w:b/>
        </w:rPr>
        <w:t>Synimi 13.1:</w:t>
      </w:r>
      <w:r w:rsidRPr="007114AF">
        <w:t xml:space="preserve"> Forcimi i qëndrueshmërisë dhe aftësisë p</w:t>
      </w:r>
      <w:r w:rsidR="00C6608F" w:rsidRPr="007114AF">
        <w:t>ë</w:t>
      </w:r>
      <w:r w:rsidRPr="007114AF">
        <w:t>rshtat</w:t>
      </w:r>
      <w:r w:rsidR="00C6608F" w:rsidRPr="007114AF">
        <w:t>ë</w:t>
      </w:r>
      <w:r w:rsidRPr="007114AF">
        <w:t>se ndaj rreziqeve të lidhura me klimën dhe fatkeqësitë natyrore në të gjitha vendet.</w:t>
      </w:r>
    </w:p>
    <w:p w14:paraId="6EDD0051" w14:textId="5C649A1D" w:rsidR="001617A3" w:rsidRPr="00E646DC" w:rsidRDefault="001617A3" w:rsidP="001617A3">
      <w:pPr>
        <w:pStyle w:val="TEKSTI"/>
      </w:pPr>
      <w:r w:rsidRPr="007114AF">
        <w:t xml:space="preserve">Shqipëria nuk ka një strategji kombëtare për zvogëlimin e rrezikut nga fatkeqësitë. Është planifikuar të zhvillohet një strategji e tillë në 2019 e cila është inkorporuar në Strategjinë </w:t>
      </w:r>
      <w:r w:rsidRPr="00E646DC">
        <w:t>Kombëtare për Zhvillim dhe Integrim për periudhën 2015</w:t>
      </w:r>
      <w:r w:rsidR="005E1BF0" w:rsidRPr="00E646DC">
        <w:t>–</w:t>
      </w:r>
      <w:r w:rsidRPr="00E646DC">
        <w:t>2020 (SKZHI-II).</w:t>
      </w:r>
    </w:p>
    <w:p w14:paraId="6EDD0052" w14:textId="14619BDF" w:rsidR="001617A3" w:rsidRPr="007114AF" w:rsidRDefault="00C6608F" w:rsidP="001617A3">
      <w:pPr>
        <w:pStyle w:val="TEKSTI"/>
      </w:pPr>
      <w:r w:rsidRPr="00E646DC">
        <w:t>D</w:t>
      </w:r>
      <w:r w:rsidR="001617A3" w:rsidRPr="00E646DC">
        <w:t>okumenti</w:t>
      </w:r>
      <w:r w:rsidR="001617A3" w:rsidRPr="007114AF">
        <w:t xml:space="preserve"> kryesor politik i Shqipërisë për reagimin emergjent është Plani Kombëtar i Emergjencave Civile të vitit 2004. Ai specifikon veprimet për të rritur elasticitetin ndaj përmbytjeve si katastrofa më e rëndësishme në lidhje me ndryshimet klimatike në Shqipëri, nëpërmjet sistemeve më të mira të paralajmërimit të hershëm dhe mekanizmave për parandalimin e katastrofave. Ajo gjithashtu adreson zjarret në pyje, reshjet e larta të borës dhe rrëshqitjet e tokës.</w:t>
      </w:r>
    </w:p>
    <w:p w14:paraId="6EDD0053" w14:textId="30C76548" w:rsidR="001617A3" w:rsidRPr="007114AF" w:rsidRDefault="001617A3" w:rsidP="001617A3">
      <w:pPr>
        <w:pStyle w:val="TEKSTI"/>
      </w:pPr>
      <w:r w:rsidRPr="007114AF">
        <w:t>Plani kombëtar i veprimit të draft strategjisë kombëtare për ndryshimet klimatike (Veprimi Prioritar</w:t>
      </w:r>
      <w:r w:rsidR="00242009" w:rsidRPr="007114AF">
        <w:t xml:space="preserve"> nr. </w:t>
      </w:r>
      <w:r w:rsidRPr="007114AF">
        <w:t>15) ka për qëllim rritjen e q</w:t>
      </w:r>
      <w:r w:rsidR="00836B59">
        <w:t>ë</w:t>
      </w:r>
      <w:r w:rsidRPr="007114AF">
        <w:t>ndrueshmërisë së sistemit të lagunës Kune</w:t>
      </w:r>
      <w:r w:rsidR="00836B59">
        <w:t>–</w:t>
      </w:r>
      <w:r w:rsidRPr="007114AF">
        <w:t>Vain.</w:t>
      </w:r>
    </w:p>
    <w:p w14:paraId="6EDD0054" w14:textId="1D2C0D78" w:rsidR="001617A3" w:rsidRPr="007114AF" w:rsidRDefault="001617A3" w:rsidP="001617A3">
      <w:pPr>
        <w:pStyle w:val="TEKSTI"/>
      </w:pPr>
      <w:r w:rsidRPr="007114AF">
        <w:t>Qëndrueshm</w:t>
      </w:r>
      <w:r w:rsidR="00836B59">
        <w:t>ë</w:t>
      </w:r>
      <w:r w:rsidRPr="007114AF">
        <w:t>ria e ekosistemeve dhe komuniteteve lokale do të përmirësohet pas aplikimit të disa teknikave, nga e butë në të vështirë. Veprimi Prioritar ka tr</w:t>
      </w:r>
      <w:r w:rsidR="009C0782">
        <w:t>i</w:t>
      </w:r>
      <w:r w:rsidRPr="007114AF">
        <w:t xml:space="preserve"> qëllime, nga të cilat dy synojnë drejtpërsëdrejti qëndrueshmërinë, përkatësisht:</w:t>
      </w:r>
    </w:p>
    <w:p w14:paraId="6EDD0055" w14:textId="394967F1" w:rsidR="001617A3" w:rsidRPr="007114AF" w:rsidRDefault="00CF2A42" w:rsidP="001617A3">
      <w:pPr>
        <w:pStyle w:val="TEKSTI"/>
        <w:rPr>
          <w:bCs/>
        </w:rPr>
      </w:pPr>
      <w:r w:rsidRPr="007114AF">
        <w:rPr>
          <w:bCs/>
        </w:rPr>
        <w:t xml:space="preserve">- </w:t>
      </w:r>
      <w:r w:rsidR="001617A3" w:rsidRPr="007114AF">
        <w:rPr>
          <w:bCs/>
        </w:rPr>
        <w:t>Objektivi 2: Rritja e aftësisë rikuperuese e lagunës Kune</w:t>
      </w:r>
      <w:r w:rsidR="005E1BF0">
        <w:t>–</w:t>
      </w:r>
      <w:r w:rsidR="001617A3" w:rsidRPr="007114AF">
        <w:rPr>
          <w:bCs/>
        </w:rPr>
        <w:t>Vainit, nëpërmjet Adaptimit me bazë Ekosistemin, duke përdorur demonstrimin e praktikave më të mira dhe konkrete të EbA-s, dhe ndërhyrje të tjera për përshtatjen.</w:t>
      </w:r>
    </w:p>
    <w:p w14:paraId="6EDD0056" w14:textId="03ECFDF2" w:rsidR="001617A3" w:rsidRPr="007114AF" w:rsidRDefault="00CF2A42" w:rsidP="001617A3">
      <w:pPr>
        <w:pStyle w:val="TEKSTI"/>
        <w:rPr>
          <w:bCs/>
        </w:rPr>
      </w:pPr>
      <w:r w:rsidRPr="007114AF">
        <w:rPr>
          <w:bCs/>
        </w:rPr>
        <w:t xml:space="preserve">- </w:t>
      </w:r>
      <w:r w:rsidR="001617A3" w:rsidRPr="007114AF">
        <w:rPr>
          <w:bCs/>
        </w:rPr>
        <w:t>Indikatori 2.1: Zbatimi I një sërë ndërhyrjesh përfshirë EBA-n në sistemin lagunor të Kune</w:t>
      </w:r>
      <w:r w:rsidR="00754DD7">
        <w:t>–</w:t>
      </w:r>
      <w:r w:rsidR="001617A3" w:rsidRPr="007114AF">
        <w:rPr>
          <w:bCs/>
        </w:rPr>
        <w:t>Vainit.</w:t>
      </w:r>
    </w:p>
    <w:p w14:paraId="6EDD0057" w14:textId="77777777" w:rsidR="001617A3" w:rsidRPr="007114AF" w:rsidRDefault="00CF2A42" w:rsidP="001617A3">
      <w:pPr>
        <w:pStyle w:val="TEKSTI"/>
        <w:rPr>
          <w:bCs/>
        </w:rPr>
      </w:pPr>
      <w:r w:rsidRPr="007114AF">
        <w:rPr>
          <w:bCs/>
        </w:rPr>
        <w:t xml:space="preserve">- </w:t>
      </w:r>
      <w:r w:rsidR="001617A3" w:rsidRPr="007114AF">
        <w:rPr>
          <w:bCs/>
        </w:rPr>
        <w:t>Indikatori 2.2: Krijimi i një strategjie për monitorimin e ndërhyrjeve të EbA-s.</w:t>
      </w:r>
    </w:p>
    <w:p w14:paraId="6EDD0058" w14:textId="77777777" w:rsidR="001617A3" w:rsidRPr="007114AF" w:rsidRDefault="00CF2A42" w:rsidP="00CF2A42">
      <w:pPr>
        <w:pStyle w:val="TEKSTI"/>
        <w:rPr>
          <w:bCs/>
        </w:rPr>
      </w:pPr>
      <w:r w:rsidRPr="007114AF">
        <w:rPr>
          <w:bCs/>
        </w:rPr>
        <w:t xml:space="preserve">- </w:t>
      </w:r>
      <w:r w:rsidR="001617A3" w:rsidRPr="007114AF">
        <w:rPr>
          <w:bCs/>
        </w:rPr>
        <w:t>Objektivi 3: Rritja e ndërgjegjësimit të aktorëve lokalë d</w:t>
      </w:r>
      <w:r w:rsidRPr="007114AF">
        <w:rPr>
          <w:bCs/>
        </w:rPr>
        <w:t xml:space="preserve">he kombëtarë ndaj rreziqeve të </w:t>
      </w:r>
      <w:r w:rsidR="001617A3" w:rsidRPr="007114AF">
        <w:rPr>
          <w:bCs/>
        </w:rPr>
        <w:t>ndryshimeve klimatike dhe rikuperimit, nëpërmjet sistemit EbA, për rritjen e rezistencës së komuniteteve lokale ndaj ndryshimet klimatike.</w:t>
      </w:r>
    </w:p>
    <w:p w14:paraId="6EDD0059" w14:textId="64FAC105" w:rsidR="001617A3" w:rsidRPr="007114AF" w:rsidRDefault="00CF2A42" w:rsidP="001617A3">
      <w:pPr>
        <w:pStyle w:val="TEKSTI"/>
        <w:rPr>
          <w:bCs/>
        </w:rPr>
      </w:pPr>
      <w:r w:rsidRPr="007114AF">
        <w:rPr>
          <w:bCs/>
        </w:rPr>
        <w:lastRenderedPageBreak/>
        <w:t xml:space="preserve">- </w:t>
      </w:r>
      <w:r w:rsidR="001617A3" w:rsidRPr="007114AF">
        <w:rPr>
          <w:bCs/>
        </w:rPr>
        <w:t xml:space="preserve">Indikator 3.1: Zhvillimi </w:t>
      </w:r>
      <w:r w:rsidR="005E1BF0">
        <w:rPr>
          <w:bCs/>
        </w:rPr>
        <w:t>i</w:t>
      </w:r>
      <w:r w:rsidR="001617A3" w:rsidRPr="007114AF">
        <w:rPr>
          <w:bCs/>
        </w:rPr>
        <w:t xml:space="preserve"> fushatave ndërgjegjësuese mbi avantazhet e adaptimit me bazë ekosistemin.</w:t>
      </w:r>
    </w:p>
    <w:p w14:paraId="6EDD005A" w14:textId="77777777" w:rsidR="001617A3" w:rsidRPr="007114AF" w:rsidRDefault="001617A3" w:rsidP="001617A3">
      <w:pPr>
        <w:pStyle w:val="TEKSTI"/>
      </w:pPr>
      <w:r w:rsidRPr="007114AF">
        <w:rPr>
          <w:b/>
        </w:rPr>
        <w:t>Synimi 13.2:</w:t>
      </w:r>
      <w:r w:rsidRPr="007114AF">
        <w:t xml:space="preserve"> Integrimi i masave të ndryshimeve klimatike në politikat, strategjitë dhe planifikimin kombëtar</w:t>
      </w:r>
    </w:p>
    <w:p w14:paraId="6EDD005B" w14:textId="02D5AD86" w:rsidR="001617A3" w:rsidRPr="007114AF" w:rsidRDefault="001617A3" w:rsidP="001617A3">
      <w:pPr>
        <w:pStyle w:val="TEKSTI"/>
      </w:pPr>
      <w:r w:rsidRPr="007114AF">
        <w:t>Strategjia Kombëtare për Zhvillim dhe Integrim 2016 për periudhën 2015</w:t>
      </w:r>
      <w:r w:rsidR="009C0782">
        <w:t>–</w:t>
      </w:r>
      <w:r w:rsidRPr="007114AF">
        <w:t xml:space="preserve">2020 dhe Plani i Përgjithshëm Kombëtar Territorial 2016 </w:t>
      </w:r>
      <w:r w:rsidR="000A2A01" w:rsidRPr="007114AF">
        <w:t>“</w:t>
      </w:r>
      <w:r w:rsidRPr="007114AF">
        <w:t>Shqipëria 2030</w:t>
      </w:r>
      <w:r w:rsidR="000A2A01" w:rsidRPr="007114AF">
        <w:t>”</w:t>
      </w:r>
      <w:r w:rsidRPr="007114AF">
        <w:t xml:space="preserve"> janë strategjitë kryesore ndërsektoriale që trajtojnë, ndër të tjera, çështjet që lidhen me zbutjen e ndryshimeve klimatike. Plani i Përgjithshëm Kombëtar Territorial </w:t>
      </w:r>
      <w:r w:rsidR="000A2A01" w:rsidRPr="007114AF">
        <w:t>“</w:t>
      </w:r>
      <w:r w:rsidRPr="007114AF">
        <w:t>Shqipëria 2030</w:t>
      </w:r>
      <w:r w:rsidR="000A2A01" w:rsidRPr="007114AF">
        <w:t>”</w:t>
      </w:r>
      <w:r w:rsidRPr="007114AF">
        <w:t xml:space="preserve"> përfshin shumë masa që ndikojnë pozitivisht në zbutjen e ndryshimeve klimatike në sektorë të ndryshëm, si energjia, transporti, bujqësia dhe LULUCF.</w:t>
      </w:r>
    </w:p>
    <w:p w14:paraId="6EDD005C" w14:textId="3E0D7DA6" w:rsidR="001617A3" w:rsidRPr="007114AF" w:rsidRDefault="009C0782" w:rsidP="001617A3">
      <w:pPr>
        <w:pStyle w:val="TEKSTI"/>
      </w:pPr>
      <w:r w:rsidRPr="00E2665D">
        <w:t>P</w:t>
      </w:r>
      <w:r w:rsidR="001617A3" w:rsidRPr="00E2665D">
        <w:t>ërshtatja</w:t>
      </w:r>
      <w:r w:rsidR="001617A3" w:rsidRPr="007114AF">
        <w:t xml:space="preserve"> ndaj ndikimeve të ndryshimeve klimatike në sektorin e shëndetësisë është shënjestruar në Strategjinë e vitit 2011 për përshtatjen e sistemit shëndetësor ndaj ndryshimeve klimatike. Strategjia mbulon çështjet e zbutjes dhe adaptimit.</w:t>
      </w:r>
    </w:p>
    <w:p w14:paraId="6EDD005D" w14:textId="77777777" w:rsidR="001617A3" w:rsidRPr="007114AF" w:rsidRDefault="001617A3" w:rsidP="001617A3">
      <w:pPr>
        <w:pStyle w:val="TEKSTI"/>
      </w:pPr>
      <w:r w:rsidRPr="007114AF">
        <w:t>Përveç dy NAMA, dokumentet e politikave në sektorin e energjisë të lidhura me çështjet e ndryshimeve klimatike përfshijnë:</w:t>
      </w:r>
    </w:p>
    <w:p w14:paraId="6EDD005E" w14:textId="03D576CA" w:rsidR="001617A3" w:rsidRPr="007114AF" w:rsidRDefault="001617A3" w:rsidP="001617A3">
      <w:pPr>
        <w:pStyle w:val="TEKSTI"/>
      </w:pPr>
      <w:r w:rsidRPr="007114AF">
        <w:t>• Plani Kombëtar i Veprimit për Efi</w:t>
      </w:r>
      <w:r w:rsidR="00C6608F" w:rsidRPr="007114AF">
        <w:t>c</w:t>
      </w:r>
      <w:r w:rsidRPr="007114AF">
        <w:t>iencën e Energjisë 2011 për periudhën 2011</w:t>
      </w:r>
      <w:r w:rsidR="009C0782">
        <w:t>–</w:t>
      </w:r>
      <w:r w:rsidRPr="007114AF">
        <w:t>2018;</w:t>
      </w:r>
    </w:p>
    <w:p w14:paraId="6EDD005F" w14:textId="5E57CDAA" w:rsidR="001617A3" w:rsidRPr="007114AF" w:rsidRDefault="001617A3" w:rsidP="001617A3">
      <w:pPr>
        <w:pStyle w:val="TEKSTI"/>
      </w:pPr>
      <w:r w:rsidRPr="007114AF">
        <w:t>• Plani Kombëtar i Veprimit për Energjitë e Rinovueshme 2016 për periudhën 2015</w:t>
      </w:r>
      <w:r w:rsidR="009C0782">
        <w:t>–</w:t>
      </w:r>
      <w:r w:rsidRPr="007114AF">
        <w:t>2020.</w:t>
      </w:r>
    </w:p>
    <w:p w14:paraId="6EDD0060" w14:textId="24A79793" w:rsidR="001617A3" w:rsidRPr="007114AF" w:rsidRDefault="001617A3" w:rsidP="001617A3">
      <w:pPr>
        <w:pStyle w:val="TEKSTI"/>
      </w:pPr>
      <w:r w:rsidRPr="007114AF">
        <w:t xml:space="preserve">Kuadri kryesor politik i lidhur me ndryshimet klimatike për sektorin bujqësor është Strategjia Ndërsektoriale për Bujqësinë dhe Zhvillimin Rural (ISARD) dhe Programi i saj për Zhvillimin Rural </w:t>
      </w:r>
      <w:r w:rsidR="00C6608F" w:rsidRPr="007114AF">
        <w:t xml:space="preserve">2014–2020 </w:t>
      </w:r>
      <w:r w:rsidRPr="007114AF">
        <w:t>në kuadër të Instrumentit të Ndihmës së Para</w:t>
      </w:r>
      <w:r w:rsidR="00C6608F" w:rsidRPr="007114AF">
        <w:t>a</w:t>
      </w:r>
      <w:r w:rsidRPr="007114AF">
        <w:t>nëtarësimit në Zhvillimin Rural (IPARD).</w:t>
      </w:r>
    </w:p>
    <w:p w14:paraId="6EDD0061" w14:textId="77777777" w:rsidR="001617A3" w:rsidRPr="007114AF" w:rsidRDefault="001617A3" w:rsidP="001617A3">
      <w:pPr>
        <w:pStyle w:val="TEKSTI"/>
      </w:pPr>
      <w:r w:rsidRPr="007114AF">
        <w:t xml:space="preserve">Që nga viti 2011, integrimi i ndryshimeve klimatike në dokumentet strategjike sektoriale ka përparuar në të gjithë sektorët, megjithëse shkalla e integrimit ndryshon. Ka potencial të madh për të përmirësuar integrimin në politikat, strategjitë dhe planifikimin kombëtar. Instrumenti i VSM mund të përdoret, ndër mjetet e tjera, për të kontribuar në një integrim të tillë. Miratimi i </w:t>
      </w:r>
      <w:r w:rsidRPr="007114AF">
        <w:rPr>
          <w:bCs/>
          <w:iCs/>
        </w:rPr>
        <w:t xml:space="preserve">Dokumentit te Strategjisë Kombëtare dhe Plani i Veprimit për Zbutjen dhe Përshtatjen ndaj Ndryshimeve Klimatike </w:t>
      </w:r>
      <w:r w:rsidRPr="007114AF">
        <w:t>do të ishte një shtyllë e rëndësishme për të integruar masat e ndryshimeve klimatike në kuadrin e politikave kombëtare.</w:t>
      </w:r>
    </w:p>
    <w:p w14:paraId="6EDD0062" w14:textId="77777777" w:rsidR="001617A3" w:rsidRPr="007114AF" w:rsidRDefault="001617A3" w:rsidP="001617A3">
      <w:pPr>
        <w:pStyle w:val="TEKSTI"/>
      </w:pPr>
      <w:r w:rsidRPr="007114AF">
        <w:rPr>
          <w:b/>
        </w:rPr>
        <w:t>Synimi 13.3:</w:t>
      </w:r>
      <w:r w:rsidRPr="007114AF">
        <w:t xml:space="preserve"> Përmirësimi i edukimit, rritjes së ndërgjegjësimit dhe kapaciteteve njerëzore dhe institucionale për zbutjen e ndryshimeve klimatike, përshtatja, ulja e ndikimit dhe paralajmërimi i hershëm</w:t>
      </w:r>
    </w:p>
    <w:p w14:paraId="6EDD0063" w14:textId="4B0B184E" w:rsidR="001617A3" w:rsidRPr="007114AF" w:rsidRDefault="001617A3" w:rsidP="001617A3">
      <w:pPr>
        <w:pStyle w:val="TEKSTI"/>
      </w:pPr>
      <w:r w:rsidRPr="007114AF">
        <w:t xml:space="preserve">Nuk ka masa qeveritare sistematike të implementuara ose të zbatuara për të përmirësuar arsimin dhe rritjen e </w:t>
      </w:r>
      <w:r w:rsidR="00C6608F" w:rsidRPr="007114AF">
        <w:t>ndërgjegjësimit</w:t>
      </w:r>
      <w:r w:rsidRPr="007114AF">
        <w:t xml:space="preserve"> për zbutjen e ndryshimeve klimatike, përshtatjen, uljen e ndikimit dhe paralajmërimin e hershëm. Sipas draftit të planit kombëtar të veprimit të draft strategjisë kombëtare të ndryshimeve klimatike, ndërgjegjësimi i kufizuar i ndryshimeve klimatike në nivelin e hartimit të politikave dhe njohjes publike pengon një proces të fuqishëm kombëtar të planit të veprimit. Politika e ndryshimeve klimatike ende renditet relativisht e ulët në axhendën politike. Sidoqoftë, disa iniciativa dhe veprime për të përmirësuar ndërgjegjësimin janë marrë nga palët e ndryshme të interesit.</w:t>
      </w:r>
    </w:p>
    <w:p w14:paraId="6EDD0064" w14:textId="77777777" w:rsidR="001617A3" w:rsidRPr="007114AF" w:rsidRDefault="001617A3" w:rsidP="001617A3">
      <w:pPr>
        <w:pStyle w:val="TEKSTI"/>
      </w:pPr>
      <w:r w:rsidRPr="007114AF">
        <w:rPr>
          <w:b/>
        </w:rPr>
        <w:t>Qëllimi 11:</w:t>
      </w:r>
      <w:r w:rsidRPr="007114AF">
        <w:t xml:space="preserve"> Krijimi i qyteteve dhe vendbanimeve njerëzore përfshirëse, të sigurta dhe të qëndrueshme</w:t>
      </w:r>
    </w:p>
    <w:p w14:paraId="6EDD0065" w14:textId="78473668" w:rsidR="001617A3" w:rsidRPr="007114AF" w:rsidRDefault="001617A3" w:rsidP="001617A3">
      <w:pPr>
        <w:pStyle w:val="TEKSTI"/>
      </w:pPr>
      <w:r w:rsidRPr="007114AF">
        <w:rPr>
          <w:b/>
        </w:rPr>
        <w:t>Synimi 11.b:</w:t>
      </w:r>
      <w:r w:rsidRPr="007114AF">
        <w:t xml:space="preserve"> Deri në vitin 2020, të rritet ndjeshëm numri i qyteteve dhe vendbanimeve që miratojnë dhe zbatojnë politika dhe plane të integruara drejt përfshirjes, efi</w:t>
      </w:r>
      <w:r w:rsidR="00C6608F" w:rsidRPr="007114AF">
        <w:t>c</w:t>
      </w:r>
      <w:r w:rsidRPr="007114AF">
        <w:t>iencës së resurseve, zbutjes dhe adaptimit ndaj ndryshimeve klimatike, qëndrueshmërisë ndaj fatkeqësive dhe të zhvillojnë dhe zbatojnë, në përputhje me Kuadrin Sendai për Reduktimin e Rrezikut të Katastrofave 2015</w:t>
      </w:r>
      <w:r w:rsidR="00C6608F" w:rsidRPr="007114AF">
        <w:t>–</w:t>
      </w:r>
      <w:r w:rsidRPr="007114AF">
        <w:t>2030, menaxhimi i rrezikut holistik të fatkeqësive në të gjitha nivelet.</w:t>
      </w:r>
    </w:p>
    <w:p w14:paraId="6EDD0066" w14:textId="334CDAC9" w:rsidR="001617A3" w:rsidRPr="007114AF" w:rsidRDefault="001617A3" w:rsidP="001617A3">
      <w:pPr>
        <w:pStyle w:val="TEKSTI"/>
        <w:rPr>
          <w:b/>
        </w:rPr>
      </w:pPr>
      <w:bookmarkStart w:id="165" w:name="_Toc484424512"/>
      <w:r w:rsidRPr="007114AF">
        <w:rPr>
          <w:b/>
        </w:rPr>
        <w:t>5</w:t>
      </w:r>
      <w:r w:rsidR="00A743D8">
        <w:rPr>
          <w:b/>
        </w:rPr>
        <w:t>.</w:t>
      </w:r>
      <w:r w:rsidRPr="007114AF">
        <w:rPr>
          <w:b/>
        </w:rPr>
        <w:t xml:space="preserve"> PLANI KOMBËTAR</w:t>
      </w:r>
      <w:r w:rsidR="000A2A01" w:rsidRPr="007114AF">
        <w:rPr>
          <w:b/>
        </w:rPr>
        <w:t xml:space="preserve"> </w:t>
      </w:r>
      <w:r w:rsidRPr="007114AF">
        <w:rPr>
          <w:b/>
        </w:rPr>
        <w:t>PËR ZBUTJEN E NDRYSHIMEVE KLIMATIKE</w:t>
      </w:r>
      <w:bookmarkEnd w:id="165"/>
    </w:p>
    <w:p w14:paraId="6EDD0067" w14:textId="0165A3E3" w:rsidR="001617A3" w:rsidRPr="007114AF" w:rsidRDefault="001617A3" w:rsidP="001617A3">
      <w:pPr>
        <w:pStyle w:val="TEKSTI"/>
      </w:pPr>
      <w:r w:rsidRPr="007114AF">
        <w:t>Plani Kombëtar për Zbutjen e Ndryshimeve Klimatike</w:t>
      </w:r>
      <w:r w:rsidR="00A743D8">
        <w:t xml:space="preserve"> </w:t>
      </w:r>
      <w:r w:rsidRPr="007114AF">
        <w:t>(PKZNK) rendit masat dhe veprimet e detajuara, të përfshira në dokumentet e analizuara siç paraqiten në tabelën 12, i cili i përgjigjet Objektivave të Politikave të Identifikuara në tabelën 14. Masat e zgjedhura janë analizuar duke dhënë informacionin e mëposhtëm:</w:t>
      </w:r>
    </w:p>
    <w:p w14:paraId="6EDD0068" w14:textId="697FFA0C" w:rsidR="001617A3" w:rsidRPr="007114AF" w:rsidRDefault="00CF2A42" w:rsidP="001617A3">
      <w:pPr>
        <w:pStyle w:val="TEKSTI"/>
      </w:pPr>
      <w:r w:rsidRPr="007114AF">
        <w:rPr>
          <w:b/>
        </w:rPr>
        <w:lastRenderedPageBreak/>
        <w:t xml:space="preserve">- </w:t>
      </w:r>
      <w:r w:rsidR="001617A3" w:rsidRPr="007114AF">
        <w:rPr>
          <w:b/>
        </w:rPr>
        <w:t>ID</w:t>
      </w:r>
      <w:r w:rsidR="001617A3" w:rsidRPr="007114AF">
        <w:t>: Secilës prej masave</w:t>
      </w:r>
      <w:r w:rsidR="00C6608F" w:rsidRPr="007114AF">
        <w:t xml:space="preserve"> </w:t>
      </w:r>
      <w:r w:rsidR="001617A3" w:rsidRPr="007114AF">
        <w:t>i caktohet një Id, duke vendosur një shkronjë e cila identifikon sektorin (E= Energjia; T= Transporti; A = Bujqësia; L= LUCF; C=Ndërsektoriale) dhe një numër serial i cili identifikon masën.</w:t>
      </w:r>
    </w:p>
    <w:p w14:paraId="6EDD0069" w14:textId="77777777" w:rsidR="001617A3" w:rsidRPr="007114AF" w:rsidRDefault="00CF2A42" w:rsidP="001617A3">
      <w:pPr>
        <w:pStyle w:val="TEKSTI"/>
      </w:pPr>
      <w:r w:rsidRPr="007114AF">
        <w:rPr>
          <w:b/>
        </w:rPr>
        <w:t xml:space="preserve">- </w:t>
      </w:r>
      <w:r w:rsidR="001617A3" w:rsidRPr="007114AF">
        <w:rPr>
          <w:b/>
        </w:rPr>
        <w:t>Masa</w:t>
      </w:r>
      <w:r w:rsidR="001617A3" w:rsidRPr="007114AF">
        <w:t>: Titulli i masës.</w:t>
      </w:r>
    </w:p>
    <w:p w14:paraId="6EDD006A" w14:textId="77777777" w:rsidR="001617A3" w:rsidRPr="007114AF" w:rsidRDefault="00CF2A42" w:rsidP="001617A3">
      <w:pPr>
        <w:pStyle w:val="TEKSTI"/>
      </w:pPr>
      <w:r w:rsidRPr="007114AF">
        <w:rPr>
          <w:b/>
        </w:rPr>
        <w:t xml:space="preserve">- </w:t>
      </w:r>
      <w:r w:rsidR="001617A3" w:rsidRPr="007114AF">
        <w:rPr>
          <w:b/>
        </w:rPr>
        <w:t xml:space="preserve">Përshkrimi: </w:t>
      </w:r>
      <w:r w:rsidR="001617A3" w:rsidRPr="007114AF">
        <w:t>Përshkrimi i masës sikurse raportohet në dokumentin e origjinës.</w:t>
      </w:r>
    </w:p>
    <w:p w14:paraId="6EDD006B" w14:textId="77777777" w:rsidR="001617A3" w:rsidRPr="007114AF" w:rsidRDefault="00CF2A42" w:rsidP="001617A3">
      <w:pPr>
        <w:pStyle w:val="TEKSTI"/>
      </w:pPr>
      <w:r w:rsidRPr="007114AF">
        <w:rPr>
          <w:b/>
        </w:rPr>
        <w:t xml:space="preserve">- </w:t>
      </w:r>
      <w:r w:rsidR="001617A3" w:rsidRPr="007114AF">
        <w:rPr>
          <w:b/>
        </w:rPr>
        <w:t>Viti/periudha e zbatimit</w:t>
      </w:r>
      <w:r w:rsidR="001617A3" w:rsidRPr="007114AF">
        <w:t>: Viti ose periudha në të cilën duhet zbatuar masa.</w:t>
      </w:r>
    </w:p>
    <w:p w14:paraId="6EDD006C" w14:textId="77777777" w:rsidR="001617A3" w:rsidRPr="007114AF" w:rsidRDefault="00CF2A42" w:rsidP="001617A3">
      <w:pPr>
        <w:pStyle w:val="TEKSTI"/>
      </w:pPr>
      <w:r w:rsidRPr="007114AF">
        <w:rPr>
          <w:b/>
        </w:rPr>
        <w:t xml:space="preserve">- </w:t>
      </w:r>
      <w:r w:rsidR="001617A3" w:rsidRPr="007114AF">
        <w:rPr>
          <w:b/>
        </w:rPr>
        <w:t>Dokumenti burimor</w:t>
      </w:r>
      <w:r w:rsidR="001617A3" w:rsidRPr="007114AF">
        <w:t>: Referenca e dokumentit nga ku vijnë masat.</w:t>
      </w:r>
    </w:p>
    <w:p w14:paraId="6EDD006D" w14:textId="77777777" w:rsidR="001617A3" w:rsidRPr="007114AF" w:rsidRDefault="00CF2A42" w:rsidP="001617A3">
      <w:pPr>
        <w:pStyle w:val="TEKSTI"/>
      </w:pPr>
      <w:r w:rsidRPr="007114AF">
        <w:rPr>
          <w:b/>
        </w:rPr>
        <w:t xml:space="preserve">- </w:t>
      </w:r>
      <w:r w:rsidR="001617A3" w:rsidRPr="007114AF">
        <w:rPr>
          <w:b/>
        </w:rPr>
        <w:t>Objektivi i Reduktimit</w:t>
      </w:r>
      <w:r w:rsidR="001617A3" w:rsidRPr="007114AF">
        <w:t>: Objektivi i reduktimit të masave sikurse janë raportuar në dokumentin burimor.</w:t>
      </w:r>
    </w:p>
    <w:p w14:paraId="6EDD006E" w14:textId="19AF65AD" w:rsidR="001617A3" w:rsidRPr="007114AF" w:rsidRDefault="00CF2A42" w:rsidP="001617A3">
      <w:pPr>
        <w:pStyle w:val="TEKSTI"/>
      </w:pPr>
      <w:r w:rsidRPr="007114AF">
        <w:rPr>
          <w:b/>
        </w:rPr>
        <w:t xml:space="preserve">- </w:t>
      </w:r>
      <w:r w:rsidR="001617A3" w:rsidRPr="007114AF">
        <w:rPr>
          <w:b/>
        </w:rPr>
        <w:t>Lloji i efektit:</w:t>
      </w:r>
      <w:r w:rsidR="000A2A01" w:rsidRPr="007114AF">
        <w:rPr>
          <w:b/>
        </w:rPr>
        <w:t xml:space="preserve"> </w:t>
      </w:r>
      <w:r w:rsidR="001617A3" w:rsidRPr="007114AF">
        <w:t>Të kategorizuara sidirekte,</w:t>
      </w:r>
      <w:r w:rsidR="001617A3" w:rsidRPr="007114AF">
        <w:rPr>
          <w:b/>
        </w:rPr>
        <w:t xml:space="preserve"> </w:t>
      </w:r>
      <w:r w:rsidR="001617A3" w:rsidRPr="007114AF">
        <w:t>indirekte ose masa mundësuese, për sa i përket zbutjes së ndryshimeve klimatike (reduktim i shkarkimeve ose rritje e përthithësve).</w:t>
      </w:r>
    </w:p>
    <w:p w14:paraId="6EDD006F" w14:textId="77777777" w:rsidR="001617A3" w:rsidRPr="007114AF" w:rsidRDefault="00CF2A42" w:rsidP="001617A3">
      <w:pPr>
        <w:pStyle w:val="TEKSTI"/>
      </w:pPr>
      <w:r w:rsidRPr="007114AF">
        <w:rPr>
          <w:b/>
        </w:rPr>
        <w:t xml:space="preserve">- </w:t>
      </w:r>
      <w:r w:rsidR="001617A3" w:rsidRPr="007114AF">
        <w:rPr>
          <w:b/>
        </w:rPr>
        <w:t>Kosto e vlerësuar</w:t>
      </w:r>
      <w:r w:rsidR="001617A3" w:rsidRPr="007114AF">
        <w:t>: Vlerësimi i kostos sikurse raportohet në dokumentin burimor ose vlerësimi në mënyre specifike.</w:t>
      </w:r>
    </w:p>
    <w:p w14:paraId="6EDD0070" w14:textId="77777777" w:rsidR="001617A3" w:rsidRPr="007114AF" w:rsidRDefault="00CF2A42" w:rsidP="001617A3">
      <w:pPr>
        <w:pStyle w:val="TEKSTI"/>
      </w:pPr>
      <w:r w:rsidRPr="007114AF">
        <w:rPr>
          <w:b/>
        </w:rPr>
        <w:t xml:space="preserve">- </w:t>
      </w:r>
      <w:r w:rsidR="001617A3" w:rsidRPr="007114AF">
        <w:rPr>
          <w:b/>
        </w:rPr>
        <w:t>Objektivat e politikave</w:t>
      </w:r>
      <w:r w:rsidR="001617A3" w:rsidRPr="007114AF">
        <w:t>: Lidhja e Objektivave të Politikave sikurse identifikohen në tabelën 14.</w:t>
      </w:r>
    </w:p>
    <w:p w14:paraId="6EDD0071" w14:textId="77777777" w:rsidR="001617A3" w:rsidRPr="007114AF" w:rsidRDefault="00CF2A42" w:rsidP="001617A3">
      <w:pPr>
        <w:pStyle w:val="TEKSTI"/>
      </w:pPr>
      <w:r w:rsidRPr="007114AF">
        <w:rPr>
          <w:b/>
        </w:rPr>
        <w:t xml:space="preserve">- </w:t>
      </w:r>
      <w:r w:rsidR="001617A3" w:rsidRPr="007114AF">
        <w:rPr>
          <w:b/>
        </w:rPr>
        <w:t>Prioriteti</w:t>
      </w:r>
      <w:r w:rsidR="001617A3" w:rsidRPr="007114AF">
        <w:t>: Prioriteti i caktuar në lidhje me eficiencën e masës për të përmbushur Objektivat e Politikave.</w:t>
      </w:r>
    </w:p>
    <w:p w14:paraId="6EDD0072" w14:textId="77777777" w:rsidR="001617A3" w:rsidRPr="007114AF" w:rsidRDefault="00CF2A42" w:rsidP="001617A3">
      <w:pPr>
        <w:pStyle w:val="TEKSTI"/>
      </w:pPr>
      <w:r w:rsidRPr="007114AF">
        <w:rPr>
          <w:b/>
        </w:rPr>
        <w:t xml:space="preserve">- </w:t>
      </w:r>
      <w:r w:rsidR="001617A3" w:rsidRPr="007114AF">
        <w:rPr>
          <w:b/>
        </w:rPr>
        <w:t>Ndërlidhja me sektorë të tjerë</w:t>
      </w:r>
      <w:r w:rsidR="001617A3" w:rsidRPr="007114AF">
        <w:t>: Paraqitja e sektorëve të tjerë të cilët lidhen me masën.</w:t>
      </w:r>
    </w:p>
    <w:p w14:paraId="6EDD0073" w14:textId="77777777" w:rsidR="001617A3" w:rsidRPr="007114AF" w:rsidRDefault="001617A3" w:rsidP="001617A3">
      <w:pPr>
        <w:pStyle w:val="TEKSTI"/>
      </w:pPr>
      <w:r w:rsidRPr="007114AF">
        <w:t>Prioritetet caktohen duke u bazuar në shkallën e eficiencës së vlerësuar të masës, për të përmbushur Objektivat e Politikave, të cilat janë në funksion të objektivit kryesor të dokumentit të SKNK&amp;P-ës: garantimi i zhvillimit me nivel të ulët të karbonit në Shqipëri në një mënyrë kosto-eficiente.</w:t>
      </w:r>
    </w:p>
    <w:p w14:paraId="6EDD0074" w14:textId="77777777" w:rsidR="001617A3" w:rsidRPr="007114AF" w:rsidRDefault="001617A3" w:rsidP="001617A3">
      <w:pPr>
        <w:pStyle w:val="TEKSTI"/>
      </w:pPr>
      <w:r w:rsidRPr="007114AF">
        <w:t>Për më tepër, lloji i efektit që i përket zbutjes së ndryshimeve klimatike (reduktim i shkarkimeve ose rritje e përthithësve),paraqitet nga masat e identifikuara në plan, të cilat janë grupuar si më poshtë:</w:t>
      </w:r>
    </w:p>
    <w:p w14:paraId="6EDD0075" w14:textId="3A117FDF" w:rsidR="001617A3" w:rsidRPr="007114AF" w:rsidRDefault="001617A3" w:rsidP="001617A3">
      <w:pPr>
        <w:pStyle w:val="TEKSTI"/>
      </w:pPr>
      <w:r w:rsidRPr="007114AF">
        <w:t xml:space="preserve">1) Masa direkte: ku përfshihen ato masa që kanë një impakt të </w:t>
      </w:r>
      <w:r w:rsidR="00C6608F" w:rsidRPr="007114AF">
        <w:t>drejtpërdrejtë</w:t>
      </w:r>
      <w:r w:rsidRPr="007114AF">
        <w:t xml:space="preserve"> tek zbutja e ndryshimeve klimatike, për sa i përket reduktimit të shkarkimeve ose rritjes të përthithësve të karbonit (p.sh. veprime konkrete, masa specifike për një zonë të caktuar etj.);</w:t>
      </w:r>
    </w:p>
    <w:p w14:paraId="6EDD0076" w14:textId="77777777" w:rsidR="001617A3" w:rsidRPr="007114AF" w:rsidRDefault="001617A3" w:rsidP="001617A3">
      <w:pPr>
        <w:pStyle w:val="TEKSTI"/>
      </w:pPr>
      <w:r w:rsidRPr="007114AF">
        <w:t>2) Masa indirekte: ku përfshihen ato masa që kanë një impakt pozitiv, për sa i përket zbutjes së ndryshimeve klimatike dhe që do të çojnë nga reduktimi afatshkurtër deri tek afatmesëm dhe afatgjatë; te një reduktim indirekt i shkarkimit ose rritje të përthithësve të karbonit (p.sh. trajnime dhe rritje të ndërgjegjësimit, certifikim dhe skemë etiketimi, financimi etj.);</w:t>
      </w:r>
    </w:p>
    <w:p w14:paraId="6EDD0077" w14:textId="5EFF2BAA" w:rsidR="001617A3" w:rsidRPr="007114AF" w:rsidRDefault="001617A3" w:rsidP="001617A3">
      <w:pPr>
        <w:pStyle w:val="TEKSTI"/>
      </w:pPr>
      <w:r w:rsidRPr="007114AF">
        <w:t>3) Masa mundësuese: ku përfshihen ato masa që janë funksionale për arritjen e kushteve të nevojshme, që lejojnë aplikimin e masave direkte/indirekte të cilat çojnë në zbutjen e ndryshimeve klimatike (p.sh. forcimi i planifikimit territorial, përforcimi i marrëveshjeve institucionale, monitorimi etj</w:t>
      </w:r>
      <w:r w:rsidR="00C6608F" w:rsidRPr="007114AF">
        <w:t>.</w:t>
      </w:r>
      <w:r w:rsidRPr="007114AF">
        <w:t>).</w:t>
      </w:r>
    </w:p>
    <w:p w14:paraId="6EDD0078" w14:textId="7DF06BB1" w:rsidR="001617A3" w:rsidRPr="007114AF" w:rsidRDefault="001617A3" w:rsidP="001617A3">
      <w:pPr>
        <w:pStyle w:val="TEKSTI"/>
      </w:pPr>
      <w:r w:rsidRPr="007114AF">
        <w:t>Në përgjithësi, janë identifikuar 222</w:t>
      </w:r>
      <w:r w:rsidR="00264806">
        <w:t xml:space="preserve"> </w:t>
      </w:r>
      <w:r w:rsidRPr="007114AF">
        <w:t>masa, nga të cilat 95</w:t>
      </w:r>
      <w:r w:rsidR="00264806">
        <w:t xml:space="preserve"> </w:t>
      </w:r>
      <w:r w:rsidRPr="007114AF">
        <w:t>janë klasifikuar me prioritet të lartë, 95 të mesëm dhe 32 të ulët.</w:t>
      </w:r>
    </w:p>
    <w:p w14:paraId="6EDD0079" w14:textId="4C635904" w:rsidR="001617A3" w:rsidRPr="007114AF" w:rsidRDefault="001617A3" w:rsidP="001617A3">
      <w:pPr>
        <w:pStyle w:val="TEKSTI"/>
      </w:pPr>
      <w:r w:rsidRPr="007114AF">
        <w:t>Masat janë kryesisht të fokusuara në një periudhë afatmesme (deri në vitin 2020), pjesa më e madhe e tyre lidhen me hyrjen në fuqi të projektligjeve (p.sh. ligji BER</w:t>
      </w:r>
      <w:r w:rsidR="00C6608F" w:rsidRPr="007114AF">
        <w:t xml:space="preserve"> </w:t>
      </w:r>
      <w:r w:rsidRPr="007114AF">
        <w:t>dhe ligji mbi Ndryshimet Klimatike), dhe vetëm disa fokusohen në periudhën afatgjatë (2030 dhe 2050). Strategjia e ardhshme e energjisë mund të japë me të vërtetë më shumë elemente për masat afatgjata që mund të përfshihen në rishikimin e ardhshëm të dokumentit të SKNK-ës.</w:t>
      </w:r>
    </w:p>
    <w:p w14:paraId="6EDD007A" w14:textId="1AA9EF73" w:rsidR="001617A3" w:rsidRPr="007114AF" w:rsidRDefault="001617A3" w:rsidP="001617A3">
      <w:pPr>
        <w:pStyle w:val="TEKSTI"/>
      </w:pPr>
      <w:r w:rsidRPr="007114AF">
        <w:t xml:space="preserve">Pjesa më e madhe e masave janë në sektorin e energjisë (77) dhe në sektorin e transportit (71), të ndjekur nga LUCF-ja (53) dhe </w:t>
      </w:r>
      <w:r w:rsidR="00A743D8" w:rsidRPr="007114AF">
        <w:t xml:space="preserve">bujqësia </w:t>
      </w:r>
      <w:r w:rsidRPr="007114AF">
        <w:t>(17)</w:t>
      </w:r>
      <w:r w:rsidR="00A743D8">
        <w:t>,</w:t>
      </w:r>
      <w:r w:rsidRPr="007114AF">
        <w:t xml:space="preserve"> si dhe</w:t>
      </w:r>
      <w:r w:rsidR="00A743D8">
        <w:t xml:space="preserve"> </w:t>
      </w:r>
      <w:r w:rsidRPr="007114AF">
        <w:t>4</w:t>
      </w:r>
      <w:r w:rsidR="00A743D8">
        <w:t xml:space="preserve"> </w:t>
      </w:r>
      <w:r w:rsidRPr="007114AF">
        <w:t>masa të cilat janë ndërsektoriale.</w:t>
      </w:r>
    </w:p>
    <w:p w14:paraId="6EDD007B" w14:textId="1A5AC17A" w:rsidR="001617A3" w:rsidRPr="007114AF" w:rsidRDefault="001617A3" w:rsidP="001617A3">
      <w:pPr>
        <w:pStyle w:val="TEKSTI"/>
      </w:pPr>
      <w:r w:rsidRPr="007114AF">
        <w:t>Janë identifikuar çështje ndërsektoriale, veçanërisht ndërmjet sektorit pyjor dhe atij energjetik, lidhur me sigurimin e burimeve të</w:t>
      </w:r>
      <w:r w:rsidR="00C6608F" w:rsidRPr="007114AF">
        <w:t xml:space="preserve"> </w:t>
      </w:r>
      <w:r w:rsidRPr="007114AF">
        <w:t>qëndrueshme të energjisë së rinovueshme; ndërmjet sektorit bujqësor dhe energjetik, lidhur me përmirësimin e pajisjeve për energjinë efikase në praktikat bujqësore.</w:t>
      </w:r>
    </w:p>
    <w:p w14:paraId="6EDD007C" w14:textId="77777777" w:rsidR="001617A3" w:rsidRPr="007114AF" w:rsidRDefault="001617A3" w:rsidP="001617A3">
      <w:pPr>
        <w:pStyle w:val="TEKSTI"/>
      </w:pPr>
      <w:r w:rsidRPr="007114AF">
        <w:t xml:space="preserve">Çdo sektor është përshkruar në paragrafët e mëposhtëm, për të dhënë një pasqyrë të masës kryesore sektoriale të propozuar, dhe lidhjen e saj me objektivat e Politikave dhe Prioriteteve </w:t>
      </w:r>
      <w:r w:rsidRPr="007114AF">
        <w:lastRenderedPageBreak/>
        <w:t>Strategjike të Zbutjes, duke theksuar edhe zgjidhjet e propozuara për të plotësuar mangësitë e identifikuara. Lista e masave jepet veçmas për secilin sektor në paragrafin 5.6.</w:t>
      </w:r>
    </w:p>
    <w:p w14:paraId="6EDD007D" w14:textId="40E88AB6" w:rsidR="001617A3" w:rsidRPr="007114AF" w:rsidRDefault="001617A3" w:rsidP="001617A3">
      <w:pPr>
        <w:pStyle w:val="TEKSTI"/>
      </w:pPr>
      <w:r w:rsidRPr="007114AF">
        <w:t>Vëmendje e veçantë i është dhënë sistemit të matjes, monitorimit dhe raportimit në Shqipëri.</w:t>
      </w:r>
      <w:r w:rsidR="00C6608F" w:rsidRPr="007114AF">
        <w:t xml:space="preserve"> </w:t>
      </w:r>
      <w:r w:rsidRPr="007114AF">
        <w:t>Vlerësimi i plotë, standard</w:t>
      </w:r>
      <w:r w:rsidR="00C6608F" w:rsidRPr="007114AF">
        <w:t xml:space="preserve"> </w:t>
      </w:r>
      <w:r w:rsidRPr="007114AF">
        <w:t>dhe transparent për raportimin dhe përgjegjësinë ndaj shkarkimeve dhe përthithësve GES, është thelbësor për të vlerësuar progresin e arritjes së objektivave, për të vlerësuar performancën e politikave dhe masave në nivel ndërkombëtar, për të vlerësuar suksesin e përpjekjeve të përbashkëta për të reduktuar ndryshimet klimatike(duke marrë në konsideratë parimin e përgjegjësive të përbashkëta, por të diferencuara, dhe aftësive përkatëse).</w:t>
      </w:r>
    </w:p>
    <w:p w14:paraId="6EDD007E" w14:textId="77777777" w:rsidR="001617A3" w:rsidRPr="007114AF" w:rsidRDefault="001617A3" w:rsidP="001617A3">
      <w:pPr>
        <w:pStyle w:val="TEKSTI"/>
        <w:rPr>
          <w:b/>
        </w:rPr>
      </w:pPr>
      <w:bookmarkStart w:id="166" w:name="_Toc484424513"/>
      <w:r w:rsidRPr="007114AF">
        <w:rPr>
          <w:b/>
        </w:rPr>
        <w:t>5.1 Energjia</w:t>
      </w:r>
      <w:bookmarkEnd w:id="166"/>
    </w:p>
    <w:p w14:paraId="6EDD007F" w14:textId="7B1AF64E" w:rsidR="001617A3" w:rsidRPr="007114AF" w:rsidRDefault="001617A3" w:rsidP="001617A3">
      <w:pPr>
        <w:pStyle w:val="TEKSTI"/>
      </w:pPr>
      <w:r w:rsidRPr="007114AF">
        <w:t>Në përgjithësi, masat e propozuara në PKZNK-ë</w:t>
      </w:r>
      <w:r w:rsidR="00C6608F" w:rsidRPr="007114AF">
        <w:t xml:space="preserve"> </w:t>
      </w:r>
      <w:r w:rsidRPr="007114AF">
        <w:t>për sektorin e Energjisë, lejojnë progresin drejt objektivave kryesor</w:t>
      </w:r>
      <w:r w:rsidR="00163F78">
        <w:t>ë</w:t>
      </w:r>
      <w:r w:rsidRPr="007114AF">
        <w:t xml:space="preserve"> të politikës, të njohura në</w:t>
      </w:r>
      <w:r w:rsidR="00C6608F" w:rsidRPr="007114AF">
        <w:t xml:space="preserve"> </w:t>
      </w:r>
      <w:r w:rsidRPr="007114AF">
        <w:t>dokumentin e SKNK-ës</w:t>
      </w:r>
      <w:r w:rsidR="00C6608F" w:rsidRPr="007114AF">
        <w:t xml:space="preserve"> </w:t>
      </w:r>
      <w:r w:rsidRPr="007114AF">
        <w:t>dhe që iu përgjigjen prioriteteve strategjike të identifikuara për zbutjen e ndryshimeve klimatike, të renditura në kreun 3, me shumicën e masave të marra në konsideratë të vëna në fokus në pjesën:</w:t>
      </w:r>
      <w:r w:rsidR="00C6608F" w:rsidRPr="007114AF">
        <w:t xml:space="preserve"> “</w:t>
      </w:r>
      <w:r w:rsidRPr="007114AF">
        <w:rPr>
          <w:i/>
        </w:rPr>
        <w:t>Nxitni eficiencën e energjisë dhe Nxitni Burimet e Qëndrueshme të Energjisë së Rinovueshme</w:t>
      </w:r>
      <w:r w:rsidR="000A2A01" w:rsidRPr="007114AF">
        <w:rPr>
          <w:i/>
        </w:rPr>
        <w:t>”</w:t>
      </w:r>
      <w:r w:rsidRPr="007114AF">
        <w:t xml:space="preserve">. </w:t>
      </w:r>
    </w:p>
    <w:p w14:paraId="6EDD0080" w14:textId="77777777" w:rsidR="001617A3" w:rsidRPr="007114AF" w:rsidRDefault="001617A3" w:rsidP="001617A3">
      <w:pPr>
        <w:pStyle w:val="TEKSTI"/>
      </w:pPr>
      <w:r w:rsidRPr="007114AF">
        <w:t>Një nga shqetësimet kryesore në sektorin e energjisë është përshtatshmëria e buxhetit, veçanërisht për masat në PKVEE; megjithatë, kjo mund të kapërcehet në vitet në vazhdim nga një zbatim i kujdesshëm i ligjit mbi Eficiencën e Energjisë dhe ligjit mbi BER-in.</w:t>
      </w:r>
    </w:p>
    <w:p w14:paraId="6EDD0081" w14:textId="169C9003" w:rsidR="001617A3" w:rsidRPr="007114AF" w:rsidRDefault="001617A3" w:rsidP="001617A3">
      <w:pPr>
        <w:pStyle w:val="TEKSTI"/>
      </w:pPr>
      <w:r w:rsidRPr="007114AF">
        <w:t>Sipas ligjit të Eficiencës së Energjisë, në fakt, financimi i mjaftueshëm duhet të jetë një nga parimet mbështetëse të politikës shqiptare mbi eficiencën e energjisë (neni 5, 3b), dhe dispozitat për planifikimin me kujdes të aspekteve financiare në PKVEE-të e ardhshme të jenë bërë në nenin 7, 2 i, j, m, si për burimet publike dhe për ato private dhe planifikimin financiar afatshkurtër dhe afatgjatë. Ligji krijon një institucion financiar, atë të Fondit për Eficiencën e Energjisë, për të lehtësuar sigurimin e fondeve të mjaftueshme, që mbështesin përmirësimet e denja të eficiencës së energjisë, dhe përcakton në detaje qëllimin, funksionimin dhe qeverisjen</w:t>
      </w:r>
      <w:r w:rsidR="006F4123" w:rsidRPr="007114AF">
        <w:t xml:space="preserve"> </w:t>
      </w:r>
      <w:r w:rsidRPr="007114AF">
        <w:t>e tij (kreu V, nenet 19</w:t>
      </w:r>
      <w:r w:rsidR="002F042B" w:rsidRPr="007114AF">
        <w:t>–</w:t>
      </w:r>
      <w:r w:rsidRPr="007114AF">
        <w:t>24). Prandaj është e rëndësishme që këto rregulla të vihen në jetë përmes akteve të duhura nënligjore, sa më shpejt të jetë e mundur. Njëkohësisht, masa të njëjta janë parashikuar nga ligji mbi BER-in</w:t>
      </w:r>
      <w:r w:rsidR="006F4123" w:rsidRPr="007114AF">
        <w:t xml:space="preserve"> </w:t>
      </w:r>
      <w:r w:rsidRPr="007114AF">
        <w:t>për politikën e BER-it, duke ngritur një fond me karakteristika dhe objektiva të njëjtë. Përsëri është e rëndësishme që të hartohen ligje dhe akte nënligjore të përshtatshme për</w:t>
      </w:r>
      <w:r w:rsidR="006F4123" w:rsidRPr="007114AF">
        <w:t xml:space="preserve"> </w:t>
      </w:r>
      <w:r w:rsidRPr="007114AF">
        <w:t xml:space="preserve">BER-in. Duke qenë se tarifat </w:t>
      </w:r>
      <w:r w:rsidRPr="007114AF">
        <w:rPr>
          <w:rFonts w:cs="Calibri"/>
        </w:rPr>
        <w:t>që i paguhen prodhuesve të energjisë së rinovueshme për çdo njësi energjie të prodhuar dhe të transmetuar në rrjetin elektrik (</w:t>
      </w:r>
      <w:r w:rsidRPr="00264806">
        <w:rPr>
          <w:rFonts w:cs="Calibri"/>
          <w:i/>
        </w:rPr>
        <w:t>feed</w:t>
      </w:r>
      <w:r w:rsidRPr="007114AF">
        <w:rPr>
          <w:rFonts w:cs="Calibri"/>
        </w:rPr>
        <w:t xml:space="preserve">-in </w:t>
      </w:r>
      <w:r w:rsidRPr="00264806">
        <w:rPr>
          <w:rFonts w:cs="Calibri"/>
          <w:i/>
        </w:rPr>
        <w:t>tariffs</w:t>
      </w:r>
      <w:r w:rsidRPr="007114AF">
        <w:rPr>
          <w:rFonts w:cs="Calibri"/>
        </w:rPr>
        <w:t>),</w:t>
      </w:r>
      <w:r w:rsidR="00203893" w:rsidRPr="007114AF">
        <w:rPr>
          <w:rFonts w:cs="Calibri"/>
        </w:rPr>
        <w:t xml:space="preserve"> </w:t>
      </w:r>
      <w:r w:rsidRPr="007114AF">
        <w:t>janë një skemë mbështetëse tradicionale për investimet BER,</w:t>
      </w:r>
      <w:r w:rsidR="006F4123" w:rsidRPr="007114AF">
        <w:t xml:space="preserve"> </w:t>
      </w:r>
      <w:r w:rsidRPr="007114AF">
        <w:t>të cilat ndikojnë në të gjithë tregun elektrik, kjo mund të jetë gjithashtu</w:t>
      </w:r>
      <w:r w:rsidR="006F4123" w:rsidRPr="007114AF">
        <w:t xml:space="preserve"> </w:t>
      </w:r>
      <w:r w:rsidRPr="007114AF">
        <w:t>një pjesë e rëndësishme e Strategjisë së Energjisë. Prandaj, për të përgjithësuar rekomandimin e mësipërm, është e rëndësishme</w:t>
      </w:r>
      <w:r w:rsidR="006F4123" w:rsidRPr="007114AF">
        <w:t xml:space="preserve"> </w:t>
      </w:r>
      <w:r w:rsidRPr="007114AF">
        <w:t xml:space="preserve">të përfshihen rregulla të qarta dhe të realizueshme rreth masave të politikave financuese në të gjitha politikat që lidhen me energjinë, dhe që ato të funksionojnë përmes akteve të duhura nënligjore, sa më shpejt të jetë e mundur. </w:t>
      </w:r>
    </w:p>
    <w:p w14:paraId="6EDD0082" w14:textId="05B73976" w:rsidR="001617A3" w:rsidRPr="007114AF" w:rsidRDefault="001617A3" w:rsidP="001617A3">
      <w:pPr>
        <w:pStyle w:val="TEKSTI"/>
      </w:pPr>
      <w:r w:rsidRPr="007114AF">
        <w:t>Bashkërendimi mes të gjitha strategjive dhe planeve të ministrive që punojnë drejtpërdrejtë ose jo me energjinë, është po aq i rëndësishëm. Lidhjet e forta kryesore që duhen konsideruar, janë ato ndërmjet energjisë dhe transportit lidhur me lëndët e djegshme fosile</w:t>
      </w:r>
      <w:r w:rsidR="00E12123" w:rsidRPr="007114AF">
        <w:t xml:space="preserve"> </w:t>
      </w:r>
      <w:r w:rsidRPr="007114AF">
        <w:t>në një perspektivë afatgjatë; lidhur me energjinë elektrike dhe ato me bujqësinë dhe me pyjet për biomasën. Instrumenti që siguron këtë bashkërendim është Strategjisë Kombëtare të Energjisë për periudhën 2018–2030, miratuar me VKM</w:t>
      </w:r>
      <w:r w:rsidR="00242009" w:rsidRPr="007114AF">
        <w:t xml:space="preserve"> nr. </w:t>
      </w:r>
      <w:r w:rsidRPr="007114AF">
        <w:t>480</w:t>
      </w:r>
      <w:r w:rsidR="00E12123" w:rsidRPr="007114AF">
        <w:t>,</w:t>
      </w:r>
      <w:r w:rsidRPr="007114AF">
        <w:t xml:space="preserve"> d</w:t>
      </w:r>
      <w:r w:rsidR="00E12123" w:rsidRPr="007114AF">
        <w:t>a</w:t>
      </w:r>
      <w:r w:rsidRPr="007114AF">
        <w:t>t</w:t>
      </w:r>
      <w:r w:rsidR="00E12123" w:rsidRPr="007114AF">
        <w:t>ë 31.</w:t>
      </w:r>
      <w:r w:rsidRPr="007114AF">
        <w:t>7.2018</w:t>
      </w:r>
      <w:r w:rsidR="00E12123" w:rsidRPr="007114AF">
        <w:t>,</w:t>
      </w:r>
      <w:r w:rsidRPr="007114AF">
        <w:t xml:space="preserve"> duke garantuar përvijimin e çështjeve të ndryshimeve klimatike në çdo aspekt të strategjisë, në bashkërendim me strategji dhe plane të tjera në këtë sektor (Strategjia BER dhe PKVEE), si dhe të përkthehet në veprime, nëpërmjet një organi të përshtatshëm në aktet nënligjore. </w:t>
      </w:r>
    </w:p>
    <w:p w14:paraId="6EDD0083" w14:textId="39C54FF9" w:rsidR="001617A3" w:rsidRPr="007114AF" w:rsidRDefault="001617A3" w:rsidP="001617A3">
      <w:pPr>
        <w:pStyle w:val="TEKSTI"/>
      </w:pPr>
      <w:r w:rsidRPr="007114AF">
        <w:t>Pavarësisht se harmonizimi i politikave sektoriale me</w:t>
      </w:r>
      <w:r w:rsidR="00264806">
        <w:t xml:space="preserve"> </w:t>
      </w:r>
      <w:r w:rsidRPr="007114AF">
        <w:rPr>
          <w:i/>
        </w:rPr>
        <w:t>Acquis</w:t>
      </w:r>
      <w:r w:rsidRPr="007114AF">
        <w:t xml:space="preserve"> të BE-së</w:t>
      </w:r>
      <w:r w:rsidR="00264806">
        <w:t xml:space="preserve"> </w:t>
      </w:r>
      <w:r w:rsidRPr="007114AF">
        <w:t>duket të jetë integruar në kuadrin e politikave të energjisë shqiptare, rreziku i politikave të copëzuara</w:t>
      </w:r>
      <w:r w:rsidR="00264806">
        <w:t xml:space="preserve"> </w:t>
      </w:r>
      <w:r w:rsidRPr="007114AF">
        <w:t xml:space="preserve">mund të jetë mjaft i spikatur dhe duhet trajtuar menjëherë, me qëllim që të rrisë në mënyrë të ndjeshme bashkëpunimin mes të gjithë aktorëve përkatës institucionalë. Veprimi i parë që do të merret në këtë rast, është sinkronizimi i politikave shqiptare të energjisë dhe klimës, me agjendën e politikave të BE-së mbi temat përkatëse. Fusha tjetër ku bashkërendimi në kohë i iniciativave </w:t>
      </w:r>
      <w:r w:rsidRPr="007114AF">
        <w:lastRenderedPageBreak/>
        <w:t>politike është i rëndësishëm, është bashkërendimi i brendshëm, ndërmjet strategjive sektoriale dhe planeve të ndryshme. Përpjekja e bashkërendimit e përshkruar në paragrafin e mësipërm, duhet të sjellë jo vetëm bashkërendimin tematik, por edhe atë</w:t>
      </w:r>
      <w:r w:rsidR="000A2A01" w:rsidRPr="007114AF">
        <w:t xml:space="preserve"> </w:t>
      </w:r>
      <w:r w:rsidRPr="007114AF">
        <w:t>të përkohshëm.</w:t>
      </w:r>
    </w:p>
    <w:p w14:paraId="6EDD0084" w14:textId="65F3E7FB" w:rsidR="001617A3" w:rsidRPr="007114AF" w:rsidRDefault="001617A3" w:rsidP="001617A3">
      <w:pPr>
        <w:pStyle w:val="TEKSTI"/>
      </w:pPr>
      <w:r w:rsidRPr="007114AF">
        <w:t xml:space="preserve">Dërgimi i sinjaleve dhe stimujve të duhur te konsumatorët, është shumë i rëndësishëm për zbatimin e politikave me kosto efektive. Kjo ka kryesisht dy pasoja, që të dyja me rezultate të drejtpërdrejta në PKZNK-ë. Nga njëra anë tregjet e energjisë që funksionojnë mirë janë një parakusht i domosdoshëm, që masat e politikave të orientojnë në mënyrën e duhur sjelljen e konsumatorit, që të arrihen kështu objektivat e dekarbonizimit. Konsumatorët duhet të marrin sinjalet e duhura nga tregu nëpërmjet çmimeve. Prandaj humbjet joteknike të rrjetit të shpërndarjes së energjisë elektrike dhe prerja e paqëndrueshme e druve për ngrohje dhe gatim, duhet të çrrënjosen me domosdo. Së dyti, është e rëndësishme të shmanget besimi i tepruar në skemat subvencionuese që synojnë të realizojnë objektivat e politikave (të tilla si: mbështetja e eficiencës së energjisë dhe përhapja e BER-it), për të shmangur përfituesit </w:t>
      </w:r>
      <w:r w:rsidR="000A2A01" w:rsidRPr="007114AF">
        <w:t>“</w:t>
      </w:r>
      <w:r w:rsidRPr="007114AF">
        <w:t>parazitarë</w:t>
      </w:r>
      <w:r w:rsidR="000A2A01" w:rsidRPr="007114AF">
        <w:t>”</w:t>
      </w:r>
      <w:r w:rsidRPr="007114AF">
        <w:t>. Një kurs veprimi i ngjashëm mjaft i rekomanduar është: forcimi i anës zbatuese. Aktualisht, vetëm ligji mbi Eficiencën e Energjisë parashikon sanksione administrative për shkeljen e rregullave të tij; megjithatë duhet të vendoset dhe hyjë në fuqi një sistem i qëndrueshëm dhe i besueshëm dënimi për shkelësit.</w:t>
      </w:r>
      <w:r w:rsidR="00264806">
        <w:t xml:space="preserve"> </w:t>
      </w:r>
      <w:r w:rsidRPr="007114AF">
        <w:t>Për shkeljet më të rënda që rezultojnë me mashtrime ose situata të rrezikshme për shëndetin publik dhe mjedisin, duhet të zbatohet Kodi Penal.</w:t>
      </w:r>
    </w:p>
    <w:p w14:paraId="6EDD0085" w14:textId="159B4EC7" w:rsidR="001617A3" w:rsidRPr="007114AF" w:rsidRDefault="001617A3" w:rsidP="001617A3">
      <w:pPr>
        <w:pStyle w:val="TEKSTI"/>
      </w:pPr>
      <w:r w:rsidRPr="007114AF">
        <w:t>Një çështje e rëndësishme për t</w:t>
      </w:r>
      <w:r w:rsidR="00D10DAB" w:rsidRPr="007114AF">
        <w:t>’</w:t>
      </w:r>
      <w:r w:rsidRPr="007114AF">
        <w:t>u trajtuar është: grumbullimi i të dhënave në sektorin e energjisë për të garantuar sistemin e duhur të informacionit. Kjo nënkupton ngritjen, hedhjen dhe mbajtjen e bazës së të dhënave të detajuara, të aksesueshme nga të gjitha institucionet e përfshira, në të gjitha aspektet informative që lidhen me hartimin e politikave për uljen e shkarkimeve GES në Shqipëri. Do të ishte i këshillueshëm integrimi i të tilla bazave të të dhënave me atë të konsumit të energjisë së parashikuar nga ligji mbi Eficiencën e Energjisë.</w:t>
      </w:r>
    </w:p>
    <w:p w14:paraId="6EDD0086" w14:textId="6199D7AD" w:rsidR="001617A3" w:rsidRPr="007114AF" w:rsidRDefault="001617A3" w:rsidP="001617A3">
      <w:pPr>
        <w:pStyle w:val="TEKSTI"/>
      </w:pPr>
      <w:r w:rsidRPr="007114AF">
        <w:t xml:space="preserve">E fundit, por jo më pak e rëndësishme, Shqipëria aktualisht qëndron në një pozicion unik në rrugën e saj të zhvillimit, i cili do të lejonte lehtësisht kalimin në standardet më të larta të eficiencës së energjisë, performancës së rrjetit dhe depërtimit të BER-it. Duhen futur stimuj të veçantë me anë të politikave, për të nxitur përhapjen e teknologjive më të përparuara që janë sot. Merrni në konsideratë futjen e skemave të veçanta të stimujve, planeve të investimit dhe certifikimit për banesat pasive dhe me humbje zero të energjisë, matjen </w:t>
      </w:r>
      <w:r w:rsidR="000A2A01" w:rsidRPr="007114AF">
        <w:t>“</w:t>
      </w:r>
      <w:r w:rsidRPr="007114AF">
        <w:t>smart</w:t>
      </w:r>
      <w:r w:rsidR="000A2A01" w:rsidRPr="007114AF">
        <w:t>”</w:t>
      </w:r>
      <w:r w:rsidRPr="007114AF">
        <w:t xml:space="preserve"> dhe faturimin, rrjetet </w:t>
      </w:r>
      <w:r w:rsidR="000A2A01" w:rsidRPr="007114AF">
        <w:t>“</w:t>
      </w:r>
      <w:r w:rsidRPr="007114AF">
        <w:t>smart</w:t>
      </w:r>
      <w:r w:rsidR="000A2A01" w:rsidRPr="007114AF">
        <w:t>”</w:t>
      </w:r>
      <w:r w:rsidRPr="007114AF">
        <w:t xml:space="preserve"> dhe sistemet domotike të kursimit të energjisë.</w:t>
      </w:r>
      <w:r w:rsidR="00264806">
        <w:t xml:space="preserve"> </w:t>
      </w:r>
      <w:r w:rsidRPr="007114AF">
        <w:t>Kostot e tyre më të larta të investimit do të jenë të detyruara të ulen, duke qenë se rritet përhapja e tyre dhe kompensohen gjithsesi nga efikasiteti më i lartë dhe aftësia për të tërhequr fonde ndërkombëtare. Ato ndoshta janë marrë parasysh për planifikime të ardhshme strategjike, por do të ishte e këshillueshme të fillohej të merreshin në konsideratë këto alternativa në një fazë më të hershme, nëse do të ishte e mundur, në këtë plan aktual.</w:t>
      </w:r>
    </w:p>
    <w:p w14:paraId="6EDD0087" w14:textId="77777777" w:rsidR="001617A3" w:rsidRPr="007114AF" w:rsidRDefault="001617A3" w:rsidP="001617A3">
      <w:pPr>
        <w:pStyle w:val="TEKSTI"/>
      </w:pPr>
      <w:r w:rsidRPr="007114AF">
        <w:t>Lista e plotë e masave për sektorin e energjisë paraqitet në paragrafin 5.6.1 në vijim.</w:t>
      </w:r>
    </w:p>
    <w:p w14:paraId="6EDD0088" w14:textId="77777777" w:rsidR="001617A3" w:rsidRPr="007114AF" w:rsidRDefault="001617A3" w:rsidP="001617A3">
      <w:pPr>
        <w:pStyle w:val="TEKSTI"/>
        <w:rPr>
          <w:b/>
        </w:rPr>
      </w:pPr>
      <w:bookmarkStart w:id="167" w:name="_Toc484424514"/>
      <w:r w:rsidRPr="007114AF">
        <w:rPr>
          <w:b/>
        </w:rPr>
        <w:t>5.2</w:t>
      </w:r>
      <w:r w:rsidR="00CF2A42" w:rsidRPr="007114AF">
        <w:rPr>
          <w:b/>
        </w:rPr>
        <w:t xml:space="preserve"> </w:t>
      </w:r>
      <w:r w:rsidRPr="007114AF">
        <w:rPr>
          <w:b/>
        </w:rPr>
        <w:t>Transporti</w:t>
      </w:r>
      <w:bookmarkEnd w:id="167"/>
    </w:p>
    <w:p w14:paraId="6EDD0089" w14:textId="37040A62" w:rsidR="001617A3" w:rsidRPr="007114AF" w:rsidRDefault="001617A3" w:rsidP="001617A3">
      <w:pPr>
        <w:pStyle w:val="TEKSTI"/>
        <w:rPr>
          <w:szCs w:val="20"/>
        </w:rPr>
      </w:pPr>
      <w:r w:rsidRPr="007114AF">
        <w:rPr>
          <w:szCs w:val="20"/>
        </w:rPr>
        <w:t>Sektori i transportit në Shqipëri është trajtuar në një nivel të dyfishtë: nga njëra anë kemi një plan për zhvillimin e lëvizshmërisë (SSTPV), në drejtim të cilësisë, sigurisë, nxitjes së alternativave të qëndrueshme modale ose bashkëmodale, por që synojnë rritjen e kapaciteteve, dhe nga ana tjetër një plan me qëllimin e veçantë të të pa</w:t>
      </w:r>
      <w:r w:rsidR="00264806">
        <w:rPr>
          <w:szCs w:val="20"/>
        </w:rPr>
        <w:t>s</w:t>
      </w:r>
      <w:r w:rsidRPr="007114AF">
        <w:rPr>
          <w:szCs w:val="20"/>
        </w:rPr>
        <w:t>urit të një transporti të qëndrueshëm (TECTQ), i cili përcakton një numër masash konkrete për reduktimin e shkarkimeve. Disa masa sipas SSTPV-ës</w:t>
      </w:r>
      <w:r w:rsidR="00264806">
        <w:rPr>
          <w:szCs w:val="20"/>
        </w:rPr>
        <w:t xml:space="preserve"> </w:t>
      </w:r>
      <w:r w:rsidRPr="007114AF">
        <w:rPr>
          <w:szCs w:val="20"/>
        </w:rPr>
        <w:t xml:space="preserve">mund të kenë një ndikim pozitiv mbi zbutjen e klimës. </w:t>
      </w:r>
    </w:p>
    <w:p w14:paraId="6EDD008A" w14:textId="591763BF" w:rsidR="001617A3" w:rsidRPr="007114AF" w:rsidRDefault="001617A3" w:rsidP="001617A3">
      <w:pPr>
        <w:pStyle w:val="TEKSTI"/>
        <w:rPr>
          <w:szCs w:val="20"/>
          <w:shd w:val="clear" w:color="auto" w:fill="FFFF00"/>
        </w:rPr>
      </w:pPr>
      <w:r w:rsidRPr="007114AF">
        <w:rPr>
          <w:szCs w:val="20"/>
        </w:rPr>
        <w:t>Masat e identifikuara në këtë</w:t>
      </w:r>
      <w:r w:rsidR="00264806">
        <w:rPr>
          <w:szCs w:val="20"/>
        </w:rPr>
        <w:t xml:space="preserve"> </w:t>
      </w:r>
      <w:r w:rsidRPr="007114AF">
        <w:t>PKZNK-ë jan</w:t>
      </w:r>
      <w:r w:rsidRPr="007114AF">
        <w:rPr>
          <w:szCs w:val="20"/>
        </w:rPr>
        <w:t xml:space="preserve">ë të dobishme për përmbushjen e objektivave të politikave kryesore të njohura në </w:t>
      </w:r>
      <w:r w:rsidRPr="007114AF">
        <w:t>NCSS-ë p</w:t>
      </w:r>
      <w:r w:rsidRPr="007114AF">
        <w:rPr>
          <w:szCs w:val="20"/>
        </w:rPr>
        <w:t>ër t</w:t>
      </w:r>
      <w:r w:rsidR="00D10DAB" w:rsidRPr="007114AF">
        <w:rPr>
          <w:szCs w:val="20"/>
        </w:rPr>
        <w:t>’</w:t>
      </w:r>
      <w:r w:rsidRPr="007114AF">
        <w:rPr>
          <w:szCs w:val="20"/>
        </w:rPr>
        <w:t>iu përgjigjur prioriteteve strategjike të id</w:t>
      </w:r>
      <w:r w:rsidRPr="007114AF">
        <w:t>entifikuara p</w:t>
      </w:r>
      <w:r w:rsidRPr="007114AF">
        <w:rPr>
          <w:szCs w:val="20"/>
        </w:rPr>
        <w:t>ër zbutjen e ndryshimeve klimatike</w:t>
      </w:r>
      <w:r w:rsidRPr="007114AF">
        <w:t>. Masat e planifikuara nxisin zhvillimin e sektorit t</w:t>
      </w:r>
      <w:r w:rsidRPr="007114AF">
        <w:rPr>
          <w:szCs w:val="20"/>
        </w:rPr>
        <w:t xml:space="preserve">ë transportit në Shqipëri, në përputhje me </w:t>
      </w:r>
      <w:r w:rsidRPr="007114AF">
        <w:t>Kuadrin Ligjor Evropian 2020 dhe 2030, p</w:t>
      </w:r>
      <w:r w:rsidRPr="007114AF">
        <w:rPr>
          <w:szCs w:val="20"/>
        </w:rPr>
        <w:t xml:space="preserve">ërmes veprimeve që synojnë përmirësimin e lidhjeve kombëtare dhe ndërkombëtare të territorit, mundësinë e arritjes së territoreve, mënyrave të qëndrueshme të transportit dhe eficiencës së energjisë. </w:t>
      </w:r>
    </w:p>
    <w:p w14:paraId="6EDD008B" w14:textId="6F60BB7C" w:rsidR="001617A3" w:rsidRPr="007114AF" w:rsidRDefault="001617A3" w:rsidP="001617A3">
      <w:pPr>
        <w:pStyle w:val="TEKSTI"/>
        <w:rPr>
          <w:strike/>
          <w:shd w:val="clear" w:color="auto" w:fill="FFFF00"/>
        </w:rPr>
      </w:pPr>
      <w:r w:rsidRPr="007114AF">
        <w:rPr>
          <w:szCs w:val="20"/>
        </w:rPr>
        <w:lastRenderedPageBreak/>
        <w:t xml:space="preserve">Disa masa të propozuara në </w:t>
      </w:r>
      <w:r w:rsidRPr="007114AF">
        <w:t>PKZNK-ë</w:t>
      </w:r>
      <w:r w:rsidR="0075001B">
        <w:t xml:space="preserve"> </w:t>
      </w:r>
      <w:r w:rsidRPr="007114AF">
        <w:t>p</w:t>
      </w:r>
      <w:r w:rsidRPr="007114AF">
        <w:rPr>
          <w:szCs w:val="20"/>
        </w:rPr>
        <w:t>ër sektorin e transportit, kanë për qëllim të përmbushin në veçanti, objektivat e politikave të</w:t>
      </w:r>
      <w:r w:rsidR="0075001B">
        <w:rPr>
          <w:b/>
          <w:bCs/>
        </w:rPr>
        <w:t xml:space="preserve"> </w:t>
      </w:r>
      <w:r w:rsidR="0075001B" w:rsidRPr="0075001B">
        <w:rPr>
          <w:bCs/>
          <w:i/>
        </w:rPr>
        <w:t>“</w:t>
      </w:r>
      <w:r w:rsidRPr="007114AF">
        <w:rPr>
          <w:bCs/>
          <w:i/>
        </w:rPr>
        <w:t>Nxitjes së një sistemi</w:t>
      </w:r>
      <w:r w:rsidR="000A2A01" w:rsidRPr="007114AF">
        <w:rPr>
          <w:bCs/>
          <w:i/>
        </w:rPr>
        <w:t xml:space="preserve"> </w:t>
      </w:r>
      <w:r w:rsidRPr="007114AF">
        <w:rPr>
          <w:bCs/>
          <w:i/>
        </w:rPr>
        <w:t>miqësor me mjedisin-</w:t>
      </w:r>
      <w:r w:rsidR="000A2A01" w:rsidRPr="007114AF">
        <w:rPr>
          <w:bCs/>
          <w:i/>
        </w:rPr>
        <w:t xml:space="preserve"> </w:t>
      </w:r>
      <w:r w:rsidRPr="007114AF">
        <w:rPr>
          <w:bCs/>
          <w:i/>
        </w:rPr>
        <w:t>të automjeteve</w:t>
      </w:r>
      <w:r w:rsidR="000A2A01" w:rsidRPr="007114AF">
        <w:rPr>
          <w:bCs/>
          <w:i/>
        </w:rPr>
        <w:t>”</w:t>
      </w:r>
      <w:r w:rsidRPr="007114AF">
        <w:rPr>
          <w:bCs/>
          <w:i/>
        </w:rPr>
        <w:t>.</w:t>
      </w:r>
      <w:r w:rsidR="0075001B">
        <w:rPr>
          <w:bCs/>
          <w:i/>
        </w:rPr>
        <w:t xml:space="preserve"> </w:t>
      </w:r>
      <w:r w:rsidRPr="007114AF">
        <w:rPr>
          <w:szCs w:val="20"/>
        </w:rPr>
        <w:t>Ky grup masash ka për qëllim: uljen e shkarkimeve të automjeteve nëpërmjet modernizimit të automjeteve private, rregullave dhe rregulloreve strukturore, të tilla si: miratimi dhe zbatimi i direktivave për etiketimin e makinave dhe standardet e BE-së; sistemi i taksave dhe stimujve, si dhe nxitja e përdorimit të lëndëve djegëse alternative. Duke qenë se nuk është alternativë frenimi i l</w:t>
      </w:r>
      <w:bookmarkStart w:id="168" w:name="OLE_LINK1"/>
      <w:r w:rsidRPr="007114AF">
        <w:rPr>
          <w:szCs w:val="20"/>
        </w:rPr>
        <w:t>ë</w:t>
      </w:r>
      <w:bookmarkEnd w:id="168"/>
      <w:r w:rsidRPr="007114AF">
        <w:rPr>
          <w:szCs w:val="20"/>
        </w:rPr>
        <w:t>vizshmërisë dhe aksesi i plotë në të gjithë territorin kombëtar është një nevojë, lëvizshmëria e motorizuar në shkallë vendi nuk mund të shmanget. Prandaj, masa të shumta mund t</w:t>
      </w:r>
      <w:r w:rsidR="00D10DAB" w:rsidRPr="007114AF">
        <w:rPr>
          <w:szCs w:val="20"/>
        </w:rPr>
        <w:t>’</w:t>
      </w:r>
      <w:r w:rsidRPr="007114AF">
        <w:rPr>
          <w:szCs w:val="20"/>
        </w:rPr>
        <w:t xml:space="preserve">i përmirësojnë opsionet e aksesit dhe lëvizshmërisë edhe me një </w:t>
      </w:r>
      <w:r w:rsidR="000A2A01" w:rsidRPr="007114AF">
        <w:rPr>
          <w:szCs w:val="20"/>
        </w:rPr>
        <w:t>“</w:t>
      </w:r>
      <w:r w:rsidRPr="007114AF">
        <w:rPr>
          <w:szCs w:val="20"/>
        </w:rPr>
        <w:t>mënyrë jo të qëndrueshme</w:t>
      </w:r>
      <w:r w:rsidR="000A2A01" w:rsidRPr="007114AF">
        <w:rPr>
          <w:szCs w:val="20"/>
        </w:rPr>
        <w:t>”</w:t>
      </w:r>
      <w:r w:rsidRPr="007114AF">
        <w:rPr>
          <w:szCs w:val="20"/>
        </w:rPr>
        <w:t>,</w:t>
      </w:r>
      <w:r w:rsidR="0075001B">
        <w:rPr>
          <w:szCs w:val="20"/>
        </w:rPr>
        <w:t xml:space="preserve"> </w:t>
      </w:r>
      <w:r w:rsidRPr="007114AF">
        <w:rPr>
          <w:szCs w:val="20"/>
        </w:rPr>
        <w:t>duke ndikuar mbi eficiencën e automjeteve dhe motorëve sa mesatarja në BE. Zbatimi i rregullave për të rritur përqindjen e automjeteve me shkarkime të ulëta është jetësor, duke qenë se me një rritje të parashikuar ekonomike dhe rritje të pagave, indeksi i motorizimit do të arrijë të paktën mesataren e BE-së, duke e rritur numrin e automjeteve për banorë në 450-500 automjete/1000 banorë, krahasuar me numrin aktual që është 200.</w:t>
      </w:r>
    </w:p>
    <w:p w14:paraId="6EDD008C" w14:textId="6D05660D" w:rsidR="001617A3" w:rsidRPr="007114AF" w:rsidRDefault="000A2A01" w:rsidP="001617A3">
      <w:pPr>
        <w:pStyle w:val="TEKSTI"/>
        <w:rPr>
          <w:szCs w:val="20"/>
        </w:rPr>
      </w:pPr>
      <w:r w:rsidRPr="007114AF">
        <w:rPr>
          <w:i/>
          <w:szCs w:val="20"/>
        </w:rPr>
        <w:t>“</w:t>
      </w:r>
      <w:r w:rsidR="001617A3" w:rsidRPr="007114AF">
        <w:rPr>
          <w:i/>
          <w:szCs w:val="20"/>
        </w:rPr>
        <w:t>Nxitja e mënyrave të qëndrueshme të transportit</w:t>
      </w:r>
      <w:r w:rsidRPr="007114AF">
        <w:rPr>
          <w:i/>
          <w:szCs w:val="20"/>
        </w:rPr>
        <w:t>”</w:t>
      </w:r>
      <w:r w:rsidR="0075001B">
        <w:rPr>
          <w:i/>
          <w:szCs w:val="20"/>
        </w:rPr>
        <w:t xml:space="preserve"> </w:t>
      </w:r>
      <w:r w:rsidR="001617A3" w:rsidRPr="007114AF">
        <w:rPr>
          <w:szCs w:val="20"/>
        </w:rPr>
        <w:t>do të thotë krijimi i kushteve që nxitin zgjedhje të sjelljes që shmang përdorimin e automjeteve private. Prandaj duhet zbatuar një sistem multimodal transporti efikas, i sigurt, i aksesueshëm dhe i ndërlidhur, përmes opsioneve, të tilla si përmirësimi i sigurisë dhe cilësisë së transportit për një treg të hapur; përmirësimi i transportit kolektiv; përmirësimi i transportit të kombinueshëm. Ndryshimi i mënyrës së transportit në lëvizshmëri me nivel të ulët karboni ka nevojë për infrastrukturë dhe ndryshim të sjelljes. Prandaj, nxitja e mënyrave të qëndrueshme duhet të mbështetet nga bashkëpunimi i palëve të interesuara, për trajtimin e masave zbutëse, për ndryshimet klimatike.</w:t>
      </w:r>
    </w:p>
    <w:p w14:paraId="6EDD008D" w14:textId="77777777" w:rsidR="001617A3" w:rsidRPr="007114AF" w:rsidRDefault="001617A3" w:rsidP="001617A3">
      <w:pPr>
        <w:pStyle w:val="TEKSTI"/>
        <w:rPr>
          <w:szCs w:val="20"/>
        </w:rPr>
      </w:pPr>
      <w:r w:rsidRPr="007114AF">
        <w:rPr>
          <w:szCs w:val="20"/>
        </w:rPr>
        <w:t xml:space="preserve">Sistemi hekurudhor ka vuajtur për një kohë të gjatë dhe duhet ripërtërirë plotësisht, dhe në një shkallë të gjerë, të rindërtohet nga e para. Rregullat dhe rregullorja duhet të përditësohen, për të përdorur një skemë koncesioni publik-privat. Është shumë e thjeshtë të transportohen mallrat me linjë hekurudhore (nëse kushtet teknike dhe ekonomike janë me fitim), por sjellja dhe zgjedhjet e njerëzve duan kohë më të gjatë të ndryshojnë. Kalimi i pasagjerëve nga përdorimi i makinave private drejt udhëtimit me tren është edhe më i vështirë, sidomos kur ekziston një sistem i përmirësuar rrugor dhe janë të disponueshme makinat e reja. Prandaj </w:t>
      </w:r>
      <w:r w:rsidRPr="007114AF">
        <w:t>PKZNK-ja</w:t>
      </w:r>
      <w:r w:rsidRPr="007114AF">
        <w:rPr>
          <w:szCs w:val="20"/>
        </w:rPr>
        <w:t xml:space="preserve"> sugjeron zhvillimin e një vlerësimi të plotë të transportit hekurudhor, duke marrë në konsideratë ofertën, kërkesën, alternativën e projektit për arritjen e një sistemi rrjeti gradual, koherent, afatgjatë, që me të vërtetë mund të konkurrojë me transportin rrugor për një numër të qëndrueshëm pasagjerësh, siç kërkohet nga kuadri ligjor i BE-së, dhe në përputhje me një skemë të mundshme koncesioni.</w:t>
      </w:r>
    </w:p>
    <w:p w14:paraId="6EDD008E" w14:textId="54B3F143" w:rsidR="001617A3" w:rsidRPr="007114AF" w:rsidRDefault="001617A3" w:rsidP="001617A3">
      <w:pPr>
        <w:pStyle w:val="TEKSTI"/>
        <w:rPr>
          <w:bCs/>
          <w:szCs w:val="20"/>
        </w:rPr>
      </w:pPr>
      <w:r w:rsidRPr="007114AF">
        <w:rPr>
          <w:szCs w:val="20"/>
        </w:rPr>
        <w:t xml:space="preserve">Shumë masa të propozuara për sektorin e transportit i përgjigjen gjithashtu, objektivit politik për </w:t>
      </w:r>
      <w:r w:rsidRPr="007114AF">
        <w:rPr>
          <w:bCs/>
          <w:i/>
        </w:rPr>
        <w:t>Nxitjen e eficiencës së energjis</w:t>
      </w:r>
      <w:r w:rsidRPr="007114AF">
        <w:rPr>
          <w:szCs w:val="20"/>
        </w:rPr>
        <w:t>ë,</w:t>
      </w:r>
      <w:r w:rsidR="000A2A01" w:rsidRPr="007114AF">
        <w:rPr>
          <w:szCs w:val="20"/>
        </w:rPr>
        <w:t xml:space="preserve"> </w:t>
      </w:r>
      <w:r w:rsidRPr="007114AF">
        <w:rPr>
          <w:szCs w:val="20"/>
        </w:rPr>
        <w:t xml:space="preserve">duke pasur parasysh se </w:t>
      </w:r>
      <w:r w:rsidRPr="007114AF">
        <w:rPr>
          <w:bCs/>
        </w:rPr>
        <w:t xml:space="preserve">transporti </w:t>
      </w:r>
      <w:r w:rsidRPr="007114AF">
        <w:rPr>
          <w:szCs w:val="20"/>
        </w:rPr>
        <w:t>është një nënsektor i sektorit të energjisë</w:t>
      </w:r>
      <w:r w:rsidRPr="007114AF">
        <w:rPr>
          <w:bCs/>
        </w:rPr>
        <w:t>.</w:t>
      </w:r>
      <w:r w:rsidR="0075001B">
        <w:rPr>
          <w:bCs/>
        </w:rPr>
        <w:t xml:space="preserve"> </w:t>
      </w:r>
      <w:r w:rsidRPr="007114AF">
        <w:rPr>
          <w:bCs/>
        </w:rPr>
        <w:t>N</w:t>
      </w:r>
      <w:r w:rsidRPr="007114AF">
        <w:rPr>
          <w:szCs w:val="20"/>
        </w:rPr>
        <w:t>ë mënyrë të veçantë, për transportin rrugor nevojiten përpjekje të mëtejshme, për të arritur një standard të qëndrueshmërisë. Masa të tilla përfshijnë: eficiencë më të lartë të energjisë, për shkak të kongjestionit më të ulët në rrugët e bajpasit të Tiranës dhe lidhjes Thumanë - Vorë; eficiencë më të lartë të energjisë,</w:t>
      </w:r>
      <w:r w:rsidR="000A2A01" w:rsidRPr="007114AF">
        <w:rPr>
          <w:szCs w:val="20"/>
        </w:rPr>
        <w:t xml:space="preserve"> </w:t>
      </w:r>
      <w:r w:rsidRPr="007114AF">
        <w:rPr>
          <w:szCs w:val="20"/>
        </w:rPr>
        <w:t>për shkak të kongjestionit më të ulët në rrugët lidhëse të bajpasit të Shkodrës, bajpasit të Lezhës, Vorë-Durrës, bajpasit të Tepelenës, Shkodrës, Bajpasit të Gjirokastrës, bajpasit të Elbasanit, Elbasan - Qafë Thanë; një strategji e re kontraktuale për mirëmbajtjen e rrugëve që shërben për uljen e IRI-t (indeksi ndërkombëtar i ashpërsisë), që lidhet me konsumin e karburantit, duke filluar nga Rrjeti Rrugor Parësor (1390 km). Jo vetëm udhëtarët, por edhe mallrat përdorin sistemin rrugor për të lëvizur e për t</w:t>
      </w:r>
      <w:r w:rsidR="00D10DAB" w:rsidRPr="007114AF">
        <w:rPr>
          <w:szCs w:val="20"/>
        </w:rPr>
        <w:t>’</w:t>
      </w:r>
      <w:r w:rsidRPr="007114AF">
        <w:rPr>
          <w:szCs w:val="20"/>
        </w:rPr>
        <w:t>u shpërndarë në nivel kombëtar ose ndërkombëtar, dhe mund të përfitojnë nga të gjitha masat për përmirësimin e rrugëve</w:t>
      </w:r>
      <w:r w:rsidRPr="007114AF">
        <w:t>. Duke q</w:t>
      </w:r>
      <w:r w:rsidRPr="007114AF">
        <w:rPr>
          <w:szCs w:val="20"/>
        </w:rPr>
        <w:t>enë se lëvizjet e mallrave në portet kombëtare duhet të rriten, dhe lidhjet hekurudhore nuk janë të mjaftueshme</w:t>
      </w:r>
      <w:r w:rsidRPr="007114AF">
        <w:t>, nj</w:t>
      </w:r>
      <w:r w:rsidRPr="007114AF">
        <w:rPr>
          <w:szCs w:val="20"/>
        </w:rPr>
        <w:t>ë përmirësim i faktorit të ngarkesës mund ta nxisë eficiencën e energjisë</w:t>
      </w:r>
      <w:r w:rsidRPr="007114AF">
        <w:t>. Prandaj, TECTQ-a</w:t>
      </w:r>
      <w:r w:rsidR="0075001B">
        <w:t xml:space="preserve"> </w:t>
      </w:r>
      <w:r w:rsidRPr="007114AF">
        <w:t>merr në konsideratë p</w:t>
      </w:r>
      <w:r w:rsidRPr="007114AF">
        <w:rPr>
          <w:szCs w:val="20"/>
        </w:rPr>
        <w:t>ërmirësimin e faktorit të ngarkesës së mallrave përmes kombinimi të veprimeve, si zbatimi i nyjave të përforcuara, zhvillimi i proceseve të menaxhimit të trafikut të integruar</w:t>
      </w:r>
      <w:r w:rsidRPr="007114AF">
        <w:t xml:space="preserve">, etj. </w:t>
      </w:r>
    </w:p>
    <w:p w14:paraId="6EDD008F" w14:textId="61321263" w:rsidR="001617A3" w:rsidRPr="007114AF" w:rsidRDefault="001617A3" w:rsidP="001617A3">
      <w:pPr>
        <w:pStyle w:val="TEKSTI"/>
      </w:pPr>
      <w:r w:rsidRPr="007114AF">
        <w:rPr>
          <w:bCs/>
          <w:szCs w:val="20"/>
        </w:rPr>
        <w:lastRenderedPageBreak/>
        <w:t>Pjesa m</w:t>
      </w:r>
      <w:r w:rsidRPr="007114AF">
        <w:rPr>
          <w:szCs w:val="20"/>
        </w:rPr>
        <w:t xml:space="preserve">ë e madhe e masave të propozuara duhet të mbështeten nga një sistem i fuqishëm MRV-ë, që duhet të monitorojë me kujdes edhe kërkesat e transportit rrugor. Prandaj, masat që kanë si qëllim krijimin e një sistemi për mbledhjen dhe monitorimin e të dhënave, janë theksuar në </w:t>
      </w:r>
      <w:r w:rsidRPr="007114AF">
        <w:t>PKZNK-ë, p</w:t>
      </w:r>
      <w:r w:rsidRPr="007114AF">
        <w:rPr>
          <w:szCs w:val="20"/>
        </w:rPr>
        <w:t>ër të përmbushur objektivat politik</w:t>
      </w:r>
      <w:r w:rsidR="00163F78">
        <w:rPr>
          <w:szCs w:val="20"/>
        </w:rPr>
        <w:t>ë</w:t>
      </w:r>
      <w:r w:rsidRPr="007114AF">
        <w:rPr>
          <w:szCs w:val="20"/>
        </w:rPr>
        <w:t xml:space="preserve"> të parashikuara, për </w:t>
      </w:r>
      <w:r w:rsidR="000A2A01" w:rsidRPr="007114AF">
        <w:rPr>
          <w:szCs w:val="20"/>
        </w:rPr>
        <w:t>“</w:t>
      </w:r>
      <w:r w:rsidRPr="007114AF">
        <w:rPr>
          <w:i/>
        </w:rPr>
        <w:t>Krijimin e sistemeve për mbledhjen e të dhënave dhe MRV-së p</w:t>
      </w:r>
      <w:r w:rsidRPr="007114AF">
        <w:rPr>
          <w:i/>
          <w:szCs w:val="20"/>
        </w:rPr>
        <w:t>ër inventarin vjetor</w:t>
      </w:r>
      <w:r w:rsidR="00203893" w:rsidRPr="007114AF">
        <w:rPr>
          <w:i/>
          <w:szCs w:val="20"/>
        </w:rPr>
        <w:t xml:space="preserve"> </w:t>
      </w:r>
      <w:r w:rsidRPr="007114AF">
        <w:rPr>
          <w:i/>
        </w:rPr>
        <w:t>GES, në përputhje me kërkesat e raportimit të BE-së dhe UNFCCC-së</w:t>
      </w:r>
      <w:r w:rsidRPr="007114AF">
        <w:t>.</w:t>
      </w:r>
      <w:r w:rsidR="000A2A01" w:rsidRPr="007114AF">
        <w:t>”</w:t>
      </w:r>
      <w:r w:rsidRPr="007114AF">
        <w:t>N</w:t>
      </w:r>
      <w:r w:rsidRPr="007114AF">
        <w:rPr>
          <w:szCs w:val="20"/>
        </w:rPr>
        <w:t>ë</w:t>
      </w:r>
      <w:r w:rsidRPr="007114AF">
        <w:t>PKZNK-ën jan</w:t>
      </w:r>
      <w:r w:rsidRPr="007114AF">
        <w:rPr>
          <w:szCs w:val="20"/>
        </w:rPr>
        <w:t xml:space="preserve">ë propozuar gjithashtu masa të rëndësishme që kanë si qëllim: </w:t>
      </w:r>
      <w:r w:rsidRPr="007114AF">
        <w:rPr>
          <w:i/>
        </w:rPr>
        <w:t>Nxitjen e nd</w:t>
      </w:r>
      <w:r w:rsidRPr="007114AF">
        <w:rPr>
          <w:i/>
          <w:szCs w:val="20"/>
        </w:rPr>
        <w:t>ërgjegjësimit dhe</w:t>
      </w:r>
      <w:r w:rsidRPr="007114AF">
        <w:rPr>
          <w:i/>
        </w:rPr>
        <w:t xml:space="preserve"> aktiviteteve edukative, p</w:t>
      </w:r>
      <w:r w:rsidRPr="007114AF">
        <w:rPr>
          <w:i/>
          <w:szCs w:val="20"/>
        </w:rPr>
        <w:t>ër të mbështetur sjelljet që çojnë në ulje të shkarkimeve</w:t>
      </w:r>
      <w:r w:rsidRPr="007114AF">
        <w:t>.</w:t>
      </w:r>
    </w:p>
    <w:p w14:paraId="6EDD0090" w14:textId="77777777" w:rsidR="001617A3" w:rsidRPr="007114AF" w:rsidRDefault="001617A3" w:rsidP="001617A3">
      <w:pPr>
        <w:pStyle w:val="TEKSTI"/>
      </w:pPr>
      <w:r w:rsidRPr="007114AF">
        <w:t>Lista e plot</w:t>
      </w:r>
      <w:r w:rsidRPr="007114AF">
        <w:rPr>
          <w:szCs w:val="20"/>
        </w:rPr>
        <w:t xml:space="preserve">ë e masave për sektorin e transportit jepet në </w:t>
      </w:r>
      <w:r w:rsidRPr="007114AF">
        <w:t>paragrafin 5.6.2 m</w:t>
      </w:r>
      <w:r w:rsidRPr="007114AF">
        <w:rPr>
          <w:szCs w:val="20"/>
        </w:rPr>
        <w:t>ë poshtë</w:t>
      </w:r>
      <w:r w:rsidRPr="007114AF">
        <w:t>.</w:t>
      </w:r>
    </w:p>
    <w:p w14:paraId="6EDD0091" w14:textId="77777777" w:rsidR="001617A3" w:rsidRPr="007114AF" w:rsidRDefault="001617A3" w:rsidP="001617A3">
      <w:pPr>
        <w:pStyle w:val="TEKSTI"/>
        <w:rPr>
          <w:b/>
        </w:rPr>
      </w:pPr>
      <w:bookmarkStart w:id="169" w:name="_Toc484424515"/>
      <w:r w:rsidRPr="007114AF">
        <w:rPr>
          <w:b/>
        </w:rPr>
        <w:t>5.3 Bujqësia</w:t>
      </w:r>
      <w:bookmarkEnd w:id="169"/>
    </w:p>
    <w:p w14:paraId="6EDD0092" w14:textId="6B1D1DB1" w:rsidR="001617A3" w:rsidRPr="007114AF" w:rsidRDefault="001617A3" w:rsidP="001617A3">
      <w:pPr>
        <w:pStyle w:val="TEKSTI"/>
      </w:pPr>
      <w:r w:rsidRPr="007114AF">
        <w:t>Masat e propozuara në PKZNK-ëp</w:t>
      </w:r>
      <w:r w:rsidRPr="007114AF">
        <w:rPr>
          <w:szCs w:val="20"/>
        </w:rPr>
        <w:t>ër sektorin bujqësor në përgjithësi, pajtohen për të përmbushur objektivat kryesor</w:t>
      </w:r>
      <w:r w:rsidR="00163F78">
        <w:rPr>
          <w:szCs w:val="20"/>
        </w:rPr>
        <w:t>ë</w:t>
      </w:r>
      <w:r w:rsidRPr="007114AF">
        <w:rPr>
          <w:szCs w:val="20"/>
        </w:rPr>
        <w:t xml:space="preserve"> të njohura në N</w:t>
      </w:r>
      <w:r w:rsidRPr="007114AF">
        <w:t>CSS-ë, p</w:t>
      </w:r>
      <w:r w:rsidRPr="007114AF">
        <w:rPr>
          <w:szCs w:val="20"/>
        </w:rPr>
        <w:t>ër t</w:t>
      </w:r>
      <w:r w:rsidR="00D10DAB" w:rsidRPr="007114AF">
        <w:rPr>
          <w:szCs w:val="20"/>
        </w:rPr>
        <w:t>’</w:t>
      </w:r>
      <w:r w:rsidRPr="007114AF">
        <w:rPr>
          <w:szCs w:val="20"/>
        </w:rPr>
        <w:t>iu përgjigjur prioriteteve strategjike të identifikuara për zbutjen e ndryshimeve klimatike</w:t>
      </w:r>
      <w:r w:rsidRPr="007114AF">
        <w:t>. Masat e planifikuara sigurojn</w:t>
      </w:r>
      <w:r w:rsidRPr="007114AF">
        <w:rPr>
          <w:szCs w:val="20"/>
        </w:rPr>
        <w:t xml:space="preserve">ë një rritje të zgjuar, të qëndrueshme dhe gjithëpërfshirëse të sektorit të bujqësisë në Shqipëri, në përputhje me kuadrin e Strategjisë </w:t>
      </w:r>
      <w:r w:rsidRPr="007114AF">
        <w:t>E</w:t>
      </w:r>
      <w:r w:rsidR="0075001B">
        <w:t>v</w:t>
      </w:r>
      <w:r w:rsidRPr="007114AF">
        <w:t>rop</w:t>
      </w:r>
      <w:r w:rsidRPr="007114AF">
        <w:rPr>
          <w:szCs w:val="20"/>
        </w:rPr>
        <w:t>ë</w:t>
      </w:r>
      <w:r w:rsidRPr="007114AF">
        <w:t xml:space="preserve"> 2020, si</w:t>
      </w:r>
      <w:r w:rsidR="0075001B">
        <w:t xml:space="preserve"> </w:t>
      </w:r>
      <w:r w:rsidRPr="007114AF">
        <w:t>dhe p</w:t>
      </w:r>
      <w:r w:rsidRPr="007114AF">
        <w:rPr>
          <w:szCs w:val="20"/>
        </w:rPr>
        <w:t>ërputhen mirë me parimet kryesore të Politikës së Përbashkët Bujqësore të BE-së</w:t>
      </w:r>
      <w:r w:rsidRPr="007114AF">
        <w:t xml:space="preserve"> (PBB) 2014</w:t>
      </w:r>
      <w:r w:rsidR="00A03821">
        <w:t>–</w:t>
      </w:r>
      <w:r w:rsidRPr="007114AF">
        <w:t>2020,pasqyruar n</w:t>
      </w:r>
      <w:r w:rsidRPr="007114AF">
        <w:rPr>
          <w:szCs w:val="20"/>
        </w:rPr>
        <w:t>ë Strategjinë Shqiptare për Bujqësinë dhe Zhvillimin R</w:t>
      </w:r>
      <w:r w:rsidRPr="007114AF">
        <w:t>ural</w:t>
      </w:r>
      <w:r w:rsidR="00A03821">
        <w:t xml:space="preserve"> </w:t>
      </w:r>
      <w:r w:rsidRPr="007114AF">
        <w:t>(SNBZHR) dhe Programin e saj p</w:t>
      </w:r>
      <w:r w:rsidRPr="007114AF">
        <w:rPr>
          <w:szCs w:val="20"/>
        </w:rPr>
        <w:t xml:space="preserve">ër Zhvillimin </w:t>
      </w:r>
      <w:r w:rsidRPr="007114AF">
        <w:t>Rural</w:t>
      </w:r>
      <w:r w:rsidR="000C4978">
        <w:t xml:space="preserve"> </w:t>
      </w:r>
      <w:r w:rsidR="00C6608F" w:rsidRPr="007114AF">
        <w:t>2014–2020</w:t>
      </w:r>
      <w:r w:rsidR="000C4978">
        <w:t xml:space="preserve"> </w:t>
      </w:r>
      <w:r w:rsidRPr="007114AF">
        <w:t>(IPARD).</w:t>
      </w:r>
    </w:p>
    <w:p w14:paraId="6EDD0093" w14:textId="083B5E97" w:rsidR="001617A3" w:rsidRPr="007114AF" w:rsidRDefault="001617A3" w:rsidP="001617A3">
      <w:pPr>
        <w:pStyle w:val="TEKSTI"/>
      </w:pPr>
      <w:r w:rsidRPr="007114AF">
        <w:t xml:space="preserve">Masat e propozuara </w:t>
      </w:r>
      <w:r w:rsidRPr="007114AF">
        <w:rPr>
          <w:szCs w:val="20"/>
        </w:rPr>
        <w:t>për bujqësinë</w:t>
      </w:r>
      <w:r w:rsidRPr="007114AF">
        <w:t xml:space="preserve"> n</w:t>
      </w:r>
      <w:r w:rsidRPr="007114AF">
        <w:rPr>
          <w:szCs w:val="20"/>
        </w:rPr>
        <w:t xml:space="preserve">ë </w:t>
      </w:r>
      <w:r w:rsidRPr="007114AF">
        <w:t>PKZNK-ë kan</w:t>
      </w:r>
      <w:r w:rsidRPr="007114AF">
        <w:rPr>
          <w:szCs w:val="20"/>
        </w:rPr>
        <w:t>ë si qëllim përmbushjen në veçanti,</w:t>
      </w:r>
      <w:r w:rsidRPr="007114AF">
        <w:rPr>
          <w:b/>
          <w:szCs w:val="20"/>
        </w:rPr>
        <w:t>të objektivave politik</w:t>
      </w:r>
      <w:r w:rsidR="00163F78">
        <w:rPr>
          <w:b/>
          <w:szCs w:val="20"/>
        </w:rPr>
        <w:t>ë</w:t>
      </w:r>
      <w:r w:rsidRPr="007114AF">
        <w:rPr>
          <w:b/>
          <w:szCs w:val="20"/>
        </w:rPr>
        <w:t xml:space="preserve"> që </w:t>
      </w:r>
      <w:r w:rsidRPr="007114AF">
        <w:rPr>
          <w:b/>
          <w:i/>
        </w:rPr>
        <w:t>nxitin uljen e shkarkimeve për prodhimin e q</w:t>
      </w:r>
      <w:r w:rsidRPr="007114AF">
        <w:rPr>
          <w:b/>
          <w:i/>
          <w:szCs w:val="20"/>
        </w:rPr>
        <w:t xml:space="preserve">ëndrueshëm të ushqimit, ruajnë dhe shtojnë përmbajtjen e karbonit në tokat bujqësore </w:t>
      </w:r>
      <w:r w:rsidRPr="007114AF">
        <w:rPr>
          <w:b/>
          <w:szCs w:val="20"/>
        </w:rPr>
        <w:t xml:space="preserve">dhe, rrjedhimisht, </w:t>
      </w:r>
      <w:r w:rsidRPr="007114AF">
        <w:rPr>
          <w:b/>
          <w:i/>
          <w:szCs w:val="20"/>
        </w:rPr>
        <w:t xml:space="preserve">rritin potencialin e përthithësve të karbonit dhe mbrojtjen e rezervave të karbonit në ekosistemet tokësore, </w:t>
      </w:r>
      <w:r w:rsidRPr="007114AF">
        <w:rPr>
          <w:b/>
          <w:szCs w:val="20"/>
        </w:rPr>
        <w:t>nëpërmjet nxitjes së praktikave të qëndrueshme bujqësore</w:t>
      </w:r>
      <w:r w:rsidRPr="007114AF">
        <w:rPr>
          <w:b/>
        </w:rPr>
        <w:t>, uljes së çrregullimeve t</w:t>
      </w:r>
      <w:r w:rsidRPr="007114AF">
        <w:rPr>
          <w:b/>
          <w:szCs w:val="20"/>
        </w:rPr>
        <w:t>ë tokës, përmirësimit të administrimit</w:t>
      </w:r>
      <w:r w:rsidR="000A2A01" w:rsidRPr="007114AF">
        <w:rPr>
          <w:b/>
          <w:szCs w:val="20"/>
        </w:rPr>
        <w:t xml:space="preserve"> </w:t>
      </w:r>
      <w:r w:rsidRPr="007114AF">
        <w:rPr>
          <w:b/>
          <w:szCs w:val="20"/>
        </w:rPr>
        <w:t>të blegtorisë dhe futjes e mbrojtjes së elementeve a</w:t>
      </w:r>
      <w:r w:rsidRPr="007114AF">
        <w:rPr>
          <w:b/>
        </w:rPr>
        <w:t>gro-pyjore dhe infrastrukturave t</w:t>
      </w:r>
      <w:r w:rsidRPr="007114AF">
        <w:rPr>
          <w:b/>
          <w:szCs w:val="20"/>
        </w:rPr>
        <w:t>ë gjelbra në zonat bujqësore</w:t>
      </w:r>
      <w:r w:rsidRPr="007114AF">
        <w:t>.</w:t>
      </w:r>
      <w:r w:rsidR="000A2A01" w:rsidRPr="007114AF">
        <w:t xml:space="preserve"> </w:t>
      </w:r>
    </w:p>
    <w:p w14:paraId="6EDD0094" w14:textId="054F2B94" w:rsidR="001617A3" w:rsidRPr="007114AF" w:rsidRDefault="001617A3" w:rsidP="001617A3">
      <w:pPr>
        <w:pStyle w:val="TEKSTI"/>
      </w:pPr>
      <w:r w:rsidRPr="007114AF">
        <w:t>Sidoqoft</w:t>
      </w:r>
      <w:r w:rsidRPr="007114AF">
        <w:rPr>
          <w:szCs w:val="20"/>
        </w:rPr>
        <w:t>ë, janë parashikuar gjithashtu masa vendimtare ndërsektoriale me sektorin e energjisë, në mënyrë të veçantë, për të përmbushur objektivat politik</w:t>
      </w:r>
      <w:r w:rsidR="000C4978">
        <w:rPr>
          <w:szCs w:val="20"/>
        </w:rPr>
        <w:t>ë</w:t>
      </w:r>
      <w:r w:rsidRPr="007114AF">
        <w:rPr>
          <w:szCs w:val="20"/>
        </w:rPr>
        <w:t xml:space="preserve"> të </w:t>
      </w:r>
      <w:r w:rsidR="000A2A01" w:rsidRPr="007114AF">
        <w:rPr>
          <w:szCs w:val="20"/>
        </w:rPr>
        <w:t>“</w:t>
      </w:r>
      <w:r w:rsidRPr="007114AF">
        <w:rPr>
          <w:i/>
        </w:rPr>
        <w:t>Nxitjes së Burimeve e Qëndrueshme të Energjisë së Rinovueshme</w:t>
      </w:r>
      <w:r w:rsidR="000A2A01" w:rsidRPr="007114AF">
        <w:rPr>
          <w:i/>
        </w:rPr>
        <w:t>”</w:t>
      </w:r>
      <w:r w:rsidRPr="007114AF">
        <w:rPr>
          <w:i/>
        </w:rPr>
        <w:t>,</w:t>
      </w:r>
      <w:r w:rsidR="0075001B">
        <w:rPr>
          <w:i/>
        </w:rPr>
        <w:t xml:space="preserve"> </w:t>
      </w:r>
      <w:r w:rsidRPr="007114AF">
        <w:t xml:space="preserve">nëpërmjet </w:t>
      </w:r>
      <w:r w:rsidRPr="007114AF">
        <w:rPr>
          <w:b/>
        </w:rPr>
        <w:t xml:space="preserve">nxitjes së përdorimit të qëndrueshëm të mbetjeve bujqësore, për prodhimin e bioenergjisë nga biomasa bujqësore e gjeneratës së dytë, dhe </w:t>
      </w:r>
      <w:r w:rsidR="000A2A01" w:rsidRPr="007114AF">
        <w:rPr>
          <w:b/>
        </w:rPr>
        <w:t>“</w:t>
      </w:r>
      <w:r w:rsidRPr="007114AF">
        <w:rPr>
          <w:b/>
          <w:i/>
        </w:rPr>
        <w:t>Nxitjes së Eficiencës së Energjisë</w:t>
      </w:r>
      <w:r w:rsidR="000A2A01" w:rsidRPr="007114AF">
        <w:rPr>
          <w:b/>
          <w:i/>
        </w:rPr>
        <w:t>”</w:t>
      </w:r>
      <w:r w:rsidRPr="007114AF">
        <w:rPr>
          <w:b/>
          <w:i/>
        </w:rPr>
        <w:t>,</w:t>
      </w:r>
      <w:r w:rsidR="0075001B">
        <w:rPr>
          <w:b/>
          <w:i/>
        </w:rPr>
        <w:t xml:space="preserve"> </w:t>
      </w:r>
      <w:r w:rsidRPr="007114AF">
        <w:rPr>
          <w:b/>
        </w:rPr>
        <w:t>nëpërmjet modernizimit të më shumë pajisjeve bujqësore efikase.</w:t>
      </w:r>
    </w:p>
    <w:p w14:paraId="6EDD0095" w14:textId="586C7918" w:rsidR="001617A3" w:rsidRPr="007114AF" w:rsidRDefault="001617A3" w:rsidP="001617A3">
      <w:pPr>
        <w:pStyle w:val="TEKSTI"/>
        <w:rPr>
          <w:color w:val="333333"/>
          <w:sz w:val="18"/>
          <w:szCs w:val="18"/>
          <w:shd w:val="clear" w:color="auto" w:fill="FFFFFF"/>
        </w:rPr>
      </w:pPr>
      <w:r w:rsidRPr="007114AF">
        <w:t>Vëmendje e veçantë duhet t</w:t>
      </w:r>
      <w:r w:rsidR="00D10DAB" w:rsidRPr="007114AF">
        <w:t>’</w:t>
      </w:r>
      <w:r w:rsidRPr="007114AF">
        <w:t xml:space="preserve">i </w:t>
      </w:r>
      <w:r w:rsidRPr="007114AF">
        <w:rPr>
          <w:b/>
        </w:rPr>
        <w:t>kushtohet prodhimit të biokarbureve</w:t>
      </w:r>
      <w:r w:rsidRPr="007114AF">
        <w:t xml:space="preserve"> për të përmbushur objektivat në masën 10% të penetrimit të biokarbureve në përdorimin e energjisë totale për sektorin e transportit deri në vitin2030 (sipas INDC). Duhen zbatuar masa të veçanta të aktiviteteve përgatitore të rekomanduara tëPKZNK-ëspër vlerësimin e fizibilitetit të zinxhirit të furnizimit të biokarbureve, duke i kushtuar një vëmendje të veçantë disponueshmërisë së tokës së përshtatshme bujqësore, llojit të përshtatshëm të biokarbureve dhe proceseve përkatëse të prodhimit si dhe aktivitete rregullatore, për të siguruar përputhshmëri me Direktivën 2015/1513 të BE-së, </w:t>
      </w:r>
      <w:r w:rsidRPr="007114AF">
        <w:rPr>
          <w:b/>
        </w:rPr>
        <w:t>mbi shmangien e zhvendosjes së prodhimit të ushqimit ose ndryshimit indirekt të përdorimit të tokës.</w:t>
      </w:r>
    </w:p>
    <w:p w14:paraId="6EDD0096" w14:textId="1C860DC7" w:rsidR="001617A3" w:rsidRPr="007114AF" w:rsidRDefault="001617A3" w:rsidP="001617A3">
      <w:pPr>
        <w:pStyle w:val="TEKSTI"/>
      </w:pPr>
      <w:r w:rsidRPr="007114AF">
        <w:t xml:space="preserve">Në përgjithësi, sektori bujqësor vuan nga një mungesë e përgjithshme të dhënash që do të ishin të dobishme për monitorimin e zonave bujqësore dhe kategorizimin e praktikave bujqësore që lejojnë </w:t>
      </w:r>
      <w:r w:rsidRPr="007114AF">
        <w:rPr>
          <w:b/>
        </w:rPr>
        <w:t>edhe vlerësimin e efekteve mbi ndryshimet klimatike.</w:t>
      </w:r>
      <w:r w:rsidR="000C4978">
        <w:rPr>
          <w:b/>
        </w:rPr>
        <w:t xml:space="preserve"> </w:t>
      </w:r>
      <w:r w:rsidRPr="007114AF">
        <w:t xml:space="preserve">Prandaj, në PKZNK-ë janë theksuar masa që synojnë krijimin e një </w:t>
      </w:r>
      <w:r w:rsidRPr="007114AF">
        <w:rPr>
          <w:b/>
        </w:rPr>
        <w:t>sistemi për mbledhjen e të dhënave në nivel ferme në zonat bujqësore</w:t>
      </w:r>
      <w:r w:rsidRPr="007114AF">
        <w:t xml:space="preserve"> dhe praktikat me bazë vjetore për monitorimin e GES-it, me qëllim përmbushjen e objektivave politik</w:t>
      </w:r>
      <w:r w:rsidR="00163F78">
        <w:t>ë</w:t>
      </w:r>
      <w:r w:rsidRPr="007114AF">
        <w:t xml:space="preserve"> të parashikuar për </w:t>
      </w:r>
      <w:r w:rsidR="00163F78">
        <w:t>“</w:t>
      </w:r>
      <w:r w:rsidRPr="007114AF">
        <w:rPr>
          <w:b/>
          <w:i/>
        </w:rPr>
        <w:t>Ngritjen e sistemeve të mbledhjes së të dhënave dhe sistemeve MRV, për inventarin vjetor të GES në përputhje me kërkesat e raportimit</w:t>
      </w:r>
      <w:r w:rsidRPr="007114AF">
        <w:rPr>
          <w:i/>
        </w:rPr>
        <w:t xml:space="preserve"> të BE-së dhe UNFCCC-ë</w:t>
      </w:r>
      <w:r w:rsidR="000A2A01" w:rsidRPr="007114AF">
        <w:rPr>
          <w:i/>
        </w:rPr>
        <w:t>”</w:t>
      </w:r>
      <w:r w:rsidRPr="007114AF">
        <w:t xml:space="preserve">. Sistemi duhet të ndërtohet në mënyrë të tillë që të jetë në përputhje me një sistem të ardhshëm informacioni të parcelave të tokave (LPIS) të përdorur në </w:t>
      </w:r>
      <w:r w:rsidRPr="007114AF">
        <w:lastRenderedPageBreak/>
        <w:t>kuadrin e</w:t>
      </w:r>
      <w:r w:rsidR="000C4978">
        <w:t xml:space="preserve"> </w:t>
      </w:r>
      <w:r w:rsidRPr="007114AF">
        <w:t xml:space="preserve">PBB-ës. PKZNK-ja propozon gjithashtu, masa të rëndësishme që synojnë: </w:t>
      </w:r>
      <w:r w:rsidRPr="007114AF">
        <w:rPr>
          <w:i/>
        </w:rPr>
        <w:t>Nxitjen e aktiviteteve të ndërgjegjësimit dhe atyre edukative që mbështetin sjelljet që çojnë në uljen e shkarkimeve</w:t>
      </w:r>
      <w:r w:rsidRPr="007114AF">
        <w:t>.</w:t>
      </w:r>
    </w:p>
    <w:p w14:paraId="6EDD0097" w14:textId="174C9A01" w:rsidR="001617A3" w:rsidRPr="007114AF" w:rsidRDefault="001617A3" w:rsidP="001617A3">
      <w:pPr>
        <w:pStyle w:val="TEKSTI"/>
      </w:pPr>
      <w:r w:rsidRPr="007114AF">
        <w:t>Lista e plotë e masave për sektorin bujqësor pasqyrohet në paragrafin 5.6.3</w:t>
      </w:r>
      <w:r w:rsidR="000A2A01" w:rsidRPr="007114AF">
        <w:t xml:space="preserve"> </w:t>
      </w:r>
      <w:r w:rsidRPr="007114AF">
        <w:t>më poshtë.</w:t>
      </w:r>
    </w:p>
    <w:p w14:paraId="6EDD0098" w14:textId="29C91886" w:rsidR="001617A3" w:rsidRPr="007114AF" w:rsidRDefault="001617A3" w:rsidP="001617A3">
      <w:pPr>
        <w:pStyle w:val="TEKSTI"/>
        <w:rPr>
          <w:b/>
        </w:rPr>
      </w:pPr>
      <w:bookmarkStart w:id="170" w:name="_Toc484424516"/>
      <w:r w:rsidRPr="007114AF">
        <w:rPr>
          <w:b/>
        </w:rPr>
        <w:t xml:space="preserve">5.4 Ndryshimi i </w:t>
      </w:r>
      <w:r w:rsidR="000C4978" w:rsidRPr="007114AF">
        <w:rPr>
          <w:b/>
        </w:rPr>
        <w:t>përdorimit të tokës dhe pyjeve</w:t>
      </w:r>
      <w:bookmarkEnd w:id="170"/>
    </w:p>
    <w:p w14:paraId="6EDD0099" w14:textId="69F2C474" w:rsidR="001617A3" w:rsidRPr="007114AF" w:rsidRDefault="001617A3" w:rsidP="001617A3">
      <w:pPr>
        <w:pStyle w:val="TEKSTI"/>
      </w:pPr>
      <w:r w:rsidRPr="007114AF">
        <w:t>Masat e propozuara në PKZNK-ë për sektorin LUCF-ë garantojnë përmbushjen e përgjithshme të objektivave politik</w:t>
      </w:r>
      <w:r w:rsidR="00163F78">
        <w:t>ë</w:t>
      </w:r>
      <w:r w:rsidRPr="007114AF">
        <w:t xml:space="preserve"> kryesor</w:t>
      </w:r>
      <w:r w:rsidR="00163F78">
        <w:t>ë</w:t>
      </w:r>
      <w:r w:rsidRPr="007114AF">
        <w:t xml:space="preserve"> të njohura në NCSS-ë, për t</w:t>
      </w:r>
      <w:r w:rsidR="00D10DAB" w:rsidRPr="007114AF">
        <w:t>’</w:t>
      </w:r>
      <w:r w:rsidRPr="007114AF">
        <w:t xml:space="preserve">iu përgjigjur prioriteteve strategjike të identifikuara për zbutjen e ndryshimeve klimatike. Sektori shqiptar i përdorimi të tokës dhe pyjeve është shfrytëzuar mbi kapacitet në dekadat e fundit dhe tani po rregullohet me projektligjin e propozuar mbi Administrimin e Fondit Kombëtar të Pyjeve në Republikën e Shqipërisë, me qëllim krijimin e një rruge që të çon drejt një administrimi të qëndrueshëm të pyjeve dhe të përdorimit të tokës, si dhe me qëllim për ta kaluar sektorin nga një burim neto në një përthithës neto karboni. Për të përmbushur objektivin e </w:t>
      </w:r>
      <w:r w:rsidR="000A2A01" w:rsidRPr="007114AF">
        <w:t>“</w:t>
      </w:r>
      <w:r w:rsidRPr="007114AF">
        <w:rPr>
          <w:i/>
        </w:rPr>
        <w:t>Rritjes së potencialit të përthithësve të karbonit dhe mbrojtjes</w:t>
      </w:r>
      <w:r w:rsidR="000C4978">
        <w:rPr>
          <w:i/>
        </w:rPr>
        <w:t xml:space="preserve"> </w:t>
      </w:r>
      <w:r w:rsidRPr="007114AF">
        <w:rPr>
          <w:i/>
        </w:rPr>
        <w:t>së stoqeve të karbonit në ekosistemet tokësore</w:t>
      </w:r>
      <w:r w:rsidRPr="007114AF">
        <w:t xml:space="preserve"> dhe </w:t>
      </w:r>
      <w:r w:rsidRPr="007114AF">
        <w:rPr>
          <w:rFonts w:cs="Calibri"/>
          <w:i/>
        </w:rPr>
        <w:t>Reduktimit të zjarreve</w:t>
      </w:r>
      <w:r w:rsidRPr="007114AF">
        <w:rPr>
          <w:i/>
        </w:rPr>
        <w:t xml:space="preserve"> në pyje</w:t>
      </w:r>
      <w:r w:rsidR="000A2A01" w:rsidRPr="007114AF">
        <w:rPr>
          <w:i/>
        </w:rPr>
        <w:t>”</w:t>
      </w:r>
      <w:r w:rsidRPr="007114AF">
        <w:rPr>
          <w:i/>
        </w:rPr>
        <w:t>,</w:t>
      </w:r>
      <w:r w:rsidRPr="007114AF">
        <w:t xml:space="preserve"> masat e veçanta përfshijnë nxitjen e administrimit të qëndrueshëm të pyjeve dhe kullotave, rritjen e zonave të mbrojtura dhe pyjeve, si dhe rritjen e mbrojtjes së zonave ekzistuese, përtëritjen e tokave të degraduara dhe të dëmtuara, parandalimin e zjarreve dhe zbatimin e masave të nevojshme për zhdukjen e shpejtë të tyre.</w:t>
      </w:r>
    </w:p>
    <w:p w14:paraId="6EDD009A" w14:textId="297FEF52" w:rsidR="001617A3" w:rsidRPr="007114AF" w:rsidRDefault="001617A3" w:rsidP="001617A3">
      <w:pPr>
        <w:pStyle w:val="TEKSTI"/>
      </w:pPr>
      <w:r w:rsidRPr="007114AF">
        <w:t>Për më tepër, janë parashikuar gjithashtu, masa ndërsektoriale me sektorin e energjisë, në veçanti për përmbushjen e objektivave politik</w:t>
      </w:r>
      <w:r w:rsidR="00163F78">
        <w:t>ë</w:t>
      </w:r>
      <w:r w:rsidRPr="007114AF">
        <w:t xml:space="preserve"> të </w:t>
      </w:r>
      <w:r w:rsidR="000A2A01" w:rsidRPr="007114AF">
        <w:t>“</w:t>
      </w:r>
      <w:r w:rsidRPr="007114AF">
        <w:rPr>
          <w:i/>
        </w:rPr>
        <w:t xml:space="preserve">Nxitjes së eficiencës së energjisë, </w:t>
      </w:r>
      <w:r w:rsidRPr="007114AF">
        <w:t xml:space="preserve">si dhe </w:t>
      </w:r>
      <w:r w:rsidRPr="007114AF">
        <w:rPr>
          <w:i/>
        </w:rPr>
        <w:t>Nxitjes së</w:t>
      </w:r>
      <w:r w:rsidR="000A2A01" w:rsidRPr="007114AF">
        <w:rPr>
          <w:i/>
        </w:rPr>
        <w:t xml:space="preserve"> </w:t>
      </w:r>
      <w:r w:rsidRPr="007114AF">
        <w:rPr>
          <w:i/>
        </w:rPr>
        <w:t>Burimeve të Qëndrueshme të Energjisë së Rinovueshme</w:t>
      </w:r>
      <w:r w:rsidR="000A2A01" w:rsidRPr="007114AF">
        <w:rPr>
          <w:i/>
        </w:rPr>
        <w:t>”</w:t>
      </w:r>
      <w:r w:rsidR="000C4978">
        <w:rPr>
          <w:i/>
        </w:rPr>
        <w:t xml:space="preserve"> </w:t>
      </w:r>
      <w:r w:rsidRPr="007114AF">
        <w:t>që kanë për qëllim një përdorim të qëndrueshëm të pyjeve për të reduktuar shfrytëzimin e pyjeve dhe për të përmirësuar përdorimin e teknologjisë së drurit, me anë të futjes së teknikave dhe pajisjeve teknologjike moderne, për të reduktuar sasinë e biomasës që mbetet aktualisht në pyje nga pemët e shfrytëzuara dhe teknologjitë e përmirësuara në djegien e druve,</w:t>
      </w:r>
      <w:r w:rsidR="000A2A01" w:rsidRPr="007114AF">
        <w:t xml:space="preserve"> </w:t>
      </w:r>
      <w:r w:rsidRPr="007114AF">
        <w:t xml:space="preserve">për të rritur eficiencën e procesit të përdorimit të druve për ngrohje dhe gatim. </w:t>
      </w:r>
    </w:p>
    <w:p w14:paraId="6EDD009B" w14:textId="1E1CA210" w:rsidR="001617A3" w:rsidRPr="007114AF" w:rsidRDefault="001617A3" w:rsidP="001617A3">
      <w:pPr>
        <w:pStyle w:val="TEKSTI"/>
      </w:pPr>
      <w:r w:rsidRPr="007114AF">
        <w:t>Pavarësisht krijimit të bazës së të dhënave për pyjet, administrimi i pyjeve dhe kullotave i parashikuar në projektligjin për pyjet dhe kullotat, në momentin e mbledhjes së të dhënave mbi përdorimin e tokës dhe ndryshimit të përdorimit të tokës, mbetet një aset i munguar që mund të luajë rol kyç në monitorim, për të mundësuar vlerësimin e efekteve të aktiviteteve dhe ndryshimeve të përdorimit të tokës mbi ndryshimet klimatike. Prandaj, në PKZNK-ë janë theksuar masa që synojnë krijimin e një sistemi për mbledhjen e të dhënave në sektorin LUCF-ë</w:t>
      </w:r>
      <w:r w:rsidR="000C4978">
        <w:t xml:space="preserve"> </w:t>
      </w:r>
      <w:r w:rsidRPr="007114AF">
        <w:t>për monitorimin e shkarkimeve GES, për të përmbushur objektivat politik</w:t>
      </w:r>
      <w:r w:rsidR="009B0B46">
        <w:t>ë</w:t>
      </w:r>
      <w:r w:rsidRPr="007114AF">
        <w:t xml:space="preserve"> të parashikuar, për </w:t>
      </w:r>
      <w:r w:rsidR="000A2A01" w:rsidRPr="007114AF">
        <w:t>“</w:t>
      </w:r>
      <w:r w:rsidRPr="007114AF">
        <w:rPr>
          <w:i/>
        </w:rPr>
        <w:t>Ngritjen e sistemeve për mbledhjen e të dhënave dhe sistemeve MRV për inventarin vjetor të GES, në përputhje me kërkesat e raportimit të BE-së dhe UNFCCC-ë</w:t>
      </w:r>
      <w:r w:rsidR="000A2A01" w:rsidRPr="007114AF">
        <w:rPr>
          <w:i/>
        </w:rPr>
        <w:t>”</w:t>
      </w:r>
      <w:r w:rsidRPr="007114AF">
        <w:t xml:space="preserve">. PKZNK-ja propozon gjithashtu, masa të rëndësishme që synojnë </w:t>
      </w:r>
      <w:r w:rsidR="000A2A01" w:rsidRPr="007114AF">
        <w:t>“</w:t>
      </w:r>
      <w:r w:rsidRPr="007114AF">
        <w:rPr>
          <w:i/>
        </w:rPr>
        <w:t>Nxitjen e aktiviteteve të ndërgjegjësimit dhe atyre edukative që mbështetin aktivitetet e reduktimit të shkarkimeve dhe Forcimin e kapaciteteve të institucioneve përkatëse dhe bashkëpunimin ndërinstitucional për trajtimin e zbutjes së ndryshimeve klimatike</w:t>
      </w:r>
      <w:r w:rsidRPr="007114AF">
        <w:t>.</w:t>
      </w:r>
      <w:r w:rsidR="000A2A01" w:rsidRPr="007114AF">
        <w:t>”</w:t>
      </w:r>
    </w:p>
    <w:p w14:paraId="6EDD009C" w14:textId="77777777" w:rsidR="001617A3" w:rsidRPr="007114AF" w:rsidRDefault="001617A3" w:rsidP="001617A3">
      <w:pPr>
        <w:pStyle w:val="TEKSTI"/>
      </w:pPr>
      <w:r w:rsidRPr="007114AF">
        <w:t>Lista e plotë e masave për sektorin bujqësor pasqyrohet në paragrafin 5.6.4 më poshtë.</w:t>
      </w:r>
    </w:p>
    <w:p w14:paraId="6EDD009D" w14:textId="77777777" w:rsidR="001617A3" w:rsidRPr="007114AF" w:rsidRDefault="001617A3" w:rsidP="001617A3">
      <w:pPr>
        <w:pStyle w:val="TEKSTI"/>
        <w:rPr>
          <w:b/>
        </w:rPr>
      </w:pPr>
      <w:bookmarkStart w:id="171" w:name="_Toc484424517"/>
      <w:r w:rsidRPr="007114AF">
        <w:rPr>
          <w:b/>
        </w:rPr>
        <w:t>5.5 Sistemi kombëtar për matjen/monitorimin dhe raportimin</w:t>
      </w:r>
      <w:bookmarkEnd w:id="171"/>
    </w:p>
    <w:p w14:paraId="6EDD009E" w14:textId="77777777" w:rsidR="001617A3" w:rsidRPr="007114AF" w:rsidRDefault="001617A3" w:rsidP="001617A3">
      <w:pPr>
        <w:pStyle w:val="TEKSTI"/>
      </w:pPr>
      <w:r w:rsidRPr="007114AF">
        <w:t xml:space="preserve">Për një zbatim të suksesshëm të detyrimit të monitorimit dhe raportimit në kuadrin e UNFCCC-ës, BE-së dhe në të ardhmen në kuadrin e Marrëveshjes së Parisit, nevojitet një kuadër kombëtar qeverisjeje, në mënyrë që të promovohet bashkërendimi dhe bashkëpunimi i fortë ndërmjet niveleve të shumta të vendimmarrjes, përfshirë partnerë, palë të interesuara dhe sektorë, në mënyrë që të krijohen marrëveshje institucionale efektive për planifikim. </w:t>
      </w:r>
    </w:p>
    <w:p w14:paraId="6EDD009F" w14:textId="2939B867" w:rsidR="001617A3" w:rsidRPr="007114AF" w:rsidRDefault="001617A3" w:rsidP="001617A3">
      <w:pPr>
        <w:pStyle w:val="TEKSTI"/>
      </w:pPr>
      <w:r w:rsidRPr="007114AF">
        <w:t>Intensifikimi i kërkesave të raportimit në kuadrin e UNFCCC-ës</w:t>
      </w:r>
      <w:r w:rsidR="000C4978">
        <w:t xml:space="preserve"> </w:t>
      </w:r>
      <w:r w:rsidRPr="007114AF">
        <w:t>përmes raporteve të përditësuara dyvjeçare (BURs) dhe hapi i mëtejshëm drejt raportimit vjetor në kuadrin e BE-së, paraqet një mundësi që Shqipëria të krijojë më shumë vazhdimësi në drejtim të bashkëpunimit, shkëmbimit të informacionit dhe mirëmbajtjes së kapaciteteve, si dhe një mundësi për të krijuar marrëveshje institucionale që mund të mbështeten me kalimin e kohës.</w:t>
      </w:r>
    </w:p>
    <w:p w14:paraId="6EDD00A0" w14:textId="77777777" w:rsidR="001617A3" w:rsidRPr="007114AF" w:rsidRDefault="001617A3" w:rsidP="001617A3">
      <w:pPr>
        <w:pStyle w:val="TEKSTI"/>
      </w:pPr>
      <w:r w:rsidRPr="007114AF">
        <w:t xml:space="preserve">Marrëveshja institucionale duhet të jetë e projektuar mirë, për të përcaktuar qartë rolet dhe përgjegjësitë e partnerëve të ndryshëm, me qëllim që të kontribuojë në fund në raportet politike </w:t>
      </w:r>
      <w:r w:rsidRPr="007114AF">
        <w:lastRenderedPageBreak/>
        <w:t>që lidhin veprimet klimatike me prioritetet kombëtare të zhvillimit dhe mbështetin zbatimin e UNFCCC-ës në nivele kombëtare dhe vendore nëpërmjet:</w:t>
      </w:r>
    </w:p>
    <w:p w14:paraId="6EDD00A1" w14:textId="74A4337A" w:rsidR="001617A3" w:rsidRPr="007114AF" w:rsidRDefault="00CF2A42" w:rsidP="001617A3">
      <w:pPr>
        <w:pStyle w:val="TEKSTI"/>
      </w:pPr>
      <w:r w:rsidRPr="007114AF">
        <w:t xml:space="preserve">1. </w:t>
      </w:r>
      <w:r w:rsidR="001617A3" w:rsidRPr="007114AF">
        <w:t>Krijimit të enteve kombëtare bashkërenduese</w:t>
      </w:r>
      <w:r w:rsidR="000A2A01" w:rsidRPr="007114AF">
        <w:t xml:space="preserve"> </w:t>
      </w:r>
      <w:r w:rsidR="001617A3" w:rsidRPr="007114AF">
        <w:t>me drejtim të fortë në fushën e ndryshimeve klimatike, që angazhojnë një gamë të gjerë të palëve të interesuara, përfshirë politikëbërësit, përfaqësuesit sektorialë (nga sektori privat), komunitetin kërkimor dhe shoqërinë civile.</w:t>
      </w:r>
    </w:p>
    <w:p w14:paraId="6EDD00A2" w14:textId="77777777" w:rsidR="001617A3" w:rsidRPr="007114AF" w:rsidRDefault="00CF2A42" w:rsidP="001617A3">
      <w:pPr>
        <w:pStyle w:val="TEKSTI"/>
      </w:pPr>
      <w:r w:rsidRPr="007114AF">
        <w:t xml:space="preserve">2. </w:t>
      </w:r>
      <w:r w:rsidR="001617A3" w:rsidRPr="007114AF">
        <w:t>Krijimit të sistemit të të dhënave që siguron mbledhjen dhe disponueshmërinë e të dhënave që lidhen me politikat, si dhe të dhëna dhe informacion të besueshëm.</w:t>
      </w:r>
    </w:p>
    <w:p w14:paraId="6EDD00A3" w14:textId="77777777" w:rsidR="001617A3" w:rsidRPr="007114AF" w:rsidRDefault="001617A3" w:rsidP="001617A3">
      <w:pPr>
        <w:pStyle w:val="TEKSTI"/>
      </w:pPr>
      <w:r w:rsidRPr="007114AF">
        <w:t>Për më tepër, është thelbësore mbështetja e sistemit me ngritjen teknike dhe institucionale të kapaciteteve, përmes trajnimeve të aktorëve kombëtarë, duke i bërë publikisht të disponueshme të dhënat dhe informacionin, si dhe duke mbajtur një ekip të fortë, të motivuar dhe të qëndrueshëm zyrtarësh publikë për të ruajtur kapacitetet institucionale.</w:t>
      </w:r>
    </w:p>
    <w:p w14:paraId="6EDD00A4" w14:textId="738ABD0F" w:rsidR="001617A3" w:rsidRPr="007114AF" w:rsidRDefault="001617A3" w:rsidP="001617A3">
      <w:pPr>
        <w:pStyle w:val="TEKSTI"/>
      </w:pPr>
      <w:r w:rsidRPr="007114AF">
        <w:t xml:space="preserve">Për këtë qëllim, Projektligji për Ndryshimet Klimatike, së bashku me Projektvendimin e Këshillit të Ministrave (VKM) mbi </w:t>
      </w:r>
      <w:r w:rsidR="000A2A01" w:rsidRPr="007114AF">
        <w:t>“</w:t>
      </w:r>
      <w:r w:rsidRPr="007114AF">
        <w:rPr>
          <w:i/>
        </w:rPr>
        <w:t>Monitorimin dhe raportimin e shkarkimeve GES</w:t>
      </w:r>
      <w:r w:rsidR="000C4978">
        <w:rPr>
          <w:i/>
        </w:rPr>
        <w:t xml:space="preserve"> </w:t>
      </w:r>
      <w:r w:rsidRPr="007114AF">
        <w:rPr>
          <w:i/>
        </w:rPr>
        <w:t>dhe informacioneve të tjera që lidhen me ndryshimet klimatike në nivelin kombëtar, përfshirë procedurat përkatëse dhe afatin kohor</w:t>
      </w:r>
      <w:r w:rsidR="000A2A01" w:rsidRPr="007114AF">
        <w:t>”</w:t>
      </w:r>
      <w:r w:rsidRPr="007114AF">
        <w:t>,</w:t>
      </w:r>
      <w:r w:rsidR="000C4978">
        <w:t xml:space="preserve"> </w:t>
      </w:r>
      <w:r w:rsidRPr="007114AF">
        <w:t>përshkruajnë kuadrin e përgjithshëm të sistemit kombëtar shqiptar për matjen/monitorimin dhe raportimin. Drafti i VKM-ës</w:t>
      </w:r>
      <w:r w:rsidR="000C4978">
        <w:t xml:space="preserve"> </w:t>
      </w:r>
      <w:r w:rsidRPr="007114AF">
        <w:t>po transferon në kuadrin ligjor kombëtar</w:t>
      </w:r>
      <w:r w:rsidR="000C4978">
        <w:t xml:space="preserve"> </w:t>
      </w:r>
      <w:r w:rsidRPr="007114AF">
        <w:t>dispozitat e Rregullores së BE-së</w:t>
      </w:r>
      <w:r w:rsidR="00242009" w:rsidRPr="007114AF">
        <w:t xml:space="preserve"> nr. </w:t>
      </w:r>
      <w:r w:rsidRPr="007114AF">
        <w:t xml:space="preserve">525/2013 mbi </w:t>
      </w:r>
      <w:r w:rsidR="000A2A01" w:rsidRPr="007114AF">
        <w:t>“</w:t>
      </w:r>
      <w:r w:rsidRPr="007114AF">
        <w:rPr>
          <w:i/>
        </w:rPr>
        <w:t>Krijimin e një mekanizmi për monitorimin dhe raportimin tek autoritetet kompetente kombëtare mbi shkarkimet e gazeve serrë dhe informacione të tjera lidhur me ndryshimet klimatike</w:t>
      </w:r>
      <w:r w:rsidR="000A2A01" w:rsidRPr="007114AF">
        <w:t>”</w:t>
      </w:r>
      <w:r w:rsidRPr="007114AF">
        <w:t>, që</w:t>
      </w:r>
      <w:r w:rsidR="000C4978">
        <w:t xml:space="preserve"> </w:t>
      </w:r>
      <w:r w:rsidRPr="007114AF">
        <w:t xml:space="preserve">lidhen me Shqipërinë, si jopalë e </w:t>
      </w:r>
      <w:r w:rsidR="000C4978" w:rsidRPr="007114AF">
        <w:t xml:space="preserve">aneksit </w:t>
      </w:r>
      <w:r w:rsidRPr="007114AF">
        <w:t>1.</w:t>
      </w:r>
    </w:p>
    <w:p w14:paraId="6EDD00A5" w14:textId="77777777" w:rsidR="001617A3" w:rsidRPr="007114AF" w:rsidRDefault="001617A3" w:rsidP="001617A3">
      <w:pPr>
        <w:pStyle w:val="TEKSTI"/>
      </w:pPr>
      <w:r w:rsidRPr="007114AF">
        <w:t>Sistemi është nën përgjegjësinë e Ministrisë së Turizmit dhe Mjedisit, që është pika e komunikimit me UNFCCC-ë, pra, përgjegjëse për bashkërendimin e përgjithshëm në fushën e ndryshimeve klimatike. Autoriteti kombëtar kompetent për inventarin, përgjegjës për detyrën e përpilimit të inventarit GES, është Agjencia Kombëtare e Mjedisit (AKM). AKM-ja do të mbledhë dhe mbajë të dhëna dhe informacione që lidhen me klimën në fushën e: industrive të energjisë, industrive të prodhimit, ndërtimit, karburanteve, minierave dhe gjeologjisë, pyjeve, bujqësisë dhe mbarështimit, administrimit të ujërave, administrimit të mbetjeve, shëndetësisë, transportit, infrastrukturës (përfshirë infrastrukturën rrugore dhe hekurudhore, portet, aeroportet, gazsjellësit, digat, ujin dhe kanalizimet), planifikimit urban, administrimit të tokës, turizmit, arsimit, emergjencave dhe fatkeqësive natyrore.</w:t>
      </w:r>
    </w:p>
    <w:p w14:paraId="6EDD00A6" w14:textId="491F4EB0" w:rsidR="001617A3" w:rsidRPr="007114AF" w:rsidRDefault="001617A3" w:rsidP="001617A3">
      <w:pPr>
        <w:pStyle w:val="TEKSTI"/>
      </w:pPr>
      <w:r w:rsidRPr="007114AF">
        <w:t>Gjithë institucionet dhe operatorët publike dhe private, aktivitetet e të cilëve u përkasin fushave të përmendura më parë, organizojnë dhe mbajnë të dhënat e tyre klimatike dhe ia raportojnë ato MM-ës</w:t>
      </w:r>
      <w:r w:rsidR="000C4978">
        <w:t xml:space="preserve"> </w:t>
      </w:r>
      <w:r w:rsidRPr="007114AF">
        <w:t xml:space="preserve">dhe AKM-ës, bashkë me raportet mbi masat e marra ose që planifikohen të merren për monitorimin, zbutjen dhe përshtatjen ndaj ndryshimeve klimatike të shkarkimeve të tyre GES, siç tregohet </w:t>
      </w:r>
      <w:r w:rsidR="000C4978" w:rsidRPr="007114AF">
        <w:t>në ligjin mbi ndryshimet klimatike</w:t>
      </w:r>
      <w:r w:rsidRPr="007114AF">
        <w:t>. Ministri të tjera të linjës, që nuk kanë të bëjnë me sektorët e mësipërm dhe institucione publike dhe private, si universitetet dhe institutet kërkimore, mund të kontribuojnë gjithashtu me të dhënat përkatëse, me kërkesë të ministrisë.</w:t>
      </w:r>
    </w:p>
    <w:p w14:paraId="6EDD00A7" w14:textId="77777777" w:rsidR="001617A3" w:rsidRPr="007114AF" w:rsidRDefault="001617A3" w:rsidP="001617A3">
      <w:pPr>
        <w:pStyle w:val="TEKSTI"/>
      </w:pPr>
      <w:r w:rsidRPr="007114AF">
        <w:t xml:space="preserve">Për të lehtësuar mbledhjen e të dhënave dhe shkëmbimin e informacionit, është emëruar një ekspert i brendshëm për secilën ministri të linjës dhe është përfshirë në </w:t>
      </w:r>
      <w:r w:rsidRPr="007114AF">
        <w:rPr>
          <w:i/>
        </w:rPr>
        <w:t xml:space="preserve">grupin </w:t>
      </w:r>
      <w:r w:rsidRPr="007114AF">
        <w:t>ad-hoc</w:t>
      </w:r>
      <w:r w:rsidRPr="007114AF">
        <w:rPr>
          <w:i/>
        </w:rPr>
        <w:t xml:space="preserve"> ndërministror të punës në fushën e ndryshimeve klimatike, </w:t>
      </w:r>
      <w:r w:rsidRPr="007114AF">
        <w:t>për nxitjen e bashkërendimit brenda ministrive të linjës, si dhe për të siguruar dërgimin si duhet të të dhënave në MTM dhe AKM-ë.</w:t>
      </w:r>
    </w:p>
    <w:p w14:paraId="6EDD00A8" w14:textId="141EEEEE" w:rsidR="001617A3" w:rsidRPr="007114AF" w:rsidRDefault="001617A3" w:rsidP="001617A3">
      <w:pPr>
        <w:pStyle w:val="TEKSTI"/>
      </w:pPr>
      <w:r w:rsidRPr="007114AF">
        <w:t>AKM-ja do t</w:t>
      </w:r>
      <w:r w:rsidR="00D10DAB" w:rsidRPr="007114AF">
        <w:t>’</w:t>
      </w:r>
      <w:r w:rsidRPr="007114AF">
        <w:t>i paraqesë në mënyrë periodike Grupit Ndërministror të Punës, gjendjen e inventarit GES, për informacion dhe reagim nga ana e tyre. Nëse vihen re boshllëqe në të dhëna, referuesit ftohen ta informojnë ministrinë për marrjen e masave për t</w:t>
      </w:r>
      <w:r w:rsidR="00D10DAB" w:rsidRPr="007114AF">
        <w:t>’</w:t>
      </w:r>
      <w:r w:rsidRPr="007114AF">
        <w:t>i plotësuar këto boshllëqe të të dhënave.</w:t>
      </w:r>
    </w:p>
    <w:p w14:paraId="6EDD00A9" w14:textId="77777777" w:rsidR="001617A3" w:rsidRPr="00FD5AD9" w:rsidRDefault="001617A3" w:rsidP="001617A3">
      <w:pPr>
        <w:pStyle w:val="TEKSTI"/>
      </w:pPr>
      <w:r w:rsidRPr="007114AF">
        <w:t xml:space="preserve">Masat që lidhen me monitorimin, matjen dhe raportimin e aktiviteteve të përfshira në </w:t>
      </w:r>
      <w:r w:rsidRPr="00FD5AD9">
        <w:t>PKZNK-ë janë nxjerrë nga Projektligji mbi Ndryshimet Klimatike dhe vendimi i tij për dispozitat e monitorimit, si dhe nga planet dhe strategjitë sektoriale. Tabela 17 më poshtë, pasqyron një listë masash. Referenca dhe përshkrimi i plotë raportohen në paragrafin 5.6 më poshtë.</w:t>
      </w:r>
    </w:p>
    <w:p w14:paraId="6EDD00AA" w14:textId="77777777" w:rsidR="001617A3" w:rsidRPr="00FD5AD9" w:rsidRDefault="001617A3" w:rsidP="001617A3">
      <w:pPr>
        <w:pStyle w:val="TEKSTI"/>
      </w:pPr>
      <w:r w:rsidRPr="00FD5AD9">
        <w:t>Duhet ndërmarrë një rishikim i mëtejshëm i veprimeve në PKZNK-ë, në përputhje me versionin përfundimtar të ligjit dhe vendimit.</w:t>
      </w:r>
    </w:p>
    <w:p w14:paraId="6EDD00AB" w14:textId="77777777" w:rsidR="00A45C8C" w:rsidRPr="00FD5AD9" w:rsidRDefault="00A45C8C" w:rsidP="00A45C8C">
      <w:pPr>
        <w:pStyle w:val="FIGURA"/>
        <w:rPr>
          <w:sz w:val="20"/>
          <w:szCs w:val="20"/>
        </w:rPr>
      </w:pPr>
    </w:p>
    <w:p w14:paraId="6EDD00AC" w14:textId="511A9F36" w:rsidR="008A4207" w:rsidRPr="00FD5AD9" w:rsidRDefault="001617A3" w:rsidP="00A45C8C">
      <w:pPr>
        <w:pStyle w:val="FIGURA"/>
        <w:rPr>
          <w:sz w:val="20"/>
          <w:szCs w:val="20"/>
        </w:rPr>
      </w:pPr>
      <w:r w:rsidRPr="00FD5AD9">
        <w:rPr>
          <w:sz w:val="20"/>
          <w:szCs w:val="20"/>
        </w:rPr>
        <w:lastRenderedPageBreak/>
        <w:t xml:space="preserve">Tabela </w:t>
      </w:r>
      <w:r w:rsidRPr="00FD5AD9">
        <w:rPr>
          <w:sz w:val="20"/>
          <w:szCs w:val="20"/>
        </w:rPr>
        <w:fldChar w:fldCharType="begin"/>
      </w:r>
      <w:r w:rsidRPr="00FD5AD9">
        <w:rPr>
          <w:sz w:val="20"/>
          <w:szCs w:val="20"/>
        </w:rPr>
        <w:instrText xml:space="preserve"> SEQ Table \* ARABIC </w:instrText>
      </w:r>
      <w:r w:rsidRPr="00FD5AD9">
        <w:rPr>
          <w:sz w:val="20"/>
          <w:szCs w:val="20"/>
        </w:rPr>
        <w:fldChar w:fldCharType="separate"/>
      </w:r>
      <w:r w:rsidRPr="00FD5AD9">
        <w:rPr>
          <w:sz w:val="20"/>
          <w:szCs w:val="20"/>
        </w:rPr>
        <w:t>16</w:t>
      </w:r>
      <w:r w:rsidRPr="00FD5AD9">
        <w:rPr>
          <w:sz w:val="20"/>
          <w:szCs w:val="20"/>
        </w:rPr>
        <w:fldChar w:fldCharType="end"/>
      </w:r>
      <w:r w:rsidR="000C4978" w:rsidRPr="00FD5AD9">
        <w:rPr>
          <w:sz w:val="20"/>
          <w:szCs w:val="20"/>
        </w:rPr>
        <w:t xml:space="preserve"> </w:t>
      </w:r>
      <w:r w:rsidRPr="00FD5AD9">
        <w:rPr>
          <w:sz w:val="20"/>
          <w:szCs w:val="20"/>
        </w:rPr>
        <w:t>– Përmbledhja e masave që lidhen me monitorimin, matjen dhe raportimin e aktiviteteve për çdo sektor</w:t>
      </w:r>
    </w:p>
    <w:tbl>
      <w:tblPr>
        <w:tblStyle w:val="GridTable1Light-Accent11"/>
        <w:tblW w:w="5000" w:type="pct"/>
        <w:tblLayout w:type="fixed"/>
        <w:tblLook w:val="04A0" w:firstRow="1" w:lastRow="0" w:firstColumn="1" w:lastColumn="0" w:noHBand="0" w:noVBand="1"/>
      </w:tblPr>
      <w:tblGrid>
        <w:gridCol w:w="736"/>
        <w:gridCol w:w="6300"/>
        <w:gridCol w:w="2251"/>
      </w:tblGrid>
      <w:tr w:rsidR="00E566BF" w:rsidRPr="00FD5AD9" w14:paraId="6EDD00B0" w14:textId="77777777" w:rsidTr="001C467C">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96" w:type="pct"/>
            <w:hideMark/>
          </w:tcPr>
          <w:p w14:paraId="6EDD00AD" w14:textId="77777777" w:rsidR="00E566BF" w:rsidRPr="00FD5AD9" w:rsidRDefault="00E566BF" w:rsidP="00E566BF">
            <w:pPr>
              <w:spacing w:after="0"/>
              <w:rPr>
                <w:rFonts w:ascii="Garamond" w:eastAsia="Times New Roman" w:hAnsi="Garamond" w:cs="Times New Roman"/>
                <w:color w:val="000000"/>
                <w:sz w:val="18"/>
                <w:szCs w:val="18"/>
              </w:rPr>
            </w:pPr>
            <w:r w:rsidRPr="00FD5AD9">
              <w:rPr>
                <w:rFonts w:ascii="Garamond" w:eastAsia="Times New Roman" w:hAnsi="Garamond" w:cs="Times New Roman"/>
                <w:color w:val="000000"/>
                <w:sz w:val="18"/>
                <w:szCs w:val="18"/>
              </w:rPr>
              <w:t>ID</w:t>
            </w:r>
          </w:p>
        </w:tc>
        <w:tc>
          <w:tcPr>
            <w:tcW w:w="3392" w:type="pct"/>
            <w:hideMark/>
          </w:tcPr>
          <w:p w14:paraId="6EDD00AE" w14:textId="77777777" w:rsidR="00E566BF" w:rsidRPr="00FD5AD9" w:rsidRDefault="00E566BF" w:rsidP="00E566BF">
            <w:pPr>
              <w:spacing w:after="0"/>
              <w:cnfStyle w:val="100000000000" w:firstRow="1" w:lastRow="0" w:firstColumn="0" w:lastColumn="0" w:oddVBand="0" w:evenVBand="0" w:oddHBand="0" w:evenHBand="0" w:firstRowFirstColumn="0" w:firstRowLastColumn="0" w:lastRowFirstColumn="0" w:lastRowLastColumn="0"/>
              <w:rPr>
                <w:rFonts w:ascii="Garamond" w:eastAsia="Times New Roman" w:hAnsi="Garamond" w:cs="Times New Roman"/>
                <w:color w:val="000000"/>
                <w:sz w:val="18"/>
                <w:szCs w:val="18"/>
              </w:rPr>
            </w:pPr>
            <w:r w:rsidRPr="00FD5AD9">
              <w:rPr>
                <w:rFonts w:ascii="Garamond" w:eastAsia="Times New Roman" w:hAnsi="Garamond" w:cs="Times New Roman"/>
                <w:color w:val="000000"/>
                <w:sz w:val="18"/>
                <w:szCs w:val="18"/>
              </w:rPr>
              <w:t>Masa</w:t>
            </w:r>
          </w:p>
        </w:tc>
        <w:tc>
          <w:tcPr>
            <w:tcW w:w="1212" w:type="pct"/>
            <w:hideMark/>
          </w:tcPr>
          <w:p w14:paraId="6EDD00AF" w14:textId="77777777" w:rsidR="00E566BF" w:rsidRPr="00FD5AD9" w:rsidRDefault="00E566BF" w:rsidP="00E566BF">
            <w:pPr>
              <w:spacing w:after="0"/>
              <w:cnfStyle w:val="100000000000" w:firstRow="1" w:lastRow="0" w:firstColumn="0" w:lastColumn="0" w:oddVBand="0" w:evenVBand="0" w:oddHBand="0" w:evenHBand="0" w:firstRowFirstColumn="0" w:firstRowLastColumn="0" w:lastRowFirstColumn="0" w:lastRowLastColumn="0"/>
              <w:rPr>
                <w:rFonts w:ascii="Garamond" w:eastAsia="Times New Roman" w:hAnsi="Garamond" w:cs="Times New Roman"/>
                <w:color w:val="000000"/>
                <w:sz w:val="18"/>
                <w:szCs w:val="18"/>
              </w:rPr>
            </w:pPr>
            <w:r w:rsidRPr="00FD5AD9">
              <w:rPr>
                <w:rFonts w:ascii="Garamond" w:eastAsia="Times New Roman" w:hAnsi="Garamond" w:cs="Times New Roman"/>
                <w:color w:val="000000"/>
                <w:sz w:val="18"/>
                <w:szCs w:val="18"/>
              </w:rPr>
              <w:t>Burimi</w:t>
            </w:r>
          </w:p>
        </w:tc>
      </w:tr>
      <w:tr w:rsidR="00E566BF" w:rsidRPr="00FD5AD9" w14:paraId="6EDD00B6" w14:textId="77777777" w:rsidTr="001C467C">
        <w:trPr>
          <w:trHeight w:val="20"/>
        </w:trPr>
        <w:tc>
          <w:tcPr>
            <w:cnfStyle w:val="001000000000" w:firstRow="0" w:lastRow="0" w:firstColumn="1" w:lastColumn="0" w:oddVBand="0" w:evenVBand="0" w:oddHBand="0" w:evenHBand="0" w:firstRowFirstColumn="0" w:firstRowLastColumn="0" w:lastRowFirstColumn="0" w:lastRowLastColumn="0"/>
            <w:tcW w:w="396" w:type="pct"/>
            <w:vAlign w:val="center"/>
            <w:hideMark/>
          </w:tcPr>
          <w:p w14:paraId="6EDD00B1" w14:textId="77777777" w:rsidR="00E566BF" w:rsidRPr="00FD5AD9" w:rsidRDefault="00E566BF" w:rsidP="00E566BF">
            <w:pPr>
              <w:spacing w:after="0"/>
              <w:rPr>
                <w:rFonts w:ascii="Garamond" w:eastAsia="Times New Roman" w:hAnsi="Garamond" w:cs="Times New Roman"/>
                <w:color w:val="000000"/>
                <w:sz w:val="18"/>
                <w:szCs w:val="18"/>
              </w:rPr>
            </w:pPr>
            <w:r w:rsidRPr="00FD5AD9">
              <w:rPr>
                <w:rFonts w:ascii="Garamond" w:eastAsia="Times New Roman" w:hAnsi="Garamond" w:cs="Times New Roman"/>
                <w:color w:val="000000"/>
                <w:sz w:val="18"/>
                <w:szCs w:val="18"/>
              </w:rPr>
              <w:t>C5</w:t>
            </w:r>
          </w:p>
        </w:tc>
        <w:tc>
          <w:tcPr>
            <w:tcW w:w="3392" w:type="pct"/>
            <w:vAlign w:val="center"/>
            <w:hideMark/>
          </w:tcPr>
          <w:p w14:paraId="6EDD00B2" w14:textId="77777777" w:rsidR="00E566BF" w:rsidRPr="00FD5AD9" w:rsidRDefault="00E566BF" w:rsidP="00E566BF">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sz w:val="18"/>
                <w:szCs w:val="18"/>
              </w:rPr>
            </w:pPr>
            <w:r w:rsidRPr="00FD5AD9">
              <w:rPr>
                <w:rFonts w:ascii="Garamond" w:eastAsia="Times New Roman" w:hAnsi="Garamond" w:cs="Times New Roman"/>
                <w:color w:val="000000"/>
                <w:sz w:val="18"/>
                <w:szCs w:val="18"/>
              </w:rPr>
              <w:t>Ngritja e Sistemit Kombëtar për matjen/monitorimin dhe raportimin e shkarkimeve të gazrave serrë dhe informacione të tjera lidhur me ndryshimet klimatike.</w:t>
            </w:r>
          </w:p>
        </w:tc>
        <w:tc>
          <w:tcPr>
            <w:tcW w:w="1212" w:type="pct"/>
            <w:vAlign w:val="center"/>
            <w:hideMark/>
          </w:tcPr>
          <w:p w14:paraId="6EDD00B3" w14:textId="77777777" w:rsidR="00E566BF" w:rsidRPr="00FD5AD9" w:rsidRDefault="00E566BF" w:rsidP="00E566BF">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sz w:val="18"/>
                <w:szCs w:val="18"/>
              </w:rPr>
            </w:pPr>
            <w:r w:rsidRPr="00FD5AD9">
              <w:rPr>
                <w:rFonts w:ascii="Garamond" w:eastAsia="Times New Roman" w:hAnsi="Garamond" w:cs="Times New Roman"/>
                <w:color w:val="000000"/>
                <w:sz w:val="18"/>
                <w:szCs w:val="18"/>
              </w:rPr>
              <w:t>Projektligj mbi Ndryshimet Klimatike;</w:t>
            </w:r>
          </w:p>
          <w:p w14:paraId="6EDD00B4" w14:textId="77777777" w:rsidR="00E566BF" w:rsidRPr="00FD5AD9" w:rsidRDefault="00E566BF" w:rsidP="00E566BF">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sz w:val="18"/>
                <w:szCs w:val="18"/>
              </w:rPr>
            </w:pPr>
            <w:r w:rsidRPr="00FD5AD9">
              <w:rPr>
                <w:rFonts w:ascii="Garamond" w:eastAsia="Times New Roman" w:hAnsi="Garamond" w:cs="Times New Roman"/>
                <w:color w:val="000000"/>
                <w:sz w:val="18"/>
                <w:szCs w:val="18"/>
              </w:rPr>
              <w:t xml:space="preserve">Draft VKM-ja mbi Monitorimin dhe raportimin </w:t>
            </w:r>
          </w:p>
          <w:p w14:paraId="6EDD00B5" w14:textId="77777777" w:rsidR="00E566BF" w:rsidRPr="00FD5AD9" w:rsidRDefault="00E566BF" w:rsidP="00E566BF">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sz w:val="18"/>
                <w:szCs w:val="18"/>
              </w:rPr>
            </w:pPr>
          </w:p>
        </w:tc>
      </w:tr>
      <w:tr w:rsidR="00E566BF" w:rsidRPr="00FD5AD9" w14:paraId="6EDD00BA" w14:textId="77777777" w:rsidTr="001C467C">
        <w:trPr>
          <w:trHeight w:val="20"/>
        </w:trPr>
        <w:tc>
          <w:tcPr>
            <w:cnfStyle w:val="001000000000" w:firstRow="0" w:lastRow="0" w:firstColumn="1" w:lastColumn="0" w:oddVBand="0" w:evenVBand="0" w:oddHBand="0" w:evenHBand="0" w:firstRowFirstColumn="0" w:firstRowLastColumn="0" w:lastRowFirstColumn="0" w:lastRowLastColumn="0"/>
            <w:tcW w:w="396" w:type="pct"/>
            <w:noWrap/>
            <w:vAlign w:val="center"/>
            <w:hideMark/>
          </w:tcPr>
          <w:p w14:paraId="6EDD00B7" w14:textId="77777777" w:rsidR="00E566BF" w:rsidRPr="00FD5AD9" w:rsidRDefault="00E566BF" w:rsidP="00E566BF">
            <w:pPr>
              <w:spacing w:after="0"/>
              <w:rPr>
                <w:rFonts w:ascii="Garamond" w:eastAsia="Times New Roman" w:hAnsi="Garamond" w:cs="Times New Roman"/>
                <w:color w:val="000000"/>
                <w:sz w:val="18"/>
                <w:szCs w:val="18"/>
              </w:rPr>
            </w:pPr>
            <w:r w:rsidRPr="00FD5AD9">
              <w:rPr>
                <w:rFonts w:ascii="Garamond" w:eastAsia="Times New Roman" w:hAnsi="Garamond" w:cs="Times New Roman"/>
                <w:color w:val="000000"/>
                <w:sz w:val="18"/>
                <w:szCs w:val="18"/>
              </w:rPr>
              <w:t>E40</w:t>
            </w:r>
          </w:p>
        </w:tc>
        <w:tc>
          <w:tcPr>
            <w:tcW w:w="3392" w:type="pct"/>
            <w:vAlign w:val="center"/>
            <w:hideMark/>
          </w:tcPr>
          <w:p w14:paraId="6EDD00B8" w14:textId="77777777" w:rsidR="00E566BF" w:rsidRPr="00FD5AD9" w:rsidRDefault="00E566BF" w:rsidP="00E566BF">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sz w:val="18"/>
                <w:szCs w:val="18"/>
              </w:rPr>
            </w:pPr>
            <w:r w:rsidRPr="00FD5AD9">
              <w:rPr>
                <w:rFonts w:ascii="Garamond" w:eastAsia="Times New Roman" w:hAnsi="Garamond" w:cs="Times New Roman"/>
                <w:color w:val="000000"/>
                <w:sz w:val="18"/>
                <w:szCs w:val="18"/>
              </w:rPr>
              <w:t>Krijimi i një baze të centralizuar të dhënash për të mbledhur gjithë informacionin lidhur me monitorimin dhe vlerësimin e progresit të planit.</w:t>
            </w:r>
          </w:p>
        </w:tc>
        <w:tc>
          <w:tcPr>
            <w:tcW w:w="1212" w:type="pct"/>
            <w:vAlign w:val="center"/>
            <w:hideMark/>
          </w:tcPr>
          <w:p w14:paraId="6EDD00B9" w14:textId="26EBF623" w:rsidR="00E566BF" w:rsidRPr="00FD5AD9" w:rsidRDefault="00E566BF" w:rsidP="00E566BF">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sz w:val="18"/>
                <w:szCs w:val="18"/>
              </w:rPr>
            </w:pPr>
            <w:r w:rsidRPr="00FD5AD9">
              <w:rPr>
                <w:rFonts w:ascii="Garamond" w:eastAsia="Times New Roman" w:hAnsi="Garamond" w:cs="Times New Roman"/>
                <w:color w:val="000000"/>
                <w:sz w:val="18"/>
                <w:szCs w:val="18"/>
              </w:rPr>
              <w:t>Propozim i PKZNK</w:t>
            </w:r>
            <w:r w:rsidR="00676CBC" w:rsidRPr="00FD5AD9">
              <w:rPr>
                <w:rFonts w:ascii="Garamond" w:eastAsia="Times New Roman" w:hAnsi="Garamond" w:cs="Times New Roman"/>
                <w:color w:val="000000"/>
                <w:sz w:val="18"/>
                <w:szCs w:val="18"/>
              </w:rPr>
              <w:t xml:space="preserve"> </w:t>
            </w:r>
            <w:r w:rsidRPr="00FD5AD9">
              <w:rPr>
                <w:rFonts w:ascii="Garamond" w:eastAsia="Times New Roman" w:hAnsi="Garamond" w:cs="Times New Roman"/>
                <w:color w:val="000000"/>
                <w:sz w:val="18"/>
                <w:szCs w:val="18"/>
              </w:rPr>
              <w:t>bazuar në Planin e LOCSEE për proces me nivel të ulët karboni</w:t>
            </w:r>
          </w:p>
        </w:tc>
      </w:tr>
      <w:tr w:rsidR="00E566BF" w:rsidRPr="00FD5AD9" w14:paraId="6EDD00BE" w14:textId="77777777" w:rsidTr="001C467C">
        <w:trPr>
          <w:trHeight w:val="20"/>
        </w:trPr>
        <w:tc>
          <w:tcPr>
            <w:cnfStyle w:val="001000000000" w:firstRow="0" w:lastRow="0" w:firstColumn="1" w:lastColumn="0" w:oddVBand="0" w:evenVBand="0" w:oddHBand="0" w:evenHBand="0" w:firstRowFirstColumn="0" w:firstRowLastColumn="0" w:lastRowFirstColumn="0" w:lastRowLastColumn="0"/>
            <w:tcW w:w="396" w:type="pct"/>
            <w:noWrap/>
            <w:vAlign w:val="center"/>
            <w:hideMark/>
          </w:tcPr>
          <w:p w14:paraId="6EDD00BB" w14:textId="77777777" w:rsidR="00E566BF" w:rsidRPr="00FD5AD9" w:rsidRDefault="00E566BF" w:rsidP="00E566BF">
            <w:pPr>
              <w:spacing w:after="0"/>
              <w:rPr>
                <w:rFonts w:ascii="Garamond" w:eastAsia="Times New Roman" w:hAnsi="Garamond" w:cs="Times New Roman"/>
                <w:color w:val="000000"/>
                <w:sz w:val="18"/>
                <w:szCs w:val="18"/>
              </w:rPr>
            </w:pPr>
            <w:r w:rsidRPr="00FD5AD9">
              <w:rPr>
                <w:rFonts w:ascii="Garamond" w:eastAsia="Times New Roman" w:hAnsi="Garamond" w:cs="Times New Roman"/>
                <w:color w:val="000000"/>
                <w:sz w:val="18"/>
                <w:szCs w:val="18"/>
              </w:rPr>
              <w:t>E41</w:t>
            </w:r>
          </w:p>
        </w:tc>
        <w:tc>
          <w:tcPr>
            <w:tcW w:w="3392" w:type="pct"/>
            <w:vAlign w:val="center"/>
            <w:hideMark/>
          </w:tcPr>
          <w:p w14:paraId="6EDD00BC" w14:textId="6C4F8C77" w:rsidR="00E566BF" w:rsidRPr="00FD5AD9" w:rsidRDefault="00E566BF" w:rsidP="00676CB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sz w:val="18"/>
                <w:szCs w:val="18"/>
              </w:rPr>
            </w:pPr>
            <w:r w:rsidRPr="00FD5AD9">
              <w:rPr>
                <w:rFonts w:ascii="Garamond" w:eastAsia="Times New Roman" w:hAnsi="Garamond" w:cs="Times New Roman"/>
                <w:color w:val="000000"/>
                <w:sz w:val="18"/>
                <w:szCs w:val="18"/>
              </w:rPr>
              <w:t>Baza e të Dhënave të</w:t>
            </w:r>
            <w:r w:rsidR="000A2A01" w:rsidRPr="00FD5AD9">
              <w:rPr>
                <w:rFonts w:ascii="Garamond" w:eastAsia="Times New Roman" w:hAnsi="Garamond" w:cs="Times New Roman"/>
                <w:color w:val="000000"/>
                <w:sz w:val="18"/>
                <w:szCs w:val="18"/>
              </w:rPr>
              <w:t xml:space="preserve"> </w:t>
            </w:r>
            <w:r w:rsidRPr="00FD5AD9">
              <w:rPr>
                <w:rFonts w:ascii="Garamond" w:eastAsia="Times New Roman" w:hAnsi="Garamond" w:cs="Times New Roman"/>
                <w:color w:val="000000"/>
                <w:sz w:val="18"/>
                <w:szCs w:val="18"/>
              </w:rPr>
              <w:t>Energjisë (</w:t>
            </w:r>
            <w:r w:rsidR="00676CBC" w:rsidRPr="00FD5AD9">
              <w:rPr>
                <w:rFonts w:ascii="Garamond" w:eastAsia="Times New Roman" w:hAnsi="Garamond" w:cs="Times New Roman"/>
                <w:color w:val="000000"/>
                <w:sz w:val="18"/>
                <w:szCs w:val="18"/>
              </w:rPr>
              <w:t>n</w:t>
            </w:r>
            <w:r w:rsidRPr="00FD5AD9">
              <w:rPr>
                <w:rFonts w:ascii="Garamond" w:eastAsia="Times New Roman" w:hAnsi="Garamond" w:cs="Times New Roman"/>
                <w:color w:val="000000"/>
                <w:sz w:val="18"/>
                <w:szCs w:val="18"/>
              </w:rPr>
              <w:t>eni 13).</w:t>
            </w:r>
          </w:p>
        </w:tc>
        <w:tc>
          <w:tcPr>
            <w:tcW w:w="1212" w:type="pct"/>
            <w:noWrap/>
            <w:vAlign w:val="center"/>
            <w:hideMark/>
          </w:tcPr>
          <w:p w14:paraId="6EDD00BD" w14:textId="598B0B45" w:rsidR="00E566BF" w:rsidRPr="00FD5AD9" w:rsidRDefault="00E566BF" w:rsidP="00E566BF">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sz w:val="18"/>
                <w:szCs w:val="18"/>
              </w:rPr>
            </w:pPr>
            <w:r w:rsidRPr="00FD5AD9">
              <w:rPr>
                <w:rFonts w:ascii="Garamond" w:eastAsia="Times New Roman" w:hAnsi="Garamond" w:cs="Times New Roman"/>
                <w:color w:val="000000"/>
                <w:sz w:val="18"/>
                <w:szCs w:val="18"/>
              </w:rPr>
              <w:t>Ligji 124/2015 për Efic</w:t>
            </w:r>
            <w:r w:rsidR="00FD5AD9" w:rsidRPr="00FD5AD9">
              <w:rPr>
                <w:rFonts w:ascii="Garamond" w:eastAsia="Times New Roman" w:hAnsi="Garamond" w:cs="Times New Roman"/>
                <w:color w:val="000000"/>
                <w:sz w:val="18"/>
                <w:szCs w:val="18"/>
              </w:rPr>
              <w:t>i</w:t>
            </w:r>
            <w:r w:rsidRPr="00FD5AD9">
              <w:rPr>
                <w:rFonts w:ascii="Garamond" w:eastAsia="Times New Roman" w:hAnsi="Garamond" w:cs="Times New Roman"/>
                <w:color w:val="000000"/>
                <w:sz w:val="18"/>
                <w:szCs w:val="18"/>
              </w:rPr>
              <w:t>encën e Energjisë</w:t>
            </w:r>
          </w:p>
        </w:tc>
      </w:tr>
      <w:tr w:rsidR="00E566BF" w:rsidRPr="00FD5AD9" w14:paraId="6EDD00C2" w14:textId="77777777" w:rsidTr="001C467C">
        <w:trPr>
          <w:trHeight w:val="20"/>
        </w:trPr>
        <w:tc>
          <w:tcPr>
            <w:cnfStyle w:val="001000000000" w:firstRow="0" w:lastRow="0" w:firstColumn="1" w:lastColumn="0" w:oddVBand="0" w:evenVBand="0" w:oddHBand="0" w:evenHBand="0" w:firstRowFirstColumn="0" w:firstRowLastColumn="0" w:lastRowFirstColumn="0" w:lastRowLastColumn="0"/>
            <w:tcW w:w="396" w:type="pct"/>
            <w:noWrap/>
            <w:vAlign w:val="center"/>
            <w:hideMark/>
          </w:tcPr>
          <w:p w14:paraId="6EDD00BF" w14:textId="77777777" w:rsidR="00E566BF" w:rsidRPr="00FD5AD9" w:rsidRDefault="00E566BF" w:rsidP="00E566BF">
            <w:pPr>
              <w:spacing w:after="0"/>
              <w:rPr>
                <w:rFonts w:ascii="Garamond" w:eastAsia="Times New Roman" w:hAnsi="Garamond" w:cs="Times New Roman"/>
                <w:color w:val="000000"/>
                <w:sz w:val="18"/>
                <w:szCs w:val="18"/>
              </w:rPr>
            </w:pPr>
            <w:r w:rsidRPr="00FD5AD9">
              <w:rPr>
                <w:rFonts w:ascii="Garamond" w:eastAsia="Times New Roman" w:hAnsi="Garamond" w:cs="Times New Roman"/>
                <w:color w:val="000000"/>
                <w:sz w:val="18"/>
                <w:szCs w:val="18"/>
              </w:rPr>
              <w:t>E55</w:t>
            </w:r>
          </w:p>
        </w:tc>
        <w:tc>
          <w:tcPr>
            <w:tcW w:w="3392" w:type="pct"/>
            <w:vAlign w:val="center"/>
            <w:hideMark/>
          </w:tcPr>
          <w:p w14:paraId="6EDD00C0" w14:textId="77777777" w:rsidR="00E566BF" w:rsidRPr="00FD5AD9" w:rsidRDefault="00E566BF" w:rsidP="00E566BF">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sz w:val="18"/>
                <w:szCs w:val="18"/>
              </w:rPr>
            </w:pPr>
            <w:r w:rsidRPr="00FD5AD9">
              <w:rPr>
                <w:rFonts w:ascii="Garamond" w:eastAsia="Times New Roman" w:hAnsi="Garamond" w:cs="Times New Roman"/>
                <w:color w:val="000000"/>
                <w:sz w:val="18"/>
                <w:szCs w:val="18"/>
              </w:rPr>
              <w:t>Mbështetje teknike për projektet e financuara nga fondi në gjithë fazat e projektit, që nga hartimi deri te zbatimi, menaxhimi dhe funksionimi i ndërtesave -MRV.</w:t>
            </w:r>
          </w:p>
        </w:tc>
        <w:tc>
          <w:tcPr>
            <w:tcW w:w="1212" w:type="pct"/>
            <w:vAlign w:val="center"/>
            <w:hideMark/>
          </w:tcPr>
          <w:p w14:paraId="6EDD00C1" w14:textId="77777777" w:rsidR="00E566BF" w:rsidRPr="00FD5AD9" w:rsidRDefault="00E566BF" w:rsidP="00E566BF">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sz w:val="18"/>
                <w:szCs w:val="18"/>
              </w:rPr>
            </w:pPr>
            <w:r w:rsidRPr="00FD5AD9">
              <w:rPr>
                <w:rFonts w:ascii="Garamond" w:eastAsia="Times New Roman" w:hAnsi="Garamond" w:cs="Times New Roman"/>
                <w:color w:val="000000"/>
                <w:sz w:val="18"/>
                <w:szCs w:val="18"/>
              </w:rPr>
              <w:t>NAMA–Mekanizëm Financues për Eficiencën e Energjisë në ndërtesa</w:t>
            </w:r>
          </w:p>
        </w:tc>
      </w:tr>
      <w:tr w:rsidR="00E566BF" w:rsidRPr="00FD5AD9" w14:paraId="6EDD00C6" w14:textId="77777777" w:rsidTr="001C467C">
        <w:trPr>
          <w:trHeight w:val="20"/>
        </w:trPr>
        <w:tc>
          <w:tcPr>
            <w:cnfStyle w:val="001000000000" w:firstRow="0" w:lastRow="0" w:firstColumn="1" w:lastColumn="0" w:oddVBand="0" w:evenVBand="0" w:oddHBand="0" w:evenHBand="0" w:firstRowFirstColumn="0" w:firstRowLastColumn="0" w:lastRowFirstColumn="0" w:lastRowLastColumn="0"/>
            <w:tcW w:w="396" w:type="pct"/>
            <w:noWrap/>
            <w:vAlign w:val="center"/>
            <w:hideMark/>
          </w:tcPr>
          <w:p w14:paraId="6EDD00C3" w14:textId="77777777" w:rsidR="00E566BF" w:rsidRPr="00FD5AD9" w:rsidRDefault="00E566BF" w:rsidP="00E566BF">
            <w:pPr>
              <w:spacing w:after="0"/>
              <w:rPr>
                <w:rFonts w:ascii="Garamond" w:eastAsia="Times New Roman" w:hAnsi="Garamond" w:cs="Times New Roman"/>
                <w:color w:val="000000"/>
                <w:sz w:val="18"/>
                <w:szCs w:val="18"/>
              </w:rPr>
            </w:pPr>
            <w:r w:rsidRPr="00FD5AD9">
              <w:rPr>
                <w:rFonts w:ascii="Garamond" w:eastAsia="Times New Roman" w:hAnsi="Garamond" w:cs="Times New Roman"/>
                <w:color w:val="000000"/>
                <w:sz w:val="18"/>
                <w:szCs w:val="18"/>
              </w:rPr>
              <w:t>T4</w:t>
            </w:r>
          </w:p>
        </w:tc>
        <w:tc>
          <w:tcPr>
            <w:tcW w:w="3392" w:type="pct"/>
            <w:vAlign w:val="center"/>
            <w:hideMark/>
          </w:tcPr>
          <w:p w14:paraId="6EDD00C4" w14:textId="77777777" w:rsidR="00E566BF" w:rsidRPr="00FD5AD9" w:rsidRDefault="00E566BF" w:rsidP="00E566BF">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sz w:val="18"/>
                <w:szCs w:val="18"/>
              </w:rPr>
            </w:pPr>
            <w:r w:rsidRPr="00FD5AD9">
              <w:rPr>
                <w:rFonts w:ascii="Garamond" w:eastAsia="Times New Roman" w:hAnsi="Garamond" w:cs="Times New Roman"/>
                <w:color w:val="000000"/>
                <w:sz w:val="18"/>
                <w:szCs w:val="18"/>
              </w:rPr>
              <w:t>Rritja e kapacitetit të Inspektoratit Kombëtar të Mjedisit për të kryer matjet e shkarkimeve nga burime stacionare të përmirësuara.</w:t>
            </w:r>
          </w:p>
        </w:tc>
        <w:tc>
          <w:tcPr>
            <w:tcW w:w="1212" w:type="pct"/>
            <w:vAlign w:val="center"/>
            <w:hideMark/>
          </w:tcPr>
          <w:p w14:paraId="6EDD00C5" w14:textId="77777777" w:rsidR="00E566BF" w:rsidRPr="00FD5AD9" w:rsidRDefault="00E566BF" w:rsidP="00E566BF">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sz w:val="18"/>
                <w:szCs w:val="18"/>
              </w:rPr>
            </w:pPr>
            <w:r w:rsidRPr="00FD5AD9">
              <w:rPr>
                <w:rFonts w:ascii="Garamond" w:eastAsia="Times New Roman" w:hAnsi="Garamond" w:cs="Times New Roman"/>
                <w:color w:val="000000"/>
                <w:sz w:val="18"/>
                <w:szCs w:val="18"/>
              </w:rPr>
              <w:t>SMNS</w:t>
            </w:r>
          </w:p>
        </w:tc>
      </w:tr>
      <w:tr w:rsidR="00E566BF" w:rsidRPr="00FD5AD9" w14:paraId="6EDD00CA" w14:textId="77777777" w:rsidTr="001C467C">
        <w:trPr>
          <w:trHeight w:val="20"/>
        </w:trPr>
        <w:tc>
          <w:tcPr>
            <w:cnfStyle w:val="001000000000" w:firstRow="0" w:lastRow="0" w:firstColumn="1" w:lastColumn="0" w:oddVBand="0" w:evenVBand="0" w:oddHBand="0" w:evenHBand="0" w:firstRowFirstColumn="0" w:firstRowLastColumn="0" w:lastRowFirstColumn="0" w:lastRowLastColumn="0"/>
            <w:tcW w:w="396" w:type="pct"/>
            <w:noWrap/>
            <w:vAlign w:val="center"/>
            <w:hideMark/>
          </w:tcPr>
          <w:p w14:paraId="6EDD00C7" w14:textId="77777777" w:rsidR="00E566BF" w:rsidRPr="00FD5AD9" w:rsidRDefault="00E566BF" w:rsidP="00E566BF">
            <w:pPr>
              <w:spacing w:after="0"/>
              <w:rPr>
                <w:rFonts w:ascii="Garamond" w:eastAsia="Times New Roman" w:hAnsi="Garamond" w:cs="Times New Roman"/>
                <w:color w:val="000000"/>
                <w:sz w:val="18"/>
                <w:szCs w:val="18"/>
              </w:rPr>
            </w:pPr>
            <w:r w:rsidRPr="00FD5AD9">
              <w:rPr>
                <w:rFonts w:ascii="Garamond" w:eastAsia="Times New Roman" w:hAnsi="Garamond" w:cs="Times New Roman"/>
                <w:color w:val="000000"/>
                <w:sz w:val="18"/>
                <w:szCs w:val="18"/>
              </w:rPr>
              <w:t>T6</w:t>
            </w:r>
          </w:p>
        </w:tc>
        <w:tc>
          <w:tcPr>
            <w:tcW w:w="3392" w:type="pct"/>
            <w:vAlign w:val="center"/>
            <w:hideMark/>
          </w:tcPr>
          <w:p w14:paraId="6EDD00C8" w14:textId="77777777" w:rsidR="00E566BF" w:rsidRPr="00FD5AD9" w:rsidRDefault="00E566BF" w:rsidP="00E566BF">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sz w:val="18"/>
                <w:szCs w:val="18"/>
              </w:rPr>
            </w:pPr>
            <w:r w:rsidRPr="00FD5AD9">
              <w:rPr>
                <w:rFonts w:ascii="Garamond" w:eastAsia="Times New Roman" w:hAnsi="Garamond" w:cs="Times New Roman"/>
                <w:color w:val="000000"/>
                <w:sz w:val="18"/>
                <w:szCs w:val="18"/>
              </w:rPr>
              <w:t>Bazë të dhënash për cilësinë e lëndës djegëse, e hartuar dhe e përditësuar çdo vit.</w:t>
            </w:r>
          </w:p>
        </w:tc>
        <w:tc>
          <w:tcPr>
            <w:tcW w:w="1212" w:type="pct"/>
            <w:vAlign w:val="center"/>
            <w:hideMark/>
          </w:tcPr>
          <w:p w14:paraId="6EDD00C9" w14:textId="77777777" w:rsidR="00E566BF" w:rsidRPr="00FD5AD9" w:rsidRDefault="00E566BF" w:rsidP="00E566BF">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sz w:val="18"/>
                <w:szCs w:val="18"/>
              </w:rPr>
            </w:pPr>
            <w:r w:rsidRPr="00FD5AD9">
              <w:rPr>
                <w:rFonts w:ascii="Garamond" w:eastAsia="Times New Roman" w:hAnsi="Garamond" w:cs="Times New Roman"/>
                <w:color w:val="000000"/>
                <w:sz w:val="18"/>
                <w:szCs w:val="18"/>
              </w:rPr>
              <w:t>SMNS</w:t>
            </w:r>
          </w:p>
        </w:tc>
      </w:tr>
      <w:tr w:rsidR="00E566BF" w:rsidRPr="00FD5AD9" w14:paraId="6EDD00CE" w14:textId="77777777" w:rsidTr="001C467C">
        <w:trPr>
          <w:trHeight w:val="20"/>
        </w:trPr>
        <w:tc>
          <w:tcPr>
            <w:cnfStyle w:val="001000000000" w:firstRow="0" w:lastRow="0" w:firstColumn="1" w:lastColumn="0" w:oddVBand="0" w:evenVBand="0" w:oddHBand="0" w:evenHBand="0" w:firstRowFirstColumn="0" w:firstRowLastColumn="0" w:lastRowFirstColumn="0" w:lastRowLastColumn="0"/>
            <w:tcW w:w="396" w:type="pct"/>
            <w:noWrap/>
            <w:vAlign w:val="center"/>
            <w:hideMark/>
          </w:tcPr>
          <w:p w14:paraId="6EDD00CB" w14:textId="77777777" w:rsidR="00E566BF" w:rsidRPr="00FD5AD9" w:rsidRDefault="00E566BF" w:rsidP="00E566BF">
            <w:pPr>
              <w:spacing w:after="0"/>
              <w:rPr>
                <w:rFonts w:ascii="Garamond" w:eastAsia="Times New Roman" w:hAnsi="Garamond" w:cs="Times New Roman"/>
                <w:color w:val="000000"/>
                <w:sz w:val="18"/>
                <w:szCs w:val="18"/>
              </w:rPr>
            </w:pPr>
            <w:r w:rsidRPr="00FD5AD9">
              <w:rPr>
                <w:rFonts w:ascii="Garamond" w:eastAsia="Times New Roman" w:hAnsi="Garamond" w:cs="Times New Roman"/>
                <w:color w:val="000000"/>
                <w:sz w:val="18"/>
                <w:szCs w:val="18"/>
              </w:rPr>
              <w:t>T7</w:t>
            </w:r>
          </w:p>
        </w:tc>
        <w:tc>
          <w:tcPr>
            <w:tcW w:w="3392" w:type="pct"/>
            <w:vAlign w:val="center"/>
            <w:hideMark/>
          </w:tcPr>
          <w:p w14:paraId="6EDD00CC" w14:textId="446E60F9" w:rsidR="00E566BF" w:rsidRPr="00FD5AD9" w:rsidRDefault="00E566BF" w:rsidP="00E566BF">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sz w:val="18"/>
                <w:szCs w:val="18"/>
              </w:rPr>
            </w:pPr>
            <w:r w:rsidRPr="00FD5AD9">
              <w:rPr>
                <w:rFonts w:ascii="Garamond" w:eastAsia="Times New Roman" w:hAnsi="Garamond" w:cs="Times New Roman"/>
                <w:color w:val="000000"/>
                <w:sz w:val="18"/>
                <w:szCs w:val="18"/>
              </w:rPr>
              <w:t>Stacione për monitorimin e cilësisë së ajrit dhe trafikut: Plan që synon përmirësimin e qëndrueshmërisë në transport,</w:t>
            </w:r>
            <w:r w:rsidR="00FD5AD9" w:rsidRPr="00FD5AD9">
              <w:rPr>
                <w:rFonts w:ascii="Garamond" w:eastAsia="Times New Roman" w:hAnsi="Garamond" w:cs="Times New Roman"/>
                <w:color w:val="000000"/>
                <w:sz w:val="18"/>
                <w:szCs w:val="18"/>
              </w:rPr>
              <w:t xml:space="preserve"> </w:t>
            </w:r>
            <w:r w:rsidRPr="00FD5AD9">
              <w:rPr>
                <w:rFonts w:ascii="Garamond" w:eastAsia="Times New Roman" w:hAnsi="Garamond" w:cs="Times New Roman"/>
                <w:color w:val="000000"/>
                <w:sz w:val="18"/>
                <w:szCs w:val="18"/>
              </w:rPr>
              <w:t xml:space="preserve">kërkon monitorimin efektiv të evolucionit të cilësisë së ajrit sipas kushteve të trafikut përgjatë rrjetit. </w:t>
            </w:r>
          </w:p>
        </w:tc>
        <w:tc>
          <w:tcPr>
            <w:tcW w:w="1212" w:type="pct"/>
            <w:vAlign w:val="center"/>
            <w:hideMark/>
          </w:tcPr>
          <w:p w14:paraId="6EDD00CD" w14:textId="77777777" w:rsidR="00E566BF" w:rsidRPr="00FD5AD9" w:rsidRDefault="00E566BF" w:rsidP="00E566BF">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sz w:val="18"/>
                <w:szCs w:val="18"/>
              </w:rPr>
            </w:pPr>
            <w:r w:rsidRPr="00FD5AD9">
              <w:rPr>
                <w:rFonts w:ascii="Garamond" w:eastAsia="Times New Roman" w:hAnsi="Garamond" w:cs="Times New Roman"/>
                <w:color w:val="000000"/>
                <w:sz w:val="18"/>
                <w:szCs w:val="18"/>
              </w:rPr>
              <w:t>TECTQ</w:t>
            </w:r>
          </w:p>
        </w:tc>
      </w:tr>
      <w:tr w:rsidR="00E566BF" w:rsidRPr="00FD5AD9" w14:paraId="6EDD00D2" w14:textId="77777777" w:rsidTr="001C467C">
        <w:trPr>
          <w:trHeight w:val="20"/>
        </w:trPr>
        <w:tc>
          <w:tcPr>
            <w:cnfStyle w:val="001000000000" w:firstRow="0" w:lastRow="0" w:firstColumn="1" w:lastColumn="0" w:oddVBand="0" w:evenVBand="0" w:oddHBand="0" w:evenHBand="0" w:firstRowFirstColumn="0" w:firstRowLastColumn="0" w:lastRowFirstColumn="0" w:lastRowLastColumn="0"/>
            <w:tcW w:w="396" w:type="pct"/>
            <w:noWrap/>
            <w:vAlign w:val="center"/>
            <w:hideMark/>
          </w:tcPr>
          <w:p w14:paraId="6EDD00CF" w14:textId="77777777" w:rsidR="00E566BF" w:rsidRPr="00FD5AD9" w:rsidRDefault="00E566BF" w:rsidP="00E566BF">
            <w:pPr>
              <w:spacing w:after="0"/>
              <w:rPr>
                <w:rFonts w:ascii="Garamond" w:eastAsia="Times New Roman" w:hAnsi="Garamond" w:cs="Times New Roman"/>
                <w:color w:val="000000"/>
                <w:sz w:val="18"/>
                <w:szCs w:val="18"/>
              </w:rPr>
            </w:pPr>
            <w:r w:rsidRPr="00FD5AD9">
              <w:rPr>
                <w:rFonts w:ascii="Garamond" w:eastAsia="Times New Roman" w:hAnsi="Garamond" w:cs="Times New Roman"/>
                <w:color w:val="000000"/>
                <w:sz w:val="18"/>
                <w:szCs w:val="18"/>
              </w:rPr>
              <w:t>T8</w:t>
            </w:r>
          </w:p>
        </w:tc>
        <w:tc>
          <w:tcPr>
            <w:tcW w:w="3392" w:type="pct"/>
            <w:vAlign w:val="center"/>
            <w:hideMark/>
          </w:tcPr>
          <w:p w14:paraId="6EDD00D0" w14:textId="77777777" w:rsidR="00E566BF" w:rsidRPr="00FD5AD9" w:rsidRDefault="00E566BF" w:rsidP="00E566BF">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sz w:val="18"/>
                <w:szCs w:val="18"/>
              </w:rPr>
            </w:pPr>
            <w:r w:rsidRPr="00FD5AD9">
              <w:rPr>
                <w:rFonts w:ascii="Garamond" w:eastAsia="Times New Roman" w:hAnsi="Garamond" w:cs="Times New Roman"/>
                <w:color w:val="000000"/>
                <w:sz w:val="18"/>
                <w:szCs w:val="18"/>
              </w:rPr>
              <w:t>Ngritja e një sistemi monitorues të volumeve të trafikut (mallra dhe pasagjerë).</w:t>
            </w:r>
          </w:p>
        </w:tc>
        <w:tc>
          <w:tcPr>
            <w:tcW w:w="1212" w:type="pct"/>
            <w:vAlign w:val="center"/>
            <w:hideMark/>
          </w:tcPr>
          <w:p w14:paraId="6EDD00D1" w14:textId="77777777" w:rsidR="00E566BF" w:rsidRPr="00FD5AD9" w:rsidRDefault="00E566BF" w:rsidP="00E566BF">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sz w:val="18"/>
                <w:szCs w:val="18"/>
              </w:rPr>
            </w:pPr>
            <w:r w:rsidRPr="00FD5AD9">
              <w:rPr>
                <w:rFonts w:ascii="Garamond" w:eastAsia="Times New Roman" w:hAnsi="Garamond" w:cs="Times New Roman"/>
                <w:color w:val="000000"/>
                <w:sz w:val="18"/>
                <w:szCs w:val="18"/>
              </w:rPr>
              <w:t>SKZHI-II</w:t>
            </w:r>
          </w:p>
        </w:tc>
      </w:tr>
      <w:tr w:rsidR="00E566BF" w:rsidRPr="00FD5AD9" w14:paraId="6EDD00D6" w14:textId="77777777" w:rsidTr="001C467C">
        <w:trPr>
          <w:trHeight w:val="20"/>
        </w:trPr>
        <w:tc>
          <w:tcPr>
            <w:cnfStyle w:val="001000000000" w:firstRow="0" w:lastRow="0" w:firstColumn="1" w:lastColumn="0" w:oddVBand="0" w:evenVBand="0" w:oddHBand="0" w:evenHBand="0" w:firstRowFirstColumn="0" w:firstRowLastColumn="0" w:lastRowFirstColumn="0" w:lastRowLastColumn="0"/>
            <w:tcW w:w="396" w:type="pct"/>
            <w:noWrap/>
            <w:vAlign w:val="center"/>
            <w:hideMark/>
          </w:tcPr>
          <w:p w14:paraId="6EDD00D3" w14:textId="77777777" w:rsidR="00E566BF" w:rsidRPr="00FD5AD9" w:rsidRDefault="00E566BF" w:rsidP="00E566BF">
            <w:pPr>
              <w:spacing w:after="0"/>
              <w:rPr>
                <w:rFonts w:ascii="Garamond" w:eastAsia="Times New Roman" w:hAnsi="Garamond" w:cs="Times New Roman"/>
                <w:color w:val="000000"/>
                <w:sz w:val="18"/>
                <w:szCs w:val="18"/>
              </w:rPr>
            </w:pPr>
            <w:r w:rsidRPr="00FD5AD9">
              <w:rPr>
                <w:rFonts w:ascii="Garamond" w:eastAsia="Times New Roman" w:hAnsi="Garamond" w:cs="Times New Roman"/>
                <w:color w:val="000000"/>
                <w:sz w:val="18"/>
                <w:szCs w:val="18"/>
              </w:rPr>
              <w:t>T51</w:t>
            </w:r>
          </w:p>
        </w:tc>
        <w:tc>
          <w:tcPr>
            <w:tcW w:w="3392" w:type="pct"/>
            <w:vAlign w:val="center"/>
            <w:hideMark/>
          </w:tcPr>
          <w:p w14:paraId="6EDD00D4" w14:textId="77777777" w:rsidR="00E566BF" w:rsidRPr="00FD5AD9" w:rsidRDefault="00E566BF" w:rsidP="00E566BF">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sz w:val="18"/>
                <w:szCs w:val="18"/>
              </w:rPr>
            </w:pPr>
            <w:r w:rsidRPr="00FD5AD9">
              <w:rPr>
                <w:rFonts w:ascii="Garamond" w:eastAsia="Times New Roman" w:hAnsi="Garamond" w:cs="Times New Roman"/>
                <w:color w:val="000000"/>
                <w:sz w:val="18"/>
                <w:szCs w:val="18"/>
              </w:rPr>
              <w:t>Sisteme detare dhe portuale efikase dhe reaguese.</w:t>
            </w:r>
          </w:p>
        </w:tc>
        <w:tc>
          <w:tcPr>
            <w:tcW w:w="1212" w:type="pct"/>
            <w:vAlign w:val="center"/>
            <w:hideMark/>
          </w:tcPr>
          <w:p w14:paraId="6EDD00D5" w14:textId="77777777" w:rsidR="00E566BF" w:rsidRPr="00FD5AD9" w:rsidRDefault="00E566BF" w:rsidP="00E566BF">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sz w:val="18"/>
                <w:szCs w:val="18"/>
              </w:rPr>
            </w:pPr>
            <w:r w:rsidRPr="00FD5AD9">
              <w:rPr>
                <w:rFonts w:ascii="Garamond" w:eastAsia="Times New Roman" w:hAnsi="Garamond" w:cs="Times New Roman"/>
                <w:color w:val="000000"/>
                <w:sz w:val="18"/>
                <w:szCs w:val="18"/>
              </w:rPr>
              <w:t>SSTPV</w:t>
            </w:r>
          </w:p>
        </w:tc>
      </w:tr>
      <w:tr w:rsidR="00E566BF" w:rsidRPr="00FD5AD9" w14:paraId="6EDD00DA" w14:textId="77777777" w:rsidTr="001C467C">
        <w:trPr>
          <w:trHeight w:val="20"/>
        </w:trPr>
        <w:tc>
          <w:tcPr>
            <w:cnfStyle w:val="001000000000" w:firstRow="0" w:lastRow="0" w:firstColumn="1" w:lastColumn="0" w:oddVBand="0" w:evenVBand="0" w:oddHBand="0" w:evenHBand="0" w:firstRowFirstColumn="0" w:firstRowLastColumn="0" w:lastRowFirstColumn="0" w:lastRowLastColumn="0"/>
            <w:tcW w:w="396" w:type="pct"/>
            <w:noWrap/>
            <w:vAlign w:val="center"/>
            <w:hideMark/>
          </w:tcPr>
          <w:p w14:paraId="6EDD00D7" w14:textId="77777777" w:rsidR="00E566BF" w:rsidRPr="00FD5AD9" w:rsidRDefault="00E566BF" w:rsidP="00E566BF">
            <w:pPr>
              <w:spacing w:after="0"/>
              <w:rPr>
                <w:rFonts w:ascii="Garamond" w:eastAsia="Times New Roman" w:hAnsi="Garamond" w:cs="Times New Roman"/>
                <w:color w:val="000000"/>
                <w:sz w:val="18"/>
                <w:szCs w:val="18"/>
              </w:rPr>
            </w:pPr>
            <w:r w:rsidRPr="00FD5AD9">
              <w:rPr>
                <w:rFonts w:ascii="Garamond" w:eastAsia="Times New Roman" w:hAnsi="Garamond" w:cs="Times New Roman"/>
                <w:color w:val="000000"/>
                <w:sz w:val="18"/>
                <w:szCs w:val="18"/>
              </w:rPr>
              <w:t>T70</w:t>
            </w:r>
          </w:p>
        </w:tc>
        <w:tc>
          <w:tcPr>
            <w:tcW w:w="3392" w:type="pct"/>
            <w:vAlign w:val="center"/>
            <w:hideMark/>
          </w:tcPr>
          <w:p w14:paraId="6EDD00D8" w14:textId="77777777" w:rsidR="00E566BF" w:rsidRPr="00FD5AD9" w:rsidRDefault="00E566BF" w:rsidP="00E566BF">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sz w:val="18"/>
                <w:szCs w:val="18"/>
              </w:rPr>
            </w:pPr>
            <w:r w:rsidRPr="00FD5AD9">
              <w:rPr>
                <w:rFonts w:ascii="Garamond" w:eastAsia="Times New Roman" w:hAnsi="Garamond" w:cs="Times New Roman"/>
                <w:color w:val="000000"/>
                <w:sz w:val="18"/>
                <w:szCs w:val="18"/>
              </w:rPr>
              <w:t>Monitorimi i shkarkimeve GES për transport mallrash dhe aviacion.</w:t>
            </w:r>
          </w:p>
        </w:tc>
        <w:tc>
          <w:tcPr>
            <w:tcW w:w="1212" w:type="pct"/>
            <w:hideMark/>
          </w:tcPr>
          <w:p w14:paraId="6EDD00D9" w14:textId="77777777" w:rsidR="00E566BF" w:rsidRPr="00FD5AD9" w:rsidRDefault="00E566BF" w:rsidP="00E566BF">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sz w:val="18"/>
                <w:szCs w:val="18"/>
              </w:rPr>
            </w:pPr>
            <w:r w:rsidRPr="00FD5AD9">
              <w:rPr>
                <w:rFonts w:ascii="Garamond" w:eastAsia="Times New Roman" w:hAnsi="Garamond" w:cs="Times New Roman"/>
                <w:color w:val="000000"/>
                <w:sz w:val="18"/>
                <w:szCs w:val="18"/>
              </w:rPr>
              <w:t>Projektligj mbi Ndryshimet Klimatike</w:t>
            </w:r>
          </w:p>
        </w:tc>
      </w:tr>
      <w:tr w:rsidR="00E566BF" w:rsidRPr="00FD5AD9" w14:paraId="6EDD00DE" w14:textId="77777777" w:rsidTr="001C467C">
        <w:trPr>
          <w:trHeight w:val="20"/>
        </w:trPr>
        <w:tc>
          <w:tcPr>
            <w:cnfStyle w:val="001000000000" w:firstRow="0" w:lastRow="0" w:firstColumn="1" w:lastColumn="0" w:oddVBand="0" w:evenVBand="0" w:oddHBand="0" w:evenHBand="0" w:firstRowFirstColumn="0" w:firstRowLastColumn="0" w:lastRowFirstColumn="0" w:lastRowLastColumn="0"/>
            <w:tcW w:w="396" w:type="pct"/>
            <w:noWrap/>
            <w:vAlign w:val="center"/>
            <w:hideMark/>
          </w:tcPr>
          <w:p w14:paraId="6EDD00DB" w14:textId="77777777" w:rsidR="00E566BF" w:rsidRPr="00FD5AD9" w:rsidRDefault="00E566BF" w:rsidP="00E566BF">
            <w:pPr>
              <w:spacing w:after="0"/>
              <w:rPr>
                <w:rFonts w:ascii="Garamond" w:eastAsia="Times New Roman" w:hAnsi="Garamond" w:cs="Times New Roman"/>
                <w:color w:val="000000"/>
                <w:sz w:val="18"/>
                <w:szCs w:val="18"/>
              </w:rPr>
            </w:pPr>
            <w:r w:rsidRPr="00FD5AD9">
              <w:rPr>
                <w:rFonts w:ascii="Garamond" w:eastAsia="Times New Roman" w:hAnsi="Garamond" w:cs="Times New Roman"/>
                <w:color w:val="000000"/>
                <w:sz w:val="18"/>
                <w:szCs w:val="18"/>
              </w:rPr>
              <w:t>T71</w:t>
            </w:r>
          </w:p>
        </w:tc>
        <w:tc>
          <w:tcPr>
            <w:tcW w:w="3392" w:type="pct"/>
            <w:vAlign w:val="center"/>
            <w:hideMark/>
          </w:tcPr>
          <w:p w14:paraId="6EDD00DC" w14:textId="77777777" w:rsidR="00E566BF" w:rsidRPr="00FD5AD9" w:rsidRDefault="00E566BF" w:rsidP="00E566BF">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sz w:val="18"/>
                <w:szCs w:val="18"/>
              </w:rPr>
            </w:pPr>
            <w:r w:rsidRPr="00FD5AD9">
              <w:rPr>
                <w:rFonts w:ascii="Garamond" w:eastAsia="Times New Roman" w:hAnsi="Garamond" w:cs="Times New Roman"/>
                <w:color w:val="000000"/>
                <w:sz w:val="18"/>
                <w:szCs w:val="18"/>
              </w:rPr>
              <w:t>Monitorimi i shkarkimeve GES për transportin rrugor.</w:t>
            </w:r>
          </w:p>
        </w:tc>
        <w:tc>
          <w:tcPr>
            <w:tcW w:w="1212" w:type="pct"/>
            <w:hideMark/>
          </w:tcPr>
          <w:p w14:paraId="6EDD00DD" w14:textId="77777777" w:rsidR="00E566BF" w:rsidRPr="00FD5AD9" w:rsidRDefault="00E566BF" w:rsidP="00E566BF">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sz w:val="18"/>
                <w:szCs w:val="18"/>
              </w:rPr>
            </w:pPr>
            <w:r w:rsidRPr="00FD5AD9">
              <w:rPr>
                <w:rFonts w:ascii="Garamond" w:eastAsia="Times New Roman" w:hAnsi="Garamond" w:cs="Times New Roman"/>
                <w:color w:val="000000"/>
                <w:sz w:val="18"/>
                <w:szCs w:val="18"/>
              </w:rPr>
              <w:t>Projektligj mbi Ndryshimet Klimatike</w:t>
            </w:r>
          </w:p>
        </w:tc>
      </w:tr>
      <w:tr w:rsidR="00E566BF" w:rsidRPr="00FD5AD9" w14:paraId="6EDD00E2" w14:textId="77777777" w:rsidTr="001C467C">
        <w:trPr>
          <w:trHeight w:val="20"/>
        </w:trPr>
        <w:tc>
          <w:tcPr>
            <w:cnfStyle w:val="001000000000" w:firstRow="0" w:lastRow="0" w:firstColumn="1" w:lastColumn="0" w:oddVBand="0" w:evenVBand="0" w:oddHBand="0" w:evenHBand="0" w:firstRowFirstColumn="0" w:firstRowLastColumn="0" w:lastRowFirstColumn="0" w:lastRowLastColumn="0"/>
            <w:tcW w:w="396" w:type="pct"/>
            <w:vAlign w:val="center"/>
            <w:hideMark/>
          </w:tcPr>
          <w:p w14:paraId="6EDD00DF" w14:textId="77777777" w:rsidR="00E566BF" w:rsidRPr="00FD5AD9" w:rsidRDefault="00E566BF" w:rsidP="00E566BF">
            <w:pPr>
              <w:spacing w:after="0"/>
              <w:rPr>
                <w:rFonts w:ascii="Garamond" w:eastAsia="Times New Roman" w:hAnsi="Garamond" w:cs="Times New Roman"/>
                <w:color w:val="000000"/>
                <w:sz w:val="18"/>
                <w:szCs w:val="18"/>
              </w:rPr>
            </w:pPr>
            <w:r w:rsidRPr="00FD5AD9">
              <w:rPr>
                <w:rFonts w:ascii="Garamond" w:eastAsia="Times New Roman" w:hAnsi="Garamond" w:cs="Times New Roman"/>
                <w:color w:val="000000"/>
                <w:sz w:val="18"/>
                <w:szCs w:val="18"/>
              </w:rPr>
              <w:t>A15</w:t>
            </w:r>
          </w:p>
        </w:tc>
        <w:tc>
          <w:tcPr>
            <w:tcW w:w="3392" w:type="pct"/>
            <w:vAlign w:val="center"/>
            <w:hideMark/>
          </w:tcPr>
          <w:p w14:paraId="6EDD00E0" w14:textId="77777777" w:rsidR="00E566BF" w:rsidRPr="00FD5AD9" w:rsidRDefault="00E566BF" w:rsidP="00E566BF">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FD5AD9">
              <w:rPr>
                <w:rFonts w:ascii="Garamond" w:eastAsia="Times New Roman" w:hAnsi="Garamond" w:cs="Times New Roman"/>
                <w:sz w:val="18"/>
                <w:szCs w:val="18"/>
              </w:rPr>
              <w:t>Mbledhje të dhënash për tokat bujqësore dhe praktikat.</w:t>
            </w:r>
          </w:p>
        </w:tc>
        <w:tc>
          <w:tcPr>
            <w:tcW w:w="1212" w:type="pct"/>
            <w:vAlign w:val="center"/>
            <w:hideMark/>
          </w:tcPr>
          <w:p w14:paraId="6EDD00E1" w14:textId="77777777" w:rsidR="00E566BF" w:rsidRPr="00FD5AD9" w:rsidRDefault="00E566BF" w:rsidP="00E566BF">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FD5AD9">
              <w:rPr>
                <w:rFonts w:ascii="Garamond" w:eastAsia="Times New Roman" w:hAnsi="Garamond" w:cs="Times New Roman"/>
                <w:color w:val="000000"/>
                <w:sz w:val="18"/>
                <w:szCs w:val="18"/>
              </w:rPr>
              <w:t>PKZNK</w:t>
            </w:r>
          </w:p>
        </w:tc>
      </w:tr>
      <w:tr w:rsidR="00E566BF" w:rsidRPr="00FD5AD9" w14:paraId="6EDD00E6" w14:textId="77777777" w:rsidTr="001C467C">
        <w:trPr>
          <w:trHeight w:val="20"/>
        </w:trPr>
        <w:tc>
          <w:tcPr>
            <w:cnfStyle w:val="001000000000" w:firstRow="0" w:lastRow="0" w:firstColumn="1" w:lastColumn="0" w:oddVBand="0" w:evenVBand="0" w:oddHBand="0" w:evenHBand="0" w:firstRowFirstColumn="0" w:firstRowLastColumn="0" w:lastRowFirstColumn="0" w:lastRowLastColumn="0"/>
            <w:tcW w:w="396" w:type="pct"/>
            <w:vAlign w:val="center"/>
            <w:hideMark/>
          </w:tcPr>
          <w:p w14:paraId="6EDD00E3" w14:textId="77777777" w:rsidR="00E566BF" w:rsidRPr="00FD5AD9" w:rsidRDefault="00E566BF" w:rsidP="00E566BF">
            <w:pPr>
              <w:spacing w:after="0"/>
              <w:rPr>
                <w:rFonts w:ascii="Garamond" w:eastAsia="Times New Roman" w:hAnsi="Garamond" w:cs="Times New Roman"/>
                <w:color w:val="000000"/>
                <w:sz w:val="18"/>
                <w:szCs w:val="18"/>
              </w:rPr>
            </w:pPr>
            <w:r w:rsidRPr="00FD5AD9">
              <w:rPr>
                <w:rFonts w:ascii="Garamond" w:eastAsia="Times New Roman" w:hAnsi="Garamond" w:cs="Times New Roman"/>
                <w:color w:val="000000"/>
                <w:sz w:val="18"/>
                <w:szCs w:val="18"/>
              </w:rPr>
              <w:t>L6</w:t>
            </w:r>
          </w:p>
        </w:tc>
        <w:tc>
          <w:tcPr>
            <w:tcW w:w="3392" w:type="pct"/>
            <w:vAlign w:val="center"/>
            <w:hideMark/>
          </w:tcPr>
          <w:p w14:paraId="6EDD00E4" w14:textId="19A5C0CB" w:rsidR="00E566BF" w:rsidRPr="00FD5AD9" w:rsidRDefault="00E566BF" w:rsidP="00E566BF">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sz w:val="18"/>
                <w:szCs w:val="18"/>
              </w:rPr>
            </w:pPr>
            <w:r w:rsidRPr="00FD5AD9">
              <w:rPr>
                <w:rFonts w:ascii="Garamond" w:eastAsia="Times New Roman" w:hAnsi="Garamond" w:cs="Times New Roman"/>
                <w:color w:val="000000"/>
                <w:sz w:val="18"/>
                <w:szCs w:val="18"/>
              </w:rPr>
              <w:t>Inventari i habitateve natyrore parësore në Shqipëri.</w:t>
            </w:r>
            <w:r w:rsidR="008D30FC" w:rsidRPr="00FD5AD9">
              <w:rPr>
                <w:rFonts w:ascii="Garamond" w:eastAsia="Times New Roman" w:hAnsi="Garamond" w:cs="Times New Roman"/>
                <w:color w:val="000000"/>
                <w:sz w:val="18"/>
                <w:szCs w:val="18"/>
              </w:rPr>
              <w:t xml:space="preserve"> </w:t>
            </w:r>
            <w:r w:rsidRPr="00FD5AD9">
              <w:rPr>
                <w:rFonts w:ascii="Garamond" w:eastAsia="Times New Roman" w:hAnsi="Garamond" w:cs="Times New Roman"/>
                <w:color w:val="000000"/>
                <w:sz w:val="18"/>
                <w:szCs w:val="18"/>
              </w:rPr>
              <w:t xml:space="preserve">Identifikimi i habitateve natyrore prioritare në mbarë vendin (bazuar në listën e propozuar në DPSMB) dhe identifikimi i llojeve të tjera të habitateve me vlerë të lartë konservuese dhe zonimi </w:t>
            </w:r>
            <w:r w:rsidR="000A2A01" w:rsidRPr="00FD5AD9">
              <w:rPr>
                <w:rFonts w:ascii="Garamond" w:eastAsia="Times New Roman" w:hAnsi="Garamond" w:cs="Times New Roman"/>
                <w:color w:val="000000"/>
                <w:sz w:val="18"/>
                <w:szCs w:val="18"/>
              </w:rPr>
              <w:t>“</w:t>
            </w:r>
            <w:r w:rsidRPr="00FD5AD9">
              <w:rPr>
                <w:rFonts w:ascii="Garamond" w:eastAsia="Times New Roman" w:hAnsi="Garamond" w:cs="Times New Roman"/>
                <w:color w:val="000000"/>
                <w:sz w:val="18"/>
                <w:szCs w:val="18"/>
              </w:rPr>
              <w:t>NATURA 2000</w:t>
            </w:r>
            <w:r w:rsidR="000A2A01" w:rsidRPr="00FD5AD9">
              <w:rPr>
                <w:rFonts w:ascii="Garamond" w:eastAsia="Times New Roman" w:hAnsi="Garamond" w:cs="Times New Roman"/>
                <w:color w:val="000000"/>
                <w:sz w:val="18"/>
                <w:szCs w:val="18"/>
              </w:rPr>
              <w:t>”</w:t>
            </w:r>
            <w:r w:rsidRPr="00FD5AD9">
              <w:rPr>
                <w:rFonts w:ascii="Garamond" w:eastAsia="Times New Roman" w:hAnsi="Garamond" w:cs="Times New Roman"/>
                <w:color w:val="000000"/>
                <w:sz w:val="18"/>
                <w:szCs w:val="18"/>
              </w:rPr>
              <w:t>.</w:t>
            </w:r>
          </w:p>
        </w:tc>
        <w:tc>
          <w:tcPr>
            <w:tcW w:w="1212" w:type="pct"/>
            <w:vAlign w:val="center"/>
            <w:hideMark/>
          </w:tcPr>
          <w:p w14:paraId="6EDD00E5" w14:textId="77777777" w:rsidR="00E566BF" w:rsidRPr="00FD5AD9" w:rsidRDefault="00E566BF" w:rsidP="00E566BF">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FD5AD9">
              <w:rPr>
                <w:rFonts w:ascii="Garamond" w:eastAsia="Times New Roman" w:hAnsi="Garamond" w:cs="Times New Roman"/>
                <w:sz w:val="18"/>
                <w:szCs w:val="18"/>
              </w:rPr>
              <w:t>DPSMB; PKT</w:t>
            </w:r>
          </w:p>
        </w:tc>
      </w:tr>
      <w:tr w:rsidR="00E566BF" w:rsidRPr="00FD5AD9" w14:paraId="6EDD00EA" w14:textId="77777777" w:rsidTr="001C467C">
        <w:trPr>
          <w:trHeight w:val="20"/>
        </w:trPr>
        <w:tc>
          <w:tcPr>
            <w:cnfStyle w:val="001000000000" w:firstRow="0" w:lastRow="0" w:firstColumn="1" w:lastColumn="0" w:oddVBand="0" w:evenVBand="0" w:oddHBand="0" w:evenHBand="0" w:firstRowFirstColumn="0" w:firstRowLastColumn="0" w:lastRowFirstColumn="0" w:lastRowLastColumn="0"/>
            <w:tcW w:w="396" w:type="pct"/>
            <w:vAlign w:val="center"/>
            <w:hideMark/>
          </w:tcPr>
          <w:p w14:paraId="6EDD00E7" w14:textId="77777777" w:rsidR="00E566BF" w:rsidRPr="00FD5AD9" w:rsidRDefault="00E566BF" w:rsidP="00E566BF">
            <w:pPr>
              <w:spacing w:after="0"/>
              <w:rPr>
                <w:rFonts w:ascii="Garamond" w:eastAsia="Times New Roman" w:hAnsi="Garamond" w:cs="Times New Roman"/>
                <w:color w:val="000000"/>
                <w:sz w:val="18"/>
                <w:szCs w:val="18"/>
              </w:rPr>
            </w:pPr>
            <w:r w:rsidRPr="00FD5AD9">
              <w:rPr>
                <w:rFonts w:ascii="Garamond" w:eastAsia="Times New Roman" w:hAnsi="Garamond" w:cs="Times New Roman"/>
                <w:color w:val="000000"/>
                <w:sz w:val="18"/>
                <w:szCs w:val="18"/>
              </w:rPr>
              <w:t>L7</w:t>
            </w:r>
          </w:p>
        </w:tc>
        <w:tc>
          <w:tcPr>
            <w:tcW w:w="3392" w:type="pct"/>
            <w:vAlign w:val="center"/>
            <w:hideMark/>
          </w:tcPr>
          <w:p w14:paraId="6EDD00E8" w14:textId="77777777" w:rsidR="00E566BF" w:rsidRPr="00FD5AD9" w:rsidRDefault="00E566BF" w:rsidP="00E566BF">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sz w:val="18"/>
                <w:szCs w:val="18"/>
              </w:rPr>
            </w:pPr>
            <w:r w:rsidRPr="00FD5AD9">
              <w:rPr>
                <w:rFonts w:ascii="Garamond" w:eastAsia="Times New Roman" w:hAnsi="Garamond" w:cs="Times New Roman"/>
                <w:color w:val="000000"/>
                <w:sz w:val="18"/>
                <w:szCs w:val="18"/>
              </w:rPr>
              <w:t>Ngitja e një sistemi monitorimi për zonat e rëndësishme konservuese.</w:t>
            </w:r>
          </w:p>
        </w:tc>
        <w:tc>
          <w:tcPr>
            <w:tcW w:w="1212" w:type="pct"/>
            <w:vAlign w:val="center"/>
            <w:hideMark/>
          </w:tcPr>
          <w:p w14:paraId="6EDD00E9" w14:textId="77777777" w:rsidR="00E566BF" w:rsidRPr="00FD5AD9" w:rsidRDefault="00E566BF" w:rsidP="00E566BF">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FD5AD9">
              <w:rPr>
                <w:rFonts w:ascii="Garamond" w:eastAsia="Times New Roman" w:hAnsi="Garamond" w:cs="Times New Roman"/>
                <w:sz w:val="18"/>
                <w:szCs w:val="18"/>
              </w:rPr>
              <w:t>DPSMB</w:t>
            </w:r>
          </w:p>
        </w:tc>
      </w:tr>
      <w:tr w:rsidR="00E566BF" w:rsidRPr="00FD5AD9" w14:paraId="6EDD00EE" w14:textId="77777777" w:rsidTr="001C467C">
        <w:trPr>
          <w:trHeight w:val="20"/>
        </w:trPr>
        <w:tc>
          <w:tcPr>
            <w:cnfStyle w:val="001000000000" w:firstRow="0" w:lastRow="0" w:firstColumn="1" w:lastColumn="0" w:oddVBand="0" w:evenVBand="0" w:oddHBand="0" w:evenHBand="0" w:firstRowFirstColumn="0" w:firstRowLastColumn="0" w:lastRowFirstColumn="0" w:lastRowLastColumn="0"/>
            <w:tcW w:w="396" w:type="pct"/>
            <w:vAlign w:val="center"/>
            <w:hideMark/>
          </w:tcPr>
          <w:p w14:paraId="6EDD00EB" w14:textId="77777777" w:rsidR="00E566BF" w:rsidRPr="00FD5AD9" w:rsidRDefault="00E566BF" w:rsidP="00E566BF">
            <w:pPr>
              <w:spacing w:after="0"/>
              <w:rPr>
                <w:rFonts w:ascii="Garamond" w:eastAsia="Times New Roman" w:hAnsi="Garamond" w:cs="Times New Roman"/>
                <w:color w:val="000000"/>
                <w:sz w:val="18"/>
                <w:szCs w:val="18"/>
              </w:rPr>
            </w:pPr>
            <w:r w:rsidRPr="00FD5AD9">
              <w:rPr>
                <w:rFonts w:ascii="Garamond" w:eastAsia="Times New Roman" w:hAnsi="Garamond" w:cs="Times New Roman"/>
                <w:color w:val="000000"/>
                <w:sz w:val="18"/>
                <w:szCs w:val="18"/>
              </w:rPr>
              <w:t>L22</w:t>
            </w:r>
          </w:p>
        </w:tc>
        <w:tc>
          <w:tcPr>
            <w:tcW w:w="3392" w:type="pct"/>
            <w:vAlign w:val="center"/>
            <w:hideMark/>
          </w:tcPr>
          <w:p w14:paraId="6EDD00EC" w14:textId="11466574" w:rsidR="00E566BF" w:rsidRPr="00FD5AD9" w:rsidRDefault="00E566BF" w:rsidP="00E566BF">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FD5AD9">
              <w:rPr>
                <w:rFonts w:ascii="Garamond" w:eastAsia="Times New Roman" w:hAnsi="Garamond" w:cs="Times New Roman"/>
                <w:sz w:val="18"/>
                <w:szCs w:val="18"/>
              </w:rPr>
              <w:t>Përmirësimi i planifikimit të sektorit pyjor dhe sistemi i informacionit i bazës së</w:t>
            </w:r>
            <w:r w:rsidR="000A2A01" w:rsidRPr="00FD5AD9">
              <w:rPr>
                <w:rFonts w:ascii="Garamond" w:eastAsia="Times New Roman" w:hAnsi="Garamond" w:cs="Times New Roman"/>
                <w:sz w:val="18"/>
                <w:szCs w:val="18"/>
              </w:rPr>
              <w:t xml:space="preserve"> </w:t>
            </w:r>
            <w:r w:rsidRPr="00FD5AD9">
              <w:rPr>
                <w:rFonts w:ascii="Garamond" w:eastAsia="Times New Roman" w:hAnsi="Garamond" w:cs="Times New Roman"/>
                <w:sz w:val="18"/>
                <w:szCs w:val="18"/>
              </w:rPr>
              <w:t>të dhënave pyjore dhe bimëve shumuese hartohet dhe miratohet, duke përditësuar të dhënat e tyre, si dhe duke arritur 37% të objektivit dhe ngritjen e njësive territoriale me funksion prodhimin dhe menaxhimin e tyre të integruar përmes teknikave të përparuara.</w:t>
            </w:r>
          </w:p>
        </w:tc>
        <w:tc>
          <w:tcPr>
            <w:tcW w:w="1212" w:type="pct"/>
            <w:vAlign w:val="center"/>
            <w:hideMark/>
          </w:tcPr>
          <w:p w14:paraId="6EDD00ED" w14:textId="77777777" w:rsidR="00E566BF" w:rsidRPr="00FD5AD9" w:rsidRDefault="00E566BF" w:rsidP="00E566BF">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FD5AD9">
              <w:rPr>
                <w:rFonts w:ascii="Garamond" w:eastAsia="Times New Roman" w:hAnsi="Garamond" w:cs="Times New Roman"/>
                <w:sz w:val="18"/>
                <w:szCs w:val="18"/>
              </w:rPr>
              <w:t xml:space="preserve">SMNS; SKZHI-II; Projektligj mbi Fondin e Pyjeve dhe Kullotave </w:t>
            </w:r>
          </w:p>
        </w:tc>
      </w:tr>
      <w:tr w:rsidR="00E566BF" w:rsidRPr="00FD5AD9" w14:paraId="6EDD00F2" w14:textId="77777777" w:rsidTr="001C467C">
        <w:trPr>
          <w:trHeight w:val="20"/>
        </w:trPr>
        <w:tc>
          <w:tcPr>
            <w:cnfStyle w:val="001000000000" w:firstRow="0" w:lastRow="0" w:firstColumn="1" w:lastColumn="0" w:oddVBand="0" w:evenVBand="0" w:oddHBand="0" w:evenHBand="0" w:firstRowFirstColumn="0" w:firstRowLastColumn="0" w:lastRowFirstColumn="0" w:lastRowLastColumn="0"/>
            <w:tcW w:w="396" w:type="pct"/>
            <w:vAlign w:val="center"/>
            <w:hideMark/>
          </w:tcPr>
          <w:p w14:paraId="6EDD00EF" w14:textId="77777777" w:rsidR="00E566BF" w:rsidRPr="00FD5AD9" w:rsidRDefault="00E566BF" w:rsidP="00E566BF">
            <w:pPr>
              <w:spacing w:after="0"/>
              <w:rPr>
                <w:rFonts w:ascii="Garamond" w:eastAsia="Times New Roman" w:hAnsi="Garamond" w:cs="Times New Roman"/>
                <w:color w:val="000000"/>
                <w:sz w:val="18"/>
                <w:szCs w:val="18"/>
              </w:rPr>
            </w:pPr>
            <w:r w:rsidRPr="00FD5AD9">
              <w:rPr>
                <w:rFonts w:ascii="Garamond" w:eastAsia="Times New Roman" w:hAnsi="Garamond" w:cs="Times New Roman"/>
                <w:color w:val="000000"/>
                <w:sz w:val="18"/>
                <w:szCs w:val="18"/>
              </w:rPr>
              <w:t>L23</w:t>
            </w:r>
          </w:p>
        </w:tc>
        <w:tc>
          <w:tcPr>
            <w:tcW w:w="3392" w:type="pct"/>
            <w:vAlign w:val="center"/>
            <w:hideMark/>
          </w:tcPr>
          <w:p w14:paraId="6EDD00F0" w14:textId="77777777" w:rsidR="00E566BF" w:rsidRPr="00FD5AD9" w:rsidRDefault="00E566BF" w:rsidP="00E566BF">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sz w:val="18"/>
                <w:szCs w:val="18"/>
              </w:rPr>
            </w:pPr>
            <w:r w:rsidRPr="00FD5AD9">
              <w:rPr>
                <w:rFonts w:ascii="Garamond" w:eastAsia="Times New Roman" w:hAnsi="Garamond" w:cs="Times New Roman"/>
                <w:color w:val="000000"/>
                <w:sz w:val="18"/>
                <w:szCs w:val="18"/>
              </w:rPr>
              <w:t xml:space="preserve">Ngritja e një baze të dhënash për mbledhje të dhënash mbi lëndën e djegshme </w:t>
            </w:r>
          </w:p>
        </w:tc>
        <w:tc>
          <w:tcPr>
            <w:tcW w:w="1212" w:type="pct"/>
            <w:vAlign w:val="center"/>
            <w:hideMark/>
          </w:tcPr>
          <w:p w14:paraId="6EDD00F1" w14:textId="77777777" w:rsidR="00E566BF" w:rsidRPr="00FD5AD9" w:rsidRDefault="00E566BF" w:rsidP="00E566BF">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FD5AD9">
              <w:rPr>
                <w:rFonts w:ascii="Garamond" w:eastAsia="Times New Roman" w:hAnsi="Garamond" w:cs="Times New Roman"/>
                <w:sz w:val="18"/>
                <w:szCs w:val="18"/>
              </w:rPr>
              <w:t>Projektligj mbi Fondin e Pyjeve dhe Kullotave</w:t>
            </w:r>
          </w:p>
        </w:tc>
      </w:tr>
      <w:tr w:rsidR="00E566BF" w:rsidRPr="00FD5AD9" w14:paraId="6EDD00F6" w14:textId="77777777" w:rsidTr="001C467C">
        <w:trPr>
          <w:trHeight w:val="20"/>
        </w:trPr>
        <w:tc>
          <w:tcPr>
            <w:cnfStyle w:val="001000000000" w:firstRow="0" w:lastRow="0" w:firstColumn="1" w:lastColumn="0" w:oddVBand="0" w:evenVBand="0" w:oddHBand="0" w:evenHBand="0" w:firstRowFirstColumn="0" w:firstRowLastColumn="0" w:lastRowFirstColumn="0" w:lastRowLastColumn="0"/>
            <w:tcW w:w="396" w:type="pct"/>
            <w:vAlign w:val="center"/>
            <w:hideMark/>
          </w:tcPr>
          <w:p w14:paraId="6EDD00F3" w14:textId="77777777" w:rsidR="00E566BF" w:rsidRPr="00FD5AD9" w:rsidRDefault="00E566BF" w:rsidP="00E566BF">
            <w:pPr>
              <w:spacing w:after="0"/>
              <w:rPr>
                <w:rFonts w:ascii="Garamond" w:eastAsia="Times New Roman" w:hAnsi="Garamond" w:cs="Times New Roman"/>
                <w:color w:val="000000"/>
                <w:sz w:val="18"/>
                <w:szCs w:val="18"/>
              </w:rPr>
            </w:pPr>
            <w:r w:rsidRPr="00FD5AD9">
              <w:rPr>
                <w:rFonts w:ascii="Garamond" w:eastAsia="Times New Roman" w:hAnsi="Garamond" w:cs="Times New Roman"/>
                <w:color w:val="000000"/>
                <w:sz w:val="18"/>
                <w:szCs w:val="18"/>
              </w:rPr>
              <w:t>L24</w:t>
            </w:r>
          </w:p>
        </w:tc>
        <w:tc>
          <w:tcPr>
            <w:tcW w:w="3392" w:type="pct"/>
            <w:vAlign w:val="center"/>
            <w:hideMark/>
          </w:tcPr>
          <w:p w14:paraId="6EDD00F4" w14:textId="77777777" w:rsidR="00E566BF" w:rsidRPr="00FD5AD9" w:rsidRDefault="00E566BF" w:rsidP="00E566BF">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sz w:val="18"/>
                <w:szCs w:val="18"/>
              </w:rPr>
            </w:pPr>
            <w:r w:rsidRPr="00FD5AD9">
              <w:rPr>
                <w:rFonts w:ascii="Garamond" w:eastAsia="Times New Roman" w:hAnsi="Garamond" w:cs="Times New Roman"/>
                <w:color w:val="000000"/>
                <w:sz w:val="18"/>
                <w:szCs w:val="18"/>
              </w:rPr>
              <w:t>Krijimi i burimeve financiare për monitorimin e pyjeve dhe kullotave</w:t>
            </w:r>
          </w:p>
        </w:tc>
        <w:tc>
          <w:tcPr>
            <w:tcW w:w="1212" w:type="pct"/>
            <w:vAlign w:val="center"/>
            <w:hideMark/>
          </w:tcPr>
          <w:p w14:paraId="6EDD00F5" w14:textId="77777777" w:rsidR="00E566BF" w:rsidRPr="00FD5AD9" w:rsidRDefault="00E566BF" w:rsidP="00E566BF">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FD5AD9">
              <w:rPr>
                <w:rFonts w:ascii="Garamond" w:eastAsia="Times New Roman" w:hAnsi="Garamond" w:cs="Times New Roman"/>
                <w:sz w:val="18"/>
                <w:szCs w:val="18"/>
              </w:rPr>
              <w:t>Projektligj mbi Fondin e Pyjeve dhe Kullotave</w:t>
            </w:r>
          </w:p>
        </w:tc>
      </w:tr>
      <w:tr w:rsidR="00E566BF" w:rsidRPr="007114AF" w14:paraId="6EDD00FA" w14:textId="77777777" w:rsidTr="001C467C">
        <w:trPr>
          <w:trHeight w:val="20"/>
        </w:trPr>
        <w:tc>
          <w:tcPr>
            <w:cnfStyle w:val="001000000000" w:firstRow="0" w:lastRow="0" w:firstColumn="1" w:lastColumn="0" w:oddVBand="0" w:evenVBand="0" w:oddHBand="0" w:evenHBand="0" w:firstRowFirstColumn="0" w:firstRowLastColumn="0" w:lastRowFirstColumn="0" w:lastRowLastColumn="0"/>
            <w:tcW w:w="396" w:type="pct"/>
            <w:vAlign w:val="center"/>
            <w:hideMark/>
          </w:tcPr>
          <w:p w14:paraId="6EDD00F7" w14:textId="77777777" w:rsidR="00E566BF" w:rsidRPr="00FD5AD9" w:rsidRDefault="00E566BF" w:rsidP="00E566BF">
            <w:pPr>
              <w:spacing w:after="0"/>
              <w:rPr>
                <w:rFonts w:ascii="Garamond" w:eastAsia="Times New Roman" w:hAnsi="Garamond" w:cs="Times New Roman"/>
                <w:color w:val="000000"/>
                <w:sz w:val="18"/>
                <w:szCs w:val="18"/>
              </w:rPr>
            </w:pPr>
            <w:r w:rsidRPr="00FD5AD9">
              <w:rPr>
                <w:rFonts w:ascii="Garamond" w:eastAsia="Times New Roman" w:hAnsi="Garamond" w:cs="Times New Roman"/>
                <w:color w:val="000000"/>
                <w:sz w:val="18"/>
                <w:szCs w:val="18"/>
              </w:rPr>
              <w:t>L48</w:t>
            </w:r>
          </w:p>
        </w:tc>
        <w:tc>
          <w:tcPr>
            <w:tcW w:w="3392" w:type="pct"/>
            <w:vAlign w:val="center"/>
            <w:hideMark/>
          </w:tcPr>
          <w:p w14:paraId="6EDD00F8" w14:textId="77777777" w:rsidR="00E566BF" w:rsidRPr="00FD5AD9" w:rsidRDefault="00E566BF" w:rsidP="00E566BF">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FD5AD9">
              <w:rPr>
                <w:rFonts w:ascii="Garamond" w:eastAsia="Times New Roman" w:hAnsi="Garamond" w:cs="Times New Roman"/>
                <w:sz w:val="18"/>
                <w:szCs w:val="18"/>
              </w:rPr>
              <w:t xml:space="preserve">Forcimi i sistemit të kërkimit, zhvillimit teknik dhe risive në pyje. </w:t>
            </w:r>
          </w:p>
        </w:tc>
        <w:tc>
          <w:tcPr>
            <w:tcW w:w="1212" w:type="pct"/>
            <w:vAlign w:val="center"/>
            <w:hideMark/>
          </w:tcPr>
          <w:p w14:paraId="6EDD00F9" w14:textId="77777777" w:rsidR="00E566BF" w:rsidRPr="007114AF" w:rsidRDefault="00E566BF" w:rsidP="00E566BF">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FD5AD9">
              <w:rPr>
                <w:rFonts w:ascii="Garamond" w:eastAsia="Times New Roman" w:hAnsi="Garamond" w:cs="Times New Roman"/>
                <w:sz w:val="18"/>
                <w:szCs w:val="18"/>
              </w:rPr>
              <w:t>SMNS</w:t>
            </w:r>
          </w:p>
        </w:tc>
      </w:tr>
    </w:tbl>
    <w:p w14:paraId="6EDD00FB" w14:textId="77777777" w:rsidR="008A4207" w:rsidRPr="007114AF" w:rsidRDefault="008A4207" w:rsidP="00D9782D">
      <w:pPr>
        <w:pStyle w:val="TEKSTI"/>
      </w:pPr>
    </w:p>
    <w:p w14:paraId="6EDD00FC" w14:textId="1A973310" w:rsidR="00D9782D" w:rsidRPr="007114AF" w:rsidRDefault="00D9782D" w:rsidP="00D9782D">
      <w:pPr>
        <w:pStyle w:val="TEKSTI"/>
        <w:rPr>
          <w:b/>
        </w:rPr>
      </w:pPr>
      <w:bookmarkStart w:id="172" w:name="_Toc476580577"/>
      <w:bookmarkStart w:id="173" w:name="_Toc484424524"/>
      <w:r w:rsidRPr="007114AF">
        <w:rPr>
          <w:b/>
        </w:rPr>
        <w:t xml:space="preserve">5.7 Burimet </w:t>
      </w:r>
      <w:r w:rsidR="00676CBC" w:rsidRPr="007114AF">
        <w:rPr>
          <w:b/>
        </w:rPr>
        <w:t>financiare</w:t>
      </w:r>
      <w:bookmarkEnd w:id="172"/>
      <w:r w:rsidRPr="007114AF">
        <w:rPr>
          <w:b/>
        </w:rPr>
        <w:t xml:space="preserve"> për Planin e Zbutjes</w:t>
      </w:r>
      <w:bookmarkEnd w:id="173"/>
    </w:p>
    <w:p w14:paraId="6EDD00FD" w14:textId="111B2169" w:rsidR="00D9782D" w:rsidRPr="007114AF" w:rsidRDefault="00D9782D" w:rsidP="00D9782D">
      <w:pPr>
        <w:pStyle w:val="TEKSTI"/>
      </w:pPr>
      <w:r w:rsidRPr="007114AF">
        <w:t xml:space="preserve"> </w:t>
      </w:r>
      <w:r w:rsidR="000A2A01" w:rsidRPr="007114AF">
        <w:t>“</w:t>
      </w:r>
      <w:r w:rsidRPr="007114AF">
        <w:t>Strategjia Kombëtare dhe Planeve të Veprimit</w:t>
      </w:r>
      <w:r w:rsidR="000A2A01" w:rsidRPr="007114AF">
        <w:t xml:space="preserve"> </w:t>
      </w:r>
      <w:r w:rsidRPr="007114AF">
        <w:t>për Zbutjen me Efekt Serrë (NMP) dhe Përshtatjen ndaj Ndryshimeve Klimaterike (NAP) është hartuar mbështetur në një numër në strategjish sektoriale, kuadrin ligjor ekzistues dhe draft ligje/plane në proces miratimi gjatë hartimit të këtij dokumenti. Masat e parashikuara sipas sektorëve nuk janë masa të reja. Burimet e financimit të tyre janë parashikuar në dokumentet respektive. Plani i Veprimit</w:t>
      </w:r>
      <w:r w:rsidR="000A2A01" w:rsidRPr="007114AF">
        <w:t xml:space="preserve"> </w:t>
      </w:r>
      <w:r w:rsidRPr="007114AF">
        <w:t>për Zbutjen me Efekt Serrë (NMP)</w:t>
      </w:r>
      <w:r w:rsidR="000A2A01" w:rsidRPr="007114AF">
        <w:t xml:space="preserve"> </w:t>
      </w:r>
      <w:r w:rsidRPr="007114AF">
        <w:t xml:space="preserve">ka </w:t>
      </w:r>
      <w:r w:rsidR="00FD5AD9" w:rsidRPr="007114AF">
        <w:t>përmbledhur</w:t>
      </w:r>
      <w:r w:rsidRPr="007114AF">
        <w:t xml:space="preserve"> masat me ndikim në efektin serrë dhe ka bërë një analizë të kostove totale dhe burimeve të financimit</w:t>
      </w:r>
    </w:p>
    <w:p w14:paraId="6EDD00FE" w14:textId="58DD7F6D" w:rsidR="00D9782D" w:rsidRPr="007114AF" w:rsidRDefault="00D9782D" w:rsidP="00D9782D">
      <w:pPr>
        <w:pStyle w:val="TEKSTI"/>
      </w:pPr>
      <w:r w:rsidRPr="007114AF">
        <w:t>Që nga 2005, Shqipëria ka paraqitur Sistemin e Planëzimit të Integruar (IPS), i cili ka si qëllim të sigurojë: koherencë, efektivitet dhe harmonizim në planet strategjike, financat publike dhe monitorimin e politikave. Në mënyrë specifike, IPS-ja duhet të sigurojë koherencën ndërmjet Strategjisë Kombëtare për Zhvillim dhe Integrim (NSDI), strategjitë afatgjatë e ndërsektoriale,</w:t>
      </w:r>
      <w:r w:rsidR="00FD5AD9">
        <w:t xml:space="preserve"> </w:t>
      </w:r>
      <w:r w:rsidRPr="007114AF">
        <w:t xml:space="preserve">si dhe Programin e Buxhetit Afatmesëm (MTBP). Një element kyç i IPS-ës është se strategjitë sektoriale duhet të udhëzojnë MTBP-në dhe buxhetin vjetor shtetëror. </w:t>
      </w:r>
    </w:p>
    <w:p w14:paraId="6EDD00FF" w14:textId="76B56CC8" w:rsidR="00D9782D" w:rsidRPr="007114AF" w:rsidRDefault="00D9782D" w:rsidP="00D9782D">
      <w:pPr>
        <w:pStyle w:val="TEKSTI"/>
      </w:pPr>
      <w:r w:rsidRPr="007114AF">
        <w:t>Plani i V</w:t>
      </w:r>
      <w:r w:rsidR="00FD5AD9">
        <w:t>e</w:t>
      </w:r>
      <w:r w:rsidRPr="007114AF">
        <w:t>primit për secilin prej sektorëve është kostuar duke u bazuar në dokument</w:t>
      </w:r>
      <w:r w:rsidR="00FD5AD9">
        <w:t>e</w:t>
      </w:r>
      <w:r w:rsidRPr="007114AF">
        <w:t>t e PBA 2020</w:t>
      </w:r>
      <w:r w:rsidR="001A6E2E">
        <w:t>–</w:t>
      </w:r>
      <w:r w:rsidRPr="007114AF">
        <w:t xml:space="preserve">2022 të dorëzuar nga </w:t>
      </w:r>
      <w:r w:rsidR="00FD5AD9">
        <w:t>m</w:t>
      </w:r>
      <w:r w:rsidRPr="007114AF">
        <w:t>inistritë e linjës për fazën e parë të PBA</w:t>
      </w:r>
      <w:r w:rsidR="00A419A4">
        <w:t>-së</w:t>
      </w:r>
      <w:r w:rsidRPr="007114AF">
        <w:t xml:space="preserve">. </w:t>
      </w:r>
    </w:p>
    <w:p w14:paraId="6EDD0100" w14:textId="77777777" w:rsidR="00E566BF" w:rsidRPr="007114AF" w:rsidRDefault="00E566BF" w:rsidP="00524E98">
      <w:pPr>
        <w:pStyle w:val="TEKSTI"/>
        <w:rPr>
          <w:sz w:val="14"/>
        </w:rPr>
      </w:pPr>
    </w:p>
    <w:tbl>
      <w:tblPr>
        <w:tblW w:w="5330" w:type="pct"/>
        <w:tblLayout w:type="fixed"/>
        <w:tblLook w:val="04A0" w:firstRow="1" w:lastRow="0" w:firstColumn="1" w:lastColumn="0" w:noHBand="0" w:noVBand="1"/>
      </w:tblPr>
      <w:tblGrid>
        <w:gridCol w:w="1609"/>
        <w:gridCol w:w="1606"/>
        <w:gridCol w:w="2323"/>
        <w:gridCol w:w="1338"/>
        <w:gridCol w:w="1420"/>
        <w:gridCol w:w="1604"/>
      </w:tblGrid>
      <w:tr w:rsidR="004C7CD4" w:rsidRPr="007114AF" w14:paraId="6EDD0102" w14:textId="77777777" w:rsidTr="001C467C">
        <w:trPr>
          <w:gridAfter w:val="3"/>
          <w:wAfter w:w="2203" w:type="pct"/>
          <w:trHeight w:val="315"/>
        </w:trPr>
        <w:tc>
          <w:tcPr>
            <w:tcW w:w="2797" w:type="pct"/>
            <w:gridSpan w:val="3"/>
            <w:tcBorders>
              <w:top w:val="nil"/>
              <w:left w:val="nil"/>
              <w:bottom w:val="nil"/>
              <w:right w:val="nil"/>
            </w:tcBorders>
            <w:shd w:val="clear" w:color="000000" w:fill="EBF1DE"/>
            <w:noWrap/>
            <w:vAlign w:val="bottom"/>
            <w:hideMark/>
          </w:tcPr>
          <w:p w14:paraId="6EDD0101" w14:textId="77777777" w:rsidR="004C7CD4" w:rsidRPr="007114AF" w:rsidRDefault="004C7CD4" w:rsidP="00A45C8C">
            <w:pPr>
              <w:pStyle w:val="FIGURA"/>
              <w:rPr>
                <w:rFonts w:eastAsia="Times New Roman"/>
                <w:sz w:val="20"/>
                <w:szCs w:val="20"/>
                <w:lang w:eastAsia="en-US"/>
              </w:rPr>
            </w:pPr>
            <w:r w:rsidRPr="007114AF">
              <w:rPr>
                <w:rFonts w:eastAsia="Times New Roman"/>
                <w:sz w:val="20"/>
                <w:szCs w:val="20"/>
                <w:lang w:eastAsia="en-US"/>
              </w:rPr>
              <w:lastRenderedPageBreak/>
              <w:t>Burimet e financimit për implementimin e strategjisë</w:t>
            </w:r>
          </w:p>
        </w:tc>
      </w:tr>
      <w:tr w:rsidR="004C7CD4" w:rsidRPr="007114AF" w14:paraId="6EDD0109" w14:textId="77777777" w:rsidTr="001C467C">
        <w:trPr>
          <w:trHeight w:val="510"/>
        </w:trPr>
        <w:tc>
          <w:tcPr>
            <w:tcW w:w="813" w:type="pct"/>
            <w:tcBorders>
              <w:top w:val="single" w:sz="4" w:space="0" w:color="auto"/>
              <w:left w:val="single" w:sz="4" w:space="0" w:color="auto"/>
              <w:bottom w:val="single" w:sz="4" w:space="0" w:color="auto"/>
              <w:right w:val="single" w:sz="4" w:space="0" w:color="auto"/>
            </w:tcBorders>
            <w:shd w:val="clear" w:color="000000" w:fill="EBF1DE"/>
            <w:hideMark/>
          </w:tcPr>
          <w:p w14:paraId="6EDD0103" w14:textId="77777777" w:rsidR="004C7CD4" w:rsidRPr="007114AF" w:rsidRDefault="004C7CD4" w:rsidP="004C7CD4">
            <w:pPr>
              <w:spacing w:after="0" w:line="240" w:lineRule="auto"/>
              <w:jc w:val="center"/>
              <w:rPr>
                <w:rFonts w:ascii="Garamond" w:eastAsia="Times New Roman" w:hAnsi="Garamond" w:cs="Times New Roman"/>
                <w:b/>
                <w:bCs/>
                <w:color w:val="000000"/>
                <w:sz w:val="20"/>
                <w:szCs w:val="20"/>
                <w:lang w:eastAsia="en-US"/>
              </w:rPr>
            </w:pPr>
            <w:r w:rsidRPr="007114AF">
              <w:rPr>
                <w:rFonts w:ascii="Garamond" w:eastAsia="Times New Roman" w:hAnsi="Garamond" w:cs="Times New Roman"/>
                <w:b/>
                <w:bCs/>
                <w:color w:val="000000"/>
                <w:sz w:val="20"/>
                <w:szCs w:val="20"/>
                <w:lang w:eastAsia="en-US"/>
              </w:rPr>
              <w:t> </w:t>
            </w:r>
          </w:p>
        </w:tc>
        <w:tc>
          <w:tcPr>
            <w:tcW w:w="811" w:type="pct"/>
            <w:tcBorders>
              <w:top w:val="single" w:sz="4" w:space="0" w:color="auto"/>
              <w:left w:val="nil"/>
              <w:bottom w:val="single" w:sz="4" w:space="0" w:color="auto"/>
              <w:right w:val="single" w:sz="4" w:space="0" w:color="auto"/>
            </w:tcBorders>
            <w:shd w:val="clear" w:color="000000" w:fill="F2F2F2"/>
            <w:vAlign w:val="center"/>
            <w:hideMark/>
          </w:tcPr>
          <w:p w14:paraId="6EDD0104" w14:textId="77777777" w:rsidR="004C7CD4" w:rsidRPr="007114AF" w:rsidRDefault="004C7CD4" w:rsidP="004C7CD4">
            <w:pPr>
              <w:spacing w:after="0" w:line="240" w:lineRule="auto"/>
              <w:jc w:val="center"/>
              <w:rPr>
                <w:rFonts w:ascii="Garamond" w:eastAsia="Times New Roman" w:hAnsi="Garamond" w:cs="Times New Roman"/>
                <w:b/>
                <w:bCs/>
                <w:sz w:val="16"/>
                <w:szCs w:val="16"/>
                <w:lang w:eastAsia="en-US"/>
              </w:rPr>
            </w:pPr>
            <w:r w:rsidRPr="007114AF">
              <w:rPr>
                <w:rFonts w:ascii="Garamond" w:eastAsia="Times New Roman" w:hAnsi="Garamond" w:cs="Times New Roman"/>
                <w:b/>
                <w:bCs/>
                <w:sz w:val="16"/>
                <w:szCs w:val="16"/>
                <w:lang w:eastAsia="en-US"/>
              </w:rPr>
              <w:t xml:space="preserve"> Buxheti i shtetit </w:t>
            </w:r>
          </w:p>
        </w:tc>
        <w:tc>
          <w:tcPr>
            <w:tcW w:w="1173" w:type="pct"/>
            <w:tcBorders>
              <w:top w:val="single" w:sz="4" w:space="0" w:color="auto"/>
              <w:left w:val="nil"/>
              <w:bottom w:val="single" w:sz="4" w:space="0" w:color="auto"/>
              <w:right w:val="nil"/>
            </w:tcBorders>
            <w:shd w:val="clear" w:color="000000" w:fill="F2F2F2"/>
            <w:vAlign w:val="center"/>
            <w:hideMark/>
          </w:tcPr>
          <w:p w14:paraId="6EDD0105" w14:textId="77777777" w:rsidR="004C7CD4" w:rsidRPr="007114AF" w:rsidRDefault="004C7CD4" w:rsidP="004C7CD4">
            <w:pPr>
              <w:spacing w:after="0" w:line="240" w:lineRule="auto"/>
              <w:jc w:val="center"/>
              <w:rPr>
                <w:rFonts w:ascii="Garamond" w:eastAsia="Times New Roman" w:hAnsi="Garamond" w:cs="Times New Roman"/>
                <w:b/>
                <w:bCs/>
                <w:sz w:val="16"/>
                <w:szCs w:val="16"/>
                <w:lang w:eastAsia="en-US"/>
              </w:rPr>
            </w:pPr>
            <w:r w:rsidRPr="007114AF">
              <w:rPr>
                <w:rFonts w:ascii="Garamond" w:eastAsia="Times New Roman" w:hAnsi="Garamond" w:cs="Times New Roman"/>
                <w:b/>
                <w:bCs/>
                <w:sz w:val="16"/>
                <w:szCs w:val="16"/>
                <w:lang w:eastAsia="en-US"/>
              </w:rPr>
              <w:t xml:space="preserve"> EU </w:t>
            </w:r>
          </w:p>
        </w:tc>
        <w:tc>
          <w:tcPr>
            <w:tcW w:w="676" w:type="pct"/>
            <w:tcBorders>
              <w:top w:val="single" w:sz="4" w:space="0" w:color="auto"/>
              <w:left w:val="single" w:sz="4" w:space="0" w:color="auto"/>
              <w:bottom w:val="single" w:sz="4" w:space="0" w:color="auto"/>
              <w:right w:val="nil"/>
            </w:tcBorders>
            <w:shd w:val="clear" w:color="000000" w:fill="F2F2F2"/>
            <w:vAlign w:val="center"/>
            <w:hideMark/>
          </w:tcPr>
          <w:p w14:paraId="6EDD0106" w14:textId="22ECB77E" w:rsidR="004C7CD4" w:rsidRPr="007114AF" w:rsidRDefault="004C7CD4" w:rsidP="004C7CD4">
            <w:pPr>
              <w:spacing w:after="0" w:line="240" w:lineRule="auto"/>
              <w:jc w:val="center"/>
              <w:rPr>
                <w:rFonts w:ascii="Garamond" w:eastAsia="Times New Roman" w:hAnsi="Garamond" w:cs="Times New Roman"/>
                <w:b/>
                <w:bCs/>
                <w:sz w:val="16"/>
                <w:szCs w:val="16"/>
                <w:lang w:eastAsia="en-US"/>
              </w:rPr>
            </w:pPr>
            <w:r w:rsidRPr="007114AF">
              <w:rPr>
                <w:rFonts w:ascii="Garamond" w:eastAsia="Times New Roman" w:hAnsi="Garamond" w:cs="Times New Roman"/>
                <w:b/>
                <w:bCs/>
                <w:sz w:val="16"/>
                <w:szCs w:val="16"/>
                <w:lang w:eastAsia="en-US"/>
              </w:rPr>
              <w:t xml:space="preserve"> Donatorë të tjerë</w:t>
            </w:r>
            <w:r w:rsidR="008D30FC" w:rsidRPr="007114AF">
              <w:rPr>
                <w:rFonts w:ascii="Garamond" w:eastAsia="Times New Roman" w:hAnsi="Garamond" w:cs="Times New Roman"/>
                <w:b/>
                <w:bCs/>
                <w:sz w:val="16"/>
                <w:szCs w:val="16"/>
                <w:lang w:eastAsia="en-US"/>
              </w:rPr>
              <w:t xml:space="preserve"> </w:t>
            </w:r>
          </w:p>
        </w:tc>
        <w:tc>
          <w:tcPr>
            <w:tcW w:w="717" w:type="pct"/>
            <w:tcBorders>
              <w:top w:val="single" w:sz="4" w:space="0" w:color="auto"/>
              <w:left w:val="single" w:sz="4" w:space="0" w:color="auto"/>
              <w:bottom w:val="single" w:sz="4" w:space="0" w:color="auto"/>
              <w:right w:val="nil"/>
            </w:tcBorders>
            <w:shd w:val="clear" w:color="000000" w:fill="F2F2F2"/>
            <w:vAlign w:val="center"/>
            <w:hideMark/>
          </w:tcPr>
          <w:p w14:paraId="6EDD0107" w14:textId="77777777" w:rsidR="004C7CD4" w:rsidRPr="007114AF" w:rsidRDefault="004C7CD4" w:rsidP="004C7CD4">
            <w:pPr>
              <w:spacing w:after="0" w:line="240" w:lineRule="auto"/>
              <w:jc w:val="center"/>
              <w:rPr>
                <w:rFonts w:ascii="Garamond" w:eastAsia="Times New Roman" w:hAnsi="Garamond" w:cs="Times New Roman"/>
                <w:b/>
                <w:bCs/>
                <w:sz w:val="16"/>
                <w:szCs w:val="16"/>
                <w:lang w:eastAsia="en-US"/>
              </w:rPr>
            </w:pPr>
            <w:r w:rsidRPr="007114AF">
              <w:rPr>
                <w:rFonts w:ascii="Garamond" w:eastAsia="Times New Roman" w:hAnsi="Garamond" w:cs="Times New Roman"/>
                <w:b/>
                <w:bCs/>
                <w:sz w:val="16"/>
                <w:szCs w:val="16"/>
                <w:lang w:eastAsia="en-US"/>
              </w:rPr>
              <w:t>Hendeku Financiar</w:t>
            </w:r>
          </w:p>
        </w:tc>
        <w:tc>
          <w:tcPr>
            <w:tcW w:w="810" w:type="pct"/>
            <w:tcBorders>
              <w:top w:val="single" w:sz="4" w:space="0" w:color="auto"/>
              <w:left w:val="single" w:sz="4" w:space="0" w:color="auto"/>
              <w:bottom w:val="single" w:sz="4" w:space="0" w:color="auto"/>
              <w:right w:val="single" w:sz="4" w:space="0" w:color="auto"/>
            </w:tcBorders>
            <w:shd w:val="clear" w:color="000000" w:fill="EBF1DE"/>
            <w:noWrap/>
            <w:vAlign w:val="bottom"/>
            <w:hideMark/>
          </w:tcPr>
          <w:p w14:paraId="6EDD0108" w14:textId="77777777" w:rsidR="004C7CD4" w:rsidRPr="007114AF" w:rsidRDefault="004C7CD4" w:rsidP="004C7CD4">
            <w:pPr>
              <w:spacing w:after="0" w:line="240" w:lineRule="auto"/>
              <w:jc w:val="center"/>
              <w:rPr>
                <w:rFonts w:ascii="Garamond" w:eastAsia="Times New Roman" w:hAnsi="Garamond" w:cs="Times New Roman"/>
                <w:color w:val="000000"/>
                <w:lang w:eastAsia="en-US"/>
              </w:rPr>
            </w:pPr>
            <w:r w:rsidRPr="007114AF">
              <w:rPr>
                <w:rFonts w:ascii="Garamond" w:eastAsia="Times New Roman" w:hAnsi="Garamond" w:cs="Times New Roman"/>
                <w:color w:val="000000"/>
                <w:lang w:eastAsia="en-US"/>
              </w:rPr>
              <w:t>Totali</w:t>
            </w:r>
          </w:p>
        </w:tc>
      </w:tr>
      <w:tr w:rsidR="004C7CD4" w:rsidRPr="007114AF" w14:paraId="6EDD0110" w14:textId="77777777" w:rsidTr="001C467C">
        <w:trPr>
          <w:trHeight w:val="300"/>
        </w:trPr>
        <w:tc>
          <w:tcPr>
            <w:tcW w:w="813" w:type="pct"/>
            <w:tcBorders>
              <w:top w:val="nil"/>
              <w:left w:val="single" w:sz="4" w:space="0" w:color="auto"/>
              <w:bottom w:val="single" w:sz="4" w:space="0" w:color="auto"/>
              <w:right w:val="single" w:sz="4" w:space="0" w:color="auto"/>
            </w:tcBorders>
            <w:shd w:val="clear" w:color="000000" w:fill="EBF1DE"/>
            <w:noWrap/>
            <w:vAlign w:val="bottom"/>
            <w:hideMark/>
          </w:tcPr>
          <w:p w14:paraId="6EDD010A" w14:textId="77777777" w:rsidR="004C7CD4" w:rsidRPr="007114AF" w:rsidRDefault="004C7CD4" w:rsidP="004C7CD4">
            <w:pPr>
              <w:spacing w:after="0" w:line="240" w:lineRule="auto"/>
              <w:jc w:val="left"/>
              <w:rPr>
                <w:rFonts w:ascii="Garamond" w:eastAsia="Times New Roman" w:hAnsi="Garamond" w:cs="Times New Roman"/>
                <w:color w:val="000000"/>
                <w:lang w:eastAsia="en-US"/>
              </w:rPr>
            </w:pPr>
            <w:r w:rsidRPr="007114AF">
              <w:rPr>
                <w:rFonts w:ascii="Garamond" w:eastAsia="Times New Roman" w:hAnsi="Garamond" w:cs="Times New Roman"/>
                <w:color w:val="000000"/>
                <w:lang w:eastAsia="en-US"/>
              </w:rPr>
              <w:t>Energjia</w:t>
            </w:r>
          </w:p>
        </w:tc>
        <w:tc>
          <w:tcPr>
            <w:tcW w:w="811" w:type="pct"/>
            <w:tcBorders>
              <w:top w:val="nil"/>
              <w:left w:val="nil"/>
              <w:bottom w:val="single" w:sz="4" w:space="0" w:color="auto"/>
              <w:right w:val="single" w:sz="4" w:space="0" w:color="auto"/>
            </w:tcBorders>
            <w:shd w:val="clear" w:color="auto" w:fill="auto"/>
            <w:noWrap/>
            <w:vAlign w:val="bottom"/>
            <w:hideMark/>
          </w:tcPr>
          <w:p w14:paraId="6EDD010B" w14:textId="7B3B0EDD" w:rsidR="004C7CD4" w:rsidRPr="007114AF" w:rsidRDefault="008D30FC" w:rsidP="004C7CD4">
            <w:pPr>
              <w:spacing w:after="0" w:line="240" w:lineRule="auto"/>
              <w:jc w:val="left"/>
              <w:rPr>
                <w:rFonts w:ascii="Garamond" w:eastAsia="Times New Roman" w:hAnsi="Garamond" w:cs="Times New Roman"/>
                <w:color w:val="000000"/>
                <w:lang w:eastAsia="en-US"/>
              </w:rPr>
            </w:pPr>
            <w:r w:rsidRPr="007114AF">
              <w:rPr>
                <w:rFonts w:ascii="Garamond" w:eastAsia="Times New Roman" w:hAnsi="Garamond" w:cs="Times New Roman"/>
                <w:color w:val="000000"/>
                <w:lang w:eastAsia="en-US"/>
              </w:rPr>
              <w:t xml:space="preserve">     </w:t>
            </w:r>
            <w:r w:rsidR="000A2A01" w:rsidRPr="007114AF">
              <w:rPr>
                <w:rFonts w:ascii="Garamond" w:eastAsia="Times New Roman" w:hAnsi="Garamond" w:cs="Times New Roman"/>
                <w:color w:val="000000"/>
                <w:lang w:eastAsia="en-US"/>
              </w:rPr>
              <w:t xml:space="preserve"> </w:t>
            </w:r>
            <w:r w:rsidR="004C7CD4" w:rsidRPr="007114AF">
              <w:rPr>
                <w:rFonts w:ascii="Garamond" w:eastAsia="Times New Roman" w:hAnsi="Garamond" w:cs="Times New Roman"/>
                <w:color w:val="000000"/>
                <w:lang w:eastAsia="en-US"/>
              </w:rPr>
              <w:t xml:space="preserve">23,422,408 </w:t>
            </w:r>
          </w:p>
        </w:tc>
        <w:tc>
          <w:tcPr>
            <w:tcW w:w="1173" w:type="pct"/>
            <w:tcBorders>
              <w:top w:val="nil"/>
              <w:left w:val="nil"/>
              <w:bottom w:val="single" w:sz="4" w:space="0" w:color="auto"/>
              <w:right w:val="single" w:sz="4" w:space="0" w:color="auto"/>
            </w:tcBorders>
            <w:shd w:val="clear" w:color="auto" w:fill="auto"/>
            <w:noWrap/>
            <w:vAlign w:val="bottom"/>
            <w:hideMark/>
          </w:tcPr>
          <w:p w14:paraId="6EDD010C" w14:textId="3E01FCA5" w:rsidR="004C7CD4" w:rsidRPr="007114AF" w:rsidRDefault="008D30FC" w:rsidP="004C7CD4">
            <w:pPr>
              <w:spacing w:after="0" w:line="240" w:lineRule="auto"/>
              <w:jc w:val="left"/>
              <w:rPr>
                <w:rFonts w:ascii="Garamond" w:eastAsia="Times New Roman" w:hAnsi="Garamond" w:cs="Times New Roman"/>
                <w:color w:val="000000"/>
                <w:lang w:eastAsia="en-US"/>
              </w:rPr>
            </w:pPr>
            <w:r w:rsidRPr="007114AF">
              <w:rPr>
                <w:rFonts w:ascii="Garamond" w:eastAsia="Times New Roman" w:hAnsi="Garamond" w:cs="Times New Roman"/>
                <w:color w:val="000000"/>
                <w:lang w:eastAsia="en-US"/>
              </w:rPr>
              <w:t xml:space="preserve">            </w:t>
            </w:r>
            <w:r w:rsidR="004C7CD4" w:rsidRPr="007114AF">
              <w:rPr>
                <w:rFonts w:ascii="Garamond" w:eastAsia="Times New Roman" w:hAnsi="Garamond" w:cs="Times New Roman"/>
                <w:color w:val="000000"/>
                <w:lang w:eastAsia="en-US"/>
              </w:rPr>
              <w:t>-</w:t>
            </w:r>
            <w:r w:rsidRPr="007114AF">
              <w:rPr>
                <w:rFonts w:ascii="Garamond" w:eastAsia="Times New Roman" w:hAnsi="Garamond" w:cs="Times New Roman"/>
                <w:color w:val="000000"/>
                <w:lang w:eastAsia="en-US"/>
              </w:rPr>
              <w:t xml:space="preserve"> </w:t>
            </w:r>
          </w:p>
        </w:tc>
        <w:tc>
          <w:tcPr>
            <w:tcW w:w="676" w:type="pct"/>
            <w:tcBorders>
              <w:top w:val="nil"/>
              <w:left w:val="nil"/>
              <w:bottom w:val="single" w:sz="4" w:space="0" w:color="auto"/>
              <w:right w:val="single" w:sz="4" w:space="0" w:color="auto"/>
            </w:tcBorders>
            <w:shd w:val="clear" w:color="auto" w:fill="auto"/>
            <w:noWrap/>
            <w:vAlign w:val="bottom"/>
            <w:hideMark/>
          </w:tcPr>
          <w:p w14:paraId="6EDD010D" w14:textId="246E5FA2" w:rsidR="004C7CD4" w:rsidRPr="007114AF" w:rsidRDefault="008D30FC" w:rsidP="004C7CD4">
            <w:pPr>
              <w:spacing w:after="0" w:line="240" w:lineRule="auto"/>
              <w:jc w:val="left"/>
              <w:rPr>
                <w:rFonts w:ascii="Garamond" w:eastAsia="Times New Roman" w:hAnsi="Garamond" w:cs="Times New Roman"/>
                <w:color w:val="000000"/>
                <w:lang w:eastAsia="en-US"/>
              </w:rPr>
            </w:pPr>
            <w:r w:rsidRPr="007114AF">
              <w:rPr>
                <w:rFonts w:ascii="Garamond" w:eastAsia="Times New Roman" w:hAnsi="Garamond" w:cs="Times New Roman"/>
                <w:color w:val="000000"/>
                <w:lang w:eastAsia="en-US"/>
              </w:rPr>
              <w:t xml:space="preserve">  </w:t>
            </w:r>
            <w:r w:rsidR="000A2A01" w:rsidRPr="007114AF">
              <w:rPr>
                <w:rFonts w:ascii="Garamond" w:eastAsia="Times New Roman" w:hAnsi="Garamond" w:cs="Times New Roman"/>
                <w:color w:val="000000"/>
                <w:lang w:eastAsia="en-US"/>
              </w:rPr>
              <w:t xml:space="preserve"> </w:t>
            </w:r>
            <w:r w:rsidR="004C7CD4" w:rsidRPr="007114AF">
              <w:rPr>
                <w:rFonts w:ascii="Garamond" w:eastAsia="Times New Roman" w:hAnsi="Garamond" w:cs="Times New Roman"/>
                <w:color w:val="000000"/>
                <w:lang w:eastAsia="en-US"/>
              </w:rPr>
              <w:t xml:space="preserve">6,551,819 </w:t>
            </w:r>
          </w:p>
        </w:tc>
        <w:tc>
          <w:tcPr>
            <w:tcW w:w="717" w:type="pct"/>
            <w:tcBorders>
              <w:top w:val="nil"/>
              <w:left w:val="nil"/>
              <w:bottom w:val="single" w:sz="4" w:space="0" w:color="auto"/>
              <w:right w:val="nil"/>
            </w:tcBorders>
            <w:shd w:val="clear" w:color="auto" w:fill="auto"/>
            <w:noWrap/>
            <w:vAlign w:val="bottom"/>
            <w:hideMark/>
          </w:tcPr>
          <w:p w14:paraId="6EDD010E" w14:textId="18E6707C" w:rsidR="004C7CD4" w:rsidRPr="007114AF" w:rsidRDefault="008D30FC" w:rsidP="004C7CD4">
            <w:pPr>
              <w:spacing w:after="0" w:line="240" w:lineRule="auto"/>
              <w:jc w:val="left"/>
              <w:rPr>
                <w:rFonts w:ascii="Garamond" w:eastAsia="Times New Roman" w:hAnsi="Garamond" w:cs="Times New Roman"/>
                <w:color w:val="000000"/>
                <w:lang w:eastAsia="en-US"/>
              </w:rPr>
            </w:pPr>
            <w:r w:rsidRPr="007114AF">
              <w:rPr>
                <w:rFonts w:ascii="Garamond" w:eastAsia="Times New Roman" w:hAnsi="Garamond" w:cs="Times New Roman"/>
                <w:color w:val="000000"/>
                <w:lang w:eastAsia="en-US"/>
              </w:rPr>
              <w:t xml:space="preserve">       </w:t>
            </w:r>
            <w:r w:rsidR="000A2A01" w:rsidRPr="007114AF">
              <w:rPr>
                <w:rFonts w:ascii="Garamond" w:eastAsia="Times New Roman" w:hAnsi="Garamond" w:cs="Times New Roman"/>
                <w:color w:val="000000"/>
                <w:lang w:eastAsia="en-US"/>
              </w:rPr>
              <w:t xml:space="preserve"> </w:t>
            </w:r>
            <w:r w:rsidR="004C7CD4" w:rsidRPr="007114AF">
              <w:rPr>
                <w:rFonts w:ascii="Garamond" w:eastAsia="Times New Roman" w:hAnsi="Garamond" w:cs="Times New Roman"/>
                <w:color w:val="000000"/>
                <w:lang w:eastAsia="en-US"/>
              </w:rPr>
              <w:t xml:space="preserve">6,906,638 </w:t>
            </w:r>
          </w:p>
        </w:tc>
        <w:tc>
          <w:tcPr>
            <w:tcW w:w="810" w:type="pct"/>
            <w:tcBorders>
              <w:top w:val="nil"/>
              <w:left w:val="single" w:sz="4" w:space="0" w:color="auto"/>
              <w:bottom w:val="single" w:sz="4" w:space="0" w:color="auto"/>
              <w:right w:val="single" w:sz="4" w:space="0" w:color="auto"/>
            </w:tcBorders>
            <w:shd w:val="clear" w:color="000000" w:fill="EBF1DE"/>
            <w:noWrap/>
            <w:vAlign w:val="bottom"/>
            <w:hideMark/>
          </w:tcPr>
          <w:p w14:paraId="6EDD010F" w14:textId="4CE7D406" w:rsidR="004C7CD4" w:rsidRPr="007114AF" w:rsidRDefault="008D30FC" w:rsidP="004C7CD4">
            <w:pPr>
              <w:spacing w:after="0" w:line="240" w:lineRule="auto"/>
              <w:jc w:val="center"/>
              <w:rPr>
                <w:rFonts w:ascii="Garamond" w:eastAsia="Times New Roman" w:hAnsi="Garamond" w:cs="Times New Roman"/>
                <w:color w:val="000000"/>
                <w:lang w:eastAsia="en-US"/>
              </w:rPr>
            </w:pPr>
            <w:r w:rsidRPr="007114AF">
              <w:rPr>
                <w:rFonts w:ascii="Garamond" w:eastAsia="Times New Roman" w:hAnsi="Garamond" w:cs="Times New Roman"/>
                <w:color w:val="000000"/>
                <w:lang w:eastAsia="en-US"/>
              </w:rPr>
              <w:t xml:space="preserve">  </w:t>
            </w:r>
            <w:r w:rsidR="004C7CD4" w:rsidRPr="007114AF">
              <w:rPr>
                <w:rFonts w:ascii="Garamond" w:eastAsia="Times New Roman" w:hAnsi="Garamond" w:cs="Times New Roman"/>
                <w:color w:val="000000"/>
                <w:lang w:eastAsia="en-US"/>
              </w:rPr>
              <w:t xml:space="preserve">29,974,227 </w:t>
            </w:r>
          </w:p>
        </w:tc>
      </w:tr>
      <w:tr w:rsidR="004C7CD4" w:rsidRPr="007114AF" w14:paraId="6EDD0117" w14:textId="77777777" w:rsidTr="001C467C">
        <w:trPr>
          <w:trHeight w:val="300"/>
        </w:trPr>
        <w:tc>
          <w:tcPr>
            <w:tcW w:w="813" w:type="pct"/>
            <w:tcBorders>
              <w:top w:val="nil"/>
              <w:left w:val="single" w:sz="4" w:space="0" w:color="auto"/>
              <w:bottom w:val="single" w:sz="4" w:space="0" w:color="auto"/>
              <w:right w:val="single" w:sz="4" w:space="0" w:color="auto"/>
            </w:tcBorders>
            <w:shd w:val="clear" w:color="000000" w:fill="EBF1DE"/>
            <w:noWrap/>
            <w:vAlign w:val="bottom"/>
            <w:hideMark/>
          </w:tcPr>
          <w:p w14:paraId="6EDD0111" w14:textId="77777777" w:rsidR="004C7CD4" w:rsidRPr="007114AF" w:rsidRDefault="004C7CD4" w:rsidP="004C7CD4">
            <w:pPr>
              <w:spacing w:after="0" w:line="240" w:lineRule="auto"/>
              <w:jc w:val="left"/>
              <w:rPr>
                <w:rFonts w:ascii="Garamond" w:eastAsia="Times New Roman" w:hAnsi="Garamond" w:cs="Times New Roman"/>
                <w:color w:val="000000"/>
                <w:lang w:eastAsia="en-US"/>
              </w:rPr>
            </w:pPr>
            <w:r w:rsidRPr="007114AF">
              <w:rPr>
                <w:rFonts w:ascii="Garamond" w:eastAsia="Times New Roman" w:hAnsi="Garamond" w:cs="Times New Roman"/>
                <w:color w:val="000000"/>
                <w:lang w:eastAsia="en-US"/>
              </w:rPr>
              <w:t>Transporti</w:t>
            </w:r>
          </w:p>
        </w:tc>
        <w:tc>
          <w:tcPr>
            <w:tcW w:w="811" w:type="pct"/>
            <w:tcBorders>
              <w:top w:val="nil"/>
              <w:left w:val="nil"/>
              <w:bottom w:val="single" w:sz="4" w:space="0" w:color="auto"/>
              <w:right w:val="single" w:sz="4" w:space="0" w:color="auto"/>
            </w:tcBorders>
            <w:shd w:val="clear" w:color="auto" w:fill="auto"/>
            <w:noWrap/>
            <w:vAlign w:val="bottom"/>
            <w:hideMark/>
          </w:tcPr>
          <w:p w14:paraId="6EDD0112" w14:textId="252665CC" w:rsidR="004C7CD4" w:rsidRPr="007114AF" w:rsidRDefault="008D30FC" w:rsidP="004C7CD4">
            <w:pPr>
              <w:spacing w:after="0" w:line="240" w:lineRule="auto"/>
              <w:jc w:val="left"/>
              <w:rPr>
                <w:rFonts w:ascii="Garamond" w:eastAsia="Times New Roman" w:hAnsi="Garamond" w:cs="Times New Roman"/>
                <w:color w:val="000000"/>
                <w:lang w:eastAsia="en-US"/>
              </w:rPr>
            </w:pPr>
            <w:r w:rsidRPr="007114AF">
              <w:rPr>
                <w:rFonts w:ascii="Garamond" w:eastAsia="Times New Roman" w:hAnsi="Garamond" w:cs="Times New Roman"/>
                <w:color w:val="000000"/>
                <w:lang w:eastAsia="en-US"/>
              </w:rPr>
              <w:t xml:space="preserve">     </w:t>
            </w:r>
            <w:r w:rsidR="000A2A01" w:rsidRPr="007114AF">
              <w:rPr>
                <w:rFonts w:ascii="Garamond" w:eastAsia="Times New Roman" w:hAnsi="Garamond" w:cs="Times New Roman"/>
                <w:color w:val="000000"/>
                <w:lang w:eastAsia="en-US"/>
              </w:rPr>
              <w:t xml:space="preserve"> </w:t>
            </w:r>
            <w:r w:rsidR="004C7CD4" w:rsidRPr="007114AF">
              <w:rPr>
                <w:rFonts w:ascii="Garamond" w:eastAsia="Times New Roman" w:hAnsi="Garamond" w:cs="Times New Roman"/>
                <w:color w:val="000000"/>
                <w:lang w:eastAsia="en-US"/>
              </w:rPr>
              <w:t xml:space="preserve">38,354,551 </w:t>
            </w:r>
          </w:p>
        </w:tc>
        <w:tc>
          <w:tcPr>
            <w:tcW w:w="1173" w:type="pct"/>
            <w:tcBorders>
              <w:top w:val="nil"/>
              <w:left w:val="nil"/>
              <w:bottom w:val="single" w:sz="4" w:space="0" w:color="auto"/>
              <w:right w:val="single" w:sz="4" w:space="0" w:color="auto"/>
            </w:tcBorders>
            <w:shd w:val="clear" w:color="auto" w:fill="auto"/>
            <w:noWrap/>
            <w:vAlign w:val="bottom"/>
            <w:hideMark/>
          </w:tcPr>
          <w:p w14:paraId="6EDD0113" w14:textId="744A3223" w:rsidR="004C7CD4" w:rsidRPr="007114AF" w:rsidRDefault="008D30FC" w:rsidP="004C7CD4">
            <w:pPr>
              <w:spacing w:after="0" w:line="240" w:lineRule="auto"/>
              <w:jc w:val="left"/>
              <w:rPr>
                <w:rFonts w:ascii="Garamond" w:eastAsia="Times New Roman" w:hAnsi="Garamond" w:cs="Times New Roman"/>
                <w:color w:val="000000"/>
                <w:lang w:eastAsia="en-US"/>
              </w:rPr>
            </w:pPr>
            <w:r w:rsidRPr="007114AF">
              <w:rPr>
                <w:rFonts w:ascii="Garamond" w:eastAsia="Times New Roman" w:hAnsi="Garamond" w:cs="Times New Roman"/>
                <w:color w:val="000000"/>
                <w:lang w:eastAsia="en-US"/>
              </w:rPr>
              <w:t xml:space="preserve">         </w:t>
            </w:r>
            <w:r w:rsidR="004C7CD4" w:rsidRPr="007114AF">
              <w:rPr>
                <w:rFonts w:ascii="Garamond" w:eastAsia="Times New Roman" w:hAnsi="Garamond" w:cs="Times New Roman"/>
                <w:color w:val="000000"/>
                <w:lang w:eastAsia="en-US"/>
              </w:rPr>
              <w:t xml:space="preserve"> 262,320 </w:t>
            </w:r>
          </w:p>
        </w:tc>
        <w:tc>
          <w:tcPr>
            <w:tcW w:w="676" w:type="pct"/>
            <w:tcBorders>
              <w:top w:val="nil"/>
              <w:left w:val="nil"/>
              <w:bottom w:val="single" w:sz="4" w:space="0" w:color="auto"/>
              <w:right w:val="single" w:sz="4" w:space="0" w:color="auto"/>
            </w:tcBorders>
            <w:shd w:val="clear" w:color="auto" w:fill="auto"/>
            <w:noWrap/>
            <w:vAlign w:val="bottom"/>
            <w:hideMark/>
          </w:tcPr>
          <w:p w14:paraId="6EDD0114" w14:textId="70E6779E" w:rsidR="004C7CD4" w:rsidRPr="007114AF" w:rsidRDefault="008D30FC" w:rsidP="004C7CD4">
            <w:pPr>
              <w:spacing w:after="0" w:line="240" w:lineRule="auto"/>
              <w:jc w:val="left"/>
              <w:rPr>
                <w:rFonts w:ascii="Garamond" w:eastAsia="Times New Roman" w:hAnsi="Garamond" w:cs="Times New Roman"/>
                <w:color w:val="000000"/>
                <w:lang w:eastAsia="en-US"/>
              </w:rPr>
            </w:pPr>
            <w:r w:rsidRPr="007114AF">
              <w:rPr>
                <w:rFonts w:ascii="Garamond" w:eastAsia="Times New Roman" w:hAnsi="Garamond" w:cs="Times New Roman"/>
                <w:color w:val="000000"/>
                <w:lang w:eastAsia="en-US"/>
              </w:rPr>
              <w:t xml:space="preserve">  </w:t>
            </w:r>
            <w:r w:rsidR="000A2A01" w:rsidRPr="007114AF">
              <w:rPr>
                <w:rFonts w:ascii="Garamond" w:eastAsia="Times New Roman" w:hAnsi="Garamond" w:cs="Times New Roman"/>
                <w:color w:val="000000"/>
                <w:lang w:eastAsia="en-US"/>
              </w:rPr>
              <w:t xml:space="preserve"> </w:t>
            </w:r>
            <w:r w:rsidR="004C7CD4" w:rsidRPr="007114AF">
              <w:rPr>
                <w:rFonts w:ascii="Garamond" w:eastAsia="Times New Roman" w:hAnsi="Garamond" w:cs="Times New Roman"/>
                <w:color w:val="000000"/>
                <w:lang w:eastAsia="en-US"/>
              </w:rPr>
              <w:t xml:space="preserve">6,811,289 </w:t>
            </w:r>
          </w:p>
        </w:tc>
        <w:tc>
          <w:tcPr>
            <w:tcW w:w="717" w:type="pct"/>
            <w:tcBorders>
              <w:top w:val="nil"/>
              <w:left w:val="nil"/>
              <w:bottom w:val="single" w:sz="4" w:space="0" w:color="auto"/>
              <w:right w:val="nil"/>
            </w:tcBorders>
            <w:shd w:val="clear" w:color="auto" w:fill="auto"/>
            <w:noWrap/>
            <w:vAlign w:val="bottom"/>
            <w:hideMark/>
          </w:tcPr>
          <w:p w14:paraId="6EDD0115" w14:textId="1C403CBA" w:rsidR="004C7CD4" w:rsidRPr="007114AF" w:rsidRDefault="008D30FC" w:rsidP="004C7CD4">
            <w:pPr>
              <w:spacing w:after="0" w:line="240" w:lineRule="auto"/>
              <w:jc w:val="left"/>
              <w:rPr>
                <w:rFonts w:ascii="Garamond" w:eastAsia="Times New Roman" w:hAnsi="Garamond" w:cs="Times New Roman"/>
                <w:color w:val="000000"/>
                <w:lang w:eastAsia="en-US"/>
              </w:rPr>
            </w:pPr>
            <w:r w:rsidRPr="007114AF">
              <w:rPr>
                <w:rFonts w:ascii="Garamond" w:eastAsia="Times New Roman" w:hAnsi="Garamond" w:cs="Times New Roman"/>
                <w:color w:val="000000"/>
                <w:lang w:eastAsia="en-US"/>
              </w:rPr>
              <w:t xml:space="preserve">       </w:t>
            </w:r>
            <w:r w:rsidR="000A2A01" w:rsidRPr="007114AF">
              <w:rPr>
                <w:rFonts w:ascii="Garamond" w:eastAsia="Times New Roman" w:hAnsi="Garamond" w:cs="Times New Roman"/>
                <w:color w:val="000000"/>
                <w:lang w:eastAsia="en-US"/>
              </w:rPr>
              <w:t xml:space="preserve"> </w:t>
            </w:r>
            <w:r w:rsidR="004C7CD4" w:rsidRPr="007114AF">
              <w:rPr>
                <w:rFonts w:ascii="Garamond" w:eastAsia="Times New Roman" w:hAnsi="Garamond" w:cs="Times New Roman"/>
                <w:color w:val="000000"/>
                <w:lang w:eastAsia="en-US"/>
              </w:rPr>
              <w:t xml:space="preserve">5,270,346 </w:t>
            </w:r>
          </w:p>
        </w:tc>
        <w:tc>
          <w:tcPr>
            <w:tcW w:w="810" w:type="pct"/>
            <w:tcBorders>
              <w:top w:val="nil"/>
              <w:left w:val="single" w:sz="4" w:space="0" w:color="auto"/>
              <w:bottom w:val="single" w:sz="4" w:space="0" w:color="auto"/>
              <w:right w:val="single" w:sz="4" w:space="0" w:color="auto"/>
            </w:tcBorders>
            <w:shd w:val="clear" w:color="000000" w:fill="EBF1DE"/>
            <w:noWrap/>
            <w:vAlign w:val="bottom"/>
            <w:hideMark/>
          </w:tcPr>
          <w:p w14:paraId="6EDD0116" w14:textId="586A6784" w:rsidR="004C7CD4" w:rsidRPr="007114AF" w:rsidRDefault="008D30FC" w:rsidP="004C7CD4">
            <w:pPr>
              <w:spacing w:after="0" w:line="240" w:lineRule="auto"/>
              <w:jc w:val="center"/>
              <w:rPr>
                <w:rFonts w:ascii="Garamond" w:eastAsia="Times New Roman" w:hAnsi="Garamond" w:cs="Times New Roman"/>
                <w:color w:val="000000"/>
                <w:lang w:eastAsia="en-US"/>
              </w:rPr>
            </w:pPr>
            <w:r w:rsidRPr="007114AF">
              <w:rPr>
                <w:rFonts w:ascii="Garamond" w:eastAsia="Times New Roman" w:hAnsi="Garamond" w:cs="Times New Roman"/>
                <w:color w:val="000000"/>
                <w:lang w:eastAsia="en-US"/>
              </w:rPr>
              <w:t xml:space="preserve">  </w:t>
            </w:r>
            <w:r w:rsidR="004C7CD4" w:rsidRPr="007114AF">
              <w:rPr>
                <w:rFonts w:ascii="Garamond" w:eastAsia="Times New Roman" w:hAnsi="Garamond" w:cs="Times New Roman"/>
                <w:color w:val="000000"/>
                <w:lang w:eastAsia="en-US"/>
              </w:rPr>
              <w:t xml:space="preserve">45,428,160 </w:t>
            </w:r>
          </w:p>
        </w:tc>
      </w:tr>
      <w:tr w:rsidR="004C7CD4" w:rsidRPr="007114AF" w14:paraId="6EDD011E" w14:textId="77777777" w:rsidTr="001C467C">
        <w:trPr>
          <w:trHeight w:val="300"/>
        </w:trPr>
        <w:tc>
          <w:tcPr>
            <w:tcW w:w="813" w:type="pct"/>
            <w:tcBorders>
              <w:top w:val="nil"/>
              <w:left w:val="single" w:sz="4" w:space="0" w:color="auto"/>
              <w:bottom w:val="single" w:sz="4" w:space="0" w:color="auto"/>
              <w:right w:val="single" w:sz="4" w:space="0" w:color="auto"/>
            </w:tcBorders>
            <w:shd w:val="clear" w:color="000000" w:fill="EBF1DE"/>
            <w:noWrap/>
            <w:vAlign w:val="bottom"/>
            <w:hideMark/>
          </w:tcPr>
          <w:p w14:paraId="6EDD0118" w14:textId="77777777" w:rsidR="004C7CD4" w:rsidRPr="007114AF" w:rsidRDefault="004C7CD4" w:rsidP="004C7CD4">
            <w:pPr>
              <w:spacing w:after="0" w:line="240" w:lineRule="auto"/>
              <w:jc w:val="left"/>
              <w:rPr>
                <w:rFonts w:ascii="Garamond" w:eastAsia="Times New Roman" w:hAnsi="Garamond" w:cs="Times New Roman"/>
                <w:color w:val="000000"/>
                <w:lang w:eastAsia="en-US"/>
              </w:rPr>
            </w:pPr>
            <w:r w:rsidRPr="007114AF">
              <w:rPr>
                <w:rFonts w:ascii="Garamond" w:eastAsia="Times New Roman" w:hAnsi="Garamond" w:cs="Times New Roman"/>
                <w:color w:val="000000"/>
                <w:lang w:eastAsia="en-US"/>
              </w:rPr>
              <w:t>Bujqesia</w:t>
            </w:r>
          </w:p>
        </w:tc>
        <w:tc>
          <w:tcPr>
            <w:tcW w:w="811" w:type="pct"/>
            <w:tcBorders>
              <w:top w:val="nil"/>
              <w:left w:val="nil"/>
              <w:bottom w:val="single" w:sz="4" w:space="0" w:color="auto"/>
              <w:right w:val="single" w:sz="4" w:space="0" w:color="auto"/>
            </w:tcBorders>
            <w:shd w:val="clear" w:color="auto" w:fill="auto"/>
            <w:noWrap/>
            <w:vAlign w:val="bottom"/>
            <w:hideMark/>
          </w:tcPr>
          <w:p w14:paraId="6EDD0119" w14:textId="274FA97C" w:rsidR="004C7CD4" w:rsidRPr="007114AF" w:rsidRDefault="008D30FC" w:rsidP="004C7CD4">
            <w:pPr>
              <w:spacing w:after="0" w:line="240" w:lineRule="auto"/>
              <w:jc w:val="left"/>
              <w:rPr>
                <w:rFonts w:ascii="Garamond" w:eastAsia="Times New Roman" w:hAnsi="Garamond" w:cs="Times New Roman"/>
                <w:color w:val="000000"/>
                <w:lang w:eastAsia="en-US"/>
              </w:rPr>
            </w:pPr>
            <w:r w:rsidRPr="007114AF">
              <w:rPr>
                <w:rFonts w:ascii="Garamond" w:eastAsia="Times New Roman" w:hAnsi="Garamond" w:cs="Times New Roman"/>
                <w:color w:val="000000"/>
                <w:lang w:eastAsia="en-US"/>
              </w:rPr>
              <w:t xml:space="preserve">      </w:t>
            </w:r>
            <w:r w:rsidR="004C7CD4" w:rsidRPr="007114AF">
              <w:rPr>
                <w:rFonts w:ascii="Garamond" w:eastAsia="Times New Roman" w:hAnsi="Garamond" w:cs="Times New Roman"/>
                <w:color w:val="000000"/>
                <w:lang w:eastAsia="en-US"/>
              </w:rPr>
              <w:t xml:space="preserve"> 9,663,350 </w:t>
            </w:r>
          </w:p>
        </w:tc>
        <w:tc>
          <w:tcPr>
            <w:tcW w:w="1173" w:type="pct"/>
            <w:tcBorders>
              <w:top w:val="nil"/>
              <w:left w:val="nil"/>
              <w:bottom w:val="single" w:sz="4" w:space="0" w:color="auto"/>
              <w:right w:val="single" w:sz="4" w:space="0" w:color="auto"/>
            </w:tcBorders>
            <w:shd w:val="clear" w:color="auto" w:fill="auto"/>
            <w:noWrap/>
            <w:vAlign w:val="bottom"/>
            <w:hideMark/>
          </w:tcPr>
          <w:p w14:paraId="6EDD011A" w14:textId="06164665" w:rsidR="004C7CD4" w:rsidRPr="007114AF" w:rsidRDefault="008D30FC" w:rsidP="004C7CD4">
            <w:pPr>
              <w:spacing w:after="0" w:line="240" w:lineRule="auto"/>
              <w:jc w:val="left"/>
              <w:rPr>
                <w:rFonts w:ascii="Garamond" w:eastAsia="Times New Roman" w:hAnsi="Garamond" w:cs="Times New Roman"/>
                <w:color w:val="000000"/>
                <w:lang w:eastAsia="en-US"/>
              </w:rPr>
            </w:pPr>
            <w:r w:rsidRPr="007114AF">
              <w:rPr>
                <w:rFonts w:ascii="Garamond" w:eastAsia="Times New Roman" w:hAnsi="Garamond" w:cs="Times New Roman"/>
                <w:color w:val="000000"/>
                <w:lang w:eastAsia="en-US"/>
              </w:rPr>
              <w:t xml:space="preserve">            </w:t>
            </w:r>
            <w:r w:rsidR="004C7CD4" w:rsidRPr="007114AF">
              <w:rPr>
                <w:rFonts w:ascii="Garamond" w:eastAsia="Times New Roman" w:hAnsi="Garamond" w:cs="Times New Roman"/>
                <w:color w:val="000000"/>
                <w:lang w:eastAsia="en-US"/>
              </w:rPr>
              <w:t>-</w:t>
            </w:r>
            <w:r w:rsidRPr="007114AF">
              <w:rPr>
                <w:rFonts w:ascii="Garamond" w:eastAsia="Times New Roman" w:hAnsi="Garamond" w:cs="Times New Roman"/>
                <w:color w:val="000000"/>
                <w:lang w:eastAsia="en-US"/>
              </w:rPr>
              <w:t xml:space="preserve"> </w:t>
            </w:r>
          </w:p>
        </w:tc>
        <w:tc>
          <w:tcPr>
            <w:tcW w:w="676" w:type="pct"/>
            <w:tcBorders>
              <w:top w:val="nil"/>
              <w:left w:val="nil"/>
              <w:bottom w:val="single" w:sz="4" w:space="0" w:color="auto"/>
              <w:right w:val="single" w:sz="4" w:space="0" w:color="auto"/>
            </w:tcBorders>
            <w:shd w:val="clear" w:color="auto" w:fill="auto"/>
            <w:noWrap/>
            <w:vAlign w:val="bottom"/>
            <w:hideMark/>
          </w:tcPr>
          <w:p w14:paraId="6EDD011B" w14:textId="29C8DD24" w:rsidR="004C7CD4" w:rsidRPr="007114AF" w:rsidRDefault="008D30FC" w:rsidP="004C7CD4">
            <w:pPr>
              <w:spacing w:after="0" w:line="240" w:lineRule="auto"/>
              <w:jc w:val="left"/>
              <w:rPr>
                <w:rFonts w:ascii="Garamond" w:eastAsia="Times New Roman" w:hAnsi="Garamond" w:cs="Times New Roman"/>
                <w:color w:val="000000"/>
                <w:lang w:eastAsia="en-US"/>
              </w:rPr>
            </w:pPr>
            <w:r w:rsidRPr="007114AF">
              <w:rPr>
                <w:rFonts w:ascii="Garamond" w:eastAsia="Times New Roman" w:hAnsi="Garamond" w:cs="Times New Roman"/>
                <w:color w:val="000000"/>
                <w:lang w:eastAsia="en-US"/>
              </w:rPr>
              <w:t xml:space="preserve">  </w:t>
            </w:r>
            <w:r w:rsidR="000A2A01" w:rsidRPr="007114AF">
              <w:rPr>
                <w:rFonts w:ascii="Garamond" w:eastAsia="Times New Roman" w:hAnsi="Garamond" w:cs="Times New Roman"/>
                <w:color w:val="000000"/>
                <w:lang w:eastAsia="en-US"/>
              </w:rPr>
              <w:t xml:space="preserve"> </w:t>
            </w:r>
            <w:r w:rsidR="004C7CD4" w:rsidRPr="007114AF">
              <w:rPr>
                <w:rFonts w:ascii="Garamond" w:eastAsia="Times New Roman" w:hAnsi="Garamond" w:cs="Times New Roman"/>
                <w:color w:val="000000"/>
                <w:lang w:eastAsia="en-US"/>
              </w:rPr>
              <w:t xml:space="preserve">1,064,214 </w:t>
            </w:r>
          </w:p>
        </w:tc>
        <w:tc>
          <w:tcPr>
            <w:tcW w:w="717" w:type="pct"/>
            <w:tcBorders>
              <w:top w:val="nil"/>
              <w:left w:val="nil"/>
              <w:bottom w:val="single" w:sz="4" w:space="0" w:color="auto"/>
              <w:right w:val="nil"/>
            </w:tcBorders>
            <w:shd w:val="clear" w:color="auto" w:fill="auto"/>
            <w:noWrap/>
            <w:vAlign w:val="bottom"/>
            <w:hideMark/>
          </w:tcPr>
          <w:p w14:paraId="6EDD011C" w14:textId="6BCFFE6D" w:rsidR="004C7CD4" w:rsidRPr="007114AF" w:rsidRDefault="008D30FC" w:rsidP="004C7CD4">
            <w:pPr>
              <w:spacing w:after="0" w:line="240" w:lineRule="auto"/>
              <w:jc w:val="left"/>
              <w:rPr>
                <w:rFonts w:ascii="Garamond" w:eastAsia="Times New Roman" w:hAnsi="Garamond" w:cs="Times New Roman"/>
                <w:color w:val="000000"/>
                <w:lang w:eastAsia="en-US"/>
              </w:rPr>
            </w:pPr>
            <w:r w:rsidRPr="007114AF">
              <w:rPr>
                <w:rFonts w:ascii="Garamond" w:eastAsia="Times New Roman" w:hAnsi="Garamond" w:cs="Times New Roman"/>
                <w:color w:val="000000"/>
                <w:lang w:eastAsia="en-US"/>
              </w:rPr>
              <w:t xml:space="preserve">           </w:t>
            </w:r>
            <w:r w:rsidR="004C7CD4" w:rsidRPr="007114AF">
              <w:rPr>
                <w:rFonts w:ascii="Garamond" w:eastAsia="Times New Roman" w:hAnsi="Garamond" w:cs="Times New Roman"/>
                <w:color w:val="000000"/>
                <w:lang w:eastAsia="en-US"/>
              </w:rPr>
              <w:t xml:space="preserve"> -</w:t>
            </w:r>
            <w:r w:rsidRPr="007114AF">
              <w:rPr>
                <w:rFonts w:ascii="Garamond" w:eastAsia="Times New Roman" w:hAnsi="Garamond" w:cs="Times New Roman"/>
                <w:color w:val="000000"/>
                <w:lang w:eastAsia="en-US"/>
              </w:rPr>
              <w:t xml:space="preserve"> </w:t>
            </w:r>
          </w:p>
        </w:tc>
        <w:tc>
          <w:tcPr>
            <w:tcW w:w="810" w:type="pct"/>
            <w:tcBorders>
              <w:top w:val="nil"/>
              <w:left w:val="single" w:sz="4" w:space="0" w:color="auto"/>
              <w:bottom w:val="single" w:sz="4" w:space="0" w:color="auto"/>
              <w:right w:val="single" w:sz="4" w:space="0" w:color="auto"/>
            </w:tcBorders>
            <w:shd w:val="clear" w:color="000000" w:fill="EBF1DE"/>
            <w:noWrap/>
            <w:vAlign w:val="bottom"/>
            <w:hideMark/>
          </w:tcPr>
          <w:p w14:paraId="6EDD011D" w14:textId="22D84B7C" w:rsidR="004C7CD4" w:rsidRPr="007114AF" w:rsidRDefault="008D30FC" w:rsidP="004C7CD4">
            <w:pPr>
              <w:spacing w:after="0" w:line="240" w:lineRule="auto"/>
              <w:jc w:val="center"/>
              <w:rPr>
                <w:rFonts w:ascii="Garamond" w:eastAsia="Times New Roman" w:hAnsi="Garamond" w:cs="Times New Roman"/>
                <w:color w:val="000000"/>
                <w:lang w:eastAsia="en-US"/>
              </w:rPr>
            </w:pPr>
            <w:r w:rsidRPr="007114AF">
              <w:rPr>
                <w:rFonts w:ascii="Garamond" w:eastAsia="Times New Roman" w:hAnsi="Garamond" w:cs="Times New Roman"/>
                <w:color w:val="000000"/>
                <w:lang w:eastAsia="en-US"/>
              </w:rPr>
              <w:t xml:space="preserve">  </w:t>
            </w:r>
            <w:r w:rsidR="004C7CD4" w:rsidRPr="007114AF">
              <w:rPr>
                <w:rFonts w:ascii="Garamond" w:eastAsia="Times New Roman" w:hAnsi="Garamond" w:cs="Times New Roman"/>
                <w:color w:val="000000"/>
                <w:lang w:eastAsia="en-US"/>
              </w:rPr>
              <w:t xml:space="preserve">10,727,564 </w:t>
            </w:r>
          </w:p>
        </w:tc>
      </w:tr>
      <w:tr w:rsidR="004C7CD4" w:rsidRPr="007114AF" w14:paraId="6EDD0125" w14:textId="77777777" w:rsidTr="001C467C">
        <w:trPr>
          <w:trHeight w:val="300"/>
        </w:trPr>
        <w:tc>
          <w:tcPr>
            <w:tcW w:w="813" w:type="pct"/>
            <w:tcBorders>
              <w:top w:val="nil"/>
              <w:left w:val="single" w:sz="4" w:space="0" w:color="auto"/>
              <w:bottom w:val="single" w:sz="4" w:space="0" w:color="auto"/>
              <w:right w:val="single" w:sz="4" w:space="0" w:color="auto"/>
            </w:tcBorders>
            <w:shd w:val="clear" w:color="000000" w:fill="EBF1DE"/>
            <w:noWrap/>
            <w:vAlign w:val="bottom"/>
            <w:hideMark/>
          </w:tcPr>
          <w:p w14:paraId="6EDD011F" w14:textId="77777777" w:rsidR="004C7CD4" w:rsidRPr="007114AF" w:rsidRDefault="004C7CD4" w:rsidP="004C7CD4">
            <w:pPr>
              <w:spacing w:after="0" w:line="240" w:lineRule="auto"/>
              <w:jc w:val="left"/>
              <w:rPr>
                <w:rFonts w:ascii="Garamond" w:eastAsia="Times New Roman" w:hAnsi="Garamond" w:cs="Times New Roman"/>
                <w:color w:val="000000"/>
                <w:lang w:eastAsia="en-US"/>
              </w:rPr>
            </w:pPr>
            <w:r w:rsidRPr="007114AF">
              <w:rPr>
                <w:rFonts w:ascii="Garamond" w:eastAsia="Times New Roman" w:hAnsi="Garamond" w:cs="Times New Roman"/>
                <w:color w:val="000000"/>
                <w:lang w:eastAsia="en-US"/>
              </w:rPr>
              <w:t>Toka+Pyjet</w:t>
            </w:r>
          </w:p>
        </w:tc>
        <w:tc>
          <w:tcPr>
            <w:tcW w:w="811" w:type="pct"/>
            <w:tcBorders>
              <w:top w:val="nil"/>
              <w:left w:val="nil"/>
              <w:bottom w:val="single" w:sz="4" w:space="0" w:color="auto"/>
              <w:right w:val="single" w:sz="4" w:space="0" w:color="auto"/>
            </w:tcBorders>
            <w:shd w:val="clear" w:color="auto" w:fill="auto"/>
            <w:noWrap/>
            <w:vAlign w:val="bottom"/>
            <w:hideMark/>
          </w:tcPr>
          <w:p w14:paraId="6EDD0120" w14:textId="4E7A3A35" w:rsidR="004C7CD4" w:rsidRPr="007114AF" w:rsidRDefault="008D30FC" w:rsidP="004C7CD4">
            <w:pPr>
              <w:spacing w:after="0" w:line="240" w:lineRule="auto"/>
              <w:jc w:val="left"/>
              <w:rPr>
                <w:rFonts w:ascii="Garamond" w:eastAsia="Times New Roman" w:hAnsi="Garamond" w:cs="Times New Roman"/>
                <w:color w:val="000000"/>
                <w:lang w:eastAsia="en-US"/>
              </w:rPr>
            </w:pPr>
            <w:r w:rsidRPr="007114AF">
              <w:rPr>
                <w:rFonts w:ascii="Garamond" w:eastAsia="Times New Roman" w:hAnsi="Garamond" w:cs="Times New Roman"/>
                <w:color w:val="000000"/>
                <w:lang w:eastAsia="en-US"/>
              </w:rPr>
              <w:t xml:space="preserve">      </w:t>
            </w:r>
            <w:r w:rsidR="004C7CD4" w:rsidRPr="007114AF">
              <w:rPr>
                <w:rFonts w:ascii="Garamond" w:eastAsia="Times New Roman" w:hAnsi="Garamond" w:cs="Times New Roman"/>
                <w:color w:val="000000"/>
                <w:lang w:eastAsia="en-US"/>
              </w:rPr>
              <w:t xml:space="preserve"> 1,471,226 </w:t>
            </w:r>
          </w:p>
        </w:tc>
        <w:tc>
          <w:tcPr>
            <w:tcW w:w="1173" w:type="pct"/>
            <w:tcBorders>
              <w:top w:val="nil"/>
              <w:left w:val="nil"/>
              <w:bottom w:val="single" w:sz="4" w:space="0" w:color="auto"/>
              <w:right w:val="single" w:sz="4" w:space="0" w:color="auto"/>
            </w:tcBorders>
            <w:shd w:val="clear" w:color="auto" w:fill="auto"/>
            <w:noWrap/>
            <w:vAlign w:val="bottom"/>
            <w:hideMark/>
          </w:tcPr>
          <w:p w14:paraId="6EDD0121" w14:textId="57193663" w:rsidR="004C7CD4" w:rsidRPr="007114AF" w:rsidRDefault="008D30FC" w:rsidP="004C7CD4">
            <w:pPr>
              <w:spacing w:after="0" w:line="240" w:lineRule="auto"/>
              <w:jc w:val="left"/>
              <w:rPr>
                <w:rFonts w:ascii="Garamond" w:eastAsia="Times New Roman" w:hAnsi="Garamond" w:cs="Times New Roman"/>
                <w:color w:val="000000"/>
                <w:lang w:eastAsia="en-US"/>
              </w:rPr>
            </w:pPr>
            <w:r w:rsidRPr="007114AF">
              <w:rPr>
                <w:rFonts w:ascii="Garamond" w:eastAsia="Times New Roman" w:hAnsi="Garamond" w:cs="Times New Roman"/>
                <w:color w:val="000000"/>
                <w:lang w:eastAsia="en-US"/>
              </w:rPr>
              <w:t xml:space="preserve">            </w:t>
            </w:r>
            <w:r w:rsidR="004C7CD4" w:rsidRPr="007114AF">
              <w:rPr>
                <w:rFonts w:ascii="Garamond" w:eastAsia="Times New Roman" w:hAnsi="Garamond" w:cs="Times New Roman"/>
                <w:color w:val="000000"/>
                <w:lang w:eastAsia="en-US"/>
              </w:rPr>
              <w:t>-</w:t>
            </w:r>
            <w:r w:rsidRPr="007114AF">
              <w:rPr>
                <w:rFonts w:ascii="Garamond" w:eastAsia="Times New Roman" w:hAnsi="Garamond" w:cs="Times New Roman"/>
                <w:color w:val="000000"/>
                <w:lang w:eastAsia="en-US"/>
              </w:rPr>
              <w:t xml:space="preserve"> </w:t>
            </w:r>
          </w:p>
        </w:tc>
        <w:tc>
          <w:tcPr>
            <w:tcW w:w="676" w:type="pct"/>
            <w:tcBorders>
              <w:top w:val="nil"/>
              <w:left w:val="nil"/>
              <w:bottom w:val="single" w:sz="4" w:space="0" w:color="auto"/>
              <w:right w:val="single" w:sz="4" w:space="0" w:color="auto"/>
            </w:tcBorders>
            <w:shd w:val="clear" w:color="auto" w:fill="auto"/>
            <w:noWrap/>
            <w:vAlign w:val="bottom"/>
            <w:hideMark/>
          </w:tcPr>
          <w:p w14:paraId="6EDD0122" w14:textId="79BB4D1F" w:rsidR="004C7CD4" w:rsidRPr="007114AF" w:rsidRDefault="008D30FC" w:rsidP="004C7CD4">
            <w:pPr>
              <w:spacing w:after="0" w:line="240" w:lineRule="auto"/>
              <w:jc w:val="left"/>
              <w:rPr>
                <w:rFonts w:ascii="Garamond" w:eastAsia="Times New Roman" w:hAnsi="Garamond" w:cs="Times New Roman"/>
                <w:color w:val="000000"/>
                <w:lang w:eastAsia="en-US"/>
              </w:rPr>
            </w:pPr>
            <w:r w:rsidRPr="007114AF">
              <w:rPr>
                <w:rFonts w:ascii="Garamond" w:eastAsia="Times New Roman" w:hAnsi="Garamond" w:cs="Times New Roman"/>
                <w:color w:val="000000"/>
                <w:lang w:eastAsia="en-US"/>
              </w:rPr>
              <w:t xml:space="preserve">      </w:t>
            </w:r>
            <w:r w:rsidR="004C7CD4" w:rsidRPr="007114AF">
              <w:rPr>
                <w:rFonts w:ascii="Garamond" w:eastAsia="Times New Roman" w:hAnsi="Garamond" w:cs="Times New Roman"/>
                <w:color w:val="000000"/>
                <w:lang w:eastAsia="en-US"/>
              </w:rPr>
              <w:t xml:space="preserve"> -</w:t>
            </w:r>
            <w:r w:rsidRPr="007114AF">
              <w:rPr>
                <w:rFonts w:ascii="Garamond" w:eastAsia="Times New Roman" w:hAnsi="Garamond" w:cs="Times New Roman"/>
                <w:color w:val="000000"/>
                <w:lang w:eastAsia="en-US"/>
              </w:rPr>
              <w:t xml:space="preserve"> </w:t>
            </w:r>
          </w:p>
        </w:tc>
        <w:tc>
          <w:tcPr>
            <w:tcW w:w="717" w:type="pct"/>
            <w:tcBorders>
              <w:top w:val="nil"/>
              <w:left w:val="nil"/>
              <w:bottom w:val="single" w:sz="4" w:space="0" w:color="auto"/>
              <w:right w:val="nil"/>
            </w:tcBorders>
            <w:shd w:val="clear" w:color="auto" w:fill="auto"/>
            <w:noWrap/>
            <w:vAlign w:val="bottom"/>
            <w:hideMark/>
          </w:tcPr>
          <w:p w14:paraId="6EDD0123" w14:textId="10497B8D" w:rsidR="004C7CD4" w:rsidRPr="007114AF" w:rsidRDefault="008D30FC" w:rsidP="004C7CD4">
            <w:pPr>
              <w:spacing w:after="0" w:line="240" w:lineRule="auto"/>
              <w:jc w:val="left"/>
              <w:rPr>
                <w:rFonts w:ascii="Garamond" w:eastAsia="Times New Roman" w:hAnsi="Garamond" w:cs="Times New Roman"/>
                <w:color w:val="000000"/>
                <w:lang w:eastAsia="en-US"/>
              </w:rPr>
            </w:pPr>
            <w:r w:rsidRPr="007114AF">
              <w:rPr>
                <w:rFonts w:ascii="Garamond" w:eastAsia="Times New Roman" w:hAnsi="Garamond" w:cs="Times New Roman"/>
                <w:color w:val="000000"/>
                <w:lang w:eastAsia="en-US"/>
              </w:rPr>
              <w:t xml:space="preserve">         </w:t>
            </w:r>
            <w:r w:rsidR="000A2A01" w:rsidRPr="007114AF">
              <w:rPr>
                <w:rFonts w:ascii="Garamond" w:eastAsia="Times New Roman" w:hAnsi="Garamond" w:cs="Times New Roman"/>
                <w:color w:val="000000"/>
                <w:lang w:eastAsia="en-US"/>
              </w:rPr>
              <w:t xml:space="preserve"> </w:t>
            </w:r>
            <w:r w:rsidR="004C7CD4" w:rsidRPr="007114AF">
              <w:rPr>
                <w:rFonts w:ascii="Garamond" w:eastAsia="Times New Roman" w:hAnsi="Garamond" w:cs="Times New Roman"/>
                <w:color w:val="000000"/>
                <w:lang w:eastAsia="en-US"/>
              </w:rPr>
              <w:t xml:space="preserve">4,480 </w:t>
            </w:r>
          </w:p>
        </w:tc>
        <w:tc>
          <w:tcPr>
            <w:tcW w:w="810" w:type="pct"/>
            <w:tcBorders>
              <w:top w:val="nil"/>
              <w:left w:val="single" w:sz="4" w:space="0" w:color="auto"/>
              <w:bottom w:val="single" w:sz="4" w:space="0" w:color="auto"/>
              <w:right w:val="single" w:sz="4" w:space="0" w:color="auto"/>
            </w:tcBorders>
            <w:shd w:val="clear" w:color="000000" w:fill="EBF1DE"/>
            <w:noWrap/>
            <w:vAlign w:val="bottom"/>
            <w:hideMark/>
          </w:tcPr>
          <w:p w14:paraId="6EDD0124" w14:textId="12941BD0" w:rsidR="004C7CD4" w:rsidRPr="007114AF" w:rsidRDefault="008D30FC" w:rsidP="004C7CD4">
            <w:pPr>
              <w:spacing w:after="0" w:line="240" w:lineRule="auto"/>
              <w:jc w:val="center"/>
              <w:rPr>
                <w:rFonts w:ascii="Garamond" w:eastAsia="Times New Roman" w:hAnsi="Garamond" w:cs="Times New Roman"/>
                <w:color w:val="000000"/>
                <w:lang w:eastAsia="en-US"/>
              </w:rPr>
            </w:pPr>
            <w:r w:rsidRPr="007114AF">
              <w:rPr>
                <w:rFonts w:ascii="Garamond" w:eastAsia="Times New Roman" w:hAnsi="Garamond" w:cs="Times New Roman"/>
                <w:color w:val="000000"/>
                <w:lang w:eastAsia="en-US"/>
              </w:rPr>
              <w:t xml:space="preserve">  </w:t>
            </w:r>
            <w:r w:rsidR="000A2A01" w:rsidRPr="007114AF">
              <w:rPr>
                <w:rFonts w:ascii="Garamond" w:eastAsia="Times New Roman" w:hAnsi="Garamond" w:cs="Times New Roman"/>
                <w:color w:val="000000"/>
                <w:lang w:eastAsia="en-US"/>
              </w:rPr>
              <w:t xml:space="preserve"> </w:t>
            </w:r>
            <w:r w:rsidR="004C7CD4" w:rsidRPr="007114AF">
              <w:rPr>
                <w:rFonts w:ascii="Garamond" w:eastAsia="Times New Roman" w:hAnsi="Garamond" w:cs="Times New Roman"/>
                <w:color w:val="000000"/>
                <w:lang w:eastAsia="en-US"/>
              </w:rPr>
              <w:t xml:space="preserve">1,471,226 </w:t>
            </w:r>
          </w:p>
        </w:tc>
      </w:tr>
      <w:tr w:rsidR="004C7CD4" w:rsidRPr="007114AF" w14:paraId="6EDD012C" w14:textId="77777777" w:rsidTr="001C467C">
        <w:trPr>
          <w:trHeight w:val="315"/>
        </w:trPr>
        <w:tc>
          <w:tcPr>
            <w:tcW w:w="813" w:type="pct"/>
            <w:tcBorders>
              <w:top w:val="nil"/>
              <w:left w:val="single" w:sz="4" w:space="0" w:color="auto"/>
              <w:bottom w:val="single" w:sz="4" w:space="0" w:color="auto"/>
              <w:right w:val="single" w:sz="4" w:space="0" w:color="auto"/>
            </w:tcBorders>
            <w:shd w:val="clear" w:color="000000" w:fill="EBF1DE"/>
            <w:noWrap/>
            <w:vAlign w:val="bottom"/>
            <w:hideMark/>
          </w:tcPr>
          <w:p w14:paraId="6EDD0126" w14:textId="77777777" w:rsidR="004C7CD4" w:rsidRPr="007114AF" w:rsidRDefault="004C7CD4" w:rsidP="004C7CD4">
            <w:pPr>
              <w:spacing w:after="0" w:line="240" w:lineRule="auto"/>
              <w:jc w:val="left"/>
              <w:rPr>
                <w:rFonts w:ascii="Garamond" w:eastAsia="Times New Roman" w:hAnsi="Garamond" w:cs="Times New Roman"/>
                <w:color w:val="000000"/>
                <w:lang w:eastAsia="en-US"/>
              </w:rPr>
            </w:pPr>
            <w:r w:rsidRPr="007114AF">
              <w:rPr>
                <w:rFonts w:ascii="Garamond" w:eastAsia="Times New Roman" w:hAnsi="Garamond" w:cs="Times New Roman"/>
                <w:color w:val="000000"/>
                <w:lang w:eastAsia="en-US"/>
              </w:rPr>
              <w:t>Ndersektoriale</w:t>
            </w:r>
          </w:p>
        </w:tc>
        <w:tc>
          <w:tcPr>
            <w:tcW w:w="811" w:type="pct"/>
            <w:tcBorders>
              <w:top w:val="nil"/>
              <w:left w:val="nil"/>
              <w:bottom w:val="single" w:sz="4" w:space="0" w:color="auto"/>
              <w:right w:val="single" w:sz="4" w:space="0" w:color="auto"/>
            </w:tcBorders>
            <w:shd w:val="clear" w:color="auto" w:fill="auto"/>
            <w:noWrap/>
            <w:vAlign w:val="bottom"/>
            <w:hideMark/>
          </w:tcPr>
          <w:p w14:paraId="6EDD0127" w14:textId="7CD9582E" w:rsidR="004C7CD4" w:rsidRPr="007114AF" w:rsidRDefault="008D30FC" w:rsidP="004C7CD4">
            <w:pPr>
              <w:spacing w:after="0" w:line="240" w:lineRule="auto"/>
              <w:jc w:val="left"/>
              <w:rPr>
                <w:rFonts w:ascii="Garamond" w:eastAsia="Times New Roman" w:hAnsi="Garamond" w:cs="Times New Roman"/>
                <w:color w:val="000000"/>
                <w:lang w:eastAsia="en-US"/>
              </w:rPr>
            </w:pPr>
            <w:r w:rsidRPr="007114AF">
              <w:rPr>
                <w:rFonts w:ascii="Garamond" w:eastAsia="Times New Roman" w:hAnsi="Garamond" w:cs="Times New Roman"/>
                <w:color w:val="000000"/>
                <w:lang w:eastAsia="en-US"/>
              </w:rPr>
              <w:t xml:space="preserve">          </w:t>
            </w:r>
            <w:r w:rsidR="004C7CD4" w:rsidRPr="007114AF">
              <w:rPr>
                <w:rFonts w:ascii="Garamond" w:eastAsia="Times New Roman" w:hAnsi="Garamond" w:cs="Times New Roman"/>
                <w:color w:val="000000"/>
                <w:lang w:eastAsia="en-US"/>
              </w:rPr>
              <w:t>-</w:t>
            </w:r>
            <w:r w:rsidRPr="007114AF">
              <w:rPr>
                <w:rFonts w:ascii="Garamond" w:eastAsia="Times New Roman" w:hAnsi="Garamond" w:cs="Times New Roman"/>
                <w:color w:val="000000"/>
                <w:lang w:eastAsia="en-US"/>
              </w:rPr>
              <w:t xml:space="preserve"> </w:t>
            </w:r>
          </w:p>
        </w:tc>
        <w:tc>
          <w:tcPr>
            <w:tcW w:w="1173" w:type="pct"/>
            <w:tcBorders>
              <w:top w:val="nil"/>
              <w:left w:val="nil"/>
              <w:bottom w:val="single" w:sz="4" w:space="0" w:color="auto"/>
              <w:right w:val="single" w:sz="4" w:space="0" w:color="auto"/>
            </w:tcBorders>
            <w:shd w:val="clear" w:color="auto" w:fill="auto"/>
            <w:noWrap/>
            <w:vAlign w:val="bottom"/>
            <w:hideMark/>
          </w:tcPr>
          <w:p w14:paraId="6EDD0128" w14:textId="1D7D6F33" w:rsidR="004C7CD4" w:rsidRPr="007114AF" w:rsidRDefault="008D30FC" w:rsidP="004C7CD4">
            <w:pPr>
              <w:spacing w:after="0" w:line="240" w:lineRule="auto"/>
              <w:jc w:val="left"/>
              <w:rPr>
                <w:rFonts w:ascii="Garamond" w:eastAsia="Times New Roman" w:hAnsi="Garamond" w:cs="Times New Roman"/>
                <w:color w:val="000000"/>
                <w:lang w:eastAsia="en-US"/>
              </w:rPr>
            </w:pPr>
            <w:r w:rsidRPr="007114AF">
              <w:rPr>
                <w:rFonts w:ascii="Garamond" w:eastAsia="Times New Roman" w:hAnsi="Garamond" w:cs="Times New Roman"/>
                <w:color w:val="000000"/>
                <w:lang w:eastAsia="en-US"/>
              </w:rPr>
              <w:t xml:space="preserve">            </w:t>
            </w:r>
            <w:r w:rsidR="004C7CD4" w:rsidRPr="007114AF">
              <w:rPr>
                <w:rFonts w:ascii="Garamond" w:eastAsia="Times New Roman" w:hAnsi="Garamond" w:cs="Times New Roman"/>
                <w:color w:val="000000"/>
                <w:lang w:eastAsia="en-US"/>
              </w:rPr>
              <w:t>-</w:t>
            </w:r>
            <w:r w:rsidRPr="007114AF">
              <w:rPr>
                <w:rFonts w:ascii="Garamond" w:eastAsia="Times New Roman" w:hAnsi="Garamond" w:cs="Times New Roman"/>
                <w:color w:val="000000"/>
                <w:lang w:eastAsia="en-US"/>
              </w:rPr>
              <w:t xml:space="preserve"> </w:t>
            </w:r>
          </w:p>
        </w:tc>
        <w:tc>
          <w:tcPr>
            <w:tcW w:w="676" w:type="pct"/>
            <w:tcBorders>
              <w:top w:val="nil"/>
              <w:left w:val="nil"/>
              <w:bottom w:val="single" w:sz="4" w:space="0" w:color="auto"/>
              <w:right w:val="single" w:sz="4" w:space="0" w:color="auto"/>
            </w:tcBorders>
            <w:shd w:val="clear" w:color="auto" w:fill="auto"/>
            <w:noWrap/>
            <w:vAlign w:val="bottom"/>
            <w:hideMark/>
          </w:tcPr>
          <w:p w14:paraId="6EDD0129" w14:textId="266B7743" w:rsidR="004C7CD4" w:rsidRPr="007114AF" w:rsidRDefault="008D30FC" w:rsidP="004C7CD4">
            <w:pPr>
              <w:spacing w:after="0" w:line="240" w:lineRule="auto"/>
              <w:jc w:val="left"/>
              <w:rPr>
                <w:rFonts w:ascii="Garamond" w:eastAsia="Times New Roman" w:hAnsi="Garamond" w:cs="Times New Roman"/>
                <w:color w:val="000000"/>
                <w:lang w:eastAsia="en-US"/>
              </w:rPr>
            </w:pPr>
            <w:r w:rsidRPr="007114AF">
              <w:rPr>
                <w:rFonts w:ascii="Garamond" w:eastAsia="Times New Roman" w:hAnsi="Garamond" w:cs="Times New Roman"/>
                <w:color w:val="000000"/>
                <w:lang w:eastAsia="en-US"/>
              </w:rPr>
              <w:t xml:space="preserve">    </w:t>
            </w:r>
            <w:r w:rsidR="004C7CD4" w:rsidRPr="007114AF">
              <w:rPr>
                <w:rFonts w:ascii="Garamond" w:eastAsia="Times New Roman" w:hAnsi="Garamond" w:cs="Times New Roman"/>
                <w:color w:val="000000"/>
                <w:lang w:eastAsia="en-US"/>
              </w:rPr>
              <w:t xml:space="preserve">15,000 </w:t>
            </w:r>
          </w:p>
        </w:tc>
        <w:tc>
          <w:tcPr>
            <w:tcW w:w="717" w:type="pct"/>
            <w:tcBorders>
              <w:top w:val="nil"/>
              <w:left w:val="nil"/>
              <w:bottom w:val="single" w:sz="4" w:space="0" w:color="auto"/>
              <w:right w:val="nil"/>
            </w:tcBorders>
            <w:shd w:val="clear" w:color="auto" w:fill="auto"/>
            <w:noWrap/>
            <w:vAlign w:val="bottom"/>
            <w:hideMark/>
          </w:tcPr>
          <w:p w14:paraId="6EDD012A" w14:textId="323BEFA0" w:rsidR="004C7CD4" w:rsidRPr="007114AF" w:rsidRDefault="008D30FC" w:rsidP="004C7CD4">
            <w:pPr>
              <w:spacing w:after="0" w:line="240" w:lineRule="auto"/>
              <w:jc w:val="left"/>
              <w:rPr>
                <w:rFonts w:ascii="Garamond" w:eastAsia="Times New Roman" w:hAnsi="Garamond" w:cs="Times New Roman"/>
                <w:color w:val="000000"/>
                <w:lang w:eastAsia="en-US"/>
              </w:rPr>
            </w:pPr>
            <w:r w:rsidRPr="007114AF">
              <w:rPr>
                <w:rFonts w:ascii="Garamond" w:eastAsia="Times New Roman" w:hAnsi="Garamond" w:cs="Times New Roman"/>
                <w:color w:val="000000"/>
                <w:lang w:eastAsia="en-US"/>
              </w:rPr>
              <w:t xml:space="preserve">         </w:t>
            </w:r>
            <w:r w:rsidR="004C7CD4" w:rsidRPr="007114AF">
              <w:rPr>
                <w:rFonts w:ascii="Garamond" w:eastAsia="Times New Roman" w:hAnsi="Garamond" w:cs="Times New Roman"/>
                <w:color w:val="000000"/>
                <w:lang w:eastAsia="en-US"/>
              </w:rPr>
              <w:t xml:space="preserve">15,000 </w:t>
            </w:r>
          </w:p>
        </w:tc>
        <w:tc>
          <w:tcPr>
            <w:tcW w:w="810" w:type="pct"/>
            <w:tcBorders>
              <w:top w:val="nil"/>
              <w:left w:val="single" w:sz="4" w:space="0" w:color="auto"/>
              <w:bottom w:val="single" w:sz="4" w:space="0" w:color="auto"/>
              <w:right w:val="single" w:sz="4" w:space="0" w:color="auto"/>
            </w:tcBorders>
            <w:shd w:val="clear" w:color="000000" w:fill="EBF1DE"/>
            <w:noWrap/>
            <w:vAlign w:val="bottom"/>
            <w:hideMark/>
          </w:tcPr>
          <w:p w14:paraId="6EDD012B" w14:textId="49D1D7FD" w:rsidR="004C7CD4" w:rsidRPr="007114AF" w:rsidRDefault="008D30FC" w:rsidP="004C7CD4">
            <w:pPr>
              <w:spacing w:after="0" w:line="240" w:lineRule="auto"/>
              <w:jc w:val="center"/>
              <w:rPr>
                <w:rFonts w:ascii="Garamond" w:eastAsia="Times New Roman" w:hAnsi="Garamond" w:cs="Times New Roman"/>
                <w:color w:val="000000"/>
                <w:lang w:eastAsia="en-US"/>
              </w:rPr>
            </w:pPr>
            <w:r w:rsidRPr="007114AF">
              <w:rPr>
                <w:rFonts w:ascii="Garamond" w:eastAsia="Times New Roman" w:hAnsi="Garamond" w:cs="Times New Roman"/>
                <w:color w:val="000000"/>
                <w:lang w:eastAsia="en-US"/>
              </w:rPr>
              <w:t xml:space="preserve">    </w:t>
            </w:r>
            <w:r w:rsidR="004C7CD4" w:rsidRPr="007114AF">
              <w:rPr>
                <w:rFonts w:ascii="Garamond" w:eastAsia="Times New Roman" w:hAnsi="Garamond" w:cs="Times New Roman"/>
                <w:color w:val="000000"/>
                <w:lang w:eastAsia="en-US"/>
              </w:rPr>
              <w:t xml:space="preserve">15,000 </w:t>
            </w:r>
          </w:p>
        </w:tc>
      </w:tr>
      <w:tr w:rsidR="004C7CD4" w:rsidRPr="007114AF" w14:paraId="6EDD0133" w14:textId="77777777" w:rsidTr="001C467C">
        <w:trPr>
          <w:trHeight w:val="315"/>
        </w:trPr>
        <w:tc>
          <w:tcPr>
            <w:tcW w:w="813" w:type="pct"/>
            <w:tcBorders>
              <w:top w:val="single" w:sz="8" w:space="0" w:color="auto"/>
              <w:left w:val="single" w:sz="8" w:space="0" w:color="auto"/>
              <w:bottom w:val="single" w:sz="8" w:space="0" w:color="auto"/>
              <w:right w:val="single" w:sz="4" w:space="0" w:color="auto"/>
            </w:tcBorders>
            <w:shd w:val="clear" w:color="000000" w:fill="EBF1DE"/>
            <w:noWrap/>
            <w:vAlign w:val="bottom"/>
            <w:hideMark/>
          </w:tcPr>
          <w:p w14:paraId="6EDD012D" w14:textId="77777777" w:rsidR="004C7CD4" w:rsidRPr="007114AF" w:rsidRDefault="004C7CD4" w:rsidP="004C7CD4">
            <w:pPr>
              <w:spacing w:after="0" w:line="240" w:lineRule="auto"/>
              <w:jc w:val="left"/>
              <w:rPr>
                <w:rFonts w:ascii="Garamond" w:eastAsia="Times New Roman" w:hAnsi="Garamond" w:cs="Times New Roman"/>
                <w:lang w:eastAsia="en-US"/>
              </w:rPr>
            </w:pPr>
            <w:r w:rsidRPr="007114AF">
              <w:rPr>
                <w:rFonts w:ascii="Garamond" w:eastAsia="Times New Roman" w:hAnsi="Garamond" w:cs="Times New Roman"/>
                <w:lang w:eastAsia="en-US"/>
              </w:rPr>
              <w:t>Total</w:t>
            </w:r>
          </w:p>
        </w:tc>
        <w:tc>
          <w:tcPr>
            <w:tcW w:w="811" w:type="pct"/>
            <w:tcBorders>
              <w:top w:val="nil"/>
              <w:left w:val="nil"/>
              <w:bottom w:val="single" w:sz="8" w:space="0" w:color="auto"/>
              <w:right w:val="single" w:sz="4" w:space="0" w:color="auto"/>
            </w:tcBorders>
            <w:shd w:val="clear" w:color="000000" w:fill="EBF1DE"/>
            <w:noWrap/>
            <w:vAlign w:val="bottom"/>
            <w:hideMark/>
          </w:tcPr>
          <w:p w14:paraId="6EDD012E" w14:textId="04533991" w:rsidR="004C7CD4" w:rsidRPr="007114AF" w:rsidRDefault="008D30FC" w:rsidP="004C7CD4">
            <w:pPr>
              <w:spacing w:after="0" w:line="240" w:lineRule="auto"/>
              <w:jc w:val="center"/>
              <w:rPr>
                <w:rFonts w:ascii="Garamond" w:eastAsia="Times New Roman" w:hAnsi="Garamond" w:cs="Times New Roman"/>
                <w:b/>
                <w:bCs/>
                <w:color w:val="C0504D"/>
                <w:lang w:eastAsia="en-US"/>
              </w:rPr>
            </w:pPr>
            <w:r w:rsidRPr="007114AF">
              <w:rPr>
                <w:rFonts w:ascii="Garamond" w:eastAsia="Times New Roman" w:hAnsi="Garamond" w:cs="Times New Roman"/>
                <w:b/>
                <w:bCs/>
                <w:color w:val="C0504D"/>
                <w:lang w:eastAsia="en-US"/>
              </w:rPr>
              <w:t xml:space="preserve">     </w:t>
            </w:r>
            <w:r w:rsidR="000A2A01" w:rsidRPr="007114AF">
              <w:rPr>
                <w:rFonts w:ascii="Garamond" w:eastAsia="Times New Roman" w:hAnsi="Garamond" w:cs="Times New Roman"/>
                <w:b/>
                <w:bCs/>
                <w:color w:val="C0504D"/>
                <w:lang w:eastAsia="en-US"/>
              </w:rPr>
              <w:t xml:space="preserve"> </w:t>
            </w:r>
            <w:r w:rsidR="004C7CD4" w:rsidRPr="007114AF">
              <w:rPr>
                <w:rFonts w:ascii="Garamond" w:eastAsia="Times New Roman" w:hAnsi="Garamond" w:cs="Times New Roman"/>
                <w:b/>
                <w:bCs/>
                <w:color w:val="C0504D"/>
                <w:lang w:eastAsia="en-US"/>
              </w:rPr>
              <w:t xml:space="preserve">72,911,535 </w:t>
            </w:r>
          </w:p>
        </w:tc>
        <w:tc>
          <w:tcPr>
            <w:tcW w:w="1173" w:type="pct"/>
            <w:tcBorders>
              <w:top w:val="nil"/>
              <w:left w:val="nil"/>
              <w:bottom w:val="single" w:sz="8" w:space="0" w:color="auto"/>
              <w:right w:val="single" w:sz="4" w:space="0" w:color="auto"/>
            </w:tcBorders>
            <w:shd w:val="clear" w:color="000000" w:fill="EBF1DE"/>
            <w:noWrap/>
            <w:vAlign w:val="bottom"/>
            <w:hideMark/>
          </w:tcPr>
          <w:p w14:paraId="6EDD012F" w14:textId="04655424" w:rsidR="004C7CD4" w:rsidRPr="007114AF" w:rsidRDefault="008D30FC" w:rsidP="004C7CD4">
            <w:pPr>
              <w:spacing w:after="0" w:line="240" w:lineRule="auto"/>
              <w:jc w:val="center"/>
              <w:rPr>
                <w:rFonts w:ascii="Garamond" w:eastAsia="Times New Roman" w:hAnsi="Garamond" w:cs="Times New Roman"/>
                <w:b/>
                <w:bCs/>
                <w:color w:val="C0504D"/>
                <w:lang w:eastAsia="en-US"/>
              </w:rPr>
            </w:pPr>
            <w:r w:rsidRPr="007114AF">
              <w:rPr>
                <w:rFonts w:ascii="Garamond" w:eastAsia="Times New Roman" w:hAnsi="Garamond" w:cs="Times New Roman"/>
                <w:b/>
                <w:bCs/>
                <w:color w:val="C0504D"/>
                <w:lang w:eastAsia="en-US"/>
              </w:rPr>
              <w:t xml:space="preserve">         </w:t>
            </w:r>
            <w:r w:rsidR="004C7CD4" w:rsidRPr="007114AF">
              <w:rPr>
                <w:rFonts w:ascii="Garamond" w:eastAsia="Times New Roman" w:hAnsi="Garamond" w:cs="Times New Roman"/>
                <w:b/>
                <w:bCs/>
                <w:color w:val="C0504D"/>
                <w:lang w:eastAsia="en-US"/>
              </w:rPr>
              <w:t xml:space="preserve"> 262,320 </w:t>
            </w:r>
          </w:p>
        </w:tc>
        <w:tc>
          <w:tcPr>
            <w:tcW w:w="676" w:type="pct"/>
            <w:tcBorders>
              <w:top w:val="nil"/>
              <w:left w:val="nil"/>
              <w:bottom w:val="single" w:sz="8" w:space="0" w:color="auto"/>
              <w:right w:val="single" w:sz="4" w:space="0" w:color="auto"/>
            </w:tcBorders>
            <w:shd w:val="clear" w:color="000000" w:fill="EBF1DE"/>
            <w:noWrap/>
            <w:vAlign w:val="bottom"/>
            <w:hideMark/>
          </w:tcPr>
          <w:p w14:paraId="6EDD0130" w14:textId="264380D8" w:rsidR="004C7CD4" w:rsidRPr="007114AF" w:rsidRDefault="008D30FC" w:rsidP="004C7CD4">
            <w:pPr>
              <w:spacing w:after="0" w:line="240" w:lineRule="auto"/>
              <w:jc w:val="center"/>
              <w:rPr>
                <w:rFonts w:ascii="Garamond" w:eastAsia="Times New Roman" w:hAnsi="Garamond" w:cs="Times New Roman"/>
                <w:b/>
                <w:bCs/>
                <w:color w:val="C0504D"/>
                <w:lang w:eastAsia="en-US"/>
              </w:rPr>
            </w:pPr>
            <w:r w:rsidRPr="007114AF">
              <w:rPr>
                <w:rFonts w:ascii="Garamond" w:eastAsia="Times New Roman" w:hAnsi="Garamond" w:cs="Times New Roman"/>
                <w:b/>
                <w:bCs/>
                <w:color w:val="C0504D"/>
                <w:lang w:eastAsia="en-US"/>
              </w:rPr>
              <w:t xml:space="preserve">  </w:t>
            </w:r>
            <w:r w:rsidR="004C7CD4" w:rsidRPr="007114AF">
              <w:rPr>
                <w:rFonts w:ascii="Garamond" w:eastAsia="Times New Roman" w:hAnsi="Garamond" w:cs="Times New Roman"/>
                <w:b/>
                <w:bCs/>
                <w:color w:val="C0504D"/>
                <w:lang w:eastAsia="en-US"/>
              </w:rPr>
              <w:t xml:space="preserve">14,442,322 </w:t>
            </w:r>
          </w:p>
        </w:tc>
        <w:tc>
          <w:tcPr>
            <w:tcW w:w="717" w:type="pct"/>
            <w:tcBorders>
              <w:top w:val="nil"/>
              <w:left w:val="nil"/>
              <w:bottom w:val="single" w:sz="8" w:space="0" w:color="auto"/>
              <w:right w:val="nil"/>
            </w:tcBorders>
            <w:shd w:val="clear" w:color="000000" w:fill="EBF1DE"/>
            <w:noWrap/>
            <w:vAlign w:val="bottom"/>
            <w:hideMark/>
          </w:tcPr>
          <w:p w14:paraId="6EDD0131" w14:textId="2E91F0A5" w:rsidR="004C7CD4" w:rsidRPr="007114AF" w:rsidRDefault="008D30FC" w:rsidP="004C7CD4">
            <w:pPr>
              <w:spacing w:after="0" w:line="240" w:lineRule="auto"/>
              <w:jc w:val="center"/>
              <w:rPr>
                <w:rFonts w:ascii="Garamond" w:eastAsia="Times New Roman" w:hAnsi="Garamond" w:cs="Times New Roman"/>
                <w:b/>
                <w:bCs/>
                <w:color w:val="C0504D"/>
                <w:lang w:eastAsia="en-US"/>
              </w:rPr>
            </w:pPr>
            <w:r w:rsidRPr="007114AF">
              <w:rPr>
                <w:rFonts w:ascii="Garamond" w:eastAsia="Times New Roman" w:hAnsi="Garamond" w:cs="Times New Roman"/>
                <w:b/>
                <w:bCs/>
                <w:color w:val="C0504D"/>
                <w:lang w:eastAsia="en-US"/>
              </w:rPr>
              <w:t xml:space="preserve">       </w:t>
            </w:r>
            <w:r w:rsidR="004C7CD4" w:rsidRPr="007114AF">
              <w:rPr>
                <w:rFonts w:ascii="Garamond" w:eastAsia="Times New Roman" w:hAnsi="Garamond" w:cs="Times New Roman"/>
                <w:b/>
                <w:bCs/>
                <w:color w:val="C0504D"/>
                <w:lang w:eastAsia="en-US"/>
              </w:rPr>
              <w:t xml:space="preserve">12,196,464 </w:t>
            </w:r>
          </w:p>
        </w:tc>
        <w:tc>
          <w:tcPr>
            <w:tcW w:w="810" w:type="pct"/>
            <w:tcBorders>
              <w:top w:val="nil"/>
              <w:left w:val="single" w:sz="4" w:space="0" w:color="auto"/>
              <w:bottom w:val="single" w:sz="4" w:space="0" w:color="auto"/>
              <w:right w:val="single" w:sz="4" w:space="0" w:color="auto"/>
            </w:tcBorders>
            <w:shd w:val="clear" w:color="000000" w:fill="EBF1DE"/>
            <w:noWrap/>
            <w:vAlign w:val="bottom"/>
            <w:hideMark/>
          </w:tcPr>
          <w:p w14:paraId="6EDD0132" w14:textId="67EC72F2" w:rsidR="004C7CD4" w:rsidRPr="007114AF" w:rsidRDefault="008D30FC" w:rsidP="004C7CD4">
            <w:pPr>
              <w:spacing w:after="0" w:line="240" w:lineRule="auto"/>
              <w:jc w:val="center"/>
              <w:rPr>
                <w:rFonts w:ascii="Garamond" w:eastAsia="Times New Roman" w:hAnsi="Garamond" w:cs="Times New Roman"/>
                <w:b/>
                <w:bCs/>
                <w:color w:val="FF0000"/>
                <w:lang w:eastAsia="en-US"/>
              </w:rPr>
            </w:pPr>
            <w:r w:rsidRPr="007114AF">
              <w:rPr>
                <w:rFonts w:ascii="Garamond" w:eastAsia="Times New Roman" w:hAnsi="Garamond" w:cs="Times New Roman"/>
                <w:b/>
                <w:bCs/>
                <w:color w:val="FF0000"/>
                <w:lang w:eastAsia="en-US"/>
              </w:rPr>
              <w:t xml:space="preserve">  </w:t>
            </w:r>
            <w:r w:rsidR="004C7CD4" w:rsidRPr="007114AF">
              <w:rPr>
                <w:rFonts w:ascii="Garamond" w:eastAsia="Times New Roman" w:hAnsi="Garamond" w:cs="Times New Roman"/>
                <w:b/>
                <w:bCs/>
                <w:color w:val="FF0000"/>
                <w:lang w:eastAsia="en-US"/>
              </w:rPr>
              <w:t xml:space="preserve">87,616,177 </w:t>
            </w:r>
          </w:p>
        </w:tc>
      </w:tr>
    </w:tbl>
    <w:p w14:paraId="6EDD0134" w14:textId="77777777" w:rsidR="004C7CD4" w:rsidRPr="007114AF" w:rsidRDefault="004C7CD4" w:rsidP="00524E98">
      <w:pPr>
        <w:pStyle w:val="TEKSTI"/>
      </w:pPr>
    </w:p>
    <w:p w14:paraId="6EDD0135" w14:textId="77777777" w:rsidR="004C7CD4" w:rsidRPr="007114AF" w:rsidRDefault="005B0E74" w:rsidP="00A45C8C">
      <w:pPr>
        <w:pStyle w:val="TEKSTI"/>
        <w:jc w:val="center"/>
      </w:pPr>
      <w:r w:rsidRPr="007114AF">
        <w:rPr>
          <w:noProof/>
          <w:lang w:val="en-US" w:eastAsia="en-US"/>
        </w:rPr>
        <w:drawing>
          <wp:inline distT="0" distB="0" distL="0" distR="0" wp14:anchorId="6EDD17BE" wp14:editId="6EDD17BF">
            <wp:extent cx="5335326" cy="2075290"/>
            <wp:effectExtent l="0" t="0" r="17780" b="20320"/>
            <wp:docPr id="29" name="Chart 29"/>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14:paraId="6EDD0136" w14:textId="77777777" w:rsidR="00A45C8C" w:rsidRPr="007114AF" w:rsidRDefault="00A45C8C" w:rsidP="00524E98">
      <w:pPr>
        <w:pStyle w:val="TEKSTI"/>
      </w:pPr>
    </w:p>
    <w:p w14:paraId="6EDD0137" w14:textId="77777777" w:rsidR="005B0E74" w:rsidRPr="007114AF" w:rsidRDefault="005B0E74" w:rsidP="00A45C8C">
      <w:pPr>
        <w:pStyle w:val="TEKSTI"/>
        <w:jc w:val="center"/>
      </w:pPr>
      <w:r w:rsidRPr="007114AF">
        <w:rPr>
          <w:noProof/>
          <w:lang w:val="en-US" w:eastAsia="en-US"/>
        </w:rPr>
        <w:drawing>
          <wp:inline distT="0" distB="0" distL="0" distR="0" wp14:anchorId="6EDD17C0" wp14:editId="6EDD17C1">
            <wp:extent cx="5334000" cy="2195513"/>
            <wp:effectExtent l="0" t="0" r="0" b="14605"/>
            <wp:docPr id="30" name="Chart 30"/>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14:paraId="6EDD0138" w14:textId="77777777" w:rsidR="005B0E74" w:rsidRPr="007114AF" w:rsidRDefault="005B0E74" w:rsidP="00524E98">
      <w:pPr>
        <w:pStyle w:val="TEKSTI"/>
      </w:pPr>
    </w:p>
    <w:tbl>
      <w:tblPr>
        <w:tblW w:w="5174" w:type="pct"/>
        <w:jc w:val="center"/>
        <w:tblLook w:val="04A0" w:firstRow="1" w:lastRow="0" w:firstColumn="1" w:lastColumn="0" w:noHBand="0" w:noVBand="1"/>
      </w:tblPr>
      <w:tblGrid>
        <w:gridCol w:w="1374"/>
        <w:gridCol w:w="2168"/>
        <w:gridCol w:w="2583"/>
        <w:gridCol w:w="1440"/>
        <w:gridCol w:w="2045"/>
      </w:tblGrid>
      <w:tr w:rsidR="005B0E74" w:rsidRPr="007114AF" w14:paraId="6EDD013D" w14:textId="77777777" w:rsidTr="00A45C8C">
        <w:trPr>
          <w:trHeight w:val="315"/>
          <w:jc w:val="center"/>
        </w:trPr>
        <w:tc>
          <w:tcPr>
            <w:tcW w:w="1843" w:type="pct"/>
            <w:gridSpan w:val="2"/>
            <w:tcBorders>
              <w:top w:val="nil"/>
              <w:left w:val="nil"/>
              <w:bottom w:val="nil"/>
              <w:right w:val="nil"/>
            </w:tcBorders>
            <w:shd w:val="clear" w:color="000000" w:fill="EBF1DE"/>
            <w:noWrap/>
            <w:vAlign w:val="bottom"/>
            <w:hideMark/>
          </w:tcPr>
          <w:p w14:paraId="6EDD0139" w14:textId="77777777" w:rsidR="005B0E74" w:rsidRPr="007114AF" w:rsidRDefault="005B0E74" w:rsidP="001C467C">
            <w:pPr>
              <w:spacing w:after="0" w:line="240" w:lineRule="auto"/>
              <w:jc w:val="left"/>
              <w:rPr>
                <w:rFonts w:ascii="Garamond" w:eastAsia="Times New Roman" w:hAnsi="Garamond" w:cs="Times New Roman"/>
                <w:b/>
                <w:bCs/>
                <w:color w:val="366092"/>
                <w:sz w:val="18"/>
                <w:szCs w:val="18"/>
                <w:lang w:eastAsia="en-US"/>
              </w:rPr>
            </w:pPr>
            <w:r w:rsidRPr="007114AF">
              <w:rPr>
                <w:rFonts w:ascii="Garamond" w:eastAsia="Times New Roman" w:hAnsi="Garamond" w:cs="Times New Roman"/>
                <w:b/>
                <w:bCs/>
                <w:color w:val="366092"/>
                <w:sz w:val="18"/>
                <w:szCs w:val="18"/>
                <w:lang w:eastAsia="en-US"/>
              </w:rPr>
              <w:t>Shpërndarja e fondeve sipas viteve</w:t>
            </w:r>
          </w:p>
        </w:tc>
        <w:tc>
          <w:tcPr>
            <w:tcW w:w="1344" w:type="pct"/>
            <w:tcBorders>
              <w:top w:val="nil"/>
              <w:left w:val="nil"/>
              <w:bottom w:val="nil"/>
              <w:right w:val="nil"/>
            </w:tcBorders>
            <w:shd w:val="clear" w:color="000000" w:fill="EBF1DE"/>
            <w:noWrap/>
            <w:vAlign w:val="bottom"/>
            <w:hideMark/>
          </w:tcPr>
          <w:p w14:paraId="6EDD013A" w14:textId="77777777" w:rsidR="005B0E74" w:rsidRPr="007114AF" w:rsidRDefault="005B0E74" w:rsidP="001C467C">
            <w:pPr>
              <w:spacing w:after="0" w:line="240" w:lineRule="auto"/>
              <w:jc w:val="left"/>
              <w:rPr>
                <w:rFonts w:ascii="Garamond" w:eastAsia="Times New Roman" w:hAnsi="Garamond" w:cs="Times New Roman"/>
                <w:color w:val="000000"/>
                <w:sz w:val="18"/>
                <w:szCs w:val="18"/>
                <w:lang w:eastAsia="en-US"/>
              </w:rPr>
            </w:pPr>
            <w:r w:rsidRPr="007114AF">
              <w:rPr>
                <w:rFonts w:ascii="Garamond" w:eastAsia="Times New Roman" w:hAnsi="Garamond" w:cs="Times New Roman"/>
                <w:color w:val="000000"/>
                <w:sz w:val="18"/>
                <w:szCs w:val="18"/>
                <w:lang w:eastAsia="en-US"/>
              </w:rPr>
              <w:t> </w:t>
            </w:r>
          </w:p>
        </w:tc>
        <w:tc>
          <w:tcPr>
            <w:tcW w:w="749" w:type="pct"/>
            <w:tcBorders>
              <w:top w:val="nil"/>
              <w:left w:val="nil"/>
              <w:bottom w:val="nil"/>
              <w:right w:val="nil"/>
            </w:tcBorders>
            <w:shd w:val="clear" w:color="000000" w:fill="EBF1DE"/>
            <w:noWrap/>
            <w:vAlign w:val="bottom"/>
            <w:hideMark/>
          </w:tcPr>
          <w:p w14:paraId="6EDD013B" w14:textId="77777777" w:rsidR="005B0E74" w:rsidRPr="007114AF" w:rsidRDefault="005B0E74" w:rsidP="001C467C">
            <w:pPr>
              <w:spacing w:after="0" w:line="240" w:lineRule="auto"/>
              <w:jc w:val="left"/>
              <w:rPr>
                <w:rFonts w:ascii="Garamond" w:eastAsia="Times New Roman" w:hAnsi="Garamond" w:cs="Times New Roman"/>
                <w:color w:val="000000"/>
                <w:sz w:val="18"/>
                <w:szCs w:val="18"/>
                <w:lang w:eastAsia="en-US"/>
              </w:rPr>
            </w:pPr>
            <w:r w:rsidRPr="007114AF">
              <w:rPr>
                <w:rFonts w:ascii="Garamond" w:eastAsia="Times New Roman" w:hAnsi="Garamond" w:cs="Times New Roman"/>
                <w:color w:val="000000"/>
                <w:sz w:val="18"/>
                <w:szCs w:val="18"/>
                <w:lang w:eastAsia="en-US"/>
              </w:rPr>
              <w:t> </w:t>
            </w:r>
          </w:p>
        </w:tc>
        <w:tc>
          <w:tcPr>
            <w:tcW w:w="1064" w:type="pct"/>
            <w:tcBorders>
              <w:top w:val="nil"/>
              <w:left w:val="nil"/>
              <w:bottom w:val="nil"/>
              <w:right w:val="nil"/>
            </w:tcBorders>
            <w:shd w:val="clear" w:color="000000" w:fill="EBF1DE"/>
            <w:noWrap/>
            <w:vAlign w:val="bottom"/>
            <w:hideMark/>
          </w:tcPr>
          <w:p w14:paraId="6EDD013C" w14:textId="77777777" w:rsidR="005B0E74" w:rsidRPr="007114AF" w:rsidRDefault="005B0E74" w:rsidP="001C467C">
            <w:pPr>
              <w:spacing w:after="0" w:line="240" w:lineRule="auto"/>
              <w:jc w:val="left"/>
              <w:rPr>
                <w:rFonts w:ascii="Garamond" w:eastAsia="Times New Roman" w:hAnsi="Garamond" w:cs="Times New Roman"/>
                <w:color w:val="000000"/>
                <w:sz w:val="18"/>
                <w:szCs w:val="18"/>
                <w:lang w:eastAsia="en-US"/>
              </w:rPr>
            </w:pPr>
            <w:r w:rsidRPr="007114AF">
              <w:rPr>
                <w:rFonts w:ascii="Garamond" w:eastAsia="Times New Roman" w:hAnsi="Garamond" w:cs="Times New Roman"/>
                <w:color w:val="000000"/>
                <w:sz w:val="18"/>
                <w:szCs w:val="18"/>
                <w:lang w:eastAsia="en-US"/>
              </w:rPr>
              <w:t> </w:t>
            </w:r>
          </w:p>
        </w:tc>
      </w:tr>
      <w:tr w:rsidR="005B0E74" w:rsidRPr="007114AF" w14:paraId="6EDD0143" w14:textId="77777777" w:rsidTr="00A45C8C">
        <w:trPr>
          <w:trHeight w:val="300"/>
          <w:jc w:val="center"/>
        </w:trPr>
        <w:tc>
          <w:tcPr>
            <w:tcW w:w="715" w:type="pct"/>
            <w:tcBorders>
              <w:top w:val="single" w:sz="4" w:space="0" w:color="auto"/>
              <w:left w:val="single" w:sz="4" w:space="0" w:color="auto"/>
              <w:bottom w:val="single" w:sz="4" w:space="0" w:color="auto"/>
              <w:right w:val="single" w:sz="4" w:space="0" w:color="auto"/>
            </w:tcBorders>
            <w:shd w:val="clear" w:color="000000" w:fill="EBF1DE"/>
            <w:hideMark/>
          </w:tcPr>
          <w:p w14:paraId="6EDD013E" w14:textId="77777777" w:rsidR="005B0E74" w:rsidRPr="007114AF" w:rsidRDefault="005B0E74" w:rsidP="001C467C">
            <w:pPr>
              <w:spacing w:after="0" w:line="240" w:lineRule="auto"/>
              <w:jc w:val="center"/>
              <w:rPr>
                <w:rFonts w:ascii="Garamond" w:eastAsia="Times New Roman" w:hAnsi="Garamond" w:cs="Times New Roman"/>
                <w:b/>
                <w:bCs/>
                <w:color w:val="000000"/>
                <w:sz w:val="18"/>
                <w:szCs w:val="18"/>
                <w:lang w:eastAsia="en-US"/>
              </w:rPr>
            </w:pPr>
            <w:r w:rsidRPr="007114AF">
              <w:rPr>
                <w:rFonts w:ascii="Garamond" w:eastAsia="Times New Roman" w:hAnsi="Garamond" w:cs="Times New Roman"/>
                <w:b/>
                <w:bCs/>
                <w:color w:val="000000"/>
                <w:sz w:val="18"/>
                <w:szCs w:val="18"/>
                <w:lang w:eastAsia="en-US"/>
              </w:rPr>
              <w:t> </w:t>
            </w:r>
          </w:p>
        </w:tc>
        <w:tc>
          <w:tcPr>
            <w:tcW w:w="1128" w:type="pct"/>
            <w:tcBorders>
              <w:top w:val="single" w:sz="4" w:space="0" w:color="auto"/>
              <w:left w:val="nil"/>
              <w:bottom w:val="single" w:sz="4" w:space="0" w:color="auto"/>
              <w:right w:val="single" w:sz="4" w:space="0" w:color="auto"/>
            </w:tcBorders>
            <w:shd w:val="clear" w:color="000000" w:fill="EBF1DE"/>
            <w:hideMark/>
          </w:tcPr>
          <w:p w14:paraId="6EDD013F" w14:textId="77777777" w:rsidR="005B0E74" w:rsidRPr="007114AF" w:rsidRDefault="005B0E74" w:rsidP="001C467C">
            <w:pPr>
              <w:spacing w:after="0" w:line="240" w:lineRule="auto"/>
              <w:jc w:val="center"/>
              <w:rPr>
                <w:rFonts w:ascii="Garamond" w:eastAsia="Times New Roman" w:hAnsi="Garamond" w:cs="Times New Roman"/>
                <w:b/>
                <w:bCs/>
                <w:color w:val="000000"/>
                <w:sz w:val="18"/>
                <w:szCs w:val="18"/>
                <w:lang w:eastAsia="en-US"/>
              </w:rPr>
            </w:pPr>
            <w:r w:rsidRPr="007114AF">
              <w:rPr>
                <w:rFonts w:ascii="Garamond" w:eastAsia="Times New Roman" w:hAnsi="Garamond" w:cs="Times New Roman"/>
                <w:b/>
                <w:bCs/>
                <w:color w:val="000000"/>
                <w:sz w:val="18"/>
                <w:szCs w:val="18"/>
                <w:lang w:eastAsia="en-US"/>
              </w:rPr>
              <w:t>2019</w:t>
            </w:r>
          </w:p>
        </w:tc>
        <w:tc>
          <w:tcPr>
            <w:tcW w:w="1344" w:type="pct"/>
            <w:tcBorders>
              <w:top w:val="single" w:sz="4" w:space="0" w:color="auto"/>
              <w:left w:val="nil"/>
              <w:bottom w:val="single" w:sz="4" w:space="0" w:color="auto"/>
              <w:right w:val="single" w:sz="4" w:space="0" w:color="auto"/>
            </w:tcBorders>
            <w:shd w:val="clear" w:color="000000" w:fill="EBF1DE"/>
            <w:hideMark/>
          </w:tcPr>
          <w:p w14:paraId="6EDD0140" w14:textId="77777777" w:rsidR="005B0E74" w:rsidRPr="007114AF" w:rsidRDefault="005B0E74" w:rsidP="001C467C">
            <w:pPr>
              <w:spacing w:after="0" w:line="240" w:lineRule="auto"/>
              <w:jc w:val="center"/>
              <w:rPr>
                <w:rFonts w:ascii="Garamond" w:eastAsia="Times New Roman" w:hAnsi="Garamond" w:cs="Times New Roman"/>
                <w:b/>
                <w:bCs/>
                <w:color w:val="000000"/>
                <w:sz w:val="18"/>
                <w:szCs w:val="18"/>
                <w:lang w:eastAsia="en-US"/>
              </w:rPr>
            </w:pPr>
            <w:r w:rsidRPr="007114AF">
              <w:rPr>
                <w:rFonts w:ascii="Garamond" w:eastAsia="Times New Roman" w:hAnsi="Garamond" w:cs="Times New Roman"/>
                <w:b/>
                <w:bCs/>
                <w:color w:val="000000"/>
                <w:sz w:val="18"/>
                <w:szCs w:val="18"/>
                <w:lang w:eastAsia="en-US"/>
              </w:rPr>
              <w:t>2020</w:t>
            </w:r>
          </w:p>
        </w:tc>
        <w:tc>
          <w:tcPr>
            <w:tcW w:w="749" w:type="pct"/>
            <w:tcBorders>
              <w:top w:val="single" w:sz="4" w:space="0" w:color="auto"/>
              <w:left w:val="nil"/>
              <w:bottom w:val="single" w:sz="4" w:space="0" w:color="auto"/>
              <w:right w:val="single" w:sz="4" w:space="0" w:color="auto"/>
            </w:tcBorders>
            <w:shd w:val="clear" w:color="000000" w:fill="EBF1DE"/>
            <w:hideMark/>
          </w:tcPr>
          <w:p w14:paraId="6EDD0141" w14:textId="77777777" w:rsidR="005B0E74" w:rsidRPr="007114AF" w:rsidRDefault="005B0E74" w:rsidP="001C467C">
            <w:pPr>
              <w:spacing w:after="0" w:line="240" w:lineRule="auto"/>
              <w:jc w:val="center"/>
              <w:rPr>
                <w:rFonts w:ascii="Garamond" w:eastAsia="Times New Roman" w:hAnsi="Garamond" w:cs="Times New Roman"/>
                <w:b/>
                <w:bCs/>
                <w:color w:val="000000"/>
                <w:sz w:val="18"/>
                <w:szCs w:val="18"/>
                <w:lang w:eastAsia="en-US"/>
              </w:rPr>
            </w:pPr>
            <w:r w:rsidRPr="007114AF">
              <w:rPr>
                <w:rFonts w:ascii="Garamond" w:eastAsia="Times New Roman" w:hAnsi="Garamond" w:cs="Times New Roman"/>
                <w:b/>
                <w:bCs/>
                <w:color w:val="000000"/>
                <w:sz w:val="18"/>
                <w:szCs w:val="18"/>
                <w:lang w:eastAsia="en-US"/>
              </w:rPr>
              <w:t>2021</w:t>
            </w:r>
          </w:p>
        </w:tc>
        <w:tc>
          <w:tcPr>
            <w:tcW w:w="1064" w:type="pct"/>
            <w:tcBorders>
              <w:top w:val="single" w:sz="4" w:space="0" w:color="auto"/>
              <w:left w:val="nil"/>
              <w:bottom w:val="single" w:sz="4" w:space="0" w:color="auto"/>
              <w:right w:val="single" w:sz="4" w:space="0" w:color="auto"/>
            </w:tcBorders>
            <w:shd w:val="clear" w:color="000000" w:fill="EBF1DE"/>
            <w:hideMark/>
          </w:tcPr>
          <w:p w14:paraId="6EDD0142" w14:textId="77777777" w:rsidR="005B0E74" w:rsidRPr="007114AF" w:rsidRDefault="005B0E74" w:rsidP="001C467C">
            <w:pPr>
              <w:spacing w:after="0" w:line="240" w:lineRule="auto"/>
              <w:jc w:val="center"/>
              <w:rPr>
                <w:rFonts w:ascii="Garamond" w:eastAsia="Times New Roman" w:hAnsi="Garamond" w:cs="Times New Roman"/>
                <w:b/>
                <w:bCs/>
                <w:color w:val="000000"/>
                <w:sz w:val="18"/>
                <w:szCs w:val="18"/>
                <w:lang w:eastAsia="en-US"/>
              </w:rPr>
            </w:pPr>
            <w:r w:rsidRPr="007114AF">
              <w:rPr>
                <w:rFonts w:ascii="Garamond" w:eastAsia="Times New Roman" w:hAnsi="Garamond" w:cs="Times New Roman"/>
                <w:b/>
                <w:bCs/>
                <w:color w:val="000000"/>
                <w:sz w:val="18"/>
                <w:szCs w:val="18"/>
                <w:lang w:eastAsia="en-US"/>
              </w:rPr>
              <w:t>Total</w:t>
            </w:r>
          </w:p>
        </w:tc>
      </w:tr>
      <w:tr w:rsidR="005B0E74" w:rsidRPr="007114AF" w14:paraId="6EDD0149" w14:textId="77777777" w:rsidTr="00A45C8C">
        <w:trPr>
          <w:trHeight w:val="300"/>
          <w:jc w:val="center"/>
        </w:trPr>
        <w:tc>
          <w:tcPr>
            <w:tcW w:w="715" w:type="pct"/>
            <w:tcBorders>
              <w:top w:val="nil"/>
              <w:left w:val="single" w:sz="4" w:space="0" w:color="auto"/>
              <w:bottom w:val="single" w:sz="4" w:space="0" w:color="auto"/>
              <w:right w:val="single" w:sz="4" w:space="0" w:color="auto"/>
            </w:tcBorders>
            <w:shd w:val="clear" w:color="000000" w:fill="EBF1DE"/>
            <w:noWrap/>
            <w:vAlign w:val="bottom"/>
            <w:hideMark/>
          </w:tcPr>
          <w:p w14:paraId="6EDD0144" w14:textId="77777777" w:rsidR="005B0E74" w:rsidRPr="007114AF" w:rsidRDefault="005B0E74" w:rsidP="001C467C">
            <w:pPr>
              <w:spacing w:after="0" w:line="240" w:lineRule="auto"/>
              <w:jc w:val="left"/>
              <w:rPr>
                <w:rFonts w:ascii="Garamond" w:eastAsia="Times New Roman" w:hAnsi="Garamond" w:cs="Times New Roman"/>
                <w:color w:val="000000"/>
                <w:sz w:val="18"/>
                <w:szCs w:val="18"/>
                <w:lang w:eastAsia="en-US"/>
              </w:rPr>
            </w:pPr>
            <w:r w:rsidRPr="007114AF">
              <w:rPr>
                <w:rFonts w:ascii="Garamond" w:eastAsia="Times New Roman" w:hAnsi="Garamond" w:cs="Times New Roman"/>
                <w:color w:val="000000"/>
                <w:sz w:val="18"/>
                <w:szCs w:val="18"/>
                <w:lang w:eastAsia="en-US"/>
              </w:rPr>
              <w:t>Energjia</w:t>
            </w:r>
          </w:p>
        </w:tc>
        <w:tc>
          <w:tcPr>
            <w:tcW w:w="1128" w:type="pct"/>
            <w:tcBorders>
              <w:top w:val="nil"/>
              <w:left w:val="nil"/>
              <w:bottom w:val="nil"/>
              <w:right w:val="nil"/>
            </w:tcBorders>
            <w:shd w:val="clear" w:color="auto" w:fill="auto"/>
            <w:noWrap/>
            <w:vAlign w:val="bottom"/>
            <w:hideMark/>
          </w:tcPr>
          <w:p w14:paraId="6EDD0145" w14:textId="74C04F4A" w:rsidR="005B0E74" w:rsidRPr="007114AF" w:rsidRDefault="008D30FC" w:rsidP="001C467C">
            <w:pPr>
              <w:spacing w:after="0" w:line="240" w:lineRule="auto"/>
              <w:jc w:val="left"/>
              <w:rPr>
                <w:rFonts w:ascii="Garamond" w:eastAsia="Times New Roman" w:hAnsi="Garamond" w:cs="Times New Roman"/>
                <w:color w:val="000000"/>
                <w:sz w:val="18"/>
                <w:szCs w:val="18"/>
                <w:lang w:eastAsia="en-US"/>
              </w:rPr>
            </w:pPr>
            <w:r w:rsidRPr="007114AF">
              <w:rPr>
                <w:rFonts w:ascii="Garamond" w:eastAsia="Times New Roman" w:hAnsi="Garamond" w:cs="Times New Roman"/>
                <w:color w:val="000000"/>
                <w:sz w:val="18"/>
                <w:szCs w:val="18"/>
                <w:lang w:eastAsia="en-US"/>
              </w:rPr>
              <w:t xml:space="preserve">       </w:t>
            </w:r>
            <w:r w:rsidR="005B0E74" w:rsidRPr="007114AF">
              <w:rPr>
                <w:rFonts w:ascii="Garamond" w:eastAsia="Times New Roman" w:hAnsi="Garamond" w:cs="Times New Roman"/>
                <w:color w:val="000000"/>
                <w:sz w:val="18"/>
                <w:szCs w:val="18"/>
                <w:lang w:eastAsia="en-US"/>
              </w:rPr>
              <w:t xml:space="preserve">405,200 </w:t>
            </w:r>
          </w:p>
        </w:tc>
        <w:tc>
          <w:tcPr>
            <w:tcW w:w="1344" w:type="pct"/>
            <w:tcBorders>
              <w:top w:val="nil"/>
              <w:left w:val="nil"/>
              <w:bottom w:val="nil"/>
              <w:right w:val="nil"/>
            </w:tcBorders>
            <w:shd w:val="clear" w:color="auto" w:fill="auto"/>
            <w:noWrap/>
            <w:vAlign w:val="bottom"/>
            <w:hideMark/>
          </w:tcPr>
          <w:p w14:paraId="6EDD0146" w14:textId="7BEA669C" w:rsidR="005B0E74" w:rsidRPr="007114AF" w:rsidRDefault="008D30FC" w:rsidP="001C467C">
            <w:pPr>
              <w:spacing w:after="0" w:line="240" w:lineRule="auto"/>
              <w:jc w:val="left"/>
              <w:rPr>
                <w:rFonts w:ascii="Garamond" w:eastAsia="Times New Roman" w:hAnsi="Garamond" w:cs="Times New Roman"/>
                <w:color w:val="000000"/>
                <w:sz w:val="18"/>
                <w:szCs w:val="18"/>
                <w:lang w:eastAsia="en-US"/>
              </w:rPr>
            </w:pPr>
            <w:r w:rsidRPr="007114AF">
              <w:rPr>
                <w:rFonts w:ascii="Garamond" w:eastAsia="Times New Roman" w:hAnsi="Garamond" w:cs="Times New Roman"/>
                <w:color w:val="000000"/>
                <w:sz w:val="18"/>
                <w:szCs w:val="18"/>
                <w:lang w:eastAsia="en-US"/>
              </w:rPr>
              <w:t xml:space="preserve">        </w:t>
            </w:r>
            <w:r w:rsidR="005B0E74" w:rsidRPr="007114AF">
              <w:rPr>
                <w:rFonts w:ascii="Garamond" w:eastAsia="Times New Roman" w:hAnsi="Garamond" w:cs="Times New Roman"/>
                <w:color w:val="000000"/>
                <w:sz w:val="18"/>
                <w:szCs w:val="18"/>
                <w:lang w:eastAsia="en-US"/>
              </w:rPr>
              <w:t xml:space="preserve"> 2,578,362 </w:t>
            </w:r>
          </w:p>
        </w:tc>
        <w:tc>
          <w:tcPr>
            <w:tcW w:w="749" w:type="pct"/>
            <w:tcBorders>
              <w:top w:val="nil"/>
              <w:left w:val="nil"/>
              <w:bottom w:val="nil"/>
              <w:right w:val="nil"/>
            </w:tcBorders>
            <w:shd w:val="clear" w:color="auto" w:fill="auto"/>
            <w:noWrap/>
            <w:vAlign w:val="bottom"/>
            <w:hideMark/>
          </w:tcPr>
          <w:p w14:paraId="6EDD0147" w14:textId="65ADF9F7" w:rsidR="005B0E74" w:rsidRPr="007114AF" w:rsidRDefault="008D30FC" w:rsidP="001C467C">
            <w:pPr>
              <w:spacing w:after="0" w:line="240" w:lineRule="auto"/>
              <w:jc w:val="left"/>
              <w:rPr>
                <w:rFonts w:ascii="Garamond" w:eastAsia="Times New Roman" w:hAnsi="Garamond" w:cs="Times New Roman"/>
                <w:color w:val="000000"/>
                <w:sz w:val="18"/>
                <w:szCs w:val="18"/>
                <w:lang w:eastAsia="en-US"/>
              </w:rPr>
            </w:pPr>
            <w:r w:rsidRPr="007114AF">
              <w:rPr>
                <w:rFonts w:ascii="Garamond" w:eastAsia="Times New Roman" w:hAnsi="Garamond" w:cs="Times New Roman"/>
                <w:color w:val="000000"/>
                <w:sz w:val="18"/>
                <w:szCs w:val="18"/>
                <w:lang w:eastAsia="en-US"/>
              </w:rPr>
              <w:t xml:space="preserve">  </w:t>
            </w:r>
            <w:r w:rsidR="000A2A01" w:rsidRPr="007114AF">
              <w:rPr>
                <w:rFonts w:ascii="Garamond" w:eastAsia="Times New Roman" w:hAnsi="Garamond" w:cs="Times New Roman"/>
                <w:color w:val="000000"/>
                <w:sz w:val="18"/>
                <w:szCs w:val="18"/>
                <w:lang w:eastAsia="en-US"/>
              </w:rPr>
              <w:t xml:space="preserve"> </w:t>
            </w:r>
            <w:r w:rsidR="005B0E74" w:rsidRPr="007114AF">
              <w:rPr>
                <w:rFonts w:ascii="Garamond" w:eastAsia="Times New Roman" w:hAnsi="Garamond" w:cs="Times New Roman"/>
                <w:color w:val="000000"/>
                <w:sz w:val="18"/>
                <w:szCs w:val="18"/>
                <w:lang w:eastAsia="en-US"/>
              </w:rPr>
              <w:t xml:space="preserve">7,445,752 </w:t>
            </w:r>
          </w:p>
        </w:tc>
        <w:tc>
          <w:tcPr>
            <w:tcW w:w="1064" w:type="pct"/>
            <w:tcBorders>
              <w:top w:val="nil"/>
              <w:left w:val="single" w:sz="4" w:space="0" w:color="auto"/>
              <w:bottom w:val="single" w:sz="4" w:space="0" w:color="auto"/>
              <w:right w:val="single" w:sz="4" w:space="0" w:color="auto"/>
            </w:tcBorders>
            <w:shd w:val="clear" w:color="000000" w:fill="EBF1DE"/>
            <w:noWrap/>
            <w:vAlign w:val="bottom"/>
            <w:hideMark/>
          </w:tcPr>
          <w:p w14:paraId="6EDD0148" w14:textId="3BB84A46" w:rsidR="005B0E74" w:rsidRPr="007114AF" w:rsidRDefault="008D30FC" w:rsidP="001C467C">
            <w:pPr>
              <w:spacing w:after="0" w:line="240" w:lineRule="auto"/>
              <w:jc w:val="center"/>
              <w:rPr>
                <w:rFonts w:ascii="Garamond" w:eastAsia="Times New Roman" w:hAnsi="Garamond" w:cs="Times New Roman"/>
                <w:color w:val="000000"/>
                <w:sz w:val="18"/>
                <w:szCs w:val="18"/>
                <w:lang w:eastAsia="en-US"/>
              </w:rPr>
            </w:pPr>
            <w:r w:rsidRPr="007114AF">
              <w:rPr>
                <w:rFonts w:ascii="Garamond" w:eastAsia="Times New Roman" w:hAnsi="Garamond" w:cs="Times New Roman"/>
                <w:color w:val="000000"/>
                <w:sz w:val="18"/>
                <w:szCs w:val="18"/>
                <w:lang w:eastAsia="en-US"/>
              </w:rPr>
              <w:t xml:space="preserve">       </w:t>
            </w:r>
            <w:r w:rsidR="005B0E74" w:rsidRPr="007114AF">
              <w:rPr>
                <w:rFonts w:ascii="Garamond" w:eastAsia="Times New Roman" w:hAnsi="Garamond" w:cs="Times New Roman"/>
                <w:color w:val="000000"/>
                <w:sz w:val="18"/>
                <w:szCs w:val="18"/>
                <w:lang w:eastAsia="en-US"/>
              </w:rPr>
              <w:t xml:space="preserve">10,429,314 </w:t>
            </w:r>
          </w:p>
        </w:tc>
      </w:tr>
      <w:tr w:rsidR="005B0E74" w:rsidRPr="007114AF" w14:paraId="6EDD014F" w14:textId="77777777" w:rsidTr="00A45C8C">
        <w:trPr>
          <w:trHeight w:val="300"/>
          <w:jc w:val="center"/>
        </w:trPr>
        <w:tc>
          <w:tcPr>
            <w:tcW w:w="715" w:type="pct"/>
            <w:tcBorders>
              <w:top w:val="nil"/>
              <w:left w:val="single" w:sz="4" w:space="0" w:color="auto"/>
              <w:bottom w:val="single" w:sz="4" w:space="0" w:color="auto"/>
              <w:right w:val="single" w:sz="4" w:space="0" w:color="auto"/>
            </w:tcBorders>
            <w:shd w:val="clear" w:color="000000" w:fill="EBF1DE"/>
            <w:noWrap/>
            <w:vAlign w:val="bottom"/>
            <w:hideMark/>
          </w:tcPr>
          <w:p w14:paraId="6EDD014A" w14:textId="77777777" w:rsidR="005B0E74" w:rsidRPr="007114AF" w:rsidRDefault="005B0E74" w:rsidP="001C467C">
            <w:pPr>
              <w:spacing w:after="0" w:line="240" w:lineRule="auto"/>
              <w:jc w:val="left"/>
              <w:rPr>
                <w:rFonts w:ascii="Garamond" w:eastAsia="Times New Roman" w:hAnsi="Garamond" w:cs="Times New Roman"/>
                <w:color w:val="000000"/>
                <w:sz w:val="18"/>
                <w:szCs w:val="18"/>
                <w:lang w:eastAsia="en-US"/>
              </w:rPr>
            </w:pPr>
            <w:r w:rsidRPr="007114AF">
              <w:rPr>
                <w:rFonts w:ascii="Garamond" w:eastAsia="Times New Roman" w:hAnsi="Garamond" w:cs="Times New Roman"/>
                <w:color w:val="000000"/>
                <w:sz w:val="18"/>
                <w:szCs w:val="18"/>
                <w:lang w:eastAsia="en-US"/>
              </w:rPr>
              <w:t>Transporti</w:t>
            </w:r>
          </w:p>
        </w:tc>
        <w:tc>
          <w:tcPr>
            <w:tcW w:w="1128" w:type="pct"/>
            <w:tcBorders>
              <w:top w:val="nil"/>
              <w:left w:val="nil"/>
              <w:bottom w:val="nil"/>
              <w:right w:val="nil"/>
            </w:tcBorders>
            <w:shd w:val="clear" w:color="auto" w:fill="auto"/>
            <w:noWrap/>
            <w:vAlign w:val="bottom"/>
            <w:hideMark/>
          </w:tcPr>
          <w:p w14:paraId="6EDD014B" w14:textId="6DB9B1A7" w:rsidR="005B0E74" w:rsidRPr="007114AF" w:rsidRDefault="008D30FC" w:rsidP="001C467C">
            <w:pPr>
              <w:spacing w:after="0" w:line="240" w:lineRule="auto"/>
              <w:jc w:val="left"/>
              <w:rPr>
                <w:rFonts w:ascii="Garamond" w:eastAsia="Times New Roman" w:hAnsi="Garamond" w:cs="Times New Roman"/>
                <w:color w:val="000000"/>
                <w:sz w:val="18"/>
                <w:szCs w:val="18"/>
                <w:lang w:eastAsia="en-US"/>
              </w:rPr>
            </w:pPr>
            <w:r w:rsidRPr="007114AF">
              <w:rPr>
                <w:rFonts w:ascii="Garamond" w:eastAsia="Times New Roman" w:hAnsi="Garamond" w:cs="Times New Roman"/>
                <w:color w:val="000000"/>
                <w:sz w:val="18"/>
                <w:szCs w:val="18"/>
                <w:lang w:eastAsia="en-US"/>
              </w:rPr>
              <w:t xml:space="preserve">      </w:t>
            </w:r>
            <w:r w:rsidR="005B0E74" w:rsidRPr="007114AF">
              <w:rPr>
                <w:rFonts w:ascii="Garamond" w:eastAsia="Times New Roman" w:hAnsi="Garamond" w:cs="Times New Roman"/>
                <w:color w:val="000000"/>
                <w:sz w:val="18"/>
                <w:szCs w:val="18"/>
                <w:lang w:eastAsia="en-US"/>
              </w:rPr>
              <w:t xml:space="preserve"> 4,490,150 </w:t>
            </w:r>
          </w:p>
        </w:tc>
        <w:tc>
          <w:tcPr>
            <w:tcW w:w="1344" w:type="pct"/>
            <w:tcBorders>
              <w:top w:val="nil"/>
              <w:left w:val="nil"/>
              <w:bottom w:val="nil"/>
              <w:right w:val="nil"/>
            </w:tcBorders>
            <w:shd w:val="clear" w:color="auto" w:fill="auto"/>
            <w:noWrap/>
            <w:vAlign w:val="bottom"/>
            <w:hideMark/>
          </w:tcPr>
          <w:p w14:paraId="6EDD014C" w14:textId="31993246" w:rsidR="005B0E74" w:rsidRPr="007114AF" w:rsidRDefault="008D30FC" w:rsidP="001C467C">
            <w:pPr>
              <w:spacing w:after="0" w:line="240" w:lineRule="auto"/>
              <w:jc w:val="left"/>
              <w:rPr>
                <w:rFonts w:ascii="Garamond" w:eastAsia="Times New Roman" w:hAnsi="Garamond" w:cs="Times New Roman"/>
                <w:color w:val="000000"/>
                <w:sz w:val="18"/>
                <w:szCs w:val="18"/>
                <w:lang w:eastAsia="en-US"/>
              </w:rPr>
            </w:pPr>
            <w:r w:rsidRPr="007114AF">
              <w:rPr>
                <w:rFonts w:ascii="Garamond" w:eastAsia="Times New Roman" w:hAnsi="Garamond" w:cs="Times New Roman"/>
                <w:color w:val="000000"/>
                <w:sz w:val="18"/>
                <w:szCs w:val="18"/>
                <w:lang w:eastAsia="en-US"/>
              </w:rPr>
              <w:t xml:space="preserve">        </w:t>
            </w:r>
            <w:r w:rsidR="005B0E74" w:rsidRPr="007114AF">
              <w:rPr>
                <w:rFonts w:ascii="Garamond" w:eastAsia="Times New Roman" w:hAnsi="Garamond" w:cs="Times New Roman"/>
                <w:color w:val="000000"/>
                <w:sz w:val="18"/>
                <w:szCs w:val="18"/>
                <w:lang w:eastAsia="en-US"/>
              </w:rPr>
              <w:t xml:space="preserve">16,309,586 </w:t>
            </w:r>
          </w:p>
        </w:tc>
        <w:tc>
          <w:tcPr>
            <w:tcW w:w="749" w:type="pct"/>
            <w:tcBorders>
              <w:top w:val="nil"/>
              <w:left w:val="nil"/>
              <w:bottom w:val="nil"/>
              <w:right w:val="nil"/>
            </w:tcBorders>
            <w:shd w:val="clear" w:color="auto" w:fill="auto"/>
            <w:noWrap/>
            <w:vAlign w:val="bottom"/>
            <w:hideMark/>
          </w:tcPr>
          <w:p w14:paraId="6EDD014D" w14:textId="56F794E5" w:rsidR="005B0E74" w:rsidRPr="007114AF" w:rsidRDefault="008D30FC" w:rsidP="001C467C">
            <w:pPr>
              <w:spacing w:after="0" w:line="240" w:lineRule="auto"/>
              <w:jc w:val="left"/>
              <w:rPr>
                <w:rFonts w:ascii="Garamond" w:eastAsia="Times New Roman" w:hAnsi="Garamond" w:cs="Times New Roman"/>
                <w:color w:val="000000"/>
                <w:sz w:val="18"/>
                <w:szCs w:val="18"/>
                <w:lang w:eastAsia="en-US"/>
              </w:rPr>
            </w:pPr>
            <w:r w:rsidRPr="007114AF">
              <w:rPr>
                <w:rFonts w:ascii="Garamond" w:eastAsia="Times New Roman" w:hAnsi="Garamond" w:cs="Times New Roman"/>
                <w:color w:val="000000"/>
                <w:sz w:val="18"/>
                <w:szCs w:val="18"/>
                <w:lang w:eastAsia="en-US"/>
              </w:rPr>
              <w:t xml:space="preserve">  </w:t>
            </w:r>
            <w:r w:rsidR="005B0E74" w:rsidRPr="007114AF">
              <w:rPr>
                <w:rFonts w:ascii="Garamond" w:eastAsia="Times New Roman" w:hAnsi="Garamond" w:cs="Times New Roman"/>
                <w:color w:val="000000"/>
                <w:sz w:val="18"/>
                <w:szCs w:val="18"/>
                <w:lang w:eastAsia="en-US"/>
              </w:rPr>
              <w:t xml:space="preserve">15,320,984 </w:t>
            </w:r>
          </w:p>
        </w:tc>
        <w:tc>
          <w:tcPr>
            <w:tcW w:w="1064" w:type="pct"/>
            <w:tcBorders>
              <w:top w:val="nil"/>
              <w:left w:val="single" w:sz="4" w:space="0" w:color="auto"/>
              <w:bottom w:val="single" w:sz="4" w:space="0" w:color="auto"/>
              <w:right w:val="single" w:sz="4" w:space="0" w:color="auto"/>
            </w:tcBorders>
            <w:shd w:val="clear" w:color="000000" w:fill="EBF1DE"/>
            <w:noWrap/>
            <w:vAlign w:val="bottom"/>
            <w:hideMark/>
          </w:tcPr>
          <w:p w14:paraId="6EDD014E" w14:textId="0364E644" w:rsidR="005B0E74" w:rsidRPr="007114AF" w:rsidRDefault="008D30FC" w:rsidP="001C467C">
            <w:pPr>
              <w:spacing w:after="0" w:line="240" w:lineRule="auto"/>
              <w:jc w:val="center"/>
              <w:rPr>
                <w:rFonts w:ascii="Garamond" w:eastAsia="Times New Roman" w:hAnsi="Garamond" w:cs="Times New Roman"/>
                <w:color w:val="000000"/>
                <w:sz w:val="18"/>
                <w:szCs w:val="18"/>
                <w:lang w:eastAsia="en-US"/>
              </w:rPr>
            </w:pPr>
            <w:r w:rsidRPr="007114AF">
              <w:rPr>
                <w:rFonts w:ascii="Garamond" w:eastAsia="Times New Roman" w:hAnsi="Garamond" w:cs="Times New Roman"/>
                <w:color w:val="000000"/>
                <w:sz w:val="18"/>
                <w:szCs w:val="18"/>
                <w:lang w:eastAsia="en-US"/>
              </w:rPr>
              <w:t xml:space="preserve">       </w:t>
            </w:r>
            <w:r w:rsidR="005B0E74" w:rsidRPr="007114AF">
              <w:rPr>
                <w:rFonts w:ascii="Garamond" w:eastAsia="Times New Roman" w:hAnsi="Garamond" w:cs="Times New Roman"/>
                <w:color w:val="000000"/>
                <w:sz w:val="18"/>
                <w:szCs w:val="18"/>
                <w:lang w:eastAsia="en-US"/>
              </w:rPr>
              <w:t xml:space="preserve">36,120,720 </w:t>
            </w:r>
          </w:p>
        </w:tc>
      </w:tr>
      <w:tr w:rsidR="005B0E74" w:rsidRPr="007114AF" w14:paraId="6EDD0155" w14:textId="77777777" w:rsidTr="00A45C8C">
        <w:trPr>
          <w:trHeight w:val="300"/>
          <w:jc w:val="center"/>
        </w:trPr>
        <w:tc>
          <w:tcPr>
            <w:tcW w:w="715" w:type="pct"/>
            <w:tcBorders>
              <w:top w:val="nil"/>
              <w:left w:val="single" w:sz="4" w:space="0" w:color="auto"/>
              <w:bottom w:val="single" w:sz="4" w:space="0" w:color="auto"/>
              <w:right w:val="single" w:sz="4" w:space="0" w:color="auto"/>
            </w:tcBorders>
            <w:shd w:val="clear" w:color="000000" w:fill="EBF1DE"/>
            <w:noWrap/>
            <w:vAlign w:val="bottom"/>
            <w:hideMark/>
          </w:tcPr>
          <w:p w14:paraId="6EDD0150" w14:textId="77777777" w:rsidR="005B0E74" w:rsidRPr="007114AF" w:rsidRDefault="005B0E74" w:rsidP="001C467C">
            <w:pPr>
              <w:spacing w:after="0" w:line="240" w:lineRule="auto"/>
              <w:jc w:val="left"/>
              <w:rPr>
                <w:rFonts w:ascii="Garamond" w:eastAsia="Times New Roman" w:hAnsi="Garamond" w:cs="Times New Roman"/>
                <w:color w:val="000000"/>
                <w:sz w:val="18"/>
                <w:szCs w:val="18"/>
                <w:lang w:eastAsia="en-US"/>
              </w:rPr>
            </w:pPr>
            <w:r w:rsidRPr="007114AF">
              <w:rPr>
                <w:rFonts w:ascii="Garamond" w:eastAsia="Times New Roman" w:hAnsi="Garamond" w:cs="Times New Roman"/>
                <w:color w:val="000000"/>
                <w:sz w:val="18"/>
                <w:szCs w:val="18"/>
                <w:lang w:eastAsia="en-US"/>
              </w:rPr>
              <w:t>Bujqesia</w:t>
            </w:r>
          </w:p>
        </w:tc>
        <w:tc>
          <w:tcPr>
            <w:tcW w:w="1128" w:type="pct"/>
            <w:tcBorders>
              <w:top w:val="nil"/>
              <w:left w:val="nil"/>
              <w:bottom w:val="nil"/>
              <w:right w:val="nil"/>
            </w:tcBorders>
            <w:shd w:val="clear" w:color="auto" w:fill="auto"/>
            <w:noWrap/>
            <w:vAlign w:val="bottom"/>
            <w:hideMark/>
          </w:tcPr>
          <w:p w14:paraId="6EDD0151" w14:textId="64617675" w:rsidR="005B0E74" w:rsidRPr="007114AF" w:rsidRDefault="008D30FC" w:rsidP="001C467C">
            <w:pPr>
              <w:spacing w:after="0" w:line="240" w:lineRule="auto"/>
              <w:jc w:val="left"/>
              <w:rPr>
                <w:rFonts w:ascii="Garamond" w:eastAsia="Times New Roman" w:hAnsi="Garamond" w:cs="Times New Roman"/>
                <w:color w:val="000000"/>
                <w:sz w:val="18"/>
                <w:szCs w:val="18"/>
                <w:lang w:eastAsia="en-US"/>
              </w:rPr>
            </w:pPr>
            <w:r w:rsidRPr="007114AF">
              <w:rPr>
                <w:rFonts w:ascii="Garamond" w:eastAsia="Times New Roman" w:hAnsi="Garamond" w:cs="Times New Roman"/>
                <w:color w:val="000000"/>
                <w:sz w:val="18"/>
                <w:szCs w:val="18"/>
                <w:lang w:eastAsia="en-US"/>
              </w:rPr>
              <w:t xml:space="preserve">      </w:t>
            </w:r>
            <w:r w:rsidR="005B0E74" w:rsidRPr="007114AF">
              <w:rPr>
                <w:rFonts w:ascii="Garamond" w:eastAsia="Times New Roman" w:hAnsi="Garamond" w:cs="Times New Roman"/>
                <w:color w:val="000000"/>
                <w:sz w:val="18"/>
                <w:szCs w:val="18"/>
                <w:lang w:eastAsia="en-US"/>
              </w:rPr>
              <w:t xml:space="preserve"> 2,355,607 </w:t>
            </w:r>
          </w:p>
        </w:tc>
        <w:tc>
          <w:tcPr>
            <w:tcW w:w="1344" w:type="pct"/>
            <w:tcBorders>
              <w:top w:val="nil"/>
              <w:left w:val="nil"/>
              <w:bottom w:val="nil"/>
              <w:right w:val="nil"/>
            </w:tcBorders>
            <w:shd w:val="clear" w:color="auto" w:fill="auto"/>
            <w:noWrap/>
            <w:vAlign w:val="bottom"/>
            <w:hideMark/>
          </w:tcPr>
          <w:p w14:paraId="6EDD0152" w14:textId="177EFC37" w:rsidR="005B0E74" w:rsidRPr="007114AF" w:rsidRDefault="008D30FC" w:rsidP="001C467C">
            <w:pPr>
              <w:spacing w:after="0" w:line="240" w:lineRule="auto"/>
              <w:jc w:val="left"/>
              <w:rPr>
                <w:rFonts w:ascii="Garamond" w:eastAsia="Times New Roman" w:hAnsi="Garamond" w:cs="Times New Roman"/>
                <w:color w:val="000000"/>
                <w:sz w:val="18"/>
                <w:szCs w:val="18"/>
                <w:lang w:eastAsia="en-US"/>
              </w:rPr>
            </w:pPr>
            <w:r w:rsidRPr="007114AF">
              <w:rPr>
                <w:rFonts w:ascii="Garamond" w:eastAsia="Times New Roman" w:hAnsi="Garamond" w:cs="Times New Roman"/>
                <w:color w:val="000000"/>
                <w:sz w:val="18"/>
                <w:szCs w:val="18"/>
                <w:lang w:eastAsia="en-US"/>
              </w:rPr>
              <w:t xml:space="preserve">        </w:t>
            </w:r>
            <w:r w:rsidR="005B0E74" w:rsidRPr="007114AF">
              <w:rPr>
                <w:rFonts w:ascii="Garamond" w:eastAsia="Times New Roman" w:hAnsi="Garamond" w:cs="Times New Roman"/>
                <w:color w:val="000000"/>
                <w:sz w:val="18"/>
                <w:szCs w:val="18"/>
                <w:lang w:eastAsia="en-US"/>
              </w:rPr>
              <w:t xml:space="preserve"> 3,065,704 </w:t>
            </w:r>
          </w:p>
        </w:tc>
        <w:tc>
          <w:tcPr>
            <w:tcW w:w="749" w:type="pct"/>
            <w:tcBorders>
              <w:top w:val="nil"/>
              <w:left w:val="nil"/>
              <w:bottom w:val="nil"/>
              <w:right w:val="nil"/>
            </w:tcBorders>
            <w:shd w:val="clear" w:color="auto" w:fill="auto"/>
            <w:noWrap/>
            <w:vAlign w:val="bottom"/>
            <w:hideMark/>
          </w:tcPr>
          <w:p w14:paraId="6EDD0153" w14:textId="442F3A92" w:rsidR="005B0E74" w:rsidRPr="007114AF" w:rsidRDefault="008D30FC" w:rsidP="001C467C">
            <w:pPr>
              <w:spacing w:after="0" w:line="240" w:lineRule="auto"/>
              <w:jc w:val="left"/>
              <w:rPr>
                <w:rFonts w:ascii="Garamond" w:eastAsia="Times New Roman" w:hAnsi="Garamond" w:cs="Times New Roman"/>
                <w:color w:val="000000"/>
                <w:sz w:val="18"/>
                <w:szCs w:val="18"/>
                <w:lang w:eastAsia="en-US"/>
              </w:rPr>
            </w:pPr>
            <w:r w:rsidRPr="007114AF">
              <w:rPr>
                <w:rFonts w:ascii="Garamond" w:eastAsia="Times New Roman" w:hAnsi="Garamond" w:cs="Times New Roman"/>
                <w:color w:val="000000"/>
                <w:sz w:val="18"/>
                <w:szCs w:val="18"/>
                <w:lang w:eastAsia="en-US"/>
              </w:rPr>
              <w:t xml:space="preserve">  </w:t>
            </w:r>
            <w:r w:rsidR="000A2A01" w:rsidRPr="007114AF">
              <w:rPr>
                <w:rFonts w:ascii="Garamond" w:eastAsia="Times New Roman" w:hAnsi="Garamond" w:cs="Times New Roman"/>
                <w:color w:val="000000"/>
                <w:sz w:val="18"/>
                <w:szCs w:val="18"/>
                <w:lang w:eastAsia="en-US"/>
              </w:rPr>
              <w:t xml:space="preserve"> </w:t>
            </w:r>
            <w:r w:rsidR="005B0E74" w:rsidRPr="007114AF">
              <w:rPr>
                <w:rFonts w:ascii="Garamond" w:eastAsia="Times New Roman" w:hAnsi="Garamond" w:cs="Times New Roman"/>
                <w:color w:val="000000"/>
                <w:sz w:val="18"/>
                <w:szCs w:val="18"/>
                <w:lang w:eastAsia="en-US"/>
              </w:rPr>
              <w:t xml:space="preserve">2,591,000 </w:t>
            </w:r>
          </w:p>
        </w:tc>
        <w:tc>
          <w:tcPr>
            <w:tcW w:w="1064" w:type="pct"/>
            <w:tcBorders>
              <w:top w:val="nil"/>
              <w:left w:val="single" w:sz="4" w:space="0" w:color="auto"/>
              <w:bottom w:val="single" w:sz="4" w:space="0" w:color="auto"/>
              <w:right w:val="single" w:sz="4" w:space="0" w:color="auto"/>
            </w:tcBorders>
            <w:shd w:val="clear" w:color="000000" w:fill="EBF1DE"/>
            <w:noWrap/>
            <w:vAlign w:val="bottom"/>
            <w:hideMark/>
          </w:tcPr>
          <w:p w14:paraId="6EDD0154" w14:textId="24D049ED" w:rsidR="005B0E74" w:rsidRPr="007114AF" w:rsidRDefault="008D30FC" w:rsidP="001C467C">
            <w:pPr>
              <w:spacing w:after="0" w:line="240" w:lineRule="auto"/>
              <w:jc w:val="center"/>
              <w:rPr>
                <w:rFonts w:ascii="Garamond" w:eastAsia="Times New Roman" w:hAnsi="Garamond" w:cs="Times New Roman"/>
                <w:color w:val="000000"/>
                <w:sz w:val="18"/>
                <w:szCs w:val="18"/>
                <w:lang w:eastAsia="en-US"/>
              </w:rPr>
            </w:pPr>
            <w:r w:rsidRPr="007114AF">
              <w:rPr>
                <w:rFonts w:ascii="Garamond" w:eastAsia="Times New Roman" w:hAnsi="Garamond" w:cs="Times New Roman"/>
                <w:color w:val="000000"/>
                <w:sz w:val="18"/>
                <w:szCs w:val="18"/>
                <w:lang w:eastAsia="en-US"/>
              </w:rPr>
              <w:t xml:space="preserve">       </w:t>
            </w:r>
            <w:r w:rsidR="000A2A01" w:rsidRPr="007114AF">
              <w:rPr>
                <w:rFonts w:ascii="Garamond" w:eastAsia="Times New Roman" w:hAnsi="Garamond" w:cs="Times New Roman"/>
                <w:color w:val="000000"/>
                <w:sz w:val="18"/>
                <w:szCs w:val="18"/>
                <w:lang w:eastAsia="en-US"/>
              </w:rPr>
              <w:t xml:space="preserve"> </w:t>
            </w:r>
            <w:r w:rsidR="005B0E74" w:rsidRPr="007114AF">
              <w:rPr>
                <w:rFonts w:ascii="Garamond" w:eastAsia="Times New Roman" w:hAnsi="Garamond" w:cs="Times New Roman"/>
                <w:color w:val="000000"/>
                <w:sz w:val="18"/>
                <w:szCs w:val="18"/>
                <w:lang w:eastAsia="en-US"/>
              </w:rPr>
              <w:t xml:space="preserve">8,012,311 </w:t>
            </w:r>
          </w:p>
        </w:tc>
      </w:tr>
      <w:tr w:rsidR="005B0E74" w:rsidRPr="007114AF" w14:paraId="6EDD015B" w14:textId="77777777" w:rsidTr="00A45C8C">
        <w:trPr>
          <w:trHeight w:val="300"/>
          <w:jc w:val="center"/>
        </w:trPr>
        <w:tc>
          <w:tcPr>
            <w:tcW w:w="715" w:type="pct"/>
            <w:tcBorders>
              <w:top w:val="nil"/>
              <w:left w:val="single" w:sz="4" w:space="0" w:color="auto"/>
              <w:bottom w:val="single" w:sz="4" w:space="0" w:color="auto"/>
              <w:right w:val="single" w:sz="4" w:space="0" w:color="auto"/>
            </w:tcBorders>
            <w:shd w:val="clear" w:color="000000" w:fill="EBF1DE"/>
            <w:noWrap/>
            <w:vAlign w:val="bottom"/>
            <w:hideMark/>
          </w:tcPr>
          <w:p w14:paraId="6EDD0156" w14:textId="77777777" w:rsidR="005B0E74" w:rsidRPr="007114AF" w:rsidRDefault="005B0E74" w:rsidP="001C467C">
            <w:pPr>
              <w:spacing w:after="0" w:line="240" w:lineRule="auto"/>
              <w:jc w:val="left"/>
              <w:rPr>
                <w:rFonts w:ascii="Garamond" w:eastAsia="Times New Roman" w:hAnsi="Garamond" w:cs="Times New Roman"/>
                <w:color w:val="000000"/>
                <w:sz w:val="18"/>
                <w:szCs w:val="18"/>
                <w:lang w:eastAsia="en-US"/>
              </w:rPr>
            </w:pPr>
            <w:r w:rsidRPr="007114AF">
              <w:rPr>
                <w:rFonts w:ascii="Garamond" w:eastAsia="Times New Roman" w:hAnsi="Garamond" w:cs="Times New Roman"/>
                <w:color w:val="000000"/>
                <w:sz w:val="18"/>
                <w:szCs w:val="18"/>
                <w:lang w:eastAsia="en-US"/>
              </w:rPr>
              <w:t>Toka+Pyjet</w:t>
            </w:r>
          </w:p>
        </w:tc>
        <w:tc>
          <w:tcPr>
            <w:tcW w:w="1128" w:type="pct"/>
            <w:tcBorders>
              <w:top w:val="nil"/>
              <w:left w:val="nil"/>
              <w:bottom w:val="nil"/>
              <w:right w:val="nil"/>
            </w:tcBorders>
            <w:shd w:val="clear" w:color="auto" w:fill="auto"/>
            <w:noWrap/>
            <w:vAlign w:val="bottom"/>
            <w:hideMark/>
          </w:tcPr>
          <w:p w14:paraId="6EDD0157" w14:textId="1AFA40D6" w:rsidR="005B0E74" w:rsidRPr="007114AF" w:rsidRDefault="008D30FC" w:rsidP="001C467C">
            <w:pPr>
              <w:spacing w:after="0" w:line="240" w:lineRule="auto"/>
              <w:jc w:val="left"/>
              <w:rPr>
                <w:rFonts w:ascii="Garamond" w:eastAsia="Times New Roman" w:hAnsi="Garamond" w:cs="Times New Roman"/>
                <w:color w:val="000000"/>
                <w:sz w:val="18"/>
                <w:szCs w:val="18"/>
                <w:lang w:eastAsia="en-US"/>
              </w:rPr>
            </w:pPr>
            <w:r w:rsidRPr="007114AF">
              <w:rPr>
                <w:rFonts w:ascii="Garamond" w:eastAsia="Times New Roman" w:hAnsi="Garamond" w:cs="Times New Roman"/>
                <w:color w:val="000000"/>
                <w:sz w:val="18"/>
                <w:szCs w:val="18"/>
                <w:lang w:eastAsia="en-US"/>
              </w:rPr>
              <w:t xml:space="preserve">       </w:t>
            </w:r>
            <w:r w:rsidR="005B0E74" w:rsidRPr="007114AF">
              <w:rPr>
                <w:rFonts w:ascii="Garamond" w:eastAsia="Times New Roman" w:hAnsi="Garamond" w:cs="Times New Roman"/>
                <w:color w:val="000000"/>
                <w:sz w:val="18"/>
                <w:szCs w:val="18"/>
                <w:lang w:eastAsia="en-US"/>
              </w:rPr>
              <w:t xml:space="preserve">325,386 </w:t>
            </w:r>
          </w:p>
        </w:tc>
        <w:tc>
          <w:tcPr>
            <w:tcW w:w="1344" w:type="pct"/>
            <w:tcBorders>
              <w:top w:val="nil"/>
              <w:left w:val="nil"/>
              <w:bottom w:val="nil"/>
              <w:right w:val="nil"/>
            </w:tcBorders>
            <w:shd w:val="clear" w:color="auto" w:fill="auto"/>
            <w:noWrap/>
            <w:vAlign w:val="bottom"/>
            <w:hideMark/>
          </w:tcPr>
          <w:p w14:paraId="6EDD0158" w14:textId="682164B3" w:rsidR="005B0E74" w:rsidRPr="007114AF" w:rsidRDefault="008D30FC" w:rsidP="001C467C">
            <w:pPr>
              <w:spacing w:after="0" w:line="240" w:lineRule="auto"/>
              <w:jc w:val="left"/>
              <w:rPr>
                <w:rFonts w:ascii="Garamond" w:eastAsia="Times New Roman" w:hAnsi="Garamond" w:cs="Times New Roman"/>
                <w:color w:val="000000"/>
                <w:sz w:val="18"/>
                <w:szCs w:val="18"/>
                <w:lang w:eastAsia="en-US"/>
              </w:rPr>
            </w:pPr>
            <w:r w:rsidRPr="007114AF">
              <w:rPr>
                <w:rFonts w:ascii="Garamond" w:eastAsia="Times New Roman" w:hAnsi="Garamond" w:cs="Times New Roman"/>
                <w:color w:val="000000"/>
                <w:sz w:val="18"/>
                <w:szCs w:val="18"/>
                <w:lang w:eastAsia="en-US"/>
              </w:rPr>
              <w:t xml:space="preserve">         </w:t>
            </w:r>
            <w:r w:rsidR="005B0E74" w:rsidRPr="007114AF">
              <w:rPr>
                <w:rFonts w:ascii="Garamond" w:eastAsia="Times New Roman" w:hAnsi="Garamond" w:cs="Times New Roman"/>
                <w:color w:val="000000"/>
                <w:sz w:val="18"/>
                <w:szCs w:val="18"/>
                <w:lang w:eastAsia="en-US"/>
              </w:rPr>
              <w:t xml:space="preserve"> 403,640 </w:t>
            </w:r>
          </w:p>
        </w:tc>
        <w:tc>
          <w:tcPr>
            <w:tcW w:w="749" w:type="pct"/>
            <w:tcBorders>
              <w:top w:val="nil"/>
              <w:left w:val="nil"/>
              <w:bottom w:val="nil"/>
              <w:right w:val="nil"/>
            </w:tcBorders>
            <w:shd w:val="clear" w:color="auto" w:fill="auto"/>
            <w:noWrap/>
            <w:vAlign w:val="bottom"/>
            <w:hideMark/>
          </w:tcPr>
          <w:p w14:paraId="6EDD0159" w14:textId="05A96690" w:rsidR="005B0E74" w:rsidRPr="007114AF" w:rsidRDefault="008D30FC" w:rsidP="001C467C">
            <w:pPr>
              <w:spacing w:after="0" w:line="240" w:lineRule="auto"/>
              <w:jc w:val="left"/>
              <w:rPr>
                <w:rFonts w:ascii="Garamond" w:eastAsia="Times New Roman" w:hAnsi="Garamond" w:cs="Times New Roman"/>
                <w:color w:val="000000"/>
                <w:sz w:val="18"/>
                <w:szCs w:val="18"/>
                <w:lang w:eastAsia="en-US"/>
              </w:rPr>
            </w:pPr>
            <w:r w:rsidRPr="007114AF">
              <w:rPr>
                <w:rFonts w:ascii="Garamond" w:eastAsia="Times New Roman" w:hAnsi="Garamond" w:cs="Times New Roman"/>
                <w:color w:val="000000"/>
                <w:sz w:val="18"/>
                <w:szCs w:val="18"/>
                <w:lang w:eastAsia="en-US"/>
              </w:rPr>
              <w:t xml:space="preserve">   </w:t>
            </w:r>
            <w:r w:rsidR="005B0E74" w:rsidRPr="007114AF">
              <w:rPr>
                <w:rFonts w:ascii="Garamond" w:eastAsia="Times New Roman" w:hAnsi="Garamond" w:cs="Times New Roman"/>
                <w:color w:val="000000"/>
                <w:sz w:val="18"/>
                <w:szCs w:val="18"/>
                <w:lang w:eastAsia="en-US"/>
              </w:rPr>
              <w:t xml:space="preserve"> 413,600 </w:t>
            </w:r>
          </w:p>
        </w:tc>
        <w:tc>
          <w:tcPr>
            <w:tcW w:w="1064" w:type="pct"/>
            <w:tcBorders>
              <w:top w:val="nil"/>
              <w:left w:val="single" w:sz="4" w:space="0" w:color="auto"/>
              <w:bottom w:val="single" w:sz="4" w:space="0" w:color="auto"/>
              <w:right w:val="single" w:sz="4" w:space="0" w:color="auto"/>
            </w:tcBorders>
            <w:shd w:val="clear" w:color="000000" w:fill="EBF1DE"/>
            <w:noWrap/>
            <w:vAlign w:val="bottom"/>
            <w:hideMark/>
          </w:tcPr>
          <w:p w14:paraId="6EDD015A" w14:textId="62B266EC" w:rsidR="005B0E74" w:rsidRPr="007114AF" w:rsidRDefault="008D30FC" w:rsidP="001C467C">
            <w:pPr>
              <w:spacing w:after="0" w:line="240" w:lineRule="auto"/>
              <w:jc w:val="center"/>
              <w:rPr>
                <w:rFonts w:ascii="Garamond" w:eastAsia="Times New Roman" w:hAnsi="Garamond" w:cs="Times New Roman"/>
                <w:color w:val="000000"/>
                <w:sz w:val="18"/>
                <w:szCs w:val="18"/>
                <w:lang w:eastAsia="en-US"/>
              </w:rPr>
            </w:pPr>
            <w:r w:rsidRPr="007114AF">
              <w:rPr>
                <w:rFonts w:ascii="Garamond" w:eastAsia="Times New Roman" w:hAnsi="Garamond" w:cs="Times New Roman"/>
                <w:color w:val="000000"/>
                <w:sz w:val="18"/>
                <w:szCs w:val="18"/>
                <w:lang w:eastAsia="en-US"/>
              </w:rPr>
              <w:t xml:space="preserve">       </w:t>
            </w:r>
            <w:r w:rsidR="000A2A01" w:rsidRPr="007114AF">
              <w:rPr>
                <w:rFonts w:ascii="Garamond" w:eastAsia="Times New Roman" w:hAnsi="Garamond" w:cs="Times New Roman"/>
                <w:color w:val="000000"/>
                <w:sz w:val="18"/>
                <w:szCs w:val="18"/>
                <w:lang w:eastAsia="en-US"/>
              </w:rPr>
              <w:t xml:space="preserve"> </w:t>
            </w:r>
            <w:r w:rsidR="005B0E74" w:rsidRPr="007114AF">
              <w:rPr>
                <w:rFonts w:ascii="Garamond" w:eastAsia="Times New Roman" w:hAnsi="Garamond" w:cs="Times New Roman"/>
                <w:color w:val="000000"/>
                <w:sz w:val="18"/>
                <w:szCs w:val="18"/>
                <w:lang w:eastAsia="en-US"/>
              </w:rPr>
              <w:t xml:space="preserve">1,142,626 </w:t>
            </w:r>
          </w:p>
        </w:tc>
      </w:tr>
      <w:tr w:rsidR="005B0E74" w:rsidRPr="007114AF" w14:paraId="6EDD0161" w14:textId="77777777" w:rsidTr="00A45C8C">
        <w:trPr>
          <w:trHeight w:val="315"/>
          <w:jc w:val="center"/>
        </w:trPr>
        <w:tc>
          <w:tcPr>
            <w:tcW w:w="715" w:type="pct"/>
            <w:tcBorders>
              <w:top w:val="nil"/>
              <w:left w:val="single" w:sz="4" w:space="0" w:color="auto"/>
              <w:bottom w:val="single" w:sz="4" w:space="0" w:color="auto"/>
              <w:right w:val="single" w:sz="4" w:space="0" w:color="auto"/>
            </w:tcBorders>
            <w:shd w:val="clear" w:color="000000" w:fill="EBF1DE"/>
            <w:noWrap/>
            <w:vAlign w:val="bottom"/>
            <w:hideMark/>
          </w:tcPr>
          <w:p w14:paraId="6EDD015C" w14:textId="77777777" w:rsidR="005B0E74" w:rsidRPr="007114AF" w:rsidRDefault="005B0E74" w:rsidP="001C467C">
            <w:pPr>
              <w:spacing w:after="0" w:line="240" w:lineRule="auto"/>
              <w:jc w:val="left"/>
              <w:rPr>
                <w:rFonts w:ascii="Garamond" w:eastAsia="Times New Roman" w:hAnsi="Garamond" w:cs="Times New Roman"/>
                <w:color w:val="000000"/>
                <w:sz w:val="18"/>
                <w:szCs w:val="18"/>
                <w:lang w:eastAsia="en-US"/>
              </w:rPr>
            </w:pPr>
            <w:r w:rsidRPr="007114AF">
              <w:rPr>
                <w:rFonts w:ascii="Garamond" w:eastAsia="Times New Roman" w:hAnsi="Garamond" w:cs="Times New Roman"/>
                <w:color w:val="000000"/>
                <w:sz w:val="18"/>
                <w:szCs w:val="18"/>
                <w:lang w:eastAsia="en-US"/>
              </w:rPr>
              <w:t>Ndersektoriale</w:t>
            </w:r>
          </w:p>
        </w:tc>
        <w:tc>
          <w:tcPr>
            <w:tcW w:w="1128" w:type="pct"/>
            <w:tcBorders>
              <w:top w:val="nil"/>
              <w:left w:val="nil"/>
              <w:bottom w:val="nil"/>
              <w:right w:val="nil"/>
            </w:tcBorders>
            <w:shd w:val="clear" w:color="auto" w:fill="auto"/>
            <w:noWrap/>
            <w:vAlign w:val="bottom"/>
            <w:hideMark/>
          </w:tcPr>
          <w:p w14:paraId="6EDD015D" w14:textId="740FF00B" w:rsidR="005B0E74" w:rsidRPr="007114AF" w:rsidRDefault="008D30FC" w:rsidP="001C467C">
            <w:pPr>
              <w:spacing w:after="0" w:line="240" w:lineRule="auto"/>
              <w:jc w:val="left"/>
              <w:rPr>
                <w:rFonts w:ascii="Garamond" w:eastAsia="Times New Roman" w:hAnsi="Garamond" w:cs="Times New Roman"/>
                <w:color w:val="000000"/>
                <w:sz w:val="18"/>
                <w:szCs w:val="18"/>
                <w:lang w:eastAsia="en-US"/>
              </w:rPr>
            </w:pPr>
            <w:r w:rsidRPr="007114AF">
              <w:rPr>
                <w:rFonts w:ascii="Garamond" w:eastAsia="Times New Roman" w:hAnsi="Garamond" w:cs="Times New Roman"/>
                <w:color w:val="000000"/>
                <w:sz w:val="18"/>
                <w:szCs w:val="18"/>
                <w:lang w:eastAsia="en-US"/>
              </w:rPr>
              <w:t xml:space="preserve">          </w:t>
            </w:r>
            <w:r w:rsidR="005B0E74" w:rsidRPr="007114AF">
              <w:rPr>
                <w:rFonts w:ascii="Garamond" w:eastAsia="Times New Roman" w:hAnsi="Garamond" w:cs="Times New Roman"/>
                <w:color w:val="000000"/>
                <w:sz w:val="18"/>
                <w:szCs w:val="18"/>
                <w:lang w:eastAsia="en-US"/>
              </w:rPr>
              <w:t>-</w:t>
            </w:r>
            <w:r w:rsidRPr="007114AF">
              <w:rPr>
                <w:rFonts w:ascii="Garamond" w:eastAsia="Times New Roman" w:hAnsi="Garamond" w:cs="Times New Roman"/>
                <w:color w:val="000000"/>
                <w:sz w:val="18"/>
                <w:szCs w:val="18"/>
                <w:lang w:eastAsia="en-US"/>
              </w:rPr>
              <w:t xml:space="preserve"> </w:t>
            </w:r>
          </w:p>
        </w:tc>
        <w:tc>
          <w:tcPr>
            <w:tcW w:w="1344" w:type="pct"/>
            <w:tcBorders>
              <w:top w:val="nil"/>
              <w:left w:val="nil"/>
              <w:bottom w:val="nil"/>
              <w:right w:val="nil"/>
            </w:tcBorders>
            <w:shd w:val="clear" w:color="auto" w:fill="auto"/>
            <w:noWrap/>
            <w:vAlign w:val="bottom"/>
            <w:hideMark/>
          </w:tcPr>
          <w:p w14:paraId="6EDD015E" w14:textId="4D83D5B9" w:rsidR="005B0E74" w:rsidRPr="007114AF" w:rsidRDefault="008D30FC" w:rsidP="001C467C">
            <w:pPr>
              <w:spacing w:after="0" w:line="240" w:lineRule="auto"/>
              <w:jc w:val="left"/>
              <w:rPr>
                <w:rFonts w:ascii="Garamond" w:eastAsia="Times New Roman" w:hAnsi="Garamond" w:cs="Times New Roman"/>
                <w:color w:val="000000"/>
                <w:sz w:val="18"/>
                <w:szCs w:val="18"/>
                <w:lang w:eastAsia="en-US"/>
              </w:rPr>
            </w:pPr>
            <w:r w:rsidRPr="007114AF">
              <w:rPr>
                <w:rFonts w:ascii="Garamond" w:eastAsia="Times New Roman" w:hAnsi="Garamond" w:cs="Times New Roman"/>
                <w:color w:val="000000"/>
                <w:sz w:val="18"/>
                <w:szCs w:val="18"/>
                <w:lang w:eastAsia="en-US"/>
              </w:rPr>
              <w:t xml:space="preserve">          </w:t>
            </w:r>
            <w:r w:rsidR="005B0E74" w:rsidRPr="007114AF">
              <w:rPr>
                <w:rFonts w:ascii="Garamond" w:eastAsia="Times New Roman" w:hAnsi="Garamond" w:cs="Times New Roman"/>
                <w:color w:val="000000"/>
                <w:sz w:val="18"/>
                <w:szCs w:val="18"/>
                <w:lang w:eastAsia="en-US"/>
              </w:rPr>
              <w:t xml:space="preserve">15,000 </w:t>
            </w:r>
          </w:p>
        </w:tc>
        <w:tc>
          <w:tcPr>
            <w:tcW w:w="749" w:type="pct"/>
            <w:tcBorders>
              <w:top w:val="nil"/>
              <w:left w:val="nil"/>
              <w:bottom w:val="nil"/>
              <w:right w:val="nil"/>
            </w:tcBorders>
            <w:shd w:val="clear" w:color="auto" w:fill="auto"/>
            <w:noWrap/>
            <w:vAlign w:val="bottom"/>
            <w:hideMark/>
          </w:tcPr>
          <w:p w14:paraId="6EDD015F" w14:textId="58A544A3" w:rsidR="005B0E74" w:rsidRPr="007114AF" w:rsidRDefault="008D30FC" w:rsidP="001C467C">
            <w:pPr>
              <w:spacing w:after="0" w:line="240" w:lineRule="auto"/>
              <w:jc w:val="left"/>
              <w:rPr>
                <w:rFonts w:ascii="Garamond" w:eastAsia="Times New Roman" w:hAnsi="Garamond" w:cs="Times New Roman"/>
                <w:color w:val="000000"/>
                <w:sz w:val="18"/>
                <w:szCs w:val="18"/>
                <w:lang w:eastAsia="en-US"/>
              </w:rPr>
            </w:pPr>
            <w:r w:rsidRPr="007114AF">
              <w:rPr>
                <w:rFonts w:ascii="Garamond" w:eastAsia="Times New Roman" w:hAnsi="Garamond" w:cs="Times New Roman"/>
                <w:color w:val="000000"/>
                <w:sz w:val="18"/>
                <w:szCs w:val="18"/>
                <w:lang w:eastAsia="en-US"/>
              </w:rPr>
              <w:t xml:space="preserve">      </w:t>
            </w:r>
            <w:r w:rsidR="005B0E74" w:rsidRPr="007114AF">
              <w:rPr>
                <w:rFonts w:ascii="Garamond" w:eastAsia="Times New Roman" w:hAnsi="Garamond" w:cs="Times New Roman"/>
                <w:color w:val="000000"/>
                <w:sz w:val="18"/>
                <w:szCs w:val="18"/>
                <w:lang w:eastAsia="en-US"/>
              </w:rPr>
              <w:t xml:space="preserve"> -</w:t>
            </w:r>
            <w:r w:rsidRPr="007114AF">
              <w:rPr>
                <w:rFonts w:ascii="Garamond" w:eastAsia="Times New Roman" w:hAnsi="Garamond" w:cs="Times New Roman"/>
                <w:color w:val="000000"/>
                <w:sz w:val="18"/>
                <w:szCs w:val="18"/>
                <w:lang w:eastAsia="en-US"/>
              </w:rPr>
              <w:t xml:space="preserve"> </w:t>
            </w:r>
          </w:p>
        </w:tc>
        <w:tc>
          <w:tcPr>
            <w:tcW w:w="1064" w:type="pct"/>
            <w:tcBorders>
              <w:top w:val="nil"/>
              <w:left w:val="single" w:sz="4" w:space="0" w:color="auto"/>
              <w:bottom w:val="nil"/>
              <w:right w:val="single" w:sz="4" w:space="0" w:color="auto"/>
            </w:tcBorders>
            <w:shd w:val="clear" w:color="000000" w:fill="EBF1DE"/>
            <w:noWrap/>
            <w:vAlign w:val="bottom"/>
            <w:hideMark/>
          </w:tcPr>
          <w:p w14:paraId="6EDD0160" w14:textId="18396158" w:rsidR="005B0E74" w:rsidRPr="007114AF" w:rsidRDefault="008D30FC" w:rsidP="001C467C">
            <w:pPr>
              <w:spacing w:after="0" w:line="240" w:lineRule="auto"/>
              <w:jc w:val="center"/>
              <w:rPr>
                <w:rFonts w:ascii="Garamond" w:eastAsia="Times New Roman" w:hAnsi="Garamond" w:cs="Times New Roman"/>
                <w:color w:val="000000"/>
                <w:sz w:val="18"/>
                <w:szCs w:val="18"/>
                <w:lang w:eastAsia="en-US"/>
              </w:rPr>
            </w:pPr>
            <w:r w:rsidRPr="007114AF">
              <w:rPr>
                <w:rFonts w:ascii="Garamond" w:eastAsia="Times New Roman" w:hAnsi="Garamond" w:cs="Times New Roman"/>
                <w:color w:val="000000"/>
                <w:sz w:val="18"/>
                <w:szCs w:val="18"/>
                <w:lang w:eastAsia="en-US"/>
              </w:rPr>
              <w:t xml:space="preserve">         </w:t>
            </w:r>
            <w:r w:rsidR="005B0E74" w:rsidRPr="007114AF">
              <w:rPr>
                <w:rFonts w:ascii="Garamond" w:eastAsia="Times New Roman" w:hAnsi="Garamond" w:cs="Times New Roman"/>
                <w:color w:val="000000"/>
                <w:sz w:val="18"/>
                <w:szCs w:val="18"/>
                <w:lang w:eastAsia="en-US"/>
              </w:rPr>
              <w:t xml:space="preserve">15,000 </w:t>
            </w:r>
          </w:p>
        </w:tc>
      </w:tr>
      <w:tr w:rsidR="005B0E74" w:rsidRPr="007114AF" w14:paraId="6EDD0167" w14:textId="77777777" w:rsidTr="00A45C8C">
        <w:trPr>
          <w:trHeight w:val="315"/>
          <w:jc w:val="center"/>
        </w:trPr>
        <w:tc>
          <w:tcPr>
            <w:tcW w:w="715" w:type="pct"/>
            <w:tcBorders>
              <w:top w:val="nil"/>
              <w:left w:val="single" w:sz="8" w:space="0" w:color="auto"/>
              <w:bottom w:val="single" w:sz="8" w:space="0" w:color="auto"/>
              <w:right w:val="single" w:sz="4" w:space="0" w:color="auto"/>
            </w:tcBorders>
            <w:shd w:val="clear" w:color="000000" w:fill="EBF1DE"/>
            <w:noWrap/>
            <w:vAlign w:val="bottom"/>
            <w:hideMark/>
          </w:tcPr>
          <w:p w14:paraId="6EDD0162" w14:textId="77777777" w:rsidR="005B0E74" w:rsidRPr="007114AF" w:rsidRDefault="005B0E74" w:rsidP="001C467C">
            <w:pPr>
              <w:spacing w:after="0" w:line="240" w:lineRule="auto"/>
              <w:jc w:val="left"/>
              <w:rPr>
                <w:rFonts w:ascii="Garamond" w:eastAsia="Times New Roman" w:hAnsi="Garamond" w:cs="Times New Roman"/>
                <w:color w:val="000000"/>
                <w:sz w:val="18"/>
                <w:szCs w:val="18"/>
                <w:lang w:eastAsia="en-US"/>
              </w:rPr>
            </w:pPr>
            <w:r w:rsidRPr="007114AF">
              <w:rPr>
                <w:rFonts w:ascii="Garamond" w:eastAsia="Times New Roman" w:hAnsi="Garamond" w:cs="Times New Roman"/>
                <w:color w:val="000000"/>
                <w:sz w:val="18"/>
                <w:szCs w:val="18"/>
                <w:lang w:eastAsia="en-US"/>
              </w:rPr>
              <w:t>Total</w:t>
            </w:r>
          </w:p>
        </w:tc>
        <w:tc>
          <w:tcPr>
            <w:tcW w:w="1128" w:type="pct"/>
            <w:tcBorders>
              <w:top w:val="single" w:sz="8" w:space="0" w:color="auto"/>
              <w:left w:val="nil"/>
              <w:bottom w:val="single" w:sz="8" w:space="0" w:color="auto"/>
              <w:right w:val="single" w:sz="4" w:space="0" w:color="auto"/>
            </w:tcBorders>
            <w:shd w:val="clear" w:color="000000" w:fill="EBF1DE"/>
            <w:noWrap/>
            <w:vAlign w:val="bottom"/>
            <w:hideMark/>
          </w:tcPr>
          <w:p w14:paraId="6EDD0163" w14:textId="06775AE3" w:rsidR="005B0E74" w:rsidRPr="007114AF" w:rsidRDefault="008D30FC" w:rsidP="001C467C">
            <w:pPr>
              <w:spacing w:after="0" w:line="240" w:lineRule="auto"/>
              <w:jc w:val="center"/>
              <w:rPr>
                <w:rFonts w:ascii="Garamond" w:eastAsia="Times New Roman" w:hAnsi="Garamond" w:cs="Times New Roman"/>
                <w:color w:val="000000"/>
                <w:sz w:val="18"/>
                <w:szCs w:val="18"/>
                <w:lang w:eastAsia="en-US"/>
              </w:rPr>
            </w:pPr>
            <w:r w:rsidRPr="007114AF">
              <w:rPr>
                <w:rFonts w:ascii="Garamond" w:eastAsia="Times New Roman" w:hAnsi="Garamond" w:cs="Times New Roman"/>
                <w:color w:val="000000"/>
                <w:sz w:val="18"/>
                <w:szCs w:val="18"/>
                <w:lang w:eastAsia="en-US"/>
              </w:rPr>
              <w:t xml:space="preserve">      </w:t>
            </w:r>
            <w:r w:rsidR="005B0E74" w:rsidRPr="007114AF">
              <w:rPr>
                <w:rFonts w:ascii="Garamond" w:eastAsia="Times New Roman" w:hAnsi="Garamond" w:cs="Times New Roman"/>
                <w:color w:val="000000"/>
                <w:sz w:val="18"/>
                <w:szCs w:val="18"/>
                <w:lang w:eastAsia="en-US"/>
              </w:rPr>
              <w:t xml:space="preserve"> 7,576,343 </w:t>
            </w:r>
          </w:p>
        </w:tc>
        <w:tc>
          <w:tcPr>
            <w:tcW w:w="1344" w:type="pct"/>
            <w:tcBorders>
              <w:top w:val="single" w:sz="8" w:space="0" w:color="auto"/>
              <w:left w:val="nil"/>
              <w:bottom w:val="single" w:sz="8" w:space="0" w:color="auto"/>
              <w:right w:val="single" w:sz="4" w:space="0" w:color="auto"/>
            </w:tcBorders>
            <w:shd w:val="clear" w:color="000000" w:fill="EBF1DE"/>
            <w:noWrap/>
            <w:vAlign w:val="bottom"/>
            <w:hideMark/>
          </w:tcPr>
          <w:p w14:paraId="6EDD0164" w14:textId="6A9F3B9E" w:rsidR="005B0E74" w:rsidRPr="007114AF" w:rsidRDefault="008D30FC" w:rsidP="001C467C">
            <w:pPr>
              <w:spacing w:after="0" w:line="240" w:lineRule="auto"/>
              <w:jc w:val="center"/>
              <w:rPr>
                <w:rFonts w:ascii="Garamond" w:eastAsia="Times New Roman" w:hAnsi="Garamond" w:cs="Times New Roman"/>
                <w:color w:val="000000"/>
                <w:sz w:val="18"/>
                <w:szCs w:val="18"/>
                <w:lang w:eastAsia="en-US"/>
              </w:rPr>
            </w:pPr>
            <w:r w:rsidRPr="007114AF">
              <w:rPr>
                <w:rFonts w:ascii="Garamond" w:eastAsia="Times New Roman" w:hAnsi="Garamond" w:cs="Times New Roman"/>
                <w:color w:val="000000"/>
                <w:sz w:val="18"/>
                <w:szCs w:val="18"/>
                <w:lang w:eastAsia="en-US"/>
              </w:rPr>
              <w:t xml:space="preserve">        </w:t>
            </w:r>
            <w:r w:rsidR="005B0E74" w:rsidRPr="007114AF">
              <w:rPr>
                <w:rFonts w:ascii="Garamond" w:eastAsia="Times New Roman" w:hAnsi="Garamond" w:cs="Times New Roman"/>
                <w:color w:val="000000"/>
                <w:sz w:val="18"/>
                <w:szCs w:val="18"/>
                <w:lang w:eastAsia="en-US"/>
              </w:rPr>
              <w:t xml:space="preserve">22,357,292 </w:t>
            </w:r>
          </w:p>
        </w:tc>
        <w:tc>
          <w:tcPr>
            <w:tcW w:w="749" w:type="pct"/>
            <w:tcBorders>
              <w:top w:val="single" w:sz="8" w:space="0" w:color="auto"/>
              <w:left w:val="nil"/>
              <w:bottom w:val="single" w:sz="8" w:space="0" w:color="auto"/>
              <w:right w:val="single" w:sz="4" w:space="0" w:color="auto"/>
            </w:tcBorders>
            <w:shd w:val="clear" w:color="000000" w:fill="EBF1DE"/>
            <w:noWrap/>
            <w:vAlign w:val="bottom"/>
            <w:hideMark/>
          </w:tcPr>
          <w:p w14:paraId="6EDD0165" w14:textId="38A3E9F2" w:rsidR="005B0E74" w:rsidRPr="007114AF" w:rsidRDefault="008D30FC" w:rsidP="001C467C">
            <w:pPr>
              <w:spacing w:after="0" w:line="240" w:lineRule="auto"/>
              <w:jc w:val="center"/>
              <w:rPr>
                <w:rFonts w:ascii="Garamond" w:eastAsia="Times New Roman" w:hAnsi="Garamond" w:cs="Times New Roman"/>
                <w:color w:val="000000"/>
                <w:sz w:val="18"/>
                <w:szCs w:val="18"/>
                <w:lang w:eastAsia="en-US"/>
              </w:rPr>
            </w:pPr>
            <w:r w:rsidRPr="007114AF">
              <w:rPr>
                <w:rFonts w:ascii="Garamond" w:eastAsia="Times New Roman" w:hAnsi="Garamond" w:cs="Times New Roman"/>
                <w:color w:val="000000"/>
                <w:sz w:val="18"/>
                <w:szCs w:val="18"/>
                <w:lang w:eastAsia="en-US"/>
              </w:rPr>
              <w:t xml:space="preserve">  </w:t>
            </w:r>
            <w:r w:rsidR="005B0E74" w:rsidRPr="007114AF">
              <w:rPr>
                <w:rFonts w:ascii="Garamond" w:eastAsia="Times New Roman" w:hAnsi="Garamond" w:cs="Times New Roman"/>
                <w:color w:val="000000"/>
                <w:sz w:val="18"/>
                <w:szCs w:val="18"/>
                <w:lang w:eastAsia="en-US"/>
              </w:rPr>
              <w:t xml:space="preserve">25,771,336 </w:t>
            </w:r>
          </w:p>
        </w:tc>
        <w:tc>
          <w:tcPr>
            <w:tcW w:w="1064" w:type="pct"/>
            <w:tcBorders>
              <w:top w:val="single" w:sz="8" w:space="0" w:color="auto"/>
              <w:left w:val="nil"/>
              <w:bottom w:val="single" w:sz="8" w:space="0" w:color="auto"/>
              <w:right w:val="single" w:sz="4" w:space="0" w:color="auto"/>
            </w:tcBorders>
            <w:shd w:val="clear" w:color="000000" w:fill="EBF1DE"/>
            <w:noWrap/>
            <w:vAlign w:val="bottom"/>
            <w:hideMark/>
          </w:tcPr>
          <w:p w14:paraId="6EDD0166" w14:textId="654650B2" w:rsidR="005B0E74" w:rsidRPr="007114AF" w:rsidRDefault="008D30FC" w:rsidP="001C467C">
            <w:pPr>
              <w:spacing w:after="0" w:line="240" w:lineRule="auto"/>
              <w:jc w:val="center"/>
              <w:rPr>
                <w:rFonts w:ascii="Garamond" w:eastAsia="Times New Roman" w:hAnsi="Garamond" w:cs="Times New Roman"/>
                <w:b/>
                <w:bCs/>
                <w:color w:val="FF0000"/>
                <w:sz w:val="18"/>
                <w:szCs w:val="18"/>
                <w:lang w:eastAsia="en-US"/>
              </w:rPr>
            </w:pPr>
            <w:r w:rsidRPr="007114AF">
              <w:rPr>
                <w:rFonts w:ascii="Garamond" w:eastAsia="Times New Roman" w:hAnsi="Garamond" w:cs="Times New Roman"/>
                <w:b/>
                <w:bCs/>
                <w:color w:val="FF0000"/>
                <w:sz w:val="18"/>
                <w:szCs w:val="18"/>
                <w:lang w:eastAsia="en-US"/>
              </w:rPr>
              <w:t xml:space="preserve">       </w:t>
            </w:r>
            <w:r w:rsidR="005B0E74" w:rsidRPr="007114AF">
              <w:rPr>
                <w:rFonts w:ascii="Garamond" w:eastAsia="Times New Roman" w:hAnsi="Garamond" w:cs="Times New Roman"/>
                <w:b/>
                <w:bCs/>
                <w:color w:val="FF0000"/>
                <w:sz w:val="18"/>
                <w:szCs w:val="18"/>
                <w:lang w:eastAsia="en-US"/>
              </w:rPr>
              <w:t xml:space="preserve">55,719,971 </w:t>
            </w:r>
          </w:p>
        </w:tc>
      </w:tr>
    </w:tbl>
    <w:p w14:paraId="6EDD0168" w14:textId="77777777" w:rsidR="005B0E74" w:rsidRPr="007114AF" w:rsidRDefault="005B0E74" w:rsidP="00524E98">
      <w:pPr>
        <w:pStyle w:val="TEKSTI"/>
      </w:pPr>
    </w:p>
    <w:p w14:paraId="6EDD0169" w14:textId="6586C04F" w:rsidR="00114B84" w:rsidRPr="007114AF" w:rsidRDefault="00114B84" w:rsidP="00114B84">
      <w:pPr>
        <w:pStyle w:val="TEKSTI"/>
      </w:pPr>
      <w:r w:rsidRPr="007114AF">
        <w:lastRenderedPageBreak/>
        <w:t>Siç shihet nga tabela pjesa më e madhe e masave janë kostuar për t</w:t>
      </w:r>
      <w:r w:rsidR="00D10DAB" w:rsidRPr="007114AF">
        <w:t>’</w:t>
      </w:r>
      <w:r w:rsidRPr="007114AF">
        <w:t>u realizuar gjatë 3-vjecarit 2019</w:t>
      </w:r>
      <w:r w:rsidR="00A419A4">
        <w:t>–</w:t>
      </w:r>
      <w:r w:rsidRPr="007114AF">
        <w:t>2021 bazuar në buxhetimin e bërë nga ministritë e linjës në dokument</w:t>
      </w:r>
      <w:r w:rsidR="00AA3BEF" w:rsidRPr="007114AF">
        <w:t>e</w:t>
      </w:r>
      <w:r w:rsidRPr="007114AF">
        <w:t>t e PBA 2020</w:t>
      </w:r>
      <w:r w:rsidR="00A419A4">
        <w:t>–</w:t>
      </w:r>
      <w:r w:rsidRPr="007114AF">
        <w:t xml:space="preserve">2022 të përgatitur për fazën e parë të këtij procesi. </w:t>
      </w:r>
    </w:p>
    <w:p w14:paraId="6EDD016A" w14:textId="77777777" w:rsidR="005B0E74" w:rsidRPr="007114AF" w:rsidRDefault="005B0E74" w:rsidP="00524E98">
      <w:pPr>
        <w:pStyle w:val="TEKSTI"/>
      </w:pPr>
    </w:p>
    <w:tbl>
      <w:tblPr>
        <w:tblW w:w="5304" w:type="pct"/>
        <w:jc w:val="center"/>
        <w:tblLook w:val="04A0" w:firstRow="1" w:lastRow="0" w:firstColumn="1" w:lastColumn="0" w:noHBand="0" w:noVBand="1"/>
      </w:tblPr>
      <w:tblGrid>
        <w:gridCol w:w="1406"/>
        <w:gridCol w:w="2162"/>
        <w:gridCol w:w="2532"/>
        <w:gridCol w:w="1486"/>
        <w:gridCol w:w="2266"/>
      </w:tblGrid>
      <w:tr w:rsidR="00114B84" w:rsidRPr="007114AF" w14:paraId="6EDD016F" w14:textId="77777777" w:rsidTr="00A45C8C">
        <w:trPr>
          <w:trHeight w:val="315"/>
          <w:jc w:val="center"/>
        </w:trPr>
        <w:tc>
          <w:tcPr>
            <w:tcW w:w="1810" w:type="pct"/>
            <w:gridSpan w:val="2"/>
            <w:tcBorders>
              <w:top w:val="nil"/>
              <w:left w:val="nil"/>
              <w:bottom w:val="nil"/>
              <w:right w:val="nil"/>
            </w:tcBorders>
            <w:shd w:val="clear" w:color="000000" w:fill="EBF1DE"/>
            <w:noWrap/>
            <w:vAlign w:val="bottom"/>
            <w:hideMark/>
          </w:tcPr>
          <w:p w14:paraId="6EDD016B" w14:textId="77777777" w:rsidR="00114B84" w:rsidRPr="007114AF" w:rsidRDefault="00114B84" w:rsidP="001C467C">
            <w:pPr>
              <w:spacing w:after="0" w:line="240" w:lineRule="auto"/>
              <w:jc w:val="left"/>
              <w:rPr>
                <w:rFonts w:ascii="Garamond" w:eastAsia="Times New Roman" w:hAnsi="Garamond" w:cs="Times New Roman"/>
                <w:b/>
                <w:bCs/>
                <w:color w:val="366092"/>
                <w:sz w:val="18"/>
                <w:szCs w:val="18"/>
                <w:lang w:eastAsia="en-US"/>
              </w:rPr>
            </w:pPr>
            <w:r w:rsidRPr="007114AF">
              <w:rPr>
                <w:rFonts w:ascii="Garamond" w:eastAsia="Times New Roman" w:hAnsi="Garamond" w:cs="Times New Roman"/>
                <w:b/>
                <w:bCs/>
                <w:color w:val="366092"/>
                <w:sz w:val="18"/>
                <w:szCs w:val="18"/>
                <w:lang w:eastAsia="en-US"/>
              </w:rPr>
              <w:t>Shpërndarja e fondeve sipas viteve</w:t>
            </w:r>
          </w:p>
        </w:tc>
        <w:tc>
          <w:tcPr>
            <w:tcW w:w="1285" w:type="pct"/>
            <w:tcBorders>
              <w:top w:val="nil"/>
              <w:left w:val="nil"/>
              <w:bottom w:val="nil"/>
              <w:right w:val="nil"/>
            </w:tcBorders>
            <w:shd w:val="clear" w:color="000000" w:fill="EBF1DE"/>
            <w:noWrap/>
            <w:vAlign w:val="bottom"/>
            <w:hideMark/>
          </w:tcPr>
          <w:p w14:paraId="6EDD016C" w14:textId="77777777" w:rsidR="00114B84" w:rsidRPr="007114AF" w:rsidRDefault="00114B84" w:rsidP="001C467C">
            <w:pPr>
              <w:spacing w:after="0" w:line="240" w:lineRule="auto"/>
              <w:jc w:val="left"/>
              <w:rPr>
                <w:rFonts w:ascii="Garamond" w:eastAsia="Times New Roman" w:hAnsi="Garamond" w:cs="Times New Roman"/>
                <w:color w:val="000000"/>
                <w:sz w:val="18"/>
                <w:szCs w:val="18"/>
                <w:lang w:eastAsia="en-US"/>
              </w:rPr>
            </w:pPr>
            <w:r w:rsidRPr="007114AF">
              <w:rPr>
                <w:rFonts w:ascii="Garamond" w:eastAsia="Times New Roman" w:hAnsi="Garamond" w:cs="Times New Roman"/>
                <w:color w:val="000000"/>
                <w:sz w:val="18"/>
                <w:szCs w:val="18"/>
                <w:lang w:eastAsia="en-US"/>
              </w:rPr>
              <w:t> </w:t>
            </w:r>
          </w:p>
        </w:tc>
        <w:tc>
          <w:tcPr>
            <w:tcW w:w="754" w:type="pct"/>
            <w:tcBorders>
              <w:top w:val="nil"/>
              <w:left w:val="nil"/>
              <w:bottom w:val="nil"/>
              <w:right w:val="nil"/>
            </w:tcBorders>
            <w:shd w:val="clear" w:color="000000" w:fill="EBF1DE"/>
            <w:noWrap/>
            <w:vAlign w:val="bottom"/>
            <w:hideMark/>
          </w:tcPr>
          <w:p w14:paraId="6EDD016D" w14:textId="77777777" w:rsidR="00114B84" w:rsidRPr="007114AF" w:rsidRDefault="00114B84" w:rsidP="001C467C">
            <w:pPr>
              <w:spacing w:after="0" w:line="240" w:lineRule="auto"/>
              <w:jc w:val="left"/>
              <w:rPr>
                <w:rFonts w:ascii="Garamond" w:eastAsia="Times New Roman" w:hAnsi="Garamond" w:cs="Times New Roman"/>
                <w:color w:val="000000"/>
                <w:sz w:val="18"/>
                <w:szCs w:val="18"/>
                <w:lang w:eastAsia="en-US"/>
              </w:rPr>
            </w:pPr>
            <w:r w:rsidRPr="007114AF">
              <w:rPr>
                <w:rFonts w:ascii="Garamond" w:eastAsia="Times New Roman" w:hAnsi="Garamond" w:cs="Times New Roman"/>
                <w:color w:val="000000"/>
                <w:sz w:val="18"/>
                <w:szCs w:val="18"/>
                <w:lang w:eastAsia="en-US"/>
              </w:rPr>
              <w:t> </w:t>
            </w:r>
          </w:p>
        </w:tc>
        <w:tc>
          <w:tcPr>
            <w:tcW w:w="1151" w:type="pct"/>
            <w:tcBorders>
              <w:top w:val="nil"/>
              <w:left w:val="nil"/>
              <w:bottom w:val="nil"/>
              <w:right w:val="nil"/>
            </w:tcBorders>
            <w:shd w:val="clear" w:color="000000" w:fill="EBF1DE"/>
            <w:noWrap/>
            <w:vAlign w:val="bottom"/>
            <w:hideMark/>
          </w:tcPr>
          <w:p w14:paraId="6EDD016E" w14:textId="77777777" w:rsidR="00114B84" w:rsidRPr="007114AF" w:rsidRDefault="00114B84" w:rsidP="001C467C">
            <w:pPr>
              <w:spacing w:after="0" w:line="240" w:lineRule="auto"/>
              <w:jc w:val="left"/>
              <w:rPr>
                <w:rFonts w:ascii="Garamond" w:eastAsia="Times New Roman" w:hAnsi="Garamond" w:cs="Times New Roman"/>
                <w:color w:val="000000"/>
                <w:sz w:val="18"/>
                <w:szCs w:val="18"/>
                <w:lang w:eastAsia="en-US"/>
              </w:rPr>
            </w:pPr>
            <w:r w:rsidRPr="007114AF">
              <w:rPr>
                <w:rFonts w:ascii="Garamond" w:eastAsia="Times New Roman" w:hAnsi="Garamond" w:cs="Times New Roman"/>
                <w:color w:val="000000"/>
                <w:sz w:val="18"/>
                <w:szCs w:val="18"/>
                <w:lang w:eastAsia="en-US"/>
              </w:rPr>
              <w:t> </w:t>
            </w:r>
          </w:p>
        </w:tc>
      </w:tr>
      <w:tr w:rsidR="006E723E" w:rsidRPr="007114AF" w14:paraId="6EDD0175" w14:textId="77777777" w:rsidTr="00A45C8C">
        <w:trPr>
          <w:trHeight w:val="300"/>
          <w:jc w:val="center"/>
        </w:trPr>
        <w:tc>
          <w:tcPr>
            <w:tcW w:w="714" w:type="pct"/>
            <w:tcBorders>
              <w:top w:val="single" w:sz="4" w:space="0" w:color="auto"/>
              <w:left w:val="single" w:sz="4" w:space="0" w:color="auto"/>
              <w:bottom w:val="single" w:sz="4" w:space="0" w:color="auto"/>
              <w:right w:val="single" w:sz="4" w:space="0" w:color="auto"/>
            </w:tcBorders>
            <w:shd w:val="clear" w:color="000000" w:fill="EBF1DE"/>
            <w:hideMark/>
          </w:tcPr>
          <w:p w14:paraId="6EDD0170" w14:textId="77777777" w:rsidR="00114B84" w:rsidRPr="007114AF" w:rsidRDefault="00114B84" w:rsidP="001C467C">
            <w:pPr>
              <w:spacing w:after="0" w:line="240" w:lineRule="auto"/>
              <w:jc w:val="center"/>
              <w:rPr>
                <w:rFonts w:ascii="Garamond" w:eastAsia="Times New Roman" w:hAnsi="Garamond" w:cs="Times New Roman"/>
                <w:b/>
                <w:bCs/>
                <w:color w:val="000000"/>
                <w:sz w:val="18"/>
                <w:szCs w:val="18"/>
                <w:lang w:eastAsia="en-US"/>
              </w:rPr>
            </w:pPr>
            <w:r w:rsidRPr="007114AF">
              <w:rPr>
                <w:rFonts w:ascii="Garamond" w:eastAsia="Times New Roman" w:hAnsi="Garamond" w:cs="Times New Roman"/>
                <w:b/>
                <w:bCs/>
                <w:color w:val="000000"/>
                <w:sz w:val="18"/>
                <w:szCs w:val="18"/>
                <w:lang w:eastAsia="en-US"/>
              </w:rPr>
              <w:t> </w:t>
            </w:r>
          </w:p>
        </w:tc>
        <w:tc>
          <w:tcPr>
            <w:tcW w:w="1097" w:type="pct"/>
            <w:tcBorders>
              <w:top w:val="single" w:sz="4" w:space="0" w:color="auto"/>
              <w:left w:val="nil"/>
              <w:bottom w:val="single" w:sz="4" w:space="0" w:color="auto"/>
              <w:right w:val="single" w:sz="4" w:space="0" w:color="auto"/>
            </w:tcBorders>
            <w:shd w:val="clear" w:color="000000" w:fill="EBF1DE"/>
            <w:hideMark/>
          </w:tcPr>
          <w:p w14:paraId="6EDD0171" w14:textId="77777777" w:rsidR="00114B84" w:rsidRPr="007114AF" w:rsidRDefault="00114B84" w:rsidP="001C467C">
            <w:pPr>
              <w:spacing w:after="0" w:line="240" w:lineRule="auto"/>
              <w:jc w:val="center"/>
              <w:rPr>
                <w:rFonts w:ascii="Garamond" w:eastAsia="Times New Roman" w:hAnsi="Garamond" w:cs="Times New Roman"/>
                <w:b/>
                <w:bCs/>
                <w:color w:val="000000"/>
                <w:sz w:val="18"/>
                <w:szCs w:val="18"/>
                <w:lang w:eastAsia="en-US"/>
              </w:rPr>
            </w:pPr>
            <w:r w:rsidRPr="007114AF">
              <w:rPr>
                <w:rFonts w:ascii="Garamond" w:eastAsia="Times New Roman" w:hAnsi="Garamond" w:cs="Times New Roman"/>
                <w:b/>
                <w:bCs/>
                <w:color w:val="000000"/>
                <w:sz w:val="18"/>
                <w:szCs w:val="18"/>
                <w:lang w:eastAsia="en-US"/>
              </w:rPr>
              <w:t>2022</w:t>
            </w:r>
          </w:p>
        </w:tc>
        <w:tc>
          <w:tcPr>
            <w:tcW w:w="1285" w:type="pct"/>
            <w:tcBorders>
              <w:top w:val="single" w:sz="4" w:space="0" w:color="auto"/>
              <w:left w:val="nil"/>
              <w:bottom w:val="single" w:sz="4" w:space="0" w:color="auto"/>
              <w:right w:val="single" w:sz="4" w:space="0" w:color="auto"/>
            </w:tcBorders>
            <w:shd w:val="clear" w:color="000000" w:fill="EBF1DE"/>
            <w:hideMark/>
          </w:tcPr>
          <w:p w14:paraId="6EDD0172" w14:textId="77777777" w:rsidR="00114B84" w:rsidRPr="007114AF" w:rsidRDefault="00114B84" w:rsidP="001C467C">
            <w:pPr>
              <w:spacing w:after="0" w:line="240" w:lineRule="auto"/>
              <w:jc w:val="center"/>
              <w:rPr>
                <w:rFonts w:ascii="Garamond" w:eastAsia="Times New Roman" w:hAnsi="Garamond" w:cs="Times New Roman"/>
                <w:b/>
                <w:bCs/>
                <w:color w:val="000000"/>
                <w:sz w:val="18"/>
                <w:szCs w:val="18"/>
                <w:lang w:eastAsia="en-US"/>
              </w:rPr>
            </w:pPr>
            <w:r w:rsidRPr="007114AF">
              <w:rPr>
                <w:rFonts w:ascii="Garamond" w:eastAsia="Times New Roman" w:hAnsi="Garamond" w:cs="Times New Roman"/>
                <w:b/>
                <w:bCs/>
                <w:color w:val="000000"/>
                <w:sz w:val="18"/>
                <w:szCs w:val="18"/>
                <w:lang w:eastAsia="en-US"/>
              </w:rPr>
              <w:t>2023</w:t>
            </w:r>
          </w:p>
        </w:tc>
        <w:tc>
          <w:tcPr>
            <w:tcW w:w="754" w:type="pct"/>
            <w:tcBorders>
              <w:top w:val="single" w:sz="4" w:space="0" w:color="auto"/>
              <w:left w:val="nil"/>
              <w:bottom w:val="single" w:sz="4" w:space="0" w:color="auto"/>
              <w:right w:val="single" w:sz="4" w:space="0" w:color="auto"/>
            </w:tcBorders>
            <w:shd w:val="clear" w:color="000000" w:fill="EBF1DE"/>
            <w:hideMark/>
          </w:tcPr>
          <w:p w14:paraId="6EDD0173" w14:textId="77777777" w:rsidR="00114B84" w:rsidRPr="007114AF" w:rsidRDefault="00114B84" w:rsidP="001C467C">
            <w:pPr>
              <w:spacing w:after="0" w:line="240" w:lineRule="auto"/>
              <w:jc w:val="center"/>
              <w:rPr>
                <w:rFonts w:ascii="Garamond" w:eastAsia="Times New Roman" w:hAnsi="Garamond" w:cs="Times New Roman"/>
                <w:b/>
                <w:bCs/>
                <w:color w:val="000000"/>
                <w:sz w:val="18"/>
                <w:szCs w:val="18"/>
                <w:lang w:eastAsia="en-US"/>
              </w:rPr>
            </w:pPr>
            <w:r w:rsidRPr="007114AF">
              <w:rPr>
                <w:rFonts w:ascii="Garamond" w:eastAsia="Times New Roman" w:hAnsi="Garamond" w:cs="Times New Roman"/>
                <w:b/>
                <w:bCs/>
                <w:color w:val="000000"/>
                <w:sz w:val="18"/>
                <w:szCs w:val="18"/>
                <w:lang w:eastAsia="en-US"/>
              </w:rPr>
              <w:t>2024</w:t>
            </w:r>
          </w:p>
        </w:tc>
        <w:tc>
          <w:tcPr>
            <w:tcW w:w="1151" w:type="pct"/>
            <w:tcBorders>
              <w:top w:val="single" w:sz="4" w:space="0" w:color="auto"/>
              <w:left w:val="nil"/>
              <w:bottom w:val="single" w:sz="4" w:space="0" w:color="auto"/>
              <w:right w:val="single" w:sz="4" w:space="0" w:color="auto"/>
            </w:tcBorders>
            <w:shd w:val="clear" w:color="000000" w:fill="EBF1DE"/>
            <w:hideMark/>
          </w:tcPr>
          <w:p w14:paraId="6EDD0174" w14:textId="77777777" w:rsidR="00114B84" w:rsidRPr="007114AF" w:rsidRDefault="00114B84" w:rsidP="001C467C">
            <w:pPr>
              <w:spacing w:after="0" w:line="240" w:lineRule="auto"/>
              <w:jc w:val="center"/>
              <w:rPr>
                <w:rFonts w:ascii="Garamond" w:eastAsia="Times New Roman" w:hAnsi="Garamond" w:cs="Times New Roman"/>
                <w:b/>
                <w:bCs/>
                <w:color w:val="000000"/>
                <w:sz w:val="18"/>
                <w:szCs w:val="18"/>
                <w:lang w:eastAsia="en-US"/>
              </w:rPr>
            </w:pPr>
            <w:r w:rsidRPr="007114AF">
              <w:rPr>
                <w:rFonts w:ascii="Garamond" w:eastAsia="Times New Roman" w:hAnsi="Garamond" w:cs="Times New Roman"/>
                <w:b/>
                <w:bCs/>
                <w:color w:val="000000"/>
                <w:sz w:val="18"/>
                <w:szCs w:val="18"/>
                <w:lang w:eastAsia="en-US"/>
              </w:rPr>
              <w:t>Total</w:t>
            </w:r>
          </w:p>
        </w:tc>
      </w:tr>
      <w:tr w:rsidR="006E723E" w:rsidRPr="007114AF" w14:paraId="6EDD017B" w14:textId="77777777" w:rsidTr="00A45C8C">
        <w:trPr>
          <w:trHeight w:val="300"/>
          <w:jc w:val="center"/>
        </w:trPr>
        <w:tc>
          <w:tcPr>
            <w:tcW w:w="714" w:type="pct"/>
            <w:tcBorders>
              <w:top w:val="nil"/>
              <w:left w:val="single" w:sz="4" w:space="0" w:color="auto"/>
              <w:bottom w:val="single" w:sz="4" w:space="0" w:color="auto"/>
              <w:right w:val="single" w:sz="4" w:space="0" w:color="auto"/>
            </w:tcBorders>
            <w:shd w:val="clear" w:color="000000" w:fill="EBF1DE"/>
            <w:noWrap/>
            <w:vAlign w:val="bottom"/>
            <w:hideMark/>
          </w:tcPr>
          <w:p w14:paraId="6EDD0176" w14:textId="77777777" w:rsidR="00114B84" w:rsidRPr="007114AF" w:rsidRDefault="00114B84" w:rsidP="001C467C">
            <w:pPr>
              <w:spacing w:after="0" w:line="240" w:lineRule="auto"/>
              <w:jc w:val="left"/>
              <w:rPr>
                <w:rFonts w:ascii="Garamond" w:eastAsia="Times New Roman" w:hAnsi="Garamond" w:cs="Times New Roman"/>
                <w:color w:val="000000"/>
                <w:sz w:val="18"/>
                <w:szCs w:val="18"/>
                <w:lang w:eastAsia="en-US"/>
              </w:rPr>
            </w:pPr>
            <w:r w:rsidRPr="007114AF">
              <w:rPr>
                <w:rFonts w:ascii="Garamond" w:eastAsia="Times New Roman" w:hAnsi="Garamond" w:cs="Times New Roman"/>
                <w:color w:val="000000"/>
                <w:sz w:val="18"/>
                <w:szCs w:val="18"/>
                <w:lang w:eastAsia="en-US"/>
              </w:rPr>
              <w:t>Energjia</w:t>
            </w:r>
          </w:p>
        </w:tc>
        <w:tc>
          <w:tcPr>
            <w:tcW w:w="1097" w:type="pct"/>
            <w:tcBorders>
              <w:top w:val="nil"/>
              <w:left w:val="nil"/>
              <w:bottom w:val="nil"/>
              <w:right w:val="nil"/>
            </w:tcBorders>
            <w:shd w:val="clear" w:color="auto" w:fill="auto"/>
            <w:noWrap/>
            <w:vAlign w:val="bottom"/>
            <w:hideMark/>
          </w:tcPr>
          <w:p w14:paraId="6EDD0177" w14:textId="5E2DA95A" w:rsidR="00114B84" w:rsidRPr="007114AF" w:rsidRDefault="008D30FC" w:rsidP="001C467C">
            <w:pPr>
              <w:spacing w:after="0" w:line="240" w:lineRule="auto"/>
              <w:jc w:val="left"/>
              <w:rPr>
                <w:rFonts w:ascii="Garamond" w:eastAsia="Times New Roman" w:hAnsi="Garamond" w:cs="Times New Roman"/>
                <w:color w:val="000000"/>
                <w:sz w:val="18"/>
                <w:szCs w:val="18"/>
                <w:lang w:eastAsia="en-US"/>
              </w:rPr>
            </w:pPr>
            <w:r w:rsidRPr="007114AF">
              <w:rPr>
                <w:rFonts w:ascii="Garamond" w:eastAsia="Times New Roman" w:hAnsi="Garamond" w:cs="Times New Roman"/>
                <w:color w:val="000000"/>
                <w:sz w:val="18"/>
                <w:szCs w:val="18"/>
                <w:lang w:eastAsia="en-US"/>
              </w:rPr>
              <w:t xml:space="preserve">     </w:t>
            </w:r>
            <w:r w:rsidR="000A2A01" w:rsidRPr="007114AF">
              <w:rPr>
                <w:rFonts w:ascii="Garamond" w:eastAsia="Times New Roman" w:hAnsi="Garamond" w:cs="Times New Roman"/>
                <w:color w:val="000000"/>
                <w:sz w:val="18"/>
                <w:szCs w:val="18"/>
                <w:lang w:eastAsia="en-US"/>
              </w:rPr>
              <w:t xml:space="preserve"> </w:t>
            </w:r>
            <w:r w:rsidR="00114B84" w:rsidRPr="007114AF">
              <w:rPr>
                <w:rFonts w:ascii="Garamond" w:eastAsia="Times New Roman" w:hAnsi="Garamond" w:cs="Times New Roman"/>
                <w:color w:val="000000"/>
                <w:sz w:val="18"/>
                <w:szCs w:val="18"/>
                <w:lang w:eastAsia="en-US"/>
              </w:rPr>
              <w:t xml:space="preserve">12,452,204 </w:t>
            </w:r>
          </w:p>
        </w:tc>
        <w:tc>
          <w:tcPr>
            <w:tcW w:w="1285" w:type="pct"/>
            <w:tcBorders>
              <w:top w:val="nil"/>
              <w:left w:val="nil"/>
              <w:bottom w:val="nil"/>
              <w:right w:val="nil"/>
            </w:tcBorders>
            <w:shd w:val="clear" w:color="auto" w:fill="auto"/>
            <w:noWrap/>
            <w:vAlign w:val="bottom"/>
            <w:hideMark/>
          </w:tcPr>
          <w:p w14:paraId="6EDD0178" w14:textId="79DDC909" w:rsidR="00114B84" w:rsidRPr="007114AF" w:rsidRDefault="008D30FC" w:rsidP="001C467C">
            <w:pPr>
              <w:spacing w:after="0" w:line="240" w:lineRule="auto"/>
              <w:jc w:val="left"/>
              <w:rPr>
                <w:rFonts w:ascii="Garamond" w:eastAsia="Times New Roman" w:hAnsi="Garamond" w:cs="Times New Roman"/>
                <w:color w:val="000000"/>
                <w:sz w:val="18"/>
                <w:szCs w:val="18"/>
                <w:lang w:eastAsia="en-US"/>
              </w:rPr>
            </w:pPr>
            <w:r w:rsidRPr="007114AF">
              <w:rPr>
                <w:rFonts w:ascii="Garamond" w:eastAsia="Times New Roman" w:hAnsi="Garamond" w:cs="Times New Roman"/>
                <w:color w:val="000000"/>
                <w:sz w:val="18"/>
                <w:szCs w:val="18"/>
                <w:lang w:eastAsia="en-US"/>
              </w:rPr>
              <w:t xml:space="preserve">         </w:t>
            </w:r>
            <w:r w:rsidR="00114B84" w:rsidRPr="007114AF">
              <w:rPr>
                <w:rFonts w:ascii="Garamond" w:eastAsia="Times New Roman" w:hAnsi="Garamond" w:cs="Times New Roman"/>
                <w:color w:val="000000"/>
                <w:sz w:val="18"/>
                <w:szCs w:val="18"/>
                <w:lang w:eastAsia="en-US"/>
              </w:rPr>
              <w:t xml:space="preserve"> 311,619 </w:t>
            </w:r>
          </w:p>
        </w:tc>
        <w:tc>
          <w:tcPr>
            <w:tcW w:w="754" w:type="pct"/>
            <w:tcBorders>
              <w:top w:val="nil"/>
              <w:left w:val="nil"/>
              <w:bottom w:val="nil"/>
              <w:right w:val="nil"/>
            </w:tcBorders>
            <w:shd w:val="clear" w:color="auto" w:fill="auto"/>
            <w:noWrap/>
            <w:vAlign w:val="bottom"/>
            <w:hideMark/>
          </w:tcPr>
          <w:p w14:paraId="6EDD0179" w14:textId="3EF6CC75" w:rsidR="00114B84" w:rsidRPr="007114AF" w:rsidRDefault="008D30FC" w:rsidP="001C467C">
            <w:pPr>
              <w:spacing w:after="0" w:line="240" w:lineRule="auto"/>
              <w:jc w:val="left"/>
              <w:rPr>
                <w:rFonts w:ascii="Garamond" w:eastAsia="Times New Roman" w:hAnsi="Garamond" w:cs="Times New Roman"/>
                <w:color w:val="000000"/>
                <w:sz w:val="18"/>
                <w:szCs w:val="18"/>
                <w:lang w:eastAsia="en-US"/>
              </w:rPr>
            </w:pPr>
            <w:r w:rsidRPr="007114AF">
              <w:rPr>
                <w:rFonts w:ascii="Garamond" w:eastAsia="Times New Roman" w:hAnsi="Garamond" w:cs="Times New Roman"/>
                <w:color w:val="000000"/>
                <w:sz w:val="18"/>
                <w:szCs w:val="18"/>
                <w:lang w:eastAsia="en-US"/>
              </w:rPr>
              <w:t xml:space="preserve">   </w:t>
            </w:r>
            <w:r w:rsidR="00114B84" w:rsidRPr="007114AF">
              <w:rPr>
                <w:rFonts w:ascii="Garamond" w:eastAsia="Times New Roman" w:hAnsi="Garamond" w:cs="Times New Roman"/>
                <w:color w:val="000000"/>
                <w:sz w:val="18"/>
                <w:szCs w:val="18"/>
                <w:lang w:eastAsia="en-US"/>
              </w:rPr>
              <w:t xml:space="preserve"> 666,960 </w:t>
            </w:r>
          </w:p>
        </w:tc>
        <w:tc>
          <w:tcPr>
            <w:tcW w:w="1151" w:type="pct"/>
            <w:tcBorders>
              <w:top w:val="nil"/>
              <w:left w:val="single" w:sz="4" w:space="0" w:color="auto"/>
              <w:bottom w:val="single" w:sz="4" w:space="0" w:color="auto"/>
              <w:right w:val="single" w:sz="4" w:space="0" w:color="auto"/>
            </w:tcBorders>
            <w:shd w:val="clear" w:color="000000" w:fill="EBF1DE"/>
            <w:noWrap/>
            <w:vAlign w:val="bottom"/>
            <w:hideMark/>
          </w:tcPr>
          <w:p w14:paraId="6EDD017A" w14:textId="005652E4" w:rsidR="00114B84" w:rsidRPr="007114AF" w:rsidRDefault="008D30FC" w:rsidP="001C467C">
            <w:pPr>
              <w:spacing w:after="0" w:line="240" w:lineRule="auto"/>
              <w:jc w:val="center"/>
              <w:rPr>
                <w:rFonts w:ascii="Garamond" w:eastAsia="Times New Roman" w:hAnsi="Garamond" w:cs="Times New Roman"/>
                <w:color w:val="000000"/>
                <w:sz w:val="18"/>
                <w:szCs w:val="18"/>
                <w:lang w:eastAsia="en-US"/>
              </w:rPr>
            </w:pPr>
            <w:r w:rsidRPr="007114AF">
              <w:rPr>
                <w:rFonts w:ascii="Garamond" w:eastAsia="Times New Roman" w:hAnsi="Garamond" w:cs="Times New Roman"/>
                <w:color w:val="000000"/>
                <w:sz w:val="18"/>
                <w:szCs w:val="18"/>
                <w:lang w:eastAsia="en-US"/>
              </w:rPr>
              <w:t xml:space="preserve">       </w:t>
            </w:r>
            <w:r w:rsidR="00114B84" w:rsidRPr="007114AF">
              <w:rPr>
                <w:rFonts w:ascii="Garamond" w:eastAsia="Times New Roman" w:hAnsi="Garamond" w:cs="Times New Roman"/>
                <w:color w:val="000000"/>
                <w:sz w:val="18"/>
                <w:szCs w:val="18"/>
                <w:lang w:eastAsia="en-US"/>
              </w:rPr>
              <w:t xml:space="preserve">13,430,783 </w:t>
            </w:r>
          </w:p>
        </w:tc>
      </w:tr>
      <w:tr w:rsidR="006E723E" w:rsidRPr="007114AF" w14:paraId="6EDD0181" w14:textId="77777777" w:rsidTr="00A45C8C">
        <w:trPr>
          <w:trHeight w:val="300"/>
          <w:jc w:val="center"/>
        </w:trPr>
        <w:tc>
          <w:tcPr>
            <w:tcW w:w="714" w:type="pct"/>
            <w:tcBorders>
              <w:top w:val="nil"/>
              <w:left w:val="single" w:sz="4" w:space="0" w:color="auto"/>
              <w:bottom w:val="single" w:sz="4" w:space="0" w:color="auto"/>
              <w:right w:val="single" w:sz="4" w:space="0" w:color="auto"/>
            </w:tcBorders>
            <w:shd w:val="clear" w:color="000000" w:fill="EBF1DE"/>
            <w:noWrap/>
            <w:vAlign w:val="bottom"/>
            <w:hideMark/>
          </w:tcPr>
          <w:p w14:paraId="6EDD017C" w14:textId="77777777" w:rsidR="00114B84" w:rsidRPr="007114AF" w:rsidRDefault="00114B84" w:rsidP="001C467C">
            <w:pPr>
              <w:spacing w:after="0" w:line="240" w:lineRule="auto"/>
              <w:jc w:val="left"/>
              <w:rPr>
                <w:rFonts w:ascii="Garamond" w:eastAsia="Times New Roman" w:hAnsi="Garamond" w:cs="Times New Roman"/>
                <w:color w:val="000000"/>
                <w:sz w:val="18"/>
                <w:szCs w:val="18"/>
                <w:lang w:eastAsia="en-US"/>
              </w:rPr>
            </w:pPr>
            <w:r w:rsidRPr="007114AF">
              <w:rPr>
                <w:rFonts w:ascii="Garamond" w:eastAsia="Times New Roman" w:hAnsi="Garamond" w:cs="Times New Roman"/>
                <w:color w:val="000000"/>
                <w:sz w:val="18"/>
                <w:szCs w:val="18"/>
                <w:lang w:eastAsia="en-US"/>
              </w:rPr>
              <w:t>Transporti</w:t>
            </w:r>
          </w:p>
        </w:tc>
        <w:tc>
          <w:tcPr>
            <w:tcW w:w="1097" w:type="pct"/>
            <w:tcBorders>
              <w:top w:val="nil"/>
              <w:left w:val="nil"/>
              <w:bottom w:val="nil"/>
              <w:right w:val="nil"/>
            </w:tcBorders>
            <w:shd w:val="clear" w:color="auto" w:fill="auto"/>
            <w:noWrap/>
            <w:vAlign w:val="bottom"/>
            <w:hideMark/>
          </w:tcPr>
          <w:p w14:paraId="6EDD017D" w14:textId="06DF1ADB" w:rsidR="00114B84" w:rsidRPr="007114AF" w:rsidRDefault="008D30FC" w:rsidP="001C467C">
            <w:pPr>
              <w:spacing w:after="0" w:line="240" w:lineRule="auto"/>
              <w:jc w:val="left"/>
              <w:rPr>
                <w:rFonts w:ascii="Garamond" w:eastAsia="Times New Roman" w:hAnsi="Garamond" w:cs="Times New Roman"/>
                <w:color w:val="000000"/>
                <w:sz w:val="18"/>
                <w:szCs w:val="18"/>
                <w:lang w:eastAsia="en-US"/>
              </w:rPr>
            </w:pPr>
            <w:r w:rsidRPr="007114AF">
              <w:rPr>
                <w:rFonts w:ascii="Garamond" w:eastAsia="Times New Roman" w:hAnsi="Garamond" w:cs="Times New Roman"/>
                <w:color w:val="000000"/>
                <w:sz w:val="18"/>
                <w:szCs w:val="18"/>
                <w:lang w:eastAsia="en-US"/>
              </w:rPr>
              <w:t xml:space="preserve">      </w:t>
            </w:r>
            <w:r w:rsidR="00114B84" w:rsidRPr="007114AF">
              <w:rPr>
                <w:rFonts w:ascii="Garamond" w:eastAsia="Times New Roman" w:hAnsi="Garamond" w:cs="Times New Roman"/>
                <w:color w:val="000000"/>
                <w:sz w:val="18"/>
                <w:szCs w:val="18"/>
                <w:lang w:eastAsia="en-US"/>
              </w:rPr>
              <w:t xml:space="preserve"> 2,637,396 </w:t>
            </w:r>
          </w:p>
        </w:tc>
        <w:tc>
          <w:tcPr>
            <w:tcW w:w="1285" w:type="pct"/>
            <w:tcBorders>
              <w:top w:val="nil"/>
              <w:left w:val="nil"/>
              <w:bottom w:val="nil"/>
              <w:right w:val="nil"/>
            </w:tcBorders>
            <w:shd w:val="clear" w:color="auto" w:fill="auto"/>
            <w:noWrap/>
            <w:vAlign w:val="bottom"/>
            <w:hideMark/>
          </w:tcPr>
          <w:p w14:paraId="6EDD017E" w14:textId="4D5833FA" w:rsidR="00114B84" w:rsidRPr="007114AF" w:rsidRDefault="008D30FC" w:rsidP="001C467C">
            <w:pPr>
              <w:spacing w:after="0" w:line="240" w:lineRule="auto"/>
              <w:jc w:val="left"/>
              <w:rPr>
                <w:rFonts w:ascii="Garamond" w:eastAsia="Times New Roman" w:hAnsi="Garamond" w:cs="Times New Roman"/>
                <w:color w:val="000000"/>
                <w:sz w:val="18"/>
                <w:szCs w:val="18"/>
                <w:lang w:eastAsia="en-US"/>
              </w:rPr>
            </w:pPr>
            <w:r w:rsidRPr="007114AF">
              <w:rPr>
                <w:rFonts w:ascii="Garamond" w:eastAsia="Times New Roman" w:hAnsi="Garamond" w:cs="Times New Roman"/>
                <w:color w:val="000000"/>
                <w:sz w:val="18"/>
                <w:szCs w:val="18"/>
                <w:lang w:eastAsia="en-US"/>
              </w:rPr>
              <w:t xml:space="preserve">         </w:t>
            </w:r>
            <w:r w:rsidR="00114B84" w:rsidRPr="007114AF">
              <w:rPr>
                <w:rFonts w:ascii="Garamond" w:eastAsia="Times New Roman" w:hAnsi="Garamond" w:cs="Times New Roman"/>
                <w:color w:val="000000"/>
                <w:sz w:val="18"/>
                <w:szCs w:val="18"/>
                <w:lang w:eastAsia="en-US"/>
              </w:rPr>
              <w:t xml:space="preserve"> 808,538 </w:t>
            </w:r>
          </w:p>
        </w:tc>
        <w:tc>
          <w:tcPr>
            <w:tcW w:w="754" w:type="pct"/>
            <w:tcBorders>
              <w:top w:val="nil"/>
              <w:left w:val="nil"/>
              <w:bottom w:val="nil"/>
              <w:right w:val="nil"/>
            </w:tcBorders>
            <w:shd w:val="clear" w:color="auto" w:fill="auto"/>
            <w:noWrap/>
            <w:vAlign w:val="bottom"/>
            <w:hideMark/>
          </w:tcPr>
          <w:p w14:paraId="6EDD017F" w14:textId="383A0BBF" w:rsidR="00114B84" w:rsidRPr="007114AF" w:rsidRDefault="008D30FC" w:rsidP="001C467C">
            <w:pPr>
              <w:spacing w:after="0" w:line="240" w:lineRule="auto"/>
              <w:jc w:val="left"/>
              <w:rPr>
                <w:rFonts w:ascii="Garamond" w:eastAsia="Times New Roman" w:hAnsi="Garamond" w:cs="Times New Roman"/>
                <w:color w:val="000000"/>
                <w:sz w:val="18"/>
                <w:szCs w:val="18"/>
                <w:lang w:eastAsia="en-US"/>
              </w:rPr>
            </w:pPr>
            <w:r w:rsidRPr="007114AF">
              <w:rPr>
                <w:rFonts w:ascii="Garamond" w:eastAsia="Times New Roman" w:hAnsi="Garamond" w:cs="Times New Roman"/>
                <w:color w:val="000000"/>
                <w:sz w:val="18"/>
                <w:szCs w:val="18"/>
                <w:lang w:eastAsia="en-US"/>
              </w:rPr>
              <w:t xml:space="preserve">  </w:t>
            </w:r>
            <w:r w:rsidR="000A2A01" w:rsidRPr="007114AF">
              <w:rPr>
                <w:rFonts w:ascii="Garamond" w:eastAsia="Times New Roman" w:hAnsi="Garamond" w:cs="Times New Roman"/>
                <w:color w:val="000000"/>
                <w:sz w:val="18"/>
                <w:szCs w:val="18"/>
                <w:lang w:eastAsia="en-US"/>
              </w:rPr>
              <w:t xml:space="preserve"> </w:t>
            </w:r>
            <w:r w:rsidR="00114B84" w:rsidRPr="007114AF">
              <w:rPr>
                <w:rFonts w:ascii="Garamond" w:eastAsia="Times New Roman" w:hAnsi="Garamond" w:cs="Times New Roman"/>
                <w:color w:val="000000"/>
                <w:sz w:val="18"/>
                <w:szCs w:val="18"/>
                <w:lang w:eastAsia="en-US"/>
              </w:rPr>
              <w:t xml:space="preserve">5,643,316 </w:t>
            </w:r>
          </w:p>
        </w:tc>
        <w:tc>
          <w:tcPr>
            <w:tcW w:w="1151" w:type="pct"/>
            <w:tcBorders>
              <w:top w:val="nil"/>
              <w:left w:val="single" w:sz="4" w:space="0" w:color="auto"/>
              <w:bottom w:val="single" w:sz="4" w:space="0" w:color="auto"/>
              <w:right w:val="single" w:sz="4" w:space="0" w:color="auto"/>
            </w:tcBorders>
            <w:shd w:val="clear" w:color="000000" w:fill="EBF1DE"/>
            <w:noWrap/>
            <w:vAlign w:val="bottom"/>
            <w:hideMark/>
          </w:tcPr>
          <w:p w14:paraId="6EDD0180" w14:textId="2D583E3B" w:rsidR="00114B84" w:rsidRPr="007114AF" w:rsidRDefault="008D30FC" w:rsidP="001C467C">
            <w:pPr>
              <w:spacing w:after="0" w:line="240" w:lineRule="auto"/>
              <w:jc w:val="center"/>
              <w:rPr>
                <w:rFonts w:ascii="Garamond" w:eastAsia="Times New Roman" w:hAnsi="Garamond" w:cs="Times New Roman"/>
                <w:color w:val="000000"/>
                <w:sz w:val="18"/>
                <w:szCs w:val="18"/>
                <w:lang w:eastAsia="en-US"/>
              </w:rPr>
            </w:pPr>
            <w:r w:rsidRPr="007114AF">
              <w:rPr>
                <w:rFonts w:ascii="Garamond" w:eastAsia="Times New Roman" w:hAnsi="Garamond" w:cs="Times New Roman"/>
                <w:color w:val="000000"/>
                <w:sz w:val="18"/>
                <w:szCs w:val="18"/>
                <w:lang w:eastAsia="en-US"/>
              </w:rPr>
              <w:t xml:space="preserve">       </w:t>
            </w:r>
            <w:r w:rsidR="000A2A01" w:rsidRPr="007114AF">
              <w:rPr>
                <w:rFonts w:ascii="Garamond" w:eastAsia="Times New Roman" w:hAnsi="Garamond" w:cs="Times New Roman"/>
                <w:color w:val="000000"/>
                <w:sz w:val="18"/>
                <w:szCs w:val="18"/>
                <w:lang w:eastAsia="en-US"/>
              </w:rPr>
              <w:t xml:space="preserve"> </w:t>
            </w:r>
            <w:r w:rsidR="00114B84" w:rsidRPr="007114AF">
              <w:rPr>
                <w:rFonts w:ascii="Garamond" w:eastAsia="Times New Roman" w:hAnsi="Garamond" w:cs="Times New Roman"/>
                <w:color w:val="000000"/>
                <w:sz w:val="18"/>
                <w:szCs w:val="18"/>
                <w:lang w:eastAsia="en-US"/>
              </w:rPr>
              <w:t xml:space="preserve">9,089,250 </w:t>
            </w:r>
          </w:p>
        </w:tc>
      </w:tr>
      <w:tr w:rsidR="006E723E" w:rsidRPr="007114AF" w14:paraId="6EDD0187" w14:textId="77777777" w:rsidTr="00A45C8C">
        <w:trPr>
          <w:trHeight w:val="300"/>
          <w:jc w:val="center"/>
        </w:trPr>
        <w:tc>
          <w:tcPr>
            <w:tcW w:w="714" w:type="pct"/>
            <w:tcBorders>
              <w:top w:val="nil"/>
              <w:left w:val="single" w:sz="4" w:space="0" w:color="auto"/>
              <w:bottom w:val="single" w:sz="4" w:space="0" w:color="auto"/>
              <w:right w:val="single" w:sz="4" w:space="0" w:color="auto"/>
            </w:tcBorders>
            <w:shd w:val="clear" w:color="000000" w:fill="EBF1DE"/>
            <w:noWrap/>
            <w:vAlign w:val="bottom"/>
            <w:hideMark/>
          </w:tcPr>
          <w:p w14:paraId="6EDD0182" w14:textId="77777777" w:rsidR="00114B84" w:rsidRPr="007114AF" w:rsidRDefault="00114B84" w:rsidP="001C467C">
            <w:pPr>
              <w:spacing w:after="0" w:line="240" w:lineRule="auto"/>
              <w:jc w:val="left"/>
              <w:rPr>
                <w:rFonts w:ascii="Garamond" w:eastAsia="Times New Roman" w:hAnsi="Garamond" w:cs="Times New Roman"/>
                <w:color w:val="000000"/>
                <w:sz w:val="18"/>
                <w:szCs w:val="18"/>
                <w:lang w:eastAsia="en-US"/>
              </w:rPr>
            </w:pPr>
            <w:r w:rsidRPr="007114AF">
              <w:rPr>
                <w:rFonts w:ascii="Garamond" w:eastAsia="Times New Roman" w:hAnsi="Garamond" w:cs="Times New Roman"/>
                <w:color w:val="000000"/>
                <w:sz w:val="18"/>
                <w:szCs w:val="18"/>
                <w:lang w:eastAsia="en-US"/>
              </w:rPr>
              <w:t>Bujqesia</w:t>
            </w:r>
          </w:p>
        </w:tc>
        <w:tc>
          <w:tcPr>
            <w:tcW w:w="1097" w:type="pct"/>
            <w:tcBorders>
              <w:top w:val="nil"/>
              <w:left w:val="nil"/>
              <w:bottom w:val="nil"/>
              <w:right w:val="nil"/>
            </w:tcBorders>
            <w:shd w:val="clear" w:color="auto" w:fill="auto"/>
            <w:noWrap/>
            <w:vAlign w:val="bottom"/>
            <w:hideMark/>
          </w:tcPr>
          <w:p w14:paraId="6EDD0183" w14:textId="7E9869A4" w:rsidR="00114B84" w:rsidRPr="007114AF" w:rsidRDefault="008D30FC" w:rsidP="001C467C">
            <w:pPr>
              <w:spacing w:after="0" w:line="240" w:lineRule="auto"/>
              <w:jc w:val="left"/>
              <w:rPr>
                <w:rFonts w:ascii="Garamond" w:eastAsia="Times New Roman" w:hAnsi="Garamond" w:cs="Times New Roman"/>
                <w:color w:val="000000"/>
                <w:sz w:val="18"/>
                <w:szCs w:val="18"/>
                <w:lang w:eastAsia="en-US"/>
              </w:rPr>
            </w:pPr>
            <w:r w:rsidRPr="007114AF">
              <w:rPr>
                <w:rFonts w:ascii="Garamond" w:eastAsia="Times New Roman" w:hAnsi="Garamond" w:cs="Times New Roman"/>
                <w:color w:val="000000"/>
                <w:sz w:val="18"/>
                <w:szCs w:val="18"/>
                <w:lang w:eastAsia="en-US"/>
              </w:rPr>
              <w:t xml:space="preserve">      </w:t>
            </w:r>
            <w:r w:rsidR="00114B84" w:rsidRPr="007114AF">
              <w:rPr>
                <w:rFonts w:ascii="Garamond" w:eastAsia="Times New Roman" w:hAnsi="Garamond" w:cs="Times New Roman"/>
                <w:color w:val="000000"/>
                <w:sz w:val="18"/>
                <w:szCs w:val="18"/>
                <w:lang w:eastAsia="en-US"/>
              </w:rPr>
              <w:t xml:space="preserve"> 2,715,253 </w:t>
            </w:r>
          </w:p>
        </w:tc>
        <w:tc>
          <w:tcPr>
            <w:tcW w:w="1285" w:type="pct"/>
            <w:tcBorders>
              <w:top w:val="nil"/>
              <w:left w:val="nil"/>
              <w:bottom w:val="nil"/>
              <w:right w:val="nil"/>
            </w:tcBorders>
            <w:shd w:val="clear" w:color="auto" w:fill="auto"/>
            <w:noWrap/>
            <w:vAlign w:val="bottom"/>
            <w:hideMark/>
          </w:tcPr>
          <w:p w14:paraId="6EDD0184" w14:textId="35B2CA0F" w:rsidR="00114B84" w:rsidRPr="007114AF" w:rsidRDefault="008D30FC" w:rsidP="001C467C">
            <w:pPr>
              <w:spacing w:after="0" w:line="240" w:lineRule="auto"/>
              <w:jc w:val="left"/>
              <w:rPr>
                <w:rFonts w:ascii="Garamond" w:eastAsia="Times New Roman" w:hAnsi="Garamond" w:cs="Times New Roman"/>
                <w:color w:val="000000"/>
                <w:sz w:val="18"/>
                <w:szCs w:val="18"/>
                <w:lang w:eastAsia="en-US"/>
              </w:rPr>
            </w:pPr>
            <w:r w:rsidRPr="007114AF">
              <w:rPr>
                <w:rFonts w:ascii="Garamond" w:eastAsia="Times New Roman" w:hAnsi="Garamond" w:cs="Times New Roman"/>
                <w:color w:val="000000"/>
                <w:sz w:val="18"/>
                <w:szCs w:val="18"/>
                <w:lang w:eastAsia="en-US"/>
              </w:rPr>
              <w:t xml:space="preserve">            </w:t>
            </w:r>
            <w:r w:rsidR="00114B84" w:rsidRPr="007114AF">
              <w:rPr>
                <w:rFonts w:ascii="Garamond" w:eastAsia="Times New Roman" w:hAnsi="Garamond" w:cs="Times New Roman"/>
                <w:color w:val="000000"/>
                <w:sz w:val="18"/>
                <w:szCs w:val="18"/>
                <w:lang w:eastAsia="en-US"/>
              </w:rPr>
              <w:t>-</w:t>
            </w:r>
            <w:r w:rsidRPr="007114AF">
              <w:rPr>
                <w:rFonts w:ascii="Garamond" w:eastAsia="Times New Roman" w:hAnsi="Garamond" w:cs="Times New Roman"/>
                <w:color w:val="000000"/>
                <w:sz w:val="18"/>
                <w:szCs w:val="18"/>
                <w:lang w:eastAsia="en-US"/>
              </w:rPr>
              <w:t xml:space="preserve"> </w:t>
            </w:r>
          </w:p>
        </w:tc>
        <w:tc>
          <w:tcPr>
            <w:tcW w:w="754" w:type="pct"/>
            <w:tcBorders>
              <w:top w:val="nil"/>
              <w:left w:val="nil"/>
              <w:bottom w:val="nil"/>
              <w:right w:val="nil"/>
            </w:tcBorders>
            <w:shd w:val="clear" w:color="auto" w:fill="auto"/>
            <w:noWrap/>
            <w:vAlign w:val="bottom"/>
            <w:hideMark/>
          </w:tcPr>
          <w:p w14:paraId="6EDD0185" w14:textId="195F08F5" w:rsidR="00114B84" w:rsidRPr="007114AF" w:rsidRDefault="008D30FC" w:rsidP="001C467C">
            <w:pPr>
              <w:spacing w:after="0" w:line="240" w:lineRule="auto"/>
              <w:jc w:val="left"/>
              <w:rPr>
                <w:rFonts w:ascii="Garamond" w:eastAsia="Times New Roman" w:hAnsi="Garamond" w:cs="Times New Roman"/>
                <w:color w:val="000000"/>
                <w:sz w:val="18"/>
                <w:szCs w:val="18"/>
                <w:lang w:eastAsia="en-US"/>
              </w:rPr>
            </w:pPr>
            <w:r w:rsidRPr="007114AF">
              <w:rPr>
                <w:rFonts w:ascii="Garamond" w:eastAsia="Times New Roman" w:hAnsi="Garamond" w:cs="Times New Roman"/>
                <w:color w:val="000000"/>
                <w:sz w:val="18"/>
                <w:szCs w:val="18"/>
                <w:lang w:eastAsia="en-US"/>
              </w:rPr>
              <w:t xml:space="preserve">      </w:t>
            </w:r>
            <w:r w:rsidR="00114B84" w:rsidRPr="007114AF">
              <w:rPr>
                <w:rFonts w:ascii="Garamond" w:eastAsia="Times New Roman" w:hAnsi="Garamond" w:cs="Times New Roman"/>
                <w:color w:val="000000"/>
                <w:sz w:val="18"/>
                <w:szCs w:val="18"/>
                <w:lang w:eastAsia="en-US"/>
              </w:rPr>
              <w:t xml:space="preserve"> -</w:t>
            </w:r>
            <w:r w:rsidRPr="007114AF">
              <w:rPr>
                <w:rFonts w:ascii="Garamond" w:eastAsia="Times New Roman" w:hAnsi="Garamond" w:cs="Times New Roman"/>
                <w:color w:val="000000"/>
                <w:sz w:val="18"/>
                <w:szCs w:val="18"/>
                <w:lang w:eastAsia="en-US"/>
              </w:rPr>
              <w:t xml:space="preserve"> </w:t>
            </w:r>
          </w:p>
        </w:tc>
        <w:tc>
          <w:tcPr>
            <w:tcW w:w="1151" w:type="pct"/>
            <w:tcBorders>
              <w:top w:val="nil"/>
              <w:left w:val="single" w:sz="4" w:space="0" w:color="auto"/>
              <w:bottom w:val="single" w:sz="4" w:space="0" w:color="auto"/>
              <w:right w:val="single" w:sz="4" w:space="0" w:color="auto"/>
            </w:tcBorders>
            <w:shd w:val="clear" w:color="000000" w:fill="EBF1DE"/>
            <w:noWrap/>
            <w:vAlign w:val="bottom"/>
            <w:hideMark/>
          </w:tcPr>
          <w:p w14:paraId="6EDD0186" w14:textId="786B4E3F" w:rsidR="00114B84" w:rsidRPr="007114AF" w:rsidRDefault="008D30FC" w:rsidP="001C467C">
            <w:pPr>
              <w:spacing w:after="0" w:line="240" w:lineRule="auto"/>
              <w:jc w:val="center"/>
              <w:rPr>
                <w:rFonts w:ascii="Garamond" w:eastAsia="Times New Roman" w:hAnsi="Garamond" w:cs="Times New Roman"/>
                <w:color w:val="000000"/>
                <w:sz w:val="18"/>
                <w:szCs w:val="18"/>
                <w:lang w:eastAsia="en-US"/>
              </w:rPr>
            </w:pPr>
            <w:r w:rsidRPr="007114AF">
              <w:rPr>
                <w:rFonts w:ascii="Garamond" w:eastAsia="Times New Roman" w:hAnsi="Garamond" w:cs="Times New Roman"/>
                <w:color w:val="000000"/>
                <w:sz w:val="18"/>
                <w:szCs w:val="18"/>
                <w:lang w:eastAsia="en-US"/>
              </w:rPr>
              <w:t xml:space="preserve">       </w:t>
            </w:r>
            <w:r w:rsidR="000A2A01" w:rsidRPr="007114AF">
              <w:rPr>
                <w:rFonts w:ascii="Garamond" w:eastAsia="Times New Roman" w:hAnsi="Garamond" w:cs="Times New Roman"/>
                <w:color w:val="000000"/>
                <w:sz w:val="18"/>
                <w:szCs w:val="18"/>
                <w:lang w:eastAsia="en-US"/>
              </w:rPr>
              <w:t xml:space="preserve"> </w:t>
            </w:r>
            <w:r w:rsidR="00114B84" w:rsidRPr="007114AF">
              <w:rPr>
                <w:rFonts w:ascii="Garamond" w:eastAsia="Times New Roman" w:hAnsi="Garamond" w:cs="Times New Roman"/>
                <w:color w:val="000000"/>
                <w:sz w:val="18"/>
                <w:szCs w:val="18"/>
                <w:lang w:eastAsia="en-US"/>
              </w:rPr>
              <w:t xml:space="preserve">2,715,253 </w:t>
            </w:r>
          </w:p>
        </w:tc>
      </w:tr>
      <w:tr w:rsidR="006E723E" w:rsidRPr="007114AF" w14:paraId="6EDD018D" w14:textId="77777777" w:rsidTr="00A45C8C">
        <w:trPr>
          <w:trHeight w:val="300"/>
          <w:jc w:val="center"/>
        </w:trPr>
        <w:tc>
          <w:tcPr>
            <w:tcW w:w="714" w:type="pct"/>
            <w:tcBorders>
              <w:top w:val="nil"/>
              <w:left w:val="single" w:sz="4" w:space="0" w:color="auto"/>
              <w:bottom w:val="single" w:sz="4" w:space="0" w:color="auto"/>
              <w:right w:val="single" w:sz="4" w:space="0" w:color="auto"/>
            </w:tcBorders>
            <w:shd w:val="clear" w:color="000000" w:fill="EBF1DE"/>
            <w:noWrap/>
            <w:vAlign w:val="bottom"/>
            <w:hideMark/>
          </w:tcPr>
          <w:p w14:paraId="6EDD0188" w14:textId="77777777" w:rsidR="00114B84" w:rsidRPr="007114AF" w:rsidRDefault="00114B84" w:rsidP="001C467C">
            <w:pPr>
              <w:spacing w:after="0" w:line="240" w:lineRule="auto"/>
              <w:jc w:val="left"/>
              <w:rPr>
                <w:rFonts w:ascii="Garamond" w:eastAsia="Times New Roman" w:hAnsi="Garamond" w:cs="Times New Roman"/>
                <w:color w:val="000000"/>
                <w:sz w:val="18"/>
                <w:szCs w:val="18"/>
                <w:lang w:eastAsia="en-US"/>
              </w:rPr>
            </w:pPr>
            <w:r w:rsidRPr="007114AF">
              <w:rPr>
                <w:rFonts w:ascii="Garamond" w:eastAsia="Times New Roman" w:hAnsi="Garamond" w:cs="Times New Roman"/>
                <w:color w:val="000000"/>
                <w:sz w:val="18"/>
                <w:szCs w:val="18"/>
                <w:lang w:eastAsia="en-US"/>
              </w:rPr>
              <w:t>Toka+Pyjet</w:t>
            </w:r>
          </w:p>
        </w:tc>
        <w:tc>
          <w:tcPr>
            <w:tcW w:w="1097" w:type="pct"/>
            <w:tcBorders>
              <w:top w:val="nil"/>
              <w:left w:val="nil"/>
              <w:bottom w:val="nil"/>
              <w:right w:val="nil"/>
            </w:tcBorders>
            <w:shd w:val="clear" w:color="auto" w:fill="auto"/>
            <w:noWrap/>
            <w:vAlign w:val="bottom"/>
            <w:hideMark/>
          </w:tcPr>
          <w:p w14:paraId="6EDD0189" w14:textId="17569EA2" w:rsidR="00114B84" w:rsidRPr="007114AF" w:rsidRDefault="008D30FC" w:rsidP="001C467C">
            <w:pPr>
              <w:spacing w:after="0" w:line="240" w:lineRule="auto"/>
              <w:jc w:val="left"/>
              <w:rPr>
                <w:rFonts w:ascii="Garamond" w:eastAsia="Times New Roman" w:hAnsi="Garamond" w:cs="Times New Roman"/>
                <w:color w:val="000000"/>
                <w:sz w:val="18"/>
                <w:szCs w:val="18"/>
                <w:lang w:eastAsia="en-US"/>
              </w:rPr>
            </w:pPr>
            <w:r w:rsidRPr="007114AF">
              <w:rPr>
                <w:rFonts w:ascii="Garamond" w:eastAsia="Times New Roman" w:hAnsi="Garamond" w:cs="Times New Roman"/>
                <w:color w:val="000000"/>
                <w:sz w:val="18"/>
                <w:szCs w:val="18"/>
                <w:lang w:eastAsia="en-US"/>
              </w:rPr>
              <w:t xml:space="preserve">        </w:t>
            </w:r>
            <w:r w:rsidR="00114B84" w:rsidRPr="007114AF">
              <w:rPr>
                <w:rFonts w:ascii="Garamond" w:eastAsia="Times New Roman" w:hAnsi="Garamond" w:cs="Times New Roman"/>
                <w:color w:val="000000"/>
                <w:sz w:val="18"/>
                <w:szCs w:val="18"/>
                <w:lang w:eastAsia="en-US"/>
              </w:rPr>
              <w:t xml:space="preserve">38,600 </w:t>
            </w:r>
          </w:p>
        </w:tc>
        <w:tc>
          <w:tcPr>
            <w:tcW w:w="1285" w:type="pct"/>
            <w:tcBorders>
              <w:top w:val="nil"/>
              <w:left w:val="nil"/>
              <w:bottom w:val="nil"/>
              <w:right w:val="nil"/>
            </w:tcBorders>
            <w:shd w:val="clear" w:color="auto" w:fill="auto"/>
            <w:noWrap/>
            <w:vAlign w:val="bottom"/>
            <w:hideMark/>
          </w:tcPr>
          <w:p w14:paraId="6EDD018A" w14:textId="2FFBFCB1" w:rsidR="00114B84" w:rsidRPr="007114AF" w:rsidRDefault="008D30FC" w:rsidP="001C467C">
            <w:pPr>
              <w:spacing w:after="0" w:line="240" w:lineRule="auto"/>
              <w:jc w:val="left"/>
              <w:rPr>
                <w:rFonts w:ascii="Garamond" w:eastAsia="Times New Roman" w:hAnsi="Garamond" w:cs="Times New Roman"/>
                <w:color w:val="000000"/>
                <w:sz w:val="18"/>
                <w:szCs w:val="18"/>
                <w:lang w:eastAsia="en-US"/>
              </w:rPr>
            </w:pPr>
            <w:r w:rsidRPr="007114AF">
              <w:rPr>
                <w:rFonts w:ascii="Garamond" w:eastAsia="Times New Roman" w:hAnsi="Garamond" w:cs="Times New Roman"/>
                <w:color w:val="000000"/>
                <w:sz w:val="18"/>
                <w:szCs w:val="18"/>
                <w:lang w:eastAsia="en-US"/>
              </w:rPr>
              <w:t xml:space="preserve">         </w:t>
            </w:r>
            <w:r w:rsidR="00114B84" w:rsidRPr="007114AF">
              <w:rPr>
                <w:rFonts w:ascii="Garamond" w:eastAsia="Times New Roman" w:hAnsi="Garamond" w:cs="Times New Roman"/>
                <w:color w:val="000000"/>
                <w:sz w:val="18"/>
                <w:szCs w:val="18"/>
                <w:lang w:eastAsia="en-US"/>
              </w:rPr>
              <w:t xml:space="preserve"> 250,000 </w:t>
            </w:r>
          </w:p>
        </w:tc>
        <w:tc>
          <w:tcPr>
            <w:tcW w:w="754" w:type="pct"/>
            <w:tcBorders>
              <w:top w:val="nil"/>
              <w:left w:val="nil"/>
              <w:bottom w:val="nil"/>
              <w:right w:val="nil"/>
            </w:tcBorders>
            <w:shd w:val="clear" w:color="auto" w:fill="auto"/>
            <w:noWrap/>
            <w:vAlign w:val="bottom"/>
            <w:hideMark/>
          </w:tcPr>
          <w:p w14:paraId="6EDD018B" w14:textId="65621708" w:rsidR="00114B84" w:rsidRPr="007114AF" w:rsidRDefault="008D30FC" w:rsidP="001C467C">
            <w:pPr>
              <w:spacing w:after="0" w:line="240" w:lineRule="auto"/>
              <w:jc w:val="left"/>
              <w:rPr>
                <w:rFonts w:ascii="Garamond" w:eastAsia="Times New Roman" w:hAnsi="Garamond" w:cs="Times New Roman"/>
                <w:color w:val="000000"/>
                <w:sz w:val="18"/>
                <w:szCs w:val="18"/>
                <w:lang w:eastAsia="en-US"/>
              </w:rPr>
            </w:pPr>
            <w:r w:rsidRPr="007114AF">
              <w:rPr>
                <w:rFonts w:ascii="Garamond" w:eastAsia="Times New Roman" w:hAnsi="Garamond" w:cs="Times New Roman"/>
                <w:color w:val="000000"/>
                <w:sz w:val="18"/>
                <w:szCs w:val="18"/>
                <w:lang w:eastAsia="en-US"/>
              </w:rPr>
              <w:t xml:space="preserve">    </w:t>
            </w:r>
            <w:r w:rsidR="00114B84" w:rsidRPr="007114AF">
              <w:rPr>
                <w:rFonts w:ascii="Garamond" w:eastAsia="Times New Roman" w:hAnsi="Garamond" w:cs="Times New Roman"/>
                <w:color w:val="000000"/>
                <w:sz w:val="18"/>
                <w:szCs w:val="18"/>
                <w:lang w:eastAsia="en-US"/>
              </w:rPr>
              <w:t xml:space="preserve">40,000 </w:t>
            </w:r>
          </w:p>
        </w:tc>
        <w:tc>
          <w:tcPr>
            <w:tcW w:w="1151" w:type="pct"/>
            <w:tcBorders>
              <w:top w:val="nil"/>
              <w:left w:val="single" w:sz="4" w:space="0" w:color="auto"/>
              <w:bottom w:val="single" w:sz="4" w:space="0" w:color="auto"/>
              <w:right w:val="single" w:sz="4" w:space="0" w:color="auto"/>
            </w:tcBorders>
            <w:shd w:val="clear" w:color="000000" w:fill="EBF1DE"/>
            <w:noWrap/>
            <w:vAlign w:val="bottom"/>
            <w:hideMark/>
          </w:tcPr>
          <w:p w14:paraId="6EDD018C" w14:textId="3AC9E303" w:rsidR="00114B84" w:rsidRPr="007114AF" w:rsidRDefault="008D30FC" w:rsidP="001C467C">
            <w:pPr>
              <w:spacing w:after="0" w:line="240" w:lineRule="auto"/>
              <w:jc w:val="center"/>
              <w:rPr>
                <w:rFonts w:ascii="Garamond" w:eastAsia="Times New Roman" w:hAnsi="Garamond" w:cs="Times New Roman"/>
                <w:color w:val="000000"/>
                <w:sz w:val="18"/>
                <w:szCs w:val="18"/>
                <w:lang w:eastAsia="en-US"/>
              </w:rPr>
            </w:pPr>
            <w:r w:rsidRPr="007114AF">
              <w:rPr>
                <w:rFonts w:ascii="Garamond" w:eastAsia="Times New Roman" w:hAnsi="Garamond" w:cs="Times New Roman"/>
                <w:color w:val="000000"/>
                <w:sz w:val="18"/>
                <w:szCs w:val="18"/>
                <w:lang w:eastAsia="en-US"/>
              </w:rPr>
              <w:t xml:space="preserve">        </w:t>
            </w:r>
            <w:r w:rsidR="00114B84" w:rsidRPr="007114AF">
              <w:rPr>
                <w:rFonts w:ascii="Garamond" w:eastAsia="Times New Roman" w:hAnsi="Garamond" w:cs="Times New Roman"/>
                <w:color w:val="000000"/>
                <w:sz w:val="18"/>
                <w:szCs w:val="18"/>
                <w:lang w:eastAsia="en-US"/>
              </w:rPr>
              <w:t xml:space="preserve"> 328,600 </w:t>
            </w:r>
          </w:p>
        </w:tc>
      </w:tr>
      <w:tr w:rsidR="006E723E" w:rsidRPr="007114AF" w14:paraId="6EDD0193" w14:textId="77777777" w:rsidTr="00A45C8C">
        <w:trPr>
          <w:trHeight w:val="315"/>
          <w:jc w:val="center"/>
        </w:trPr>
        <w:tc>
          <w:tcPr>
            <w:tcW w:w="714" w:type="pct"/>
            <w:tcBorders>
              <w:top w:val="nil"/>
              <w:left w:val="single" w:sz="4" w:space="0" w:color="auto"/>
              <w:bottom w:val="single" w:sz="4" w:space="0" w:color="auto"/>
              <w:right w:val="single" w:sz="4" w:space="0" w:color="auto"/>
            </w:tcBorders>
            <w:shd w:val="clear" w:color="000000" w:fill="EBF1DE"/>
            <w:noWrap/>
            <w:vAlign w:val="bottom"/>
            <w:hideMark/>
          </w:tcPr>
          <w:p w14:paraId="6EDD018E" w14:textId="77777777" w:rsidR="00114B84" w:rsidRPr="007114AF" w:rsidRDefault="00114B84" w:rsidP="001C467C">
            <w:pPr>
              <w:spacing w:after="0" w:line="240" w:lineRule="auto"/>
              <w:jc w:val="left"/>
              <w:rPr>
                <w:rFonts w:ascii="Garamond" w:eastAsia="Times New Roman" w:hAnsi="Garamond" w:cs="Times New Roman"/>
                <w:color w:val="000000"/>
                <w:sz w:val="18"/>
                <w:szCs w:val="18"/>
                <w:lang w:eastAsia="en-US"/>
              </w:rPr>
            </w:pPr>
            <w:r w:rsidRPr="007114AF">
              <w:rPr>
                <w:rFonts w:ascii="Garamond" w:eastAsia="Times New Roman" w:hAnsi="Garamond" w:cs="Times New Roman"/>
                <w:color w:val="000000"/>
                <w:sz w:val="18"/>
                <w:szCs w:val="18"/>
                <w:lang w:eastAsia="en-US"/>
              </w:rPr>
              <w:t>Ndersektoriale</w:t>
            </w:r>
          </w:p>
        </w:tc>
        <w:tc>
          <w:tcPr>
            <w:tcW w:w="1097" w:type="pct"/>
            <w:tcBorders>
              <w:top w:val="nil"/>
              <w:left w:val="nil"/>
              <w:bottom w:val="nil"/>
              <w:right w:val="nil"/>
            </w:tcBorders>
            <w:shd w:val="clear" w:color="auto" w:fill="auto"/>
            <w:noWrap/>
            <w:vAlign w:val="bottom"/>
            <w:hideMark/>
          </w:tcPr>
          <w:p w14:paraId="6EDD018F" w14:textId="701FECD3" w:rsidR="00114B84" w:rsidRPr="007114AF" w:rsidRDefault="008D30FC" w:rsidP="001C467C">
            <w:pPr>
              <w:spacing w:after="0" w:line="240" w:lineRule="auto"/>
              <w:jc w:val="left"/>
              <w:rPr>
                <w:rFonts w:ascii="Garamond" w:eastAsia="Times New Roman" w:hAnsi="Garamond" w:cs="Times New Roman"/>
                <w:color w:val="000000"/>
                <w:sz w:val="18"/>
                <w:szCs w:val="18"/>
                <w:lang w:eastAsia="en-US"/>
              </w:rPr>
            </w:pPr>
            <w:r w:rsidRPr="007114AF">
              <w:rPr>
                <w:rFonts w:ascii="Garamond" w:eastAsia="Times New Roman" w:hAnsi="Garamond" w:cs="Times New Roman"/>
                <w:color w:val="000000"/>
                <w:sz w:val="18"/>
                <w:szCs w:val="18"/>
                <w:lang w:eastAsia="en-US"/>
              </w:rPr>
              <w:t xml:space="preserve">          </w:t>
            </w:r>
            <w:r w:rsidR="00114B84" w:rsidRPr="007114AF">
              <w:rPr>
                <w:rFonts w:ascii="Garamond" w:eastAsia="Times New Roman" w:hAnsi="Garamond" w:cs="Times New Roman"/>
                <w:color w:val="000000"/>
                <w:sz w:val="18"/>
                <w:szCs w:val="18"/>
                <w:lang w:eastAsia="en-US"/>
              </w:rPr>
              <w:t>-</w:t>
            </w:r>
            <w:r w:rsidRPr="007114AF">
              <w:rPr>
                <w:rFonts w:ascii="Garamond" w:eastAsia="Times New Roman" w:hAnsi="Garamond" w:cs="Times New Roman"/>
                <w:color w:val="000000"/>
                <w:sz w:val="18"/>
                <w:szCs w:val="18"/>
                <w:lang w:eastAsia="en-US"/>
              </w:rPr>
              <w:t xml:space="preserve"> </w:t>
            </w:r>
          </w:p>
        </w:tc>
        <w:tc>
          <w:tcPr>
            <w:tcW w:w="1285" w:type="pct"/>
            <w:tcBorders>
              <w:top w:val="nil"/>
              <w:left w:val="nil"/>
              <w:bottom w:val="nil"/>
              <w:right w:val="nil"/>
            </w:tcBorders>
            <w:shd w:val="clear" w:color="auto" w:fill="auto"/>
            <w:noWrap/>
            <w:vAlign w:val="bottom"/>
            <w:hideMark/>
          </w:tcPr>
          <w:p w14:paraId="6EDD0190" w14:textId="01D7FD64" w:rsidR="00114B84" w:rsidRPr="007114AF" w:rsidRDefault="008D30FC" w:rsidP="001C467C">
            <w:pPr>
              <w:spacing w:after="0" w:line="240" w:lineRule="auto"/>
              <w:jc w:val="left"/>
              <w:rPr>
                <w:rFonts w:ascii="Garamond" w:eastAsia="Times New Roman" w:hAnsi="Garamond" w:cs="Times New Roman"/>
                <w:color w:val="000000"/>
                <w:sz w:val="18"/>
                <w:szCs w:val="18"/>
                <w:lang w:eastAsia="en-US"/>
              </w:rPr>
            </w:pPr>
            <w:r w:rsidRPr="007114AF">
              <w:rPr>
                <w:rFonts w:ascii="Garamond" w:eastAsia="Times New Roman" w:hAnsi="Garamond" w:cs="Times New Roman"/>
                <w:color w:val="000000"/>
                <w:sz w:val="18"/>
                <w:szCs w:val="18"/>
                <w:lang w:eastAsia="en-US"/>
              </w:rPr>
              <w:t xml:space="preserve">            </w:t>
            </w:r>
            <w:r w:rsidR="00114B84" w:rsidRPr="007114AF">
              <w:rPr>
                <w:rFonts w:ascii="Garamond" w:eastAsia="Times New Roman" w:hAnsi="Garamond" w:cs="Times New Roman"/>
                <w:color w:val="000000"/>
                <w:sz w:val="18"/>
                <w:szCs w:val="18"/>
                <w:lang w:eastAsia="en-US"/>
              </w:rPr>
              <w:t>-</w:t>
            </w:r>
            <w:r w:rsidRPr="007114AF">
              <w:rPr>
                <w:rFonts w:ascii="Garamond" w:eastAsia="Times New Roman" w:hAnsi="Garamond" w:cs="Times New Roman"/>
                <w:color w:val="000000"/>
                <w:sz w:val="18"/>
                <w:szCs w:val="18"/>
                <w:lang w:eastAsia="en-US"/>
              </w:rPr>
              <w:t xml:space="preserve"> </w:t>
            </w:r>
          </w:p>
        </w:tc>
        <w:tc>
          <w:tcPr>
            <w:tcW w:w="754" w:type="pct"/>
            <w:tcBorders>
              <w:top w:val="nil"/>
              <w:left w:val="nil"/>
              <w:bottom w:val="nil"/>
              <w:right w:val="nil"/>
            </w:tcBorders>
            <w:shd w:val="clear" w:color="auto" w:fill="auto"/>
            <w:noWrap/>
            <w:vAlign w:val="bottom"/>
            <w:hideMark/>
          </w:tcPr>
          <w:p w14:paraId="6EDD0191" w14:textId="7549E155" w:rsidR="00114B84" w:rsidRPr="007114AF" w:rsidRDefault="008D30FC" w:rsidP="001C467C">
            <w:pPr>
              <w:spacing w:after="0" w:line="240" w:lineRule="auto"/>
              <w:jc w:val="left"/>
              <w:rPr>
                <w:rFonts w:ascii="Garamond" w:eastAsia="Times New Roman" w:hAnsi="Garamond" w:cs="Times New Roman"/>
                <w:color w:val="000000"/>
                <w:sz w:val="18"/>
                <w:szCs w:val="18"/>
                <w:lang w:eastAsia="en-US"/>
              </w:rPr>
            </w:pPr>
            <w:r w:rsidRPr="007114AF">
              <w:rPr>
                <w:rFonts w:ascii="Garamond" w:eastAsia="Times New Roman" w:hAnsi="Garamond" w:cs="Times New Roman"/>
                <w:color w:val="000000"/>
                <w:sz w:val="18"/>
                <w:szCs w:val="18"/>
                <w:lang w:eastAsia="en-US"/>
              </w:rPr>
              <w:t xml:space="preserve">      </w:t>
            </w:r>
            <w:r w:rsidR="00114B84" w:rsidRPr="007114AF">
              <w:rPr>
                <w:rFonts w:ascii="Garamond" w:eastAsia="Times New Roman" w:hAnsi="Garamond" w:cs="Times New Roman"/>
                <w:color w:val="000000"/>
                <w:sz w:val="18"/>
                <w:szCs w:val="18"/>
                <w:lang w:eastAsia="en-US"/>
              </w:rPr>
              <w:t xml:space="preserve"> -</w:t>
            </w:r>
            <w:r w:rsidRPr="007114AF">
              <w:rPr>
                <w:rFonts w:ascii="Garamond" w:eastAsia="Times New Roman" w:hAnsi="Garamond" w:cs="Times New Roman"/>
                <w:color w:val="000000"/>
                <w:sz w:val="18"/>
                <w:szCs w:val="18"/>
                <w:lang w:eastAsia="en-US"/>
              </w:rPr>
              <w:t xml:space="preserve"> </w:t>
            </w:r>
          </w:p>
        </w:tc>
        <w:tc>
          <w:tcPr>
            <w:tcW w:w="1151" w:type="pct"/>
            <w:tcBorders>
              <w:top w:val="nil"/>
              <w:left w:val="single" w:sz="4" w:space="0" w:color="auto"/>
              <w:bottom w:val="single" w:sz="4" w:space="0" w:color="auto"/>
              <w:right w:val="single" w:sz="4" w:space="0" w:color="auto"/>
            </w:tcBorders>
            <w:shd w:val="clear" w:color="000000" w:fill="EBF1DE"/>
            <w:noWrap/>
            <w:vAlign w:val="bottom"/>
            <w:hideMark/>
          </w:tcPr>
          <w:p w14:paraId="6EDD0192" w14:textId="08723D45" w:rsidR="00114B84" w:rsidRPr="007114AF" w:rsidRDefault="008D30FC" w:rsidP="001C467C">
            <w:pPr>
              <w:spacing w:after="0" w:line="240" w:lineRule="auto"/>
              <w:jc w:val="center"/>
              <w:rPr>
                <w:rFonts w:ascii="Garamond" w:eastAsia="Times New Roman" w:hAnsi="Garamond" w:cs="Times New Roman"/>
                <w:color w:val="000000"/>
                <w:sz w:val="18"/>
                <w:szCs w:val="18"/>
                <w:lang w:eastAsia="en-US"/>
              </w:rPr>
            </w:pPr>
            <w:r w:rsidRPr="007114AF">
              <w:rPr>
                <w:rFonts w:ascii="Garamond" w:eastAsia="Times New Roman" w:hAnsi="Garamond" w:cs="Times New Roman"/>
                <w:color w:val="000000"/>
                <w:sz w:val="18"/>
                <w:szCs w:val="18"/>
                <w:lang w:eastAsia="en-US"/>
              </w:rPr>
              <w:t xml:space="preserve">           </w:t>
            </w:r>
            <w:r w:rsidR="00114B84" w:rsidRPr="007114AF">
              <w:rPr>
                <w:rFonts w:ascii="Garamond" w:eastAsia="Times New Roman" w:hAnsi="Garamond" w:cs="Times New Roman"/>
                <w:color w:val="000000"/>
                <w:sz w:val="18"/>
                <w:szCs w:val="18"/>
                <w:lang w:eastAsia="en-US"/>
              </w:rPr>
              <w:t xml:space="preserve"> -</w:t>
            </w:r>
            <w:r w:rsidRPr="007114AF">
              <w:rPr>
                <w:rFonts w:ascii="Garamond" w:eastAsia="Times New Roman" w:hAnsi="Garamond" w:cs="Times New Roman"/>
                <w:color w:val="000000"/>
                <w:sz w:val="18"/>
                <w:szCs w:val="18"/>
                <w:lang w:eastAsia="en-US"/>
              </w:rPr>
              <w:t xml:space="preserve"> </w:t>
            </w:r>
          </w:p>
        </w:tc>
      </w:tr>
      <w:tr w:rsidR="006E723E" w:rsidRPr="007114AF" w14:paraId="6EDD0199" w14:textId="77777777" w:rsidTr="00A45C8C">
        <w:trPr>
          <w:trHeight w:val="315"/>
          <w:jc w:val="center"/>
        </w:trPr>
        <w:tc>
          <w:tcPr>
            <w:tcW w:w="714" w:type="pct"/>
            <w:tcBorders>
              <w:top w:val="nil"/>
              <w:left w:val="single" w:sz="8" w:space="0" w:color="auto"/>
              <w:bottom w:val="single" w:sz="8" w:space="0" w:color="auto"/>
              <w:right w:val="single" w:sz="4" w:space="0" w:color="auto"/>
            </w:tcBorders>
            <w:shd w:val="clear" w:color="000000" w:fill="EBF1DE"/>
            <w:noWrap/>
            <w:vAlign w:val="bottom"/>
            <w:hideMark/>
          </w:tcPr>
          <w:p w14:paraId="6EDD0194" w14:textId="77777777" w:rsidR="00114B84" w:rsidRPr="007114AF" w:rsidRDefault="00114B84" w:rsidP="001C467C">
            <w:pPr>
              <w:spacing w:after="0" w:line="240" w:lineRule="auto"/>
              <w:jc w:val="left"/>
              <w:rPr>
                <w:rFonts w:ascii="Garamond" w:eastAsia="Times New Roman" w:hAnsi="Garamond" w:cs="Times New Roman"/>
                <w:color w:val="000000"/>
                <w:sz w:val="18"/>
                <w:szCs w:val="18"/>
                <w:lang w:eastAsia="en-US"/>
              </w:rPr>
            </w:pPr>
            <w:r w:rsidRPr="007114AF">
              <w:rPr>
                <w:rFonts w:ascii="Garamond" w:eastAsia="Times New Roman" w:hAnsi="Garamond" w:cs="Times New Roman"/>
                <w:color w:val="000000"/>
                <w:sz w:val="18"/>
                <w:szCs w:val="18"/>
                <w:lang w:eastAsia="en-US"/>
              </w:rPr>
              <w:t>Total</w:t>
            </w:r>
          </w:p>
        </w:tc>
        <w:tc>
          <w:tcPr>
            <w:tcW w:w="1097" w:type="pct"/>
            <w:tcBorders>
              <w:top w:val="single" w:sz="8" w:space="0" w:color="auto"/>
              <w:left w:val="nil"/>
              <w:bottom w:val="single" w:sz="8" w:space="0" w:color="auto"/>
              <w:right w:val="single" w:sz="4" w:space="0" w:color="auto"/>
            </w:tcBorders>
            <w:shd w:val="clear" w:color="000000" w:fill="EBF1DE"/>
            <w:noWrap/>
            <w:vAlign w:val="bottom"/>
            <w:hideMark/>
          </w:tcPr>
          <w:p w14:paraId="6EDD0195" w14:textId="63131292" w:rsidR="00114B84" w:rsidRPr="007114AF" w:rsidRDefault="008D30FC" w:rsidP="001C467C">
            <w:pPr>
              <w:spacing w:after="0" w:line="240" w:lineRule="auto"/>
              <w:jc w:val="center"/>
              <w:rPr>
                <w:rFonts w:ascii="Garamond" w:eastAsia="Times New Roman" w:hAnsi="Garamond" w:cs="Times New Roman"/>
                <w:color w:val="000000"/>
                <w:sz w:val="18"/>
                <w:szCs w:val="18"/>
                <w:lang w:eastAsia="en-US"/>
              </w:rPr>
            </w:pPr>
            <w:r w:rsidRPr="007114AF">
              <w:rPr>
                <w:rFonts w:ascii="Garamond" w:eastAsia="Times New Roman" w:hAnsi="Garamond" w:cs="Times New Roman"/>
                <w:color w:val="000000"/>
                <w:sz w:val="18"/>
                <w:szCs w:val="18"/>
                <w:lang w:eastAsia="en-US"/>
              </w:rPr>
              <w:t xml:space="preserve">     </w:t>
            </w:r>
            <w:r w:rsidR="000A2A01" w:rsidRPr="007114AF">
              <w:rPr>
                <w:rFonts w:ascii="Garamond" w:eastAsia="Times New Roman" w:hAnsi="Garamond" w:cs="Times New Roman"/>
                <w:color w:val="000000"/>
                <w:sz w:val="18"/>
                <w:szCs w:val="18"/>
                <w:lang w:eastAsia="en-US"/>
              </w:rPr>
              <w:t xml:space="preserve"> </w:t>
            </w:r>
            <w:r w:rsidR="00114B84" w:rsidRPr="007114AF">
              <w:rPr>
                <w:rFonts w:ascii="Garamond" w:eastAsia="Times New Roman" w:hAnsi="Garamond" w:cs="Times New Roman"/>
                <w:color w:val="000000"/>
                <w:sz w:val="18"/>
                <w:szCs w:val="18"/>
                <w:lang w:eastAsia="en-US"/>
              </w:rPr>
              <w:t xml:space="preserve">17,843,453 </w:t>
            </w:r>
          </w:p>
        </w:tc>
        <w:tc>
          <w:tcPr>
            <w:tcW w:w="1285" w:type="pct"/>
            <w:tcBorders>
              <w:top w:val="single" w:sz="8" w:space="0" w:color="auto"/>
              <w:left w:val="nil"/>
              <w:bottom w:val="single" w:sz="8" w:space="0" w:color="auto"/>
              <w:right w:val="single" w:sz="4" w:space="0" w:color="auto"/>
            </w:tcBorders>
            <w:shd w:val="clear" w:color="000000" w:fill="EBF1DE"/>
            <w:noWrap/>
            <w:vAlign w:val="bottom"/>
            <w:hideMark/>
          </w:tcPr>
          <w:p w14:paraId="6EDD0196" w14:textId="6ABEB89D" w:rsidR="00114B84" w:rsidRPr="007114AF" w:rsidRDefault="008D30FC" w:rsidP="001C467C">
            <w:pPr>
              <w:spacing w:after="0" w:line="240" w:lineRule="auto"/>
              <w:jc w:val="center"/>
              <w:rPr>
                <w:rFonts w:ascii="Garamond" w:eastAsia="Times New Roman" w:hAnsi="Garamond" w:cs="Times New Roman"/>
                <w:color w:val="000000"/>
                <w:sz w:val="18"/>
                <w:szCs w:val="18"/>
                <w:lang w:eastAsia="en-US"/>
              </w:rPr>
            </w:pPr>
            <w:r w:rsidRPr="007114AF">
              <w:rPr>
                <w:rFonts w:ascii="Garamond" w:eastAsia="Times New Roman" w:hAnsi="Garamond" w:cs="Times New Roman"/>
                <w:color w:val="000000"/>
                <w:sz w:val="18"/>
                <w:szCs w:val="18"/>
                <w:lang w:eastAsia="en-US"/>
              </w:rPr>
              <w:t xml:space="preserve">        </w:t>
            </w:r>
            <w:r w:rsidR="00114B84" w:rsidRPr="007114AF">
              <w:rPr>
                <w:rFonts w:ascii="Garamond" w:eastAsia="Times New Roman" w:hAnsi="Garamond" w:cs="Times New Roman"/>
                <w:color w:val="000000"/>
                <w:sz w:val="18"/>
                <w:szCs w:val="18"/>
                <w:lang w:eastAsia="en-US"/>
              </w:rPr>
              <w:t xml:space="preserve"> 1,370,157 </w:t>
            </w:r>
          </w:p>
        </w:tc>
        <w:tc>
          <w:tcPr>
            <w:tcW w:w="754" w:type="pct"/>
            <w:tcBorders>
              <w:top w:val="single" w:sz="8" w:space="0" w:color="auto"/>
              <w:left w:val="nil"/>
              <w:bottom w:val="single" w:sz="8" w:space="0" w:color="auto"/>
              <w:right w:val="single" w:sz="4" w:space="0" w:color="auto"/>
            </w:tcBorders>
            <w:shd w:val="clear" w:color="000000" w:fill="EBF1DE"/>
            <w:noWrap/>
            <w:vAlign w:val="bottom"/>
            <w:hideMark/>
          </w:tcPr>
          <w:p w14:paraId="6EDD0197" w14:textId="25FEB128" w:rsidR="00114B84" w:rsidRPr="007114AF" w:rsidRDefault="008D30FC" w:rsidP="001C467C">
            <w:pPr>
              <w:spacing w:after="0" w:line="240" w:lineRule="auto"/>
              <w:jc w:val="center"/>
              <w:rPr>
                <w:rFonts w:ascii="Garamond" w:eastAsia="Times New Roman" w:hAnsi="Garamond" w:cs="Times New Roman"/>
                <w:color w:val="000000"/>
                <w:sz w:val="18"/>
                <w:szCs w:val="18"/>
                <w:lang w:eastAsia="en-US"/>
              </w:rPr>
            </w:pPr>
            <w:r w:rsidRPr="007114AF">
              <w:rPr>
                <w:rFonts w:ascii="Garamond" w:eastAsia="Times New Roman" w:hAnsi="Garamond" w:cs="Times New Roman"/>
                <w:color w:val="000000"/>
                <w:sz w:val="18"/>
                <w:szCs w:val="18"/>
                <w:lang w:eastAsia="en-US"/>
              </w:rPr>
              <w:t xml:space="preserve">  </w:t>
            </w:r>
            <w:r w:rsidR="000A2A01" w:rsidRPr="007114AF">
              <w:rPr>
                <w:rFonts w:ascii="Garamond" w:eastAsia="Times New Roman" w:hAnsi="Garamond" w:cs="Times New Roman"/>
                <w:color w:val="000000"/>
                <w:sz w:val="18"/>
                <w:szCs w:val="18"/>
                <w:lang w:eastAsia="en-US"/>
              </w:rPr>
              <w:t xml:space="preserve"> </w:t>
            </w:r>
            <w:r w:rsidR="00114B84" w:rsidRPr="007114AF">
              <w:rPr>
                <w:rFonts w:ascii="Garamond" w:eastAsia="Times New Roman" w:hAnsi="Garamond" w:cs="Times New Roman"/>
                <w:color w:val="000000"/>
                <w:sz w:val="18"/>
                <w:szCs w:val="18"/>
                <w:lang w:eastAsia="en-US"/>
              </w:rPr>
              <w:t xml:space="preserve">6,350,276 </w:t>
            </w:r>
          </w:p>
        </w:tc>
        <w:tc>
          <w:tcPr>
            <w:tcW w:w="1151" w:type="pct"/>
            <w:tcBorders>
              <w:top w:val="nil"/>
              <w:left w:val="nil"/>
              <w:bottom w:val="single" w:sz="4" w:space="0" w:color="auto"/>
              <w:right w:val="single" w:sz="4" w:space="0" w:color="auto"/>
            </w:tcBorders>
            <w:shd w:val="clear" w:color="000000" w:fill="EBF1DE"/>
            <w:noWrap/>
            <w:vAlign w:val="bottom"/>
            <w:hideMark/>
          </w:tcPr>
          <w:p w14:paraId="6EDD0198" w14:textId="6F9939BC" w:rsidR="00114B84" w:rsidRPr="007114AF" w:rsidRDefault="008D30FC" w:rsidP="001C467C">
            <w:pPr>
              <w:spacing w:after="0" w:line="240" w:lineRule="auto"/>
              <w:jc w:val="center"/>
              <w:rPr>
                <w:rFonts w:ascii="Garamond" w:eastAsia="Times New Roman" w:hAnsi="Garamond" w:cs="Times New Roman"/>
                <w:b/>
                <w:bCs/>
                <w:color w:val="FF0000"/>
                <w:sz w:val="18"/>
                <w:szCs w:val="18"/>
                <w:lang w:eastAsia="en-US"/>
              </w:rPr>
            </w:pPr>
            <w:r w:rsidRPr="007114AF">
              <w:rPr>
                <w:rFonts w:ascii="Garamond" w:eastAsia="Times New Roman" w:hAnsi="Garamond" w:cs="Times New Roman"/>
                <w:b/>
                <w:bCs/>
                <w:color w:val="FF0000"/>
                <w:sz w:val="18"/>
                <w:szCs w:val="18"/>
                <w:lang w:eastAsia="en-US"/>
              </w:rPr>
              <w:t xml:space="preserve">       </w:t>
            </w:r>
            <w:r w:rsidR="00114B84" w:rsidRPr="007114AF">
              <w:rPr>
                <w:rFonts w:ascii="Garamond" w:eastAsia="Times New Roman" w:hAnsi="Garamond" w:cs="Times New Roman"/>
                <w:b/>
                <w:bCs/>
                <w:color w:val="FF0000"/>
                <w:sz w:val="18"/>
                <w:szCs w:val="18"/>
                <w:lang w:eastAsia="en-US"/>
              </w:rPr>
              <w:t xml:space="preserve">25,563,886 </w:t>
            </w:r>
          </w:p>
        </w:tc>
      </w:tr>
    </w:tbl>
    <w:p w14:paraId="6EDD019A" w14:textId="77777777" w:rsidR="00114B84" w:rsidRPr="007114AF" w:rsidRDefault="00114B84" w:rsidP="00524E98">
      <w:pPr>
        <w:pStyle w:val="TEKSTI"/>
      </w:pPr>
    </w:p>
    <w:p w14:paraId="6EDD019B" w14:textId="432C26F9" w:rsidR="001E2A51" w:rsidRPr="007114AF" w:rsidRDefault="001E2A51" w:rsidP="001E2A51">
      <w:pPr>
        <w:pStyle w:val="TEKSTI"/>
      </w:pPr>
      <w:r w:rsidRPr="007114AF">
        <w:t xml:space="preserve">Edhe masat që do të implementohen gjatë vitit 2022 në pjesën më të madhe janë të bazuara në buxhetimin e bërë nga ministritë e </w:t>
      </w:r>
      <w:r w:rsidR="00A419A4">
        <w:t>linjës në dokument</w:t>
      </w:r>
      <w:r w:rsidR="00FD5AD9">
        <w:t>e</w:t>
      </w:r>
      <w:r w:rsidR="00A419A4">
        <w:t>t e PBA 2020–</w:t>
      </w:r>
      <w:r w:rsidRPr="007114AF">
        <w:t>2022 të përgatitur për fazën e parë të këtij procesi.</w:t>
      </w:r>
    </w:p>
    <w:p w14:paraId="6EDD019C" w14:textId="77777777" w:rsidR="001E2A51" w:rsidRPr="007114AF" w:rsidRDefault="001E2A51" w:rsidP="001E2A51">
      <w:pPr>
        <w:pStyle w:val="TEKSTI"/>
      </w:pPr>
      <w:r w:rsidRPr="007114AF">
        <w:t xml:space="preserve"> </w:t>
      </w:r>
    </w:p>
    <w:tbl>
      <w:tblPr>
        <w:tblW w:w="5301" w:type="pct"/>
        <w:tblInd w:w="-318" w:type="dxa"/>
        <w:tblLook w:val="04A0" w:firstRow="1" w:lastRow="0" w:firstColumn="1" w:lastColumn="0" w:noHBand="0" w:noVBand="1"/>
      </w:tblPr>
      <w:tblGrid>
        <w:gridCol w:w="1249"/>
        <w:gridCol w:w="2367"/>
        <w:gridCol w:w="2485"/>
        <w:gridCol w:w="1398"/>
        <w:gridCol w:w="2347"/>
      </w:tblGrid>
      <w:tr w:rsidR="001E2A51" w:rsidRPr="007114AF" w14:paraId="6EDD01A1" w14:textId="77777777" w:rsidTr="00A45C8C">
        <w:trPr>
          <w:trHeight w:val="315"/>
        </w:trPr>
        <w:tc>
          <w:tcPr>
            <w:tcW w:w="1835" w:type="pct"/>
            <w:gridSpan w:val="2"/>
            <w:tcBorders>
              <w:top w:val="nil"/>
              <w:left w:val="nil"/>
              <w:bottom w:val="nil"/>
              <w:right w:val="nil"/>
            </w:tcBorders>
            <w:shd w:val="clear" w:color="000000" w:fill="EBF1DE"/>
            <w:noWrap/>
            <w:vAlign w:val="bottom"/>
            <w:hideMark/>
          </w:tcPr>
          <w:p w14:paraId="6EDD019D" w14:textId="77777777" w:rsidR="001E2A51" w:rsidRPr="007114AF" w:rsidRDefault="001E2A51" w:rsidP="001C467C">
            <w:pPr>
              <w:spacing w:after="0" w:line="240" w:lineRule="auto"/>
              <w:jc w:val="left"/>
              <w:rPr>
                <w:rFonts w:ascii="Garamond" w:eastAsia="Times New Roman" w:hAnsi="Garamond" w:cs="Times New Roman"/>
                <w:b/>
                <w:bCs/>
                <w:color w:val="366092"/>
                <w:sz w:val="18"/>
                <w:szCs w:val="18"/>
                <w:lang w:eastAsia="en-US"/>
              </w:rPr>
            </w:pPr>
            <w:r w:rsidRPr="007114AF">
              <w:rPr>
                <w:rFonts w:ascii="Garamond" w:eastAsia="Times New Roman" w:hAnsi="Garamond" w:cs="Times New Roman"/>
                <w:b/>
                <w:bCs/>
                <w:color w:val="366092"/>
                <w:sz w:val="18"/>
                <w:szCs w:val="18"/>
                <w:lang w:eastAsia="en-US"/>
              </w:rPr>
              <w:t>Shpërndarja e fondeve sipas viteve</w:t>
            </w:r>
          </w:p>
        </w:tc>
        <w:tc>
          <w:tcPr>
            <w:tcW w:w="1262" w:type="pct"/>
            <w:tcBorders>
              <w:top w:val="nil"/>
              <w:left w:val="nil"/>
              <w:bottom w:val="nil"/>
              <w:right w:val="nil"/>
            </w:tcBorders>
            <w:shd w:val="clear" w:color="000000" w:fill="EBF1DE"/>
            <w:noWrap/>
            <w:vAlign w:val="bottom"/>
            <w:hideMark/>
          </w:tcPr>
          <w:p w14:paraId="6EDD019E" w14:textId="77777777" w:rsidR="001E2A51" w:rsidRPr="007114AF" w:rsidRDefault="001E2A51" w:rsidP="001C467C">
            <w:pPr>
              <w:spacing w:after="0" w:line="240" w:lineRule="auto"/>
              <w:jc w:val="left"/>
              <w:rPr>
                <w:rFonts w:ascii="Garamond" w:eastAsia="Times New Roman" w:hAnsi="Garamond" w:cs="Times New Roman"/>
                <w:color w:val="000000"/>
                <w:sz w:val="18"/>
                <w:szCs w:val="18"/>
                <w:lang w:eastAsia="en-US"/>
              </w:rPr>
            </w:pPr>
            <w:r w:rsidRPr="007114AF">
              <w:rPr>
                <w:rFonts w:ascii="Garamond" w:eastAsia="Times New Roman" w:hAnsi="Garamond" w:cs="Times New Roman"/>
                <w:color w:val="000000"/>
                <w:sz w:val="18"/>
                <w:szCs w:val="18"/>
                <w:lang w:eastAsia="en-US"/>
              </w:rPr>
              <w:t> </w:t>
            </w:r>
          </w:p>
        </w:tc>
        <w:tc>
          <w:tcPr>
            <w:tcW w:w="710" w:type="pct"/>
            <w:tcBorders>
              <w:top w:val="nil"/>
              <w:left w:val="nil"/>
              <w:bottom w:val="nil"/>
              <w:right w:val="nil"/>
            </w:tcBorders>
            <w:shd w:val="clear" w:color="000000" w:fill="EBF1DE"/>
            <w:noWrap/>
            <w:vAlign w:val="bottom"/>
            <w:hideMark/>
          </w:tcPr>
          <w:p w14:paraId="6EDD019F" w14:textId="77777777" w:rsidR="001E2A51" w:rsidRPr="007114AF" w:rsidRDefault="001E2A51" w:rsidP="001C467C">
            <w:pPr>
              <w:spacing w:after="0" w:line="240" w:lineRule="auto"/>
              <w:jc w:val="left"/>
              <w:rPr>
                <w:rFonts w:ascii="Garamond" w:eastAsia="Times New Roman" w:hAnsi="Garamond" w:cs="Times New Roman"/>
                <w:color w:val="000000"/>
                <w:sz w:val="18"/>
                <w:szCs w:val="18"/>
                <w:lang w:eastAsia="en-US"/>
              </w:rPr>
            </w:pPr>
            <w:r w:rsidRPr="007114AF">
              <w:rPr>
                <w:rFonts w:ascii="Garamond" w:eastAsia="Times New Roman" w:hAnsi="Garamond" w:cs="Times New Roman"/>
                <w:color w:val="000000"/>
                <w:sz w:val="18"/>
                <w:szCs w:val="18"/>
                <w:lang w:eastAsia="en-US"/>
              </w:rPr>
              <w:t> </w:t>
            </w:r>
          </w:p>
        </w:tc>
        <w:tc>
          <w:tcPr>
            <w:tcW w:w="1192" w:type="pct"/>
            <w:tcBorders>
              <w:top w:val="nil"/>
              <w:left w:val="nil"/>
              <w:bottom w:val="nil"/>
              <w:right w:val="nil"/>
            </w:tcBorders>
            <w:shd w:val="clear" w:color="000000" w:fill="EBF1DE"/>
            <w:noWrap/>
            <w:vAlign w:val="bottom"/>
            <w:hideMark/>
          </w:tcPr>
          <w:p w14:paraId="6EDD01A0" w14:textId="77777777" w:rsidR="001E2A51" w:rsidRPr="007114AF" w:rsidRDefault="001E2A51" w:rsidP="001C467C">
            <w:pPr>
              <w:spacing w:after="0" w:line="240" w:lineRule="auto"/>
              <w:jc w:val="left"/>
              <w:rPr>
                <w:rFonts w:ascii="Garamond" w:eastAsia="Times New Roman" w:hAnsi="Garamond" w:cs="Times New Roman"/>
                <w:color w:val="000000"/>
                <w:sz w:val="18"/>
                <w:szCs w:val="18"/>
                <w:lang w:eastAsia="en-US"/>
              </w:rPr>
            </w:pPr>
            <w:r w:rsidRPr="007114AF">
              <w:rPr>
                <w:rFonts w:ascii="Garamond" w:eastAsia="Times New Roman" w:hAnsi="Garamond" w:cs="Times New Roman"/>
                <w:color w:val="000000"/>
                <w:sz w:val="18"/>
                <w:szCs w:val="18"/>
                <w:lang w:eastAsia="en-US"/>
              </w:rPr>
              <w:t> </w:t>
            </w:r>
          </w:p>
        </w:tc>
      </w:tr>
      <w:tr w:rsidR="001E2A51" w:rsidRPr="007114AF" w14:paraId="6EDD01A7" w14:textId="77777777" w:rsidTr="00A45C8C">
        <w:trPr>
          <w:trHeight w:val="300"/>
        </w:trPr>
        <w:tc>
          <w:tcPr>
            <w:tcW w:w="634" w:type="pct"/>
            <w:tcBorders>
              <w:top w:val="single" w:sz="4" w:space="0" w:color="auto"/>
              <w:left w:val="single" w:sz="4" w:space="0" w:color="auto"/>
              <w:bottom w:val="single" w:sz="4" w:space="0" w:color="auto"/>
              <w:right w:val="single" w:sz="4" w:space="0" w:color="auto"/>
            </w:tcBorders>
            <w:shd w:val="clear" w:color="000000" w:fill="EBF1DE"/>
            <w:hideMark/>
          </w:tcPr>
          <w:p w14:paraId="6EDD01A2" w14:textId="77777777" w:rsidR="001E2A51" w:rsidRPr="007114AF" w:rsidRDefault="001E2A51" w:rsidP="001C467C">
            <w:pPr>
              <w:spacing w:after="0" w:line="240" w:lineRule="auto"/>
              <w:jc w:val="center"/>
              <w:rPr>
                <w:rFonts w:ascii="Garamond" w:eastAsia="Times New Roman" w:hAnsi="Garamond" w:cs="Times New Roman"/>
                <w:b/>
                <w:bCs/>
                <w:color w:val="000000"/>
                <w:sz w:val="18"/>
                <w:szCs w:val="18"/>
                <w:lang w:eastAsia="en-US"/>
              </w:rPr>
            </w:pPr>
            <w:r w:rsidRPr="007114AF">
              <w:rPr>
                <w:rFonts w:ascii="Garamond" w:eastAsia="Times New Roman" w:hAnsi="Garamond" w:cs="Times New Roman"/>
                <w:b/>
                <w:bCs/>
                <w:color w:val="000000"/>
                <w:sz w:val="18"/>
                <w:szCs w:val="18"/>
                <w:lang w:eastAsia="en-US"/>
              </w:rPr>
              <w:t> </w:t>
            </w:r>
          </w:p>
        </w:tc>
        <w:tc>
          <w:tcPr>
            <w:tcW w:w="1202" w:type="pct"/>
            <w:tcBorders>
              <w:top w:val="single" w:sz="4" w:space="0" w:color="auto"/>
              <w:left w:val="nil"/>
              <w:bottom w:val="single" w:sz="4" w:space="0" w:color="auto"/>
              <w:right w:val="single" w:sz="4" w:space="0" w:color="auto"/>
            </w:tcBorders>
            <w:shd w:val="clear" w:color="000000" w:fill="EBF1DE"/>
            <w:hideMark/>
          </w:tcPr>
          <w:p w14:paraId="6EDD01A3" w14:textId="77777777" w:rsidR="001E2A51" w:rsidRPr="007114AF" w:rsidRDefault="001E2A51" w:rsidP="001C467C">
            <w:pPr>
              <w:spacing w:after="0" w:line="240" w:lineRule="auto"/>
              <w:jc w:val="center"/>
              <w:rPr>
                <w:rFonts w:ascii="Garamond" w:eastAsia="Times New Roman" w:hAnsi="Garamond" w:cs="Times New Roman"/>
                <w:b/>
                <w:bCs/>
                <w:color w:val="000000"/>
                <w:sz w:val="18"/>
                <w:szCs w:val="18"/>
                <w:lang w:eastAsia="en-US"/>
              </w:rPr>
            </w:pPr>
            <w:r w:rsidRPr="007114AF">
              <w:rPr>
                <w:rFonts w:ascii="Garamond" w:eastAsia="Times New Roman" w:hAnsi="Garamond" w:cs="Times New Roman"/>
                <w:b/>
                <w:bCs/>
                <w:color w:val="000000"/>
                <w:sz w:val="18"/>
                <w:szCs w:val="18"/>
                <w:lang w:eastAsia="en-US"/>
              </w:rPr>
              <w:t>2025</w:t>
            </w:r>
          </w:p>
        </w:tc>
        <w:tc>
          <w:tcPr>
            <w:tcW w:w="1262" w:type="pct"/>
            <w:tcBorders>
              <w:top w:val="single" w:sz="4" w:space="0" w:color="auto"/>
              <w:left w:val="nil"/>
              <w:bottom w:val="single" w:sz="4" w:space="0" w:color="auto"/>
              <w:right w:val="single" w:sz="4" w:space="0" w:color="auto"/>
            </w:tcBorders>
            <w:shd w:val="clear" w:color="000000" w:fill="EBF1DE"/>
            <w:hideMark/>
          </w:tcPr>
          <w:p w14:paraId="6EDD01A4" w14:textId="77777777" w:rsidR="001E2A51" w:rsidRPr="007114AF" w:rsidRDefault="001E2A51" w:rsidP="001C467C">
            <w:pPr>
              <w:spacing w:after="0" w:line="240" w:lineRule="auto"/>
              <w:jc w:val="center"/>
              <w:rPr>
                <w:rFonts w:ascii="Garamond" w:eastAsia="Times New Roman" w:hAnsi="Garamond" w:cs="Times New Roman"/>
                <w:b/>
                <w:bCs/>
                <w:color w:val="000000"/>
                <w:sz w:val="18"/>
                <w:szCs w:val="18"/>
                <w:lang w:eastAsia="en-US"/>
              </w:rPr>
            </w:pPr>
            <w:r w:rsidRPr="007114AF">
              <w:rPr>
                <w:rFonts w:ascii="Garamond" w:eastAsia="Times New Roman" w:hAnsi="Garamond" w:cs="Times New Roman"/>
                <w:b/>
                <w:bCs/>
                <w:color w:val="000000"/>
                <w:sz w:val="18"/>
                <w:szCs w:val="18"/>
                <w:lang w:eastAsia="en-US"/>
              </w:rPr>
              <w:t>2026</w:t>
            </w:r>
          </w:p>
        </w:tc>
        <w:tc>
          <w:tcPr>
            <w:tcW w:w="710" w:type="pct"/>
            <w:tcBorders>
              <w:top w:val="single" w:sz="4" w:space="0" w:color="auto"/>
              <w:left w:val="nil"/>
              <w:bottom w:val="single" w:sz="4" w:space="0" w:color="auto"/>
              <w:right w:val="single" w:sz="4" w:space="0" w:color="auto"/>
            </w:tcBorders>
            <w:shd w:val="clear" w:color="000000" w:fill="EBF1DE"/>
            <w:hideMark/>
          </w:tcPr>
          <w:p w14:paraId="6EDD01A5" w14:textId="77777777" w:rsidR="001E2A51" w:rsidRPr="007114AF" w:rsidRDefault="001E2A51" w:rsidP="001C467C">
            <w:pPr>
              <w:spacing w:after="0" w:line="240" w:lineRule="auto"/>
              <w:jc w:val="center"/>
              <w:rPr>
                <w:rFonts w:ascii="Garamond" w:eastAsia="Times New Roman" w:hAnsi="Garamond" w:cs="Times New Roman"/>
                <w:b/>
                <w:bCs/>
                <w:color w:val="000000"/>
                <w:sz w:val="18"/>
                <w:szCs w:val="18"/>
                <w:lang w:eastAsia="en-US"/>
              </w:rPr>
            </w:pPr>
            <w:r w:rsidRPr="007114AF">
              <w:rPr>
                <w:rFonts w:ascii="Garamond" w:eastAsia="Times New Roman" w:hAnsi="Garamond" w:cs="Times New Roman"/>
                <w:b/>
                <w:bCs/>
                <w:color w:val="000000"/>
                <w:sz w:val="18"/>
                <w:szCs w:val="18"/>
                <w:lang w:eastAsia="en-US"/>
              </w:rPr>
              <w:t>2027</w:t>
            </w:r>
          </w:p>
        </w:tc>
        <w:tc>
          <w:tcPr>
            <w:tcW w:w="1192" w:type="pct"/>
            <w:tcBorders>
              <w:top w:val="single" w:sz="4" w:space="0" w:color="auto"/>
              <w:left w:val="nil"/>
              <w:bottom w:val="single" w:sz="4" w:space="0" w:color="auto"/>
              <w:right w:val="single" w:sz="4" w:space="0" w:color="auto"/>
            </w:tcBorders>
            <w:shd w:val="clear" w:color="000000" w:fill="EBF1DE"/>
            <w:hideMark/>
          </w:tcPr>
          <w:p w14:paraId="6EDD01A6" w14:textId="77777777" w:rsidR="001E2A51" w:rsidRPr="007114AF" w:rsidRDefault="001E2A51" w:rsidP="001C467C">
            <w:pPr>
              <w:spacing w:after="0" w:line="240" w:lineRule="auto"/>
              <w:jc w:val="center"/>
              <w:rPr>
                <w:rFonts w:ascii="Garamond" w:eastAsia="Times New Roman" w:hAnsi="Garamond" w:cs="Times New Roman"/>
                <w:b/>
                <w:bCs/>
                <w:color w:val="000000"/>
                <w:sz w:val="18"/>
                <w:szCs w:val="18"/>
                <w:lang w:eastAsia="en-US"/>
              </w:rPr>
            </w:pPr>
            <w:r w:rsidRPr="007114AF">
              <w:rPr>
                <w:rFonts w:ascii="Garamond" w:eastAsia="Times New Roman" w:hAnsi="Garamond" w:cs="Times New Roman"/>
                <w:b/>
                <w:bCs/>
                <w:color w:val="000000"/>
                <w:sz w:val="18"/>
                <w:szCs w:val="18"/>
                <w:lang w:eastAsia="en-US"/>
              </w:rPr>
              <w:t>Total</w:t>
            </w:r>
          </w:p>
        </w:tc>
      </w:tr>
      <w:tr w:rsidR="001E2A51" w:rsidRPr="007114AF" w14:paraId="6EDD01AD" w14:textId="77777777" w:rsidTr="00A45C8C">
        <w:trPr>
          <w:trHeight w:val="300"/>
        </w:trPr>
        <w:tc>
          <w:tcPr>
            <w:tcW w:w="634" w:type="pct"/>
            <w:tcBorders>
              <w:top w:val="nil"/>
              <w:left w:val="single" w:sz="4" w:space="0" w:color="auto"/>
              <w:bottom w:val="single" w:sz="4" w:space="0" w:color="auto"/>
              <w:right w:val="single" w:sz="4" w:space="0" w:color="auto"/>
            </w:tcBorders>
            <w:shd w:val="clear" w:color="000000" w:fill="EBF1DE"/>
            <w:noWrap/>
            <w:vAlign w:val="bottom"/>
            <w:hideMark/>
          </w:tcPr>
          <w:p w14:paraId="6EDD01A8" w14:textId="77777777" w:rsidR="001E2A51" w:rsidRPr="007114AF" w:rsidRDefault="001E2A51" w:rsidP="001C467C">
            <w:pPr>
              <w:spacing w:after="0" w:line="240" w:lineRule="auto"/>
              <w:jc w:val="left"/>
              <w:rPr>
                <w:rFonts w:ascii="Garamond" w:eastAsia="Times New Roman" w:hAnsi="Garamond" w:cs="Times New Roman"/>
                <w:color w:val="000000"/>
                <w:sz w:val="18"/>
                <w:szCs w:val="18"/>
                <w:lang w:eastAsia="en-US"/>
              </w:rPr>
            </w:pPr>
            <w:r w:rsidRPr="007114AF">
              <w:rPr>
                <w:rFonts w:ascii="Garamond" w:eastAsia="Times New Roman" w:hAnsi="Garamond" w:cs="Times New Roman"/>
                <w:color w:val="000000"/>
                <w:sz w:val="18"/>
                <w:szCs w:val="18"/>
                <w:lang w:eastAsia="en-US"/>
              </w:rPr>
              <w:t>Energjia</w:t>
            </w:r>
          </w:p>
        </w:tc>
        <w:tc>
          <w:tcPr>
            <w:tcW w:w="1202" w:type="pct"/>
            <w:tcBorders>
              <w:top w:val="nil"/>
              <w:left w:val="nil"/>
              <w:bottom w:val="nil"/>
              <w:right w:val="nil"/>
            </w:tcBorders>
            <w:shd w:val="clear" w:color="auto" w:fill="auto"/>
            <w:noWrap/>
            <w:vAlign w:val="bottom"/>
            <w:hideMark/>
          </w:tcPr>
          <w:p w14:paraId="6EDD01A9" w14:textId="142D495F" w:rsidR="001E2A51" w:rsidRPr="007114AF" w:rsidRDefault="008D30FC" w:rsidP="001C467C">
            <w:pPr>
              <w:spacing w:after="0" w:line="240" w:lineRule="auto"/>
              <w:jc w:val="left"/>
              <w:rPr>
                <w:rFonts w:ascii="Garamond" w:eastAsia="Times New Roman" w:hAnsi="Garamond" w:cs="Times New Roman"/>
                <w:color w:val="000000"/>
                <w:sz w:val="18"/>
                <w:szCs w:val="18"/>
                <w:lang w:eastAsia="en-US"/>
              </w:rPr>
            </w:pPr>
            <w:r w:rsidRPr="007114AF">
              <w:rPr>
                <w:rFonts w:ascii="Garamond" w:eastAsia="Times New Roman" w:hAnsi="Garamond" w:cs="Times New Roman"/>
                <w:color w:val="000000"/>
                <w:sz w:val="18"/>
                <w:szCs w:val="18"/>
                <w:lang w:eastAsia="en-US"/>
              </w:rPr>
              <w:t xml:space="preserve">       </w:t>
            </w:r>
            <w:r w:rsidR="001E2A51" w:rsidRPr="007114AF">
              <w:rPr>
                <w:rFonts w:ascii="Garamond" w:eastAsia="Times New Roman" w:hAnsi="Garamond" w:cs="Times New Roman"/>
                <w:color w:val="000000"/>
                <w:sz w:val="18"/>
                <w:szCs w:val="18"/>
                <w:lang w:eastAsia="en-US"/>
              </w:rPr>
              <w:t xml:space="preserve">910,130 </w:t>
            </w:r>
          </w:p>
        </w:tc>
        <w:tc>
          <w:tcPr>
            <w:tcW w:w="1262" w:type="pct"/>
            <w:tcBorders>
              <w:top w:val="nil"/>
              <w:left w:val="nil"/>
              <w:bottom w:val="nil"/>
              <w:right w:val="nil"/>
            </w:tcBorders>
            <w:shd w:val="clear" w:color="auto" w:fill="auto"/>
            <w:noWrap/>
            <w:vAlign w:val="bottom"/>
            <w:hideMark/>
          </w:tcPr>
          <w:p w14:paraId="6EDD01AA" w14:textId="70118FDC" w:rsidR="001E2A51" w:rsidRPr="007114AF" w:rsidRDefault="008D30FC" w:rsidP="001C467C">
            <w:pPr>
              <w:spacing w:after="0" w:line="240" w:lineRule="auto"/>
              <w:jc w:val="left"/>
              <w:rPr>
                <w:rFonts w:ascii="Garamond" w:eastAsia="Times New Roman" w:hAnsi="Garamond" w:cs="Times New Roman"/>
                <w:color w:val="000000"/>
                <w:sz w:val="18"/>
                <w:szCs w:val="18"/>
                <w:lang w:eastAsia="en-US"/>
              </w:rPr>
            </w:pPr>
            <w:r w:rsidRPr="007114AF">
              <w:rPr>
                <w:rFonts w:ascii="Garamond" w:eastAsia="Times New Roman" w:hAnsi="Garamond" w:cs="Times New Roman"/>
                <w:color w:val="000000"/>
                <w:sz w:val="18"/>
                <w:szCs w:val="18"/>
                <w:lang w:eastAsia="en-US"/>
              </w:rPr>
              <w:t xml:space="preserve">        </w:t>
            </w:r>
            <w:r w:rsidR="001E2A51" w:rsidRPr="007114AF">
              <w:rPr>
                <w:rFonts w:ascii="Garamond" w:eastAsia="Times New Roman" w:hAnsi="Garamond" w:cs="Times New Roman"/>
                <w:color w:val="000000"/>
                <w:sz w:val="18"/>
                <w:szCs w:val="18"/>
                <w:lang w:eastAsia="en-US"/>
              </w:rPr>
              <w:t xml:space="preserve"> 5,204,000 </w:t>
            </w:r>
          </w:p>
        </w:tc>
        <w:tc>
          <w:tcPr>
            <w:tcW w:w="710" w:type="pct"/>
            <w:tcBorders>
              <w:top w:val="nil"/>
              <w:left w:val="nil"/>
              <w:bottom w:val="nil"/>
              <w:right w:val="nil"/>
            </w:tcBorders>
            <w:shd w:val="clear" w:color="auto" w:fill="auto"/>
            <w:noWrap/>
            <w:vAlign w:val="bottom"/>
            <w:hideMark/>
          </w:tcPr>
          <w:p w14:paraId="6EDD01AB" w14:textId="5D86A7E7" w:rsidR="001E2A51" w:rsidRPr="007114AF" w:rsidRDefault="008D30FC" w:rsidP="001C467C">
            <w:pPr>
              <w:spacing w:after="0" w:line="240" w:lineRule="auto"/>
              <w:jc w:val="left"/>
              <w:rPr>
                <w:rFonts w:ascii="Garamond" w:eastAsia="Times New Roman" w:hAnsi="Garamond" w:cs="Times New Roman"/>
                <w:color w:val="000000"/>
                <w:sz w:val="18"/>
                <w:szCs w:val="18"/>
                <w:lang w:eastAsia="en-US"/>
              </w:rPr>
            </w:pPr>
            <w:r w:rsidRPr="007114AF">
              <w:rPr>
                <w:rFonts w:ascii="Garamond" w:eastAsia="Times New Roman" w:hAnsi="Garamond" w:cs="Times New Roman"/>
                <w:color w:val="000000"/>
                <w:sz w:val="18"/>
                <w:szCs w:val="18"/>
                <w:lang w:eastAsia="en-US"/>
              </w:rPr>
              <w:t xml:space="preserve">      </w:t>
            </w:r>
            <w:r w:rsidR="001E2A51" w:rsidRPr="007114AF">
              <w:rPr>
                <w:rFonts w:ascii="Garamond" w:eastAsia="Times New Roman" w:hAnsi="Garamond" w:cs="Times New Roman"/>
                <w:color w:val="000000"/>
                <w:sz w:val="18"/>
                <w:szCs w:val="18"/>
                <w:lang w:eastAsia="en-US"/>
              </w:rPr>
              <w:t xml:space="preserve"> -</w:t>
            </w:r>
            <w:r w:rsidRPr="007114AF">
              <w:rPr>
                <w:rFonts w:ascii="Garamond" w:eastAsia="Times New Roman" w:hAnsi="Garamond" w:cs="Times New Roman"/>
                <w:color w:val="000000"/>
                <w:sz w:val="18"/>
                <w:szCs w:val="18"/>
                <w:lang w:eastAsia="en-US"/>
              </w:rPr>
              <w:t xml:space="preserve"> </w:t>
            </w:r>
          </w:p>
        </w:tc>
        <w:tc>
          <w:tcPr>
            <w:tcW w:w="1192" w:type="pct"/>
            <w:tcBorders>
              <w:top w:val="nil"/>
              <w:left w:val="single" w:sz="4" w:space="0" w:color="auto"/>
              <w:bottom w:val="single" w:sz="4" w:space="0" w:color="auto"/>
              <w:right w:val="single" w:sz="4" w:space="0" w:color="auto"/>
            </w:tcBorders>
            <w:shd w:val="clear" w:color="000000" w:fill="EBF1DE"/>
            <w:noWrap/>
            <w:vAlign w:val="bottom"/>
            <w:hideMark/>
          </w:tcPr>
          <w:p w14:paraId="6EDD01AC" w14:textId="62A70BF0" w:rsidR="001E2A51" w:rsidRPr="007114AF" w:rsidRDefault="008D30FC" w:rsidP="001C467C">
            <w:pPr>
              <w:spacing w:after="0" w:line="240" w:lineRule="auto"/>
              <w:jc w:val="center"/>
              <w:rPr>
                <w:rFonts w:ascii="Garamond" w:eastAsia="Times New Roman" w:hAnsi="Garamond" w:cs="Times New Roman"/>
                <w:color w:val="000000"/>
                <w:sz w:val="18"/>
                <w:szCs w:val="18"/>
                <w:lang w:eastAsia="en-US"/>
              </w:rPr>
            </w:pPr>
            <w:r w:rsidRPr="007114AF">
              <w:rPr>
                <w:rFonts w:ascii="Garamond" w:eastAsia="Times New Roman" w:hAnsi="Garamond" w:cs="Times New Roman"/>
                <w:color w:val="000000"/>
                <w:sz w:val="18"/>
                <w:szCs w:val="18"/>
                <w:lang w:eastAsia="en-US"/>
              </w:rPr>
              <w:t xml:space="preserve">       </w:t>
            </w:r>
            <w:r w:rsidR="000A2A01" w:rsidRPr="007114AF">
              <w:rPr>
                <w:rFonts w:ascii="Garamond" w:eastAsia="Times New Roman" w:hAnsi="Garamond" w:cs="Times New Roman"/>
                <w:color w:val="000000"/>
                <w:sz w:val="18"/>
                <w:szCs w:val="18"/>
                <w:lang w:eastAsia="en-US"/>
              </w:rPr>
              <w:t xml:space="preserve"> </w:t>
            </w:r>
            <w:r w:rsidR="001E2A51" w:rsidRPr="007114AF">
              <w:rPr>
                <w:rFonts w:ascii="Garamond" w:eastAsia="Times New Roman" w:hAnsi="Garamond" w:cs="Times New Roman"/>
                <w:color w:val="000000"/>
                <w:sz w:val="18"/>
                <w:szCs w:val="18"/>
                <w:lang w:eastAsia="en-US"/>
              </w:rPr>
              <w:t xml:space="preserve">6,114,130 </w:t>
            </w:r>
          </w:p>
        </w:tc>
      </w:tr>
      <w:tr w:rsidR="001E2A51" w:rsidRPr="007114AF" w14:paraId="6EDD01B3" w14:textId="77777777" w:rsidTr="00A45C8C">
        <w:trPr>
          <w:trHeight w:val="300"/>
        </w:trPr>
        <w:tc>
          <w:tcPr>
            <w:tcW w:w="634" w:type="pct"/>
            <w:tcBorders>
              <w:top w:val="nil"/>
              <w:left w:val="single" w:sz="4" w:space="0" w:color="auto"/>
              <w:bottom w:val="single" w:sz="4" w:space="0" w:color="auto"/>
              <w:right w:val="single" w:sz="4" w:space="0" w:color="auto"/>
            </w:tcBorders>
            <w:shd w:val="clear" w:color="000000" w:fill="EBF1DE"/>
            <w:noWrap/>
            <w:vAlign w:val="bottom"/>
            <w:hideMark/>
          </w:tcPr>
          <w:p w14:paraId="6EDD01AE" w14:textId="77777777" w:rsidR="001E2A51" w:rsidRPr="007114AF" w:rsidRDefault="001E2A51" w:rsidP="001C467C">
            <w:pPr>
              <w:spacing w:after="0" w:line="240" w:lineRule="auto"/>
              <w:jc w:val="left"/>
              <w:rPr>
                <w:rFonts w:ascii="Garamond" w:eastAsia="Times New Roman" w:hAnsi="Garamond" w:cs="Times New Roman"/>
                <w:color w:val="000000"/>
                <w:sz w:val="18"/>
                <w:szCs w:val="18"/>
                <w:lang w:eastAsia="en-US"/>
              </w:rPr>
            </w:pPr>
            <w:r w:rsidRPr="007114AF">
              <w:rPr>
                <w:rFonts w:ascii="Garamond" w:eastAsia="Times New Roman" w:hAnsi="Garamond" w:cs="Times New Roman"/>
                <w:color w:val="000000"/>
                <w:sz w:val="18"/>
                <w:szCs w:val="18"/>
                <w:lang w:eastAsia="en-US"/>
              </w:rPr>
              <w:t>Transporti</w:t>
            </w:r>
          </w:p>
        </w:tc>
        <w:tc>
          <w:tcPr>
            <w:tcW w:w="1202" w:type="pct"/>
            <w:tcBorders>
              <w:top w:val="nil"/>
              <w:left w:val="nil"/>
              <w:bottom w:val="nil"/>
              <w:right w:val="nil"/>
            </w:tcBorders>
            <w:shd w:val="clear" w:color="auto" w:fill="auto"/>
            <w:noWrap/>
            <w:vAlign w:val="bottom"/>
            <w:hideMark/>
          </w:tcPr>
          <w:p w14:paraId="6EDD01AF" w14:textId="39E6A37A" w:rsidR="001E2A51" w:rsidRPr="007114AF" w:rsidRDefault="008D30FC" w:rsidP="001C467C">
            <w:pPr>
              <w:spacing w:after="0" w:line="240" w:lineRule="auto"/>
              <w:jc w:val="left"/>
              <w:rPr>
                <w:rFonts w:ascii="Garamond" w:eastAsia="Times New Roman" w:hAnsi="Garamond" w:cs="Times New Roman"/>
                <w:color w:val="000000"/>
                <w:sz w:val="18"/>
                <w:szCs w:val="18"/>
                <w:lang w:eastAsia="en-US"/>
              </w:rPr>
            </w:pPr>
            <w:r w:rsidRPr="007114AF">
              <w:rPr>
                <w:rFonts w:ascii="Garamond" w:eastAsia="Times New Roman" w:hAnsi="Garamond" w:cs="Times New Roman"/>
                <w:color w:val="000000"/>
                <w:sz w:val="18"/>
                <w:szCs w:val="18"/>
                <w:lang w:eastAsia="en-US"/>
              </w:rPr>
              <w:t xml:space="preserve">       </w:t>
            </w:r>
            <w:r w:rsidR="001E2A51" w:rsidRPr="007114AF">
              <w:rPr>
                <w:rFonts w:ascii="Garamond" w:eastAsia="Times New Roman" w:hAnsi="Garamond" w:cs="Times New Roman"/>
                <w:color w:val="000000"/>
                <w:sz w:val="18"/>
                <w:szCs w:val="18"/>
                <w:lang w:eastAsia="en-US"/>
              </w:rPr>
              <w:t xml:space="preserve">217,070 </w:t>
            </w:r>
          </w:p>
        </w:tc>
        <w:tc>
          <w:tcPr>
            <w:tcW w:w="1262" w:type="pct"/>
            <w:tcBorders>
              <w:top w:val="nil"/>
              <w:left w:val="nil"/>
              <w:bottom w:val="nil"/>
              <w:right w:val="nil"/>
            </w:tcBorders>
            <w:shd w:val="clear" w:color="auto" w:fill="auto"/>
            <w:noWrap/>
            <w:vAlign w:val="bottom"/>
            <w:hideMark/>
          </w:tcPr>
          <w:p w14:paraId="6EDD01B0" w14:textId="0C3E6C43" w:rsidR="001E2A51" w:rsidRPr="007114AF" w:rsidRDefault="008D30FC" w:rsidP="001C467C">
            <w:pPr>
              <w:spacing w:after="0" w:line="240" w:lineRule="auto"/>
              <w:jc w:val="left"/>
              <w:rPr>
                <w:rFonts w:ascii="Garamond" w:eastAsia="Times New Roman" w:hAnsi="Garamond" w:cs="Times New Roman"/>
                <w:color w:val="000000"/>
                <w:sz w:val="18"/>
                <w:szCs w:val="18"/>
                <w:lang w:eastAsia="en-US"/>
              </w:rPr>
            </w:pPr>
            <w:r w:rsidRPr="007114AF">
              <w:rPr>
                <w:rFonts w:ascii="Garamond" w:eastAsia="Times New Roman" w:hAnsi="Garamond" w:cs="Times New Roman"/>
                <w:color w:val="000000"/>
                <w:sz w:val="18"/>
                <w:szCs w:val="18"/>
                <w:lang w:eastAsia="en-US"/>
              </w:rPr>
              <w:t xml:space="preserve">          </w:t>
            </w:r>
            <w:r w:rsidR="001E2A51" w:rsidRPr="007114AF">
              <w:rPr>
                <w:rFonts w:ascii="Garamond" w:eastAsia="Times New Roman" w:hAnsi="Garamond" w:cs="Times New Roman"/>
                <w:color w:val="000000"/>
                <w:sz w:val="18"/>
                <w:szCs w:val="18"/>
                <w:lang w:eastAsia="en-US"/>
              </w:rPr>
              <w:t xml:space="preserve"> 1,120 </w:t>
            </w:r>
          </w:p>
        </w:tc>
        <w:tc>
          <w:tcPr>
            <w:tcW w:w="710" w:type="pct"/>
            <w:tcBorders>
              <w:top w:val="nil"/>
              <w:left w:val="nil"/>
              <w:bottom w:val="nil"/>
              <w:right w:val="nil"/>
            </w:tcBorders>
            <w:shd w:val="clear" w:color="auto" w:fill="auto"/>
            <w:noWrap/>
            <w:vAlign w:val="bottom"/>
            <w:hideMark/>
          </w:tcPr>
          <w:p w14:paraId="6EDD01B1" w14:textId="02994BD5" w:rsidR="001E2A51" w:rsidRPr="007114AF" w:rsidRDefault="008D30FC" w:rsidP="001C467C">
            <w:pPr>
              <w:spacing w:after="0" w:line="240" w:lineRule="auto"/>
              <w:jc w:val="left"/>
              <w:rPr>
                <w:rFonts w:ascii="Garamond" w:eastAsia="Times New Roman" w:hAnsi="Garamond" w:cs="Times New Roman"/>
                <w:color w:val="000000"/>
                <w:sz w:val="18"/>
                <w:szCs w:val="18"/>
                <w:lang w:eastAsia="en-US"/>
              </w:rPr>
            </w:pPr>
            <w:r w:rsidRPr="007114AF">
              <w:rPr>
                <w:rFonts w:ascii="Garamond" w:eastAsia="Times New Roman" w:hAnsi="Garamond" w:cs="Times New Roman"/>
                <w:color w:val="000000"/>
                <w:sz w:val="18"/>
                <w:szCs w:val="18"/>
                <w:lang w:eastAsia="en-US"/>
              </w:rPr>
              <w:t xml:space="preserve">      </w:t>
            </w:r>
            <w:r w:rsidR="001E2A51" w:rsidRPr="007114AF">
              <w:rPr>
                <w:rFonts w:ascii="Garamond" w:eastAsia="Times New Roman" w:hAnsi="Garamond" w:cs="Times New Roman"/>
                <w:color w:val="000000"/>
                <w:sz w:val="18"/>
                <w:szCs w:val="18"/>
                <w:lang w:eastAsia="en-US"/>
              </w:rPr>
              <w:t xml:space="preserve"> -</w:t>
            </w:r>
            <w:r w:rsidRPr="007114AF">
              <w:rPr>
                <w:rFonts w:ascii="Garamond" w:eastAsia="Times New Roman" w:hAnsi="Garamond" w:cs="Times New Roman"/>
                <w:color w:val="000000"/>
                <w:sz w:val="18"/>
                <w:szCs w:val="18"/>
                <w:lang w:eastAsia="en-US"/>
              </w:rPr>
              <w:t xml:space="preserve"> </w:t>
            </w:r>
          </w:p>
        </w:tc>
        <w:tc>
          <w:tcPr>
            <w:tcW w:w="1192" w:type="pct"/>
            <w:tcBorders>
              <w:top w:val="nil"/>
              <w:left w:val="single" w:sz="4" w:space="0" w:color="auto"/>
              <w:bottom w:val="single" w:sz="4" w:space="0" w:color="auto"/>
              <w:right w:val="single" w:sz="4" w:space="0" w:color="auto"/>
            </w:tcBorders>
            <w:shd w:val="clear" w:color="000000" w:fill="EBF1DE"/>
            <w:noWrap/>
            <w:vAlign w:val="bottom"/>
            <w:hideMark/>
          </w:tcPr>
          <w:p w14:paraId="6EDD01B2" w14:textId="6EC3223D" w:rsidR="001E2A51" w:rsidRPr="007114AF" w:rsidRDefault="008D30FC" w:rsidP="001C467C">
            <w:pPr>
              <w:spacing w:after="0" w:line="240" w:lineRule="auto"/>
              <w:jc w:val="center"/>
              <w:rPr>
                <w:rFonts w:ascii="Garamond" w:eastAsia="Times New Roman" w:hAnsi="Garamond" w:cs="Times New Roman"/>
                <w:color w:val="000000"/>
                <w:sz w:val="18"/>
                <w:szCs w:val="18"/>
                <w:lang w:eastAsia="en-US"/>
              </w:rPr>
            </w:pPr>
            <w:r w:rsidRPr="007114AF">
              <w:rPr>
                <w:rFonts w:ascii="Garamond" w:eastAsia="Times New Roman" w:hAnsi="Garamond" w:cs="Times New Roman"/>
                <w:color w:val="000000"/>
                <w:sz w:val="18"/>
                <w:szCs w:val="18"/>
                <w:lang w:eastAsia="en-US"/>
              </w:rPr>
              <w:t xml:space="preserve">        </w:t>
            </w:r>
            <w:r w:rsidR="001E2A51" w:rsidRPr="007114AF">
              <w:rPr>
                <w:rFonts w:ascii="Garamond" w:eastAsia="Times New Roman" w:hAnsi="Garamond" w:cs="Times New Roman"/>
                <w:color w:val="000000"/>
                <w:sz w:val="18"/>
                <w:szCs w:val="18"/>
                <w:lang w:eastAsia="en-US"/>
              </w:rPr>
              <w:t xml:space="preserve"> 218,190 </w:t>
            </w:r>
          </w:p>
        </w:tc>
      </w:tr>
      <w:tr w:rsidR="001E2A51" w:rsidRPr="007114AF" w14:paraId="6EDD01B9" w14:textId="77777777" w:rsidTr="00A45C8C">
        <w:trPr>
          <w:trHeight w:val="300"/>
        </w:trPr>
        <w:tc>
          <w:tcPr>
            <w:tcW w:w="634" w:type="pct"/>
            <w:tcBorders>
              <w:top w:val="nil"/>
              <w:left w:val="single" w:sz="4" w:space="0" w:color="auto"/>
              <w:bottom w:val="single" w:sz="4" w:space="0" w:color="auto"/>
              <w:right w:val="single" w:sz="4" w:space="0" w:color="auto"/>
            </w:tcBorders>
            <w:shd w:val="clear" w:color="000000" w:fill="EBF1DE"/>
            <w:noWrap/>
            <w:vAlign w:val="bottom"/>
            <w:hideMark/>
          </w:tcPr>
          <w:p w14:paraId="6EDD01B4" w14:textId="77777777" w:rsidR="001E2A51" w:rsidRPr="007114AF" w:rsidRDefault="001E2A51" w:rsidP="001C467C">
            <w:pPr>
              <w:spacing w:after="0" w:line="240" w:lineRule="auto"/>
              <w:jc w:val="left"/>
              <w:rPr>
                <w:rFonts w:ascii="Garamond" w:eastAsia="Times New Roman" w:hAnsi="Garamond" w:cs="Times New Roman"/>
                <w:color w:val="000000"/>
                <w:sz w:val="18"/>
                <w:szCs w:val="18"/>
                <w:lang w:eastAsia="en-US"/>
              </w:rPr>
            </w:pPr>
            <w:r w:rsidRPr="007114AF">
              <w:rPr>
                <w:rFonts w:ascii="Garamond" w:eastAsia="Times New Roman" w:hAnsi="Garamond" w:cs="Times New Roman"/>
                <w:color w:val="000000"/>
                <w:sz w:val="18"/>
                <w:szCs w:val="18"/>
                <w:lang w:eastAsia="en-US"/>
              </w:rPr>
              <w:t>Bujqesia</w:t>
            </w:r>
          </w:p>
        </w:tc>
        <w:tc>
          <w:tcPr>
            <w:tcW w:w="1202" w:type="pct"/>
            <w:tcBorders>
              <w:top w:val="nil"/>
              <w:left w:val="nil"/>
              <w:bottom w:val="nil"/>
              <w:right w:val="nil"/>
            </w:tcBorders>
            <w:shd w:val="clear" w:color="auto" w:fill="auto"/>
            <w:noWrap/>
            <w:vAlign w:val="bottom"/>
            <w:hideMark/>
          </w:tcPr>
          <w:p w14:paraId="6EDD01B5" w14:textId="27470BD6" w:rsidR="001E2A51" w:rsidRPr="007114AF" w:rsidRDefault="008D30FC" w:rsidP="001C467C">
            <w:pPr>
              <w:spacing w:after="0" w:line="240" w:lineRule="auto"/>
              <w:jc w:val="left"/>
              <w:rPr>
                <w:rFonts w:ascii="Garamond" w:eastAsia="Times New Roman" w:hAnsi="Garamond" w:cs="Times New Roman"/>
                <w:color w:val="000000"/>
                <w:sz w:val="18"/>
                <w:szCs w:val="18"/>
                <w:lang w:eastAsia="en-US"/>
              </w:rPr>
            </w:pPr>
            <w:r w:rsidRPr="007114AF">
              <w:rPr>
                <w:rFonts w:ascii="Garamond" w:eastAsia="Times New Roman" w:hAnsi="Garamond" w:cs="Times New Roman"/>
                <w:color w:val="000000"/>
                <w:sz w:val="18"/>
                <w:szCs w:val="18"/>
                <w:lang w:eastAsia="en-US"/>
              </w:rPr>
              <w:t xml:space="preserve">          </w:t>
            </w:r>
            <w:r w:rsidR="001E2A51" w:rsidRPr="007114AF">
              <w:rPr>
                <w:rFonts w:ascii="Garamond" w:eastAsia="Times New Roman" w:hAnsi="Garamond" w:cs="Times New Roman"/>
                <w:color w:val="000000"/>
                <w:sz w:val="18"/>
                <w:szCs w:val="18"/>
                <w:lang w:eastAsia="en-US"/>
              </w:rPr>
              <w:t>-</w:t>
            </w:r>
            <w:r w:rsidRPr="007114AF">
              <w:rPr>
                <w:rFonts w:ascii="Garamond" w:eastAsia="Times New Roman" w:hAnsi="Garamond" w:cs="Times New Roman"/>
                <w:color w:val="000000"/>
                <w:sz w:val="18"/>
                <w:szCs w:val="18"/>
                <w:lang w:eastAsia="en-US"/>
              </w:rPr>
              <w:t xml:space="preserve"> </w:t>
            </w:r>
          </w:p>
        </w:tc>
        <w:tc>
          <w:tcPr>
            <w:tcW w:w="1262" w:type="pct"/>
            <w:tcBorders>
              <w:top w:val="nil"/>
              <w:left w:val="nil"/>
              <w:bottom w:val="nil"/>
              <w:right w:val="nil"/>
            </w:tcBorders>
            <w:shd w:val="clear" w:color="auto" w:fill="auto"/>
            <w:noWrap/>
            <w:vAlign w:val="bottom"/>
            <w:hideMark/>
          </w:tcPr>
          <w:p w14:paraId="6EDD01B6" w14:textId="62254CBB" w:rsidR="001E2A51" w:rsidRPr="007114AF" w:rsidRDefault="008D30FC" w:rsidP="001C467C">
            <w:pPr>
              <w:spacing w:after="0" w:line="240" w:lineRule="auto"/>
              <w:jc w:val="left"/>
              <w:rPr>
                <w:rFonts w:ascii="Garamond" w:eastAsia="Times New Roman" w:hAnsi="Garamond" w:cs="Times New Roman"/>
                <w:color w:val="000000"/>
                <w:sz w:val="18"/>
                <w:szCs w:val="18"/>
                <w:lang w:eastAsia="en-US"/>
              </w:rPr>
            </w:pPr>
            <w:r w:rsidRPr="007114AF">
              <w:rPr>
                <w:rFonts w:ascii="Garamond" w:eastAsia="Times New Roman" w:hAnsi="Garamond" w:cs="Times New Roman"/>
                <w:color w:val="000000"/>
                <w:sz w:val="18"/>
                <w:szCs w:val="18"/>
                <w:lang w:eastAsia="en-US"/>
              </w:rPr>
              <w:t xml:space="preserve">            </w:t>
            </w:r>
            <w:r w:rsidR="001E2A51" w:rsidRPr="007114AF">
              <w:rPr>
                <w:rFonts w:ascii="Garamond" w:eastAsia="Times New Roman" w:hAnsi="Garamond" w:cs="Times New Roman"/>
                <w:color w:val="000000"/>
                <w:sz w:val="18"/>
                <w:szCs w:val="18"/>
                <w:lang w:eastAsia="en-US"/>
              </w:rPr>
              <w:t>-</w:t>
            </w:r>
            <w:r w:rsidRPr="007114AF">
              <w:rPr>
                <w:rFonts w:ascii="Garamond" w:eastAsia="Times New Roman" w:hAnsi="Garamond" w:cs="Times New Roman"/>
                <w:color w:val="000000"/>
                <w:sz w:val="18"/>
                <w:szCs w:val="18"/>
                <w:lang w:eastAsia="en-US"/>
              </w:rPr>
              <w:t xml:space="preserve"> </w:t>
            </w:r>
          </w:p>
        </w:tc>
        <w:tc>
          <w:tcPr>
            <w:tcW w:w="710" w:type="pct"/>
            <w:tcBorders>
              <w:top w:val="nil"/>
              <w:left w:val="nil"/>
              <w:bottom w:val="nil"/>
              <w:right w:val="nil"/>
            </w:tcBorders>
            <w:shd w:val="clear" w:color="auto" w:fill="auto"/>
            <w:noWrap/>
            <w:vAlign w:val="bottom"/>
            <w:hideMark/>
          </w:tcPr>
          <w:p w14:paraId="6EDD01B7" w14:textId="54DAC8B9" w:rsidR="001E2A51" w:rsidRPr="007114AF" w:rsidRDefault="008D30FC" w:rsidP="001C467C">
            <w:pPr>
              <w:spacing w:after="0" w:line="240" w:lineRule="auto"/>
              <w:jc w:val="left"/>
              <w:rPr>
                <w:rFonts w:ascii="Garamond" w:eastAsia="Times New Roman" w:hAnsi="Garamond" w:cs="Times New Roman"/>
                <w:color w:val="000000"/>
                <w:sz w:val="18"/>
                <w:szCs w:val="18"/>
                <w:lang w:eastAsia="en-US"/>
              </w:rPr>
            </w:pPr>
            <w:r w:rsidRPr="007114AF">
              <w:rPr>
                <w:rFonts w:ascii="Garamond" w:eastAsia="Times New Roman" w:hAnsi="Garamond" w:cs="Times New Roman"/>
                <w:color w:val="000000"/>
                <w:sz w:val="18"/>
                <w:szCs w:val="18"/>
                <w:lang w:eastAsia="en-US"/>
              </w:rPr>
              <w:t xml:space="preserve">      </w:t>
            </w:r>
            <w:r w:rsidR="001E2A51" w:rsidRPr="007114AF">
              <w:rPr>
                <w:rFonts w:ascii="Garamond" w:eastAsia="Times New Roman" w:hAnsi="Garamond" w:cs="Times New Roman"/>
                <w:color w:val="000000"/>
                <w:sz w:val="18"/>
                <w:szCs w:val="18"/>
                <w:lang w:eastAsia="en-US"/>
              </w:rPr>
              <w:t xml:space="preserve"> -</w:t>
            </w:r>
            <w:r w:rsidRPr="007114AF">
              <w:rPr>
                <w:rFonts w:ascii="Garamond" w:eastAsia="Times New Roman" w:hAnsi="Garamond" w:cs="Times New Roman"/>
                <w:color w:val="000000"/>
                <w:sz w:val="18"/>
                <w:szCs w:val="18"/>
                <w:lang w:eastAsia="en-US"/>
              </w:rPr>
              <w:t xml:space="preserve"> </w:t>
            </w:r>
          </w:p>
        </w:tc>
        <w:tc>
          <w:tcPr>
            <w:tcW w:w="1192" w:type="pct"/>
            <w:tcBorders>
              <w:top w:val="nil"/>
              <w:left w:val="single" w:sz="4" w:space="0" w:color="auto"/>
              <w:bottom w:val="single" w:sz="4" w:space="0" w:color="auto"/>
              <w:right w:val="single" w:sz="4" w:space="0" w:color="auto"/>
            </w:tcBorders>
            <w:shd w:val="clear" w:color="000000" w:fill="EBF1DE"/>
            <w:noWrap/>
            <w:vAlign w:val="bottom"/>
            <w:hideMark/>
          </w:tcPr>
          <w:p w14:paraId="6EDD01B8" w14:textId="1227693B" w:rsidR="001E2A51" w:rsidRPr="007114AF" w:rsidRDefault="008D30FC" w:rsidP="001C467C">
            <w:pPr>
              <w:spacing w:after="0" w:line="240" w:lineRule="auto"/>
              <w:jc w:val="center"/>
              <w:rPr>
                <w:rFonts w:ascii="Garamond" w:eastAsia="Times New Roman" w:hAnsi="Garamond" w:cs="Times New Roman"/>
                <w:color w:val="000000"/>
                <w:sz w:val="18"/>
                <w:szCs w:val="18"/>
                <w:lang w:eastAsia="en-US"/>
              </w:rPr>
            </w:pPr>
            <w:r w:rsidRPr="007114AF">
              <w:rPr>
                <w:rFonts w:ascii="Garamond" w:eastAsia="Times New Roman" w:hAnsi="Garamond" w:cs="Times New Roman"/>
                <w:color w:val="000000"/>
                <w:sz w:val="18"/>
                <w:szCs w:val="18"/>
                <w:lang w:eastAsia="en-US"/>
              </w:rPr>
              <w:t xml:space="preserve">           </w:t>
            </w:r>
            <w:r w:rsidR="001E2A51" w:rsidRPr="007114AF">
              <w:rPr>
                <w:rFonts w:ascii="Garamond" w:eastAsia="Times New Roman" w:hAnsi="Garamond" w:cs="Times New Roman"/>
                <w:color w:val="000000"/>
                <w:sz w:val="18"/>
                <w:szCs w:val="18"/>
                <w:lang w:eastAsia="en-US"/>
              </w:rPr>
              <w:t xml:space="preserve"> -</w:t>
            </w:r>
            <w:r w:rsidRPr="007114AF">
              <w:rPr>
                <w:rFonts w:ascii="Garamond" w:eastAsia="Times New Roman" w:hAnsi="Garamond" w:cs="Times New Roman"/>
                <w:color w:val="000000"/>
                <w:sz w:val="18"/>
                <w:szCs w:val="18"/>
                <w:lang w:eastAsia="en-US"/>
              </w:rPr>
              <w:t xml:space="preserve"> </w:t>
            </w:r>
          </w:p>
        </w:tc>
      </w:tr>
      <w:tr w:rsidR="001E2A51" w:rsidRPr="007114AF" w14:paraId="6EDD01BF" w14:textId="77777777" w:rsidTr="00A45C8C">
        <w:trPr>
          <w:trHeight w:val="300"/>
        </w:trPr>
        <w:tc>
          <w:tcPr>
            <w:tcW w:w="634" w:type="pct"/>
            <w:tcBorders>
              <w:top w:val="nil"/>
              <w:left w:val="single" w:sz="4" w:space="0" w:color="auto"/>
              <w:bottom w:val="single" w:sz="4" w:space="0" w:color="auto"/>
              <w:right w:val="single" w:sz="4" w:space="0" w:color="auto"/>
            </w:tcBorders>
            <w:shd w:val="clear" w:color="000000" w:fill="EBF1DE"/>
            <w:noWrap/>
            <w:vAlign w:val="bottom"/>
            <w:hideMark/>
          </w:tcPr>
          <w:p w14:paraId="6EDD01BA" w14:textId="77777777" w:rsidR="001E2A51" w:rsidRPr="007114AF" w:rsidRDefault="001E2A51" w:rsidP="001C467C">
            <w:pPr>
              <w:spacing w:after="0" w:line="240" w:lineRule="auto"/>
              <w:jc w:val="left"/>
              <w:rPr>
                <w:rFonts w:ascii="Garamond" w:eastAsia="Times New Roman" w:hAnsi="Garamond" w:cs="Times New Roman"/>
                <w:color w:val="000000"/>
                <w:sz w:val="18"/>
                <w:szCs w:val="18"/>
                <w:lang w:eastAsia="en-US"/>
              </w:rPr>
            </w:pPr>
            <w:r w:rsidRPr="007114AF">
              <w:rPr>
                <w:rFonts w:ascii="Garamond" w:eastAsia="Times New Roman" w:hAnsi="Garamond" w:cs="Times New Roman"/>
                <w:color w:val="000000"/>
                <w:sz w:val="18"/>
                <w:szCs w:val="18"/>
                <w:lang w:eastAsia="en-US"/>
              </w:rPr>
              <w:t>Toka+Pyjet</w:t>
            </w:r>
          </w:p>
        </w:tc>
        <w:tc>
          <w:tcPr>
            <w:tcW w:w="1202" w:type="pct"/>
            <w:tcBorders>
              <w:top w:val="nil"/>
              <w:left w:val="nil"/>
              <w:bottom w:val="nil"/>
              <w:right w:val="nil"/>
            </w:tcBorders>
            <w:shd w:val="clear" w:color="auto" w:fill="auto"/>
            <w:noWrap/>
            <w:vAlign w:val="bottom"/>
            <w:hideMark/>
          </w:tcPr>
          <w:p w14:paraId="6EDD01BB" w14:textId="24841878" w:rsidR="001E2A51" w:rsidRPr="007114AF" w:rsidRDefault="008D30FC" w:rsidP="001C467C">
            <w:pPr>
              <w:spacing w:after="0" w:line="240" w:lineRule="auto"/>
              <w:jc w:val="left"/>
              <w:rPr>
                <w:rFonts w:ascii="Garamond" w:eastAsia="Times New Roman" w:hAnsi="Garamond" w:cs="Times New Roman"/>
                <w:color w:val="000000"/>
                <w:sz w:val="18"/>
                <w:szCs w:val="18"/>
                <w:lang w:eastAsia="en-US"/>
              </w:rPr>
            </w:pPr>
            <w:r w:rsidRPr="007114AF">
              <w:rPr>
                <w:rFonts w:ascii="Garamond" w:eastAsia="Times New Roman" w:hAnsi="Garamond" w:cs="Times New Roman"/>
                <w:color w:val="000000"/>
                <w:sz w:val="18"/>
                <w:szCs w:val="18"/>
                <w:lang w:eastAsia="en-US"/>
              </w:rPr>
              <w:t xml:space="preserve">          </w:t>
            </w:r>
            <w:r w:rsidR="001E2A51" w:rsidRPr="007114AF">
              <w:rPr>
                <w:rFonts w:ascii="Garamond" w:eastAsia="Times New Roman" w:hAnsi="Garamond" w:cs="Times New Roman"/>
                <w:color w:val="000000"/>
                <w:sz w:val="18"/>
                <w:szCs w:val="18"/>
                <w:lang w:eastAsia="en-US"/>
              </w:rPr>
              <w:t>-</w:t>
            </w:r>
            <w:r w:rsidRPr="007114AF">
              <w:rPr>
                <w:rFonts w:ascii="Garamond" w:eastAsia="Times New Roman" w:hAnsi="Garamond" w:cs="Times New Roman"/>
                <w:color w:val="000000"/>
                <w:sz w:val="18"/>
                <w:szCs w:val="18"/>
                <w:lang w:eastAsia="en-US"/>
              </w:rPr>
              <w:t xml:space="preserve"> </w:t>
            </w:r>
          </w:p>
        </w:tc>
        <w:tc>
          <w:tcPr>
            <w:tcW w:w="1262" w:type="pct"/>
            <w:tcBorders>
              <w:top w:val="nil"/>
              <w:left w:val="nil"/>
              <w:bottom w:val="nil"/>
              <w:right w:val="nil"/>
            </w:tcBorders>
            <w:shd w:val="clear" w:color="auto" w:fill="auto"/>
            <w:noWrap/>
            <w:vAlign w:val="bottom"/>
            <w:hideMark/>
          </w:tcPr>
          <w:p w14:paraId="6EDD01BC" w14:textId="7A9461BE" w:rsidR="001E2A51" w:rsidRPr="007114AF" w:rsidRDefault="008D30FC" w:rsidP="001C467C">
            <w:pPr>
              <w:spacing w:after="0" w:line="240" w:lineRule="auto"/>
              <w:jc w:val="left"/>
              <w:rPr>
                <w:rFonts w:ascii="Garamond" w:eastAsia="Times New Roman" w:hAnsi="Garamond" w:cs="Times New Roman"/>
                <w:color w:val="000000"/>
                <w:sz w:val="18"/>
                <w:szCs w:val="18"/>
                <w:lang w:eastAsia="en-US"/>
              </w:rPr>
            </w:pPr>
            <w:r w:rsidRPr="007114AF">
              <w:rPr>
                <w:rFonts w:ascii="Garamond" w:eastAsia="Times New Roman" w:hAnsi="Garamond" w:cs="Times New Roman"/>
                <w:color w:val="000000"/>
                <w:sz w:val="18"/>
                <w:szCs w:val="18"/>
                <w:lang w:eastAsia="en-US"/>
              </w:rPr>
              <w:t xml:space="preserve">            </w:t>
            </w:r>
            <w:r w:rsidR="001E2A51" w:rsidRPr="007114AF">
              <w:rPr>
                <w:rFonts w:ascii="Garamond" w:eastAsia="Times New Roman" w:hAnsi="Garamond" w:cs="Times New Roman"/>
                <w:color w:val="000000"/>
                <w:sz w:val="18"/>
                <w:szCs w:val="18"/>
                <w:lang w:eastAsia="en-US"/>
              </w:rPr>
              <w:t>-</w:t>
            </w:r>
            <w:r w:rsidRPr="007114AF">
              <w:rPr>
                <w:rFonts w:ascii="Garamond" w:eastAsia="Times New Roman" w:hAnsi="Garamond" w:cs="Times New Roman"/>
                <w:color w:val="000000"/>
                <w:sz w:val="18"/>
                <w:szCs w:val="18"/>
                <w:lang w:eastAsia="en-US"/>
              </w:rPr>
              <w:t xml:space="preserve"> </w:t>
            </w:r>
          </w:p>
        </w:tc>
        <w:tc>
          <w:tcPr>
            <w:tcW w:w="710" w:type="pct"/>
            <w:tcBorders>
              <w:top w:val="nil"/>
              <w:left w:val="nil"/>
              <w:bottom w:val="nil"/>
              <w:right w:val="nil"/>
            </w:tcBorders>
            <w:shd w:val="clear" w:color="auto" w:fill="auto"/>
            <w:noWrap/>
            <w:vAlign w:val="bottom"/>
            <w:hideMark/>
          </w:tcPr>
          <w:p w14:paraId="6EDD01BD" w14:textId="70C8F5A5" w:rsidR="001E2A51" w:rsidRPr="007114AF" w:rsidRDefault="008D30FC" w:rsidP="001C467C">
            <w:pPr>
              <w:spacing w:after="0" w:line="240" w:lineRule="auto"/>
              <w:jc w:val="left"/>
              <w:rPr>
                <w:rFonts w:ascii="Garamond" w:eastAsia="Times New Roman" w:hAnsi="Garamond" w:cs="Times New Roman"/>
                <w:color w:val="000000"/>
                <w:sz w:val="18"/>
                <w:szCs w:val="18"/>
                <w:lang w:eastAsia="en-US"/>
              </w:rPr>
            </w:pPr>
            <w:r w:rsidRPr="007114AF">
              <w:rPr>
                <w:rFonts w:ascii="Garamond" w:eastAsia="Times New Roman" w:hAnsi="Garamond" w:cs="Times New Roman"/>
                <w:color w:val="000000"/>
                <w:sz w:val="18"/>
                <w:szCs w:val="18"/>
                <w:lang w:eastAsia="en-US"/>
              </w:rPr>
              <w:t xml:space="preserve">      </w:t>
            </w:r>
            <w:r w:rsidR="001E2A51" w:rsidRPr="007114AF">
              <w:rPr>
                <w:rFonts w:ascii="Garamond" w:eastAsia="Times New Roman" w:hAnsi="Garamond" w:cs="Times New Roman"/>
                <w:color w:val="000000"/>
                <w:sz w:val="18"/>
                <w:szCs w:val="18"/>
                <w:lang w:eastAsia="en-US"/>
              </w:rPr>
              <w:t xml:space="preserve"> -</w:t>
            </w:r>
            <w:r w:rsidRPr="007114AF">
              <w:rPr>
                <w:rFonts w:ascii="Garamond" w:eastAsia="Times New Roman" w:hAnsi="Garamond" w:cs="Times New Roman"/>
                <w:color w:val="000000"/>
                <w:sz w:val="18"/>
                <w:szCs w:val="18"/>
                <w:lang w:eastAsia="en-US"/>
              </w:rPr>
              <w:t xml:space="preserve"> </w:t>
            </w:r>
          </w:p>
        </w:tc>
        <w:tc>
          <w:tcPr>
            <w:tcW w:w="1192" w:type="pct"/>
            <w:tcBorders>
              <w:top w:val="nil"/>
              <w:left w:val="single" w:sz="4" w:space="0" w:color="auto"/>
              <w:bottom w:val="single" w:sz="4" w:space="0" w:color="auto"/>
              <w:right w:val="single" w:sz="4" w:space="0" w:color="auto"/>
            </w:tcBorders>
            <w:shd w:val="clear" w:color="000000" w:fill="EBF1DE"/>
            <w:noWrap/>
            <w:vAlign w:val="bottom"/>
            <w:hideMark/>
          </w:tcPr>
          <w:p w14:paraId="6EDD01BE" w14:textId="60A0752D" w:rsidR="001E2A51" w:rsidRPr="007114AF" w:rsidRDefault="008D30FC" w:rsidP="001C467C">
            <w:pPr>
              <w:spacing w:after="0" w:line="240" w:lineRule="auto"/>
              <w:jc w:val="center"/>
              <w:rPr>
                <w:rFonts w:ascii="Garamond" w:eastAsia="Times New Roman" w:hAnsi="Garamond" w:cs="Times New Roman"/>
                <w:color w:val="000000"/>
                <w:sz w:val="18"/>
                <w:szCs w:val="18"/>
                <w:lang w:eastAsia="en-US"/>
              </w:rPr>
            </w:pPr>
            <w:r w:rsidRPr="007114AF">
              <w:rPr>
                <w:rFonts w:ascii="Garamond" w:eastAsia="Times New Roman" w:hAnsi="Garamond" w:cs="Times New Roman"/>
                <w:color w:val="000000"/>
                <w:sz w:val="18"/>
                <w:szCs w:val="18"/>
                <w:lang w:eastAsia="en-US"/>
              </w:rPr>
              <w:t xml:space="preserve">           </w:t>
            </w:r>
            <w:r w:rsidR="001E2A51" w:rsidRPr="007114AF">
              <w:rPr>
                <w:rFonts w:ascii="Garamond" w:eastAsia="Times New Roman" w:hAnsi="Garamond" w:cs="Times New Roman"/>
                <w:color w:val="000000"/>
                <w:sz w:val="18"/>
                <w:szCs w:val="18"/>
                <w:lang w:eastAsia="en-US"/>
              </w:rPr>
              <w:t xml:space="preserve"> -</w:t>
            </w:r>
            <w:r w:rsidRPr="007114AF">
              <w:rPr>
                <w:rFonts w:ascii="Garamond" w:eastAsia="Times New Roman" w:hAnsi="Garamond" w:cs="Times New Roman"/>
                <w:color w:val="000000"/>
                <w:sz w:val="18"/>
                <w:szCs w:val="18"/>
                <w:lang w:eastAsia="en-US"/>
              </w:rPr>
              <w:t xml:space="preserve"> </w:t>
            </w:r>
          </w:p>
        </w:tc>
      </w:tr>
      <w:tr w:rsidR="001E2A51" w:rsidRPr="007114AF" w14:paraId="6EDD01C5" w14:textId="77777777" w:rsidTr="00A45C8C">
        <w:trPr>
          <w:trHeight w:val="315"/>
        </w:trPr>
        <w:tc>
          <w:tcPr>
            <w:tcW w:w="634" w:type="pct"/>
            <w:tcBorders>
              <w:top w:val="nil"/>
              <w:left w:val="single" w:sz="4" w:space="0" w:color="auto"/>
              <w:bottom w:val="single" w:sz="4" w:space="0" w:color="auto"/>
              <w:right w:val="single" w:sz="4" w:space="0" w:color="auto"/>
            </w:tcBorders>
            <w:shd w:val="clear" w:color="000000" w:fill="EBF1DE"/>
            <w:noWrap/>
            <w:vAlign w:val="bottom"/>
            <w:hideMark/>
          </w:tcPr>
          <w:p w14:paraId="6EDD01C0" w14:textId="77777777" w:rsidR="001E2A51" w:rsidRPr="007114AF" w:rsidRDefault="001E2A51" w:rsidP="001C467C">
            <w:pPr>
              <w:spacing w:after="0" w:line="240" w:lineRule="auto"/>
              <w:jc w:val="left"/>
              <w:rPr>
                <w:rFonts w:ascii="Garamond" w:eastAsia="Times New Roman" w:hAnsi="Garamond" w:cs="Times New Roman"/>
                <w:color w:val="000000"/>
                <w:sz w:val="18"/>
                <w:szCs w:val="18"/>
                <w:lang w:eastAsia="en-US"/>
              </w:rPr>
            </w:pPr>
            <w:r w:rsidRPr="007114AF">
              <w:rPr>
                <w:rFonts w:ascii="Garamond" w:eastAsia="Times New Roman" w:hAnsi="Garamond" w:cs="Times New Roman"/>
                <w:color w:val="000000"/>
                <w:sz w:val="18"/>
                <w:szCs w:val="18"/>
                <w:lang w:eastAsia="en-US"/>
              </w:rPr>
              <w:t>Ndersektoriale</w:t>
            </w:r>
          </w:p>
        </w:tc>
        <w:tc>
          <w:tcPr>
            <w:tcW w:w="1202" w:type="pct"/>
            <w:tcBorders>
              <w:top w:val="nil"/>
              <w:left w:val="nil"/>
              <w:bottom w:val="nil"/>
              <w:right w:val="nil"/>
            </w:tcBorders>
            <w:shd w:val="clear" w:color="auto" w:fill="auto"/>
            <w:noWrap/>
            <w:vAlign w:val="bottom"/>
            <w:hideMark/>
          </w:tcPr>
          <w:p w14:paraId="6EDD01C1" w14:textId="7BC844B5" w:rsidR="001E2A51" w:rsidRPr="007114AF" w:rsidRDefault="008D30FC" w:rsidP="001C467C">
            <w:pPr>
              <w:spacing w:after="0" w:line="240" w:lineRule="auto"/>
              <w:jc w:val="left"/>
              <w:rPr>
                <w:rFonts w:ascii="Garamond" w:eastAsia="Times New Roman" w:hAnsi="Garamond" w:cs="Times New Roman"/>
                <w:color w:val="000000"/>
                <w:sz w:val="18"/>
                <w:szCs w:val="18"/>
                <w:lang w:eastAsia="en-US"/>
              </w:rPr>
            </w:pPr>
            <w:r w:rsidRPr="007114AF">
              <w:rPr>
                <w:rFonts w:ascii="Garamond" w:eastAsia="Times New Roman" w:hAnsi="Garamond" w:cs="Times New Roman"/>
                <w:color w:val="000000"/>
                <w:sz w:val="18"/>
                <w:szCs w:val="18"/>
                <w:lang w:eastAsia="en-US"/>
              </w:rPr>
              <w:t xml:space="preserve">          </w:t>
            </w:r>
            <w:r w:rsidR="001E2A51" w:rsidRPr="007114AF">
              <w:rPr>
                <w:rFonts w:ascii="Garamond" w:eastAsia="Times New Roman" w:hAnsi="Garamond" w:cs="Times New Roman"/>
                <w:color w:val="000000"/>
                <w:sz w:val="18"/>
                <w:szCs w:val="18"/>
                <w:lang w:eastAsia="en-US"/>
              </w:rPr>
              <w:t>-</w:t>
            </w:r>
            <w:r w:rsidRPr="007114AF">
              <w:rPr>
                <w:rFonts w:ascii="Garamond" w:eastAsia="Times New Roman" w:hAnsi="Garamond" w:cs="Times New Roman"/>
                <w:color w:val="000000"/>
                <w:sz w:val="18"/>
                <w:szCs w:val="18"/>
                <w:lang w:eastAsia="en-US"/>
              </w:rPr>
              <w:t xml:space="preserve"> </w:t>
            </w:r>
          </w:p>
        </w:tc>
        <w:tc>
          <w:tcPr>
            <w:tcW w:w="1262" w:type="pct"/>
            <w:tcBorders>
              <w:top w:val="nil"/>
              <w:left w:val="nil"/>
              <w:bottom w:val="nil"/>
              <w:right w:val="nil"/>
            </w:tcBorders>
            <w:shd w:val="clear" w:color="auto" w:fill="auto"/>
            <w:noWrap/>
            <w:vAlign w:val="bottom"/>
            <w:hideMark/>
          </w:tcPr>
          <w:p w14:paraId="6EDD01C2" w14:textId="575881EA" w:rsidR="001E2A51" w:rsidRPr="007114AF" w:rsidRDefault="008D30FC" w:rsidP="001C467C">
            <w:pPr>
              <w:spacing w:after="0" w:line="240" w:lineRule="auto"/>
              <w:jc w:val="left"/>
              <w:rPr>
                <w:rFonts w:ascii="Garamond" w:eastAsia="Times New Roman" w:hAnsi="Garamond" w:cs="Times New Roman"/>
                <w:color w:val="000000"/>
                <w:sz w:val="18"/>
                <w:szCs w:val="18"/>
                <w:lang w:eastAsia="en-US"/>
              </w:rPr>
            </w:pPr>
            <w:r w:rsidRPr="007114AF">
              <w:rPr>
                <w:rFonts w:ascii="Garamond" w:eastAsia="Times New Roman" w:hAnsi="Garamond" w:cs="Times New Roman"/>
                <w:color w:val="000000"/>
                <w:sz w:val="18"/>
                <w:szCs w:val="18"/>
                <w:lang w:eastAsia="en-US"/>
              </w:rPr>
              <w:t xml:space="preserve">            </w:t>
            </w:r>
            <w:r w:rsidR="001E2A51" w:rsidRPr="007114AF">
              <w:rPr>
                <w:rFonts w:ascii="Garamond" w:eastAsia="Times New Roman" w:hAnsi="Garamond" w:cs="Times New Roman"/>
                <w:color w:val="000000"/>
                <w:sz w:val="18"/>
                <w:szCs w:val="18"/>
                <w:lang w:eastAsia="en-US"/>
              </w:rPr>
              <w:t>-</w:t>
            </w:r>
            <w:r w:rsidRPr="007114AF">
              <w:rPr>
                <w:rFonts w:ascii="Garamond" w:eastAsia="Times New Roman" w:hAnsi="Garamond" w:cs="Times New Roman"/>
                <w:color w:val="000000"/>
                <w:sz w:val="18"/>
                <w:szCs w:val="18"/>
                <w:lang w:eastAsia="en-US"/>
              </w:rPr>
              <w:t xml:space="preserve"> </w:t>
            </w:r>
          </w:p>
        </w:tc>
        <w:tc>
          <w:tcPr>
            <w:tcW w:w="710" w:type="pct"/>
            <w:tcBorders>
              <w:top w:val="nil"/>
              <w:left w:val="nil"/>
              <w:bottom w:val="nil"/>
              <w:right w:val="nil"/>
            </w:tcBorders>
            <w:shd w:val="clear" w:color="auto" w:fill="auto"/>
            <w:noWrap/>
            <w:vAlign w:val="bottom"/>
            <w:hideMark/>
          </w:tcPr>
          <w:p w14:paraId="6EDD01C3" w14:textId="1A862CB7" w:rsidR="001E2A51" w:rsidRPr="007114AF" w:rsidRDefault="008D30FC" w:rsidP="001C467C">
            <w:pPr>
              <w:spacing w:after="0" w:line="240" w:lineRule="auto"/>
              <w:jc w:val="left"/>
              <w:rPr>
                <w:rFonts w:ascii="Garamond" w:eastAsia="Times New Roman" w:hAnsi="Garamond" w:cs="Times New Roman"/>
                <w:color w:val="000000"/>
                <w:sz w:val="18"/>
                <w:szCs w:val="18"/>
                <w:lang w:eastAsia="en-US"/>
              </w:rPr>
            </w:pPr>
            <w:r w:rsidRPr="007114AF">
              <w:rPr>
                <w:rFonts w:ascii="Garamond" w:eastAsia="Times New Roman" w:hAnsi="Garamond" w:cs="Times New Roman"/>
                <w:color w:val="000000"/>
                <w:sz w:val="18"/>
                <w:szCs w:val="18"/>
                <w:lang w:eastAsia="en-US"/>
              </w:rPr>
              <w:t xml:space="preserve">      </w:t>
            </w:r>
            <w:r w:rsidR="001E2A51" w:rsidRPr="007114AF">
              <w:rPr>
                <w:rFonts w:ascii="Garamond" w:eastAsia="Times New Roman" w:hAnsi="Garamond" w:cs="Times New Roman"/>
                <w:color w:val="000000"/>
                <w:sz w:val="18"/>
                <w:szCs w:val="18"/>
                <w:lang w:eastAsia="en-US"/>
              </w:rPr>
              <w:t xml:space="preserve"> -</w:t>
            </w:r>
            <w:r w:rsidRPr="007114AF">
              <w:rPr>
                <w:rFonts w:ascii="Garamond" w:eastAsia="Times New Roman" w:hAnsi="Garamond" w:cs="Times New Roman"/>
                <w:color w:val="000000"/>
                <w:sz w:val="18"/>
                <w:szCs w:val="18"/>
                <w:lang w:eastAsia="en-US"/>
              </w:rPr>
              <w:t xml:space="preserve"> </w:t>
            </w:r>
          </w:p>
        </w:tc>
        <w:tc>
          <w:tcPr>
            <w:tcW w:w="1192" w:type="pct"/>
            <w:tcBorders>
              <w:top w:val="nil"/>
              <w:left w:val="single" w:sz="4" w:space="0" w:color="auto"/>
              <w:bottom w:val="nil"/>
              <w:right w:val="single" w:sz="4" w:space="0" w:color="auto"/>
            </w:tcBorders>
            <w:shd w:val="clear" w:color="000000" w:fill="EBF1DE"/>
            <w:noWrap/>
            <w:vAlign w:val="bottom"/>
            <w:hideMark/>
          </w:tcPr>
          <w:p w14:paraId="6EDD01C4" w14:textId="77777777" w:rsidR="001E2A51" w:rsidRPr="007114AF" w:rsidRDefault="001E2A51" w:rsidP="001C467C">
            <w:pPr>
              <w:spacing w:after="0" w:line="240" w:lineRule="auto"/>
              <w:jc w:val="center"/>
              <w:rPr>
                <w:rFonts w:ascii="Garamond" w:eastAsia="Times New Roman" w:hAnsi="Garamond" w:cs="Times New Roman"/>
                <w:color w:val="000000"/>
                <w:sz w:val="18"/>
                <w:szCs w:val="18"/>
                <w:lang w:eastAsia="en-US"/>
              </w:rPr>
            </w:pPr>
            <w:r w:rsidRPr="007114AF">
              <w:rPr>
                <w:rFonts w:ascii="Garamond" w:eastAsia="Times New Roman" w:hAnsi="Garamond" w:cs="Times New Roman"/>
                <w:color w:val="000000"/>
                <w:sz w:val="18"/>
                <w:szCs w:val="18"/>
                <w:lang w:eastAsia="en-US"/>
              </w:rPr>
              <w:t> </w:t>
            </w:r>
          </w:p>
        </w:tc>
      </w:tr>
      <w:tr w:rsidR="001E2A51" w:rsidRPr="007114AF" w14:paraId="6EDD01CB" w14:textId="77777777" w:rsidTr="00A45C8C">
        <w:trPr>
          <w:trHeight w:val="315"/>
        </w:trPr>
        <w:tc>
          <w:tcPr>
            <w:tcW w:w="634" w:type="pct"/>
            <w:tcBorders>
              <w:top w:val="nil"/>
              <w:left w:val="single" w:sz="8" w:space="0" w:color="auto"/>
              <w:bottom w:val="single" w:sz="8" w:space="0" w:color="auto"/>
              <w:right w:val="single" w:sz="4" w:space="0" w:color="auto"/>
            </w:tcBorders>
            <w:shd w:val="clear" w:color="000000" w:fill="EBF1DE"/>
            <w:noWrap/>
            <w:vAlign w:val="bottom"/>
            <w:hideMark/>
          </w:tcPr>
          <w:p w14:paraId="6EDD01C6" w14:textId="77777777" w:rsidR="001E2A51" w:rsidRPr="007114AF" w:rsidRDefault="001E2A51" w:rsidP="001C467C">
            <w:pPr>
              <w:spacing w:after="0" w:line="240" w:lineRule="auto"/>
              <w:jc w:val="left"/>
              <w:rPr>
                <w:rFonts w:ascii="Garamond" w:eastAsia="Times New Roman" w:hAnsi="Garamond" w:cs="Times New Roman"/>
                <w:color w:val="000000"/>
                <w:sz w:val="18"/>
                <w:szCs w:val="18"/>
                <w:lang w:eastAsia="en-US"/>
              </w:rPr>
            </w:pPr>
            <w:r w:rsidRPr="007114AF">
              <w:rPr>
                <w:rFonts w:ascii="Garamond" w:eastAsia="Times New Roman" w:hAnsi="Garamond" w:cs="Times New Roman"/>
                <w:color w:val="000000"/>
                <w:sz w:val="18"/>
                <w:szCs w:val="18"/>
                <w:lang w:eastAsia="en-US"/>
              </w:rPr>
              <w:t>Total</w:t>
            </w:r>
          </w:p>
        </w:tc>
        <w:tc>
          <w:tcPr>
            <w:tcW w:w="1202" w:type="pct"/>
            <w:tcBorders>
              <w:top w:val="single" w:sz="8" w:space="0" w:color="auto"/>
              <w:left w:val="nil"/>
              <w:bottom w:val="single" w:sz="8" w:space="0" w:color="auto"/>
              <w:right w:val="single" w:sz="4" w:space="0" w:color="auto"/>
            </w:tcBorders>
            <w:shd w:val="clear" w:color="000000" w:fill="EBF1DE"/>
            <w:noWrap/>
            <w:vAlign w:val="bottom"/>
            <w:hideMark/>
          </w:tcPr>
          <w:p w14:paraId="6EDD01C7" w14:textId="1E03B21A" w:rsidR="001E2A51" w:rsidRPr="007114AF" w:rsidRDefault="008D30FC" w:rsidP="001C467C">
            <w:pPr>
              <w:spacing w:after="0" w:line="240" w:lineRule="auto"/>
              <w:jc w:val="center"/>
              <w:rPr>
                <w:rFonts w:ascii="Garamond" w:eastAsia="Times New Roman" w:hAnsi="Garamond" w:cs="Times New Roman"/>
                <w:color w:val="000000"/>
                <w:sz w:val="18"/>
                <w:szCs w:val="18"/>
                <w:lang w:eastAsia="en-US"/>
              </w:rPr>
            </w:pPr>
            <w:r w:rsidRPr="007114AF">
              <w:rPr>
                <w:rFonts w:ascii="Garamond" w:eastAsia="Times New Roman" w:hAnsi="Garamond" w:cs="Times New Roman"/>
                <w:color w:val="000000"/>
                <w:sz w:val="18"/>
                <w:szCs w:val="18"/>
                <w:lang w:eastAsia="en-US"/>
              </w:rPr>
              <w:t xml:space="preserve">      </w:t>
            </w:r>
            <w:r w:rsidR="001E2A51" w:rsidRPr="007114AF">
              <w:rPr>
                <w:rFonts w:ascii="Garamond" w:eastAsia="Times New Roman" w:hAnsi="Garamond" w:cs="Times New Roman"/>
                <w:color w:val="000000"/>
                <w:sz w:val="18"/>
                <w:szCs w:val="18"/>
                <w:lang w:eastAsia="en-US"/>
              </w:rPr>
              <w:t xml:space="preserve"> 1,127,200 </w:t>
            </w:r>
          </w:p>
        </w:tc>
        <w:tc>
          <w:tcPr>
            <w:tcW w:w="1262" w:type="pct"/>
            <w:tcBorders>
              <w:top w:val="single" w:sz="8" w:space="0" w:color="auto"/>
              <w:left w:val="nil"/>
              <w:bottom w:val="single" w:sz="8" w:space="0" w:color="auto"/>
              <w:right w:val="single" w:sz="4" w:space="0" w:color="auto"/>
            </w:tcBorders>
            <w:shd w:val="clear" w:color="000000" w:fill="EBF1DE"/>
            <w:noWrap/>
            <w:vAlign w:val="bottom"/>
            <w:hideMark/>
          </w:tcPr>
          <w:p w14:paraId="6EDD01C8" w14:textId="19FEF4A6" w:rsidR="001E2A51" w:rsidRPr="007114AF" w:rsidRDefault="008D30FC" w:rsidP="001C467C">
            <w:pPr>
              <w:spacing w:after="0" w:line="240" w:lineRule="auto"/>
              <w:jc w:val="center"/>
              <w:rPr>
                <w:rFonts w:ascii="Garamond" w:eastAsia="Times New Roman" w:hAnsi="Garamond" w:cs="Times New Roman"/>
                <w:color w:val="000000"/>
                <w:sz w:val="18"/>
                <w:szCs w:val="18"/>
                <w:lang w:eastAsia="en-US"/>
              </w:rPr>
            </w:pPr>
            <w:r w:rsidRPr="007114AF">
              <w:rPr>
                <w:rFonts w:ascii="Garamond" w:eastAsia="Times New Roman" w:hAnsi="Garamond" w:cs="Times New Roman"/>
                <w:color w:val="000000"/>
                <w:sz w:val="18"/>
                <w:szCs w:val="18"/>
                <w:lang w:eastAsia="en-US"/>
              </w:rPr>
              <w:t xml:space="preserve">        </w:t>
            </w:r>
            <w:r w:rsidR="001E2A51" w:rsidRPr="007114AF">
              <w:rPr>
                <w:rFonts w:ascii="Garamond" w:eastAsia="Times New Roman" w:hAnsi="Garamond" w:cs="Times New Roman"/>
                <w:color w:val="000000"/>
                <w:sz w:val="18"/>
                <w:szCs w:val="18"/>
                <w:lang w:eastAsia="en-US"/>
              </w:rPr>
              <w:t xml:space="preserve"> 5,205,120 </w:t>
            </w:r>
          </w:p>
        </w:tc>
        <w:tc>
          <w:tcPr>
            <w:tcW w:w="710" w:type="pct"/>
            <w:tcBorders>
              <w:top w:val="single" w:sz="8" w:space="0" w:color="auto"/>
              <w:left w:val="nil"/>
              <w:bottom w:val="single" w:sz="8" w:space="0" w:color="auto"/>
              <w:right w:val="single" w:sz="4" w:space="0" w:color="auto"/>
            </w:tcBorders>
            <w:shd w:val="clear" w:color="000000" w:fill="EBF1DE"/>
            <w:noWrap/>
            <w:vAlign w:val="bottom"/>
            <w:hideMark/>
          </w:tcPr>
          <w:p w14:paraId="6EDD01C9" w14:textId="0146A948" w:rsidR="001E2A51" w:rsidRPr="007114AF" w:rsidRDefault="008D30FC" w:rsidP="001C467C">
            <w:pPr>
              <w:spacing w:after="0" w:line="240" w:lineRule="auto"/>
              <w:jc w:val="center"/>
              <w:rPr>
                <w:rFonts w:ascii="Garamond" w:eastAsia="Times New Roman" w:hAnsi="Garamond" w:cs="Times New Roman"/>
                <w:color w:val="000000"/>
                <w:sz w:val="18"/>
                <w:szCs w:val="18"/>
                <w:lang w:eastAsia="en-US"/>
              </w:rPr>
            </w:pPr>
            <w:r w:rsidRPr="007114AF">
              <w:rPr>
                <w:rFonts w:ascii="Garamond" w:eastAsia="Times New Roman" w:hAnsi="Garamond" w:cs="Times New Roman"/>
                <w:color w:val="000000"/>
                <w:sz w:val="18"/>
                <w:szCs w:val="18"/>
                <w:lang w:eastAsia="en-US"/>
              </w:rPr>
              <w:t xml:space="preserve">      </w:t>
            </w:r>
            <w:r w:rsidR="001E2A51" w:rsidRPr="007114AF">
              <w:rPr>
                <w:rFonts w:ascii="Garamond" w:eastAsia="Times New Roman" w:hAnsi="Garamond" w:cs="Times New Roman"/>
                <w:color w:val="000000"/>
                <w:sz w:val="18"/>
                <w:szCs w:val="18"/>
                <w:lang w:eastAsia="en-US"/>
              </w:rPr>
              <w:t xml:space="preserve"> -</w:t>
            </w:r>
            <w:r w:rsidRPr="007114AF">
              <w:rPr>
                <w:rFonts w:ascii="Garamond" w:eastAsia="Times New Roman" w:hAnsi="Garamond" w:cs="Times New Roman"/>
                <w:color w:val="000000"/>
                <w:sz w:val="18"/>
                <w:szCs w:val="18"/>
                <w:lang w:eastAsia="en-US"/>
              </w:rPr>
              <w:t xml:space="preserve"> </w:t>
            </w:r>
          </w:p>
        </w:tc>
        <w:tc>
          <w:tcPr>
            <w:tcW w:w="1192" w:type="pct"/>
            <w:tcBorders>
              <w:top w:val="single" w:sz="8" w:space="0" w:color="auto"/>
              <w:left w:val="nil"/>
              <w:bottom w:val="single" w:sz="8" w:space="0" w:color="auto"/>
              <w:right w:val="single" w:sz="4" w:space="0" w:color="auto"/>
            </w:tcBorders>
            <w:shd w:val="clear" w:color="000000" w:fill="EBF1DE"/>
            <w:noWrap/>
            <w:vAlign w:val="bottom"/>
            <w:hideMark/>
          </w:tcPr>
          <w:p w14:paraId="6EDD01CA" w14:textId="634883E0" w:rsidR="001E2A51" w:rsidRPr="007114AF" w:rsidRDefault="008D30FC" w:rsidP="001C467C">
            <w:pPr>
              <w:spacing w:after="0" w:line="240" w:lineRule="auto"/>
              <w:jc w:val="center"/>
              <w:rPr>
                <w:rFonts w:ascii="Garamond" w:eastAsia="Times New Roman" w:hAnsi="Garamond" w:cs="Times New Roman"/>
                <w:b/>
                <w:bCs/>
                <w:color w:val="FF0000"/>
                <w:sz w:val="18"/>
                <w:szCs w:val="18"/>
                <w:lang w:eastAsia="en-US"/>
              </w:rPr>
            </w:pPr>
            <w:r w:rsidRPr="007114AF">
              <w:rPr>
                <w:rFonts w:ascii="Garamond" w:eastAsia="Times New Roman" w:hAnsi="Garamond" w:cs="Times New Roman"/>
                <w:b/>
                <w:bCs/>
                <w:color w:val="FF0000"/>
                <w:sz w:val="18"/>
                <w:szCs w:val="18"/>
                <w:lang w:eastAsia="en-US"/>
              </w:rPr>
              <w:t xml:space="preserve">       </w:t>
            </w:r>
            <w:r w:rsidR="000A2A01" w:rsidRPr="007114AF">
              <w:rPr>
                <w:rFonts w:ascii="Garamond" w:eastAsia="Times New Roman" w:hAnsi="Garamond" w:cs="Times New Roman"/>
                <w:b/>
                <w:bCs/>
                <w:color w:val="FF0000"/>
                <w:sz w:val="18"/>
                <w:szCs w:val="18"/>
                <w:lang w:eastAsia="en-US"/>
              </w:rPr>
              <w:t xml:space="preserve"> </w:t>
            </w:r>
            <w:r w:rsidR="001E2A51" w:rsidRPr="007114AF">
              <w:rPr>
                <w:rFonts w:ascii="Garamond" w:eastAsia="Times New Roman" w:hAnsi="Garamond" w:cs="Times New Roman"/>
                <w:b/>
                <w:bCs/>
                <w:color w:val="FF0000"/>
                <w:sz w:val="18"/>
                <w:szCs w:val="18"/>
                <w:lang w:eastAsia="en-US"/>
              </w:rPr>
              <w:t xml:space="preserve">6,332,320 </w:t>
            </w:r>
          </w:p>
        </w:tc>
      </w:tr>
    </w:tbl>
    <w:p w14:paraId="6EDD01CC" w14:textId="77777777" w:rsidR="00A45C8C" w:rsidRPr="007114AF" w:rsidRDefault="00A45C8C" w:rsidP="005F61FA">
      <w:pPr>
        <w:pStyle w:val="TEKSTI"/>
      </w:pPr>
    </w:p>
    <w:p w14:paraId="6EDD01CD" w14:textId="0C4E8BAE" w:rsidR="005F61FA" w:rsidRPr="007114AF" w:rsidRDefault="005F61FA" w:rsidP="005F61FA">
      <w:pPr>
        <w:pStyle w:val="TEKSTI"/>
      </w:pPr>
      <w:r w:rsidRPr="007114AF">
        <w:t>Hendeku financiar rezulton të jetë në pjesën më të madhe në masat që do të implementohen pas vitit 2022, kostot e të cilave bazohen në dokument</w:t>
      </w:r>
      <w:r w:rsidR="00FD5AD9">
        <w:t>e</w:t>
      </w:r>
      <w:r w:rsidRPr="007114AF">
        <w:t xml:space="preserve"> ekzistues</w:t>
      </w:r>
      <w:r w:rsidR="00FD5AD9">
        <w:t>e,</w:t>
      </w:r>
      <w:r w:rsidRPr="007114AF">
        <w:t xml:space="preserve"> si</w:t>
      </w:r>
      <w:r w:rsidR="00FD5AD9">
        <w:t>:</w:t>
      </w:r>
      <w:r w:rsidRPr="007114AF">
        <w:t xml:space="preserve"> Dokumenti i Politikave Strategjike për Mbrojtjen e Biodiversitetit, Plani Kombëtar i Veprimit për Efi</w:t>
      </w:r>
      <w:r w:rsidR="00FD5AD9">
        <w:t>ci</w:t>
      </w:r>
      <w:r w:rsidRPr="007114AF">
        <w:t xml:space="preserve">encën e Energjisë etj. hendeku financiar është parashikuar të financohet pjesërisht nga buxheti i shtetit dhe pjesa tjetër nga donatorët. Ky fakt duhet të </w:t>
      </w:r>
      <w:r w:rsidR="00FD5AD9" w:rsidRPr="007114AF">
        <w:t>ndërgjegjësoj</w:t>
      </w:r>
      <w:r w:rsidRPr="007114AF">
        <w:t xml:space="preserve"> institucionet implementuese për të parashikuar fonde të mjaftueshme për implementimin e këtyre masave në dokument</w:t>
      </w:r>
      <w:r w:rsidR="00FD5AD9">
        <w:t>e</w:t>
      </w:r>
      <w:r w:rsidRPr="007114AF">
        <w:t xml:space="preserve">t e buxheteve afatmesme të viteve në vijim si dhe të angazhohen për të kërkuar financime nga donatorë të ndryshëm. </w:t>
      </w:r>
    </w:p>
    <w:p w14:paraId="6EDD01CE" w14:textId="77777777" w:rsidR="00114B84" w:rsidRPr="007114AF" w:rsidRDefault="00114B84" w:rsidP="00524E98">
      <w:pPr>
        <w:pStyle w:val="TEKSTI"/>
      </w:pPr>
    </w:p>
    <w:tbl>
      <w:tblPr>
        <w:tblW w:w="4161" w:type="pct"/>
        <w:jc w:val="center"/>
        <w:tblLook w:val="04A0" w:firstRow="1" w:lastRow="0" w:firstColumn="1" w:lastColumn="0" w:noHBand="0" w:noVBand="1"/>
      </w:tblPr>
      <w:tblGrid>
        <w:gridCol w:w="2688"/>
        <w:gridCol w:w="2299"/>
        <w:gridCol w:w="2742"/>
      </w:tblGrid>
      <w:tr w:rsidR="005F61FA" w:rsidRPr="007114AF" w14:paraId="6EDD01D4" w14:textId="77777777" w:rsidTr="005F61FA">
        <w:trPr>
          <w:trHeight w:val="300"/>
          <w:jc w:val="center"/>
        </w:trPr>
        <w:tc>
          <w:tcPr>
            <w:tcW w:w="1739" w:type="pct"/>
            <w:tcBorders>
              <w:top w:val="nil"/>
              <w:left w:val="nil"/>
              <w:bottom w:val="nil"/>
              <w:right w:val="nil"/>
            </w:tcBorders>
            <w:shd w:val="clear" w:color="000000" w:fill="EBF1DE"/>
            <w:noWrap/>
            <w:vAlign w:val="bottom"/>
            <w:hideMark/>
          </w:tcPr>
          <w:p w14:paraId="6EDD01CF" w14:textId="77777777" w:rsidR="005F61FA" w:rsidRPr="007114AF" w:rsidRDefault="005F61FA" w:rsidP="001C467C">
            <w:pPr>
              <w:spacing w:after="0" w:line="240" w:lineRule="auto"/>
              <w:jc w:val="left"/>
              <w:rPr>
                <w:rFonts w:ascii="Garamond" w:eastAsia="Times New Roman" w:hAnsi="Garamond" w:cs="Times New Roman"/>
                <w:color w:val="000000"/>
                <w:lang w:eastAsia="en-US"/>
              </w:rPr>
            </w:pPr>
            <w:r w:rsidRPr="007114AF">
              <w:rPr>
                <w:rFonts w:ascii="Garamond" w:eastAsia="Times New Roman" w:hAnsi="Garamond" w:cs="Times New Roman"/>
                <w:color w:val="000000"/>
                <w:lang w:eastAsia="en-US"/>
              </w:rPr>
              <w:t> </w:t>
            </w:r>
          </w:p>
        </w:tc>
        <w:tc>
          <w:tcPr>
            <w:tcW w:w="1487" w:type="pct"/>
            <w:tcBorders>
              <w:top w:val="nil"/>
              <w:left w:val="nil"/>
              <w:bottom w:val="nil"/>
              <w:right w:val="nil"/>
            </w:tcBorders>
            <w:shd w:val="clear" w:color="000000" w:fill="EBF1DE"/>
            <w:noWrap/>
            <w:vAlign w:val="bottom"/>
            <w:hideMark/>
          </w:tcPr>
          <w:p w14:paraId="6EDD01D0" w14:textId="002C2D18" w:rsidR="005F61FA" w:rsidRPr="007114AF" w:rsidRDefault="005F61FA" w:rsidP="001C467C">
            <w:pPr>
              <w:spacing w:after="0" w:line="240" w:lineRule="auto"/>
              <w:jc w:val="center"/>
              <w:rPr>
                <w:rFonts w:ascii="Garamond" w:eastAsia="Times New Roman" w:hAnsi="Garamond" w:cs="Times New Roman"/>
                <w:color w:val="000000"/>
                <w:lang w:eastAsia="en-US"/>
              </w:rPr>
            </w:pPr>
            <w:r w:rsidRPr="007114AF">
              <w:rPr>
                <w:rFonts w:ascii="Garamond" w:eastAsia="Times New Roman" w:hAnsi="Garamond" w:cs="Times New Roman"/>
                <w:color w:val="000000"/>
                <w:lang w:eastAsia="en-US"/>
              </w:rPr>
              <w:t>TOTALI (n</w:t>
            </w:r>
            <w:r w:rsidR="00FD5AD9">
              <w:rPr>
                <w:rFonts w:ascii="Garamond" w:eastAsia="Times New Roman" w:hAnsi="Garamond" w:cs="Times New Roman"/>
                <w:color w:val="000000"/>
                <w:lang w:eastAsia="en-US"/>
              </w:rPr>
              <w:t>ë</w:t>
            </w:r>
            <w:r w:rsidRPr="007114AF">
              <w:rPr>
                <w:rFonts w:ascii="Garamond" w:eastAsia="Times New Roman" w:hAnsi="Garamond" w:cs="Times New Roman"/>
                <w:color w:val="000000"/>
                <w:lang w:eastAsia="en-US"/>
              </w:rPr>
              <w:t xml:space="preserve"> 000 ALL)</w:t>
            </w:r>
          </w:p>
          <w:p w14:paraId="6EDD01D1" w14:textId="461ECC69" w:rsidR="005F61FA" w:rsidRPr="007114AF" w:rsidRDefault="005F61FA" w:rsidP="00A419A4">
            <w:pPr>
              <w:spacing w:after="0" w:line="240" w:lineRule="auto"/>
              <w:jc w:val="center"/>
              <w:rPr>
                <w:rFonts w:ascii="Garamond" w:eastAsia="Times New Roman" w:hAnsi="Garamond" w:cs="Times New Roman"/>
                <w:color w:val="000000"/>
                <w:lang w:eastAsia="en-US"/>
              </w:rPr>
            </w:pPr>
            <w:r w:rsidRPr="007114AF">
              <w:rPr>
                <w:rFonts w:ascii="Garamond" w:eastAsia="Times New Roman" w:hAnsi="Garamond" w:cs="Times New Roman"/>
                <w:color w:val="000000"/>
                <w:lang w:eastAsia="en-US"/>
              </w:rPr>
              <w:t xml:space="preserve">Buxheti + </w:t>
            </w:r>
            <w:r w:rsidR="00A419A4">
              <w:rPr>
                <w:rFonts w:ascii="Garamond" w:eastAsia="Times New Roman" w:hAnsi="Garamond" w:cs="Times New Roman"/>
                <w:color w:val="000000"/>
                <w:lang w:eastAsia="en-US"/>
              </w:rPr>
              <w:t>d</w:t>
            </w:r>
            <w:r w:rsidRPr="007114AF">
              <w:rPr>
                <w:rFonts w:ascii="Garamond" w:eastAsia="Times New Roman" w:hAnsi="Garamond" w:cs="Times New Roman"/>
                <w:color w:val="000000"/>
                <w:lang w:eastAsia="en-US"/>
              </w:rPr>
              <w:t>onator</w:t>
            </w:r>
            <w:r w:rsidR="00A419A4">
              <w:rPr>
                <w:rFonts w:ascii="Garamond" w:eastAsia="Times New Roman" w:hAnsi="Garamond" w:cs="Times New Roman"/>
                <w:color w:val="000000"/>
                <w:lang w:eastAsia="en-US"/>
              </w:rPr>
              <w:t>ë</w:t>
            </w:r>
          </w:p>
        </w:tc>
        <w:tc>
          <w:tcPr>
            <w:tcW w:w="1774" w:type="pct"/>
            <w:tcBorders>
              <w:top w:val="nil"/>
              <w:left w:val="nil"/>
              <w:bottom w:val="nil"/>
              <w:right w:val="nil"/>
            </w:tcBorders>
            <w:shd w:val="clear" w:color="000000" w:fill="EBF1DE"/>
            <w:noWrap/>
            <w:vAlign w:val="bottom"/>
            <w:hideMark/>
          </w:tcPr>
          <w:p w14:paraId="6EDD01D2" w14:textId="77777777" w:rsidR="005F61FA" w:rsidRPr="007114AF" w:rsidRDefault="005F61FA" w:rsidP="001C467C">
            <w:pPr>
              <w:spacing w:after="0" w:line="240" w:lineRule="auto"/>
              <w:jc w:val="center"/>
              <w:rPr>
                <w:rFonts w:ascii="Garamond" w:eastAsia="Times New Roman" w:hAnsi="Garamond" w:cs="Times New Roman"/>
                <w:color w:val="000000"/>
                <w:lang w:eastAsia="en-US"/>
              </w:rPr>
            </w:pPr>
            <w:r w:rsidRPr="007114AF">
              <w:rPr>
                <w:rFonts w:ascii="Garamond" w:eastAsia="Times New Roman" w:hAnsi="Garamond" w:cs="Times New Roman"/>
                <w:color w:val="000000"/>
                <w:lang w:eastAsia="en-US"/>
              </w:rPr>
              <w:t xml:space="preserve">Hendeku </w:t>
            </w:r>
          </w:p>
          <w:p w14:paraId="6EDD01D3" w14:textId="5191D716" w:rsidR="005F61FA" w:rsidRPr="007114AF" w:rsidRDefault="005F61FA" w:rsidP="00A419A4">
            <w:pPr>
              <w:spacing w:after="0" w:line="240" w:lineRule="auto"/>
              <w:jc w:val="center"/>
              <w:rPr>
                <w:rFonts w:ascii="Garamond" w:eastAsia="Times New Roman" w:hAnsi="Garamond" w:cs="Times New Roman"/>
                <w:color w:val="000000"/>
                <w:lang w:eastAsia="en-US"/>
              </w:rPr>
            </w:pPr>
            <w:r w:rsidRPr="007114AF">
              <w:rPr>
                <w:rFonts w:ascii="Garamond" w:eastAsia="Times New Roman" w:hAnsi="Garamond" w:cs="Times New Roman"/>
                <w:color w:val="000000"/>
                <w:lang w:eastAsia="en-US"/>
              </w:rPr>
              <w:t>(n</w:t>
            </w:r>
            <w:r w:rsidR="00A419A4">
              <w:rPr>
                <w:rFonts w:ascii="Garamond" w:eastAsia="Times New Roman" w:hAnsi="Garamond" w:cs="Times New Roman"/>
                <w:color w:val="000000"/>
                <w:lang w:eastAsia="en-US"/>
              </w:rPr>
              <w:t>ë</w:t>
            </w:r>
            <w:r w:rsidRPr="007114AF">
              <w:rPr>
                <w:rFonts w:ascii="Garamond" w:eastAsia="Times New Roman" w:hAnsi="Garamond" w:cs="Times New Roman"/>
                <w:color w:val="000000"/>
                <w:lang w:eastAsia="en-US"/>
              </w:rPr>
              <w:t xml:space="preserve"> 000 ALL)</w:t>
            </w:r>
          </w:p>
        </w:tc>
      </w:tr>
      <w:tr w:rsidR="005F61FA" w:rsidRPr="007114AF" w14:paraId="6EDD01D8" w14:textId="77777777" w:rsidTr="005F61FA">
        <w:trPr>
          <w:trHeight w:val="300"/>
          <w:jc w:val="center"/>
        </w:trPr>
        <w:tc>
          <w:tcPr>
            <w:tcW w:w="1739" w:type="pct"/>
            <w:tcBorders>
              <w:top w:val="single" w:sz="4" w:space="0" w:color="auto"/>
              <w:left w:val="single" w:sz="4" w:space="0" w:color="auto"/>
              <w:bottom w:val="single" w:sz="4" w:space="0" w:color="auto"/>
              <w:right w:val="single" w:sz="4" w:space="0" w:color="auto"/>
            </w:tcBorders>
            <w:shd w:val="clear" w:color="000000" w:fill="EBF1DE"/>
            <w:noWrap/>
            <w:vAlign w:val="bottom"/>
            <w:hideMark/>
          </w:tcPr>
          <w:p w14:paraId="6EDD01D5" w14:textId="68297FB8" w:rsidR="005F61FA" w:rsidRPr="007114AF" w:rsidRDefault="005F61FA" w:rsidP="001C467C">
            <w:pPr>
              <w:spacing w:after="0" w:line="240" w:lineRule="auto"/>
              <w:jc w:val="left"/>
              <w:rPr>
                <w:rFonts w:ascii="Garamond" w:eastAsia="Times New Roman" w:hAnsi="Garamond" w:cs="Times New Roman"/>
                <w:b/>
                <w:bCs/>
                <w:color w:val="000000"/>
                <w:lang w:eastAsia="en-US"/>
              </w:rPr>
            </w:pPr>
            <w:r w:rsidRPr="007114AF">
              <w:rPr>
                <w:rFonts w:ascii="Garamond" w:eastAsia="Times New Roman" w:hAnsi="Garamond" w:cs="Times New Roman"/>
                <w:b/>
                <w:bCs/>
                <w:color w:val="000000"/>
                <w:lang w:eastAsia="en-US"/>
              </w:rPr>
              <w:t>total</w:t>
            </w:r>
            <w:r w:rsidR="000A2A01" w:rsidRPr="007114AF">
              <w:rPr>
                <w:rFonts w:ascii="Garamond" w:eastAsia="Times New Roman" w:hAnsi="Garamond" w:cs="Times New Roman"/>
                <w:b/>
                <w:bCs/>
                <w:color w:val="000000"/>
                <w:lang w:eastAsia="en-US"/>
              </w:rPr>
              <w:t xml:space="preserve"> </w:t>
            </w:r>
            <w:r w:rsidRPr="00F2430D">
              <w:rPr>
                <w:rFonts w:ascii="Garamond" w:eastAsia="Times New Roman" w:hAnsi="Garamond" w:cs="Times New Roman"/>
                <w:b/>
                <w:bCs/>
                <w:color w:val="000000"/>
                <w:lang w:eastAsia="en-US"/>
              </w:rPr>
              <w:t>Pillars in Years</w:t>
            </w:r>
          </w:p>
        </w:tc>
        <w:tc>
          <w:tcPr>
            <w:tcW w:w="1487" w:type="pct"/>
            <w:tcBorders>
              <w:top w:val="single" w:sz="4" w:space="0" w:color="auto"/>
              <w:left w:val="nil"/>
              <w:bottom w:val="single" w:sz="4" w:space="0" w:color="auto"/>
              <w:right w:val="single" w:sz="4" w:space="0" w:color="auto"/>
            </w:tcBorders>
            <w:shd w:val="clear" w:color="000000" w:fill="EBF1DE"/>
            <w:noWrap/>
            <w:vAlign w:val="bottom"/>
            <w:hideMark/>
          </w:tcPr>
          <w:p w14:paraId="6EDD01D6" w14:textId="4358F20E" w:rsidR="005F61FA" w:rsidRPr="007114AF" w:rsidRDefault="008D30FC" w:rsidP="001C467C">
            <w:pPr>
              <w:spacing w:after="0" w:line="240" w:lineRule="auto"/>
              <w:jc w:val="center"/>
              <w:rPr>
                <w:rFonts w:ascii="Garamond" w:eastAsia="Times New Roman" w:hAnsi="Garamond" w:cs="Times New Roman"/>
                <w:b/>
                <w:bCs/>
                <w:color w:val="000000"/>
                <w:lang w:eastAsia="en-US"/>
              </w:rPr>
            </w:pPr>
            <w:r w:rsidRPr="007114AF">
              <w:rPr>
                <w:rFonts w:ascii="Garamond" w:eastAsia="Times New Roman" w:hAnsi="Garamond" w:cs="Times New Roman"/>
                <w:b/>
                <w:bCs/>
                <w:color w:val="000000"/>
                <w:lang w:eastAsia="en-US"/>
              </w:rPr>
              <w:t xml:space="preserve">     </w:t>
            </w:r>
            <w:r w:rsidR="000A2A01" w:rsidRPr="007114AF">
              <w:rPr>
                <w:rFonts w:ascii="Garamond" w:eastAsia="Times New Roman" w:hAnsi="Garamond" w:cs="Times New Roman"/>
                <w:b/>
                <w:bCs/>
                <w:color w:val="000000"/>
                <w:lang w:eastAsia="en-US"/>
              </w:rPr>
              <w:t xml:space="preserve"> </w:t>
            </w:r>
            <w:r w:rsidR="005F61FA" w:rsidRPr="007114AF">
              <w:rPr>
                <w:rFonts w:ascii="Garamond" w:eastAsia="Times New Roman" w:hAnsi="Garamond" w:cs="Times New Roman"/>
                <w:b/>
                <w:bCs/>
                <w:color w:val="000000"/>
                <w:lang w:eastAsia="en-US"/>
              </w:rPr>
              <w:t xml:space="preserve">87,616,177 </w:t>
            </w:r>
          </w:p>
        </w:tc>
        <w:tc>
          <w:tcPr>
            <w:tcW w:w="1774" w:type="pct"/>
            <w:tcBorders>
              <w:top w:val="single" w:sz="4" w:space="0" w:color="auto"/>
              <w:left w:val="nil"/>
              <w:bottom w:val="single" w:sz="4" w:space="0" w:color="auto"/>
              <w:right w:val="single" w:sz="4" w:space="0" w:color="auto"/>
            </w:tcBorders>
            <w:shd w:val="clear" w:color="000000" w:fill="EBF1DE"/>
            <w:noWrap/>
            <w:vAlign w:val="bottom"/>
            <w:hideMark/>
          </w:tcPr>
          <w:p w14:paraId="6EDD01D7" w14:textId="076F9482" w:rsidR="005F61FA" w:rsidRPr="007114AF" w:rsidRDefault="008D30FC" w:rsidP="001C467C">
            <w:pPr>
              <w:spacing w:after="0" w:line="240" w:lineRule="auto"/>
              <w:jc w:val="center"/>
              <w:rPr>
                <w:rFonts w:ascii="Garamond" w:eastAsia="Times New Roman" w:hAnsi="Garamond" w:cs="Times New Roman"/>
                <w:b/>
                <w:bCs/>
                <w:color w:val="000000"/>
                <w:lang w:eastAsia="en-US"/>
              </w:rPr>
            </w:pPr>
            <w:r w:rsidRPr="007114AF">
              <w:rPr>
                <w:rFonts w:ascii="Garamond" w:eastAsia="Times New Roman" w:hAnsi="Garamond" w:cs="Times New Roman"/>
                <w:b/>
                <w:bCs/>
                <w:color w:val="000000"/>
                <w:lang w:eastAsia="en-US"/>
              </w:rPr>
              <w:t xml:space="preserve">        </w:t>
            </w:r>
            <w:r w:rsidR="005F61FA" w:rsidRPr="007114AF">
              <w:rPr>
                <w:rFonts w:ascii="Garamond" w:eastAsia="Times New Roman" w:hAnsi="Garamond" w:cs="Times New Roman"/>
                <w:b/>
                <w:bCs/>
                <w:color w:val="000000"/>
                <w:lang w:eastAsia="en-US"/>
              </w:rPr>
              <w:t xml:space="preserve">12,196,464 </w:t>
            </w:r>
          </w:p>
        </w:tc>
      </w:tr>
    </w:tbl>
    <w:p w14:paraId="6EDD01D9" w14:textId="77777777" w:rsidR="001E2A51" w:rsidRPr="007114AF" w:rsidRDefault="001E2A51" w:rsidP="00524E98">
      <w:pPr>
        <w:pStyle w:val="TEKSTI"/>
      </w:pPr>
    </w:p>
    <w:p w14:paraId="6EDD01DA" w14:textId="77777777" w:rsidR="00E47E70" w:rsidRPr="007114AF" w:rsidRDefault="00E47E70" w:rsidP="00E47E70">
      <w:pPr>
        <w:pStyle w:val="TEKSTI"/>
      </w:pPr>
      <w:r w:rsidRPr="007114AF">
        <w:t>Në këtë kuadër, vlerësimii kostos i PKZNK-ës kryhet duke konsideruar pikat kyçe si më poshtë.</w:t>
      </w:r>
    </w:p>
    <w:p w14:paraId="6EDD01DB" w14:textId="77777777" w:rsidR="00E47E70" w:rsidRPr="007114AF" w:rsidRDefault="00A45C8C" w:rsidP="00E47E70">
      <w:pPr>
        <w:pStyle w:val="TEKSTI"/>
      </w:pPr>
      <w:r w:rsidRPr="007114AF">
        <w:t>-</w:t>
      </w:r>
      <w:r w:rsidR="00E47E70" w:rsidRPr="007114AF">
        <w:t xml:space="preserve"> Të gjitha vlerësimet e kostove të kryera në dokumentet strategjike ekzistuese (strategjitë e ndryshme dhe Planet e Veprimit) janë parë në detaj për këto masa të përfshira në këtë dokument. Këto kosto janë të përfshira, pa asnjë ndryshim, në kostot tashmë të përfshira në dokumentet ekzistuese.</w:t>
      </w:r>
    </w:p>
    <w:p w14:paraId="6EDD01DC" w14:textId="77777777" w:rsidR="00E47E70" w:rsidRPr="007114AF" w:rsidRDefault="00A45C8C" w:rsidP="00E47E70">
      <w:pPr>
        <w:pStyle w:val="TEKSTI"/>
      </w:pPr>
      <w:r w:rsidRPr="007114AF">
        <w:t>-</w:t>
      </w:r>
      <w:r w:rsidR="00E47E70" w:rsidRPr="007114AF">
        <w:t xml:space="preserve"> Për shumicën e masave në sektorin e transportit ne kemi marrë shifrat nga Plani Kombëtar i Transportit dhe Plani për një Transport të Qëndrueshëm. Kurdoherë që burimi i fondeve nuk specifikohet, ne kemi supozuar një mangësi në fonde.</w:t>
      </w:r>
    </w:p>
    <w:p w14:paraId="6EDD01DD" w14:textId="77777777" w:rsidR="00E47E70" w:rsidRPr="007114AF" w:rsidRDefault="00A45C8C" w:rsidP="00E47E70">
      <w:pPr>
        <w:pStyle w:val="TEKSTI"/>
      </w:pPr>
      <w:r w:rsidRPr="007114AF">
        <w:lastRenderedPageBreak/>
        <w:t>-</w:t>
      </w:r>
      <w:r w:rsidR="00E47E70" w:rsidRPr="007114AF">
        <w:t xml:space="preserve"> Shumë masa në sektorin energjetik i referohen Planit i Tretë i Veprimit Kombëtar ndaj Eficiencës së Energjisë (PKVEE).</w:t>
      </w:r>
    </w:p>
    <w:p w14:paraId="6EDD01DE" w14:textId="1D669A99" w:rsidR="00E47E70" w:rsidRPr="007114AF" w:rsidRDefault="00A45C8C" w:rsidP="00E47E70">
      <w:pPr>
        <w:pStyle w:val="TEKSTI"/>
      </w:pPr>
      <w:r w:rsidRPr="007114AF">
        <w:t>-</w:t>
      </w:r>
      <w:r w:rsidR="00A419A4">
        <w:t xml:space="preserve"> </w:t>
      </w:r>
      <w:r w:rsidR="00E47E70" w:rsidRPr="007114AF">
        <w:t>Disa masa janë të përfshira si rezultate në programin buxhetor të lidhura me Buxhetin Afatmesëm 2020</w:t>
      </w:r>
      <w:r w:rsidR="00A419A4">
        <w:t>–</w:t>
      </w:r>
      <w:r w:rsidR="00E47E70" w:rsidRPr="007114AF">
        <w:t>2022. Për këto masa ne kemi përdorur koston për njësi dhe kostot totale të parashikuara në Programin e Buxhetit Afatmesëm 2020</w:t>
      </w:r>
      <w:r w:rsidR="00A419A4">
        <w:t>–</w:t>
      </w:r>
      <w:r w:rsidR="00E47E70" w:rsidRPr="007114AF">
        <w:t>2022 (</w:t>
      </w:r>
      <w:r w:rsidR="00A419A4">
        <w:t>f</w:t>
      </w:r>
      <w:r w:rsidR="00E47E70" w:rsidRPr="007114AF">
        <w:t>aza II). Për çdo masë tjetër, buxheti i propozuar ka ndjekur praktikat ekzistuese (kosto e veprimeve të njëjta të ndërmarra në ministritë e linjës).</w:t>
      </w:r>
    </w:p>
    <w:p w14:paraId="6EDD01DF" w14:textId="77777777" w:rsidR="00E47E70" w:rsidRPr="007114AF" w:rsidRDefault="00A45C8C" w:rsidP="00E47E70">
      <w:pPr>
        <w:pStyle w:val="TEKSTI"/>
      </w:pPr>
      <w:r w:rsidRPr="007114AF">
        <w:t xml:space="preserve">- </w:t>
      </w:r>
      <w:r w:rsidR="00E47E70" w:rsidRPr="007114AF">
        <w:t xml:space="preserve">Kurdoherë një masë nuk tregon një buxhet specifik, kuptohet se shpenzimet operacionale të ministrive të linjës mbulojnë kostot e lidhura. </w:t>
      </w:r>
    </w:p>
    <w:p w14:paraId="6EDD01E0" w14:textId="7DFFC04C" w:rsidR="00E47E70" w:rsidRPr="007114AF" w:rsidRDefault="00A45C8C" w:rsidP="00E47E70">
      <w:pPr>
        <w:pStyle w:val="TEKSTI"/>
      </w:pPr>
      <w:r w:rsidRPr="007114AF">
        <w:t xml:space="preserve">- </w:t>
      </w:r>
      <w:r w:rsidR="00E47E70" w:rsidRPr="007114AF">
        <w:t xml:space="preserve">Kolona </w:t>
      </w:r>
      <w:r w:rsidR="000A2A01" w:rsidRPr="007114AF">
        <w:t>“</w:t>
      </w:r>
      <w:r w:rsidR="00E47E70" w:rsidRPr="007114AF">
        <w:t>Donatorët</w:t>
      </w:r>
      <w:r w:rsidR="000A2A01" w:rsidRPr="007114AF">
        <w:t>”</w:t>
      </w:r>
      <w:r w:rsidR="00E47E70" w:rsidRPr="007114AF">
        <w:t xml:space="preserve"> përfshin financime të siguruara, ndërsa kolona </w:t>
      </w:r>
      <w:r w:rsidR="000A2A01" w:rsidRPr="007114AF">
        <w:t>“</w:t>
      </w:r>
      <w:r w:rsidR="00E47E70" w:rsidRPr="007114AF">
        <w:t>Mungesa financiare</w:t>
      </w:r>
      <w:r w:rsidR="000A2A01" w:rsidRPr="007114AF">
        <w:t>”</w:t>
      </w:r>
      <w:r w:rsidR="00E47E70" w:rsidRPr="007114AF">
        <w:t xml:space="preserve"> përmbledh atë pjesë të financimit për të cilën nuk janë identifikuar burimet. Mungesa lidhet më masa të veçanta dhe mungesa financiare është identifikuar nga dokumentet që iu jemi referuar.</w:t>
      </w:r>
    </w:p>
    <w:p w14:paraId="6EDD01E1" w14:textId="650907AB" w:rsidR="00E47E70" w:rsidRPr="007114AF" w:rsidRDefault="00A45C8C" w:rsidP="00E47E70">
      <w:pPr>
        <w:pStyle w:val="TEKSTI"/>
      </w:pPr>
      <w:r w:rsidRPr="007114AF">
        <w:t xml:space="preserve">- </w:t>
      </w:r>
      <w:r w:rsidR="00E47E70" w:rsidRPr="007114AF">
        <w:t>masa që duhen ndërmarrë për arritjen e objektivit të zbutjes së ndryshimeve klimatike, nuk kanë si qëllim vetëm zbutjen e ndryshimeve klimatike në nivel global. Në të vërtetë, fillimisht ato kanë si qëllim përfitimet ekonomike kombëtare nga eficienca e energjisë, përmirësimi i rrjetit të transportit, pyllëzimet etj</w:t>
      </w:r>
      <w:r w:rsidR="00FD5AD9">
        <w:t>.</w:t>
      </w:r>
      <w:r w:rsidR="00E47E70" w:rsidRPr="007114AF">
        <w:t xml:space="preserve">, por në të njëjtën kohë kanë një efekt direkt, indirekt dhe mundësues në ndryshimet e zbutjes së ndryshimeve klimatike, reduktimin e shkarkimeve ose rritjen e përthithësve. Vlen të theksohet se këto masa kanë kosto të cilat do të kompensohen nga përfitime të shumëfishta: përfitime kombëtare ekonomike dhe efekte globale të zbutjes së ndryshimeve klimatike. Masat e PKZNK-ës janë klasifikuar si më poshtë: </w:t>
      </w:r>
    </w:p>
    <w:p w14:paraId="6EDD01E2" w14:textId="6A8A9B1D" w:rsidR="00E47E70" w:rsidRPr="007114AF" w:rsidRDefault="00E47E70" w:rsidP="00E47E70">
      <w:pPr>
        <w:pStyle w:val="TEKSTI"/>
      </w:pPr>
      <w:r w:rsidRPr="007114AF">
        <w:t xml:space="preserve">1) Masa direkte: ku përfshihen ato masa që kanë një impakt të </w:t>
      </w:r>
      <w:r w:rsidR="00FD5AD9" w:rsidRPr="007114AF">
        <w:t>drejtpërdrejtë</w:t>
      </w:r>
      <w:r w:rsidRPr="007114AF">
        <w:t xml:space="preserve"> tek zbutja e ndryshimeve klimatike, për sa i përket reduktimit të shkarkimeve ose rritjes së përthithësve të karbonit (p.sh. veprime konkrete, masa sp</w:t>
      </w:r>
      <w:r w:rsidR="00FD5AD9">
        <w:t>ecifike për një zonë të caktuar</w:t>
      </w:r>
      <w:r w:rsidRPr="007114AF">
        <w:t xml:space="preserve"> etj.);</w:t>
      </w:r>
    </w:p>
    <w:p w14:paraId="6EDD01E3" w14:textId="77777777" w:rsidR="00E47E70" w:rsidRPr="007114AF" w:rsidRDefault="00E47E70" w:rsidP="00E47E70">
      <w:pPr>
        <w:pStyle w:val="TEKSTI"/>
      </w:pPr>
      <w:r w:rsidRPr="007114AF">
        <w:t>2) Masa indirekte: ku përfshihen ato masa që kanë një impakt pozitiv, për sa i përket zbutjes së ndryshimeve klimatike, dhe që do të çojnë nga reduktimi afatshkurtër deri tek afatmesëm dhe afatgjatë, tek një reduktim indirekt i shkarkimit ose rritje të përthithësve të karbonit (p.sh. trajnime dhe rritje të ndërgjegjësimit, certifikim dhe skemë etiketimi, financim etj.);</w:t>
      </w:r>
    </w:p>
    <w:p w14:paraId="6EDD01E4" w14:textId="600611A3" w:rsidR="00E47E70" w:rsidRPr="007114AF" w:rsidRDefault="00E47E70" w:rsidP="00E47E70">
      <w:pPr>
        <w:pStyle w:val="TEKSTI"/>
      </w:pPr>
      <w:r w:rsidRPr="007114AF">
        <w:t>3) Masa mundësuese: duke përfshirë ato masa që janë funksionale për arritjen e kushteve të nevojshme, që lejojnë aplikimin e masave direkte/indirekte, të cilat çojnë në zb</w:t>
      </w:r>
      <w:r w:rsidR="00DA60B5">
        <w:t>utjen e ndryshimeve klimatike (</w:t>
      </w:r>
      <w:r w:rsidRPr="007114AF">
        <w:t>p.sh. forcimi i planifikimit territorial, përforcimi i marrëveshjeve institucionale, monitorimi etj.)</w:t>
      </w:r>
      <w:r w:rsidR="00DA60B5">
        <w:t>.</w:t>
      </w:r>
      <w:r w:rsidRPr="007114AF">
        <w:t xml:space="preserve"> </w:t>
      </w:r>
    </w:p>
    <w:p w14:paraId="6EDD01E5" w14:textId="6070DE32" w:rsidR="00E47E70" w:rsidRPr="007114AF" w:rsidRDefault="00E47E70" w:rsidP="00E47E70">
      <w:pPr>
        <w:pStyle w:val="TEKSTI"/>
      </w:pPr>
      <w:r w:rsidRPr="007114AF">
        <w:t>Kosto totale e parashikuar për implementimin e dokumentit të strategjisë kombëtare dhe planeve të veprimit për zbutjen e gazeve me efekt serrë dhe përshtatjen ndaj ndryshimeve klimatike është</w:t>
      </w:r>
      <w:r w:rsidR="000A2A01" w:rsidRPr="007114AF">
        <w:t xml:space="preserve"> </w:t>
      </w:r>
      <w:r w:rsidRPr="007114AF">
        <w:t>87,616,</w:t>
      </w:r>
      <w:r w:rsidR="00DA60B5">
        <w:t>177 (</w:t>
      </w:r>
      <w:r w:rsidRPr="007114AF">
        <w:t>në 000 ALL) bazuar në parashikimet e PBA 2020</w:t>
      </w:r>
      <w:r w:rsidR="00DA60B5">
        <w:t>–</w:t>
      </w:r>
      <w:r w:rsidRPr="007114AF">
        <w:t>2022 të institucioneve përgjegjëse dhe donatorëve të mundshëm. Hendeku financiar që i përket më së shumti masave që do të implementohen pas vitit 2022, është 12,196,464 (në 000 ALL) që përbën 12% të kostos totale. Zbatimi i suksesshëm i PKZNK-ës ka mundësi të përballet me sfida për arsye të rreziqeve specifike, të cilat duhet të merren në konsideratë, për të mos krijuar vështirësi reale në procesin e zbatimit të PKZNK-</w:t>
      </w:r>
      <w:r w:rsidRPr="007114AF">
        <w:rPr>
          <w:rFonts w:cs="Times New Roman"/>
        </w:rPr>
        <w:t>ës</w:t>
      </w:r>
      <w:r w:rsidR="00FD5AD9">
        <w:rPr>
          <w:rFonts w:cs="Times New Roman"/>
        </w:rPr>
        <w:t xml:space="preserve"> </w:t>
      </w:r>
      <w:r w:rsidRPr="007114AF">
        <w:t>dhe janë të lidhura me dy shtresat e qeverisjes: Qeverisja qendrore (ministritë përgjegjëse për zbatimin e Planit të Veprimit) dhe Njësitë Vendore të Vetëqeverisjes.</w:t>
      </w:r>
    </w:p>
    <w:p w14:paraId="6EDD01E6" w14:textId="39CA9576" w:rsidR="00E47E70" w:rsidRPr="007114AF" w:rsidRDefault="00E47E70" w:rsidP="00E47E70">
      <w:pPr>
        <w:pStyle w:val="TEKSTI"/>
      </w:pPr>
      <w:r w:rsidRPr="007114AF">
        <w:t>Rreziqet në nivelin e qeverisjes qendrore janë kryesisht të lidhura me detyrimin e të gjitha institucioneve të duhura të përfshira në këtë PKZNK-ë</w:t>
      </w:r>
      <w:r w:rsidR="00FD5AD9">
        <w:t xml:space="preserve"> </w:t>
      </w:r>
      <w:r w:rsidRPr="007114AF">
        <w:t>në mbështetje të zbatimit të PKZNK-ës dhe mbështetja me fondet e nevojshme, për të mundësuar një ekzekutim të plotë të aktiviteteve të planëzuara.</w:t>
      </w:r>
    </w:p>
    <w:p w14:paraId="6EDD01E7" w14:textId="77777777" w:rsidR="00E47E70" w:rsidRPr="007114AF" w:rsidRDefault="00E47E70" w:rsidP="00E47E70">
      <w:pPr>
        <w:pStyle w:val="TEKSTI"/>
      </w:pPr>
      <w:r w:rsidRPr="007114AF">
        <w:t>Qeverisja vendore dhe rreziqet janë kryesisht të lidhura me detyrimin e NjVQV-e, për të zbatuar masat të cilat janë pjesë të PKZNK-ës, dhe detyrimin e tyre për të kontribuar me të ardhurat e tyre, për të dhënë fonde për aktivitetet e planëzuara dhe/ose shërbimet.</w:t>
      </w:r>
    </w:p>
    <w:p w14:paraId="6EDD01E8" w14:textId="77777777" w:rsidR="00AC399F" w:rsidRPr="007114AF" w:rsidRDefault="00AC399F" w:rsidP="00E47E70">
      <w:pPr>
        <w:pStyle w:val="TEKSTI"/>
      </w:pPr>
    </w:p>
    <w:p w14:paraId="6EDD01E9" w14:textId="77777777" w:rsidR="00AC399F" w:rsidRPr="007114AF" w:rsidRDefault="00AC399F" w:rsidP="00E47E70">
      <w:pPr>
        <w:pStyle w:val="TEKSTI"/>
      </w:pPr>
    </w:p>
    <w:p w14:paraId="6EDD01EA" w14:textId="77777777" w:rsidR="00AC399F" w:rsidRPr="007114AF" w:rsidRDefault="00AC399F" w:rsidP="00E47E70">
      <w:pPr>
        <w:pStyle w:val="TEKSTI"/>
      </w:pPr>
    </w:p>
    <w:p w14:paraId="6EDD01EB" w14:textId="77777777" w:rsidR="00AC399F" w:rsidRPr="007114AF" w:rsidRDefault="00AC399F" w:rsidP="00E47E70">
      <w:pPr>
        <w:pStyle w:val="TEKSTI"/>
      </w:pPr>
    </w:p>
    <w:p w14:paraId="6EDD01EC" w14:textId="55B0F003" w:rsidR="00881E70" w:rsidRDefault="00881E70" w:rsidP="00E47E70">
      <w:pPr>
        <w:pStyle w:val="TEKSTI"/>
      </w:pPr>
    </w:p>
    <w:p w14:paraId="32EFC6FA" w14:textId="77777777" w:rsidR="00881E70" w:rsidRPr="00881E70" w:rsidRDefault="00881E70" w:rsidP="00881E70"/>
    <w:p w14:paraId="31842DA7" w14:textId="77777777" w:rsidR="00881E70" w:rsidRPr="00881E70" w:rsidRDefault="00881E70" w:rsidP="00881E70"/>
    <w:p w14:paraId="20EC38D9" w14:textId="77777777" w:rsidR="00881E70" w:rsidRPr="00881E70" w:rsidRDefault="00881E70" w:rsidP="00881E70"/>
    <w:p w14:paraId="3A57D955" w14:textId="77777777" w:rsidR="00881E70" w:rsidRPr="00881E70" w:rsidRDefault="00881E70" w:rsidP="00881E70"/>
    <w:p w14:paraId="5216F5CE" w14:textId="77777777" w:rsidR="00881E70" w:rsidRPr="00881E70" w:rsidRDefault="00881E70" w:rsidP="00881E70"/>
    <w:p w14:paraId="2CB54BB0" w14:textId="77777777" w:rsidR="00881E70" w:rsidRPr="00881E70" w:rsidRDefault="00881E70" w:rsidP="00881E70"/>
    <w:p w14:paraId="3207826F" w14:textId="77777777" w:rsidR="00881E70" w:rsidRPr="00881E70" w:rsidRDefault="00881E70" w:rsidP="00881E70"/>
    <w:p w14:paraId="2261655A" w14:textId="77777777" w:rsidR="00881E70" w:rsidRPr="00881E70" w:rsidRDefault="00881E70" w:rsidP="00881E70"/>
    <w:p w14:paraId="1907D7EA" w14:textId="77777777" w:rsidR="00881E70" w:rsidRPr="00881E70" w:rsidRDefault="00881E70" w:rsidP="00881E70"/>
    <w:p w14:paraId="70B8B892" w14:textId="77777777" w:rsidR="00881E70" w:rsidRPr="00881E70" w:rsidRDefault="00881E70" w:rsidP="00881E70"/>
    <w:p w14:paraId="4DFF8626" w14:textId="77777777" w:rsidR="00881E70" w:rsidRPr="00881E70" w:rsidRDefault="00881E70" w:rsidP="00881E70"/>
    <w:p w14:paraId="0EB08503" w14:textId="77777777" w:rsidR="00881E70" w:rsidRPr="00881E70" w:rsidRDefault="00881E70" w:rsidP="00881E70"/>
    <w:p w14:paraId="7C059CED" w14:textId="77777777" w:rsidR="00881E70" w:rsidRPr="00881E70" w:rsidRDefault="00881E70" w:rsidP="00881E70"/>
    <w:p w14:paraId="16799C04" w14:textId="77777777" w:rsidR="00881E70" w:rsidRPr="00881E70" w:rsidRDefault="00881E70" w:rsidP="00881E70"/>
    <w:p w14:paraId="3E052551" w14:textId="77777777" w:rsidR="00881E70" w:rsidRPr="00881E70" w:rsidRDefault="00881E70" w:rsidP="00881E70"/>
    <w:p w14:paraId="42A971A6" w14:textId="77777777" w:rsidR="00881E70" w:rsidRPr="00881E70" w:rsidRDefault="00881E70" w:rsidP="00881E70"/>
    <w:p w14:paraId="5229CD79" w14:textId="77777777" w:rsidR="00881E70" w:rsidRPr="00881E70" w:rsidRDefault="00881E70" w:rsidP="00881E70"/>
    <w:p w14:paraId="600A9117" w14:textId="77777777" w:rsidR="00881E70" w:rsidRPr="00881E70" w:rsidRDefault="00881E70" w:rsidP="00881E70"/>
    <w:p w14:paraId="7FF48CCF" w14:textId="60748B0F" w:rsidR="00881E70" w:rsidRDefault="00881E70" w:rsidP="00881E70">
      <w:pPr>
        <w:tabs>
          <w:tab w:val="left" w:pos="1530"/>
        </w:tabs>
      </w:pPr>
      <w:r>
        <w:tab/>
      </w:r>
    </w:p>
    <w:p w14:paraId="43C854FC" w14:textId="4F0DD36B" w:rsidR="00A45C8C" w:rsidRPr="00881E70" w:rsidRDefault="00881E70" w:rsidP="00881E70">
      <w:pPr>
        <w:tabs>
          <w:tab w:val="left" w:pos="1530"/>
        </w:tabs>
        <w:sectPr w:rsidR="00A45C8C" w:rsidRPr="00881E70" w:rsidSect="00056A3A">
          <w:pgSz w:w="11907" w:h="16840" w:code="9"/>
          <w:pgMar w:top="1418" w:right="1418" w:bottom="1418" w:left="1418" w:header="1304" w:footer="1134" w:gutter="0"/>
          <w:cols w:space="720"/>
          <w:docGrid w:linePitch="360"/>
        </w:sectPr>
      </w:pPr>
      <w:r>
        <w:tab/>
      </w:r>
    </w:p>
    <w:p w14:paraId="6EDD01ED" w14:textId="63DF7ADF" w:rsidR="004C1E86" w:rsidRPr="007114AF" w:rsidRDefault="004C1E86" w:rsidP="004C1E86">
      <w:pPr>
        <w:pStyle w:val="TEKSTI"/>
        <w:rPr>
          <w:b/>
        </w:rPr>
      </w:pPr>
      <w:bookmarkStart w:id="174" w:name="_Toc476580578"/>
      <w:bookmarkStart w:id="175" w:name="_Toc484424525"/>
      <w:r w:rsidRPr="007114AF">
        <w:rPr>
          <w:b/>
        </w:rPr>
        <w:lastRenderedPageBreak/>
        <w:t>5.8 Kosto</w:t>
      </w:r>
      <w:r w:rsidR="00DA60B5">
        <w:rPr>
          <w:b/>
        </w:rPr>
        <w:t>ja</w:t>
      </w:r>
      <w:r w:rsidRPr="007114AF">
        <w:rPr>
          <w:b/>
        </w:rPr>
        <w:t xml:space="preserve"> e masave</w:t>
      </w:r>
      <w:bookmarkEnd w:id="174"/>
      <w:bookmarkEnd w:id="175"/>
    </w:p>
    <w:p w14:paraId="6EDD01EE" w14:textId="77777777" w:rsidR="004C1E86" w:rsidRPr="007114AF" w:rsidRDefault="004C1E86" w:rsidP="004C1E86">
      <w:pPr>
        <w:pStyle w:val="TEKSTI"/>
        <w:rPr>
          <w:b/>
          <w:lang w:eastAsia="en-US"/>
        </w:rPr>
      </w:pPr>
      <w:bookmarkStart w:id="176" w:name="_Toc476580579"/>
      <w:bookmarkStart w:id="177" w:name="_Toc484424526"/>
      <w:r w:rsidRPr="007114AF">
        <w:rPr>
          <w:b/>
          <w:lang w:eastAsia="en-US"/>
        </w:rPr>
        <w:t>5.8.1 Energjia</w:t>
      </w:r>
      <w:bookmarkEnd w:id="176"/>
      <w:bookmarkEnd w:id="177"/>
    </w:p>
    <w:tbl>
      <w:tblPr>
        <w:tblStyle w:val="GridTable1Light-Accent11"/>
        <w:tblW w:w="14376" w:type="dxa"/>
        <w:jc w:val="center"/>
        <w:tblLayout w:type="fixed"/>
        <w:tblLook w:val="04A0" w:firstRow="1" w:lastRow="0" w:firstColumn="1" w:lastColumn="0" w:noHBand="0" w:noVBand="1"/>
      </w:tblPr>
      <w:tblGrid>
        <w:gridCol w:w="496"/>
        <w:gridCol w:w="2022"/>
        <w:gridCol w:w="1134"/>
        <w:gridCol w:w="992"/>
        <w:gridCol w:w="1014"/>
        <w:gridCol w:w="1538"/>
        <w:gridCol w:w="1276"/>
        <w:gridCol w:w="1134"/>
        <w:gridCol w:w="1276"/>
        <w:gridCol w:w="1134"/>
        <w:gridCol w:w="2360"/>
      </w:tblGrid>
      <w:tr w:rsidR="000235FE" w:rsidRPr="007114AF" w14:paraId="6EDD01FA" w14:textId="77777777" w:rsidTr="000235FE">
        <w:trPr>
          <w:cnfStyle w:val="100000000000" w:firstRow="1" w:lastRow="0" w:firstColumn="0" w:lastColumn="0" w:oddVBand="0" w:evenVBand="0" w:oddHBand="0" w:evenHBand="0" w:firstRowFirstColumn="0" w:firstRowLastColumn="0" w:lastRowFirstColumn="0" w:lastRowLastColumn="0"/>
          <w:cantSplit/>
          <w:trHeight w:val="20"/>
          <w:tblHeader/>
          <w:jc w:val="center"/>
        </w:trPr>
        <w:tc>
          <w:tcPr>
            <w:cnfStyle w:val="001000000000" w:firstRow="0" w:lastRow="0" w:firstColumn="1" w:lastColumn="0" w:oddVBand="0" w:evenVBand="0" w:oddHBand="0" w:evenHBand="0" w:firstRowFirstColumn="0" w:firstRowLastColumn="0" w:lastRowFirstColumn="0" w:lastRowLastColumn="0"/>
            <w:tcW w:w="496" w:type="dxa"/>
            <w:vAlign w:val="center"/>
            <w:hideMark/>
          </w:tcPr>
          <w:p w14:paraId="6EDD01EF" w14:textId="77777777" w:rsidR="000235FE" w:rsidRPr="007114AF" w:rsidRDefault="000235FE" w:rsidP="00DA60B5">
            <w:pPr>
              <w:spacing w:after="0"/>
              <w:jc w:val="center"/>
              <w:rPr>
                <w:rFonts w:ascii="Garamond" w:eastAsia="Times New Roman" w:hAnsi="Garamond" w:cs="Times New Roman"/>
                <w:bCs w:val="0"/>
                <w:sz w:val="18"/>
                <w:szCs w:val="18"/>
              </w:rPr>
            </w:pPr>
            <w:r w:rsidRPr="007114AF">
              <w:rPr>
                <w:rFonts w:ascii="Garamond" w:eastAsia="Times New Roman" w:hAnsi="Garamond" w:cs="Times New Roman"/>
                <w:sz w:val="18"/>
                <w:szCs w:val="18"/>
              </w:rPr>
              <w:t>ID</w:t>
            </w:r>
          </w:p>
        </w:tc>
        <w:tc>
          <w:tcPr>
            <w:tcW w:w="2022" w:type="dxa"/>
            <w:vAlign w:val="center"/>
            <w:hideMark/>
          </w:tcPr>
          <w:p w14:paraId="6EDD01F0" w14:textId="77777777" w:rsidR="000235FE" w:rsidRPr="007114AF" w:rsidRDefault="000235FE" w:rsidP="00DA60B5">
            <w:pPr>
              <w:spacing w:after="0"/>
              <w:jc w:val="center"/>
              <w:cnfStyle w:val="100000000000" w:firstRow="1" w:lastRow="0" w:firstColumn="0" w:lastColumn="0" w:oddVBand="0" w:evenVBand="0" w:oddHBand="0" w:evenHBand="0" w:firstRowFirstColumn="0" w:firstRowLastColumn="0" w:lastRowFirstColumn="0" w:lastRowLastColumn="0"/>
              <w:rPr>
                <w:rFonts w:ascii="Garamond" w:eastAsia="Times New Roman" w:hAnsi="Garamond" w:cs="Times New Roman"/>
                <w:bCs w:val="0"/>
                <w:sz w:val="18"/>
                <w:szCs w:val="18"/>
              </w:rPr>
            </w:pPr>
            <w:r w:rsidRPr="007114AF">
              <w:rPr>
                <w:rFonts w:ascii="Garamond" w:eastAsia="Times New Roman" w:hAnsi="Garamond" w:cs="Times New Roman"/>
                <w:sz w:val="18"/>
                <w:szCs w:val="18"/>
              </w:rPr>
              <w:t>Masa</w:t>
            </w:r>
          </w:p>
        </w:tc>
        <w:tc>
          <w:tcPr>
            <w:tcW w:w="1134" w:type="dxa"/>
            <w:vAlign w:val="center"/>
            <w:hideMark/>
          </w:tcPr>
          <w:p w14:paraId="6EDD01F1" w14:textId="77777777" w:rsidR="000235FE" w:rsidRPr="007114AF" w:rsidRDefault="000235FE" w:rsidP="00DA60B5">
            <w:pPr>
              <w:spacing w:after="0"/>
              <w:jc w:val="center"/>
              <w:cnfStyle w:val="100000000000" w:firstRow="1" w:lastRow="0" w:firstColumn="0" w:lastColumn="0" w:oddVBand="0" w:evenVBand="0" w:oddHBand="0" w:evenHBand="0" w:firstRowFirstColumn="0" w:firstRowLastColumn="0" w:lastRowFirstColumn="0" w:lastRowLastColumn="0"/>
              <w:rPr>
                <w:rFonts w:ascii="Garamond" w:eastAsia="Times New Roman" w:hAnsi="Garamond" w:cs="Times New Roman"/>
                <w:bCs w:val="0"/>
                <w:sz w:val="18"/>
                <w:szCs w:val="18"/>
              </w:rPr>
            </w:pPr>
            <w:r w:rsidRPr="007114AF">
              <w:rPr>
                <w:rFonts w:ascii="Garamond" w:eastAsia="Times New Roman" w:hAnsi="Garamond" w:cs="Times New Roman"/>
                <w:sz w:val="18"/>
                <w:szCs w:val="18"/>
              </w:rPr>
              <w:t>Viti/periudha</w:t>
            </w:r>
          </w:p>
        </w:tc>
        <w:tc>
          <w:tcPr>
            <w:tcW w:w="992" w:type="dxa"/>
            <w:vAlign w:val="center"/>
            <w:hideMark/>
          </w:tcPr>
          <w:p w14:paraId="6EDD01F2" w14:textId="77777777" w:rsidR="000235FE" w:rsidRPr="007114AF" w:rsidRDefault="000235FE" w:rsidP="00DA60B5">
            <w:pPr>
              <w:spacing w:after="0"/>
              <w:jc w:val="center"/>
              <w:cnfStyle w:val="100000000000" w:firstRow="1" w:lastRow="0" w:firstColumn="0" w:lastColumn="0" w:oddVBand="0" w:evenVBand="0" w:oddHBand="0" w:evenHBand="0" w:firstRowFirstColumn="0" w:firstRowLastColumn="0" w:lastRowFirstColumn="0" w:lastRowLastColumn="0"/>
              <w:rPr>
                <w:rFonts w:ascii="Garamond" w:eastAsia="Times New Roman" w:hAnsi="Garamond" w:cs="Times New Roman"/>
                <w:bCs w:val="0"/>
                <w:sz w:val="18"/>
                <w:szCs w:val="18"/>
              </w:rPr>
            </w:pPr>
            <w:r w:rsidRPr="007114AF">
              <w:rPr>
                <w:rFonts w:ascii="Garamond" w:eastAsia="Times New Roman" w:hAnsi="Garamond" w:cs="Times New Roman"/>
                <w:sz w:val="18"/>
                <w:szCs w:val="18"/>
              </w:rPr>
              <w:t>Burimi</w:t>
            </w:r>
          </w:p>
        </w:tc>
        <w:tc>
          <w:tcPr>
            <w:tcW w:w="1014" w:type="dxa"/>
            <w:vAlign w:val="center"/>
          </w:tcPr>
          <w:p w14:paraId="6EDD01F3" w14:textId="77777777" w:rsidR="000235FE" w:rsidRPr="007114AF" w:rsidRDefault="000235FE" w:rsidP="00DA60B5">
            <w:pPr>
              <w:spacing w:after="0"/>
              <w:jc w:val="center"/>
              <w:cnfStyle w:val="100000000000" w:firstRow="1" w:lastRow="0" w:firstColumn="0" w:lastColumn="0" w:oddVBand="0" w:evenVBand="0" w:oddHBand="0" w:evenHBand="0" w:firstRowFirstColumn="0" w:firstRowLastColumn="0" w:lastRowFirstColumn="0" w:lastRowLastColumn="0"/>
              <w:rPr>
                <w:rFonts w:ascii="Garamond" w:eastAsia="Times New Roman" w:hAnsi="Garamond" w:cs="Times New Roman"/>
                <w:bCs w:val="0"/>
                <w:sz w:val="18"/>
                <w:szCs w:val="18"/>
              </w:rPr>
            </w:pPr>
            <w:r w:rsidRPr="007114AF">
              <w:rPr>
                <w:rFonts w:ascii="Garamond" w:hAnsi="Garamond"/>
                <w:sz w:val="18"/>
                <w:szCs w:val="18"/>
              </w:rPr>
              <w:t>Lloji i efektit</w:t>
            </w:r>
          </w:p>
        </w:tc>
        <w:tc>
          <w:tcPr>
            <w:tcW w:w="1538" w:type="dxa"/>
            <w:vAlign w:val="center"/>
            <w:hideMark/>
          </w:tcPr>
          <w:p w14:paraId="6EDD01F4" w14:textId="486EA5EB" w:rsidR="000235FE" w:rsidRPr="007114AF" w:rsidRDefault="000235FE" w:rsidP="00DA60B5">
            <w:pPr>
              <w:spacing w:after="0"/>
              <w:jc w:val="center"/>
              <w:cnfStyle w:val="100000000000" w:firstRow="1" w:lastRow="0" w:firstColumn="0" w:lastColumn="0" w:oddVBand="0" w:evenVBand="0" w:oddHBand="0" w:evenHBand="0" w:firstRowFirstColumn="0" w:firstRowLastColumn="0" w:lastRowFirstColumn="0" w:lastRowLastColumn="0"/>
              <w:rPr>
                <w:rFonts w:ascii="Garamond" w:eastAsia="Times New Roman" w:hAnsi="Garamond" w:cs="Times New Roman"/>
                <w:bCs w:val="0"/>
                <w:sz w:val="18"/>
                <w:szCs w:val="18"/>
              </w:rPr>
            </w:pPr>
            <w:r w:rsidRPr="007114AF">
              <w:rPr>
                <w:rFonts w:ascii="Garamond" w:eastAsia="Times New Roman" w:hAnsi="Garamond" w:cs="Times New Roman"/>
                <w:sz w:val="18"/>
                <w:szCs w:val="18"/>
              </w:rPr>
              <w:t xml:space="preserve">Kosto </w:t>
            </w:r>
            <w:r w:rsidR="00DA60B5" w:rsidRPr="007114AF">
              <w:rPr>
                <w:rFonts w:ascii="Garamond" w:eastAsia="Times New Roman" w:hAnsi="Garamond" w:cs="Times New Roman"/>
                <w:sz w:val="18"/>
                <w:szCs w:val="18"/>
              </w:rPr>
              <w:t>t</w:t>
            </w:r>
            <w:r w:rsidRPr="007114AF">
              <w:rPr>
                <w:rFonts w:ascii="Garamond" w:eastAsia="Times New Roman" w:hAnsi="Garamond" w:cs="Times New Roman"/>
                <w:sz w:val="18"/>
                <w:szCs w:val="18"/>
              </w:rPr>
              <w:t>otale në mijëra ALL</w:t>
            </w:r>
          </w:p>
        </w:tc>
        <w:tc>
          <w:tcPr>
            <w:tcW w:w="1276" w:type="dxa"/>
            <w:vAlign w:val="center"/>
            <w:hideMark/>
          </w:tcPr>
          <w:p w14:paraId="6EDD01F5" w14:textId="77777777" w:rsidR="000235FE" w:rsidRPr="007114AF" w:rsidRDefault="000235FE" w:rsidP="00DA60B5">
            <w:pPr>
              <w:spacing w:after="0"/>
              <w:jc w:val="center"/>
              <w:cnfStyle w:val="100000000000" w:firstRow="1" w:lastRow="0" w:firstColumn="0" w:lastColumn="0" w:oddVBand="0" w:evenVBand="0" w:oddHBand="0" w:evenHBand="0" w:firstRowFirstColumn="0" w:firstRowLastColumn="0" w:lastRowFirstColumn="0" w:lastRowLastColumn="0"/>
              <w:rPr>
                <w:rFonts w:ascii="Garamond" w:eastAsia="Times New Roman" w:hAnsi="Garamond" w:cs="Times New Roman"/>
                <w:bCs w:val="0"/>
                <w:sz w:val="18"/>
                <w:szCs w:val="18"/>
              </w:rPr>
            </w:pPr>
            <w:r w:rsidRPr="007114AF">
              <w:rPr>
                <w:rFonts w:ascii="Garamond" w:eastAsia="Times New Roman" w:hAnsi="Garamond" w:cs="Times New Roman"/>
                <w:sz w:val="18"/>
                <w:szCs w:val="18"/>
              </w:rPr>
              <w:t>Buxheti i Shtetit</w:t>
            </w:r>
          </w:p>
        </w:tc>
        <w:tc>
          <w:tcPr>
            <w:tcW w:w="1134" w:type="dxa"/>
            <w:vAlign w:val="center"/>
            <w:hideMark/>
          </w:tcPr>
          <w:p w14:paraId="6EDD01F6" w14:textId="77777777" w:rsidR="000235FE" w:rsidRPr="007114AF" w:rsidRDefault="000235FE" w:rsidP="00DA60B5">
            <w:pPr>
              <w:spacing w:after="0"/>
              <w:jc w:val="center"/>
              <w:cnfStyle w:val="100000000000" w:firstRow="1" w:lastRow="0" w:firstColumn="0" w:lastColumn="0" w:oddVBand="0" w:evenVBand="0" w:oddHBand="0" w:evenHBand="0" w:firstRowFirstColumn="0" w:firstRowLastColumn="0" w:lastRowFirstColumn="0" w:lastRowLastColumn="0"/>
              <w:rPr>
                <w:rFonts w:ascii="Garamond" w:eastAsia="Times New Roman" w:hAnsi="Garamond" w:cs="Times New Roman"/>
                <w:bCs w:val="0"/>
                <w:sz w:val="18"/>
                <w:szCs w:val="18"/>
              </w:rPr>
            </w:pPr>
            <w:r w:rsidRPr="007114AF">
              <w:rPr>
                <w:rFonts w:ascii="Garamond" w:eastAsia="Times New Roman" w:hAnsi="Garamond" w:cs="Times New Roman"/>
                <w:sz w:val="18"/>
                <w:szCs w:val="18"/>
              </w:rPr>
              <w:t>Donatorët</w:t>
            </w:r>
          </w:p>
        </w:tc>
        <w:tc>
          <w:tcPr>
            <w:tcW w:w="1276" w:type="dxa"/>
            <w:vAlign w:val="center"/>
            <w:hideMark/>
          </w:tcPr>
          <w:p w14:paraId="6EDD01F7" w14:textId="77777777" w:rsidR="000235FE" w:rsidRPr="007114AF" w:rsidRDefault="000235FE" w:rsidP="00DA60B5">
            <w:pPr>
              <w:spacing w:after="0"/>
              <w:jc w:val="center"/>
              <w:cnfStyle w:val="100000000000" w:firstRow="1" w:lastRow="0" w:firstColumn="0" w:lastColumn="0" w:oddVBand="0" w:evenVBand="0" w:oddHBand="0" w:evenHBand="0" w:firstRowFirstColumn="0" w:firstRowLastColumn="0" w:lastRowFirstColumn="0" w:lastRowLastColumn="0"/>
              <w:rPr>
                <w:rFonts w:ascii="Garamond" w:eastAsia="Times New Roman" w:hAnsi="Garamond" w:cs="Times New Roman"/>
                <w:bCs w:val="0"/>
                <w:sz w:val="18"/>
                <w:szCs w:val="18"/>
              </w:rPr>
            </w:pPr>
            <w:r w:rsidRPr="007114AF">
              <w:rPr>
                <w:rFonts w:ascii="Garamond" w:eastAsia="Times New Roman" w:hAnsi="Garamond" w:cs="Times New Roman"/>
                <w:sz w:val="18"/>
                <w:szCs w:val="18"/>
              </w:rPr>
              <w:t>Tjetër</w:t>
            </w:r>
          </w:p>
        </w:tc>
        <w:tc>
          <w:tcPr>
            <w:tcW w:w="1134" w:type="dxa"/>
            <w:vAlign w:val="center"/>
            <w:hideMark/>
          </w:tcPr>
          <w:p w14:paraId="6EDD01F8" w14:textId="77777777" w:rsidR="000235FE" w:rsidRPr="007114AF" w:rsidRDefault="000235FE" w:rsidP="00DA60B5">
            <w:pPr>
              <w:spacing w:after="0"/>
              <w:jc w:val="center"/>
              <w:cnfStyle w:val="100000000000" w:firstRow="1" w:lastRow="0" w:firstColumn="0" w:lastColumn="0" w:oddVBand="0" w:evenVBand="0" w:oddHBand="0" w:evenHBand="0" w:firstRowFirstColumn="0" w:firstRowLastColumn="0" w:lastRowFirstColumn="0" w:lastRowLastColumn="0"/>
              <w:rPr>
                <w:rFonts w:ascii="Garamond" w:eastAsia="Times New Roman" w:hAnsi="Garamond" w:cs="Times New Roman"/>
                <w:bCs w:val="0"/>
                <w:sz w:val="18"/>
                <w:szCs w:val="18"/>
              </w:rPr>
            </w:pPr>
            <w:r w:rsidRPr="007114AF">
              <w:rPr>
                <w:rFonts w:ascii="Garamond" w:eastAsia="Times New Roman" w:hAnsi="Garamond" w:cs="Times New Roman"/>
                <w:sz w:val="18"/>
                <w:szCs w:val="18"/>
              </w:rPr>
              <w:t>Hapësira Financiare</w:t>
            </w:r>
          </w:p>
        </w:tc>
        <w:tc>
          <w:tcPr>
            <w:tcW w:w="2360" w:type="dxa"/>
            <w:vAlign w:val="center"/>
            <w:hideMark/>
          </w:tcPr>
          <w:p w14:paraId="6EDD01F9" w14:textId="77777777" w:rsidR="000235FE" w:rsidRPr="007114AF" w:rsidRDefault="000235FE" w:rsidP="00DA60B5">
            <w:pPr>
              <w:spacing w:after="0"/>
              <w:jc w:val="center"/>
              <w:cnfStyle w:val="100000000000" w:firstRow="1" w:lastRow="0" w:firstColumn="0" w:lastColumn="0" w:oddVBand="0" w:evenVBand="0" w:oddHBand="0" w:evenHBand="0" w:firstRowFirstColumn="0" w:firstRowLastColumn="0" w:lastRowFirstColumn="0" w:lastRowLastColumn="0"/>
              <w:rPr>
                <w:rFonts w:ascii="Garamond" w:eastAsia="Times New Roman" w:hAnsi="Garamond" w:cs="Times New Roman"/>
                <w:bCs w:val="0"/>
                <w:sz w:val="18"/>
                <w:szCs w:val="18"/>
              </w:rPr>
            </w:pPr>
            <w:r w:rsidRPr="007114AF">
              <w:rPr>
                <w:rFonts w:ascii="Garamond" w:eastAsia="Times New Roman" w:hAnsi="Garamond" w:cs="Times New Roman"/>
                <w:sz w:val="18"/>
                <w:szCs w:val="18"/>
              </w:rPr>
              <w:t>Shënim mbi kostot</w:t>
            </w:r>
          </w:p>
        </w:tc>
      </w:tr>
      <w:tr w:rsidR="000235FE" w:rsidRPr="007114AF" w14:paraId="6EDD0206" w14:textId="77777777" w:rsidTr="000235FE">
        <w:trPr>
          <w:cantSplit/>
          <w:trHeight w:val="20"/>
          <w:jc w:val="center"/>
        </w:trPr>
        <w:tc>
          <w:tcPr>
            <w:cnfStyle w:val="001000000000" w:firstRow="0" w:lastRow="0" w:firstColumn="1" w:lastColumn="0" w:oddVBand="0" w:evenVBand="0" w:oddHBand="0" w:evenHBand="0" w:firstRowFirstColumn="0" w:firstRowLastColumn="0" w:lastRowFirstColumn="0" w:lastRowLastColumn="0"/>
            <w:tcW w:w="496" w:type="dxa"/>
            <w:noWrap/>
            <w:vAlign w:val="center"/>
            <w:hideMark/>
          </w:tcPr>
          <w:p w14:paraId="6EDD01FB" w14:textId="77777777" w:rsidR="000235FE" w:rsidRPr="007114AF" w:rsidRDefault="000235FE" w:rsidP="00C136A5">
            <w:pPr>
              <w:spacing w:after="0"/>
              <w:rPr>
                <w:rFonts w:ascii="Garamond" w:eastAsia="Times New Roman" w:hAnsi="Garamond" w:cs="Times New Roman"/>
                <w:b w:val="0"/>
                <w:bCs w:val="0"/>
                <w:sz w:val="18"/>
                <w:szCs w:val="18"/>
              </w:rPr>
            </w:pPr>
            <w:r w:rsidRPr="007114AF">
              <w:rPr>
                <w:rFonts w:ascii="Garamond" w:eastAsia="Times New Roman" w:hAnsi="Garamond" w:cs="Times New Roman"/>
                <w:sz w:val="18"/>
                <w:szCs w:val="18"/>
              </w:rPr>
              <w:t>E1</w:t>
            </w:r>
          </w:p>
        </w:tc>
        <w:tc>
          <w:tcPr>
            <w:tcW w:w="2022" w:type="dxa"/>
            <w:vAlign w:val="center"/>
            <w:hideMark/>
          </w:tcPr>
          <w:p w14:paraId="6EDD01FC"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xml:space="preserve">Kërkesat minimale të cilësisë termike tek SFH të sapondërtuara </w:t>
            </w:r>
          </w:p>
        </w:tc>
        <w:tc>
          <w:tcPr>
            <w:tcW w:w="1134" w:type="dxa"/>
            <w:vAlign w:val="center"/>
            <w:hideMark/>
          </w:tcPr>
          <w:p w14:paraId="6EDD01FD"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2017-2018</w:t>
            </w:r>
          </w:p>
        </w:tc>
        <w:tc>
          <w:tcPr>
            <w:tcW w:w="992" w:type="dxa"/>
            <w:vAlign w:val="center"/>
            <w:hideMark/>
          </w:tcPr>
          <w:p w14:paraId="6EDD01FE"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PKVEE; Draftligji mbi EPD</w:t>
            </w:r>
          </w:p>
        </w:tc>
        <w:tc>
          <w:tcPr>
            <w:tcW w:w="1014" w:type="dxa"/>
            <w:vAlign w:val="center"/>
          </w:tcPr>
          <w:p w14:paraId="6EDD01FF"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hAnsi="Garamond"/>
                <w:sz w:val="18"/>
                <w:szCs w:val="18"/>
              </w:rPr>
              <w:t>Direkt</w:t>
            </w:r>
          </w:p>
        </w:tc>
        <w:tc>
          <w:tcPr>
            <w:tcW w:w="1538" w:type="dxa"/>
            <w:vAlign w:val="center"/>
            <w:hideMark/>
          </w:tcPr>
          <w:p w14:paraId="6EDD0200"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1,373.00</w:t>
            </w:r>
          </w:p>
        </w:tc>
        <w:tc>
          <w:tcPr>
            <w:tcW w:w="1276" w:type="dxa"/>
            <w:vAlign w:val="center"/>
            <w:hideMark/>
          </w:tcPr>
          <w:p w14:paraId="6EDD0201"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1,373.00</w:t>
            </w:r>
          </w:p>
        </w:tc>
        <w:tc>
          <w:tcPr>
            <w:tcW w:w="1134" w:type="dxa"/>
            <w:vAlign w:val="center"/>
            <w:hideMark/>
          </w:tcPr>
          <w:p w14:paraId="6EDD0202"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1276" w:type="dxa"/>
            <w:vAlign w:val="center"/>
            <w:hideMark/>
          </w:tcPr>
          <w:p w14:paraId="6EDD0203"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1134" w:type="dxa"/>
            <w:vAlign w:val="center"/>
            <w:hideMark/>
          </w:tcPr>
          <w:p w14:paraId="6EDD0204"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2360" w:type="dxa"/>
            <w:vAlign w:val="center"/>
            <w:hideMark/>
          </w:tcPr>
          <w:p w14:paraId="6EDD0205"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Kostot për dizenjimin e një godine të re, në përputhje me dokumentin PKVEE</w:t>
            </w:r>
          </w:p>
        </w:tc>
      </w:tr>
      <w:tr w:rsidR="000235FE" w:rsidRPr="007114AF" w14:paraId="6EDD0212" w14:textId="77777777" w:rsidTr="000235FE">
        <w:trPr>
          <w:cantSplit/>
          <w:trHeight w:val="20"/>
          <w:jc w:val="center"/>
        </w:trPr>
        <w:tc>
          <w:tcPr>
            <w:cnfStyle w:val="001000000000" w:firstRow="0" w:lastRow="0" w:firstColumn="1" w:lastColumn="0" w:oddVBand="0" w:evenVBand="0" w:oddHBand="0" w:evenHBand="0" w:firstRowFirstColumn="0" w:firstRowLastColumn="0" w:lastRowFirstColumn="0" w:lastRowLastColumn="0"/>
            <w:tcW w:w="496" w:type="dxa"/>
            <w:noWrap/>
            <w:vAlign w:val="center"/>
            <w:hideMark/>
          </w:tcPr>
          <w:p w14:paraId="6EDD0207" w14:textId="77777777" w:rsidR="000235FE" w:rsidRPr="007114AF" w:rsidRDefault="000235FE" w:rsidP="00C136A5">
            <w:pPr>
              <w:spacing w:after="0"/>
              <w:rPr>
                <w:rFonts w:ascii="Garamond" w:eastAsia="Times New Roman" w:hAnsi="Garamond" w:cs="Times New Roman"/>
                <w:b w:val="0"/>
                <w:bCs w:val="0"/>
                <w:sz w:val="18"/>
                <w:szCs w:val="18"/>
              </w:rPr>
            </w:pPr>
            <w:r w:rsidRPr="007114AF">
              <w:rPr>
                <w:rFonts w:ascii="Garamond" w:eastAsia="Times New Roman" w:hAnsi="Garamond" w:cs="Times New Roman"/>
                <w:sz w:val="18"/>
                <w:szCs w:val="18"/>
              </w:rPr>
              <w:t>E2</w:t>
            </w:r>
          </w:p>
        </w:tc>
        <w:tc>
          <w:tcPr>
            <w:tcW w:w="2022" w:type="dxa"/>
            <w:vAlign w:val="center"/>
            <w:hideMark/>
          </w:tcPr>
          <w:p w14:paraId="6EDD0208"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Detyrimin e zbatimit të kërkesave minimale për SFH</w:t>
            </w:r>
          </w:p>
        </w:tc>
        <w:tc>
          <w:tcPr>
            <w:tcW w:w="1134" w:type="dxa"/>
            <w:vAlign w:val="center"/>
            <w:hideMark/>
          </w:tcPr>
          <w:p w14:paraId="6EDD0209"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2018-2020</w:t>
            </w:r>
          </w:p>
        </w:tc>
        <w:tc>
          <w:tcPr>
            <w:tcW w:w="992" w:type="dxa"/>
            <w:vAlign w:val="center"/>
            <w:hideMark/>
          </w:tcPr>
          <w:p w14:paraId="6EDD020A"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PKVEE; Draftligji mbi EPD</w:t>
            </w:r>
          </w:p>
        </w:tc>
        <w:tc>
          <w:tcPr>
            <w:tcW w:w="1014" w:type="dxa"/>
            <w:vAlign w:val="center"/>
          </w:tcPr>
          <w:p w14:paraId="6EDD020B"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hAnsi="Garamond"/>
                <w:sz w:val="18"/>
                <w:szCs w:val="18"/>
              </w:rPr>
              <w:t>Mundësuese</w:t>
            </w:r>
          </w:p>
        </w:tc>
        <w:tc>
          <w:tcPr>
            <w:tcW w:w="1538" w:type="dxa"/>
            <w:vAlign w:val="center"/>
            <w:hideMark/>
          </w:tcPr>
          <w:p w14:paraId="6EDD020C"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27,460.00</w:t>
            </w:r>
          </w:p>
        </w:tc>
        <w:tc>
          <w:tcPr>
            <w:tcW w:w="1276" w:type="dxa"/>
            <w:vAlign w:val="center"/>
            <w:hideMark/>
          </w:tcPr>
          <w:p w14:paraId="6EDD020D"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27,460.00</w:t>
            </w:r>
          </w:p>
        </w:tc>
        <w:tc>
          <w:tcPr>
            <w:tcW w:w="1134" w:type="dxa"/>
            <w:vAlign w:val="center"/>
            <w:hideMark/>
          </w:tcPr>
          <w:p w14:paraId="6EDD020E"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1276" w:type="dxa"/>
            <w:vAlign w:val="center"/>
            <w:hideMark/>
          </w:tcPr>
          <w:p w14:paraId="6EDD020F"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1134" w:type="dxa"/>
            <w:vAlign w:val="center"/>
            <w:hideMark/>
          </w:tcPr>
          <w:p w14:paraId="6EDD0210"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2360" w:type="dxa"/>
            <w:vAlign w:val="center"/>
            <w:hideMark/>
          </w:tcPr>
          <w:p w14:paraId="6EDD0211" w14:textId="11DA00F1"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Personel i shtuar për të kontrolluar eficiencën</w:t>
            </w:r>
            <w:r w:rsidR="000A2A01" w:rsidRPr="007114AF">
              <w:rPr>
                <w:rFonts w:ascii="Garamond" w:eastAsia="Times New Roman" w:hAnsi="Garamond" w:cs="Times New Roman"/>
                <w:sz w:val="18"/>
                <w:szCs w:val="18"/>
              </w:rPr>
              <w:t xml:space="preserve"> </w:t>
            </w:r>
            <w:r w:rsidRPr="007114AF">
              <w:rPr>
                <w:rFonts w:ascii="Garamond" w:eastAsia="Times New Roman" w:hAnsi="Garamond" w:cs="Times New Roman"/>
                <w:sz w:val="18"/>
                <w:szCs w:val="18"/>
              </w:rPr>
              <w:t>energjetike të godinave</w:t>
            </w:r>
            <w:r w:rsidR="000A2A01" w:rsidRPr="007114AF">
              <w:rPr>
                <w:rFonts w:ascii="Garamond" w:eastAsia="Times New Roman" w:hAnsi="Garamond" w:cs="Times New Roman"/>
                <w:sz w:val="18"/>
                <w:szCs w:val="18"/>
              </w:rPr>
              <w:t xml:space="preserve"> </w:t>
            </w:r>
            <w:r w:rsidRPr="007114AF">
              <w:rPr>
                <w:rFonts w:ascii="Garamond" w:eastAsia="Times New Roman" w:hAnsi="Garamond" w:cs="Times New Roman"/>
                <w:sz w:val="18"/>
                <w:szCs w:val="18"/>
              </w:rPr>
              <w:t>(buxhetet bashkiakë)</w:t>
            </w:r>
          </w:p>
        </w:tc>
      </w:tr>
      <w:tr w:rsidR="000235FE" w:rsidRPr="007114AF" w14:paraId="6EDD021E" w14:textId="77777777" w:rsidTr="000235FE">
        <w:trPr>
          <w:cantSplit/>
          <w:trHeight w:val="20"/>
          <w:jc w:val="center"/>
        </w:trPr>
        <w:tc>
          <w:tcPr>
            <w:cnfStyle w:val="001000000000" w:firstRow="0" w:lastRow="0" w:firstColumn="1" w:lastColumn="0" w:oddVBand="0" w:evenVBand="0" w:oddHBand="0" w:evenHBand="0" w:firstRowFirstColumn="0" w:firstRowLastColumn="0" w:lastRowFirstColumn="0" w:lastRowLastColumn="0"/>
            <w:tcW w:w="496" w:type="dxa"/>
            <w:noWrap/>
            <w:vAlign w:val="center"/>
            <w:hideMark/>
          </w:tcPr>
          <w:p w14:paraId="6EDD0213" w14:textId="77777777" w:rsidR="000235FE" w:rsidRPr="007114AF" w:rsidRDefault="000235FE" w:rsidP="00C136A5">
            <w:pPr>
              <w:spacing w:after="0"/>
              <w:rPr>
                <w:rFonts w:ascii="Garamond" w:eastAsia="Times New Roman" w:hAnsi="Garamond" w:cs="Times New Roman"/>
                <w:b w:val="0"/>
                <w:bCs w:val="0"/>
                <w:sz w:val="18"/>
                <w:szCs w:val="18"/>
              </w:rPr>
            </w:pPr>
            <w:r w:rsidRPr="007114AF">
              <w:rPr>
                <w:rFonts w:ascii="Garamond" w:eastAsia="Times New Roman" w:hAnsi="Garamond" w:cs="Times New Roman"/>
                <w:sz w:val="18"/>
                <w:szCs w:val="18"/>
              </w:rPr>
              <w:t>E3</w:t>
            </w:r>
          </w:p>
        </w:tc>
        <w:tc>
          <w:tcPr>
            <w:tcW w:w="2022" w:type="dxa"/>
            <w:vAlign w:val="center"/>
            <w:hideMark/>
          </w:tcPr>
          <w:p w14:paraId="6EDD0214"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Kërkesat minimale mbi cilësinë termike të SFH të sapondërtuara</w:t>
            </w:r>
          </w:p>
        </w:tc>
        <w:tc>
          <w:tcPr>
            <w:tcW w:w="1134" w:type="dxa"/>
            <w:vAlign w:val="center"/>
            <w:hideMark/>
          </w:tcPr>
          <w:p w14:paraId="6EDD0215"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2018</w:t>
            </w:r>
          </w:p>
        </w:tc>
        <w:tc>
          <w:tcPr>
            <w:tcW w:w="992" w:type="dxa"/>
            <w:vAlign w:val="center"/>
            <w:hideMark/>
          </w:tcPr>
          <w:p w14:paraId="6EDD0216"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PKVEE; Draftligji mbi EPD</w:t>
            </w:r>
          </w:p>
        </w:tc>
        <w:tc>
          <w:tcPr>
            <w:tcW w:w="1014" w:type="dxa"/>
            <w:vAlign w:val="center"/>
          </w:tcPr>
          <w:p w14:paraId="6EDD0217"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hAnsi="Garamond"/>
                <w:sz w:val="18"/>
                <w:szCs w:val="18"/>
              </w:rPr>
              <w:t>Direkte</w:t>
            </w:r>
          </w:p>
        </w:tc>
        <w:tc>
          <w:tcPr>
            <w:tcW w:w="1538" w:type="dxa"/>
            <w:vAlign w:val="center"/>
            <w:hideMark/>
          </w:tcPr>
          <w:p w14:paraId="6EDD0218"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0.00</w:t>
            </w:r>
          </w:p>
        </w:tc>
        <w:tc>
          <w:tcPr>
            <w:tcW w:w="1276" w:type="dxa"/>
            <w:vAlign w:val="center"/>
            <w:hideMark/>
          </w:tcPr>
          <w:p w14:paraId="6EDD0219"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0.00</w:t>
            </w:r>
          </w:p>
        </w:tc>
        <w:tc>
          <w:tcPr>
            <w:tcW w:w="1134" w:type="dxa"/>
            <w:vAlign w:val="center"/>
            <w:hideMark/>
          </w:tcPr>
          <w:p w14:paraId="6EDD021A"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1276" w:type="dxa"/>
            <w:vAlign w:val="center"/>
            <w:hideMark/>
          </w:tcPr>
          <w:p w14:paraId="6EDD021B"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1134" w:type="dxa"/>
            <w:vAlign w:val="center"/>
            <w:hideMark/>
          </w:tcPr>
          <w:p w14:paraId="6EDD021C"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2360" w:type="dxa"/>
            <w:vAlign w:val="center"/>
            <w:hideMark/>
          </w:tcPr>
          <w:p w14:paraId="6EDD021D"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Ligji paraqitet për miratim në parlament dhe konsultohet me të interesuarit e ndryshëm. Nuk ka nevojë për fonde të tjera</w:t>
            </w:r>
          </w:p>
        </w:tc>
      </w:tr>
      <w:tr w:rsidR="000235FE" w:rsidRPr="007114AF" w14:paraId="6EDD022A" w14:textId="77777777" w:rsidTr="000235FE">
        <w:trPr>
          <w:cantSplit/>
          <w:trHeight w:val="20"/>
          <w:jc w:val="center"/>
        </w:trPr>
        <w:tc>
          <w:tcPr>
            <w:cnfStyle w:val="001000000000" w:firstRow="0" w:lastRow="0" w:firstColumn="1" w:lastColumn="0" w:oddVBand="0" w:evenVBand="0" w:oddHBand="0" w:evenHBand="0" w:firstRowFirstColumn="0" w:firstRowLastColumn="0" w:lastRowFirstColumn="0" w:lastRowLastColumn="0"/>
            <w:tcW w:w="496" w:type="dxa"/>
            <w:noWrap/>
            <w:vAlign w:val="center"/>
            <w:hideMark/>
          </w:tcPr>
          <w:p w14:paraId="6EDD021F" w14:textId="77777777" w:rsidR="000235FE" w:rsidRPr="007114AF" w:rsidRDefault="000235FE" w:rsidP="00C136A5">
            <w:pPr>
              <w:spacing w:after="0"/>
              <w:rPr>
                <w:rFonts w:ascii="Garamond" w:eastAsia="Times New Roman" w:hAnsi="Garamond" w:cs="Times New Roman"/>
                <w:b w:val="0"/>
                <w:bCs w:val="0"/>
                <w:sz w:val="18"/>
                <w:szCs w:val="18"/>
              </w:rPr>
            </w:pPr>
            <w:r w:rsidRPr="007114AF">
              <w:rPr>
                <w:rFonts w:ascii="Garamond" w:eastAsia="Times New Roman" w:hAnsi="Garamond" w:cs="Times New Roman"/>
                <w:sz w:val="18"/>
                <w:szCs w:val="18"/>
              </w:rPr>
              <w:t>E4</w:t>
            </w:r>
          </w:p>
        </w:tc>
        <w:tc>
          <w:tcPr>
            <w:tcW w:w="2022" w:type="dxa"/>
            <w:vAlign w:val="center"/>
            <w:hideMark/>
          </w:tcPr>
          <w:p w14:paraId="6EDD0220"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Transferimin në praktikë të kuadrit të ri ligjor për banesat</w:t>
            </w:r>
          </w:p>
        </w:tc>
        <w:tc>
          <w:tcPr>
            <w:tcW w:w="1134" w:type="dxa"/>
            <w:vAlign w:val="center"/>
            <w:hideMark/>
          </w:tcPr>
          <w:p w14:paraId="6EDD0221"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2016-2019</w:t>
            </w:r>
          </w:p>
        </w:tc>
        <w:tc>
          <w:tcPr>
            <w:tcW w:w="992" w:type="dxa"/>
            <w:vAlign w:val="center"/>
            <w:hideMark/>
          </w:tcPr>
          <w:p w14:paraId="6EDD0222"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PKVEE</w:t>
            </w:r>
          </w:p>
        </w:tc>
        <w:tc>
          <w:tcPr>
            <w:tcW w:w="1014" w:type="dxa"/>
            <w:vAlign w:val="center"/>
          </w:tcPr>
          <w:p w14:paraId="6EDD0223"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hAnsi="Garamond"/>
                <w:sz w:val="18"/>
                <w:szCs w:val="18"/>
              </w:rPr>
              <w:t>Indirekte</w:t>
            </w:r>
          </w:p>
        </w:tc>
        <w:tc>
          <w:tcPr>
            <w:tcW w:w="1538" w:type="dxa"/>
            <w:vAlign w:val="center"/>
            <w:hideMark/>
          </w:tcPr>
          <w:p w14:paraId="6EDD0224"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293,000.00</w:t>
            </w:r>
          </w:p>
        </w:tc>
        <w:tc>
          <w:tcPr>
            <w:tcW w:w="1276" w:type="dxa"/>
            <w:vAlign w:val="center"/>
            <w:hideMark/>
          </w:tcPr>
          <w:p w14:paraId="6EDD0225"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293,000.00</w:t>
            </w:r>
          </w:p>
        </w:tc>
        <w:tc>
          <w:tcPr>
            <w:tcW w:w="1134" w:type="dxa"/>
            <w:vAlign w:val="center"/>
            <w:hideMark/>
          </w:tcPr>
          <w:p w14:paraId="6EDD0226"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1276" w:type="dxa"/>
            <w:vAlign w:val="center"/>
            <w:hideMark/>
          </w:tcPr>
          <w:p w14:paraId="6EDD0227"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1134" w:type="dxa"/>
            <w:vAlign w:val="center"/>
            <w:hideMark/>
          </w:tcPr>
          <w:p w14:paraId="6EDD0228"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2360" w:type="dxa"/>
            <w:vAlign w:val="center"/>
            <w:hideMark/>
          </w:tcPr>
          <w:p w14:paraId="6EDD0229" w14:textId="1B1C7B28" w:rsidR="000235FE" w:rsidRPr="007114AF" w:rsidRDefault="000A2A01"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w:t>
            </w:r>
            <w:r w:rsidR="000235FE" w:rsidRPr="007114AF">
              <w:rPr>
                <w:rFonts w:ascii="Garamond" w:eastAsia="Times New Roman" w:hAnsi="Garamond" w:cs="Times New Roman"/>
                <w:sz w:val="18"/>
                <w:szCs w:val="18"/>
              </w:rPr>
              <w:t>Nga fondi EF për të gjithë periudhën</w:t>
            </w:r>
            <w:r w:rsidRPr="007114AF">
              <w:rPr>
                <w:rFonts w:ascii="Garamond" w:eastAsia="Times New Roman" w:hAnsi="Garamond" w:cs="Times New Roman"/>
                <w:sz w:val="18"/>
                <w:szCs w:val="18"/>
              </w:rPr>
              <w:t>”</w:t>
            </w:r>
            <w:r w:rsidR="000235FE" w:rsidRPr="007114AF">
              <w:rPr>
                <w:rFonts w:ascii="Garamond" w:eastAsia="Times New Roman" w:hAnsi="Garamond" w:cs="Times New Roman"/>
                <w:sz w:val="18"/>
                <w:szCs w:val="18"/>
              </w:rPr>
              <w:t xml:space="preserve"> si rezultat i Programit </w:t>
            </w:r>
            <w:r w:rsidRPr="007114AF">
              <w:rPr>
                <w:rFonts w:ascii="Garamond" w:eastAsia="Times New Roman" w:hAnsi="Garamond" w:cs="Times New Roman"/>
                <w:sz w:val="18"/>
                <w:szCs w:val="18"/>
              </w:rPr>
              <w:t>“</w:t>
            </w:r>
            <w:r w:rsidR="000235FE" w:rsidRPr="007114AF">
              <w:rPr>
                <w:rFonts w:ascii="Garamond" w:eastAsia="Times New Roman" w:hAnsi="Garamond" w:cs="Times New Roman"/>
                <w:sz w:val="18"/>
                <w:szCs w:val="18"/>
              </w:rPr>
              <w:t>Planifikimi Urban dhe Banesat</w:t>
            </w:r>
            <w:r w:rsidRPr="007114AF">
              <w:rPr>
                <w:rFonts w:ascii="Garamond" w:eastAsia="Times New Roman" w:hAnsi="Garamond" w:cs="Times New Roman"/>
                <w:sz w:val="18"/>
                <w:szCs w:val="18"/>
              </w:rPr>
              <w:t>”</w:t>
            </w:r>
            <w:r w:rsidR="000235FE" w:rsidRPr="007114AF">
              <w:rPr>
                <w:rFonts w:ascii="Garamond" w:eastAsia="Times New Roman" w:hAnsi="Garamond" w:cs="Times New Roman"/>
                <w:sz w:val="18"/>
                <w:szCs w:val="18"/>
              </w:rPr>
              <w:t>; rehabilitimi i</w:t>
            </w:r>
            <w:r w:rsidRPr="007114AF">
              <w:rPr>
                <w:rFonts w:ascii="Garamond" w:eastAsia="Times New Roman" w:hAnsi="Garamond" w:cs="Times New Roman"/>
                <w:sz w:val="18"/>
                <w:szCs w:val="18"/>
              </w:rPr>
              <w:t xml:space="preserve"> </w:t>
            </w:r>
            <w:r w:rsidR="000235FE" w:rsidRPr="007114AF">
              <w:rPr>
                <w:rFonts w:ascii="Garamond" w:eastAsia="Times New Roman" w:hAnsi="Garamond" w:cs="Times New Roman"/>
                <w:sz w:val="18"/>
                <w:szCs w:val="18"/>
              </w:rPr>
              <w:t>MFH me qëllim të përdorimit racional të energjisë</w:t>
            </w:r>
          </w:p>
        </w:tc>
      </w:tr>
      <w:tr w:rsidR="000235FE" w:rsidRPr="007114AF" w14:paraId="6EDD0236" w14:textId="77777777" w:rsidTr="000235FE">
        <w:trPr>
          <w:cantSplit/>
          <w:trHeight w:val="20"/>
          <w:jc w:val="center"/>
        </w:trPr>
        <w:tc>
          <w:tcPr>
            <w:cnfStyle w:val="001000000000" w:firstRow="0" w:lastRow="0" w:firstColumn="1" w:lastColumn="0" w:oddVBand="0" w:evenVBand="0" w:oddHBand="0" w:evenHBand="0" w:firstRowFirstColumn="0" w:firstRowLastColumn="0" w:lastRowFirstColumn="0" w:lastRowLastColumn="0"/>
            <w:tcW w:w="496" w:type="dxa"/>
            <w:noWrap/>
            <w:vAlign w:val="center"/>
            <w:hideMark/>
          </w:tcPr>
          <w:p w14:paraId="6EDD022B" w14:textId="77777777" w:rsidR="000235FE" w:rsidRPr="007114AF" w:rsidRDefault="000235FE" w:rsidP="00C136A5">
            <w:pPr>
              <w:spacing w:after="0"/>
              <w:rPr>
                <w:rFonts w:ascii="Garamond" w:eastAsia="Times New Roman" w:hAnsi="Garamond" w:cs="Times New Roman"/>
                <w:b w:val="0"/>
                <w:bCs w:val="0"/>
                <w:sz w:val="18"/>
                <w:szCs w:val="18"/>
              </w:rPr>
            </w:pPr>
            <w:r w:rsidRPr="007114AF">
              <w:rPr>
                <w:rFonts w:ascii="Garamond" w:eastAsia="Times New Roman" w:hAnsi="Garamond" w:cs="Times New Roman"/>
                <w:sz w:val="18"/>
                <w:szCs w:val="18"/>
              </w:rPr>
              <w:t>E5</w:t>
            </w:r>
          </w:p>
        </w:tc>
        <w:tc>
          <w:tcPr>
            <w:tcW w:w="2022" w:type="dxa"/>
            <w:vAlign w:val="center"/>
            <w:hideMark/>
          </w:tcPr>
          <w:p w14:paraId="6EDD022C"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xml:space="preserve">Standarde të forta të efikasitetit energjetik për godinat e reja publike </w:t>
            </w:r>
          </w:p>
        </w:tc>
        <w:tc>
          <w:tcPr>
            <w:tcW w:w="1134" w:type="dxa"/>
            <w:vAlign w:val="center"/>
            <w:hideMark/>
          </w:tcPr>
          <w:p w14:paraId="6EDD022D"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2017-2020</w:t>
            </w:r>
          </w:p>
        </w:tc>
        <w:tc>
          <w:tcPr>
            <w:tcW w:w="992" w:type="dxa"/>
            <w:vAlign w:val="center"/>
            <w:hideMark/>
          </w:tcPr>
          <w:p w14:paraId="6EDD022E"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PKVEE; Draftligji mbi EPD</w:t>
            </w:r>
          </w:p>
        </w:tc>
        <w:tc>
          <w:tcPr>
            <w:tcW w:w="1014" w:type="dxa"/>
            <w:vAlign w:val="center"/>
          </w:tcPr>
          <w:p w14:paraId="6EDD022F"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hAnsi="Garamond"/>
                <w:sz w:val="18"/>
                <w:szCs w:val="18"/>
              </w:rPr>
              <w:t>Direkte</w:t>
            </w:r>
          </w:p>
        </w:tc>
        <w:tc>
          <w:tcPr>
            <w:tcW w:w="1538" w:type="dxa"/>
            <w:vAlign w:val="center"/>
            <w:hideMark/>
          </w:tcPr>
          <w:p w14:paraId="6EDD0230"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0.00</w:t>
            </w:r>
          </w:p>
        </w:tc>
        <w:tc>
          <w:tcPr>
            <w:tcW w:w="1276" w:type="dxa"/>
            <w:vAlign w:val="center"/>
            <w:hideMark/>
          </w:tcPr>
          <w:p w14:paraId="6EDD0231"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tc>
        <w:tc>
          <w:tcPr>
            <w:tcW w:w="1134" w:type="dxa"/>
            <w:vAlign w:val="center"/>
            <w:hideMark/>
          </w:tcPr>
          <w:p w14:paraId="6EDD0232"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1276" w:type="dxa"/>
            <w:vAlign w:val="center"/>
            <w:hideMark/>
          </w:tcPr>
          <w:p w14:paraId="6EDD0233"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1134" w:type="dxa"/>
            <w:vAlign w:val="center"/>
            <w:hideMark/>
          </w:tcPr>
          <w:p w14:paraId="6EDD0234"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2360" w:type="dxa"/>
            <w:vAlign w:val="center"/>
            <w:hideMark/>
          </w:tcPr>
          <w:p w14:paraId="6EDD0235"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Ligji është miratuar në 2016. Kostoja e akteve nënligjore është përfshirë në një masë tjetër. Nuk ka nevojë për fonde shtesë</w:t>
            </w:r>
          </w:p>
        </w:tc>
      </w:tr>
      <w:tr w:rsidR="000235FE" w:rsidRPr="007114AF" w14:paraId="6EDD0242" w14:textId="77777777" w:rsidTr="000235FE">
        <w:trPr>
          <w:cantSplit/>
          <w:trHeight w:val="20"/>
          <w:jc w:val="center"/>
        </w:trPr>
        <w:tc>
          <w:tcPr>
            <w:cnfStyle w:val="001000000000" w:firstRow="0" w:lastRow="0" w:firstColumn="1" w:lastColumn="0" w:oddVBand="0" w:evenVBand="0" w:oddHBand="0" w:evenHBand="0" w:firstRowFirstColumn="0" w:firstRowLastColumn="0" w:lastRowFirstColumn="0" w:lastRowLastColumn="0"/>
            <w:tcW w:w="496" w:type="dxa"/>
            <w:noWrap/>
            <w:vAlign w:val="center"/>
            <w:hideMark/>
          </w:tcPr>
          <w:p w14:paraId="6EDD0237" w14:textId="77777777" w:rsidR="000235FE" w:rsidRPr="007114AF" w:rsidRDefault="000235FE" w:rsidP="00C136A5">
            <w:pPr>
              <w:spacing w:after="0"/>
              <w:rPr>
                <w:rFonts w:ascii="Garamond" w:eastAsia="Times New Roman" w:hAnsi="Garamond" w:cs="Times New Roman"/>
                <w:b w:val="0"/>
                <w:bCs w:val="0"/>
                <w:sz w:val="18"/>
                <w:szCs w:val="18"/>
              </w:rPr>
            </w:pPr>
            <w:r w:rsidRPr="007114AF">
              <w:rPr>
                <w:rFonts w:ascii="Garamond" w:eastAsia="Times New Roman" w:hAnsi="Garamond" w:cs="Times New Roman"/>
                <w:sz w:val="18"/>
                <w:szCs w:val="18"/>
              </w:rPr>
              <w:t>E6</w:t>
            </w:r>
          </w:p>
        </w:tc>
        <w:tc>
          <w:tcPr>
            <w:tcW w:w="2022" w:type="dxa"/>
            <w:vAlign w:val="center"/>
            <w:hideMark/>
          </w:tcPr>
          <w:p w14:paraId="6EDD0238" w14:textId="4673B844"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Standardet</w:t>
            </w:r>
            <w:r w:rsidR="00FD5AD9">
              <w:rPr>
                <w:rFonts w:ascii="Garamond" w:eastAsia="Times New Roman" w:hAnsi="Garamond" w:cs="Times New Roman"/>
                <w:sz w:val="18"/>
                <w:szCs w:val="18"/>
              </w:rPr>
              <w:t xml:space="preserve"> </w:t>
            </w:r>
            <w:r w:rsidRPr="007114AF">
              <w:rPr>
                <w:rFonts w:ascii="Garamond" w:eastAsia="Times New Roman" w:hAnsi="Garamond" w:cs="Times New Roman"/>
                <w:sz w:val="18"/>
                <w:szCs w:val="18"/>
              </w:rPr>
              <w:t xml:space="preserve">minimale për ngrohjen dhe ftohjen për godinat e sapondërtuara të shërbimit </w:t>
            </w:r>
          </w:p>
        </w:tc>
        <w:tc>
          <w:tcPr>
            <w:tcW w:w="1134" w:type="dxa"/>
            <w:vAlign w:val="center"/>
            <w:hideMark/>
          </w:tcPr>
          <w:p w14:paraId="6EDD0239"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2017-2020</w:t>
            </w:r>
          </w:p>
        </w:tc>
        <w:tc>
          <w:tcPr>
            <w:tcW w:w="992" w:type="dxa"/>
            <w:vAlign w:val="center"/>
            <w:hideMark/>
          </w:tcPr>
          <w:p w14:paraId="6EDD023A"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PKVEE</w:t>
            </w:r>
          </w:p>
        </w:tc>
        <w:tc>
          <w:tcPr>
            <w:tcW w:w="1014" w:type="dxa"/>
            <w:vAlign w:val="center"/>
          </w:tcPr>
          <w:p w14:paraId="6EDD023B"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hAnsi="Garamond"/>
                <w:sz w:val="18"/>
                <w:szCs w:val="18"/>
              </w:rPr>
              <w:t>Direkte</w:t>
            </w:r>
          </w:p>
        </w:tc>
        <w:tc>
          <w:tcPr>
            <w:tcW w:w="1538" w:type="dxa"/>
            <w:vAlign w:val="center"/>
            <w:hideMark/>
          </w:tcPr>
          <w:p w14:paraId="6EDD023C"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5,000.00</w:t>
            </w:r>
          </w:p>
        </w:tc>
        <w:tc>
          <w:tcPr>
            <w:tcW w:w="1276" w:type="dxa"/>
            <w:vAlign w:val="center"/>
            <w:hideMark/>
          </w:tcPr>
          <w:p w14:paraId="6EDD023D"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5,000.00</w:t>
            </w:r>
          </w:p>
        </w:tc>
        <w:tc>
          <w:tcPr>
            <w:tcW w:w="1134" w:type="dxa"/>
            <w:vAlign w:val="center"/>
            <w:hideMark/>
          </w:tcPr>
          <w:p w14:paraId="6EDD023E"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1276" w:type="dxa"/>
            <w:vAlign w:val="center"/>
            <w:hideMark/>
          </w:tcPr>
          <w:p w14:paraId="6EDD023F"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1134" w:type="dxa"/>
            <w:vAlign w:val="center"/>
            <w:hideMark/>
          </w:tcPr>
          <w:p w14:paraId="6EDD0240"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2360" w:type="dxa"/>
            <w:vAlign w:val="center"/>
            <w:hideMark/>
          </w:tcPr>
          <w:p w14:paraId="6EDD0241"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Kostoja e hartimit të akteve nënligjore</w:t>
            </w:r>
          </w:p>
        </w:tc>
      </w:tr>
      <w:tr w:rsidR="000235FE" w:rsidRPr="007114AF" w14:paraId="6EDD024E" w14:textId="77777777" w:rsidTr="000235FE">
        <w:trPr>
          <w:cantSplit/>
          <w:trHeight w:val="20"/>
          <w:jc w:val="center"/>
        </w:trPr>
        <w:tc>
          <w:tcPr>
            <w:cnfStyle w:val="001000000000" w:firstRow="0" w:lastRow="0" w:firstColumn="1" w:lastColumn="0" w:oddVBand="0" w:evenVBand="0" w:oddHBand="0" w:evenHBand="0" w:firstRowFirstColumn="0" w:firstRowLastColumn="0" w:lastRowFirstColumn="0" w:lastRowLastColumn="0"/>
            <w:tcW w:w="496" w:type="dxa"/>
            <w:noWrap/>
            <w:vAlign w:val="center"/>
            <w:hideMark/>
          </w:tcPr>
          <w:p w14:paraId="6EDD0243" w14:textId="77777777" w:rsidR="000235FE" w:rsidRPr="007114AF" w:rsidRDefault="000235FE" w:rsidP="00C136A5">
            <w:pPr>
              <w:spacing w:after="0"/>
              <w:rPr>
                <w:rFonts w:ascii="Garamond" w:eastAsia="Times New Roman" w:hAnsi="Garamond" w:cs="Times New Roman"/>
                <w:b w:val="0"/>
                <w:bCs w:val="0"/>
                <w:sz w:val="18"/>
                <w:szCs w:val="18"/>
              </w:rPr>
            </w:pPr>
            <w:r w:rsidRPr="007114AF">
              <w:rPr>
                <w:rFonts w:ascii="Garamond" w:eastAsia="Times New Roman" w:hAnsi="Garamond" w:cs="Times New Roman"/>
                <w:sz w:val="18"/>
                <w:szCs w:val="18"/>
              </w:rPr>
              <w:t>E7</w:t>
            </w:r>
          </w:p>
        </w:tc>
        <w:tc>
          <w:tcPr>
            <w:tcW w:w="2022" w:type="dxa"/>
            <w:vAlign w:val="center"/>
            <w:hideMark/>
          </w:tcPr>
          <w:p w14:paraId="6EDD0244" w14:textId="1AE28E26"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Objektivat minimalë energjet</w:t>
            </w:r>
            <w:r w:rsidR="00DA60B5">
              <w:rPr>
                <w:rFonts w:ascii="Garamond" w:eastAsia="Times New Roman" w:hAnsi="Garamond" w:cs="Times New Roman"/>
                <w:sz w:val="18"/>
                <w:szCs w:val="18"/>
              </w:rPr>
              <w:t>ik për ngrohje dhe ftohje (neni</w:t>
            </w:r>
            <w:r w:rsidR="00DA60B5" w:rsidRPr="007114AF">
              <w:rPr>
                <w:rFonts w:ascii="Garamond" w:eastAsia="Times New Roman" w:hAnsi="Garamond" w:cs="Times New Roman"/>
                <w:sz w:val="18"/>
                <w:szCs w:val="18"/>
              </w:rPr>
              <w:t xml:space="preserve"> </w:t>
            </w:r>
            <w:r w:rsidRPr="007114AF">
              <w:rPr>
                <w:rFonts w:ascii="Garamond" w:eastAsia="Times New Roman" w:hAnsi="Garamond" w:cs="Times New Roman"/>
                <w:sz w:val="18"/>
                <w:szCs w:val="18"/>
              </w:rPr>
              <w:t>30)</w:t>
            </w:r>
          </w:p>
        </w:tc>
        <w:tc>
          <w:tcPr>
            <w:tcW w:w="1134" w:type="dxa"/>
            <w:vAlign w:val="center"/>
            <w:hideMark/>
          </w:tcPr>
          <w:p w14:paraId="6EDD0245"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Pas hyrjes në fuqi</w:t>
            </w:r>
          </w:p>
        </w:tc>
        <w:tc>
          <w:tcPr>
            <w:tcW w:w="992" w:type="dxa"/>
            <w:vAlign w:val="center"/>
            <w:hideMark/>
          </w:tcPr>
          <w:p w14:paraId="6EDD0246"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Draftligji mbi BER</w:t>
            </w:r>
          </w:p>
        </w:tc>
        <w:tc>
          <w:tcPr>
            <w:tcW w:w="1014" w:type="dxa"/>
            <w:vAlign w:val="center"/>
          </w:tcPr>
          <w:p w14:paraId="6EDD0247"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hAnsi="Garamond"/>
                <w:sz w:val="18"/>
                <w:szCs w:val="18"/>
              </w:rPr>
              <w:t>Direkte</w:t>
            </w:r>
          </w:p>
        </w:tc>
        <w:tc>
          <w:tcPr>
            <w:tcW w:w="1538" w:type="dxa"/>
            <w:noWrap/>
            <w:vAlign w:val="center"/>
            <w:hideMark/>
          </w:tcPr>
          <w:p w14:paraId="6EDD0248"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0.00</w:t>
            </w:r>
          </w:p>
        </w:tc>
        <w:tc>
          <w:tcPr>
            <w:tcW w:w="1276" w:type="dxa"/>
            <w:vAlign w:val="center"/>
            <w:hideMark/>
          </w:tcPr>
          <w:p w14:paraId="6EDD0249"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0.00</w:t>
            </w:r>
          </w:p>
        </w:tc>
        <w:tc>
          <w:tcPr>
            <w:tcW w:w="1134" w:type="dxa"/>
            <w:vAlign w:val="center"/>
            <w:hideMark/>
          </w:tcPr>
          <w:p w14:paraId="6EDD024A"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1276" w:type="dxa"/>
            <w:vAlign w:val="center"/>
            <w:hideMark/>
          </w:tcPr>
          <w:p w14:paraId="6EDD024B"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1134" w:type="dxa"/>
            <w:vAlign w:val="center"/>
            <w:hideMark/>
          </w:tcPr>
          <w:p w14:paraId="6EDD024C"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2360" w:type="dxa"/>
            <w:vAlign w:val="center"/>
            <w:hideMark/>
          </w:tcPr>
          <w:p w14:paraId="6EDD024D"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Draftvendim i Këshillit të Ministrave për sasinë e energjisë së rinovueshme që do të konsumohet deri në 2020; Masa 1 e planit Kombëtar për Burimet e Energjisë së Rinovueshme</w:t>
            </w:r>
          </w:p>
        </w:tc>
      </w:tr>
      <w:tr w:rsidR="000235FE" w:rsidRPr="007114AF" w14:paraId="6EDD025A" w14:textId="77777777" w:rsidTr="000235FE">
        <w:trPr>
          <w:cantSplit/>
          <w:trHeight w:val="20"/>
          <w:jc w:val="center"/>
        </w:trPr>
        <w:tc>
          <w:tcPr>
            <w:cnfStyle w:val="001000000000" w:firstRow="0" w:lastRow="0" w:firstColumn="1" w:lastColumn="0" w:oddVBand="0" w:evenVBand="0" w:oddHBand="0" w:evenHBand="0" w:firstRowFirstColumn="0" w:firstRowLastColumn="0" w:lastRowFirstColumn="0" w:lastRowLastColumn="0"/>
            <w:tcW w:w="496" w:type="dxa"/>
            <w:noWrap/>
            <w:vAlign w:val="center"/>
            <w:hideMark/>
          </w:tcPr>
          <w:p w14:paraId="6EDD024F" w14:textId="77777777" w:rsidR="000235FE" w:rsidRPr="007114AF" w:rsidRDefault="000235FE" w:rsidP="00C136A5">
            <w:pPr>
              <w:spacing w:after="0"/>
              <w:rPr>
                <w:rFonts w:ascii="Garamond" w:eastAsia="Times New Roman" w:hAnsi="Garamond" w:cs="Times New Roman"/>
                <w:b w:val="0"/>
                <w:bCs w:val="0"/>
                <w:sz w:val="18"/>
                <w:szCs w:val="18"/>
              </w:rPr>
            </w:pPr>
            <w:r w:rsidRPr="007114AF">
              <w:rPr>
                <w:rFonts w:ascii="Garamond" w:eastAsia="Times New Roman" w:hAnsi="Garamond" w:cs="Times New Roman"/>
                <w:sz w:val="18"/>
                <w:szCs w:val="18"/>
              </w:rPr>
              <w:t>E8</w:t>
            </w:r>
          </w:p>
        </w:tc>
        <w:tc>
          <w:tcPr>
            <w:tcW w:w="2022" w:type="dxa"/>
            <w:vAlign w:val="center"/>
            <w:hideMark/>
          </w:tcPr>
          <w:p w14:paraId="6EDD0250"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Minimumi i detyrueshëm i sistemeve të ngrohjes së ujit me panele diellore (Art. 31)</w:t>
            </w:r>
          </w:p>
        </w:tc>
        <w:tc>
          <w:tcPr>
            <w:tcW w:w="1134" w:type="dxa"/>
            <w:vAlign w:val="center"/>
            <w:hideMark/>
          </w:tcPr>
          <w:p w14:paraId="6EDD0251"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Pas hyrjes në fuqi (2018-2019)</w:t>
            </w:r>
          </w:p>
        </w:tc>
        <w:tc>
          <w:tcPr>
            <w:tcW w:w="992" w:type="dxa"/>
            <w:vAlign w:val="center"/>
            <w:hideMark/>
          </w:tcPr>
          <w:p w14:paraId="6EDD0252"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Draftligji mbi BER</w:t>
            </w:r>
          </w:p>
        </w:tc>
        <w:tc>
          <w:tcPr>
            <w:tcW w:w="1014" w:type="dxa"/>
            <w:vAlign w:val="center"/>
          </w:tcPr>
          <w:p w14:paraId="6EDD0253"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hAnsi="Garamond"/>
                <w:sz w:val="18"/>
                <w:szCs w:val="18"/>
              </w:rPr>
              <w:t>Indirekte</w:t>
            </w:r>
          </w:p>
        </w:tc>
        <w:tc>
          <w:tcPr>
            <w:tcW w:w="1538" w:type="dxa"/>
            <w:noWrap/>
            <w:vAlign w:val="center"/>
            <w:hideMark/>
          </w:tcPr>
          <w:p w14:paraId="6EDD0254"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8,000.00</w:t>
            </w:r>
          </w:p>
        </w:tc>
        <w:tc>
          <w:tcPr>
            <w:tcW w:w="1276" w:type="dxa"/>
            <w:vAlign w:val="center"/>
            <w:hideMark/>
          </w:tcPr>
          <w:p w14:paraId="6EDD0255"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8,000.00</w:t>
            </w:r>
          </w:p>
        </w:tc>
        <w:tc>
          <w:tcPr>
            <w:tcW w:w="1134" w:type="dxa"/>
            <w:vAlign w:val="center"/>
            <w:hideMark/>
          </w:tcPr>
          <w:p w14:paraId="6EDD0256"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1276" w:type="dxa"/>
            <w:vAlign w:val="center"/>
            <w:hideMark/>
          </w:tcPr>
          <w:p w14:paraId="6EDD0257"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1134" w:type="dxa"/>
            <w:vAlign w:val="center"/>
            <w:hideMark/>
          </w:tcPr>
          <w:p w14:paraId="6EDD0258"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2360" w:type="dxa"/>
            <w:vAlign w:val="center"/>
            <w:hideMark/>
          </w:tcPr>
          <w:p w14:paraId="6EDD0259"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Monitorimi i Performancës së Energjisë në godinat ekzistuese, shtëpitë dhe shërbimet publike</w:t>
            </w:r>
          </w:p>
        </w:tc>
      </w:tr>
      <w:tr w:rsidR="000235FE" w:rsidRPr="007114AF" w14:paraId="6EDD0266" w14:textId="77777777" w:rsidTr="000235FE">
        <w:trPr>
          <w:cantSplit/>
          <w:trHeight w:val="20"/>
          <w:jc w:val="center"/>
        </w:trPr>
        <w:tc>
          <w:tcPr>
            <w:cnfStyle w:val="001000000000" w:firstRow="0" w:lastRow="0" w:firstColumn="1" w:lastColumn="0" w:oddVBand="0" w:evenVBand="0" w:oddHBand="0" w:evenHBand="0" w:firstRowFirstColumn="0" w:firstRowLastColumn="0" w:lastRowFirstColumn="0" w:lastRowLastColumn="0"/>
            <w:tcW w:w="496" w:type="dxa"/>
            <w:noWrap/>
            <w:vAlign w:val="center"/>
            <w:hideMark/>
          </w:tcPr>
          <w:p w14:paraId="6EDD025B" w14:textId="77777777" w:rsidR="000235FE" w:rsidRPr="007114AF" w:rsidRDefault="000235FE" w:rsidP="00C136A5">
            <w:pPr>
              <w:spacing w:after="0"/>
              <w:rPr>
                <w:rFonts w:ascii="Garamond" w:eastAsia="Times New Roman" w:hAnsi="Garamond" w:cs="Times New Roman"/>
                <w:b w:val="0"/>
                <w:bCs w:val="0"/>
                <w:sz w:val="18"/>
                <w:szCs w:val="18"/>
              </w:rPr>
            </w:pPr>
            <w:r w:rsidRPr="007114AF">
              <w:rPr>
                <w:rFonts w:ascii="Garamond" w:eastAsia="Times New Roman" w:hAnsi="Garamond" w:cs="Times New Roman"/>
                <w:sz w:val="18"/>
                <w:szCs w:val="18"/>
              </w:rPr>
              <w:lastRenderedPageBreak/>
              <w:t>E9</w:t>
            </w:r>
          </w:p>
        </w:tc>
        <w:tc>
          <w:tcPr>
            <w:tcW w:w="2022" w:type="dxa"/>
            <w:vAlign w:val="center"/>
            <w:hideMark/>
          </w:tcPr>
          <w:p w14:paraId="6EDD025C" w14:textId="2D9EF6ED"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Kursimet energjetike: standarde më të forta energjetike për godinat e reja të shërbimit, publike ose private, (efic</w:t>
            </w:r>
            <w:r w:rsidR="00FD5AD9">
              <w:rPr>
                <w:rFonts w:ascii="Garamond" w:eastAsia="Times New Roman" w:hAnsi="Garamond" w:cs="Times New Roman"/>
                <w:sz w:val="18"/>
                <w:szCs w:val="18"/>
              </w:rPr>
              <w:t>i</w:t>
            </w:r>
            <w:r w:rsidRPr="007114AF">
              <w:rPr>
                <w:rFonts w:ascii="Garamond" w:eastAsia="Times New Roman" w:hAnsi="Garamond" w:cs="Times New Roman"/>
                <w:sz w:val="18"/>
                <w:szCs w:val="18"/>
              </w:rPr>
              <w:t xml:space="preserve">enca e energjisë në rregullimin e godinave private dhe publike) </w:t>
            </w:r>
          </w:p>
        </w:tc>
        <w:tc>
          <w:tcPr>
            <w:tcW w:w="1134" w:type="dxa"/>
            <w:vAlign w:val="center"/>
            <w:hideMark/>
          </w:tcPr>
          <w:p w14:paraId="6EDD025D"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2016-2017</w:t>
            </w:r>
          </w:p>
        </w:tc>
        <w:tc>
          <w:tcPr>
            <w:tcW w:w="992" w:type="dxa"/>
            <w:vAlign w:val="center"/>
            <w:hideMark/>
          </w:tcPr>
          <w:p w14:paraId="6EDD025E"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PKVEE; Draftligji mbi EPD</w:t>
            </w:r>
          </w:p>
        </w:tc>
        <w:tc>
          <w:tcPr>
            <w:tcW w:w="1014" w:type="dxa"/>
            <w:vAlign w:val="center"/>
          </w:tcPr>
          <w:p w14:paraId="6EDD025F"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hAnsi="Garamond"/>
                <w:sz w:val="18"/>
                <w:szCs w:val="18"/>
              </w:rPr>
              <w:t>Direkte</w:t>
            </w:r>
          </w:p>
        </w:tc>
        <w:tc>
          <w:tcPr>
            <w:tcW w:w="1538" w:type="dxa"/>
            <w:noWrap/>
            <w:vAlign w:val="center"/>
            <w:hideMark/>
          </w:tcPr>
          <w:p w14:paraId="6EDD0260"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11,000.00</w:t>
            </w:r>
          </w:p>
        </w:tc>
        <w:tc>
          <w:tcPr>
            <w:tcW w:w="1276" w:type="dxa"/>
            <w:noWrap/>
            <w:vAlign w:val="center"/>
            <w:hideMark/>
          </w:tcPr>
          <w:p w14:paraId="6EDD0261"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11,000.00</w:t>
            </w:r>
          </w:p>
        </w:tc>
        <w:tc>
          <w:tcPr>
            <w:tcW w:w="1134" w:type="dxa"/>
            <w:noWrap/>
            <w:vAlign w:val="center"/>
            <w:hideMark/>
          </w:tcPr>
          <w:p w14:paraId="6EDD0262"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1276" w:type="dxa"/>
            <w:noWrap/>
            <w:vAlign w:val="center"/>
            <w:hideMark/>
          </w:tcPr>
          <w:p w14:paraId="6EDD0263"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1134" w:type="dxa"/>
            <w:noWrap/>
            <w:vAlign w:val="center"/>
            <w:hideMark/>
          </w:tcPr>
          <w:p w14:paraId="6EDD0264"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2360" w:type="dxa"/>
            <w:vAlign w:val="center"/>
            <w:hideMark/>
          </w:tcPr>
          <w:p w14:paraId="6EDD0265"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Kostoja e hartimit dhe e miratimit të ligjit</w:t>
            </w:r>
          </w:p>
        </w:tc>
      </w:tr>
      <w:tr w:rsidR="000235FE" w:rsidRPr="007114AF" w14:paraId="6EDD0272" w14:textId="77777777" w:rsidTr="000235FE">
        <w:trPr>
          <w:cantSplit/>
          <w:trHeight w:val="20"/>
          <w:jc w:val="center"/>
        </w:trPr>
        <w:tc>
          <w:tcPr>
            <w:cnfStyle w:val="001000000000" w:firstRow="0" w:lastRow="0" w:firstColumn="1" w:lastColumn="0" w:oddVBand="0" w:evenVBand="0" w:oddHBand="0" w:evenHBand="0" w:firstRowFirstColumn="0" w:firstRowLastColumn="0" w:lastRowFirstColumn="0" w:lastRowLastColumn="0"/>
            <w:tcW w:w="496" w:type="dxa"/>
            <w:noWrap/>
            <w:vAlign w:val="center"/>
            <w:hideMark/>
          </w:tcPr>
          <w:p w14:paraId="6EDD0267" w14:textId="77777777" w:rsidR="000235FE" w:rsidRPr="007114AF" w:rsidRDefault="000235FE" w:rsidP="00C136A5">
            <w:pPr>
              <w:spacing w:after="0"/>
              <w:rPr>
                <w:rFonts w:ascii="Garamond" w:eastAsia="Times New Roman" w:hAnsi="Garamond" w:cs="Times New Roman"/>
                <w:b w:val="0"/>
                <w:bCs w:val="0"/>
                <w:sz w:val="18"/>
                <w:szCs w:val="18"/>
              </w:rPr>
            </w:pPr>
            <w:r w:rsidRPr="007114AF">
              <w:rPr>
                <w:rFonts w:ascii="Garamond" w:eastAsia="Times New Roman" w:hAnsi="Garamond" w:cs="Times New Roman"/>
                <w:sz w:val="18"/>
                <w:szCs w:val="18"/>
              </w:rPr>
              <w:t>E10</w:t>
            </w:r>
          </w:p>
        </w:tc>
        <w:tc>
          <w:tcPr>
            <w:tcW w:w="2022" w:type="dxa"/>
            <w:vAlign w:val="center"/>
            <w:hideMark/>
          </w:tcPr>
          <w:p w14:paraId="6EDD0268"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xml:space="preserve">Kursimet energjike: rregullat teknike mbi performancën energjetike të godinave </w:t>
            </w:r>
          </w:p>
        </w:tc>
        <w:tc>
          <w:tcPr>
            <w:tcW w:w="1134" w:type="dxa"/>
            <w:vAlign w:val="center"/>
            <w:hideMark/>
          </w:tcPr>
          <w:p w14:paraId="6EDD0269"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2017-2018</w:t>
            </w:r>
          </w:p>
        </w:tc>
        <w:tc>
          <w:tcPr>
            <w:tcW w:w="992" w:type="dxa"/>
            <w:vAlign w:val="center"/>
            <w:hideMark/>
          </w:tcPr>
          <w:p w14:paraId="6EDD026A"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PKVEE</w:t>
            </w:r>
          </w:p>
        </w:tc>
        <w:tc>
          <w:tcPr>
            <w:tcW w:w="1014" w:type="dxa"/>
            <w:vAlign w:val="center"/>
          </w:tcPr>
          <w:p w14:paraId="6EDD026B"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hAnsi="Garamond"/>
                <w:sz w:val="18"/>
                <w:szCs w:val="18"/>
              </w:rPr>
              <w:t>Indirekte</w:t>
            </w:r>
          </w:p>
        </w:tc>
        <w:tc>
          <w:tcPr>
            <w:tcW w:w="1538" w:type="dxa"/>
            <w:noWrap/>
            <w:vAlign w:val="center"/>
            <w:hideMark/>
          </w:tcPr>
          <w:p w14:paraId="6EDD026C"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5,000.00</w:t>
            </w:r>
          </w:p>
        </w:tc>
        <w:tc>
          <w:tcPr>
            <w:tcW w:w="1276" w:type="dxa"/>
            <w:noWrap/>
            <w:vAlign w:val="center"/>
            <w:hideMark/>
          </w:tcPr>
          <w:p w14:paraId="6EDD026D"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5,000.00</w:t>
            </w:r>
          </w:p>
        </w:tc>
        <w:tc>
          <w:tcPr>
            <w:tcW w:w="1134" w:type="dxa"/>
            <w:noWrap/>
            <w:vAlign w:val="center"/>
            <w:hideMark/>
          </w:tcPr>
          <w:p w14:paraId="6EDD026E"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1276" w:type="dxa"/>
            <w:noWrap/>
            <w:vAlign w:val="center"/>
            <w:hideMark/>
          </w:tcPr>
          <w:p w14:paraId="6EDD026F"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1134" w:type="dxa"/>
            <w:noWrap/>
            <w:vAlign w:val="center"/>
            <w:hideMark/>
          </w:tcPr>
          <w:p w14:paraId="6EDD0270"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2360" w:type="dxa"/>
            <w:vAlign w:val="center"/>
            <w:hideMark/>
          </w:tcPr>
          <w:p w14:paraId="6EDD0271" w14:textId="26EFD39D"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Kostoja e hartimit të kodeve</w:t>
            </w:r>
            <w:r w:rsidR="000A2A01" w:rsidRPr="007114AF">
              <w:rPr>
                <w:rFonts w:ascii="Garamond" w:eastAsia="Times New Roman" w:hAnsi="Garamond" w:cs="Times New Roman"/>
                <w:sz w:val="18"/>
                <w:szCs w:val="18"/>
              </w:rPr>
              <w:t xml:space="preserve"> </w:t>
            </w:r>
            <w:r w:rsidRPr="007114AF">
              <w:rPr>
                <w:rFonts w:ascii="Garamond" w:eastAsia="Times New Roman" w:hAnsi="Garamond" w:cs="Times New Roman"/>
                <w:sz w:val="18"/>
                <w:szCs w:val="18"/>
              </w:rPr>
              <w:t>(kryesisht burime njerëzore). Kostot për njësi sipas akteve të tjera nënligjore</w:t>
            </w:r>
          </w:p>
        </w:tc>
      </w:tr>
      <w:tr w:rsidR="000235FE" w:rsidRPr="007114AF" w14:paraId="6EDD027E" w14:textId="77777777" w:rsidTr="000235FE">
        <w:trPr>
          <w:cantSplit/>
          <w:trHeight w:val="2197"/>
          <w:jc w:val="center"/>
        </w:trPr>
        <w:tc>
          <w:tcPr>
            <w:cnfStyle w:val="001000000000" w:firstRow="0" w:lastRow="0" w:firstColumn="1" w:lastColumn="0" w:oddVBand="0" w:evenVBand="0" w:oddHBand="0" w:evenHBand="0" w:firstRowFirstColumn="0" w:firstRowLastColumn="0" w:lastRowFirstColumn="0" w:lastRowLastColumn="0"/>
            <w:tcW w:w="496" w:type="dxa"/>
            <w:noWrap/>
            <w:vAlign w:val="center"/>
            <w:hideMark/>
          </w:tcPr>
          <w:p w14:paraId="6EDD0273" w14:textId="77777777" w:rsidR="000235FE" w:rsidRPr="007114AF" w:rsidRDefault="000235FE" w:rsidP="00C136A5">
            <w:pPr>
              <w:spacing w:after="0"/>
              <w:rPr>
                <w:rFonts w:ascii="Garamond" w:eastAsia="Times New Roman" w:hAnsi="Garamond" w:cs="Times New Roman"/>
                <w:b w:val="0"/>
                <w:bCs w:val="0"/>
                <w:sz w:val="18"/>
                <w:szCs w:val="18"/>
              </w:rPr>
            </w:pPr>
            <w:r w:rsidRPr="007114AF">
              <w:rPr>
                <w:rFonts w:ascii="Garamond" w:eastAsia="Times New Roman" w:hAnsi="Garamond" w:cs="Times New Roman"/>
                <w:sz w:val="18"/>
                <w:szCs w:val="18"/>
              </w:rPr>
              <w:t>E11</w:t>
            </w:r>
          </w:p>
        </w:tc>
        <w:tc>
          <w:tcPr>
            <w:tcW w:w="2022" w:type="dxa"/>
            <w:vAlign w:val="center"/>
            <w:hideMark/>
          </w:tcPr>
          <w:p w14:paraId="6EDD0274"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Programi i rregullimit të godinave publike të shërbimit</w:t>
            </w:r>
          </w:p>
        </w:tc>
        <w:tc>
          <w:tcPr>
            <w:tcW w:w="1134" w:type="dxa"/>
            <w:vAlign w:val="center"/>
            <w:hideMark/>
          </w:tcPr>
          <w:p w14:paraId="6EDD0275"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2016-2020</w:t>
            </w:r>
          </w:p>
        </w:tc>
        <w:tc>
          <w:tcPr>
            <w:tcW w:w="992" w:type="dxa"/>
            <w:vAlign w:val="center"/>
            <w:hideMark/>
          </w:tcPr>
          <w:p w14:paraId="6EDD0276"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PKVEE</w:t>
            </w:r>
          </w:p>
        </w:tc>
        <w:tc>
          <w:tcPr>
            <w:tcW w:w="1014" w:type="dxa"/>
            <w:vAlign w:val="center"/>
          </w:tcPr>
          <w:p w14:paraId="6EDD0277"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Direkte</w:t>
            </w:r>
          </w:p>
        </w:tc>
        <w:tc>
          <w:tcPr>
            <w:tcW w:w="1538" w:type="dxa"/>
            <w:vAlign w:val="center"/>
            <w:hideMark/>
          </w:tcPr>
          <w:p w14:paraId="6EDD0278"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5,600,000.00</w:t>
            </w:r>
          </w:p>
        </w:tc>
        <w:tc>
          <w:tcPr>
            <w:tcW w:w="1276" w:type="dxa"/>
            <w:vAlign w:val="center"/>
            <w:hideMark/>
          </w:tcPr>
          <w:p w14:paraId="6EDD0279"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2,600,000.00</w:t>
            </w:r>
          </w:p>
        </w:tc>
        <w:tc>
          <w:tcPr>
            <w:tcW w:w="1134" w:type="dxa"/>
            <w:vAlign w:val="center"/>
            <w:hideMark/>
          </w:tcPr>
          <w:p w14:paraId="6EDD027A"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1276" w:type="dxa"/>
            <w:vAlign w:val="center"/>
            <w:hideMark/>
          </w:tcPr>
          <w:p w14:paraId="6EDD027B"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3,000,000.00</w:t>
            </w:r>
          </w:p>
        </w:tc>
        <w:tc>
          <w:tcPr>
            <w:tcW w:w="1134" w:type="dxa"/>
            <w:vAlign w:val="center"/>
            <w:hideMark/>
          </w:tcPr>
          <w:p w14:paraId="6EDD027C"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2360" w:type="dxa"/>
            <w:vAlign w:val="center"/>
            <w:hideMark/>
          </w:tcPr>
          <w:p w14:paraId="6EDD027D" w14:textId="3E9CE0DF"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Kostot treguese për investimin në godinat e shërbimeve publike në qeverisjen qendrore dhe vendore; fondet e nevojshme për rinovim të godinave publike dalin nga Plan</w:t>
            </w:r>
            <w:r w:rsidR="00FD5AD9">
              <w:rPr>
                <w:rFonts w:ascii="Garamond" w:eastAsia="Times New Roman" w:hAnsi="Garamond" w:cs="Times New Roman"/>
                <w:sz w:val="18"/>
                <w:szCs w:val="18"/>
              </w:rPr>
              <w:t xml:space="preserve"> </w:t>
            </w:r>
            <w:r w:rsidRPr="007114AF">
              <w:rPr>
                <w:rFonts w:ascii="Garamond" w:eastAsia="Times New Roman" w:hAnsi="Garamond" w:cs="Times New Roman"/>
                <w:sz w:val="18"/>
                <w:szCs w:val="18"/>
              </w:rPr>
              <w:t>Veprimi i Dytë dhe i Tretë Kombëtar mbi Eficiencën e Energjisë/R 10</w:t>
            </w:r>
          </w:p>
        </w:tc>
      </w:tr>
      <w:tr w:rsidR="000235FE" w:rsidRPr="007114AF" w14:paraId="6EDD028A" w14:textId="77777777" w:rsidTr="000235FE">
        <w:trPr>
          <w:cantSplit/>
          <w:trHeight w:val="20"/>
          <w:jc w:val="center"/>
        </w:trPr>
        <w:tc>
          <w:tcPr>
            <w:cnfStyle w:val="001000000000" w:firstRow="0" w:lastRow="0" w:firstColumn="1" w:lastColumn="0" w:oddVBand="0" w:evenVBand="0" w:oddHBand="0" w:evenHBand="0" w:firstRowFirstColumn="0" w:firstRowLastColumn="0" w:lastRowFirstColumn="0" w:lastRowLastColumn="0"/>
            <w:tcW w:w="496" w:type="dxa"/>
            <w:noWrap/>
            <w:vAlign w:val="center"/>
            <w:hideMark/>
          </w:tcPr>
          <w:p w14:paraId="6EDD027F" w14:textId="77777777" w:rsidR="000235FE" w:rsidRPr="007114AF" w:rsidRDefault="000235FE" w:rsidP="00C136A5">
            <w:pPr>
              <w:spacing w:after="0"/>
              <w:rPr>
                <w:rFonts w:ascii="Garamond" w:eastAsia="Times New Roman" w:hAnsi="Garamond" w:cs="Times New Roman"/>
                <w:b w:val="0"/>
                <w:bCs w:val="0"/>
                <w:sz w:val="18"/>
                <w:szCs w:val="18"/>
              </w:rPr>
            </w:pPr>
            <w:r w:rsidRPr="007114AF">
              <w:rPr>
                <w:rFonts w:ascii="Garamond" w:eastAsia="Times New Roman" w:hAnsi="Garamond" w:cs="Times New Roman"/>
                <w:sz w:val="18"/>
                <w:szCs w:val="18"/>
              </w:rPr>
              <w:t>E12</w:t>
            </w:r>
          </w:p>
        </w:tc>
        <w:tc>
          <w:tcPr>
            <w:tcW w:w="2022" w:type="dxa"/>
            <w:vAlign w:val="center"/>
            <w:hideMark/>
          </w:tcPr>
          <w:p w14:paraId="6EDD0280" w14:textId="789752FD"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Masat e Eficiencës së Energjisë në Sektorin Publik dhe Masat Ndërsektoriale (</w:t>
            </w:r>
            <w:r w:rsidR="00DA60B5" w:rsidRPr="007114AF">
              <w:rPr>
                <w:rFonts w:ascii="Garamond" w:eastAsia="Times New Roman" w:hAnsi="Garamond" w:cs="Times New Roman"/>
                <w:sz w:val="18"/>
                <w:szCs w:val="18"/>
              </w:rPr>
              <w:t>neni</w:t>
            </w:r>
            <w:r w:rsidR="00DA60B5">
              <w:rPr>
                <w:rFonts w:ascii="Garamond" w:eastAsia="Times New Roman" w:hAnsi="Garamond" w:cs="Times New Roman"/>
                <w:sz w:val="18"/>
                <w:szCs w:val="18"/>
              </w:rPr>
              <w:t xml:space="preserve"> </w:t>
            </w:r>
            <w:r w:rsidRPr="007114AF">
              <w:rPr>
                <w:rFonts w:ascii="Garamond" w:eastAsia="Times New Roman" w:hAnsi="Garamond" w:cs="Times New Roman"/>
                <w:sz w:val="18"/>
                <w:szCs w:val="18"/>
              </w:rPr>
              <w:t>9)</w:t>
            </w:r>
          </w:p>
        </w:tc>
        <w:tc>
          <w:tcPr>
            <w:tcW w:w="1134" w:type="dxa"/>
            <w:vAlign w:val="center"/>
            <w:hideMark/>
          </w:tcPr>
          <w:p w14:paraId="6EDD0281"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2016-2020</w:t>
            </w:r>
          </w:p>
        </w:tc>
        <w:tc>
          <w:tcPr>
            <w:tcW w:w="992" w:type="dxa"/>
            <w:noWrap/>
            <w:vAlign w:val="center"/>
            <w:hideMark/>
          </w:tcPr>
          <w:p w14:paraId="6EDD0282"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Ligji 124/2015 Mbi Eficiencën e Energjisë</w:t>
            </w:r>
          </w:p>
        </w:tc>
        <w:tc>
          <w:tcPr>
            <w:tcW w:w="1014" w:type="dxa"/>
            <w:vAlign w:val="center"/>
          </w:tcPr>
          <w:p w14:paraId="6EDD0283"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hAnsi="Garamond"/>
                <w:sz w:val="18"/>
                <w:szCs w:val="18"/>
              </w:rPr>
              <w:t>Mundësuese</w:t>
            </w:r>
          </w:p>
        </w:tc>
        <w:tc>
          <w:tcPr>
            <w:tcW w:w="1538" w:type="dxa"/>
            <w:noWrap/>
            <w:vAlign w:val="center"/>
            <w:hideMark/>
          </w:tcPr>
          <w:p w14:paraId="6EDD0284"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28,000.00</w:t>
            </w:r>
          </w:p>
        </w:tc>
        <w:tc>
          <w:tcPr>
            <w:tcW w:w="1276" w:type="dxa"/>
            <w:noWrap/>
            <w:vAlign w:val="center"/>
            <w:hideMark/>
          </w:tcPr>
          <w:p w14:paraId="6EDD0285"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9,000.00</w:t>
            </w:r>
          </w:p>
        </w:tc>
        <w:tc>
          <w:tcPr>
            <w:tcW w:w="1134" w:type="dxa"/>
            <w:vAlign w:val="center"/>
            <w:hideMark/>
          </w:tcPr>
          <w:p w14:paraId="6EDD0286"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1276" w:type="dxa"/>
            <w:vAlign w:val="center"/>
            <w:hideMark/>
          </w:tcPr>
          <w:p w14:paraId="6EDD0287"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1134" w:type="dxa"/>
            <w:vAlign w:val="center"/>
            <w:hideMark/>
          </w:tcPr>
          <w:p w14:paraId="6EDD0288"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19,000.00</w:t>
            </w:r>
          </w:p>
        </w:tc>
        <w:tc>
          <w:tcPr>
            <w:tcW w:w="2360" w:type="dxa"/>
            <w:vAlign w:val="center"/>
            <w:hideMark/>
          </w:tcPr>
          <w:p w14:paraId="6EDD0289" w14:textId="35517EE7" w:rsidR="000235FE" w:rsidRPr="007114AF" w:rsidRDefault="000235FE" w:rsidP="0000517F">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Kosto totale e marrë nga Plani i Dytë dhe i Tretë Kombëtar mbi Eficiencën e Energjisë për Shqipërinë 2016-2020; Manuali për prokurimin e gjelbër si e dalë n</w:t>
            </w:r>
            <w:r w:rsidR="0000517F">
              <w:rPr>
                <w:rFonts w:ascii="Garamond" w:eastAsia="Times New Roman" w:hAnsi="Garamond" w:cs="Times New Roman"/>
                <w:sz w:val="18"/>
                <w:szCs w:val="18"/>
              </w:rPr>
              <w:t>ë</w:t>
            </w:r>
            <w:r w:rsidRPr="007114AF">
              <w:rPr>
                <w:rFonts w:ascii="Garamond" w:eastAsia="Times New Roman" w:hAnsi="Garamond" w:cs="Times New Roman"/>
                <w:sz w:val="18"/>
                <w:szCs w:val="18"/>
              </w:rPr>
              <w:t xml:space="preserve"> buxhetin në terma afatmesëm</w:t>
            </w:r>
          </w:p>
        </w:tc>
      </w:tr>
      <w:tr w:rsidR="000235FE" w:rsidRPr="007114AF" w14:paraId="6EDD0296" w14:textId="77777777" w:rsidTr="000235FE">
        <w:trPr>
          <w:cantSplit/>
          <w:trHeight w:val="20"/>
          <w:jc w:val="center"/>
        </w:trPr>
        <w:tc>
          <w:tcPr>
            <w:cnfStyle w:val="001000000000" w:firstRow="0" w:lastRow="0" w:firstColumn="1" w:lastColumn="0" w:oddVBand="0" w:evenVBand="0" w:oddHBand="0" w:evenHBand="0" w:firstRowFirstColumn="0" w:firstRowLastColumn="0" w:lastRowFirstColumn="0" w:lastRowLastColumn="0"/>
            <w:tcW w:w="496" w:type="dxa"/>
            <w:noWrap/>
            <w:vAlign w:val="center"/>
            <w:hideMark/>
          </w:tcPr>
          <w:p w14:paraId="6EDD028B" w14:textId="77777777" w:rsidR="000235FE" w:rsidRPr="007114AF" w:rsidRDefault="000235FE" w:rsidP="00C136A5">
            <w:pPr>
              <w:spacing w:after="0"/>
              <w:rPr>
                <w:rFonts w:ascii="Garamond" w:eastAsia="Times New Roman" w:hAnsi="Garamond" w:cs="Times New Roman"/>
                <w:b w:val="0"/>
                <w:bCs w:val="0"/>
                <w:sz w:val="18"/>
                <w:szCs w:val="18"/>
              </w:rPr>
            </w:pPr>
            <w:r w:rsidRPr="007114AF">
              <w:rPr>
                <w:rFonts w:ascii="Garamond" w:eastAsia="Times New Roman" w:hAnsi="Garamond" w:cs="Times New Roman"/>
                <w:sz w:val="18"/>
                <w:szCs w:val="18"/>
              </w:rPr>
              <w:t>E13</w:t>
            </w:r>
          </w:p>
        </w:tc>
        <w:tc>
          <w:tcPr>
            <w:tcW w:w="2022" w:type="dxa"/>
            <w:vAlign w:val="center"/>
            <w:hideMark/>
          </w:tcPr>
          <w:p w14:paraId="6EDD028C" w14:textId="6057A6B3" w:rsidR="000235FE" w:rsidRPr="007114AF" w:rsidRDefault="000235FE" w:rsidP="00DA60B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Agjencia përgjegjëse për energjitë e rinovueshme (</w:t>
            </w:r>
            <w:r w:rsidR="00DA60B5" w:rsidRPr="007114AF">
              <w:rPr>
                <w:rFonts w:ascii="Garamond" w:eastAsia="Times New Roman" w:hAnsi="Garamond" w:cs="Times New Roman"/>
                <w:sz w:val="18"/>
                <w:szCs w:val="18"/>
              </w:rPr>
              <w:t>neni</w:t>
            </w:r>
            <w:r w:rsidRPr="007114AF">
              <w:rPr>
                <w:rFonts w:ascii="Garamond" w:eastAsia="Times New Roman" w:hAnsi="Garamond" w:cs="Times New Roman"/>
                <w:sz w:val="18"/>
                <w:szCs w:val="18"/>
              </w:rPr>
              <w:t xml:space="preserve"> 13-14)</w:t>
            </w:r>
          </w:p>
        </w:tc>
        <w:tc>
          <w:tcPr>
            <w:tcW w:w="1134" w:type="dxa"/>
            <w:vAlign w:val="center"/>
            <w:hideMark/>
          </w:tcPr>
          <w:p w14:paraId="6EDD028D"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Pas hyrjes në fuqi</w:t>
            </w:r>
          </w:p>
        </w:tc>
        <w:tc>
          <w:tcPr>
            <w:tcW w:w="992" w:type="dxa"/>
            <w:vAlign w:val="center"/>
            <w:hideMark/>
          </w:tcPr>
          <w:p w14:paraId="6EDD028E"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Draftligji mbi BER</w:t>
            </w:r>
          </w:p>
        </w:tc>
        <w:tc>
          <w:tcPr>
            <w:tcW w:w="1014" w:type="dxa"/>
            <w:vAlign w:val="center"/>
          </w:tcPr>
          <w:p w14:paraId="6EDD028F"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hAnsi="Garamond"/>
                <w:sz w:val="18"/>
                <w:szCs w:val="18"/>
              </w:rPr>
              <w:t>Mundësuese</w:t>
            </w:r>
          </w:p>
        </w:tc>
        <w:tc>
          <w:tcPr>
            <w:tcW w:w="1538" w:type="dxa"/>
            <w:noWrap/>
            <w:vAlign w:val="center"/>
            <w:hideMark/>
          </w:tcPr>
          <w:p w14:paraId="6EDD0290"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185,000.00</w:t>
            </w:r>
          </w:p>
        </w:tc>
        <w:tc>
          <w:tcPr>
            <w:tcW w:w="1276" w:type="dxa"/>
            <w:vAlign w:val="center"/>
            <w:hideMark/>
          </w:tcPr>
          <w:p w14:paraId="6EDD0291"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tc>
        <w:tc>
          <w:tcPr>
            <w:tcW w:w="1134" w:type="dxa"/>
            <w:vAlign w:val="center"/>
            <w:hideMark/>
          </w:tcPr>
          <w:p w14:paraId="6EDD0292"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1276" w:type="dxa"/>
            <w:vAlign w:val="center"/>
            <w:hideMark/>
          </w:tcPr>
          <w:p w14:paraId="6EDD0293"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1134" w:type="dxa"/>
            <w:vAlign w:val="center"/>
            <w:hideMark/>
          </w:tcPr>
          <w:p w14:paraId="6EDD0294"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185,000.00</w:t>
            </w:r>
          </w:p>
        </w:tc>
        <w:tc>
          <w:tcPr>
            <w:tcW w:w="2360" w:type="dxa"/>
            <w:vAlign w:val="center"/>
            <w:hideMark/>
          </w:tcPr>
          <w:p w14:paraId="6EDD0295" w14:textId="0B5B0A0A" w:rsidR="000235FE" w:rsidRPr="007114AF" w:rsidRDefault="000235FE" w:rsidP="00FD5AD9">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Kosto për godinat institucionale. Kostot parashikohen në bazë të p</w:t>
            </w:r>
            <w:r w:rsidR="00FD5AD9">
              <w:rPr>
                <w:rFonts w:ascii="Garamond" w:eastAsia="Times New Roman" w:hAnsi="Garamond" w:cs="Times New Roman"/>
                <w:sz w:val="18"/>
                <w:szCs w:val="18"/>
              </w:rPr>
              <w:t>ë</w:t>
            </w:r>
            <w:r w:rsidRPr="007114AF">
              <w:rPr>
                <w:rFonts w:ascii="Garamond" w:eastAsia="Times New Roman" w:hAnsi="Garamond" w:cs="Times New Roman"/>
                <w:sz w:val="18"/>
                <w:szCs w:val="18"/>
              </w:rPr>
              <w:t>rdorimit të energjisë</w:t>
            </w:r>
          </w:p>
        </w:tc>
      </w:tr>
      <w:tr w:rsidR="000235FE" w:rsidRPr="007114AF" w14:paraId="6EDD02A2" w14:textId="77777777" w:rsidTr="000235FE">
        <w:trPr>
          <w:cantSplit/>
          <w:trHeight w:val="20"/>
          <w:jc w:val="center"/>
        </w:trPr>
        <w:tc>
          <w:tcPr>
            <w:cnfStyle w:val="001000000000" w:firstRow="0" w:lastRow="0" w:firstColumn="1" w:lastColumn="0" w:oddVBand="0" w:evenVBand="0" w:oddHBand="0" w:evenHBand="0" w:firstRowFirstColumn="0" w:firstRowLastColumn="0" w:lastRowFirstColumn="0" w:lastRowLastColumn="0"/>
            <w:tcW w:w="496" w:type="dxa"/>
            <w:noWrap/>
            <w:vAlign w:val="center"/>
            <w:hideMark/>
          </w:tcPr>
          <w:p w14:paraId="6EDD0297" w14:textId="77777777" w:rsidR="000235FE" w:rsidRPr="007114AF" w:rsidRDefault="000235FE" w:rsidP="00C136A5">
            <w:pPr>
              <w:spacing w:after="0"/>
              <w:rPr>
                <w:rFonts w:ascii="Garamond" w:eastAsia="Times New Roman" w:hAnsi="Garamond" w:cs="Times New Roman"/>
                <w:b w:val="0"/>
                <w:bCs w:val="0"/>
                <w:sz w:val="18"/>
                <w:szCs w:val="18"/>
              </w:rPr>
            </w:pPr>
            <w:r w:rsidRPr="007114AF">
              <w:rPr>
                <w:rFonts w:ascii="Garamond" w:eastAsia="Times New Roman" w:hAnsi="Garamond" w:cs="Times New Roman"/>
                <w:sz w:val="18"/>
                <w:szCs w:val="18"/>
              </w:rPr>
              <w:t>E14</w:t>
            </w:r>
          </w:p>
        </w:tc>
        <w:tc>
          <w:tcPr>
            <w:tcW w:w="2022" w:type="dxa"/>
            <w:vAlign w:val="center"/>
            <w:hideMark/>
          </w:tcPr>
          <w:p w14:paraId="6EDD0298" w14:textId="7F924743"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Agjencia për Eficiencën e Energjisë (</w:t>
            </w:r>
            <w:r w:rsidR="00DA60B5" w:rsidRPr="007114AF">
              <w:rPr>
                <w:rFonts w:ascii="Garamond" w:eastAsia="Times New Roman" w:hAnsi="Garamond" w:cs="Times New Roman"/>
                <w:sz w:val="18"/>
                <w:szCs w:val="18"/>
              </w:rPr>
              <w:t xml:space="preserve">kapitulli </w:t>
            </w:r>
            <w:r w:rsidRPr="007114AF">
              <w:rPr>
                <w:rFonts w:ascii="Garamond" w:eastAsia="Times New Roman" w:hAnsi="Garamond" w:cs="Times New Roman"/>
                <w:sz w:val="18"/>
                <w:szCs w:val="18"/>
              </w:rPr>
              <w:t>VI)</w:t>
            </w:r>
          </w:p>
        </w:tc>
        <w:tc>
          <w:tcPr>
            <w:tcW w:w="1134" w:type="dxa"/>
            <w:vAlign w:val="center"/>
            <w:hideMark/>
          </w:tcPr>
          <w:p w14:paraId="6EDD0299"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2016-2020</w:t>
            </w:r>
          </w:p>
        </w:tc>
        <w:tc>
          <w:tcPr>
            <w:tcW w:w="992" w:type="dxa"/>
            <w:noWrap/>
            <w:vAlign w:val="center"/>
            <w:hideMark/>
          </w:tcPr>
          <w:p w14:paraId="6EDD029A"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Ligji 124/2015 Mbi Eficencën e Energjisë</w:t>
            </w:r>
          </w:p>
        </w:tc>
        <w:tc>
          <w:tcPr>
            <w:tcW w:w="1014" w:type="dxa"/>
            <w:vAlign w:val="center"/>
          </w:tcPr>
          <w:p w14:paraId="6EDD029B"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hAnsi="Garamond"/>
                <w:sz w:val="18"/>
                <w:szCs w:val="18"/>
              </w:rPr>
              <w:t>Mundësuese</w:t>
            </w:r>
          </w:p>
        </w:tc>
        <w:tc>
          <w:tcPr>
            <w:tcW w:w="1538" w:type="dxa"/>
            <w:noWrap/>
            <w:vAlign w:val="center"/>
            <w:hideMark/>
          </w:tcPr>
          <w:p w14:paraId="6EDD029C"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345,000.00</w:t>
            </w:r>
          </w:p>
        </w:tc>
        <w:tc>
          <w:tcPr>
            <w:tcW w:w="1276" w:type="dxa"/>
            <w:noWrap/>
            <w:vAlign w:val="center"/>
            <w:hideMark/>
          </w:tcPr>
          <w:p w14:paraId="6EDD029D"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183,900.00</w:t>
            </w:r>
          </w:p>
        </w:tc>
        <w:tc>
          <w:tcPr>
            <w:tcW w:w="1134" w:type="dxa"/>
            <w:vAlign w:val="center"/>
            <w:hideMark/>
          </w:tcPr>
          <w:p w14:paraId="6EDD029E"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1276" w:type="dxa"/>
            <w:vAlign w:val="center"/>
            <w:hideMark/>
          </w:tcPr>
          <w:p w14:paraId="6EDD029F"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1134" w:type="dxa"/>
            <w:vAlign w:val="center"/>
            <w:hideMark/>
          </w:tcPr>
          <w:p w14:paraId="6EDD02A0"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161,100.00</w:t>
            </w:r>
          </w:p>
        </w:tc>
        <w:tc>
          <w:tcPr>
            <w:tcW w:w="2360" w:type="dxa"/>
            <w:vAlign w:val="center"/>
            <w:hideMark/>
          </w:tcPr>
          <w:p w14:paraId="6EDD02A1"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Një pjesë e buxhetit të MIE (vendosja e projektit të Agjencisë së Eficiencës së Energjisë)/ Kosto totale e dalë nga Plani i Dytë dhe i Tretë Kombëtar i Efikasitetit Energjetik për Shqipërinë 2016-2020</w:t>
            </w:r>
          </w:p>
        </w:tc>
      </w:tr>
      <w:tr w:rsidR="000235FE" w:rsidRPr="007114AF" w14:paraId="6EDD02AE" w14:textId="77777777" w:rsidTr="000235FE">
        <w:trPr>
          <w:cantSplit/>
          <w:trHeight w:val="910"/>
          <w:jc w:val="center"/>
        </w:trPr>
        <w:tc>
          <w:tcPr>
            <w:cnfStyle w:val="001000000000" w:firstRow="0" w:lastRow="0" w:firstColumn="1" w:lastColumn="0" w:oddVBand="0" w:evenVBand="0" w:oddHBand="0" w:evenHBand="0" w:firstRowFirstColumn="0" w:firstRowLastColumn="0" w:lastRowFirstColumn="0" w:lastRowLastColumn="0"/>
            <w:tcW w:w="496" w:type="dxa"/>
            <w:noWrap/>
            <w:vAlign w:val="center"/>
            <w:hideMark/>
          </w:tcPr>
          <w:p w14:paraId="6EDD02A3" w14:textId="77777777" w:rsidR="000235FE" w:rsidRPr="007114AF" w:rsidRDefault="000235FE" w:rsidP="00C136A5">
            <w:pPr>
              <w:spacing w:after="0"/>
              <w:rPr>
                <w:rFonts w:ascii="Garamond" w:eastAsia="Times New Roman" w:hAnsi="Garamond" w:cs="Times New Roman"/>
                <w:b w:val="0"/>
                <w:bCs w:val="0"/>
                <w:sz w:val="18"/>
                <w:szCs w:val="18"/>
              </w:rPr>
            </w:pPr>
            <w:r w:rsidRPr="007114AF">
              <w:rPr>
                <w:rFonts w:ascii="Garamond" w:eastAsia="Times New Roman" w:hAnsi="Garamond" w:cs="Times New Roman"/>
                <w:sz w:val="18"/>
                <w:szCs w:val="18"/>
              </w:rPr>
              <w:lastRenderedPageBreak/>
              <w:t>E15</w:t>
            </w:r>
          </w:p>
        </w:tc>
        <w:tc>
          <w:tcPr>
            <w:tcW w:w="2022" w:type="dxa"/>
            <w:vAlign w:val="center"/>
            <w:hideMark/>
          </w:tcPr>
          <w:p w14:paraId="6EDD02A4"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xml:space="preserve">Skema e subvencioneve për rregullimin e plotë të MFH </w:t>
            </w:r>
          </w:p>
        </w:tc>
        <w:tc>
          <w:tcPr>
            <w:tcW w:w="1134" w:type="dxa"/>
            <w:vAlign w:val="center"/>
            <w:hideMark/>
          </w:tcPr>
          <w:p w14:paraId="6EDD02A5"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2016-2020</w:t>
            </w:r>
          </w:p>
        </w:tc>
        <w:tc>
          <w:tcPr>
            <w:tcW w:w="992" w:type="dxa"/>
            <w:vAlign w:val="center"/>
            <w:hideMark/>
          </w:tcPr>
          <w:p w14:paraId="6EDD02A6"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PKVEE</w:t>
            </w:r>
          </w:p>
        </w:tc>
        <w:tc>
          <w:tcPr>
            <w:tcW w:w="1014" w:type="dxa"/>
            <w:vAlign w:val="center"/>
          </w:tcPr>
          <w:p w14:paraId="6EDD02A7"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hAnsi="Garamond"/>
                <w:sz w:val="18"/>
                <w:szCs w:val="18"/>
              </w:rPr>
              <w:t>Mundësuese</w:t>
            </w:r>
          </w:p>
        </w:tc>
        <w:tc>
          <w:tcPr>
            <w:tcW w:w="1538" w:type="dxa"/>
            <w:noWrap/>
            <w:vAlign w:val="center"/>
            <w:hideMark/>
          </w:tcPr>
          <w:p w14:paraId="6EDD02A8"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2,498.86</w:t>
            </w:r>
          </w:p>
        </w:tc>
        <w:tc>
          <w:tcPr>
            <w:tcW w:w="1276" w:type="dxa"/>
            <w:noWrap/>
            <w:vAlign w:val="center"/>
            <w:hideMark/>
          </w:tcPr>
          <w:p w14:paraId="6EDD02A9"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2,498.86</w:t>
            </w:r>
          </w:p>
        </w:tc>
        <w:tc>
          <w:tcPr>
            <w:tcW w:w="1134" w:type="dxa"/>
            <w:vAlign w:val="center"/>
            <w:hideMark/>
          </w:tcPr>
          <w:p w14:paraId="6EDD02AA"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1276" w:type="dxa"/>
            <w:vAlign w:val="center"/>
            <w:hideMark/>
          </w:tcPr>
          <w:p w14:paraId="6EDD02AB"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1134" w:type="dxa"/>
            <w:vAlign w:val="center"/>
            <w:hideMark/>
          </w:tcPr>
          <w:p w14:paraId="6EDD02AC"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2360" w:type="dxa"/>
            <w:vAlign w:val="center"/>
            <w:hideMark/>
          </w:tcPr>
          <w:p w14:paraId="6EDD02AD"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Pjesë e buxhetit MZHU për zhvillimin e standardeve të godinave</w:t>
            </w:r>
          </w:p>
        </w:tc>
      </w:tr>
      <w:tr w:rsidR="000235FE" w:rsidRPr="007114AF" w14:paraId="6EDD02BA" w14:textId="77777777" w:rsidTr="00C136A5">
        <w:trPr>
          <w:cantSplit/>
          <w:trHeight w:val="2044"/>
          <w:jc w:val="center"/>
        </w:trPr>
        <w:tc>
          <w:tcPr>
            <w:cnfStyle w:val="001000000000" w:firstRow="0" w:lastRow="0" w:firstColumn="1" w:lastColumn="0" w:oddVBand="0" w:evenVBand="0" w:oddHBand="0" w:evenHBand="0" w:firstRowFirstColumn="0" w:firstRowLastColumn="0" w:lastRowFirstColumn="0" w:lastRowLastColumn="0"/>
            <w:tcW w:w="496" w:type="dxa"/>
            <w:noWrap/>
            <w:vAlign w:val="center"/>
            <w:hideMark/>
          </w:tcPr>
          <w:p w14:paraId="6EDD02AF" w14:textId="77777777" w:rsidR="000235FE" w:rsidRPr="007114AF" w:rsidRDefault="000235FE" w:rsidP="00C136A5">
            <w:pPr>
              <w:spacing w:after="0"/>
              <w:rPr>
                <w:rFonts w:ascii="Garamond" w:eastAsia="Times New Roman" w:hAnsi="Garamond" w:cs="Times New Roman"/>
                <w:b w:val="0"/>
                <w:bCs w:val="0"/>
                <w:sz w:val="18"/>
                <w:szCs w:val="18"/>
              </w:rPr>
            </w:pPr>
            <w:r w:rsidRPr="007114AF">
              <w:rPr>
                <w:rFonts w:ascii="Garamond" w:eastAsia="Times New Roman" w:hAnsi="Garamond" w:cs="Times New Roman"/>
                <w:sz w:val="18"/>
                <w:szCs w:val="18"/>
              </w:rPr>
              <w:t>E16</w:t>
            </w:r>
          </w:p>
        </w:tc>
        <w:tc>
          <w:tcPr>
            <w:tcW w:w="2022" w:type="dxa"/>
            <w:vAlign w:val="center"/>
            <w:hideMark/>
          </w:tcPr>
          <w:p w14:paraId="6EDD02B0" w14:textId="60DBE8EC" w:rsidR="000235FE" w:rsidRPr="007114AF" w:rsidRDefault="000235FE" w:rsidP="0000517F">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Një mekanizëm financues i cili jep grante dhe hua me interes të ulët për investime n</w:t>
            </w:r>
            <w:r w:rsidR="0000517F">
              <w:rPr>
                <w:rFonts w:ascii="Garamond" w:eastAsia="Times New Roman" w:hAnsi="Garamond" w:cs="Times New Roman"/>
                <w:sz w:val="18"/>
                <w:szCs w:val="18"/>
              </w:rPr>
              <w:t>ë</w:t>
            </w:r>
            <w:r w:rsidRPr="007114AF">
              <w:rPr>
                <w:rFonts w:ascii="Garamond" w:eastAsia="Times New Roman" w:hAnsi="Garamond" w:cs="Times New Roman"/>
                <w:sz w:val="18"/>
                <w:szCs w:val="18"/>
              </w:rPr>
              <w:t xml:space="preserve"> Eficiencën e Energjisë të godinave</w:t>
            </w:r>
            <w:r w:rsidR="000A2A01" w:rsidRPr="007114AF">
              <w:rPr>
                <w:rFonts w:ascii="Garamond" w:eastAsia="Times New Roman" w:hAnsi="Garamond" w:cs="Times New Roman"/>
                <w:sz w:val="18"/>
                <w:szCs w:val="18"/>
              </w:rPr>
              <w:t xml:space="preserve"> </w:t>
            </w:r>
            <w:r w:rsidRPr="007114AF">
              <w:rPr>
                <w:rFonts w:ascii="Garamond" w:eastAsia="Times New Roman" w:hAnsi="Garamond" w:cs="Times New Roman"/>
                <w:sz w:val="18"/>
                <w:szCs w:val="18"/>
              </w:rPr>
              <w:t>(Në Bashkëpunim me Institucionet Financiare Ndërkombëtare dhe donatorët)</w:t>
            </w:r>
          </w:p>
        </w:tc>
        <w:tc>
          <w:tcPr>
            <w:tcW w:w="1134" w:type="dxa"/>
            <w:vAlign w:val="center"/>
            <w:hideMark/>
          </w:tcPr>
          <w:p w14:paraId="6EDD02B1"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2016-2020, me qëllimin për të vazhduar më tej nëse ka fonde</w:t>
            </w:r>
          </w:p>
        </w:tc>
        <w:tc>
          <w:tcPr>
            <w:tcW w:w="992" w:type="dxa"/>
            <w:vAlign w:val="center"/>
            <w:hideMark/>
          </w:tcPr>
          <w:p w14:paraId="6EDD02B2"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NAMA – Mekanizma Financues në Eficiencën e Energjisënë Godina</w:t>
            </w:r>
          </w:p>
        </w:tc>
        <w:tc>
          <w:tcPr>
            <w:tcW w:w="1014" w:type="dxa"/>
            <w:vAlign w:val="center"/>
          </w:tcPr>
          <w:p w14:paraId="6EDD02B3"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hAnsi="Garamond"/>
                <w:sz w:val="18"/>
                <w:szCs w:val="18"/>
              </w:rPr>
              <w:t>Mundësuese</w:t>
            </w:r>
          </w:p>
        </w:tc>
        <w:tc>
          <w:tcPr>
            <w:tcW w:w="1538" w:type="dxa"/>
            <w:vAlign w:val="center"/>
            <w:hideMark/>
          </w:tcPr>
          <w:p w14:paraId="6EDD02B4"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5,903,900.00</w:t>
            </w:r>
          </w:p>
        </w:tc>
        <w:tc>
          <w:tcPr>
            <w:tcW w:w="1276" w:type="dxa"/>
            <w:vAlign w:val="center"/>
            <w:hideMark/>
          </w:tcPr>
          <w:p w14:paraId="6EDD02B5"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tc>
        <w:tc>
          <w:tcPr>
            <w:tcW w:w="1134" w:type="dxa"/>
            <w:vAlign w:val="center"/>
            <w:hideMark/>
          </w:tcPr>
          <w:p w14:paraId="6EDD02B6"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411,900.00</w:t>
            </w:r>
          </w:p>
        </w:tc>
        <w:tc>
          <w:tcPr>
            <w:tcW w:w="1276" w:type="dxa"/>
            <w:vAlign w:val="center"/>
            <w:hideMark/>
          </w:tcPr>
          <w:p w14:paraId="6EDD02B7"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5,492,000.00</w:t>
            </w:r>
          </w:p>
        </w:tc>
        <w:tc>
          <w:tcPr>
            <w:tcW w:w="1134" w:type="dxa"/>
            <w:vAlign w:val="center"/>
            <w:hideMark/>
          </w:tcPr>
          <w:p w14:paraId="6EDD02B8"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2360" w:type="dxa"/>
            <w:vAlign w:val="center"/>
            <w:hideMark/>
          </w:tcPr>
          <w:p w14:paraId="6EDD02B9" w14:textId="04E7BE76"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Nga e cila: € 25 M hua koncesionare; € 15 M linja e kreditit komercial nga sektori privat; € 3 M grante; garanci e kredisë së pjesshme për t</w:t>
            </w:r>
            <w:r w:rsidR="00D10DAB" w:rsidRPr="007114AF">
              <w:rPr>
                <w:rFonts w:ascii="Garamond" w:eastAsia="Times New Roman" w:hAnsi="Garamond" w:cs="Times New Roman"/>
                <w:sz w:val="18"/>
                <w:szCs w:val="18"/>
              </w:rPr>
              <w:t>’</w:t>
            </w:r>
            <w:r w:rsidRPr="007114AF">
              <w:rPr>
                <w:rFonts w:ascii="Garamond" w:eastAsia="Times New Roman" w:hAnsi="Garamond" w:cs="Times New Roman"/>
                <w:sz w:val="18"/>
                <w:szCs w:val="18"/>
              </w:rPr>
              <w:t>u diskutuar</w:t>
            </w:r>
          </w:p>
        </w:tc>
      </w:tr>
      <w:tr w:rsidR="000235FE" w:rsidRPr="007114AF" w14:paraId="6EDD02C6" w14:textId="77777777" w:rsidTr="000235FE">
        <w:trPr>
          <w:cantSplit/>
          <w:trHeight w:val="220"/>
          <w:jc w:val="center"/>
        </w:trPr>
        <w:tc>
          <w:tcPr>
            <w:cnfStyle w:val="001000000000" w:firstRow="0" w:lastRow="0" w:firstColumn="1" w:lastColumn="0" w:oddVBand="0" w:evenVBand="0" w:oddHBand="0" w:evenHBand="0" w:firstRowFirstColumn="0" w:firstRowLastColumn="0" w:lastRowFirstColumn="0" w:lastRowLastColumn="0"/>
            <w:tcW w:w="496" w:type="dxa"/>
            <w:vMerge w:val="restart"/>
            <w:noWrap/>
            <w:vAlign w:val="center"/>
            <w:hideMark/>
          </w:tcPr>
          <w:p w14:paraId="6EDD02BB" w14:textId="77777777" w:rsidR="000235FE" w:rsidRPr="007114AF" w:rsidRDefault="000235FE" w:rsidP="00C136A5">
            <w:pPr>
              <w:spacing w:after="0"/>
              <w:rPr>
                <w:rFonts w:ascii="Garamond" w:eastAsia="Times New Roman" w:hAnsi="Garamond" w:cs="Times New Roman"/>
                <w:b w:val="0"/>
                <w:bCs w:val="0"/>
                <w:sz w:val="18"/>
                <w:szCs w:val="18"/>
              </w:rPr>
            </w:pPr>
            <w:r w:rsidRPr="007114AF">
              <w:rPr>
                <w:rFonts w:ascii="Garamond" w:eastAsia="Times New Roman" w:hAnsi="Garamond" w:cs="Times New Roman"/>
                <w:sz w:val="18"/>
                <w:szCs w:val="18"/>
              </w:rPr>
              <w:t>E17</w:t>
            </w:r>
          </w:p>
        </w:tc>
        <w:tc>
          <w:tcPr>
            <w:tcW w:w="2022" w:type="dxa"/>
            <w:vMerge w:val="restart"/>
            <w:vAlign w:val="center"/>
            <w:hideMark/>
          </w:tcPr>
          <w:p w14:paraId="6EDD02BC"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xml:space="preserve">Paketa e instrumenteve promovuese për instalimin e ngrohjes së ujit me panele diellore në shtëpi </w:t>
            </w:r>
          </w:p>
        </w:tc>
        <w:tc>
          <w:tcPr>
            <w:tcW w:w="1134" w:type="dxa"/>
            <w:vMerge w:val="restart"/>
            <w:vAlign w:val="center"/>
            <w:hideMark/>
          </w:tcPr>
          <w:p w14:paraId="6EDD02BD"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2016-2020</w:t>
            </w:r>
          </w:p>
        </w:tc>
        <w:tc>
          <w:tcPr>
            <w:tcW w:w="992" w:type="dxa"/>
            <w:vMerge w:val="restart"/>
            <w:vAlign w:val="center"/>
            <w:hideMark/>
          </w:tcPr>
          <w:p w14:paraId="6EDD02BE"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PKVEE</w:t>
            </w:r>
          </w:p>
        </w:tc>
        <w:tc>
          <w:tcPr>
            <w:tcW w:w="1014" w:type="dxa"/>
            <w:vAlign w:val="center"/>
          </w:tcPr>
          <w:p w14:paraId="6EDD02BF"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hAnsi="Garamond"/>
                <w:sz w:val="18"/>
                <w:szCs w:val="18"/>
              </w:rPr>
              <w:t>Indirekte</w:t>
            </w:r>
          </w:p>
        </w:tc>
        <w:tc>
          <w:tcPr>
            <w:tcW w:w="1538" w:type="dxa"/>
            <w:vMerge w:val="restart"/>
            <w:vAlign w:val="center"/>
            <w:hideMark/>
          </w:tcPr>
          <w:p w14:paraId="6EDD02C0"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116,000.00</w:t>
            </w:r>
          </w:p>
        </w:tc>
        <w:tc>
          <w:tcPr>
            <w:tcW w:w="1276" w:type="dxa"/>
            <w:vMerge w:val="restart"/>
            <w:vAlign w:val="center"/>
            <w:hideMark/>
          </w:tcPr>
          <w:p w14:paraId="6EDD02C1"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tc>
        <w:tc>
          <w:tcPr>
            <w:tcW w:w="1134" w:type="dxa"/>
            <w:vMerge w:val="restart"/>
            <w:vAlign w:val="center"/>
            <w:hideMark/>
          </w:tcPr>
          <w:p w14:paraId="6EDD02C2"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1276" w:type="dxa"/>
            <w:vMerge w:val="restart"/>
            <w:vAlign w:val="center"/>
            <w:hideMark/>
          </w:tcPr>
          <w:p w14:paraId="6EDD02C3"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116,000.00</w:t>
            </w:r>
          </w:p>
        </w:tc>
        <w:tc>
          <w:tcPr>
            <w:tcW w:w="1134" w:type="dxa"/>
            <w:vMerge w:val="restart"/>
            <w:vAlign w:val="center"/>
            <w:hideMark/>
          </w:tcPr>
          <w:p w14:paraId="6EDD02C4"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2360" w:type="dxa"/>
            <w:vMerge w:val="restart"/>
            <w:vAlign w:val="center"/>
            <w:hideMark/>
          </w:tcPr>
          <w:p w14:paraId="6EDD02C5" w14:textId="0D444F83"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Buxhet shtesë për informacionin dhe trajnimin; € 50.000 (+ linjë krediti për</w:t>
            </w:r>
            <w:r w:rsidR="000A2A01" w:rsidRPr="007114AF">
              <w:rPr>
                <w:rFonts w:ascii="Garamond" w:eastAsia="Times New Roman" w:hAnsi="Garamond" w:cs="Times New Roman"/>
                <w:sz w:val="18"/>
                <w:szCs w:val="18"/>
              </w:rPr>
              <w:t xml:space="preserve"> </w:t>
            </w:r>
            <w:r w:rsidRPr="007114AF">
              <w:rPr>
                <w:rFonts w:ascii="Garamond" w:eastAsia="Times New Roman" w:hAnsi="Garamond" w:cs="Times New Roman"/>
                <w:sz w:val="18"/>
                <w:szCs w:val="18"/>
              </w:rPr>
              <w:t>4.5 M Euro me EBRD dhe bankat private); Plani Kombëtar i Veprimit për Burimet e Energjisë së Rinovueshme, 2015-2020</w:t>
            </w:r>
          </w:p>
        </w:tc>
      </w:tr>
      <w:tr w:rsidR="000235FE" w:rsidRPr="007114AF" w14:paraId="6EDD02D2" w14:textId="77777777" w:rsidTr="000235FE">
        <w:trPr>
          <w:cantSplit/>
          <w:trHeight w:val="220"/>
          <w:jc w:val="center"/>
        </w:trPr>
        <w:tc>
          <w:tcPr>
            <w:cnfStyle w:val="001000000000" w:firstRow="0" w:lastRow="0" w:firstColumn="1" w:lastColumn="0" w:oddVBand="0" w:evenVBand="0" w:oddHBand="0" w:evenHBand="0" w:firstRowFirstColumn="0" w:firstRowLastColumn="0" w:lastRowFirstColumn="0" w:lastRowLastColumn="0"/>
            <w:tcW w:w="496" w:type="dxa"/>
            <w:vMerge/>
            <w:vAlign w:val="center"/>
            <w:hideMark/>
          </w:tcPr>
          <w:p w14:paraId="6EDD02C7" w14:textId="77777777" w:rsidR="000235FE" w:rsidRPr="007114AF" w:rsidRDefault="000235FE" w:rsidP="00C136A5">
            <w:pPr>
              <w:spacing w:after="0"/>
              <w:rPr>
                <w:rFonts w:ascii="Garamond" w:eastAsia="Times New Roman" w:hAnsi="Garamond" w:cs="Times New Roman"/>
                <w:b w:val="0"/>
                <w:bCs w:val="0"/>
                <w:sz w:val="18"/>
                <w:szCs w:val="18"/>
              </w:rPr>
            </w:pPr>
          </w:p>
        </w:tc>
        <w:tc>
          <w:tcPr>
            <w:tcW w:w="2022" w:type="dxa"/>
            <w:vMerge/>
            <w:vAlign w:val="center"/>
            <w:hideMark/>
          </w:tcPr>
          <w:p w14:paraId="6EDD02C8"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tc>
        <w:tc>
          <w:tcPr>
            <w:tcW w:w="1134" w:type="dxa"/>
            <w:vMerge/>
            <w:vAlign w:val="center"/>
            <w:hideMark/>
          </w:tcPr>
          <w:p w14:paraId="6EDD02C9"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tc>
        <w:tc>
          <w:tcPr>
            <w:tcW w:w="992" w:type="dxa"/>
            <w:vMerge/>
            <w:vAlign w:val="center"/>
            <w:hideMark/>
          </w:tcPr>
          <w:p w14:paraId="6EDD02CA"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tc>
        <w:tc>
          <w:tcPr>
            <w:tcW w:w="1014" w:type="dxa"/>
            <w:vAlign w:val="center"/>
          </w:tcPr>
          <w:p w14:paraId="6EDD02CB"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tc>
        <w:tc>
          <w:tcPr>
            <w:tcW w:w="1538" w:type="dxa"/>
            <w:vMerge/>
            <w:vAlign w:val="center"/>
            <w:hideMark/>
          </w:tcPr>
          <w:p w14:paraId="6EDD02CC"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tc>
        <w:tc>
          <w:tcPr>
            <w:tcW w:w="1276" w:type="dxa"/>
            <w:vMerge/>
            <w:vAlign w:val="center"/>
            <w:hideMark/>
          </w:tcPr>
          <w:p w14:paraId="6EDD02CD"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tc>
        <w:tc>
          <w:tcPr>
            <w:tcW w:w="1134" w:type="dxa"/>
            <w:vMerge/>
            <w:vAlign w:val="center"/>
            <w:hideMark/>
          </w:tcPr>
          <w:p w14:paraId="6EDD02CE"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tc>
        <w:tc>
          <w:tcPr>
            <w:tcW w:w="1276" w:type="dxa"/>
            <w:vMerge/>
            <w:vAlign w:val="center"/>
            <w:hideMark/>
          </w:tcPr>
          <w:p w14:paraId="6EDD02CF"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tc>
        <w:tc>
          <w:tcPr>
            <w:tcW w:w="1134" w:type="dxa"/>
            <w:vMerge/>
            <w:vAlign w:val="center"/>
            <w:hideMark/>
          </w:tcPr>
          <w:p w14:paraId="6EDD02D0"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tc>
        <w:tc>
          <w:tcPr>
            <w:tcW w:w="2360" w:type="dxa"/>
            <w:vMerge/>
            <w:vAlign w:val="center"/>
            <w:hideMark/>
          </w:tcPr>
          <w:p w14:paraId="6EDD02D1"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tc>
      </w:tr>
      <w:tr w:rsidR="000235FE" w:rsidRPr="007114AF" w14:paraId="6EDD02DE" w14:textId="77777777" w:rsidTr="000235FE">
        <w:trPr>
          <w:cantSplit/>
          <w:trHeight w:val="20"/>
          <w:jc w:val="center"/>
        </w:trPr>
        <w:tc>
          <w:tcPr>
            <w:cnfStyle w:val="001000000000" w:firstRow="0" w:lastRow="0" w:firstColumn="1" w:lastColumn="0" w:oddVBand="0" w:evenVBand="0" w:oddHBand="0" w:evenHBand="0" w:firstRowFirstColumn="0" w:firstRowLastColumn="0" w:lastRowFirstColumn="0" w:lastRowLastColumn="0"/>
            <w:tcW w:w="496" w:type="dxa"/>
            <w:noWrap/>
            <w:vAlign w:val="center"/>
            <w:hideMark/>
          </w:tcPr>
          <w:p w14:paraId="6EDD02D3" w14:textId="77777777" w:rsidR="000235FE" w:rsidRPr="007114AF" w:rsidRDefault="000235FE" w:rsidP="00C136A5">
            <w:pPr>
              <w:spacing w:after="0"/>
              <w:rPr>
                <w:rFonts w:ascii="Garamond" w:eastAsia="Times New Roman" w:hAnsi="Garamond" w:cs="Times New Roman"/>
                <w:b w:val="0"/>
                <w:bCs w:val="0"/>
                <w:sz w:val="18"/>
                <w:szCs w:val="18"/>
              </w:rPr>
            </w:pPr>
            <w:r w:rsidRPr="007114AF">
              <w:rPr>
                <w:rFonts w:ascii="Garamond" w:eastAsia="Times New Roman" w:hAnsi="Garamond" w:cs="Times New Roman"/>
                <w:sz w:val="18"/>
                <w:szCs w:val="18"/>
              </w:rPr>
              <w:t>E18</w:t>
            </w:r>
          </w:p>
        </w:tc>
        <w:tc>
          <w:tcPr>
            <w:tcW w:w="2022" w:type="dxa"/>
            <w:vAlign w:val="center"/>
            <w:hideMark/>
          </w:tcPr>
          <w:p w14:paraId="6EDD02D4"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xml:space="preserve">Promovimi i Sistemeve Mbledhës Diellor për ngrohjen e ujit për higjienë </w:t>
            </w:r>
          </w:p>
        </w:tc>
        <w:tc>
          <w:tcPr>
            <w:tcW w:w="1134" w:type="dxa"/>
            <w:vAlign w:val="center"/>
            <w:hideMark/>
          </w:tcPr>
          <w:p w14:paraId="6EDD02D5"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2016-2018</w:t>
            </w:r>
          </w:p>
        </w:tc>
        <w:tc>
          <w:tcPr>
            <w:tcW w:w="992" w:type="dxa"/>
            <w:vAlign w:val="center"/>
            <w:hideMark/>
          </w:tcPr>
          <w:p w14:paraId="6EDD02D6"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PKVEE</w:t>
            </w:r>
          </w:p>
        </w:tc>
        <w:tc>
          <w:tcPr>
            <w:tcW w:w="1014" w:type="dxa"/>
            <w:vAlign w:val="center"/>
          </w:tcPr>
          <w:p w14:paraId="6EDD02D7"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hAnsi="Garamond"/>
                <w:sz w:val="18"/>
                <w:szCs w:val="18"/>
              </w:rPr>
              <w:t>Indirekte</w:t>
            </w:r>
          </w:p>
        </w:tc>
        <w:tc>
          <w:tcPr>
            <w:tcW w:w="1538" w:type="dxa"/>
            <w:noWrap/>
            <w:vAlign w:val="center"/>
            <w:hideMark/>
          </w:tcPr>
          <w:p w14:paraId="6EDD02D8"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4,119.00</w:t>
            </w:r>
          </w:p>
        </w:tc>
        <w:tc>
          <w:tcPr>
            <w:tcW w:w="1276" w:type="dxa"/>
            <w:noWrap/>
            <w:vAlign w:val="center"/>
            <w:hideMark/>
          </w:tcPr>
          <w:p w14:paraId="6EDD02D9"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4,119.00</w:t>
            </w:r>
          </w:p>
        </w:tc>
        <w:tc>
          <w:tcPr>
            <w:tcW w:w="1134" w:type="dxa"/>
            <w:vAlign w:val="center"/>
            <w:hideMark/>
          </w:tcPr>
          <w:p w14:paraId="6EDD02DA"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1276" w:type="dxa"/>
            <w:vAlign w:val="center"/>
            <w:hideMark/>
          </w:tcPr>
          <w:p w14:paraId="6EDD02DB"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1134" w:type="dxa"/>
            <w:vAlign w:val="center"/>
            <w:hideMark/>
          </w:tcPr>
          <w:p w14:paraId="6EDD02DC"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2360" w:type="dxa"/>
            <w:vAlign w:val="center"/>
            <w:hideMark/>
          </w:tcPr>
          <w:p w14:paraId="6EDD02DD"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Kosto për fushatën e ndërgjegjësimit e bazuar në rezultate të njëjta</w:t>
            </w:r>
          </w:p>
        </w:tc>
      </w:tr>
      <w:tr w:rsidR="000235FE" w:rsidRPr="007114AF" w14:paraId="6EDD02EA" w14:textId="77777777" w:rsidTr="000235FE">
        <w:trPr>
          <w:cantSplit/>
          <w:trHeight w:val="20"/>
          <w:jc w:val="center"/>
        </w:trPr>
        <w:tc>
          <w:tcPr>
            <w:cnfStyle w:val="001000000000" w:firstRow="0" w:lastRow="0" w:firstColumn="1" w:lastColumn="0" w:oddVBand="0" w:evenVBand="0" w:oddHBand="0" w:evenHBand="0" w:firstRowFirstColumn="0" w:firstRowLastColumn="0" w:lastRowFirstColumn="0" w:lastRowLastColumn="0"/>
            <w:tcW w:w="496" w:type="dxa"/>
            <w:noWrap/>
            <w:vAlign w:val="center"/>
            <w:hideMark/>
          </w:tcPr>
          <w:p w14:paraId="6EDD02DF" w14:textId="77777777" w:rsidR="000235FE" w:rsidRPr="007114AF" w:rsidRDefault="000235FE" w:rsidP="00C136A5">
            <w:pPr>
              <w:spacing w:after="0"/>
              <w:rPr>
                <w:rFonts w:ascii="Garamond" w:eastAsia="Times New Roman" w:hAnsi="Garamond" w:cs="Times New Roman"/>
                <w:b w:val="0"/>
                <w:bCs w:val="0"/>
                <w:sz w:val="18"/>
                <w:szCs w:val="18"/>
              </w:rPr>
            </w:pPr>
            <w:r w:rsidRPr="007114AF">
              <w:rPr>
                <w:rFonts w:ascii="Garamond" w:eastAsia="Times New Roman" w:hAnsi="Garamond" w:cs="Times New Roman"/>
                <w:sz w:val="18"/>
                <w:szCs w:val="18"/>
              </w:rPr>
              <w:t>E19</w:t>
            </w:r>
          </w:p>
        </w:tc>
        <w:tc>
          <w:tcPr>
            <w:tcW w:w="2022" w:type="dxa"/>
            <w:vAlign w:val="center"/>
            <w:hideMark/>
          </w:tcPr>
          <w:p w14:paraId="6EDD02E0" w14:textId="4579DAEE"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xml:space="preserve">Kursimet </w:t>
            </w:r>
            <w:r w:rsidR="00FD5AD9" w:rsidRPr="007114AF">
              <w:rPr>
                <w:rFonts w:ascii="Garamond" w:eastAsia="Times New Roman" w:hAnsi="Garamond" w:cs="Times New Roman"/>
                <w:sz w:val="18"/>
                <w:szCs w:val="18"/>
              </w:rPr>
              <w:t>Energjetike</w:t>
            </w:r>
            <w:r w:rsidRPr="007114AF">
              <w:rPr>
                <w:rFonts w:ascii="Garamond" w:eastAsia="Times New Roman" w:hAnsi="Garamond" w:cs="Times New Roman"/>
                <w:sz w:val="18"/>
                <w:szCs w:val="18"/>
              </w:rPr>
              <w:t xml:space="preserve">: Paketa e instrumenteve promovuese për instalimin e ngrohjes së ujit me panele diellore terciare </w:t>
            </w:r>
          </w:p>
        </w:tc>
        <w:tc>
          <w:tcPr>
            <w:tcW w:w="1134" w:type="dxa"/>
            <w:vAlign w:val="center"/>
            <w:hideMark/>
          </w:tcPr>
          <w:p w14:paraId="6EDD02E1"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2016-2018</w:t>
            </w:r>
          </w:p>
        </w:tc>
        <w:tc>
          <w:tcPr>
            <w:tcW w:w="992" w:type="dxa"/>
            <w:vAlign w:val="center"/>
            <w:hideMark/>
          </w:tcPr>
          <w:p w14:paraId="6EDD02E2"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PKVEE</w:t>
            </w:r>
          </w:p>
        </w:tc>
        <w:tc>
          <w:tcPr>
            <w:tcW w:w="1014" w:type="dxa"/>
            <w:vAlign w:val="center"/>
          </w:tcPr>
          <w:p w14:paraId="6EDD02E3"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hAnsi="Garamond"/>
                <w:sz w:val="18"/>
                <w:szCs w:val="18"/>
              </w:rPr>
              <w:t>Indirekte</w:t>
            </w:r>
          </w:p>
        </w:tc>
        <w:tc>
          <w:tcPr>
            <w:tcW w:w="1538" w:type="dxa"/>
            <w:noWrap/>
            <w:vAlign w:val="center"/>
            <w:hideMark/>
          </w:tcPr>
          <w:p w14:paraId="6EDD02E4"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46,400.00</w:t>
            </w:r>
          </w:p>
        </w:tc>
        <w:tc>
          <w:tcPr>
            <w:tcW w:w="1276" w:type="dxa"/>
            <w:noWrap/>
            <w:vAlign w:val="center"/>
            <w:hideMark/>
          </w:tcPr>
          <w:p w14:paraId="6EDD02E5"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46,400.00</w:t>
            </w:r>
          </w:p>
        </w:tc>
        <w:tc>
          <w:tcPr>
            <w:tcW w:w="1134" w:type="dxa"/>
            <w:noWrap/>
            <w:vAlign w:val="center"/>
            <w:hideMark/>
          </w:tcPr>
          <w:p w14:paraId="6EDD02E6"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1276" w:type="dxa"/>
            <w:noWrap/>
            <w:vAlign w:val="center"/>
            <w:hideMark/>
          </w:tcPr>
          <w:p w14:paraId="6EDD02E7"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1134" w:type="dxa"/>
            <w:noWrap/>
            <w:vAlign w:val="center"/>
            <w:hideMark/>
          </w:tcPr>
          <w:p w14:paraId="6EDD02E8"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2360" w:type="dxa"/>
            <w:vAlign w:val="center"/>
            <w:hideMark/>
          </w:tcPr>
          <w:p w14:paraId="6EDD02E9"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xml:space="preserve">Planëzuar në Planin Kombëtar për Burimet e Energjisë së rinovueshme, 2015-2020; Masa 12 </w:t>
            </w:r>
          </w:p>
        </w:tc>
      </w:tr>
      <w:tr w:rsidR="000235FE" w:rsidRPr="007114AF" w14:paraId="6EDD02F6" w14:textId="77777777" w:rsidTr="000235FE">
        <w:trPr>
          <w:cantSplit/>
          <w:trHeight w:val="20"/>
          <w:jc w:val="center"/>
        </w:trPr>
        <w:tc>
          <w:tcPr>
            <w:cnfStyle w:val="001000000000" w:firstRow="0" w:lastRow="0" w:firstColumn="1" w:lastColumn="0" w:oddVBand="0" w:evenVBand="0" w:oddHBand="0" w:evenHBand="0" w:firstRowFirstColumn="0" w:firstRowLastColumn="0" w:lastRowFirstColumn="0" w:lastRowLastColumn="0"/>
            <w:tcW w:w="496" w:type="dxa"/>
            <w:noWrap/>
            <w:vAlign w:val="center"/>
            <w:hideMark/>
          </w:tcPr>
          <w:p w14:paraId="6EDD02EB" w14:textId="77777777" w:rsidR="000235FE" w:rsidRPr="007114AF" w:rsidRDefault="000235FE" w:rsidP="00C136A5">
            <w:pPr>
              <w:spacing w:after="0"/>
              <w:rPr>
                <w:rFonts w:ascii="Garamond" w:eastAsia="Times New Roman" w:hAnsi="Garamond" w:cs="Times New Roman"/>
                <w:b w:val="0"/>
                <w:bCs w:val="0"/>
                <w:sz w:val="18"/>
                <w:szCs w:val="18"/>
              </w:rPr>
            </w:pPr>
            <w:r w:rsidRPr="007114AF">
              <w:rPr>
                <w:rFonts w:ascii="Garamond" w:eastAsia="Times New Roman" w:hAnsi="Garamond" w:cs="Times New Roman"/>
                <w:sz w:val="18"/>
                <w:szCs w:val="18"/>
              </w:rPr>
              <w:t>E20</w:t>
            </w:r>
          </w:p>
        </w:tc>
        <w:tc>
          <w:tcPr>
            <w:tcW w:w="2022" w:type="dxa"/>
            <w:vAlign w:val="center"/>
            <w:hideMark/>
          </w:tcPr>
          <w:p w14:paraId="6EDD02EC" w14:textId="591C4C10"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xml:space="preserve">Kursimet </w:t>
            </w:r>
            <w:r w:rsidR="00FD5AD9" w:rsidRPr="007114AF">
              <w:rPr>
                <w:rFonts w:ascii="Garamond" w:eastAsia="Times New Roman" w:hAnsi="Garamond" w:cs="Times New Roman"/>
                <w:sz w:val="18"/>
                <w:szCs w:val="18"/>
              </w:rPr>
              <w:t>Energjetike</w:t>
            </w:r>
            <w:r w:rsidRPr="007114AF">
              <w:rPr>
                <w:rFonts w:ascii="Garamond" w:eastAsia="Times New Roman" w:hAnsi="Garamond" w:cs="Times New Roman"/>
                <w:sz w:val="18"/>
                <w:szCs w:val="18"/>
              </w:rPr>
              <w:t xml:space="preserve">: Paketa e instrumenteve promovuese për instalimin e ngrohjes së ujit me panele diellore në shtëpi </w:t>
            </w:r>
          </w:p>
        </w:tc>
        <w:tc>
          <w:tcPr>
            <w:tcW w:w="1134" w:type="dxa"/>
            <w:vAlign w:val="center"/>
            <w:hideMark/>
          </w:tcPr>
          <w:p w14:paraId="6EDD02ED"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2016-2018</w:t>
            </w:r>
          </w:p>
        </w:tc>
        <w:tc>
          <w:tcPr>
            <w:tcW w:w="992" w:type="dxa"/>
            <w:vAlign w:val="center"/>
            <w:hideMark/>
          </w:tcPr>
          <w:p w14:paraId="6EDD02EE"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PKVEE</w:t>
            </w:r>
          </w:p>
        </w:tc>
        <w:tc>
          <w:tcPr>
            <w:tcW w:w="1014" w:type="dxa"/>
            <w:vAlign w:val="center"/>
          </w:tcPr>
          <w:p w14:paraId="6EDD02EF"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hAnsi="Garamond"/>
                <w:sz w:val="18"/>
                <w:szCs w:val="18"/>
              </w:rPr>
              <w:t>Indirekte</w:t>
            </w:r>
          </w:p>
        </w:tc>
        <w:tc>
          <w:tcPr>
            <w:tcW w:w="1538" w:type="dxa"/>
            <w:noWrap/>
            <w:vAlign w:val="center"/>
            <w:hideMark/>
          </w:tcPr>
          <w:p w14:paraId="6EDD02F0"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69,600.00</w:t>
            </w:r>
          </w:p>
        </w:tc>
        <w:tc>
          <w:tcPr>
            <w:tcW w:w="1276" w:type="dxa"/>
            <w:noWrap/>
            <w:vAlign w:val="center"/>
            <w:hideMark/>
          </w:tcPr>
          <w:p w14:paraId="6EDD02F1"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69,600.00</w:t>
            </w:r>
          </w:p>
        </w:tc>
        <w:tc>
          <w:tcPr>
            <w:tcW w:w="1134" w:type="dxa"/>
            <w:noWrap/>
            <w:vAlign w:val="center"/>
            <w:hideMark/>
          </w:tcPr>
          <w:p w14:paraId="6EDD02F2"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1276" w:type="dxa"/>
            <w:noWrap/>
            <w:vAlign w:val="center"/>
            <w:hideMark/>
          </w:tcPr>
          <w:p w14:paraId="6EDD02F3"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1134" w:type="dxa"/>
            <w:noWrap/>
            <w:vAlign w:val="center"/>
            <w:hideMark/>
          </w:tcPr>
          <w:p w14:paraId="6EDD02F4"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2360" w:type="dxa"/>
            <w:vAlign w:val="center"/>
            <w:hideMark/>
          </w:tcPr>
          <w:p w14:paraId="6EDD02F5"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xml:space="preserve">Planëzuar në Planin Kombëtar të Veprimit për Burimet e Energjisë së Rinovueshme, 2015-2020; Masa 12 </w:t>
            </w:r>
          </w:p>
        </w:tc>
      </w:tr>
      <w:tr w:rsidR="000235FE" w:rsidRPr="007114AF" w14:paraId="6EDD0302" w14:textId="77777777" w:rsidTr="000235FE">
        <w:trPr>
          <w:cantSplit/>
          <w:trHeight w:val="20"/>
          <w:jc w:val="center"/>
        </w:trPr>
        <w:tc>
          <w:tcPr>
            <w:cnfStyle w:val="001000000000" w:firstRow="0" w:lastRow="0" w:firstColumn="1" w:lastColumn="0" w:oddVBand="0" w:evenVBand="0" w:oddHBand="0" w:evenHBand="0" w:firstRowFirstColumn="0" w:firstRowLastColumn="0" w:lastRowFirstColumn="0" w:lastRowLastColumn="0"/>
            <w:tcW w:w="496" w:type="dxa"/>
            <w:noWrap/>
            <w:vAlign w:val="center"/>
            <w:hideMark/>
          </w:tcPr>
          <w:p w14:paraId="6EDD02F7" w14:textId="77777777" w:rsidR="000235FE" w:rsidRPr="007114AF" w:rsidRDefault="000235FE" w:rsidP="00C136A5">
            <w:pPr>
              <w:spacing w:after="0"/>
              <w:rPr>
                <w:rFonts w:ascii="Garamond" w:eastAsia="Times New Roman" w:hAnsi="Garamond" w:cs="Times New Roman"/>
                <w:b w:val="0"/>
                <w:bCs w:val="0"/>
                <w:sz w:val="18"/>
                <w:szCs w:val="18"/>
              </w:rPr>
            </w:pPr>
            <w:r w:rsidRPr="007114AF">
              <w:rPr>
                <w:rFonts w:ascii="Garamond" w:eastAsia="Times New Roman" w:hAnsi="Garamond" w:cs="Times New Roman"/>
                <w:sz w:val="18"/>
                <w:szCs w:val="18"/>
              </w:rPr>
              <w:lastRenderedPageBreak/>
              <w:t>E22</w:t>
            </w:r>
          </w:p>
        </w:tc>
        <w:tc>
          <w:tcPr>
            <w:tcW w:w="2022" w:type="dxa"/>
            <w:vAlign w:val="center"/>
            <w:hideMark/>
          </w:tcPr>
          <w:p w14:paraId="6EDD02F8" w14:textId="3E2553DF" w:rsidR="000235FE" w:rsidRPr="007114AF" w:rsidRDefault="000235FE" w:rsidP="00DA60B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Promovimi i përdorimit të energjisë së rinovueshme për ngrohjen dhe ftohjen në sektorin bujqësor (</w:t>
            </w:r>
            <w:r w:rsidR="00DA60B5" w:rsidRPr="007114AF">
              <w:rPr>
                <w:rFonts w:ascii="Garamond" w:eastAsia="Times New Roman" w:hAnsi="Garamond" w:cs="Times New Roman"/>
                <w:sz w:val="18"/>
                <w:szCs w:val="18"/>
              </w:rPr>
              <w:t>neni</w:t>
            </w:r>
            <w:r w:rsidRPr="007114AF">
              <w:rPr>
                <w:rFonts w:ascii="Garamond" w:eastAsia="Times New Roman" w:hAnsi="Garamond" w:cs="Times New Roman"/>
                <w:sz w:val="18"/>
                <w:szCs w:val="18"/>
              </w:rPr>
              <w:t xml:space="preserve"> 34)</w:t>
            </w:r>
          </w:p>
        </w:tc>
        <w:tc>
          <w:tcPr>
            <w:tcW w:w="1134" w:type="dxa"/>
            <w:vAlign w:val="center"/>
            <w:hideMark/>
          </w:tcPr>
          <w:p w14:paraId="6EDD02F9"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Pas hyrjes në fuqi</w:t>
            </w:r>
          </w:p>
        </w:tc>
        <w:tc>
          <w:tcPr>
            <w:tcW w:w="992" w:type="dxa"/>
            <w:vAlign w:val="center"/>
            <w:hideMark/>
          </w:tcPr>
          <w:p w14:paraId="6EDD02FA"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Draftligji mbi BER</w:t>
            </w:r>
          </w:p>
        </w:tc>
        <w:tc>
          <w:tcPr>
            <w:tcW w:w="1014" w:type="dxa"/>
            <w:vAlign w:val="center"/>
          </w:tcPr>
          <w:p w14:paraId="6EDD02FB"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hAnsi="Garamond"/>
                <w:sz w:val="18"/>
                <w:szCs w:val="18"/>
              </w:rPr>
              <w:t>Indirekte</w:t>
            </w:r>
          </w:p>
        </w:tc>
        <w:tc>
          <w:tcPr>
            <w:tcW w:w="1538" w:type="dxa"/>
            <w:noWrap/>
            <w:vAlign w:val="center"/>
            <w:hideMark/>
          </w:tcPr>
          <w:p w14:paraId="6EDD02FC"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1,352,000.00</w:t>
            </w:r>
          </w:p>
        </w:tc>
        <w:tc>
          <w:tcPr>
            <w:tcW w:w="1276" w:type="dxa"/>
            <w:noWrap/>
            <w:vAlign w:val="center"/>
            <w:hideMark/>
          </w:tcPr>
          <w:p w14:paraId="6EDD02FD"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1,352,000.00</w:t>
            </w:r>
          </w:p>
        </w:tc>
        <w:tc>
          <w:tcPr>
            <w:tcW w:w="1134" w:type="dxa"/>
            <w:vAlign w:val="center"/>
            <w:hideMark/>
          </w:tcPr>
          <w:p w14:paraId="6EDD02FE"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1276" w:type="dxa"/>
            <w:vAlign w:val="center"/>
            <w:hideMark/>
          </w:tcPr>
          <w:p w14:paraId="6EDD02FF"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1134" w:type="dxa"/>
            <w:noWrap/>
            <w:vAlign w:val="center"/>
            <w:hideMark/>
          </w:tcPr>
          <w:p w14:paraId="6EDD0300"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2360" w:type="dxa"/>
            <w:vAlign w:val="center"/>
            <w:hideMark/>
          </w:tcPr>
          <w:p w14:paraId="6EDD0301"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Fondet nëpërmjet granteve (Fondet BER) projektet e ngrohjes dhe të ftohjes në bujqësi duke përdorur biomasën; masa, Plani Kombëtar i Veprimit mbi BER, masa 13</w:t>
            </w:r>
          </w:p>
        </w:tc>
      </w:tr>
      <w:tr w:rsidR="000235FE" w:rsidRPr="007114AF" w14:paraId="6EDD030E" w14:textId="77777777" w:rsidTr="000235FE">
        <w:trPr>
          <w:cantSplit/>
          <w:trHeight w:val="20"/>
          <w:jc w:val="center"/>
        </w:trPr>
        <w:tc>
          <w:tcPr>
            <w:cnfStyle w:val="001000000000" w:firstRow="0" w:lastRow="0" w:firstColumn="1" w:lastColumn="0" w:oddVBand="0" w:evenVBand="0" w:oddHBand="0" w:evenHBand="0" w:firstRowFirstColumn="0" w:firstRowLastColumn="0" w:lastRowFirstColumn="0" w:lastRowLastColumn="0"/>
            <w:tcW w:w="496" w:type="dxa"/>
            <w:noWrap/>
            <w:vAlign w:val="center"/>
            <w:hideMark/>
          </w:tcPr>
          <w:p w14:paraId="6EDD0303" w14:textId="77777777" w:rsidR="000235FE" w:rsidRPr="007114AF" w:rsidRDefault="000235FE" w:rsidP="00C136A5">
            <w:pPr>
              <w:spacing w:after="0"/>
              <w:rPr>
                <w:rFonts w:ascii="Garamond" w:eastAsia="Times New Roman" w:hAnsi="Garamond" w:cs="Times New Roman"/>
                <w:b w:val="0"/>
                <w:bCs w:val="0"/>
                <w:sz w:val="18"/>
                <w:szCs w:val="18"/>
              </w:rPr>
            </w:pPr>
            <w:r w:rsidRPr="007114AF">
              <w:rPr>
                <w:rFonts w:ascii="Garamond" w:eastAsia="Times New Roman" w:hAnsi="Garamond" w:cs="Times New Roman"/>
                <w:sz w:val="18"/>
                <w:szCs w:val="18"/>
              </w:rPr>
              <w:t>E23</w:t>
            </w:r>
          </w:p>
        </w:tc>
        <w:tc>
          <w:tcPr>
            <w:tcW w:w="2022" w:type="dxa"/>
            <w:vAlign w:val="center"/>
            <w:hideMark/>
          </w:tcPr>
          <w:p w14:paraId="6EDD0304"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Fondi i energjisë së rinovueshme (Kapitulli V)</w:t>
            </w:r>
          </w:p>
        </w:tc>
        <w:tc>
          <w:tcPr>
            <w:tcW w:w="1134" w:type="dxa"/>
            <w:vAlign w:val="center"/>
            <w:hideMark/>
          </w:tcPr>
          <w:p w14:paraId="6EDD0305"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Pas hyrjes në fuqi</w:t>
            </w:r>
          </w:p>
        </w:tc>
        <w:tc>
          <w:tcPr>
            <w:tcW w:w="992" w:type="dxa"/>
            <w:vAlign w:val="center"/>
            <w:hideMark/>
          </w:tcPr>
          <w:p w14:paraId="6EDD0306"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Draftligji mbi BER</w:t>
            </w:r>
          </w:p>
        </w:tc>
        <w:tc>
          <w:tcPr>
            <w:tcW w:w="1014" w:type="dxa"/>
            <w:vAlign w:val="center"/>
          </w:tcPr>
          <w:p w14:paraId="6EDD0307"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hAnsi="Garamond"/>
                <w:sz w:val="18"/>
                <w:szCs w:val="18"/>
              </w:rPr>
              <w:t>Mundësuese</w:t>
            </w:r>
          </w:p>
        </w:tc>
        <w:tc>
          <w:tcPr>
            <w:tcW w:w="1538" w:type="dxa"/>
            <w:noWrap/>
            <w:vAlign w:val="center"/>
            <w:hideMark/>
          </w:tcPr>
          <w:p w14:paraId="6EDD0308"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1,200,000</w:t>
            </w:r>
          </w:p>
        </w:tc>
        <w:tc>
          <w:tcPr>
            <w:tcW w:w="1276" w:type="dxa"/>
            <w:vAlign w:val="center"/>
            <w:hideMark/>
          </w:tcPr>
          <w:p w14:paraId="6EDD0309"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tc>
        <w:tc>
          <w:tcPr>
            <w:tcW w:w="1134" w:type="dxa"/>
            <w:vAlign w:val="center"/>
            <w:hideMark/>
          </w:tcPr>
          <w:p w14:paraId="6EDD030A"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1276" w:type="dxa"/>
            <w:vAlign w:val="center"/>
            <w:hideMark/>
          </w:tcPr>
          <w:p w14:paraId="6EDD030B"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1134" w:type="dxa"/>
            <w:noWrap/>
            <w:vAlign w:val="center"/>
            <w:hideMark/>
          </w:tcPr>
          <w:p w14:paraId="6EDD030C"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1,200,000</w:t>
            </w:r>
          </w:p>
        </w:tc>
        <w:tc>
          <w:tcPr>
            <w:tcW w:w="2360" w:type="dxa"/>
            <w:vAlign w:val="center"/>
            <w:hideMark/>
          </w:tcPr>
          <w:p w14:paraId="6EDD030D"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Fondet nuk janë të parashikuara në buxhetin afatmesëm. Shuma duhet të negociohet me Ministrinë e Financave; kostot janë të vlerësuara të bazuara në fonde të njëjta</w:t>
            </w:r>
          </w:p>
        </w:tc>
      </w:tr>
      <w:tr w:rsidR="000235FE" w:rsidRPr="007114AF" w14:paraId="6EDD031A" w14:textId="77777777" w:rsidTr="000235FE">
        <w:trPr>
          <w:cantSplit/>
          <w:trHeight w:val="20"/>
          <w:jc w:val="center"/>
        </w:trPr>
        <w:tc>
          <w:tcPr>
            <w:cnfStyle w:val="001000000000" w:firstRow="0" w:lastRow="0" w:firstColumn="1" w:lastColumn="0" w:oddVBand="0" w:evenVBand="0" w:oddHBand="0" w:evenHBand="0" w:firstRowFirstColumn="0" w:firstRowLastColumn="0" w:lastRowFirstColumn="0" w:lastRowLastColumn="0"/>
            <w:tcW w:w="496" w:type="dxa"/>
            <w:noWrap/>
            <w:vAlign w:val="center"/>
            <w:hideMark/>
          </w:tcPr>
          <w:p w14:paraId="6EDD030F" w14:textId="77777777" w:rsidR="000235FE" w:rsidRPr="007114AF" w:rsidRDefault="000235FE" w:rsidP="00C136A5">
            <w:pPr>
              <w:spacing w:after="0"/>
              <w:rPr>
                <w:rFonts w:ascii="Garamond" w:eastAsia="Times New Roman" w:hAnsi="Garamond" w:cs="Times New Roman"/>
                <w:b w:val="0"/>
                <w:bCs w:val="0"/>
                <w:sz w:val="18"/>
                <w:szCs w:val="18"/>
              </w:rPr>
            </w:pPr>
            <w:r w:rsidRPr="007114AF">
              <w:rPr>
                <w:rFonts w:ascii="Garamond" w:eastAsia="Times New Roman" w:hAnsi="Garamond" w:cs="Times New Roman"/>
                <w:sz w:val="18"/>
                <w:szCs w:val="18"/>
              </w:rPr>
              <w:t>E24</w:t>
            </w:r>
          </w:p>
        </w:tc>
        <w:tc>
          <w:tcPr>
            <w:tcW w:w="2022" w:type="dxa"/>
            <w:vAlign w:val="center"/>
            <w:hideMark/>
          </w:tcPr>
          <w:p w14:paraId="6EDD0310"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Aktet nënligjore për Ligjin e Eficiencës së Energjisë</w:t>
            </w:r>
          </w:p>
        </w:tc>
        <w:tc>
          <w:tcPr>
            <w:tcW w:w="1134" w:type="dxa"/>
            <w:vAlign w:val="center"/>
            <w:hideMark/>
          </w:tcPr>
          <w:p w14:paraId="6EDD0311"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2017</w:t>
            </w:r>
          </w:p>
        </w:tc>
        <w:tc>
          <w:tcPr>
            <w:tcW w:w="992" w:type="dxa"/>
            <w:vAlign w:val="center"/>
            <w:hideMark/>
          </w:tcPr>
          <w:p w14:paraId="6EDD0312"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PKNKZ; Ligji 124/2015 Mbi Efikasitetin Energjetik</w:t>
            </w:r>
          </w:p>
        </w:tc>
        <w:tc>
          <w:tcPr>
            <w:tcW w:w="1014" w:type="dxa"/>
            <w:vAlign w:val="center"/>
          </w:tcPr>
          <w:p w14:paraId="6EDD0313"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hAnsi="Garamond"/>
                <w:sz w:val="18"/>
                <w:szCs w:val="18"/>
              </w:rPr>
              <w:t>Mundësuese</w:t>
            </w:r>
          </w:p>
        </w:tc>
        <w:tc>
          <w:tcPr>
            <w:tcW w:w="1538" w:type="dxa"/>
            <w:noWrap/>
            <w:vAlign w:val="center"/>
            <w:hideMark/>
          </w:tcPr>
          <w:p w14:paraId="6EDD0314"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28,000.00</w:t>
            </w:r>
          </w:p>
        </w:tc>
        <w:tc>
          <w:tcPr>
            <w:tcW w:w="1276" w:type="dxa"/>
            <w:noWrap/>
            <w:vAlign w:val="center"/>
            <w:hideMark/>
          </w:tcPr>
          <w:p w14:paraId="6EDD0315"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28,000.00</w:t>
            </w:r>
          </w:p>
        </w:tc>
        <w:tc>
          <w:tcPr>
            <w:tcW w:w="1134" w:type="dxa"/>
            <w:vAlign w:val="center"/>
            <w:hideMark/>
          </w:tcPr>
          <w:p w14:paraId="6EDD0316"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1276" w:type="dxa"/>
            <w:vAlign w:val="center"/>
            <w:hideMark/>
          </w:tcPr>
          <w:p w14:paraId="6EDD0317"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1134" w:type="dxa"/>
            <w:vAlign w:val="center"/>
            <w:hideMark/>
          </w:tcPr>
          <w:p w14:paraId="6EDD0318"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2360" w:type="dxa"/>
            <w:vAlign w:val="center"/>
            <w:hideMark/>
          </w:tcPr>
          <w:p w14:paraId="6EDD0319" w14:textId="236BB08B"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Kostoja totale për aktet nënligjore është marrë nga Plani i dytë dhe i tretë i Veprimit Kombëtar mbi Eficiencën e Energjisë</w:t>
            </w:r>
            <w:r w:rsidR="00FD5AD9">
              <w:rPr>
                <w:rFonts w:ascii="Garamond" w:eastAsia="Times New Roman" w:hAnsi="Garamond" w:cs="Times New Roman"/>
                <w:sz w:val="18"/>
                <w:szCs w:val="18"/>
              </w:rPr>
              <w:t xml:space="preserve"> </w:t>
            </w:r>
            <w:r w:rsidRPr="007114AF">
              <w:rPr>
                <w:rFonts w:ascii="Garamond" w:eastAsia="Times New Roman" w:hAnsi="Garamond" w:cs="Times New Roman"/>
                <w:sz w:val="18"/>
                <w:szCs w:val="18"/>
              </w:rPr>
              <w:t xml:space="preserve">për Shqipërinë 2016-2020/R3; </w:t>
            </w:r>
          </w:p>
        </w:tc>
      </w:tr>
      <w:tr w:rsidR="000235FE" w:rsidRPr="007114AF" w14:paraId="6EDD0326" w14:textId="77777777" w:rsidTr="000235FE">
        <w:trPr>
          <w:cantSplit/>
          <w:trHeight w:val="20"/>
          <w:jc w:val="center"/>
        </w:trPr>
        <w:tc>
          <w:tcPr>
            <w:cnfStyle w:val="001000000000" w:firstRow="0" w:lastRow="0" w:firstColumn="1" w:lastColumn="0" w:oddVBand="0" w:evenVBand="0" w:oddHBand="0" w:evenHBand="0" w:firstRowFirstColumn="0" w:firstRowLastColumn="0" w:lastRowFirstColumn="0" w:lastRowLastColumn="0"/>
            <w:tcW w:w="496" w:type="dxa"/>
            <w:noWrap/>
            <w:vAlign w:val="center"/>
            <w:hideMark/>
          </w:tcPr>
          <w:p w14:paraId="6EDD031B" w14:textId="77777777" w:rsidR="000235FE" w:rsidRPr="007114AF" w:rsidRDefault="000235FE" w:rsidP="00C136A5">
            <w:pPr>
              <w:spacing w:after="0"/>
              <w:rPr>
                <w:rFonts w:ascii="Garamond" w:eastAsia="Times New Roman" w:hAnsi="Garamond" w:cs="Times New Roman"/>
                <w:b w:val="0"/>
                <w:bCs w:val="0"/>
                <w:sz w:val="18"/>
                <w:szCs w:val="18"/>
              </w:rPr>
            </w:pPr>
            <w:r w:rsidRPr="007114AF">
              <w:rPr>
                <w:rFonts w:ascii="Garamond" w:eastAsia="Times New Roman" w:hAnsi="Garamond" w:cs="Times New Roman"/>
                <w:sz w:val="18"/>
                <w:szCs w:val="18"/>
              </w:rPr>
              <w:t>E25</w:t>
            </w:r>
          </w:p>
        </w:tc>
        <w:tc>
          <w:tcPr>
            <w:tcW w:w="2022" w:type="dxa"/>
            <w:vAlign w:val="center"/>
            <w:hideMark/>
          </w:tcPr>
          <w:p w14:paraId="6EDD031C"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xml:space="preserve">Zbatimi i auditit energjetik në godinat e shërbimit </w:t>
            </w:r>
          </w:p>
        </w:tc>
        <w:tc>
          <w:tcPr>
            <w:tcW w:w="1134" w:type="dxa"/>
            <w:vAlign w:val="center"/>
            <w:hideMark/>
          </w:tcPr>
          <w:p w14:paraId="6EDD031D"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2016-2020</w:t>
            </w:r>
          </w:p>
        </w:tc>
        <w:tc>
          <w:tcPr>
            <w:tcW w:w="992" w:type="dxa"/>
            <w:vAlign w:val="center"/>
            <w:hideMark/>
          </w:tcPr>
          <w:p w14:paraId="6EDD031E"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PKVEE</w:t>
            </w:r>
          </w:p>
        </w:tc>
        <w:tc>
          <w:tcPr>
            <w:tcW w:w="1014" w:type="dxa"/>
            <w:vAlign w:val="center"/>
          </w:tcPr>
          <w:p w14:paraId="6EDD031F"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hAnsi="Garamond"/>
                <w:sz w:val="18"/>
                <w:szCs w:val="18"/>
              </w:rPr>
              <w:t>Indirekte</w:t>
            </w:r>
          </w:p>
        </w:tc>
        <w:tc>
          <w:tcPr>
            <w:tcW w:w="1538" w:type="dxa"/>
            <w:noWrap/>
            <w:vAlign w:val="center"/>
            <w:hideMark/>
          </w:tcPr>
          <w:p w14:paraId="6EDD0320"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13,700.00</w:t>
            </w:r>
          </w:p>
        </w:tc>
        <w:tc>
          <w:tcPr>
            <w:tcW w:w="1276" w:type="dxa"/>
            <w:vAlign w:val="center"/>
            <w:hideMark/>
          </w:tcPr>
          <w:p w14:paraId="6EDD0321"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13,700.00</w:t>
            </w:r>
          </w:p>
        </w:tc>
        <w:tc>
          <w:tcPr>
            <w:tcW w:w="1134" w:type="dxa"/>
            <w:vAlign w:val="center"/>
            <w:hideMark/>
          </w:tcPr>
          <w:p w14:paraId="6EDD0322"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1276" w:type="dxa"/>
            <w:vAlign w:val="center"/>
            <w:hideMark/>
          </w:tcPr>
          <w:p w14:paraId="6EDD0323"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1134" w:type="dxa"/>
            <w:vAlign w:val="center"/>
            <w:hideMark/>
          </w:tcPr>
          <w:p w14:paraId="6EDD0324"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2360" w:type="dxa"/>
            <w:vAlign w:val="center"/>
            <w:hideMark/>
          </w:tcPr>
          <w:p w14:paraId="6EDD0325"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Buxheti afatmesëm</w:t>
            </w:r>
          </w:p>
        </w:tc>
      </w:tr>
      <w:tr w:rsidR="000235FE" w:rsidRPr="007114AF" w14:paraId="6EDD0332" w14:textId="77777777" w:rsidTr="000235FE">
        <w:trPr>
          <w:cantSplit/>
          <w:trHeight w:val="20"/>
          <w:jc w:val="center"/>
        </w:trPr>
        <w:tc>
          <w:tcPr>
            <w:cnfStyle w:val="001000000000" w:firstRow="0" w:lastRow="0" w:firstColumn="1" w:lastColumn="0" w:oddVBand="0" w:evenVBand="0" w:oddHBand="0" w:evenHBand="0" w:firstRowFirstColumn="0" w:firstRowLastColumn="0" w:lastRowFirstColumn="0" w:lastRowLastColumn="0"/>
            <w:tcW w:w="496" w:type="dxa"/>
            <w:noWrap/>
            <w:vAlign w:val="center"/>
            <w:hideMark/>
          </w:tcPr>
          <w:p w14:paraId="6EDD0327" w14:textId="77777777" w:rsidR="000235FE" w:rsidRPr="007114AF" w:rsidRDefault="000235FE" w:rsidP="00C136A5">
            <w:pPr>
              <w:spacing w:after="0"/>
              <w:rPr>
                <w:rFonts w:ascii="Garamond" w:eastAsia="Times New Roman" w:hAnsi="Garamond" w:cs="Times New Roman"/>
                <w:b w:val="0"/>
                <w:bCs w:val="0"/>
                <w:sz w:val="18"/>
                <w:szCs w:val="18"/>
              </w:rPr>
            </w:pPr>
            <w:r w:rsidRPr="007114AF">
              <w:rPr>
                <w:rFonts w:ascii="Garamond" w:eastAsia="Times New Roman" w:hAnsi="Garamond" w:cs="Times New Roman"/>
                <w:sz w:val="18"/>
                <w:szCs w:val="18"/>
              </w:rPr>
              <w:t>E26</w:t>
            </w:r>
          </w:p>
        </w:tc>
        <w:tc>
          <w:tcPr>
            <w:tcW w:w="2022" w:type="dxa"/>
            <w:vAlign w:val="center"/>
            <w:hideMark/>
          </w:tcPr>
          <w:p w14:paraId="6EDD0328"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xml:space="preserve">PEE masa mundësuese: Certifikimi i godinave </w:t>
            </w:r>
          </w:p>
        </w:tc>
        <w:tc>
          <w:tcPr>
            <w:tcW w:w="1134" w:type="dxa"/>
            <w:vAlign w:val="center"/>
            <w:hideMark/>
          </w:tcPr>
          <w:p w14:paraId="6EDD0329"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2016-2020</w:t>
            </w:r>
          </w:p>
        </w:tc>
        <w:tc>
          <w:tcPr>
            <w:tcW w:w="992" w:type="dxa"/>
            <w:vAlign w:val="center"/>
            <w:hideMark/>
          </w:tcPr>
          <w:p w14:paraId="6EDD032A"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PKVEE</w:t>
            </w:r>
          </w:p>
        </w:tc>
        <w:tc>
          <w:tcPr>
            <w:tcW w:w="1014" w:type="dxa"/>
            <w:vAlign w:val="center"/>
          </w:tcPr>
          <w:p w14:paraId="6EDD032B"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hAnsi="Garamond"/>
                <w:sz w:val="18"/>
                <w:szCs w:val="18"/>
              </w:rPr>
              <w:t>Indirekte</w:t>
            </w:r>
          </w:p>
        </w:tc>
        <w:tc>
          <w:tcPr>
            <w:tcW w:w="1538" w:type="dxa"/>
            <w:noWrap/>
            <w:vAlign w:val="center"/>
            <w:hideMark/>
          </w:tcPr>
          <w:p w14:paraId="6EDD032C"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0.00</w:t>
            </w:r>
          </w:p>
        </w:tc>
        <w:tc>
          <w:tcPr>
            <w:tcW w:w="1276" w:type="dxa"/>
            <w:noWrap/>
            <w:vAlign w:val="center"/>
            <w:hideMark/>
          </w:tcPr>
          <w:p w14:paraId="6EDD032D"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0.00</w:t>
            </w:r>
          </w:p>
        </w:tc>
        <w:tc>
          <w:tcPr>
            <w:tcW w:w="1134" w:type="dxa"/>
            <w:noWrap/>
            <w:vAlign w:val="center"/>
            <w:hideMark/>
          </w:tcPr>
          <w:p w14:paraId="6EDD032E"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1276" w:type="dxa"/>
            <w:noWrap/>
            <w:vAlign w:val="center"/>
            <w:hideMark/>
          </w:tcPr>
          <w:p w14:paraId="6EDD032F"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1134" w:type="dxa"/>
            <w:noWrap/>
            <w:vAlign w:val="center"/>
            <w:hideMark/>
          </w:tcPr>
          <w:p w14:paraId="6EDD0330"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2360" w:type="dxa"/>
            <w:vAlign w:val="center"/>
            <w:hideMark/>
          </w:tcPr>
          <w:p w14:paraId="6EDD0331" w14:textId="75607CB0"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Kostoja është marrë nga Plani i dytë dhe i tretë i Veprimit Kombëtar mbi Eficiencën e Energjisë</w:t>
            </w:r>
            <w:r w:rsidR="00FD5AD9">
              <w:rPr>
                <w:rFonts w:ascii="Garamond" w:eastAsia="Times New Roman" w:hAnsi="Garamond" w:cs="Times New Roman"/>
                <w:sz w:val="18"/>
                <w:szCs w:val="18"/>
              </w:rPr>
              <w:t xml:space="preserve"> </w:t>
            </w:r>
            <w:r w:rsidRPr="007114AF">
              <w:rPr>
                <w:rFonts w:ascii="Garamond" w:eastAsia="Times New Roman" w:hAnsi="Garamond" w:cs="Times New Roman"/>
                <w:sz w:val="18"/>
                <w:szCs w:val="18"/>
              </w:rPr>
              <w:t>për Shqipërinë 2016-2020 /R 9</w:t>
            </w:r>
          </w:p>
        </w:tc>
      </w:tr>
      <w:tr w:rsidR="000235FE" w:rsidRPr="007114AF" w14:paraId="6EDD033E" w14:textId="77777777" w:rsidTr="000235FE">
        <w:trPr>
          <w:cantSplit/>
          <w:trHeight w:val="20"/>
          <w:jc w:val="center"/>
        </w:trPr>
        <w:tc>
          <w:tcPr>
            <w:cnfStyle w:val="001000000000" w:firstRow="0" w:lastRow="0" w:firstColumn="1" w:lastColumn="0" w:oddVBand="0" w:evenVBand="0" w:oddHBand="0" w:evenHBand="0" w:firstRowFirstColumn="0" w:firstRowLastColumn="0" w:lastRowFirstColumn="0" w:lastRowLastColumn="0"/>
            <w:tcW w:w="496" w:type="dxa"/>
            <w:noWrap/>
            <w:vAlign w:val="center"/>
            <w:hideMark/>
          </w:tcPr>
          <w:p w14:paraId="6EDD0333" w14:textId="77777777" w:rsidR="000235FE" w:rsidRPr="007114AF" w:rsidRDefault="000235FE" w:rsidP="00C136A5">
            <w:pPr>
              <w:spacing w:after="0"/>
              <w:rPr>
                <w:rFonts w:ascii="Garamond" w:eastAsia="Times New Roman" w:hAnsi="Garamond" w:cs="Times New Roman"/>
                <w:b w:val="0"/>
                <w:bCs w:val="0"/>
                <w:sz w:val="18"/>
                <w:szCs w:val="18"/>
              </w:rPr>
            </w:pPr>
            <w:r w:rsidRPr="007114AF">
              <w:rPr>
                <w:rFonts w:ascii="Garamond" w:eastAsia="Times New Roman" w:hAnsi="Garamond" w:cs="Times New Roman"/>
                <w:sz w:val="18"/>
                <w:szCs w:val="18"/>
              </w:rPr>
              <w:t>E27</w:t>
            </w:r>
          </w:p>
        </w:tc>
        <w:tc>
          <w:tcPr>
            <w:tcW w:w="2022" w:type="dxa"/>
            <w:vAlign w:val="center"/>
            <w:hideMark/>
          </w:tcPr>
          <w:p w14:paraId="6EDD0334" w14:textId="1D4BD4EE" w:rsidR="000235FE" w:rsidRPr="007114AF" w:rsidRDefault="000235FE" w:rsidP="00DA60B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Certifikimi dhe etiketimi i sistemeve të ngrohjes së ujit me panele diellore (</w:t>
            </w:r>
            <w:r w:rsidR="00DA60B5" w:rsidRPr="007114AF">
              <w:rPr>
                <w:rFonts w:ascii="Garamond" w:eastAsia="Times New Roman" w:hAnsi="Garamond" w:cs="Times New Roman"/>
                <w:sz w:val="18"/>
                <w:szCs w:val="18"/>
              </w:rPr>
              <w:t xml:space="preserve">neni </w:t>
            </w:r>
            <w:r w:rsidRPr="007114AF">
              <w:rPr>
                <w:rFonts w:ascii="Garamond" w:eastAsia="Times New Roman" w:hAnsi="Garamond" w:cs="Times New Roman"/>
                <w:sz w:val="18"/>
                <w:szCs w:val="18"/>
              </w:rPr>
              <w:t>32)</w:t>
            </w:r>
          </w:p>
        </w:tc>
        <w:tc>
          <w:tcPr>
            <w:tcW w:w="1134" w:type="dxa"/>
            <w:vAlign w:val="center"/>
            <w:hideMark/>
          </w:tcPr>
          <w:p w14:paraId="6EDD0335"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Pas hyrjes në fuqi</w:t>
            </w:r>
          </w:p>
        </w:tc>
        <w:tc>
          <w:tcPr>
            <w:tcW w:w="992" w:type="dxa"/>
            <w:vAlign w:val="center"/>
            <w:hideMark/>
          </w:tcPr>
          <w:p w14:paraId="6EDD0336"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Draftligji mbi BER</w:t>
            </w:r>
          </w:p>
        </w:tc>
        <w:tc>
          <w:tcPr>
            <w:tcW w:w="1014" w:type="dxa"/>
            <w:vAlign w:val="center"/>
          </w:tcPr>
          <w:p w14:paraId="6EDD0337"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hAnsi="Garamond"/>
                <w:sz w:val="18"/>
                <w:szCs w:val="18"/>
              </w:rPr>
              <w:t>Indirekte</w:t>
            </w:r>
          </w:p>
        </w:tc>
        <w:tc>
          <w:tcPr>
            <w:tcW w:w="1538" w:type="dxa"/>
            <w:noWrap/>
            <w:vAlign w:val="center"/>
            <w:hideMark/>
          </w:tcPr>
          <w:p w14:paraId="6EDD0338"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4,000.00</w:t>
            </w:r>
          </w:p>
        </w:tc>
        <w:tc>
          <w:tcPr>
            <w:tcW w:w="1276" w:type="dxa"/>
            <w:noWrap/>
            <w:vAlign w:val="center"/>
            <w:hideMark/>
          </w:tcPr>
          <w:p w14:paraId="6EDD0339"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4,000.00</w:t>
            </w:r>
          </w:p>
        </w:tc>
        <w:tc>
          <w:tcPr>
            <w:tcW w:w="1134" w:type="dxa"/>
            <w:vAlign w:val="center"/>
            <w:hideMark/>
          </w:tcPr>
          <w:p w14:paraId="6EDD033A"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1276" w:type="dxa"/>
            <w:vAlign w:val="center"/>
            <w:hideMark/>
          </w:tcPr>
          <w:p w14:paraId="6EDD033B"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1134" w:type="dxa"/>
            <w:vAlign w:val="center"/>
            <w:hideMark/>
          </w:tcPr>
          <w:p w14:paraId="6EDD033C"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2360" w:type="dxa"/>
            <w:vAlign w:val="center"/>
            <w:hideMark/>
          </w:tcPr>
          <w:p w14:paraId="6EDD033D"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Kostoja është marrë nga Plani i dytë dhe i tretë i Veprimit Kombëtar mbi Eficiencën e Energjisë për Shqipërinë 2016-2020/R8; pjesë e sasisë totale</w:t>
            </w:r>
          </w:p>
        </w:tc>
      </w:tr>
      <w:tr w:rsidR="000235FE" w:rsidRPr="007114AF" w14:paraId="6EDD034A" w14:textId="77777777" w:rsidTr="000235FE">
        <w:trPr>
          <w:cantSplit/>
          <w:trHeight w:val="1099"/>
          <w:jc w:val="center"/>
        </w:trPr>
        <w:tc>
          <w:tcPr>
            <w:cnfStyle w:val="001000000000" w:firstRow="0" w:lastRow="0" w:firstColumn="1" w:lastColumn="0" w:oddVBand="0" w:evenVBand="0" w:oddHBand="0" w:evenHBand="0" w:firstRowFirstColumn="0" w:firstRowLastColumn="0" w:lastRowFirstColumn="0" w:lastRowLastColumn="0"/>
            <w:tcW w:w="496" w:type="dxa"/>
            <w:noWrap/>
            <w:vAlign w:val="center"/>
            <w:hideMark/>
          </w:tcPr>
          <w:p w14:paraId="6EDD033F" w14:textId="77777777" w:rsidR="000235FE" w:rsidRPr="007114AF" w:rsidRDefault="000235FE" w:rsidP="00C136A5">
            <w:pPr>
              <w:spacing w:after="0"/>
              <w:rPr>
                <w:rFonts w:ascii="Garamond" w:eastAsia="Times New Roman" w:hAnsi="Garamond" w:cs="Times New Roman"/>
                <w:b w:val="0"/>
                <w:bCs w:val="0"/>
                <w:sz w:val="18"/>
                <w:szCs w:val="18"/>
              </w:rPr>
            </w:pPr>
            <w:r w:rsidRPr="007114AF">
              <w:rPr>
                <w:rFonts w:ascii="Garamond" w:eastAsia="Times New Roman" w:hAnsi="Garamond" w:cs="Times New Roman"/>
                <w:sz w:val="18"/>
                <w:szCs w:val="18"/>
              </w:rPr>
              <w:t>E28</w:t>
            </w:r>
          </w:p>
        </w:tc>
        <w:tc>
          <w:tcPr>
            <w:tcW w:w="2022" w:type="dxa"/>
            <w:vAlign w:val="center"/>
            <w:hideMark/>
          </w:tcPr>
          <w:p w14:paraId="6EDD0340" w14:textId="3D9E78B3"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Paraqitja e standardeve minimale për pajisjet elektro</w:t>
            </w:r>
            <w:r w:rsidR="00FD5AD9">
              <w:rPr>
                <w:rFonts w:ascii="Garamond" w:eastAsia="Times New Roman" w:hAnsi="Garamond" w:cs="Times New Roman"/>
                <w:sz w:val="18"/>
                <w:szCs w:val="18"/>
              </w:rPr>
              <w:t>-</w:t>
            </w:r>
            <w:r w:rsidRPr="007114AF">
              <w:rPr>
                <w:rFonts w:ascii="Garamond" w:eastAsia="Times New Roman" w:hAnsi="Garamond" w:cs="Times New Roman"/>
                <w:sz w:val="18"/>
                <w:szCs w:val="18"/>
              </w:rPr>
              <w:t>shtëpiake</w:t>
            </w:r>
            <w:r w:rsidR="000A2A01" w:rsidRPr="007114AF">
              <w:rPr>
                <w:rFonts w:ascii="Garamond" w:eastAsia="Times New Roman" w:hAnsi="Garamond" w:cs="Times New Roman"/>
                <w:sz w:val="18"/>
                <w:szCs w:val="18"/>
              </w:rPr>
              <w:t xml:space="preserve"> </w:t>
            </w:r>
          </w:p>
        </w:tc>
        <w:tc>
          <w:tcPr>
            <w:tcW w:w="1134" w:type="dxa"/>
            <w:vAlign w:val="center"/>
            <w:hideMark/>
          </w:tcPr>
          <w:p w14:paraId="6EDD0341"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2016-2020</w:t>
            </w:r>
          </w:p>
        </w:tc>
        <w:tc>
          <w:tcPr>
            <w:tcW w:w="992" w:type="dxa"/>
            <w:vAlign w:val="center"/>
            <w:hideMark/>
          </w:tcPr>
          <w:p w14:paraId="6EDD0342"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PKVEE</w:t>
            </w:r>
          </w:p>
        </w:tc>
        <w:tc>
          <w:tcPr>
            <w:tcW w:w="1014" w:type="dxa"/>
            <w:vAlign w:val="center"/>
          </w:tcPr>
          <w:p w14:paraId="6EDD0343"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Indirekte</w:t>
            </w:r>
          </w:p>
        </w:tc>
        <w:tc>
          <w:tcPr>
            <w:tcW w:w="1538" w:type="dxa"/>
            <w:noWrap/>
            <w:vAlign w:val="center"/>
            <w:hideMark/>
          </w:tcPr>
          <w:p w14:paraId="6EDD0344"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36,700.00</w:t>
            </w:r>
          </w:p>
        </w:tc>
        <w:tc>
          <w:tcPr>
            <w:tcW w:w="1276" w:type="dxa"/>
            <w:noWrap/>
            <w:vAlign w:val="center"/>
            <w:hideMark/>
          </w:tcPr>
          <w:p w14:paraId="6EDD0345"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36,700.00</w:t>
            </w:r>
          </w:p>
        </w:tc>
        <w:tc>
          <w:tcPr>
            <w:tcW w:w="1134" w:type="dxa"/>
            <w:noWrap/>
            <w:vAlign w:val="center"/>
            <w:hideMark/>
          </w:tcPr>
          <w:p w14:paraId="6EDD0346"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1276" w:type="dxa"/>
            <w:noWrap/>
            <w:vAlign w:val="center"/>
            <w:hideMark/>
          </w:tcPr>
          <w:p w14:paraId="6EDD0347"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1134" w:type="dxa"/>
            <w:noWrap/>
            <w:vAlign w:val="center"/>
            <w:hideMark/>
          </w:tcPr>
          <w:p w14:paraId="6EDD0348"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2360" w:type="dxa"/>
            <w:vAlign w:val="center"/>
            <w:hideMark/>
          </w:tcPr>
          <w:p w14:paraId="6EDD0349"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Kostoja është marrë nga Plani i dytë dhe i tretë i Veprimit Kombëtar mbi Eficiencën e Energjisë për Shqipërinë 2016-2020/I1</w:t>
            </w:r>
          </w:p>
        </w:tc>
      </w:tr>
      <w:tr w:rsidR="000235FE" w:rsidRPr="007114AF" w14:paraId="6EDD0356" w14:textId="77777777" w:rsidTr="000235FE">
        <w:trPr>
          <w:cantSplit/>
          <w:trHeight w:val="20"/>
          <w:jc w:val="center"/>
        </w:trPr>
        <w:tc>
          <w:tcPr>
            <w:cnfStyle w:val="001000000000" w:firstRow="0" w:lastRow="0" w:firstColumn="1" w:lastColumn="0" w:oddVBand="0" w:evenVBand="0" w:oddHBand="0" w:evenHBand="0" w:firstRowFirstColumn="0" w:firstRowLastColumn="0" w:lastRowFirstColumn="0" w:lastRowLastColumn="0"/>
            <w:tcW w:w="496" w:type="dxa"/>
            <w:noWrap/>
            <w:vAlign w:val="center"/>
            <w:hideMark/>
          </w:tcPr>
          <w:p w14:paraId="6EDD034B" w14:textId="77777777" w:rsidR="000235FE" w:rsidRPr="007114AF" w:rsidRDefault="000235FE" w:rsidP="00C136A5">
            <w:pPr>
              <w:spacing w:after="0"/>
              <w:rPr>
                <w:rFonts w:ascii="Garamond" w:eastAsia="Times New Roman" w:hAnsi="Garamond" w:cs="Times New Roman"/>
                <w:b w:val="0"/>
                <w:bCs w:val="0"/>
                <w:sz w:val="18"/>
                <w:szCs w:val="18"/>
              </w:rPr>
            </w:pPr>
            <w:r w:rsidRPr="007114AF">
              <w:rPr>
                <w:rFonts w:ascii="Garamond" w:eastAsia="Times New Roman" w:hAnsi="Garamond" w:cs="Times New Roman"/>
                <w:sz w:val="18"/>
                <w:szCs w:val="18"/>
              </w:rPr>
              <w:lastRenderedPageBreak/>
              <w:t>E29</w:t>
            </w:r>
          </w:p>
        </w:tc>
        <w:tc>
          <w:tcPr>
            <w:tcW w:w="2022" w:type="dxa"/>
            <w:vAlign w:val="center"/>
            <w:hideMark/>
          </w:tcPr>
          <w:p w14:paraId="6EDD034C"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xml:space="preserve">Zbatimi i kuadrit ligjor për etiketimin e pajisjeve të zyrave </w:t>
            </w:r>
          </w:p>
        </w:tc>
        <w:tc>
          <w:tcPr>
            <w:tcW w:w="1134" w:type="dxa"/>
            <w:vAlign w:val="center"/>
            <w:hideMark/>
          </w:tcPr>
          <w:p w14:paraId="6EDD034D"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2016-2018</w:t>
            </w:r>
          </w:p>
        </w:tc>
        <w:tc>
          <w:tcPr>
            <w:tcW w:w="992" w:type="dxa"/>
            <w:vAlign w:val="center"/>
            <w:hideMark/>
          </w:tcPr>
          <w:p w14:paraId="6EDD034E"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PKVEE</w:t>
            </w:r>
          </w:p>
        </w:tc>
        <w:tc>
          <w:tcPr>
            <w:tcW w:w="1014" w:type="dxa"/>
            <w:vAlign w:val="center"/>
          </w:tcPr>
          <w:p w14:paraId="6EDD034F"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hAnsi="Garamond"/>
                <w:sz w:val="18"/>
                <w:szCs w:val="18"/>
              </w:rPr>
              <w:t>Mundësuese</w:t>
            </w:r>
          </w:p>
        </w:tc>
        <w:tc>
          <w:tcPr>
            <w:tcW w:w="1538" w:type="dxa"/>
            <w:noWrap/>
            <w:vAlign w:val="center"/>
            <w:hideMark/>
          </w:tcPr>
          <w:p w14:paraId="6EDD0350"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6,865.00</w:t>
            </w:r>
          </w:p>
        </w:tc>
        <w:tc>
          <w:tcPr>
            <w:tcW w:w="1276" w:type="dxa"/>
            <w:noWrap/>
            <w:vAlign w:val="center"/>
            <w:hideMark/>
          </w:tcPr>
          <w:p w14:paraId="6EDD0351"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6,865.00</w:t>
            </w:r>
          </w:p>
        </w:tc>
        <w:tc>
          <w:tcPr>
            <w:tcW w:w="1134" w:type="dxa"/>
            <w:noWrap/>
            <w:vAlign w:val="center"/>
            <w:hideMark/>
          </w:tcPr>
          <w:p w14:paraId="6EDD0352"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1276" w:type="dxa"/>
            <w:noWrap/>
            <w:vAlign w:val="center"/>
            <w:hideMark/>
          </w:tcPr>
          <w:p w14:paraId="6EDD0353"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1134" w:type="dxa"/>
            <w:noWrap/>
            <w:vAlign w:val="center"/>
            <w:hideMark/>
          </w:tcPr>
          <w:p w14:paraId="6EDD0354"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2360" w:type="dxa"/>
            <w:vAlign w:val="center"/>
            <w:hideMark/>
          </w:tcPr>
          <w:p w14:paraId="6EDD0355" w14:textId="728D9AD5"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xml:space="preserve">Dokumenti vëren: </w:t>
            </w:r>
            <w:r w:rsidR="000A2A01" w:rsidRPr="007114AF">
              <w:rPr>
                <w:rFonts w:ascii="Garamond" w:eastAsia="Times New Roman" w:hAnsi="Garamond" w:cs="Times New Roman"/>
                <w:sz w:val="18"/>
                <w:szCs w:val="18"/>
              </w:rPr>
              <w:t>“</w:t>
            </w:r>
            <w:r w:rsidRPr="007114AF">
              <w:rPr>
                <w:rFonts w:ascii="Garamond" w:eastAsia="Times New Roman" w:hAnsi="Garamond" w:cs="Times New Roman"/>
                <w:sz w:val="18"/>
                <w:szCs w:val="18"/>
              </w:rPr>
              <w:t>Kosto margjinale e aparateve më eficiente është rifinancuar shpejt nga kursimet (ripago brenda 1-3 vitesh)</w:t>
            </w:r>
            <w:r w:rsidR="000A2A01" w:rsidRPr="007114AF">
              <w:rPr>
                <w:rFonts w:ascii="Garamond" w:eastAsia="Times New Roman" w:hAnsi="Garamond" w:cs="Times New Roman"/>
                <w:sz w:val="18"/>
                <w:szCs w:val="18"/>
              </w:rPr>
              <w:t>”</w:t>
            </w:r>
            <w:r w:rsidRPr="007114AF">
              <w:rPr>
                <w:rFonts w:ascii="Garamond" w:eastAsia="Times New Roman" w:hAnsi="Garamond" w:cs="Times New Roman"/>
                <w:sz w:val="18"/>
                <w:szCs w:val="18"/>
              </w:rPr>
              <w:t>.</w:t>
            </w:r>
          </w:p>
        </w:tc>
      </w:tr>
      <w:tr w:rsidR="000235FE" w:rsidRPr="007114AF" w14:paraId="6EDD0367" w14:textId="77777777" w:rsidTr="000235FE">
        <w:trPr>
          <w:cantSplit/>
          <w:trHeight w:val="2856"/>
          <w:jc w:val="center"/>
        </w:trPr>
        <w:tc>
          <w:tcPr>
            <w:cnfStyle w:val="001000000000" w:firstRow="0" w:lastRow="0" w:firstColumn="1" w:lastColumn="0" w:oddVBand="0" w:evenVBand="0" w:oddHBand="0" w:evenHBand="0" w:firstRowFirstColumn="0" w:firstRowLastColumn="0" w:lastRowFirstColumn="0" w:lastRowLastColumn="0"/>
            <w:tcW w:w="496" w:type="dxa"/>
            <w:noWrap/>
            <w:vAlign w:val="center"/>
            <w:hideMark/>
          </w:tcPr>
          <w:p w14:paraId="6EDD0357" w14:textId="77777777" w:rsidR="000235FE" w:rsidRPr="007114AF" w:rsidRDefault="000235FE" w:rsidP="00C136A5">
            <w:pPr>
              <w:spacing w:after="0"/>
              <w:rPr>
                <w:rFonts w:ascii="Garamond" w:eastAsia="Times New Roman" w:hAnsi="Garamond" w:cs="Times New Roman"/>
                <w:b w:val="0"/>
                <w:bCs w:val="0"/>
                <w:sz w:val="18"/>
                <w:szCs w:val="18"/>
              </w:rPr>
            </w:pPr>
            <w:r w:rsidRPr="007114AF">
              <w:rPr>
                <w:rFonts w:ascii="Garamond" w:eastAsia="Times New Roman" w:hAnsi="Garamond" w:cs="Times New Roman"/>
                <w:sz w:val="18"/>
                <w:szCs w:val="18"/>
              </w:rPr>
              <w:t>E30</w:t>
            </w:r>
          </w:p>
        </w:tc>
        <w:tc>
          <w:tcPr>
            <w:tcW w:w="2022" w:type="dxa"/>
            <w:vAlign w:val="center"/>
            <w:hideMark/>
          </w:tcPr>
          <w:p w14:paraId="6EDD0358"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xml:space="preserve">Legjislacioni dhe zbatimi i kuadrit ligjor për etiketimin e pajisjeve elektron shtëpiake </w:t>
            </w:r>
          </w:p>
        </w:tc>
        <w:tc>
          <w:tcPr>
            <w:tcW w:w="1134" w:type="dxa"/>
            <w:vAlign w:val="center"/>
            <w:hideMark/>
          </w:tcPr>
          <w:p w14:paraId="6EDD0359"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2016-2020</w:t>
            </w:r>
          </w:p>
        </w:tc>
        <w:tc>
          <w:tcPr>
            <w:tcW w:w="992" w:type="dxa"/>
            <w:vAlign w:val="center"/>
            <w:hideMark/>
          </w:tcPr>
          <w:p w14:paraId="6EDD035A"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PKVEE</w:t>
            </w:r>
          </w:p>
        </w:tc>
        <w:tc>
          <w:tcPr>
            <w:tcW w:w="1014" w:type="dxa"/>
            <w:vAlign w:val="center"/>
          </w:tcPr>
          <w:p w14:paraId="6EDD035B"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hAnsi="Garamond"/>
                <w:sz w:val="18"/>
                <w:szCs w:val="18"/>
              </w:rPr>
              <w:t>Mundësuese</w:t>
            </w:r>
          </w:p>
        </w:tc>
        <w:tc>
          <w:tcPr>
            <w:tcW w:w="1538" w:type="dxa"/>
            <w:noWrap/>
            <w:vAlign w:val="center"/>
            <w:hideMark/>
          </w:tcPr>
          <w:p w14:paraId="6EDD035C"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10,000.00</w:t>
            </w:r>
          </w:p>
          <w:p w14:paraId="6EDD035D"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tc>
        <w:tc>
          <w:tcPr>
            <w:tcW w:w="1276" w:type="dxa"/>
            <w:noWrap/>
            <w:vAlign w:val="center"/>
            <w:hideMark/>
          </w:tcPr>
          <w:p w14:paraId="6EDD035E"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10,000.00</w:t>
            </w:r>
          </w:p>
          <w:p w14:paraId="6EDD035F"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tc>
        <w:tc>
          <w:tcPr>
            <w:tcW w:w="1134" w:type="dxa"/>
            <w:noWrap/>
            <w:vAlign w:val="center"/>
            <w:hideMark/>
          </w:tcPr>
          <w:p w14:paraId="6EDD0360"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p w14:paraId="6EDD0361"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1276" w:type="dxa"/>
            <w:noWrap/>
            <w:vAlign w:val="center"/>
            <w:hideMark/>
          </w:tcPr>
          <w:p w14:paraId="6EDD0362"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p w14:paraId="6EDD0363"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1134" w:type="dxa"/>
            <w:noWrap/>
            <w:vAlign w:val="center"/>
            <w:hideMark/>
          </w:tcPr>
          <w:p w14:paraId="6EDD0364"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p w14:paraId="6EDD0365"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2360" w:type="dxa"/>
            <w:vAlign w:val="center"/>
            <w:hideMark/>
          </w:tcPr>
          <w:p w14:paraId="6EDD0366" w14:textId="28AB9D81"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xml:space="preserve">Asnjë tregues i qartë rreth këtij përcaktimi. Dokumenti vëren se </w:t>
            </w:r>
            <w:r w:rsidR="000A2A01" w:rsidRPr="007114AF">
              <w:rPr>
                <w:rFonts w:ascii="Garamond" w:eastAsia="Times New Roman" w:hAnsi="Garamond" w:cs="Times New Roman"/>
                <w:sz w:val="18"/>
                <w:szCs w:val="18"/>
              </w:rPr>
              <w:t>“</w:t>
            </w:r>
            <w:r w:rsidRPr="007114AF">
              <w:rPr>
                <w:rFonts w:ascii="Garamond" w:eastAsia="Times New Roman" w:hAnsi="Garamond" w:cs="Times New Roman"/>
                <w:sz w:val="18"/>
                <w:szCs w:val="18"/>
              </w:rPr>
              <w:t>Kostomargjinale e aparateve</w:t>
            </w:r>
            <w:r w:rsidR="000A2A01" w:rsidRPr="007114AF">
              <w:rPr>
                <w:rFonts w:ascii="Garamond" w:eastAsia="Times New Roman" w:hAnsi="Garamond" w:cs="Times New Roman"/>
                <w:sz w:val="18"/>
                <w:szCs w:val="18"/>
              </w:rPr>
              <w:t xml:space="preserve"> </w:t>
            </w:r>
            <w:r w:rsidRPr="007114AF">
              <w:rPr>
                <w:rFonts w:ascii="Garamond" w:eastAsia="Times New Roman" w:hAnsi="Garamond" w:cs="Times New Roman"/>
                <w:sz w:val="18"/>
                <w:szCs w:val="18"/>
              </w:rPr>
              <w:t>më eficiente është rifinancuar shpejt nga kursimet (riparo brenda 1-3 vitesh)</w:t>
            </w:r>
            <w:r w:rsidR="000A2A01" w:rsidRPr="007114AF">
              <w:rPr>
                <w:rFonts w:ascii="Garamond" w:eastAsia="Times New Roman" w:hAnsi="Garamond" w:cs="Times New Roman"/>
                <w:sz w:val="18"/>
                <w:szCs w:val="18"/>
              </w:rPr>
              <w:t>”</w:t>
            </w:r>
            <w:r w:rsidRPr="007114AF">
              <w:rPr>
                <w:rFonts w:ascii="Garamond" w:eastAsia="Times New Roman" w:hAnsi="Garamond" w:cs="Times New Roman"/>
                <w:sz w:val="18"/>
                <w:szCs w:val="18"/>
              </w:rPr>
              <w:t>. Kostoja është marrë nga Plani i dytë dhe i tretë i Veprimit Kombëtar mbi Eficiencën e Energjisë për Shqipërinë 2016-2020/R8</w:t>
            </w:r>
          </w:p>
        </w:tc>
      </w:tr>
      <w:tr w:rsidR="000235FE" w:rsidRPr="007114AF" w14:paraId="6EDD0373" w14:textId="77777777" w:rsidTr="000235FE">
        <w:trPr>
          <w:cantSplit/>
          <w:trHeight w:val="20"/>
          <w:jc w:val="center"/>
        </w:trPr>
        <w:tc>
          <w:tcPr>
            <w:cnfStyle w:val="001000000000" w:firstRow="0" w:lastRow="0" w:firstColumn="1" w:lastColumn="0" w:oddVBand="0" w:evenVBand="0" w:oddHBand="0" w:evenHBand="0" w:firstRowFirstColumn="0" w:firstRowLastColumn="0" w:lastRowFirstColumn="0" w:lastRowLastColumn="0"/>
            <w:tcW w:w="496" w:type="dxa"/>
            <w:noWrap/>
            <w:vAlign w:val="center"/>
            <w:hideMark/>
          </w:tcPr>
          <w:p w14:paraId="6EDD0368" w14:textId="77777777" w:rsidR="000235FE" w:rsidRPr="007114AF" w:rsidRDefault="000235FE" w:rsidP="00C136A5">
            <w:pPr>
              <w:spacing w:after="0"/>
              <w:rPr>
                <w:rFonts w:ascii="Garamond" w:eastAsia="Times New Roman" w:hAnsi="Garamond" w:cs="Times New Roman"/>
                <w:b w:val="0"/>
                <w:bCs w:val="0"/>
                <w:sz w:val="18"/>
                <w:szCs w:val="18"/>
              </w:rPr>
            </w:pPr>
            <w:r w:rsidRPr="007114AF">
              <w:rPr>
                <w:rFonts w:ascii="Garamond" w:eastAsia="Times New Roman" w:hAnsi="Garamond" w:cs="Times New Roman"/>
                <w:sz w:val="18"/>
                <w:szCs w:val="18"/>
              </w:rPr>
              <w:t>E31</w:t>
            </w:r>
          </w:p>
        </w:tc>
        <w:tc>
          <w:tcPr>
            <w:tcW w:w="2022" w:type="dxa"/>
            <w:vAlign w:val="center"/>
            <w:hideMark/>
          </w:tcPr>
          <w:p w14:paraId="6EDD0369" w14:textId="599616C8" w:rsidR="000235FE" w:rsidRPr="007114AF" w:rsidRDefault="000235FE" w:rsidP="00DA60B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Monitorimi dhe raportimi i zbatimit të NREAP (</w:t>
            </w:r>
            <w:r w:rsidR="00DA60B5" w:rsidRPr="007114AF">
              <w:rPr>
                <w:rFonts w:ascii="Garamond" w:eastAsia="Times New Roman" w:hAnsi="Garamond" w:cs="Times New Roman"/>
                <w:sz w:val="18"/>
                <w:szCs w:val="18"/>
              </w:rPr>
              <w:t xml:space="preserve">neni </w:t>
            </w:r>
            <w:r w:rsidRPr="007114AF">
              <w:rPr>
                <w:rFonts w:ascii="Garamond" w:eastAsia="Times New Roman" w:hAnsi="Garamond" w:cs="Times New Roman"/>
                <w:sz w:val="18"/>
                <w:szCs w:val="18"/>
              </w:rPr>
              <w:t>7)</w:t>
            </w:r>
          </w:p>
        </w:tc>
        <w:tc>
          <w:tcPr>
            <w:tcW w:w="1134" w:type="dxa"/>
            <w:vAlign w:val="center"/>
            <w:hideMark/>
          </w:tcPr>
          <w:p w14:paraId="6EDD036A"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Pas hyrjes në fuqi</w:t>
            </w:r>
          </w:p>
        </w:tc>
        <w:tc>
          <w:tcPr>
            <w:tcW w:w="992" w:type="dxa"/>
            <w:vAlign w:val="center"/>
            <w:hideMark/>
          </w:tcPr>
          <w:p w14:paraId="6EDD036B"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Draftligji mbi BER</w:t>
            </w:r>
          </w:p>
        </w:tc>
        <w:tc>
          <w:tcPr>
            <w:tcW w:w="1014" w:type="dxa"/>
            <w:vAlign w:val="center"/>
          </w:tcPr>
          <w:p w14:paraId="6EDD036C"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hAnsi="Garamond"/>
                <w:sz w:val="18"/>
                <w:szCs w:val="18"/>
              </w:rPr>
              <w:t>Mundësuese</w:t>
            </w:r>
          </w:p>
        </w:tc>
        <w:tc>
          <w:tcPr>
            <w:tcW w:w="1538" w:type="dxa"/>
            <w:noWrap/>
            <w:vAlign w:val="center"/>
            <w:hideMark/>
          </w:tcPr>
          <w:p w14:paraId="6EDD036D"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14,000.00</w:t>
            </w:r>
          </w:p>
        </w:tc>
        <w:tc>
          <w:tcPr>
            <w:tcW w:w="1276" w:type="dxa"/>
            <w:noWrap/>
            <w:vAlign w:val="center"/>
            <w:hideMark/>
          </w:tcPr>
          <w:p w14:paraId="6EDD036E"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14,000.00</w:t>
            </w:r>
          </w:p>
        </w:tc>
        <w:tc>
          <w:tcPr>
            <w:tcW w:w="1134" w:type="dxa"/>
            <w:noWrap/>
            <w:vAlign w:val="center"/>
            <w:hideMark/>
          </w:tcPr>
          <w:p w14:paraId="6EDD036F"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1276" w:type="dxa"/>
            <w:noWrap/>
            <w:vAlign w:val="center"/>
            <w:hideMark/>
          </w:tcPr>
          <w:p w14:paraId="6EDD0370"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1134" w:type="dxa"/>
            <w:noWrap/>
            <w:vAlign w:val="center"/>
            <w:hideMark/>
          </w:tcPr>
          <w:p w14:paraId="6EDD0371"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2360" w:type="dxa"/>
            <w:vAlign w:val="center"/>
            <w:hideMark/>
          </w:tcPr>
          <w:p w14:paraId="6EDD0372" w14:textId="40C5B7E3" w:rsidR="000235FE" w:rsidRPr="007114AF" w:rsidRDefault="000235FE" w:rsidP="0000517F">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xml:space="preserve">Kostot për një raport vjetor janë rreth 5 milion. Kostoja për njësi llogaritet bazuar në rezultate të njëjta të MIE. Kostoja totale për këtë masë është 14 </w:t>
            </w:r>
            <w:r w:rsidR="001C47F0" w:rsidRPr="007114AF">
              <w:rPr>
                <w:rFonts w:ascii="Garamond" w:eastAsia="Times New Roman" w:hAnsi="Garamond" w:cs="Times New Roman"/>
                <w:sz w:val="18"/>
                <w:szCs w:val="18"/>
              </w:rPr>
              <w:t xml:space="preserve">milionë </w:t>
            </w:r>
            <w:r w:rsidRPr="007114AF">
              <w:rPr>
                <w:rFonts w:ascii="Garamond" w:eastAsia="Times New Roman" w:hAnsi="Garamond" w:cs="Times New Roman"/>
                <w:sz w:val="18"/>
                <w:szCs w:val="18"/>
              </w:rPr>
              <w:t>dhe përfshihet n</w:t>
            </w:r>
            <w:r w:rsidR="0000517F">
              <w:rPr>
                <w:rFonts w:ascii="Garamond" w:eastAsia="Times New Roman" w:hAnsi="Garamond" w:cs="Times New Roman"/>
                <w:sz w:val="18"/>
                <w:szCs w:val="18"/>
              </w:rPr>
              <w:t>ë</w:t>
            </w:r>
            <w:r w:rsidRPr="007114AF">
              <w:rPr>
                <w:rFonts w:ascii="Garamond" w:eastAsia="Times New Roman" w:hAnsi="Garamond" w:cs="Times New Roman"/>
                <w:sz w:val="18"/>
                <w:szCs w:val="18"/>
              </w:rPr>
              <w:t xml:space="preserve"> buxhetin BER. </w:t>
            </w:r>
          </w:p>
        </w:tc>
      </w:tr>
      <w:tr w:rsidR="000235FE" w:rsidRPr="007114AF" w14:paraId="6EDD037F" w14:textId="77777777" w:rsidTr="000235FE">
        <w:trPr>
          <w:cantSplit/>
          <w:trHeight w:val="2197"/>
          <w:jc w:val="center"/>
        </w:trPr>
        <w:tc>
          <w:tcPr>
            <w:cnfStyle w:val="001000000000" w:firstRow="0" w:lastRow="0" w:firstColumn="1" w:lastColumn="0" w:oddVBand="0" w:evenVBand="0" w:oddHBand="0" w:evenHBand="0" w:firstRowFirstColumn="0" w:firstRowLastColumn="0" w:lastRowFirstColumn="0" w:lastRowLastColumn="0"/>
            <w:tcW w:w="496" w:type="dxa"/>
            <w:noWrap/>
            <w:vAlign w:val="center"/>
            <w:hideMark/>
          </w:tcPr>
          <w:p w14:paraId="6EDD0374" w14:textId="77777777" w:rsidR="000235FE" w:rsidRPr="007114AF" w:rsidRDefault="000235FE" w:rsidP="00C136A5">
            <w:pPr>
              <w:spacing w:after="0"/>
              <w:rPr>
                <w:rFonts w:ascii="Garamond" w:eastAsia="Times New Roman" w:hAnsi="Garamond" w:cs="Times New Roman"/>
                <w:b w:val="0"/>
                <w:bCs w:val="0"/>
                <w:sz w:val="18"/>
                <w:szCs w:val="18"/>
              </w:rPr>
            </w:pPr>
            <w:r w:rsidRPr="007114AF">
              <w:rPr>
                <w:rFonts w:ascii="Garamond" w:eastAsia="Times New Roman" w:hAnsi="Garamond" w:cs="Times New Roman"/>
                <w:sz w:val="18"/>
                <w:szCs w:val="18"/>
              </w:rPr>
              <w:t>E32</w:t>
            </w:r>
          </w:p>
        </w:tc>
        <w:tc>
          <w:tcPr>
            <w:tcW w:w="2022" w:type="dxa"/>
            <w:vAlign w:val="center"/>
            <w:hideMark/>
          </w:tcPr>
          <w:p w14:paraId="6EDD0375"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xml:space="preserve">Skema audituese për industrinë </w:t>
            </w:r>
          </w:p>
        </w:tc>
        <w:tc>
          <w:tcPr>
            <w:tcW w:w="1134" w:type="dxa"/>
            <w:vAlign w:val="center"/>
            <w:hideMark/>
          </w:tcPr>
          <w:p w14:paraId="6EDD0376"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2016-2018</w:t>
            </w:r>
          </w:p>
        </w:tc>
        <w:tc>
          <w:tcPr>
            <w:tcW w:w="992" w:type="dxa"/>
            <w:vAlign w:val="center"/>
            <w:hideMark/>
          </w:tcPr>
          <w:p w14:paraId="6EDD0377"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PKVEE</w:t>
            </w:r>
          </w:p>
        </w:tc>
        <w:tc>
          <w:tcPr>
            <w:tcW w:w="1014" w:type="dxa"/>
            <w:vAlign w:val="center"/>
          </w:tcPr>
          <w:p w14:paraId="6EDD0378"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Indirekte</w:t>
            </w:r>
          </w:p>
        </w:tc>
        <w:tc>
          <w:tcPr>
            <w:tcW w:w="1538" w:type="dxa"/>
            <w:noWrap/>
            <w:vAlign w:val="center"/>
            <w:hideMark/>
          </w:tcPr>
          <w:p w14:paraId="6EDD0379"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274,600.00</w:t>
            </w:r>
          </w:p>
        </w:tc>
        <w:tc>
          <w:tcPr>
            <w:tcW w:w="1276" w:type="dxa"/>
            <w:noWrap/>
            <w:vAlign w:val="center"/>
            <w:hideMark/>
          </w:tcPr>
          <w:p w14:paraId="6EDD037A"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274,600.00</w:t>
            </w:r>
          </w:p>
        </w:tc>
        <w:tc>
          <w:tcPr>
            <w:tcW w:w="1134" w:type="dxa"/>
            <w:noWrap/>
            <w:vAlign w:val="center"/>
            <w:hideMark/>
          </w:tcPr>
          <w:p w14:paraId="6EDD037B"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1276" w:type="dxa"/>
            <w:noWrap/>
            <w:vAlign w:val="center"/>
            <w:hideMark/>
          </w:tcPr>
          <w:p w14:paraId="6EDD037C"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1134" w:type="dxa"/>
            <w:noWrap/>
            <w:vAlign w:val="center"/>
            <w:hideMark/>
          </w:tcPr>
          <w:p w14:paraId="6EDD037D"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2360" w:type="dxa"/>
            <w:vAlign w:val="center"/>
            <w:hideMark/>
          </w:tcPr>
          <w:p w14:paraId="6EDD037E" w14:textId="61CF9ED8"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xml:space="preserve">Në bazë të dokumentit, ky është një </w:t>
            </w:r>
            <w:r w:rsidR="000A2A01" w:rsidRPr="007114AF">
              <w:rPr>
                <w:rFonts w:ascii="Garamond" w:eastAsia="Times New Roman" w:hAnsi="Garamond" w:cs="Times New Roman"/>
                <w:sz w:val="18"/>
                <w:szCs w:val="18"/>
              </w:rPr>
              <w:t>“</w:t>
            </w:r>
            <w:r w:rsidRPr="007114AF">
              <w:rPr>
                <w:rFonts w:ascii="Garamond" w:eastAsia="Times New Roman" w:hAnsi="Garamond" w:cs="Times New Roman"/>
                <w:sz w:val="18"/>
                <w:szCs w:val="18"/>
              </w:rPr>
              <w:t>buxhet për vendosjen së bashku të trajnimit, kontrollit të cilësisë dhe subvencioneve për kontroll të shpejtë</w:t>
            </w:r>
            <w:r w:rsidR="000A2A01" w:rsidRPr="007114AF">
              <w:rPr>
                <w:rFonts w:ascii="Garamond" w:eastAsia="Times New Roman" w:hAnsi="Garamond" w:cs="Times New Roman"/>
                <w:sz w:val="18"/>
                <w:szCs w:val="18"/>
              </w:rPr>
              <w:t>”</w:t>
            </w:r>
            <w:r w:rsidRPr="007114AF">
              <w:rPr>
                <w:rFonts w:ascii="Garamond" w:eastAsia="Times New Roman" w:hAnsi="Garamond" w:cs="Times New Roman"/>
                <w:sz w:val="18"/>
                <w:szCs w:val="18"/>
              </w:rPr>
              <w:t xml:space="preserve">, </w:t>
            </w:r>
            <w:r w:rsidR="000A2A01" w:rsidRPr="007114AF">
              <w:rPr>
                <w:rFonts w:ascii="Garamond" w:eastAsia="Times New Roman" w:hAnsi="Garamond" w:cs="Times New Roman"/>
                <w:sz w:val="18"/>
                <w:szCs w:val="18"/>
              </w:rPr>
              <w:t>“</w:t>
            </w:r>
            <w:r w:rsidRPr="007114AF">
              <w:rPr>
                <w:rFonts w:ascii="Garamond" w:eastAsia="Times New Roman" w:hAnsi="Garamond" w:cs="Times New Roman"/>
                <w:sz w:val="18"/>
                <w:szCs w:val="18"/>
              </w:rPr>
              <w:t>për fazën fillestare duke krijuar kontroll cilësie dhe kontroll të shpejtë për të gjitha proceset e auditimit</w:t>
            </w:r>
            <w:r w:rsidR="000A2A01" w:rsidRPr="007114AF">
              <w:rPr>
                <w:rFonts w:ascii="Garamond" w:eastAsia="Times New Roman" w:hAnsi="Garamond" w:cs="Times New Roman"/>
                <w:sz w:val="18"/>
                <w:szCs w:val="18"/>
              </w:rPr>
              <w:t>”</w:t>
            </w:r>
          </w:p>
        </w:tc>
      </w:tr>
      <w:tr w:rsidR="000235FE" w:rsidRPr="007114AF" w14:paraId="6EDD038B" w14:textId="77777777" w:rsidTr="000235FE">
        <w:trPr>
          <w:cantSplit/>
          <w:trHeight w:val="20"/>
          <w:jc w:val="center"/>
        </w:trPr>
        <w:tc>
          <w:tcPr>
            <w:cnfStyle w:val="001000000000" w:firstRow="0" w:lastRow="0" w:firstColumn="1" w:lastColumn="0" w:oddVBand="0" w:evenVBand="0" w:oddHBand="0" w:evenHBand="0" w:firstRowFirstColumn="0" w:firstRowLastColumn="0" w:lastRowFirstColumn="0" w:lastRowLastColumn="0"/>
            <w:tcW w:w="496" w:type="dxa"/>
            <w:noWrap/>
            <w:vAlign w:val="center"/>
            <w:hideMark/>
          </w:tcPr>
          <w:p w14:paraId="6EDD0380" w14:textId="77777777" w:rsidR="000235FE" w:rsidRPr="007114AF" w:rsidRDefault="000235FE" w:rsidP="00C136A5">
            <w:pPr>
              <w:spacing w:after="0"/>
              <w:rPr>
                <w:rFonts w:ascii="Garamond" w:eastAsia="Times New Roman" w:hAnsi="Garamond" w:cs="Times New Roman"/>
                <w:b w:val="0"/>
                <w:bCs w:val="0"/>
                <w:sz w:val="18"/>
                <w:szCs w:val="18"/>
              </w:rPr>
            </w:pPr>
            <w:r w:rsidRPr="007114AF">
              <w:rPr>
                <w:rFonts w:ascii="Garamond" w:eastAsia="Times New Roman" w:hAnsi="Garamond" w:cs="Times New Roman"/>
                <w:sz w:val="18"/>
                <w:szCs w:val="18"/>
              </w:rPr>
              <w:lastRenderedPageBreak/>
              <w:t>E33</w:t>
            </w:r>
          </w:p>
        </w:tc>
        <w:tc>
          <w:tcPr>
            <w:tcW w:w="2022" w:type="dxa"/>
            <w:vAlign w:val="center"/>
            <w:hideMark/>
          </w:tcPr>
          <w:p w14:paraId="6EDD0381" w14:textId="1674CEF6" w:rsidR="000235FE" w:rsidRPr="007114AF" w:rsidRDefault="000235FE" w:rsidP="00DA60B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Menaxheri i Energjisë (</w:t>
            </w:r>
            <w:r w:rsidR="00DA60B5" w:rsidRPr="007114AF">
              <w:rPr>
                <w:rFonts w:ascii="Garamond" w:eastAsia="Times New Roman" w:hAnsi="Garamond" w:cs="Times New Roman"/>
                <w:sz w:val="18"/>
                <w:szCs w:val="18"/>
              </w:rPr>
              <w:t xml:space="preserve">neni </w:t>
            </w:r>
            <w:r w:rsidRPr="007114AF">
              <w:rPr>
                <w:rFonts w:ascii="Garamond" w:eastAsia="Times New Roman" w:hAnsi="Garamond" w:cs="Times New Roman"/>
                <w:sz w:val="18"/>
                <w:szCs w:val="18"/>
              </w:rPr>
              <w:t>10)</w:t>
            </w:r>
          </w:p>
        </w:tc>
        <w:tc>
          <w:tcPr>
            <w:tcW w:w="1134" w:type="dxa"/>
            <w:vAlign w:val="center"/>
            <w:hideMark/>
          </w:tcPr>
          <w:p w14:paraId="6EDD0382"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2017-2020</w:t>
            </w:r>
          </w:p>
        </w:tc>
        <w:tc>
          <w:tcPr>
            <w:tcW w:w="992" w:type="dxa"/>
            <w:noWrap/>
            <w:vAlign w:val="center"/>
            <w:hideMark/>
          </w:tcPr>
          <w:p w14:paraId="6EDD0383"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Ligji 124/2015 Mbi Eficiencën e Energjisë</w:t>
            </w:r>
          </w:p>
        </w:tc>
        <w:tc>
          <w:tcPr>
            <w:tcW w:w="1014" w:type="dxa"/>
            <w:vAlign w:val="center"/>
          </w:tcPr>
          <w:p w14:paraId="6EDD0384"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hAnsi="Garamond"/>
                <w:sz w:val="18"/>
                <w:szCs w:val="18"/>
              </w:rPr>
              <w:t>Indirekte</w:t>
            </w:r>
          </w:p>
        </w:tc>
        <w:tc>
          <w:tcPr>
            <w:tcW w:w="1538" w:type="dxa"/>
            <w:noWrap/>
            <w:vAlign w:val="center"/>
            <w:hideMark/>
          </w:tcPr>
          <w:p w14:paraId="6EDD0385"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9,000.00</w:t>
            </w:r>
          </w:p>
        </w:tc>
        <w:tc>
          <w:tcPr>
            <w:tcW w:w="1276" w:type="dxa"/>
            <w:noWrap/>
            <w:vAlign w:val="center"/>
            <w:hideMark/>
          </w:tcPr>
          <w:p w14:paraId="6EDD0386"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9,000.00</w:t>
            </w:r>
          </w:p>
        </w:tc>
        <w:tc>
          <w:tcPr>
            <w:tcW w:w="1134" w:type="dxa"/>
            <w:noWrap/>
            <w:vAlign w:val="center"/>
            <w:hideMark/>
          </w:tcPr>
          <w:p w14:paraId="6EDD0387"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1276" w:type="dxa"/>
            <w:noWrap/>
            <w:vAlign w:val="center"/>
            <w:hideMark/>
          </w:tcPr>
          <w:p w14:paraId="6EDD0388"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1134" w:type="dxa"/>
            <w:noWrap/>
            <w:vAlign w:val="center"/>
            <w:hideMark/>
          </w:tcPr>
          <w:p w14:paraId="6EDD0389"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2360" w:type="dxa"/>
            <w:vAlign w:val="center"/>
            <w:hideMark/>
          </w:tcPr>
          <w:p w14:paraId="6EDD038A"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Kosto e projektit mbi rregulloret dhe kushtet, kërkesat e cilësimit dhe eksperiencës profesionale për menaxherin e energjisë; Lista e projekteve 2017-2019</w:t>
            </w:r>
          </w:p>
        </w:tc>
      </w:tr>
      <w:tr w:rsidR="000235FE" w:rsidRPr="007114AF" w14:paraId="6EDD0397" w14:textId="77777777" w:rsidTr="000235FE">
        <w:trPr>
          <w:cantSplit/>
          <w:trHeight w:val="20"/>
          <w:jc w:val="center"/>
        </w:trPr>
        <w:tc>
          <w:tcPr>
            <w:cnfStyle w:val="001000000000" w:firstRow="0" w:lastRow="0" w:firstColumn="1" w:lastColumn="0" w:oddVBand="0" w:evenVBand="0" w:oddHBand="0" w:evenHBand="0" w:firstRowFirstColumn="0" w:firstRowLastColumn="0" w:lastRowFirstColumn="0" w:lastRowLastColumn="0"/>
            <w:tcW w:w="496" w:type="dxa"/>
            <w:noWrap/>
            <w:vAlign w:val="center"/>
            <w:hideMark/>
          </w:tcPr>
          <w:p w14:paraId="6EDD038C" w14:textId="77777777" w:rsidR="000235FE" w:rsidRPr="007114AF" w:rsidRDefault="000235FE" w:rsidP="00C136A5">
            <w:pPr>
              <w:spacing w:after="0"/>
              <w:rPr>
                <w:rFonts w:ascii="Garamond" w:eastAsia="Times New Roman" w:hAnsi="Garamond" w:cs="Times New Roman"/>
                <w:b w:val="0"/>
                <w:bCs w:val="0"/>
                <w:sz w:val="18"/>
                <w:szCs w:val="18"/>
              </w:rPr>
            </w:pPr>
            <w:r w:rsidRPr="007114AF">
              <w:rPr>
                <w:rFonts w:ascii="Garamond" w:eastAsia="Times New Roman" w:hAnsi="Garamond" w:cs="Times New Roman"/>
                <w:sz w:val="18"/>
                <w:szCs w:val="18"/>
              </w:rPr>
              <w:t>E34</w:t>
            </w:r>
          </w:p>
        </w:tc>
        <w:tc>
          <w:tcPr>
            <w:tcW w:w="2022" w:type="dxa"/>
            <w:vAlign w:val="center"/>
            <w:hideMark/>
          </w:tcPr>
          <w:p w14:paraId="6EDD038D" w14:textId="11F10C62" w:rsidR="000235FE" w:rsidRPr="007114AF" w:rsidRDefault="000235FE" w:rsidP="00DA60B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Auditi i Energjisë (</w:t>
            </w:r>
            <w:r w:rsidR="00DA60B5" w:rsidRPr="007114AF">
              <w:rPr>
                <w:rFonts w:ascii="Garamond" w:eastAsia="Times New Roman" w:hAnsi="Garamond" w:cs="Times New Roman"/>
                <w:sz w:val="18"/>
                <w:szCs w:val="18"/>
              </w:rPr>
              <w:t xml:space="preserve">neni </w:t>
            </w:r>
            <w:r w:rsidRPr="007114AF">
              <w:rPr>
                <w:rFonts w:ascii="Garamond" w:eastAsia="Times New Roman" w:hAnsi="Garamond" w:cs="Times New Roman"/>
                <w:sz w:val="18"/>
                <w:szCs w:val="18"/>
              </w:rPr>
              <w:t>16-17)</w:t>
            </w:r>
          </w:p>
        </w:tc>
        <w:tc>
          <w:tcPr>
            <w:tcW w:w="1134" w:type="dxa"/>
            <w:vAlign w:val="center"/>
            <w:hideMark/>
          </w:tcPr>
          <w:p w14:paraId="6EDD038E"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2017-2020</w:t>
            </w:r>
          </w:p>
        </w:tc>
        <w:tc>
          <w:tcPr>
            <w:tcW w:w="992" w:type="dxa"/>
            <w:noWrap/>
            <w:vAlign w:val="center"/>
            <w:hideMark/>
          </w:tcPr>
          <w:p w14:paraId="6EDD038F"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Ligji 124/2015 Mbi Eficiencën e Energjisë</w:t>
            </w:r>
          </w:p>
        </w:tc>
        <w:tc>
          <w:tcPr>
            <w:tcW w:w="1014" w:type="dxa"/>
            <w:vAlign w:val="center"/>
          </w:tcPr>
          <w:p w14:paraId="6EDD0390"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hAnsi="Garamond"/>
                <w:sz w:val="18"/>
                <w:szCs w:val="18"/>
              </w:rPr>
              <w:t>Indirekte</w:t>
            </w:r>
          </w:p>
        </w:tc>
        <w:tc>
          <w:tcPr>
            <w:tcW w:w="1538" w:type="dxa"/>
            <w:noWrap/>
            <w:vAlign w:val="center"/>
            <w:hideMark/>
          </w:tcPr>
          <w:p w14:paraId="6EDD0391"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9,000.00</w:t>
            </w:r>
          </w:p>
        </w:tc>
        <w:tc>
          <w:tcPr>
            <w:tcW w:w="1276" w:type="dxa"/>
            <w:vAlign w:val="center"/>
            <w:hideMark/>
          </w:tcPr>
          <w:p w14:paraId="6EDD0392"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9,000.00</w:t>
            </w:r>
          </w:p>
        </w:tc>
        <w:tc>
          <w:tcPr>
            <w:tcW w:w="1134" w:type="dxa"/>
            <w:vAlign w:val="center"/>
            <w:hideMark/>
          </w:tcPr>
          <w:p w14:paraId="6EDD0393"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1276" w:type="dxa"/>
            <w:vAlign w:val="center"/>
            <w:hideMark/>
          </w:tcPr>
          <w:p w14:paraId="6EDD0394"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1134" w:type="dxa"/>
            <w:vAlign w:val="center"/>
            <w:hideMark/>
          </w:tcPr>
          <w:p w14:paraId="6EDD0395"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2360" w:type="dxa"/>
            <w:vAlign w:val="center"/>
            <w:hideMark/>
          </w:tcPr>
          <w:p w14:paraId="6EDD0396" w14:textId="3A40A391"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xml:space="preserve">Kostoja e projektit mbi rregulloret dhe </w:t>
            </w:r>
            <w:r w:rsidR="00FD5AD9" w:rsidRPr="007114AF">
              <w:rPr>
                <w:rFonts w:ascii="Garamond" w:eastAsia="Times New Roman" w:hAnsi="Garamond" w:cs="Times New Roman"/>
                <w:sz w:val="18"/>
                <w:szCs w:val="18"/>
              </w:rPr>
              <w:t>licencimet</w:t>
            </w:r>
            <w:r w:rsidRPr="007114AF">
              <w:rPr>
                <w:rFonts w:ascii="Garamond" w:eastAsia="Times New Roman" w:hAnsi="Garamond" w:cs="Times New Roman"/>
                <w:sz w:val="18"/>
                <w:szCs w:val="18"/>
              </w:rPr>
              <w:t xml:space="preserve"> si dhe kërkesat për akreditim ndaj auditorëve të energjisë dhe kompanive të shërbimit të Energjisë (ESCO) në godina, procedimi dhe transportimi; Lista e projekteve 2017-2019</w:t>
            </w:r>
          </w:p>
        </w:tc>
      </w:tr>
      <w:tr w:rsidR="000235FE" w:rsidRPr="007114AF" w14:paraId="6EDD03A3" w14:textId="77777777" w:rsidTr="000235FE">
        <w:trPr>
          <w:cantSplit/>
          <w:trHeight w:val="20"/>
          <w:jc w:val="center"/>
        </w:trPr>
        <w:tc>
          <w:tcPr>
            <w:cnfStyle w:val="001000000000" w:firstRow="0" w:lastRow="0" w:firstColumn="1" w:lastColumn="0" w:oddVBand="0" w:evenVBand="0" w:oddHBand="0" w:evenHBand="0" w:firstRowFirstColumn="0" w:firstRowLastColumn="0" w:lastRowFirstColumn="0" w:lastRowLastColumn="0"/>
            <w:tcW w:w="496" w:type="dxa"/>
            <w:noWrap/>
            <w:vAlign w:val="center"/>
            <w:hideMark/>
          </w:tcPr>
          <w:p w14:paraId="6EDD0398" w14:textId="77777777" w:rsidR="000235FE" w:rsidRPr="007114AF" w:rsidRDefault="000235FE" w:rsidP="00C136A5">
            <w:pPr>
              <w:spacing w:after="0"/>
              <w:rPr>
                <w:rFonts w:ascii="Garamond" w:eastAsia="Times New Roman" w:hAnsi="Garamond" w:cs="Times New Roman"/>
                <w:b w:val="0"/>
                <w:bCs w:val="0"/>
                <w:sz w:val="18"/>
                <w:szCs w:val="18"/>
              </w:rPr>
            </w:pPr>
            <w:r w:rsidRPr="007114AF">
              <w:rPr>
                <w:rFonts w:ascii="Garamond" w:eastAsia="Times New Roman" w:hAnsi="Garamond" w:cs="Times New Roman"/>
                <w:sz w:val="18"/>
                <w:szCs w:val="18"/>
              </w:rPr>
              <w:t>E35</w:t>
            </w:r>
          </w:p>
        </w:tc>
        <w:tc>
          <w:tcPr>
            <w:tcW w:w="2022" w:type="dxa"/>
            <w:vAlign w:val="center"/>
            <w:hideMark/>
          </w:tcPr>
          <w:p w14:paraId="6EDD0399" w14:textId="11F3B63E" w:rsidR="000235FE" w:rsidRPr="007114AF" w:rsidRDefault="000235FE" w:rsidP="00DA60B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Informacioni dhe trajnimi (</w:t>
            </w:r>
            <w:r w:rsidR="00DA60B5" w:rsidRPr="007114AF">
              <w:rPr>
                <w:rFonts w:ascii="Garamond" w:eastAsia="Times New Roman" w:hAnsi="Garamond" w:cs="Times New Roman"/>
                <w:sz w:val="18"/>
                <w:szCs w:val="18"/>
              </w:rPr>
              <w:t xml:space="preserve">neni </w:t>
            </w:r>
            <w:r w:rsidRPr="007114AF">
              <w:rPr>
                <w:rFonts w:ascii="Garamond" w:eastAsia="Times New Roman" w:hAnsi="Garamond" w:cs="Times New Roman"/>
                <w:sz w:val="18"/>
                <w:szCs w:val="18"/>
              </w:rPr>
              <w:t>12)</w:t>
            </w:r>
          </w:p>
        </w:tc>
        <w:tc>
          <w:tcPr>
            <w:tcW w:w="1134" w:type="dxa"/>
            <w:vAlign w:val="center"/>
            <w:hideMark/>
          </w:tcPr>
          <w:p w14:paraId="6EDD039A"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2017-2020</w:t>
            </w:r>
          </w:p>
        </w:tc>
        <w:tc>
          <w:tcPr>
            <w:tcW w:w="992" w:type="dxa"/>
            <w:noWrap/>
            <w:vAlign w:val="center"/>
            <w:hideMark/>
          </w:tcPr>
          <w:p w14:paraId="6EDD039B"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Ligji 124/2015 Mbi Eficiencën e Energjisë</w:t>
            </w:r>
          </w:p>
        </w:tc>
        <w:tc>
          <w:tcPr>
            <w:tcW w:w="1014" w:type="dxa"/>
            <w:vAlign w:val="center"/>
          </w:tcPr>
          <w:p w14:paraId="6EDD039C"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hAnsi="Garamond"/>
                <w:sz w:val="18"/>
                <w:szCs w:val="18"/>
              </w:rPr>
              <w:t>Indirekte</w:t>
            </w:r>
          </w:p>
        </w:tc>
        <w:tc>
          <w:tcPr>
            <w:tcW w:w="1538" w:type="dxa"/>
            <w:noWrap/>
            <w:vAlign w:val="center"/>
            <w:hideMark/>
          </w:tcPr>
          <w:p w14:paraId="6EDD039D"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56,000.00</w:t>
            </w:r>
          </w:p>
        </w:tc>
        <w:tc>
          <w:tcPr>
            <w:tcW w:w="1276" w:type="dxa"/>
            <w:vAlign w:val="center"/>
            <w:hideMark/>
          </w:tcPr>
          <w:p w14:paraId="6EDD039E"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tc>
        <w:tc>
          <w:tcPr>
            <w:tcW w:w="1134" w:type="dxa"/>
            <w:vAlign w:val="center"/>
            <w:hideMark/>
          </w:tcPr>
          <w:p w14:paraId="6EDD039F"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1276" w:type="dxa"/>
            <w:vAlign w:val="center"/>
            <w:hideMark/>
          </w:tcPr>
          <w:p w14:paraId="6EDD03A0"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1134" w:type="dxa"/>
            <w:noWrap/>
            <w:vAlign w:val="center"/>
            <w:hideMark/>
          </w:tcPr>
          <w:p w14:paraId="6EDD03A1"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56,000.00</w:t>
            </w:r>
          </w:p>
        </w:tc>
        <w:tc>
          <w:tcPr>
            <w:tcW w:w="2360" w:type="dxa"/>
            <w:vAlign w:val="center"/>
            <w:hideMark/>
          </w:tcPr>
          <w:p w14:paraId="6EDD03A2"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Kostoja e marrë nga Plani i dytë dhe i tretë kombëtar i Veprimit mbi Eficiencën e Energjisë për Shqipërinë 2016-2020/T2</w:t>
            </w:r>
          </w:p>
        </w:tc>
      </w:tr>
      <w:tr w:rsidR="000235FE" w:rsidRPr="007114AF" w14:paraId="6EDD03AF" w14:textId="77777777" w:rsidTr="000235FE">
        <w:trPr>
          <w:cantSplit/>
          <w:trHeight w:val="20"/>
          <w:jc w:val="center"/>
        </w:trPr>
        <w:tc>
          <w:tcPr>
            <w:cnfStyle w:val="001000000000" w:firstRow="0" w:lastRow="0" w:firstColumn="1" w:lastColumn="0" w:oddVBand="0" w:evenVBand="0" w:oddHBand="0" w:evenHBand="0" w:firstRowFirstColumn="0" w:firstRowLastColumn="0" w:lastRowFirstColumn="0" w:lastRowLastColumn="0"/>
            <w:tcW w:w="496" w:type="dxa"/>
            <w:noWrap/>
            <w:vAlign w:val="center"/>
            <w:hideMark/>
          </w:tcPr>
          <w:p w14:paraId="6EDD03A4" w14:textId="77777777" w:rsidR="000235FE" w:rsidRPr="007114AF" w:rsidRDefault="000235FE" w:rsidP="00C136A5">
            <w:pPr>
              <w:spacing w:after="0"/>
              <w:rPr>
                <w:rFonts w:ascii="Garamond" w:eastAsia="Times New Roman" w:hAnsi="Garamond" w:cs="Times New Roman"/>
                <w:b w:val="0"/>
                <w:bCs w:val="0"/>
                <w:sz w:val="18"/>
                <w:szCs w:val="18"/>
              </w:rPr>
            </w:pPr>
            <w:r w:rsidRPr="007114AF">
              <w:rPr>
                <w:rFonts w:ascii="Garamond" w:eastAsia="Times New Roman" w:hAnsi="Garamond" w:cs="Times New Roman"/>
                <w:sz w:val="18"/>
                <w:szCs w:val="18"/>
              </w:rPr>
              <w:t>E36</w:t>
            </w:r>
          </w:p>
        </w:tc>
        <w:tc>
          <w:tcPr>
            <w:tcW w:w="2022" w:type="dxa"/>
            <w:vAlign w:val="center"/>
            <w:hideMark/>
          </w:tcPr>
          <w:p w14:paraId="6EDD03A5"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xml:space="preserve">Nxitja e marrëveshjeve vullnetare </w:t>
            </w:r>
          </w:p>
        </w:tc>
        <w:tc>
          <w:tcPr>
            <w:tcW w:w="1134" w:type="dxa"/>
            <w:vAlign w:val="center"/>
            <w:hideMark/>
          </w:tcPr>
          <w:p w14:paraId="6EDD03A6"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2016-2018</w:t>
            </w:r>
          </w:p>
        </w:tc>
        <w:tc>
          <w:tcPr>
            <w:tcW w:w="992" w:type="dxa"/>
            <w:vAlign w:val="center"/>
            <w:hideMark/>
          </w:tcPr>
          <w:p w14:paraId="6EDD03A7"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PKVEE</w:t>
            </w:r>
          </w:p>
        </w:tc>
        <w:tc>
          <w:tcPr>
            <w:tcW w:w="1014" w:type="dxa"/>
            <w:vAlign w:val="center"/>
          </w:tcPr>
          <w:p w14:paraId="6EDD03A8"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hAnsi="Garamond"/>
                <w:sz w:val="18"/>
                <w:szCs w:val="18"/>
              </w:rPr>
              <w:t>Indirekte</w:t>
            </w:r>
          </w:p>
        </w:tc>
        <w:tc>
          <w:tcPr>
            <w:tcW w:w="1538" w:type="dxa"/>
            <w:noWrap/>
            <w:vAlign w:val="center"/>
            <w:hideMark/>
          </w:tcPr>
          <w:p w14:paraId="6EDD03A9"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0.00</w:t>
            </w:r>
          </w:p>
        </w:tc>
        <w:tc>
          <w:tcPr>
            <w:tcW w:w="1276" w:type="dxa"/>
            <w:noWrap/>
            <w:vAlign w:val="center"/>
            <w:hideMark/>
          </w:tcPr>
          <w:p w14:paraId="6EDD03AA"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0.00</w:t>
            </w:r>
          </w:p>
        </w:tc>
        <w:tc>
          <w:tcPr>
            <w:tcW w:w="1134" w:type="dxa"/>
            <w:noWrap/>
            <w:vAlign w:val="center"/>
            <w:hideMark/>
          </w:tcPr>
          <w:p w14:paraId="6EDD03AB"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1276" w:type="dxa"/>
            <w:noWrap/>
            <w:vAlign w:val="center"/>
            <w:hideMark/>
          </w:tcPr>
          <w:p w14:paraId="6EDD03AC"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1134" w:type="dxa"/>
            <w:noWrap/>
            <w:vAlign w:val="center"/>
            <w:hideMark/>
          </w:tcPr>
          <w:p w14:paraId="6EDD03AD"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2360" w:type="dxa"/>
            <w:vAlign w:val="center"/>
            <w:hideMark/>
          </w:tcPr>
          <w:p w14:paraId="6EDD03AE"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Asnjë të dhënë mbi fondet e nevojshme për këtë masë</w:t>
            </w:r>
          </w:p>
        </w:tc>
      </w:tr>
      <w:tr w:rsidR="000235FE" w:rsidRPr="007114AF" w14:paraId="6EDD03BC" w14:textId="77777777" w:rsidTr="000235FE">
        <w:trPr>
          <w:cantSplit/>
          <w:trHeight w:val="2217"/>
          <w:jc w:val="center"/>
        </w:trPr>
        <w:tc>
          <w:tcPr>
            <w:cnfStyle w:val="001000000000" w:firstRow="0" w:lastRow="0" w:firstColumn="1" w:lastColumn="0" w:oddVBand="0" w:evenVBand="0" w:oddHBand="0" w:evenHBand="0" w:firstRowFirstColumn="0" w:firstRowLastColumn="0" w:lastRowFirstColumn="0" w:lastRowLastColumn="0"/>
            <w:tcW w:w="496" w:type="dxa"/>
            <w:noWrap/>
            <w:vAlign w:val="center"/>
            <w:hideMark/>
          </w:tcPr>
          <w:p w14:paraId="6EDD03B0" w14:textId="77777777" w:rsidR="000235FE" w:rsidRPr="007114AF" w:rsidRDefault="000235FE" w:rsidP="00C136A5">
            <w:pPr>
              <w:spacing w:after="0"/>
              <w:rPr>
                <w:rFonts w:ascii="Garamond" w:eastAsia="Times New Roman" w:hAnsi="Garamond" w:cs="Times New Roman"/>
                <w:b w:val="0"/>
                <w:bCs w:val="0"/>
                <w:sz w:val="18"/>
                <w:szCs w:val="18"/>
              </w:rPr>
            </w:pPr>
            <w:r w:rsidRPr="007114AF">
              <w:rPr>
                <w:rFonts w:ascii="Garamond" w:eastAsia="Times New Roman" w:hAnsi="Garamond" w:cs="Times New Roman"/>
                <w:sz w:val="18"/>
                <w:szCs w:val="18"/>
              </w:rPr>
              <w:t>E37</w:t>
            </w:r>
          </w:p>
        </w:tc>
        <w:tc>
          <w:tcPr>
            <w:tcW w:w="2022" w:type="dxa"/>
            <w:vAlign w:val="center"/>
            <w:hideMark/>
          </w:tcPr>
          <w:p w14:paraId="6EDD03B1"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xml:space="preserve">Promovimi i NKE në shkallë të ulët për përdorim industrial </w:t>
            </w:r>
          </w:p>
        </w:tc>
        <w:tc>
          <w:tcPr>
            <w:tcW w:w="1134" w:type="dxa"/>
            <w:vAlign w:val="center"/>
            <w:hideMark/>
          </w:tcPr>
          <w:p w14:paraId="6EDD03B2"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2016-2018</w:t>
            </w:r>
          </w:p>
        </w:tc>
        <w:tc>
          <w:tcPr>
            <w:tcW w:w="992" w:type="dxa"/>
            <w:vAlign w:val="center"/>
            <w:hideMark/>
          </w:tcPr>
          <w:p w14:paraId="6EDD03B3"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PKVEE</w:t>
            </w:r>
          </w:p>
        </w:tc>
        <w:tc>
          <w:tcPr>
            <w:tcW w:w="1014" w:type="dxa"/>
            <w:vAlign w:val="center"/>
          </w:tcPr>
          <w:p w14:paraId="6EDD03B4"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hAnsi="Garamond"/>
                <w:sz w:val="18"/>
                <w:szCs w:val="18"/>
              </w:rPr>
              <w:t>Indirekte</w:t>
            </w:r>
          </w:p>
        </w:tc>
        <w:tc>
          <w:tcPr>
            <w:tcW w:w="1538" w:type="dxa"/>
            <w:vAlign w:val="center"/>
            <w:hideMark/>
          </w:tcPr>
          <w:p w14:paraId="6EDD03B5"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6,865.00</w:t>
            </w:r>
          </w:p>
        </w:tc>
        <w:tc>
          <w:tcPr>
            <w:tcW w:w="1276" w:type="dxa"/>
            <w:vAlign w:val="center"/>
            <w:hideMark/>
          </w:tcPr>
          <w:p w14:paraId="6EDD03B6"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tc>
        <w:tc>
          <w:tcPr>
            <w:tcW w:w="1134" w:type="dxa"/>
            <w:vAlign w:val="center"/>
            <w:hideMark/>
          </w:tcPr>
          <w:p w14:paraId="6EDD03B7"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1276" w:type="dxa"/>
            <w:vAlign w:val="center"/>
            <w:hideMark/>
          </w:tcPr>
          <w:p w14:paraId="6EDD03B8"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1134" w:type="dxa"/>
            <w:vAlign w:val="center"/>
            <w:hideMark/>
          </w:tcPr>
          <w:p w14:paraId="6EDD03B9"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6,865.00</w:t>
            </w:r>
          </w:p>
        </w:tc>
        <w:tc>
          <w:tcPr>
            <w:tcW w:w="2360" w:type="dxa"/>
            <w:vAlign w:val="center"/>
            <w:hideMark/>
          </w:tcPr>
          <w:p w14:paraId="6EDD03BA"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Kostoja për vendosjen e një qendre kompetence, ndërtimi i ekspertizës për informacionin dhe aktivitetet trajnuese; mbase mund të mbulohet nga projekte e bashkëpunimit ndërkombëtar.</w:t>
            </w:r>
          </w:p>
          <w:p w14:paraId="6EDD03BB"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Mbase nga fondet EE dhe donatorët</w:t>
            </w:r>
          </w:p>
        </w:tc>
      </w:tr>
      <w:tr w:rsidR="000235FE" w:rsidRPr="007114AF" w14:paraId="6EDD03C8" w14:textId="77777777" w:rsidTr="000235FE">
        <w:trPr>
          <w:cantSplit/>
          <w:trHeight w:val="20"/>
          <w:jc w:val="center"/>
        </w:trPr>
        <w:tc>
          <w:tcPr>
            <w:cnfStyle w:val="001000000000" w:firstRow="0" w:lastRow="0" w:firstColumn="1" w:lastColumn="0" w:oddVBand="0" w:evenVBand="0" w:oddHBand="0" w:evenHBand="0" w:firstRowFirstColumn="0" w:firstRowLastColumn="0" w:lastRowFirstColumn="0" w:lastRowLastColumn="0"/>
            <w:tcW w:w="496" w:type="dxa"/>
            <w:noWrap/>
            <w:vAlign w:val="center"/>
            <w:hideMark/>
          </w:tcPr>
          <w:p w14:paraId="6EDD03BD" w14:textId="77777777" w:rsidR="000235FE" w:rsidRPr="007114AF" w:rsidRDefault="000235FE" w:rsidP="00C136A5">
            <w:pPr>
              <w:spacing w:after="0"/>
              <w:rPr>
                <w:rFonts w:ascii="Garamond" w:eastAsia="Times New Roman" w:hAnsi="Garamond" w:cs="Times New Roman"/>
                <w:b w:val="0"/>
                <w:bCs w:val="0"/>
                <w:sz w:val="18"/>
                <w:szCs w:val="18"/>
              </w:rPr>
            </w:pPr>
            <w:r w:rsidRPr="007114AF">
              <w:rPr>
                <w:rFonts w:ascii="Garamond" w:eastAsia="Times New Roman" w:hAnsi="Garamond" w:cs="Times New Roman"/>
                <w:sz w:val="18"/>
                <w:szCs w:val="18"/>
              </w:rPr>
              <w:t>E38</w:t>
            </w:r>
          </w:p>
        </w:tc>
        <w:tc>
          <w:tcPr>
            <w:tcW w:w="2022" w:type="dxa"/>
            <w:vAlign w:val="center"/>
            <w:hideMark/>
          </w:tcPr>
          <w:p w14:paraId="6EDD03BE" w14:textId="10378964"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Kërkesat minimale për eficiencën e energjisë</w:t>
            </w:r>
            <w:r w:rsidR="00FD5AD9">
              <w:rPr>
                <w:rFonts w:ascii="Garamond" w:eastAsia="Times New Roman" w:hAnsi="Garamond" w:cs="Times New Roman"/>
                <w:sz w:val="18"/>
                <w:szCs w:val="18"/>
              </w:rPr>
              <w:t xml:space="preserve"> </w:t>
            </w:r>
            <w:r w:rsidRPr="007114AF">
              <w:rPr>
                <w:rFonts w:ascii="Garamond" w:eastAsia="Times New Roman" w:hAnsi="Garamond" w:cs="Times New Roman"/>
                <w:sz w:val="18"/>
                <w:szCs w:val="18"/>
              </w:rPr>
              <w:t>për motorët elektrik, sistemet e ndriçimit dhe furrat industriale</w:t>
            </w:r>
          </w:p>
        </w:tc>
        <w:tc>
          <w:tcPr>
            <w:tcW w:w="1134" w:type="dxa"/>
            <w:vAlign w:val="center"/>
            <w:hideMark/>
          </w:tcPr>
          <w:p w14:paraId="6EDD03BF"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2016-2020</w:t>
            </w:r>
          </w:p>
        </w:tc>
        <w:tc>
          <w:tcPr>
            <w:tcW w:w="992" w:type="dxa"/>
            <w:vAlign w:val="center"/>
            <w:hideMark/>
          </w:tcPr>
          <w:p w14:paraId="6EDD03C0"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PKVEE</w:t>
            </w:r>
          </w:p>
        </w:tc>
        <w:tc>
          <w:tcPr>
            <w:tcW w:w="1014" w:type="dxa"/>
            <w:vAlign w:val="center"/>
          </w:tcPr>
          <w:p w14:paraId="6EDD03C1"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hAnsi="Garamond"/>
                <w:sz w:val="18"/>
                <w:szCs w:val="18"/>
              </w:rPr>
              <w:t>Direkte</w:t>
            </w:r>
          </w:p>
        </w:tc>
        <w:tc>
          <w:tcPr>
            <w:tcW w:w="1538" w:type="dxa"/>
            <w:vAlign w:val="center"/>
            <w:hideMark/>
          </w:tcPr>
          <w:p w14:paraId="6EDD03C2"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6,865.00</w:t>
            </w:r>
          </w:p>
        </w:tc>
        <w:tc>
          <w:tcPr>
            <w:tcW w:w="1276" w:type="dxa"/>
            <w:vAlign w:val="center"/>
            <w:hideMark/>
          </w:tcPr>
          <w:p w14:paraId="6EDD03C3"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6,865.00</w:t>
            </w:r>
          </w:p>
        </w:tc>
        <w:tc>
          <w:tcPr>
            <w:tcW w:w="1134" w:type="dxa"/>
            <w:noWrap/>
            <w:vAlign w:val="center"/>
            <w:hideMark/>
          </w:tcPr>
          <w:p w14:paraId="6EDD03C4"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1276" w:type="dxa"/>
            <w:noWrap/>
            <w:vAlign w:val="center"/>
            <w:hideMark/>
          </w:tcPr>
          <w:p w14:paraId="6EDD03C5"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1134" w:type="dxa"/>
            <w:noWrap/>
            <w:vAlign w:val="center"/>
            <w:hideMark/>
          </w:tcPr>
          <w:p w14:paraId="6EDD03C6"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2360" w:type="dxa"/>
            <w:noWrap/>
            <w:vAlign w:val="center"/>
            <w:hideMark/>
          </w:tcPr>
          <w:p w14:paraId="6EDD03C7" w14:textId="6055B185"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xml:space="preserve"> Nga </w:t>
            </w:r>
            <w:r w:rsidR="000A2A01" w:rsidRPr="007114AF">
              <w:rPr>
                <w:rFonts w:ascii="Garamond" w:eastAsia="Times New Roman" w:hAnsi="Garamond" w:cs="Times New Roman"/>
                <w:sz w:val="18"/>
                <w:szCs w:val="18"/>
              </w:rPr>
              <w:t>“</w:t>
            </w:r>
            <w:r w:rsidRPr="007114AF">
              <w:rPr>
                <w:rFonts w:ascii="Garamond" w:eastAsia="Times New Roman" w:hAnsi="Garamond" w:cs="Times New Roman"/>
                <w:sz w:val="18"/>
                <w:szCs w:val="18"/>
              </w:rPr>
              <w:t>Fondi EE</w:t>
            </w:r>
            <w:r w:rsidR="000A2A01" w:rsidRPr="007114AF">
              <w:rPr>
                <w:rFonts w:ascii="Garamond" w:eastAsia="Times New Roman" w:hAnsi="Garamond" w:cs="Times New Roman"/>
                <w:sz w:val="18"/>
                <w:szCs w:val="18"/>
              </w:rPr>
              <w:t>”</w:t>
            </w:r>
          </w:p>
        </w:tc>
      </w:tr>
      <w:tr w:rsidR="000235FE" w:rsidRPr="007114AF" w14:paraId="6EDD03D4" w14:textId="77777777" w:rsidTr="000235FE">
        <w:trPr>
          <w:cantSplit/>
          <w:trHeight w:val="1318"/>
          <w:jc w:val="center"/>
        </w:trPr>
        <w:tc>
          <w:tcPr>
            <w:cnfStyle w:val="001000000000" w:firstRow="0" w:lastRow="0" w:firstColumn="1" w:lastColumn="0" w:oddVBand="0" w:evenVBand="0" w:oddHBand="0" w:evenHBand="0" w:firstRowFirstColumn="0" w:firstRowLastColumn="0" w:lastRowFirstColumn="0" w:lastRowLastColumn="0"/>
            <w:tcW w:w="496" w:type="dxa"/>
            <w:noWrap/>
            <w:vAlign w:val="center"/>
            <w:hideMark/>
          </w:tcPr>
          <w:p w14:paraId="6EDD03C9" w14:textId="77777777" w:rsidR="000235FE" w:rsidRPr="007114AF" w:rsidRDefault="000235FE" w:rsidP="00C136A5">
            <w:pPr>
              <w:spacing w:after="0"/>
              <w:rPr>
                <w:rFonts w:ascii="Garamond" w:eastAsia="Times New Roman" w:hAnsi="Garamond" w:cs="Times New Roman"/>
                <w:b w:val="0"/>
                <w:bCs w:val="0"/>
                <w:sz w:val="18"/>
                <w:szCs w:val="18"/>
              </w:rPr>
            </w:pPr>
            <w:r w:rsidRPr="007114AF">
              <w:rPr>
                <w:rFonts w:ascii="Garamond" w:eastAsia="Times New Roman" w:hAnsi="Garamond" w:cs="Times New Roman"/>
                <w:sz w:val="18"/>
                <w:szCs w:val="18"/>
              </w:rPr>
              <w:lastRenderedPageBreak/>
              <w:t>E39</w:t>
            </w:r>
          </w:p>
        </w:tc>
        <w:tc>
          <w:tcPr>
            <w:tcW w:w="2022" w:type="dxa"/>
            <w:vAlign w:val="center"/>
            <w:hideMark/>
          </w:tcPr>
          <w:p w14:paraId="6EDD03CA" w14:textId="46D26348"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Përfshirjen e Eficiencës së Energjisë</w:t>
            </w:r>
            <w:r w:rsidR="00FD5AD9">
              <w:rPr>
                <w:rFonts w:ascii="Garamond" w:eastAsia="Times New Roman" w:hAnsi="Garamond" w:cs="Times New Roman"/>
                <w:sz w:val="18"/>
                <w:szCs w:val="18"/>
              </w:rPr>
              <w:t xml:space="preserve"> </w:t>
            </w:r>
            <w:r w:rsidRPr="007114AF">
              <w:rPr>
                <w:rFonts w:ascii="Garamond" w:eastAsia="Times New Roman" w:hAnsi="Garamond" w:cs="Times New Roman"/>
                <w:sz w:val="18"/>
                <w:szCs w:val="18"/>
              </w:rPr>
              <w:t xml:space="preserve">në lejet mjedisore për fabrikat e reja në degët të cilat janë intensive në përdorimin energjetik </w:t>
            </w:r>
          </w:p>
        </w:tc>
        <w:tc>
          <w:tcPr>
            <w:tcW w:w="1134" w:type="dxa"/>
            <w:vAlign w:val="center"/>
            <w:hideMark/>
          </w:tcPr>
          <w:p w14:paraId="6EDD03CB"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2016-2020</w:t>
            </w:r>
          </w:p>
        </w:tc>
        <w:tc>
          <w:tcPr>
            <w:tcW w:w="992" w:type="dxa"/>
            <w:vAlign w:val="center"/>
            <w:hideMark/>
          </w:tcPr>
          <w:p w14:paraId="6EDD03CC"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PKVEE</w:t>
            </w:r>
          </w:p>
        </w:tc>
        <w:tc>
          <w:tcPr>
            <w:tcW w:w="1014" w:type="dxa"/>
            <w:vAlign w:val="center"/>
          </w:tcPr>
          <w:p w14:paraId="6EDD03CD"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Direkte</w:t>
            </w:r>
          </w:p>
        </w:tc>
        <w:tc>
          <w:tcPr>
            <w:tcW w:w="1538" w:type="dxa"/>
            <w:noWrap/>
            <w:vAlign w:val="center"/>
            <w:hideMark/>
          </w:tcPr>
          <w:p w14:paraId="6EDD03CE"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36,700.00</w:t>
            </w:r>
          </w:p>
        </w:tc>
        <w:tc>
          <w:tcPr>
            <w:tcW w:w="1276" w:type="dxa"/>
            <w:noWrap/>
            <w:vAlign w:val="center"/>
            <w:hideMark/>
          </w:tcPr>
          <w:p w14:paraId="6EDD03CF"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36,700.00</w:t>
            </w:r>
          </w:p>
        </w:tc>
        <w:tc>
          <w:tcPr>
            <w:tcW w:w="1134" w:type="dxa"/>
            <w:vAlign w:val="center"/>
            <w:hideMark/>
          </w:tcPr>
          <w:p w14:paraId="6EDD03D0"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1276" w:type="dxa"/>
            <w:vAlign w:val="center"/>
            <w:hideMark/>
          </w:tcPr>
          <w:p w14:paraId="6EDD03D1"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1134" w:type="dxa"/>
            <w:vAlign w:val="center"/>
            <w:hideMark/>
          </w:tcPr>
          <w:p w14:paraId="6EDD03D2"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2360" w:type="dxa"/>
            <w:vAlign w:val="center"/>
            <w:hideMark/>
          </w:tcPr>
          <w:p w14:paraId="6EDD03D3" w14:textId="711134F3"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Kostot e marra nga Plani i Dyte dhe i Tretë i Veprimit Kombëtar mbi Eficiencën e Energjisë</w:t>
            </w:r>
            <w:r w:rsidR="00ED4FAD">
              <w:rPr>
                <w:rFonts w:ascii="Garamond" w:eastAsia="Times New Roman" w:hAnsi="Garamond" w:cs="Times New Roman"/>
                <w:sz w:val="18"/>
                <w:szCs w:val="18"/>
              </w:rPr>
              <w:t xml:space="preserve"> </w:t>
            </w:r>
            <w:r w:rsidRPr="007114AF">
              <w:rPr>
                <w:rFonts w:ascii="Garamond" w:eastAsia="Times New Roman" w:hAnsi="Garamond" w:cs="Times New Roman"/>
                <w:sz w:val="18"/>
                <w:szCs w:val="18"/>
              </w:rPr>
              <w:t>Shqiptar 2016-2020/ I1</w:t>
            </w:r>
          </w:p>
        </w:tc>
      </w:tr>
      <w:tr w:rsidR="000235FE" w:rsidRPr="007114AF" w14:paraId="6EDD03E0" w14:textId="77777777" w:rsidTr="000235FE">
        <w:trPr>
          <w:cantSplit/>
          <w:trHeight w:val="20"/>
          <w:jc w:val="center"/>
        </w:trPr>
        <w:tc>
          <w:tcPr>
            <w:cnfStyle w:val="001000000000" w:firstRow="0" w:lastRow="0" w:firstColumn="1" w:lastColumn="0" w:oddVBand="0" w:evenVBand="0" w:oddHBand="0" w:evenHBand="0" w:firstRowFirstColumn="0" w:firstRowLastColumn="0" w:lastRowFirstColumn="0" w:lastRowLastColumn="0"/>
            <w:tcW w:w="496" w:type="dxa"/>
            <w:noWrap/>
            <w:vAlign w:val="center"/>
            <w:hideMark/>
          </w:tcPr>
          <w:p w14:paraId="6EDD03D5" w14:textId="77777777" w:rsidR="000235FE" w:rsidRPr="007114AF" w:rsidRDefault="000235FE" w:rsidP="00C136A5">
            <w:pPr>
              <w:spacing w:after="0"/>
              <w:rPr>
                <w:rFonts w:ascii="Garamond" w:eastAsia="Times New Roman" w:hAnsi="Garamond" w:cs="Times New Roman"/>
                <w:b w:val="0"/>
                <w:bCs w:val="0"/>
                <w:sz w:val="18"/>
                <w:szCs w:val="18"/>
              </w:rPr>
            </w:pPr>
            <w:r w:rsidRPr="007114AF">
              <w:rPr>
                <w:rFonts w:ascii="Garamond" w:eastAsia="Times New Roman" w:hAnsi="Garamond" w:cs="Times New Roman"/>
                <w:sz w:val="18"/>
                <w:szCs w:val="18"/>
              </w:rPr>
              <w:t>E40</w:t>
            </w:r>
          </w:p>
        </w:tc>
        <w:tc>
          <w:tcPr>
            <w:tcW w:w="2022" w:type="dxa"/>
            <w:vAlign w:val="center"/>
            <w:hideMark/>
          </w:tcPr>
          <w:p w14:paraId="6EDD03D6"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Krijimi i një baze të dhënash të centralizuar e cila mbledh të gjithë informacionin e duhur për monitorim dhe vlerësim e progresit në bazë të planit</w:t>
            </w:r>
          </w:p>
        </w:tc>
        <w:tc>
          <w:tcPr>
            <w:tcW w:w="1134" w:type="dxa"/>
            <w:vAlign w:val="center"/>
            <w:hideMark/>
          </w:tcPr>
          <w:p w14:paraId="6EDD03D7"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2020</w:t>
            </w:r>
          </w:p>
        </w:tc>
        <w:tc>
          <w:tcPr>
            <w:tcW w:w="992" w:type="dxa"/>
            <w:vAlign w:val="center"/>
            <w:hideMark/>
          </w:tcPr>
          <w:p w14:paraId="6EDD03D8" w14:textId="2D407F6A"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PKZNK propozim i bazuar në</w:t>
            </w:r>
            <w:r w:rsidR="000A2A01" w:rsidRPr="007114AF">
              <w:rPr>
                <w:rFonts w:ascii="Garamond" w:eastAsia="Times New Roman" w:hAnsi="Garamond" w:cs="Times New Roman"/>
                <w:sz w:val="18"/>
                <w:szCs w:val="18"/>
              </w:rPr>
              <w:t xml:space="preserve"> </w:t>
            </w:r>
            <w:r w:rsidRPr="007114AF">
              <w:rPr>
                <w:rFonts w:ascii="Garamond" w:eastAsia="Times New Roman" w:hAnsi="Garamond" w:cs="Times New Roman"/>
                <w:sz w:val="18"/>
                <w:szCs w:val="18"/>
              </w:rPr>
              <w:t xml:space="preserve">LOCSEE Plani Shqiptar për Proceset me karbon të ulët </w:t>
            </w:r>
          </w:p>
        </w:tc>
        <w:tc>
          <w:tcPr>
            <w:tcW w:w="1014" w:type="dxa"/>
            <w:vAlign w:val="center"/>
          </w:tcPr>
          <w:p w14:paraId="6EDD03D9"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hAnsi="Garamond"/>
                <w:sz w:val="18"/>
                <w:szCs w:val="18"/>
              </w:rPr>
              <w:t>Indirekte</w:t>
            </w:r>
          </w:p>
        </w:tc>
        <w:tc>
          <w:tcPr>
            <w:tcW w:w="1538" w:type="dxa"/>
            <w:noWrap/>
            <w:vAlign w:val="center"/>
            <w:hideMark/>
          </w:tcPr>
          <w:p w14:paraId="6EDD03DA"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15,000.00</w:t>
            </w:r>
          </w:p>
        </w:tc>
        <w:tc>
          <w:tcPr>
            <w:tcW w:w="1276" w:type="dxa"/>
            <w:noWrap/>
            <w:vAlign w:val="center"/>
            <w:hideMark/>
          </w:tcPr>
          <w:p w14:paraId="6EDD03DB"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15,000.00</w:t>
            </w:r>
          </w:p>
        </w:tc>
        <w:tc>
          <w:tcPr>
            <w:tcW w:w="1134" w:type="dxa"/>
            <w:noWrap/>
            <w:vAlign w:val="center"/>
            <w:hideMark/>
          </w:tcPr>
          <w:p w14:paraId="6EDD03DC"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1276" w:type="dxa"/>
            <w:noWrap/>
            <w:vAlign w:val="center"/>
            <w:hideMark/>
          </w:tcPr>
          <w:p w14:paraId="6EDD03DD"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1134" w:type="dxa"/>
            <w:noWrap/>
            <w:vAlign w:val="center"/>
            <w:hideMark/>
          </w:tcPr>
          <w:p w14:paraId="6EDD03DE"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2360" w:type="dxa"/>
            <w:vAlign w:val="center"/>
            <w:hideMark/>
          </w:tcPr>
          <w:p w14:paraId="6EDD03DF" w14:textId="4A9AC842"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Një pjesë e kostos për rezultatin E, programi</w:t>
            </w:r>
            <w:r w:rsidR="000A2A01" w:rsidRPr="007114AF">
              <w:rPr>
                <w:rFonts w:ascii="Garamond" w:eastAsia="Times New Roman" w:hAnsi="Garamond" w:cs="Times New Roman"/>
                <w:sz w:val="18"/>
                <w:szCs w:val="18"/>
              </w:rPr>
              <w:t xml:space="preserve"> “</w:t>
            </w:r>
            <w:r w:rsidRPr="007114AF">
              <w:rPr>
                <w:rFonts w:ascii="Garamond" w:eastAsia="Times New Roman" w:hAnsi="Garamond" w:cs="Times New Roman"/>
                <w:sz w:val="18"/>
                <w:szCs w:val="18"/>
              </w:rPr>
              <w:t>Mbështetje për Energjinë</w:t>
            </w:r>
            <w:r w:rsidR="000A2A01" w:rsidRPr="007114AF">
              <w:rPr>
                <w:rFonts w:ascii="Garamond" w:eastAsia="Times New Roman" w:hAnsi="Garamond" w:cs="Times New Roman"/>
                <w:sz w:val="18"/>
                <w:szCs w:val="18"/>
              </w:rPr>
              <w:t>”</w:t>
            </w:r>
          </w:p>
        </w:tc>
      </w:tr>
      <w:tr w:rsidR="000235FE" w:rsidRPr="007114AF" w14:paraId="6EDD03EC" w14:textId="77777777" w:rsidTr="000235FE">
        <w:trPr>
          <w:cantSplit/>
          <w:trHeight w:val="20"/>
          <w:jc w:val="center"/>
        </w:trPr>
        <w:tc>
          <w:tcPr>
            <w:cnfStyle w:val="001000000000" w:firstRow="0" w:lastRow="0" w:firstColumn="1" w:lastColumn="0" w:oddVBand="0" w:evenVBand="0" w:oddHBand="0" w:evenHBand="0" w:firstRowFirstColumn="0" w:firstRowLastColumn="0" w:lastRowFirstColumn="0" w:lastRowLastColumn="0"/>
            <w:tcW w:w="496" w:type="dxa"/>
            <w:noWrap/>
            <w:vAlign w:val="center"/>
            <w:hideMark/>
          </w:tcPr>
          <w:p w14:paraId="6EDD03E1" w14:textId="77777777" w:rsidR="000235FE" w:rsidRPr="007114AF" w:rsidRDefault="000235FE" w:rsidP="00C136A5">
            <w:pPr>
              <w:spacing w:after="0"/>
              <w:rPr>
                <w:rFonts w:ascii="Garamond" w:eastAsia="Times New Roman" w:hAnsi="Garamond" w:cs="Times New Roman"/>
                <w:b w:val="0"/>
                <w:bCs w:val="0"/>
                <w:sz w:val="18"/>
                <w:szCs w:val="18"/>
              </w:rPr>
            </w:pPr>
            <w:r w:rsidRPr="007114AF">
              <w:rPr>
                <w:rFonts w:ascii="Garamond" w:eastAsia="Times New Roman" w:hAnsi="Garamond" w:cs="Times New Roman"/>
                <w:sz w:val="18"/>
                <w:szCs w:val="18"/>
              </w:rPr>
              <w:t>E41</w:t>
            </w:r>
          </w:p>
        </w:tc>
        <w:tc>
          <w:tcPr>
            <w:tcW w:w="2022" w:type="dxa"/>
            <w:vAlign w:val="center"/>
            <w:hideMark/>
          </w:tcPr>
          <w:p w14:paraId="6EDD03E2" w14:textId="1BE9C36E" w:rsidR="000235FE" w:rsidRPr="007114AF" w:rsidRDefault="000235FE" w:rsidP="00DA60B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xml:space="preserve">Baza e të dhënave </w:t>
            </w:r>
            <w:r w:rsidR="006C054A" w:rsidRPr="007114AF">
              <w:rPr>
                <w:rFonts w:ascii="Garamond" w:eastAsia="Times New Roman" w:hAnsi="Garamond" w:cs="Times New Roman"/>
                <w:sz w:val="18"/>
                <w:szCs w:val="18"/>
              </w:rPr>
              <w:t>Energjetike</w:t>
            </w:r>
            <w:r w:rsidRPr="007114AF">
              <w:rPr>
                <w:rFonts w:ascii="Garamond" w:eastAsia="Times New Roman" w:hAnsi="Garamond" w:cs="Times New Roman"/>
                <w:sz w:val="18"/>
                <w:szCs w:val="18"/>
              </w:rPr>
              <w:t xml:space="preserve"> (</w:t>
            </w:r>
            <w:r w:rsidR="00DA60B5" w:rsidRPr="007114AF">
              <w:rPr>
                <w:rFonts w:ascii="Garamond" w:eastAsia="Times New Roman" w:hAnsi="Garamond" w:cs="Times New Roman"/>
                <w:sz w:val="18"/>
                <w:szCs w:val="18"/>
              </w:rPr>
              <w:t xml:space="preserve">neni </w:t>
            </w:r>
            <w:r w:rsidRPr="007114AF">
              <w:rPr>
                <w:rFonts w:ascii="Garamond" w:eastAsia="Times New Roman" w:hAnsi="Garamond" w:cs="Times New Roman"/>
                <w:sz w:val="18"/>
                <w:szCs w:val="18"/>
              </w:rPr>
              <w:t>13)</w:t>
            </w:r>
          </w:p>
        </w:tc>
        <w:tc>
          <w:tcPr>
            <w:tcW w:w="1134" w:type="dxa"/>
            <w:vAlign w:val="center"/>
            <w:hideMark/>
          </w:tcPr>
          <w:p w14:paraId="6EDD03E3"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2017</w:t>
            </w:r>
          </w:p>
        </w:tc>
        <w:tc>
          <w:tcPr>
            <w:tcW w:w="992" w:type="dxa"/>
            <w:noWrap/>
            <w:vAlign w:val="center"/>
            <w:hideMark/>
          </w:tcPr>
          <w:p w14:paraId="6EDD03E4"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Ligji 124/2015 Mbi Eficiencën e Energjisë</w:t>
            </w:r>
          </w:p>
        </w:tc>
        <w:tc>
          <w:tcPr>
            <w:tcW w:w="1014" w:type="dxa"/>
            <w:vAlign w:val="center"/>
          </w:tcPr>
          <w:p w14:paraId="6EDD03E5"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hAnsi="Garamond"/>
                <w:sz w:val="18"/>
                <w:szCs w:val="18"/>
              </w:rPr>
              <w:t>Indirekte</w:t>
            </w:r>
          </w:p>
        </w:tc>
        <w:tc>
          <w:tcPr>
            <w:tcW w:w="1538" w:type="dxa"/>
            <w:noWrap/>
            <w:vAlign w:val="center"/>
            <w:hideMark/>
          </w:tcPr>
          <w:p w14:paraId="6EDD03E6"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11,000</w:t>
            </w:r>
          </w:p>
        </w:tc>
        <w:tc>
          <w:tcPr>
            <w:tcW w:w="1276" w:type="dxa"/>
            <w:vAlign w:val="center"/>
            <w:hideMark/>
          </w:tcPr>
          <w:p w14:paraId="6EDD03E7"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11,000.00</w:t>
            </w:r>
          </w:p>
        </w:tc>
        <w:tc>
          <w:tcPr>
            <w:tcW w:w="1134" w:type="dxa"/>
            <w:vAlign w:val="center"/>
            <w:hideMark/>
          </w:tcPr>
          <w:p w14:paraId="6EDD03E8"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1276" w:type="dxa"/>
            <w:vAlign w:val="center"/>
            <w:hideMark/>
          </w:tcPr>
          <w:p w14:paraId="6EDD03E9"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1134" w:type="dxa"/>
            <w:vAlign w:val="center"/>
            <w:hideMark/>
          </w:tcPr>
          <w:p w14:paraId="6EDD03EA"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2360" w:type="dxa"/>
            <w:vAlign w:val="center"/>
            <w:hideMark/>
          </w:tcPr>
          <w:p w14:paraId="6EDD03EB" w14:textId="082970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Një pjesë e kostos për rezultatin E, programi</w:t>
            </w:r>
            <w:r w:rsidR="000A2A01" w:rsidRPr="007114AF">
              <w:rPr>
                <w:rFonts w:ascii="Garamond" w:eastAsia="Times New Roman" w:hAnsi="Garamond" w:cs="Times New Roman"/>
                <w:sz w:val="18"/>
                <w:szCs w:val="18"/>
              </w:rPr>
              <w:t xml:space="preserve"> “</w:t>
            </w:r>
            <w:r w:rsidRPr="007114AF">
              <w:rPr>
                <w:rFonts w:ascii="Garamond" w:eastAsia="Times New Roman" w:hAnsi="Garamond" w:cs="Times New Roman"/>
                <w:sz w:val="18"/>
                <w:szCs w:val="18"/>
              </w:rPr>
              <w:t>Mbështetje për Energjinë</w:t>
            </w:r>
            <w:r w:rsidR="000A2A01" w:rsidRPr="007114AF">
              <w:rPr>
                <w:rFonts w:ascii="Garamond" w:eastAsia="Times New Roman" w:hAnsi="Garamond" w:cs="Times New Roman"/>
                <w:sz w:val="18"/>
                <w:szCs w:val="18"/>
              </w:rPr>
              <w:t>”</w:t>
            </w:r>
          </w:p>
        </w:tc>
      </w:tr>
      <w:tr w:rsidR="000235FE" w:rsidRPr="007114AF" w14:paraId="6EDD03F8" w14:textId="77777777" w:rsidTr="000235FE">
        <w:trPr>
          <w:cantSplit/>
          <w:trHeight w:val="1978"/>
          <w:jc w:val="center"/>
        </w:trPr>
        <w:tc>
          <w:tcPr>
            <w:cnfStyle w:val="001000000000" w:firstRow="0" w:lastRow="0" w:firstColumn="1" w:lastColumn="0" w:oddVBand="0" w:evenVBand="0" w:oddHBand="0" w:evenHBand="0" w:firstRowFirstColumn="0" w:firstRowLastColumn="0" w:lastRowFirstColumn="0" w:lastRowLastColumn="0"/>
            <w:tcW w:w="496" w:type="dxa"/>
            <w:noWrap/>
            <w:vAlign w:val="center"/>
            <w:hideMark/>
          </w:tcPr>
          <w:p w14:paraId="6EDD03ED" w14:textId="77777777" w:rsidR="000235FE" w:rsidRPr="007114AF" w:rsidRDefault="000235FE" w:rsidP="00C136A5">
            <w:pPr>
              <w:spacing w:after="0"/>
              <w:rPr>
                <w:rFonts w:ascii="Garamond" w:eastAsia="Times New Roman" w:hAnsi="Garamond" w:cs="Times New Roman"/>
                <w:b w:val="0"/>
                <w:bCs w:val="0"/>
                <w:sz w:val="18"/>
                <w:szCs w:val="18"/>
              </w:rPr>
            </w:pPr>
            <w:r w:rsidRPr="007114AF">
              <w:rPr>
                <w:rFonts w:ascii="Garamond" w:eastAsia="Times New Roman" w:hAnsi="Garamond" w:cs="Times New Roman"/>
                <w:sz w:val="18"/>
                <w:szCs w:val="18"/>
              </w:rPr>
              <w:t>E42</w:t>
            </w:r>
          </w:p>
        </w:tc>
        <w:tc>
          <w:tcPr>
            <w:tcW w:w="2022" w:type="dxa"/>
            <w:vAlign w:val="center"/>
            <w:hideMark/>
          </w:tcPr>
          <w:p w14:paraId="6EDD03EE"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xml:space="preserve">PEE masat mundësuese: Rrjeti i këshillimit Energjetik </w:t>
            </w:r>
          </w:p>
        </w:tc>
        <w:tc>
          <w:tcPr>
            <w:tcW w:w="1134" w:type="dxa"/>
            <w:vAlign w:val="center"/>
            <w:hideMark/>
          </w:tcPr>
          <w:p w14:paraId="6EDD03EF"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2016-2018</w:t>
            </w:r>
          </w:p>
        </w:tc>
        <w:tc>
          <w:tcPr>
            <w:tcW w:w="992" w:type="dxa"/>
            <w:vAlign w:val="center"/>
            <w:hideMark/>
          </w:tcPr>
          <w:p w14:paraId="6EDD03F0"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PKVEE</w:t>
            </w:r>
          </w:p>
        </w:tc>
        <w:tc>
          <w:tcPr>
            <w:tcW w:w="1014" w:type="dxa"/>
            <w:vAlign w:val="center"/>
          </w:tcPr>
          <w:p w14:paraId="6EDD03F1"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Indirekte</w:t>
            </w:r>
          </w:p>
        </w:tc>
        <w:tc>
          <w:tcPr>
            <w:tcW w:w="1538" w:type="dxa"/>
            <w:noWrap/>
            <w:vAlign w:val="center"/>
            <w:hideMark/>
          </w:tcPr>
          <w:p w14:paraId="6EDD03F2"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4,119.00</w:t>
            </w:r>
          </w:p>
        </w:tc>
        <w:tc>
          <w:tcPr>
            <w:tcW w:w="1276" w:type="dxa"/>
            <w:vAlign w:val="center"/>
            <w:hideMark/>
          </w:tcPr>
          <w:p w14:paraId="6EDD03F3"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tc>
        <w:tc>
          <w:tcPr>
            <w:tcW w:w="1134" w:type="dxa"/>
            <w:vAlign w:val="center"/>
            <w:hideMark/>
          </w:tcPr>
          <w:p w14:paraId="6EDD03F4"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4,119.00</w:t>
            </w:r>
          </w:p>
        </w:tc>
        <w:tc>
          <w:tcPr>
            <w:tcW w:w="1276" w:type="dxa"/>
            <w:vAlign w:val="center"/>
            <w:hideMark/>
          </w:tcPr>
          <w:p w14:paraId="6EDD03F5"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1134" w:type="dxa"/>
            <w:vAlign w:val="center"/>
            <w:hideMark/>
          </w:tcPr>
          <w:p w14:paraId="6EDD03F6"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2360" w:type="dxa"/>
            <w:vAlign w:val="center"/>
            <w:hideMark/>
          </w:tcPr>
          <w:p w14:paraId="6EDD03F7" w14:textId="1012FCB5" w:rsidR="000235FE" w:rsidRPr="007114AF" w:rsidRDefault="000A2A01"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w:t>
            </w:r>
            <w:r w:rsidR="000235FE" w:rsidRPr="007114AF">
              <w:rPr>
                <w:rFonts w:ascii="Garamond" w:eastAsia="Times New Roman" w:hAnsi="Garamond" w:cs="Times New Roman"/>
                <w:sz w:val="18"/>
                <w:szCs w:val="18"/>
              </w:rPr>
              <w:t>(Kryesisht burime të shtuara njerëzore) Kostot mund të ulen me bashkëpunim të partnerëve të biznesit dhe mund të mbulohen pjesërisht nëpërmjet projekteve të bashkëpunimit ndërkombëtar.</w:t>
            </w:r>
            <w:r w:rsidRPr="007114AF">
              <w:rPr>
                <w:rFonts w:ascii="Garamond" w:eastAsia="Times New Roman" w:hAnsi="Garamond" w:cs="Times New Roman"/>
                <w:sz w:val="18"/>
                <w:szCs w:val="18"/>
              </w:rPr>
              <w:t>”</w:t>
            </w:r>
          </w:p>
        </w:tc>
      </w:tr>
      <w:tr w:rsidR="000235FE" w:rsidRPr="007114AF" w14:paraId="6EDD0404" w14:textId="77777777" w:rsidTr="000235FE">
        <w:trPr>
          <w:cantSplit/>
          <w:trHeight w:val="1099"/>
          <w:jc w:val="center"/>
        </w:trPr>
        <w:tc>
          <w:tcPr>
            <w:cnfStyle w:val="001000000000" w:firstRow="0" w:lastRow="0" w:firstColumn="1" w:lastColumn="0" w:oddVBand="0" w:evenVBand="0" w:oddHBand="0" w:evenHBand="0" w:firstRowFirstColumn="0" w:firstRowLastColumn="0" w:lastRowFirstColumn="0" w:lastRowLastColumn="0"/>
            <w:tcW w:w="496" w:type="dxa"/>
            <w:noWrap/>
            <w:vAlign w:val="center"/>
            <w:hideMark/>
          </w:tcPr>
          <w:p w14:paraId="6EDD03F9" w14:textId="77777777" w:rsidR="000235FE" w:rsidRPr="007114AF" w:rsidRDefault="000235FE" w:rsidP="00C136A5">
            <w:pPr>
              <w:spacing w:after="0"/>
              <w:rPr>
                <w:rFonts w:ascii="Garamond" w:eastAsia="Times New Roman" w:hAnsi="Garamond" w:cs="Times New Roman"/>
                <w:b w:val="0"/>
                <w:bCs w:val="0"/>
                <w:sz w:val="18"/>
                <w:szCs w:val="18"/>
              </w:rPr>
            </w:pPr>
            <w:r w:rsidRPr="007114AF">
              <w:rPr>
                <w:rFonts w:ascii="Garamond" w:eastAsia="Times New Roman" w:hAnsi="Garamond" w:cs="Times New Roman"/>
                <w:sz w:val="18"/>
                <w:szCs w:val="18"/>
              </w:rPr>
              <w:t>E43</w:t>
            </w:r>
          </w:p>
        </w:tc>
        <w:tc>
          <w:tcPr>
            <w:tcW w:w="2022" w:type="dxa"/>
            <w:vAlign w:val="center"/>
            <w:hideMark/>
          </w:tcPr>
          <w:p w14:paraId="6EDD03FA" w14:textId="71FB00E4"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PEE masat mundësuese: fushata ndërgjegjësimi mbi Eficiencën e Energjisë</w:t>
            </w:r>
            <w:r w:rsidR="006C054A">
              <w:rPr>
                <w:rFonts w:ascii="Garamond" w:eastAsia="Times New Roman" w:hAnsi="Garamond" w:cs="Times New Roman"/>
                <w:sz w:val="18"/>
                <w:szCs w:val="18"/>
              </w:rPr>
              <w:t xml:space="preserve"> </w:t>
            </w:r>
            <w:r w:rsidRPr="007114AF">
              <w:rPr>
                <w:rFonts w:ascii="Garamond" w:eastAsia="Times New Roman" w:hAnsi="Garamond" w:cs="Times New Roman"/>
                <w:sz w:val="18"/>
                <w:szCs w:val="18"/>
              </w:rPr>
              <w:t>në sektorin e banesave</w:t>
            </w:r>
          </w:p>
        </w:tc>
        <w:tc>
          <w:tcPr>
            <w:tcW w:w="1134" w:type="dxa"/>
            <w:vAlign w:val="center"/>
            <w:hideMark/>
          </w:tcPr>
          <w:p w14:paraId="6EDD03FB"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2016-2018</w:t>
            </w:r>
          </w:p>
        </w:tc>
        <w:tc>
          <w:tcPr>
            <w:tcW w:w="992" w:type="dxa"/>
            <w:vAlign w:val="center"/>
            <w:hideMark/>
          </w:tcPr>
          <w:p w14:paraId="6EDD03FC"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PKVEE</w:t>
            </w:r>
          </w:p>
        </w:tc>
        <w:tc>
          <w:tcPr>
            <w:tcW w:w="1014" w:type="dxa"/>
            <w:vAlign w:val="center"/>
          </w:tcPr>
          <w:p w14:paraId="6EDD03FD"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Indirekte</w:t>
            </w:r>
          </w:p>
        </w:tc>
        <w:tc>
          <w:tcPr>
            <w:tcW w:w="1538" w:type="dxa"/>
            <w:noWrap/>
            <w:vAlign w:val="center"/>
            <w:hideMark/>
          </w:tcPr>
          <w:p w14:paraId="6EDD03FE"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4,119.00</w:t>
            </w:r>
          </w:p>
        </w:tc>
        <w:tc>
          <w:tcPr>
            <w:tcW w:w="1276" w:type="dxa"/>
            <w:vAlign w:val="center"/>
            <w:hideMark/>
          </w:tcPr>
          <w:p w14:paraId="6EDD03FF"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tc>
        <w:tc>
          <w:tcPr>
            <w:tcW w:w="1134" w:type="dxa"/>
            <w:vAlign w:val="center"/>
            <w:hideMark/>
          </w:tcPr>
          <w:p w14:paraId="6EDD0400"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1276" w:type="dxa"/>
            <w:vAlign w:val="center"/>
            <w:hideMark/>
          </w:tcPr>
          <w:p w14:paraId="6EDD0401"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4,119.00</w:t>
            </w:r>
          </w:p>
        </w:tc>
        <w:tc>
          <w:tcPr>
            <w:tcW w:w="1134" w:type="dxa"/>
            <w:vAlign w:val="center"/>
            <w:hideMark/>
          </w:tcPr>
          <w:p w14:paraId="6EDD0402"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2360" w:type="dxa"/>
            <w:vAlign w:val="center"/>
            <w:hideMark/>
          </w:tcPr>
          <w:p w14:paraId="6EDD0403" w14:textId="5AF4942D" w:rsidR="000235FE" w:rsidRPr="007114AF" w:rsidRDefault="000A2A01"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w:t>
            </w:r>
            <w:r w:rsidR="000235FE" w:rsidRPr="007114AF">
              <w:rPr>
                <w:rFonts w:ascii="Garamond" w:eastAsia="Times New Roman" w:hAnsi="Garamond" w:cs="Times New Roman"/>
                <w:sz w:val="18"/>
                <w:szCs w:val="18"/>
              </w:rPr>
              <w:t>Kostot mund të ulen me bashkëpunim të partnerëve në biznes.</w:t>
            </w:r>
            <w:r w:rsidRPr="007114AF">
              <w:rPr>
                <w:rFonts w:ascii="Garamond" w:eastAsia="Times New Roman" w:hAnsi="Garamond" w:cs="Times New Roman"/>
                <w:sz w:val="18"/>
                <w:szCs w:val="18"/>
              </w:rPr>
              <w:t>”</w:t>
            </w:r>
          </w:p>
        </w:tc>
      </w:tr>
      <w:tr w:rsidR="000235FE" w:rsidRPr="007114AF" w14:paraId="6EDD0410" w14:textId="77777777" w:rsidTr="000235FE">
        <w:trPr>
          <w:cantSplit/>
          <w:trHeight w:val="20"/>
          <w:jc w:val="center"/>
        </w:trPr>
        <w:tc>
          <w:tcPr>
            <w:cnfStyle w:val="001000000000" w:firstRow="0" w:lastRow="0" w:firstColumn="1" w:lastColumn="0" w:oddVBand="0" w:evenVBand="0" w:oddHBand="0" w:evenHBand="0" w:firstRowFirstColumn="0" w:firstRowLastColumn="0" w:lastRowFirstColumn="0" w:lastRowLastColumn="0"/>
            <w:tcW w:w="496" w:type="dxa"/>
            <w:noWrap/>
            <w:vAlign w:val="center"/>
            <w:hideMark/>
          </w:tcPr>
          <w:p w14:paraId="6EDD0405" w14:textId="77777777" w:rsidR="000235FE" w:rsidRPr="007114AF" w:rsidRDefault="000235FE" w:rsidP="00C136A5">
            <w:pPr>
              <w:spacing w:after="0"/>
              <w:rPr>
                <w:rFonts w:ascii="Garamond" w:eastAsia="Times New Roman" w:hAnsi="Garamond" w:cs="Times New Roman"/>
                <w:b w:val="0"/>
                <w:bCs w:val="0"/>
                <w:sz w:val="18"/>
                <w:szCs w:val="18"/>
              </w:rPr>
            </w:pPr>
            <w:r w:rsidRPr="007114AF">
              <w:rPr>
                <w:rFonts w:ascii="Garamond" w:eastAsia="Times New Roman" w:hAnsi="Garamond" w:cs="Times New Roman"/>
                <w:sz w:val="18"/>
                <w:szCs w:val="18"/>
              </w:rPr>
              <w:t>E44</w:t>
            </w:r>
          </w:p>
        </w:tc>
        <w:tc>
          <w:tcPr>
            <w:tcW w:w="2022" w:type="dxa"/>
            <w:vAlign w:val="center"/>
            <w:hideMark/>
          </w:tcPr>
          <w:p w14:paraId="6EDD0406"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Trajnim i personelit të menaxhimit të godinës mbi Eficiencën e Energjisë</w:t>
            </w:r>
          </w:p>
        </w:tc>
        <w:tc>
          <w:tcPr>
            <w:tcW w:w="1134" w:type="dxa"/>
            <w:vAlign w:val="center"/>
            <w:hideMark/>
          </w:tcPr>
          <w:p w14:paraId="6EDD0407"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2016-2018</w:t>
            </w:r>
          </w:p>
        </w:tc>
        <w:tc>
          <w:tcPr>
            <w:tcW w:w="992" w:type="dxa"/>
            <w:vAlign w:val="center"/>
            <w:hideMark/>
          </w:tcPr>
          <w:p w14:paraId="6EDD0408"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PKVEE</w:t>
            </w:r>
          </w:p>
        </w:tc>
        <w:tc>
          <w:tcPr>
            <w:tcW w:w="1014" w:type="dxa"/>
            <w:vAlign w:val="center"/>
          </w:tcPr>
          <w:p w14:paraId="6EDD0409"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hAnsi="Garamond"/>
                <w:sz w:val="18"/>
                <w:szCs w:val="18"/>
              </w:rPr>
              <w:t>Indirekte</w:t>
            </w:r>
          </w:p>
        </w:tc>
        <w:tc>
          <w:tcPr>
            <w:tcW w:w="1538" w:type="dxa"/>
            <w:noWrap/>
            <w:vAlign w:val="center"/>
            <w:hideMark/>
          </w:tcPr>
          <w:p w14:paraId="6EDD040A"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2,060.00</w:t>
            </w:r>
          </w:p>
        </w:tc>
        <w:tc>
          <w:tcPr>
            <w:tcW w:w="1276" w:type="dxa"/>
            <w:vAlign w:val="center"/>
            <w:hideMark/>
          </w:tcPr>
          <w:p w14:paraId="6EDD040B"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tc>
        <w:tc>
          <w:tcPr>
            <w:tcW w:w="1134" w:type="dxa"/>
            <w:vAlign w:val="center"/>
            <w:hideMark/>
          </w:tcPr>
          <w:p w14:paraId="6EDD040C"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1276" w:type="dxa"/>
            <w:vAlign w:val="center"/>
            <w:hideMark/>
          </w:tcPr>
          <w:p w14:paraId="6EDD040D"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2,060.00</w:t>
            </w:r>
          </w:p>
        </w:tc>
        <w:tc>
          <w:tcPr>
            <w:tcW w:w="1134" w:type="dxa"/>
            <w:vAlign w:val="center"/>
            <w:hideMark/>
          </w:tcPr>
          <w:p w14:paraId="6EDD040E"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2360" w:type="dxa"/>
            <w:vAlign w:val="center"/>
            <w:hideMark/>
          </w:tcPr>
          <w:p w14:paraId="6EDD040F" w14:textId="1076F8B0" w:rsidR="000235FE" w:rsidRPr="007114AF" w:rsidRDefault="000235FE" w:rsidP="0000517F">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xml:space="preserve">i vetmi shënim është: </w:t>
            </w:r>
            <w:r w:rsidR="000A2A01" w:rsidRPr="007114AF">
              <w:rPr>
                <w:rFonts w:ascii="Garamond" w:eastAsia="Times New Roman" w:hAnsi="Garamond" w:cs="Times New Roman"/>
                <w:sz w:val="18"/>
                <w:szCs w:val="18"/>
              </w:rPr>
              <w:t>“</w:t>
            </w:r>
            <w:r w:rsidRPr="007114AF">
              <w:rPr>
                <w:rFonts w:ascii="Garamond" w:eastAsia="Times New Roman" w:hAnsi="Garamond" w:cs="Times New Roman"/>
                <w:sz w:val="18"/>
                <w:szCs w:val="18"/>
              </w:rPr>
              <w:t>Kostot për edukimin janë të ulëta në krahasim me kursimet n</w:t>
            </w:r>
            <w:r w:rsidR="0000517F">
              <w:rPr>
                <w:rFonts w:ascii="Garamond" w:eastAsia="Times New Roman" w:hAnsi="Garamond" w:cs="Times New Roman"/>
                <w:sz w:val="18"/>
                <w:szCs w:val="18"/>
              </w:rPr>
              <w:t>ë</w:t>
            </w:r>
            <w:r w:rsidRPr="007114AF">
              <w:rPr>
                <w:rFonts w:ascii="Garamond" w:eastAsia="Times New Roman" w:hAnsi="Garamond" w:cs="Times New Roman"/>
                <w:sz w:val="18"/>
                <w:szCs w:val="18"/>
              </w:rPr>
              <w:t xml:space="preserve"> kosto energjetike të cilat mund të gjenerohen</w:t>
            </w:r>
            <w:r w:rsidR="000A2A01" w:rsidRPr="007114AF">
              <w:rPr>
                <w:rFonts w:ascii="Garamond" w:eastAsia="Times New Roman" w:hAnsi="Garamond" w:cs="Times New Roman"/>
                <w:sz w:val="18"/>
                <w:szCs w:val="18"/>
              </w:rPr>
              <w:t>”</w:t>
            </w:r>
          </w:p>
        </w:tc>
      </w:tr>
      <w:tr w:rsidR="000235FE" w:rsidRPr="007114AF" w14:paraId="6EDD041C" w14:textId="77777777" w:rsidTr="000235FE">
        <w:trPr>
          <w:cantSplit/>
          <w:trHeight w:val="20"/>
          <w:jc w:val="center"/>
        </w:trPr>
        <w:tc>
          <w:tcPr>
            <w:cnfStyle w:val="001000000000" w:firstRow="0" w:lastRow="0" w:firstColumn="1" w:lastColumn="0" w:oddVBand="0" w:evenVBand="0" w:oddHBand="0" w:evenHBand="0" w:firstRowFirstColumn="0" w:firstRowLastColumn="0" w:lastRowFirstColumn="0" w:lastRowLastColumn="0"/>
            <w:tcW w:w="496" w:type="dxa"/>
            <w:noWrap/>
            <w:vAlign w:val="center"/>
            <w:hideMark/>
          </w:tcPr>
          <w:p w14:paraId="6EDD0411" w14:textId="77777777" w:rsidR="000235FE" w:rsidRPr="007114AF" w:rsidRDefault="000235FE" w:rsidP="00C136A5">
            <w:pPr>
              <w:spacing w:after="0"/>
              <w:rPr>
                <w:rFonts w:ascii="Garamond" w:eastAsia="Times New Roman" w:hAnsi="Garamond" w:cs="Times New Roman"/>
                <w:b w:val="0"/>
                <w:bCs w:val="0"/>
                <w:sz w:val="18"/>
                <w:szCs w:val="18"/>
              </w:rPr>
            </w:pPr>
            <w:r w:rsidRPr="007114AF">
              <w:rPr>
                <w:rFonts w:ascii="Garamond" w:eastAsia="Times New Roman" w:hAnsi="Garamond" w:cs="Times New Roman"/>
                <w:sz w:val="18"/>
                <w:szCs w:val="18"/>
              </w:rPr>
              <w:lastRenderedPageBreak/>
              <w:t>E45</w:t>
            </w:r>
          </w:p>
        </w:tc>
        <w:tc>
          <w:tcPr>
            <w:tcW w:w="2022" w:type="dxa"/>
            <w:vAlign w:val="center"/>
            <w:hideMark/>
          </w:tcPr>
          <w:p w14:paraId="6EDD0412"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Fushata ndërgjegjësimi dhe informimi për përdoruesit fundorë</w:t>
            </w:r>
          </w:p>
        </w:tc>
        <w:tc>
          <w:tcPr>
            <w:tcW w:w="1134" w:type="dxa"/>
            <w:vAlign w:val="center"/>
            <w:hideMark/>
          </w:tcPr>
          <w:p w14:paraId="6EDD0413"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2020 (e filluar tashmë në 2008)</w:t>
            </w:r>
          </w:p>
        </w:tc>
        <w:tc>
          <w:tcPr>
            <w:tcW w:w="992" w:type="dxa"/>
            <w:vAlign w:val="center"/>
            <w:hideMark/>
          </w:tcPr>
          <w:p w14:paraId="6EDD0414"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PKVEE</w:t>
            </w:r>
          </w:p>
        </w:tc>
        <w:tc>
          <w:tcPr>
            <w:tcW w:w="1014" w:type="dxa"/>
            <w:vAlign w:val="center"/>
          </w:tcPr>
          <w:p w14:paraId="6EDD0415"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hAnsi="Garamond"/>
                <w:sz w:val="18"/>
                <w:szCs w:val="18"/>
              </w:rPr>
              <w:t>Indirekte</w:t>
            </w:r>
          </w:p>
        </w:tc>
        <w:tc>
          <w:tcPr>
            <w:tcW w:w="1538" w:type="dxa"/>
            <w:vAlign w:val="center"/>
            <w:hideMark/>
          </w:tcPr>
          <w:p w14:paraId="6EDD0416"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1,373.00</w:t>
            </w:r>
          </w:p>
        </w:tc>
        <w:tc>
          <w:tcPr>
            <w:tcW w:w="1276" w:type="dxa"/>
            <w:vAlign w:val="center"/>
            <w:hideMark/>
          </w:tcPr>
          <w:p w14:paraId="6EDD0417"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tc>
        <w:tc>
          <w:tcPr>
            <w:tcW w:w="1134" w:type="dxa"/>
            <w:vAlign w:val="center"/>
            <w:hideMark/>
          </w:tcPr>
          <w:p w14:paraId="6EDD0418"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1276" w:type="dxa"/>
            <w:vAlign w:val="center"/>
            <w:hideMark/>
          </w:tcPr>
          <w:p w14:paraId="6EDD0419"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1,373.00</w:t>
            </w:r>
          </w:p>
        </w:tc>
        <w:tc>
          <w:tcPr>
            <w:tcW w:w="1134" w:type="dxa"/>
            <w:vAlign w:val="center"/>
            <w:hideMark/>
          </w:tcPr>
          <w:p w14:paraId="6EDD041A"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2360" w:type="dxa"/>
            <w:vAlign w:val="center"/>
            <w:hideMark/>
          </w:tcPr>
          <w:p w14:paraId="6EDD041B" w14:textId="02E014BC" w:rsidR="000235FE" w:rsidRPr="007114AF" w:rsidRDefault="000A2A01"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w:t>
            </w:r>
            <w:r w:rsidR="000235FE" w:rsidRPr="007114AF">
              <w:rPr>
                <w:rFonts w:ascii="Garamond" w:eastAsia="Times New Roman" w:hAnsi="Garamond" w:cs="Times New Roman"/>
                <w:sz w:val="18"/>
                <w:szCs w:val="18"/>
              </w:rPr>
              <w:t>Buxheti për fushatat</w:t>
            </w:r>
            <w:r w:rsidRPr="007114AF">
              <w:rPr>
                <w:rFonts w:ascii="Garamond" w:eastAsia="Times New Roman" w:hAnsi="Garamond" w:cs="Times New Roman"/>
                <w:sz w:val="18"/>
                <w:szCs w:val="18"/>
              </w:rPr>
              <w:t>”</w:t>
            </w:r>
            <w:r w:rsidR="000235FE" w:rsidRPr="007114AF">
              <w:rPr>
                <w:rFonts w:ascii="Garamond" w:eastAsia="Times New Roman" w:hAnsi="Garamond" w:cs="Times New Roman"/>
                <w:sz w:val="18"/>
                <w:szCs w:val="18"/>
              </w:rPr>
              <w:t>. Mbase për secilën fushatë dhe ende shumë e ulët</w:t>
            </w:r>
          </w:p>
        </w:tc>
      </w:tr>
      <w:tr w:rsidR="000235FE" w:rsidRPr="007114AF" w14:paraId="6EDD0428" w14:textId="77777777" w:rsidTr="000235FE">
        <w:trPr>
          <w:cantSplit/>
          <w:trHeight w:val="20"/>
          <w:jc w:val="center"/>
        </w:trPr>
        <w:tc>
          <w:tcPr>
            <w:cnfStyle w:val="001000000000" w:firstRow="0" w:lastRow="0" w:firstColumn="1" w:lastColumn="0" w:oddVBand="0" w:evenVBand="0" w:oddHBand="0" w:evenHBand="0" w:firstRowFirstColumn="0" w:firstRowLastColumn="0" w:lastRowFirstColumn="0" w:lastRowLastColumn="0"/>
            <w:tcW w:w="496" w:type="dxa"/>
            <w:noWrap/>
            <w:vAlign w:val="center"/>
            <w:hideMark/>
          </w:tcPr>
          <w:p w14:paraId="6EDD041D" w14:textId="77777777" w:rsidR="000235FE" w:rsidRPr="007114AF" w:rsidRDefault="000235FE" w:rsidP="00C136A5">
            <w:pPr>
              <w:spacing w:after="0"/>
              <w:rPr>
                <w:rFonts w:ascii="Garamond" w:eastAsia="Times New Roman" w:hAnsi="Garamond" w:cs="Times New Roman"/>
                <w:b w:val="0"/>
                <w:bCs w:val="0"/>
                <w:sz w:val="18"/>
                <w:szCs w:val="18"/>
              </w:rPr>
            </w:pPr>
            <w:r w:rsidRPr="007114AF">
              <w:rPr>
                <w:rFonts w:ascii="Garamond" w:eastAsia="Times New Roman" w:hAnsi="Garamond" w:cs="Times New Roman"/>
                <w:sz w:val="18"/>
                <w:szCs w:val="18"/>
              </w:rPr>
              <w:t>E46</w:t>
            </w:r>
          </w:p>
        </w:tc>
        <w:tc>
          <w:tcPr>
            <w:tcW w:w="2022" w:type="dxa"/>
            <w:vAlign w:val="center"/>
            <w:hideMark/>
          </w:tcPr>
          <w:p w14:paraId="6EDD041E"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PEE masat mundësuese: edukim i mëtejshëm dhe trajnim për profesionistët</w:t>
            </w:r>
          </w:p>
        </w:tc>
        <w:tc>
          <w:tcPr>
            <w:tcW w:w="1134" w:type="dxa"/>
            <w:vAlign w:val="center"/>
            <w:hideMark/>
          </w:tcPr>
          <w:p w14:paraId="6EDD041F"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2016-2020</w:t>
            </w:r>
          </w:p>
        </w:tc>
        <w:tc>
          <w:tcPr>
            <w:tcW w:w="992" w:type="dxa"/>
            <w:vAlign w:val="center"/>
            <w:hideMark/>
          </w:tcPr>
          <w:p w14:paraId="6EDD0420"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PKVEE</w:t>
            </w:r>
          </w:p>
        </w:tc>
        <w:tc>
          <w:tcPr>
            <w:tcW w:w="1014" w:type="dxa"/>
            <w:vAlign w:val="center"/>
          </w:tcPr>
          <w:p w14:paraId="6EDD0421"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hAnsi="Garamond"/>
                <w:sz w:val="18"/>
                <w:szCs w:val="18"/>
              </w:rPr>
              <w:t>Indirekte</w:t>
            </w:r>
          </w:p>
        </w:tc>
        <w:tc>
          <w:tcPr>
            <w:tcW w:w="1538" w:type="dxa"/>
            <w:noWrap/>
            <w:vAlign w:val="center"/>
            <w:hideMark/>
          </w:tcPr>
          <w:p w14:paraId="6EDD0422"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4,119.00</w:t>
            </w:r>
          </w:p>
        </w:tc>
        <w:tc>
          <w:tcPr>
            <w:tcW w:w="1276" w:type="dxa"/>
            <w:vAlign w:val="center"/>
            <w:hideMark/>
          </w:tcPr>
          <w:p w14:paraId="6EDD0423"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tc>
        <w:tc>
          <w:tcPr>
            <w:tcW w:w="1134" w:type="dxa"/>
            <w:vAlign w:val="center"/>
            <w:hideMark/>
          </w:tcPr>
          <w:p w14:paraId="6EDD0424"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1276" w:type="dxa"/>
            <w:vAlign w:val="center"/>
            <w:hideMark/>
          </w:tcPr>
          <w:p w14:paraId="6EDD0425"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4,119.00</w:t>
            </w:r>
          </w:p>
        </w:tc>
        <w:tc>
          <w:tcPr>
            <w:tcW w:w="1134" w:type="dxa"/>
            <w:vAlign w:val="center"/>
            <w:hideMark/>
          </w:tcPr>
          <w:p w14:paraId="6EDD0426"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2360" w:type="dxa"/>
            <w:vAlign w:val="center"/>
            <w:hideMark/>
          </w:tcPr>
          <w:p w14:paraId="6EDD0427"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Kosto për zhvillimin kurseve trajnuese</w:t>
            </w:r>
          </w:p>
        </w:tc>
      </w:tr>
      <w:tr w:rsidR="000235FE" w:rsidRPr="007114AF" w14:paraId="6EDD0434" w14:textId="77777777" w:rsidTr="000235FE">
        <w:trPr>
          <w:cantSplit/>
          <w:trHeight w:val="1370"/>
          <w:jc w:val="center"/>
        </w:trPr>
        <w:tc>
          <w:tcPr>
            <w:cnfStyle w:val="001000000000" w:firstRow="0" w:lastRow="0" w:firstColumn="1" w:lastColumn="0" w:oddVBand="0" w:evenVBand="0" w:oddHBand="0" w:evenHBand="0" w:firstRowFirstColumn="0" w:firstRowLastColumn="0" w:lastRowFirstColumn="0" w:lastRowLastColumn="0"/>
            <w:tcW w:w="496" w:type="dxa"/>
            <w:noWrap/>
            <w:vAlign w:val="center"/>
            <w:hideMark/>
          </w:tcPr>
          <w:p w14:paraId="6EDD0429" w14:textId="77777777" w:rsidR="000235FE" w:rsidRPr="007114AF" w:rsidRDefault="000235FE" w:rsidP="00C136A5">
            <w:pPr>
              <w:spacing w:after="0"/>
              <w:rPr>
                <w:rFonts w:ascii="Garamond" w:eastAsia="Times New Roman" w:hAnsi="Garamond" w:cs="Times New Roman"/>
                <w:b w:val="0"/>
                <w:bCs w:val="0"/>
                <w:sz w:val="18"/>
                <w:szCs w:val="18"/>
              </w:rPr>
            </w:pPr>
            <w:r w:rsidRPr="007114AF">
              <w:rPr>
                <w:rFonts w:ascii="Garamond" w:eastAsia="Times New Roman" w:hAnsi="Garamond" w:cs="Times New Roman"/>
                <w:sz w:val="18"/>
                <w:szCs w:val="18"/>
              </w:rPr>
              <w:t>E47</w:t>
            </w:r>
          </w:p>
        </w:tc>
        <w:tc>
          <w:tcPr>
            <w:tcW w:w="2022" w:type="dxa"/>
            <w:vAlign w:val="center"/>
            <w:hideMark/>
          </w:tcPr>
          <w:p w14:paraId="6EDD042A"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xml:space="preserve">Promovim i Kontratave që performojnë në Energji për godinat publike dhe ndriçimin rrugor bashkiak </w:t>
            </w:r>
          </w:p>
        </w:tc>
        <w:tc>
          <w:tcPr>
            <w:tcW w:w="1134" w:type="dxa"/>
            <w:vAlign w:val="center"/>
            <w:hideMark/>
          </w:tcPr>
          <w:p w14:paraId="6EDD042B"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2016-2020</w:t>
            </w:r>
          </w:p>
        </w:tc>
        <w:tc>
          <w:tcPr>
            <w:tcW w:w="992" w:type="dxa"/>
            <w:vAlign w:val="center"/>
            <w:hideMark/>
          </w:tcPr>
          <w:p w14:paraId="6EDD042C"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PKVEE</w:t>
            </w:r>
          </w:p>
        </w:tc>
        <w:tc>
          <w:tcPr>
            <w:tcW w:w="1014" w:type="dxa"/>
            <w:vAlign w:val="center"/>
          </w:tcPr>
          <w:p w14:paraId="6EDD042D"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hAnsi="Garamond"/>
                <w:sz w:val="18"/>
                <w:szCs w:val="18"/>
              </w:rPr>
              <w:t>Indirekte</w:t>
            </w:r>
          </w:p>
        </w:tc>
        <w:tc>
          <w:tcPr>
            <w:tcW w:w="1538" w:type="dxa"/>
            <w:vAlign w:val="center"/>
            <w:hideMark/>
          </w:tcPr>
          <w:p w14:paraId="6EDD042E"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13,730.00</w:t>
            </w:r>
          </w:p>
        </w:tc>
        <w:tc>
          <w:tcPr>
            <w:tcW w:w="1276" w:type="dxa"/>
            <w:vAlign w:val="center"/>
            <w:hideMark/>
          </w:tcPr>
          <w:p w14:paraId="6EDD042F"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tc>
        <w:tc>
          <w:tcPr>
            <w:tcW w:w="1134" w:type="dxa"/>
            <w:vAlign w:val="center"/>
            <w:hideMark/>
          </w:tcPr>
          <w:p w14:paraId="6EDD0430"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13,730.00</w:t>
            </w:r>
          </w:p>
        </w:tc>
        <w:tc>
          <w:tcPr>
            <w:tcW w:w="1276" w:type="dxa"/>
            <w:vAlign w:val="center"/>
            <w:hideMark/>
          </w:tcPr>
          <w:p w14:paraId="6EDD0431"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1134" w:type="dxa"/>
            <w:vAlign w:val="center"/>
            <w:hideMark/>
          </w:tcPr>
          <w:p w14:paraId="6EDD0432"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2360" w:type="dxa"/>
            <w:vAlign w:val="center"/>
            <w:hideMark/>
          </w:tcPr>
          <w:p w14:paraId="6EDD0433"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Asnjë tregues i qartë rreth natyrës së kësaj sasie. Supozohet se kosto e projekteve të financuara në këtë fushë</w:t>
            </w:r>
          </w:p>
        </w:tc>
      </w:tr>
      <w:tr w:rsidR="000235FE" w:rsidRPr="007114AF" w14:paraId="6EDD0440" w14:textId="77777777" w:rsidTr="000235FE">
        <w:trPr>
          <w:cantSplit/>
          <w:trHeight w:val="20"/>
          <w:jc w:val="center"/>
        </w:trPr>
        <w:tc>
          <w:tcPr>
            <w:cnfStyle w:val="001000000000" w:firstRow="0" w:lastRow="0" w:firstColumn="1" w:lastColumn="0" w:oddVBand="0" w:evenVBand="0" w:oddHBand="0" w:evenHBand="0" w:firstRowFirstColumn="0" w:firstRowLastColumn="0" w:lastRowFirstColumn="0" w:lastRowLastColumn="0"/>
            <w:tcW w:w="496" w:type="dxa"/>
            <w:noWrap/>
            <w:vAlign w:val="center"/>
            <w:hideMark/>
          </w:tcPr>
          <w:p w14:paraId="6EDD0435" w14:textId="77777777" w:rsidR="000235FE" w:rsidRPr="007114AF" w:rsidRDefault="000235FE" w:rsidP="00C136A5">
            <w:pPr>
              <w:spacing w:after="0"/>
              <w:rPr>
                <w:rFonts w:ascii="Garamond" w:eastAsia="Times New Roman" w:hAnsi="Garamond" w:cs="Times New Roman"/>
                <w:b w:val="0"/>
                <w:bCs w:val="0"/>
                <w:sz w:val="18"/>
                <w:szCs w:val="18"/>
              </w:rPr>
            </w:pPr>
            <w:r w:rsidRPr="007114AF">
              <w:rPr>
                <w:rFonts w:ascii="Garamond" w:eastAsia="Times New Roman" w:hAnsi="Garamond" w:cs="Times New Roman"/>
                <w:sz w:val="18"/>
                <w:szCs w:val="18"/>
              </w:rPr>
              <w:t>E48</w:t>
            </w:r>
          </w:p>
        </w:tc>
        <w:tc>
          <w:tcPr>
            <w:tcW w:w="2022" w:type="dxa"/>
            <w:vAlign w:val="center"/>
            <w:hideMark/>
          </w:tcPr>
          <w:p w14:paraId="6EDD0436"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Studim i opsioneve teknologjike dhe fizibiliteti të përdorimit të mbetjeve bashkiake në karburantet alternative në industrinë e çimentos</w:t>
            </w:r>
          </w:p>
        </w:tc>
        <w:tc>
          <w:tcPr>
            <w:tcW w:w="1134" w:type="dxa"/>
            <w:noWrap/>
            <w:vAlign w:val="center"/>
            <w:hideMark/>
          </w:tcPr>
          <w:p w14:paraId="6EDD0437"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2016</w:t>
            </w:r>
          </w:p>
        </w:tc>
        <w:tc>
          <w:tcPr>
            <w:tcW w:w="992" w:type="dxa"/>
            <w:vAlign w:val="center"/>
            <w:hideMark/>
          </w:tcPr>
          <w:p w14:paraId="6EDD0438" w14:textId="00729D39"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NAMA – zëvendësimi i hidrokarbureve</w:t>
            </w:r>
            <w:r w:rsidR="000A2A01" w:rsidRPr="007114AF">
              <w:rPr>
                <w:rFonts w:ascii="Garamond" w:eastAsia="Times New Roman" w:hAnsi="Garamond" w:cs="Times New Roman"/>
                <w:sz w:val="18"/>
                <w:szCs w:val="18"/>
              </w:rPr>
              <w:t xml:space="preserve"> </w:t>
            </w:r>
            <w:r w:rsidRPr="007114AF">
              <w:rPr>
                <w:rFonts w:ascii="Garamond" w:eastAsia="Times New Roman" w:hAnsi="Garamond" w:cs="Times New Roman"/>
                <w:sz w:val="18"/>
                <w:szCs w:val="18"/>
              </w:rPr>
              <w:t>me mbetje të padëmshme në Industrinë Shqiptare të Çimentos</w:t>
            </w:r>
          </w:p>
        </w:tc>
        <w:tc>
          <w:tcPr>
            <w:tcW w:w="1014" w:type="dxa"/>
            <w:vAlign w:val="center"/>
          </w:tcPr>
          <w:p w14:paraId="6EDD0439"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hAnsi="Garamond"/>
                <w:sz w:val="18"/>
                <w:szCs w:val="18"/>
              </w:rPr>
              <w:t>Direkte</w:t>
            </w:r>
          </w:p>
        </w:tc>
        <w:tc>
          <w:tcPr>
            <w:tcW w:w="1538" w:type="dxa"/>
            <w:vAlign w:val="center"/>
            <w:hideMark/>
          </w:tcPr>
          <w:p w14:paraId="6EDD043A"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27,460.00</w:t>
            </w:r>
          </w:p>
        </w:tc>
        <w:tc>
          <w:tcPr>
            <w:tcW w:w="1276" w:type="dxa"/>
            <w:noWrap/>
            <w:vAlign w:val="center"/>
            <w:hideMark/>
          </w:tcPr>
          <w:p w14:paraId="6EDD043B"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tc>
        <w:tc>
          <w:tcPr>
            <w:tcW w:w="1134" w:type="dxa"/>
            <w:vAlign w:val="center"/>
            <w:hideMark/>
          </w:tcPr>
          <w:p w14:paraId="6EDD043C"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27,460.00</w:t>
            </w:r>
          </w:p>
        </w:tc>
        <w:tc>
          <w:tcPr>
            <w:tcW w:w="1276" w:type="dxa"/>
            <w:noWrap/>
            <w:vAlign w:val="center"/>
            <w:hideMark/>
          </w:tcPr>
          <w:p w14:paraId="6EDD043D"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1134" w:type="dxa"/>
            <w:noWrap/>
            <w:vAlign w:val="center"/>
            <w:hideMark/>
          </w:tcPr>
          <w:p w14:paraId="6EDD043E"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2360" w:type="dxa"/>
            <w:vAlign w:val="center"/>
            <w:hideMark/>
          </w:tcPr>
          <w:p w14:paraId="6EDD043F"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Kostoja totale për të kryer studimin e fizibilitetit</w:t>
            </w:r>
          </w:p>
        </w:tc>
      </w:tr>
      <w:tr w:rsidR="000235FE" w:rsidRPr="007114AF" w14:paraId="6EDD044C" w14:textId="77777777" w:rsidTr="000235FE">
        <w:trPr>
          <w:cantSplit/>
          <w:trHeight w:val="2637"/>
          <w:jc w:val="center"/>
        </w:trPr>
        <w:tc>
          <w:tcPr>
            <w:cnfStyle w:val="001000000000" w:firstRow="0" w:lastRow="0" w:firstColumn="1" w:lastColumn="0" w:oddVBand="0" w:evenVBand="0" w:oddHBand="0" w:evenHBand="0" w:firstRowFirstColumn="0" w:firstRowLastColumn="0" w:lastRowFirstColumn="0" w:lastRowLastColumn="0"/>
            <w:tcW w:w="496" w:type="dxa"/>
            <w:noWrap/>
            <w:vAlign w:val="center"/>
            <w:hideMark/>
          </w:tcPr>
          <w:p w14:paraId="6EDD0441" w14:textId="77777777" w:rsidR="000235FE" w:rsidRPr="007114AF" w:rsidRDefault="000235FE" w:rsidP="00C136A5">
            <w:pPr>
              <w:spacing w:after="0"/>
              <w:rPr>
                <w:rFonts w:ascii="Garamond" w:eastAsia="Times New Roman" w:hAnsi="Garamond" w:cs="Times New Roman"/>
                <w:b w:val="0"/>
                <w:bCs w:val="0"/>
                <w:sz w:val="18"/>
                <w:szCs w:val="18"/>
              </w:rPr>
            </w:pPr>
            <w:r w:rsidRPr="007114AF">
              <w:rPr>
                <w:rFonts w:ascii="Garamond" w:eastAsia="Times New Roman" w:hAnsi="Garamond" w:cs="Times New Roman"/>
                <w:sz w:val="18"/>
                <w:szCs w:val="18"/>
              </w:rPr>
              <w:t>E49</w:t>
            </w:r>
          </w:p>
        </w:tc>
        <w:tc>
          <w:tcPr>
            <w:tcW w:w="2022" w:type="dxa"/>
            <w:vAlign w:val="center"/>
            <w:hideMark/>
          </w:tcPr>
          <w:p w14:paraId="6EDD0442"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Ndërtimi i kapaciteteve në sektorët e duhur të menaxhimit të mbetjeve</w:t>
            </w:r>
          </w:p>
        </w:tc>
        <w:tc>
          <w:tcPr>
            <w:tcW w:w="1134" w:type="dxa"/>
            <w:vAlign w:val="center"/>
            <w:hideMark/>
          </w:tcPr>
          <w:p w14:paraId="6EDD0443"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Nga 2017 në vazhdim</w:t>
            </w:r>
          </w:p>
        </w:tc>
        <w:tc>
          <w:tcPr>
            <w:tcW w:w="992" w:type="dxa"/>
            <w:vAlign w:val="center"/>
            <w:hideMark/>
          </w:tcPr>
          <w:p w14:paraId="6EDD0444" w14:textId="357AF583"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NAMA – zëvendësimi i hidrokarbureve</w:t>
            </w:r>
            <w:r w:rsidR="000A2A01" w:rsidRPr="007114AF">
              <w:rPr>
                <w:rFonts w:ascii="Garamond" w:eastAsia="Times New Roman" w:hAnsi="Garamond" w:cs="Times New Roman"/>
                <w:sz w:val="18"/>
                <w:szCs w:val="18"/>
              </w:rPr>
              <w:t xml:space="preserve"> </w:t>
            </w:r>
            <w:r w:rsidRPr="007114AF">
              <w:rPr>
                <w:rFonts w:ascii="Garamond" w:eastAsia="Times New Roman" w:hAnsi="Garamond" w:cs="Times New Roman"/>
                <w:sz w:val="18"/>
                <w:szCs w:val="18"/>
              </w:rPr>
              <w:t>me mbetje të padëmshme në Industrinë Shqiptare të Çimentos</w:t>
            </w:r>
          </w:p>
        </w:tc>
        <w:tc>
          <w:tcPr>
            <w:tcW w:w="1014" w:type="dxa"/>
            <w:vAlign w:val="center"/>
          </w:tcPr>
          <w:p w14:paraId="6EDD0445"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hAnsi="Garamond"/>
                <w:sz w:val="18"/>
                <w:szCs w:val="18"/>
              </w:rPr>
              <w:t>Indirekte</w:t>
            </w:r>
          </w:p>
        </w:tc>
        <w:tc>
          <w:tcPr>
            <w:tcW w:w="1538" w:type="dxa"/>
            <w:noWrap/>
            <w:vAlign w:val="center"/>
            <w:hideMark/>
          </w:tcPr>
          <w:p w14:paraId="6EDD0446"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205,290.00</w:t>
            </w:r>
          </w:p>
        </w:tc>
        <w:tc>
          <w:tcPr>
            <w:tcW w:w="1276" w:type="dxa"/>
            <w:noWrap/>
            <w:vAlign w:val="center"/>
            <w:hideMark/>
          </w:tcPr>
          <w:p w14:paraId="6EDD0447"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tc>
        <w:tc>
          <w:tcPr>
            <w:tcW w:w="1134" w:type="dxa"/>
            <w:noWrap/>
            <w:vAlign w:val="center"/>
            <w:hideMark/>
          </w:tcPr>
          <w:p w14:paraId="6EDD0448"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205,290.00</w:t>
            </w:r>
          </w:p>
        </w:tc>
        <w:tc>
          <w:tcPr>
            <w:tcW w:w="1276" w:type="dxa"/>
            <w:noWrap/>
            <w:vAlign w:val="center"/>
            <w:hideMark/>
          </w:tcPr>
          <w:p w14:paraId="6EDD0449"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1134" w:type="dxa"/>
            <w:noWrap/>
            <w:vAlign w:val="center"/>
            <w:hideMark/>
          </w:tcPr>
          <w:p w14:paraId="6EDD044A"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2360" w:type="dxa"/>
            <w:vAlign w:val="center"/>
            <w:hideMark/>
          </w:tcPr>
          <w:p w14:paraId="6EDD044B"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Kostoja e ndërtimit të kapaciteteve (kosto e trajnimit)</w:t>
            </w:r>
          </w:p>
        </w:tc>
      </w:tr>
      <w:tr w:rsidR="000235FE" w:rsidRPr="007114AF" w14:paraId="6EDD0458" w14:textId="77777777" w:rsidTr="000235FE">
        <w:trPr>
          <w:cantSplit/>
          <w:trHeight w:val="220"/>
          <w:jc w:val="center"/>
        </w:trPr>
        <w:tc>
          <w:tcPr>
            <w:cnfStyle w:val="001000000000" w:firstRow="0" w:lastRow="0" w:firstColumn="1" w:lastColumn="0" w:oddVBand="0" w:evenVBand="0" w:oddHBand="0" w:evenHBand="0" w:firstRowFirstColumn="0" w:firstRowLastColumn="0" w:lastRowFirstColumn="0" w:lastRowLastColumn="0"/>
            <w:tcW w:w="496" w:type="dxa"/>
            <w:vMerge w:val="restart"/>
            <w:noWrap/>
            <w:vAlign w:val="center"/>
            <w:hideMark/>
          </w:tcPr>
          <w:p w14:paraId="6EDD044D" w14:textId="77777777" w:rsidR="000235FE" w:rsidRPr="007114AF" w:rsidRDefault="000235FE" w:rsidP="00C136A5">
            <w:pPr>
              <w:spacing w:after="0"/>
              <w:rPr>
                <w:rFonts w:ascii="Garamond" w:eastAsia="Times New Roman" w:hAnsi="Garamond" w:cs="Times New Roman"/>
                <w:b w:val="0"/>
                <w:bCs w:val="0"/>
                <w:sz w:val="18"/>
                <w:szCs w:val="18"/>
              </w:rPr>
            </w:pPr>
            <w:r w:rsidRPr="007114AF">
              <w:rPr>
                <w:rFonts w:ascii="Garamond" w:eastAsia="Times New Roman" w:hAnsi="Garamond" w:cs="Times New Roman"/>
                <w:sz w:val="18"/>
                <w:szCs w:val="18"/>
              </w:rPr>
              <w:t>E5</w:t>
            </w:r>
            <w:r w:rsidRPr="007114AF">
              <w:rPr>
                <w:rFonts w:ascii="Garamond" w:eastAsia="Times New Roman" w:hAnsi="Garamond" w:cs="Times New Roman"/>
                <w:sz w:val="18"/>
                <w:szCs w:val="18"/>
              </w:rPr>
              <w:lastRenderedPageBreak/>
              <w:t>0</w:t>
            </w:r>
          </w:p>
        </w:tc>
        <w:tc>
          <w:tcPr>
            <w:tcW w:w="2022" w:type="dxa"/>
            <w:vMerge w:val="restart"/>
            <w:vAlign w:val="center"/>
            <w:hideMark/>
          </w:tcPr>
          <w:p w14:paraId="6EDD044E"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lastRenderedPageBreak/>
              <w:t xml:space="preserve">Rritja e ndërgjegjes, </w:t>
            </w:r>
            <w:r w:rsidRPr="007114AF">
              <w:rPr>
                <w:rFonts w:ascii="Garamond" w:eastAsia="Times New Roman" w:hAnsi="Garamond" w:cs="Times New Roman"/>
                <w:sz w:val="18"/>
                <w:szCs w:val="18"/>
              </w:rPr>
              <w:lastRenderedPageBreak/>
              <w:t xml:space="preserve">promovimi i avantazheve të Eficiencës së Energjisë dhe energjisë së rinovueshme, si dhe investimeve dhe promovimit të burimeve financiare të mundësuara nga vetë fondi </w:t>
            </w:r>
          </w:p>
        </w:tc>
        <w:tc>
          <w:tcPr>
            <w:tcW w:w="1134" w:type="dxa"/>
            <w:vMerge w:val="restart"/>
            <w:vAlign w:val="center"/>
            <w:hideMark/>
          </w:tcPr>
          <w:p w14:paraId="6EDD044F"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lastRenderedPageBreak/>
              <w:t xml:space="preserve">2016-2020, </w:t>
            </w:r>
            <w:r w:rsidRPr="007114AF">
              <w:rPr>
                <w:rFonts w:ascii="Garamond" w:eastAsia="Times New Roman" w:hAnsi="Garamond" w:cs="Times New Roman"/>
                <w:sz w:val="18"/>
                <w:szCs w:val="18"/>
              </w:rPr>
              <w:lastRenderedPageBreak/>
              <w:t>me qëllim të vazhdimit pasi fondet të mundësohen</w:t>
            </w:r>
          </w:p>
        </w:tc>
        <w:tc>
          <w:tcPr>
            <w:tcW w:w="992" w:type="dxa"/>
            <w:vMerge w:val="restart"/>
            <w:vAlign w:val="center"/>
            <w:hideMark/>
          </w:tcPr>
          <w:p w14:paraId="6EDD0450" w14:textId="455E11EE"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lastRenderedPageBreak/>
              <w:t xml:space="preserve">NAMA – </w:t>
            </w:r>
            <w:r w:rsidRPr="007114AF">
              <w:rPr>
                <w:rFonts w:ascii="Garamond" w:eastAsia="Times New Roman" w:hAnsi="Garamond" w:cs="Times New Roman"/>
                <w:sz w:val="18"/>
                <w:szCs w:val="18"/>
              </w:rPr>
              <w:lastRenderedPageBreak/>
              <w:t>Mekanizmat Financues për Eficiencën e Energjisë</w:t>
            </w:r>
            <w:r w:rsidR="006C054A">
              <w:rPr>
                <w:rFonts w:ascii="Garamond" w:eastAsia="Times New Roman" w:hAnsi="Garamond" w:cs="Times New Roman"/>
                <w:sz w:val="18"/>
                <w:szCs w:val="18"/>
              </w:rPr>
              <w:t xml:space="preserve"> </w:t>
            </w:r>
            <w:r w:rsidRPr="007114AF">
              <w:rPr>
                <w:rFonts w:ascii="Garamond" w:eastAsia="Times New Roman" w:hAnsi="Garamond" w:cs="Times New Roman"/>
                <w:sz w:val="18"/>
                <w:szCs w:val="18"/>
              </w:rPr>
              <w:t>në Godina</w:t>
            </w:r>
          </w:p>
        </w:tc>
        <w:tc>
          <w:tcPr>
            <w:tcW w:w="1014" w:type="dxa"/>
            <w:vAlign w:val="center"/>
          </w:tcPr>
          <w:p w14:paraId="6EDD0451"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tc>
        <w:tc>
          <w:tcPr>
            <w:tcW w:w="1538" w:type="dxa"/>
            <w:vMerge w:val="restart"/>
            <w:noWrap/>
            <w:vAlign w:val="center"/>
            <w:hideMark/>
          </w:tcPr>
          <w:p w14:paraId="6EDD0452"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68,650.00</w:t>
            </w:r>
          </w:p>
        </w:tc>
        <w:tc>
          <w:tcPr>
            <w:tcW w:w="1276" w:type="dxa"/>
            <w:vMerge w:val="restart"/>
            <w:noWrap/>
            <w:vAlign w:val="center"/>
            <w:hideMark/>
          </w:tcPr>
          <w:p w14:paraId="6EDD0453"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tc>
        <w:tc>
          <w:tcPr>
            <w:tcW w:w="1134" w:type="dxa"/>
            <w:vMerge w:val="restart"/>
            <w:noWrap/>
            <w:vAlign w:val="center"/>
            <w:hideMark/>
          </w:tcPr>
          <w:p w14:paraId="6EDD0454"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68,650.00</w:t>
            </w:r>
          </w:p>
        </w:tc>
        <w:tc>
          <w:tcPr>
            <w:tcW w:w="1276" w:type="dxa"/>
            <w:vMerge w:val="restart"/>
            <w:vAlign w:val="center"/>
            <w:hideMark/>
          </w:tcPr>
          <w:p w14:paraId="6EDD0455"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1134" w:type="dxa"/>
            <w:vMerge w:val="restart"/>
            <w:vAlign w:val="center"/>
            <w:hideMark/>
          </w:tcPr>
          <w:p w14:paraId="6EDD0456"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2360" w:type="dxa"/>
            <w:vMerge w:val="restart"/>
            <w:vAlign w:val="center"/>
            <w:hideMark/>
          </w:tcPr>
          <w:p w14:paraId="6EDD0457" w14:textId="58665052"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N.B pakti parashikon</w:t>
            </w:r>
            <w:r w:rsidR="000A2A01" w:rsidRPr="007114AF">
              <w:rPr>
                <w:rFonts w:ascii="Garamond" w:eastAsia="Times New Roman" w:hAnsi="Garamond" w:cs="Times New Roman"/>
                <w:sz w:val="18"/>
                <w:szCs w:val="18"/>
              </w:rPr>
              <w:t xml:space="preserve"> </w:t>
            </w:r>
            <w:r w:rsidRPr="007114AF">
              <w:rPr>
                <w:rFonts w:ascii="Garamond" w:eastAsia="Times New Roman" w:hAnsi="Garamond" w:cs="Times New Roman"/>
                <w:sz w:val="18"/>
                <w:szCs w:val="18"/>
              </w:rPr>
              <w:t xml:space="preserve">€ 0.5 M </w:t>
            </w:r>
            <w:r w:rsidRPr="007114AF">
              <w:rPr>
                <w:rFonts w:ascii="Garamond" w:eastAsia="Times New Roman" w:hAnsi="Garamond" w:cs="Times New Roman"/>
                <w:sz w:val="18"/>
                <w:szCs w:val="18"/>
              </w:rPr>
              <w:lastRenderedPageBreak/>
              <w:t>për administrim dhe MRV</w:t>
            </w:r>
          </w:p>
        </w:tc>
      </w:tr>
      <w:tr w:rsidR="000235FE" w:rsidRPr="007114AF" w14:paraId="6EDD0464" w14:textId="77777777" w:rsidTr="000235FE">
        <w:trPr>
          <w:cantSplit/>
          <w:trHeight w:val="910"/>
          <w:jc w:val="center"/>
        </w:trPr>
        <w:tc>
          <w:tcPr>
            <w:cnfStyle w:val="001000000000" w:firstRow="0" w:lastRow="0" w:firstColumn="1" w:lastColumn="0" w:oddVBand="0" w:evenVBand="0" w:oddHBand="0" w:evenHBand="0" w:firstRowFirstColumn="0" w:firstRowLastColumn="0" w:lastRowFirstColumn="0" w:lastRowLastColumn="0"/>
            <w:tcW w:w="496" w:type="dxa"/>
            <w:vMerge/>
            <w:vAlign w:val="center"/>
            <w:hideMark/>
          </w:tcPr>
          <w:p w14:paraId="6EDD0459" w14:textId="77777777" w:rsidR="000235FE" w:rsidRPr="007114AF" w:rsidRDefault="000235FE" w:rsidP="00C136A5">
            <w:pPr>
              <w:spacing w:after="0"/>
              <w:rPr>
                <w:rFonts w:ascii="Garamond" w:eastAsia="Times New Roman" w:hAnsi="Garamond" w:cs="Times New Roman"/>
                <w:b w:val="0"/>
                <w:bCs w:val="0"/>
                <w:sz w:val="18"/>
                <w:szCs w:val="18"/>
              </w:rPr>
            </w:pPr>
          </w:p>
        </w:tc>
        <w:tc>
          <w:tcPr>
            <w:tcW w:w="2022" w:type="dxa"/>
            <w:vMerge/>
            <w:vAlign w:val="center"/>
            <w:hideMark/>
          </w:tcPr>
          <w:p w14:paraId="6EDD045A"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tc>
        <w:tc>
          <w:tcPr>
            <w:tcW w:w="1134" w:type="dxa"/>
            <w:vMerge/>
            <w:vAlign w:val="center"/>
            <w:hideMark/>
          </w:tcPr>
          <w:p w14:paraId="6EDD045B"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tc>
        <w:tc>
          <w:tcPr>
            <w:tcW w:w="992" w:type="dxa"/>
            <w:vMerge/>
            <w:vAlign w:val="center"/>
            <w:hideMark/>
          </w:tcPr>
          <w:p w14:paraId="6EDD045C"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tc>
        <w:tc>
          <w:tcPr>
            <w:tcW w:w="1014" w:type="dxa"/>
            <w:vAlign w:val="center"/>
          </w:tcPr>
          <w:p w14:paraId="6EDD045D"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Indirekte</w:t>
            </w:r>
          </w:p>
        </w:tc>
        <w:tc>
          <w:tcPr>
            <w:tcW w:w="1538" w:type="dxa"/>
            <w:vMerge/>
            <w:vAlign w:val="center"/>
            <w:hideMark/>
          </w:tcPr>
          <w:p w14:paraId="6EDD045E"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tc>
        <w:tc>
          <w:tcPr>
            <w:tcW w:w="1276" w:type="dxa"/>
            <w:vMerge/>
            <w:vAlign w:val="center"/>
            <w:hideMark/>
          </w:tcPr>
          <w:p w14:paraId="6EDD045F"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tc>
        <w:tc>
          <w:tcPr>
            <w:tcW w:w="1134" w:type="dxa"/>
            <w:vMerge/>
            <w:vAlign w:val="center"/>
            <w:hideMark/>
          </w:tcPr>
          <w:p w14:paraId="6EDD0460"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tc>
        <w:tc>
          <w:tcPr>
            <w:tcW w:w="1276" w:type="dxa"/>
            <w:vMerge/>
            <w:vAlign w:val="center"/>
            <w:hideMark/>
          </w:tcPr>
          <w:p w14:paraId="6EDD0461"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tc>
        <w:tc>
          <w:tcPr>
            <w:tcW w:w="1134" w:type="dxa"/>
            <w:vMerge/>
            <w:vAlign w:val="center"/>
            <w:hideMark/>
          </w:tcPr>
          <w:p w14:paraId="6EDD0462"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tc>
        <w:tc>
          <w:tcPr>
            <w:tcW w:w="2360" w:type="dxa"/>
            <w:vMerge/>
            <w:vAlign w:val="center"/>
            <w:hideMark/>
          </w:tcPr>
          <w:p w14:paraId="6EDD0463"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tc>
      </w:tr>
      <w:tr w:rsidR="000235FE" w:rsidRPr="007114AF" w14:paraId="6EDD0470" w14:textId="77777777" w:rsidTr="000235FE">
        <w:trPr>
          <w:cantSplit/>
          <w:trHeight w:val="20"/>
          <w:jc w:val="center"/>
        </w:trPr>
        <w:tc>
          <w:tcPr>
            <w:cnfStyle w:val="001000000000" w:firstRow="0" w:lastRow="0" w:firstColumn="1" w:lastColumn="0" w:oddVBand="0" w:evenVBand="0" w:oddHBand="0" w:evenHBand="0" w:firstRowFirstColumn="0" w:firstRowLastColumn="0" w:lastRowFirstColumn="0" w:lastRowLastColumn="0"/>
            <w:tcW w:w="496" w:type="dxa"/>
            <w:noWrap/>
            <w:vAlign w:val="center"/>
            <w:hideMark/>
          </w:tcPr>
          <w:p w14:paraId="6EDD0465" w14:textId="77777777" w:rsidR="000235FE" w:rsidRPr="007114AF" w:rsidRDefault="000235FE" w:rsidP="00C136A5">
            <w:pPr>
              <w:spacing w:after="0"/>
              <w:rPr>
                <w:rFonts w:ascii="Garamond" w:eastAsia="Times New Roman" w:hAnsi="Garamond" w:cs="Times New Roman"/>
                <w:b w:val="0"/>
                <w:bCs w:val="0"/>
                <w:sz w:val="18"/>
                <w:szCs w:val="18"/>
              </w:rPr>
            </w:pPr>
            <w:r w:rsidRPr="007114AF">
              <w:rPr>
                <w:rFonts w:ascii="Garamond" w:eastAsia="Times New Roman" w:hAnsi="Garamond" w:cs="Times New Roman"/>
                <w:sz w:val="18"/>
                <w:szCs w:val="18"/>
              </w:rPr>
              <w:t>E51</w:t>
            </w:r>
          </w:p>
        </w:tc>
        <w:tc>
          <w:tcPr>
            <w:tcW w:w="2022" w:type="dxa"/>
            <w:vAlign w:val="center"/>
            <w:hideMark/>
          </w:tcPr>
          <w:p w14:paraId="6EDD0466"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Detyrimin e zbatimit të kërkesave minimale për godinat private të shërbimit</w:t>
            </w:r>
          </w:p>
        </w:tc>
        <w:tc>
          <w:tcPr>
            <w:tcW w:w="1134" w:type="dxa"/>
            <w:vAlign w:val="center"/>
            <w:hideMark/>
          </w:tcPr>
          <w:p w14:paraId="6EDD0467"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2016-2018</w:t>
            </w:r>
          </w:p>
        </w:tc>
        <w:tc>
          <w:tcPr>
            <w:tcW w:w="992" w:type="dxa"/>
            <w:vAlign w:val="center"/>
            <w:hideMark/>
          </w:tcPr>
          <w:p w14:paraId="6EDD0468"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PKVEE</w:t>
            </w:r>
          </w:p>
        </w:tc>
        <w:tc>
          <w:tcPr>
            <w:tcW w:w="1014" w:type="dxa"/>
            <w:vAlign w:val="center"/>
          </w:tcPr>
          <w:p w14:paraId="6EDD0469"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Mundësuese</w:t>
            </w:r>
          </w:p>
        </w:tc>
        <w:tc>
          <w:tcPr>
            <w:tcW w:w="1538" w:type="dxa"/>
            <w:vAlign w:val="center"/>
            <w:hideMark/>
          </w:tcPr>
          <w:p w14:paraId="6EDD046A"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4,119.00</w:t>
            </w:r>
          </w:p>
        </w:tc>
        <w:tc>
          <w:tcPr>
            <w:tcW w:w="1276" w:type="dxa"/>
            <w:vAlign w:val="center"/>
            <w:hideMark/>
          </w:tcPr>
          <w:p w14:paraId="6EDD046B"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tc>
        <w:tc>
          <w:tcPr>
            <w:tcW w:w="1134" w:type="dxa"/>
            <w:vAlign w:val="center"/>
            <w:hideMark/>
          </w:tcPr>
          <w:p w14:paraId="6EDD046C"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1276" w:type="dxa"/>
            <w:vAlign w:val="center"/>
            <w:hideMark/>
          </w:tcPr>
          <w:p w14:paraId="6EDD046D"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4,119.00</w:t>
            </w:r>
          </w:p>
        </w:tc>
        <w:tc>
          <w:tcPr>
            <w:tcW w:w="1134" w:type="dxa"/>
            <w:vAlign w:val="center"/>
            <w:hideMark/>
          </w:tcPr>
          <w:p w14:paraId="6EDD046E"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2360" w:type="dxa"/>
            <w:vAlign w:val="center"/>
            <w:hideMark/>
          </w:tcPr>
          <w:p w14:paraId="6EDD046F"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xml:space="preserve">Personeli njerëz nga bashkitë për të kontrolluar mbi zbatimin e këtij procesi; kostot operacionale </w:t>
            </w:r>
          </w:p>
        </w:tc>
      </w:tr>
      <w:tr w:rsidR="000235FE" w:rsidRPr="007114AF" w14:paraId="6EDD047C" w14:textId="77777777" w:rsidTr="000235FE">
        <w:trPr>
          <w:cantSplit/>
          <w:trHeight w:val="20"/>
          <w:jc w:val="center"/>
        </w:trPr>
        <w:tc>
          <w:tcPr>
            <w:cnfStyle w:val="001000000000" w:firstRow="0" w:lastRow="0" w:firstColumn="1" w:lastColumn="0" w:oddVBand="0" w:evenVBand="0" w:oddHBand="0" w:evenHBand="0" w:firstRowFirstColumn="0" w:firstRowLastColumn="0" w:lastRowFirstColumn="0" w:lastRowLastColumn="0"/>
            <w:tcW w:w="496" w:type="dxa"/>
            <w:noWrap/>
            <w:vAlign w:val="center"/>
            <w:hideMark/>
          </w:tcPr>
          <w:p w14:paraId="6EDD0471" w14:textId="77777777" w:rsidR="000235FE" w:rsidRPr="007114AF" w:rsidRDefault="000235FE" w:rsidP="00C136A5">
            <w:pPr>
              <w:spacing w:after="0"/>
              <w:rPr>
                <w:rFonts w:ascii="Garamond" w:eastAsia="Times New Roman" w:hAnsi="Garamond" w:cs="Times New Roman"/>
                <w:b w:val="0"/>
                <w:bCs w:val="0"/>
                <w:sz w:val="18"/>
                <w:szCs w:val="18"/>
              </w:rPr>
            </w:pPr>
            <w:r w:rsidRPr="007114AF">
              <w:rPr>
                <w:rFonts w:ascii="Garamond" w:eastAsia="Times New Roman" w:hAnsi="Garamond" w:cs="Times New Roman"/>
                <w:sz w:val="18"/>
                <w:szCs w:val="18"/>
              </w:rPr>
              <w:t>E52</w:t>
            </w:r>
          </w:p>
        </w:tc>
        <w:tc>
          <w:tcPr>
            <w:tcW w:w="2022" w:type="dxa"/>
            <w:vAlign w:val="center"/>
            <w:hideMark/>
          </w:tcPr>
          <w:p w14:paraId="6EDD0472"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Nxitja e koordinimit ndërmjet autoriteteve të duhura qeveritare</w:t>
            </w:r>
          </w:p>
        </w:tc>
        <w:tc>
          <w:tcPr>
            <w:tcW w:w="1134" w:type="dxa"/>
            <w:vAlign w:val="center"/>
            <w:hideMark/>
          </w:tcPr>
          <w:p w14:paraId="6EDD0473"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Nga 2017 në vazhdim</w:t>
            </w:r>
          </w:p>
        </w:tc>
        <w:tc>
          <w:tcPr>
            <w:tcW w:w="992" w:type="dxa"/>
            <w:vAlign w:val="center"/>
            <w:hideMark/>
          </w:tcPr>
          <w:p w14:paraId="6EDD0474"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PKZNK</w:t>
            </w:r>
          </w:p>
        </w:tc>
        <w:tc>
          <w:tcPr>
            <w:tcW w:w="1014" w:type="dxa"/>
            <w:vAlign w:val="center"/>
          </w:tcPr>
          <w:p w14:paraId="6EDD0475"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Mundësuese</w:t>
            </w:r>
          </w:p>
        </w:tc>
        <w:tc>
          <w:tcPr>
            <w:tcW w:w="1538" w:type="dxa"/>
            <w:noWrap/>
            <w:vAlign w:val="center"/>
            <w:hideMark/>
          </w:tcPr>
          <w:p w14:paraId="6EDD0476"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0.00</w:t>
            </w:r>
          </w:p>
        </w:tc>
        <w:tc>
          <w:tcPr>
            <w:tcW w:w="1276" w:type="dxa"/>
            <w:vAlign w:val="center"/>
            <w:hideMark/>
          </w:tcPr>
          <w:p w14:paraId="6EDD0477"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0.00</w:t>
            </w:r>
          </w:p>
        </w:tc>
        <w:tc>
          <w:tcPr>
            <w:tcW w:w="1134" w:type="dxa"/>
            <w:vAlign w:val="center"/>
            <w:hideMark/>
          </w:tcPr>
          <w:p w14:paraId="6EDD0478"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1276" w:type="dxa"/>
            <w:vAlign w:val="center"/>
            <w:hideMark/>
          </w:tcPr>
          <w:p w14:paraId="6EDD0479"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1134" w:type="dxa"/>
            <w:vAlign w:val="center"/>
            <w:hideMark/>
          </w:tcPr>
          <w:p w14:paraId="6EDD047A"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2360" w:type="dxa"/>
            <w:vAlign w:val="center"/>
            <w:hideMark/>
          </w:tcPr>
          <w:p w14:paraId="6EDD047B"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Zbatimi i kësaj mase nuk ka nevojë për dhënie të fondeve të mëtejshme</w:t>
            </w:r>
          </w:p>
        </w:tc>
      </w:tr>
      <w:tr w:rsidR="000235FE" w:rsidRPr="007114AF" w14:paraId="6EDD0488" w14:textId="77777777" w:rsidTr="000235FE">
        <w:trPr>
          <w:cantSplit/>
          <w:trHeight w:val="2637"/>
          <w:jc w:val="center"/>
        </w:trPr>
        <w:tc>
          <w:tcPr>
            <w:cnfStyle w:val="001000000000" w:firstRow="0" w:lastRow="0" w:firstColumn="1" w:lastColumn="0" w:oddVBand="0" w:evenVBand="0" w:oddHBand="0" w:evenHBand="0" w:firstRowFirstColumn="0" w:firstRowLastColumn="0" w:lastRowFirstColumn="0" w:lastRowLastColumn="0"/>
            <w:tcW w:w="496" w:type="dxa"/>
            <w:noWrap/>
            <w:vAlign w:val="center"/>
            <w:hideMark/>
          </w:tcPr>
          <w:p w14:paraId="6EDD047D" w14:textId="77777777" w:rsidR="000235FE" w:rsidRPr="007114AF" w:rsidRDefault="000235FE" w:rsidP="00C136A5">
            <w:pPr>
              <w:spacing w:after="0"/>
              <w:rPr>
                <w:rFonts w:ascii="Garamond" w:eastAsia="Times New Roman" w:hAnsi="Garamond" w:cs="Times New Roman"/>
                <w:b w:val="0"/>
                <w:bCs w:val="0"/>
                <w:sz w:val="18"/>
                <w:szCs w:val="18"/>
              </w:rPr>
            </w:pPr>
            <w:r w:rsidRPr="007114AF">
              <w:rPr>
                <w:rFonts w:ascii="Garamond" w:eastAsia="Times New Roman" w:hAnsi="Garamond" w:cs="Times New Roman"/>
                <w:sz w:val="18"/>
                <w:szCs w:val="18"/>
              </w:rPr>
              <w:t>E53</w:t>
            </w:r>
          </w:p>
        </w:tc>
        <w:tc>
          <w:tcPr>
            <w:tcW w:w="2022" w:type="dxa"/>
            <w:vAlign w:val="center"/>
            <w:hideMark/>
          </w:tcPr>
          <w:p w14:paraId="6EDD047E"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Investimi në qendrat ricikluese në bashki</w:t>
            </w:r>
          </w:p>
        </w:tc>
        <w:tc>
          <w:tcPr>
            <w:tcW w:w="1134" w:type="dxa"/>
            <w:noWrap/>
            <w:vAlign w:val="center"/>
            <w:hideMark/>
          </w:tcPr>
          <w:p w14:paraId="6EDD047F"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2016-2017</w:t>
            </w:r>
          </w:p>
        </w:tc>
        <w:tc>
          <w:tcPr>
            <w:tcW w:w="992" w:type="dxa"/>
            <w:vAlign w:val="center"/>
            <w:hideMark/>
          </w:tcPr>
          <w:p w14:paraId="6EDD0480" w14:textId="51532859"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NAMA – zëvendësimi i hidrokarbureve</w:t>
            </w:r>
            <w:r w:rsidR="000A2A01" w:rsidRPr="007114AF">
              <w:rPr>
                <w:rFonts w:ascii="Garamond" w:eastAsia="Times New Roman" w:hAnsi="Garamond" w:cs="Times New Roman"/>
                <w:sz w:val="18"/>
                <w:szCs w:val="18"/>
              </w:rPr>
              <w:t xml:space="preserve"> </w:t>
            </w:r>
            <w:r w:rsidRPr="007114AF">
              <w:rPr>
                <w:rFonts w:ascii="Garamond" w:eastAsia="Times New Roman" w:hAnsi="Garamond" w:cs="Times New Roman"/>
                <w:sz w:val="18"/>
                <w:szCs w:val="18"/>
              </w:rPr>
              <w:t>me mbetje të padëmshme në industrinë Shqiptare të Çimentos</w:t>
            </w:r>
          </w:p>
        </w:tc>
        <w:tc>
          <w:tcPr>
            <w:tcW w:w="1014" w:type="dxa"/>
            <w:vAlign w:val="center"/>
          </w:tcPr>
          <w:p w14:paraId="6EDD0481"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Mundësuese</w:t>
            </w:r>
          </w:p>
        </w:tc>
        <w:tc>
          <w:tcPr>
            <w:tcW w:w="1538" w:type="dxa"/>
            <w:noWrap/>
            <w:vAlign w:val="center"/>
            <w:hideMark/>
          </w:tcPr>
          <w:p w14:paraId="6EDD0482"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1,290,620.00</w:t>
            </w:r>
          </w:p>
        </w:tc>
        <w:tc>
          <w:tcPr>
            <w:tcW w:w="1276" w:type="dxa"/>
            <w:noWrap/>
            <w:vAlign w:val="center"/>
            <w:hideMark/>
          </w:tcPr>
          <w:p w14:paraId="6EDD0483"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1,290,620.00</w:t>
            </w:r>
          </w:p>
        </w:tc>
        <w:tc>
          <w:tcPr>
            <w:tcW w:w="1134" w:type="dxa"/>
            <w:noWrap/>
            <w:vAlign w:val="center"/>
            <w:hideMark/>
          </w:tcPr>
          <w:p w14:paraId="6EDD0484"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1276" w:type="dxa"/>
            <w:noWrap/>
            <w:vAlign w:val="center"/>
            <w:hideMark/>
          </w:tcPr>
          <w:p w14:paraId="6EDD0485"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1134" w:type="dxa"/>
            <w:noWrap/>
            <w:vAlign w:val="center"/>
            <w:hideMark/>
          </w:tcPr>
          <w:p w14:paraId="6EDD0486"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2360" w:type="dxa"/>
            <w:vAlign w:val="center"/>
            <w:hideMark/>
          </w:tcPr>
          <w:p w14:paraId="6EDD0487"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xml:space="preserve">Fondet e dhëna për dy qendrat ricikluese (Bashkitë e Elbasanit dhe Fierit) </w:t>
            </w:r>
          </w:p>
        </w:tc>
      </w:tr>
      <w:tr w:rsidR="000235FE" w:rsidRPr="007114AF" w14:paraId="6EDD0494" w14:textId="77777777" w:rsidTr="000235FE">
        <w:trPr>
          <w:cantSplit/>
          <w:trHeight w:val="680"/>
          <w:jc w:val="center"/>
        </w:trPr>
        <w:tc>
          <w:tcPr>
            <w:cnfStyle w:val="001000000000" w:firstRow="0" w:lastRow="0" w:firstColumn="1" w:lastColumn="0" w:oddVBand="0" w:evenVBand="0" w:oddHBand="0" w:evenHBand="0" w:firstRowFirstColumn="0" w:firstRowLastColumn="0" w:lastRowFirstColumn="0" w:lastRowLastColumn="0"/>
            <w:tcW w:w="496" w:type="dxa"/>
            <w:vMerge w:val="restart"/>
            <w:noWrap/>
            <w:vAlign w:val="center"/>
            <w:hideMark/>
          </w:tcPr>
          <w:p w14:paraId="6EDD0489" w14:textId="77777777" w:rsidR="000235FE" w:rsidRPr="007114AF" w:rsidRDefault="000235FE" w:rsidP="00C136A5">
            <w:pPr>
              <w:spacing w:after="0"/>
              <w:rPr>
                <w:rFonts w:ascii="Garamond" w:eastAsia="Times New Roman" w:hAnsi="Garamond" w:cs="Times New Roman"/>
                <w:b w:val="0"/>
                <w:bCs w:val="0"/>
                <w:sz w:val="18"/>
                <w:szCs w:val="18"/>
              </w:rPr>
            </w:pPr>
            <w:r w:rsidRPr="007114AF">
              <w:rPr>
                <w:rFonts w:ascii="Garamond" w:eastAsia="Times New Roman" w:hAnsi="Garamond" w:cs="Times New Roman"/>
                <w:sz w:val="18"/>
                <w:szCs w:val="18"/>
              </w:rPr>
              <w:t>E54</w:t>
            </w:r>
          </w:p>
        </w:tc>
        <w:tc>
          <w:tcPr>
            <w:tcW w:w="2022" w:type="dxa"/>
            <w:vMerge w:val="restart"/>
            <w:vAlign w:val="center"/>
            <w:hideMark/>
          </w:tcPr>
          <w:p w14:paraId="6EDD048A"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Operimi i qendrave të riciklimit</w:t>
            </w:r>
          </w:p>
        </w:tc>
        <w:tc>
          <w:tcPr>
            <w:tcW w:w="1134" w:type="dxa"/>
            <w:vMerge w:val="restart"/>
            <w:vAlign w:val="center"/>
            <w:hideMark/>
          </w:tcPr>
          <w:p w14:paraId="6EDD048B"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Nga 2017 në vazhdim</w:t>
            </w:r>
          </w:p>
        </w:tc>
        <w:tc>
          <w:tcPr>
            <w:tcW w:w="992" w:type="dxa"/>
            <w:vMerge w:val="restart"/>
            <w:vAlign w:val="center"/>
            <w:hideMark/>
          </w:tcPr>
          <w:p w14:paraId="6EDD048C" w14:textId="6DABC01A"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NAMA – zëvendësimi i hidrokarbureve</w:t>
            </w:r>
            <w:r w:rsidR="000A2A01" w:rsidRPr="007114AF">
              <w:rPr>
                <w:rFonts w:ascii="Garamond" w:eastAsia="Times New Roman" w:hAnsi="Garamond" w:cs="Times New Roman"/>
                <w:sz w:val="18"/>
                <w:szCs w:val="18"/>
              </w:rPr>
              <w:t xml:space="preserve"> </w:t>
            </w:r>
            <w:r w:rsidRPr="007114AF">
              <w:rPr>
                <w:rFonts w:ascii="Garamond" w:eastAsia="Times New Roman" w:hAnsi="Garamond" w:cs="Times New Roman"/>
                <w:sz w:val="18"/>
                <w:szCs w:val="18"/>
              </w:rPr>
              <w:t>me mbetje të padëmshme në industrinë Shqiptare të Çimentos</w:t>
            </w:r>
          </w:p>
        </w:tc>
        <w:tc>
          <w:tcPr>
            <w:tcW w:w="1014" w:type="dxa"/>
            <w:vAlign w:val="center"/>
          </w:tcPr>
          <w:p w14:paraId="6EDD048D"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Mundësuese</w:t>
            </w:r>
          </w:p>
        </w:tc>
        <w:tc>
          <w:tcPr>
            <w:tcW w:w="1538" w:type="dxa"/>
            <w:vMerge w:val="restart"/>
            <w:vAlign w:val="center"/>
            <w:hideMark/>
          </w:tcPr>
          <w:p w14:paraId="6EDD048E"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75,515.00</w:t>
            </w:r>
          </w:p>
        </w:tc>
        <w:tc>
          <w:tcPr>
            <w:tcW w:w="1276" w:type="dxa"/>
            <w:vMerge w:val="restart"/>
            <w:vAlign w:val="center"/>
            <w:hideMark/>
          </w:tcPr>
          <w:p w14:paraId="6EDD048F"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tc>
        <w:tc>
          <w:tcPr>
            <w:tcW w:w="1134" w:type="dxa"/>
            <w:vMerge w:val="restart"/>
            <w:vAlign w:val="center"/>
            <w:hideMark/>
          </w:tcPr>
          <w:p w14:paraId="6EDD0490"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1276" w:type="dxa"/>
            <w:vMerge w:val="restart"/>
            <w:vAlign w:val="center"/>
            <w:hideMark/>
          </w:tcPr>
          <w:p w14:paraId="6EDD0491"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75,515.00</w:t>
            </w:r>
          </w:p>
        </w:tc>
        <w:tc>
          <w:tcPr>
            <w:tcW w:w="1134" w:type="dxa"/>
            <w:vMerge w:val="restart"/>
            <w:vAlign w:val="center"/>
            <w:hideMark/>
          </w:tcPr>
          <w:p w14:paraId="6EDD0492"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2360" w:type="dxa"/>
            <w:vMerge w:val="restart"/>
            <w:vAlign w:val="center"/>
            <w:hideMark/>
          </w:tcPr>
          <w:p w14:paraId="6EDD0493"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Administrimi i MRV dhe kostot</w:t>
            </w:r>
          </w:p>
        </w:tc>
      </w:tr>
      <w:tr w:rsidR="000235FE" w:rsidRPr="007114AF" w14:paraId="6EDD04A0" w14:textId="77777777" w:rsidTr="000235FE">
        <w:trPr>
          <w:cantSplit/>
          <w:trHeight w:val="220"/>
          <w:jc w:val="center"/>
        </w:trPr>
        <w:tc>
          <w:tcPr>
            <w:cnfStyle w:val="001000000000" w:firstRow="0" w:lastRow="0" w:firstColumn="1" w:lastColumn="0" w:oddVBand="0" w:evenVBand="0" w:oddHBand="0" w:evenHBand="0" w:firstRowFirstColumn="0" w:firstRowLastColumn="0" w:lastRowFirstColumn="0" w:lastRowLastColumn="0"/>
            <w:tcW w:w="496" w:type="dxa"/>
            <w:vMerge/>
            <w:vAlign w:val="center"/>
            <w:hideMark/>
          </w:tcPr>
          <w:p w14:paraId="6EDD0495" w14:textId="77777777" w:rsidR="000235FE" w:rsidRPr="007114AF" w:rsidRDefault="000235FE" w:rsidP="00C136A5">
            <w:pPr>
              <w:spacing w:after="0"/>
              <w:rPr>
                <w:rFonts w:ascii="Garamond" w:eastAsia="Times New Roman" w:hAnsi="Garamond" w:cs="Times New Roman"/>
                <w:b w:val="0"/>
                <w:bCs w:val="0"/>
                <w:sz w:val="18"/>
                <w:szCs w:val="18"/>
              </w:rPr>
            </w:pPr>
          </w:p>
        </w:tc>
        <w:tc>
          <w:tcPr>
            <w:tcW w:w="2022" w:type="dxa"/>
            <w:vMerge/>
            <w:vAlign w:val="center"/>
            <w:hideMark/>
          </w:tcPr>
          <w:p w14:paraId="6EDD0496"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tc>
        <w:tc>
          <w:tcPr>
            <w:tcW w:w="1134" w:type="dxa"/>
            <w:vMerge/>
            <w:vAlign w:val="center"/>
            <w:hideMark/>
          </w:tcPr>
          <w:p w14:paraId="6EDD0497"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tc>
        <w:tc>
          <w:tcPr>
            <w:tcW w:w="992" w:type="dxa"/>
            <w:vMerge/>
            <w:vAlign w:val="center"/>
            <w:hideMark/>
          </w:tcPr>
          <w:p w14:paraId="6EDD0498"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tc>
        <w:tc>
          <w:tcPr>
            <w:tcW w:w="1014" w:type="dxa"/>
            <w:vAlign w:val="center"/>
          </w:tcPr>
          <w:p w14:paraId="6EDD0499"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tc>
        <w:tc>
          <w:tcPr>
            <w:tcW w:w="1538" w:type="dxa"/>
            <w:vMerge/>
            <w:vAlign w:val="center"/>
            <w:hideMark/>
          </w:tcPr>
          <w:p w14:paraId="6EDD049A"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tc>
        <w:tc>
          <w:tcPr>
            <w:tcW w:w="1276" w:type="dxa"/>
            <w:vMerge/>
            <w:vAlign w:val="center"/>
            <w:hideMark/>
          </w:tcPr>
          <w:p w14:paraId="6EDD049B"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tc>
        <w:tc>
          <w:tcPr>
            <w:tcW w:w="1134" w:type="dxa"/>
            <w:vMerge/>
            <w:vAlign w:val="center"/>
            <w:hideMark/>
          </w:tcPr>
          <w:p w14:paraId="6EDD049C"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tc>
        <w:tc>
          <w:tcPr>
            <w:tcW w:w="1276" w:type="dxa"/>
            <w:vMerge/>
            <w:vAlign w:val="center"/>
            <w:hideMark/>
          </w:tcPr>
          <w:p w14:paraId="6EDD049D"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tc>
        <w:tc>
          <w:tcPr>
            <w:tcW w:w="1134" w:type="dxa"/>
            <w:vMerge/>
            <w:vAlign w:val="center"/>
            <w:hideMark/>
          </w:tcPr>
          <w:p w14:paraId="6EDD049E"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tc>
        <w:tc>
          <w:tcPr>
            <w:tcW w:w="2360" w:type="dxa"/>
            <w:vMerge/>
            <w:vAlign w:val="center"/>
            <w:hideMark/>
          </w:tcPr>
          <w:p w14:paraId="6EDD049F"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tc>
      </w:tr>
      <w:tr w:rsidR="000235FE" w:rsidRPr="007114AF" w14:paraId="6EDD04AC" w14:textId="77777777" w:rsidTr="000235FE">
        <w:trPr>
          <w:cantSplit/>
          <w:trHeight w:val="20"/>
          <w:jc w:val="center"/>
        </w:trPr>
        <w:tc>
          <w:tcPr>
            <w:cnfStyle w:val="001000000000" w:firstRow="0" w:lastRow="0" w:firstColumn="1" w:lastColumn="0" w:oddVBand="0" w:evenVBand="0" w:oddHBand="0" w:evenHBand="0" w:firstRowFirstColumn="0" w:firstRowLastColumn="0" w:lastRowFirstColumn="0" w:lastRowLastColumn="0"/>
            <w:tcW w:w="496" w:type="dxa"/>
            <w:noWrap/>
            <w:vAlign w:val="center"/>
            <w:hideMark/>
          </w:tcPr>
          <w:p w14:paraId="6EDD04A1" w14:textId="77777777" w:rsidR="000235FE" w:rsidRPr="007114AF" w:rsidRDefault="000235FE" w:rsidP="00C136A5">
            <w:pPr>
              <w:spacing w:after="0"/>
              <w:rPr>
                <w:rFonts w:ascii="Garamond" w:eastAsia="Times New Roman" w:hAnsi="Garamond" w:cs="Times New Roman"/>
                <w:b w:val="0"/>
                <w:bCs w:val="0"/>
                <w:sz w:val="18"/>
                <w:szCs w:val="18"/>
              </w:rPr>
            </w:pPr>
            <w:r w:rsidRPr="007114AF">
              <w:rPr>
                <w:rFonts w:ascii="Garamond" w:eastAsia="Times New Roman" w:hAnsi="Garamond" w:cs="Times New Roman"/>
                <w:sz w:val="18"/>
                <w:szCs w:val="18"/>
              </w:rPr>
              <w:lastRenderedPageBreak/>
              <w:t>E55</w:t>
            </w:r>
          </w:p>
        </w:tc>
        <w:tc>
          <w:tcPr>
            <w:tcW w:w="2022" w:type="dxa"/>
            <w:vAlign w:val="center"/>
            <w:hideMark/>
          </w:tcPr>
          <w:p w14:paraId="6EDD04A2"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Mbështetje teknike për projektet e financuara nga fondi në të gjitha fazat e projektit nga dizenjo tek zbatimi dhe menaxhimi i godinave -MRV.</w:t>
            </w:r>
          </w:p>
        </w:tc>
        <w:tc>
          <w:tcPr>
            <w:tcW w:w="1134" w:type="dxa"/>
            <w:vAlign w:val="center"/>
            <w:hideMark/>
          </w:tcPr>
          <w:p w14:paraId="6EDD04A3"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2016-2020, me qëllim të vazhdimit edhe më pas nëse fondet janë gjendje</w:t>
            </w:r>
          </w:p>
        </w:tc>
        <w:tc>
          <w:tcPr>
            <w:tcW w:w="992" w:type="dxa"/>
            <w:vAlign w:val="center"/>
            <w:hideMark/>
          </w:tcPr>
          <w:p w14:paraId="6EDD04A4" w14:textId="475CACC8"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NAMA – Mekanizmat Financues për Efic</w:t>
            </w:r>
            <w:r w:rsidR="006C054A">
              <w:rPr>
                <w:rFonts w:ascii="Garamond" w:eastAsia="Times New Roman" w:hAnsi="Garamond" w:cs="Times New Roman"/>
                <w:sz w:val="18"/>
                <w:szCs w:val="18"/>
              </w:rPr>
              <w:t>i</w:t>
            </w:r>
            <w:r w:rsidRPr="007114AF">
              <w:rPr>
                <w:rFonts w:ascii="Garamond" w:eastAsia="Times New Roman" w:hAnsi="Garamond" w:cs="Times New Roman"/>
                <w:sz w:val="18"/>
                <w:szCs w:val="18"/>
              </w:rPr>
              <w:t>encën e Energjisë</w:t>
            </w:r>
            <w:r w:rsidR="006C054A">
              <w:rPr>
                <w:rFonts w:ascii="Garamond" w:eastAsia="Times New Roman" w:hAnsi="Garamond" w:cs="Times New Roman"/>
                <w:sz w:val="18"/>
                <w:szCs w:val="18"/>
              </w:rPr>
              <w:t xml:space="preserve"> </w:t>
            </w:r>
            <w:r w:rsidRPr="007114AF">
              <w:rPr>
                <w:rFonts w:ascii="Garamond" w:eastAsia="Times New Roman" w:hAnsi="Garamond" w:cs="Times New Roman"/>
                <w:sz w:val="18"/>
                <w:szCs w:val="18"/>
              </w:rPr>
              <w:t>në Godina</w:t>
            </w:r>
          </w:p>
        </w:tc>
        <w:tc>
          <w:tcPr>
            <w:tcW w:w="1014" w:type="dxa"/>
            <w:vAlign w:val="center"/>
          </w:tcPr>
          <w:p w14:paraId="6EDD04A5"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Mundësuese</w:t>
            </w:r>
          </w:p>
        </w:tc>
        <w:tc>
          <w:tcPr>
            <w:tcW w:w="1538" w:type="dxa"/>
            <w:noWrap/>
            <w:vAlign w:val="center"/>
            <w:hideMark/>
          </w:tcPr>
          <w:p w14:paraId="6EDD04A6"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205,950.00</w:t>
            </w:r>
          </w:p>
        </w:tc>
        <w:tc>
          <w:tcPr>
            <w:tcW w:w="1276" w:type="dxa"/>
            <w:vAlign w:val="center"/>
            <w:hideMark/>
          </w:tcPr>
          <w:p w14:paraId="6EDD04A7"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tc>
        <w:tc>
          <w:tcPr>
            <w:tcW w:w="1134" w:type="dxa"/>
            <w:vAlign w:val="center"/>
            <w:hideMark/>
          </w:tcPr>
          <w:p w14:paraId="6EDD04A8"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205,950.00</w:t>
            </w:r>
          </w:p>
        </w:tc>
        <w:tc>
          <w:tcPr>
            <w:tcW w:w="1276" w:type="dxa"/>
            <w:vAlign w:val="center"/>
            <w:hideMark/>
          </w:tcPr>
          <w:p w14:paraId="6EDD04A9"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tc>
        <w:tc>
          <w:tcPr>
            <w:tcW w:w="1134" w:type="dxa"/>
            <w:vAlign w:val="center"/>
            <w:hideMark/>
          </w:tcPr>
          <w:p w14:paraId="6EDD04AA"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tc>
        <w:tc>
          <w:tcPr>
            <w:tcW w:w="2360" w:type="dxa"/>
            <w:vAlign w:val="center"/>
            <w:hideMark/>
          </w:tcPr>
          <w:p w14:paraId="6EDD04AB" w14:textId="1925F6F8"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Nga të cilat:</w:t>
            </w:r>
            <w:r w:rsidR="000A2A01" w:rsidRPr="007114AF">
              <w:rPr>
                <w:rFonts w:ascii="Garamond" w:eastAsia="Times New Roman" w:hAnsi="Garamond" w:cs="Times New Roman"/>
                <w:sz w:val="18"/>
                <w:szCs w:val="18"/>
              </w:rPr>
              <w:t xml:space="preserve"> </w:t>
            </w:r>
            <w:r w:rsidRPr="007114AF">
              <w:rPr>
                <w:rFonts w:ascii="Garamond" w:eastAsia="Times New Roman" w:hAnsi="Garamond" w:cs="Times New Roman"/>
                <w:sz w:val="18"/>
                <w:szCs w:val="18"/>
              </w:rPr>
              <w:t>€ 1 M Audite para fizibiliteti; € 0.5 M Programe Trajnimi dhe të tjera (duke përfshirë menaxhimin e godinave TA)</w:t>
            </w:r>
          </w:p>
        </w:tc>
      </w:tr>
      <w:tr w:rsidR="000235FE" w:rsidRPr="007114AF" w14:paraId="6EDD04B8" w14:textId="77777777" w:rsidTr="000235FE">
        <w:trPr>
          <w:cantSplit/>
          <w:trHeight w:val="1978"/>
          <w:jc w:val="center"/>
        </w:trPr>
        <w:tc>
          <w:tcPr>
            <w:cnfStyle w:val="001000000000" w:firstRow="0" w:lastRow="0" w:firstColumn="1" w:lastColumn="0" w:oddVBand="0" w:evenVBand="0" w:oddHBand="0" w:evenHBand="0" w:firstRowFirstColumn="0" w:firstRowLastColumn="0" w:lastRowFirstColumn="0" w:lastRowLastColumn="0"/>
            <w:tcW w:w="496" w:type="dxa"/>
            <w:noWrap/>
            <w:vAlign w:val="center"/>
            <w:hideMark/>
          </w:tcPr>
          <w:p w14:paraId="6EDD04AD" w14:textId="77777777" w:rsidR="000235FE" w:rsidRPr="007114AF" w:rsidRDefault="000235FE" w:rsidP="00C136A5">
            <w:pPr>
              <w:spacing w:after="0"/>
              <w:rPr>
                <w:rFonts w:ascii="Garamond" w:eastAsia="Times New Roman" w:hAnsi="Garamond" w:cs="Times New Roman"/>
                <w:b w:val="0"/>
                <w:bCs w:val="0"/>
                <w:sz w:val="18"/>
                <w:szCs w:val="18"/>
              </w:rPr>
            </w:pPr>
            <w:r w:rsidRPr="007114AF">
              <w:rPr>
                <w:rFonts w:ascii="Garamond" w:eastAsia="Times New Roman" w:hAnsi="Garamond" w:cs="Times New Roman"/>
                <w:sz w:val="18"/>
                <w:szCs w:val="18"/>
              </w:rPr>
              <w:t>E56</w:t>
            </w:r>
          </w:p>
        </w:tc>
        <w:tc>
          <w:tcPr>
            <w:tcW w:w="2022" w:type="dxa"/>
            <w:vAlign w:val="center"/>
            <w:hideMark/>
          </w:tcPr>
          <w:p w14:paraId="6EDD04AE"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xml:space="preserve">Mbështetje për të përmirësuar menaxhimin e godinave </w:t>
            </w:r>
          </w:p>
        </w:tc>
        <w:tc>
          <w:tcPr>
            <w:tcW w:w="1134" w:type="dxa"/>
            <w:vAlign w:val="center"/>
            <w:hideMark/>
          </w:tcPr>
          <w:p w14:paraId="6EDD04AF"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2016-2020, me qëllim të vazhdimit edhe më pas nëse fondet janë gjendje</w:t>
            </w:r>
          </w:p>
        </w:tc>
        <w:tc>
          <w:tcPr>
            <w:tcW w:w="992" w:type="dxa"/>
            <w:vAlign w:val="center"/>
            <w:hideMark/>
          </w:tcPr>
          <w:p w14:paraId="6EDD04B0"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NAMA – Mekanizmat Financues për Eficiencën e Energjisë në Godina</w:t>
            </w:r>
          </w:p>
        </w:tc>
        <w:tc>
          <w:tcPr>
            <w:tcW w:w="1014" w:type="dxa"/>
            <w:vAlign w:val="center"/>
          </w:tcPr>
          <w:p w14:paraId="6EDD04B1"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Indirekte</w:t>
            </w:r>
          </w:p>
        </w:tc>
        <w:tc>
          <w:tcPr>
            <w:tcW w:w="1538" w:type="dxa"/>
            <w:vAlign w:val="center"/>
            <w:hideMark/>
          </w:tcPr>
          <w:p w14:paraId="6EDD04B2"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68,650.00</w:t>
            </w:r>
          </w:p>
        </w:tc>
        <w:tc>
          <w:tcPr>
            <w:tcW w:w="1276" w:type="dxa"/>
            <w:noWrap/>
            <w:vAlign w:val="center"/>
            <w:hideMark/>
          </w:tcPr>
          <w:p w14:paraId="6EDD04B3"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68,650.00</w:t>
            </w:r>
          </w:p>
        </w:tc>
        <w:tc>
          <w:tcPr>
            <w:tcW w:w="1134" w:type="dxa"/>
            <w:noWrap/>
            <w:vAlign w:val="center"/>
            <w:hideMark/>
          </w:tcPr>
          <w:p w14:paraId="6EDD04B4"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1276" w:type="dxa"/>
            <w:noWrap/>
            <w:vAlign w:val="center"/>
            <w:hideMark/>
          </w:tcPr>
          <w:p w14:paraId="6EDD04B5"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1134" w:type="dxa"/>
            <w:noWrap/>
            <w:vAlign w:val="center"/>
            <w:hideMark/>
          </w:tcPr>
          <w:p w14:paraId="6EDD04B6"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2360" w:type="dxa"/>
            <w:vAlign w:val="center"/>
            <w:hideMark/>
          </w:tcPr>
          <w:p w14:paraId="6EDD04B7"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Programi i Trajnimit me fonde nga grante. Kostot janë të marra nga dokumentet NAMA</w:t>
            </w:r>
          </w:p>
        </w:tc>
      </w:tr>
      <w:tr w:rsidR="000235FE" w:rsidRPr="007114AF" w14:paraId="6EDD04C4" w14:textId="77777777" w:rsidTr="000235FE">
        <w:trPr>
          <w:cantSplit/>
          <w:trHeight w:val="20"/>
          <w:jc w:val="center"/>
        </w:trPr>
        <w:tc>
          <w:tcPr>
            <w:cnfStyle w:val="001000000000" w:firstRow="0" w:lastRow="0" w:firstColumn="1" w:lastColumn="0" w:oddVBand="0" w:evenVBand="0" w:oddHBand="0" w:evenHBand="0" w:firstRowFirstColumn="0" w:firstRowLastColumn="0" w:lastRowFirstColumn="0" w:lastRowLastColumn="0"/>
            <w:tcW w:w="496" w:type="dxa"/>
            <w:noWrap/>
            <w:vAlign w:val="center"/>
            <w:hideMark/>
          </w:tcPr>
          <w:p w14:paraId="6EDD04B9" w14:textId="77777777" w:rsidR="000235FE" w:rsidRPr="007114AF" w:rsidRDefault="000235FE" w:rsidP="00C136A5">
            <w:pPr>
              <w:spacing w:after="0"/>
              <w:rPr>
                <w:rFonts w:ascii="Garamond" w:eastAsia="Times New Roman" w:hAnsi="Garamond" w:cs="Times New Roman"/>
                <w:b w:val="0"/>
                <w:bCs w:val="0"/>
                <w:sz w:val="18"/>
                <w:szCs w:val="18"/>
              </w:rPr>
            </w:pPr>
            <w:r w:rsidRPr="007114AF">
              <w:rPr>
                <w:rFonts w:ascii="Garamond" w:eastAsia="Times New Roman" w:hAnsi="Garamond" w:cs="Times New Roman"/>
                <w:sz w:val="18"/>
                <w:szCs w:val="18"/>
              </w:rPr>
              <w:t>E57</w:t>
            </w:r>
          </w:p>
        </w:tc>
        <w:tc>
          <w:tcPr>
            <w:tcW w:w="2022" w:type="dxa"/>
            <w:vAlign w:val="center"/>
            <w:hideMark/>
          </w:tcPr>
          <w:p w14:paraId="6EDD04BA"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Përmirësimi i procesit të licensimit</w:t>
            </w:r>
          </w:p>
        </w:tc>
        <w:tc>
          <w:tcPr>
            <w:tcW w:w="1134" w:type="dxa"/>
            <w:noWrap/>
            <w:vAlign w:val="center"/>
            <w:hideMark/>
          </w:tcPr>
          <w:p w14:paraId="6EDD04BB"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2020</w:t>
            </w:r>
          </w:p>
        </w:tc>
        <w:tc>
          <w:tcPr>
            <w:tcW w:w="992" w:type="dxa"/>
            <w:vAlign w:val="center"/>
            <w:hideMark/>
          </w:tcPr>
          <w:p w14:paraId="6EDD04BC"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BER Plani i Veprimit</w:t>
            </w:r>
          </w:p>
        </w:tc>
        <w:tc>
          <w:tcPr>
            <w:tcW w:w="1014" w:type="dxa"/>
            <w:vAlign w:val="center"/>
          </w:tcPr>
          <w:p w14:paraId="6EDD04BD"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Indirekte</w:t>
            </w:r>
          </w:p>
        </w:tc>
        <w:tc>
          <w:tcPr>
            <w:tcW w:w="1538" w:type="dxa"/>
            <w:noWrap/>
            <w:vAlign w:val="center"/>
            <w:hideMark/>
          </w:tcPr>
          <w:p w14:paraId="6EDD04BE"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0.00</w:t>
            </w:r>
          </w:p>
        </w:tc>
        <w:tc>
          <w:tcPr>
            <w:tcW w:w="1276" w:type="dxa"/>
            <w:noWrap/>
            <w:vAlign w:val="center"/>
            <w:hideMark/>
          </w:tcPr>
          <w:p w14:paraId="6EDD04BF"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0.00</w:t>
            </w:r>
          </w:p>
        </w:tc>
        <w:tc>
          <w:tcPr>
            <w:tcW w:w="1134" w:type="dxa"/>
            <w:noWrap/>
            <w:vAlign w:val="center"/>
            <w:hideMark/>
          </w:tcPr>
          <w:p w14:paraId="6EDD04C0"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1276" w:type="dxa"/>
            <w:noWrap/>
            <w:vAlign w:val="center"/>
            <w:hideMark/>
          </w:tcPr>
          <w:p w14:paraId="6EDD04C1"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1134" w:type="dxa"/>
            <w:noWrap/>
            <w:vAlign w:val="center"/>
            <w:hideMark/>
          </w:tcPr>
          <w:p w14:paraId="6EDD04C2"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2360" w:type="dxa"/>
            <w:vAlign w:val="center"/>
            <w:hideMark/>
          </w:tcPr>
          <w:p w14:paraId="6EDD04C3" w14:textId="70763D9E"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xml:space="preserve">Ky buxhet për këtë masë mbulohet nga rezultati B-One stop shop QKB, programi </w:t>
            </w:r>
            <w:r w:rsidR="000A2A01" w:rsidRPr="007114AF">
              <w:rPr>
                <w:rFonts w:ascii="Garamond" w:eastAsia="Times New Roman" w:hAnsi="Garamond" w:cs="Times New Roman"/>
                <w:sz w:val="18"/>
                <w:szCs w:val="18"/>
              </w:rPr>
              <w:t>“</w:t>
            </w:r>
            <w:r w:rsidRPr="007114AF">
              <w:rPr>
                <w:rFonts w:ascii="Garamond" w:eastAsia="Times New Roman" w:hAnsi="Garamond" w:cs="Times New Roman"/>
                <w:sz w:val="18"/>
                <w:szCs w:val="18"/>
              </w:rPr>
              <w:t>Mbështetje për Zhvillimin Ekonomik</w:t>
            </w:r>
            <w:r w:rsidR="000A2A01" w:rsidRPr="007114AF">
              <w:rPr>
                <w:rFonts w:ascii="Garamond" w:eastAsia="Times New Roman" w:hAnsi="Garamond" w:cs="Times New Roman"/>
                <w:sz w:val="18"/>
                <w:szCs w:val="18"/>
              </w:rPr>
              <w:t>”</w:t>
            </w:r>
          </w:p>
        </w:tc>
      </w:tr>
      <w:tr w:rsidR="000235FE" w:rsidRPr="007114AF" w14:paraId="6EDD04D0" w14:textId="77777777" w:rsidTr="000235FE">
        <w:trPr>
          <w:cantSplit/>
          <w:trHeight w:val="1007"/>
          <w:jc w:val="center"/>
        </w:trPr>
        <w:tc>
          <w:tcPr>
            <w:cnfStyle w:val="001000000000" w:firstRow="0" w:lastRow="0" w:firstColumn="1" w:lastColumn="0" w:oddVBand="0" w:evenVBand="0" w:oddHBand="0" w:evenHBand="0" w:firstRowFirstColumn="0" w:firstRowLastColumn="0" w:lastRowFirstColumn="0" w:lastRowLastColumn="0"/>
            <w:tcW w:w="496" w:type="dxa"/>
            <w:noWrap/>
            <w:vAlign w:val="center"/>
            <w:hideMark/>
          </w:tcPr>
          <w:p w14:paraId="6EDD04C5" w14:textId="77777777" w:rsidR="000235FE" w:rsidRPr="007114AF" w:rsidRDefault="000235FE" w:rsidP="00C136A5">
            <w:pPr>
              <w:spacing w:after="0"/>
              <w:rPr>
                <w:rFonts w:ascii="Garamond" w:eastAsia="Times New Roman" w:hAnsi="Garamond" w:cs="Times New Roman"/>
                <w:b w:val="0"/>
                <w:bCs w:val="0"/>
                <w:sz w:val="18"/>
                <w:szCs w:val="18"/>
              </w:rPr>
            </w:pPr>
            <w:r w:rsidRPr="007114AF">
              <w:rPr>
                <w:rFonts w:ascii="Garamond" w:eastAsia="Times New Roman" w:hAnsi="Garamond" w:cs="Times New Roman"/>
                <w:sz w:val="18"/>
                <w:szCs w:val="18"/>
              </w:rPr>
              <w:t>E58</w:t>
            </w:r>
          </w:p>
        </w:tc>
        <w:tc>
          <w:tcPr>
            <w:tcW w:w="2022" w:type="dxa"/>
            <w:vAlign w:val="center"/>
            <w:hideMark/>
          </w:tcPr>
          <w:p w14:paraId="6EDD04C6" w14:textId="2622A48E" w:rsidR="000235FE" w:rsidRPr="007114AF" w:rsidRDefault="000235FE" w:rsidP="00DA60B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Plani i Veprimit të Përmirësimit të Eficiencës së Energjisë</w:t>
            </w:r>
            <w:r w:rsidR="00DA60B5">
              <w:rPr>
                <w:rFonts w:ascii="Garamond" w:eastAsia="Times New Roman" w:hAnsi="Garamond" w:cs="Times New Roman"/>
                <w:sz w:val="18"/>
                <w:szCs w:val="18"/>
              </w:rPr>
              <w:t xml:space="preserve"> </w:t>
            </w:r>
            <w:r w:rsidRPr="007114AF">
              <w:rPr>
                <w:rFonts w:ascii="Garamond" w:eastAsia="Times New Roman" w:hAnsi="Garamond" w:cs="Times New Roman"/>
                <w:sz w:val="18"/>
                <w:szCs w:val="18"/>
              </w:rPr>
              <w:t>(</w:t>
            </w:r>
            <w:r w:rsidR="00DA60B5" w:rsidRPr="007114AF">
              <w:rPr>
                <w:rFonts w:ascii="Garamond" w:eastAsia="Times New Roman" w:hAnsi="Garamond" w:cs="Times New Roman"/>
                <w:sz w:val="18"/>
                <w:szCs w:val="18"/>
              </w:rPr>
              <w:t>neni</w:t>
            </w:r>
            <w:r w:rsidR="00DA60B5">
              <w:rPr>
                <w:rFonts w:ascii="Garamond" w:eastAsia="Times New Roman" w:hAnsi="Garamond" w:cs="Times New Roman"/>
                <w:sz w:val="18"/>
                <w:szCs w:val="18"/>
              </w:rPr>
              <w:t xml:space="preserve"> </w:t>
            </w:r>
            <w:r w:rsidRPr="007114AF">
              <w:rPr>
                <w:rFonts w:ascii="Garamond" w:eastAsia="Times New Roman" w:hAnsi="Garamond" w:cs="Times New Roman"/>
                <w:sz w:val="18"/>
                <w:szCs w:val="18"/>
              </w:rPr>
              <w:t>7)</w:t>
            </w:r>
          </w:p>
        </w:tc>
        <w:tc>
          <w:tcPr>
            <w:tcW w:w="1134" w:type="dxa"/>
            <w:vAlign w:val="center"/>
            <w:hideMark/>
          </w:tcPr>
          <w:p w14:paraId="6EDD04C7"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Nga 2017 në vazhdim</w:t>
            </w:r>
          </w:p>
        </w:tc>
        <w:tc>
          <w:tcPr>
            <w:tcW w:w="992" w:type="dxa"/>
            <w:noWrap/>
            <w:vAlign w:val="center"/>
            <w:hideMark/>
          </w:tcPr>
          <w:p w14:paraId="6EDD04C8"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Ligji 124/2015 Mbi Eficiencën e Energjisë</w:t>
            </w:r>
          </w:p>
        </w:tc>
        <w:tc>
          <w:tcPr>
            <w:tcW w:w="1014" w:type="dxa"/>
            <w:vAlign w:val="center"/>
          </w:tcPr>
          <w:p w14:paraId="6EDD04C9"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Mundësuese</w:t>
            </w:r>
          </w:p>
        </w:tc>
        <w:tc>
          <w:tcPr>
            <w:tcW w:w="1538" w:type="dxa"/>
            <w:noWrap/>
            <w:vAlign w:val="center"/>
            <w:hideMark/>
          </w:tcPr>
          <w:p w14:paraId="6EDD04CA"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2,000.00</w:t>
            </w:r>
          </w:p>
        </w:tc>
        <w:tc>
          <w:tcPr>
            <w:tcW w:w="1276" w:type="dxa"/>
            <w:vAlign w:val="center"/>
            <w:hideMark/>
          </w:tcPr>
          <w:p w14:paraId="6EDD04CB"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2,000.00</w:t>
            </w:r>
          </w:p>
        </w:tc>
        <w:tc>
          <w:tcPr>
            <w:tcW w:w="1134" w:type="dxa"/>
            <w:vAlign w:val="center"/>
            <w:hideMark/>
          </w:tcPr>
          <w:p w14:paraId="6EDD04CC"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1276" w:type="dxa"/>
            <w:vAlign w:val="center"/>
            <w:hideMark/>
          </w:tcPr>
          <w:p w14:paraId="6EDD04CD"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1134" w:type="dxa"/>
            <w:vAlign w:val="center"/>
            <w:hideMark/>
          </w:tcPr>
          <w:p w14:paraId="6EDD04CE"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2360" w:type="dxa"/>
            <w:vAlign w:val="center"/>
            <w:hideMark/>
          </w:tcPr>
          <w:p w14:paraId="6EDD04CF" w14:textId="152FC776"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xml:space="preserve">Kosto e projektit </w:t>
            </w:r>
            <w:r w:rsidR="000A2A01" w:rsidRPr="007114AF">
              <w:rPr>
                <w:rFonts w:ascii="Garamond" w:eastAsia="Times New Roman" w:hAnsi="Garamond" w:cs="Times New Roman"/>
                <w:sz w:val="18"/>
                <w:szCs w:val="18"/>
              </w:rPr>
              <w:t>“</w:t>
            </w:r>
            <w:r w:rsidRPr="007114AF">
              <w:rPr>
                <w:rFonts w:ascii="Garamond" w:eastAsia="Times New Roman" w:hAnsi="Garamond" w:cs="Times New Roman"/>
                <w:sz w:val="18"/>
                <w:szCs w:val="18"/>
              </w:rPr>
              <w:t>Strategjia për prodhimin energjetik nga burime të rinovueshme në Shqipëri në kontekstin e mbrojtjes së mjedisit për 2030</w:t>
            </w:r>
            <w:r w:rsidR="000A2A01" w:rsidRPr="007114AF">
              <w:rPr>
                <w:rFonts w:ascii="Garamond" w:eastAsia="Times New Roman" w:hAnsi="Garamond" w:cs="Times New Roman"/>
                <w:sz w:val="18"/>
                <w:szCs w:val="18"/>
              </w:rPr>
              <w:t>”</w:t>
            </w:r>
          </w:p>
        </w:tc>
      </w:tr>
      <w:tr w:rsidR="000235FE" w:rsidRPr="007114AF" w14:paraId="6EDD04DC" w14:textId="77777777" w:rsidTr="000235FE">
        <w:trPr>
          <w:cantSplit/>
          <w:trHeight w:val="20"/>
          <w:jc w:val="center"/>
        </w:trPr>
        <w:tc>
          <w:tcPr>
            <w:cnfStyle w:val="001000000000" w:firstRow="0" w:lastRow="0" w:firstColumn="1" w:lastColumn="0" w:oddVBand="0" w:evenVBand="0" w:oddHBand="0" w:evenHBand="0" w:firstRowFirstColumn="0" w:firstRowLastColumn="0" w:lastRowFirstColumn="0" w:lastRowLastColumn="0"/>
            <w:tcW w:w="496" w:type="dxa"/>
            <w:noWrap/>
            <w:vAlign w:val="center"/>
            <w:hideMark/>
          </w:tcPr>
          <w:p w14:paraId="6EDD04D1" w14:textId="77777777" w:rsidR="000235FE" w:rsidRPr="007114AF" w:rsidRDefault="000235FE" w:rsidP="00C136A5">
            <w:pPr>
              <w:spacing w:after="0"/>
              <w:rPr>
                <w:rFonts w:ascii="Garamond" w:eastAsia="Times New Roman" w:hAnsi="Garamond" w:cs="Times New Roman"/>
                <w:b w:val="0"/>
                <w:bCs w:val="0"/>
                <w:sz w:val="18"/>
                <w:szCs w:val="18"/>
              </w:rPr>
            </w:pPr>
            <w:r w:rsidRPr="007114AF">
              <w:rPr>
                <w:rFonts w:ascii="Garamond" w:eastAsia="Times New Roman" w:hAnsi="Garamond" w:cs="Times New Roman"/>
                <w:sz w:val="18"/>
                <w:szCs w:val="18"/>
              </w:rPr>
              <w:t>E59</w:t>
            </w:r>
          </w:p>
        </w:tc>
        <w:tc>
          <w:tcPr>
            <w:tcW w:w="2022" w:type="dxa"/>
            <w:vAlign w:val="center"/>
            <w:hideMark/>
          </w:tcPr>
          <w:p w14:paraId="6EDD04D2" w14:textId="207B6DEA"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Matja (</w:t>
            </w:r>
            <w:r w:rsidR="00DA60B5" w:rsidRPr="007114AF">
              <w:rPr>
                <w:rFonts w:ascii="Garamond" w:eastAsia="Times New Roman" w:hAnsi="Garamond" w:cs="Times New Roman"/>
                <w:sz w:val="18"/>
                <w:szCs w:val="18"/>
              </w:rPr>
              <w:t xml:space="preserve">neni </w:t>
            </w:r>
            <w:r w:rsidRPr="007114AF">
              <w:rPr>
                <w:rFonts w:ascii="Garamond" w:eastAsia="Times New Roman" w:hAnsi="Garamond" w:cs="Times New Roman"/>
                <w:sz w:val="18"/>
                <w:szCs w:val="18"/>
              </w:rPr>
              <w:t>14)</w:t>
            </w:r>
          </w:p>
        </w:tc>
        <w:tc>
          <w:tcPr>
            <w:tcW w:w="1134" w:type="dxa"/>
            <w:vAlign w:val="center"/>
            <w:hideMark/>
          </w:tcPr>
          <w:p w14:paraId="6EDD04D3"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Nga 2017 në vazhdim</w:t>
            </w:r>
          </w:p>
        </w:tc>
        <w:tc>
          <w:tcPr>
            <w:tcW w:w="992" w:type="dxa"/>
            <w:noWrap/>
            <w:vAlign w:val="center"/>
            <w:hideMark/>
          </w:tcPr>
          <w:p w14:paraId="6EDD04D4"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Ligji 124/2015 Mbi Eficiencën e Energjisë</w:t>
            </w:r>
          </w:p>
        </w:tc>
        <w:tc>
          <w:tcPr>
            <w:tcW w:w="1014" w:type="dxa"/>
            <w:vAlign w:val="center"/>
          </w:tcPr>
          <w:p w14:paraId="6EDD04D5"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Mundësuese</w:t>
            </w:r>
          </w:p>
        </w:tc>
        <w:tc>
          <w:tcPr>
            <w:tcW w:w="1538" w:type="dxa"/>
            <w:vAlign w:val="center"/>
            <w:hideMark/>
          </w:tcPr>
          <w:p w14:paraId="6EDD04D6"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5,000.00</w:t>
            </w:r>
          </w:p>
        </w:tc>
        <w:tc>
          <w:tcPr>
            <w:tcW w:w="1276" w:type="dxa"/>
            <w:vAlign w:val="center"/>
            <w:hideMark/>
          </w:tcPr>
          <w:p w14:paraId="6EDD04D7"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5,000.00</w:t>
            </w:r>
          </w:p>
        </w:tc>
        <w:tc>
          <w:tcPr>
            <w:tcW w:w="1134" w:type="dxa"/>
            <w:vAlign w:val="center"/>
            <w:hideMark/>
          </w:tcPr>
          <w:p w14:paraId="6EDD04D8"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1276" w:type="dxa"/>
            <w:vAlign w:val="center"/>
            <w:hideMark/>
          </w:tcPr>
          <w:p w14:paraId="6EDD04D9"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1134" w:type="dxa"/>
            <w:vAlign w:val="center"/>
            <w:hideMark/>
          </w:tcPr>
          <w:p w14:paraId="6EDD04DA"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2360" w:type="dxa"/>
            <w:vAlign w:val="center"/>
            <w:hideMark/>
          </w:tcPr>
          <w:p w14:paraId="6EDD04DB"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Kostoja për hartimin e akteve nënligjore. Kosto për njësi nga buxheti afat mesëm</w:t>
            </w:r>
          </w:p>
        </w:tc>
      </w:tr>
      <w:tr w:rsidR="000235FE" w:rsidRPr="007114AF" w14:paraId="6EDD04E8" w14:textId="77777777" w:rsidTr="000235FE">
        <w:trPr>
          <w:cantSplit/>
          <w:trHeight w:val="20"/>
          <w:jc w:val="center"/>
        </w:trPr>
        <w:tc>
          <w:tcPr>
            <w:cnfStyle w:val="001000000000" w:firstRow="0" w:lastRow="0" w:firstColumn="1" w:lastColumn="0" w:oddVBand="0" w:evenVBand="0" w:oddHBand="0" w:evenHBand="0" w:firstRowFirstColumn="0" w:firstRowLastColumn="0" w:lastRowFirstColumn="0" w:lastRowLastColumn="0"/>
            <w:tcW w:w="496" w:type="dxa"/>
            <w:noWrap/>
            <w:vAlign w:val="center"/>
            <w:hideMark/>
          </w:tcPr>
          <w:p w14:paraId="6EDD04DD" w14:textId="77777777" w:rsidR="000235FE" w:rsidRPr="007114AF" w:rsidRDefault="000235FE" w:rsidP="00C136A5">
            <w:pPr>
              <w:spacing w:after="0"/>
              <w:rPr>
                <w:rFonts w:ascii="Garamond" w:eastAsia="Times New Roman" w:hAnsi="Garamond" w:cs="Times New Roman"/>
                <w:b w:val="0"/>
                <w:bCs w:val="0"/>
                <w:sz w:val="18"/>
                <w:szCs w:val="18"/>
              </w:rPr>
            </w:pPr>
            <w:r w:rsidRPr="007114AF">
              <w:rPr>
                <w:rFonts w:ascii="Garamond" w:eastAsia="Times New Roman" w:hAnsi="Garamond" w:cs="Times New Roman"/>
                <w:sz w:val="18"/>
                <w:szCs w:val="18"/>
              </w:rPr>
              <w:t>E60</w:t>
            </w:r>
          </w:p>
        </w:tc>
        <w:tc>
          <w:tcPr>
            <w:tcW w:w="2022" w:type="dxa"/>
            <w:vAlign w:val="center"/>
            <w:hideMark/>
          </w:tcPr>
          <w:p w14:paraId="6EDD04DE" w14:textId="652F31C5" w:rsidR="000235FE" w:rsidRPr="007114AF" w:rsidRDefault="000235FE" w:rsidP="00DA60B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Llogaritja e përqindjes së energjisë nga burimet e rinovueshme (</w:t>
            </w:r>
            <w:r w:rsidR="00DA60B5" w:rsidRPr="007114AF">
              <w:rPr>
                <w:rFonts w:ascii="Garamond" w:eastAsia="Times New Roman" w:hAnsi="Garamond" w:cs="Times New Roman"/>
                <w:sz w:val="18"/>
                <w:szCs w:val="18"/>
              </w:rPr>
              <w:t>neni</w:t>
            </w:r>
            <w:r w:rsidR="00DA60B5">
              <w:rPr>
                <w:rFonts w:ascii="Garamond" w:eastAsia="Times New Roman" w:hAnsi="Garamond" w:cs="Times New Roman"/>
                <w:sz w:val="18"/>
                <w:szCs w:val="18"/>
              </w:rPr>
              <w:t xml:space="preserve"> </w:t>
            </w:r>
            <w:r w:rsidRPr="007114AF">
              <w:rPr>
                <w:rFonts w:ascii="Garamond" w:eastAsia="Times New Roman" w:hAnsi="Garamond" w:cs="Times New Roman"/>
                <w:sz w:val="18"/>
                <w:szCs w:val="18"/>
              </w:rPr>
              <w:t>6)</w:t>
            </w:r>
          </w:p>
        </w:tc>
        <w:tc>
          <w:tcPr>
            <w:tcW w:w="1134" w:type="dxa"/>
            <w:vAlign w:val="center"/>
            <w:hideMark/>
          </w:tcPr>
          <w:p w14:paraId="6EDD04DF"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Pas hyrjes në fuqi</w:t>
            </w:r>
          </w:p>
        </w:tc>
        <w:tc>
          <w:tcPr>
            <w:tcW w:w="992" w:type="dxa"/>
            <w:vAlign w:val="center"/>
            <w:hideMark/>
          </w:tcPr>
          <w:p w14:paraId="6EDD04E0"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Draftligji mbi BER</w:t>
            </w:r>
          </w:p>
        </w:tc>
        <w:tc>
          <w:tcPr>
            <w:tcW w:w="1014" w:type="dxa"/>
            <w:vAlign w:val="center"/>
          </w:tcPr>
          <w:p w14:paraId="6EDD04E1"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Mundësuese</w:t>
            </w:r>
          </w:p>
        </w:tc>
        <w:tc>
          <w:tcPr>
            <w:tcW w:w="1538" w:type="dxa"/>
            <w:noWrap/>
            <w:vAlign w:val="center"/>
            <w:hideMark/>
          </w:tcPr>
          <w:p w14:paraId="6EDD04E2"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2,000.00</w:t>
            </w:r>
          </w:p>
        </w:tc>
        <w:tc>
          <w:tcPr>
            <w:tcW w:w="1276" w:type="dxa"/>
            <w:vAlign w:val="center"/>
            <w:hideMark/>
          </w:tcPr>
          <w:p w14:paraId="6EDD04E3"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2,000.00</w:t>
            </w:r>
          </w:p>
        </w:tc>
        <w:tc>
          <w:tcPr>
            <w:tcW w:w="1134" w:type="dxa"/>
            <w:vAlign w:val="center"/>
            <w:hideMark/>
          </w:tcPr>
          <w:p w14:paraId="6EDD04E4"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1276" w:type="dxa"/>
            <w:vAlign w:val="center"/>
            <w:hideMark/>
          </w:tcPr>
          <w:p w14:paraId="6EDD04E5"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1134" w:type="dxa"/>
            <w:vAlign w:val="center"/>
            <w:hideMark/>
          </w:tcPr>
          <w:p w14:paraId="6EDD04E6"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2360" w:type="dxa"/>
            <w:vAlign w:val="center"/>
            <w:hideMark/>
          </w:tcPr>
          <w:p w14:paraId="6EDD04E7"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Kosto e draftimit të një manuali; kryesisht kosto e punës</w:t>
            </w:r>
          </w:p>
        </w:tc>
      </w:tr>
      <w:tr w:rsidR="000235FE" w:rsidRPr="007114AF" w14:paraId="6EDD04F4" w14:textId="77777777" w:rsidTr="000235FE">
        <w:trPr>
          <w:cantSplit/>
          <w:trHeight w:val="20"/>
          <w:jc w:val="center"/>
        </w:trPr>
        <w:tc>
          <w:tcPr>
            <w:cnfStyle w:val="001000000000" w:firstRow="0" w:lastRow="0" w:firstColumn="1" w:lastColumn="0" w:oddVBand="0" w:evenVBand="0" w:oddHBand="0" w:evenHBand="0" w:firstRowFirstColumn="0" w:firstRowLastColumn="0" w:lastRowFirstColumn="0" w:lastRowLastColumn="0"/>
            <w:tcW w:w="496" w:type="dxa"/>
            <w:noWrap/>
            <w:vAlign w:val="center"/>
            <w:hideMark/>
          </w:tcPr>
          <w:p w14:paraId="6EDD04E9" w14:textId="77777777" w:rsidR="000235FE" w:rsidRPr="007114AF" w:rsidRDefault="000235FE" w:rsidP="00C136A5">
            <w:pPr>
              <w:spacing w:after="0"/>
              <w:rPr>
                <w:rFonts w:ascii="Garamond" w:eastAsia="Times New Roman" w:hAnsi="Garamond" w:cs="Times New Roman"/>
                <w:b w:val="0"/>
                <w:bCs w:val="0"/>
                <w:sz w:val="18"/>
                <w:szCs w:val="18"/>
              </w:rPr>
            </w:pPr>
            <w:r w:rsidRPr="007114AF">
              <w:rPr>
                <w:rFonts w:ascii="Garamond" w:eastAsia="Times New Roman" w:hAnsi="Garamond" w:cs="Times New Roman"/>
                <w:sz w:val="18"/>
                <w:szCs w:val="18"/>
              </w:rPr>
              <w:t>E61</w:t>
            </w:r>
          </w:p>
        </w:tc>
        <w:tc>
          <w:tcPr>
            <w:tcW w:w="2022" w:type="dxa"/>
            <w:vAlign w:val="center"/>
            <w:hideMark/>
          </w:tcPr>
          <w:p w14:paraId="6EDD04EA" w14:textId="733FFC78" w:rsidR="000235FE" w:rsidRPr="007114AF" w:rsidRDefault="000235FE" w:rsidP="00DA60B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Shërbimet Energjitike (</w:t>
            </w:r>
            <w:r w:rsidR="00DA60B5" w:rsidRPr="007114AF">
              <w:rPr>
                <w:rFonts w:ascii="Garamond" w:eastAsia="Times New Roman" w:hAnsi="Garamond" w:cs="Times New Roman"/>
                <w:sz w:val="18"/>
                <w:szCs w:val="18"/>
              </w:rPr>
              <w:t>neni</w:t>
            </w:r>
            <w:r w:rsidR="00DA60B5">
              <w:rPr>
                <w:rFonts w:ascii="Garamond" w:eastAsia="Times New Roman" w:hAnsi="Garamond" w:cs="Times New Roman"/>
                <w:sz w:val="18"/>
                <w:szCs w:val="18"/>
              </w:rPr>
              <w:t xml:space="preserve"> </w:t>
            </w:r>
            <w:r w:rsidRPr="007114AF">
              <w:rPr>
                <w:rFonts w:ascii="Garamond" w:eastAsia="Times New Roman" w:hAnsi="Garamond" w:cs="Times New Roman"/>
                <w:sz w:val="18"/>
                <w:szCs w:val="18"/>
              </w:rPr>
              <w:t>18)</w:t>
            </w:r>
          </w:p>
        </w:tc>
        <w:tc>
          <w:tcPr>
            <w:tcW w:w="1134" w:type="dxa"/>
            <w:vAlign w:val="center"/>
            <w:hideMark/>
          </w:tcPr>
          <w:p w14:paraId="6EDD04EB"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2016-2018</w:t>
            </w:r>
          </w:p>
        </w:tc>
        <w:tc>
          <w:tcPr>
            <w:tcW w:w="992" w:type="dxa"/>
            <w:noWrap/>
            <w:vAlign w:val="center"/>
            <w:hideMark/>
          </w:tcPr>
          <w:p w14:paraId="6EDD04EC"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Ligji 124/2015 Mbi Eficiencën e Energjisë</w:t>
            </w:r>
          </w:p>
        </w:tc>
        <w:tc>
          <w:tcPr>
            <w:tcW w:w="1014" w:type="dxa"/>
            <w:vAlign w:val="center"/>
          </w:tcPr>
          <w:p w14:paraId="6EDD04ED"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Mundësuese</w:t>
            </w:r>
          </w:p>
        </w:tc>
        <w:tc>
          <w:tcPr>
            <w:tcW w:w="1538" w:type="dxa"/>
            <w:noWrap/>
            <w:vAlign w:val="center"/>
            <w:hideMark/>
          </w:tcPr>
          <w:p w14:paraId="6EDD04EE"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0.00</w:t>
            </w:r>
          </w:p>
        </w:tc>
        <w:tc>
          <w:tcPr>
            <w:tcW w:w="1276" w:type="dxa"/>
            <w:vAlign w:val="center"/>
            <w:hideMark/>
          </w:tcPr>
          <w:p w14:paraId="6EDD04EF"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0.00</w:t>
            </w:r>
          </w:p>
        </w:tc>
        <w:tc>
          <w:tcPr>
            <w:tcW w:w="1134" w:type="dxa"/>
            <w:vAlign w:val="center"/>
            <w:hideMark/>
          </w:tcPr>
          <w:p w14:paraId="6EDD04F0"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1276" w:type="dxa"/>
            <w:vAlign w:val="center"/>
            <w:hideMark/>
          </w:tcPr>
          <w:p w14:paraId="6EDD04F1"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1134" w:type="dxa"/>
            <w:vAlign w:val="center"/>
            <w:hideMark/>
          </w:tcPr>
          <w:p w14:paraId="6EDD04F2"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2360" w:type="dxa"/>
            <w:vAlign w:val="center"/>
            <w:hideMark/>
          </w:tcPr>
          <w:p w14:paraId="6EDD04F3"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Nuk ka impakt tek buxheti i shtetit</w:t>
            </w:r>
          </w:p>
        </w:tc>
      </w:tr>
      <w:tr w:rsidR="000235FE" w:rsidRPr="007114AF" w14:paraId="6EDD0500" w14:textId="77777777" w:rsidTr="000235FE">
        <w:trPr>
          <w:cantSplit/>
          <w:trHeight w:val="20"/>
          <w:jc w:val="center"/>
        </w:trPr>
        <w:tc>
          <w:tcPr>
            <w:cnfStyle w:val="001000000000" w:firstRow="0" w:lastRow="0" w:firstColumn="1" w:lastColumn="0" w:oddVBand="0" w:evenVBand="0" w:oddHBand="0" w:evenHBand="0" w:firstRowFirstColumn="0" w:firstRowLastColumn="0" w:lastRowFirstColumn="0" w:lastRowLastColumn="0"/>
            <w:tcW w:w="496" w:type="dxa"/>
            <w:noWrap/>
            <w:vAlign w:val="center"/>
            <w:hideMark/>
          </w:tcPr>
          <w:p w14:paraId="6EDD04F5" w14:textId="77777777" w:rsidR="000235FE" w:rsidRPr="007114AF" w:rsidRDefault="000235FE" w:rsidP="00C136A5">
            <w:pPr>
              <w:spacing w:after="0"/>
              <w:rPr>
                <w:rFonts w:ascii="Garamond" w:eastAsia="Times New Roman" w:hAnsi="Garamond" w:cs="Times New Roman"/>
                <w:b w:val="0"/>
                <w:bCs w:val="0"/>
                <w:sz w:val="18"/>
                <w:szCs w:val="18"/>
              </w:rPr>
            </w:pPr>
            <w:r w:rsidRPr="007114AF">
              <w:rPr>
                <w:rFonts w:ascii="Garamond" w:eastAsia="Times New Roman" w:hAnsi="Garamond" w:cs="Times New Roman"/>
                <w:sz w:val="18"/>
                <w:szCs w:val="18"/>
              </w:rPr>
              <w:lastRenderedPageBreak/>
              <w:t>E62</w:t>
            </w:r>
          </w:p>
        </w:tc>
        <w:tc>
          <w:tcPr>
            <w:tcW w:w="2022" w:type="dxa"/>
            <w:vAlign w:val="center"/>
            <w:hideMark/>
          </w:tcPr>
          <w:p w14:paraId="6EDD04F6"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Rregullat e buxhetimit dhe financimit</w:t>
            </w:r>
          </w:p>
        </w:tc>
        <w:tc>
          <w:tcPr>
            <w:tcW w:w="1134" w:type="dxa"/>
            <w:vAlign w:val="center"/>
            <w:hideMark/>
          </w:tcPr>
          <w:p w14:paraId="6EDD04F7"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Nga 2017 në vazhdim</w:t>
            </w:r>
          </w:p>
        </w:tc>
        <w:tc>
          <w:tcPr>
            <w:tcW w:w="992" w:type="dxa"/>
            <w:vAlign w:val="center"/>
            <w:hideMark/>
          </w:tcPr>
          <w:p w14:paraId="6EDD04F8"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PKZNK</w:t>
            </w:r>
          </w:p>
        </w:tc>
        <w:tc>
          <w:tcPr>
            <w:tcW w:w="1014" w:type="dxa"/>
            <w:vAlign w:val="center"/>
          </w:tcPr>
          <w:p w14:paraId="6EDD04F9"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Mundësuese</w:t>
            </w:r>
          </w:p>
        </w:tc>
        <w:tc>
          <w:tcPr>
            <w:tcW w:w="1538" w:type="dxa"/>
            <w:noWrap/>
            <w:vAlign w:val="center"/>
            <w:hideMark/>
          </w:tcPr>
          <w:p w14:paraId="6EDD04FA"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0.00</w:t>
            </w:r>
          </w:p>
        </w:tc>
        <w:tc>
          <w:tcPr>
            <w:tcW w:w="1276" w:type="dxa"/>
            <w:vAlign w:val="center"/>
            <w:hideMark/>
          </w:tcPr>
          <w:p w14:paraId="6EDD04FB"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0.00</w:t>
            </w:r>
          </w:p>
        </w:tc>
        <w:tc>
          <w:tcPr>
            <w:tcW w:w="1134" w:type="dxa"/>
            <w:vAlign w:val="center"/>
            <w:hideMark/>
          </w:tcPr>
          <w:p w14:paraId="6EDD04FC"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1276" w:type="dxa"/>
            <w:vAlign w:val="center"/>
            <w:hideMark/>
          </w:tcPr>
          <w:p w14:paraId="6EDD04FD"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1134" w:type="dxa"/>
            <w:vAlign w:val="center"/>
            <w:hideMark/>
          </w:tcPr>
          <w:p w14:paraId="6EDD04FE"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2360" w:type="dxa"/>
            <w:vAlign w:val="center"/>
            <w:hideMark/>
          </w:tcPr>
          <w:p w14:paraId="6EDD04FF"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Kjo masë është financiarisht neutrale. Plani i Veprimit BER, masa 8</w:t>
            </w:r>
          </w:p>
        </w:tc>
      </w:tr>
      <w:tr w:rsidR="000235FE" w:rsidRPr="007114AF" w14:paraId="6EDD050C" w14:textId="77777777" w:rsidTr="000235FE">
        <w:trPr>
          <w:cantSplit/>
          <w:trHeight w:val="1978"/>
          <w:jc w:val="center"/>
        </w:trPr>
        <w:tc>
          <w:tcPr>
            <w:cnfStyle w:val="001000000000" w:firstRow="0" w:lastRow="0" w:firstColumn="1" w:lastColumn="0" w:oddVBand="0" w:evenVBand="0" w:oddHBand="0" w:evenHBand="0" w:firstRowFirstColumn="0" w:firstRowLastColumn="0" w:lastRowFirstColumn="0" w:lastRowLastColumn="0"/>
            <w:tcW w:w="496" w:type="dxa"/>
            <w:noWrap/>
            <w:vAlign w:val="center"/>
            <w:hideMark/>
          </w:tcPr>
          <w:p w14:paraId="6EDD0501" w14:textId="77777777" w:rsidR="000235FE" w:rsidRPr="007114AF" w:rsidRDefault="000235FE" w:rsidP="00C136A5">
            <w:pPr>
              <w:spacing w:after="0"/>
              <w:rPr>
                <w:rFonts w:ascii="Garamond" w:eastAsia="Times New Roman" w:hAnsi="Garamond" w:cs="Times New Roman"/>
                <w:b w:val="0"/>
                <w:bCs w:val="0"/>
                <w:sz w:val="18"/>
                <w:szCs w:val="18"/>
              </w:rPr>
            </w:pPr>
            <w:r w:rsidRPr="007114AF">
              <w:rPr>
                <w:rFonts w:ascii="Garamond" w:eastAsia="Times New Roman" w:hAnsi="Garamond" w:cs="Times New Roman"/>
                <w:sz w:val="18"/>
                <w:szCs w:val="18"/>
              </w:rPr>
              <w:t>E63</w:t>
            </w:r>
          </w:p>
        </w:tc>
        <w:tc>
          <w:tcPr>
            <w:tcW w:w="2022" w:type="dxa"/>
            <w:vAlign w:val="center"/>
            <w:hideMark/>
          </w:tcPr>
          <w:p w14:paraId="6EDD0502"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Mbështetje teknike për projektet e financuara nga fondi në të gjitha fazat e projektit nga dizenjo tek zbatimi dhe menaxhimi i godinave</w:t>
            </w:r>
          </w:p>
        </w:tc>
        <w:tc>
          <w:tcPr>
            <w:tcW w:w="1134" w:type="dxa"/>
            <w:vAlign w:val="center"/>
            <w:hideMark/>
          </w:tcPr>
          <w:p w14:paraId="6EDD0503"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2016-2020, me qëllim të vazhdimit edhe më pas nëse fondet janë gjendje</w:t>
            </w:r>
          </w:p>
        </w:tc>
        <w:tc>
          <w:tcPr>
            <w:tcW w:w="992" w:type="dxa"/>
            <w:vAlign w:val="center"/>
            <w:hideMark/>
          </w:tcPr>
          <w:p w14:paraId="6EDD0504"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NAMA – Mekanizmat Financues për Eficiencën e Energjisë në Godina</w:t>
            </w:r>
          </w:p>
        </w:tc>
        <w:tc>
          <w:tcPr>
            <w:tcW w:w="1014" w:type="dxa"/>
            <w:vAlign w:val="center"/>
          </w:tcPr>
          <w:p w14:paraId="6EDD0505"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Indirekte</w:t>
            </w:r>
          </w:p>
        </w:tc>
        <w:tc>
          <w:tcPr>
            <w:tcW w:w="1538" w:type="dxa"/>
            <w:noWrap/>
            <w:vAlign w:val="center"/>
            <w:hideMark/>
          </w:tcPr>
          <w:p w14:paraId="6EDD0506"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205,950.00</w:t>
            </w:r>
          </w:p>
        </w:tc>
        <w:tc>
          <w:tcPr>
            <w:tcW w:w="1276" w:type="dxa"/>
            <w:vAlign w:val="center"/>
            <w:hideMark/>
          </w:tcPr>
          <w:p w14:paraId="6EDD0507"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tc>
        <w:tc>
          <w:tcPr>
            <w:tcW w:w="1134" w:type="dxa"/>
            <w:noWrap/>
            <w:vAlign w:val="center"/>
            <w:hideMark/>
          </w:tcPr>
          <w:p w14:paraId="6EDD0508"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205,950.00</w:t>
            </w:r>
          </w:p>
        </w:tc>
        <w:tc>
          <w:tcPr>
            <w:tcW w:w="1276" w:type="dxa"/>
            <w:vAlign w:val="center"/>
            <w:hideMark/>
          </w:tcPr>
          <w:p w14:paraId="6EDD0509"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1134" w:type="dxa"/>
            <w:vAlign w:val="center"/>
            <w:hideMark/>
          </w:tcPr>
          <w:p w14:paraId="6EDD050A"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2360" w:type="dxa"/>
            <w:vAlign w:val="center"/>
            <w:hideMark/>
          </w:tcPr>
          <w:p w14:paraId="6EDD050B" w14:textId="36963261"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Nga e cila:</w:t>
            </w:r>
            <w:r w:rsidR="000A2A01" w:rsidRPr="007114AF">
              <w:rPr>
                <w:rFonts w:ascii="Garamond" w:eastAsia="Times New Roman" w:hAnsi="Garamond" w:cs="Times New Roman"/>
                <w:sz w:val="18"/>
                <w:szCs w:val="18"/>
              </w:rPr>
              <w:t xml:space="preserve"> </w:t>
            </w:r>
            <w:r w:rsidRPr="007114AF">
              <w:rPr>
                <w:rFonts w:ascii="Garamond" w:eastAsia="Times New Roman" w:hAnsi="Garamond" w:cs="Times New Roman"/>
                <w:sz w:val="18"/>
                <w:szCs w:val="18"/>
              </w:rPr>
              <w:t>€ 1 M Audite të para fizibilitetit; € 0.5 M Programe Trajnimi dhe të tjera (duke përfshirë menaxhimin e godinave TA) Kosto e marrë nga treguesi buxhetor NAMA</w:t>
            </w:r>
          </w:p>
        </w:tc>
      </w:tr>
      <w:tr w:rsidR="000235FE" w:rsidRPr="007114AF" w14:paraId="6EDD0518" w14:textId="77777777" w:rsidTr="000235FE">
        <w:trPr>
          <w:cantSplit/>
          <w:trHeight w:val="20"/>
          <w:jc w:val="center"/>
        </w:trPr>
        <w:tc>
          <w:tcPr>
            <w:cnfStyle w:val="001000000000" w:firstRow="0" w:lastRow="0" w:firstColumn="1" w:lastColumn="0" w:oddVBand="0" w:evenVBand="0" w:oddHBand="0" w:evenHBand="0" w:firstRowFirstColumn="0" w:firstRowLastColumn="0" w:lastRowFirstColumn="0" w:lastRowLastColumn="0"/>
            <w:tcW w:w="496" w:type="dxa"/>
            <w:noWrap/>
            <w:vAlign w:val="center"/>
            <w:hideMark/>
          </w:tcPr>
          <w:p w14:paraId="6EDD050D" w14:textId="77777777" w:rsidR="000235FE" w:rsidRPr="007114AF" w:rsidRDefault="000235FE" w:rsidP="00C136A5">
            <w:pPr>
              <w:spacing w:after="0"/>
              <w:rPr>
                <w:rFonts w:ascii="Garamond" w:eastAsia="Times New Roman" w:hAnsi="Garamond" w:cs="Times New Roman"/>
                <w:b w:val="0"/>
                <w:bCs w:val="0"/>
                <w:sz w:val="18"/>
                <w:szCs w:val="18"/>
              </w:rPr>
            </w:pPr>
            <w:r w:rsidRPr="007114AF">
              <w:rPr>
                <w:rFonts w:ascii="Garamond" w:eastAsia="Times New Roman" w:hAnsi="Garamond" w:cs="Times New Roman"/>
                <w:sz w:val="18"/>
                <w:szCs w:val="18"/>
              </w:rPr>
              <w:t>E64</w:t>
            </w:r>
          </w:p>
        </w:tc>
        <w:tc>
          <w:tcPr>
            <w:tcW w:w="2022" w:type="dxa"/>
            <w:vAlign w:val="center"/>
            <w:hideMark/>
          </w:tcPr>
          <w:p w14:paraId="6EDD050E" w14:textId="5BC32A09" w:rsidR="000235FE" w:rsidRPr="007114AF" w:rsidRDefault="000235FE" w:rsidP="00DA60B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Detyrim për të blerë korentin e prodhuar nga Prodhuesit Prioritar (</w:t>
            </w:r>
            <w:r w:rsidR="00DA60B5" w:rsidRPr="007114AF">
              <w:rPr>
                <w:rFonts w:ascii="Garamond" w:eastAsia="Times New Roman" w:hAnsi="Garamond" w:cs="Times New Roman"/>
                <w:sz w:val="18"/>
                <w:szCs w:val="18"/>
              </w:rPr>
              <w:t xml:space="preserve">neni </w:t>
            </w:r>
            <w:r w:rsidRPr="007114AF">
              <w:rPr>
                <w:rFonts w:ascii="Garamond" w:eastAsia="Times New Roman" w:hAnsi="Garamond" w:cs="Times New Roman"/>
                <w:sz w:val="18"/>
                <w:szCs w:val="18"/>
              </w:rPr>
              <w:t>20)</w:t>
            </w:r>
          </w:p>
        </w:tc>
        <w:tc>
          <w:tcPr>
            <w:tcW w:w="1134" w:type="dxa"/>
            <w:vAlign w:val="center"/>
            <w:hideMark/>
          </w:tcPr>
          <w:p w14:paraId="6EDD050F"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Pas hyrjes në fuqi</w:t>
            </w:r>
          </w:p>
        </w:tc>
        <w:tc>
          <w:tcPr>
            <w:tcW w:w="992" w:type="dxa"/>
            <w:vAlign w:val="center"/>
            <w:hideMark/>
          </w:tcPr>
          <w:p w14:paraId="6EDD0510"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Draftligji mbi BER</w:t>
            </w:r>
          </w:p>
        </w:tc>
        <w:tc>
          <w:tcPr>
            <w:tcW w:w="1014" w:type="dxa"/>
            <w:vAlign w:val="center"/>
          </w:tcPr>
          <w:p w14:paraId="6EDD0511"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Indirekte</w:t>
            </w:r>
          </w:p>
        </w:tc>
        <w:tc>
          <w:tcPr>
            <w:tcW w:w="1538" w:type="dxa"/>
            <w:noWrap/>
            <w:vAlign w:val="center"/>
            <w:hideMark/>
          </w:tcPr>
          <w:p w14:paraId="6EDD0512"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5,400,000.00</w:t>
            </w:r>
          </w:p>
        </w:tc>
        <w:tc>
          <w:tcPr>
            <w:tcW w:w="1276" w:type="dxa"/>
            <w:vAlign w:val="center"/>
            <w:hideMark/>
          </w:tcPr>
          <w:p w14:paraId="6EDD0513"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tc>
        <w:tc>
          <w:tcPr>
            <w:tcW w:w="1134" w:type="dxa"/>
            <w:vAlign w:val="center"/>
            <w:hideMark/>
          </w:tcPr>
          <w:p w14:paraId="6EDD0514"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1276" w:type="dxa"/>
            <w:vAlign w:val="center"/>
            <w:hideMark/>
          </w:tcPr>
          <w:p w14:paraId="6EDD0515"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5,400,000.00</w:t>
            </w:r>
          </w:p>
        </w:tc>
        <w:tc>
          <w:tcPr>
            <w:tcW w:w="1134" w:type="dxa"/>
            <w:vAlign w:val="center"/>
            <w:hideMark/>
          </w:tcPr>
          <w:p w14:paraId="6EDD0516"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2360" w:type="dxa"/>
            <w:vAlign w:val="center"/>
            <w:hideMark/>
          </w:tcPr>
          <w:p w14:paraId="6EDD0517"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Kostot merren nga Plani Kombëtar i Veprimit mbi BER Masa 7</w:t>
            </w:r>
          </w:p>
        </w:tc>
      </w:tr>
      <w:tr w:rsidR="000235FE" w:rsidRPr="007114AF" w14:paraId="6EDD0524" w14:textId="77777777" w:rsidTr="000235FE">
        <w:trPr>
          <w:cantSplit/>
          <w:trHeight w:val="20"/>
          <w:jc w:val="center"/>
        </w:trPr>
        <w:tc>
          <w:tcPr>
            <w:cnfStyle w:val="001000000000" w:firstRow="0" w:lastRow="0" w:firstColumn="1" w:lastColumn="0" w:oddVBand="0" w:evenVBand="0" w:oddHBand="0" w:evenHBand="0" w:firstRowFirstColumn="0" w:firstRowLastColumn="0" w:lastRowFirstColumn="0" w:lastRowLastColumn="0"/>
            <w:tcW w:w="496" w:type="dxa"/>
            <w:noWrap/>
            <w:vAlign w:val="center"/>
            <w:hideMark/>
          </w:tcPr>
          <w:p w14:paraId="6EDD0519" w14:textId="77777777" w:rsidR="000235FE" w:rsidRPr="007114AF" w:rsidRDefault="000235FE" w:rsidP="00C136A5">
            <w:pPr>
              <w:spacing w:after="0"/>
              <w:rPr>
                <w:rFonts w:ascii="Garamond" w:eastAsia="Times New Roman" w:hAnsi="Garamond" w:cs="Times New Roman"/>
                <w:b w:val="0"/>
                <w:bCs w:val="0"/>
                <w:sz w:val="18"/>
                <w:szCs w:val="18"/>
              </w:rPr>
            </w:pPr>
            <w:r w:rsidRPr="007114AF">
              <w:rPr>
                <w:rFonts w:ascii="Garamond" w:eastAsia="Times New Roman" w:hAnsi="Garamond" w:cs="Times New Roman"/>
                <w:sz w:val="18"/>
                <w:szCs w:val="18"/>
              </w:rPr>
              <w:t>E65</w:t>
            </w:r>
          </w:p>
        </w:tc>
        <w:tc>
          <w:tcPr>
            <w:tcW w:w="2022" w:type="dxa"/>
            <w:vAlign w:val="center"/>
            <w:hideMark/>
          </w:tcPr>
          <w:p w14:paraId="6EDD051A" w14:textId="703C15A6"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Neni 21 Marrëveshjet e blerjes së energjisë (</w:t>
            </w:r>
            <w:r w:rsidR="00DA60B5" w:rsidRPr="007114AF">
              <w:rPr>
                <w:rFonts w:ascii="Garamond" w:eastAsia="Times New Roman" w:hAnsi="Garamond" w:cs="Times New Roman"/>
                <w:sz w:val="18"/>
                <w:szCs w:val="18"/>
              </w:rPr>
              <w:t xml:space="preserve">neni </w:t>
            </w:r>
            <w:r w:rsidRPr="007114AF">
              <w:rPr>
                <w:rFonts w:ascii="Garamond" w:eastAsia="Times New Roman" w:hAnsi="Garamond" w:cs="Times New Roman"/>
                <w:sz w:val="18"/>
                <w:szCs w:val="18"/>
              </w:rPr>
              <w:t>21)</w:t>
            </w:r>
          </w:p>
        </w:tc>
        <w:tc>
          <w:tcPr>
            <w:tcW w:w="1134" w:type="dxa"/>
            <w:vAlign w:val="center"/>
            <w:hideMark/>
          </w:tcPr>
          <w:p w14:paraId="6EDD051B"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Pas hyrjes në fuqi</w:t>
            </w:r>
          </w:p>
        </w:tc>
        <w:tc>
          <w:tcPr>
            <w:tcW w:w="992" w:type="dxa"/>
            <w:vAlign w:val="center"/>
            <w:hideMark/>
          </w:tcPr>
          <w:p w14:paraId="6EDD051C"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Draftligji mbi BER</w:t>
            </w:r>
          </w:p>
        </w:tc>
        <w:tc>
          <w:tcPr>
            <w:tcW w:w="1014" w:type="dxa"/>
            <w:vAlign w:val="center"/>
          </w:tcPr>
          <w:p w14:paraId="6EDD051D"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Indirekte</w:t>
            </w:r>
          </w:p>
        </w:tc>
        <w:tc>
          <w:tcPr>
            <w:tcW w:w="1538" w:type="dxa"/>
            <w:noWrap/>
            <w:vAlign w:val="center"/>
            <w:hideMark/>
          </w:tcPr>
          <w:p w14:paraId="6EDD051E"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7,400,000.00</w:t>
            </w:r>
          </w:p>
        </w:tc>
        <w:tc>
          <w:tcPr>
            <w:tcW w:w="1276" w:type="dxa"/>
            <w:vAlign w:val="center"/>
            <w:hideMark/>
          </w:tcPr>
          <w:p w14:paraId="6EDD051F"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tc>
        <w:tc>
          <w:tcPr>
            <w:tcW w:w="1134" w:type="dxa"/>
            <w:vAlign w:val="center"/>
            <w:hideMark/>
          </w:tcPr>
          <w:p w14:paraId="6EDD0520"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1276" w:type="dxa"/>
            <w:vAlign w:val="center"/>
            <w:hideMark/>
          </w:tcPr>
          <w:p w14:paraId="6EDD0521"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7,400,000.00</w:t>
            </w:r>
          </w:p>
        </w:tc>
        <w:tc>
          <w:tcPr>
            <w:tcW w:w="1134" w:type="dxa"/>
            <w:vAlign w:val="center"/>
            <w:hideMark/>
          </w:tcPr>
          <w:p w14:paraId="6EDD0522"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2360" w:type="dxa"/>
            <w:vAlign w:val="center"/>
            <w:hideMark/>
          </w:tcPr>
          <w:p w14:paraId="6EDD0523"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Kostot merren nga Plani Kombëtar i Veprimit mbi BER Masa 6</w:t>
            </w:r>
          </w:p>
        </w:tc>
      </w:tr>
      <w:tr w:rsidR="000235FE" w:rsidRPr="007114AF" w14:paraId="6EDD0530" w14:textId="77777777" w:rsidTr="000235FE">
        <w:trPr>
          <w:cantSplit/>
          <w:trHeight w:val="20"/>
          <w:jc w:val="center"/>
        </w:trPr>
        <w:tc>
          <w:tcPr>
            <w:cnfStyle w:val="001000000000" w:firstRow="0" w:lastRow="0" w:firstColumn="1" w:lastColumn="0" w:oddVBand="0" w:evenVBand="0" w:oddHBand="0" w:evenHBand="0" w:firstRowFirstColumn="0" w:firstRowLastColumn="0" w:lastRowFirstColumn="0" w:lastRowLastColumn="0"/>
            <w:tcW w:w="496" w:type="dxa"/>
            <w:noWrap/>
            <w:vAlign w:val="center"/>
            <w:hideMark/>
          </w:tcPr>
          <w:p w14:paraId="6EDD0525" w14:textId="77777777" w:rsidR="000235FE" w:rsidRPr="007114AF" w:rsidRDefault="000235FE" w:rsidP="00C136A5">
            <w:pPr>
              <w:spacing w:after="0"/>
              <w:rPr>
                <w:rFonts w:ascii="Garamond" w:eastAsia="Times New Roman" w:hAnsi="Garamond" w:cs="Times New Roman"/>
                <w:b w:val="0"/>
                <w:bCs w:val="0"/>
                <w:sz w:val="18"/>
                <w:szCs w:val="18"/>
              </w:rPr>
            </w:pPr>
            <w:r w:rsidRPr="007114AF">
              <w:rPr>
                <w:rFonts w:ascii="Garamond" w:eastAsia="Times New Roman" w:hAnsi="Garamond" w:cs="Times New Roman"/>
                <w:sz w:val="18"/>
                <w:szCs w:val="18"/>
              </w:rPr>
              <w:t>E66</w:t>
            </w:r>
          </w:p>
        </w:tc>
        <w:tc>
          <w:tcPr>
            <w:tcW w:w="2022" w:type="dxa"/>
            <w:vAlign w:val="center"/>
            <w:hideMark/>
          </w:tcPr>
          <w:p w14:paraId="6EDD0526" w14:textId="509117FD" w:rsidR="000235FE" w:rsidRPr="007114AF" w:rsidRDefault="000235FE" w:rsidP="00DA60B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Tarifat zëvendësuese (</w:t>
            </w:r>
            <w:r w:rsidR="00DA60B5" w:rsidRPr="007114AF">
              <w:rPr>
                <w:rFonts w:ascii="Garamond" w:eastAsia="Times New Roman" w:hAnsi="Garamond" w:cs="Times New Roman"/>
                <w:sz w:val="18"/>
                <w:szCs w:val="18"/>
              </w:rPr>
              <w:t>neni</w:t>
            </w:r>
            <w:r w:rsidR="00DA60B5">
              <w:rPr>
                <w:rFonts w:ascii="Garamond" w:eastAsia="Times New Roman" w:hAnsi="Garamond" w:cs="Times New Roman"/>
                <w:sz w:val="18"/>
                <w:szCs w:val="18"/>
              </w:rPr>
              <w:t xml:space="preserve"> </w:t>
            </w:r>
            <w:r w:rsidRPr="007114AF">
              <w:rPr>
                <w:rFonts w:ascii="Garamond" w:eastAsia="Times New Roman" w:hAnsi="Garamond" w:cs="Times New Roman"/>
                <w:sz w:val="18"/>
                <w:szCs w:val="18"/>
              </w:rPr>
              <w:t>23)</w:t>
            </w:r>
          </w:p>
        </w:tc>
        <w:tc>
          <w:tcPr>
            <w:tcW w:w="1134" w:type="dxa"/>
            <w:vAlign w:val="center"/>
            <w:hideMark/>
          </w:tcPr>
          <w:p w14:paraId="6EDD0527"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2018-2020</w:t>
            </w:r>
          </w:p>
        </w:tc>
        <w:tc>
          <w:tcPr>
            <w:tcW w:w="992" w:type="dxa"/>
            <w:vAlign w:val="center"/>
            <w:hideMark/>
          </w:tcPr>
          <w:p w14:paraId="6EDD0528"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Draftligji mbi BER</w:t>
            </w:r>
          </w:p>
        </w:tc>
        <w:tc>
          <w:tcPr>
            <w:tcW w:w="1014" w:type="dxa"/>
            <w:vAlign w:val="center"/>
          </w:tcPr>
          <w:p w14:paraId="6EDD0529"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Indirekte</w:t>
            </w:r>
          </w:p>
        </w:tc>
        <w:tc>
          <w:tcPr>
            <w:tcW w:w="1538" w:type="dxa"/>
            <w:vAlign w:val="center"/>
            <w:hideMark/>
          </w:tcPr>
          <w:p w14:paraId="6EDD052A"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5,000.00</w:t>
            </w:r>
          </w:p>
        </w:tc>
        <w:tc>
          <w:tcPr>
            <w:tcW w:w="1276" w:type="dxa"/>
            <w:vAlign w:val="center"/>
            <w:hideMark/>
          </w:tcPr>
          <w:p w14:paraId="6EDD052B"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5,000.00</w:t>
            </w:r>
          </w:p>
        </w:tc>
        <w:tc>
          <w:tcPr>
            <w:tcW w:w="1134" w:type="dxa"/>
            <w:vAlign w:val="center"/>
            <w:hideMark/>
          </w:tcPr>
          <w:p w14:paraId="6EDD052C"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1276" w:type="dxa"/>
            <w:vAlign w:val="center"/>
            <w:hideMark/>
          </w:tcPr>
          <w:p w14:paraId="6EDD052D"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1134" w:type="dxa"/>
            <w:vAlign w:val="center"/>
            <w:hideMark/>
          </w:tcPr>
          <w:p w14:paraId="6EDD052E"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2360" w:type="dxa"/>
            <w:vAlign w:val="center"/>
            <w:hideMark/>
          </w:tcPr>
          <w:p w14:paraId="6EDD052F"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xml:space="preserve">Kostoja për hartimin e akteve nënligjore. Kosto për njësi e marrë nga buxheti afatmesëm </w:t>
            </w:r>
          </w:p>
        </w:tc>
      </w:tr>
      <w:tr w:rsidR="000235FE" w:rsidRPr="007114AF" w14:paraId="6EDD053C" w14:textId="77777777" w:rsidTr="000235FE">
        <w:trPr>
          <w:cantSplit/>
          <w:trHeight w:val="20"/>
          <w:jc w:val="center"/>
        </w:trPr>
        <w:tc>
          <w:tcPr>
            <w:cnfStyle w:val="001000000000" w:firstRow="0" w:lastRow="0" w:firstColumn="1" w:lastColumn="0" w:oddVBand="0" w:evenVBand="0" w:oddHBand="0" w:evenHBand="0" w:firstRowFirstColumn="0" w:firstRowLastColumn="0" w:lastRowFirstColumn="0" w:lastRowLastColumn="0"/>
            <w:tcW w:w="496" w:type="dxa"/>
            <w:noWrap/>
            <w:vAlign w:val="center"/>
            <w:hideMark/>
          </w:tcPr>
          <w:p w14:paraId="6EDD0531" w14:textId="77777777" w:rsidR="000235FE" w:rsidRPr="007114AF" w:rsidRDefault="000235FE" w:rsidP="00C136A5">
            <w:pPr>
              <w:spacing w:after="0"/>
              <w:rPr>
                <w:rFonts w:ascii="Garamond" w:eastAsia="Times New Roman" w:hAnsi="Garamond" w:cs="Times New Roman"/>
                <w:b w:val="0"/>
                <w:bCs w:val="0"/>
                <w:sz w:val="18"/>
                <w:szCs w:val="18"/>
              </w:rPr>
            </w:pPr>
            <w:r w:rsidRPr="007114AF">
              <w:rPr>
                <w:rFonts w:ascii="Garamond" w:eastAsia="Times New Roman" w:hAnsi="Garamond" w:cs="Times New Roman"/>
                <w:sz w:val="18"/>
                <w:szCs w:val="18"/>
              </w:rPr>
              <w:t>E67</w:t>
            </w:r>
          </w:p>
        </w:tc>
        <w:tc>
          <w:tcPr>
            <w:tcW w:w="2022" w:type="dxa"/>
            <w:vAlign w:val="center"/>
            <w:hideMark/>
          </w:tcPr>
          <w:p w14:paraId="6EDD0532" w14:textId="4B76C44D" w:rsidR="000235FE" w:rsidRPr="007114AF" w:rsidRDefault="000235FE" w:rsidP="00DA60B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Garancitë e origjinës (</w:t>
            </w:r>
            <w:r w:rsidR="00DA60B5" w:rsidRPr="007114AF">
              <w:rPr>
                <w:rFonts w:ascii="Garamond" w:eastAsia="Times New Roman" w:hAnsi="Garamond" w:cs="Times New Roman"/>
                <w:sz w:val="18"/>
                <w:szCs w:val="18"/>
              </w:rPr>
              <w:t xml:space="preserve">neni </w:t>
            </w:r>
            <w:r w:rsidRPr="007114AF">
              <w:rPr>
                <w:rFonts w:ascii="Garamond" w:eastAsia="Times New Roman" w:hAnsi="Garamond" w:cs="Times New Roman"/>
                <w:sz w:val="18"/>
                <w:szCs w:val="18"/>
              </w:rPr>
              <w:t>26 -28 )</w:t>
            </w:r>
          </w:p>
        </w:tc>
        <w:tc>
          <w:tcPr>
            <w:tcW w:w="1134" w:type="dxa"/>
            <w:vAlign w:val="center"/>
            <w:hideMark/>
          </w:tcPr>
          <w:p w14:paraId="6EDD0533"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Pas hyrjes në fuqi</w:t>
            </w:r>
          </w:p>
        </w:tc>
        <w:tc>
          <w:tcPr>
            <w:tcW w:w="992" w:type="dxa"/>
            <w:vAlign w:val="center"/>
            <w:hideMark/>
          </w:tcPr>
          <w:p w14:paraId="6EDD0534"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Draftligji mbi BER</w:t>
            </w:r>
          </w:p>
        </w:tc>
        <w:tc>
          <w:tcPr>
            <w:tcW w:w="1014" w:type="dxa"/>
            <w:vAlign w:val="center"/>
          </w:tcPr>
          <w:p w14:paraId="6EDD0535"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Mundësuese</w:t>
            </w:r>
          </w:p>
        </w:tc>
        <w:tc>
          <w:tcPr>
            <w:tcW w:w="1538" w:type="dxa"/>
            <w:noWrap/>
            <w:vAlign w:val="center"/>
            <w:hideMark/>
          </w:tcPr>
          <w:p w14:paraId="6EDD0536"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400,000.00</w:t>
            </w:r>
          </w:p>
        </w:tc>
        <w:tc>
          <w:tcPr>
            <w:tcW w:w="1276" w:type="dxa"/>
            <w:vAlign w:val="center"/>
            <w:hideMark/>
          </w:tcPr>
          <w:p w14:paraId="6EDD0537"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tc>
        <w:tc>
          <w:tcPr>
            <w:tcW w:w="1134" w:type="dxa"/>
            <w:vAlign w:val="center"/>
            <w:hideMark/>
          </w:tcPr>
          <w:p w14:paraId="6EDD0538"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1276" w:type="dxa"/>
            <w:noWrap/>
            <w:vAlign w:val="center"/>
            <w:hideMark/>
          </w:tcPr>
          <w:p w14:paraId="6EDD0539"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400,000.00</w:t>
            </w:r>
          </w:p>
        </w:tc>
        <w:tc>
          <w:tcPr>
            <w:tcW w:w="1134" w:type="dxa"/>
            <w:vAlign w:val="center"/>
            <w:hideMark/>
          </w:tcPr>
          <w:p w14:paraId="6EDD053A"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2360" w:type="dxa"/>
            <w:vAlign w:val="center"/>
            <w:hideMark/>
          </w:tcPr>
          <w:p w14:paraId="6EDD053B"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Garancitë e origjinës për të tërë BER; masa 4 e Planit Kombëtar për Burimet e Energjisë së Rinovueshme</w:t>
            </w:r>
          </w:p>
        </w:tc>
      </w:tr>
      <w:tr w:rsidR="000235FE" w:rsidRPr="007114AF" w14:paraId="6EDD0548" w14:textId="77777777" w:rsidTr="000235FE">
        <w:trPr>
          <w:cantSplit/>
          <w:trHeight w:val="20"/>
          <w:jc w:val="center"/>
        </w:trPr>
        <w:tc>
          <w:tcPr>
            <w:cnfStyle w:val="001000000000" w:firstRow="0" w:lastRow="0" w:firstColumn="1" w:lastColumn="0" w:oddVBand="0" w:evenVBand="0" w:oddHBand="0" w:evenHBand="0" w:firstRowFirstColumn="0" w:firstRowLastColumn="0" w:lastRowFirstColumn="0" w:lastRowLastColumn="0"/>
            <w:tcW w:w="496" w:type="dxa"/>
            <w:noWrap/>
            <w:vAlign w:val="center"/>
            <w:hideMark/>
          </w:tcPr>
          <w:p w14:paraId="6EDD053D" w14:textId="77777777" w:rsidR="000235FE" w:rsidRPr="007114AF" w:rsidRDefault="000235FE" w:rsidP="00C136A5">
            <w:pPr>
              <w:spacing w:after="0"/>
              <w:rPr>
                <w:rFonts w:ascii="Garamond" w:eastAsia="Times New Roman" w:hAnsi="Garamond" w:cs="Times New Roman"/>
                <w:b w:val="0"/>
                <w:bCs w:val="0"/>
                <w:sz w:val="18"/>
                <w:szCs w:val="18"/>
              </w:rPr>
            </w:pPr>
            <w:r w:rsidRPr="007114AF">
              <w:rPr>
                <w:rFonts w:ascii="Garamond" w:eastAsia="Times New Roman" w:hAnsi="Garamond" w:cs="Times New Roman"/>
                <w:sz w:val="18"/>
                <w:szCs w:val="18"/>
              </w:rPr>
              <w:t>E68</w:t>
            </w:r>
          </w:p>
        </w:tc>
        <w:tc>
          <w:tcPr>
            <w:tcW w:w="2022" w:type="dxa"/>
            <w:vAlign w:val="center"/>
            <w:hideMark/>
          </w:tcPr>
          <w:p w14:paraId="6EDD053E" w14:textId="2A2ED8B1" w:rsidR="000235FE" w:rsidRPr="007114AF" w:rsidRDefault="000235FE" w:rsidP="00DA60B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Shkeljet administrative dhe gjobat (</w:t>
            </w:r>
            <w:r w:rsidR="00DA60B5" w:rsidRPr="007114AF">
              <w:rPr>
                <w:rFonts w:ascii="Garamond" w:eastAsia="Times New Roman" w:hAnsi="Garamond" w:cs="Times New Roman"/>
                <w:sz w:val="18"/>
                <w:szCs w:val="18"/>
              </w:rPr>
              <w:t xml:space="preserve">neni </w:t>
            </w:r>
            <w:r w:rsidRPr="007114AF">
              <w:rPr>
                <w:rFonts w:ascii="Garamond" w:eastAsia="Times New Roman" w:hAnsi="Garamond" w:cs="Times New Roman"/>
                <w:sz w:val="18"/>
                <w:szCs w:val="18"/>
              </w:rPr>
              <w:t xml:space="preserve">26) </w:t>
            </w:r>
          </w:p>
        </w:tc>
        <w:tc>
          <w:tcPr>
            <w:tcW w:w="1134" w:type="dxa"/>
            <w:vAlign w:val="center"/>
            <w:hideMark/>
          </w:tcPr>
          <w:p w14:paraId="6EDD053F"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Nga 2017 në vazhdim</w:t>
            </w:r>
          </w:p>
        </w:tc>
        <w:tc>
          <w:tcPr>
            <w:tcW w:w="992" w:type="dxa"/>
            <w:noWrap/>
            <w:vAlign w:val="center"/>
            <w:hideMark/>
          </w:tcPr>
          <w:p w14:paraId="6EDD0540" w14:textId="0C5F808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xml:space="preserve">Ligji 124/2015 </w:t>
            </w:r>
            <w:r w:rsidR="00FD5AD9" w:rsidRPr="007114AF">
              <w:rPr>
                <w:rFonts w:ascii="Garamond" w:eastAsia="Times New Roman" w:hAnsi="Garamond" w:cs="Times New Roman"/>
                <w:sz w:val="18"/>
                <w:szCs w:val="18"/>
              </w:rPr>
              <w:t>mbi eficiencën e energjisë</w:t>
            </w:r>
          </w:p>
        </w:tc>
        <w:tc>
          <w:tcPr>
            <w:tcW w:w="1014" w:type="dxa"/>
            <w:vAlign w:val="center"/>
          </w:tcPr>
          <w:p w14:paraId="6EDD0541"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Mundësuese</w:t>
            </w:r>
          </w:p>
        </w:tc>
        <w:tc>
          <w:tcPr>
            <w:tcW w:w="1538" w:type="dxa"/>
            <w:noWrap/>
            <w:vAlign w:val="center"/>
            <w:hideMark/>
          </w:tcPr>
          <w:p w14:paraId="6EDD0542"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0.00</w:t>
            </w:r>
          </w:p>
        </w:tc>
        <w:tc>
          <w:tcPr>
            <w:tcW w:w="1276" w:type="dxa"/>
            <w:vAlign w:val="center"/>
            <w:hideMark/>
          </w:tcPr>
          <w:p w14:paraId="6EDD0543"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0.00</w:t>
            </w:r>
          </w:p>
        </w:tc>
        <w:tc>
          <w:tcPr>
            <w:tcW w:w="1134" w:type="dxa"/>
            <w:vAlign w:val="center"/>
            <w:hideMark/>
          </w:tcPr>
          <w:p w14:paraId="6EDD0544"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1276" w:type="dxa"/>
            <w:vAlign w:val="center"/>
            <w:hideMark/>
          </w:tcPr>
          <w:p w14:paraId="6EDD0545"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1134" w:type="dxa"/>
            <w:vAlign w:val="center"/>
            <w:hideMark/>
          </w:tcPr>
          <w:p w14:paraId="6EDD0546"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2360" w:type="dxa"/>
            <w:vAlign w:val="center"/>
            <w:hideMark/>
          </w:tcPr>
          <w:p w14:paraId="6EDD0547"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Zbatimi i kësaj mase nuk ka impakt mbi buxhet</w:t>
            </w:r>
          </w:p>
        </w:tc>
      </w:tr>
      <w:tr w:rsidR="000235FE" w:rsidRPr="007114AF" w14:paraId="6EDD0554" w14:textId="77777777" w:rsidTr="000235FE">
        <w:trPr>
          <w:cantSplit/>
          <w:trHeight w:val="20"/>
          <w:jc w:val="center"/>
        </w:trPr>
        <w:tc>
          <w:tcPr>
            <w:cnfStyle w:val="001000000000" w:firstRow="0" w:lastRow="0" w:firstColumn="1" w:lastColumn="0" w:oddVBand="0" w:evenVBand="0" w:oddHBand="0" w:evenHBand="0" w:firstRowFirstColumn="0" w:firstRowLastColumn="0" w:lastRowFirstColumn="0" w:lastRowLastColumn="0"/>
            <w:tcW w:w="496" w:type="dxa"/>
            <w:noWrap/>
            <w:vAlign w:val="center"/>
            <w:hideMark/>
          </w:tcPr>
          <w:p w14:paraId="6EDD0549" w14:textId="77777777" w:rsidR="000235FE" w:rsidRPr="007114AF" w:rsidRDefault="000235FE" w:rsidP="00C136A5">
            <w:pPr>
              <w:spacing w:after="0"/>
              <w:rPr>
                <w:rFonts w:ascii="Garamond" w:eastAsia="Times New Roman" w:hAnsi="Garamond" w:cs="Times New Roman"/>
                <w:b w:val="0"/>
                <w:bCs w:val="0"/>
                <w:sz w:val="18"/>
                <w:szCs w:val="18"/>
              </w:rPr>
            </w:pPr>
            <w:r w:rsidRPr="007114AF">
              <w:rPr>
                <w:rFonts w:ascii="Garamond" w:eastAsia="Times New Roman" w:hAnsi="Garamond" w:cs="Times New Roman"/>
                <w:sz w:val="18"/>
                <w:szCs w:val="18"/>
              </w:rPr>
              <w:t>E69</w:t>
            </w:r>
          </w:p>
        </w:tc>
        <w:tc>
          <w:tcPr>
            <w:tcW w:w="2022" w:type="dxa"/>
            <w:vAlign w:val="center"/>
            <w:hideMark/>
          </w:tcPr>
          <w:p w14:paraId="6EDD054A"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Fuqizimi i sistemit të detyrimit</w:t>
            </w:r>
          </w:p>
        </w:tc>
        <w:tc>
          <w:tcPr>
            <w:tcW w:w="1134" w:type="dxa"/>
            <w:vAlign w:val="center"/>
            <w:hideMark/>
          </w:tcPr>
          <w:p w14:paraId="6EDD054B"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Nga 2017 në vazhdim</w:t>
            </w:r>
          </w:p>
        </w:tc>
        <w:tc>
          <w:tcPr>
            <w:tcW w:w="992" w:type="dxa"/>
            <w:vAlign w:val="center"/>
            <w:hideMark/>
          </w:tcPr>
          <w:p w14:paraId="6EDD054C"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PKZNK</w:t>
            </w:r>
          </w:p>
        </w:tc>
        <w:tc>
          <w:tcPr>
            <w:tcW w:w="1014" w:type="dxa"/>
            <w:vAlign w:val="center"/>
          </w:tcPr>
          <w:p w14:paraId="6EDD054D"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Mundësuese</w:t>
            </w:r>
          </w:p>
        </w:tc>
        <w:tc>
          <w:tcPr>
            <w:tcW w:w="1538" w:type="dxa"/>
            <w:noWrap/>
            <w:vAlign w:val="center"/>
            <w:hideMark/>
          </w:tcPr>
          <w:p w14:paraId="6EDD054E"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7,000.00</w:t>
            </w:r>
          </w:p>
        </w:tc>
        <w:tc>
          <w:tcPr>
            <w:tcW w:w="1276" w:type="dxa"/>
            <w:vAlign w:val="center"/>
            <w:hideMark/>
          </w:tcPr>
          <w:p w14:paraId="6EDD054F"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tc>
        <w:tc>
          <w:tcPr>
            <w:tcW w:w="1134" w:type="dxa"/>
            <w:vAlign w:val="center"/>
            <w:hideMark/>
          </w:tcPr>
          <w:p w14:paraId="6EDD0550"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1276" w:type="dxa"/>
            <w:vAlign w:val="center"/>
            <w:hideMark/>
          </w:tcPr>
          <w:p w14:paraId="6EDD0551"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1134" w:type="dxa"/>
            <w:vAlign w:val="center"/>
            <w:hideMark/>
          </w:tcPr>
          <w:p w14:paraId="6EDD0552"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7,000.00</w:t>
            </w:r>
          </w:p>
        </w:tc>
        <w:tc>
          <w:tcPr>
            <w:tcW w:w="2360" w:type="dxa"/>
            <w:vAlign w:val="center"/>
            <w:hideMark/>
          </w:tcPr>
          <w:p w14:paraId="6EDD0553"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Rregullimin e kuadrit ekzistues ligjor dhe përmirësimine draftakteve; sasia treguese e bazuar në koston për njësi të buxhetit afatmesëm</w:t>
            </w:r>
          </w:p>
        </w:tc>
      </w:tr>
      <w:tr w:rsidR="000235FE" w:rsidRPr="007114AF" w14:paraId="6EDD0560" w14:textId="77777777" w:rsidTr="000235FE">
        <w:trPr>
          <w:cantSplit/>
          <w:trHeight w:val="20"/>
          <w:jc w:val="center"/>
        </w:trPr>
        <w:tc>
          <w:tcPr>
            <w:cnfStyle w:val="001000000000" w:firstRow="0" w:lastRow="0" w:firstColumn="1" w:lastColumn="0" w:oddVBand="0" w:evenVBand="0" w:oddHBand="0" w:evenHBand="0" w:firstRowFirstColumn="0" w:firstRowLastColumn="0" w:lastRowFirstColumn="0" w:lastRowLastColumn="0"/>
            <w:tcW w:w="496" w:type="dxa"/>
            <w:noWrap/>
            <w:vAlign w:val="center"/>
            <w:hideMark/>
          </w:tcPr>
          <w:p w14:paraId="6EDD0555" w14:textId="77777777" w:rsidR="000235FE" w:rsidRPr="007114AF" w:rsidRDefault="000235FE" w:rsidP="00C136A5">
            <w:pPr>
              <w:spacing w:after="0"/>
              <w:rPr>
                <w:rFonts w:ascii="Garamond" w:eastAsia="Times New Roman" w:hAnsi="Garamond" w:cs="Times New Roman"/>
                <w:b w:val="0"/>
                <w:bCs w:val="0"/>
                <w:sz w:val="18"/>
                <w:szCs w:val="18"/>
              </w:rPr>
            </w:pPr>
            <w:r w:rsidRPr="007114AF">
              <w:rPr>
                <w:rFonts w:ascii="Garamond" w:eastAsia="Times New Roman" w:hAnsi="Garamond" w:cs="Times New Roman"/>
                <w:sz w:val="18"/>
                <w:szCs w:val="18"/>
              </w:rPr>
              <w:t>E70</w:t>
            </w:r>
          </w:p>
        </w:tc>
        <w:tc>
          <w:tcPr>
            <w:tcW w:w="2022" w:type="dxa"/>
            <w:vAlign w:val="center"/>
            <w:hideMark/>
          </w:tcPr>
          <w:p w14:paraId="6EDD0556" w14:textId="7AA8E89E" w:rsidR="000235FE" w:rsidRPr="007114AF" w:rsidRDefault="000235FE" w:rsidP="00DA60B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xml:space="preserve">Objektivat </w:t>
            </w:r>
            <w:r w:rsidR="00DA60B5">
              <w:rPr>
                <w:rFonts w:ascii="Garamond" w:eastAsia="Times New Roman" w:hAnsi="Garamond" w:cs="Times New Roman"/>
                <w:sz w:val="18"/>
                <w:szCs w:val="18"/>
              </w:rPr>
              <w:t>k</w:t>
            </w:r>
            <w:r w:rsidRPr="007114AF">
              <w:rPr>
                <w:rFonts w:ascii="Garamond" w:eastAsia="Times New Roman" w:hAnsi="Garamond" w:cs="Times New Roman"/>
                <w:sz w:val="18"/>
                <w:szCs w:val="18"/>
              </w:rPr>
              <w:t>ombëtarë për përdorimin e burimeve të energjisë së rinovueshme (</w:t>
            </w:r>
            <w:r w:rsidR="00DA60B5" w:rsidRPr="007114AF">
              <w:rPr>
                <w:rFonts w:ascii="Garamond" w:eastAsia="Times New Roman" w:hAnsi="Garamond" w:cs="Times New Roman"/>
                <w:sz w:val="18"/>
                <w:szCs w:val="18"/>
              </w:rPr>
              <w:t xml:space="preserve">neni </w:t>
            </w:r>
            <w:r w:rsidRPr="007114AF">
              <w:rPr>
                <w:rFonts w:ascii="Garamond" w:eastAsia="Times New Roman" w:hAnsi="Garamond" w:cs="Times New Roman"/>
                <w:sz w:val="18"/>
                <w:szCs w:val="18"/>
              </w:rPr>
              <w:t>4)</w:t>
            </w:r>
          </w:p>
        </w:tc>
        <w:tc>
          <w:tcPr>
            <w:tcW w:w="1134" w:type="dxa"/>
            <w:vAlign w:val="center"/>
            <w:hideMark/>
          </w:tcPr>
          <w:p w14:paraId="6EDD0557"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Pas hyrjes në fuqi</w:t>
            </w:r>
          </w:p>
        </w:tc>
        <w:tc>
          <w:tcPr>
            <w:tcW w:w="992" w:type="dxa"/>
            <w:vAlign w:val="center"/>
            <w:hideMark/>
          </w:tcPr>
          <w:p w14:paraId="6EDD0558"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Draftligji mbi BER; PKT</w:t>
            </w:r>
          </w:p>
        </w:tc>
        <w:tc>
          <w:tcPr>
            <w:tcW w:w="1014" w:type="dxa"/>
            <w:vAlign w:val="center"/>
          </w:tcPr>
          <w:p w14:paraId="6EDD0559"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Indirekte</w:t>
            </w:r>
          </w:p>
        </w:tc>
        <w:tc>
          <w:tcPr>
            <w:tcW w:w="1538" w:type="dxa"/>
            <w:noWrap/>
            <w:vAlign w:val="center"/>
            <w:hideMark/>
          </w:tcPr>
          <w:p w14:paraId="6EDD055A"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0.00</w:t>
            </w:r>
          </w:p>
        </w:tc>
        <w:tc>
          <w:tcPr>
            <w:tcW w:w="1276" w:type="dxa"/>
            <w:noWrap/>
            <w:vAlign w:val="center"/>
            <w:hideMark/>
          </w:tcPr>
          <w:p w14:paraId="6EDD055B"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0.00</w:t>
            </w:r>
          </w:p>
        </w:tc>
        <w:tc>
          <w:tcPr>
            <w:tcW w:w="1134" w:type="dxa"/>
            <w:vAlign w:val="center"/>
            <w:hideMark/>
          </w:tcPr>
          <w:p w14:paraId="6EDD055C"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1276" w:type="dxa"/>
            <w:vAlign w:val="center"/>
            <w:hideMark/>
          </w:tcPr>
          <w:p w14:paraId="6EDD055D"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1134" w:type="dxa"/>
            <w:vAlign w:val="center"/>
            <w:hideMark/>
          </w:tcPr>
          <w:p w14:paraId="6EDD055E"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2360" w:type="dxa"/>
            <w:vAlign w:val="center"/>
            <w:hideMark/>
          </w:tcPr>
          <w:p w14:paraId="6EDD055F"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Kostoja për hartimin dhe miratimin e akteve nënligjore; Kostoja ka marrë në konsideratë rezultatet të njëjta; asnjë impakt mbi buxhet</w:t>
            </w:r>
          </w:p>
        </w:tc>
      </w:tr>
      <w:tr w:rsidR="000235FE" w:rsidRPr="007114AF" w14:paraId="6EDD056C" w14:textId="77777777" w:rsidTr="000235FE">
        <w:trPr>
          <w:cantSplit/>
          <w:trHeight w:val="20"/>
          <w:jc w:val="center"/>
        </w:trPr>
        <w:tc>
          <w:tcPr>
            <w:cnfStyle w:val="001000000000" w:firstRow="0" w:lastRow="0" w:firstColumn="1" w:lastColumn="0" w:oddVBand="0" w:evenVBand="0" w:oddHBand="0" w:evenHBand="0" w:firstRowFirstColumn="0" w:firstRowLastColumn="0" w:lastRowFirstColumn="0" w:lastRowLastColumn="0"/>
            <w:tcW w:w="496" w:type="dxa"/>
            <w:noWrap/>
            <w:vAlign w:val="center"/>
            <w:hideMark/>
          </w:tcPr>
          <w:p w14:paraId="6EDD0561" w14:textId="77777777" w:rsidR="000235FE" w:rsidRPr="007114AF" w:rsidRDefault="000235FE" w:rsidP="00C136A5">
            <w:pPr>
              <w:spacing w:after="0"/>
              <w:rPr>
                <w:rFonts w:ascii="Garamond" w:eastAsia="Times New Roman" w:hAnsi="Garamond" w:cs="Times New Roman"/>
                <w:b w:val="0"/>
                <w:bCs w:val="0"/>
                <w:sz w:val="18"/>
                <w:szCs w:val="18"/>
              </w:rPr>
            </w:pPr>
            <w:r w:rsidRPr="007114AF">
              <w:rPr>
                <w:rFonts w:ascii="Garamond" w:eastAsia="Times New Roman" w:hAnsi="Garamond" w:cs="Times New Roman"/>
                <w:sz w:val="18"/>
                <w:szCs w:val="18"/>
              </w:rPr>
              <w:lastRenderedPageBreak/>
              <w:t>E71</w:t>
            </w:r>
          </w:p>
        </w:tc>
        <w:tc>
          <w:tcPr>
            <w:tcW w:w="2022" w:type="dxa"/>
            <w:vAlign w:val="center"/>
            <w:hideMark/>
          </w:tcPr>
          <w:p w14:paraId="6EDD0562" w14:textId="7D118D2B" w:rsidR="000235FE" w:rsidRPr="007114AF" w:rsidRDefault="000235FE" w:rsidP="00DA60B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Plani Kombëtar i Veprimit për Energjinë e Rinovueshme (</w:t>
            </w:r>
            <w:r w:rsidR="00DA60B5" w:rsidRPr="007114AF">
              <w:rPr>
                <w:rFonts w:ascii="Garamond" w:eastAsia="Times New Roman" w:hAnsi="Garamond" w:cs="Times New Roman"/>
                <w:sz w:val="18"/>
                <w:szCs w:val="18"/>
              </w:rPr>
              <w:t>neni</w:t>
            </w:r>
            <w:r w:rsidR="00DA60B5">
              <w:rPr>
                <w:rFonts w:ascii="Garamond" w:eastAsia="Times New Roman" w:hAnsi="Garamond" w:cs="Times New Roman"/>
                <w:sz w:val="18"/>
                <w:szCs w:val="18"/>
              </w:rPr>
              <w:t xml:space="preserve"> </w:t>
            </w:r>
            <w:r w:rsidRPr="007114AF">
              <w:rPr>
                <w:rFonts w:ascii="Garamond" w:eastAsia="Times New Roman" w:hAnsi="Garamond" w:cs="Times New Roman"/>
                <w:sz w:val="18"/>
                <w:szCs w:val="18"/>
              </w:rPr>
              <w:t>5)</w:t>
            </w:r>
          </w:p>
        </w:tc>
        <w:tc>
          <w:tcPr>
            <w:tcW w:w="1134" w:type="dxa"/>
            <w:vAlign w:val="center"/>
            <w:hideMark/>
          </w:tcPr>
          <w:p w14:paraId="6EDD0563"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Pas hyrjes në fuqi</w:t>
            </w:r>
          </w:p>
        </w:tc>
        <w:tc>
          <w:tcPr>
            <w:tcW w:w="992" w:type="dxa"/>
            <w:vAlign w:val="center"/>
            <w:hideMark/>
          </w:tcPr>
          <w:p w14:paraId="6EDD0564"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Draftligji mbi BER</w:t>
            </w:r>
          </w:p>
        </w:tc>
        <w:tc>
          <w:tcPr>
            <w:tcW w:w="1014" w:type="dxa"/>
            <w:vAlign w:val="center"/>
          </w:tcPr>
          <w:p w14:paraId="6EDD0565"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Mundësuese</w:t>
            </w:r>
          </w:p>
        </w:tc>
        <w:tc>
          <w:tcPr>
            <w:tcW w:w="1538" w:type="dxa"/>
            <w:noWrap/>
            <w:vAlign w:val="center"/>
            <w:hideMark/>
          </w:tcPr>
          <w:p w14:paraId="6EDD0566"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2,000.00</w:t>
            </w:r>
          </w:p>
        </w:tc>
        <w:tc>
          <w:tcPr>
            <w:tcW w:w="1276" w:type="dxa"/>
            <w:vAlign w:val="center"/>
            <w:hideMark/>
          </w:tcPr>
          <w:p w14:paraId="6EDD0567"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2,000.00</w:t>
            </w:r>
          </w:p>
        </w:tc>
        <w:tc>
          <w:tcPr>
            <w:tcW w:w="1134" w:type="dxa"/>
            <w:vAlign w:val="center"/>
            <w:hideMark/>
          </w:tcPr>
          <w:p w14:paraId="6EDD0568"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1276" w:type="dxa"/>
            <w:vAlign w:val="center"/>
            <w:hideMark/>
          </w:tcPr>
          <w:p w14:paraId="6EDD0569"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1134" w:type="dxa"/>
            <w:vAlign w:val="center"/>
            <w:hideMark/>
          </w:tcPr>
          <w:p w14:paraId="6EDD056A"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2360" w:type="dxa"/>
            <w:vAlign w:val="center"/>
            <w:hideMark/>
          </w:tcPr>
          <w:p w14:paraId="6EDD056B"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Dokumenti është miratuar në 2016 nga Parlamenti Shqiptar në janar 2016; Kostoja e një studimi të kryer në 2016</w:t>
            </w:r>
          </w:p>
        </w:tc>
      </w:tr>
      <w:tr w:rsidR="000235FE" w:rsidRPr="007114AF" w14:paraId="6EDD0578" w14:textId="77777777" w:rsidTr="000235FE">
        <w:trPr>
          <w:cantSplit/>
          <w:trHeight w:val="20"/>
          <w:jc w:val="center"/>
        </w:trPr>
        <w:tc>
          <w:tcPr>
            <w:cnfStyle w:val="001000000000" w:firstRow="0" w:lastRow="0" w:firstColumn="1" w:lastColumn="0" w:oddVBand="0" w:evenVBand="0" w:oddHBand="0" w:evenHBand="0" w:firstRowFirstColumn="0" w:firstRowLastColumn="0" w:lastRowFirstColumn="0" w:lastRowLastColumn="0"/>
            <w:tcW w:w="496" w:type="dxa"/>
            <w:noWrap/>
            <w:vAlign w:val="center"/>
            <w:hideMark/>
          </w:tcPr>
          <w:p w14:paraId="6EDD056D" w14:textId="77777777" w:rsidR="000235FE" w:rsidRPr="007114AF" w:rsidRDefault="000235FE" w:rsidP="00C136A5">
            <w:pPr>
              <w:spacing w:after="0"/>
              <w:rPr>
                <w:rFonts w:ascii="Garamond" w:eastAsia="Times New Roman" w:hAnsi="Garamond" w:cs="Times New Roman"/>
                <w:b w:val="0"/>
                <w:bCs w:val="0"/>
                <w:sz w:val="18"/>
                <w:szCs w:val="18"/>
              </w:rPr>
            </w:pPr>
            <w:r w:rsidRPr="007114AF">
              <w:rPr>
                <w:rFonts w:ascii="Garamond" w:eastAsia="Times New Roman" w:hAnsi="Garamond" w:cs="Times New Roman"/>
                <w:sz w:val="18"/>
                <w:szCs w:val="18"/>
              </w:rPr>
              <w:t>E72</w:t>
            </w:r>
          </w:p>
        </w:tc>
        <w:tc>
          <w:tcPr>
            <w:tcW w:w="2022" w:type="dxa"/>
            <w:vAlign w:val="center"/>
            <w:hideMark/>
          </w:tcPr>
          <w:p w14:paraId="6EDD056E" w14:textId="0005A969" w:rsidR="000235FE" w:rsidRPr="007114AF" w:rsidRDefault="000235FE" w:rsidP="00DA60B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xml:space="preserve">Projektet e </w:t>
            </w:r>
            <w:r w:rsidR="00DA60B5">
              <w:rPr>
                <w:rFonts w:ascii="Garamond" w:eastAsia="Times New Roman" w:hAnsi="Garamond" w:cs="Times New Roman"/>
                <w:sz w:val="18"/>
                <w:szCs w:val="18"/>
              </w:rPr>
              <w:t>p</w:t>
            </w:r>
            <w:r w:rsidRPr="007114AF">
              <w:rPr>
                <w:rFonts w:ascii="Garamond" w:eastAsia="Times New Roman" w:hAnsi="Garamond" w:cs="Times New Roman"/>
                <w:sz w:val="18"/>
                <w:szCs w:val="18"/>
              </w:rPr>
              <w:t>ërbashkëta (</w:t>
            </w:r>
            <w:r w:rsidR="00DA60B5" w:rsidRPr="007114AF">
              <w:rPr>
                <w:rFonts w:ascii="Garamond" w:eastAsia="Times New Roman" w:hAnsi="Garamond" w:cs="Times New Roman"/>
                <w:sz w:val="18"/>
                <w:szCs w:val="18"/>
              </w:rPr>
              <w:t xml:space="preserve">neni </w:t>
            </w:r>
            <w:r w:rsidRPr="007114AF">
              <w:rPr>
                <w:rFonts w:ascii="Garamond" w:eastAsia="Times New Roman" w:hAnsi="Garamond" w:cs="Times New Roman"/>
                <w:sz w:val="18"/>
                <w:szCs w:val="18"/>
              </w:rPr>
              <w:t>8)</w:t>
            </w:r>
          </w:p>
        </w:tc>
        <w:tc>
          <w:tcPr>
            <w:tcW w:w="1134" w:type="dxa"/>
            <w:vAlign w:val="center"/>
            <w:hideMark/>
          </w:tcPr>
          <w:p w14:paraId="6EDD056F"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Pas hyrjes në fuqi</w:t>
            </w:r>
          </w:p>
        </w:tc>
        <w:tc>
          <w:tcPr>
            <w:tcW w:w="992" w:type="dxa"/>
            <w:vAlign w:val="center"/>
            <w:hideMark/>
          </w:tcPr>
          <w:p w14:paraId="6EDD0570"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Draftligji mbi BER</w:t>
            </w:r>
          </w:p>
        </w:tc>
        <w:tc>
          <w:tcPr>
            <w:tcW w:w="1014" w:type="dxa"/>
            <w:vAlign w:val="center"/>
          </w:tcPr>
          <w:p w14:paraId="6EDD0571"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Mundësuese</w:t>
            </w:r>
          </w:p>
        </w:tc>
        <w:tc>
          <w:tcPr>
            <w:tcW w:w="1538" w:type="dxa"/>
            <w:noWrap/>
            <w:vAlign w:val="center"/>
            <w:hideMark/>
          </w:tcPr>
          <w:p w14:paraId="6EDD0572"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0.00</w:t>
            </w:r>
          </w:p>
        </w:tc>
        <w:tc>
          <w:tcPr>
            <w:tcW w:w="1276" w:type="dxa"/>
            <w:vAlign w:val="center"/>
            <w:hideMark/>
          </w:tcPr>
          <w:p w14:paraId="6EDD0573"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0.00</w:t>
            </w:r>
          </w:p>
        </w:tc>
        <w:tc>
          <w:tcPr>
            <w:tcW w:w="1134" w:type="dxa"/>
            <w:vAlign w:val="center"/>
            <w:hideMark/>
          </w:tcPr>
          <w:p w14:paraId="6EDD0574"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1276" w:type="dxa"/>
            <w:vAlign w:val="center"/>
            <w:hideMark/>
          </w:tcPr>
          <w:p w14:paraId="6EDD0575"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1134" w:type="dxa"/>
            <w:vAlign w:val="center"/>
            <w:hideMark/>
          </w:tcPr>
          <w:p w14:paraId="6EDD0576"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2360" w:type="dxa"/>
            <w:vAlign w:val="center"/>
            <w:hideMark/>
          </w:tcPr>
          <w:p w14:paraId="6EDD0577"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Asnjë projekt i identifikuar</w:t>
            </w:r>
          </w:p>
        </w:tc>
      </w:tr>
      <w:tr w:rsidR="000235FE" w:rsidRPr="007114AF" w14:paraId="6EDD0584" w14:textId="77777777" w:rsidTr="000235FE">
        <w:trPr>
          <w:cantSplit/>
          <w:trHeight w:val="20"/>
          <w:jc w:val="center"/>
        </w:trPr>
        <w:tc>
          <w:tcPr>
            <w:cnfStyle w:val="001000000000" w:firstRow="0" w:lastRow="0" w:firstColumn="1" w:lastColumn="0" w:oddVBand="0" w:evenVBand="0" w:oddHBand="0" w:evenHBand="0" w:firstRowFirstColumn="0" w:firstRowLastColumn="0" w:lastRowFirstColumn="0" w:lastRowLastColumn="0"/>
            <w:tcW w:w="496" w:type="dxa"/>
            <w:noWrap/>
            <w:vAlign w:val="center"/>
            <w:hideMark/>
          </w:tcPr>
          <w:p w14:paraId="6EDD0579" w14:textId="77777777" w:rsidR="000235FE" w:rsidRPr="007114AF" w:rsidRDefault="000235FE" w:rsidP="00C136A5">
            <w:pPr>
              <w:spacing w:after="0"/>
              <w:rPr>
                <w:rFonts w:ascii="Garamond" w:eastAsia="Times New Roman" w:hAnsi="Garamond" w:cs="Times New Roman"/>
                <w:b w:val="0"/>
                <w:bCs w:val="0"/>
                <w:sz w:val="18"/>
                <w:szCs w:val="18"/>
              </w:rPr>
            </w:pPr>
            <w:r w:rsidRPr="007114AF">
              <w:rPr>
                <w:rFonts w:ascii="Garamond" w:eastAsia="Times New Roman" w:hAnsi="Garamond" w:cs="Times New Roman"/>
                <w:sz w:val="18"/>
                <w:szCs w:val="18"/>
              </w:rPr>
              <w:t>E73</w:t>
            </w:r>
          </w:p>
        </w:tc>
        <w:tc>
          <w:tcPr>
            <w:tcW w:w="2022" w:type="dxa"/>
            <w:vAlign w:val="center"/>
            <w:hideMark/>
          </w:tcPr>
          <w:p w14:paraId="6EDD057A"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Konsiderimi i kapërcimit</w:t>
            </w:r>
          </w:p>
        </w:tc>
        <w:tc>
          <w:tcPr>
            <w:tcW w:w="1134" w:type="dxa"/>
            <w:vAlign w:val="center"/>
            <w:hideMark/>
          </w:tcPr>
          <w:p w14:paraId="6EDD057B"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Nga 2017 në vazhdim</w:t>
            </w:r>
          </w:p>
        </w:tc>
        <w:tc>
          <w:tcPr>
            <w:tcW w:w="992" w:type="dxa"/>
            <w:vAlign w:val="center"/>
            <w:hideMark/>
          </w:tcPr>
          <w:p w14:paraId="6EDD057C"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PKZNK</w:t>
            </w:r>
          </w:p>
        </w:tc>
        <w:tc>
          <w:tcPr>
            <w:tcW w:w="1014" w:type="dxa"/>
            <w:vAlign w:val="center"/>
          </w:tcPr>
          <w:p w14:paraId="6EDD057D"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Indirekte</w:t>
            </w:r>
          </w:p>
        </w:tc>
        <w:tc>
          <w:tcPr>
            <w:tcW w:w="1538" w:type="dxa"/>
            <w:noWrap/>
            <w:vAlign w:val="center"/>
            <w:hideMark/>
          </w:tcPr>
          <w:p w14:paraId="6EDD057E"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20,000.00</w:t>
            </w:r>
          </w:p>
        </w:tc>
        <w:tc>
          <w:tcPr>
            <w:tcW w:w="1276" w:type="dxa"/>
            <w:vAlign w:val="center"/>
            <w:hideMark/>
          </w:tcPr>
          <w:p w14:paraId="6EDD057F"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tc>
        <w:tc>
          <w:tcPr>
            <w:tcW w:w="1134" w:type="dxa"/>
            <w:vAlign w:val="center"/>
            <w:hideMark/>
          </w:tcPr>
          <w:p w14:paraId="6EDD0580"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1276" w:type="dxa"/>
            <w:vAlign w:val="center"/>
            <w:hideMark/>
          </w:tcPr>
          <w:p w14:paraId="6EDD0581"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1134" w:type="dxa"/>
            <w:noWrap/>
            <w:vAlign w:val="center"/>
            <w:hideMark/>
          </w:tcPr>
          <w:p w14:paraId="6EDD0582"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20,000.00</w:t>
            </w:r>
          </w:p>
        </w:tc>
        <w:tc>
          <w:tcPr>
            <w:tcW w:w="2360" w:type="dxa"/>
            <w:vAlign w:val="center"/>
            <w:hideMark/>
          </w:tcPr>
          <w:p w14:paraId="6EDD0583"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Sasi treguese. Skemat e investimit specifik dhe planet e investimit duhet të zhvillohen më tej.</w:t>
            </w:r>
          </w:p>
        </w:tc>
      </w:tr>
      <w:tr w:rsidR="000235FE" w:rsidRPr="007114AF" w14:paraId="6EDD0590" w14:textId="77777777" w:rsidTr="000235FE">
        <w:trPr>
          <w:cantSplit/>
          <w:trHeight w:val="20"/>
          <w:jc w:val="center"/>
        </w:trPr>
        <w:tc>
          <w:tcPr>
            <w:cnfStyle w:val="001000000000" w:firstRow="0" w:lastRow="0" w:firstColumn="1" w:lastColumn="0" w:oddVBand="0" w:evenVBand="0" w:oddHBand="0" w:evenHBand="0" w:firstRowFirstColumn="0" w:firstRowLastColumn="0" w:lastRowFirstColumn="0" w:lastRowLastColumn="0"/>
            <w:tcW w:w="496" w:type="dxa"/>
            <w:noWrap/>
            <w:vAlign w:val="center"/>
            <w:hideMark/>
          </w:tcPr>
          <w:p w14:paraId="6EDD0585" w14:textId="77777777" w:rsidR="000235FE" w:rsidRPr="007114AF" w:rsidRDefault="000235FE" w:rsidP="00C136A5">
            <w:pPr>
              <w:spacing w:after="0"/>
              <w:rPr>
                <w:rFonts w:ascii="Garamond" w:eastAsia="Times New Roman" w:hAnsi="Garamond" w:cs="Times New Roman"/>
                <w:b w:val="0"/>
                <w:bCs w:val="0"/>
                <w:sz w:val="18"/>
                <w:szCs w:val="18"/>
              </w:rPr>
            </w:pPr>
            <w:r w:rsidRPr="007114AF">
              <w:rPr>
                <w:rFonts w:ascii="Garamond" w:eastAsia="Times New Roman" w:hAnsi="Garamond" w:cs="Times New Roman"/>
                <w:sz w:val="18"/>
                <w:szCs w:val="18"/>
              </w:rPr>
              <w:t>E74</w:t>
            </w:r>
          </w:p>
        </w:tc>
        <w:tc>
          <w:tcPr>
            <w:tcW w:w="2022" w:type="dxa"/>
            <w:vAlign w:val="center"/>
            <w:hideMark/>
          </w:tcPr>
          <w:p w14:paraId="6EDD0586" w14:textId="75801110"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xml:space="preserve">Akte nënligjore për </w:t>
            </w:r>
            <w:r w:rsidR="00DA60B5" w:rsidRPr="007114AF">
              <w:rPr>
                <w:rFonts w:ascii="Garamond" w:eastAsia="Times New Roman" w:hAnsi="Garamond" w:cs="Times New Roman"/>
                <w:sz w:val="18"/>
                <w:szCs w:val="18"/>
              </w:rPr>
              <w:t>ligjin e burimeve energjike të rinovueshme</w:t>
            </w:r>
          </w:p>
        </w:tc>
        <w:tc>
          <w:tcPr>
            <w:tcW w:w="1134" w:type="dxa"/>
            <w:vAlign w:val="center"/>
            <w:hideMark/>
          </w:tcPr>
          <w:p w14:paraId="6EDD0587"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Pas hyrjes në fuqi të Ligjit të Burimeve Energjitike të Rinovueshme</w:t>
            </w:r>
          </w:p>
        </w:tc>
        <w:tc>
          <w:tcPr>
            <w:tcW w:w="992" w:type="dxa"/>
            <w:vAlign w:val="center"/>
            <w:hideMark/>
          </w:tcPr>
          <w:p w14:paraId="6EDD0588"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PKZNK</w:t>
            </w:r>
          </w:p>
        </w:tc>
        <w:tc>
          <w:tcPr>
            <w:tcW w:w="1014" w:type="dxa"/>
            <w:vAlign w:val="center"/>
          </w:tcPr>
          <w:p w14:paraId="6EDD0589"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Mundësuese</w:t>
            </w:r>
          </w:p>
        </w:tc>
        <w:tc>
          <w:tcPr>
            <w:tcW w:w="1538" w:type="dxa"/>
            <w:noWrap/>
            <w:vAlign w:val="center"/>
            <w:hideMark/>
          </w:tcPr>
          <w:p w14:paraId="6EDD058A"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5,325,000.00</w:t>
            </w:r>
          </w:p>
        </w:tc>
        <w:tc>
          <w:tcPr>
            <w:tcW w:w="1276" w:type="dxa"/>
            <w:noWrap/>
            <w:vAlign w:val="center"/>
            <w:hideMark/>
          </w:tcPr>
          <w:p w14:paraId="6EDD058B"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125,000.00</w:t>
            </w:r>
          </w:p>
        </w:tc>
        <w:tc>
          <w:tcPr>
            <w:tcW w:w="1134" w:type="dxa"/>
            <w:vAlign w:val="center"/>
            <w:hideMark/>
          </w:tcPr>
          <w:p w14:paraId="6EDD058C"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1276" w:type="dxa"/>
            <w:vAlign w:val="center"/>
            <w:hideMark/>
          </w:tcPr>
          <w:p w14:paraId="6EDD058D"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5,200,000.00</w:t>
            </w:r>
          </w:p>
        </w:tc>
        <w:tc>
          <w:tcPr>
            <w:tcW w:w="1134" w:type="dxa"/>
            <w:vAlign w:val="center"/>
            <w:hideMark/>
          </w:tcPr>
          <w:p w14:paraId="6EDD058E"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2360" w:type="dxa"/>
            <w:vAlign w:val="center"/>
            <w:hideMark/>
          </w:tcPr>
          <w:p w14:paraId="6EDD058F"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Kostoja për hartimin dhe miratimin e akteve nënligjore; kostoja e marrë nga Plani Kombëtar i Veprimit BER; masat 2, 3 dhe 5</w:t>
            </w:r>
          </w:p>
        </w:tc>
      </w:tr>
      <w:tr w:rsidR="000235FE" w:rsidRPr="007114AF" w14:paraId="6EDD059C" w14:textId="77777777" w:rsidTr="000235FE">
        <w:trPr>
          <w:cantSplit/>
          <w:trHeight w:val="20"/>
          <w:jc w:val="center"/>
        </w:trPr>
        <w:tc>
          <w:tcPr>
            <w:cnfStyle w:val="001000000000" w:firstRow="0" w:lastRow="0" w:firstColumn="1" w:lastColumn="0" w:oddVBand="0" w:evenVBand="0" w:oddHBand="0" w:evenHBand="0" w:firstRowFirstColumn="0" w:firstRowLastColumn="0" w:lastRowFirstColumn="0" w:lastRowLastColumn="0"/>
            <w:tcW w:w="496" w:type="dxa"/>
            <w:noWrap/>
            <w:vAlign w:val="center"/>
            <w:hideMark/>
          </w:tcPr>
          <w:p w14:paraId="6EDD0591" w14:textId="77777777" w:rsidR="000235FE" w:rsidRPr="007114AF" w:rsidRDefault="000235FE" w:rsidP="00C136A5">
            <w:pPr>
              <w:spacing w:after="0"/>
              <w:rPr>
                <w:rFonts w:ascii="Garamond" w:eastAsia="Times New Roman" w:hAnsi="Garamond" w:cs="Times New Roman"/>
                <w:b w:val="0"/>
                <w:bCs w:val="0"/>
                <w:sz w:val="18"/>
                <w:szCs w:val="18"/>
              </w:rPr>
            </w:pPr>
            <w:r w:rsidRPr="007114AF">
              <w:rPr>
                <w:rFonts w:ascii="Garamond" w:eastAsia="Times New Roman" w:hAnsi="Garamond" w:cs="Times New Roman"/>
                <w:sz w:val="18"/>
                <w:szCs w:val="18"/>
              </w:rPr>
              <w:t>E75</w:t>
            </w:r>
          </w:p>
        </w:tc>
        <w:tc>
          <w:tcPr>
            <w:tcW w:w="2022" w:type="dxa"/>
            <w:vAlign w:val="center"/>
            <w:hideMark/>
          </w:tcPr>
          <w:p w14:paraId="6EDD0592" w14:textId="0E038B1A" w:rsidR="000235FE" w:rsidRPr="007114AF" w:rsidRDefault="000235FE" w:rsidP="002A539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xml:space="preserve">Marrëveshjet </w:t>
            </w:r>
            <w:r w:rsidR="002A539C">
              <w:rPr>
                <w:rFonts w:ascii="Garamond" w:eastAsia="Times New Roman" w:hAnsi="Garamond" w:cs="Times New Roman"/>
                <w:sz w:val="18"/>
                <w:szCs w:val="18"/>
              </w:rPr>
              <w:t>v</w:t>
            </w:r>
            <w:r w:rsidRPr="007114AF">
              <w:rPr>
                <w:rFonts w:ascii="Garamond" w:eastAsia="Times New Roman" w:hAnsi="Garamond" w:cs="Times New Roman"/>
                <w:sz w:val="18"/>
                <w:szCs w:val="18"/>
              </w:rPr>
              <w:t>ullnetare (</w:t>
            </w:r>
            <w:r w:rsidR="002A539C" w:rsidRPr="007114AF">
              <w:rPr>
                <w:rFonts w:ascii="Garamond" w:eastAsia="Times New Roman" w:hAnsi="Garamond" w:cs="Times New Roman"/>
                <w:sz w:val="18"/>
                <w:szCs w:val="18"/>
              </w:rPr>
              <w:t xml:space="preserve">neni </w:t>
            </w:r>
            <w:r w:rsidRPr="007114AF">
              <w:rPr>
                <w:rFonts w:ascii="Garamond" w:eastAsia="Times New Roman" w:hAnsi="Garamond" w:cs="Times New Roman"/>
                <w:sz w:val="18"/>
                <w:szCs w:val="18"/>
              </w:rPr>
              <w:t>12)</w:t>
            </w:r>
          </w:p>
        </w:tc>
        <w:tc>
          <w:tcPr>
            <w:tcW w:w="1134" w:type="dxa"/>
            <w:vAlign w:val="center"/>
            <w:hideMark/>
          </w:tcPr>
          <w:p w14:paraId="6EDD0593"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Pas hyrjes në fuqi</w:t>
            </w:r>
          </w:p>
        </w:tc>
        <w:tc>
          <w:tcPr>
            <w:tcW w:w="992" w:type="dxa"/>
            <w:vAlign w:val="center"/>
            <w:hideMark/>
          </w:tcPr>
          <w:p w14:paraId="6EDD0594"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Draftligji mbi BER</w:t>
            </w:r>
          </w:p>
        </w:tc>
        <w:tc>
          <w:tcPr>
            <w:tcW w:w="1014" w:type="dxa"/>
            <w:vAlign w:val="center"/>
          </w:tcPr>
          <w:p w14:paraId="6EDD0595"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Indirekte</w:t>
            </w:r>
          </w:p>
        </w:tc>
        <w:tc>
          <w:tcPr>
            <w:tcW w:w="1538" w:type="dxa"/>
            <w:noWrap/>
            <w:vAlign w:val="center"/>
            <w:hideMark/>
          </w:tcPr>
          <w:p w14:paraId="6EDD0596"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0.00</w:t>
            </w:r>
          </w:p>
        </w:tc>
        <w:tc>
          <w:tcPr>
            <w:tcW w:w="1276" w:type="dxa"/>
            <w:vAlign w:val="center"/>
            <w:hideMark/>
          </w:tcPr>
          <w:p w14:paraId="6EDD0597"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0.00</w:t>
            </w:r>
          </w:p>
        </w:tc>
        <w:tc>
          <w:tcPr>
            <w:tcW w:w="1134" w:type="dxa"/>
            <w:vAlign w:val="center"/>
            <w:hideMark/>
          </w:tcPr>
          <w:p w14:paraId="6EDD0598"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1276" w:type="dxa"/>
            <w:vAlign w:val="center"/>
            <w:hideMark/>
          </w:tcPr>
          <w:p w14:paraId="6EDD0599"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1134" w:type="dxa"/>
            <w:vAlign w:val="center"/>
            <w:hideMark/>
          </w:tcPr>
          <w:p w14:paraId="6EDD059A"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2360" w:type="dxa"/>
            <w:vAlign w:val="center"/>
            <w:hideMark/>
          </w:tcPr>
          <w:p w14:paraId="6EDD059B"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Asnjë fond shtesë nuk është i nevojshëm për zbatimin e kësaj mase; programi i transparencës është i detyrueshëm për të gjitha institucionet publike</w:t>
            </w:r>
          </w:p>
        </w:tc>
      </w:tr>
      <w:tr w:rsidR="000235FE" w:rsidRPr="007114AF" w14:paraId="6EDD05A8" w14:textId="77777777" w:rsidTr="000235FE">
        <w:trPr>
          <w:cantSplit/>
          <w:trHeight w:val="20"/>
          <w:jc w:val="center"/>
        </w:trPr>
        <w:tc>
          <w:tcPr>
            <w:cnfStyle w:val="001000000000" w:firstRow="0" w:lastRow="0" w:firstColumn="1" w:lastColumn="0" w:oddVBand="0" w:evenVBand="0" w:oddHBand="0" w:evenHBand="0" w:firstRowFirstColumn="0" w:firstRowLastColumn="0" w:lastRowFirstColumn="0" w:lastRowLastColumn="0"/>
            <w:tcW w:w="496" w:type="dxa"/>
            <w:noWrap/>
            <w:vAlign w:val="center"/>
            <w:hideMark/>
          </w:tcPr>
          <w:p w14:paraId="6EDD059D" w14:textId="77777777" w:rsidR="000235FE" w:rsidRPr="007114AF" w:rsidRDefault="000235FE" w:rsidP="00C136A5">
            <w:pPr>
              <w:spacing w:after="0"/>
              <w:rPr>
                <w:rFonts w:ascii="Garamond" w:eastAsia="Times New Roman" w:hAnsi="Garamond" w:cs="Times New Roman"/>
                <w:b w:val="0"/>
                <w:bCs w:val="0"/>
                <w:sz w:val="18"/>
                <w:szCs w:val="18"/>
              </w:rPr>
            </w:pPr>
            <w:r w:rsidRPr="007114AF">
              <w:rPr>
                <w:rFonts w:ascii="Garamond" w:eastAsia="Times New Roman" w:hAnsi="Garamond" w:cs="Times New Roman"/>
                <w:sz w:val="18"/>
                <w:szCs w:val="18"/>
              </w:rPr>
              <w:t>E76</w:t>
            </w:r>
          </w:p>
        </w:tc>
        <w:tc>
          <w:tcPr>
            <w:tcW w:w="2022" w:type="dxa"/>
            <w:vAlign w:val="center"/>
            <w:hideMark/>
          </w:tcPr>
          <w:p w14:paraId="6EDD059E"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Ulja e konsumit energjetik për vaditje: Përdorimi i skemave efikase vaditëse</w:t>
            </w:r>
          </w:p>
        </w:tc>
        <w:tc>
          <w:tcPr>
            <w:tcW w:w="1134" w:type="dxa"/>
            <w:vAlign w:val="center"/>
            <w:hideMark/>
          </w:tcPr>
          <w:p w14:paraId="6EDD059F"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2016-2018</w:t>
            </w:r>
          </w:p>
        </w:tc>
        <w:tc>
          <w:tcPr>
            <w:tcW w:w="992" w:type="dxa"/>
            <w:vAlign w:val="center"/>
            <w:hideMark/>
          </w:tcPr>
          <w:p w14:paraId="6EDD05A0"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PKVEE</w:t>
            </w:r>
          </w:p>
        </w:tc>
        <w:tc>
          <w:tcPr>
            <w:tcW w:w="1014" w:type="dxa"/>
            <w:vAlign w:val="center"/>
          </w:tcPr>
          <w:p w14:paraId="6EDD05A1"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Direkte</w:t>
            </w:r>
          </w:p>
        </w:tc>
        <w:tc>
          <w:tcPr>
            <w:tcW w:w="1538" w:type="dxa"/>
            <w:noWrap/>
            <w:vAlign w:val="center"/>
            <w:hideMark/>
          </w:tcPr>
          <w:p w14:paraId="6EDD05A2"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0.00</w:t>
            </w:r>
          </w:p>
        </w:tc>
        <w:tc>
          <w:tcPr>
            <w:tcW w:w="1276" w:type="dxa"/>
            <w:noWrap/>
            <w:vAlign w:val="center"/>
            <w:hideMark/>
          </w:tcPr>
          <w:p w14:paraId="6EDD05A3"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0.00</w:t>
            </w:r>
          </w:p>
        </w:tc>
        <w:tc>
          <w:tcPr>
            <w:tcW w:w="1134" w:type="dxa"/>
            <w:noWrap/>
            <w:vAlign w:val="center"/>
            <w:hideMark/>
          </w:tcPr>
          <w:p w14:paraId="6EDD05A4"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1276" w:type="dxa"/>
            <w:noWrap/>
            <w:vAlign w:val="center"/>
            <w:hideMark/>
          </w:tcPr>
          <w:p w14:paraId="6EDD05A5"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1134" w:type="dxa"/>
            <w:noWrap/>
            <w:vAlign w:val="center"/>
            <w:hideMark/>
          </w:tcPr>
          <w:p w14:paraId="6EDD05A6"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2360" w:type="dxa"/>
            <w:vAlign w:val="center"/>
            <w:hideMark/>
          </w:tcPr>
          <w:p w14:paraId="6EDD05A7"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IPARD ka përfshirë instalimin e teknologjive të energjisë së rinovueshme si një nga kriteret për vlerësim të aplikimit (20% e pikëve). Asnjë e dhënë mbi sasinë e fondeve</w:t>
            </w:r>
          </w:p>
        </w:tc>
      </w:tr>
      <w:tr w:rsidR="000235FE" w:rsidRPr="007114AF" w14:paraId="6EDD05B4" w14:textId="77777777" w:rsidTr="000235FE">
        <w:trPr>
          <w:cantSplit/>
          <w:trHeight w:val="20"/>
          <w:jc w:val="center"/>
        </w:trPr>
        <w:tc>
          <w:tcPr>
            <w:cnfStyle w:val="001000000000" w:firstRow="0" w:lastRow="0" w:firstColumn="1" w:lastColumn="0" w:oddVBand="0" w:evenVBand="0" w:oddHBand="0" w:evenHBand="0" w:firstRowFirstColumn="0" w:firstRowLastColumn="0" w:lastRowFirstColumn="0" w:lastRowLastColumn="0"/>
            <w:tcW w:w="496" w:type="dxa"/>
            <w:noWrap/>
            <w:vAlign w:val="center"/>
            <w:hideMark/>
          </w:tcPr>
          <w:p w14:paraId="6EDD05A9" w14:textId="77777777" w:rsidR="000235FE" w:rsidRPr="007114AF" w:rsidRDefault="000235FE" w:rsidP="00C136A5">
            <w:pPr>
              <w:spacing w:after="0"/>
              <w:rPr>
                <w:rFonts w:ascii="Garamond" w:eastAsia="Times New Roman" w:hAnsi="Garamond" w:cs="Times New Roman"/>
                <w:b w:val="0"/>
                <w:bCs w:val="0"/>
                <w:sz w:val="18"/>
                <w:szCs w:val="18"/>
              </w:rPr>
            </w:pPr>
            <w:r w:rsidRPr="007114AF">
              <w:rPr>
                <w:rFonts w:ascii="Garamond" w:eastAsia="Times New Roman" w:hAnsi="Garamond" w:cs="Times New Roman"/>
                <w:sz w:val="18"/>
                <w:szCs w:val="18"/>
              </w:rPr>
              <w:t>E77</w:t>
            </w:r>
          </w:p>
        </w:tc>
        <w:tc>
          <w:tcPr>
            <w:tcW w:w="2022" w:type="dxa"/>
            <w:vAlign w:val="center"/>
            <w:hideMark/>
          </w:tcPr>
          <w:p w14:paraId="6EDD05AA"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xml:space="preserve">Kursimet energjetike: Aplikimin e biomasës dhe skemave të prodhimit të biogazit nga fabrikat dhe bujqësia si dhe mbetjet e kafshëve </w:t>
            </w:r>
          </w:p>
        </w:tc>
        <w:tc>
          <w:tcPr>
            <w:tcW w:w="1134" w:type="dxa"/>
            <w:vAlign w:val="center"/>
            <w:hideMark/>
          </w:tcPr>
          <w:p w14:paraId="6EDD05AB"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2018-2020</w:t>
            </w:r>
          </w:p>
        </w:tc>
        <w:tc>
          <w:tcPr>
            <w:tcW w:w="992" w:type="dxa"/>
            <w:vAlign w:val="center"/>
            <w:hideMark/>
          </w:tcPr>
          <w:p w14:paraId="6EDD05AC"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PKVEE</w:t>
            </w:r>
          </w:p>
        </w:tc>
        <w:tc>
          <w:tcPr>
            <w:tcW w:w="1014" w:type="dxa"/>
            <w:vAlign w:val="center"/>
          </w:tcPr>
          <w:p w14:paraId="6EDD05AD"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Indirekte</w:t>
            </w:r>
          </w:p>
        </w:tc>
        <w:tc>
          <w:tcPr>
            <w:tcW w:w="1538" w:type="dxa"/>
            <w:noWrap/>
            <w:vAlign w:val="center"/>
            <w:hideMark/>
          </w:tcPr>
          <w:p w14:paraId="6EDD05AE"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1,352,000.00</w:t>
            </w:r>
          </w:p>
        </w:tc>
        <w:tc>
          <w:tcPr>
            <w:tcW w:w="1276" w:type="dxa"/>
            <w:noWrap/>
            <w:vAlign w:val="center"/>
            <w:hideMark/>
          </w:tcPr>
          <w:p w14:paraId="6EDD05AF"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1,352,000.00</w:t>
            </w:r>
          </w:p>
        </w:tc>
        <w:tc>
          <w:tcPr>
            <w:tcW w:w="1134" w:type="dxa"/>
            <w:noWrap/>
            <w:vAlign w:val="center"/>
            <w:hideMark/>
          </w:tcPr>
          <w:p w14:paraId="6EDD05B0"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1276" w:type="dxa"/>
            <w:noWrap/>
            <w:vAlign w:val="center"/>
            <w:hideMark/>
          </w:tcPr>
          <w:p w14:paraId="6EDD05B1"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1134" w:type="dxa"/>
            <w:noWrap/>
            <w:vAlign w:val="center"/>
            <w:hideMark/>
          </w:tcPr>
          <w:p w14:paraId="6EDD05B2"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2360" w:type="dxa"/>
            <w:vAlign w:val="center"/>
            <w:hideMark/>
          </w:tcPr>
          <w:p w14:paraId="6EDD05B3" w14:textId="77777777" w:rsidR="000235FE" w:rsidRPr="007114AF" w:rsidRDefault="000235FE" w:rsidP="00C136A5">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Grante nga Fondi i Energjisë së Rinovueshme</w:t>
            </w:r>
          </w:p>
        </w:tc>
      </w:tr>
    </w:tbl>
    <w:p w14:paraId="6EDD05B5" w14:textId="77777777" w:rsidR="00AC399F" w:rsidRPr="007114AF" w:rsidRDefault="00AC399F" w:rsidP="00E47E70">
      <w:pPr>
        <w:pStyle w:val="TEKSTI"/>
      </w:pPr>
    </w:p>
    <w:p w14:paraId="6EDD05B6" w14:textId="77777777" w:rsidR="00FB584C" w:rsidRPr="007114AF" w:rsidRDefault="00FB584C" w:rsidP="00FB584C">
      <w:pPr>
        <w:pStyle w:val="TEKSTI"/>
        <w:rPr>
          <w:lang w:eastAsia="en-US"/>
        </w:rPr>
      </w:pPr>
      <w:bookmarkStart w:id="178" w:name="_Toc476580580"/>
      <w:bookmarkStart w:id="179" w:name="_Toc484424527"/>
      <w:r w:rsidRPr="007114AF">
        <w:rPr>
          <w:lang w:eastAsia="en-US"/>
        </w:rPr>
        <w:t>5.8.2 Transport</w:t>
      </w:r>
      <w:bookmarkEnd w:id="178"/>
      <w:r w:rsidRPr="007114AF">
        <w:rPr>
          <w:lang w:eastAsia="en-US"/>
        </w:rPr>
        <w:t>i</w:t>
      </w:r>
      <w:bookmarkEnd w:id="179"/>
    </w:p>
    <w:tbl>
      <w:tblPr>
        <w:tblStyle w:val="GridTable1Light-Accent11"/>
        <w:tblW w:w="14407" w:type="dxa"/>
        <w:jc w:val="center"/>
        <w:tblLayout w:type="fixed"/>
        <w:tblLook w:val="04A0" w:firstRow="1" w:lastRow="0" w:firstColumn="1" w:lastColumn="0" w:noHBand="0" w:noVBand="1"/>
      </w:tblPr>
      <w:tblGrid>
        <w:gridCol w:w="534"/>
        <w:gridCol w:w="1813"/>
        <w:gridCol w:w="900"/>
        <w:gridCol w:w="810"/>
        <w:gridCol w:w="1260"/>
        <w:gridCol w:w="1080"/>
        <w:gridCol w:w="1260"/>
        <w:gridCol w:w="1260"/>
        <w:gridCol w:w="1080"/>
        <w:gridCol w:w="1260"/>
        <w:gridCol w:w="3150"/>
      </w:tblGrid>
      <w:tr w:rsidR="00FB584C" w:rsidRPr="007114AF" w14:paraId="6EDD05C2" w14:textId="77777777" w:rsidTr="00FB584C">
        <w:trPr>
          <w:cnfStyle w:val="100000000000" w:firstRow="1" w:lastRow="0" w:firstColumn="0" w:lastColumn="0" w:oddVBand="0" w:evenVBand="0" w:oddHBand="0" w:evenHBand="0" w:firstRowFirstColumn="0" w:firstRowLastColumn="0" w:lastRowFirstColumn="0" w:lastRowLastColumn="0"/>
          <w:cantSplit/>
          <w:trHeight w:val="20"/>
          <w:tblHeader/>
          <w:jc w:val="center"/>
        </w:trPr>
        <w:tc>
          <w:tcPr>
            <w:cnfStyle w:val="001000000000" w:firstRow="0" w:lastRow="0" w:firstColumn="1" w:lastColumn="0" w:oddVBand="0" w:evenVBand="0" w:oddHBand="0" w:evenHBand="0" w:firstRowFirstColumn="0" w:firstRowLastColumn="0" w:lastRowFirstColumn="0" w:lastRowLastColumn="0"/>
            <w:tcW w:w="534" w:type="dxa"/>
            <w:noWrap/>
            <w:vAlign w:val="center"/>
            <w:hideMark/>
          </w:tcPr>
          <w:p w14:paraId="6EDD05B7" w14:textId="77777777" w:rsidR="00FB584C" w:rsidRPr="007114AF" w:rsidRDefault="00FB584C" w:rsidP="00F05ACD">
            <w:pPr>
              <w:spacing w:after="0"/>
              <w:jc w:val="center"/>
              <w:rPr>
                <w:rFonts w:ascii="Garamond" w:eastAsia="Times New Roman" w:hAnsi="Garamond" w:cs="Times New Roman"/>
                <w:bCs w:val="0"/>
                <w:sz w:val="18"/>
                <w:szCs w:val="18"/>
              </w:rPr>
            </w:pPr>
            <w:r w:rsidRPr="007114AF">
              <w:rPr>
                <w:rFonts w:ascii="Garamond" w:eastAsia="Times New Roman" w:hAnsi="Garamond" w:cs="Times New Roman"/>
                <w:sz w:val="18"/>
                <w:szCs w:val="18"/>
              </w:rPr>
              <w:lastRenderedPageBreak/>
              <w:t>ID</w:t>
            </w:r>
          </w:p>
        </w:tc>
        <w:tc>
          <w:tcPr>
            <w:tcW w:w="1813" w:type="dxa"/>
            <w:vAlign w:val="center"/>
            <w:hideMark/>
          </w:tcPr>
          <w:p w14:paraId="6EDD05B8" w14:textId="77777777" w:rsidR="00FB584C" w:rsidRPr="007114AF" w:rsidRDefault="00FB584C" w:rsidP="00F05ACD">
            <w:pPr>
              <w:spacing w:after="0"/>
              <w:jc w:val="center"/>
              <w:cnfStyle w:val="100000000000" w:firstRow="1" w:lastRow="0" w:firstColumn="0" w:lastColumn="0" w:oddVBand="0" w:evenVBand="0" w:oddHBand="0" w:evenHBand="0" w:firstRowFirstColumn="0" w:firstRowLastColumn="0" w:lastRowFirstColumn="0" w:lastRowLastColumn="0"/>
              <w:rPr>
                <w:rFonts w:ascii="Garamond" w:eastAsia="Times New Roman" w:hAnsi="Garamond" w:cs="Times New Roman"/>
                <w:bCs w:val="0"/>
                <w:sz w:val="18"/>
                <w:szCs w:val="18"/>
              </w:rPr>
            </w:pPr>
            <w:r w:rsidRPr="007114AF">
              <w:rPr>
                <w:rFonts w:ascii="Garamond" w:eastAsia="Times New Roman" w:hAnsi="Garamond" w:cs="Times New Roman"/>
                <w:sz w:val="18"/>
                <w:szCs w:val="18"/>
              </w:rPr>
              <w:t>Masa</w:t>
            </w:r>
          </w:p>
        </w:tc>
        <w:tc>
          <w:tcPr>
            <w:tcW w:w="900" w:type="dxa"/>
            <w:vAlign w:val="center"/>
            <w:hideMark/>
          </w:tcPr>
          <w:p w14:paraId="6EDD05B9" w14:textId="77777777" w:rsidR="00FB584C" w:rsidRPr="007114AF" w:rsidRDefault="00FB584C" w:rsidP="00F05ACD">
            <w:pPr>
              <w:spacing w:after="0"/>
              <w:jc w:val="center"/>
              <w:cnfStyle w:val="100000000000" w:firstRow="1" w:lastRow="0" w:firstColumn="0" w:lastColumn="0" w:oddVBand="0" w:evenVBand="0" w:oddHBand="0" w:evenHBand="0" w:firstRowFirstColumn="0" w:firstRowLastColumn="0" w:lastRowFirstColumn="0" w:lastRowLastColumn="0"/>
              <w:rPr>
                <w:rFonts w:ascii="Garamond" w:eastAsia="Times New Roman" w:hAnsi="Garamond" w:cs="Times New Roman"/>
                <w:bCs w:val="0"/>
                <w:sz w:val="18"/>
                <w:szCs w:val="18"/>
              </w:rPr>
            </w:pPr>
            <w:r w:rsidRPr="007114AF">
              <w:rPr>
                <w:rFonts w:ascii="Garamond" w:eastAsia="Times New Roman" w:hAnsi="Garamond" w:cs="Times New Roman"/>
                <w:sz w:val="18"/>
                <w:szCs w:val="18"/>
              </w:rPr>
              <w:t>Viti/periudha</w:t>
            </w:r>
          </w:p>
        </w:tc>
        <w:tc>
          <w:tcPr>
            <w:tcW w:w="810" w:type="dxa"/>
            <w:vAlign w:val="center"/>
            <w:hideMark/>
          </w:tcPr>
          <w:p w14:paraId="6EDD05BA" w14:textId="77777777" w:rsidR="00FB584C" w:rsidRPr="007114AF" w:rsidRDefault="00FB584C" w:rsidP="00F05ACD">
            <w:pPr>
              <w:spacing w:after="0"/>
              <w:jc w:val="center"/>
              <w:cnfStyle w:val="100000000000" w:firstRow="1" w:lastRow="0" w:firstColumn="0" w:lastColumn="0" w:oddVBand="0" w:evenVBand="0" w:oddHBand="0" w:evenHBand="0" w:firstRowFirstColumn="0" w:firstRowLastColumn="0" w:lastRowFirstColumn="0" w:lastRowLastColumn="0"/>
              <w:rPr>
                <w:rFonts w:ascii="Garamond" w:eastAsia="Times New Roman" w:hAnsi="Garamond" w:cs="Times New Roman"/>
                <w:bCs w:val="0"/>
                <w:sz w:val="18"/>
                <w:szCs w:val="18"/>
              </w:rPr>
            </w:pPr>
            <w:r w:rsidRPr="007114AF">
              <w:rPr>
                <w:rFonts w:ascii="Garamond" w:eastAsia="Times New Roman" w:hAnsi="Garamond" w:cs="Times New Roman"/>
                <w:sz w:val="18"/>
                <w:szCs w:val="18"/>
              </w:rPr>
              <w:t>Burimi</w:t>
            </w:r>
          </w:p>
        </w:tc>
        <w:tc>
          <w:tcPr>
            <w:tcW w:w="1260" w:type="dxa"/>
            <w:vAlign w:val="center"/>
          </w:tcPr>
          <w:p w14:paraId="6EDD05BB" w14:textId="77777777" w:rsidR="00FB584C" w:rsidRPr="007114AF" w:rsidRDefault="00FB584C" w:rsidP="00F05ACD">
            <w:pPr>
              <w:spacing w:after="0"/>
              <w:jc w:val="center"/>
              <w:cnfStyle w:val="100000000000" w:firstRow="1" w:lastRow="0" w:firstColumn="0" w:lastColumn="0" w:oddVBand="0" w:evenVBand="0" w:oddHBand="0" w:evenHBand="0" w:firstRowFirstColumn="0" w:firstRowLastColumn="0" w:lastRowFirstColumn="0" w:lastRowLastColumn="0"/>
              <w:rPr>
                <w:rFonts w:ascii="Garamond" w:eastAsia="Times New Roman" w:hAnsi="Garamond" w:cs="Calibri"/>
                <w:bCs w:val="0"/>
                <w:sz w:val="18"/>
                <w:szCs w:val="18"/>
              </w:rPr>
            </w:pPr>
            <w:r w:rsidRPr="007114AF">
              <w:rPr>
                <w:rFonts w:ascii="Garamond" w:hAnsi="Garamond" w:cs="Calibri"/>
                <w:sz w:val="18"/>
                <w:szCs w:val="18"/>
              </w:rPr>
              <w:t>Lloji i efektit</w:t>
            </w:r>
          </w:p>
        </w:tc>
        <w:tc>
          <w:tcPr>
            <w:tcW w:w="1080" w:type="dxa"/>
            <w:vAlign w:val="center"/>
            <w:hideMark/>
          </w:tcPr>
          <w:p w14:paraId="6EDD05BC" w14:textId="0D783EE6" w:rsidR="00FB584C" w:rsidRPr="007114AF" w:rsidRDefault="00FB584C" w:rsidP="00F05ACD">
            <w:pPr>
              <w:spacing w:after="0"/>
              <w:jc w:val="center"/>
              <w:cnfStyle w:val="100000000000" w:firstRow="1" w:lastRow="0" w:firstColumn="0" w:lastColumn="0" w:oddVBand="0" w:evenVBand="0" w:oddHBand="0" w:evenHBand="0" w:firstRowFirstColumn="0" w:firstRowLastColumn="0" w:lastRowFirstColumn="0" w:lastRowLastColumn="0"/>
              <w:rPr>
                <w:rFonts w:ascii="Garamond" w:eastAsia="Times New Roman" w:hAnsi="Garamond" w:cs="Times New Roman"/>
                <w:bCs w:val="0"/>
                <w:sz w:val="18"/>
                <w:szCs w:val="18"/>
              </w:rPr>
            </w:pPr>
            <w:r w:rsidRPr="007114AF">
              <w:rPr>
                <w:rFonts w:ascii="Garamond" w:eastAsia="Times New Roman" w:hAnsi="Garamond" w:cs="Times New Roman"/>
                <w:sz w:val="18"/>
                <w:szCs w:val="18"/>
              </w:rPr>
              <w:t>Kosto</w:t>
            </w:r>
            <w:r w:rsidR="00F05ACD">
              <w:rPr>
                <w:rFonts w:ascii="Garamond" w:eastAsia="Times New Roman" w:hAnsi="Garamond" w:cs="Times New Roman"/>
                <w:sz w:val="18"/>
                <w:szCs w:val="18"/>
              </w:rPr>
              <w:t>ja</w:t>
            </w:r>
            <w:r w:rsidRPr="007114AF">
              <w:rPr>
                <w:rFonts w:ascii="Garamond" w:eastAsia="Times New Roman" w:hAnsi="Garamond" w:cs="Times New Roman"/>
                <w:sz w:val="18"/>
                <w:szCs w:val="18"/>
              </w:rPr>
              <w:t xml:space="preserve"> </w:t>
            </w:r>
            <w:r w:rsidR="00F05ACD">
              <w:rPr>
                <w:rFonts w:ascii="Garamond" w:eastAsia="Times New Roman" w:hAnsi="Garamond" w:cs="Times New Roman"/>
                <w:sz w:val="18"/>
                <w:szCs w:val="18"/>
              </w:rPr>
              <w:t>t</w:t>
            </w:r>
            <w:r w:rsidRPr="007114AF">
              <w:rPr>
                <w:rFonts w:ascii="Garamond" w:eastAsia="Times New Roman" w:hAnsi="Garamond" w:cs="Times New Roman"/>
                <w:sz w:val="18"/>
                <w:szCs w:val="18"/>
              </w:rPr>
              <w:t>otale në mijëra ALL</w:t>
            </w:r>
          </w:p>
        </w:tc>
        <w:tc>
          <w:tcPr>
            <w:tcW w:w="1260" w:type="dxa"/>
            <w:vAlign w:val="center"/>
            <w:hideMark/>
          </w:tcPr>
          <w:p w14:paraId="6EDD05BD" w14:textId="77777777" w:rsidR="00FB584C" w:rsidRPr="007114AF" w:rsidRDefault="00FB584C" w:rsidP="00F05ACD">
            <w:pPr>
              <w:spacing w:after="0"/>
              <w:jc w:val="center"/>
              <w:cnfStyle w:val="100000000000" w:firstRow="1" w:lastRow="0" w:firstColumn="0" w:lastColumn="0" w:oddVBand="0" w:evenVBand="0" w:oddHBand="0" w:evenHBand="0" w:firstRowFirstColumn="0" w:firstRowLastColumn="0" w:lastRowFirstColumn="0" w:lastRowLastColumn="0"/>
              <w:rPr>
                <w:rFonts w:ascii="Garamond" w:eastAsia="Times New Roman" w:hAnsi="Garamond" w:cs="Times New Roman"/>
                <w:bCs w:val="0"/>
                <w:sz w:val="18"/>
                <w:szCs w:val="18"/>
              </w:rPr>
            </w:pPr>
            <w:r w:rsidRPr="007114AF">
              <w:rPr>
                <w:rFonts w:ascii="Garamond" w:eastAsia="Times New Roman" w:hAnsi="Garamond" w:cs="Times New Roman"/>
                <w:sz w:val="18"/>
                <w:szCs w:val="18"/>
              </w:rPr>
              <w:t>Buxheti i Shtetit</w:t>
            </w:r>
          </w:p>
        </w:tc>
        <w:tc>
          <w:tcPr>
            <w:tcW w:w="1260" w:type="dxa"/>
            <w:vAlign w:val="center"/>
            <w:hideMark/>
          </w:tcPr>
          <w:p w14:paraId="6EDD05BE" w14:textId="77777777" w:rsidR="00FB584C" w:rsidRPr="007114AF" w:rsidRDefault="00FB584C" w:rsidP="00F05ACD">
            <w:pPr>
              <w:spacing w:after="0"/>
              <w:jc w:val="center"/>
              <w:cnfStyle w:val="100000000000" w:firstRow="1" w:lastRow="0" w:firstColumn="0" w:lastColumn="0" w:oddVBand="0" w:evenVBand="0" w:oddHBand="0" w:evenHBand="0" w:firstRowFirstColumn="0" w:firstRowLastColumn="0" w:lastRowFirstColumn="0" w:lastRowLastColumn="0"/>
              <w:rPr>
                <w:rFonts w:ascii="Garamond" w:eastAsia="Times New Roman" w:hAnsi="Garamond" w:cs="Times New Roman"/>
                <w:bCs w:val="0"/>
                <w:sz w:val="18"/>
                <w:szCs w:val="18"/>
              </w:rPr>
            </w:pPr>
            <w:r w:rsidRPr="007114AF">
              <w:rPr>
                <w:rFonts w:ascii="Garamond" w:eastAsia="Times New Roman" w:hAnsi="Garamond" w:cs="Times New Roman"/>
                <w:sz w:val="18"/>
                <w:szCs w:val="18"/>
              </w:rPr>
              <w:t>Donatorët</w:t>
            </w:r>
          </w:p>
        </w:tc>
        <w:tc>
          <w:tcPr>
            <w:tcW w:w="1080" w:type="dxa"/>
            <w:vAlign w:val="center"/>
            <w:hideMark/>
          </w:tcPr>
          <w:p w14:paraId="6EDD05BF" w14:textId="77777777" w:rsidR="00FB584C" w:rsidRPr="007114AF" w:rsidRDefault="00FB584C" w:rsidP="00F05ACD">
            <w:pPr>
              <w:spacing w:after="0"/>
              <w:jc w:val="center"/>
              <w:cnfStyle w:val="100000000000" w:firstRow="1" w:lastRow="0" w:firstColumn="0" w:lastColumn="0" w:oddVBand="0" w:evenVBand="0" w:oddHBand="0" w:evenHBand="0" w:firstRowFirstColumn="0" w:firstRowLastColumn="0" w:lastRowFirstColumn="0" w:lastRowLastColumn="0"/>
              <w:rPr>
                <w:rFonts w:ascii="Garamond" w:eastAsia="Times New Roman" w:hAnsi="Garamond" w:cs="Times New Roman"/>
                <w:bCs w:val="0"/>
                <w:sz w:val="18"/>
                <w:szCs w:val="18"/>
              </w:rPr>
            </w:pPr>
            <w:r w:rsidRPr="007114AF">
              <w:rPr>
                <w:rFonts w:ascii="Garamond" w:eastAsia="Times New Roman" w:hAnsi="Garamond" w:cs="Times New Roman"/>
                <w:sz w:val="18"/>
                <w:szCs w:val="18"/>
              </w:rPr>
              <w:t>Tjetër</w:t>
            </w:r>
          </w:p>
        </w:tc>
        <w:tc>
          <w:tcPr>
            <w:tcW w:w="1260" w:type="dxa"/>
            <w:vAlign w:val="center"/>
            <w:hideMark/>
          </w:tcPr>
          <w:p w14:paraId="6EDD05C0" w14:textId="6A1C1BD2" w:rsidR="00FB584C" w:rsidRPr="007114AF" w:rsidRDefault="00FB584C" w:rsidP="002A539C">
            <w:pPr>
              <w:spacing w:after="0"/>
              <w:jc w:val="center"/>
              <w:cnfStyle w:val="100000000000" w:firstRow="1" w:lastRow="0" w:firstColumn="0" w:lastColumn="0" w:oddVBand="0" w:evenVBand="0" w:oddHBand="0" w:evenHBand="0" w:firstRowFirstColumn="0" w:firstRowLastColumn="0" w:lastRowFirstColumn="0" w:lastRowLastColumn="0"/>
              <w:rPr>
                <w:rFonts w:ascii="Garamond" w:eastAsia="Times New Roman" w:hAnsi="Garamond" w:cs="Times New Roman"/>
                <w:bCs w:val="0"/>
                <w:sz w:val="18"/>
                <w:szCs w:val="18"/>
              </w:rPr>
            </w:pPr>
            <w:r w:rsidRPr="007114AF">
              <w:rPr>
                <w:rFonts w:ascii="Garamond" w:eastAsia="Times New Roman" w:hAnsi="Garamond" w:cs="Times New Roman"/>
                <w:sz w:val="18"/>
                <w:szCs w:val="18"/>
              </w:rPr>
              <w:t xml:space="preserve">Hapësira </w:t>
            </w:r>
            <w:r w:rsidR="002A539C">
              <w:rPr>
                <w:rFonts w:ascii="Garamond" w:eastAsia="Times New Roman" w:hAnsi="Garamond" w:cs="Times New Roman"/>
                <w:sz w:val="18"/>
                <w:szCs w:val="18"/>
              </w:rPr>
              <w:t>f</w:t>
            </w:r>
            <w:r w:rsidRPr="007114AF">
              <w:rPr>
                <w:rFonts w:ascii="Garamond" w:eastAsia="Times New Roman" w:hAnsi="Garamond" w:cs="Times New Roman"/>
                <w:sz w:val="18"/>
                <w:szCs w:val="18"/>
              </w:rPr>
              <w:t>inanciare</w:t>
            </w:r>
          </w:p>
        </w:tc>
        <w:tc>
          <w:tcPr>
            <w:tcW w:w="3150" w:type="dxa"/>
            <w:vAlign w:val="center"/>
            <w:hideMark/>
          </w:tcPr>
          <w:p w14:paraId="6EDD05C1" w14:textId="77777777" w:rsidR="00FB584C" w:rsidRPr="007114AF" w:rsidRDefault="00FB584C" w:rsidP="00F05ACD">
            <w:pPr>
              <w:spacing w:after="0"/>
              <w:jc w:val="center"/>
              <w:cnfStyle w:val="100000000000" w:firstRow="1" w:lastRow="0" w:firstColumn="0" w:lastColumn="0" w:oddVBand="0" w:evenVBand="0" w:oddHBand="0" w:evenHBand="0" w:firstRowFirstColumn="0" w:firstRowLastColumn="0" w:lastRowFirstColumn="0" w:lastRowLastColumn="0"/>
              <w:rPr>
                <w:rFonts w:ascii="Garamond" w:eastAsia="Times New Roman" w:hAnsi="Garamond" w:cs="Times New Roman"/>
                <w:bCs w:val="0"/>
                <w:sz w:val="18"/>
                <w:szCs w:val="18"/>
              </w:rPr>
            </w:pPr>
            <w:r w:rsidRPr="007114AF">
              <w:rPr>
                <w:rFonts w:ascii="Garamond" w:eastAsia="Times New Roman" w:hAnsi="Garamond" w:cs="Times New Roman"/>
                <w:sz w:val="18"/>
                <w:szCs w:val="18"/>
              </w:rPr>
              <w:t>Shënim mbi kostot</w:t>
            </w:r>
          </w:p>
        </w:tc>
      </w:tr>
      <w:tr w:rsidR="00FB584C" w:rsidRPr="007114AF" w14:paraId="6EDD05CE" w14:textId="77777777" w:rsidTr="00FB584C">
        <w:trPr>
          <w:cantSplit/>
          <w:trHeight w:val="20"/>
          <w:jc w:val="center"/>
        </w:trPr>
        <w:tc>
          <w:tcPr>
            <w:cnfStyle w:val="001000000000" w:firstRow="0" w:lastRow="0" w:firstColumn="1" w:lastColumn="0" w:oddVBand="0" w:evenVBand="0" w:oddHBand="0" w:evenHBand="0" w:firstRowFirstColumn="0" w:firstRowLastColumn="0" w:lastRowFirstColumn="0" w:lastRowLastColumn="0"/>
            <w:tcW w:w="534" w:type="dxa"/>
            <w:noWrap/>
            <w:vAlign w:val="center"/>
            <w:hideMark/>
          </w:tcPr>
          <w:p w14:paraId="6EDD05C3" w14:textId="77777777" w:rsidR="00FB584C" w:rsidRPr="007114AF" w:rsidRDefault="00FB584C" w:rsidP="00FB584C">
            <w:pPr>
              <w:spacing w:after="0"/>
              <w:rPr>
                <w:rFonts w:ascii="Garamond" w:eastAsia="Times New Roman" w:hAnsi="Garamond" w:cs="Times New Roman"/>
                <w:b w:val="0"/>
                <w:bCs w:val="0"/>
                <w:sz w:val="18"/>
                <w:szCs w:val="18"/>
              </w:rPr>
            </w:pPr>
            <w:r w:rsidRPr="007114AF">
              <w:rPr>
                <w:rFonts w:ascii="Garamond" w:eastAsia="Times New Roman" w:hAnsi="Garamond" w:cs="Times New Roman"/>
                <w:sz w:val="18"/>
                <w:szCs w:val="18"/>
              </w:rPr>
              <w:t>T1</w:t>
            </w:r>
          </w:p>
        </w:tc>
        <w:tc>
          <w:tcPr>
            <w:tcW w:w="1813" w:type="dxa"/>
            <w:vAlign w:val="center"/>
            <w:hideMark/>
          </w:tcPr>
          <w:p w14:paraId="6EDD05C4"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Përafrimii Legjislacionit Evropian në fushën e cilësisë së ajrit</w:t>
            </w:r>
          </w:p>
        </w:tc>
        <w:tc>
          <w:tcPr>
            <w:tcW w:w="900" w:type="dxa"/>
            <w:vAlign w:val="center"/>
            <w:hideMark/>
          </w:tcPr>
          <w:p w14:paraId="6EDD05C5"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2016-2020</w:t>
            </w:r>
          </w:p>
        </w:tc>
        <w:tc>
          <w:tcPr>
            <w:tcW w:w="810" w:type="dxa"/>
            <w:vAlign w:val="center"/>
            <w:hideMark/>
          </w:tcPr>
          <w:p w14:paraId="6EDD05C6"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SMNS</w:t>
            </w:r>
          </w:p>
        </w:tc>
        <w:tc>
          <w:tcPr>
            <w:tcW w:w="1260" w:type="dxa"/>
            <w:vAlign w:val="center"/>
          </w:tcPr>
          <w:p w14:paraId="6EDD05C7"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Calibri"/>
                <w:sz w:val="18"/>
                <w:szCs w:val="18"/>
              </w:rPr>
            </w:pPr>
            <w:r w:rsidRPr="007114AF">
              <w:rPr>
                <w:rFonts w:ascii="Garamond" w:eastAsia="Times New Roman" w:hAnsi="Garamond" w:cs="Calibri"/>
                <w:sz w:val="18"/>
                <w:szCs w:val="18"/>
              </w:rPr>
              <w:t>Mundësuese</w:t>
            </w:r>
          </w:p>
        </w:tc>
        <w:tc>
          <w:tcPr>
            <w:tcW w:w="1080" w:type="dxa"/>
            <w:vAlign w:val="center"/>
            <w:hideMark/>
          </w:tcPr>
          <w:p w14:paraId="6EDD05C8"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153,930.89</w:t>
            </w:r>
          </w:p>
        </w:tc>
        <w:tc>
          <w:tcPr>
            <w:tcW w:w="1260" w:type="dxa"/>
            <w:vAlign w:val="center"/>
            <w:hideMark/>
          </w:tcPr>
          <w:p w14:paraId="6EDD05C9"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153,930.89</w:t>
            </w:r>
          </w:p>
        </w:tc>
        <w:tc>
          <w:tcPr>
            <w:tcW w:w="1260" w:type="dxa"/>
            <w:vAlign w:val="center"/>
            <w:hideMark/>
          </w:tcPr>
          <w:p w14:paraId="6EDD05CA"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tc>
        <w:tc>
          <w:tcPr>
            <w:tcW w:w="1080" w:type="dxa"/>
            <w:vAlign w:val="center"/>
            <w:hideMark/>
          </w:tcPr>
          <w:p w14:paraId="6EDD05CB"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tc>
        <w:tc>
          <w:tcPr>
            <w:tcW w:w="1260" w:type="dxa"/>
            <w:vAlign w:val="center"/>
            <w:hideMark/>
          </w:tcPr>
          <w:p w14:paraId="6EDD05CC"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tc>
        <w:tc>
          <w:tcPr>
            <w:tcW w:w="3150" w:type="dxa"/>
            <w:vAlign w:val="center"/>
            <w:hideMark/>
          </w:tcPr>
          <w:p w14:paraId="6EDD05CD"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Kostot janë të llogaritura në bazë të kostos për njësi në bazë të ligjit siç parashikohet tek buxheti afatmesëm Programi i Mjedisit _05320/rezultati A</w:t>
            </w:r>
          </w:p>
        </w:tc>
      </w:tr>
      <w:tr w:rsidR="00FB584C" w:rsidRPr="007114AF" w14:paraId="6EDD05DA" w14:textId="77777777" w:rsidTr="00FB584C">
        <w:trPr>
          <w:cantSplit/>
          <w:trHeight w:val="20"/>
          <w:jc w:val="center"/>
        </w:trPr>
        <w:tc>
          <w:tcPr>
            <w:cnfStyle w:val="001000000000" w:firstRow="0" w:lastRow="0" w:firstColumn="1" w:lastColumn="0" w:oddVBand="0" w:evenVBand="0" w:oddHBand="0" w:evenHBand="0" w:firstRowFirstColumn="0" w:firstRowLastColumn="0" w:lastRowFirstColumn="0" w:lastRowLastColumn="0"/>
            <w:tcW w:w="534" w:type="dxa"/>
            <w:noWrap/>
            <w:vAlign w:val="center"/>
            <w:hideMark/>
          </w:tcPr>
          <w:p w14:paraId="6EDD05CF" w14:textId="77777777" w:rsidR="00FB584C" w:rsidRPr="007114AF" w:rsidRDefault="00FB584C" w:rsidP="00FB584C">
            <w:pPr>
              <w:spacing w:after="0"/>
              <w:rPr>
                <w:rFonts w:ascii="Garamond" w:eastAsia="Times New Roman" w:hAnsi="Garamond" w:cs="Times New Roman"/>
                <w:b w:val="0"/>
                <w:bCs w:val="0"/>
                <w:sz w:val="18"/>
                <w:szCs w:val="18"/>
              </w:rPr>
            </w:pPr>
            <w:r w:rsidRPr="007114AF">
              <w:rPr>
                <w:rFonts w:ascii="Garamond" w:eastAsia="Times New Roman" w:hAnsi="Garamond" w:cs="Times New Roman"/>
                <w:sz w:val="18"/>
                <w:szCs w:val="18"/>
              </w:rPr>
              <w:t>T2</w:t>
            </w:r>
          </w:p>
        </w:tc>
        <w:tc>
          <w:tcPr>
            <w:tcW w:w="1813" w:type="dxa"/>
            <w:vAlign w:val="center"/>
            <w:hideMark/>
          </w:tcPr>
          <w:p w14:paraId="6EDD05D0"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Krijimi i kushteve të duhura ligjore dhe qeverisëse për një sistem efikas transporti - 1</w:t>
            </w:r>
          </w:p>
        </w:tc>
        <w:tc>
          <w:tcPr>
            <w:tcW w:w="900" w:type="dxa"/>
            <w:vAlign w:val="center"/>
            <w:hideMark/>
          </w:tcPr>
          <w:p w14:paraId="6EDD05D1"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2016-2020</w:t>
            </w:r>
          </w:p>
        </w:tc>
        <w:tc>
          <w:tcPr>
            <w:tcW w:w="810" w:type="dxa"/>
            <w:vAlign w:val="center"/>
            <w:hideMark/>
          </w:tcPr>
          <w:p w14:paraId="6EDD05D2"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SSTPV</w:t>
            </w:r>
          </w:p>
        </w:tc>
        <w:tc>
          <w:tcPr>
            <w:tcW w:w="1260" w:type="dxa"/>
            <w:vAlign w:val="center"/>
          </w:tcPr>
          <w:p w14:paraId="6EDD05D3"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Calibri"/>
                <w:sz w:val="18"/>
                <w:szCs w:val="18"/>
              </w:rPr>
            </w:pPr>
            <w:r w:rsidRPr="007114AF">
              <w:rPr>
                <w:rFonts w:ascii="Garamond" w:eastAsia="Times New Roman" w:hAnsi="Garamond" w:cs="Calibri"/>
                <w:sz w:val="18"/>
                <w:szCs w:val="18"/>
              </w:rPr>
              <w:t>Mundësuese</w:t>
            </w:r>
          </w:p>
        </w:tc>
        <w:tc>
          <w:tcPr>
            <w:tcW w:w="1080" w:type="dxa"/>
            <w:vAlign w:val="center"/>
            <w:hideMark/>
          </w:tcPr>
          <w:p w14:paraId="6EDD05D4"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41,160.00</w:t>
            </w:r>
          </w:p>
        </w:tc>
        <w:tc>
          <w:tcPr>
            <w:tcW w:w="1260" w:type="dxa"/>
            <w:vAlign w:val="center"/>
            <w:hideMark/>
          </w:tcPr>
          <w:p w14:paraId="6EDD05D5"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tc>
        <w:tc>
          <w:tcPr>
            <w:tcW w:w="1260" w:type="dxa"/>
            <w:vAlign w:val="center"/>
            <w:hideMark/>
          </w:tcPr>
          <w:p w14:paraId="6EDD05D6"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41,160.00</w:t>
            </w:r>
          </w:p>
        </w:tc>
        <w:tc>
          <w:tcPr>
            <w:tcW w:w="1080" w:type="dxa"/>
            <w:vAlign w:val="center"/>
            <w:hideMark/>
          </w:tcPr>
          <w:p w14:paraId="6EDD05D7"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tc>
        <w:tc>
          <w:tcPr>
            <w:tcW w:w="1260" w:type="dxa"/>
            <w:vAlign w:val="center"/>
            <w:hideMark/>
          </w:tcPr>
          <w:p w14:paraId="6EDD05D8"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tc>
        <w:tc>
          <w:tcPr>
            <w:tcW w:w="3150" w:type="dxa"/>
            <w:vAlign w:val="center"/>
            <w:hideMark/>
          </w:tcPr>
          <w:p w14:paraId="6EDD05D9"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Buxheti IPA (kontrata e asistencës teknike)</w:t>
            </w:r>
          </w:p>
        </w:tc>
      </w:tr>
      <w:tr w:rsidR="00FB584C" w:rsidRPr="007114AF" w14:paraId="6EDD05E6" w14:textId="77777777" w:rsidTr="00FB584C">
        <w:trPr>
          <w:cantSplit/>
          <w:trHeight w:val="20"/>
          <w:jc w:val="center"/>
        </w:trPr>
        <w:tc>
          <w:tcPr>
            <w:cnfStyle w:val="001000000000" w:firstRow="0" w:lastRow="0" w:firstColumn="1" w:lastColumn="0" w:oddVBand="0" w:evenVBand="0" w:oddHBand="0" w:evenHBand="0" w:firstRowFirstColumn="0" w:firstRowLastColumn="0" w:lastRowFirstColumn="0" w:lastRowLastColumn="0"/>
            <w:tcW w:w="534" w:type="dxa"/>
            <w:noWrap/>
            <w:vAlign w:val="center"/>
            <w:hideMark/>
          </w:tcPr>
          <w:p w14:paraId="6EDD05DB" w14:textId="77777777" w:rsidR="00FB584C" w:rsidRPr="007114AF" w:rsidRDefault="00FB584C" w:rsidP="00FB584C">
            <w:pPr>
              <w:spacing w:after="0"/>
              <w:rPr>
                <w:rFonts w:ascii="Garamond" w:eastAsia="Times New Roman" w:hAnsi="Garamond" w:cs="Times New Roman"/>
                <w:b w:val="0"/>
                <w:bCs w:val="0"/>
                <w:sz w:val="18"/>
                <w:szCs w:val="18"/>
              </w:rPr>
            </w:pPr>
            <w:r w:rsidRPr="007114AF">
              <w:rPr>
                <w:rFonts w:ascii="Garamond" w:eastAsia="Times New Roman" w:hAnsi="Garamond" w:cs="Times New Roman"/>
                <w:sz w:val="18"/>
                <w:szCs w:val="18"/>
              </w:rPr>
              <w:t>T3</w:t>
            </w:r>
          </w:p>
        </w:tc>
        <w:tc>
          <w:tcPr>
            <w:tcW w:w="1813" w:type="dxa"/>
            <w:vAlign w:val="center"/>
            <w:hideMark/>
          </w:tcPr>
          <w:p w14:paraId="6EDD05DC"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Krijimi i kushteve të duhura ligjore dhe qeverisëse për një sistem efikas transporti - 2</w:t>
            </w:r>
          </w:p>
        </w:tc>
        <w:tc>
          <w:tcPr>
            <w:tcW w:w="900" w:type="dxa"/>
            <w:vAlign w:val="center"/>
            <w:hideMark/>
          </w:tcPr>
          <w:p w14:paraId="6EDD05DD"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2016-2020</w:t>
            </w:r>
          </w:p>
        </w:tc>
        <w:tc>
          <w:tcPr>
            <w:tcW w:w="810" w:type="dxa"/>
            <w:vAlign w:val="center"/>
            <w:hideMark/>
          </w:tcPr>
          <w:p w14:paraId="6EDD05DE"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SSTPV</w:t>
            </w:r>
          </w:p>
        </w:tc>
        <w:tc>
          <w:tcPr>
            <w:tcW w:w="1260" w:type="dxa"/>
            <w:vAlign w:val="center"/>
          </w:tcPr>
          <w:p w14:paraId="6EDD05DF"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Calibri"/>
                <w:sz w:val="18"/>
                <w:szCs w:val="18"/>
              </w:rPr>
            </w:pPr>
            <w:r w:rsidRPr="007114AF">
              <w:rPr>
                <w:rFonts w:ascii="Garamond" w:eastAsia="Times New Roman" w:hAnsi="Garamond" w:cs="Calibri"/>
                <w:sz w:val="18"/>
                <w:szCs w:val="18"/>
              </w:rPr>
              <w:t>Mundësuese</w:t>
            </w:r>
          </w:p>
        </w:tc>
        <w:tc>
          <w:tcPr>
            <w:tcW w:w="1080" w:type="dxa"/>
            <w:vAlign w:val="center"/>
            <w:hideMark/>
          </w:tcPr>
          <w:p w14:paraId="6EDD05E0"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164,760.00</w:t>
            </w:r>
          </w:p>
        </w:tc>
        <w:tc>
          <w:tcPr>
            <w:tcW w:w="1260" w:type="dxa"/>
            <w:vAlign w:val="center"/>
            <w:hideMark/>
          </w:tcPr>
          <w:p w14:paraId="6EDD05E1"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137,300.00</w:t>
            </w:r>
          </w:p>
        </w:tc>
        <w:tc>
          <w:tcPr>
            <w:tcW w:w="1260" w:type="dxa"/>
            <w:vAlign w:val="center"/>
            <w:hideMark/>
          </w:tcPr>
          <w:p w14:paraId="6EDD05E2"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27,460.00</w:t>
            </w:r>
          </w:p>
        </w:tc>
        <w:tc>
          <w:tcPr>
            <w:tcW w:w="1080" w:type="dxa"/>
            <w:vAlign w:val="center"/>
            <w:hideMark/>
          </w:tcPr>
          <w:p w14:paraId="6EDD05E3"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tc>
        <w:tc>
          <w:tcPr>
            <w:tcW w:w="1260" w:type="dxa"/>
            <w:vAlign w:val="center"/>
            <w:hideMark/>
          </w:tcPr>
          <w:p w14:paraId="6EDD05E4"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tc>
        <w:tc>
          <w:tcPr>
            <w:tcW w:w="3150" w:type="dxa"/>
            <w:vAlign w:val="center"/>
            <w:hideMark/>
          </w:tcPr>
          <w:p w14:paraId="6EDD05E5" w14:textId="16F2F44E" w:rsidR="00FB584C" w:rsidRPr="007114AF" w:rsidRDefault="00FB584C" w:rsidP="001C47F0">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xml:space="preserve">Buxheti IPA (kontrata e asistencës teknike) marrja në punë e personelit shtesë: EUR 1 </w:t>
            </w:r>
            <w:r w:rsidR="001C47F0" w:rsidRPr="007114AF">
              <w:rPr>
                <w:rFonts w:ascii="Garamond" w:eastAsia="Times New Roman" w:hAnsi="Garamond" w:cs="Times New Roman"/>
                <w:sz w:val="18"/>
                <w:szCs w:val="18"/>
              </w:rPr>
              <w:t xml:space="preserve">milion </w:t>
            </w:r>
            <w:r w:rsidRPr="007114AF">
              <w:rPr>
                <w:rFonts w:ascii="Garamond" w:eastAsia="Times New Roman" w:hAnsi="Garamond" w:cs="Times New Roman"/>
                <w:sz w:val="18"/>
                <w:szCs w:val="18"/>
              </w:rPr>
              <w:t xml:space="preserve">(EUR 0.2 </w:t>
            </w:r>
            <w:r w:rsidR="001C47F0" w:rsidRPr="007114AF">
              <w:rPr>
                <w:rFonts w:ascii="Garamond" w:eastAsia="Times New Roman" w:hAnsi="Garamond" w:cs="Times New Roman"/>
                <w:sz w:val="18"/>
                <w:szCs w:val="18"/>
              </w:rPr>
              <w:t xml:space="preserve">milion </w:t>
            </w:r>
            <w:r w:rsidRPr="007114AF">
              <w:rPr>
                <w:rFonts w:ascii="Garamond" w:eastAsia="Times New Roman" w:hAnsi="Garamond" w:cs="Times New Roman"/>
                <w:sz w:val="18"/>
                <w:szCs w:val="18"/>
              </w:rPr>
              <w:t>për vit)</w:t>
            </w:r>
            <w:r w:rsidRPr="007114AF">
              <w:rPr>
                <w:rFonts w:ascii="Garamond" w:eastAsia="Times New Roman" w:hAnsi="Garamond" w:cs="Times New Roman"/>
                <w:sz w:val="18"/>
                <w:szCs w:val="18"/>
              </w:rPr>
              <w:br/>
              <w:t xml:space="preserve">Programet e trajnimit: EUR 0.2 </w:t>
            </w:r>
            <w:r w:rsidR="001C47F0" w:rsidRPr="007114AF">
              <w:rPr>
                <w:rFonts w:ascii="Garamond" w:eastAsia="Times New Roman" w:hAnsi="Garamond" w:cs="Times New Roman"/>
                <w:sz w:val="18"/>
                <w:szCs w:val="18"/>
              </w:rPr>
              <w:t xml:space="preserve">milion </w:t>
            </w:r>
            <w:r w:rsidRPr="007114AF">
              <w:rPr>
                <w:rFonts w:ascii="Garamond" w:eastAsia="Times New Roman" w:hAnsi="Garamond" w:cs="Times New Roman"/>
                <w:sz w:val="18"/>
                <w:szCs w:val="18"/>
              </w:rPr>
              <w:t>në total</w:t>
            </w:r>
          </w:p>
        </w:tc>
      </w:tr>
      <w:tr w:rsidR="00FB584C" w:rsidRPr="007114AF" w14:paraId="6EDD05F2" w14:textId="77777777" w:rsidTr="00FB584C">
        <w:trPr>
          <w:cantSplit/>
          <w:trHeight w:val="20"/>
          <w:jc w:val="center"/>
        </w:trPr>
        <w:tc>
          <w:tcPr>
            <w:cnfStyle w:val="001000000000" w:firstRow="0" w:lastRow="0" w:firstColumn="1" w:lastColumn="0" w:oddVBand="0" w:evenVBand="0" w:oddHBand="0" w:evenHBand="0" w:firstRowFirstColumn="0" w:firstRowLastColumn="0" w:lastRowFirstColumn="0" w:lastRowLastColumn="0"/>
            <w:tcW w:w="534" w:type="dxa"/>
            <w:noWrap/>
            <w:vAlign w:val="center"/>
            <w:hideMark/>
          </w:tcPr>
          <w:p w14:paraId="6EDD05E7" w14:textId="77777777" w:rsidR="00FB584C" w:rsidRPr="007114AF" w:rsidRDefault="00FB584C" w:rsidP="00FB584C">
            <w:pPr>
              <w:spacing w:after="0"/>
              <w:rPr>
                <w:rFonts w:ascii="Garamond" w:eastAsia="Times New Roman" w:hAnsi="Garamond" w:cs="Times New Roman"/>
                <w:b w:val="0"/>
                <w:bCs w:val="0"/>
                <w:sz w:val="18"/>
                <w:szCs w:val="18"/>
              </w:rPr>
            </w:pPr>
            <w:r w:rsidRPr="007114AF">
              <w:rPr>
                <w:rFonts w:ascii="Garamond" w:eastAsia="Times New Roman" w:hAnsi="Garamond" w:cs="Times New Roman"/>
                <w:sz w:val="18"/>
                <w:szCs w:val="18"/>
              </w:rPr>
              <w:t>T4</w:t>
            </w:r>
          </w:p>
        </w:tc>
        <w:tc>
          <w:tcPr>
            <w:tcW w:w="1813" w:type="dxa"/>
            <w:vAlign w:val="center"/>
            <w:hideMark/>
          </w:tcPr>
          <w:p w14:paraId="6EDD05E8"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Shto kapacitetin e Inspektoratit Kombëtar të Mjedisit për të kryer matjen e ndotjes nga burime të përmirësuara e të palëvizshme;</w:t>
            </w:r>
          </w:p>
        </w:tc>
        <w:tc>
          <w:tcPr>
            <w:tcW w:w="900" w:type="dxa"/>
            <w:vAlign w:val="center"/>
            <w:hideMark/>
          </w:tcPr>
          <w:p w14:paraId="6EDD05E9"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2017-2018</w:t>
            </w:r>
          </w:p>
        </w:tc>
        <w:tc>
          <w:tcPr>
            <w:tcW w:w="810" w:type="dxa"/>
            <w:vAlign w:val="center"/>
            <w:hideMark/>
          </w:tcPr>
          <w:p w14:paraId="6EDD05EA"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SMNS</w:t>
            </w:r>
          </w:p>
        </w:tc>
        <w:tc>
          <w:tcPr>
            <w:tcW w:w="1260" w:type="dxa"/>
            <w:vAlign w:val="center"/>
          </w:tcPr>
          <w:p w14:paraId="6EDD05EB"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Calibri"/>
                <w:sz w:val="18"/>
                <w:szCs w:val="18"/>
              </w:rPr>
            </w:pPr>
            <w:r w:rsidRPr="007114AF">
              <w:rPr>
                <w:rFonts w:ascii="Garamond" w:eastAsia="Times New Roman" w:hAnsi="Garamond" w:cs="Calibri"/>
                <w:sz w:val="18"/>
                <w:szCs w:val="18"/>
              </w:rPr>
              <w:t>Mundësuese</w:t>
            </w:r>
          </w:p>
        </w:tc>
        <w:tc>
          <w:tcPr>
            <w:tcW w:w="1080" w:type="dxa"/>
            <w:vAlign w:val="center"/>
            <w:hideMark/>
          </w:tcPr>
          <w:p w14:paraId="6EDD05EC"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10,400.00</w:t>
            </w:r>
          </w:p>
        </w:tc>
        <w:tc>
          <w:tcPr>
            <w:tcW w:w="1260" w:type="dxa"/>
            <w:vAlign w:val="center"/>
            <w:hideMark/>
          </w:tcPr>
          <w:p w14:paraId="6EDD05ED"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tc>
        <w:tc>
          <w:tcPr>
            <w:tcW w:w="1260" w:type="dxa"/>
            <w:vAlign w:val="center"/>
            <w:hideMark/>
          </w:tcPr>
          <w:p w14:paraId="6EDD05EE"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10,400.00</w:t>
            </w:r>
          </w:p>
        </w:tc>
        <w:tc>
          <w:tcPr>
            <w:tcW w:w="1080" w:type="dxa"/>
            <w:vAlign w:val="center"/>
            <w:hideMark/>
          </w:tcPr>
          <w:p w14:paraId="6EDD05EF"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tc>
        <w:tc>
          <w:tcPr>
            <w:tcW w:w="1260" w:type="dxa"/>
            <w:vAlign w:val="center"/>
            <w:hideMark/>
          </w:tcPr>
          <w:p w14:paraId="6EDD05F0"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tc>
        <w:tc>
          <w:tcPr>
            <w:tcW w:w="3150" w:type="dxa"/>
            <w:vAlign w:val="center"/>
            <w:hideMark/>
          </w:tcPr>
          <w:p w14:paraId="6EDD05F1"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Kostot janë të përllogaritura bazuar në projektet e njëjta</w:t>
            </w:r>
          </w:p>
        </w:tc>
      </w:tr>
      <w:tr w:rsidR="00FB584C" w:rsidRPr="007114AF" w14:paraId="6EDD05FE" w14:textId="77777777" w:rsidTr="00FB584C">
        <w:trPr>
          <w:cantSplit/>
          <w:trHeight w:val="20"/>
          <w:jc w:val="center"/>
        </w:trPr>
        <w:tc>
          <w:tcPr>
            <w:cnfStyle w:val="001000000000" w:firstRow="0" w:lastRow="0" w:firstColumn="1" w:lastColumn="0" w:oddVBand="0" w:evenVBand="0" w:oddHBand="0" w:evenHBand="0" w:firstRowFirstColumn="0" w:firstRowLastColumn="0" w:lastRowFirstColumn="0" w:lastRowLastColumn="0"/>
            <w:tcW w:w="534" w:type="dxa"/>
            <w:noWrap/>
            <w:vAlign w:val="center"/>
            <w:hideMark/>
          </w:tcPr>
          <w:p w14:paraId="6EDD05F3" w14:textId="77777777" w:rsidR="00FB584C" w:rsidRPr="007114AF" w:rsidRDefault="00FB584C" w:rsidP="00FB584C">
            <w:pPr>
              <w:spacing w:after="0"/>
              <w:rPr>
                <w:rFonts w:ascii="Garamond" w:eastAsia="Times New Roman" w:hAnsi="Garamond" w:cs="Times New Roman"/>
                <w:b w:val="0"/>
                <w:bCs w:val="0"/>
                <w:sz w:val="18"/>
                <w:szCs w:val="18"/>
              </w:rPr>
            </w:pPr>
            <w:r w:rsidRPr="007114AF">
              <w:rPr>
                <w:rFonts w:ascii="Garamond" w:eastAsia="Times New Roman" w:hAnsi="Garamond" w:cs="Times New Roman"/>
                <w:sz w:val="18"/>
                <w:szCs w:val="18"/>
              </w:rPr>
              <w:t>T5</w:t>
            </w:r>
          </w:p>
        </w:tc>
        <w:tc>
          <w:tcPr>
            <w:tcW w:w="1813" w:type="dxa"/>
            <w:vAlign w:val="center"/>
            <w:hideMark/>
          </w:tcPr>
          <w:p w14:paraId="6EDD05F4"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xml:space="preserve">Vendos një Mekanizëm për Grupin e Menaxhimit të Politikës së Integruar </w:t>
            </w:r>
          </w:p>
        </w:tc>
        <w:tc>
          <w:tcPr>
            <w:tcW w:w="900" w:type="dxa"/>
            <w:noWrap/>
            <w:vAlign w:val="center"/>
            <w:hideMark/>
          </w:tcPr>
          <w:p w14:paraId="6EDD05F5"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2020</w:t>
            </w:r>
          </w:p>
        </w:tc>
        <w:tc>
          <w:tcPr>
            <w:tcW w:w="810" w:type="dxa"/>
            <w:vAlign w:val="center"/>
            <w:hideMark/>
          </w:tcPr>
          <w:p w14:paraId="6EDD05F6"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NSDI-II</w:t>
            </w:r>
          </w:p>
        </w:tc>
        <w:tc>
          <w:tcPr>
            <w:tcW w:w="1260" w:type="dxa"/>
            <w:vAlign w:val="center"/>
          </w:tcPr>
          <w:p w14:paraId="6EDD05F7"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Calibri"/>
                <w:sz w:val="18"/>
                <w:szCs w:val="18"/>
              </w:rPr>
            </w:pPr>
            <w:r w:rsidRPr="007114AF">
              <w:rPr>
                <w:rFonts w:ascii="Garamond" w:eastAsia="Times New Roman" w:hAnsi="Garamond" w:cs="Calibri"/>
                <w:sz w:val="18"/>
                <w:szCs w:val="18"/>
              </w:rPr>
              <w:t>Mundësuese</w:t>
            </w:r>
          </w:p>
        </w:tc>
        <w:tc>
          <w:tcPr>
            <w:tcW w:w="1080" w:type="dxa"/>
            <w:noWrap/>
            <w:vAlign w:val="center"/>
            <w:hideMark/>
          </w:tcPr>
          <w:p w14:paraId="6EDD05F8"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0.00</w:t>
            </w:r>
          </w:p>
        </w:tc>
        <w:tc>
          <w:tcPr>
            <w:tcW w:w="1260" w:type="dxa"/>
            <w:noWrap/>
            <w:vAlign w:val="center"/>
            <w:hideMark/>
          </w:tcPr>
          <w:p w14:paraId="6EDD05F9"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0.00</w:t>
            </w:r>
          </w:p>
        </w:tc>
        <w:tc>
          <w:tcPr>
            <w:tcW w:w="1260" w:type="dxa"/>
            <w:noWrap/>
            <w:vAlign w:val="center"/>
            <w:hideMark/>
          </w:tcPr>
          <w:p w14:paraId="6EDD05FA"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tc>
        <w:tc>
          <w:tcPr>
            <w:tcW w:w="1080" w:type="dxa"/>
            <w:noWrap/>
            <w:vAlign w:val="center"/>
            <w:hideMark/>
          </w:tcPr>
          <w:p w14:paraId="6EDD05FB"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tc>
        <w:tc>
          <w:tcPr>
            <w:tcW w:w="1260" w:type="dxa"/>
            <w:noWrap/>
            <w:vAlign w:val="center"/>
            <w:hideMark/>
          </w:tcPr>
          <w:p w14:paraId="6EDD05FC"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tc>
        <w:tc>
          <w:tcPr>
            <w:tcW w:w="3150" w:type="dxa"/>
            <w:vAlign w:val="center"/>
            <w:hideMark/>
          </w:tcPr>
          <w:p w14:paraId="6EDD05FD"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Nuk ka nevojë për fonde shtesë për të zbatuar këtë masë</w:t>
            </w:r>
          </w:p>
        </w:tc>
      </w:tr>
      <w:tr w:rsidR="00FB584C" w:rsidRPr="007114AF" w14:paraId="6EDD060A" w14:textId="77777777" w:rsidTr="00FB584C">
        <w:trPr>
          <w:cantSplit/>
          <w:trHeight w:val="20"/>
          <w:jc w:val="center"/>
        </w:trPr>
        <w:tc>
          <w:tcPr>
            <w:cnfStyle w:val="001000000000" w:firstRow="0" w:lastRow="0" w:firstColumn="1" w:lastColumn="0" w:oddVBand="0" w:evenVBand="0" w:oddHBand="0" w:evenHBand="0" w:firstRowFirstColumn="0" w:firstRowLastColumn="0" w:lastRowFirstColumn="0" w:lastRowLastColumn="0"/>
            <w:tcW w:w="534" w:type="dxa"/>
            <w:noWrap/>
            <w:vAlign w:val="center"/>
            <w:hideMark/>
          </w:tcPr>
          <w:p w14:paraId="6EDD05FF" w14:textId="77777777" w:rsidR="00FB584C" w:rsidRPr="007114AF" w:rsidRDefault="00FB584C" w:rsidP="00FB584C">
            <w:pPr>
              <w:spacing w:after="0"/>
              <w:rPr>
                <w:rFonts w:ascii="Garamond" w:eastAsia="Times New Roman" w:hAnsi="Garamond" w:cs="Times New Roman"/>
                <w:b w:val="0"/>
                <w:bCs w:val="0"/>
                <w:sz w:val="18"/>
                <w:szCs w:val="18"/>
              </w:rPr>
            </w:pPr>
            <w:r w:rsidRPr="007114AF">
              <w:rPr>
                <w:rFonts w:ascii="Garamond" w:eastAsia="Times New Roman" w:hAnsi="Garamond" w:cs="Times New Roman"/>
                <w:sz w:val="18"/>
                <w:szCs w:val="18"/>
              </w:rPr>
              <w:t>T6</w:t>
            </w:r>
          </w:p>
        </w:tc>
        <w:tc>
          <w:tcPr>
            <w:tcW w:w="1813" w:type="dxa"/>
            <w:vAlign w:val="center"/>
            <w:hideMark/>
          </w:tcPr>
          <w:p w14:paraId="6EDD0600"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Bazë të dhënash për mbledhjen dhe monitorimin e të dhënave</w:t>
            </w:r>
          </w:p>
        </w:tc>
        <w:tc>
          <w:tcPr>
            <w:tcW w:w="900" w:type="dxa"/>
            <w:vAlign w:val="center"/>
            <w:hideMark/>
          </w:tcPr>
          <w:p w14:paraId="6EDD0601"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2016</w:t>
            </w:r>
          </w:p>
        </w:tc>
        <w:tc>
          <w:tcPr>
            <w:tcW w:w="810" w:type="dxa"/>
            <w:vAlign w:val="center"/>
            <w:hideMark/>
          </w:tcPr>
          <w:p w14:paraId="6EDD0602"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SMNS</w:t>
            </w:r>
          </w:p>
        </w:tc>
        <w:tc>
          <w:tcPr>
            <w:tcW w:w="1260" w:type="dxa"/>
            <w:vAlign w:val="center"/>
          </w:tcPr>
          <w:p w14:paraId="6EDD0603"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Calibri"/>
                <w:sz w:val="18"/>
                <w:szCs w:val="18"/>
              </w:rPr>
            </w:pPr>
            <w:r w:rsidRPr="007114AF">
              <w:rPr>
                <w:rFonts w:ascii="Garamond" w:eastAsia="Times New Roman" w:hAnsi="Garamond" w:cs="Calibri"/>
                <w:sz w:val="18"/>
                <w:szCs w:val="18"/>
              </w:rPr>
              <w:t>Mundësuese</w:t>
            </w:r>
          </w:p>
        </w:tc>
        <w:tc>
          <w:tcPr>
            <w:tcW w:w="1080" w:type="dxa"/>
            <w:vAlign w:val="center"/>
            <w:hideMark/>
          </w:tcPr>
          <w:p w14:paraId="6EDD0604"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10,000.00</w:t>
            </w:r>
          </w:p>
        </w:tc>
        <w:tc>
          <w:tcPr>
            <w:tcW w:w="1260" w:type="dxa"/>
            <w:vAlign w:val="center"/>
            <w:hideMark/>
          </w:tcPr>
          <w:p w14:paraId="6EDD0605"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10,000.00</w:t>
            </w:r>
          </w:p>
        </w:tc>
        <w:tc>
          <w:tcPr>
            <w:tcW w:w="1260" w:type="dxa"/>
            <w:vAlign w:val="center"/>
            <w:hideMark/>
          </w:tcPr>
          <w:p w14:paraId="6EDD0606"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tc>
        <w:tc>
          <w:tcPr>
            <w:tcW w:w="1080" w:type="dxa"/>
            <w:vAlign w:val="center"/>
            <w:hideMark/>
          </w:tcPr>
          <w:p w14:paraId="6EDD0607"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tc>
        <w:tc>
          <w:tcPr>
            <w:tcW w:w="1260" w:type="dxa"/>
            <w:vAlign w:val="center"/>
            <w:hideMark/>
          </w:tcPr>
          <w:p w14:paraId="6EDD0608"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tc>
        <w:tc>
          <w:tcPr>
            <w:tcW w:w="3150" w:type="dxa"/>
            <w:vAlign w:val="center"/>
            <w:hideMark/>
          </w:tcPr>
          <w:p w14:paraId="6EDD0609" w14:textId="2B5D0D5D"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xml:space="preserve">Rezultati H, Programi </w:t>
            </w:r>
            <w:r w:rsidR="000A2A01" w:rsidRPr="007114AF">
              <w:rPr>
                <w:rFonts w:ascii="Garamond" w:eastAsia="Times New Roman" w:hAnsi="Garamond" w:cs="Times New Roman"/>
                <w:sz w:val="18"/>
                <w:szCs w:val="18"/>
              </w:rPr>
              <w:t>“</w:t>
            </w:r>
            <w:r w:rsidRPr="007114AF">
              <w:rPr>
                <w:rFonts w:ascii="Garamond" w:eastAsia="Times New Roman" w:hAnsi="Garamond" w:cs="Times New Roman"/>
                <w:sz w:val="18"/>
                <w:szCs w:val="18"/>
              </w:rPr>
              <w:t>Mbështetja për Industrinë</w:t>
            </w:r>
            <w:r w:rsidR="000A2A01" w:rsidRPr="007114AF">
              <w:rPr>
                <w:rFonts w:ascii="Garamond" w:eastAsia="Times New Roman" w:hAnsi="Garamond" w:cs="Times New Roman"/>
                <w:sz w:val="18"/>
                <w:szCs w:val="18"/>
              </w:rPr>
              <w:t>”</w:t>
            </w:r>
            <w:r w:rsidRPr="007114AF">
              <w:rPr>
                <w:rFonts w:ascii="Garamond" w:eastAsia="Times New Roman" w:hAnsi="Garamond" w:cs="Times New Roman"/>
                <w:sz w:val="18"/>
                <w:szCs w:val="18"/>
              </w:rPr>
              <w:t>, MIE</w:t>
            </w:r>
          </w:p>
        </w:tc>
      </w:tr>
      <w:tr w:rsidR="00FB584C" w:rsidRPr="007114AF" w14:paraId="6EDD0616" w14:textId="77777777" w:rsidTr="00FB584C">
        <w:trPr>
          <w:cantSplit/>
          <w:trHeight w:val="20"/>
          <w:jc w:val="center"/>
        </w:trPr>
        <w:tc>
          <w:tcPr>
            <w:cnfStyle w:val="001000000000" w:firstRow="0" w:lastRow="0" w:firstColumn="1" w:lastColumn="0" w:oddVBand="0" w:evenVBand="0" w:oddHBand="0" w:evenHBand="0" w:firstRowFirstColumn="0" w:firstRowLastColumn="0" w:lastRowFirstColumn="0" w:lastRowLastColumn="0"/>
            <w:tcW w:w="534" w:type="dxa"/>
            <w:noWrap/>
            <w:vAlign w:val="center"/>
            <w:hideMark/>
          </w:tcPr>
          <w:p w14:paraId="6EDD060B" w14:textId="77777777" w:rsidR="00FB584C" w:rsidRPr="007114AF" w:rsidRDefault="00FB584C" w:rsidP="00FB584C">
            <w:pPr>
              <w:spacing w:after="0"/>
              <w:rPr>
                <w:rFonts w:ascii="Garamond" w:eastAsia="Times New Roman" w:hAnsi="Garamond" w:cs="Times New Roman"/>
                <w:b w:val="0"/>
                <w:bCs w:val="0"/>
                <w:sz w:val="18"/>
                <w:szCs w:val="18"/>
              </w:rPr>
            </w:pPr>
            <w:r w:rsidRPr="007114AF">
              <w:rPr>
                <w:rFonts w:ascii="Garamond" w:eastAsia="Times New Roman" w:hAnsi="Garamond" w:cs="Times New Roman"/>
                <w:sz w:val="18"/>
                <w:szCs w:val="18"/>
              </w:rPr>
              <w:lastRenderedPageBreak/>
              <w:t>T7</w:t>
            </w:r>
          </w:p>
        </w:tc>
        <w:tc>
          <w:tcPr>
            <w:tcW w:w="1813" w:type="dxa"/>
            <w:vAlign w:val="center"/>
            <w:hideMark/>
          </w:tcPr>
          <w:p w14:paraId="6EDD060C"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xml:space="preserve">Stacionet e monitorimit të cilësisë së ajrit dhe trafikut: Planëzo të përmirësosh qëndrueshmërinë në transport, kërko një monitorim efektiv të evolucionit të cilësisë së ajrit në bazë të kushteve të trafikut gjatë rrjetit. </w:t>
            </w:r>
          </w:p>
        </w:tc>
        <w:tc>
          <w:tcPr>
            <w:tcW w:w="900" w:type="dxa"/>
            <w:vAlign w:val="center"/>
            <w:hideMark/>
          </w:tcPr>
          <w:p w14:paraId="6EDD060D"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2016-2020</w:t>
            </w:r>
          </w:p>
        </w:tc>
        <w:tc>
          <w:tcPr>
            <w:tcW w:w="810" w:type="dxa"/>
            <w:vAlign w:val="center"/>
            <w:hideMark/>
          </w:tcPr>
          <w:p w14:paraId="6EDD060E"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TECTQ</w:t>
            </w:r>
          </w:p>
        </w:tc>
        <w:tc>
          <w:tcPr>
            <w:tcW w:w="1260" w:type="dxa"/>
            <w:vAlign w:val="center"/>
          </w:tcPr>
          <w:p w14:paraId="6EDD060F"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Calibri"/>
                <w:sz w:val="18"/>
                <w:szCs w:val="18"/>
              </w:rPr>
            </w:pPr>
            <w:r w:rsidRPr="007114AF">
              <w:rPr>
                <w:rFonts w:ascii="Garamond" w:eastAsia="Times New Roman" w:hAnsi="Garamond" w:cs="Calibri"/>
                <w:sz w:val="18"/>
                <w:szCs w:val="18"/>
              </w:rPr>
              <w:t>Mundësuese</w:t>
            </w:r>
          </w:p>
        </w:tc>
        <w:tc>
          <w:tcPr>
            <w:tcW w:w="1080" w:type="dxa"/>
            <w:vAlign w:val="center"/>
            <w:hideMark/>
          </w:tcPr>
          <w:p w14:paraId="6EDD0610"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826,000.00</w:t>
            </w:r>
          </w:p>
        </w:tc>
        <w:tc>
          <w:tcPr>
            <w:tcW w:w="1260" w:type="dxa"/>
            <w:vAlign w:val="center"/>
            <w:hideMark/>
          </w:tcPr>
          <w:p w14:paraId="6EDD0611"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280,000.00</w:t>
            </w:r>
          </w:p>
        </w:tc>
        <w:tc>
          <w:tcPr>
            <w:tcW w:w="1260" w:type="dxa"/>
            <w:vAlign w:val="center"/>
            <w:hideMark/>
          </w:tcPr>
          <w:p w14:paraId="6EDD0612"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tc>
        <w:tc>
          <w:tcPr>
            <w:tcW w:w="1080" w:type="dxa"/>
            <w:vAlign w:val="center"/>
            <w:hideMark/>
          </w:tcPr>
          <w:p w14:paraId="6EDD0613"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tc>
        <w:tc>
          <w:tcPr>
            <w:tcW w:w="1260" w:type="dxa"/>
            <w:vAlign w:val="center"/>
            <w:hideMark/>
          </w:tcPr>
          <w:p w14:paraId="6EDD0614"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546,000.00</w:t>
            </w:r>
          </w:p>
        </w:tc>
        <w:tc>
          <w:tcPr>
            <w:tcW w:w="3150" w:type="dxa"/>
            <w:vAlign w:val="center"/>
            <w:hideMark/>
          </w:tcPr>
          <w:p w14:paraId="6EDD0615" w14:textId="0FA91FAB"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546 mln Lek (investim)</w:t>
            </w:r>
            <w:r w:rsidR="000A2A01" w:rsidRPr="007114AF">
              <w:rPr>
                <w:rFonts w:ascii="Garamond" w:eastAsia="Times New Roman" w:hAnsi="Garamond" w:cs="Times New Roman"/>
                <w:sz w:val="18"/>
                <w:szCs w:val="18"/>
              </w:rPr>
              <w:t xml:space="preserve"> </w:t>
            </w:r>
            <w:r w:rsidRPr="007114AF">
              <w:rPr>
                <w:rFonts w:ascii="Garamond" w:eastAsia="Times New Roman" w:hAnsi="Garamond" w:cs="Times New Roman"/>
                <w:sz w:val="18"/>
                <w:szCs w:val="18"/>
              </w:rPr>
              <w:t>+ 56 mln Lek për vit (menaxhim). Kostot e investimit nga drafti përfundimtar i TECTQ</w:t>
            </w:r>
          </w:p>
        </w:tc>
      </w:tr>
      <w:tr w:rsidR="00FB584C" w:rsidRPr="007114AF" w14:paraId="6EDD0622" w14:textId="77777777" w:rsidTr="00FB584C">
        <w:trPr>
          <w:cantSplit/>
          <w:trHeight w:val="20"/>
          <w:jc w:val="center"/>
        </w:trPr>
        <w:tc>
          <w:tcPr>
            <w:cnfStyle w:val="001000000000" w:firstRow="0" w:lastRow="0" w:firstColumn="1" w:lastColumn="0" w:oddVBand="0" w:evenVBand="0" w:oddHBand="0" w:evenHBand="0" w:firstRowFirstColumn="0" w:firstRowLastColumn="0" w:lastRowFirstColumn="0" w:lastRowLastColumn="0"/>
            <w:tcW w:w="534" w:type="dxa"/>
            <w:noWrap/>
            <w:vAlign w:val="center"/>
            <w:hideMark/>
          </w:tcPr>
          <w:p w14:paraId="6EDD0617" w14:textId="77777777" w:rsidR="00FB584C" w:rsidRPr="007114AF" w:rsidRDefault="00FB584C" w:rsidP="00FB584C">
            <w:pPr>
              <w:spacing w:after="0"/>
              <w:rPr>
                <w:rFonts w:ascii="Garamond" w:eastAsia="Times New Roman" w:hAnsi="Garamond" w:cs="Times New Roman"/>
                <w:b w:val="0"/>
                <w:bCs w:val="0"/>
                <w:sz w:val="18"/>
                <w:szCs w:val="18"/>
              </w:rPr>
            </w:pPr>
            <w:r w:rsidRPr="007114AF">
              <w:rPr>
                <w:rFonts w:ascii="Garamond" w:eastAsia="Times New Roman" w:hAnsi="Garamond" w:cs="Times New Roman"/>
                <w:sz w:val="18"/>
                <w:szCs w:val="18"/>
              </w:rPr>
              <w:t>T8</w:t>
            </w:r>
          </w:p>
        </w:tc>
        <w:tc>
          <w:tcPr>
            <w:tcW w:w="1813" w:type="dxa"/>
            <w:vAlign w:val="center"/>
            <w:hideMark/>
          </w:tcPr>
          <w:p w14:paraId="6EDD0618"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Monitorim dhe mbledhje të dhënash</w:t>
            </w:r>
          </w:p>
        </w:tc>
        <w:tc>
          <w:tcPr>
            <w:tcW w:w="900" w:type="dxa"/>
            <w:noWrap/>
            <w:vAlign w:val="center"/>
            <w:hideMark/>
          </w:tcPr>
          <w:p w14:paraId="6EDD0619"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2016-2020</w:t>
            </w:r>
          </w:p>
        </w:tc>
        <w:tc>
          <w:tcPr>
            <w:tcW w:w="810" w:type="dxa"/>
            <w:vAlign w:val="center"/>
            <w:hideMark/>
          </w:tcPr>
          <w:p w14:paraId="6EDD061A"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NSDI-II</w:t>
            </w:r>
          </w:p>
        </w:tc>
        <w:tc>
          <w:tcPr>
            <w:tcW w:w="1260" w:type="dxa"/>
            <w:vAlign w:val="center"/>
          </w:tcPr>
          <w:p w14:paraId="6EDD061B"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Calibri"/>
                <w:sz w:val="18"/>
                <w:szCs w:val="18"/>
              </w:rPr>
            </w:pPr>
            <w:r w:rsidRPr="007114AF">
              <w:rPr>
                <w:rFonts w:ascii="Garamond" w:eastAsia="Times New Roman" w:hAnsi="Garamond" w:cs="Calibri"/>
                <w:sz w:val="18"/>
                <w:szCs w:val="18"/>
              </w:rPr>
              <w:t>Mundësuese</w:t>
            </w:r>
          </w:p>
        </w:tc>
        <w:tc>
          <w:tcPr>
            <w:tcW w:w="1080" w:type="dxa"/>
            <w:noWrap/>
            <w:vAlign w:val="center"/>
            <w:hideMark/>
          </w:tcPr>
          <w:p w14:paraId="6EDD061C"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94,174.00</w:t>
            </w:r>
          </w:p>
        </w:tc>
        <w:tc>
          <w:tcPr>
            <w:tcW w:w="1260" w:type="dxa"/>
            <w:noWrap/>
            <w:vAlign w:val="center"/>
            <w:hideMark/>
          </w:tcPr>
          <w:p w14:paraId="6EDD061D"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94,174.00</w:t>
            </w:r>
          </w:p>
        </w:tc>
        <w:tc>
          <w:tcPr>
            <w:tcW w:w="1260" w:type="dxa"/>
            <w:noWrap/>
            <w:vAlign w:val="center"/>
            <w:hideMark/>
          </w:tcPr>
          <w:p w14:paraId="6EDD061E"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tc>
        <w:tc>
          <w:tcPr>
            <w:tcW w:w="1080" w:type="dxa"/>
            <w:noWrap/>
            <w:vAlign w:val="center"/>
            <w:hideMark/>
          </w:tcPr>
          <w:p w14:paraId="6EDD061F"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tc>
        <w:tc>
          <w:tcPr>
            <w:tcW w:w="1260" w:type="dxa"/>
            <w:noWrap/>
            <w:vAlign w:val="center"/>
            <w:hideMark/>
          </w:tcPr>
          <w:p w14:paraId="6EDD0620"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tc>
        <w:tc>
          <w:tcPr>
            <w:tcW w:w="3150" w:type="dxa"/>
            <w:vAlign w:val="center"/>
            <w:hideMark/>
          </w:tcPr>
          <w:p w14:paraId="6EDD0621" w14:textId="0FF043CA"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xml:space="preserve">Kosto totale e projektit </w:t>
            </w:r>
            <w:r w:rsidR="000A2A01" w:rsidRPr="007114AF">
              <w:rPr>
                <w:rFonts w:ascii="Garamond" w:eastAsia="Times New Roman" w:hAnsi="Garamond" w:cs="Times New Roman"/>
                <w:sz w:val="18"/>
                <w:szCs w:val="18"/>
              </w:rPr>
              <w:t>“</w:t>
            </w:r>
            <w:r w:rsidRPr="007114AF">
              <w:rPr>
                <w:rFonts w:ascii="Garamond" w:eastAsia="Times New Roman" w:hAnsi="Garamond" w:cs="Times New Roman"/>
                <w:sz w:val="18"/>
                <w:szCs w:val="18"/>
              </w:rPr>
              <w:t>Zbatimi i sistemit të menaxhimit të trafikut</w:t>
            </w:r>
            <w:r w:rsidR="000A2A01" w:rsidRPr="007114AF">
              <w:rPr>
                <w:rFonts w:ascii="Garamond" w:eastAsia="Times New Roman" w:hAnsi="Garamond" w:cs="Times New Roman"/>
                <w:sz w:val="18"/>
                <w:szCs w:val="18"/>
              </w:rPr>
              <w:t>”</w:t>
            </w:r>
            <w:r w:rsidRPr="007114AF">
              <w:rPr>
                <w:rFonts w:ascii="Garamond" w:eastAsia="Times New Roman" w:hAnsi="Garamond" w:cs="Times New Roman"/>
                <w:sz w:val="18"/>
                <w:szCs w:val="18"/>
              </w:rPr>
              <w:t xml:space="preserve"> I+II</w:t>
            </w:r>
          </w:p>
        </w:tc>
      </w:tr>
      <w:tr w:rsidR="00FB584C" w:rsidRPr="007114AF" w14:paraId="6EDD062E" w14:textId="77777777" w:rsidTr="00FB584C">
        <w:trPr>
          <w:cantSplit/>
          <w:trHeight w:val="20"/>
          <w:jc w:val="center"/>
        </w:trPr>
        <w:tc>
          <w:tcPr>
            <w:cnfStyle w:val="001000000000" w:firstRow="0" w:lastRow="0" w:firstColumn="1" w:lastColumn="0" w:oddVBand="0" w:evenVBand="0" w:oddHBand="0" w:evenHBand="0" w:firstRowFirstColumn="0" w:firstRowLastColumn="0" w:lastRowFirstColumn="0" w:lastRowLastColumn="0"/>
            <w:tcW w:w="534" w:type="dxa"/>
            <w:noWrap/>
            <w:vAlign w:val="center"/>
            <w:hideMark/>
          </w:tcPr>
          <w:p w14:paraId="6EDD0623" w14:textId="77777777" w:rsidR="00FB584C" w:rsidRPr="007114AF" w:rsidRDefault="00FB584C" w:rsidP="00FB584C">
            <w:pPr>
              <w:spacing w:after="0"/>
              <w:rPr>
                <w:rFonts w:ascii="Garamond" w:eastAsia="Times New Roman" w:hAnsi="Garamond" w:cs="Times New Roman"/>
                <w:b w:val="0"/>
                <w:bCs w:val="0"/>
                <w:sz w:val="18"/>
                <w:szCs w:val="18"/>
              </w:rPr>
            </w:pPr>
            <w:r w:rsidRPr="007114AF">
              <w:rPr>
                <w:rFonts w:ascii="Garamond" w:eastAsia="Times New Roman" w:hAnsi="Garamond" w:cs="Times New Roman"/>
                <w:sz w:val="18"/>
                <w:szCs w:val="18"/>
              </w:rPr>
              <w:t>T9</w:t>
            </w:r>
          </w:p>
        </w:tc>
        <w:tc>
          <w:tcPr>
            <w:tcW w:w="1813" w:type="dxa"/>
            <w:vAlign w:val="center"/>
            <w:hideMark/>
          </w:tcPr>
          <w:p w14:paraId="6EDD0624"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Përfundim dhe modernizim i rrjetit primar dhe sekondar rrugor Shqiptar- 1</w:t>
            </w:r>
          </w:p>
        </w:tc>
        <w:tc>
          <w:tcPr>
            <w:tcW w:w="900" w:type="dxa"/>
            <w:vAlign w:val="center"/>
            <w:hideMark/>
          </w:tcPr>
          <w:p w14:paraId="6EDD0625"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2016-2020</w:t>
            </w:r>
          </w:p>
        </w:tc>
        <w:tc>
          <w:tcPr>
            <w:tcW w:w="810" w:type="dxa"/>
            <w:vAlign w:val="center"/>
            <w:hideMark/>
          </w:tcPr>
          <w:p w14:paraId="6EDD0626"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SSTPV; NSDI-II; PKT</w:t>
            </w:r>
          </w:p>
        </w:tc>
        <w:tc>
          <w:tcPr>
            <w:tcW w:w="1260" w:type="dxa"/>
            <w:vAlign w:val="center"/>
          </w:tcPr>
          <w:p w14:paraId="6EDD0627"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Calibri"/>
                <w:sz w:val="18"/>
                <w:szCs w:val="18"/>
              </w:rPr>
            </w:pPr>
            <w:r w:rsidRPr="007114AF">
              <w:rPr>
                <w:rFonts w:ascii="Garamond" w:hAnsi="Garamond" w:cs="Calibri"/>
                <w:sz w:val="18"/>
                <w:szCs w:val="18"/>
              </w:rPr>
              <w:t>Indirekte</w:t>
            </w:r>
          </w:p>
        </w:tc>
        <w:tc>
          <w:tcPr>
            <w:tcW w:w="1080" w:type="dxa"/>
            <w:noWrap/>
            <w:vAlign w:val="center"/>
            <w:hideMark/>
          </w:tcPr>
          <w:p w14:paraId="6EDD0628"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117,867,931.00</w:t>
            </w:r>
          </w:p>
        </w:tc>
        <w:tc>
          <w:tcPr>
            <w:tcW w:w="1260" w:type="dxa"/>
            <w:vAlign w:val="center"/>
            <w:hideMark/>
          </w:tcPr>
          <w:p w14:paraId="6EDD0629"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14,082,861.00</w:t>
            </w:r>
          </w:p>
        </w:tc>
        <w:tc>
          <w:tcPr>
            <w:tcW w:w="1260" w:type="dxa"/>
            <w:vAlign w:val="center"/>
            <w:hideMark/>
          </w:tcPr>
          <w:p w14:paraId="6EDD062A"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14,540,070.00</w:t>
            </w:r>
          </w:p>
        </w:tc>
        <w:tc>
          <w:tcPr>
            <w:tcW w:w="1080" w:type="dxa"/>
            <w:vAlign w:val="center"/>
            <w:hideMark/>
          </w:tcPr>
          <w:p w14:paraId="6EDD062B"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tc>
        <w:tc>
          <w:tcPr>
            <w:tcW w:w="1260" w:type="dxa"/>
            <w:vAlign w:val="center"/>
            <w:hideMark/>
          </w:tcPr>
          <w:p w14:paraId="6EDD062C"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89,245,000.00</w:t>
            </w:r>
          </w:p>
        </w:tc>
        <w:tc>
          <w:tcPr>
            <w:tcW w:w="3150" w:type="dxa"/>
            <w:vAlign w:val="center"/>
            <w:hideMark/>
          </w:tcPr>
          <w:p w14:paraId="6EDD062D" w14:textId="13010214"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Projekti me bazë rezultatesh për mirëmbajtjen e rrugëve dhe sigurisë (RRMSP) (EUR 128.47 milion): Buxheti Kombëtar (EUR 62.57 milion), BB (EUR 65.90 milion)</w:t>
            </w:r>
            <w:r w:rsidRPr="007114AF">
              <w:rPr>
                <w:rFonts w:ascii="Garamond" w:eastAsia="Times New Roman" w:hAnsi="Garamond" w:cs="Times New Roman"/>
                <w:sz w:val="18"/>
                <w:szCs w:val="18"/>
              </w:rPr>
              <w:br/>
              <w:t>Programi i mirëmbajtjes shtesë të rrugëve (EUR 50 milion): Buxheti Kombëtar (EUR 30 milion), Buxheti IPA</w:t>
            </w:r>
            <w:r w:rsidR="000A2A01" w:rsidRPr="007114AF">
              <w:rPr>
                <w:rFonts w:ascii="Garamond" w:eastAsia="Times New Roman" w:hAnsi="Garamond" w:cs="Times New Roman"/>
                <w:sz w:val="18"/>
                <w:szCs w:val="18"/>
              </w:rPr>
              <w:t xml:space="preserve"> </w:t>
            </w:r>
            <w:r w:rsidRPr="007114AF">
              <w:rPr>
                <w:rFonts w:ascii="Garamond" w:eastAsia="Times New Roman" w:hAnsi="Garamond" w:cs="Times New Roman"/>
                <w:sz w:val="18"/>
                <w:szCs w:val="18"/>
              </w:rPr>
              <w:t>(EUR 20 milion)</w:t>
            </w:r>
            <w:r w:rsidRPr="007114AF">
              <w:rPr>
                <w:rFonts w:ascii="Garamond" w:eastAsia="Times New Roman" w:hAnsi="Garamond" w:cs="Times New Roman"/>
                <w:sz w:val="18"/>
                <w:szCs w:val="18"/>
              </w:rPr>
              <w:br/>
              <w:t>12 projekte rrugore prioritare - Punimet (EUR 650 milion): Buxheti Kombëtar (% për t</w:t>
            </w:r>
            <w:r w:rsidR="00D10DAB" w:rsidRPr="007114AF">
              <w:rPr>
                <w:rFonts w:ascii="Garamond" w:eastAsia="Times New Roman" w:hAnsi="Garamond" w:cs="Times New Roman"/>
                <w:sz w:val="18"/>
                <w:szCs w:val="18"/>
              </w:rPr>
              <w:t>’</w:t>
            </w:r>
            <w:r w:rsidRPr="007114AF">
              <w:rPr>
                <w:rFonts w:ascii="Garamond" w:eastAsia="Times New Roman" w:hAnsi="Garamond" w:cs="Times New Roman"/>
                <w:sz w:val="18"/>
                <w:szCs w:val="18"/>
              </w:rPr>
              <w:t>u përcaktuar), donatorët ndërkombëtarë (% për t</w:t>
            </w:r>
            <w:r w:rsidR="00D10DAB" w:rsidRPr="007114AF">
              <w:rPr>
                <w:rFonts w:ascii="Garamond" w:eastAsia="Times New Roman" w:hAnsi="Garamond" w:cs="Times New Roman"/>
                <w:sz w:val="18"/>
                <w:szCs w:val="18"/>
              </w:rPr>
              <w:t>’</w:t>
            </w:r>
            <w:r w:rsidRPr="007114AF">
              <w:rPr>
                <w:rFonts w:ascii="Garamond" w:eastAsia="Times New Roman" w:hAnsi="Garamond" w:cs="Times New Roman"/>
                <w:sz w:val="18"/>
                <w:szCs w:val="18"/>
              </w:rPr>
              <w:t>u përcaktuar)</w:t>
            </w:r>
            <w:r w:rsidRPr="007114AF">
              <w:rPr>
                <w:rFonts w:ascii="Garamond" w:eastAsia="Times New Roman" w:hAnsi="Garamond" w:cs="Times New Roman"/>
                <w:sz w:val="18"/>
                <w:szCs w:val="18"/>
              </w:rPr>
              <w:br/>
              <w:t>12 projekte rrugore prioritare – Fizibiliteti, Dizenjo paraprake dhe Studimet e Detajuara të Dizenjove (EUR 30 milion): Buxheti Kombëtar (EUR 10 milion), buxheti IPA (EUR 20 milion)</w:t>
            </w:r>
          </w:p>
        </w:tc>
      </w:tr>
      <w:tr w:rsidR="00FB584C" w:rsidRPr="007114AF" w14:paraId="6EDD063A" w14:textId="77777777" w:rsidTr="00FB584C">
        <w:trPr>
          <w:cantSplit/>
          <w:trHeight w:val="20"/>
          <w:jc w:val="center"/>
        </w:trPr>
        <w:tc>
          <w:tcPr>
            <w:cnfStyle w:val="001000000000" w:firstRow="0" w:lastRow="0" w:firstColumn="1" w:lastColumn="0" w:oddVBand="0" w:evenVBand="0" w:oddHBand="0" w:evenHBand="0" w:firstRowFirstColumn="0" w:firstRowLastColumn="0" w:lastRowFirstColumn="0" w:lastRowLastColumn="0"/>
            <w:tcW w:w="534" w:type="dxa"/>
            <w:noWrap/>
            <w:vAlign w:val="center"/>
            <w:hideMark/>
          </w:tcPr>
          <w:p w14:paraId="6EDD062F" w14:textId="77777777" w:rsidR="00FB584C" w:rsidRPr="007114AF" w:rsidRDefault="00FB584C" w:rsidP="00FB584C">
            <w:pPr>
              <w:spacing w:after="0"/>
              <w:rPr>
                <w:rFonts w:ascii="Garamond" w:eastAsia="Times New Roman" w:hAnsi="Garamond" w:cs="Times New Roman"/>
                <w:b w:val="0"/>
                <w:bCs w:val="0"/>
                <w:sz w:val="18"/>
                <w:szCs w:val="18"/>
              </w:rPr>
            </w:pPr>
            <w:r w:rsidRPr="007114AF">
              <w:rPr>
                <w:rFonts w:ascii="Garamond" w:eastAsia="Times New Roman" w:hAnsi="Garamond" w:cs="Times New Roman"/>
                <w:sz w:val="18"/>
                <w:szCs w:val="18"/>
              </w:rPr>
              <w:lastRenderedPageBreak/>
              <w:t>T10</w:t>
            </w:r>
          </w:p>
        </w:tc>
        <w:tc>
          <w:tcPr>
            <w:tcW w:w="1813" w:type="dxa"/>
            <w:vAlign w:val="center"/>
            <w:hideMark/>
          </w:tcPr>
          <w:p w14:paraId="6EDD0630"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Përfundim dhe modernizim i rrjetit primar dhe sekondar rrugor shqiptar - 2</w:t>
            </w:r>
          </w:p>
        </w:tc>
        <w:tc>
          <w:tcPr>
            <w:tcW w:w="900" w:type="dxa"/>
            <w:vAlign w:val="center"/>
            <w:hideMark/>
          </w:tcPr>
          <w:p w14:paraId="6EDD0631"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2016-2020</w:t>
            </w:r>
          </w:p>
        </w:tc>
        <w:tc>
          <w:tcPr>
            <w:tcW w:w="810" w:type="dxa"/>
            <w:vAlign w:val="center"/>
            <w:hideMark/>
          </w:tcPr>
          <w:p w14:paraId="6EDD0632"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SSTPV; PKT</w:t>
            </w:r>
          </w:p>
        </w:tc>
        <w:tc>
          <w:tcPr>
            <w:tcW w:w="1260" w:type="dxa"/>
            <w:vAlign w:val="center"/>
          </w:tcPr>
          <w:p w14:paraId="6EDD0633"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Calibri"/>
                <w:sz w:val="18"/>
                <w:szCs w:val="18"/>
              </w:rPr>
            </w:pPr>
            <w:r w:rsidRPr="007114AF">
              <w:rPr>
                <w:rFonts w:ascii="Garamond" w:hAnsi="Garamond" w:cs="Calibri"/>
                <w:sz w:val="18"/>
                <w:szCs w:val="18"/>
              </w:rPr>
              <w:t>Indirekte</w:t>
            </w:r>
          </w:p>
        </w:tc>
        <w:tc>
          <w:tcPr>
            <w:tcW w:w="1080" w:type="dxa"/>
            <w:vAlign w:val="center"/>
            <w:hideMark/>
          </w:tcPr>
          <w:p w14:paraId="6EDD0634"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1,485,586.00</w:t>
            </w:r>
          </w:p>
        </w:tc>
        <w:tc>
          <w:tcPr>
            <w:tcW w:w="1260" w:type="dxa"/>
            <w:noWrap/>
            <w:vAlign w:val="center"/>
            <w:hideMark/>
          </w:tcPr>
          <w:p w14:paraId="6EDD0635"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521,740.00</w:t>
            </w:r>
          </w:p>
        </w:tc>
        <w:tc>
          <w:tcPr>
            <w:tcW w:w="1260" w:type="dxa"/>
            <w:vAlign w:val="center"/>
            <w:hideMark/>
          </w:tcPr>
          <w:p w14:paraId="6EDD0636"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963,846.00</w:t>
            </w:r>
          </w:p>
        </w:tc>
        <w:tc>
          <w:tcPr>
            <w:tcW w:w="1080" w:type="dxa"/>
            <w:vAlign w:val="center"/>
            <w:hideMark/>
          </w:tcPr>
          <w:p w14:paraId="6EDD0637"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tc>
        <w:tc>
          <w:tcPr>
            <w:tcW w:w="1260" w:type="dxa"/>
            <w:vAlign w:val="center"/>
            <w:hideMark/>
          </w:tcPr>
          <w:p w14:paraId="6EDD0638"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tc>
        <w:tc>
          <w:tcPr>
            <w:tcW w:w="3150" w:type="dxa"/>
            <w:vAlign w:val="center"/>
            <w:hideMark/>
          </w:tcPr>
          <w:p w14:paraId="6EDD0639"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Buxheti Kombëtar (sistemi i menaxhimit të aseteve të rrugëve, Menaxhimi Financiar Publik - PFM) asistencë teknike: EUR 3.80 milion), BB (sistemi i menaxhimit të aseteve rrugore, PFM asistencë teknike: EUR 6.87 milion)</w:t>
            </w:r>
            <w:r w:rsidRPr="007114AF">
              <w:rPr>
                <w:rFonts w:ascii="Garamond" w:eastAsia="Times New Roman" w:hAnsi="Garamond" w:cs="Times New Roman"/>
                <w:sz w:val="18"/>
                <w:szCs w:val="18"/>
              </w:rPr>
              <w:br/>
              <w:t>buxheti IPA (2 edicione të programit të ndërtimit të kapaciteteve, programi dhe studimi mbi mundësinë e shënimit të taksave për përdorimin e rrugëve: EUR 0.15 milion)</w:t>
            </w:r>
          </w:p>
        </w:tc>
      </w:tr>
      <w:tr w:rsidR="00FB584C" w:rsidRPr="007114AF" w14:paraId="6EDD0646" w14:textId="77777777" w:rsidTr="00FB584C">
        <w:trPr>
          <w:cantSplit/>
          <w:trHeight w:val="20"/>
          <w:jc w:val="center"/>
        </w:trPr>
        <w:tc>
          <w:tcPr>
            <w:cnfStyle w:val="001000000000" w:firstRow="0" w:lastRow="0" w:firstColumn="1" w:lastColumn="0" w:oddVBand="0" w:evenVBand="0" w:oddHBand="0" w:evenHBand="0" w:firstRowFirstColumn="0" w:firstRowLastColumn="0" w:lastRowFirstColumn="0" w:lastRowLastColumn="0"/>
            <w:tcW w:w="534" w:type="dxa"/>
            <w:noWrap/>
            <w:vAlign w:val="center"/>
            <w:hideMark/>
          </w:tcPr>
          <w:p w14:paraId="6EDD063B" w14:textId="77777777" w:rsidR="00FB584C" w:rsidRPr="007114AF" w:rsidRDefault="00FB584C" w:rsidP="00FB584C">
            <w:pPr>
              <w:spacing w:after="0"/>
              <w:rPr>
                <w:rFonts w:ascii="Garamond" w:eastAsia="Times New Roman" w:hAnsi="Garamond" w:cs="Times New Roman"/>
                <w:b w:val="0"/>
                <w:bCs w:val="0"/>
                <w:sz w:val="18"/>
                <w:szCs w:val="18"/>
              </w:rPr>
            </w:pPr>
            <w:r w:rsidRPr="007114AF">
              <w:rPr>
                <w:rFonts w:ascii="Garamond" w:eastAsia="Times New Roman" w:hAnsi="Garamond" w:cs="Times New Roman"/>
                <w:sz w:val="18"/>
                <w:szCs w:val="18"/>
              </w:rPr>
              <w:t>T11</w:t>
            </w:r>
          </w:p>
        </w:tc>
        <w:tc>
          <w:tcPr>
            <w:tcW w:w="1813" w:type="dxa"/>
            <w:vAlign w:val="center"/>
            <w:hideMark/>
          </w:tcPr>
          <w:p w14:paraId="6EDD063C"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Përfundim dhe modernizim i rrjetit primar dhe sekondar rrugor shqiptar - 3</w:t>
            </w:r>
          </w:p>
        </w:tc>
        <w:tc>
          <w:tcPr>
            <w:tcW w:w="900" w:type="dxa"/>
            <w:vAlign w:val="center"/>
            <w:hideMark/>
          </w:tcPr>
          <w:p w14:paraId="6EDD063D"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2016-2020</w:t>
            </w:r>
          </w:p>
        </w:tc>
        <w:tc>
          <w:tcPr>
            <w:tcW w:w="810" w:type="dxa"/>
            <w:vAlign w:val="center"/>
            <w:hideMark/>
          </w:tcPr>
          <w:p w14:paraId="6EDD063E"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SSTPV; PKT</w:t>
            </w:r>
          </w:p>
        </w:tc>
        <w:tc>
          <w:tcPr>
            <w:tcW w:w="1260" w:type="dxa"/>
            <w:vAlign w:val="center"/>
          </w:tcPr>
          <w:p w14:paraId="6EDD063F"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Calibri"/>
                <w:sz w:val="18"/>
                <w:szCs w:val="18"/>
              </w:rPr>
            </w:pPr>
            <w:r w:rsidRPr="007114AF">
              <w:rPr>
                <w:rFonts w:ascii="Garamond" w:hAnsi="Garamond" w:cs="Calibri"/>
                <w:sz w:val="18"/>
                <w:szCs w:val="18"/>
              </w:rPr>
              <w:t>Indirekte</w:t>
            </w:r>
          </w:p>
        </w:tc>
        <w:tc>
          <w:tcPr>
            <w:tcW w:w="1080" w:type="dxa"/>
            <w:vAlign w:val="center"/>
            <w:hideMark/>
          </w:tcPr>
          <w:p w14:paraId="6EDD0640"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27,460.00</w:t>
            </w:r>
          </w:p>
        </w:tc>
        <w:tc>
          <w:tcPr>
            <w:tcW w:w="1260" w:type="dxa"/>
            <w:vAlign w:val="center"/>
            <w:hideMark/>
          </w:tcPr>
          <w:p w14:paraId="6EDD0641"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tc>
        <w:tc>
          <w:tcPr>
            <w:tcW w:w="1260" w:type="dxa"/>
            <w:noWrap/>
            <w:vAlign w:val="center"/>
            <w:hideMark/>
          </w:tcPr>
          <w:p w14:paraId="6EDD0642"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27,460.00</w:t>
            </w:r>
          </w:p>
        </w:tc>
        <w:tc>
          <w:tcPr>
            <w:tcW w:w="1080" w:type="dxa"/>
            <w:vAlign w:val="center"/>
            <w:hideMark/>
          </w:tcPr>
          <w:p w14:paraId="6EDD0643"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tc>
        <w:tc>
          <w:tcPr>
            <w:tcW w:w="1260" w:type="dxa"/>
            <w:vAlign w:val="center"/>
            <w:hideMark/>
          </w:tcPr>
          <w:p w14:paraId="6EDD0644"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tc>
        <w:tc>
          <w:tcPr>
            <w:tcW w:w="3150" w:type="dxa"/>
            <w:vAlign w:val="center"/>
            <w:hideMark/>
          </w:tcPr>
          <w:p w14:paraId="6EDD0645"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Buxheti IPA</w:t>
            </w:r>
          </w:p>
        </w:tc>
      </w:tr>
      <w:tr w:rsidR="00FB584C" w:rsidRPr="007114AF" w14:paraId="6EDD0656" w14:textId="77777777" w:rsidTr="00FB584C">
        <w:trPr>
          <w:cantSplit/>
          <w:trHeight w:val="1318"/>
          <w:jc w:val="center"/>
        </w:trPr>
        <w:tc>
          <w:tcPr>
            <w:cnfStyle w:val="001000000000" w:firstRow="0" w:lastRow="0" w:firstColumn="1" w:lastColumn="0" w:oddVBand="0" w:evenVBand="0" w:oddHBand="0" w:evenHBand="0" w:firstRowFirstColumn="0" w:firstRowLastColumn="0" w:lastRowFirstColumn="0" w:lastRowLastColumn="0"/>
            <w:tcW w:w="534" w:type="dxa"/>
            <w:noWrap/>
            <w:vAlign w:val="center"/>
            <w:hideMark/>
          </w:tcPr>
          <w:p w14:paraId="6EDD0647" w14:textId="77777777" w:rsidR="00FB584C" w:rsidRPr="007114AF" w:rsidRDefault="00FB584C" w:rsidP="00FB584C">
            <w:pPr>
              <w:spacing w:after="0"/>
              <w:rPr>
                <w:rFonts w:ascii="Garamond" w:eastAsia="Times New Roman" w:hAnsi="Garamond" w:cs="Times New Roman"/>
                <w:b w:val="0"/>
                <w:bCs w:val="0"/>
                <w:sz w:val="18"/>
                <w:szCs w:val="18"/>
              </w:rPr>
            </w:pPr>
            <w:r w:rsidRPr="007114AF">
              <w:rPr>
                <w:rFonts w:ascii="Garamond" w:eastAsia="Times New Roman" w:hAnsi="Garamond" w:cs="Times New Roman"/>
                <w:sz w:val="18"/>
                <w:szCs w:val="18"/>
              </w:rPr>
              <w:t>T12</w:t>
            </w:r>
          </w:p>
        </w:tc>
        <w:tc>
          <w:tcPr>
            <w:tcW w:w="1813" w:type="dxa"/>
            <w:vAlign w:val="center"/>
            <w:hideMark/>
          </w:tcPr>
          <w:p w14:paraId="6EDD0648"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Fuqizim i bashkëpunimit rajonal nëpërmjet lidhjeve rrugore- 1</w:t>
            </w:r>
          </w:p>
        </w:tc>
        <w:tc>
          <w:tcPr>
            <w:tcW w:w="900" w:type="dxa"/>
            <w:vAlign w:val="center"/>
            <w:hideMark/>
          </w:tcPr>
          <w:p w14:paraId="6EDD0649"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2016-2020</w:t>
            </w:r>
          </w:p>
        </w:tc>
        <w:tc>
          <w:tcPr>
            <w:tcW w:w="810" w:type="dxa"/>
            <w:vAlign w:val="center"/>
            <w:hideMark/>
          </w:tcPr>
          <w:p w14:paraId="6EDD064A"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SSTPV; NSDI-II</w:t>
            </w:r>
          </w:p>
        </w:tc>
        <w:tc>
          <w:tcPr>
            <w:tcW w:w="1260" w:type="dxa"/>
            <w:vAlign w:val="center"/>
          </w:tcPr>
          <w:p w14:paraId="6EDD064B"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Calibri"/>
                <w:sz w:val="18"/>
                <w:szCs w:val="18"/>
              </w:rPr>
            </w:pPr>
            <w:r w:rsidRPr="007114AF">
              <w:rPr>
                <w:rFonts w:ascii="Garamond" w:hAnsi="Garamond" w:cs="Calibri"/>
                <w:sz w:val="18"/>
                <w:szCs w:val="18"/>
              </w:rPr>
              <w:t>Indirekte</w:t>
            </w:r>
          </w:p>
        </w:tc>
        <w:tc>
          <w:tcPr>
            <w:tcW w:w="1080" w:type="dxa"/>
            <w:vAlign w:val="center"/>
            <w:hideMark/>
          </w:tcPr>
          <w:p w14:paraId="6EDD064C"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0.00</w:t>
            </w:r>
          </w:p>
        </w:tc>
        <w:tc>
          <w:tcPr>
            <w:tcW w:w="1260" w:type="dxa"/>
            <w:vAlign w:val="center"/>
            <w:hideMark/>
          </w:tcPr>
          <w:p w14:paraId="6EDD064D"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p w14:paraId="6EDD064E"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0.00</w:t>
            </w:r>
          </w:p>
        </w:tc>
        <w:tc>
          <w:tcPr>
            <w:tcW w:w="1260" w:type="dxa"/>
            <w:vAlign w:val="center"/>
            <w:hideMark/>
          </w:tcPr>
          <w:p w14:paraId="6EDD064F"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p w14:paraId="6EDD0650"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tc>
        <w:tc>
          <w:tcPr>
            <w:tcW w:w="1080" w:type="dxa"/>
            <w:vAlign w:val="center"/>
            <w:hideMark/>
          </w:tcPr>
          <w:p w14:paraId="6EDD0651"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p w14:paraId="6EDD0652"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tc>
        <w:tc>
          <w:tcPr>
            <w:tcW w:w="1260" w:type="dxa"/>
            <w:vAlign w:val="center"/>
            <w:hideMark/>
          </w:tcPr>
          <w:p w14:paraId="6EDD0653"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p w14:paraId="6EDD0654"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tc>
        <w:tc>
          <w:tcPr>
            <w:tcW w:w="3150" w:type="dxa"/>
            <w:vAlign w:val="center"/>
            <w:hideMark/>
          </w:tcPr>
          <w:p w14:paraId="6EDD0655"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Të përcaktohet rast pas rasti (në vartësi të nevojave të përshtatjes të secilës BCP). Asnjë kosto nuk është llogaritur për këtë masë. Buxheti shtetëror duhet të mbulojë këtë masë</w:t>
            </w:r>
          </w:p>
        </w:tc>
      </w:tr>
      <w:tr w:rsidR="00FB584C" w:rsidRPr="007114AF" w14:paraId="6EDD0662" w14:textId="77777777" w:rsidTr="00FB584C">
        <w:trPr>
          <w:cantSplit/>
          <w:trHeight w:val="20"/>
          <w:jc w:val="center"/>
        </w:trPr>
        <w:tc>
          <w:tcPr>
            <w:cnfStyle w:val="001000000000" w:firstRow="0" w:lastRow="0" w:firstColumn="1" w:lastColumn="0" w:oddVBand="0" w:evenVBand="0" w:oddHBand="0" w:evenHBand="0" w:firstRowFirstColumn="0" w:firstRowLastColumn="0" w:lastRowFirstColumn="0" w:lastRowLastColumn="0"/>
            <w:tcW w:w="534" w:type="dxa"/>
            <w:noWrap/>
            <w:vAlign w:val="center"/>
            <w:hideMark/>
          </w:tcPr>
          <w:p w14:paraId="6EDD0657" w14:textId="77777777" w:rsidR="00FB584C" w:rsidRPr="007114AF" w:rsidRDefault="00FB584C" w:rsidP="00FB584C">
            <w:pPr>
              <w:spacing w:after="0"/>
              <w:rPr>
                <w:rFonts w:ascii="Garamond" w:eastAsia="Times New Roman" w:hAnsi="Garamond" w:cs="Times New Roman"/>
                <w:b w:val="0"/>
                <w:bCs w:val="0"/>
                <w:sz w:val="18"/>
                <w:szCs w:val="18"/>
              </w:rPr>
            </w:pPr>
            <w:r w:rsidRPr="007114AF">
              <w:rPr>
                <w:rFonts w:ascii="Garamond" w:eastAsia="Times New Roman" w:hAnsi="Garamond" w:cs="Times New Roman"/>
                <w:sz w:val="18"/>
                <w:szCs w:val="18"/>
              </w:rPr>
              <w:t>T13</w:t>
            </w:r>
          </w:p>
        </w:tc>
        <w:tc>
          <w:tcPr>
            <w:tcW w:w="1813" w:type="dxa"/>
            <w:vAlign w:val="center"/>
            <w:hideMark/>
          </w:tcPr>
          <w:p w14:paraId="6EDD0658"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Fuqizim i bashkëpunimit rajonal nëpërmjet lidhjeve rrugore - 2</w:t>
            </w:r>
          </w:p>
        </w:tc>
        <w:tc>
          <w:tcPr>
            <w:tcW w:w="900" w:type="dxa"/>
            <w:vAlign w:val="center"/>
            <w:hideMark/>
          </w:tcPr>
          <w:p w14:paraId="6EDD0659"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2016-2020</w:t>
            </w:r>
          </w:p>
        </w:tc>
        <w:tc>
          <w:tcPr>
            <w:tcW w:w="810" w:type="dxa"/>
            <w:vAlign w:val="center"/>
            <w:hideMark/>
          </w:tcPr>
          <w:p w14:paraId="6EDD065A"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SSTPV; NSDI-II</w:t>
            </w:r>
          </w:p>
        </w:tc>
        <w:tc>
          <w:tcPr>
            <w:tcW w:w="1260" w:type="dxa"/>
            <w:vAlign w:val="center"/>
          </w:tcPr>
          <w:p w14:paraId="6EDD065B"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Calibri"/>
                <w:sz w:val="18"/>
                <w:szCs w:val="18"/>
              </w:rPr>
            </w:pPr>
            <w:r w:rsidRPr="007114AF">
              <w:rPr>
                <w:rFonts w:ascii="Garamond" w:hAnsi="Garamond" w:cs="Calibri"/>
                <w:sz w:val="18"/>
                <w:szCs w:val="18"/>
              </w:rPr>
              <w:t>Indirekte</w:t>
            </w:r>
          </w:p>
        </w:tc>
        <w:tc>
          <w:tcPr>
            <w:tcW w:w="1080" w:type="dxa"/>
            <w:vAlign w:val="center"/>
            <w:hideMark/>
          </w:tcPr>
          <w:p w14:paraId="6EDD065C"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343,250.00</w:t>
            </w:r>
          </w:p>
        </w:tc>
        <w:tc>
          <w:tcPr>
            <w:tcW w:w="1260" w:type="dxa"/>
            <w:noWrap/>
            <w:vAlign w:val="center"/>
            <w:hideMark/>
          </w:tcPr>
          <w:p w14:paraId="6EDD065D"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205,950.00</w:t>
            </w:r>
          </w:p>
        </w:tc>
        <w:tc>
          <w:tcPr>
            <w:tcW w:w="1260" w:type="dxa"/>
            <w:noWrap/>
            <w:vAlign w:val="center"/>
            <w:hideMark/>
          </w:tcPr>
          <w:p w14:paraId="6EDD065E"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137,300.00</w:t>
            </w:r>
          </w:p>
        </w:tc>
        <w:tc>
          <w:tcPr>
            <w:tcW w:w="1080" w:type="dxa"/>
            <w:vAlign w:val="center"/>
            <w:hideMark/>
          </w:tcPr>
          <w:p w14:paraId="6EDD065F"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tc>
        <w:tc>
          <w:tcPr>
            <w:tcW w:w="1260" w:type="dxa"/>
            <w:vAlign w:val="center"/>
            <w:hideMark/>
          </w:tcPr>
          <w:p w14:paraId="6EDD0660"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tc>
        <w:tc>
          <w:tcPr>
            <w:tcW w:w="3150" w:type="dxa"/>
            <w:vAlign w:val="center"/>
            <w:hideMark/>
          </w:tcPr>
          <w:p w14:paraId="6EDD0661"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EUR 2.5 milion</w:t>
            </w:r>
            <w:r w:rsidRPr="007114AF">
              <w:rPr>
                <w:rFonts w:ascii="Garamond" w:eastAsia="Times New Roman" w:hAnsi="Garamond" w:cs="Times New Roman"/>
                <w:sz w:val="18"/>
                <w:szCs w:val="18"/>
              </w:rPr>
              <w:br/>
              <w:t>(100 EUR/m2 të hapësirës së parkimit të kërkuar). Buxheti Shtetëror (EUR 1.5 milion), Buxheti IPA (EUR 1 milion)</w:t>
            </w:r>
          </w:p>
        </w:tc>
      </w:tr>
      <w:tr w:rsidR="00FB584C" w:rsidRPr="007114AF" w14:paraId="6EDD066E" w14:textId="77777777" w:rsidTr="00FB584C">
        <w:trPr>
          <w:cantSplit/>
          <w:trHeight w:val="20"/>
          <w:jc w:val="center"/>
        </w:trPr>
        <w:tc>
          <w:tcPr>
            <w:cnfStyle w:val="001000000000" w:firstRow="0" w:lastRow="0" w:firstColumn="1" w:lastColumn="0" w:oddVBand="0" w:evenVBand="0" w:oddHBand="0" w:evenHBand="0" w:firstRowFirstColumn="0" w:firstRowLastColumn="0" w:lastRowFirstColumn="0" w:lastRowLastColumn="0"/>
            <w:tcW w:w="534" w:type="dxa"/>
            <w:noWrap/>
            <w:vAlign w:val="center"/>
            <w:hideMark/>
          </w:tcPr>
          <w:p w14:paraId="6EDD0663" w14:textId="77777777" w:rsidR="00FB584C" w:rsidRPr="007114AF" w:rsidRDefault="00FB584C" w:rsidP="00FB584C">
            <w:pPr>
              <w:spacing w:after="0"/>
              <w:rPr>
                <w:rFonts w:ascii="Garamond" w:eastAsia="Times New Roman" w:hAnsi="Garamond" w:cs="Times New Roman"/>
                <w:b w:val="0"/>
                <w:bCs w:val="0"/>
                <w:sz w:val="18"/>
                <w:szCs w:val="18"/>
              </w:rPr>
            </w:pPr>
            <w:r w:rsidRPr="007114AF">
              <w:rPr>
                <w:rFonts w:ascii="Garamond" w:eastAsia="Times New Roman" w:hAnsi="Garamond" w:cs="Times New Roman"/>
                <w:sz w:val="18"/>
                <w:szCs w:val="18"/>
              </w:rPr>
              <w:t>T14</w:t>
            </w:r>
          </w:p>
        </w:tc>
        <w:tc>
          <w:tcPr>
            <w:tcW w:w="1813" w:type="dxa"/>
            <w:vAlign w:val="center"/>
            <w:hideMark/>
          </w:tcPr>
          <w:p w14:paraId="6EDD0664"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Fuqizim i bashkëpunimit rajonal nëpërmjet lidhjeve rrugore – shmang diskriminimin mbi operatorët shqiptarë të transportit</w:t>
            </w:r>
          </w:p>
        </w:tc>
        <w:tc>
          <w:tcPr>
            <w:tcW w:w="900" w:type="dxa"/>
            <w:vAlign w:val="center"/>
            <w:hideMark/>
          </w:tcPr>
          <w:p w14:paraId="6EDD0665"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2016-2020</w:t>
            </w:r>
          </w:p>
        </w:tc>
        <w:tc>
          <w:tcPr>
            <w:tcW w:w="810" w:type="dxa"/>
            <w:vAlign w:val="center"/>
            <w:hideMark/>
          </w:tcPr>
          <w:p w14:paraId="6EDD0666"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SSTPV; PKT</w:t>
            </w:r>
          </w:p>
        </w:tc>
        <w:tc>
          <w:tcPr>
            <w:tcW w:w="1260" w:type="dxa"/>
            <w:vAlign w:val="center"/>
          </w:tcPr>
          <w:p w14:paraId="6EDD0667"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Calibri"/>
                <w:sz w:val="18"/>
                <w:szCs w:val="18"/>
              </w:rPr>
            </w:pPr>
            <w:r w:rsidRPr="007114AF">
              <w:rPr>
                <w:rFonts w:ascii="Garamond" w:hAnsi="Garamond" w:cs="Calibri"/>
                <w:sz w:val="18"/>
                <w:szCs w:val="18"/>
              </w:rPr>
              <w:t>Indirekte</w:t>
            </w:r>
          </w:p>
        </w:tc>
        <w:tc>
          <w:tcPr>
            <w:tcW w:w="1080" w:type="dxa"/>
            <w:vAlign w:val="center"/>
            <w:hideMark/>
          </w:tcPr>
          <w:p w14:paraId="6EDD0668"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0.00</w:t>
            </w:r>
          </w:p>
        </w:tc>
        <w:tc>
          <w:tcPr>
            <w:tcW w:w="1260" w:type="dxa"/>
            <w:vAlign w:val="center"/>
            <w:hideMark/>
          </w:tcPr>
          <w:p w14:paraId="6EDD0669"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0.00</w:t>
            </w:r>
          </w:p>
        </w:tc>
        <w:tc>
          <w:tcPr>
            <w:tcW w:w="1260" w:type="dxa"/>
            <w:vAlign w:val="center"/>
            <w:hideMark/>
          </w:tcPr>
          <w:p w14:paraId="6EDD066A"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tc>
        <w:tc>
          <w:tcPr>
            <w:tcW w:w="1080" w:type="dxa"/>
            <w:vAlign w:val="center"/>
            <w:hideMark/>
          </w:tcPr>
          <w:p w14:paraId="6EDD066B"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tc>
        <w:tc>
          <w:tcPr>
            <w:tcW w:w="1260" w:type="dxa"/>
            <w:vAlign w:val="center"/>
            <w:hideMark/>
          </w:tcPr>
          <w:p w14:paraId="6EDD066C"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tc>
        <w:tc>
          <w:tcPr>
            <w:tcW w:w="3150" w:type="dxa"/>
            <w:vAlign w:val="center"/>
            <w:hideMark/>
          </w:tcPr>
          <w:p w14:paraId="6EDD066D"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Nuk është ndarë kosto për këtë masë. Buxheti i shtetit duhet të mbulojë këtë masë</w:t>
            </w:r>
          </w:p>
        </w:tc>
      </w:tr>
      <w:tr w:rsidR="00FB584C" w:rsidRPr="007114AF" w14:paraId="6EDD067A" w14:textId="77777777" w:rsidTr="00FB584C">
        <w:trPr>
          <w:cantSplit/>
          <w:trHeight w:val="20"/>
          <w:jc w:val="center"/>
        </w:trPr>
        <w:tc>
          <w:tcPr>
            <w:cnfStyle w:val="001000000000" w:firstRow="0" w:lastRow="0" w:firstColumn="1" w:lastColumn="0" w:oddVBand="0" w:evenVBand="0" w:oddHBand="0" w:evenHBand="0" w:firstRowFirstColumn="0" w:firstRowLastColumn="0" w:lastRowFirstColumn="0" w:lastRowLastColumn="0"/>
            <w:tcW w:w="534" w:type="dxa"/>
            <w:noWrap/>
            <w:vAlign w:val="center"/>
            <w:hideMark/>
          </w:tcPr>
          <w:p w14:paraId="6EDD066F" w14:textId="77777777" w:rsidR="00FB584C" w:rsidRPr="007114AF" w:rsidRDefault="00FB584C" w:rsidP="00FB584C">
            <w:pPr>
              <w:spacing w:after="0"/>
              <w:rPr>
                <w:rFonts w:ascii="Garamond" w:eastAsia="Times New Roman" w:hAnsi="Garamond" w:cs="Times New Roman"/>
                <w:b w:val="0"/>
                <w:bCs w:val="0"/>
                <w:sz w:val="18"/>
                <w:szCs w:val="18"/>
              </w:rPr>
            </w:pPr>
            <w:r w:rsidRPr="007114AF">
              <w:rPr>
                <w:rFonts w:ascii="Garamond" w:eastAsia="Times New Roman" w:hAnsi="Garamond" w:cs="Times New Roman"/>
                <w:sz w:val="18"/>
                <w:szCs w:val="18"/>
              </w:rPr>
              <w:t>T15</w:t>
            </w:r>
          </w:p>
        </w:tc>
        <w:tc>
          <w:tcPr>
            <w:tcW w:w="1813" w:type="dxa"/>
            <w:vAlign w:val="center"/>
            <w:hideMark/>
          </w:tcPr>
          <w:p w14:paraId="6EDD0670"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Siguro funksionimin e tregut të transportit rrugor në linjë me standardet evropiane - 1</w:t>
            </w:r>
          </w:p>
        </w:tc>
        <w:tc>
          <w:tcPr>
            <w:tcW w:w="900" w:type="dxa"/>
            <w:vAlign w:val="center"/>
            <w:hideMark/>
          </w:tcPr>
          <w:p w14:paraId="6EDD0671"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2016-2020</w:t>
            </w:r>
          </w:p>
        </w:tc>
        <w:tc>
          <w:tcPr>
            <w:tcW w:w="810" w:type="dxa"/>
            <w:vAlign w:val="center"/>
            <w:hideMark/>
          </w:tcPr>
          <w:p w14:paraId="6EDD0672"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SSTPV; NSDI-II</w:t>
            </w:r>
          </w:p>
        </w:tc>
        <w:tc>
          <w:tcPr>
            <w:tcW w:w="1260" w:type="dxa"/>
            <w:vAlign w:val="center"/>
          </w:tcPr>
          <w:p w14:paraId="6EDD0673"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Calibri"/>
                <w:sz w:val="18"/>
                <w:szCs w:val="18"/>
              </w:rPr>
            </w:pPr>
            <w:r w:rsidRPr="007114AF">
              <w:rPr>
                <w:rFonts w:ascii="Garamond" w:hAnsi="Garamond" w:cs="Calibri"/>
                <w:sz w:val="18"/>
                <w:szCs w:val="18"/>
              </w:rPr>
              <w:t>Indirekte</w:t>
            </w:r>
          </w:p>
        </w:tc>
        <w:tc>
          <w:tcPr>
            <w:tcW w:w="1080" w:type="dxa"/>
            <w:vAlign w:val="center"/>
            <w:hideMark/>
          </w:tcPr>
          <w:p w14:paraId="6EDD0674"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0.00</w:t>
            </w:r>
          </w:p>
        </w:tc>
        <w:tc>
          <w:tcPr>
            <w:tcW w:w="1260" w:type="dxa"/>
            <w:vAlign w:val="center"/>
            <w:hideMark/>
          </w:tcPr>
          <w:p w14:paraId="6EDD0675"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0.00</w:t>
            </w:r>
          </w:p>
        </w:tc>
        <w:tc>
          <w:tcPr>
            <w:tcW w:w="1260" w:type="dxa"/>
            <w:vAlign w:val="center"/>
            <w:hideMark/>
          </w:tcPr>
          <w:p w14:paraId="6EDD0676"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tc>
        <w:tc>
          <w:tcPr>
            <w:tcW w:w="1080" w:type="dxa"/>
            <w:vAlign w:val="center"/>
            <w:hideMark/>
          </w:tcPr>
          <w:p w14:paraId="6EDD0677"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tc>
        <w:tc>
          <w:tcPr>
            <w:tcW w:w="1260" w:type="dxa"/>
            <w:vAlign w:val="center"/>
            <w:hideMark/>
          </w:tcPr>
          <w:p w14:paraId="6EDD0678"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tc>
        <w:tc>
          <w:tcPr>
            <w:tcW w:w="3150" w:type="dxa"/>
            <w:vAlign w:val="center"/>
            <w:hideMark/>
          </w:tcPr>
          <w:p w14:paraId="6EDD0679"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Nuk është ndarë kosto për këtë masë. Buxheti i shtetit duhet të mbulojë këtë masë</w:t>
            </w:r>
          </w:p>
        </w:tc>
      </w:tr>
      <w:tr w:rsidR="00FB584C" w:rsidRPr="007114AF" w14:paraId="6EDD0686" w14:textId="77777777" w:rsidTr="00FB584C">
        <w:trPr>
          <w:cantSplit/>
          <w:trHeight w:val="20"/>
          <w:jc w:val="center"/>
        </w:trPr>
        <w:tc>
          <w:tcPr>
            <w:cnfStyle w:val="001000000000" w:firstRow="0" w:lastRow="0" w:firstColumn="1" w:lastColumn="0" w:oddVBand="0" w:evenVBand="0" w:oddHBand="0" w:evenHBand="0" w:firstRowFirstColumn="0" w:firstRowLastColumn="0" w:lastRowFirstColumn="0" w:lastRowLastColumn="0"/>
            <w:tcW w:w="534" w:type="dxa"/>
            <w:noWrap/>
            <w:vAlign w:val="center"/>
            <w:hideMark/>
          </w:tcPr>
          <w:p w14:paraId="6EDD067B" w14:textId="77777777" w:rsidR="00FB584C" w:rsidRPr="007114AF" w:rsidRDefault="00FB584C" w:rsidP="00FB584C">
            <w:pPr>
              <w:spacing w:after="0"/>
              <w:rPr>
                <w:rFonts w:ascii="Garamond" w:eastAsia="Times New Roman" w:hAnsi="Garamond" w:cs="Times New Roman"/>
                <w:b w:val="0"/>
                <w:bCs w:val="0"/>
                <w:sz w:val="18"/>
                <w:szCs w:val="18"/>
              </w:rPr>
            </w:pPr>
            <w:r w:rsidRPr="007114AF">
              <w:rPr>
                <w:rFonts w:ascii="Garamond" w:eastAsia="Times New Roman" w:hAnsi="Garamond" w:cs="Times New Roman"/>
                <w:sz w:val="18"/>
                <w:szCs w:val="18"/>
              </w:rPr>
              <w:lastRenderedPageBreak/>
              <w:t>T16</w:t>
            </w:r>
          </w:p>
        </w:tc>
        <w:tc>
          <w:tcPr>
            <w:tcW w:w="1813" w:type="dxa"/>
            <w:vAlign w:val="center"/>
            <w:hideMark/>
          </w:tcPr>
          <w:p w14:paraId="6EDD067C"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Siguro funksionimin e tregut të transportit rrugor në linjë me standardet evropiane - 2</w:t>
            </w:r>
          </w:p>
        </w:tc>
        <w:tc>
          <w:tcPr>
            <w:tcW w:w="900" w:type="dxa"/>
            <w:vAlign w:val="center"/>
            <w:hideMark/>
          </w:tcPr>
          <w:p w14:paraId="6EDD067D"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2016-2020</w:t>
            </w:r>
          </w:p>
        </w:tc>
        <w:tc>
          <w:tcPr>
            <w:tcW w:w="810" w:type="dxa"/>
            <w:vAlign w:val="center"/>
            <w:hideMark/>
          </w:tcPr>
          <w:p w14:paraId="6EDD067E"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SSTPV; NSDI-II</w:t>
            </w:r>
          </w:p>
        </w:tc>
        <w:tc>
          <w:tcPr>
            <w:tcW w:w="1260" w:type="dxa"/>
            <w:vAlign w:val="center"/>
          </w:tcPr>
          <w:p w14:paraId="6EDD067F"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Calibri"/>
                <w:sz w:val="18"/>
                <w:szCs w:val="18"/>
              </w:rPr>
            </w:pPr>
            <w:r w:rsidRPr="007114AF">
              <w:rPr>
                <w:rFonts w:ascii="Garamond" w:hAnsi="Garamond" w:cs="Calibri"/>
                <w:sz w:val="18"/>
                <w:szCs w:val="18"/>
              </w:rPr>
              <w:t>Indirekte</w:t>
            </w:r>
          </w:p>
        </w:tc>
        <w:tc>
          <w:tcPr>
            <w:tcW w:w="1080" w:type="dxa"/>
            <w:vAlign w:val="center"/>
            <w:hideMark/>
          </w:tcPr>
          <w:p w14:paraId="6EDD0680"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68,650.00</w:t>
            </w:r>
          </w:p>
        </w:tc>
        <w:tc>
          <w:tcPr>
            <w:tcW w:w="1260" w:type="dxa"/>
            <w:noWrap/>
            <w:vAlign w:val="center"/>
            <w:hideMark/>
          </w:tcPr>
          <w:p w14:paraId="6EDD0681"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68,650.00</w:t>
            </w:r>
          </w:p>
        </w:tc>
        <w:tc>
          <w:tcPr>
            <w:tcW w:w="1260" w:type="dxa"/>
            <w:vAlign w:val="center"/>
            <w:hideMark/>
          </w:tcPr>
          <w:p w14:paraId="6EDD0682"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tc>
        <w:tc>
          <w:tcPr>
            <w:tcW w:w="1080" w:type="dxa"/>
            <w:vAlign w:val="center"/>
            <w:hideMark/>
          </w:tcPr>
          <w:p w14:paraId="6EDD0683"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tc>
        <w:tc>
          <w:tcPr>
            <w:tcW w:w="1260" w:type="dxa"/>
            <w:vAlign w:val="center"/>
            <w:hideMark/>
          </w:tcPr>
          <w:p w14:paraId="6EDD0684"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tc>
        <w:tc>
          <w:tcPr>
            <w:tcW w:w="3150" w:type="dxa"/>
            <w:vAlign w:val="center"/>
            <w:hideMark/>
          </w:tcPr>
          <w:p w14:paraId="6EDD0685" w14:textId="044D577E" w:rsidR="00FB584C" w:rsidRPr="007114AF" w:rsidRDefault="00FB584C" w:rsidP="001C47F0">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xml:space="preserve">EUR 0.5 </w:t>
            </w:r>
            <w:r w:rsidR="001C47F0" w:rsidRPr="007114AF">
              <w:rPr>
                <w:rFonts w:ascii="Garamond" w:eastAsia="Times New Roman" w:hAnsi="Garamond" w:cs="Times New Roman"/>
                <w:sz w:val="18"/>
                <w:szCs w:val="18"/>
              </w:rPr>
              <w:t xml:space="preserve">milion </w:t>
            </w:r>
            <w:r w:rsidRPr="007114AF">
              <w:rPr>
                <w:rFonts w:ascii="Garamond" w:eastAsia="Times New Roman" w:hAnsi="Garamond" w:cs="Times New Roman"/>
                <w:sz w:val="18"/>
                <w:szCs w:val="18"/>
              </w:rPr>
              <w:t xml:space="preserve">(EUR 0.1 </w:t>
            </w:r>
            <w:r w:rsidR="001C47F0" w:rsidRPr="007114AF">
              <w:rPr>
                <w:rFonts w:ascii="Garamond" w:eastAsia="Times New Roman" w:hAnsi="Garamond" w:cs="Times New Roman"/>
                <w:sz w:val="18"/>
                <w:szCs w:val="18"/>
              </w:rPr>
              <w:t xml:space="preserve">milion </w:t>
            </w:r>
            <w:r w:rsidRPr="007114AF">
              <w:rPr>
                <w:rFonts w:ascii="Garamond" w:eastAsia="Times New Roman" w:hAnsi="Garamond" w:cs="Times New Roman"/>
                <w:sz w:val="18"/>
                <w:szCs w:val="18"/>
              </w:rPr>
              <w:t>për vit). Buxheti kombëtar</w:t>
            </w:r>
          </w:p>
        </w:tc>
      </w:tr>
      <w:tr w:rsidR="00FB584C" w:rsidRPr="007114AF" w14:paraId="6EDD0692" w14:textId="77777777" w:rsidTr="00FB584C">
        <w:trPr>
          <w:cantSplit/>
          <w:trHeight w:val="20"/>
          <w:jc w:val="center"/>
        </w:trPr>
        <w:tc>
          <w:tcPr>
            <w:cnfStyle w:val="001000000000" w:firstRow="0" w:lastRow="0" w:firstColumn="1" w:lastColumn="0" w:oddVBand="0" w:evenVBand="0" w:oddHBand="0" w:evenHBand="0" w:firstRowFirstColumn="0" w:firstRowLastColumn="0" w:lastRowFirstColumn="0" w:lastRowLastColumn="0"/>
            <w:tcW w:w="534" w:type="dxa"/>
            <w:noWrap/>
            <w:vAlign w:val="center"/>
            <w:hideMark/>
          </w:tcPr>
          <w:p w14:paraId="6EDD0687" w14:textId="77777777" w:rsidR="00FB584C" w:rsidRPr="007114AF" w:rsidRDefault="00FB584C" w:rsidP="00FB584C">
            <w:pPr>
              <w:spacing w:after="0"/>
              <w:rPr>
                <w:rFonts w:ascii="Garamond" w:eastAsia="Times New Roman" w:hAnsi="Garamond" w:cs="Times New Roman"/>
                <w:b w:val="0"/>
                <w:bCs w:val="0"/>
                <w:sz w:val="18"/>
                <w:szCs w:val="18"/>
              </w:rPr>
            </w:pPr>
            <w:r w:rsidRPr="007114AF">
              <w:rPr>
                <w:rFonts w:ascii="Garamond" w:eastAsia="Times New Roman" w:hAnsi="Garamond" w:cs="Times New Roman"/>
                <w:sz w:val="18"/>
                <w:szCs w:val="18"/>
              </w:rPr>
              <w:t>T17</w:t>
            </w:r>
          </w:p>
        </w:tc>
        <w:tc>
          <w:tcPr>
            <w:tcW w:w="1813" w:type="dxa"/>
            <w:vAlign w:val="center"/>
            <w:hideMark/>
          </w:tcPr>
          <w:p w14:paraId="6EDD0688"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Siguro funksionimin e tregut të transportit rrugor në linjë me standardet evropiane - 3</w:t>
            </w:r>
          </w:p>
        </w:tc>
        <w:tc>
          <w:tcPr>
            <w:tcW w:w="900" w:type="dxa"/>
            <w:vAlign w:val="center"/>
            <w:hideMark/>
          </w:tcPr>
          <w:p w14:paraId="6EDD0689"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2018-2020</w:t>
            </w:r>
          </w:p>
        </w:tc>
        <w:tc>
          <w:tcPr>
            <w:tcW w:w="810" w:type="dxa"/>
            <w:vAlign w:val="center"/>
            <w:hideMark/>
          </w:tcPr>
          <w:p w14:paraId="6EDD068A"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SSTPV; NSDI-II</w:t>
            </w:r>
          </w:p>
        </w:tc>
        <w:tc>
          <w:tcPr>
            <w:tcW w:w="1260" w:type="dxa"/>
            <w:vAlign w:val="center"/>
          </w:tcPr>
          <w:p w14:paraId="6EDD068B"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Calibri"/>
                <w:sz w:val="18"/>
                <w:szCs w:val="18"/>
              </w:rPr>
            </w:pPr>
            <w:r w:rsidRPr="007114AF">
              <w:rPr>
                <w:rFonts w:ascii="Garamond" w:hAnsi="Garamond" w:cs="Calibri"/>
                <w:sz w:val="18"/>
                <w:szCs w:val="18"/>
              </w:rPr>
              <w:t>Indirekte</w:t>
            </w:r>
          </w:p>
        </w:tc>
        <w:tc>
          <w:tcPr>
            <w:tcW w:w="1080" w:type="dxa"/>
            <w:noWrap/>
            <w:vAlign w:val="center"/>
            <w:hideMark/>
          </w:tcPr>
          <w:p w14:paraId="6EDD068C"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171,625.00</w:t>
            </w:r>
          </w:p>
        </w:tc>
        <w:tc>
          <w:tcPr>
            <w:tcW w:w="1260" w:type="dxa"/>
            <w:noWrap/>
            <w:vAlign w:val="center"/>
            <w:hideMark/>
          </w:tcPr>
          <w:p w14:paraId="6EDD068D"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34,325.00</w:t>
            </w:r>
          </w:p>
        </w:tc>
        <w:tc>
          <w:tcPr>
            <w:tcW w:w="1260" w:type="dxa"/>
            <w:vAlign w:val="center"/>
            <w:hideMark/>
          </w:tcPr>
          <w:p w14:paraId="6EDD068E"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137,300.00</w:t>
            </w:r>
          </w:p>
        </w:tc>
        <w:tc>
          <w:tcPr>
            <w:tcW w:w="1080" w:type="dxa"/>
            <w:vAlign w:val="center"/>
            <w:hideMark/>
          </w:tcPr>
          <w:p w14:paraId="6EDD068F"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tc>
        <w:tc>
          <w:tcPr>
            <w:tcW w:w="1260" w:type="dxa"/>
            <w:vAlign w:val="center"/>
            <w:hideMark/>
          </w:tcPr>
          <w:p w14:paraId="6EDD0690"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tc>
        <w:tc>
          <w:tcPr>
            <w:tcW w:w="3150" w:type="dxa"/>
            <w:vAlign w:val="center"/>
            <w:hideMark/>
          </w:tcPr>
          <w:p w14:paraId="6EDD0691"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Buxheti kombëtar (EUR 0.25 milion), Buxheti IPA (EUR 1 milion)</w:t>
            </w:r>
          </w:p>
        </w:tc>
      </w:tr>
      <w:tr w:rsidR="00FB584C" w:rsidRPr="007114AF" w14:paraId="6EDD069E" w14:textId="77777777" w:rsidTr="00FB584C">
        <w:trPr>
          <w:cantSplit/>
          <w:trHeight w:val="20"/>
          <w:jc w:val="center"/>
        </w:trPr>
        <w:tc>
          <w:tcPr>
            <w:cnfStyle w:val="001000000000" w:firstRow="0" w:lastRow="0" w:firstColumn="1" w:lastColumn="0" w:oddVBand="0" w:evenVBand="0" w:oddHBand="0" w:evenHBand="0" w:firstRowFirstColumn="0" w:firstRowLastColumn="0" w:lastRowFirstColumn="0" w:lastRowLastColumn="0"/>
            <w:tcW w:w="534" w:type="dxa"/>
            <w:noWrap/>
            <w:vAlign w:val="center"/>
            <w:hideMark/>
          </w:tcPr>
          <w:p w14:paraId="6EDD0693" w14:textId="77777777" w:rsidR="00FB584C" w:rsidRPr="007114AF" w:rsidRDefault="00FB584C" w:rsidP="00FB584C">
            <w:pPr>
              <w:spacing w:after="0"/>
              <w:rPr>
                <w:rFonts w:ascii="Garamond" w:eastAsia="Times New Roman" w:hAnsi="Garamond" w:cs="Times New Roman"/>
                <w:b w:val="0"/>
                <w:bCs w:val="0"/>
                <w:sz w:val="18"/>
                <w:szCs w:val="18"/>
              </w:rPr>
            </w:pPr>
            <w:r w:rsidRPr="007114AF">
              <w:rPr>
                <w:rFonts w:ascii="Garamond" w:eastAsia="Times New Roman" w:hAnsi="Garamond" w:cs="Times New Roman"/>
                <w:sz w:val="18"/>
                <w:szCs w:val="18"/>
              </w:rPr>
              <w:t>T18</w:t>
            </w:r>
          </w:p>
        </w:tc>
        <w:tc>
          <w:tcPr>
            <w:tcW w:w="1813" w:type="dxa"/>
            <w:vAlign w:val="center"/>
            <w:hideMark/>
          </w:tcPr>
          <w:p w14:paraId="6EDD0694"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Zgjerimi i kapacitetit rrugor - faza 1</w:t>
            </w:r>
          </w:p>
        </w:tc>
        <w:tc>
          <w:tcPr>
            <w:tcW w:w="900" w:type="dxa"/>
            <w:vAlign w:val="center"/>
            <w:hideMark/>
          </w:tcPr>
          <w:p w14:paraId="6EDD0695"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2016-2030</w:t>
            </w:r>
          </w:p>
        </w:tc>
        <w:tc>
          <w:tcPr>
            <w:tcW w:w="810" w:type="dxa"/>
            <w:vAlign w:val="center"/>
            <w:hideMark/>
          </w:tcPr>
          <w:p w14:paraId="6EDD0696"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TECTQ</w:t>
            </w:r>
          </w:p>
        </w:tc>
        <w:tc>
          <w:tcPr>
            <w:tcW w:w="1260" w:type="dxa"/>
            <w:vAlign w:val="center"/>
          </w:tcPr>
          <w:p w14:paraId="6EDD0697"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Calibri"/>
                <w:sz w:val="18"/>
                <w:szCs w:val="18"/>
              </w:rPr>
            </w:pPr>
            <w:r w:rsidRPr="007114AF">
              <w:rPr>
                <w:rFonts w:ascii="Garamond" w:hAnsi="Garamond" w:cs="Calibri"/>
                <w:sz w:val="18"/>
                <w:szCs w:val="18"/>
              </w:rPr>
              <w:t>Indirekte</w:t>
            </w:r>
          </w:p>
        </w:tc>
        <w:tc>
          <w:tcPr>
            <w:tcW w:w="1080" w:type="dxa"/>
            <w:vAlign w:val="center"/>
            <w:hideMark/>
          </w:tcPr>
          <w:p w14:paraId="6EDD0698"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27,580,000.00</w:t>
            </w:r>
          </w:p>
        </w:tc>
        <w:tc>
          <w:tcPr>
            <w:tcW w:w="1260" w:type="dxa"/>
            <w:vAlign w:val="center"/>
            <w:hideMark/>
          </w:tcPr>
          <w:p w14:paraId="6EDD0699"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151,030.00</w:t>
            </w:r>
          </w:p>
        </w:tc>
        <w:tc>
          <w:tcPr>
            <w:tcW w:w="1260" w:type="dxa"/>
            <w:vAlign w:val="center"/>
            <w:hideMark/>
          </w:tcPr>
          <w:p w14:paraId="6EDD069A"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137,300.00</w:t>
            </w:r>
          </w:p>
        </w:tc>
        <w:tc>
          <w:tcPr>
            <w:tcW w:w="1080" w:type="dxa"/>
            <w:vAlign w:val="center"/>
            <w:hideMark/>
          </w:tcPr>
          <w:p w14:paraId="6EDD069B"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tc>
        <w:tc>
          <w:tcPr>
            <w:tcW w:w="1260" w:type="dxa"/>
            <w:vAlign w:val="center"/>
            <w:hideMark/>
          </w:tcPr>
          <w:p w14:paraId="6EDD069C"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27,291,670.00</w:t>
            </w:r>
          </w:p>
        </w:tc>
        <w:tc>
          <w:tcPr>
            <w:tcW w:w="3150" w:type="dxa"/>
            <w:vAlign w:val="center"/>
            <w:hideMark/>
          </w:tcPr>
          <w:p w14:paraId="6EDD069D"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27,580 mln Lek; Kosto e marrë nga drafti përfundimtar i TECTQ. Fondet e nxjerra nga MoTI &amp;ËBIF</w:t>
            </w:r>
          </w:p>
        </w:tc>
      </w:tr>
      <w:tr w:rsidR="00FB584C" w:rsidRPr="007114AF" w14:paraId="6EDD06AA" w14:textId="77777777" w:rsidTr="00FB584C">
        <w:trPr>
          <w:cantSplit/>
          <w:trHeight w:val="20"/>
          <w:jc w:val="center"/>
        </w:trPr>
        <w:tc>
          <w:tcPr>
            <w:cnfStyle w:val="001000000000" w:firstRow="0" w:lastRow="0" w:firstColumn="1" w:lastColumn="0" w:oddVBand="0" w:evenVBand="0" w:oddHBand="0" w:evenHBand="0" w:firstRowFirstColumn="0" w:firstRowLastColumn="0" w:lastRowFirstColumn="0" w:lastRowLastColumn="0"/>
            <w:tcW w:w="534" w:type="dxa"/>
            <w:noWrap/>
            <w:vAlign w:val="center"/>
            <w:hideMark/>
          </w:tcPr>
          <w:p w14:paraId="6EDD069F" w14:textId="77777777" w:rsidR="00FB584C" w:rsidRPr="007114AF" w:rsidRDefault="00FB584C" w:rsidP="00FB584C">
            <w:pPr>
              <w:spacing w:after="0"/>
              <w:rPr>
                <w:rFonts w:ascii="Garamond" w:eastAsia="Times New Roman" w:hAnsi="Garamond" w:cs="Times New Roman"/>
                <w:b w:val="0"/>
                <w:bCs w:val="0"/>
                <w:sz w:val="18"/>
                <w:szCs w:val="18"/>
              </w:rPr>
            </w:pPr>
            <w:r w:rsidRPr="007114AF">
              <w:rPr>
                <w:rFonts w:ascii="Garamond" w:eastAsia="Times New Roman" w:hAnsi="Garamond" w:cs="Times New Roman"/>
                <w:sz w:val="18"/>
                <w:szCs w:val="18"/>
              </w:rPr>
              <w:t>T19</w:t>
            </w:r>
          </w:p>
        </w:tc>
        <w:tc>
          <w:tcPr>
            <w:tcW w:w="1813" w:type="dxa"/>
            <w:vAlign w:val="center"/>
            <w:hideMark/>
          </w:tcPr>
          <w:p w14:paraId="6EDD06A0"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Zgjerimi i kapacitetit rrugor - faza 2</w:t>
            </w:r>
          </w:p>
        </w:tc>
        <w:tc>
          <w:tcPr>
            <w:tcW w:w="900" w:type="dxa"/>
            <w:vAlign w:val="center"/>
            <w:hideMark/>
          </w:tcPr>
          <w:p w14:paraId="6EDD06A1"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2016-2030</w:t>
            </w:r>
          </w:p>
        </w:tc>
        <w:tc>
          <w:tcPr>
            <w:tcW w:w="810" w:type="dxa"/>
            <w:vAlign w:val="center"/>
            <w:hideMark/>
          </w:tcPr>
          <w:p w14:paraId="6EDD06A2"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TECTQ; PKVEE</w:t>
            </w:r>
          </w:p>
        </w:tc>
        <w:tc>
          <w:tcPr>
            <w:tcW w:w="1260" w:type="dxa"/>
            <w:vAlign w:val="center"/>
          </w:tcPr>
          <w:p w14:paraId="6EDD06A3"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Calibri"/>
                <w:sz w:val="18"/>
                <w:szCs w:val="18"/>
              </w:rPr>
            </w:pPr>
            <w:r w:rsidRPr="007114AF">
              <w:rPr>
                <w:rFonts w:ascii="Garamond" w:hAnsi="Garamond" w:cs="Calibri"/>
                <w:sz w:val="18"/>
                <w:szCs w:val="18"/>
              </w:rPr>
              <w:t>Indirekte</w:t>
            </w:r>
          </w:p>
        </w:tc>
        <w:tc>
          <w:tcPr>
            <w:tcW w:w="1080" w:type="dxa"/>
            <w:vAlign w:val="center"/>
            <w:hideMark/>
          </w:tcPr>
          <w:p w14:paraId="6EDD06A4"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68,114,000.00</w:t>
            </w:r>
          </w:p>
        </w:tc>
        <w:tc>
          <w:tcPr>
            <w:tcW w:w="1260" w:type="dxa"/>
            <w:noWrap/>
            <w:vAlign w:val="center"/>
            <w:hideMark/>
          </w:tcPr>
          <w:p w14:paraId="6EDD06A5"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8,417,241.00</w:t>
            </w:r>
          </w:p>
        </w:tc>
        <w:tc>
          <w:tcPr>
            <w:tcW w:w="1260" w:type="dxa"/>
            <w:vAlign w:val="center"/>
            <w:hideMark/>
          </w:tcPr>
          <w:p w14:paraId="6EDD06A6"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1,260,000.00</w:t>
            </w:r>
          </w:p>
        </w:tc>
        <w:tc>
          <w:tcPr>
            <w:tcW w:w="1080" w:type="dxa"/>
            <w:vAlign w:val="center"/>
            <w:hideMark/>
          </w:tcPr>
          <w:p w14:paraId="6EDD06A7"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tc>
        <w:tc>
          <w:tcPr>
            <w:tcW w:w="1260" w:type="dxa"/>
            <w:vAlign w:val="center"/>
            <w:hideMark/>
          </w:tcPr>
          <w:p w14:paraId="6EDD06A8"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58,436,759.00</w:t>
            </w:r>
          </w:p>
        </w:tc>
        <w:tc>
          <w:tcPr>
            <w:tcW w:w="3150" w:type="dxa"/>
            <w:vAlign w:val="center"/>
            <w:hideMark/>
          </w:tcPr>
          <w:p w14:paraId="6EDD06A9"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68,114 mln Lek Kosto e marrë nga drafti përfundimtar i TECTQ. Fondet e nxjerra nga BEI&amp;EBRD</w:t>
            </w:r>
          </w:p>
        </w:tc>
      </w:tr>
      <w:tr w:rsidR="00FB584C" w:rsidRPr="007114AF" w14:paraId="6EDD06B6" w14:textId="77777777" w:rsidTr="00FB584C">
        <w:trPr>
          <w:cantSplit/>
          <w:trHeight w:val="20"/>
          <w:jc w:val="center"/>
        </w:trPr>
        <w:tc>
          <w:tcPr>
            <w:cnfStyle w:val="001000000000" w:firstRow="0" w:lastRow="0" w:firstColumn="1" w:lastColumn="0" w:oddVBand="0" w:evenVBand="0" w:oddHBand="0" w:evenHBand="0" w:firstRowFirstColumn="0" w:firstRowLastColumn="0" w:lastRowFirstColumn="0" w:lastRowLastColumn="0"/>
            <w:tcW w:w="534" w:type="dxa"/>
            <w:noWrap/>
            <w:vAlign w:val="center"/>
            <w:hideMark/>
          </w:tcPr>
          <w:p w14:paraId="6EDD06AB" w14:textId="77777777" w:rsidR="00FB584C" w:rsidRPr="007114AF" w:rsidRDefault="00FB584C" w:rsidP="00FB584C">
            <w:pPr>
              <w:spacing w:after="0"/>
              <w:rPr>
                <w:rFonts w:ascii="Garamond" w:eastAsia="Times New Roman" w:hAnsi="Garamond" w:cs="Times New Roman"/>
                <w:b w:val="0"/>
                <w:bCs w:val="0"/>
                <w:sz w:val="18"/>
                <w:szCs w:val="18"/>
              </w:rPr>
            </w:pPr>
            <w:r w:rsidRPr="007114AF">
              <w:rPr>
                <w:rFonts w:ascii="Garamond" w:eastAsia="Times New Roman" w:hAnsi="Garamond" w:cs="Times New Roman"/>
                <w:sz w:val="18"/>
                <w:szCs w:val="18"/>
              </w:rPr>
              <w:t>T20</w:t>
            </w:r>
          </w:p>
        </w:tc>
        <w:tc>
          <w:tcPr>
            <w:tcW w:w="1813" w:type="dxa"/>
            <w:vAlign w:val="center"/>
            <w:hideMark/>
          </w:tcPr>
          <w:p w14:paraId="6EDD06AC"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xml:space="preserve">Përmirësimi i kushteve të shtrimit </w:t>
            </w:r>
          </w:p>
        </w:tc>
        <w:tc>
          <w:tcPr>
            <w:tcW w:w="900" w:type="dxa"/>
            <w:vAlign w:val="center"/>
            <w:hideMark/>
          </w:tcPr>
          <w:p w14:paraId="6EDD06AD"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2016-2020</w:t>
            </w:r>
          </w:p>
        </w:tc>
        <w:tc>
          <w:tcPr>
            <w:tcW w:w="810" w:type="dxa"/>
            <w:vAlign w:val="center"/>
            <w:hideMark/>
          </w:tcPr>
          <w:p w14:paraId="6EDD06AE"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TECTQ; AKMAP</w:t>
            </w:r>
          </w:p>
        </w:tc>
        <w:tc>
          <w:tcPr>
            <w:tcW w:w="1260" w:type="dxa"/>
            <w:vAlign w:val="center"/>
          </w:tcPr>
          <w:p w14:paraId="6EDD06AF"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Calibri"/>
                <w:sz w:val="18"/>
                <w:szCs w:val="18"/>
              </w:rPr>
            </w:pPr>
            <w:r w:rsidRPr="007114AF">
              <w:rPr>
                <w:rFonts w:ascii="Garamond" w:hAnsi="Garamond" w:cs="Calibri"/>
                <w:sz w:val="18"/>
                <w:szCs w:val="18"/>
              </w:rPr>
              <w:t>Direkte</w:t>
            </w:r>
          </w:p>
        </w:tc>
        <w:tc>
          <w:tcPr>
            <w:tcW w:w="1080" w:type="dxa"/>
            <w:vAlign w:val="center"/>
            <w:hideMark/>
          </w:tcPr>
          <w:p w14:paraId="6EDD06B0"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15,712,000.00</w:t>
            </w:r>
          </w:p>
        </w:tc>
        <w:tc>
          <w:tcPr>
            <w:tcW w:w="1260" w:type="dxa"/>
            <w:vAlign w:val="center"/>
            <w:hideMark/>
          </w:tcPr>
          <w:p w14:paraId="6EDD06B1"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tc>
        <w:tc>
          <w:tcPr>
            <w:tcW w:w="1260" w:type="dxa"/>
            <w:vAlign w:val="center"/>
            <w:hideMark/>
          </w:tcPr>
          <w:p w14:paraId="6EDD06B2"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15,712,000.00</w:t>
            </w:r>
          </w:p>
        </w:tc>
        <w:tc>
          <w:tcPr>
            <w:tcW w:w="1080" w:type="dxa"/>
            <w:vAlign w:val="center"/>
            <w:hideMark/>
          </w:tcPr>
          <w:p w14:paraId="6EDD06B3"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tc>
        <w:tc>
          <w:tcPr>
            <w:tcW w:w="1260" w:type="dxa"/>
            <w:vAlign w:val="center"/>
            <w:hideMark/>
          </w:tcPr>
          <w:p w14:paraId="6EDD06B4"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tc>
        <w:tc>
          <w:tcPr>
            <w:tcW w:w="3150" w:type="dxa"/>
            <w:vAlign w:val="center"/>
            <w:hideMark/>
          </w:tcPr>
          <w:p w14:paraId="6EDD06B5" w14:textId="64069AAC"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xml:space="preserve">Rezultati BY, Programi </w:t>
            </w:r>
            <w:r w:rsidR="000A2A01" w:rsidRPr="007114AF">
              <w:rPr>
                <w:rFonts w:ascii="Garamond" w:eastAsia="Times New Roman" w:hAnsi="Garamond" w:cs="Times New Roman"/>
                <w:sz w:val="18"/>
                <w:szCs w:val="18"/>
              </w:rPr>
              <w:t>“</w:t>
            </w:r>
            <w:r w:rsidRPr="007114AF">
              <w:rPr>
                <w:rFonts w:ascii="Garamond" w:eastAsia="Times New Roman" w:hAnsi="Garamond" w:cs="Times New Roman"/>
                <w:sz w:val="18"/>
                <w:szCs w:val="18"/>
              </w:rPr>
              <w:t>Projekti siguria rrugore dhe mirëmbajtja</w:t>
            </w:r>
            <w:r w:rsidR="000A2A01" w:rsidRPr="007114AF">
              <w:rPr>
                <w:rFonts w:ascii="Garamond" w:eastAsia="Times New Roman" w:hAnsi="Garamond" w:cs="Times New Roman"/>
                <w:sz w:val="18"/>
                <w:szCs w:val="18"/>
              </w:rPr>
              <w:t>”</w:t>
            </w:r>
            <w:r w:rsidRPr="007114AF">
              <w:rPr>
                <w:rFonts w:ascii="Garamond" w:eastAsia="Times New Roman" w:hAnsi="Garamond" w:cs="Times New Roman"/>
                <w:sz w:val="18"/>
                <w:szCs w:val="18"/>
              </w:rPr>
              <w:t xml:space="preserve"> me fondet e nxjerra nga ËB</w:t>
            </w:r>
          </w:p>
        </w:tc>
      </w:tr>
      <w:tr w:rsidR="00FB584C" w:rsidRPr="007114AF" w14:paraId="6EDD06CA" w14:textId="77777777" w:rsidTr="00FB584C">
        <w:trPr>
          <w:cantSplit/>
          <w:trHeight w:val="2365"/>
          <w:jc w:val="center"/>
        </w:trPr>
        <w:tc>
          <w:tcPr>
            <w:cnfStyle w:val="001000000000" w:firstRow="0" w:lastRow="0" w:firstColumn="1" w:lastColumn="0" w:oddVBand="0" w:evenVBand="0" w:oddHBand="0" w:evenHBand="0" w:firstRowFirstColumn="0" w:firstRowLastColumn="0" w:lastRowFirstColumn="0" w:lastRowLastColumn="0"/>
            <w:tcW w:w="534" w:type="dxa"/>
            <w:noWrap/>
            <w:vAlign w:val="center"/>
            <w:hideMark/>
          </w:tcPr>
          <w:p w14:paraId="6EDD06B7" w14:textId="77777777" w:rsidR="00FB584C" w:rsidRPr="007114AF" w:rsidRDefault="00FB584C" w:rsidP="00FB584C">
            <w:pPr>
              <w:spacing w:after="0"/>
              <w:rPr>
                <w:rFonts w:ascii="Garamond" w:eastAsia="Times New Roman" w:hAnsi="Garamond" w:cs="Times New Roman"/>
                <w:b w:val="0"/>
                <w:bCs w:val="0"/>
                <w:sz w:val="18"/>
                <w:szCs w:val="18"/>
              </w:rPr>
            </w:pPr>
            <w:r w:rsidRPr="007114AF">
              <w:rPr>
                <w:rFonts w:ascii="Garamond" w:eastAsia="Times New Roman" w:hAnsi="Garamond" w:cs="Times New Roman"/>
                <w:sz w:val="18"/>
                <w:szCs w:val="18"/>
              </w:rPr>
              <w:t>T21</w:t>
            </w:r>
          </w:p>
        </w:tc>
        <w:tc>
          <w:tcPr>
            <w:tcW w:w="1813" w:type="dxa"/>
            <w:vAlign w:val="center"/>
            <w:hideMark/>
          </w:tcPr>
          <w:p w14:paraId="6EDD06B8"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Zbatimi i teknologjive inovative në shtrim duke ulur impaktin mjedisor të mirëmbajtjes së rrugëve dhe trafikut në to (Udhëzime)</w:t>
            </w:r>
          </w:p>
        </w:tc>
        <w:tc>
          <w:tcPr>
            <w:tcW w:w="900" w:type="dxa"/>
            <w:vAlign w:val="center"/>
            <w:hideMark/>
          </w:tcPr>
          <w:p w14:paraId="6EDD06B9"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2018 – 2022</w:t>
            </w:r>
          </w:p>
        </w:tc>
        <w:tc>
          <w:tcPr>
            <w:tcW w:w="810" w:type="dxa"/>
            <w:vAlign w:val="center"/>
            <w:hideMark/>
          </w:tcPr>
          <w:p w14:paraId="6EDD06BA"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TECTQ; PKT</w:t>
            </w:r>
          </w:p>
        </w:tc>
        <w:tc>
          <w:tcPr>
            <w:tcW w:w="1260" w:type="dxa"/>
            <w:vAlign w:val="center"/>
          </w:tcPr>
          <w:p w14:paraId="6EDD06BB"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Calibri"/>
                <w:sz w:val="18"/>
                <w:szCs w:val="18"/>
              </w:rPr>
            </w:pPr>
            <w:r w:rsidRPr="007114AF">
              <w:rPr>
                <w:rFonts w:ascii="Garamond" w:hAnsi="Garamond" w:cs="Calibri"/>
                <w:sz w:val="18"/>
                <w:szCs w:val="18"/>
              </w:rPr>
              <w:t>Direkte</w:t>
            </w:r>
          </w:p>
        </w:tc>
        <w:tc>
          <w:tcPr>
            <w:tcW w:w="1080" w:type="dxa"/>
            <w:noWrap/>
            <w:vAlign w:val="center"/>
            <w:hideMark/>
          </w:tcPr>
          <w:p w14:paraId="6EDD06BC"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0.00</w:t>
            </w:r>
          </w:p>
        </w:tc>
        <w:tc>
          <w:tcPr>
            <w:tcW w:w="1260" w:type="dxa"/>
            <w:vAlign w:val="center"/>
            <w:hideMark/>
          </w:tcPr>
          <w:p w14:paraId="6EDD06BD"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0.00</w:t>
            </w:r>
          </w:p>
          <w:p w14:paraId="6EDD06BE"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p w14:paraId="6EDD06BF"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tc>
        <w:tc>
          <w:tcPr>
            <w:tcW w:w="1260" w:type="dxa"/>
            <w:vAlign w:val="center"/>
            <w:hideMark/>
          </w:tcPr>
          <w:p w14:paraId="6EDD06C0"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p w14:paraId="6EDD06C1"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p w14:paraId="6EDD06C2"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tc>
        <w:tc>
          <w:tcPr>
            <w:tcW w:w="1080" w:type="dxa"/>
            <w:vAlign w:val="center"/>
            <w:hideMark/>
          </w:tcPr>
          <w:p w14:paraId="6EDD06C3"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p w14:paraId="6EDD06C4"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p w14:paraId="6EDD06C5"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tc>
        <w:tc>
          <w:tcPr>
            <w:tcW w:w="1260" w:type="dxa"/>
            <w:vAlign w:val="center"/>
            <w:hideMark/>
          </w:tcPr>
          <w:p w14:paraId="6EDD06C6"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p w14:paraId="6EDD06C7"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p w14:paraId="6EDD06C8"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tc>
        <w:tc>
          <w:tcPr>
            <w:tcW w:w="3150" w:type="dxa"/>
            <w:vAlign w:val="center"/>
            <w:hideMark/>
          </w:tcPr>
          <w:p w14:paraId="6EDD06C9"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Përreth -25% e shtresës bituminoze (mirëmbajtja rrugore). Asnjë kostot e llogaritur për këtë masë në TECTQ (Zbatimi i aktiviteteve përgatitore në mundësimin e një shkalle më të gjerë të zbatimit në Shqipëri nga 2022)</w:t>
            </w:r>
          </w:p>
        </w:tc>
      </w:tr>
      <w:tr w:rsidR="00FB584C" w:rsidRPr="007114AF" w14:paraId="6EDD06E6" w14:textId="77777777" w:rsidTr="00FB584C">
        <w:trPr>
          <w:cantSplit/>
          <w:trHeight w:val="20"/>
          <w:jc w:val="center"/>
        </w:trPr>
        <w:tc>
          <w:tcPr>
            <w:cnfStyle w:val="001000000000" w:firstRow="0" w:lastRow="0" w:firstColumn="1" w:lastColumn="0" w:oddVBand="0" w:evenVBand="0" w:oddHBand="0" w:evenHBand="0" w:firstRowFirstColumn="0" w:firstRowLastColumn="0" w:lastRowFirstColumn="0" w:lastRowLastColumn="0"/>
            <w:tcW w:w="534" w:type="dxa"/>
            <w:noWrap/>
            <w:vAlign w:val="center"/>
            <w:hideMark/>
          </w:tcPr>
          <w:p w14:paraId="6EDD06CB" w14:textId="77777777" w:rsidR="00FB584C" w:rsidRPr="007114AF" w:rsidRDefault="00FB584C" w:rsidP="00FB584C">
            <w:pPr>
              <w:spacing w:after="0"/>
              <w:rPr>
                <w:rFonts w:ascii="Garamond" w:eastAsia="Times New Roman" w:hAnsi="Garamond" w:cs="Times New Roman"/>
                <w:b w:val="0"/>
                <w:bCs w:val="0"/>
                <w:sz w:val="18"/>
                <w:szCs w:val="18"/>
              </w:rPr>
            </w:pPr>
            <w:r w:rsidRPr="007114AF">
              <w:rPr>
                <w:rFonts w:ascii="Garamond" w:eastAsia="Times New Roman" w:hAnsi="Garamond" w:cs="Times New Roman"/>
                <w:sz w:val="18"/>
                <w:szCs w:val="18"/>
              </w:rPr>
              <w:t>T23</w:t>
            </w:r>
          </w:p>
        </w:tc>
        <w:tc>
          <w:tcPr>
            <w:tcW w:w="1813" w:type="dxa"/>
            <w:vAlign w:val="center"/>
            <w:hideMark/>
          </w:tcPr>
          <w:p w14:paraId="6EDD06CC"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Paraqitja e standardeve evropiane për mjetet</w:t>
            </w:r>
          </w:p>
        </w:tc>
        <w:tc>
          <w:tcPr>
            <w:tcW w:w="900" w:type="dxa"/>
            <w:vAlign w:val="center"/>
            <w:hideMark/>
          </w:tcPr>
          <w:p w14:paraId="6EDD06CD"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2018</w:t>
            </w:r>
          </w:p>
        </w:tc>
        <w:tc>
          <w:tcPr>
            <w:tcW w:w="810" w:type="dxa"/>
            <w:vAlign w:val="center"/>
            <w:hideMark/>
          </w:tcPr>
          <w:p w14:paraId="6EDD06CE"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PKVEE</w:t>
            </w:r>
          </w:p>
        </w:tc>
        <w:tc>
          <w:tcPr>
            <w:tcW w:w="1260" w:type="dxa"/>
            <w:vAlign w:val="center"/>
          </w:tcPr>
          <w:p w14:paraId="6EDD06CF"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Calibri"/>
                <w:sz w:val="18"/>
                <w:szCs w:val="18"/>
              </w:rPr>
            </w:pPr>
            <w:r w:rsidRPr="007114AF">
              <w:rPr>
                <w:rFonts w:ascii="Garamond" w:hAnsi="Garamond" w:cs="Calibri"/>
                <w:sz w:val="18"/>
                <w:szCs w:val="18"/>
              </w:rPr>
              <w:t>Indirekte</w:t>
            </w:r>
          </w:p>
        </w:tc>
        <w:tc>
          <w:tcPr>
            <w:tcW w:w="1080" w:type="dxa"/>
            <w:noWrap/>
            <w:vAlign w:val="center"/>
            <w:hideMark/>
          </w:tcPr>
          <w:p w14:paraId="6EDD06D0"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0.00</w:t>
            </w:r>
          </w:p>
        </w:tc>
        <w:tc>
          <w:tcPr>
            <w:tcW w:w="1260" w:type="dxa"/>
            <w:noWrap/>
            <w:vAlign w:val="center"/>
            <w:hideMark/>
          </w:tcPr>
          <w:p w14:paraId="6EDD06D1"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p w14:paraId="6EDD06D2"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p w14:paraId="6EDD06D3"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p w14:paraId="6EDD06D4"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p w14:paraId="6EDD06D5"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tc>
        <w:tc>
          <w:tcPr>
            <w:tcW w:w="1260" w:type="dxa"/>
            <w:noWrap/>
            <w:vAlign w:val="center"/>
            <w:hideMark/>
          </w:tcPr>
          <w:p w14:paraId="6EDD06D6"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p w14:paraId="6EDD06D7"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p w14:paraId="6EDD06D8"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p w14:paraId="6EDD06D9"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p w14:paraId="6EDD06DA"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tc>
        <w:tc>
          <w:tcPr>
            <w:tcW w:w="1080" w:type="dxa"/>
            <w:noWrap/>
            <w:vAlign w:val="center"/>
            <w:hideMark/>
          </w:tcPr>
          <w:p w14:paraId="6EDD06DB"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p w14:paraId="6EDD06DC"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p w14:paraId="6EDD06DD"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p w14:paraId="6EDD06DE"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p w14:paraId="6EDD06DF"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tc>
        <w:tc>
          <w:tcPr>
            <w:tcW w:w="1260" w:type="dxa"/>
            <w:noWrap/>
            <w:vAlign w:val="center"/>
            <w:hideMark/>
          </w:tcPr>
          <w:p w14:paraId="6EDD06E0"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p w14:paraId="6EDD06E1"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p w14:paraId="6EDD06E2"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p w14:paraId="6EDD06E3"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p w14:paraId="6EDD06E4"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tc>
        <w:tc>
          <w:tcPr>
            <w:tcW w:w="3150" w:type="dxa"/>
            <w:vAlign w:val="center"/>
            <w:hideMark/>
          </w:tcPr>
          <w:p w14:paraId="6EDD06E5"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Masa nuk ka efekt tek buxheti i shtetit</w:t>
            </w:r>
          </w:p>
        </w:tc>
      </w:tr>
      <w:tr w:rsidR="00FB584C" w:rsidRPr="007114AF" w14:paraId="6EDD06F2" w14:textId="77777777" w:rsidTr="00FB584C">
        <w:trPr>
          <w:cantSplit/>
          <w:trHeight w:val="20"/>
          <w:jc w:val="center"/>
        </w:trPr>
        <w:tc>
          <w:tcPr>
            <w:cnfStyle w:val="001000000000" w:firstRow="0" w:lastRow="0" w:firstColumn="1" w:lastColumn="0" w:oddVBand="0" w:evenVBand="0" w:oddHBand="0" w:evenHBand="0" w:firstRowFirstColumn="0" w:firstRowLastColumn="0" w:lastRowFirstColumn="0" w:lastRowLastColumn="0"/>
            <w:tcW w:w="534" w:type="dxa"/>
            <w:noWrap/>
            <w:vAlign w:val="center"/>
            <w:hideMark/>
          </w:tcPr>
          <w:p w14:paraId="6EDD06E7" w14:textId="77777777" w:rsidR="00FB584C" w:rsidRPr="007114AF" w:rsidRDefault="00FB584C" w:rsidP="00FB584C">
            <w:pPr>
              <w:spacing w:after="0"/>
              <w:rPr>
                <w:rFonts w:ascii="Garamond" w:eastAsia="Times New Roman" w:hAnsi="Garamond" w:cs="Times New Roman"/>
                <w:b w:val="0"/>
                <w:bCs w:val="0"/>
                <w:sz w:val="18"/>
                <w:szCs w:val="18"/>
              </w:rPr>
            </w:pPr>
            <w:r w:rsidRPr="007114AF">
              <w:rPr>
                <w:rFonts w:ascii="Garamond" w:eastAsia="Times New Roman" w:hAnsi="Garamond" w:cs="Times New Roman"/>
                <w:sz w:val="18"/>
                <w:szCs w:val="18"/>
              </w:rPr>
              <w:lastRenderedPageBreak/>
              <w:t>T24</w:t>
            </w:r>
          </w:p>
        </w:tc>
        <w:tc>
          <w:tcPr>
            <w:tcW w:w="1813" w:type="dxa"/>
            <w:vAlign w:val="center"/>
            <w:hideMark/>
          </w:tcPr>
          <w:p w14:paraId="6EDD06E8"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xml:space="preserve">Paraqitja e mjeteve të furnizuara me karburante alternative (RREH, PRREH, MBE, GNL, NG) </w:t>
            </w:r>
          </w:p>
        </w:tc>
        <w:tc>
          <w:tcPr>
            <w:tcW w:w="900" w:type="dxa"/>
            <w:vAlign w:val="center"/>
            <w:hideMark/>
          </w:tcPr>
          <w:p w14:paraId="6EDD06E9"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pas 2020 dhe deri në 2030</w:t>
            </w:r>
          </w:p>
        </w:tc>
        <w:tc>
          <w:tcPr>
            <w:tcW w:w="810" w:type="dxa"/>
            <w:vAlign w:val="center"/>
            <w:hideMark/>
          </w:tcPr>
          <w:p w14:paraId="6EDD06EA"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TECTQ; INDC; PKT</w:t>
            </w:r>
          </w:p>
        </w:tc>
        <w:tc>
          <w:tcPr>
            <w:tcW w:w="1260" w:type="dxa"/>
            <w:vAlign w:val="center"/>
          </w:tcPr>
          <w:p w14:paraId="6EDD06EB"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Calibri"/>
                <w:sz w:val="18"/>
                <w:szCs w:val="18"/>
              </w:rPr>
            </w:pPr>
            <w:r w:rsidRPr="007114AF">
              <w:rPr>
                <w:rFonts w:ascii="Garamond" w:hAnsi="Garamond" w:cs="Calibri"/>
                <w:sz w:val="18"/>
                <w:szCs w:val="18"/>
              </w:rPr>
              <w:t>Direkte</w:t>
            </w:r>
          </w:p>
        </w:tc>
        <w:tc>
          <w:tcPr>
            <w:tcW w:w="1080" w:type="dxa"/>
            <w:vAlign w:val="center"/>
            <w:hideMark/>
          </w:tcPr>
          <w:p w14:paraId="6EDD06EC"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0.00</w:t>
            </w:r>
          </w:p>
        </w:tc>
        <w:tc>
          <w:tcPr>
            <w:tcW w:w="1260" w:type="dxa"/>
            <w:vAlign w:val="center"/>
            <w:hideMark/>
          </w:tcPr>
          <w:p w14:paraId="6EDD06ED"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0.00</w:t>
            </w:r>
          </w:p>
        </w:tc>
        <w:tc>
          <w:tcPr>
            <w:tcW w:w="1260" w:type="dxa"/>
            <w:vAlign w:val="center"/>
            <w:hideMark/>
          </w:tcPr>
          <w:p w14:paraId="6EDD06EE"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tc>
        <w:tc>
          <w:tcPr>
            <w:tcW w:w="1080" w:type="dxa"/>
            <w:vAlign w:val="center"/>
            <w:hideMark/>
          </w:tcPr>
          <w:p w14:paraId="6EDD06EF"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tc>
        <w:tc>
          <w:tcPr>
            <w:tcW w:w="1260" w:type="dxa"/>
            <w:vAlign w:val="center"/>
            <w:hideMark/>
          </w:tcPr>
          <w:p w14:paraId="6EDD06F0"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tc>
        <w:tc>
          <w:tcPr>
            <w:tcW w:w="3150" w:type="dxa"/>
            <w:vAlign w:val="center"/>
            <w:hideMark/>
          </w:tcPr>
          <w:p w14:paraId="6EDD06F1"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Asnjë indikim financiar mbi buxhetin deri në 2020</w:t>
            </w:r>
          </w:p>
        </w:tc>
      </w:tr>
      <w:tr w:rsidR="00FB584C" w:rsidRPr="007114AF" w14:paraId="6EDD0702" w14:textId="77777777" w:rsidTr="00FB584C">
        <w:trPr>
          <w:cantSplit/>
          <w:trHeight w:val="2856"/>
          <w:jc w:val="center"/>
        </w:trPr>
        <w:tc>
          <w:tcPr>
            <w:cnfStyle w:val="001000000000" w:firstRow="0" w:lastRow="0" w:firstColumn="1" w:lastColumn="0" w:oddVBand="0" w:evenVBand="0" w:oddHBand="0" w:evenHBand="0" w:firstRowFirstColumn="0" w:firstRowLastColumn="0" w:lastRowFirstColumn="0" w:lastRowLastColumn="0"/>
            <w:tcW w:w="534" w:type="dxa"/>
            <w:noWrap/>
            <w:vAlign w:val="center"/>
            <w:hideMark/>
          </w:tcPr>
          <w:p w14:paraId="6EDD06F3" w14:textId="77777777" w:rsidR="00FB584C" w:rsidRPr="007114AF" w:rsidRDefault="00FB584C" w:rsidP="00FB584C">
            <w:pPr>
              <w:spacing w:after="0"/>
              <w:rPr>
                <w:rFonts w:ascii="Garamond" w:eastAsia="Times New Roman" w:hAnsi="Garamond" w:cs="Times New Roman"/>
                <w:b w:val="0"/>
                <w:bCs w:val="0"/>
                <w:sz w:val="18"/>
                <w:szCs w:val="18"/>
              </w:rPr>
            </w:pPr>
            <w:r w:rsidRPr="007114AF">
              <w:rPr>
                <w:rFonts w:ascii="Garamond" w:eastAsia="Times New Roman" w:hAnsi="Garamond" w:cs="Times New Roman"/>
                <w:sz w:val="18"/>
                <w:szCs w:val="18"/>
              </w:rPr>
              <w:t>T26</w:t>
            </w:r>
          </w:p>
        </w:tc>
        <w:tc>
          <w:tcPr>
            <w:tcW w:w="1813" w:type="dxa"/>
            <w:vAlign w:val="center"/>
            <w:hideMark/>
          </w:tcPr>
          <w:p w14:paraId="6EDD06F4"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xml:space="preserve">Udhëzimet planëzuese të integruara për përdorimin e tokës: masa ka si qëllim të ulë nevojën për udhëtim dhe kohëzgjatjen mesatare të udhëtimeve falë përdorimit të strategjive të përziera të transportit dhe vlerësimit të impaktit mbi zhvillimet e reja </w:t>
            </w:r>
          </w:p>
        </w:tc>
        <w:tc>
          <w:tcPr>
            <w:tcW w:w="900" w:type="dxa"/>
            <w:vAlign w:val="center"/>
            <w:hideMark/>
          </w:tcPr>
          <w:p w14:paraId="6EDD06F5"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2016-2022 aktivitete përgatitore; nga 2030 zbatim në shkallë të gjerë</w:t>
            </w:r>
          </w:p>
        </w:tc>
        <w:tc>
          <w:tcPr>
            <w:tcW w:w="810" w:type="dxa"/>
            <w:vAlign w:val="center"/>
            <w:hideMark/>
          </w:tcPr>
          <w:p w14:paraId="6EDD06F6"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TECTQ; PKT</w:t>
            </w:r>
          </w:p>
        </w:tc>
        <w:tc>
          <w:tcPr>
            <w:tcW w:w="1260" w:type="dxa"/>
            <w:vAlign w:val="center"/>
          </w:tcPr>
          <w:p w14:paraId="6EDD06F7"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Calibri"/>
                <w:sz w:val="18"/>
                <w:szCs w:val="18"/>
              </w:rPr>
            </w:pPr>
            <w:r w:rsidRPr="007114AF">
              <w:rPr>
                <w:rFonts w:ascii="Garamond" w:hAnsi="Garamond" w:cs="Calibri"/>
                <w:sz w:val="18"/>
                <w:szCs w:val="18"/>
              </w:rPr>
              <w:t>Direkte</w:t>
            </w:r>
          </w:p>
        </w:tc>
        <w:tc>
          <w:tcPr>
            <w:tcW w:w="1080" w:type="dxa"/>
            <w:vAlign w:val="center"/>
            <w:hideMark/>
          </w:tcPr>
          <w:p w14:paraId="6EDD06F8"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0.00</w:t>
            </w:r>
          </w:p>
        </w:tc>
        <w:tc>
          <w:tcPr>
            <w:tcW w:w="1260" w:type="dxa"/>
            <w:vAlign w:val="center"/>
            <w:hideMark/>
          </w:tcPr>
          <w:p w14:paraId="6EDD06F9"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0.00</w:t>
            </w:r>
          </w:p>
          <w:p w14:paraId="6EDD06FA"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tc>
        <w:tc>
          <w:tcPr>
            <w:tcW w:w="1260" w:type="dxa"/>
            <w:vAlign w:val="center"/>
            <w:hideMark/>
          </w:tcPr>
          <w:p w14:paraId="6EDD06FB"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p w14:paraId="6EDD06FC"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tc>
        <w:tc>
          <w:tcPr>
            <w:tcW w:w="1080" w:type="dxa"/>
            <w:vAlign w:val="center"/>
            <w:hideMark/>
          </w:tcPr>
          <w:p w14:paraId="6EDD06FD"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p w14:paraId="6EDD06FE"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tc>
        <w:tc>
          <w:tcPr>
            <w:tcW w:w="1260" w:type="dxa"/>
            <w:vAlign w:val="center"/>
            <w:hideMark/>
          </w:tcPr>
          <w:p w14:paraId="6EDD06FF"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p w14:paraId="6EDD0700"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tc>
        <w:tc>
          <w:tcPr>
            <w:tcW w:w="3150" w:type="dxa"/>
            <w:vAlign w:val="center"/>
            <w:hideMark/>
          </w:tcPr>
          <w:p w14:paraId="6EDD0701"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Rreth 25-30% për energjinë e konsumuar nga rrjedhat e duhura. Asnjë kosto e llogaritur për këtë në TECTQ </w:t>
            </w:r>
          </w:p>
        </w:tc>
      </w:tr>
      <w:tr w:rsidR="00FB584C" w:rsidRPr="007114AF" w14:paraId="6EDD070E" w14:textId="77777777" w:rsidTr="00FB584C">
        <w:trPr>
          <w:cantSplit/>
          <w:trHeight w:val="20"/>
          <w:jc w:val="center"/>
        </w:trPr>
        <w:tc>
          <w:tcPr>
            <w:cnfStyle w:val="001000000000" w:firstRow="0" w:lastRow="0" w:firstColumn="1" w:lastColumn="0" w:oddVBand="0" w:evenVBand="0" w:oddHBand="0" w:evenHBand="0" w:firstRowFirstColumn="0" w:firstRowLastColumn="0" w:lastRowFirstColumn="0" w:lastRowLastColumn="0"/>
            <w:tcW w:w="534" w:type="dxa"/>
            <w:noWrap/>
            <w:vAlign w:val="center"/>
            <w:hideMark/>
          </w:tcPr>
          <w:p w14:paraId="6EDD0703" w14:textId="77777777" w:rsidR="00FB584C" w:rsidRPr="007114AF" w:rsidRDefault="00FB584C" w:rsidP="00FB584C">
            <w:pPr>
              <w:spacing w:after="0"/>
              <w:rPr>
                <w:rFonts w:ascii="Garamond" w:eastAsia="Times New Roman" w:hAnsi="Garamond" w:cs="Times New Roman"/>
                <w:b w:val="0"/>
                <w:bCs w:val="0"/>
                <w:sz w:val="18"/>
                <w:szCs w:val="18"/>
              </w:rPr>
            </w:pPr>
            <w:r w:rsidRPr="007114AF">
              <w:rPr>
                <w:rFonts w:ascii="Garamond" w:eastAsia="Times New Roman" w:hAnsi="Garamond" w:cs="Times New Roman"/>
                <w:sz w:val="18"/>
                <w:szCs w:val="18"/>
              </w:rPr>
              <w:t>T27</w:t>
            </w:r>
          </w:p>
        </w:tc>
        <w:tc>
          <w:tcPr>
            <w:tcW w:w="1813" w:type="dxa"/>
            <w:vAlign w:val="center"/>
            <w:hideMark/>
          </w:tcPr>
          <w:p w14:paraId="6EDD0704"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Programi i lëvizshmërisë urbane</w:t>
            </w:r>
          </w:p>
        </w:tc>
        <w:tc>
          <w:tcPr>
            <w:tcW w:w="900" w:type="dxa"/>
            <w:noWrap/>
            <w:vAlign w:val="center"/>
            <w:hideMark/>
          </w:tcPr>
          <w:p w14:paraId="6EDD0705"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2016-2020</w:t>
            </w:r>
          </w:p>
        </w:tc>
        <w:tc>
          <w:tcPr>
            <w:tcW w:w="810" w:type="dxa"/>
            <w:vAlign w:val="center"/>
            <w:hideMark/>
          </w:tcPr>
          <w:p w14:paraId="6EDD0706"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PKZNK</w:t>
            </w:r>
          </w:p>
        </w:tc>
        <w:tc>
          <w:tcPr>
            <w:tcW w:w="1260" w:type="dxa"/>
            <w:vAlign w:val="center"/>
          </w:tcPr>
          <w:p w14:paraId="6EDD0707"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Calibri"/>
                <w:sz w:val="18"/>
                <w:szCs w:val="18"/>
              </w:rPr>
            </w:pPr>
            <w:r w:rsidRPr="007114AF">
              <w:rPr>
                <w:rFonts w:ascii="Garamond" w:hAnsi="Garamond" w:cs="Calibri"/>
                <w:sz w:val="18"/>
                <w:szCs w:val="18"/>
              </w:rPr>
              <w:t>Indirekte</w:t>
            </w:r>
          </w:p>
        </w:tc>
        <w:tc>
          <w:tcPr>
            <w:tcW w:w="1080" w:type="dxa"/>
            <w:noWrap/>
            <w:vAlign w:val="center"/>
            <w:hideMark/>
          </w:tcPr>
          <w:p w14:paraId="6EDD0708"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0.00</w:t>
            </w:r>
          </w:p>
        </w:tc>
        <w:tc>
          <w:tcPr>
            <w:tcW w:w="1260" w:type="dxa"/>
            <w:noWrap/>
            <w:vAlign w:val="center"/>
            <w:hideMark/>
          </w:tcPr>
          <w:p w14:paraId="6EDD0709"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0.00</w:t>
            </w:r>
          </w:p>
        </w:tc>
        <w:tc>
          <w:tcPr>
            <w:tcW w:w="1260" w:type="dxa"/>
            <w:noWrap/>
            <w:vAlign w:val="center"/>
            <w:hideMark/>
          </w:tcPr>
          <w:p w14:paraId="6EDD070A"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tc>
        <w:tc>
          <w:tcPr>
            <w:tcW w:w="1080" w:type="dxa"/>
            <w:noWrap/>
            <w:vAlign w:val="center"/>
            <w:hideMark/>
          </w:tcPr>
          <w:p w14:paraId="6EDD070B"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tc>
        <w:tc>
          <w:tcPr>
            <w:tcW w:w="1260" w:type="dxa"/>
            <w:noWrap/>
            <w:vAlign w:val="center"/>
            <w:hideMark/>
          </w:tcPr>
          <w:p w14:paraId="6EDD070C"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tc>
        <w:tc>
          <w:tcPr>
            <w:tcW w:w="3150" w:type="dxa"/>
            <w:vAlign w:val="center"/>
            <w:hideMark/>
          </w:tcPr>
          <w:p w14:paraId="6EDD070D" w14:textId="66BFBA20"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xml:space="preserve">Nuk ka nevojë për kostot shtesë për këtë masë. MZHU dhe donatorët kanë vënë në dispozicion fonde për planëzimin e ri urban. Në 2017 do të jetë gati Planëzimi Urban në 43 </w:t>
            </w:r>
            <w:r w:rsidR="00242009" w:rsidRPr="007114AF">
              <w:rPr>
                <w:rFonts w:ascii="Garamond" w:eastAsia="Times New Roman" w:hAnsi="Garamond" w:cs="Times New Roman"/>
                <w:sz w:val="18"/>
                <w:szCs w:val="18"/>
              </w:rPr>
              <w:t xml:space="preserve">bashki </w:t>
            </w:r>
          </w:p>
        </w:tc>
      </w:tr>
      <w:tr w:rsidR="00FB584C" w:rsidRPr="007114AF" w14:paraId="6EDD071A" w14:textId="77777777" w:rsidTr="00FB584C">
        <w:trPr>
          <w:cantSplit/>
          <w:trHeight w:val="20"/>
          <w:jc w:val="center"/>
        </w:trPr>
        <w:tc>
          <w:tcPr>
            <w:cnfStyle w:val="001000000000" w:firstRow="0" w:lastRow="0" w:firstColumn="1" w:lastColumn="0" w:oddVBand="0" w:evenVBand="0" w:oddHBand="0" w:evenHBand="0" w:firstRowFirstColumn="0" w:firstRowLastColumn="0" w:lastRowFirstColumn="0" w:lastRowLastColumn="0"/>
            <w:tcW w:w="534" w:type="dxa"/>
            <w:noWrap/>
            <w:vAlign w:val="center"/>
            <w:hideMark/>
          </w:tcPr>
          <w:p w14:paraId="6EDD070F" w14:textId="77777777" w:rsidR="00FB584C" w:rsidRPr="007114AF" w:rsidRDefault="00FB584C" w:rsidP="00FB584C">
            <w:pPr>
              <w:spacing w:after="0"/>
              <w:rPr>
                <w:rFonts w:ascii="Garamond" w:eastAsia="Times New Roman" w:hAnsi="Garamond" w:cs="Times New Roman"/>
                <w:b w:val="0"/>
                <w:bCs w:val="0"/>
                <w:sz w:val="18"/>
                <w:szCs w:val="18"/>
              </w:rPr>
            </w:pPr>
            <w:r w:rsidRPr="007114AF">
              <w:rPr>
                <w:rFonts w:ascii="Garamond" w:eastAsia="Times New Roman" w:hAnsi="Garamond" w:cs="Times New Roman"/>
                <w:sz w:val="18"/>
                <w:szCs w:val="18"/>
              </w:rPr>
              <w:t>T28</w:t>
            </w:r>
          </w:p>
        </w:tc>
        <w:tc>
          <w:tcPr>
            <w:tcW w:w="1813" w:type="dxa"/>
            <w:vAlign w:val="center"/>
            <w:hideMark/>
          </w:tcPr>
          <w:p w14:paraId="6EDD0710"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Përmirësimet e Transportit Publik</w:t>
            </w:r>
          </w:p>
        </w:tc>
        <w:tc>
          <w:tcPr>
            <w:tcW w:w="900" w:type="dxa"/>
            <w:vAlign w:val="center"/>
            <w:hideMark/>
          </w:tcPr>
          <w:p w14:paraId="6EDD0711"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Përgatitja nga 2016; shërbimi i aktivizuar nga 2020</w:t>
            </w:r>
          </w:p>
        </w:tc>
        <w:tc>
          <w:tcPr>
            <w:tcW w:w="810" w:type="dxa"/>
            <w:vAlign w:val="center"/>
            <w:hideMark/>
          </w:tcPr>
          <w:p w14:paraId="6EDD0712"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TECTQ; PKT</w:t>
            </w:r>
          </w:p>
        </w:tc>
        <w:tc>
          <w:tcPr>
            <w:tcW w:w="1260" w:type="dxa"/>
            <w:vAlign w:val="center"/>
          </w:tcPr>
          <w:p w14:paraId="6EDD0713"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Calibri"/>
                <w:sz w:val="18"/>
                <w:szCs w:val="18"/>
              </w:rPr>
            </w:pPr>
            <w:r w:rsidRPr="007114AF">
              <w:rPr>
                <w:rFonts w:ascii="Garamond" w:hAnsi="Garamond" w:cs="Calibri"/>
                <w:sz w:val="18"/>
                <w:szCs w:val="18"/>
              </w:rPr>
              <w:t>Direkte</w:t>
            </w:r>
          </w:p>
        </w:tc>
        <w:tc>
          <w:tcPr>
            <w:tcW w:w="1080" w:type="dxa"/>
            <w:vAlign w:val="center"/>
            <w:hideMark/>
          </w:tcPr>
          <w:p w14:paraId="6EDD0714"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11,000,000.00</w:t>
            </w:r>
          </w:p>
        </w:tc>
        <w:tc>
          <w:tcPr>
            <w:tcW w:w="1260" w:type="dxa"/>
            <w:vAlign w:val="center"/>
            <w:hideMark/>
          </w:tcPr>
          <w:p w14:paraId="6EDD0715"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tc>
        <w:tc>
          <w:tcPr>
            <w:tcW w:w="1260" w:type="dxa"/>
            <w:vAlign w:val="center"/>
            <w:hideMark/>
          </w:tcPr>
          <w:p w14:paraId="6EDD0716"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tc>
        <w:tc>
          <w:tcPr>
            <w:tcW w:w="1080" w:type="dxa"/>
            <w:vAlign w:val="center"/>
            <w:hideMark/>
          </w:tcPr>
          <w:p w14:paraId="6EDD0717"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11,000,000.00</w:t>
            </w:r>
          </w:p>
        </w:tc>
        <w:tc>
          <w:tcPr>
            <w:tcW w:w="1260" w:type="dxa"/>
            <w:vAlign w:val="center"/>
            <w:hideMark/>
          </w:tcPr>
          <w:p w14:paraId="6EDD0718"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tc>
        <w:tc>
          <w:tcPr>
            <w:tcW w:w="3150" w:type="dxa"/>
            <w:vAlign w:val="center"/>
            <w:hideMark/>
          </w:tcPr>
          <w:p w14:paraId="6EDD0719" w14:textId="3F97966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Zbatimi i skemës; duke mos konsideruar kostot vjetore të shërbimit të autobusëve; investimi përreth 11 miliard</w:t>
            </w:r>
            <w:r w:rsidR="00242009" w:rsidRPr="007114AF">
              <w:rPr>
                <w:rFonts w:ascii="Garamond" w:eastAsia="Times New Roman" w:hAnsi="Garamond" w:cs="Times New Roman"/>
                <w:sz w:val="18"/>
                <w:szCs w:val="18"/>
              </w:rPr>
              <w:t>ë</w:t>
            </w:r>
            <w:r w:rsidRPr="007114AF">
              <w:rPr>
                <w:rFonts w:ascii="Garamond" w:eastAsia="Times New Roman" w:hAnsi="Garamond" w:cs="Times New Roman"/>
                <w:sz w:val="18"/>
                <w:szCs w:val="18"/>
              </w:rPr>
              <w:t xml:space="preserve"> lekë</w:t>
            </w:r>
          </w:p>
        </w:tc>
      </w:tr>
      <w:tr w:rsidR="00FB584C" w:rsidRPr="007114AF" w14:paraId="6EDD0726" w14:textId="77777777" w:rsidTr="00FB584C">
        <w:trPr>
          <w:cantSplit/>
          <w:trHeight w:val="20"/>
          <w:jc w:val="center"/>
        </w:trPr>
        <w:tc>
          <w:tcPr>
            <w:cnfStyle w:val="001000000000" w:firstRow="0" w:lastRow="0" w:firstColumn="1" w:lastColumn="0" w:oddVBand="0" w:evenVBand="0" w:oddHBand="0" w:evenHBand="0" w:firstRowFirstColumn="0" w:firstRowLastColumn="0" w:lastRowFirstColumn="0" w:lastRowLastColumn="0"/>
            <w:tcW w:w="534" w:type="dxa"/>
            <w:noWrap/>
            <w:vAlign w:val="center"/>
            <w:hideMark/>
          </w:tcPr>
          <w:p w14:paraId="6EDD071B" w14:textId="77777777" w:rsidR="00FB584C" w:rsidRPr="007114AF" w:rsidRDefault="00FB584C" w:rsidP="00FB584C">
            <w:pPr>
              <w:spacing w:after="0"/>
              <w:rPr>
                <w:rFonts w:ascii="Garamond" w:eastAsia="Times New Roman" w:hAnsi="Garamond" w:cs="Times New Roman"/>
                <w:b w:val="0"/>
                <w:bCs w:val="0"/>
                <w:sz w:val="18"/>
                <w:szCs w:val="18"/>
              </w:rPr>
            </w:pPr>
            <w:r w:rsidRPr="007114AF">
              <w:rPr>
                <w:rFonts w:ascii="Garamond" w:eastAsia="Times New Roman" w:hAnsi="Garamond" w:cs="Times New Roman"/>
                <w:sz w:val="18"/>
                <w:szCs w:val="18"/>
              </w:rPr>
              <w:t>T29</w:t>
            </w:r>
          </w:p>
        </w:tc>
        <w:tc>
          <w:tcPr>
            <w:tcW w:w="1813" w:type="dxa"/>
            <w:vAlign w:val="center"/>
            <w:hideMark/>
          </w:tcPr>
          <w:p w14:paraId="6EDD071C"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xml:space="preserve">Përmirësimi i transportit publik në bashki </w:t>
            </w:r>
          </w:p>
        </w:tc>
        <w:tc>
          <w:tcPr>
            <w:tcW w:w="900" w:type="dxa"/>
            <w:vAlign w:val="center"/>
            <w:hideMark/>
          </w:tcPr>
          <w:p w14:paraId="6EDD071D"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2016-2018</w:t>
            </w:r>
          </w:p>
        </w:tc>
        <w:tc>
          <w:tcPr>
            <w:tcW w:w="810" w:type="dxa"/>
            <w:vAlign w:val="center"/>
            <w:hideMark/>
          </w:tcPr>
          <w:p w14:paraId="6EDD071E"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PKVEE</w:t>
            </w:r>
          </w:p>
        </w:tc>
        <w:tc>
          <w:tcPr>
            <w:tcW w:w="1260" w:type="dxa"/>
            <w:vAlign w:val="center"/>
          </w:tcPr>
          <w:p w14:paraId="6EDD071F"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Calibri"/>
                <w:sz w:val="18"/>
                <w:szCs w:val="18"/>
              </w:rPr>
            </w:pPr>
            <w:r w:rsidRPr="007114AF">
              <w:rPr>
                <w:rFonts w:ascii="Garamond" w:hAnsi="Garamond" w:cs="Calibri"/>
                <w:sz w:val="18"/>
                <w:szCs w:val="18"/>
              </w:rPr>
              <w:t>Direkte</w:t>
            </w:r>
          </w:p>
        </w:tc>
        <w:tc>
          <w:tcPr>
            <w:tcW w:w="1080" w:type="dxa"/>
            <w:vAlign w:val="center"/>
            <w:hideMark/>
          </w:tcPr>
          <w:p w14:paraId="6EDD0720"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137,300.00</w:t>
            </w:r>
          </w:p>
        </w:tc>
        <w:tc>
          <w:tcPr>
            <w:tcW w:w="1260" w:type="dxa"/>
            <w:vAlign w:val="center"/>
            <w:hideMark/>
          </w:tcPr>
          <w:p w14:paraId="6EDD0721"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tc>
        <w:tc>
          <w:tcPr>
            <w:tcW w:w="1260" w:type="dxa"/>
            <w:vAlign w:val="center"/>
            <w:hideMark/>
          </w:tcPr>
          <w:p w14:paraId="6EDD0722"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tc>
        <w:tc>
          <w:tcPr>
            <w:tcW w:w="1080" w:type="dxa"/>
            <w:noWrap/>
            <w:vAlign w:val="center"/>
            <w:hideMark/>
          </w:tcPr>
          <w:p w14:paraId="6EDD0723"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137,300.00</w:t>
            </w:r>
          </w:p>
        </w:tc>
        <w:tc>
          <w:tcPr>
            <w:tcW w:w="1260" w:type="dxa"/>
            <w:vAlign w:val="center"/>
            <w:hideMark/>
          </w:tcPr>
          <w:p w14:paraId="6EDD0724"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tc>
        <w:tc>
          <w:tcPr>
            <w:tcW w:w="3150" w:type="dxa"/>
            <w:vAlign w:val="center"/>
            <w:hideMark/>
          </w:tcPr>
          <w:p w14:paraId="6EDD0725" w14:textId="15FE949B"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xml:space="preserve">Dokumenti vëren: </w:t>
            </w:r>
            <w:r w:rsidR="000A2A01" w:rsidRPr="007114AF">
              <w:rPr>
                <w:rFonts w:ascii="Garamond" w:eastAsia="Times New Roman" w:hAnsi="Garamond" w:cs="Times New Roman"/>
                <w:sz w:val="18"/>
                <w:szCs w:val="18"/>
              </w:rPr>
              <w:t>“</w:t>
            </w:r>
            <w:r w:rsidRPr="007114AF">
              <w:rPr>
                <w:rFonts w:ascii="Garamond" w:eastAsia="Times New Roman" w:hAnsi="Garamond" w:cs="Times New Roman"/>
                <w:sz w:val="18"/>
                <w:szCs w:val="18"/>
              </w:rPr>
              <w:t>shumica e këtyre masave kërkojnë investime të mëdha në projektet e infrastrukturës. Përveç vullnetit politik, këto investime kërkojnë planëzim afat gjatë dhe kohë në ndërtim, kështu që ka mundësi që asnjë nga këto masa të mos kenë efekt brenda periudhës VPB (2010-2018)</w:t>
            </w:r>
            <w:r w:rsidR="000A2A01" w:rsidRPr="007114AF">
              <w:rPr>
                <w:rFonts w:ascii="Garamond" w:eastAsia="Times New Roman" w:hAnsi="Garamond" w:cs="Times New Roman"/>
                <w:sz w:val="18"/>
                <w:szCs w:val="18"/>
              </w:rPr>
              <w:t>”</w:t>
            </w:r>
          </w:p>
        </w:tc>
      </w:tr>
      <w:tr w:rsidR="00FB584C" w:rsidRPr="007114AF" w14:paraId="6EDD0738" w14:textId="77777777" w:rsidTr="00FB584C">
        <w:trPr>
          <w:cantSplit/>
          <w:trHeight w:val="47"/>
          <w:jc w:val="center"/>
        </w:trPr>
        <w:tc>
          <w:tcPr>
            <w:cnfStyle w:val="001000000000" w:firstRow="0" w:lastRow="0" w:firstColumn="1" w:lastColumn="0" w:oddVBand="0" w:evenVBand="0" w:oddHBand="0" w:evenHBand="0" w:firstRowFirstColumn="0" w:firstRowLastColumn="0" w:lastRowFirstColumn="0" w:lastRowLastColumn="0"/>
            <w:tcW w:w="534" w:type="dxa"/>
            <w:noWrap/>
            <w:vAlign w:val="center"/>
            <w:hideMark/>
          </w:tcPr>
          <w:p w14:paraId="6EDD0727" w14:textId="77777777" w:rsidR="00FB584C" w:rsidRPr="007114AF" w:rsidRDefault="00FB584C" w:rsidP="00FB584C">
            <w:pPr>
              <w:spacing w:after="0"/>
              <w:rPr>
                <w:rFonts w:ascii="Garamond" w:eastAsia="Times New Roman" w:hAnsi="Garamond" w:cs="Times New Roman"/>
                <w:b w:val="0"/>
                <w:bCs w:val="0"/>
                <w:sz w:val="18"/>
                <w:szCs w:val="18"/>
              </w:rPr>
            </w:pPr>
            <w:r w:rsidRPr="007114AF">
              <w:rPr>
                <w:rFonts w:ascii="Garamond" w:eastAsia="Times New Roman" w:hAnsi="Garamond" w:cs="Times New Roman"/>
                <w:sz w:val="18"/>
                <w:szCs w:val="18"/>
              </w:rPr>
              <w:lastRenderedPageBreak/>
              <w:t>T30</w:t>
            </w:r>
          </w:p>
        </w:tc>
        <w:tc>
          <w:tcPr>
            <w:tcW w:w="1813" w:type="dxa"/>
            <w:vAlign w:val="center"/>
            <w:hideMark/>
          </w:tcPr>
          <w:p w14:paraId="6EDD0728"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xml:space="preserve">Përmirësimi i transportit publik në bashki dhe në nivel kombëtar (pasagjerë dhe ngarkesa) </w:t>
            </w:r>
          </w:p>
        </w:tc>
        <w:tc>
          <w:tcPr>
            <w:tcW w:w="900" w:type="dxa"/>
            <w:vAlign w:val="center"/>
            <w:hideMark/>
          </w:tcPr>
          <w:p w14:paraId="6EDD0729"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2016-2020</w:t>
            </w:r>
          </w:p>
        </w:tc>
        <w:tc>
          <w:tcPr>
            <w:tcW w:w="810" w:type="dxa"/>
            <w:vAlign w:val="center"/>
            <w:hideMark/>
          </w:tcPr>
          <w:p w14:paraId="6EDD072A"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PKVEE</w:t>
            </w:r>
          </w:p>
        </w:tc>
        <w:tc>
          <w:tcPr>
            <w:tcW w:w="1260" w:type="dxa"/>
            <w:vAlign w:val="center"/>
          </w:tcPr>
          <w:p w14:paraId="6EDD072B"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Calibri"/>
                <w:sz w:val="18"/>
                <w:szCs w:val="18"/>
              </w:rPr>
            </w:pPr>
            <w:r w:rsidRPr="007114AF">
              <w:rPr>
                <w:rFonts w:ascii="Garamond" w:hAnsi="Garamond" w:cs="Calibri"/>
                <w:sz w:val="18"/>
                <w:szCs w:val="18"/>
              </w:rPr>
              <w:t>Direkte</w:t>
            </w:r>
          </w:p>
        </w:tc>
        <w:tc>
          <w:tcPr>
            <w:tcW w:w="1080" w:type="dxa"/>
            <w:noWrap/>
            <w:vAlign w:val="center"/>
            <w:hideMark/>
          </w:tcPr>
          <w:p w14:paraId="6EDD072C"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2,300,000.00</w:t>
            </w:r>
          </w:p>
        </w:tc>
        <w:tc>
          <w:tcPr>
            <w:tcW w:w="1260" w:type="dxa"/>
            <w:noWrap/>
            <w:vAlign w:val="center"/>
            <w:hideMark/>
          </w:tcPr>
          <w:p w14:paraId="6EDD072D"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p w14:paraId="6EDD072E"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p w14:paraId="6EDD072F"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tc>
        <w:tc>
          <w:tcPr>
            <w:tcW w:w="1260" w:type="dxa"/>
            <w:noWrap/>
            <w:vAlign w:val="center"/>
            <w:hideMark/>
          </w:tcPr>
          <w:p w14:paraId="6EDD0730"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p w14:paraId="6EDD0731"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p w14:paraId="6EDD0732"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tc>
        <w:tc>
          <w:tcPr>
            <w:tcW w:w="1080" w:type="dxa"/>
            <w:noWrap/>
            <w:vAlign w:val="center"/>
            <w:hideMark/>
          </w:tcPr>
          <w:p w14:paraId="6EDD0733"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2,300,000.00</w:t>
            </w:r>
          </w:p>
        </w:tc>
        <w:tc>
          <w:tcPr>
            <w:tcW w:w="1260" w:type="dxa"/>
            <w:noWrap/>
            <w:vAlign w:val="center"/>
            <w:hideMark/>
          </w:tcPr>
          <w:p w14:paraId="6EDD0734"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p w14:paraId="6EDD0735"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p w14:paraId="6EDD0736"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tc>
        <w:tc>
          <w:tcPr>
            <w:tcW w:w="3150" w:type="dxa"/>
            <w:vAlign w:val="center"/>
            <w:hideMark/>
          </w:tcPr>
          <w:p w14:paraId="6EDD0737"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Bashkitë kanë një buxhet të veçantë shtetëror për transportin publik. Sasia është treguese</w:t>
            </w:r>
          </w:p>
        </w:tc>
      </w:tr>
      <w:tr w:rsidR="00FB584C" w:rsidRPr="007114AF" w14:paraId="6EDD0744" w14:textId="77777777" w:rsidTr="00FB584C">
        <w:trPr>
          <w:cantSplit/>
          <w:trHeight w:val="20"/>
          <w:jc w:val="center"/>
        </w:trPr>
        <w:tc>
          <w:tcPr>
            <w:cnfStyle w:val="001000000000" w:firstRow="0" w:lastRow="0" w:firstColumn="1" w:lastColumn="0" w:oddVBand="0" w:evenVBand="0" w:oddHBand="0" w:evenHBand="0" w:firstRowFirstColumn="0" w:firstRowLastColumn="0" w:lastRowFirstColumn="0" w:lastRowLastColumn="0"/>
            <w:tcW w:w="534" w:type="dxa"/>
            <w:noWrap/>
            <w:vAlign w:val="center"/>
            <w:hideMark/>
          </w:tcPr>
          <w:p w14:paraId="6EDD0739" w14:textId="77777777" w:rsidR="00FB584C" w:rsidRPr="007114AF" w:rsidRDefault="00FB584C" w:rsidP="00FB584C">
            <w:pPr>
              <w:spacing w:after="0"/>
              <w:rPr>
                <w:rFonts w:ascii="Garamond" w:eastAsia="Times New Roman" w:hAnsi="Garamond" w:cs="Times New Roman"/>
                <w:b w:val="0"/>
                <w:bCs w:val="0"/>
                <w:sz w:val="18"/>
                <w:szCs w:val="18"/>
              </w:rPr>
            </w:pPr>
            <w:r w:rsidRPr="007114AF">
              <w:rPr>
                <w:rFonts w:ascii="Garamond" w:eastAsia="Times New Roman" w:hAnsi="Garamond" w:cs="Times New Roman"/>
                <w:sz w:val="18"/>
                <w:szCs w:val="18"/>
              </w:rPr>
              <w:t>T31</w:t>
            </w:r>
          </w:p>
        </w:tc>
        <w:tc>
          <w:tcPr>
            <w:tcW w:w="1813" w:type="dxa"/>
            <w:vAlign w:val="center"/>
            <w:hideMark/>
          </w:tcPr>
          <w:p w14:paraId="6EDD073A"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Promovimi i ecjes dhe përdorimit të biçikletave në bashki të caktuara</w:t>
            </w:r>
          </w:p>
        </w:tc>
        <w:tc>
          <w:tcPr>
            <w:tcW w:w="900" w:type="dxa"/>
            <w:vAlign w:val="center"/>
            <w:hideMark/>
          </w:tcPr>
          <w:p w14:paraId="6EDD073B"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2017-2020</w:t>
            </w:r>
          </w:p>
        </w:tc>
        <w:tc>
          <w:tcPr>
            <w:tcW w:w="810" w:type="dxa"/>
            <w:vAlign w:val="center"/>
            <w:hideMark/>
          </w:tcPr>
          <w:p w14:paraId="6EDD073C"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PKVEE; PKT</w:t>
            </w:r>
          </w:p>
        </w:tc>
        <w:tc>
          <w:tcPr>
            <w:tcW w:w="1260" w:type="dxa"/>
            <w:vAlign w:val="center"/>
          </w:tcPr>
          <w:p w14:paraId="6EDD073D"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Calibri"/>
                <w:sz w:val="18"/>
                <w:szCs w:val="18"/>
              </w:rPr>
            </w:pPr>
            <w:r w:rsidRPr="007114AF">
              <w:rPr>
                <w:rFonts w:ascii="Garamond" w:hAnsi="Garamond" w:cs="Calibri"/>
                <w:sz w:val="18"/>
                <w:szCs w:val="18"/>
              </w:rPr>
              <w:t>Direkte</w:t>
            </w:r>
          </w:p>
        </w:tc>
        <w:tc>
          <w:tcPr>
            <w:tcW w:w="1080" w:type="dxa"/>
            <w:vAlign w:val="center"/>
            <w:hideMark/>
          </w:tcPr>
          <w:p w14:paraId="6EDD073E"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4,119,000.00</w:t>
            </w:r>
          </w:p>
        </w:tc>
        <w:tc>
          <w:tcPr>
            <w:tcW w:w="1260" w:type="dxa"/>
            <w:vAlign w:val="center"/>
            <w:hideMark/>
          </w:tcPr>
          <w:p w14:paraId="6EDD073F"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tc>
        <w:tc>
          <w:tcPr>
            <w:tcW w:w="1260" w:type="dxa"/>
            <w:vAlign w:val="center"/>
            <w:hideMark/>
          </w:tcPr>
          <w:p w14:paraId="6EDD0740"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tc>
        <w:tc>
          <w:tcPr>
            <w:tcW w:w="1080" w:type="dxa"/>
            <w:noWrap/>
            <w:vAlign w:val="center"/>
            <w:hideMark/>
          </w:tcPr>
          <w:p w14:paraId="6EDD0741"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2,029,750.00</w:t>
            </w:r>
          </w:p>
        </w:tc>
        <w:tc>
          <w:tcPr>
            <w:tcW w:w="1260" w:type="dxa"/>
            <w:noWrap/>
            <w:vAlign w:val="center"/>
            <w:hideMark/>
          </w:tcPr>
          <w:p w14:paraId="6EDD0742"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2,089,250.00</w:t>
            </w:r>
          </w:p>
        </w:tc>
        <w:tc>
          <w:tcPr>
            <w:tcW w:w="3150" w:type="dxa"/>
            <w:vAlign w:val="center"/>
            <w:hideMark/>
          </w:tcPr>
          <w:p w14:paraId="6EDD0743" w14:textId="2A0A203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xml:space="preserve">Kostot për njësi 245,000 Euro/km bazuar në përllogaritjet e bëra nga bashkitë në bazë të eksperiencës RDF. Përreth 30 km në vit. Totali 30 </w:t>
            </w:r>
            <w:r w:rsidR="001C47F0" w:rsidRPr="007114AF">
              <w:rPr>
                <w:rFonts w:ascii="Garamond" w:eastAsia="Times New Roman" w:hAnsi="Garamond" w:cs="Times New Roman"/>
                <w:sz w:val="18"/>
                <w:szCs w:val="18"/>
              </w:rPr>
              <w:t xml:space="preserve">milionë </w:t>
            </w:r>
            <w:r w:rsidRPr="007114AF">
              <w:rPr>
                <w:rFonts w:ascii="Garamond" w:eastAsia="Times New Roman" w:hAnsi="Garamond" w:cs="Times New Roman"/>
                <w:sz w:val="18"/>
                <w:szCs w:val="18"/>
              </w:rPr>
              <w:t>Euro. 25% me fondet e buxhetit bashkiak</w:t>
            </w:r>
          </w:p>
        </w:tc>
      </w:tr>
      <w:tr w:rsidR="00FB584C" w:rsidRPr="007114AF" w14:paraId="6EDD0750" w14:textId="77777777" w:rsidTr="00FB584C">
        <w:trPr>
          <w:cantSplit/>
          <w:trHeight w:val="20"/>
          <w:jc w:val="center"/>
        </w:trPr>
        <w:tc>
          <w:tcPr>
            <w:cnfStyle w:val="001000000000" w:firstRow="0" w:lastRow="0" w:firstColumn="1" w:lastColumn="0" w:oddVBand="0" w:evenVBand="0" w:oddHBand="0" w:evenHBand="0" w:firstRowFirstColumn="0" w:firstRowLastColumn="0" w:lastRowFirstColumn="0" w:lastRowLastColumn="0"/>
            <w:tcW w:w="534" w:type="dxa"/>
            <w:noWrap/>
            <w:vAlign w:val="center"/>
            <w:hideMark/>
          </w:tcPr>
          <w:p w14:paraId="6EDD0745" w14:textId="77777777" w:rsidR="00FB584C" w:rsidRPr="007114AF" w:rsidRDefault="00FB584C" w:rsidP="00FB584C">
            <w:pPr>
              <w:spacing w:after="0"/>
              <w:rPr>
                <w:rFonts w:ascii="Garamond" w:eastAsia="Times New Roman" w:hAnsi="Garamond" w:cs="Times New Roman"/>
                <w:b w:val="0"/>
                <w:bCs w:val="0"/>
                <w:sz w:val="18"/>
                <w:szCs w:val="18"/>
              </w:rPr>
            </w:pPr>
            <w:r w:rsidRPr="007114AF">
              <w:rPr>
                <w:rFonts w:ascii="Garamond" w:eastAsia="Times New Roman" w:hAnsi="Garamond" w:cs="Times New Roman"/>
                <w:sz w:val="18"/>
                <w:szCs w:val="18"/>
              </w:rPr>
              <w:t>T32</w:t>
            </w:r>
          </w:p>
        </w:tc>
        <w:tc>
          <w:tcPr>
            <w:tcW w:w="1813" w:type="dxa"/>
            <w:vAlign w:val="center"/>
            <w:hideMark/>
          </w:tcPr>
          <w:p w14:paraId="6EDD0746"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Rrjeti Kombëtar i biçikletave</w:t>
            </w:r>
          </w:p>
        </w:tc>
        <w:tc>
          <w:tcPr>
            <w:tcW w:w="900" w:type="dxa"/>
            <w:vAlign w:val="center"/>
            <w:hideMark/>
          </w:tcPr>
          <w:p w14:paraId="6EDD0747"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2017-2020</w:t>
            </w:r>
          </w:p>
        </w:tc>
        <w:tc>
          <w:tcPr>
            <w:tcW w:w="810" w:type="dxa"/>
            <w:vAlign w:val="center"/>
            <w:hideMark/>
          </w:tcPr>
          <w:p w14:paraId="6EDD0748"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PKT</w:t>
            </w:r>
          </w:p>
        </w:tc>
        <w:tc>
          <w:tcPr>
            <w:tcW w:w="1260" w:type="dxa"/>
            <w:vAlign w:val="center"/>
          </w:tcPr>
          <w:p w14:paraId="6EDD0749"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Calibri"/>
                <w:sz w:val="18"/>
                <w:szCs w:val="18"/>
              </w:rPr>
            </w:pPr>
            <w:r w:rsidRPr="007114AF">
              <w:rPr>
                <w:rFonts w:ascii="Garamond" w:hAnsi="Garamond" w:cs="Calibri"/>
                <w:sz w:val="18"/>
                <w:szCs w:val="18"/>
              </w:rPr>
              <w:t>Indirekte</w:t>
            </w:r>
          </w:p>
        </w:tc>
        <w:tc>
          <w:tcPr>
            <w:tcW w:w="1080" w:type="dxa"/>
            <w:vAlign w:val="center"/>
            <w:hideMark/>
          </w:tcPr>
          <w:p w14:paraId="6EDD074A"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20,595,000.00</w:t>
            </w:r>
          </w:p>
        </w:tc>
        <w:tc>
          <w:tcPr>
            <w:tcW w:w="1260" w:type="dxa"/>
            <w:vAlign w:val="center"/>
            <w:hideMark/>
          </w:tcPr>
          <w:p w14:paraId="6EDD074B"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tc>
        <w:tc>
          <w:tcPr>
            <w:tcW w:w="1260" w:type="dxa"/>
            <w:vAlign w:val="center"/>
            <w:hideMark/>
          </w:tcPr>
          <w:p w14:paraId="6EDD074C"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tc>
        <w:tc>
          <w:tcPr>
            <w:tcW w:w="1080" w:type="dxa"/>
            <w:vAlign w:val="center"/>
            <w:hideMark/>
          </w:tcPr>
          <w:p w14:paraId="6EDD074D"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10,300,000.00</w:t>
            </w:r>
          </w:p>
        </w:tc>
        <w:tc>
          <w:tcPr>
            <w:tcW w:w="1260" w:type="dxa"/>
            <w:noWrap/>
            <w:vAlign w:val="center"/>
            <w:hideMark/>
          </w:tcPr>
          <w:p w14:paraId="6EDD074E"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10,295,000.00</w:t>
            </w:r>
          </w:p>
        </w:tc>
        <w:tc>
          <w:tcPr>
            <w:tcW w:w="3150" w:type="dxa"/>
            <w:vAlign w:val="center"/>
            <w:hideMark/>
          </w:tcPr>
          <w:p w14:paraId="6EDD074F"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Asnjë tregues specifik ekonomik për këtë masë raportohet në PPK. Kostot llogariten duke konsideruar rreth 600 km në katër vjet</w:t>
            </w:r>
          </w:p>
        </w:tc>
      </w:tr>
      <w:tr w:rsidR="00FB584C" w:rsidRPr="007114AF" w14:paraId="6EDD0763" w14:textId="77777777" w:rsidTr="00FB584C">
        <w:trPr>
          <w:cantSplit/>
          <w:trHeight w:val="2946"/>
          <w:jc w:val="center"/>
        </w:trPr>
        <w:tc>
          <w:tcPr>
            <w:cnfStyle w:val="001000000000" w:firstRow="0" w:lastRow="0" w:firstColumn="1" w:lastColumn="0" w:oddVBand="0" w:evenVBand="0" w:oddHBand="0" w:evenHBand="0" w:firstRowFirstColumn="0" w:firstRowLastColumn="0" w:lastRowFirstColumn="0" w:lastRowLastColumn="0"/>
            <w:tcW w:w="534" w:type="dxa"/>
            <w:noWrap/>
            <w:vAlign w:val="center"/>
            <w:hideMark/>
          </w:tcPr>
          <w:p w14:paraId="6EDD0751" w14:textId="77777777" w:rsidR="00FB584C" w:rsidRPr="007114AF" w:rsidRDefault="00FB584C" w:rsidP="00FB584C">
            <w:pPr>
              <w:spacing w:after="0"/>
              <w:rPr>
                <w:rFonts w:ascii="Garamond" w:eastAsia="Times New Roman" w:hAnsi="Garamond" w:cs="Times New Roman"/>
                <w:b w:val="0"/>
                <w:bCs w:val="0"/>
                <w:sz w:val="18"/>
                <w:szCs w:val="18"/>
              </w:rPr>
            </w:pPr>
            <w:r w:rsidRPr="007114AF">
              <w:rPr>
                <w:rFonts w:ascii="Garamond" w:eastAsia="Times New Roman" w:hAnsi="Garamond" w:cs="Times New Roman"/>
                <w:sz w:val="18"/>
                <w:szCs w:val="18"/>
              </w:rPr>
              <w:t>T33</w:t>
            </w:r>
          </w:p>
        </w:tc>
        <w:tc>
          <w:tcPr>
            <w:tcW w:w="1813" w:type="dxa"/>
            <w:vAlign w:val="center"/>
            <w:hideMark/>
          </w:tcPr>
          <w:p w14:paraId="6EDD0752"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xml:space="preserve">Menaxhimi i integruar i ngarkesave (Përmirësimi i faktorëve të ngarkesës së kamionëve falë veprimeve të konsolidimit të ngarkesës). </w:t>
            </w:r>
          </w:p>
        </w:tc>
        <w:tc>
          <w:tcPr>
            <w:tcW w:w="900" w:type="dxa"/>
            <w:vAlign w:val="center"/>
            <w:hideMark/>
          </w:tcPr>
          <w:p w14:paraId="6EDD0753" w14:textId="52405850"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2017-2020</w:t>
            </w:r>
            <w:r w:rsidR="000A2A01" w:rsidRPr="007114AF">
              <w:rPr>
                <w:rFonts w:ascii="Garamond" w:eastAsia="Times New Roman" w:hAnsi="Garamond" w:cs="Times New Roman"/>
                <w:sz w:val="18"/>
                <w:szCs w:val="18"/>
              </w:rPr>
              <w:t xml:space="preserve"> </w:t>
            </w:r>
            <w:r w:rsidRPr="007114AF">
              <w:rPr>
                <w:rFonts w:ascii="Garamond" w:eastAsia="Times New Roman" w:hAnsi="Garamond" w:cs="Times New Roman"/>
                <w:sz w:val="18"/>
                <w:szCs w:val="18"/>
              </w:rPr>
              <w:t>Aktivitet përgatitore nga 2016 (realizimi i qendrave të konsolidimit dhe platformave të menaxhimit) deri në 2020</w:t>
            </w:r>
          </w:p>
        </w:tc>
        <w:tc>
          <w:tcPr>
            <w:tcW w:w="810" w:type="dxa"/>
            <w:vAlign w:val="center"/>
            <w:hideMark/>
          </w:tcPr>
          <w:p w14:paraId="6EDD0754"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TECTQ</w:t>
            </w:r>
          </w:p>
        </w:tc>
        <w:tc>
          <w:tcPr>
            <w:tcW w:w="1260" w:type="dxa"/>
            <w:vAlign w:val="center"/>
          </w:tcPr>
          <w:p w14:paraId="6EDD0755"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Calibri"/>
                <w:sz w:val="18"/>
                <w:szCs w:val="18"/>
              </w:rPr>
            </w:pPr>
            <w:r w:rsidRPr="007114AF">
              <w:rPr>
                <w:rFonts w:ascii="Garamond" w:hAnsi="Garamond" w:cs="Calibri"/>
                <w:sz w:val="18"/>
                <w:szCs w:val="18"/>
              </w:rPr>
              <w:t>Direkte</w:t>
            </w:r>
          </w:p>
        </w:tc>
        <w:tc>
          <w:tcPr>
            <w:tcW w:w="1080" w:type="dxa"/>
            <w:vAlign w:val="center"/>
            <w:hideMark/>
          </w:tcPr>
          <w:p w14:paraId="6EDD0756"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1,122,000.00</w:t>
            </w:r>
          </w:p>
          <w:p w14:paraId="6EDD0757"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p w14:paraId="6EDD0758"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tc>
        <w:tc>
          <w:tcPr>
            <w:tcW w:w="1260" w:type="dxa"/>
            <w:vAlign w:val="center"/>
            <w:hideMark/>
          </w:tcPr>
          <w:p w14:paraId="6EDD0759"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p w14:paraId="6EDD075A"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tc>
        <w:tc>
          <w:tcPr>
            <w:tcW w:w="1260" w:type="dxa"/>
            <w:vAlign w:val="center"/>
            <w:hideMark/>
          </w:tcPr>
          <w:p w14:paraId="6EDD075B"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p w14:paraId="6EDD075C"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tc>
        <w:tc>
          <w:tcPr>
            <w:tcW w:w="1080" w:type="dxa"/>
            <w:vAlign w:val="center"/>
            <w:hideMark/>
          </w:tcPr>
          <w:p w14:paraId="6EDD075D"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p w14:paraId="6EDD075E"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tc>
        <w:tc>
          <w:tcPr>
            <w:tcW w:w="1260" w:type="dxa"/>
            <w:vAlign w:val="center"/>
            <w:hideMark/>
          </w:tcPr>
          <w:p w14:paraId="6EDD075F"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1,122,000.00</w:t>
            </w:r>
          </w:p>
          <w:p w14:paraId="6EDD0760"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p w14:paraId="6EDD0761"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tc>
        <w:tc>
          <w:tcPr>
            <w:tcW w:w="3150" w:type="dxa"/>
            <w:vAlign w:val="center"/>
            <w:hideMark/>
          </w:tcPr>
          <w:p w14:paraId="6EDD0762" w14:textId="77777777" w:rsidR="00FB584C" w:rsidRPr="007114AF" w:rsidRDefault="00FB584C" w:rsidP="00FB584C">
            <w:pPr>
              <w:spacing w:after="0"/>
              <w:jc w:val="left"/>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1,100 (studime,</w:t>
            </w:r>
            <w:r w:rsidRPr="007114AF">
              <w:rPr>
                <w:rFonts w:ascii="Garamond" w:eastAsia="Times New Roman" w:hAnsi="Garamond" w:cs="Times New Roman"/>
                <w:sz w:val="18"/>
                <w:szCs w:val="18"/>
              </w:rPr>
              <w:br/>
              <w:t>IT, trajnime)</w:t>
            </w:r>
            <w:r w:rsidRPr="007114AF">
              <w:rPr>
                <w:rFonts w:ascii="Garamond" w:eastAsia="Times New Roman" w:hAnsi="Garamond" w:cs="Times New Roman"/>
                <w:sz w:val="18"/>
                <w:szCs w:val="18"/>
              </w:rPr>
              <w:br/>
              <w:t>+ 0.021 / m2</w:t>
            </w:r>
            <w:r w:rsidRPr="007114AF">
              <w:rPr>
                <w:rFonts w:ascii="Garamond" w:eastAsia="Times New Roman" w:hAnsi="Garamond" w:cs="Times New Roman"/>
                <w:sz w:val="18"/>
                <w:szCs w:val="18"/>
              </w:rPr>
              <w:br/>
              <w:t>për ndërtimin e nyjave të ngarkesave; kosto vjetore të menaxhimit 20% e kostos së investimit</w:t>
            </w:r>
          </w:p>
        </w:tc>
      </w:tr>
      <w:tr w:rsidR="00FB584C" w:rsidRPr="007114AF" w14:paraId="6EDD076F" w14:textId="77777777" w:rsidTr="00FB584C">
        <w:trPr>
          <w:cantSplit/>
          <w:trHeight w:val="20"/>
          <w:jc w:val="center"/>
        </w:trPr>
        <w:tc>
          <w:tcPr>
            <w:cnfStyle w:val="001000000000" w:firstRow="0" w:lastRow="0" w:firstColumn="1" w:lastColumn="0" w:oddVBand="0" w:evenVBand="0" w:oddHBand="0" w:evenHBand="0" w:firstRowFirstColumn="0" w:firstRowLastColumn="0" w:lastRowFirstColumn="0" w:lastRowLastColumn="0"/>
            <w:tcW w:w="534" w:type="dxa"/>
            <w:noWrap/>
            <w:vAlign w:val="center"/>
            <w:hideMark/>
          </w:tcPr>
          <w:p w14:paraId="6EDD0764" w14:textId="77777777" w:rsidR="00FB584C" w:rsidRPr="007114AF" w:rsidRDefault="00FB584C" w:rsidP="00FB584C">
            <w:pPr>
              <w:spacing w:after="0"/>
              <w:rPr>
                <w:rFonts w:ascii="Garamond" w:eastAsia="Times New Roman" w:hAnsi="Garamond" w:cs="Times New Roman"/>
                <w:sz w:val="18"/>
                <w:szCs w:val="18"/>
              </w:rPr>
            </w:pPr>
            <w:r w:rsidRPr="007114AF">
              <w:rPr>
                <w:rFonts w:ascii="Garamond" w:eastAsia="Times New Roman" w:hAnsi="Garamond" w:cs="Times New Roman"/>
                <w:sz w:val="18"/>
                <w:szCs w:val="18"/>
              </w:rPr>
              <w:t>T34</w:t>
            </w:r>
          </w:p>
        </w:tc>
        <w:tc>
          <w:tcPr>
            <w:tcW w:w="1813" w:type="dxa"/>
            <w:vAlign w:val="center"/>
            <w:hideMark/>
          </w:tcPr>
          <w:p w14:paraId="6EDD0765"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sz w:val="18"/>
                <w:szCs w:val="18"/>
              </w:rPr>
            </w:pPr>
            <w:r w:rsidRPr="007114AF">
              <w:rPr>
                <w:rFonts w:ascii="Garamond" w:eastAsia="Times New Roman" w:hAnsi="Garamond" w:cs="Times New Roman"/>
                <w:color w:val="000000"/>
                <w:sz w:val="18"/>
                <w:szCs w:val="18"/>
              </w:rPr>
              <w:t>Zhvillimi i një kuadri ligjor gjithëpërfshirës për transportin hekurudhor, duke përfshirë një kod të ri hekurudhor</w:t>
            </w:r>
          </w:p>
        </w:tc>
        <w:tc>
          <w:tcPr>
            <w:tcW w:w="900" w:type="dxa"/>
            <w:noWrap/>
            <w:vAlign w:val="center"/>
            <w:hideMark/>
          </w:tcPr>
          <w:p w14:paraId="6EDD0766"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2017-2019</w:t>
            </w:r>
          </w:p>
        </w:tc>
        <w:tc>
          <w:tcPr>
            <w:tcW w:w="810" w:type="dxa"/>
            <w:vAlign w:val="center"/>
            <w:hideMark/>
          </w:tcPr>
          <w:p w14:paraId="6EDD0767"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NSDI-II</w:t>
            </w:r>
          </w:p>
        </w:tc>
        <w:tc>
          <w:tcPr>
            <w:tcW w:w="1260" w:type="dxa"/>
            <w:vAlign w:val="center"/>
          </w:tcPr>
          <w:p w14:paraId="6EDD0768"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Calibri"/>
                <w:sz w:val="18"/>
                <w:szCs w:val="18"/>
              </w:rPr>
            </w:pPr>
            <w:r w:rsidRPr="007114AF">
              <w:rPr>
                <w:rFonts w:ascii="Garamond" w:eastAsia="Times New Roman" w:hAnsi="Garamond" w:cs="Calibri"/>
                <w:sz w:val="18"/>
                <w:szCs w:val="18"/>
              </w:rPr>
              <w:t>Mundësuese</w:t>
            </w:r>
          </w:p>
        </w:tc>
        <w:tc>
          <w:tcPr>
            <w:tcW w:w="1080" w:type="dxa"/>
            <w:noWrap/>
            <w:vAlign w:val="center"/>
            <w:hideMark/>
          </w:tcPr>
          <w:p w14:paraId="6EDD0769"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1,560,000.00</w:t>
            </w:r>
          </w:p>
        </w:tc>
        <w:tc>
          <w:tcPr>
            <w:tcW w:w="1260" w:type="dxa"/>
            <w:noWrap/>
            <w:vAlign w:val="center"/>
            <w:hideMark/>
          </w:tcPr>
          <w:p w14:paraId="6EDD076A"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1,560,000.00</w:t>
            </w:r>
          </w:p>
        </w:tc>
        <w:tc>
          <w:tcPr>
            <w:tcW w:w="1260" w:type="dxa"/>
            <w:noWrap/>
            <w:vAlign w:val="center"/>
            <w:hideMark/>
          </w:tcPr>
          <w:p w14:paraId="6EDD076B"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tc>
        <w:tc>
          <w:tcPr>
            <w:tcW w:w="1080" w:type="dxa"/>
            <w:noWrap/>
            <w:vAlign w:val="center"/>
            <w:hideMark/>
          </w:tcPr>
          <w:p w14:paraId="6EDD076C"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tc>
        <w:tc>
          <w:tcPr>
            <w:tcW w:w="1260" w:type="dxa"/>
            <w:noWrap/>
            <w:vAlign w:val="center"/>
            <w:hideMark/>
          </w:tcPr>
          <w:p w14:paraId="6EDD076D"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tc>
        <w:tc>
          <w:tcPr>
            <w:tcW w:w="3150" w:type="dxa"/>
            <w:vAlign w:val="center"/>
            <w:hideMark/>
          </w:tcPr>
          <w:p w14:paraId="6EDD076E"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Kostot llogariten në bazë të njësive në bazë të ligjit siç parashikohet në buxhetin afatmesëm</w:t>
            </w:r>
          </w:p>
        </w:tc>
      </w:tr>
      <w:tr w:rsidR="00FB584C" w:rsidRPr="007114AF" w14:paraId="6EDD077B" w14:textId="77777777" w:rsidTr="00FB584C">
        <w:trPr>
          <w:cantSplit/>
          <w:trHeight w:val="20"/>
          <w:jc w:val="center"/>
        </w:trPr>
        <w:tc>
          <w:tcPr>
            <w:cnfStyle w:val="001000000000" w:firstRow="0" w:lastRow="0" w:firstColumn="1" w:lastColumn="0" w:oddVBand="0" w:evenVBand="0" w:oddHBand="0" w:evenHBand="0" w:firstRowFirstColumn="0" w:firstRowLastColumn="0" w:lastRowFirstColumn="0" w:lastRowLastColumn="0"/>
            <w:tcW w:w="534" w:type="dxa"/>
            <w:noWrap/>
            <w:vAlign w:val="center"/>
            <w:hideMark/>
          </w:tcPr>
          <w:p w14:paraId="6EDD0770" w14:textId="77777777" w:rsidR="00FB584C" w:rsidRPr="007114AF" w:rsidRDefault="00FB584C" w:rsidP="00FB584C">
            <w:pPr>
              <w:spacing w:after="0"/>
              <w:rPr>
                <w:rFonts w:ascii="Garamond" w:eastAsia="Times New Roman" w:hAnsi="Garamond" w:cs="Times New Roman"/>
                <w:sz w:val="18"/>
                <w:szCs w:val="18"/>
              </w:rPr>
            </w:pPr>
            <w:r w:rsidRPr="007114AF">
              <w:rPr>
                <w:rFonts w:ascii="Garamond" w:eastAsia="Times New Roman" w:hAnsi="Garamond" w:cs="Times New Roman"/>
                <w:sz w:val="18"/>
                <w:szCs w:val="18"/>
              </w:rPr>
              <w:lastRenderedPageBreak/>
              <w:t>T35</w:t>
            </w:r>
          </w:p>
        </w:tc>
        <w:tc>
          <w:tcPr>
            <w:tcW w:w="1813" w:type="dxa"/>
            <w:vAlign w:val="center"/>
            <w:hideMark/>
          </w:tcPr>
          <w:p w14:paraId="6EDD0771"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sz w:val="18"/>
                <w:szCs w:val="18"/>
              </w:rPr>
            </w:pPr>
            <w:r w:rsidRPr="007114AF">
              <w:rPr>
                <w:rFonts w:ascii="Garamond" w:eastAsia="Times New Roman" w:hAnsi="Garamond" w:cs="Times New Roman"/>
                <w:color w:val="000000"/>
                <w:sz w:val="18"/>
                <w:szCs w:val="18"/>
              </w:rPr>
              <w:t>Arritja e shtimit të volumit të pasagjerëve dhe i transportit të mallrave në hekurudhë</w:t>
            </w:r>
          </w:p>
        </w:tc>
        <w:tc>
          <w:tcPr>
            <w:tcW w:w="900" w:type="dxa"/>
            <w:noWrap/>
            <w:vAlign w:val="center"/>
            <w:hideMark/>
          </w:tcPr>
          <w:p w14:paraId="6EDD0772"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2016-2020</w:t>
            </w:r>
          </w:p>
        </w:tc>
        <w:tc>
          <w:tcPr>
            <w:tcW w:w="810" w:type="dxa"/>
            <w:vAlign w:val="center"/>
            <w:hideMark/>
          </w:tcPr>
          <w:p w14:paraId="6EDD0773"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NSDI-II</w:t>
            </w:r>
          </w:p>
        </w:tc>
        <w:tc>
          <w:tcPr>
            <w:tcW w:w="1260" w:type="dxa"/>
            <w:vAlign w:val="center"/>
          </w:tcPr>
          <w:p w14:paraId="6EDD0774"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Calibri"/>
                <w:sz w:val="18"/>
                <w:szCs w:val="18"/>
              </w:rPr>
            </w:pPr>
            <w:r w:rsidRPr="007114AF">
              <w:rPr>
                <w:rFonts w:ascii="Garamond" w:hAnsi="Garamond" w:cs="Calibri"/>
                <w:sz w:val="18"/>
                <w:szCs w:val="18"/>
              </w:rPr>
              <w:t>Direkte</w:t>
            </w:r>
          </w:p>
        </w:tc>
        <w:tc>
          <w:tcPr>
            <w:tcW w:w="1080" w:type="dxa"/>
            <w:noWrap/>
            <w:vAlign w:val="center"/>
            <w:hideMark/>
          </w:tcPr>
          <w:p w14:paraId="6EDD0775"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9,784,600.00</w:t>
            </w:r>
          </w:p>
        </w:tc>
        <w:tc>
          <w:tcPr>
            <w:tcW w:w="1260" w:type="dxa"/>
            <w:noWrap/>
            <w:vAlign w:val="center"/>
            <w:hideMark/>
          </w:tcPr>
          <w:p w14:paraId="6EDD0776"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tc>
        <w:tc>
          <w:tcPr>
            <w:tcW w:w="1260" w:type="dxa"/>
            <w:noWrap/>
            <w:vAlign w:val="center"/>
            <w:hideMark/>
          </w:tcPr>
          <w:p w14:paraId="6EDD0777"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9,784,600.00</w:t>
            </w:r>
          </w:p>
        </w:tc>
        <w:tc>
          <w:tcPr>
            <w:tcW w:w="1080" w:type="dxa"/>
            <w:noWrap/>
            <w:vAlign w:val="center"/>
            <w:hideMark/>
          </w:tcPr>
          <w:p w14:paraId="6EDD0778"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tc>
        <w:tc>
          <w:tcPr>
            <w:tcW w:w="1260" w:type="dxa"/>
            <w:noWrap/>
            <w:vAlign w:val="center"/>
            <w:hideMark/>
          </w:tcPr>
          <w:p w14:paraId="6EDD0779"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tc>
        <w:tc>
          <w:tcPr>
            <w:tcW w:w="3150" w:type="dxa"/>
            <w:vAlign w:val="center"/>
            <w:hideMark/>
          </w:tcPr>
          <w:p w14:paraId="6EDD077A"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Vlera e projektit merret nga lista e projekteve të financuara nga Fondet e Huaja 2017-2019</w:t>
            </w:r>
          </w:p>
        </w:tc>
      </w:tr>
      <w:tr w:rsidR="00FB584C" w:rsidRPr="007114AF" w14:paraId="6EDD0787" w14:textId="77777777" w:rsidTr="00FB584C">
        <w:trPr>
          <w:cantSplit/>
          <w:trHeight w:val="20"/>
          <w:jc w:val="center"/>
        </w:trPr>
        <w:tc>
          <w:tcPr>
            <w:cnfStyle w:val="001000000000" w:firstRow="0" w:lastRow="0" w:firstColumn="1" w:lastColumn="0" w:oddVBand="0" w:evenVBand="0" w:oddHBand="0" w:evenHBand="0" w:firstRowFirstColumn="0" w:firstRowLastColumn="0" w:lastRowFirstColumn="0" w:lastRowLastColumn="0"/>
            <w:tcW w:w="534" w:type="dxa"/>
            <w:noWrap/>
            <w:vAlign w:val="center"/>
            <w:hideMark/>
          </w:tcPr>
          <w:p w14:paraId="6EDD077C" w14:textId="77777777" w:rsidR="00FB584C" w:rsidRPr="007114AF" w:rsidRDefault="00FB584C" w:rsidP="00FB584C">
            <w:pPr>
              <w:spacing w:after="0"/>
              <w:rPr>
                <w:rFonts w:ascii="Garamond" w:eastAsia="Times New Roman" w:hAnsi="Garamond" w:cs="Times New Roman"/>
                <w:b w:val="0"/>
                <w:bCs w:val="0"/>
                <w:sz w:val="18"/>
                <w:szCs w:val="18"/>
              </w:rPr>
            </w:pPr>
            <w:r w:rsidRPr="007114AF">
              <w:rPr>
                <w:rFonts w:ascii="Garamond" w:eastAsia="Times New Roman" w:hAnsi="Garamond" w:cs="Times New Roman"/>
                <w:sz w:val="18"/>
                <w:szCs w:val="18"/>
              </w:rPr>
              <w:t>T36</w:t>
            </w:r>
          </w:p>
        </w:tc>
        <w:tc>
          <w:tcPr>
            <w:tcW w:w="1813" w:type="dxa"/>
            <w:vAlign w:val="center"/>
            <w:hideMark/>
          </w:tcPr>
          <w:p w14:paraId="6EDD077D"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Strategjia e rrjetit hekurudhor</w:t>
            </w:r>
          </w:p>
        </w:tc>
        <w:tc>
          <w:tcPr>
            <w:tcW w:w="900" w:type="dxa"/>
            <w:noWrap/>
            <w:vAlign w:val="center"/>
            <w:hideMark/>
          </w:tcPr>
          <w:p w14:paraId="6EDD077E"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2020</w:t>
            </w:r>
          </w:p>
        </w:tc>
        <w:tc>
          <w:tcPr>
            <w:tcW w:w="810" w:type="dxa"/>
            <w:vAlign w:val="center"/>
            <w:hideMark/>
          </w:tcPr>
          <w:p w14:paraId="6EDD077F"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PKZNK</w:t>
            </w:r>
          </w:p>
        </w:tc>
        <w:tc>
          <w:tcPr>
            <w:tcW w:w="1260" w:type="dxa"/>
            <w:vAlign w:val="center"/>
          </w:tcPr>
          <w:p w14:paraId="6EDD0780"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Calibri"/>
                <w:sz w:val="18"/>
                <w:szCs w:val="18"/>
              </w:rPr>
            </w:pPr>
            <w:r w:rsidRPr="007114AF">
              <w:rPr>
                <w:rFonts w:ascii="Garamond" w:eastAsia="Times New Roman" w:hAnsi="Garamond" w:cs="Calibri"/>
                <w:sz w:val="18"/>
                <w:szCs w:val="18"/>
              </w:rPr>
              <w:t>Mundësuese</w:t>
            </w:r>
          </w:p>
        </w:tc>
        <w:tc>
          <w:tcPr>
            <w:tcW w:w="1080" w:type="dxa"/>
            <w:noWrap/>
            <w:vAlign w:val="center"/>
            <w:hideMark/>
          </w:tcPr>
          <w:p w14:paraId="6EDD0781"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3,520.00</w:t>
            </w:r>
          </w:p>
        </w:tc>
        <w:tc>
          <w:tcPr>
            <w:tcW w:w="1260" w:type="dxa"/>
            <w:noWrap/>
            <w:vAlign w:val="center"/>
            <w:hideMark/>
          </w:tcPr>
          <w:p w14:paraId="6EDD0782"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3,520.00</w:t>
            </w:r>
          </w:p>
        </w:tc>
        <w:tc>
          <w:tcPr>
            <w:tcW w:w="1260" w:type="dxa"/>
            <w:noWrap/>
            <w:vAlign w:val="center"/>
            <w:hideMark/>
          </w:tcPr>
          <w:p w14:paraId="6EDD0783"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tc>
        <w:tc>
          <w:tcPr>
            <w:tcW w:w="1080" w:type="dxa"/>
            <w:noWrap/>
            <w:vAlign w:val="center"/>
            <w:hideMark/>
          </w:tcPr>
          <w:p w14:paraId="6EDD0784"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tc>
        <w:tc>
          <w:tcPr>
            <w:tcW w:w="1260" w:type="dxa"/>
            <w:noWrap/>
            <w:vAlign w:val="center"/>
            <w:hideMark/>
          </w:tcPr>
          <w:p w14:paraId="6EDD0785"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tc>
        <w:tc>
          <w:tcPr>
            <w:tcW w:w="3150" w:type="dxa"/>
            <w:vAlign w:val="center"/>
            <w:hideMark/>
          </w:tcPr>
          <w:p w14:paraId="6EDD0786"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Vlera është marrë nga buxheti afatmesëm 2017-2019</w:t>
            </w:r>
          </w:p>
        </w:tc>
      </w:tr>
      <w:tr w:rsidR="00FB584C" w:rsidRPr="007114AF" w14:paraId="6EDD0793" w14:textId="77777777" w:rsidTr="00FB584C">
        <w:trPr>
          <w:cantSplit/>
          <w:trHeight w:val="47"/>
          <w:jc w:val="center"/>
        </w:trPr>
        <w:tc>
          <w:tcPr>
            <w:cnfStyle w:val="001000000000" w:firstRow="0" w:lastRow="0" w:firstColumn="1" w:lastColumn="0" w:oddVBand="0" w:evenVBand="0" w:oddHBand="0" w:evenHBand="0" w:firstRowFirstColumn="0" w:firstRowLastColumn="0" w:lastRowFirstColumn="0" w:lastRowLastColumn="0"/>
            <w:tcW w:w="534" w:type="dxa"/>
            <w:noWrap/>
            <w:vAlign w:val="center"/>
            <w:hideMark/>
          </w:tcPr>
          <w:p w14:paraId="6EDD0788" w14:textId="77777777" w:rsidR="00FB584C" w:rsidRPr="007114AF" w:rsidRDefault="00FB584C" w:rsidP="00FB584C">
            <w:pPr>
              <w:spacing w:after="0"/>
              <w:rPr>
                <w:rFonts w:ascii="Garamond" w:eastAsia="Times New Roman" w:hAnsi="Garamond" w:cs="Times New Roman"/>
                <w:b w:val="0"/>
                <w:bCs w:val="0"/>
                <w:sz w:val="18"/>
                <w:szCs w:val="18"/>
              </w:rPr>
            </w:pPr>
            <w:r w:rsidRPr="007114AF">
              <w:rPr>
                <w:rFonts w:ascii="Garamond" w:eastAsia="Times New Roman" w:hAnsi="Garamond" w:cs="Times New Roman"/>
                <w:sz w:val="18"/>
                <w:szCs w:val="18"/>
              </w:rPr>
              <w:t>T37</w:t>
            </w:r>
          </w:p>
        </w:tc>
        <w:tc>
          <w:tcPr>
            <w:tcW w:w="1813" w:type="dxa"/>
            <w:vAlign w:val="center"/>
            <w:hideMark/>
          </w:tcPr>
          <w:p w14:paraId="6EDD0789"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Përmirësimi i shërbimeve hekurudhore ndërmjet qendrave kryesore</w:t>
            </w:r>
          </w:p>
        </w:tc>
        <w:tc>
          <w:tcPr>
            <w:tcW w:w="900" w:type="dxa"/>
            <w:vAlign w:val="center"/>
            <w:hideMark/>
          </w:tcPr>
          <w:p w14:paraId="6EDD078A"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2016-2020</w:t>
            </w:r>
          </w:p>
        </w:tc>
        <w:tc>
          <w:tcPr>
            <w:tcW w:w="810" w:type="dxa"/>
            <w:vAlign w:val="center"/>
            <w:hideMark/>
          </w:tcPr>
          <w:p w14:paraId="6EDD078B"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PKVEE; PKT</w:t>
            </w:r>
          </w:p>
        </w:tc>
        <w:tc>
          <w:tcPr>
            <w:tcW w:w="1260" w:type="dxa"/>
            <w:vAlign w:val="center"/>
          </w:tcPr>
          <w:p w14:paraId="6EDD078C"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Calibri"/>
                <w:sz w:val="18"/>
                <w:szCs w:val="18"/>
              </w:rPr>
            </w:pPr>
            <w:r w:rsidRPr="007114AF">
              <w:rPr>
                <w:rFonts w:ascii="Garamond" w:hAnsi="Garamond" w:cs="Calibri"/>
                <w:sz w:val="18"/>
                <w:szCs w:val="18"/>
              </w:rPr>
              <w:t>Indirekte</w:t>
            </w:r>
          </w:p>
        </w:tc>
        <w:tc>
          <w:tcPr>
            <w:tcW w:w="1080" w:type="dxa"/>
            <w:vAlign w:val="center"/>
            <w:hideMark/>
          </w:tcPr>
          <w:p w14:paraId="6EDD078D"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670,900.00</w:t>
            </w:r>
          </w:p>
        </w:tc>
        <w:tc>
          <w:tcPr>
            <w:tcW w:w="1260" w:type="dxa"/>
            <w:vAlign w:val="center"/>
            <w:hideMark/>
          </w:tcPr>
          <w:p w14:paraId="6EDD078E"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670,900.00</w:t>
            </w:r>
          </w:p>
        </w:tc>
        <w:tc>
          <w:tcPr>
            <w:tcW w:w="1260" w:type="dxa"/>
            <w:vAlign w:val="center"/>
            <w:hideMark/>
          </w:tcPr>
          <w:p w14:paraId="6EDD078F"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tc>
        <w:tc>
          <w:tcPr>
            <w:tcW w:w="1080" w:type="dxa"/>
            <w:vAlign w:val="center"/>
            <w:hideMark/>
          </w:tcPr>
          <w:p w14:paraId="6EDD0790"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tc>
        <w:tc>
          <w:tcPr>
            <w:tcW w:w="1260" w:type="dxa"/>
            <w:vAlign w:val="center"/>
            <w:hideMark/>
          </w:tcPr>
          <w:p w14:paraId="6EDD0791"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tc>
        <w:tc>
          <w:tcPr>
            <w:tcW w:w="3150" w:type="dxa"/>
            <w:vAlign w:val="center"/>
            <w:hideMark/>
          </w:tcPr>
          <w:p w14:paraId="6EDD0792"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Vlera e projektit merret nga lista e projekteve të financuara nga buxheti qeveritar 2017-2019</w:t>
            </w:r>
          </w:p>
        </w:tc>
      </w:tr>
      <w:tr w:rsidR="00FB584C" w:rsidRPr="007114AF" w14:paraId="6EDD079F" w14:textId="77777777" w:rsidTr="00FB584C">
        <w:trPr>
          <w:cantSplit/>
          <w:trHeight w:val="20"/>
          <w:jc w:val="center"/>
        </w:trPr>
        <w:tc>
          <w:tcPr>
            <w:cnfStyle w:val="001000000000" w:firstRow="0" w:lastRow="0" w:firstColumn="1" w:lastColumn="0" w:oddVBand="0" w:evenVBand="0" w:oddHBand="0" w:evenHBand="0" w:firstRowFirstColumn="0" w:firstRowLastColumn="0" w:lastRowFirstColumn="0" w:lastRowLastColumn="0"/>
            <w:tcW w:w="534" w:type="dxa"/>
            <w:noWrap/>
            <w:vAlign w:val="center"/>
            <w:hideMark/>
          </w:tcPr>
          <w:p w14:paraId="6EDD0794" w14:textId="77777777" w:rsidR="00FB584C" w:rsidRPr="007114AF" w:rsidRDefault="00FB584C" w:rsidP="00FB584C">
            <w:pPr>
              <w:spacing w:after="0"/>
              <w:rPr>
                <w:rFonts w:ascii="Garamond" w:eastAsia="Times New Roman" w:hAnsi="Garamond" w:cs="Times New Roman"/>
                <w:b w:val="0"/>
                <w:bCs w:val="0"/>
                <w:sz w:val="18"/>
                <w:szCs w:val="18"/>
              </w:rPr>
            </w:pPr>
            <w:r w:rsidRPr="007114AF">
              <w:rPr>
                <w:rFonts w:ascii="Garamond" w:eastAsia="Times New Roman" w:hAnsi="Garamond" w:cs="Times New Roman"/>
                <w:sz w:val="18"/>
                <w:szCs w:val="18"/>
              </w:rPr>
              <w:t>T38</w:t>
            </w:r>
          </w:p>
        </w:tc>
        <w:tc>
          <w:tcPr>
            <w:tcW w:w="1813" w:type="dxa"/>
            <w:vAlign w:val="center"/>
            <w:hideMark/>
          </w:tcPr>
          <w:p w14:paraId="6EDD0795"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xml:space="preserve">Përmirësimi i transportit të ngarkesave hekurudhore në rajonet me transportin më të madh hekurudhor </w:t>
            </w:r>
          </w:p>
        </w:tc>
        <w:tc>
          <w:tcPr>
            <w:tcW w:w="900" w:type="dxa"/>
            <w:vAlign w:val="center"/>
            <w:hideMark/>
          </w:tcPr>
          <w:p w14:paraId="6EDD0796"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2017-2018</w:t>
            </w:r>
          </w:p>
        </w:tc>
        <w:tc>
          <w:tcPr>
            <w:tcW w:w="810" w:type="dxa"/>
            <w:vAlign w:val="center"/>
            <w:hideMark/>
          </w:tcPr>
          <w:p w14:paraId="6EDD0797"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PKVEE</w:t>
            </w:r>
          </w:p>
        </w:tc>
        <w:tc>
          <w:tcPr>
            <w:tcW w:w="1260" w:type="dxa"/>
            <w:vAlign w:val="center"/>
          </w:tcPr>
          <w:p w14:paraId="6EDD0798"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Calibri"/>
                <w:sz w:val="18"/>
                <w:szCs w:val="18"/>
              </w:rPr>
            </w:pPr>
            <w:r w:rsidRPr="007114AF">
              <w:rPr>
                <w:rFonts w:ascii="Garamond" w:hAnsi="Garamond" w:cs="Calibri"/>
                <w:sz w:val="18"/>
                <w:szCs w:val="18"/>
              </w:rPr>
              <w:t>Indirekte</w:t>
            </w:r>
          </w:p>
        </w:tc>
        <w:tc>
          <w:tcPr>
            <w:tcW w:w="1080" w:type="dxa"/>
            <w:vAlign w:val="center"/>
            <w:hideMark/>
          </w:tcPr>
          <w:p w14:paraId="6EDD0799"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212,800.00</w:t>
            </w:r>
          </w:p>
        </w:tc>
        <w:tc>
          <w:tcPr>
            <w:tcW w:w="1260" w:type="dxa"/>
            <w:noWrap/>
            <w:vAlign w:val="center"/>
            <w:hideMark/>
          </w:tcPr>
          <w:p w14:paraId="6EDD079A"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tc>
        <w:tc>
          <w:tcPr>
            <w:tcW w:w="1260" w:type="dxa"/>
            <w:vAlign w:val="center"/>
            <w:hideMark/>
          </w:tcPr>
          <w:p w14:paraId="6EDD079B"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212,800.00</w:t>
            </w:r>
          </w:p>
        </w:tc>
        <w:tc>
          <w:tcPr>
            <w:tcW w:w="1080" w:type="dxa"/>
            <w:noWrap/>
            <w:vAlign w:val="center"/>
            <w:hideMark/>
          </w:tcPr>
          <w:p w14:paraId="6EDD079C"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tc>
        <w:tc>
          <w:tcPr>
            <w:tcW w:w="1260" w:type="dxa"/>
            <w:noWrap/>
            <w:vAlign w:val="center"/>
            <w:hideMark/>
          </w:tcPr>
          <w:p w14:paraId="6EDD079D"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tc>
        <w:tc>
          <w:tcPr>
            <w:tcW w:w="3150" w:type="dxa"/>
            <w:vAlign w:val="center"/>
            <w:hideMark/>
          </w:tcPr>
          <w:p w14:paraId="6EDD079E"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Studimi i fizibilitetit dhe zhvillimi i projektit me fondet e BE (ËBIF) (Durrës-Pogradec-Lin – Kufi me Republiken e Maqedonise se Veriut; Vorë - Hani i Hotit)</w:t>
            </w:r>
          </w:p>
        </w:tc>
      </w:tr>
      <w:tr w:rsidR="00FB584C" w:rsidRPr="007114AF" w14:paraId="6EDD07AB" w14:textId="77777777" w:rsidTr="00FB584C">
        <w:trPr>
          <w:cantSplit/>
          <w:trHeight w:val="20"/>
          <w:jc w:val="center"/>
        </w:trPr>
        <w:tc>
          <w:tcPr>
            <w:cnfStyle w:val="001000000000" w:firstRow="0" w:lastRow="0" w:firstColumn="1" w:lastColumn="0" w:oddVBand="0" w:evenVBand="0" w:oddHBand="0" w:evenHBand="0" w:firstRowFirstColumn="0" w:firstRowLastColumn="0" w:lastRowFirstColumn="0" w:lastRowLastColumn="0"/>
            <w:tcW w:w="534" w:type="dxa"/>
            <w:noWrap/>
            <w:vAlign w:val="center"/>
            <w:hideMark/>
          </w:tcPr>
          <w:p w14:paraId="6EDD07A0" w14:textId="77777777" w:rsidR="00FB584C" w:rsidRPr="007114AF" w:rsidRDefault="00FB584C" w:rsidP="00FB584C">
            <w:pPr>
              <w:spacing w:after="0"/>
              <w:rPr>
                <w:rFonts w:ascii="Garamond" w:eastAsia="Times New Roman" w:hAnsi="Garamond" w:cs="Times New Roman"/>
                <w:b w:val="0"/>
                <w:bCs w:val="0"/>
                <w:sz w:val="18"/>
                <w:szCs w:val="18"/>
              </w:rPr>
            </w:pPr>
            <w:r w:rsidRPr="007114AF">
              <w:rPr>
                <w:rFonts w:ascii="Garamond" w:eastAsia="Times New Roman" w:hAnsi="Garamond" w:cs="Times New Roman"/>
                <w:sz w:val="18"/>
                <w:szCs w:val="18"/>
              </w:rPr>
              <w:t>T39</w:t>
            </w:r>
          </w:p>
        </w:tc>
        <w:tc>
          <w:tcPr>
            <w:tcW w:w="1813" w:type="dxa"/>
            <w:vAlign w:val="center"/>
            <w:hideMark/>
          </w:tcPr>
          <w:p w14:paraId="6EDD07A1"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Reformimi i sektorit hekurudhor për të vendosur një treg të hapur për investitorët e ndryshëm - 1</w:t>
            </w:r>
          </w:p>
        </w:tc>
        <w:tc>
          <w:tcPr>
            <w:tcW w:w="900" w:type="dxa"/>
            <w:vAlign w:val="center"/>
            <w:hideMark/>
          </w:tcPr>
          <w:p w14:paraId="6EDD07A2"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2016-2017</w:t>
            </w:r>
          </w:p>
        </w:tc>
        <w:tc>
          <w:tcPr>
            <w:tcW w:w="810" w:type="dxa"/>
            <w:vAlign w:val="center"/>
            <w:hideMark/>
          </w:tcPr>
          <w:p w14:paraId="6EDD07A3"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SSTPV</w:t>
            </w:r>
          </w:p>
        </w:tc>
        <w:tc>
          <w:tcPr>
            <w:tcW w:w="1260" w:type="dxa"/>
            <w:vAlign w:val="center"/>
          </w:tcPr>
          <w:p w14:paraId="6EDD07A4"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Calibri"/>
                <w:sz w:val="18"/>
                <w:szCs w:val="18"/>
              </w:rPr>
            </w:pPr>
            <w:r w:rsidRPr="007114AF">
              <w:rPr>
                <w:rFonts w:ascii="Garamond" w:eastAsia="Times New Roman" w:hAnsi="Garamond" w:cs="Calibri"/>
                <w:sz w:val="18"/>
                <w:szCs w:val="18"/>
              </w:rPr>
              <w:t>Mundesuese</w:t>
            </w:r>
          </w:p>
        </w:tc>
        <w:tc>
          <w:tcPr>
            <w:tcW w:w="1080" w:type="dxa"/>
            <w:vAlign w:val="center"/>
            <w:hideMark/>
          </w:tcPr>
          <w:p w14:paraId="6EDD07A5"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549,200.00</w:t>
            </w:r>
          </w:p>
        </w:tc>
        <w:tc>
          <w:tcPr>
            <w:tcW w:w="1260" w:type="dxa"/>
            <w:vAlign w:val="center"/>
            <w:hideMark/>
          </w:tcPr>
          <w:p w14:paraId="6EDD07A6"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274,600.00</w:t>
            </w:r>
          </w:p>
        </w:tc>
        <w:tc>
          <w:tcPr>
            <w:tcW w:w="1260" w:type="dxa"/>
            <w:vAlign w:val="center"/>
            <w:hideMark/>
          </w:tcPr>
          <w:p w14:paraId="6EDD07A7"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274,600.00</w:t>
            </w:r>
          </w:p>
        </w:tc>
        <w:tc>
          <w:tcPr>
            <w:tcW w:w="1080" w:type="dxa"/>
            <w:vAlign w:val="center"/>
            <w:hideMark/>
          </w:tcPr>
          <w:p w14:paraId="6EDD07A8"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tc>
        <w:tc>
          <w:tcPr>
            <w:tcW w:w="1260" w:type="dxa"/>
            <w:vAlign w:val="center"/>
            <w:hideMark/>
          </w:tcPr>
          <w:p w14:paraId="6EDD07A9"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tc>
        <w:tc>
          <w:tcPr>
            <w:tcW w:w="3150" w:type="dxa"/>
            <w:vAlign w:val="center"/>
            <w:hideMark/>
          </w:tcPr>
          <w:p w14:paraId="6EDD07AA"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€ 4 mln (për zbatimin e legjislacionit hekurudhor). Buxheti kombëtar (EUR 2 milion), Buxheti IPA (EUR 2 milion)</w:t>
            </w:r>
          </w:p>
        </w:tc>
      </w:tr>
      <w:tr w:rsidR="00FB584C" w:rsidRPr="007114AF" w14:paraId="6EDD07B7" w14:textId="77777777" w:rsidTr="00FB584C">
        <w:trPr>
          <w:cantSplit/>
          <w:trHeight w:val="20"/>
          <w:jc w:val="center"/>
        </w:trPr>
        <w:tc>
          <w:tcPr>
            <w:cnfStyle w:val="001000000000" w:firstRow="0" w:lastRow="0" w:firstColumn="1" w:lastColumn="0" w:oddVBand="0" w:evenVBand="0" w:oddHBand="0" w:evenHBand="0" w:firstRowFirstColumn="0" w:firstRowLastColumn="0" w:lastRowFirstColumn="0" w:lastRowLastColumn="0"/>
            <w:tcW w:w="534" w:type="dxa"/>
            <w:noWrap/>
            <w:vAlign w:val="center"/>
            <w:hideMark/>
          </w:tcPr>
          <w:p w14:paraId="6EDD07AC" w14:textId="77777777" w:rsidR="00FB584C" w:rsidRPr="007114AF" w:rsidRDefault="00FB584C" w:rsidP="00FB584C">
            <w:pPr>
              <w:spacing w:after="0"/>
              <w:rPr>
                <w:rFonts w:ascii="Garamond" w:eastAsia="Times New Roman" w:hAnsi="Garamond" w:cs="Times New Roman"/>
                <w:b w:val="0"/>
                <w:bCs w:val="0"/>
                <w:sz w:val="18"/>
                <w:szCs w:val="18"/>
              </w:rPr>
            </w:pPr>
            <w:r w:rsidRPr="007114AF">
              <w:rPr>
                <w:rFonts w:ascii="Garamond" w:eastAsia="Times New Roman" w:hAnsi="Garamond" w:cs="Times New Roman"/>
                <w:sz w:val="18"/>
                <w:szCs w:val="18"/>
              </w:rPr>
              <w:t>T40</w:t>
            </w:r>
          </w:p>
        </w:tc>
        <w:tc>
          <w:tcPr>
            <w:tcW w:w="1813" w:type="dxa"/>
            <w:vAlign w:val="center"/>
            <w:hideMark/>
          </w:tcPr>
          <w:p w14:paraId="6EDD07AD"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Reformimi i sektorit hekurudhor për të vendosur një treg të hapur për investitorët e ndryshëm - 2</w:t>
            </w:r>
          </w:p>
        </w:tc>
        <w:tc>
          <w:tcPr>
            <w:tcW w:w="900" w:type="dxa"/>
            <w:vAlign w:val="center"/>
            <w:hideMark/>
          </w:tcPr>
          <w:p w14:paraId="6EDD07AE"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2016-2018</w:t>
            </w:r>
          </w:p>
        </w:tc>
        <w:tc>
          <w:tcPr>
            <w:tcW w:w="810" w:type="dxa"/>
            <w:vAlign w:val="center"/>
            <w:hideMark/>
          </w:tcPr>
          <w:p w14:paraId="6EDD07AF"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SSTPV</w:t>
            </w:r>
          </w:p>
        </w:tc>
        <w:tc>
          <w:tcPr>
            <w:tcW w:w="1260" w:type="dxa"/>
            <w:vAlign w:val="center"/>
          </w:tcPr>
          <w:p w14:paraId="6EDD07B0"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Calibri"/>
                <w:sz w:val="18"/>
                <w:szCs w:val="18"/>
              </w:rPr>
            </w:pPr>
            <w:r w:rsidRPr="007114AF">
              <w:rPr>
                <w:rFonts w:ascii="Garamond" w:eastAsia="Times New Roman" w:hAnsi="Garamond" w:cs="Calibri"/>
                <w:sz w:val="18"/>
                <w:szCs w:val="18"/>
              </w:rPr>
              <w:t>Mundesuese</w:t>
            </w:r>
          </w:p>
        </w:tc>
        <w:tc>
          <w:tcPr>
            <w:tcW w:w="1080" w:type="dxa"/>
            <w:vAlign w:val="center"/>
            <w:hideMark/>
          </w:tcPr>
          <w:p w14:paraId="6EDD07B1"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68,650.00</w:t>
            </w:r>
          </w:p>
        </w:tc>
        <w:tc>
          <w:tcPr>
            <w:tcW w:w="1260" w:type="dxa"/>
            <w:noWrap/>
            <w:vAlign w:val="center"/>
            <w:hideMark/>
          </w:tcPr>
          <w:p w14:paraId="6EDD07B2"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34,325.00</w:t>
            </w:r>
          </w:p>
        </w:tc>
        <w:tc>
          <w:tcPr>
            <w:tcW w:w="1260" w:type="dxa"/>
            <w:noWrap/>
            <w:vAlign w:val="center"/>
            <w:hideMark/>
          </w:tcPr>
          <w:p w14:paraId="6EDD07B3"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34,325.00</w:t>
            </w:r>
          </w:p>
        </w:tc>
        <w:tc>
          <w:tcPr>
            <w:tcW w:w="1080" w:type="dxa"/>
            <w:vAlign w:val="center"/>
            <w:hideMark/>
          </w:tcPr>
          <w:p w14:paraId="6EDD07B4"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tc>
        <w:tc>
          <w:tcPr>
            <w:tcW w:w="1260" w:type="dxa"/>
            <w:vAlign w:val="center"/>
            <w:hideMark/>
          </w:tcPr>
          <w:p w14:paraId="6EDD07B5"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tc>
        <w:tc>
          <w:tcPr>
            <w:tcW w:w="3150" w:type="dxa"/>
            <w:vAlign w:val="center"/>
            <w:hideMark/>
          </w:tcPr>
          <w:p w14:paraId="6EDD07B6" w14:textId="262237AB" w:rsidR="00FB584C" w:rsidRPr="007114AF" w:rsidRDefault="00FB584C" w:rsidP="001C47F0">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xml:space="preserve">EUR 0.5 </w:t>
            </w:r>
            <w:r w:rsidR="001C47F0" w:rsidRPr="007114AF">
              <w:rPr>
                <w:rFonts w:ascii="Garamond" w:eastAsia="Times New Roman" w:hAnsi="Garamond" w:cs="Times New Roman"/>
                <w:sz w:val="18"/>
                <w:szCs w:val="18"/>
              </w:rPr>
              <w:t xml:space="preserve">milion </w:t>
            </w:r>
            <w:r w:rsidRPr="007114AF">
              <w:rPr>
                <w:rFonts w:ascii="Garamond" w:eastAsia="Times New Roman" w:hAnsi="Garamond" w:cs="Times New Roman"/>
                <w:sz w:val="18"/>
                <w:szCs w:val="18"/>
              </w:rPr>
              <w:t>(vendosja e trupave të duhur: personelit, qerasë për vendndodhje, trajnimin e personelit, kostot administrative). Buxheti kombëtar (EUR 0.25 milion), Buxheti IPA (EUR 0.25 milion).</w:t>
            </w:r>
          </w:p>
        </w:tc>
      </w:tr>
      <w:tr w:rsidR="00FB584C" w:rsidRPr="007114AF" w14:paraId="6EDD07C3" w14:textId="77777777" w:rsidTr="00FB584C">
        <w:trPr>
          <w:cantSplit/>
          <w:trHeight w:val="20"/>
          <w:jc w:val="center"/>
        </w:trPr>
        <w:tc>
          <w:tcPr>
            <w:cnfStyle w:val="001000000000" w:firstRow="0" w:lastRow="0" w:firstColumn="1" w:lastColumn="0" w:oddVBand="0" w:evenVBand="0" w:oddHBand="0" w:evenHBand="0" w:firstRowFirstColumn="0" w:firstRowLastColumn="0" w:lastRowFirstColumn="0" w:lastRowLastColumn="0"/>
            <w:tcW w:w="534" w:type="dxa"/>
            <w:noWrap/>
            <w:vAlign w:val="center"/>
            <w:hideMark/>
          </w:tcPr>
          <w:p w14:paraId="6EDD07B8" w14:textId="77777777" w:rsidR="00FB584C" w:rsidRPr="007114AF" w:rsidRDefault="00FB584C" w:rsidP="00FB584C">
            <w:pPr>
              <w:spacing w:after="0"/>
              <w:rPr>
                <w:rFonts w:ascii="Garamond" w:eastAsia="Times New Roman" w:hAnsi="Garamond" w:cs="Times New Roman"/>
                <w:b w:val="0"/>
                <w:bCs w:val="0"/>
                <w:sz w:val="18"/>
                <w:szCs w:val="18"/>
              </w:rPr>
            </w:pPr>
            <w:r w:rsidRPr="007114AF">
              <w:rPr>
                <w:rFonts w:ascii="Garamond" w:eastAsia="Times New Roman" w:hAnsi="Garamond" w:cs="Times New Roman"/>
                <w:sz w:val="18"/>
                <w:szCs w:val="18"/>
              </w:rPr>
              <w:t>T41</w:t>
            </w:r>
          </w:p>
        </w:tc>
        <w:tc>
          <w:tcPr>
            <w:tcW w:w="1813" w:type="dxa"/>
            <w:vAlign w:val="center"/>
            <w:hideMark/>
          </w:tcPr>
          <w:p w14:paraId="6EDD07B9"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Reformimi i sektorit hekurudhor për të vendosur një treg të hapur për investitorët e ndryshëm - 3</w:t>
            </w:r>
          </w:p>
        </w:tc>
        <w:tc>
          <w:tcPr>
            <w:tcW w:w="900" w:type="dxa"/>
            <w:vAlign w:val="center"/>
            <w:hideMark/>
          </w:tcPr>
          <w:p w14:paraId="6EDD07BA"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2016-2018</w:t>
            </w:r>
          </w:p>
        </w:tc>
        <w:tc>
          <w:tcPr>
            <w:tcW w:w="810" w:type="dxa"/>
            <w:vAlign w:val="center"/>
            <w:hideMark/>
          </w:tcPr>
          <w:p w14:paraId="6EDD07BB"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SSTPV</w:t>
            </w:r>
          </w:p>
        </w:tc>
        <w:tc>
          <w:tcPr>
            <w:tcW w:w="1260" w:type="dxa"/>
            <w:vAlign w:val="center"/>
          </w:tcPr>
          <w:p w14:paraId="6EDD07BC"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Calibri"/>
                <w:sz w:val="18"/>
                <w:szCs w:val="18"/>
              </w:rPr>
            </w:pPr>
            <w:r w:rsidRPr="007114AF">
              <w:rPr>
                <w:rFonts w:ascii="Garamond" w:eastAsia="Times New Roman" w:hAnsi="Garamond" w:cs="Calibri"/>
                <w:sz w:val="18"/>
                <w:szCs w:val="18"/>
              </w:rPr>
              <w:t>Mundesuese</w:t>
            </w:r>
          </w:p>
        </w:tc>
        <w:tc>
          <w:tcPr>
            <w:tcW w:w="1080" w:type="dxa"/>
            <w:vAlign w:val="center"/>
            <w:hideMark/>
          </w:tcPr>
          <w:p w14:paraId="6EDD07BD"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68,650.00</w:t>
            </w:r>
          </w:p>
        </w:tc>
        <w:tc>
          <w:tcPr>
            <w:tcW w:w="1260" w:type="dxa"/>
            <w:noWrap/>
            <w:vAlign w:val="center"/>
            <w:hideMark/>
          </w:tcPr>
          <w:p w14:paraId="6EDD07BE"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34,325.00</w:t>
            </w:r>
          </w:p>
        </w:tc>
        <w:tc>
          <w:tcPr>
            <w:tcW w:w="1260" w:type="dxa"/>
            <w:noWrap/>
            <w:vAlign w:val="center"/>
            <w:hideMark/>
          </w:tcPr>
          <w:p w14:paraId="6EDD07BF"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34,325.00</w:t>
            </w:r>
          </w:p>
        </w:tc>
        <w:tc>
          <w:tcPr>
            <w:tcW w:w="1080" w:type="dxa"/>
            <w:vAlign w:val="center"/>
            <w:hideMark/>
          </w:tcPr>
          <w:p w14:paraId="6EDD07C0"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tc>
        <w:tc>
          <w:tcPr>
            <w:tcW w:w="1260" w:type="dxa"/>
            <w:vAlign w:val="center"/>
            <w:hideMark/>
          </w:tcPr>
          <w:p w14:paraId="6EDD07C1"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tc>
        <w:tc>
          <w:tcPr>
            <w:tcW w:w="3150" w:type="dxa"/>
            <w:vAlign w:val="center"/>
            <w:hideMark/>
          </w:tcPr>
          <w:p w14:paraId="6EDD07C2" w14:textId="09BE6C1F" w:rsidR="00FB584C" w:rsidRPr="007114AF" w:rsidRDefault="00FB584C" w:rsidP="001C47F0">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xml:space="preserve">EUR 0.5 </w:t>
            </w:r>
            <w:r w:rsidR="001C47F0" w:rsidRPr="007114AF">
              <w:rPr>
                <w:rFonts w:ascii="Garamond" w:eastAsia="Times New Roman" w:hAnsi="Garamond" w:cs="Times New Roman"/>
                <w:sz w:val="18"/>
                <w:szCs w:val="18"/>
              </w:rPr>
              <w:t xml:space="preserve">milion </w:t>
            </w:r>
            <w:r w:rsidRPr="007114AF">
              <w:rPr>
                <w:rFonts w:ascii="Garamond" w:eastAsia="Times New Roman" w:hAnsi="Garamond" w:cs="Times New Roman"/>
                <w:sz w:val="18"/>
                <w:szCs w:val="18"/>
              </w:rPr>
              <w:t>(vendosja e trupave të duhur: personelit, qerasë për vendndodhje, trajnimin e personelit, kostot administrative). Buxheti kombëtar (EUR 0.25 milion), Buxheti IPA (EUR 0.25 milion).</w:t>
            </w:r>
          </w:p>
        </w:tc>
      </w:tr>
      <w:tr w:rsidR="00FB584C" w:rsidRPr="007114AF" w14:paraId="6EDD07CF" w14:textId="77777777" w:rsidTr="00FB584C">
        <w:trPr>
          <w:cantSplit/>
          <w:trHeight w:val="20"/>
          <w:jc w:val="center"/>
        </w:trPr>
        <w:tc>
          <w:tcPr>
            <w:cnfStyle w:val="001000000000" w:firstRow="0" w:lastRow="0" w:firstColumn="1" w:lastColumn="0" w:oddVBand="0" w:evenVBand="0" w:oddHBand="0" w:evenHBand="0" w:firstRowFirstColumn="0" w:firstRowLastColumn="0" w:lastRowFirstColumn="0" w:lastRowLastColumn="0"/>
            <w:tcW w:w="534" w:type="dxa"/>
            <w:noWrap/>
            <w:vAlign w:val="center"/>
            <w:hideMark/>
          </w:tcPr>
          <w:p w14:paraId="6EDD07C4" w14:textId="77777777" w:rsidR="00FB584C" w:rsidRPr="007114AF" w:rsidRDefault="00FB584C" w:rsidP="00FB584C">
            <w:pPr>
              <w:spacing w:after="0"/>
              <w:rPr>
                <w:rFonts w:ascii="Garamond" w:eastAsia="Times New Roman" w:hAnsi="Garamond" w:cs="Times New Roman"/>
                <w:b w:val="0"/>
                <w:bCs w:val="0"/>
                <w:sz w:val="18"/>
                <w:szCs w:val="18"/>
              </w:rPr>
            </w:pPr>
            <w:r w:rsidRPr="007114AF">
              <w:rPr>
                <w:rFonts w:ascii="Garamond" w:eastAsia="Times New Roman" w:hAnsi="Garamond" w:cs="Times New Roman"/>
                <w:sz w:val="18"/>
                <w:szCs w:val="18"/>
              </w:rPr>
              <w:lastRenderedPageBreak/>
              <w:t>T42</w:t>
            </w:r>
          </w:p>
        </w:tc>
        <w:tc>
          <w:tcPr>
            <w:tcW w:w="1813" w:type="dxa"/>
            <w:vAlign w:val="center"/>
            <w:hideMark/>
          </w:tcPr>
          <w:p w14:paraId="6EDD07C5"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Reformimi i sektorit hekurudhor për të vendosur një treg të hapur për investitorët e ndryshëm - 4</w:t>
            </w:r>
          </w:p>
        </w:tc>
        <w:tc>
          <w:tcPr>
            <w:tcW w:w="900" w:type="dxa"/>
            <w:vAlign w:val="center"/>
            <w:hideMark/>
          </w:tcPr>
          <w:p w14:paraId="6EDD07C6"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2016-2018</w:t>
            </w:r>
          </w:p>
        </w:tc>
        <w:tc>
          <w:tcPr>
            <w:tcW w:w="810" w:type="dxa"/>
            <w:vAlign w:val="center"/>
            <w:hideMark/>
          </w:tcPr>
          <w:p w14:paraId="6EDD07C7"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SSTPV</w:t>
            </w:r>
          </w:p>
        </w:tc>
        <w:tc>
          <w:tcPr>
            <w:tcW w:w="1260" w:type="dxa"/>
            <w:vAlign w:val="center"/>
          </w:tcPr>
          <w:p w14:paraId="6EDD07C8"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Calibri"/>
                <w:sz w:val="18"/>
                <w:szCs w:val="18"/>
              </w:rPr>
            </w:pPr>
            <w:r w:rsidRPr="007114AF">
              <w:rPr>
                <w:rFonts w:ascii="Garamond" w:eastAsia="Times New Roman" w:hAnsi="Garamond" w:cs="Calibri"/>
                <w:sz w:val="18"/>
                <w:szCs w:val="18"/>
              </w:rPr>
              <w:t>Mundesuese</w:t>
            </w:r>
          </w:p>
        </w:tc>
        <w:tc>
          <w:tcPr>
            <w:tcW w:w="1080" w:type="dxa"/>
            <w:vAlign w:val="center"/>
            <w:hideMark/>
          </w:tcPr>
          <w:p w14:paraId="6EDD07C9"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82,380.00</w:t>
            </w:r>
          </w:p>
        </w:tc>
        <w:tc>
          <w:tcPr>
            <w:tcW w:w="1260" w:type="dxa"/>
            <w:noWrap/>
            <w:vAlign w:val="center"/>
            <w:hideMark/>
          </w:tcPr>
          <w:p w14:paraId="6EDD07CA"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82,380.00</w:t>
            </w:r>
          </w:p>
        </w:tc>
        <w:tc>
          <w:tcPr>
            <w:tcW w:w="1260" w:type="dxa"/>
            <w:vAlign w:val="center"/>
            <w:hideMark/>
          </w:tcPr>
          <w:p w14:paraId="6EDD07CB"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tc>
        <w:tc>
          <w:tcPr>
            <w:tcW w:w="1080" w:type="dxa"/>
            <w:vAlign w:val="center"/>
            <w:hideMark/>
          </w:tcPr>
          <w:p w14:paraId="6EDD07CC"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tc>
        <w:tc>
          <w:tcPr>
            <w:tcW w:w="1260" w:type="dxa"/>
            <w:vAlign w:val="center"/>
            <w:hideMark/>
          </w:tcPr>
          <w:p w14:paraId="6EDD07CD"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tc>
        <w:tc>
          <w:tcPr>
            <w:tcW w:w="3150" w:type="dxa"/>
            <w:vAlign w:val="center"/>
            <w:hideMark/>
          </w:tcPr>
          <w:p w14:paraId="6EDD07CE"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EUR 0.2 milion: rregullimi i ligjit të portit/hekurudhës</w:t>
            </w:r>
            <w:r w:rsidRPr="007114AF">
              <w:rPr>
                <w:rFonts w:ascii="Garamond" w:eastAsia="Times New Roman" w:hAnsi="Garamond" w:cs="Times New Roman"/>
                <w:sz w:val="18"/>
                <w:szCs w:val="18"/>
              </w:rPr>
              <w:br/>
              <w:t>EUR 0.2 milion: mundësitë e tregut + përmirësimi i eficiencës</w:t>
            </w:r>
            <w:r w:rsidRPr="007114AF">
              <w:rPr>
                <w:rFonts w:ascii="Garamond" w:eastAsia="Times New Roman" w:hAnsi="Garamond" w:cs="Times New Roman"/>
                <w:sz w:val="18"/>
                <w:szCs w:val="18"/>
              </w:rPr>
              <w:br/>
              <w:t>EUR 0.2 milion: studimi i fizibilitetit për sistemin e portit komunitar; Buxheti i Shtetit</w:t>
            </w:r>
          </w:p>
        </w:tc>
      </w:tr>
      <w:tr w:rsidR="00FB584C" w:rsidRPr="007114AF" w14:paraId="6EDD07DB" w14:textId="77777777" w:rsidTr="00FB584C">
        <w:trPr>
          <w:cantSplit/>
          <w:trHeight w:val="20"/>
          <w:jc w:val="center"/>
        </w:trPr>
        <w:tc>
          <w:tcPr>
            <w:cnfStyle w:val="001000000000" w:firstRow="0" w:lastRow="0" w:firstColumn="1" w:lastColumn="0" w:oddVBand="0" w:evenVBand="0" w:oddHBand="0" w:evenHBand="0" w:firstRowFirstColumn="0" w:firstRowLastColumn="0" w:lastRowFirstColumn="0" w:lastRowLastColumn="0"/>
            <w:tcW w:w="534" w:type="dxa"/>
            <w:noWrap/>
            <w:vAlign w:val="center"/>
            <w:hideMark/>
          </w:tcPr>
          <w:p w14:paraId="6EDD07D0" w14:textId="77777777" w:rsidR="00FB584C" w:rsidRPr="007114AF" w:rsidRDefault="00FB584C" w:rsidP="00FB584C">
            <w:pPr>
              <w:spacing w:after="0"/>
              <w:rPr>
                <w:rFonts w:ascii="Garamond" w:eastAsia="Times New Roman" w:hAnsi="Garamond" w:cs="Times New Roman"/>
                <w:b w:val="0"/>
                <w:bCs w:val="0"/>
                <w:sz w:val="18"/>
                <w:szCs w:val="18"/>
              </w:rPr>
            </w:pPr>
            <w:r w:rsidRPr="007114AF">
              <w:rPr>
                <w:rFonts w:ascii="Garamond" w:eastAsia="Times New Roman" w:hAnsi="Garamond" w:cs="Times New Roman"/>
                <w:sz w:val="18"/>
                <w:szCs w:val="18"/>
              </w:rPr>
              <w:t>T43</w:t>
            </w:r>
          </w:p>
        </w:tc>
        <w:tc>
          <w:tcPr>
            <w:tcW w:w="1813" w:type="dxa"/>
            <w:vAlign w:val="center"/>
            <w:hideMark/>
          </w:tcPr>
          <w:p w14:paraId="6EDD07D1"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Pozicionimi i Shqipërisë brenda tregut hekurudhor evropian si një lojtar në korridorin e transportit Juglindor Evropian - 1</w:t>
            </w:r>
          </w:p>
        </w:tc>
        <w:tc>
          <w:tcPr>
            <w:tcW w:w="900" w:type="dxa"/>
            <w:vAlign w:val="center"/>
            <w:hideMark/>
          </w:tcPr>
          <w:p w14:paraId="6EDD07D2"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2018-2020</w:t>
            </w:r>
          </w:p>
        </w:tc>
        <w:tc>
          <w:tcPr>
            <w:tcW w:w="810" w:type="dxa"/>
            <w:vAlign w:val="center"/>
            <w:hideMark/>
          </w:tcPr>
          <w:p w14:paraId="6EDD07D3"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SSTPV</w:t>
            </w:r>
          </w:p>
        </w:tc>
        <w:tc>
          <w:tcPr>
            <w:tcW w:w="1260" w:type="dxa"/>
            <w:vAlign w:val="center"/>
          </w:tcPr>
          <w:p w14:paraId="6EDD07D4"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Calibri"/>
                <w:sz w:val="18"/>
                <w:szCs w:val="18"/>
              </w:rPr>
            </w:pPr>
            <w:r w:rsidRPr="007114AF">
              <w:rPr>
                <w:rFonts w:ascii="Garamond" w:hAnsi="Garamond" w:cs="Calibri"/>
                <w:sz w:val="18"/>
                <w:szCs w:val="18"/>
              </w:rPr>
              <w:t>Indirekte</w:t>
            </w:r>
          </w:p>
        </w:tc>
        <w:tc>
          <w:tcPr>
            <w:tcW w:w="1080" w:type="dxa"/>
            <w:vAlign w:val="center"/>
            <w:hideMark/>
          </w:tcPr>
          <w:p w14:paraId="6EDD07D5"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0.00</w:t>
            </w:r>
          </w:p>
        </w:tc>
        <w:tc>
          <w:tcPr>
            <w:tcW w:w="1260" w:type="dxa"/>
            <w:vAlign w:val="center"/>
            <w:hideMark/>
          </w:tcPr>
          <w:p w14:paraId="6EDD07D6"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0.00</w:t>
            </w:r>
          </w:p>
        </w:tc>
        <w:tc>
          <w:tcPr>
            <w:tcW w:w="1260" w:type="dxa"/>
            <w:vAlign w:val="center"/>
            <w:hideMark/>
          </w:tcPr>
          <w:p w14:paraId="6EDD07D7"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tc>
        <w:tc>
          <w:tcPr>
            <w:tcW w:w="1080" w:type="dxa"/>
            <w:vAlign w:val="center"/>
            <w:hideMark/>
          </w:tcPr>
          <w:p w14:paraId="6EDD07D8"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tc>
        <w:tc>
          <w:tcPr>
            <w:tcW w:w="1260" w:type="dxa"/>
            <w:vAlign w:val="center"/>
            <w:hideMark/>
          </w:tcPr>
          <w:p w14:paraId="6EDD07D9"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tc>
        <w:tc>
          <w:tcPr>
            <w:tcW w:w="3150" w:type="dxa"/>
            <w:vAlign w:val="center"/>
            <w:hideMark/>
          </w:tcPr>
          <w:p w14:paraId="6EDD07DA"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Asnjë vlerësim mbi kostot për këtë projekt. Do të financohet nga buxheti i shtetit</w:t>
            </w:r>
          </w:p>
        </w:tc>
      </w:tr>
      <w:tr w:rsidR="00FB584C" w:rsidRPr="007114AF" w14:paraId="6EDD07E7" w14:textId="77777777" w:rsidTr="00FB584C">
        <w:trPr>
          <w:cantSplit/>
          <w:trHeight w:val="20"/>
          <w:jc w:val="center"/>
        </w:trPr>
        <w:tc>
          <w:tcPr>
            <w:cnfStyle w:val="001000000000" w:firstRow="0" w:lastRow="0" w:firstColumn="1" w:lastColumn="0" w:oddVBand="0" w:evenVBand="0" w:oddHBand="0" w:evenHBand="0" w:firstRowFirstColumn="0" w:firstRowLastColumn="0" w:lastRowFirstColumn="0" w:lastRowLastColumn="0"/>
            <w:tcW w:w="534" w:type="dxa"/>
            <w:noWrap/>
            <w:vAlign w:val="center"/>
            <w:hideMark/>
          </w:tcPr>
          <w:p w14:paraId="6EDD07DC" w14:textId="77777777" w:rsidR="00FB584C" w:rsidRPr="007114AF" w:rsidRDefault="00FB584C" w:rsidP="00FB584C">
            <w:pPr>
              <w:spacing w:after="0"/>
              <w:rPr>
                <w:rFonts w:ascii="Garamond" w:eastAsia="Times New Roman" w:hAnsi="Garamond" w:cs="Times New Roman"/>
                <w:b w:val="0"/>
                <w:bCs w:val="0"/>
                <w:sz w:val="18"/>
                <w:szCs w:val="18"/>
              </w:rPr>
            </w:pPr>
            <w:r w:rsidRPr="007114AF">
              <w:rPr>
                <w:rFonts w:ascii="Garamond" w:eastAsia="Times New Roman" w:hAnsi="Garamond" w:cs="Times New Roman"/>
                <w:sz w:val="18"/>
                <w:szCs w:val="18"/>
              </w:rPr>
              <w:t>T44</w:t>
            </w:r>
          </w:p>
        </w:tc>
        <w:tc>
          <w:tcPr>
            <w:tcW w:w="1813" w:type="dxa"/>
            <w:vAlign w:val="center"/>
            <w:hideMark/>
          </w:tcPr>
          <w:p w14:paraId="6EDD07DD"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Pozicionimi i Shqipërisë brenda tregut hekurudhor Evropian si një lojtar në korridorin e transportit Juglindor Evropian - 2</w:t>
            </w:r>
          </w:p>
        </w:tc>
        <w:tc>
          <w:tcPr>
            <w:tcW w:w="900" w:type="dxa"/>
            <w:vAlign w:val="center"/>
            <w:hideMark/>
          </w:tcPr>
          <w:p w14:paraId="6EDD07DE"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2018-2020</w:t>
            </w:r>
          </w:p>
        </w:tc>
        <w:tc>
          <w:tcPr>
            <w:tcW w:w="810" w:type="dxa"/>
            <w:vAlign w:val="center"/>
            <w:hideMark/>
          </w:tcPr>
          <w:p w14:paraId="6EDD07DF"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SSTPV</w:t>
            </w:r>
          </w:p>
        </w:tc>
        <w:tc>
          <w:tcPr>
            <w:tcW w:w="1260" w:type="dxa"/>
            <w:vAlign w:val="center"/>
          </w:tcPr>
          <w:p w14:paraId="6EDD07E0"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Calibri"/>
                <w:sz w:val="18"/>
                <w:szCs w:val="18"/>
              </w:rPr>
            </w:pPr>
            <w:r w:rsidRPr="007114AF">
              <w:rPr>
                <w:rFonts w:ascii="Garamond" w:hAnsi="Garamond" w:cs="Calibri"/>
                <w:sz w:val="18"/>
                <w:szCs w:val="18"/>
              </w:rPr>
              <w:t>Indirekte</w:t>
            </w:r>
          </w:p>
        </w:tc>
        <w:tc>
          <w:tcPr>
            <w:tcW w:w="1080" w:type="dxa"/>
            <w:vAlign w:val="center"/>
            <w:hideMark/>
          </w:tcPr>
          <w:p w14:paraId="6EDD07E1"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50,198,253.00</w:t>
            </w:r>
          </w:p>
        </w:tc>
        <w:tc>
          <w:tcPr>
            <w:tcW w:w="1260" w:type="dxa"/>
            <w:vAlign w:val="center"/>
            <w:hideMark/>
          </w:tcPr>
          <w:p w14:paraId="6EDD07E2"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tc>
        <w:tc>
          <w:tcPr>
            <w:tcW w:w="1260" w:type="dxa"/>
            <w:noWrap/>
            <w:vAlign w:val="center"/>
            <w:hideMark/>
          </w:tcPr>
          <w:p w14:paraId="6EDD07E3"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453,090.00</w:t>
            </w:r>
          </w:p>
        </w:tc>
        <w:tc>
          <w:tcPr>
            <w:tcW w:w="1080" w:type="dxa"/>
            <w:vAlign w:val="center"/>
            <w:hideMark/>
          </w:tcPr>
          <w:p w14:paraId="6EDD07E4"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tc>
        <w:tc>
          <w:tcPr>
            <w:tcW w:w="1260" w:type="dxa"/>
            <w:noWrap/>
            <w:vAlign w:val="center"/>
            <w:hideMark/>
          </w:tcPr>
          <w:p w14:paraId="6EDD07E5"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49,745,163.00</w:t>
            </w:r>
          </w:p>
        </w:tc>
        <w:tc>
          <w:tcPr>
            <w:tcW w:w="3150" w:type="dxa"/>
            <w:vAlign w:val="center"/>
            <w:hideMark/>
          </w:tcPr>
          <w:p w14:paraId="6EDD07E6" w14:textId="4287817A"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EUR 365.61 milion; Buxheti kombëtar (% për t</w:t>
            </w:r>
            <w:r w:rsidR="00D10DAB" w:rsidRPr="007114AF">
              <w:rPr>
                <w:rFonts w:ascii="Garamond" w:eastAsia="Times New Roman" w:hAnsi="Garamond" w:cs="Times New Roman"/>
                <w:sz w:val="18"/>
                <w:szCs w:val="18"/>
              </w:rPr>
              <w:t>’</w:t>
            </w:r>
            <w:r w:rsidRPr="007114AF">
              <w:rPr>
                <w:rFonts w:ascii="Garamond" w:eastAsia="Times New Roman" w:hAnsi="Garamond" w:cs="Times New Roman"/>
                <w:sz w:val="18"/>
                <w:szCs w:val="18"/>
              </w:rPr>
              <w:t>u caktuar);</w:t>
            </w:r>
            <w:r w:rsidRPr="007114AF">
              <w:rPr>
                <w:rFonts w:ascii="Garamond" w:eastAsia="Times New Roman" w:hAnsi="Garamond" w:cs="Times New Roman"/>
                <w:sz w:val="18"/>
                <w:szCs w:val="18"/>
              </w:rPr>
              <w:br/>
              <w:t xml:space="preserve">Grantet: EUR 2.2 </w:t>
            </w:r>
            <w:r w:rsidR="001C47F0" w:rsidRPr="007114AF">
              <w:rPr>
                <w:rFonts w:ascii="Garamond" w:eastAsia="Times New Roman" w:hAnsi="Garamond" w:cs="Times New Roman"/>
                <w:sz w:val="18"/>
                <w:szCs w:val="18"/>
              </w:rPr>
              <w:t xml:space="preserve">milionë </w:t>
            </w:r>
            <w:r w:rsidRPr="007114AF">
              <w:rPr>
                <w:rFonts w:ascii="Garamond" w:eastAsia="Times New Roman" w:hAnsi="Garamond" w:cs="Times New Roman"/>
                <w:sz w:val="18"/>
                <w:szCs w:val="18"/>
              </w:rPr>
              <w:t xml:space="preserve">nga </w:t>
            </w:r>
            <w:r w:rsidRPr="007114AF">
              <w:rPr>
                <w:rFonts w:ascii="Garamond" w:eastAsia="Times New Roman" w:hAnsi="Garamond" w:cs="Times New Roman"/>
                <w:sz w:val="18"/>
                <w:szCs w:val="18"/>
                <w:highlight w:val="yellow"/>
              </w:rPr>
              <w:t>ËBIF</w:t>
            </w:r>
            <w:r w:rsidRPr="007114AF">
              <w:rPr>
                <w:rFonts w:ascii="Garamond" w:eastAsia="Times New Roman" w:hAnsi="Garamond" w:cs="Times New Roman"/>
                <w:sz w:val="18"/>
                <w:szCs w:val="18"/>
              </w:rPr>
              <w:t xml:space="preserve"> dhe EUR 1.1 </w:t>
            </w:r>
            <w:r w:rsidR="001C47F0" w:rsidRPr="007114AF">
              <w:rPr>
                <w:rFonts w:ascii="Garamond" w:eastAsia="Times New Roman" w:hAnsi="Garamond" w:cs="Times New Roman"/>
                <w:sz w:val="18"/>
                <w:szCs w:val="18"/>
              </w:rPr>
              <w:t xml:space="preserve">milionë </w:t>
            </w:r>
            <w:r w:rsidRPr="007114AF">
              <w:rPr>
                <w:rFonts w:ascii="Garamond" w:eastAsia="Times New Roman" w:hAnsi="Garamond" w:cs="Times New Roman"/>
                <w:sz w:val="18"/>
                <w:szCs w:val="18"/>
              </w:rPr>
              <w:t>nga EBRD;</w:t>
            </w:r>
            <w:r w:rsidRPr="007114AF">
              <w:rPr>
                <w:rFonts w:ascii="Garamond" w:eastAsia="Times New Roman" w:hAnsi="Garamond" w:cs="Times New Roman"/>
                <w:sz w:val="18"/>
                <w:szCs w:val="18"/>
              </w:rPr>
              <w:br/>
              <w:t>donatorët e tjerë (% për t</w:t>
            </w:r>
            <w:r w:rsidR="00D10DAB" w:rsidRPr="007114AF">
              <w:rPr>
                <w:rFonts w:ascii="Garamond" w:eastAsia="Times New Roman" w:hAnsi="Garamond" w:cs="Times New Roman"/>
                <w:sz w:val="18"/>
                <w:szCs w:val="18"/>
              </w:rPr>
              <w:t>’</w:t>
            </w:r>
            <w:r w:rsidRPr="007114AF">
              <w:rPr>
                <w:rFonts w:ascii="Garamond" w:eastAsia="Times New Roman" w:hAnsi="Garamond" w:cs="Times New Roman"/>
                <w:sz w:val="18"/>
                <w:szCs w:val="18"/>
              </w:rPr>
              <w:t>u caktuar).</w:t>
            </w:r>
          </w:p>
        </w:tc>
      </w:tr>
      <w:tr w:rsidR="00FB584C" w:rsidRPr="007114AF" w14:paraId="6EDD07F3" w14:textId="77777777" w:rsidTr="00FB584C">
        <w:trPr>
          <w:cantSplit/>
          <w:trHeight w:val="20"/>
          <w:jc w:val="center"/>
        </w:trPr>
        <w:tc>
          <w:tcPr>
            <w:cnfStyle w:val="001000000000" w:firstRow="0" w:lastRow="0" w:firstColumn="1" w:lastColumn="0" w:oddVBand="0" w:evenVBand="0" w:oddHBand="0" w:evenHBand="0" w:firstRowFirstColumn="0" w:firstRowLastColumn="0" w:lastRowFirstColumn="0" w:lastRowLastColumn="0"/>
            <w:tcW w:w="534" w:type="dxa"/>
            <w:noWrap/>
            <w:vAlign w:val="center"/>
            <w:hideMark/>
          </w:tcPr>
          <w:p w14:paraId="6EDD07E8" w14:textId="77777777" w:rsidR="00FB584C" w:rsidRPr="007114AF" w:rsidRDefault="00FB584C" w:rsidP="00FB584C">
            <w:pPr>
              <w:spacing w:after="0"/>
              <w:rPr>
                <w:rFonts w:ascii="Garamond" w:eastAsia="Times New Roman" w:hAnsi="Garamond" w:cs="Times New Roman"/>
                <w:b w:val="0"/>
                <w:bCs w:val="0"/>
                <w:sz w:val="18"/>
                <w:szCs w:val="18"/>
              </w:rPr>
            </w:pPr>
            <w:r w:rsidRPr="007114AF">
              <w:rPr>
                <w:rFonts w:ascii="Garamond" w:eastAsia="Times New Roman" w:hAnsi="Garamond" w:cs="Times New Roman"/>
                <w:sz w:val="18"/>
                <w:szCs w:val="18"/>
              </w:rPr>
              <w:t>T45</w:t>
            </w:r>
          </w:p>
        </w:tc>
        <w:tc>
          <w:tcPr>
            <w:tcW w:w="1813" w:type="dxa"/>
            <w:vAlign w:val="center"/>
            <w:hideMark/>
          </w:tcPr>
          <w:p w14:paraId="6EDD07E9"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Sisteme efikase dhe të përgjegjshme detare dhe portuale - 1</w:t>
            </w:r>
          </w:p>
        </w:tc>
        <w:tc>
          <w:tcPr>
            <w:tcW w:w="900" w:type="dxa"/>
            <w:vAlign w:val="center"/>
            <w:hideMark/>
          </w:tcPr>
          <w:p w14:paraId="6EDD07EA"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2018-2020</w:t>
            </w:r>
          </w:p>
        </w:tc>
        <w:tc>
          <w:tcPr>
            <w:tcW w:w="810" w:type="dxa"/>
            <w:vAlign w:val="center"/>
            <w:hideMark/>
          </w:tcPr>
          <w:p w14:paraId="6EDD07EB"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SSTPV</w:t>
            </w:r>
          </w:p>
        </w:tc>
        <w:tc>
          <w:tcPr>
            <w:tcW w:w="1260" w:type="dxa"/>
            <w:vAlign w:val="center"/>
          </w:tcPr>
          <w:p w14:paraId="6EDD07EC"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Calibri"/>
                <w:sz w:val="18"/>
                <w:szCs w:val="18"/>
              </w:rPr>
            </w:pPr>
            <w:r w:rsidRPr="007114AF">
              <w:rPr>
                <w:rFonts w:ascii="Garamond" w:eastAsia="Times New Roman" w:hAnsi="Garamond" w:cs="Calibri"/>
                <w:sz w:val="18"/>
                <w:szCs w:val="18"/>
              </w:rPr>
              <w:t>Mundësuese</w:t>
            </w:r>
          </w:p>
        </w:tc>
        <w:tc>
          <w:tcPr>
            <w:tcW w:w="1080" w:type="dxa"/>
            <w:vAlign w:val="center"/>
            <w:hideMark/>
          </w:tcPr>
          <w:p w14:paraId="6EDD07ED"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12,500.00</w:t>
            </w:r>
          </w:p>
        </w:tc>
        <w:tc>
          <w:tcPr>
            <w:tcW w:w="1260" w:type="dxa"/>
            <w:vAlign w:val="center"/>
            <w:hideMark/>
          </w:tcPr>
          <w:p w14:paraId="6EDD07EE"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0.00</w:t>
            </w:r>
          </w:p>
        </w:tc>
        <w:tc>
          <w:tcPr>
            <w:tcW w:w="1260" w:type="dxa"/>
            <w:vAlign w:val="center"/>
            <w:hideMark/>
          </w:tcPr>
          <w:p w14:paraId="6EDD07EF"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tc>
        <w:tc>
          <w:tcPr>
            <w:tcW w:w="1080" w:type="dxa"/>
            <w:vAlign w:val="center"/>
            <w:hideMark/>
          </w:tcPr>
          <w:p w14:paraId="6EDD07F0"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tc>
        <w:tc>
          <w:tcPr>
            <w:tcW w:w="1260" w:type="dxa"/>
            <w:vAlign w:val="center"/>
            <w:hideMark/>
          </w:tcPr>
          <w:p w14:paraId="6EDD07F1"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12,500.00</w:t>
            </w:r>
          </w:p>
        </w:tc>
        <w:tc>
          <w:tcPr>
            <w:tcW w:w="3150" w:type="dxa"/>
            <w:vAlign w:val="center"/>
            <w:hideMark/>
          </w:tcPr>
          <w:p w14:paraId="6EDD07F2"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Kostoja për njësi bazuar në masa të njëjta</w:t>
            </w:r>
          </w:p>
        </w:tc>
      </w:tr>
      <w:tr w:rsidR="00FB584C" w:rsidRPr="007114AF" w14:paraId="6EDD07FF" w14:textId="77777777" w:rsidTr="00FB584C">
        <w:trPr>
          <w:cantSplit/>
          <w:trHeight w:val="20"/>
          <w:jc w:val="center"/>
        </w:trPr>
        <w:tc>
          <w:tcPr>
            <w:cnfStyle w:val="001000000000" w:firstRow="0" w:lastRow="0" w:firstColumn="1" w:lastColumn="0" w:oddVBand="0" w:evenVBand="0" w:oddHBand="0" w:evenHBand="0" w:firstRowFirstColumn="0" w:firstRowLastColumn="0" w:lastRowFirstColumn="0" w:lastRowLastColumn="0"/>
            <w:tcW w:w="534" w:type="dxa"/>
            <w:noWrap/>
            <w:vAlign w:val="center"/>
            <w:hideMark/>
          </w:tcPr>
          <w:p w14:paraId="6EDD07F4" w14:textId="77777777" w:rsidR="00FB584C" w:rsidRPr="007114AF" w:rsidRDefault="00FB584C" w:rsidP="00FB584C">
            <w:pPr>
              <w:spacing w:after="0"/>
              <w:rPr>
                <w:rFonts w:ascii="Garamond" w:eastAsia="Times New Roman" w:hAnsi="Garamond" w:cs="Times New Roman"/>
                <w:b w:val="0"/>
                <w:bCs w:val="0"/>
                <w:sz w:val="18"/>
                <w:szCs w:val="18"/>
              </w:rPr>
            </w:pPr>
            <w:r w:rsidRPr="007114AF">
              <w:rPr>
                <w:rFonts w:ascii="Garamond" w:eastAsia="Times New Roman" w:hAnsi="Garamond" w:cs="Times New Roman"/>
                <w:sz w:val="18"/>
                <w:szCs w:val="18"/>
              </w:rPr>
              <w:t>T46</w:t>
            </w:r>
          </w:p>
        </w:tc>
        <w:tc>
          <w:tcPr>
            <w:tcW w:w="1813" w:type="dxa"/>
            <w:vAlign w:val="center"/>
            <w:hideMark/>
          </w:tcPr>
          <w:p w14:paraId="6EDD07F5"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Sisteme efikase dhe të përgjegjshme detare dhe portuale - 2</w:t>
            </w:r>
          </w:p>
        </w:tc>
        <w:tc>
          <w:tcPr>
            <w:tcW w:w="900" w:type="dxa"/>
            <w:vAlign w:val="center"/>
            <w:hideMark/>
          </w:tcPr>
          <w:p w14:paraId="6EDD07F6"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2016-2020</w:t>
            </w:r>
          </w:p>
        </w:tc>
        <w:tc>
          <w:tcPr>
            <w:tcW w:w="810" w:type="dxa"/>
            <w:vAlign w:val="center"/>
            <w:hideMark/>
          </w:tcPr>
          <w:p w14:paraId="6EDD07F7"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SSTPV</w:t>
            </w:r>
          </w:p>
        </w:tc>
        <w:tc>
          <w:tcPr>
            <w:tcW w:w="1260" w:type="dxa"/>
            <w:vAlign w:val="center"/>
          </w:tcPr>
          <w:p w14:paraId="6EDD07F8"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Calibri"/>
                <w:sz w:val="18"/>
                <w:szCs w:val="18"/>
              </w:rPr>
            </w:pPr>
            <w:r w:rsidRPr="007114AF">
              <w:rPr>
                <w:rFonts w:ascii="Garamond" w:eastAsia="Times New Roman" w:hAnsi="Garamond" w:cs="Calibri"/>
                <w:sz w:val="18"/>
                <w:szCs w:val="18"/>
              </w:rPr>
              <w:t>Mundësuese</w:t>
            </w:r>
          </w:p>
        </w:tc>
        <w:tc>
          <w:tcPr>
            <w:tcW w:w="1080" w:type="dxa"/>
            <w:vAlign w:val="center"/>
            <w:hideMark/>
          </w:tcPr>
          <w:p w14:paraId="6EDD07F9"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68,650.00</w:t>
            </w:r>
          </w:p>
        </w:tc>
        <w:tc>
          <w:tcPr>
            <w:tcW w:w="1260" w:type="dxa"/>
            <w:vAlign w:val="center"/>
            <w:hideMark/>
          </w:tcPr>
          <w:p w14:paraId="6EDD07FA"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27,460.00</w:t>
            </w:r>
          </w:p>
        </w:tc>
        <w:tc>
          <w:tcPr>
            <w:tcW w:w="1260" w:type="dxa"/>
            <w:vAlign w:val="center"/>
            <w:hideMark/>
          </w:tcPr>
          <w:p w14:paraId="6EDD07FB"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41,190.00</w:t>
            </w:r>
          </w:p>
        </w:tc>
        <w:tc>
          <w:tcPr>
            <w:tcW w:w="1080" w:type="dxa"/>
            <w:vAlign w:val="center"/>
            <w:hideMark/>
          </w:tcPr>
          <w:p w14:paraId="6EDD07FC"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tc>
        <w:tc>
          <w:tcPr>
            <w:tcW w:w="1260" w:type="dxa"/>
            <w:vAlign w:val="center"/>
            <w:hideMark/>
          </w:tcPr>
          <w:p w14:paraId="6EDD07FD"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tc>
        <w:tc>
          <w:tcPr>
            <w:tcW w:w="3150" w:type="dxa"/>
            <w:vAlign w:val="center"/>
            <w:hideMark/>
          </w:tcPr>
          <w:p w14:paraId="6EDD07FE"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EUR 0.5 milion; Buxheti Kombëtar (EUR 200,000), buxheti IPA (EUR 300,000)</w:t>
            </w:r>
          </w:p>
        </w:tc>
      </w:tr>
      <w:tr w:rsidR="00FB584C" w:rsidRPr="007114AF" w14:paraId="6EDD080B" w14:textId="77777777" w:rsidTr="00FB584C">
        <w:trPr>
          <w:cantSplit/>
          <w:trHeight w:val="20"/>
          <w:jc w:val="center"/>
        </w:trPr>
        <w:tc>
          <w:tcPr>
            <w:cnfStyle w:val="001000000000" w:firstRow="0" w:lastRow="0" w:firstColumn="1" w:lastColumn="0" w:oddVBand="0" w:evenVBand="0" w:oddHBand="0" w:evenHBand="0" w:firstRowFirstColumn="0" w:firstRowLastColumn="0" w:lastRowFirstColumn="0" w:lastRowLastColumn="0"/>
            <w:tcW w:w="534" w:type="dxa"/>
            <w:noWrap/>
            <w:vAlign w:val="center"/>
            <w:hideMark/>
          </w:tcPr>
          <w:p w14:paraId="6EDD0800" w14:textId="77777777" w:rsidR="00FB584C" w:rsidRPr="007114AF" w:rsidRDefault="00FB584C" w:rsidP="00FB584C">
            <w:pPr>
              <w:spacing w:after="0"/>
              <w:rPr>
                <w:rFonts w:ascii="Garamond" w:eastAsia="Times New Roman" w:hAnsi="Garamond" w:cs="Times New Roman"/>
                <w:b w:val="0"/>
                <w:bCs w:val="0"/>
                <w:sz w:val="18"/>
                <w:szCs w:val="18"/>
              </w:rPr>
            </w:pPr>
            <w:r w:rsidRPr="007114AF">
              <w:rPr>
                <w:rFonts w:ascii="Garamond" w:eastAsia="Times New Roman" w:hAnsi="Garamond" w:cs="Times New Roman"/>
                <w:sz w:val="18"/>
                <w:szCs w:val="18"/>
              </w:rPr>
              <w:t>T47</w:t>
            </w:r>
          </w:p>
        </w:tc>
        <w:tc>
          <w:tcPr>
            <w:tcW w:w="1813" w:type="dxa"/>
            <w:vAlign w:val="center"/>
            <w:hideMark/>
          </w:tcPr>
          <w:p w14:paraId="6EDD0801"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Sisteme efikase dhe të përgjegjshme detare dhe portuale - 3</w:t>
            </w:r>
          </w:p>
        </w:tc>
        <w:tc>
          <w:tcPr>
            <w:tcW w:w="900" w:type="dxa"/>
            <w:vAlign w:val="center"/>
            <w:hideMark/>
          </w:tcPr>
          <w:p w14:paraId="6EDD0802"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2016-2020</w:t>
            </w:r>
          </w:p>
        </w:tc>
        <w:tc>
          <w:tcPr>
            <w:tcW w:w="810" w:type="dxa"/>
            <w:vAlign w:val="center"/>
            <w:hideMark/>
          </w:tcPr>
          <w:p w14:paraId="6EDD0803"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SSTPV</w:t>
            </w:r>
          </w:p>
        </w:tc>
        <w:tc>
          <w:tcPr>
            <w:tcW w:w="1260" w:type="dxa"/>
            <w:vAlign w:val="center"/>
          </w:tcPr>
          <w:p w14:paraId="6EDD0804"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Calibri"/>
                <w:sz w:val="18"/>
                <w:szCs w:val="18"/>
              </w:rPr>
            </w:pPr>
            <w:r w:rsidRPr="007114AF">
              <w:rPr>
                <w:rFonts w:ascii="Garamond" w:eastAsia="Times New Roman" w:hAnsi="Garamond" w:cs="Calibri"/>
                <w:sz w:val="18"/>
                <w:szCs w:val="18"/>
              </w:rPr>
              <w:t>Mundësuese</w:t>
            </w:r>
          </w:p>
        </w:tc>
        <w:tc>
          <w:tcPr>
            <w:tcW w:w="1080" w:type="dxa"/>
            <w:vAlign w:val="center"/>
            <w:hideMark/>
          </w:tcPr>
          <w:p w14:paraId="6EDD0805"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68,650.00</w:t>
            </w:r>
          </w:p>
        </w:tc>
        <w:tc>
          <w:tcPr>
            <w:tcW w:w="1260" w:type="dxa"/>
            <w:vAlign w:val="center"/>
            <w:hideMark/>
          </w:tcPr>
          <w:p w14:paraId="6EDD0806"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68,650.00</w:t>
            </w:r>
          </w:p>
        </w:tc>
        <w:tc>
          <w:tcPr>
            <w:tcW w:w="1260" w:type="dxa"/>
            <w:vAlign w:val="center"/>
            <w:hideMark/>
          </w:tcPr>
          <w:p w14:paraId="6EDD0807"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tc>
        <w:tc>
          <w:tcPr>
            <w:tcW w:w="1080" w:type="dxa"/>
            <w:vAlign w:val="center"/>
            <w:hideMark/>
          </w:tcPr>
          <w:p w14:paraId="6EDD0808"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tc>
        <w:tc>
          <w:tcPr>
            <w:tcW w:w="1260" w:type="dxa"/>
            <w:vAlign w:val="center"/>
            <w:hideMark/>
          </w:tcPr>
          <w:p w14:paraId="6EDD0809"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tc>
        <w:tc>
          <w:tcPr>
            <w:tcW w:w="3150" w:type="dxa"/>
            <w:vAlign w:val="center"/>
            <w:hideMark/>
          </w:tcPr>
          <w:p w14:paraId="6EDD080A" w14:textId="6946A24C" w:rsidR="00FB584C" w:rsidRPr="007114AF" w:rsidRDefault="00FB584C" w:rsidP="001C47F0">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xml:space="preserve">EUR 0.5 </w:t>
            </w:r>
            <w:r w:rsidR="001C47F0" w:rsidRPr="007114AF">
              <w:rPr>
                <w:rFonts w:ascii="Garamond" w:eastAsia="Times New Roman" w:hAnsi="Garamond" w:cs="Times New Roman"/>
                <w:sz w:val="18"/>
                <w:szCs w:val="18"/>
              </w:rPr>
              <w:t xml:space="preserve">milion </w:t>
            </w:r>
            <w:r w:rsidRPr="007114AF">
              <w:rPr>
                <w:rFonts w:ascii="Garamond" w:eastAsia="Times New Roman" w:hAnsi="Garamond" w:cs="Times New Roman"/>
                <w:sz w:val="18"/>
                <w:szCs w:val="18"/>
              </w:rPr>
              <w:t>për Asistencën Teknike buxheti i GMD nga ristrukturimi; GMD / Buxhet Kombëtar, Buxheti IPA (EUR 0.5 milion)</w:t>
            </w:r>
          </w:p>
        </w:tc>
      </w:tr>
      <w:tr w:rsidR="00FB584C" w:rsidRPr="007114AF" w14:paraId="6EDD0817" w14:textId="77777777" w:rsidTr="00FB584C">
        <w:trPr>
          <w:cantSplit/>
          <w:trHeight w:val="20"/>
          <w:jc w:val="center"/>
        </w:trPr>
        <w:tc>
          <w:tcPr>
            <w:cnfStyle w:val="001000000000" w:firstRow="0" w:lastRow="0" w:firstColumn="1" w:lastColumn="0" w:oddVBand="0" w:evenVBand="0" w:oddHBand="0" w:evenHBand="0" w:firstRowFirstColumn="0" w:firstRowLastColumn="0" w:lastRowFirstColumn="0" w:lastRowLastColumn="0"/>
            <w:tcW w:w="534" w:type="dxa"/>
            <w:noWrap/>
            <w:vAlign w:val="center"/>
            <w:hideMark/>
          </w:tcPr>
          <w:p w14:paraId="6EDD080C" w14:textId="77777777" w:rsidR="00FB584C" w:rsidRPr="007114AF" w:rsidRDefault="00FB584C" w:rsidP="00FB584C">
            <w:pPr>
              <w:spacing w:after="0"/>
              <w:rPr>
                <w:rFonts w:ascii="Garamond" w:eastAsia="Times New Roman" w:hAnsi="Garamond" w:cs="Times New Roman"/>
                <w:b w:val="0"/>
                <w:bCs w:val="0"/>
                <w:sz w:val="18"/>
                <w:szCs w:val="18"/>
              </w:rPr>
            </w:pPr>
            <w:r w:rsidRPr="007114AF">
              <w:rPr>
                <w:rFonts w:ascii="Garamond" w:eastAsia="Times New Roman" w:hAnsi="Garamond" w:cs="Times New Roman"/>
                <w:sz w:val="18"/>
                <w:szCs w:val="18"/>
              </w:rPr>
              <w:t>T48</w:t>
            </w:r>
          </w:p>
        </w:tc>
        <w:tc>
          <w:tcPr>
            <w:tcW w:w="1813" w:type="dxa"/>
            <w:vAlign w:val="center"/>
            <w:hideMark/>
          </w:tcPr>
          <w:p w14:paraId="6EDD080D"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Sisteme efikase dhe të përgjegjshme detare dhe portuale - 4</w:t>
            </w:r>
          </w:p>
        </w:tc>
        <w:tc>
          <w:tcPr>
            <w:tcW w:w="900" w:type="dxa"/>
            <w:vAlign w:val="center"/>
            <w:hideMark/>
          </w:tcPr>
          <w:p w14:paraId="6EDD080E"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2016 – 2018</w:t>
            </w:r>
          </w:p>
        </w:tc>
        <w:tc>
          <w:tcPr>
            <w:tcW w:w="810" w:type="dxa"/>
            <w:vAlign w:val="center"/>
            <w:hideMark/>
          </w:tcPr>
          <w:p w14:paraId="6EDD080F"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SSTPV</w:t>
            </w:r>
          </w:p>
        </w:tc>
        <w:tc>
          <w:tcPr>
            <w:tcW w:w="1260" w:type="dxa"/>
            <w:vAlign w:val="center"/>
          </w:tcPr>
          <w:p w14:paraId="6EDD0810"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Calibri"/>
                <w:sz w:val="18"/>
                <w:szCs w:val="18"/>
              </w:rPr>
            </w:pPr>
            <w:r w:rsidRPr="007114AF">
              <w:rPr>
                <w:rFonts w:ascii="Garamond" w:hAnsi="Garamond" w:cs="Calibri"/>
                <w:sz w:val="18"/>
                <w:szCs w:val="18"/>
              </w:rPr>
              <w:t>Indirekte</w:t>
            </w:r>
          </w:p>
        </w:tc>
        <w:tc>
          <w:tcPr>
            <w:tcW w:w="1080" w:type="dxa"/>
            <w:vAlign w:val="center"/>
            <w:hideMark/>
          </w:tcPr>
          <w:p w14:paraId="6EDD0811"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0.00</w:t>
            </w:r>
          </w:p>
        </w:tc>
        <w:tc>
          <w:tcPr>
            <w:tcW w:w="1260" w:type="dxa"/>
            <w:vAlign w:val="center"/>
            <w:hideMark/>
          </w:tcPr>
          <w:p w14:paraId="6EDD0812"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0.00</w:t>
            </w:r>
          </w:p>
        </w:tc>
        <w:tc>
          <w:tcPr>
            <w:tcW w:w="1260" w:type="dxa"/>
            <w:vAlign w:val="center"/>
            <w:hideMark/>
          </w:tcPr>
          <w:p w14:paraId="6EDD0813"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tc>
        <w:tc>
          <w:tcPr>
            <w:tcW w:w="1080" w:type="dxa"/>
            <w:vAlign w:val="center"/>
            <w:hideMark/>
          </w:tcPr>
          <w:p w14:paraId="6EDD0814"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tc>
        <w:tc>
          <w:tcPr>
            <w:tcW w:w="1260" w:type="dxa"/>
            <w:vAlign w:val="center"/>
            <w:hideMark/>
          </w:tcPr>
          <w:p w14:paraId="6EDD0815"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tc>
        <w:tc>
          <w:tcPr>
            <w:tcW w:w="3150" w:type="dxa"/>
            <w:vAlign w:val="center"/>
            <w:hideMark/>
          </w:tcPr>
          <w:p w14:paraId="6EDD0816"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Asnjë vlerësim i kostove për këtë projekt, do të financohet nga buxheti i shtetit</w:t>
            </w:r>
          </w:p>
        </w:tc>
      </w:tr>
      <w:tr w:rsidR="00FB584C" w:rsidRPr="007114AF" w14:paraId="6EDD0823" w14:textId="77777777" w:rsidTr="00FB584C">
        <w:trPr>
          <w:cantSplit/>
          <w:trHeight w:val="20"/>
          <w:jc w:val="center"/>
        </w:trPr>
        <w:tc>
          <w:tcPr>
            <w:cnfStyle w:val="001000000000" w:firstRow="0" w:lastRow="0" w:firstColumn="1" w:lastColumn="0" w:oddVBand="0" w:evenVBand="0" w:oddHBand="0" w:evenHBand="0" w:firstRowFirstColumn="0" w:firstRowLastColumn="0" w:lastRowFirstColumn="0" w:lastRowLastColumn="0"/>
            <w:tcW w:w="534" w:type="dxa"/>
            <w:noWrap/>
            <w:vAlign w:val="center"/>
            <w:hideMark/>
          </w:tcPr>
          <w:p w14:paraId="6EDD0818" w14:textId="77777777" w:rsidR="00FB584C" w:rsidRPr="007114AF" w:rsidRDefault="00FB584C" w:rsidP="00FB584C">
            <w:pPr>
              <w:spacing w:after="0"/>
              <w:rPr>
                <w:rFonts w:ascii="Garamond" w:eastAsia="Times New Roman" w:hAnsi="Garamond" w:cs="Times New Roman"/>
                <w:b w:val="0"/>
                <w:bCs w:val="0"/>
                <w:sz w:val="18"/>
                <w:szCs w:val="18"/>
              </w:rPr>
            </w:pPr>
            <w:r w:rsidRPr="007114AF">
              <w:rPr>
                <w:rFonts w:ascii="Garamond" w:eastAsia="Times New Roman" w:hAnsi="Garamond" w:cs="Times New Roman"/>
                <w:sz w:val="18"/>
                <w:szCs w:val="18"/>
              </w:rPr>
              <w:t>T49</w:t>
            </w:r>
          </w:p>
        </w:tc>
        <w:tc>
          <w:tcPr>
            <w:tcW w:w="1813" w:type="dxa"/>
            <w:vAlign w:val="center"/>
            <w:hideMark/>
          </w:tcPr>
          <w:p w14:paraId="6EDD0819"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Sisteme efikase dhe të përgjegjshme detare dhe portuale - 5</w:t>
            </w:r>
          </w:p>
        </w:tc>
        <w:tc>
          <w:tcPr>
            <w:tcW w:w="900" w:type="dxa"/>
            <w:vAlign w:val="center"/>
            <w:hideMark/>
          </w:tcPr>
          <w:p w14:paraId="6EDD081A"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2016 – 2020</w:t>
            </w:r>
          </w:p>
        </w:tc>
        <w:tc>
          <w:tcPr>
            <w:tcW w:w="810" w:type="dxa"/>
            <w:vAlign w:val="center"/>
            <w:hideMark/>
          </w:tcPr>
          <w:p w14:paraId="6EDD081B"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SSTPV</w:t>
            </w:r>
          </w:p>
        </w:tc>
        <w:tc>
          <w:tcPr>
            <w:tcW w:w="1260" w:type="dxa"/>
            <w:vAlign w:val="center"/>
          </w:tcPr>
          <w:p w14:paraId="6EDD081C"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Calibri"/>
                <w:sz w:val="18"/>
                <w:szCs w:val="18"/>
              </w:rPr>
            </w:pPr>
            <w:r w:rsidRPr="007114AF">
              <w:rPr>
                <w:rFonts w:ascii="Garamond" w:eastAsia="Times New Roman" w:hAnsi="Garamond" w:cs="Calibri"/>
                <w:sz w:val="18"/>
                <w:szCs w:val="18"/>
              </w:rPr>
              <w:t>Mundësuese</w:t>
            </w:r>
          </w:p>
        </w:tc>
        <w:tc>
          <w:tcPr>
            <w:tcW w:w="1080" w:type="dxa"/>
            <w:vAlign w:val="center"/>
            <w:hideMark/>
          </w:tcPr>
          <w:p w14:paraId="6EDD081D"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686,500.00</w:t>
            </w:r>
          </w:p>
        </w:tc>
        <w:tc>
          <w:tcPr>
            <w:tcW w:w="1260" w:type="dxa"/>
            <w:noWrap/>
            <w:vAlign w:val="center"/>
            <w:hideMark/>
          </w:tcPr>
          <w:p w14:paraId="6EDD081E"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137,300.00</w:t>
            </w:r>
          </w:p>
        </w:tc>
        <w:tc>
          <w:tcPr>
            <w:tcW w:w="1260" w:type="dxa"/>
            <w:noWrap/>
            <w:vAlign w:val="center"/>
            <w:hideMark/>
          </w:tcPr>
          <w:p w14:paraId="6EDD081F"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549,200.00</w:t>
            </w:r>
          </w:p>
        </w:tc>
        <w:tc>
          <w:tcPr>
            <w:tcW w:w="1080" w:type="dxa"/>
            <w:vAlign w:val="center"/>
            <w:hideMark/>
          </w:tcPr>
          <w:p w14:paraId="6EDD0820"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tc>
        <w:tc>
          <w:tcPr>
            <w:tcW w:w="1260" w:type="dxa"/>
            <w:vAlign w:val="center"/>
            <w:hideMark/>
          </w:tcPr>
          <w:p w14:paraId="6EDD0821"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tc>
        <w:tc>
          <w:tcPr>
            <w:tcW w:w="3150" w:type="dxa"/>
            <w:vAlign w:val="center"/>
            <w:hideMark/>
          </w:tcPr>
          <w:p w14:paraId="6EDD0822"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Buxheti Kombëtar (EUR 1 milion), Buxheti IPA (EUR 1.5 milion), donatorë të tjerë (EUR 2.5 milion)</w:t>
            </w:r>
          </w:p>
        </w:tc>
      </w:tr>
      <w:tr w:rsidR="00FB584C" w:rsidRPr="007114AF" w14:paraId="6EDD082F" w14:textId="77777777" w:rsidTr="00FB584C">
        <w:trPr>
          <w:cantSplit/>
          <w:trHeight w:val="20"/>
          <w:jc w:val="center"/>
        </w:trPr>
        <w:tc>
          <w:tcPr>
            <w:cnfStyle w:val="001000000000" w:firstRow="0" w:lastRow="0" w:firstColumn="1" w:lastColumn="0" w:oddVBand="0" w:evenVBand="0" w:oddHBand="0" w:evenHBand="0" w:firstRowFirstColumn="0" w:firstRowLastColumn="0" w:lastRowFirstColumn="0" w:lastRowLastColumn="0"/>
            <w:tcW w:w="534" w:type="dxa"/>
            <w:noWrap/>
            <w:vAlign w:val="center"/>
            <w:hideMark/>
          </w:tcPr>
          <w:p w14:paraId="6EDD0824" w14:textId="77777777" w:rsidR="00FB584C" w:rsidRPr="007114AF" w:rsidRDefault="00FB584C" w:rsidP="00FB584C">
            <w:pPr>
              <w:spacing w:after="0"/>
              <w:rPr>
                <w:rFonts w:ascii="Garamond" w:eastAsia="Times New Roman" w:hAnsi="Garamond" w:cs="Times New Roman"/>
                <w:b w:val="0"/>
                <w:bCs w:val="0"/>
                <w:sz w:val="18"/>
                <w:szCs w:val="18"/>
              </w:rPr>
            </w:pPr>
            <w:r w:rsidRPr="007114AF">
              <w:rPr>
                <w:rFonts w:ascii="Garamond" w:eastAsia="Times New Roman" w:hAnsi="Garamond" w:cs="Times New Roman"/>
                <w:sz w:val="18"/>
                <w:szCs w:val="18"/>
              </w:rPr>
              <w:lastRenderedPageBreak/>
              <w:t>T50</w:t>
            </w:r>
          </w:p>
        </w:tc>
        <w:tc>
          <w:tcPr>
            <w:tcW w:w="1813" w:type="dxa"/>
            <w:vAlign w:val="center"/>
            <w:hideMark/>
          </w:tcPr>
          <w:p w14:paraId="6EDD0825"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Rritje të qëndrueshme për tregjet detare – Rehabilitimin dhe modernizimin e shërbimeve dhe infrastrukturës portuale - 1</w:t>
            </w:r>
          </w:p>
        </w:tc>
        <w:tc>
          <w:tcPr>
            <w:tcW w:w="900" w:type="dxa"/>
            <w:vAlign w:val="center"/>
            <w:hideMark/>
          </w:tcPr>
          <w:p w14:paraId="6EDD0826"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2016-2017</w:t>
            </w:r>
          </w:p>
        </w:tc>
        <w:tc>
          <w:tcPr>
            <w:tcW w:w="810" w:type="dxa"/>
            <w:vAlign w:val="center"/>
            <w:hideMark/>
          </w:tcPr>
          <w:p w14:paraId="6EDD0827"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SSTPV</w:t>
            </w:r>
          </w:p>
        </w:tc>
        <w:tc>
          <w:tcPr>
            <w:tcW w:w="1260" w:type="dxa"/>
            <w:vAlign w:val="center"/>
          </w:tcPr>
          <w:p w14:paraId="6EDD0828"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Calibri"/>
                <w:sz w:val="18"/>
                <w:szCs w:val="18"/>
              </w:rPr>
            </w:pPr>
            <w:r w:rsidRPr="007114AF">
              <w:rPr>
                <w:rFonts w:ascii="Garamond" w:eastAsia="Times New Roman" w:hAnsi="Garamond" w:cs="Calibri"/>
                <w:sz w:val="18"/>
                <w:szCs w:val="18"/>
              </w:rPr>
              <w:t>Mundësuese</w:t>
            </w:r>
          </w:p>
        </w:tc>
        <w:tc>
          <w:tcPr>
            <w:tcW w:w="1080" w:type="dxa"/>
            <w:vAlign w:val="center"/>
            <w:hideMark/>
          </w:tcPr>
          <w:p w14:paraId="6EDD0829"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34,325.00</w:t>
            </w:r>
          </w:p>
        </w:tc>
        <w:tc>
          <w:tcPr>
            <w:tcW w:w="1260" w:type="dxa"/>
            <w:vAlign w:val="center"/>
            <w:hideMark/>
          </w:tcPr>
          <w:p w14:paraId="6EDD082A"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6,865.00</w:t>
            </w:r>
          </w:p>
        </w:tc>
        <w:tc>
          <w:tcPr>
            <w:tcW w:w="1260" w:type="dxa"/>
            <w:vAlign w:val="center"/>
            <w:hideMark/>
          </w:tcPr>
          <w:p w14:paraId="6EDD082B"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27,460.00</w:t>
            </w:r>
          </w:p>
        </w:tc>
        <w:tc>
          <w:tcPr>
            <w:tcW w:w="1080" w:type="dxa"/>
            <w:vAlign w:val="center"/>
            <w:hideMark/>
          </w:tcPr>
          <w:p w14:paraId="6EDD082C"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tc>
        <w:tc>
          <w:tcPr>
            <w:tcW w:w="1260" w:type="dxa"/>
            <w:vAlign w:val="center"/>
            <w:hideMark/>
          </w:tcPr>
          <w:p w14:paraId="6EDD082D"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tc>
        <w:tc>
          <w:tcPr>
            <w:tcW w:w="3150" w:type="dxa"/>
            <w:vAlign w:val="center"/>
            <w:hideMark/>
          </w:tcPr>
          <w:p w14:paraId="6EDD082E"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Buxheti Kombëtar (EUR 0.05 milion), Buxheti IPA (EUR 0.2 milion)</w:t>
            </w:r>
          </w:p>
        </w:tc>
      </w:tr>
      <w:tr w:rsidR="00FB584C" w:rsidRPr="007114AF" w14:paraId="6EDD083B" w14:textId="77777777" w:rsidTr="00FB584C">
        <w:trPr>
          <w:cantSplit/>
          <w:trHeight w:val="20"/>
          <w:jc w:val="center"/>
        </w:trPr>
        <w:tc>
          <w:tcPr>
            <w:cnfStyle w:val="001000000000" w:firstRow="0" w:lastRow="0" w:firstColumn="1" w:lastColumn="0" w:oddVBand="0" w:evenVBand="0" w:oddHBand="0" w:evenHBand="0" w:firstRowFirstColumn="0" w:firstRowLastColumn="0" w:lastRowFirstColumn="0" w:lastRowLastColumn="0"/>
            <w:tcW w:w="534" w:type="dxa"/>
            <w:noWrap/>
            <w:vAlign w:val="center"/>
            <w:hideMark/>
          </w:tcPr>
          <w:p w14:paraId="6EDD0830" w14:textId="77777777" w:rsidR="00FB584C" w:rsidRPr="007114AF" w:rsidRDefault="00FB584C" w:rsidP="00FB584C">
            <w:pPr>
              <w:spacing w:after="0"/>
              <w:rPr>
                <w:rFonts w:ascii="Garamond" w:eastAsia="Times New Roman" w:hAnsi="Garamond" w:cs="Times New Roman"/>
                <w:b w:val="0"/>
                <w:bCs w:val="0"/>
                <w:sz w:val="18"/>
                <w:szCs w:val="18"/>
              </w:rPr>
            </w:pPr>
            <w:r w:rsidRPr="007114AF">
              <w:rPr>
                <w:rFonts w:ascii="Garamond" w:eastAsia="Times New Roman" w:hAnsi="Garamond" w:cs="Times New Roman"/>
                <w:sz w:val="18"/>
                <w:szCs w:val="18"/>
              </w:rPr>
              <w:t>T51</w:t>
            </w:r>
          </w:p>
        </w:tc>
        <w:tc>
          <w:tcPr>
            <w:tcW w:w="1813" w:type="dxa"/>
            <w:vAlign w:val="center"/>
            <w:hideMark/>
          </w:tcPr>
          <w:p w14:paraId="6EDD0831"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Rritje të qëndrueshme për tregjet detare – Rehabilitimin dhe modernizimin e shërbimeve dhe infrastrukturës portuale - 2</w:t>
            </w:r>
          </w:p>
        </w:tc>
        <w:tc>
          <w:tcPr>
            <w:tcW w:w="900" w:type="dxa"/>
            <w:vAlign w:val="center"/>
            <w:hideMark/>
          </w:tcPr>
          <w:p w14:paraId="6EDD0832"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2018-2020</w:t>
            </w:r>
          </w:p>
        </w:tc>
        <w:tc>
          <w:tcPr>
            <w:tcW w:w="810" w:type="dxa"/>
            <w:vAlign w:val="center"/>
            <w:hideMark/>
          </w:tcPr>
          <w:p w14:paraId="6EDD0833"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SSTPV</w:t>
            </w:r>
          </w:p>
        </w:tc>
        <w:tc>
          <w:tcPr>
            <w:tcW w:w="1260" w:type="dxa"/>
            <w:vAlign w:val="center"/>
          </w:tcPr>
          <w:p w14:paraId="6EDD0834"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Calibri"/>
                <w:sz w:val="18"/>
                <w:szCs w:val="18"/>
              </w:rPr>
            </w:pPr>
            <w:r w:rsidRPr="007114AF">
              <w:rPr>
                <w:rFonts w:ascii="Garamond" w:eastAsia="Times New Roman" w:hAnsi="Garamond" w:cs="Calibri"/>
                <w:sz w:val="18"/>
                <w:szCs w:val="18"/>
              </w:rPr>
              <w:t>Mundësuese</w:t>
            </w:r>
          </w:p>
        </w:tc>
        <w:tc>
          <w:tcPr>
            <w:tcW w:w="1080" w:type="dxa"/>
            <w:vAlign w:val="center"/>
            <w:hideMark/>
          </w:tcPr>
          <w:p w14:paraId="6EDD0835"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68,650.00</w:t>
            </w:r>
          </w:p>
        </w:tc>
        <w:tc>
          <w:tcPr>
            <w:tcW w:w="1260" w:type="dxa"/>
            <w:vAlign w:val="center"/>
            <w:hideMark/>
          </w:tcPr>
          <w:p w14:paraId="6EDD0836"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20,595.00</w:t>
            </w:r>
          </w:p>
        </w:tc>
        <w:tc>
          <w:tcPr>
            <w:tcW w:w="1260" w:type="dxa"/>
            <w:noWrap/>
            <w:vAlign w:val="center"/>
            <w:hideMark/>
          </w:tcPr>
          <w:p w14:paraId="6EDD0837"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48,055.00</w:t>
            </w:r>
          </w:p>
        </w:tc>
        <w:tc>
          <w:tcPr>
            <w:tcW w:w="1080" w:type="dxa"/>
            <w:vAlign w:val="center"/>
            <w:hideMark/>
          </w:tcPr>
          <w:p w14:paraId="6EDD0838"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tc>
        <w:tc>
          <w:tcPr>
            <w:tcW w:w="1260" w:type="dxa"/>
            <w:vAlign w:val="center"/>
            <w:hideMark/>
          </w:tcPr>
          <w:p w14:paraId="6EDD0839"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tc>
        <w:tc>
          <w:tcPr>
            <w:tcW w:w="3150" w:type="dxa"/>
            <w:vAlign w:val="center"/>
            <w:hideMark/>
          </w:tcPr>
          <w:p w14:paraId="6EDD083A"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Buxheti Kombëtar (EUR 150,000), Buxheti IPA (EUR 0.35 milion)</w:t>
            </w:r>
          </w:p>
        </w:tc>
      </w:tr>
      <w:tr w:rsidR="00FB584C" w:rsidRPr="007114AF" w14:paraId="6EDD0847" w14:textId="77777777" w:rsidTr="00FB584C">
        <w:trPr>
          <w:cantSplit/>
          <w:trHeight w:val="20"/>
          <w:jc w:val="center"/>
        </w:trPr>
        <w:tc>
          <w:tcPr>
            <w:cnfStyle w:val="001000000000" w:firstRow="0" w:lastRow="0" w:firstColumn="1" w:lastColumn="0" w:oddVBand="0" w:evenVBand="0" w:oddHBand="0" w:evenHBand="0" w:firstRowFirstColumn="0" w:firstRowLastColumn="0" w:lastRowFirstColumn="0" w:lastRowLastColumn="0"/>
            <w:tcW w:w="534" w:type="dxa"/>
            <w:noWrap/>
            <w:vAlign w:val="center"/>
            <w:hideMark/>
          </w:tcPr>
          <w:p w14:paraId="6EDD083C" w14:textId="77777777" w:rsidR="00FB584C" w:rsidRPr="007114AF" w:rsidRDefault="00FB584C" w:rsidP="00FB584C">
            <w:pPr>
              <w:spacing w:after="0"/>
              <w:rPr>
                <w:rFonts w:ascii="Garamond" w:eastAsia="Times New Roman" w:hAnsi="Garamond" w:cs="Times New Roman"/>
                <w:b w:val="0"/>
                <w:bCs w:val="0"/>
                <w:sz w:val="18"/>
                <w:szCs w:val="18"/>
              </w:rPr>
            </w:pPr>
            <w:r w:rsidRPr="007114AF">
              <w:rPr>
                <w:rFonts w:ascii="Garamond" w:eastAsia="Times New Roman" w:hAnsi="Garamond" w:cs="Times New Roman"/>
                <w:sz w:val="18"/>
                <w:szCs w:val="18"/>
              </w:rPr>
              <w:t>T52</w:t>
            </w:r>
          </w:p>
        </w:tc>
        <w:tc>
          <w:tcPr>
            <w:tcW w:w="1813" w:type="dxa"/>
            <w:vAlign w:val="center"/>
            <w:hideMark/>
          </w:tcPr>
          <w:p w14:paraId="6EDD083D"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Rritje të qëndrueshme për tregjet detare. Mbështetje dhe promovim i turizmit detar - 1</w:t>
            </w:r>
          </w:p>
        </w:tc>
        <w:tc>
          <w:tcPr>
            <w:tcW w:w="900" w:type="dxa"/>
            <w:vAlign w:val="center"/>
            <w:hideMark/>
          </w:tcPr>
          <w:p w14:paraId="6EDD083E"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2016-2018</w:t>
            </w:r>
          </w:p>
        </w:tc>
        <w:tc>
          <w:tcPr>
            <w:tcW w:w="810" w:type="dxa"/>
            <w:vAlign w:val="center"/>
            <w:hideMark/>
          </w:tcPr>
          <w:p w14:paraId="6EDD083F"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SSTPV</w:t>
            </w:r>
          </w:p>
        </w:tc>
        <w:tc>
          <w:tcPr>
            <w:tcW w:w="1260" w:type="dxa"/>
            <w:vAlign w:val="center"/>
          </w:tcPr>
          <w:p w14:paraId="6EDD0840"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Calibri"/>
                <w:sz w:val="18"/>
                <w:szCs w:val="18"/>
              </w:rPr>
            </w:pPr>
            <w:r w:rsidRPr="007114AF">
              <w:rPr>
                <w:rFonts w:ascii="Garamond" w:eastAsia="Times New Roman" w:hAnsi="Garamond" w:cs="Calibri"/>
                <w:sz w:val="18"/>
                <w:szCs w:val="18"/>
              </w:rPr>
              <w:t>Mundësuese</w:t>
            </w:r>
          </w:p>
        </w:tc>
        <w:tc>
          <w:tcPr>
            <w:tcW w:w="1080" w:type="dxa"/>
            <w:vAlign w:val="center"/>
            <w:hideMark/>
          </w:tcPr>
          <w:p w14:paraId="6EDD0841"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68,650.00</w:t>
            </w:r>
          </w:p>
        </w:tc>
        <w:tc>
          <w:tcPr>
            <w:tcW w:w="1260" w:type="dxa"/>
            <w:vAlign w:val="center"/>
            <w:hideMark/>
          </w:tcPr>
          <w:p w14:paraId="6EDD0842"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34,325.00</w:t>
            </w:r>
          </w:p>
        </w:tc>
        <w:tc>
          <w:tcPr>
            <w:tcW w:w="1260" w:type="dxa"/>
            <w:noWrap/>
            <w:vAlign w:val="center"/>
            <w:hideMark/>
          </w:tcPr>
          <w:p w14:paraId="6EDD0843"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34,325.00</w:t>
            </w:r>
          </w:p>
        </w:tc>
        <w:tc>
          <w:tcPr>
            <w:tcW w:w="1080" w:type="dxa"/>
            <w:vAlign w:val="center"/>
            <w:hideMark/>
          </w:tcPr>
          <w:p w14:paraId="6EDD0844"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tc>
        <w:tc>
          <w:tcPr>
            <w:tcW w:w="1260" w:type="dxa"/>
            <w:vAlign w:val="center"/>
            <w:hideMark/>
          </w:tcPr>
          <w:p w14:paraId="6EDD0845"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tc>
        <w:tc>
          <w:tcPr>
            <w:tcW w:w="3150" w:type="dxa"/>
            <w:vAlign w:val="center"/>
            <w:hideMark/>
          </w:tcPr>
          <w:p w14:paraId="6EDD0846" w14:textId="55CD30EC" w:rsidR="00FB584C" w:rsidRPr="007114AF" w:rsidRDefault="00FB584C" w:rsidP="001C47F0">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xml:space="preserve">EUR 0.5 </w:t>
            </w:r>
            <w:r w:rsidR="001C47F0" w:rsidRPr="007114AF">
              <w:rPr>
                <w:rFonts w:ascii="Garamond" w:eastAsia="Times New Roman" w:hAnsi="Garamond" w:cs="Times New Roman"/>
                <w:sz w:val="18"/>
                <w:szCs w:val="18"/>
              </w:rPr>
              <w:t xml:space="preserve">milion </w:t>
            </w:r>
            <w:r w:rsidRPr="007114AF">
              <w:rPr>
                <w:rFonts w:ascii="Garamond" w:eastAsia="Times New Roman" w:hAnsi="Garamond" w:cs="Times New Roman"/>
                <w:sz w:val="18"/>
                <w:szCs w:val="18"/>
              </w:rPr>
              <w:t>(kontrata e asistencës teknike). Buxheti Kombëtar (EUR 0.25 milion), Buxheti IPA (EUR 0.25 milion)</w:t>
            </w:r>
          </w:p>
        </w:tc>
      </w:tr>
      <w:tr w:rsidR="00FB584C" w:rsidRPr="007114AF" w14:paraId="6EDD0853" w14:textId="77777777" w:rsidTr="00FB584C">
        <w:trPr>
          <w:cantSplit/>
          <w:trHeight w:val="20"/>
          <w:jc w:val="center"/>
        </w:trPr>
        <w:tc>
          <w:tcPr>
            <w:cnfStyle w:val="001000000000" w:firstRow="0" w:lastRow="0" w:firstColumn="1" w:lastColumn="0" w:oddVBand="0" w:evenVBand="0" w:oddHBand="0" w:evenHBand="0" w:firstRowFirstColumn="0" w:firstRowLastColumn="0" w:lastRowFirstColumn="0" w:lastRowLastColumn="0"/>
            <w:tcW w:w="534" w:type="dxa"/>
            <w:noWrap/>
            <w:vAlign w:val="center"/>
            <w:hideMark/>
          </w:tcPr>
          <w:p w14:paraId="6EDD0848" w14:textId="77777777" w:rsidR="00FB584C" w:rsidRPr="007114AF" w:rsidRDefault="00FB584C" w:rsidP="00FB584C">
            <w:pPr>
              <w:spacing w:after="0"/>
              <w:rPr>
                <w:rFonts w:ascii="Garamond" w:eastAsia="Times New Roman" w:hAnsi="Garamond" w:cs="Times New Roman"/>
                <w:b w:val="0"/>
                <w:bCs w:val="0"/>
                <w:sz w:val="18"/>
                <w:szCs w:val="18"/>
              </w:rPr>
            </w:pPr>
            <w:r w:rsidRPr="007114AF">
              <w:rPr>
                <w:rFonts w:ascii="Garamond" w:eastAsia="Times New Roman" w:hAnsi="Garamond" w:cs="Times New Roman"/>
                <w:sz w:val="18"/>
                <w:szCs w:val="18"/>
              </w:rPr>
              <w:t>T53</w:t>
            </w:r>
          </w:p>
        </w:tc>
        <w:tc>
          <w:tcPr>
            <w:tcW w:w="1813" w:type="dxa"/>
            <w:vAlign w:val="center"/>
            <w:hideMark/>
          </w:tcPr>
          <w:p w14:paraId="6EDD0849"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Rritje të qëndrueshme për tregjet detare. Mbështetje dhe promovim i turizmit detar - 2</w:t>
            </w:r>
          </w:p>
        </w:tc>
        <w:tc>
          <w:tcPr>
            <w:tcW w:w="900" w:type="dxa"/>
            <w:vAlign w:val="center"/>
            <w:hideMark/>
          </w:tcPr>
          <w:p w14:paraId="6EDD084A"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2019-2020</w:t>
            </w:r>
          </w:p>
        </w:tc>
        <w:tc>
          <w:tcPr>
            <w:tcW w:w="810" w:type="dxa"/>
            <w:vAlign w:val="center"/>
            <w:hideMark/>
          </w:tcPr>
          <w:p w14:paraId="6EDD084B"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SSTPV</w:t>
            </w:r>
          </w:p>
        </w:tc>
        <w:tc>
          <w:tcPr>
            <w:tcW w:w="1260" w:type="dxa"/>
            <w:vAlign w:val="center"/>
          </w:tcPr>
          <w:p w14:paraId="6EDD084C"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Calibri"/>
                <w:sz w:val="18"/>
                <w:szCs w:val="18"/>
              </w:rPr>
            </w:pPr>
            <w:r w:rsidRPr="007114AF">
              <w:rPr>
                <w:rFonts w:ascii="Garamond" w:eastAsia="Times New Roman" w:hAnsi="Garamond" w:cs="Calibri"/>
                <w:sz w:val="18"/>
                <w:szCs w:val="18"/>
              </w:rPr>
              <w:t>Mundësuese</w:t>
            </w:r>
          </w:p>
        </w:tc>
        <w:tc>
          <w:tcPr>
            <w:tcW w:w="1080" w:type="dxa"/>
            <w:vAlign w:val="center"/>
            <w:hideMark/>
          </w:tcPr>
          <w:p w14:paraId="6EDD084D"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0.00</w:t>
            </w:r>
          </w:p>
        </w:tc>
        <w:tc>
          <w:tcPr>
            <w:tcW w:w="1260" w:type="dxa"/>
            <w:vAlign w:val="center"/>
            <w:hideMark/>
          </w:tcPr>
          <w:p w14:paraId="6EDD084E"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0.00</w:t>
            </w:r>
          </w:p>
        </w:tc>
        <w:tc>
          <w:tcPr>
            <w:tcW w:w="1260" w:type="dxa"/>
            <w:vAlign w:val="center"/>
            <w:hideMark/>
          </w:tcPr>
          <w:p w14:paraId="6EDD084F"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tc>
        <w:tc>
          <w:tcPr>
            <w:tcW w:w="1080" w:type="dxa"/>
            <w:vAlign w:val="center"/>
            <w:hideMark/>
          </w:tcPr>
          <w:p w14:paraId="6EDD0850"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tc>
        <w:tc>
          <w:tcPr>
            <w:tcW w:w="1260" w:type="dxa"/>
            <w:vAlign w:val="center"/>
            <w:hideMark/>
          </w:tcPr>
          <w:p w14:paraId="6EDD0851"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tc>
        <w:tc>
          <w:tcPr>
            <w:tcW w:w="3150" w:type="dxa"/>
            <w:vAlign w:val="center"/>
            <w:hideMark/>
          </w:tcPr>
          <w:p w14:paraId="6EDD0852"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Asnjë vlerësim i kostos për këtë projekt. Do të financohet nga buxheti i shtetit.</w:t>
            </w:r>
          </w:p>
        </w:tc>
      </w:tr>
      <w:tr w:rsidR="00FB584C" w:rsidRPr="007114AF" w14:paraId="6EDD085F" w14:textId="77777777" w:rsidTr="00FB584C">
        <w:trPr>
          <w:cantSplit/>
          <w:trHeight w:val="20"/>
          <w:jc w:val="center"/>
        </w:trPr>
        <w:tc>
          <w:tcPr>
            <w:cnfStyle w:val="001000000000" w:firstRow="0" w:lastRow="0" w:firstColumn="1" w:lastColumn="0" w:oddVBand="0" w:evenVBand="0" w:oddHBand="0" w:evenHBand="0" w:firstRowFirstColumn="0" w:firstRowLastColumn="0" w:lastRowFirstColumn="0" w:lastRowLastColumn="0"/>
            <w:tcW w:w="534" w:type="dxa"/>
            <w:noWrap/>
            <w:vAlign w:val="center"/>
            <w:hideMark/>
          </w:tcPr>
          <w:p w14:paraId="6EDD0854" w14:textId="77777777" w:rsidR="00FB584C" w:rsidRPr="007114AF" w:rsidRDefault="00FB584C" w:rsidP="00FB584C">
            <w:pPr>
              <w:spacing w:after="0"/>
              <w:rPr>
                <w:rFonts w:ascii="Garamond" w:eastAsia="Times New Roman" w:hAnsi="Garamond" w:cs="Times New Roman"/>
                <w:b w:val="0"/>
                <w:bCs w:val="0"/>
                <w:sz w:val="18"/>
                <w:szCs w:val="18"/>
              </w:rPr>
            </w:pPr>
            <w:r w:rsidRPr="007114AF">
              <w:rPr>
                <w:rFonts w:ascii="Garamond" w:eastAsia="Times New Roman" w:hAnsi="Garamond" w:cs="Times New Roman"/>
                <w:sz w:val="18"/>
                <w:szCs w:val="18"/>
              </w:rPr>
              <w:t>T54</w:t>
            </w:r>
          </w:p>
        </w:tc>
        <w:tc>
          <w:tcPr>
            <w:tcW w:w="1813" w:type="dxa"/>
            <w:vAlign w:val="center"/>
            <w:hideMark/>
          </w:tcPr>
          <w:p w14:paraId="6EDD0855"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Rritje të qëndrueshme për tregjet detare. Mbështetje dhe promovim i tregut dera të punës - 1</w:t>
            </w:r>
          </w:p>
        </w:tc>
        <w:tc>
          <w:tcPr>
            <w:tcW w:w="900" w:type="dxa"/>
            <w:vAlign w:val="center"/>
            <w:hideMark/>
          </w:tcPr>
          <w:p w14:paraId="6EDD0856"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2016-2018</w:t>
            </w:r>
          </w:p>
        </w:tc>
        <w:tc>
          <w:tcPr>
            <w:tcW w:w="810" w:type="dxa"/>
            <w:vAlign w:val="center"/>
            <w:hideMark/>
          </w:tcPr>
          <w:p w14:paraId="6EDD0857"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SSTPV</w:t>
            </w:r>
          </w:p>
        </w:tc>
        <w:tc>
          <w:tcPr>
            <w:tcW w:w="1260" w:type="dxa"/>
            <w:vAlign w:val="center"/>
          </w:tcPr>
          <w:p w14:paraId="6EDD0858"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Calibri"/>
                <w:sz w:val="18"/>
                <w:szCs w:val="18"/>
              </w:rPr>
            </w:pPr>
            <w:r w:rsidRPr="007114AF">
              <w:rPr>
                <w:rFonts w:ascii="Garamond" w:eastAsia="Times New Roman" w:hAnsi="Garamond" w:cs="Calibri"/>
                <w:sz w:val="18"/>
                <w:szCs w:val="18"/>
              </w:rPr>
              <w:t>Mundësuese</w:t>
            </w:r>
          </w:p>
        </w:tc>
        <w:tc>
          <w:tcPr>
            <w:tcW w:w="1080" w:type="dxa"/>
            <w:vAlign w:val="center"/>
            <w:hideMark/>
          </w:tcPr>
          <w:p w14:paraId="6EDD0859"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34,325.00</w:t>
            </w:r>
          </w:p>
        </w:tc>
        <w:tc>
          <w:tcPr>
            <w:tcW w:w="1260" w:type="dxa"/>
            <w:vAlign w:val="center"/>
            <w:hideMark/>
          </w:tcPr>
          <w:p w14:paraId="6EDD085A"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tc>
        <w:tc>
          <w:tcPr>
            <w:tcW w:w="1260" w:type="dxa"/>
            <w:noWrap/>
            <w:vAlign w:val="center"/>
            <w:hideMark/>
          </w:tcPr>
          <w:p w14:paraId="6EDD085B"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34,325.00</w:t>
            </w:r>
          </w:p>
        </w:tc>
        <w:tc>
          <w:tcPr>
            <w:tcW w:w="1080" w:type="dxa"/>
            <w:vAlign w:val="center"/>
            <w:hideMark/>
          </w:tcPr>
          <w:p w14:paraId="6EDD085C"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tc>
        <w:tc>
          <w:tcPr>
            <w:tcW w:w="1260" w:type="dxa"/>
            <w:vAlign w:val="center"/>
            <w:hideMark/>
          </w:tcPr>
          <w:p w14:paraId="6EDD085D"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tc>
        <w:tc>
          <w:tcPr>
            <w:tcW w:w="3150" w:type="dxa"/>
            <w:vAlign w:val="center"/>
            <w:hideMark/>
          </w:tcPr>
          <w:p w14:paraId="6EDD085E"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Buxheti IPA (EUR 0.25 milion)</w:t>
            </w:r>
          </w:p>
        </w:tc>
      </w:tr>
      <w:tr w:rsidR="00FB584C" w:rsidRPr="007114AF" w14:paraId="6EDD086B" w14:textId="77777777" w:rsidTr="00FB584C">
        <w:trPr>
          <w:cantSplit/>
          <w:trHeight w:val="20"/>
          <w:jc w:val="center"/>
        </w:trPr>
        <w:tc>
          <w:tcPr>
            <w:cnfStyle w:val="001000000000" w:firstRow="0" w:lastRow="0" w:firstColumn="1" w:lastColumn="0" w:oddVBand="0" w:evenVBand="0" w:oddHBand="0" w:evenHBand="0" w:firstRowFirstColumn="0" w:firstRowLastColumn="0" w:lastRowFirstColumn="0" w:lastRowLastColumn="0"/>
            <w:tcW w:w="534" w:type="dxa"/>
            <w:noWrap/>
            <w:vAlign w:val="center"/>
            <w:hideMark/>
          </w:tcPr>
          <w:p w14:paraId="6EDD0860" w14:textId="77777777" w:rsidR="00FB584C" w:rsidRPr="007114AF" w:rsidRDefault="00FB584C" w:rsidP="00FB584C">
            <w:pPr>
              <w:spacing w:after="0"/>
              <w:rPr>
                <w:rFonts w:ascii="Garamond" w:eastAsia="Times New Roman" w:hAnsi="Garamond" w:cs="Times New Roman"/>
                <w:b w:val="0"/>
                <w:bCs w:val="0"/>
                <w:sz w:val="18"/>
                <w:szCs w:val="18"/>
              </w:rPr>
            </w:pPr>
            <w:r w:rsidRPr="007114AF">
              <w:rPr>
                <w:rFonts w:ascii="Garamond" w:eastAsia="Times New Roman" w:hAnsi="Garamond" w:cs="Times New Roman"/>
                <w:sz w:val="18"/>
                <w:szCs w:val="18"/>
              </w:rPr>
              <w:t>T55</w:t>
            </w:r>
          </w:p>
        </w:tc>
        <w:tc>
          <w:tcPr>
            <w:tcW w:w="1813" w:type="dxa"/>
            <w:vAlign w:val="center"/>
            <w:hideMark/>
          </w:tcPr>
          <w:p w14:paraId="6EDD0861"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Rritje të qëndrueshme për tregjet detare. Mbështetje dhe promovim i tregut dera të punës - 2</w:t>
            </w:r>
          </w:p>
        </w:tc>
        <w:tc>
          <w:tcPr>
            <w:tcW w:w="900" w:type="dxa"/>
            <w:vAlign w:val="center"/>
            <w:hideMark/>
          </w:tcPr>
          <w:p w14:paraId="6EDD0862"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2018-2019</w:t>
            </w:r>
          </w:p>
        </w:tc>
        <w:tc>
          <w:tcPr>
            <w:tcW w:w="810" w:type="dxa"/>
            <w:vAlign w:val="center"/>
            <w:hideMark/>
          </w:tcPr>
          <w:p w14:paraId="6EDD0863"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SSTPV</w:t>
            </w:r>
          </w:p>
        </w:tc>
        <w:tc>
          <w:tcPr>
            <w:tcW w:w="1260" w:type="dxa"/>
            <w:vAlign w:val="center"/>
          </w:tcPr>
          <w:p w14:paraId="6EDD0864"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Calibri"/>
                <w:sz w:val="18"/>
                <w:szCs w:val="18"/>
              </w:rPr>
            </w:pPr>
            <w:r w:rsidRPr="007114AF">
              <w:rPr>
                <w:rFonts w:ascii="Garamond" w:eastAsia="Times New Roman" w:hAnsi="Garamond" w:cs="Calibri"/>
                <w:sz w:val="18"/>
                <w:szCs w:val="18"/>
              </w:rPr>
              <w:t>Mundësuese</w:t>
            </w:r>
          </w:p>
        </w:tc>
        <w:tc>
          <w:tcPr>
            <w:tcW w:w="1080" w:type="dxa"/>
            <w:vAlign w:val="center"/>
            <w:hideMark/>
          </w:tcPr>
          <w:p w14:paraId="6EDD0865"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34,325.00</w:t>
            </w:r>
          </w:p>
        </w:tc>
        <w:tc>
          <w:tcPr>
            <w:tcW w:w="1260" w:type="dxa"/>
            <w:vAlign w:val="center"/>
            <w:hideMark/>
          </w:tcPr>
          <w:p w14:paraId="6EDD0866"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tc>
        <w:tc>
          <w:tcPr>
            <w:tcW w:w="1260" w:type="dxa"/>
            <w:noWrap/>
            <w:vAlign w:val="center"/>
            <w:hideMark/>
          </w:tcPr>
          <w:p w14:paraId="6EDD0867"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34,325.00</w:t>
            </w:r>
          </w:p>
        </w:tc>
        <w:tc>
          <w:tcPr>
            <w:tcW w:w="1080" w:type="dxa"/>
            <w:vAlign w:val="center"/>
            <w:hideMark/>
          </w:tcPr>
          <w:p w14:paraId="6EDD0868"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tc>
        <w:tc>
          <w:tcPr>
            <w:tcW w:w="1260" w:type="dxa"/>
            <w:vAlign w:val="center"/>
            <w:hideMark/>
          </w:tcPr>
          <w:p w14:paraId="6EDD0869"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tc>
        <w:tc>
          <w:tcPr>
            <w:tcW w:w="3150" w:type="dxa"/>
            <w:vAlign w:val="center"/>
            <w:hideMark/>
          </w:tcPr>
          <w:p w14:paraId="6EDD086A"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Buxheti IPA (EUR 0.25 milion)</w:t>
            </w:r>
          </w:p>
        </w:tc>
      </w:tr>
      <w:tr w:rsidR="00FB584C" w:rsidRPr="007114AF" w14:paraId="6EDD0877" w14:textId="77777777" w:rsidTr="00FB584C">
        <w:trPr>
          <w:cantSplit/>
          <w:trHeight w:val="20"/>
          <w:jc w:val="center"/>
        </w:trPr>
        <w:tc>
          <w:tcPr>
            <w:cnfStyle w:val="001000000000" w:firstRow="0" w:lastRow="0" w:firstColumn="1" w:lastColumn="0" w:oddVBand="0" w:evenVBand="0" w:oddHBand="0" w:evenHBand="0" w:firstRowFirstColumn="0" w:firstRowLastColumn="0" w:lastRowFirstColumn="0" w:lastRowLastColumn="0"/>
            <w:tcW w:w="534" w:type="dxa"/>
            <w:noWrap/>
            <w:vAlign w:val="center"/>
            <w:hideMark/>
          </w:tcPr>
          <w:p w14:paraId="6EDD086C" w14:textId="77777777" w:rsidR="00FB584C" w:rsidRPr="007114AF" w:rsidRDefault="00FB584C" w:rsidP="00FB584C">
            <w:pPr>
              <w:spacing w:after="0"/>
              <w:rPr>
                <w:rFonts w:ascii="Garamond" w:eastAsia="Times New Roman" w:hAnsi="Garamond" w:cs="Times New Roman"/>
                <w:b w:val="0"/>
                <w:bCs w:val="0"/>
                <w:sz w:val="18"/>
                <w:szCs w:val="18"/>
              </w:rPr>
            </w:pPr>
            <w:r w:rsidRPr="007114AF">
              <w:rPr>
                <w:rFonts w:ascii="Garamond" w:eastAsia="Times New Roman" w:hAnsi="Garamond" w:cs="Times New Roman"/>
                <w:sz w:val="18"/>
                <w:szCs w:val="18"/>
              </w:rPr>
              <w:t>T56</w:t>
            </w:r>
          </w:p>
        </w:tc>
        <w:tc>
          <w:tcPr>
            <w:tcW w:w="1813" w:type="dxa"/>
            <w:vAlign w:val="center"/>
            <w:hideMark/>
          </w:tcPr>
          <w:p w14:paraId="6EDD086D"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Krijimi i një tregu më konkurrent me shërbime ajrore të liberalizuara - 1</w:t>
            </w:r>
          </w:p>
        </w:tc>
        <w:tc>
          <w:tcPr>
            <w:tcW w:w="900" w:type="dxa"/>
            <w:vAlign w:val="center"/>
            <w:hideMark/>
          </w:tcPr>
          <w:p w14:paraId="6EDD086E"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2016-2020</w:t>
            </w:r>
          </w:p>
        </w:tc>
        <w:tc>
          <w:tcPr>
            <w:tcW w:w="810" w:type="dxa"/>
            <w:vAlign w:val="center"/>
            <w:hideMark/>
          </w:tcPr>
          <w:p w14:paraId="6EDD086F"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SSTPV</w:t>
            </w:r>
          </w:p>
        </w:tc>
        <w:tc>
          <w:tcPr>
            <w:tcW w:w="1260" w:type="dxa"/>
            <w:vAlign w:val="center"/>
          </w:tcPr>
          <w:p w14:paraId="6EDD0870"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Calibri"/>
                <w:sz w:val="18"/>
                <w:szCs w:val="18"/>
              </w:rPr>
            </w:pPr>
            <w:r w:rsidRPr="007114AF">
              <w:rPr>
                <w:rFonts w:ascii="Garamond" w:eastAsia="Times New Roman" w:hAnsi="Garamond" w:cs="Calibri"/>
                <w:sz w:val="18"/>
                <w:szCs w:val="18"/>
              </w:rPr>
              <w:t>Mundësuese</w:t>
            </w:r>
          </w:p>
        </w:tc>
        <w:tc>
          <w:tcPr>
            <w:tcW w:w="1080" w:type="dxa"/>
            <w:noWrap/>
            <w:vAlign w:val="center"/>
            <w:hideMark/>
          </w:tcPr>
          <w:p w14:paraId="6EDD0871"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41,190.00</w:t>
            </w:r>
          </w:p>
        </w:tc>
        <w:tc>
          <w:tcPr>
            <w:tcW w:w="1260" w:type="dxa"/>
            <w:vAlign w:val="center"/>
            <w:hideMark/>
          </w:tcPr>
          <w:p w14:paraId="6EDD0872"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tc>
        <w:tc>
          <w:tcPr>
            <w:tcW w:w="1260" w:type="dxa"/>
            <w:noWrap/>
            <w:vAlign w:val="center"/>
            <w:hideMark/>
          </w:tcPr>
          <w:p w14:paraId="6EDD0873"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41,190.00</w:t>
            </w:r>
          </w:p>
        </w:tc>
        <w:tc>
          <w:tcPr>
            <w:tcW w:w="1080" w:type="dxa"/>
            <w:vAlign w:val="center"/>
            <w:hideMark/>
          </w:tcPr>
          <w:p w14:paraId="6EDD0874"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tc>
        <w:tc>
          <w:tcPr>
            <w:tcW w:w="1260" w:type="dxa"/>
            <w:vAlign w:val="center"/>
            <w:hideMark/>
          </w:tcPr>
          <w:p w14:paraId="6EDD0875"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tc>
        <w:tc>
          <w:tcPr>
            <w:tcW w:w="3150" w:type="dxa"/>
            <w:vAlign w:val="center"/>
            <w:hideMark/>
          </w:tcPr>
          <w:p w14:paraId="6EDD0876"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Buxheti IPA (kontrata e asistencës teknike)</w:t>
            </w:r>
          </w:p>
        </w:tc>
      </w:tr>
      <w:tr w:rsidR="00FB584C" w:rsidRPr="007114AF" w14:paraId="6EDD0883" w14:textId="77777777" w:rsidTr="00FB584C">
        <w:trPr>
          <w:cantSplit/>
          <w:trHeight w:val="20"/>
          <w:jc w:val="center"/>
        </w:trPr>
        <w:tc>
          <w:tcPr>
            <w:cnfStyle w:val="001000000000" w:firstRow="0" w:lastRow="0" w:firstColumn="1" w:lastColumn="0" w:oddVBand="0" w:evenVBand="0" w:oddHBand="0" w:evenHBand="0" w:firstRowFirstColumn="0" w:firstRowLastColumn="0" w:lastRowFirstColumn="0" w:lastRowLastColumn="0"/>
            <w:tcW w:w="534" w:type="dxa"/>
            <w:noWrap/>
            <w:vAlign w:val="center"/>
            <w:hideMark/>
          </w:tcPr>
          <w:p w14:paraId="6EDD0878" w14:textId="77777777" w:rsidR="00FB584C" w:rsidRPr="007114AF" w:rsidRDefault="00FB584C" w:rsidP="00FB584C">
            <w:pPr>
              <w:spacing w:after="0"/>
              <w:rPr>
                <w:rFonts w:ascii="Garamond" w:eastAsia="Times New Roman" w:hAnsi="Garamond" w:cs="Times New Roman"/>
                <w:b w:val="0"/>
                <w:bCs w:val="0"/>
                <w:sz w:val="18"/>
                <w:szCs w:val="18"/>
              </w:rPr>
            </w:pPr>
            <w:r w:rsidRPr="007114AF">
              <w:rPr>
                <w:rFonts w:ascii="Garamond" w:eastAsia="Times New Roman" w:hAnsi="Garamond" w:cs="Times New Roman"/>
                <w:sz w:val="18"/>
                <w:szCs w:val="18"/>
              </w:rPr>
              <w:lastRenderedPageBreak/>
              <w:t>T57</w:t>
            </w:r>
          </w:p>
        </w:tc>
        <w:tc>
          <w:tcPr>
            <w:tcW w:w="1813" w:type="dxa"/>
            <w:vAlign w:val="center"/>
            <w:hideMark/>
          </w:tcPr>
          <w:p w14:paraId="6EDD0879"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Krijimi i një tregu më konkurrent me shërbime ajrore të liberalizuara - 2</w:t>
            </w:r>
          </w:p>
        </w:tc>
        <w:tc>
          <w:tcPr>
            <w:tcW w:w="900" w:type="dxa"/>
            <w:vAlign w:val="center"/>
            <w:hideMark/>
          </w:tcPr>
          <w:p w14:paraId="6EDD087A"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2016-2019</w:t>
            </w:r>
          </w:p>
        </w:tc>
        <w:tc>
          <w:tcPr>
            <w:tcW w:w="810" w:type="dxa"/>
            <w:vAlign w:val="center"/>
            <w:hideMark/>
          </w:tcPr>
          <w:p w14:paraId="6EDD087B"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SSTPV</w:t>
            </w:r>
          </w:p>
        </w:tc>
        <w:tc>
          <w:tcPr>
            <w:tcW w:w="1260" w:type="dxa"/>
            <w:vAlign w:val="center"/>
          </w:tcPr>
          <w:p w14:paraId="6EDD087C"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Calibri"/>
                <w:sz w:val="18"/>
                <w:szCs w:val="18"/>
              </w:rPr>
            </w:pPr>
            <w:r w:rsidRPr="007114AF">
              <w:rPr>
                <w:rFonts w:ascii="Garamond" w:eastAsia="Times New Roman" w:hAnsi="Garamond" w:cs="Calibri"/>
                <w:sz w:val="18"/>
                <w:szCs w:val="18"/>
              </w:rPr>
              <w:t>Mundësuese</w:t>
            </w:r>
          </w:p>
        </w:tc>
        <w:tc>
          <w:tcPr>
            <w:tcW w:w="1080" w:type="dxa"/>
            <w:vAlign w:val="center"/>
            <w:hideMark/>
          </w:tcPr>
          <w:p w14:paraId="6EDD087D"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41,190.00</w:t>
            </w:r>
          </w:p>
        </w:tc>
        <w:tc>
          <w:tcPr>
            <w:tcW w:w="1260" w:type="dxa"/>
            <w:noWrap/>
            <w:vAlign w:val="center"/>
            <w:hideMark/>
          </w:tcPr>
          <w:p w14:paraId="6EDD087E"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13,730.00</w:t>
            </w:r>
          </w:p>
        </w:tc>
        <w:tc>
          <w:tcPr>
            <w:tcW w:w="1260" w:type="dxa"/>
            <w:vAlign w:val="center"/>
            <w:hideMark/>
          </w:tcPr>
          <w:p w14:paraId="6EDD087F"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27,460.00</w:t>
            </w:r>
          </w:p>
        </w:tc>
        <w:tc>
          <w:tcPr>
            <w:tcW w:w="1080" w:type="dxa"/>
            <w:vAlign w:val="center"/>
            <w:hideMark/>
          </w:tcPr>
          <w:p w14:paraId="6EDD0880"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tc>
        <w:tc>
          <w:tcPr>
            <w:tcW w:w="1260" w:type="dxa"/>
            <w:vAlign w:val="center"/>
            <w:hideMark/>
          </w:tcPr>
          <w:p w14:paraId="6EDD0881"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tc>
        <w:tc>
          <w:tcPr>
            <w:tcW w:w="3150" w:type="dxa"/>
            <w:vAlign w:val="center"/>
            <w:hideMark/>
          </w:tcPr>
          <w:p w14:paraId="6EDD0882"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Buxheti Kombëtar (EUR 100,000), Buxheti IPA (EUR 200,000 në trajnim dhe ndërtim kapacitetesh)</w:t>
            </w:r>
          </w:p>
        </w:tc>
      </w:tr>
      <w:tr w:rsidR="00FB584C" w:rsidRPr="007114AF" w14:paraId="6EDD088F" w14:textId="77777777" w:rsidTr="00FB584C">
        <w:trPr>
          <w:cantSplit/>
          <w:trHeight w:val="20"/>
          <w:jc w:val="center"/>
        </w:trPr>
        <w:tc>
          <w:tcPr>
            <w:cnfStyle w:val="001000000000" w:firstRow="0" w:lastRow="0" w:firstColumn="1" w:lastColumn="0" w:oddVBand="0" w:evenVBand="0" w:oddHBand="0" w:evenHBand="0" w:firstRowFirstColumn="0" w:firstRowLastColumn="0" w:lastRowFirstColumn="0" w:lastRowLastColumn="0"/>
            <w:tcW w:w="534" w:type="dxa"/>
            <w:noWrap/>
            <w:vAlign w:val="center"/>
            <w:hideMark/>
          </w:tcPr>
          <w:p w14:paraId="6EDD0884" w14:textId="77777777" w:rsidR="00FB584C" w:rsidRPr="007114AF" w:rsidRDefault="00FB584C" w:rsidP="00FB584C">
            <w:pPr>
              <w:spacing w:after="0"/>
              <w:rPr>
                <w:rFonts w:ascii="Garamond" w:eastAsia="Times New Roman" w:hAnsi="Garamond" w:cs="Times New Roman"/>
                <w:b w:val="0"/>
                <w:bCs w:val="0"/>
                <w:sz w:val="18"/>
                <w:szCs w:val="18"/>
              </w:rPr>
            </w:pPr>
            <w:r w:rsidRPr="007114AF">
              <w:rPr>
                <w:rFonts w:ascii="Garamond" w:eastAsia="Times New Roman" w:hAnsi="Garamond" w:cs="Times New Roman"/>
                <w:sz w:val="18"/>
                <w:szCs w:val="18"/>
              </w:rPr>
              <w:t>T58</w:t>
            </w:r>
          </w:p>
        </w:tc>
        <w:tc>
          <w:tcPr>
            <w:tcW w:w="1813" w:type="dxa"/>
            <w:vAlign w:val="center"/>
            <w:hideMark/>
          </w:tcPr>
          <w:p w14:paraId="6EDD0885"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Zbatimidhe unifikimi i standardeve ndërkombëtare të sigurisë ajrore - 1</w:t>
            </w:r>
          </w:p>
        </w:tc>
        <w:tc>
          <w:tcPr>
            <w:tcW w:w="900" w:type="dxa"/>
            <w:vAlign w:val="center"/>
            <w:hideMark/>
          </w:tcPr>
          <w:p w14:paraId="6EDD0886"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2016-2020</w:t>
            </w:r>
          </w:p>
        </w:tc>
        <w:tc>
          <w:tcPr>
            <w:tcW w:w="810" w:type="dxa"/>
            <w:vAlign w:val="center"/>
            <w:hideMark/>
          </w:tcPr>
          <w:p w14:paraId="6EDD0887"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SSTPV</w:t>
            </w:r>
          </w:p>
        </w:tc>
        <w:tc>
          <w:tcPr>
            <w:tcW w:w="1260" w:type="dxa"/>
            <w:vAlign w:val="center"/>
          </w:tcPr>
          <w:p w14:paraId="6EDD0888"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Calibri"/>
                <w:sz w:val="18"/>
                <w:szCs w:val="18"/>
              </w:rPr>
            </w:pPr>
            <w:r w:rsidRPr="007114AF">
              <w:rPr>
                <w:rFonts w:ascii="Garamond" w:eastAsia="Times New Roman" w:hAnsi="Garamond" w:cs="Calibri"/>
                <w:sz w:val="18"/>
                <w:szCs w:val="18"/>
              </w:rPr>
              <w:t>Mundësuese</w:t>
            </w:r>
          </w:p>
        </w:tc>
        <w:tc>
          <w:tcPr>
            <w:tcW w:w="1080" w:type="dxa"/>
            <w:vAlign w:val="center"/>
            <w:hideMark/>
          </w:tcPr>
          <w:p w14:paraId="6EDD0889"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27,460.00</w:t>
            </w:r>
          </w:p>
        </w:tc>
        <w:tc>
          <w:tcPr>
            <w:tcW w:w="1260" w:type="dxa"/>
            <w:vAlign w:val="center"/>
            <w:hideMark/>
          </w:tcPr>
          <w:p w14:paraId="6EDD088A"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tc>
        <w:tc>
          <w:tcPr>
            <w:tcW w:w="1260" w:type="dxa"/>
            <w:vAlign w:val="center"/>
            <w:hideMark/>
          </w:tcPr>
          <w:p w14:paraId="6EDD088B"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27,460.00</w:t>
            </w:r>
          </w:p>
        </w:tc>
        <w:tc>
          <w:tcPr>
            <w:tcW w:w="1080" w:type="dxa"/>
            <w:vAlign w:val="center"/>
            <w:hideMark/>
          </w:tcPr>
          <w:p w14:paraId="6EDD088C"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tc>
        <w:tc>
          <w:tcPr>
            <w:tcW w:w="1260" w:type="dxa"/>
            <w:vAlign w:val="center"/>
            <w:hideMark/>
          </w:tcPr>
          <w:p w14:paraId="6EDD088D"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tc>
        <w:tc>
          <w:tcPr>
            <w:tcW w:w="3150" w:type="dxa"/>
            <w:vAlign w:val="center"/>
            <w:hideMark/>
          </w:tcPr>
          <w:p w14:paraId="6EDD088E"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Buxheti IPA (kontrata e asistencës teknike)</w:t>
            </w:r>
          </w:p>
        </w:tc>
      </w:tr>
      <w:tr w:rsidR="00FB584C" w:rsidRPr="007114AF" w14:paraId="6EDD089B" w14:textId="77777777" w:rsidTr="00FB584C">
        <w:trPr>
          <w:cantSplit/>
          <w:trHeight w:val="20"/>
          <w:jc w:val="center"/>
        </w:trPr>
        <w:tc>
          <w:tcPr>
            <w:cnfStyle w:val="001000000000" w:firstRow="0" w:lastRow="0" w:firstColumn="1" w:lastColumn="0" w:oddVBand="0" w:evenVBand="0" w:oddHBand="0" w:evenHBand="0" w:firstRowFirstColumn="0" w:firstRowLastColumn="0" w:lastRowFirstColumn="0" w:lastRowLastColumn="0"/>
            <w:tcW w:w="534" w:type="dxa"/>
            <w:noWrap/>
            <w:vAlign w:val="center"/>
            <w:hideMark/>
          </w:tcPr>
          <w:p w14:paraId="6EDD0890" w14:textId="77777777" w:rsidR="00FB584C" w:rsidRPr="007114AF" w:rsidRDefault="00FB584C" w:rsidP="00FB584C">
            <w:pPr>
              <w:spacing w:after="0"/>
              <w:rPr>
                <w:rFonts w:ascii="Garamond" w:eastAsia="Times New Roman" w:hAnsi="Garamond" w:cs="Times New Roman"/>
                <w:b w:val="0"/>
                <w:bCs w:val="0"/>
                <w:sz w:val="18"/>
                <w:szCs w:val="18"/>
              </w:rPr>
            </w:pPr>
            <w:r w:rsidRPr="007114AF">
              <w:rPr>
                <w:rFonts w:ascii="Garamond" w:eastAsia="Times New Roman" w:hAnsi="Garamond" w:cs="Times New Roman"/>
                <w:sz w:val="18"/>
                <w:szCs w:val="18"/>
              </w:rPr>
              <w:t>T59</w:t>
            </w:r>
          </w:p>
        </w:tc>
        <w:tc>
          <w:tcPr>
            <w:tcW w:w="1813" w:type="dxa"/>
            <w:vAlign w:val="center"/>
            <w:hideMark/>
          </w:tcPr>
          <w:p w14:paraId="6EDD0891"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Zbatimidhe unifikimi i standardeve ndërkombëtare të sigurisë ajrore - 2</w:t>
            </w:r>
          </w:p>
        </w:tc>
        <w:tc>
          <w:tcPr>
            <w:tcW w:w="900" w:type="dxa"/>
            <w:vAlign w:val="center"/>
            <w:hideMark/>
          </w:tcPr>
          <w:p w14:paraId="6EDD0892"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2016-2020</w:t>
            </w:r>
          </w:p>
        </w:tc>
        <w:tc>
          <w:tcPr>
            <w:tcW w:w="810" w:type="dxa"/>
            <w:vAlign w:val="center"/>
            <w:hideMark/>
          </w:tcPr>
          <w:p w14:paraId="6EDD0893"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SSTPV</w:t>
            </w:r>
          </w:p>
        </w:tc>
        <w:tc>
          <w:tcPr>
            <w:tcW w:w="1260" w:type="dxa"/>
            <w:vAlign w:val="center"/>
          </w:tcPr>
          <w:p w14:paraId="6EDD0894"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Calibri"/>
                <w:sz w:val="18"/>
                <w:szCs w:val="18"/>
              </w:rPr>
            </w:pPr>
            <w:r w:rsidRPr="007114AF">
              <w:rPr>
                <w:rFonts w:ascii="Garamond" w:eastAsia="Times New Roman" w:hAnsi="Garamond" w:cs="Calibri"/>
                <w:sz w:val="18"/>
                <w:szCs w:val="18"/>
              </w:rPr>
              <w:t>Mundësuese</w:t>
            </w:r>
          </w:p>
        </w:tc>
        <w:tc>
          <w:tcPr>
            <w:tcW w:w="1080" w:type="dxa"/>
            <w:vAlign w:val="center"/>
            <w:hideMark/>
          </w:tcPr>
          <w:p w14:paraId="6EDD0895"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27,460.00</w:t>
            </w:r>
          </w:p>
        </w:tc>
        <w:tc>
          <w:tcPr>
            <w:tcW w:w="1260" w:type="dxa"/>
            <w:vAlign w:val="center"/>
            <w:hideMark/>
          </w:tcPr>
          <w:p w14:paraId="6EDD0896"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tc>
        <w:tc>
          <w:tcPr>
            <w:tcW w:w="1260" w:type="dxa"/>
            <w:vAlign w:val="center"/>
            <w:hideMark/>
          </w:tcPr>
          <w:p w14:paraId="6EDD0897"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27,460.00</w:t>
            </w:r>
          </w:p>
        </w:tc>
        <w:tc>
          <w:tcPr>
            <w:tcW w:w="1080" w:type="dxa"/>
            <w:vAlign w:val="center"/>
            <w:hideMark/>
          </w:tcPr>
          <w:p w14:paraId="6EDD0898"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tc>
        <w:tc>
          <w:tcPr>
            <w:tcW w:w="1260" w:type="dxa"/>
            <w:vAlign w:val="center"/>
            <w:hideMark/>
          </w:tcPr>
          <w:p w14:paraId="6EDD0899"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tc>
        <w:tc>
          <w:tcPr>
            <w:tcW w:w="3150" w:type="dxa"/>
            <w:vAlign w:val="center"/>
            <w:hideMark/>
          </w:tcPr>
          <w:p w14:paraId="6EDD089A"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Buxheti IPA (kontrata e asistencës teknike)</w:t>
            </w:r>
          </w:p>
        </w:tc>
      </w:tr>
      <w:tr w:rsidR="00FB584C" w:rsidRPr="007114AF" w14:paraId="6EDD08A7" w14:textId="77777777" w:rsidTr="00FB584C">
        <w:trPr>
          <w:cantSplit/>
          <w:trHeight w:val="20"/>
          <w:jc w:val="center"/>
        </w:trPr>
        <w:tc>
          <w:tcPr>
            <w:cnfStyle w:val="001000000000" w:firstRow="0" w:lastRow="0" w:firstColumn="1" w:lastColumn="0" w:oddVBand="0" w:evenVBand="0" w:oddHBand="0" w:evenHBand="0" w:firstRowFirstColumn="0" w:firstRowLastColumn="0" w:lastRowFirstColumn="0" w:lastRowLastColumn="0"/>
            <w:tcW w:w="534" w:type="dxa"/>
            <w:noWrap/>
            <w:vAlign w:val="center"/>
            <w:hideMark/>
          </w:tcPr>
          <w:p w14:paraId="6EDD089C" w14:textId="77777777" w:rsidR="00FB584C" w:rsidRPr="007114AF" w:rsidRDefault="00FB584C" w:rsidP="00FB584C">
            <w:pPr>
              <w:spacing w:after="0"/>
              <w:rPr>
                <w:rFonts w:ascii="Garamond" w:eastAsia="Times New Roman" w:hAnsi="Garamond" w:cs="Times New Roman"/>
                <w:b w:val="0"/>
                <w:bCs w:val="0"/>
                <w:sz w:val="18"/>
                <w:szCs w:val="18"/>
              </w:rPr>
            </w:pPr>
            <w:r w:rsidRPr="007114AF">
              <w:rPr>
                <w:rFonts w:ascii="Garamond" w:eastAsia="Times New Roman" w:hAnsi="Garamond" w:cs="Times New Roman"/>
                <w:sz w:val="18"/>
                <w:szCs w:val="18"/>
              </w:rPr>
              <w:t>T60</w:t>
            </w:r>
          </w:p>
        </w:tc>
        <w:tc>
          <w:tcPr>
            <w:tcW w:w="1813" w:type="dxa"/>
            <w:vAlign w:val="center"/>
            <w:hideMark/>
          </w:tcPr>
          <w:p w14:paraId="6EDD089D"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Uljen e pagesave të udhëtimit për pasagjerët</w:t>
            </w:r>
          </w:p>
        </w:tc>
        <w:tc>
          <w:tcPr>
            <w:tcW w:w="900" w:type="dxa"/>
            <w:vAlign w:val="center"/>
            <w:hideMark/>
          </w:tcPr>
          <w:p w14:paraId="6EDD089E"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2018</w:t>
            </w:r>
          </w:p>
        </w:tc>
        <w:tc>
          <w:tcPr>
            <w:tcW w:w="810" w:type="dxa"/>
            <w:vAlign w:val="center"/>
            <w:hideMark/>
          </w:tcPr>
          <w:p w14:paraId="6EDD089F"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SSTPV</w:t>
            </w:r>
          </w:p>
        </w:tc>
        <w:tc>
          <w:tcPr>
            <w:tcW w:w="1260" w:type="dxa"/>
            <w:vAlign w:val="center"/>
          </w:tcPr>
          <w:p w14:paraId="6EDD08A0"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Calibri"/>
                <w:sz w:val="18"/>
                <w:szCs w:val="18"/>
              </w:rPr>
            </w:pPr>
            <w:r w:rsidRPr="007114AF">
              <w:rPr>
                <w:rFonts w:ascii="Garamond" w:eastAsia="Times New Roman" w:hAnsi="Garamond" w:cs="Calibri"/>
                <w:sz w:val="18"/>
                <w:szCs w:val="18"/>
              </w:rPr>
              <w:t>Mundësuese</w:t>
            </w:r>
          </w:p>
        </w:tc>
        <w:tc>
          <w:tcPr>
            <w:tcW w:w="1080" w:type="dxa"/>
            <w:vAlign w:val="center"/>
            <w:hideMark/>
          </w:tcPr>
          <w:p w14:paraId="6EDD08A1"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0.00</w:t>
            </w:r>
          </w:p>
        </w:tc>
        <w:tc>
          <w:tcPr>
            <w:tcW w:w="1260" w:type="dxa"/>
            <w:vAlign w:val="center"/>
            <w:hideMark/>
          </w:tcPr>
          <w:p w14:paraId="6EDD08A2"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0.00</w:t>
            </w:r>
          </w:p>
        </w:tc>
        <w:tc>
          <w:tcPr>
            <w:tcW w:w="1260" w:type="dxa"/>
            <w:vAlign w:val="center"/>
            <w:hideMark/>
          </w:tcPr>
          <w:p w14:paraId="6EDD08A3"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tc>
        <w:tc>
          <w:tcPr>
            <w:tcW w:w="1080" w:type="dxa"/>
            <w:vAlign w:val="center"/>
            <w:hideMark/>
          </w:tcPr>
          <w:p w14:paraId="6EDD08A4"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tc>
        <w:tc>
          <w:tcPr>
            <w:tcW w:w="1260" w:type="dxa"/>
            <w:vAlign w:val="center"/>
            <w:hideMark/>
          </w:tcPr>
          <w:p w14:paraId="6EDD08A5"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tc>
        <w:tc>
          <w:tcPr>
            <w:tcW w:w="3150" w:type="dxa"/>
            <w:vAlign w:val="center"/>
            <w:hideMark/>
          </w:tcPr>
          <w:p w14:paraId="6EDD08A6"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Asnjë vlerësim i kostos për këtë projekt. Do të financohet nga buxheti i shtetit</w:t>
            </w:r>
          </w:p>
        </w:tc>
      </w:tr>
      <w:tr w:rsidR="00FB584C" w:rsidRPr="007114AF" w14:paraId="6EDD08B3" w14:textId="77777777" w:rsidTr="00FB584C">
        <w:trPr>
          <w:cantSplit/>
          <w:trHeight w:val="20"/>
          <w:jc w:val="center"/>
        </w:trPr>
        <w:tc>
          <w:tcPr>
            <w:cnfStyle w:val="001000000000" w:firstRow="0" w:lastRow="0" w:firstColumn="1" w:lastColumn="0" w:oddVBand="0" w:evenVBand="0" w:oddHBand="0" w:evenHBand="0" w:firstRowFirstColumn="0" w:firstRowLastColumn="0" w:lastRowFirstColumn="0" w:lastRowLastColumn="0"/>
            <w:tcW w:w="534" w:type="dxa"/>
            <w:noWrap/>
            <w:vAlign w:val="center"/>
            <w:hideMark/>
          </w:tcPr>
          <w:p w14:paraId="6EDD08A8" w14:textId="77777777" w:rsidR="00FB584C" w:rsidRPr="007114AF" w:rsidRDefault="00FB584C" w:rsidP="00FB584C">
            <w:pPr>
              <w:spacing w:after="0"/>
              <w:rPr>
                <w:rFonts w:ascii="Garamond" w:eastAsia="Times New Roman" w:hAnsi="Garamond" w:cs="Times New Roman"/>
                <w:b w:val="0"/>
                <w:bCs w:val="0"/>
                <w:sz w:val="18"/>
                <w:szCs w:val="18"/>
              </w:rPr>
            </w:pPr>
            <w:r w:rsidRPr="007114AF">
              <w:rPr>
                <w:rFonts w:ascii="Garamond" w:eastAsia="Times New Roman" w:hAnsi="Garamond" w:cs="Times New Roman"/>
                <w:sz w:val="18"/>
                <w:szCs w:val="18"/>
              </w:rPr>
              <w:t>T61</w:t>
            </w:r>
          </w:p>
        </w:tc>
        <w:tc>
          <w:tcPr>
            <w:tcW w:w="1813" w:type="dxa"/>
            <w:vAlign w:val="center"/>
            <w:hideMark/>
          </w:tcPr>
          <w:p w14:paraId="6EDD08A9"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Promovimi i transportit të kombinuar dhe intermodal - 1</w:t>
            </w:r>
          </w:p>
        </w:tc>
        <w:tc>
          <w:tcPr>
            <w:tcW w:w="900" w:type="dxa"/>
            <w:vAlign w:val="center"/>
            <w:hideMark/>
          </w:tcPr>
          <w:p w14:paraId="6EDD08AA"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2016-2018</w:t>
            </w:r>
          </w:p>
        </w:tc>
        <w:tc>
          <w:tcPr>
            <w:tcW w:w="810" w:type="dxa"/>
            <w:vAlign w:val="center"/>
            <w:hideMark/>
          </w:tcPr>
          <w:p w14:paraId="6EDD08AB"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SSTPV; PKT</w:t>
            </w:r>
          </w:p>
        </w:tc>
        <w:tc>
          <w:tcPr>
            <w:tcW w:w="1260" w:type="dxa"/>
            <w:vAlign w:val="center"/>
          </w:tcPr>
          <w:p w14:paraId="6EDD08AC"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Calibri"/>
                <w:sz w:val="18"/>
                <w:szCs w:val="18"/>
              </w:rPr>
            </w:pPr>
            <w:r w:rsidRPr="007114AF">
              <w:rPr>
                <w:rFonts w:ascii="Garamond" w:hAnsi="Garamond" w:cs="Calibri"/>
                <w:sz w:val="18"/>
                <w:szCs w:val="18"/>
              </w:rPr>
              <w:t>Indirekte</w:t>
            </w:r>
          </w:p>
        </w:tc>
        <w:tc>
          <w:tcPr>
            <w:tcW w:w="1080" w:type="dxa"/>
            <w:vAlign w:val="center"/>
            <w:hideMark/>
          </w:tcPr>
          <w:p w14:paraId="6EDD08AD"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82,380.00</w:t>
            </w:r>
          </w:p>
        </w:tc>
        <w:tc>
          <w:tcPr>
            <w:tcW w:w="1260" w:type="dxa"/>
            <w:vAlign w:val="center"/>
            <w:hideMark/>
          </w:tcPr>
          <w:p w14:paraId="6EDD08AE"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54,920.00</w:t>
            </w:r>
          </w:p>
        </w:tc>
        <w:tc>
          <w:tcPr>
            <w:tcW w:w="1260" w:type="dxa"/>
            <w:vAlign w:val="center"/>
            <w:hideMark/>
          </w:tcPr>
          <w:p w14:paraId="6EDD08AF"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27,460.00</w:t>
            </w:r>
          </w:p>
        </w:tc>
        <w:tc>
          <w:tcPr>
            <w:tcW w:w="1080" w:type="dxa"/>
            <w:vAlign w:val="center"/>
            <w:hideMark/>
          </w:tcPr>
          <w:p w14:paraId="6EDD08B0"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tc>
        <w:tc>
          <w:tcPr>
            <w:tcW w:w="1260" w:type="dxa"/>
            <w:vAlign w:val="center"/>
            <w:hideMark/>
          </w:tcPr>
          <w:p w14:paraId="6EDD08B1"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tc>
        <w:tc>
          <w:tcPr>
            <w:tcW w:w="3150" w:type="dxa"/>
            <w:vAlign w:val="center"/>
            <w:hideMark/>
          </w:tcPr>
          <w:p w14:paraId="6EDD08B2" w14:textId="53E14628" w:rsidR="00FB584C" w:rsidRPr="007114AF" w:rsidRDefault="00FB584C" w:rsidP="001C47F0">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xml:space="preserve">EUR 0.4 </w:t>
            </w:r>
            <w:r w:rsidR="001C47F0" w:rsidRPr="007114AF">
              <w:rPr>
                <w:rFonts w:ascii="Garamond" w:eastAsia="Times New Roman" w:hAnsi="Garamond" w:cs="Times New Roman"/>
                <w:sz w:val="18"/>
                <w:szCs w:val="18"/>
              </w:rPr>
              <w:t xml:space="preserve">milion </w:t>
            </w:r>
            <w:r w:rsidRPr="007114AF">
              <w:rPr>
                <w:rFonts w:ascii="Garamond" w:eastAsia="Times New Roman" w:hAnsi="Garamond" w:cs="Times New Roman"/>
                <w:sz w:val="18"/>
                <w:szCs w:val="18"/>
              </w:rPr>
              <w:t xml:space="preserve">(EUR 0.08 </w:t>
            </w:r>
            <w:r w:rsidR="001C47F0" w:rsidRPr="007114AF">
              <w:rPr>
                <w:rFonts w:ascii="Garamond" w:eastAsia="Times New Roman" w:hAnsi="Garamond" w:cs="Times New Roman"/>
                <w:sz w:val="18"/>
                <w:szCs w:val="18"/>
              </w:rPr>
              <w:t xml:space="preserve">milion </w:t>
            </w:r>
            <w:r w:rsidRPr="007114AF">
              <w:rPr>
                <w:rFonts w:ascii="Garamond" w:eastAsia="Times New Roman" w:hAnsi="Garamond" w:cs="Times New Roman"/>
                <w:sz w:val="18"/>
                <w:szCs w:val="18"/>
              </w:rPr>
              <w:t>për vit për IoT)</w:t>
            </w:r>
            <w:r w:rsidRPr="007114AF">
              <w:rPr>
                <w:rFonts w:ascii="Garamond" w:eastAsia="Times New Roman" w:hAnsi="Garamond" w:cs="Times New Roman"/>
                <w:sz w:val="18"/>
                <w:szCs w:val="18"/>
              </w:rPr>
              <w:br/>
              <w:t xml:space="preserve">EUR 0.2 </w:t>
            </w:r>
            <w:r w:rsidR="001C47F0" w:rsidRPr="007114AF">
              <w:rPr>
                <w:rFonts w:ascii="Garamond" w:eastAsia="Times New Roman" w:hAnsi="Garamond" w:cs="Times New Roman"/>
                <w:sz w:val="18"/>
                <w:szCs w:val="18"/>
              </w:rPr>
              <w:t xml:space="preserve">milion </w:t>
            </w:r>
            <w:r w:rsidRPr="007114AF">
              <w:rPr>
                <w:rFonts w:ascii="Garamond" w:eastAsia="Times New Roman" w:hAnsi="Garamond" w:cs="Times New Roman"/>
                <w:sz w:val="18"/>
                <w:szCs w:val="18"/>
              </w:rPr>
              <w:t>(studim) Buxheti Kombëtar (IoT), Buxheti IPA (Strategjia Kombëtare)</w:t>
            </w:r>
          </w:p>
        </w:tc>
      </w:tr>
      <w:tr w:rsidR="00FB584C" w:rsidRPr="007114AF" w14:paraId="6EDD08BF" w14:textId="77777777" w:rsidTr="00FB584C">
        <w:trPr>
          <w:cantSplit/>
          <w:trHeight w:val="2197"/>
          <w:jc w:val="center"/>
        </w:trPr>
        <w:tc>
          <w:tcPr>
            <w:cnfStyle w:val="001000000000" w:firstRow="0" w:lastRow="0" w:firstColumn="1" w:lastColumn="0" w:oddVBand="0" w:evenVBand="0" w:oddHBand="0" w:evenHBand="0" w:firstRowFirstColumn="0" w:firstRowLastColumn="0" w:lastRowFirstColumn="0" w:lastRowLastColumn="0"/>
            <w:tcW w:w="534" w:type="dxa"/>
            <w:noWrap/>
            <w:vAlign w:val="center"/>
            <w:hideMark/>
          </w:tcPr>
          <w:p w14:paraId="6EDD08B4" w14:textId="77777777" w:rsidR="00FB584C" w:rsidRPr="007114AF" w:rsidRDefault="00FB584C" w:rsidP="00FB584C">
            <w:pPr>
              <w:spacing w:after="0"/>
              <w:rPr>
                <w:rFonts w:ascii="Garamond" w:eastAsia="Times New Roman" w:hAnsi="Garamond" w:cs="Times New Roman"/>
                <w:b w:val="0"/>
                <w:bCs w:val="0"/>
                <w:sz w:val="18"/>
                <w:szCs w:val="18"/>
              </w:rPr>
            </w:pPr>
            <w:r w:rsidRPr="007114AF">
              <w:rPr>
                <w:rFonts w:ascii="Garamond" w:eastAsia="Times New Roman" w:hAnsi="Garamond" w:cs="Times New Roman"/>
                <w:sz w:val="18"/>
                <w:szCs w:val="18"/>
              </w:rPr>
              <w:t>T62</w:t>
            </w:r>
          </w:p>
        </w:tc>
        <w:tc>
          <w:tcPr>
            <w:tcW w:w="1813" w:type="dxa"/>
            <w:vAlign w:val="center"/>
            <w:hideMark/>
          </w:tcPr>
          <w:p w14:paraId="6EDD08B5"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Promovimi i transportit të kombinuar dhe intermodal - 2</w:t>
            </w:r>
          </w:p>
        </w:tc>
        <w:tc>
          <w:tcPr>
            <w:tcW w:w="900" w:type="dxa"/>
            <w:vAlign w:val="center"/>
            <w:hideMark/>
          </w:tcPr>
          <w:p w14:paraId="6EDD08B6"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2016-2019</w:t>
            </w:r>
          </w:p>
        </w:tc>
        <w:tc>
          <w:tcPr>
            <w:tcW w:w="810" w:type="dxa"/>
            <w:vAlign w:val="center"/>
            <w:hideMark/>
          </w:tcPr>
          <w:p w14:paraId="6EDD08B7"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SSTPV; PKT</w:t>
            </w:r>
          </w:p>
        </w:tc>
        <w:tc>
          <w:tcPr>
            <w:tcW w:w="1260" w:type="dxa"/>
            <w:vAlign w:val="center"/>
          </w:tcPr>
          <w:p w14:paraId="6EDD08B8"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Calibri"/>
                <w:sz w:val="18"/>
                <w:szCs w:val="18"/>
              </w:rPr>
            </w:pPr>
            <w:r w:rsidRPr="007114AF">
              <w:rPr>
                <w:rFonts w:ascii="Garamond" w:eastAsia="Times New Roman" w:hAnsi="Garamond" w:cs="Calibri"/>
                <w:sz w:val="18"/>
                <w:szCs w:val="18"/>
              </w:rPr>
              <w:t>Indirekte</w:t>
            </w:r>
          </w:p>
        </w:tc>
        <w:tc>
          <w:tcPr>
            <w:tcW w:w="1080" w:type="dxa"/>
            <w:vAlign w:val="center"/>
            <w:hideMark/>
          </w:tcPr>
          <w:p w14:paraId="6EDD08B9"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3,157,900.00</w:t>
            </w:r>
          </w:p>
        </w:tc>
        <w:tc>
          <w:tcPr>
            <w:tcW w:w="1260" w:type="dxa"/>
            <w:vAlign w:val="center"/>
            <w:hideMark/>
          </w:tcPr>
          <w:p w14:paraId="6EDD08BA"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tc>
        <w:tc>
          <w:tcPr>
            <w:tcW w:w="1260" w:type="dxa"/>
            <w:vAlign w:val="center"/>
            <w:hideMark/>
          </w:tcPr>
          <w:p w14:paraId="6EDD08BB"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68,650.00</w:t>
            </w:r>
          </w:p>
        </w:tc>
        <w:tc>
          <w:tcPr>
            <w:tcW w:w="1080" w:type="dxa"/>
            <w:vAlign w:val="center"/>
            <w:hideMark/>
          </w:tcPr>
          <w:p w14:paraId="6EDD08BC"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2,000,000.00</w:t>
            </w:r>
          </w:p>
        </w:tc>
        <w:tc>
          <w:tcPr>
            <w:tcW w:w="1260" w:type="dxa"/>
            <w:vAlign w:val="center"/>
            <w:hideMark/>
          </w:tcPr>
          <w:p w14:paraId="6EDD08BD"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1,089,250.00</w:t>
            </w:r>
          </w:p>
        </w:tc>
        <w:tc>
          <w:tcPr>
            <w:tcW w:w="3150" w:type="dxa"/>
            <w:vAlign w:val="center"/>
            <w:hideMark/>
          </w:tcPr>
          <w:p w14:paraId="6EDD08BE" w14:textId="42D0F739"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Studim Fizibiliteti për qendrën logjistike: € 0,5 mln.</w:t>
            </w:r>
            <w:r w:rsidR="008D30FC" w:rsidRPr="007114AF">
              <w:rPr>
                <w:rFonts w:ascii="Garamond" w:eastAsia="Times New Roman" w:hAnsi="Garamond" w:cs="Times New Roman"/>
                <w:sz w:val="18"/>
                <w:szCs w:val="18"/>
              </w:rPr>
              <w:t xml:space="preserve"> </w:t>
            </w:r>
            <w:r w:rsidRPr="007114AF">
              <w:rPr>
                <w:rFonts w:ascii="Garamond" w:eastAsia="Times New Roman" w:hAnsi="Garamond" w:cs="Times New Roman"/>
                <w:sz w:val="18"/>
                <w:szCs w:val="18"/>
              </w:rPr>
              <w:t>Kosto e ndërtimit për qendrën logjistike: € 20-25 mln. Buxheti IPA (studime fizibiliteti)</w:t>
            </w:r>
            <w:r w:rsidRPr="007114AF">
              <w:rPr>
                <w:rFonts w:ascii="Garamond" w:eastAsia="Times New Roman" w:hAnsi="Garamond" w:cs="Times New Roman"/>
                <w:sz w:val="18"/>
                <w:szCs w:val="18"/>
              </w:rPr>
              <w:br/>
              <w:t>Buxheti Kombëtar (% për t</w:t>
            </w:r>
            <w:r w:rsidR="00D10DAB" w:rsidRPr="007114AF">
              <w:rPr>
                <w:rFonts w:ascii="Garamond" w:eastAsia="Times New Roman" w:hAnsi="Garamond" w:cs="Times New Roman"/>
                <w:sz w:val="18"/>
                <w:szCs w:val="18"/>
              </w:rPr>
              <w:t>’</w:t>
            </w:r>
            <w:r w:rsidRPr="007114AF">
              <w:rPr>
                <w:rFonts w:ascii="Garamond" w:eastAsia="Times New Roman" w:hAnsi="Garamond" w:cs="Times New Roman"/>
                <w:sz w:val="18"/>
                <w:szCs w:val="18"/>
              </w:rPr>
              <w:t>u caktuar), donatorët ndërkombëtar (% për t</w:t>
            </w:r>
            <w:r w:rsidR="00D10DAB" w:rsidRPr="007114AF">
              <w:rPr>
                <w:rFonts w:ascii="Garamond" w:eastAsia="Times New Roman" w:hAnsi="Garamond" w:cs="Times New Roman"/>
                <w:sz w:val="18"/>
                <w:szCs w:val="18"/>
              </w:rPr>
              <w:t>’</w:t>
            </w:r>
            <w:r w:rsidRPr="007114AF">
              <w:rPr>
                <w:rFonts w:ascii="Garamond" w:eastAsia="Times New Roman" w:hAnsi="Garamond" w:cs="Times New Roman"/>
                <w:sz w:val="18"/>
                <w:szCs w:val="18"/>
              </w:rPr>
              <w:t>u caktuar)</w:t>
            </w:r>
          </w:p>
        </w:tc>
      </w:tr>
      <w:tr w:rsidR="00FB584C" w:rsidRPr="007114AF" w14:paraId="6EDD08CB" w14:textId="77777777" w:rsidTr="00FB584C">
        <w:trPr>
          <w:cantSplit/>
          <w:trHeight w:val="20"/>
          <w:jc w:val="center"/>
        </w:trPr>
        <w:tc>
          <w:tcPr>
            <w:cnfStyle w:val="001000000000" w:firstRow="0" w:lastRow="0" w:firstColumn="1" w:lastColumn="0" w:oddVBand="0" w:evenVBand="0" w:oddHBand="0" w:evenHBand="0" w:firstRowFirstColumn="0" w:firstRowLastColumn="0" w:lastRowFirstColumn="0" w:lastRowLastColumn="0"/>
            <w:tcW w:w="534" w:type="dxa"/>
            <w:noWrap/>
            <w:vAlign w:val="center"/>
            <w:hideMark/>
          </w:tcPr>
          <w:p w14:paraId="6EDD08C0" w14:textId="77777777" w:rsidR="00FB584C" w:rsidRPr="007114AF" w:rsidRDefault="00FB584C" w:rsidP="00FB584C">
            <w:pPr>
              <w:spacing w:after="0"/>
              <w:rPr>
                <w:rFonts w:ascii="Garamond" w:eastAsia="Times New Roman" w:hAnsi="Garamond" w:cs="Times New Roman"/>
                <w:b w:val="0"/>
                <w:bCs w:val="0"/>
                <w:sz w:val="18"/>
                <w:szCs w:val="18"/>
              </w:rPr>
            </w:pPr>
            <w:r w:rsidRPr="007114AF">
              <w:rPr>
                <w:rFonts w:ascii="Garamond" w:eastAsia="Times New Roman" w:hAnsi="Garamond" w:cs="Times New Roman"/>
                <w:sz w:val="18"/>
                <w:szCs w:val="18"/>
              </w:rPr>
              <w:t>T63</w:t>
            </w:r>
          </w:p>
        </w:tc>
        <w:tc>
          <w:tcPr>
            <w:tcW w:w="1813" w:type="dxa"/>
            <w:vAlign w:val="center"/>
            <w:hideMark/>
          </w:tcPr>
          <w:p w14:paraId="6EDD08C1"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Promovimi i transportit të kombinuar dhe intermodal - 3</w:t>
            </w:r>
          </w:p>
        </w:tc>
        <w:tc>
          <w:tcPr>
            <w:tcW w:w="900" w:type="dxa"/>
            <w:vAlign w:val="center"/>
            <w:hideMark/>
          </w:tcPr>
          <w:p w14:paraId="6EDD08C2"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2016-2017</w:t>
            </w:r>
          </w:p>
        </w:tc>
        <w:tc>
          <w:tcPr>
            <w:tcW w:w="810" w:type="dxa"/>
            <w:vAlign w:val="center"/>
            <w:hideMark/>
          </w:tcPr>
          <w:p w14:paraId="6EDD08C3"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SSTPV; PKT</w:t>
            </w:r>
          </w:p>
        </w:tc>
        <w:tc>
          <w:tcPr>
            <w:tcW w:w="1260" w:type="dxa"/>
            <w:vAlign w:val="center"/>
          </w:tcPr>
          <w:p w14:paraId="6EDD08C4"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Calibri"/>
                <w:sz w:val="18"/>
                <w:szCs w:val="18"/>
              </w:rPr>
            </w:pPr>
            <w:r w:rsidRPr="007114AF">
              <w:rPr>
                <w:rFonts w:ascii="Garamond" w:hAnsi="Garamond" w:cs="Calibri"/>
                <w:sz w:val="18"/>
                <w:szCs w:val="18"/>
              </w:rPr>
              <w:t>Indirekte</w:t>
            </w:r>
          </w:p>
        </w:tc>
        <w:tc>
          <w:tcPr>
            <w:tcW w:w="1080" w:type="dxa"/>
            <w:vAlign w:val="center"/>
            <w:hideMark/>
          </w:tcPr>
          <w:p w14:paraId="6EDD08C5"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205,950.00</w:t>
            </w:r>
          </w:p>
        </w:tc>
        <w:tc>
          <w:tcPr>
            <w:tcW w:w="1260" w:type="dxa"/>
            <w:noWrap/>
            <w:vAlign w:val="center"/>
            <w:hideMark/>
          </w:tcPr>
          <w:p w14:paraId="6EDD08C6"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205,950.00</w:t>
            </w:r>
          </w:p>
        </w:tc>
        <w:tc>
          <w:tcPr>
            <w:tcW w:w="1260" w:type="dxa"/>
            <w:vAlign w:val="center"/>
            <w:hideMark/>
          </w:tcPr>
          <w:p w14:paraId="6EDD08C7"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tc>
        <w:tc>
          <w:tcPr>
            <w:tcW w:w="1080" w:type="dxa"/>
            <w:vAlign w:val="center"/>
            <w:hideMark/>
          </w:tcPr>
          <w:p w14:paraId="6EDD08C8"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tc>
        <w:tc>
          <w:tcPr>
            <w:tcW w:w="1260" w:type="dxa"/>
            <w:vAlign w:val="center"/>
            <w:hideMark/>
          </w:tcPr>
          <w:p w14:paraId="6EDD08C9"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tc>
        <w:tc>
          <w:tcPr>
            <w:tcW w:w="3150" w:type="dxa"/>
            <w:vAlign w:val="center"/>
            <w:hideMark/>
          </w:tcPr>
          <w:p w14:paraId="6EDD08CA" w14:textId="161F48FB"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xml:space="preserve">EUR 1.5 </w:t>
            </w:r>
            <w:r w:rsidR="001C47F0" w:rsidRPr="007114AF">
              <w:rPr>
                <w:rFonts w:ascii="Garamond" w:eastAsia="Times New Roman" w:hAnsi="Garamond" w:cs="Times New Roman"/>
                <w:sz w:val="18"/>
                <w:szCs w:val="18"/>
              </w:rPr>
              <w:t xml:space="preserve">milionë </w:t>
            </w:r>
            <w:r w:rsidRPr="007114AF">
              <w:rPr>
                <w:rFonts w:ascii="Garamond" w:eastAsia="Times New Roman" w:hAnsi="Garamond" w:cs="Times New Roman"/>
                <w:sz w:val="18"/>
                <w:szCs w:val="18"/>
              </w:rPr>
              <w:t>(vlerësim i Autoritetit Portual Durrës)</w:t>
            </w:r>
          </w:p>
        </w:tc>
      </w:tr>
      <w:tr w:rsidR="00FB584C" w:rsidRPr="007114AF" w14:paraId="6EDD08D9" w14:textId="77777777" w:rsidTr="00FB584C">
        <w:trPr>
          <w:cantSplit/>
          <w:trHeight w:val="2417"/>
          <w:jc w:val="center"/>
        </w:trPr>
        <w:tc>
          <w:tcPr>
            <w:cnfStyle w:val="001000000000" w:firstRow="0" w:lastRow="0" w:firstColumn="1" w:lastColumn="0" w:oddVBand="0" w:evenVBand="0" w:oddHBand="0" w:evenHBand="0" w:firstRowFirstColumn="0" w:firstRowLastColumn="0" w:lastRowFirstColumn="0" w:lastRowLastColumn="0"/>
            <w:tcW w:w="534" w:type="dxa"/>
            <w:noWrap/>
            <w:vAlign w:val="center"/>
            <w:hideMark/>
          </w:tcPr>
          <w:p w14:paraId="6EDD08CC" w14:textId="77777777" w:rsidR="00FB584C" w:rsidRPr="007114AF" w:rsidRDefault="00FB584C" w:rsidP="00FB584C">
            <w:pPr>
              <w:spacing w:after="0"/>
              <w:rPr>
                <w:rFonts w:ascii="Garamond" w:eastAsia="Times New Roman" w:hAnsi="Garamond" w:cs="Times New Roman"/>
                <w:b w:val="0"/>
                <w:bCs w:val="0"/>
                <w:sz w:val="18"/>
                <w:szCs w:val="18"/>
              </w:rPr>
            </w:pPr>
            <w:r w:rsidRPr="007114AF">
              <w:rPr>
                <w:rFonts w:ascii="Garamond" w:eastAsia="Times New Roman" w:hAnsi="Garamond" w:cs="Times New Roman"/>
                <w:sz w:val="18"/>
                <w:szCs w:val="18"/>
              </w:rPr>
              <w:lastRenderedPageBreak/>
              <w:t>T64</w:t>
            </w:r>
          </w:p>
        </w:tc>
        <w:tc>
          <w:tcPr>
            <w:tcW w:w="1813" w:type="dxa"/>
            <w:vAlign w:val="center"/>
            <w:hideMark/>
          </w:tcPr>
          <w:p w14:paraId="6EDD08CD"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Masa të Buta dhe të zgjuara: iniciativa të lëvizjes së ndërgjegjshme: mbështetje e zbatimit nëpërmjet informacionit të duhur në fushata, me qëllim të influencojë sjelljen drejt zgjedhjeve të qëndrueshme</w:t>
            </w:r>
          </w:p>
        </w:tc>
        <w:tc>
          <w:tcPr>
            <w:tcW w:w="900" w:type="dxa"/>
            <w:vAlign w:val="center"/>
            <w:hideMark/>
          </w:tcPr>
          <w:p w14:paraId="6EDD08CE"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2016-2020</w:t>
            </w:r>
          </w:p>
        </w:tc>
        <w:tc>
          <w:tcPr>
            <w:tcW w:w="810" w:type="dxa"/>
            <w:vAlign w:val="center"/>
            <w:hideMark/>
          </w:tcPr>
          <w:p w14:paraId="6EDD08CF"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TECTQ</w:t>
            </w:r>
          </w:p>
        </w:tc>
        <w:tc>
          <w:tcPr>
            <w:tcW w:w="1260" w:type="dxa"/>
            <w:vAlign w:val="center"/>
          </w:tcPr>
          <w:p w14:paraId="6EDD08D0"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Calibri"/>
                <w:sz w:val="18"/>
                <w:szCs w:val="18"/>
              </w:rPr>
            </w:pPr>
            <w:r w:rsidRPr="007114AF">
              <w:rPr>
                <w:rFonts w:ascii="Garamond" w:hAnsi="Garamond" w:cs="Calibri"/>
                <w:sz w:val="18"/>
                <w:szCs w:val="18"/>
              </w:rPr>
              <w:t>Indirekte</w:t>
            </w:r>
          </w:p>
        </w:tc>
        <w:tc>
          <w:tcPr>
            <w:tcW w:w="1080" w:type="dxa"/>
            <w:vAlign w:val="center"/>
            <w:hideMark/>
          </w:tcPr>
          <w:p w14:paraId="6EDD08D1"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100,000.00</w:t>
            </w:r>
          </w:p>
        </w:tc>
        <w:tc>
          <w:tcPr>
            <w:tcW w:w="1260" w:type="dxa"/>
            <w:vAlign w:val="center"/>
            <w:hideMark/>
          </w:tcPr>
          <w:p w14:paraId="6EDD08D2"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p w14:paraId="6EDD08D3"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tc>
        <w:tc>
          <w:tcPr>
            <w:tcW w:w="1260" w:type="dxa"/>
            <w:vAlign w:val="center"/>
            <w:hideMark/>
          </w:tcPr>
          <w:p w14:paraId="6EDD08D4"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tc>
        <w:tc>
          <w:tcPr>
            <w:tcW w:w="1080" w:type="dxa"/>
            <w:vAlign w:val="center"/>
            <w:hideMark/>
          </w:tcPr>
          <w:p w14:paraId="6EDD08D5"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tc>
        <w:tc>
          <w:tcPr>
            <w:tcW w:w="1260" w:type="dxa"/>
            <w:vAlign w:val="center"/>
            <w:hideMark/>
          </w:tcPr>
          <w:p w14:paraId="6EDD08D6"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p w14:paraId="6EDD08D7"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100,000.00</w:t>
            </w:r>
          </w:p>
        </w:tc>
        <w:tc>
          <w:tcPr>
            <w:tcW w:w="3150" w:type="dxa"/>
            <w:vAlign w:val="center"/>
            <w:hideMark/>
          </w:tcPr>
          <w:p w14:paraId="6EDD08D8"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Kostot e marra nga Drafti Përfundimtar i TECTQ; përreth 15-22 mln LEK çdo vit (për gazetat vetëm 7,18 mln LEK /vit)</w:t>
            </w:r>
          </w:p>
        </w:tc>
      </w:tr>
      <w:tr w:rsidR="00FB584C" w:rsidRPr="007114AF" w14:paraId="6EDD08EA" w14:textId="77777777" w:rsidTr="00FB584C">
        <w:trPr>
          <w:cantSplit/>
          <w:trHeight w:val="1988"/>
          <w:jc w:val="center"/>
        </w:trPr>
        <w:tc>
          <w:tcPr>
            <w:cnfStyle w:val="001000000000" w:firstRow="0" w:lastRow="0" w:firstColumn="1" w:lastColumn="0" w:oddVBand="0" w:evenVBand="0" w:oddHBand="0" w:evenHBand="0" w:firstRowFirstColumn="0" w:firstRowLastColumn="0" w:lastRowFirstColumn="0" w:lastRowLastColumn="0"/>
            <w:tcW w:w="534" w:type="dxa"/>
            <w:noWrap/>
            <w:vAlign w:val="center"/>
            <w:hideMark/>
          </w:tcPr>
          <w:p w14:paraId="6EDD08DA" w14:textId="77777777" w:rsidR="00FB584C" w:rsidRPr="007114AF" w:rsidRDefault="00FB584C" w:rsidP="00FB584C">
            <w:pPr>
              <w:spacing w:after="0"/>
              <w:rPr>
                <w:rFonts w:ascii="Garamond" w:eastAsia="Times New Roman" w:hAnsi="Garamond" w:cs="Times New Roman"/>
                <w:b w:val="0"/>
                <w:bCs w:val="0"/>
                <w:sz w:val="18"/>
                <w:szCs w:val="18"/>
              </w:rPr>
            </w:pPr>
            <w:r w:rsidRPr="007114AF">
              <w:rPr>
                <w:rFonts w:ascii="Garamond" w:eastAsia="Times New Roman" w:hAnsi="Garamond" w:cs="Times New Roman"/>
                <w:sz w:val="18"/>
                <w:szCs w:val="18"/>
              </w:rPr>
              <w:t>T65</w:t>
            </w:r>
          </w:p>
        </w:tc>
        <w:tc>
          <w:tcPr>
            <w:tcW w:w="1813" w:type="dxa"/>
            <w:vAlign w:val="center"/>
            <w:hideMark/>
          </w:tcPr>
          <w:p w14:paraId="6EDD08DB" w14:textId="6A21B5F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Fushata informuese mbi eficiencën e energjisëdhe sjelljen në drejtimin e mjeteve</w:t>
            </w:r>
            <w:r w:rsidR="000A2A01" w:rsidRPr="007114AF">
              <w:rPr>
                <w:rFonts w:ascii="Garamond" w:eastAsia="Times New Roman" w:hAnsi="Garamond" w:cs="Times New Roman"/>
                <w:sz w:val="18"/>
                <w:szCs w:val="18"/>
              </w:rPr>
              <w:t xml:space="preserve"> </w:t>
            </w:r>
            <w:r w:rsidRPr="007114AF">
              <w:rPr>
                <w:rFonts w:ascii="Garamond" w:eastAsia="Times New Roman" w:hAnsi="Garamond" w:cs="Times New Roman"/>
                <w:sz w:val="18"/>
                <w:szCs w:val="18"/>
              </w:rPr>
              <w:t>(ecodriving)</w:t>
            </w:r>
          </w:p>
        </w:tc>
        <w:tc>
          <w:tcPr>
            <w:tcW w:w="900" w:type="dxa"/>
            <w:vAlign w:val="center"/>
            <w:hideMark/>
          </w:tcPr>
          <w:p w14:paraId="6EDD08DC"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2017-2018</w:t>
            </w:r>
          </w:p>
        </w:tc>
        <w:tc>
          <w:tcPr>
            <w:tcW w:w="810" w:type="dxa"/>
            <w:vAlign w:val="center"/>
            <w:hideMark/>
          </w:tcPr>
          <w:p w14:paraId="6EDD08DD"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PKVEE</w:t>
            </w:r>
          </w:p>
        </w:tc>
        <w:tc>
          <w:tcPr>
            <w:tcW w:w="1260" w:type="dxa"/>
            <w:vAlign w:val="center"/>
          </w:tcPr>
          <w:p w14:paraId="6EDD08DE"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Calibri"/>
                <w:sz w:val="18"/>
                <w:szCs w:val="18"/>
              </w:rPr>
            </w:pPr>
            <w:r w:rsidRPr="007114AF">
              <w:rPr>
                <w:rFonts w:ascii="Garamond" w:hAnsi="Garamond" w:cs="Calibri"/>
                <w:sz w:val="18"/>
                <w:szCs w:val="18"/>
              </w:rPr>
              <w:t>Indirekte</w:t>
            </w:r>
          </w:p>
        </w:tc>
        <w:tc>
          <w:tcPr>
            <w:tcW w:w="1080" w:type="dxa"/>
            <w:vAlign w:val="center"/>
            <w:hideMark/>
          </w:tcPr>
          <w:p w14:paraId="6EDD08DF"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13,730.00</w:t>
            </w:r>
          </w:p>
        </w:tc>
        <w:tc>
          <w:tcPr>
            <w:tcW w:w="1260" w:type="dxa"/>
            <w:vAlign w:val="center"/>
            <w:hideMark/>
          </w:tcPr>
          <w:p w14:paraId="6EDD08E0"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p w14:paraId="6EDD08E1"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tc>
        <w:tc>
          <w:tcPr>
            <w:tcW w:w="1260" w:type="dxa"/>
            <w:vAlign w:val="center"/>
            <w:hideMark/>
          </w:tcPr>
          <w:p w14:paraId="6EDD08E2"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p w14:paraId="6EDD08E3"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tc>
        <w:tc>
          <w:tcPr>
            <w:tcW w:w="1080" w:type="dxa"/>
            <w:vAlign w:val="center"/>
            <w:hideMark/>
          </w:tcPr>
          <w:p w14:paraId="6EDD08E4"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p w14:paraId="6EDD08E5"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tc>
        <w:tc>
          <w:tcPr>
            <w:tcW w:w="1260" w:type="dxa"/>
            <w:vAlign w:val="center"/>
            <w:hideMark/>
          </w:tcPr>
          <w:p w14:paraId="6EDD08E6"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p w14:paraId="6EDD08E7"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13,730.00</w:t>
            </w:r>
          </w:p>
        </w:tc>
        <w:tc>
          <w:tcPr>
            <w:tcW w:w="3150" w:type="dxa"/>
            <w:vAlign w:val="center"/>
            <w:hideMark/>
          </w:tcPr>
          <w:p w14:paraId="6EDD08E8" w14:textId="74C50D10"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xml:space="preserve">Dokumenti vëren: </w:t>
            </w:r>
            <w:r w:rsidR="000A2A01" w:rsidRPr="007114AF">
              <w:rPr>
                <w:rFonts w:ascii="Garamond" w:eastAsia="Times New Roman" w:hAnsi="Garamond" w:cs="Times New Roman"/>
                <w:sz w:val="18"/>
                <w:szCs w:val="18"/>
              </w:rPr>
              <w:t>“</w:t>
            </w:r>
            <w:r w:rsidRPr="007114AF">
              <w:rPr>
                <w:rFonts w:ascii="Garamond" w:eastAsia="Times New Roman" w:hAnsi="Garamond" w:cs="Times New Roman"/>
                <w:sz w:val="18"/>
                <w:szCs w:val="18"/>
              </w:rPr>
              <w:t>pasi mësuesit janë edukuar, integrimi në autoshkolla nuk ka nevojë për mbështetje të mëtejshme;</w:t>
            </w:r>
          </w:p>
          <w:p w14:paraId="6EDD08E9" w14:textId="12C988D8"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Kurset e ekodrejtimitpër shoferët me eksperiencë mund të mbështeten nga subvencionet publike.</w:t>
            </w:r>
            <w:r w:rsidR="000A2A01" w:rsidRPr="007114AF">
              <w:rPr>
                <w:rFonts w:ascii="Garamond" w:eastAsia="Times New Roman" w:hAnsi="Garamond" w:cs="Times New Roman"/>
                <w:sz w:val="18"/>
                <w:szCs w:val="18"/>
              </w:rPr>
              <w:t>”</w:t>
            </w:r>
          </w:p>
        </w:tc>
      </w:tr>
      <w:tr w:rsidR="00FB584C" w:rsidRPr="007114AF" w14:paraId="6EDD08F6" w14:textId="77777777" w:rsidTr="00FB584C">
        <w:trPr>
          <w:cantSplit/>
          <w:trHeight w:val="20"/>
          <w:jc w:val="center"/>
        </w:trPr>
        <w:tc>
          <w:tcPr>
            <w:cnfStyle w:val="001000000000" w:firstRow="0" w:lastRow="0" w:firstColumn="1" w:lastColumn="0" w:oddVBand="0" w:evenVBand="0" w:oddHBand="0" w:evenHBand="0" w:firstRowFirstColumn="0" w:firstRowLastColumn="0" w:lastRowFirstColumn="0" w:lastRowLastColumn="0"/>
            <w:tcW w:w="534" w:type="dxa"/>
            <w:noWrap/>
            <w:vAlign w:val="center"/>
            <w:hideMark/>
          </w:tcPr>
          <w:p w14:paraId="6EDD08EB" w14:textId="77777777" w:rsidR="00FB584C" w:rsidRPr="007114AF" w:rsidRDefault="00FB584C" w:rsidP="00FB584C">
            <w:pPr>
              <w:spacing w:after="0"/>
              <w:rPr>
                <w:rFonts w:ascii="Garamond" w:eastAsia="Times New Roman" w:hAnsi="Garamond" w:cs="Times New Roman"/>
                <w:b w:val="0"/>
                <w:bCs w:val="0"/>
                <w:sz w:val="18"/>
                <w:szCs w:val="18"/>
              </w:rPr>
            </w:pPr>
            <w:r w:rsidRPr="007114AF">
              <w:rPr>
                <w:rFonts w:ascii="Garamond" w:eastAsia="Times New Roman" w:hAnsi="Garamond" w:cs="Times New Roman"/>
                <w:sz w:val="18"/>
                <w:szCs w:val="18"/>
              </w:rPr>
              <w:t>T66</w:t>
            </w:r>
          </w:p>
        </w:tc>
        <w:tc>
          <w:tcPr>
            <w:tcW w:w="1813" w:type="dxa"/>
            <w:vAlign w:val="center"/>
            <w:hideMark/>
          </w:tcPr>
          <w:p w14:paraId="6EDD08EC"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xml:space="preserve">Kurse për drejtimin ekonomik për shoferët profesionistë të kamionëve </w:t>
            </w:r>
          </w:p>
        </w:tc>
        <w:tc>
          <w:tcPr>
            <w:tcW w:w="900" w:type="dxa"/>
            <w:vAlign w:val="center"/>
            <w:hideMark/>
          </w:tcPr>
          <w:p w14:paraId="6EDD08ED"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2017-2018</w:t>
            </w:r>
          </w:p>
        </w:tc>
        <w:tc>
          <w:tcPr>
            <w:tcW w:w="810" w:type="dxa"/>
            <w:vAlign w:val="center"/>
            <w:hideMark/>
          </w:tcPr>
          <w:p w14:paraId="6EDD08EE"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PKVEE</w:t>
            </w:r>
          </w:p>
        </w:tc>
        <w:tc>
          <w:tcPr>
            <w:tcW w:w="1260" w:type="dxa"/>
            <w:vAlign w:val="center"/>
          </w:tcPr>
          <w:p w14:paraId="6EDD08EF"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Calibri"/>
                <w:sz w:val="18"/>
                <w:szCs w:val="18"/>
              </w:rPr>
            </w:pPr>
            <w:r w:rsidRPr="007114AF">
              <w:rPr>
                <w:rFonts w:ascii="Garamond" w:hAnsi="Garamond" w:cs="Calibri"/>
                <w:sz w:val="18"/>
                <w:szCs w:val="18"/>
              </w:rPr>
              <w:t>Indirekte</w:t>
            </w:r>
          </w:p>
        </w:tc>
        <w:tc>
          <w:tcPr>
            <w:tcW w:w="1080" w:type="dxa"/>
            <w:noWrap/>
            <w:vAlign w:val="center"/>
            <w:hideMark/>
          </w:tcPr>
          <w:p w14:paraId="6EDD08F0"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3,500.00</w:t>
            </w:r>
          </w:p>
        </w:tc>
        <w:tc>
          <w:tcPr>
            <w:tcW w:w="1260" w:type="dxa"/>
            <w:noWrap/>
            <w:vAlign w:val="center"/>
            <w:hideMark/>
          </w:tcPr>
          <w:p w14:paraId="6EDD08F1"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tc>
        <w:tc>
          <w:tcPr>
            <w:tcW w:w="1260" w:type="dxa"/>
            <w:noWrap/>
            <w:vAlign w:val="center"/>
            <w:hideMark/>
          </w:tcPr>
          <w:p w14:paraId="6EDD08F2"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tc>
        <w:tc>
          <w:tcPr>
            <w:tcW w:w="1080" w:type="dxa"/>
            <w:noWrap/>
            <w:vAlign w:val="center"/>
            <w:hideMark/>
          </w:tcPr>
          <w:p w14:paraId="6EDD08F3"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tc>
        <w:tc>
          <w:tcPr>
            <w:tcW w:w="1260" w:type="dxa"/>
            <w:noWrap/>
            <w:vAlign w:val="center"/>
            <w:hideMark/>
          </w:tcPr>
          <w:p w14:paraId="6EDD08F4"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3,500.00</w:t>
            </w:r>
          </w:p>
        </w:tc>
        <w:tc>
          <w:tcPr>
            <w:tcW w:w="3150" w:type="dxa"/>
            <w:vAlign w:val="center"/>
            <w:hideMark/>
          </w:tcPr>
          <w:p w14:paraId="6EDD08F5"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Kostot e marrë nga Planin i Veprimit të Dytë dhe të Tretë Kombëtar të Eficencën e Energjisë për Shqipërinë 2016-2020/ T1</w:t>
            </w:r>
          </w:p>
        </w:tc>
      </w:tr>
      <w:tr w:rsidR="00FB584C" w:rsidRPr="007114AF" w14:paraId="6EDD0904" w14:textId="77777777" w:rsidTr="00FB584C">
        <w:trPr>
          <w:cantSplit/>
          <w:trHeight w:val="1318"/>
          <w:jc w:val="center"/>
        </w:trPr>
        <w:tc>
          <w:tcPr>
            <w:cnfStyle w:val="001000000000" w:firstRow="0" w:lastRow="0" w:firstColumn="1" w:lastColumn="0" w:oddVBand="0" w:evenVBand="0" w:oddHBand="0" w:evenHBand="0" w:firstRowFirstColumn="0" w:firstRowLastColumn="0" w:lastRowFirstColumn="0" w:lastRowLastColumn="0"/>
            <w:tcW w:w="534" w:type="dxa"/>
            <w:noWrap/>
            <w:vAlign w:val="center"/>
            <w:hideMark/>
          </w:tcPr>
          <w:p w14:paraId="6EDD08F7" w14:textId="77777777" w:rsidR="00FB584C" w:rsidRPr="007114AF" w:rsidRDefault="00FB584C" w:rsidP="00FB584C">
            <w:pPr>
              <w:spacing w:after="0"/>
              <w:rPr>
                <w:rFonts w:ascii="Garamond" w:eastAsia="Times New Roman" w:hAnsi="Garamond" w:cs="Times New Roman"/>
                <w:b w:val="0"/>
                <w:bCs w:val="0"/>
                <w:sz w:val="18"/>
                <w:szCs w:val="18"/>
              </w:rPr>
            </w:pPr>
            <w:r w:rsidRPr="007114AF">
              <w:rPr>
                <w:rFonts w:ascii="Garamond" w:eastAsia="Times New Roman" w:hAnsi="Garamond" w:cs="Times New Roman"/>
                <w:sz w:val="18"/>
                <w:szCs w:val="18"/>
              </w:rPr>
              <w:t>T67</w:t>
            </w:r>
          </w:p>
        </w:tc>
        <w:tc>
          <w:tcPr>
            <w:tcW w:w="1813" w:type="dxa"/>
            <w:vAlign w:val="center"/>
            <w:hideMark/>
          </w:tcPr>
          <w:p w14:paraId="6EDD08F8"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xml:space="preserve">Sjelljen në drejtim: fushata informuese mbi sjelljen në drejtimin efikas (eco-driving) </w:t>
            </w:r>
          </w:p>
        </w:tc>
        <w:tc>
          <w:tcPr>
            <w:tcW w:w="900" w:type="dxa"/>
            <w:vAlign w:val="center"/>
            <w:hideMark/>
          </w:tcPr>
          <w:p w14:paraId="6EDD08F9"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2017-2018</w:t>
            </w:r>
          </w:p>
        </w:tc>
        <w:tc>
          <w:tcPr>
            <w:tcW w:w="810" w:type="dxa"/>
            <w:vAlign w:val="center"/>
            <w:hideMark/>
          </w:tcPr>
          <w:p w14:paraId="6EDD08FA"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PKVEE</w:t>
            </w:r>
          </w:p>
        </w:tc>
        <w:tc>
          <w:tcPr>
            <w:tcW w:w="1260" w:type="dxa"/>
            <w:vAlign w:val="center"/>
          </w:tcPr>
          <w:p w14:paraId="6EDD08FB"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Calibri"/>
                <w:sz w:val="18"/>
                <w:szCs w:val="18"/>
              </w:rPr>
            </w:pPr>
            <w:r w:rsidRPr="007114AF">
              <w:rPr>
                <w:rFonts w:ascii="Garamond" w:eastAsia="Times New Roman" w:hAnsi="Garamond" w:cs="Calibri"/>
                <w:sz w:val="18"/>
                <w:szCs w:val="18"/>
              </w:rPr>
              <w:t>Mundësuese</w:t>
            </w:r>
          </w:p>
        </w:tc>
        <w:tc>
          <w:tcPr>
            <w:tcW w:w="1080" w:type="dxa"/>
            <w:noWrap/>
            <w:vAlign w:val="center"/>
            <w:hideMark/>
          </w:tcPr>
          <w:p w14:paraId="6EDD08FC"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40,000.00</w:t>
            </w:r>
          </w:p>
        </w:tc>
        <w:tc>
          <w:tcPr>
            <w:tcW w:w="1260" w:type="dxa"/>
            <w:noWrap/>
            <w:vAlign w:val="center"/>
            <w:hideMark/>
          </w:tcPr>
          <w:p w14:paraId="6EDD08FD"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tc>
        <w:tc>
          <w:tcPr>
            <w:tcW w:w="1260" w:type="dxa"/>
            <w:noWrap/>
            <w:vAlign w:val="center"/>
            <w:hideMark/>
          </w:tcPr>
          <w:p w14:paraId="6EDD08FE"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p w14:paraId="6EDD08FF"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tc>
        <w:tc>
          <w:tcPr>
            <w:tcW w:w="1080" w:type="dxa"/>
            <w:noWrap/>
            <w:vAlign w:val="center"/>
            <w:hideMark/>
          </w:tcPr>
          <w:p w14:paraId="6EDD0900"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p w14:paraId="6EDD0901"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tc>
        <w:tc>
          <w:tcPr>
            <w:tcW w:w="1260" w:type="dxa"/>
            <w:noWrap/>
            <w:vAlign w:val="center"/>
            <w:hideMark/>
          </w:tcPr>
          <w:p w14:paraId="6EDD0902"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40,000.00</w:t>
            </w:r>
          </w:p>
        </w:tc>
        <w:tc>
          <w:tcPr>
            <w:tcW w:w="3150" w:type="dxa"/>
            <w:vAlign w:val="center"/>
            <w:hideMark/>
          </w:tcPr>
          <w:p w14:paraId="6EDD0903"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Kostoja vetëm për 2 vite. Bazuar në rezultate të ngjashme</w:t>
            </w:r>
          </w:p>
        </w:tc>
      </w:tr>
      <w:tr w:rsidR="00FB584C" w:rsidRPr="007114AF" w14:paraId="6EDD0910" w14:textId="77777777" w:rsidTr="00FB584C">
        <w:trPr>
          <w:cantSplit/>
          <w:trHeight w:val="20"/>
          <w:jc w:val="center"/>
        </w:trPr>
        <w:tc>
          <w:tcPr>
            <w:cnfStyle w:val="001000000000" w:firstRow="0" w:lastRow="0" w:firstColumn="1" w:lastColumn="0" w:oddVBand="0" w:evenVBand="0" w:oddHBand="0" w:evenHBand="0" w:firstRowFirstColumn="0" w:firstRowLastColumn="0" w:lastRowFirstColumn="0" w:lastRowLastColumn="0"/>
            <w:tcW w:w="534" w:type="dxa"/>
            <w:noWrap/>
            <w:vAlign w:val="center"/>
            <w:hideMark/>
          </w:tcPr>
          <w:p w14:paraId="6EDD0905" w14:textId="77777777" w:rsidR="00FB584C" w:rsidRPr="007114AF" w:rsidRDefault="00FB584C" w:rsidP="00FB584C">
            <w:pPr>
              <w:spacing w:after="0"/>
              <w:rPr>
                <w:rFonts w:ascii="Garamond" w:eastAsia="Times New Roman" w:hAnsi="Garamond" w:cs="Times New Roman"/>
                <w:b w:val="0"/>
                <w:bCs w:val="0"/>
                <w:sz w:val="18"/>
                <w:szCs w:val="18"/>
              </w:rPr>
            </w:pPr>
            <w:r w:rsidRPr="007114AF">
              <w:rPr>
                <w:rFonts w:ascii="Garamond" w:eastAsia="Times New Roman" w:hAnsi="Garamond" w:cs="Times New Roman"/>
                <w:sz w:val="18"/>
                <w:szCs w:val="18"/>
              </w:rPr>
              <w:t>T68</w:t>
            </w:r>
          </w:p>
        </w:tc>
        <w:tc>
          <w:tcPr>
            <w:tcW w:w="1813" w:type="dxa"/>
            <w:vAlign w:val="center"/>
            <w:hideMark/>
          </w:tcPr>
          <w:p w14:paraId="6EDD0906"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Monitorimi i ndotjes GES për transportin dhe aviacionin</w:t>
            </w:r>
          </w:p>
        </w:tc>
        <w:tc>
          <w:tcPr>
            <w:tcW w:w="900" w:type="dxa"/>
            <w:vAlign w:val="center"/>
            <w:hideMark/>
          </w:tcPr>
          <w:p w14:paraId="6EDD0907"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Pas hyrjes në fuqi</w:t>
            </w:r>
          </w:p>
        </w:tc>
        <w:tc>
          <w:tcPr>
            <w:tcW w:w="810" w:type="dxa"/>
            <w:vAlign w:val="center"/>
            <w:hideMark/>
          </w:tcPr>
          <w:p w14:paraId="6EDD0908"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Draftligji mbi Ndryshimet Klimatike</w:t>
            </w:r>
          </w:p>
        </w:tc>
        <w:tc>
          <w:tcPr>
            <w:tcW w:w="1260" w:type="dxa"/>
            <w:vAlign w:val="center"/>
          </w:tcPr>
          <w:p w14:paraId="6EDD0909"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Calibri"/>
                <w:sz w:val="18"/>
                <w:szCs w:val="18"/>
              </w:rPr>
            </w:pPr>
            <w:r w:rsidRPr="007114AF">
              <w:rPr>
                <w:rFonts w:ascii="Garamond" w:eastAsia="Times New Roman" w:hAnsi="Garamond" w:cs="Calibri"/>
                <w:sz w:val="18"/>
                <w:szCs w:val="18"/>
              </w:rPr>
              <w:t>Mundësuese</w:t>
            </w:r>
          </w:p>
        </w:tc>
        <w:tc>
          <w:tcPr>
            <w:tcW w:w="1080" w:type="dxa"/>
            <w:vAlign w:val="center"/>
            <w:hideMark/>
          </w:tcPr>
          <w:p w14:paraId="6EDD090A"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0.00</w:t>
            </w:r>
          </w:p>
        </w:tc>
        <w:tc>
          <w:tcPr>
            <w:tcW w:w="1260" w:type="dxa"/>
            <w:vAlign w:val="center"/>
            <w:hideMark/>
          </w:tcPr>
          <w:p w14:paraId="6EDD090B"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tc>
        <w:tc>
          <w:tcPr>
            <w:tcW w:w="1260" w:type="dxa"/>
            <w:vAlign w:val="center"/>
            <w:hideMark/>
          </w:tcPr>
          <w:p w14:paraId="6EDD090C"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tc>
        <w:tc>
          <w:tcPr>
            <w:tcW w:w="1080" w:type="dxa"/>
            <w:vAlign w:val="center"/>
            <w:hideMark/>
          </w:tcPr>
          <w:p w14:paraId="6EDD090D"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tc>
        <w:tc>
          <w:tcPr>
            <w:tcW w:w="1260" w:type="dxa"/>
            <w:vAlign w:val="center"/>
            <w:hideMark/>
          </w:tcPr>
          <w:p w14:paraId="6EDD090E"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tc>
        <w:tc>
          <w:tcPr>
            <w:tcW w:w="3150" w:type="dxa"/>
            <w:vAlign w:val="center"/>
            <w:hideMark/>
          </w:tcPr>
          <w:p w14:paraId="6EDD090F"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Asnjë impakt i drejtpërdrejtë mbi buxhetin qeveritar</w:t>
            </w:r>
          </w:p>
        </w:tc>
      </w:tr>
      <w:tr w:rsidR="00FB584C" w:rsidRPr="007114AF" w14:paraId="6EDD091C" w14:textId="77777777" w:rsidTr="00FB584C">
        <w:trPr>
          <w:cantSplit/>
          <w:trHeight w:val="20"/>
          <w:jc w:val="center"/>
        </w:trPr>
        <w:tc>
          <w:tcPr>
            <w:cnfStyle w:val="001000000000" w:firstRow="0" w:lastRow="0" w:firstColumn="1" w:lastColumn="0" w:oddVBand="0" w:evenVBand="0" w:oddHBand="0" w:evenHBand="0" w:firstRowFirstColumn="0" w:firstRowLastColumn="0" w:lastRowFirstColumn="0" w:lastRowLastColumn="0"/>
            <w:tcW w:w="534" w:type="dxa"/>
            <w:noWrap/>
            <w:vAlign w:val="center"/>
            <w:hideMark/>
          </w:tcPr>
          <w:p w14:paraId="6EDD0911" w14:textId="77777777" w:rsidR="00FB584C" w:rsidRPr="007114AF" w:rsidRDefault="00FB584C" w:rsidP="00FB584C">
            <w:pPr>
              <w:spacing w:after="0"/>
              <w:rPr>
                <w:rFonts w:ascii="Garamond" w:eastAsia="Times New Roman" w:hAnsi="Garamond" w:cs="Times New Roman"/>
                <w:b w:val="0"/>
                <w:bCs w:val="0"/>
                <w:sz w:val="18"/>
                <w:szCs w:val="18"/>
              </w:rPr>
            </w:pPr>
            <w:r w:rsidRPr="007114AF">
              <w:rPr>
                <w:rFonts w:ascii="Garamond" w:eastAsia="Times New Roman" w:hAnsi="Garamond" w:cs="Times New Roman"/>
                <w:sz w:val="18"/>
                <w:szCs w:val="18"/>
              </w:rPr>
              <w:lastRenderedPageBreak/>
              <w:t>T69</w:t>
            </w:r>
          </w:p>
        </w:tc>
        <w:tc>
          <w:tcPr>
            <w:tcW w:w="1813" w:type="dxa"/>
            <w:vAlign w:val="center"/>
            <w:hideMark/>
          </w:tcPr>
          <w:p w14:paraId="6EDD0912"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xml:space="preserve">Monitorimi i ndotjes GES për transportin rrugor </w:t>
            </w:r>
          </w:p>
        </w:tc>
        <w:tc>
          <w:tcPr>
            <w:tcW w:w="900" w:type="dxa"/>
            <w:vAlign w:val="center"/>
            <w:hideMark/>
          </w:tcPr>
          <w:p w14:paraId="6EDD0913"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Pas hyrjes në fuqi</w:t>
            </w:r>
          </w:p>
        </w:tc>
        <w:tc>
          <w:tcPr>
            <w:tcW w:w="810" w:type="dxa"/>
            <w:vAlign w:val="center"/>
            <w:hideMark/>
          </w:tcPr>
          <w:p w14:paraId="6EDD0914"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Draftligji mbi Ndryshimet Klimatike</w:t>
            </w:r>
          </w:p>
        </w:tc>
        <w:tc>
          <w:tcPr>
            <w:tcW w:w="1260" w:type="dxa"/>
            <w:vAlign w:val="center"/>
          </w:tcPr>
          <w:p w14:paraId="6EDD0915"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Calibri"/>
                <w:sz w:val="18"/>
                <w:szCs w:val="18"/>
              </w:rPr>
            </w:pPr>
          </w:p>
        </w:tc>
        <w:tc>
          <w:tcPr>
            <w:tcW w:w="1080" w:type="dxa"/>
            <w:vAlign w:val="center"/>
            <w:hideMark/>
          </w:tcPr>
          <w:p w14:paraId="6EDD0916"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0.00</w:t>
            </w:r>
          </w:p>
        </w:tc>
        <w:tc>
          <w:tcPr>
            <w:tcW w:w="1260" w:type="dxa"/>
            <w:vAlign w:val="center"/>
            <w:hideMark/>
          </w:tcPr>
          <w:p w14:paraId="6EDD0917"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tc>
        <w:tc>
          <w:tcPr>
            <w:tcW w:w="1260" w:type="dxa"/>
            <w:vAlign w:val="center"/>
            <w:hideMark/>
          </w:tcPr>
          <w:p w14:paraId="6EDD0918"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tc>
        <w:tc>
          <w:tcPr>
            <w:tcW w:w="1080" w:type="dxa"/>
            <w:vAlign w:val="center"/>
            <w:hideMark/>
          </w:tcPr>
          <w:p w14:paraId="6EDD0919"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tc>
        <w:tc>
          <w:tcPr>
            <w:tcW w:w="1260" w:type="dxa"/>
            <w:vAlign w:val="center"/>
            <w:hideMark/>
          </w:tcPr>
          <w:p w14:paraId="6EDD091A"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tc>
        <w:tc>
          <w:tcPr>
            <w:tcW w:w="3150" w:type="dxa"/>
            <w:vAlign w:val="center"/>
            <w:hideMark/>
          </w:tcPr>
          <w:p w14:paraId="6EDD091B" w14:textId="77777777" w:rsidR="00FB584C" w:rsidRPr="007114AF" w:rsidRDefault="00FB584C" w:rsidP="00FB584C">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Asnjë impakt i drejtpërdrejtë në buxhetin shtetëror. Drejtoria e Përgjithshme e Rrugëve dhe Shërbimeve të Transportit mund të prodhojë raporte periodike</w:t>
            </w:r>
          </w:p>
        </w:tc>
      </w:tr>
    </w:tbl>
    <w:p w14:paraId="6EDD091D" w14:textId="77777777" w:rsidR="005F61FA" w:rsidRPr="007114AF" w:rsidRDefault="005F61FA" w:rsidP="00524E98">
      <w:pPr>
        <w:pStyle w:val="TEKSTI"/>
      </w:pPr>
    </w:p>
    <w:p w14:paraId="6EDD091E" w14:textId="77777777" w:rsidR="00D61ADB" w:rsidRPr="007114AF" w:rsidRDefault="00D61ADB" w:rsidP="00D61ADB">
      <w:pPr>
        <w:pStyle w:val="TEKSTI"/>
        <w:rPr>
          <w:b/>
          <w:lang w:eastAsia="en-US"/>
        </w:rPr>
      </w:pPr>
      <w:bookmarkStart w:id="180" w:name="_Toc484424528"/>
      <w:r w:rsidRPr="007114AF">
        <w:rPr>
          <w:b/>
          <w:lang w:eastAsia="en-US"/>
        </w:rPr>
        <w:t>5.8.3 Bujqësi</w:t>
      </w:r>
      <w:bookmarkEnd w:id="180"/>
    </w:p>
    <w:tbl>
      <w:tblPr>
        <w:tblStyle w:val="GridTable1Light-Accent11"/>
        <w:tblW w:w="14443" w:type="dxa"/>
        <w:jc w:val="center"/>
        <w:tblLook w:val="04A0" w:firstRow="1" w:lastRow="0" w:firstColumn="1" w:lastColumn="0" w:noHBand="0" w:noVBand="1"/>
      </w:tblPr>
      <w:tblGrid>
        <w:gridCol w:w="491"/>
        <w:gridCol w:w="2007"/>
        <w:gridCol w:w="1274"/>
        <w:gridCol w:w="1109"/>
        <w:gridCol w:w="1094"/>
        <w:gridCol w:w="1237"/>
        <w:gridCol w:w="1135"/>
        <w:gridCol w:w="1094"/>
        <w:gridCol w:w="1094"/>
        <w:gridCol w:w="1172"/>
        <w:gridCol w:w="2736"/>
      </w:tblGrid>
      <w:tr w:rsidR="00D61ADB" w:rsidRPr="007114AF" w14:paraId="6EDD092A" w14:textId="77777777" w:rsidTr="00D61ADB">
        <w:trPr>
          <w:cnfStyle w:val="100000000000" w:firstRow="1" w:lastRow="0" w:firstColumn="0" w:lastColumn="0" w:oddVBand="0" w:evenVBand="0" w:oddHBand="0" w:evenHBand="0" w:firstRowFirstColumn="0" w:firstRowLastColumn="0" w:lastRowFirstColumn="0" w:lastRowLastColumn="0"/>
          <w:cantSplit/>
          <w:trHeight w:val="20"/>
          <w:tblHeader/>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6EDD091F" w14:textId="77777777" w:rsidR="00D61ADB" w:rsidRPr="007114AF" w:rsidRDefault="00D61ADB" w:rsidP="00D61ADB">
            <w:pPr>
              <w:spacing w:after="0"/>
              <w:rPr>
                <w:rFonts w:ascii="Garamond" w:eastAsia="Times New Roman" w:hAnsi="Garamond" w:cs="Times New Roman"/>
                <w:sz w:val="18"/>
                <w:szCs w:val="18"/>
              </w:rPr>
            </w:pPr>
            <w:r w:rsidRPr="007114AF">
              <w:rPr>
                <w:rFonts w:ascii="Garamond" w:eastAsia="Times New Roman" w:hAnsi="Garamond" w:cs="Times New Roman"/>
                <w:sz w:val="18"/>
                <w:szCs w:val="18"/>
              </w:rPr>
              <w:t>ID</w:t>
            </w:r>
          </w:p>
        </w:tc>
        <w:tc>
          <w:tcPr>
            <w:tcW w:w="0" w:type="auto"/>
            <w:vAlign w:val="center"/>
            <w:hideMark/>
          </w:tcPr>
          <w:p w14:paraId="6EDD0920" w14:textId="77777777" w:rsidR="00D61ADB" w:rsidRPr="007114AF" w:rsidRDefault="00D61ADB" w:rsidP="00D61ADB">
            <w:pPr>
              <w:spacing w:after="0"/>
              <w:cnfStyle w:val="100000000000" w:firstRow="1" w:lastRow="0" w:firstColumn="0" w:lastColumn="0" w:oddVBand="0" w:evenVBand="0" w:oddHBand="0" w:evenHBand="0" w:firstRowFirstColumn="0" w:firstRowLastColumn="0" w:lastRowFirstColumn="0" w:lastRowLastColumn="0"/>
              <w:rPr>
                <w:rFonts w:ascii="Garamond" w:eastAsia="Times New Roman" w:hAnsi="Garamond" w:cs="Times New Roman"/>
                <w:bCs w:val="0"/>
                <w:sz w:val="18"/>
                <w:szCs w:val="18"/>
              </w:rPr>
            </w:pPr>
            <w:r w:rsidRPr="007114AF">
              <w:rPr>
                <w:rFonts w:ascii="Garamond" w:eastAsia="Times New Roman" w:hAnsi="Garamond" w:cs="Times New Roman"/>
                <w:sz w:val="18"/>
                <w:szCs w:val="18"/>
              </w:rPr>
              <w:t>Masa</w:t>
            </w:r>
          </w:p>
        </w:tc>
        <w:tc>
          <w:tcPr>
            <w:tcW w:w="0" w:type="auto"/>
            <w:vAlign w:val="center"/>
            <w:hideMark/>
          </w:tcPr>
          <w:p w14:paraId="6EDD0921" w14:textId="77777777" w:rsidR="00D61ADB" w:rsidRPr="007114AF" w:rsidRDefault="00D61ADB" w:rsidP="00D61ADB">
            <w:pPr>
              <w:spacing w:after="0"/>
              <w:cnfStyle w:val="100000000000" w:firstRow="1" w:lastRow="0" w:firstColumn="0" w:lastColumn="0" w:oddVBand="0" w:evenVBand="0" w:oddHBand="0" w:evenHBand="0" w:firstRowFirstColumn="0" w:firstRowLastColumn="0" w:lastRowFirstColumn="0" w:lastRowLastColumn="0"/>
              <w:rPr>
                <w:rFonts w:ascii="Garamond" w:eastAsia="Times New Roman" w:hAnsi="Garamond" w:cs="Times New Roman"/>
                <w:bCs w:val="0"/>
                <w:sz w:val="18"/>
                <w:szCs w:val="18"/>
              </w:rPr>
            </w:pPr>
            <w:r w:rsidRPr="007114AF">
              <w:rPr>
                <w:rFonts w:ascii="Garamond" w:eastAsia="Times New Roman" w:hAnsi="Garamond" w:cs="Times New Roman"/>
                <w:sz w:val="18"/>
                <w:szCs w:val="18"/>
              </w:rPr>
              <w:t>Viti/periudha</w:t>
            </w:r>
          </w:p>
        </w:tc>
        <w:tc>
          <w:tcPr>
            <w:tcW w:w="0" w:type="auto"/>
            <w:vAlign w:val="center"/>
            <w:hideMark/>
          </w:tcPr>
          <w:p w14:paraId="6EDD0922" w14:textId="77777777" w:rsidR="00D61ADB" w:rsidRPr="007114AF" w:rsidRDefault="00D61ADB" w:rsidP="00D61ADB">
            <w:pPr>
              <w:spacing w:after="0"/>
              <w:cnfStyle w:val="100000000000" w:firstRow="1" w:lastRow="0" w:firstColumn="0" w:lastColumn="0" w:oddVBand="0" w:evenVBand="0" w:oddHBand="0" w:evenHBand="0" w:firstRowFirstColumn="0" w:firstRowLastColumn="0" w:lastRowFirstColumn="0" w:lastRowLastColumn="0"/>
              <w:rPr>
                <w:rFonts w:ascii="Garamond" w:eastAsia="Times New Roman" w:hAnsi="Garamond" w:cs="Times New Roman"/>
                <w:bCs w:val="0"/>
                <w:sz w:val="18"/>
                <w:szCs w:val="18"/>
              </w:rPr>
            </w:pPr>
            <w:r w:rsidRPr="007114AF">
              <w:rPr>
                <w:rFonts w:ascii="Garamond" w:eastAsia="Times New Roman" w:hAnsi="Garamond" w:cs="Times New Roman"/>
                <w:sz w:val="18"/>
                <w:szCs w:val="18"/>
              </w:rPr>
              <w:t>Burimi</w:t>
            </w:r>
          </w:p>
        </w:tc>
        <w:tc>
          <w:tcPr>
            <w:tcW w:w="0" w:type="auto"/>
            <w:vAlign w:val="center"/>
          </w:tcPr>
          <w:p w14:paraId="6EDD0923" w14:textId="77777777" w:rsidR="00D61ADB" w:rsidRPr="007114AF" w:rsidRDefault="00D61ADB" w:rsidP="00D61ADB">
            <w:pPr>
              <w:spacing w:after="0"/>
              <w:cnfStyle w:val="100000000000" w:firstRow="1" w:lastRow="0" w:firstColumn="0" w:lastColumn="0" w:oddVBand="0" w:evenVBand="0" w:oddHBand="0" w:evenHBand="0" w:firstRowFirstColumn="0" w:firstRowLastColumn="0" w:lastRowFirstColumn="0" w:lastRowLastColumn="0"/>
              <w:rPr>
                <w:rFonts w:ascii="Garamond" w:eastAsia="Times New Roman" w:hAnsi="Garamond" w:cs="Times New Roman"/>
                <w:bCs w:val="0"/>
                <w:sz w:val="18"/>
                <w:szCs w:val="18"/>
              </w:rPr>
            </w:pPr>
            <w:r w:rsidRPr="007114AF">
              <w:rPr>
                <w:rFonts w:ascii="Garamond" w:hAnsi="Garamond"/>
                <w:sz w:val="18"/>
                <w:szCs w:val="18"/>
              </w:rPr>
              <w:t>Lloji i efektit</w:t>
            </w:r>
          </w:p>
        </w:tc>
        <w:tc>
          <w:tcPr>
            <w:tcW w:w="0" w:type="auto"/>
            <w:vAlign w:val="center"/>
            <w:hideMark/>
          </w:tcPr>
          <w:p w14:paraId="6EDD0924" w14:textId="77777777" w:rsidR="00D61ADB" w:rsidRPr="007114AF" w:rsidRDefault="00D61ADB" w:rsidP="00D61ADB">
            <w:pPr>
              <w:spacing w:after="0"/>
              <w:cnfStyle w:val="100000000000" w:firstRow="1" w:lastRow="0" w:firstColumn="0" w:lastColumn="0" w:oddVBand="0" w:evenVBand="0" w:oddHBand="0" w:evenHBand="0" w:firstRowFirstColumn="0" w:firstRowLastColumn="0" w:lastRowFirstColumn="0" w:lastRowLastColumn="0"/>
              <w:rPr>
                <w:rFonts w:ascii="Garamond" w:eastAsia="Times New Roman" w:hAnsi="Garamond" w:cs="Times New Roman"/>
                <w:bCs w:val="0"/>
                <w:sz w:val="18"/>
                <w:szCs w:val="18"/>
              </w:rPr>
            </w:pPr>
            <w:r w:rsidRPr="007114AF">
              <w:rPr>
                <w:rFonts w:ascii="Garamond" w:eastAsia="Times New Roman" w:hAnsi="Garamond" w:cs="Times New Roman"/>
                <w:sz w:val="18"/>
                <w:szCs w:val="18"/>
              </w:rPr>
              <w:t>Kosto Totale në mijëra ALL</w:t>
            </w:r>
          </w:p>
        </w:tc>
        <w:tc>
          <w:tcPr>
            <w:tcW w:w="0" w:type="auto"/>
            <w:vAlign w:val="center"/>
            <w:hideMark/>
          </w:tcPr>
          <w:p w14:paraId="6EDD0925" w14:textId="77777777" w:rsidR="00D61ADB" w:rsidRPr="007114AF" w:rsidRDefault="00D61ADB" w:rsidP="00D61ADB">
            <w:pPr>
              <w:spacing w:after="0"/>
              <w:cnfStyle w:val="100000000000" w:firstRow="1" w:lastRow="0" w:firstColumn="0" w:lastColumn="0" w:oddVBand="0" w:evenVBand="0" w:oddHBand="0" w:evenHBand="0" w:firstRowFirstColumn="0" w:firstRowLastColumn="0" w:lastRowFirstColumn="0" w:lastRowLastColumn="0"/>
              <w:rPr>
                <w:rFonts w:ascii="Garamond" w:eastAsia="Times New Roman" w:hAnsi="Garamond" w:cs="Times New Roman"/>
                <w:bCs w:val="0"/>
                <w:sz w:val="18"/>
                <w:szCs w:val="18"/>
              </w:rPr>
            </w:pPr>
            <w:r w:rsidRPr="007114AF">
              <w:rPr>
                <w:rFonts w:ascii="Garamond" w:eastAsia="Times New Roman" w:hAnsi="Garamond" w:cs="Times New Roman"/>
                <w:sz w:val="18"/>
                <w:szCs w:val="18"/>
              </w:rPr>
              <w:t>Buxheti i Shtetit</w:t>
            </w:r>
          </w:p>
        </w:tc>
        <w:tc>
          <w:tcPr>
            <w:tcW w:w="0" w:type="auto"/>
            <w:vAlign w:val="center"/>
            <w:hideMark/>
          </w:tcPr>
          <w:p w14:paraId="6EDD0926" w14:textId="77777777" w:rsidR="00D61ADB" w:rsidRPr="007114AF" w:rsidRDefault="00D61ADB" w:rsidP="00D61ADB">
            <w:pPr>
              <w:spacing w:after="0"/>
              <w:cnfStyle w:val="100000000000" w:firstRow="1" w:lastRow="0" w:firstColumn="0" w:lastColumn="0" w:oddVBand="0" w:evenVBand="0" w:oddHBand="0" w:evenHBand="0" w:firstRowFirstColumn="0" w:firstRowLastColumn="0" w:lastRowFirstColumn="0" w:lastRowLastColumn="0"/>
              <w:rPr>
                <w:rFonts w:ascii="Garamond" w:eastAsia="Times New Roman" w:hAnsi="Garamond" w:cs="Times New Roman"/>
                <w:bCs w:val="0"/>
                <w:sz w:val="18"/>
                <w:szCs w:val="18"/>
              </w:rPr>
            </w:pPr>
            <w:r w:rsidRPr="007114AF">
              <w:rPr>
                <w:rFonts w:ascii="Garamond" w:eastAsia="Times New Roman" w:hAnsi="Garamond" w:cs="Times New Roman"/>
                <w:sz w:val="18"/>
                <w:szCs w:val="18"/>
              </w:rPr>
              <w:t>Donatorët</w:t>
            </w:r>
          </w:p>
        </w:tc>
        <w:tc>
          <w:tcPr>
            <w:tcW w:w="0" w:type="auto"/>
            <w:vAlign w:val="center"/>
            <w:hideMark/>
          </w:tcPr>
          <w:p w14:paraId="6EDD0927" w14:textId="77777777" w:rsidR="00D61ADB" w:rsidRPr="007114AF" w:rsidRDefault="00D61ADB" w:rsidP="00D61ADB">
            <w:pPr>
              <w:spacing w:after="0"/>
              <w:cnfStyle w:val="100000000000" w:firstRow="1" w:lastRow="0" w:firstColumn="0" w:lastColumn="0" w:oddVBand="0" w:evenVBand="0" w:oddHBand="0" w:evenHBand="0" w:firstRowFirstColumn="0" w:firstRowLastColumn="0" w:lastRowFirstColumn="0" w:lastRowLastColumn="0"/>
              <w:rPr>
                <w:rFonts w:ascii="Garamond" w:eastAsia="Times New Roman" w:hAnsi="Garamond" w:cs="Times New Roman"/>
                <w:bCs w:val="0"/>
                <w:sz w:val="18"/>
                <w:szCs w:val="18"/>
              </w:rPr>
            </w:pPr>
            <w:r w:rsidRPr="007114AF">
              <w:rPr>
                <w:rFonts w:ascii="Garamond" w:eastAsia="Times New Roman" w:hAnsi="Garamond" w:cs="Times New Roman"/>
                <w:sz w:val="18"/>
                <w:szCs w:val="18"/>
              </w:rPr>
              <w:t>Tjetër</w:t>
            </w:r>
          </w:p>
        </w:tc>
        <w:tc>
          <w:tcPr>
            <w:tcW w:w="0" w:type="auto"/>
            <w:vAlign w:val="center"/>
            <w:hideMark/>
          </w:tcPr>
          <w:p w14:paraId="6EDD0928" w14:textId="77777777" w:rsidR="00D61ADB" w:rsidRPr="007114AF" w:rsidRDefault="00D61ADB" w:rsidP="00D61ADB">
            <w:pPr>
              <w:spacing w:after="0"/>
              <w:cnfStyle w:val="100000000000" w:firstRow="1" w:lastRow="0" w:firstColumn="0" w:lastColumn="0" w:oddVBand="0" w:evenVBand="0" w:oddHBand="0" w:evenHBand="0" w:firstRowFirstColumn="0" w:firstRowLastColumn="0" w:lastRowFirstColumn="0" w:lastRowLastColumn="0"/>
              <w:rPr>
                <w:rFonts w:ascii="Garamond" w:eastAsia="Times New Roman" w:hAnsi="Garamond" w:cs="Times New Roman"/>
                <w:bCs w:val="0"/>
                <w:sz w:val="18"/>
                <w:szCs w:val="18"/>
              </w:rPr>
            </w:pPr>
            <w:r w:rsidRPr="007114AF">
              <w:rPr>
                <w:rFonts w:ascii="Garamond" w:eastAsia="Times New Roman" w:hAnsi="Garamond" w:cs="Times New Roman"/>
                <w:sz w:val="18"/>
                <w:szCs w:val="18"/>
              </w:rPr>
              <w:t>Hapësira Financiare</w:t>
            </w:r>
          </w:p>
        </w:tc>
        <w:tc>
          <w:tcPr>
            <w:tcW w:w="0" w:type="auto"/>
            <w:vAlign w:val="center"/>
            <w:hideMark/>
          </w:tcPr>
          <w:p w14:paraId="6EDD0929" w14:textId="77777777" w:rsidR="00D61ADB" w:rsidRPr="007114AF" w:rsidRDefault="00D61ADB" w:rsidP="00D61ADB">
            <w:pPr>
              <w:spacing w:after="0"/>
              <w:cnfStyle w:val="100000000000" w:firstRow="1" w:lastRow="0" w:firstColumn="0" w:lastColumn="0" w:oddVBand="0" w:evenVBand="0" w:oddHBand="0" w:evenHBand="0" w:firstRowFirstColumn="0" w:firstRowLastColumn="0" w:lastRowFirstColumn="0" w:lastRowLastColumn="0"/>
              <w:rPr>
                <w:rFonts w:ascii="Garamond" w:eastAsia="Times New Roman" w:hAnsi="Garamond" w:cs="Times New Roman"/>
                <w:bCs w:val="0"/>
                <w:sz w:val="18"/>
                <w:szCs w:val="18"/>
              </w:rPr>
            </w:pPr>
            <w:r w:rsidRPr="007114AF">
              <w:rPr>
                <w:rFonts w:ascii="Garamond" w:eastAsia="Times New Roman" w:hAnsi="Garamond" w:cs="Times New Roman"/>
                <w:sz w:val="18"/>
                <w:szCs w:val="18"/>
              </w:rPr>
              <w:t>Shënim mbi kostot</w:t>
            </w:r>
          </w:p>
        </w:tc>
      </w:tr>
      <w:tr w:rsidR="00D61ADB" w:rsidRPr="007114AF" w14:paraId="6EDD0936" w14:textId="77777777" w:rsidTr="00D61ADB">
        <w:trPr>
          <w:trHeight w:val="694"/>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6EDD092B" w14:textId="77777777" w:rsidR="00D61ADB" w:rsidRPr="007114AF" w:rsidRDefault="00D61ADB" w:rsidP="00D61ADB">
            <w:pPr>
              <w:spacing w:after="0"/>
              <w:rPr>
                <w:rFonts w:ascii="Garamond" w:eastAsia="Times New Roman" w:hAnsi="Garamond" w:cs="Times New Roman"/>
                <w:sz w:val="18"/>
                <w:szCs w:val="18"/>
              </w:rPr>
            </w:pPr>
            <w:r w:rsidRPr="007114AF">
              <w:rPr>
                <w:rFonts w:ascii="Garamond" w:eastAsia="Times New Roman" w:hAnsi="Garamond" w:cs="Times New Roman"/>
                <w:sz w:val="18"/>
                <w:szCs w:val="18"/>
              </w:rPr>
              <w:t>A1</w:t>
            </w:r>
          </w:p>
        </w:tc>
        <w:tc>
          <w:tcPr>
            <w:tcW w:w="0" w:type="auto"/>
            <w:vAlign w:val="center"/>
            <w:hideMark/>
          </w:tcPr>
          <w:p w14:paraId="6EDD092C" w14:textId="77777777" w:rsidR="00D61ADB" w:rsidRPr="007114AF" w:rsidRDefault="00D61ADB" w:rsidP="00D61ADB">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Paraqitja, ruajtja dhe rritja e elementeve agro-pyjorë</w:t>
            </w:r>
          </w:p>
        </w:tc>
        <w:tc>
          <w:tcPr>
            <w:tcW w:w="0" w:type="auto"/>
            <w:vAlign w:val="center"/>
            <w:hideMark/>
          </w:tcPr>
          <w:p w14:paraId="6EDD092D" w14:textId="77777777" w:rsidR="00D61ADB" w:rsidRPr="007114AF" w:rsidRDefault="00D61ADB" w:rsidP="00D61ADB">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2016-2020</w:t>
            </w:r>
          </w:p>
        </w:tc>
        <w:tc>
          <w:tcPr>
            <w:tcW w:w="0" w:type="auto"/>
            <w:vAlign w:val="center"/>
            <w:hideMark/>
          </w:tcPr>
          <w:p w14:paraId="6EDD092E" w14:textId="77777777" w:rsidR="00D61ADB" w:rsidRPr="007114AF" w:rsidRDefault="00D61ADB" w:rsidP="00D61ADB">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Draft KTK; PKT</w:t>
            </w:r>
          </w:p>
        </w:tc>
        <w:tc>
          <w:tcPr>
            <w:tcW w:w="0" w:type="auto"/>
            <w:vAlign w:val="center"/>
          </w:tcPr>
          <w:p w14:paraId="6EDD092F" w14:textId="77777777" w:rsidR="00D61ADB" w:rsidRPr="007114AF" w:rsidRDefault="00D61ADB" w:rsidP="00D61ADB">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hAnsi="Garamond"/>
                <w:sz w:val="18"/>
                <w:szCs w:val="18"/>
              </w:rPr>
              <w:t>Direkte</w:t>
            </w:r>
          </w:p>
        </w:tc>
        <w:tc>
          <w:tcPr>
            <w:tcW w:w="0" w:type="auto"/>
            <w:hideMark/>
          </w:tcPr>
          <w:p w14:paraId="6EDD0930" w14:textId="77777777" w:rsidR="00D61ADB" w:rsidRPr="007114AF" w:rsidRDefault="00D61ADB" w:rsidP="00D61ADB">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hAnsi="Garamond"/>
                <w:sz w:val="18"/>
                <w:szCs w:val="18"/>
              </w:rPr>
              <w:t>419.900,00</w:t>
            </w:r>
          </w:p>
        </w:tc>
        <w:tc>
          <w:tcPr>
            <w:tcW w:w="0" w:type="auto"/>
            <w:noWrap/>
            <w:hideMark/>
          </w:tcPr>
          <w:p w14:paraId="6EDD0931" w14:textId="77777777" w:rsidR="00D61ADB" w:rsidRPr="007114AF" w:rsidRDefault="00D61ADB" w:rsidP="00D61ADB">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hAnsi="Garamond"/>
                <w:sz w:val="18"/>
                <w:szCs w:val="18"/>
              </w:rPr>
              <w:t>341.863,00</w:t>
            </w:r>
          </w:p>
        </w:tc>
        <w:tc>
          <w:tcPr>
            <w:tcW w:w="0" w:type="auto"/>
            <w:noWrap/>
            <w:hideMark/>
          </w:tcPr>
          <w:p w14:paraId="6EDD0932" w14:textId="77777777" w:rsidR="00D61ADB" w:rsidRPr="007114AF" w:rsidRDefault="00D61ADB" w:rsidP="00D61ADB">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hAnsi="Garamond"/>
                <w:sz w:val="18"/>
                <w:szCs w:val="18"/>
              </w:rPr>
              <w:t> </w:t>
            </w:r>
          </w:p>
        </w:tc>
        <w:tc>
          <w:tcPr>
            <w:tcW w:w="0" w:type="auto"/>
            <w:noWrap/>
            <w:hideMark/>
          </w:tcPr>
          <w:p w14:paraId="6EDD0933" w14:textId="77777777" w:rsidR="00D61ADB" w:rsidRPr="007114AF" w:rsidRDefault="00D61ADB" w:rsidP="00D61ADB">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hAnsi="Garamond"/>
                <w:sz w:val="18"/>
                <w:szCs w:val="18"/>
              </w:rPr>
              <w:t>78.037,00</w:t>
            </w:r>
          </w:p>
        </w:tc>
        <w:tc>
          <w:tcPr>
            <w:tcW w:w="0" w:type="auto"/>
            <w:noWrap/>
            <w:hideMark/>
          </w:tcPr>
          <w:p w14:paraId="6EDD0934" w14:textId="77777777" w:rsidR="00D61ADB" w:rsidRPr="007114AF" w:rsidRDefault="00D61ADB" w:rsidP="00D61ADB">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hAnsi="Garamond"/>
                <w:color w:val="FF0000"/>
                <w:sz w:val="18"/>
                <w:szCs w:val="18"/>
              </w:rPr>
              <w:t> </w:t>
            </w:r>
          </w:p>
        </w:tc>
        <w:tc>
          <w:tcPr>
            <w:tcW w:w="0" w:type="auto"/>
            <w:hideMark/>
          </w:tcPr>
          <w:p w14:paraId="6EDD0935" w14:textId="25E3D02D" w:rsidR="00D61ADB" w:rsidRPr="007114AF" w:rsidRDefault="00D61ADB" w:rsidP="00D61ADB">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hAnsi="Garamond"/>
                <w:sz w:val="18"/>
                <w:szCs w:val="18"/>
              </w:rPr>
              <w:t>Kostoja mund të jetë 3,000 euro/ha.Fondi Rajonal I zhvillimit 338,137) MoE (3,726), LGU</w:t>
            </w:r>
            <w:r w:rsidR="000A2A01" w:rsidRPr="007114AF">
              <w:rPr>
                <w:rFonts w:ascii="Garamond" w:hAnsi="Garamond"/>
                <w:sz w:val="18"/>
                <w:szCs w:val="18"/>
              </w:rPr>
              <w:t xml:space="preserve"> </w:t>
            </w:r>
            <w:r w:rsidRPr="007114AF">
              <w:rPr>
                <w:rFonts w:ascii="Garamond" w:hAnsi="Garamond"/>
                <w:sz w:val="18"/>
                <w:szCs w:val="18"/>
              </w:rPr>
              <w:t>(78,037)</w:t>
            </w:r>
          </w:p>
        </w:tc>
      </w:tr>
      <w:tr w:rsidR="00D61ADB" w:rsidRPr="007114AF" w14:paraId="6EDD094C" w14:textId="77777777" w:rsidTr="00D61ADB">
        <w:trPr>
          <w:trHeight w:val="981"/>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6EDD0937" w14:textId="77777777" w:rsidR="00D61ADB" w:rsidRPr="007114AF" w:rsidRDefault="00D61ADB" w:rsidP="00D61ADB">
            <w:pPr>
              <w:spacing w:after="0"/>
              <w:rPr>
                <w:rFonts w:ascii="Garamond" w:eastAsia="Times New Roman" w:hAnsi="Garamond" w:cs="Times New Roman"/>
                <w:sz w:val="18"/>
                <w:szCs w:val="18"/>
              </w:rPr>
            </w:pPr>
            <w:r w:rsidRPr="007114AF">
              <w:rPr>
                <w:rFonts w:ascii="Garamond" w:eastAsia="Times New Roman" w:hAnsi="Garamond" w:cs="Times New Roman"/>
                <w:sz w:val="18"/>
                <w:szCs w:val="18"/>
              </w:rPr>
              <w:t>A2</w:t>
            </w:r>
          </w:p>
        </w:tc>
        <w:tc>
          <w:tcPr>
            <w:tcW w:w="0" w:type="auto"/>
            <w:vAlign w:val="center"/>
            <w:hideMark/>
          </w:tcPr>
          <w:p w14:paraId="6EDD0938" w14:textId="77777777" w:rsidR="00D61ADB" w:rsidRPr="007114AF" w:rsidRDefault="00D61ADB" w:rsidP="00D61ADB">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xml:space="preserve">Përmirësimi i menaxhimit të blektorisë me qëllim uljen e shkarkimittë metanit </w:t>
            </w:r>
          </w:p>
        </w:tc>
        <w:tc>
          <w:tcPr>
            <w:tcW w:w="0" w:type="auto"/>
            <w:vAlign w:val="center"/>
            <w:hideMark/>
          </w:tcPr>
          <w:p w14:paraId="6EDD0939" w14:textId="77777777" w:rsidR="00D61ADB" w:rsidRPr="007114AF" w:rsidRDefault="00D61ADB" w:rsidP="00D61ADB">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2016-2020</w:t>
            </w:r>
          </w:p>
        </w:tc>
        <w:tc>
          <w:tcPr>
            <w:tcW w:w="0" w:type="auto"/>
            <w:vAlign w:val="center"/>
            <w:hideMark/>
          </w:tcPr>
          <w:p w14:paraId="6EDD093A" w14:textId="77777777" w:rsidR="00D61ADB" w:rsidRPr="007114AF" w:rsidRDefault="00D61ADB" w:rsidP="00D61ADB">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KTK</w:t>
            </w:r>
          </w:p>
        </w:tc>
        <w:tc>
          <w:tcPr>
            <w:tcW w:w="0" w:type="auto"/>
            <w:vAlign w:val="center"/>
          </w:tcPr>
          <w:p w14:paraId="6EDD093B" w14:textId="77777777" w:rsidR="00D61ADB" w:rsidRPr="007114AF" w:rsidRDefault="00D61ADB" w:rsidP="00D61ADB">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hAnsi="Garamond"/>
                <w:sz w:val="18"/>
                <w:szCs w:val="18"/>
              </w:rPr>
              <w:t>Direkte</w:t>
            </w:r>
          </w:p>
        </w:tc>
        <w:tc>
          <w:tcPr>
            <w:tcW w:w="0" w:type="auto"/>
            <w:noWrap/>
            <w:vAlign w:val="center"/>
            <w:hideMark/>
          </w:tcPr>
          <w:p w14:paraId="6EDD093C" w14:textId="77777777" w:rsidR="00D61ADB" w:rsidRPr="007114AF" w:rsidRDefault="00D61ADB" w:rsidP="00D61ADB">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343,250.00</w:t>
            </w:r>
          </w:p>
          <w:p w14:paraId="6EDD093D" w14:textId="77777777" w:rsidR="00D61ADB" w:rsidRPr="007114AF" w:rsidRDefault="00D61ADB" w:rsidP="00D61ADB">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p w14:paraId="6EDD093E" w14:textId="77777777" w:rsidR="00D61ADB" w:rsidRPr="007114AF" w:rsidRDefault="00D61ADB" w:rsidP="00D61ADB">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tc>
        <w:tc>
          <w:tcPr>
            <w:tcW w:w="0" w:type="auto"/>
            <w:noWrap/>
            <w:vAlign w:val="center"/>
            <w:hideMark/>
          </w:tcPr>
          <w:p w14:paraId="6EDD093F" w14:textId="77777777" w:rsidR="00D61ADB" w:rsidRPr="007114AF" w:rsidRDefault="00D61ADB" w:rsidP="00D61ADB">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p w14:paraId="6EDD0940" w14:textId="77777777" w:rsidR="00D61ADB" w:rsidRPr="007114AF" w:rsidRDefault="00D61ADB" w:rsidP="00D61ADB">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p w14:paraId="6EDD0941" w14:textId="77777777" w:rsidR="00D61ADB" w:rsidRPr="007114AF" w:rsidRDefault="00D61ADB" w:rsidP="00D61ADB">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tc>
        <w:tc>
          <w:tcPr>
            <w:tcW w:w="0" w:type="auto"/>
            <w:noWrap/>
            <w:vAlign w:val="center"/>
            <w:hideMark/>
          </w:tcPr>
          <w:p w14:paraId="6EDD0942" w14:textId="77777777" w:rsidR="00D61ADB" w:rsidRPr="007114AF" w:rsidRDefault="00D61ADB" w:rsidP="00D61ADB">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p w14:paraId="6EDD0943" w14:textId="77777777" w:rsidR="00D61ADB" w:rsidRPr="007114AF" w:rsidRDefault="00D61ADB" w:rsidP="00D61ADB">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p w14:paraId="6EDD0944" w14:textId="77777777" w:rsidR="00D61ADB" w:rsidRPr="007114AF" w:rsidRDefault="00D61ADB" w:rsidP="00D61ADB">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tc>
        <w:tc>
          <w:tcPr>
            <w:tcW w:w="0" w:type="auto"/>
            <w:noWrap/>
            <w:vAlign w:val="center"/>
            <w:hideMark/>
          </w:tcPr>
          <w:p w14:paraId="6EDD0945" w14:textId="77777777" w:rsidR="00D61ADB" w:rsidRPr="007114AF" w:rsidRDefault="00D61ADB" w:rsidP="00D61ADB">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p w14:paraId="6EDD0946" w14:textId="77777777" w:rsidR="00D61ADB" w:rsidRPr="007114AF" w:rsidRDefault="00D61ADB" w:rsidP="00D61ADB">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p w14:paraId="6EDD0947" w14:textId="77777777" w:rsidR="00D61ADB" w:rsidRPr="007114AF" w:rsidRDefault="00D61ADB" w:rsidP="00D61ADB">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tc>
        <w:tc>
          <w:tcPr>
            <w:tcW w:w="0" w:type="auto"/>
            <w:noWrap/>
            <w:vAlign w:val="center"/>
            <w:hideMark/>
          </w:tcPr>
          <w:p w14:paraId="6EDD0948" w14:textId="77777777" w:rsidR="00D61ADB" w:rsidRPr="007114AF" w:rsidRDefault="00D61ADB" w:rsidP="00D61ADB">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343,250.00</w:t>
            </w:r>
          </w:p>
          <w:p w14:paraId="6EDD0949" w14:textId="77777777" w:rsidR="00D61ADB" w:rsidRPr="007114AF" w:rsidRDefault="00D61ADB" w:rsidP="00D61ADB">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p w14:paraId="6EDD094A" w14:textId="77777777" w:rsidR="00D61ADB" w:rsidRPr="007114AF" w:rsidRDefault="00D61ADB" w:rsidP="00D61ADB">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tc>
        <w:tc>
          <w:tcPr>
            <w:tcW w:w="0" w:type="auto"/>
            <w:vAlign w:val="center"/>
            <w:hideMark/>
          </w:tcPr>
          <w:p w14:paraId="6EDD094B" w14:textId="77777777" w:rsidR="00D61ADB" w:rsidRPr="007114AF" w:rsidRDefault="00D61ADB" w:rsidP="00D61ADB">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Nuk ka rezultat të planëzuar për këtë masë në buxhetin afat mesëm. Nuk ka një impakt të parashikuar në buxhetin shtetëror </w:t>
            </w:r>
          </w:p>
        </w:tc>
      </w:tr>
      <w:tr w:rsidR="00D61ADB" w:rsidRPr="007114AF" w14:paraId="6EDD0958" w14:textId="77777777" w:rsidTr="00D61ADB">
        <w:trPr>
          <w:trHeight w:val="20"/>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6EDD094D" w14:textId="77777777" w:rsidR="00D61ADB" w:rsidRPr="007114AF" w:rsidRDefault="00D61ADB" w:rsidP="00D61ADB">
            <w:pPr>
              <w:spacing w:after="0"/>
              <w:rPr>
                <w:rFonts w:ascii="Garamond" w:eastAsia="Times New Roman" w:hAnsi="Garamond" w:cs="Times New Roman"/>
                <w:sz w:val="18"/>
                <w:szCs w:val="18"/>
              </w:rPr>
            </w:pPr>
            <w:r w:rsidRPr="007114AF">
              <w:rPr>
                <w:rFonts w:ascii="Garamond" w:eastAsia="Times New Roman" w:hAnsi="Garamond" w:cs="Times New Roman"/>
                <w:sz w:val="18"/>
                <w:szCs w:val="18"/>
              </w:rPr>
              <w:t>A3</w:t>
            </w:r>
          </w:p>
        </w:tc>
        <w:tc>
          <w:tcPr>
            <w:tcW w:w="0" w:type="auto"/>
            <w:vAlign w:val="center"/>
            <w:hideMark/>
          </w:tcPr>
          <w:p w14:paraId="6EDD094E" w14:textId="77777777" w:rsidR="00D61ADB" w:rsidRPr="007114AF" w:rsidRDefault="00D61ADB" w:rsidP="00D61ADB">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Mobilimi i tokës bujqësore</w:t>
            </w:r>
          </w:p>
        </w:tc>
        <w:tc>
          <w:tcPr>
            <w:tcW w:w="0" w:type="auto"/>
            <w:vAlign w:val="center"/>
            <w:hideMark/>
          </w:tcPr>
          <w:p w14:paraId="6EDD094F" w14:textId="77777777" w:rsidR="00D61ADB" w:rsidRPr="007114AF" w:rsidRDefault="00D61ADB" w:rsidP="00D61ADB">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2016-2020</w:t>
            </w:r>
          </w:p>
        </w:tc>
        <w:tc>
          <w:tcPr>
            <w:tcW w:w="0" w:type="auto"/>
            <w:vAlign w:val="center"/>
            <w:hideMark/>
          </w:tcPr>
          <w:p w14:paraId="6EDD0950" w14:textId="77777777" w:rsidR="00D61ADB" w:rsidRPr="007114AF" w:rsidRDefault="00D61ADB" w:rsidP="00D61ADB">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SMNS; KTK</w:t>
            </w:r>
          </w:p>
        </w:tc>
        <w:tc>
          <w:tcPr>
            <w:tcW w:w="0" w:type="auto"/>
            <w:vAlign w:val="center"/>
          </w:tcPr>
          <w:p w14:paraId="6EDD0951" w14:textId="77777777" w:rsidR="00D61ADB" w:rsidRPr="007114AF" w:rsidRDefault="00D61ADB" w:rsidP="00D61ADB">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hAnsi="Garamond"/>
                <w:sz w:val="18"/>
                <w:szCs w:val="18"/>
              </w:rPr>
              <w:t>Direkte</w:t>
            </w:r>
          </w:p>
        </w:tc>
        <w:tc>
          <w:tcPr>
            <w:tcW w:w="0" w:type="auto"/>
            <w:vAlign w:val="center"/>
            <w:hideMark/>
          </w:tcPr>
          <w:p w14:paraId="6EDD0952" w14:textId="77777777" w:rsidR="00D61ADB" w:rsidRPr="007114AF" w:rsidRDefault="00D61ADB" w:rsidP="00D61ADB">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186,728.00</w:t>
            </w:r>
          </w:p>
        </w:tc>
        <w:tc>
          <w:tcPr>
            <w:tcW w:w="0" w:type="auto"/>
            <w:noWrap/>
            <w:vAlign w:val="center"/>
            <w:hideMark/>
          </w:tcPr>
          <w:p w14:paraId="6EDD0953" w14:textId="77777777" w:rsidR="00D61ADB" w:rsidRPr="007114AF" w:rsidRDefault="00D61ADB" w:rsidP="00D61ADB">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tc>
        <w:tc>
          <w:tcPr>
            <w:tcW w:w="0" w:type="auto"/>
            <w:noWrap/>
            <w:vAlign w:val="center"/>
            <w:hideMark/>
          </w:tcPr>
          <w:p w14:paraId="6EDD0954" w14:textId="77777777" w:rsidR="00D61ADB" w:rsidRPr="007114AF" w:rsidRDefault="00D61ADB" w:rsidP="00D61ADB">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186,728.00</w:t>
            </w:r>
          </w:p>
        </w:tc>
        <w:tc>
          <w:tcPr>
            <w:tcW w:w="0" w:type="auto"/>
            <w:noWrap/>
            <w:vAlign w:val="center"/>
            <w:hideMark/>
          </w:tcPr>
          <w:p w14:paraId="6EDD0955" w14:textId="77777777" w:rsidR="00D61ADB" w:rsidRPr="007114AF" w:rsidRDefault="00D61ADB" w:rsidP="00D61ADB">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tc>
        <w:tc>
          <w:tcPr>
            <w:tcW w:w="0" w:type="auto"/>
            <w:noWrap/>
            <w:vAlign w:val="center"/>
            <w:hideMark/>
          </w:tcPr>
          <w:p w14:paraId="6EDD0956" w14:textId="77777777" w:rsidR="00D61ADB" w:rsidRPr="007114AF" w:rsidRDefault="00D61ADB" w:rsidP="00D61ADB">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tc>
        <w:tc>
          <w:tcPr>
            <w:tcW w:w="0" w:type="auto"/>
            <w:vAlign w:val="center"/>
            <w:hideMark/>
          </w:tcPr>
          <w:p w14:paraId="6EDD0957" w14:textId="77777777" w:rsidR="00D61ADB" w:rsidRPr="007114AF" w:rsidRDefault="00D61ADB" w:rsidP="00D61ADB">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Përbërësi 2 i WB-ës borxhit Planëzimit dhe dhënies së granteve si IPARD-20% e totalit (Pjesë e buxhetit shtetëror e parashikuar nga SMNS për periudhën 2015-2020)</w:t>
            </w:r>
            <w:r w:rsidRPr="007114AF">
              <w:rPr>
                <w:rFonts w:ascii="Garamond" w:eastAsia="Times New Roman" w:hAnsi="Garamond" w:cs="Times New Roman"/>
                <w:sz w:val="18"/>
                <w:szCs w:val="18"/>
              </w:rPr>
              <w:br/>
              <w:t>për të përmirësuar menaxhimin e kohës</w:t>
            </w:r>
          </w:p>
        </w:tc>
      </w:tr>
      <w:tr w:rsidR="00D61ADB" w:rsidRPr="007114AF" w14:paraId="6EDD0964" w14:textId="77777777" w:rsidTr="00D61ADB">
        <w:trPr>
          <w:trHeight w:val="20"/>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6EDD0959" w14:textId="77777777" w:rsidR="00D61ADB" w:rsidRPr="007114AF" w:rsidRDefault="00D61ADB" w:rsidP="00D61ADB">
            <w:pPr>
              <w:spacing w:after="0"/>
              <w:rPr>
                <w:rFonts w:ascii="Garamond" w:eastAsia="Times New Roman" w:hAnsi="Garamond" w:cs="Times New Roman"/>
                <w:sz w:val="18"/>
                <w:szCs w:val="18"/>
              </w:rPr>
            </w:pPr>
            <w:r w:rsidRPr="007114AF">
              <w:rPr>
                <w:rFonts w:ascii="Garamond" w:eastAsia="Times New Roman" w:hAnsi="Garamond" w:cs="Times New Roman"/>
                <w:sz w:val="18"/>
                <w:szCs w:val="18"/>
              </w:rPr>
              <w:t>A4</w:t>
            </w:r>
          </w:p>
        </w:tc>
        <w:tc>
          <w:tcPr>
            <w:tcW w:w="0" w:type="auto"/>
            <w:vAlign w:val="center"/>
            <w:hideMark/>
          </w:tcPr>
          <w:p w14:paraId="6EDD095A" w14:textId="77777777" w:rsidR="00D61ADB" w:rsidRPr="007114AF" w:rsidRDefault="00D61ADB" w:rsidP="00D61ADB">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Ndotje të ulëta dhe kultivim i qëndrueshëm ibimëve aromatike mjekësore</w:t>
            </w:r>
          </w:p>
        </w:tc>
        <w:tc>
          <w:tcPr>
            <w:tcW w:w="0" w:type="auto"/>
            <w:vAlign w:val="center"/>
            <w:hideMark/>
          </w:tcPr>
          <w:p w14:paraId="6EDD095B" w14:textId="77777777" w:rsidR="00D61ADB" w:rsidRPr="007114AF" w:rsidRDefault="00D61ADB" w:rsidP="00D61ADB">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2016-2020</w:t>
            </w:r>
          </w:p>
        </w:tc>
        <w:tc>
          <w:tcPr>
            <w:tcW w:w="0" w:type="auto"/>
            <w:vAlign w:val="center"/>
            <w:hideMark/>
          </w:tcPr>
          <w:p w14:paraId="6EDD095C" w14:textId="77777777" w:rsidR="00D61ADB" w:rsidRPr="007114AF" w:rsidRDefault="00D61ADB" w:rsidP="00D61ADB">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PKT; SNBZHR</w:t>
            </w:r>
          </w:p>
        </w:tc>
        <w:tc>
          <w:tcPr>
            <w:tcW w:w="0" w:type="auto"/>
            <w:vAlign w:val="center"/>
          </w:tcPr>
          <w:p w14:paraId="6EDD095D" w14:textId="77777777" w:rsidR="00D61ADB" w:rsidRPr="007114AF" w:rsidRDefault="00D61ADB" w:rsidP="00D61ADB">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hAnsi="Garamond"/>
                <w:sz w:val="18"/>
                <w:szCs w:val="18"/>
              </w:rPr>
              <w:t>Direkte</w:t>
            </w:r>
          </w:p>
        </w:tc>
        <w:tc>
          <w:tcPr>
            <w:tcW w:w="0" w:type="auto"/>
            <w:vAlign w:val="center"/>
            <w:hideMark/>
          </w:tcPr>
          <w:p w14:paraId="6EDD095E" w14:textId="77777777" w:rsidR="00D61ADB" w:rsidRPr="007114AF" w:rsidRDefault="00D61ADB" w:rsidP="00D61ADB">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970,253</w:t>
            </w:r>
          </w:p>
        </w:tc>
        <w:tc>
          <w:tcPr>
            <w:tcW w:w="0" w:type="auto"/>
            <w:noWrap/>
            <w:vAlign w:val="center"/>
            <w:hideMark/>
          </w:tcPr>
          <w:p w14:paraId="6EDD095F" w14:textId="77777777" w:rsidR="00D61ADB" w:rsidRPr="007114AF" w:rsidRDefault="00D61ADB" w:rsidP="00D61ADB">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tc>
        <w:tc>
          <w:tcPr>
            <w:tcW w:w="0" w:type="auto"/>
            <w:noWrap/>
            <w:vAlign w:val="center"/>
            <w:hideMark/>
          </w:tcPr>
          <w:p w14:paraId="6EDD0960" w14:textId="77777777" w:rsidR="00D61ADB" w:rsidRPr="007114AF" w:rsidRDefault="00D61ADB" w:rsidP="00D61ADB">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970,253.00</w:t>
            </w:r>
          </w:p>
        </w:tc>
        <w:tc>
          <w:tcPr>
            <w:tcW w:w="0" w:type="auto"/>
            <w:noWrap/>
            <w:vAlign w:val="center"/>
            <w:hideMark/>
          </w:tcPr>
          <w:p w14:paraId="6EDD0961" w14:textId="77777777" w:rsidR="00D61ADB" w:rsidRPr="007114AF" w:rsidRDefault="00D61ADB" w:rsidP="00D61ADB">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tc>
        <w:tc>
          <w:tcPr>
            <w:tcW w:w="0" w:type="auto"/>
            <w:noWrap/>
            <w:vAlign w:val="center"/>
            <w:hideMark/>
          </w:tcPr>
          <w:p w14:paraId="6EDD0962" w14:textId="77777777" w:rsidR="00D61ADB" w:rsidRPr="007114AF" w:rsidRDefault="00D61ADB" w:rsidP="00D61ADB">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tc>
        <w:tc>
          <w:tcPr>
            <w:tcW w:w="0" w:type="auto"/>
            <w:vAlign w:val="center"/>
            <w:hideMark/>
          </w:tcPr>
          <w:p w14:paraId="6EDD0963" w14:textId="77777777" w:rsidR="00D61ADB" w:rsidRPr="007114AF" w:rsidRDefault="00D61ADB" w:rsidP="00D61ADB">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Pjesë e buxhetit vjetor të dhënë për IPARD (70.666.667 € total investim deri në 2020)(10% e totalit të fondeve)</w:t>
            </w:r>
          </w:p>
        </w:tc>
      </w:tr>
      <w:tr w:rsidR="00D61ADB" w:rsidRPr="007114AF" w14:paraId="6EDD0970" w14:textId="77777777" w:rsidTr="00D61ADB">
        <w:trPr>
          <w:trHeight w:val="20"/>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6EDD0965" w14:textId="77777777" w:rsidR="00D61ADB" w:rsidRPr="007114AF" w:rsidRDefault="00D61ADB" w:rsidP="00D61ADB">
            <w:pPr>
              <w:spacing w:after="0"/>
              <w:rPr>
                <w:rFonts w:ascii="Garamond" w:eastAsia="Times New Roman" w:hAnsi="Garamond" w:cs="Times New Roman"/>
                <w:sz w:val="18"/>
                <w:szCs w:val="18"/>
              </w:rPr>
            </w:pPr>
            <w:r w:rsidRPr="007114AF">
              <w:rPr>
                <w:rFonts w:ascii="Garamond" w:eastAsia="Times New Roman" w:hAnsi="Garamond" w:cs="Times New Roman"/>
                <w:sz w:val="18"/>
                <w:szCs w:val="18"/>
              </w:rPr>
              <w:t>A5</w:t>
            </w:r>
          </w:p>
        </w:tc>
        <w:tc>
          <w:tcPr>
            <w:tcW w:w="0" w:type="auto"/>
            <w:vAlign w:val="center"/>
            <w:hideMark/>
          </w:tcPr>
          <w:p w14:paraId="6EDD0966" w14:textId="77777777" w:rsidR="00D61ADB" w:rsidRPr="007114AF" w:rsidRDefault="00D61ADB" w:rsidP="00D61ADB">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Përdorim i qëndrueshëm i mbetjeve bujqësore për prodhimin e bioenergjisë nga përdorimi dytësor i biomasës bujqësore</w:t>
            </w:r>
          </w:p>
        </w:tc>
        <w:tc>
          <w:tcPr>
            <w:tcW w:w="0" w:type="auto"/>
            <w:vAlign w:val="center"/>
            <w:hideMark/>
          </w:tcPr>
          <w:p w14:paraId="6EDD0967" w14:textId="77777777" w:rsidR="00D61ADB" w:rsidRPr="007114AF" w:rsidRDefault="00D61ADB" w:rsidP="00D61ADB">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2018-2020</w:t>
            </w:r>
          </w:p>
        </w:tc>
        <w:tc>
          <w:tcPr>
            <w:tcW w:w="0" w:type="auto"/>
            <w:vAlign w:val="center"/>
            <w:hideMark/>
          </w:tcPr>
          <w:p w14:paraId="6EDD0968" w14:textId="77777777" w:rsidR="00D61ADB" w:rsidRPr="007114AF" w:rsidRDefault="00D61ADB" w:rsidP="00D61ADB">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PKVEE; KTK</w:t>
            </w:r>
          </w:p>
        </w:tc>
        <w:tc>
          <w:tcPr>
            <w:tcW w:w="0" w:type="auto"/>
            <w:vAlign w:val="center"/>
          </w:tcPr>
          <w:p w14:paraId="6EDD0969" w14:textId="77777777" w:rsidR="00D61ADB" w:rsidRPr="007114AF" w:rsidRDefault="00D61ADB" w:rsidP="00D61ADB">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hAnsi="Garamond"/>
                <w:sz w:val="18"/>
                <w:szCs w:val="18"/>
              </w:rPr>
              <w:t>Direkte</w:t>
            </w:r>
          </w:p>
        </w:tc>
        <w:tc>
          <w:tcPr>
            <w:tcW w:w="0" w:type="auto"/>
            <w:vAlign w:val="center"/>
            <w:hideMark/>
          </w:tcPr>
          <w:p w14:paraId="6EDD096A" w14:textId="77777777" w:rsidR="00D61ADB" w:rsidRPr="007114AF" w:rsidRDefault="00D61ADB" w:rsidP="00D61ADB">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5,460,584.00</w:t>
            </w:r>
          </w:p>
        </w:tc>
        <w:tc>
          <w:tcPr>
            <w:tcW w:w="0" w:type="auto"/>
            <w:noWrap/>
            <w:vAlign w:val="center"/>
            <w:hideMark/>
          </w:tcPr>
          <w:p w14:paraId="6EDD096B" w14:textId="77777777" w:rsidR="00D61ADB" w:rsidRPr="007114AF" w:rsidRDefault="00D61ADB" w:rsidP="00D61ADB">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tc>
        <w:tc>
          <w:tcPr>
            <w:tcW w:w="0" w:type="auto"/>
            <w:noWrap/>
            <w:vAlign w:val="center"/>
            <w:hideMark/>
          </w:tcPr>
          <w:p w14:paraId="6EDD096C" w14:textId="77777777" w:rsidR="00D61ADB" w:rsidRPr="007114AF" w:rsidRDefault="00D61ADB" w:rsidP="00D61ADB">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tc>
        <w:tc>
          <w:tcPr>
            <w:tcW w:w="0" w:type="auto"/>
            <w:noWrap/>
            <w:vAlign w:val="center"/>
            <w:hideMark/>
          </w:tcPr>
          <w:p w14:paraId="6EDD096D" w14:textId="77777777" w:rsidR="00D61ADB" w:rsidRPr="007114AF" w:rsidRDefault="00D61ADB" w:rsidP="00D61ADB">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tc>
        <w:tc>
          <w:tcPr>
            <w:tcW w:w="0" w:type="auto"/>
            <w:noWrap/>
            <w:vAlign w:val="center"/>
            <w:hideMark/>
          </w:tcPr>
          <w:p w14:paraId="6EDD096E" w14:textId="77777777" w:rsidR="00D61ADB" w:rsidRPr="007114AF" w:rsidRDefault="00D61ADB" w:rsidP="00D61ADB">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5,460,584.00</w:t>
            </w:r>
          </w:p>
        </w:tc>
        <w:tc>
          <w:tcPr>
            <w:tcW w:w="0" w:type="auto"/>
            <w:vAlign w:val="center"/>
            <w:hideMark/>
          </w:tcPr>
          <w:p w14:paraId="6EDD096F" w14:textId="77777777" w:rsidR="00D61ADB" w:rsidRPr="007114AF" w:rsidRDefault="00D61ADB" w:rsidP="00D61ADB">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Kostoja për njësi është mesatarja 100 €/KËh. Duke parashikuar investimin 400 GWh</w:t>
            </w:r>
          </w:p>
        </w:tc>
      </w:tr>
      <w:tr w:rsidR="00D61ADB" w:rsidRPr="007114AF" w14:paraId="6EDD097C" w14:textId="77777777" w:rsidTr="00D61ADB">
        <w:trPr>
          <w:trHeight w:val="20"/>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6EDD0971" w14:textId="77777777" w:rsidR="00D61ADB" w:rsidRPr="007114AF" w:rsidRDefault="00D61ADB" w:rsidP="00D61ADB">
            <w:pPr>
              <w:spacing w:after="0"/>
              <w:rPr>
                <w:rFonts w:ascii="Garamond" w:eastAsia="Times New Roman" w:hAnsi="Garamond" w:cs="Times New Roman"/>
                <w:sz w:val="18"/>
                <w:szCs w:val="18"/>
              </w:rPr>
            </w:pPr>
            <w:r w:rsidRPr="007114AF">
              <w:rPr>
                <w:rFonts w:ascii="Garamond" w:eastAsia="Times New Roman" w:hAnsi="Garamond" w:cs="Times New Roman"/>
                <w:sz w:val="18"/>
                <w:szCs w:val="18"/>
              </w:rPr>
              <w:t>A6</w:t>
            </w:r>
          </w:p>
        </w:tc>
        <w:tc>
          <w:tcPr>
            <w:tcW w:w="0" w:type="auto"/>
            <w:vAlign w:val="center"/>
            <w:hideMark/>
          </w:tcPr>
          <w:p w14:paraId="6EDD0972" w14:textId="77777777" w:rsidR="00D61ADB" w:rsidRPr="007114AF" w:rsidRDefault="00D61ADB" w:rsidP="00D61ADB">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Përmirësimi i menaxhimit të mbetjeve bujqësore</w:t>
            </w:r>
          </w:p>
        </w:tc>
        <w:tc>
          <w:tcPr>
            <w:tcW w:w="0" w:type="auto"/>
            <w:vAlign w:val="center"/>
            <w:hideMark/>
          </w:tcPr>
          <w:p w14:paraId="6EDD0973" w14:textId="77777777" w:rsidR="00D61ADB" w:rsidRPr="007114AF" w:rsidRDefault="00D61ADB" w:rsidP="00D61ADB">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2016-2020</w:t>
            </w:r>
          </w:p>
        </w:tc>
        <w:tc>
          <w:tcPr>
            <w:tcW w:w="0" w:type="auto"/>
            <w:vAlign w:val="center"/>
            <w:hideMark/>
          </w:tcPr>
          <w:p w14:paraId="6EDD0974" w14:textId="77777777" w:rsidR="00D61ADB" w:rsidRPr="007114AF" w:rsidRDefault="00D61ADB" w:rsidP="00D61ADB">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KTK</w:t>
            </w:r>
          </w:p>
        </w:tc>
        <w:tc>
          <w:tcPr>
            <w:tcW w:w="0" w:type="auto"/>
            <w:vAlign w:val="center"/>
          </w:tcPr>
          <w:p w14:paraId="6EDD0975" w14:textId="77777777" w:rsidR="00D61ADB" w:rsidRPr="007114AF" w:rsidRDefault="00D61ADB" w:rsidP="00D61ADB">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hAnsi="Garamond"/>
                <w:sz w:val="18"/>
                <w:szCs w:val="18"/>
              </w:rPr>
              <w:t>Direkte</w:t>
            </w:r>
          </w:p>
        </w:tc>
        <w:tc>
          <w:tcPr>
            <w:tcW w:w="0" w:type="auto"/>
            <w:vAlign w:val="center"/>
            <w:hideMark/>
          </w:tcPr>
          <w:p w14:paraId="6EDD0976" w14:textId="77777777" w:rsidR="00D61ADB" w:rsidRPr="007114AF" w:rsidRDefault="00D61ADB" w:rsidP="00D61ADB">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tc>
        <w:tc>
          <w:tcPr>
            <w:tcW w:w="0" w:type="auto"/>
            <w:noWrap/>
            <w:vAlign w:val="center"/>
            <w:hideMark/>
          </w:tcPr>
          <w:p w14:paraId="6EDD0977" w14:textId="77777777" w:rsidR="00D61ADB" w:rsidRPr="007114AF" w:rsidRDefault="00D61ADB" w:rsidP="00D61ADB">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tc>
        <w:tc>
          <w:tcPr>
            <w:tcW w:w="0" w:type="auto"/>
            <w:noWrap/>
            <w:vAlign w:val="center"/>
            <w:hideMark/>
          </w:tcPr>
          <w:p w14:paraId="6EDD0978" w14:textId="77777777" w:rsidR="00D61ADB" w:rsidRPr="007114AF" w:rsidRDefault="00D61ADB" w:rsidP="00D61ADB">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tc>
        <w:tc>
          <w:tcPr>
            <w:tcW w:w="0" w:type="auto"/>
            <w:noWrap/>
            <w:vAlign w:val="center"/>
            <w:hideMark/>
          </w:tcPr>
          <w:p w14:paraId="6EDD0979" w14:textId="77777777" w:rsidR="00D61ADB" w:rsidRPr="007114AF" w:rsidRDefault="00D61ADB" w:rsidP="00D61ADB">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tc>
        <w:tc>
          <w:tcPr>
            <w:tcW w:w="0" w:type="auto"/>
            <w:noWrap/>
            <w:vAlign w:val="center"/>
            <w:hideMark/>
          </w:tcPr>
          <w:p w14:paraId="6EDD097A" w14:textId="77777777" w:rsidR="00D61ADB" w:rsidRPr="007114AF" w:rsidRDefault="00D61ADB" w:rsidP="00D61ADB">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tc>
        <w:tc>
          <w:tcPr>
            <w:tcW w:w="0" w:type="auto"/>
            <w:vAlign w:val="center"/>
            <w:hideMark/>
          </w:tcPr>
          <w:p w14:paraId="6EDD097B" w14:textId="77777777" w:rsidR="00D61ADB" w:rsidRPr="007114AF" w:rsidRDefault="00D61ADB" w:rsidP="00D61ADB">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Nuk parashikohet një impakt i drejtpërdrejtë në buxhetin e shtetit deri në 2019.</w:t>
            </w:r>
          </w:p>
        </w:tc>
      </w:tr>
      <w:tr w:rsidR="00D61ADB" w:rsidRPr="007114AF" w14:paraId="6EDD0988" w14:textId="77777777" w:rsidTr="00D61ADB">
        <w:trPr>
          <w:trHeight w:val="20"/>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6EDD097D" w14:textId="77777777" w:rsidR="00D61ADB" w:rsidRPr="007114AF" w:rsidRDefault="00D61ADB" w:rsidP="00D61ADB">
            <w:pPr>
              <w:spacing w:after="0"/>
              <w:rPr>
                <w:rFonts w:ascii="Garamond" w:eastAsia="Times New Roman" w:hAnsi="Garamond" w:cs="Times New Roman"/>
                <w:sz w:val="18"/>
                <w:szCs w:val="18"/>
              </w:rPr>
            </w:pPr>
            <w:r w:rsidRPr="007114AF">
              <w:rPr>
                <w:rFonts w:ascii="Garamond" w:eastAsia="Times New Roman" w:hAnsi="Garamond" w:cs="Times New Roman"/>
                <w:sz w:val="18"/>
                <w:szCs w:val="18"/>
              </w:rPr>
              <w:lastRenderedPageBreak/>
              <w:t>A7</w:t>
            </w:r>
          </w:p>
        </w:tc>
        <w:tc>
          <w:tcPr>
            <w:tcW w:w="0" w:type="auto"/>
            <w:vAlign w:val="center"/>
            <w:hideMark/>
          </w:tcPr>
          <w:p w14:paraId="6EDD097E" w14:textId="77777777" w:rsidR="00D61ADB" w:rsidRPr="007114AF" w:rsidRDefault="00D61ADB" w:rsidP="00D61ADB">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Ulja e inputeve kimike në bujqësi</w:t>
            </w:r>
          </w:p>
        </w:tc>
        <w:tc>
          <w:tcPr>
            <w:tcW w:w="0" w:type="auto"/>
            <w:vAlign w:val="center"/>
            <w:hideMark/>
          </w:tcPr>
          <w:p w14:paraId="6EDD097F" w14:textId="77777777" w:rsidR="00D61ADB" w:rsidRPr="007114AF" w:rsidRDefault="00D61ADB" w:rsidP="00D61ADB">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2020</w:t>
            </w:r>
          </w:p>
        </w:tc>
        <w:tc>
          <w:tcPr>
            <w:tcW w:w="0" w:type="auto"/>
            <w:vAlign w:val="center"/>
            <w:hideMark/>
          </w:tcPr>
          <w:p w14:paraId="6EDD0980" w14:textId="77777777" w:rsidR="00D61ADB" w:rsidRPr="007114AF" w:rsidRDefault="00D61ADB" w:rsidP="00D61ADB">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SMNS</w:t>
            </w:r>
          </w:p>
        </w:tc>
        <w:tc>
          <w:tcPr>
            <w:tcW w:w="0" w:type="auto"/>
            <w:vAlign w:val="center"/>
          </w:tcPr>
          <w:p w14:paraId="6EDD0981" w14:textId="77777777" w:rsidR="00D61ADB" w:rsidRPr="007114AF" w:rsidRDefault="00D61ADB" w:rsidP="00D61ADB">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hAnsi="Garamond"/>
                <w:sz w:val="18"/>
                <w:szCs w:val="18"/>
              </w:rPr>
              <w:t>Indirekte</w:t>
            </w:r>
          </w:p>
        </w:tc>
        <w:tc>
          <w:tcPr>
            <w:tcW w:w="0" w:type="auto"/>
            <w:vAlign w:val="center"/>
            <w:hideMark/>
          </w:tcPr>
          <w:p w14:paraId="6EDD0982" w14:textId="77777777" w:rsidR="00D61ADB" w:rsidRPr="007114AF" w:rsidRDefault="00D61ADB" w:rsidP="00D61ADB">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23,740.00</w:t>
            </w:r>
          </w:p>
        </w:tc>
        <w:tc>
          <w:tcPr>
            <w:tcW w:w="0" w:type="auto"/>
            <w:noWrap/>
            <w:vAlign w:val="center"/>
            <w:hideMark/>
          </w:tcPr>
          <w:p w14:paraId="6EDD0983" w14:textId="77777777" w:rsidR="00D61ADB" w:rsidRPr="007114AF" w:rsidRDefault="00D61ADB" w:rsidP="00D61ADB">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tc>
        <w:tc>
          <w:tcPr>
            <w:tcW w:w="0" w:type="auto"/>
            <w:noWrap/>
            <w:vAlign w:val="center"/>
            <w:hideMark/>
          </w:tcPr>
          <w:p w14:paraId="6EDD0984" w14:textId="77777777" w:rsidR="00D61ADB" w:rsidRPr="007114AF" w:rsidRDefault="00D61ADB" w:rsidP="00D61ADB">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tc>
        <w:tc>
          <w:tcPr>
            <w:tcW w:w="0" w:type="auto"/>
            <w:noWrap/>
            <w:vAlign w:val="center"/>
            <w:hideMark/>
          </w:tcPr>
          <w:p w14:paraId="6EDD0985" w14:textId="77777777" w:rsidR="00D61ADB" w:rsidRPr="007114AF" w:rsidRDefault="00D61ADB" w:rsidP="00D61ADB">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tc>
        <w:tc>
          <w:tcPr>
            <w:tcW w:w="0" w:type="auto"/>
            <w:vAlign w:val="center"/>
            <w:hideMark/>
          </w:tcPr>
          <w:p w14:paraId="6EDD0986" w14:textId="77777777" w:rsidR="00D61ADB" w:rsidRPr="007114AF" w:rsidRDefault="00D61ADB" w:rsidP="00D61ADB">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23,740.00</w:t>
            </w:r>
          </w:p>
        </w:tc>
        <w:tc>
          <w:tcPr>
            <w:tcW w:w="0" w:type="auto"/>
            <w:vAlign w:val="center"/>
            <w:hideMark/>
          </w:tcPr>
          <w:p w14:paraId="6EDD0987" w14:textId="77777777" w:rsidR="00D61ADB" w:rsidRPr="007114AF" w:rsidRDefault="00D61ADB" w:rsidP="00D61ADB">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Pjesë e buxhetit vjetor e parashikuar nga SMNS për periudhën 2016-2020 (Pjesë e rezultatit A-Program i ruajtjes së Mjedisit)</w:t>
            </w:r>
          </w:p>
        </w:tc>
      </w:tr>
      <w:tr w:rsidR="00D61ADB" w:rsidRPr="007114AF" w14:paraId="6EDD0994" w14:textId="77777777" w:rsidTr="00D61ADB">
        <w:trPr>
          <w:trHeight w:val="819"/>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6EDD0989" w14:textId="77777777" w:rsidR="00D61ADB" w:rsidRPr="007114AF" w:rsidRDefault="00D61ADB" w:rsidP="00D61ADB">
            <w:pPr>
              <w:spacing w:after="0"/>
              <w:rPr>
                <w:rFonts w:ascii="Garamond" w:eastAsia="Times New Roman" w:hAnsi="Garamond" w:cs="Times New Roman"/>
                <w:sz w:val="18"/>
                <w:szCs w:val="18"/>
              </w:rPr>
            </w:pPr>
            <w:r w:rsidRPr="007114AF">
              <w:rPr>
                <w:rFonts w:ascii="Garamond" w:eastAsia="Times New Roman" w:hAnsi="Garamond" w:cs="Times New Roman"/>
                <w:sz w:val="18"/>
                <w:szCs w:val="18"/>
              </w:rPr>
              <w:t>A8</w:t>
            </w:r>
          </w:p>
        </w:tc>
        <w:tc>
          <w:tcPr>
            <w:tcW w:w="0" w:type="auto"/>
            <w:vAlign w:val="center"/>
            <w:hideMark/>
          </w:tcPr>
          <w:p w14:paraId="6EDD098A" w14:textId="77777777" w:rsidR="00D61ADB" w:rsidRPr="007114AF" w:rsidRDefault="00D61ADB" w:rsidP="00D61ADB">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Uljae ndotjeve N</w:t>
            </w:r>
            <w:r w:rsidRPr="007114AF">
              <w:rPr>
                <w:rFonts w:ascii="Garamond" w:eastAsia="Times New Roman" w:hAnsi="Garamond" w:cs="Times New Roman"/>
                <w:sz w:val="18"/>
                <w:szCs w:val="18"/>
                <w:vertAlign w:val="subscript"/>
              </w:rPr>
              <w:t>2</w:t>
            </w:r>
            <w:r w:rsidRPr="007114AF">
              <w:rPr>
                <w:rFonts w:ascii="Garamond" w:eastAsia="Times New Roman" w:hAnsi="Garamond" w:cs="Times New Roman"/>
                <w:sz w:val="18"/>
                <w:szCs w:val="18"/>
              </w:rPr>
              <w:t>O nga fertilizuesit</w:t>
            </w:r>
          </w:p>
        </w:tc>
        <w:tc>
          <w:tcPr>
            <w:tcW w:w="0" w:type="auto"/>
            <w:vAlign w:val="center"/>
            <w:hideMark/>
          </w:tcPr>
          <w:p w14:paraId="6EDD098B" w14:textId="77777777" w:rsidR="00D61ADB" w:rsidRPr="007114AF" w:rsidRDefault="00D61ADB" w:rsidP="00D61ADB">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2020</w:t>
            </w:r>
          </w:p>
        </w:tc>
        <w:tc>
          <w:tcPr>
            <w:tcW w:w="0" w:type="auto"/>
            <w:vAlign w:val="center"/>
            <w:hideMark/>
          </w:tcPr>
          <w:p w14:paraId="6EDD098C" w14:textId="77777777" w:rsidR="00D61ADB" w:rsidRPr="007114AF" w:rsidRDefault="00D61ADB" w:rsidP="00D61ADB">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KTK</w:t>
            </w:r>
          </w:p>
        </w:tc>
        <w:tc>
          <w:tcPr>
            <w:tcW w:w="0" w:type="auto"/>
            <w:vAlign w:val="center"/>
          </w:tcPr>
          <w:p w14:paraId="6EDD098D" w14:textId="77777777" w:rsidR="00D61ADB" w:rsidRPr="007114AF" w:rsidRDefault="00D61ADB" w:rsidP="00D61ADB">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hAnsi="Garamond"/>
                <w:sz w:val="18"/>
                <w:szCs w:val="18"/>
              </w:rPr>
              <w:t>Direkte</w:t>
            </w:r>
          </w:p>
        </w:tc>
        <w:tc>
          <w:tcPr>
            <w:tcW w:w="0" w:type="auto"/>
            <w:vAlign w:val="center"/>
            <w:hideMark/>
          </w:tcPr>
          <w:p w14:paraId="6EDD098E" w14:textId="77777777" w:rsidR="00D61ADB" w:rsidRPr="007114AF" w:rsidRDefault="00D61ADB" w:rsidP="00D61ADB">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254,000.00</w:t>
            </w:r>
          </w:p>
        </w:tc>
        <w:tc>
          <w:tcPr>
            <w:tcW w:w="0" w:type="auto"/>
            <w:noWrap/>
            <w:vAlign w:val="center"/>
            <w:hideMark/>
          </w:tcPr>
          <w:p w14:paraId="6EDD098F" w14:textId="77777777" w:rsidR="00D61ADB" w:rsidRPr="007114AF" w:rsidRDefault="00D61ADB" w:rsidP="00D61ADB">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tc>
        <w:tc>
          <w:tcPr>
            <w:tcW w:w="0" w:type="auto"/>
            <w:noWrap/>
            <w:vAlign w:val="center"/>
            <w:hideMark/>
          </w:tcPr>
          <w:p w14:paraId="6EDD0990" w14:textId="77777777" w:rsidR="00D61ADB" w:rsidRPr="007114AF" w:rsidRDefault="00D61ADB" w:rsidP="00D61ADB">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tc>
        <w:tc>
          <w:tcPr>
            <w:tcW w:w="0" w:type="auto"/>
            <w:noWrap/>
            <w:vAlign w:val="center"/>
            <w:hideMark/>
          </w:tcPr>
          <w:p w14:paraId="6EDD0991" w14:textId="77777777" w:rsidR="00D61ADB" w:rsidRPr="007114AF" w:rsidRDefault="00D61ADB" w:rsidP="00D61ADB">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tc>
        <w:tc>
          <w:tcPr>
            <w:tcW w:w="0" w:type="auto"/>
            <w:vAlign w:val="center"/>
            <w:hideMark/>
          </w:tcPr>
          <w:p w14:paraId="6EDD0992" w14:textId="77777777" w:rsidR="00D61ADB" w:rsidRPr="007114AF" w:rsidRDefault="00D61ADB" w:rsidP="00D61ADB">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254,000.00</w:t>
            </w:r>
          </w:p>
        </w:tc>
        <w:tc>
          <w:tcPr>
            <w:tcW w:w="0" w:type="auto"/>
            <w:vAlign w:val="center"/>
            <w:hideMark/>
          </w:tcPr>
          <w:p w14:paraId="6EDD0993" w14:textId="77777777" w:rsidR="00D61ADB" w:rsidRPr="007114AF" w:rsidRDefault="00D61ADB" w:rsidP="00D61ADB">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Fondet për projektet pilote. Nuk ka rezultate të identifikuara në buxhetin afatmesëm.</w:t>
            </w:r>
          </w:p>
        </w:tc>
      </w:tr>
      <w:tr w:rsidR="00D61ADB" w:rsidRPr="007114AF" w14:paraId="6EDD09A0" w14:textId="77777777" w:rsidTr="00D61ADB">
        <w:trPr>
          <w:trHeight w:val="536"/>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6EDD0995" w14:textId="77777777" w:rsidR="00D61ADB" w:rsidRPr="007114AF" w:rsidRDefault="00D61ADB" w:rsidP="00D61ADB">
            <w:pPr>
              <w:spacing w:after="0"/>
              <w:rPr>
                <w:rFonts w:ascii="Garamond" w:eastAsia="Times New Roman" w:hAnsi="Garamond" w:cs="Times New Roman"/>
                <w:sz w:val="18"/>
                <w:szCs w:val="18"/>
              </w:rPr>
            </w:pPr>
            <w:r w:rsidRPr="007114AF">
              <w:rPr>
                <w:rFonts w:ascii="Garamond" w:eastAsia="Times New Roman" w:hAnsi="Garamond" w:cs="Times New Roman"/>
                <w:sz w:val="18"/>
                <w:szCs w:val="18"/>
              </w:rPr>
              <w:t>A9</w:t>
            </w:r>
          </w:p>
        </w:tc>
        <w:tc>
          <w:tcPr>
            <w:tcW w:w="0" w:type="auto"/>
            <w:vAlign w:val="center"/>
            <w:hideMark/>
          </w:tcPr>
          <w:p w14:paraId="6EDD0996" w14:textId="77777777" w:rsidR="00D61ADB" w:rsidRPr="007114AF" w:rsidRDefault="00D61ADB" w:rsidP="00D61ADB">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Promovimi i bujqësisë organike</w:t>
            </w:r>
          </w:p>
        </w:tc>
        <w:tc>
          <w:tcPr>
            <w:tcW w:w="0" w:type="auto"/>
            <w:vAlign w:val="center"/>
            <w:hideMark/>
          </w:tcPr>
          <w:p w14:paraId="6EDD0997" w14:textId="77777777" w:rsidR="00D61ADB" w:rsidRPr="007114AF" w:rsidRDefault="00D61ADB" w:rsidP="00D61ADB">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2020</w:t>
            </w:r>
          </w:p>
        </w:tc>
        <w:tc>
          <w:tcPr>
            <w:tcW w:w="0" w:type="auto"/>
            <w:vAlign w:val="center"/>
            <w:hideMark/>
          </w:tcPr>
          <w:p w14:paraId="6EDD0998" w14:textId="77777777" w:rsidR="00D61ADB" w:rsidRPr="007114AF" w:rsidRDefault="00D61ADB" w:rsidP="00D61ADB">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NSDI-II; SNBZHR; PKT</w:t>
            </w:r>
          </w:p>
        </w:tc>
        <w:tc>
          <w:tcPr>
            <w:tcW w:w="0" w:type="auto"/>
            <w:vAlign w:val="center"/>
          </w:tcPr>
          <w:p w14:paraId="6EDD0999" w14:textId="77777777" w:rsidR="00D61ADB" w:rsidRPr="007114AF" w:rsidRDefault="00D61ADB" w:rsidP="00D61ADB">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hAnsi="Garamond"/>
                <w:sz w:val="18"/>
                <w:szCs w:val="18"/>
              </w:rPr>
              <w:t>Direkte</w:t>
            </w:r>
          </w:p>
        </w:tc>
        <w:tc>
          <w:tcPr>
            <w:tcW w:w="0" w:type="auto"/>
            <w:vAlign w:val="center"/>
            <w:hideMark/>
          </w:tcPr>
          <w:p w14:paraId="6EDD099A" w14:textId="77777777" w:rsidR="00D61ADB" w:rsidRPr="007114AF" w:rsidRDefault="00D61ADB" w:rsidP="00D61ADB">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1,455,380.01</w:t>
            </w:r>
          </w:p>
        </w:tc>
        <w:tc>
          <w:tcPr>
            <w:tcW w:w="0" w:type="auto"/>
            <w:noWrap/>
            <w:vAlign w:val="center"/>
            <w:hideMark/>
          </w:tcPr>
          <w:p w14:paraId="6EDD099B" w14:textId="77777777" w:rsidR="00D61ADB" w:rsidRPr="007114AF" w:rsidRDefault="00D61ADB" w:rsidP="00D61ADB">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tc>
        <w:tc>
          <w:tcPr>
            <w:tcW w:w="0" w:type="auto"/>
            <w:noWrap/>
            <w:vAlign w:val="center"/>
            <w:hideMark/>
          </w:tcPr>
          <w:p w14:paraId="6EDD099C" w14:textId="77777777" w:rsidR="00D61ADB" w:rsidRPr="007114AF" w:rsidRDefault="00D61ADB" w:rsidP="00D61ADB">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1,455,380.01</w:t>
            </w:r>
          </w:p>
        </w:tc>
        <w:tc>
          <w:tcPr>
            <w:tcW w:w="0" w:type="auto"/>
            <w:noWrap/>
            <w:vAlign w:val="center"/>
            <w:hideMark/>
          </w:tcPr>
          <w:p w14:paraId="6EDD099D" w14:textId="77777777" w:rsidR="00D61ADB" w:rsidRPr="007114AF" w:rsidRDefault="00D61ADB" w:rsidP="00D61ADB">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tc>
        <w:tc>
          <w:tcPr>
            <w:tcW w:w="0" w:type="auto"/>
            <w:noWrap/>
            <w:vAlign w:val="center"/>
            <w:hideMark/>
          </w:tcPr>
          <w:p w14:paraId="6EDD099E" w14:textId="77777777" w:rsidR="00D61ADB" w:rsidRPr="007114AF" w:rsidRDefault="00D61ADB" w:rsidP="00D61ADB">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tc>
        <w:tc>
          <w:tcPr>
            <w:tcW w:w="0" w:type="auto"/>
            <w:vAlign w:val="center"/>
            <w:hideMark/>
          </w:tcPr>
          <w:p w14:paraId="6EDD099F" w14:textId="77777777" w:rsidR="00D61ADB" w:rsidRPr="007114AF" w:rsidRDefault="00D61ADB" w:rsidP="00D61ADB">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Pjesë e buxhetit vjetor të alokuar në IPARD (15%)</w:t>
            </w:r>
          </w:p>
        </w:tc>
      </w:tr>
      <w:tr w:rsidR="00D61ADB" w:rsidRPr="007114AF" w14:paraId="6EDD09AC" w14:textId="77777777" w:rsidTr="00D61ADB">
        <w:trPr>
          <w:trHeight w:val="20"/>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6EDD09A1" w14:textId="77777777" w:rsidR="00D61ADB" w:rsidRPr="007114AF" w:rsidRDefault="00D61ADB" w:rsidP="00D61ADB">
            <w:pPr>
              <w:spacing w:after="0"/>
              <w:rPr>
                <w:rFonts w:ascii="Garamond" w:eastAsia="Times New Roman" w:hAnsi="Garamond" w:cs="Times New Roman"/>
                <w:sz w:val="18"/>
                <w:szCs w:val="18"/>
              </w:rPr>
            </w:pPr>
            <w:r w:rsidRPr="007114AF">
              <w:rPr>
                <w:rFonts w:ascii="Garamond" w:eastAsia="Times New Roman" w:hAnsi="Garamond" w:cs="Times New Roman"/>
                <w:sz w:val="18"/>
                <w:szCs w:val="18"/>
              </w:rPr>
              <w:t>A10</w:t>
            </w:r>
          </w:p>
        </w:tc>
        <w:tc>
          <w:tcPr>
            <w:tcW w:w="0" w:type="auto"/>
            <w:vAlign w:val="center"/>
            <w:hideMark/>
          </w:tcPr>
          <w:p w14:paraId="6EDD09A2" w14:textId="77777777" w:rsidR="00D61ADB" w:rsidRPr="007114AF" w:rsidRDefault="00D61ADB" w:rsidP="00D61ADB">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Përmirësimii eficiencës së energjisë dhe përdorimi i energjisë së rinovueshme në fermat bujqësore</w:t>
            </w:r>
          </w:p>
        </w:tc>
        <w:tc>
          <w:tcPr>
            <w:tcW w:w="0" w:type="auto"/>
            <w:vAlign w:val="center"/>
            <w:hideMark/>
          </w:tcPr>
          <w:p w14:paraId="6EDD09A3" w14:textId="77777777" w:rsidR="00D61ADB" w:rsidRPr="007114AF" w:rsidRDefault="00D61ADB" w:rsidP="00D61ADB">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2016-2020</w:t>
            </w:r>
          </w:p>
        </w:tc>
        <w:tc>
          <w:tcPr>
            <w:tcW w:w="0" w:type="auto"/>
            <w:vAlign w:val="center"/>
            <w:hideMark/>
          </w:tcPr>
          <w:p w14:paraId="6EDD09A4" w14:textId="77777777" w:rsidR="00D61ADB" w:rsidRPr="007114AF" w:rsidRDefault="00D61ADB" w:rsidP="00D61ADB">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SNBZHR</w:t>
            </w:r>
          </w:p>
        </w:tc>
        <w:tc>
          <w:tcPr>
            <w:tcW w:w="0" w:type="auto"/>
            <w:vAlign w:val="center"/>
          </w:tcPr>
          <w:p w14:paraId="6EDD09A5" w14:textId="77777777" w:rsidR="00D61ADB" w:rsidRPr="007114AF" w:rsidRDefault="00D61ADB" w:rsidP="00D61ADB">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hAnsi="Garamond"/>
                <w:sz w:val="18"/>
                <w:szCs w:val="18"/>
              </w:rPr>
              <w:t>Direkte</w:t>
            </w:r>
          </w:p>
        </w:tc>
        <w:tc>
          <w:tcPr>
            <w:tcW w:w="0" w:type="auto"/>
            <w:noWrap/>
            <w:vAlign w:val="center"/>
            <w:hideMark/>
          </w:tcPr>
          <w:p w14:paraId="6EDD09A6" w14:textId="77777777" w:rsidR="00D61ADB" w:rsidRPr="007114AF" w:rsidRDefault="00D61ADB" w:rsidP="00D61ADB">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8,981,708.38</w:t>
            </w:r>
          </w:p>
        </w:tc>
        <w:tc>
          <w:tcPr>
            <w:tcW w:w="0" w:type="auto"/>
            <w:noWrap/>
            <w:vAlign w:val="center"/>
            <w:hideMark/>
          </w:tcPr>
          <w:p w14:paraId="6EDD09A7" w14:textId="77777777" w:rsidR="00D61ADB" w:rsidRPr="007114AF" w:rsidRDefault="00D61ADB" w:rsidP="00D61ADB">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1,437,073.38</w:t>
            </w:r>
          </w:p>
        </w:tc>
        <w:tc>
          <w:tcPr>
            <w:tcW w:w="0" w:type="auto"/>
            <w:noWrap/>
            <w:vAlign w:val="center"/>
            <w:hideMark/>
          </w:tcPr>
          <w:p w14:paraId="6EDD09A8" w14:textId="77777777" w:rsidR="00D61ADB" w:rsidRPr="007114AF" w:rsidRDefault="00D61ADB" w:rsidP="00D61ADB">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4,311,220.00</w:t>
            </w:r>
          </w:p>
        </w:tc>
        <w:tc>
          <w:tcPr>
            <w:tcW w:w="0" w:type="auto"/>
            <w:noWrap/>
            <w:vAlign w:val="center"/>
            <w:hideMark/>
          </w:tcPr>
          <w:p w14:paraId="6EDD09A9" w14:textId="77777777" w:rsidR="00D61ADB" w:rsidRPr="007114AF" w:rsidRDefault="00D61ADB" w:rsidP="00D61ADB">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3,233,415.00</w:t>
            </w:r>
          </w:p>
        </w:tc>
        <w:tc>
          <w:tcPr>
            <w:tcW w:w="0" w:type="auto"/>
            <w:noWrap/>
            <w:vAlign w:val="center"/>
            <w:hideMark/>
          </w:tcPr>
          <w:p w14:paraId="6EDD09AA" w14:textId="77777777" w:rsidR="00D61ADB" w:rsidRPr="007114AF" w:rsidRDefault="00D61ADB" w:rsidP="00D61ADB">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tc>
        <w:tc>
          <w:tcPr>
            <w:tcW w:w="0" w:type="auto"/>
            <w:vAlign w:val="center"/>
            <w:hideMark/>
          </w:tcPr>
          <w:p w14:paraId="6EDD09AB" w14:textId="77777777" w:rsidR="00D61ADB" w:rsidRPr="007114AF" w:rsidRDefault="00D61ADB" w:rsidP="00D61ADB">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€ 65.416.667,00 është totali i buxhetit për periudhën 2016-2020, nga e cila ndihmë publike është: 31.400.000 € EU kontribut dhe 10.466.667 € Kontribut Kombëtar, Kontributi Privat është: 23.550.000 €</w:t>
            </w:r>
          </w:p>
        </w:tc>
      </w:tr>
      <w:tr w:rsidR="00D61ADB" w:rsidRPr="007114AF" w14:paraId="6EDD09B8" w14:textId="77777777" w:rsidTr="00D61ADB">
        <w:trPr>
          <w:trHeight w:val="20"/>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6EDD09AD" w14:textId="77777777" w:rsidR="00D61ADB" w:rsidRPr="007114AF" w:rsidRDefault="00D61ADB" w:rsidP="00D61ADB">
            <w:pPr>
              <w:spacing w:after="0"/>
              <w:rPr>
                <w:rFonts w:ascii="Garamond" w:eastAsia="Times New Roman" w:hAnsi="Garamond" w:cs="Times New Roman"/>
                <w:sz w:val="18"/>
                <w:szCs w:val="18"/>
              </w:rPr>
            </w:pPr>
            <w:r w:rsidRPr="007114AF">
              <w:rPr>
                <w:rFonts w:ascii="Garamond" w:eastAsia="Times New Roman" w:hAnsi="Garamond" w:cs="Times New Roman"/>
                <w:sz w:val="18"/>
                <w:szCs w:val="18"/>
              </w:rPr>
              <w:t>A11</w:t>
            </w:r>
          </w:p>
        </w:tc>
        <w:tc>
          <w:tcPr>
            <w:tcW w:w="0" w:type="auto"/>
            <w:vAlign w:val="center"/>
            <w:hideMark/>
          </w:tcPr>
          <w:p w14:paraId="6EDD09AE" w14:textId="77777777" w:rsidR="00D61ADB" w:rsidRPr="007114AF" w:rsidRDefault="00D61ADB" w:rsidP="00D61ADB">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Ndërtimi strukturave bujqësore me karakteristika të larta të eficiencës së energjisë</w:t>
            </w:r>
          </w:p>
        </w:tc>
        <w:tc>
          <w:tcPr>
            <w:tcW w:w="0" w:type="auto"/>
            <w:vAlign w:val="center"/>
            <w:hideMark/>
          </w:tcPr>
          <w:p w14:paraId="6EDD09AF" w14:textId="77777777" w:rsidR="00D61ADB" w:rsidRPr="007114AF" w:rsidRDefault="00D61ADB" w:rsidP="00D61ADB">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2030</w:t>
            </w:r>
          </w:p>
        </w:tc>
        <w:tc>
          <w:tcPr>
            <w:tcW w:w="0" w:type="auto"/>
            <w:vAlign w:val="center"/>
            <w:hideMark/>
          </w:tcPr>
          <w:p w14:paraId="6EDD09B0" w14:textId="77777777" w:rsidR="00D61ADB" w:rsidRPr="007114AF" w:rsidRDefault="00D61ADB" w:rsidP="00D61ADB">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PKT; SNBZHR</w:t>
            </w:r>
          </w:p>
        </w:tc>
        <w:tc>
          <w:tcPr>
            <w:tcW w:w="0" w:type="auto"/>
            <w:vAlign w:val="center"/>
          </w:tcPr>
          <w:p w14:paraId="6EDD09B1" w14:textId="77777777" w:rsidR="00D61ADB" w:rsidRPr="007114AF" w:rsidRDefault="00D61ADB" w:rsidP="00D61ADB">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hAnsi="Garamond"/>
                <w:sz w:val="18"/>
                <w:szCs w:val="18"/>
              </w:rPr>
              <w:t>Direkte</w:t>
            </w:r>
          </w:p>
        </w:tc>
        <w:tc>
          <w:tcPr>
            <w:tcW w:w="0" w:type="auto"/>
            <w:vAlign w:val="center"/>
            <w:hideMark/>
          </w:tcPr>
          <w:p w14:paraId="6EDD09B2" w14:textId="77777777" w:rsidR="00D61ADB" w:rsidRPr="007114AF" w:rsidRDefault="00D61ADB" w:rsidP="00D61ADB">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1,940,508.68</w:t>
            </w:r>
          </w:p>
        </w:tc>
        <w:tc>
          <w:tcPr>
            <w:tcW w:w="0" w:type="auto"/>
            <w:noWrap/>
            <w:vAlign w:val="center"/>
            <w:hideMark/>
          </w:tcPr>
          <w:p w14:paraId="6EDD09B3" w14:textId="77777777" w:rsidR="00D61ADB" w:rsidRPr="007114AF" w:rsidRDefault="00D61ADB" w:rsidP="00D61ADB">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tc>
        <w:tc>
          <w:tcPr>
            <w:tcW w:w="0" w:type="auto"/>
            <w:noWrap/>
            <w:vAlign w:val="center"/>
            <w:hideMark/>
          </w:tcPr>
          <w:p w14:paraId="6EDD09B4" w14:textId="77777777" w:rsidR="00D61ADB" w:rsidRPr="007114AF" w:rsidRDefault="00D61ADB" w:rsidP="00D61ADB">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1,940,508.68</w:t>
            </w:r>
          </w:p>
        </w:tc>
        <w:tc>
          <w:tcPr>
            <w:tcW w:w="0" w:type="auto"/>
            <w:noWrap/>
            <w:vAlign w:val="center"/>
            <w:hideMark/>
          </w:tcPr>
          <w:p w14:paraId="6EDD09B5" w14:textId="77777777" w:rsidR="00D61ADB" w:rsidRPr="007114AF" w:rsidRDefault="00D61ADB" w:rsidP="00D61ADB">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tc>
        <w:tc>
          <w:tcPr>
            <w:tcW w:w="0" w:type="auto"/>
            <w:noWrap/>
            <w:vAlign w:val="center"/>
            <w:hideMark/>
          </w:tcPr>
          <w:p w14:paraId="6EDD09B6" w14:textId="77777777" w:rsidR="00D61ADB" w:rsidRPr="007114AF" w:rsidRDefault="00D61ADB" w:rsidP="00D61ADB">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tc>
        <w:tc>
          <w:tcPr>
            <w:tcW w:w="0" w:type="auto"/>
            <w:vAlign w:val="center"/>
            <w:hideMark/>
          </w:tcPr>
          <w:p w14:paraId="6EDD09B7" w14:textId="77777777" w:rsidR="00D61ADB" w:rsidRPr="007114AF" w:rsidRDefault="00D61ADB" w:rsidP="00D61ADB">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Pjesë e buxhetit vjetor të alokuar në IPARD (70.666.667 € investim total deri në 2020) 20%</w:t>
            </w:r>
          </w:p>
        </w:tc>
      </w:tr>
      <w:tr w:rsidR="00D61ADB" w:rsidRPr="007114AF" w14:paraId="6EDD09C4" w14:textId="77777777" w:rsidTr="00D61ADB">
        <w:trPr>
          <w:trHeight w:val="20"/>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6EDD09B9" w14:textId="77777777" w:rsidR="00D61ADB" w:rsidRPr="007114AF" w:rsidRDefault="00D61ADB" w:rsidP="00D61ADB">
            <w:pPr>
              <w:spacing w:after="0"/>
              <w:rPr>
                <w:rFonts w:ascii="Garamond" w:eastAsia="Times New Roman" w:hAnsi="Garamond" w:cs="Times New Roman"/>
                <w:sz w:val="18"/>
                <w:szCs w:val="18"/>
              </w:rPr>
            </w:pPr>
            <w:r w:rsidRPr="007114AF">
              <w:rPr>
                <w:rFonts w:ascii="Garamond" w:eastAsia="Times New Roman" w:hAnsi="Garamond" w:cs="Times New Roman"/>
                <w:sz w:val="18"/>
                <w:szCs w:val="18"/>
              </w:rPr>
              <w:t>A12</w:t>
            </w:r>
          </w:p>
        </w:tc>
        <w:tc>
          <w:tcPr>
            <w:tcW w:w="0" w:type="auto"/>
            <w:vAlign w:val="center"/>
            <w:hideMark/>
          </w:tcPr>
          <w:p w14:paraId="6EDD09BA" w14:textId="77777777" w:rsidR="00D61ADB" w:rsidRPr="007114AF" w:rsidRDefault="00D61ADB" w:rsidP="00D61ADB">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Uljen e konsumit energjetik për vaditje duke përmirësuar eficiencëne përdorimit të ujit</w:t>
            </w:r>
          </w:p>
        </w:tc>
        <w:tc>
          <w:tcPr>
            <w:tcW w:w="0" w:type="auto"/>
            <w:vAlign w:val="center"/>
            <w:hideMark/>
          </w:tcPr>
          <w:p w14:paraId="6EDD09BB" w14:textId="77777777" w:rsidR="00D61ADB" w:rsidRPr="007114AF" w:rsidRDefault="00D61ADB" w:rsidP="00D61ADB">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2016-2020</w:t>
            </w:r>
          </w:p>
        </w:tc>
        <w:tc>
          <w:tcPr>
            <w:tcW w:w="0" w:type="auto"/>
            <w:vAlign w:val="center"/>
            <w:hideMark/>
          </w:tcPr>
          <w:p w14:paraId="6EDD09BC" w14:textId="77777777" w:rsidR="00D61ADB" w:rsidRPr="007114AF" w:rsidRDefault="00D61ADB" w:rsidP="00D61ADB">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PKVEE</w:t>
            </w:r>
          </w:p>
        </w:tc>
        <w:tc>
          <w:tcPr>
            <w:tcW w:w="0" w:type="auto"/>
            <w:vAlign w:val="center"/>
          </w:tcPr>
          <w:p w14:paraId="6EDD09BD" w14:textId="77777777" w:rsidR="00D61ADB" w:rsidRPr="007114AF" w:rsidRDefault="00D61ADB" w:rsidP="00D61ADB">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hAnsi="Garamond"/>
                <w:sz w:val="18"/>
                <w:szCs w:val="18"/>
              </w:rPr>
              <w:t>Direkte</w:t>
            </w:r>
          </w:p>
        </w:tc>
        <w:tc>
          <w:tcPr>
            <w:tcW w:w="0" w:type="auto"/>
            <w:vAlign w:val="center"/>
            <w:hideMark/>
          </w:tcPr>
          <w:p w14:paraId="6EDD09BE" w14:textId="77777777" w:rsidR="00D61ADB" w:rsidRPr="007114AF" w:rsidRDefault="00D61ADB" w:rsidP="00D61ADB">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5,000,000</w:t>
            </w:r>
          </w:p>
        </w:tc>
        <w:tc>
          <w:tcPr>
            <w:tcW w:w="0" w:type="auto"/>
            <w:noWrap/>
            <w:vAlign w:val="center"/>
            <w:hideMark/>
          </w:tcPr>
          <w:p w14:paraId="6EDD09BF" w14:textId="77777777" w:rsidR="00D61ADB" w:rsidRPr="007114AF" w:rsidRDefault="00D61ADB" w:rsidP="00D61ADB">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tc>
        <w:tc>
          <w:tcPr>
            <w:tcW w:w="0" w:type="auto"/>
            <w:noWrap/>
            <w:vAlign w:val="center"/>
            <w:hideMark/>
          </w:tcPr>
          <w:p w14:paraId="6EDD09C0" w14:textId="77777777" w:rsidR="00D61ADB" w:rsidRPr="007114AF" w:rsidRDefault="00D61ADB" w:rsidP="00D61ADB">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tc>
        <w:tc>
          <w:tcPr>
            <w:tcW w:w="0" w:type="auto"/>
            <w:noWrap/>
            <w:vAlign w:val="center"/>
            <w:hideMark/>
          </w:tcPr>
          <w:p w14:paraId="6EDD09C1" w14:textId="77777777" w:rsidR="00D61ADB" w:rsidRPr="007114AF" w:rsidRDefault="00D61ADB" w:rsidP="00D61ADB">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tc>
        <w:tc>
          <w:tcPr>
            <w:tcW w:w="0" w:type="auto"/>
            <w:vAlign w:val="center"/>
            <w:hideMark/>
          </w:tcPr>
          <w:p w14:paraId="6EDD09C2" w14:textId="77777777" w:rsidR="00D61ADB" w:rsidRPr="007114AF" w:rsidRDefault="00D61ADB" w:rsidP="00D61ADB">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5,000,000</w:t>
            </w:r>
          </w:p>
        </w:tc>
        <w:tc>
          <w:tcPr>
            <w:tcW w:w="0" w:type="auto"/>
            <w:vAlign w:val="center"/>
            <w:hideMark/>
          </w:tcPr>
          <w:p w14:paraId="6EDD09C3" w14:textId="77777777" w:rsidR="00D61ADB" w:rsidRPr="007114AF" w:rsidRDefault="00D61ADB" w:rsidP="00D61ADB">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xml:space="preserve">Asnjë e dhënë financiare rreth kësaj mase. Kryesisht ka investime private. </w:t>
            </w:r>
          </w:p>
        </w:tc>
      </w:tr>
      <w:tr w:rsidR="00D61ADB" w:rsidRPr="007114AF" w14:paraId="6EDD09D0" w14:textId="77777777" w:rsidTr="00D61ADB">
        <w:trPr>
          <w:trHeight w:val="20"/>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6EDD09C5" w14:textId="77777777" w:rsidR="00D61ADB" w:rsidRPr="007114AF" w:rsidRDefault="00D61ADB" w:rsidP="00D61ADB">
            <w:pPr>
              <w:spacing w:after="0"/>
              <w:rPr>
                <w:rFonts w:ascii="Garamond" w:eastAsia="Times New Roman" w:hAnsi="Garamond" w:cs="Times New Roman"/>
                <w:sz w:val="18"/>
                <w:szCs w:val="18"/>
              </w:rPr>
            </w:pPr>
            <w:r w:rsidRPr="007114AF">
              <w:rPr>
                <w:rFonts w:ascii="Garamond" w:eastAsia="Times New Roman" w:hAnsi="Garamond" w:cs="Times New Roman"/>
                <w:sz w:val="18"/>
                <w:szCs w:val="18"/>
              </w:rPr>
              <w:t>A13</w:t>
            </w:r>
          </w:p>
        </w:tc>
        <w:tc>
          <w:tcPr>
            <w:tcW w:w="0" w:type="auto"/>
            <w:vAlign w:val="center"/>
            <w:hideMark/>
          </w:tcPr>
          <w:p w14:paraId="6EDD09C6" w14:textId="77777777" w:rsidR="00D61ADB" w:rsidRPr="007114AF" w:rsidRDefault="00D61ADB" w:rsidP="00D61ADB">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Përmirësimi i menaxhimit të ujit për të rritur prodhimi, ulur erozionin e tokës dhe rritjen e mbrojtjes nga përmbytja</w:t>
            </w:r>
          </w:p>
        </w:tc>
        <w:tc>
          <w:tcPr>
            <w:tcW w:w="0" w:type="auto"/>
            <w:vAlign w:val="center"/>
            <w:hideMark/>
          </w:tcPr>
          <w:p w14:paraId="6EDD09C7" w14:textId="77777777" w:rsidR="00D61ADB" w:rsidRPr="007114AF" w:rsidRDefault="00D61ADB" w:rsidP="00D61ADB">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2015-2020</w:t>
            </w:r>
          </w:p>
        </w:tc>
        <w:tc>
          <w:tcPr>
            <w:tcW w:w="0" w:type="auto"/>
            <w:vAlign w:val="center"/>
            <w:hideMark/>
          </w:tcPr>
          <w:p w14:paraId="6EDD09C8" w14:textId="77777777" w:rsidR="00D61ADB" w:rsidRPr="007114AF" w:rsidRDefault="00D61ADB" w:rsidP="00D61ADB">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NSDI-II; SMNS; Draft KTK</w:t>
            </w:r>
          </w:p>
        </w:tc>
        <w:tc>
          <w:tcPr>
            <w:tcW w:w="0" w:type="auto"/>
            <w:vAlign w:val="center"/>
          </w:tcPr>
          <w:p w14:paraId="6EDD09C9" w14:textId="77777777" w:rsidR="00D61ADB" w:rsidRPr="007114AF" w:rsidRDefault="00D61ADB" w:rsidP="00D61ADB">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hAnsi="Garamond"/>
                <w:sz w:val="18"/>
                <w:szCs w:val="18"/>
              </w:rPr>
              <w:t>Direkte</w:t>
            </w:r>
          </w:p>
        </w:tc>
        <w:tc>
          <w:tcPr>
            <w:tcW w:w="0" w:type="auto"/>
            <w:vAlign w:val="center"/>
            <w:hideMark/>
          </w:tcPr>
          <w:p w14:paraId="6EDD09CA" w14:textId="77777777" w:rsidR="00D61ADB" w:rsidRPr="007114AF" w:rsidRDefault="00D61ADB" w:rsidP="00D61ADB">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7,915,238.00</w:t>
            </w:r>
          </w:p>
        </w:tc>
        <w:tc>
          <w:tcPr>
            <w:tcW w:w="0" w:type="auto"/>
            <w:noWrap/>
            <w:vAlign w:val="center"/>
            <w:hideMark/>
          </w:tcPr>
          <w:p w14:paraId="6EDD09CB" w14:textId="77777777" w:rsidR="00D61ADB" w:rsidRPr="007114AF" w:rsidRDefault="00D61ADB" w:rsidP="00D61ADB">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7,566,231.00</w:t>
            </w:r>
          </w:p>
        </w:tc>
        <w:tc>
          <w:tcPr>
            <w:tcW w:w="0" w:type="auto"/>
            <w:noWrap/>
            <w:vAlign w:val="center"/>
            <w:hideMark/>
          </w:tcPr>
          <w:p w14:paraId="6EDD09CC" w14:textId="77777777" w:rsidR="00D61ADB" w:rsidRPr="007114AF" w:rsidRDefault="00D61ADB" w:rsidP="00D61ADB">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349,007.00</w:t>
            </w:r>
          </w:p>
        </w:tc>
        <w:tc>
          <w:tcPr>
            <w:tcW w:w="0" w:type="auto"/>
            <w:noWrap/>
            <w:vAlign w:val="center"/>
            <w:hideMark/>
          </w:tcPr>
          <w:p w14:paraId="6EDD09CD" w14:textId="77777777" w:rsidR="00D61ADB" w:rsidRPr="007114AF" w:rsidRDefault="00D61ADB" w:rsidP="00D61ADB">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tc>
        <w:tc>
          <w:tcPr>
            <w:tcW w:w="0" w:type="auto"/>
            <w:noWrap/>
            <w:vAlign w:val="center"/>
            <w:hideMark/>
          </w:tcPr>
          <w:p w14:paraId="6EDD09CE" w14:textId="77777777" w:rsidR="00D61ADB" w:rsidRPr="007114AF" w:rsidRDefault="00D61ADB" w:rsidP="00D61ADB">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tc>
        <w:tc>
          <w:tcPr>
            <w:tcW w:w="0" w:type="auto"/>
            <w:vAlign w:val="center"/>
            <w:hideMark/>
          </w:tcPr>
          <w:p w14:paraId="6EDD09CF" w14:textId="77777777" w:rsidR="00D61ADB" w:rsidRPr="007114AF" w:rsidRDefault="00D61ADB" w:rsidP="00D61ADB">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SMNS: rezultati O kadastra elektronike e ujit (117,091), Granit Sida (349,007), Vaditje dhe drenazhim-NjQV Grant i pakushtëzuar</w:t>
            </w:r>
          </w:p>
        </w:tc>
      </w:tr>
      <w:tr w:rsidR="00D61ADB" w:rsidRPr="007114AF" w14:paraId="6EDD09DC" w14:textId="77777777" w:rsidTr="00D61ADB">
        <w:trPr>
          <w:trHeight w:val="20"/>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6EDD09D1" w14:textId="77777777" w:rsidR="00D61ADB" w:rsidRPr="007114AF" w:rsidRDefault="00D61ADB" w:rsidP="00D61ADB">
            <w:pPr>
              <w:spacing w:after="0"/>
              <w:rPr>
                <w:rFonts w:ascii="Garamond" w:eastAsia="Times New Roman" w:hAnsi="Garamond" w:cs="Times New Roman"/>
                <w:sz w:val="18"/>
                <w:szCs w:val="18"/>
              </w:rPr>
            </w:pPr>
            <w:r w:rsidRPr="007114AF">
              <w:rPr>
                <w:rFonts w:ascii="Garamond" w:eastAsia="Times New Roman" w:hAnsi="Garamond" w:cs="Times New Roman"/>
                <w:sz w:val="18"/>
                <w:szCs w:val="18"/>
              </w:rPr>
              <w:t>A14</w:t>
            </w:r>
          </w:p>
        </w:tc>
        <w:tc>
          <w:tcPr>
            <w:tcW w:w="0" w:type="auto"/>
            <w:vAlign w:val="center"/>
            <w:hideMark/>
          </w:tcPr>
          <w:p w14:paraId="6EDD09D2" w14:textId="77777777" w:rsidR="00D61ADB" w:rsidRPr="007114AF" w:rsidRDefault="00D61ADB" w:rsidP="00D61ADB">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xml:space="preserve">Zhvillimi i Strategjisë Kombëtare për Menaxhimin e Integruar të Ujit </w:t>
            </w:r>
          </w:p>
        </w:tc>
        <w:tc>
          <w:tcPr>
            <w:tcW w:w="0" w:type="auto"/>
            <w:vAlign w:val="center"/>
            <w:hideMark/>
          </w:tcPr>
          <w:p w14:paraId="6EDD09D3" w14:textId="77777777" w:rsidR="00D61ADB" w:rsidRPr="007114AF" w:rsidRDefault="00D61ADB" w:rsidP="00D61ADB">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2016-2017</w:t>
            </w:r>
          </w:p>
        </w:tc>
        <w:tc>
          <w:tcPr>
            <w:tcW w:w="0" w:type="auto"/>
            <w:vAlign w:val="center"/>
            <w:hideMark/>
          </w:tcPr>
          <w:p w14:paraId="6EDD09D4" w14:textId="77777777" w:rsidR="00D61ADB" w:rsidRPr="007114AF" w:rsidRDefault="00D61ADB" w:rsidP="00D61ADB">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SMNS</w:t>
            </w:r>
          </w:p>
        </w:tc>
        <w:tc>
          <w:tcPr>
            <w:tcW w:w="0" w:type="auto"/>
            <w:vAlign w:val="center"/>
          </w:tcPr>
          <w:p w14:paraId="6EDD09D5" w14:textId="77777777" w:rsidR="00D61ADB" w:rsidRPr="007114AF" w:rsidRDefault="00D61ADB" w:rsidP="00D61ADB">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Mundësuese</w:t>
            </w:r>
          </w:p>
        </w:tc>
        <w:tc>
          <w:tcPr>
            <w:tcW w:w="0" w:type="auto"/>
            <w:vAlign w:val="center"/>
            <w:hideMark/>
          </w:tcPr>
          <w:p w14:paraId="6EDD09D6" w14:textId="77777777" w:rsidR="00D61ADB" w:rsidRPr="007114AF" w:rsidRDefault="00D61ADB" w:rsidP="00D61ADB">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96,171.00</w:t>
            </w:r>
          </w:p>
        </w:tc>
        <w:tc>
          <w:tcPr>
            <w:tcW w:w="0" w:type="auto"/>
            <w:vAlign w:val="center"/>
            <w:hideMark/>
          </w:tcPr>
          <w:p w14:paraId="6EDD09D7" w14:textId="77777777" w:rsidR="00D61ADB" w:rsidRPr="007114AF" w:rsidRDefault="00D61ADB" w:rsidP="00D61ADB">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96,171.00</w:t>
            </w:r>
          </w:p>
        </w:tc>
        <w:tc>
          <w:tcPr>
            <w:tcW w:w="0" w:type="auto"/>
            <w:noWrap/>
            <w:vAlign w:val="center"/>
            <w:hideMark/>
          </w:tcPr>
          <w:p w14:paraId="6EDD09D8" w14:textId="77777777" w:rsidR="00D61ADB" w:rsidRPr="007114AF" w:rsidRDefault="00D61ADB" w:rsidP="00D61ADB">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tc>
        <w:tc>
          <w:tcPr>
            <w:tcW w:w="0" w:type="auto"/>
            <w:noWrap/>
            <w:vAlign w:val="center"/>
            <w:hideMark/>
          </w:tcPr>
          <w:p w14:paraId="6EDD09D9" w14:textId="77777777" w:rsidR="00D61ADB" w:rsidRPr="007114AF" w:rsidRDefault="00D61ADB" w:rsidP="00D61ADB">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tc>
        <w:tc>
          <w:tcPr>
            <w:tcW w:w="0" w:type="auto"/>
            <w:noWrap/>
            <w:vAlign w:val="center"/>
            <w:hideMark/>
          </w:tcPr>
          <w:p w14:paraId="6EDD09DA" w14:textId="77777777" w:rsidR="00D61ADB" w:rsidRPr="007114AF" w:rsidRDefault="00D61ADB" w:rsidP="00D61ADB">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tc>
        <w:tc>
          <w:tcPr>
            <w:tcW w:w="0" w:type="auto"/>
            <w:vAlign w:val="center"/>
            <w:hideMark/>
          </w:tcPr>
          <w:p w14:paraId="6EDD09DB" w14:textId="1B659C5A" w:rsidR="00D61ADB" w:rsidRPr="007114AF" w:rsidRDefault="00D61ADB" w:rsidP="00D61ADB">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xml:space="preserve">SMNS: rezultati N, Programi </w:t>
            </w:r>
            <w:r w:rsidR="000A2A01" w:rsidRPr="007114AF">
              <w:rPr>
                <w:rFonts w:ascii="Garamond" w:eastAsia="Times New Roman" w:hAnsi="Garamond" w:cs="Times New Roman"/>
                <w:sz w:val="18"/>
                <w:szCs w:val="18"/>
              </w:rPr>
              <w:t>“</w:t>
            </w:r>
            <w:r w:rsidRPr="007114AF">
              <w:rPr>
                <w:rFonts w:ascii="Garamond" w:eastAsia="Times New Roman" w:hAnsi="Garamond" w:cs="Times New Roman"/>
                <w:sz w:val="18"/>
                <w:szCs w:val="18"/>
              </w:rPr>
              <w:t>Menaxhimi i Ujit</w:t>
            </w:r>
            <w:r w:rsidR="000A2A01" w:rsidRPr="007114AF">
              <w:rPr>
                <w:rFonts w:ascii="Garamond" w:eastAsia="Times New Roman" w:hAnsi="Garamond" w:cs="Times New Roman"/>
                <w:sz w:val="18"/>
                <w:szCs w:val="18"/>
              </w:rPr>
              <w:t>”</w:t>
            </w:r>
          </w:p>
        </w:tc>
      </w:tr>
      <w:tr w:rsidR="00D61ADB" w:rsidRPr="007114AF" w14:paraId="6EDD09E8" w14:textId="77777777" w:rsidTr="00D61ADB">
        <w:trPr>
          <w:trHeight w:val="623"/>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6EDD09DD" w14:textId="77777777" w:rsidR="00D61ADB" w:rsidRPr="007114AF" w:rsidRDefault="00D61ADB" w:rsidP="00D61ADB">
            <w:pPr>
              <w:spacing w:after="0"/>
              <w:rPr>
                <w:rFonts w:ascii="Garamond" w:eastAsia="Times New Roman" w:hAnsi="Garamond" w:cs="Times New Roman"/>
                <w:sz w:val="18"/>
                <w:szCs w:val="18"/>
              </w:rPr>
            </w:pPr>
            <w:r w:rsidRPr="007114AF">
              <w:rPr>
                <w:rFonts w:ascii="Garamond" w:eastAsia="Times New Roman" w:hAnsi="Garamond" w:cs="Times New Roman"/>
                <w:sz w:val="18"/>
                <w:szCs w:val="18"/>
              </w:rPr>
              <w:t>A15</w:t>
            </w:r>
          </w:p>
        </w:tc>
        <w:tc>
          <w:tcPr>
            <w:tcW w:w="0" w:type="auto"/>
            <w:vAlign w:val="center"/>
            <w:hideMark/>
          </w:tcPr>
          <w:p w14:paraId="6EDD09DE" w14:textId="77777777" w:rsidR="00D61ADB" w:rsidRPr="007114AF" w:rsidRDefault="00D61ADB" w:rsidP="00D61ADB">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Mbledhja e të dhënave mbi tokën bujqësore dhe praktikat</w:t>
            </w:r>
          </w:p>
        </w:tc>
        <w:tc>
          <w:tcPr>
            <w:tcW w:w="0" w:type="auto"/>
            <w:vAlign w:val="center"/>
            <w:hideMark/>
          </w:tcPr>
          <w:p w14:paraId="6EDD09DF" w14:textId="77777777" w:rsidR="00D61ADB" w:rsidRPr="007114AF" w:rsidRDefault="00D61ADB" w:rsidP="00D61ADB">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2016-2020</w:t>
            </w:r>
          </w:p>
        </w:tc>
        <w:tc>
          <w:tcPr>
            <w:tcW w:w="0" w:type="auto"/>
            <w:vAlign w:val="center"/>
            <w:hideMark/>
          </w:tcPr>
          <w:p w14:paraId="6EDD09E0" w14:textId="77777777" w:rsidR="00D61ADB" w:rsidRPr="007114AF" w:rsidRDefault="00D61ADB" w:rsidP="00D61ADB">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PKZNK</w:t>
            </w:r>
          </w:p>
        </w:tc>
        <w:tc>
          <w:tcPr>
            <w:tcW w:w="0" w:type="auto"/>
            <w:vAlign w:val="center"/>
          </w:tcPr>
          <w:p w14:paraId="6EDD09E1" w14:textId="77777777" w:rsidR="00D61ADB" w:rsidRPr="007114AF" w:rsidRDefault="00D61ADB" w:rsidP="00D61ADB">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Mundësuese</w:t>
            </w:r>
          </w:p>
        </w:tc>
        <w:tc>
          <w:tcPr>
            <w:tcW w:w="0" w:type="auto"/>
            <w:vAlign w:val="center"/>
            <w:hideMark/>
          </w:tcPr>
          <w:p w14:paraId="6EDD09E2" w14:textId="77777777" w:rsidR="00D61ADB" w:rsidRPr="007114AF" w:rsidRDefault="00D61ADB" w:rsidP="00D61ADB">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117,500.00</w:t>
            </w:r>
          </w:p>
        </w:tc>
        <w:tc>
          <w:tcPr>
            <w:tcW w:w="0" w:type="auto"/>
            <w:vAlign w:val="center"/>
            <w:hideMark/>
          </w:tcPr>
          <w:p w14:paraId="6EDD09E3" w14:textId="77777777" w:rsidR="00D61ADB" w:rsidRPr="007114AF" w:rsidRDefault="00D61ADB" w:rsidP="00D61ADB">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117,500.00</w:t>
            </w:r>
          </w:p>
        </w:tc>
        <w:tc>
          <w:tcPr>
            <w:tcW w:w="0" w:type="auto"/>
            <w:noWrap/>
            <w:vAlign w:val="center"/>
            <w:hideMark/>
          </w:tcPr>
          <w:p w14:paraId="6EDD09E4" w14:textId="77777777" w:rsidR="00D61ADB" w:rsidRPr="007114AF" w:rsidRDefault="00D61ADB" w:rsidP="00D61ADB">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tc>
        <w:tc>
          <w:tcPr>
            <w:tcW w:w="0" w:type="auto"/>
            <w:noWrap/>
            <w:vAlign w:val="center"/>
            <w:hideMark/>
          </w:tcPr>
          <w:p w14:paraId="6EDD09E5" w14:textId="77777777" w:rsidR="00D61ADB" w:rsidRPr="007114AF" w:rsidRDefault="00D61ADB" w:rsidP="00D61ADB">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tc>
        <w:tc>
          <w:tcPr>
            <w:tcW w:w="0" w:type="auto"/>
            <w:noWrap/>
            <w:vAlign w:val="center"/>
            <w:hideMark/>
          </w:tcPr>
          <w:p w14:paraId="6EDD09E6" w14:textId="77777777" w:rsidR="00D61ADB" w:rsidRPr="007114AF" w:rsidRDefault="00D61ADB" w:rsidP="00D61ADB">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tc>
        <w:tc>
          <w:tcPr>
            <w:tcW w:w="0" w:type="auto"/>
            <w:vAlign w:val="center"/>
            <w:hideMark/>
          </w:tcPr>
          <w:p w14:paraId="6EDD09E7" w14:textId="3809357E" w:rsidR="00D61ADB" w:rsidRPr="007114AF" w:rsidRDefault="00D61ADB" w:rsidP="00D61ADB">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xml:space="preserve">SMNS: rezultati A, Programi </w:t>
            </w:r>
            <w:r w:rsidR="000A2A01" w:rsidRPr="007114AF">
              <w:rPr>
                <w:rFonts w:ascii="Garamond" w:eastAsia="Times New Roman" w:hAnsi="Garamond" w:cs="Times New Roman"/>
                <w:sz w:val="18"/>
                <w:szCs w:val="18"/>
              </w:rPr>
              <w:t>“</w:t>
            </w:r>
            <w:r w:rsidRPr="007114AF">
              <w:rPr>
                <w:rFonts w:ascii="Garamond" w:eastAsia="Times New Roman" w:hAnsi="Garamond" w:cs="Times New Roman"/>
                <w:sz w:val="18"/>
                <w:szCs w:val="18"/>
              </w:rPr>
              <w:t>Menaxhimi i qëndrueshëm i tokës</w:t>
            </w:r>
            <w:r w:rsidR="000A2A01" w:rsidRPr="007114AF">
              <w:rPr>
                <w:rFonts w:ascii="Garamond" w:eastAsia="Times New Roman" w:hAnsi="Garamond" w:cs="Times New Roman"/>
                <w:sz w:val="18"/>
                <w:szCs w:val="18"/>
              </w:rPr>
              <w:t>”</w:t>
            </w:r>
          </w:p>
        </w:tc>
      </w:tr>
      <w:tr w:rsidR="00D61ADB" w:rsidRPr="007114AF" w14:paraId="6EDD09F4" w14:textId="77777777" w:rsidTr="00D61ADB">
        <w:trPr>
          <w:trHeight w:val="20"/>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6EDD09E9" w14:textId="77777777" w:rsidR="00D61ADB" w:rsidRPr="007114AF" w:rsidRDefault="00D61ADB" w:rsidP="00D61ADB">
            <w:pPr>
              <w:spacing w:after="0"/>
              <w:rPr>
                <w:rFonts w:ascii="Garamond" w:eastAsia="Times New Roman" w:hAnsi="Garamond" w:cs="Times New Roman"/>
                <w:sz w:val="18"/>
                <w:szCs w:val="18"/>
              </w:rPr>
            </w:pPr>
            <w:r w:rsidRPr="007114AF">
              <w:rPr>
                <w:rFonts w:ascii="Garamond" w:eastAsia="Times New Roman" w:hAnsi="Garamond" w:cs="Times New Roman"/>
                <w:sz w:val="18"/>
                <w:szCs w:val="18"/>
              </w:rPr>
              <w:lastRenderedPageBreak/>
              <w:t>A16</w:t>
            </w:r>
          </w:p>
        </w:tc>
        <w:tc>
          <w:tcPr>
            <w:tcW w:w="0" w:type="auto"/>
            <w:vAlign w:val="center"/>
            <w:hideMark/>
          </w:tcPr>
          <w:p w14:paraId="6EDD09EA" w14:textId="77777777" w:rsidR="00D61ADB" w:rsidRPr="007114AF" w:rsidRDefault="00D61ADB" w:rsidP="00D61ADB">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xml:space="preserve">Fuqizimi i sistemit të kërkimit, zhvillimin teknologjik dhe risive në bujqësi </w:t>
            </w:r>
          </w:p>
        </w:tc>
        <w:tc>
          <w:tcPr>
            <w:tcW w:w="0" w:type="auto"/>
            <w:vAlign w:val="center"/>
            <w:hideMark/>
          </w:tcPr>
          <w:p w14:paraId="6EDD09EB" w14:textId="77777777" w:rsidR="00D61ADB" w:rsidRPr="007114AF" w:rsidRDefault="00D61ADB" w:rsidP="00D61ADB">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2020</w:t>
            </w:r>
          </w:p>
        </w:tc>
        <w:tc>
          <w:tcPr>
            <w:tcW w:w="0" w:type="auto"/>
            <w:vAlign w:val="center"/>
            <w:hideMark/>
          </w:tcPr>
          <w:p w14:paraId="6EDD09EC" w14:textId="77777777" w:rsidR="00D61ADB" w:rsidRPr="007114AF" w:rsidRDefault="00D61ADB" w:rsidP="00D61ADB">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PKT</w:t>
            </w:r>
          </w:p>
        </w:tc>
        <w:tc>
          <w:tcPr>
            <w:tcW w:w="0" w:type="auto"/>
            <w:vAlign w:val="center"/>
          </w:tcPr>
          <w:p w14:paraId="6EDD09ED" w14:textId="77777777" w:rsidR="00D61ADB" w:rsidRPr="007114AF" w:rsidRDefault="00D61ADB" w:rsidP="00D61ADB">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hAnsi="Garamond"/>
                <w:sz w:val="18"/>
                <w:szCs w:val="18"/>
              </w:rPr>
              <w:t>Indirekte</w:t>
            </w:r>
          </w:p>
        </w:tc>
        <w:tc>
          <w:tcPr>
            <w:tcW w:w="0" w:type="auto"/>
            <w:vAlign w:val="center"/>
            <w:hideMark/>
          </w:tcPr>
          <w:p w14:paraId="6EDD09EE" w14:textId="77777777" w:rsidR="00D61ADB" w:rsidRPr="007114AF" w:rsidRDefault="00D61ADB" w:rsidP="00D61ADB">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600,000.00</w:t>
            </w:r>
          </w:p>
        </w:tc>
        <w:tc>
          <w:tcPr>
            <w:tcW w:w="0" w:type="auto"/>
            <w:noWrap/>
            <w:vAlign w:val="center"/>
            <w:hideMark/>
          </w:tcPr>
          <w:p w14:paraId="6EDD09EF" w14:textId="77777777" w:rsidR="00D61ADB" w:rsidRPr="007114AF" w:rsidRDefault="00D61ADB" w:rsidP="00D61ADB">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tc>
        <w:tc>
          <w:tcPr>
            <w:tcW w:w="0" w:type="auto"/>
            <w:noWrap/>
            <w:vAlign w:val="center"/>
            <w:hideMark/>
          </w:tcPr>
          <w:p w14:paraId="6EDD09F0" w14:textId="77777777" w:rsidR="00D61ADB" w:rsidRPr="007114AF" w:rsidRDefault="00D61ADB" w:rsidP="00D61ADB">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tc>
        <w:tc>
          <w:tcPr>
            <w:tcW w:w="0" w:type="auto"/>
            <w:noWrap/>
            <w:vAlign w:val="center"/>
            <w:hideMark/>
          </w:tcPr>
          <w:p w14:paraId="6EDD09F1" w14:textId="77777777" w:rsidR="00D61ADB" w:rsidRPr="007114AF" w:rsidRDefault="00D61ADB" w:rsidP="00D61ADB">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tc>
        <w:tc>
          <w:tcPr>
            <w:tcW w:w="0" w:type="auto"/>
            <w:noWrap/>
            <w:vAlign w:val="center"/>
            <w:hideMark/>
          </w:tcPr>
          <w:p w14:paraId="6EDD09F2" w14:textId="77777777" w:rsidR="00D61ADB" w:rsidRPr="007114AF" w:rsidRDefault="00D61ADB" w:rsidP="00D61ADB">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600,000.00</w:t>
            </w:r>
          </w:p>
        </w:tc>
        <w:tc>
          <w:tcPr>
            <w:tcW w:w="0" w:type="auto"/>
            <w:vAlign w:val="center"/>
            <w:hideMark/>
          </w:tcPr>
          <w:p w14:paraId="6EDD09F3" w14:textId="77777777" w:rsidR="00D61ADB" w:rsidRPr="007114AF" w:rsidRDefault="00D61ADB" w:rsidP="00D61ADB">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Nuk ka impakt të drejtpërdrejtë në buxhetin qeveritar deri në 2019. Kostot llogaritet bazuar në shpenzimet e institucioneve të ngjashme</w:t>
            </w:r>
          </w:p>
        </w:tc>
      </w:tr>
      <w:tr w:rsidR="00D61ADB" w:rsidRPr="007114AF" w14:paraId="6EDD0A00" w14:textId="77777777" w:rsidTr="00D61ADB">
        <w:trPr>
          <w:trHeight w:val="20"/>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6EDD09F5" w14:textId="77777777" w:rsidR="00D61ADB" w:rsidRPr="007114AF" w:rsidRDefault="00D61ADB" w:rsidP="00D61ADB">
            <w:pPr>
              <w:spacing w:after="0"/>
              <w:rPr>
                <w:rFonts w:ascii="Garamond" w:eastAsia="Times New Roman" w:hAnsi="Garamond" w:cs="Times New Roman"/>
                <w:sz w:val="18"/>
                <w:szCs w:val="18"/>
              </w:rPr>
            </w:pPr>
            <w:r w:rsidRPr="007114AF">
              <w:rPr>
                <w:rFonts w:ascii="Garamond" w:eastAsia="Times New Roman" w:hAnsi="Garamond" w:cs="Times New Roman"/>
                <w:sz w:val="18"/>
                <w:szCs w:val="18"/>
              </w:rPr>
              <w:t>A17</w:t>
            </w:r>
          </w:p>
        </w:tc>
        <w:tc>
          <w:tcPr>
            <w:tcW w:w="0" w:type="auto"/>
            <w:vAlign w:val="center"/>
            <w:hideMark/>
          </w:tcPr>
          <w:p w14:paraId="6EDD09F6" w14:textId="77777777" w:rsidR="00D61ADB" w:rsidRPr="007114AF" w:rsidRDefault="00D61ADB" w:rsidP="00D61ADB">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Fuqizimi i sistemit të kërkimit, zhvillimin teknologjik dhe risive në bujqësi</w:t>
            </w:r>
          </w:p>
        </w:tc>
        <w:tc>
          <w:tcPr>
            <w:tcW w:w="0" w:type="auto"/>
            <w:vAlign w:val="center"/>
            <w:hideMark/>
          </w:tcPr>
          <w:p w14:paraId="6EDD09F7" w14:textId="77777777" w:rsidR="00D61ADB" w:rsidRPr="007114AF" w:rsidRDefault="00D61ADB" w:rsidP="00D61ADB">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2030</w:t>
            </w:r>
          </w:p>
        </w:tc>
        <w:tc>
          <w:tcPr>
            <w:tcW w:w="0" w:type="auto"/>
            <w:vAlign w:val="center"/>
            <w:hideMark/>
          </w:tcPr>
          <w:p w14:paraId="6EDD09F8" w14:textId="77777777" w:rsidR="00D61ADB" w:rsidRPr="007114AF" w:rsidRDefault="00D61ADB" w:rsidP="00D61ADB">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PKT; SNBZHR</w:t>
            </w:r>
          </w:p>
        </w:tc>
        <w:tc>
          <w:tcPr>
            <w:tcW w:w="0" w:type="auto"/>
            <w:vAlign w:val="center"/>
          </w:tcPr>
          <w:p w14:paraId="6EDD09F9" w14:textId="77777777" w:rsidR="00D61ADB" w:rsidRPr="007114AF" w:rsidRDefault="00D61ADB" w:rsidP="00D61ADB">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hAnsi="Garamond"/>
                <w:sz w:val="18"/>
                <w:szCs w:val="18"/>
              </w:rPr>
              <w:t>Indirekte</w:t>
            </w:r>
          </w:p>
        </w:tc>
        <w:tc>
          <w:tcPr>
            <w:tcW w:w="0" w:type="auto"/>
            <w:vAlign w:val="center"/>
            <w:hideMark/>
          </w:tcPr>
          <w:p w14:paraId="6EDD09FA" w14:textId="77777777" w:rsidR="00D61ADB" w:rsidRPr="007114AF" w:rsidRDefault="00D61ADB" w:rsidP="00D61ADB">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485,126.67</w:t>
            </w:r>
          </w:p>
        </w:tc>
        <w:tc>
          <w:tcPr>
            <w:tcW w:w="0" w:type="auto"/>
            <w:noWrap/>
            <w:vAlign w:val="center"/>
            <w:hideMark/>
          </w:tcPr>
          <w:p w14:paraId="6EDD09FB" w14:textId="77777777" w:rsidR="00D61ADB" w:rsidRPr="007114AF" w:rsidRDefault="00D61ADB" w:rsidP="00D61ADB">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tc>
        <w:tc>
          <w:tcPr>
            <w:tcW w:w="0" w:type="auto"/>
            <w:vAlign w:val="center"/>
            <w:hideMark/>
          </w:tcPr>
          <w:p w14:paraId="6EDD09FC" w14:textId="77777777" w:rsidR="00D61ADB" w:rsidRPr="007114AF" w:rsidRDefault="00D61ADB" w:rsidP="00D61ADB">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485,126.67</w:t>
            </w:r>
          </w:p>
        </w:tc>
        <w:tc>
          <w:tcPr>
            <w:tcW w:w="0" w:type="auto"/>
            <w:noWrap/>
            <w:vAlign w:val="center"/>
            <w:hideMark/>
          </w:tcPr>
          <w:p w14:paraId="6EDD09FD" w14:textId="77777777" w:rsidR="00D61ADB" w:rsidRPr="007114AF" w:rsidRDefault="00D61ADB" w:rsidP="00D61ADB">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tc>
        <w:tc>
          <w:tcPr>
            <w:tcW w:w="0" w:type="auto"/>
            <w:noWrap/>
            <w:vAlign w:val="center"/>
            <w:hideMark/>
          </w:tcPr>
          <w:p w14:paraId="6EDD09FE" w14:textId="77777777" w:rsidR="00D61ADB" w:rsidRPr="007114AF" w:rsidRDefault="00D61ADB" w:rsidP="00D61ADB">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tc>
        <w:tc>
          <w:tcPr>
            <w:tcW w:w="0" w:type="auto"/>
            <w:vAlign w:val="center"/>
            <w:hideMark/>
          </w:tcPr>
          <w:p w14:paraId="6EDD09FF" w14:textId="77777777" w:rsidR="00D61ADB" w:rsidRPr="007114AF" w:rsidRDefault="00D61ADB" w:rsidP="00D61ADB">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xml:space="preserve">Pjesë e buxhetit vjetor të alokuar në IPARD (5%) </w:t>
            </w:r>
          </w:p>
        </w:tc>
      </w:tr>
    </w:tbl>
    <w:p w14:paraId="6EDD0A01" w14:textId="77777777" w:rsidR="00C136A5" w:rsidRPr="007114AF" w:rsidRDefault="00C136A5" w:rsidP="00524E98">
      <w:pPr>
        <w:pStyle w:val="TEKSTI"/>
      </w:pPr>
    </w:p>
    <w:p w14:paraId="6EDD0A02" w14:textId="77777777" w:rsidR="00FB11EA" w:rsidRPr="007114AF" w:rsidRDefault="00FB11EA" w:rsidP="00FB11EA">
      <w:pPr>
        <w:pStyle w:val="TEKSTI"/>
        <w:rPr>
          <w:b/>
          <w:lang w:eastAsia="en-US"/>
        </w:rPr>
      </w:pPr>
      <w:bookmarkStart w:id="181" w:name="_Toc484424529"/>
      <w:r w:rsidRPr="007114AF">
        <w:rPr>
          <w:b/>
          <w:lang w:eastAsia="en-US"/>
        </w:rPr>
        <w:t>5.8.4 Ndryshimi i Përdorimit të Tokës dhe Pyjeve</w:t>
      </w:r>
      <w:bookmarkEnd w:id="181"/>
    </w:p>
    <w:tbl>
      <w:tblPr>
        <w:tblStyle w:val="GridTable1Light-Accent11"/>
        <w:tblW w:w="14574" w:type="dxa"/>
        <w:jc w:val="center"/>
        <w:tblLayout w:type="fixed"/>
        <w:tblLook w:val="04A0" w:firstRow="1" w:lastRow="0" w:firstColumn="1" w:lastColumn="0" w:noHBand="0" w:noVBand="1"/>
      </w:tblPr>
      <w:tblGrid>
        <w:gridCol w:w="534"/>
        <w:gridCol w:w="2126"/>
        <w:gridCol w:w="773"/>
        <w:gridCol w:w="928"/>
        <w:gridCol w:w="1134"/>
        <w:gridCol w:w="1134"/>
        <w:gridCol w:w="1276"/>
        <w:gridCol w:w="1134"/>
        <w:gridCol w:w="1275"/>
        <w:gridCol w:w="1276"/>
        <w:gridCol w:w="2984"/>
      </w:tblGrid>
      <w:tr w:rsidR="00D774C2" w:rsidRPr="007114AF" w14:paraId="6EDD0A0E" w14:textId="77777777" w:rsidTr="00D774C2">
        <w:trPr>
          <w:cnfStyle w:val="100000000000" w:firstRow="1" w:lastRow="0" w:firstColumn="0" w:lastColumn="0" w:oddVBand="0" w:evenVBand="0" w:oddHBand="0" w:evenHBand="0" w:firstRowFirstColumn="0" w:firstRowLastColumn="0" w:lastRowFirstColumn="0" w:lastRowLastColumn="0"/>
          <w:cantSplit/>
          <w:trHeight w:val="20"/>
          <w:tblHeader/>
          <w:jc w:val="center"/>
        </w:trPr>
        <w:tc>
          <w:tcPr>
            <w:cnfStyle w:val="001000000000" w:firstRow="0" w:lastRow="0" w:firstColumn="1" w:lastColumn="0" w:oddVBand="0" w:evenVBand="0" w:oddHBand="0" w:evenHBand="0" w:firstRowFirstColumn="0" w:firstRowLastColumn="0" w:lastRowFirstColumn="0" w:lastRowLastColumn="0"/>
            <w:tcW w:w="534" w:type="dxa"/>
            <w:vAlign w:val="center"/>
            <w:hideMark/>
          </w:tcPr>
          <w:p w14:paraId="6EDD0A03" w14:textId="77777777" w:rsidR="00D774C2" w:rsidRPr="007114AF" w:rsidRDefault="00D774C2" w:rsidP="00D774C2">
            <w:pPr>
              <w:spacing w:after="0"/>
              <w:rPr>
                <w:rFonts w:ascii="Garamond" w:eastAsia="Times New Roman" w:hAnsi="Garamond" w:cs="Times New Roman"/>
                <w:sz w:val="18"/>
                <w:szCs w:val="18"/>
              </w:rPr>
            </w:pPr>
            <w:r w:rsidRPr="007114AF">
              <w:rPr>
                <w:rFonts w:ascii="Garamond" w:eastAsia="Times New Roman" w:hAnsi="Garamond" w:cs="Times New Roman"/>
                <w:sz w:val="18"/>
                <w:szCs w:val="18"/>
              </w:rPr>
              <w:t>ID</w:t>
            </w:r>
          </w:p>
        </w:tc>
        <w:tc>
          <w:tcPr>
            <w:tcW w:w="2126" w:type="dxa"/>
            <w:vAlign w:val="center"/>
            <w:hideMark/>
          </w:tcPr>
          <w:p w14:paraId="6EDD0A04" w14:textId="77777777" w:rsidR="00D774C2" w:rsidRPr="007114AF" w:rsidRDefault="00D774C2" w:rsidP="00D774C2">
            <w:pPr>
              <w:spacing w:after="0"/>
              <w:cnfStyle w:val="100000000000" w:firstRow="1" w:lastRow="0" w:firstColumn="0" w:lastColumn="0" w:oddVBand="0" w:evenVBand="0" w:oddHBand="0" w:evenHBand="0" w:firstRowFirstColumn="0" w:firstRowLastColumn="0" w:lastRowFirstColumn="0" w:lastRowLastColumn="0"/>
              <w:rPr>
                <w:rFonts w:ascii="Garamond" w:eastAsia="Times New Roman" w:hAnsi="Garamond" w:cs="Times New Roman"/>
                <w:bCs w:val="0"/>
                <w:sz w:val="18"/>
                <w:szCs w:val="18"/>
              </w:rPr>
            </w:pPr>
            <w:r w:rsidRPr="007114AF">
              <w:rPr>
                <w:rFonts w:ascii="Garamond" w:eastAsia="Times New Roman" w:hAnsi="Garamond" w:cs="Times New Roman"/>
                <w:sz w:val="18"/>
                <w:szCs w:val="18"/>
              </w:rPr>
              <w:t>Masa</w:t>
            </w:r>
          </w:p>
        </w:tc>
        <w:tc>
          <w:tcPr>
            <w:tcW w:w="773" w:type="dxa"/>
            <w:vAlign w:val="center"/>
            <w:hideMark/>
          </w:tcPr>
          <w:p w14:paraId="6EDD0A05" w14:textId="77777777" w:rsidR="00D774C2" w:rsidRPr="007114AF" w:rsidRDefault="00D774C2" w:rsidP="00D774C2">
            <w:pPr>
              <w:spacing w:after="0"/>
              <w:cnfStyle w:val="100000000000" w:firstRow="1" w:lastRow="0" w:firstColumn="0" w:lastColumn="0" w:oddVBand="0" w:evenVBand="0" w:oddHBand="0" w:evenHBand="0" w:firstRowFirstColumn="0" w:firstRowLastColumn="0" w:lastRowFirstColumn="0" w:lastRowLastColumn="0"/>
              <w:rPr>
                <w:rFonts w:ascii="Garamond" w:eastAsia="Times New Roman" w:hAnsi="Garamond" w:cs="Times New Roman"/>
                <w:bCs w:val="0"/>
                <w:sz w:val="18"/>
                <w:szCs w:val="18"/>
              </w:rPr>
            </w:pPr>
            <w:r w:rsidRPr="007114AF">
              <w:rPr>
                <w:rFonts w:ascii="Garamond" w:eastAsia="Times New Roman" w:hAnsi="Garamond" w:cs="Times New Roman"/>
                <w:sz w:val="18"/>
                <w:szCs w:val="18"/>
              </w:rPr>
              <w:t>Viti/periudha</w:t>
            </w:r>
          </w:p>
        </w:tc>
        <w:tc>
          <w:tcPr>
            <w:tcW w:w="928" w:type="dxa"/>
            <w:vAlign w:val="center"/>
            <w:hideMark/>
          </w:tcPr>
          <w:p w14:paraId="6EDD0A06" w14:textId="77777777" w:rsidR="00D774C2" w:rsidRPr="007114AF" w:rsidRDefault="00D774C2" w:rsidP="00D774C2">
            <w:pPr>
              <w:spacing w:after="0"/>
              <w:cnfStyle w:val="100000000000" w:firstRow="1" w:lastRow="0" w:firstColumn="0" w:lastColumn="0" w:oddVBand="0" w:evenVBand="0" w:oddHBand="0" w:evenHBand="0" w:firstRowFirstColumn="0" w:firstRowLastColumn="0" w:lastRowFirstColumn="0" w:lastRowLastColumn="0"/>
              <w:rPr>
                <w:rFonts w:ascii="Garamond" w:eastAsia="Times New Roman" w:hAnsi="Garamond" w:cs="Times New Roman"/>
                <w:bCs w:val="0"/>
                <w:sz w:val="18"/>
                <w:szCs w:val="18"/>
              </w:rPr>
            </w:pPr>
            <w:r w:rsidRPr="007114AF">
              <w:rPr>
                <w:rFonts w:ascii="Garamond" w:eastAsia="Times New Roman" w:hAnsi="Garamond" w:cs="Times New Roman"/>
                <w:sz w:val="18"/>
                <w:szCs w:val="18"/>
              </w:rPr>
              <w:t>Burimi</w:t>
            </w:r>
          </w:p>
        </w:tc>
        <w:tc>
          <w:tcPr>
            <w:tcW w:w="1134" w:type="dxa"/>
            <w:vAlign w:val="center"/>
          </w:tcPr>
          <w:p w14:paraId="6EDD0A07" w14:textId="77777777" w:rsidR="00D774C2" w:rsidRPr="007114AF" w:rsidRDefault="00D774C2" w:rsidP="00D774C2">
            <w:pPr>
              <w:spacing w:after="0"/>
              <w:cnfStyle w:val="100000000000" w:firstRow="1" w:lastRow="0" w:firstColumn="0" w:lastColumn="0" w:oddVBand="0" w:evenVBand="0" w:oddHBand="0" w:evenHBand="0" w:firstRowFirstColumn="0" w:firstRowLastColumn="0" w:lastRowFirstColumn="0" w:lastRowLastColumn="0"/>
              <w:rPr>
                <w:rFonts w:ascii="Garamond" w:eastAsia="Times New Roman" w:hAnsi="Garamond" w:cs="Times New Roman"/>
                <w:bCs w:val="0"/>
                <w:sz w:val="18"/>
                <w:szCs w:val="18"/>
              </w:rPr>
            </w:pPr>
            <w:r w:rsidRPr="007114AF">
              <w:rPr>
                <w:rFonts w:ascii="Garamond" w:hAnsi="Garamond"/>
                <w:sz w:val="18"/>
                <w:szCs w:val="18"/>
              </w:rPr>
              <w:t>Lloji i efektit</w:t>
            </w:r>
          </w:p>
        </w:tc>
        <w:tc>
          <w:tcPr>
            <w:tcW w:w="1134" w:type="dxa"/>
            <w:vAlign w:val="center"/>
            <w:hideMark/>
          </w:tcPr>
          <w:p w14:paraId="6EDD0A08" w14:textId="77777777" w:rsidR="00D774C2" w:rsidRPr="007114AF" w:rsidRDefault="00D774C2" w:rsidP="00D774C2">
            <w:pPr>
              <w:spacing w:after="0"/>
              <w:cnfStyle w:val="100000000000" w:firstRow="1" w:lastRow="0" w:firstColumn="0" w:lastColumn="0" w:oddVBand="0" w:evenVBand="0" w:oddHBand="0" w:evenHBand="0" w:firstRowFirstColumn="0" w:firstRowLastColumn="0" w:lastRowFirstColumn="0" w:lastRowLastColumn="0"/>
              <w:rPr>
                <w:rFonts w:ascii="Garamond" w:eastAsia="Times New Roman" w:hAnsi="Garamond" w:cs="Times New Roman"/>
                <w:bCs w:val="0"/>
                <w:sz w:val="18"/>
                <w:szCs w:val="18"/>
              </w:rPr>
            </w:pPr>
            <w:r w:rsidRPr="007114AF">
              <w:rPr>
                <w:rFonts w:ascii="Garamond" w:eastAsia="Times New Roman" w:hAnsi="Garamond" w:cs="Times New Roman"/>
                <w:sz w:val="18"/>
                <w:szCs w:val="18"/>
              </w:rPr>
              <w:t>Kosto Totale në mijëra ALL</w:t>
            </w:r>
          </w:p>
        </w:tc>
        <w:tc>
          <w:tcPr>
            <w:tcW w:w="1276" w:type="dxa"/>
            <w:vAlign w:val="center"/>
            <w:hideMark/>
          </w:tcPr>
          <w:p w14:paraId="6EDD0A09" w14:textId="77777777" w:rsidR="00D774C2" w:rsidRPr="007114AF" w:rsidRDefault="00D774C2" w:rsidP="00D774C2">
            <w:pPr>
              <w:spacing w:after="0"/>
              <w:cnfStyle w:val="100000000000" w:firstRow="1" w:lastRow="0" w:firstColumn="0" w:lastColumn="0" w:oddVBand="0" w:evenVBand="0" w:oddHBand="0" w:evenHBand="0" w:firstRowFirstColumn="0" w:firstRowLastColumn="0" w:lastRowFirstColumn="0" w:lastRowLastColumn="0"/>
              <w:rPr>
                <w:rFonts w:ascii="Garamond" w:eastAsia="Times New Roman" w:hAnsi="Garamond" w:cs="Times New Roman"/>
                <w:bCs w:val="0"/>
                <w:sz w:val="18"/>
                <w:szCs w:val="18"/>
              </w:rPr>
            </w:pPr>
            <w:r w:rsidRPr="007114AF">
              <w:rPr>
                <w:rFonts w:ascii="Garamond" w:eastAsia="Times New Roman" w:hAnsi="Garamond" w:cs="Times New Roman"/>
                <w:sz w:val="18"/>
                <w:szCs w:val="18"/>
              </w:rPr>
              <w:t>Buxheti i Shtetit</w:t>
            </w:r>
          </w:p>
        </w:tc>
        <w:tc>
          <w:tcPr>
            <w:tcW w:w="1134" w:type="dxa"/>
            <w:vAlign w:val="center"/>
            <w:hideMark/>
          </w:tcPr>
          <w:p w14:paraId="6EDD0A0A" w14:textId="77777777" w:rsidR="00D774C2" w:rsidRPr="007114AF" w:rsidRDefault="00D774C2" w:rsidP="00D774C2">
            <w:pPr>
              <w:spacing w:after="0"/>
              <w:cnfStyle w:val="100000000000" w:firstRow="1" w:lastRow="0" w:firstColumn="0" w:lastColumn="0" w:oddVBand="0" w:evenVBand="0" w:oddHBand="0" w:evenHBand="0" w:firstRowFirstColumn="0" w:firstRowLastColumn="0" w:lastRowFirstColumn="0" w:lastRowLastColumn="0"/>
              <w:rPr>
                <w:rFonts w:ascii="Garamond" w:eastAsia="Times New Roman" w:hAnsi="Garamond" w:cs="Times New Roman"/>
                <w:bCs w:val="0"/>
                <w:sz w:val="18"/>
                <w:szCs w:val="18"/>
              </w:rPr>
            </w:pPr>
            <w:r w:rsidRPr="007114AF">
              <w:rPr>
                <w:rFonts w:ascii="Garamond" w:eastAsia="Times New Roman" w:hAnsi="Garamond" w:cs="Times New Roman"/>
                <w:sz w:val="18"/>
                <w:szCs w:val="18"/>
              </w:rPr>
              <w:t>Donatorët</w:t>
            </w:r>
          </w:p>
        </w:tc>
        <w:tc>
          <w:tcPr>
            <w:tcW w:w="1275" w:type="dxa"/>
            <w:vAlign w:val="center"/>
            <w:hideMark/>
          </w:tcPr>
          <w:p w14:paraId="6EDD0A0B" w14:textId="77777777" w:rsidR="00D774C2" w:rsidRPr="007114AF" w:rsidRDefault="00D774C2" w:rsidP="00D774C2">
            <w:pPr>
              <w:spacing w:after="0"/>
              <w:cnfStyle w:val="100000000000" w:firstRow="1" w:lastRow="0" w:firstColumn="0" w:lastColumn="0" w:oddVBand="0" w:evenVBand="0" w:oddHBand="0" w:evenHBand="0" w:firstRowFirstColumn="0" w:firstRowLastColumn="0" w:lastRowFirstColumn="0" w:lastRowLastColumn="0"/>
              <w:rPr>
                <w:rFonts w:ascii="Garamond" w:eastAsia="Times New Roman" w:hAnsi="Garamond" w:cs="Times New Roman"/>
                <w:bCs w:val="0"/>
                <w:sz w:val="18"/>
                <w:szCs w:val="18"/>
              </w:rPr>
            </w:pPr>
            <w:r w:rsidRPr="007114AF">
              <w:rPr>
                <w:rFonts w:ascii="Garamond" w:eastAsia="Times New Roman" w:hAnsi="Garamond" w:cs="Times New Roman"/>
                <w:sz w:val="18"/>
                <w:szCs w:val="18"/>
              </w:rPr>
              <w:t>Tjetër</w:t>
            </w:r>
          </w:p>
        </w:tc>
        <w:tc>
          <w:tcPr>
            <w:tcW w:w="1276" w:type="dxa"/>
            <w:vAlign w:val="center"/>
            <w:hideMark/>
          </w:tcPr>
          <w:p w14:paraId="6EDD0A0C" w14:textId="77777777" w:rsidR="00D774C2" w:rsidRPr="007114AF" w:rsidRDefault="00D774C2" w:rsidP="00D774C2">
            <w:pPr>
              <w:spacing w:after="0"/>
              <w:cnfStyle w:val="100000000000" w:firstRow="1" w:lastRow="0" w:firstColumn="0" w:lastColumn="0" w:oddVBand="0" w:evenVBand="0" w:oddHBand="0" w:evenHBand="0" w:firstRowFirstColumn="0" w:firstRowLastColumn="0" w:lastRowFirstColumn="0" w:lastRowLastColumn="0"/>
              <w:rPr>
                <w:rFonts w:ascii="Garamond" w:eastAsia="Times New Roman" w:hAnsi="Garamond" w:cs="Times New Roman"/>
                <w:bCs w:val="0"/>
                <w:sz w:val="18"/>
                <w:szCs w:val="18"/>
              </w:rPr>
            </w:pPr>
            <w:r w:rsidRPr="007114AF">
              <w:rPr>
                <w:rFonts w:ascii="Garamond" w:eastAsia="Times New Roman" w:hAnsi="Garamond" w:cs="Times New Roman"/>
                <w:sz w:val="18"/>
                <w:szCs w:val="18"/>
              </w:rPr>
              <w:t>Hapësira Financiare</w:t>
            </w:r>
          </w:p>
        </w:tc>
        <w:tc>
          <w:tcPr>
            <w:tcW w:w="2984" w:type="dxa"/>
            <w:noWrap/>
            <w:vAlign w:val="center"/>
            <w:hideMark/>
          </w:tcPr>
          <w:p w14:paraId="6EDD0A0D" w14:textId="77777777" w:rsidR="00D774C2" w:rsidRPr="007114AF" w:rsidRDefault="00D774C2" w:rsidP="00D774C2">
            <w:pPr>
              <w:spacing w:after="0"/>
              <w:cnfStyle w:val="100000000000" w:firstRow="1" w:lastRow="0" w:firstColumn="0" w:lastColumn="0" w:oddVBand="0" w:evenVBand="0" w:oddHBand="0" w:evenHBand="0" w:firstRowFirstColumn="0" w:firstRowLastColumn="0" w:lastRowFirstColumn="0" w:lastRowLastColumn="0"/>
              <w:rPr>
                <w:rFonts w:ascii="Garamond" w:eastAsia="Times New Roman" w:hAnsi="Garamond" w:cs="Times New Roman"/>
                <w:bCs w:val="0"/>
                <w:sz w:val="18"/>
                <w:szCs w:val="18"/>
              </w:rPr>
            </w:pPr>
            <w:r w:rsidRPr="007114AF">
              <w:rPr>
                <w:rFonts w:ascii="Garamond" w:eastAsia="Times New Roman" w:hAnsi="Garamond" w:cs="Times New Roman"/>
                <w:sz w:val="18"/>
                <w:szCs w:val="18"/>
              </w:rPr>
              <w:t>Shënim mbi kostot</w:t>
            </w:r>
          </w:p>
        </w:tc>
      </w:tr>
      <w:tr w:rsidR="00D774C2" w:rsidRPr="007114AF" w14:paraId="6EDD0A1A" w14:textId="77777777" w:rsidTr="00D774C2">
        <w:trPr>
          <w:trHeight w:val="20"/>
          <w:jc w:val="center"/>
        </w:trPr>
        <w:tc>
          <w:tcPr>
            <w:cnfStyle w:val="001000000000" w:firstRow="0" w:lastRow="0" w:firstColumn="1" w:lastColumn="0" w:oddVBand="0" w:evenVBand="0" w:oddHBand="0" w:evenHBand="0" w:firstRowFirstColumn="0" w:firstRowLastColumn="0" w:lastRowFirstColumn="0" w:lastRowLastColumn="0"/>
            <w:tcW w:w="534" w:type="dxa"/>
            <w:vAlign w:val="center"/>
            <w:hideMark/>
          </w:tcPr>
          <w:p w14:paraId="6EDD0A0F" w14:textId="77777777" w:rsidR="00D774C2" w:rsidRPr="007114AF" w:rsidRDefault="00D774C2" w:rsidP="00D774C2">
            <w:pPr>
              <w:spacing w:after="0"/>
              <w:rPr>
                <w:rFonts w:ascii="Garamond" w:eastAsia="Times New Roman" w:hAnsi="Garamond" w:cs="Times New Roman"/>
                <w:sz w:val="18"/>
                <w:szCs w:val="18"/>
              </w:rPr>
            </w:pPr>
            <w:r w:rsidRPr="007114AF">
              <w:rPr>
                <w:rFonts w:ascii="Garamond" w:eastAsia="Times New Roman" w:hAnsi="Garamond" w:cs="Times New Roman"/>
                <w:sz w:val="18"/>
                <w:szCs w:val="18"/>
              </w:rPr>
              <w:t>L1</w:t>
            </w:r>
          </w:p>
        </w:tc>
        <w:tc>
          <w:tcPr>
            <w:tcW w:w="2126" w:type="dxa"/>
            <w:vAlign w:val="center"/>
            <w:hideMark/>
          </w:tcPr>
          <w:p w14:paraId="6EDD0A10"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Përfundimi i kuadrit ligjor kombëtar për natyrën dhe biodiversitetin</w:t>
            </w:r>
          </w:p>
        </w:tc>
        <w:tc>
          <w:tcPr>
            <w:tcW w:w="773" w:type="dxa"/>
            <w:vAlign w:val="center"/>
            <w:hideMark/>
          </w:tcPr>
          <w:p w14:paraId="6EDD0A11"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2016-2018</w:t>
            </w:r>
          </w:p>
        </w:tc>
        <w:tc>
          <w:tcPr>
            <w:tcW w:w="928" w:type="dxa"/>
            <w:vAlign w:val="center"/>
            <w:hideMark/>
          </w:tcPr>
          <w:p w14:paraId="6EDD0A12"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DPSMB</w:t>
            </w:r>
          </w:p>
        </w:tc>
        <w:tc>
          <w:tcPr>
            <w:tcW w:w="1134" w:type="dxa"/>
            <w:vAlign w:val="center"/>
          </w:tcPr>
          <w:p w14:paraId="6EDD0A13"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Mundësuese</w:t>
            </w:r>
          </w:p>
        </w:tc>
        <w:tc>
          <w:tcPr>
            <w:tcW w:w="1134" w:type="dxa"/>
            <w:noWrap/>
            <w:vAlign w:val="center"/>
            <w:hideMark/>
          </w:tcPr>
          <w:p w14:paraId="6EDD0A14"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6,115.00</w:t>
            </w:r>
          </w:p>
        </w:tc>
        <w:tc>
          <w:tcPr>
            <w:tcW w:w="1276" w:type="dxa"/>
            <w:noWrap/>
            <w:vAlign w:val="center"/>
            <w:hideMark/>
          </w:tcPr>
          <w:p w14:paraId="6EDD0A15"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6,115.00</w:t>
            </w:r>
          </w:p>
        </w:tc>
        <w:tc>
          <w:tcPr>
            <w:tcW w:w="1134" w:type="dxa"/>
            <w:noWrap/>
            <w:vAlign w:val="center"/>
            <w:hideMark/>
          </w:tcPr>
          <w:p w14:paraId="6EDD0A16"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1275" w:type="dxa"/>
            <w:noWrap/>
            <w:vAlign w:val="center"/>
            <w:hideMark/>
          </w:tcPr>
          <w:p w14:paraId="6EDD0A17"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1276" w:type="dxa"/>
            <w:noWrap/>
            <w:vAlign w:val="center"/>
            <w:hideMark/>
          </w:tcPr>
          <w:p w14:paraId="6EDD0A18"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2984" w:type="dxa"/>
            <w:vAlign w:val="center"/>
            <w:hideMark/>
          </w:tcPr>
          <w:p w14:paraId="6EDD0A19"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Pjesë e buxhetit të alokuarpër përfundimin total të kuadrit ligjor kombëtar për natyrën dhe biodiversitetin. Kostoja e identifikuar në Masën 1 të DPSMB.</w:t>
            </w:r>
          </w:p>
        </w:tc>
      </w:tr>
      <w:tr w:rsidR="00D774C2" w:rsidRPr="007114AF" w14:paraId="6EDD0A26" w14:textId="77777777" w:rsidTr="00D774C2">
        <w:trPr>
          <w:trHeight w:val="20"/>
          <w:jc w:val="center"/>
        </w:trPr>
        <w:tc>
          <w:tcPr>
            <w:cnfStyle w:val="001000000000" w:firstRow="0" w:lastRow="0" w:firstColumn="1" w:lastColumn="0" w:oddVBand="0" w:evenVBand="0" w:oddHBand="0" w:evenHBand="0" w:firstRowFirstColumn="0" w:firstRowLastColumn="0" w:lastRowFirstColumn="0" w:lastRowLastColumn="0"/>
            <w:tcW w:w="534" w:type="dxa"/>
            <w:vAlign w:val="center"/>
            <w:hideMark/>
          </w:tcPr>
          <w:p w14:paraId="6EDD0A1B" w14:textId="77777777" w:rsidR="00D774C2" w:rsidRPr="007114AF" w:rsidRDefault="00D774C2" w:rsidP="00D774C2">
            <w:pPr>
              <w:spacing w:after="0"/>
              <w:rPr>
                <w:rFonts w:ascii="Garamond" w:eastAsia="Times New Roman" w:hAnsi="Garamond" w:cs="Times New Roman"/>
                <w:sz w:val="18"/>
                <w:szCs w:val="18"/>
              </w:rPr>
            </w:pPr>
            <w:r w:rsidRPr="007114AF">
              <w:rPr>
                <w:rFonts w:ascii="Garamond" w:eastAsia="Times New Roman" w:hAnsi="Garamond" w:cs="Times New Roman"/>
                <w:sz w:val="18"/>
                <w:szCs w:val="18"/>
              </w:rPr>
              <w:t>L2</w:t>
            </w:r>
          </w:p>
        </w:tc>
        <w:tc>
          <w:tcPr>
            <w:tcW w:w="2126" w:type="dxa"/>
            <w:vAlign w:val="center"/>
            <w:hideMark/>
          </w:tcPr>
          <w:p w14:paraId="6EDD0A1C"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Zgjerimi i zonave të mbrojtura dhe përmirësimi i menaxhimit të tyre</w:t>
            </w:r>
          </w:p>
        </w:tc>
        <w:tc>
          <w:tcPr>
            <w:tcW w:w="773" w:type="dxa"/>
            <w:vAlign w:val="center"/>
            <w:hideMark/>
          </w:tcPr>
          <w:p w14:paraId="6EDD0A1D"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2016-2020</w:t>
            </w:r>
          </w:p>
        </w:tc>
        <w:tc>
          <w:tcPr>
            <w:tcW w:w="928" w:type="dxa"/>
            <w:vAlign w:val="center"/>
            <w:hideMark/>
          </w:tcPr>
          <w:p w14:paraId="6EDD0A1E"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SMNS; NSDI-II; DPSMB; PKT</w:t>
            </w:r>
          </w:p>
        </w:tc>
        <w:tc>
          <w:tcPr>
            <w:tcW w:w="1134" w:type="dxa"/>
            <w:vAlign w:val="center"/>
          </w:tcPr>
          <w:p w14:paraId="6EDD0A1F"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hAnsi="Garamond"/>
                <w:sz w:val="18"/>
                <w:szCs w:val="18"/>
              </w:rPr>
              <w:t>Direkte</w:t>
            </w:r>
          </w:p>
        </w:tc>
        <w:tc>
          <w:tcPr>
            <w:tcW w:w="1134" w:type="dxa"/>
            <w:noWrap/>
            <w:vAlign w:val="center"/>
            <w:hideMark/>
          </w:tcPr>
          <w:p w14:paraId="6EDD0A20"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76,504.00</w:t>
            </w:r>
          </w:p>
        </w:tc>
        <w:tc>
          <w:tcPr>
            <w:tcW w:w="1276" w:type="dxa"/>
            <w:noWrap/>
            <w:vAlign w:val="center"/>
            <w:hideMark/>
          </w:tcPr>
          <w:p w14:paraId="6EDD0A21"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1134" w:type="dxa"/>
            <w:noWrap/>
            <w:vAlign w:val="center"/>
            <w:hideMark/>
          </w:tcPr>
          <w:p w14:paraId="6EDD0A22"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76,504.00</w:t>
            </w:r>
          </w:p>
        </w:tc>
        <w:tc>
          <w:tcPr>
            <w:tcW w:w="1275" w:type="dxa"/>
            <w:noWrap/>
            <w:vAlign w:val="center"/>
            <w:hideMark/>
          </w:tcPr>
          <w:p w14:paraId="6EDD0A23"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1276" w:type="dxa"/>
            <w:noWrap/>
            <w:vAlign w:val="center"/>
            <w:hideMark/>
          </w:tcPr>
          <w:p w14:paraId="6EDD0A24"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2984" w:type="dxa"/>
            <w:vAlign w:val="center"/>
            <w:hideMark/>
          </w:tcPr>
          <w:p w14:paraId="6EDD0A25"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Projekti IPA 2013 Natyra 2000 (Lista e FI 2017-2020)</w:t>
            </w:r>
          </w:p>
        </w:tc>
      </w:tr>
      <w:tr w:rsidR="00D774C2" w:rsidRPr="007114AF" w14:paraId="6EDD0A32" w14:textId="77777777" w:rsidTr="00D774C2">
        <w:trPr>
          <w:trHeight w:val="20"/>
          <w:jc w:val="center"/>
        </w:trPr>
        <w:tc>
          <w:tcPr>
            <w:cnfStyle w:val="001000000000" w:firstRow="0" w:lastRow="0" w:firstColumn="1" w:lastColumn="0" w:oddVBand="0" w:evenVBand="0" w:oddHBand="0" w:evenHBand="0" w:firstRowFirstColumn="0" w:firstRowLastColumn="0" w:lastRowFirstColumn="0" w:lastRowLastColumn="0"/>
            <w:tcW w:w="534" w:type="dxa"/>
            <w:vAlign w:val="center"/>
            <w:hideMark/>
          </w:tcPr>
          <w:p w14:paraId="6EDD0A27" w14:textId="77777777" w:rsidR="00D774C2" w:rsidRPr="007114AF" w:rsidRDefault="00D774C2" w:rsidP="00D774C2">
            <w:pPr>
              <w:spacing w:after="0"/>
              <w:rPr>
                <w:rFonts w:ascii="Garamond" w:eastAsia="Times New Roman" w:hAnsi="Garamond" w:cs="Times New Roman"/>
                <w:sz w:val="18"/>
                <w:szCs w:val="18"/>
              </w:rPr>
            </w:pPr>
            <w:r w:rsidRPr="007114AF">
              <w:rPr>
                <w:rFonts w:ascii="Garamond" w:eastAsia="Times New Roman" w:hAnsi="Garamond" w:cs="Times New Roman"/>
                <w:sz w:val="18"/>
                <w:szCs w:val="18"/>
              </w:rPr>
              <w:t>L3</w:t>
            </w:r>
          </w:p>
        </w:tc>
        <w:tc>
          <w:tcPr>
            <w:tcW w:w="2126" w:type="dxa"/>
            <w:vAlign w:val="center"/>
            <w:hideMark/>
          </w:tcPr>
          <w:p w14:paraId="6EDD0A28" w14:textId="799B11D5"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Zgjerimi i sistemit të zonave të mbrojtura duke shtuar sipërfaqen e zonave të mbrojtura tokësore e zonave ujore në brendësi, si zona të një rëndësie të veçantë për biodiversitetin dhe shërbimet e ekosistemit në 17% dhe shtimin e</w:t>
            </w:r>
            <w:r w:rsidR="000A2A01" w:rsidRPr="007114AF">
              <w:rPr>
                <w:rFonts w:ascii="Garamond" w:eastAsia="Times New Roman" w:hAnsi="Garamond" w:cs="Times New Roman"/>
                <w:sz w:val="18"/>
                <w:szCs w:val="18"/>
              </w:rPr>
              <w:t xml:space="preserve"> </w:t>
            </w:r>
            <w:r w:rsidRPr="007114AF">
              <w:rPr>
                <w:rFonts w:ascii="Garamond" w:eastAsia="Times New Roman" w:hAnsi="Garamond" w:cs="Times New Roman"/>
                <w:sz w:val="18"/>
                <w:szCs w:val="18"/>
              </w:rPr>
              <w:t>zonave të mbrojtura detare dhe bregdetare me 6%</w:t>
            </w:r>
          </w:p>
        </w:tc>
        <w:tc>
          <w:tcPr>
            <w:tcW w:w="773" w:type="dxa"/>
            <w:vAlign w:val="center"/>
            <w:hideMark/>
          </w:tcPr>
          <w:p w14:paraId="6EDD0A29"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2016-2020</w:t>
            </w:r>
          </w:p>
        </w:tc>
        <w:tc>
          <w:tcPr>
            <w:tcW w:w="928" w:type="dxa"/>
            <w:vAlign w:val="center"/>
            <w:hideMark/>
          </w:tcPr>
          <w:p w14:paraId="6EDD0A2A"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DPSMB; NSDI-II</w:t>
            </w:r>
          </w:p>
        </w:tc>
        <w:tc>
          <w:tcPr>
            <w:tcW w:w="1134" w:type="dxa"/>
            <w:vAlign w:val="center"/>
          </w:tcPr>
          <w:p w14:paraId="6EDD0A2B"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hAnsi="Garamond"/>
                <w:sz w:val="18"/>
                <w:szCs w:val="18"/>
              </w:rPr>
              <w:t>Indirekte</w:t>
            </w:r>
          </w:p>
        </w:tc>
        <w:tc>
          <w:tcPr>
            <w:tcW w:w="1134" w:type="dxa"/>
            <w:noWrap/>
            <w:vAlign w:val="center"/>
            <w:hideMark/>
          </w:tcPr>
          <w:p w14:paraId="6EDD0A2C"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279,400.00</w:t>
            </w:r>
          </w:p>
        </w:tc>
        <w:tc>
          <w:tcPr>
            <w:tcW w:w="1276" w:type="dxa"/>
            <w:noWrap/>
            <w:vAlign w:val="center"/>
            <w:hideMark/>
          </w:tcPr>
          <w:p w14:paraId="6EDD0A2D"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279,400.00</w:t>
            </w:r>
          </w:p>
        </w:tc>
        <w:tc>
          <w:tcPr>
            <w:tcW w:w="1134" w:type="dxa"/>
            <w:noWrap/>
            <w:vAlign w:val="center"/>
            <w:hideMark/>
          </w:tcPr>
          <w:p w14:paraId="6EDD0A2E"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1275" w:type="dxa"/>
            <w:noWrap/>
            <w:vAlign w:val="center"/>
            <w:hideMark/>
          </w:tcPr>
          <w:p w14:paraId="6EDD0A2F"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1276" w:type="dxa"/>
            <w:noWrap/>
            <w:vAlign w:val="center"/>
            <w:hideMark/>
          </w:tcPr>
          <w:p w14:paraId="6EDD0A30"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2984" w:type="dxa"/>
            <w:vAlign w:val="center"/>
            <w:hideMark/>
          </w:tcPr>
          <w:p w14:paraId="6EDD0A31" w14:textId="48313A12"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Kostoja e identifikuar në masën 2 të</w:t>
            </w:r>
            <w:r w:rsidR="000A2A01" w:rsidRPr="007114AF">
              <w:rPr>
                <w:rFonts w:ascii="Garamond" w:eastAsia="Times New Roman" w:hAnsi="Garamond" w:cs="Times New Roman"/>
                <w:sz w:val="18"/>
                <w:szCs w:val="18"/>
              </w:rPr>
              <w:t xml:space="preserve"> </w:t>
            </w:r>
            <w:r w:rsidRPr="007114AF">
              <w:rPr>
                <w:rFonts w:ascii="Garamond" w:eastAsia="Times New Roman" w:hAnsi="Garamond" w:cs="Times New Roman"/>
                <w:sz w:val="18"/>
                <w:szCs w:val="18"/>
              </w:rPr>
              <w:t>DPSMB-ës</w:t>
            </w:r>
          </w:p>
        </w:tc>
      </w:tr>
      <w:tr w:rsidR="00D774C2" w:rsidRPr="007114AF" w14:paraId="6EDD0A3E" w14:textId="77777777" w:rsidTr="00D774C2">
        <w:trPr>
          <w:trHeight w:val="20"/>
          <w:jc w:val="center"/>
        </w:trPr>
        <w:tc>
          <w:tcPr>
            <w:cnfStyle w:val="001000000000" w:firstRow="0" w:lastRow="0" w:firstColumn="1" w:lastColumn="0" w:oddVBand="0" w:evenVBand="0" w:oddHBand="0" w:evenHBand="0" w:firstRowFirstColumn="0" w:firstRowLastColumn="0" w:lastRowFirstColumn="0" w:lastRowLastColumn="0"/>
            <w:tcW w:w="534" w:type="dxa"/>
            <w:vAlign w:val="center"/>
            <w:hideMark/>
          </w:tcPr>
          <w:p w14:paraId="6EDD0A33" w14:textId="77777777" w:rsidR="00D774C2" w:rsidRPr="007114AF" w:rsidRDefault="00D774C2" w:rsidP="00D774C2">
            <w:pPr>
              <w:spacing w:after="0"/>
              <w:rPr>
                <w:rFonts w:ascii="Garamond" w:eastAsia="Times New Roman" w:hAnsi="Garamond" w:cs="Times New Roman"/>
                <w:sz w:val="18"/>
                <w:szCs w:val="18"/>
              </w:rPr>
            </w:pPr>
            <w:r w:rsidRPr="007114AF">
              <w:rPr>
                <w:rFonts w:ascii="Garamond" w:eastAsia="Times New Roman" w:hAnsi="Garamond" w:cs="Times New Roman"/>
                <w:sz w:val="18"/>
                <w:szCs w:val="18"/>
              </w:rPr>
              <w:t>L4</w:t>
            </w:r>
          </w:p>
        </w:tc>
        <w:tc>
          <w:tcPr>
            <w:tcW w:w="2126" w:type="dxa"/>
            <w:vAlign w:val="center"/>
            <w:hideMark/>
          </w:tcPr>
          <w:p w14:paraId="6EDD0A34"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Përmirësimi i menaxhimit të zonave të mbrojtura</w:t>
            </w:r>
          </w:p>
        </w:tc>
        <w:tc>
          <w:tcPr>
            <w:tcW w:w="773" w:type="dxa"/>
            <w:vAlign w:val="center"/>
            <w:hideMark/>
          </w:tcPr>
          <w:p w14:paraId="6EDD0A35"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2016-2020</w:t>
            </w:r>
          </w:p>
        </w:tc>
        <w:tc>
          <w:tcPr>
            <w:tcW w:w="928" w:type="dxa"/>
            <w:vAlign w:val="center"/>
            <w:hideMark/>
          </w:tcPr>
          <w:p w14:paraId="6EDD0A36"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DPSMB</w:t>
            </w:r>
          </w:p>
        </w:tc>
        <w:tc>
          <w:tcPr>
            <w:tcW w:w="1134" w:type="dxa"/>
            <w:vAlign w:val="center"/>
          </w:tcPr>
          <w:p w14:paraId="6EDD0A37"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Mundësuese</w:t>
            </w:r>
          </w:p>
        </w:tc>
        <w:tc>
          <w:tcPr>
            <w:tcW w:w="1134" w:type="dxa"/>
            <w:noWrap/>
            <w:vAlign w:val="center"/>
            <w:hideMark/>
          </w:tcPr>
          <w:p w14:paraId="6EDD0A38"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122,300.00</w:t>
            </w:r>
          </w:p>
        </w:tc>
        <w:tc>
          <w:tcPr>
            <w:tcW w:w="1276" w:type="dxa"/>
            <w:noWrap/>
            <w:vAlign w:val="center"/>
            <w:hideMark/>
          </w:tcPr>
          <w:p w14:paraId="6EDD0A39"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122,300.00</w:t>
            </w:r>
          </w:p>
        </w:tc>
        <w:tc>
          <w:tcPr>
            <w:tcW w:w="1134" w:type="dxa"/>
            <w:noWrap/>
            <w:vAlign w:val="center"/>
            <w:hideMark/>
          </w:tcPr>
          <w:p w14:paraId="6EDD0A3A"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1275" w:type="dxa"/>
            <w:noWrap/>
            <w:vAlign w:val="center"/>
            <w:hideMark/>
          </w:tcPr>
          <w:p w14:paraId="6EDD0A3B"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1276" w:type="dxa"/>
            <w:noWrap/>
            <w:vAlign w:val="center"/>
            <w:hideMark/>
          </w:tcPr>
          <w:p w14:paraId="6EDD0A3C"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2984" w:type="dxa"/>
            <w:vAlign w:val="center"/>
            <w:hideMark/>
          </w:tcPr>
          <w:p w14:paraId="6EDD0A3D" w14:textId="08A33C34"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Kosto e identifikuar në masën 3 të</w:t>
            </w:r>
            <w:r w:rsidR="000A2A01" w:rsidRPr="007114AF">
              <w:rPr>
                <w:rFonts w:ascii="Garamond" w:eastAsia="Times New Roman" w:hAnsi="Garamond" w:cs="Times New Roman"/>
                <w:sz w:val="18"/>
                <w:szCs w:val="18"/>
              </w:rPr>
              <w:t xml:space="preserve"> </w:t>
            </w:r>
            <w:r w:rsidRPr="007114AF">
              <w:rPr>
                <w:rFonts w:ascii="Garamond" w:eastAsia="Times New Roman" w:hAnsi="Garamond" w:cs="Times New Roman"/>
                <w:sz w:val="18"/>
                <w:szCs w:val="18"/>
              </w:rPr>
              <w:t>DPSMB-ës</w:t>
            </w:r>
          </w:p>
        </w:tc>
      </w:tr>
      <w:tr w:rsidR="00D774C2" w:rsidRPr="007114AF" w14:paraId="6EDD0A4A" w14:textId="77777777" w:rsidTr="00D774C2">
        <w:trPr>
          <w:trHeight w:val="1376"/>
          <w:jc w:val="center"/>
        </w:trPr>
        <w:tc>
          <w:tcPr>
            <w:cnfStyle w:val="001000000000" w:firstRow="0" w:lastRow="0" w:firstColumn="1" w:lastColumn="0" w:oddVBand="0" w:evenVBand="0" w:oddHBand="0" w:evenHBand="0" w:firstRowFirstColumn="0" w:firstRowLastColumn="0" w:lastRowFirstColumn="0" w:lastRowLastColumn="0"/>
            <w:tcW w:w="534" w:type="dxa"/>
            <w:vAlign w:val="center"/>
            <w:hideMark/>
          </w:tcPr>
          <w:p w14:paraId="6EDD0A3F" w14:textId="77777777" w:rsidR="00D774C2" w:rsidRPr="007114AF" w:rsidRDefault="00D774C2" w:rsidP="00D774C2">
            <w:pPr>
              <w:spacing w:after="0"/>
              <w:rPr>
                <w:rFonts w:ascii="Garamond" w:eastAsia="Times New Roman" w:hAnsi="Garamond" w:cs="Times New Roman"/>
                <w:sz w:val="18"/>
                <w:szCs w:val="18"/>
              </w:rPr>
            </w:pPr>
            <w:r w:rsidRPr="007114AF">
              <w:rPr>
                <w:rFonts w:ascii="Garamond" w:eastAsia="Times New Roman" w:hAnsi="Garamond" w:cs="Times New Roman"/>
                <w:sz w:val="18"/>
                <w:szCs w:val="18"/>
              </w:rPr>
              <w:lastRenderedPageBreak/>
              <w:t>L5</w:t>
            </w:r>
          </w:p>
        </w:tc>
        <w:tc>
          <w:tcPr>
            <w:tcW w:w="2126" w:type="dxa"/>
            <w:vAlign w:val="center"/>
            <w:hideMark/>
          </w:tcPr>
          <w:p w14:paraId="6EDD0A40"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Njohja e tre parqeve kombëtare</w:t>
            </w:r>
          </w:p>
        </w:tc>
        <w:tc>
          <w:tcPr>
            <w:tcW w:w="773" w:type="dxa"/>
            <w:vAlign w:val="center"/>
            <w:hideMark/>
          </w:tcPr>
          <w:p w14:paraId="6EDD0A41"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2016-2020</w:t>
            </w:r>
          </w:p>
        </w:tc>
        <w:tc>
          <w:tcPr>
            <w:tcW w:w="928" w:type="dxa"/>
            <w:vAlign w:val="center"/>
            <w:hideMark/>
          </w:tcPr>
          <w:p w14:paraId="6EDD0A42"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PKT</w:t>
            </w:r>
          </w:p>
        </w:tc>
        <w:tc>
          <w:tcPr>
            <w:tcW w:w="1134" w:type="dxa"/>
            <w:vAlign w:val="center"/>
          </w:tcPr>
          <w:p w14:paraId="6EDD0A43"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hAnsi="Garamond"/>
                <w:sz w:val="18"/>
                <w:szCs w:val="18"/>
              </w:rPr>
              <w:t>Indirekte</w:t>
            </w:r>
          </w:p>
        </w:tc>
        <w:tc>
          <w:tcPr>
            <w:tcW w:w="1134" w:type="dxa"/>
            <w:noWrap/>
            <w:vAlign w:val="center"/>
            <w:hideMark/>
          </w:tcPr>
          <w:p w14:paraId="6EDD0A44"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36,690.00</w:t>
            </w:r>
          </w:p>
        </w:tc>
        <w:tc>
          <w:tcPr>
            <w:tcW w:w="1276" w:type="dxa"/>
            <w:noWrap/>
            <w:vAlign w:val="center"/>
            <w:hideMark/>
          </w:tcPr>
          <w:p w14:paraId="6EDD0A45"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3,118.65</w:t>
            </w:r>
          </w:p>
        </w:tc>
        <w:tc>
          <w:tcPr>
            <w:tcW w:w="1134" w:type="dxa"/>
            <w:noWrap/>
            <w:vAlign w:val="center"/>
            <w:hideMark/>
          </w:tcPr>
          <w:p w14:paraId="6EDD0A46"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33,571.35</w:t>
            </w:r>
          </w:p>
        </w:tc>
        <w:tc>
          <w:tcPr>
            <w:tcW w:w="1275" w:type="dxa"/>
            <w:noWrap/>
            <w:vAlign w:val="center"/>
            <w:hideMark/>
          </w:tcPr>
          <w:p w14:paraId="6EDD0A47"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1276" w:type="dxa"/>
            <w:noWrap/>
            <w:vAlign w:val="center"/>
            <w:hideMark/>
          </w:tcPr>
          <w:p w14:paraId="6EDD0A48"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2984" w:type="dxa"/>
            <w:vAlign w:val="center"/>
            <w:hideMark/>
          </w:tcPr>
          <w:p w14:paraId="6EDD0A49"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xml:space="preserve">Hartimi dhe miratimi i tre planeve të menaxhimit të zonave të mbrojtura. Kosto e identifikuar në DPSMB, masën 3 </w:t>
            </w:r>
          </w:p>
        </w:tc>
      </w:tr>
      <w:tr w:rsidR="00D774C2" w:rsidRPr="007114AF" w14:paraId="6EDD0A56" w14:textId="77777777" w:rsidTr="00D774C2">
        <w:trPr>
          <w:trHeight w:val="20"/>
          <w:jc w:val="center"/>
        </w:trPr>
        <w:tc>
          <w:tcPr>
            <w:cnfStyle w:val="001000000000" w:firstRow="0" w:lastRow="0" w:firstColumn="1" w:lastColumn="0" w:oddVBand="0" w:evenVBand="0" w:oddHBand="0" w:evenHBand="0" w:firstRowFirstColumn="0" w:firstRowLastColumn="0" w:lastRowFirstColumn="0" w:lastRowLastColumn="0"/>
            <w:tcW w:w="534" w:type="dxa"/>
            <w:vAlign w:val="center"/>
            <w:hideMark/>
          </w:tcPr>
          <w:p w14:paraId="6EDD0A4B" w14:textId="77777777" w:rsidR="00D774C2" w:rsidRPr="007114AF" w:rsidRDefault="00D774C2" w:rsidP="00D774C2">
            <w:pPr>
              <w:spacing w:after="0"/>
              <w:rPr>
                <w:rFonts w:ascii="Garamond" w:eastAsia="Times New Roman" w:hAnsi="Garamond" w:cs="Times New Roman"/>
                <w:sz w:val="18"/>
                <w:szCs w:val="18"/>
              </w:rPr>
            </w:pPr>
            <w:r w:rsidRPr="007114AF">
              <w:rPr>
                <w:rFonts w:ascii="Garamond" w:eastAsia="Times New Roman" w:hAnsi="Garamond" w:cs="Times New Roman"/>
                <w:sz w:val="18"/>
                <w:szCs w:val="18"/>
              </w:rPr>
              <w:t>L6</w:t>
            </w:r>
          </w:p>
        </w:tc>
        <w:tc>
          <w:tcPr>
            <w:tcW w:w="2126" w:type="dxa"/>
            <w:vAlign w:val="center"/>
            <w:hideMark/>
          </w:tcPr>
          <w:p w14:paraId="6EDD0A4C"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Inventari i habitateve natyrore që janë prioritare në Shqipëri. Identifikimi i habitateve natyrore që janë prioritare në të gjithë vendin (bazuar në listën e propozuar në DPSMB) dhe identifikimin e llojeve të tjera të habitateve me vlere të lartë ruajtjeje dhe zonimi NATURA 2000</w:t>
            </w:r>
          </w:p>
        </w:tc>
        <w:tc>
          <w:tcPr>
            <w:tcW w:w="773" w:type="dxa"/>
            <w:vAlign w:val="center"/>
            <w:hideMark/>
          </w:tcPr>
          <w:p w14:paraId="6EDD0A4D"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2016-2020</w:t>
            </w:r>
          </w:p>
        </w:tc>
        <w:tc>
          <w:tcPr>
            <w:tcW w:w="928" w:type="dxa"/>
            <w:vAlign w:val="center"/>
            <w:hideMark/>
          </w:tcPr>
          <w:p w14:paraId="6EDD0A4E"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DPSMB; PKT</w:t>
            </w:r>
          </w:p>
        </w:tc>
        <w:tc>
          <w:tcPr>
            <w:tcW w:w="1134" w:type="dxa"/>
            <w:vAlign w:val="center"/>
          </w:tcPr>
          <w:p w14:paraId="6EDD0A4F"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Mundësuese</w:t>
            </w:r>
          </w:p>
        </w:tc>
        <w:tc>
          <w:tcPr>
            <w:tcW w:w="1134" w:type="dxa"/>
            <w:noWrap/>
            <w:vAlign w:val="center"/>
            <w:hideMark/>
          </w:tcPr>
          <w:p w14:paraId="6EDD0A50"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61,150.00</w:t>
            </w:r>
          </w:p>
        </w:tc>
        <w:tc>
          <w:tcPr>
            <w:tcW w:w="1276" w:type="dxa"/>
            <w:noWrap/>
            <w:vAlign w:val="center"/>
            <w:hideMark/>
          </w:tcPr>
          <w:p w14:paraId="6EDD0A51"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61,150.00</w:t>
            </w:r>
          </w:p>
        </w:tc>
        <w:tc>
          <w:tcPr>
            <w:tcW w:w="1134" w:type="dxa"/>
            <w:noWrap/>
            <w:vAlign w:val="center"/>
            <w:hideMark/>
          </w:tcPr>
          <w:p w14:paraId="6EDD0A52"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1275" w:type="dxa"/>
            <w:noWrap/>
            <w:vAlign w:val="center"/>
            <w:hideMark/>
          </w:tcPr>
          <w:p w14:paraId="6EDD0A53"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1276" w:type="dxa"/>
            <w:noWrap/>
            <w:vAlign w:val="center"/>
            <w:hideMark/>
          </w:tcPr>
          <w:p w14:paraId="6EDD0A54"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2984" w:type="dxa"/>
            <w:vAlign w:val="center"/>
            <w:hideMark/>
          </w:tcPr>
          <w:p w14:paraId="6EDD0A55"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Pjesë e buxhetit vjetor të alokuar në AKMAKM</w:t>
            </w:r>
          </w:p>
        </w:tc>
      </w:tr>
      <w:tr w:rsidR="00D774C2" w:rsidRPr="007114AF" w14:paraId="6EDD0A62" w14:textId="77777777" w:rsidTr="00D774C2">
        <w:trPr>
          <w:trHeight w:val="20"/>
          <w:jc w:val="center"/>
        </w:trPr>
        <w:tc>
          <w:tcPr>
            <w:cnfStyle w:val="001000000000" w:firstRow="0" w:lastRow="0" w:firstColumn="1" w:lastColumn="0" w:oddVBand="0" w:evenVBand="0" w:oddHBand="0" w:evenHBand="0" w:firstRowFirstColumn="0" w:firstRowLastColumn="0" w:lastRowFirstColumn="0" w:lastRowLastColumn="0"/>
            <w:tcW w:w="534" w:type="dxa"/>
            <w:vAlign w:val="center"/>
            <w:hideMark/>
          </w:tcPr>
          <w:p w14:paraId="6EDD0A57" w14:textId="77777777" w:rsidR="00D774C2" w:rsidRPr="007114AF" w:rsidRDefault="00D774C2" w:rsidP="00D774C2">
            <w:pPr>
              <w:spacing w:after="0"/>
              <w:rPr>
                <w:rFonts w:ascii="Garamond" w:eastAsia="Times New Roman" w:hAnsi="Garamond" w:cs="Times New Roman"/>
                <w:sz w:val="18"/>
                <w:szCs w:val="18"/>
              </w:rPr>
            </w:pPr>
            <w:r w:rsidRPr="007114AF">
              <w:rPr>
                <w:rFonts w:ascii="Garamond" w:eastAsia="Times New Roman" w:hAnsi="Garamond" w:cs="Times New Roman"/>
                <w:sz w:val="18"/>
                <w:szCs w:val="18"/>
              </w:rPr>
              <w:t>L7</w:t>
            </w:r>
          </w:p>
        </w:tc>
        <w:tc>
          <w:tcPr>
            <w:tcW w:w="2126" w:type="dxa"/>
            <w:vAlign w:val="center"/>
            <w:hideMark/>
          </w:tcPr>
          <w:p w14:paraId="6EDD0A58"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Krijimi i një sistemi monitorimi për zonat e rëndësishme të ruajtjes</w:t>
            </w:r>
          </w:p>
        </w:tc>
        <w:tc>
          <w:tcPr>
            <w:tcW w:w="773" w:type="dxa"/>
            <w:vAlign w:val="center"/>
            <w:hideMark/>
          </w:tcPr>
          <w:p w14:paraId="6EDD0A59"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2016-2020</w:t>
            </w:r>
          </w:p>
        </w:tc>
        <w:tc>
          <w:tcPr>
            <w:tcW w:w="928" w:type="dxa"/>
            <w:vAlign w:val="center"/>
            <w:hideMark/>
          </w:tcPr>
          <w:p w14:paraId="6EDD0A5A"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DPSMB</w:t>
            </w:r>
          </w:p>
        </w:tc>
        <w:tc>
          <w:tcPr>
            <w:tcW w:w="1134" w:type="dxa"/>
            <w:vAlign w:val="center"/>
          </w:tcPr>
          <w:p w14:paraId="6EDD0A5B"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Mundesuese</w:t>
            </w:r>
          </w:p>
        </w:tc>
        <w:tc>
          <w:tcPr>
            <w:tcW w:w="1134" w:type="dxa"/>
            <w:noWrap/>
            <w:vAlign w:val="center"/>
            <w:hideMark/>
          </w:tcPr>
          <w:p w14:paraId="6EDD0A5C"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60,000.00</w:t>
            </w:r>
          </w:p>
        </w:tc>
        <w:tc>
          <w:tcPr>
            <w:tcW w:w="1276" w:type="dxa"/>
            <w:noWrap/>
            <w:vAlign w:val="center"/>
            <w:hideMark/>
          </w:tcPr>
          <w:p w14:paraId="6EDD0A5D"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60,000.00</w:t>
            </w:r>
          </w:p>
        </w:tc>
        <w:tc>
          <w:tcPr>
            <w:tcW w:w="1134" w:type="dxa"/>
            <w:noWrap/>
            <w:vAlign w:val="center"/>
            <w:hideMark/>
          </w:tcPr>
          <w:p w14:paraId="6EDD0A5E"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1275" w:type="dxa"/>
            <w:noWrap/>
            <w:vAlign w:val="center"/>
            <w:hideMark/>
          </w:tcPr>
          <w:p w14:paraId="6EDD0A5F"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1276" w:type="dxa"/>
            <w:noWrap/>
            <w:vAlign w:val="center"/>
            <w:hideMark/>
          </w:tcPr>
          <w:p w14:paraId="6EDD0A60"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2984" w:type="dxa"/>
            <w:vAlign w:val="center"/>
            <w:hideMark/>
          </w:tcPr>
          <w:p w14:paraId="6EDD0A61" w14:textId="09BA00B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Kostoja e identifikuar në masën 10 të</w:t>
            </w:r>
            <w:r w:rsidR="000A2A01" w:rsidRPr="007114AF">
              <w:rPr>
                <w:rFonts w:ascii="Garamond" w:eastAsia="Times New Roman" w:hAnsi="Garamond" w:cs="Times New Roman"/>
                <w:sz w:val="18"/>
                <w:szCs w:val="18"/>
              </w:rPr>
              <w:t xml:space="preserve"> </w:t>
            </w:r>
            <w:r w:rsidRPr="007114AF">
              <w:rPr>
                <w:rFonts w:ascii="Garamond" w:eastAsia="Times New Roman" w:hAnsi="Garamond" w:cs="Times New Roman"/>
                <w:sz w:val="18"/>
                <w:szCs w:val="18"/>
              </w:rPr>
              <w:t>DPSMB-ës</w:t>
            </w:r>
          </w:p>
        </w:tc>
      </w:tr>
      <w:tr w:rsidR="00D774C2" w:rsidRPr="007114AF" w14:paraId="6EDD0A6E" w14:textId="77777777" w:rsidTr="00D774C2">
        <w:trPr>
          <w:trHeight w:val="20"/>
          <w:jc w:val="center"/>
        </w:trPr>
        <w:tc>
          <w:tcPr>
            <w:cnfStyle w:val="001000000000" w:firstRow="0" w:lastRow="0" w:firstColumn="1" w:lastColumn="0" w:oddVBand="0" w:evenVBand="0" w:oddHBand="0" w:evenHBand="0" w:firstRowFirstColumn="0" w:firstRowLastColumn="0" w:lastRowFirstColumn="0" w:lastRowLastColumn="0"/>
            <w:tcW w:w="534" w:type="dxa"/>
            <w:vAlign w:val="center"/>
            <w:hideMark/>
          </w:tcPr>
          <w:p w14:paraId="6EDD0A63" w14:textId="77777777" w:rsidR="00D774C2" w:rsidRPr="007114AF" w:rsidRDefault="00D774C2" w:rsidP="00D774C2">
            <w:pPr>
              <w:spacing w:after="0"/>
              <w:rPr>
                <w:rFonts w:ascii="Garamond" w:eastAsia="Times New Roman" w:hAnsi="Garamond" w:cs="Times New Roman"/>
                <w:sz w:val="18"/>
                <w:szCs w:val="18"/>
              </w:rPr>
            </w:pPr>
            <w:r w:rsidRPr="007114AF">
              <w:rPr>
                <w:rFonts w:ascii="Garamond" w:eastAsia="Times New Roman" w:hAnsi="Garamond" w:cs="Times New Roman"/>
                <w:sz w:val="18"/>
                <w:szCs w:val="18"/>
              </w:rPr>
              <w:t>L8</w:t>
            </w:r>
          </w:p>
        </w:tc>
        <w:tc>
          <w:tcPr>
            <w:tcW w:w="2126" w:type="dxa"/>
            <w:vAlign w:val="center"/>
            <w:hideMark/>
          </w:tcPr>
          <w:p w14:paraId="6EDD0A64" w14:textId="626E8B6A"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Vendosja e skemave të pagesës mbi shërbimet për ekosistemin</w:t>
            </w:r>
            <w:r w:rsidR="000A2A01" w:rsidRPr="007114AF">
              <w:rPr>
                <w:rFonts w:ascii="Garamond" w:eastAsia="Times New Roman" w:hAnsi="Garamond" w:cs="Times New Roman"/>
                <w:sz w:val="18"/>
                <w:szCs w:val="18"/>
              </w:rPr>
              <w:t xml:space="preserve"> </w:t>
            </w:r>
          </w:p>
        </w:tc>
        <w:tc>
          <w:tcPr>
            <w:tcW w:w="773" w:type="dxa"/>
            <w:vAlign w:val="center"/>
            <w:hideMark/>
          </w:tcPr>
          <w:p w14:paraId="6EDD0A65"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2017-2019</w:t>
            </w:r>
          </w:p>
        </w:tc>
        <w:tc>
          <w:tcPr>
            <w:tcW w:w="928" w:type="dxa"/>
            <w:vAlign w:val="center"/>
            <w:hideMark/>
          </w:tcPr>
          <w:p w14:paraId="6EDD0A66"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SMNS</w:t>
            </w:r>
          </w:p>
        </w:tc>
        <w:tc>
          <w:tcPr>
            <w:tcW w:w="1134" w:type="dxa"/>
            <w:vAlign w:val="center"/>
          </w:tcPr>
          <w:p w14:paraId="6EDD0A67"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hAnsi="Garamond"/>
                <w:sz w:val="18"/>
                <w:szCs w:val="18"/>
              </w:rPr>
              <w:t>Indirekte</w:t>
            </w:r>
          </w:p>
        </w:tc>
        <w:tc>
          <w:tcPr>
            <w:tcW w:w="1134" w:type="dxa"/>
            <w:noWrap/>
            <w:vAlign w:val="center"/>
            <w:hideMark/>
          </w:tcPr>
          <w:p w14:paraId="6EDD0A68"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2,500.00</w:t>
            </w:r>
          </w:p>
        </w:tc>
        <w:tc>
          <w:tcPr>
            <w:tcW w:w="1276" w:type="dxa"/>
            <w:noWrap/>
            <w:vAlign w:val="center"/>
            <w:hideMark/>
          </w:tcPr>
          <w:p w14:paraId="6EDD0A69"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1134" w:type="dxa"/>
            <w:noWrap/>
            <w:vAlign w:val="center"/>
            <w:hideMark/>
          </w:tcPr>
          <w:p w14:paraId="6EDD0A6A"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1275" w:type="dxa"/>
            <w:noWrap/>
            <w:vAlign w:val="center"/>
            <w:hideMark/>
          </w:tcPr>
          <w:p w14:paraId="6EDD0A6B"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1276" w:type="dxa"/>
            <w:noWrap/>
            <w:vAlign w:val="center"/>
            <w:hideMark/>
          </w:tcPr>
          <w:p w14:paraId="6EDD0A6C"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2,500.00</w:t>
            </w:r>
          </w:p>
        </w:tc>
        <w:tc>
          <w:tcPr>
            <w:tcW w:w="2984" w:type="dxa"/>
            <w:vAlign w:val="center"/>
            <w:hideMark/>
          </w:tcPr>
          <w:p w14:paraId="6EDD0A6D"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Kostoja për të hartuar dhe zbatuar ligjin</w:t>
            </w:r>
          </w:p>
        </w:tc>
      </w:tr>
      <w:tr w:rsidR="00D774C2" w:rsidRPr="007114AF" w14:paraId="6EDD0A7A" w14:textId="77777777" w:rsidTr="00D774C2">
        <w:trPr>
          <w:trHeight w:val="20"/>
          <w:jc w:val="center"/>
        </w:trPr>
        <w:tc>
          <w:tcPr>
            <w:cnfStyle w:val="001000000000" w:firstRow="0" w:lastRow="0" w:firstColumn="1" w:lastColumn="0" w:oddVBand="0" w:evenVBand="0" w:oddHBand="0" w:evenHBand="0" w:firstRowFirstColumn="0" w:firstRowLastColumn="0" w:lastRowFirstColumn="0" w:lastRowLastColumn="0"/>
            <w:tcW w:w="534" w:type="dxa"/>
            <w:vAlign w:val="center"/>
            <w:hideMark/>
          </w:tcPr>
          <w:p w14:paraId="6EDD0A6F" w14:textId="77777777" w:rsidR="00D774C2" w:rsidRPr="007114AF" w:rsidRDefault="00D774C2" w:rsidP="00D774C2">
            <w:pPr>
              <w:spacing w:after="0"/>
              <w:rPr>
                <w:rFonts w:ascii="Garamond" w:eastAsia="Times New Roman" w:hAnsi="Garamond" w:cs="Times New Roman"/>
                <w:sz w:val="18"/>
                <w:szCs w:val="18"/>
              </w:rPr>
            </w:pPr>
            <w:r w:rsidRPr="007114AF">
              <w:rPr>
                <w:rFonts w:ascii="Garamond" w:eastAsia="Times New Roman" w:hAnsi="Garamond" w:cs="Times New Roman"/>
                <w:sz w:val="18"/>
                <w:szCs w:val="18"/>
              </w:rPr>
              <w:t>L9</w:t>
            </w:r>
          </w:p>
        </w:tc>
        <w:tc>
          <w:tcPr>
            <w:tcW w:w="2126" w:type="dxa"/>
            <w:vAlign w:val="center"/>
            <w:hideMark/>
          </w:tcPr>
          <w:p w14:paraId="6EDD0A70" w14:textId="574EE3CA"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Përafrimii kuadrit Ligjor Shqiptar në përshtatje me atë Evropian, në lidhje me mekanizmat e tregutpër drurëtpyjorë dhe</w:t>
            </w:r>
            <w:r w:rsidR="000A2A01" w:rsidRPr="007114AF">
              <w:rPr>
                <w:rFonts w:ascii="Garamond" w:eastAsia="Times New Roman" w:hAnsi="Garamond" w:cs="Times New Roman"/>
                <w:sz w:val="18"/>
                <w:szCs w:val="18"/>
              </w:rPr>
              <w:t xml:space="preserve"> </w:t>
            </w:r>
            <w:r w:rsidRPr="007114AF">
              <w:rPr>
                <w:rFonts w:ascii="Garamond" w:eastAsia="Times New Roman" w:hAnsi="Garamond" w:cs="Times New Roman"/>
                <w:sz w:val="18"/>
                <w:szCs w:val="18"/>
              </w:rPr>
              <w:t>certifikimin e tyre, duke ulur në këtë mënyrë prerjete paligjshme dhe mundësinë e tregtimit të tyre</w:t>
            </w:r>
          </w:p>
        </w:tc>
        <w:tc>
          <w:tcPr>
            <w:tcW w:w="773" w:type="dxa"/>
            <w:vAlign w:val="center"/>
            <w:hideMark/>
          </w:tcPr>
          <w:p w14:paraId="6EDD0A71"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2016-2020</w:t>
            </w:r>
          </w:p>
        </w:tc>
        <w:tc>
          <w:tcPr>
            <w:tcW w:w="928" w:type="dxa"/>
            <w:vAlign w:val="center"/>
            <w:hideMark/>
          </w:tcPr>
          <w:p w14:paraId="6EDD0A72"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SMNS</w:t>
            </w:r>
          </w:p>
        </w:tc>
        <w:tc>
          <w:tcPr>
            <w:tcW w:w="1134" w:type="dxa"/>
            <w:vAlign w:val="center"/>
          </w:tcPr>
          <w:p w14:paraId="6EDD0A73"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Mundesuese</w:t>
            </w:r>
          </w:p>
        </w:tc>
        <w:tc>
          <w:tcPr>
            <w:tcW w:w="1134" w:type="dxa"/>
            <w:noWrap/>
            <w:vAlign w:val="center"/>
            <w:hideMark/>
          </w:tcPr>
          <w:p w14:paraId="6EDD0A74"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56,100.00</w:t>
            </w:r>
          </w:p>
        </w:tc>
        <w:tc>
          <w:tcPr>
            <w:tcW w:w="1276" w:type="dxa"/>
            <w:noWrap/>
            <w:vAlign w:val="center"/>
            <w:hideMark/>
          </w:tcPr>
          <w:p w14:paraId="6EDD0A75"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56,100.00</w:t>
            </w:r>
          </w:p>
        </w:tc>
        <w:tc>
          <w:tcPr>
            <w:tcW w:w="1134" w:type="dxa"/>
            <w:noWrap/>
            <w:vAlign w:val="center"/>
            <w:hideMark/>
          </w:tcPr>
          <w:p w14:paraId="6EDD0A76"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1275" w:type="dxa"/>
            <w:noWrap/>
            <w:vAlign w:val="center"/>
            <w:hideMark/>
          </w:tcPr>
          <w:p w14:paraId="6EDD0A77"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1276" w:type="dxa"/>
            <w:noWrap/>
            <w:vAlign w:val="center"/>
            <w:hideMark/>
          </w:tcPr>
          <w:p w14:paraId="6EDD0A78"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2984" w:type="dxa"/>
            <w:vAlign w:val="center"/>
            <w:hideMark/>
          </w:tcPr>
          <w:p w14:paraId="6EDD0A79" w14:textId="2FAC97EC"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xml:space="preserve">Pjesë e buxhetit vjetor Programi Buxhetor </w:t>
            </w:r>
            <w:r w:rsidR="000A2A01" w:rsidRPr="007114AF">
              <w:rPr>
                <w:rFonts w:ascii="Garamond" w:eastAsia="Times New Roman" w:hAnsi="Garamond" w:cs="Times New Roman"/>
                <w:sz w:val="18"/>
                <w:szCs w:val="18"/>
              </w:rPr>
              <w:t>“</w:t>
            </w:r>
            <w:r w:rsidRPr="007114AF">
              <w:rPr>
                <w:rFonts w:ascii="Garamond" w:eastAsia="Times New Roman" w:hAnsi="Garamond" w:cs="Times New Roman"/>
                <w:sz w:val="18"/>
                <w:szCs w:val="18"/>
              </w:rPr>
              <w:t>Menaxhimi i Pyllit</w:t>
            </w:r>
            <w:r w:rsidR="000A2A01" w:rsidRPr="007114AF">
              <w:rPr>
                <w:rFonts w:ascii="Garamond" w:eastAsia="Times New Roman" w:hAnsi="Garamond" w:cs="Times New Roman"/>
                <w:sz w:val="18"/>
                <w:szCs w:val="18"/>
              </w:rPr>
              <w:t>”</w:t>
            </w:r>
            <w:r w:rsidR="003F649E" w:rsidRPr="007114AF">
              <w:rPr>
                <w:rFonts w:ascii="Garamond" w:eastAsia="Times New Roman" w:hAnsi="Garamond" w:cs="Times New Roman"/>
                <w:sz w:val="18"/>
                <w:szCs w:val="18"/>
              </w:rPr>
              <w:t>,</w:t>
            </w:r>
            <w:r w:rsidRPr="007114AF">
              <w:rPr>
                <w:rFonts w:ascii="Garamond" w:eastAsia="Times New Roman" w:hAnsi="Garamond" w:cs="Times New Roman"/>
                <w:sz w:val="18"/>
                <w:szCs w:val="18"/>
              </w:rPr>
              <w:t xml:space="preserve"> rezultati A</w:t>
            </w:r>
          </w:p>
        </w:tc>
      </w:tr>
      <w:tr w:rsidR="00D774C2" w:rsidRPr="007114AF" w14:paraId="6EDD0A86" w14:textId="77777777" w:rsidTr="00D774C2">
        <w:trPr>
          <w:trHeight w:val="20"/>
          <w:jc w:val="center"/>
        </w:trPr>
        <w:tc>
          <w:tcPr>
            <w:cnfStyle w:val="001000000000" w:firstRow="0" w:lastRow="0" w:firstColumn="1" w:lastColumn="0" w:oddVBand="0" w:evenVBand="0" w:oddHBand="0" w:evenHBand="0" w:firstRowFirstColumn="0" w:firstRowLastColumn="0" w:lastRowFirstColumn="0" w:lastRowLastColumn="0"/>
            <w:tcW w:w="534" w:type="dxa"/>
            <w:vAlign w:val="center"/>
            <w:hideMark/>
          </w:tcPr>
          <w:p w14:paraId="6EDD0A7B" w14:textId="77777777" w:rsidR="00D774C2" w:rsidRPr="007114AF" w:rsidRDefault="00D774C2" w:rsidP="00D774C2">
            <w:pPr>
              <w:spacing w:after="0"/>
              <w:rPr>
                <w:rFonts w:ascii="Garamond" w:eastAsia="Times New Roman" w:hAnsi="Garamond" w:cs="Times New Roman"/>
                <w:sz w:val="18"/>
                <w:szCs w:val="18"/>
              </w:rPr>
            </w:pPr>
            <w:r w:rsidRPr="007114AF">
              <w:rPr>
                <w:rFonts w:ascii="Garamond" w:eastAsia="Times New Roman" w:hAnsi="Garamond" w:cs="Times New Roman"/>
                <w:sz w:val="18"/>
                <w:szCs w:val="18"/>
              </w:rPr>
              <w:t>L10</w:t>
            </w:r>
          </w:p>
        </w:tc>
        <w:tc>
          <w:tcPr>
            <w:tcW w:w="2126" w:type="dxa"/>
            <w:vAlign w:val="center"/>
            <w:hideMark/>
          </w:tcPr>
          <w:p w14:paraId="6EDD0A7C"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Krijimi i një forumi pyjor</w:t>
            </w:r>
          </w:p>
        </w:tc>
        <w:tc>
          <w:tcPr>
            <w:tcW w:w="773" w:type="dxa"/>
            <w:vAlign w:val="center"/>
            <w:hideMark/>
          </w:tcPr>
          <w:p w14:paraId="6EDD0A7D"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2017</w:t>
            </w:r>
          </w:p>
        </w:tc>
        <w:tc>
          <w:tcPr>
            <w:tcW w:w="928" w:type="dxa"/>
            <w:vAlign w:val="center"/>
            <w:hideMark/>
          </w:tcPr>
          <w:p w14:paraId="6EDD0A7E"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SMNS</w:t>
            </w:r>
          </w:p>
        </w:tc>
        <w:tc>
          <w:tcPr>
            <w:tcW w:w="1134" w:type="dxa"/>
            <w:vAlign w:val="center"/>
          </w:tcPr>
          <w:p w14:paraId="6EDD0A7F"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hAnsi="Garamond"/>
                <w:sz w:val="18"/>
                <w:szCs w:val="18"/>
              </w:rPr>
              <w:t>Indirekte</w:t>
            </w:r>
          </w:p>
        </w:tc>
        <w:tc>
          <w:tcPr>
            <w:tcW w:w="1134" w:type="dxa"/>
            <w:noWrap/>
            <w:vAlign w:val="center"/>
            <w:hideMark/>
          </w:tcPr>
          <w:p w14:paraId="6EDD0A80"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800.00</w:t>
            </w:r>
          </w:p>
        </w:tc>
        <w:tc>
          <w:tcPr>
            <w:tcW w:w="1276" w:type="dxa"/>
            <w:noWrap/>
            <w:vAlign w:val="center"/>
            <w:hideMark/>
          </w:tcPr>
          <w:p w14:paraId="6EDD0A81"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800.00</w:t>
            </w:r>
          </w:p>
        </w:tc>
        <w:tc>
          <w:tcPr>
            <w:tcW w:w="1134" w:type="dxa"/>
            <w:noWrap/>
            <w:vAlign w:val="center"/>
            <w:hideMark/>
          </w:tcPr>
          <w:p w14:paraId="6EDD0A82"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1275" w:type="dxa"/>
            <w:noWrap/>
            <w:vAlign w:val="center"/>
            <w:hideMark/>
          </w:tcPr>
          <w:p w14:paraId="6EDD0A83"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1276" w:type="dxa"/>
            <w:noWrap/>
            <w:vAlign w:val="center"/>
            <w:hideMark/>
          </w:tcPr>
          <w:p w14:paraId="6EDD0A84"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2984" w:type="dxa"/>
            <w:vAlign w:val="center"/>
            <w:hideMark/>
          </w:tcPr>
          <w:p w14:paraId="6EDD0A85"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Pjesë e buxhetit vjetor të parashikuar nga SMNS për periudhën 2015-2020. Jo e identifikuar si një rezultat në buxhetin afatmesëm</w:t>
            </w:r>
          </w:p>
        </w:tc>
      </w:tr>
      <w:tr w:rsidR="00D774C2" w:rsidRPr="007114AF" w14:paraId="6EDD0A92" w14:textId="77777777" w:rsidTr="00D774C2">
        <w:trPr>
          <w:trHeight w:val="20"/>
          <w:jc w:val="center"/>
        </w:trPr>
        <w:tc>
          <w:tcPr>
            <w:cnfStyle w:val="001000000000" w:firstRow="0" w:lastRow="0" w:firstColumn="1" w:lastColumn="0" w:oddVBand="0" w:evenVBand="0" w:oddHBand="0" w:evenHBand="0" w:firstRowFirstColumn="0" w:firstRowLastColumn="0" w:lastRowFirstColumn="0" w:lastRowLastColumn="0"/>
            <w:tcW w:w="534" w:type="dxa"/>
            <w:vAlign w:val="center"/>
            <w:hideMark/>
          </w:tcPr>
          <w:p w14:paraId="6EDD0A87" w14:textId="77777777" w:rsidR="00D774C2" w:rsidRPr="007114AF" w:rsidRDefault="00D774C2" w:rsidP="00D774C2">
            <w:pPr>
              <w:spacing w:after="0"/>
              <w:rPr>
                <w:rFonts w:ascii="Garamond" w:eastAsia="Times New Roman" w:hAnsi="Garamond" w:cs="Times New Roman"/>
                <w:sz w:val="18"/>
                <w:szCs w:val="18"/>
              </w:rPr>
            </w:pPr>
            <w:r w:rsidRPr="007114AF">
              <w:rPr>
                <w:rFonts w:ascii="Garamond" w:eastAsia="Times New Roman" w:hAnsi="Garamond" w:cs="Times New Roman"/>
                <w:sz w:val="18"/>
                <w:szCs w:val="18"/>
              </w:rPr>
              <w:t>L11</w:t>
            </w:r>
          </w:p>
        </w:tc>
        <w:tc>
          <w:tcPr>
            <w:tcW w:w="2126" w:type="dxa"/>
            <w:vAlign w:val="center"/>
            <w:hideMark/>
          </w:tcPr>
          <w:p w14:paraId="6EDD0A88"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xml:space="preserve">Përgatitjen e një Strategjie Zhvillimi për Pyjet dhe Kullotat dhe të Programit </w:t>
            </w:r>
            <w:r w:rsidRPr="007114AF">
              <w:rPr>
                <w:rFonts w:ascii="Garamond" w:eastAsia="Times New Roman" w:hAnsi="Garamond" w:cs="Times New Roman"/>
                <w:sz w:val="18"/>
                <w:szCs w:val="18"/>
              </w:rPr>
              <w:lastRenderedPageBreak/>
              <w:t>Kombëtar për Pyjet dhe Kullotat</w:t>
            </w:r>
          </w:p>
        </w:tc>
        <w:tc>
          <w:tcPr>
            <w:tcW w:w="773" w:type="dxa"/>
            <w:vAlign w:val="center"/>
            <w:hideMark/>
          </w:tcPr>
          <w:p w14:paraId="6EDD0A89"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lastRenderedPageBreak/>
              <w:t>2018-2020</w:t>
            </w:r>
          </w:p>
        </w:tc>
        <w:tc>
          <w:tcPr>
            <w:tcW w:w="928" w:type="dxa"/>
            <w:vAlign w:val="center"/>
            <w:hideMark/>
          </w:tcPr>
          <w:p w14:paraId="6EDD0A8A"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Draftligji mbi Administr</w:t>
            </w:r>
            <w:r w:rsidRPr="007114AF">
              <w:rPr>
                <w:rFonts w:ascii="Garamond" w:eastAsia="Times New Roman" w:hAnsi="Garamond" w:cs="Times New Roman"/>
                <w:sz w:val="18"/>
                <w:szCs w:val="18"/>
              </w:rPr>
              <w:lastRenderedPageBreak/>
              <w:t xml:space="preserve">imin e Fondit Pyjor </w:t>
            </w:r>
          </w:p>
        </w:tc>
        <w:tc>
          <w:tcPr>
            <w:tcW w:w="1134" w:type="dxa"/>
            <w:vAlign w:val="center"/>
          </w:tcPr>
          <w:p w14:paraId="6EDD0A8B"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lastRenderedPageBreak/>
              <w:t>Mundesuese</w:t>
            </w:r>
          </w:p>
        </w:tc>
        <w:tc>
          <w:tcPr>
            <w:tcW w:w="1134" w:type="dxa"/>
            <w:noWrap/>
            <w:vAlign w:val="center"/>
            <w:hideMark/>
          </w:tcPr>
          <w:p w14:paraId="6EDD0A8C"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15,000.00</w:t>
            </w:r>
          </w:p>
        </w:tc>
        <w:tc>
          <w:tcPr>
            <w:tcW w:w="1276" w:type="dxa"/>
            <w:vAlign w:val="center"/>
            <w:hideMark/>
          </w:tcPr>
          <w:p w14:paraId="6EDD0A8D"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15,000.00</w:t>
            </w:r>
          </w:p>
        </w:tc>
        <w:tc>
          <w:tcPr>
            <w:tcW w:w="1134" w:type="dxa"/>
            <w:vAlign w:val="center"/>
            <w:hideMark/>
          </w:tcPr>
          <w:p w14:paraId="6EDD0A8E"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1275" w:type="dxa"/>
            <w:vAlign w:val="center"/>
            <w:hideMark/>
          </w:tcPr>
          <w:p w14:paraId="6EDD0A8F"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1276" w:type="dxa"/>
            <w:vAlign w:val="center"/>
            <w:hideMark/>
          </w:tcPr>
          <w:p w14:paraId="6EDD0A90"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2984" w:type="dxa"/>
            <w:vAlign w:val="center"/>
            <w:hideMark/>
          </w:tcPr>
          <w:p w14:paraId="6EDD0A91"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Kostot janë vlerësuar në bazë të kostos për njësi për rezultate të njëjta ngjashme në buxhetin afatmesëm</w:t>
            </w:r>
          </w:p>
        </w:tc>
      </w:tr>
      <w:tr w:rsidR="00D774C2" w:rsidRPr="007114AF" w14:paraId="6EDD0A9E" w14:textId="77777777" w:rsidTr="00D774C2">
        <w:trPr>
          <w:trHeight w:val="20"/>
          <w:jc w:val="center"/>
        </w:trPr>
        <w:tc>
          <w:tcPr>
            <w:cnfStyle w:val="001000000000" w:firstRow="0" w:lastRow="0" w:firstColumn="1" w:lastColumn="0" w:oddVBand="0" w:evenVBand="0" w:oddHBand="0" w:evenHBand="0" w:firstRowFirstColumn="0" w:firstRowLastColumn="0" w:lastRowFirstColumn="0" w:lastRowLastColumn="0"/>
            <w:tcW w:w="534" w:type="dxa"/>
            <w:vAlign w:val="center"/>
            <w:hideMark/>
          </w:tcPr>
          <w:p w14:paraId="6EDD0A93" w14:textId="77777777" w:rsidR="00D774C2" w:rsidRPr="007114AF" w:rsidRDefault="00D774C2" w:rsidP="00D774C2">
            <w:pPr>
              <w:spacing w:after="0"/>
              <w:rPr>
                <w:rFonts w:ascii="Garamond" w:eastAsia="Times New Roman" w:hAnsi="Garamond" w:cs="Times New Roman"/>
                <w:sz w:val="18"/>
                <w:szCs w:val="18"/>
              </w:rPr>
            </w:pPr>
            <w:r w:rsidRPr="007114AF">
              <w:rPr>
                <w:rFonts w:ascii="Garamond" w:eastAsia="Times New Roman" w:hAnsi="Garamond" w:cs="Times New Roman"/>
                <w:sz w:val="18"/>
                <w:szCs w:val="18"/>
              </w:rPr>
              <w:t>L12</w:t>
            </w:r>
          </w:p>
        </w:tc>
        <w:tc>
          <w:tcPr>
            <w:tcW w:w="2126" w:type="dxa"/>
            <w:vAlign w:val="center"/>
            <w:hideMark/>
          </w:tcPr>
          <w:p w14:paraId="6EDD0A94"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Rritja e eficiencës së sektorit të pyjeve</w:t>
            </w:r>
          </w:p>
        </w:tc>
        <w:tc>
          <w:tcPr>
            <w:tcW w:w="773" w:type="dxa"/>
            <w:vAlign w:val="center"/>
            <w:hideMark/>
          </w:tcPr>
          <w:p w14:paraId="6EDD0A95"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2017-2018</w:t>
            </w:r>
          </w:p>
        </w:tc>
        <w:tc>
          <w:tcPr>
            <w:tcW w:w="928" w:type="dxa"/>
            <w:vAlign w:val="center"/>
            <w:hideMark/>
          </w:tcPr>
          <w:p w14:paraId="6EDD0A96"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SMNS</w:t>
            </w:r>
          </w:p>
        </w:tc>
        <w:tc>
          <w:tcPr>
            <w:tcW w:w="1134" w:type="dxa"/>
            <w:vAlign w:val="center"/>
          </w:tcPr>
          <w:p w14:paraId="6EDD0A97"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hAnsi="Garamond"/>
                <w:sz w:val="18"/>
                <w:szCs w:val="18"/>
              </w:rPr>
              <w:t>Indirekte</w:t>
            </w:r>
          </w:p>
        </w:tc>
        <w:tc>
          <w:tcPr>
            <w:tcW w:w="1134" w:type="dxa"/>
            <w:noWrap/>
            <w:vAlign w:val="center"/>
            <w:hideMark/>
          </w:tcPr>
          <w:p w14:paraId="6EDD0A98"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10,951.00</w:t>
            </w:r>
          </w:p>
        </w:tc>
        <w:tc>
          <w:tcPr>
            <w:tcW w:w="1276" w:type="dxa"/>
            <w:noWrap/>
            <w:vAlign w:val="center"/>
            <w:hideMark/>
          </w:tcPr>
          <w:p w14:paraId="6EDD0A99"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10,951.00</w:t>
            </w:r>
          </w:p>
        </w:tc>
        <w:tc>
          <w:tcPr>
            <w:tcW w:w="1134" w:type="dxa"/>
            <w:noWrap/>
            <w:vAlign w:val="center"/>
            <w:hideMark/>
          </w:tcPr>
          <w:p w14:paraId="6EDD0A9A"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1275" w:type="dxa"/>
            <w:noWrap/>
            <w:vAlign w:val="center"/>
            <w:hideMark/>
          </w:tcPr>
          <w:p w14:paraId="6EDD0A9B"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1276" w:type="dxa"/>
            <w:noWrap/>
            <w:vAlign w:val="center"/>
            <w:hideMark/>
          </w:tcPr>
          <w:p w14:paraId="6EDD0A9C"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2984" w:type="dxa"/>
            <w:vAlign w:val="center"/>
            <w:hideMark/>
          </w:tcPr>
          <w:p w14:paraId="6EDD0A9D"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Kostot për këshillimin. Kosto për njësi për zhvillimin e procedurës. Rezultati V, Programi i Menaxhimit të Pyllit</w:t>
            </w:r>
          </w:p>
        </w:tc>
      </w:tr>
      <w:tr w:rsidR="00D774C2" w:rsidRPr="007114AF" w14:paraId="6EDD0AAA" w14:textId="77777777" w:rsidTr="00D774C2">
        <w:trPr>
          <w:trHeight w:val="20"/>
          <w:jc w:val="center"/>
        </w:trPr>
        <w:tc>
          <w:tcPr>
            <w:cnfStyle w:val="001000000000" w:firstRow="0" w:lastRow="0" w:firstColumn="1" w:lastColumn="0" w:oddVBand="0" w:evenVBand="0" w:oddHBand="0" w:evenHBand="0" w:firstRowFirstColumn="0" w:firstRowLastColumn="0" w:lastRowFirstColumn="0" w:lastRowLastColumn="0"/>
            <w:tcW w:w="534" w:type="dxa"/>
            <w:vAlign w:val="center"/>
            <w:hideMark/>
          </w:tcPr>
          <w:p w14:paraId="6EDD0A9F" w14:textId="77777777" w:rsidR="00D774C2" w:rsidRPr="007114AF" w:rsidRDefault="00D774C2" w:rsidP="00D774C2">
            <w:pPr>
              <w:spacing w:after="0"/>
              <w:rPr>
                <w:rFonts w:ascii="Garamond" w:eastAsia="Times New Roman" w:hAnsi="Garamond" w:cs="Times New Roman"/>
                <w:sz w:val="18"/>
                <w:szCs w:val="18"/>
              </w:rPr>
            </w:pPr>
            <w:r w:rsidRPr="007114AF">
              <w:rPr>
                <w:rFonts w:ascii="Garamond" w:eastAsia="Times New Roman" w:hAnsi="Garamond" w:cs="Times New Roman"/>
                <w:sz w:val="18"/>
                <w:szCs w:val="18"/>
              </w:rPr>
              <w:t>L13</w:t>
            </w:r>
          </w:p>
        </w:tc>
        <w:tc>
          <w:tcPr>
            <w:tcW w:w="2126" w:type="dxa"/>
            <w:vAlign w:val="center"/>
            <w:hideMark/>
          </w:tcPr>
          <w:p w14:paraId="6EDD0AA0"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Mbrojtja e pyjeve</w:t>
            </w:r>
          </w:p>
        </w:tc>
        <w:tc>
          <w:tcPr>
            <w:tcW w:w="773" w:type="dxa"/>
            <w:vAlign w:val="center"/>
            <w:hideMark/>
          </w:tcPr>
          <w:p w14:paraId="6EDD0AA1"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2016-2020</w:t>
            </w:r>
          </w:p>
        </w:tc>
        <w:tc>
          <w:tcPr>
            <w:tcW w:w="928" w:type="dxa"/>
            <w:vAlign w:val="center"/>
            <w:hideMark/>
          </w:tcPr>
          <w:p w14:paraId="6EDD0AA2"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KTK</w:t>
            </w:r>
          </w:p>
        </w:tc>
        <w:tc>
          <w:tcPr>
            <w:tcW w:w="1134" w:type="dxa"/>
            <w:vAlign w:val="center"/>
          </w:tcPr>
          <w:p w14:paraId="6EDD0AA3"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hAnsi="Garamond"/>
                <w:sz w:val="18"/>
                <w:szCs w:val="18"/>
              </w:rPr>
              <w:t>Direkte</w:t>
            </w:r>
          </w:p>
        </w:tc>
        <w:tc>
          <w:tcPr>
            <w:tcW w:w="1134" w:type="dxa"/>
            <w:noWrap/>
            <w:vAlign w:val="center"/>
            <w:hideMark/>
          </w:tcPr>
          <w:p w14:paraId="6EDD0AA4"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288,600.00</w:t>
            </w:r>
          </w:p>
        </w:tc>
        <w:tc>
          <w:tcPr>
            <w:tcW w:w="1276" w:type="dxa"/>
            <w:noWrap/>
            <w:vAlign w:val="center"/>
            <w:hideMark/>
          </w:tcPr>
          <w:p w14:paraId="6EDD0AA5"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288,600.00</w:t>
            </w:r>
          </w:p>
        </w:tc>
        <w:tc>
          <w:tcPr>
            <w:tcW w:w="1134" w:type="dxa"/>
            <w:noWrap/>
            <w:vAlign w:val="center"/>
            <w:hideMark/>
          </w:tcPr>
          <w:p w14:paraId="6EDD0AA6"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1275" w:type="dxa"/>
            <w:noWrap/>
            <w:vAlign w:val="center"/>
            <w:hideMark/>
          </w:tcPr>
          <w:p w14:paraId="6EDD0AA7"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1276" w:type="dxa"/>
            <w:noWrap/>
            <w:vAlign w:val="center"/>
            <w:hideMark/>
          </w:tcPr>
          <w:p w14:paraId="6EDD0AA8"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2984" w:type="dxa"/>
            <w:vAlign w:val="center"/>
            <w:hideMark/>
          </w:tcPr>
          <w:p w14:paraId="6EDD0AA9"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Pjesë e buxhetit vjetor të transferuar tek NjQV për periudhën 2016-2020 për menaxhimin e pyjeve dhe kullotave (përreth 40% e buxhetit vjetor)</w:t>
            </w:r>
          </w:p>
        </w:tc>
      </w:tr>
      <w:tr w:rsidR="00D774C2" w:rsidRPr="007114AF" w14:paraId="6EDD0AB6" w14:textId="77777777" w:rsidTr="00D774C2">
        <w:trPr>
          <w:trHeight w:val="20"/>
          <w:jc w:val="center"/>
        </w:trPr>
        <w:tc>
          <w:tcPr>
            <w:cnfStyle w:val="001000000000" w:firstRow="0" w:lastRow="0" w:firstColumn="1" w:lastColumn="0" w:oddVBand="0" w:evenVBand="0" w:oddHBand="0" w:evenHBand="0" w:firstRowFirstColumn="0" w:firstRowLastColumn="0" w:lastRowFirstColumn="0" w:lastRowLastColumn="0"/>
            <w:tcW w:w="534" w:type="dxa"/>
            <w:vAlign w:val="center"/>
            <w:hideMark/>
          </w:tcPr>
          <w:p w14:paraId="6EDD0AAB" w14:textId="77777777" w:rsidR="00D774C2" w:rsidRPr="007114AF" w:rsidRDefault="00D774C2" w:rsidP="00D774C2">
            <w:pPr>
              <w:spacing w:after="0"/>
              <w:rPr>
                <w:rFonts w:ascii="Garamond" w:eastAsia="Times New Roman" w:hAnsi="Garamond" w:cs="Times New Roman"/>
                <w:sz w:val="18"/>
                <w:szCs w:val="18"/>
              </w:rPr>
            </w:pPr>
            <w:r w:rsidRPr="007114AF">
              <w:rPr>
                <w:rFonts w:ascii="Garamond" w:eastAsia="Times New Roman" w:hAnsi="Garamond" w:cs="Times New Roman"/>
                <w:sz w:val="18"/>
                <w:szCs w:val="18"/>
              </w:rPr>
              <w:t>L14</w:t>
            </w:r>
          </w:p>
        </w:tc>
        <w:tc>
          <w:tcPr>
            <w:tcW w:w="2126" w:type="dxa"/>
            <w:vAlign w:val="center"/>
            <w:hideMark/>
          </w:tcPr>
          <w:p w14:paraId="6EDD0AAC"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Shtimi i efikasitetit ekonomik dhe eficiencës së energjisë nga përdorimi i qëndrueshëm i pyjeve shtetërore me qëllim uljen e shfrytëzimit të pyjeve dhe përmirësimin shfrytëzimit të teknologjivedrusore</w:t>
            </w:r>
          </w:p>
        </w:tc>
        <w:tc>
          <w:tcPr>
            <w:tcW w:w="773" w:type="dxa"/>
            <w:vAlign w:val="center"/>
            <w:hideMark/>
          </w:tcPr>
          <w:p w14:paraId="6EDD0AAD"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2016-2020 (deri më 2050)</w:t>
            </w:r>
          </w:p>
        </w:tc>
        <w:tc>
          <w:tcPr>
            <w:tcW w:w="928" w:type="dxa"/>
            <w:vAlign w:val="center"/>
            <w:hideMark/>
          </w:tcPr>
          <w:p w14:paraId="6EDD0AAE"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SMNS; KTK</w:t>
            </w:r>
          </w:p>
        </w:tc>
        <w:tc>
          <w:tcPr>
            <w:tcW w:w="1134" w:type="dxa"/>
            <w:vAlign w:val="center"/>
          </w:tcPr>
          <w:p w14:paraId="6EDD0AAF"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hAnsi="Garamond"/>
                <w:sz w:val="18"/>
                <w:szCs w:val="18"/>
              </w:rPr>
              <w:t>Direkte</w:t>
            </w:r>
          </w:p>
        </w:tc>
        <w:tc>
          <w:tcPr>
            <w:tcW w:w="1134" w:type="dxa"/>
            <w:noWrap/>
            <w:vAlign w:val="center"/>
            <w:hideMark/>
          </w:tcPr>
          <w:p w14:paraId="6EDD0AB0"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150,000.00</w:t>
            </w:r>
          </w:p>
        </w:tc>
        <w:tc>
          <w:tcPr>
            <w:tcW w:w="1276" w:type="dxa"/>
            <w:noWrap/>
            <w:vAlign w:val="center"/>
            <w:hideMark/>
          </w:tcPr>
          <w:p w14:paraId="6EDD0AB1"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1134" w:type="dxa"/>
            <w:noWrap/>
            <w:vAlign w:val="center"/>
            <w:hideMark/>
          </w:tcPr>
          <w:p w14:paraId="6EDD0AB2"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1275" w:type="dxa"/>
            <w:noWrap/>
            <w:vAlign w:val="center"/>
            <w:hideMark/>
          </w:tcPr>
          <w:p w14:paraId="6EDD0AB3"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1276" w:type="dxa"/>
            <w:noWrap/>
            <w:vAlign w:val="center"/>
            <w:hideMark/>
          </w:tcPr>
          <w:p w14:paraId="6EDD0AB4"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150,000.00</w:t>
            </w:r>
          </w:p>
        </w:tc>
        <w:tc>
          <w:tcPr>
            <w:tcW w:w="2984" w:type="dxa"/>
            <w:vAlign w:val="center"/>
            <w:hideMark/>
          </w:tcPr>
          <w:p w14:paraId="6EDD0AB5"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Pjesë e buxhetit vjetor të parashikuar nga SMNS për periudhën 2016-2020. Asnjë rezultat i identifikuar për këtë masë në buxhetin afatmesëm (përreth 2% buxhetit vjetor për 3 vjet)</w:t>
            </w:r>
          </w:p>
        </w:tc>
      </w:tr>
      <w:tr w:rsidR="00D774C2" w:rsidRPr="007114AF" w14:paraId="6EDD0AC2" w14:textId="77777777" w:rsidTr="00D774C2">
        <w:trPr>
          <w:trHeight w:val="20"/>
          <w:jc w:val="center"/>
        </w:trPr>
        <w:tc>
          <w:tcPr>
            <w:cnfStyle w:val="001000000000" w:firstRow="0" w:lastRow="0" w:firstColumn="1" w:lastColumn="0" w:oddVBand="0" w:evenVBand="0" w:oddHBand="0" w:evenHBand="0" w:firstRowFirstColumn="0" w:firstRowLastColumn="0" w:lastRowFirstColumn="0" w:lastRowLastColumn="0"/>
            <w:tcW w:w="534" w:type="dxa"/>
            <w:vAlign w:val="center"/>
            <w:hideMark/>
          </w:tcPr>
          <w:p w14:paraId="6EDD0AB7" w14:textId="77777777" w:rsidR="00D774C2" w:rsidRPr="007114AF" w:rsidRDefault="00D774C2" w:rsidP="00D774C2">
            <w:pPr>
              <w:spacing w:after="0"/>
              <w:rPr>
                <w:rFonts w:ascii="Garamond" w:eastAsia="Times New Roman" w:hAnsi="Garamond" w:cs="Times New Roman"/>
                <w:sz w:val="18"/>
                <w:szCs w:val="18"/>
              </w:rPr>
            </w:pPr>
            <w:r w:rsidRPr="007114AF">
              <w:rPr>
                <w:rFonts w:ascii="Garamond" w:eastAsia="Times New Roman" w:hAnsi="Garamond" w:cs="Times New Roman"/>
                <w:sz w:val="18"/>
                <w:szCs w:val="18"/>
              </w:rPr>
              <w:t>L15</w:t>
            </w:r>
          </w:p>
        </w:tc>
        <w:tc>
          <w:tcPr>
            <w:tcW w:w="2126" w:type="dxa"/>
            <w:vAlign w:val="center"/>
            <w:hideMark/>
          </w:tcPr>
          <w:p w14:paraId="6EDD0AB8"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Përmirësimi i menaxhimiti dhe prodhimtarisë së pyllit</w:t>
            </w:r>
          </w:p>
        </w:tc>
        <w:tc>
          <w:tcPr>
            <w:tcW w:w="773" w:type="dxa"/>
            <w:vAlign w:val="center"/>
            <w:hideMark/>
          </w:tcPr>
          <w:p w14:paraId="6EDD0AB9"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2016-2017</w:t>
            </w:r>
          </w:p>
        </w:tc>
        <w:tc>
          <w:tcPr>
            <w:tcW w:w="928" w:type="dxa"/>
            <w:vAlign w:val="center"/>
            <w:hideMark/>
          </w:tcPr>
          <w:p w14:paraId="6EDD0ABA"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SMNS; SNBZHR</w:t>
            </w:r>
          </w:p>
        </w:tc>
        <w:tc>
          <w:tcPr>
            <w:tcW w:w="1134" w:type="dxa"/>
            <w:vAlign w:val="center"/>
          </w:tcPr>
          <w:p w14:paraId="6EDD0ABB"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hAnsi="Garamond"/>
                <w:sz w:val="18"/>
                <w:szCs w:val="18"/>
              </w:rPr>
              <w:t>Direkte</w:t>
            </w:r>
          </w:p>
        </w:tc>
        <w:tc>
          <w:tcPr>
            <w:tcW w:w="1134" w:type="dxa"/>
            <w:noWrap/>
            <w:vAlign w:val="center"/>
            <w:hideMark/>
          </w:tcPr>
          <w:p w14:paraId="6EDD0ABC"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36,075.00</w:t>
            </w:r>
          </w:p>
        </w:tc>
        <w:tc>
          <w:tcPr>
            <w:tcW w:w="1276" w:type="dxa"/>
            <w:vAlign w:val="center"/>
            <w:hideMark/>
          </w:tcPr>
          <w:p w14:paraId="6EDD0ABD"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36,075.00</w:t>
            </w:r>
          </w:p>
        </w:tc>
        <w:tc>
          <w:tcPr>
            <w:tcW w:w="1134" w:type="dxa"/>
            <w:noWrap/>
            <w:vAlign w:val="center"/>
            <w:hideMark/>
          </w:tcPr>
          <w:p w14:paraId="6EDD0ABE"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1275" w:type="dxa"/>
            <w:noWrap/>
            <w:vAlign w:val="center"/>
            <w:hideMark/>
          </w:tcPr>
          <w:p w14:paraId="6EDD0ABF"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1276" w:type="dxa"/>
            <w:noWrap/>
            <w:vAlign w:val="center"/>
            <w:hideMark/>
          </w:tcPr>
          <w:p w14:paraId="6EDD0AC0"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2984" w:type="dxa"/>
            <w:vAlign w:val="center"/>
            <w:hideMark/>
          </w:tcPr>
          <w:p w14:paraId="6EDD0AC1"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Pjesë e buxhetit vjetor të transferuar tek NjQV për periudhën 2016-2020 për menaxhimin e pyjeve dhe kullotave (përreth 5% e buxhetit)</w:t>
            </w:r>
          </w:p>
        </w:tc>
      </w:tr>
      <w:tr w:rsidR="00D774C2" w:rsidRPr="007114AF" w14:paraId="6EDD0ACE" w14:textId="77777777" w:rsidTr="00D774C2">
        <w:trPr>
          <w:trHeight w:val="20"/>
          <w:jc w:val="center"/>
        </w:trPr>
        <w:tc>
          <w:tcPr>
            <w:cnfStyle w:val="001000000000" w:firstRow="0" w:lastRow="0" w:firstColumn="1" w:lastColumn="0" w:oddVBand="0" w:evenVBand="0" w:oddHBand="0" w:evenHBand="0" w:firstRowFirstColumn="0" w:firstRowLastColumn="0" w:lastRowFirstColumn="0" w:lastRowLastColumn="0"/>
            <w:tcW w:w="534" w:type="dxa"/>
            <w:vAlign w:val="center"/>
            <w:hideMark/>
          </w:tcPr>
          <w:p w14:paraId="6EDD0AC3" w14:textId="77777777" w:rsidR="00D774C2" w:rsidRPr="007114AF" w:rsidRDefault="00D774C2" w:rsidP="00D774C2">
            <w:pPr>
              <w:spacing w:after="0"/>
              <w:rPr>
                <w:rFonts w:ascii="Garamond" w:eastAsia="Times New Roman" w:hAnsi="Garamond" w:cs="Times New Roman"/>
                <w:sz w:val="18"/>
                <w:szCs w:val="18"/>
              </w:rPr>
            </w:pPr>
            <w:r w:rsidRPr="007114AF">
              <w:rPr>
                <w:rFonts w:ascii="Garamond" w:eastAsia="Times New Roman" w:hAnsi="Garamond" w:cs="Times New Roman"/>
                <w:sz w:val="18"/>
                <w:szCs w:val="18"/>
              </w:rPr>
              <w:t>L16</w:t>
            </w:r>
          </w:p>
        </w:tc>
        <w:tc>
          <w:tcPr>
            <w:tcW w:w="2126" w:type="dxa"/>
            <w:vAlign w:val="center"/>
            <w:hideMark/>
          </w:tcPr>
          <w:p w14:paraId="6EDD0AC4"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Përmirësimi i menaxhimiti dhe prodhimtarisë së pyllit</w:t>
            </w:r>
          </w:p>
        </w:tc>
        <w:tc>
          <w:tcPr>
            <w:tcW w:w="773" w:type="dxa"/>
            <w:vAlign w:val="center"/>
            <w:hideMark/>
          </w:tcPr>
          <w:p w14:paraId="6EDD0AC5"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2018-2020</w:t>
            </w:r>
          </w:p>
        </w:tc>
        <w:tc>
          <w:tcPr>
            <w:tcW w:w="928" w:type="dxa"/>
            <w:vAlign w:val="center"/>
            <w:hideMark/>
          </w:tcPr>
          <w:p w14:paraId="6EDD0AC6"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SMNS; SNBZHR</w:t>
            </w:r>
          </w:p>
        </w:tc>
        <w:tc>
          <w:tcPr>
            <w:tcW w:w="1134" w:type="dxa"/>
            <w:vAlign w:val="center"/>
          </w:tcPr>
          <w:p w14:paraId="6EDD0AC7"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hAnsi="Garamond"/>
                <w:sz w:val="18"/>
                <w:szCs w:val="18"/>
              </w:rPr>
              <w:t>Direkte</w:t>
            </w:r>
          </w:p>
        </w:tc>
        <w:tc>
          <w:tcPr>
            <w:tcW w:w="1134" w:type="dxa"/>
            <w:noWrap/>
            <w:vAlign w:val="center"/>
            <w:hideMark/>
          </w:tcPr>
          <w:p w14:paraId="6EDD0AC8"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72,150.00</w:t>
            </w:r>
          </w:p>
        </w:tc>
        <w:tc>
          <w:tcPr>
            <w:tcW w:w="1276" w:type="dxa"/>
            <w:noWrap/>
            <w:vAlign w:val="center"/>
            <w:hideMark/>
          </w:tcPr>
          <w:p w14:paraId="6EDD0AC9"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72,150.00</w:t>
            </w:r>
          </w:p>
        </w:tc>
        <w:tc>
          <w:tcPr>
            <w:tcW w:w="1134" w:type="dxa"/>
            <w:noWrap/>
            <w:vAlign w:val="center"/>
            <w:hideMark/>
          </w:tcPr>
          <w:p w14:paraId="6EDD0ACA"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1275" w:type="dxa"/>
            <w:noWrap/>
            <w:vAlign w:val="center"/>
            <w:hideMark/>
          </w:tcPr>
          <w:p w14:paraId="6EDD0ACB"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1276" w:type="dxa"/>
            <w:noWrap/>
            <w:vAlign w:val="center"/>
            <w:hideMark/>
          </w:tcPr>
          <w:p w14:paraId="6EDD0ACC"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2984" w:type="dxa"/>
            <w:vAlign w:val="center"/>
            <w:hideMark/>
          </w:tcPr>
          <w:p w14:paraId="6EDD0ACD"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Pjesë e buxhetit vjetor të transferuar tek NjQV për periudhën 2016-2020 për menaxhimin e pyjeve dhe kullotave (përreth 10% e buxhetit)</w:t>
            </w:r>
          </w:p>
        </w:tc>
      </w:tr>
      <w:tr w:rsidR="00D774C2" w:rsidRPr="007114AF" w14:paraId="6EDD0ADA" w14:textId="77777777" w:rsidTr="00D774C2">
        <w:trPr>
          <w:trHeight w:val="20"/>
          <w:jc w:val="center"/>
        </w:trPr>
        <w:tc>
          <w:tcPr>
            <w:cnfStyle w:val="001000000000" w:firstRow="0" w:lastRow="0" w:firstColumn="1" w:lastColumn="0" w:oddVBand="0" w:evenVBand="0" w:oddHBand="0" w:evenHBand="0" w:firstRowFirstColumn="0" w:firstRowLastColumn="0" w:lastRowFirstColumn="0" w:lastRowLastColumn="0"/>
            <w:tcW w:w="534" w:type="dxa"/>
            <w:vAlign w:val="center"/>
            <w:hideMark/>
          </w:tcPr>
          <w:p w14:paraId="6EDD0ACF" w14:textId="77777777" w:rsidR="00D774C2" w:rsidRPr="007114AF" w:rsidRDefault="00D774C2" w:rsidP="00D774C2">
            <w:pPr>
              <w:spacing w:after="0"/>
              <w:rPr>
                <w:rFonts w:ascii="Garamond" w:eastAsia="Times New Roman" w:hAnsi="Garamond" w:cs="Times New Roman"/>
                <w:sz w:val="18"/>
                <w:szCs w:val="18"/>
              </w:rPr>
            </w:pPr>
            <w:r w:rsidRPr="007114AF">
              <w:rPr>
                <w:rFonts w:ascii="Garamond" w:eastAsia="Times New Roman" w:hAnsi="Garamond" w:cs="Times New Roman"/>
                <w:sz w:val="18"/>
                <w:szCs w:val="18"/>
              </w:rPr>
              <w:t>L17</w:t>
            </w:r>
          </w:p>
        </w:tc>
        <w:tc>
          <w:tcPr>
            <w:tcW w:w="2126" w:type="dxa"/>
            <w:vAlign w:val="center"/>
            <w:hideMark/>
          </w:tcPr>
          <w:p w14:paraId="6EDD0AD0"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Përmirësimi i prodhimtarisë të pyjeve</w:t>
            </w:r>
          </w:p>
        </w:tc>
        <w:tc>
          <w:tcPr>
            <w:tcW w:w="773" w:type="dxa"/>
            <w:vAlign w:val="center"/>
            <w:hideMark/>
          </w:tcPr>
          <w:p w14:paraId="6EDD0AD1"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2016-2020</w:t>
            </w:r>
          </w:p>
        </w:tc>
        <w:tc>
          <w:tcPr>
            <w:tcW w:w="928" w:type="dxa"/>
            <w:vAlign w:val="center"/>
            <w:hideMark/>
          </w:tcPr>
          <w:p w14:paraId="6EDD0AD2"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SMNS</w:t>
            </w:r>
          </w:p>
        </w:tc>
        <w:tc>
          <w:tcPr>
            <w:tcW w:w="1134" w:type="dxa"/>
            <w:vAlign w:val="center"/>
          </w:tcPr>
          <w:p w14:paraId="6EDD0AD3"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hAnsi="Garamond"/>
                <w:sz w:val="18"/>
                <w:szCs w:val="18"/>
              </w:rPr>
              <w:t>Direkte</w:t>
            </w:r>
          </w:p>
        </w:tc>
        <w:tc>
          <w:tcPr>
            <w:tcW w:w="1134" w:type="dxa"/>
            <w:noWrap/>
            <w:vAlign w:val="center"/>
            <w:hideMark/>
          </w:tcPr>
          <w:p w14:paraId="6EDD0AD4"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72,150.00</w:t>
            </w:r>
          </w:p>
        </w:tc>
        <w:tc>
          <w:tcPr>
            <w:tcW w:w="1276" w:type="dxa"/>
            <w:noWrap/>
            <w:vAlign w:val="center"/>
            <w:hideMark/>
          </w:tcPr>
          <w:p w14:paraId="6EDD0AD5"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72,150.00</w:t>
            </w:r>
          </w:p>
        </w:tc>
        <w:tc>
          <w:tcPr>
            <w:tcW w:w="1134" w:type="dxa"/>
            <w:noWrap/>
            <w:vAlign w:val="center"/>
            <w:hideMark/>
          </w:tcPr>
          <w:p w14:paraId="6EDD0AD6"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1275" w:type="dxa"/>
            <w:noWrap/>
            <w:vAlign w:val="center"/>
            <w:hideMark/>
          </w:tcPr>
          <w:p w14:paraId="6EDD0AD7"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1276" w:type="dxa"/>
            <w:noWrap/>
            <w:vAlign w:val="center"/>
            <w:hideMark/>
          </w:tcPr>
          <w:p w14:paraId="6EDD0AD8"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2984" w:type="dxa"/>
            <w:vAlign w:val="center"/>
            <w:hideMark/>
          </w:tcPr>
          <w:p w14:paraId="6EDD0AD9"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Pjesë e buxhetit vjetor të transferuar tek NjQV për periudhën 2016-2020 për menaxhimin e pyjeve dhe kullotave (përreth 10% e buxhetit)</w:t>
            </w:r>
          </w:p>
        </w:tc>
      </w:tr>
      <w:tr w:rsidR="00D774C2" w:rsidRPr="007114AF" w14:paraId="6EDD0AE6" w14:textId="77777777" w:rsidTr="00D774C2">
        <w:trPr>
          <w:trHeight w:val="20"/>
          <w:jc w:val="center"/>
        </w:trPr>
        <w:tc>
          <w:tcPr>
            <w:cnfStyle w:val="001000000000" w:firstRow="0" w:lastRow="0" w:firstColumn="1" w:lastColumn="0" w:oddVBand="0" w:evenVBand="0" w:oddHBand="0" w:evenHBand="0" w:firstRowFirstColumn="0" w:firstRowLastColumn="0" w:lastRowFirstColumn="0" w:lastRowLastColumn="0"/>
            <w:tcW w:w="534" w:type="dxa"/>
            <w:vAlign w:val="center"/>
            <w:hideMark/>
          </w:tcPr>
          <w:p w14:paraId="6EDD0ADB" w14:textId="77777777" w:rsidR="00D774C2" w:rsidRPr="007114AF" w:rsidRDefault="00D774C2" w:rsidP="00D774C2">
            <w:pPr>
              <w:spacing w:after="0"/>
              <w:rPr>
                <w:rFonts w:ascii="Garamond" w:eastAsia="Times New Roman" w:hAnsi="Garamond" w:cs="Times New Roman"/>
                <w:sz w:val="18"/>
                <w:szCs w:val="18"/>
              </w:rPr>
            </w:pPr>
            <w:r w:rsidRPr="007114AF">
              <w:rPr>
                <w:rFonts w:ascii="Garamond" w:eastAsia="Times New Roman" w:hAnsi="Garamond" w:cs="Times New Roman"/>
                <w:sz w:val="18"/>
                <w:szCs w:val="18"/>
              </w:rPr>
              <w:t>L18</w:t>
            </w:r>
          </w:p>
        </w:tc>
        <w:tc>
          <w:tcPr>
            <w:tcW w:w="2126" w:type="dxa"/>
            <w:vAlign w:val="center"/>
            <w:hideMark/>
          </w:tcPr>
          <w:p w14:paraId="6EDD0ADC"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Përmirësimi në menaxhimin dhe ruajtjen e pyjeve dhe kullotave</w:t>
            </w:r>
          </w:p>
        </w:tc>
        <w:tc>
          <w:tcPr>
            <w:tcW w:w="773" w:type="dxa"/>
            <w:vAlign w:val="center"/>
            <w:hideMark/>
          </w:tcPr>
          <w:p w14:paraId="6EDD0ADD"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2016-2020</w:t>
            </w:r>
          </w:p>
        </w:tc>
        <w:tc>
          <w:tcPr>
            <w:tcW w:w="928" w:type="dxa"/>
            <w:vAlign w:val="center"/>
            <w:hideMark/>
          </w:tcPr>
          <w:p w14:paraId="6EDD0ADE"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NSDI-II; Draft KTK</w:t>
            </w:r>
          </w:p>
        </w:tc>
        <w:tc>
          <w:tcPr>
            <w:tcW w:w="1134" w:type="dxa"/>
            <w:vAlign w:val="center"/>
          </w:tcPr>
          <w:p w14:paraId="6EDD0ADF"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hAnsi="Garamond"/>
                <w:sz w:val="18"/>
                <w:szCs w:val="18"/>
              </w:rPr>
              <w:t>Direct</w:t>
            </w:r>
          </w:p>
        </w:tc>
        <w:tc>
          <w:tcPr>
            <w:tcW w:w="1134" w:type="dxa"/>
            <w:noWrap/>
            <w:vAlign w:val="center"/>
            <w:hideMark/>
          </w:tcPr>
          <w:p w14:paraId="6EDD0AE0"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72,150.00</w:t>
            </w:r>
          </w:p>
        </w:tc>
        <w:tc>
          <w:tcPr>
            <w:tcW w:w="1276" w:type="dxa"/>
            <w:noWrap/>
            <w:vAlign w:val="center"/>
            <w:hideMark/>
          </w:tcPr>
          <w:p w14:paraId="6EDD0AE1"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72,150.00</w:t>
            </w:r>
          </w:p>
        </w:tc>
        <w:tc>
          <w:tcPr>
            <w:tcW w:w="1134" w:type="dxa"/>
            <w:noWrap/>
            <w:vAlign w:val="center"/>
            <w:hideMark/>
          </w:tcPr>
          <w:p w14:paraId="6EDD0AE2"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1275" w:type="dxa"/>
            <w:noWrap/>
            <w:vAlign w:val="center"/>
            <w:hideMark/>
          </w:tcPr>
          <w:p w14:paraId="6EDD0AE3"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1276" w:type="dxa"/>
            <w:noWrap/>
            <w:vAlign w:val="center"/>
            <w:hideMark/>
          </w:tcPr>
          <w:p w14:paraId="6EDD0AE4"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2984" w:type="dxa"/>
            <w:vAlign w:val="center"/>
            <w:hideMark/>
          </w:tcPr>
          <w:p w14:paraId="6EDD0AE5"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Pjesë e buxhetit vjetor të transferuar tek NjQV për periudhën 2016-2020 për menaxhimin e pyjeve dhe kullotave (përreth 10% e buxhetit)</w:t>
            </w:r>
          </w:p>
        </w:tc>
      </w:tr>
      <w:tr w:rsidR="00D774C2" w:rsidRPr="007114AF" w14:paraId="6EDD0AF2" w14:textId="77777777" w:rsidTr="00D774C2">
        <w:trPr>
          <w:trHeight w:val="20"/>
          <w:jc w:val="center"/>
        </w:trPr>
        <w:tc>
          <w:tcPr>
            <w:cnfStyle w:val="001000000000" w:firstRow="0" w:lastRow="0" w:firstColumn="1" w:lastColumn="0" w:oddVBand="0" w:evenVBand="0" w:oddHBand="0" w:evenHBand="0" w:firstRowFirstColumn="0" w:firstRowLastColumn="0" w:lastRowFirstColumn="0" w:lastRowLastColumn="0"/>
            <w:tcW w:w="534" w:type="dxa"/>
            <w:vAlign w:val="center"/>
            <w:hideMark/>
          </w:tcPr>
          <w:p w14:paraId="6EDD0AE7" w14:textId="77777777" w:rsidR="00D774C2" w:rsidRPr="007114AF" w:rsidRDefault="00D774C2" w:rsidP="00D774C2">
            <w:pPr>
              <w:spacing w:after="0"/>
              <w:rPr>
                <w:rFonts w:ascii="Garamond" w:eastAsia="Times New Roman" w:hAnsi="Garamond" w:cs="Times New Roman"/>
                <w:sz w:val="18"/>
                <w:szCs w:val="18"/>
              </w:rPr>
            </w:pPr>
            <w:r w:rsidRPr="007114AF">
              <w:rPr>
                <w:rFonts w:ascii="Garamond" w:eastAsia="Times New Roman" w:hAnsi="Garamond" w:cs="Times New Roman"/>
                <w:sz w:val="18"/>
                <w:szCs w:val="18"/>
              </w:rPr>
              <w:t>L19</w:t>
            </w:r>
          </w:p>
        </w:tc>
        <w:tc>
          <w:tcPr>
            <w:tcW w:w="2126" w:type="dxa"/>
            <w:vAlign w:val="center"/>
            <w:hideMark/>
          </w:tcPr>
          <w:p w14:paraId="6EDD0AE8" w14:textId="0A75FCA3"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Përmirësimi</w:t>
            </w:r>
            <w:r w:rsidR="000A2A01" w:rsidRPr="007114AF">
              <w:rPr>
                <w:rFonts w:ascii="Garamond" w:eastAsia="Times New Roman" w:hAnsi="Garamond" w:cs="Times New Roman"/>
                <w:sz w:val="18"/>
                <w:szCs w:val="18"/>
              </w:rPr>
              <w:t xml:space="preserve"> </w:t>
            </w:r>
            <w:r w:rsidRPr="007114AF">
              <w:rPr>
                <w:rFonts w:ascii="Garamond" w:eastAsia="Times New Roman" w:hAnsi="Garamond" w:cs="Times New Roman"/>
                <w:sz w:val="18"/>
                <w:szCs w:val="18"/>
              </w:rPr>
              <w:t>i menaxhimit të pyjeve</w:t>
            </w:r>
          </w:p>
        </w:tc>
        <w:tc>
          <w:tcPr>
            <w:tcW w:w="773" w:type="dxa"/>
            <w:vAlign w:val="center"/>
            <w:hideMark/>
          </w:tcPr>
          <w:p w14:paraId="6EDD0AE9"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2018-2020</w:t>
            </w:r>
          </w:p>
        </w:tc>
        <w:tc>
          <w:tcPr>
            <w:tcW w:w="928" w:type="dxa"/>
            <w:vAlign w:val="center"/>
            <w:hideMark/>
          </w:tcPr>
          <w:p w14:paraId="6EDD0AEA"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xml:space="preserve">Draftligji mbi Administrimin e Fondit Pyjor </w:t>
            </w:r>
          </w:p>
        </w:tc>
        <w:tc>
          <w:tcPr>
            <w:tcW w:w="1134" w:type="dxa"/>
            <w:vAlign w:val="center"/>
          </w:tcPr>
          <w:p w14:paraId="6EDD0AEB"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hAnsi="Garamond"/>
                <w:sz w:val="18"/>
                <w:szCs w:val="18"/>
              </w:rPr>
              <w:t>Indirekte</w:t>
            </w:r>
          </w:p>
        </w:tc>
        <w:tc>
          <w:tcPr>
            <w:tcW w:w="1134" w:type="dxa"/>
            <w:noWrap/>
            <w:vAlign w:val="center"/>
            <w:hideMark/>
          </w:tcPr>
          <w:p w14:paraId="6EDD0AEC"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36,075.00</w:t>
            </w:r>
          </w:p>
        </w:tc>
        <w:tc>
          <w:tcPr>
            <w:tcW w:w="1276" w:type="dxa"/>
            <w:vAlign w:val="center"/>
            <w:hideMark/>
          </w:tcPr>
          <w:p w14:paraId="6EDD0AED"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36,075.00</w:t>
            </w:r>
          </w:p>
        </w:tc>
        <w:tc>
          <w:tcPr>
            <w:tcW w:w="1134" w:type="dxa"/>
            <w:vAlign w:val="center"/>
            <w:hideMark/>
          </w:tcPr>
          <w:p w14:paraId="6EDD0AEE"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1275" w:type="dxa"/>
            <w:vAlign w:val="center"/>
            <w:hideMark/>
          </w:tcPr>
          <w:p w14:paraId="6EDD0AEF"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1276" w:type="dxa"/>
            <w:noWrap/>
            <w:vAlign w:val="center"/>
            <w:hideMark/>
          </w:tcPr>
          <w:p w14:paraId="6EDD0AF0"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2984" w:type="dxa"/>
            <w:vAlign w:val="center"/>
            <w:hideMark/>
          </w:tcPr>
          <w:p w14:paraId="6EDD0AF1"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Pjesë e buxhetit vjetor të transferuar tek NjQV për periudhën 2016-2020 për menaxhimin e pyjeve dhe kullotave (përreth 5% e buxhetit)</w:t>
            </w:r>
          </w:p>
        </w:tc>
      </w:tr>
      <w:tr w:rsidR="00D774C2" w:rsidRPr="007114AF" w14:paraId="6EDD0AFE" w14:textId="77777777" w:rsidTr="00D774C2">
        <w:trPr>
          <w:trHeight w:val="1113"/>
          <w:jc w:val="center"/>
        </w:trPr>
        <w:tc>
          <w:tcPr>
            <w:cnfStyle w:val="001000000000" w:firstRow="0" w:lastRow="0" w:firstColumn="1" w:lastColumn="0" w:oddVBand="0" w:evenVBand="0" w:oddHBand="0" w:evenHBand="0" w:firstRowFirstColumn="0" w:firstRowLastColumn="0" w:lastRowFirstColumn="0" w:lastRowLastColumn="0"/>
            <w:tcW w:w="534" w:type="dxa"/>
            <w:vAlign w:val="center"/>
            <w:hideMark/>
          </w:tcPr>
          <w:p w14:paraId="6EDD0AF3" w14:textId="77777777" w:rsidR="00D774C2" w:rsidRPr="007114AF" w:rsidRDefault="00D774C2" w:rsidP="00D774C2">
            <w:pPr>
              <w:spacing w:after="0"/>
              <w:rPr>
                <w:rFonts w:ascii="Garamond" w:eastAsia="Times New Roman" w:hAnsi="Garamond" w:cs="Times New Roman"/>
                <w:sz w:val="18"/>
                <w:szCs w:val="18"/>
              </w:rPr>
            </w:pPr>
            <w:r w:rsidRPr="007114AF">
              <w:rPr>
                <w:rFonts w:ascii="Garamond" w:eastAsia="Times New Roman" w:hAnsi="Garamond" w:cs="Times New Roman"/>
                <w:sz w:val="18"/>
                <w:szCs w:val="18"/>
              </w:rPr>
              <w:lastRenderedPageBreak/>
              <w:t>L20</w:t>
            </w:r>
          </w:p>
        </w:tc>
        <w:tc>
          <w:tcPr>
            <w:tcW w:w="2126" w:type="dxa"/>
            <w:vAlign w:val="center"/>
            <w:hideMark/>
          </w:tcPr>
          <w:p w14:paraId="6EDD0AF4" w14:textId="51B0C159"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Përmirësimi</w:t>
            </w:r>
            <w:r w:rsidR="000A2A01" w:rsidRPr="007114AF">
              <w:rPr>
                <w:rFonts w:ascii="Garamond" w:eastAsia="Times New Roman" w:hAnsi="Garamond" w:cs="Times New Roman"/>
                <w:sz w:val="18"/>
                <w:szCs w:val="18"/>
              </w:rPr>
              <w:t xml:space="preserve"> </w:t>
            </w:r>
            <w:r w:rsidRPr="007114AF">
              <w:rPr>
                <w:rFonts w:ascii="Garamond" w:eastAsia="Times New Roman" w:hAnsi="Garamond" w:cs="Times New Roman"/>
                <w:sz w:val="18"/>
                <w:szCs w:val="18"/>
              </w:rPr>
              <w:t>i menaxhimit të pyjeve dhe kullotave</w:t>
            </w:r>
          </w:p>
        </w:tc>
        <w:tc>
          <w:tcPr>
            <w:tcW w:w="773" w:type="dxa"/>
            <w:vAlign w:val="center"/>
            <w:hideMark/>
          </w:tcPr>
          <w:p w14:paraId="6EDD0AF5"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2016-2020</w:t>
            </w:r>
          </w:p>
        </w:tc>
        <w:tc>
          <w:tcPr>
            <w:tcW w:w="928" w:type="dxa"/>
            <w:vAlign w:val="center"/>
            <w:hideMark/>
          </w:tcPr>
          <w:p w14:paraId="6EDD0AF6"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SMNS; SNBZHR</w:t>
            </w:r>
          </w:p>
        </w:tc>
        <w:tc>
          <w:tcPr>
            <w:tcW w:w="1134" w:type="dxa"/>
            <w:vAlign w:val="center"/>
          </w:tcPr>
          <w:p w14:paraId="6EDD0AF7"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hAnsi="Garamond"/>
                <w:sz w:val="18"/>
                <w:szCs w:val="18"/>
              </w:rPr>
              <w:t>Indirekte</w:t>
            </w:r>
          </w:p>
        </w:tc>
        <w:tc>
          <w:tcPr>
            <w:tcW w:w="1134" w:type="dxa"/>
            <w:noWrap/>
            <w:vAlign w:val="center"/>
            <w:hideMark/>
          </w:tcPr>
          <w:p w14:paraId="6EDD0AF8"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49,571.00</w:t>
            </w:r>
          </w:p>
        </w:tc>
        <w:tc>
          <w:tcPr>
            <w:tcW w:w="1276" w:type="dxa"/>
            <w:noWrap/>
            <w:vAlign w:val="center"/>
            <w:hideMark/>
          </w:tcPr>
          <w:p w14:paraId="6EDD0AF9"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49,571.00</w:t>
            </w:r>
          </w:p>
        </w:tc>
        <w:tc>
          <w:tcPr>
            <w:tcW w:w="1134" w:type="dxa"/>
            <w:noWrap/>
            <w:vAlign w:val="center"/>
            <w:hideMark/>
          </w:tcPr>
          <w:p w14:paraId="6EDD0AFA"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1275" w:type="dxa"/>
            <w:noWrap/>
            <w:vAlign w:val="center"/>
            <w:hideMark/>
          </w:tcPr>
          <w:p w14:paraId="6EDD0AFB"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1276" w:type="dxa"/>
            <w:noWrap/>
            <w:vAlign w:val="center"/>
            <w:hideMark/>
          </w:tcPr>
          <w:p w14:paraId="6EDD0AFC"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2984" w:type="dxa"/>
            <w:vAlign w:val="center"/>
            <w:hideMark/>
          </w:tcPr>
          <w:p w14:paraId="6EDD0AFD"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Buxheti afat mesëm rezultati K_Programi i administrimit të Pyjeve</w:t>
            </w:r>
          </w:p>
        </w:tc>
      </w:tr>
      <w:tr w:rsidR="00D774C2" w:rsidRPr="007114AF" w14:paraId="6EDD0B0A" w14:textId="77777777" w:rsidTr="00D774C2">
        <w:trPr>
          <w:trHeight w:val="20"/>
          <w:jc w:val="center"/>
        </w:trPr>
        <w:tc>
          <w:tcPr>
            <w:cnfStyle w:val="001000000000" w:firstRow="0" w:lastRow="0" w:firstColumn="1" w:lastColumn="0" w:oddVBand="0" w:evenVBand="0" w:oddHBand="0" w:evenHBand="0" w:firstRowFirstColumn="0" w:firstRowLastColumn="0" w:lastRowFirstColumn="0" w:lastRowLastColumn="0"/>
            <w:tcW w:w="534" w:type="dxa"/>
            <w:vAlign w:val="center"/>
            <w:hideMark/>
          </w:tcPr>
          <w:p w14:paraId="6EDD0AFF" w14:textId="77777777" w:rsidR="00D774C2" w:rsidRPr="007114AF" w:rsidRDefault="00D774C2" w:rsidP="00D774C2">
            <w:pPr>
              <w:spacing w:after="0"/>
              <w:rPr>
                <w:rFonts w:ascii="Garamond" w:eastAsia="Times New Roman" w:hAnsi="Garamond" w:cs="Times New Roman"/>
                <w:sz w:val="18"/>
                <w:szCs w:val="18"/>
              </w:rPr>
            </w:pPr>
            <w:r w:rsidRPr="007114AF">
              <w:rPr>
                <w:rFonts w:ascii="Garamond" w:eastAsia="Times New Roman" w:hAnsi="Garamond" w:cs="Times New Roman"/>
                <w:sz w:val="18"/>
                <w:szCs w:val="18"/>
              </w:rPr>
              <w:t>L21</w:t>
            </w:r>
          </w:p>
        </w:tc>
        <w:tc>
          <w:tcPr>
            <w:tcW w:w="2126" w:type="dxa"/>
            <w:vAlign w:val="center"/>
            <w:hideMark/>
          </w:tcPr>
          <w:p w14:paraId="6EDD0B00"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Përmirësimi i menaxhimit të pyjeve</w:t>
            </w:r>
          </w:p>
        </w:tc>
        <w:tc>
          <w:tcPr>
            <w:tcW w:w="773" w:type="dxa"/>
            <w:vAlign w:val="center"/>
            <w:hideMark/>
          </w:tcPr>
          <w:p w14:paraId="6EDD0B01"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2018-2020</w:t>
            </w:r>
          </w:p>
        </w:tc>
        <w:tc>
          <w:tcPr>
            <w:tcW w:w="928" w:type="dxa"/>
            <w:vAlign w:val="center"/>
            <w:hideMark/>
          </w:tcPr>
          <w:p w14:paraId="6EDD0B02"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xml:space="preserve">Draftligji mbi Administrimin e Fondit Pyjor </w:t>
            </w:r>
          </w:p>
        </w:tc>
        <w:tc>
          <w:tcPr>
            <w:tcW w:w="1134" w:type="dxa"/>
            <w:vAlign w:val="center"/>
          </w:tcPr>
          <w:p w14:paraId="6EDD0B03"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hAnsi="Garamond"/>
                <w:sz w:val="18"/>
                <w:szCs w:val="18"/>
              </w:rPr>
              <w:t>Direkte</w:t>
            </w:r>
          </w:p>
        </w:tc>
        <w:tc>
          <w:tcPr>
            <w:tcW w:w="1134" w:type="dxa"/>
            <w:noWrap/>
            <w:vAlign w:val="center"/>
            <w:hideMark/>
          </w:tcPr>
          <w:p w14:paraId="6EDD0B04"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36,075.00</w:t>
            </w:r>
          </w:p>
        </w:tc>
        <w:tc>
          <w:tcPr>
            <w:tcW w:w="1276" w:type="dxa"/>
            <w:vAlign w:val="center"/>
            <w:hideMark/>
          </w:tcPr>
          <w:p w14:paraId="6EDD0B05"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36,075.00</w:t>
            </w:r>
          </w:p>
        </w:tc>
        <w:tc>
          <w:tcPr>
            <w:tcW w:w="1134" w:type="dxa"/>
            <w:noWrap/>
            <w:vAlign w:val="center"/>
            <w:hideMark/>
          </w:tcPr>
          <w:p w14:paraId="6EDD0B06"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1275" w:type="dxa"/>
            <w:noWrap/>
            <w:vAlign w:val="center"/>
            <w:hideMark/>
          </w:tcPr>
          <w:p w14:paraId="6EDD0B07"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1276" w:type="dxa"/>
            <w:noWrap/>
            <w:vAlign w:val="center"/>
            <w:hideMark/>
          </w:tcPr>
          <w:p w14:paraId="6EDD0B08"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2984" w:type="dxa"/>
            <w:vAlign w:val="center"/>
            <w:hideMark/>
          </w:tcPr>
          <w:p w14:paraId="6EDD0B09"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Pjesë e buxhetit vjetor të transferuar tek NjQV për periudhën 2016-2020 për menaxhimin e pyjeve dhe kullotave (përreth 5% e buxhetit)</w:t>
            </w:r>
          </w:p>
        </w:tc>
      </w:tr>
      <w:tr w:rsidR="00D774C2" w:rsidRPr="007114AF" w14:paraId="6EDD0B16" w14:textId="77777777" w:rsidTr="00D774C2">
        <w:trPr>
          <w:trHeight w:val="20"/>
          <w:jc w:val="center"/>
        </w:trPr>
        <w:tc>
          <w:tcPr>
            <w:cnfStyle w:val="001000000000" w:firstRow="0" w:lastRow="0" w:firstColumn="1" w:lastColumn="0" w:oddVBand="0" w:evenVBand="0" w:oddHBand="0" w:evenHBand="0" w:firstRowFirstColumn="0" w:firstRowLastColumn="0" w:lastRowFirstColumn="0" w:lastRowLastColumn="0"/>
            <w:tcW w:w="534" w:type="dxa"/>
            <w:vAlign w:val="center"/>
            <w:hideMark/>
          </w:tcPr>
          <w:p w14:paraId="6EDD0B0B" w14:textId="77777777" w:rsidR="00D774C2" w:rsidRPr="007114AF" w:rsidRDefault="00D774C2" w:rsidP="00D774C2">
            <w:pPr>
              <w:spacing w:after="0"/>
              <w:rPr>
                <w:rFonts w:ascii="Garamond" w:eastAsia="Times New Roman" w:hAnsi="Garamond" w:cs="Times New Roman"/>
                <w:sz w:val="18"/>
                <w:szCs w:val="18"/>
              </w:rPr>
            </w:pPr>
            <w:r w:rsidRPr="007114AF">
              <w:rPr>
                <w:rFonts w:ascii="Garamond" w:eastAsia="Times New Roman" w:hAnsi="Garamond" w:cs="Times New Roman"/>
                <w:sz w:val="18"/>
                <w:szCs w:val="18"/>
              </w:rPr>
              <w:t>L22</w:t>
            </w:r>
          </w:p>
        </w:tc>
        <w:tc>
          <w:tcPr>
            <w:tcW w:w="2126" w:type="dxa"/>
            <w:vAlign w:val="center"/>
            <w:hideMark/>
          </w:tcPr>
          <w:p w14:paraId="6EDD0B0C"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Përmirësim i sektorit të pyjeve dhe sistemittë tij të planëzimit dhe informimit. Krijimi i bazës së të dhënave mbi pyjet, hartimi i planeve të menaxhimit dhe miratimi i tyre, duke përditësuar të dhënat e tyre me arritjen e objektivit 37% dhe vendosjen e njësive territoriale me funksion prodhimin dhe menaxhimin e integruar nëpërmjet teknikave të avancuara</w:t>
            </w:r>
          </w:p>
        </w:tc>
        <w:tc>
          <w:tcPr>
            <w:tcW w:w="773" w:type="dxa"/>
            <w:vAlign w:val="center"/>
            <w:hideMark/>
          </w:tcPr>
          <w:p w14:paraId="6EDD0B0D"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2016-2020</w:t>
            </w:r>
          </w:p>
        </w:tc>
        <w:tc>
          <w:tcPr>
            <w:tcW w:w="928" w:type="dxa"/>
            <w:vAlign w:val="center"/>
            <w:hideMark/>
          </w:tcPr>
          <w:p w14:paraId="6EDD0B0E"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SMNS; NSDI-II; Draft Ligji mbi Fondin e Kullotave dhe Pyjeve</w:t>
            </w:r>
          </w:p>
        </w:tc>
        <w:tc>
          <w:tcPr>
            <w:tcW w:w="1134" w:type="dxa"/>
            <w:vAlign w:val="center"/>
          </w:tcPr>
          <w:p w14:paraId="6EDD0B0F"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Mundesuese</w:t>
            </w:r>
          </w:p>
        </w:tc>
        <w:tc>
          <w:tcPr>
            <w:tcW w:w="1134" w:type="dxa"/>
            <w:noWrap/>
            <w:vAlign w:val="center"/>
            <w:hideMark/>
          </w:tcPr>
          <w:p w14:paraId="6EDD0B10"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1,258,237.00</w:t>
            </w:r>
          </w:p>
        </w:tc>
        <w:tc>
          <w:tcPr>
            <w:tcW w:w="1276" w:type="dxa"/>
            <w:noWrap/>
            <w:vAlign w:val="center"/>
            <w:hideMark/>
          </w:tcPr>
          <w:p w14:paraId="6EDD0B11"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1,258,237.00</w:t>
            </w:r>
          </w:p>
        </w:tc>
        <w:tc>
          <w:tcPr>
            <w:tcW w:w="1134" w:type="dxa"/>
            <w:noWrap/>
            <w:vAlign w:val="center"/>
            <w:hideMark/>
          </w:tcPr>
          <w:p w14:paraId="6EDD0B12"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1275" w:type="dxa"/>
            <w:noWrap/>
            <w:vAlign w:val="center"/>
            <w:hideMark/>
          </w:tcPr>
          <w:p w14:paraId="6EDD0B13"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1276" w:type="dxa"/>
            <w:noWrap/>
            <w:vAlign w:val="center"/>
            <w:hideMark/>
          </w:tcPr>
          <w:p w14:paraId="6EDD0B14"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2984" w:type="dxa"/>
            <w:vAlign w:val="center"/>
            <w:hideMark/>
          </w:tcPr>
          <w:p w14:paraId="6EDD0B15"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Buxheti afatmesëm, rezultati B,C,D_ Programi i administrimit të Pyjeve</w:t>
            </w:r>
          </w:p>
        </w:tc>
      </w:tr>
      <w:tr w:rsidR="00D774C2" w:rsidRPr="007114AF" w14:paraId="6EDD0B22" w14:textId="77777777" w:rsidTr="00D774C2">
        <w:trPr>
          <w:trHeight w:val="20"/>
          <w:jc w:val="center"/>
        </w:trPr>
        <w:tc>
          <w:tcPr>
            <w:cnfStyle w:val="001000000000" w:firstRow="0" w:lastRow="0" w:firstColumn="1" w:lastColumn="0" w:oddVBand="0" w:evenVBand="0" w:oddHBand="0" w:evenHBand="0" w:firstRowFirstColumn="0" w:firstRowLastColumn="0" w:lastRowFirstColumn="0" w:lastRowLastColumn="0"/>
            <w:tcW w:w="534" w:type="dxa"/>
            <w:vAlign w:val="center"/>
            <w:hideMark/>
          </w:tcPr>
          <w:p w14:paraId="6EDD0B17" w14:textId="77777777" w:rsidR="00D774C2" w:rsidRPr="007114AF" w:rsidRDefault="00D774C2" w:rsidP="00D774C2">
            <w:pPr>
              <w:spacing w:after="0"/>
              <w:rPr>
                <w:rFonts w:ascii="Garamond" w:eastAsia="Times New Roman" w:hAnsi="Garamond" w:cs="Times New Roman"/>
                <w:sz w:val="18"/>
                <w:szCs w:val="18"/>
              </w:rPr>
            </w:pPr>
            <w:r w:rsidRPr="007114AF">
              <w:rPr>
                <w:rFonts w:ascii="Garamond" w:eastAsia="Times New Roman" w:hAnsi="Garamond" w:cs="Times New Roman"/>
                <w:sz w:val="18"/>
                <w:szCs w:val="18"/>
              </w:rPr>
              <w:t>L23</w:t>
            </w:r>
          </w:p>
        </w:tc>
        <w:tc>
          <w:tcPr>
            <w:tcW w:w="2126" w:type="dxa"/>
            <w:vAlign w:val="center"/>
            <w:hideMark/>
          </w:tcPr>
          <w:p w14:paraId="6EDD0B18"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Krijimi i një baze të dhënash mbi zjarret</w:t>
            </w:r>
          </w:p>
        </w:tc>
        <w:tc>
          <w:tcPr>
            <w:tcW w:w="773" w:type="dxa"/>
            <w:vAlign w:val="center"/>
            <w:hideMark/>
          </w:tcPr>
          <w:p w14:paraId="6EDD0B19"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Pas hyrjes në fuqi</w:t>
            </w:r>
          </w:p>
        </w:tc>
        <w:tc>
          <w:tcPr>
            <w:tcW w:w="928" w:type="dxa"/>
            <w:vAlign w:val="center"/>
            <w:hideMark/>
          </w:tcPr>
          <w:p w14:paraId="6EDD0B1A"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xml:space="preserve">Draftligji mbi Administrimin e Fondit Pyjor </w:t>
            </w:r>
          </w:p>
        </w:tc>
        <w:tc>
          <w:tcPr>
            <w:tcW w:w="1134" w:type="dxa"/>
            <w:vAlign w:val="center"/>
          </w:tcPr>
          <w:p w14:paraId="6EDD0B1B"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Mundesuese</w:t>
            </w:r>
          </w:p>
        </w:tc>
        <w:tc>
          <w:tcPr>
            <w:tcW w:w="1134" w:type="dxa"/>
            <w:noWrap/>
            <w:vAlign w:val="center"/>
            <w:hideMark/>
          </w:tcPr>
          <w:p w14:paraId="6EDD0B1C"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137,300.00</w:t>
            </w:r>
          </w:p>
        </w:tc>
        <w:tc>
          <w:tcPr>
            <w:tcW w:w="1276" w:type="dxa"/>
            <w:noWrap/>
            <w:vAlign w:val="center"/>
            <w:hideMark/>
          </w:tcPr>
          <w:p w14:paraId="6EDD0B1D"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137,300.00</w:t>
            </w:r>
          </w:p>
        </w:tc>
        <w:tc>
          <w:tcPr>
            <w:tcW w:w="1134" w:type="dxa"/>
            <w:noWrap/>
            <w:vAlign w:val="center"/>
            <w:hideMark/>
          </w:tcPr>
          <w:p w14:paraId="6EDD0B1E"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1275" w:type="dxa"/>
            <w:noWrap/>
            <w:vAlign w:val="center"/>
            <w:hideMark/>
          </w:tcPr>
          <w:p w14:paraId="6EDD0B1F"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1276" w:type="dxa"/>
            <w:noWrap/>
            <w:vAlign w:val="center"/>
            <w:hideMark/>
          </w:tcPr>
          <w:p w14:paraId="6EDD0B20"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2984" w:type="dxa"/>
            <w:vAlign w:val="center"/>
            <w:hideMark/>
          </w:tcPr>
          <w:p w14:paraId="6EDD0B21"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Buxheti afatmesëm, rezultati B,_ Programi i administrimit të Pyjeve</w:t>
            </w:r>
          </w:p>
        </w:tc>
      </w:tr>
      <w:tr w:rsidR="00D774C2" w:rsidRPr="007114AF" w14:paraId="6EDD0B2E" w14:textId="77777777" w:rsidTr="00D774C2">
        <w:trPr>
          <w:trHeight w:val="20"/>
          <w:jc w:val="center"/>
        </w:trPr>
        <w:tc>
          <w:tcPr>
            <w:cnfStyle w:val="001000000000" w:firstRow="0" w:lastRow="0" w:firstColumn="1" w:lastColumn="0" w:oddVBand="0" w:evenVBand="0" w:oddHBand="0" w:evenHBand="0" w:firstRowFirstColumn="0" w:firstRowLastColumn="0" w:lastRowFirstColumn="0" w:lastRowLastColumn="0"/>
            <w:tcW w:w="534" w:type="dxa"/>
            <w:vAlign w:val="center"/>
            <w:hideMark/>
          </w:tcPr>
          <w:p w14:paraId="6EDD0B23" w14:textId="77777777" w:rsidR="00D774C2" w:rsidRPr="007114AF" w:rsidRDefault="00D774C2" w:rsidP="00D774C2">
            <w:pPr>
              <w:spacing w:after="0"/>
              <w:rPr>
                <w:rFonts w:ascii="Garamond" w:eastAsia="Times New Roman" w:hAnsi="Garamond" w:cs="Times New Roman"/>
                <w:sz w:val="18"/>
                <w:szCs w:val="18"/>
              </w:rPr>
            </w:pPr>
            <w:r w:rsidRPr="007114AF">
              <w:rPr>
                <w:rFonts w:ascii="Garamond" w:eastAsia="Times New Roman" w:hAnsi="Garamond" w:cs="Times New Roman"/>
                <w:sz w:val="18"/>
                <w:szCs w:val="18"/>
              </w:rPr>
              <w:t>L24</w:t>
            </w:r>
          </w:p>
        </w:tc>
        <w:tc>
          <w:tcPr>
            <w:tcW w:w="2126" w:type="dxa"/>
            <w:vAlign w:val="center"/>
            <w:hideMark/>
          </w:tcPr>
          <w:p w14:paraId="6EDD0B24"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Krijimi i burimeve financiare për monitorimin e pyjeve dhe kullotave</w:t>
            </w:r>
          </w:p>
        </w:tc>
        <w:tc>
          <w:tcPr>
            <w:tcW w:w="773" w:type="dxa"/>
            <w:vAlign w:val="center"/>
            <w:hideMark/>
          </w:tcPr>
          <w:p w14:paraId="6EDD0B25"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2016-2020</w:t>
            </w:r>
          </w:p>
        </w:tc>
        <w:tc>
          <w:tcPr>
            <w:tcW w:w="928" w:type="dxa"/>
            <w:vAlign w:val="center"/>
            <w:hideMark/>
          </w:tcPr>
          <w:p w14:paraId="6EDD0B26"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xml:space="preserve">Draftligji mbi Administrimin e Fondit Pyjor </w:t>
            </w:r>
          </w:p>
        </w:tc>
        <w:tc>
          <w:tcPr>
            <w:tcW w:w="1134" w:type="dxa"/>
            <w:vAlign w:val="center"/>
          </w:tcPr>
          <w:p w14:paraId="6EDD0B27"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Mundesuese</w:t>
            </w:r>
          </w:p>
        </w:tc>
        <w:tc>
          <w:tcPr>
            <w:tcW w:w="1134" w:type="dxa"/>
            <w:noWrap/>
            <w:vAlign w:val="center"/>
            <w:hideMark/>
          </w:tcPr>
          <w:p w14:paraId="6EDD0B28"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457,196.50</w:t>
            </w:r>
          </w:p>
        </w:tc>
        <w:tc>
          <w:tcPr>
            <w:tcW w:w="1276" w:type="dxa"/>
            <w:noWrap/>
            <w:vAlign w:val="center"/>
            <w:hideMark/>
          </w:tcPr>
          <w:p w14:paraId="6EDD0B29"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457,196.50</w:t>
            </w:r>
          </w:p>
        </w:tc>
        <w:tc>
          <w:tcPr>
            <w:tcW w:w="1134" w:type="dxa"/>
            <w:noWrap/>
            <w:vAlign w:val="center"/>
            <w:hideMark/>
          </w:tcPr>
          <w:p w14:paraId="6EDD0B2A"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1275" w:type="dxa"/>
            <w:noWrap/>
            <w:vAlign w:val="center"/>
            <w:hideMark/>
          </w:tcPr>
          <w:p w14:paraId="6EDD0B2B"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1276" w:type="dxa"/>
            <w:noWrap/>
            <w:vAlign w:val="center"/>
            <w:hideMark/>
          </w:tcPr>
          <w:p w14:paraId="6EDD0B2C"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2984" w:type="dxa"/>
            <w:vAlign w:val="center"/>
            <w:hideMark/>
          </w:tcPr>
          <w:p w14:paraId="6EDD0B2D"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Buxheti i alokuar për Inspektoratin Shtetëror të Mjedisit dhe Pyjeve (gjysma e shpenzimeve për pyjet dhe kullotat)</w:t>
            </w:r>
          </w:p>
        </w:tc>
      </w:tr>
      <w:tr w:rsidR="00D774C2" w:rsidRPr="007114AF" w14:paraId="6EDD0B3A" w14:textId="77777777" w:rsidTr="00D774C2">
        <w:trPr>
          <w:trHeight w:val="20"/>
          <w:jc w:val="center"/>
        </w:trPr>
        <w:tc>
          <w:tcPr>
            <w:cnfStyle w:val="001000000000" w:firstRow="0" w:lastRow="0" w:firstColumn="1" w:lastColumn="0" w:oddVBand="0" w:evenVBand="0" w:oddHBand="0" w:evenHBand="0" w:firstRowFirstColumn="0" w:firstRowLastColumn="0" w:lastRowFirstColumn="0" w:lastRowLastColumn="0"/>
            <w:tcW w:w="534" w:type="dxa"/>
            <w:vAlign w:val="center"/>
            <w:hideMark/>
          </w:tcPr>
          <w:p w14:paraId="6EDD0B2F" w14:textId="77777777" w:rsidR="00D774C2" w:rsidRPr="007114AF" w:rsidRDefault="00D774C2" w:rsidP="00D774C2">
            <w:pPr>
              <w:spacing w:after="0"/>
              <w:rPr>
                <w:rFonts w:ascii="Garamond" w:eastAsia="Times New Roman" w:hAnsi="Garamond" w:cs="Times New Roman"/>
                <w:sz w:val="18"/>
                <w:szCs w:val="18"/>
              </w:rPr>
            </w:pPr>
            <w:r w:rsidRPr="007114AF">
              <w:rPr>
                <w:rFonts w:ascii="Garamond" w:eastAsia="Times New Roman" w:hAnsi="Garamond" w:cs="Times New Roman"/>
                <w:sz w:val="18"/>
                <w:szCs w:val="18"/>
              </w:rPr>
              <w:t>L25</w:t>
            </w:r>
          </w:p>
        </w:tc>
        <w:tc>
          <w:tcPr>
            <w:tcW w:w="2126" w:type="dxa"/>
            <w:vAlign w:val="center"/>
            <w:hideMark/>
          </w:tcPr>
          <w:p w14:paraId="6EDD0B30" w14:textId="7AF80041"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xml:space="preserve">Sigurimi i të drejtave tradicionale për </w:t>
            </w:r>
            <w:r w:rsidRPr="007114AF">
              <w:rPr>
                <w:rFonts w:ascii="Garamond" w:eastAsia="Times New Roman" w:hAnsi="Garamond" w:cs="Times New Roman"/>
                <w:sz w:val="18"/>
                <w:szCs w:val="18"/>
              </w:rPr>
              <w:lastRenderedPageBreak/>
              <w:t>përdorimin/pronësinë e pyjeve, vendosjen e mekanizmave për të ulur prerjet e paligjshme dhe tregtinë e drurit, deri në masën 50% dhe parandalimin e zjarreve deri në masën 37% të zonaveme</w:t>
            </w:r>
            <w:r w:rsidR="000A2A01" w:rsidRPr="007114AF">
              <w:rPr>
                <w:rFonts w:ascii="Garamond" w:eastAsia="Times New Roman" w:hAnsi="Garamond" w:cs="Times New Roman"/>
                <w:sz w:val="18"/>
                <w:szCs w:val="18"/>
              </w:rPr>
              <w:t xml:space="preserve"> </w:t>
            </w:r>
            <w:r w:rsidRPr="007114AF">
              <w:rPr>
                <w:rFonts w:ascii="Garamond" w:eastAsia="Times New Roman" w:hAnsi="Garamond" w:cs="Times New Roman"/>
                <w:sz w:val="18"/>
                <w:szCs w:val="18"/>
              </w:rPr>
              <w:t>rrezik</w:t>
            </w:r>
          </w:p>
        </w:tc>
        <w:tc>
          <w:tcPr>
            <w:tcW w:w="773" w:type="dxa"/>
            <w:vAlign w:val="center"/>
            <w:hideMark/>
          </w:tcPr>
          <w:p w14:paraId="6EDD0B31"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lastRenderedPageBreak/>
              <w:t>2018</w:t>
            </w:r>
          </w:p>
        </w:tc>
        <w:tc>
          <w:tcPr>
            <w:tcW w:w="928" w:type="dxa"/>
            <w:vAlign w:val="center"/>
            <w:hideMark/>
          </w:tcPr>
          <w:p w14:paraId="6EDD0B32"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SMNS</w:t>
            </w:r>
          </w:p>
        </w:tc>
        <w:tc>
          <w:tcPr>
            <w:tcW w:w="1134" w:type="dxa"/>
            <w:vAlign w:val="center"/>
          </w:tcPr>
          <w:p w14:paraId="6EDD0B33"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hAnsi="Garamond"/>
                <w:sz w:val="18"/>
                <w:szCs w:val="18"/>
              </w:rPr>
              <w:t>Indirekte</w:t>
            </w:r>
          </w:p>
        </w:tc>
        <w:tc>
          <w:tcPr>
            <w:tcW w:w="1134" w:type="dxa"/>
            <w:noWrap/>
            <w:vAlign w:val="center"/>
            <w:hideMark/>
          </w:tcPr>
          <w:p w14:paraId="6EDD0B34"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17,258.00</w:t>
            </w:r>
          </w:p>
        </w:tc>
        <w:tc>
          <w:tcPr>
            <w:tcW w:w="1276" w:type="dxa"/>
            <w:noWrap/>
            <w:vAlign w:val="center"/>
            <w:hideMark/>
          </w:tcPr>
          <w:p w14:paraId="6EDD0B35"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17,258.00</w:t>
            </w:r>
          </w:p>
        </w:tc>
        <w:tc>
          <w:tcPr>
            <w:tcW w:w="1134" w:type="dxa"/>
            <w:noWrap/>
            <w:vAlign w:val="center"/>
            <w:hideMark/>
          </w:tcPr>
          <w:p w14:paraId="6EDD0B36"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1275" w:type="dxa"/>
            <w:noWrap/>
            <w:vAlign w:val="center"/>
            <w:hideMark/>
          </w:tcPr>
          <w:p w14:paraId="6EDD0B37"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1276" w:type="dxa"/>
            <w:noWrap/>
            <w:vAlign w:val="center"/>
            <w:hideMark/>
          </w:tcPr>
          <w:p w14:paraId="6EDD0B38"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2984" w:type="dxa"/>
            <w:vAlign w:val="center"/>
            <w:hideMark/>
          </w:tcPr>
          <w:p w14:paraId="6EDD0B39"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xml:space="preserve">Pjesë e buxhetit vjetor të parashikuar nga SMNS për periudhën 2015-2020 </w:t>
            </w:r>
            <w:r w:rsidRPr="007114AF">
              <w:rPr>
                <w:rFonts w:ascii="Garamond" w:eastAsia="Times New Roman" w:hAnsi="Garamond" w:cs="Times New Roman"/>
                <w:sz w:val="18"/>
                <w:szCs w:val="18"/>
              </w:rPr>
              <w:lastRenderedPageBreak/>
              <w:t>(Rezultati F)</w:t>
            </w:r>
          </w:p>
        </w:tc>
      </w:tr>
      <w:tr w:rsidR="00D774C2" w:rsidRPr="007114AF" w14:paraId="6EDD0B46" w14:textId="77777777" w:rsidTr="00D774C2">
        <w:trPr>
          <w:trHeight w:val="20"/>
          <w:jc w:val="center"/>
        </w:trPr>
        <w:tc>
          <w:tcPr>
            <w:cnfStyle w:val="001000000000" w:firstRow="0" w:lastRow="0" w:firstColumn="1" w:lastColumn="0" w:oddVBand="0" w:evenVBand="0" w:oddHBand="0" w:evenHBand="0" w:firstRowFirstColumn="0" w:firstRowLastColumn="0" w:lastRowFirstColumn="0" w:lastRowLastColumn="0"/>
            <w:tcW w:w="534" w:type="dxa"/>
            <w:vAlign w:val="center"/>
            <w:hideMark/>
          </w:tcPr>
          <w:p w14:paraId="6EDD0B3B" w14:textId="77777777" w:rsidR="00D774C2" w:rsidRPr="007114AF" w:rsidRDefault="00D774C2" w:rsidP="00D774C2">
            <w:pPr>
              <w:spacing w:after="0"/>
              <w:rPr>
                <w:rFonts w:ascii="Garamond" w:eastAsia="Times New Roman" w:hAnsi="Garamond" w:cs="Times New Roman"/>
                <w:sz w:val="18"/>
                <w:szCs w:val="18"/>
              </w:rPr>
            </w:pPr>
            <w:r w:rsidRPr="007114AF">
              <w:rPr>
                <w:rFonts w:ascii="Garamond" w:eastAsia="Times New Roman" w:hAnsi="Garamond" w:cs="Times New Roman"/>
                <w:sz w:val="18"/>
                <w:szCs w:val="18"/>
              </w:rPr>
              <w:lastRenderedPageBreak/>
              <w:t>L26</w:t>
            </w:r>
          </w:p>
        </w:tc>
        <w:tc>
          <w:tcPr>
            <w:tcW w:w="2126" w:type="dxa"/>
            <w:vAlign w:val="center"/>
            <w:hideMark/>
          </w:tcPr>
          <w:p w14:paraId="6EDD0B3C"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Sigurimin e të drejtave tradicionale për përdorimin/pronësinë e pyjeve, vendosjen e mekanizmave për të ulur prerjet e paligjshme dhe tregtinë e drurit në 100% dhe parandalimin e zjarreve në 80% të zonave me rrezik.</w:t>
            </w:r>
          </w:p>
        </w:tc>
        <w:tc>
          <w:tcPr>
            <w:tcW w:w="773" w:type="dxa"/>
            <w:vAlign w:val="center"/>
            <w:hideMark/>
          </w:tcPr>
          <w:p w14:paraId="6EDD0B3D"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2018-2020</w:t>
            </w:r>
          </w:p>
        </w:tc>
        <w:tc>
          <w:tcPr>
            <w:tcW w:w="928" w:type="dxa"/>
            <w:vAlign w:val="center"/>
            <w:hideMark/>
          </w:tcPr>
          <w:p w14:paraId="6EDD0B3E"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SMNS</w:t>
            </w:r>
          </w:p>
        </w:tc>
        <w:tc>
          <w:tcPr>
            <w:tcW w:w="1134" w:type="dxa"/>
            <w:vAlign w:val="center"/>
          </w:tcPr>
          <w:p w14:paraId="6EDD0B3F"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hAnsi="Garamond"/>
                <w:sz w:val="18"/>
                <w:szCs w:val="18"/>
              </w:rPr>
              <w:t>Indirekte</w:t>
            </w:r>
          </w:p>
        </w:tc>
        <w:tc>
          <w:tcPr>
            <w:tcW w:w="1134" w:type="dxa"/>
            <w:noWrap/>
            <w:vAlign w:val="center"/>
            <w:hideMark/>
          </w:tcPr>
          <w:p w14:paraId="6EDD0B40"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39,000.00</w:t>
            </w:r>
          </w:p>
        </w:tc>
        <w:tc>
          <w:tcPr>
            <w:tcW w:w="1276" w:type="dxa"/>
            <w:noWrap/>
            <w:vAlign w:val="center"/>
            <w:hideMark/>
          </w:tcPr>
          <w:p w14:paraId="6EDD0B41"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39,000.00</w:t>
            </w:r>
          </w:p>
        </w:tc>
        <w:tc>
          <w:tcPr>
            <w:tcW w:w="1134" w:type="dxa"/>
            <w:noWrap/>
            <w:vAlign w:val="center"/>
            <w:hideMark/>
          </w:tcPr>
          <w:p w14:paraId="6EDD0B42"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1275" w:type="dxa"/>
            <w:noWrap/>
            <w:vAlign w:val="center"/>
            <w:hideMark/>
          </w:tcPr>
          <w:p w14:paraId="6EDD0B43"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1276" w:type="dxa"/>
            <w:noWrap/>
            <w:vAlign w:val="center"/>
            <w:hideMark/>
          </w:tcPr>
          <w:p w14:paraId="6EDD0B44"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2984" w:type="dxa"/>
            <w:vAlign w:val="center"/>
            <w:hideMark/>
          </w:tcPr>
          <w:p w14:paraId="6EDD0B45"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Pjesë e buxhetit vjetor të parashikuar nga SMNS për periudhën 2015-2020 (Rezultati F)</w:t>
            </w:r>
          </w:p>
        </w:tc>
      </w:tr>
      <w:tr w:rsidR="00D774C2" w:rsidRPr="007114AF" w14:paraId="6EDD0B52" w14:textId="77777777" w:rsidTr="00D774C2">
        <w:trPr>
          <w:trHeight w:val="20"/>
          <w:jc w:val="center"/>
        </w:trPr>
        <w:tc>
          <w:tcPr>
            <w:cnfStyle w:val="001000000000" w:firstRow="0" w:lastRow="0" w:firstColumn="1" w:lastColumn="0" w:oddVBand="0" w:evenVBand="0" w:oddHBand="0" w:evenHBand="0" w:firstRowFirstColumn="0" w:firstRowLastColumn="0" w:lastRowFirstColumn="0" w:lastRowLastColumn="0"/>
            <w:tcW w:w="534" w:type="dxa"/>
            <w:vAlign w:val="center"/>
            <w:hideMark/>
          </w:tcPr>
          <w:p w14:paraId="6EDD0B47" w14:textId="77777777" w:rsidR="00D774C2" w:rsidRPr="007114AF" w:rsidRDefault="00D774C2" w:rsidP="00D774C2">
            <w:pPr>
              <w:spacing w:after="0"/>
              <w:rPr>
                <w:rFonts w:ascii="Garamond" w:eastAsia="Times New Roman" w:hAnsi="Garamond" w:cs="Times New Roman"/>
                <w:sz w:val="18"/>
                <w:szCs w:val="18"/>
              </w:rPr>
            </w:pPr>
            <w:r w:rsidRPr="007114AF">
              <w:rPr>
                <w:rFonts w:ascii="Garamond" w:eastAsia="Times New Roman" w:hAnsi="Garamond" w:cs="Times New Roman"/>
                <w:sz w:val="18"/>
                <w:szCs w:val="18"/>
              </w:rPr>
              <w:t>L27</w:t>
            </w:r>
          </w:p>
        </w:tc>
        <w:tc>
          <w:tcPr>
            <w:tcW w:w="2126" w:type="dxa"/>
            <w:vAlign w:val="center"/>
            <w:hideMark/>
          </w:tcPr>
          <w:p w14:paraId="6EDD0B48"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Parandalimi i zjarreve në zonat pyjore dhe forcimi i masave të nevojshme për shuarjen e menjëhershme të tyre</w:t>
            </w:r>
          </w:p>
        </w:tc>
        <w:tc>
          <w:tcPr>
            <w:tcW w:w="773" w:type="dxa"/>
            <w:vAlign w:val="center"/>
            <w:hideMark/>
          </w:tcPr>
          <w:p w14:paraId="6EDD0B49"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2016-2020</w:t>
            </w:r>
          </w:p>
        </w:tc>
        <w:tc>
          <w:tcPr>
            <w:tcW w:w="928" w:type="dxa"/>
            <w:vAlign w:val="center"/>
            <w:hideMark/>
          </w:tcPr>
          <w:p w14:paraId="6EDD0B4A"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SMNS; Draft KTK</w:t>
            </w:r>
          </w:p>
        </w:tc>
        <w:tc>
          <w:tcPr>
            <w:tcW w:w="1134" w:type="dxa"/>
            <w:vAlign w:val="center"/>
          </w:tcPr>
          <w:p w14:paraId="6EDD0B4B"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Mundsuese</w:t>
            </w:r>
          </w:p>
        </w:tc>
        <w:tc>
          <w:tcPr>
            <w:tcW w:w="1134" w:type="dxa"/>
            <w:noWrap/>
            <w:vAlign w:val="center"/>
            <w:hideMark/>
          </w:tcPr>
          <w:p w14:paraId="6EDD0B4C"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6,200.00</w:t>
            </w:r>
          </w:p>
        </w:tc>
        <w:tc>
          <w:tcPr>
            <w:tcW w:w="1276" w:type="dxa"/>
            <w:noWrap/>
            <w:vAlign w:val="center"/>
            <w:hideMark/>
          </w:tcPr>
          <w:p w14:paraId="6EDD0B4D"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1134" w:type="dxa"/>
            <w:noWrap/>
            <w:vAlign w:val="center"/>
            <w:hideMark/>
          </w:tcPr>
          <w:p w14:paraId="6EDD0B4E"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6,200.00</w:t>
            </w:r>
          </w:p>
        </w:tc>
        <w:tc>
          <w:tcPr>
            <w:tcW w:w="1275" w:type="dxa"/>
            <w:noWrap/>
            <w:vAlign w:val="center"/>
            <w:hideMark/>
          </w:tcPr>
          <w:p w14:paraId="6EDD0B4F"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1276" w:type="dxa"/>
            <w:noWrap/>
            <w:vAlign w:val="center"/>
            <w:hideMark/>
          </w:tcPr>
          <w:p w14:paraId="6EDD0B50"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2984" w:type="dxa"/>
            <w:vAlign w:val="center"/>
            <w:hideMark/>
          </w:tcPr>
          <w:p w14:paraId="6EDD0B51"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Pjesë e buxhetit të trajnimit të parashikuar nga SMNS për periudhën 2015-2020</w:t>
            </w:r>
          </w:p>
        </w:tc>
      </w:tr>
      <w:tr w:rsidR="00D774C2" w:rsidRPr="007114AF" w14:paraId="6EDD0B5E" w14:textId="77777777" w:rsidTr="00D774C2">
        <w:trPr>
          <w:trHeight w:val="20"/>
          <w:jc w:val="center"/>
        </w:trPr>
        <w:tc>
          <w:tcPr>
            <w:cnfStyle w:val="001000000000" w:firstRow="0" w:lastRow="0" w:firstColumn="1" w:lastColumn="0" w:oddVBand="0" w:evenVBand="0" w:oddHBand="0" w:evenHBand="0" w:firstRowFirstColumn="0" w:firstRowLastColumn="0" w:lastRowFirstColumn="0" w:lastRowLastColumn="0"/>
            <w:tcW w:w="534" w:type="dxa"/>
            <w:vAlign w:val="center"/>
            <w:hideMark/>
          </w:tcPr>
          <w:p w14:paraId="6EDD0B53" w14:textId="77777777" w:rsidR="00D774C2" w:rsidRPr="007114AF" w:rsidRDefault="00D774C2" w:rsidP="00D774C2">
            <w:pPr>
              <w:spacing w:after="0"/>
              <w:rPr>
                <w:rFonts w:ascii="Garamond" w:eastAsia="Times New Roman" w:hAnsi="Garamond" w:cs="Times New Roman"/>
                <w:sz w:val="18"/>
                <w:szCs w:val="18"/>
              </w:rPr>
            </w:pPr>
            <w:r w:rsidRPr="007114AF">
              <w:rPr>
                <w:rFonts w:ascii="Garamond" w:eastAsia="Times New Roman" w:hAnsi="Garamond" w:cs="Times New Roman"/>
                <w:sz w:val="18"/>
                <w:szCs w:val="18"/>
              </w:rPr>
              <w:t>L28</w:t>
            </w:r>
          </w:p>
        </w:tc>
        <w:tc>
          <w:tcPr>
            <w:tcW w:w="2126" w:type="dxa"/>
            <w:vAlign w:val="center"/>
            <w:hideMark/>
          </w:tcPr>
          <w:p w14:paraId="6EDD0B54"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Rimëkëmbja e pyjeve të dëmtuara</w:t>
            </w:r>
          </w:p>
        </w:tc>
        <w:tc>
          <w:tcPr>
            <w:tcW w:w="773" w:type="dxa"/>
            <w:vAlign w:val="center"/>
            <w:hideMark/>
          </w:tcPr>
          <w:p w14:paraId="6EDD0B55"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2016-2020</w:t>
            </w:r>
          </w:p>
        </w:tc>
        <w:tc>
          <w:tcPr>
            <w:tcW w:w="928" w:type="dxa"/>
            <w:vAlign w:val="center"/>
            <w:hideMark/>
          </w:tcPr>
          <w:p w14:paraId="6EDD0B56"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SNBZHR</w:t>
            </w:r>
          </w:p>
        </w:tc>
        <w:tc>
          <w:tcPr>
            <w:tcW w:w="1134" w:type="dxa"/>
            <w:vAlign w:val="center"/>
          </w:tcPr>
          <w:p w14:paraId="6EDD0B57"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hAnsi="Garamond"/>
                <w:sz w:val="18"/>
                <w:szCs w:val="18"/>
              </w:rPr>
              <w:t>Direkte</w:t>
            </w:r>
          </w:p>
        </w:tc>
        <w:tc>
          <w:tcPr>
            <w:tcW w:w="1134" w:type="dxa"/>
            <w:noWrap/>
            <w:vAlign w:val="center"/>
            <w:hideMark/>
          </w:tcPr>
          <w:p w14:paraId="6EDD0B58"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60,000.00</w:t>
            </w:r>
          </w:p>
        </w:tc>
        <w:tc>
          <w:tcPr>
            <w:tcW w:w="1276" w:type="dxa"/>
            <w:noWrap/>
            <w:vAlign w:val="center"/>
            <w:hideMark/>
          </w:tcPr>
          <w:p w14:paraId="6EDD0B59"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60,000.00</w:t>
            </w:r>
          </w:p>
        </w:tc>
        <w:tc>
          <w:tcPr>
            <w:tcW w:w="1134" w:type="dxa"/>
            <w:noWrap/>
            <w:vAlign w:val="center"/>
            <w:hideMark/>
          </w:tcPr>
          <w:p w14:paraId="6EDD0B5A"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1275" w:type="dxa"/>
            <w:noWrap/>
            <w:vAlign w:val="center"/>
            <w:hideMark/>
          </w:tcPr>
          <w:p w14:paraId="6EDD0B5B"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1276" w:type="dxa"/>
            <w:noWrap/>
            <w:vAlign w:val="center"/>
            <w:hideMark/>
          </w:tcPr>
          <w:p w14:paraId="6EDD0B5C"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2984" w:type="dxa"/>
            <w:vAlign w:val="center"/>
            <w:hideMark/>
          </w:tcPr>
          <w:p w14:paraId="6EDD0B5D"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Rezultati G dhe Fondi Rajonal i Zhvillimit (25% e fondit total)</w:t>
            </w:r>
          </w:p>
        </w:tc>
      </w:tr>
      <w:tr w:rsidR="00D774C2" w:rsidRPr="007114AF" w14:paraId="6EDD0B6C" w14:textId="77777777" w:rsidTr="00D774C2">
        <w:trPr>
          <w:trHeight w:val="20"/>
          <w:jc w:val="center"/>
        </w:trPr>
        <w:tc>
          <w:tcPr>
            <w:cnfStyle w:val="001000000000" w:firstRow="0" w:lastRow="0" w:firstColumn="1" w:lastColumn="0" w:oddVBand="0" w:evenVBand="0" w:oddHBand="0" w:evenHBand="0" w:firstRowFirstColumn="0" w:firstRowLastColumn="0" w:lastRowFirstColumn="0" w:lastRowLastColumn="0"/>
            <w:tcW w:w="534" w:type="dxa"/>
            <w:vAlign w:val="center"/>
            <w:hideMark/>
          </w:tcPr>
          <w:p w14:paraId="6EDD0B5F" w14:textId="77777777" w:rsidR="00D774C2" w:rsidRPr="007114AF" w:rsidRDefault="00D774C2" w:rsidP="00D774C2">
            <w:pPr>
              <w:spacing w:after="0"/>
              <w:rPr>
                <w:rFonts w:ascii="Garamond" w:eastAsia="Times New Roman" w:hAnsi="Garamond" w:cs="Times New Roman"/>
                <w:sz w:val="18"/>
                <w:szCs w:val="18"/>
              </w:rPr>
            </w:pPr>
            <w:r w:rsidRPr="007114AF">
              <w:rPr>
                <w:rFonts w:ascii="Garamond" w:eastAsia="Times New Roman" w:hAnsi="Garamond" w:cs="Times New Roman"/>
                <w:sz w:val="18"/>
                <w:szCs w:val="18"/>
              </w:rPr>
              <w:t>L29</w:t>
            </w:r>
          </w:p>
        </w:tc>
        <w:tc>
          <w:tcPr>
            <w:tcW w:w="2126" w:type="dxa"/>
            <w:vAlign w:val="center"/>
            <w:hideMark/>
          </w:tcPr>
          <w:p w14:paraId="6EDD0B60"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Fondi Rajonal i Zhvillimit që shton biodiversitetin dhe ndihmon në përshtatjen me sfidate ndryshimeveklimatike</w:t>
            </w:r>
          </w:p>
        </w:tc>
        <w:tc>
          <w:tcPr>
            <w:tcW w:w="773" w:type="dxa"/>
            <w:vAlign w:val="center"/>
            <w:hideMark/>
          </w:tcPr>
          <w:p w14:paraId="6EDD0B61"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2016-2020</w:t>
            </w:r>
          </w:p>
        </w:tc>
        <w:tc>
          <w:tcPr>
            <w:tcW w:w="928" w:type="dxa"/>
            <w:vAlign w:val="center"/>
            <w:hideMark/>
          </w:tcPr>
          <w:p w14:paraId="6EDD0B62"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SMNS; PKT</w:t>
            </w:r>
          </w:p>
        </w:tc>
        <w:tc>
          <w:tcPr>
            <w:tcW w:w="1134" w:type="dxa"/>
            <w:vAlign w:val="center"/>
          </w:tcPr>
          <w:p w14:paraId="6EDD0B63"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hAnsi="Garamond"/>
                <w:sz w:val="18"/>
                <w:szCs w:val="18"/>
              </w:rPr>
              <w:t>Direkte</w:t>
            </w:r>
          </w:p>
        </w:tc>
        <w:tc>
          <w:tcPr>
            <w:tcW w:w="1134" w:type="dxa"/>
            <w:noWrap/>
            <w:hideMark/>
          </w:tcPr>
          <w:p w14:paraId="6EDD0B64"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hAnsi="Garamond"/>
                <w:sz w:val="18"/>
                <w:szCs w:val="18"/>
              </w:rPr>
            </w:pPr>
            <w:r w:rsidRPr="007114AF">
              <w:rPr>
                <w:rFonts w:ascii="Garamond" w:hAnsi="Garamond"/>
                <w:sz w:val="18"/>
                <w:szCs w:val="18"/>
              </w:rPr>
              <w:t>3.295.200,00</w:t>
            </w:r>
          </w:p>
          <w:p w14:paraId="6EDD0B65"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tc>
        <w:tc>
          <w:tcPr>
            <w:tcW w:w="1276" w:type="dxa"/>
            <w:noWrap/>
            <w:hideMark/>
          </w:tcPr>
          <w:p w14:paraId="6EDD0B66"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120,000.00</w:t>
            </w:r>
          </w:p>
        </w:tc>
        <w:tc>
          <w:tcPr>
            <w:tcW w:w="1134" w:type="dxa"/>
            <w:noWrap/>
            <w:hideMark/>
          </w:tcPr>
          <w:p w14:paraId="6EDD0B67"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1275" w:type="dxa"/>
            <w:noWrap/>
            <w:hideMark/>
          </w:tcPr>
          <w:p w14:paraId="6EDD0B68"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1276" w:type="dxa"/>
            <w:noWrap/>
            <w:hideMark/>
          </w:tcPr>
          <w:p w14:paraId="6EDD0B69"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hAnsi="Garamond"/>
                <w:sz w:val="18"/>
                <w:szCs w:val="18"/>
              </w:rPr>
            </w:pPr>
            <w:r w:rsidRPr="007114AF">
              <w:rPr>
                <w:rFonts w:ascii="Garamond" w:eastAsia="Times New Roman" w:hAnsi="Garamond" w:cs="Times New Roman"/>
                <w:sz w:val="18"/>
                <w:szCs w:val="18"/>
              </w:rPr>
              <w:t> </w:t>
            </w:r>
            <w:r w:rsidRPr="007114AF">
              <w:rPr>
                <w:rFonts w:ascii="Garamond" w:hAnsi="Garamond"/>
                <w:sz w:val="18"/>
                <w:szCs w:val="18"/>
              </w:rPr>
              <w:t>3.175.200,00</w:t>
            </w:r>
          </w:p>
          <w:p w14:paraId="6EDD0B6A"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tc>
        <w:tc>
          <w:tcPr>
            <w:tcW w:w="2984" w:type="dxa"/>
            <w:vAlign w:val="center"/>
            <w:hideMark/>
          </w:tcPr>
          <w:p w14:paraId="6EDD0B6B"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Rezultati G dhe Fondi Rajonal i Zhvillimit (50% e fondit total)</w:t>
            </w:r>
          </w:p>
        </w:tc>
      </w:tr>
      <w:tr w:rsidR="00D774C2" w:rsidRPr="007114AF" w14:paraId="6EDD0B7B" w14:textId="77777777" w:rsidTr="00D774C2">
        <w:trPr>
          <w:trHeight w:val="20"/>
          <w:jc w:val="center"/>
        </w:trPr>
        <w:tc>
          <w:tcPr>
            <w:cnfStyle w:val="001000000000" w:firstRow="0" w:lastRow="0" w:firstColumn="1" w:lastColumn="0" w:oddVBand="0" w:evenVBand="0" w:oddHBand="0" w:evenHBand="0" w:firstRowFirstColumn="0" w:firstRowLastColumn="0" w:lastRowFirstColumn="0" w:lastRowLastColumn="0"/>
            <w:tcW w:w="534" w:type="dxa"/>
            <w:vAlign w:val="center"/>
            <w:hideMark/>
          </w:tcPr>
          <w:p w14:paraId="6EDD0B6D" w14:textId="77777777" w:rsidR="00D774C2" w:rsidRPr="007114AF" w:rsidRDefault="00D774C2" w:rsidP="00D774C2">
            <w:pPr>
              <w:spacing w:after="0"/>
              <w:rPr>
                <w:rFonts w:ascii="Garamond" w:eastAsia="Times New Roman" w:hAnsi="Garamond" w:cs="Times New Roman"/>
                <w:sz w:val="18"/>
                <w:szCs w:val="18"/>
              </w:rPr>
            </w:pPr>
            <w:r w:rsidRPr="007114AF">
              <w:rPr>
                <w:rFonts w:ascii="Garamond" w:eastAsia="Times New Roman" w:hAnsi="Garamond" w:cs="Times New Roman"/>
                <w:sz w:val="18"/>
                <w:szCs w:val="18"/>
              </w:rPr>
              <w:t>L30</w:t>
            </w:r>
          </w:p>
        </w:tc>
        <w:tc>
          <w:tcPr>
            <w:tcW w:w="2126" w:type="dxa"/>
            <w:vAlign w:val="center"/>
            <w:hideMark/>
          </w:tcPr>
          <w:p w14:paraId="6EDD0B6E"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xml:space="preserve">Promovimi i zgjerimit dhe përmirësimit të burimeve pyjore nëpërmjet pyllëzimit të tokës me qëllim parandalimin e erozionit, ruajtjen e burimeve ujore, përmirësimin e biodiverisitetit dhe ndihmimin në përshtatje ndaj ndryshimeve </w:t>
            </w:r>
            <w:r w:rsidRPr="007114AF">
              <w:rPr>
                <w:rFonts w:ascii="Garamond" w:eastAsia="Times New Roman" w:hAnsi="Garamond" w:cs="Times New Roman"/>
                <w:sz w:val="18"/>
                <w:szCs w:val="18"/>
              </w:rPr>
              <w:lastRenderedPageBreak/>
              <w:t xml:space="preserve">klimatikeklimatike. </w:t>
            </w:r>
          </w:p>
        </w:tc>
        <w:tc>
          <w:tcPr>
            <w:tcW w:w="773" w:type="dxa"/>
            <w:vAlign w:val="center"/>
            <w:hideMark/>
          </w:tcPr>
          <w:p w14:paraId="6EDD0B6F"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lastRenderedPageBreak/>
              <w:t>2020</w:t>
            </w:r>
          </w:p>
        </w:tc>
        <w:tc>
          <w:tcPr>
            <w:tcW w:w="928" w:type="dxa"/>
            <w:vAlign w:val="center"/>
            <w:hideMark/>
          </w:tcPr>
          <w:p w14:paraId="6EDD0B70"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SMNS; PKT</w:t>
            </w:r>
          </w:p>
        </w:tc>
        <w:tc>
          <w:tcPr>
            <w:tcW w:w="1134" w:type="dxa"/>
            <w:vAlign w:val="center"/>
          </w:tcPr>
          <w:p w14:paraId="6EDD0B71"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hAnsi="Garamond"/>
                <w:sz w:val="18"/>
                <w:szCs w:val="18"/>
              </w:rPr>
              <w:t>Direkte</w:t>
            </w:r>
          </w:p>
        </w:tc>
        <w:tc>
          <w:tcPr>
            <w:tcW w:w="1134" w:type="dxa"/>
            <w:noWrap/>
            <w:hideMark/>
          </w:tcPr>
          <w:p w14:paraId="6EDD0B72"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hAnsi="Garamond"/>
                <w:sz w:val="18"/>
                <w:szCs w:val="18"/>
              </w:rPr>
            </w:pPr>
            <w:r w:rsidRPr="007114AF">
              <w:rPr>
                <w:rFonts w:ascii="Garamond" w:hAnsi="Garamond"/>
                <w:sz w:val="18"/>
                <w:szCs w:val="18"/>
              </w:rPr>
              <w:t>12.357.000,00</w:t>
            </w:r>
          </w:p>
          <w:p w14:paraId="6EDD0B73"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tc>
        <w:tc>
          <w:tcPr>
            <w:tcW w:w="1276" w:type="dxa"/>
            <w:noWrap/>
            <w:hideMark/>
          </w:tcPr>
          <w:p w14:paraId="6EDD0B74"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hAnsi="Garamond"/>
                <w:sz w:val="18"/>
                <w:szCs w:val="18"/>
              </w:rPr>
            </w:pPr>
            <w:r w:rsidRPr="007114AF">
              <w:rPr>
                <w:rFonts w:ascii="Garamond" w:hAnsi="Garamond"/>
                <w:sz w:val="18"/>
                <w:szCs w:val="18"/>
              </w:rPr>
              <w:t>1.235.700,00</w:t>
            </w:r>
          </w:p>
          <w:p w14:paraId="6EDD0B75"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tc>
        <w:tc>
          <w:tcPr>
            <w:tcW w:w="1134" w:type="dxa"/>
            <w:noWrap/>
            <w:hideMark/>
          </w:tcPr>
          <w:p w14:paraId="6EDD0B76"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1275" w:type="dxa"/>
            <w:noWrap/>
            <w:hideMark/>
          </w:tcPr>
          <w:p w14:paraId="6EDD0B77"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1276" w:type="dxa"/>
            <w:noWrap/>
            <w:hideMark/>
          </w:tcPr>
          <w:p w14:paraId="6EDD0B78"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hAnsi="Garamond"/>
                <w:sz w:val="18"/>
                <w:szCs w:val="18"/>
              </w:rPr>
            </w:pPr>
            <w:r w:rsidRPr="007114AF">
              <w:rPr>
                <w:rFonts w:ascii="Garamond" w:eastAsia="Times New Roman" w:hAnsi="Garamond" w:cs="Times New Roman"/>
                <w:sz w:val="18"/>
                <w:szCs w:val="18"/>
              </w:rPr>
              <w:t> </w:t>
            </w:r>
            <w:r w:rsidRPr="007114AF">
              <w:rPr>
                <w:rFonts w:ascii="Garamond" w:hAnsi="Garamond"/>
                <w:sz w:val="18"/>
                <w:szCs w:val="18"/>
              </w:rPr>
              <w:t>11.121.300,00</w:t>
            </w:r>
          </w:p>
          <w:p w14:paraId="6EDD0B79"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tc>
        <w:tc>
          <w:tcPr>
            <w:tcW w:w="2984" w:type="dxa"/>
            <w:vAlign w:val="center"/>
            <w:hideMark/>
          </w:tcPr>
          <w:p w14:paraId="6EDD0B7A"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Rezultati G dhe Fondi Rajonal i Zhvillimit (25% e fondit total)</w:t>
            </w:r>
          </w:p>
        </w:tc>
      </w:tr>
      <w:tr w:rsidR="00D774C2" w:rsidRPr="007114AF" w14:paraId="6EDD0B8A" w14:textId="77777777" w:rsidTr="00D774C2">
        <w:trPr>
          <w:trHeight w:val="20"/>
          <w:jc w:val="center"/>
        </w:trPr>
        <w:tc>
          <w:tcPr>
            <w:cnfStyle w:val="001000000000" w:firstRow="0" w:lastRow="0" w:firstColumn="1" w:lastColumn="0" w:oddVBand="0" w:evenVBand="0" w:oddHBand="0" w:evenHBand="0" w:firstRowFirstColumn="0" w:firstRowLastColumn="0" w:lastRowFirstColumn="0" w:lastRowLastColumn="0"/>
            <w:tcW w:w="534" w:type="dxa"/>
            <w:vAlign w:val="center"/>
            <w:hideMark/>
          </w:tcPr>
          <w:p w14:paraId="6EDD0B7C" w14:textId="77777777" w:rsidR="00D774C2" w:rsidRPr="007114AF" w:rsidRDefault="00D774C2" w:rsidP="00D774C2">
            <w:pPr>
              <w:spacing w:after="0"/>
              <w:rPr>
                <w:rFonts w:ascii="Garamond" w:eastAsia="Times New Roman" w:hAnsi="Garamond" w:cs="Times New Roman"/>
                <w:sz w:val="18"/>
                <w:szCs w:val="18"/>
              </w:rPr>
            </w:pPr>
            <w:r w:rsidRPr="007114AF">
              <w:rPr>
                <w:rFonts w:ascii="Garamond" w:eastAsia="Times New Roman" w:hAnsi="Garamond" w:cs="Times New Roman"/>
                <w:sz w:val="18"/>
                <w:szCs w:val="18"/>
              </w:rPr>
              <w:t>L31</w:t>
            </w:r>
          </w:p>
        </w:tc>
        <w:tc>
          <w:tcPr>
            <w:tcW w:w="2126" w:type="dxa"/>
            <w:vAlign w:val="center"/>
            <w:hideMark/>
          </w:tcPr>
          <w:p w14:paraId="6EDD0B7D"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Promovimi i zgjerimit dhe përmirësimit të burimeve pyjore nëpërmjet pyllëzimit të tokës me qëllim parandalimin e erozionit, ruajtjen e burimeve ujore, përmirësimin e biodiverisitetit dhe ndihmimin në përshtatjen ndaj ndryshimeve klimatike.</w:t>
            </w:r>
          </w:p>
        </w:tc>
        <w:tc>
          <w:tcPr>
            <w:tcW w:w="773" w:type="dxa"/>
            <w:vAlign w:val="center"/>
            <w:hideMark/>
          </w:tcPr>
          <w:p w14:paraId="6EDD0B7E"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2050</w:t>
            </w:r>
          </w:p>
        </w:tc>
        <w:tc>
          <w:tcPr>
            <w:tcW w:w="928" w:type="dxa"/>
            <w:vAlign w:val="center"/>
            <w:hideMark/>
          </w:tcPr>
          <w:p w14:paraId="6EDD0B7F"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KTK; PKT</w:t>
            </w:r>
          </w:p>
        </w:tc>
        <w:tc>
          <w:tcPr>
            <w:tcW w:w="1134" w:type="dxa"/>
            <w:vAlign w:val="center"/>
          </w:tcPr>
          <w:p w14:paraId="6EDD0B80"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hAnsi="Garamond"/>
                <w:sz w:val="18"/>
                <w:szCs w:val="18"/>
              </w:rPr>
              <w:t>Direkte</w:t>
            </w:r>
          </w:p>
        </w:tc>
        <w:tc>
          <w:tcPr>
            <w:tcW w:w="1134" w:type="dxa"/>
            <w:noWrap/>
            <w:hideMark/>
          </w:tcPr>
          <w:p w14:paraId="6EDD0B81"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hAnsi="Garamond"/>
                <w:sz w:val="18"/>
                <w:szCs w:val="18"/>
              </w:rPr>
            </w:pPr>
            <w:r w:rsidRPr="007114AF">
              <w:rPr>
                <w:rFonts w:ascii="Garamond" w:hAnsi="Garamond"/>
                <w:sz w:val="18"/>
                <w:szCs w:val="18"/>
              </w:rPr>
              <w:t>549.200,00</w:t>
            </w:r>
          </w:p>
          <w:p w14:paraId="6EDD0B82"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tc>
        <w:tc>
          <w:tcPr>
            <w:tcW w:w="1276" w:type="dxa"/>
            <w:noWrap/>
            <w:hideMark/>
          </w:tcPr>
          <w:p w14:paraId="6EDD0B83"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0.00</w:t>
            </w:r>
          </w:p>
        </w:tc>
        <w:tc>
          <w:tcPr>
            <w:tcW w:w="1134" w:type="dxa"/>
            <w:noWrap/>
            <w:hideMark/>
          </w:tcPr>
          <w:p w14:paraId="6EDD0B84"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1275" w:type="dxa"/>
            <w:noWrap/>
            <w:hideMark/>
          </w:tcPr>
          <w:p w14:paraId="6EDD0B85"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hAnsi="Garamond"/>
                <w:sz w:val="18"/>
                <w:szCs w:val="18"/>
              </w:rPr>
            </w:pPr>
            <w:r w:rsidRPr="007114AF">
              <w:rPr>
                <w:rFonts w:ascii="Garamond" w:eastAsia="Times New Roman" w:hAnsi="Garamond" w:cs="Times New Roman"/>
                <w:sz w:val="18"/>
                <w:szCs w:val="18"/>
              </w:rPr>
              <w:t> </w:t>
            </w:r>
            <w:r w:rsidRPr="007114AF">
              <w:rPr>
                <w:rFonts w:ascii="Garamond" w:hAnsi="Garamond"/>
                <w:sz w:val="18"/>
                <w:szCs w:val="18"/>
              </w:rPr>
              <w:t>137.300,00</w:t>
            </w:r>
          </w:p>
          <w:p w14:paraId="6EDD0B86"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tc>
        <w:tc>
          <w:tcPr>
            <w:tcW w:w="1276" w:type="dxa"/>
            <w:noWrap/>
            <w:hideMark/>
          </w:tcPr>
          <w:p w14:paraId="6EDD0B87"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hAnsi="Garamond"/>
                <w:sz w:val="18"/>
                <w:szCs w:val="18"/>
              </w:rPr>
            </w:pPr>
            <w:r w:rsidRPr="007114AF">
              <w:rPr>
                <w:rFonts w:ascii="Garamond" w:eastAsia="Times New Roman" w:hAnsi="Garamond" w:cs="Times New Roman"/>
                <w:sz w:val="18"/>
                <w:szCs w:val="18"/>
              </w:rPr>
              <w:t> </w:t>
            </w:r>
            <w:r w:rsidRPr="007114AF">
              <w:rPr>
                <w:rFonts w:ascii="Garamond" w:hAnsi="Garamond"/>
                <w:sz w:val="18"/>
                <w:szCs w:val="18"/>
              </w:rPr>
              <w:t>411.900,00</w:t>
            </w:r>
          </w:p>
          <w:p w14:paraId="6EDD0B88"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tc>
        <w:tc>
          <w:tcPr>
            <w:tcW w:w="2984" w:type="dxa"/>
            <w:vAlign w:val="center"/>
            <w:hideMark/>
          </w:tcPr>
          <w:p w14:paraId="6EDD0B89" w14:textId="211872F8"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S</w:t>
            </w:r>
            <w:r w:rsidR="00D10DAB" w:rsidRPr="007114AF">
              <w:rPr>
                <w:rFonts w:ascii="Garamond" w:eastAsia="Times New Roman" w:hAnsi="Garamond" w:cs="Times New Roman"/>
                <w:sz w:val="18"/>
                <w:szCs w:val="18"/>
              </w:rPr>
              <w:t>’</w:t>
            </w:r>
            <w:r w:rsidRPr="007114AF">
              <w:rPr>
                <w:rFonts w:ascii="Garamond" w:eastAsia="Times New Roman" w:hAnsi="Garamond" w:cs="Times New Roman"/>
                <w:sz w:val="18"/>
                <w:szCs w:val="18"/>
              </w:rPr>
              <w:t>ka impakt mbi buxhetin deri në 2020</w:t>
            </w:r>
          </w:p>
        </w:tc>
      </w:tr>
      <w:tr w:rsidR="00D774C2" w:rsidRPr="007114AF" w14:paraId="6EDD0B98" w14:textId="77777777" w:rsidTr="00D774C2">
        <w:trPr>
          <w:trHeight w:val="20"/>
          <w:jc w:val="center"/>
        </w:trPr>
        <w:tc>
          <w:tcPr>
            <w:cnfStyle w:val="001000000000" w:firstRow="0" w:lastRow="0" w:firstColumn="1" w:lastColumn="0" w:oddVBand="0" w:evenVBand="0" w:oddHBand="0" w:evenHBand="0" w:firstRowFirstColumn="0" w:firstRowLastColumn="0" w:lastRowFirstColumn="0" w:lastRowLastColumn="0"/>
            <w:tcW w:w="534" w:type="dxa"/>
            <w:vAlign w:val="center"/>
            <w:hideMark/>
          </w:tcPr>
          <w:p w14:paraId="6EDD0B8B" w14:textId="77777777" w:rsidR="00D774C2" w:rsidRPr="007114AF" w:rsidRDefault="00D774C2" w:rsidP="00D774C2">
            <w:pPr>
              <w:spacing w:after="0"/>
              <w:rPr>
                <w:rFonts w:ascii="Garamond" w:eastAsia="Times New Roman" w:hAnsi="Garamond" w:cs="Times New Roman"/>
                <w:sz w:val="18"/>
                <w:szCs w:val="18"/>
              </w:rPr>
            </w:pPr>
            <w:r w:rsidRPr="007114AF">
              <w:rPr>
                <w:rFonts w:ascii="Garamond" w:eastAsia="Times New Roman" w:hAnsi="Garamond" w:cs="Times New Roman"/>
                <w:sz w:val="18"/>
                <w:szCs w:val="18"/>
              </w:rPr>
              <w:t>L32</w:t>
            </w:r>
          </w:p>
        </w:tc>
        <w:tc>
          <w:tcPr>
            <w:tcW w:w="2126" w:type="dxa"/>
            <w:vAlign w:val="center"/>
            <w:hideMark/>
          </w:tcPr>
          <w:p w14:paraId="6EDD0B8C"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Mbajtja nën kontroll e erozionit të tokës nëpërmjet shtimit të pyllëzimeve</w:t>
            </w:r>
          </w:p>
        </w:tc>
        <w:tc>
          <w:tcPr>
            <w:tcW w:w="773" w:type="dxa"/>
            <w:vAlign w:val="center"/>
            <w:hideMark/>
          </w:tcPr>
          <w:p w14:paraId="6EDD0B8D"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2016-2020</w:t>
            </w:r>
          </w:p>
        </w:tc>
        <w:tc>
          <w:tcPr>
            <w:tcW w:w="928" w:type="dxa"/>
            <w:vAlign w:val="center"/>
            <w:hideMark/>
          </w:tcPr>
          <w:p w14:paraId="6EDD0B8E" w14:textId="73D67378"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SNBZHR; SMNS;</w:t>
            </w:r>
            <w:r w:rsidR="000A2A01" w:rsidRPr="007114AF">
              <w:rPr>
                <w:rFonts w:ascii="Garamond" w:eastAsia="Times New Roman" w:hAnsi="Garamond" w:cs="Times New Roman"/>
                <w:sz w:val="18"/>
                <w:szCs w:val="18"/>
              </w:rPr>
              <w:t xml:space="preserve"> </w:t>
            </w:r>
            <w:r w:rsidRPr="007114AF">
              <w:rPr>
                <w:rFonts w:ascii="Garamond" w:eastAsia="Times New Roman" w:hAnsi="Garamond" w:cs="Times New Roman"/>
                <w:sz w:val="18"/>
                <w:szCs w:val="18"/>
              </w:rPr>
              <w:t>KTK; DPSMB; PPK; NSDI-II</w:t>
            </w:r>
          </w:p>
        </w:tc>
        <w:tc>
          <w:tcPr>
            <w:tcW w:w="1134" w:type="dxa"/>
            <w:vAlign w:val="center"/>
          </w:tcPr>
          <w:p w14:paraId="6EDD0B8F"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hAnsi="Garamond"/>
                <w:sz w:val="18"/>
                <w:szCs w:val="18"/>
              </w:rPr>
              <w:t>Direkte</w:t>
            </w:r>
          </w:p>
        </w:tc>
        <w:tc>
          <w:tcPr>
            <w:tcW w:w="1134" w:type="dxa"/>
            <w:noWrap/>
            <w:hideMark/>
          </w:tcPr>
          <w:p w14:paraId="6EDD0B90"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hAnsi="Garamond"/>
                <w:sz w:val="18"/>
                <w:szCs w:val="18"/>
              </w:rPr>
            </w:pPr>
            <w:r w:rsidRPr="007114AF">
              <w:rPr>
                <w:rFonts w:ascii="Garamond" w:hAnsi="Garamond"/>
                <w:sz w:val="18"/>
                <w:szCs w:val="18"/>
              </w:rPr>
              <w:t>3.295.200,00</w:t>
            </w:r>
          </w:p>
          <w:p w14:paraId="6EDD0B91"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tc>
        <w:tc>
          <w:tcPr>
            <w:tcW w:w="1276" w:type="dxa"/>
            <w:noWrap/>
            <w:hideMark/>
          </w:tcPr>
          <w:p w14:paraId="6EDD0B92"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1134" w:type="dxa"/>
            <w:noWrap/>
            <w:hideMark/>
          </w:tcPr>
          <w:p w14:paraId="6EDD0B93"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1275" w:type="dxa"/>
            <w:noWrap/>
            <w:hideMark/>
          </w:tcPr>
          <w:p w14:paraId="6EDD0B94"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1276" w:type="dxa"/>
            <w:noWrap/>
            <w:hideMark/>
          </w:tcPr>
          <w:p w14:paraId="6EDD0B95"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hAnsi="Garamond"/>
                <w:sz w:val="18"/>
                <w:szCs w:val="18"/>
              </w:rPr>
            </w:pPr>
            <w:r w:rsidRPr="007114AF">
              <w:rPr>
                <w:rFonts w:ascii="Garamond" w:hAnsi="Garamond"/>
                <w:sz w:val="18"/>
                <w:szCs w:val="18"/>
              </w:rPr>
              <w:t>3.295.200,00</w:t>
            </w:r>
          </w:p>
          <w:p w14:paraId="6EDD0B96"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p>
        </w:tc>
        <w:tc>
          <w:tcPr>
            <w:tcW w:w="2984" w:type="dxa"/>
            <w:vAlign w:val="center"/>
            <w:hideMark/>
          </w:tcPr>
          <w:p w14:paraId="6EDD0B97"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xml:space="preserve">Pjesë e buxhetit vjetor të parashikuar nga SMNS për periudhën 2016-2020. Asnjë rezultat të identifikuar për këtë masë në buxhetin afat mesëm (përreth 2% i kostos vjetore) </w:t>
            </w:r>
          </w:p>
        </w:tc>
      </w:tr>
      <w:tr w:rsidR="00D774C2" w:rsidRPr="007114AF" w14:paraId="6EDD0BA4" w14:textId="77777777" w:rsidTr="00D774C2">
        <w:trPr>
          <w:trHeight w:val="20"/>
          <w:jc w:val="center"/>
        </w:trPr>
        <w:tc>
          <w:tcPr>
            <w:cnfStyle w:val="001000000000" w:firstRow="0" w:lastRow="0" w:firstColumn="1" w:lastColumn="0" w:oddVBand="0" w:evenVBand="0" w:oddHBand="0" w:evenHBand="0" w:firstRowFirstColumn="0" w:firstRowLastColumn="0" w:lastRowFirstColumn="0" w:lastRowLastColumn="0"/>
            <w:tcW w:w="534" w:type="dxa"/>
            <w:vAlign w:val="center"/>
            <w:hideMark/>
          </w:tcPr>
          <w:p w14:paraId="6EDD0B99" w14:textId="77777777" w:rsidR="00D774C2" w:rsidRPr="007114AF" w:rsidRDefault="00D774C2" w:rsidP="00D774C2">
            <w:pPr>
              <w:spacing w:after="0"/>
              <w:rPr>
                <w:rFonts w:ascii="Garamond" w:eastAsia="Times New Roman" w:hAnsi="Garamond" w:cs="Times New Roman"/>
                <w:sz w:val="18"/>
                <w:szCs w:val="18"/>
              </w:rPr>
            </w:pPr>
            <w:r w:rsidRPr="007114AF">
              <w:rPr>
                <w:rFonts w:ascii="Garamond" w:eastAsia="Times New Roman" w:hAnsi="Garamond" w:cs="Times New Roman"/>
                <w:sz w:val="18"/>
                <w:szCs w:val="18"/>
              </w:rPr>
              <w:t>L33</w:t>
            </w:r>
          </w:p>
        </w:tc>
        <w:tc>
          <w:tcPr>
            <w:tcW w:w="2126" w:type="dxa"/>
            <w:vAlign w:val="center"/>
            <w:hideMark/>
          </w:tcPr>
          <w:p w14:paraId="6EDD0B9A"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Restaurimi i tokës së degraduar</w:t>
            </w:r>
          </w:p>
        </w:tc>
        <w:tc>
          <w:tcPr>
            <w:tcW w:w="773" w:type="dxa"/>
            <w:vAlign w:val="center"/>
            <w:hideMark/>
          </w:tcPr>
          <w:p w14:paraId="6EDD0B9B"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2016-2020</w:t>
            </w:r>
          </w:p>
        </w:tc>
        <w:tc>
          <w:tcPr>
            <w:tcW w:w="928" w:type="dxa"/>
            <w:vAlign w:val="center"/>
            <w:hideMark/>
          </w:tcPr>
          <w:p w14:paraId="6EDD0B9C"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KTK; PKT</w:t>
            </w:r>
          </w:p>
        </w:tc>
        <w:tc>
          <w:tcPr>
            <w:tcW w:w="1134" w:type="dxa"/>
            <w:vAlign w:val="center"/>
          </w:tcPr>
          <w:p w14:paraId="6EDD0B9D"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hAnsi="Garamond"/>
                <w:sz w:val="18"/>
                <w:szCs w:val="18"/>
              </w:rPr>
              <w:t>Direkte</w:t>
            </w:r>
          </w:p>
        </w:tc>
        <w:tc>
          <w:tcPr>
            <w:tcW w:w="1134" w:type="dxa"/>
            <w:noWrap/>
            <w:vAlign w:val="center"/>
            <w:hideMark/>
          </w:tcPr>
          <w:p w14:paraId="6EDD0B9E"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933,640.00</w:t>
            </w:r>
          </w:p>
        </w:tc>
        <w:tc>
          <w:tcPr>
            <w:tcW w:w="1276" w:type="dxa"/>
            <w:noWrap/>
            <w:vAlign w:val="center"/>
            <w:hideMark/>
          </w:tcPr>
          <w:p w14:paraId="6EDD0B9F"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1134" w:type="dxa"/>
            <w:noWrap/>
            <w:vAlign w:val="center"/>
            <w:hideMark/>
          </w:tcPr>
          <w:p w14:paraId="6EDD0BA0"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933,640.00</w:t>
            </w:r>
          </w:p>
        </w:tc>
        <w:tc>
          <w:tcPr>
            <w:tcW w:w="1275" w:type="dxa"/>
            <w:noWrap/>
            <w:vAlign w:val="center"/>
            <w:hideMark/>
          </w:tcPr>
          <w:p w14:paraId="6EDD0BA1"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1276" w:type="dxa"/>
            <w:noWrap/>
            <w:vAlign w:val="center"/>
            <w:hideMark/>
          </w:tcPr>
          <w:p w14:paraId="6EDD0BA2"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2984" w:type="dxa"/>
            <w:vAlign w:val="center"/>
            <w:hideMark/>
          </w:tcPr>
          <w:p w14:paraId="6EDD0BA3" w14:textId="1C0EF252"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xml:space="preserve">Kosto e projektit të BB për përbërësin </w:t>
            </w:r>
            <w:r w:rsidR="000A2A01" w:rsidRPr="007114AF">
              <w:rPr>
                <w:rFonts w:ascii="Garamond" w:eastAsia="Times New Roman" w:hAnsi="Garamond" w:cs="Times New Roman"/>
                <w:sz w:val="18"/>
                <w:szCs w:val="18"/>
              </w:rPr>
              <w:t>“</w:t>
            </w:r>
            <w:r w:rsidRPr="007114AF">
              <w:rPr>
                <w:rFonts w:ascii="Garamond" w:eastAsia="Times New Roman" w:hAnsi="Garamond" w:cs="Times New Roman"/>
                <w:sz w:val="18"/>
                <w:szCs w:val="18"/>
              </w:rPr>
              <w:t>Planëzim dhe Dhënie të Granteve si IPARD për të përmirësuar menaxhimin e tokës</w:t>
            </w:r>
            <w:r w:rsidR="000A2A01" w:rsidRPr="007114AF">
              <w:rPr>
                <w:rFonts w:ascii="Garamond" w:eastAsia="Times New Roman" w:hAnsi="Garamond" w:cs="Times New Roman"/>
                <w:sz w:val="18"/>
                <w:szCs w:val="18"/>
              </w:rPr>
              <w:t>”</w:t>
            </w:r>
          </w:p>
        </w:tc>
      </w:tr>
      <w:tr w:rsidR="00D774C2" w:rsidRPr="007114AF" w14:paraId="6EDD0BB0" w14:textId="77777777" w:rsidTr="00D774C2">
        <w:trPr>
          <w:trHeight w:val="20"/>
          <w:jc w:val="center"/>
        </w:trPr>
        <w:tc>
          <w:tcPr>
            <w:cnfStyle w:val="001000000000" w:firstRow="0" w:lastRow="0" w:firstColumn="1" w:lastColumn="0" w:oddVBand="0" w:evenVBand="0" w:oddHBand="0" w:evenHBand="0" w:firstRowFirstColumn="0" w:firstRowLastColumn="0" w:lastRowFirstColumn="0" w:lastRowLastColumn="0"/>
            <w:tcW w:w="534" w:type="dxa"/>
            <w:vAlign w:val="center"/>
            <w:hideMark/>
          </w:tcPr>
          <w:p w14:paraId="6EDD0BA5" w14:textId="77777777" w:rsidR="00D774C2" w:rsidRPr="007114AF" w:rsidRDefault="00D774C2" w:rsidP="00D774C2">
            <w:pPr>
              <w:spacing w:after="0"/>
              <w:rPr>
                <w:rFonts w:ascii="Garamond" w:eastAsia="Times New Roman" w:hAnsi="Garamond" w:cs="Times New Roman"/>
                <w:sz w:val="18"/>
                <w:szCs w:val="18"/>
              </w:rPr>
            </w:pPr>
            <w:r w:rsidRPr="007114AF">
              <w:rPr>
                <w:rFonts w:ascii="Garamond" w:eastAsia="Times New Roman" w:hAnsi="Garamond" w:cs="Times New Roman"/>
                <w:sz w:val="18"/>
                <w:szCs w:val="18"/>
              </w:rPr>
              <w:t>L34</w:t>
            </w:r>
          </w:p>
        </w:tc>
        <w:tc>
          <w:tcPr>
            <w:tcW w:w="2126" w:type="dxa"/>
            <w:vAlign w:val="center"/>
            <w:hideMark/>
          </w:tcPr>
          <w:p w14:paraId="6EDD0BA6"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Promovimi i shtimit të zonave të pyllëzuara</w:t>
            </w:r>
          </w:p>
        </w:tc>
        <w:tc>
          <w:tcPr>
            <w:tcW w:w="773" w:type="dxa"/>
            <w:vAlign w:val="center"/>
            <w:hideMark/>
          </w:tcPr>
          <w:p w14:paraId="6EDD0BA7"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2017-2020</w:t>
            </w:r>
          </w:p>
        </w:tc>
        <w:tc>
          <w:tcPr>
            <w:tcW w:w="928" w:type="dxa"/>
            <w:vAlign w:val="center"/>
            <w:hideMark/>
          </w:tcPr>
          <w:p w14:paraId="6EDD0BA8"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SMNS; NSDI-II</w:t>
            </w:r>
          </w:p>
        </w:tc>
        <w:tc>
          <w:tcPr>
            <w:tcW w:w="1134" w:type="dxa"/>
            <w:vAlign w:val="center"/>
          </w:tcPr>
          <w:p w14:paraId="6EDD0BA9"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hAnsi="Garamond"/>
                <w:sz w:val="18"/>
                <w:szCs w:val="18"/>
              </w:rPr>
              <w:t>Direkte</w:t>
            </w:r>
          </w:p>
        </w:tc>
        <w:tc>
          <w:tcPr>
            <w:tcW w:w="1134" w:type="dxa"/>
            <w:noWrap/>
            <w:vAlign w:val="center"/>
            <w:hideMark/>
          </w:tcPr>
          <w:p w14:paraId="6EDD0BAA"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269,775.00</w:t>
            </w:r>
          </w:p>
        </w:tc>
        <w:tc>
          <w:tcPr>
            <w:tcW w:w="1276" w:type="dxa"/>
            <w:noWrap/>
            <w:vAlign w:val="center"/>
            <w:hideMark/>
          </w:tcPr>
          <w:p w14:paraId="6EDD0BAB"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269,775.00</w:t>
            </w:r>
          </w:p>
        </w:tc>
        <w:tc>
          <w:tcPr>
            <w:tcW w:w="1134" w:type="dxa"/>
            <w:noWrap/>
            <w:vAlign w:val="center"/>
            <w:hideMark/>
          </w:tcPr>
          <w:p w14:paraId="6EDD0BAC"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1275" w:type="dxa"/>
            <w:noWrap/>
            <w:vAlign w:val="center"/>
            <w:hideMark/>
          </w:tcPr>
          <w:p w14:paraId="6EDD0BAD"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1276" w:type="dxa"/>
            <w:noWrap/>
            <w:vAlign w:val="center"/>
            <w:hideMark/>
          </w:tcPr>
          <w:p w14:paraId="6EDD0BAE"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2984" w:type="dxa"/>
            <w:vAlign w:val="center"/>
            <w:hideMark/>
          </w:tcPr>
          <w:p w14:paraId="6EDD0BAF"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Pjesë e rezultatit F, Programi i Menaxhimit të Pyjeve</w:t>
            </w:r>
          </w:p>
        </w:tc>
      </w:tr>
      <w:tr w:rsidR="00D774C2" w:rsidRPr="007114AF" w14:paraId="6EDD0BBC" w14:textId="77777777" w:rsidTr="00D774C2">
        <w:trPr>
          <w:trHeight w:val="20"/>
          <w:jc w:val="center"/>
        </w:trPr>
        <w:tc>
          <w:tcPr>
            <w:cnfStyle w:val="001000000000" w:firstRow="0" w:lastRow="0" w:firstColumn="1" w:lastColumn="0" w:oddVBand="0" w:evenVBand="0" w:oddHBand="0" w:evenHBand="0" w:firstRowFirstColumn="0" w:firstRowLastColumn="0" w:lastRowFirstColumn="0" w:lastRowLastColumn="0"/>
            <w:tcW w:w="534" w:type="dxa"/>
            <w:vAlign w:val="center"/>
            <w:hideMark/>
          </w:tcPr>
          <w:p w14:paraId="6EDD0BB1" w14:textId="77777777" w:rsidR="00D774C2" w:rsidRPr="007114AF" w:rsidRDefault="00D774C2" w:rsidP="00D774C2">
            <w:pPr>
              <w:spacing w:after="0"/>
              <w:rPr>
                <w:rFonts w:ascii="Garamond" w:eastAsia="Times New Roman" w:hAnsi="Garamond" w:cs="Times New Roman"/>
                <w:sz w:val="18"/>
                <w:szCs w:val="18"/>
              </w:rPr>
            </w:pPr>
            <w:r w:rsidRPr="007114AF">
              <w:rPr>
                <w:rFonts w:ascii="Garamond" w:eastAsia="Times New Roman" w:hAnsi="Garamond" w:cs="Times New Roman"/>
                <w:sz w:val="18"/>
                <w:szCs w:val="18"/>
              </w:rPr>
              <w:t>L35</w:t>
            </w:r>
          </w:p>
        </w:tc>
        <w:tc>
          <w:tcPr>
            <w:tcW w:w="2126" w:type="dxa"/>
            <w:vAlign w:val="center"/>
            <w:hideMark/>
          </w:tcPr>
          <w:p w14:paraId="6EDD0BB2"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Promovimi i pyllëzimit</w:t>
            </w:r>
          </w:p>
        </w:tc>
        <w:tc>
          <w:tcPr>
            <w:tcW w:w="773" w:type="dxa"/>
            <w:vAlign w:val="center"/>
            <w:hideMark/>
          </w:tcPr>
          <w:p w14:paraId="6EDD0BB3"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2017</w:t>
            </w:r>
          </w:p>
        </w:tc>
        <w:tc>
          <w:tcPr>
            <w:tcW w:w="928" w:type="dxa"/>
            <w:vAlign w:val="center"/>
            <w:hideMark/>
          </w:tcPr>
          <w:p w14:paraId="6EDD0BB4"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SMNS</w:t>
            </w:r>
          </w:p>
        </w:tc>
        <w:tc>
          <w:tcPr>
            <w:tcW w:w="1134" w:type="dxa"/>
            <w:vAlign w:val="center"/>
          </w:tcPr>
          <w:p w14:paraId="6EDD0BB5"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hAnsi="Garamond"/>
                <w:sz w:val="18"/>
                <w:szCs w:val="18"/>
              </w:rPr>
              <w:t>Indirekte</w:t>
            </w:r>
          </w:p>
        </w:tc>
        <w:tc>
          <w:tcPr>
            <w:tcW w:w="1134" w:type="dxa"/>
            <w:noWrap/>
            <w:vAlign w:val="center"/>
            <w:hideMark/>
          </w:tcPr>
          <w:p w14:paraId="6EDD0BB6"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40,000.00</w:t>
            </w:r>
          </w:p>
        </w:tc>
        <w:tc>
          <w:tcPr>
            <w:tcW w:w="1276" w:type="dxa"/>
            <w:noWrap/>
            <w:vAlign w:val="center"/>
            <w:hideMark/>
          </w:tcPr>
          <w:p w14:paraId="6EDD0BB7"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40,000.00</w:t>
            </w:r>
          </w:p>
        </w:tc>
        <w:tc>
          <w:tcPr>
            <w:tcW w:w="1134" w:type="dxa"/>
            <w:noWrap/>
            <w:vAlign w:val="center"/>
            <w:hideMark/>
          </w:tcPr>
          <w:p w14:paraId="6EDD0BB8"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1275" w:type="dxa"/>
            <w:noWrap/>
            <w:vAlign w:val="center"/>
            <w:hideMark/>
          </w:tcPr>
          <w:p w14:paraId="6EDD0BB9"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1276" w:type="dxa"/>
            <w:noWrap/>
            <w:vAlign w:val="center"/>
            <w:hideMark/>
          </w:tcPr>
          <w:p w14:paraId="6EDD0BBA"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2984" w:type="dxa"/>
            <w:vAlign w:val="center"/>
            <w:hideMark/>
          </w:tcPr>
          <w:p w14:paraId="6EDD0BBB"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Pjesë e rezultatit F, Programi i Menaxhimit të Pyjeve</w:t>
            </w:r>
          </w:p>
        </w:tc>
      </w:tr>
      <w:tr w:rsidR="00D774C2" w:rsidRPr="007114AF" w14:paraId="6EDD0BC8" w14:textId="77777777" w:rsidTr="00D774C2">
        <w:trPr>
          <w:trHeight w:val="20"/>
          <w:jc w:val="center"/>
        </w:trPr>
        <w:tc>
          <w:tcPr>
            <w:cnfStyle w:val="001000000000" w:firstRow="0" w:lastRow="0" w:firstColumn="1" w:lastColumn="0" w:oddVBand="0" w:evenVBand="0" w:oddHBand="0" w:evenHBand="0" w:firstRowFirstColumn="0" w:firstRowLastColumn="0" w:lastRowFirstColumn="0" w:lastRowLastColumn="0"/>
            <w:tcW w:w="534" w:type="dxa"/>
            <w:vAlign w:val="center"/>
            <w:hideMark/>
          </w:tcPr>
          <w:p w14:paraId="6EDD0BBD" w14:textId="77777777" w:rsidR="00D774C2" w:rsidRPr="007114AF" w:rsidRDefault="00D774C2" w:rsidP="00D774C2">
            <w:pPr>
              <w:spacing w:after="0"/>
              <w:rPr>
                <w:rFonts w:ascii="Garamond" w:eastAsia="Times New Roman" w:hAnsi="Garamond" w:cs="Times New Roman"/>
                <w:sz w:val="18"/>
                <w:szCs w:val="18"/>
              </w:rPr>
            </w:pPr>
            <w:r w:rsidRPr="007114AF">
              <w:rPr>
                <w:rFonts w:ascii="Garamond" w:eastAsia="Times New Roman" w:hAnsi="Garamond" w:cs="Times New Roman"/>
                <w:sz w:val="18"/>
                <w:szCs w:val="18"/>
              </w:rPr>
              <w:t>L36</w:t>
            </w:r>
          </w:p>
        </w:tc>
        <w:tc>
          <w:tcPr>
            <w:tcW w:w="2126" w:type="dxa"/>
            <w:vAlign w:val="center"/>
            <w:hideMark/>
          </w:tcPr>
          <w:p w14:paraId="6EDD0BBE"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Promovimi i rigjenerimit natyror dhe rigjenerimit me specie vendase autoktone për drurët pyjore</w:t>
            </w:r>
          </w:p>
        </w:tc>
        <w:tc>
          <w:tcPr>
            <w:tcW w:w="773" w:type="dxa"/>
            <w:vAlign w:val="center"/>
            <w:hideMark/>
          </w:tcPr>
          <w:p w14:paraId="6EDD0BBF"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2016-2020</w:t>
            </w:r>
          </w:p>
        </w:tc>
        <w:tc>
          <w:tcPr>
            <w:tcW w:w="928" w:type="dxa"/>
            <w:vAlign w:val="center"/>
            <w:hideMark/>
          </w:tcPr>
          <w:p w14:paraId="6EDD0BC0"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DPSMB</w:t>
            </w:r>
          </w:p>
        </w:tc>
        <w:tc>
          <w:tcPr>
            <w:tcW w:w="1134" w:type="dxa"/>
            <w:vAlign w:val="center"/>
          </w:tcPr>
          <w:p w14:paraId="6EDD0BC1"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hAnsi="Garamond"/>
                <w:sz w:val="18"/>
                <w:szCs w:val="18"/>
              </w:rPr>
              <w:t>Indirekte</w:t>
            </w:r>
          </w:p>
        </w:tc>
        <w:tc>
          <w:tcPr>
            <w:tcW w:w="1134" w:type="dxa"/>
            <w:noWrap/>
            <w:vAlign w:val="center"/>
            <w:hideMark/>
          </w:tcPr>
          <w:p w14:paraId="6EDD0BC2"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18,345.00</w:t>
            </w:r>
          </w:p>
        </w:tc>
        <w:tc>
          <w:tcPr>
            <w:tcW w:w="1276" w:type="dxa"/>
            <w:noWrap/>
            <w:vAlign w:val="center"/>
            <w:hideMark/>
          </w:tcPr>
          <w:p w14:paraId="6EDD0BC3"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18,345.00</w:t>
            </w:r>
          </w:p>
        </w:tc>
        <w:tc>
          <w:tcPr>
            <w:tcW w:w="1134" w:type="dxa"/>
            <w:noWrap/>
            <w:vAlign w:val="center"/>
            <w:hideMark/>
          </w:tcPr>
          <w:p w14:paraId="6EDD0BC4"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1275" w:type="dxa"/>
            <w:noWrap/>
            <w:vAlign w:val="center"/>
            <w:hideMark/>
          </w:tcPr>
          <w:p w14:paraId="6EDD0BC5"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1276" w:type="dxa"/>
            <w:noWrap/>
            <w:vAlign w:val="center"/>
            <w:hideMark/>
          </w:tcPr>
          <w:p w14:paraId="6EDD0BC6"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2984" w:type="dxa"/>
            <w:vAlign w:val="center"/>
            <w:hideMark/>
          </w:tcPr>
          <w:p w14:paraId="6EDD0BC7"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Kosto e identifikuar në DPSMB, masa 6</w:t>
            </w:r>
          </w:p>
        </w:tc>
      </w:tr>
      <w:tr w:rsidR="00D774C2" w:rsidRPr="007114AF" w14:paraId="6EDD0BD4" w14:textId="77777777" w:rsidTr="00D774C2">
        <w:trPr>
          <w:trHeight w:val="20"/>
          <w:jc w:val="center"/>
        </w:trPr>
        <w:tc>
          <w:tcPr>
            <w:cnfStyle w:val="001000000000" w:firstRow="0" w:lastRow="0" w:firstColumn="1" w:lastColumn="0" w:oddVBand="0" w:evenVBand="0" w:oddHBand="0" w:evenHBand="0" w:firstRowFirstColumn="0" w:firstRowLastColumn="0" w:lastRowFirstColumn="0" w:lastRowLastColumn="0"/>
            <w:tcW w:w="534" w:type="dxa"/>
            <w:vAlign w:val="center"/>
            <w:hideMark/>
          </w:tcPr>
          <w:p w14:paraId="6EDD0BC9" w14:textId="77777777" w:rsidR="00D774C2" w:rsidRPr="007114AF" w:rsidRDefault="00D774C2" w:rsidP="00D774C2">
            <w:pPr>
              <w:spacing w:after="0"/>
              <w:rPr>
                <w:rFonts w:ascii="Garamond" w:eastAsia="Times New Roman" w:hAnsi="Garamond" w:cs="Times New Roman"/>
                <w:sz w:val="18"/>
                <w:szCs w:val="18"/>
              </w:rPr>
            </w:pPr>
            <w:r w:rsidRPr="007114AF">
              <w:rPr>
                <w:rFonts w:ascii="Garamond" w:eastAsia="Times New Roman" w:hAnsi="Garamond" w:cs="Times New Roman"/>
                <w:sz w:val="18"/>
                <w:szCs w:val="18"/>
              </w:rPr>
              <w:t>L37</w:t>
            </w:r>
          </w:p>
        </w:tc>
        <w:tc>
          <w:tcPr>
            <w:tcW w:w="2126" w:type="dxa"/>
            <w:vAlign w:val="center"/>
            <w:hideMark/>
          </w:tcPr>
          <w:p w14:paraId="6EDD0BCA"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Vlerësimi i burimeve gjenetike të llojeve kryesore të pyjeve dhe identifikimii pyjeve për ruajtjene vendburimitgjenetik</w:t>
            </w:r>
          </w:p>
        </w:tc>
        <w:tc>
          <w:tcPr>
            <w:tcW w:w="773" w:type="dxa"/>
            <w:vAlign w:val="center"/>
            <w:hideMark/>
          </w:tcPr>
          <w:p w14:paraId="6EDD0BCB"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2016-2020</w:t>
            </w:r>
          </w:p>
        </w:tc>
        <w:tc>
          <w:tcPr>
            <w:tcW w:w="928" w:type="dxa"/>
            <w:vAlign w:val="center"/>
            <w:hideMark/>
          </w:tcPr>
          <w:p w14:paraId="6EDD0BCC"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DPSMB</w:t>
            </w:r>
          </w:p>
        </w:tc>
        <w:tc>
          <w:tcPr>
            <w:tcW w:w="1134" w:type="dxa"/>
            <w:vAlign w:val="center"/>
          </w:tcPr>
          <w:p w14:paraId="6EDD0BCD"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hAnsi="Garamond"/>
                <w:sz w:val="18"/>
                <w:szCs w:val="18"/>
              </w:rPr>
              <w:t>Direkte</w:t>
            </w:r>
          </w:p>
        </w:tc>
        <w:tc>
          <w:tcPr>
            <w:tcW w:w="1134" w:type="dxa"/>
            <w:noWrap/>
            <w:vAlign w:val="center"/>
            <w:hideMark/>
          </w:tcPr>
          <w:p w14:paraId="6EDD0BCE"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6,250.00</w:t>
            </w:r>
          </w:p>
        </w:tc>
        <w:tc>
          <w:tcPr>
            <w:tcW w:w="1276" w:type="dxa"/>
            <w:noWrap/>
            <w:vAlign w:val="center"/>
            <w:hideMark/>
          </w:tcPr>
          <w:p w14:paraId="6EDD0BCF"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6,250.00</w:t>
            </w:r>
          </w:p>
        </w:tc>
        <w:tc>
          <w:tcPr>
            <w:tcW w:w="1134" w:type="dxa"/>
            <w:noWrap/>
            <w:vAlign w:val="center"/>
            <w:hideMark/>
          </w:tcPr>
          <w:p w14:paraId="6EDD0BD0"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1275" w:type="dxa"/>
            <w:noWrap/>
            <w:vAlign w:val="center"/>
            <w:hideMark/>
          </w:tcPr>
          <w:p w14:paraId="6EDD0BD1"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1276" w:type="dxa"/>
            <w:noWrap/>
            <w:vAlign w:val="center"/>
            <w:hideMark/>
          </w:tcPr>
          <w:p w14:paraId="6EDD0BD2"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2984" w:type="dxa"/>
            <w:vAlign w:val="center"/>
            <w:hideMark/>
          </w:tcPr>
          <w:p w14:paraId="6EDD0BD3"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Kosto e identifikuar në DPSMB, masa 7</w:t>
            </w:r>
          </w:p>
        </w:tc>
      </w:tr>
      <w:tr w:rsidR="00D774C2" w:rsidRPr="007114AF" w14:paraId="6EDD0BE0" w14:textId="77777777" w:rsidTr="00D774C2">
        <w:trPr>
          <w:trHeight w:val="20"/>
          <w:jc w:val="center"/>
        </w:trPr>
        <w:tc>
          <w:tcPr>
            <w:cnfStyle w:val="001000000000" w:firstRow="0" w:lastRow="0" w:firstColumn="1" w:lastColumn="0" w:oddVBand="0" w:evenVBand="0" w:oddHBand="0" w:evenHBand="0" w:firstRowFirstColumn="0" w:firstRowLastColumn="0" w:lastRowFirstColumn="0" w:lastRowLastColumn="0"/>
            <w:tcW w:w="534" w:type="dxa"/>
            <w:vAlign w:val="center"/>
            <w:hideMark/>
          </w:tcPr>
          <w:p w14:paraId="6EDD0BD5" w14:textId="77777777" w:rsidR="00D774C2" w:rsidRPr="007114AF" w:rsidRDefault="00D774C2" w:rsidP="00D774C2">
            <w:pPr>
              <w:spacing w:after="0"/>
              <w:rPr>
                <w:rFonts w:ascii="Garamond" w:eastAsia="Times New Roman" w:hAnsi="Garamond" w:cs="Times New Roman"/>
                <w:sz w:val="18"/>
                <w:szCs w:val="18"/>
              </w:rPr>
            </w:pPr>
            <w:r w:rsidRPr="007114AF">
              <w:rPr>
                <w:rFonts w:ascii="Garamond" w:eastAsia="Times New Roman" w:hAnsi="Garamond" w:cs="Times New Roman"/>
                <w:sz w:val="18"/>
                <w:szCs w:val="18"/>
              </w:rPr>
              <w:t>L38</w:t>
            </w:r>
          </w:p>
        </w:tc>
        <w:tc>
          <w:tcPr>
            <w:tcW w:w="2126" w:type="dxa"/>
            <w:vAlign w:val="center"/>
            <w:hideMark/>
          </w:tcPr>
          <w:p w14:paraId="6EDD0BD6"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Përdorimi i tokës bujqësore në zonat e abandonuara për prodhimin e bioenergjisë nëpërmjet pyllëzimeve</w:t>
            </w:r>
          </w:p>
        </w:tc>
        <w:tc>
          <w:tcPr>
            <w:tcW w:w="773" w:type="dxa"/>
            <w:vAlign w:val="center"/>
            <w:hideMark/>
          </w:tcPr>
          <w:p w14:paraId="6EDD0BD7"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2017-2020</w:t>
            </w:r>
          </w:p>
        </w:tc>
        <w:tc>
          <w:tcPr>
            <w:tcW w:w="928" w:type="dxa"/>
            <w:vAlign w:val="center"/>
            <w:hideMark/>
          </w:tcPr>
          <w:p w14:paraId="6EDD0BD8"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SMNS; PKT; KTK</w:t>
            </w:r>
          </w:p>
        </w:tc>
        <w:tc>
          <w:tcPr>
            <w:tcW w:w="1134" w:type="dxa"/>
            <w:vAlign w:val="center"/>
          </w:tcPr>
          <w:p w14:paraId="6EDD0BD9"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hAnsi="Garamond"/>
                <w:sz w:val="18"/>
                <w:szCs w:val="18"/>
              </w:rPr>
              <w:t>Direkte</w:t>
            </w:r>
          </w:p>
        </w:tc>
        <w:tc>
          <w:tcPr>
            <w:tcW w:w="1134" w:type="dxa"/>
            <w:noWrap/>
            <w:vAlign w:val="center"/>
            <w:hideMark/>
          </w:tcPr>
          <w:p w14:paraId="6EDD0BDA"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74,604.00</w:t>
            </w:r>
          </w:p>
        </w:tc>
        <w:tc>
          <w:tcPr>
            <w:tcW w:w="1276" w:type="dxa"/>
            <w:noWrap/>
            <w:vAlign w:val="center"/>
            <w:hideMark/>
          </w:tcPr>
          <w:p w14:paraId="6EDD0BDB"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1134" w:type="dxa"/>
            <w:noWrap/>
            <w:vAlign w:val="center"/>
            <w:hideMark/>
          </w:tcPr>
          <w:p w14:paraId="6EDD0BDC"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1275" w:type="dxa"/>
            <w:noWrap/>
            <w:vAlign w:val="center"/>
            <w:hideMark/>
          </w:tcPr>
          <w:p w14:paraId="6EDD0BDD"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74,604.00</w:t>
            </w:r>
          </w:p>
        </w:tc>
        <w:tc>
          <w:tcPr>
            <w:tcW w:w="1276" w:type="dxa"/>
            <w:noWrap/>
            <w:vAlign w:val="center"/>
            <w:hideMark/>
          </w:tcPr>
          <w:p w14:paraId="6EDD0BDE"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2984" w:type="dxa"/>
            <w:vAlign w:val="center"/>
            <w:hideMark/>
          </w:tcPr>
          <w:p w14:paraId="6EDD0BDF"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xml:space="preserve">Pjesë e buxhetit vjetor të parashikuar nga SMNS për periudhën 2017-2020 (1%). Asnjë rezultat i identifikuar për këtë masë në buxhetin afat mesëm </w:t>
            </w:r>
          </w:p>
        </w:tc>
      </w:tr>
      <w:tr w:rsidR="00D774C2" w:rsidRPr="007114AF" w14:paraId="6EDD0BEC" w14:textId="77777777" w:rsidTr="00D774C2">
        <w:trPr>
          <w:trHeight w:val="1002"/>
          <w:jc w:val="center"/>
        </w:trPr>
        <w:tc>
          <w:tcPr>
            <w:cnfStyle w:val="001000000000" w:firstRow="0" w:lastRow="0" w:firstColumn="1" w:lastColumn="0" w:oddVBand="0" w:evenVBand="0" w:oddHBand="0" w:evenHBand="0" w:firstRowFirstColumn="0" w:firstRowLastColumn="0" w:lastRowFirstColumn="0" w:lastRowLastColumn="0"/>
            <w:tcW w:w="534" w:type="dxa"/>
            <w:vAlign w:val="center"/>
            <w:hideMark/>
          </w:tcPr>
          <w:p w14:paraId="6EDD0BE1" w14:textId="77777777" w:rsidR="00D774C2" w:rsidRPr="007114AF" w:rsidRDefault="00D774C2" w:rsidP="00D774C2">
            <w:pPr>
              <w:spacing w:after="0"/>
              <w:rPr>
                <w:rFonts w:ascii="Garamond" w:eastAsia="Times New Roman" w:hAnsi="Garamond" w:cs="Times New Roman"/>
                <w:sz w:val="18"/>
                <w:szCs w:val="18"/>
              </w:rPr>
            </w:pPr>
            <w:r w:rsidRPr="007114AF">
              <w:rPr>
                <w:rFonts w:ascii="Garamond" w:eastAsia="Times New Roman" w:hAnsi="Garamond" w:cs="Times New Roman"/>
                <w:sz w:val="18"/>
                <w:szCs w:val="18"/>
              </w:rPr>
              <w:lastRenderedPageBreak/>
              <w:t>L39</w:t>
            </w:r>
          </w:p>
        </w:tc>
        <w:tc>
          <w:tcPr>
            <w:tcW w:w="2126" w:type="dxa"/>
            <w:vAlign w:val="center"/>
            <w:hideMark/>
          </w:tcPr>
          <w:p w14:paraId="6EDD0BE2"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Përmirësim i menaxhimit të ujit dhe uljen e gërryerjes së tokëss</w:t>
            </w:r>
          </w:p>
        </w:tc>
        <w:tc>
          <w:tcPr>
            <w:tcW w:w="773" w:type="dxa"/>
            <w:vAlign w:val="center"/>
            <w:hideMark/>
          </w:tcPr>
          <w:p w14:paraId="6EDD0BE3"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2020</w:t>
            </w:r>
          </w:p>
        </w:tc>
        <w:tc>
          <w:tcPr>
            <w:tcW w:w="928" w:type="dxa"/>
            <w:vAlign w:val="center"/>
            <w:hideMark/>
          </w:tcPr>
          <w:p w14:paraId="6EDD0BE4"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SMNS; NSDI-II</w:t>
            </w:r>
          </w:p>
        </w:tc>
        <w:tc>
          <w:tcPr>
            <w:tcW w:w="1134" w:type="dxa"/>
            <w:vAlign w:val="center"/>
          </w:tcPr>
          <w:p w14:paraId="6EDD0BE5"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hAnsi="Garamond"/>
                <w:sz w:val="18"/>
                <w:szCs w:val="18"/>
              </w:rPr>
              <w:t>Indirekte</w:t>
            </w:r>
          </w:p>
        </w:tc>
        <w:tc>
          <w:tcPr>
            <w:tcW w:w="1134" w:type="dxa"/>
            <w:noWrap/>
            <w:vAlign w:val="center"/>
            <w:hideMark/>
          </w:tcPr>
          <w:p w14:paraId="6EDD0BE6"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168,000.00</w:t>
            </w:r>
          </w:p>
        </w:tc>
        <w:tc>
          <w:tcPr>
            <w:tcW w:w="1276" w:type="dxa"/>
            <w:noWrap/>
            <w:vAlign w:val="center"/>
            <w:hideMark/>
          </w:tcPr>
          <w:p w14:paraId="6EDD0BE7"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168,000.00</w:t>
            </w:r>
          </w:p>
        </w:tc>
        <w:tc>
          <w:tcPr>
            <w:tcW w:w="1134" w:type="dxa"/>
            <w:noWrap/>
            <w:vAlign w:val="center"/>
            <w:hideMark/>
          </w:tcPr>
          <w:p w14:paraId="6EDD0BE8"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1275" w:type="dxa"/>
            <w:noWrap/>
            <w:vAlign w:val="center"/>
            <w:hideMark/>
          </w:tcPr>
          <w:p w14:paraId="6EDD0BE9"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1276" w:type="dxa"/>
            <w:noWrap/>
            <w:vAlign w:val="center"/>
            <w:hideMark/>
          </w:tcPr>
          <w:p w14:paraId="6EDD0BEA"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2984" w:type="dxa"/>
            <w:vAlign w:val="center"/>
            <w:hideMark/>
          </w:tcPr>
          <w:p w14:paraId="6EDD0BEB"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IPA 2014-Mbështetje për menaxhimin e ujit-Lista e FI 2017-2019</w:t>
            </w:r>
          </w:p>
        </w:tc>
      </w:tr>
      <w:tr w:rsidR="00D774C2" w:rsidRPr="007114AF" w14:paraId="6EDD0C02" w14:textId="77777777" w:rsidTr="00D774C2">
        <w:trPr>
          <w:trHeight w:val="1099"/>
          <w:jc w:val="center"/>
        </w:trPr>
        <w:tc>
          <w:tcPr>
            <w:cnfStyle w:val="001000000000" w:firstRow="0" w:lastRow="0" w:firstColumn="1" w:lastColumn="0" w:oddVBand="0" w:evenVBand="0" w:oddHBand="0" w:evenHBand="0" w:firstRowFirstColumn="0" w:firstRowLastColumn="0" w:lastRowFirstColumn="0" w:lastRowLastColumn="0"/>
            <w:tcW w:w="534" w:type="dxa"/>
            <w:vAlign w:val="center"/>
            <w:hideMark/>
          </w:tcPr>
          <w:p w14:paraId="6EDD0BED" w14:textId="77777777" w:rsidR="00D774C2" w:rsidRPr="007114AF" w:rsidRDefault="00D774C2" w:rsidP="00D774C2">
            <w:pPr>
              <w:spacing w:after="0"/>
              <w:rPr>
                <w:rFonts w:ascii="Garamond" w:eastAsia="Times New Roman" w:hAnsi="Garamond" w:cs="Times New Roman"/>
                <w:sz w:val="18"/>
                <w:szCs w:val="18"/>
              </w:rPr>
            </w:pPr>
            <w:r w:rsidRPr="007114AF">
              <w:rPr>
                <w:rFonts w:ascii="Garamond" w:eastAsia="Times New Roman" w:hAnsi="Garamond" w:cs="Times New Roman"/>
                <w:sz w:val="18"/>
                <w:szCs w:val="18"/>
              </w:rPr>
              <w:t>L40</w:t>
            </w:r>
          </w:p>
        </w:tc>
        <w:tc>
          <w:tcPr>
            <w:tcW w:w="2126" w:type="dxa"/>
            <w:vAlign w:val="center"/>
            <w:hideMark/>
          </w:tcPr>
          <w:p w14:paraId="6EDD0BEE"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Përmirësimi i menaxhimit të kullotave</w:t>
            </w:r>
          </w:p>
        </w:tc>
        <w:tc>
          <w:tcPr>
            <w:tcW w:w="773" w:type="dxa"/>
            <w:vAlign w:val="center"/>
            <w:hideMark/>
          </w:tcPr>
          <w:p w14:paraId="6EDD0BEF"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2016-2017</w:t>
            </w:r>
          </w:p>
        </w:tc>
        <w:tc>
          <w:tcPr>
            <w:tcW w:w="928" w:type="dxa"/>
            <w:vAlign w:val="center"/>
            <w:hideMark/>
          </w:tcPr>
          <w:p w14:paraId="6EDD0BF0"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SMNS; SNBZHR; KTK</w:t>
            </w:r>
          </w:p>
        </w:tc>
        <w:tc>
          <w:tcPr>
            <w:tcW w:w="1134" w:type="dxa"/>
            <w:vAlign w:val="center"/>
          </w:tcPr>
          <w:p w14:paraId="6EDD0BF1"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hAnsi="Garamond"/>
                <w:sz w:val="18"/>
                <w:szCs w:val="18"/>
              </w:rPr>
              <w:t>Direkte</w:t>
            </w:r>
          </w:p>
        </w:tc>
        <w:tc>
          <w:tcPr>
            <w:tcW w:w="1134" w:type="dxa"/>
            <w:noWrap/>
            <w:vAlign w:val="center"/>
            <w:hideMark/>
          </w:tcPr>
          <w:p w14:paraId="6EDD0BF2"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72,150.00</w:t>
            </w:r>
          </w:p>
          <w:p w14:paraId="6EDD0BF3"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p w14:paraId="6EDD0BF4"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1276" w:type="dxa"/>
            <w:noWrap/>
            <w:vAlign w:val="center"/>
            <w:hideMark/>
          </w:tcPr>
          <w:p w14:paraId="6EDD0BF5"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72,150.00</w:t>
            </w:r>
          </w:p>
          <w:p w14:paraId="6EDD0BF6"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p w14:paraId="6EDD0BF7"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1134" w:type="dxa"/>
            <w:noWrap/>
            <w:vAlign w:val="center"/>
            <w:hideMark/>
          </w:tcPr>
          <w:p w14:paraId="6EDD0BF8"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p w14:paraId="6EDD0BF9"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p w14:paraId="6EDD0BFA"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1275" w:type="dxa"/>
            <w:noWrap/>
            <w:vAlign w:val="center"/>
            <w:hideMark/>
          </w:tcPr>
          <w:p w14:paraId="6EDD0BFB"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p w14:paraId="6EDD0BFC"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p w14:paraId="6EDD0BFD"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1276" w:type="dxa"/>
            <w:noWrap/>
            <w:vAlign w:val="center"/>
            <w:hideMark/>
          </w:tcPr>
          <w:p w14:paraId="6EDD0BFE"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p w14:paraId="6EDD0BFF"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p w14:paraId="6EDD0C00"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2984" w:type="dxa"/>
            <w:vAlign w:val="center"/>
            <w:hideMark/>
          </w:tcPr>
          <w:p w14:paraId="6EDD0C01"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Pjesë e buxhetit vjetor të transferuar tek NjQV për periudhën 2016-2020 për menaxhimin e pyjeve dhe kullotave (përreth 10% e buxhetit)</w:t>
            </w:r>
          </w:p>
        </w:tc>
      </w:tr>
      <w:tr w:rsidR="00D774C2" w:rsidRPr="007114AF" w14:paraId="6EDD0C18" w14:textId="77777777" w:rsidTr="00D774C2">
        <w:trPr>
          <w:trHeight w:val="1099"/>
          <w:jc w:val="center"/>
        </w:trPr>
        <w:tc>
          <w:tcPr>
            <w:cnfStyle w:val="001000000000" w:firstRow="0" w:lastRow="0" w:firstColumn="1" w:lastColumn="0" w:oddVBand="0" w:evenVBand="0" w:oddHBand="0" w:evenHBand="0" w:firstRowFirstColumn="0" w:firstRowLastColumn="0" w:lastRowFirstColumn="0" w:lastRowLastColumn="0"/>
            <w:tcW w:w="534" w:type="dxa"/>
            <w:vAlign w:val="center"/>
            <w:hideMark/>
          </w:tcPr>
          <w:p w14:paraId="6EDD0C03" w14:textId="77777777" w:rsidR="00D774C2" w:rsidRPr="007114AF" w:rsidRDefault="00D774C2" w:rsidP="00D774C2">
            <w:pPr>
              <w:spacing w:after="0"/>
              <w:rPr>
                <w:rFonts w:ascii="Garamond" w:eastAsia="Times New Roman" w:hAnsi="Garamond" w:cs="Times New Roman"/>
                <w:sz w:val="18"/>
                <w:szCs w:val="18"/>
              </w:rPr>
            </w:pPr>
            <w:r w:rsidRPr="007114AF">
              <w:rPr>
                <w:rFonts w:ascii="Garamond" w:eastAsia="Times New Roman" w:hAnsi="Garamond" w:cs="Times New Roman"/>
                <w:sz w:val="18"/>
                <w:szCs w:val="18"/>
              </w:rPr>
              <w:t>L41</w:t>
            </w:r>
          </w:p>
        </w:tc>
        <w:tc>
          <w:tcPr>
            <w:tcW w:w="2126" w:type="dxa"/>
            <w:vAlign w:val="center"/>
            <w:hideMark/>
          </w:tcPr>
          <w:p w14:paraId="6EDD0C04"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Përmirësimi i menaxhimit të kullotave</w:t>
            </w:r>
          </w:p>
        </w:tc>
        <w:tc>
          <w:tcPr>
            <w:tcW w:w="773" w:type="dxa"/>
            <w:vAlign w:val="center"/>
            <w:hideMark/>
          </w:tcPr>
          <w:p w14:paraId="6EDD0C05"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2016-2020</w:t>
            </w:r>
          </w:p>
        </w:tc>
        <w:tc>
          <w:tcPr>
            <w:tcW w:w="928" w:type="dxa"/>
            <w:vAlign w:val="center"/>
            <w:hideMark/>
          </w:tcPr>
          <w:p w14:paraId="6EDD0C06"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SMNS; SNBZHR; KTK</w:t>
            </w:r>
          </w:p>
        </w:tc>
        <w:tc>
          <w:tcPr>
            <w:tcW w:w="1134" w:type="dxa"/>
            <w:vAlign w:val="center"/>
          </w:tcPr>
          <w:p w14:paraId="6EDD0C07"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hAnsi="Garamond"/>
                <w:sz w:val="18"/>
                <w:szCs w:val="18"/>
              </w:rPr>
              <w:t>Direkte</w:t>
            </w:r>
          </w:p>
        </w:tc>
        <w:tc>
          <w:tcPr>
            <w:tcW w:w="1134" w:type="dxa"/>
            <w:noWrap/>
            <w:vAlign w:val="center"/>
            <w:hideMark/>
          </w:tcPr>
          <w:p w14:paraId="6EDD0C08"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144,300.00</w:t>
            </w:r>
          </w:p>
          <w:p w14:paraId="6EDD0C09"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p w14:paraId="6EDD0C0A"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1276" w:type="dxa"/>
            <w:noWrap/>
            <w:vAlign w:val="center"/>
            <w:hideMark/>
          </w:tcPr>
          <w:p w14:paraId="6EDD0C0B"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144,300.00</w:t>
            </w:r>
          </w:p>
          <w:p w14:paraId="6EDD0C0C"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p w14:paraId="6EDD0C0D"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1134" w:type="dxa"/>
            <w:noWrap/>
            <w:vAlign w:val="center"/>
            <w:hideMark/>
          </w:tcPr>
          <w:p w14:paraId="6EDD0C0E"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p w14:paraId="6EDD0C0F"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p w14:paraId="6EDD0C10"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1275" w:type="dxa"/>
            <w:noWrap/>
            <w:vAlign w:val="center"/>
            <w:hideMark/>
          </w:tcPr>
          <w:p w14:paraId="6EDD0C11"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p w14:paraId="6EDD0C12"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p w14:paraId="6EDD0C13"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1276" w:type="dxa"/>
            <w:noWrap/>
            <w:vAlign w:val="center"/>
            <w:hideMark/>
          </w:tcPr>
          <w:p w14:paraId="6EDD0C14"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p w14:paraId="6EDD0C15"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p w14:paraId="6EDD0C16"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2984" w:type="dxa"/>
            <w:vAlign w:val="center"/>
            <w:hideMark/>
          </w:tcPr>
          <w:p w14:paraId="6EDD0C17"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Pjesë e buxhetit vjetor të transferuar tek NjQV për periudhën 2016-2020 për menaxhimin e pyjeve dhe kullotave (përreth 10% e buxhetit)</w:t>
            </w:r>
          </w:p>
        </w:tc>
      </w:tr>
      <w:tr w:rsidR="00D774C2" w:rsidRPr="007114AF" w14:paraId="6EDD0C24" w14:textId="77777777" w:rsidTr="00D774C2">
        <w:trPr>
          <w:trHeight w:val="20"/>
          <w:jc w:val="center"/>
        </w:trPr>
        <w:tc>
          <w:tcPr>
            <w:cnfStyle w:val="001000000000" w:firstRow="0" w:lastRow="0" w:firstColumn="1" w:lastColumn="0" w:oddVBand="0" w:evenVBand="0" w:oddHBand="0" w:evenHBand="0" w:firstRowFirstColumn="0" w:firstRowLastColumn="0" w:lastRowFirstColumn="0" w:lastRowLastColumn="0"/>
            <w:tcW w:w="534" w:type="dxa"/>
            <w:vAlign w:val="center"/>
            <w:hideMark/>
          </w:tcPr>
          <w:p w14:paraId="6EDD0C19" w14:textId="77777777" w:rsidR="00D774C2" w:rsidRPr="007114AF" w:rsidRDefault="00D774C2" w:rsidP="00D774C2">
            <w:pPr>
              <w:spacing w:after="0"/>
              <w:rPr>
                <w:rFonts w:ascii="Garamond" w:eastAsia="Times New Roman" w:hAnsi="Garamond" w:cs="Times New Roman"/>
                <w:sz w:val="18"/>
                <w:szCs w:val="18"/>
              </w:rPr>
            </w:pPr>
            <w:r w:rsidRPr="007114AF">
              <w:rPr>
                <w:rFonts w:ascii="Garamond" w:eastAsia="Times New Roman" w:hAnsi="Garamond" w:cs="Times New Roman"/>
                <w:sz w:val="18"/>
                <w:szCs w:val="18"/>
              </w:rPr>
              <w:t>L42</w:t>
            </w:r>
          </w:p>
        </w:tc>
        <w:tc>
          <w:tcPr>
            <w:tcW w:w="2126" w:type="dxa"/>
            <w:vAlign w:val="center"/>
            <w:hideMark/>
          </w:tcPr>
          <w:p w14:paraId="6EDD0C1A"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Promovimi i menaxhimit të qëndrueshëm të kullotave</w:t>
            </w:r>
          </w:p>
        </w:tc>
        <w:tc>
          <w:tcPr>
            <w:tcW w:w="773" w:type="dxa"/>
            <w:vAlign w:val="center"/>
            <w:hideMark/>
          </w:tcPr>
          <w:p w14:paraId="6EDD0C1B"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2016-2020</w:t>
            </w:r>
          </w:p>
        </w:tc>
        <w:tc>
          <w:tcPr>
            <w:tcW w:w="928" w:type="dxa"/>
            <w:vAlign w:val="center"/>
            <w:hideMark/>
          </w:tcPr>
          <w:p w14:paraId="6EDD0C1C"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DPSMB</w:t>
            </w:r>
          </w:p>
        </w:tc>
        <w:tc>
          <w:tcPr>
            <w:tcW w:w="1134" w:type="dxa"/>
            <w:vAlign w:val="center"/>
          </w:tcPr>
          <w:p w14:paraId="6EDD0C1D"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hAnsi="Garamond"/>
                <w:sz w:val="18"/>
                <w:szCs w:val="18"/>
              </w:rPr>
              <w:t>Direkte</w:t>
            </w:r>
          </w:p>
        </w:tc>
        <w:tc>
          <w:tcPr>
            <w:tcW w:w="1134" w:type="dxa"/>
            <w:noWrap/>
            <w:vAlign w:val="center"/>
            <w:hideMark/>
          </w:tcPr>
          <w:p w14:paraId="6EDD0C1E"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61,150.00</w:t>
            </w:r>
          </w:p>
        </w:tc>
        <w:tc>
          <w:tcPr>
            <w:tcW w:w="1276" w:type="dxa"/>
            <w:noWrap/>
            <w:vAlign w:val="center"/>
            <w:hideMark/>
          </w:tcPr>
          <w:p w14:paraId="6EDD0C1F"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1134" w:type="dxa"/>
            <w:noWrap/>
            <w:vAlign w:val="center"/>
            <w:hideMark/>
          </w:tcPr>
          <w:p w14:paraId="6EDD0C20"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1275" w:type="dxa"/>
            <w:noWrap/>
            <w:vAlign w:val="center"/>
            <w:hideMark/>
          </w:tcPr>
          <w:p w14:paraId="6EDD0C21"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1276" w:type="dxa"/>
            <w:noWrap/>
            <w:vAlign w:val="center"/>
            <w:hideMark/>
          </w:tcPr>
          <w:p w14:paraId="6EDD0C22"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61,150.00</w:t>
            </w:r>
          </w:p>
        </w:tc>
        <w:tc>
          <w:tcPr>
            <w:tcW w:w="2984" w:type="dxa"/>
            <w:vAlign w:val="center"/>
            <w:hideMark/>
          </w:tcPr>
          <w:p w14:paraId="6EDD0C23"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Kosto e identifikuar në DPSMB, masa 5</w:t>
            </w:r>
          </w:p>
        </w:tc>
      </w:tr>
      <w:tr w:rsidR="00D774C2" w:rsidRPr="007114AF" w14:paraId="6EDD0C30" w14:textId="77777777" w:rsidTr="00D774C2">
        <w:trPr>
          <w:trHeight w:val="20"/>
          <w:jc w:val="center"/>
        </w:trPr>
        <w:tc>
          <w:tcPr>
            <w:cnfStyle w:val="001000000000" w:firstRow="0" w:lastRow="0" w:firstColumn="1" w:lastColumn="0" w:oddVBand="0" w:evenVBand="0" w:oddHBand="0" w:evenHBand="0" w:firstRowFirstColumn="0" w:firstRowLastColumn="0" w:lastRowFirstColumn="0" w:lastRowLastColumn="0"/>
            <w:tcW w:w="534" w:type="dxa"/>
            <w:vAlign w:val="center"/>
            <w:hideMark/>
          </w:tcPr>
          <w:p w14:paraId="6EDD0C25" w14:textId="77777777" w:rsidR="00D774C2" w:rsidRPr="007114AF" w:rsidRDefault="00D774C2" w:rsidP="00D774C2">
            <w:pPr>
              <w:spacing w:after="0"/>
              <w:rPr>
                <w:rFonts w:ascii="Garamond" w:eastAsia="Times New Roman" w:hAnsi="Garamond" w:cs="Times New Roman"/>
                <w:sz w:val="18"/>
                <w:szCs w:val="18"/>
              </w:rPr>
            </w:pPr>
            <w:r w:rsidRPr="007114AF">
              <w:rPr>
                <w:rFonts w:ascii="Garamond" w:eastAsia="Times New Roman" w:hAnsi="Garamond" w:cs="Times New Roman"/>
                <w:sz w:val="18"/>
                <w:szCs w:val="18"/>
              </w:rPr>
              <w:t>L43</w:t>
            </w:r>
          </w:p>
        </w:tc>
        <w:tc>
          <w:tcPr>
            <w:tcW w:w="2126" w:type="dxa"/>
            <w:vAlign w:val="center"/>
            <w:hideMark/>
          </w:tcPr>
          <w:p w14:paraId="6EDD0C26"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Promovimi i kërkimeve, zhvillimit teknologjik dhe risive në pyje dhe kullota</w:t>
            </w:r>
          </w:p>
        </w:tc>
        <w:tc>
          <w:tcPr>
            <w:tcW w:w="773" w:type="dxa"/>
            <w:vAlign w:val="center"/>
            <w:hideMark/>
          </w:tcPr>
          <w:p w14:paraId="6EDD0C27"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2018-2020</w:t>
            </w:r>
          </w:p>
        </w:tc>
        <w:tc>
          <w:tcPr>
            <w:tcW w:w="928" w:type="dxa"/>
            <w:vAlign w:val="center"/>
            <w:hideMark/>
          </w:tcPr>
          <w:p w14:paraId="6EDD0C28"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SMNS; Draft Ligji mbi Fondin e Kullotave dhe Pyjeve</w:t>
            </w:r>
          </w:p>
        </w:tc>
        <w:tc>
          <w:tcPr>
            <w:tcW w:w="1134" w:type="dxa"/>
            <w:vAlign w:val="center"/>
          </w:tcPr>
          <w:p w14:paraId="6EDD0C29"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hAnsi="Garamond"/>
                <w:sz w:val="18"/>
                <w:szCs w:val="18"/>
              </w:rPr>
              <w:t>Indirekte</w:t>
            </w:r>
          </w:p>
        </w:tc>
        <w:tc>
          <w:tcPr>
            <w:tcW w:w="1134" w:type="dxa"/>
            <w:noWrap/>
            <w:vAlign w:val="center"/>
            <w:hideMark/>
          </w:tcPr>
          <w:p w14:paraId="6EDD0C2A"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15,000.00</w:t>
            </w:r>
          </w:p>
        </w:tc>
        <w:tc>
          <w:tcPr>
            <w:tcW w:w="1276" w:type="dxa"/>
            <w:noWrap/>
            <w:vAlign w:val="center"/>
            <w:hideMark/>
          </w:tcPr>
          <w:p w14:paraId="6EDD0C2B"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1134" w:type="dxa"/>
            <w:noWrap/>
            <w:vAlign w:val="center"/>
            <w:hideMark/>
          </w:tcPr>
          <w:p w14:paraId="6EDD0C2C"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1275" w:type="dxa"/>
            <w:noWrap/>
            <w:vAlign w:val="center"/>
            <w:hideMark/>
          </w:tcPr>
          <w:p w14:paraId="6EDD0C2D"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1276" w:type="dxa"/>
            <w:noWrap/>
            <w:vAlign w:val="center"/>
            <w:hideMark/>
          </w:tcPr>
          <w:p w14:paraId="6EDD0C2E"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15,000.00</w:t>
            </w:r>
          </w:p>
        </w:tc>
        <w:tc>
          <w:tcPr>
            <w:tcW w:w="2984" w:type="dxa"/>
            <w:vAlign w:val="center"/>
            <w:hideMark/>
          </w:tcPr>
          <w:p w14:paraId="6EDD0C2F"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Pjesë e buxhetit vjetor të parashikuar për periudhën 2018-2020</w:t>
            </w:r>
          </w:p>
        </w:tc>
      </w:tr>
      <w:tr w:rsidR="00D774C2" w:rsidRPr="007114AF" w14:paraId="6EDD0C3C" w14:textId="77777777" w:rsidTr="00D774C2">
        <w:trPr>
          <w:trHeight w:val="20"/>
          <w:jc w:val="center"/>
        </w:trPr>
        <w:tc>
          <w:tcPr>
            <w:cnfStyle w:val="001000000000" w:firstRow="0" w:lastRow="0" w:firstColumn="1" w:lastColumn="0" w:oddVBand="0" w:evenVBand="0" w:oddHBand="0" w:evenHBand="0" w:firstRowFirstColumn="0" w:firstRowLastColumn="0" w:lastRowFirstColumn="0" w:lastRowLastColumn="0"/>
            <w:tcW w:w="534" w:type="dxa"/>
            <w:vAlign w:val="center"/>
            <w:hideMark/>
          </w:tcPr>
          <w:p w14:paraId="6EDD0C31" w14:textId="77777777" w:rsidR="00D774C2" w:rsidRPr="007114AF" w:rsidRDefault="00D774C2" w:rsidP="00D774C2">
            <w:pPr>
              <w:spacing w:after="0"/>
              <w:rPr>
                <w:rFonts w:ascii="Garamond" w:eastAsia="Times New Roman" w:hAnsi="Garamond" w:cs="Times New Roman"/>
                <w:sz w:val="18"/>
                <w:szCs w:val="18"/>
              </w:rPr>
            </w:pPr>
            <w:r w:rsidRPr="007114AF">
              <w:rPr>
                <w:rFonts w:ascii="Garamond" w:eastAsia="Times New Roman" w:hAnsi="Garamond" w:cs="Times New Roman"/>
                <w:sz w:val="18"/>
                <w:szCs w:val="18"/>
              </w:rPr>
              <w:t>L44</w:t>
            </w:r>
          </w:p>
        </w:tc>
        <w:tc>
          <w:tcPr>
            <w:tcW w:w="2126" w:type="dxa"/>
            <w:vAlign w:val="center"/>
            <w:hideMark/>
          </w:tcPr>
          <w:p w14:paraId="6EDD0C32"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Promovimi i kërkimeve, zhvillimit teknologjik dhe risive në pyje dhe kullota</w:t>
            </w:r>
          </w:p>
        </w:tc>
        <w:tc>
          <w:tcPr>
            <w:tcW w:w="773" w:type="dxa"/>
            <w:vAlign w:val="center"/>
            <w:hideMark/>
          </w:tcPr>
          <w:p w14:paraId="6EDD0C33"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2018-2020</w:t>
            </w:r>
          </w:p>
        </w:tc>
        <w:tc>
          <w:tcPr>
            <w:tcW w:w="928" w:type="dxa"/>
            <w:vAlign w:val="center"/>
            <w:hideMark/>
          </w:tcPr>
          <w:p w14:paraId="6EDD0C34"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Draft Ligji mbi Fondin e Kullotave dhe Pyjeve</w:t>
            </w:r>
          </w:p>
        </w:tc>
        <w:tc>
          <w:tcPr>
            <w:tcW w:w="1134" w:type="dxa"/>
            <w:vAlign w:val="center"/>
          </w:tcPr>
          <w:p w14:paraId="6EDD0C35"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hAnsi="Garamond"/>
                <w:sz w:val="18"/>
                <w:szCs w:val="18"/>
              </w:rPr>
              <w:t>Indirect</w:t>
            </w:r>
          </w:p>
        </w:tc>
        <w:tc>
          <w:tcPr>
            <w:tcW w:w="1134" w:type="dxa"/>
            <w:noWrap/>
            <w:vAlign w:val="center"/>
            <w:hideMark/>
          </w:tcPr>
          <w:p w14:paraId="6EDD0C36"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60,000.00</w:t>
            </w:r>
          </w:p>
        </w:tc>
        <w:tc>
          <w:tcPr>
            <w:tcW w:w="1276" w:type="dxa"/>
            <w:noWrap/>
            <w:vAlign w:val="center"/>
            <w:hideMark/>
          </w:tcPr>
          <w:p w14:paraId="6EDD0C37"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1134" w:type="dxa"/>
            <w:noWrap/>
            <w:vAlign w:val="center"/>
            <w:hideMark/>
          </w:tcPr>
          <w:p w14:paraId="6EDD0C38"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1275" w:type="dxa"/>
            <w:noWrap/>
            <w:vAlign w:val="center"/>
            <w:hideMark/>
          </w:tcPr>
          <w:p w14:paraId="6EDD0C39"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1276" w:type="dxa"/>
            <w:noWrap/>
            <w:vAlign w:val="center"/>
            <w:hideMark/>
          </w:tcPr>
          <w:p w14:paraId="6EDD0C3A"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60,000.00</w:t>
            </w:r>
          </w:p>
        </w:tc>
        <w:tc>
          <w:tcPr>
            <w:tcW w:w="2984" w:type="dxa"/>
            <w:vAlign w:val="center"/>
            <w:hideMark/>
          </w:tcPr>
          <w:p w14:paraId="6EDD0C3B"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Qendra ende nuk është vendosur; nuk ka kosto të llogaritura në SMNS; kostot janë të bazuara në buxhetin vjetor të një institucioni publik të ngjashëm</w:t>
            </w:r>
          </w:p>
        </w:tc>
      </w:tr>
      <w:tr w:rsidR="00D774C2" w:rsidRPr="007114AF" w14:paraId="6EDD0C48" w14:textId="77777777" w:rsidTr="00D774C2">
        <w:trPr>
          <w:trHeight w:val="20"/>
          <w:jc w:val="center"/>
        </w:trPr>
        <w:tc>
          <w:tcPr>
            <w:cnfStyle w:val="001000000000" w:firstRow="0" w:lastRow="0" w:firstColumn="1" w:lastColumn="0" w:oddVBand="0" w:evenVBand="0" w:oddHBand="0" w:evenHBand="0" w:firstRowFirstColumn="0" w:firstRowLastColumn="0" w:lastRowFirstColumn="0" w:lastRowLastColumn="0"/>
            <w:tcW w:w="534" w:type="dxa"/>
            <w:vAlign w:val="center"/>
            <w:hideMark/>
          </w:tcPr>
          <w:p w14:paraId="6EDD0C3D" w14:textId="77777777" w:rsidR="00D774C2" w:rsidRPr="007114AF" w:rsidRDefault="00D774C2" w:rsidP="00D774C2">
            <w:pPr>
              <w:spacing w:after="0"/>
              <w:rPr>
                <w:rFonts w:ascii="Garamond" w:eastAsia="Times New Roman" w:hAnsi="Garamond" w:cs="Times New Roman"/>
                <w:sz w:val="18"/>
                <w:szCs w:val="18"/>
              </w:rPr>
            </w:pPr>
            <w:r w:rsidRPr="007114AF">
              <w:rPr>
                <w:rFonts w:ascii="Garamond" w:eastAsia="Times New Roman" w:hAnsi="Garamond" w:cs="Times New Roman"/>
                <w:sz w:val="18"/>
                <w:szCs w:val="18"/>
              </w:rPr>
              <w:t>L45</w:t>
            </w:r>
          </w:p>
        </w:tc>
        <w:tc>
          <w:tcPr>
            <w:tcW w:w="2126" w:type="dxa"/>
            <w:vAlign w:val="center"/>
            <w:hideMark/>
          </w:tcPr>
          <w:p w14:paraId="6EDD0C3E"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Promovimi i studimeve dhe kërkimeve në sektorin e pyjeve</w:t>
            </w:r>
          </w:p>
        </w:tc>
        <w:tc>
          <w:tcPr>
            <w:tcW w:w="773" w:type="dxa"/>
            <w:vAlign w:val="center"/>
            <w:hideMark/>
          </w:tcPr>
          <w:p w14:paraId="6EDD0C3F"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2017-2020</w:t>
            </w:r>
          </w:p>
        </w:tc>
        <w:tc>
          <w:tcPr>
            <w:tcW w:w="928" w:type="dxa"/>
            <w:vAlign w:val="center"/>
            <w:hideMark/>
          </w:tcPr>
          <w:p w14:paraId="6EDD0C40"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SMNS</w:t>
            </w:r>
          </w:p>
        </w:tc>
        <w:tc>
          <w:tcPr>
            <w:tcW w:w="1134" w:type="dxa"/>
            <w:vAlign w:val="center"/>
          </w:tcPr>
          <w:p w14:paraId="6EDD0C41"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hAnsi="Garamond"/>
                <w:sz w:val="18"/>
                <w:szCs w:val="18"/>
              </w:rPr>
              <w:t>Indirekte</w:t>
            </w:r>
          </w:p>
        </w:tc>
        <w:tc>
          <w:tcPr>
            <w:tcW w:w="1134" w:type="dxa"/>
            <w:noWrap/>
            <w:vAlign w:val="center"/>
            <w:hideMark/>
          </w:tcPr>
          <w:p w14:paraId="6EDD0C42"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16,000.00</w:t>
            </w:r>
          </w:p>
        </w:tc>
        <w:tc>
          <w:tcPr>
            <w:tcW w:w="1276" w:type="dxa"/>
            <w:noWrap/>
            <w:vAlign w:val="center"/>
            <w:hideMark/>
          </w:tcPr>
          <w:p w14:paraId="6EDD0C43"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1134" w:type="dxa"/>
            <w:noWrap/>
            <w:vAlign w:val="center"/>
            <w:hideMark/>
          </w:tcPr>
          <w:p w14:paraId="6EDD0C44"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1275" w:type="dxa"/>
            <w:noWrap/>
            <w:vAlign w:val="center"/>
            <w:hideMark/>
          </w:tcPr>
          <w:p w14:paraId="6EDD0C45"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16,000.00</w:t>
            </w:r>
          </w:p>
        </w:tc>
        <w:tc>
          <w:tcPr>
            <w:tcW w:w="1276" w:type="dxa"/>
            <w:noWrap/>
            <w:vAlign w:val="center"/>
            <w:hideMark/>
          </w:tcPr>
          <w:p w14:paraId="6EDD0C46"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2984" w:type="dxa"/>
            <w:vAlign w:val="center"/>
            <w:hideMark/>
          </w:tcPr>
          <w:p w14:paraId="6EDD0C47"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Asnjë rezultat i identifikuar për këtë masë në buxhetin afat mesëm. Kostot janë të llogaritura bazuar në rezultate të ngjashme të MM</w:t>
            </w:r>
          </w:p>
        </w:tc>
      </w:tr>
      <w:tr w:rsidR="00D774C2" w:rsidRPr="007114AF" w14:paraId="6EDD0C54" w14:textId="77777777" w:rsidTr="00D774C2">
        <w:trPr>
          <w:trHeight w:val="20"/>
          <w:jc w:val="center"/>
        </w:trPr>
        <w:tc>
          <w:tcPr>
            <w:cnfStyle w:val="001000000000" w:firstRow="0" w:lastRow="0" w:firstColumn="1" w:lastColumn="0" w:oddVBand="0" w:evenVBand="0" w:oddHBand="0" w:evenHBand="0" w:firstRowFirstColumn="0" w:firstRowLastColumn="0" w:lastRowFirstColumn="0" w:lastRowLastColumn="0"/>
            <w:tcW w:w="534" w:type="dxa"/>
            <w:vAlign w:val="center"/>
            <w:hideMark/>
          </w:tcPr>
          <w:p w14:paraId="6EDD0C49" w14:textId="77777777" w:rsidR="00D774C2" w:rsidRPr="007114AF" w:rsidRDefault="00D774C2" w:rsidP="00D774C2">
            <w:pPr>
              <w:spacing w:after="0"/>
              <w:rPr>
                <w:rFonts w:ascii="Garamond" w:eastAsia="Times New Roman" w:hAnsi="Garamond" w:cs="Times New Roman"/>
                <w:sz w:val="18"/>
                <w:szCs w:val="18"/>
              </w:rPr>
            </w:pPr>
            <w:r w:rsidRPr="007114AF">
              <w:rPr>
                <w:rFonts w:ascii="Garamond" w:eastAsia="Times New Roman" w:hAnsi="Garamond" w:cs="Times New Roman"/>
                <w:sz w:val="18"/>
                <w:szCs w:val="18"/>
              </w:rPr>
              <w:t>L46</w:t>
            </w:r>
          </w:p>
        </w:tc>
        <w:tc>
          <w:tcPr>
            <w:tcW w:w="2126" w:type="dxa"/>
            <w:vAlign w:val="center"/>
            <w:hideMark/>
          </w:tcPr>
          <w:p w14:paraId="6EDD0C4A" w14:textId="1E7DA5BF"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Zbatimi i</w:t>
            </w:r>
            <w:r w:rsidR="000A2A01" w:rsidRPr="007114AF">
              <w:rPr>
                <w:rFonts w:ascii="Garamond" w:eastAsia="Times New Roman" w:hAnsi="Garamond" w:cs="Times New Roman"/>
                <w:sz w:val="18"/>
                <w:szCs w:val="18"/>
              </w:rPr>
              <w:t xml:space="preserve"> </w:t>
            </w:r>
            <w:r w:rsidRPr="007114AF">
              <w:rPr>
                <w:rFonts w:ascii="Garamond" w:eastAsia="Times New Roman" w:hAnsi="Garamond" w:cs="Times New Roman"/>
                <w:sz w:val="18"/>
                <w:szCs w:val="18"/>
              </w:rPr>
              <w:t>aktiviteteve mbikëqyrëse / kërkimore</w:t>
            </w:r>
          </w:p>
        </w:tc>
        <w:tc>
          <w:tcPr>
            <w:tcW w:w="773" w:type="dxa"/>
            <w:vAlign w:val="center"/>
            <w:hideMark/>
          </w:tcPr>
          <w:p w14:paraId="6EDD0C4B"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2016-2020</w:t>
            </w:r>
          </w:p>
        </w:tc>
        <w:tc>
          <w:tcPr>
            <w:tcW w:w="928" w:type="dxa"/>
            <w:vAlign w:val="center"/>
            <w:hideMark/>
          </w:tcPr>
          <w:p w14:paraId="6EDD0C4C"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DPSMB</w:t>
            </w:r>
          </w:p>
        </w:tc>
        <w:tc>
          <w:tcPr>
            <w:tcW w:w="1134" w:type="dxa"/>
            <w:vAlign w:val="center"/>
          </w:tcPr>
          <w:p w14:paraId="6EDD0C4D"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Mundesuese</w:t>
            </w:r>
          </w:p>
        </w:tc>
        <w:tc>
          <w:tcPr>
            <w:tcW w:w="1134" w:type="dxa"/>
            <w:noWrap/>
            <w:vAlign w:val="center"/>
            <w:hideMark/>
          </w:tcPr>
          <w:p w14:paraId="6EDD0C4E"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5,000.00</w:t>
            </w:r>
          </w:p>
        </w:tc>
        <w:tc>
          <w:tcPr>
            <w:tcW w:w="1276" w:type="dxa"/>
            <w:noWrap/>
            <w:vAlign w:val="center"/>
            <w:hideMark/>
          </w:tcPr>
          <w:p w14:paraId="6EDD0C4F"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5,000.00</w:t>
            </w:r>
          </w:p>
        </w:tc>
        <w:tc>
          <w:tcPr>
            <w:tcW w:w="1134" w:type="dxa"/>
            <w:noWrap/>
            <w:vAlign w:val="center"/>
            <w:hideMark/>
          </w:tcPr>
          <w:p w14:paraId="6EDD0C50"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1275" w:type="dxa"/>
            <w:noWrap/>
            <w:vAlign w:val="center"/>
            <w:hideMark/>
          </w:tcPr>
          <w:p w14:paraId="6EDD0C51"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1276" w:type="dxa"/>
            <w:noWrap/>
            <w:vAlign w:val="center"/>
            <w:hideMark/>
          </w:tcPr>
          <w:p w14:paraId="6EDD0C52"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2984" w:type="dxa"/>
            <w:vAlign w:val="center"/>
            <w:hideMark/>
          </w:tcPr>
          <w:p w14:paraId="6EDD0C53"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Kostoja e identifikuar në DPSMB, masa 17</w:t>
            </w:r>
          </w:p>
        </w:tc>
      </w:tr>
      <w:tr w:rsidR="00D774C2" w:rsidRPr="007114AF" w14:paraId="6EDD0C60" w14:textId="77777777" w:rsidTr="00D774C2">
        <w:trPr>
          <w:trHeight w:val="20"/>
          <w:jc w:val="center"/>
        </w:trPr>
        <w:tc>
          <w:tcPr>
            <w:cnfStyle w:val="001000000000" w:firstRow="0" w:lastRow="0" w:firstColumn="1" w:lastColumn="0" w:oddVBand="0" w:evenVBand="0" w:oddHBand="0" w:evenHBand="0" w:firstRowFirstColumn="0" w:firstRowLastColumn="0" w:lastRowFirstColumn="0" w:lastRowLastColumn="0"/>
            <w:tcW w:w="534" w:type="dxa"/>
            <w:vAlign w:val="center"/>
            <w:hideMark/>
          </w:tcPr>
          <w:p w14:paraId="6EDD0C55" w14:textId="77777777" w:rsidR="00D774C2" w:rsidRPr="007114AF" w:rsidRDefault="00D774C2" w:rsidP="00D774C2">
            <w:pPr>
              <w:spacing w:after="0"/>
              <w:rPr>
                <w:rFonts w:ascii="Garamond" w:eastAsia="Times New Roman" w:hAnsi="Garamond" w:cs="Times New Roman"/>
                <w:sz w:val="18"/>
                <w:szCs w:val="18"/>
              </w:rPr>
            </w:pPr>
            <w:r w:rsidRPr="007114AF">
              <w:rPr>
                <w:rFonts w:ascii="Garamond" w:eastAsia="Times New Roman" w:hAnsi="Garamond" w:cs="Times New Roman"/>
                <w:sz w:val="18"/>
                <w:szCs w:val="18"/>
              </w:rPr>
              <w:t>L47</w:t>
            </w:r>
          </w:p>
        </w:tc>
        <w:tc>
          <w:tcPr>
            <w:tcW w:w="2126" w:type="dxa"/>
            <w:vAlign w:val="center"/>
            <w:hideMark/>
          </w:tcPr>
          <w:p w14:paraId="6EDD0C56" w14:textId="6ADF9AED"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Fuqizimi i</w:t>
            </w:r>
            <w:r w:rsidR="000A2A01" w:rsidRPr="007114AF">
              <w:rPr>
                <w:rFonts w:ascii="Garamond" w:eastAsia="Times New Roman" w:hAnsi="Garamond" w:cs="Times New Roman"/>
                <w:sz w:val="18"/>
                <w:szCs w:val="18"/>
              </w:rPr>
              <w:t xml:space="preserve"> </w:t>
            </w:r>
            <w:r w:rsidRPr="007114AF">
              <w:rPr>
                <w:rFonts w:ascii="Garamond" w:eastAsia="Times New Roman" w:hAnsi="Garamond" w:cs="Times New Roman"/>
                <w:sz w:val="18"/>
                <w:szCs w:val="18"/>
              </w:rPr>
              <w:t xml:space="preserve">sistemit kërkimor, zhvillimit teknologjik dhe rinovimit </w:t>
            </w:r>
            <w:r w:rsidRPr="007114AF">
              <w:rPr>
                <w:rFonts w:ascii="Garamond" w:eastAsia="Times New Roman" w:hAnsi="Garamond" w:cs="Times New Roman"/>
                <w:sz w:val="18"/>
                <w:szCs w:val="18"/>
              </w:rPr>
              <w:lastRenderedPageBreak/>
              <w:t xml:space="preserve">në pyje. </w:t>
            </w:r>
          </w:p>
        </w:tc>
        <w:tc>
          <w:tcPr>
            <w:tcW w:w="773" w:type="dxa"/>
            <w:vAlign w:val="center"/>
            <w:hideMark/>
          </w:tcPr>
          <w:p w14:paraId="6EDD0C57"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lastRenderedPageBreak/>
              <w:t>2017-2020</w:t>
            </w:r>
          </w:p>
        </w:tc>
        <w:tc>
          <w:tcPr>
            <w:tcW w:w="928" w:type="dxa"/>
            <w:vAlign w:val="center"/>
            <w:hideMark/>
          </w:tcPr>
          <w:p w14:paraId="6EDD0C58"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SMNS</w:t>
            </w:r>
          </w:p>
        </w:tc>
        <w:tc>
          <w:tcPr>
            <w:tcW w:w="1134" w:type="dxa"/>
            <w:vAlign w:val="center"/>
          </w:tcPr>
          <w:p w14:paraId="6EDD0C59"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Mundesuese</w:t>
            </w:r>
          </w:p>
        </w:tc>
        <w:tc>
          <w:tcPr>
            <w:tcW w:w="1134" w:type="dxa"/>
            <w:noWrap/>
            <w:vAlign w:val="center"/>
            <w:hideMark/>
          </w:tcPr>
          <w:p w14:paraId="6EDD0C5A"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15,000.00</w:t>
            </w:r>
          </w:p>
        </w:tc>
        <w:tc>
          <w:tcPr>
            <w:tcW w:w="1276" w:type="dxa"/>
            <w:noWrap/>
            <w:vAlign w:val="center"/>
            <w:hideMark/>
          </w:tcPr>
          <w:p w14:paraId="6EDD0C5B"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1134" w:type="dxa"/>
            <w:noWrap/>
            <w:vAlign w:val="center"/>
            <w:hideMark/>
          </w:tcPr>
          <w:p w14:paraId="6EDD0C5C"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1275" w:type="dxa"/>
            <w:noWrap/>
            <w:vAlign w:val="center"/>
            <w:hideMark/>
          </w:tcPr>
          <w:p w14:paraId="6EDD0C5D"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15,000.00</w:t>
            </w:r>
          </w:p>
        </w:tc>
        <w:tc>
          <w:tcPr>
            <w:tcW w:w="1276" w:type="dxa"/>
            <w:noWrap/>
            <w:vAlign w:val="center"/>
            <w:hideMark/>
          </w:tcPr>
          <w:p w14:paraId="6EDD0C5E"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2984" w:type="dxa"/>
            <w:vAlign w:val="center"/>
            <w:hideMark/>
          </w:tcPr>
          <w:p w14:paraId="6EDD0C5F"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xml:space="preserve">Asnjë rezultat i identifikuar për këtë masë në buxhetin afatmesëm. Kostot janë të llogaritura bazuar në rezultate të </w:t>
            </w:r>
            <w:r w:rsidRPr="007114AF">
              <w:rPr>
                <w:rFonts w:ascii="Garamond" w:eastAsia="Times New Roman" w:hAnsi="Garamond" w:cs="Times New Roman"/>
                <w:sz w:val="18"/>
                <w:szCs w:val="18"/>
              </w:rPr>
              <w:lastRenderedPageBreak/>
              <w:t>ngjashme të MM</w:t>
            </w:r>
          </w:p>
        </w:tc>
      </w:tr>
      <w:tr w:rsidR="00D774C2" w:rsidRPr="007114AF" w14:paraId="6EDD0C6C" w14:textId="77777777" w:rsidTr="00D774C2">
        <w:trPr>
          <w:trHeight w:val="20"/>
          <w:jc w:val="center"/>
        </w:trPr>
        <w:tc>
          <w:tcPr>
            <w:cnfStyle w:val="001000000000" w:firstRow="0" w:lastRow="0" w:firstColumn="1" w:lastColumn="0" w:oddVBand="0" w:evenVBand="0" w:oddHBand="0" w:evenHBand="0" w:firstRowFirstColumn="0" w:firstRowLastColumn="0" w:lastRowFirstColumn="0" w:lastRowLastColumn="0"/>
            <w:tcW w:w="534" w:type="dxa"/>
            <w:vAlign w:val="center"/>
            <w:hideMark/>
          </w:tcPr>
          <w:p w14:paraId="6EDD0C61" w14:textId="77777777" w:rsidR="00D774C2" w:rsidRPr="007114AF" w:rsidRDefault="00D774C2" w:rsidP="00D774C2">
            <w:pPr>
              <w:spacing w:after="0"/>
              <w:rPr>
                <w:rFonts w:ascii="Garamond" w:eastAsia="Times New Roman" w:hAnsi="Garamond" w:cs="Times New Roman"/>
                <w:sz w:val="18"/>
                <w:szCs w:val="18"/>
              </w:rPr>
            </w:pPr>
            <w:r w:rsidRPr="007114AF">
              <w:rPr>
                <w:rFonts w:ascii="Garamond" w:eastAsia="Times New Roman" w:hAnsi="Garamond" w:cs="Times New Roman"/>
                <w:sz w:val="18"/>
                <w:szCs w:val="18"/>
              </w:rPr>
              <w:lastRenderedPageBreak/>
              <w:t>L48</w:t>
            </w:r>
          </w:p>
        </w:tc>
        <w:tc>
          <w:tcPr>
            <w:tcW w:w="2126" w:type="dxa"/>
            <w:vAlign w:val="center"/>
            <w:hideMark/>
          </w:tcPr>
          <w:p w14:paraId="6EDD0C62"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Fuqizimi i sistemit të kërkimit, zhvillimit teknologjik dhe risive në pyje.</w:t>
            </w:r>
          </w:p>
        </w:tc>
        <w:tc>
          <w:tcPr>
            <w:tcW w:w="773" w:type="dxa"/>
            <w:vAlign w:val="center"/>
            <w:hideMark/>
          </w:tcPr>
          <w:p w14:paraId="6EDD0C63"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2018-2020</w:t>
            </w:r>
          </w:p>
        </w:tc>
        <w:tc>
          <w:tcPr>
            <w:tcW w:w="928" w:type="dxa"/>
            <w:vAlign w:val="center"/>
            <w:hideMark/>
          </w:tcPr>
          <w:p w14:paraId="6EDD0C64"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SMNS</w:t>
            </w:r>
          </w:p>
        </w:tc>
        <w:tc>
          <w:tcPr>
            <w:tcW w:w="1134" w:type="dxa"/>
            <w:vAlign w:val="center"/>
          </w:tcPr>
          <w:p w14:paraId="6EDD0C65"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Mundësuese</w:t>
            </w:r>
          </w:p>
        </w:tc>
        <w:tc>
          <w:tcPr>
            <w:tcW w:w="1134" w:type="dxa"/>
            <w:noWrap/>
            <w:vAlign w:val="center"/>
            <w:hideMark/>
          </w:tcPr>
          <w:p w14:paraId="6EDD0C66"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42,000.00</w:t>
            </w:r>
          </w:p>
        </w:tc>
        <w:tc>
          <w:tcPr>
            <w:tcW w:w="1276" w:type="dxa"/>
            <w:noWrap/>
            <w:vAlign w:val="center"/>
            <w:hideMark/>
          </w:tcPr>
          <w:p w14:paraId="6EDD0C67"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1134" w:type="dxa"/>
            <w:noWrap/>
            <w:vAlign w:val="center"/>
            <w:hideMark/>
          </w:tcPr>
          <w:p w14:paraId="6EDD0C68"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1275" w:type="dxa"/>
            <w:noWrap/>
            <w:vAlign w:val="center"/>
            <w:hideMark/>
          </w:tcPr>
          <w:p w14:paraId="6EDD0C69"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42,000.00</w:t>
            </w:r>
          </w:p>
        </w:tc>
        <w:tc>
          <w:tcPr>
            <w:tcW w:w="1276" w:type="dxa"/>
            <w:noWrap/>
            <w:vAlign w:val="center"/>
            <w:hideMark/>
          </w:tcPr>
          <w:p w14:paraId="6EDD0C6A"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2984" w:type="dxa"/>
            <w:vAlign w:val="center"/>
            <w:hideMark/>
          </w:tcPr>
          <w:p w14:paraId="6EDD0C6B"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Asnjë rezultat i identifikuar për këtë masë në buxhetin afatmesëm. Kostot janë të llogaritura bazuar në rezultate të ngjashme të MM</w:t>
            </w:r>
          </w:p>
        </w:tc>
      </w:tr>
      <w:tr w:rsidR="00D774C2" w:rsidRPr="007114AF" w14:paraId="6EDD0C78" w14:textId="77777777" w:rsidTr="00D774C2">
        <w:trPr>
          <w:trHeight w:val="20"/>
          <w:jc w:val="center"/>
        </w:trPr>
        <w:tc>
          <w:tcPr>
            <w:cnfStyle w:val="001000000000" w:firstRow="0" w:lastRow="0" w:firstColumn="1" w:lastColumn="0" w:oddVBand="0" w:evenVBand="0" w:oddHBand="0" w:evenHBand="0" w:firstRowFirstColumn="0" w:firstRowLastColumn="0" w:lastRowFirstColumn="0" w:lastRowLastColumn="0"/>
            <w:tcW w:w="534" w:type="dxa"/>
            <w:vAlign w:val="center"/>
            <w:hideMark/>
          </w:tcPr>
          <w:p w14:paraId="6EDD0C6D" w14:textId="77777777" w:rsidR="00D774C2" w:rsidRPr="007114AF" w:rsidRDefault="00D774C2" w:rsidP="00D774C2">
            <w:pPr>
              <w:spacing w:after="0"/>
              <w:rPr>
                <w:rFonts w:ascii="Garamond" w:eastAsia="Times New Roman" w:hAnsi="Garamond" w:cs="Times New Roman"/>
                <w:sz w:val="18"/>
                <w:szCs w:val="18"/>
              </w:rPr>
            </w:pPr>
            <w:r w:rsidRPr="007114AF">
              <w:rPr>
                <w:rFonts w:ascii="Garamond" w:eastAsia="Times New Roman" w:hAnsi="Garamond" w:cs="Times New Roman"/>
                <w:sz w:val="18"/>
                <w:szCs w:val="18"/>
              </w:rPr>
              <w:t>L49</w:t>
            </w:r>
          </w:p>
        </w:tc>
        <w:tc>
          <w:tcPr>
            <w:tcW w:w="2126" w:type="dxa"/>
            <w:vAlign w:val="center"/>
            <w:hideMark/>
          </w:tcPr>
          <w:p w14:paraId="6EDD0C6E"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Aplikimi i programevekombëtare dhe ndërkombëtare për të dhënë mbështetjen e duhur për zhvillimin e pyjeve në vend..</w:t>
            </w:r>
          </w:p>
        </w:tc>
        <w:tc>
          <w:tcPr>
            <w:tcW w:w="773" w:type="dxa"/>
            <w:vAlign w:val="center"/>
            <w:hideMark/>
          </w:tcPr>
          <w:p w14:paraId="6EDD0C6F"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2016-2019</w:t>
            </w:r>
          </w:p>
        </w:tc>
        <w:tc>
          <w:tcPr>
            <w:tcW w:w="928" w:type="dxa"/>
            <w:vAlign w:val="center"/>
            <w:hideMark/>
          </w:tcPr>
          <w:p w14:paraId="6EDD0C70"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SMNS</w:t>
            </w:r>
          </w:p>
        </w:tc>
        <w:tc>
          <w:tcPr>
            <w:tcW w:w="1134" w:type="dxa"/>
            <w:vAlign w:val="center"/>
          </w:tcPr>
          <w:p w14:paraId="6EDD0C71"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hAnsi="Garamond"/>
                <w:sz w:val="18"/>
                <w:szCs w:val="18"/>
              </w:rPr>
              <w:t>Indirekte</w:t>
            </w:r>
          </w:p>
        </w:tc>
        <w:tc>
          <w:tcPr>
            <w:tcW w:w="1134" w:type="dxa"/>
            <w:noWrap/>
            <w:vAlign w:val="center"/>
            <w:hideMark/>
          </w:tcPr>
          <w:p w14:paraId="6EDD0C72"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0.00</w:t>
            </w:r>
          </w:p>
        </w:tc>
        <w:tc>
          <w:tcPr>
            <w:tcW w:w="1276" w:type="dxa"/>
            <w:noWrap/>
            <w:vAlign w:val="center"/>
            <w:hideMark/>
          </w:tcPr>
          <w:p w14:paraId="6EDD0C73"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1134" w:type="dxa"/>
            <w:noWrap/>
            <w:vAlign w:val="center"/>
            <w:hideMark/>
          </w:tcPr>
          <w:p w14:paraId="6EDD0C74"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0.00</w:t>
            </w:r>
          </w:p>
        </w:tc>
        <w:tc>
          <w:tcPr>
            <w:tcW w:w="1275" w:type="dxa"/>
            <w:noWrap/>
            <w:vAlign w:val="center"/>
            <w:hideMark/>
          </w:tcPr>
          <w:p w14:paraId="6EDD0C75"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1276" w:type="dxa"/>
            <w:noWrap/>
            <w:vAlign w:val="center"/>
            <w:hideMark/>
          </w:tcPr>
          <w:p w14:paraId="6EDD0C76"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2984" w:type="dxa"/>
            <w:vAlign w:val="center"/>
            <w:hideMark/>
          </w:tcPr>
          <w:p w14:paraId="6EDD0C77"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xml:space="preserve">Kjo masë nuk ka impakt në buxhet. </w:t>
            </w:r>
          </w:p>
        </w:tc>
      </w:tr>
      <w:tr w:rsidR="00D774C2" w:rsidRPr="007114AF" w14:paraId="6EDD0C84" w14:textId="77777777" w:rsidTr="00D774C2">
        <w:trPr>
          <w:trHeight w:val="20"/>
          <w:jc w:val="center"/>
        </w:trPr>
        <w:tc>
          <w:tcPr>
            <w:cnfStyle w:val="001000000000" w:firstRow="0" w:lastRow="0" w:firstColumn="1" w:lastColumn="0" w:oddVBand="0" w:evenVBand="0" w:oddHBand="0" w:evenHBand="0" w:firstRowFirstColumn="0" w:firstRowLastColumn="0" w:lastRowFirstColumn="0" w:lastRowLastColumn="0"/>
            <w:tcW w:w="534" w:type="dxa"/>
            <w:vAlign w:val="center"/>
            <w:hideMark/>
          </w:tcPr>
          <w:p w14:paraId="6EDD0C79" w14:textId="77777777" w:rsidR="00D774C2" w:rsidRPr="007114AF" w:rsidRDefault="00D774C2" w:rsidP="00D774C2">
            <w:pPr>
              <w:spacing w:after="0"/>
              <w:rPr>
                <w:rFonts w:ascii="Garamond" w:eastAsia="Times New Roman" w:hAnsi="Garamond" w:cs="Times New Roman"/>
                <w:sz w:val="18"/>
                <w:szCs w:val="18"/>
              </w:rPr>
            </w:pPr>
            <w:r w:rsidRPr="007114AF">
              <w:rPr>
                <w:rFonts w:ascii="Garamond" w:eastAsia="Times New Roman" w:hAnsi="Garamond" w:cs="Times New Roman"/>
                <w:sz w:val="18"/>
                <w:szCs w:val="18"/>
              </w:rPr>
              <w:t>L50</w:t>
            </w:r>
          </w:p>
        </w:tc>
        <w:tc>
          <w:tcPr>
            <w:tcW w:w="2126" w:type="dxa"/>
            <w:vAlign w:val="center"/>
            <w:hideMark/>
          </w:tcPr>
          <w:p w14:paraId="6EDD0C7A"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Rritjen e ndërgjegjësimit publik dhe edukimit mbi biodiversitetin</w:t>
            </w:r>
          </w:p>
        </w:tc>
        <w:tc>
          <w:tcPr>
            <w:tcW w:w="773" w:type="dxa"/>
            <w:vAlign w:val="center"/>
            <w:hideMark/>
          </w:tcPr>
          <w:p w14:paraId="6EDD0C7B"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2016-2020</w:t>
            </w:r>
          </w:p>
        </w:tc>
        <w:tc>
          <w:tcPr>
            <w:tcW w:w="928" w:type="dxa"/>
            <w:vAlign w:val="center"/>
            <w:hideMark/>
          </w:tcPr>
          <w:p w14:paraId="6EDD0C7C"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DPSMB</w:t>
            </w:r>
          </w:p>
        </w:tc>
        <w:tc>
          <w:tcPr>
            <w:tcW w:w="1134" w:type="dxa"/>
            <w:vAlign w:val="center"/>
          </w:tcPr>
          <w:p w14:paraId="6EDD0C7D"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hAnsi="Garamond"/>
                <w:sz w:val="18"/>
                <w:szCs w:val="18"/>
              </w:rPr>
              <w:t>Indirekte</w:t>
            </w:r>
          </w:p>
        </w:tc>
        <w:tc>
          <w:tcPr>
            <w:tcW w:w="1134" w:type="dxa"/>
            <w:noWrap/>
            <w:vAlign w:val="center"/>
            <w:hideMark/>
          </w:tcPr>
          <w:p w14:paraId="6EDD0C7E"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2,500.00</w:t>
            </w:r>
          </w:p>
        </w:tc>
        <w:tc>
          <w:tcPr>
            <w:tcW w:w="1276" w:type="dxa"/>
            <w:noWrap/>
            <w:vAlign w:val="center"/>
            <w:hideMark/>
          </w:tcPr>
          <w:p w14:paraId="6EDD0C7F"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2,500.00</w:t>
            </w:r>
          </w:p>
        </w:tc>
        <w:tc>
          <w:tcPr>
            <w:tcW w:w="1134" w:type="dxa"/>
            <w:noWrap/>
            <w:vAlign w:val="center"/>
            <w:hideMark/>
          </w:tcPr>
          <w:p w14:paraId="6EDD0C80"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1275" w:type="dxa"/>
            <w:noWrap/>
            <w:vAlign w:val="center"/>
            <w:hideMark/>
          </w:tcPr>
          <w:p w14:paraId="6EDD0C81"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1276" w:type="dxa"/>
            <w:noWrap/>
            <w:vAlign w:val="center"/>
            <w:hideMark/>
          </w:tcPr>
          <w:p w14:paraId="6EDD0C82"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2984" w:type="dxa"/>
            <w:vAlign w:val="center"/>
            <w:hideMark/>
          </w:tcPr>
          <w:p w14:paraId="6EDD0C83"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Kosto e identifikuar në DPSMB, masa 19</w:t>
            </w:r>
          </w:p>
        </w:tc>
      </w:tr>
      <w:tr w:rsidR="00D774C2" w:rsidRPr="007114AF" w14:paraId="6EDD0C90" w14:textId="77777777" w:rsidTr="00D774C2">
        <w:trPr>
          <w:trHeight w:val="20"/>
          <w:jc w:val="center"/>
        </w:trPr>
        <w:tc>
          <w:tcPr>
            <w:cnfStyle w:val="001000000000" w:firstRow="0" w:lastRow="0" w:firstColumn="1" w:lastColumn="0" w:oddVBand="0" w:evenVBand="0" w:oddHBand="0" w:evenHBand="0" w:firstRowFirstColumn="0" w:firstRowLastColumn="0" w:lastRowFirstColumn="0" w:lastRowLastColumn="0"/>
            <w:tcW w:w="534" w:type="dxa"/>
            <w:vAlign w:val="center"/>
            <w:hideMark/>
          </w:tcPr>
          <w:p w14:paraId="6EDD0C85" w14:textId="77777777" w:rsidR="00D774C2" w:rsidRPr="007114AF" w:rsidRDefault="00D774C2" w:rsidP="00D774C2">
            <w:pPr>
              <w:spacing w:after="0"/>
              <w:rPr>
                <w:rFonts w:ascii="Garamond" w:eastAsia="Times New Roman" w:hAnsi="Garamond" w:cs="Times New Roman"/>
                <w:sz w:val="18"/>
                <w:szCs w:val="18"/>
              </w:rPr>
            </w:pPr>
            <w:r w:rsidRPr="007114AF">
              <w:rPr>
                <w:rFonts w:ascii="Garamond" w:eastAsia="Times New Roman" w:hAnsi="Garamond" w:cs="Times New Roman"/>
                <w:sz w:val="18"/>
                <w:szCs w:val="18"/>
              </w:rPr>
              <w:t>L51</w:t>
            </w:r>
          </w:p>
        </w:tc>
        <w:tc>
          <w:tcPr>
            <w:tcW w:w="2126" w:type="dxa"/>
            <w:vAlign w:val="center"/>
            <w:hideMark/>
          </w:tcPr>
          <w:p w14:paraId="6EDD0C86"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Zbatimi i edukatës mjedisore dhe publicitetit për të promovuar ndërgjegjësimin e komunitetit ndaj problemeve të biodiverisitetit</w:t>
            </w:r>
          </w:p>
        </w:tc>
        <w:tc>
          <w:tcPr>
            <w:tcW w:w="773" w:type="dxa"/>
            <w:vAlign w:val="center"/>
            <w:hideMark/>
          </w:tcPr>
          <w:p w14:paraId="6EDD0C87"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2016-2020</w:t>
            </w:r>
          </w:p>
        </w:tc>
        <w:tc>
          <w:tcPr>
            <w:tcW w:w="928" w:type="dxa"/>
            <w:vAlign w:val="center"/>
            <w:hideMark/>
          </w:tcPr>
          <w:p w14:paraId="6EDD0C88"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DPSMB</w:t>
            </w:r>
          </w:p>
        </w:tc>
        <w:tc>
          <w:tcPr>
            <w:tcW w:w="1134" w:type="dxa"/>
            <w:vAlign w:val="center"/>
          </w:tcPr>
          <w:p w14:paraId="6EDD0C89"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Mundësuese</w:t>
            </w:r>
          </w:p>
        </w:tc>
        <w:tc>
          <w:tcPr>
            <w:tcW w:w="1134" w:type="dxa"/>
            <w:noWrap/>
            <w:vAlign w:val="center"/>
            <w:hideMark/>
          </w:tcPr>
          <w:p w14:paraId="6EDD0C8A"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1,250.00</w:t>
            </w:r>
          </w:p>
        </w:tc>
        <w:tc>
          <w:tcPr>
            <w:tcW w:w="1276" w:type="dxa"/>
            <w:noWrap/>
            <w:vAlign w:val="center"/>
            <w:hideMark/>
          </w:tcPr>
          <w:p w14:paraId="6EDD0C8B"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1,250.00</w:t>
            </w:r>
          </w:p>
        </w:tc>
        <w:tc>
          <w:tcPr>
            <w:tcW w:w="1134" w:type="dxa"/>
            <w:noWrap/>
            <w:vAlign w:val="center"/>
            <w:hideMark/>
          </w:tcPr>
          <w:p w14:paraId="6EDD0C8C"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1275" w:type="dxa"/>
            <w:noWrap/>
            <w:vAlign w:val="center"/>
            <w:hideMark/>
          </w:tcPr>
          <w:p w14:paraId="6EDD0C8D"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1276" w:type="dxa"/>
            <w:noWrap/>
            <w:vAlign w:val="center"/>
            <w:hideMark/>
          </w:tcPr>
          <w:p w14:paraId="6EDD0C8E"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2984" w:type="dxa"/>
            <w:vAlign w:val="center"/>
            <w:hideMark/>
          </w:tcPr>
          <w:p w14:paraId="6EDD0C8F"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Kosto e identifikuar në DPSMB, masa 20</w:t>
            </w:r>
          </w:p>
        </w:tc>
      </w:tr>
      <w:tr w:rsidR="00D774C2" w:rsidRPr="007114AF" w14:paraId="6EDD0C9C" w14:textId="77777777" w:rsidTr="00D774C2">
        <w:trPr>
          <w:trHeight w:val="20"/>
          <w:jc w:val="center"/>
        </w:trPr>
        <w:tc>
          <w:tcPr>
            <w:cnfStyle w:val="001000000000" w:firstRow="0" w:lastRow="0" w:firstColumn="1" w:lastColumn="0" w:oddVBand="0" w:evenVBand="0" w:oddHBand="0" w:evenHBand="0" w:firstRowFirstColumn="0" w:firstRowLastColumn="0" w:lastRowFirstColumn="0" w:lastRowLastColumn="0"/>
            <w:tcW w:w="534" w:type="dxa"/>
            <w:vAlign w:val="center"/>
            <w:hideMark/>
          </w:tcPr>
          <w:p w14:paraId="6EDD0C91" w14:textId="77777777" w:rsidR="00D774C2" w:rsidRPr="007114AF" w:rsidRDefault="00D774C2" w:rsidP="00D774C2">
            <w:pPr>
              <w:spacing w:after="0"/>
              <w:rPr>
                <w:rFonts w:ascii="Garamond" w:eastAsia="Times New Roman" w:hAnsi="Garamond" w:cs="Times New Roman"/>
                <w:sz w:val="18"/>
                <w:szCs w:val="18"/>
              </w:rPr>
            </w:pPr>
            <w:r w:rsidRPr="007114AF">
              <w:rPr>
                <w:rFonts w:ascii="Garamond" w:eastAsia="Times New Roman" w:hAnsi="Garamond" w:cs="Times New Roman"/>
                <w:sz w:val="18"/>
                <w:szCs w:val="18"/>
              </w:rPr>
              <w:t>L52</w:t>
            </w:r>
          </w:p>
        </w:tc>
        <w:tc>
          <w:tcPr>
            <w:tcW w:w="2126" w:type="dxa"/>
            <w:vAlign w:val="center"/>
            <w:hideMark/>
          </w:tcPr>
          <w:p w14:paraId="6EDD0C92"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Përgatitja e të interesuarve dhe përfshirja e tyre në projekte dhe programe</w:t>
            </w:r>
          </w:p>
        </w:tc>
        <w:tc>
          <w:tcPr>
            <w:tcW w:w="773" w:type="dxa"/>
            <w:vAlign w:val="center"/>
            <w:hideMark/>
          </w:tcPr>
          <w:p w14:paraId="6EDD0C93"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2016-2020</w:t>
            </w:r>
          </w:p>
        </w:tc>
        <w:tc>
          <w:tcPr>
            <w:tcW w:w="928" w:type="dxa"/>
            <w:vAlign w:val="center"/>
            <w:hideMark/>
          </w:tcPr>
          <w:p w14:paraId="6EDD0C94"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DPSMB</w:t>
            </w:r>
          </w:p>
        </w:tc>
        <w:tc>
          <w:tcPr>
            <w:tcW w:w="1134" w:type="dxa"/>
            <w:vAlign w:val="center"/>
          </w:tcPr>
          <w:p w14:paraId="6EDD0C95"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Mundësuese</w:t>
            </w:r>
          </w:p>
        </w:tc>
        <w:tc>
          <w:tcPr>
            <w:tcW w:w="1134" w:type="dxa"/>
            <w:noWrap/>
            <w:vAlign w:val="center"/>
            <w:hideMark/>
          </w:tcPr>
          <w:p w14:paraId="6EDD0C96"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8,470.00</w:t>
            </w:r>
          </w:p>
        </w:tc>
        <w:tc>
          <w:tcPr>
            <w:tcW w:w="1276" w:type="dxa"/>
            <w:noWrap/>
            <w:vAlign w:val="center"/>
            <w:hideMark/>
          </w:tcPr>
          <w:p w14:paraId="6EDD0C97"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8,470.00</w:t>
            </w:r>
          </w:p>
        </w:tc>
        <w:tc>
          <w:tcPr>
            <w:tcW w:w="1134" w:type="dxa"/>
            <w:noWrap/>
            <w:vAlign w:val="center"/>
            <w:hideMark/>
          </w:tcPr>
          <w:p w14:paraId="6EDD0C98"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1275" w:type="dxa"/>
            <w:noWrap/>
            <w:vAlign w:val="center"/>
            <w:hideMark/>
          </w:tcPr>
          <w:p w14:paraId="6EDD0C99"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1276" w:type="dxa"/>
            <w:noWrap/>
            <w:vAlign w:val="center"/>
            <w:hideMark/>
          </w:tcPr>
          <w:p w14:paraId="6EDD0C9A"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2984" w:type="dxa"/>
            <w:vAlign w:val="center"/>
            <w:hideMark/>
          </w:tcPr>
          <w:p w14:paraId="6EDD0C9B"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Pjesë e buxhetit vjetor të alokuar për rezultatin C (Dëgjesa Publike), programi buxhetor, Menaxhimi i Programit dhe Administrimi</w:t>
            </w:r>
          </w:p>
        </w:tc>
      </w:tr>
      <w:tr w:rsidR="00D774C2" w:rsidRPr="007114AF" w14:paraId="6EDD0CA8" w14:textId="77777777" w:rsidTr="00D774C2">
        <w:trPr>
          <w:trHeight w:val="20"/>
          <w:jc w:val="center"/>
        </w:trPr>
        <w:tc>
          <w:tcPr>
            <w:cnfStyle w:val="001000000000" w:firstRow="0" w:lastRow="0" w:firstColumn="1" w:lastColumn="0" w:oddVBand="0" w:evenVBand="0" w:oddHBand="0" w:evenHBand="0" w:firstRowFirstColumn="0" w:firstRowLastColumn="0" w:lastRowFirstColumn="0" w:lastRowLastColumn="0"/>
            <w:tcW w:w="534" w:type="dxa"/>
            <w:vAlign w:val="center"/>
            <w:hideMark/>
          </w:tcPr>
          <w:p w14:paraId="6EDD0C9D" w14:textId="77777777" w:rsidR="00D774C2" w:rsidRPr="007114AF" w:rsidRDefault="00D774C2" w:rsidP="00D774C2">
            <w:pPr>
              <w:spacing w:after="0"/>
              <w:rPr>
                <w:rFonts w:ascii="Garamond" w:eastAsia="Times New Roman" w:hAnsi="Garamond" w:cs="Times New Roman"/>
                <w:sz w:val="18"/>
                <w:szCs w:val="18"/>
              </w:rPr>
            </w:pPr>
            <w:r w:rsidRPr="007114AF">
              <w:rPr>
                <w:rFonts w:ascii="Garamond" w:eastAsia="Times New Roman" w:hAnsi="Garamond" w:cs="Times New Roman"/>
                <w:sz w:val="18"/>
                <w:szCs w:val="18"/>
              </w:rPr>
              <w:t>L53</w:t>
            </w:r>
          </w:p>
        </w:tc>
        <w:tc>
          <w:tcPr>
            <w:tcW w:w="2126" w:type="dxa"/>
            <w:vAlign w:val="center"/>
            <w:hideMark/>
          </w:tcPr>
          <w:p w14:paraId="6EDD0C9E"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Fuqizimi i partneriteti publik dhe privat në sektorin e pyjeve</w:t>
            </w:r>
          </w:p>
        </w:tc>
        <w:tc>
          <w:tcPr>
            <w:tcW w:w="773" w:type="dxa"/>
            <w:vAlign w:val="center"/>
            <w:hideMark/>
          </w:tcPr>
          <w:p w14:paraId="6EDD0C9F"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2017-2020</w:t>
            </w:r>
          </w:p>
        </w:tc>
        <w:tc>
          <w:tcPr>
            <w:tcW w:w="928" w:type="dxa"/>
            <w:vAlign w:val="center"/>
            <w:hideMark/>
          </w:tcPr>
          <w:p w14:paraId="6EDD0CA0"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SMNS</w:t>
            </w:r>
          </w:p>
        </w:tc>
        <w:tc>
          <w:tcPr>
            <w:tcW w:w="1134" w:type="dxa"/>
            <w:vAlign w:val="center"/>
          </w:tcPr>
          <w:p w14:paraId="6EDD0CA1"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hAnsi="Garamond"/>
                <w:sz w:val="18"/>
                <w:szCs w:val="18"/>
              </w:rPr>
              <w:t>Indirekte</w:t>
            </w:r>
          </w:p>
        </w:tc>
        <w:tc>
          <w:tcPr>
            <w:tcW w:w="1134" w:type="dxa"/>
            <w:noWrap/>
            <w:vAlign w:val="center"/>
            <w:hideMark/>
          </w:tcPr>
          <w:p w14:paraId="6EDD0CA2"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15,378.00</w:t>
            </w:r>
          </w:p>
        </w:tc>
        <w:tc>
          <w:tcPr>
            <w:tcW w:w="1276" w:type="dxa"/>
            <w:noWrap/>
            <w:vAlign w:val="center"/>
            <w:hideMark/>
          </w:tcPr>
          <w:p w14:paraId="6EDD0CA3"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15,378.00</w:t>
            </w:r>
          </w:p>
        </w:tc>
        <w:tc>
          <w:tcPr>
            <w:tcW w:w="1134" w:type="dxa"/>
            <w:noWrap/>
            <w:vAlign w:val="center"/>
            <w:hideMark/>
          </w:tcPr>
          <w:p w14:paraId="6EDD0CA4"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1275" w:type="dxa"/>
            <w:noWrap/>
            <w:vAlign w:val="center"/>
            <w:hideMark/>
          </w:tcPr>
          <w:p w14:paraId="6EDD0CA5"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1276" w:type="dxa"/>
            <w:noWrap/>
            <w:vAlign w:val="center"/>
            <w:hideMark/>
          </w:tcPr>
          <w:p w14:paraId="6EDD0CA6"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 </w:t>
            </w:r>
          </w:p>
        </w:tc>
        <w:tc>
          <w:tcPr>
            <w:tcW w:w="2984" w:type="dxa"/>
            <w:vAlign w:val="center"/>
            <w:hideMark/>
          </w:tcPr>
          <w:p w14:paraId="6EDD0CA7" w14:textId="77777777" w:rsidR="00D774C2" w:rsidRPr="007114AF" w:rsidRDefault="00D774C2" w:rsidP="00D774C2">
            <w:pPr>
              <w:spacing w:after="0"/>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sz w:val="18"/>
                <w:szCs w:val="18"/>
              </w:rPr>
            </w:pPr>
            <w:r w:rsidRPr="007114AF">
              <w:rPr>
                <w:rFonts w:ascii="Garamond" w:eastAsia="Times New Roman" w:hAnsi="Garamond" w:cs="Times New Roman"/>
                <w:sz w:val="18"/>
                <w:szCs w:val="18"/>
              </w:rPr>
              <w:t>Kosto për vlerësimin e koncesioneve. Kosto për njësi për procedurën e prokurimit. Rezultati O Programi i Menaxhimit të Pyjeve</w:t>
            </w:r>
          </w:p>
        </w:tc>
      </w:tr>
    </w:tbl>
    <w:p w14:paraId="6EDD0CA9" w14:textId="77777777" w:rsidR="00C136A5" w:rsidRPr="007114AF" w:rsidRDefault="00C136A5" w:rsidP="00524E98">
      <w:pPr>
        <w:pStyle w:val="TEKSTI"/>
      </w:pPr>
    </w:p>
    <w:p w14:paraId="6EDD0CAA" w14:textId="77777777" w:rsidR="00EF517C" w:rsidRPr="007114AF" w:rsidRDefault="00EF517C" w:rsidP="00EF517C">
      <w:pPr>
        <w:pStyle w:val="TEKSTI"/>
        <w:rPr>
          <w:b/>
          <w:lang w:eastAsia="en-US"/>
        </w:rPr>
      </w:pPr>
      <w:bookmarkStart w:id="182" w:name="_Toc476580583"/>
      <w:bookmarkStart w:id="183" w:name="_Toc484424530"/>
      <w:r w:rsidRPr="007114AF">
        <w:rPr>
          <w:b/>
          <w:lang w:eastAsia="en-US"/>
        </w:rPr>
        <w:t xml:space="preserve">5.8.5 Pikëtakimet </w:t>
      </w:r>
      <w:bookmarkEnd w:id="182"/>
      <w:r w:rsidRPr="007114AF">
        <w:rPr>
          <w:b/>
          <w:lang w:eastAsia="en-US"/>
        </w:rPr>
        <w:t>Ndërsektoriale</w:t>
      </w:r>
      <w:bookmarkEnd w:id="183"/>
    </w:p>
    <w:tbl>
      <w:tblPr>
        <w:tblW w:w="14797" w:type="dxa"/>
        <w:jc w:val="center"/>
        <w:tblCellMar>
          <w:left w:w="70" w:type="dxa"/>
          <w:right w:w="70" w:type="dxa"/>
        </w:tblCellMar>
        <w:tblLook w:val="04A0" w:firstRow="1" w:lastRow="0" w:firstColumn="1" w:lastColumn="0" w:noHBand="0" w:noVBand="1"/>
      </w:tblPr>
      <w:tblGrid>
        <w:gridCol w:w="514"/>
        <w:gridCol w:w="1839"/>
        <w:gridCol w:w="1198"/>
        <w:gridCol w:w="2115"/>
        <w:gridCol w:w="1693"/>
        <w:gridCol w:w="1691"/>
        <w:gridCol w:w="5747"/>
      </w:tblGrid>
      <w:tr w:rsidR="009344C8" w:rsidRPr="007114AF" w14:paraId="6EDD0CB2" w14:textId="77777777" w:rsidTr="009344C8">
        <w:trPr>
          <w:trHeight w:val="495"/>
          <w:jc w:val="center"/>
        </w:trPr>
        <w:tc>
          <w:tcPr>
            <w:tcW w:w="514" w:type="dxa"/>
            <w:tcBorders>
              <w:top w:val="single" w:sz="8" w:space="0" w:color="B8CCE4"/>
              <w:left w:val="single" w:sz="8" w:space="0" w:color="B8CCE4"/>
              <w:bottom w:val="single" w:sz="12" w:space="0" w:color="95B3D7"/>
              <w:right w:val="single" w:sz="8" w:space="0" w:color="B8CCE4"/>
            </w:tcBorders>
            <w:shd w:val="clear" w:color="auto" w:fill="auto"/>
            <w:vAlign w:val="center"/>
            <w:hideMark/>
          </w:tcPr>
          <w:p w14:paraId="6EDD0CAB" w14:textId="77777777" w:rsidR="009344C8" w:rsidRPr="007114AF" w:rsidRDefault="009344C8" w:rsidP="009344C8">
            <w:pPr>
              <w:spacing w:after="0" w:line="240" w:lineRule="auto"/>
              <w:rPr>
                <w:rFonts w:ascii="Garamond" w:eastAsia="Times New Roman" w:hAnsi="Garamond" w:cs="Times New Roman"/>
                <w:b/>
                <w:bCs/>
                <w:sz w:val="18"/>
                <w:szCs w:val="18"/>
              </w:rPr>
            </w:pPr>
            <w:r w:rsidRPr="007114AF">
              <w:rPr>
                <w:rFonts w:ascii="Garamond" w:eastAsia="Times New Roman" w:hAnsi="Garamond" w:cs="Times New Roman"/>
                <w:b/>
                <w:bCs/>
                <w:sz w:val="18"/>
                <w:szCs w:val="18"/>
              </w:rPr>
              <w:t>ID</w:t>
            </w:r>
          </w:p>
        </w:tc>
        <w:tc>
          <w:tcPr>
            <w:tcW w:w="1841" w:type="dxa"/>
            <w:tcBorders>
              <w:top w:val="single" w:sz="8" w:space="0" w:color="B8CCE4"/>
              <w:left w:val="nil"/>
              <w:bottom w:val="single" w:sz="12" w:space="0" w:color="95B3D7"/>
              <w:right w:val="single" w:sz="8" w:space="0" w:color="B8CCE4"/>
            </w:tcBorders>
            <w:shd w:val="clear" w:color="auto" w:fill="auto"/>
            <w:vAlign w:val="center"/>
            <w:hideMark/>
          </w:tcPr>
          <w:p w14:paraId="6EDD0CAC" w14:textId="77777777" w:rsidR="009344C8" w:rsidRPr="007114AF" w:rsidRDefault="009344C8" w:rsidP="009344C8">
            <w:pPr>
              <w:spacing w:after="0" w:line="240" w:lineRule="auto"/>
              <w:rPr>
                <w:rFonts w:ascii="Garamond" w:eastAsia="Times New Roman" w:hAnsi="Garamond" w:cs="Times New Roman"/>
                <w:b/>
                <w:bCs/>
                <w:sz w:val="18"/>
                <w:szCs w:val="18"/>
              </w:rPr>
            </w:pPr>
            <w:r w:rsidRPr="007114AF">
              <w:rPr>
                <w:rFonts w:ascii="Garamond" w:eastAsia="Times New Roman" w:hAnsi="Garamond" w:cs="Times New Roman"/>
                <w:b/>
                <w:bCs/>
                <w:sz w:val="18"/>
                <w:szCs w:val="18"/>
              </w:rPr>
              <w:t xml:space="preserve">Masa </w:t>
            </w:r>
          </w:p>
        </w:tc>
        <w:tc>
          <w:tcPr>
            <w:tcW w:w="1149" w:type="dxa"/>
            <w:tcBorders>
              <w:top w:val="single" w:sz="8" w:space="0" w:color="B8CCE4"/>
              <w:left w:val="nil"/>
              <w:bottom w:val="single" w:sz="12" w:space="0" w:color="95B3D7"/>
              <w:right w:val="single" w:sz="8" w:space="0" w:color="B8CCE4"/>
            </w:tcBorders>
            <w:shd w:val="clear" w:color="auto" w:fill="auto"/>
            <w:vAlign w:val="center"/>
            <w:hideMark/>
          </w:tcPr>
          <w:p w14:paraId="6EDD0CAD" w14:textId="77777777" w:rsidR="009344C8" w:rsidRPr="007114AF" w:rsidRDefault="009344C8" w:rsidP="009344C8">
            <w:pPr>
              <w:spacing w:after="0" w:line="240" w:lineRule="auto"/>
              <w:rPr>
                <w:rFonts w:ascii="Garamond" w:eastAsia="Times New Roman" w:hAnsi="Garamond" w:cs="Times New Roman"/>
                <w:b/>
                <w:bCs/>
                <w:sz w:val="18"/>
                <w:szCs w:val="18"/>
              </w:rPr>
            </w:pPr>
            <w:r w:rsidRPr="007114AF">
              <w:rPr>
                <w:rFonts w:ascii="Garamond" w:eastAsia="Times New Roman" w:hAnsi="Garamond" w:cs="Times New Roman"/>
                <w:b/>
                <w:bCs/>
                <w:sz w:val="18"/>
                <w:szCs w:val="18"/>
              </w:rPr>
              <w:t>Viti/periudha</w:t>
            </w:r>
          </w:p>
        </w:tc>
        <w:tc>
          <w:tcPr>
            <w:tcW w:w="2122" w:type="dxa"/>
            <w:tcBorders>
              <w:top w:val="single" w:sz="8" w:space="0" w:color="B8CCE4"/>
              <w:left w:val="nil"/>
              <w:bottom w:val="single" w:sz="12" w:space="0" w:color="95B3D7"/>
              <w:right w:val="single" w:sz="8" w:space="0" w:color="B8CCE4"/>
            </w:tcBorders>
            <w:shd w:val="clear" w:color="auto" w:fill="auto"/>
            <w:vAlign w:val="center"/>
            <w:hideMark/>
          </w:tcPr>
          <w:p w14:paraId="6EDD0CAE" w14:textId="77777777" w:rsidR="009344C8" w:rsidRPr="007114AF" w:rsidRDefault="009344C8" w:rsidP="009344C8">
            <w:pPr>
              <w:spacing w:after="0" w:line="240" w:lineRule="auto"/>
              <w:rPr>
                <w:rFonts w:ascii="Garamond" w:eastAsia="Times New Roman" w:hAnsi="Garamond" w:cs="Times New Roman"/>
                <w:b/>
                <w:bCs/>
                <w:sz w:val="18"/>
                <w:szCs w:val="18"/>
              </w:rPr>
            </w:pPr>
            <w:r w:rsidRPr="007114AF">
              <w:rPr>
                <w:rFonts w:ascii="Garamond" w:eastAsia="Times New Roman" w:hAnsi="Garamond" w:cs="Times New Roman"/>
                <w:b/>
                <w:bCs/>
                <w:sz w:val="18"/>
                <w:szCs w:val="18"/>
              </w:rPr>
              <w:t>Burimi</w:t>
            </w:r>
          </w:p>
        </w:tc>
        <w:tc>
          <w:tcPr>
            <w:tcW w:w="1697" w:type="dxa"/>
            <w:tcBorders>
              <w:top w:val="single" w:sz="8" w:space="0" w:color="B8CCE4"/>
              <w:left w:val="nil"/>
              <w:bottom w:val="single" w:sz="12" w:space="0" w:color="95B3D7"/>
              <w:right w:val="single" w:sz="8" w:space="0" w:color="B8CCE4"/>
            </w:tcBorders>
            <w:vAlign w:val="center"/>
          </w:tcPr>
          <w:p w14:paraId="6EDD0CAF" w14:textId="77777777" w:rsidR="009344C8" w:rsidRPr="007114AF" w:rsidRDefault="009344C8" w:rsidP="009344C8">
            <w:pPr>
              <w:spacing w:after="0" w:line="240" w:lineRule="auto"/>
              <w:rPr>
                <w:rFonts w:ascii="Garamond" w:eastAsia="Times New Roman" w:hAnsi="Garamond" w:cs="Times New Roman"/>
                <w:b/>
                <w:bCs/>
                <w:sz w:val="18"/>
                <w:szCs w:val="18"/>
              </w:rPr>
            </w:pPr>
            <w:r w:rsidRPr="007114AF">
              <w:rPr>
                <w:rFonts w:ascii="Garamond" w:eastAsia="Times New Roman" w:hAnsi="Garamond" w:cs="Times New Roman"/>
                <w:b/>
                <w:bCs/>
                <w:sz w:val="18"/>
                <w:szCs w:val="18"/>
              </w:rPr>
              <w:t>Type of effect</w:t>
            </w:r>
          </w:p>
        </w:tc>
        <w:tc>
          <w:tcPr>
            <w:tcW w:w="1697" w:type="dxa"/>
            <w:tcBorders>
              <w:top w:val="single" w:sz="8" w:space="0" w:color="B8CCE4"/>
              <w:left w:val="single" w:sz="8" w:space="0" w:color="B8CCE4"/>
              <w:bottom w:val="single" w:sz="12" w:space="0" w:color="95B3D7"/>
              <w:right w:val="single" w:sz="8" w:space="0" w:color="B8CCE4"/>
            </w:tcBorders>
            <w:shd w:val="clear" w:color="auto" w:fill="auto"/>
            <w:vAlign w:val="center"/>
            <w:hideMark/>
          </w:tcPr>
          <w:p w14:paraId="6EDD0CB0" w14:textId="77777777" w:rsidR="009344C8" w:rsidRPr="007114AF" w:rsidRDefault="009344C8" w:rsidP="009344C8">
            <w:pPr>
              <w:spacing w:after="0" w:line="240" w:lineRule="auto"/>
              <w:rPr>
                <w:rFonts w:ascii="Garamond" w:eastAsia="Times New Roman" w:hAnsi="Garamond" w:cs="Times New Roman"/>
                <w:b/>
                <w:bCs/>
                <w:sz w:val="18"/>
                <w:szCs w:val="18"/>
              </w:rPr>
            </w:pPr>
            <w:r w:rsidRPr="007114AF">
              <w:rPr>
                <w:rFonts w:ascii="Garamond" w:eastAsia="Times New Roman" w:hAnsi="Garamond" w:cs="Times New Roman"/>
                <w:b/>
                <w:bCs/>
                <w:sz w:val="18"/>
                <w:szCs w:val="18"/>
              </w:rPr>
              <w:t>Kosto</w:t>
            </w:r>
          </w:p>
        </w:tc>
        <w:tc>
          <w:tcPr>
            <w:tcW w:w="5777" w:type="dxa"/>
            <w:tcBorders>
              <w:top w:val="single" w:sz="8" w:space="0" w:color="B8CCE4"/>
              <w:left w:val="nil"/>
              <w:bottom w:val="single" w:sz="12" w:space="0" w:color="95B3D7"/>
              <w:right w:val="single" w:sz="8" w:space="0" w:color="B8CCE4"/>
            </w:tcBorders>
            <w:shd w:val="clear" w:color="auto" w:fill="auto"/>
            <w:vAlign w:val="center"/>
            <w:hideMark/>
          </w:tcPr>
          <w:p w14:paraId="6EDD0CB1" w14:textId="77777777" w:rsidR="009344C8" w:rsidRPr="007114AF" w:rsidRDefault="009344C8" w:rsidP="009344C8">
            <w:pPr>
              <w:spacing w:after="0" w:line="240" w:lineRule="auto"/>
              <w:rPr>
                <w:rFonts w:ascii="Garamond" w:eastAsia="Times New Roman" w:hAnsi="Garamond" w:cs="Times New Roman"/>
                <w:b/>
                <w:bCs/>
                <w:sz w:val="18"/>
                <w:szCs w:val="18"/>
              </w:rPr>
            </w:pPr>
            <w:r w:rsidRPr="007114AF">
              <w:rPr>
                <w:rFonts w:ascii="Garamond" w:eastAsia="Times New Roman" w:hAnsi="Garamond" w:cs="Times New Roman"/>
                <w:b/>
                <w:bCs/>
                <w:sz w:val="18"/>
                <w:szCs w:val="18"/>
              </w:rPr>
              <w:t>Shënim mbi kostot</w:t>
            </w:r>
          </w:p>
        </w:tc>
      </w:tr>
      <w:tr w:rsidR="009344C8" w:rsidRPr="007114AF" w14:paraId="6EDD0CBA" w14:textId="77777777" w:rsidTr="009344C8">
        <w:trPr>
          <w:trHeight w:val="686"/>
          <w:jc w:val="center"/>
        </w:trPr>
        <w:tc>
          <w:tcPr>
            <w:tcW w:w="514" w:type="dxa"/>
            <w:tcBorders>
              <w:top w:val="nil"/>
              <w:left w:val="single" w:sz="8" w:space="0" w:color="B8CCE4"/>
              <w:bottom w:val="single" w:sz="8" w:space="0" w:color="B8CCE4"/>
              <w:right w:val="single" w:sz="8" w:space="0" w:color="B8CCE4"/>
            </w:tcBorders>
            <w:shd w:val="clear" w:color="auto" w:fill="auto"/>
            <w:vAlign w:val="center"/>
            <w:hideMark/>
          </w:tcPr>
          <w:p w14:paraId="6EDD0CB3" w14:textId="77777777" w:rsidR="009344C8" w:rsidRPr="007114AF" w:rsidRDefault="009344C8" w:rsidP="009344C8">
            <w:pPr>
              <w:spacing w:after="0" w:line="240" w:lineRule="auto"/>
              <w:rPr>
                <w:rFonts w:ascii="Garamond" w:eastAsia="Times New Roman" w:hAnsi="Garamond" w:cs="Times New Roman"/>
                <w:b/>
                <w:bCs/>
                <w:sz w:val="18"/>
                <w:szCs w:val="18"/>
              </w:rPr>
            </w:pPr>
            <w:r w:rsidRPr="007114AF">
              <w:rPr>
                <w:rFonts w:ascii="Garamond" w:eastAsia="Times New Roman" w:hAnsi="Garamond" w:cs="Times New Roman"/>
                <w:b/>
                <w:bCs/>
                <w:sz w:val="18"/>
                <w:szCs w:val="18"/>
              </w:rPr>
              <w:t>C1</w:t>
            </w:r>
          </w:p>
        </w:tc>
        <w:tc>
          <w:tcPr>
            <w:tcW w:w="1841" w:type="dxa"/>
            <w:tcBorders>
              <w:top w:val="nil"/>
              <w:left w:val="nil"/>
              <w:bottom w:val="single" w:sz="8" w:space="0" w:color="B8CCE4"/>
              <w:right w:val="single" w:sz="8" w:space="0" w:color="B8CCE4"/>
            </w:tcBorders>
            <w:shd w:val="clear" w:color="auto" w:fill="auto"/>
            <w:vAlign w:val="center"/>
            <w:hideMark/>
          </w:tcPr>
          <w:p w14:paraId="6EDD0CB4" w14:textId="77777777" w:rsidR="009344C8" w:rsidRPr="007114AF" w:rsidRDefault="009344C8" w:rsidP="009344C8">
            <w:pPr>
              <w:spacing w:after="0" w:line="240" w:lineRule="auto"/>
              <w:rPr>
                <w:rFonts w:ascii="Garamond" w:eastAsia="Times New Roman" w:hAnsi="Garamond" w:cs="Times New Roman"/>
                <w:sz w:val="18"/>
                <w:szCs w:val="18"/>
              </w:rPr>
            </w:pPr>
            <w:r w:rsidRPr="007114AF">
              <w:rPr>
                <w:rFonts w:ascii="Garamond" w:eastAsia="Times New Roman" w:hAnsi="Garamond" w:cs="Times New Roman"/>
                <w:color w:val="000000"/>
                <w:sz w:val="18"/>
                <w:szCs w:val="18"/>
              </w:rPr>
              <w:t xml:space="preserve">Strategjia afatgjatë me karbon të ulët </w:t>
            </w:r>
          </w:p>
        </w:tc>
        <w:tc>
          <w:tcPr>
            <w:tcW w:w="1149" w:type="dxa"/>
            <w:tcBorders>
              <w:top w:val="nil"/>
              <w:left w:val="nil"/>
              <w:bottom w:val="single" w:sz="8" w:space="0" w:color="B8CCE4"/>
              <w:right w:val="single" w:sz="8" w:space="0" w:color="B8CCE4"/>
            </w:tcBorders>
            <w:shd w:val="clear" w:color="auto" w:fill="auto"/>
            <w:vAlign w:val="center"/>
            <w:hideMark/>
          </w:tcPr>
          <w:p w14:paraId="6EDD0CB5" w14:textId="77777777" w:rsidR="009344C8" w:rsidRPr="007114AF" w:rsidRDefault="009344C8" w:rsidP="009344C8">
            <w:pPr>
              <w:spacing w:after="0" w:line="240" w:lineRule="auto"/>
              <w:rPr>
                <w:rFonts w:ascii="Garamond" w:eastAsia="Times New Roman" w:hAnsi="Garamond" w:cs="Times New Roman"/>
                <w:sz w:val="18"/>
                <w:szCs w:val="18"/>
              </w:rPr>
            </w:pPr>
            <w:r w:rsidRPr="007114AF">
              <w:rPr>
                <w:rFonts w:ascii="Garamond" w:eastAsia="Times New Roman" w:hAnsi="Garamond" w:cs="Times New Roman"/>
                <w:sz w:val="18"/>
                <w:szCs w:val="18"/>
              </w:rPr>
              <w:t>2020</w:t>
            </w:r>
          </w:p>
        </w:tc>
        <w:tc>
          <w:tcPr>
            <w:tcW w:w="2122" w:type="dxa"/>
            <w:tcBorders>
              <w:top w:val="nil"/>
              <w:left w:val="nil"/>
              <w:bottom w:val="single" w:sz="8" w:space="0" w:color="B8CCE4"/>
              <w:right w:val="single" w:sz="8" w:space="0" w:color="B8CCE4"/>
            </w:tcBorders>
            <w:shd w:val="clear" w:color="auto" w:fill="auto"/>
            <w:vAlign w:val="center"/>
            <w:hideMark/>
          </w:tcPr>
          <w:p w14:paraId="6EDD0CB6" w14:textId="77777777" w:rsidR="009344C8" w:rsidRPr="007114AF" w:rsidRDefault="009344C8" w:rsidP="009344C8">
            <w:pPr>
              <w:spacing w:after="0" w:line="240" w:lineRule="auto"/>
              <w:rPr>
                <w:rFonts w:ascii="Garamond" w:eastAsia="Times New Roman" w:hAnsi="Garamond" w:cs="Times New Roman"/>
                <w:sz w:val="18"/>
                <w:szCs w:val="18"/>
              </w:rPr>
            </w:pPr>
            <w:r w:rsidRPr="007114AF">
              <w:rPr>
                <w:rFonts w:ascii="Garamond" w:eastAsia="Times New Roman" w:hAnsi="Garamond" w:cs="Times New Roman"/>
                <w:sz w:val="18"/>
                <w:szCs w:val="18"/>
              </w:rPr>
              <w:t>Draftligji mbi Ndryshimet Klimatike</w:t>
            </w:r>
          </w:p>
        </w:tc>
        <w:tc>
          <w:tcPr>
            <w:tcW w:w="1697" w:type="dxa"/>
            <w:tcBorders>
              <w:top w:val="nil"/>
              <w:left w:val="nil"/>
              <w:bottom w:val="single" w:sz="8" w:space="0" w:color="B8CCE4"/>
              <w:right w:val="single" w:sz="8" w:space="0" w:color="B8CCE4"/>
            </w:tcBorders>
            <w:vAlign w:val="center"/>
          </w:tcPr>
          <w:p w14:paraId="6EDD0CB7" w14:textId="77777777" w:rsidR="009344C8" w:rsidRPr="007114AF" w:rsidRDefault="009344C8" w:rsidP="009344C8">
            <w:pPr>
              <w:spacing w:after="0" w:line="240" w:lineRule="auto"/>
              <w:rPr>
                <w:rFonts w:ascii="Garamond" w:eastAsia="Times New Roman" w:hAnsi="Garamond" w:cs="Times New Roman"/>
                <w:b/>
                <w:bCs/>
                <w:sz w:val="18"/>
                <w:szCs w:val="18"/>
              </w:rPr>
            </w:pPr>
            <w:r w:rsidRPr="007114AF">
              <w:rPr>
                <w:rFonts w:ascii="Garamond" w:eastAsia="Times New Roman" w:hAnsi="Garamond" w:cs="Times New Roman"/>
                <w:b/>
                <w:bCs/>
                <w:sz w:val="18"/>
                <w:szCs w:val="18"/>
              </w:rPr>
              <w:t>Mundësuese</w:t>
            </w:r>
          </w:p>
        </w:tc>
        <w:tc>
          <w:tcPr>
            <w:tcW w:w="1697" w:type="dxa"/>
            <w:tcBorders>
              <w:top w:val="nil"/>
              <w:left w:val="single" w:sz="8" w:space="0" w:color="B8CCE4"/>
              <w:bottom w:val="single" w:sz="8" w:space="0" w:color="B8CCE4"/>
              <w:right w:val="single" w:sz="8" w:space="0" w:color="B8CCE4"/>
            </w:tcBorders>
            <w:shd w:val="clear" w:color="auto" w:fill="auto"/>
            <w:vAlign w:val="center"/>
            <w:hideMark/>
          </w:tcPr>
          <w:p w14:paraId="6EDD0CB8" w14:textId="77777777" w:rsidR="009344C8" w:rsidRPr="007114AF" w:rsidRDefault="009344C8" w:rsidP="009344C8">
            <w:pPr>
              <w:spacing w:after="0" w:line="240" w:lineRule="auto"/>
              <w:rPr>
                <w:rFonts w:ascii="Garamond" w:eastAsia="Times New Roman" w:hAnsi="Garamond" w:cs="Times New Roman"/>
                <w:sz w:val="18"/>
                <w:szCs w:val="18"/>
              </w:rPr>
            </w:pPr>
            <w:r w:rsidRPr="007114AF">
              <w:rPr>
                <w:rFonts w:ascii="Garamond" w:eastAsia="Times New Roman" w:hAnsi="Garamond" w:cs="Times New Roman"/>
                <w:sz w:val="18"/>
                <w:szCs w:val="18"/>
              </w:rPr>
              <w:t>29,198.00</w:t>
            </w:r>
          </w:p>
        </w:tc>
        <w:tc>
          <w:tcPr>
            <w:tcW w:w="5777" w:type="dxa"/>
            <w:tcBorders>
              <w:top w:val="nil"/>
              <w:left w:val="nil"/>
              <w:bottom w:val="single" w:sz="8" w:space="0" w:color="B8CCE4"/>
              <w:right w:val="single" w:sz="8" w:space="0" w:color="B8CCE4"/>
            </w:tcBorders>
            <w:shd w:val="clear" w:color="auto" w:fill="auto"/>
            <w:vAlign w:val="center"/>
            <w:hideMark/>
          </w:tcPr>
          <w:p w14:paraId="6EDD0CB9" w14:textId="77777777" w:rsidR="009344C8" w:rsidRPr="007114AF" w:rsidRDefault="009344C8" w:rsidP="009344C8">
            <w:pPr>
              <w:spacing w:after="0" w:line="240" w:lineRule="auto"/>
              <w:rPr>
                <w:rFonts w:ascii="Garamond" w:eastAsia="Times New Roman" w:hAnsi="Garamond" w:cs="Times New Roman"/>
                <w:sz w:val="18"/>
                <w:szCs w:val="18"/>
              </w:rPr>
            </w:pPr>
            <w:r w:rsidRPr="007114AF">
              <w:rPr>
                <w:rFonts w:ascii="Garamond" w:eastAsia="Times New Roman" w:hAnsi="Garamond" w:cs="Times New Roman"/>
                <w:sz w:val="18"/>
                <w:szCs w:val="18"/>
              </w:rPr>
              <w:t>Kostoja për njësi për zhvillimin e strategjisë për buxhetin afatmesëm, të dhënat B, Programet e ruajtjes së Mjedisit</w:t>
            </w:r>
          </w:p>
        </w:tc>
      </w:tr>
      <w:tr w:rsidR="009344C8" w:rsidRPr="007114AF" w14:paraId="6EDD0CC2" w14:textId="77777777" w:rsidTr="009344C8">
        <w:trPr>
          <w:trHeight w:val="554"/>
          <w:jc w:val="center"/>
        </w:trPr>
        <w:tc>
          <w:tcPr>
            <w:tcW w:w="514" w:type="dxa"/>
            <w:tcBorders>
              <w:top w:val="nil"/>
              <w:left w:val="single" w:sz="8" w:space="0" w:color="B8CCE4"/>
              <w:bottom w:val="single" w:sz="8" w:space="0" w:color="B8CCE4"/>
              <w:right w:val="single" w:sz="8" w:space="0" w:color="B8CCE4"/>
            </w:tcBorders>
            <w:shd w:val="clear" w:color="auto" w:fill="auto"/>
            <w:vAlign w:val="center"/>
            <w:hideMark/>
          </w:tcPr>
          <w:p w14:paraId="6EDD0CBB" w14:textId="77777777" w:rsidR="009344C8" w:rsidRPr="007114AF" w:rsidRDefault="009344C8" w:rsidP="009344C8">
            <w:pPr>
              <w:spacing w:after="0" w:line="240" w:lineRule="auto"/>
              <w:rPr>
                <w:rFonts w:ascii="Garamond" w:eastAsia="Times New Roman" w:hAnsi="Garamond" w:cs="Times New Roman"/>
                <w:b/>
                <w:bCs/>
                <w:sz w:val="18"/>
                <w:szCs w:val="18"/>
              </w:rPr>
            </w:pPr>
            <w:r w:rsidRPr="007114AF">
              <w:rPr>
                <w:rFonts w:ascii="Garamond" w:eastAsia="Times New Roman" w:hAnsi="Garamond" w:cs="Times New Roman"/>
                <w:b/>
                <w:bCs/>
                <w:sz w:val="18"/>
                <w:szCs w:val="18"/>
              </w:rPr>
              <w:t>C2</w:t>
            </w:r>
          </w:p>
        </w:tc>
        <w:tc>
          <w:tcPr>
            <w:tcW w:w="1841" w:type="dxa"/>
            <w:tcBorders>
              <w:top w:val="nil"/>
              <w:left w:val="nil"/>
              <w:bottom w:val="single" w:sz="8" w:space="0" w:color="B8CCE4"/>
              <w:right w:val="single" w:sz="8" w:space="0" w:color="B8CCE4"/>
            </w:tcBorders>
            <w:shd w:val="clear" w:color="auto" w:fill="auto"/>
            <w:vAlign w:val="center"/>
            <w:hideMark/>
          </w:tcPr>
          <w:p w14:paraId="6EDD0CBC" w14:textId="77777777" w:rsidR="009344C8" w:rsidRPr="007114AF" w:rsidRDefault="009344C8" w:rsidP="009344C8">
            <w:pPr>
              <w:spacing w:after="0" w:line="240" w:lineRule="auto"/>
              <w:rPr>
                <w:rFonts w:ascii="Garamond" w:eastAsia="Times New Roman" w:hAnsi="Garamond" w:cs="Times New Roman"/>
                <w:sz w:val="18"/>
                <w:szCs w:val="18"/>
              </w:rPr>
            </w:pPr>
            <w:r w:rsidRPr="007114AF">
              <w:rPr>
                <w:rFonts w:ascii="Garamond" w:eastAsia="Times New Roman" w:hAnsi="Garamond" w:cs="Times New Roman"/>
                <w:color w:val="000000"/>
                <w:sz w:val="18"/>
                <w:szCs w:val="18"/>
              </w:rPr>
              <w:t>Përditësimi i NDC</w:t>
            </w:r>
          </w:p>
        </w:tc>
        <w:tc>
          <w:tcPr>
            <w:tcW w:w="1149" w:type="dxa"/>
            <w:tcBorders>
              <w:top w:val="nil"/>
              <w:left w:val="nil"/>
              <w:bottom w:val="single" w:sz="8" w:space="0" w:color="B8CCE4"/>
              <w:right w:val="single" w:sz="8" w:space="0" w:color="B8CCE4"/>
            </w:tcBorders>
            <w:shd w:val="clear" w:color="auto" w:fill="auto"/>
            <w:vAlign w:val="center"/>
            <w:hideMark/>
          </w:tcPr>
          <w:p w14:paraId="6EDD0CBD" w14:textId="77777777" w:rsidR="009344C8" w:rsidRPr="007114AF" w:rsidRDefault="009344C8" w:rsidP="009344C8">
            <w:pPr>
              <w:spacing w:after="0" w:line="240" w:lineRule="auto"/>
              <w:rPr>
                <w:rFonts w:ascii="Garamond" w:eastAsia="Times New Roman" w:hAnsi="Garamond" w:cs="Times New Roman"/>
                <w:sz w:val="18"/>
                <w:szCs w:val="18"/>
              </w:rPr>
            </w:pPr>
            <w:r w:rsidRPr="007114AF">
              <w:rPr>
                <w:rFonts w:ascii="Garamond" w:eastAsia="Times New Roman" w:hAnsi="Garamond" w:cs="Times New Roman"/>
                <w:sz w:val="18"/>
                <w:szCs w:val="18"/>
              </w:rPr>
              <w:t>2025</w:t>
            </w:r>
          </w:p>
        </w:tc>
        <w:tc>
          <w:tcPr>
            <w:tcW w:w="2122" w:type="dxa"/>
            <w:tcBorders>
              <w:top w:val="nil"/>
              <w:left w:val="nil"/>
              <w:bottom w:val="single" w:sz="8" w:space="0" w:color="B8CCE4"/>
              <w:right w:val="single" w:sz="8" w:space="0" w:color="B8CCE4"/>
            </w:tcBorders>
            <w:shd w:val="clear" w:color="auto" w:fill="auto"/>
            <w:vAlign w:val="center"/>
            <w:hideMark/>
          </w:tcPr>
          <w:p w14:paraId="6EDD0CBE" w14:textId="77777777" w:rsidR="009344C8" w:rsidRPr="007114AF" w:rsidRDefault="009344C8" w:rsidP="009344C8">
            <w:pPr>
              <w:spacing w:after="0" w:line="240" w:lineRule="auto"/>
              <w:rPr>
                <w:rFonts w:ascii="Garamond" w:eastAsia="Times New Roman" w:hAnsi="Garamond" w:cs="Times New Roman"/>
                <w:sz w:val="18"/>
                <w:szCs w:val="18"/>
              </w:rPr>
            </w:pPr>
            <w:r w:rsidRPr="007114AF">
              <w:rPr>
                <w:rFonts w:ascii="Garamond" w:eastAsia="Times New Roman" w:hAnsi="Garamond" w:cs="Times New Roman"/>
                <w:sz w:val="18"/>
                <w:szCs w:val="18"/>
              </w:rPr>
              <w:t>Draftligji mbi Ndryshimet Klimatike</w:t>
            </w:r>
          </w:p>
        </w:tc>
        <w:tc>
          <w:tcPr>
            <w:tcW w:w="1697" w:type="dxa"/>
            <w:tcBorders>
              <w:top w:val="nil"/>
              <w:left w:val="nil"/>
              <w:bottom w:val="single" w:sz="8" w:space="0" w:color="B8CCE4"/>
              <w:right w:val="single" w:sz="8" w:space="0" w:color="B8CCE4"/>
            </w:tcBorders>
            <w:vAlign w:val="center"/>
          </w:tcPr>
          <w:p w14:paraId="6EDD0CBF" w14:textId="77777777" w:rsidR="009344C8" w:rsidRPr="007114AF" w:rsidRDefault="009344C8" w:rsidP="009344C8">
            <w:pPr>
              <w:spacing w:after="0" w:line="240" w:lineRule="auto"/>
              <w:rPr>
                <w:rFonts w:ascii="Garamond" w:eastAsia="Times New Roman" w:hAnsi="Garamond" w:cs="Times New Roman"/>
                <w:b/>
                <w:bCs/>
                <w:sz w:val="18"/>
                <w:szCs w:val="18"/>
              </w:rPr>
            </w:pPr>
            <w:r w:rsidRPr="007114AF">
              <w:rPr>
                <w:rFonts w:ascii="Garamond" w:eastAsia="Times New Roman" w:hAnsi="Garamond" w:cs="Times New Roman"/>
                <w:b/>
                <w:bCs/>
                <w:sz w:val="18"/>
                <w:szCs w:val="18"/>
              </w:rPr>
              <w:t>Mundësuese</w:t>
            </w:r>
          </w:p>
        </w:tc>
        <w:tc>
          <w:tcPr>
            <w:tcW w:w="1697" w:type="dxa"/>
            <w:tcBorders>
              <w:top w:val="nil"/>
              <w:left w:val="single" w:sz="8" w:space="0" w:color="B8CCE4"/>
              <w:bottom w:val="single" w:sz="8" w:space="0" w:color="B8CCE4"/>
              <w:right w:val="single" w:sz="8" w:space="0" w:color="B8CCE4"/>
            </w:tcBorders>
            <w:shd w:val="clear" w:color="auto" w:fill="auto"/>
            <w:vAlign w:val="center"/>
            <w:hideMark/>
          </w:tcPr>
          <w:p w14:paraId="6EDD0CC0" w14:textId="77777777" w:rsidR="009344C8" w:rsidRPr="007114AF" w:rsidRDefault="009344C8" w:rsidP="009344C8">
            <w:pPr>
              <w:spacing w:after="0" w:line="240" w:lineRule="auto"/>
              <w:rPr>
                <w:rFonts w:ascii="Garamond" w:eastAsia="Times New Roman" w:hAnsi="Garamond" w:cs="Times New Roman"/>
                <w:sz w:val="18"/>
                <w:szCs w:val="18"/>
              </w:rPr>
            </w:pPr>
            <w:r w:rsidRPr="007114AF">
              <w:rPr>
                <w:rFonts w:ascii="Garamond" w:eastAsia="Times New Roman" w:hAnsi="Garamond" w:cs="Times New Roman"/>
                <w:sz w:val="18"/>
                <w:szCs w:val="18"/>
              </w:rPr>
              <w:t>n/a</w:t>
            </w:r>
          </w:p>
        </w:tc>
        <w:tc>
          <w:tcPr>
            <w:tcW w:w="5777" w:type="dxa"/>
            <w:tcBorders>
              <w:top w:val="nil"/>
              <w:left w:val="nil"/>
              <w:bottom w:val="single" w:sz="8" w:space="0" w:color="B8CCE4"/>
              <w:right w:val="single" w:sz="8" w:space="0" w:color="B8CCE4"/>
            </w:tcBorders>
            <w:shd w:val="clear" w:color="auto" w:fill="auto"/>
            <w:vAlign w:val="center"/>
            <w:hideMark/>
          </w:tcPr>
          <w:p w14:paraId="6EDD0CC1" w14:textId="77777777" w:rsidR="009344C8" w:rsidRPr="007114AF" w:rsidRDefault="009344C8" w:rsidP="009344C8">
            <w:pPr>
              <w:spacing w:after="0" w:line="240" w:lineRule="auto"/>
              <w:rPr>
                <w:rFonts w:ascii="Garamond" w:eastAsia="Times New Roman" w:hAnsi="Garamond" w:cs="Times New Roman"/>
                <w:sz w:val="18"/>
                <w:szCs w:val="18"/>
              </w:rPr>
            </w:pPr>
            <w:r w:rsidRPr="007114AF">
              <w:rPr>
                <w:rFonts w:ascii="Garamond" w:eastAsia="Times New Roman" w:hAnsi="Garamond" w:cs="Times New Roman"/>
                <w:sz w:val="18"/>
                <w:szCs w:val="18"/>
              </w:rPr>
              <w:t>Asnjë efekt financiar deri më 2020</w:t>
            </w:r>
          </w:p>
        </w:tc>
      </w:tr>
      <w:tr w:rsidR="009344C8" w:rsidRPr="007114AF" w14:paraId="6EDD0CCA" w14:textId="77777777" w:rsidTr="009344C8">
        <w:trPr>
          <w:trHeight w:val="548"/>
          <w:jc w:val="center"/>
        </w:trPr>
        <w:tc>
          <w:tcPr>
            <w:tcW w:w="514" w:type="dxa"/>
            <w:tcBorders>
              <w:top w:val="nil"/>
              <w:left w:val="single" w:sz="8" w:space="0" w:color="B8CCE4"/>
              <w:bottom w:val="single" w:sz="8" w:space="0" w:color="B8CCE4"/>
              <w:right w:val="single" w:sz="8" w:space="0" w:color="B8CCE4"/>
            </w:tcBorders>
            <w:shd w:val="clear" w:color="auto" w:fill="auto"/>
            <w:vAlign w:val="center"/>
            <w:hideMark/>
          </w:tcPr>
          <w:p w14:paraId="6EDD0CC3" w14:textId="77777777" w:rsidR="009344C8" w:rsidRPr="007114AF" w:rsidRDefault="009344C8" w:rsidP="009344C8">
            <w:pPr>
              <w:spacing w:after="0" w:line="240" w:lineRule="auto"/>
              <w:rPr>
                <w:rFonts w:ascii="Garamond" w:eastAsia="Times New Roman" w:hAnsi="Garamond" w:cs="Times New Roman"/>
                <w:b/>
                <w:bCs/>
                <w:sz w:val="18"/>
                <w:szCs w:val="18"/>
              </w:rPr>
            </w:pPr>
            <w:r w:rsidRPr="007114AF">
              <w:rPr>
                <w:rFonts w:ascii="Garamond" w:eastAsia="Times New Roman" w:hAnsi="Garamond" w:cs="Times New Roman"/>
                <w:b/>
                <w:bCs/>
                <w:sz w:val="18"/>
                <w:szCs w:val="18"/>
              </w:rPr>
              <w:lastRenderedPageBreak/>
              <w:t>C3</w:t>
            </w:r>
          </w:p>
        </w:tc>
        <w:tc>
          <w:tcPr>
            <w:tcW w:w="1841" w:type="dxa"/>
            <w:tcBorders>
              <w:top w:val="nil"/>
              <w:left w:val="nil"/>
              <w:bottom w:val="single" w:sz="8" w:space="0" w:color="B8CCE4"/>
              <w:right w:val="single" w:sz="8" w:space="0" w:color="B8CCE4"/>
            </w:tcBorders>
            <w:shd w:val="clear" w:color="auto" w:fill="auto"/>
            <w:vAlign w:val="center"/>
            <w:hideMark/>
          </w:tcPr>
          <w:p w14:paraId="6EDD0CC4" w14:textId="77777777" w:rsidR="009344C8" w:rsidRPr="007114AF" w:rsidRDefault="009344C8" w:rsidP="009344C8">
            <w:pPr>
              <w:spacing w:after="0" w:line="240" w:lineRule="auto"/>
              <w:rPr>
                <w:rFonts w:ascii="Garamond" w:eastAsia="Times New Roman" w:hAnsi="Garamond" w:cs="Times New Roman"/>
                <w:sz w:val="18"/>
                <w:szCs w:val="18"/>
              </w:rPr>
            </w:pPr>
            <w:r w:rsidRPr="007114AF">
              <w:rPr>
                <w:rFonts w:ascii="Garamond" w:eastAsia="Times New Roman" w:hAnsi="Garamond" w:cs="Times New Roman"/>
                <w:color w:val="000000"/>
                <w:sz w:val="18"/>
                <w:szCs w:val="18"/>
              </w:rPr>
              <w:t>Përditësimi i NDC</w:t>
            </w:r>
          </w:p>
        </w:tc>
        <w:tc>
          <w:tcPr>
            <w:tcW w:w="1149" w:type="dxa"/>
            <w:tcBorders>
              <w:top w:val="nil"/>
              <w:left w:val="nil"/>
              <w:bottom w:val="single" w:sz="8" w:space="0" w:color="B8CCE4"/>
              <w:right w:val="single" w:sz="8" w:space="0" w:color="B8CCE4"/>
            </w:tcBorders>
            <w:shd w:val="clear" w:color="auto" w:fill="auto"/>
            <w:vAlign w:val="center"/>
            <w:hideMark/>
          </w:tcPr>
          <w:p w14:paraId="6EDD0CC5" w14:textId="77777777" w:rsidR="009344C8" w:rsidRPr="007114AF" w:rsidRDefault="009344C8" w:rsidP="009344C8">
            <w:pPr>
              <w:spacing w:after="0" w:line="240" w:lineRule="auto"/>
              <w:rPr>
                <w:rFonts w:ascii="Garamond" w:eastAsia="Times New Roman" w:hAnsi="Garamond" w:cs="Times New Roman"/>
                <w:sz w:val="18"/>
                <w:szCs w:val="18"/>
              </w:rPr>
            </w:pPr>
            <w:r w:rsidRPr="007114AF">
              <w:rPr>
                <w:rFonts w:ascii="Garamond" w:eastAsia="Times New Roman" w:hAnsi="Garamond" w:cs="Times New Roman"/>
                <w:sz w:val="18"/>
                <w:szCs w:val="18"/>
              </w:rPr>
              <w:t>2030</w:t>
            </w:r>
          </w:p>
        </w:tc>
        <w:tc>
          <w:tcPr>
            <w:tcW w:w="2122" w:type="dxa"/>
            <w:tcBorders>
              <w:top w:val="nil"/>
              <w:left w:val="nil"/>
              <w:bottom w:val="single" w:sz="8" w:space="0" w:color="B8CCE4"/>
              <w:right w:val="single" w:sz="8" w:space="0" w:color="B8CCE4"/>
            </w:tcBorders>
            <w:shd w:val="clear" w:color="auto" w:fill="auto"/>
            <w:vAlign w:val="center"/>
            <w:hideMark/>
          </w:tcPr>
          <w:p w14:paraId="6EDD0CC6" w14:textId="77777777" w:rsidR="009344C8" w:rsidRPr="007114AF" w:rsidRDefault="009344C8" w:rsidP="009344C8">
            <w:pPr>
              <w:spacing w:after="0" w:line="240" w:lineRule="auto"/>
              <w:rPr>
                <w:rFonts w:ascii="Garamond" w:eastAsia="Times New Roman" w:hAnsi="Garamond" w:cs="Times New Roman"/>
                <w:sz w:val="18"/>
                <w:szCs w:val="18"/>
              </w:rPr>
            </w:pPr>
            <w:r w:rsidRPr="007114AF">
              <w:rPr>
                <w:rFonts w:ascii="Garamond" w:eastAsia="Times New Roman" w:hAnsi="Garamond" w:cs="Times New Roman"/>
                <w:sz w:val="18"/>
                <w:szCs w:val="18"/>
              </w:rPr>
              <w:t>Draftligji mbi Ndryshimet Klimatike</w:t>
            </w:r>
          </w:p>
        </w:tc>
        <w:tc>
          <w:tcPr>
            <w:tcW w:w="1697" w:type="dxa"/>
            <w:tcBorders>
              <w:top w:val="nil"/>
              <w:left w:val="nil"/>
              <w:bottom w:val="single" w:sz="8" w:space="0" w:color="B8CCE4"/>
              <w:right w:val="single" w:sz="8" w:space="0" w:color="B8CCE4"/>
            </w:tcBorders>
            <w:vAlign w:val="center"/>
          </w:tcPr>
          <w:p w14:paraId="6EDD0CC7" w14:textId="77777777" w:rsidR="009344C8" w:rsidRPr="007114AF" w:rsidRDefault="009344C8" w:rsidP="009344C8">
            <w:pPr>
              <w:spacing w:after="0" w:line="240" w:lineRule="auto"/>
              <w:rPr>
                <w:rFonts w:ascii="Garamond" w:eastAsia="Times New Roman" w:hAnsi="Garamond" w:cs="Times New Roman"/>
                <w:b/>
                <w:bCs/>
                <w:sz w:val="18"/>
                <w:szCs w:val="18"/>
              </w:rPr>
            </w:pPr>
            <w:r w:rsidRPr="007114AF">
              <w:rPr>
                <w:rFonts w:ascii="Garamond" w:eastAsia="Times New Roman" w:hAnsi="Garamond" w:cs="Times New Roman"/>
                <w:b/>
                <w:bCs/>
                <w:sz w:val="18"/>
                <w:szCs w:val="18"/>
              </w:rPr>
              <w:t>Mundësuese</w:t>
            </w:r>
          </w:p>
        </w:tc>
        <w:tc>
          <w:tcPr>
            <w:tcW w:w="1697" w:type="dxa"/>
            <w:tcBorders>
              <w:top w:val="nil"/>
              <w:left w:val="single" w:sz="8" w:space="0" w:color="B8CCE4"/>
              <w:bottom w:val="single" w:sz="8" w:space="0" w:color="B8CCE4"/>
              <w:right w:val="single" w:sz="8" w:space="0" w:color="B8CCE4"/>
            </w:tcBorders>
            <w:shd w:val="clear" w:color="auto" w:fill="auto"/>
            <w:vAlign w:val="center"/>
            <w:hideMark/>
          </w:tcPr>
          <w:p w14:paraId="6EDD0CC8" w14:textId="77777777" w:rsidR="009344C8" w:rsidRPr="007114AF" w:rsidRDefault="009344C8" w:rsidP="009344C8">
            <w:pPr>
              <w:spacing w:after="0" w:line="240" w:lineRule="auto"/>
              <w:rPr>
                <w:rFonts w:ascii="Garamond" w:eastAsia="Times New Roman" w:hAnsi="Garamond" w:cs="Times New Roman"/>
                <w:sz w:val="18"/>
                <w:szCs w:val="18"/>
              </w:rPr>
            </w:pPr>
            <w:r w:rsidRPr="007114AF">
              <w:rPr>
                <w:rFonts w:ascii="Garamond" w:eastAsia="Times New Roman" w:hAnsi="Garamond" w:cs="Times New Roman"/>
                <w:sz w:val="18"/>
                <w:szCs w:val="18"/>
              </w:rPr>
              <w:t>n/a</w:t>
            </w:r>
          </w:p>
        </w:tc>
        <w:tc>
          <w:tcPr>
            <w:tcW w:w="5777" w:type="dxa"/>
            <w:tcBorders>
              <w:top w:val="nil"/>
              <w:left w:val="nil"/>
              <w:bottom w:val="single" w:sz="8" w:space="0" w:color="B8CCE4"/>
              <w:right w:val="single" w:sz="8" w:space="0" w:color="B8CCE4"/>
            </w:tcBorders>
            <w:shd w:val="clear" w:color="auto" w:fill="auto"/>
            <w:vAlign w:val="center"/>
            <w:hideMark/>
          </w:tcPr>
          <w:p w14:paraId="6EDD0CC9" w14:textId="77777777" w:rsidR="009344C8" w:rsidRPr="007114AF" w:rsidRDefault="009344C8" w:rsidP="009344C8">
            <w:pPr>
              <w:spacing w:after="0" w:line="240" w:lineRule="auto"/>
              <w:rPr>
                <w:rFonts w:ascii="Garamond" w:eastAsia="Times New Roman" w:hAnsi="Garamond" w:cs="Times New Roman"/>
                <w:sz w:val="18"/>
                <w:szCs w:val="18"/>
              </w:rPr>
            </w:pPr>
            <w:r w:rsidRPr="007114AF">
              <w:rPr>
                <w:rFonts w:ascii="Garamond" w:eastAsia="Times New Roman" w:hAnsi="Garamond" w:cs="Times New Roman"/>
                <w:sz w:val="18"/>
                <w:szCs w:val="18"/>
              </w:rPr>
              <w:t>Asnjë efekt financiar deri më 2020</w:t>
            </w:r>
          </w:p>
        </w:tc>
      </w:tr>
      <w:tr w:rsidR="009344C8" w:rsidRPr="007114AF" w14:paraId="6EDD0CD2" w14:textId="77777777" w:rsidTr="009344C8">
        <w:trPr>
          <w:trHeight w:val="43"/>
          <w:jc w:val="center"/>
        </w:trPr>
        <w:tc>
          <w:tcPr>
            <w:tcW w:w="514" w:type="dxa"/>
            <w:tcBorders>
              <w:top w:val="nil"/>
              <w:left w:val="single" w:sz="8" w:space="0" w:color="B8CCE4"/>
              <w:bottom w:val="single" w:sz="8" w:space="0" w:color="B8CCE4"/>
              <w:right w:val="single" w:sz="8" w:space="0" w:color="B8CCE4"/>
            </w:tcBorders>
            <w:shd w:val="clear" w:color="auto" w:fill="auto"/>
            <w:vAlign w:val="center"/>
            <w:hideMark/>
          </w:tcPr>
          <w:p w14:paraId="6EDD0CCB" w14:textId="77777777" w:rsidR="009344C8" w:rsidRPr="007114AF" w:rsidRDefault="009344C8" w:rsidP="009344C8">
            <w:pPr>
              <w:spacing w:after="0" w:line="240" w:lineRule="auto"/>
              <w:rPr>
                <w:rFonts w:ascii="Garamond" w:eastAsia="Times New Roman" w:hAnsi="Garamond" w:cs="Times New Roman"/>
                <w:b/>
                <w:bCs/>
                <w:sz w:val="18"/>
                <w:szCs w:val="18"/>
              </w:rPr>
            </w:pPr>
            <w:r w:rsidRPr="007114AF">
              <w:rPr>
                <w:rFonts w:ascii="Garamond" w:eastAsia="Times New Roman" w:hAnsi="Garamond" w:cs="Times New Roman"/>
                <w:b/>
                <w:bCs/>
                <w:sz w:val="18"/>
                <w:szCs w:val="18"/>
              </w:rPr>
              <w:t>C4</w:t>
            </w:r>
          </w:p>
        </w:tc>
        <w:tc>
          <w:tcPr>
            <w:tcW w:w="1841" w:type="dxa"/>
            <w:tcBorders>
              <w:top w:val="nil"/>
              <w:left w:val="nil"/>
              <w:bottom w:val="single" w:sz="8" w:space="0" w:color="B8CCE4"/>
              <w:right w:val="single" w:sz="8" w:space="0" w:color="B8CCE4"/>
            </w:tcBorders>
            <w:shd w:val="clear" w:color="auto" w:fill="auto"/>
            <w:vAlign w:val="center"/>
            <w:hideMark/>
          </w:tcPr>
          <w:p w14:paraId="6EDD0CCC" w14:textId="77777777" w:rsidR="009344C8" w:rsidRPr="007114AF" w:rsidRDefault="009344C8" w:rsidP="009344C8">
            <w:pPr>
              <w:spacing w:after="0" w:line="240" w:lineRule="auto"/>
              <w:rPr>
                <w:rFonts w:ascii="Garamond" w:eastAsia="Times New Roman" w:hAnsi="Garamond" w:cs="Times New Roman"/>
                <w:sz w:val="18"/>
                <w:szCs w:val="18"/>
              </w:rPr>
            </w:pPr>
            <w:r w:rsidRPr="007114AF">
              <w:rPr>
                <w:rFonts w:ascii="Garamond" w:eastAsia="Times New Roman" w:hAnsi="Garamond" w:cs="Times New Roman"/>
                <w:color w:val="000000"/>
                <w:sz w:val="18"/>
                <w:szCs w:val="18"/>
              </w:rPr>
              <w:t>Vendosja e Sistemit Kombëtar për matjen/monitorimin dhe raportimin e ndotjes me gazet serrë dhe ndonjë informacion tjetër shtesë i duhur për ndryshimet klimatike</w:t>
            </w:r>
          </w:p>
        </w:tc>
        <w:tc>
          <w:tcPr>
            <w:tcW w:w="1149" w:type="dxa"/>
            <w:tcBorders>
              <w:top w:val="nil"/>
              <w:left w:val="nil"/>
              <w:bottom w:val="single" w:sz="8" w:space="0" w:color="B8CCE4"/>
              <w:right w:val="single" w:sz="8" w:space="0" w:color="B8CCE4"/>
            </w:tcBorders>
            <w:shd w:val="clear" w:color="auto" w:fill="auto"/>
            <w:vAlign w:val="center"/>
            <w:hideMark/>
          </w:tcPr>
          <w:p w14:paraId="6EDD0CCD" w14:textId="6B372139" w:rsidR="009344C8" w:rsidRPr="007114AF" w:rsidRDefault="009344C8" w:rsidP="009344C8">
            <w:pPr>
              <w:spacing w:after="0" w:line="240" w:lineRule="auto"/>
              <w:rPr>
                <w:rFonts w:ascii="Garamond" w:eastAsia="Times New Roman" w:hAnsi="Garamond" w:cs="Times New Roman"/>
                <w:sz w:val="18"/>
                <w:szCs w:val="18"/>
              </w:rPr>
            </w:pPr>
            <w:r w:rsidRPr="007114AF">
              <w:rPr>
                <w:rFonts w:ascii="Garamond" w:eastAsia="Times New Roman" w:hAnsi="Garamond" w:cs="Times New Roman"/>
                <w:sz w:val="18"/>
                <w:szCs w:val="18"/>
              </w:rPr>
              <w:t>2017</w:t>
            </w:r>
            <w:r w:rsidR="008D30FC" w:rsidRPr="007114AF">
              <w:rPr>
                <w:rFonts w:ascii="Garamond" w:eastAsia="Times New Roman" w:hAnsi="Garamond" w:cs="Times New Roman"/>
                <w:sz w:val="18"/>
                <w:szCs w:val="18"/>
              </w:rPr>
              <w:t xml:space="preserve"> </w:t>
            </w:r>
            <w:r w:rsidRPr="007114AF">
              <w:rPr>
                <w:rFonts w:ascii="Garamond" w:eastAsia="Times New Roman" w:hAnsi="Garamond" w:cs="Times New Roman"/>
                <w:sz w:val="18"/>
                <w:szCs w:val="18"/>
              </w:rPr>
              <w:t>Pas hyrjes në fuqi</w:t>
            </w:r>
          </w:p>
        </w:tc>
        <w:tc>
          <w:tcPr>
            <w:tcW w:w="2122" w:type="dxa"/>
            <w:tcBorders>
              <w:top w:val="nil"/>
              <w:left w:val="nil"/>
              <w:bottom w:val="single" w:sz="8" w:space="0" w:color="B8CCE4"/>
              <w:right w:val="single" w:sz="8" w:space="0" w:color="B8CCE4"/>
            </w:tcBorders>
            <w:shd w:val="clear" w:color="auto" w:fill="auto"/>
            <w:vAlign w:val="center"/>
            <w:hideMark/>
          </w:tcPr>
          <w:p w14:paraId="6EDD0CCE" w14:textId="77777777" w:rsidR="009344C8" w:rsidRPr="007114AF" w:rsidRDefault="009344C8" w:rsidP="009344C8">
            <w:pPr>
              <w:spacing w:after="0" w:line="240" w:lineRule="auto"/>
              <w:rPr>
                <w:rFonts w:ascii="Garamond" w:eastAsia="Times New Roman" w:hAnsi="Garamond" w:cs="Times New Roman"/>
                <w:sz w:val="18"/>
                <w:szCs w:val="18"/>
              </w:rPr>
            </w:pPr>
            <w:r w:rsidRPr="007114AF">
              <w:rPr>
                <w:rFonts w:ascii="Garamond" w:eastAsia="Times New Roman" w:hAnsi="Garamond" w:cs="Times New Roman"/>
                <w:sz w:val="18"/>
                <w:szCs w:val="18"/>
              </w:rPr>
              <w:t>Draftligji mbi Ndryshimet Klimatike; Draft VKM mbi Monitorimin dhe raportimin</w:t>
            </w:r>
          </w:p>
        </w:tc>
        <w:tc>
          <w:tcPr>
            <w:tcW w:w="1697" w:type="dxa"/>
            <w:tcBorders>
              <w:top w:val="nil"/>
              <w:left w:val="nil"/>
              <w:bottom w:val="single" w:sz="8" w:space="0" w:color="B8CCE4"/>
              <w:right w:val="single" w:sz="8" w:space="0" w:color="B8CCE4"/>
            </w:tcBorders>
            <w:vAlign w:val="center"/>
          </w:tcPr>
          <w:p w14:paraId="6EDD0CCF" w14:textId="77777777" w:rsidR="009344C8" w:rsidRPr="007114AF" w:rsidRDefault="009344C8" w:rsidP="009344C8">
            <w:pPr>
              <w:spacing w:after="0" w:line="240" w:lineRule="auto"/>
              <w:rPr>
                <w:rFonts w:ascii="Garamond" w:eastAsia="Times New Roman" w:hAnsi="Garamond" w:cs="Times New Roman"/>
                <w:b/>
                <w:bCs/>
                <w:sz w:val="18"/>
                <w:szCs w:val="18"/>
              </w:rPr>
            </w:pPr>
          </w:p>
        </w:tc>
        <w:tc>
          <w:tcPr>
            <w:tcW w:w="1697" w:type="dxa"/>
            <w:tcBorders>
              <w:top w:val="nil"/>
              <w:left w:val="single" w:sz="8" w:space="0" w:color="B8CCE4"/>
              <w:bottom w:val="single" w:sz="8" w:space="0" w:color="B8CCE4"/>
              <w:right w:val="single" w:sz="8" w:space="0" w:color="B8CCE4"/>
            </w:tcBorders>
            <w:shd w:val="clear" w:color="auto" w:fill="auto"/>
            <w:vAlign w:val="center"/>
            <w:hideMark/>
          </w:tcPr>
          <w:p w14:paraId="6EDD0CD0" w14:textId="77777777" w:rsidR="009344C8" w:rsidRPr="007114AF" w:rsidRDefault="009344C8" w:rsidP="009344C8">
            <w:pPr>
              <w:spacing w:after="0" w:line="240" w:lineRule="auto"/>
              <w:rPr>
                <w:rFonts w:ascii="Garamond" w:eastAsia="Times New Roman" w:hAnsi="Garamond" w:cs="Times New Roman"/>
                <w:sz w:val="18"/>
                <w:szCs w:val="18"/>
              </w:rPr>
            </w:pPr>
            <w:r w:rsidRPr="007114AF">
              <w:rPr>
                <w:rFonts w:ascii="Garamond" w:eastAsia="Times New Roman" w:hAnsi="Garamond" w:cs="Times New Roman"/>
                <w:sz w:val="18"/>
                <w:szCs w:val="18"/>
              </w:rPr>
              <w:t>15,000.00</w:t>
            </w:r>
          </w:p>
        </w:tc>
        <w:tc>
          <w:tcPr>
            <w:tcW w:w="5777" w:type="dxa"/>
            <w:tcBorders>
              <w:top w:val="nil"/>
              <w:left w:val="nil"/>
              <w:bottom w:val="single" w:sz="8" w:space="0" w:color="B8CCE4"/>
              <w:right w:val="single" w:sz="8" w:space="0" w:color="B8CCE4"/>
            </w:tcBorders>
            <w:shd w:val="clear" w:color="auto" w:fill="auto"/>
            <w:vAlign w:val="center"/>
            <w:hideMark/>
          </w:tcPr>
          <w:p w14:paraId="6EDD0CD1" w14:textId="77777777" w:rsidR="009344C8" w:rsidRPr="007114AF" w:rsidRDefault="009344C8" w:rsidP="009344C8">
            <w:pPr>
              <w:spacing w:after="0" w:line="240" w:lineRule="auto"/>
              <w:rPr>
                <w:rFonts w:ascii="Garamond" w:eastAsia="Times New Roman" w:hAnsi="Garamond" w:cs="Times New Roman"/>
                <w:sz w:val="18"/>
                <w:szCs w:val="18"/>
              </w:rPr>
            </w:pPr>
            <w:r w:rsidRPr="007114AF">
              <w:rPr>
                <w:rFonts w:ascii="Garamond" w:eastAsia="Times New Roman" w:hAnsi="Garamond" w:cs="Times New Roman"/>
                <w:sz w:val="18"/>
                <w:szCs w:val="18"/>
              </w:rPr>
              <w:t>Studimi i Fizibilitetit</w:t>
            </w:r>
          </w:p>
        </w:tc>
      </w:tr>
    </w:tbl>
    <w:p w14:paraId="6EDD0CD3" w14:textId="77777777" w:rsidR="00D774C2" w:rsidRPr="007114AF" w:rsidRDefault="00D774C2" w:rsidP="00EF517C">
      <w:pPr>
        <w:pStyle w:val="TEKSTI"/>
      </w:pPr>
    </w:p>
    <w:p w14:paraId="6EDD0CD4" w14:textId="77777777" w:rsidR="009344C8" w:rsidRPr="007114AF" w:rsidRDefault="009344C8" w:rsidP="00EF517C">
      <w:pPr>
        <w:pStyle w:val="TEKSTI"/>
      </w:pPr>
    </w:p>
    <w:p w14:paraId="6EDD0CD5" w14:textId="77777777" w:rsidR="009344C8" w:rsidRPr="007114AF" w:rsidRDefault="009344C8" w:rsidP="00EF517C">
      <w:pPr>
        <w:pStyle w:val="TEKSTI"/>
      </w:pPr>
    </w:p>
    <w:p w14:paraId="6EDD0CD6" w14:textId="77777777" w:rsidR="009344C8" w:rsidRPr="007114AF" w:rsidRDefault="009344C8" w:rsidP="00EF517C">
      <w:pPr>
        <w:pStyle w:val="TEKSTI"/>
      </w:pPr>
    </w:p>
    <w:p w14:paraId="6EDD0CD7" w14:textId="77777777" w:rsidR="009344C8" w:rsidRPr="007114AF" w:rsidRDefault="009344C8" w:rsidP="00EF517C">
      <w:pPr>
        <w:pStyle w:val="TEKSTI"/>
      </w:pPr>
    </w:p>
    <w:p w14:paraId="6EDD0CD8" w14:textId="77777777" w:rsidR="009344C8" w:rsidRPr="007114AF" w:rsidRDefault="009344C8" w:rsidP="00EF517C">
      <w:pPr>
        <w:pStyle w:val="TEKSTI"/>
      </w:pPr>
    </w:p>
    <w:p w14:paraId="6EDD0CD9" w14:textId="77777777" w:rsidR="009344C8" w:rsidRPr="007114AF" w:rsidRDefault="009344C8" w:rsidP="00EF517C">
      <w:pPr>
        <w:pStyle w:val="TEKSTI"/>
      </w:pPr>
    </w:p>
    <w:p w14:paraId="6EDD0CDA" w14:textId="77777777" w:rsidR="009344C8" w:rsidRPr="007114AF" w:rsidRDefault="009344C8" w:rsidP="00EF517C">
      <w:pPr>
        <w:pStyle w:val="TEKSTI"/>
      </w:pPr>
    </w:p>
    <w:p w14:paraId="6EDD0CDB" w14:textId="77777777" w:rsidR="009344C8" w:rsidRPr="007114AF" w:rsidRDefault="009344C8" w:rsidP="00EF517C">
      <w:pPr>
        <w:pStyle w:val="TEKSTI"/>
      </w:pPr>
    </w:p>
    <w:p w14:paraId="6EDD0CDC" w14:textId="77777777" w:rsidR="009344C8" w:rsidRPr="007114AF" w:rsidRDefault="009344C8" w:rsidP="00EF517C">
      <w:pPr>
        <w:pStyle w:val="TEKSTI"/>
      </w:pPr>
    </w:p>
    <w:p w14:paraId="6EDD0CDD" w14:textId="77777777" w:rsidR="009344C8" w:rsidRPr="007114AF" w:rsidRDefault="009344C8" w:rsidP="00EF517C">
      <w:pPr>
        <w:pStyle w:val="TEKSTI"/>
      </w:pPr>
    </w:p>
    <w:p w14:paraId="6EDD0CDE" w14:textId="77777777" w:rsidR="009344C8" w:rsidRPr="007114AF" w:rsidRDefault="009344C8" w:rsidP="00EF517C">
      <w:pPr>
        <w:pStyle w:val="TEKSTI"/>
      </w:pPr>
    </w:p>
    <w:p w14:paraId="6EDD0CDF" w14:textId="77777777" w:rsidR="009344C8" w:rsidRPr="007114AF" w:rsidRDefault="009344C8" w:rsidP="00EF517C">
      <w:pPr>
        <w:pStyle w:val="TEKSTI"/>
      </w:pPr>
    </w:p>
    <w:p w14:paraId="6EDD0CE0" w14:textId="77777777" w:rsidR="009344C8" w:rsidRPr="007114AF" w:rsidRDefault="009344C8" w:rsidP="00EF517C">
      <w:pPr>
        <w:pStyle w:val="TEKSTI"/>
      </w:pPr>
    </w:p>
    <w:p w14:paraId="6EDD0CE1" w14:textId="77777777" w:rsidR="009344C8" w:rsidRPr="007114AF" w:rsidRDefault="009344C8" w:rsidP="00EF517C">
      <w:pPr>
        <w:pStyle w:val="TEKSTI"/>
      </w:pPr>
    </w:p>
    <w:p w14:paraId="6EDD0CE2" w14:textId="77777777" w:rsidR="009344C8" w:rsidRPr="007114AF" w:rsidRDefault="009344C8" w:rsidP="00EF517C">
      <w:pPr>
        <w:pStyle w:val="TEKSTI"/>
      </w:pPr>
    </w:p>
    <w:p w14:paraId="6EDD0CE3" w14:textId="77777777" w:rsidR="009344C8" w:rsidRPr="007114AF" w:rsidRDefault="009344C8" w:rsidP="00EF517C">
      <w:pPr>
        <w:pStyle w:val="TEKSTI"/>
      </w:pPr>
    </w:p>
    <w:p w14:paraId="6EDD0CE4" w14:textId="77777777" w:rsidR="009344C8" w:rsidRPr="007114AF" w:rsidRDefault="009344C8" w:rsidP="00EF517C">
      <w:pPr>
        <w:pStyle w:val="TEKSTI"/>
      </w:pPr>
    </w:p>
    <w:p w14:paraId="6EDD0CE5" w14:textId="77777777" w:rsidR="009344C8" w:rsidRPr="007114AF" w:rsidRDefault="009344C8" w:rsidP="00EF517C">
      <w:pPr>
        <w:pStyle w:val="TEKSTI"/>
      </w:pPr>
    </w:p>
    <w:p w14:paraId="6EDD0CE6" w14:textId="77777777" w:rsidR="009344C8" w:rsidRPr="007114AF" w:rsidRDefault="009344C8" w:rsidP="00EF517C">
      <w:pPr>
        <w:pStyle w:val="TEKSTI"/>
      </w:pPr>
    </w:p>
    <w:p w14:paraId="6EDD0CE7" w14:textId="77777777" w:rsidR="009344C8" w:rsidRPr="007114AF" w:rsidRDefault="009344C8" w:rsidP="00EF517C">
      <w:pPr>
        <w:pStyle w:val="TEKSTI"/>
      </w:pPr>
    </w:p>
    <w:p w14:paraId="6EDD0CE8" w14:textId="77777777" w:rsidR="009344C8" w:rsidRPr="007114AF" w:rsidRDefault="009344C8" w:rsidP="00EF517C">
      <w:pPr>
        <w:pStyle w:val="TEKSTI"/>
      </w:pPr>
    </w:p>
    <w:p w14:paraId="6EDD0CE9" w14:textId="77777777" w:rsidR="009344C8" w:rsidRPr="007114AF" w:rsidRDefault="009344C8" w:rsidP="00EF517C">
      <w:pPr>
        <w:pStyle w:val="TEKSTI"/>
      </w:pPr>
    </w:p>
    <w:p w14:paraId="6EDD0CEA" w14:textId="77777777" w:rsidR="009344C8" w:rsidRPr="007114AF" w:rsidRDefault="009344C8" w:rsidP="00EF517C">
      <w:pPr>
        <w:pStyle w:val="TEKSTI"/>
      </w:pPr>
    </w:p>
    <w:p w14:paraId="6EDD0CEB" w14:textId="77777777" w:rsidR="00A45C8C" w:rsidRPr="007114AF" w:rsidRDefault="00A45C8C" w:rsidP="00EF517C">
      <w:pPr>
        <w:pStyle w:val="TEKSTI"/>
        <w:sectPr w:rsidR="00A45C8C" w:rsidRPr="007114AF" w:rsidSect="00A45C8C">
          <w:pgSz w:w="16840" w:h="11907" w:orient="landscape" w:code="9"/>
          <w:pgMar w:top="1418" w:right="1418" w:bottom="1418" w:left="1418" w:header="1304" w:footer="1134" w:gutter="0"/>
          <w:cols w:space="720"/>
          <w:docGrid w:linePitch="360"/>
        </w:sectPr>
      </w:pPr>
    </w:p>
    <w:p w14:paraId="209EB50C" w14:textId="77777777" w:rsidR="00DE31E0" w:rsidRDefault="00DE31E0" w:rsidP="00CB4F2D">
      <w:pPr>
        <w:pStyle w:val="TEKSTI"/>
        <w:rPr>
          <w:b/>
        </w:rPr>
      </w:pPr>
      <w:bookmarkStart w:id="184" w:name="_Toc484424531"/>
      <w:bookmarkStart w:id="185" w:name="_Toc483570133"/>
    </w:p>
    <w:p w14:paraId="6EDD0CEC" w14:textId="2173D705" w:rsidR="00CB4F2D" w:rsidRDefault="00A45C8C" w:rsidP="00CB4F2D">
      <w:pPr>
        <w:pStyle w:val="TEKSTI"/>
        <w:rPr>
          <w:b/>
        </w:rPr>
      </w:pPr>
      <w:r w:rsidRPr="007114AF">
        <w:rPr>
          <w:b/>
        </w:rPr>
        <w:t xml:space="preserve">6. </w:t>
      </w:r>
      <w:r w:rsidR="00CB4F2D" w:rsidRPr="007114AF">
        <w:rPr>
          <w:b/>
        </w:rPr>
        <w:t>PLANI KOMBËTAR I PËRSHTATJES NDAJ NDRYSHIMEVE KLIMATIKE</w:t>
      </w:r>
      <w:bookmarkEnd w:id="184"/>
      <w:bookmarkEnd w:id="185"/>
    </w:p>
    <w:p w14:paraId="740CA4EB" w14:textId="6F620672" w:rsidR="00DE31E0" w:rsidRDefault="00DE31E0" w:rsidP="00DE31E0">
      <w:pPr>
        <w:pStyle w:val="TEKSTI"/>
        <w:jc w:val="center"/>
        <w:rPr>
          <w:i/>
        </w:rPr>
      </w:pPr>
      <w:r w:rsidRPr="00DE31E0">
        <w:rPr>
          <w:i/>
        </w:rPr>
        <w:t>(Shfuqizuar me vendimin nr. 432, datë 10.6.2026)</w:t>
      </w:r>
    </w:p>
    <w:p w14:paraId="1E9E3994" w14:textId="77777777" w:rsidR="00DE31E0" w:rsidRPr="00DE31E0" w:rsidRDefault="00DE31E0" w:rsidP="00DE31E0">
      <w:pPr>
        <w:pStyle w:val="TEKSTI"/>
        <w:jc w:val="center"/>
        <w:rPr>
          <w:i/>
        </w:rPr>
      </w:pPr>
    </w:p>
    <w:p w14:paraId="6EDD113D" w14:textId="77777777" w:rsidR="001147F6" w:rsidRPr="007114AF" w:rsidRDefault="001147F6" w:rsidP="001147F6">
      <w:pPr>
        <w:pStyle w:val="TEKSTI"/>
        <w:rPr>
          <w:b/>
        </w:rPr>
      </w:pPr>
      <w:r w:rsidRPr="007114AF">
        <w:rPr>
          <w:b/>
        </w:rPr>
        <w:t>RAPORTIMI DHE MONITORIMI</w:t>
      </w:r>
    </w:p>
    <w:p w14:paraId="6EDD113E" w14:textId="77777777" w:rsidR="001147F6" w:rsidRPr="007114AF" w:rsidRDefault="001147F6" w:rsidP="001147F6">
      <w:pPr>
        <w:pStyle w:val="TEKSTI"/>
      </w:pPr>
      <w:r w:rsidRPr="007114AF">
        <w:rPr>
          <w:rFonts w:cstheme="minorHAnsi"/>
        </w:rPr>
        <w:t>Është krijuar</w:t>
      </w:r>
      <w:r w:rsidRPr="007114AF">
        <w:t xml:space="preserve"> nj</w:t>
      </w:r>
      <w:r w:rsidRPr="007114AF">
        <w:rPr>
          <w:rFonts w:cstheme="minorHAnsi"/>
        </w:rPr>
        <w:t>ë sistem koherent monitorimi dhe vlerësimi në mënyrë që të sigurohet një arritje efikase dhe efektive e objektivave të strategjisë</w:t>
      </w:r>
      <w:r w:rsidRPr="007114AF">
        <w:t xml:space="preserve">. </w:t>
      </w:r>
    </w:p>
    <w:p w14:paraId="6EDD113F" w14:textId="77777777" w:rsidR="001147F6" w:rsidRPr="007114AF" w:rsidRDefault="001147F6" w:rsidP="001147F6">
      <w:pPr>
        <w:pStyle w:val="TEKSTI"/>
      </w:pPr>
      <w:r w:rsidRPr="007114AF">
        <w:t>Dokumenti i SKNK&amp;P-ës bazohet n</w:t>
      </w:r>
      <w:r w:rsidRPr="007114AF">
        <w:rPr>
          <w:rFonts w:cstheme="minorHAnsi"/>
        </w:rPr>
        <w:t>ë disa strategji sektoriale dhe ndërsektoriale, si dhe plane që parashikojnë në strukturën e tyre monitorimin institucional</w:t>
      </w:r>
      <w:r w:rsidRPr="007114AF">
        <w:t xml:space="preserve"> dhe kuadrin e vler</w:t>
      </w:r>
      <w:r w:rsidRPr="007114AF">
        <w:rPr>
          <w:rFonts w:cstheme="minorHAnsi"/>
        </w:rPr>
        <w:t>ësimit, me objektiva dhe tregues, sipas një metodologjie specifike dhe institucionet përgjegjëse</w:t>
      </w:r>
      <w:r w:rsidRPr="007114AF">
        <w:t xml:space="preserve"> (tabela20).</w:t>
      </w:r>
    </w:p>
    <w:p w14:paraId="6EDD1140" w14:textId="4A3AEB38" w:rsidR="001147F6" w:rsidRPr="007114AF" w:rsidRDefault="001147F6" w:rsidP="001147F6">
      <w:pPr>
        <w:pStyle w:val="TEKSTI"/>
      </w:pPr>
      <w:r w:rsidRPr="007114AF">
        <w:t>Bashk</w:t>
      </w:r>
      <w:r w:rsidRPr="007114AF">
        <w:rPr>
          <w:rFonts w:cstheme="minorHAnsi"/>
        </w:rPr>
        <w:t xml:space="preserve">ërendimi i përgjithshëm i aktiviteteve në lidhje me strategjinë është përgjegjësi e </w:t>
      </w:r>
      <w:r w:rsidRPr="007114AF">
        <w:t>Ministris</w:t>
      </w:r>
      <w:r w:rsidRPr="007114AF">
        <w:rPr>
          <w:rFonts w:cstheme="minorHAnsi"/>
        </w:rPr>
        <w:t>ë së Turizmit dhe Mjedisit</w:t>
      </w:r>
      <w:r w:rsidRPr="007114AF">
        <w:t xml:space="preserve">. </w:t>
      </w:r>
      <w:r w:rsidRPr="007114AF">
        <w:rPr>
          <w:i/>
        </w:rPr>
        <w:t>Grupi i pun</w:t>
      </w:r>
      <w:r w:rsidRPr="007114AF">
        <w:rPr>
          <w:rFonts w:cstheme="minorHAnsi"/>
          <w:i/>
        </w:rPr>
        <w:t>ë</w:t>
      </w:r>
      <w:r w:rsidRPr="007114AF">
        <w:rPr>
          <w:i/>
        </w:rPr>
        <w:t>s n</w:t>
      </w:r>
      <w:r w:rsidRPr="007114AF">
        <w:rPr>
          <w:rFonts w:cstheme="minorHAnsi"/>
          <w:i/>
        </w:rPr>
        <w:t>ë fushën e Ndryshimeve Klimatike</w:t>
      </w:r>
      <w:r w:rsidRPr="007114AF">
        <w:t>, krijuar n</w:t>
      </w:r>
      <w:r w:rsidRPr="007114AF">
        <w:rPr>
          <w:rFonts w:cstheme="minorHAnsi"/>
        </w:rPr>
        <w:t xml:space="preserve">ë bazë të Urdhrit </w:t>
      </w:r>
      <w:r w:rsidRPr="007114AF">
        <w:t>t</w:t>
      </w:r>
      <w:r w:rsidRPr="007114AF">
        <w:rPr>
          <w:rFonts w:cstheme="minorHAnsi"/>
        </w:rPr>
        <w:t>ë Kryeministrit</w:t>
      </w:r>
      <w:r w:rsidR="00242009" w:rsidRPr="007114AF">
        <w:rPr>
          <w:rFonts w:cstheme="minorHAnsi"/>
        </w:rPr>
        <w:t xml:space="preserve"> nr. </w:t>
      </w:r>
      <w:r w:rsidRPr="007114AF">
        <w:t>155, dat</w:t>
      </w:r>
      <w:r w:rsidRPr="007114AF">
        <w:rPr>
          <w:rFonts w:cstheme="minorHAnsi"/>
        </w:rPr>
        <w:t>ë</w:t>
      </w:r>
      <w:r w:rsidR="005D5DCB">
        <w:t xml:space="preserve"> 25.</w:t>
      </w:r>
      <w:r w:rsidRPr="007114AF">
        <w:t>4.2014</w:t>
      </w:r>
      <w:r w:rsidRPr="007114AF">
        <w:rPr>
          <w:rStyle w:val="FootnoteReference"/>
        </w:rPr>
        <w:footnoteReference w:id="57"/>
      </w:r>
      <w:r w:rsidRPr="007114AF">
        <w:t>dhe i kryesuar nga Ministria e Turizmit dhe Mjedisit</w:t>
      </w:r>
      <w:r w:rsidR="003F649E" w:rsidRPr="007114AF">
        <w:t>,</w:t>
      </w:r>
      <w:r w:rsidRPr="007114AF">
        <w:t xml:space="preserve"> do t</w:t>
      </w:r>
      <w:r w:rsidRPr="007114AF">
        <w:rPr>
          <w:rFonts w:cstheme="minorHAnsi"/>
        </w:rPr>
        <w:t xml:space="preserve">ë vlerësojë çdo vit, përparimin e strategjive kombëtare dhe planeve që lidhen me ndryshimet klimatike </w:t>
      </w:r>
      <w:r w:rsidRPr="007114AF">
        <w:t>dhe q</w:t>
      </w:r>
      <w:r w:rsidRPr="007114AF">
        <w:rPr>
          <w:rFonts w:cstheme="minorHAnsi"/>
        </w:rPr>
        <w:t>ë ndodhen në listë</w:t>
      </w:r>
      <w:r w:rsidRPr="007114AF">
        <w:t xml:space="preserve">. </w:t>
      </w:r>
      <w:r w:rsidRPr="007114AF">
        <w:rPr>
          <w:rFonts w:cstheme="minorHAnsi"/>
        </w:rPr>
        <w:t>Ç</w:t>
      </w:r>
      <w:r w:rsidRPr="007114AF">
        <w:t>do vit, ministrit</w:t>
      </w:r>
      <w:r w:rsidRPr="007114AF">
        <w:rPr>
          <w:rFonts w:cstheme="minorHAnsi"/>
        </w:rPr>
        <w:t>ë përkatëse do të raportojnë mbi përparimin në përmbushjet e objektivave, sa i përket aspektit cilësor dhe sasior të strategjive dhe planeve përkatëse, si dhe do të informojnë rregullisht Kryeministrin mbi zhvillimet në sektor</w:t>
      </w:r>
      <w:r w:rsidRPr="007114AF">
        <w:t>.</w:t>
      </w:r>
    </w:p>
    <w:p w14:paraId="6EDD1141" w14:textId="14918333" w:rsidR="001147F6" w:rsidRPr="007114AF" w:rsidRDefault="001147F6" w:rsidP="001147F6">
      <w:pPr>
        <w:pStyle w:val="TEKSTI"/>
      </w:pPr>
      <w:r w:rsidRPr="007114AF">
        <w:t xml:space="preserve">Në zbatim të </w:t>
      </w:r>
      <w:r w:rsidR="005D5DCB">
        <w:t>u</w:t>
      </w:r>
      <w:r w:rsidRPr="007114AF">
        <w:t>rdhrit të Kryeministrit</w:t>
      </w:r>
      <w:r w:rsidR="00242009" w:rsidRPr="007114AF">
        <w:t xml:space="preserve"> nr. </w:t>
      </w:r>
      <w:r w:rsidRPr="007114AF">
        <w:t xml:space="preserve">157, datë 22.10.2018 </w:t>
      </w:r>
      <w:r w:rsidR="000A2A01" w:rsidRPr="007114AF">
        <w:t>“</w:t>
      </w:r>
      <w:r w:rsidRPr="007114AF">
        <w:t>Për marrjen e masave për zbatimin e qasjes së gjerë sektoriale/ndërsektoriale, si dhe ngritjen dhe funksionimin e mekanizmit sektoril/ndërsektorial të integruar</w:t>
      </w:r>
      <w:r w:rsidR="000A2A01" w:rsidRPr="007114AF">
        <w:t>”</w:t>
      </w:r>
      <w:r w:rsidRPr="007114AF">
        <w:t xml:space="preserve">, u miratua </w:t>
      </w:r>
      <w:r w:rsidR="005D5DCB" w:rsidRPr="007114AF">
        <w:t xml:space="preserve">urdhri i ministrit </w:t>
      </w:r>
      <w:r w:rsidRPr="007114AF">
        <w:t xml:space="preserve">të </w:t>
      </w:r>
      <w:r w:rsidR="005D5DCB" w:rsidRPr="007114AF">
        <w:t xml:space="preserve">Turizmit </w:t>
      </w:r>
      <w:r w:rsidRPr="007114AF">
        <w:t>dhe Mjedisit nr</w:t>
      </w:r>
      <w:r w:rsidR="005D5DCB">
        <w:t>.</w:t>
      </w:r>
      <w:r w:rsidRPr="007114AF">
        <w:t xml:space="preserve"> 34, </w:t>
      </w:r>
      <w:r w:rsidR="005D5DCB">
        <w:t>datë 19.</w:t>
      </w:r>
      <w:r w:rsidRPr="007114AF">
        <w:t xml:space="preserve">2.2019 </w:t>
      </w:r>
      <w:r w:rsidR="000A2A01" w:rsidRPr="007114AF">
        <w:t>“</w:t>
      </w:r>
      <w:r w:rsidRPr="007114AF">
        <w:t>Për ngritjen e sekretariatit teknik, në kuadër të funksionimit të komitetit drejtues sektorial, (KDS) në fushën e mjedisit, klimës dhe menaxhimit të mbetjeve</w:t>
      </w:r>
      <w:r w:rsidR="000A2A01" w:rsidRPr="007114AF">
        <w:t>”</w:t>
      </w:r>
      <w:r w:rsidRPr="007114AF">
        <w:t xml:space="preserve">. Referuar </w:t>
      </w:r>
      <w:r w:rsidR="005D5DCB">
        <w:t>urdh</w:t>
      </w:r>
      <w:r w:rsidRPr="007114AF">
        <w:t>rit nr</w:t>
      </w:r>
      <w:r w:rsidR="005D5DCB">
        <w:t>.</w:t>
      </w:r>
      <w:r w:rsidRPr="007114AF">
        <w:t xml:space="preserve"> 34/2019</w:t>
      </w:r>
      <w:r w:rsidR="005D5DCB">
        <w:t>,</w:t>
      </w:r>
      <w:r w:rsidRPr="007114AF">
        <w:t xml:space="preserve"> Komiteti Drejtues sektorial </w:t>
      </w:r>
      <w:r w:rsidR="000A2A01" w:rsidRPr="007114AF">
        <w:t>“</w:t>
      </w:r>
      <w:r w:rsidRPr="007114AF">
        <w:t>Mjedisi, klima dhe menaxhimi i mbetjeve</w:t>
      </w:r>
      <w:r w:rsidR="000A2A01" w:rsidRPr="007114AF">
        <w:t>”</w:t>
      </w:r>
      <w:r w:rsidRPr="007114AF">
        <w:t xml:space="preserve">, drejtohet nga Ministri i Turizmit dhe Mjedisit dhe luan rolin e Komitetit Sektorial të monitorimit të IPA-s për Mjedisin, klimën dhe menazhimin e mbetjeve, për 2 </w:t>
      </w:r>
      <w:r w:rsidR="005D5DCB">
        <w:t>g</w:t>
      </w:r>
      <w:r w:rsidRPr="007114AF">
        <w:t xml:space="preserve">rupet tematike </w:t>
      </w:r>
      <w:r w:rsidR="000A2A01" w:rsidRPr="007114AF">
        <w:t>“</w:t>
      </w:r>
      <w:r w:rsidRPr="007114AF">
        <w:t>Mjedisi dhe ndryshimet klimatike</w:t>
      </w:r>
      <w:r w:rsidR="000A2A01" w:rsidRPr="007114AF">
        <w:t>”</w:t>
      </w:r>
      <w:r w:rsidRPr="007114AF">
        <w:t xml:space="preserve"> si dhe </w:t>
      </w:r>
      <w:r w:rsidR="000A2A01" w:rsidRPr="007114AF">
        <w:t>“</w:t>
      </w:r>
      <w:r w:rsidRPr="007114AF">
        <w:t>Menaxhimi i mbetjeve të ngurta</w:t>
      </w:r>
      <w:r w:rsidR="000A2A01" w:rsidRPr="007114AF">
        <w:t>”</w:t>
      </w:r>
      <w:r w:rsidRPr="007114AF">
        <w:t>.</w:t>
      </w:r>
    </w:p>
    <w:p w14:paraId="6EDD1142" w14:textId="77777777" w:rsidR="001147F6" w:rsidRPr="007114AF" w:rsidRDefault="001147F6" w:rsidP="001147F6">
      <w:pPr>
        <w:pStyle w:val="TEKSTI"/>
      </w:pPr>
      <w:r w:rsidRPr="007114AF">
        <w:t>S</w:t>
      </w:r>
      <w:r w:rsidRPr="007114AF">
        <w:rPr>
          <w:rFonts w:cstheme="minorHAnsi"/>
        </w:rPr>
        <w:t xml:space="preserve">ë fundi, një vlerësim </w:t>
      </w:r>
      <w:r w:rsidRPr="007114AF">
        <w:rPr>
          <w:rFonts w:cstheme="minorHAnsi"/>
          <w:i/>
        </w:rPr>
        <w:t xml:space="preserve">ex-post </w:t>
      </w:r>
      <w:r w:rsidRPr="007114AF">
        <w:rPr>
          <w:rFonts w:cstheme="minorHAnsi"/>
        </w:rPr>
        <w:t>do të përqendrohet në vlerësimin e përgjithshëm të rëndësisë, efikasitetit, ndikimit dhe qëndrueshmërisë së ndërhyrjeve të strategjisë ndërsektoriale dhe analizës së faktorëve që ndikojnë në efektivitetin dhe ndikimin e strategjisë dhe mësimet e nxjerra</w:t>
      </w:r>
      <w:r w:rsidRPr="007114AF">
        <w:t>. Rezultatet e vler</w:t>
      </w:r>
      <w:r w:rsidRPr="007114AF">
        <w:rPr>
          <w:rFonts w:cstheme="minorHAnsi"/>
        </w:rPr>
        <w:t xml:space="preserve">ësimit </w:t>
      </w:r>
      <w:r w:rsidRPr="007114AF">
        <w:rPr>
          <w:i/>
        </w:rPr>
        <w:t>ex-post</w:t>
      </w:r>
      <w:r w:rsidRPr="007114AF">
        <w:t xml:space="preserve"> do t</w:t>
      </w:r>
      <w:r w:rsidRPr="007114AF">
        <w:rPr>
          <w:rFonts w:cstheme="minorHAnsi"/>
        </w:rPr>
        <w:t>ë përdoren për planifikim dhe rishikim të veprimeve të masave zbutëse të ndryshimeve klimatike</w:t>
      </w:r>
      <w:r w:rsidRPr="007114AF">
        <w:t>.</w:t>
      </w:r>
    </w:p>
    <w:p w14:paraId="6EDD1143" w14:textId="41A67394" w:rsidR="001147F6" w:rsidRPr="007114AF" w:rsidRDefault="001147F6" w:rsidP="001147F6">
      <w:pPr>
        <w:pStyle w:val="TEKSTI"/>
      </w:pPr>
      <w:r w:rsidRPr="007114AF">
        <w:t>P</w:t>
      </w:r>
      <w:r w:rsidRPr="007114AF">
        <w:rPr>
          <w:rFonts w:cstheme="minorHAnsi"/>
        </w:rPr>
        <w:t xml:space="preserve">ër sa </w:t>
      </w:r>
      <w:r w:rsidR="00362F59">
        <w:rPr>
          <w:rFonts w:cstheme="minorHAnsi"/>
        </w:rPr>
        <w:t>u</w:t>
      </w:r>
      <w:r w:rsidRPr="007114AF">
        <w:rPr>
          <w:rFonts w:cstheme="minorHAnsi"/>
        </w:rPr>
        <w:t xml:space="preserve"> përket planeve të energjisë </w:t>
      </w:r>
      <w:r w:rsidRPr="007114AF">
        <w:t>PKVEE, institucioni kryesor p</w:t>
      </w:r>
      <w:r w:rsidRPr="007114AF">
        <w:rPr>
          <w:rFonts w:cstheme="minorHAnsi"/>
        </w:rPr>
        <w:t xml:space="preserve">ërgjegjës për zbatimin dhe monitorimin e tyre janë </w:t>
      </w:r>
      <w:r w:rsidRPr="007114AF">
        <w:t>Ministria e Infrastrukturës dhe</w:t>
      </w:r>
      <w:r w:rsidRPr="007114AF">
        <w:rPr>
          <w:rFonts w:cstheme="minorHAnsi"/>
        </w:rPr>
        <w:t xml:space="preserve"> Energjisë dhe agjencia e saj e varësisë</w:t>
      </w:r>
      <w:r w:rsidRPr="007114AF">
        <w:t>– AKBN-ja, por duke q</w:t>
      </w:r>
      <w:r w:rsidRPr="007114AF">
        <w:rPr>
          <w:rFonts w:cstheme="minorHAnsi"/>
        </w:rPr>
        <w:t>enë se ajo mbulon të gjithë sektorët, të gjitha ministritë e tjera janë pjesë e zbatimit të tyre</w:t>
      </w:r>
      <w:r w:rsidRPr="007114AF">
        <w:t xml:space="preserve">. </w:t>
      </w:r>
    </w:p>
    <w:p w14:paraId="6EDD1144" w14:textId="77777777" w:rsidR="001147F6" w:rsidRPr="007114AF" w:rsidRDefault="001147F6" w:rsidP="001147F6">
      <w:pPr>
        <w:pStyle w:val="FIGURA"/>
        <w:jc w:val="left"/>
      </w:pPr>
    </w:p>
    <w:p w14:paraId="6EDD1145" w14:textId="77777777" w:rsidR="00BC1DB5" w:rsidRPr="007114AF" w:rsidRDefault="00BC1DB5" w:rsidP="00BC1DB5">
      <w:pPr>
        <w:spacing w:after="200"/>
        <w:rPr>
          <w:rFonts w:ascii="Garamond" w:hAnsi="Garamond"/>
          <w:b/>
          <w:bCs/>
          <w:iCs/>
        </w:rPr>
      </w:pPr>
    </w:p>
    <w:p w14:paraId="6EDD1146" w14:textId="77777777" w:rsidR="005D20DB" w:rsidRPr="007114AF" w:rsidRDefault="005D20DB" w:rsidP="00BC1DB5">
      <w:pPr>
        <w:spacing w:after="200"/>
        <w:rPr>
          <w:rFonts w:ascii="Garamond" w:hAnsi="Garamond"/>
          <w:b/>
          <w:bCs/>
          <w:iCs/>
        </w:rPr>
      </w:pPr>
    </w:p>
    <w:p w14:paraId="6EDD1147" w14:textId="77777777" w:rsidR="005D20DB" w:rsidRPr="007114AF" w:rsidRDefault="005D20DB" w:rsidP="00BC1DB5">
      <w:pPr>
        <w:spacing w:after="200"/>
        <w:rPr>
          <w:rFonts w:ascii="Garamond" w:hAnsi="Garamond"/>
          <w:b/>
          <w:bCs/>
          <w:iCs/>
        </w:rPr>
      </w:pPr>
    </w:p>
    <w:p w14:paraId="6EDD1148" w14:textId="77777777" w:rsidR="005D20DB" w:rsidRPr="007114AF" w:rsidRDefault="005D20DB" w:rsidP="00BC1DB5">
      <w:pPr>
        <w:spacing w:after="200"/>
        <w:rPr>
          <w:rFonts w:ascii="Garamond" w:hAnsi="Garamond"/>
          <w:b/>
          <w:bCs/>
          <w:iCs/>
        </w:rPr>
      </w:pPr>
    </w:p>
    <w:p w14:paraId="6EDD1149" w14:textId="77777777" w:rsidR="005D20DB" w:rsidRPr="007114AF" w:rsidRDefault="005D20DB" w:rsidP="00BC1DB5">
      <w:pPr>
        <w:spacing w:after="200"/>
        <w:rPr>
          <w:rFonts w:ascii="Garamond" w:hAnsi="Garamond"/>
          <w:b/>
          <w:bCs/>
          <w:iCs/>
        </w:rPr>
      </w:pPr>
    </w:p>
    <w:p w14:paraId="6EDD114A" w14:textId="77777777" w:rsidR="005D20DB" w:rsidRPr="007114AF" w:rsidRDefault="005D20DB" w:rsidP="00BC1DB5">
      <w:pPr>
        <w:spacing w:after="200"/>
        <w:rPr>
          <w:rFonts w:ascii="Garamond" w:hAnsi="Garamond"/>
          <w:b/>
          <w:bCs/>
          <w:iCs/>
        </w:rPr>
      </w:pPr>
    </w:p>
    <w:p w14:paraId="6EDD114B" w14:textId="77777777" w:rsidR="005D20DB" w:rsidRPr="007114AF" w:rsidRDefault="005D20DB" w:rsidP="00BC1DB5">
      <w:pPr>
        <w:spacing w:after="200"/>
        <w:rPr>
          <w:rFonts w:ascii="Garamond" w:hAnsi="Garamond"/>
          <w:b/>
          <w:bCs/>
          <w:iCs/>
        </w:rPr>
      </w:pPr>
    </w:p>
    <w:p w14:paraId="6EDD114C" w14:textId="77777777" w:rsidR="005D20DB" w:rsidRPr="007114AF" w:rsidRDefault="005D20DB" w:rsidP="00BC1DB5">
      <w:pPr>
        <w:spacing w:after="200"/>
        <w:rPr>
          <w:rFonts w:ascii="Garamond" w:hAnsi="Garamond"/>
          <w:b/>
          <w:bCs/>
          <w:iCs/>
        </w:rPr>
      </w:pPr>
    </w:p>
    <w:p w14:paraId="6EDD114D" w14:textId="77777777" w:rsidR="005D20DB" w:rsidRPr="007114AF" w:rsidRDefault="005D20DB" w:rsidP="00BC1DB5">
      <w:pPr>
        <w:spacing w:after="200"/>
        <w:rPr>
          <w:rFonts w:ascii="Garamond" w:hAnsi="Garamond"/>
          <w:b/>
          <w:bCs/>
          <w:iCs/>
        </w:rPr>
        <w:sectPr w:rsidR="005D20DB" w:rsidRPr="007114AF" w:rsidSect="00A45C8C">
          <w:pgSz w:w="11907" w:h="16840" w:code="9"/>
          <w:pgMar w:top="1418" w:right="1418" w:bottom="1418" w:left="1418" w:header="1304" w:footer="1134" w:gutter="0"/>
          <w:cols w:space="708"/>
          <w:noEndnote/>
          <w:docGrid w:linePitch="326"/>
        </w:sectPr>
      </w:pPr>
    </w:p>
    <w:p w14:paraId="6EDD114E" w14:textId="77777777" w:rsidR="00193B62" w:rsidRPr="007114AF" w:rsidRDefault="00193B62" w:rsidP="00193B62">
      <w:pPr>
        <w:pStyle w:val="FIGURA"/>
      </w:pPr>
      <w:r w:rsidRPr="007114AF">
        <w:lastRenderedPageBreak/>
        <w:t>Tabela 22 – Marr</w:t>
      </w:r>
      <w:r w:rsidRPr="007114AF">
        <w:rPr>
          <w:rFonts w:cs="Calibri"/>
        </w:rPr>
        <w:t xml:space="preserve">ëveshje </w:t>
      </w:r>
      <w:r w:rsidRPr="007114AF">
        <w:t>Monitorimi dhe Vler</w:t>
      </w:r>
      <w:r w:rsidRPr="007114AF">
        <w:rPr>
          <w:rFonts w:cs="Calibri"/>
        </w:rPr>
        <w:t xml:space="preserve">ësimi </w:t>
      </w:r>
      <w:r w:rsidRPr="007114AF">
        <w:t>(M&amp;E) t</w:t>
      </w:r>
      <w:r w:rsidRPr="007114AF">
        <w:rPr>
          <w:rFonts w:cs="Calibri"/>
        </w:rPr>
        <w:t xml:space="preserve">ë krijuara për secilin </w:t>
      </w:r>
      <w:r w:rsidRPr="007114AF">
        <w:t>Plan dhe Strategji t</w:t>
      </w:r>
      <w:r w:rsidRPr="007114AF">
        <w:rPr>
          <w:rFonts w:cs="Calibri"/>
        </w:rPr>
        <w:t>ë marrë në konsideratë</w:t>
      </w:r>
    </w:p>
    <w:tbl>
      <w:tblPr>
        <w:tblStyle w:val="GridTable6Colorful-Accent11"/>
        <w:tblpPr w:leftFromText="180" w:rightFromText="180" w:horzAnchor="margin" w:tblpY="636"/>
        <w:tblW w:w="5000" w:type="pct"/>
        <w:tblLayout w:type="fixed"/>
        <w:tblLook w:val="04A0" w:firstRow="1" w:lastRow="0" w:firstColumn="1" w:lastColumn="0" w:noHBand="0" w:noVBand="1"/>
      </w:tblPr>
      <w:tblGrid>
        <w:gridCol w:w="3773"/>
        <w:gridCol w:w="999"/>
        <w:gridCol w:w="2099"/>
        <w:gridCol w:w="2416"/>
      </w:tblGrid>
      <w:tr w:rsidR="00193B62" w:rsidRPr="007114AF" w14:paraId="6EDD1153" w14:textId="77777777" w:rsidTr="00574660">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031" w:type="pct"/>
            <w:vAlign w:val="center"/>
            <w:hideMark/>
          </w:tcPr>
          <w:p w14:paraId="6EDD114F" w14:textId="77777777" w:rsidR="00193B62" w:rsidRPr="007114AF" w:rsidRDefault="00193B62" w:rsidP="00193B62">
            <w:pPr>
              <w:spacing w:after="0"/>
              <w:rPr>
                <w:rFonts w:ascii="Garamond" w:hAnsi="Garamond"/>
                <w:sz w:val="18"/>
                <w:szCs w:val="18"/>
              </w:rPr>
            </w:pPr>
            <w:r w:rsidRPr="007114AF">
              <w:rPr>
                <w:rFonts w:ascii="Garamond" w:hAnsi="Garamond"/>
                <w:sz w:val="18"/>
                <w:szCs w:val="18"/>
              </w:rPr>
              <w:t>Dokumenti</w:t>
            </w:r>
          </w:p>
        </w:tc>
        <w:tc>
          <w:tcPr>
            <w:tcW w:w="538" w:type="pct"/>
            <w:vAlign w:val="center"/>
            <w:hideMark/>
          </w:tcPr>
          <w:p w14:paraId="6EDD1150" w14:textId="77777777" w:rsidR="00193B62" w:rsidRPr="007114AF" w:rsidRDefault="00193B62" w:rsidP="00193B62">
            <w:pPr>
              <w:spacing w:after="0"/>
              <w:cnfStyle w:val="100000000000" w:firstRow="1" w:lastRow="0" w:firstColumn="0" w:lastColumn="0" w:oddVBand="0" w:evenVBand="0" w:oddHBand="0" w:evenHBand="0" w:firstRowFirstColumn="0" w:firstRowLastColumn="0" w:lastRowFirstColumn="0" w:lastRowLastColumn="0"/>
              <w:rPr>
                <w:rFonts w:ascii="Garamond" w:hAnsi="Garamond"/>
                <w:sz w:val="18"/>
                <w:szCs w:val="18"/>
              </w:rPr>
            </w:pPr>
            <w:r w:rsidRPr="007114AF">
              <w:rPr>
                <w:rFonts w:ascii="Garamond" w:hAnsi="Garamond"/>
                <w:sz w:val="18"/>
                <w:szCs w:val="18"/>
              </w:rPr>
              <w:t>Vlefshm</w:t>
            </w:r>
            <w:r w:rsidRPr="007114AF">
              <w:rPr>
                <w:rFonts w:ascii="Garamond" w:hAnsi="Garamond" w:cstheme="minorHAnsi"/>
                <w:sz w:val="18"/>
                <w:szCs w:val="18"/>
              </w:rPr>
              <w:t>ë</w:t>
            </w:r>
            <w:r w:rsidRPr="007114AF">
              <w:rPr>
                <w:rFonts w:ascii="Garamond" w:hAnsi="Garamond"/>
                <w:sz w:val="18"/>
                <w:szCs w:val="18"/>
              </w:rPr>
              <w:t>ria</w:t>
            </w:r>
          </w:p>
        </w:tc>
        <w:tc>
          <w:tcPr>
            <w:tcW w:w="1130" w:type="pct"/>
            <w:vAlign w:val="center"/>
            <w:hideMark/>
          </w:tcPr>
          <w:p w14:paraId="6EDD1151" w14:textId="77777777" w:rsidR="00193B62" w:rsidRPr="007114AF" w:rsidRDefault="00193B62" w:rsidP="00193B62">
            <w:pPr>
              <w:spacing w:after="0"/>
              <w:cnfStyle w:val="100000000000" w:firstRow="1" w:lastRow="0" w:firstColumn="0" w:lastColumn="0" w:oddVBand="0" w:evenVBand="0" w:oddHBand="0" w:evenHBand="0" w:firstRowFirstColumn="0" w:firstRowLastColumn="0" w:lastRowFirstColumn="0" w:lastRowLastColumn="0"/>
              <w:rPr>
                <w:rFonts w:ascii="Garamond" w:hAnsi="Garamond"/>
                <w:sz w:val="18"/>
                <w:szCs w:val="18"/>
              </w:rPr>
            </w:pPr>
            <w:r w:rsidRPr="007114AF">
              <w:rPr>
                <w:rFonts w:ascii="Garamond" w:hAnsi="Garamond"/>
                <w:sz w:val="18"/>
                <w:szCs w:val="18"/>
              </w:rPr>
              <w:t>Institucioni/M&amp;E</w:t>
            </w:r>
          </w:p>
        </w:tc>
        <w:tc>
          <w:tcPr>
            <w:tcW w:w="1301" w:type="pct"/>
            <w:vAlign w:val="center"/>
            <w:hideMark/>
          </w:tcPr>
          <w:p w14:paraId="6EDD1152" w14:textId="77777777" w:rsidR="00193B62" w:rsidRPr="007114AF" w:rsidRDefault="00193B62" w:rsidP="00193B62">
            <w:pPr>
              <w:spacing w:after="0"/>
              <w:cnfStyle w:val="100000000000" w:firstRow="1" w:lastRow="0" w:firstColumn="0" w:lastColumn="0" w:oddVBand="0" w:evenVBand="0" w:oddHBand="0" w:evenHBand="0" w:firstRowFirstColumn="0" w:firstRowLastColumn="0" w:lastRowFirstColumn="0" w:lastRowLastColumn="0"/>
              <w:rPr>
                <w:rFonts w:ascii="Garamond" w:hAnsi="Garamond"/>
                <w:sz w:val="18"/>
                <w:szCs w:val="18"/>
              </w:rPr>
            </w:pPr>
            <w:r w:rsidRPr="007114AF">
              <w:rPr>
                <w:rFonts w:ascii="Garamond" w:hAnsi="Garamond"/>
                <w:sz w:val="18"/>
                <w:szCs w:val="18"/>
              </w:rPr>
              <w:t>Metodologjia e M&amp;E</w:t>
            </w:r>
          </w:p>
        </w:tc>
      </w:tr>
      <w:tr w:rsidR="00193B62" w:rsidRPr="007114AF" w14:paraId="6EDD1158" w14:textId="77777777" w:rsidTr="00574660">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031" w:type="pct"/>
            <w:noWrap/>
            <w:vAlign w:val="center"/>
            <w:hideMark/>
          </w:tcPr>
          <w:p w14:paraId="6EDD1154" w14:textId="77777777" w:rsidR="00193B62" w:rsidRPr="007114AF" w:rsidRDefault="00193B62" w:rsidP="00193B62">
            <w:pPr>
              <w:spacing w:after="0"/>
              <w:rPr>
                <w:rFonts w:ascii="Garamond" w:hAnsi="Garamond"/>
                <w:b w:val="0"/>
                <w:sz w:val="18"/>
                <w:szCs w:val="18"/>
              </w:rPr>
            </w:pPr>
            <w:r w:rsidRPr="007114AF">
              <w:rPr>
                <w:rFonts w:ascii="Garamond" w:hAnsi="Garamond"/>
                <w:sz w:val="18"/>
                <w:szCs w:val="18"/>
              </w:rPr>
              <w:t>Kontributi i Kombëtar i Pikësynuar (INDC) n</w:t>
            </w:r>
            <w:r w:rsidRPr="007114AF">
              <w:rPr>
                <w:rFonts w:ascii="Garamond" w:hAnsi="Garamond" w:cstheme="minorHAnsi"/>
                <w:sz w:val="18"/>
                <w:szCs w:val="18"/>
              </w:rPr>
              <w:t xml:space="preserve">ë kuadrin e </w:t>
            </w:r>
            <w:r w:rsidRPr="007114AF">
              <w:rPr>
                <w:rFonts w:ascii="Garamond" w:hAnsi="Garamond"/>
                <w:sz w:val="18"/>
                <w:szCs w:val="18"/>
              </w:rPr>
              <w:t>UNFCCC-ës</w:t>
            </w:r>
          </w:p>
        </w:tc>
        <w:tc>
          <w:tcPr>
            <w:tcW w:w="538" w:type="pct"/>
            <w:vAlign w:val="center"/>
            <w:hideMark/>
          </w:tcPr>
          <w:p w14:paraId="6EDD1155" w14:textId="77777777" w:rsidR="00193B62" w:rsidRPr="007114AF" w:rsidRDefault="00193B62" w:rsidP="00193B62">
            <w:pPr>
              <w:spacing w:after="0"/>
              <w:cnfStyle w:val="000000100000" w:firstRow="0" w:lastRow="0" w:firstColumn="0" w:lastColumn="0" w:oddVBand="0" w:evenVBand="0" w:oddHBand="1" w:evenHBand="0" w:firstRowFirstColumn="0" w:firstRowLastColumn="0" w:lastRowFirstColumn="0" w:lastRowLastColumn="0"/>
              <w:rPr>
                <w:rFonts w:ascii="Garamond" w:hAnsi="Garamond"/>
                <w:sz w:val="18"/>
                <w:szCs w:val="18"/>
              </w:rPr>
            </w:pPr>
            <w:r w:rsidRPr="007114AF">
              <w:rPr>
                <w:rFonts w:ascii="Garamond" w:hAnsi="Garamond"/>
                <w:sz w:val="18"/>
                <w:szCs w:val="18"/>
              </w:rPr>
              <w:t>2015-2030</w:t>
            </w:r>
          </w:p>
        </w:tc>
        <w:tc>
          <w:tcPr>
            <w:tcW w:w="1130" w:type="pct"/>
            <w:vAlign w:val="center"/>
            <w:hideMark/>
          </w:tcPr>
          <w:p w14:paraId="6EDD1156" w14:textId="77777777" w:rsidR="00193B62" w:rsidRPr="007114AF" w:rsidRDefault="00193B62" w:rsidP="00193B62">
            <w:pPr>
              <w:spacing w:after="0"/>
              <w:cnfStyle w:val="000000100000" w:firstRow="0" w:lastRow="0" w:firstColumn="0" w:lastColumn="0" w:oddVBand="0" w:evenVBand="0" w:oddHBand="1" w:evenHBand="0" w:firstRowFirstColumn="0" w:firstRowLastColumn="0" w:lastRowFirstColumn="0" w:lastRowLastColumn="0"/>
              <w:rPr>
                <w:rFonts w:ascii="Garamond" w:hAnsi="Garamond"/>
                <w:sz w:val="18"/>
                <w:szCs w:val="18"/>
              </w:rPr>
            </w:pPr>
            <w:r w:rsidRPr="007114AF">
              <w:rPr>
                <w:rFonts w:ascii="Garamond" w:hAnsi="Garamond"/>
                <w:sz w:val="18"/>
                <w:szCs w:val="18"/>
              </w:rPr>
              <w:t xml:space="preserve">Ministria e Turizmit dhe Mjedisit </w:t>
            </w:r>
          </w:p>
        </w:tc>
        <w:tc>
          <w:tcPr>
            <w:tcW w:w="1301" w:type="pct"/>
            <w:vAlign w:val="center"/>
            <w:hideMark/>
          </w:tcPr>
          <w:p w14:paraId="6EDD1157" w14:textId="77777777" w:rsidR="00193B62" w:rsidRPr="007114AF" w:rsidRDefault="00193B62" w:rsidP="00193B62">
            <w:pPr>
              <w:spacing w:after="0"/>
              <w:cnfStyle w:val="000000100000" w:firstRow="0" w:lastRow="0" w:firstColumn="0" w:lastColumn="0" w:oddVBand="0" w:evenVBand="0" w:oddHBand="1" w:evenHBand="0" w:firstRowFirstColumn="0" w:firstRowLastColumn="0" w:lastRowFirstColumn="0" w:lastRowLastColumn="0"/>
              <w:rPr>
                <w:rFonts w:ascii="Garamond" w:hAnsi="Garamond"/>
                <w:sz w:val="18"/>
                <w:szCs w:val="18"/>
              </w:rPr>
            </w:pPr>
            <w:r w:rsidRPr="007114AF">
              <w:rPr>
                <w:rFonts w:ascii="Garamond" w:hAnsi="Garamond"/>
                <w:sz w:val="18"/>
                <w:szCs w:val="18"/>
              </w:rPr>
              <w:t>E pap</w:t>
            </w:r>
            <w:r w:rsidRPr="007114AF">
              <w:rPr>
                <w:rFonts w:ascii="Garamond" w:hAnsi="Garamond" w:cstheme="minorHAnsi"/>
                <w:sz w:val="18"/>
                <w:szCs w:val="18"/>
              </w:rPr>
              <w:t>ë</w:t>
            </w:r>
            <w:r w:rsidRPr="007114AF">
              <w:rPr>
                <w:rFonts w:ascii="Garamond" w:hAnsi="Garamond"/>
                <w:sz w:val="18"/>
                <w:szCs w:val="18"/>
              </w:rPr>
              <w:t xml:space="preserve">rcaktuar </w:t>
            </w:r>
          </w:p>
        </w:tc>
      </w:tr>
      <w:tr w:rsidR="00193B62" w:rsidRPr="007114AF" w14:paraId="6EDD115D" w14:textId="77777777" w:rsidTr="00574660">
        <w:trPr>
          <w:trHeight w:val="20"/>
        </w:trPr>
        <w:tc>
          <w:tcPr>
            <w:cnfStyle w:val="001000000000" w:firstRow="0" w:lastRow="0" w:firstColumn="1" w:lastColumn="0" w:oddVBand="0" w:evenVBand="0" w:oddHBand="0" w:evenHBand="0" w:firstRowFirstColumn="0" w:firstRowLastColumn="0" w:lastRowFirstColumn="0" w:lastRowLastColumn="0"/>
            <w:tcW w:w="2031" w:type="pct"/>
            <w:vAlign w:val="center"/>
            <w:hideMark/>
          </w:tcPr>
          <w:p w14:paraId="6EDD1159" w14:textId="77777777" w:rsidR="00193B62" w:rsidRPr="007114AF" w:rsidRDefault="00193B62" w:rsidP="00193B62">
            <w:pPr>
              <w:spacing w:after="0"/>
              <w:rPr>
                <w:rFonts w:ascii="Garamond" w:hAnsi="Garamond"/>
                <w:b w:val="0"/>
                <w:sz w:val="18"/>
                <w:szCs w:val="18"/>
              </w:rPr>
            </w:pPr>
            <w:r w:rsidRPr="007114AF">
              <w:rPr>
                <w:rFonts w:ascii="Garamond" w:hAnsi="Garamond"/>
                <w:sz w:val="18"/>
                <w:szCs w:val="18"/>
              </w:rPr>
              <w:t>Strategjia e Nd</w:t>
            </w:r>
            <w:r w:rsidRPr="007114AF">
              <w:rPr>
                <w:rFonts w:ascii="Garamond" w:hAnsi="Garamond" w:cstheme="minorHAnsi"/>
                <w:sz w:val="18"/>
                <w:szCs w:val="18"/>
              </w:rPr>
              <w:t>ë</w:t>
            </w:r>
            <w:r w:rsidRPr="007114AF">
              <w:rPr>
                <w:rFonts w:ascii="Garamond" w:hAnsi="Garamond"/>
                <w:sz w:val="18"/>
                <w:szCs w:val="18"/>
              </w:rPr>
              <w:t xml:space="preserve">rlidhur Mjedisore (SMNS) </w:t>
            </w:r>
          </w:p>
        </w:tc>
        <w:tc>
          <w:tcPr>
            <w:tcW w:w="538" w:type="pct"/>
            <w:vAlign w:val="center"/>
            <w:hideMark/>
          </w:tcPr>
          <w:p w14:paraId="6EDD115A" w14:textId="77777777" w:rsidR="00193B62" w:rsidRPr="007114AF" w:rsidRDefault="00193B62" w:rsidP="00193B62">
            <w:pPr>
              <w:spacing w:after="0"/>
              <w:cnfStyle w:val="000000000000" w:firstRow="0" w:lastRow="0" w:firstColumn="0" w:lastColumn="0" w:oddVBand="0" w:evenVBand="0" w:oddHBand="0" w:evenHBand="0" w:firstRowFirstColumn="0" w:firstRowLastColumn="0" w:lastRowFirstColumn="0" w:lastRowLastColumn="0"/>
              <w:rPr>
                <w:rFonts w:ascii="Garamond" w:hAnsi="Garamond"/>
                <w:sz w:val="18"/>
                <w:szCs w:val="18"/>
              </w:rPr>
            </w:pPr>
            <w:r w:rsidRPr="007114AF">
              <w:rPr>
                <w:rFonts w:ascii="Garamond" w:hAnsi="Garamond"/>
                <w:sz w:val="18"/>
                <w:szCs w:val="18"/>
              </w:rPr>
              <w:t>2015-2020</w:t>
            </w:r>
          </w:p>
        </w:tc>
        <w:tc>
          <w:tcPr>
            <w:tcW w:w="1130" w:type="pct"/>
            <w:vAlign w:val="center"/>
            <w:hideMark/>
          </w:tcPr>
          <w:p w14:paraId="6EDD115B" w14:textId="77777777" w:rsidR="00193B62" w:rsidRPr="007114AF" w:rsidRDefault="00193B62" w:rsidP="00193B62">
            <w:pPr>
              <w:spacing w:after="0"/>
              <w:cnfStyle w:val="000000000000" w:firstRow="0" w:lastRow="0" w:firstColumn="0" w:lastColumn="0" w:oddVBand="0" w:evenVBand="0" w:oddHBand="0" w:evenHBand="0" w:firstRowFirstColumn="0" w:firstRowLastColumn="0" w:lastRowFirstColumn="0" w:lastRowLastColumn="0"/>
              <w:rPr>
                <w:rFonts w:ascii="Garamond" w:hAnsi="Garamond"/>
                <w:sz w:val="18"/>
                <w:szCs w:val="18"/>
              </w:rPr>
            </w:pPr>
            <w:r w:rsidRPr="007114AF">
              <w:rPr>
                <w:rFonts w:ascii="Garamond" w:hAnsi="Garamond"/>
                <w:sz w:val="18"/>
                <w:szCs w:val="18"/>
              </w:rPr>
              <w:t xml:space="preserve">Ministria e Turizmit dhe Mjedisit </w:t>
            </w:r>
          </w:p>
        </w:tc>
        <w:tc>
          <w:tcPr>
            <w:tcW w:w="1301" w:type="pct"/>
            <w:vAlign w:val="center"/>
            <w:hideMark/>
          </w:tcPr>
          <w:p w14:paraId="6EDD115C" w14:textId="3C50CBC7" w:rsidR="00193B62" w:rsidRPr="007114AF" w:rsidRDefault="00193B62" w:rsidP="00193B62">
            <w:pPr>
              <w:spacing w:after="0"/>
              <w:cnfStyle w:val="000000000000" w:firstRow="0" w:lastRow="0" w:firstColumn="0" w:lastColumn="0" w:oddVBand="0" w:evenVBand="0" w:oddHBand="0" w:evenHBand="0" w:firstRowFirstColumn="0" w:firstRowLastColumn="0" w:lastRowFirstColumn="0" w:lastRowLastColumn="0"/>
              <w:rPr>
                <w:rFonts w:ascii="Garamond" w:hAnsi="Garamond"/>
                <w:sz w:val="18"/>
                <w:szCs w:val="18"/>
              </w:rPr>
            </w:pPr>
            <w:r w:rsidRPr="007114AF">
              <w:rPr>
                <w:rFonts w:ascii="Garamond" w:hAnsi="Garamond"/>
                <w:sz w:val="18"/>
                <w:szCs w:val="18"/>
              </w:rPr>
              <w:t>VKM</w:t>
            </w:r>
            <w:r w:rsidR="00242009" w:rsidRPr="007114AF">
              <w:rPr>
                <w:rFonts w:ascii="Garamond" w:hAnsi="Garamond"/>
                <w:sz w:val="18"/>
                <w:szCs w:val="18"/>
              </w:rPr>
              <w:t xml:space="preserve"> nr. </w:t>
            </w:r>
            <w:r w:rsidRPr="007114AF">
              <w:rPr>
                <w:rFonts w:ascii="Garamond" w:hAnsi="Garamond"/>
                <w:sz w:val="18"/>
                <w:szCs w:val="18"/>
              </w:rPr>
              <w:t>1189 dat</w:t>
            </w:r>
            <w:r w:rsidRPr="007114AF">
              <w:rPr>
                <w:rFonts w:ascii="Garamond" w:hAnsi="Garamond" w:cstheme="minorHAnsi"/>
                <w:sz w:val="18"/>
                <w:szCs w:val="18"/>
              </w:rPr>
              <w:t>ë</w:t>
            </w:r>
            <w:r w:rsidRPr="007114AF">
              <w:rPr>
                <w:rFonts w:ascii="Garamond" w:hAnsi="Garamond"/>
                <w:sz w:val="18"/>
                <w:szCs w:val="18"/>
              </w:rPr>
              <w:t xml:space="preserve"> 18/11/2009 </w:t>
            </w:r>
            <w:r w:rsidR="000A2A01" w:rsidRPr="007114AF">
              <w:rPr>
                <w:rFonts w:ascii="Garamond" w:hAnsi="Garamond"/>
                <w:sz w:val="18"/>
                <w:szCs w:val="18"/>
              </w:rPr>
              <w:t>“</w:t>
            </w:r>
            <w:r w:rsidRPr="007114AF">
              <w:rPr>
                <w:rFonts w:ascii="Garamond" w:hAnsi="Garamond"/>
                <w:sz w:val="18"/>
                <w:szCs w:val="18"/>
              </w:rPr>
              <w:t>Mbi rregullat dhe procedurat p</w:t>
            </w:r>
            <w:r w:rsidRPr="007114AF">
              <w:rPr>
                <w:rFonts w:ascii="Garamond" w:hAnsi="Garamond" w:cstheme="minorHAnsi"/>
                <w:sz w:val="18"/>
                <w:szCs w:val="18"/>
              </w:rPr>
              <w:t>ër hartimin dhe zbatimin e programit kombëtar të monitorimit mjedisor</w:t>
            </w:r>
            <w:r w:rsidR="000A2A01" w:rsidRPr="007114AF">
              <w:rPr>
                <w:rFonts w:ascii="Garamond" w:hAnsi="Garamond"/>
                <w:sz w:val="18"/>
                <w:szCs w:val="18"/>
              </w:rPr>
              <w:t>”</w:t>
            </w:r>
          </w:p>
        </w:tc>
      </w:tr>
      <w:tr w:rsidR="00193B62" w:rsidRPr="007114AF" w14:paraId="6EDD1162" w14:textId="77777777" w:rsidTr="00574660">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031" w:type="pct"/>
            <w:vAlign w:val="center"/>
            <w:hideMark/>
          </w:tcPr>
          <w:p w14:paraId="6EDD115E" w14:textId="77777777" w:rsidR="00193B62" w:rsidRPr="007114AF" w:rsidRDefault="00193B62" w:rsidP="00193B62">
            <w:pPr>
              <w:spacing w:after="0"/>
              <w:rPr>
                <w:rFonts w:ascii="Garamond" w:hAnsi="Garamond"/>
                <w:b w:val="0"/>
                <w:sz w:val="18"/>
                <w:szCs w:val="18"/>
              </w:rPr>
            </w:pPr>
            <w:r w:rsidRPr="007114AF">
              <w:rPr>
                <w:rFonts w:ascii="Garamond" w:hAnsi="Garamond"/>
                <w:sz w:val="18"/>
                <w:szCs w:val="18"/>
              </w:rPr>
              <w:t>Strategjia Komb</w:t>
            </w:r>
            <w:r w:rsidRPr="007114AF">
              <w:rPr>
                <w:rFonts w:ascii="Garamond" w:hAnsi="Garamond" w:cstheme="minorHAnsi"/>
                <w:sz w:val="18"/>
                <w:szCs w:val="18"/>
              </w:rPr>
              <w:t>ëtare p</w:t>
            </w:r>
            <w:r w:rsidRPr="007114AF">
              <w:rPr>
                <w:rFonts w:ascii="Garamond" w:hAnsi="Garamond" w:cs="Calibri"/>
                <w:sz w:val="18"/>
                <w:szCs w:val="18"/>
              </w:rPr>
              <w:t xml:space="preserve">ër Integrim dhe Zhvillim </w:t>
            </w:r>
            <w:r w:rsidRPr="007114AF">
              <w:rPr>
                <w:rFonts w:ascii="Garamond" w:hAnsi="Garamond"/>
                <w:sz w:val="18"/>
                <w:szCs w:val="18"/>
              </w:rPr>
              <w:t xml:space="preserve">(SKZHI-II) </w:t>
            </w:r>
          </w:p>
        </w:tc>
        <w:tc>
          <w:tcPr>
            <w:tcW w:w="538" w:type="pct"/>
            <w:vAlign w:val="center"/>
            <w:hideMark/>
          </w:tcPr>
          <w:p w14:paraId="6EDD115F" w14:textId="77777777" w:rsidR="00193B62" w:rsidRPr="007114AF" w:rsidRDefault="00193B62" w:rsidP="00193B62">
            <w:pPr>
              <w:spacing w:after="0"/>
              <w:cnfStyle w:val="000000100000" w:firstRow="0" w:lastRow="0" w:firstColumn="0" w:lastColumn="0" w:oddVBand="0" w:evenVBand="0" w:oddHBand="1" w:evenHBand="0" w:firstRowFirstColumn="0" w:firstRowLastColumn="0" w:lastRowFirstColumn="0" w:lastRowLastColumn="0"/>
              <w:rPr>
                <w:rFonts w:ascii="Garamond" w:hAnsi="Garamond"/>
                <w:sz w:val="18"/>
                <w:szCs w:val="18"/>
              </w:rPr>
            </w:pPr>
            <w:r w:rsidRPr="007114AF">
              <w:rPr>
                <w:rFonts w:ascii="Garamond" w:hAnsi="Garamond"/>
                <w:sz w:val="18"/>
                <w:szCs w:val="18"/>
              </w:rPr>
              <w:t>2014-2020</w:t>
            </w:r>
          </w:p>
        </w:tc>
        <w:tc>
          <w:tcPr>
            <w:tcW w:w="1130" w:type="pct"/>
            <w:vAlign w:val="center"/>
            <w:hideMark/>
          </w:tcPr>
          <w:p w14:paraId="6EDD1160" w14:textId="77777777" w:rsidR="00193B62" w:rsidRPr="007114AF" w:rsidRDefault="00193B62" w:rsidP="00193B62">
            <w:pPr>
              <w:spacing w:after="0"/>
              <w:cnfStyle w:val="000000100000" w:firstRow="0" w:lastRow="0" w:firstColumn="0" w:lastColumn="0" w:oddVBand="0" w:evenVBand="0" w:oddHBand="1" w:evenHBand="0" w:firstRowFirstColumn="0" w:firstRowLastColumn="0" w:lastRowFirstColumn="0" w:lastRowLastColumn="0"/>
              <w:rPr>
                <w:rFonts w:ascii="Garamond" w:hAnsi="Garamond"/>
                <w:sz w:val="18"/>
                <w:szCs w:val="18"/>
              </w:rPr>
            </w:pPr>
            <w:r w:rsidRPr="007114AF">
              <w:rPr>
                <w:rFonts w:ascii="Garamond" w:hAnsi="Garamond"/>
                <w:sz w:val="18"/>
                <w:szCs w:val="18"/>
              </w:rPr>
              <w:t>DDFFA- Departamenti i Financimeve t</w:t>
            </w:r>
            <w:r w:rsidRPr="007114AF">
              <w:rPr>
                <w:rFonts w:ascii="Garamond" w:hAnsi="Garamond" w:cstheme="minorHAnsi"/>
                <w:sz w:val="18"/>
                <w:szCs w:val="18"/>
              </w:rPr>
              <w:t>ë Zhvillimit dhe Ndihmës së Huaj</w:t>
            </w:r>
          </w:p>
        </w:tc>
        <w:tc>
          <w:tcPr>
            <w:tcW w:w="1301" w:type="pct"/>
            <w:vAlign w:val="center"/>
            <w:hideMark/>
          </w:tcPr>
          <w:p w14:paraId="6EDD1161" w14:textId="77777777" w:rsidR="00193B62" w:rsidRPr="007114AF" w:rsidRDefault="00193B62" w:rsidP="00193B62">
            <w:pPr>
              <w:spacing w:after="0"/>
              <w:cnfStyle w:val="000000100000" w:firstRow="0" w:lastRow="0" w:firstColumn="0" w:lastColumn="0" w:oddVBand="0" w:evenVBand="0" w:oddHBand="1" w:evenHBand="0" w:firstRowFirstColumn="0" w:firstRowLastColumn="0" w:lastRowFirstColumn="0" w:lastRowLastColumn="0"/>
              <w:rPr>
                <w:rFonts w:ascii="Garamond" w:hAnsi="Garamond"/>
                <w:sz w:val="18"/>
                <w:szCs w:val="18"/>
              </w:rPr>
            </w:pPr>
            <w:r w:rsidRPr="007114AF">
              <w:rPr>
                <w:rFonts w:ascii="Garamond" w:hAnsi="Garamond"/>
                <w:sz w:val="18"/>
                <w:szCs w:val="18"/>
              </w:rPr>
              <w:t>Raportim vjetor (metodologjia e p</w:t>
            </w:r>
            <w:r w:rsidRPr="007114AF">
              <w:rPr>
                <w:rFonts w:ascii="Garamond" w:hAnsi="Garamond" w:cstheme="minorHAnsi"/>
                <w:sz w:val="18"/>
                <w:szCs w:val="18"/>
              </w:rPr>
              <w:t xml:space="preserve">ërshkruar në </w:t>
            </w:r>
            <w:r w:rsidRPr="007114AF">
              <w:rPr>
                <w:rFonts w:ascii="Garamond" w:hAnsi="Garamond"/>
                <w:sz w:val="18"/>
                <w:szCs w:val="18"/>
              </w:rPr>
              <w:t>SKZHI II)</w:t>
            </w:r>
          </w:p>
        </w:tc>
      </w:tr>
      <w:tr w:rsidR="00193B62" w:rsidRPr="007114AF" w14:paraId="6EDD1167" w14:textId="77777777" w:rsidTr="00574660">
        <w:trPr>
          <w:trHeight w:val="20"/>
        </w:trPr>
        <w:tc>
          <w:tcPr>
            <w:cnfStyle w:val="001000000000" w:firstRow="0" w:lastRow="0" w:firstColumn="1" w:lastColumn="0" w:oddVBand="0" w:evenVBand="0" w:oddHBand="0" w:evenHBand="0" w:firstRowFirstColumn="0" w:firstRowLastColumn="0" w:lastRowFirstColumn="0" w:lastRowLastColumn="0"/>
            <w:tcW w:w="2031" w:type="pct"/>
            <w:vAlign w:val="center"/>
            <w:hideMark/>
          </w:tcPr>
          <w:p w14:paraId="6EDD1163" w14:textId="77777777" w:rsidR="00193B62" w:rsidRPr="007114AF" w:rsidRDefault="00193B62" w:rsidP="00193B62">
            <w:pPr>
              <w:spacing w:after="0"/>
              <w:rPr>
                <w:rFonts w:ascii="Garamond" w:hAnsi="Garamond"/>
                <w:b w:val="0"/>
                <w:sz w:val="18"/>
                <w:szCs w:val="18"/>
              </w:rPr>
            </w:pPr>
            <w:r w:rsidRPr="007114AF">
              <w:rPr>
                <w:rFonts w:ascii="Garamond" w:hAnsi="Garamond"/>
                <w:sz w:val="18"/>
                <w:szCs w:val="18"/>
              </w:rPr>
              <w:t>NAMA: Zëvendësimi i lëndëve djegëse fosile me mbetje të parrezikshme në industrinë shqiptare të çimentos</w:t>
            </w:r>
          </w:p>
        </w:tc>
        <w:tc>
          <w:tcPr>
            <w:tcW w:w="538" w:type="pct"/>
            <w:vAlign w:val="center"/>
            <w:hideMark/>
          </w:tcPr>
          <w:p w14:paraId="6EDD1164" w14:textId="77777777" w:rsidR="00193B62" w:rsidRPr="007114AF" w:rsidRDefault="00193B62" w:rsidP="00193B62">
            <w:pPr>
              <w:spacing w:after="0"/>
              <w:cnfStyle w:val="000000000000" w:firstRow="0" w:lastRow="0" w:firstColumn="0" w:lastColumn="0" w:oddVBand="0" w:evenVBand="0" w:oddHBand="0" w:evenHBand="0" w:firstRowFirstColumn="0" w:firstRowLastColumn="0" w:lastRowFirstColumn="0" w:lastRowLastColumn="0"/>
              <w:rPr>
                <w:rFonts w:ascii="Garamond" w:hAnsi="Garamond"/>
                <w:sz w:val="18"/>
                <w:szCs w:val="18"/>
              </w:rPr>
            </w:pPr>
            <w:r w:rsidRPr="007114AF">
              <w:rPr>
                <w:rFonts w:ascii="Garamond" w:hAnsi="Garamond"/>
                <w:sz w:val="18"/>
                <w:szCs w:val="18"/>
              </w:rPr>
              <w:t>2015-2020</w:t>
            </w:r>
          </w:p>
        </w:tc>
        <w:tc>
          <w:tcPr>
            <w:tcW w:w="1130" w:type="pct"/>
            <w:vAlign w:val="center"/>
            <w:hideMark/>
          </w:tcPr>
          <w:p w14:paraId="6EDD1165" w14:textId="77777777" w:rsidR="00193B62" w:rsidRPr="007114AF" w:rsidRDefault="00193B62" w:rsidP="00193B62">
            <w:pPr>
              <w:spacing w:after="0"/>
              <w:cnfStyle w:val="000000000000" w:firstRow="0" w:lastRow="0" w:firstColumn="0" w:lastColumn="0" w:oddVBand="0" w:evenVBand="0" w:oddHBand="0" w:evenHBand="0" w:firstRowFirstColumn="0" w:firstRowLastColumn="0" w:lastRowFirstColumn="0" w:lastRowLastColumn="0"/>
              <w:rPr>
                <w:rFonts w:ascii="Garamond" w:hAnsi="Garamond"/>
                <w:sz w:val="18"/>
                <w:szCs w:val="18"/>
              </w:rPr>
            </w:pPr>
            <w:r w:rsidRPr="007114AF">
              <w:rPr>
                <w:rFonts w:ascii="Garamond" w:hAnsi="Garamond"/>
                <w:sz w:val="18"/>
                <w:szCs w:val="18"/>
              </w:rPr>
              <w:t>Ministria e Infrastrukturës dhe Energjisë</w:t>
            </w:r>
          </w:p>
        </w:tc>
        <w:tc>
          <w:tcPr>
            <w:tcW w:w="1301" w:type="pct"/>
            <w:vAlign w:val="center"/>
            <w:hideMark/>
          </w:tcPr>
          <w:p w14:paraId="6EDD1166" w14:textId="77777777" w:rsidR="00193B62" w:rsidRPr="007114AF" w:rsidRDefault="00193B62" w:rsidP="00193B62">
            <w:pPr>
              <w:spacing w:after="0"/>
              <w:cnfStyle w:val="000000000000" w:firstRow="0" w:lastRow="0" w:firstColumn="0" w:lastColumn="0" w:oddVBand="0" w:evenVBand="0" w:oddHBand="0" w:evenHBand="0" w:firstRowFirstColumn="0" w:firstRowLastColumn="0" w:lastRowFirstColumn="0" w:lastRowLastColumn="0"/>
              <w:rPr>
                <w:rFonts w:ascii="Garamond" w:hAnsi="Garamond"/>
                <w:sz w:val="18"/>
                <w:szCs w:val="18"/>
              </w:rPr>
            </w:pPr>
            <w:r w:rsidRPr="007114AF">
              <w:rPr>
                <w:rFonts w:ascii="Garamond" w:hAnsi="Garamond"/>
                <w:sz w:val="18"/>
                <w:szCs w:val="18"/>
              </w:rPr>
              <w:t>Raportim vjetor n</w:t>
            </w:r>
            <w:r w:rsidRPr="007114AF">
              <w:rPr>
                <w:rFonts w:ascii="Garamond" w:hAnsi="Garamond" w:cstheme="minorHAnsi"/>
                <w:sz w:val="18"/>
                <w:szCs w:val="18"/>
              </w:rPr>
              <w:t>ë</w:t>
            </w:r>
            <w:r w:rsidRPr="007114AF">
              <w:rPr>
                <w:rFonts w:ascii="Garamond" w:hAnsi="Garamond"/>
                <w:sz w:val="18"/>
                <w:szCs w:val="18"/>
              </w:rPr>
              <w:t xml:space="preserve"> procesin e MRV-ës</w:t>
            </w:r>
          </w:p>
        </w:tc>
      </w:tr>
      <w:tr w:rsidR="00193B62" w:rsidRPr="007114AF" w14:paraId="6EDD116C" w14:textId="77777777" w:rsidTr="00574660">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031" w:type="pct"/>
            <w:vAlign w:val="center"/>
            <w:hideMark/>
          </w:tcPr>
          <w:p w14:paraId="6EDD1168" w14:textId="2CAF8F57" w:rsidR="00193B62" w:rsidRPr="007114AF" w:rsidRDefault="00193B62" w:rsidP="00193B62">
            <w:pPr>
              <w:spacing w:after="0"/>
              <w:rPr>
                <w:rFonts w:ascii="Garamond" w:hAnsi="Garamond"/>
                <w:b w:val="0"/>
                <w:sz w:val="18"/>
                <w:szCs w:val="18"/>
              </w:rPr>
            </w:pPr>
            <w:r w:rsidRPr="007114AF">
              <w:rPr>
                <w:rFonts w:ascii="Garamond" w:hAnsi="Garamond" w:cstheme="minorHAnsi"/>
                <w:sz w:val="18"/>
                <w:szCs w:val="18"/>
              </w:rPr>
              <w:t>NAMA – Mekanizëm Financimi për</w:t>
            </w:r>
            <w:r w:rsidR="000A2A01" w:rsidRPr="007114AF">
              <w:rPr>
                <w:rFonts w:ascii="Garamond" w:hAnsi="Garamond" w:cstheme="minorHAnsi"/>
                <w:sz w:val="18"/>
                <w:szCs w:val="18"/>
              </w:rPr>
              <w:t xml:space="preserve"> </w:t>
            </w:r>
            <w:r w:rsidRPr="007114AF">
              <w:rPr>
                <w:rFonts w:ascii="Garamond" w:hAnsi="Garamond"/>
                <w:color w:val="000000"/>
                <w:sz w:val="18"/>
                <w:szCs w:val="18"/>
              </w:rPr>
              <w:t>Eficiencën</w:t>
            </w:r>
            <w:r w:rsidRPr="007114AF">
              <w:rPr>
                <w:rFonts w:ascii="Garamond" w:hAnsi="Garamond" w:cstheme="minorHAnsi"/>
                <w:sz w:val="18"/>
                <w:szCs w:val="18"/>
              </w:rPr>
              <w:t xml:space="preserve"> e Energjisë në Banesa</w:t>
            </w:r>
          </w:p>
        </w:tc>
        <w:tc>
          <w:tcPr>
            <w:tcW w:w="538" w:type="pct"/>
            <w:vAlign w:val="center"/>
            <w:hideMark/>
          </w:tcPr>
          <w:p w14:paraId="6EDD1169" w14:textId="77777777" w:rsidR="00193B62" w:rsidRPr="007114AF" w:rsidRDefault="00193B62" w:rsidP="00193B62">
            <w:pPr>
              <w:spacing w:after="0"/>
              <w:cnfStyle w:val="000000100000" w:firstRow="0" w:lastRow="0" w:firstColumn="0" w:lastColumn="0" w:oddVBand="0" w:evenVBand="0" w:oddHBand="1" w:evenHBand="0" w:firstRowFirstColumn="0" w:firstRowLastColumn="0" w:lastRowFirstColumn="0" w:lastRowLastColumn="0"/>
              <w:rPr>
                <w:rFonts w:ascii="Garamond" w:hAnsi="Garamond"/>
                <w:sz w:val="18"/>
                <w:szCs w:val="18"/>
              </w:rPr>
            </w:pPr>
            <w:r w:rsidRPr="007114AF">
              <w:rPr>
                <w:rFonts w:ascii="Garamond" w:hAnsi="Garamond"/>
                <w:sz w:val="18"/>
                <w:szCs w:val="18"/>
              </w:rPr>
              <w:t>2015-2020</w:t>
            </w:r>
          </w:p>
        </w:tc>
        <w:tc>
          <w:tcPr>
            <w:tcW w:w="1130" w:type="pct"/>
            <w:vAlign w:val="center"/>
            <w:hideMark/>
          </w:tcPr>
          <w:p w14:paraId="6EDD116A" w14:textId="2F0EE02C" w:rsidR="00193B62" w:rsidRPr="007114AF" w:rsidRDefault="00193B62" w:rsidP="00193B62">
            <w:pPr>
              <w:spacing w:after="0"/>
              <w:cnfStyle w:val="000000100000" w:firstRow="0" w:lastRow="0" w:firstColumn="0" w:lastColumn="0" w:oddVBand="0" w:evenVBand="0" w:oddHBand="1" w:evenHBand="0" w:firstRowFirstColumn="0" w:firstRowLastColumn="0" w:lastRowFirstColumn="0" w:lastRowLastColumn="0"/>
              <w:rPr>
                <w:rFonts w:ascii="Garamond" w:hAnsi="Garamond"/>
                <w:sz w:val="18"/>
                <w:szCs w:val="18"/>
              </w:rPr>
            </w:pPr>
            <w:r w:rsidRPr="007114AF">
              <w:rPr>
                <w:rFonts w:ascii="Garamond" w:hAnsi="Garamond"/>
                <w:sz w:val="18"/>
                <w:szCs w:val="18"/>
              </w:rPr>
              <w:t>Ministria e Infrastrukturës dhe Energjisë</w:t>
            </w:r>
            <w:r w:rsidRPr="007114AF" w:rsidDel="003801B4">
              <w:rPr>
                <w:rFonts w:ascii="Garamond" w:hAnsi="Garamond"/>
                <w:sz w:val="18"/>
                <w:szCs w:val="18"/>
              </w:rPr>
              <w:t xml:space="preserve"> </w:t>
            </w:r>
            <w:r w:rsidRPr="007114AF">
              <w:rPr>
                <w:rFonts w:ascii="Garamond" w:hAnsi="Garamond"/>
                <w:sz w:val="18"/>
                <w:szCs w:val="18"/>
              </w:rPr>
              <w:t>(n</w:t>
            </w:r>
            <w:r w:rsidRPr="007114AF">
              <w:rPr>
                <w:rFonts w:ascii="Garamond" w:hAnsi="Garamond" w:cstheme="minorHAnsi"/>
                <w:sz w:val="18"/>
                <w:szCs w:val="18"/>
              </w:rPr>
              <w:t>ën përgjegjësinë e Palës Zbatuese të</w:t>
            </w:r>
            <w:r w:rsidR="000A2A01" w:rsidRPr="007114AF">
              <w:rPr>
                <w:rFonts w:ascii="Garamond" w:hAnsi="Garamond" w:cstheme="minorHAnsi"/>
                <w:sz w:val="18"/>
                <w:szCs w:val="18"/>
              </w:rPr>
              <w:t xml:space="preserve"> </w:t>
            </w:r>
            <w:r w:rsidRPr="007114AF">
              <w:rPr>
                <w:rFonts w:ascii="Garamond" w:hAnsi="Garamond"/>
                <w:sz w:val="18"/>
                <w:szCs w:val="18"/>
              </w:rPr>
              <w:t>NAMA-s)</w:t>
            </w:r>
          </w:p>
        </w:tc>
        <w:tc>
          <w:tcPr>
            <w:tcW w:w="1301" w:type="pct"/>
            <w:vAlign w:val="center"/>
            <w:hideMark/>
          </w:tcPr>
          <w:p w14:paraId="6EDD116B" w14:textId="77777777" w:rsidR="00193B62" w:rsidRPr="007114AF" w:rsidRDefault="00193B62" w:rsidP="00193B62">
            <w:pPr>
              <w:spacing w:after="0"/>
              <w:cnfStyle w:val="000000100000" w:firstRow="0" w:lastRow="0" w:firstColumn="0" w:lastColumn="0" w:oddVBand="0" w:evenVBand="0" w:oddHBand="1" w:evenHBand="0" w:firstRowFirstColumn="0" w:firstRowLastColumn="0" w:lastRowFirstColumn="0" w:lastRowLastColumn="0"/>
              <w:rPr>
                <w:rFonts w:ascii="Garamond" w:hAnsi="Garamond"/>
                <w:sz w:val="18"/>
                <w:szCs w:val="18"/>
              </w:rPr>
            </w:pPr>
            <w:r w:rsidRPr="007114AF">
              <w:rPr>
                <w:rFonts w:ascii="Garamond" w:hAnsi="Garamond"/>
                <w:sz w:val="18"/>
                <w:szCs w:val="18"/>
              </w:rPr>
              <w:t>Raportim vjetor n</w:t>
            </w:r>
            <w:r w:rsidRPr="007114AF">
              <w:rPr>
                <w:rFonts w:ascii="Garamond" w:hAnsi="Garamond" w:cstheme="minorHAnsi"/>
                <w:sz w:val="18"/>
                <w:szCs w:val="18"/>
              </w:rPr>
              <w:t>ë</w:t>
            </w:r>
            <w:r w:rsidRPr="007114AF">
              <w:rPr>
                <w:rFonts w:ascii="Garamond" w:hAnsi="Garamond"/>
                <w:sz w:val="18"/>
                <w:szCs w:val="18"/>
              </w:rPr>
              <w:t xml:space="preserve"> procesin e MRV-ës</w:t>
            </w:r>
          </w:p>
        </w:tc>
      </w:tr>
      <w:tr w:rsidR="00193B62" w:rsidRPr="007114AF" w14:paraId="6EDD1171" w14:textId="77777777" w:rsidTr="00574660">
        <w:trPr>
          <w:trHeight w:val="20"/>
        </w:trPr>
        <w:tc>
          <w:tcPr>
            <w:cnfStyle w:val="001000000000" w:firstRow="0" w:lastRow="0" w:firstColumn="1" w:lastColumn="0" w:oddVBand="0" w:evenVBand="0" w:oddHBand="0" w:evenHBand="0" w:firstRowFirstColumn="0" w:firstRowLastColumn="0" w:lastRowFirstColumn="0" w:lastRowLastColumn="0"/>
            <w:tcW w:w="2031" w:type="pct"/>
            <w:vAlign w:val="center"/>
            <w:hideMark/>
          </w:tcPr>
          <w:p w14:paraId="6EDD116D" w14:textId="61866388" w:rsidR="00193B62" w:rsidRPr="007114AF" w:rsidRDefault="00193B62" w:rsidP="00193B62">
            <w:pPr>
              <w:spacing w:after="0"/>
              <w:rPr>
                <w:rFonts w:ascii="Garamond" w:hAnsi="Garamond"/>
                <w:b w:val="0"/>
                <w:sz w:val="18"/>
                <w:szCs w:val="18"/>
              </w:rPr>
            </w:pPr>
            <w:r w:rsidRPr="007114AF">
              <w:rPr>
                <w:rFonts w:ascii="Garamond" w:hAnsi="Garamond"/>
                <w:sz w:val="18"/>
                <w:szCs w:val="18"/>
              </w:rPr>
              <w:t>Plani i Parë i Veprimit në Nivel Kombëtar mbi</w:t>
            </w:r>
            <w:r w:rsidR="000A2A01" w:rsidRPr="007114AF">
              <w:rPr>
                <w:rFonts w:ascii="Garamond" w:hAnsi="Garamond"/>
                <w:sz w:val="18"/>
                <w:szCs w:val="18"/>
              </w:rPr>
              <w:t xml:space="preserve"> </w:t>
            </w:r>
            <w:r w:rsidRPr="007114AF">
              <w:rPr>
                <w:rFonts w:ascii="Garamond" w:hAnsi="Garamond"/>
                <w:color w:val="000000"/>
                <w:sz w:val="18"/>
                <w:szCs w:val="18"/>
              </w:rPr>
              <w:t>Eficiencën</w:t>
            </w:r>
            <w:r w:rsidRPr="007114AF">
              <w:rPr>
                <w:rFonts w:ascii="Garamond" w:hAnsi="Garamond"/>
                <w:sz w:val="18"/>
                <w:szCs w:val="18"/>
              </w:rPr>
              <w:t xml:space="preserve"> e Energjisë </w:t>
            </w:r>
          </w:p>
        </w:tc>
        <w:tc>
          <w:tcPr>
            <w:tcW w:w="538" w:type="pct"/>
            <w:noWrap/>
            <w:vAlign w:val="center"/>
            <w:hideMark/>
          </w:tcPr>
          <w:p w14:paraId="6EDD116E" w14:textId="77777777" w:rsidR="00193B62" w:rsidRPr="007114AF" w:rsidRDefault="00193B62" w:rsidP="00193B62">
            <w:pPr>
              <w:spacing w:after="0"/>
              <w:cnfStyle w:val="000000000000" w:firstRow="0" w:lastRow="0" w:firstColumn="0" w:lastColumn="0" w:oddVBand="0" w:evenVBand="0" w:oddHBand="0" w:evenHBand="0" w:firstRowFirstColumn="0" w:firstRowLastColumn="0" w:lastRowFirstColumn="0" w:lastRowLastColumn="0"/>
              <w:rPr>
                <w:rFonts w:ascii="Garamond" w:hAnsi="Garamond"/>
                <w:sz w:val="18"/>
                <w:szCs w:val="18"/>
              </w:rPr>
            </w:pPr>
            <w:r w:rsidRPr="007114AF">
              <w:rPr>
                <w:rFonts w:ascii="Garamond" w:hAnsi="Garamond"/>
                <w:sz w:val="18"/>
                <w:szCs w:val="18"/>
              </w:rPr>
              <w:t>2010-2018</w:t>
            </w:r>
          </w:p>
        </w:tc>
        <w:tc>
          <w:tcPr>
            <w:tcW w:w="1130" w:type="pct"/>
            <w:vAlign w:val="center"/>
            <w:hideMark/>
          </w:tcPr>
          <w:p w14:paraId="6EDD116F" w14:textId="77777777" w:rsidR="00193B62" w:rsidRPr="007114AF" w:rsidRDefault="00193B62" w:rsidP="00193B62">
            <w:pPr>
              <w:spacing w:after="0"/>
              <w:cnfStyle w:val="000000000000" w:firstRow="0" w:lastRow="0" w:firstColumn="0" w:lastColumn="0" w:oddVBand="0" w:evenVBand="0" w:oddHBand="0" w:evenHBand="0" w:firstRowFirstColumn="0" w:firstRowLastColumn="0" w:lastRowFirstColumn="0" w:lastRowLastColumn="0"/>
              <w:rPr>
                <w:rFonts w:ascii="Garamond" w:hAnsi="Garamond"/>
                <w:sz w:val="18"/>
                <w:szCs w:val="18"/>
              </w:rPr>
            </w:pPr>
            <w:r w:rsidRPr="007114AF">
              <w:rPr>
                <w:rFonts w:ascii="Garamond" w:hAnsi="Garamond"/>
                <w:sz w:val="18"/>
                <w:szCs w:val="18"/>
              </w:rPr>
              <w:t>Ministria e Infrastrukturës dhe Energjisë</w:t>
            </w:r>
          </w:p>
        </w:tc>
        <w:tc>
          <w:tcPr>
            <w:tcW w:w="1301" w:type="pct"/>
            <w:noWrap/>
            <w:vAlign w:val="center"/>
            <w:hideMark/>
          </w:tcPr>
          <w:p w14:paraId="6EDD1170" w14:textId="77777777" w:rsidR="00193B62" w:rsidRPr="007114AF" w:rsidRDefault="00193B62" w:rsidP="00193B62">
            <w:pPr>
              <w:spacing w:after="0"/>
              <w:cnfStyle w:val="000000000000" w:firstRow="0" w:lastRow="0" w:firstColumn="0" w:lastColumn="0" w:oddVBand="0" w:evenVBand="0" w:oddHBand="0" w:evenHBand="0" w:firstRowFirstColumn="0" w:firstRowLastColumn="0" w:lastRowFirstColumn="0" w:lastRowLastColumn="0"/>
              <w:rPr>
                <w:rFonts w:ascii="Garamond" w:hAnsi="Garamond"/>
                <w:sz w:val="18"/>
                <w:szCs w:val="18"/>
              </w:rPr>
            </w:pPr>
            <w:r w:rsidRPr="007114AF">
              <w:rPr>
                <w:rFonts w:ascii="Garamond" w:hAnsi="Garamond"/>
                <w:sz w:val="18"/>
                <w:szCs w:val="18"/>
              </w:rPr>
              <w:t>Raportim vjetor sipas Planit</w:t>
            </w:r>
          </w:p>
        </w:tc>
      </w:tr>
      <w:tr w:rsidR="00193B62" w:rsidRPr="007114AF" w14:paraId="6EDD1176" w14:textId="77777777" w:rsidTr="00574660">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031" w:type="pct"/>
            <w:vAlign w:val="center"/>
            <w:hideMark/>
          </w:tcPr>
          <w:p w14:paraId="6EDD1172" w14:textId="77777777" w:rsidR="00193B62" w:rsidRPr="007114AF" w:rsidRDefault="00193B62" w:rsidP="00193B62">
            <w:pPr>
              <w:spacing w:after="0"/>
              <w:rPr>
                <w:rFonts w:ascii="Garamond" w:hAnsi="Garamond"/>
                <w:b w:val="0"/>
                <w:sz w:val="18"/>
                <w:szCs w:val="18"/>
              </w:rPr>
            </w:pPr>
            <w:r w:rsidRPr="007114AF">
              <w:rPr>
                <w:rFonts w:ascii="Garamond" w:hAnsi="Garamond"/>
                <w:color w:val="000000"/>
                <w:sz w:val="18"/>
                <w:szCs w:val="18"/>
              </w:rPr>
              <w:t>Plani i Veprimit (BER) mbi Burimet e Energjisë së Rinovueshme në Shqip</w:t>
            </w:r>
            <w:r w:rsidRPr="007114AF">
              <w:rPr>
                <w:rFonts w:ascii="Garamond" w:hAnsi="Garamond" w:cstheme="minorHAnsi"/>
                <w:color w:val="000000"/>
                <w:sz w:val="18"/>
                <w:szCs w:val="18"/>
              </w:rPr>
              <w:t>ë</w:t>
            </w:r>
            <w:r w:rsidRPr="007114AF">
              <w:rPr>
                <w:rFonts w:ascii="Garamond" w:hAnsi="Garamond"/>
                <w:color w:val="000000"/>
                <w:sz w:val="18"/>
                <w:szCs w:val="18"/>
              </w:rPr>
              <w:t>ri</w:t>
            </w:r>
          </w:p>
        </w:tc>
        <w:tc>
          <w:tcPr>
            <w:tcW w:w="538" w:type="pct"/>
            <w:noWrap/>
            <w:vAlign w:val="center"/>
            <w:hideMark/>
          </w:tcPr>
          <w:p w14:paraId="6EDD1173" w14:textId="77777777" w:rsidR="00193B62" w:rsidRPr="007114AF" w:rsidRDefault="00193B62" w:rsidP="00193B62">
            <w:pPr>
              <w:spacing w:after="0"/>
              <w:cnfStyle w:val="000000100000" w:firstRow="0" w:lastRow="0" w:firstColumn="0" w:lastColumn="0" w:oddVBand="0" w:evenVBand="0" w:oddHBand="1" w:evenHBand="0" w:firstRowFirstColumn="0" w:firstRowLastColumn="0" w:lastRowFirstColumn="0" w:lastRowLastColumn="0"/>
              <w:rPr>
                <w:rFonts w:ascii="Garamond" w:hAnsi="Garamond"/>
                <w:sz w:val="18"/>
                <w:szCs w:val="18"/>
              </w:rPr>
            </w:pPr>
            <w:r w:rsidRPr="007114AF">
              <w:rPr>
                <w:rFonts w:ascii="Garamond" w:hAnsi="Garamond"/>
                <w:sz w:val="18"/>
                <w:szCs w:val="18"/>
              </w:rPr>
              <w:t>2015-2020</w:t>
            </w:r>
          </w:p>
        </w:tc>
        <w:tc>
          <w:tcPr>
            <w:tcW w:w="1130" w:type="pct"/>
            <w:noWrap/>
            <w:vAlign w:val="center"/>
            <w:hideMark/>
          </w:tcPr>
          <w:p w14:paraId="6EDD1174" w14:textId="77777777" w:rsidR="00193B62" w:rsidRPr="007114AF" w:rsidRDefault="00193B62" w:rsidP="00193B62">
            <w:pPr>
              <w:spacing w:after="0"/>
              <w:cnfStyle w:val="000000100000" w:firstRow="0" w:lastRow="0" w:firstColumn="0" w:lastColumn="0" w:oddVBand="0" w:evenVBand="0" w:oddHBand="1" w:evenHBand="0" w:firstRowFirstColumn="0" w:firstRowLastColumn="0" w:lastRowFirstColumn="0" w:lastRowLastColumn="0"/>
              <w:rPr>
                <w:rFonts w:ascii="Garamond" w:hAnsi="Garamond"/>
                <w:sz w:val="18"/>
                <w:szCs w:val="18"/>
              </w:rPr>
            </w:pPr>
            <w:r w:rsidRPr="007114AF">
              <w:rPr>
                <w:rFonts w:ascii="Garamond" w:hAnsi="Garamond"/>
                <w:sz w:val="18"/>
                <w:szCs w:val="18"/>
              </w:rPr>
              <w:t>Ministria e Infrastrukturës dhe Energjisë</w:t>
            </w:r>
          </w:p>
        </w:tc>
        <w:tc>
          <w:tcPr>
            <w:tcW w:w="1301" w:type="pct"/>
            <w:noWrap/>
            <w:vAlign w:val="center"/>
            <w:hideMark/>
          </w:tcPr>
          <w:p w14:paraId="6EDD1175" w14:textId="77777777" w:rsidR="00193B62" w:rsidRPr="007114AF" w:rsidRDefault="00193B62" w:rsidP="00193B62">
            <w:pPr>
              <w:spacing w:after="0"/>
              <w:cnfStyle w:val="000000100000" w:firstRow="0" w:lastRow="0" w:firstColumn="0" w:lastColumn="0" w:oddVBand="0" w:evenVBand="0" w:oddHBand="1" w:evenHBand="0" w:firstRowFirstColumn="0" w:firstRowLastColumn="0" w:lastRowFirstColumn="0" w:lastRowLastColumn="0"/>
              <w:rPr>
                <w:rFonts w:ascii="Garamond" w:hAnsi="Garamond"/>
                <w:sz w:val="18"/>
                <w:szCs w:val="18"/>
              </w:rPr>
            </w:pPr>
            <w:r w:rsidRPr="007114AF">
              <w:rPr>
                <w:rFonts w:ascii="Garamond" w:hAnsi="Garamond"/>
                <w:sz w:val="18"/>
                <w:szCs w:val="18"/>
              </w:rPr>
              <w:t>Raportim vjetor sipas Planit</w:t>
            </w:r>
          </w:p>
        </w:tc>
      </w:tr>
      <w:tr w:rsidR="00193B62" w:rsidRPr="007114AF" w14:paraId="6EDD117B" w14:textId="77777777" w:rsidTr="00574660">
        <w:trPr>
          <w:trHeight w:val="20"/>
        </w:trPr>
        <w:tc>
          <w:tcPr>
            <w:cnfStyle w:val="001000000000" w:firstRow="0" w:lastRow="0" w:firstColumn="1" w:lastColumn="0" w:oddVBand="0" w:evenVBand="0" w:oddHBand="0" w:evenHBand="0" w:firstRowFirstColumn="0" w:firstRowLastColumn="0" w:lastRowFirstColumn="0" w:lastRowLastColumn="0"/>
            <w:tcW w:w="2031" w:type="pct"/>
            <w:vAlign w:val="center"/>
            <w:hideMark/>
          </w:tcPr>
          <w:p w14:paraId="6EDD1177" w14:textId="77777777" w:rsidR="00193B62" w:rsidRPr="007114AF" w:rsidRDefault="00193B62" w:rsidP="00193B62">
            <w:pPr>
              <w:spacing w:after="0"/>
              <w:rPr>
                <w:rFonts w:ascii="Garamond" w:hAnsi="Garamond"/>
                <w:b w:val="0"/>
                <w:sz w:val="18"/>
                <w:szCs w:val="18"/>
              </w:rPr>
            </w:pPr>
            <w:r w:rsidRPr="007114AF">
              <w:rPr>
                <w:rFonts w:ascii="Garamond" w:hAnsi="Garamond"/>
                <w:sz w:val="18"/>
                <w:szCs w:val="18"/>
              </w:rPr>
              <w:t>Strategjia Ndërsektoriale për Zhvillimin e Bujqësisë dhe atë Rural (SNBZHR)</w:t>
            </w:r>
          </w:p>
        </w:tc>
        <w:tc>
          <w:tcPr>
            <w:tcW w:w="538" w:type="pct"/>
            <w:vAlign w:val="center"/>
            <w:hideMark/>
          </w:tcPr>
          <w:p w14:paraId="6EDD1178" w14:textId="77777777" w:rsidR="00193B62" w:rsidRPr="007114AF" w:rsidRDefault="00193B62" w:rsidP="00193B62">
            <w:pPr>
              <w:spacing w:after="0"/>
              <w:cnfStyle w:val="000000000000" w:firstRow="0" w:lastRow="0" w:firstColumn="0" w:lastColumn="0" w:oddVBand="0" w:evenVBand="0" w:oddHBand="0" w:evenHBand="0" w:firstRowFirstColumn="0" w:firstRowLastColumn="0" w:lastRowFirstColumn="0" w:lastRowLastColumn="0"/>
              <w:rPr>
                <w:rFonts w:ascii="Garamond" w:hAnsi="Garamond"/>
                <w:sz w:val="18"/>
                <w:szCs w:val="18"/>
              </w:rPr>
            </w:pPr>
            <w:r w:rsidRPr="007114AF">
              <w:rPr>
                <w:rFonts w:ascii="Garamond" w:hAnsi="Garamond"/>
                <w:sz w:val="18"/>
                <w:szCs w:val="18"/>
              </w:rPr>
              <w:t>2013-2020</w:t>
            </w:r>
          </w:p>
        </w:tc>
        <w:tc>
          <w:tcPr>
            <w:tcW w:w="1130" w:type="pct"/>
            <w:noWrap/>
            <w:vAlign w:val="center"/>
            <w:hideMark/>
          </w:tcPr>
          <w:p w14:paraId="6EDD1179" w14:textId="77777777" w:rsidR="00193B62" w:rsidRPr="007114AF" w:rsidRDefault="00193B62" w:rsidP="00193B62">
            <w:pPr>
              <w:spacing w:after="0"/>
              <w:cnfStyle w:val="000000000000" w:firstRow="0" w:lastRow="0" w:firstColumn="0" w:lastColumn="0" w:oddVBand="0" w:evenVBand="0" w:oddHBand="0" w:evenHBand="0" w:firstRowFirstColumn="0" w:firstRowLastColumn="0" w:lastRowFirstColumn="0" w:lastRowLastColumn="0"/>
              <w:rPr>
                <w:rFonts w:ascii="Garamond" w:hAnsi="Garamond"/>
                <w:sz w:val="18"/>
                <w:szCs w:val="18"/>
              </w:rPr>
            </w:pPr>
            <w:r w:rsidRPr="007114AF">
              <w:rPr>
                <w:rFonts w:ascii="Garamond" w:hAnsi="Garamond"/>
                <w:sz w:val="18"/>
                <w:szCs w:val="18"/>
              </w:rPr>
              <w:t>Ministria e Bujq</w:t>
            </w:r>
            <w:r w:rsidRPr="007114AF">
              <w:rPr>
                <w:rFonts w:ascii="Garamond" w:hAnsi="Garamond" w:cstheme="minorHAnsi"/>
                <w:sz w:val="18"/>
                <w:szCs w:val="18"/>
              </w:rPr>
              <w:t>ësisë dhe Zhvillimit Rural</w:t>
            </w:r>
          </w:p>
        </w:tc>
        <w:tc>
          <w:tcPr>
            <w:tcW w:w="1301" w:type="pct"/>
            <w:vAlign w:val="center"/>
            <w:hideMark/>
          </w:tcPr>
          <w:p w14:paraId="6EDD117A" w14:textId="42A888B5" w:rsidR="00193B62" w:rsidRPr="007114AF" w:rsidRDefault="00193B62" w:rsidP="00193B62">
            <w:pPr>
              <w:spacing w:after="0"/>
              <w:cnfStyle w:val="000000000000" w:firstRow="0" w:lastRow="0" w:firstColumn="0" w:lastColumn="0" w:oddVBand="0" w:evenVBand="0" w:oddHBand="0" w:evenHBand="0" w:firstRowFirstColumn="0" w:firstRowLastColumn="0" w:lastRowFirstColumn="0" w:lastRowLastColumn="0"/>
              <w:rPr>
                <w:rFonts w:ascii="Garamond" w:hAnsi="Garamond"/>
                <w:sz w:val="18"/>
                <w:szCs w:val="18"/>
              </w:rPr>
            </w:pPr>
            <w:r w:rsidRPr="007114AF">
              <w:rPr>
                <w:rFonts w:ascii="Garamond" w:hAnsi="Garamond"/>
                <w:sz w:val="18"/>
                <w:szCs w:val="18"/>
              </w:rPr>
              <w:t>Raportim vjetor sipas Vendimit t</w:t>
            </w:r>
            <w:r w:rsidRPr="007114AF">
              <w:rPr>
                <w:rFonts w:ascii="Garamond" w:hAnsi="Garamond" w:cstheme="minorHAnsi"/>
                <w:sz w:val="18"/>
                <w:szCs w:val="18"/>
              </w:rPr>
              <w:t>ë Kryeministrit</w:t>
            </w:r>
            <w:r w:rsidR="00242009" w:rsidRPr="007114AF">
              <w:rPr>
                <w:rFonts w:ascii="Garamond" w:hAnsi="Garamond"/>
                <w:sz w:val="18"/>
                <w:szCs w:val="18"/>
              </w:rPr>
              <w:t xml:space="preserve"> nr. </w:t>
            </w:r>
            <w:r w:rsidRPr="007114AF">
              <w:rPr>
                <w:rFonts w:ascii="Garamond" w:hAnsi="Garamond"/>
                <w:sz w:val="18"/>
                <w:szCs w:val="18"/>
              </w:rPr>
              <w:t>139, datë 1/07/2010</w:t>
            </w:r>
          </w:p>
        </w:tc>
      </w:tr>
      <w:tr w:rsidR="00193B62" w:rsidRPr="007114AF" w14:paraId="6EDD1180" w14:textId="77777777" w:rsidTr="00574660">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031" w:type="pct"/>
            <w:vAlign w:val="center"/>
            <w:hideMark/>
          </w:tcPr>
          <w:p w14:paraId="6EDD117C" w14:textId="5F7345D6" w:rsidR="00193B62" w:rsidRPr="007114AF" w:rsidRDefault="00193B62" w:rsidP="00193B62">
            <w:pPr>
              <w:spacing w:after="0"/>
              <w:rPr>
                <w:rFonts w:ascii="Garamond" w:hAnsi="Garamond"/>
                <w:b w:val="0"/>
                <w:sz w:val="18"/>
                <w:szCs w:val="18"/>
              </w:rPr>
            </w:pPr>
            <w:r w:rsidRPr="007114AF">
              <w:rPr>
                <w:rFonts w:ascii="Garamond" w:hAnsi="Garamond"/>
                <w:sz w:val="18"/>
                <w:szCs w:val="18"/>
              </w:rPr>
              <w:t xml:space="preserve">Programi i Zhvillimit Rural </w:t>
            </w:r>
            <w:r w:rsidR="00C6608F" w:rsidRPr="007114AF">
              <w:rPr>
                <w:rFonts w:ascii="Garamond" w:hAnsi="Garamond"/>
                <w:sz w:val="18"/>
                <w:szCs w:val="18"/>
              </w:rPr>
              <w:t>2014–2020</w:t>
            </w:r>
            <w:r w:rsidRPr="007114AF">
              <w:rPr>
                <w:rFonts w:ascii="Garamond" w:hAnsi="Garamond"/>
                <w:sz w:val="18"/>
                <w:szCs w:val="18"/>
              </w:rPr>
              <w:t>në kuadrin e Instrumentit të Asistencës Paraanëtarësim (IPARD)</w:t>
            </w:r>
          </w:p>
        </w:tc>
        <w:tc>
          <w:tcPr>
            <w:tcW w:w="538" w:type="pct"/>
            <w:vAlign w:val="center"/>
            <w:hideMark/>
          </w:tcPr>
          <w:p w14:paraId="6EDD117D" w14:textId="77777777" w:rsidR="00193B62" w:rsidRPr="007114AF" w:rsidRDefault="00193B62" w:rsidP="00193B62">
            <w:pPr>
              <w:spacing w:after="0"/>
              <w:cnfStyle w:val="000000100000" w:firstRow="0" w:lastRow="0" w:firstColumn="0" w:lastColumn="0" w:oddVBand="0" w:evenVBand="0" w:oddHBand="1" w:evenHBand="0" w:firstRowFirstColumn="0" w:firstRowLastColumn="0" w:lastRowFirstColumn="0" w:lastRowLastColumn="0"/>
              <w:rPr>
                <w:rFonts w:ascii="Garamond" w:hAnsi="Garamond"/>
                <w:sz w:val="18"/>
                <w:szCs w:val="18"/>
              </w:rPr>
            </w:pPr>
            <w:r w:rsidRPr="007114AF">
              <w:rPr>
                <w:rFonts w:ascii="Garamond" w:hAnsi="Garamond"/>
                <w:sz w:val="18"/>
                <w:szCs w:val="18"/>
              </w:rPr>
              <w:t>2014-2020</w:t>
            </w:r>
          </w:p>
        </w:tc>
        <w:tc>
          <w:tcPr>
            <w:tcW w:w="1130" w:type="pct"/>
            <w:vAlign w:val="center"/>
            <w:hideMark/>
          </w:tcPr>
          <w:p w14:paraId="6EDD117E" w14:textId="77777777" w:rsidR="00193B62" w:rsidRPr="007114AF" w:rsidRDefault="00193B62" w:rsidP="00193B62">
            <w:pPr>
              <w:spacing w:after="0"/>
              <w:cnfStyle w:val="000000100000" w:firstRow="0" w:lastRow="0" w:firstColumn="0" w:lastColumn="0" w:oddVBand="0" w:evenVBand="0" w:oddHBand="1" w:evenHBand="0" w:firstRowFirstColumn="0" w:firstRowLastColumn="0" w:lastRowFirstColumn="0" w:lastRowLastColumn="0"/>
              <w:rPr>
                <w:rFonts w:ascii="Garamond" w:hAnsi="Garamond"/>
                <w:sz w:val="18"/>
                <w:szCs w:val="18"/>
              </w:rPr>
            </w:pPr>
            <w:r w:rsidRPr="007114AF">
              <w:rPr>
                <w:rFonts w:ascii="Garamond" w:hAnsi="Garamond"/>
                <w:sz w:val="18"/>
                <w:szCs w:val="18"/>
              </w:rPr>
              <w:t>Ministria e Bujq</w:t>
            </w:r>
            <w:r w:rsidRPr="007114AF">
              <w:rPr>
                <w:rFonts w:ascii="Garamond" w:hAnsi="Garamond" w:cstheme="minorHAnsi"/>
                <w:sz w:val="18"/>
                <w:szCs w:val="18"/>
              </w:rPr>
              <w:t>ësisë dhe Zhvillimit Rural</w:t>
            </w:r>
          </w:p>
        </w:tc>
        <w:tc>
          <w:tcPr>
            <w:tcW w:w="1301" w:type="pct"/>
            <w:vAlign w:val="center"/>
            <w:hideMark/>
          </w:tcPr>
          <w:p w14:paraId="6EDD117F" w14:textId="77777777" w:rsidR="00193B62" w:rsidRPr="007114AF" w:rsidRDefault="00193B62" w:rsidP="00193B62">
            <w:pPr>
              <w:spacing w:after="0"/>
              <w:cnfStyle w:val="000000100000" w:firstRow="0" w:lastRow="0" w:firstColumn="0" w:lastColumn="0" w:oddVBand="0" w:evenVBand="0" w:oddHBand="1" w:evenHBand="0" w:firstRowFirstColumn="0" w:firstRowLastColumn="0" w:lastRowFirstColumn="0" w:lastRowLastColumn="0"/>
              <w:rPr>
                <w:rFonts w:ascii="Garamond" w:hAnsi="Garamond"/>
                <w:sz w:val="18"/>
                <w:szCs w:val="18"/>
              </w:rPr>
            </w:pPr>
            <w:r w:rsidRPr="007114AF">
              <w:rPr>
                <w:rFonts w:ascii="Garamond" w:hAnsi="Garamond"/>
                <w:sz w:val="18"/>
                <w:szCs w:val="18"/>
              </w:rPr>
              <w:t>Raportim vjetor (metodologjia e përshkruar në këtë dokument)</w:t>
            </w:r>
          </w:p>
        </w:tc>
      </w:tr>
      <w:tr w:rsidR="00193B62" w:rsidRPr="007114AF" w14:paraId="6EDD1185" w14:textId="77777777" w:rsidTr="00574660">
        <w:trPr>
          <w:trHeight w:val="20"/>
        </w:trPr>
        <w:tc>
          <w:tcPr>
            <w:cnfStyle w:val="001000000000" w:firstRow="0" w:lastRow="0" w:firstColumn="1" w:lastColumn="0" w:oddVBand="0" w:evenVBand="0" w:oddHBand="0" w:evenHBand="0" w:firstRowFirstColumn="0" w:firstRowLastColumn="0" w:lastRowFirstColumn="0" w:lastRowLastColumn="0"/>
            <w:tcW w:w="2031" w:type="pct"/>
            <w:vAlign w:val="center"/>
            <w:hideMark/>
          </w:tcPr>
          <w:p w14:paraId="6EDD1181" w14:textId="77777777" w:rsidR="00193B62" w:rsidRPr="007114AF" w:rsidRDefault="00193B62" w:rsidP="00193B62">
            <w:pPr>
              <w:spacing w:after="0"/>
              <w:rPr>
                <w:rFonts w:ascii="Garamond" w:hAnsi="Garamond"/>
                <w:b w:val="0"/>
                <w:sz w:val="18"/>
                <w:szCs w:val="18"/>
              </w:rPr>
            </w:pPr>
            <w:r w:rsidRPr="007114AF">
              <w:rPr>
                <w:rFonts w:ascii="Garamond" w:hAnsi="Garamond"/>
                <w:sz w:val="18"/>
                <w:szCs w:val="18"/>
              </w:rPr>
              <w:t>Dokument i politikave Strategjike p</w:t>
            </w:r>
            <w:r w:rsidRPr="007114AF">
              <w:rPr>
                <w:rFonts w:ascii="Garamond" w:hAnsi="Garamond" w:cstheme="minorHAnsi"/>
                <w:sz w:val="18"/>
                <w:szCs w:val="18"/>
              </w:rPr>
              <w:t>ë</w:t>
            </w:r>
            <w:r w:rsidRPr="007114AF">
              <w:rPr>
                <w:rFonts w:ascii="Garamond" w:hAnsi="Garamond"/>
                <w:sz w:val="18"/>
                <w:szCs w:val="18"/>
              </w:rPr>
              <w:t>r Mbrojtjen e Biodiversitetit (DPSMB)</w:t>
            </w:r>
          </w:p>
        </w:tc>
        <w:tc>
          <w:tcPr>
            <w:tcW w:w="538" w:type="pct"/>
            <w:vAlign w:val="center"/>
            <w:hideMark/>
          </w:tcPr>
          <w:p w14:paraId="6EDD1182" w14:textId="77777777" w:rsidR="00193B62" w:rsidRPr="007114AF" w:rsidRDefault="00193B62" w:rsidP="00193B62">
            <w:pPr>
              <w:spacing w:after="0"/>
              <w:cnfStyle w:val="000000000000" w:firstRow="0" w:lastRow="0" w:firstColumn="0" w:lastColumn="0" w:oddVBand="0" w:evenVBand="0" w:oddHBand="0" w:evenHBand="0" w:firstRowFirstColumn="0" w:firstRowLastColumn="0" w:lastRowFirstColumn="0" w:lastRowLastColumn="0"/>
              <w:rPr>
                <w:rFonts w:ascii="Garamond" w:hAnsi="Garamond"/>
                <w:sz w:val="18"/>
                <w:szCs w:val="18"/>
              </w:rPr>
            </w:pPr>
            <w:r w:rsidRPr="007114AF">
              <w:rPr>
                <w:rFonts w:ascii="Garamond" w:hAnsi="Garamond"/>
                <w:sz w:val="18"/>
                <w:szCs w:val="18"/>
              </w:rPr>
              <w:t>2016-2020</w:t>
            </w:r>
          </w:p>
        </w:tc>
        <w:tc>
          <w:tcPr>
            <w:tcW w:w="1130" w:type="pct"/>
            <w:vAlign w:val="center"/>
            <w:hideMark/>
          </w:tcPr>
          <w:p w14:paraId="6EDD1183" w14:textId="77777777" w:rsidR="00193B62" w:rsidRPr="007114AF" w:rsidRDefault="00193B62" w:rsidP="00193B62">
            <w:pPr>
              <w:spacing w:after="0"/>
              <w:cnfStyle w:val="000000000000" w:firstRow="0" w:lastRow="0" w:firstColumn="0" w:lastColumn="0" w:oddVBand="0" w:evenVBand="0" w:oddHBand="0" w:evenHBand="0" w:firstRowFirstColumn="0" w:firstRowLastColumn="0" w:lastRowFirstColumn="0" w:lastRowLastColumn="0"/>
              <w:rPr>
                <w:rFonts w:ascii="Garamond" w:hAnsi="Garamond"/>
                <w:sz w:val="18"/>
                <w:szCs w:val="18"/>
              </w:rPr>
            </w:pPr>
            <w:r w:rsidRPr="007114AF">
              <w:rPr>
                <w:rFonts w:ascii="Garamond" w:hAnsi="Garamond"/>
                <w:sz w:val="18"/>
                <w:szCs w:val="18"/>
              </w:rPr>
              <w:t xml:space="preserve">Ministria e Turizmit dhe Mjedisit </w:t>
            </w:r>
          </w:p>
        </w:tc>
        <w:tc>
          <w:tcPr>
            <w:tcW w:w="1301" w:type="pct"/>
            <w:vAlign w:val="center"/>
            <w:hideMark/>
          </w:tcPr>
          <w:p w14:paraId="6EDD1184" w14:textId="77777777" w:rsidR="00193B62" w:rsidRPr="007114AF" w:rsidRDefault="00193B62" w:rsidP="00193B62">
            <w:pPr>
              <w:spacing w:after="0"/>
              <w:cnfStyle w:val="000000000000" w:firstRow="0" w:lastRow="0" w:firstColumn="0" w:lastColumn="0" w:oddVBand="0" w:evenVBand="0" w:oddHBand="0" w:evenHBand="0" w:firstRowFirstColumn="0" w:firstRowLastColumn="0" w:lastRowFirstColumn="0" w:lastRowLastColumn="0"/>
              <w:rPr>
                <w:rFonts w:ascii="Garamond" w:hAnsi="Garamond"/>
                <w:sz w:val="18"/>
                <w:szCs w:val="18"/>
              </w:rPr>
            </w:pPr>
            <w:r w:rsidRPr="007114AF">
              <w:rPr>
                <w:rFonts w:ascii="Garamond" w:hAnsi="Garamond"/>
                <w:sz w:val="18"/>
                <w:szCs w:val="18"/>
              </w:rPr>
              <w:t>Raportim vjetor (metodologjia e p</w:t>
            </w:r>
            <w:r w:rsidRPr="007114AF">
              <w:rPr>
                <w:rFonts w:ascii="Garamond" w:hAnsi="Garamond" w:cstheme="minorHAnsi"/>
                <w:sz w:val="18"/>
                <w:szCs w:val="18"/>
              </w:rPr>
              <w:t>ërshkruar në Plan</w:t>
            </w:r>
            <w:r w:rsidRPr="007114AF">
              <w:rPr>
                <w:rFonts w:ascii="Garamond" w:hAnsi="Garamond"/>
                <w:sz w:val="18"/>
                <w:szCs w:val="18"/>
              </w:rPr>
              <w:t>)</w:t>
            </w:r>
          </w:p>
        </w:tc>
      </w:tr>
      <w:tr w:rsidR="00193B62" w:rsidRPr="007114AF" w14:paraId="6EDD118A" w14:textId="77777777" w:rsidTr="00574660">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031" w:type="pct"/>
            <w:vAlign w:val="center"/>
            <w:hideMark/>
          </w:tcPr>
          <w:p w14:paraId="6EDD1186" w14:textId="77777777" w:rsidR="00193B62" w:rsidRPr="007114AF" w:rsidRDefault="00193B62" w:rsidP="00193B62">
            <w:pPr>
              <w:spacing w:after="0"/>
              <w:rPr>
                <w:rFonts w:ascii="Garamond" w:hAnsi="Garamond"/>
                <w:b w:val="0"/>
                <w:sz w:val="18"/>
                <w:szCs w:val="18"/>
              </w:rPr>
            </w:pPr>
            <w:r w:rsidRPr="007114AF">
              <w:rPr>
                <w:rFonts w:ascii="Garamond" w:hAnsi="Garamond"/>
                <w:sz w:val="18"/>
                <w:szCs w:val="18"/>
              </w:rPr>
              <w:t>Strategjia e Sektorit të Transportit dhe Plani i Veprimit (SSTPV)</w:t>
            </w:r>
          </w:p>
        </w:tc>
        <w:tc>
          <w:tcPr>
            <w:tcW w:w="538" w:type="pct"/>
            <w:noWrap/>
            <w:vAlign w:val="center"/>
            <w:hideMark/>
          </w:tcPr>
          <w:p w14:paraId="6EDD1187" w14:textId="77777777" w:rsidR="00193B62" w:rsidRPr="007114AF" w:rsidRDefault="00193B62" w:rsidP="00193B62">
            <w:pPr>
              <w:spacing w:after="0"/>
              <w:cnfStyle w:val="000000100000" w:firstRow="0" w:lastRow="0" w:firstColumn="0" w:lastColumn="0" w:oddVBand="0" w:evenVBand="0" w:oddHBand="1" w:evenHBand="0" w:firstRowFirstColumn="0" w:firstRowLastColumn="0" w:lastRowFirstColumn="0" w:lastRowLastColumn="0"/>
              <w:rPr>
                <w:rFonts w:ascii="Garamond" w:hAnsi="Garamond"/>
                <w:sz w:val="18"/>
                <w:szCs w:val="18"/>
              </w:rPr>
            </w:pPr>
            <w:r w:rsidRPr="007114AF">
              <w:rPr>
                <w:rFonts w:ascii="Garamond" w:hAnsi="Garamond"/>
                <w:sz w:val="18"/>
                <w:szCs w:val="18"/>
              </w:rPr>
              <w:t>2016-2020</w:t>
            </w:r>
          </w:p>
        </w:tc>
        <w:tc>
          <w:tcPr>
            <w:tcW w:w="1130" w:type="pct"/>
            <w:noWrap/>
            <w:vAlign w:val="center"/>
            <w:hideMark/>
          </w:tcPr>
          <w:p w14:paraId="6EDD1188" w14:textId="77777777" w:rsidR="00193B62" w:rsidRPr="007114AF" w:rsidRDefault="00193B62" w:rsidP="00193B62">
            <w:pPr>
              <w:spacing w:after="0"/>
              <w:cnfStyle w:val="000000100000" w:firstRow="0" w:lastRow="0" w:firstColumn="0" w:lastColumn="0" w:oddVBand="0" w:evenVBand="0" w:oddHBand="1" w:evenHBand="0" w:firstRowFirstColumn="0" w:firstRowLastColumn="0" w:lastRowFirstColumn="0" w:lastRowLastColumn="0"/>
              <w:rPr>
                <w:rFonts w:ascii="Garamond" w:hAnsi="Garamond"/>
                <w:sz w:val="18"/>
                <w:szCs w:val="18"/>
              </w:rPr>
            </w:pPr>
            <w:r w:rsidRPr="007114AF">
              <w:rPr>
                <w:rFonts w:ascii="Garamond" w:hAnsi="Garamond"/>
                <w:sz w:val="18"/>
                <w:szCs w:val="18"/>
              </w:rPr>
              <w:t>Ministria e Infrastrukturës dhe Energjisë</w:t>
            </w:r>
          </w:p>
        </w:tc>
        <w:tc>
          <w:tcPr>
            <w:tcW w:w="1301" w:type="pct"/>
            <w:noWrap/>
            <w:vAlign w:val="center"/>
            <w:hideMark/>
          </w:tcPr>
          <w:p w14:paraId="6EDD1189" w14:textId="77777777" w:rsidR="00193B62" w:rsidRPr="007114AF" w:rsidRDefault="00193B62" w:rsidP="00193B62">
            <w:pPr>
              <w:spacing w:after="0"/>
              <w:cnfStyle w:val="000000100000" w:firstRow="0" w:lastRow="0" w:firstColumn="0" w:lastColumn="0" w:oddVBand="0" w:evenVBand="0" w:oddHBand="1" w:evenHBand="0" w:firstRowFirstColumn="0" w:firstRowLastColumn="0" w:lastRowFirstColumn="0" w:lastRowLastColumn="0"/>
              <w:rPr>
                <w:rFonts w:ascii="Garamond" w:hAnsi="Garamond"/>
                <w:sz w:val="18"/>
                <w:szCs w:val="18"/>
              </w:rPr>
            </w:pPr>
            <w:r w:rsidRPr="007114AF">
              <w:rPr>
                <w:rFonts w:ascii="Garamond" w:hAnsi="Garamond"/>
                <w:sz w:val="18"/>
                <w:szCs w:val="18"/>
              </w:rPr>
              <w:t> n/a</w:t>
            </w:r>
          </w:p>
        </w:tc>
      </w:tr>
      <w:tr w:rsidR="00193B62" w:rsidRPr="007114AF" w14:paraId="6EDD118F" w14:textId="77777777" w:rsidTr="00574660">
        <w:trPr>
          <w:trHeight w:val="20"/>
        </w:trPr>
        <w:tc>
          <w:tcPr>
            <w:cnfStyle w:val="001000000000" w:firstRow="0" w:lastRow="0" w:firstColumn="1" w:lastColumn="0" w:oddVBand="0" w:evenVBand="0" w:oddHBand="0" w:evenHBand="0" w:firstRowFirstColumn="0" w:firstRowLastColumn="0" w:lastRowFirstColumn="0" w:lastRowLastColumn="0"/>
            <w:tcW w:w="2031" w:type="pct"/>
            <w:vAlign w:val="center"/>
            <w:hideMark/>
          </w:tcPr>
          <w:p w14:paraId="6EDD118B" w14:textId="77777777" w:rsidR="00193B62" w:rsidRPr="007114AF" w:rsidRDefault="00193B62" w:rsidP="00193B62">
            <w:pPr>
              <w:spacing w:after="0"/>
              <w:rPr>
                <w:rFonts w:ascii="Garamond" w:hAnsi="Garamond"/>
                <w:b w:val="0"/>
                <w:sz w:val="18"/>
                <w:szCs w:val="18"/>
              </w:rPr>
            </w:pPr>
            <w:r w:rsidRPr="007114AF">
              <w:rPr>
                <w:rFonts w:ascii="Garamond" w:hAnsi="Garamond"/>
                <w:sz w:val="18"/>
                <w:szCs w:val="18"/>
              </w:rPr>
              <w:t>Plani i Transportit t</w:t>
            </w:r>
            <w:r w:rsidRPr="007114AF">
              <w:rPr>
                <w:rFonts w:ascii="Garamond" w:hAnsi="Garamond" w:cstheme="minorHAnsi"/>
                <w:sz w:val="18"/>
                <w:szCs w:val="18"/>
              </w:rPr>
              <w:t>ë</w:t>
            </w:r>
            <w:r w:rsidRPr="007114AF">
              <w:rPr>
                <w:rFonts w:ascii="Garamond" w:hAnsi="Garamond"/>
                <w:sz w:val="18"/>
                <w:szCs w:val="18"/>
              </w:rPr>
              <w:t xml:space="preserve"> Qëndrueshëm (TECTQ) – Dokumenti bazë </w:t>
            </w:r>
          </w:p>
        </w:tc>
        <w:tc>
          <w:tcPr>
            <w:tcW w:w="538" w:type="pct"/>
            <w:noWrap/>
            <w:vAlign w:val="center"/>
            <w:hideMark/>
          </w:tcPr>
          <w:p w14:paraId="6EDD118C" w14:textId="77777777" w:rsidR="00193B62" w:rsidRPr="007114AF" w:rsidRDefault="00193B62" w:rsidP="00193B62">
            <w:pPr>
              <w:spacing w:after="0"/>
              <w:cnfStyle w:val="000000000000" w:firstRow="0" w:lastRow="0" w:firstColumn="0" w:lastColumn="0" w:oddVBand="0" w:evenVBand="0" w:oddHBand="0" w:evenHBand="0" w:firstRowFirstColumn="0" w:firstRowLastColumn="0" w:lastRowFirstColumn="0" w:lastRowLastColumn="0"/>
              <w:rPr>
                <w:rFonts w:ascii="Garamond" w:hAnsi="Garamond"/>
                <w:sz w:val="18"/>
                <w:szCs w:val="18"/>
              </w:rPr>
            </w:pPr>
            <w:r w:rsidRPr="007114AF">
              <w:rPr>
                <w:rFonts w:ascii="Garamond" w:hAnsi="Garamond"/>
                <w:sz w:val="18"/>
                <w:szCs w:val="18"/>
              </w:rPr>
              <w:t>2016-2020</w:t>
            </w:r>
          </w:p>
        </w:tc>
        <w:tc>
          <w:tcPr>
            <w:tcW w:w="1130" w:type="pct"/>
            <w:vAlign w:val="center"/>
            <w:hideMark/>
          </w:tcPr>
          <w:p w14:paraId="6EDD118D" w14:textId="77777777" w:rsidR="00193B62" w:rsidRPr="007114AF" w:rsidRDefault="00193B62" w:rsidP="00193B62">
            <w:pPr>
              <w:spacing w:after="0"/>
              <w:cnfStyle w:val="000000000000" w:firstRow="0" w:lastRow="0" w:firstColumn="0" w:lastColumn="0" w:oddVBand="0" w:evenVBand="0" w:oddHBand="0" w:evenHBand="0" w:firstRowFirstColumn="0" w:firstRowLastColumn="0" w:lastRowFirstColumn="0" w:lastRowLastColumn="0"/>
              <w:rPr>
                <w:rFonts w:ascii="Garamond" w:hAnsi="Garamond"/>
                <w:sz w:val="18"/>
                <w:szCs w:val="18"/>
              </w:rPr>
            </w:pPr>
            <w:r w:rsidRPr="007114AF">
              <w:rPr>
                <w:rFonts w:ascii="Garamond" w:hAnsi="Garamond"/>
                <w:sz w:val="18"/>
                <w:szCs w:val="18"/>
              </w:rPr>
              <w:t>Ministria e Infrastrukturës dhe Energjisë</w:t>
            </w:r>
          </w:p>
        </w:tc>
        <w:tc>
          <w:tcPr>
            <w:tcW w:w="1301" w:type="pct"/>
            <w:vAlign w:val="center"/>
            <w:hideMark/>
          </w:tcPr>
          <w:p w14:paraId="6EDD118E" w14:textId="639D21F6" w:rsidR="00193B62" w:rsidRPr="007114AF" w:rsidRDefault="00193B62" w:rsidP="00193B62">
            <w:pPr>
              <w:keepNext/>
              <w:spacing w:after="0"/>
              <w:cnfStyle w:val="000000000000" w:firstRow="0" w:lastRow="0" w:firstColumn="0" w:lastColumn="0" w:oddVBand="0" w:evenVBand="0" w:oddHBand="0" w:evenHBand="0" w:firstRowFirstColumn="0" w:firstRowLastColumn="0" w:lastRowFirstColumn="0" w:lastRowLastColumn="0"/>
              <w:rPr>
                <w:rFonts w:ascii="Garamond" w:hAnsi="Garamond"/>
                <w:sz w:val="18"/>
                <w:szCs w:val="18"/>
              </w:rPr>
            </w:pPr>
            <w:r w:rsidRPr="007114AF">
              <w:rPr>
                <w:rFonts w:ascii="Garamond" w:hAnsi="Garamond"/>
                <w:sz w:val="18"/>
                <w:szCs w:val="18"/>
              </w:rPr>
              <w:t>Raportim vjetor,</w:t>
            </w:r>
            <w:r w:rsidR="005D5DCB">
              <w:rPr>
                <w:rFonts w:ascii="Garamond" w:hAnsi="Garamond"/>
                <w:sz w:val="18"/>
                <w:szCs w:val="18"/>
              </w:rPr>
              <w:t xml:space="preserve"> </w:t>
            </w:r>
            <w:r w:rsidRPr="007114AF">
              <w:rPr>
                <w:rFonts w:ascii="Garamond" w:hAnsi="Garamond"/>
                <w:sz w:val="18"/>
                <w:szCs w:val="18"/>
              </w:rPr>
              <w:t>treguesit e raportuar n</w:t>
            </w:r>
            <w:r w:rsidRPr="007114AF">
              <w:rPr>
                <w:rFonts w:ascii="Garamond" w:hAnsi="Garamond" w:cstheme="minorHAnsi"/>
                <w:sz w:val="18"/>
                <w:szCs w:val="18"/>
              </w:rPr>
              <w:t>ë d</w:t>
            </w:r>
            <w:r w:rsidRPr="007114AF">
              <w:rPr>
                <w:rFonts w:ascii="Garamond" w:hAnsi="Garamond"/>
                <w:sz w:val="18"/>
                <w:szCs w:val="18"/>
              </w:rPr>
              <w:t>okument</w:t>
            </w:r>
          </w:p>
        </w:tc>
      </w:tr>
    </w:tbl>
    <w:p w14:paraId="6EDD1190" w14:textId="77777777" w:rsidR="005D20DB" w:rsidRPr="007114AF" w:rsidRDefault="005D20DB" w:rsidP="00BC1DB5">
      <w:pPr>
        <w:spacing w:after="200"/>
        <w:rPr>
          <w:rFonts w:ascii="Garamond" w:hAnsi="Garamond"/>
          <w:b/>
          <w:bCs/>
          <w:iCs/>
        </w:rPr>
      </w:pPr>
    </w:p>
    <w:p w14:paraId="6EDD1191" w14:textId="77777777" w:rsidR="005D20DB" w:rsidRPr="007114AF" w:rsidRDefault="005D20DB" w:rsidP="00BC1DB5">
      <w:pPr>
        <w:spacing w:after="200"/>
        <w:rPr>
          <w:rFonts w:ascii="Garamond" w:hAnsi="Garamond"/>
          <w:b/>
          <w:bCs/>
          <w:iCs/>
        </w:rPr>
      </w:pPr>
    </w:p>
    <w:p w14:paraId="6EDD1192" w14:textId="77777777" w:rsidR="00193B62" w:rsidRPr="007114AF" w:rsidRDefault="00193B62" w:rsidP="00BC1DB5">
      <w:pPr>
        <w:spacing w:after="200"/>
        <w:rPr>
          <w:rFonts w:ascii="Garamond" w:hAnsi="Garamond"/>
          <w:b/>
          <w:bCs/>
          <w:iCs/>
        </w:rPr>
      </w:pPr>
    </w:p>
    <w:p w14:paraId="6EDD1193" w14:textId="77777777" w:rsidR="00193B62" w:rsidRPr="007114AF" w:rsidRDefault="00193B62" w:rsidP="00BC1DB5">
      <w:pPr>
        <w:spacing w:after="200"/>
        <w:rPr>
          <w:rFonts w:ascii="Garamond" w:hAnsi="Garamond"/>
          <w:b/>
          <w:bCs/>
          <w:iCs/>
        </w:rPr>
      </w:pPr>
    </w:p>
    <w:p w14:paraId="6EDD1194" w14:textId="77777777" w:rsidR="00193B62" w:rsidRPr="007114AF" w:rsidRDefault="00193B62" w:rsidP="00BC1DB5">
      <w:pPr>
        <w:spacing w:after="200"/>
        <w:rPr>
          <w:rFonts w:ascii="Garamond" w:hAnsi="Garamond"/>
          <w:b/>
          <w:bCs/>
          <w:iCs/>
        </w:rPr>
      </w:pPr>
    </w:p>
    <w:p w14:paraId="6EDD1195" w14:textId="77777777" w:rsidR="00193B62" w:rsidRPr="007114AF" w:rsidRDefault="00193B62" w:rsidP="00BC1DB5">
      <w:pPr>
        <w:spacing w:after="200"/>
        <w:rPr>
          <w:rFonts w:ascii="Garamond" w:hAnsi="Garamond"/>
          <w:b/>
          <w:bCs/>
          <w:iCs/>
        </w:rPr>
      </w:pPr>
    </w:p>
    <w:p w14:paraId="6EDD1196" w14:textId="77777777" w:rsidR="00EF480D" w:rsidRPr="007114AF" w:rsidRDefault="00EF480D" w:rsidP="00BC1DB5">
      <w:pPr>
        <w:spacing w:after="200"/>
        <w:rPr>
          <w:rFonts w:ascii="Garamond" w:hAnsi="Garamond"/>
          <w:b/>
          <w:bCs/>
          <w:iCs/>
        </w:rPr>
        <w:sectPr w:rsidR="00EF480D" w:rsidRPr="007114AF" w:rsidSect="00A45C8C">
          <w:pgSz w:w="11907" w:h="16840" w:code="9"/>
          <w:pgMar w:top="1418" w:right="1418" w:bottom="1418" w:left="1418" w:header="567" w:footer="458" w:gutter="0"/>
          <w:cols w:space="708"/>
          <w:noEndnote/>
          <w:docGrid w:linePitch="326"/>
        </w:sectPr>
      </w:pPr>
    </w:p>
    <w:p w14:paraId="6EDD1197" w14:textId="59E5E55E" w:rsidR="00EF480D" w:rsidRPr="007114AF" w:rsidRDefault="00EF480D" w:rsidP="00286663">
      <w:pPr>
        <w:pStyle w:val="TEKSTI"/>
        <w:rPr>
          <w:b/>
        </w:rPr>
      </w:pPr>
      <w:r w:rsidRPr="007114AF">
        <w:rPr>
          <w:b/>
        </w:rPr>
        <w:lastRenderedPageBreak/>
        <w:t>Aneksi1 – Lista e plot</w:t>
      </w:r>
      <w:r w:rsidRPr="007114AF">
        <w:rPr>
          <w:rFonts w:cs="Calibri"/>
          <w:b/>
        </w:rPr>
        <w:t>ë</w:t>
      </w:r>
      <w:r w:rsidRPr="007114AF">
        <w:rPr>
          <w:b/>
        </w:rPr>
        <w:t xml:space="preserve"> e dokumenteve t</w:t>
      </w:r>
      <w:r w:rsidRPr="007114AF">
        <w:rPr>
          <w:rFonts w:cs="Calibri"/>
          <w:b/>
        </w:rPr>
        <w:t xml:space="preserve">ë </w:t>
      </w:r>
      <w:r w:rsidRPr="007114AF">
        <w:rPr>
          <w:b/>
        </w:rPr>
        <w:t>analizuara</w:t>
      </w:r>
      <w:r w:rsidR="005D5DCB">
        <w:rPr>
          <w:b/>
        </w:rPr>
        <w:t xml:space="preserve"> </w:t>
      </w:r>
      <w:r w:rsidRPr="007114AF">
        <w:rPr>
          <w:b/>
        </w:rPr>
        <w:t>për Planin e Zbutjes së Nd</w:t>
      </w:r>
      <w:r w:rsidR="005D5DCB">
        <w:rPr>
          <w:b/>
        </w:rPr>
        <w:t>r</w:t>
      </w:r>
      <w:r w:rsidRPr="007114AF">
        <w:rPr>
          <w:b/>
        </w:rPr>
        <w:t>yshimeve Klimatike</w:t>
      </w:r>
    </w:p>
    <w:tbl>
      <w:tblPr>
        <w:tblStyle w:val="GridTable1Light-Accent11"/>
        <w:tblW w:w="5000" w:type="pct"/>
        <w:jc w:val="center"/>
        <w:tblLook w:val="0620" w:firstRow="1" w:lastRow="0" w:firstColumn="0" w:lastColumn="0" w:noHBand="1" w:noVBand="1"/>
      </w:tblPr>
      <w:tblGrid>
        <w:gridCol w:w="7121"/>
        <w:gridCol w:w="2166"/>
      </w:tblGrid>
      <w:tr w:rsidR="00286663" w:rsidRPr="007114AF" w14:paraId="6EDD119A" w14:textId="77777777" w:rsidTr="00286663">
        <w:trPr>
          <w:cnfStyle w:val="100000000000" w:firstRow="1" w:lastRow="0" w:firstColumn="0" w:lastColumn="0" w:oddVBand="0" w:evenVBand="0" w:oddHBand="0" w:evenHBand="0" w:firstRowFirstColumn="0" w:firstRowLastColumn="0" w:lastRowFirstColumn="0" w:lastRowLastColumn="0"/>
          <w:trHeight w:val="300"/>
          <w:tblHeader/>
          <w:jc w:val="center"/>
        </w:trPr>
        <w:tc>
          <w:tcPr>
            <w:tcW w:w="4009" w:type="pct"/>
            <w:vAlign w:val="center"/>
          </w:tcPr>
          <w:p w14:paraId="6EDD1198" w14:textId="77777777" w:rsidR="00286663" w:rsidRPr="007114AF" w:rsidRDefault="00286663" w:rsidP="00286663">
            <w:pPr>
              <w:tabs>
                <w:tab w:val="left" w:pos="1752"/>
              </w:tabs>
              <w:spacing w:after="0"/>
              <w:rPr>
                <w:rFonts w:ascii="Garamond" w:hAnsi="Garamond"/>
                <w:sz w:val="18"/>
                <w:szCs w:val="18"/>
              </w:rPr>
            </w:pPr>
            <w:r w:rsidRPr="007114AF">
              <w:rPr>
                <w:rFonts w:ascii="Garamond" w:hAnsi="Garamond"/>
                <w:sz w:val="18"/>
                <w:szCs w:val="18"/>
              </w:rPr>
              <w:t>Titulli i Dokumentit</w:t>
            </w:r>
          </w:p>
        </w:tc>
        <w:tc>
          <w:tcPr>
            <w:tcW w:w="991" w:type="pct"/>
            <w:vAlign w:val="center"/>
          </w:tcPr>
          <w:p w14:paraId="6EDD1199" w14:textId="77777777" w:rsidR="00286663" w:rsidRPr="007114AF" w:rsidRDefault="00286663" w:rsidP="00286663">
            <w:pPr>
              <w:spacing w:after="0"/>
              <w:rPr>
                <w:rFonts w:ascii="Garamond" w:hAnsi="Garamond"/>
                <w:sz w:val="18"/>
                <w:szCs w:val="18"/>
              </w:rPr>
            </w:pPr>
            <w:r w:rsidRPr="007114AF">
              <w:rPr>
                <w:rFonts w:ascii="Garamond" w:hAnsi="Garamond"/>
                <w:sz w:val="18"/>
                <w:szCs w:val="18"/>
              </w:rPr>
              <w:t>Viti i publikimit</w:t>
            </w:r>
          </w:p>
        </w:tc>
      </w:tr>
      <w:tr w:rsidR="00286663" w:rsidRPr="007114AF" w14:paraId="6EDD119D" w14:textId="77777777" w:rsidTr="00286663">
        <w:trPr>
          <w:trHeight w:val="300"/>
          <w:jc w:val="center"/>
        </w:trPr>
        <w:tc>
          <w:tcPr>
            <w:tcW w:w="4009" w:type="pct"/>
            <w:vAlign w:val="center"/>
            <w:hideMark/>
          </w:tcPr>
          <w:p w14:paraId="6EDD119B" w14:textId="77777777" w:rsidR="00286663" w:rsidRPr="007114AF" w:rsidRDefault="00286663" w:rsidP="00286663">
            <w:pPr>
              <w:spacing w:after="0"/>
              <w:rPr>
                <w:rFonts w:ascii="Garamond" w:hAnsi="Garamond"/>
                <w:sz w:val="18"/>
                <w:szCs w:val="18"/>
              </w:rPr>
            </w:pPr>
            <w:r w:rsidRPr="007114AF">
              <w:rPr>
                <w:rFonts w:ascii="Garamond" w:hAnsi="Garamond"/>
                <w:sz w:val="18"/>
                <w:szCs w:val="18"/>
              </w:rPr>
              <w:t>Komunikimi i Par</w:t>
            </w:r>
            <w:r w:rsidRPr="007114AF">
              <w:rPr>
                <w:rFonts w:ascii="Garamond" w:hAnsi="Garamond" w:cstheme="minorHAnsi"/>
                <w:sz w:val="18"/>
                <w:szCs w:val="18"/>
              </w:rPr>
              <w:t>ë Kombëtar i Shqipërisë me</w:t>
            </w:r>
            <w:r w:rsidRPr="007114AF">
              <w:rPr>
                <w:rFonts w:ascii="Garamond" w:hAnsi="Garamond"/>
                <w:sz w:val="18"/>
                <w:szCs w:val="18"/>
              </w:rPr>
              <w:t xml:space="preserve"> UNFCCC-ën(KPK)</w:t>
            </w:r>
          </w:p>
        </w:tc>
        <w:tc>
          <w:tcPr>
            <w:tcW w:w="991" w:type="pct"/>
            <w:vAlign w:val="center"/>
            <w:hideMark/>
          </w:tcPr>
          <w:p w14:paraId="6EDD119C" w14:textId="77777777" w:rsidR="00286663" w:rsidRPr="007114AF" w:rsidRDefault="00286663" w:rsidP="00286663">
            <w:pPr>
              <w:spacing w:after="0"/>
              <w:rPr>
                <w:rFonts w:ascii="Garamond" w:hAnsi="Garamond"/>
                <w:sz w:val="18"/>
                <w:szCs w:val="18"/>
              </w:rPr>
            </w:pPr>
            <w:r w:rsidRPr="007114AF">
              <w:rPr>
                <w:rFonts w:ascii="Garamond" w:hAnsi="Garamond"/>
                <w:sz w:val="18"/>
                <w:szCs w:val="18"/>
              </w:rPr>
              <w:t>2002</w:t>
            </w:r>
          </w:p>
        </w:tc>
      </w:tr>
      <w:tr w:rsidR="00286663" w:rsidRPr="007114AF" w14:paraId="6EDD11A0" w14:textId="77777777" w:rsidTr="00286663">
        <w:trPr>
          <w:trHeight w:val="300"/>
          <w:jc w:val="center"/>
        </w:trPr>
        <w:tc>
          <w:tcPr>
            <w:tcW w:w="4009" w:type="pct"/>
            <w:vAlign w:val="center"/>
            <w:hideMark/>
          </w:tcPr>
          <w:p w14:paraId="6EDD119E" w14:textId="77777777" w:rsidR="00286663" w:rsidRPr="007114AF" w:rsidRDefault="00286663" w:rsidP="00286663">
            <w:pPr>
              <w:spacing w:after="0"/>
              <w:rPr>
                <w:rFonts w:ascii="Garamond" w:hAnsi="Garamond"/>
                <w:sz w:val="18"/>
                <w:szCs w:val="18"/>
              </w:rPr>
            </w:pPr>
            <w:r w:rsidRPr="007114AF">
              <w:rPr>
                <w:rFonts w:ascii="Garamond" w:hAnsi="Garamond"/>
                <w:sz w:val="18"/>
                <w:szCs w:val="18"/>
              </w:rPr>
              <w:t>Raporti i Vler</w:t>
            </w:r>
            <w:r w:rsidRPr="007114AF">
              <w:rPr>
                <w:rFonts w:ascii="Garamond" w:hAnsi="Garamond" w:cstheme="minorHAnsi"/>
                <w:sz w:val="18"/>
                <w:szCs w:val="18"/>
              </w:rPr>
              <w:t>ësimit të Nevojave Teknologjike të Shqipërisë</w:t>
            </w:r>
          </w:p>
        </w:tc>
        <w:tc>
          <w:tcPr>
            <w:tcW w:w="991" w:type="pct"/>
            <w:vAlign w:val="center"/>
            <w:hideMark/>
          </w:tcPr>
          <w:p w14:paraId="6EDD119F" w14:textId="77777777" w:rsidR="00286663" w:rsidRPr="007114AF" w:rsidRDefault="00286663" w:rsidP="00286663">
            <w:pPr>
              <w:spacing w:after="0"/>
              <w:rPr>
                <w:rFonts w:ascii="Garamond" w:hAnsi="Garamond"/>
                <w:sz w:val="18"/>
                <w:szCs w:val="18"/>
              </w:rPr>
            </w:pPr>
            <w:r w:rsidRPr="007114AF">
              <w:rPr>
                <w:rFonts w:ascii="Garamond" w:hAnsi="Garamond"/>
                <w:sz w:val="18"/>
                <w:szCs w:val="18"/>
              </w:rPr>
              <w:t>2005</w:t>
            </w:r>
          </w:p>
        </w:tc>
      </w:tr>
      <w:tr w:rsidR="00286663" w:rsidRPr="007114AF" w14:paraId="6EDD11A3" w14:textId="77777777" w:rsidTr="00286663">
        <w:trPr>
          <w:trHeight w:val="600"/>
          <w:jc w:val="center"/>
        </w:trPr>
        <w:tc>
          <w:tcPr>
            <w:tcW w:w="4009" w:type="pct"/>
            <w:vAlign w:val="center"/>
            <w:hideMark/>
          </w:tcPr>
          <w:p w14:paraId="6EDD11A1" w14:textId="77777777" w:rsidR="00286663" w:rsidRPr="007114AF" w:rsidRDefault="00286663" w:rsidP="00286663">
            <w:pPr>
              <w:spacing w:after="0"/>
              <w:rPr>
                <w:rFonts w:ascii="Garamond" w:hAnsi="Garamond"/>
                <w:sz w:val="18"/>
                <w:szCs w:val="18"/>
              </w:rPr>
            </w:pPr>
            <w:r w:rsidRPr="007114AF">
              <w:rPr>
                <w:rFonts w:ascii="Garamond" w:hAnsi="Garamond"/>
                <w:sz w:val="18"/>
                <w:szCs w:val="18"/>
              </w:rPr>
              <w:t>Komunikimi i Dyt</w:t>
            </w:r>
            <w:r w:rsidRPr="007114AF">
              <w:rPr>
                <w:rFonts w:ascii="Garamond" w:hAnsi="Garamond" w:cstheme="minorHAnsi"/>
                <w:sz w:val="18"/>
                <w:szCs w:val="18"/>
              </w:rPr>
              <w:t>ë Kombëtar i Shqipërisë në Konferencën e Palëve në kuadrin e Konventës Kuadër të Kombeve të Bashkuara për Ndryshimet Klimatike</w:t>
            </w:r>
            <w:r w:rsidRPr="007114AF">
              <w:rPr>
                <w:rFonts w:ascii="Garamond" w:hAnsi="Garamond"/>
                <w:sz w:val="18"/>
                <w:szCs w:val="18"/>
              </w:rPr>
              <w:t xml:space="preserve"> (KDK)</w:t>
            </w:r>
          </w:p>
        </w:tc>
        <w:tc>
          <w:tcPr>
            <w:tcW w:w="991" w:type="pct"/>
            <w:vAlign w:val="center"/>
            <w:hideMark/>
          </w:tcPr>
          <w:p w14:paraId="6EDD11A2" w14:textId="77777777" w:rsidR="00286663" w:rsidRPr="007114AF" w:rsidRDefault="00286663" w:rsidP="00286663">
            <w:pPr>
              <w:spacing w:after="0"/>
              <w:rPr>
                <w:rFonts w:ascii="Garamond" w:hAnsi="Garamond"/>
                <w:sz w:val="18"/>
                <w:szCs w:val="18"/>
              </w:rPr>
            </w:pPr>
            <w:r w:rsidRPr="007114AF">
              <w:rPr>
                <w:rFonts w:ascii="Garamond" w:hAnsi="Garamond"/>
                <w:sz w:val="18"/>
                <w:szCs w:val="18"/>
              </w:rPr>
              <w:t>2009</w:t>
            </w:r>
          </w:p>
        </w:tc>
      </w:tr>
      <w:tr w:rsidR="00286663" w:rsidRPr="007114AF" w14:paraId="6EDD11A6" w14:textId="77777777" w:rsidTr="00286663">
        <w:trPr>
          <w:trHeight w:val="300"/>
          <w:jc w:val="center"/>
        </w:trPr>
        <w:tc>
          <w:tcPr>
            <w:tcW w:w="4009" w:type="pct"/>
            <w:vAlign w:val="center"/>
            <w:hideMark/>
          </w:tcPr>
          <w:p w14:paraId="6EDD11A4" w14:textId="77777777" w:rsidR="00286663" w:rsidRPr="007114AF" w:rsidRDefault="00286663" w:rsidP="00286663">
            <w:pPr>
              <w:spacing w:after="0"/>
              <w:rPr>
                <w:rFonts w:ascii="Garamond" w:hAnsi="Garamond"/>
                <w:sz w:val="18"/>
                <w:szCs w:val="18"/>
              </w:rPr>
            </w:pPr>
            <w:r w:rsidRPr="007114AF">
              <w:rPr>
                <w:rFonts w:ascii="Garamond" w:hAnsi="Garamond"/>
                <w:sz w:val="18"/>
                <w:szCs w:val="18"/>
              </w:rPr>
              <w:t>Komunikimi i Tret</w:t>
            </w:r>
            <w:r w:rsidRPr="007114AF">
              <w:rPr>
                <w:rFonts w:ascii="Garamond" w:hAnsi="Garamond" w:cstheme="minorHAnsi"/>
                <w:sz w:val="18"/>
                <w:szCs w:val="18"/>
              </w:rPr>
              <w:t>ë Kombëtar i Shqipërisë</w:t>
            </w:r>
          </w:p>
        </w:tc>
        <w:tc>
          <w:tcPr>
            <w:tcW w:w="991" w:type="pct"/>
            <w:vAlign w:val="center"/>
            <w:hideMark/>
          </w:tcPr>
          <w:p w14:paraId="6EDD11A5" w14:textId="77777777" w:rsidR="00286663" w:rsidRPr="007114AF" w:rsidRDefault="00286663" w:rsidP="00286663">
            <w:pPr>
              <w:spacing w:after="0"/>
              <w:rPr>
                <w:rFonts w:ascii="Garamond" w:hAnsi="Garamond"/>
                <w:sz w:val="18"/>
                <w:szCs w:val="18"/>
              </w:rPr>
            </w:pPr>
            <w:r w:rsidRPr="007114AF">
              <w:rPr>
                <w:rFonts w:ascii="Garamond" w:hAnsi="Garamond"/>
                <w:sz w:val="18"/>
                <w:szCs w:val="18"/>
              </w:rPr>
              <w:t>2016</w:t>
            </w:r>
          </w:p>
        </w:tc>
      </w:tr>
      <w:tr w:rsidR="00286663" w:rsidRPr="007114AF" w14:paraId="6EDD11A9" w14:textId="77777777" w:rsidTr="00286663">
        <w:trPr>
          <w:trHeight w:val="600"/>
          <w:jc w:val="center"/>
        </w:trPr>
        <w:tc>
          <w:tcPr>
            <w:tcW w:w="4009" w:type="pct"/>
            <w:vAlign w:val="center"/>
            <w:hideMark/>
          </w:tcPr>
          <w:p w14:paraId="6EDD11A7" w14:textId="241D3897" w:rsidR="00286663" w:rsidRPr="007114AF" w:rsidRDefault="00286663" w:rsidP="00286663">
            <w:pPr>
              <w:spacing w:after="0"/>
              <w:rPr>
                <w:rFonts w:ascii="Garamond" w:hAnsi="Garamond"/>
                <w:sz w:val="18"/>
                <w:szCs w:val="18"/>
              </w:rPr>
            </w:pPr>
            <w:r w:rsidRPr="007114AF">
              <w:rPr>
                <w:rFonts w:ascii="Garamond" w:hAnsi="Garamond"/>
                <w:sz w:val="18"/>
                <w:szCs w:val="18"/>
              </w:rPr>
              <w:t>Vendimi i K</w:t>
            </w:r>
            <w:r w:rsidRPr="007114AF">
              <w:rPr>
                <w:rFonts w:ascii="Garamond" w:hAnsi="Garamond" w:cstheme="minorHAnsi"/>
                <w:sz w:val="18"/>
                <w:szCs w:val="18"/>
              </w:rPr>
              <w:t>ëshillit të Ministrave</w:t>
            </w:r>
            <w:r w:rsidR="00242009" w:rsidRPr="007114AF">
              <w:rPr>
                <w:rFonts w:ascii="Garamond" w:hAnsi="Garamond" w:cstheme="minorHAnsi"/>
                <w:sz w:val="18"/>
                <w:szCs w:val="18"/>
              </w:rPr>
              <w:t xml:space="preserve"> nr. </w:t>
            </w:r>
            <w:r w:rsidRPr="007114AF">
              <w:rPr>
                <w:rFonts w:ascii="Garamond" w:hAnsi="Garamond"/>
                <w:sz w:val="18"/>
                <w:szCs w:val="18"/>
              </w:rPr>
              <w:t>691, dat</w:t>
            </w:r>
            <w:r w:rsidRPr="007114AF">
              <w:rPr>
                <w:rFonts w:ascii="Garamond" w:hAnsi="Garamond" w:cstheme="minorHAnsi"/>
                <w:sz w:val="18"/>
                <w:szCs w:val="18"/>
              </w:rPr>
              <w:t>ë</w:t>
            </w:r>
            <w:r w:rsidRPr="007114AF">
              <w:rPr>
                <w:rFonts w:ascii="Garamond" w:hAnsi="Garamond"/>
                <w:sz w:val="18"/>
                <w:szCs w:val="18"/>
              </w:rPr>
              <w:t xml:space="preserve"> 29.7.2015 Mbi aprovimin e strategjis</w:t>
            </w:r>
            <w:r w:rsidRPr="007114AF">
              <w:rPr>
                <w:rFonts w:ascii="Garamond" w:hAnsi="Garamond" w:cstheme="minorHAnsi"/>
                <w:sz w:val="18"/>
                <w:szCs w:val="18"/>
              </w:rPr>
              <w:t xml:space="preserve">ë ndërsektoriale për </w:t>
            </w:r>
            <w:r w:rsidRPr="007114AF">
              <w:rPr>
                <w:rFonts w:ascii="Garamond" w:hAnsi="Garamond"/>
                <w:sz w:val="18"/>
                <w:szCs w:val="18"/>
              </w:rPr>
              <w:t>decentralizimin dhe qeverisjen vendore 2015-2020</w:t>
            </w:r>
          </w:p>
        </w:tc>
        <w:tc>
          <w:tcPr>
            <w:tcW w:w="991" w:type="pct"/>
            <w:vAlign w:val="center"/>
            <w:hideMark/>
          </w:tcPr>
          <w:p w14:paraId="6EDD11A8" w14:textId="77777777" w:rsidR="00286663" w:rsidRPr="007114AF" w:rsidRDefault="00286663" w:rsidP="00286663">
            <w:pPr>
              <w:spacing w:after="0"/>
              <w:rPr>
                <w:rFonts w:ascii="Garamond" w:hAnsi="Garamond"/>
                <w:sz w:val="18"/>
                <w:szCs w:val="18"/>
              </w:rPr>
            </w:pPr>
            <w:r w:rsidRPr="007114AF">
              <w:rPr>
                <w:rFonts w:ascii="Garamond" w:hAnsi="Garamond"/>
                <w:sz w:val="18"/>
                <w:szCs w:val="18"/>
              </w:rPr>
              <w:t>2015</w:t>
            </w:r>
          </w:p>
        </w:tc>
      </w:tr>
      <w:tr w:rsidR="00286663" w:rsidRPr="007114AF" w14:paraId="6EDD11AC" w14:textId="77777777" w:rsidTr="00286663">
        <w:trPr>
          <w:trHeight w:val="300"/>
          <w:jc w:val="center"/>
        </w:trPr>
        <w:tc>
          <w:tcPr>
            <w:tcW w:w="4009" w:type="pct"/>
            <w:vAlign w:val="center"/>
            <w:hideMark/>
          </w:tcPr>
          <w:p w14:paraId="6EDD11AA" w14:textId="77777777" w:rsidR="00286663" w:rsidRPr="007114AF" w:rsidRDefault="00286663" w:rsidP="00286663">
            <w:pPr>
              <w:spacing w:after="0"/>
              <w:rPr>
                <w:rFonts w:ascii="Garamond" w:hAnsi="Garamond"/>
                <w:sz w:val="18"/>
                <w:szCs w:val="18"/>
              </w:rPr>
            </w:pPr>
            <w:r w:rsidRPr="007114AF">
              <w:rPr>
                <w:rFonts w:ascii="Garamond" w:hAnsi="Garamond"/>
                <w:sz w:val="18"/>
                <w:szCs w:val="18"/>
              </w:rPr>
              <w:t>Ndryshimet klimatike dhe biodiversiteti n</w:t>
            </w:r>
            <w:r w:rsidRPr="007114AF">
              <w:rPr>
                <w:rFonts w:ascii="Garamond" w:hAnsi="Garamond" w:cstheme="minorHAnsi"/>
                <w:sz w:val="18"/>
                <w:szCs w:val="18"/>
              </w:rPr>
              <w:t>ë Evropën Juglindore</w:t>
            </w:r>
            <w:r w:rsidRPr="007114AF">
              <w:rPr>
                <w:rFonts w:ascii="Garamond" w:hAnsi="Garamond"/>
                <w:sz w:val="18"/>
                <w:szCs w:val="18"/>
              </w:rPr>
              <w:t>. Ndikimet dhe veprimi i raportit me natyr</w:t>
            </w:r>
            <w:r w:rsidRPr="007114AF">
              <w:rPr>
                <w:rFonts w:ascii="Garamond" w:hAnsi="Garamond" w:cstheme="minorHAnsi"/>
                <w:sz w:val="18"/>
                <w:szCs w:val="18"/>
              </w:rPr>
              <w:t>ë teknike</w:t>
            </w:r>
          </w:p>
        </w:tc>
        <w:tc>
          <w:tcPr>
            <w:tcW w:w="991" w:type="pct"/>
            <w:vAlign w:val="center"/>
            <w:hideMark/>
          </w:tcPr>
          <w:p w14:paraId="6EDD11AB" w14:textId="77777777" w:rsidR="00286663" w:rsidRPr="007114AF" w:rsidRDefault="00286663" w:rsidP="00286663">
            <w:pPr>
              <w:spacing w:after="0"/>
              <w:rPr>
                <w:rFonts w:ascii="Garamond" w:hAnsi="Garamond"/>
                <w:sz w:val="18"/>
                <w:szCs w:val="18"/>
              </w:rPr>
            </w:pPr>
            <w:r w:rsidRPr="007114AF">
              <w:rPr>
                <w:rFonts w:ascii="Garamond" w:hAnsi="Garamond"/>
                <w:sz w:val="18"/>
                <w:szCs w:val="18"/>
              </w:rPr>
              <w:t>2008</w:t>
            </w:r>
          </w:p>
        </w:tc>
      </w:tr>
      <w:tr w:rsidR="00286663" w:rsidRPr="007114AF" w14:paraId="6EDD11AF" w14:textId="77777777" w:rsidTr="00286663">
        <w:trPr>
          <w:trHeight w:val="300"/>
          <w:jc w:val="center"/>
        </w:trPr>
        <w:tc>
          <w:tcPr>
            <w:tcW w:w="4009" w:type="pct"/>
            <w:vAlign w:val="center"/>
            <w:hideMark/>
          </w:tcPr>
          <w:p w14:paraId="6EDD11AD" w14:textId="77777777" w:rsidR="00286663" w:rsidRPr="007114AF" w:rsidRDefault="00286663" w:rsidP="00286663">
            <w:pPr>
              <w:spacing w:after="0"/>
              <w:rPr>
                <w:rFonts w:ascii="Garamond" w:hAnsi="Garamond"/>
                <w:sz w:val="18"/>
                <w:szCs w:val="18"/>
              </w:rPr>
            </w:pPr>
            <w:r w:rsidRPr="007114AF">
              <w:rPr>
                <w:rFonts w:ascii="Garamond" w:hAnsi="Garamond"/>
                <w:sz w:val="18"/>
                <w:szCs w:val="18"/>
              </w:rPr>
              <w:t>Ndikimet e Ndryshimeve Klimatike: Politikat Publike dhe Perceptimi n</w:t>
            </w:r>
            <w:r w:rsidRPr="007114AF">
              <w:rPr>
                <w:rFonts w:ascii="Garamond" w:hAnsi="Garamond" w:cstheme="minorHAnsi"/>
                <w:sz w:val="18"/>
                <w:szCs w:val="18"/>
              </w:rPr>
              <w:t>ë Shqipëri</w:t>
            </w:r>
          </w:p>
        </w:tc>
        <w:tc>
          <w:tcPr>
            <w:tcW w:w="991" w:type="pct"/>
            <w:vAlign w:val="center"/>
            <w:hideMark/>
          </w:tcPr>
          <w:p w14:paraId="6EDD11AE" w14:textId="77777777" w:rsidR="00286663" w:rsidRPr="007114AF" w:rsidRDefault="00286663" w:rsidP="00286663">
            <w:pPr>
              <w:spacing w:after="0"/>
              <w:rPr>
                <w:rFonts w:ascii="Garamond" w:hAnsi="Garamond"/>
                <w:sz w:val="18"/>
                <w:szCs w:val="18"/>
              </w:rPr>
            </w:pPr>
            <w:r w:rsidRPr="007114AF">
              <w:rPr>
                <w:rFonts w:ascii="Garamond" w:hAnsi="Garamond"/>
                <w:sz w:val="18"/>
                <w:szCs w:val="18"/>
              </w:rPr>
              <w:t>2013</w:t>
            </w:r>
          </w:p>
        </w:tc>
      </w:tr>
      <w:tr w:rsidR="00286663" w:rsidRPr="007114AF" w14:paraId="6EDD11B2" w14:textId="77777777" w:rsidTr="00286663">
        <w:trPr>
          <w:trHeight w:val="300"/>
          <w:jc w:val="center"/>
        </w:trPr>
        <w:tc>
          <w:tcPr>
            <w:tcW w:w="4009" w:type="pct"/>
            <w:vAlign w:val="center"/>
            <w:hideMark/>
          </w:tcPr>
          <w:p w14:paraId="6EDD11B0" w14:textId="77777777" w:rsidR="00286663" w:rsidRPr="007114AF" w:rsidRDefault="00286663" w:rsidP="00286663">
            <w:pPr>
              <w:spacing w:after="0"/>
              <w:rPr>
                <w:rFonts w:ascii="Garamond" w:hAnsi="Garamond"/>
                <w:sz w:val="18"/>
                <w:szCs w:val="18"/>
              </w:rPr>
            </w:pPr>
            <w:r w:rsidRPr="007114AF">
              <w:rPr>
                <w:rFonts w:ascii="Garamond" w:hAnsi="Garamond"/>
                <w:sz w:val="18"/>
                <w:szCs w:val="18"/>
              </w:rPr>
              <w:t xml:space="preserve">Legjislacioni </w:t>
            </w:r>
            <w:r w:rsidRPr="007114AF">
              <w:rPr>
                <w:rFonts w:ascii="Garamond" w:hAnsi="Garamond" w:cstheme="minorHAnsi"/>
                <w:sz w:val="18"/>
                <w:szCs w:val="18"/>
              </w:rPr>
              <w:t>Mjedisor</w:t>
            </w:r>
            <w:r w:rsidRPr="007114AF">
              <w:rPr>
                <w:rFonts w:ascii="Garamond" w:hAnsi="Garamond"/>
                <w:sz w:val="18"/>
                <w:szCs w:val="18"/>
              </w:rPr>
              <w:t>Komb</w:t>
            </w:r>
            <w:r w:rsidRPr="007114AF">
              <w:rPr>
                <w:rFonts w:ascii="Garamond" w:hAnsi="Garamond" w:cstheme="minorHAnsi"/>
                <w:sz w:val="18"/>
                <w:szCs w:val="18"/>
              </w:rPr>
              <w:t>ëtar krahasuar me Legjislacionin Mjedisor të BE-së</w:t>
            </w:r>
          </w:p>
        </w:tc>
        <w:tc>
          <w:tcPr>
            <w:tcW w:w="991" w:type="pct"/>
            <w:vAlign w:val="center"/>
            <w:hideMark/>
          </w:tcPr>
          <w:p w14:paraId="6EDD11B1" w14:textId="77777777" w:rsidR="00286663" w:rsidRPr="007114AF" w:rsidRDefault="00286663" w:rsidP="00286663">
            <w:pPr>
              <w:spacing w:after="0"/>
              <w:rPr>
                <w:rFonts w:ascii="Garamond" w:hAnsi="Garamond"/>
                <w:sz w:val="18"/>
                <w:szCs w:val="18"/>
              </w:rPr>
            </w:pPr>
            <w:r w:rsidRPr="007114AF">
              <w:rPr>
                <w:rFonts w:ascii="Garamond" w:hAnsi="Garamond"/>
                <w:sz w:val="18"/>
                <w:szCs w:val="18"/>
              </w:rPr>
              <w:t>2013</w:t>
            </w:r>
          </w:p>
        </w:tc>
      </w:tr>
      <w:tr w:rsidR="00286663" w:rsidRPr="007114AF" w14:paraId="6EDD11B5" w14:textId="77777777" w:rsidTr="00286663">
        <w:trPr>
          <w:trHeight w:val="300"/>
          <w:jc w:val="center"/>
        </w:trPr>
        <w:tc>
          <w:tcPr>
            <w:tcW w:w="4009" w:type="pct"/>
            <w:vAlign w:val="center"/>
            <w:hideMark/>
          </w:tcPr>
          <w:p w14:paraId="6EDD11B3" w14:textId="77777777" w:rsidR="00286663" w:rsidRPr="007114AF" w:rsidRDefault="00286663" w:rsidP="00286663">
            <w:pPr>
              <w:spacing w:after="0"/>
              <w:rPr>
                <w:rFonts w:ascii="Garamond" w:hAnsi="Garamond"/>
                <w:sz w:val="18"/>
                <w:szCs w:val="18"/>
              </w:rPr>
            </w:pPr>
            <w:r w:rsidRPr="007114AF">
              <w:rPr>
                <w:rFonts w:ascii="Garamond" w:hAnsi="Garamond"/>
                <w:sz w:val="18"/>
                <w:szCs w:val="18"/>
              </w:rPr>
              <w:t>Ndryshimet klimatike n</w:t>
            </w:r>
            <w:r w:rsidRPr="007114AF">
              <w:rPr>
                <w:rFonts w:ascii="Garamond" w:hAnsi="Garamond" w:cstheme="minorHAnsi"/>
                <w:sz w:val="18"/>
                <w:szCs w:val="18"/>
              </w:rPr>
              <w:t>ë Zonat Bregdetare të Mesdheut</w:t>
            </w:r>
          </w:p>
        </w:tc>
        <w:tc>
          <w:tcPr>
            <w:tcW w:w="991" w:type="pct"/>
            <w:vAlign w:val="center"/>
            <w:hideMark/>
          </w:tcPr>
          <w:p w14:paraId="6EDD11B4" w14:textId="77777777" w:rsidR="00286663" w:rsidRPr="007114AF" w:rsidRDefault="00286663" w:rsidP="00286663">
            <w:pPr>
              <w:spacing w:after="0"/>
              <w:rPr>
                <w:rFonts w:ascii="Garamond" w:hAnsi="Garamond"/>
                <w:sz w:val="18"/>
                <w:szCs w:val="18"/>
              </w:rPr>
            </w:pPr>
            <w:r w:rsidRPr="007114AF">
              <w:rPr>
                <w:rFonts w:ascii="Garamond" w:hAnsi="Garamond"/>
                <w:sz w:val="18"/>
                <w:szCs w:val="18"/>
              </w:rPr>
              <w:t>2010</w:t>
            </w:r>
          </w:p>
        </w:tc>
      </w:tr>
      <w:tr w:rsidR="00286663" w:rsidRPr="007114AF" w14:paraId="6EDD11B8" w14:textId="77777777" w:rsidTr="00286663">
        <w:trPr>
          <w:trHeight w:val="300"/>
          <w:jc w:val="center"/>
        </w:trPr>
        <w:tc>
          <w:tcPr>
            <w:tcW w:w="4009" w:type="pct"/>
            <w:vAlign w:val="center"/>
            <w:hideMark/>
          </w:tcPr>
          <w:p w14:paraId="6EDD11B6" w14:textId="77777777" w:rsidR="00286663" w:rsidRPr="007114AF" w:rsidRDefault="00286663" w:rsidP="00286663">
            <w:pPr>
              <w:spacing w:after="0"/>
              <w:rPr>
                <w:rFonts w:ascii="Garamond" w:hAnsi="Garamond"/>
                <w:sz w:val="18"/>
                <w:szCs w:val="18"/>
              </w:rPr>
            </w:pPr>
            <w:r w:rsidRPr="007114AF">
              <w:rPr>
                <w:rFonts w:ascii="Garamond" w:hAnsi="Garamond"/>
                <w:sz w:val="18"/>
                <w:szCs w:val="18"/>
              </w:rPr>
              <w:t>Ndryshimet Klimatike n</w:t>
            </w:r>
            <w:r w:rsidRPr="007114AF">
              <w:rPr>
                <w:rFonts w:ascii="Garamond" w:hAnsi="Garamond" w:cstheme="minorHAnsi"/>
                <w:sz w:val="18"/>
                <w:szCs w:val="18"/>
              </w:rPr>
              <w:t>ë Ballkanin Perëndimor</w:t>
            </w:r>
          </w:p>
        </w:tc>
        <w:tc>
          <w:tcPr>
            <w:tcW w:w="991" w:type="pct"/>
            <w:vAlign w:val="center"/>
            <w:hideMark/>
          </w:tcPr>
          <w:p w14:paraId="6EDD11B7" w14:textId="77777777" w:rsidR="00286663" w:rsidRPr="007114AF" w:rsidRDefault="00286663" w:rsidP="00286663">
            <w:pPr>
              <w:spacing w:after="0"/>
              <w:rPr>
                <w:rFonts w:ascii="Garamond" w:hAnsi="Garamond"/>
                <w:sz w:val="18"/>
                <w:szCs w:val="18"/>
              </w:rPr>
            </w:pPr>
            <w:r w:rsidRPr="007114AF">
              <w:rPr>
                <w:rFonts w:ascii="Garamond" w:hAnsi="Garamond"/>
                <w:sz w:val="18"/>
                <w:szCs w:val="18"/>
              </w:rPr>
              <w:t>2012</w:t>
            </w:r>
          </w:p>
        </w:tc>
      </w:tr>
      <w:tr w:rsidR="00286663" w:rsidRPr="007114AF" w14:paraId="6EDD11BB" w14:textId="77777777" w:rsidTr="00286663">
        <w:trPr>
          <w:trHeight w:val="300"/>
          <w:jc w:val="center"/>
        </w:trPr>
        <w:tc>
          <w:tcPr>
            <w:tcW w:w="4009" w:type="pct"/>
            <w:vAlign w:val="center"/>
            <w:hideMark/>
          </w:tcPr>
          <w:p w14:paraId="6EDD11B9" w14:textId="77777777" w:rsidR="00286663" w:rsidRPr="007114AF" w:rsidRDefault="00286663" w:rsidP="00286663">
            <w:pPr>
              <w:spacing w:after="0"/>
              <w:rPr>
                <w:rFonts w:ascii="Garamond" w:hAnsi="Garamond"/>
                <w:sz w:val="18"/>
                <w:szCs w:val="18"/>
              </w:rPr>
            </w:pPr>
            <w:r w:rsidRPr="007114AF">
              <w:rPr>
                <w:rFonts w:ascii="Garamond" w:hAnsi="Garamond"/>
                <w:sz w:val="18"/>
                <w:szCs w:val="18"/>
              </w:rPr>
              <w:t>Transferimi i njohurive dhe nevojat k</w:t>
            </w:r>
            <w:r w:rsidRPr="007114AF">
              <w:rPr>
                <w:rFonts w:ascii="Garamond" w:hAnsi="Garamond" w:cstheme="minorHAnsi"/>
                <w:sz w:val="18"/>
                <w:szCs w:val="18"/>
              </w:rPr>
              <w:t>ërkimore për përgatitjen e portofolit të politikave të zbutjes</w:t>
            </w:r>
            <w:r w:rsidRPr="007114AF">
              <w:rPr>
                <w:rFonts w:ascii="Garamond" w:hAnsi="Garamond"/>
                <w:sz w:val="18"/>
                <w:szCs w:val="18"/>
              </w:rPr>
              <w:t>/p</w:t>
            </w:r>
            <w:r w:rsidRPr="007114AF">
              <w:rPr>
                <w:rFonts w:ascii="Garamond" w:hAnsi="Garamond" w:cstheme="minorHAnsi"/>
                <w:sz w:val="18"/>
                <w:szCs w:val="18"/>
              </w:rPr>
              <w:t xml:space="preserve">ërshtatjes </w:t>
            </w:r>
          </w:p>
        </w:tc>
        <w:tc>
          <w:tcPr>
            <w:tcW w:w="991" w:type="pct"/>
            <w:vAlign w:val="center"/>
            <w:hideMark/>
          </w:tcPr>
          <w:p w14:paraId="6EDD11BA" w14:textId="77777777" w:rsidR="00286663" w:rsidRPr="007114AF" w:rsidRDefault="00286663" w:rsidP="00286663">
            <w:pPr>
              <w:spacing w:after="0"/>
              <w:rPr>
                <w:rFonts w:ascii="Garamond" w:hAnsi="Garamond"/>
                <w:sz w:val="18"/>
                <w:szCs w:val="18"/>
              </w:rPr>
            </w:pPr>
            <w:r w:rsidRPr="007114AF">
              <w:rPr>
                <w:rFonts w:ascii="Garamond" w:hAnsi="Garamond"/>
                <w:sz w:val="18"/>
                <w:szCs w:val="18"/>
              </w:rPr>
              <w:t>2013</w:t>
            </w:r>
          </w:p>
        </w:tc>
      </w:tr>
      <w:tr w:rsidR="00286663" w:rsidRPr="007114AF" w14:paraId="6EDD11BE" w14:textId="77777777" w:rsidTr="00286663">
        <w:trPr>
          <w:trHeight w:val="300"/>
          <w:jc w:val="center"/>
        </w:trPr>
        <w:tc>
          <w:tcPr>
            <w:tcW w:w="4009" w:type="pct"/>
            <w:noWrap/>
            <w:vAlign w:val="center"/>
            <w:hideMark/>
          </w:tcPr>
          <w:p w14:paraId="6EDD11BC" w14:textId="77777777" w:rsidR="00286663" w:rsidRPr="007114AF" w:rsidRDefault="00286663" w:rsidP="00286663">
            <w:pPr>
              <w:spacing w:after="0"/>
              <w:rPr>
                <w:rFonts w:ascii="Garamond" w:hAnsi="Garamond"/>
                <w:sz w:val="18"/>
                <w:szCs w:val="18"/>
              </w:rPr>
            </w:pPr>
            <w:r w:rsidRPr="007114AF">
              <w:rPr>
                <w:rFonts w:ascii="Garamond" w:hAnsi="Garamond"/>
                <w:sz w:val="18"/>
                <w:szCs w:val="18"/>
              </w:rPr>
              <w:t>Dokument me natyr</w:t>
            </w:r>
            <w:r w:rsidRPr="007114AF">
              <w:rPr>
                <w:rFonts w:ascii="Garamond" w:hAnsi="Garamond" w:cstheme="minorHAnsi"/>
                <w:sz w:val="18"/>
                <w:szCs w:val="18"/>
              </w:rPr>
              <w:t xml:space="preserve">ë teknike i </w:t>
            </w:r>
            <w:r w:rsidRPr="007114AF">
              <w:rPr>
                <w:rFonts w:ascii="Garamond" w:hAnsi="Garamond"/>
                <w:sz w:val="18"/>
                <w:szCs w:val="18"/>
              </w:rPr>
              <w:t>INDC-it p</w:t>
            </w:r>
            <w:r w:rsidRPr="007114AF">
              <w:rPr>
                <w:rFonts w:ascii="Garamond" w:hAnsi="Garamond" w:cstheme="minorHAnsi"/>
                <w:sz w:val="18"/>
                <w:szCs w:val="18"/>
              </w:rPr>
              <w:t>ër Shqipërinë</w:t>
            </w:r>
          </w:p>
        </w:tc>
        <w:tc>
          <w:tcPr>
            <w:tcW w:w="991" w:type="pct"/>
            <w:vAlign w:val="center"/>
            <w:hideMark/>
          </w:tcPr>
          <w:p w14:paraId="6EDD11BD" w14:textId="77777777" w:rsidR="00286663" w:rsidRPr="007114AF" w:rsidRDefault="00286663" w:rsidP="00286663">
            <w:pPr>
              <w:spacing w:after="0"/>
              <w:rPr>
                <w:rFonts w:ascii="Garamond" w:hAnsi="Garamond"/>
                <w:sz w:val="18"/>
                <w:szCs w:val="18"/>
              </w:rPr>
            </w:pPr>
            <w:r w:rsidRPr="007114AF">
              <w:rPr>
                <w:rFonts w:ascii="Garamond" w:hAnsi="Garamond"/>
                <w:sz w:val="18"/>
                <w:szCs w:val="18"/>
              </w:rPr>
              <w:t>2015</w:t>
            </w:r>
          </w:p>
        </w:tc>
      </w:tr>
      <w:tr w:rsidR="00286663" w:rsidRPr="007114AF" w14:paraId="6EDD11C1" w14:textId="77777777" w:rsidTr="00286663">
        <w:trPr>
          <w:trHeight w:val="300"/>
          <w:jc w:val="center"/>
        </w:trPr>
        <w:tc>
          <w:tcPr>
            <w:tcW w:w="4009" w:type="pct"/>
            <w:vAlign w:val="center"/>
            <w:hideMark/>
          </w:tcPr>
          <w:p w14:paraId="6EDD11BF" w14:textId="77777777" w:rsidR="00286663" w:rsidRPr="007114AF" w:rsidRDefault="00286663" w:rsidP="00286663">
            <w:pPr>
              <w:spacing w:after="0"/>
              <w:rPr>
                <w:rFonts w:ascii="Garamond" w:hAnsi="Garamond"/>
                <w:sz w:val="18"/>
                <w:szCs w:val="18"/>
              </w:rPr>
            </w:pPr>
            <w:r w:rsidRPr="007114AF">
              <w:rPr>
                <w:rFonts w:ascii="Garamond" w:hAnsi="Garamond"/>
                <w:sz w:val="18"/>
                <w:szCs w:val="18"/>
              </w:rPr>
              <w:t>Strategjia Nd</w:t>
            </w:r>
            <w:r w:rsidRPr="007114AF">
              <w:rPr>
                <w:rFonts w:ascii="Garamond" w:hAnsi="Garamond" w:cstheme="minorHAnsi"/>
                <w:sz w:val="18"/>
                <w:szCs w:val="18"/>
              </w:rPr>
              <w:t xml:space="preserve">ërsektoriale Mjedisore </w:t>
            </w:r>
            <w:r w:rsidRPr="007114AF">
              <w:rPr>
                <w:rFonts w:ascii="Garamond" w:hAnsi="Garamond"/>
                <w:sz w:val="18"/>
                <w:szCs w:val="18"/>
              </w:rPr>
              <w:t>2015-2020</w:t>
            </w:r>
          </w:p>
        </w:tc>
        <w:tc>
          <w:tcPr>
            <w:tcW w:w="991" w:type="pct"/>
            <w:vAlign w:val="center"/>
            <w:hideMark/>
          </w:tcPr>
          <w:p w14:paraId="6EDD11C0" w14:textId="77777777" w:rsidR="00286663" w:rsidRPr="007114AF" w:rsidRDefault="00286663" w:rsidP="00286663">
            <w:pPr>
              <w:spacing w:after="0"/>
              <w:rPr>
                <w:rFonts w:ascii="Garamond" w:hAnsi="Garamond"/>
                <w:sz w:val="18"/>
                <w:szCs w:val="18"/>
              </w:rPr>
            </w:pPr>
            <w:r w:rsidRPr="007114AF">
              <w:rPr>
                <w:rFonts w:ascii="Garamond" w:hAnsi="Garamond"/>
                <w:sz w:val="18"/>
                <w:szCs w:val="18"/>
              </w:rPr>
              <w:t>2015</w:t>
            </w:r>
          </w:p>
        </w:tc>
      </w:tr>
      <w:tr w:rsidR="00286663" w:rsidRPr="007114AF" w14:paraId="6EDD11C4" w14:textId="77777777" w:rsidTr="00286663">
        <w:trPr>
          <w:trHeight w:val="300"/>
          <w:jc w:val="center"/>
        </w:trPr>
        <w:tc>
          <w:tcPr>
            <w:tcW w:w="4009" w:type="pct"/>
            <w:vAlign w:val="center"/>
            <w:hideMark/>
          </w:tcPr>
          <w:p w14:paraId="6EDD11C2" w14:textId="77777777" w:rsidR="00286663" w:rsidRPr="007114AF" w:rsidRDefault="00286663" w:rsidP="00286663">
            <w:pPr>
              <w:spacing w:after="0"/>
              <w:rPr>
                <w:rFonts w:ascii="Garamond" w:hAnsi="Garamond"/>
                <w:sz w:val="18"/>
                <w:szCs w:val="18"/>
              </w:rPr>
            </w:pPr>
            <w:r w:rsidRPr="007114AF">
              <w:rPr>
                <w:rFonts w:ascii="Garamond" w:hAnsi="Garamond"/>
                <w:sz w:val="18"/>
                <w:szCs w:val="18"/>
              </w:rPr>
              <w:t>Strategjia Komb</w:t>
            </w:r>
            <w:r w:rsidRPr="007114AF">
              <w:rPr>
                <w:rFonts w:ascii="Garamond" w:hAnsi="Garamond" w:cstheme="minorHAnsi"/>
                <w:sz w:val="18"/>
                <w:szCs w:val="18"/>
              </w:rPr>
              <w:t>ëtare për integrim dhe zhvillim</w:t>
            </w:r>
          </w:p>
        </w:tc>
        <w:tc>
          <w:tcPr>
            <w:tcW w:w="991" w:type="pct"/>
            <w:noWrap/>
            <w:vAlign w:val="center"/>
            <w:hideMark/>
          </w:tcPr>
          <w:p w14:paraId="6EDD11C3" w14:textId="77777777" w:rsidR="00286663" w:rsidRPr="007114AF" w:rsidRDefault="00286663" w:rsidP="00286663">
            <w:pPr>
              <w:spacing w:after="0"/>
              <w:rPr>
                <w:rFonts w:ascii="Garamond" w:hAnsi="Garamond"/>
                <w:sz w:val="18"/>
                <w:szCs w:val="18"/>
              </w:rPr>
            </w:pPr>
            <w:r w:rsidRPr="007114AF">
              <w:rPr>
                <w:rFonts w:ascii="Garamond" w:hAnsi="Garamond"/>
                <w:sz w:val="18"/>
                <w:szCs w:val="18"/>
              </w:rPr>
              <w:t>Drafti i dyt</w:t>
            </w:r>
            <w:r w:rsidRPr="007114AF">
              <w:rPr>
                <w:rFonts w:ascii="Garamond" w:hAnsi="Garamond" w:cstheme="minorHAnsi"/>
                <w:sz w:val="18"/>
                <w:szCs w:val="18"/>
              </w:rPr>
              <w:t>ë</w:t>
            </w:r>
            <w:r w:rsidRPr="007114AF">
              <w:rPr>
                <w:rFonts w:ascii="Garamond" w:hAnsi="Garamond"/>
                <w:sz w:val="18"/>
                <w:szCs w:val="18"/>
              </w:rPr>
              <w:t>, 31 korrik 2015</w:t>
            </w:r>
          </w:p>
        </w:tc>
      </w:tr>
      <w:tr w:rsidR="00286663" w:rsidRPr="007114AF" w14:paraId="6EDD11C7" w14:textId="77777777" w:rsidTr="00286663">
        <w:trPr>
          <w:trHeight w:val="300"/>
          <w:jc w:val="center"/>
        </w:trPr>
        <w:tc>
          <w:tcPr>
            <w:tcW w:w="4009" w:type="pct"/>
            <w:vAlign w:val="center"/>
            <w:hideMark/>
          </w:tcPr>
          <w:p w14:paraId="6EDD11C5" w14:textId="77777777" w:rsidR="00286663" w:rsidRPr="007114AF" w:rsidRDefault="00286663" w:rsidP="00286663">
            <w:pPr>
              <w:spacing w:after="0"/>
              <w:rPr>
                <w:rFonts w:ascii="Garamond" w:hAnsi="Garamond"/>
                <w:sz w:val="18"/>
                <w:szCs w:val="18"/>
              </w:rPr>
            </w:pPr>
            <w:r w:rsidRPr="007114AF">
              <w:rPr>
                <w:rFonts w:ascii="Garamond" w:hAnsi="Garamond"/>
                <w:sz w:val="18"/>
                <w:szCs w:val="18"/>
              </w:rPr>
              <w:t>Krijimi dhe funksionimi i Grupit Nd</w:t>
            </w:r>
            <w:r w:rsidRPr="007114AF">
              <w:rPr>
                <w:rFonts w:ascii="Garamond" w:hAnsi="Garamond" w:cstheme="minorHAnsi"/>
                <w:sz w:val="18"/>
                <w:szCs w:val="18"/>
              </w:rPr>
              <w:t>ër</w:t>
            </w:r>
            <w:r w:rsidRPr="007114AF">
              <w:rPr>
                <w:rFonts w:ascii="Garamond" w:hAnsi="Garamond"/>
                <w:sz w:val="18"/>
                <w:szCs w:val="18"/>
              </w:rPr>
              <w:t>ministror t</w:t>
            </w:r>
            <w:r w:rsidRPr="007114AF">
              <w:rPr>
                <w:rFonts w:ascii="Garamond" w:hAnsi="Garamond" w:cstheme="minorHAnsi"/>
                <w:sz w:val="18"/>
                <w:szCs w:val="18"/>
              </w:rPr>
              <w:t>ë Punës në fushën e Ndryshimeve Klimatike</w:t>
            </w:r>
          </w:p>
        </w:tc>
        <w:tc>
          <w:tcPr>
            <w:tcW w:w="991" w:type="pct"/>
            <w:vAlign w:val="center"/>
            <w:hideMark/>
          </w:tcPr>
          <w:p w14:paraId="6EDD11C6" w14:textId="77777777" w:rsidR="00286663" w:rsidRPr="007114AF" w:rsidRDefault="00286663" w:rsidP="00286663">
            <w:pPr>
              <w:spacing w:after="0"/>
              <w:rPr>
                <w:rFonts w:ascii="Garamond" w:hAnsi="Garamond"/>
                <w:sz w:val="18"/>
                <w:szCs w:val="18"/>
              </w:rPr>
            </w:pPr>
            <w:r w:rsidRPr="007114AF">
              <w:rPr>
                <w:rFonts w:ascii="Garamond" w:hAnsi="Garamond"/>
                <w:sz w:val="18"/>
                <w:szCs w:val="18"/>
              </w:rPr>
              <w:t>2014</w:t>
            </w:r>
          </w:p>
        </w:tc>
      </w:tr>
      <w:tr w:rsidR="00286663" w:rsidRPr="007114AF" w14:paraId="6EDD11CA" w14:textId="77777777" w:rsidTr="00286663">
        <w:trPr>
          <w:trHeight w:val="300"/>
          <w:jc w:val="center"/>
        </w:trPr>
        <w:tc>
          <w:tcPr>
            <w:tcW w:w="4009" w:type="pct"/>
            <w:vAlign w:val="center"/>
            <w:hideMark/>
          </w:tcPr>
          <w:p w14:paraId="6EDD11C8" w14:textId="77777777" w:rsidR="00286663" w:rsidRPr="007114AF" w:rsidRDefault="00286663" w:rsidP="00286663">
            <w:pPr>
              <w:spacing w:after="0"/>
              <w:rPr>
                <w:rFonts w:ascii="Garamond" w:hAnsi="Garamond"/>
                <w:sz w:val="18"/>
                <w:szCs w:val="18"/>
              </w:rPr>
            </w:pPr>
            <w:r w:rsidRPr="007114AF">
              <w:rPr>
                <w:rFonts w:ascii="Garamond" w:hAnsi="Garamond"/>
                <w:sz w:val="18"/>
                <w:szCs w:val="18"/>
              </w:rPr>
              <w:t>Teknologjia Kombëtare në Shqipëri (Ndryshimet Klimatike)</w:t>
            </w:r>
          </w:p>
        </w:tc>
        <w:tc>
          <w:tcPr>
            <w:tcW w:w="991" w:type="pct"/>
            <w:noWrap/>
            <w:vAlign w:val="center"/>
            <w:hideMark/>
          </w:tcPr>
          <w:p w14:paraId="6EDD11C9" w14:textId="77777777" w:rsidR="00286663" w:rsidRPr="007114AF" w:rsidRDefault="00286663" w:rsidP="00286663">
            <w:pPr>
              <w:spacing w:after="0"/>
              <w:rPr>
                <w:rFonts w:ascii="Garamond" w:hAnsi="Garamond"/>
                <w:sz w:val="18"/>
                <w:szCs w:val="18"/>
              </w:rPr>
            </w:pPr>
            <w:r w:rsidRPr="007114AF">
              <w:rPr>
                <w:rFonts w:ascii="Garamond" w:hAnsi="Garamond"/>
                <w:sz w:val="18"/>
                <w:szCs w:val="18"/>
              </w:rPr>
              <w:t>2013</w:t>
            </w:r>
          </w:p>
        </w:tc>
      </w:tr>
      <w:tr w:rsidR="00286663" w:rsidRPr="007114AF" w14:paraId="6EDD11CD" w14:textId="77777777" w:rsidTr="00286663">
        <w:trPr>
          <w:trHeight w:val="300"/>
          <w:jc w:val="center"/>
        </w:trPr>
        <w:tc>
          <w:tcPr>
            <w:tcW w:w="4009" w:type="pct"/>
            <w:vAlign w:val="center"/>
            <w:hideMark/>
          </w:tcPr>
          <w:p w14:paraId="6EDD11CB" w14:textId="77777777" w:rsidR="00286663" w:rsidRPr="007114AF" w:rsidRDefault="00286663" w:rsidP="00286663">
            <w:pPr>
              <w:spacing w:after="0"/>
              <w:rPr>
                <w:rFonts w:ascii="Garamond" w:hAnsi="Garamond"/>
                <w:sz w:val="18"/>
                <w:szCs w:val="18"/>
              </w:rPr>
            </w:pPr>
            <w:r w:rsidRPr="007114AF">
              <w:rPr>
                <w:rFonts w:ascii="Garamond" w:hAnsi="Garamond"/>
                <w:sz w:val="18"/>
                <w:szCs w:val="18"/>
              </w:rPr>
              <w:t>Udh</w:t>
            </w:r>
            <w:r w:rsidRPr="007114AF">
              <w:rPr>
                <w:rFonts w:ascii="Garamond" w:hAnsi="Garamond" w:cstheme="minorHAnsi"/>
                <w:sz w:val="18"/>
                <w:szCs w:val="18"/>
              </w:rPr>
              <w:t>ëzime për Transferimin e Bashkërenduar të Legjislacionit të BE-së në Fushën e Ndryshimeve Klimatike</w:t>
            </w:r>
          </w:p>
        </w:tc>
        <w:tc>
          <w:tcPr>
            <w:tcW w:w="991" w:type="pct"/>
            <w:noWrap/>
            <w:vAlign w:val="center"/>
            <w:hideMark/>
          </w:tcPr>
          <w:p w14:paraId="6EDD11CC" w14:textId="77777777" w:rsidR="00286663" w:rsidRPr="007114AF" w:rsidRDefault="00286663" w:rsidP="00286663">
            <w:pPr>
              <w:spacing w:after="0"/>
              <w:rPr>
                <w:rFonts w:ascii="Garamond" w:hAnsi="Garamond"/>
                <w:sz w:val="18"/>
                <w:szCs w:val="18"/>
              </w:rPr>
            </w:pPr>
            <w:r w:rsidRPr="007114AF">
              <w:rPr>
                <w:rFonts w:ascii="Garamond" w:hAnsi="Garamond"/>
                <w:sz w:val="18"/>
                <w:szCs w:val="18"/>
              </w:rPr>
              <w:t>2014</w:t>
            </w:r>
          </w:p>
        </w:tc>
      </w:tr>
      <w:tr w:rsidR="00286663" w:rsidRPr="007114AF" w14:paraId="6EDD11D0" w14:textId="77777777" w:rsidTr="00286663">
        <w:trPr>
          <w:trHeight w:val="300"/>
          <w:jc w:val="center"/>
        </w:trPr>
        <w:tc>
          <w:tcPr>
            <w:tcW w:w="4009" w:type="pct"/>
            <w:vAlign w:val="center"/>
            <w:hideMark/>
          </w:tcPr>
          <w:p w14:paraId="6EDD11CE" w14:textId="77777777" w:rsidR="00286663" w:rsidRPr="007114AF" w:rsidRDefault="00286663" w:rsidP="00286663">
            <w:pPr>
              <w:spacing w:after="0"/>
              <w:rPr>
                <w:rFonts w:ascii="Garamond" w:hAnsi="Garamond"/>
                <w:sz w:val="18"/>
                <w:szCs w:val="18"/>
              </w:rPr>
            </w:pPr>
            <w:r w:rsidRPr="007114AF">
              <w:rPr>
                <w:rFonts w:ascii="Garamond" w:hAnsi="Garamond"/>
                <w:sz w:val="18"/>
                <w:szCs w:val="18"/>
              </w:rPr>
              <w:t>NAMA Zëvendësimi i lëndëve djegëse fosile me mbetje të parrezikshme në industrinë shqiptare të çimentos</w:t>
            </w:r>
          </w:p>
        </w:tc>
        <w:tc>
          <w:tcPr>
            <w:tcW w:w="991" w:type="pct"/>
            <w:vAlign w:val="center"/>
            <w:hideMark/>
          </w:tcPr>
          <w:p w14:paraId="6EDD11CF" w14:textId="77777777" w:rsidR="00286663" w:rsidRPr="007114AF" w:rsidRDefault="00286663" w:rsidP="00286663">
            <w:pPr>
              <w:spacing w:after="0"/>
              <w:rPr>
                <w:rFonts w:ascii="Garamond" w:hAnsi="Garamond"/>
                <w:sz w:val="18"/>
                <w:szCs w:val="18"/>
              </w:rPr>
            </w:pPr>
            <w:r w:rsidRPr="007114AF">
              <w:rPr>
                <w:rFonts w:ascii="Garamond" w:hAnsi="Garamond"/>
                <w:sz w:val="18"/>
                <w:szCs w:val="18"/>
              </w:rPr>
              <w:t>2015</w:t>
            </w:r>
          </w:p>
        </w:tc>
      </w:tr>
      <w:tr w:rsidR="00286663" w:rsidRPr="007114AF" w14:paraId="6EDD11D3" w14:textId="77777777" w:rsidTr="00286663">
        <w:trPr>
          <w:trHeight w:val="300"/>
          <w:jc w:val="center"/>
        </w:trPr>
        <w:tc>
          <w:tcPr>
            <w:tcW w:w="4009" w:type="pct"/>
            <w:vAlign w:val="center"/>
            <w:hideMark/>
          </w:tcPr>
          <w:p w14:paraId="6EDD11D1" w14:textId="21A49DD6" w:rsidR="00286663" w:rsidRPr="007114AF" w:rsidRDefault="00286663" w:rsidP="00286663">
            <w:pPr>
              <w:spacing w:after="0"/>
              <w:rPr>
                <w:rFonts w:ascii="Garamond" w:hAnsi="Garamond"/>
                <w:sz w:val="18"/>
                <w:szCs w:val="18"/>
              </w:rPr>
            </w:pPr>
            <w:r w:rsidRPr="007114AF">
              <w:rPr>
                <w:rFonts w:ascii="Garamond" w:hAnsi="Garamond"/>
                <w:sz w:val="18"/>
                <w:szCs w:val="18"/>
              </w:rPr>
              <w:t>NAMA</w:t>
            </w:r>
            <w:r w:rsidR="000A2A01" w:rsidRPr="007114AF">
              <w:rPr>
                <w:rFonts w:ascii="Garamond" w:hAnsi="Garamond"/>
                <w:sz w:val="18"/>
                <w:szCs w:val="18"/>
              </w:rPr>
              <w:t xml:space="preserve"> </w:t>
            </w:r>
            <w:r w:rsidRPr="007114AF">
              <w:rPr>
                <w:rFonts w:ascii="Garamond" w:hAnsi="Garamond"/>
                <w:sz w:val="18"/>
                <w:szCs w:val="18"/>
              </w:rPr>
              <w:t>Mekanizëm Financimi për</w:t>
            </w:r>
            <w:r w:rsidR="000A2A01" w:rsidRPr="007114AF">
              <w:rPr>
                <w:rFonts w:ascii="Garamond" w:hAnsi="Garamond"/>
                <w:sz w:val="18"/>
                <w:szCs w:val="18"/>
              </w:rPr>
              <w:t xml:space="preserve"> </w:t>
            </w:r>
            <w:r w:rsidRPr="007114AF">
              <w:rPr>
                <w:rFonts w:ascii="Garamond" w:hAnsi="Garamond"/>
                <w:color w:val="000000"/>
                <w:sz w:val="18"/>
                <w:szCs w:val="18"/>
              </w:rPr>
              <w:t xml:space="preserve">Eficiencën </w:t>
            </w:r>
            <w:r w:rsidRPr="007114AF">
              <w:rPr>
                <w:rFonts w:ascii="Garamond" w:hAnsi="Garamond"/>
                <w:sz w:val="18"/>
                <w:szCs w:val="18"/>
              </w:rPr>
              <w:t>e Energjisë në Banesa</w:t>
            </w:r>
          </w:p>
        </w:tc>
        <w:tc>
          <w:tcPr>
            <w:tcW w:w="991" w:type="pct"/>
            <w:vAlign w:val="center"/>
            <w:hideMark/>
          </w:tcPr>
          <w:p w14:paraId="6EDD11D2" w14:textId="77777777" w:rsidR="00286663" w:rsidRPr="007114AF" w:rsidRDefault="00286663" w:rsidP="00286663">
            <w:pPr>
              <w:spacing w:after="0"/>
              <w:rPr>
                <w:rFonts w:ascii="Garamond" w:hAnsi="Garamond"/>
                <w:sz w:val="18"/>
                <w:szCs w:val="18"/>
              </w:rPr>
            </w:pPr>
            <w:r w:rsidRPr="007114AF">
              <w:rPr>
                <w:rFonts w:ascii="Garamond" w:hAnsi="Garamond"/>
                <w:sz w:val="18"/>
                <w:szCs w:val="18"/>
              </w:rPr>
              <w:t>2014</w:t>
            </w:r>
          </w:p>
        </w:tc>
      </w:tr>
      <w:tr w:rsidR="00286663" w:rsidRPr="007114AF" w14:paraId="6EDD11D6" w14:textId="77777777" w:rsidTr="00286663">
        <w:trPr>
          <w:trHeight w:val="300"/>
          <w:jc w:val="center"/>
        </w:trPr>
        <w:tc>
          <w:tcPr>
            <w:tcW w:w="4009" w:type="pct"/>
            <w:vAlign w:val="center"/>
            <w:hideMark/>
          </w:tcPr>
          <w:p w14:paraId="6EDD11D4" w14:textId="77777777" w:rsidR="00286663" w:rsidRPr="007114AF" w:rsidRDefault="00286663" w:rsidP="00286663">
            <w:pPr>
              <w:spacing w:after="0"/>
              <w:rPr>
                <w:rFonts w:ascii="Garamond" w:hAnsi="Garamond"/>
                <w:sz w:val="18"/>
                <w:szCs w:val="18"/>
              </w:rPr>
            </w:pPr>
            <w:r w:rsidRPr="007114AF">
              <w:rPr>
                <w:rFonts w:ascii="Garamond" w:hAnsi="Garamond"/>
                <w:sz w:val="18"/>
                <w:szCs w:val="18"/>
              </w:rPr>
              <w:t xml:space="preserve">Plani Kombëtar i Veprimit mbi </w:t>
            </w:r>
            <w:r w:rsidRPr="007114AF">
              <w:rPr>
                <w:rFonts w:ascii="Garamond" w:hAnsi="Garamond"/>
                <w:color w:val="000000"/>
                <w:sz w:val="18"/>
                <w:szCs w:val="18"/>
              </w:rPr>
              <w:t>Eficiencën</w:t>
            </w:r>
            <w:r w:rsidRPr="007114AF">
              <w:rPr>
                <w:rFonts w:ascii="Garamond" w:hAnsi="Garamond"/>
                <w:sz w:val="18"/>
                <w:szCs w:val="18"/>
              </w:rPr>
              <w:t xml:space="preserve"> e Energjisë</w:t>
            </w:r>
          </w:p>
        </w:tc>
        <w:tc>
          <w:tcPr>
            <w:tcW w:w="991" w:type="pct"/>
            <w:noWrap/>
            <w:vAlign w:val="center"/>
            <w:hideMark/>
          </w:tcPr>
          <w:p w14:paraId="6EDD11D5" w14:textId="77777777" w:rsidR="00286663" w:rsidRPr="007114AF" w:rsidRDefault="00286663" w:rsidP="00286663">
            <w:pPr>
              <w:spacing w:after="0"/>
              <w:rPr>
                <w:rFonts w:ascii="Garamond" w:hAnsi="Garamond"/>
                <w:sz w:val="18"/>
                <w:szCs w:val="18"/>
              </w:rPr>
            </w:pPr>
            <w:r w:rsidRPr="007114AF">
              <w:rPr>
                <w:rFonts w:ascii="Garamond" w:hAnsi="Garamond"/>
                <w:sz w:val="18"/>
                <w:szCs w:val="18"/>
              </w:rPr>
              <w:t>2011</w:t>
            </w:r>
          </w:p>
        </w:tc>
      </w:tr>
      <w:tr w:rsidR="00286663" w:rsidRPr="007114AF" w14:paraId="6EDD11D9" w14:textId="77777777" w:rsidTr="00286663">
        <w:trPr>
          <w:trHeight w:val="300"/>
          <w:jc w:val="center"/>
        </w:trPr>
        <w:tc>
          <w:tcPr>
            <w:tcW w:w="4009" w:type="pct"/>
            <w:vAlign w:val="center"/>
            <w:hideMark/>
          </w:tcPr>
          <w:p w14:paraId="6EDD11D7" w14:textId="77777777" w:rsidR="00286663" w:rsidRPr="007114AF" w:rsidRDefault="00286663" w:rsidP="00286663">
            <w:pPr>
              <w:spacing w:after="0"/>
              <w:rPr>
                <w:rFonts w:ascii="Garamond" w:hAnsi="Garamond"/>
                <w:sz w:val="18"/>
                <w:szCs w:val="18"/>
              </w:rPr>
            </w:pPr>
            <w:r w:rsidRPr="007114AF">
              <w:rPr>
                <w:rFonts w:ascii="Garamond" w:hAnsi="Garamond"/>
                <w:sz w:val="18"/>
                <w:szCs w:val="18"/>
              </w:rPr>
              <w:t xml:space="preserve">SLED (Projekte për shkarkimet e ulëta) </w:t>
            </w:r>
          </w:p>
        </w:tc>
        <w:tc>
          <w:tcPr>
            <w:tcW w:w="991" w:type="pct"/>
            <w:vAlign w:val="center"/>
            <w:hideMark/>
          </w:tcPr>
          <w:p w14:paraId="6EDD11D8" w14:textId="77777777" w:rsidR="00286663" w:rsidRPr="007114AF" w:rsidRDefault="00286663" w:rsidP="00286663">
            <w:pPr>
              <w:spacing w:after="0"/>
              <w:rPr>
                <w:rFonts w:ascii="Garamond" w:hAnsi="Garamond"/>
                <w:sz w:val="18"/>
                <w:szCs w:val="18"/>
              </w:rPr>
            </w:pPr>
            <w:r w:rsidRPr="007114AF">
              <w:rPr>
                <w:rFonts w:ascii="Garamond" w:hAnsi="Garamond"/>
                <w:sz w:val="18"/>
                <w:szCs w:val="18"/>
              </w:rPr>
              <w:t>2013</w:t>
            </w:r>
          </w:p>
        </w:tc>
      </w:tr>
      <w:tr w:rsidR="00286663" w:rsidRPr="007114AF" w14:paraId="6EDD11DC" w14:textId="77777777" w:rsidTr="00286663">
        <w:trPr>
          <w:trHeight w:val="300"/>
          <w:jc w:val="center"/>
        </w:trPr>
        <w:tc>
          <w:tcPr>
            <w:tcW w:w="4009" w:type="pct"/>
            <w:vAlign w:val="center"/>
            <w:hideMark/>
          </w:tcPr>
          <w:p w14:paraId="6EDD11DA" w14:textId="77777777" w:rsidR="00286663" w:rsidRPr="007114AF" w:rsidRDefault="00286663" w:rsidP="00286663">
            <w:pPr>
              <w:spacing w:after="0"/>
              <w:rPr>
                <w:rFonts w:ascii="Garamond" w:hAnsi="Garamond"/>
                <w:sz w:val="18"/>
                <w:szCs w:val="18"/>
              </w:rPr>
            </w:pPr>
            <w:r w:rsidRPr="007114AF">
              <w:rPr>
                <w:rFonts w:ascii="Garamond" w:hAnsi="Garamond"/>
                <w:sz w:val="18"/>
                <w:szCs w:val="18"/>
              </w:rPr>
              <w:t xml:space="preserve">Shqipëria –Projekt për Rimëkëmbjen e Energjisë: P144029 –Raporti i Statusit të Zbatimit të Rezultateve: Sekuenca 02 (Anglisht) </w:t>
            </w:r>
          </w:p>
        </w:tc>
        <w:tc>
          <w:tcPr>
            <w:tcW w:w="991" w:type="pct"/>
            <w:vAlign w:val="center"/>
            <w:hideMark/>
          </w:tcPr>
          <w:p w14:paraId="6EDD11DB" w14:textId="77777777" w:rsidR="00286663" w:rsidRPr="007114AF" w:rsidRDefault="00286663" w:rsidP="00286663">
            <w:pPr>
              <w:spacing w:after="0"/>
              <w:rPr>
                <w:rFonts w:ascii="Garamond" w:hAnsi="Garamond"/>
                <w:sz w:val="18"/>
                <w:szCs w:val="18"/>
              </w:rPr>
            </w:pPr>
            <w:r w:rsidRPr="007114AF">
              <w:rPr>
                <w:rFonts w:ascii="Garamond" w:hAnsi="Garamond"/>
                <w:sz w:val="18"/>
                <w:szCs w:val="18"/>
              </w:rPr>
              <w:t>2016</w:t>
            </w:r>
          </w:p>
        </w:tc>
      </w:tr>
      <w:tr w:rsidR="00286663" w:rsidRPr="007114AF" w14:paraId="6EDD11DF" w14:textId="77777777" w:rsidTr="00286663">
        <w:trPr>
          <w:trHeight w:val="300"/>
          <w:jc w:val="center"/>
        </w:trPr>
        <w:tc>
          <w:tcPr>
            <w:tcW w:w="4009" w:type="pct"/>
            <w:vAlign w:val="center"/>
            <w:hideMark/>
          </w:tcPr>
          <w:p w14:paraId="6EDD11DD" w14:textId="77777777" w:rsidR="00286663" w:rsidRPr="007114AF" w:rsidRDefault="00286663" w:rsidP="00286663">
            <w:pPr>
              <w:spacing w:after="0"/>
              <w:rPr>
                <w:rFonts w:ascii="Garamond" w:hAnsi="Garamond"/>
                <w:sz w:val="18"/>
                <w:szCs w:val="18"/>
              </w:rPr>
            </w:pPr>
            <w:r w:rsidRPr="007114AF">
              <w:rPr>
                <w:rFonts w:ascii="Garamond" w:hAnsi="Garamond"/>
                <w:sz w:val="18"/>
                <w:szCs w:val="18"/>
              </w:rPr>
              <w:t>Raporti i Studimit dhe Përmbledhje Joteknike për Vlerësimin e Ndikimit Mjedisor dhe Social të Gazsjellësit Trans Adriatik (TAP)</w:t>
            </w:r>
          </w:p>
        </w:tc>
        <w:tc>
          <w:tcPr>
            <w:tcW w:w="991" w:type="pct"/>
            <w:vAlign w:val="center"/>
            <w:hideMark/>
          </w:tcPr>
          <w:p w14:paraId="6EDD11DE" w14:textId="77777777" w:rsidR="00286663" w:rsidRPr="007114AF" w:rsidRDefault="00286663" w:rsidP="00286663">
            <w:pPr>
              <w:spacing w:after="0"/>
              <w:rPr>
                <w:rFonts w:ascii="Garamond" w:hAnsi="Garamond"/>
                <w:sz w:val="18"/>
                <w:szCs w:val="18"/>
              </w:rPr>
            </w:pPr>
            <w:r w:rsidRPr="007114AF">
              <w:rPr>
                <w:rFonts w:ascii="Garamond" w:hAnsi="Garamond"/>
                <w:sz w:val="18"/>
                <w:szCs w:val="18"/>
              </w:rPr>
              <w:t>2012</w:t>
            </w:r>
          </w:p>
        </w:tc>
      </w:tr>
      <w:tr w:rsidR="00286663" w:rsidRPr="007114AF" w14:paraId="6EDD11E2" w14:textId="77777777" w:rsidTr="00286663">
        <w:trPr>
          <w:trHeight w:val="600"/>
          <w:jc w:val="center"/>
        </w:trPr>
        <w:tc>
          <w:tcPr>
            <w:tcW w:w="4009" w:type="pct"/>
            <w:vAlign w:val="center"/>
            <w:hideMark/>
          </w:tcPr>
          <w:p w14:paraId="6EDD11E0" w14:textId="77777777" w:rsidR="00286663" w:rsidRPr="007114AF" w:rsidRDefault="00286663" w:rsidP="00286663">
            <w:pPr>
              <w:spacing w:after="0"/>
              <w:rPr>
                <w:rFonts w:ascii="Garamond" w:hAnsi="Garamond"/>
                <w:sz w:val="18"/>
                <w:szCs w:val="18"/>
              </w:rPr>
            </w:pPr>
            <w:r w:rsidRPr="007114AF">
              <w:rPr>
                <w:rFonts w:ascii="Garamond" w:hAnsi="Garamond"/>
                <w:sz w:val="18"/>
                <w:szCs w:val="18"/>
              </w:rPr>
              <w:t>Komunikimi i Tret</w:t>
            </w:r>
            <w:r w:rsidRPr="007114AF">
              <w:rPr>
                <w:rFonts w:ascii="Garamond" w:hAnsi="Garamond" w:cstheme="minorHAnsi"/>
                <w:sz w:val="18"/>
                <w:szCs w:val="18"/>
              </w:rPr>
              <w:t xml:space="preserve">ë Kombëtar i Shqipërisë </w:t>
            </w:r>
            <w:r w:rsidRPr="007114AF">
              <w:rPr>
                <w:rFonts w:ascii="Garamond" w:hAnsi="Garamond"/>
                <w:sz w:val="18"/>
                <w:szCs w:val="18"/>
              </w:rPr>
              <w:t>–Skenari Baz</w:t>
            </w:r>
            <w:r w:rsidRPr="007114AF">
              <w:rPr>
                <w:rFonts w:ascii="Garamond" w:hAnsi="Garamond" w:cstheme="minorHAnsi"/>
                <w:sz w:val="18"/>
                <w:szCs w:val="18"/>
              </w:rPr>
              <w:t>ë dhe Masat Zbutëse</w:t>
            </w:r>
            <w:r w:rsidRPr="007114AF">
              <w:rPr>
                <w:rFonts w:ascii="Garamond" w:hAnsi="Garamond"/>
                <w:sz w:val="18"/>
                <w:szCs w:val="18"/>
              </w:rPr>
              <w:t>– Raport mbi Analizat e Masave Zbutëse p</w:t>
            </w:r>
            <w:r w:rsidRPr="007114AF">
              <w:rPr>
                <w:rFonts w:ascii="Garamond" w:hAnsi="Garamond" w:cstheme="minorHAnsi"/>
                <w:sz w:val="18"/>
                <w:szCs w:val="18"/>
              </w:rPr>
              <w:t>ër shkarkimet GES në energji dhe transport</w:t>
            </w:r>
          </w:p>
        </w:tc>
        <w:tc>
          <w:tcPr>
            <w:tcW w:w="991" w:type="pct"/>
            <w:vAlign w:val="center"/>
            <w:hideMark/>
          </w:tcPr>
          <w:p w14:paraId="6EDD11E1" w14:textId="77777777" w:rsidR="00286663" w:rsidRPr="007114AF" w:rsidRDefault="00286663" w:rsidP="00286663">
            <w:pPr>
              <w:spacing w:after="0"/>
              <w:rPr>
                <w:rFonts w:ascii="Garamond" w:hAnsi="Garamond"/>
                <w:sz w:val="18"/>
                <w:szCs w:val="18"/>
              </w:rPr>
            </w:pPr>
            <w:r w:rsidRPr="007114AF">
              <w:rPr>
                <w:rFonts w:ascii="Garamond" w:hAnsi="Garamond"/>
                <w:sz w:val="18"/>
                <w:szCs w:val="18"/>
              </w:rPr>
              <w:t>2016</w:t>
            </w:r>
          </w:p>
        </w:tc>
      </w:tr>
      <w:tr w:rsidR="00286663" w:rsidRPr="007114AF" w14:paraId="6EDD11E5" w14:textId="77777777" w:rsidTr="00286663">
        <w:trPr>
          <w:trHeight w:val="300"/>
          <w:jc w:val="center"/>
        </w:trPr>
        <w:tc>
          <w:tcPr>
            <w:tcW w:w="4009" w:type="pct"/>
            <w:vAlign w:val="center"/>
          </w:tcPr>
          <w:p w14:paraId="6EDD11E3" w14:textId="77777777" w:rsidR="00286663" w:rsidRPr="007114AF" w:rsidRDefault="00286663" w:rsidP="00286663">
            <w:pPr>
              <w:spacing w:after="0"/>
              <w:rPr>
                <w:rFonts w:ascii="Garamond" w:hAnsi="Garamond"/>
                <w:sz w:val="18"/>
                <w:szCs w:val="18"/>
              </w:rPr>
            </w:pPr>
            <w:r w:rsidRPr="007114AF">
              <w:rPr>
                <w:rFonts w:ascii="Garamond" w:hAnsi="Garamond"/>
                <w:sz w:val="18"/>
                <w:szCs w:val="18"/>
              </w:rPr>
              <w:t>Komunikimi i Tret</w:t>
            </w:r>
            <w:r w:rsidRPr="007114AF">
              <w:rPr>
                <w:rFonts w:ascii="Garamond" w:hAnsi="Garamond" w:cstheme="minorHAnsi"/>
                <w:sz w:val="18"/>
                <w:szCs w:val="18"/>
              </w:rPr>
              <w:t xml:space="preserve">ë Kombëtar i Shqipërisë </w:t>
            </w:r>
            <w:r w:rsidRPr="007114AF">
              <w:rPr>
                <w:rFonts w:ascii="Garamond" w:hAnsi="Garamond"/>
                <w:sz w:val="18"/>
                <w:szCs w:val="18"/>
              </w:rPr>
              <w:t>–Skenari Baz</w:t>
            </w:r>
            <w:r w:rsidRPr="007114AF">
              <w:rPr>
                <w:rFonts w:ascii="Garamond" w:hAnsi="Garamond" w:cstheme="minorHAnsi"/>
                <w:sz w:val="18"/>
                <w:szCs w:val="18"/>
              </w:rPr>
              <w:t>ë dhe Masat Zbutëse</w:t>
            </w:r>
            <w:r w:rsidRPr="007114AF">
              <w:rPr>
                <w:rFonts w:ascii="Garamond" w:hAnsi="Garamond"/>
                <w:sz w:val="18"/>
                <w:szCs w:val="18"/>
              </w:rPr>
              <w:t>– Raport mbi Analizat e Masave Zbutëse p</w:t>
            </w:r>
            <w:r w:rsidRPr="007114AF">
              <w:rPr>
                <w:rFonts w:ascii="Garamond" w:hAnsi="Garamond" w:cstheme="minorHAnsi"/>
                <w:sz w:val="18"/>
                <w:szCs w:val="18"/>
              </w:rPr>
              <w:t xml:space="preserve">ër shkarkimet GES në Bujqësi dhe </w:t>
            </w:r>
            <w:r w:rsidRPr="007114AF">
              <w:rPr>
                <w:rFonts w:ascii="Garamond" w:hAnsi="Garamond"/>
                <w:sz w:val="18"/>
                <w:szCs w:val="18"/>
              </w:rPr>
              <w:t>LUCF-ë</w:t>
            </w:r>
          </w:p>
        </w:tc>
        <w:tc>
          <w:tcPr>
            <w:tcW w:w="991" w:type="pct"/>
            <w:noWrap/>
            <w:vAlign w:val="center"/>
          </w:tcPr>
          <w:p w14:paraId="6EDD11E4" w14:textId="77777777" w:rsidR="00286663" w:rsidRPr="007114AF" w:rsidRDefault="00286663" w:rsidP="00286663">
            <w:pPr>
              <w:spacing w:after="0"/>
              <w:rPr>
                <w:rFonts w:ascii="Garamond" w:hAnsi="Garamond"/>
                <w:sz w:val="18"/>
                <w:szCs w:val="18"/>
              </w:rPr>
            </w:pPr>
            <w:r w:rsidRPr="007114AF">
              <w:rPr>
                <w:rFonts w:ascii="Garamond" w:hAnsi="Garamond"/>
                <w:sz w:val="18"/>
                <w:szCs w:val="18"/>
              </w:rPr>
              <w:t>2016</w:t>
            </w:r>
          </w:p>
        </w:tc>
      </w:tr>
      <w:tr w:rsidR="00286663" w:rsidRPr="007114AF" w14:paraId="6EDD11E8" w14:textId="77777777" w:rsidTr="00286663">
        <w:trPr>
          <w:trHeight w:val="300"/>
          <w:jc w:val="center"/>
        </w:trPr>
        <w:tc>
          <w:tcPr>
            <w:tcW w:w="4009" w:type="pct"/>
            <w:vAlign w:val="center"/>
            <w:hideMark/>
          </w:tcPr>
          <w:p w14:paraId="6EDD11E6" w14:textId="77777777" w:rsidR="00286663" w:rsidRPr="007114AF" w:rsidRDefault="00286663" w:rsidP="00286663">
            <w:pPr>
              <w:spacing w:after="0"/>
              <w:rPr>
                <w:rFonts w:ascii="Garamond" w:hAnsi="Garamond"/>
                <w:sz w:val="18"/>
                <w:szCs w:val="18"/>
              </w:rPr>
            </w:pPr>
            <w:r w:rsidRPr="007114AF">
              <w:rPr>
                <w:rFonts w:ascii="Garamond" w:hAnsi="Garamond"/>
                <w:sz w:val="18"/>
                <w:szCs w:val="18"/>
              </w:rPr>
              <w:t>Plani i P</w:t>
            </w:r>
            <w:r w:rsidRPr="007114AF">
              <w:rPr>
                <w:rFonts w:ascii="Garamond" w:hAnsi="Garamond" w:cstheme="minorHAnsi"/>
                <w:sz w:val="18"/>
                <w:szCs w:val="18"/>
              </w:rPr>
              <w:t>ërpunimit të karbonit me nivel të ulët</w:t>
            </w:r>
            <w:r w:rsidRPr="007114AF">
              <w:rPr>
                <w:rFonts w:ascii="Garamond" w:hAnsi="Garamond"/>
                <w:sz w:val="18"/>
                <w:szCs w:val="18"/>
              </w:rPr>
              <w:t xml:space="preserve"> – Shqipëri</w:t>
            </w:r>
          </w:p>
        </w:tc>
        <w:tc>
          <w:tcPr>
            <w:tcW w:w="991" w:type="pct"/>
            <w:noWrap/>
            <w:vAlign w:val="center"/>
            <w:hideMark/>
          </w:tcPr>
          <w:p w14:paraId="6EDD11E7" w14:textId="77777777" w:rsidR="00286663" w:rsidRPr="007114AF" w:rsidRDefault="00286663" w:rsidP="00286663">
            <w:pPr>
              <w:spacing w:after="0"/>
              <w:rPr>
                <w:rFonts w:ascii="Garamond" w:hAnsi="Garamond"/>
                <w:sz w:val="18"/>
                <w:szCs w:val="18"/>
              </w:rPr>
            </w:pPr>
            <w:r w:rsidRPr="007114AF">
              <w:rPr>
                <w:rFonts w:ascii="Garamond" w:hAnsi="Garamond"/>
                <w:sz w:val="18"/>
                <w:szCs w:val="18"/>
              </w:rPr>
              <w:t>2014</w:t>
            </w:r>
          </w:p>
        </w:tc>
      </w:tr>
      <w:tr w:rsidR="00286663" w:rsidRPr="007114AF" w14:paraId="6EDD11EB" w14:textId="77777777" w:rsidTr="00286663">
        <w:trPr>
          <w:trHeight w:val="600"/>
          <w:jc w:val="center"/>
        </w:trPr>
        <w:tc>
          <w:tcPr>
            <w:tcW w:w="4009" w:type="pct"/>
            <w:vAlign w:val="center"/>
            <w:hideMark/>
          </w:tcPr>
          <w:p w14:paraId="6EDD11E9" w14:textId="77777777" w:rsidR="00286663" w:rsidRPr="007114AF" w:rsidRDefault="00286663" w:rsidP="00286663">
            <w:pPr>
              <w:spacing w:after="0"/>
              <w:rPr>
                <w:rFonts w:ascii="Garamond" w:hAnsi="Garamond"/>
                <w:sz w:val="18"/>
                <w:szCs w:val="18"/>
              </w:rPr>
            </w:pPr>
            <w:r w:rsidRPr="007114AF">
              <w:rPr>
                <w:rFonts w:ascii="Garamond" w:hAnsi="Garamond"/>
                <w:sz w:val="18"/>
                <w:szCs w:val="18"/>
              </w:rPr>
              <w:t>Vler</w:t>
            </w:r>
            <w:r w:rsidRPr="007114AF">
              <w:rPr>
                <w:rFonts w:ascii="Garamond" w:hAnsi="Garamond" w:cstheme="minorHAnsi"/>
                <w:sz w:val="18"/>
                <w:szCs w:val="18"/>
              </w:rPr>
              <w:t>ësimi i dobësive</w:t>
            </w:r>
            <w:r w:rsidRPr="007114AF">
              <w:rPr>
                <w:rFonts w:ascii="Garamond" w:hAnsi="Garamond"/>
                <w:sz w:val="18"/>
                <w:szCs w:val="18"/>
              </w:rPr>
              <w:t xml:space="preserve"> klimatike–Nj</w:t>
            </w:r>
            <w:r w:rsidRPr="007114AF">
              <w:rPr>
                <w:rFonts w:ascii="Garamond" w:hAnsi="Garamond" w:cstheme="minorHAnsi"/>
                <w:sz w:val="18"/>
                <w:szCs w:val="18"/>
              </w:rPr>
              <w:t>ë Vlerësim i Dobësive të Ndryshimeve Klimatike dhe Përshtatja në Sektorin Shqiptar të Energjisë Elektrike</w:t>
            </w:r>
          </w:p>
        </w:tc>
        <w:tc>
          <w:tcPr>
            <w:tcW w:w="991" w:type="pct"/>
            <w:noWrap/>
            <w:vAlign w:val="center"/>
            <w:hideMark/>
          </w:tcPr>
          <w:p w14:paraId="6EDD11EA" w14:textId="77777777" w:rsidR="00286663" w:rsidRPr="007114AF" w:rsidRDefault="00286663" w:rsidP="00286663">
            <w:pPr>
              <w:spacing w:after="0"/>
              <w:rPr>
                <w:rFonts w:ascii="Garamond" w:hAnsi="Garamond"/>
                <w:sz w:val="18"/>
                <w:szCs w:val="18"/>
              </w:rPr>
            </w:pPr>
            <w:r w:rsidRPr="007114AF">
              <w:rPr>
                <w:rFonts w:ascii="Garamond" w:hAnsi="Garamond"/>
                <w:sz w:val="18"/>
                <w:szCs w:val="18"/>
              </w:rPr>
              <w:t>2009</w:t>
            </w:r>
          </w:p>
        </w:tc>
      </w:tr>
      <w:tr w:rsidR="00286663" w:rsidRPr="007114AF" w14:paraId="6EDD11EE" w14:textId="77777777" w:rsidTr="00286663">
        <w:trPr>
          <w:trHeight w:val="300"/>
          <w:jc w:val="center"/>
        </w:trPr>
        <w:tc>
          <w:tcPr>
            <w:tcW w:w="4009" w:type="pct"/>
            <w:vAlign w:val="center"/>
            <w:hideMark/>
          </w:tcPr>
          <w:p w14:paraId="6EDD11EC" w14:textId="77777777" w:rsidR="00286663" w:rsidRPr="007114AF" w:rsidRDefault="00286663" w:rsidP="00286663">
            <w:pPr>
              <w:spacing w:after="0"/>
              <w:rPr>
                <w:rFonts w:ascii="Garamond" w:hAnsi="Garamond"/>
                <w:sz w:val="18"/>
                <w:szCs w:val="18"/>
              </w:rPr>
            </w:pPr>
            <w:r w:rsidRPr="007114AF">
              <w:rPr>
                <w:rFonts w:ascii="Garamond" w:hAnsi="Garamond"/>
                <w:sz w:val="18"/>
                <w:szCs w:val="18"/>
              </w:rPr>
              <w:t>Plani i Veprimit p</w:t>
            </w:r>
            <w:r w:rsidRPr="007114AF">
              <w:rPr>
                <w:rFonts w:ascii="Garamond" w:hAnsi="Garamond" w:cstheme="minorHAnsi"/>
                <w:sz w:val="18"/>
                <w:szCs w:val="18"/>
              </w:rPr>
              <w:t xml:space="preserve">ër Burimet e Energjisë së Rinovueshme në Shqipëri </w:t>
            </w:r>
            <w:r w:rsidRPr="007114AF">
              <w:rPr>
                <w:rFonts w:ascii="Garamond" w:hAnsi="Garamond"/>
                <w:sz w:val="18"/>
                <w:szCs w:val="18"/>
              </w:rPr>
              <w:t>(BER)</w:t>
            </w:r>
          </w:p>
        </w:tc>
        <w:tc>
          <w:tcPr>
            <w:tcW w:w="991" w:type="pct"/>
            <w:vAlign w:val="center"/>
            <w:hideMark/>
          </w:tcPr>
          <w:p w14:paraId="6EDD11ED" w14:textId="77777777" w:rsidR="00286663" w:rsidRPr="007114AF" w:rsidRDefault="00286663" w:rsidP="00286663">
            <w:pPr>
              <w:spacing w:after="0"/>
              <w:rPr>
                <w:rFonts w:ascii="Garamond" w:hAnsi="Garamond"/>
                <w:sz w:val="18"/>
                <w:szCs w:val="18"/>
              </w:rPr>
            </w:pPr>
            <w:r w:rsidRPr="007114AF">
              <w:rPr>
                <w:rFonts w:ascii="Garamond" w:hAnsi="Garamond"/>
                <w:sz w:val="18"/>
                <w:szCs w:val="18"/>
              </w:rPr>
              <w:t>2016</w:t>
            </w:r>
          </w:p>
        </w:tc>
      </w:tr>
      <w:tr w:rsidR="00286663" w:rsidRPr="007114AF" w14:paraId="6EDD11F1" w14:textId="77777777" w:rsidTr="00286663">
        <w:trPr>
          <w:trHeight w:val="300"/>
          <w:jc w:val="center"/>
        </w:trPr>
        <w:tc>
          <w:tcPr>
            <w:tcW w:w="4009" w:type="pct"/>
            <w:vAlign w:val="center"/>
            <w:hideMark/>
          </w:tcPr>
          <w:p w14:paraId="6EDD11EF" w14:textId="77777777" w:rsidR="00286663" w:rsidRPr="007114AF" w:rsidRDefault="00286663" w:rsidP="00286663">
            <w:pPr>
              <w:spacing w:after="0"/>
              <w:rPr>
                <w:rFonts w:ascii="Garamond" w:hAnsi="Garamond"/>
                <w:sz w:val="18"/>
                <w:szCs w:val="18"/>
              </w:rPr>
            </w:pPr>
            <w:r w:rsidRPr="007114AF">
              <w:rPr>
                <w:rFonts w:ascii="Garamond" w:hAnsi="Garamond"/>
                <w:sz w:val="18"/>
                <w:szCs w:val="18"/>
              </w:rPr>
              <w:t>Ndryshimet Klimatike dhe Bujq</w:t>
            </w:r>
            <w:r w:rsidRPr="007114AF">
              <w:rPr>
                <w:rFonts w:ascii="Garamond" w:hAnsi="Garamond" w:cstheme="minorHAnsi"/>
                <w:sz w:val="18"/>
                <w:szCs w:val="18"/>
              </w:rPr>
              <w:t>ësia në Shqipëri</w:t>
            </w:r>
            <w:r w:rsidRPr="007114AF">
              <w:rPr>
                <w:rFonts w:ascii="Garamond" w:hAnsi="Garamond"/>
                <w:sz w:val="18"/>
                <w:szCs w:val="18"/>
              </w:rPr>
              <w:t>–Nota e shtetit shqiptar</w:t>
            </w:r>
          </w:p>
        </w:tc>
        <w:tc>
          <w:tcPr>
            <w:tcW w:w="991" w:type="pct"/>
            <w:vAlign w:val="center"/>
            <w:hideMark/>
          </w:tcPr>
          <w:p w14:paraId="6EDD11F0" w14:textId="77777777" w:rsidR="00286663" w:rsidRPr="007114AF" w:rsidRDefault="00286663" w:rsidP="00286663">
            <w:pPr>
              <w:spacing w:after="0"/>
              <w:rPr>
                <w:rFonts w:ascii="Garamond" w:hAnsi="Garamond"/>
                <w:sz w:val="18"/>
                <w:szCs w:val="18"/>
              </w:rPr>
            </w:pPr>
            <w:r w:rsidRPr="007114AF">
              <w:rPr>
                <w:rFonts w:ascii="Garamond" w:hAnsi="Garamond"/>
                <w:sz w:val="18"/>
                <w:szCs w:val="18"/>
              </w:rPr>
              <w:t>2011</w:t>
            </w:r>
          </w:p>
        </w:tc>
      </w:tr>
      <w:tr w:rsidR="00286663" w:rsidRPr="007114AF" w14:paraId="6EDD11F4" w14:textId="77777777" w:rsidTr="00286663">
        <w:trPr>
          <w:trHeight w:val="300"/>
          <w:jc w:val="center"/>
        </w:trPr>
        <w:tc>
          <w:tcPr>
            <w:tcW w:w="4009" w:type="pct"/>
            <w:vAlign w:val="center"/>
            <w:hideMark/>
          </w:tcPr>
          <w:p w14:paraId="6EDD11F2" w14:textId="77777777" w:rsidR="00286663" w:rsidRPr="007114AF" w:rsidRDefault="00286663" w:rsidP="00286663">
            <w:pPr>
              <w:spacing w:after="0"/>
              <w:rPr>
                <w:rFonts w:ascii="Garamond" w:hAnsi="Garamond"/>
                <w:sz w:val="18"/>
                <w:szCs w:val="18"/>
              </w:rPr>
            </w:pPr>
            <w:r w:rsidRPr="007114AF">
              <w:rPr>
                <w:rFonts w:ascii="Garamond" w:hAnsi="Garamond"/>
                <w:sz w:val="18"/>
                <w:szCs w:val="18"/>
              </w:rPr>
              <w:t>Raporti i Kat</w:t>
            </w:r>
            <w:r w:rsidRPr="007114AF">
              <w:rPr>
                <w:rFonts w:ascii="Garamond" w:hAnsi="Garamond" w:cstheme="minorHAnsi"/>
                <w:sz w:val="18"/>
                <w:szCs w:val="18"/>
              </w:rPr>
              <w:t xml:space="preserve">ërt Vendor në Konventën e Kombeve të Bashkuara mbi Diversitetin </w:t>
            </w:r>
            <w:r w:rsidRPr="007114AF">
              <w:rPr>
                <w:rFonts w:ascii="Garamond" w:hAnsi="Garamond"/>
                <w:sz w:val="18"/>
                <w:szCs w:val="18"/>
              </w:rPr>
              <w:t>Biologjik</w:t>
            </w:r>
          </w:p>
        </w:tc>
        <w:tc>
          <w:tcPr>
            <w:tcW w:w="991" w:type="pct"/>
            <w:vAlign w:val="center"/>
            <w:hideMark/>
          </w:tcPr>
          <w:p w14:paraId="6EDD11F3" w14:textId="77777777" w:rsidR="00286663" w:rsidRPr="007114AF" w:rsidRDefault="00286663" w:rsidP="00286663">
            <w:pPr>
              <w:spacing w:after="0"/>
              <w:rPr>
                <w:rFonts w:ascii="Garamond" w:hAnsi="Garamond"/>
                <w:sz w:val="18"/>
                <w:szCs w:val="18"/>
              </w:rPr>
            </w:pPr>
            <w:r w:rsidRPr="007114AF">
              <w:rPr>
                <w:rFonts w:ascii="Garamond" w:hAnsi="Garamond"/>
                <w:sz w:val="18"/>
                <w:szCs w:val="18"/>
              </w:rPr>
              <w:t>2011</w:t>
            </w:r>
          </w:p>
        </w:tc>
      </w:tr>
      <w:tr w:rsidR="00286663" w:rsidRPr="007114AF" w14:paraId="6EDD11F7" w14:textId="77777777" w:rsidTr="00286663">
        <w:trPr>
          <w:trHeight w:val="600"/>
          <w:jc w:val="center"/>
        </w:trPr>
        <w:tc>
          <w:tcPr>
            <w:tcW w:w="4009" w:type="pct"/>
            <w:vAlign w:val="center"/>
            <w:hideMark/>
          </w:tcPr>
          <w:p w14:paraId="6EDD11F5" w14:textId="59E7D125" w:rsidR="00286663" w:rsidRPr="007114AF" w:rsidRDefault="00286663" w:rsidP="005D5DCB">
            <w:pPr>
              <w:spacing w:after="0"/>
              <w:rPr>
                <w:rFonts w:ascii="Garamond" w:hAnsi="Garamond"/>
                <w:sz w:val="18"/>
                <w:szCs w:val="18"/>
              </w:rPr>
            </w:pPr>
            <w:r w:rsidRPr="007114AF">
              <w:rPr>
                <w:rFonts w:ascii="Garamond" w:hAnsi="Garamond"/>
                <w:sz w:val="18"/>
                <w:szCs w:val="18"/>
              </w:rPr>
              <w:t>Integrimi Mjedisit n</w:t>
            </w:r>
            <w:r w:rsidRPr="007114AF">
              <w:rPr>
                <w:rFonts w:ascii="Garamond" w:hAnsi="Garamond" w:cstheme="minorHAnsi"/>
                <w:sz w:val="18"/>
                <w:szCs w:val="18"/>
              </w:rPr>
              <w:t>ë Bujqësi dhe Progresin Pyjor dhe Perspektivat në E</w:t>
            </w:r>
            <w:r w:rsidR="005D5DCB">
              <w:rPr>
                <w:rFonts w:ascii="Garamond" w:hAnsi="Garamond" w:cstheme="minorHAnsi"/>
                <w:sz w:val="18"/>
                <w:szCs w:val="18"/>
              </w:rPr>
              <w:t>v</w:t>
            </w:r>
            <w:r w:rsidRPr="007114AF">
              <w:rPr>
                <w:rFonts w:ascii="Garamond" w:hAnsi="Garamond" w:cstheme="minorHAnsi"/>
                <w:sz w:val="18"/>
                <w:szCs w:val="18"/>
              </w:rPr>
              <w:t>ropën Lindore dhe Azinë Qendrore</w:t>
            </w:r>
            <w:r w:rsidRPr="007114AF">
              <w:rPr>
                <w:rFonts w:ascii="Garamond" w:hAnsi="Garamond"/>
                <w:sz w:val="18"/>
                <w:szCs w:val="18"/>
              </w:rPr>
              <w:t xml:space="preserve"> Volumi II SHQIP</w:t>
            </w:r>
            <w:r w:rsidRPr="007114AF">
              <w:rPr>
                <w:rFonts w:ascii="Garamond" w:hAnsi="Garamond" w:cstheme="minorHAnsi"/>
                <w:sz w:val="18"/>
                <w:szCs w:val="18"/>
              </w:rPr>
              <w:t>ËRIA Shqyrtim Vendor</w:t>
            </w:r>
          </w:p>
        </w:tc>
        <w:tc>
          <w:tcPr>
            <w:tcW w:w="991" w:type="pct"/>
            <w:vAlign w:val="center"/>
            <w:hideMark/>
          </w:tcPr>
          <w:p w14:paraId="6EDD11F6" w14:textId="77777777" w:rsidR="00286663" w:rsidRPr="007114AF" w:rsidRDefault="00286663" w:rsidP="00286663">
            <w:pPr>
              <w:spacing w:after="0"/>
              <w:rPr>
                <w:rFonts w:ascii="Garamond" w:hAnsi="Garamond"/>
                <w:sz w:val="18"/>
                <w:szCs w:val="18"/>
              </w:rPr>
            </w:pPr>
            <w:r w:rsidRPr="007114AF">
              <w:rPr>
                <w:rFonts w:ascii="Garamond" w:hAnsi="Garamond"/>
                <w:sz w:val="18"/>
                <w:szCs w:val="18"/>
              </w:rPr>
              <w:t>2007</w:t>
            </w:r>
          </w:p>
        </w:tc>
      </w:tr>
      <w:tr w:rsidR="00286663" w:rsidRPr="007114AF" w14:paraId="6EDD11FA" w14:textId="77777777" w:rsidTr="00286663">
        <w:trPr>
          <w:trHeight w:val="300"/>
          <w:jc w:val="center"/>
        </w:trPr>
        <w:tc>
          <w:tcPr>
            <w:tcW w:w="4009" w:type="pct"/>
            <w:vAlign w:val="center"/>
            <w:hideMark/>
          </w:tcPr>
          <w:p w14:paraId="6EDD11F8" w14:textId="77777777" w:rsidR="00286663" w:rsidRPr="007114AF" w:rsidRDefault="00286663" w:rsidP="00286663">
            <w:pPr>
              <w:spacing w:after="0"/>
              <w:rPr>
                <w:rFonts w:ascii="Garamond" w:hAnsi="Garamond"/>
                <w:sz w:val="18"/>
                <w:szCs w:val="18"/>
              </w:rPr>
            </w:pPr>
            <w:r w:rsidRPr="007114AF">
              <w:rPr>
                <w:rFonts w:ascii="Garamond" w:hAnsi="Garamond"/>
                <w:sz w:val="18"/>
                <w:szCs w:val="18"/>
              </w:rPr>
              <w:t>Strategjia nd</w:t>
            </w:r>
            <w:r w:rsidRPr="007114AF">
              <w:rPr>
                <w:rFonts w:ascii="Garamond" w:hAnsi="Garamond" w:cstheme="minorHAnsi"/>
                <w:sz w:val="18"/>
                <w:szCs w:val="18"/>
              </w:rPr>
              <w:t>ërsektoriale për zhvillimin e bujqësisë dhe atë rural në Shqipëri</w:t>
            </w:r>
          </w:p>
        </w:tc>
        <w:tc>
          <w:tcPr>
            <w:tcW w:w="991" w:type="pct"/>
            <w:vAlign w:val="center"/>
            <w:hideMark/>
          </w:tcPr>
          <w:p w14:paraId="6EDD11F9" w14:textId="77777777" w:rsidR="00286663" w:rsidRPr="007114AF" w:rsidRDefault="00286663" w:rsidP="00286663">
            <w:pPr>
              <w:spacing w:after="0"/>
              <w:rPr>
                <w:rFonts w:ascii="Garamond" w:hAnsi="Garamond"/>
                <w:sz w:val="18"/>
                <w:szCs w:val="18"/>
              </w:rPr>
            </w:pPr>
            <w:r w:rsidRPr="007114AF">
              <w:rPr>
                <w:rFonts w:ascii="Garamond" w:hAnsi="Garamond"/>
                <w:sz w:val="18"/>
                <w:szCs w:val="18"/>
              </w:rPr>
              <w:t>2014</w:t>
            </w:r>
          </w:p>
        </w:tc>
      </w:tr>
      <w:tr w:rsidR="00286663" w:rsidRPr="007114AF" w14:paraId="6EDD11FD" w14:textId="77777777" w:rsidTr="00286663">
        <w:trPr>
          <w:trHeight w:val="300"/>
          <w:jc w:val="center"/>
        </w:trPr>
        <w:tc>
          <w:tcPr>
            <w:tcW w:w="4009" w:type="pct"/>
            <w:vAlign w:val="center"/>
            <w:hideMark/>
          </w:tcPr>
          <w:p w14:paraId="6EDD11FB" w14:textId="77777777" w:rsidR="00286663" w:rsidRPr="007114AF" w:rsidRDefault="00286663" w:rsidP="00286663">
            <w:pPr>
              <w:spacing w:after="0"/>
              <w:rPr>
                <w:rFonts w:ascii="Garamond" w:hAnsi="Garamond"/>
                <w:sz w:val="18"/>
                <w:szCs w:val="18"/>
              </w:rPr>
            </w:pPr>
            <w:r w:rsidRPr="007114AF">
              <w:rPr>
                <w:rFonts w:ascii="Garamond" w:hAnsi="Garamond"/>
                <w:sz w:val="18"/>
                <w:szCs w:val="18"/>
              </w:rPr>
              <w:t>Programi p</w:t>
            </w:r>
            <w:r w:rsidRPr="007114AF">
              <w:rPr>
                <w:rFonts w:ascii="Garamond" w:hAnsi="Garamond" w:cstheme="minorHAnsi"/>
                <w:sz w:val="18"/>
                <w:szCs w:val="18"/>
              </w:rPr>
              <w:t xml:space="preserve">ër Zhvillimin </w:t>
            </w:r>
            <w:r w:rsidRPr="007114AF">
              <w:rPr>
                <w:rFonts w:ascii="Garamond" w:hAnsi="Garamond"/>
                <w:sz w:val="18"/>
                <w:szCs w:val="18"/>
              </w:rPr>
              <w:t>Rural 2014-2020, n</w:t>
            </w:r>
            <w:r w:rsidRPr="007114AF">
              <w:rPr>
                <w:rFonts w:ascii="Garamond" w:hAnsi="Garamond" w:cstheme="minorHAnsi"/>
                <w:sz w:val="18"/>
                <w:szCs w:val="18"/>
              </w:rPr>
              <w:t>ë kuadrin e I</w:t>
            </w:r>
            <w:r w:rsidRPr="007114AF">
              <w:rPr>
                <w:rFonts w:ascii="Garamond" w:hAnsi="Garamond"/>
                <w:sz w:val="18"/>
                <w:szCs w:val="18"/>
              </w:rPr>
              <w:t>nstrumentit të Asistenc</w:t>
            </w:r>
            <w:r w:rsidRPr="007114AF">
              <w:rPr>
                <w:rFonts w:ascii="Garamond" w:hAnsi="Garamond" w:cstheme="minorHAnsi"/>
                <w:sz w:val="18"/>
                <w:szCs w:val="18"/>
              </w:rPr>
              <w:t>ës së Para</w:t>
            </w:r>
            <w:r w:rsidRPr="007114AF">
              <w:rPr>
                <w:rFonts w:ascii="Garamond" w:hAnsi="Garamond"/>
                <w:sz w:val="18"/>
                <w:szCs w:val="18"/>
              </w:rPr>
              <w:t>an</w:t>
            </w:r>
            <w:r w:rsidRPr="007114AF">
              <w:rPr>
                <w:rFonts w:ascii="Garamond" w:hAnsi="Garamond" w:cstheme="minorHAnsi"/>
                <w:sz w:val="18"/>
                <w:szCs w:val="18"/>
              </w:rPr>
              <w:t>ëtarësimit</w:t>
            </w:r>
            <w:r w:rsidRPr="007114AF">
              <w:rPr>
                <w:rFonts w:ascii="Garamond" w:hAnsi="Garamond"/>
                <w:sz w:val="18"/>
                <w:szCs w:val="18"/>
              </w:rPr>
              <w:t xml:space="preserve"> (IPA)</w:t>
            </w:r>
          </w:p>
        </w:tc>
        <w:tc>
          <w:tcPr>
            <w:tcW w:w="991" w:type="pct"/>
            <w:vAlign w:val="center"/>
            <w:hideMark/>
          </w:tcPr>
          <w:p w14:paraId="6EDD11FC" w14:textId="77777777" w:rsidR="00286663" w:rsidRPr="007114AF" w:rsidRDefault="00286663" w:rsidP="00286663">
            <w:pPr>
              <w:spacing w:after="0"/>
              <w:rPr>
                <w:rFonts w:ascii="Garamond" w:hAnsi="Garamond"/>
                <w:sz w:val="18"/>
                <w:szCs w:val="18"/>
              </w:rPr>
            </w:pPr>
            <w:r w:rsidRPr="007114AF">
              <w:rPr>
                <w:rFonts w:ascii="Garamond" w:hAnsi="Garamond"/>
                <w:sz w:val="18"/>
                <w:szCs w:val="18"/>
              </w:rPr>
              <w:t>2015</w:t>
            </w:r>
          </w:p>
        </w:tc>
      </w:tr>
      <w:tr w:rsidR="00286663" w:rsidRPr="007114AF" w14:paraId="6EDD1200" w14:textId="77777777" w:rsidTr="00286663">
        <w:trPr>
          <w:trHeight w:val="300"/>
          <w:jc w:val="center"/>
        </w:trPr>
        <w:tc>
          <w:tcPr>
            <w:tcW w:w="4009" w:type="pct"/>
            <w:vAlign w:val="center"/>
            <w:hideMark/>
          </w:tcPr>
          <w:p w14:paraId="6EDD11FE" w14:textId="77777777" w:rsidR="00286663" w:rsidRPr="007114AF" w:rsidRDefault="00286663" w:rsidP="00286663">
            <w:pPr>
              <w:spacing w:after="0"/>
              <w:rPr>
                <w:rFonts w:ascii="Garamond" w:hAnsi="Garamond"/>
                <w:sz w:val="18"/>
                <w:szCs w:val="18"/>
              </w:rPr>
            </w:pPr>
            <w:r w:rsidRPr="007114AF">
              <w:rPr>
                <w:rFonts w:ascii="Garamond" w:hAnsi="Garamond"/>
                <w:sz w:val="18"/>
                <w:szCs w:val="18"/>
              </w:rPr>
              <w:t>Dokument strategjik i Planit t</w:t>
            </w:r>
            <w:r w:rsidRPr="007114AF">
              <w:rPr>
                <w:rFonts w:ascii="Garamond" w:hAnsi="Garamond" w:cstheme="minorHAnsi"/>
                <w:sz w:val="18"/>
                <w:szCs w:val="18"/>
              </w:rPr>
              <w:t>ë</w:t>
            </w:r>
            <w:r w:rsidRPr="007114AF">
              <w:rPr>
                <w:rFonts w:ascii="Garamond" w:hAnsi="Garamond"/>
                <w:sz w:val="18"/>
                <w:szCs w:val="18"/>
              </w:rPr>
              <w:t xml:space="preserve"> Veprimit mbi </w:t>
            </w:r>
            <w:r w:rsidRPr="007114AF">
              <w:rPr>
                <w:rFonts w:ascii="Garamond" w:hAnsi="Garamond" w:cstheme="minorHAnsi"/>
                <w:sz w:val="18"/>
                <w:szCs w:val="18"/>
              </w:rPr>
              <w:t xml:space="preserve">Mbrojtjen e </w:t>
            </w:r>
            <w:r w:rsidRPr="007114AF">
              <w:rPr>
                <w:rFonts w:ascii="Garamond" w:hAnsi="Garamond"/>
                <w:sz w:val="18"/>
                <w:szCs w:val="18"/>
              </w:rPr>
              <w:t>Biodiversitetit</w:t>
            </w:r>
          </w:p>
        </w:tc>
        <w:tc>
          <w:tcPr>
            <w:tcW w:w="991" w:type="pct"/>
            <w:vAlign w:val="center"/>
            <w:hideMark/>
          </w:tcPr>
          <w:p w14:paraId="6EDD11FF" w14:textId="77777777" w:rsidR="00286663" w:rsidRPr="007114AF" w:rsidRDefault="00286663" w:rsidP="00286663">
            <w:pPr>
              <w:spacing w:after="0"/>
              <w:rPr>
                <w:rFonts w:ascii="Garamond" w:hAnsi="Garamond"/>
                <w:sz w:val="18"/>
                <w:szCs w:val="18"/>
              </w:rPr>
            </w:pPr>
            <w:r w:rsidRPr="007114AF">
              <w:rPr>
                <w:rFonts w:ascii="Garamond" w:hAnsi="Garamond"/>
                <w:sz w:val="18"/>
                <w:szCs w:val="18"/>
              </w:rPr>
              <w:t>2016</w:t>
            </w:r>
          </w:p>
        </w:tc>
      </w:tr>
      <w:tr w:rsidR="00286663" w:rsidRPr="007114AF" w14:paraId="6EDD1203" w14:textId="77777777" w:rsidTr="00286663">
        <w:trPr>
          <w:trHeight w:val="300"/>
          <w:jc w:val="center"/>
        </w:trPr>
        <w:tc>
          <w:tcPr>
            <w:tcW w:w="4009" w:type="pct"/>
            <w:vAlign w:val="center"/>
            <w:hideMark/>
          </w:tcPr>
          <w:p w14:paraId="6EDD1201" w14:textId="77777777" w:rsidR="00286663" w:rsidRPr="007114AF" w:rsidRDefault="00286663" w:rsidP="00286663">
            <w:pPr>
              <w:spacing w:after="0"/>
              <w:rPr>
                <w:rFonts w:ascii="Garamond" w:hAnsi="Garamond"/>
                <w:sz w:val="18"/>
                <w:szCs w:val="18"/>
              </w:rPr>
            </w:pPr>
            <w:r w:rsidRPr="007114AF">
              <w:rPr>
                <w:rFonts w:ascii="Garamond" w:hAnsi="Garamond"/>
                <w:sz w:val="18"/>
                <w:szCs w:val="18"/>
              </w:rPr>
              <w:lastRenderedPageBreak/>
              <w:t>Ligji p</w:t>
            </w:r>
            <w:r w:rsidRPr="007114AF">
              <w:rPr>
                <w:rFonts w:ascii="Garamond" w:hAnsi="Garamond" w:cstheme="minorHAnsi"/>
                <w:sz w:val="18"/>
                <w:szCs w:val="18"/>
              </w:rPr>
              <w:t>ër pyjet</w:t>
            </w:r>
            <w:r w:rsidRPr="007114AF">
              <w:rPr>
                <w:rFonts w:ascii="Garamond" w:hAnsi="Garamond"/>
                <w:sz w:val="18"/>
                <w:szCs w:val="18"/>
              </w:rPr>
              <w:t xml:space="preserve">–Fondi </w:t>
            </w:r>
            <w:r w:rsidRPr="007114AF">
              <w:rPr>
                <w:rFonts w:ascii="Garamond" w:hAnsi="Garamond" w:cstheme="minorHAnsi"/>
                <w:sz w:val="18"/>
                <w:szCs w:val="18"/>
              </w:rPr>
              <w:t>kombëtar</w:t>
            </w:r>
            <w:r w:rsidRPr="007114AF">
              <w:rPr>
                <w:rFonts w:ascii="Garamond" w:hAnsi="Garamond"/>
                <w:sz w:val="18"/>
                <w:szCs w:val="18"/>
              </w:rPr>
              <w:t xml:space="preserve"> p</w:t>
            </w:r>
            <w:r w:rsidRPr="007114AF">
              <w:rPr>
                <w:rFonts w:ascii="Garamond" w:hAnsi="Garamond" w:cstheme="minorHAnsi"/>
                <w:sz w:val="18"/>
                <w:szCs w:val="18"/>
              </w:rPr>
              <w:t>ër administrimin e pyjeve në Republikën e Shqipërisë (draft)</w:t>
            </w:r>
          </w:p>
        </w:tc>
        <w:tc>
          <w:tcPr>
            <w:tcW w:w="991" w:type="pct"/>
            <w:vAlign w:val="center"/>
            <w:hideMark/>
          </w:tcPr>
          <w:p w14:paraId="6EDD1202" w14:textId="77777777" w:rsidR="00286663" w:rsidRPr="007114AF" w:rsidRDefault="00286663" w:rsidP="00286663">
            <w:pPr>
              <w:spacing w:after="0"/>
              <w:rPr>
                <w:rFonts w:ascii="Garamond" w:hAnsi="Garamond"/>
                <w:sz w:val="18"/>
                <w:szCs w:val="18"/>
              </w:rPr>
            </w:pPr>
            <w:r w:rsidRPr="007114AF">
              <w:rPr>
                <w:rFonts w:ascii="Garamond" w:hAnsi="Garamond"/>
                <w:sz w:val="18"/>
                <w:szCs w:val="18"/>
              </w:rPr>
              <w:t>2018</w:t>
            </w:r>
          </w:p>
        </w:tc>
      </w:tr>
      <w:tr w:rsidR="00286663" w:rsidRPr="007114AF" w14:paraId="6EDD1206" w14:textId="77777777" w:rsidTr="00286663">
        <w:trPr>
          <w:trHeight w:val="300"/>
          <w:jc w:val="center"/>
        </w:trPr>
        <w:tc>
          <w:tcPr>
            <w:tcW w:w="4009" w:type="pct"/>
            <w:vAlign w:val="center"/>
            <w:hideMark/>
          </w:tcPr>
          <w:p w14:paraId="6EDD1204" w14:textId="77777777" w:rsidR="00286663" w:rsidRPr="007114AF" w:rsidRDefault="00286663" w:rsidP="00286663">
            <w:pPr>
              <w:spacing w:after="0"/>
              <w:rPr>
                <w:rFonts w:ascii="Garamond" w:hAnsi="Garamond"/>
                <w:sz w:val="18"/>
                <w:szCs w:val="18"/>
              </w:rPr>
            </w:pPr>
            <w:r w:rsidRPr="007114AF">
              <w:rPr>
                <w:rFonts w:ascii="Garamond" w:hAnsi="Garamond"/>
                <w:sz w:val="18"/>
                <w:szCs w:val="18"/>
              </w:rPr>
              <w:t>Raporti fillestar i studimit t</w:t>
            </w:r>
            <w:r w:rsidRPr="007114AF">
              <w:rPr>
                <w:rFonts w:ascii="Garamond" w:hAnsi="Garamond" w:cstheme="minorHAnsi"/>
                <w:sz w:val="18"/>
                <w:szCs w:val="18"/>
              </w:rPr>
              <w:t>ë</w:t>
            </w:r>
            <w:r w:rsidRPr="007114AF">
              <w:rPr>
                <w:rFonts w:ascii="Garamond" w:hAnsi="Garamond"/>
                <w:sz w:val="18"/>
                <w:szCs w:val="18"/>
              </w:rPr>
              <w:t xml:space="preserve"> sektorit mbi ngrohjen me baz</w:t>
            </w:r>
            <w:r w:rsidRPr="007114AF">
              <w:rPr>
                <w:rFonts w:ascii="Garamond" w:hAnsi="Garamond" w:cstheme="minorHAnsi"/>
                <w:sz w:val="18"/>
                <w:szCs w:val="18"/>
              </w:rPr>
              <w:t xml:space="preserve">ë </w:t>
            </w:r>
            <w:r w:rsidRPr="007114AF">
              <w:rPr>
                <w:rFonts w:ascii="Garamond" w:hAnsi="Garamond"/>
                <w:sz w:val="18"/>
                <w:szCs w:val="18"/>
              </w:rPr>
              <w:t>biomase n</w:t>
            </w:r>
            <w:r w:rsidRPr="007114AF">
              <w:rPr>
                <w:rFonts w:ascii="Garamond" w:hAnsi="Garamond" w:cstheme="minorHAnsi"/>
                <w:sz w:val="18"/>
                <w:szCs w:val="18"/>
              </w:rPr>
              <w:t>ë Ballkanin Perëndimor</w:t>
            </w:r>
          </w:p>
        </w:tc>
        <w:tc>
          <w:tcPr>
            <w:tcW w:w="991" w:type="pct"/>
            <w:vAlign w:val="center"/>
            <w:hideMark/>
          </w:tcPr>
          <w:p w14:paraId="6EDD1205" w14:textId="77777777" w:rsidR="00286663" w:rsidRPr="007114AF" w:rsidRDefault="00286663" w:rsidP="00286663">
            <w:pPr>
              <w:spacing w:after="0"/>
              <w:rPr>
                <w:rFonts w:ascii="Garamond" w:hAnsi="Garamond"/>
                <w:sz w:val="18"/>
                <w:szCs w:val="18"/>
              </w:rPr>
            </w:pPr>
            <w:r w:rsidRPr="007114AF">
              <w:rPr>
                <w:rFonts w:ascii="Garamond" w:hAnsi="Garamond"/>
                <w:sz w:val="18"/>
                <w:szCs w:val="18"/>
              </w:rPr>
              <w:t>2015</w:t>
            </w:r>
          </w:p>
        </w:tc>
      </w:tr>
      <w:tr w:rsidR="00286663" w:rsidRPr="007114AF" w14:paraId="6EDD1209" w14:textId="77777777" w:rsidTr="00286663">
        <w:trPr>
          <w:trHeight w:val="600"/>
          <w:jc w:val="center"/>
        </w:trPr>
        <w:tc>
          <w:tcPr>
            <w:tcW w:w="4009" w:type="pct"/>
            <w:vAlign w:val="center"/>
            <w:hideMark/>
          </w:tcPr>
          <w:p w14:paraId="6EDD1207" w14:textId="6FEF3A20" w:rsidR="00286663" w:rsidRPr="007114AF" w:rsidRDefault="00286663" w:rsidP="005D5DCB">
            <w:pPr>
              <w:spacing w:after="0"/>
              <w:rPr>
                <w:rFonts w:ascii="Garamond" w:hAnsi="Garamond"/>
                <w:sz w:val="18"/>
                <w:szCs w:val="18"/>
              </w:rPr>
            </w:pPr>
            <w:r w:rsidRPr="007114AF">
              <w:rPr>
                <w:rFonts w:ascii="Garamond" w:hAnsi="Garamond" w:cstheme="minorHAnsi"/>
                <w:sz w:val="18"/>
                <w:szCs w:val="18"/>
              </w:rPr>
              <w:t>Riformatimi i Bujqësisë në E</w:t>
            </w:r>
            <w:r w:rsidR="005D5DCB">
              <w:rPr>
                <w:rFonts w:ascii="Garamond" w:hAnsi="Garamond" w:cstheme="minorHAnsi"/>
                <w:sz w:val="18"/>
                <w:szCs w:val="18"/>
              </w:rPr>
              <w:t>v</w:t>
            </w:r>
            <w:r w:rsidRPr="007114AF">
              <w:rPr>
                <w:rFonts w:ascii="Garamond" w:hAnsi="Garamond" w:cstheme="minorHAnsi"/>
                <w:sz w:val="18"/>
                <w:szCs w:val="18"/>
              </w:rPr>
              <w:t>ropën Lindore dhe Azinë Qendrore si Pasojë e Ndikimeve të Ndryshimeve Klimatike dhe Reagimeve të Përshtatura</w:t>
            </w:r>
          </w:p>
        </w:tc>
        <w:tc>
          <w:tcPr>
            <w:tcW w:w="991" w:type="pct"/>
            <w:vAlign w:val="center"/>
            <w:hideMark/>
          </w:tcPr>
          <w:p w14:paraId="6EDD1208" w14:textId="77777777" w:rsidR="00286663" w:rsidRPr="007114AF" w:rsidRDefault="00286663" w:rsidP="00286663">
            <w:pPr>
              <w:spacing w:after="0"/>
              <w:rPr>
                <w:rFonts w:ascii="Garamond" w:hAnsi="Garamond"/>
                <w:sz w:val="18"/>
                <w:szCs w:val="18"/>
              </w:rPr>
            </w:pPr>
            <w:r w:rsidRPr="007114AF">
              <w:rPr>
                <w:rFonts w:ascii="Garamond" w:hAnsi="Garamond"/>
                <w:sz w:val="18"/>
                <w:szCs w:val="18"/>
              </w:rPr>
              <w:t>2013</w:t>
            </w:r>
          </w:p>
        </w:tc>
      </w:tr>
      <w:tr w:rsidR="00286663" w:rsidRPr="007114AF" w14:paraId="6EDD120C" w14:textId="77777777" w:rsidTr="00286663">
        <w:trPr>
          <w:trHeight w:val="300"/>
          <w:jc w:val="center"/>
        </w:trPr>
        <w:tc>
          <w:tcPr>
            <w:tcW w:w="4009" w:type="pct"/>
            <w:vAlign w:val="center"/>
            <w:hideMark/>
          </w:tcPr>
          <w:p w14:paraId="6EDD120A" w14:textId="77777777" w:rsidR="00286663" w:rsidRPr="007114AF" w:rsidRDefault="00286663" w:rsidP="00286663">
            <w:pPr>
              <w:spacing w:after="0"/>
              <w:rPr>
                <w:rFonts w:ascii="Garamond" w:hAnsi="Garamond"/>
                <w:sz w:val="18"/>
                <w:szCs w:val="18"/>
              </w:rPr>
            </w:pPr>
            <w:r w:rsidRPr="007114AF">
              <w:rPr>
                <w:rFonts w:ascii="Garamond" w:hAnsi="Garamond"/>
                <w:sz w:val="18"/>
                <w:szCs w:val="18"/>
              </w:rPr>
              <w:t>Ulja e ndjeshm</w:t>
            </w:r>
            <w:r w:rsidRPr="007114AF">
              <w:rPr>
                <w:rFonts w:ascii="Garamond" w:hAnsi="Garamond" w:cstheme="minorHAnsi"/>
                <w:sz w:val="18"/>
                <w:szCs w:val="18"/>
              </w:rPr>
              <w:t>ërisë së sistemit bujqësor shqiptar ndaj ndryshimeve klimatike</w:t>
            </w:r>
          </w:p>
        </w:tc>
        <w:tc>
          <w:tcPr>
            <w:tcW w:w="991" w:type="pct"/>
            <w:noWrap/>
            <w:vAlign w:val="center"/>
            <w:hideMark/>
          </w:tcPr>
          <w:p w14:paraId="6EDD120B" w14:textId="77777777" w:rsidR="00286663" w:rsidRPr="007114AF" w:rsidRDefault="00286663" w:rsidP="00286663">
            <w:pPr>
              <w:spacing w:after="0"/>
              <w:rPr>
                <w:rFonts w:ascii="Garamond" w:hAnsi="Garamond"/>
                <w:sz w:val="18"/>
                <w:szCs w:val="18"/>
              </w:rPr>
            </w:pPr>
            <w:r w:rsidRPr="007114AF">
              <w:rPr>
                <w:rFonts w:ascii="Garamond" w:hAnsi="Garamond"/>
                <w:sz w:val="18"/>
                <w:szCs w:val="18"/>
              </w:rPr>
              <w:t>2013</w:t>
            </w:r>
          </w:p>
        </w:tc>
      </w:tr>
      <w:tr w:rsidR="00286663" w:rsidRPr="007114AF" w14:paraId="6EDD120F" w14:textId="77777777" w:rsidTr="00286663">
        <w:trPr>
          <w:trHeight w:val="300"/>
          <w:jc w:val="center"/>
        </w:trPr>
        <w:tc>
          <w:tcPr>
            <w:tcW w:w="4009" w:type="pct"/>
            <w:vAlign w:val="center"/>
            <w:hideMark/>
          </w:tcPr>
          <w:p w14:paraId="6EDD120D" w14:textId="75B4DCF5" w:rsidR="00286663" w:rsidRPr="007114AF" w:rsidRDefault="00286663" w:rsidP="00286663">
            <w:pPr>
              <w:spacing w:after="0"/>
              <w:rPr>
                <w:rFonts w:ascii="Garamond" w:hAnsi="Garamond"/>
                <w:sz w:val="18"/>
                <w:szCs w:val="18"/>
              </w:rPr>
            </w:pPr>
            <w:r w:rsidRPr="007114AF">
              <w:rPr>
                <w:rFonts w:ascii="Garamond" w:hAnsi="Garamond"/>
                <w:sz w:val="18"/>
                <w:szCs w:val="18"/>
              </w:rPr>
              <w:t>Raport i Rigjenerimit Natyror t</w:t>
            </w:r>
            <w:r w:rsidRPr="007114AF">
              <w:rPr>
                <w:rFonts w:ascii="Garamond" w:hAnsi="Garamond" w:cstheme="minorHAnsi"/>
                <w:sz w:val="18"/>
                <w:szCs w:val="18"/>
              </w:rPr>
              <w:t>ë</w:t>
            </w:r>
            <w:r w:rsidR="005D5DCB">
              <w:rPr>
                <w:rFonts w:ascii="Garamond" w:hAnsi="Garamond" w:cstheme="minorHAnsi"/>
                <w:sz w:val="18"/>
                <w:szCs w:val="18"/>
              </w:rPr>
              <w:t xml:space="preserve"> </w:t>
            </w:r>
            <w:r w:rsidRPr="007114AF">
              <w:rPr>
                <w:rFonts w:ascii="Garamond" w:hAnsi="Garamond"/>
                <w:sz w:val="18"/>
                <w:szCs w:val="18"/>
              </w:rPr>
              <w:t>Asistuar t</w:t>
            </w:r>
            <w:r w:rsidRPr="007114AF">
              <w:rPr>
                <w:rFonts w:ascii="Garamond" w:hAnsi="Garamond" w:cstheme="minorHAnsi"/>
                <w:sz w:val="18"/>
                <w:szCs w:val="18"/>
              </w:rPr>
              <w:t>ë</w:t>
            </w:r>
            <w:r w:rsidRPr="007114AF">
              <w:rPr>
                <w:rFonts w:ascii="Garamond" w:hAnsi="Garamond"/>
                <w:sz w:val="18"/>
                <w:szCs w:val="18"/>
              </w:rPr>
              <w:t xml:space="preserve"> Tokave t</w:t>
            </w:r>
            <w:r w:rsidRPr="007114AF">
              <w:rPr>
                <w:rFonts w:ascii="Garamond" w:hAnsi="Garamond" w:cstheme="minorHAnsi"/>
                <w:sz w:val="18"/>
                <w:szCs w:val="18"/>
              </w:rPr>
              <w:t>ë Degraduara në Shqipëri</w:t>
            </w:r>
          </w:p>
        </w:tc>
        <w:tc>
          <w:tcPr>
            <w:tcW w:w="991" w:type="pct"/>
            <w:noWrap/>
            <w:vAlign w:val="center"/>
            <w:hideMark/>
          </w:tcPr>
          <w:p w14:paraId="6EDD120E" w14:textId="77777777" w:rsidR="00286663" w:rsidRPr="007114AF" w:rsidRDefault="00286663" w:rsidP="00286663">
            <w:pPr>
              <w:spacing w:after="0"/>
              <w:rPr>
                <w:rFonts w:ascii="Garamond" w:hAnsi="Garamond"/>
                <w:sz w:val="18"/>
                <w:szCs w:val="18"/>
              </w:rPr>
            </w:pPr>
            <w:r w:rsidRPr="007114AF">
              <w:rPr>
                <w:rFonts w:ascii="Garamond" w:hAnsi="Garamond"/>
                <w:sz w:val="18"/>
                <w:szCs w:val="18"/>
              </w:rPr>
              <w:t>2005-2012</w:t>
            </w:r>
          </w:p>
        </w:tc>
      </w:tr>
      <w:tr w:rsidR="00286663" w:rsidRPr="007114AF" w14:paraId="6EDD1213" w14:textId="77777777" w:rsidTr="00286663">
        <w:trPr>
          <w:trHeight w:val="300"/>
          <w:jc w:val="center"/>
        </w:trPr>
        <w:tc>
          <w:tcPr>
            <w:tcW w:w="4009" w:type="pct"/>
            <w:vAlign w:val="center"/>
            <w:hideMark/>
          </w:tcPr>
          <w:p w14:paraId="6EDD1210" w14:textId="77777777" w:rsidR="00286663" w:rsidRPr="007114AF" w:rsidRDefault="00286663" w:rsidP="00286663">
            <w:pPr>
              <w:spacing w:after="0"/>
              <w:rPr>
                <w:rFonts w:ascii="Garamond" w:hAnsi="Garamond"/>
                <w:sz w:val="18"/>
                <w:szCs w:val="18"/>
              </w:rPr>
            </w:pPr>
            <w:r w:rsidRPr="007114AF">
              <w:rPr>
                <w:rFonts w:ascii="Garamond" w:hAnsi="Garamond"/>
                <w:sz w:val="18"/>
                <w:szCs w:val="18"/>
              </w:rPr>
              <w:t>Asistenc</w:t>
            </w:r>
            <w:r w:rsidRPr="007114AF">
              <w:rPr>
                <w:rFonts w:ascii="Garamond" w:hAnsi="Garamond" w:cstheme="minorHAnsi"/>
                <w:sz w:val="18"/>
                <w:szCs w:val="18"/>
              </w:rPr>
              <w:t xml:space="preserve">ë Teknike për përgatitjen e Strategjisë së Sektorit të </w:t>
            </w:r>
            <w:r w:rsidRPr="007114AF">
              <w:rPr>
                <w:rFonts w:ascii="Garamond" w:hAnsi="Garamond"/>
                <w:sz w:val="18"/>
                <w:szCs w:val="18"/>
              </w:rPr>
              <w:t xml:space="preserve">Transportit </w:t>
            </w:r>
            <w:r w:rsidRPr="007114AF">
              <w:rPr>
                <w:rFonts w:ascii="Garamond" w:hAnsi="Garamond" w:cstheme="minorHAnsi"/>
                <w:sz w:val="18"/>
                <w:szCs w:val="18"/>
              </w:rPr>
              <w:t>në Shqipëri</w:t>
            </w:r>
            <w:r w:rsidRPr="007114AF">
              <w:rPr>
                <w:rFonts w:ascii="Garamond" w:hAnsi="Garamond"/>
                <w:sz w:val="18"/>
                <w:szCs w:val="18"/>
              </w:rPr>
              <w:t>–Strategjia P</w:t>
            </w:r>
            <w:r w:rsidRPr="007114AF">
              <w:rPr>
                <w:rFonts w:ascii="Garamond" w:hAnsi="Garamond" w:cstheme="minorHAnsi"/>
                <w:sz w:val="18"/>
                <w:szCs w:val="18"/>
              </w:rPr>
              <w:t>ërfundimtare dhe Plani i Veprimit</w:t>
            </w:r>
          </w:p>
        </w:tc>
        <w:tc>
          <w:tcPr>
            <w:tcW w:w="991" w:type="pct"/>
            <w:noWrap/>
            <w:vAlign w:val="center"/>
            <w:hideMark/>
          </w:tcPr>
          <w:p w14:paraId="6EDD1211" w14:textId="450267C7" w:rsidR="00286663" w:rsidRPr="007114AF" w:rsidRDefault="00286663" w:rsidP="00286663">
            <w:pPr>
              <w:spacing w:after="0"/>
              <w:rPr>
                <w:rFonts w:ascii="Garamond" w:hAnsi="Garamond" w:cstheme="minorHAnsi"/>
                <w:sz w:val="18"/>
                <w:szCs w:val="18"/>
              </w:rPr>
            </w:pPr>
            <w:r w:rsidRPr="007114AF">
              <w:rPr>
                <w:rFonts w:ascii="Garamond" w:hAnsi="Garamond"/>
                <w:sz w:val="18"/>
                <w:szCs w:val="18"/>
              </w:rPr>
              <w:t>Draft 0.1 i dat</w:t>
            </w:r>
            <w:r w:rsidRPr="007114AF">
              <w:rPr>
                <w:rFonts w:ascii="Garamond" w:hAnsi="Garamond" w:cstheme="minorHAnsi"/>
                <w:sz w:val="18"/>
                <w:szCs w:val="18"/>
              </w:rPr>
              <w:t>ës</w:t>
            </w:r>
            <w:r w:rsidR="008D30FC" w:rsidRPr="007114AF">
              <w:rPr>
                <w:rFonts w:ascii="Garamond" w:hAnsi="Garamond" w:cstheme="minorHAnsi"/>
                <w:sz w:val="18"/>
                <w:szCs w:val="18"/>
              </w:rPr>
              <w:t xml:space="preserve">  </w:t>
            </w:r>
          </w:p>
          <w:p w14:paraId="6EDD1212" w14:textId="77777777" w:rsidR="00286663" w:rsidRPr="007114AF" w:rsidRDefault="00286663" w:rsidP="00286663">
            <w:pPr>
              <w:spacing w:after="0"/>
              <w:rPr>
                <w:rFonts w:ascii="Garamond" w:hAnsi="Garamond" w:cstheme="minorHAnsi"/>
                <w:sz w:val="18"/>
                <w:szCs w:val="18"/>
              </w:rPr>
            </w:pPr>
            <w:r w:rsidRPr="007114AF">
              <w:rPr>
                <w:rFonts w:ascii="Garamond" w:hAnsi="Garamond"/>
                <w:sz w:val="18"/>
                <w:szCs w:val="18"/>
              </w:rPr>
              <w:t>31 janar 2016</w:t>
            </w:r>
          </w:p>
        </w:tc>
      </w:tr>
      <w:tr w:rsidR="00286663" w:rsidRPr="007114AF" w14:paraId="6EDD1216" w14:textId="77777777" w:rsidTr="00286663">
        <w:trPr>
          <w:trHeight w:val="300"/>
          <w:jc w:val="center"/>
        </w:trPr>
        <w:tc>
          <w:tcPr>
            <w:tcW w:w="4009" w:type="pct"/>
            <w:vAlign w:val="center"/>
            <w:hideMark/>
          </w:tcPr>
          <w:p w14:paraId="6EDD1214" w14:textId="77777777" w:rsidR="00286663" w:rsidRPr="007114AF" w:rsidRDefault="00286663" w:rsidP="00286663">
            <w:pPr>
              <w:spacing w:after="0"/>
              <w:rPr>
                <w:rFonts w:ascii="Garamond" w:hAnsi="Garamond"/>
                <w:sz w:val="18"/>
                <w:szCs w:val="18"/>
              </w:rPr>
            </w:pPr>
            <w:r w:rsidRPr="007114AF">
              <w:rPr>
                <w:rFonts w:ascii="Garamond" w:hAnsi="Garamond"/>
                <w:sz w:val="18"/>
                <w:szCs w:val="18"/>
              </w:rPr>
              <w:t>Shqip</w:t>
            </w:r>
            <w:r w:rsidRPr="007114AF">
              <w:rPr>
                <w:rFonts w:ascii="Garamond" w:hAnsi="Garamond" w:cstheme="minorHAnsi"/>
                <w:sz w:val="18"/>
                <w:szCs w:val="18"/>
              </w:rPr>
              <w:t>ëri</w:t>
            </w:r>
            <w:r w:rsidRPr="007114AF">
              <w:rPr>
                <w:rFonts w:ascii="Garamond" w:hAnsi="Garamond"/>
                <w:sz w:val="18"/>
                <w:szCs w:val="18"/>
              </w:rPr>
              <w:t>a: Plani i Transportit t</w:t>
            </w:r>
            <w:r w:rsidRPr="007114AF">
              <w:rPr>
                <w:rFonts w:ascii="Garamond" w:hAnsi="Garamond" w:cstheme="minorHAnsi"/>
                <w:sz w:val="18"/>
                <w:szCs w:val="18"/>
              </w:rPr>
              <w:t>ë Qëndrueshëm</w:t>
            </w:r>
            <w:r w:rsidRPr="007114AF">
              <w:rPr>
                <w:rFonts w:ascii="Garamond" w:hAnsi="Garamond"/>
                <w:sz w:val="18"/>
                <w:szCs w:val="18"/>
              </w:rPr>
              <w:t xml:space="preserve"> – Raporti Fillestar</w:t>
            </w:r>
          </w:p>
        </w:tc>
        <w:tc>
          <w:tcPr>
            <w:tcW w:w="991" w:type="pct"/>
            <w:vAlign w:val="center"/>
            <w:hideMark/>
          </w:tcPr>
          <w:p w14:paraId="6EDD1215" w14:textId="77777777" w:rsidR="00286663" w:rsidRPr="007114AF" w:rsidRDefault="00286663" w:rsidP="00286663">
            <w:pPr>
              <w:spacing w:after="0"/>
              <w:rPr>
                <w:rFonts w:ascii="Garamond" w:hAnsi="Garamond"/>
                <w:sz w:val="18"/>
                <w:szCs w:val="18"/>
              </w:rPr>
            </w:pPr>
            <w:r w:rsidRPr="007114AF">
              <w:rPr>
                <w:rFonts w:ascii="Garamond" w:hAnsi="Garamond"/>
                <w:sz w:val="18"/>
                <w:szCs w:val="18"/>
              </w:rPr>
              <w:t>2015</w:t>
            </w:r>
          </w:p>
        </w:tc>
      </w:tr>
      <w:tr w:rsidR="00286663" w:rsidRPr="007114AF" w14:paraId="6EDD1219" w14:textId="77777777" w:rsidTr="00286663">
        <w:trPr>
          <w:trHeight w:val="300"/>
          <w:jc w:val="center"/>
        </w:trPr>
        <w:tc>
          <w:tcPr>
            <w:tcW w:w="4009" w:type="pct"/>
            <w:vAlign w:val="center"/>
            <w:hideMark/>
          </w:tcPr>
          <w:p w14:paraId="6EDD1217" w14:textId="77777777" w:rsidR="00286663" w:rsidRPr="007114AF" w:rsidRDefault="00286663" w:rsidP="00286663">
            <w:pPr>
              <w:spacing w:after="0"/>
              <w:rPr>
                <w:rFonts w:ascii="Garamond" w:hAnsi="Garamond"/>
                <w:sz w:val="18"/>
                <w:szCs w:val="18"/>
              </w:rPr>
            </w:pPr>
            <w:r w:rsidRPr="007114AF">
              <w:rPr>
                <w:rFonts w:ascii="Garamond" w:hAnsi="Garamond"/>
                <w:sz w:val="18"/>
                <w:szCs w:val="18"/>
              </w:rPr>
              <w:t>Shqip</w:t>
            </w:r>
            <w:r w:rsidRPr="007114AF">
              <w:rPr>
                <w:rFonts w:ascii="Garamond" w:hAnsi="Garamond" w:cstheme="minorHAnsi"/>
                <w:sz w:val="18"/>
                <w:szCs w:val="18"/>
              </w:rPr>
              <w:t>ëri</w:t>
            </w:r>
            <w:r w:rsidRPr="007114AF">
              <w:rPr>
                <w:rFonts w:ascii="Garamond" w:hAnsi="Garamond"/>
                <w:sz w:val="18"/>
                <w:szCs w:val="18"/>
              </w:rPr>
              <w:t>a: Rishikimi i Praktikave m</w:t>
            </w:r>
            <w:r w:rsidRPr="007114AF">
              <w:rPr>
                <w:rFonts w:ascii="Garamond" w:hAnsi="Garamond" w:cstheme="minorHAnsi"/>
                <w:sz w:val="18"/>
                <w:szCs w:val="18"/>
              </w:rPr>
              <w:t xml:space="preserve">ë të Mira të Planit të Transportit të Qëndrueshëm </w:t>
            </w:r>
            <w:r w:rsidRPr="007114AF">
              <w:rPr>
                <w:rFonts w:ascii="Garamond" w:hAnsi="Garamond"/>
                <w:sz w:val="18"/>
                <w:szCs w:val="18"/>
              </w:rPr>
              <w:t>&amp;Raporti i Objektivave t</w:t>
            </w:r>
            <w:r w:rsidRPr="007114AF">
              <w:rPr>
                <w:rFonts w:ascii="Garamond" w:hAnsi="Garamond" w:cstheme="minorHAnsi"/>
                <w:sz w:val="18"/>
                <w:szCs w:val="18"/>
              </w:rPr>
              <w:t>ë Qëndrueshmërisë</w:t>
            </w:r>
          </w:p>
        </w:tc>
        <w:tc>
          <w:tcPr>
            <w:tcW w:w="991" w:type="pct"/>
            <w:vAlign w:val="center"/>
            <w:hideMark/>
          </w:tcPr>
          <w:p w14:paraId="6EDD1218" w14:textId="77777777" w:rsidR="00286663" w:rsidRPr="007114AF" w:rsidRDefault="00286663" w:rsidP="00286663">
            <w:pPr>
              <w:spacing w:after="0"/>
              <w:rPr>
                <w:rFonts w:ascii="Garamond" w:hAnsi="Garamond"/>
                <w:sz w:val="18"/>
                <w:szCs w:val="18"/>
              </w:rPr>
            </w:pPr>
            <w:r w:rsidRPr="007114AF">
              <w:rPr>
                <w:rFonts w:ascii="Garamond" w:hAnsi="Garamond"/>
                <w:sz w:val="18"/>
                <w:szCs w:val="18"/>
              </w:rPr>
              <w:t>2015</w:t>
            </w:r>
          </w:p>
        </w:tc>
      </w:tr>
      <w:tr w:rsidR="00286663" w:rsidRPr="007114AF" w14:paraId="6EDD121C" w14:textId="77777777" w:rsidTr="00286663">
        <w:trPr>
          <w:trHeight w:val="300"/>
          <w:jc w:val="center"/>
        </w:trPr>
        <w:tc>
          <w:tcPr>
            <w:tcW w:w="4009" w:type="pct"/>
            <w:hideMark/>
          </w:tcPr>
          <w:p w14:paraId="6EDD121A" w14:textId="77777777" w:rsidR="00286663" w:rsidRPr="007114AF" w:rsidRDefault="00286663" w:rsidP="00286663">
            <w:pPr>
              <w:spacing w:after="0"/>
              <w:rPr>
                <w:rFonts w:ascii="Garamond" w:hAnsi="Garamond"/>
                <w:sz w:val="18"/>
                <w:szCs w:val="18"/>
              </w:rPr>
            </w:pPr>
            <w:r w:rsidRPr="007114AF">
              <w:rPr>
                <w:rFonts w:ascii="Garamond" w:hAnsi="Garamond"/>
                <w:sz w:val="18"/>
                <w:szCs w:val="18"/>
              </w:rPr>
              <w:t>Shqip</w:t>
            </w:r>
            <w:r w:rsidRPr="007114AF">
              <w:rPr>
                <w:rFonts w:ascii="Garamond" w:hAnsi="Garamond" w:cstheme="minorHAnsi"/>
                <w:sz w:val="18"/>
                <w:szCs w:val="18"/>
              </w:rPr>
              <w:t>ëri</w:t>
            </w:r>
            <w:r w:rsidRPr="007114AF">
              <w:rPr>
                <w:rFonts w:ascii="Garamond" w:hAnsi="Garamond"/>
                <w:sz w:val="18"/>
                <w:szCs w:val="18"/>
              </w:rPr>
              <w:t>a: Projektplani i Transportit t</w:t>
            </w:r>
            <w:r w:rsidRPr="007114AF">
              <w:rPr>
                <w:rFonts w:ascii="Garamond" w:hAnsi="Garamond" w:cstheme="minorHAnsi"/>
                <w:sz w:val="18"/>
                <w:szCs w:val="18"/>
              </w:rPr>
              <w:t>ë Qëndrueshëm</w:t>
            </w:r>
          </w:p>
        </w:tc>
        <w:tc>
          <w:tcPr>
            <w:tcW w:w="991" w:type="pct"/>
            <w:vAlign w:val="center"/>
            <w:hideMark/>
          </w:tcPr>
          <w:p w14:paraId="6EDD121B" w14:textId="77777777" w:rsidR="00286663" w:rsidRPr="007114AF" w:rsidRDefault="00286663" w:rsidP="00286663">
            <w:pPr>
              <w:spacing w:after="0"/>
              <w:rPr>
                <w:rFonts w:ascii="Garamond" w:hAnsi="Garamond"/>
                <w:sz w:val="18"/>
                <w:szCs w:val="18"/>
              </w:rPr>
            </w:pPr>
            <w:r w:rsidRPr="007114AF">
              <w:rPr>
                <w:rFonts w:ascii="Garamond" w:hAnsi="Garamond"/>
                <w:sz w:val="18"/>
                <w:szCs w:val="18"/>
              </w:rPr>
              <w:t>2016</w:t>
            </w:r>
          </w:p>
        </w:tc>
      </w:tr>
    </w:tbl>
    <w:p w14:paraId="6EDD121D" w14:textId="77777777" w:rsidR="00286663" w:rsidRPr="007114AF" w:rsidRDefault="00286663" w:rsidP="00286663">
      <w:pPr>
        <w:pStyle w:val="TEKSTI"/>
      </w:pPr>
    </w:p>
    <w:p w14:paraId="6EDD121E" w14:textId="77777777" w:rsidR="00286663" w:rsidRPr="007114AF" w:rsidRDefault="00286663" w:rsidP="00286663">
      <w:pPr>
        <w:pStyle w:val="TEKSTI"/>
        <w:rPr>
          <w:b/>
        </w:rPr>
      </w:pPr>
      <w:r w:rsidRPr="007114AF">
        <w:rPr>
          <w:b/>
        </w:rPr>
        <w:t>Aneksi2 – Lista e legjislacionit të BE-së për masat zbutëse p</w:t>
      </w:r>
      <w:r w:rsidRPr="007114AF">
        <w:rPr>
          <w:rFonts w:cs="Calibri"/>
          <w:b/>
        </w:rPr>
        <w:t>ër</w:t>
      </w:r>
      <w:r w:rsidRPr="007114AF">
        <w:rPr>
          <w:b/>
        </w:rPr>
        <w:t xml:space="preserve"> GES-in</w:t>
      </w:r>
    </w:p>
    <w:tbl>
      <w:tblPr>
        <w:tblStyle w:val="GridTable1Light-Accent11"/>
        <w:tblW w:w="0" w:type="auto"/>
        <w:tblLook w:val="0000" w:firstRow="0" w:lastRow="0" w:firstColumn="0" w:lastColumn="0" w:noHBand="0" w:noVBand="0"/>
      </w:tblPr>
      <w:tblGrid>
        <w:gridCol w:w="2041"/>
        <w:gridCol w:w="7246"/>
      </w:tblGrid>
      <w:tr w:rsidR="00286663" w:rsidRPr="007114AF" w14:paraId="6EDD1220" w14:textId="77777777" w:rsidTr="00574660">
        <w:tc>
          <w:tcPr>
            <w:tcW w:w="0" w:type="auto"/>
            <w:gridSpan w:val="2"/>
            <w:shd w:val="clear" w:color="auto" w:fill="C6D9F1" w:themeFill="text2" w:themeFillTint="33"/>
            <w:vAlign w:val="center"/>
          </w:tcPr>
          <w:p w14:paraId="6EDD121F" w14:textId="77777777" w:rsidR="00286663" w:rsidRPr="007114AF" w:rsidRDefault="00286663" w:rsidP="00286663">
            <w:pPr>
              <w:spacing w:after="0"/>
              <w:rPr>
                <w:rFonts w:ascii="Garamond" w:hAnsi="Garamond" w:cs="Calibri"/>
                <w:b/>
                <w:sz w:val="18"/>
                <w:szCs w:val="18"/>
              </w:rPr>
            </w:pPr>
            <w:r w:rsidRPr="007114AF">
              <w:rPr>
                <w:rFonts w:ascii="Garamond" w:hAnsi="Garamond" w:cs="Calibri"/>
                <w:b/>
                <w:sz w:val="18"/>
                <w:szCs w:val="18"/>
              </w:rPr>
              <w:t>Skema tregtare e shkarkimeve në BE</w:t>
            </w:r>
          </w:p>
        </w:tc>
      </w:tr>
      <w:tr w:rsidR="00286663" w:rsidRPr="007114AF" w14:paraId="6EDD1223" w14:textId="77777777" w:rsidTr="00574660">
        <w:tc>
          <w:tcPr>
            <w:tcW w:w="0" w:type="auto"/>
            <w:vAlign w:val="center"/>
          </w:tcPr>
          <w:p w14:paraId="6EDD1221" w14:textId="77777777" w:rsidR="00286663" w:rsidRPr="007114AF" w:rsidRDefault="00286663" w:rsidP="00286663">
            <w:pPr>
              <w:spacing w:after="0"/>
              <w:rPr>
                <w:rFonts w:ascii="Garamond" w:hAnsi="Garamond" w:cs="Calibri"/>
                <w:sz w:val="18"/>
                <w:szCs w:val="18"/>
              </w:rPr>
            </w:pPr>
            <w:r w:rsidRPr="007114AF">
              <w:rPr>
                <w:rFonts w:ascii="Garamond" w:hAnsi="Garamond" w:cs="Calibri"/>
                <w:sz w:val="18"/>
                <w:szCs w:val="18"/>
              </w:rPr>
              <w:t>Direktiva 2003/87/EC</w:t>
            </w:r>
          </w:p>
        </w:tc>
        <w:tc>
          <w:tcPr>
            <w:tcW w:w="0" w:type="auto"/>
            <w:vAlign w:val="center"/>
          </w:tcPr>
          <w:p w14:paraId="6EDD1222" w14:textId="2FCBD4EF" w:rsidR="00286663" w:rsidRPr="007114AF" w:rsidRDefault="00286663" w:rsidP="00286663">
            <w:pPr>
              <w:spacing w:after="0"/>
              <w:rPr>
                <w:rFonts w:ascii="Garamond" w:hAnsi="Garamond" w:cs="Calibri"/>
                <w:sz w:val="18"/>
                <w:szCs w:val="18"/>
              </w:rPr>
            </w:pPr>
            <w:r w:rsidRPr="007114AF">
              <w:rPr>
                <w:rFonts w:ascii="Garamond" w:hAnsi="Garamond" w:cs="Calibri"/>
                <w:sz w:val="18"/>
                <w:szCs w:val="18"/>
              </w:rPr>
              <w:t>Direktiva 2003/87/EC e Parlamentit Evropian dhe Këshillit, e datës 13 tetor 2003 përcakton një skemë për kuotën tregtare të shkarkimit të gazeve serrë brenda Komunitetit, që ndryshon</w:t>
            </w:r>
            <w:r w:rsidR="000A2A01" w:rsidRPr="007114AF">
              <w:rPr>
                <w:rFonts w:ascii="Garamond" w:hAnsi="Garamond" w:cs="Calibri"/>
                <w:sz w:val="18"/>
                <w:szCs w:val="18"/>
              </w:rPr>
              <w:t xml:space="preserve"> </w:t>
            </w:r>
            <w:r w:rsidRPr="007114AF">
              <w:rPr>
                <w:rFonts w:ascii="Garamond" w:hAnsi="Garamond" w:cs="Calibri"/>
                <w:sz w:val="18"/>
                <w:szCs w:val="18"/>
              </w:rPr>
              <w:t xml:space="preserve">Direktivën e Këshillit 96/61/EC </w:t>
            </w:r>
          </w:p>
        </w:tc>
      </w:tr>
      <w:tr w:rsidR="00286663" w:rsidRPr="007114AF" w14:paraId="6EDD1226" w14:textId="77777777" w:rsidTr="00574660">
        <w:tc>
          <w:tcPr>
            <w:tcW w:w="0" w:type="auto"/>
            <w:vAlign w:val="center"/>
          </w:tcPr>
          <w:p w14:paraId="6EDD1224" w14:textId="77777777" w:rsidR="00286663" w:rsidRPr="007114AF" w:rsidRDefault="00286663" w:rsidP="00286663">
            <w:pPr>
              <w:spacing w:after="0"/>
              <w:rPr>
                <w:rFonts w:ascii="Garamond" w:hAnsi="Garamond" w:cs="Calibri"/>
                <w:sz w:val="18"/>
                <w:szCs w:val="18"/>
              </w:rPr>
            </w:pPr>
            <w:r w:rsidRPr="007114AF">
              <w:rPr>
                <w:rFonts w:ascii="Garamond" w:hAnsi="Garamond" w:cs="Calibri"/>
                <w:sz w:val="18"/>
                <w:szCs w:val="18"/>
              </w:rPr>
              <w:t>Direktiva 2004/101/EC</w:t>
            </w:r>
          </w:p>
        </w:tc>
        <w:tc>
          <w:tcPr>
            <w:tcW w:w="0" w:type="auto"/>
            <w:vAlign w:val="center"/>
          </w:tcPr>
          <w:p w14:paraId="6EDD1225" w14:textId="77777777" w:rsidR="00286663" w:rsidRPr="007114AF" w:rsidRDefault="00286663" w:rsidP="00286663">
            <w:pPr>
              <w:spacing w:after="0"/>
              <w:rPr>
                <w:rFonts w:ascii="Garamond" w:hAnsi="Garamond" w:cs="Calibri"/>
                <w:sz w:val="18"/>
                <w:szCs w:val="18"/>
              </w:rPr>
            </w:pPr>
            <w:r w:rsidRPr="007114AF">
              <w:rPr>
                <w:rFonts w:ascii="Garamond" w:hAnsi="Garamond" w:cs="Calibri"/>
                <w:sz w:val="18"/>
                <w:szCs w:val="18"/>
              </w:rPr>
              <w:t>Direktiva 2004/101/ EC e Parlamentit Evropian dhe Këshillit, e datës 27 tetor 2004, që ndryshon Direktivën 2003/87/EC e cila përcakton një skemë për kuotën tregtare të shkarkimit të gazeve serrë brenda Komunitetit, në lidhje me mekanizmat e projektit të Protokollit të Kiotos</w:t>
            </w:r>
          </w:p>
        </w:tc>
      </w:tr>
      <w:tr w:rsidR="00286663" w:rsidRPr="007114AF" w14:paraId="6EDD1229" w14:textId="77777777" w:rsidTr="00574660">
        <w:tc>
          <w:tcPr>
            <w:tcW w:w="0" w:type="auto"/>
            <w:vAlign w:val="center"/>
          </w:tcPr>
          <w:p w14:paraId="6EDD1227" w14:textId="6438BA72" w:rsidR="00286663" w:rsidRPr="007114AF" w:rsidRDefault="00286663" w:rsidP="00286663">
            <w:pPr>
              <w:spacing w:after="0"/>
              <w:rPr>
                <w:rFonts w:ascii="Garamond" w:hAnsi="Garamond" w:cs="Calibri"/>
                <w:sz w:val="18"/>
                <w:szCs w:val="18"/>
              </w:rPr>
            </w:pPr>
            <w:r w:rsidRPr="007114AF">
              <w:rPr>
                <w:rFonts w:ascii="Garamond" w:hAnsi="Garamond" w:cs="Calibri"/>
                <w:sz w:val="18"/>
                <w:szCs w:val="18"/>
              </w:rPr>
              <w:t>Rregullorja e Komisionit</w:t>
            </w:r>
            <w:r w:rsidR="000A2A01" w:rsidRPr="007114AF">
              <w:rPr>
                <w:rFonts w:ascii="Garamond" w:hAnsi="Garamond" w:cs="Calibri"/>
                <w:sz w:val="18"/>
                <w:szCs w:val="18"/>
              </w:rPr>
              <w:t xml:space="preserve"> </w:t>
            </w:r>
            <w:r w:rsidRPr="007114AF">
              <w:rPr>
                <w:rFonts w:ascii="Garamond" w:hAnsi="Garamond" w:cs="Calibri"/>
                <w:sz w:val="18"/>
                <w:szCs w:val="18"/>
              </w:rPr>
              <w:t>(EC) Nr 2216/2004 e datës 21 dhjetor 2004</w:t>
            </w:r>
          </w:p>
        </w:tc>
        <w:tc>
          <w:tcPr>
            <w:tcW w:w="0" w:type="auto"/>
            <w:vAlign w:val="center"/>
          </w:tcPr>
          <w:p w14:paraId="6EDD1228" w14:textId="420B2E2F" w:rsidR="00286663" w:rsidRPr="007114AF" w:rsidRDefault="00286663" w:rsidP="00286663">
            <w:pPr>
              <w:spacing w:after="0"/>
              <w:rPr>
                <w:rFonts w:ascii="Garamond" w:hAnsi="Garamond" w:cs="Calibri"/>
                <w:sz w:val="18"/>
                <w:szCs w:val="18"/>
              </w:rPr>
            </w:pPr>
            <w:r w:rsidRPr="007114AF">
              <w:rPr>
                <w:rFonts w:ascii="Garamond" w:hAnsi="Garamond" w:cs="Calibri"/>
                <w:sz w:val="18"/>
                <w:szCs w:val="18"/>
              </w:rPr>
              <w:t>Rregullorja e Komisionit</w:t>
            </w:r>
            <w:r w:rsidR="000A2A01" w:rsidRPr="007114AF">
              <w:rPr>
                <w:rFonts w:ascii="Garamond" w:hAnsi="Garamond" w:cs="Calibri"/>
                <w:sz w:val="18"/>
                <w:szCs w:val="18"/>
              </w:rPr>
              <w:t xml:space="preserve"> </w:t>
            </w:r>
            <w:r w:rsidRPr="007114AF">
              <w:rPr>
                <w:rFonts w:ascii="Garamond" w:hAnsi="Garamond" w:cs="Calibri"/>
                <w:sz w:val="18"/>
                <w:szCs w:val="18"/>
              </w:rPr>
              <w:t xml:space="preserve">(EC) </w:t>
            </w:r>
            <w:r w:rsidR="00FF11ED" w:rsidRPr="007114AF">
              <w:rPr>
                <w:rFonts w:ascii="Garamond" w:hAnsi="Garamond" w:cs="Calibri"/>
                <w:sz w:val="18"/>
                <w:szCs w:val="18"/>
              </w:rPr>
              <w:t>nr</w:t>
            </w:r>
            <w:r w:rsidR="00FF11ED">
              <w:rPr>
                <w:rFonts w:ascii="Garamond" w:hAnsi="Garamond" w:cs="Calibri"/>
                <w:sz w:val="18"/>
                <w:szCs w:val="18"/>
              </w:rPr>
              <w:t>.</w:t>
            </w:r>
            <w:r w:rsidRPr="007114AF">
              <w:rPr>
                <w:rFonts w:ascii="Garamond" w:hAnsi="Garamond" w:cs="Calibri"/>
                <w:sz w:val="18"/>
                <w:szCs w:val="18"/>
              </w:rPr>
              <w:t xml:space="preserve">2216/2004 e datës 21 dhjetor 2004 për një sistem të standardizuar dhe të sigurt të regjistrave ndryshuar nga: Rregullorja e Komisionit (EC) </w:t>
            </w:r>
            <w:r w:rsidR="00FF11ED" w:rsidRPr="007114AF">
              <w:rPr>
                <w:rFonts w:ascii="Garamond" w:hAnsi="Garamond" w:cs="Calibri"/>
                <w:sz w:val="18"/>
                <w:szCs w:val="18"/>
              </w:rPr>
              <w:t>nr</w:t>
            </w:r>
            <w:r w:rsidR="00FF11ED">
              <w:rPr>
                <w:rFonts w:ascii="Garamond" w:hAnsi="Garamond" w:cs="Calibri"/>
                <w:sz w:val="18"/>
                <w:szCs w:val="18"/>
              </w:rPr>
              <w:t>.</w:t>
            </w:r>
            <w:r w:rsidRPr="007114AF">
              <w:rPr>
                <w:rFonts w:ascii="Garamond" w:hAnsi="Garamond" w:cs="Calibri"/>
                <w:sz w:val="18"/>
                <w:szCs w:val="18"/>
              </w:rPr>
              <w:t xml:space="preserve">916/2007 e datës 31 korrik 2007 dhe Rregullorja e Komisionit (EC) </w:t>
            </w:r>
            <w:r w:rsidR="00FF11ED" w:rsidRPr="007114AF">
              <w:rPr>
                <w:rFonts w:ascii="Garamond" w:hAnsi="Garamond" w:cs="Calibri"/>
                <w:sz w:val="18"/>
                <w:szCs w:val="18"/>
              </w:rPr>
              <w:t>nr</w:t>
            </w:r>
            <w:r w:rsidR="00FF11ED">
              <w:rPr>
                <w:rFonts w:ascii="Garamond" w:hAnsi="Garamond" w:cs="Calibri"/>
                <w:sz w:val="18"/>
                <w:szCs w:val="18"/>
              </w:rPr>
              <w:t>.</w:t>
            </w:r>
            <w:r w:rsidRPr="007114AF">
              <w:rPr>
                <w:rFonts w:ascii="Garamond" w:hAnsi="Garamond" w:cs="Calibri"/>
                <w:sz w:val="18"/>
                <w:szCs w:val="18"/>
              </w:rPr>
              <w:t xml:space="preserve">994/2008 e datës 8 tetor 2008 - version i zbatueshëm deri në 31 dhjetor 2011 </w:t>
            </w:r>
          </w:p>
        </w:tc>
      </w:tr>
      <w:tr w:rsidR="00286663" w:rsidRPr="007114AF" w14:paraId="6EDD122C" w14:textId="77777777" w:rsidTr="00574660">
        <w:tc>
          <w:tcPr>
            <w:tcW w:w="0" w:type="auto"/>
            <w:vAlign w:val="center"/>
          </w:tcPr>
          <w:p w14:paraId="6EDD122A" w14:textId="21049D56" w:rsidR="00286663" w:rsidRPr="007114AF" w:rsidRDefault="00286663" w:rsidP="00286663">
            <w:pPr>
              <w:spacing w:after="0"/>
              <w:rPr>
                <w:rFonts w:ascii="Garamond" w:hAnsi="Garamond" w:cs="Calibri"/>
                <w:sz w:val="18"/>
                <w:szCs w:val="18"/>
              </w:rPr>
            </w:pPr>
            <w:r w:rsidRPr="007114AF">
              <w:rPr>
                <w:rFonts w:ascii="Garamond" w:hAnsi="Garamond" w:cs="Calibri"/>
                <w:sz w:val="18"/>
                <w:szCs w:val="18"/>
              </w:rPr>
              <w:t>Rregullorja e Komisionit</w:t>
            </w:r>
            <w:r w:rsidR="000A2A01" w:rsidRPr="007114AF">
              <w:rPr>
                <w:rFonts w:ascii="Garamond" w:hAnsi="Garamond" w:cs="Calibri"/>
                <w:sz w:val="18"/>
                <w:szCs w:val="18"/>
              </w:rPr>
              <w:t xml:space="preserve"> </w:t>
            </w:r>
            <w:r w:rsidRPr="007114AF">
              <w:rPr>
                <w:rFonts w:ascii="Garamond" w:hAnsi="Garamond" w:cs="Calibri"/>
                <w:sz w:val="18"/>
                <w:szCs w:val="18"/>
              </w:rPr>
              <w:t>2006/780/EC e datës 13 nëntor 2006</w:t>
            </w:r>
          </w:p>
        </w:tc>
        <w:tc>
          <w:tcPr>
            <w:tcW w:w="0" w:type="auto"/>
            <w:vAlign w:val="center"/>
          </w:tcPr>
          <w:p w14:paraId="6EDD122B" w14:textId="3BF77133" w:rsidR="00286663" w:rsidRPr="007114AF" w:rsidRDefault="00286663" w:rsidP="00286663">
            <w:pPr>
              <w:spacing w:after="0"/>
              <w:rPr>
                <w:rFonts w:ascii="Garamond" w:hAnsi="Garamond" w:cs="Calibri"/>
                <w:sz w:val="18"/>
                <w:szCs w:val="18"/>
              </w:rPr>
            </w:pPr>
            <w:r w:rsidRPr="007114AF">
              <w:rPr>
                <w:rFonts w:ascii="Garamond" w:hAnsi="Garamond" w:cs="Calibri"/>
                <w:sz w:val="18"/>
                <w:szCs w:val="18"/>
              </w:rPr>
              <w:t>Rregullorja e Komisionit</w:t>
            </w:r>
            <w:r w:rsidR="000A2A01" w:rsidRPr="007114AF">
              <w:rPr>
                <w:rFonts w:ascii="Garamond" w:hAnsi="Garamond" w:cs="Calibri"/>
                <w:sz w:val="18"/>
                <w:szCs w:val="18"/>
              </w:rPr>
              <w:t xml:space="preserve"> </w:t>
            </w:r>
            <w:r w:rsidRPr="007114AF">
              <w:rPr>
                <w:rFonts w:ascii="Garamond" w:hAnsi="Garamond" w:cs="Calibri"/>
                <w:sz w:val="18"/>
                <w:szCs w:val="18"/>
              </w:rPr>
              <w:t xml:space="preserve">2006/780/EC e datës 13 nëntor 2006 mbi shmangien e numërimit të dyfishtë të shkarkimeve të gazeve serrë, nën skemën tregtare të shkarkimeve të Komunitetit për aktivitete të projektit në kuadrin e Protokollit të Kiotos në përputhje me Direktivën 2003/87/EC të Parlamentit Evropian dhe Këshillit (bërë me dije në dokumentin me numër C(2006) 5362) </w:t>
            </w:r>
          </w:p>
        </w:tc>
      </w:tr>
      <w:tr w:rsidR="00286663" w:rsidRPr="007114AF" w14:paraId="6EDD122F" w14:textId="77777777" w:rsidTr="00574660">
        <w:tc>
          <w:tcPr>
            <w:tcW w:w="0" w:type="auto"/>
            <w:vAlign w:val="center"/>
          </w:tcPr>
          <w:p w14:paraId="6EDD122D" w14:textId="3789113D" w:rsidR="00286663" w:rsidRPr="007114AF" w:rsidRDefault="00286663" w:rsidP="00286663">
            <w:pPr>
              <w:spacing w:after="0"/>
              <w:rPr>
                <w:rFonts w:ascii="Garamond" w:hAnsi="Garamond" w:cs="Calibri"/>
                <w:sz w:val="18"/>
                <w:szCs w:val="18"/>
              </w:rPr>
            </w:pPr>
            <w:r w:rsidRPr="007114AF">
              <w:rPr>
                <w:rFonts w:ascii="Garamond" w:hAnsi="Garamond" w:cs="Calibri"/>
                <w:sz w:val="18"/>
                <w:szCs w:val="18"/>
              </w:rPr>
              <w:t>Vendimi i Komisionit 2007/589/EC i datës</w:t>
            </w:r>
            <w:r w:rsidR="008D30FC" w:rsidRPr="007114AF">
              <w:rPr>
                <w:rFonts w:ascii="Garamond" w:hAnsi="Garamond" w:cs="Calibri"/>
                <w:sz w:val="18"/>
                <w:szCs w:val="18"/>
              </w:rPr>
              <w:t xml:space="preserve">    </w:t>
            </w:r>
            <w:r w:rsidRPr="007114AF">
              <w:rPr>
                <w:rFonts w:ascii="Garamond" w:hAnsi="Garamond" w:cs="Calibri"/>
                <w:sz w:val="18"/>
                <w:szCs w:val="18"/>
              </w:rPr>
              <w:t>18 korrik 2007</w:t>
            </w:r>
          </w:p>
        </w:tc>
        <w:tc>
          <w:tcPr>
            <w:tcW w:w="0" w:type="auto"/>
            <w:vAlign w:val="center"/>
          </w:tcPr>
          <w:p w14:paraId="6EDD122E" w14:textId="77777777" w:rsidR="00286663" w:rsidRPr="007114AF" w:rsidRDefault="00286663" w:rsidP="00286663">
            <w:pPr>
              <w:spacing w:after="0"/>
              <w:rPr>
                <w:rFonts w:ascii="Garamond" w:hAnsi="Garamond" w:cs="Calibri"/>
                <w:sz w:val="18"/>
                <w:szCs w:val="18"/>
              </w:rPr>
            </w:pPr>
            <w:r w:rsidRPr="007114AF">
              <w:rPr>
                <w:rFonts w:ascii="Garamond" w:hAnsi="Garamond" w:cs="Calibri"/>
                <w:sz w:val="18"/>
                <w:szCs w:val="18"/>
              </w:rPr>
              <w:t xml:space="preserve">Vendimi i Komisionit 2007/589/EC i datës 18 korrik 2007 për vendosjen e udhëzimeve për monitorimin dhe raportimin e shkarkimeve të gazeve serrë në përputhje me Direktivën 2003/87/EC e Parlamentit Evropian dhe Këshillit, ndryshuar me Vendim të Komisionit 2009/73/EC dhe Vendimit të Komisionit 2009/339/EC </w:t>
            </w:r>
          </w:p>
        </w:tc>
      </w:tr>
      <w:tr w:rsidR="00286663" w:rsidRPr="007114AF" w14:paraId="6EDD1232" w14:textId="77777777" w:rsidTr="00574660">
        <w:tc>
          <w:tcPr>
            <w:tcW w:w="0" w:type="auto"/>
            <w:vAlign w:val="center"/>
          </w:tcPr>
          <w:p w14:paraId="6EDD1230" w14:textId="77777777" w:rsidR="00286663" w:rsidRPr="007114AF" w:rsidRDefault="00286663" w:rsidP="00286663">
            <w:pPr>
              <w:spacing w:after="0"/>
              <w:rPr>
                <w:rFonts w:ascii="Garamond" w:hAnsi="Garamond" w:cs="Calibri"/>
                <w:sz w:val="18"/>
                <w:szCs w:val="18"/>
              </w:rPr>
            </w:pPr>
            <w:r w:rsidRPr="007114AF">
              <w:rPr>
                <w:rFonts w:ascii="Garamond" w:hAnsi="Garamond" w:cs="Calibri"/>
                <w:sz w:val="18"/>
                <w:szCs w:val="18"/>
              </w:rPr>
              <w:t>Direktiva 2009/29/EC</w:t>
            </w:r>
          </w:p>
        </w:tc>
        <w:tc>
          <w:tcPr>
            <w:tcW w:w="0" w:type="auto"/>
            <w:vAlign w:val="center"/>
          </w:tcPr>
          <w:p w14:paraId="6EDD1231" w14:textId="77777777" w:rsidR="00286663" w:rsidRPr="007114AF" w:rsidRDefault="00286663" w:rsidP="00286663">
            <w:pPr>
              <w:spacing w:after="0"/>
              <w:rPr>
                <w:rFonts w:ascii="Garamond" w:hAnsi="Garamond" w:cs="Calibri"/>
                <w:sz w:val="18"/>
                <w:szCs w:val="18"/>
              </w:rPr>
            </w:pPr>
            <w:r w:rsidRPr="007114AF">
              <w:rPr>
                <w:rFonts w:ascii="Garamond" w:hAnsi="Garamond" w:cs="Calibri"/>
                <w:sz w:val="18"/>
                <w:szCs w:val="18"/>
              </w:rPr>
              <w:t>Direktiva 2009/29/EC e Parlamentit Evropian dhe Këshillit, e datës 23 prill 2009 që ndryshon Direktivën 2003/87/EC për të përmirësuar dhe zgjeruar kuotën tregtare të shkarkimit të gazeve serrë të Komunitetit</w:t>
            </w:r>
          </w:p>
        </w:tc>
      </w:tr>
      <w:tr w:rsidR="00286663" w:rsidRPr="007114AF" w14:paraId="6EDD1235" w14:textId="77777777" w:rsidTr="00574660">
        <w:tc>
          <w:tcPr>
            <w:tcW w:w="0" w:type="auto"/>
            <w:vAlign w:val="center"/>
          </w:tcPr>
          <w:p w14:paraId="6EDD1233" w14:textId="01BB7AA4" w:rsidR="00286663" w:rsidRPr="007114AF" w:rsidRDefault="00286663" w:rsidP="00286663">
            <w:pPr>
              <w:spacing w:after="0"/>
              <w:rPr>
                <w:rFonts w:ascii="Garamond" w:hAnsi="Garamond" w:cs="Calibri"/>
                <w:sz w:val="18"/>
                <w:szCs w:val="18"/>
              </w:rPr>
            </w:pPr>
            <w:r w:rsidRPr="007114AF">
              <w:rPr>
                <w:rFonts w:ascii="Garamond" w:hAnsi="Garamond" w:cs="Calibri"/>
                <w:sz w:val="18"/>
                <w:szCs w:val="18"/>
              </w:rPr>
              <w:t>Vendimi i Komisionit 2010/2/EU i datës</w:t>
            </w:r>
            <w:r w:rsidR="008D30FC" w:rsidRPr="007114AF">
              <w:rPr>
                <w:rFonts w:ascii="Garamond" w:hAnsi="Garamond" w:cs="Calibri"/>
                <w:sz w:val="18"/>
                <w:szCs w:val="18"/>
              </w:rPr>
              <w:t xml:space="preserve">    </w:t>
            </w:r>
            <w:r w:rsidR="000A2A01" w:rsidRPr="007114AF">
              <w:rPr>
                <w:rFonts w:ascii="Garamond" w:hAnsi="Garamond" w:cs="Calibri"/>
                <w:sz w:val="18"/>
                <w:szCs w:val="18"/>
              </w:rPr>
              <w:t xml:space="preserve"> </w:t>
            </w:r>
            <w:r w:rsidRPr="007114AF">
              <w:rPr>
                <w:rFonts w:ascii="Garamond" w:hAnsi="Garamond" w:cs="Calibri"/>
                <w:sz w:val="18"/>
                <w:szCs w:val="18"/>
              </w:rPr>
              <w:t>24 dhjetor 2009</w:t>
            </w:r>
          </w:p>
        </w:tc>
        <w:tc>
          <w:tcPr>
            <w:tcW w:w="0" w:type="auto"/>
            <w:vAlign w:val="center"/>
          </w:tcPr>
          <w:p w14:paraId="6EDD1234" w14:textId="77777777" w:rsidR="00286663" w:rsidRPr="007114AF" w:rsidRDefault="00286663" w:rsidP="00286663">
            <w:pPr>
              <w:spacing w:after="0"/>
              <w:rPr>
                <w:rFonts w:ascii="Garamond" w:hAnsi="Garamond" w:cs="Calibri"/>
                <w:sz w:val="18"/>
                <w:szCs w:val="18"/>
              </w:rPr>
            </w:pPr>
            <w:r w:rsidRPr="007114AF">
              <w:rPr>
                <w:rFonts w:ascii="Garamond" w:hAnsi="Garamond" w:cs="Calibri"/>
                <w:sz w:val="18"/>
                <w:szCs w:val="18"/>
              </w:rPr>
              <w:t xml:space="preserve">Vendimi i Komisionit 2010/2/EU i datës 24 dhjetor 2009 përcakton një listë të sektorëve dhe nënsektorëve të cilët konsiderohen të ekspozuar ndaj një rreziku të konsiderueshëm të rrjedhjes së karbonit, në përputhje me Direktivën 2003/87/EC të Parlamentit Evropian dhe Këshillit </w:t>
            </w:r>
          </w:p>
        </w:tc>
      </w:tr>
      <w:tr w:rsidR="00286663" w:rsidRPr="007114AF" w14:paraId="6EDD1238" w14:textId="77777777" w:rsidTr="00574660">
        <w:tc>
          <w:tcPr>
            <w:tcW w:w="0" w:type="auto"/>
            <w:vAlign w:val="center"/>
          </w:tcPr>
          <w:p w14:paraId="6EDD1236" w14:textId="6FC90FD6" w:rsidR="00286663" w:rsidRPr="007114AF" w:rsidRDefault="00286663" w:rsidP="00286663">
            <w:pPr>
              <w:spacing w:after="0"/>
              <w:rPr>
                <w:rFonts w:ascii="Garamond" w:hAnsi="Garamond" w:cs="Calibri"/>
                <w:sz w:val="18"/>
                <w:szCs w:val="18"/>
              </w:rPr>
            </w:pPr>
            <w:r w:rsidRPr="007114AF">
              <w:rPr>
                <w:rFonts w:ascii="Garamond" w:hAnsi="Garamond" w:cs="Calibri"/>
                <w:sz w:val="18"/>
                <w:szCs w:val="18"/>
              </w:rPr>
              <w:t>Rregullorja e Komisionit</w:t>
            </w:r>
            <w:r w:rsidR="000A2A01" w:rsidRPr="007114AF">
              <w:rPr>
                <w:rFonts w:ascii="Garamond" w:hAnsi="Garamond" w:cs="Calibri"/>
                <w:sz w:val="18"/>
                <w:szCs w:val="18"/>
              </w:rPr>
              <w:t xml:space="preserve"> </w:t>
            </w:r>
            <w:r w:rsidRPr="007114AF">
              <w:rPr>
                <w:rFonts w:ascii="Garamond" w:hAnsi="Garamond" w:cs="Calibri"/>
                <w:sz w:val="18"/>
                <w:szCs w:val="18"/>
              </w:rPr>
              <w:t>(EU)</w:t>
            </w:r>
            <w:r w:rsidR="00242009" w:rsidRPr="007114AF">
              <w:rPr>
                <w:rFonts w:ascii="Garamond" w:hAnsi="Garamond" w:cs="Calibri"/>
                <w:sz w:val="18"/>
                <w:szCs w:val="18"/>
              </w:rPr>
              <w:t xml:space="preserve"> nr. </w:t>
            </w:r>
            <w:r w:rsidRPr="007114AF">
              <w:rPr>
                <w:rFonts w:ascii="Garamond" w:hAnsi="Garamond" w:cs="Calibri"/>
                <w:sz w:val="18"/>
                <w:szCs w:val="18"/>
              </w:rPr>
              <w:t>920/2010 e datës 7 tetor 2010 f</w:t>
            </w:r>
          </w:p>
        </w:tc>
        <w:tc>
          <w:tcPr>
            <w:tcW w:w="0" w:type="auto"/>
            <w:vAlign w:val="center"/>
          </w:tcPr>
          <w:p w14:paraId="6EDD1237" w14:textId="2D87ABAA" w:rsidR="00286663" w:rsidRPr="007114AF" w:rsidRDefault="00286663" w:rsidP="00286663">
            <w:pPr>
              <w:spacing w:after="0"/>
              <w:rPr>
                <w:rFonts w:ascii="Garamond" w:hAnsi="Garamond" w:cs="Calibri"/>
                <w:sz w:val="18"/>
                <w:szCs w:val="18"/>
              </w:rPr>
            </w:pPr>
            <w:r w:rsidRPr="007114AF">
              <w:rPr>
                <w:rFonts w:ascii="Garamond" w:hAnsi="Garamond" w:cs="Calibri"/>
                <w:sz w:val="18"/>
                <w:szCs w:val="18"/>
              </w:rPr>
              <w:t>Rregullorja e Komisionit</w:t>
            </w:r>
            <w:r w:rsidR="000A2A01" w:rsidRPr="007114AF">
              <w:rPr>
                <w:rFonts w:ascii="Garamond" w:hAnsi="Garamond" w:cs="Calibri"/>
                <w:sz w:val="18"/>
                <w:szCs w:val="18"/>
              </w:rPr>
              <w:t xml:space="preserve"> </w:t>
            </w:r>
            <w:r w:rsidRPr="007114AF">
              <w:rPr>
                <w:rFonts w:ascii="Garamond" w:hAnsi="Garamond" w:cs="Calibri"/>
                <w:sz w:val="18"/>
                <w:szCs w:val="18"/>
              </w:rPr>
              <w:t xml:space="preserve">(EU) </w:t>
            </w:r>
            <w:r w:rsidR="00FF11ED" w:rsidRPr="007114AF">
              <w:rPr>
                <w:rFonts w:ascii="Garamond" w:hAnsi="Garamond" w:cs="Calibri"/>
                <w:sz w:val="18"/>
                <w:szCs w:val="18"/>
              </w:rPr>
              <w:t>nr</w:t>
            </w:r>
            <w:r w:rsidR="00FF11ED">
              <w:rPr>
                <w:rFonts w:ascii="Garamond" w:hAnsi="Garamond" w:cs="Calibri"/>
                <w:sz w:val="18"/>
                <w:szCs w:val="18"/>
              </w:rPr>
              <w:t>.</w:t>
            </w:r>
            <w:r w:rsidRPr="007114AF">
              <w:rPr>
                <w:rFonts w:ascii="Garamond" w:hAnsi="Garamond" w:cs="Calibri"/>
                <w:sz w:val="18"/>
                <w:szCs w:val="18"/>
              </w:rPr>
              <w:t xml:space="preserve">920/2010 e datës 7 tetor 2010 për një sistem standard dhe të sigurt regjistrash, në përputhje me Direktivën 2003/87/EC të Parlamentit Evropian dhe Këshillit dhe </w:t>
            </w:r>
            <w:r w:rsidR="00FF11ED" w:rsidRPr="007114AF">
              <w:rPr>
                <w:rFonts w:ascii="Garamond" w:hAnsi="Garamond" w:cs="Calibri"/>
                <w:sz w:val="18"/>
                <w:szCs w:val="18"/>
              </w:rPr>
              <w:t>vendimit nr</w:t>
            </w:r>
            <w:r w:rsidR="00FF11ED">
              <w:rPr>
                <w:rFonts w:ascii="Garamond" w:hAnsi="Garamond" w:cs="Calibri"/>
                <w:sz w:val="18"/>
                <w:szCs w:val="18"/>
              </w:rPr>
              <w:t>.</w:t>
            </w:r>
            <w:r w:rsidRPr="007114AF">
              <w:rPr>
                <w:rFonts w:ascii="Garamond" w:hAnsi="Garamond" w:cs="Calibri"/>
                <w:sz w:val="18"/>
                <w:szCs w:val="18"/>
              </w:rPr>
              <w:t>280/2004/EC të Parlamentit Evropian dhe Këshillit</w:t>
            </w:r>
          </w:p>
        </w:tc>
      </w:tr>
      <w:tr w:rsidR="00286663" w:rsidRPr="007114AF" w14:paraId="6EDD123B" w14:textId="77777777" w:rsidTr="00574660">
        <w:tc>
          <w:tcPr>
            <w:tcW w:w="0" w:type="auto"/>
            <w:vAlign w:val="center"/>
          </w:tcPr>
          <w:p w14:paraId="6EDD1239" w14:textId="0C883D65" w:rsidR="00286663" w:rsidRPr="007114AF" w:rsidRDefault="00286663" w:rsidP="00286663">
            <w:pPr>
              <w:spacing w:after="0"/>
              <w:rPr>
                <w:rFonts w:ascii="Garamond" w:hAnsi="Garamond" w:cs="Calibri"/>
                <w:sz w:val="18"/>
                <w:szCs w:val="18"/>
              </w:rPr>
            </w:pPr>
            <w:r w:rsidRPr="007114AF">
              <w:rPr>
                <w:rFonts w:ascii="Garamond" w:hAnsi="Garamond" w:cs="Calibri"/>
                <w:sz w:val="18"/>
                <w:szCs w:val="18"/>
              </w:rPr>
              <w:t>Rregullorja e Komisionit</w:t>
            </w:r>
            <w:r w:rsidR="000A2A01" w:rsidRPr="007114AF">
              <w:rPr>
                <w:rFonts w:ascii="Garamond" w:hAnsi="Garamond" w:cs="Calibri"/>
                <w:sz w:val="18"/>
                <w:szCs w:val="18"/>
              </w:rPr>
              <w:t xml:space="preserve"> </w:t>
            </w:r>
            <w:r w:rsidRPr="007114AF">
              <w:rPr>
                <w:rFonts w:ascii="Garamond" w:hAnsi="Garamond" w:cs="Calibri"/>
                <w:sz w:val="18"/>
                <w:szCs w:val="18"/>
              </w:rPr>
              <w:t>(EU)</w:t>
            </w:r>
            <w:r w:rsidR="00242009" w:rsidRPr="007114AF">
              <w:rPr>
                <w:rFonts w:ascii="Garamond" w:hAnsi="Garamond" w:cs="Calibri"/>
                <w:sz w:val="18"/>
                <w:szCs w:val="18"/>
              </w:rPr>
              <w:t xml:space="preserve"> nr. </w:t>
            </w:r>
            <w:r w:rsidRPr="007114AF">
              <w:rPr>
                <w:rFonts w:ascii="Garamond" w:hAnsi="Garamond" w:cs="Calibri"/>
                <w:sz w:val="18"/>
                <w:szCs w:val="18"/>
              </w:rPr>
              <w:t>1031/2010 of 12 nëntor 2010</w:t>
            </w:r>
          </w:p>
        </w:tc>
        <w:tc>
          <w:tcPr>
            <w:tcW w:w="0" w:type="auto"/>
            <w:vAlign w:val="center"/>
          </w:tcPr>
          <w:p w14:paraId="6EDD123A" w14:textId="5E102C1F" w:rsidR="00286663" w:rsidRPr="007114AF" w:rsidRDefault="00286663" w:rsidP="00286663">
            <w:pPr>
              <w:spacing w:after="0"/>
              <w:rPr>
                <w:rFonts w:ascii="Garamond" w:hAnsi="Garamond" w:cs="Calibri"/>
                <w:sz w:val="18"/>
                <w:szCs w:val="18"/>
              </w:rPr>
            </w:pPr>
            <w:r w:rsidRPr="007114AF">
              <w:rPr>
                <w:rFonts w:ascii="Garamond" w:hAnsi="Garamond" w:cs="Calibri"/>
                <w:sz w:val="18"/>
                <w:szCs w:val="18"/>
              </w:rPr>
              <w:t>Rregullorja e Komisionit</w:t>
            </w:r>
            <w:r w:rsidR="000A2A01" w:rsidRPr="007114AF">
              <w:rPr>
                <w:rFonts w:ascii="Garamond" w:hAnsi="Garamond" w:cs="Calibri"/>
                <w:sz w:val="18"/>
                <w:szCs w:val="18"/>
              </w:rPr>
              <w:t xml:space="preserve"> </w:t>
            </w:r>
            <w:r w:rsidRPr="007114AF">
              <w:rPr>
                <w:rFonts w:ascii="Garamond" w:hAnsi="Garamond" w:cs="Calibri"/>
                <w:sz w:val="18"/>
                <w:szCs w:val="18"/>
              </w:rPr>
              <w:t xml:space="preserve">(EU) </w:t>
            </w:r>
            <w:r w:rsidR="00FF11ED" w:rsidRPr="007114AF">
              <w:rPr>
                <w:rFonts w:ascii="Garamond" w:hAnsi="Garamond" w:cs="Calibri"/>
                <w:sz w:val="18"/>
                <w:szCs w:val="18"/>
              </w:rPr>
              <w:t>nr</w:t>
            </w:r>
            <w:r w:rsidR="00FF11ED">
              <w:rPr>
                <w:rFonts w:ascii="Garamond" w:hAnsi="Garamond" w:cs="Calibri"/>
                <w:sz w:val="18"/>
                <w:szCs w:val="18"/>
              </w:rPr>
              <w:t>.</w:t>
            </w:r>
            <w:r w:rsidRPr="007114AF">
              <w:rPr>
                <w:rFonts w:ascii="Garamond" w:hAnsi="Garamond" w:cs="Calibri"/>
                <w:sz w:val="18"/>
                <w:szCs w:val="18"/>
              </w:rPr>
              <w:t xml:space="preserve">1031/2010 i datës 12 nëntor 2010 mbi kohën dhe administrimin, si dhe aspekte të tjera të ankandit të kuotave të shkarkimeve të gazeve serrë, në përputhje me Direktivën 2003/87/EC të Parlamentit Evropian dhe Këshillit, e cila përcakton një skemë për kuotën tregtare të shkarkimit të gazeve serrë brenda Komunitetit </w:t>
            </w:r>
          </w:p>
        </w:tc>
      </w:tr>
      <w:tr w:rsidR="00286663" w:rsidRPr="007114AF" w14:paraId="6EDD123E" w14:textId="77777777" w:rsidTr="00574660">
        <w:tc>
          <w:tcPr>
            <w:tcW w:w="0" w:type="auto"/>
            <w:vAlign w:val="center"/>
          </w:tcPr>
          <w:p w14:paraId="6EDD123C" w14:textId="013EC6CD" w:rsidR="00286663" w:rsidRPr="007114AF" w:rsidRDefault="00286663" w:rsidP="00286663">
            <w:pPr>
              <w:spacing w:after="0"/>
              <w:rPr>
                <w:rFonts w:ascii="Garamond" w:hAnsi="Garamond" w:cs="Calibri"/>
                <w:sz w:val="18"/>
                <w:szCs w:val="18"/>
              </w:rPr>
            </w:pPr>
            <w:r w:rsidRPr="007114AF">
              <w:rPr>
                <w:rFonts w:ascii="Garamond" w:hAnsi="Garamond" w:cs="Calibri"/>
                <w:sz w:val="18"/>
                <w:szCs w:val="18"/>
              </w:rPr>
              <w:t>Vendimi i Komisionit 2011/278/EU i datës</w:t>
            </w:r>
            <w:r w:rsidR="008D30FC" w:rsidRPr="007114AF">
              <w:rPr>
                <w:rFonts w:ascii="Garamond" w:hAnsi="Garamond" w:cs="Calibri"/>
                <w:sz w:val="18"/>
                <w:szCs w:val="18"/>
              </w:rPr>
              <w:t xml:space="preserve">  </w:t>
            </w:r>
            <w:r w:rsidR="000A2A01" w:rsidRPr="007114AF">
              <w:rPr>
                <w:rFonts w:ascii="Garamond" w:hAnsi="Garamond" w:cs="Calibri"/>
                <w:sz w:val="18"/>
                <w:szCs w:val="18"/>
              </w:rPr>
              <w:t xml:space="preserve"> </w:t>
            </w:r>
            <w:r w:rsidRPr="007114AF">
              <w:rPr>
                <w:rFonts w:ascii="Garamond" w:hAnsi="Garamond" w:cs="Calibri"/>
                <w:sz w:val="18"/>
                <w:szCs w:val="18"/>
              </w:rPr>
              <w:t>27 prill 2011</w:t>
            </w:r>
          </w:p>
        </w:tc>
        <w:tc>
          <w:tcPr>
            <w:tcW w:w="0" w:type="auto"/>
            <w:vAlign w:val="center"/>
          </w:tcPr>
          <w:p w14:paraId="6EDD123D" w14:textId="77777777" w:rsidR="00286663" w:rsidRPr="007114AF" w:rsidRDefault="00286663" w:rsidP="00286663">
            <w:pPr>
              <w:spacing w:after="0"/>
              <w:rPr>
                <w:rFonts w:ascii="Garamond" w:hAnsi="Garamond" w:cs="Calibri"/>
                <w:sz w:val="18"/>
                <w:szCs w:val="18"/>
              </w:rPr>
            </w:pPr>
            <w:r w:rsidRPr="007114AF">
              <w:rPr>
                <w:rFonts w:ascii="Garamond" w:hAnsi="Garamond" w:cs="Calibri"/>
                <w:sz w:val="18"/>
                <w:szCs w:val="18"/>
              </w:rPr>
              <w:t>Vendimi i Komisionit 2011/278/EU i datës 27 prill 2011 përcakton kushte tranzitore për të gjitha sindikatat për dhënien e lirë të fondeve të shkarkimeve, në përputhje me Nenin 10a të Direktivës 2003/87/EC të Parlamentit Evropian dhe Këshillit</w:t>
            </w:r>
          </w:p>
        </w:tc>
      </w:tr>
      <w:tr w:rsidR="00286663" w:rsidRPr="007114AF" w14:paraId="6EDD1241" w14:textId="77777777" w:rsidTr="00574660">
        <w:tc>
          <w:tcPr>
            <w:tcW w:w="0" w:type="auto"/>
            <w:vAlign w:val="center"/>
          </w:tcPr>
          <w:p w14:paraId="6EDD123F" w14:textId="406C4CA7" w:rsidR="00286663" w:rsidRPr="007114AF" w:rsidRDefault="00286663" w:rsidP="00286663">
            <w:pPr>
              <w:spacing w:after="0"/>
              <w:rPr>
                <w:rFonts w:ascii="Garamond" w:hAnsi="Garamond" w:cs="Calibri"/>
                <w:sz w:val="18"/>
                <w:szCs w:val="18"/>
              </w:rPr>
            </w:pPr>
            <w:r w:rsidRPr="007114AF">
              <w:rPr>
                <w:rFonts w:ascii="Garamond" w:hAnsi="Garamond" w:cs="Calibri"/>
                <w:sz w:val="18"/>
                <w:szCs w:val="18"/>
              </w:rPr>
              <w:t>Rregullorja e Komisionit</w:t>
            </w:r>
            <w:r w:rsidR="000A2A01" w:rsidRPr="007114AF">
              <w:rPr>
                <w:rFonts w:ascii="Garamond" w:hAnsi="Garamond" w:cs="Calibri"/>
                <w:sz w:val="18"/>
                <w:szCs w:val="18"/>
              </w:rPr>
              <w:t xml:space="preserve"> </w:t>
            </w:r>
            <w:r w:rsidRPr="007114AF">
              <w:rPr>
                <w:rFonts w:ascii="Garamond" w:hAnsi="Garamond" w:cs="Calibri"/>
                <w:sz w:val="18"/>
                <w:szCs w:val="18"/>
              </w:rPr>
              <w:t>(EU) Nr 550/2011 e datës</w:t>
            </w:r>
            <w:r w:rsidR="000A2A01" w:rsidRPr="007114AF">
              <w:rPr>
                <w:rFonts w:ascii="Garamond" w:hAnsi="Garamond" w:cs="Calibri"/>
                <w:sz w:val="18"/>
                <w:szCs w:val="18"/>
              </w:rPr>
              <w:t xml:space="preserve"> </w:t>
            </w:r>
            <w:r w:rsidRPr="007114AF">
              <w:rPr>
                <w:rFonts w:ascii="Garamond" w:hAnsi="Garamond" w:cs="Calibri"/>
                <w:sz w:val="18"/>
                <w:szCs w:val="18"/>
              </w:rPr>
              <w:t>7 qershor 2011</w:t>
            </w:r>
          </w:p>
        </w:tc>
        <w:tc>
          <w:tcPr>
            <w:tcW w:w="0" w:type="auto"/>
            <w:vAlign w:val="center"/>
          </w:tcPr>
          <w:p w14:paraId="6EDD1240" w14:textId="05C0FD1D" w:rsidR="00286663" w:rsidRPr="007114AF" w:rsidRDefault="00286663" w:rsidP="00286663">
            <w:pPr>
              <w:spacing w:after="0"/>
              <w:rPr>
                <w:rFonts w:ascii="Garamond" w:hAnsi="Garamond" w:cs="Calibri"/>
                <w:sz w:val="18"/>
                <w:szCs w:val="18"/>
              </w:rPr>
            </w:pPr>
            <w:r w:rsidRPr="007114AF">
              <w:rPr>
                <w:rFonts w:ascii="Garamond" w:hAnsi="Garamond" w:cs="Calibri"/>
                <w:sz w:val="18"/>
                <w:szCs w:val="18"/>
              </w:rPr>
              <w:t>Rregullorja e Komisionit</w:t>
            </w:r>
            <w:r w:rsidR="000A2A01" w:rsidRPr="007114AF">
              <w:rPr>
                <w:rFonts w:ascii="Garamond" w:hAnsi="Garamond" w:cs="Calibri"/>
                <w:sz w:val="18"/>
                <w:szCs w:val="18"/>
              </w:rPr>
              <w:t xml:space="preserve"> </w:t>
            </w:r>
            <w:r w:rsidRPr="007114AF">
              <w:rPr>
                <w:rFonts w:ascii="Garamond" w:hAnsi="Garamond" w:cs="Calibri"/>
                <w:sz w:val="18"/>
                <w:szCs w:val="18"/>
              </w:rPr>
              <w:t>(EU)</w:t>
            </w:r>
            <w:r w:rsidR="00242009" w:rsidRPr="007114AF">
              <w:rPr>
                <w:rFonts w:ascii="Garamond" w:hAnsi="Garamond" w:cs="Calibri"/>
                <w:sz w:val="18"/>
                <w:szCs w:val="18"/>
              </w:rPr>
              <w:t xml:space="preserve"> nr. </w:t>
            </w:r>
            <w:r w:rsidRPr="007114AF">
              <w:rPr>
                <w:rFonts w:ascii="Garamond" w:hAnsi="Garamond" w:cs="Calibri"/>
                <w:sz w:val="18"/>
                <w:szCs w:val="18"/>
              </w:rPr>
              <w:t>550/2011 e datës 7 qershor 2011 për përcaktimin e disa kufizimeve të zbatueshme në përdorimin e kredive ndërkombëtare nga projekte që lidhen me gazet industriale, në përputhje me Direktivën 2003/87/EC të Parlamentit Evropian dhe Këshillit</w:t>
            </w:r>
            <w:r w:rsidR="000A2A01" w:rsidRPr="007114AF">
              <w:rPr>
                <w:rFonts w:ascii="Garamond" w:hAnsi="Garamond" w:cs="Calibri"/>
                <w:sz w:val="18"/>
                <w:szCs w:val="18"/>
              </w:rPr>
              <w:t xml:space="preserve"> </w:t>
            </w:r>
          </w:p>
        </w:tc>
      </w:tr>
      <w:tr w:rsidR="00286663" w:rsidRPr="007114AF" w14:paraId="6EDD1244" w14:textId="77777777" w:rsidTr="00574660">
        <w:tc>
          <w:tcPr>
            <w:tcW w:w="0" w:type="auto"/>
            <w:vAlign w:val="center"/>
          </w:tcPr>
          <w:p w14:paraId="6EDD1242" w14:textId="7CEC0AF6" w:rsidR="00286663" w:rsidRPr="007114AF" w:rsidRDefault="00286663" w:rsidP="00286663">
            <w:pPr>
              <w:spacing w:after="0"/>
              <w:rPr>
                <w:rFonts w:ascii="Garamond" w:hAnsi="Garamond" w:cs="Calibri"/>
                <w:sz w:val="18"/>
                <w:szCs w:val="18"/>
              </w:rPr>
            </w:pPr>
            <w:r w:rsidRPr="007114AF">
              <w:rPr>
                <w:rFonts w:ascii="Garamond" w:hAnsi="Garamond" w:cs="Calibri"/>
                <w:sz w:val="18"/>
                <w:szCs w:val="18"/>
              </w:rPr>
              <w:t>Vendimi i Komisionit 2011/745/EU i datës</w:t>
            </w:r>
            <w:r w:rsidR="008D30FC" w:rsidRPr="007114AF">
              <w:rPr>
                <w:rFonts w:ascii="Garamond" w:hAnsi="Garamond" w:cs="Calibri"/>
                <w:sz w:val="18"/>
                <w:szCs w:val="18"/>
              </w:rPr>
              <w:t xml:space="preserve">  </w:t>
            </w:r>
            <w:r w:rsidRPr="007114AF">
              <w:rPr>
                <w:rFonts w:ascii="Garamond" w:hAnsi="Garamond" w:cs="Calibri"/>
                <w:sz w:val="18"/>
                <w:szCs w:val="18"/>
              </w:rPr>
              <w:t xml:space="preserve"> 11 nëntor 2011</w:t>
            </w:r>
          </w:p>
        </w:tc>
        <w:tc>
          <w:tcPr>
            <w:tcW w:w="0" w:type="auto"/>
            <w:vAlign w:val="center"/>
          </w:tcPr>
          <w:p w14:paraId="6EDD1243" w14:textId="22E48EC3" w:rsidR="00286663" w:rsidRPr="007114AF" w:rsidRDefault="00286663" w:rsidP="00FF11ED">
            <w:pPr>
              <w:spacing w:after="0"/>
              <w:rPr>
                <w:rFonts w:ascii="Garamond" w:hAnsi="Garamond" w:cs="Calibri"/>
                <w:sz w:val="18"/>
                <w:szCs w:val="18"/>
              </w:rPr>
            </w:pPr>
            <w:r w:rsidRPr="007114AF">
              <w:rPr>
                <w:rFonts w:ascii="Garamond" w:hAnsi="Garamond" w:cs="Calibri"/>
                <w:sz w:val="18"/>
                <w:szCs w:val="18"/>
              </w:rPr>
              <w:t xml:space="preserve">Vendimi i Komisionit 2011/745/EU i datës 11 nëntor 2011 që ndryshon </w:t>
            </w:r>
            <w:r w:rsidR="00FF11ED">
              <w:rPr>
                <w:rFonts w:ascii="Garamond" w:hAnsi="Garamond" w:cs="Calibri"/>
                <w:sz w:val="18"/>
                <w:szCs w:val="18"/>
              </w:rPr>
              <w:t>v</w:t>
            </w:r>
            <w:r w:rsidRPr="007114AF">
              <w:rPr>
                <w:rFonts w:ascii="Garamond" w:hAnsi="Garamond" w:cs="Calibri"/>
                <w:sz w:val="18"/>
                <w:szCs w:val="18"/>
              </w:rPr>
              <w:t>endimet 2010/2/EU dhe 2011/278/EU që kanë të bëjnë me sektorët dhe nënsektorët të cilët janë të ekspozuar ndaj një rreziku të konsiderueshëm të rrjedhjes së karbonit</w:t>
            </w:r>
          </w:p>
        </w:tc>
      </w:tr>
      <w:tr w:rsidR="00286663" w:rsidRPr="007114AF" w14:paraId="6EDD1247" w14:textId="77777777" w:rsidTr="00574660">
        <w:tc>
          <w:tcPr>
            <w:tcW w:w="0" w:type="auto"/>
            <w:vAlign w:val="center"/>
          </w:tcPr>
          <w:p w14:paraId="6EDD1245" w14:textId="5474E162" w:rsidR="00286663" w:rsidRPr="007114AF" w:rsidRDefault="00286663" w:rsidP="00286663">
            <w:pPr>
              <w:spacing w:after="0"/>
              <w:rPr>
                <w:rFonts w:ascii="Garamond" w:hAnsi="Garamond" w:cs="Calibri"/>
                <w:sz w:val="18"/>
                <w:szCs w:val="18"/>
              </w:rPr>
            </w:pPr>
            <w:r w:rsidRPr="007114AF">
              <w:rPr>
                <w:rFonts w:ascii="Garamond" w:hAnsi="Garamond" w:cs="Calibri"/>
                <w:sz w:val="18"/>
                <w:szCs w:val="18"/>
              </w:rPr>
              <w:t>Rregullorja e Komisionit</w:t>
            </w:r>
            <w:r w:rsidR="008D30FC" w:rsidRPr="007114AF">
              <w:rPr>
                <w:rFonts w:ascii="Garamond" w:hAnsi="Garamond" w:cs="Calibri"/>
                <w:sz w:val="18"/>
                <w:szCs w:val="18"/>
              </w:rPr>
              <w:t xml:space="preserve"> </w:t>
            </w:r>
            <w:r w:rsidRPr="007114AF">
              <w:rPr>
                <w:rFonts w:ascii="Garamond" w:hAnsi="Garamond" w:cs="Calibri"/>
                <w:sz w:val="18"/>
                <w:szCs w:val="18"/>
              </w:rPr>
              <w:t>Nr 1193/2011 e datës</w:t>
            </w:r>
            <w:r w:rsidR="008D30FC" w:rsidRPr="007114AF">
              <w:rPr>
                <w:rFonts w:ascii="Garamond" w:hAnsi="Garamond" w:cs="Calibri"/>
                <w:sz w:val="18"/>
                <w:szCs w:val="18"/>
              </w:rPr>
              <w:t xml:space="preserve">  </w:t>
            </w:r>
            <w:r w:rsidRPr="007114AF">
              <w:rPr>
                <w:rFonts w:ascii="Garamond" w:hAnsi="Garamond" w:cs="Calibri"/>
                <w:sz w:val="18"/>
                <w:szCs w:val="18"/>
              </w:rPr>
              <w:t>18 nëntor 2011</w:t>
            </w:r>
          </w:p>
        </w:tc>
        <w:tc>
          <w:tcPr>
            <w:tcW w:w="0" w:type="auto"/>
            <w:vAlign w:val="center"/>
          </w:tcPr>
          <w:p w14:paraId="6EDD1246" w14:textId="1F7536A5" w:rsidR="00286663" w:rsidRPr="007114AF" w:rsidRDefault="00286663" w:rsidP="00286663">
            <w:pPr>
              <w:spacing w:after="0"/>
              <w:rPr>
                <w:rFonts w:ascii="Garamond" w:hAnsi="Garamond" w:cs="Calibri"/>
                <w:sz w:val="18"/>
                <w:szCs w:val="18"/>
              </w:rPr>
            </w:pPr>
            <w:r w:rsidRPr="007114AF">
              <w:rPr>
                <w:rFonts w:ascii="Garamond" w:hAnsi="Garamond" w:cs="Calibri"/>
                <w:sz w:val="18"/>
                <w:szCs w:val="18"/>
              </w:rPr>
              <w:t>Rregullorja e Komisionit</w:t>
            </w:r>
            <w:r w:rsidR="000A2A01" w:rsidRPr="007114AF">
              <w:rPr>
                <w:rFonts w:ascii="Garamond" w:hAnsi="Garamond" w:cs="Calibri"/>
                <w:sz w:val="18"/>
                <w:szCs w:val="18"/>
              </w:rPr>
              <w:t xml:space="preserve"> </w:t>
            </w:r>
            <w:r w:rsidR="00FF11ED" w:rsidRPr="007114AF">
              <w:rPr>
                <w:rFonts w:ascii="Garamond" w:hAnsi="Garamond" w:cs="Calibri"/>
                <w:sz w:val="18"/>
                <w:szCs w:val="18"/>
              </w:rPr>
              <w:t>nr</w:t>
            </w:r>
            <w:r w:rsidR="00FF11ED">
              <w:rPr>
                <w:rFonts w:ascii="Garamond" w:hAnsi="Garamond" w:cs="Calibri"/>
                <w:sz w:val="18"/>
                <w:szCs w:val="18"/>
              </w:rPr>
              <w:t>.</w:t>
            </w:r>
            <w:r w:rsidRPr="007114AF">
              <w:rPr>
                <w:rFonts w:ascii="Garamond" w:hAnsi="Garamond" w:cs="Calibri"/>
                <w:sz w:val="18"/>
                <w:szCs w:val="18"/>
              </w:rPr>
              <w:t xml:space="preserve"> 1193/2011 e datës 18 nëntor 2011 krijon një Regjistër të Sindikatave për periudhën e tregtisë duke filluar nga data 1 janar 2013, dhe periudha të mëvonshme tregtare të skemës tregtare të shkarkimeve të Sindikatave në përputhje me Direktivën 2003/87/EC të Parlamentit Evropian dhe Këshillit dhe </w:t>
            </w:r>
            <w:r w:rsidR="00FF11ED" w:rsidRPr="007114AF">
              <w:rPr>
                <w:rFonts w:ascii="Garamond" w:hAnsi="Garamond" w:cs="Calibri"/>
                <w:sz w:val="18"/>
                <w:szCs w:val="18"/>
              </w:rPr>
              <w:t>vendimi nr</w:t>
            </w:r>
            <w:r w:rsidR="00FF11ED">
              <w:rPr>
                <w:rFonts w:ascii="Garamond" w:hAnsi="Garamond" w:cs="Calibri"/>
                <w:sz w:val="18"/>
                <w:szCs w:val="18"/>
              </w:rPr>
              <w:t>.</w:t>
            </w:r>
            <w:r w:rsidR="00FF11ED" w:rsidRPr="007114AF">
              <w:rPr>
                <w:rFonts w:ascii="Garamond" w:hAnsi="Garamond" w:cs="Calibri"/>
                <w:sz w:val="18"/>
                <w:szCs w:val="18"/>
              </w:rPr>
              <w:t xml:space="preserve"> </w:t>
            </w:r>
            <w:r w:rsidRPr="007114AF">
              <w:rPr>
                <w:rFonts w:ascii="Garamond" w:hAnsi="Garamond" w:cs="Calibri"/>
                <w:sz w:val="18"/>
                <w:szCs w:val="18"/>
              </w:rPr>
              <w:t xml:space="preserve">280/2004/EC i Parlamentit Evropian dhe Këshillit që ndryshojnë Rregulloret e Komisionit (EC) </w:t>
            </w:r>
            <w:r w:rsidR="00FF11ED" w:rsidRPr="007114AF">
              <w:rPr>
                <w:rFonts w:ascii="Garamond" w:hAnsi="Garamond" w:cs="Calibri"/>
                <w:sz w:val="18"/>
                <w:szCs w:val="18"/>
              </w:rPr>
              <w:t>nr</w:t>
            </w:r>
            <w:r w:rsidR="00FF11ED">
              <w:rPr>
                <w:rFonts w:ascii="Garamond" w:hAnsi="Garamond" w:cs="Calibri"/>
                <w:sz w:val="18"/>
                <w:szCs w:val="18"/>
              </w:rPr>
              <w:t xml:space="preserve">. </w:t>
            </w:r>
            <w:r w:rsidRPr="007114AF">
              <w:rPr>
                <w:rFonts w:ascii="Garamond" w:hAnsi="Garamond" w:cs="Calibri"/>
                <w:sz w:val="18"/>
                <w:szCs w:val="18"/>
              </w:rPr>
              <w:t xml:space="preserve">2216/2004 dhe (EU) </w:t>
            </w:r>
            <w:r w:rsidR="00FF11ED" w:rsidRPr="007114AF">
              <w:rPr>
                <w:rFonts w:ascii="Garamond" w:hAnsi="Garamond" w:cs="Calibri"/>
                <w:sz w:val="18"/>
                <w:szCs w:val="18"/>
              </w:rPr>
              <w:t>nr</w:t>
            </w:r>
            <w:r w:rsidR="00FF11ED">
              <w:rPr>
                <w:rFonts w:ascii="Garamond" w:hAnsi="Garamond" w:cs="Calibri"/>
                <w:sz w:val="18"/>
                <w:szCs w:val="18"/>
              </w:rPr>
              <w:t xml:space="preserve">. </w:t>
            </w:r>
            <w:r w:rsidRPr="007114AF">
              <w:rPr>
                <w:rFonts w:ascii="Garamond" w:hAnsi="Garamond" w:cs="Calibri"/>
                <w:sz w:val="18"/>
                <w:szCs w:val="18"/>
              </w:rPr>
              <w:t xml:space="preserve">920/2010 </w:t>
            </w:r>
          </w:p>
        </w:tc>
      </w:tr>
      <w:tr w:rsidR="00286663" w:rsidRPr="007114AF" w14:paraId="6EDD124A" w14:textId="77777777" w:rsidTr="00574660">
        <w:trPr>
          <w:trHeight w:val="841"/>
        </w:trPr>
        <w:tc>
          <w:tcPr>
            <w:tcW w:w="0" w:type="auto"/>
            <w:vAlign w:val="center"/>
          </w:tcPr>
          <w:p w14:paraId="6EDD1248" w14:textId="067E0164" w:rsidR="00286663" w:rsidRPr="007114AF" w:rsidRDefault="00286663" w:rsidP="00286663">
            <w:pPr>
              <w:spacing w:after="0"/>
              <w:rPr>
                <w:rFonts w:ascii="Garamond" w:hAnsi="Garamond" w:cs="Calibri"/>
                <w:sz w:val="18"/>
                <w:szCs w:val="18"/>
              </w:rPr>
            </w:pPr>
            <w:r w:rsidRPr="007114AF">
              <w:rPr>
                <w:rFonts w:ascii="Garamond" w:hAnsi="Garamond" w:cs="Calibri"/>
                <w:sz w:val="18"/>
                <w:szCs w:val="18"/>
              </w:rPr>
              <w:lastRenderedPageBreak/>
              <w:t>Rregullorja e Komisionit</w:t>
            </w:r>
            <w:r w:rsidR="008D30FC" w:rsidRPr="007114AF">
              <w:rPr>
                <w:rFonts w:ascii="Garamond" w:hAnsi="Garamond" w:cs="Calibri"/>
                <w:sz w:val="18"/>
                <w:szCs w:val="18"/>
              </w:rPr>
              <w:t xml:space="preserve"> </w:t>
            </w:r>
            <w:r w:rsidRPr="007114AF">
              <w:rPr>
                <w:rFonts w:ascii="Garamond" w:hAnsi="Garamond" w:cs="Calibri"/>
                <w:sz w:val="18"/>
                <w:szCs w:val="18"/>
              </w:rPr>
              <w:t>601/2012 e datës 21 qershor 2012</w:t>
            </w:r>
          </w:p>
        </w:tc>
        <w:tc>
          <w:tcPr>
            <w:tcW w:w="0" w:type="auto"/>
            <w:vAlign w:val="center"/>
          </w:tcPr>
          <w:p w14:paraId="6EDD1249" w14:textId="71E00968" w:rsidR="00286663" w:rsidRPr="007114AF" w:rsidRDefault="00286663" w:rsidP="00286663">
            <w:pPr>
              <w:spacing w:after="0"/>
              <w:rPr>
                <w:rFonts w:ascii="Garamond" w:hAnsi="Garamond" w:cs="Calibri"/>
                <w:sz w:val="18"/>
                <w:szCs w:val="18"/>
              </w:rPr>
            </w:pPr>
            <w:r w:rsidRPr="007114AF">
              <w:rPr>
                <w:rFonts w:ascii="Garamond" w:hAnsi="Garamond" w:cs="Calibri"/>
                <w:sz w:val="18"/>
                <w:szCs w:val="18"/>
              </w:rPr>
              <w:t>Rregullorja e Komisionit</w:t>
            </w:r>
            <w:r w:rsidR="000A2A01" w:rsidRPr="007114AF">
              <w:rPr>
                <w:rFonts w:ascii="Garamond" w:hAnsi="Garamond" w:cs="Calibri"/>
                <w:sz w:val="18"/>
                <w:szCs w:val="18"/>
              </w:rPr>
              <w:t xml:space="preserve"> </w:t>
            </w:r>
            <w:r w:rsidRPr="007114AF">
              <w:rPr>
                <w:rFonts w:ascii="Garamond" w:hAnsi="Garamond" w:cs="Calibri"/>
                <w:sz w:val="18"/>
                <w:szCs w:val="18"/>
              </w:rPr>
              <w:t>601/2012 e datës 21 qershor 2012 mbi monitorimin dhe raportimin e shkarkimeve të gazeve serë në përputhje me Direktivën 2003/87/EC e Parlamentit Evropian dhe Këshillit</w:t>
            </w:r>
          </w:p>
        </w:tc>
      </w:tr>
      <w:tr w:rsidR="00286663" w:rsidRPr="007114AF" w14:paraId="6EDD124D" w14:textId="77777777" w:rsidTr="00574660">
        <w:tc>
          <w:tcPr>
            <w:tcW w:w="0" w:type="auto"/>
            <w:vAlign w:val="center"/>
          </w:tcPr>
          <w:p w14:paraId="6EDD124B" w14:textId="77777777" w:rsidR="00286663" w:rsidRPr="007114AF" w:rsidRDefault="00286663" w:rsidP="00286663">
            <w:pPr>
              <w:spacing w:after="0"/>
              <w:rPr>
                <w:rFonts w:ascii="Garamond" w:hAnsi="Garamond" w:cs="Calibri"/>
                <w:sz w:val="18"/>
                <w:szCs w:val="18"/>
              </w:rPr>
            </w:pPr>
            <w:r w:rsidRPr="007114AF">
              <w:rPr>
                <w:rFonts w:ascii="Garamond" w:hAnsi="Garamond" w:cs="Calibri"/>
                <w:sz w:val="18"/>
                <w:szCs w:val="18"/>
              </w:rPr>
              <w:t>Vendimi i Komisionit 2012/498/EU i datës 17 gusht 2012</w:t>
            </w:r>
          </w:p>
        </w:tc>
        <w:tc>
          <w:tcPr>
            <w:tcW w:w="0" w:type="auto"/>
            <w:vAlign w:val="center"/>
          </w:tcPr>
          <w:p w14:paraId="6EDD124C" w14:textId="77777777" w:rsidR="00286663" w:rsidRPr="007114AF" w:rsidRDefault="00286663" w:rsidP="00286663">
            <w:pPr>
              <w:spacing w:after="0"/>
              <w:rPr>
                <w:rFonts w:ascii="Garamond" w:hAnsi="Garamond" w:cs="Calibri"/>
                <w:sz w:val="18"/>
                <w:szCs w:val="18"/>
              </w:rPr>
            </w:pPr>
            <w:r w:rsidRPr="007114AF">
              <w:rPr>
                <w:rFonts w:ascii="Garamond" w:hAnsi="Garamond" w:cs="Calibri"/>
                <w:sz w:val="18"/>
                <w:szCs w:val="18"/>
              </w:rPr>
              <w:t>Vendimi i Komisionit 2012/498/EU i datës 17 gusht 2012, Vendimet e ndryshuara 2010/2/EU dhe 2011/278/EU që kanë lidhje me sektorët dhe nënsektorët të cilët janë të ekspozuar ndaj një rreziku të konsiderueshëm të rrjedhjes së karbonit</w:t>
            </w:r>
          </w:p>
        </w:tc>
      </w:tr>
      <w:tr w:rsidR="00286663" w:rsidRPr="007114AF" w14:paraId="6EDD1250" w14:textId="77777777" w:rsidTr="00574660">
        <w:tc>
          <w:tcPr>
            <w:tcW w:w="0" w:type="auto"/>
            <w:vAlign w:val="center"/>
          </w:tcPr>
          <w:p w14:paraId="6EDD124E" w14:textId="6C61E937" w:rsidR="00286663" w:rsidRPr="007114AF" w:rsidRDefault="00286663" w:rsidP="00286663">
            <w:pPr>
              <w:spacing w:after="0"/>
              <w:rPr>
                <w:rFonts w:ascii="Garamond" w:hAnsi="Garamond" w:cs="Calibri"/>
                <w:sz w:val="18"/>
                <w:szCs w:val="18"/>
              </w:rPr>
            </w:pPr>
            <w:r w:rsidRPr="007114AF">
              <w:rPr>
                <w:rFonts w:ascii="Garamond" w:hAnsi="Garamond" w:cs="Calibri"/>
                <w:sz w:val="18"/>
                <w:szCs w:val="18"/>
              </w:rPr>
              <w:t>Rregullorja e Komisionit</w:t>
            </w:r>
            <w:r w:rsidR="008D30FC" w:rsidRPr="007114AF">
              <w:rPr>
                <w:rFonts w:ascii="Garamond" w:hAnsi="Garamond" w:cs="Calibri"/>
                <w:sz w:val="18"/>
                <w:szCs w:val="18"/>
              </w:rPr>
              <w:t xml:space="preserve"> </w:t>
            </w:r>
            <w:r w:rsidRPr="007114AF">
              <w:rPr>
                <w:rFonts w:ascii="Garamond" w:hAnsi="Garamond" w:cs="Calibri"/>
                <w:sz w:val="18"/>
                <w:szCs w:val="18"/>
              </w:rPr>
              <w:t>(EU) 784/2012 e datës 31 gusht 2012</w:t>
            </w:r>
          </w:p>
        </w:tc>
        <w:tc>
          <w:tcPr>
            <w:tcW w:w="0" w:type="auto"/>
            <w:vAlign w:val="center"/>
          </w:tcPr>
          <w:p w14:paraId="6EDD124F" w14:textId="6C682A72" w:rsidR="00286663" w:rsidRPr="007114AF" w:rsidRDefault="00286663" w:rsidP="00286663">
            <w:pPr>
              <w:spacing w:after="0"/>
              <w:rPr>
                <w:rFonts w:ascii="Garamond" w:hAnsi="Garamond" w:cs="Calibri"/>
                <w:sz w:val="18"/>
                <w:szCs w:val="18"/>
              </w:rPr>
            </w:pPr>
            <w:r w:rsidRPr="007114AF">
              <w:rPr>
                <w:rFonts w:ascii="Garamond" w:hAnsi="Garamond" w:cs="Calibri"/>
                <w:sz w:val="18"/>
                <w:szCs w:val="18"/>
              </w:rPr>
              <w:t xml:space="preserve">Rregullorja e Komisionit (EU) 784/2012 e datës 31 gusht 2012, që ndryshon Rregulloren (EU) </w:t>
            </w:r>
            <w:r w:rsidR="00FF11ED" w:rsidRPr="007114AF">
              <w:rPr>
                <w:rFonts w:ascii="Garamond" w:hAnsi="Garamond" w:cs="Calibri"/>
                <w:sz w:val="18"/>
                <w:szCs w:val="18"/>
              </w:rPr>
              <w:t>nr</w:t>
            </w:r>
            <w:r w:rsidR="00FF11ED">
              <w:rPr>
                <w:rFonts w:ascii="Garamond" w:hAnsi="Garamond" w:cs="Calibri"/>
                <w:sz w:val="18"/>
                <w:szCs w:val="18"/>
              </w:rPr>
              <w:t xml:space="preserve">. </w:t>
            </w:r>
            <w:r w:rsidRPr="007114AF">
              <w:rPr>
                <w:rFonts w:ascii="Garamond" w:hAnsi="Garamond" w:cs="Calibri"/>
                <w:sz w:val="18"/>
                <w:szCs w:val="18"/>
              </w:rPr>
              <w:t>1031/2010 për të renditur një platformë ankandi e cila do të caktohet nga Gjermania dhe korrigjon Nenin 59(7) prej saj</w:t>
            </w:r>
          </w:p>
        </w:tc>
      </w:tr>
      <w:tr w:rsidR="00286663" w:rsidRPr="007114AF" w14:paraId="6EDD1253" w14:textId="77777777" w:rsidTr="00574660">
        <w:tc>
          <w:tcPr>
            <w:tcW w:w="0" w:type="auto"/>
            <w:vAlign w:val="center"/>
          </w:tcPr>
          <w:p w14:paraId="6EDD1251" w14:textId="08123FC6" w:rsidR="00286663" w:rsidRPr="007114AF" w:rsidRDefault="00286663" w:rsidP="00286663">
            <w:pPr>
              <w:spacing w:after="0"/>
              <w:rPr>
                <w:rFonts w:ascii="Garamond" w:hAnsi="Garamond" w:cs="Calibri"/>
                <w:sz w:val="18"/>
                <w:szCs w:val="18"/>
              </w:rPr>
            </w:pPr>
            <w:r w:rsidRPr="007114AF">
              <w:rPr>
                <w:rFonts w:ascii="Garamond" w:hAnsi="Garamond" w:cs="Calibri"/>
                <w:sz w:val="18"/>
                <w:szCs w:val="18"/>
              </w:rPr>
              <w:t>Rregullorja e Komisionit</w:t>
            </w:r>
            <w:r w:rsidR="008D30FC" w:rsidRPr="007114AF">
              <w:rPr>
                <w:rFonts w:ascii="Garamond" w:hAnsi="Garamond" w:cs="Calibri"/>
                <w:sz w:val="18"/>
                <w:szCs w:val="18"/>
              </w:rPr>
              <w:t xml:space="preserve"> </w:t>
            </w:r>
            <w:r w:rsidRPr="007114AF">
              <w:rPr>
                <w:rFonts w:ascii="Garamond" w:hAnsi="Garamond" w:cs="Calibri"/>
                <w:sz w:val="18"/>
                <w:szCs w:val="18"/>
              </w:rPr>
              <w:t xml:space="preserve">(EU) </w:t>
            </w:r>
            <w:r w:rsidR="00FF11ED" w:rsidRPr="007114AF">
              <w:rPr>
                <w:rFonts w:ascii="Garamond" w:hAnsi="Garamond" w:cs="Calibri"/>
                <w:sz w:val="18"/>
                <w:szCs w:val="18"/>
              </w:rPr>
              <w:t>nr</w:t>
            </w:r>
            <w:r w:rsidR="00FF11ED">
              <w:rPr>
                <w:rFonts w:ascii="Garamond" w:hAnsi="Garamond" w:cs="Calibri"/>
                <w:sz w:val="18"/>
                <w:szCs w:val="18"/>
              </w:rPr>
              <w:t>.</w:t>
            </w:r>
            <w:r w:rsidRPr="007114AF">
              <w:rPr>
                <w:rFonts w:ascii="Garamond" w:hAnsi="Garamond" w:cs="Calibri"/>
                <w:sz w:val="18"/>
                <w:szCs w:val="18"/>
              </w:rPr>
              <w:t>1042/2012 e datës 7 nëntor 2012</w:t>
            </w:r>
          </w:p>
        </w:tc>
        <w:tc>
          <w:tcPr>
            <w:tcW w:w="0" w:type="auto"/>
            <w:vAlign w:val="center"/>
          </w:tcPr>
          <w:p w14:paraId="6EDD1252" w14:textId="030226C5" w:rsidR="00286663" w:rsidRPr="007114AF" w:rsidRDefault="00286663" w:rsidP="00286663">
            <w:pPr>
              <w:spacing w:after="0"/>
              <w:rPr>
                <w:rFonts w:ascii="Garamond" w:hAnsi="Garamond" w:cs="Calibri"/>
                <w:sz w:val="18"/>
                <w:szCs w:val="18"/>
              </w:rPr>
            </w:pPr>
            <w:r w:rsidRPr="007114AF">
              <w:rPr>
                <w:rFonts w:ascii="Garamond" w:hAnsi="Garamond" w:cs="Calibri"/>
                <w:sz w:val="18"/>
                <w:szCs w:val="18"/>
              </w:rPr>
              <w:t>Rregullorja e Komisionit (EU)</w:t>
            </w:r>
            <w:r w:rsidR="00242009" w:rsidRPr="007114AF">
              <w:rPr>
                <w:rFonts w:ascii="Garamond" w:hAnsi="Garamond" w:cs="Calibri"/>
                <w:sz w:val="18"/>
                <w:szCs w:val="18"/>
              </w:rPr>
              <w:t xml:space="preserve"> nr. </w:t>
            </w:r>
            <w:r w:rsidRPr="007114AF">
              <w:rPr>
                <w:rFonts w:ascii="Garamond" w:hAnsi="Garamond" w:cs="Calibri"/>
                <w:sz w:val="18"/>
                <w:szCs w:val="18"/>
              </w:rPr>
              <w:t xml:space="preserve">1042/2012 e datës 7 nëntor 2012, që ndryshon Rregulloren (EU) </w:t>
            </w:r>
            <w:r w:rsidR="00FF11ED" w:rsidRPr="007114AF">
              <w:rPr>
                <w:rFonts w:ascii="Garamond" w:hAnsi="Garamond" w:cs="Calibri"/>
                <w:sz w:val="18"/>
                <w:szCs w:val="18"/>
              </w:rPr>
              <w:t>nr</w:t>
            </w:r>
            <w:r w:rsidR="00FF11ED">
              <w:rPr>
                <w:rFonts w:ascii="Garamond" w:hAnsi="Garamond" w:cs="Calibri"/>
                <w:sz w:val="18"/>
                <w:szCs w:val="18"/>
              </w:rPr>
              <w:t xml:space="preserve">. </w:t>
            </w:r>
            <w:r w:rsidRPr="007114AF">
              <w:rPr>
                <w:rFonts w:ascii="Garamond" w:hAnsi="Garamond" w:cs="Calibri"/>
                <w:sz w:val="18"/>
                <w:szCs w:val="18"/>
              </w:rPr>
              <w:t>1031/2010 për të renditur një platformë ankandi e cila do të caktohet nga Mbretëria e Bashkuar</w:t>
            </w:r>
          </w:p>
        </w:tc>
      </w:tr>
      <w:tr w:rsidR="00286663" w:rsidRPr="007114AF" w14:paraId="6EDD1256" w14:textId="77777777" w:rsidTr="00574660">
        <w:tc>
          <w:tcPr>
            <w:tcW w:w="0" w:type="auto"/>
            <w:vAlign w:val="center"/>
          </w:tcPr>
          <w:p w14:paraId="6EDD1254" w14:textId="120CC381" w:rsidR="00286663" w:rsidRPr="007114AF" w:rsidRDefault="00286663" w:rsidP="00286663">
            <w:pPr>
              <w:spacing w:after="0"/>
              <w:rPr>
                <w:rFonts w:ascii="Garamond" w:hAnsi="Garamond" w:cs="Calibri"/>
                <w:sz w:val="18"/>
                <w:szCs w:val="18"/>
              </w:rPr>
            </w:pPr>
            <w:r w:rsidRPr="007114AF">
              <w:rPr>
                <w:rFonts w:ascii="Garamond" w:hAnsi="Garamond" w:cs="Calibri"/>
                <w:sz w:val="18"/>
                <w:szCs w:val="18"/>
              </w:rPr>
              <w:t xml:space="preserve">Vendimi </w:t>
            </w:r>
            <w:r w:rsidR="00FF11ED" w:rsidRPr="007114AF">
              <w:rPr>
                <w:rFonts w:ascii="Garamond" w:hAnsi="Garamond" w:cs="Calibri"/>
                <w:sz w:val="18"/>
                <w:szCs w:val="18"/>
              </w:rPr>
              <w:t>nr</w:t>
            </w:r>
            <w:r w:rsidR="00FF11ED">
              <w:rPr>
                <w:rFonts w:ascii="Garamond" w:hAnsi="Garamond" w:cs="Calibri"/>
                <w:sz w:val="18"/>
                <w:szCs w:val="18"/>
              </w:rPr>
              <w:t>.</w:t>
            </w:r>
            <w:r w:rsidRPr="007114AF">
              <w:rPr>
                <w:rFonts w:ascii="Garamond" w:hAnsi="Garamond" w:cs="Calibri"/>
                <w:sz w:val="18"/>
                <w:szCs w:val="18"/>
              </w:rPr>
              <w:t>377/2013/EU</w:t>
            </w:r>
          </w:p>
        </w:tc>
        <w:tc>
          <w:tcPr>
            <w:tcW w:w="0" w:type="auto"/>
            <w:vAlign w:val="center"/>
          </w:tcPr>
          <w:p w14:paraId="6EDD1255" w14:textId="0C50AA68" w:rsidR="00286663" w:rsidRPr="007114AF" w:rsidRDefault="00286663" w:rsidP="00286663">
            <w:pPr>
              <w:spacing w:after="0"/>
              <w:rPr>
                <w:rFonts w:ascii="Garamond" w:hAnsi="Garamond" w:cs="Calibri"/>
                <w:sz w:val="18"/>
                <w:szCs w:val="18"/>
              </w:rPr>
            </w:pPr>
            <w:r w:rsidRPr="007114AF">
              <w:rPr>
                <w:rFonts w:ascii="Garamond" w:hAnsi="Garamond" w:cs="Calibri"/>
                <w:sz w:val="18"/>
                <w:szCs w:val="18"/>
              </w:rPr>
              <w:t xml:space="preserve">Vendimi </w:t>
            </w:r>
            <w:r w:rsidR="00FF11ED" w:rsidRPr="007114AF">
              <w:rPr>
                <w:rFonts w:ascii="Garamond" w:hAnsi="Garamond" w:cs="Calibri"/>
                <w:sz w:val="18"/>
                <w:szCs w:val="18"/>
              </w:rPr>
              <w:t>nr</w:t>
            </w:r>
            <w:r w:rsidR="00FF11ED">
              <w:rPr>
                <w:rFonts w:ascii="Garamond" w:hAnsi="Garamond" w:cs="Calibri"/>
                <w:sz w:val="18"/>
                <w:szCs w:val="18"/>
              </w:rPr>
              <w:t>.</w:t>
            </w:r>
            <w:r w:rsidRPr="007114AF">
              <w:rPr>
                <w:rFonts w:ascii="Garamond" w:hAnsi="Garamond" w:cs="Calibri"/>
                <w:sz w:val="18"/>
                <w:szCs w:val="18"/>
              </w:rPr>
              <w:t>377/2013/EU i Parlamentit Evropian dhe Këshillit, i datës 24 prill 2013 shmang përkohësisht Direktivën 2003/87/EC, krijimin e një skeme për kuotën tregtare të shkarkimit të gazeve serë brenda Komunitetit</w:t>
            </w:r>
          </w:p>
        </w:tc>
      </w:tr>
      <w:tr w:rsidR="00286663" w:rsidRPr="007114AF" w14:paraId="6EDD1259" w14:textId="77777777" w:rsidTr="00574660">
        <w:tc>
          <w:tcPr>
            <w:tcW w:w="0" w:type="auto"/>
            <w:vAlign w:val="center"/>
          </w:tcPr>
          <w:p w14:paraId="6EDD1257" w14:textId="13DD522C" w:rsidR="00286663" w:rsidRPr="007114AF" w:rsidRDefault="00286663" w:rsidP="00286663">
            <w:pPr>
              <w:spacing w:after="0"/>
              <w:rPr>
                <w:rFonts w:ascii="Garamond" w:hAnsi="Garamond" w:cs="Calibri"/>
                <w:sz w:val="18"/>
                <w:szCs w:val="18"/>
              </w:rPr>
            </w:pPr>
            <w:r w:rsidRPr="007114AF">
              <w:rPr>
                <w:rFonts w:ascii="Garamond" w:hAnsi="Garamond" w:cs="Calibri"/>
                <w:sz w:val="18"/>
                <w:szCs w:val="18"/>
              </w:rPr>
              <w:t>Rregullorja e Komisionit</w:t>
            </w:r>
            <w:r w:rsidR="008D30FC" w:rsidRPr="007114AF">
              <w:rPr>
                <w:rFonts w:ascii="Garamond" w:hAnsi="Garamond" w:cs="Calibri"/>
                <w:sz w:val="18"/>
                <w:szCs w:val="18"/>
              </w:rPr>
              <w:t xml:space="preserve"> </w:t>
            </w:r>
            <w:r w:rsidRPr="007114AF">
              <w:rPr>
                <w:rFonts w:ascii="Garamond" w:hAnsi="Garamond" w:cs="Calibri"/>
                <w:sz w:val="18"/>
                <w:szCs w:val="18"/>
              </w:rPr>
              <w:t>EU</w:t>
            </w:r>
            <w:r w:rsidR="00242009" w:rsidRPr="007114AF">
              <w:rPr>
                <w:rFonts w:ascii="Garamond" w:hAnsi="Garamond" w:cs="Calibri"/>
                <w:sz w:val="18"/>
                <w:szCs w:val="18"/>
              </w:rPr>
              <w:t xml:space="preserve"> nr. </w:t>
            </w:r>
            <w:r w:rsidRPr="007114AF">
              <w:rPr>
                <w:rFonts w:ascii="Garamond" w:hAnsi="Garamond" w:cs="Calibri"/>
                <w:sz w:val="18"/>
                <w:szCs w:val="18"/>
              </w:rPr>
              <w:t>389/2013 e datës 5 maj 2013</w:t>
            </w:r>
          </w:p>
        </w:tc>
        <w:tc>
          <w:tcPr>
            <w:tcW w:w="0" w:type="auto"/>
            <w:vAlign w:val="center"/>
          </w:tcPr>
          <w:p w14:paraId="6EDD1258" w14:textId="219B1C04" w:rsidR="00286663" w:rsidRPr="007114AF" w:rsidRDefault="00286663" w:rsidP="00286663">
            <w:pPr>
              <w:spacing w:after="0"/>
              <w:rPr>
                <w:rFonts w:ascii="Garamond" w:hAnsi="Garamond" w:cs="Calibri"/>
                <w:sz w:val="18"/>
                <w:szCs w:val="18"/>
              </w:rPr>
            </w:pPr>
            <w:r w:rsidRPr="007114AF">
              <w:rPr>
                <w:rFonts w:ascii="Garamond" w:hAnsi="Garamond" w:cs="Calibri"/>
                <w:sz w:val="18"/>
                <w:szCs w:val="18"/>
              </w:rPr>
              <w:t>Rregullorja e Komisionit</w:t>
            </w:r>
            <w:r w:rsidR="000A2A01" w:rsidRPr="007114AF">
              <w:rPr>
                <w:rFonts w:ascii="Garamond" w:hAnsi="Garamond" w:cs="Calibri"/>
                <w:sz w:val="18"/>
                <w:szCs w:val="18"/>
              </w:rPr>
              <w:t xml:space="preserve"> </w:t>
            </w:r>
            <w:r w:rsidRPr="007114AF">
              <w:rPr>
                <w:rFonts w:ascii="Garamond" w:hAnsi="Garamond" w:cs="Calibri"/>
                <w:sz w:val="18"/>
                <w:szCs w:val="18"/>
              </w:rPr>
              <w:t xml:space="preserve">EU </w:t>
            </w:r>
            <w:r w:rsidR="00FF11ED" w:rsidRPr="007114AF">
              <w:rPr>
                <w:rFonts w:ascii="Garamond" w:hAnsi="Garamond" w:cs="Calibri"/>
                <w:sz w:val="18"/>
                <w:szCs w:val="18"/>
              </w:rPr>
              <w:t>nr</w:t>
            </w:r>
            <w:r w:rsidR="00FF11ED">
              <w:rPr>
                <w:rFonts w:ascii="Garamond" w:hAnsi="Garamond" w:cs="Calibri"/>
                <w:sz w:val="18"/>
                <w:szCs w:val="18"/>
              </w:rPr>
              <w:t>.</w:t>
            </w:r>
            <w:r w:rsidRPr="007114AF">
              <w:rPr>
                <w:rFonts w:ascii="Garamond" w:hAnsi="Garamond" w:cs="Calibri"/>
                <w:sz w:val="18"/>
                <w:szCs w:val="18"/>
              </w:rPr>
              <w:t xml:space="preserve">389/2013 e datës 5 maj 2013 për krijimin e një Regjistri të Sindikatave në përputhje me Direktivën 2003/87/EC të Parlamentit Evropian dhe Këshillit, Vendimi </w:t>
            </w:r>
            <w:r w:rsidR="00FF11ED" w:rsidRPr="007114AF">
              <w:rPr>
                <w:rFonts w:ascii="Garamond" w:hAnsi="Garamond" w:cs="Calibri"/>
                <w:sz w:val="18"/>
                <w:szCs w:val="18"/>
              </w:rPr>
              <w:t>nr</w:t>
            </w:r>
            <w:r w:rsidR="00FF11ED">
              <w:rPr>
                <w:rFonts w:ascii="Garamond" w:hAnsi="Garamond" w:cs="Calibri"/>
                <w:sz w:val="18"/>
                <w:szCs w:val="18"/>
              </w:rPr>
              <w:t>.</w:t>
            </w:r>
            <w:r w:rsidRPr="007114AF">
              <w:rPr>
                <w:rFonts w:ascii="Garamond" w:hAnsi="Garamond" w:cs="Calibri"/>
                <w:sz w:val="18"/>
                <w:szCs w:val="18"/>
              </w:rPr>
              <w:t xml:space="preserve">280/2004/EC dhe </w:t>
            </w:r>
            <w:r w:rsidR="00FF11ED" w:rsidRPr="007114AF">
              <w:rPr>
                <w:rFonts w:ascii="Garamond" w:hAnsi="Garamond" w:cs="Calibri"/>
                <w:sz w:val="18"/>
                <w:szCs w:val="18"/>
              </w:rPr>
              <w:t>nr</w:t>
            </w:r>
            <w:r w:rsidR="00FF11ED">
              <w:rPr>
                <w:rFonts w:ascii="Garamond" w:hAnsi="Garamond" w:cs="Calibri"/>
                <w:sz w:val="18"/>
                <w:szCs w:val="18"/>
              </w:rPr>
              <w:t>.</w:t>
            </w:r>
            <w:r w:rsidRPr="007114AF">
              <w:rPr>
                <w:rFonts w:ascii="Garamond" w:hAnsi="Garamond" w:cs="Calibri"/>
                <w:sz w:val="18"/>
                <w:szCs w:val="18"/>
              </w:rPr>
              <w:t xml:space="preserve">406/2009/EC i Parlamentit Evropian dhe Këshillit dhe shfuqizimi i Rregulloreve të Komisionit (EU) </w:t>
            </w:r>
            <w:r w:rsidR="00FF11ED" w:rsidRPr="007114AF">
              <w:rPr>
                <w:rFonts w:ascii="Garamond" w:hAnsi="Garamond" w:cs="Calibri"/>
                <w:sz w:val="18"/>
                <w:szCs w:val="18"/>
              </w:rPr>
              <w:t>nr</w:t>
            </w:r>
            <w:r w:rsidR="00FF11ED">
              <w:rPr>
                <w:rFonts w:ascii="Garamond" w:hAnsi="Garamond" w:cs="Calibri"/>
                <w:sz w:val="18"/>
                <w:szCs w:val="18"/>
              </w:rPr>
              <w:t>.</w:t>
            </w:r>
            <w:r w:rsidRPr="007114AF">
              <w:rPr>
                <w:rFonts w:ascii="Garamond" w:hAnsi="Garamond" w:cs="Calibri"/>
                <w:sz w:val="18"/>
                <w:szCs w:val="18"/>
              </w:rPr>
              <w:t xml:space="preserve">920/2010 dhe </w:t>
            </w:r>
            <w:r w:rsidR="00FF11ED" w:rsidRPr="007114AF">
              <w:rPr>
                <w:rFonts w:ascii="Garamond" w:hAnsi="Garamond" w:cs="Calibri"/>
                <w:sz w:val="18"/>
                <w:szCs w:val="18"/>
              </w:rPr>
              <w:t>nr</w:t>
            </w:r>
            <w:r w:rsidR="00FF11ED">
              <w:rPr>
                <w:rFonts w:ascii="Garamond" w:hAnsi="Garamond" w:cs="Calibri"/>
                <w:sz w:val="18"/>
                <w:szCs w:val="18"/>
              </w:rPr>
              <w:t>.</w:t>
            </w:r>
            <w:r w:rsidRPr="007114AF">
              <w:rPr>
                <w:rFonts w:ascii="Garamond" w:hAnsi="Garamond" w:cs="Calibri"/>
                <w:sz w:val="18"/>
                <w:szCs w:val="18"/>
              </w:rPr>
              <w:t xml:space="preserve">1193/2011 </w:t>
            </w:r>
          </w:p>
        </w:tc>
      </w:tr>
      <w:tr w:rsidR="00286663" w:rsidRPr="007114AF" w14:paraId="6EDD125C" w14:textId="77777777" w:rsidTr="00574660">
        <w:tc>
          <w:tcPr>
            <w:tcW w:w="0" w:type="auto"/>
            <w:vAlign w:val="center"/>
          </w:tcPr>
          <w:p w14:paraId="6EDD125A" w14:textId="77777777" w:rsidR="00286663" w:rsidRPr="007114AF" w:rsidRDefault="00286663" w:rsidP="00286663">
            <w:pPr>
              <w:spacing w:after="0"/>
              <w:rPr>
                <w:rFonts w:ascii="Garamond" w:hAnsi="Garamond" w:cs="Calibri"/>
                <w:sz w:val="18"/>
                <w:szCs w:val="18"/>
              </w:rPr>
            </w:pPr>
            <w:r w:rsidRPr="007114AF">
              <w:rPr>
                <w:rFonts w:ascii="Garamond" w:hAnsi="Garamond" w:cs="Calibri"/>
                <w:sz w:val="18"/>
                <w:szCs w:val="18"/>
              </w:rPr>
              <w:t>Vendimi (EU) 2015/1814</w:t>
            </w:r>
          </w:p>
        </w:tc>
        <w:tc>
          <w:tcPr>
            <w:tcW w:w="0" w:type="auto"/>
            <w:vAlign w:val="center"/>
          </w:tcPr>
          <w:p w14:paraId="6EDD125B" w14:textId="77777777" w:rsidR="00286663" w:rsidRPr="007114AF" w:rsidRDefault="00286663" w:rsidP="00286663">
            <w:pPr>
              <w:spacing w:after="0"/>
              <w:rPr>
                <w:rFonts w:ascii="Garamond" w:hAnsi="Garamond" w:cs="Calibri"/>
                <w:sz w:val="18"/>
                <w:szCs w:val="18"/>
              </w:rPr>
            </w:pPr>
            <w:r w:rsidRPr="007114AF">
              <w:rPr>
                <w:rFonts w:ascii="Garamond" w:hAnsi="Garamond" w:cs="Calibri"/>
                <w:sz w:val="18"/>
                <w:szCs w:val="18"/>
              </w:rPr>
              <w:t xml:space="preserve">Vendimi (EU) 2015/1814 i Parlamentit Evropian dhe Këshillit, i datës 6 tetor 2015 lidhur me krijimin dhe funksionimin e një rezerve të qëndrueshme tregu për skemën tregtare të shkarkimit të gazeve serrë të Sindikatës që ndryshon Direktivën 2003/87/EC </w:t>
            </w:r>
          </w:p>
        </w:tc>
      </w:tr>
      <w:tr w:rsidR="00286663" w:rsidRPr="007114AF" w14:paraId="6EDD125F" w14:textId="77777777" w:rsidTr="00574660">
        <w:tc>
          <w:tcPr>
            <w:tcW w:w="0" w:type="auto"/>
            <w:vAlign w:val="center"/>
          </w:tcPr>
          <w:p w14:paraId="6EDD125D" w14:textId="4F38D820" w:rsidR="00286663" w:rsidRPr="007114AF" w:rsidRDefault="00286663" w:rsidP="00286663">
            <w:pPr>
              <w:spacing w:after="0"/>
              <w:rPr>
                <w:rFonts w:ascii="Garamond" w:hAnsi="Garamond" w:cs="Calibri"/>
                <w:sz w:val="18"/>
                <w:szCs w:val="18"/>
              </w:rPr>
            </w:pPr>
            <w:r w:rsidRPr="007114AF">
              <w:rPr>
                <w:rFonts w:ascii="Garamond" w:hAnsi="Garamond" w:cs="Calibri"/>
                <w:sz w:val="18"/>
                <w:szCs w:val="18"/>
              </w:rPr>
              <w:t xml:space="preserve">Vendimi </w:t>
            </w:r>
            <w:r w:rsidR="00FF11ED" w:rsidRPr="007114AF">
              <w:rPr>
                <w:rFonts w:ascii="Garamond" w:hAnsi="Garamond" w:cs="Calibri"/>
                <w:sz w:val="18"/>
                <w:szCs w:val="18"/>
              </w:rPr>
              <w:t>nr</w:t>
            </w:r>
            <w:r w:rsidR="00FF11ED">
              <w:rPr>
                <w:rFonts w:ascii="Garamond" w:hAnsi="Garamond" w:cs="Calibri"/>
                <w:sz w:val="18"/>
                <w:szCs w:val="18"/>
              </w:rPr>
              <w:t>.</w:t>
            </w:r>
            <w:r w:rsidRPr="007114AF">
              <w:rPr>
                <w:rFonts w:ascii="Garamond" w:hAnsi="Garamond" w:cs="Calibri"/>
                <w:sz w:val="18"/>
                <w:szCs w:val="18"/>
              </w:rPr>
              <w:t>406/2009/EC</w:t>
            </w:r>
          </w:p>
        </w:tc>
        <w:tc>
          <w:tcPr>
            <w:tcW w:w="0" w:type="auto"/>
            <w:vAlign w:val="center"/>
          </w:tcPr>
          <w:p w14:paraId="6EDD125E" w14:textId="63D6FC1D" w:rsidR="00286663" w:rsidRPr="007114AF" w:rsidRDefault="00286663" w:rsidP="00286663">
            <w:pPr>
              <w:spacing w:after="0"/>
              <w:rPr>
                <w:rFonts w:ascii="Garamond" w:hAnsi="Garamond" w:cs="Calibri"/>
                <w:sz w:val="18"/>
                <w:szCs w:val="18"/>
              </w:rPr>
            </w:pPr>
            <w:r w:rsidRPr="007114AF">
              <w:rPr>
                <w:rFonts w:ascii="Garamond" w:hAnsi="Garamond" w:cs="Calibri"/>
                <w:sz w:val="18"/>
                <w:szCs w:val="18"/>
              </w:rPr>
              <w:t xml:space="preserve">Vendimi </w:t>
            </w:r>
            <w:r w:rsidR="00FF11ED" w:rsidRPr="007114AF">
              <w:rPr>
                <w:rFonts w:ascii="Garamond" w:hAnsi="Garamond" w:cs="Calibri"/>
                <w:sz w:val="18"/>
                <w:szCs w:val="18"/>
              </w:rPr>
              <w:t>nr</w:t>
            </w:r>
            <w:r w:rsidR="00FF11ED">
              <w:rPr>
                <w:rFonts w:ascii="Garamond" w:hAnsi="Garamond" w:cs="Calibri"/>
                <w:sz w:val="18"/>
                <w:szCs w:val="18"/>
              </w:rPr>
              <w:t>.</w:t>
            </w:r>
            <w:r w:rsidRPr="007114AF">
              <w:rPr>
                <w:rFonts w:ascii="Garamond" w:hAnsi="Garamond" w:cs="Calibri"/>
                <w:sz w:val="18"/>
                <w:szCs w:val="18"/>
              </w:rPr>
              <w:t xml:space="preserve">406/2009/EC i Parlamentit Evropian dhe Këshillit i datës 23 prill 2009 mbi përpjekjen e Shteteve Anëtare për të ulur shkarkimet e tyre të gazeve serrë në përmbushjen e angazhimeve për uljen e shkarkimit të gazeve serrë të Komunitetit, deri në vitin 2020 </w:t>
            </w:r>
          </w:p>
        </w:tc>
      </w:tr>
      <w:tr w:rsidR="00286663" w:rsidRPr="007114AF" w14:paraId="6EDD1262" w14:textId="77777777" w:rsidTr="00574660">
        <w:tc>
          <w:tcPr>
            <w:tcW w:w="0" w:type="auto"/>
            <w:vAlign w:val="center"/>
          </w:tcPr>
          <w:p w14:paraId="6EDD1260" w14:textId="77777777" w:rsidR="00286663" w:rsidRPr="007114AF" w:rsidRDefault="00286663" w:rsidP="00286663">
            <w:pPr>
              <w:spacing w:after="0"/>
              <w:rPr>
                <w:rFonts w:ascii="Garamond" w:hAnsi="Garamond" w:cs="Calibri"/>
                <w:sz w:val="18"/>
                <w:szCs w:val="18"/>
              </w:rPr>
            </w:pPr>
            <w:r w:rsidRPr="007114AF">
              <w:rPr>
                <w:rFonts w:ascii="Garamond" w:hAnsi="Garamond" w:cs="Calibri"/>
                <w:sz w:val="18"/>
                <w:szCs w:val="18"/>
              </w:rPr>
              <w:t>Vendimi i Komisionit i datës 26 mars 2013</w:t>
            </w:r>
          </w:p>
        </w:tc>
        <w:tc>
          <w:tcPr>
            <w:tcW w:w="0" w:type="auto"/>
            <w:vAlign w:val="center"/>
          </w:tcPr>
          <w:p w14:paraId="6EDD1261" w14:textId="7E4F5678" w:rsidR="00286663" w:rsidRPr="007114AF" w:rsidRDefault="00286663" w:rsidP="00286663">
            <w:pPr>
              <w:spacing w:after="0"/>
              <w:rPr>
                <w:rFonts w:ascii="Garamond" w:hAnsi="Garamond" w:cs="Calibri"/>
                <w:sz w:val="18"/>
                <w:szCs w:val="18"/>
              </w:rPr>
            </w:pPr>
            <w:r w:rsidRPr="007114AF">
              <w:rPr>
                <w:rFonts w:ascii="Garamond" w:hAnsi="Garamond" w:cs="Calibri"/>
                <w:sz w:val="18"/>
                <w:szCs w:val="18"/>
              </w:rPr>
              <w:t>Vendimi i Komisionit i datës 26 mars 2013 mbi përcaktimin e shpërndarjes së shkarkimit vjetor të Shteteve Anëtare për periudhën nga viti 2013 në vitin 2020 në përputhje me Vendimin</w:t>
            </w:r>
            <w:r w:rsidR="00242009" w:rsidRPr="007114AF">
              <w:rPr>
                <w:rFonts w:ascii="Garamond" w:hAnsi="Garamond" w:cs="Calibri"/>
                <w:sz w:val="18"/>
                <w:szCs w:val="18"/>
              </w:rPr>
              <w:t xml:space="preserve"> nr. </w:t>
            </w:r>
            <w:r w:rsidRPr="007114AF">
              <w:rPr>
                <w:rFonts w:ascii="Garamond" w:hAnsi="Garamond" w:cs="Calibri"/>
                <w:sz w:val="18"/>
                <w:szCs w:val="18"/>
              </w:rPr>
              <w:t>406/2009/EC të Parlamentit Evropian dhe Këshillit</w:t>
            </w:r>
          </w:p>
        </w:tc>
      </w:tr>
      <w:tr w:rsidR="00286663" w:rsidRPr="007114AF" w14:paraId="6EDD1265" w14:textId="77777777" w:rsidTr="00574660">
        <w:tc>
          <w:tcPr>
            <w:tcW w:w="0" w:type="auto"/>
            <w:vAlign w:val="center"/>
          </w:tcPr>
          <w:p w14:paraId="6EDD1263" w14:textId="77777777" w:rsidR="00286663" w:rsidRPr="007114AF" w:rsidRDefault="00286663" w:rsidP="00286663">
            <w:pPr>
              <w:spacing w:after="0"/>
              <w:rPr>
                <w:rFonts w:ascii="Garamond" w:hAnsi="Garamond" w:cs="Calibri"/>
                <w:sz w:val="18"/>
                <w:szCs w:val="18"/>
              </w:rPr>
            </w:pPr>
            <w:r w:rsidRPr="007114AF">
              <w:rPr>
                <w:rFonts w:ascii="Garamond" w:hAnsi="Garamond" w:cs="Calibri"/>
                <w:sz w:val="18"/>
                <w:szCs w:val="18"/>
              </w:rPr>
              <w:t>Direktiva 2009/31/EC</w:t>
            </w:r>
          </w:p>
        </w:tc>
        <w:tc>
          <w:tcPr>
            <w:tcW w:w="0" w:type="auto"/>
            <w:vAlign w:val="center"/>
          </w:tcPr>
          <w:p w14:paraId="6EDD1264" w14:textId="341824BE" w:rsidR="00286663" w:rsidRPr="007114AF" w:rsidRDefault="00286663" w:rsidP="00286663">
            <w:pPr>
              <w:spacing w:after="0"/>
              <w:rPr>
                <w:rFonts w:ascii="Garamond" w:hAnsi="Garamond" w:cs="Calibri"/>
                <w:sz w:val="18"/>
                <w:szCs w:val="18"/>
              </w:rPr>
            </w:pPr>
            <w:r w:rsidRPr="007114AF">
              <w:rPr>
                <w:rFonts w:ascii="Garamond" w:hAnsi="Garamond" w:cs="Calibri"/>
                <w:sz w:val="18"/>
                <w:szCs w:val="18"/>
              </w:rPr>
              <w:t xml:space="preserve">Direktiva 2009/31/EC i Parlamentit Evropian dhe Këshillit i datës 23 Prill 2009 mbi depozitimin gjeologjik të dioksidit të karbonit që ndryshon Direktivën e Këshillit 85/337/EEC, Direktivat e Parlamentit Evropian dhe Këshillit 2000/60/EC, 2001/80/EC, 2004/35/EC, 2006/12/EC, 2008/1/EC dhe Rregulloren (EC) </w:t>
            </w:r>
            <w:r w:rsidR="00FF11ED" w:rsidRPr="007114AF">
              <w:rPr>
                <w:rFonts w:ascii="Garamond" w:hAnsi="Garamond" w:cs="Calibri"/>
                <w:sz w:val="18"/>
                <w:szCs w:val="18"/>
              </w:rPr>
              <w:t>nr</w:t>
            </w:r>
            <w:r w:rsidR="00FF11ED">
              <w:rPr>
                <w:rFonts w:ascii="Garamond" w:hAnsi="Garamond" w:cs="Calibri"/>
                <w:sz w:val="18"/>
                <w:szCs w:val="18"/>
              </w:rPr>
              <w:t>.</w:t>
            </w:r>
            <w:r w:rsidRPr="007114AF">
              <w:rPr>
                <w:rFonts w:ascii="Garamond" w:hAnsi="Garamond" w:cs="Calibri"/>
                <w:sz w:val="18"/>
                <w:szCs w:val="18"/>
              </w:rPr>
              <w:t>1013/2006</w:t>
            </w:r>
          </w:p>
        </w:tc>
      </w:tr>
      <w:tr w:rsidR="00286663" w:rsidRPr="007114AF" w14:paraId="6EDD1268" w14:textId="77777777" w:rsidTr="00574660">
        <w:tc>
          <w:tcPr>
            <w:tcW w:w="0" w:type="auto"/>
            <w:vAlign w:val="center"/>
          </w:tcPr>
          <w:p w14:paraId="6EDD1266" w14:textId="77777777" w:rsidR="00286663" w:rsidRPr="007114AF" w:rsidRDefault="00286663" w:rsidP="00286663">
            <w:pPr>
              <w:spacing w:after="0"/>
              <w:rPr>
                <w:rFonts w:ascii="Garamond" w:hAnsi="Garamond" w:cs="Calibri"/>
                <w:sz w:val="18"/>
                <w:szCs w:val="18"/>
              </w:rPr>
            </w:pPr>
            <w:r w:rsidRPr="007114AF">
              <w:rPr>
                <w:rFonts w:ascii="Garamond" w:hAnsi="Garamond" w:cs="Calibri"/>
                <w:sz w:val="18"/>
                <w:szCs w:val="18"/>
              </w:rPr>
              <w:t>Vendimi i Komisionit 2010/670/EU</w:t>
            </w:r>
          </w:p>
        </w:tc>
        <w:tc>
          <w:tcPr>
            <w:tcW w:w="0" w:type="auto"/>
            <w:vAlign w:val="center"/>
          </w:tcPr>
          <w:p w14:paraId="6EDD1267" w14:textId="1D466EBB" w:rsidR="00286663" w:rsidRPr="007114AF" w:rsidRDefault="00286663" w:rsidP="00FF11ED">
            <w:pPr>
              <w:spacing w:after="0"/>
              <w:rPr>
                <w:rFonts w:ascii="Garamond" w:hAnsi="Garamond" w:cs="Calibri"/>
                <w:sz w:val="18"/>
                <w:szCs w:val="18"/>
              </w:rPr>
            </w:pPr>
            <w:r w:rsidRPr="007114AF">
              <w:rPr>
                <w:rFonts w:ascii="Garamond" w:hAnsi="Garamond" w:cs="Calibri"/>
                <w:sz w:val="18"/>
                <w:szCs w:val="18"/>
              </w:rPr>
              <w:t>Vendimi i Komisionit 2010/670/EU që përcakton kriteret dhe masat për financimin e projekteve me demonstrim komercial që synojnë një ambient të sigurt dhe depozitim gjeologjik të CO</w:t>
            </w:r>
            <w:r w:rsidRPr="00FF11ED">
              <w:rPr>
                <w:rFonts w:ascii="Garamond" w:hAnsi="Garamond" w:cs="Calibri"/>
                <w:sz w:val="18"/>
                <w:szCs w:val="18"/>
                <w:vertAlign w:val="subscript"/>
              </w:rPr>
              <w:t>2</w:t>
            </w:r>
            <w:r w:rsidRPr="007114AF">
              <w:rPr>
                <w:rFonts w:ascii="Garamond" w:hAnsi="Garamond" w:cs="Calibri"/>
                <w:sz w:val="18"/>
                <w:szCs w:val="18"/>
              </w:rPr>
              <w:t xml:space="preserve"> si dhe projekte demonstrimi të teknologjive të reja të energjisë së rinovueshme nën skemën për kuotat tregtare të shkarkimit të gazeve serrë brenda Komunitetit të përcaktuar nga Direktiva 2003/87/EC e Parlamentit Evropian dhe Këshillit</w:t>
            </w:r>
          </w:p>
        </w:tc>
      </w:tr>
      <w:tr w:rsidR="00286663" w:rsidRPr="007114AF" w14:paraId="6EDD126A" w14:textId="77777777" w:rsidTr="00574660">
        <w:tc>
          <w:tcPr>
            <w:tcW w:w="0" w:type="auto"/>
            <w:gridSpan w:val="2"/>
            <w:shd w:val="clear" w:color="auto" w:fill="C6D9F1" w:themeFill="text2" w:themeFillTint="33"/>
            <w:vAlign w:val="center"/>
          </w:tcPr>
          <w:p w14:paraId="6EDD1269" w14:textId="77777777" w:rsidR="00286663" w:rsidRPr="007114AF" w:rsidRDefault="00286663" w:rsidP="00286663">
            <w:pPr>
              <w:spacing w:after="0"/>
              <w:rPr>
                <w:rFonts w:ascii="Garamond" w:hAnsi="Garamond" w:cs="Calibri"/>
                <w:b/>
                <w:sz w:val="18"/>
                <w:szCs w:val="18"/>
              </w:rPr>
            </w:pPr>
            <w:r w:rsidRPr="007114AF">
              <w:rPr>
                <w:rFonts w:ascii="Garamond" w:hAnsi="Garamond" w:cs="Calibri"/>
                <w:b/>
                <w:sz w:val="18"/>
                <w:szCs w:val="18"/>
              </w:rPr>
              <w:t>Eficenca e Energjisë</w:t>
            </w:r>
          </w:p>
        </w:tc>
      </w:tr>
      <w:tr w:rsidR="00286663" w:rsidRPr="007114AF" w14:paraId="6EDD126D" w14:textId="77777777" w:rsidTr="00574660">
        <w:tc>
          <w:tcPr>
            <w:tcW w:w="0" w:type="auto"/>
            <w:vAlign w:val="center"/>
          </w:tcPr>
          <w:p w14:paraId="6EDD126B" w14:textId="77777777" w:rsidR="00286663" w:rsidRPr="007114AF" w:rsidRDefault="00286663" w:rsidP="00286663">
            <w:pPr>
              <w:spacing w:after="0"/>
              <w:rPr>
                <w:rFonts w:ascii="Garamond" w:hAnsi="Garamond" w:cs="Calibri"/>
                <w:sz w:val="18"/>
                <w:szCs w:val="18"/>
              </w:rPr>
            </w:pPr>
            <w:r w:rsidRPr="007114AF">
              <w:rPr>
                <w:rFonts w:ascii="Garamond" w:hAnsi="Garamond" w:cs="Calibri"/>
                <w:sz w:val="18"/>
                <w:szCs w:val="18"/>
              </w:rPr>
              <w:t>Direktiva 2012/27/EU</w:t>
            </w:r>
          </w:p>
        </w:tc>
        <w:tc>
          <w:tcPr>
            <w:tcW w:w="0" w:type="auto"/>
            <w:vAlign w:val="center"/>
          </w:tcPr>
          <w:p w14:paraId="6EDD126C" w14:textId="77777777" w:rsidR="00286663" w:rsidRPr="007114AF" w:rsidRDefault="00286663" w:rsidP="00286663">
            <w:pPr>
              <w:spacing w:after="0"/>
              <w:rPr>
                <w:rFonts w:ascii="Garamond" w:hAnsi="Garamond" w:cs="Calibri"/>
                <w:sz w:val="18"/>
                <w:szCs w:val="18"/>
              </w:rPr>
            </w:pPr>
            <w:r w:rsidRPr="007114AF">
              <w:rPr>
                <w:rFonts w:ascii="Garamond" w:hAnsi="Garamond" w:cs="Calibri"/>
                <w:sz w:val="18"/>
                <w:szCs w:val="18"/>
              </w:rPr>
              <w:t xml:space="preserve">Direktiva 2012/27/EU mbi </w:t>
            </w:r>
            <w:r w:rsidRPr="007114AF">
              <w:rPr>
                <w:rFonts w:ascii="Garamond" w:hAnsi="Garamond" w:cs="Calibri"/>
                <w:color w:val="000000"/>
                <w:sz w:val="18"/>
                <w:szCs w:val="18"/>
              </w:rPr>
              <w:t>eficiencën</w:t>
            </w:r>
            <w:r w:rsidRPr="007114AF">
              <w:rPr>
                <w:rFonts w:ascii="Garamond" w:hAnsi="Garamond" w:cs="Calibri"/>
                <w:sz w:val="18"/>
                <w:szCs w:val="18"/>
              </w:rPr>
              <w:t xml:space="preserve"> e energjisë, që ndryshon në Direktivat 2009/125/EC dhe 2010/30/EU dhe Direktivat e shfuqizuara 2004/8/EC dhe 2006/32/EC.</w:t>
            </w:r>
          </w:p>
        </w:tc>
      </w:tr>
      <w:tr w:rsidR="00286663" w:rsidRPr="007114AF" w14:paraId="6EDD1270" w14:textId="77777777" w:rsidTr="00574660">
        <w:tc>
          <w:tcPr>
            <w:tcW w:w="0" w:type="auto"/>
            <w:vAlign w:val="center"/>
          </w:tcPr>
          <w:p w14:paraId="6EDD126E" w14:textId="77777777" w:rsidR="00286663" w:rsidRPr="007114AF" w:rsidRDefault="00286663" w:rsidP="00286663">
            <w:pPr>
              <w:spacing w:after="0"/>
              <w:rPr>
                <w:rFonts w:ascii="Garamond" w:hAnsi="Garamond" w:cs="Calibri"/>
                <w:sz w:val="18"/>
                <w:szCs w:val="18"/>
              </w:rPr>
            </w:pPr>
            <w:r w:rsidRPr="007114AF">
              <w:rPr>
                <w:rFonts w:ascii="Garamond" w:hAnsi="Garamond" w:cs="Calibri"/>
                <w:sz w:val="18"/>
                <w:szCs w:val="18"/>
              </w:rPr>
              <w:t>Direktiva 2010/31/EU</w:t>
            </w:r>
          </w:p>
        </w:tc>
        <w:tc>
          <w:tcPr>
            <w:tcW w:w="0" w:type="auto"/>
            <w:vAlign w:val="center"/>
          </w:tcPr>
          <w:p w14:paraId="6EDD126F" w14:textId="77777777" w:rsidR="00286663" w:rsidRPr="007114AF" w:rsidRDefault="00286663" w:rsidP="00286663">
            <w:pPr>
              <w:spacing w:after="0"/>
              <w:rPr>
                <w:rFonts w:ascii="Garamond" w:hAnsi="Garamond" w:cs="Calibri"/>
                <w:sz w:val="18"/>
                <w:szCs w:val="18"/>
              </w:rPr>
            </w:pPr>
            <w:r w:rsidRPr="007114AF">
              <w:rPr>
                <w:rFonts w:ascii="Garamond" w:hAnsi="Garamond" w:cs="Calibri"/>
                <w:sz w:val="18"/>
                <w:szCs w:val="18"/>
              </w:rPr>
              <w:t>Direktiva 2010/31/EU mbi performancën e energjisë së banesave</w:t>
            </w:r>
          </w:p>
        </w:tc>
      </w:tr>
      <w:tr w:rsidR="00286663" w:rsidRPr="007114AF" w14:paraId="6EDD1273" w14:textId="77777777" w:rsidTr="00574660">
        <w:tc>
          <w:tcPr>
            <w:tcW w:w="0" w:type="auto"/>
            <w:vAlign w:val="center"/>
          </w:tcPr>
          <w:p w14:paraId="6EDD1271" w14:textId="77777777" w:rsidR="00286663" w:rsidRPr="007114AF" w:rsidRDefault="00286663" w:rsidP="00286663">
            <w:pPr>
              <w:spacing w:after="0"/>
              <w:rPr>
                <w:rFonts w:ascii="Garamond" w:hAnsi="Garamond" w:cs="Calibri"/>
                <w:sz w:val="18"/>
                <w:szCs w:val="18"/>
              </w:rPr>
            </w:pPr>
            <w:r w:rsidRPr="007114AF">
              <w:rPr>
                <w:rFonts w:ascii="Garamond" w:hAnsi="Garamond" w:cs="Calibri"/>
                <w:sz w:val="18"/>
                <w:szCs w:val="18"/>
              </w:rPr>
              <w:t>Direktiva 2009/28/EC</w:t>
            </w:r>
          </w:p>
        </w:tc>
        <w:tc>
          <w:tcPr>
            <w:tcW w:w="0" w:type="auto"/>
            <w:vAlign w:val="center"/>
          </w:tcPr>
          <w:p w14:paraId="6EDD1272" w14:textId="77777777" w:rsidR="00286663" w:rsidRPr="007114AF" w:rsidRDefault="00286663" w:rsidP="00286663">
            <w:pPr>
              <w:spacing w:after="0"/>
              <w:rPr>
                <w:rFonts w:ascii="Garamond" w:hAnsi="Garamond" w:cs="Calibri"/>
                <w:sz w:val="18"/>
                <w:szCs w:val="18"/>
              </w:rPr>
            </w:pPr>
            <w:r w:rsidRPr="007114AF">
              <w:rPr>
                <w:rFonts w:ascii="Garamond" w:hAnsi="Garamond" w:cs="Calibri"/>
                <w:sz w:val="18"/>
                <w:szCs w:val="18"/>
              </w:rPr>
              <w:t>Direktiva 2009/28/EC mbi promovimin e përdorimit të energjisë nga burime të rinovueshme që ndryshon dhe më pas shfuqizon Direktivat 2001/77/EC dhe 2003/30/EC.</w:t>
            </w:r>
          </w:p>
        </w:tc>
      </w:tr>
      <w:tr w:rsidR="00286663" w:rsidRPr="007114AF" w14:paraId="6EDD1276" w14:textId="77777777" w:rsidTr="00574660">
        <w:tc>
          <w:tcPr>
            <w:tcW w:w="0" w:type="auto"/>
            <w:vAlign w:val="center"/>
          </w:tcPr>
          <w:p w14:paraId="6EDD1274" w14:textId="78B62A6C" w:rsidR="00286663" w:rsidRPr="007114AF" w:rsidRDefault="00286663" w:rsidP="00286663">
            <w:pPr>
              <w:spacing w:after="0"/>
              <w:rPr>
                <w:rFonts w:ascii="Garamond" w:hAnsi="Garamond" w:cs="Calibri"/>
                <w:sz w:val="18"/>
                <w:szCs w:val="18"/>
              </w:rPr>
            </w:pPr>
            <w:r w:rsidRPr="007114AF">
              <w:rPr>
                <w:rFonts w:ascii="Garamond" w:hAnsi="Garamond" w:cs="Calibri"/>
                <w:sz w:val="18"/>
                <w:szCs w:val="18"/>
              </w:rPr>
              <w:t>Rregullorja e Komisionit</w:t>
            </w:r>
            <w:r w:rsidR="000A2A01" w:rsidRPr="007114AF">
              <w:rPr>
                <w:rFonts w:ascii="Garamond" w:hAnsi="Garamond" w:cs="Calibri"/>
                <w:sz w:val="18"/>
                <w:szCs w:val="18"/>
              </w:rPr>
              <w:t xml:space="preserve"> </w:t>
            </w:r>
            <w:r w:rsidRPr="007114AF">
              <w:rPr>
                <w:rFonts w:ascii="Garamond" w:hAnsi="Garamond" w:cs="Calibri"/>
                <w:sz w:val="18"/>
                <w:szCs w:val="18"/>
              </w:rPr>
              <w:t>(EC)</w:t>
            </w:r>
            <w:r w:rsidR="00242009" w:rsidRPr="007114AF">
              <w:rPr>
                <w:rFonts w:ascii="Garamond" w:hAnsi="Garamond" w:cs="Calibri"/>
                <w:sz w:val="18"/>
                <w:szCs w:val="18"/>
              </w:rPr>
              <w:t xml:space="preserve"> nr. </w:t>
            </w:r>
            <w:r w:rsidRPr="007114AF">
              <w:rPr>
                <w:rFonts w:ascii="Garamond" w:hAnsi="Garamond" w:cs="Calibri"/>
                <w:sz w:val="18"/>
                <w:szCs w:val="18"/>
              </w:rPr>
              <w:t>245/2009</w:t>
            </w:r>
          </w:p>
        </w:tc>
        <w:tc>
          <w:tcPr>
            <w:tcW w:w="0" w:type="auto"/>
            <w:vAlign w:val="center"/>
          </w:tcPr>
          <w:p w14:paraId="6EDD1275" w14:textId="64198317" w:rsidR="00286663" w:rsidRPr="007114AF" w:rsidRDefault="00286663" w:rsidP="00286663">
            <w:pPr>
              <w:spacing w:after="0"/>
              <w:rPr>
                <w:rFonts w:ascii="Garamond" w:hAnsi="Garamond" w:cs="Calibri"/>
                <w:sz w:val="18"/>
                <w:szCs w:val="18"/>
              </w:rPr>
            </w:pPr>
            <w:r w:rsidRPr="007114AF">
              <w:rPr>
                <w:rFonts w:ascii="Garamond" w:hAnsi="Garamond" w:cs="Calibri"/>
                <w:sz w:val="18"/>
                <w:szCs w:val="18"/>
              </w:rPr>
              <w:t>Rregullorja e Komisionit</w:t>
            </w:r>
            <w:r w:rsidR="008D30FC" w:rsidRPr="007114AF">
              <w:rPr>
                <w:rFonts w:ascii="Garamond" w:hAnsi="Garamond" w:cs="Calibri"/>
                <w:sz w:val="18"/>
                <w:szCs w:val="18"/>
              </w:rPr>
              <w:t xml:space="preserve"> </w:t>
            </w:r>
            <w:r w:rsidRPr="007114AF">
              <w:rPr>
                <w:rFonts w:ascii="Garamond" w:hAnsi="Garamond" w:cs="Calibri"/>
                <w:sz w:val="18"/>
                <w:szCs w:val="18"/>
              </w:rPr>
              <w:t>(EC)</w:t>
            </w:r>
            <w:r w:rsidR="00242009" w:rsidRPr="007114AF">
              <w:rPr>
                <w:rFonts w:ascii="Garamond" w:hAnsi="Garamond" w:cs="Calibri"/>
                <w:sz w:val="18"/>
                <w:szCs w:val="18"/>
              </w:rPr>
              <w:t xml:space="preserve"> nr. </w:t>
            </w:r>
            <w:r w:rsidRPr="007114AF">
              <w:rPr>
                <w:rFonts w:ascii="Garamond" w:hAnsi="Garamond" w:cs="Calibri"/>
                <w:sz w:val="18"/>
                <w:szCs w:val="18"/>
              </w:rPr>
              <w:t>245/2009 në zbatim të Direktivës 2005/32/EC lidhur me kërkesat e prodhimit të llambave fluoreshente pa balast të integruar, për llamba me intensitet të lartë shkarkimi, dhe për balas dhe abazhurë të aftë të punojnë me të tilla llamba, si dhe Direktiva e shfuqizuar 2000/55/EC</w:t>
            </w:r>
          </w:p>
        </w:tc>
      </w:tr>
      <w:tr w:rsidR="00286663" w:rsidRPr="007114AF" w14:paraId="6EDD1279" w14:textId="77777777" w:rsidTr="00574660">
        <w:tc>
          <w:tcPr>
            <w:tcW w:w="0" w:type="auto"/>
            <w:vAlign w:val="center"/>
          </w:tcPr>
          <w:p w14:paraId="6EDD1277" w14:textId="77777777" w:rsidR="00286663" w:rsidRPr="007114AF" w:rsidRDefault="00286663" w:rsidP="00286663">
            <w:pPr>
              <w:spacing w:after="0"/>
              <w:rPr>
                <w:rFonts w:ascii="Garamond" w:hAnsi="Garamond" w:cs="Calibri"/>
                <w:sz w:val="18"/>
                <w:szCs w:val="18"/>
              </w:rPr>
            </w:pPr>
            <w:r w:rsidRPr="007114AF">
              <w:rPr>
                <w:rFonts w:ascii="Garamond" w:hAnsi="Garamond" w:cs="Calibri"/>
                <w:sz w:val="18"/>
                <w:szCs w:val="18"/>
              </w:rPr>
              <w:t>Direktiva 2009/125/EC</w:t>
            </w:r>
          </w:p>
        </w:tc>
        <w:tc>
          <w:tcPr>
            <w:tcW w:w="0" w:type="auto"/>
            <w:vAlign w:val="center"/>
          </w:tcPr>
          <w:p w14:paraId="6EDD1278" w14:textId="77777777" w:rsidR="00286663" w:rsidRPr="007114AF" w:rsidRDefault="00286663" w:rsidP="00286663">
            <w:pPr>
              <w:spacing w:after="0"/>
              <w:rPr>
                <w:rFonts w:ascii="Garamond" w:hAnsi="Garamond" w:cs="Calibri"/>
                <w:sz w:val="18"/>
                <w:szCs w:val="18"/>
              </w:rPr>
            </w:pPr>
            <w:r w:rsidRPr="007114AF">
              <w:rPr>
                <w:rFonts w:ascii="Garamond" w:hAnsi="Garamond" w:cs="Calibri"/>
                <w:sz w:val="18"/>
                <w:szCs w:val="18"/>
              </w:rPr>
              <w:t>Direktiva 2009/125/EC krijon një kuadër për përcaktimin e kërkesave për projektimin ekologjik të produkteve në fushën e energjisë.</w:t>
            </w:r>
          </w:p>
        </w:tc>
      </w:tr>
      <w:tr w:rsidR="00286663" w:rsidRPr="007114AF" w14:paraId="6EDD127C" w14:textId="77777777" w:rsidTr="00574660">
        <w:tc>
          <w:tcPr>
            <w:tcW w:w="0" w:type="auto"/>
            <w:vAlign w:val="center"/>
          </w:tcPr>
          <w:p w14:paraId="6EDD127A" w14:textId="77777777" w:rsidR="00286663" w:rsidRPr="007114AF" w:rsidRDefault="00286663" w:rsidP="00286663">
            <w:pPr>
              <w:spacing w:after="0"/>
              <w:rPr>
                <w:rFonts w:ascii="Garamond" w:hAnsi="Garamond" w:cs="Calibri"/>
                <w:sz w:val="18"/>
                <w:szCs w:val="18"/>
              </w:rPr>
            </w:pPr>
            <w:r w:rsidRPr="007114AF">
              <w:rPr>
                <w:rFonts w:ascii="Garamond" w:hAnsi="Garamond" w:cs="Calibri"/>
                <w:sz w:val="18"/>
                <w:szCs w:val="18"/>
              </w:rPr>
              <w:t>Direktiva 2008/28/EC</w:t>
            </w:r>
          </w:p>
        </w:tc>
        <w:tc>
          <w:tcPr>
            <w:tcW w:w="0" w:type="auto"/>
            <w:vAlign w:val="center"/>
          </w:tcPr>
          <w:p w14:paraId="6EDD127B" w14:textId="77777777" w:rsidR="00286663" w:rsidRPr="007114AF" w:rsidRDefault="00286663" w:rsidP="00286663">
            <w:pPr>
              <w:spacing w:after="0"/>
              <w:rPr>
                <w:rFonts w:ascii="Garamond" w:hAnsi="Garamond" w:cs="Calibri"/>
                <w:sz w:val="18"/>
                <w:szCs w:val="18"/>
              </w:rPr>
            </w:pPr>
            <w:r w:rsidRPr="007114AF">
              <w:rPr>
                <w:rFonts w:ascii="Garamond" w:hAnsi="Garamond" w:cs="Calibri"/>
                <w:sz w:val="18"/>
                <w:szCs w:val="18"/>
              </w:rPr>
              <w:t>Direktiva 2008/28/EC që ndryshon Direktivën 2005/32/EC krijon kuadrin e përcaktimit të kërkesave për projektimin ekologjik të produkteve që përdorin energji, si dhe Direktiva 92/42/EEC dhe Direktivat 96/57/EC dhe 2000/55/EC, sa i përket zbatimit të kompetencave të dhëna në Komision</w:t>
            </w:r>
          </w:p>
        </w:tc>
      </w:tr>
      <w:tr w:rsidR="00286663" w:rsidRPr="007114AF" w14:paraId="6EDD127F" w14:textId="77777777" w:rsidTr="00574660">
        <w:tc>
          <w:tcPr>
            <w:tcW w:w="0" w:type="auto"/>
            <w:vAlign w:val="center"/>
          </w:tcPr>
          <w:p w14:paraId="6EDD127D" w14:textId="77777777" w:rsidR="00286663" w:rsidRPr="007114AF" w:rsidRDefault="00286663" w:rsidP="00286663">
            <w:pPr>
              <w:spacing w:after="0"/>
              <w:rPr>
                <w:rFonts w:ascii="Garamond" w:hAnsi="Garamond" w:cs="Calibri"/>
                <w:sz w:val="18"/>
                <w:szCs w:val="18"/>
              </w:rPr>
            </w:pPr>
            <w:r w:rsidRPr="007114AF">
              <w:rPr>
                <w:rFonts w:ascii="Garamond" w:hAnsi="Garamond" w:cs="Calibri"/>
                <w:sz w:val="18"/>
                <w:szCs w:val="18"/>
              </w:rPr>
              <w:t>Direktiva 2005/32/EC</w:t>
            </w:r>
          </w:p>
        </w:tc>
        <w:tc>
          <w:tcPr>
            <w:tcW w:w="0" w:type="auto"/>
            <w:vAlign w:val="center"/>
          </w:tcPr>
          <w:p w14:paraId="6EDD127E" w14:textId="77777777" w:rsidR="00286663" w:rsidRPr="007114AF" w:rsidRDefault="00286663" w:rsidP="00286663">
            <w:pPr>
              <w:spacing w:after="0"/>
              <w:rPr>
                <w:rFonts w:ascii="Garamond" w:hAnsi="Garamond" w:cs="Calibri"/>
                <w:sz w:val="18"/>
                <w:szCs w:val="18"/>
              </w:rPr>
            </w:pPr>
            <w:r w:rsidRPr="007114AF">
              <w:rPr>
                <w:rFonts w:ascii="Garamond" w:hAnsi="Garamond" w:cs="Calibri"/>
                <w:sz w:val="18"/>
                <w:szCs w:val="18"/>
              </w:rPr>
              <w:t>Direktiva 2005/32/EC krijon një kuadër për kërkesat me projektim ekologjik të produkteve që përdorin energji dhe që ndryshon Direktivë e Këshillit 92/42/EEC dhe Direktivat 96/57/EC dhe 2000/55/EC të Parlamentit Evropian dhe Këshillit</w:t>
            </w:r>
          </w:p>
        </w:tc>
      </w:tr>
      <w:tr w:rsidR="00286663" w:rsidRPr="007114AF" w14:paraId="6EDD1282" w14:textId="77777777" w:rsidTr="00574660">
        <w:tc>
          <w:tcPr>
            <w:tcW w:w="0" w:type="auto"/>
            <w:vAlign w:val="center"/>
          </w:tcPr>
          <w:p w14:paraId="6EDD1280" w14:textId="77777777" w:rsidR="00286663" w:rsidRPr="007114AF" w:rsidRDefault="00286663" w:rsidP="00286663">
            <w:pPr>
              <w:spacing w:after="0"/>
              <w:rPr>
                <w:rFonts w:ascii="Garamond" w:hAnsi="Garamond" w:cs="Calibri"/>
                <w:sz w:val="18"/>
                <w:szCs w:val="18"/>
              </w:rPr>
            </w:pPr>
            <w:r w:rsidRPr="007114AF">
              <w:rPr>
                <w:rFonts w:ascii="Garamond" w:hAnsi="Garamond" w:cs="Calibri"/>
                <w:sz w:val="18"/>
                <w:szCs w:val="18"/>
              </w:rPr>
              <w:t>Vendimi i Këshillit 2006/1005/EC</w:t>
            </w:r>
          </w:p>
        </w:tc>
        <w:tc>
          <w:tcPr>
            <w:tcW w:w="0" w:type="auto"/>
            <w:vAlign w:val="center"/>
          </w:tcPr>
          <w:p w14:paraId="6EDD1281" w14:textId="77777777" w:rsidR="00286663" w:rsidRPr="007114AF" w:rsidRDefault="00286663" w:rsidP="00286663">
            <w:pPr>
              <w:spacing w:after="0"/>
              <w:rPr>
                <w:rFonts w:ascii="Garamond" w:hAnsi="Garamond" w:cs="Calibri"/>
                <w:sz w:val="18"/>
                <w:szCs w:val="18"/>
              </w:rPr>
            </w:pPr>
            <w:r w:rsidRPr="007114AF">
              <w:rPr>
                <w:rFonts w:ascii="Garamond" w:hAnsi="Garamond" w:cs="Calibri"/>
                <w:sz w:val="18"/>
                <w:szCs w:val="18"/>
              </w:rPr>
              <w:t xml:space="preserve">Vendimi i Këshillit 2006/1005/EC lidhur me përfundimin e marrëveshjes ndërmjet Qeverisë së Shteteve të Bashkuara të Amerikës dhe Komunitetit Evropian mbi bashkërendimin e programeve të etiketimit të </w:t>
            </w:r>
            <w:r w:rsidRPr="007114AF">
              <w:rPr>
                <w:rFonts w:ascii="Garamond" w:hAnsi="Garamond" w:cs="Calibri"/>
                <w:color w:val="000000"/>
                <w:sz w:val="18"/>
                <w:szCs w:val="18"/>
              </w:rPr>
              <w:t>eficiencën</w:t>
            </w:r>
            <w:r w:rsidRPr="007114AF">
              <w:rPr>
                <w:rFonts w:ascii="Garamond" w:hAnsi="Garamond" w:cs="Calibri"/>
                <w:sz w:val="18"/>
                <w:szCs w:val="18"/>
              </w:rPr>
              <w:t xml:space="preserve"> së energjisë në produktet e zyrës</w:t>
            </w:r>
          </w:p>
        </w:tc>
      </w:tr>
      <w:tr w:rsidR="00286663" w:rsidRPr="007114AF" w14:paraId="6EDD1285" w14:textId="77777777" w:rsidTr="00574660">
        <w:tc>
          <w:tcPr>
            <w:tcW w:w="0" w:type="auto"/>
            <w:vAlign w:val="center"/>
          </w:tcPr>
          <w:p w14:paraId="6EDD1283" w14:textId="77777777" w:rsidR="00286663" w:rsidRPr="007114AF" w:rsidRDefault="00286663" w:rsidP="00286663">
            <w:pPr>
              <w:spacing w:after="0"/>
              <w:rPr>
                <w:rFonts w:ascii="Garamond" w:hAnsi="Garamond" w:cs="Calibri"/>
                <w:sz w:val="18"/>
                <w:szCs w:val="18"/>
              </w:rPr>
            </w:pPr>
            <w:r w:rsidRPr="007114AF">
              <w:rPr>
                <w:rFonts w:ascii="Garamond" w:hAnsi="Garamond" w:cs="Calibri"/>
                <w:sz w:val="18"/>
                <w:szCs w:val="18"/>
              </w:rPr>
              <w:t>Direktiva e Këshillit 93/68/EEC</w:t>
            </w:r>
          </w:p>
        </w:tc>
        <w:tc>
          <w:tcPr>
            <w:tcW w:w="0" w:type="auto"/>
            <w:vAlign w:val="center"/>
          </w:tcPr>
          <w:p w14:paraId="6EDD1284" w14:textId="77777777" w:rsidR="00286663" w:rsidRPr="007114AF" w:rsidRDefault="00286663" w:rsidP="00286663">
            <w:pPr>
              <w:spacing w:after="0"/>
              <w:rPr>
                <w:rFonts w:ascii="Garamond" w:hAnsi="Garamond" w:cs="Calibri"/>
                <w:sz w:val="18"/>
                <w:szCs w:val="18"/>
              </w:rPr>
            </w:pPr>
            <w:r w:rsidRPr="007114AF">
              <w:rPr>
                <w:rFonts w:ascii="Garamond" w:hAnsi="Garamond" w:cs="Calibri"/>
                <w:sz w:val="18"/>
                <w:szCs w:val="18"/>
              </w:rPr>
              <w:t xml:space="preserve">Direktiva e Këshillit 93/68/EEC që ndryshon Direktivat 87/404/EEC (makina të thjeshta me avull),88/378/EEC (siguria e lodrave), 89/106/EEC (produkte ndërtimi), 9/336/EEC (përputhshmëria elektromagnetike), 89/392/EEC (makineri), 89/686/EEC (pajisje të mbrojtjes personale), 90/384/EEC (instrumente peshimi joautomatike), 90/385/EEC (pajisje transplantuese mjekësore aktive), 90/396/EEC (pajisje që punojnë me lëndë djegëse dhe gaz), 91/263/EEC (pajisje terminali telekomunikacioni),92/42/EEC (bojlerë të rinj me ujë të nxehtë që punojnë me lëndë djegëse të lëngshme ose gaz) dhe 73/23/EEC (pajisje elektrike të projektuara të punojnë me një kufi </w:t>
            </w:r>
            <w:r w:rsidRPr="007114AF">
              <w:rPr>
                <w:rFonts w:ascii="Garamond" w:hAnsi="Garamond" w:cs="Calibri"/>
                <w:sz w:val="18"/>
                <w:szCs w:val="18"/>
              </w:rPr>
              <w:lastRenderedPageBreak/>
              <w:t>të caktuar tensioni).</w:t>
            </w:r>
          </w:p>
        </w:tc>
      </w:tr>
      <w:tr w:rsidR="00286663" w:rsidRPr="007114AF" w14:paraId="6EDD1288" w14:textId="77777777" w:rsidTr="00574660">
        <w:tc>
          <w:tcPr>
            <w:tcW w:w="0" w:type="auto"/>
            <w:vAlign w:val="center"/>
          </w:tcPr>
          <w:p w14:paraId="6EDD1286" w14:textId="77777777" w:rsidR="00286663" w:rsidRPr="007114AF" w:rsidRDefault="00286663" w:rsidP="00286663">
            <w:pPr>
              <w:spacing w:after="0"/>
              <w:rPr>
                <w:rFonts w:ascii="Garamond" w:hAnsi="Garamond" w:cs="Calibri"/>
                <w:sz w:val="18"/>
                <w:szCs w:val="18"/>
              </w:rPr>
            </w:pPr>
            <w:r w:rsidRPr="007114AF">
              <w:rPr>
                <w:rFonts w:ascii="Garamond" w:hAnsi="Garamond" w:cs="Calibri"/>
                <w:sz w:val="18"/>
                <w:szCs w:val="18"/>
              </w:rPr>
              <w:lastRenderedPageBreak/>
              <w:t>Direktiva 2006/32/EC</w:t>
            </w:r>
          </w:p>
        </w:tc>
        <w:tc>
          <w:tcPr>
            <w:tcW w:w="0" w:type="auto"/>
            <w:vAlign w:val="center"/>
          </w:tcPr>
          <w:p w14:paraId="6EDD1287" w14:textId="77777777" w:rsidR="00286663" w:rsidRPr="007114AF" w:rsidRDefault="00286663" w:rsidP="00286663">
            <w:pPr>
              <w:spacing w:after="0"/>
              <w:rPr>
                <w:rFonts w:ascii="Garamond" w:hAnsi="Garamond" w:cs="Calibri"/>
                <w:sz w:val="18"/>
                <w:szCs w:val="18"/>
              </w:rPr>
            </w:pPr>
            <w:r w:rsidRPr="007114AF">
              <w:rPr>
                <w:rFonts w:ascii="Garamond" w:hAnsi="Garamond" w:cs="Calibri"/>
                <w:sz w:val="18"/>
                <w:szCs w:val="18"/>
              </w:rPr>
              <w:t>Direktiva 2006/32/EC mbi eficiencën e përdorimit fundor të energjisë dhe shërbimet e energjisë dhe shfuqizimi i Direktivave të Këshillit 93/76/EEC</w:t>
            </w:r>
          </w:p>
        </w:tc>
      </w:tr>
      <w:tr w:rsidR="00286663" w:rsidRPr="007114AF" w14:paraId="6EDD128B" w14:textId="77777777" w:rsidTr="00574660">
        <w:tc>
          <w:tcPr>
            <w:tcW w:w="0" w:type="auto"/>
            <w:vAlign w:val="center"/>
          </w:tcPr>
          <w:p w14:paraId="6EDD1289" w14:textId="77777777" w:rsidR="00286663" w:rsidRPr="007114AF" w:rsidRDefault="00286663" w:rsidP="00286663">
            <w:pPr>
              <w:spacing w:after="0"/>
              <w:rPr>
                <w:rFonts w:ascii="Garamond" w:hAnsi="Garamond" w:cs="Calibri"/>
                <w:sz w:val="18"/>
                <w:szCs w:val="18"/>
              </w:rPr>
            </w:pPr>
            <w:r w:rsidRPr="007114AF">
              <w:rPr>
                <w:rFonts w:ascii="Garamond" w:hAnsi="Garamond" w:cs="Calibri"/>
                <w:sz w:val="18"/>
                <w:szCs w:val="18"/>
              </w:rPr>
              <w:t>Direktiva 2004/8/EC</w:t>
            </w:r>
          </w:p>
        </w:tc>
        <w:tc>
          <w:tcPr>
            <w:tcW w:w="0" w:type="auto"/>
            <w:vAlign w:val="center"/>
          </w:tcPr>
          <w:p w14:paraId="6EDD128A" w14:textId="77777777" w:rsidR="00286663" w:rsidRPr="007114AF" w:rsidRDefault="00286663" w:rsidP="00286663">
            <w:pPr>
              <w:spacing w:after="0"/>
              <w:rPr>
                <w:rFonts w:ascii="Garamond" w:hAnsi="Garamond" w:cs="Calibri"/>
                <w:sz w:val="18"/>
                <w:szCs w:val="18"/>
              </w:rPr>
            </w:pPr>
            <w:r w:rsidRPr="007114AF">
              <w:rPr>
                <w:rFonts w:ascii="Garamond" w:hAnsi="Garamond" w:cs="Calibri"/>
                <w:sz w:val="18"/>
                <w:szCs w:val="18"/>
              </w:rPr>
              <w:t>Direktiva 2004/8/EC mbi promovimin e bashkëprodhimit bazuar në kërkesat e dobishme për ngrohje në tregun e brendshëm të energjisë që ndryshon Direktivën 92/42/EEC.</w:t>
            </w:r>
          </w:p>
        </w:tc>
      </w:tr>
      <w:tr w:rsidR="00286663" w:rsidRPr="007114AF" w14:paraId="6EDD128E" w14:textId="77777777" w:rsidTr="00574660">
        <w:tc>
          <w:tcPr>
            <w:tcW w:w="0" w:type="auto"/>
            <w:vAlign w:val="center"/>
          </w:tcPr>
          <w:p w14:paraId="6EDD128C" w14:textId="77777777" w:rsidR="00286663" w:rsidRPr="007114AF" w:rsidRDefault="00286663" w:rsidP="00286663">
            <w:pPr>
              <w:spacing w:after="0"/>
              <w:rPr>
                <w:rFonts w:ascii="Garamond" w:hAnsi="Garamond" w:cs="Calibri"/>
                <w:sz w:val="18"/>
                <w:szCs w:val="18"/>
              </w:rPr>
            </w:pPr>
            <w:r w:rsidRPr="007114AF">
              <w:rPr>
                <w:rFonts w:ascii="Garamond" w:hAnsi="Garamond" w:cs="Calibri"/>
                <w:sz w:val="18"/>
                <w:szCs w:val="18"/>
              </w:rPr>
              <w:t>Direktiva 2010/30/EU</w:t>
            </w:r>
          </w:p>
        </w:tc>
        <w:tc>
          <w:tcPr>
            <w:tcW w:w="0" w:type="auto"/>
            <w:vAlign w:val="center"/>
          </w:tcPr>
          <w:p w14:paraId="6EDD128D" w14:textId="77777777" w:rsidR="00286663" w:rsidRPr="007114AF" w:rsidRDefault="00286663" w:rsidP="00286663">
            <w:pPr>
              <w:spacing w:after="0"/>
              <w:rPr>
                <w:rFonts w:ascii="Garamond" w:hAnsi="Garamond" w:cs="Calibri"/>
                <w:sz w:val="18"/>
                <w:szCs w:val="18"/>
              </w:rPr>
            </w:pPr>
            <w:r w:rsidRPr="007114AF">
              <w:rPr>
                <w:rFonts w:ascii="Garamond" w:hAnsi="Garamond" w:cs="Calibri"/>
                <w:sz w:val="18"/>
                <w:szCs w:val="18"/>
              </w:rPr>
              <w:t>Direktiva 2010/30/EU mbi treguesit që vijnë nga etiketimi dhe informacioni standard i produktit lidhur me konsumin e energjisë dhe burime të tjera nga produkte të tjera të lidhura me energjinë</w:t>
            </w:r>
          </w:p>
        </w:tc>
      </w:tr>
      <w:tr w:rsidR="00286663" w:rsidRPr="007114AF" w14:paraId="6EDD1291" w14:textId="77777777" w:rsidTr="00574660">
        <w:tc>
          <w:tcPr>
            <w:tcW w:w="0" w:type="auto"/>
            <w:vAlign w:val="center"/>
          </w:tcPr>
          <w:p w14:paraId="6EDD128F" w14:textId="77777777" w:rsidR="00286663" w:rsidRPr="007114AF" w:rsidRDefault="00286663" w:rsidP="00286663">
            <w:pPr>
              <w:spacing w:after="0"/>
              <w:rPr>
                <w:rFonts w:ascii="Garamond" w:hAnsi="Garamond" w:cs="Calibri"/>
                <w:sz w:val="18"/>
                <w:szCs w:val="18"/>
              </w:rPr>
            </w:pPr>
            <w:r w:rsidRPr="007114AF">
              <w:rPr>
                <w:rFonts w:ascii="Garamond" w:hAnsi="Garamond" w:cs="Calibri"/>
                <w:sz w:val="18"/>
                <w:szCs w:val="18"/>
              </w:rPr>
              <w:t>Direktiva 2009/28/EC</w:t>
            </w:r>
          </w:p>
        </w:tc>
        <w:tc>
          <w:tcPr>
            <w:tcW w:w="0" w:type="auto"/>
            <w:vAlign w:val="center"/>
          </w:tcPr>
          <w:p w14:paraId="6EDD1290" w14:textId="77777777" w:rsidR="00286663" w:rsidRPr="007114AF" w:rsidRDefault="00286663" w:rsidP="00286663">
            <w:pPr>
              <w:spacing w:after="0"/>
              <w:rPr>
                <w:rFonts w:ascii="Garamond" w:hAnsi="Garamond" w:cs="Calibri"/>
                <w:sz w:val="18"/>
                <w:szCs w:val="18"/>
              </w:rPr>
            </w:pPr>
            <w:r w:rsidRPr="007114AF">
              <w:rPr>
                <w:rFonts w:ascii="Garamond" w:hAnsi="Garamond" w:cs="Calibri"/>
                <w:sz w:val="18"/>
                <w:szCs w:val="18"/>
              </w:rPr>
              <w:t>Direktiva 2009/28/EC mbi promovimin e përdorimit të energjisë nga burime të rinovueshme dhe Direktivat e ndryshuar dhe më pas të shfuqizuara 2001/77/EC dhe 2003/30/EC.</w:t>
            </w:r>
          </w:p>
        </w:tc>
      </w:tr>
      <w:tr w:rsidR="00286663" w:rsidRPr="007114AF" w14:paraId="6EDD1294" w14:textId="77777777" w:rsidTr="00574660">
        <w:tc>
          <w:tcPr>
            <w:tcW w:w="0" w:type="auto"/>
            <w:vAlign w:val="center"/>
          </w:tcPr>
          <w:p w14:paraId="6EDD1292" w14:textId="77777777" w:rsidR="00286663" w:rsidRPr="007114AF" w:rsidRDefault="00286663" w:rsidP="00286663">
            <w:pPr>
              <w:spacing w:after="0"/>
              <w:rPr>
                <w:rFonts w:ascii="Garamond" w:hAnsi="Garamond" w:cs="Calibri"/>
                <w:sz w:val="18"/>
                <w:szCs w:val="18"/>
              </w:rPr>
            </w:pPr>
            <w:r w:rsidRPr="007114AF">
              <w:rPr>
                <w:rFonts w:ascii="Garamond" w:hAnsi="Garamond" w:cs="Calibri"/>
                <w:sz w:val="18"/>
                <w:szCs w:val="18"/>
              </w:rPr>
              <w:t>Direktiva 2001/77/EC</w:t>
            </w:r>
          </w:p>
        </w:tc>
        <w:tc>
          <w:tcPr>
            <w:tcW w:w="0" w:type="auto"/>
            <w:vAlign w:val="center"/>
          </w:tcPr>
          <w:p w14:paraId="6EDD1293" w14:textId="77777777" w:rsidR="00286663" w:rsidRPr="007114AF" w:rsidRDefault="00286663" w:rsidP="00286663">
            <w:pPr>
              <w:spacing w:after="0"/>
              <w:rPr>
                <w:rFonts w:ascii="Garamond" w:hAnsi="Garamond" w:cs="Calibri"/>
                <w:sz w:val="18"/>
                <w:szCs w:val="18"/>
              </w:rPr>
            </w:pPr>
            <w:r w:rsidRPr="007114AF">
              <w:rPr>
                <w:rFonts w:ascii="Garamond" w:hAnsi="Garamond" w:cs="Calibri"/>
                <w:sz w:val="18"/>
                <w:szCs w:val="18"/>
              </w:rPr>
              <w:t>Direktiva 2001/77/EC mbi nxitjen e energjisë së prodhuar nga burimet e energjisë së rinovueshme në tregun e brendshëm të energjisë elektrike</w:t>
            </w:r>
          </w:p>
        </w:tc>
      </w:tr>
      <w:tr w:rsidR="00286663" w:rsidRPr="007114AF" w14:paraId="6EDD1296" w14:textId="77777777" w:rsidTr="00574660">
        <w:tc>
          <w:tcPr>
            <w:tcW w:w="0" w:type="auto"/>
            <w:gridSpan w:val="2"/>
            <w:shd w:val="clear" w:color="auto" w:fill="C6D9F1" w:themeFill="text2" w:themeFillTint="33"/>
            <w:vAlign w:val="center"/>
          </w:tcPr>
          <w:p w14:paraId="6EDD1295" w14:textId="77777777" w:rsidR="00286663" w:rsidRPr="007114AF" w:rsidRDefault="00286663" w:rsidP="00286663">
            <w:pPr>
              <w:spacing w:after="0"/>
              <w:rPr>
                <w:rFonts w:ascii="Garamond" w:hAnsi="Garamond" w:cs="Calibri"/>
                <w:b/>
                <w:sz w:val="18"/>
                <w:szCs w:val="18"/>
              </w:rPr>
            </w:pPr>
            <w:r w:rsidRPr="007114AF">
              <w:rPr>
                <w:rFonts w:ascii="Garamond" w:hAnsi="Garamond" w:cs="Calibri"/>
                <w:b/>
                <w:sz w:val="18"/>
                <w:szCs w:val="18"/>
              </w:rPr>
              <w:t>Transporti</w:t>
            </w:r>
          </w:p>
        </w:tc>
      </w:tr>
      <w:tr w:rsidR="00286663" w:rsidRPr="007114AF" w14:paraId="6EDD1299" w14:textId="77777777" w:rsidTr="00574660">
        <w:tc>
          <w:tcPr>
            <w:tcW w:w="0" w:type="auto"/>
            <w:vAlign w:val="center"/>
          </w:tcPr>
          <w:p w14:paraId="6EDD1297" w14:textId="77777777" w:rsidR="00286663" w:rsidRPr="007114AF" w:rsidRDefault="00286663" w:rsidP="00286663">
            <w:pPr>
              <w:spacing w:after="0"/>
              <w:rPr>
                <w:rFonts w:ascii="Garamond" w:hAnsi="Garamond" w:cs="Calibri"/>
                <w:sz w:val="18"/>
                <w:szCs w:val="18"/>
              </w:rPr>
            </w:pPr>
            <w:r w:rsidRPr="007114AF">
              <w:rPr>
                <w:rFonts w:ascii="Garamond" w:hAnsi="Garamond" w:cs="Calibri"/>
                <w:sz w:val="18"/>
                <w:szCs w:val="18"/>
              </w:rPr>
              <w:t>Direktiva 2009/29/EC</w:t>
            </w:r>
          </w:p>
        </w:tc>
        <w:tc>
          <w:tcPr>
            <w:tcW w:w="0" w:type="auto"/>
            <w:vAlign w:val="center"/>
          </w:tcPr>
          <w:p w14:paraId="6EDD1298" w14:textId="375EABF4" w:rsidR="00286663" w:rsidRPr="007114AF" w:rsidRDefault="00286663" w:rsidP="00286663">
            <w:pPr>
              <w:spacing w:after="0"/>
              <w:rPr>
                <w:rFonts w:ascii="Garamond" w:hAnsi="Garamond" w:cs="Calibri"/>
                <w:sz w:val="18"/>
                <w:szCs w:val="18"/>
              </w:rPr>
            </w:pPr>
            <w:r w:rsidRPr="007114AF">
              <w:rPr>
                <w:rFonts w:ascii="Garamond" w:hAnsi="Garamond" w:cs="Calibri"/>
                <w:sz w:val="18"/>
                <w:szCs w:val="18"/>
              </w:rPr>
              <w:t>DIREKTIVA 2009/29/EC E PARLAMENTIT EVROPIAN DHE KËSHILLIT, e datës 23 prill 2009 që ndryshon Direktivën 2003/87/EC në mënyrë që të përmirësojë dhe zgjerojë skemën tregtare të kuotës së shkarkimit të gazeve serrë</w:t>
            </w:r>
            <w:r w:rsidR="000A2A01" w:rsidRPr="007114AF">
              <w:rPr>
                <w:rFonts w:ascii="Garamond" w:hAnsi="Garamond" w:cs="Calibri"/>
                <w:sz w:val="18"/>
                <w:szCs w:val="18"/>
              </w:rPr>
              <w:t xml:space="preserve"> </w:t>
            </w:r>
            <w:r w:rsidRPr="007114AF">
              <w:rPr>
                <w:rFonts w:ascii="Garamond" w:hAnsi="Garamond" w:cs="Calibri"/>
                <w:sz w:val="18"/>
                <w:szCs w:val="18"/>
              </w:rPr>
              <w:t>të Komunitetit</w:t>
            </w:r>
          </w:p>
        </w:tc>
      </w:tr>
      <w:tr w:rsidR="00286663" w:rsidRPr="007114AF" w14:paraId="6EDD129C" w14:textId="77777777" w:rsidTr="00574660">
        <w:tc>
          <w:tcPr>
            <w:tcW w:w="0" w:type="auto"/>
            <w:vAlign w:val="center"/>
          </w:tcPr>
          <w:p w14:paraId="6EDD129A" w14:textId="77777777" w:rsidR="00286663" w:rsidRPr="007114AF" w:rsidRDefault="00286663" w:rsidP="00286663">
            <w:pPr>
              <w:spacing w:after="0"/>
              <w:rPr>
                <w:rFonts w:ascii="Garamond" w:hAnsi="Garamond" w:cs="Calibri"/>
                <w:sz w:val="18"/>
                <w:szCs w:val="18"/>
              </w:rPr>
            </w:pPr>
            <w:r w:rsidRPr="007114AF">
              <w:rPr>
                <w:rFonts w:ascii="Garamond" w:hAnsi="Garamond" w:cs="Calibri"/>
                <w:sz w:val="18"/>
                <w:szCs w:val="18"/>
              </w:rPr>
              <w:t>Direktiva 2009/28/EC</w:t>
            </w:r>
          </w:p>
        </w:tc>
        <w:tc>
          <w:tcPr>
            <w:tcW w:w="0" w:type="auto"/>
            <w:vAlign w:val="center"/>
          </w:tcPr>
          <w:p w14:paraId="6EDD129B" w14:textId="77777777" w:rsidR="00286663" w:rsidRPr="007114AF" w:rsidRDefault="00286663" w:rsidP="00286663">
            <w:pPr>
              <w:spacing w:after="0"/>
              <w:rPr>
                <w:rFonts w:ascii="Garamond" w:hAnsi="Garamond" w:cs="Calibri"/>
                <w:sz w:val="18"/>
                <w:szCs w:val="18"/>
              </w:rPr>
            </w:pPr>
            <w:r w:rsidRPr="007114AF">
              <w:rPr>
                <w:rFonts w:ascii="Garamond" w:hAnsi="Garamond" w:cs="Calibri"/>
                <w:sz w:val="18"/>
                <w:szCs w:val="18"/>
              </w:rPr>
              <w:t>Direktiva 2009/28/EC e Parlamentit Evropian dhe Këshillit e datës 23 Prill 2009 mbi nxitjen e përdorimit të energjisë nga burime të rinovueshme, që ndryshon dhe shfuqizon Direktivat 2001/77/EC and 2003/30/EC</w:t>
            </w:r>
          </w:p>
        </w:tc>
      </w:tr>
      <w:tr w:rsidR="00286663" w:rsidRPr="007114AF" w14:paraId="6EDD129F" w14:textId="77777777" w:rsidTr="00574660">
        <w:tc>
          <w:tcPr>
            <w:tcW w:w="0" w:type="auto"/>
            <w:vAlign w:val="center"/>
          </w:tcPr>
          <w:p w14:paraId="6EDD129D" w14:textId="77777777" w:rsidR="00286663" w:rsidRPr="007114AF" w:rsidRDefault="00286663" w:rsidP="00286663">
            <w:pPr>
              <w:spacing w:after="0"/>
              <w:rPr>
                <w:rFonts w:ascii="Garamond" w:hAnsi="Garamond" w:cs="Calibri"/>
                <w:sz w:val="18"/>
                <w:szCs w:val="18"/>
              </w:rPr>
            </w:pPr>
            <w:r w:rsidRPr="007114AF">
              <w:rPr>
                <w:rFonts w:ascii="Garamond" w:hAnsi="Garamond" w:cs="Calibri"/>
                <w:sz w:val="18"/>
                <w:szCs w:val="18"/>
              </w:rPr>
              <w:t>Vendimi 2009/406 EC</w:t>
            </w:r>
          </w:p>
        </w:tc>
        <w:tc>
          <w:tcPr>
            <w:tcW w:w="0" w:type="auto"/>
            <w:vAlign w:val="center"/>
          </w:tcPr>
          <w:p w14:paraId="6EDD129E" w14:textId="77777777" w:rsidR="00286663" w:rsidRPr="007114AF" w:rsidRDefault="00286663" w:rsidP="00286663">
            <w:pPr>
              <w:spacing w:after="0"/>
              <w:rPr>
                <w:rFonts w:ascii="Garamond" w:hAnsi="Garamond" w:cs="Calibri"/>
                <w:sz w:val="18"/>
                <w:szCs w:val="18"/>
              </w:rPr>
            </w:pPr>
            <w:r w:rsidRPr="007114AF">
              <w:rPr>
                <w:rFonts w:ascii="Garamond" w:hAnsi="Garamond" w:cs="Calibri"/>
                <w:sz w:val="18"/>
                <w:szCs w:val="18"/>
              </w:rPr>
              <w:t>VENDIMI Nr 406/2009/EC I PARLAMENTIT EVROPIAN DHE KËSHILLIT i datës 23 prill 2009 mbi përpjekjen e Shteteve Anëtare për të ulur shkarkimet e gazeve serrë me qëllim përmbushjen e angazhimeve të uljes së shkarkimit të gazeve serrë të Komunitetit deri në vitin 2020</w:t>
            </w:r>
          </w:p>
        </w:tc>
      </w:tr>
      <w:tr w:rsidR="00286663" w:rsidRPr="007114AF" w14:paraId="6EDD12A2" w14:textId="77777777" w:rsidTr="00574660">
        <w:tc>
          <w:tcPr>
            <w:tcW w:w="0" w:type="auto"/>
            <w:vAlign w:val="center"/>
          </w:tcPr>
          <w:p w14:paraId="6EDD12A0" w14:textId="77777777" w:rsidR="00286663" w:rsidRPr="007114AF" w:rsidRDefault="00286663" w:rsidP="00286663">
            <w:pPr>
              <w:spacing w:after="0"/>
              <w:rPr>
                <w:rFonts w:ascii="Garamond" w:hAnsi="Garamond" w:cs="Calibri"/>
                <w:sz w:val="18"/>
                <w:szCs w:val="18"/>
              </w:rPr>
            </w:pPr>
            <w:r w:rsidRPr="007114AF">
              <w:rPr>
                <w:rFonts w:ascii="Garamond" w:hAnsi="Garamond" w:cs="Calibri"/>
                <w:sz w:val="18"/>
                <w:szCs w:val="18"/>
              </w:rPr>
              <w:t>Komunikatë 2013/169</w:t>
            </w:r>
          </w:p>
        </w:tc>
        <w:tc>
          <w:tcPr>
            <w:tcW w:w="0" w:type="auto"/>
            <w:vAlign w:val="center"/>
          </w:tcPr>
          <w:p w14:paraId="6EDD12A1" w14:textId="77777777" w:rsidR="00286663" w:rsidRPr="007114AF" w:rsidRDefault="00286663" w:rsidP="00286663">
            <w:pPr>
              <w:spacing w:after="0"/>
              <w:rPr>
                <w:rFonts w:ascii="Garamond" w:hAnsi="Garamond" w:cs="Calibri"/>
                <w:sz w:val="18"/>
                <w:szCs w:val="18"/>
              </w:rPr>
            </w:pPr>
            <w:r w:rsidRPr="007114AF">
              <w:rPr>
                <w:rFonts w:ascii="Garamond" w:hAnsi="Garamond" w:cs="Calibri"/>
                <w:sz w:val="18"/>
                <w:szCs w:val="18"/>
              </w:rPr>
              <w:t>LIBRI i GJELBËR A 2030 kuadri për politikat klimatike dhe ato mbi energjinë</w:t>
            </w:r>
          </w:p>
        </w:tc>
      </w:tr>
      <w:tr w:rsidR="00286663" w:rsidRPr="007114AF" w14:paraId="6EDD12A5" w14:textId="77777777" w:rsidTr="00574660">
        <w:tc>
          <w:tcPr>
            <w:tcW w:w="0" w:type="auto"/>
            <w:vAlign w:val="center"/>
          </w:tcPr>
          <w:p w14:paraId="6EDD12A3" w14:textId="77777777" w:rsidR="00286663" w:rsidRPr="007114AF" w:rsidRDefault="00286663" w:rsidP="00286663">
            <w:pPr>
              <w:spacing w:after="0"/>
              <w:rPr>
                <w:rFonts w:ascii="Garamond" w:hAnsi="Garamond" w:cs="Calibri"/>
                <w:sz w:val="18"/>
                <w:szCs w:val="18"/>
              </w:rPr>
            </w:pPr>
            <w:r w:rsidRPr="007114AF">
              <w:rPr>
                <w:rFonts w:ascii="Garamond" w:hAnsi="Garamond" w:cs="Calibri"/>
                <w:sz w:val="18"/>
                <w:szCs w:val="18"/>
              </w:rPr>
              <w:t>Komunikatë 2011/ 112</w:t>
            </w:r>
          </w:p>
        </w:tc>
        <w:tc>
          <w:tcPr>
            <w:tcW w:w="0" w:type="auto"/>
            <w:vAlign w:val="center"/>
          </w:tcPr>
          <w:p w14:paraId="6EDD12A4" w14:textId="77777777" w:rsidR="00286663" w:rsidRPr="007114AF" w:rsidRDefault="00286663" w:rsidP="00286663">
            <w:pPr>
              <w:spacing w:after="0"/>
              <w:rPr>
                <w:rFonts w:ascii="Garamond" w:hAnsi="Garamond" w:cs="Calibri"/>
                <w:sz w:val="18"/>
                <w:szCs w:val="18"/>
              </w:rPr>
            </w:pPr>
            <w:r w:rsidRPr="007114AF">
              <w:rPr>
                <w:rFonts w:ascii="Garamond" w:hAnsi="Garamond" w:cs="Calibri"/>
                <w:sz w:val="18"/>
                <w:szCs w:val="18"/>
              </w:rPr>
              <w:t>KOMUNIKATA NGA KOMISIONI I PARLAMENTIT EVROPIAN, KËSHILLI, KOMITETI EVROPIAN PËR ÇËSHTJET EKONOMIKE DHE SOCIALE DHE KOMITETI PËR RAJONET Një plan për të lëvizur drejt një ekonomie konkurruese me nivel të ulët të karbonit në vitin 2050</w:t>
            </w:r>
          </w:p>
        </w:tc>
      </w:tr>
      <w:tr w:rsidR="00286663" w:rsidRPr="007114AF" w14:paraId="6EDD12A8" w14:textId="77777777" w:rsidTr="00574660">
        <w:tc>
          <w:tcPr>
            <w:tcW w:w="0" w:type="auto"/>
            <w:vAlign w:val="center"/>
          </w:tcPr>
          <w:p w14:paraId="6EDD12A6" w14:textId="77777777" w:rsidR="00286663" w:rsidRPr="007114AF" w:rsidRDefault="00286663" w:rsidP="00286663">
            <w:pPr>
              <w:spacing w:after="0"/>
              <w:rPr>
                <w:rFonts w:ascii="Garamond" w:hAnsi="Garamond" w:cs="Calibri"/>
                <w:sz w:val="18"/>
                <w:szCs w:val="18"/>
              </w:rPr>
            </w:pPr>
            <w:r w:rsidRPr="007114AF">
              <w:rPr>
                <w:rFonts w:ascii="Garamond" w:hAnsi="Garamond" w:cs="Calibri"/>
                <w:sz w:val="18"/>
                <w:szCs w:val="18"/>
              </w:rPr>
              <w:t>Rregullorja 2009/443/EC</w:t>
            </w:r>
          </w:p>
        </w:tc>
        <w:tc>
          <w:tcPr>
            <w:tcW w:w="0" w:type="auto"/>
            <w:vAlign w:val="center"/>
          </w:tcPr>
          <w:p w14:paraId="6EDD12A7" w14:textId="77777777" w:rsidR="00286663" w:rsidRPr="007114AF" w:rsidRDefault="00286663" w:rsidP="00286663">
            <w:pPr>
              <w:spacing w:after="0"/>
              <w:rPr>
                <w:rFonts w:ascii="Garamond" w:hAnsi="Garamond" w:cs="Calibri"/>
                <w:sz w:val="18"/>
                <w:szCs w:val="18"/>
              </w:rPr>
            </w:pPr>
            <w:r w:rsidRPr="007114AF">
              <w:rPr>
                <w:rFonts w:ascii="Garamond" w:hAnsi="Garamond" w:cs="Calibri"/>
                <w:sz w:val="18"/>
                <w:szCs w:val="18"/>
              </w:rPr>
              <w:t>Rregullorja (EC) Nr 443/2009 e Parlamentit Evropian dhe Këshillit e datës 23 prill 2009 përcakton standarde të performancës së shkarkimit për makinat e reja për pasagjerë, si pjesë e qasjes së integruar të Komunitetit në uljen e shkarkimeve CO</w:t>
            </w:r>
            <w:r w:rsidRPr="007114AF">
              <w:rPr>
                <w:rFonts w:ascii="Garamond" w:hAnsi="Garamond" w:cs="Calibri"/>
                <w:sz w:val="18"/>
                <w:szCs w:val="18"/>
                <w:vertAlign w:val="subscript"/>
              </w:rPr>
              <w:t>2</w:t>
            </w:r>
            <w:r w:rsidRPr="007114AF">
              <w:rPr>
                <w:rFonts w:ascii="Garamond" w:hAnsi="Garamond" w:cs="Calibri"/>
                <w:sz w:val="18"/>
                <w:szCs w:val="18"/>
              </w:rPr>
              <w:t xml:space="preserve"> nga makinat e vogla</w:t>
            </w:r>
          </w:p>
        </w:tc>
      </w:tr>
      <w:tr w:rsidR="00286663" w:rsidRPr="007114AF" w14:paraId="6EDD12AB" w14:textId="77777777" w:rsidTr="00574660">
        <w:tc>
          <w:tcPr>
            <w:tcW w:w="0" w:type="auto"/>
            <w:vAlign w:val="center"/>
          </w:tcPr>
          <w:p w14:paraId="6EDD12A9" w14:textId="77777777" w:rsidR="00286663" w:rsidRPr="007114AF" w:rsidRDefault="00286663" w:rsidP="00286663">
            <w:pPr>
              <w:spacing w:after="0"/>
              <w:rPr>
                <w:rFonts w:ascii="Garamond" w:hAnsi="Garamond" w:cs="Calibri"/>
                <w:sz w:val="18"/>
                <w:szCs w:val="18"/>
              </w:rPr>
            </w:pPr>
            <w:r w:rsidRPr="007114AF">
              <w:rPr>
                <w:rFonts w:ascii="Garamond" w:hAnsi="Garamond" w:cs="Calibri"/>
                <w:sz w:val="18"/>
                <w:szCs w:val="18"/>
              </w:rPr>
              <w:t>Rregullorja 2011/510 /EU</w:t>
            </w:r>
          </w:p>
        </w:tc>
        <w:tc>
          <w:tcPr>
            <w:tcW w:w="0" w:type="auto"/>
            <w:vAlign w:val="center"/>
          </w:tcPr>
          <w:p w14:paraId="6EDD12AA" w14:textId="77777777" w:rsidR="00286663" w:rsidRPr="007114AF" w:rsidRDefault="00286663" w:rsidP="00286663">
            <w:pPr>
              <w:spacing w:after="0"/>
              <w:rPr>
                <w:rFonts w:ascii="Garamond" w:hAnsi="Garamond" w:cs="Calibri"/>
                <w:sz w:val="18"/>
                <w:szCs w:val="18"/>
              </w:rPr>
            </w:pPr>
            <w:r w:rsidRPr="007114AF">
              <w:rPr>
                <w:rFonts w:ascii="Garamond" w:hAnsi="Garamond" w:cs="Calibri"/>
                <w:sz w:val="18"/>
                <w:szCs w:val="18"/>
              </w:rPr>
              <w:t>Rregullorja (EU) Nr 510/2011 e Parlamentit Evropian dhe Këshillit e datës 11 maj 2011 e cila vendos standardet e peformancës së shkarkimeve për makinat e reja, të vogla, tregtare si pjesë e qasjes së Integruar të Sindikatës për shkarkimet CO</w:t>
            </w:r>
            <w:r w:rsidRPr="007114AF">
              <w:rPr>
                <w:rFonts w:ascii="Garamond" w:hAnsi="Garamond" w:cs="Calibri"/>
                <w:sz w:val="18"/>
                <w:szCs w:val="18"/>
                <w:vertAlign w:val="subscript"/>
              </w:rPr>
              <w:t>2</w:t>
            </w:r>
            <w:r w:rsidRPr="007114AF">
              <w:rPr>
                <w:rFonts w:ascii="Garamond" w:hAnsi="Garamond" w:cs="Calibri"/>
                <w:sz w:val="18"/>
                <w:szCs w:val="18"/>
              </w:rPr>
              <w:t xml:space="preserve"> nga makinat e vogla në detyrë</w:t>
            </w:r>
          </w:p>
        </w:tc>
      </w:tr>
      <w:tr w:rsidR="00286663" w:rsidRPr="007114AF" w14:paraId="6EDD12AE" w14:textId="77777777" w:rsidTr="00574660">
        <w:tc>
          <w:tcPr>
            <w:tcW w:w="0" w:type="auto"/>
            <w:vAlign w:val="center"/>
          </w:tcPr>
          <w:p w14:paraId="6EDD12AC" w14:textId="77777777" w:rsidR="00286663" w:rsidRPr="007114AF" w:rsidRDefault="00286663" w:rsidP="00286663">
            <w:pPr>
              <w:spacing w:after="0"/>
              <w:rPr>
                <w:rFonts w:ascii="Garamond" w:hAnsi="Garamond" w:cs="Calibri"/>
                <w:sz w:val="18"/>
                <w:szCs w:val="18"/>
              </w:rPr>
            </w:pPr>
            <w:r w:rsidRPr="007114AF">
              <w:rPr>
                <w:rFonts w:ascii="Garamond" w:hAnsi="Garamond" w:cs="Calibri"/>
                <w:sz w:val="18"/>
                <w:szCs w:val="18"/>
              </w:rPr>
              <w:t>Rregullorja 2014/253/EU</w:t>
            </w:r>
          </w:p>
        </w:tc>
        <w:tc>
          <w:tcPr>
            <w:tcW w:w="0" w:type="auto"/>
            <w:vAlign w:val="center"/>
          </w:tcPr>
          <w:p w14:paraId="6EDD12AD" w14:textId="77777777" w:rsidR="00286663" w:rsidRPr="007114AF" w:rsidRDefault="00286663" w:rsidP="00286663">
            <w:pPr>
              <w:spacing w:after="0"/>
              <w:rPr>
                <w:rFonts w:ascii="Garamond" w:hAnsi="Garamond" w:cs="Calibri"/>
                <w:sz w:val="18"/>
                <w:szCs w:val="18"/>
              </w:rPr>
            </w:pPr>
            <w:r w:rsidRPr="007114AF">
              <w:rPr>
                <w:rFonts w:ascii="Garamond" w:hAnsi="Garamond" w:cs="Calibri"/>
                <w:sz w:val="18"/>
                <w:szCs w:val="18"/>
              </w:rPr>
              <w:t>Rregullorja (EU) Nr 253/2014 e Parlamentit Evropian dhe e Këshillit, e datës 26 shkurt 2014 Rregullorja e ndryshuar (EU) Nr 510/2011 e cila përcakton modalitetet për arritjen e objektivit të vitit 2020 për uljen e shkarkimeve CO</w:t>
            </w:r>
            <w:r w:rsidRPr="007114AF">
              <w:rPr>
                <w:rFonts w:ascii="Garamond" w:hAnsi="Garamond" w:cs="Calibri"/>
                <w:sz w:val="18"/>
                <w:szCs w:val="18"/>
                <w:vertAlign w:val="subscript"/>
              </w:rPr>
              <w:t>2</w:t>
            </w:r>
            <w:r w:rsidRPr="007114AF">
              <w:rPr>
                <w:rFonts w:ascii="Garamond" w:hAnsi="Garamond" w:cs="Calibri"/>
                <w:sz w:val="18"/>
                <w:szCs w:val="18"/>
              </w:rPr>
              <w:t xml:space="preserve"> nga makinat e reja të vogla tregtare </w:t>
            </w:r>
          </w:p>
        </w:tc>
      </w:tr>
      <w:tr w:rsidR="00286663" w:rsidRPr="007114AF" w14:paraId="6EDD12B1" w14:textId="77777777" w:rsidTr="00574660">
        <w:tc>
          <w:tcPr>
            <w:tcW w:w="0" w:type="auto"/>
            <w:vAlign w:val="center"/>
          </w:tcPr>
          <w:p w14:paraId="6EDD12AF" w14:textId="77777777" w:rsidR="00286663" w:rsidRPr="007114AF" w:rsidRDefault="00286663" w:rsidP="00286663">
            <w:pPr>
              <w:spacing w:after="0"/>
              <w:rPr>
                <w:rFonts w:ascii="Garamond" w:hAnsi="Garamond" w:cs="Calibri"/>
                <w:sz w:val="18"/>
                <w:szCs w:val="18"/>
              </w:rPr>
            </w:pPr>
            <w:r w:rsidRPr="007114AF">
              <w:rPr>
                <w:rFonts w:ascii="Garamond" w:hAnsi="Garamond" w:cs="Calibri"/>
                <w:sz w:val="18"/>
                <w:szCs w:val="18"/>
              </w:rPr>
              <w:t>Rregullorja 2014/333/EU</w:t>
            </w:r>
          </w:p>
        </w:tc>
        <w:tc>
          <w:tcPr>
            <w:tcW w:w="0" w:type="auto"/>
            <w:vAlign w:val="center"/>
          </w:tcPr>
          <w:p w14:paraId="6EDD12B0" w14:textId="77777777" w:rsidR="00286663" w:rsidRPr="007114AF" w:rsidRDefault="00286663" w:rsidP="00286663">
            <w:pPr>
              <w:spacing w:after="0"/>
              <w:rPr>
                <w:rFonts w:ascii="Garamond" w:hAnsi="Garamond" w:cs="Calibri"/>
                <w:sz w:val="18"/>
                <w:szCs w:val="18"/>
              </w:rPr>
            </w:pPr>
            <w:r w:rsidRPr="007114AF">
              <w:rPr>
                <w:rFonts w:ascii="Garamond" w:hAnsi="Garamond" w:cs="Calibri"/>
                <w:sz w:val="18"/>
                <w:szCs w:val="18"/>
              </w:rPr>
              <w:t>Rregullorja (EU) Nr 333/2014 e Parlamentit Evropian dhe Këshillit e datës 11 Mars 2014 që ndryshon Rregulloren (EC) Nr 443/2009 për të përcaktuar modalitetet për të arritur objektivat e vitit 2020 në uljen e shkarkimeve CO</w:t>
            </w:r>
            <w:r w:rsidRPr="007114AF">
              <w:rPr>
                <w:rFonts w:ascii="Garamond" w:hAnsi="Garamond" w:cs="Calibri"/>
                <w:sz w:val="18"/>
                <w:szCs w:val="18"/>
                <w:vertAlign w:val="subscript"/>
              </w:rPr>
              <w:t>2</w:t>
            </w:r>
            <w:r w:rsidRPr="007114AF">
              <w:rPr>
                <w:rFonts w:ascii="Garamond" w:hAnsi="Garamond" w:cs="Calibri"/>
                <w:sz w:val="18"/>
                <w:szCs w:val="18"/>
              </w:rPr>
              <w:t xml:space="preserve"> nga makinat e reja të pasagjerëve</w:t>
            </w:r>
          </w:p>
        </w:tc>
      </w:tr>
      <w:tr w:rsidR="00286663" w:rsidRPr="007114AF" w14:paraId="6EDD12B4" w14:textId="77777777" w:rsidTr="00574660">
        <w:tc>
          <w:tcPr>
            <w:tcW w:w="0" w:type="auto"/>
            <w:vAlign w:val="center"/>
          </w:tcPr>
          <w:p w14:paraId="6EDD12B2" w14:textId="77777777" w:rsidR="00286663" w:rsidRPr="007114AF" w:rsidRDefault="00286663" w:rsidP="00286663">
            <w:pPr>
              <w:spacing w:after="0"/>
              <w:rPr>
                <w:rFonts w:ascii="Garamond" w:hAnsi="Garamond" w:cs="Calibri"/>
                <w:sz w:val="18"/>
                <w:szCs w:val="18"/>
              </w:rPr>
            </w:pPr>
            <w:r w:rsidRPr="007114AF">
              <w:rPr>
                <w:rFonts w:ascii="Garamond" w:hAnsi="Garamond" w:cs="Calibri"/>
                <w:sz w:val="18"/>
                <w:szCs w:val="18"/>
              </w:rPr>
              <w:t>KOMUNIKATË 2014/ 285 final</w:t>
            </w:r>
          </w:p>
        </w:tc>
        <w:tc>
          <w:tcPr>
            <w:tcW w:w="0" w:type="auto"/>
            <w:vAlign w:val="center"/>
          </w:tcPr>
          <w:p w14:paraId="6EDD12B3" w14:textId="77777777" w:rsidR="00286663" w:rsidRPr="007114AF" w:rsidRDefault="00286663" w:rsidP="00286663">
            <w:pPr>
              <w:spacing w:after="0"/>
              <w:rPr>
                <w:rFonts w:ascii="Garamond" w:hAnsi="Garamond" w:cs="Calibri"/>
                <w:sz w:val="18"/>
                <w:szCs w:val="18"/>
              </w:rPr>
            </w:pPr>
            <w:r w:rsidRPr="007114AF">
              <w:rPr>
                <w:rFonts w:ascii="Garamond" w:hAnsi="Garamond" w:cs="Calibri"/>
                <w:sz w:val="18"/>
                <w:szCs w:val="18"/>
              </w:rPr>
              <w:t>Strategjia për uljen e konsumit dhe shkarkimet CO</w:t>
            </w:r>
            <w:r w:rsidRPr="007114AF">
              <w:rPr>
                <w:rFonts w:ascii="Garamond" w:hAnsi="Garamond" w:cs="Calibri"/>
                <w:sz w:val="18"/>
                <w:szCs w:val="18"/>
                <w:vertAlign w:val="subscript"/>
              </w:rPr>
              <w:t>2</w:t>
            </w:r>
            <w:r w:rsidRPr="007114AF">
              <w:rPr>
                <w:rFonts w:ascii="Garamond" w:hAnsi="Garamond" w:cs="Calibri"/>
                <w:sz w:val="18"/>
                <w:szCs w:val="18"/>
              </w:rPr>
              <w:t xml:space="preserve"> të makinave të rënda</w:t>
            </w:r>
          </w:p>
        </w:tc>
      </w:tr>
      <w:tr w:rsidR="00286663" w:rsidRPr="007114AF" w14:paraId="6EDD12B7" w14:textId="77777777" w:rsidTr="00574660">
        <w:tc>
          <w:tcPr>
            <w:tcW w:w="0" w:type="auto"/>
            <w:vAlign w:val="center"/>
          </w:tcPr>
          <w:p w14:paraId="6EDD12B5" w14:textId="77777777" w:rsidR="00286663" w:rsidRPr="007114AF" w:rsidRDefault="00286663" w:rsidP="00286663">
            <w:pPr>
              <w:spacing w:after="0"/>
              <w:rPr>
                <w:rFonts w:ascii="Garamond" w:hAnsi="Garamond" w:cs="Calibri"/>
                <w:sz w:val="18"/>
                <w:szCs w:val="18"/>
              </w:rPr>
            </w:pPr>
            <w:r w:rsidRPr="007114AF">
              <w:rPr>
                <w:rFonts w:ascii="Garamond" w:hAnsi="Garamond" w:cs="Calibri"/>
                <w:sz w:val="18"/>
                <w:szCs w:val="18"/>
              </w:rPr>
              <w:t>Vlerësimi i Direktivës 1999/94/EC</w:t>
            </w:r>
          </w:p>
        </w:tc>
        <w:tc>
          <w:tcPr>
            <w:tcW w:w="0" w:type="auto"/>
            <w:vAlign w:val="center"/>
          </w:tcPr>
          <w:p w14:paraId="6EDD12B6" w14:textId="7FEDF58A" w:rsidR="00286663" w:rsidRPr="007114AF" w:rsidRDefault="00286663" w:rsidP="00286663">
            <w:pPr>
              <w:spacing w:after="0"/>
              <w:rPr>
                <w:rFonts w:ascii="Garamond" w:hAnsi="Garamond" w:cs="Calibri"/>
                <w:sz w:val="18"/>
                <w:szCs w:val="18"/>
              </w:rPr>
            </w:pPr>
            <w:r w:rsidRPr="007114AF">
              <w:rPr>
                <w:rFonts w:ascii="Garamond" w:hAnsi="Garamond" w:cs="Calibri"/>
                <w:sz w:val="18"/>
                <w:szCs w:val="18"/>
              </w:rPr>
              <w:t>Vlerësimi i Direktivës 1999/94/EC i Parlamentit Evropian dhe Këshillit, i datës 13 dhjetor 1999 lidhur me disponimin e informacionit nga konsumatori mbi ekonominë e lëndëve djegëse dhe shkarkimeve CO</w:t>
            </w:r>
            <w:r w:rsidRPr="007114AF">
              <w:rPr>
                <w:rFonts w:ascii="Garamond" w:hAnsi="Garamond" w:cs="Calibri"/>
                <w:sz w:val="18"/>
                <w:szCs w:val="18"/>
                <w:vertAlign w:val="subscript"/>
              </w:rPr>
              <w:t xml:space="preserve">2 </w:t>
            </w:r>
            <w:r w:rsidRPr="007114AF">
              <w:rPr>
                <w:rFonts w:ascii="Garamond" w:hAnsi="Garamond" w:cs="Calibri"/>
                <w:sz w:val="18"/>
                <w:szCs w:val="18"/>
              </w:rPr>
              <w:t>në lidhje me marketingun e makinave të pasagjerëve të rinj (</w:t>
            </w:r>
            <w:r w:rsidR="00D10DAB" w:rsidRPr="007114AF">
              <w:rPr>
                <w:rFonts w:ascii="Garamond" w:hAnsi="Garamond" w:cs="Calibri"/>
                <w:sz w:val="18"/>
                <w:szCs w:val="18"/>
              </w:rPr>
              <w:t>‘</w:t>
            </w:r>
            <w:r w:rsidRPr="007114AF">
              <w:rPr>
                <w:rFonts w:ascii="Garamond" w:hAnsi="Garamond" w:cs="Calibri"/>
                <w:sz w:val="18"/>
                <w:szCs w:val="18"/>
              </w:rPr>
              <w:t>Direktiva mbi etiketimin e makinave</w:t>
            </w:r>
            <w:r w:rsidR="00D10DAB" w:rsidRPr="007114AF">
              <w:rPr>
                <w:rFonts w:ascii="Garamond" w:hAnsi="Garamond" w:cs="Calibri"/>
                <w:sz w:val="18"/>
                <w:szCs w:val="18"/>
              </w:rPr>
              <w:t>’</w:t>
            </w:r>
            <w:r w:rsidRPr="007114AF">
              <w:rPr>
                <w:rFonts w:ascii="Garamond" w:hAnsi="Garamond" w:cs="Calibri"/>
                <w:sz w:val="18"/>
                <w:szCs w:val="18"/>
              </w:rPr>
              <w:t>)</w:t>
            </w:r>
          </w:p>
        </w:tc>
      </w:tr>
      <w:tr w:rsidR="00286663" w:rsidRPr="007114AF" w14:paraId="6EDD12BA" w14:textId="77777777" w:rsidTr="00574660">
        <w:tc>
          <w:tcPr>
            <w:tcW w:w="0" w:type="auto"/>
            <w:vAlign w:val="center"/>
          </w:tcPr>
          <w:p w14:paraId="6EDD12B8" w14:textId="77777777" w:rsidR="00286663" w:rsidRPr="007114AF" w:rsidRDefault="00286663" w:rsidP="00286663">
            <w:pPr>
              <w:spacing w:after="0"/>
              <w:rPr>
                <w:rFonts w:ascii="Garamond" w:hAnsi="Garamond" w:cs="Calibri"/>
                <w:sz w:val="18"/>
                <w:szCs w:val="18"/>
              </w:rPr>
            </w:pPr>
            <w:r w:rsidRPr="007114AF">
              <w:rPr>
                <w:rFonts w:ascii="Garamond" w:hAnsi="Garamond" w:cs="Calibri"/>
                <w:sz w:val="18"/>
                <w:szCs w:val="18"/>
              </w:rPr>
              <w:t>Direktiva 2009/30/EC</w:t>
            </w:r>
          </w:p>
        </w:tc>
        <w:tc>
          <w:tcPr>
            <w:tcW w:w="0" w:type="auto"/>
            <w:vAlign w:val="center"/>
          </w:tcPr>
          <w:p w14:paraId="6EDD12B9" w14:textId="412ECA37" w:rsidR="00286663" w:rsidRPr="007114AF" w:rsidRDefault="00286663" w:rsidP="00286663">
            <w:pPr>
              <w:spacing w:after="0"/>
              <w:rPr>
                <w:rFonts w:ascii="Garamond" w:hAnsi="Garamond" w:cs="Calibri"/>
                <w:sz w:val="18"/>
                <w:szCs w:val="18"/>
              </w:rPr>
            </w:pPr>
            <w:r w:rsidRPr="007114AF">
              <w:rPr>
                <w:rFonts w:ascii="Garamond" w:hAnsi="Garamond" w:cs="Calibri"/>
                <w:sz w:val="18"/>
                <w:szCs w:val="18"/>
              </w:rPr>
              <w:t>DIREKTIVA 2009/30/EC E PARLAMENTIT EVROPIAN DHE KËSHILLIT e datës 23 prill 2009 që ndryshon Direktivën 98/70/EC në lidhje me cilësinë e benzinës dhe nënprodukteve të naftës naftës dhe gazoilit, si dhe prezantimi i një mekanizmi që monitoron dhe ul shkarkimet e gazeve serrë,</w:t>
            </w:r>
            <w:r w:rsidR="000A2A01" w:rsidRPr="007114AF">
              <w:rPr>
                <w:rFonts w:ascii="Garamond" w:hAnsi="Garamond" w:cs="Calibri"/>
                <w:sz w:val="18"/>
                <w:szCs w:val="18"/>
              </w:rPr>
              <w:t xml:space="preserve"> </w:t>
            </w:r>
            <w:r w:rsidRPr="007114AF">
              <w:rPr>
                <w:rFonts w:ascii="Garamond" w:hAnsi="Garamond" w:cs="Calibri"/>
                <w:sz w:val="18"/>
                <w:szCs w:val="18"/>
              </w:rPr>
              <w:t>që ndryshon Direktivën e Këshillit 1999/32/EC për sa i përket specifikimit të lëndëve të djegshme të përdorura nga anijet që lundrojnë brenda vendit, që shfuqizon Direktivën 93/12/EEC</w:t>
            </w:r>
            <w:r w:rsidRPr="007114AF">
              <w:rPr>
                <w:rFonts w:ascii="Garamond" w:eastAsia="Times New Roman" w:hAnsi="Garamond" w:cs="Calibri"/>
                <w:color w:val="000000"/>
                <w:sz w:val="18"/>
                <w:szCs w:val="18"/>
              </w:rPr>
              <w:t xml:space="preserve"> (Direktiva e Cil</w:t>
            </w:r>
            <w:r w:rsidRPr="007114AF">
              <w:rPr>
                <w:rFonts w:ascii="Garamond" w:hAnsi="Garamond" w:cs="Calibri"/>
                <w:sz w:val="18"/>
                <w:szCs w:val="18"/>
              </w:rPr>
              <w:t>ësisë së Karburantit</w:t>
            </w:r>
            <w:r w:rsidRPr="007114AF">
              <w:rPr>
                <w:rFonts w:ascii="Garamond" w:eastAsia="Times New Roman" w:hAnsi="Garamond" w:cs="Calibri"/>
                <w:color w:val="000000"/>
                <w:sz w:val="18"/>
                <w:szCs w:val="18"/>
              </w:rPr>
              <w:t>)</w:t>
            </w:r>
          </w:p>
        </w:tc>
      </w:tr>
      <w:tr w:rsidR="00286663" w:rsidRPr="007114AF" w14:paraId="6EDD12BD" w14:textId="77777777" w:rsidTr="00574660">
        <w:tc>
          <w:tcPr>
            <w:tcW w:w="0" w:type="auto"/>
            <w:vAlign w:val="center"/>
          </w:tcPr>
          <w:p w14:paraId="6EDD12BB" w14:textId="77777777" w:rsidR="00286663" w:rsidRPr="007114AF" w:rsidRDefault="00286663" w:rsidP="00286663">
            <w:pPr>
              <w:spacing w:after="0"/>
              <w:rPr>
                <w:rFonts w:ascii="Garamond" w:hAnsi="Garamond" w:cs="Calibri"/>
                <w:sz w:val="18"/>
                <w:szCs w:val="18"/>
              </w:rPr>
            </w:pPr>
            <w:r w:rsidRPr="007114AF">
              <w:rPr>
                <w:rFonts w:ascii="Garamond" w:hAnsi="Garamond" w:cs="Calibri"/>
                <w:sz w:val="18"/>
                <w:szCs w:val="18"/>
              </w:rPr>
              <w:t>Rregullorja 2015/757/EU</w:t>
            </w:r>
          </w:p>
        </w:tc>
        <w:tc>
          <w:tcPr>
            <w:tcW w:w="0" w:type="auto"/>
            <w:vAlign w:val="center"/>
          </w:tcPr>
          <w:p w14:paraId="6EDD12BC" w14:textId="77777777" w:rsidR="00286663" w:rsidRPr="007114AF" w:rsidRDefault="00286663" w:rsidP="00286663">
            <w:pPr>
              <w:spacing w:after="0"/>
              <w:rPr>
                <w:rFonts w:ascii="Garamond" w:hAnsi="Garamond" w:cs="Calibri"/>
                <w:sz w:val="18"/>
                <w:szCs w:val="18"/>
              </w:rPr>
            </w:pPr>
            <w:r w:rsidRPr="007114AF">
              <w:rPr>
                <w:rFonts w:ascii="Garamond" w:hAnsi="Garamond" w:cs="Calibri"/>
                <w:sz w:val="18"/>
                <w:szCs w:val="18"/>
              </w:rPr>
              <w:t>Rregullorja (EU) 2015/757 e Parlamentit Evropian dhe Këshillit, e datës 29 prill 2015 mbi monitorimin, raportimin dhe verifikimin e shkarkimeve të dioksidit të karbonit nga transporti detar, që ndryshon Direktivën 2009/16/EC (Rregullorja MRV)</w:t>
            </w:r>
          </w:p>
        </w:tc>
      </w:tr>
      <w:tr w:rsidR="00286663" w:rsidRPr="007114AF" w14:paraId="6EDD12C0" w14:textId="77777777" w:rsidTr="00574660">
        <w:tc>
          <w:tcPr>
            <w:tcW w:w="0" w:type="auto"/>
            <w:vAlign w:val="center"/>
          </w:tcPr>
          <w:p w14:paraId="6EDD12BE" w14:textId="77777777" w:rsidR="00286663" w:rsidRPr="007114AF" w:rsidRDefault="00286663" w:rsidP="00286663">
            <w:pPr>
              <w:spacing w:after="0"/>
              <w:rPr>
                <w:rFonts w:ascii="Garamond" w:hAnsi="Garamond" w:cs="Calibri"/>
                <w:sz w:val="18"/>
                <w:szCs w:val="18"/>
              </w:rPr>
            </w:pPr>
            <w:r w:rsidRPr="007114AF">
              <w:rPr>
                <w:rFonts w:ascii="Garamond" w:hAnsi="Garamond" w:cs="Calibri"/>
                <w:sz w:val="18"/>
                <w:szCs w:val="18"/>
              </w:rPr>
              <w:t>Komunikatë 2011/144 – libri i bardhë</w:t>
            </w:r>
          </w:p>
        </w:tc>
        <w:tc>
          <w:tcPr>
            <w:tcW w:w="0" w:type="auto"/>
            <w:vAlign w:val="center"/>
          </w:tcPr>
          <w:p w14:paraId="6EDD12BF" w14:textId="77777777" w:rsidR="00286663" w:rsidRPr="007114AF" w:rsidRDefault="00286663" w:rsidP="00286663">
            <w:pPr>
              <w:spacing w:after="0"/>
              <w:rPr>
                <w:rFonts w:ascii="Garamond" w:hAnsi="Garamond" w:cs="Calibri"/>
                <w:sz w:val="18"/>
                <w:szCs w:val="18"/>
              </w:rPr>
            </w:pPr>
            <w:r w:rsidRPr="007114AF">
              <w:rPr>
                <w:rFonts w:ascii="Garamond" w:hAnsi="Garamond" w:cs="Calibri"/>
                <w:sz w:val="18"/>
                <w:szCs w:val="18"/>
              </w:rPr>
              <w:t>LIBRI I BARDHË Udhërrëfyesi për një Zonë të Vetme të Transportit Evropian – Drejt një sistemi transporti konkurrues dhe burimi efikas</w:t>
            </w:r>
          </w:p>
        </w:tc>
      </w:tr>
      <w:tr w:rsidR="00286663" w:rsidRPr="007114AF" w14:paraId="6EDD12C3" w14:textId="77777777" w:rsidTr="00574660">
        <w:tc>
          <w:tcPr>
            <w:tcW w:w="0" w:type="auto"/>
            <w:vAlign w:val="center"/>
          </w:tcPr>
          <w:p w14:paraId="6EDD12C1" w14:textId="77777777" w:rsidR="00286663" w:rsidRPr="007114AF" w:rsidRDefault="00286663" w:rsidP="00286663">
            <w:pPr>
              <w:spacing w:after="0"/>
              <w:rPr>
                <w:rFonts w:ascii="Garamond" w:hAnsi="Garamond" w:cs="Calibri"/>
                <w:sz w:val="18"/>
                <w:szCs w:val="18"/>
              </w:rPr>
            </w:pPr>
            <w:r w:rsidRPr="007114AF">
              <w:rPr>
                <w:rFonts w:ascii="Garamond" w:hAnsi="Garamond" w:cs="Calibri"/>
                <w:sz w:val="18"/>
                <w:szCs w:val="18"/>
              </w:rPr>
              <w:t>Direktiva 2014/94/EU</w:t>
            </w:r>
          </w:p>
        </w:tc>
        <w:tc>
          <w:tcPr>
            <w:tcW w:w="0" w:type="auto"/>
            <w:vAlign w:val="center"/>
          </w:tcPr>
          <w:p w14:paraId="6EDD12C2" w14:textId="77777777" w:rsidR="00286663" w:rsidRPr="007114AF" w:rsidRDefault="00286663" w:rsidP="00286663">
            <w:pPr>
              <w:spacing w:after="0"/>
              <w:rPr>
                <w:rFonts w:ascii="Garamond" w:hAnsi="Garamond" w:cs="Calibri"/>
                <w:sz w:val="18"/>
                <w:szCs w:val="18"/>
              </w:rPr>
            </w:pPr>
            <w:r w:rsidRPr="007114AF">
              <w:rPr>
                <w:rFonts w:ascii="Garamond" w:hAnsi="Garamond" w:cs="Calibri"/>
                <w:sz w:val="18"/>
                <w:szCs w:val="18"/>
              </w:rPr>
              <w:t>Direktiva 2014/94/EU e Parlamentit Evropian dhe të Këshillit e datës 22 tetor 2014 mbi shpërndarjen e infrastrukturës alternative të karburanteve</w:t>
            </w:r>
          </w:p>
        </w:tc>
      </w:tr>
      <w:tr w:rsidR="00286663" w:rsidRPr="007114AF" w14:paraId="6EDD12C6" w14:textId="77777777" w:rsidTr="00574660">
        <w:tc>
          <w:tcPr>
            <w:tcW w:w="0" w:type="auto"/>
            <w:vAlign w:val="center"/>
          </w:tcPr>
          <w:p w14:paraId="6EDD12C4" w14:textId="77777777" w:rsidR="00286663" w:rsidRPr="007114AF" w:rsidRDefault="00286663" w:rsidP="00286663">
            <w:pPr>
              <w:spacing w:after="0"/>
              <w:rPr>
                <w:rFonts w:ascii="Garamond" w:hAnsi="Garamond" w:cs="Calibri"/>
                <w:sz w:val="18"/>
                <w:szCs w:val="18"/>
              </w:rPr>
            </w:pPr>
            <w:r w:rsidRPr="007114AF">
              <w:rPr>
                <w:rFonts w:ascii="Garamond" w:hAnsi="Garamond" w:cs="Calibri"/>
                <w:sz w:val="18"/>
                <w:szCs w:val="18"/>
              </w:rPr>
              <w:t>KOMUNIKATË 2013/ 913 final (me Aneks)</w:t>
            </w:r>
          </w:p>
        </w:tc>
        <w:tc>
          <w:tcPr>
            <w:tcW w:w="0" w:type="auto"/>
            <w:vAlign w:val="center"/>
          </w:tcPr>
          <w:p w14:paraId="6EDD12C5" w14:textId="77777777" w:rsidR="00286663" w:rsidRPr="007114AF" w:rsidRDefault="00286663" w:rsidP="00286663">
            <w:pPr>
              <w:spacing w:after="0"/>
              <w:rPr>
                <w:rFonts w:ascii="Garamond" w:hAnsi="Garamond" w:cs="Calibri"/>
                <w:sz w:val="18"/>
                <w:szCs w:val="18"/>
              </w:rPr>
            </w:pPr>
            <w:r w:rsidRPr="007114AF">
              <w:rPr>
                <w:rFonts w:ascii="Garamond" w:hAnsi="Garamond" w:cs="Calibri"/>
                <w:sz w:val="18"/>
                <w:szCs w:val="18"/>
              </w:rPr>
              <w:t xml:space="preserve">NJË KONCEPT PËR PLANET URBANISTIKE TË LËVIZJES SË QËNDRUESHME – Së bashku drejt lëvizshmërisë urbane konkurruese dhe me burime efikase </w:t>
            </w:r>
          </w:p>
        </w:tc>
      </w:tr>
      <w:tr w:rsidR="00286663" w:rsidRPr="007114AF" w14:paraId="6EDD12C9" w14:textId="77777777" w:rsidTr="00574660">
        <w:tc>
          <w:tcPr>
            <w:tcW w:w="0" w:type="auto"/>
            <w:vAlign w:val="center"/>
          </w:tcPr>
          <w:p w14:paraId="6EDD12C7" w14:textId="77777777" w:rsidR="00286663" w:rsidRPr="007114AF" w:rsidRDefault="00286663" w:rsidP="00286663">
            <w:pPr>
              <w:spacing w:after="0"/>
              <w:rPr>
                <w:rFonts w:ascii="Garamond" w:hAnsi="Garamond" w:cs="Calibri"/>
                <w:sz w:val="18"/>
                <w:szCs w:val="18"/>
              </w:rPr>
            </w:pPr>
            <w:r w:rsidRPr="007114AF">
              <w:rPr>
                <w:rFonts w:ascii="Garamond" w:hAnsi="Garamond" w:cs="Calibri"/>
                <w:sz w:val="18"/>
                <w:szCs w:val="18"/>
              </w:rPr>
              <w:t xml:space="preserve">Komunikatë 2009/ 490 </w:t>
            </w:r>
          </w:p>
        </w:tc>
        <w:tc>
          <w:tcPr>
            <w:tcW w:w="0" w:type="auto"/>
            <w:vAlign w:val="center"/>
          </w:tcPr>
          <w:p w14:paraId="6EDD12C8" w14:textId="77777777" w:rsidR="00286663" w:rsidRPr="007114AF" w:rsidRDefault="00286663" w:rsidP="00286663">
            <w:pPr>
              <w:spacing w:after="0"/>
              <w:rPr>
                <w:rFonts w:ascii="Garamond" w:hAnsi="Garamond" w:cs="Calibri"/>
                <w:sz w:val="18"/>
                <w:szCs w:val="18"/>
              </w:rPr>
            </w:pPr>
            <w:r w:rsidRPr="007114AF">
              <w:rPr>
                <w:rFonts w:ascii="Garamond" w:hAnsi="Garamond" w:cs="Calibri"/>
                <w:sz w:val="18"/>
                <w:szCs w:val="18"/>
              </w:rPr>
              <w:t xml:space="preserve">Komunikatë nga Komisioni i Parlamentit Evropian, Këshilli, Komiteti Evropian për Çështjet Ekonomike dhe Sociale, Komiteti për Rajonet – Plani i Veprimit mbi Lëvizshmërinë Urbane </w:t>
            </w:r>
          </w:p>
        </w:tc>
      </w:tr>
      <w:tr w:rsidR="00286663" w:rsidRPr="007114AF" w14:paraId="6EDD12CB" w14:textId="77777777" w:rsidTr="00574660">
        <w:trPr>
          <w:trHeight w:val="311"/>
        </w:trPr>
        <w:tc>
          <w:tcPr>
            <w:tcW w:w="0" w:type="auto"/>
            <w:gridSpan w:val="2"/>
            <w:shd w:val="clear" w:color="auto" w:fill="C6D9F1" w:themeFill="text2" w:themeFillTint="33"/>
            <w:vAlign w:val="center"/>
          </w:tcPr>
          <w:p w14:paraId="6EDD12CA" w14:textId="77777777" w:rsidR="00286663" w:rsidRPr="007114AF" w:rsidRDefault="00286663" w:rsidP="00286663">
            <w:pPr>
              <w:spacing w:after="0"/>
              <w:rPr>
                <w:rFonts w:ascii="Garamond" w:hAnsi="Garamond" w:cs="Calibri"/>
                <w:b/>
                <w:sz w:val="18"/>
                <w:szCs w:val="18"/>
              </w:rPr>
            </w:pPr>
            <w:r w:rsidRPr="007114AF">
              <w:rPr>
                <w:rFonts w:ascii="Garamond" w:hAnsi="Garamond" w:cs="Calibri"/>
                <w:b/>
                <w:sz w:val="18"/>
                <w:szCs w:val="18"/>
              </w:rPr>
              <w:t>Përdorimi i Tokës, Ndryshimi i Përdorimit të Tokës dhe Pyllëzimi</w:t>
            </w:r>
          </w:p>
        </w:tc>
      </w:tr>
      <w:tr w:rsidR="00286663" w:rsidRPr="007114AF" w14:paraId="6EDD12CE" w14:textId="77777777" w:rsidTr="00574660">
        <w:tc>
          <w:tcPr>
            <w:tcW w:w="0" w:type="auto"/>
            <w:vAlign w:val="center"/>
          </w:tcPr>
          <w:p w14:paraId="6EDD12CC" w14:textId="77777777" w:rsidR="00286663" w:rsidRPr="007114AF" w:rsidRDefault="00286663" w:rsidP="00286663">
            <w:pPr>
              <w:spacing w:after="0"/>
              <w:rPr>
                <w:rFonts w:ascii="Garamond" w:hAnsi="Garamond" w:cs="Calibri"/>
                <w:sz w:val="18"/>
                <w:szCs w:val="18"/>
              </w:rPr>
            </w:pPr>
            <w:r w:rsidRPr="007114AF">
              <w:rPr>
                <w:rFonts w:ascii="Garamond" w:hAnsi="Garamond" w:cs="Calibri"/>
                <w:sz w:val="18"/>
                <w:szCs w:val="18"/>
              </w:rPr>
              <w:t>Vendimi 529/2013/EU</w:t>
            </w:r>
          </w:p>
        </w:tc>
        <w:tc>
          <w:tcPr>
            <w:tcW w:w="0" w:type="auto"/>
            <w:vAlign w:val="center"/>
          </w:tcPr>
          <w:p w14:paraId="6EDD12CD" w14:textId="77777777" w:rsidR="00286663" w:rsidRPr="007114AF" w:rsidRDefault="00286663" w:rsidP="00286663">
            <w:pPr>
              <w:spacing w:after="0"/>
              <w:rPr>
                <w:rFonts w:ascii="Garamond" w:hAnsi="Garamond" w:cs="Calibri"/>
                <w:sz w:val="18"/>
                <w:szCs w:val="18"/>
              </w:rPr>
            </w:pPr>
            <w:r w:rsidRPr="007114AF">
              <w:rPr>
                <w:rFonts w:ascii="Garamond" w:hAnsi="Garamond" w:cs="Calibri"/>
                <w:sz w:val="18"/>
                <w:szCs w:val="18"/>
              </w:rPr>
              <w:t>Vendimi Nr 529/2013/EU i Parlamentit Evropian dhe Këshillit i datës 21 maj 2013 mbi rregullat e përgjegjësisë mbi shkarkimet e gazeve serrë dhe përthithësve që rezultojnë nga aktivitetet të cilat lidhen me përdorimin e tokës, ndryshimi i përdorimit të tokës dhe pyllëzimi, si dhe mbi informacionin që lidhet me veprimet e lidhura me këto aktivitete</w:t>
            </w:r>
          </w:p>
        </w:tc>
      </w:tr>
    </w:tbl>
    <w:p w14:paraId="6EDD12CF" w14:textId="77777777" w:rsidR="00396573" w:rsidRPr="007114AF" w:rsidRDefault="00396573" w:rsidP="000914E2">
      <w:pPr>
        <w:pStyle w:val="TEKSTI"/>
        <w:rPr>
          <w:b/>
          <w:spacing w:val="-4"/>
        </w:rPr>
      </w:pPr>
      <w:r w:rsidRPr="007114AF">
        <w:rPr>
          <w:b/>
          <w:spacing w:val="-4"/>
        </w:rPr>
        <w:lastRenderedPageBreak/>
        <w:t>Aneksi 3 – Dokumenti i financimit të NAP-it</w:t>
      </w:r>
    </w:p>
    <w:p w14:paraId="6EDD12D0" w14:textId="77777777" w:rsidR="00396573" w:rsidRPr="007114AF" w:rsidRDefault="00396573" w:rsidP="000914E2">
      <w:pPr>
        <w:pStyle w:val="TEKSTI"/>
        <w:rPr>
          <w:i/>
          <w:spacing w:val="-4"/>
        </w:rPr>
      </w:pPr>
      <w:r w:rsidRPr="007114AF">
        <w:rPr>
          <w:i/>
          <w:spacing w:val="-4"/>
        </w:rPr>
        <w:t>Përmbledhje</w:t>
      </w:r>
    </w:p>
    <w:p w14:paraId="6EDD12D1" w14:textId="60EEA744" w:rsidR="00396573" w:rsidRPr="007114AF" w:rsidRDefault="00396573" w:rsidP="000914E2">
      <w:pPr>
        <w:pStyle w:val="TEKSTI"/>
        <w:rPr>
          <w:spacing w:val="-4"/>
        </w:rPr>
      </w:pPr>
      <w:r w:rsidRPr="007114AF">
        <w:rPr>
          <w:spacing w:val="-4"/>
        </w:rPr>
        <w:t>Dokumenti financiar shoqëron dokumentin e Planit Kombëtar të Përshtatjes (NAP) dhe do t</w:t>
      </w:r>
      <w:r w:rsidR="00D10DAB" w:rsidRPr="007114AF">
        <w:rPr>
          <w:spacing w:val="-4"/>
        </w:rPr>
        <w:t>’</w:t>
      </w:r>
      <w:r w:rsidRPr="007114AF">
        <w:rPr>
          <w:spacing w:val="-4"/>
        </w:rPr>
        <w:t>i paraqiten së bashku për miratim Këshillit të Ministrave.</w:t>
      </w:r>
    </w:p>
    <w:p w14:paraId="6EDD12D2" w14:textId="0DBCCEDB" w:rsidR="00396573" w:rsidRPr="007114AF" w:rsidRDefault="00396573" w:rsidP="000914E2">
      <w:pPr>
        <w:pStyle w:val="TEKSTI"/>
        <w:rPr>
          <w:rFonts w:cs="Arial"/>
          <w:spacing w:val="-4"/>
        </w:rPr>
      </w:pPr>
      <w:r w:rsidRPr="007114AF">
        <w:rPr>
          <w:rFonts w:cs="Arial"/>
          <w:spacing w:val="-4"/>
        </w:rPr>
        <w:t>Dokumenti i NAP-it ka krijuar një kuadër zbatimi, kryesisht përmes përcaktimit të objektivave dhe synimeve</w:t>
      </w:r>
      <w:r w:rsidR="000A2A01" w:rsidRPr="007114AF">
        <w:rPr>
          <w:rFonts w:cs="Arial"/>
          <w:spacing w:val="-4"/>
        </w:rPr>
        <w:t xml:space="preserve"> </w:t>
      </w:r>
      <w:r w:rsidRPr="007114AF">
        <w:rPr>
          <w:rFonts w:cs="Arial"/>
          <w:spacing w:val="-4"/>
        </w:rPr>
        <w:t>gjithëpërfshirëse, si edhe të 15 veprimeve prioritare. Gjithashtu, dokumenti financiar ofron udhëzime në lidhje me mënyrën e financimit të</w:t>
      </w:r>
      <w:r w:rsidR="00FF11ED">
        <w:rPr>
          <w:rFonts w:cs="Arial"/>
          <w:spacing w:val="-4"/>
        </w:rPr>
        <w:t xml:space="preserve"> </w:t>
      </w:r>
      <w:r w:rsidRPr="007114AF">
        <w:rPr>
          <w:rFonts w:cs="Arial"/>
          <w:spacing w:val="-4"/>
        </w:rPr>
        <w:t>këtyre veprimeve të propozuara dhe të veprimit për përshtatjen më gjerësisht ndaj ndryshimeve klimatike. Objektivat e dokumentit janë si më poshtë:</w:t>
      </w:r>
    </w:p>
    <w:p w14:paraId="6EDD12D3" w14:textId="77777777" w:rsidR="00396573" w:rsidRPr="007114AF" w:rsidRDefault="00AC0CE4" w:rsidP="000914E2">
      <w:pPr>
        <w:pStyle w:val="TEKSTI"/>
        <w:rPr>
          <w:rFonts w:cs="Arial"/>
          <w:spacing w:val="-4"/>
        </w:rPr>
      </w:pPr>
      <w:r w:rsidRPr="007114AF">
        <w:rPr>
          <w:rFonts w:cs="Arial"/>
          <w:spacing w:val="-4"/>
        </w:rPr>
        <w:t xml:space="preserve">a) </w:t>
      </w:r>
      <w:r w:rsidR="00396573" w:rsidRPr="007114AF">
        <w:rPr>
          <w:rFonts w:cs="Arial"/>
          <w:spacing w:val="-4"/>
        </w:rPr>
        <w:t xml:space="preserve">ofrimi i udhëzimeve për një proces të suksesshëm të aksesit ndaj financimit të përshtatjes, duke përfshirë edhe identifikimin e pikave të hyrjes; </w:t>
      </w:r>
    </w:p>
    <w:p w14:paraId="6EDD12D4" w14:textId="77777777" w:rsidR="00396573" w:rsidRPr="007114AF" w:rsidRDefault="00AC0CE4" w:rsidP="000914E2">
      <w:pPr>
        <w:pStyle w:val="TEKSTI"/>
        <w:rPr>
          <w:rFonts w:cs="Arial"/>
          <w:spacing w:val="-4"/>
        </w:rPr>
      </w:pPr>
      <w:r w:rsidRPr="007114AF">
        <w:rPr>
          <w:rFonts w:cs="Arial"/>
          <w:spacing w:val="-4"/>
        </w:rPr>
        <w:t xml:space="preserve">b) </w:t>
      </w:r>
      <w:r w:rsidR="00396573" w:rsidRPr="007114AF">
        <w:rPr>
          <w:rFonts w:cs="Arial"/>
          <w:spacing w:val="-4"/>
        </w:rPr>
        <w:t xml:space="preserve">dhënia e një përmbledhjeje të mundësive përkatëse në lidhje me burimet e mundshme kombëtare dhe ndërkombëtare për financimin e përshtatjes; </w:t>
      </w:r>
    </w:p>
    <w:p w14:paraId="6EDD12D5" w14:textId="0FB0D3DF" w:rsidR="00396573" w:rsidRPr="007114AF" w:rsidRDefault="00AC0CE4" w:rsidP="000914E2">
      <w:pPr>
        <w:pStyle w:val="TEKSTI"/>
        <w:rPr>
          <w:rFonts w:cs="Arial"/>
          <w:spacing w:val="-4"/>
        </w:rPr>
      </w:pPr>
      <w:r w:rsidRPr="007114AF">
        <w:rPr>
          <w:rFonts w:cs="Arial"/>
          <w:spacing w:val="-4"/>
        </w:rPr>
        <w:t xml:space="preserve">c) </w:t>
      </w:r>
      <w:r w:rsidR="00396573" w:rsidRPr="007114AF">
        <w:rPr>
          <w:rFonts w:cs="Arial"/>
          <w:spacing w:val="-4"/>
        </w:rPr>
        <w:t xml:space="preserve">Identifikimi dhe dhënia e prioritetit hapave që duhen marrë për të pasur akses ndaj financimit të përshtatjes në vitet e ardhshme dhe inicimi i hartimit të një udhërrëfyesi. </w:t>
      </w:r>
    </w:p>
    <w:p w14:paraId="6EDD12D6" w14:textId="7F3E1389" w:rsidR="00396573" w:rsidRPr="007114AF" w:rsidRDefault="00396573" w:rsidP="000914E2">
      <w:pPr>
        <w:pStyle w:val="TEKSTI"/>
        <w:rPr>
          <w:rFonts w:cs="Arial"/>
          <w:spacing w:val="-4"/>
        </w:rPr>
      </w:pPr>
      <w:r w:rsidRPr="007114AF">
        <w:rPr>
          <w:rFonts w:cs="Arial"/>
          <w:spacing w:val="-4"/>
        </w:rPr>
        <w:t>Mobilizimi i burimeve për përshtatjen ndaj ndryshimeve klimatike (NAP) është një çështje e re jo vetëm për Shqipërinë, por edhe në nivel global. Shumë vende kanë miratuar një proces apo qasje të orientuar në kërkesat dhe rrethanat shoqëruese për sigurimin e fondeve të</w:t>
      </w:r>
      <w:r w:rsidR="000A2A01" w:rsidRPr="007114AF">
        <w:rPr>
          <w:rFonts w:cs="Arial"/>
          <w:spacing w:val="-4"/>
        </w:rPr>
        <w:t xml:space="preserve"> </w:t>
      </w:r>
      <w:r w:rsidRPr="007114AF">
        <w:rPr>
          <w:rFonts w:cs="Arial"/>
          <w:spacing w:val="-4"/>
        </w:rPr>
        <w:t xml:space="preserve">klimës. Shumë shtete kanë miratuar një proces ose qasje të orientuar në kërkesat dhe rrethanat shoqëruese </w:t>
      </w:r>
      <w:r w:rsidRPr="007114AF">
        <w:rPr>
          <w:spacing w:val="-4"/>
        </w:rPr>
        <w:t xml:space="preserve">ndaj financimit të klimës. Në thelb, kjo qasje i referohet një procesi me anë të të cilit, një shtet përcakton, përkufizon dhe mobilizon burimet financiare dhe burimet e tjera të nevojshme për kalimin e tij në një rrugë zhvillimi me emetime të ulëta dhe </w:t>
      </w:r>
      <w:r w:rsidRPr="007114AF">
        <w:rPr>
          <w:rFonts w:cs="Arial"/>
          <w:spacing w:val="-4"/>
        </w:rPr>
        <w:t>me aftësi rimëkëmbëse ndaj ndryshimeve të klimës. Dokumenti financiar propozon ndjekjen e një qasjeje të ngjashme për Shqipërinë. Meqë situata dhe modalitetet e financimit të përshtatjes janë duke u formuar gradualisht dhe duke ndryshuar në mënyrë të vazhdueshme, qasja kërkon përditësime të rregullta dhe të përsëritura.</w:t>
      </w:r>
    </w:p>
    <w:p w14:paraId="6EDD12D7" w14:textId="77777777" w:rsidR="00396573" w:rsidRPr="007114AF" w:rsidRDefault="00396573" w:rsidP="000914E2">
      <w:pPr>
        <w:pStyle w:val="TEKSTI"/>
        <w:rPr>
          <w:spacing w:val="-4"/>
        </w:rPr>
      </w:pPr>
      <w:r w:rsidRPr="007114AF">
        <w:rPr>
          <w:spacing w:val="-4"/>
        </w:rPr>
        <w:t xml:space="preserve">Mobilizimi i burimeve për ndërhyrje të përshtatjes së ndryshimeve klimatike është një proces që kërkon vënien në funksionim të disa elementeve kyç: </w:t>
      </w:r>
    </w:p>
    <w:p w14:paraId="6EDD12D8" w14:textId="5ABAC65B" w:rsidR="00396573" w:rsidRPr="007114AF" w:rsidRDefault="00396573" w:rsidP="000914E2">
      <w:pPr>
        <w:pStyle w:val="TEKSTI"/>
        <w:rPr>
          <w:rFonts w:cs="Arial"/>
          <w:spacing w:val="-4"/>
        </w:rPr>
      </w:pPr>
      <w:r w:rsidRPr="007114AF">
        <w:rPr>
          <w:rFonts w:cs="Arial"/>
          <w:spacing w:val="-4"/>
        </w:rPr>
        <w:t>Elementi 1: Krijimi i procesit – Krijimi i një ekipi kryesor; Elementi 2: Arritja e një mbështetjeje politike të një niveli të lartë; Elementi 3: Metodologjia e vlerësimit për përshtatje – Kuptimi i stimujve financiarë – Komunikimi i përshtatjes në një mënyrë që tërheq</w:t>
      </w:r>
      <w:r w:rsidR="000A2A01" w:rsidRPr="007114AF">
        <w:rPr>
          <w:rFonts w:cs="Arial"/>
          <w:spacing w:val="-4"/>
        </w:rPr>
        <w:t xml:space="preserve"> </w:t>
      </w:r>
      <w:r w:rsidRPr="007114AF">
        <w:rPr>
          <w:rFonts w:cs="Arial"/>
          <w:spacing w:val="-4"/>
        </w:rPr>
        <w:t xml:space="preserve">financuesit dhe investuesit; Elementi 4:Ndërtimi i kapaciteteve në financimet e klimës dhe sigurimin e burimeve financiare për mobilizimin e burimeve dhe identifikimin e burimeve të mundshme të financimit në planin afatshkurtër, afatmesëm dhe afatgjatë. </w:t>
      </w:r>
    </w:p>
    <w:p w14:paraId="6EDD12D9" w14:textId="1451BE28" w:rsidR="00396573" w:rsidRPr="007114AF" w:rsidRDefault="00396573" w:rsidP="000914E2">
      <w:pPr>
        <w:pStyle w:val="TEKSTI"/>
        <w:rPr>
          <w:spacing w:val="-4"/>
        </w:rPr>
      </w:pPr>
      <w:r w:rsidRPr="007114AF">
        <w:rPr>
          <w:spacing w:val="-4"/>
        </w:rPr>
        <w:t xml:space="preserve">Në varësi të tipit dhe kategorisë të masës specifike të planifikuar të përshtatjes, strategjia për identifikimin dhe aksesin në financimin për përshtatjen, si dhe shumat e kërkuara mund të ndryshojnë ndjeshëm. Llogaritjet e kostos përkatëse dhe strategjitë e financimit duhet të marrin parasysh specifikat e kategorive të ndërhyrjeve për përshtatje, për shembull kostoja rritëse e realizimit të mbrojtjes klimatike. Financimi i përshtatjes zakonisht kombinohet me financimin </w:t>
      </w:r>
      <w:r w:rsidR="00D10DAB" w:rsidRPr="007114AF">
        <w:rPr>
          <w:spacing w:val="-4"/>
        </w:rPr>
        <w:t>‘</w:t>
      </w:r>
      <w:r w:rsidRPr="007114AF">
        <w:rPr>
          <w:spacing w:val="-4"/>
        </w:rPr>
        <w:t>bazë</w:t>
      </w:r>
      <w:r w:rsidR="00D10DAB" w:rsidRPr="007114AF">
        <w:rPr>
          <w:spacing w:val="-4"/>
        </w:rPr>
        <w:t>’</w:t>
      </w:r>
      <w:r w:rsidRPr="007114AF">
        <w:rPr>
          <w:spacing w:val="-4"/>
        </w:rPr>
        <w:t xml:space="preserve"> që fokusohet në përfitime më të zgjedhura zhvillimore (ekonomike, sociale, mjedisore). </w:t>
      </w:r>
    </w:p>
    <w:p w14:paraId="6EDD12DA" w14:textId="3F069456" w:rsidR="00396573" w:rsidRPr="007114AF" w:rsidRDefault="00396573" w:rsidP="000914E2">
      <w:pPr>
        <w:pStyle w:val="TEKSTI"/>
        <w:rPr>
          <w:spacing w:val="-4"/>
        </w:rPr>
      </w:pPr>
      <w:r w:rsidRPr="007114AF">
        <w:rPr>
          <w:spacing w:val="-4"/>
        </w:rPr>
        <w:t>Dokumenti shqyrton dy burime dhe kanale për aksesin e financimit për përshtatje: 1) buxhetin kombëtar (PBAM) (MTBP);</w:t>
      </w:r>
      <w:r w:rsidR="000A2A01" w:rsidRPr="007114AF">
        <w:rPr>
          <w:spacing w:val="-4"/>
        </w:rPr>
        <w:t xml:space="preserve"> </w:t>
      </w:r>
      <w:r w:rsidRPr="007114AF">
        <w:rPr>
          <w:spacing w:val="-4"/>
        </w:rPr>
        <w:t xml:space="preserve">2) burimet ndërkombëtare. </w:t>
      </w:r>
    </w:p>
    <w:p w14:paraId="6EDD12DB" w14:textId="77777777" w:rsidR="00396573" w:rsidRPr="007114AF" w:rsidRDefault="00396573" w:rsidP="000914E2">
      <w:pPr>
        <w:pStyle w:val="TEKSTI"/>
        <w:rPr>
          <w:spacing w:val="-4"/>
        </w:rPr>
      </w:pPr>
      <w:r w:rsidRPr="007114AF">
        <w:rPr>
          <w:spacing w:val="-4"/>
        </w:rPr>
        <w:t>Duke pasur parasysh buxhetin kombëtar, duhet të krijohen procese dhe kuadro specifike institucionale, me qëllim integrimin e masave prioritare të NAP-it në procesin e PBAM-it (MTBP). Dokumenti paraqet rekomandime më specifike në këtë drejtim. Çështjet e shqyrtuara janë: a) integrimi i PNK-ut në politikat sektoriale, b) dhënia e prioritetit të masave të propozuara prioritare në PBAM (MTBP) në një qasje me ndarje në faza, c) përpjekje sistematike për ndërtimin/rritjen e kapaciteteve të lidhura me NAP-in (në secilën ministri përkatëse),d) forcimi i koordinimit ndërministror dhe masave institucionale, të tilla si roli dhe mandati i ardhshëm i GNNK-ës (IMWG).</w:t>
      </w:r>
    </w:p>
    <w:p w14:paraId="6EDD12DC" w14:textId="77777777" w:rsidR="00396573" w:rsidRPr="007114AF" w:rsidRDefault="00396573" w:rsidP="000914E2">
      <w:pPr>
        <w:pStyle w:val="TEKSTI"/>
        <w:rPr>
          <w:spacing w:val="-4"/>
        </w:rPr>
      </w:pPr>
      <w:r w:rsidRPr="007114AF">
        <w:rPr>
          <w:spacing w:val="-4"/>
        </w:rPr>
        <w:t xml:space="preserve">Ekzistojnë shumë burime të mundshme ndërkombëtare të fondeve të përshtatjes që ofrojnë një gamë të gjerë modalitetesh financimi. Granti tradicional dhe financimi i huave plotësohet nga qasje për kombinimin e fondeve private dhe publike (për shembull partneritetet publike-private), ndërsa modalitete më inovative (për shembull pagesa për shërbime mjedisore, siguracionet e rrezikut) janë </w:t>
      </w:r>
      <w:r w:rsidRPr="007114AF">
        <w:rPr>
          <w:spacing w:val="-4"/>
        </w:rPr>
        <w:lastRenderedPageBreak/>
        <w:t xml:space="preserve">testuar aktualisht dhe nuk janë ende gati për të ardhmen afatshkurtër. Megjithatë, kombinimi i këtyre modaliteteve ka shumë të ngjarë të avancojë procesin, me synim përshtatjen e financimit në Shqipëri në planin afatmesëm dhe afatgjatë. Dokumenti jep përshkrime të shkurtra të këtyre modaliteteve dhe shembujve nga aplikimet e tyre fillestare dhe testuese në Shqipëri. </w:t>
      </w:r>
    </w:p>
    <w:p w14:paraId="6EDD12DD" w14:textId="492D7A13" w:rsidR="00396573" w:rsidRPr="007114AF" w:rsidRDefault="00396573" w:rsidP="000914E2">
      <w:pPr>
        <w:pStyle w:val="TEKSTI"/>
        <w:rPr>
          <w:spacing w:val="-4"/>
          <w:u w:val="single"/>
        </w:rPr>
      </w:pPr>
      <w:r w:rsidRPr="007114AF">
        <w:rPr>
          <w:spacing w:val="-4"/>
        </w:rPr>
        <w:t>Më tej, dokumenti jep udhëzime për aspekte përkatëse që janë të rëndësishme për t</w:t>
      </w:r>
      <w:r w:rsidR="00D10DAB" w:rsidRPr="007114AF">
        <w:rPr>
          <w:spacing w:val="-4"/>
        </w:rPr>
        <w:t>’</w:t>
      </w:r>
      <w:r w:rsidRPr="007114AF">
        <w:rPr>
          <w:spacing w:val="-4"/>
        </w:rPr>
        <w:t>u shqyrtuar në procesin e identifikimit dhe aplikimit për financim ndërkombëtar të përshtatjes në sektorë të ndryshëm, të tillë si mobilizimi transnacional i burimeve, cilësia e projektpropozimeve dhe aspektet në lidhje me aksesin e drejtpërdrejtë dhe të tërthortë në fondet ndërkombëtare.</w:t>
      </w:r>
    </w:p>
    <w:p w14:paraId="6EDD12DE" w14:textId="54B9000B" w:rsidR="00396573" w:rsidRPr="007114AF" w:rsidRDefault="00396573" w:rsidP="000914E2">
      <w:pPr>
        <w:pStyle w:val="TEKSTI"/>
        <w:rPr>
          <w:spacing w:val="-4"/>
        </w:rPr>
      </w:pPr>
      <w:r w:rsidRPr="007114AF">
        <w:rPr>
          <w:spacing w:val="-4"/>
        </w:rPr>
        <w:t>Gjithashtu, është përgatitur një metodologji që zbaton një qasje me tre komponentë për t</w:t>
      </w:r>
      <w:r w:rsidR="00D10DAB" w:rsidRPr="007114AF">
        <w:rPr>
          <w:spacing w:val="-4"/>
        </w:rPr>
        <w:t>’</w:t>
      </w:r>
      <w:r w:rsidRPr="007114AF">
        <w:rPr>
          <w:spacing w:val="-4"/>
        </w:rPr>
        <w:t>i dhënë prioritet</w:t>
      </w:r>
      <w:r w:rsidR="000A2A01" w:rsidRPr="007114AF">
        <w:rPr>
          <w:spacing w:val="-4"/>
        </w:rPr>
        <w:t xml:space="preserve"> </w:t>
      </w:r>
      <w:r w:rsidRPr="007114AF">
        <w:rPr>
          <w:spacing w:val="-4"/>
        </w:rPr>
        <w:t>donatorëve dhe financuesve të mundshëm të përshtatshëm:</w:t>
      </w:r>
    </w:p>
    <w:p w14:paraId="6EDD12DF" w14:textId="3CC2F63F" w:rsidR="00396573" w:rsidRPr="007114AF" w:rsidRDefault="00AC0CE4" w:rsidP="000914E2">
      <w:pPr>
        <w:pStyle w:val="TEKSTI"/>
        <w:rPr>
          <w:spacing w:val="-4"/>
        </w:rPr>
      </w:pPr>
      <w:r w:rsidRPr="007114AF">
        <w:rPr>
          <w:spacing w:val="-4"/>
        </w:rPr>
        <w:t xml:space="preserve">1. </w:t>
      </w:r>
      <w:r w:rsidR="00396573" w:rsidRPr="007114AF">
        <w:rPr>
          <w:spacing w:val="-4"/>
        </w:rPr>
        <w:t>Verifikimi dhe dhënia e prioritetit</w:t>
      </w:r>
      <w:r w:rsidR="000A2A01" w:rsidRPr="007114AF">
        <w:rPr>
          <w:spacing w:val="-4"/>
        </w:rPr>
        <w:t xml:space="preserve"> </w:t>
      </w:r>
      <w:r w:rsidR="00396573" w:rsidRPr="007114AF">
        <w:rPr>
          <w:spacing w:val="-4"/>
        </w:rPr>
        <w:t xml:space="preserve">donatorëve të jashtëm/burimeve të financimit </w:t>
      </w:r>
    </w:p>
    <w:p w14:paraId="6EDD12E0" w14:textId="77777777" w:rsidR="00396573" w:rsidRPr="007114AF" w:rsidRDefault="00AC0CE4" w:rsidP="000914E2">
      <w:pPr>
        <w:pStyle w:val="TEKSTI"/>
        <w:rPr>
          <w:spacing w:val="-4"/>
        </w:rPr>
      </w:pPr>
      <w:r w:rsidRPr="007114AF">
        <w:rPr>
          <w:spacing w:val="-4"/>
        </w:rPr>
        <w:t xml:space="preserve">2. </w:t>
      </w:r>
      <w:r w:rsidR="00396573" w:rsidRPr="007114AF">
        <w:rPr>
          <w:spacing w:val="-4"/>
        </w:rPr>
        <w:t>Prioritizimi i PA-ve, Veprimeve Prioritare, duke pasur parasysh gatishmërinë për mobilizimin e burimeve në vitet e ardhshme</w:t>
      </w:r>
    </w:p>
    <w:p w14:paraId="6EDD12E1" w14:textId="6E50CBDD" w:rsidR="00396573" w:rsidRPr="007114AF" w:rsidRDefault="00AC0CE4" w:rsidP="000914E2">
      <w:pPr>
        <w:pStyle w:val="TEKSTI"/>
        <w:rPr>
          <w:spacing w:val="-4"/>
        </w:rPr>
      </w:pPr>
      <w:r w:rsidRPr="007114AF">
        <w:rPr>
          <w:spacing w:val="-4"/>
        </w:rPr>
        <w:t xml:space="preserve">3. </w:t>
      </w:r>
      <w:r w:rsidR="00396573" w:rsidRPr="007114AF">
        <w:rPr>
          <w:spacing w:val="-4"/>
        </w:rPr>
        <w:t>Kombinimi i PA-ve, Veprimeve Prioritare</w:t>
      </w:r>
      <w:r w:rsidR="000A2A01" w:rsidRPr="007114AF">
        <w:rPr>
          <w:spacing w:val="-4"/>
        </w:rPr>
        <w:t xml:space="preserve"> </w:t>
      </w:r>
      <w:r w:rsidR="00396573" w:rsidRPr="007114AF">
        <w:rPr>
          <w:spacing w:val="-4"/>
        </w:rPr>
        <w:t>në bazë të donatorëve të huaj /burimet e financimit.</w:t>
      </w:r>
    </w:p>
    <w:p w14:paraId="6EDD12E2" w14:textId="77777777" w:rsidR="00396573" w:rsidRPr="007114AF" w:rsidRDefault="00396573" w:rsidP="000914E2">
      <w:pPr>
        <w:pStyle w:val="TEKSTI"/>
        <w:rPr>
          <w:spacing w:val="-4"/>
        </w:rPr>
      </w:pPr>
      <w:r w:rsidRPr="007114AF">
        <w:rPr>
          <w:spacing w:val="-4"/>
        </w:rPr>
        <w:t xml:space="preserve">Zbatimi i hapit 1 rezultoi në një verifikim të më shumë se 40 burimeve të mundshme financuese dhe ndihmoi për prioritetin e tyre, duke pasur parasysh fushat e ndryshme prioritare të NAP-it. </w:t>
      </w:r>
    </w:p>
    <w:p w14:paraId="6EDD12E3" w14:textId="59438E24" w:rsidR="00396573" w:rsidRPr="007114AF" w:rsidRDefault="00396573" w:rsidP="000914E2">
      <w:pPr>
        <w:pStyle w:val="TEKSTI"/>
        <w:rPr>
          <w:spacing w:val="-4"/>
        </w:rPr>
      </w:pPr>
      <w:r w:rsidRPr="007114AF">
        <w:rPr>
          <w:spacing w:val="-4"/>
        </w:rPr>
        <w:t>Dokumenti mbyllet me paraqitjen e një udhërrëfyesi (shihni f</w:t>
      </w:r>
      <w:r w:rsidR="00FF11ED">
        <w:rPr>
          <w:spacing w:val="-4"/>
        </w:rPr>
        <w:t>.</w:t>
      </w:r>
      <w:r w:rsidRPr="007114AF">
        <w:rPr>
          <w:spacing w:val="-4"/>
        </w:rPr>
        <w:t xml:space="preserve"> 312) që përmbledh hapat dhe masat që kërkohen të vënë në funksionim një mekanizëm efikas, për të identifikuar, aksesuar dhe kanalizuar financimin për masat prioritare të NAP-it, dhe ndërhyrje të tjera të ardhshme të përshtatjes. Fushat e hapave të propozuara janë si më poshtë:</w:t>
      </w:r>
    </w:p>
    <w:p w14:paraId="6EDD12E4" w14:textId="77777777" w:rsidR="00396573" w:rsidRPr="007114AF" w:rsidRDefault="00AC0CE4" w:rsidP="000914E2">
      <w:pPr>
        <w:pStyle w:val="TEKSTI"/>
        <w:rPr>
          <w:spacing w:val="-4"/>
        </w:rPr>
      </w:pPr>
      <w:r w:rsidRPr="007114AF">
        <w:rPr>
          <w:spacing w:val="-4"/>
        </w:rPr>
        <w:t xml:space="preserve">1. </w:t>
      </w:r>
      <w:r w:rsidR="00396573" w:rsidRPr="007114AF">
        <w:rPr>
          <w:spacing w:val="-4"/>
        </w:rPr>
        <w:t>Hapat për integrimin e përshtatjes dhe prioritet e NAP-it në PBAM (MTBP) dhe për forcimin e proceseve dhe kuadrove institucionale të lidhura me përshtatjen;</w:t>
      </w:r>
    </w:p>
    <w:p w14:paraId="6EDD12E5" w14:textId="605F3343" w:rsidR="00396573" w:rsidRPr="007114AF" w:rsidRDefault="00AC0CE4" w:rsidP="000914E2">
      <w:pPr>
        <w:pStyle w:val="TEKSTI"/>
        <w:rPr>
          <w:spacing w:val="-4"/>
        </w:rPr>
      </w:pPr>
      <w:r w:rsidRPr="007114AF">
        <w:rPr>
          <w:spacing w:val="-4"/>
        </w:rPr>
        <w:t xml:space="preserve">2. </w:t>
      </w:r>
      <w:r w:rsidR="00396573" w:rsidRPr="007114AF">
        <w:rPr>
          <w:spacing w:val="-4"/>
        </w:rPr>
        <w:t>Ndërtimi i kapaciteteve në zhvillimin e projekteve, mbrojtja klimatike, planifikimi, programimi, teknikat e llogaritjes së kostos ose analiza për efektivitetin e kostos dhe financimit</w:t>
      </w:r>
      <w:r w:rsidR="00FF11ED">
        <w:rPr>
          <w:spacing w:val="-4"/>
        </w:rPr>
        <w:t xml:space="preserve"> </w:t>
      </w:r>
      <w:r w:rsidR="00396573" w:rsidRPr="007114AF">
        <w:rPr>
          <w:spacing w:val="-4"/>
        </w:rPr>
        <w:t>për klimën;</w:t>
      </w:r>
    </w:p>
    <w:p w14:paraId="6EDD12E6" w14:textId="77777777" w:rsidR="00396573" w:rsidRPr="007114AF" w:rsidRDefault="00AC0CE4" w:rsidP="000914E2">
      <w:pPr>
        <w:pStyle w:val="TEKSTI"/>
        <w:rPr>
          <w:spacing w:val="-4"/>
        </w:rPr>
      </w:pPr>
      <w:r w:rsidRPr="007114AF">
        <w:rPr>
          <w:spacing w:val="-4"/>
        </w:rPr>
        <w:t xml:space="preserve">3. </w:t>
      </w:r>
      <w:r w:rsidR="00396573" w:rsidRPr="007114AF">
        <w:rPr>
          <w:spacing w:val="-4"/>
        </w:rPr>
        <w:t>Hapat për krijimin e sistemit monitorues të zbatimit dhe monitorimin e bazuar në rezultate;</w:t>
      </w:r>
    </w:p>
    <w:p w14:paraId="6EDD12E7" w14:textId="77777777" w:rsidR="00396573" w:rsidRPr="007114AF" w:rsidRDefault="00AC0CE4" w:rsidP="000914E2">
      <w:pPr>
        <w:pStyle w:val="TEKSTI"/>
        <w:rPr>
          <w:spacing w:val="-4"/>
        </w:rPr>
      </w:pPr>
      <w:r w:rsidRPr="007114AF">
        <w:rPr>
          <w:spacing w:val="-4"/>
        </w:rPr>
        <w:t xml:space="preserve">4. </w:t>
      </w:r>
      <w:r w:rsidR="00396573" w:rsidRPr="007114AF">
        <w:rPr>
          <w:spacing w:val="-4"/>
        </w:rPr>
        <w:t>Identifikimi i projekteve dhe përgatitja e propozimeve;</w:t>
      </w:r>
    </w:p>
    <w:p w14:paraId="6EDD12E8" w14:textId="77777777" w:rsidR="00396573" w:rsidRPr="007114AF" w:rsidRDefault="00AC0CE4" w:rsidP="000914E2">
      <w:pPr>
        <w:pStyle w:val="TEKSTI"/>
        <w:rPr>
          <w:spacing w:val="-4"/>
        </w:rPr>
      </w:pPr>
      <w:r w:rsidRPr="007114AF">
        <w:rPr>
          <w:spacing w:val="-4"/>
        </w:rPr>
        <w:t xml:space="preserve">5. </w:t>
      </w:r>
      <w:r w:rsidR="00396573" w:rsidRPr="007114AF">
        <w:rPr>
          <w:spacing w:val="-4"/>
        </w:rPr>
        <w:t>Hapat për krijimin e procesit të mobilizimit të burimeve për financimin e klimës.</w:t>
      </w:r>
    </w:p>
    <w:p w14:paraId="6EDD12E9" w14:textId="77777777" w:rsidR="00396573" w:rsidRPr="007114AF" w:rsidRDefault="00396573" w:rsidP="000914E2">
      <w:pPr>
        <w:pStyle w:val="TEKSTI"/>
        <w:rPr>
          <w:b/>
          <w:i/>
          <w:spacing w:val="-4"/>
        </w:rPr>
      </w:pPr>
      <w:r w:rsidRPr="007114AF">
        <w:rPr>
          <w:b/>
          <w:i/>
          <w:spacing w:val="-4"/>
        </w:rPr>
        <w:t>Hyrje</w:t>
      </w:r>
    </w:p>
    <w:p w14:paraId="6EDD12EA" w14:textId="34F61A64" w:rsidR="00396573" w:rsidRPr="007114AF" w:rsidRDefault="00396573" w:rsidP="000914E2">
      <w:pPr>
        <w:pStyle w:val="TEKSTI"/>
        <w:rPr>
          <w:spacing w:val="-4"/>
        </w:rPr>
      </w:pPr>
      <w:r w:rsidRPr="007114AF">
        <w:rPr>
          <w:spacing w:val="-4"/>
        </w:rPr>
        <w:t>Dokumenti financiar</w:t>
      </w:r>
      <w:r w:rsidR="00FF11ED">
        <w:rPr>
          <w:spacing w:val="-4"/>
        </w:rPr>
        <w:t xml:space="preserve"> </w:t>
      </w:r>
      <w:r w:rsidRPr="007114AF">
        <w:rPr>
          <w:spacing w:val="-4"/>
        </w:rPr>
        <w:t xml:space="preserve">shoqëron dokumentin e Planit Kombëtar të Përshtatjes (NAP) dhe do të paraqiten bashkërisht në Këshillin e Ministrave për miratim. </w:t>
      </w:r>
    </w:p>
    <w:p w14:paraId="6EDD12EB" w14:textId="77777777" w:rsidR="00396573" w:rsidRPr="007114AF" w:rsidRDefault="00396573" w:rsidP="000914E2">
      <w:pPr>
        <w:pStyle w:val="TEKSTI"/>
        <w:rPr>
          <w:rFonts w:cs="Arial"/>
          <w:spacing w:val="-4"/>
        </w:rPr>
      </w:pPr>
      <w:r w:rsidRPr="007114AF">
        <w:rPr>
          <w:rFonts w:cs="Arial"/>
          <w:spacing w:val="-4"/>
        </w:rPr>
        <w:t>Dokumenti i NAP-it ka krijuar një kuadër zbatimi kryesisht nëpërmjet përcaktimit të objektivave dhe qëllimeve gjithëpërfshirëse, si dhe 15 masave prioritare. Përveç kësaj, Dokumenti Financiar jep udhëzime për mënyrën e financimit më gjerësisht të këtyre masave të propozuara dhe veprimeve të përshtatjes për ndryshimet klimatike. Objektivat e dokumentit janë si më poshtë:</w:t>
      </w:r>
    </w:p>
    <w:p w14:paraId="6EDD12EC" w14:textId="6D571D2F" w:rsidR="00396573" w:rsidRPr="007114AF" w:rsidRDefault="00AC0CE4" w:rsidP="000914E2">
      <w:pPr>
        <w:pStyle w:val="TEKSTI"/>
        <w:rPr>
          <w:rFonts w:cs="Arial"/>
          <w:spacing w:val="-4"/>
        </w:rPr>
      </w:pPr>
      <w:r w:rsidRPr="007114AF">
        <w:rPr>
          <w:rFonts w:cs="Arial"/>
          <w:spacing w:val="-4"/>
        </w:rPr>
        <w:t xml:space="preserve">1. </w:t>
      </w:r>
      <w:r w:rsidR="00396573" w:rsidRPr="007114AF">
        <w:rPr>
          <w:rFonts w:cs="Arial"/>
          <w:spacing w:val="-4"/>
        </w:rPr>
        <w:t>Dhënia e udhëzimeve për një proces të suksesshëm për aksesimin e financave</w:t>
      </w:r>
      <w:r w:rsidR="00FF11ED">
        <w:rPr>
          <w:rFonts w:cs="Arial"/>
          <w:spacing w:val="-4"/>
        </w:rPr>
        <w:t xml:space="preserve"> </w:t>
      </w:r>
      <w:r w:rsidR="00396573" w:rsidRPr="007114AF">
        <w:rPr>
          <w:rFonts w:cs="Arial"/>
          <w:spacing w:val="-4"/>
        </w:rPr>
        <w:t>të përshtatjes, duke përfshirë identifikimin e pikave hyrëse</w:t>
      </w:r>
      <w:r w:rsidR="00FF11ED">
        <w:rPr>
          <w:rFonts w:cs="Arial"/>
          <w:spacing w:val="-4"/>
        </w:rPr>
        <w:t xml:space="preserve"> </w:t>
      </w:r>
      <w:r w:rsidR="00396573" w:rsidRPr="007114AF">
        <w:rPr>
          <w:rFonts w:cs="Arial"/>
          <w:spacing w:val="-4"/>
        </w:rPr>
        <w:t>në këto buxhete;</w:t>
      </w:r>
    </w:p>
    <w:p w14:paraId="6EDD12ED" w14:textId="4207813F" w:rsidR="00396573" w:rsidRPr="007114AF" w:rsidRDefault="00AC0CE4" w:rsidP="000914E2">
      <w:pPr>
        <w:pStyle w:val="TEKSTI"/>
        <w:rPr>
          <w:rFonts w:cs="Arial"/>
          <w:spacing w:val="-4"/>
        </w:rPr>
      </w:pPr>
      <w:r w:rsidRPr="007114AF">
        <w:rPr>
          <w:rFonts w:cs="Arial"/>
          <w:spacing w:val="-4"/>
        </w:rPr>
        <w:t xml:space="preserve">2. </w:t>
      </w:r>
      <w:r w:rsidR="00396573" w:rsidRPr="007114AF">
        <w:rPr>
          <w:rFonts w:cs="Arial"/>
          <w:spacing w:val="-4"/>
        </w:rPr>
        <w:t>Dhënia e një përmbledhjeje të mundësive përkatëse në lidhje me burimet e mundshme kombëtare dhe ndërkombëtare për financimin</w:t>
      </w:r>
      <w:r w:rsidR="00FF11ED">
        <w:rPr>
          <w:rFonts w:cs="Arial"/>
          <w:spacing w:val="-4"/>
        </w:rPr>
        <w:t xml:space="preserve"> </w:t>
      </w:r>
      <w:r w:rsidR="00396573" w:rsidRPr="007114AF">
        <w:rPr>
          <w:rFonts w:cs="Arial"/>
          <w:spacing w:val="-4"/>
        </w:rPr>
        <w:t xml:space="preserve">e përshtatjes; </w:t>
      </w:r>
    </w:p>
    <w:p w14:paraId="6EDD12EE" w14:textId="77777777" w:rsidR="00396573" w:rsidRPr="007114AF" w:rsidRDefault="00AC0CE4" w:rsidP="000914E2">
      <w:pPr>
        <w:pStyle w:val="TEKSTI"/>
        <w:rPr>
          <w:rFonts w:cs="Arial"/>
          <w:spacing w:val="-4"/>
        </w:rPr>
      </w:pPr>
      <w:r w:rsidRPr="007114AF">
        <w:rPr>
          <w:rFonts w:cs="Arial"/>
          <w:spacing w:val="-4"/>
        </w:rPr>
        <w:t xml:space="preserve">3. </w:t>
      </w:r>
      <w:r w:rsidR="00396573" w:rsidRPr="007114AF">
        <w:rPr>
          <w:rFonts w:cs="Arial"/>
          <w:spacing w:val="-4"/>
        </w:rPr>
        <w:t>Identifikimi dhe dhënia e prioritetit të hapave që duhet të merren për aksesin në financimin e përshtatjes në vitet e ardhshme dhe fillimin e përgatitjes së një udhërrëfyesi me hapat përkatëse.</w:t>
      </w:r>
    </w:p>
    <w:p w14:paraId="6EDD12EF" w14:textId="63604116" w:rsidR="00396573" w:rsidRPr="007114AF" w:rsidRDefault="00396573" w:rsidP="000914E2">
      <w:pPr>
        <w:pStyle w:val="TEKSTI"/>
        <w:rPr>
          <w:rFonts w:cs="Arial"/>
          <w:spacing w:val="-4"/>
        </w:rPr>
      </w:pPr>
      <w:r w:rsidRPr="007114AF">
        <w:rPr>
          <w:rFonts w:cs="Arial"/>
          <w:spacing w:val="-4"/>
        </w:rPr>
        <w:t>Mobilizimi i burimeve për përshtatjen e ndryshimeve klimatike është një problem i ri jo vetëm për Shqipërinë, por edhe në nivel global. Shumë vende kanë miratuar një</w:t>
      </w:r>
      <w:r w:rsidR="000A2A01" w:rsidRPr="007114AF">
        <w:rPr>
          <w:rFonts w:cs="Arial"/>
          <w:spacing w:val="-4"/>
        </w:rPr>
        <w:t xml:space="preserve"> </w:t>
      </w:r>
      <w:r w:rsidRPr="007114AF">
        <w:rPr>
          <w:rFonts w:cs="Arial"/>
          <w:spacing w:val="-4"/>
        </w:rPr>
        <w:t>qasje të orientuar ndaj procesit ose</w:t>
      </w:r>
      <w:r w:rsidRPr="007114AF">
        <w:rPr>
          <w:spacing w:val="-4"/>
        </w:rPr>
        <w:t xml:space="preserve"> kërkesave dhe rrethanave shoqëruese për financime</w:t>
      </w:r>
      <w:r w:rsidR="00FF11ED">
        <w:rPr>
          <w:spacing w:val="-4"/>
        </w:rPr>
        <w:t xml:space="preserve"> </w:t>
      </w:r>
      <w:r w:rsidRPr="007114AF">
        <w:rPr>
          <w:spacing w:val="-4"/>
        </w:rPr>
        <w:t xml:space="preserve">të klimës. </w:t>
      </w:r>
      <w:r w:rsidRPr="007114AF">
        <w:rPr>
          <w:rFonts w:cs="Arial"/>
          <w:spacing w:val="-4"/>
        </w:rPr>
        <w:t>Në thelb, kjo qasje i referohet procesit me anë të të cilit një vend përcakton, përkufizon dhe mobilizon burime financiare dhe burime të tjera të nevojshme për kalimin e tij në një rrugë zhvillimi me aftësi rimëkëmbëse ndaj klimës dhe emetimeve të ulëta. Dokumenti Financiar propozon miratimin e një qasjeje të ngjashme për Shqipërinë. Meqë situata dhe modalitetet e financimit të përshtatjes janë duke u formuar gradualisht dhe duke ndryshuar në mënyrë të vazhdueshme, qasja kërkon përditësime të rregullta dhe të përsëritura.</w:t>
      </w:r>
    </w:p>
    <w:p w14:paraId="6EDD12F0" w14:textId="77777777" w:rsidR="00396573" w:rsidRPr="007114AF" w:rsidRDefault="00AC0CE4" w:rsidP="00AC0CE4">
      <w:pPr>
        <w:pStyle w:val="TEKSTI"/>
        <w:rPr>
          <w:b/>
        </w:rPr>
      </w:pPr>
      <w:r w:rsidRPr="007114AF">
        <w:rPr>
          <w:b/>
        </w:rPr>
        <w:t xml:space="preserve">- </w:t>
      </w:r>
      <w:r w:rsidR="00396573" w:rsidRPr="007114AF">
        <w:rPr>
          <w:b/>
        </w:rPr>
        <w:t>Parimet e ekonomisë së Përshtatjes dhe financimi</w:t>
      </w:r>
    </w:p>
    <w:p w14:paraId="6EDD12F1" w14:textId="77777777" w:rsidR="00396573" w:rsidRPr="007114AF" w:rsidRDefault="00AC0CE4" w:rsidP="000914E2">
      <w:pPr>
        <w:pStyle w:val="TEKSTI"/>
        <w:rPr>
          <w:rFonts w:cs="Arial"/>
        </w:rPr>
      </w:pPr>
      <w:r w:rsidRPr="007114AF">
        <w:rPr>
          <w:rFonts w:cs="Arial"/>
        </w:rPr>
        <w:lastRenderedPageBreak/>
        <w:t xml:space="preserve">- </w:t>
      </w:r>
      <w:r w:rsidR="00396573" w:rsidRPr="007114AF">
        <w:rPr>
          <w:rFonts w:cs="Arial"/>
        </w:rPr>
        <w:t xml:space="preserve">Për shkak të natyrës së masës specifike të planifikuar për përshtatjen, burimet financiare të kërkuara mund të ndryshojnë ndjeshëm. </w:t>
      </w:r>
    </w:p>
    <w:p w14:paraId="6EDD12F2" w14:textId="77777777" w:rsidR="00286663" w:rsidRPr="007114AF" w:rsidRDefault="000914E2" w:rsidP="00BC1DB5">
      <w:pPr>
        <w:spacing w:after="200"/>
        <w:rPr>
          <w:rFonts w:ascii="Garamond" w:hAnsi="Garamond"/>
          <w:b/>
          <w:bCs/>
          <w:iCs/>
        </w:rPr>
      </w:pPr>
      <w:r w:rsidRPr="007114AF">
        <w:rPr>
          <w:rFonts w:ascii="Garamond" w:hAnsi="Garamond" w:cs="Arial"/>
          <w:noProof/>
          <w:color w:val="FF0000"/>
          <w:lang w:val="en-US" w:eastAsia="en-US"/>
        </w:rPr>
        <w:drawing>
          <wp:inline distT="0" distB="0" distL="0" distR="0" wp14:anchorId="6EDD17CA" wp14:editId="6EDD17CB">
            <wp:extent cx="5753100" cy="2409825"/>
            <wp:effectExtent l="0" t="0" r="0"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5753100" cy="2409825"/>
                    </a:xfrm>
                    <a:prstGeom prst="rect">
                      <a:avLst/>
                    </a:prstGeom>
                    <a:noFill/>
                    <a:ln>
                      <a:noFill/>
                    </a:ln>
                  </pic:spPr>
                </pic:pic>
              </a:graphicData>
            </a:graphic>
          </wp:inline>
        </w:drawing>
      </w:r>
    </w:p>
    <w:p w14:paraId="6EDD12F3" w14:textId="77777777" w:rsidR="000914E2" w:rsidRPr="007114AF" w:rsidRDefault="000914E2" w:rsidP="000914E2">
      <w:pPr>
        <w:pStyle w:val="TEKSTI"/>
        <w:rPr>
          <w:rFonts w:cs="Arial"/>
        </w:rPr>
      </w:pPr>
      <w:r w:rsidRPr="007114AF">
        <w:rPr>
          <w:rFonts w:cs="Arial"/>
        </w:rPr>
        <w:t>Burimi: Përshtatur nga Mc Gray et al. (2007)</w:t>
      </w:r>
    </w:p>
    <w:p w14:paraId="6EDD12F4" w14:textId="77777777" w:rsidR="000914E2" w:rsidRPr="007114AF" w:rsidRDefault="000914E2" w:rsidP="000914E2">
      <w:pPr>
        <w:pStyle w:val="TEKSTI"/>
        <w:rPr>
          <w:rFonts w:cs="Arial"/>
        </w:rPr>
      </w:pPr>
      <w:r w:rsidRPr="007114AF">
        <w:rPr>
          <w:rFonts w:cs="Arial"/>
        </w:rPr>
        <w:t>Figura 1: Tipologjia e masave të përshtatjes – përshtatja si një formë vazhdimësie që trajton faktorët nxitës të cenueshmërisë për përballimin e ndikimeve të ndryshimit të klimës (Burimi: Përshtatur nga McGray 2007 dhe GIZ dhe WRI 2011)</w:t>
      </w:r>
    </w:p>
    <w:p w14:paraId="6EDD12F5" w14:textId="77777777" w:rsidR="000914E2" w:rsidRPr="007114AF" w:rsidRDefault="000914E2" w:rsidP="000914E2">
      <w:pPr>
        <w:pStyle w:val="TEKSTI"/>
        <w:rPr>
          <w:rFonts w:cs="Arial"/>
        </w:rPr>
      </w:pPr>
    </w:p>
    <w:p w14:paraId="6EDD12F6" w14:textId="31D521EF" w:rsidR="000914E2" w:rsidRPr="007114AF" w:rsidRDefault="000914E2" w:rsidP="000914E2">
      <w:pPr>
        <w:pStyle w:val="TEKSTI"/>
        <w:rPr>
          <w:rFonts w:cs="Arial"/>
        </w:rPr>
      </w:pPr>
      <w:r w:rsidRPr="007114AF">
        <w:rPr>
          <w:rFonts w:cs="Arial"/>
        </w:rPr>
        <w:t xml:space="preserve">Siç përcakton figura 1, shumë veprime dhe projekte investimesh nuk fokusohen kryesisht në rezultatet e përshtatjes, por në rezultate të tjera kryesore ekonomike, sociale, mjedisore ose të mirëqenies. Llogaritjet e kostos përkatëse dhe strategjitë financuese duket ta kenë këtë faktor parasysh dhe zakonisht, financimi i përshtatjes kombinohet më mirë me financim tjetër </w:t>
      </w:r>
      <w:r w:rsidR="00D10DAB" w:rsidRPr="007114AF">
        <w:rPr>
          <w:rFonts w:cs="Arial"/>
        </w:rPr>
        <w:t>‘</w:t>
      </w:r>
      <w:r w:rsidRPr="007114AF">
        <w:rPr>
          <w:rFonts w:cs="Arial"/>
        </w:rPr>
        <w:t>bazë</w:t>
      </w:r>
      <w:r w:rsidR="00D10DAB" w:rsidRPr="007114AF">
        <w:rPr>
          <w:rFonts w:cs="Arial"/>
        </w:rPr>
        <w:t>’</w:t>
      </w:r>
      <w:r w:rsidRPr="007114AF">
        <w:rPr>
          <w:rFonts w:cs="Arial"/>
          <w:vertAlign w:val="superscript"/>
        </w:rPr>
        <w:footnoteReference w:id="58"/>
      </w:r>
      <w:r w:rsidRPr="007114AF">
        <w:rPr>
          <w:rFonts w:cs="Arial"/>
        </w:rPr>
        <w:t xml:space="preserve"> që fokusohet në përfitime të tjera ose më të zgjeruara. </w:t>
      </w:r>
    </w:p>
    <w:p w14:paraId="6EDD12F7" w14:textId="53A449D3" w:rsidR="000914E2" w:rsidRPr="007114AF" w:rsidRDefault="000914E2" w:rsidP="000914E2">
      <w:pPr>
        <w:pStyle w:val="TEKSTI"/>
        <w:rPr>
          <w:rFonts w:cs="Arial"/>
        </w:rPr>
      </w:pPr>
      <w:r w:rsidRPr="007114AF">
        <w:rPr>
          <w:rFonts w:cs="Arial"/>
        </w:rPr>
        <w:t xml:space="preserve">Termat </w:t>
      </w:r>
      <w:r w:rsidR="00D10DAB" w:rsidRPr="007114AF">
        <w:rPr>
          <w:rFonts w:cs="Arial"/>
        </w:rPr>
        <w:t>‘</w:t>
      </w:r>
      <w:r w:rsidRPr="007114AF">
        <w:rPr>
          <w:rFonts w:cs="Arial"/>
        </w:rPr>
        <w:t>element shtesë</w:t>
      </w:r>
      <w:r w:rsidR="00D10DAB" w:rsidRPr="007114AF">
        <w:rPr>
          <w:rFonts w:cs="Arial"/>
        </w:rPr>
        <w:t>’</w:t>
      </w:r>
      <w:r w:rsidRPr="007114AF">
        <w:rPr>
          <w:rFonts w:cs="Arial"/>
        </w:rPr>
        <w:t xml:space="preserve"> dhe </w:t>
      </w:r>
      <w:r w:rsidR="00D10DAB" w:rsidRPr="007114AF">
        <w:rPr>
          <w:rFonts w:cs="Arial"/>
        </w:rPr>
        <w:t>‘</w:t>
      </w:r>
      <w:r w:rsidRPr="007114AF">
        <w:rPr>
          <w:rFonts w:cs="Arial"/>
        </w:rPr>
        <w:t>element rritës</w:t>
      </w:r>
      <w:r w:rsidR="00D10DAB" w:rsidRPr="007114AF">
        <w:rPr>
          <w:rFonts w:cs="Arial"/>
        </w:rPr>
        <w:t>’</w:t>
      </w:r>
      <w:r w:rsidRPr="007114AF">
        <w:rPr>
          <w:rFonts w:cs="Arial"/>
        </w:rPr>
        <w:t xml:space="preserve"> përdoren nga instrumente të financimit të klimës, të tilla si: Shërbimi Mjedisor Global (SHMG) (GEF), Fondi i Vendeve më Pak të Zhvilluara (FVPZH) (LDCF), Fondi i Përshtatjes (FP) (AF) për t</w:t>
      </w:r>
      <w:r w:rsidR="00D10DAB" w:rsidRPr="007114AF">
        <w:rPr>
          <w:rFonts w:cs="Arial"/>
        </w:rPr>
        <w:t>’</w:t>
      </w:r>
      <w:r w:rsidRPr="007114AF">
        <w:rPr>
          <w:rFonts w:cs="Arial"/>
        </w:rPr>
        <w:t xml:space="preserve">iu referuar një devijimi nga projektet </w:t>
      </w:r>
      <w:r w:rsidR="00D10DAB" w:rsidRPr="007114AF">
        <w:rPr>
          <w:rFonts w:cs="Arial"/>
        </w:rPr>
        <w:t>‘</w:t>
      </w:r>
      <w:r w:rsidRPr="007114AF">
        <w:rPr>
          <w:rFonts w:cs="Arial"/>
        </w:rPr>
        <w:t>bazë</w:t>
      </w:r>
      <w:r w:rsidR="00D10DAB" w:rsidRPr="007114AF">
        <w:rPr>
          <w:rFonts w:cs="Arial"/>
        </w:rPr>
        <w:t>’</w:t>
      </w:r>
      <w:r w:rsidRPr="007114AF">
        <w:rPr>
          <w:rFonts w:cs="Arial"/>
        </w:rPr>
        <w:t xml:space="preserve">. Ky koncept shpesh përdoret si një kriter pranueshmërie ose verifikimi nga fondet e përshtatjes, pra vetëm fondet rritëse sigurohen, nëse financimi bazë ofrohet nëpërmjet një donatori tjetër. Gjithashtu, projektpropozimi duhet të tregojë se komponenti </w:t>
      </w:r>
      <w:r w:rsidR="00D10DAB" w:rsidRPr="007114AF">
        <w:rPr>
          <w:rFonts w:cs="Arial"/>
        </w:rPr>
        <w:t>‘</w:t>
      </w:r>
      <w:r w:rsidRPr="007114AF">
        <w:rPr>
          <w:rFonts w:cs="Arial"/>
        </w:rPr>
        <w:t>përshtatës</w:t>
      </w:r>
      <w:r w:rsidR="00D10DAB" w:rsidRPr="007114AF">
        <w:rPr>
          <w:rFonts w:cs="Arial"/>
        </w:rPr>
        <w:t>’</w:t>
      </w:r>
      <w:r w:rsidRPr="007114AF">
        <w:rPr>
          <w:rFonts w:cs="Arial"/>
        </w:rPr>
        <w:t xml:space="preserve"> është thelbësor për suksesin e projektit. </w:t>
      </w:r>
    </w:p>
    <w:p w14:paraId="6EDD12F8" w14:textId="77777777" w:rsidR="000914E2" w:rsidRPr="007114AF" w:rsidRDefault="000914E2" w:rsidP="000914E2">
      <w:pPr>
        <w:pStyle w:val="TEKSTI"/>
        <w:rPr>
          <w:rFonts w:cs="Arial"/>
        </w:rPr>
      </w:pPr>
      <w:r w:rsidRPr="007114AF">
        <w:rPr>
          <w:rFonts w:cs="Arial"/>
        </w:rPr>
        <w:t>Përveç kësaj, shumë strategji përshtatjeje kryejnë dallimin midis tri kategorive të veprimeve:</w:t>
      </w:r>
    </w:p>
    <w:p w14:paraId="6EDD12F9" w14:textId="77777777" w:rsidR="000914E2" w:rsidRPr="007114AF" w:rsidRDefault="000914E2" w:rsidP="000914E2">
      <w:pPr>
        <w:pStyle w:val="TEKSTI"/>
        <w:rPr>
          <w:rFonts w:cs="Arial"/>
        </w:rPr>
      </w:pPr>
      <w:r w:rsidRPr="007114AF">
        <w:rPr>
          <w:rFonts w:cs="Arial"/>
        </w:rPr>
        <w:t>Kategoria 1: Stimulimi/përmirësimi i masave ekzistuese dhe të planifikuara</w:t>
      </w:r>
    </w:p>
    <w:p w14:paraId="6EDD12FA" w14:textId="77777777" w:rsidR="000914E2" w:rsidRPr="007114AF" w:rsidRDefault="000914E2" w:rsidP="000914E2">
      <w:pPr>
        <w:pStyle w:val="TEKSTI"/>
        <w:rPr>
          <w:rFonts w:cs="Arial"/>
        </w:rPr>
      </w:pPr>
      <w:r w:rsidRPr="007114AF">
        <w:rPr>
          <w:rFonts w:cs="Arial"/>
        </w:rPr>
        <w:t xml:space="preserve">Kategoria 2: Ndryshimi i masave ekzistuese nëpërmjet mbrojtjes klimatike </w:t>
      </w:r>
    </w:p>
    <w:p w14:paraId="6EDD12FB" w14:textId="77777777" w:rsidR="000914E2" w:rsidRPr="007114AF" w:rsidRDefault="000914E2" w:rsidP="000914E2">
      <w:pPr>
        <w:pStyle w:val="TEKSTI"/>
        <w:rPr>
          <w:rFonts w:cs="Arial"/>
        </w:rPr>
      </w:pPr>
      <w:r w:rsidRPr="007114AF">
        <w:rPr>
          <w:rFonts w:cs="Arial"/>
        </w:rPr>
        <w:t>Kategoria 3: Masat e reja të dedikuara për ndryshimin e klimës.</w:t>
      </w:r>
    </w:p>
    <w:p w14:paraId="6EDD12FC" w14:textId="54F202BF" w:rsidR="000914E2" w:rsidRPr="007114AF" w:rsidRDefault="000914E2" w:rsidP="000914E2">
      <w:pPr>
        <w:pStyle w:val="TEKSTI"/>
        <w:rPr>
          <w:rFonts w:cs="Arial"/>
        </w:rPr>
      </w:pPr>
      <w:r w:rsidRPr="007114AF">
        <w:rPr>
          <w:rFonts w:cs="Arial"/>
        </w:rPr>
        <w:t>Gjithashtu, Komunikimi i Tretë Kombëtare e Shqipërisë identifikon kategori, të tilla si masa të buta të gjelbra (p.sh.</w:t>
      </w:r>
      <w:r w:rsidR="00FF11ED">
        <w:rPr>
          <w:rFonts w:cs="Arial"/>
        </w:rPr>
        <w:t xml:space="preserve"> </w:t>
      </w:r>
      <w:r w:rsidRPr="007114AF">
        <w:rPr>
          <w:rFonts w:cs="Arial"/>
        </w:rPr>
        <w:t xml:space="preserve">përshtatja e bazuar në ekosistem), masa gri/gjysmë të forta (pra, ndërhyrje inxhinierike) dhe masa fiskale për përshtatje. </w:t>
      </w:r>
    </w:p>
    <w:p w14:paraId="6EDD12FD" w14:textId="77777777" w:rsidR="000914E2" w:rsidRPr="007114AF" w:rsidRDefault="000914E2" w:rsidP="000914E2">
      <w:pPr>
        <w:pStyle w:val="TEKSTI"/>
        <w:rPr>
          <w:rFonts w:cs="Arial"/>
          <w:spacing w:val="-4"/>
        </w:rPr>
      </w:pPr>
      <w:r w:rsidRPr="007114AF">
        <w:rPr>
          <w:rFonts w:cs="Arial"/>
          <w:spacing w:val="-4"/>
        </w:rPr>
        <w:t>Për qëllime të mobilizimit të burimeve financiare, elementi shtesë i lidhur me përshtatjen dhe tipi i përshtatjes përkatëse ose kategoria e një mase specifike të planifikuar do të përcaktojnë llojin e financimit të kërkuar dhe qasjen përkatëse për mobilizimin e këtyre burimeve. Çështjet në vijim duhet të trajtohen si pjesë e një qasjeje të tillë:</w:t>
      </w:r>
    </w:p>
    <w:p w14:paraId="6EDD12FE" w14:textId="77777777" w:rsidR="000914E2" w:rsidRPr="007114AF" w:rsidRDefault="00AC0CE4" w:rsidP="000914E2">
      <w:pPr>
        <w:pStyle w:val="TEKSTI"/>
        <w:rPr>
          <w:rFonts w:cs="Arial"/>
          <w:spacing w:val="-4"/>
        </w:rPr>
      </w:pPr>
      <w:r w:rsidRPr="007114AF">
        <w:rPr>
          <w:rFonts w:cs="Arial"/>
          <w:spacing w:val="-4"/>
        </w:rPr>
        <w:t xml:space="preserve">- </w:t>
      </w:r>
      <w:r w:rsidR="000914E2" w:rsidRPr="007114AF">
        <w:rPr>
          <w:rFonts w:cs="Arial"/>
          <w:spacing w:val="-4"/>
        </w:rPr>
        <w:t xml:space="preserve">A do të duhet që fondet që do të mblidhen të mbulojnë shpenzimet e plota të ndërhyrjes së planifikuar apo vetëm disa pjesë të saj? </w:t>
      </w:r>
    </w:p>
    <w:p w14:paraId="6EDD12FF" w14:textId="2DF68891" w:rsidR="000914E2" w:rsidRPr="007114AF" w:rsidRDefault="00AC0CE4" w:rsidP="000914E2">
      <w:pPr>
        <w:pStyle w:val="TEKSTI"/>
        <w:rPr>
          <w:rFonts w:cs="Arial"/>
          <w:spacing w:val="-4"/>
        </w:rPr>
      </w:pPr>
      <w:r w:rsidRPr="007114AF">
        <w:rPr>
          <w:rFonts w:cs="Arial"/>
          <w:spacing w:val="-4"/>
        </w:rPr>
        <w:lastRenderedPageBreak/>
        <w:t xml:space="preserve">- </w:t>
      </w:r>
      <w:r w:rsidR="000914E2" w:rsidRPr="007114AF">
        <w:rPr>
          <w:rFonts w:cs="Arial"/>
          <w:spacing w:val="-4"/>
        </w:rPr>
        <w:t>Cili kombinim i investimeve ose fondeve/investuesve është i përshtatshëm për projektin bazë dhe përpjekjen e përshtatjes shtesë?</w:t>
      </w:r>
      <w:r w:rsidR="000A2A01" w:rsidRPr="007114AF">
        <w:rPr>
          <w:rFonts w:cs="Arial"/>
          <w:spacing w:val="-4"/>
        </w:rPr>
        <w:t xml:space="preserve"> </w:t>
      </w:r>
    </w:p>
    <w:p w14:paraId="6EDD1300" w14:textId="49F59629" w:rsidR="000914E2" w:rsidRPr="007114AF" w:rsidRDefault="00AC0CE4" w:rsidP="000914E2">
      <w:pPr>
        <w:pStyle w:val="TEKSTI"/>
        <w:rPr>
          <w:rFonts w:cs="Arial"/>
          <w:spacing w:val="-4"/>
        </w:rPr>
      </w:pPr>
      <w:r w:rsidRPr="007114AF">
        <w:rPr>
          <w:rFonts w:cs="Arial"/>
          <w:spacing w:val="-4"/>
        </w:rPr>
        <w:t xml:space="preserve">- </w:t>
      </w:r>
      <w:r w:rsidR="000914E2" w:rsidRPr="007114AF">
        <w:rPr>
          <w:rFonts w:cs="Arial"/>
          <w:spacing w:val="-4"/>
        </w:rPr>
        <w:t xml:space="preserve">A ka qasje, projekte dhe teknologji ekzistuese që mund të përdoren për kanalizimin e financimit të </w:t>
      </w:r>
      <w:r w:rsidR="00D10DAB" w:rsidRPr="007114AF">
        <w:rPr>
          <w:rFonts w:cs="Arial"/>
          <w:spacing w:val="-4"/>
        </w:rPr>
        <w:t>‘</w:t>
      </w:r>
      <w:r w:rsidR="000914E2" w:rsidRPr="007114AF">
        <w:rPr>
          <w:rFonts w:cs="Arial"/>
          <w:spacing w:val="-4"/>
        </w:rPr>
        <w:t>ri</w:t>
      </w:r>
      <w:r w:rsidR="00D10DAB" w:rsidRPr="007114AF">
        <w:rPr>
          <w:rFonts w:cs="Arial"/>
          <w:spacing w:val="-4"/>
        </w:rPr>
        <w:t>’</w:t>
      </w:r>
      <w:r w:rsidR="000914E2" w:rsidRPr="007114AF">
        <w:rPr>
          <w:rFonts w:cs="Arial"/>
          <w:spacing w:val="-4"/>
        </w:rPr>
        <w:t xml:space="preserve"> të përshtatjes? Si mund të identifikohen ato më mirë? </w:t>
      </w:r>
    </w:p>
    <w:p w14:paraId="6EDD1301" w14:textId="4AB3207C" w:rsidR="000914E2" w:rsidRPr="007114AF" w:rsidRDefault="00AC0CE4" w:rsidP="000914E2">
      <w:pPr>
        <w:pStyle w:val="TEKSTI"/>
        <w:rPr>
          <w:rFonts w:cs="Arial"/>
          <w:spacing w:val="-4"/>
        </w:rPr>
      </w:pPr>
      <w:r w:rsidRPr="007114AF">
        <w:rPr>
          <w:rFonts w:cs="Arial"/>
          <w:spacing w:val="-4"/>
        </w:rPr>
        <w:t xml:space="preserve">- </w:t>
      </w:r>
      <w:r w:rsidR="000914E2" w:rsidRPr="007114AF">
        <w:rPr>
          <w:rFonts w:cs="Arial"/>
          <w:spacing w:val="-4"/>
        </w:rPr>
        <w:t>A mund të mbështetet/zgjerohet sektori publik në përshtatjen e pavarur ekzistuese nga qytetarët/grupet e qytetarëve, sektori privat, OJF-ët etj</w:t>
      </w:r>
      <w:r w:rsidR="00FF11ED">
        <w:rPr>
          <w:rFonts w:cs="Arial"/>
          <w:spacing w:val="-4"/>
        </w:rPr>
        <w:t>.</w:t>
      </w:r>
      <w:r w:rsidR="000914E2" w:rsidRPr="007114AF">
        <w:rPr>
          <w:rFonts w:cs="Arial"/>
          <w:spacing w:val="-4"/>
        </w:rPr>
        <w:t xml:space="preserve">? </w:t>
      </w:r>
    </w:p>
    <w:p w14:paraId="6EDD1302" w14:textId="77777777" w:rsidR="000914E2" w:rsidRPr="007114AF" w:rsidRDefault="000914E2" w:rsidP="000914E2">
      <w:pPr>
        <w:pStyle w:val="TEKSTI"/>
        <w:rPr>
          <w:rFonts w:cs="Arial"/>
          <w:spacing w:val="-4"/>
          <w:u w:val="single"/>
        </w:rPr>
      </w:pPr>
      <w:r w:rsidRPr="007114AF">
        <w:rPr>
          <w:rFonts w:cs="Arial"/>
          <w:spacing w:val="-4"/>
          <w:u w:val="single"/>
        </w:rPr>
        <w:t xml:space="preserve">Efektiviteti i përshtatjes nuk është gjithmonë proporcional me shumën e financimit ose investimin e përshtatjes </w:t>
      </w:r>
    </w:p>
    <w:p w14:paraId="6EDD1303" w14:textId="77777777" w:rsidR="000914E2" w:rsidRPr="007114AF" w:rsidRDefault="000914E2" w:rsidP="000914E2">
      <w:pPr>
        <w:pStyle w:val="TEKSTI"/>
        <w:rPr>
          <w:rFonts w:cs="Arial"/>
          <w:spacing w:val="-4"/>
        </w:rPr>
      </w:pPr>
      <w:r w:rsidRPr="007114AF">
        <w:rPr>
          <w:rFonts w:cs="Arial"/>
          <w:spacing w:val="-4"/>
        </w:rPr>
        <w:t xml:space="preserve">Përshtatja përkufizohet si një përshtatje ndaj stimujve klimatikë, pra kushtet klimatike dhe fenomeneve rrjedhuese të motit. Pra, efektiviteti i përshtatjes varet nga cilësia e vlerësimit të ndikimit të ndryshimit të klimës, si dhe nga shkalla dhe përshtatshmëria e procesit për marrjen parasysh të rezultateve të vlerësimit përkatës gjatë planifikimit dhe projektimit të një përpjekjeje për përshtatje. </w:t>
      </w:r>
    </w:p>
    <w:p w14:paraId="6EDD1304" w14:textId="1DC23C91" w:rsidR="000914E2" w:rsidRPr="007114AF" w:rsidRDefault="000914E2" w:rsidP="000914E2">
      <w:pPr>
        <w:pStyle w:val="TEKSTI"/>
        <w:rPr>
          <w:rFonts w:cs="Arial"/>
          <w:spacing w:val="-4"/>
        </w:rPr>
      </w:pPr>
      <w:r w:rsidRPr="007114AF">
        <w:rPr>
          <w:rFonts w:cs="Arial"/>
          <w:spacing w:val="-4"/>
        </w:rPr>
        <w:t xml:space="preserve">Çfarë do të thotë kjo për financimin e këtyre përpjekjeve? Për përgjigje ndaj ndryshimeve të klimës, </w:t>
      </w:r>
      <w:r w:rsidR="00D10DAB" w:rsidRPr="007114AF">
        <w:rPr>
          <w:rFonts w:cs="Arial"/>
          <w:spacing w:val="-4"/>
        </w:rPr>
        <w:t>‘</w:t>
      </w:r>
      <w:r w:rsidRPr="007114AF">
        <w:rPr>
          <w:rFonts w:cs="Arial"/>
          <w:spacing w:val="-4"/>
        </w:rPr>
        <w:t>vendi</w:t>
      </w:r>
      <w:r w:rsidR="00D10DAB" w:rsidRPr="007114AF">
        <w:rPr>
          <w:rFonts w:cs="Arial"/>
          <w:spacing w:val="-4"/>
        </w:rPr>
        <w:t>’</w:t>
      </w:r>
      <w:r w:rsidRPr="007114AF">
        <w:rPr>
          <w:rFonts w:cs="Arial"/>
          <w:spacing w:val="-4"/>
        </w:rPr>
        <w:t xml:space="preserve"> dhe </w:t>
      </w:r>
      <w:r w:rsidR="00D10DAB" w:rsidRPr="007114AF">
        <w:rPr>
          <w:rFonts w:cs="Arial"/>
          <w:spacing w:val="-4"/>
        </w:rPr>
        <w:t>‘</w:t>
      </w:r>
      <w:r w:rsidRPr="007114AF">
        <w:rPr>
          <w:rFonts w:cs="Arial"/>
          <w:spacing w:val="-4"/>
        </w:rPr>
        <w:t>mënyra</w:t>
      </w:r>
      <w:r w:rsidR="00D10DAB" w:rsidRPr="007114AF">
        <w:rPr>
          <w:rFonts w:cs="Arial"/>
          <w:spacing w:val="-4"/>
        </w:rPr>
        <w:t>’</w:t>
      </w:r>
      <w:r w:rsidRPr="007114AF">
        <w:rPr>
          <w:rFonts w:cs="Arial"/>
          <w:spacing w:val="-4"/>
        </w:rPr>
        <w:t xml:space="preserve"> e aplikimit të një mase shpesh përcakton, nëse një projekt përshtatjeje është i rëndësishëm dhe i përshtatshëm apo jo. Në veçanti, në një mjedis ku fondet janë përgjithësisht të kufizuara dhe aksesi tek fondet është tepër konkurrues, mënyra më e mirë për gjenerimin e një ndikimi më të gjerë është rritja e efektivitetit (pra, arritja e rezultatit duke vepruar siç duhet). Efektiviteti i të njëjtit aktivitet/projekt përshtatjeje mund të rritet ndjeshëm, nëse kryhet </w:t>
      </w:r>
      <w:r w:rsidR="00D10DAB" w:rsidRPr="007114AF">
        <w:rPr>
          <w:rFonts w:cs="Arial"/>
          <w:spacing w:val="-4"/>
        </w:rPr>
        <w:t>‘</w:t>
      </w:r>
      <w:r w:rsidRPr="007114AF">
        <w:rPr>
          <w:rFonts w:cs="Arial"/>
          <w:spacing w:val="-4"/>
        </w:rPr>
        <w:t>në kohën e duhur</w:t>
      </w:r>
      <w:r w:rsidR="00D10DAB" w:rsidRPr="007114AF">
        <w:rPr>
          <w:rFonts w:cs="Arial"/>
          <w:spacing w:val="-4"/>
        </w:rPr>
        <w:t>’</w:t>
      </w:r>
      <w:r w:rsidRPr="007114AF">
        <w:rPr>
          <w:rFonts w:cs="Arial"/>
          <w:spacing w:val="-4"/>
        </w:rPr>
        <w:t xml:space="preserve"> dhe në </w:t>
      </w:r>
      <w:r w:rsidR="00D10DAB" w:rsidRPr="007114AF">
        <w:rPr>
          <w:rFonts w:cs="Arial"/>
          <w:spacing w:val="-4"/>
        </w:rPr>
        <w:t>‘</w:t>
      </w:r>
      <w:r w:rsidRPr="007114AF">
        <w:rPr>
          <w:rFonts w:cs="Arial"/>
          <w:spacing w:val="-4"/>
        </w:rPr>
        <w:t>vendin e duhur.</w:t>
      </w:r>
      <w:r w:rsidR="00D10DAB" w:rsidRPr="007114AF">
        <w:rPr>
          <w:rFonts w:cs="Arial"/>
          <w:spacing w:val="-4"/>
        </w:rPr>
        <w:t>’</w:t>
      </w:r>
    </w:p>
    <w:p w14:paraId="6EDD1305" w14:textId="5965CD88" w:rsidR="000914E2" w:rsidRPr="007114AF" w:rsidRDefault="000914E2" w:rsidP="000914E2">
      <w:pPr>
        <w:pStyle w:val="TEKSTI"/>
        <w:rPr>
          <w:rFonts w:cs="Arial"/>
          <w:spacing w:val="-4"/>
        </w:rPr>
      </w:pPr>
      <w:r w:rsidRPr="007114AF">
        <w:rPr>
          <w:rFonts w:cs="Arial"/>
          <w:spacing w:val="-4"/>
        </w:rPr>
        <w:t>Në mungesë të të dhënave të besueshme të ndikimeve të klimës, varfëria është treguesi më i mirë përfaqësues për cenueshmërinë/vulnerabilitetin. Kjo ka rezultuar nga një numër i madh studimesh</w:t>
      </w:r>
      <w:r w:rsidRPr="007114AF">
        <w:rPr>
          <w:rFonts w:cs="Arial"/>
          <w:spacing w:val="-4"/>
          <w:vertAlign w:val="superscript"/>
        </w:rPr>
        <w:footnoteReference w:id="59"/>
      </w:r>
      <w:r w:rsidRPr="007114AF">
        <w:rPr>
          <w:rFonts w:cs="Arial"/>
          <w:spacing w:val="-4"/>
        </w:rPr>
        <w:t>. Në këtë drejtim duhet t</w:t>
      </w:r>
      <w:r w:rsidR="00D10DAB" w:rsidRPr="007114AF">
        <w:rPr>
          <w:rFonts w:cs="Arial"/>
          <w:spacing w:val="-4"/>
        </w:rPr>
        <w:t>’</w:t>
      </w:r>
      <w:r w:rsidRPr="007114AF">
        <w:rPr>
          <w:rFonts w:cs="Arial"/>
          <w:spacing w:val="-4"/>
        </w:rPr>
        <w:t>i kushtohet më shumë vëmendje çështjes së shenjëstrimit dhe përzgjedhjes së përfituesve. Të varfrit janë shpesh ata që vuajnë më shumë nga ndikimet e ndryshimeve klimatike dhe si rrjedhojë, duhet t</w:t>
      </w:r>
      <w:r w:rsidR="00D10DAB" w:rsidRPr="007114AF">
        <w:rPr>
          <w:rFonts w:cs="Arial"/>
          <w:spacing w:val="-4"/>
        </w:rPr>
        <w:t>’</w:t>
      </w:r>
      <w:r w:rsidRPr="007114AF">
        <w:rPr>
          <w:rFonts w:cs="Arial"/>
          <w:spacing w:val="-4"/>
        </w:rPr>
        <w:t xml:space="preserve">u jepet prioritet gjatë përzgjedhjes së aktiviteteve dhe vendndodhjeve të projektit, vetëm nëse nuk ka të dhëna se faktorë të ndryshëm nga ata ekonomikë do të përcaktonin vulnerabilitetin në një zonë specifike. </w:t>
      </w:r>
    </w:p>
    <w:p w14:paraId="6EDD1306" w14:textId="0DA47F7F" w:rsidR="000914E2" w:rsidRPr="007114AF" w:rsidRDefault="000914E2" w:rsidP="000914E2">
      <w:pPr>
        <w:pStyle w:val="TEKSTI"/>
        <w:rPr>
          <w:rFonts w:cs="Arial"/>
          <w:spacing w:val="-4"/>
        </w:rPr>
      </w:pPr>
      <w:r w:rsidRPr="007114AF">
        <w:rPr>
          <w:rFonts w:cs="Arial"/>
          <w:spacing w:val="-4"/>
        </w:rPr>
        <w:t>Duke pasur parasysh rezultatet e PNNK-ut (IPCC) AR5</w:t>
      </w:r>
      <w:r w:rsidRPr="007114AF">
        <w:rPr>
          <w:rFonts w:cs="Arial"/>
          <w:spacing w:val="-4"/>
          <w:vertAlign w:val="superscript"/>
        </w:rPr>
        <w:footnoteReference w:id="60"/>
      </w:r>
      <w:r w:rsidRPr="007114AF">
        <w:rPr>
          <w:rFonts w:cs="Arial"/>
          <w:spacing w:val="-4"/>
        </w:rPr>
        <w:t>, është gjithashtu thelbësore që të theksohet dhe rëndësia politike si pjesë integrale e një mase efektive të përshtatjes. Ndryshimet Klimatike (CC) nuk duhet të transmetohen vetëm si një çështje teknike, por, siç u përmend më lart, është e rëndësishme të thuhet që përshtatja nuk është element shtesë dhe nuk varion shumë nga një</w:t>
      </w:r>
      <w:r w:rsidR="000A2A01" w:rsidRPr="007114AF">
        <w:rPr>
          <w:rFonts w:cs="Arial"/>
          <w:spacing w:val="-4"/>
        </w:rPr>
        <w:t xml:space="preserve"> </w:t>
      </w:r>
      <w:r w:rsidRPr="007114AF">
        <w:rPr>
          <w:rFonts w:cs="Arial"/>
          <w:spacing w:val="-4"/>
        </w:rPr>
        <w:t xml:space="preserve">projekt i zakonshëm. Ndonjëherë, një ndryshim i vogël i një aktiviteti të </w:t>
      </w:r>
      <w:r w:rsidR="00D10DAB" w:rsidRPr="007114AF">
        <w:rPr>
          <w:rFonts w:cs="Arial"/>
          <w:spacing w:val="-4"/>
        </w:rPr>
        <w:t>‘</w:t>
      </w:r>
      <w:r w:rsidRPr="007114AF">
        <w:rPr>
          <w:rFonts w:cs="Arial"/>
          <w:spacing w:val="-4"/>
        </w:rPr>
        <w:t>rregullt</w:t>
      </w:r>
      <w:r w:rsidR="00D10DAB" w:rsidRPr="007114AF">
        <w:rPr>
          <w:rFonts w:cs="Arial"/>
          <w:spacing w:val="-4"/>
        </w:rPr>
        <w:t>’</w:t>
      </w:r>
      <w:r w:rsidRPr="007114AF">
        <w:rPr>
          <w:rFonts w:cs="Arial"/>
          <w:spacing w:val="-4"/>
        </w:rPr>
        <w:t xml:space="preserve"> është i mjaftueshëm për mbrojtjen e tyre klimatike ose për t</w:t>
      </w:r>
      <w:r w:rsidR="00D10DAB" w:rsidRPr="007114AF">
        <w:rPr>
          <w:rFonts w:cs="Arial"/>
          <w:spacing w:val="-4"/>
        </w:rPr>
        <w:t>’</w:t>
      </w:r>
      <w:r w:rsidRPr="007114AF">
        <w:rPr>
          <w:rFonts w:cs="Arial"/>
          <w:spacing w:val="-4"/>
        </w:rPr>
        <w:t xml:space="preserve">iu përshtatur ndaj ndryshimeve klimatike. </w:t>
      </w:r>
    </w:p>
    <w:p w14:paraId="6EDD1307" w14:textId="5C7930C2" w:rsidR="000914E2" w:rsidRPr="007114AF" w:rsidRDefault="000914E2" w:rsidP="00BC439D">
      <w:pPr>
        <w:pStyle w:val="TEKSTI"/>
        <w:rPr>
          <w:rFonts w:cs="Arial"/>
          <w:spacing w:val="-4"/>
        </w:rPr>
      </w:pPr>
      <w:r w:rsidRPr="007114AF">
        <w:rPr>
          <w:rFonts w:cs="Arial"/>
          <w:spacing w:val="-4"/>
        </w:rPr>
        <w:t xml:space="preserve">Kjo do të thotë, për mobilizimin e burimeve të procesit të NAP-it, përveç dhënies së prioritetit të masave të caktuara në NAP, është i nevojshëm një shtjellim më i hollësishëm i aspekteve, të tilla si </w:t>
      </w:r>
      <w:r w:rsidR="000A2A01" w:rsidRPr="007114AF">
        <w:rPr>
          <w:rFonts w:cs="Arial"/>
          <w:spacing w:val="-4"/>
        </w:rPr>
        <w:t>“</w:t>
      </w:r>
      <w:r w:rsidRPr="007114AF">
        <w:rPr>
          <w:rFonts w:cs="Arial"/>
          <w:spacing w:val="-4"/>
        </w:rPr>
        <w:t>ku</w:t>
      </w:r>
      <w:r w:rsidR="000A2A01" w:rsidRPr="007114AF">
        <w:rPr>
          <w:rFonts w:cs="Arial"/>
          <w:spacing w:val="-4"/>
        </w:rPr>
        <w:t>”</w:t>
      </w:r>
      <w:r w:rsidRPr="007114AF">
        <w:rPr>
          <w:rFonts w:cs="Arial"/>
          <w:spacing w:val="-4"/>
        </w:rPr>
        <w:t xml:space="preserve">, </w:t>
      </w:r>
      <w:r w:rsidR="000A2A01" w:rsidRPr="007114AF">
        <w:rPr>
          <w:rFonts w:cs="Arial"/>
          <w:spacing w:val="-4"/>
        </w:rPr>
        <w:t>“</w:t>
      </w:r>
      <w:r w:rsidRPr="007114AF">
        <w:rPr>
          <w:rFonts w:cs="Arial"/>
          <w:spacing w:val="-4"/>
        </w:rPr>
        <w:t>kush</w:t>
      </w:r>
      <w:r w:rsidR="000A2A01" w:rsidRPr="007114AF">
        <w:rPr>
          <w:rFonts w:cs="Arial"/>
          <w:spacing w:val="-4"/>
        </w:rPr>
        <w:t>”</w:t>
      </w:r>
      <w:r w:rsidRPr="007114AF">
        <w:rPr>
          <w:rFonts w:cs="Arial"/>
          <w:spacing w:val="-4"/>
        </w:rPr>
        <w:t xml:space="preserve"> dhe </w:t>
      </w:r>
      <w:r w:rsidR="000A2A01" w:rsidRPr="007114AF">
        <w:rPr>
          <w:rFonts w:cs="Arial"/>
          <w:spacing w:val="-4"/>
        </w:rPr>
        <w:t>“</w:t>
      </w:r>
      <w:r w:rsidRPr="007114AF">
        <w:rPr>
          <w:rFonts w:cs="Arial"/>
          <w:spacing w:val="-4"/>
        </w:rPr>
        <w:t>si</w:t>
      </w:r>
      <w:r w:rsidR="000A2A01" w:rsidRPr="007114AF">
        <w:rPr>
          <w:rFonts w:cs="Arial"/>
          <w:spacing w:val="-4"/>
        </w:rPr>
        <w:t>”</w:t>
      </w:r>
      <w:r w:rsidRPr="007114AF">
        <w:rPr>
          <w:rFonts w:cs="Arial"/>
          <w:spacing w:val="-4"/>
        </w:rPr>
        <w:t xml:space="preserve"> për rritjen e efektivi</w:t>
      </w:r>
      <w:r w:rsidR="00BC439D" w:rsidRPr="007114AF">
        <w:rPr>
          <w:rFonts w:cs="Arial"/>
          <w:spacing w:val="-4"/>
        </w:rPr>
        <w:t>tetit të masave të përshtatjes.</w:t>
      </w:r>
    </w:p>
    <w:p w14:paraId="6EDD1308" w14:textId="77777777" w:rsidR="000914E2" w:rsidRPr="007114AF" w:rsidRDefault="000914E2" w:rsidP="000914E2">
      <w:pPr>
        <w:pStyle w:val="TEKSTI"/>
        <w:rPr>
          <w:rFonts w:cs="Arial"/>
          <w:spacing w:val="-4"/>
          <w:u w:val="single"/>
        </w:rPr>
      </w:pPr>
      <w:r w:rsidRPr="007114AF">
        <w:rPr>
          <w:rFonts w:cs="Arial"/>
          <w:spacing w:val="-4"/>
          <w:u w:val="single"/>
        </w:rPr>
        <w:t xml:space="preserve">Dimensioni i financimit të kërkuar të përshtatjes </w:t>
      </w:r>
    </w:p>
    <w:p w14:paraId="6EDD1309" w14:textId="73742B6E" w:rsidR="000914E2" w:rsidRPr="007114AF" w:rsidRDefault="000914E2" w:rsidP="000914E2">
      <w:pPr>
        <w:pStyle w:val="TEKSTI"/>
        <w:rPr>
          <w:rFonts w:cs="Arial"/>
          <w:spacing w:val="-4"/>
        </w:rPr>
      </w:pPr>
      <w:r w:rsidRPr="007114AF">
        <w:rPr>
          <w:rFonts w:cs="Arial"/>
          <w:spacing w:val="-4"/>
        </w:rPr>
        <w:t>Nevojat financiare mund të ndryshojnë ndjeshëm, në varësi të lloji të masës së përshtatjes që do të financohet. Shpesh bëhet dallim midis përshtatjes transformuese dhe rritëse. Përshtatjet transformuese që nënkuptojnë kalimin e një pragu për ndryshime sistematike (sistemi A transformohet në sistemin B) shpesh kërkojnë investime të mëdha fillestare, me përfitime,</w:t>
      </w:r>
      <w:r w:rsidR="00FF11ED">
        <w:rPr>
          <w:rFonts w:cs="Arial"/>
          <w:spacing w:val="-4"/>
        </w:rPr>
        <w:t xml:space="preserve"> </w:t>
      </w:r>
      <w:r w:rsidRPr="007114AF">
        <w:rPr>
          <w:rFonts w:cs="Arial"/>
          <w:spacing w:val="-4"/>
        </w:rPr>
        <w:t xml:space="preserve">ndikimet e eliminuara, të perceptuara mirë vetëm në të ardhmen. Përshtatja rritëse sjell një ndryshim, por ruan karakteristikat kryesore të një sistemi dhe mund të tolerojë rreziqe të mbetura shtesë, por kërkesat financiare mund të rregullohen gradualisht dhe strategjia e ngjashme e mobilizimit të fondeve mund të përdorë arritje fillestare si stimul për investime të ardhshme. </w:t>
      </w:r>
    </w:p>
    <w:p w14:paraId="6EDD130A" w14:textId="77777777" w:rsidR="000914E2" w:rsidRPr="007114AF" w:rsidRDefault="000914E2" w:rsidP="000914E2">
      <w:pPr>
        <w:pStyle w:val="TEKSTI"/>
        <w:rPr>
          <w:rFonts w:cs="Arial"/>
          <w:spacing w:val="-4"/>
        </w:rPr>
      </w:pPr>
      <w:r w:rsidRPr="007114AF">
        <w:rPr>
          <w:rFonts w:cs="Arial"/>
          <w:spacing w:val="-4"/>
        </w:rPr>
        <w:t>Shpenzimet e veprimeve të përshtatjeve që janë zgjerime ose përpunime të përshtatjeve të bëra më parë mund të llogariten shpesh nga ekstrapolimi, ndërsa shpenzimet e përshtatjeve të reja dhe ndryshimet e vendndodhjeve janë të panjohura, por prezumohen të jenë të larta.</w:t>
      </w:r>
    </w:p>
    <w:p w14:paraId="6EDD130B" w14:textId="77777777" w:rsidR="000914E2" w:rsidRPr="007114AF" w:rsidRDefault="000914E2" w:rsidP="000914E2">
      <w:pPr>
        <w:pStyle w:val="TEKSTI"/>
        <w:rPr>
          <w:rFonts w:eastAsia="Times New Roman"/>
          <w:b/>
          <w:i/>
          <w:spacing w:val="-4"/>
        </w:rPr>
      </w:pPr>
      <w:r w:rsidRPr="007114AF">
        <w:rPr>
          <w:rFonts w:eastAsia="Times New Roman"/>
          <w:b/>
          <w:i/>
          <w:spacing w:val="-4"/>
        </w:rPr>
        <w:t>Elementët e një Qasjeje të Suksesshme të Mobilizimit të Burimeve financiare</w:t>
      </w:r>
    </w:p>
    <w:p w14:paraId="6EDD130C" w14:textId="77777777" w:rsidR="000914E2" w:rsidRPr="007114AF" w:rsidRDefault="000914E2" w:rsidP="000914E2">
      <w:pPr>
        <w:pStyle w:val="TEKSTI"/>
        <w:rPr>
          <w:rFonts w:eastAsia="Calibri" w:cs="Arial"/>
          <w:spacing w:val="-4"/>
        </w:rPr>
      </w:pPr>
      <w:r w:rsidRPr="007114AF">
        <w:rPr>
          <w:rFonts w:eastAsia="Calibri" w:cs="Arial"/>
          <w:spacing w:val="-4"/>
        </w:rPr>
        <w:lastRenderedPageBreak/>
        <w:t xml:space="preserve">Procesi i mobilizimit të burimeve për ndërhyrje të përshtatjes kërkon vënien në funksionim të disa elementeve kyç: </w:t>
      </w:r>
    </w:p>
    <w:p w14:paraId="6EDD130D" w14:textId="77777777" w:rsidR="000914E2" w:rsidRPr="007114AF" w:rsidRDefault="000914E2" w:rsidP="000914E2">
      <w:pPr>
        <w:pStyle w:val="TEKSTI"/>
        <w:rPr>
          <w:rFonts w:eastAsia="Calibri" w:cs="Arial"/>
          <w:spacing w:val="-4"/>
        </w:rPr>
      </w:pPr>
      <w:r w:rsidRPr="007114AF">
        <w:rPr>
          <w:rFonts w:eastAsia="Calibri" w:cs="Arial"/>
          <w:spacing w:val="-4"/>
        </w:rPr>
        <w:t>Elementi 1: Ndërtimi i procesit – Krijimi i një ekipi kryesor</w:t>
      </w:r>
    </w:p>
    <w:p w14:paraId="6EDD130E" w14:textId="2AC7E331" w:rsidR="000914E2" w:rsidRPr="007114AF" w:rsidRDefault="000914E2" w:rsidP="000914E2">
      <w:pPr>
        <w:pStyle w:val="TEKSTI"/>
        <w:rPr>
          <w:rFonts w:eastAsia="Calibri" w:cs="Arial"/>
          <w:spacing w:val="-4"/>
        </w:rPr>
      </w:pPr>
      <w:r w:rsidRPr="007114AF">
        <w:rPr>
          <w:rFonts w:eastAsia="Calibri" w:cs="Arial"/>
          <w:spacing w:val="-4"/>
        </w:rPr>
        <w:t>GNNK-ja (IMWG) dhe MM-ja (MoE) janë të autorizuar për menaxhimin e procesit të përshtatjes në Shqipëri. Megjithatë, në lidhje me dokumentin</w:t>
      </w:r>
      <w:r w:rsidR="000A2A01" w:rsidRPr="007114AF">
        <w:rPr>
          <w:rFonts w:eastAsia="Calibri" w:cs="Arial"/>
          <w:spacing w:val="-4"/>
        </w:rPr>
        <w:t xml:space="preserve"> </w:t>
      </w:r>
      <w:r w:rsidRPr="007114AF">
        <w:rPr>
          <w:rFonts w:eastAsia="Calibri" w:cs="Arial"/>
          <w:spacing w:val="-4"/>
        </w:rPr>
        <w:t>financiar detyrat e këtij grupimi duhet të shpjegohen më tej dhe duhet të dakordësohet një strukturë e qartë për bashkëpunim.</w:t>
      </w:r>
    </w:p>
    <w:p w14:paraId="6EDD130F" w14:textId="77777777" w:rsidR="000914E2" w:rsidRPr="007114AF" w:rsidRDefault="000914E2" w:rsidP="000914E2">
      <w:pPr>
        <w:pStyle w:val="TEKSTI"/>
        <w:rPr>
          <w:rFonts w:eastAsia="Calibri" w:cs="Arial"/>
          <w:spacing w:val="-4"/>
        </w:rPr>
      </w:pPr>
      <w:r w:rsidRPr="007114AF">
        <w:rPr>
          <w:rFonts w:eastAsia="Calibri" w:cs="Arial"/>
          <w:spacing w:val="-4"/>
        </w:rPr>
        <w:t xml:space="preserve">Elementi 2: Arritja e një mbështetjeje politike të një niveli të lartë </w:t>
      </w:r>
    </w:p>
    <w:p w14:paraId="6EDD1310" w14:textId="775D8C57" w:rsidR="000914E2" w:rsidRPr="007114AF" w:rsidRDefault="000914E2" w:rsidP="000914E2">
      <w:pPr>
        <w:pStyle w:val="TEKSTI"/>
        <w:rPr>
          <w:rFonts w:eastAsia="Calibri" w:cs="Arial"/>
          <w:spacing w:val="-4"/>
        </w:rPr>
      </w:pPr>
      <w:r w:rsidRPr="007114AF">
        <w:rPr>
          <w:rFonts w:eastAsia="Calibri" w:cs="Arial"/>
          <w:spacing w:val="-4"/>
        </w:rPr>
        <w:t>Mbështetja e nivelit të lartë mund të arrihet nga rekomandimet nga një nivel i lartë qeverisjeje ose nga detyrimet ligjore, edhe në rastet kur vijnë nga një sektor i vetëm. Për të garantuar një angazhim afatgjatë për përshtatje, mund të jetë fillimisht e nevojshme, nga vendimmarrësit politikë ose menaxhimi publik i nivelit të lartë (që tejkalon periudhën legjislative), rritja e ndërgjegjësimit.</w:t>
      </w:r>
      <w:r w:rsidR="000A2A01" w:rsidRPr="007114AF">
        <w:rPr>
          <w:rFonts w:eastAsia="Calibri" w:cs="Arial"/>
          <w:spacing w:val="-4"/>
        </w:rPr>
        <w:t xml:space="preserve"> </w:t>
      </w:r>
      <w:r w:rsidRPr="007114AF">
        <w:rPr>
          <w:rFonts w:eastAsia="Calibri" w:cs="Arial"/>
          <w:spacing w:val="-4"/>
        </w:rPr>
        <w:t xml:space="preserve">Kapitulli 2 do të paraqesë opsione të mënyrës së arritjes së kësaj mbështetjeje dhe udhëheqjen e saj. </w:t>
      </w:r>
    </w:p>
    <w:p w14:paraId="6EDD1311" w14:textId="77777777" w:rsidR="000914E2" w:rsidRPr="007114AF" w:rsidRDefault="000914E2" w:rsidP="000914E2">
      <w:pPr>
        <w:pStyle w:val="TEKSTI"/>
        <w:rPr>
          <w:rFonts w:eastAsia="Calibri" w:cs="Arial"/>
        </w:rPr>
      </w:pPr>
      <w:r w:rsidRPr="007114AF">
        <w:rPr>
          <w:rFonts w:eastAsia="Calibri" w:cs="Arial"/>
        </w:rPr>
        <w:t xml:space="preserve">Elementi 3: Vlerësimi i situatës në këndvështrimin e përshtatjes - Kuptimi i stimujve- Komunikimi i përshtatjes në një mënyrë që i bën thirrje financuesve/investuesve. </w:t>
      </w:r>
    </w:p>
    <w:p w14:paraId="6EDD1312" w14:textId="77777777" w:rsidR="000914E2" w:rsidRPr="007114AF" w:rsidRDefault="000914E2" w:rsidP="000914E2">
      <w:pPr>
        <w:pStyle w:val="TEKSTI"/>
        <w:rPr>
          <w:rFonts w:eastAsia="Calibri" w:cs="Arial"/>
        </w:rPr>
      </w:pPr>
      <w:r w:rsidRPr="007114AF">
        <w:rPr>
          <w:rFonts w:eastAsia="Calibri" w:cs="Arial"/>
        </w:rPr>
        <w:t xml:space="preserve">Është shumë e rëndësishme që të kuptohen stimujt politikë dhe financiarë për financuesit/investuesit privatë dhe publikë (kombëtarë dhe ndërkombëtarë) për të investuar në përshtatje, pasi në pamje të parë përshtatja mund të keqinterpretohet vetëm si një kosto shtesë. </w:t>
      </w:r>
    </w:p>
    <w:p w14:paraId="6EDD1313" w14:textId="77777777" w:rsidR="000914E2" w:rsidRPr="007114AF" w:rsidRDefault="000914E2" w:rsidP="000914E2">
      <w:pPr>
        <w:pStyle w:val="TEKSTI"/>
        <w:rPr>
          <w:rFonts w:eastAsia="Calibri" w:cs="Arial"/>
        </w:rPr>
      </w:pPr>
      <w:r w:rsidRPr="007114AF">
        <w:rPr>
          <w:rFonts w:eastAsia="Calibri" w:cs="Arial"/>
        </w:rPr>
        <w:t>Në rastin e sektorit publik, është kryesisht reduktimi i humbjes ose dëmit të shkaktuar nga ngjarje/ndikime të lidhura me klimën dhe ofrimi i shërbimeve publike në lidhje me objektivat socialë, ekonomikë dhe shëndetësorë. Investimi në përshtatje madje, mund të ketë ndikime pozitive në krijimin e vendeve të punës. Megjithatë, edhe sektori privat mund të ketë interes real në investimin e përshtatjes. Argumente, të tilla si rimëkëmbja e zinxhirit të furnizimit, mbrojtja e aseteve produktive, mundësi të reja të tregut ose pajtueshmëria me standardet, mund të jenë stimuj për investimin e fondeve private në përshtatje. Këta stimuj duhet të identifikohen dhe përdoren gjatë komunikimit me financues/investues.</w:t>
      </w:r>
    </w:p>
    <w:p w14:paraId="6EDD1314" w14:textId="77777777" w:rsidR="000914E2" w:rsidRPr="007114AF" w:rsidRDefault="000914E2" w:rsidP="000914E2">
      <w:pPr>
        <w:pStyle w:val="TEKSTI"/>
        <w:rPr>
          <w:rFonts w:eastAsia="Calibri" w:cs="Arial"/>
        </w:rPr>
      </w:pPr>
      <w:r w:rsidRPr="007114AF">
        <w:rPr>
          <w:rFonts w:eastAsia="Calibri" w:cs="Arial"/>
        </w:rPr>
        <w:t>Elementi 4: Ndërtimi i kapaciteteve në financimin për klimën dhe sigurimi i burimeve financiare për mobilizimin e burimeve dhe identifikimin e burimeve të mundshme të financimit për periudhën afatshkurtër, afatmesme dhe afatgjatë.</w:t>
      </w:r>
    </w:p>
    <w:p w14:paraId="6EDD1315" w14:textId="0466B681" w:rsidR="000914E2" w:rsidRPr="007114AF" w:rsidRDefault="000914E2" w:rsidP="000914E2">
      <w:pPr>
        <w:pStyle w:val="TEKSTI"/>
        <w:rPr>
          <w:rFonts w:eastAsia="Calibri" w:cs="Arial"/>
        </w:rPr>
      </w:pPr>
      <w:r w:rsidRPr="007114AF">
        <w:rPr>
          <w:rFonts w:eastAsia="Calibri" w:cs="Arial"/>
        </w:rPr>
        <w:t xml:space="preserve">Procesi i vetë mobilizimit të burimeve kërkon sigurim të burimeve njerëzore dhe kapacitete teknike specifike, me qëllim realizimin e aktiviteteve, të tilla si vendosja dhe ruajtja e marrëdhënieve të donatorëve, kuptimi i kërkesave të donatorëve, negocimi me donatorë, vlerësimi dhe identifikimi i burimeve të financimit të përshtatjes. </w:t>
      </w:r>
    </w:p>
    <w:p w14:paraId="6EDD1316" w14:textId="77777777" w:rsidR="000914E2" w:rsidRPr="007114AF" w:rsidRDefault="00BC439D" w:rsidP="00BC439D">
      <w:pPr>
        <w:pStyle w:val="TEKSTI"/>
        <w:rPr>
          <w:b/>
        </w:rPr>
      </w:pPr>
      <w:r w:rsidRPr="007114AF">
        <w:rPr>
          <w:b/>
        </w:rPr>
        <w:t xml:space="preserve">- </w:t>
      </w:r>
      <w:r w:rsidR="000914E2" w:rsidRPr="007114AF">
        <w:rPr>
          <w:b/>
        </w:rPr>
        <w:t xml:space="preserve">Mobilizimi i Fondeve Kombëtare Publike- Integrimi dhe Institucionalizimi i Përshtatjes </w:t>
      </w:r>
    </w:p>
    <w:p w14:paraId="6EDD1317" w14:textId="7E1F5A39" w:rsidR="000914E2" w:rsidRPr="007114AF" w:rsidRDefault="000914E2" w:rsidP="000914E2">
      <w:pPr>
        <w:pStyle w:val="TEKSTI"/>
        <w:rPr>
          <w:rFonts w:eastAsiaTheme="minorHAnsi" w:cs="Arial"/>
        </w:rPr>
      </w:pPr>
      <w:r w:rsidRPr="007114AF">
        <w:rPr>
          <w:rFonts w:cs="Arial"/>
        </w:rPr>
        <w:t>Përpjekjet për mobilizimin e fondeve publike lidhen ngushtë me masat rregullatore që rregullojnë mënyrën, sesi politikat e Ndryshimeve Klimatike (CC) integrohen në një mjedis më të zgjeruar institucional, si dhe në procese të administrimit publik në Shqipëri. Ky kapitull jep një përmbledhje të strukturave ekzistuese institucionale për formulimin e politikave, proceset e planifikimit dhe zbatimin. Gjithashtu, jepet një analizë për identifikimin e pikave hyrëse, forcimin e mëtejshëm të institucioneve dhe proceseve përkatëse që do të rregullojnë mobilizimin dhe kanalizimin e fondeve për masat e përshtatjes ndaj ndryshimeve klimatike</w:t>
      </w:r>
      <w:r w:rsidR="00191838" w:rsidRPr="007114AF">
        <w:rPr>
          <w:rFonts w:cs="Arial"/>
        </w:rPr>
        <w:t>.</w:t>
      </w:r>
    </w:p>
    <w:p w14:paraId="6EDD1318" w14:textId="77777777" w:rsidR="000914E2" w:rsidRPr="007114AF" w:rsidRDefault="00BC439D" w:rsidP="000914E2">
      <w:pPr>
        <w:pStyle w:val="TEKSTI"/>
        <w:rPr>
          <w:b/>
        </w:rPr>
      </w:pPr>
      <w:r w:rsidRPr="007114AF">
        <w:rPr>
          <w:b/>
        </w:rPr>
        <w:t xml:space="preserve">- </w:t>
      </w:r>
      <w:r w:rsidR="000914E2" w:rsidRPr="007114AF">
        <w:rPr>
          <w:b/>
        </w:rPr>
        <w:t xml:space="preserve">Masat aktuale institucionale dhe opsionet për forcimin e tyre, me synim aksesin në Fondet Kombëtare Publike </w:t>
      </w:r>
    </w:p>
    <w:p w14:paraId="6EDD1319" w14:textId="77777777" w:rsidR="000914E2" w:rsidRPr="007114AF" w:rsidRDefault="000914E2" w:rsidP="000914E2">
      <w:pPr>
        <w:pStyle w:val="TEKSTI"/>
        <w:rPr>
          <w:spacing w:val="-4"/>
        </w:rPr>
      </w:pPr>
      <w:r w:rsidRPr="007114AF">
        <w:rPr>
          <w:spacing w:val="-4"/>
        </w:rPr>
        <w:t>Qeveria e Shqipërisë ka treguar lidership për ndryshimet klimatike nëpërmjet krijimit të Grupit Ndërministror për Ndryshimet Klimatike (GNNK) (IMWG), të drejtuar nga zëvendësministri i Mjedisit, me 15 anëtarë që përfaqësojnë menaxhimin e nivelit të mesëm të ministrive kryesore të linjës</w:t>
      </w:r>
      <w:r w:rsidRPr="007114AF">
        <w:rPr>
          <w:rStyle w:val="FootnoteReference"/>
          <w:spacing w:val="-4"/>
        </w:rPr>
        <w:footnoteReference w:id="61"/>
      </w:r>
      <w:r w:rsidRPr="007114AF">
        <w:rPr>
          <w:spacing w:val="-4"/>
        </w:rPr>
        <w:t xml:space="preserve">. </w:t>
      </w:r>
    </w:p>
    <w:p w14:paraId="6EDD131A" w14:textId="77777777" w:rsidR="000914E2" w:rsidRPr="007114AF" w:rsidRDefault="000914E2" w:rsidP="000914E2">
      <w:pPr>
        <w:pStyle w:val="TEKSTI"/>
        <w:rPr>
          <w:spacing w:val="-4"/>
        </w:rPr>
      </w:pPr>
      <w:r w:rsidRPr="007114AF">
        <w:rPr>
          <w:spacing w:val="-4"/>
        </w:rPr>
        <w:t xml:space="preserve">Qëllimi i përgjithshëm i GNNK-ës (IMWGCC) është që të koordinojë të gjitha institucionet e përfshira në procesin e zbutjes dhe përshtatjes së Ndryshimeve Klimatike (CC) dhe të lehtësojë </w:t>
      </w:r>
      <w:r w:rsidRPr="007114AF">
        <w:rPr>
          <w:spacing w:val="-4"/>
        </w:rPr>
        <w:lastRenderedPageBreak/>
        <w:t>integrimin e tyre në mënyrë koherente, në politikat, programet dhe aktivitetet e reja dhe ekzistuese. Kjo lidhet në veçanti me proceset dhe strategjitë e planifikimit të zhvillimit, brenda të gjithë sektorëve përkatës dhe në nivele të ndryshme, sipas rastit. Funksionet kryesore të Grupit të Punës të Ndryshimeve Klimatike (IMWG) janë: (i) hartimi i politikave dhe strategjive; (ii) koordinimi i institucioneve gjatë zbatimit të strategjive kombëtare dhe planit të ndryshimeve klimatike; (ii) identifikimi i mundësive për të lehtësuar, nxitur, vlerësuar projektet dhe herë pas here, për të shprehur mendimin e tyre për projektidetë dhe propozimet.</w:t>
      </w:r>
    </w:p>
    <w:p w14:paraId="6EDD131B" w14:textId="77777777" w:rsidR="000914E2" w:rsidRPr="007114AF" w:rsidRDefault="000914E2" w:rsidP="000914E2">
      <w:pPr>
        <w:pStyle w:val="TEKSTI"/>
        <w:rPr>
          <w:spacing w:val="-4"/>
        </w:rPr>
      </w:pPr>
      <w:r w:rsidRPr="007114AF">
        <w:rPr>
          <w:spacing w:val="-4"/>
        </w:rPr>
        <w:t>Pika e kontaktit për ndryshimet klimatike është Drejtoria e Politikave dhe Strategjive te Zhvillimit të Mjedisit, në Ministrinë e Turizmit dhe Mjedisit. Ky departament gjithashtu, vepron si sekretariati i grupit ndërministror për ndryshimet klimatike.</w:t>
      </w:r>
    </w:p>
    <w:p w14:paraId="6EDD131C" w14:textId="0F21D83A" w:rsidR="000914E2" w:rsidRPr="007114AF" w:rsidRDefault="000914E2" w:rsidP="000914E2">
      <w:pPr>
        <w:pStyle w:val="TEKSTI"/>
        <w:rPr>
          <w:spacing w:val="-4"/>
        </w:rPr>
      </w:pPr>
      <w:r w:rsidRPr="007114AF">
        <w:rPr>
          <w:spacing w:val="-4"/>
        </w:rPr>
        <w:t>Ministritë e linjës dhe bashkitë janë përgjegjëse për formulimin e politikave/rregulloreve (në nivel kombëtar dhe vendor) dhe zbatimin e strategjive përkatëse sektoriale të integruara, në më shumë se 20 programe afatmesme dhe plane financiare vjetore. Përveç kësaj, agjencitë kombëtare, nën mbikëqyrjen e ministrive të linjës, janë përgjegjëse për ekzekutimin</w:t>
      </w:r>
      <w:r w:rsidR="000A2A01" w:rsidRPr="007114AF">
        <w:rPr>
          <w:spacing w:val="-4"/>
        </w:rPr>
        <w:t xml:space="preserve"> </w:t>
      </w:r>
      <w:r w:rsidRPr="007114AF">
        <w:rPr>
          <w:spacing w:val="-4"/>
        </w:rPr>
        <w:t>dhe monitorimin e buxhetit.</w:t>
      </w:r>
    </w:p>
    <w:p w14:paraId="6EDD131D" w14:textId="77777777" w:rsidR="000914E2" w:rsidRPr="007114AF" w:rsidRDefault="000914E2" w:rsidP="000914E2">
      <w:pPr>
        <w:pStyle w:val="TEKSTI"/>
      </w:pPr>
      <w:r w:rsidRPr="007114AF">
        <w:t>Aktualisht, grupi ndërministror i punës së ndryshimeve klimatike (IMWG) është një ekip teknik në nivel ekspertësh nga të gjitha ministritë pjesëmarrëse, i paraqitur dhe i koordinuar nga departamenti i ndryshimeve klimatike dhe ajrit, pranë Ministrisë së Mjedisit, që mbështet procesin e identifikimit të rreziqeve të klimës dhe procesin e menaxhimit.</w:t>
      </w:r>
    </w:p>
    <w:p w14:paraId="6EDD131E" w14:textId="77777777" w:rsidR="000914E2" w:rsidRPr="007114AF" w:rsidRDefault="000914E2" w:rsidP="000914E2">
      <w:pPr>
        <w:pStyle w:val="TEKSTI"/>
      </w:pPr>
      <w:r w:rsidRPr="007114AF">
        <w:t xml:space="preserve">Megjithëse </w:t>
      </w:r>
      <w:r w:rsidRPr="007114AF">
        <w:rPr>
          <w:rFonts w:cs="Arial"/>
        </w:rPr>
        <w:t xml:space="preserve">Ministria e Turizmit dhe Mjedisit </w:t>
      </w:r>
      <w:r w:rsidRPr="007114AF">
        <w:t>është udhëheqëse për planet e formulimit dhe zbatimit të politikave të ndryshimet klimatike (CC), të gjitha institucionet kombëtare dhe të qeverisë vendore janë përgjegjëse për Integrimin e ndryshimeve klimatike (CC), në fushat e tyre përkatëse të politikave, planifikimin, mobilizimin e burimeve financiare, programimin dhe shpenzimin për ndryshimet klimatike (CC) dhe monitorimin.</w:t>
      </w:r>
    </w:p>
    <w:p w14:paraId="6EDD131F" w14:textId="607C4075" w:rsidR="000914E2" w:rsidRPr="007114AF" w:rsidRDefault="000914E2" w:rsidP="000914E2">
      <w:pPr>
        <w:pStyle w:val="TEKSTI"/>
      </w:pPr>
      <w:r w:rsidRPr="007114AF">
        <w:t>Dokumenti i NAP-it, nëpërmjet Veprimit Prioritar</w:t>
      </w:r>
      <w:r w:rsidR="00242009" w:rsidRPr="007114AF">
        <w:t xml:space="preserve"> nr. </w:t>
      </w:r>
      <w:r w:rsidRPr="007114AF">
        <w:t>1 tregon</w:t>
      </w:r>
      <w:r w:rsidR="00FF11ED">
        <w:t xml:space="preserve"> </w:t>
      </w:r>
      <w:r w:rsidRPr="007114AF">
        <w:t>që drejtimi i vazhdueshëm duhet të sigurojë orientim afatgjatë, siç rekomandohet në Udhëzimet Teknike të NAP</w:t>
      </w:r>
      <w:r w:rsidRPr="007114AF">
        <w:rPr>
          <w:vertAlign w:val="superscript"/>
        </w:rPr>
        <w:footnoteReference w:id="62"/>
      </w:r>
      <w:r w:rsidRPr="007114AF">
        <w:t xml:space="preserve">-it. Për trajtimin e çështjeve të mësipërme, janë të nevojshme të bëhen rregullime ligjore ose nënligjore të lidhura me qasjen institucionale ndaj ndryshimeve klimatike, duke pasur parasysh kuadrin ekzistues institucional për planifikimin strategjik dhe afatmesëm. Kjo, pasi roli i përgjithshëm mbikëqyrës, mobilizimi i burimeve dhe roli monitorues për ndikimin e politikave të ndryshimet klimatike (CC) në disa sektorë nuk mund të mbulohen siç duhet nga grupi ndërministror i punës së ndryshimeve klimatike ekzistues dhe </w:t>
      </w:r>
      <w:r w:rsidRPr="007114AF">
        <w:rPr>
          <w:rFonts w:cs="Arial"/>
        </w:rPr>
        <w:t>Ministria e Turizmit dhe Mjedisit</w:t>
      </w:r>
      <w:r w:rsidR="00191838" w:rsidRPr="007114AF">
        <w:rPr>
          <w:rFonts w:cs="Arial"/>
        </w:rPr>
        <w:t>.</w:t>
      </w:r>
      <w:r w:rsidRPr="007114AF">
        <w:rPr>
          <w:rFonts w:cs="Arial"/>
        </w:rPr>
        <w:t xml:space="preserve"> </w:t>
      </w:r>
    </w:p>
    <w:p w14:paraId="6EDD1320" w14:textId="77777777" w:rsidR="000914E2" w:rsidRPr="007114AF" w:rsidRDefault="000914E2" w:rsidP="000914E2">
      <w:pPr>
        <w:pStyle w:val="TEKSTI"/>
        <w:rPr>
          <w:b/>
        </w:rPr>
      </w:pPr>
      <w:r w:rsidRPr="007114AF">
        <w:rPr>
          <w:b/>
        </w:rPr>
        <w:t xml:space="preserve">Kuadri Institucional për Planifikim Strategjik dhe Afatmesëm </w:t>
      </w:r>
    </w:p>
    <w:p w14:paraId="6EDD1321" w14:textId="73564597" w:rsidR="00BC439D" w:rsidRPr="007114AF" w:rsidRDefault="000914E2" w:rsidP="000914E2">
      <w:pPr>
        <w:pStyle w:val="TEKSTI"/>
        <w:rPr>
          <w:rFonts w:cs="Arial"/>
        </w:rPr>
      </w:pPr>
      <w:r w:rsidRPr="007114AF">
        <w:rPr>
          <w:rFonts w:cs="Arial"/>
        </w:rPr>
        <w:t>Kuadri institucional</w:t>
      </w:r>
      <w:r w:rsidRPr="007114AF">
        <w:rPr>
          <w:rFonts w:cs="Arial"/>
          <w:i/>
          <w:vertAlign w:val="superscript"/>
        </w:rPr>
        <w:footnoteReference w:id="63"/>
      </w:r>
      <w:r w:rsidRPr="007114AF">
        <w:rPr>
          <w:rFonts w:cs="Arial"/>
        </w:rPr>
        <w:t xml:space="preserve"> për planifikim strategjik dhe afatmesëm përcakton përgjegjësi në të gjitha nivelet e vendimmarrjes, nga poshtë lart dhe anasjelltas. Vendimet bazohen në informacion programatik të lidhur me objektivat strategjik</w:t>
      </w:r>
      <w:r w:rsidR="009B0B46">
        <w:rPr>
          <w:rFonts w:cs="Arial"/>
        </w:rPr>
        <w:t>ë</w:t>
      </w:r>
      <w:r w:rsidRPr="007114AF">
        <w:rPr>
          <w:rFonts w:cs="Arial"/>
        </w:rPr>
        <w:t xml:space="preserve"> të politikave dhe të integruar në planifikimin e programit të qeverisë. Hierarkia e roleve dhe përgjegjësive të të gjitha strukturave institucionale </w:t>
      </w:r>
    </w:p>
    <w:p w14:paraId="6EDD1322" w14:textId="77777777" w:rsidR="000914E2" w:rsidRPr="007114AF" w:rsidRDefault="000914E2" w:rsidP="000914E2">
      <w:pPr>
        <w:pStyle w:val="TEKSTI"/>
        <w:rPr>
          <w:rFonts w:cs="Arial"/>
        </w:rPr>
      </w:pPr>
      <w:r w:rsidRPr="007114AF">
        <w:rPr>
          <w:rFonts w:cs="Arial"/>
        </w:rPr>
        <w:lastRenderedPageBreak/>
        <w:t xml:space="preserve">gjatë planifikimit afatmesëm, tregohet në diagramën e mëposhtme. </w:t>
      </w:r>
      <w:r w:rsidRPr="007114AF">
        <w:rPr>
          <w:rFonts w:cs="Arial"/>
          <w:noProof/>
          <w:lang w:val="en-US" w:eastAsia="en-US"/>
        </w:rPr>
        <w:drawing>
          <wp:inline distT="0" distB="0" distL="0" distR="0" wp14:anchorId="6EDD17CC" wp14:editId="6EDD17CD">
            <wp:extent cx="5334000" cy="3231386"/>
            <wp:effectExtent l="0" t="0" r="0" b="762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tabela ok.jpg"/>
                    <pic:cNvPicPr/>
                  </pic:nvPicPr>
                  <pic:blipFill rotWithShape="1">
                    <a:blip r:embed="rId45">
                      <a:extLst>
                        <a:ext uri="{28A0092B-C50C-407E-A947-70E740481C1C}">
                          <a14:useLocalDpi xmlns:a14="http://schemas.microsoft.com/office/drawing/2010/main" val="0"/>
                        </a:ext>
                      </a:extLst>
                    </a:blip>
                    <a:srcRect r="60126" b="77943"/>
                    <a:stretch/>
                  </pic:blipFill>
                  <pic:spPr bwMode="auto">
                    <a:xfrm>
                      <a:off x="0" y="0"/>
                      <a:ext cx="5346663" cy="3239057"/>
                    </a:xfrm>
                    <a:prstGeom prst="rect">
                      <a:avLst/>
                    </a:prstGeom>
                    <a:ln>
                      <a:noFill/>
                    </a:ln>
                    <a:extLst>
                      <a:ext uri="{53640926-AAD7-44D8-BBD7-CCE9431645EC}">
                        <a14:shadowObscured xmlns:a14="http://schemas.microsoft.com/office/drawing/2010/main"/>
                      </a:ext>
                    </a:extLst>
                  </pic:spPr>
                </pic:pic>
              </a:graphicData>
            </a:graphic>
          </wp:inline>
        </w:drawing>
      </w:r>
    </w:p>
    <w:p w14:paraId="6EDD1323" w14:textId="77777777" w:rsidR="000914E2" w:rsidRPr="007114AF" w:rsidRDefault="000914E2" w:rsidP="000914E2">
      <w:pPr>
        <w:pStyle w:val="FIGURA"/>
      </w:pPr>
    </w:p>
    <w:p w14:paraId="6EDD1324" w14:textId="77777777" w:rsidR="000914E2" w:rsidRPr="007114AF" w:rsidRDefault="000914E2" w:rsidP="000914E2">
      <w:pPr>
        <w:pStyle w:val="FIGURA"/>
        <w:rPr>
          <w:rFonts w:cs="Arial"/>
          <w:sz w:val="20"/>
          <w:szCs w:val="20"/>
        </w:rPr>
      </w:pPr>
      <w:r w:rsidRPr="007114AF">
        <w:rPr>
          <w:rFonts w:cs="Arial"/>
          <w:sz w:val="20"/>
          <w:szCs w:val="20"/>
        </w:rPr>
        <w:t xml:space="preserve">Figura 2 Programi i buxhetit afatmesëm – Rishikim Institucional (burimi: ekspert GIZ) </w:t>
      </w:r>
    </w:p>
    <w:p w14:paraId="6EDD1325" w14:textId="012F808E" w:rsidR="000914E2" w:rsidRPr="007114AF" w:rsidRDefault="000914E2" w:rsidP="000914E2">
      <w:pPr>
        <w:pStyle w:val="FIGURA"/>
        <w:rPr>
          <w:rFonts w:cs="Arial"/>
          <w:sz w:val="20"/>
          <w:szCs w:val="20"/>
        </w:rPr>
      </w:pPr>
      <w:r w:rsidRPr="007114AF">
        <w:rPr>
          <w:rFonts w:cs="Arial"/>
          <w:sz w:val="20"/>
          <w:szCs w:val="20"/>
        </w:rPr>
        <w:t>Diagram</w:t>
      </w:r>
      <w:r w:rsidR="00AA3BEF" w:rsidRPr="007114AF">
        <w:rPr>
          <w:rFonts w:cs="Arial"/>
          <w:sz w:val="20"/>
          <w:szCs w:val="20"/>
        </w:rPr>
        <w:t>i</w:t>
      </w:r>
      <w:r w:rsidRPr="007114AF">
        <w:rPr>
          <w:rFonts w:cs="Arial"/>
          <w:sz w:val="20"/>
          <w:szCs w:val="20"/>
        </w:rPr>
        <w:t xml:space="preserve"> </w:t>
      </w:r>
      <w:r w:rsidR="00AA3BEF" w:rsidRPr="007114AF">
        <w:rPr>
          <w:rFonts w:cs="Arial"/>
          <w:sz w:val="20"/>
          <w:szCs w:val="20"/>
        </w:rPr>
        <w:t>i</w:t>
      </w:r>
      <w:r w:rsidRPr="007114AF">
        <w:rPr>
          <w:rFonts w:cs="Arial"/>
          <w:sz w:val="20"/>
          <w:szCs w:val="20"/>
        </w:rPr>
        <w:t xml:space="preserve"> PBAM-it (MTBP) përcakton qartë Departamentin p</w:t>
      </w:r>
      <w:r w:rsidR="00AA3BEF" w:rsidRPr="007114AF">
        <w:rPr>
          <w:rFonts w:cs="Arial"/>
          <w:sz w:val="20"/>
          <w:szCs w:val="20"/>
        </w:rPr>
        <w:t>ë</w:t>
      </w:r>
      <w:r w:rsidRPr="007114AF">
        <w:rPr>
          <w:rFonts w:cs="Arial"/>
          <w:sz w:val="20"/>
          <w:szCs w:val="20"/>
        </w:rPr>
        <w:t xml:space="preserve">r Zhvillim dhe </w:t>
      </w:r>
      <w:r w:rsidR="00AA3BEF" w:rsidRPr="007114AF">
        <w:rPr>
          <w:rFonts w:cs="Arial"/>
          <w:sz w:val="20"/>
          <w:szCs w:val="20"/>
        </w:rPr>
        <w:t>Mirëqeverisje</w:t>
      </w:r>
      <w:r w:rsidRPr="007114AF">
        <w:rPr>
          <w:rFonts w:cs="Arial"/>
          <w:sz w:val="20"/>
          <w:szCs w:val="20"/>
        </w:rPr>
        <w:t xml:space="preserve"> (DZHM) pranë Kryeministrisë, si autoriteti i përgjithshëm strategjik mbikëqyrës dhe Ministrinë e Financave dhe Ekonomisë si autoritetin e përgjithshëm për mbikëqyrjen dhe monitorimin e buxhetit. </w:t>
      </w:r>
    </w:p>
    <w:p w14:paraId="6EDD1326" w14:textId="77777777" w:rsidR="000914E2" w:rsidRPr="007114AF" w:rsidRDefault="000914E2" w:rsidP="000914E2">
      <w:pPr>
        <w:pStyle w:val="TEKSTI"/>
        <w:rPr>
          <w:rFonts w:eastAsia="Times New Roman"/>
          <w:lang w:eastAsia="en-US"/>
        </w:rPr>
      </w:pPr>
    </w:p>
    <w:p w14:paraId="6EDD1327" w14:textId="77777777" w:rsidR="000914E2" w:rsidRPr="007114AF" w:rsidRDefault="00B976ED" w:rsidP="000914E2">
      <w:pPr>
        <w:pStyle w:val="TEKSTI"/>
        <w:rPr>
          <w:rFonts w:eastAsia="Times New Roman"/>
          <w:b/>
          <w:lang w:eastAsia="en-US"/>
        </w:rPr>
      </w:pPr>
      <w:r w:rsidRPr="007114AF">
        <w:rPr>
          <w:rFonts w:eastAsia="Times New Roman"/>
          <w:b/>
          <w:lang w:eastAsia="en-US"/>
        </w:rPr>
        <w:t xml:space="preserve">- </w:t>
      </w:r>
      <w:r w:rsidR="000914E2" w:rsidRPr="007114AF">
        <w:rPr>
          <w:rFonts w:eastAsia="Times New Roman"/>
          <w:b/>
          <w:lang w:eastAsia="en-US"/>
        </w:rPr>
        <w:t xml:space="preserve">Mekanizmi i Menaxhimit për Zbatimin e Strategjive Ndërsektoriale </w:t>
      </w:r>
    </w:p>
    <w:p w14:paraId="6EDD1328" w14:textId="0ABC29D0" w:rsidR="000914E2" w:rsidRPr="007114AF" w:rsidRDefault="000914E2" w:rsidP="000914E2">
      <w:pPr>
        <w:pStyle w:val="TEKSTI"/>
      </w:pPr>
      <w:r w:rsidRPr="007114AF">
        <w:t>Kuadri aktual ligjor për PBAM-in (MTBP) nuk ofron një ndarje të qartë të detyrave, midis institucioneve që menaxhojnë politika komplekse ndërsektoriale, të tilla si politika të lidhura me ndryshimet klimatike (CC) të financuara nga buxheti i shtetit dhe financimit të huaj, të cilat kërkojnë një shkallë të lartë bashkëpunimi ndërministror. Megjithatë, ligji</w:t>
      </w:r>
      <w:r w:rsidR="00242009" w:rsidRPr="007114AF">
        <w:t xml:space="preserve"> nr. </w:t>
      </w:r>
      <w:r w:rsidRPr="007114AF">
        <w:t xml:space="preserve">10296/2010, neni 8 parashikon bazën ligjore për bashkëpunim: </w:t>
      </w:r>
      <w:r w:rsidR="00D10DAB" w:rsidRPr="007114AF">
        <w:t>‘</w:t>
      </w:r>
      <w:r w:rsidRPr="007114AF">
        <w:t>Në zbatimin e programeve që përfshijnë më shumë se një institucion dhe/ose strukturë të sektorit publik, drejtuesit e interesuar do të nënshkruajnë marrëveshje ose udhëzime të ndërsjella për objektin e përgjegjësisë menaxheriale që do të mbajë secili prej tyre</w:t>
      </w:r>
      <w:r w:rsidR="00D10DAB" w:rsidRPr="007114AF">
        <w:t>’</w:t>
      </w:r>
      <w:r w:rsidRPr="007114AF">
        <w:t xml:space="preserve">. </w:t>
      </w:r>
    </w:p>
    <w:p w14:paraId="6EDD1329" w14:textId="6A6498F6" w:rsidR="000914E2" w:rsidRPr="007114AF" w:rsidRDefault="000914E2" w:rsidP="000914E2">
      <w:pPr>
        <w:pStyle w:val="TEKSTI"/>
      </w:pPr>
      <w:r w:rsidRPr="007114AF">
        <w:t>Me qëllim finalizimin e procedurave sipas kuadrit të PBAM-it (MTBP), Kryeministri është duke zbatuar masa të reja institucionale që mund të konsolidohen në vite. Aktualisht janë krijuar katër Grupe të Integruara të Menaxhimit të Politikave (GIMP ) (IPMG) në bazë të vendimit të Këshillit të Ministrave (VKM)</w:t>
      </w:r>
      <w:r w:rsidR="00242009" w:rsidRPr="007114AF">
        <w:t xml:space="preserve"> nr. </w:t>
      </w:r>
      <w:r w:rsidRPr="007114AF">
        <w:t>129/2015, brenda Sistemit të Planifikimit të Integruar (SPI) (IPS), të drejtuara nga ministri i ministrisë udhëheqëse respektive, dhe të përbëra nga sekretariatet e përgjithshme të ministrive të linjës. Grupet nëntematike operojnë pranë ministrive kryesore të linjës dhe përbëhen nga drejtues të programeve dhe ekspertë.</w:t>
      </w:r>
    </w:p>
    <w:p w14:paraId="6EDD132A" w14:textId="77777777" w:rsidR="000914E2" w:rsidRPr="007114AF" w:rsidRDefault="000914E2" w:rsidP="00BC1DB5">
      <w:pPr>
        <w:spacing w:after="200"/>
        <w:rPr>
          <w:rFonts w:ascii="Garamond" w:hAnsi="Garamond"/>
          <w:b/>
          <w:bCs/>
          <w:iCs/>
        </w:rPr>
      </w:pPr>
    </w:p>
    <w:p w14:paraId="6EDD132B" w14:textId="77777777" w:rsidR="000914E2" w:rsidRPr="007114AF" w:rsidRDefault="000914E2" w:rsidP="00BC1DB5">
      <w:pPr>
        <w:spacing w:after="200"/>
        <w:rPr>
          <w:rFonts w:ascii="Garamond" w:hAnsi="Garamond"/>
          <w:b/>
          <w:bCs/>
          <w:iCs/>
        </w:rPr>
      </w:pPr>
    </w:p>
    <w:p w14:paraId="6EDD132C" w14:textId="77777777" w:rsidR="000914E2" w:rsidRPr="007114AF" w:rsidRDefault="000914E2" w:rsidP="00BC1DB5">
      <w:pPr>
        <w:spacing w:after="200"/>
        <w:rPr>
          <w:rFonts w:ascii="Garamond" w:hAnsi="Garamond"/>
          <w:b/>
          <w:bCs/>
          <w:iCs/>
        </w:rPr>
      </w:pPr>
      <w:r w:rsidRPr="007114AF">
        <w:rPr>
          <w:rFonts w:ascii="Garamond" w:hAnsi="Garamond"/>
          <w:noProof/>
          <w:lang w:val="en-US" w:eastAsia="en-US"/>
        </w:rPr>
        <w:lastRenderedPageBreak/>
        <w:drawing>
          <wp:inline distT="0" distB="0" distL="0" distR="0" wp14:anchorId="6EDD17CE" wp14:editId="6EDD17CF">
            <wp:extent cx="5752465" cy="3296285"/>
            <wp:effectExtent l="0" t="0" r="635"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5752465" cy="3296285"/>
                    </a:xfrm>
                    <a:prstGeom prst="rect">
                      <a:avLst/>
                    </a:prstGeom>
                    <a:noFill/>
                    <a:ln>
                      <a:noFill/>
                    </a:ln>
                  </pic:spPr>
                </pic:pic>
              </a:graphicData>
            </a:graphic>
          </wp:inline>
        </w:drawing>
      </w:r>
    </w:p>
    <w:p w14:paraId="6EDD132D" w14:textId="77777777" w:rsidR="000914E2" w:rsidRPr="007114AF" w:rsidRDefault="000914E2" w:rsidP="000914E2">
      <w:pPr>
        <w:pStyle w:val="FIGURA"/>
      </w:pPr>
    </w:p>
    <w:p w14:paraId="6EDD132E" w14:textId="77777777" w:rsidR="000914E2" w:rsidRPr="007114AF" w:rsidRDefault="000914E2" w:rsidP="000914E2">
      <w:pPr>
        <w:pStyle w:val="FIGURA"/>
        <w:rPr>
          <w:sz w:val="20"/>
          <w:szCs w:val="20"/>
        </w:rPr>
      </w:pPr>
      <w:r w:rsidRPr="007114AF">
        <w:rPr>
          <w:sz w:val="20"/>
          <w:szCs w:val="20"/>
        </w:rPr>
        <w:t>Figura 3 Mekanizmi i Integruar i Menaxhimit të Politikave për Zbatimin e Strategjive Ndërsektoriale (Burimi: projektimi individual).</w:t>
      </w:r>
    </w:p>
    <w:p w14:paraId="6EDD132F" w14:textId="77777777" w:rsidR="000914E2" w:rsidRPr="007114AF" w:rsidRDefault="000914E2" w:rsidP="000914E2">
      <w:pPr>
        <w:pStyle w:val="TEKSTI"/>
      </w:pPr>
    </w:p>
    <w:p w14:paraId="6EDD1330" w14:textId="77777777" w:rsidR="000914E2" w:rsidRPr="007114AF" w:rsidRDefault="000914E2" w:rsidP="000914E2">
      <w:pPr>
        <w:pStyle w:val="TEKSTI"/>
      </w:pPr>
      <w:r w:rsidRPr="007114AF">
        <w:t>Vendimi i Këshillit të Ministrave ndërhyn në dy nivele të rëndësishme vendimmarrjeje, duke respektuar njëkohësisht masat e përgjegjshmërisë sipas skemës së PBAM-it (MTBP), siç vërehet në figurën 3 më lart (vijat me ngjyrë të verdhë). Tre institucionet kyçe, të tilla si Kryeministria (DZHM), Ministria e Financave dhe Ekonomisë dhe Ministria për Evropën dhe Punët e Jashtme përfaqësohen në secilën GIMP (IMPG).</w:t>
      </w:r>
    </w:p>
    <w:p w14:paraId="6EDD1331" w14:textId="77777777" w:rsidR="000914E2" w:rsidRPr="007114AF" w:rsidRDefault="00B976ED" w:rsidP="000914E2">
      <w:pPr>
        <w:pStyle w:val="TEKSTI"/>
        <w:rPr>
          <w:b/>
        </w:rPr>
      </w:pPr>
      <w:r w:rsidRPr="007114AF">
        <w:rPr>
          <w:b/>
        </w:rPr>
        <w:t xml:space="preserve">- </w:t>
      </w:r>
      <w:r w:rsidR="000914E2" w:rsidRPr="007114AF">
        <w:rPr>
          <w:b/>
        </w:rPr>
        <w:t>Rekomandime për Forcimin e Masave Institucionale Afatshkurtra -Afatgjata</w:t>
      </w:r>
    </w:p>
    <w:p w14:paraId="6EDD1332" w14:textId="24BB592E" w:rsidR="000914E2" w:rsidRPr="007114AF" w:rsidRDefault="000914E2" w:rsidP="000914E2">
      <w:pPr>
        <w:pStyle w:val="TEKSTI"/>
      </w:pPr>
      <w:r w:rsidRPr="007114AF">
        <w:t>Një përmbledhje e avantazheve dhe disavantazheve të qasjeve institucionale të përshkruara më lart, paraqitet në një tabelë në shtojcën 4. Duke pasur parasysh masat institucionale të përshkruara më lart, si dhe pikat e forta dhe ato të dobëta respektive, fazën aktuale të procesit të NAP-it në Shqipëri, si dhe diskutimet gjatë mbledhjes së 7-të të Grupit Ndërministror të Punës për Ndryshimet Klimatike</w:t>
      </w:r>
      <w:r w:rsidR="000A2A01" w:rsidRPr="007114AF">
        <w:t xml:space="preserve"> </w:t>
      </w:r>
      <w:r w:rsidRPr="007114AF">
        <w:t>të mbajtur në datën 21 tetor 2016, janë dhënë rekomandimet e mëposhtme (CC), janë bërë rekomandimet e mëposhtme për një periudhë nga 1 deri 3 vjeçare, për përmirësimin e masave ekzistuese institucionale, në bazë të kuadrit ligjor për planifikim strategjik dhe afatmesëm:</w:t>
      </w:r>
    </w:p>
    <w:p w14:paraId="6EDD1333" w14:textId="3D2E5870" w:rsidR="000914E2" w:rsidRPr="007114AF" w:rsidRDefault="00B976ED" w:rsidP="000914E2">
      <w:pPr>
        <w:pStyle w:val="TEKSTI"/>
      </w:pPr>
      <w:r w:rsidRPr="007114AF">
        <w:t xml:space="preserve">1. </w:t>
      </w:r>
      <w:r w:rsidR="000914E2" w:rsidRPr="007114AF">
        <w:t>Ngritja/ndryshimi i statusit se Grupit Ndërministror të Punës për Ndryshimet Klimatike në një Grup i Menaxhimit e Politikave të Integruara (GMPI), me qëllim përfitimin nga avantazhet e këtij statusi grupimi (të përshkruar sipas shtojcës 3). Kryetari i GNMP-ës (IPMG) aktuale për</w:t>
      </w:r>
      <w:r w:rsidR="000A2A01" w:rsidRPr="007114AF">
        <w:t xml:space="preserve"> </w:t>
      </w:r>
      <w:r w:rsidR="000914E2" w:rsidRPr="007114AF">
        <w:t>Menaxhimin e Integruar të Burimeve Ujore, do të jetë anëtar i GNMP-ës (IPMG)për ndryshimet klimatike</w:t>
      </w:r>
      <w:r w:rsidR="00191838" w:rsidRPr="007114AF">
        <w:t>;</w:t>
      </w:r>
      <w:r w:rsidR="000914E2" w:rsidRPr="007114AF">
        <w:t xml:space="preserve"> </w:t>
      </w:r>
    </w:p>
    <w:p w14:paraId="6EDD1334" w14:textId="77777777" w:rsidR="000914E2" w:rsidRPr="007114AF" w:rsidRDefault="00B976ED" w:rsidP="000914E2">
      <w:pPr>
        <w:pStyle w:val="TEKSTI"/>
      </w:pPr>
      <w:r w:rsidRPr="007114AF">
        <w:t xml:space="preserve">2. </w:t>
      </w:r>
      <w:r w:rsidR="000914E2" w:rsidRPr="007114AF">
        <w:t>Ngritja e statusit të departamentit të ndryshimeve klimatike në një SekretariatTeknik të GMPI-së. Krijimi i nëngrupeve tematike brenda secilës ministri të linjës (me pjesëmarrje të paktën e Drejtuesit të Programit dhe ekspertë). Anëtarët aktualë të Grupit Ndërministror të Punës për Ndryshimet Klimatike mund të veprojnë si drejtues të grupeve nëntematike;</w:t>
      </w:r>
    </w:p>
    <w:p w14:paraId="6EDD1335" w14:textId="0A2C81DA" w:rsidR="000914E2" w:rsidRPr="007114AF" w:rsidRDefault="00B976ED" w:rsidP="000914E2">
      <w:pPr>
        <w:pStyle w:val="TEKSTI"/>
      </w:pPr>
      <w:r w:rsidRPr="007114AF">
        <w:t xml:space="preserve">3. </w:t>
      </w:r>
      <w:r w:rsidR="000914E2" w:rsidRPr="007114AF">
        <w:t xml:space="preserve">Përgatitja dhe Miratimi i VKM-ës për </w:t>
      </w:r>
      <w:r w:rsidR="000A2A01" w:rsidRPr="007114AF">
        <w:t>“</w:t>
      </w:r>
      <w:r w:rsidR="000914E2" w:rsidRPr="007114AF">
        <w:t>Integrimin e ndryshimeve klimatike në PBAM (MTBP)</w:t>
      </w:r>
      <w:r w:rsidR="000A2A01" w:rsidRPr="007114AF">
        <w:t>”</w:t>
      </w:r>
      <w:r w:rsidR="000914E2" w:rsidRPr="007114AF">
        <w:t>;</w:t>
      </w:r>
    </w:p>
    <w:p w14:paraId="6EDD1336" w14:textId="1D36DC99" w:rsidR="000914E2" w:rsidRPr="007114AF" w:rsidRDefault="00B976ED" w:rsidP="000914E2">
      <w:pPr>
        <w:pStyle w:val="TEKSTI"/>
      </w:pPr>
      <w:r w:rsidRPr="007114AF">
        <w:t xml:space="preserve">4. </w:t>
      </w:r>
      <w:r w:rsidR="000914E2" w:rsidRPr="007114AF">
        <w:t xml:space="preserve">Përgatitja dhe miratimi i një Udhëzimi të Përbashkët ndërmjet Ministrisë së Turizmit dhe Mjedisit (MTM) dhe Ministrisë së Financave dhe Ekonomisë (MoF) për </w:t>
      </w:r>
      <w:r w:rsidR="000A2A01" w:rsidRPr="007114AF">
        <w:t>“</w:t>
      </w:r>
      <w:r w:rsidR="000914E2" w:rsidRPr="007114AF">
        <w:t xml:space="preserve">Procedurat për </w:t>
      </w:r>
      <w:r w:rsidR="000914E2" w:rsidRPr="007114AF">
        <w:lastRenderedPageBreak/>
        <w:t>Integrimin e Ndryshimeve Klimatike në PBAM (MTBP)</w:t>
      </w:r>
      <w:r w:rsidR="000A2A01" w:rsidRPr="007114AF">
        <w:t>”</w:t>
      </w:r>
      <w:r w:rsidR="000914E2" w:rsidRPr="007114AF">
        <w:t xml:space="preserve"> dhe garantimine shkëmbimit të informacionit gjatë procesit të ekzekutimit të PBAM-it (MTBP).</w:t>
      </w:r>
    </w:p>
    <w:p w14:paraId="6EDD1337" w14:textId="50F7A415" w:rsidR="000914E2" w:rsidRPr="007114AF" w:rsidRDefault="00B976ED" w:rsidP="000914E2">
      <w:pPr>
        <w:pStyle w:val="TEKSTI"/>
        <w:rPr>
          <w:b/>
        </w:rPr>
      </w:pPr>
      <w:r w:rsidRPr="007114AF">
        <w:rPr>
          <w:b/>
        </w:rPr>
        <w:t xml:space="preserve">- </w:t>
      </w:r>
      <w:r w:rsidR="000914E2" w:rsidRPr="007114AF">
        <w:rPr>
          <w:b/>
        </w:rPr>
        <w:t>Integrimi i Planit kombëtar të përshtatjes ndaj ndryshimeve klimatike</w:t>
      </w:r>
      <w:r w:rsidR="000A2A01" w:rsidRPr="007114AF">
        <w:rPr>
          <w:b/>
        </w:rPr>
        <w:t xml:space="preserve"> </w:t>
      </w:r>
      <w:r w:rsidR="000914E2" w:rsidRPr="007114AF">
        <w:rPr>
          <w:b/>
        </w:rPr>
        <w:t xml:space="preserve">në Planifikimin e Buxhetit Kombëtar </w:t>
      </w:r>
    </w:p>
    <w:p w14:paraId="6EDD1338" w14:textId="52C410F4" w:rsidR="000914E2" w:rsidRPr="007114AF" w:rsidRDefault="000914E2" w:rsidP="000914E2">
      <w:pPr>
        <w:pStyle w:val="TEKSTI"/>
        <w:rPr>
          <w:rFonts w:cs="Arial"/>
        </w:rPr>
      </w:pPr>
      <w:r w:rsidRPr="007114AF">
        <w:rPr>
          <w:rFonts w:cs="Arial"/>
        </w:rPr>
        <w:t xml:space="preserve">Integrimi i përshtatjes në sektorë dhe politikat gjithëpërfshirëse zhvillimore janë në thelb të procesit të PKP-ës (NAP), meqë përshtatja efektive është kryesisht jo një aktivitet </w:t>
      </w:r>
      <w:r w:rsidR="00D10DAB" w:rsidRPr="007114AF">
        <w:rPr>
          <w:rFonts w:cs="Arial"/>
        </w:rPr>
        <w:t>‘</w:t>
      </w:r>
      <w:r w:rsidRPr="007114AF">
        <w:rPr>
          <w:rFonts w:cs="Arial"/>
        </w:rPr>
        <w:t>shtesë</w:t>
      </w:r>
      <w:r w:rsidR="00D10DAB" w:rsidRPr="007114AF">
        <w:rPr>
          <w:rFonts w:cs="Arial"/>
        </w:rPr>
        <w:t>’</w:t>
      </w:r>
      <w:r w:rsidRPr="007114AF">
        <w:rPr>
          <w:rFonts w:cs="Arial"/>
        </w:rPr>
        <w:t>, por duhet të integrohet në politikat sektoriale. Shqipëria ka një sërë kërkimesh shkencore dhe studimesh mbi vulnerabilitetin ndaj ndryshimeve klimatike për sektorin e bujqësisë dhe energjisë si dhe një strategji sektoriale, si: Strategjia Kombëtare e Shëndetit, Strategjia për Menaxhimin e Integruar të Burimeve Ujore, Planin Kombëtar Territorial si dhe Planin e Zhvillimit të Bregdetit, në të cilat GIZ-i ka dhënë një mbështe</w:t>
      </w:r>
      <w:r w:rsidR="000F1AD3">
        <w:rPr>
          <w:rFonts w:cs="Arial"/>
        </w:rPr>
        <w:t>t</w:t>
      </w:r>
      <w:r w:rsidRPr="007114AF">
        <w:rPr>
          <w:rFonts w:cs="Arial"/>
        </w:rPr>
        <w:t>je të madhe në adresimin dhe integrimin e ndryshimeve klimatike në k</w:t>
      </w:r>
      <w:r w:rsidR="000F1AD3">
        <w:rPr>
          <w:rFonts w:cs="Arial"/>
        </w:rPr>
        <w:t>ë</w:t>
      </w:r>
      <w:r w:rsidRPr="007114AF">
        <w:rPr>
          <w:rFonts w:cs="Arial"/>
        </w:rPr>
        <w:t xml:space="preserve">to plane, nëpërmjet projektit </w:t>
      </w:r>
      <w:r w:rsidR="000A2A01" w:rsidRPr="007114AF">
        <w:rPr>
          <w:rFonts w:cs="Arial"/>
        </w:rPr>
        <w:t>“</w:t>
      </w:r>
      <w:r w:rsidRPr="007114AF">
        <w:rPr>
          <w:rFonts w:cs="Arial"/>
        </w:rPr>
        <w:t>P</w:t>
      </w:r>
      <w:r w:rsidR="000F1AD3">
        <w:rPr>
          <w:rFonts w:cs="Arial"/>
        </w:rPr>
        <w:t>ë</w:t>
      </w:r>
      <w:r w:rsidRPr="007114AF">
        <w:rPr>
          <w:rFonts w:cs="Arial"/>
        </w:rPr>
        <w:t xml:space="preserve">rshtatja ndaj ndryshimeve Klimatike për vendet e Ballkanit </w:t>
      </w:r>
      <w:r w:rsidR="000F1AD3" w:rsidRPr="007114AF">
        <w:rPr>
          <w:rFonts w:cs="Arial"/>
        </w:rPr>
        <w:t>Perëndimor</w:t>
      </w:r>
      <w:r w:rsidR="000A2A01" w:rsidRPr="007114AF">
        <w:rPr>
          <w:rFonts w:cs="Arial"/>
        </w:rPr>
        <w:t>”</w:t>
      </w:r>
      <w:r w:rsidRPr="007114AF">
        <w:rPr>
          <w:rFonts w:cs="Arial"/>
        </w:rPr>
        <w:t>.</w:t>
      </w:r>
    </w:p>
    <w:p w14:paraId="6EDD1339" w14:textId="3E4A3A6D" w:rsidR="000914E2" w:rsidRPr="007114AF" w:rsidRDefault="000914E2" w:rsidP="000914E2">
      <w:pPr>
        <w:pStyle w:val="TEKSTI"/>
        <w:rPr>
          <w:rFonts w:cs="Arial"/>
        </w:rPr>
      </w:pPr>
      <w:r w:rsidRPr="007114AF">
        <w:rPr>
          <w:rFonts w:cs="Arial"/>
        </w:rPr>
        <w:t>Qasjet specifike sektoriale nëpërmjet integrimit shpjegohen në kapitullin 6 të dokumentit të NAP-it; objektivat dhe treguesit e lidhur me integrimin dhe financimin e klimës janë mirëpërcaktuar në dokumentin e NAP-it (</w:t>
      </w:r>
      <w:r w:rsidR="000F1AD3">
        <w:rPr>
          <w:rFonts w:cs="Arial"/>
        </w:rPr>
        <w:t>o</w:t>
      </w:r>
      <w:r w:rsidRPr="007114AF">
        <w:rPr>
          <w:rFonts w:cs="Arial"/>
        </w:rPr>
        <w:t>bjektivat 6 deri 12, f</w:t>
      </w:r>
      <w:r w:rsidR="000F1AD3">
        <w:rPr>
          <w:rFonts w:cs="Arial"/>
        </w:rPr>
        <w:t>.</w:t>
      </w:r>
      <w:r w:rsidRPr="007114AF">
        <w:rPr>
          <w:rFonts w:cs="Arial"/>
        </w:rPr>
        <w:t xml:space="preserve"> 29). Aktivitetet e hollësishme gjithëpërfshirëse përshkruhen sipas Veprimit Prioritar</w:t>
      </w:r>
      <w:r w:rsidR="000F1AD3">
        <w:rPr>
          <w:rFonts w:cs="Arial"/>
        </w:rPr>
        <w:t xml:space="preserve"> </w:t>
      </w:r>
      <w:r w:rsidR="008D30FC" w:rsidRPr="007114AF">
        <w:rPr>
          <w:rFonts w:cs="Arial"/>
        </w:rPr>
        <w:t xml:space="preserve">nr. </w:t>
      </w:r>
      <w:r w:rsidRPr="007114AF">
        <w:rPr>
          <w:rFonts w:cs="Arial"/>
        </w:rPr>
        <w:t>2.</w:t>
      </w:r>
      <w:r w:rsidR="000A2A01" w:rsidRPr="007114AF">
        <w:rPr>
          <w:rFonts w:cs="Arial"/>
        </w:rPr>
        <w:t xml:space="preserve"> </w:t>
      </w:r>
    </w:p>
    <w:p w14:paraId="6EDD133A" w14:textId="63E626A8" w:rsidR="000914E2" w:rsidRPr="007114AF" w:rsidRDefault="000914E2" w:rsidP="000914E2">
      <w:pPr>
        <w:pStyle w:val="TEKSTI"/>
        <w:rPr>
          <w:rFonts w:cs="Arial"/>
        </w:rPr>
      </w:pPr>
      <w:r w:rsidRPr="007114AF">
        <w:rPr>
          <w:rFonts w:cs="Arial"/>
        </w:rPr>
        <w:t>Strategjia Kombëtare për Zhvillim dhe Integrim përfshihet në Kuadrin e Politikave Shqiptare, duke reflektuar koston e reformave strukturore në buxhetin kombëtar, dhe përcakton qëllimet dhe objektivat që çdo sektor duhet të ndjekë, duke shërbyer si pikë fillimi për ministritë e linjës për të analizuar dhe realizuar misionet e tyre. Programi i Buxhetit Afatmesëm (PBAM)</w:t>
      </w:r>
      <w:r w:rsidR="000A2A01" w:rsidRPr="007114AF">
        <w:rPr>
          <w:rFonts w:cs="Arial"/>
        </w:rPr>
        <w:t xml:space="preserve"> </w:t>
      </w:r>
      <w:r w:rsidRPr="007114AF">
        <w:rPr>
          <w:rFonts w:cs="Arial"/>
        </w:rPr>
        <w:t xml:space="preserve">është një instrument operacional për menaxhimin e shpenzimeve publike dhe komponent kyç i Sistemit të Planifikimit të Integruar. </w:t>
      </w:r>
    </w:p>
    <w:p w14:paraId="6EDD133B" w14:textId="77777777" w:rsidR="000914E2" w:rsidRPr="007114AF" w:rsidRDefault="000914E2" w:rsidP="00BC1DB5">
      <w:pPr>
        <w:spacing w:after="200"/>
        <w:rPr>
          <w:rFonts w:ascii="Garamond" w:hAnsi="Garamond"/>
          <w:b/>
          <w:bCs/>
          <w:iCs/>
        </w:rPr>
      </w:pPr>
    </w:p>
    <w:p w14:paraId="6EDD133C" w14:textId="77777777" w:rsidR="00574660" w:rsidRPr="007114AF" w:rsidRDefault="00574660" w:rsidP="00BC1DB5">
      <w:pPr>
        <w:spacing w:after="200"/>
        <w:rPr>
          <w:rFonts w:ascii="Garamond" w:hAnsi="Garamond"/>
          <w:b/>
          <w:bCs/>
          <w:iCs/>
        </w:rPr>
      </w:pPr>
      <w:r w:rsidRPr="007114AF">
        <w:rPr>
          <w:rFonts w:ascii="Garamond" w:hAnsi="Garamond" w:cs="Arial"/>
          <w:noProof/>
          <w:lang w:val="en-US" w:eastAsia="en-US"/>
        </w:rPr>
        <w:drawing>
          <wp:inline distT="0" distB="0" distL="0" distR="0" wp14:anchorId="6EDD17D0" wp14:editId="6EDD17D1">
            <wp:extent cx="5752465" cy="1680210"/>
            <wp:effectExtent l="0" t="0" r="635"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5752465" cy="1680210"/>
                    </a:xfrm>
                    <a:prstGeom prst="rect">
                      <a:avLst/>
                    </a:prstGeom>
                    <a:noFill/>
                    <a:ln>
                      <a:noFill/>
                    </a:ln>
                  </pic:spPr>
                </pic:pic>
              </a:graphicData>
            </a:graphic>
          </wp:inline>
        </w:drawing>
      </w:r>
    </w:p>
    <w:p w14:paraId="6EDD133D" w14:textId="536480FF" w:rsidR="00574660" w:rsidRPr="007114AF" w:rsidRDefault="00574660" w:rsidP="00FA1823">
      <w:pPr>
        <w:pStyle w:val="FIGURA"/>
        <w:rPr>
          <w:sz w:val="20"/>
          <w:szCs w:val="20"/>
        </w:rPr>
      </w:pPr>
      <w:r w:rsidRPr="007114AF">
        <w:rPr>
          <w:sz w:val="20"/>
          <w:szCs w:val="20"/>
        </w:rPr>
        <w:t>Figura 4:</w:t>
      </w:r>
      <w:r w:rsidR="000A2A01" w:rsidRPr="007114AF">
        <w:rPr>
          <w:sz w:val="20"/>
          <w:szCs w:val="20"/>
        </w:rPr>
        <w:t xml:space="preserve"> </w:t>
      </w:r>
      <w:r w:rsidRPr="007114AF">
        <w:rPr>
          <w:sz w:val="20"/>
          <w:szCs w:val="20"/>
        </w:rPr>
        <w:t>Marrëdhëniet ndërmjet Kuadrit të Politikave, Strategjive dhe Buxhetin Kombëtar (burimi: projektimi individual)</w:t>
      </w:r>
    </w:p>
    <w:p w14:paraId="6EDD133E" w14:textId="77777777" w:rsidR="00FA1823" w:rsidRPr="007114AF" w:rsidRDefault="00FA1823" w:rsidP="00574660">
      <w:pPr>
        <w:pStyle w:val="TEKSTI"/>
        <w:rPr>
          <w:rFonts w:cs="Arial"/>
        </w:rPr>
      </w:pPr>
    </w:p>
    <w:p w14:paraId="6EDD133F" w14:textId="1A058ADD" w:rsidR="00574660" w:rsidRPr="007114AF" w:rsidRDefault="00574660" w:rsidP="00574660">
      <w:pPr>
        <w:pStyle w:val="TEKSTI"/>
        <w:rPr>
          <w:rFonts w:cs="Arial"/>
        </w:rPr>
      </w:pPr>
      <w:r w:rsidRPr="007114AF">
        <w:rPr>
          <w:rFonts w:cs="Arial"/>
        </w:rPr>
        <w:t xml:space="preserve">Veprimi Prioritar i tretë e NAP-it deklaron: </w:t>
      </w:r>
      <w:r w:rsidR="000A2A01" w:rsidRPr="007114AF">
        <w:rPr>
          <w:rFonts w:cs="Arial"/>
        </w:rPr>
        <w:t>“</w:t>
      </w:r>
      <w:r w:rsidRPr="007114AF">
        <w:rPr>
          <w:rFonts w:cs="Arial"/>
        </w:rPr>
        <w:t xml:space="preserve">Shqipëria do të përdorë procesin e NAP-it si një mundësi për dialog të vazhdueshëm për integrimin e ndryshimeve klimatike në planifikimin dhe buxhetimin e zhvillimit kombëtar, si dhe opsionet e politikave fiskale. Qëllimi 1: Aksesi me sukses në buxhetin publik të Shqipërisë për financimin e zbatimit të NAP-it; Treguesi 1.1: Të dhënat publike dëshmojnë se të paktën një buxhet fillestar publik i Shqipërisë prej 5 </w:t>
      </w:r>
      <w:r w:rsidR="001C47F0" w:rsidRPr="007114AF">
        <w:rPr>
          <w:rFonts w:cs="Arial"/>
        </w:rPr>
        <w:t xml:space="preserve">milionë </w:t>
      </w:r>
      <w:r w:rsidRPr="007114AF">
        <w:rPr>
          <w:rFonts w:cs="Arial"/>
        </w:rPr>
        <w:t>USD u shpenzua për zbatimin e NAP-it,deri më 01/2018</w:t>
      </w:r>
      <w:r w:rsidR="000A2A01" w:rsidRPr="007114AF">
        <w:rPr>
          <w:rFonts w:cs="Arial"/>
        </w:rPr>
        <w:t>”</w:t>
      </w:r>
      <w:r w:rsidRPr="007114AF">
        <w:rPr>
          <w:rFonts w:cs="Arial"/>
          <w:vertAlign w:val="superscript"/>
        </w:rPr>
        <w:footnoteReference w:id="64"/>
      </w:r>
      <w:r w:rsidRPr="007114AF">
        <w:rPr>
          <w:rFonts w:cs="Arial"/>
        </w:rPr>
        <w:t>.</w:t>
      </w:r>
    </w:p>
    <w:p w14:paraId="6EDD1340" w14:textId="414E5DA2" w:rsidR="00574660" w:rsidRPr="007114AF" w:rsidRDefault="00574660" w:rsidP="00574660">
      <w:pPr>
        <w:pStyle w:val="TEKSTI"/>
        <w:rPr>
          <w:rFonts w:cs="Arial"/>
        </w:rPr>
      </w:pPr>
      <w:r w:rsidRPr="007114AF">
        <w:rPr>
          <w:rFonts w:cs="Arial"/>
        </w:rPr>
        <w:t xml:space="preserve">Integrimi i procesit të NAP-it në buxhetin kombëtar, duhet të kryhet nëpërmjet programit strategjik dhe buxhetit afatmesëm (PBAM), i cili fillon me përgatitjen nga ministritë e linjës të një rishikimi të politikave të programeve (RPP) për secilin program. Një fokus i rishikimit stimulues është përmirësimi i analizës së kostos për njësi për rezultatet. Çdo program pritet të bazohet në </w:t>
      </w:r>
      <w:r w:rsidRPr="007114AF">
        <w:rPr>
          <w:rFonts w:cs="Arial"/>
        </w:rPr>
        <w:lastRenderedPageBreak/>
        <w:t>një ose më shumë politika specifike që duhet të shprehen qartë në Strategjinë Kombëtare për Zhvillim dhe Integrim</w:t>
      </w:r>
      <w:r w:rsidR="000A2A01" w:rsidRPr="007114AF">
        <w:rPr>
          <w:rFonts w:cs="Arial"/>
        </w:rPr>
        <w:t xml:space="preserve"> </w:t>
      </w:r>
      <w:r w:rsidRPr="007114AF">
        <w:rPr>
          <w:rFonts w:cs="Arial"/>
        </w:rPr>
        <w:t xml:space="preserve">(SKZHI), strategjitë sektoriale dhe dokumentin e NAP-it. RPP-ja përgatit një deklaratë politike për secilin program; duke përfshirë një deklaratë misioni, qëllimin e politikës së programit, objektivin e një politike programi dhe standardet e politikës së programit. RPP-ja duhet të jetë e qartë, e kuptueshme dhe duhet të rishikohet periodikisht, p.sh. mbi bazë vjetore. </w:t>
      </w:r>
    </w:p>
    <w:p w14:paraId="6EDD1341" w14:textId="7F65D387" w:rsidR="00574660" w:rsidRPr="007114AF" w:rsidRDefault="00574660" w:rsidP="00574660">
      <w:pPr>
        <w:pStyle w:val="TEKSTI"/>
        <w:rPr>
          <w:rFonts w:cs="Arial"/>
        </w:rPr>
      </w:pPr>
      <w:r w:rsidRPr="007114AF">
        <w:rPr>
          <w:rFonts w:cs="Arial"/>
        </w:rPr>
        <w:t>Komponenti i dytë i procesit të PBAM-it (MTBP) është planifikimi i investimeve dhe shpenzimeve të programit (PISHP). PISHP-i përdoret për alokimin e burimeve midis programeve, dhe bazohet në procesin e RPP-ës. Rezultatet kryesore identifikohen dhe kostoja e tyre llogaritet për secilin program. Kjo kërkon dokumentim të rreziqeve prioritare që mund të pengojnë arritjen e objektivave dhe qëllimeve të secilit program, masat e parashikuara për minimizimin e tyre, si dhe ndikimin përkatës financiar. NAP-i përmbush kërkesat e një plani të menaxhimit të rrezikut dhe është i rëndësishëm për përgatitjen e PISHP-it.</w:t>
      </w:r>
      <w:r w:rsidR="000A2A01" w:rsidRPr="007114AF">
        <w:rPr>
          <w:rFonts w:cs="Arial"/>
        </w:rPr>
        <w:t xml:space="preserve"> </w:t>
      </w:r>
    </w:p>
    <w:p w14:paraId="6EDD1342" w14:textId="77777777" w:rsidR="00FA1823" w:rsidRPr="007114AF" w:rsidRDefault="00FA1823" w:rsidP="00574660">
      <w:pPr>
        <w:pStyle w:val="TEKSTI"/>
        <w:rPr>
          <w:rFonts w:cs="Arial"/>
        </w:rPr>
      </w:pPr>
    </w:p>
    <w:p w14:paraId="6EDD1343" w14:textId="77777777" w:rsidR="00574660" w:rsidRPr="007114AF" w:rsidRDefault="00186207" w:rsidP="00BC1DB5">
      <w:pPr>
        <w:spacing w:after="200"/>
        <w:rPr>
          <w:rFonts w:ascii="Garamond" w:hAnsi="Garamond"/>
          <w:b/>
          <w:bCs/>
          <w:iCs/>
        </w:rPr>
      </w:pPr>
      <w:r w:rsidRPr="007114AF">
        <w:rPr>
          <w:rFonts w:ascii="Garamond" w:hAnsi="Garamond" w:cs="Arial"/>
          <w:noProof/>
          <w:lang w:val="en-US" w:eastAsia="en-US"/>
        </w:rPr>
        <w:drawing>
          <wp:inline distT="0" distB="0" distL="0" distR="0" wp14:anchorId="6EDD17D2" wp14:editId="6EDD17D3">
            <wp:extent cx="5752465" cy="1711960"/>
            <wp:effectExtent l="0" t="0" r="635" b="254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5752465" cy="1711960"/>
                    </a:xfrm>
                    <a:prstGeom prst="rect">
                      <a:avLst/>
                    </a:prstGeom>
                    <a:noFill/>
                    <a:ln>
                      <a:noFill/>
                    </a:ln>
                  </pic:spPr>
                </pic:pic>
              </a:graphicData>
            </a:graphic>
          </wp:inline>
        </w:drawing>
      </w:r>
    </w:p>
    <w:p w14:paraId="6EDD1344" w14:textId="77777777" w:rsidR="00186207" w:rsidRPr="007114AF" w:rsidRDefault="00186207" w:rsidP="001206A9">
      <w:pPr>
        <w:pStyle w:val="FIGURA"/>
      </w:pPr>
    </w:p>
    <w:p w14:paraId="6EDD1345" w14:textId="77777777" w:rsidR="001206A9" w:rsidRPr="007114AF" w:rsidRDefault="001206A9" w:rsidP="001206A9">
      <w:pPr>
        <w:pStyle w:val="FIGURA"/>
        <w:rPr>
          <w:rFonts w:cs="Arial"/>
        </w:rPr>
      </w:pPr>
      <w:r w:rsidRPr="007114AF">
        <w:rPr>
          <w:rFonts w:cs="Arial"/>
        </w:rPr>
        <w:t>Figura 5: Ndërlidhjet (pikat hyrëse) dhe progresi i deritanishëm (pra, komponentët në ngjyrë portokalli janë realizuar, ndërsa komponentët me ngjyrë bojë qielli duhet të arrihen) midis:</w:t>
      </w:r>
    </w:p>
    <w:p w14:paraId="6EDD1346" w14:textId="77777777" w:rsidR="001206A9" w:rsidRPr="007114AF" w:rsidRDefault="001206A9" w:rsidP="001206A9">
      <w:pPr>
        <w:pStyle w:val="TEKSTI"/>
      </w:pPr>
      <w:r w:rsidRPr="007114AF">
        <w:t>1. Procesit të menaxhimit të rrezikut ndaj ndryshimeve të klimës (MRRNK);</w:t>
      </w:r>
    </w:p>
    <w:p w14:paraId="6EDD1347" w14:textId="77777777" w:rsidR="001206A9" w:rsidRPr="007114AF" w:rsidRDefault="001206A9" w:rsidP="001206A9">
      <w:pPr>
        <w:pStyle w:val="TEKSTI"/>
      </w:pPr>
      <w:r w:rsidRPr="007114AF">
        <w:t xml:space="preserve">2. Procesit të Planifikimit Strategjik dhe buxhetimit afatmesëm; </w:t>
      </w:r>
    </w:p>
    <w:p w14:paraId="6EDD1348" w14:textId="067ED2CF" w:rsidR="001206A9" w:rsidRPr="007114AF" w:rsidRDefault="001206A9" w:rsidP="001206A9">
      <w:pPr>
        <w:pStyle w:val="TEKSTI"/>
      </w:pPr>
      <w:r w:rsidRPr="007114AF">
        <w:t>3. Ciklit të investimeve të projektit. (Burimi: UNEP 2011 dhe UNDP- GEF 2015)</w:t>
      </w:r>
      <w:r w:rsidR="000A2A01" w:rsidRPr="007114AF">
        <w:t xml:space="preserve"> </w:t>
      </w:r>
    </w:p>
    <w:p w14:paraId="6EDD1349" w14:textId="77777777" w:rsidR="001206A9" w:rsidRPr="007114AF" w:rsidRDefault="001206A9" w:rsidP="001206A9">
      <w:pPr>
        <w:pStyle w:val="TEKSTI"/>
      </w:pPr>
      <w:r w:rsidRPr="007114AF">
        <w:t xml:space="preserve">Tre proceset e mësipërme, konkretisht: (1) Procesi i menaxhimit të rrezikut ndaj ndryshimeve klimatike (2) Procesi i planifikimit strategjik dhe buxhetimit afatmesëm; (3) Cikli i investimeve të projektit, duhet të zhvillohen paralelisht, duke ndjekur hapat vijues. Rezultatet e secilës fazë të procesit të menaxhimit të rrezikut shërbejnë, si kontribute për faza të ndryshme të dy proceseve të tjera të lidhura me planifikimin dhe zbatimin. Secili proces është projektuar në një mënyrë të përsëritur, duke kërkuar masa të rregullta monitoruese, vlerësimi dhe korrigjuese, sipas rastit. </w:t>
      </w:r>
    </w:p>
    <w:p w14:paraId="6EDD134A" w14:textId="77777777" w:rsidR="001206A9" w:rsidRPr="007114AF" w:rsidRDefault="001206A9" w:rsidP="001206A9">
      <w:pPr>
        <w:pStyle w:val="TEKSTI"/>
      </w:pPr>
      <w:r w:rsidRPr="007114AF">
        <w:t>Hapat e paraqitura në ngjyrë portokalli tregojnë progresin e arritur deri tani në integrimin e procesit të përshtatjes ndaj ndryshimeve klimatike në buxhetin kombëtar. Është e qartë se gjatë përgatitjes së dokumentit të NAP-it, disa fusha prioritare janë diskutuar dhe dakordësuar, si dhe janë identifikuar aktivitetet/projektet. Megjithatë, cikli i investimeve të projektit është në fillim, fakt që mund të krijojë vështirësi në mobilizimin e burimeve financiare dhe integrimin e procesit të përshtatjes ndaj ndryshimeve klimatike brenda buxhetit kombëtar. Grafiku tregon se masat afatshkurtra dhe afatmesme duhet të fokusohen në plotësimin e hapit të dytë dhe të tretë të procesit të menaxhimit të rrezikut ndaj ndryshimeve klimatike, përfundimin e hapit të dytë dhe të tretë të ciklit të investimeve të projektit që nga ana e vet ka çuar në plotësimin e hapit të katërt të procesit të planifikimit - PBAM.</w:t>
      </w:r>
    </w:p>
    <w:p w14:paraId="6EDD134B" w14:textId="5952910F" w:rsidR="001206A9" w:rsidRPr="007114AF" w:rsidRDefault="001206A9" w:rsidP="001206A9">
      <w:pPr>
        <w:pStyle w:val="TEKSTI"/>
      </w:pPr>
      <w:r w:rsidRPr="007114AF">
        <w:t xml:space="preserve">Në realizimin e hapit të katërt të procesit të planifikimit, ministritë e linjës do të udhëhiqen nga kalendari PBAM dhe institucionet përgjegjëse për procesin e miratuar nga VKM-ja në fillim të çdo viti (Kalendari i PBAM) për periudhën 2017-2019. Përveç kësaj, Procesi i Investimeve të Shpenzimeve të Programit Vjetor (PISHP) në një Institucion të Qeverisë Qendrore do të </w:t>
      </w:r>
      <w:r w:rsidRPr="007114AF">
        <w:lastRenderedPageBreak/>
        <w:t>ndihmojë institucionet që të kuptojnë se përse cikli i investimeve të projektit është i rëndësishëm që të zhvillohet paralelisht me procesin e menaxhimit të rrezikut ndaj ndryshimeve klimatike. Kërkesa kryesore e PISHP-it është përcaktimi (gjatë muajve maj-qershor) i projekteve që duhet të përfshihen në PBAM me objektivat, aktivitetet, produktet dhe shpenzimet përkatëse. Vetëm projektet e miratuara për financim nga ana e donatorëve/kreditorëve të huaj dhe bashkëfinancimi nga buxheti i shtetit duhet të përfshihen në PBAM-in (MTBP) e tre viteve të ardhshme. Kjo kërkesë përmbushet nëse ciklet e mësipërme zhvillohen në mënyrë paralele pas përfundimit të tri fazave të para të planifikimit strategjik dhe ciklit të buxhetimit (2), si dhe dy fazave të para të ciklit të investimit të projektit (3).</w:t>
      </w:r>
    </w:p>
    <w:p w14:paraId="6EDD134C" w14:textId="692228DA" w:rsidR="001206A9" w:rsidRPr="007114AF" w:rsidRDefault="001206A9" w:rsidP="001206A9">
      <w:pPr>
        <w:pStyle w:val="TEKSTI"/>
      </w:pPr>
      <w:r w:rsidRPr="007114AF">
        <w:t>Në bazë të fushave prioritare të identifikuara në dokumentin e NAP-it dhe urdhrin e Kryeministrit për krijimin e grupit ndërministror për</w:t>
      </w:r>
      <w:r w:rsidR="009432FE">
        <w:t xml:space="preserve"> </w:t>
      </w:r>
      <w:r w:rsidRPr="007114AF">
        <w:t>ndryshimet klimatike (IMWGCC), si dhe në përbërjen aktuale të programeve buxhetore, 22 programe buxheti afatmesëm u identifikuan dhe analizuan, të cilat u menaxhuan nga ministritë e linjës të përfshira në procesin e PKP-ës (NAP). Programe të tjera buxhetore mund të identifikohen në të ardhmen në procesin e përshtatjes ndaj</w:t>
      </w:r>
      <w:r w:rsidR="009432FE">
        <w:t xml:space="preserve"> </w:t>
      </w:r>
      <w:r w:rsidRPr="007114AF">
        <w:t>ndryshimeve klimatike</w:t>
      </w:r>
      <w:r w:rsidR="000A2A01" w:rsidRPr="007114AF">
        <w:t xml:space="preserve"> </w:t>
      </w:r>
      <w:r w:rsidRPr="007114AF">
        <w:t>(shihni listën e programeve buxhetore në f</w:t>
      </w:r>
      <w:r w:rsidR="00AE5FB3">
        <w:t>.</w:t>
      </w:r>
      <w:r w:rsidRPr="007114AF">
        <w:t xml:space="preserve"> 328). </w:t>
      </w:r>
      <w:r w:rsidRPr="007114AF">
        <w:rPr>
          <w:bCs/>
          <w:iCs/>
        </w:rPr>
        <w:t>Dokumenti i NAP-it identifikoi një qëllim të rëndësishëm dhe tregues ambicioz brenda veprimit</w:t>
      </w:r>
      <w:r w:rsidR="000A2A01" w:rsidRPr="007114AF">
        <w:rPr>
          <w:bCs/>
          <w:iCs/>
        </w:rPr>
        <w:t xml:space="preserve"> </w:t>
      </w:r>
      <w:r w:rsidRPr="007114AF">
        <w:rPr>
          <w:bCs/>
          <w:iCs/>
        </w:rPr>
        <w:t>prioritar</w:t>
      </w:r>
      <w:r w:rsidR="00242009" w:rsidRPr="007114AF">
        <w:rPr>
          <w:bCs/>
          <w:iCs/>
        </w:rPr>
        <w:t xml:space="preserve"> nr. </w:t>
      </w:r>
      <w:r w:rsidRPr="007114AF">
        <w:rPr>
          <w:bCs/>
          <w:iCs/>
        </w:rPr>
        <w:t xml:space="preserve">3: </w:t>
      </w:r>
    </w:p>
    <w:p w14:paraId="6EDD134D" w14:textId="6E578F20" w:rsidR="001206A9" w:rsidRPr="007114AF" w:rsidRDefault="001206A9" w:rsidP="001206A9">
      <w:pPr>
        <w:pStyle w:val="TEKSTI"/>
        <w:rPr>
          <w:bCs/>
          <w:iCs/>
        </w:rPr>
      </w:pPr>
      <w:r w:rsidRPr="007114AF">
        <w:rPr>
          <w:bCs/>
          <w:iCs/>
        </w:rPr>
        <w:t>Objektivi</w:t>
      </w:r>
      <w:r w:rsidR="000A2A01" w:rsidRPr="007114AF">
        <w:rPr>
          <w:bCs/>
          <w:iCs/>
        </w:rPr>
        <w:t xml:space="preserve"> </w:t>
      </w:r>
      <w:r w:rsidRPr="007114AF">
        <w:rPr>
          <w:bCs/>
          <w:iCs/>
        </w:rPr>
        <w:t>1: Aksesi i suksesshëm në buxhetin publik të Shqipërisë për financimin e zbatimit të NAP-it.</w:t>
      </w:r>
    </w:p>
    <w:p w14:paraId="6EDD134E" w14:textId="428657B8" w:rsidR="001206A9" w:rsidRPr="007114AF" w:rsidRDefault="001206A9" w:rsidP="001206A9">
      <w:pPr>
        <w:pStyle w:val="TEKSTI"/>
        <w:rPr>
          <w:b/>
          <w:bCs/>
          <w:iCs/>
        </w:rPr>
      </w:pPr>
      <w:r w:rsidRPr="007114AF">
        <w:rPr>
          <w:bCs/>
          <w:iCs/>
        </w:rPr>
        <w:t>Treguesi</w:t>
      </w:r>
      <w:r w:rsidR="000A2A01" w:rsidRPr="007114AF">
        <w:rPr>
          <w:bCs/>
          <w:iCs/>
        </w:rPr>
        <w:t xml:space="preserve"> </w:t>
      </w:r>
      <w:r w:rsidRPr="007114AF">
        <w:rPr>
          <w:bCs/>
          <w:iCs/>
        </w:rPr>
        <w:t xml:space="preserve">1.1: Të dhënat publike dëshmojnë se të paktën një shumë fillestare prej 5 </w:t>
      </w:r>
      <w:r w:rsidR="001C47F0" w:rsidRPr="007114AF">
        <w:rPr>
          <w:bCs/>
          <w:iCs/>
        </w:rPr>
        <w:t xml:space="preserve">milionë </w:t>
      </w:r>
      <w:r w:rsidRPr="007114AF">
        <w:rPr>
          <w:bCs/>
          <w:iCs/>
        </w:rPr>
        <w:t>USD e buxhetit publik të Shqipërisë u shpenzua për zbatimin e NAP-it deri në janar 2018.</w:t>
      </w:r>
    </w:p>
    <w:p w14:paraId="6EDD134F" w14:textId="257C9560" w:rsidR="001206A9" w:rsidRPr="007114AF" w:rsidRDefault="001206A9" w:rsidP="001206A9">
      <w:pPr>
        <w:pStyle w:val="TEKSTI"/>
      </w:pPr>
      <w:r w:rsidRPr="007114AF">
        <w:t>Përveç kësaj, dokumenti i NAP-it ka identifikuar shumë sfida/pengesa dhe fushat përkatëse prioritare për zbutjen e tyre, të tilla si veprimi prioritar</w:t>
      </w:r>
      <w:r w:rsidR="00242009" w:rsidRPr="007114AF">
        <w:t xml:space="preserve"> nr. </w:t>
      </w:r>
      <w:r w:rsidRPr="007114AF">
        <w:t xml:space="preserve">6 </w:t>
      </w:r>
      <w:r w:rsidR="000A2A01" w:rsidRPr="007114AF">
        <w:t>“</w:t>
      </w:r>
      <w:r w:rsidRPr="007114AF">
        <w:t>Komunikimi dhe iniciativa për zgjerimin e ofrimit të shërbimeve</w:t>
      </w:r>
      <w:r w:rsidR="000A2A01" w:rsidRPr="007114AF">
        <w:t>”</w:t>
      </w:r>
      <w:r w:rsidRPr="007114AF">
        <w:t xml:space="preserve"> dhe fusha të tjera prioritare strategjike ndërsektoriale dhe sektoriale</w:t>
      </w:r>
      <w:r w:rsidR="00242009" w:rsidRPr="007114AF">
        <w:t xml:space="preserve"> nr. </w:t>
      </w:r>
      <w:r w:rsidRPr="007114AF">
        <w:t>8 deri</w:t>
      </w:r>
      <w:r w:rsidR="00242009" w:rsidRPr="007114AF">
        <w:t xml:space="preserve"> nr. </w:t>
      </w:r>
      <w:r w:rsidRPr="007114AF">
        <w:t>15.</w:t>
      </w:r>
    </w:p>
    <w:p w14:paraId="6EDD1350" w14:textId="3E658ED5" w:rsidR="001206A9" w:rsidRPr="007114AF" w:rsidRDefault="001206A9" w:rsidP="001206A9">
      <w:pPr>
        <w:pStyle w:val="TEKSTI"/>
      </w:pPr>
      <w:r w:rsidRPr="007114AF">
        <w:t>Përvoja e vendeve të tjera ka treguar se procesi i ndërtimit të rimëkëmbjes ndaj ndryshimeve klimatike në ekonomi dhe shoqëri, do të thotë përballje me më shumë sfida, të tilla si qasja e fragmentuar institucionale dhe pengesa rregullatore, burime të pamjaftueshme financiare në nivel vendor për të trajtuar përshtatjen ndaj ndryshimeve klimatike, njohuri të pakta për procesin e buxhetimit vjetor dhe afatmesëm, kompleksitet dhe koordinim sektorial të shpenzimeve për ndryshimet klimatike etj. Sfidat për integrimin e përshtatjes ndaj ndryshimeve klimatike në paraqitjen e buxhetit vjetor dhe afatmesëm shpjegohen më tej në f</w:t>
      </w:r>
      <w:r w:rsidR="009432FE">
        <w:t>.</w:t>
      </w:r>
      <w:r w:rsidRPr="007114AF">
        <w:t xml:space="preserve"> 329.</w:t>
      </w:r>
    </w:p>
    <w:p w14:paraId="6EDD1351" w14:textId="77777777" w:rsidR="001206A9" w:rsidRPr="007114AF" w:rsidRDefault="00B976ED" w:rsidP="001206A9">
      <w:pPr>
        <w:pStyle w:val="TEKSTI"/>
        <w:rPr>
          <w:b/>
        </w:rPr>
      </w:pPr>
      <w:r w:rsidRPr="007114AF">
        <w:rPr>
          <w:b/>
        </w:rPr>
        <w:t xml:space="preserve">- </w:t>
      </w:r>
      <w:r w:rsidR="001206A9" w:rsidRPr="007114AF">
        <w:rPr>
          <w:b/>
        </w:rPr>
        <w:t>Monitorimi i financimeve të klimës</w:t>
      </w:r>
    </w:p>
    <w:p w14:paraId="6EDD1352" w14:textId="7451624F" w:rsidR="001206A9" w:rsidRPr="007114AF" w:rsidRDefault="001206A9" w:rsidP="001206A9">
      <w:pPr>
        <w:pStyle w:val="TEKSTI"/>
        <w:rPr>
          <w:color w:val="000000" w:themeColor="text1"/>
        </w:rPr>
      </w:pPr>
      <w:r w:rsidRPr="007114AF">
        <w:rPr>
          <w:color w:val="000000" w:themeColor="text1"/>
        </w:rPr>
        <w:t>Trajtimi dhe ndjekja e monitorimit të performancës dhe raportimi mbi rezultatet e përshtatjes janë thelbësore për caktimin e prioriteteve, duke udhëhequr zbatimin dhe vlerësimin e progresit drejt përshtatjes (shihni figurën 3: faza e fundit e MNRRK-ës</w:t>
      </w:r>
      <w:r w:rsidR="009432FE">
        <w:rPr>
          <w:color w:val="000000" w:themeColor="text1"/>
        </w:rPr>
        <w:t xml:space="preserve"> </w:t>
      </w:r>
      <w:r w:rsidRPr="007114AF">
        <w:rPr>
          <w:color w:val="000000" w:themeColor="text1"/>
        </w:rPr>
        <w:t>dhe ciklin e planifikimit). Monitorimi dhe raportimi do të duhet të marrin në konsideratë natyrën e larmishme të përshtatjes, përfshijnë gamën e barrierave dhe objektivave social</w:t>
      </w:r>
      <w:r w:rsidR="009B0B46">
        <w:rPr>
          <w:color w:val="000000" w:themeColor="text1"/>
        </w:rPr>
        <w:t>ë</w:t>
      </w:r>
      <w:r w:rsidRPr="007114AF">
        <w:rPr>
          <w:color w:val="000000" w:themeColor="text1"/>
        </w:rPr>
        <w:t>, ekonomik</w:t>
      </w:r>
      <w:r w:rsidR="009B0B46">
        <w:rPr>
          <w:color w:val="000000" w:themeColor="text1"/>
        </w:rPr>
        <w:t>ë</w:t>
      </w:r>
      <w:r w:rsidRPr="007114AF">
        <w:rPr>
          <w:color w:val="000000" w:themeColor="text1"/>
        </w:rPr>
        <w:t xml:space="preserve"> dhe mjedisor</w:t>
      </w:r>
      <w:r w:rsidR="009B0B46">
        <w:rPr>
          <w:color w:val="000000" w:themeColor="text1"/>
        </w:rPr>
        <w:t>ë</w:t>
      </w:r>
      <w:r w:rsidRPr="007114AF">
        <w:rPr>
          <w:color w:val="000000" w:themeColor="text1"/>
        </w:rPr>
        <w:t xml:space="preserve"> të përshtatjes.</w:t>
      </w:r>
      <w:r w:rsidR="000A2A01" w:rsidRPr="007114AF">
        <w:rPr>
          <w:color w:val="000000" w:themeColor="text1"/>
        </w:rPr>
        <w:t xml:space="preserve"> </w:t>
      </w:r>
    </w:p>
    <w:p w14:paraId="6EDD1353" w14:textId="77777777" w:rsidR="001206A9" w:rsidRPr="007114AF" w:rsidRDefault="001206A9" w:rsidP="001206A9">
      <w:pPr>
        <w:pStyle w:val="TEKSTI"/>
        <w:rPr>
          <w:color w:val="000000" w:themeColor="text1"/>
        </w:rPr>
      </w:pPr>
      <w:r w:rsidRPr="007114AF">
        <w:rPr>
          <w:color w:val="000000" w:themeColor="text1"/>
        </w:rPr>
        <w:t>Ky tip i raportimit mund të bazohet në raportet e rregullta të progresit të përshtatjes nga institucionet kryesore qeveritare që ofrojnë elemente të përshtatjes. Veprimi prioritar 4 mbulon monitorimin e ndikimit të klimës, si dhe monitorimin e reagimit në përshtatjen e suksesshme.</w:t>
      </w:r>
    </w:p>
    <w:p w14:paraId="6EDD1354" w14:textId="77777777" w:rsidR="001206A9" w:rsidRPr="007114AF" w:rsidRDefault="001206A9" w:rsidP="001206A9">
      <w:pPr>
        <w:pStyle w:val="TEKSTI"/>
        <w:rPr>
          <w:color w:val="000000" w:themeColor="text1"/>
        </w:rPr>
      </w:pPr>
      <w:r w:rsidRPr="007114AF">
        <w:rPr>
          <w:color w:val="000000" w:themeColor="text1"/>
        </w:rPr>
        <w:t>Objektivi 1: Vlerësimi i progresit ndaj objektivave të përtëritjes së klimës.</w:t>
      </w:r>
    </w:p>
    <w:p w14:paraId="6EDD1355" w14:textId="77777777" w:rsidR="001206A9" w:rsidRPr="007114AF" w:rsidRDefault="001206A9" w:rsidP="001206A9">
      <w:pPr>
        <w:pStyle w:val="TEKSTI"/>
        <w:rPr>
          <w:color w:val="000000" w:themeColor="text1"/>
        </w:rPr>
      </w:pPr>
      <w:r w:rsidRPr="007114AF">
        <w:rPr>
          <w:color w:val="000000" w:themeColor="text1"/>
        </w:rPr>
        <w:t>Objektivi 2: Krijimi i një sistemi monitorimi të bazuar në rezultate (MBR) për ndryshimet klimatike.</w:t>
      </w:r>
    </w:p>
    <w:p w14:paraId="6EDD1356" w14:textId="77777777" w:rsidR="001206A9" w:rsidRPr="007114AF" w:rsidRDefault="001206A9" w:rsidP="001206A9">
      <w:pPr>
        <w:pStyle w:val="TEKSTI"/>
        <w:rPr>
          <w:color w:val="000000" w:themeColor="text1"/>
        </w:rPr>
      </w:pPr>
      <w:r w:rsidRPr="007114AF">
        <w:rPr>
          <w:color w:val="000000" w:themeColor="text1"/>
        </w:rPr>
        <w:t>Dokumenti Tregues Strategjik për IPA II (2014-2020) thekson se asistenca financiare e BE-së duhet të jetë në përputhje me objektivat e politikave të BE-së, duke përfshirë politikën për klimën.</w:t>
      </w:r>
    </w:p>
    <w:p w14:paraId="6EDD1357" w14:textId="18AC07F6" w:rsidR="001206A9" w:rsidRPr="007114AF" w:rsidRDefault="001206A9" w:rsidP="001206A9">
      <w:pPr>
        <w:pStyle w:val="TEKSTI"/>
        <w:rPr>
          <w:color w:val="000000" w:themeColor="text1"/>
        </w:rPr>
      </w:pPr>
      <w:r w:rsidRPr="007114AF">
        <w:rPr>
          <w:color w:val="000000" w:themeColor="text1"/>
        </w:rPr>
        <w:t>Shpenzimet e përshtatjes ndaj ndryshimeve klimatike mund të gjurmohen gjatë ekzekutimit të buxhetit dhe të monitorohen, nëpërmjet miratimit të shenjuesve statistikorë të përcaktuar nga OECD-ja, siç paraqitet në f</w:t>
      </w:r>
      <w:r w:rsidR="009432FE">
        <w:rPr>
          <w:color w:val="000000" w:themeColor="text1"/>
        </w:rPr>
        <w:t>.</w:t>
      </w:r>
      <w:r w:rsidRPr="007114AF">
        <w:rPr>
          <w:color w:val="000000" w:themeColor="text1"/>
        </w:rPr>
        <w:t xml:space="preserve"> 330</w:t>
      </w:r>
      <w:r w:rsidR="009432FE">
        <w:rPr>
          <w:color w:val="000000" w:themeColor="text1"/>
        </w:rPr>
        <w:t>–</w:t>
      </w:r>
      <w:r w:rsidRPr="007114AF">
        <w:rPr>
          <w:color w:val="000000" w:themeColor="text1"/>
        </w:rPr>
        <w:t xml:space="preserve">331. </w:t>
      </w:r>
    </w:p>
    <w:p w14:paraId="6EDD1358" w14:textId="77777777" w:rsidR="001206A9" w:rsidRPr="007114AF" w:rsidRDefault="001206A9" w:rsidP="001206A9">
      <w:pPr>
        <w:pStyle w:val="TEKSTI"/>
        <w:rPr>
          <w:color w:val="000000" w:themeColor="text1"/>
        </w:rPr>
      </w:pPr>
      <w:r w:rsidRPr="007114AF">
        <w:rPr>
          <w:color w:val="000000" w:themeColor="text1"/>
        </w:rPr>
        <w:t xml:space="preserve">Klasifikimi, monitorimi dhe raportimi aktual i buxhetit </w:t>
      </w:r>
    </w:p>
    <w:p w14:paraId="6EDD1359" w14:textId="77777777" w:rsidR="001206A9" w:rsidRPr="007114AF" w:rsidRDefault="001206A9" w:rsidP="001206A9">
      <w:pPr>
        <w:pStyle w:val="TEKSTI"/>
        <w:rPr>
          <w:color w:val="000000" w:themeColor="text1"/>
        </w:rPr>
      </w:pPr>
      <w:r w:rsidRPr="007114AF">
        <w:rPr>
          <w:color w:val="000000" w:themeColor="text1"/>
        </w:rPr>
        <w:lastRenderedPageBreak/>
        <w:t>Kërkesat e klasifikimit të buxhetit vendosen me ligj dhe përcaktohen nga ministri i Financave, në përputhje me standardet ndërkombëtare. Ato unifikohen me skemën publike të llogarive për të gjitha institucionet qendrore, të qeverisë vendore dhe fondeve të posaçme. Minimalisht, klasifikimet buxhetore mbulojnë klasifikimin ndërqeveritar, klasifikimin administrativ, klasifikimin funksional, klasifikimin e bazuar në programe, klasifikimin sipas burimeve të financimit (shtetërore, vendore, financimi ndërkombëtar) dhe klasifikimin ekonomik. Vendimet politike të qeverisë merren mbi bazë programi. Alokimet miratohen nga njësia administrative, programi dhe kategoria kryesore ekonomike: shpenzime të kapitalit dhe shpenzime rrjedhëse (personeli, interesi financiar, operacionet dhe mirëmbajtja, subvencionet, transfertat për individët). Përbërja kryesore e të ardhurave shtetërore përfshin grante, taksa dhe të ardhura jotatimore.</w:t>
      </w:r>
    </w:p>
    <w:p w14:paraId="6EDD135A" w14:textId="77777777" w:rsidR="001206A9" w:rsidRPr="007114AF" w:rsidRDefault="001206A9" w:rsidP="001206A9">
      <w:pPr>
        <w:pStyle w:val="TEKSTI"/>
        <w:rPr>
          <w:color w:val="000000" w:themeColor="text1"/>
        </w:rPr>
      </w:pPr>
      <w:r w:rsidRPr="007114AF">
        <w:rPr>
          <w:color w:val="000000" w:themeColor="text1"/>
        </w:rPr>
        <w:t>Të gjitha transaksionet e qeverisë qendrore dhe vendore janë ekzekutuar nga Llogaria e Vetme e Thesarit në Bankën Qendrore, nëpërmjet Sistemit Qeveritar të Informacionit Financiar të administruar nga Departamenti i Thesarit pranë Ministrisë së Financave. Sistemi refuzon çdo shpenzim për të cilin ka alokime të pamjaftueshme. Të gjitha transaksionet kontrollohen nga programet buxhetore dhe klasifikimi institucional, dhe gjurmohen nëpërmjet sistemit elektronik në nivel të detajuar (nivele shtesë: sipas rajoneve, rretheve dhe projekteve dhe deri në 7 shifra të shpenzimeve ekonomike kundrejt 3 shifrave të miratuara me ligj). Një numër i kufizuar i institucioneve vendore dhe qendrore (15 nga 100 institucione) janë përdorues të drejtpërdrejtë të Sistemit Qeveritar të Informacionit Financiar.</w:t>
      </w:r>
    </w:p>
    <w:p w14:paraId="6EDD135B" w14:textId="71356B21" w:rsidR="001206A9" w:rsidRPr="007114AF" w:rsidRDefault="001206A9" w:rsidP="001206A9">
      <w:pPr>
        <w:pStyle w:val="TEKSTI"/>
        <w:rPr>
          <w:color w:val="000000" w:themeColor="text1"/>
        </w:rPr>
      </w:pPr>
      <w:r w:rsidRPr="007114AF">
        <w:rPr>
          <w:color w:val="000000" w:themeColor="text1"/>
        </w:rPr>
        <w:t>Ekzekutimi i buxhetit dhe raportet e monitorimit përgatiten katër herë në vit nga sekretarët e përgjithshëm të ministrive të linjës dhe kryetarët e bashkive dhe i paraqiten Ministrisë së Financave. Brenda një muaji pas përfundimit të periudhës raportuese,Ministri i Financave paraqet raportet e monitorimit dhe zbatimit të buxhetit në Këshillin e Ministrave dhe Kuvend. Këto raporte bazohen në performancë dhe përbëhen nga: performanca financiare e secilit program; produktet e prodhuara nga çdo program; objektivat e arritur nga çdo program.</w:t>
      </w:r>
    </w:p>
    <w:p w14:paraId="6EDD135C" w14:textId="77777777" w:rsidR="001206A9" w:rsidRPr="007114AF" w:rsidRDefault="001206A9" w:rsidP="001206A9">
      <w:pPr>
        <w:pStyle w:val="TEKSTI"/>
        <w:rPr>
          <w:rFonts w:eastAsiaTheme="minorHAnsi"/>
          <w:lang w:eastAsia="en-US"/>
        </w:rPr>
      </w:pPr>
      <w:r w:rsidRPr="007114AF">
        <w:rPr>
          <w:color w:val="000000" w:themeColor="text1"/>
        </w:rPr>
        <w:t>Gjatë tre viteve të ardhshme, Ministria e Financave dhe Ekonomisë do të përmirësojë Sistemin Qeveritar të Informacionit Financiar e sistemit ekzistues financiar, në një sistem të ri informacioni të menaxhimit financiar (SIMFSH), duke integruar planifikimin dhe monitorimin afatmesëm, si dhe procesin e menaxhimit të projektit. Kjo ndoshta do të shoqërohet me përmirësimin e klasifikimeve buxhetore.</w:t>
      </w:r>
    </w:p>
    <w:p w14:paraId="6EDD135D" w14:textId="77777777" w:rsidR="001206A9" w:rsidRPr="007114AF" w:rsidRDefault="00B976ED" w:rsidP="001206A9">
      <w:pPr>
        <w:pStyle w:val="TEKSTI"/>
        <w:rPr>
          <w:b/>
        </w:rPr>
      </w:pPr>
      <w:r w:rsidRPr="007114AF">
        <w:rPr>
          <w:b/>
        </w:rPr>
        <w:t xml:space="preserve">- </w:t>
      </w:r>
      <w:r w:rsidR="001206A9" w:rsidRPr="007114AF">
        <w:rPr>
          <w:b/>
        </w:rPr>
        <w:t>Avancimi i procesit për integrimin e fondeve të klimës në PBAM</w:t>
      </w:r>
    </w:p>
    <w:p w14:paraId="6EDD135E" w14:textId="77777777" w:rsidR="001206A9" w:rsidRPr="007114AF" w:rsidRDefault="001206A9" w:rsidP="001206A9">
      <w:pPr>
        <w:pStyle w:val="TEKSTI"/>
      </w:pPr>
      <w:r w:rsidRPr="007114AF">
        <w:t xml:space="preserve">Menaxhimi i rrezikut të klimës, koordinimi i aktiviteteve dhe kuadrove të përshtatjes ndaj ndryshimeve klimatike dhe integrimi i tyre në proceset vendimmarrëse dhe të planifikimit të zhvillimit janë fusha kërkimore dhe përpjekje praktike relativisht të reja. Gjithashtu, përvoja shqiptare nga fusha të tjera, të tilla si çështjet gjinore, ka treguar se integrimi në politikën sektoriale kombëtare dhe PBAM (MTBP) është një proces multidimensional, i vazhdueshëm që kërkon kohë (p.sh. procesi i integrimit gjinor në PBAM filloi në vitin 2012, me identifikimin dhe përgatitjen e kuadrit përkatës dhe strukturat institucionale dhe është ende në zhvillim si një qasje pilot). </w:t>
      </w:r>
    </w:p>
    <w:p w14:paraId="6EDD135F" w14:textId="77777777" w:rsidR="001206A9" w:rsidRPr="007114AF" w:rsidRDefault="001206A9" w:rsidP="001206A9">
      <w:pPr>
        <w:pStyle w:val="TEKSTI"/>
      </w:pPr>
      <w:r w:rsidRPr="007114AF">
        <w:t>Ndërsa po punohet drejt rritjes së ndërgjegjësimit midis qeverisë dhe popullatës, me qëllim garantimin e një zbatimi të suksesshëm të politikave të përshtatjes ndaj ndryshimeve klimatike dhe masave prioritare të NAP-it, mund të merren në konsideratë hapat e mëposhtëm:</w:t>
      </w:r>
    </w:p>
    <w:p w14:paraId="6EDD1360" w14:textId="1D17D1C8" w:rsidR="001206A9" w:rsidRPr="007114AF" w:rsidRDefault="00B976ED" w:rsidP="001206A9">
      <w:pPr>
        <w:pStyle w:val="TEKSTI"/>
        <w:rPr>
          <w:color w:val="000000"/>
        </w:rPr>
      </w:pPr>
      <w:r w:rsidRPr="007114AF">
        <w:rPr>
          <w:color w:val="000000"/>
        </w:rPr>
        <w:t xml:space="preserve">1. </w:t>
      </w:r>
      <w:r w:rsidR="001206A9" w:rsidRPr="007114AF">
        <w:rPr>
          <w:color w:val="000000"/>
        </w:rPr>
        <w:t>Rishikimi/përmirësimi i strategjive aktuale sektoriale dhe lidhja me SKZHI, bazuar në NAP-in për ndryshimet klimatike dhe masat prioritare</w:t>
      </w:r>
      <w:r w:rsidR="00242009" w:rsidRPr="007114AF">
        <w:rPr>
          <w:color w:val="000000"/>
        </w:rPr>
        <w:t xml:space="preserve"> nr. </w:t>
      </w:r>
      <w:r w:rsidR="001206A9" w:rsidRPr="007114AF">
        <w:rPr>
          <w:color w:val="000000"/>
        </w:rPr>
        <w:t>2 dhe</w:t>
      </w:r>
      <w:r w:rsidR="00242009" w:rsidRPr="007114AF">
        <w:rPr>
          <w:color w:val="000000"/>
        </w:rPr>
        <w:t xml:space="preserve"> nr. </w:t>
      </w:r>
      <w:r w:rsidR="001206A9" w:rsidRPr="007114AF">
        <w:rPr>
          <w:color w:val="000000"/>
        </w:rPr>
        <w:t>6</w:t>
      </w:r>
      <w:r w:rsidR="001206A9" w:rsidRPr="007114AF">
        <w:rPr>
          <w:rStyle w:val="FootnoteReference"/>
          <w:color w:val="000000"/>
        </w:rPr>
        <w:footnoteReference w:id="65"/>
      </w:r>
      <w:r w:rsidR="001206A9" w:rsidRPr="007114AF">
        <w:rPr>
          <w:color w:val="000000"/>
        </w:rPr>
        <w:t>.</w:t>
      </w:r>
    </w:p>
    <w:p w14:paraId="6EDD1361" w14:textId="77777777" w:rsidR="001206A9" w:rsidRPr="007114AF" w:rsidRDefault="00B976ED" w:rsidP="001206A9">
      <w:pPr>
        <w:pStyle w:val="TEKSTI"/>
        <w:rPr>
          <w:color w:val="000000"/>
        </w:rPr>
      </w:pPr>
      <w:r w:rsidRPr="007114AF">
        <w:rPr>
          <w:color w:val="000000"/>
        </w:rPr>
        <w:t xml:space="preserve">2. </w:t>
      </w:r>
      <w:r w:rsidR="001206A9" w:rsidRPr="007114AF">
        <w:rPr>
          <w:color w:val="000000"/>
        </w:rPr>
        <w:t xml:space="preserve">Përgatitja e rregullimeve të nevojshme. </w:t>
      </w:r>
    </w:p>
    <w:p w14:paraId="6EDD1362" w14:textId="77777777" w:rsidR="001206A9" w:rsidRPr="007114AF" w:rsidRDefault="00B976ED" w:rsidP="001206A9">
      <w:pPr>
        <w:pStyle w:val="TEKSTI"/>
        <w:rPr>
          <w:color w:val="000000"/>
        </w:rPr>
      </w:pPr>
      <w:r w:rsidRPr="007114AF">
        <w:rPr>
          <w:color w:val="000000"/>
        </w:rPr>
        <w:t xml:space="preserve">3. </w:t>
      </w:r>
      <w:r w:rsidR="001206A9" w:rsidRPr="007114AF">
        <w:rPr>
          <w:color w:val="000000"/>
        </w:rPr>
        <w:t>Trajnimi dhe rritja e cilësisë së njohurive të</w:t>
      </w:r>
      <w:r w:rsidR="001206A9" w:rsidRPr="007114AF">
        <w:rPr>
          <w:rStyle w:val="FootnoteReference"/>
          <w:color w:val="000000"/>
        </w:rPr>
        <w:footnoteReference w:id="66"/>
      </w:r>
      <w:r w:rsidR="001206A9" w:rsidRPr="007114AF">
        <w:rPr>
          <w:color w:val="000000"/>
        </w:rPr>
        <w:t>:</w:t>
      </w:r>
    </w:p>
    <w:p w14:paraId="6EDD1363" w14:textId="77777777" w:rsidR="001206A9" w:rsidRPr="007114AF" w:rsidRDefault="00B976ED" w:rsidP="001206A9">
      <w:pPr>
        <w:pStyle w:val="TEKSTI"/>
        <w:rPr>
          <w:color w:val="000000"/>
        </w:rPr>
      </w:pPr>
      <w:r w:rsidRPr="007114AF">
        <w:rPr>
          <w:color w:val="000000"/>
        </w:rPr>
        <w:lastRenderedPageBreak/>
        <w:t xml:space="preserve">- </w:t>
      </w:r>
      <w:r w:rsidR="001206A9" w:rsidRPr="007114AF">
        <w:rPr>
          <w:color w:val="000000"/>
        </w:rPr>
        <w:t>personave kyç të qeverisë qendrore dhe vendore të përfshirë në formulimin e politikave dhe procesin e buxhetimit afatmesëm;</w:t>
      </w:r>
    </w:p>
    <w:p w14:paraId="6EDD1364" w14:textId="01F6D044" w:rsidR="001206A9" w:rsidRPr="007114AF" w:rsidRDefault="00B976ED" w:rsidP="001206A9">
      <w:pPr>
        <w:pStyle w:val="TEKSTI"/>
        <w:rPr>
          <w:color w:val="000000"/>
        </w:rPr>
      </w:pPr>
      <w:r w:rsidRPr="007114AF">
        <w:rPr>
          <w:color w:val="000000"/>
        </w:rPr>
        <w:t xml:space="preserve">- </w:t>
      </w:r>
      <w:r w:rsidR="001206A9" w:rsidRPr="007114AF">
        <w:rPr>
          <w:color w:val="000000"/>
        </w:rPr>
        <w:t>ekipet teknike që çmojnë vlerësimin e investimeve të projektit, në mënyrë që të kenë kapacitetin për të shqyrtuar ndikimin e ndryshimeve</w:t>
      </w:r>
      <w:r w:rsidR="000A2A01" w:rsidRPr="007114AF">
        <w:rPr>
          <w:color w:val="000000"/>
        </w:rPr>
        <w:t xml:space="preserve"> </w:t>
      </w:r>
      <w:r w:rsidR="001206A9" w:rsidRPr="007114AF">
        <w:rPr>
          <w:color w:val="000000"/>
        </w:rPr>
        <w:t>klimatike;</w:t>
      </w:r>
    </w:p>
    <w:p w14:paraId="6EDD1365" w14:textId="77777777" w:rsidR="001206A9" w:rsidRPr="007114AF" w:rsidRDefault="00B976ED" w:rsidP="001206A9">
      <w:pPr>
        <w:pStyle w:val="TEKSTI"/>
        <w:rPr>
          <w:color w:val="000000"/>
        </w:rPr>
      </w:pPr>
      <w:r w:rsidRPr="007114AF">
        <w:rPr>
          <w:color w:val="000000"/>
        </w:rPr>
        <w:t xml:space="preserve">- </w:t>
      </w:r>
      <w:r w:rsidR="001206A9" w:rsidRPr="007114AF">
        <w:rPr>
          <w:color w:val="000000"/>
        </w:rPr>
        <w:t>shkëmbimi i përvojave me qeveri të tjera që kanë qenë të suksesshme në përfshirjen e kostos së reformave strukturore në buxhet, do të ishte tepër i vlefshëm.</w:t>
      </w:r>
    </w:p>
    <w:p w14:paraId="6EDD1366" w14:textId="655D4FA2" w:rsidR="001206A9" w:rsidRPr="007114AF" w:rsidRDefault="00B976ED" w:rsidP="001206A9">
      <w:pPr>
        <w:pStyle w:val="TEKSTI"/>
        <w:rPr>
          <w:color w:val="000000"/>
        </w:rPr>
      </w:pPr>
      <w:r w:rsidRPr="007114AF">
        <w:rPr>
          <w:color w:val="000000"/>
        </w:rPr>
        <w:t xml:space="preserve">4. </w:t>
      </w:r>
      <w:r w:rsidR="001206A9" w:rsidRPr="007114AF">
        <w:rPr>
          <w:color w:val="000000"/>
        </w:rPr>
        <w:t>Procesi aktual i miratimit të projektit kryhet nga Komiteti i Zhvillimit Rajonal (Kryeministria) dhe Ministria e Bujqësisë dhe Zhvillimit Rural mund të përfshijë një kërkesë për të treguar se ndryshimet e klimës janë marrë në konsideratë për investime në zonat me rrezik të lartë (për zonat e tjera mund të duhen kërkesa më të buta, n</w:t>
      </w:r>
      <w:r w:rsidR="0000517F">
        <w:rPr>
          <w:color w:val="000000"/>
        </w:rPr>
        <w:t>ë</w:t>
      </w:r>
      <w:r w:rsidR="001206A9" w:rsidRPr="007114AF">
        <w:rPr>
          <w:color w:val="000000"/>
        </w:rPr>
        <w:t xml:space="preserve"> varësi të vulnerabilitetit të zonës). Ky proces mund të përfshijë një pyetje të thjeshtë cilësore lidhur me verifikimin e marrjes në konsideratë të ndryshimeve klimatike për programe më të vogla apo programe që nuk pretendohen të jenë të rëndësishme për klimën. Për programe më të mëdha lidhur me klimën, kjo duhet të përfshijë një analizë më rigoroze. Paraqitja e analizës së përmirësimit të klimës në vlerësimin e projektit mund të koordinohet nga Sekretariati i Zhvillimit Rajonal pranë zyrës së Kryeministrisë (PMO, me kontribut të përbashkët nga Ministria e Turizmit dhe Mjedisit (për çështjet klimatike) dhe Ministrisë së Financave (për çështjet ekonomike).</w:t>
      </w:r>
    </w:p>
    <w:p w14:paraId="6EDD1367" w14:textId="77777777" w:rsidR="001206A9" w:rsidRPr="007114AF" w:rsidRDefault="00B976ED" w:rsidP="001206A9">
      <w:pPr>
        <w:pStyle w:val="TEKSTI"/>
        <w:rPr>
          <w:color w:val="000000"/>
        </w:rPr>
      </w:pPr>
      <w:r w:rsidRPr="007114AF">
        <w:rPr>
          <w:color w:val="000000"/>
        </w:rPr>
        <w:t xml:space="preserve">5. </w:t>
      </w:r>
      <w:r w:rsidR="001206A9" w:rsidRPr="007114AF">
        <w:rPr>
          <w:color w:val="000000"/>
        </w:rPr>
        <w:t>Procesi i gjurmimit dhe monitorimit:</w:t>
      </w:r>
    </w:p>
    <w:p w14:paraId="6EDD1368" w14:textId="77777777" w:rsidR="001206A9" w:rsidRPr="007114AF" w:rsidRDefault="00B976ED" w:rsidP="001206A9">
      <w:pPr>
        <w:pStyle w:val="TEKSTI"/>
        <w:rPr>
          <w:color w:val="000000"/>
        </w:rPr>
      </w:pPr>
      <w:r w:rsidRPr="007114AF">
        <w:rPr>
          <w:rFonts w:cs="Calibri"/>
        </w:rPr>
        <w:t xml:space="preserve">- </w:t>
      </w:r>
      <w:r w:rsidR="001206A9" w:rsidRPr="007114AF">
        <w:rPr>
          <w:rFonts w:cs="Calibri"/>
        </w:rPr>
        <w:t>Sistemin qeveritar i informacionit financiar</w:t>
      </w:r>
      <w:r w:rsidR="001206A9" w:rsidRPr="007114AF">
        <w:rPr>
          <w:color w:val="000000"/>
        </w:rPr>
        <w:t xml:space="preserve"> dhe/ose sistemi i klasifikimit buxhetor mund të përmirësohen (pa ndryshuar parimet kryesore) për të ofruar informacion për shpenzimet klimatike brenda ministrive, qoftë nëpërmjet krijimit të nënprogrameve për ndryshimet klimatike ose nëpërmjet dhënies së detajeve të lidhura me projekte, sipas aktiviteteve të programit/veprimtarisë ose rezultatet. Kjo do të ndihmojë ndjeshëm në të ardhmen e afërt për raportim në BE për përdorimin e fondeve IPA, nga të cilat 20% parashikohen për shpenzimet për përshtatja ndaj ndryshimeve klimatike dhe do të monitorohen si të tilla. Gjithashtu, mbështetja e buxhetit të BE-së ndaj sektorit mjedisor që mund të bazohet në skemën e rimbursimit për shpenzimet e shkaktuara nga buxheti kombëtar, kërkon monitorim nga afër dhe raportim të shpenzimeve për përshtatjen ndaj ndryshimeve klimatike. </w:t>
      </w:r>
    </w:p>
    <w:p w14:paraId="6EDD1369" w14:textId="65FA7C6B" w:rsidR="001206A9" w:rsidRPr="007114AF" w:rsidRDefault="00B976ED" w:rsidP="001206A9">
      <w:pPr>
        <w:pStyle w:val="TEKSTI"/>
        <w:rPr>
          <w:color w:val="000000"/>
        </w:rPr>
      </w:pPr>
      <w:r w:rsidRPr="007114AF">
        <w:rPr>
          <w:color w:val="000000"/>
        </w:rPr>
        <w:t xml:space="preserve">- </w:t>
      </w:r>
      <w:r w:rsidR="001206A9" w:rsidRPr="007114AF">
        <w:rPr>
          <w:color w:val="000000"/>
        </w:rPr>
        <w:t xml:space="preserve">Gjurmimi alternativ i shpenzimeve mund të kryhej nëpërmjet Agjencisë Kombëtare Mjedisore, funksioni kryesor i </w:t>
      </w:r>
      <w:r w:rsidR="00362F59">
        <w:rPr>
          <w:color w:val="000000"/>
        </w:rPr>
        <w:t>s</w:t>
      </w:r>
      <w:r w:rsidR="001206A9" w:rsidRPr="007114AF">
        <w:rPr>
          <w:color w:val="000000"/>
        </w:rPr>
        <w:t xml:space="preserve">ë cilës është monitorimi mjedisor. Ju lutemi vëreni se ky nuk duhet të jetë burimi kryesor për monitorimin e përshtatjen ndaj ndryshimeve klimatike, për shkak se reforma e plotë e përshtatjes ndaj ndryshimeve klimatike nuk lidhet me </w:t>
      </w:r>
      <w:r w:rsidR="000A2A01" w:rsidRPr="007114AF">
        <w:rPr>
          <w:color w:val="000000"/>
        </w:rPr>
        <w:t>“</w:t>
      </w:r>
      <w:r w:rsidR="001206A9" w:rsidRPr="007114AF">
        <w:rPr>
          <w:color w:val="000000"/>
        </w:rPr>
        <w:t>lejen mjedisore</w:t>
      </w:r>
      <w:r w:rsidR="000A2A01" w:rsidRPr="007114AF">
        <w:rPr>
          <w:color w:val="000000"/>
        </w:rPr>
        <w:t>”</w:t>
      </w:r>
      <w:r w:rsidR="001206A9" w:rsidRPr="007114AF">
        <w:rPr>
          <w:color w:val="000000"/>
        </w:rPr>
        <w:t>.</w:t>
      </w:r>
    </w:p>
    <w:p w14:paraId="6EDD136A" w14:textId="77777777" w:rsidR="001206A9" w:rsidRPr="007114AF" w:rsidRDefault="001206A9" w:rsidP="001206A9">
      <w:pPr>
        <w:pStyle w:val="TEKSTI"/>
        <w:rPr>
          <w:color w:val="000000"/>
        </w:rPr>
      </w:pPr>
      <w:r w:rsidRPr="007114AF">
        <w:rPr>
          <w:color w:val="000000"/>
        </w:rPr>
        <w:t>Rekomandohet qasja e mëposhtme integruese:</w:t>
      </w:r>
    </w:p>
    <w:p w14:paraId="6EDD136B" w14:textId="4B67B0F2" w:rsidR="001206A9" w:rsidRPr="007114AF" w:rsidRDefault="001206A9" w:rsidP="001206A9">
      <w:pPr>
        <w:pStyle w:val="TEKSTI"/>
        <w:rPr>
          <w:color w:val="000000"/>
          <w:u w:val="single"/>
        </w:rPr>
      </w:pPr>
      <w:r w:rsidRPr="007114AF">
        <w:rPr>
          <w:color w:val="000000"/>
          <w:u w:val="single"/>
        </w:rPr>
        <w:t>Faza 1 -</w:t>
      </w:r>
      <w:r w:rsidR="000A2A01" w:rsidRPr="007114AF">
        <w:rPr>
          <w:color w:val="000000"/>
          <w:u w:val="single"/>
        </w:rPr>
        <w:t xml:space="preserve"> </w:t>
      </w:r>
      <w:r w:rsidRPr="007114AF">
        <w:rPr>
          <w:color w:val="000000"/>
          <w:u w:val="single"/>
        </w:rPr>
        <w:t xml:space="preserve">Qasja afatshkurtër dhe afatmesme: </w:t>
      </w:r>
    </w:p>
    <w:p w14:paraId="6EDD136C" w14:textId="5632C799" w:rsidR="001206A9" w:rsidRPr="007114AF" w:rsidRDefault="001206A9" w:rsidP="001206A9">
      <w:pPr>
        <w:pStyle w:val="TEKSTI"/>
        <w:rPr>
          <w:color w:val="000000"/>
        </w:rPr>
      </w:pPr>
      <w:r w:rsidRPr="007114AF">
        <w:rPr>
          <w:color w:val="000000"/>
        </w:rPr>
        <w:t>Para integrimit të përshtatjes ndaj ndryshimeve klimatike në një zhvillim më të gjerë, vendimmarrësit financiarë duan të shqyrtojnë një periudhë demonstrimi për të mësuar për kompleksitetin e procesit, si dhe për të pasur një perceptim të rreziqeve dhe përfitimeve të mundshme prej tij. Do të ishte e parakohshme që brenda sistemit kombëtar të integroheshin opsione të kuptuara jo qartë.</w:t>
      </w:r>
      <w:r w:rsidR="000A2A01" w:rsidRPr="007114AF">
        <w:rPr>
          <w:color w:val="000000"/>
        </w:rPr>
        <w:t xml:space="preserve"> </w:t>
      </w:r>
      <w:r w:rsidRPr="007114AF">
        <w:rPr>
          <w:color w:val="000000"/>
        </w:rPr>
        <w:t>Pra, fokusi afatmesëm duhet të vendoset në plotësimin e kuadrit ligjor, duke forcuar strukturat institucionale dhe rritjen e kapaciteteve në të njëjtën kohë me integrimin e masave të përzgjedhura prioritare të NAP-it, nëpërmjet një projekti pilot në një ose dy programe buxhetore ekzistuese</w:t>
      </w:r>
      <w:r w:rsidRPr="007114AF">
        <w:rPr>
          <w:rStyle w:val="FootnoteReference"/>
          <w:color w:val="000000"/>
        </w:rPr>
        <w:footnoteReference w:id="67"/>
      </w:r>
      <w:r w:rsidRPr="007114AF">
        <w:rPr>
          <w:color w:val="000000"/>
        </w:rPr>
        <w:t xml:space="preserve"> (të barasvlefshme me departamentet e politikave pranë ministrive të linjës dhe një bashkie të ndodhur në një zonë me rrezik të lartë klimatik). Masat prioritare duhet të integrohen eventualisht në nivelin e projekteve ose aktiviteteve sipas programeve ekzistuese. </w:t>
      </w:r>
    </w:p>
    <w:p w14:paraId="6EDD136D" w14:textId="2C8D5FFA" w:rsidR="001206A9" w:rsidRPr="007114AF" w:rsidRDefault="001206A9" w:rsidP="001206A9">
      <w:pPr>
        <w:pStyle w:val="TEKSTI"/>
        <w:rPr>
          <w:color w:val="000000"/>
        </w:rPr>
      </w:pPr>
      <w:r w:rsidRPr="007114AF">
        <w:rPr>
          <w:color w:val="000000"/>
        </w:rPr>
        <w:t xml:space="preserve">Institucionet e </w:t>
      </w:r>
      <w:r w:rsidR="00D10DAB" w:rsidRPr="007114AF">
        <w:rPr>
          <w:color w:val="000000"/>
        </w:rPr>
        <w:t>‘</w:t>
      </w:r>
      <w:r w:rsidRPr="007114AF">
        <w:rPr>
          <w:color w:val="000000"/>
        </w:rPr>
        <w:t>pilotimit</w:t>
      </w:r>
      <w:r w:rsidR="00D10DAB" w:rsidRPr="007114AF">
        <w:rPr>
          <w:color w:val="000000"/>
        </w:rPr>
        <w:t>’</w:t>
      </w:r>
      <w:r w:rsidRPr="007114AF">
        <w:rPr>
          <w:color w:val="000000"/>
        </w:rPr>
        <w:t xml:space="preserve"> duhet të përzgjidhen në bazë të një angazhimi të nivelit të lartë të treguar gjatë përgatitjes së NAP-it dhe performancës së buxhetit të viteve të mëparshme (opinioni </w:t>
      </w:r>
      <w:r w:rsidRPr="007114AF">
        <w:rPr>
          <w:color w:val="000000"/>
        </w:rPr>
        <w:lastRenderedPageBreak/>
        <w:t xml:space="preserve">nga Ministria e Financave është i rëndësishëm). Institucionet drejtuese do të vazhdojnë të jenë </w:t>
      </w:r>
      <w:r w:rsidRPr="007114AF">
        <w:t>Ministria e Turizmit dhe Mjedisit</w:t>
      </w:r>
      <w:r w:rsidR="003F649E" w:rsidRPr="007114AF">
        <w:t>,</w:t>
      </w:r>
      <w:r w:rsidRPr="007114AF">
        <w:rPr>
          <w:color w:val="000000"/>
        </w:rPr>
        <w:t xml:space="preserve"> Ministria e Financave dhe Ekonomisë, zyra e Kryeministrisë, </w:t>
      </w:r>
      <w:r w:rsidRPr="007114AF">
        <w:t>(Fondi Zhvillimit Rajonal dhe zyra e</w:t>
      </w:r>
      <w:r w:rsidRPr="007114AF">
        <w:rPr>
          <w:color w:val="000000"/>
        </w:rPr>
        <w:t xml:space="preserve"> Planifikimi Strategjik) dhe Ministria për Evropën dhe Punët e Jashtme.</w:t>
      </w:r>
    </w:p>
    <w:p w14:paraId="6EDD136E" w14:textId="77777777" w:rsidR="001206A9" w:rsidRPr="007114AF" w:rsidRDefault="001206A9" w:rsidP="001206A9">
      <w:pPr>
        <w:pStyle w:val="TEKSTI"/>
        <w:rPr>
          <w:color w:val="000000"/>
          <w:u w:val="single"/>
        </w:rPr>
      </w:pPr>
      <w:r w:rsidRPr="007114AF">
        <w:rPr>
          <w:color w:val="000000"/>
          <w:u w:val="single"/>
        </w:rPr>
        <w:t>Harmonizimi i PBAM-it dhe NAP-it</w:t>
      </w:r>
    </w:p>
    <w:p w14:paraId="6EDD136F" w14:textId="77777777" w:rsidR="001206A9" w:rsidRPr="007114AF" w:rsidRDefault="001206A9" w:rsidP="001206A9">
      <w:pPr>
        <w:pStyle w:val="TEKSTI"/>
        <w:rPr>
          <w:color w:val="000000"/>
        </w:rPr>
      </w:pPr>
      <w:r w:rsidRPr="007114AF">
        <w:rPr>
          <w:color w:val="000000"/>
        </w:rPr>
        <w:t>Dokumenti i NAP-it shërben si një dokument për vlerësimin dhe identifikimin e rrezikut që mund dhe duhet të plotësohet në një plan të përshtatshëm të menaxhimit të rrezikut. Dokumenti i NAP-it parashtron 15 masa prioritare dhe për secilën prej tyre përcaktohen objektivat dhe treguesit, grupet kryesore të interesit dhe identifikohen kërkesat financiare (llogaritje të përafërta).</w:t>
      </w:r>
    </w:p>
    <w:p w14:paraId="6EDD1370" w14:textId="6A2A8E02" w:rsidR="001206A9" w:rsidRPr="007114AF" w:rsidRDefault="001206A9" w:rsidP="001206A9">
      <w:pPr>
        <w:pStyle w:val="TEKSTI"/>
        <w:rPr>
          <w:color w:val="000000"/>
        </w:rPr>
      </w:pPr>
      <w:r w:rsidRPr="007114AF">
        <w:rPr>
          <w:color w:val="000000"/>
        </w:rPr>
        <w:t>Përafrimi i një mase prioritare të PKP-ës (NAP) në programin e buxhetit afatmesëm mund të kryhet si më poshtë:</w:t>
      </w:r>
      <w:r w:rsidR="000A2A01" w:rsidRPr="007114AF">
        <w:rPr>
          <w:color w:val="000000"/>
        </w:rPr>
        <w:t xml:space="preserve"> </w:t>
      </w:r>
    </w:p>
    <w:p w14:paraId="6EDD1371" w14:textId="77777777" w:rsidR="00186207" w:rsidRPr="007114AF" w:rsidRDefault="00186207" w:rsidP="00B976ED">
      <w:pPr>
        <w:pStyle w:val="TEKSTI"/>
        <w:rPr>
          <w:rStyle w:val="text"/>
        </w:rPr>
      </w:pPr>
    </w:p>
    <w:tbl>
      <w:tblPr>
        <w:tblW w:w="9326" w:type="dxa"/>
        <w:tblInd w:w="-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27"/>
        <w:gridCol w:w="1237"/>
        <w:gridCol w:w="1374"/>
        <w:gridCol w:w="1385"/>
        <w:gridCol w:w="1362"/>
        <w:gridCol w:w="1241"/>
      </w:tblGrid>
      <w:tr w:rsidR="004F751E" w:rsidRPr="007114AF" w14:paraId="6EDD1379" w14:textId="77777777" w:rsidTr="00BA14F8">
        <w:trPr>
          <w:trHeight w:val="688"/>
        </w:trPr>
        <w:tc>
          <w:tcPr>
            <w:tcW w:w="2727" w:type="dxa"/>
            <w:shd w:val="clear" w:color="auto" w:fill="B6DDE8" w:themeFill="accent5" w:themeFillTint="66"/>
          </w:tcPr>
          <w:p w14:paraId="6EDD1372" w14:textId="77777777" w:rsidR="004F751E" w:rsidRPr="007114AF" w:rsidRDefault="004F751E" w:rsidP="00B976ED">
            <w:pPr>
              <w:pStyle w:val="ListParagraph"/>
              <w:numPr>
                <w:ilvl w:val="0"/>
                <w:numId w:val="0"/>
              </w:numPr>
              <w:spacing w:before="0" w:after="0"/>
              <w:contextualSpacing w:val="0"/>
              <w:rPr>
                <w:rFonts w:ascii="Garamond" w:hAnsi="Garamond"/>
              </w:rPr>
            </w:pPr>
            <w:r w:rsidRPr="007114AF">
              <w:rPr>
                <w:rFonts w:ascii="Garamond" w:hAnsi="Garamond"/>
                <w:noProof/>
                <w:lang w:val="en-US"/>
              </w:rPr>
              <mc:AlternateContent>
                <mc:Choice Requires="wps">
                  <w:drawing>
                    <wp:anchor distT="0" distB="0" distL="114300" distR="114300" simplePos="0" relativeHeight="251658249" behindDoc="0" locked="0" layoutInCell="1" allowOverlap="1" wp14:anchorId="6EDD17D4" wp14:editId="6EDD17D5">
                      <wp:simplePos x="0" y="0"/>
                      <wp:positionH relativeFrom="column">
                        <wp:posOffset>-78105</wp:posOffset>
                      </wp:positionH>
                      <wp:positionV relativeFrom="paragraph">
                        <wp:posOffset>14605</wp:posOffset>
                      </wp:positionV>
                      <wp:extent cx="1573530" cy="531495"/>
                      <wp:effectExtent l="0" t="0" r="7620" b="1905"/>
                      <wp:wrapNone/>
                      <wp:docPr id="47" name="Straight Connector 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73530" cy="531495"/>
                              </a:xfrm>
                              <a:prstGeom prst="line">
                                <a:avLst/>
                              </a:prstGeom>
                              <a:noFill/>
                              <a:ln w="635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26A028A4" id="Straight Connector 47" o:spid="_x0000_s1026" style="position:absolute;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15pt,1.15pt" to="117.75pt,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" strokeweight=".5pt">
                      <v:stroke joinstyle="miter"/>
                    </v:line>
                  </w:pict>
                </mc:Fallback>
              </mc:AlternateContent>
            </w:r>
            <w:r w:rsidRPr="007114AF">
              <w:rPr>
                <w:rFonts w:ascii="Garamond" w:hAnsi="Garamond"/>
              </w:rPr>
              <w:t xml:space="preserve">PBAM </w:t>
            </w:r>
          </w:p>
          <w:p w14:paraId="6EDD1373" w14:textId="77777777" w:rsidR="004F751E" w:rsidRPr="007114AF" w:rsidRDefault="004F751E" w:rsidP="00B976ED">
            <w:pPr>
              <w:pStyle w:val="ListParagraph"/>
              <w:numPr>
                <w:ilvl w:val="0"/>
                <w:numId w:val="0"/>
              </w:numPr>
              <w:spacing w:before="0" w:after="0"/>
              <w:contextualSpacing w:val="0"/>
              <w:rPr>
                <w:rFonts w:ascii="Garamond" w:hAnsi="Garamond"/>
              </w:rPr>
            </w:pPr>
            <w:r w:rsidRPr="007114AF">
              <w:rPr>
                <w:rFonts w:ascii="Garamond" w:hAnsi="Garamond"/>
              </w:rPr>
              <w:t>NAP</w:t>
            </w:r>
          </w:p>
        </w:tc>
        <w:tc>
          <w:tcPr>
            <w:tcW w:w="1237" w:type="dxa"/>
            <w:shd w:val="clear" w:color="auto" w:fill="B6DDE8" w:themeFill="accent5" w:themeFillTint="66"/>
            <w:vAlign w:val="center"/>
          </w:tcPr>
          <w:p w14:paraId="6EDD1374" w14:textId="77777777" w:rsidR="004F751E" w:rsidRPr="007114AF" w:rsidRDefault="004F751E" w:rsidP="00B976ED">
            <w:pPr>
              <w:pStyle w:val="ListParagraph"/>
              <w:numPr>
                <w:ilvl w:val="0"/>
                <w:numId w:val="0"/>
              </w:numPr>
              <w:spacing w:before="0" w:after="0"/>
              <w:contextualSpacing w:val="0"/>
              <w:rPr>
                <w:rFonts w:ascii="Garamond" w:hAnsi="Garamond"/>
              </w:rPr>
            </w:pPr>
            <w:r w:rsidRPr="007114AF">
              <w:rPr>
                <w:rFonts w:ascii="Garamond" w:hAnsi="Garamond"/>
              </w:rPr>
              <w:t>Politika</w:t>
            </w:r>
          </w:p>
        </w:tc>
        <w:tc>
          <w:tcPr>
            <w:tcW w:w="1374" w:type="dxa"/>
            <w:shd w:val="clear" w:color="auto" w:fill="B6DDE8" w:themeFill="accent5" w:themeFillTint="66"/>
            <w:vAlign w:val="center"/>
          </w:tcPr>
          <w:p w14:paraId="6EDD1375" w14:textId="77777777" w:rsidR="004F751E" w:rsidRPr="007114AF" w:rsidRDefault="004F751E" w:rsidP="00B976ED">
            <w:pPr>
              <w:pStyle w:val="ListParagraph"/>
              <w:numPr>
                <w:ilvl w:val="0"/>
                <w:numId w:val="0"/>
              </w:numPr>
              <w:spacing w:before="0" w:after="0"/>
              <w:contextualSpacing w:val="0"/>
              <w:rPr>
                <w:rFonts w:ascii="Garamond" w:hAnsi="Garamond"/>
              </w:rPr>
            </w:pPr>
            <w:r w:rsidRPr="007114AF">
              <w:rPr>
                <w:rFonts w:ascii="Garamond" w:hAnsi="Garamond"/>
              </w:rPr>
              <w:t>Objektivi</w:t>
            </w:r>
          </w:p>
        </w:tc>
        <w:tc>
          <w:tcPr>
            <w:tcW w:w="1385" w:type="dxa"/>
            <w:shd w:val="clear" w:color="auto" w:fill="B6DDE8" w:themeFill="accent5" w:themeFillTint="66"/>
            <w:vAlign w:val="center"/>
          </w:tcPr>
          <w:p w14:paraId="6EDD1376" w14:textId="77777777" w:rsidR="004F751E" w:rsidRPr="007114AF" w:rsidRDefault="004F751E" w:rsidP="00B976ED">
            <w:pPr>
              <w:pStyle w:val="ListParagraph"/>
              <w:numPr>
                <w:ilvl w:val="0"/>
                <w:numId w:val="0"/>
              </w:numPr>
              <w:spacing w:before="0" w:after="0"/>
              <w:contextualSpacing w:val="0"/>
              <w:rPr>
                <w:rFonts w:ascii="Garamond" w:hAnsi="Garamond"/>
              </w:rPr>
            </w:pPr>
            <w:r w:rsidRPr="007114AF">
              <w:rPr>
                <w:rFonts w:ascii="Garamond" w:hAnsi="Garamond"/>
              </w:rPr>
              <w:t>Aktiviteti</w:t>
            </w:r>
          </w:p>
        </w:tc>
        <w:tc>
          <w:tcPr>
            <w:tcW w:w="1362" w:type="dxa"/>
            <w:shd w:val="clear" w:color="auto" w:fill="B6DDE8" w:themeFill="accent5" w:themeFillTint="66"/>
            <w:vAlign w:val="center"/>
          </w:tcPr>
          <w:p w14:paraId="6EDD1377" w14:textId="77777777" w:rsidR="004F751E" w:rsidRPr="007114AF" w:rsidRDefault="004F751E" w:rsidP="00B976ED">
            <w:pPr>
              <w:pStyle w:val="ListParagraph"/>
              <w:numPr>
                <w:ilvl w:val="0"/>
                <w:numId w:val="0"/>
              </w:numPr>
              <w:spacing w:before="0" w:after="0"/>
              <w:contextualSpacing w:val="0"/>
              <w:rPr>
                <w:rFonts w:ascii="Garamond" w:hAnsi="Garamond"/>
              </w:rPr>
            </w:pPr>
            <w:r w:rsidRPr="007114AF">
              <w:rPr>
                <w:rFonts w:ascii="Garamond" w:hAnsi="Garamond"/>
              </w:rPr>
              <w:t>Rezultati</w:t>
            </w:r>
          </w:p>
        </w:tc>
        <w:tc>
          <w:tcPr>
            <w:tcW w:w="1241" w:type="dxa"/>
            <w:shd w:val="clear" w:color="auto" w:fill="B6DDE8" w:themeFill="accent5" w:themeFillTint="66"/>
            <w:vAlign w:val="center"/>
          </w:tcPr>
          <w:p w14:paraId="6EDD1378" w14:textId="77777777" w:rsidR="004F751E" w:rsidRPr="007114AF" w:rsidRDefault="004F751E" w:rsidP="00B976ED">
            <w:pPr>
              <w:pStyle w:val="ListParagraph"/>
              <w:numPr>
                <w:ilvl w:val="0"/>
                <w:numId w:val="0"/>
              </w:numPr>
              <w:spacing w:before="0" w:after="0"/>
              <w:contextualSpacing w:val="0"/>
              <w:rPr>
                <w:rFonts w:ascii="Garamond" w:hAnsi="Garamond"/>
              </w:rPr>
            </w:pPr>
            <w:r w:rsidRPr="007114AF">
              <w:rPr>
                <w:rFonts w:ascii="Garamond" w:hAnsi="Garamond"/>
              </w:rPr>
              <w:t>Kostoja</w:t>
            </w:r>
          </w:p>
        </w:tc>
      </w:tr>
      <w:tr w:rsidR="004F751E" w:rsidRPr="007114AF" w14:paraId="6EDD1380" w14:textId="77777777" w:rsidTr="00BA14F8">
        <w:tc>
          <w:tcPr>
            <w:tcW w:w="2727" w:type="dxa"/>
            <w:vAlign w:val="center"/>
          </w:tcPr>
          <w:p w14:paraId="6EDD137A" w14:textId="77777777" w:rsidR="004F751E" w:rsidRPr="007114AF" w:rsidRDefault="004F751E" w:rsidP="00B976ED">
            <w:pPr>
              <w:pStyle w:val="ListParagraph"/>
              <w:spacing w:before="0" w:after="0"/>
              <w:ind w:left="0" w:firstLine="0"/>
              <w:contextualSpacing w:val="0"/>
              <w:rPr>
                <w:rFonts w:ascii="Garamond" w:hAnsi="Garamond"/>
              </w:rPr>
            </w:pPr>
            <w:r w:rsidRPr="007114AF">
              <w:rPr>
                <w:rFonts w:ascii="Garamond" w:hAnsi="Garamond"/>
              </w:rPr>
              <w:t>Të paqarta për secilën PA</w:t>
            </w:r>
          </w:p>
        </w:tc>
        <w:tc>
          <w:tcPr>
            <w:tcW w:w="1237" w:type="dxa"/>
            <w:vAlign w:val="center"/>
          </w:tcPr>
          <w:p w14:paraId="6EDD137B" w14:textId="77777777" w:rsidR="004F751E" w:rsidRPr="007114AF" w:rsidRDefault="004F751E" w:rsidP="00B976ED">
            <w:pPr>
              <w:pStyle w:val="ListParagraph"/>
              <w:spacing w:before="0" w:after="0"/>
              <w:ind w:left="0" w:firstLine="0"/>
              <w:contextualSpacing w:val="0"/>
              <w:rPr>
                <w:rFonts w:ascii="Garamond" w:hAnsi="Garamond"/>
              </w:rPr>
            </w:pPr>
            <w:r w:rsidRPr="007114AF">
              <w:rPr>
                <w:rFonts w:ascii="Garamond" w:hAnsi="Garamond"/>
              </w:rPr>
              <w:t>X</w:t>
            </w:r>
          </w:p>
        </w:tc>
        <w:tc>
          <w:tcPr>
            <w:tcW w:w="1374" w:type="dxa"/>
            <w:vAlign w:val="center"/>
          </w:tcPr>
          <w:p w14:paraId="6EDD137C" w14:textId="77777777" w:rsidR="004F751E" w:rsidRPr="007114AF" w:rsidRDefault="004F751E" w:rsidP="00B976ED">
            <w:pPr>
              <w:pStyle w:val="ListParagraph"/>
              <w:spacing w:before="0" w:after="0"/>
              <w:ind w:left="0" w:firstLine="0"/>
              <w:contextualSpacing w:val="0"/>
              <w:rPr>
                <w:rFonts w:ascii="Garamond" w:hAnsi="Garamond"/>
              </w:rPr>
            </w:pPr>
          </w:p>
        </w:tc>
        <w:tc>
          <w:tcPr>
            <w:tcW w:w="1385" w:type="dxa"/>
            <w:vAlign w:val="center"/>
          </w:tcPr>
          <w:p w14:paraId="6EDD137D" w14:textId="77777777" w:rsidR="004F751E" w:rsidRPr="007114AF" w:rsidRDefault="004F751E" w:rsidP="00B976ED">
            <w:pPr>
              <w:pStyle w:val="ListParagraph"/>
              <w:spacing w:before="0" w:after="0"/>
              <w:ind w:left="0" w:firstLine="0"/>
              <w:contextualSpacing w:val="0"/>
              <w:rPr>
                <w:rFonts w:ascii="Garamond" w:hAnsi="Garamond"/>
              </w:rPr>
            </w:pPr>
          </w:p>
        </w:tc>
        <w:tc>
          <w:tcPr>
            <w:tcW w:w="1362" w:type="dxa"/>
            <w:vAlign w:val="center"/>
          </w:tcPr>
          <w:p w14:paraId="6EDD137E" w14:textId="77777777" w:rsidR="004F751E" w:rsidRPr="007114AF" w:rsidRDefault="004F751E" w:rsidP="00B976ED">
            <w:pPr>
              <w:pStyle w:val="ListParagraph"/>
              <w:spacing w:before="0" w:after="0"/>
              <w:ind w:left="0" w:firstLine="0"/>
              <w:contextualSpacing w:val="0"/>
              <w:rPr>
                <w:rFonts w:ascii="Garamond" w:hAnsi="Garamond"/>
              </w:rPr>
            </w:pPr>
          </w:p>
        </w:tc>
        <w:tc>
          <w:tcPr>
            <w:tcW w:w="1241" w:type="dxa"/>
            <w:vAlign w:val="center"/>
          </w:tcPr>
          <w:p w14:paraId="6EDD137F" w14:textId="77777777" w:rsidR="004F751E" w:rsidRPr="007114AF" w:rsidRDefault="004F751E" w:rsidP="00B976ED">
            <w:pPr>
              <w:pStyle w:val="ListParagraph"/>
              <w:spacing w:before="0" w:after="0"/>
              <w:ind w:left="0" w:firstLine="0"/>
              <w:contextualSpacing w:val="0"/>
              <w:rPr>
                <w:rFonts w:ascii="Garamond" w:hAnsi="Garamond"/>
              </w:rPr>
            </w:pPr>
          </w:p>
        </w:tc>
      </w:tr>
      <w:tr w:rsidR="004F751E" w:rsidRPr="007114AF" w14:paraId="6EDD1387" w14:textId="77777777" w:rsidTr="00BA14F8">
        <w:tc>
          <w:tcPr>
            <w:tcW w:w="2727" w:type="dxa"/>
            <w:vAlign w:val="center"/>
          </w:tcPr>
          <w:p w14:paraId="6EDD1381" w14:textId="77777777" w:rsidR="004F751E" w:rsidRPr="007114AF" w:rsidRDefault="004F751E" w:rsidP="00B976ED">
            <w:pPr>
              <w:pStyle w:val="ListParagraph"/>
              <w:spacing w:before="0" w:after="0"/>
              <w:ind w:left="0" w:firstLine="0"/>
              <w:contextualSpacing w:val="0"/>
              <w:rPr>
                <w:rFonts w:ascii="Garamond" w:hAnsi="Garamond"/>
              </w:rPr>
            </w:pPr>
            <w:r w:rsidRPr="007114AF">
              <w:rPr>
                <w:rFonts w:ascii="Garamond" w:hAnsi="Garamond"/>
              </w:rPr>
              <w:t>Objektivat sipas çdo PA</w:t>
            </w:r>
          </w:p>
        </w:tc>
        <w:tc>
          <w:tcPr>
            <w:tcW w:w="1237" w:type="dxa"/>
            <w:vAlign w:val="center"/>
          </w:tcPr>
          <w:p w14:paraId="6EDD1382" w14:textId="77777777" w:rsidR="004F751E" w:rsidRPr="007114AF" w:rsidRDefault="004F751E" w:rsidP="00B976ED">
            <w:pPr>
              <w:pStyle w:val="ListParagraph"/>
              <w:spacing w:before="0" w:after="0"/>
              <w:ind w:left="0" w:firstLine="0"/>
              <w:contextualSpacing w:val="0"/>
              <w:rPr>
                <w:rFonts w:ascii="Garamond" w:hAnsi="Garamond"/>
              </w:rPr>
            </w:pPr>
          </w:p>
        </w:tc>
        <w:tc>
          <w:tcPr>
            <w:tcW w:w="1374" w:type="dxa"/>
            <w:vAlign w:val="center"/>
          </w:tcPr>
          <w:p w14:paraId="6EDD1383" w14:textId="77777777" w:rsidR="004F751E" w:rsidRPr="007114AF" w:rsidRDefault="004F751E" w:rsidP="00B976ED">
            <w:pPr>
              <w:pStyle w:val="ListParagraph"/>
              <w:spacing w:before="0" w:after="0"/>
              <w:ind w:left="0" w:firstLine="0"/>
              <w:contextualSpacing w:val="0"/>
              <w:rPr>
                <w:rFonts w:ascii="Garamond" w:hAnsi="Garamond"/>
              </w:rPr>
            </w:pPr>
            <w:r w:rsidRPr="007114AF">
              <w:rPr>
                <w:rFonts w:ascii="Garamond" w:hAnsi="Garamond"/>
              </w:rPr>
              <w:t>X</w:t>
            </w:r>
          </w:p>
        </w:tc>
        <w:tc>
          <w:tcPr>
            <w:tcW w:w="1385" w:type="dxa"/>
            <w:vAlign w:val="center"/>
          </w:tcPr>
          <w:p w14:paraId="6EDD1384" w14:textId="77777777" w:rsidR="004F751E" w:rsidRPr="007114AF" w:rsidRDefault="004F751E" w:rsidP="00B976ED">
            <w:pPr>
              <w:pStyle w:val="ListParagraph"/>
              <w:spacing w:before="0" w:after="0"/>
              <w:ind w:left="0" w:firstLine="0"/>
              <w:contextualSpacing w:val="0"/>
              <w:rPr>
                <w:rFonts w:ascii="Garamond" w:hAnsi="Garamond"/>
              </w:rPr>
            </w:pPr>
          </w:p>
        </w:tc>
        <w:tc>
          <w:tcPr>
            <w:tcW w:w="1362" w:type="dxa"/>
            <w:vAlign w:val="center"/>
          </w:tcPr>
          <w:p w14:paraId="6EDD1385" w14:textId="77777777" w:rsidR="004F751E" w:rsidRPr="007114AF" w:rsidRDefault="004F751E" w:rsidP="00B976ED">
            <w:pPr>
              <w:pStyle w:val="ListParagraph"/>
              <w:spacing w:before="0" w:after="0"/>
              <w:ind w:left="0" w:firstLine="0"/>
              <w:contextualSpacing w:val="0"/>
              <w:rPr>
                <w:rFonts w:ascii="Garamond" w:hAnsi="Garamond"/>
              </w:rPr>
            </w:pPr>
          </w:p>
        </w:tc>
        <w:tc>
          <w:tcPr>
            <w:tcW w:w="1241" w:type="dxa"/>
            <w:vAlign w:val="center"/>
          </w:tcPr>
          <w:p w14:paraId="6EDD1386" w14:textId="77777777" w:rsidR="004F751E" w:rsidRPr="007114AF" w:rsidRDefault="004F751E" w:rsidP="00B976ED">
            <w:pPr>
              <w:pStyle w:val="ListParagraph"/>
              <w:spacing w:before="0" w:after="0"/>
              <w:ind w:left="0" w:firstLine="0"/>
              <w:contextualSpacing w:val="0"/>
              <w:rPr>
                <w:rFonts w:ascii="Garamond" w:hAnsi="Garamond"/>
              </w:rPr>
            </w:pPr>
          </w:p>
        </w:tc>
      </w:tr>
      <w:tr w:rsidR="004F751E" w:rsidRPr="007114AF" w14:paraId="6EDD138E" w14:textId="77777777" w:rsidTr="00BA14F8">
        <w:tc>
          <w:tcPr>
            <w:tcW w:w="2727" w:type="dxa"/>
            <w:vAlign w:val="center"/>
          </w:tcPr>
          <w:p w14:paraId="6EDD1388" w14:textId="77777777" w:rsidR="004F751E" w:rsidRPr="007114AF" w:rsidRDefault="004F751E" w:rsidP="00B976ED">
            <w:pPr>
              <w:pStyle w:val="ListParagraph"/>
              <w:spacing w:before="0" w:after="0"/>
              <w:ind w:left="0" w:firstLine="0"/>
              <w:contextualSpacing w:val="0"/>
              <w:rPr>
                <w:rFonts w:ascii="Garamond" w:hAnsi="Garamond"/>
              </w:rPr>
            </w:pPr>
            <w:r w:rsidRPr="007114AF">
              <w:rPr>
                <w:rFonts w:ascii="Garamond" w:hAnsi="Garamond"/>
              </w:rPr>
              <w:t>Masa prioritare/elementet thelbësore</w:t>
            </w:r>
          </w:p>
        </w:tc>
        <w:tc>
          <w:tcPr>
            <w:tcW w:w="1237" w:type="dxa"/>
            <w:vAlign w:val="center"/>
          </w:tcPr>
          <w:p w14:paraId="6EDD1389" w14:textId="77777777" w:rsidR="004F751E" w:rsidRPr="007114AF" w:rsidRDefault="004F751E" w:rsidP="00B976ED">
            <w:pPr>
              <w:pStyle w:val="ListParagraph"/>
              <w:spacing w:before="0" w:after="0"/>
              <w:ind w:left="0" w:firstLine="0"/>
              <w:contextualSpacing w:val="0"/>
              <w:rPr>
                <w:rFonts w:ascii="Garamond" w:hAnsi="Garamond"/>
              </w:rPr>
            </w:pPr>
          </w:p>
        </w:tc>
        <w:tc>
          <w:tcPr>
            <w:tcW w:w="1374" w:type="dxa"/>
            <w:vAlign w:val="center"/>
          </w:tcPr>
          <w:p w14:paraId="6EDD138A" w14:textId="77777777" w:rsidR="004F751E" w:rsidRPr="007114AF" w:rsidRDefault="004F751E" w:rsidP="00B976ED">
            <w:pPr>
              <w:pStyle w:val="ListParagraph"/>
              <w:spacing w:before="0" w:after="0"/>
              <w:ind w:left="0" w:firstLine="0"/>
              <w:contextualSpacing w:val="0"/>
              <w:rPr>
                <w:rFonts w:ascii="Garamond" w:hAnsi="Garamond"/>
              </w:rPr>
            </w:pPr>
          </w:p>
        </w:tc>
        <w:tc>
          <w:tcPr>
            <w:tcW w:w="1385" w:type="dxa"/>
            <w:vAlign w:val="center"/>
          </w:tcPr>
          <w:p w14:paraId="6EDD138B" w14:textId="77777777" w:rsidR="004F751E" w:rsidRPr="007114AF" w:rsidRDefault="004F751E" w:rsidP="00B976ED">
            <w:pPr>
              <w:pStyle w:val="ListParagraph"/>
              <w:spacing w:before="0" w:after="0"/>
              <w:ind w:left="0" w:firstLine="0"/>
              <w:contextualSpacing w:val="0"/>
              <w:rPr>
                <w:rFonts w:ascii="Garamond" w:hAnsi="Garamond"/>
              </w:rPr>
            </w:pPr>
            <w:r w:rsidRPr="007114AF">
              <w:rPr>
                <w:rFonts w:ascii="Garamond" w:hAnsi="Garamond"/>
              </w:rPr>
              <w:t>X</w:t>
            </w:r>
          </w:p>
        </w:tc>
        <w:tc>
          <w:tcPr>
            <w:tcW w:w="1362" w:type="dxa"/>
            <w:vAlign w:val="center"/>
          </w:tcPr>
          <w:p w14:paraId="6EDD138C" w14:textId="77777777" w:rsidR="004F751E" w:rsidRPr="007114AF" w:rsidRDefault="004F751E" w:rsidP="00B976ED">
            <w:pPr>
              <w:pStyle w:val="ListParagraph"/>
              <w:spacing w:before="0" w:after="0"/>
              <w:ind w:left="0" w:firstLine="0"/>
              <w:contextualSpacing w:val="0"/>
              <w:rPr>
                <w:rFonts w:ascii="Garamond" w:hAnsi="Garamond"/>
              </w:rPr>
            </w:pPr>
          </w:p>
        </w:tc>
        <w:tc>
          <w:tcPr>
            <w:tcW w:w="1241" w:type="dxa"/>
            <w:vAlign w:val="center"/>
          </w:tcPr>
          <w:p w14:paraId="6EDD138D" w14:textId="77777777" w:rsidR="004F751E" w:rsidRPr="007114AF" w:rsidRDefault="004F751E" w:rsidP="00B976ED">
            <w:pPr>
              <w:pStyle w:val="ListParagraph"/>
              <w:spacing w:before="0" w:after="0"/>
              <w:ind w:left="0" w:firstLine="0"/>
              <w:contextualSpacing w:val="0"/>
              <w:rPr>
                <w:rFonts w:ascii="Garamond" w:hAnsi="Garamond"/>
              </w:rPr>
            </w:pPr>
          </w:p>
        </w:tc>
      </w:tr>
      <w:tr w:rsidR="004F751E" w:rsidRPr="007114AF" w14:paraId="6EDD1395" w14:textId="77777777" w:rsidTr="00BA14F8">
        <w:tc>
          <w:tcPr>
            <w:tcW w:w="2727" w:type="dxa"/>
            <w:vAlign w:val="center"/>
          </w:tcPr>
          <w:p w14:paraId="6EDD138F" w14:textId="77777777" w:rsidR="004F751E" w:rsidRPr="007114AF" w:rsidRDefault="004F751E" w:rsidP="00B976ED">
            <w:pPr>
              <w:pStyle w:val="ListParagraph"/>
              <w:spacing w:before="0" w:after="0"/>
              <w:ind w:left="0" w:firstLine="0"/>
              <w:contextualSpacing w:val="0"/>
              <w:rPr>
                <w:rFonts w:ascii="Garamond" w:hAnsi="Garamond"/>
              </w:rPr>
            </w:pPr>
            <w:r w:rsidRPr="007114AF">
              <w:rPr>
                <w:rFonts w:ascii="Garamond" w:hAnsi="Garamond"/>
              </w:rPr>
              <w:t>Treguesit sipas çdo objektivi</w:t>
            </w:r>
          </w:p>
        </w:tc>
        <w:tc>
          <w:tcPr>
            <w:tcW w:w="1237" w:type="dxa"/>
            <w:vAlign w:val="center"/>
          </w:tcPr>
          <w:p w14:paraId="6EDD1390" w14:textId="77777777" w:rsidR="004F751E" w:rsidRPr="007114AF" w:rsidRDefault="004F751E" w:rsidP="00B976ED">
            <w:pPr>
              <w:pStyle w:val="ListParagraph"/>
              <w:spacing w:before="0" w:after="0"/>
              <w:ind w:left="0" w:firstLine="0"/>
              <w:contextualSpacing w:val="0"/>
              <w:rPr>
                <w:rFonts w:ascii="Garamond" w:hAnsi="Garamond"/>
              </w:rPr>
            </w:pPr>
          </w:p>
        </w:tc>
        <w:tc>
          <w:tcPr>
            <w:tcW w:w="1374" w:type="dxa"/>
            <w:vAlign w:val="center"/>
          </w:tcPr>
          <w:p w14:paraId="6EDD1391" w14:textId="77777777" w:rsidR="004F751E" w:rsidRPr="007114AF" w:rsidRDefault="004F751E" w:rsidP="00B976ED">
            <w:pPr>
              <w:pStyle w:val="ListParagraph"/>
              <w:spacing w:before="0" w:after="0"/>
              <w:ind w:left="0" w:firstLine="0"/>
              <w:contextualSpacing w:val="0"/>
              <w:rPr>
                <w:rFonts w:ascii="Garamond" w:hAnsi="Garamond"/>
              </w:rPr>
            </w:pPr>
          </w:p>
        </w:tc>
        <w:tc>
          <w:tcPr>
            <w:tcW w:w="1385" w:type="dxa"/>
            <w:vAlign w:val="center"/>
          </w:tcPr>
          <w:p w14:paraId="6EDD1392" w14:textId="77777777" w:rsidR="004F751E" w:rsidRPr="007114AF" w:rsidRDefault="004F751E" w:rsidP="00B976ED">
            <w:pPr>
              <w:pStyle w:val="ListParagraph"/>
              <w:spacing w:before="0" w:after="0"/>
              <w:ind w:left="0" w:firstLine="0"/>
              <w:contextualSpacing w:val="0"/>
              <w:rPr>
                <w:rFonts w:ascii="Garamond" w:hAnsi="Garamond"/>
              </w:rPr>
            </w:pPr>
          </w:p>
        </w:tc>
        <w:tc>
          <w:tcPr>
            <w:tcW w:w="1362" w:type="dxa"/>
            <w:vAlign w:val="center"/>
          </w:tcPr>
          <w:p w14:paraId="6EDD1393" w14:textId="77777777" w:rsidR="004F751E" w:rsidRPr="007114AF" w:rsidRDefault="004F751E" w:rsidP="00B976ED">
            <w:pPr>
              <w:pStyle w:val="ListParagraph"/>
              <w:spacing w:before="0" w:after="0"/>
              <w:ind w:left="0" w:firstLine="0"/>
              <w:contextualSpacing w:val="0"/>
              <w:rPr>
                <w:rFonts w:ascii="Garamond" w:hAnsi="Garamond"/>
              </w:rPr>
            </w:pPr>
            <w:r w:rsidRPr="007114AF">
              <w:rPr>
                <w:rFonts w:ascii="Garamond" w:hAnsi="Garamond"/>
              </w:rPr>
              <w:t>x</w:t>
            </w:r>
          </w:p>
        </w:tc>
        <w:tc>
          <w:tcPr>
            <w:tcW w:w="1241" w:type="dxa"/>
            <w:vAlign w:val="center"/>
          </w:tcPr>
          <w:p w14:paraId="6EDD1394" w14:textId="77777777" w:rsidR="004F751E" w:rsidRPr="007114AF" w:rsidRDefault="004F751E" w:rsidP="00B976ED">
            <w:pPr>
              <w:pStyle w:val="ListParagraph"/>
              <w:spacing w:before="0" w:after="0"/>
              <w:ind w:left="0" w:firstLine="0"/>
              <w:contextualSpacing w:val="0"/>
              <w:rPr>
                <w:rFonts w:ascii="Garamond" w:hAnsi="Garamond"/>
              </w:rPr>
            </w:pPr>
          </w:p>
        </w:tc>
      </w:tr>
      <w:tr w:rsidR="004F751E" w:rsidRPr="007114AF" w14:paraId="6EDD139C" w14:textId="77777777" w:rsidTr="00BA14F8">
        <w:trPr>
          <w:trHeight w:val="283"/>
        </w:trPr>
        <w:tc>
          <w:tcPr>
            <w:tcW w:w="2727" w:type="dxa"/>
            <w:vAlign w:val="center"/>
          </w:tcPr>
          <w:p w14:paraId="6EDD1396" w14:textId="77777777" w:rsidR="004F751E" w:rsidRPr="007114AF" w:rsidRDefault="004F751E" w:rsidP="00B976ED">
            <w:pPr>
              <w:pStyle w:val="ListParagraph"/>
              <w:spacing w:before="0" w:after="0"/>
              <w:ind w:left="0" w:firstLine="0"/>
              <w:contextualSpacing w:val="0"/>
              <w:rPr>
                <w:rFonts w:ascii="Garamond" w:hAnsi="Garamond"/>
              </w:rPr>
            </w:pPr>
            <w:r w:rsidRPr="007114AF">
              <w:rPr>
                <w:rFonts w:ascii="Garamond" w:hAnsi="Garamond"/>
              </w:rPr>
              <w:t>Kostoja PA e ndarë në financim të brendshëm dhe të jashtëm</w:t>
            </w:r>
          </w:p>
        </w:tc>
        <w:tc>
          <w:tcPr>
            <w:tcW w:w="1237" w:type="dxa"/>
            <w:vAlign w:val="center"/>
          </w:tcPr>
          <w:p w14:paraId="6EDD1397" w14:textId="77777777" w:rsidR="004F751E" w:rsidRPr="007114AF" w:rsidRDefault="004F751E" w:rsidP="00B976ED">
            <w:pPr>
              <w:pStyle w:val="ListParagraph"/>
              <w:spacing w:before="0" w:after="0"/>
              <w:ind w:left="0" w:firstLine="0"/>
              <w:contextualSpacing w:val="0"/>
              <w:rPr>
                <w:rFonts w:ascii="Garamond" w:hAnsi="Garamond"/>
              </w:rPr>
            </w:pPr>
          </w:p>
        </w:tc>
        <w:tc>
          <w:tcPr>
            <w:tcW w:w="1374" w:type="dxa"/>
            <w:vAlign w:val="center"/>
          </w:tcPr>
          <w:p w14:paraId="6EDD1398" w14:textId="77777777" w:rsidR="004F751E" w:rsidRPr="007114AF" w:rsidRDefault="004F751E" w:rsidP="00B976ED">
            <w:pPr>
              <w:pStyle w:val="ListParagraph"/>
              <w:spacing w:before="0" w:after="0"/>
              <w:ind w:left="0" w:firstLine="0"/>
              <w:contextualSpacing w:val="0"/>
              <w:rPr>
                <w:rFonts w:ascii="Garamond" w:hAnsi="Garamond"/>
              </w:rPr>
            </w:pPr>
          </w:p>
        </w:tc>
        <w:tc>
          <w:tcPr>
            <w:tcW w:w="1385" w:type="dxa"/>
            <w:vAlign w:val="center"/>
          </w:tcPr>
          <w:p w14:paraId="6EDD1399" w14:textId="77777777" w:rsidR="004F751E" w:rsidRPr="007114AF" w:rsidRDefault="004F751E" w:rsidP="00B976ED">
            <w:pPr>
              <w:pStyle w:val="ListParagraph"/>
              <w:spacing w:before="0" w:after="0"/>
              <w:ind w:left="0" w:firstLine="0"/>
              <w:contextualSpacing w:val="0"/>
              <w:rPr>
                <w:rFonts w:ascii="Garamond" w:hAnsi="Garamond"/>
              </w:rPr>
            </w:pPr>
          </w:p>
        </w:tc>
        <w:tc>
          <w:tcPr>
            <w:tcW w:w="1362" w:type="dxa"/>
            <w:vAlign w:val="center"/>
          </w:tcPr>
          <w:p w14:paraId="6EDD139A" w14:textId="77777777" w:rsidR="004F751E" w:rsidRPr="007114AF" w:rsidRDefault="004F751E" w:rsidP="00B976ED">
            <w:pPr>
              <w:pStyle w:val="ListParagraph"/>
              <w:spacing w:before="0" w:after="0"/>
              <w:ind w:left="0" w:firstLine="0"/>
              <w:contextualSpacing w:val="0"/>
              <w:rPr>
                <w:rFonts w:ascii="Garamond" w:hAnsi="Garamond"/>
              </w:rPr>
            </w:pPr>
          </w:p>
        </w:tc>
        <w:tc>
          <w:tcPr>
            <w:tcW w:w="1241" w:type="dxa"/>
            <w:vAlign w:val="center"/>
          </w:tcPr>
          <w:p w14:paraId="6EDD139B" w14:textId="77777777" w:rsidR="004F751E" w:rsidRPr="007114AF" w:rsidRDefault="004F751E" w:rsidP="00B976ED">
            <w:pPr>
              <w:pStyle w:val="ListParagraph"/>
              <w:spacing w:before="0" w:after="0"/>
              <w:ind w:left="0" w:firstLine="0"/>
              <w:contextualSpacing w:val="0"/>
              <w:rPr>
                <w:rFonts w:ascii="Garamond" w:hAnsi="Garamond"/>
              </w:rPr>
            </w:pPr>
            <w:r w:rsidRPr="007114AF">
              <w:rPr>
                <w:rFonts w:ascii="Garamond" w:hAnsi="Garamond"/>
              </w:rPr>
              <w:t>x</w:t>
            </w:r>
          </w:p>
        </w:tc>
      </w:tr>
    </w:tbl>
    <w:p w14:paraId="6EDD139D" w14:textId="77777777" w:rsidR="001206A9" w:rsidRPr="007114AF" w:rsidRDefault="001206A9" w:rsidP="00547185">
      <w:pPr>
        <w:pStyle w:val="TEKSTI"/>
      </w:pPr>
    </w:p>
    <w:p w14:paraId="6EDD139E" w14:textId="77777777" w:rsidR="00547185" w:rsidRPr="007114AF" w:rsidRDefault="00547185" w:rsidP="00547185">
      <w:pPr>
        <w:pStyle w:val="TEKSTI"/>
        <w:rPr>
          <w:color w:val="000000"/>
        </w:rPr>
      </w:pPr>
      <w:r w:rsidRPr="007114AF">
        <w:rPr>
          <w:color w:val="000000"/>
        </w:rPr>
        <w:t>Rekomandimi i mësipërm kryhet duke pasur parasysh punën e kryer deri tani për identifikimin e masave prioritare me të gjitha problemet shoqëruese. Elementët e paraqitur sipas rubrikës së PKP-ës</w:t>
      </w:r>
      <w:r w:rsidRPr="007114AF">
        <w:t>(NAP)</w:t>
      </w:r>
      <w:r w:rsidRPr="007114AF">
        <w:rPr>
          <w:color w:val="000000"/>
        </w:rPr>
        <w:t xml:space="preserve"> shërbejnë si pikë fillimi për procesin e rishikimit dhe orientimin për dialogun ndërmjet anëtarëve të ekipit të programit të MTB-ës për arritjen/përmbushjen e kërkesave të PBAM-it (MTBP).</w:t>
      </w:r>
    </w:p>
    <w:p w14:paraId="6EDD139F" w14:textId="77777777" w:rsidR="00547185" w:rsidRPr="007114AF" w:rsidRDefault="00547185" w:rsidP="00547185">
      <w:pPr>
        <w:pStyle w:val="TEKSTI"/>
        <w:rPr>
          <w:color w:val="000000"/>
        </w:rPr>
      </w:pPr>
      <w:r w:rsidRPr="007114AF">
        <w:rPr>
          <w:color w:val="000000"/>
        </w:rPr>
        <w:t>Nënkuptohet se ky proces është i vështirë dhe varet nga kapacitetet profesionale dhe mbështetja politike e ministrive të linjës, si dhe nga asistenca teknike. Përafrimi/integrimi mund të kryhet një herë për të gjitha ministritë (avantazhet: përfitimi për shkurtimin e kohës dhe zbatim më të shpejtë të PA-ve; problem të mundshme: cilësia e ulët e planifikimit dhe programimit; probleme komplekse gjatë ekzekutimit dhe monitorimit) ose mund të përgatiten gradualisht mbi bazë pilot</w:t>
      </w:r>
      <w:r w:rsidRPr="007114AF">
        <w:rPr>
          <w:rStyle w:val="FootnoteReference"/>
          <w:color w:val="000000"/>
        </w:rPr>
        <w:footnoteReference w:id="68"/>
      </w:r>
      <w:r w:rsidRPr="007114AF">
        <w:rPr>
          <w:color w:val="000000"/>
        </w:rPr>
        <w:t xml:space="preserve"> (përfitime potenciale: procesi do të bëhet më i matur, vendimmarrje e saktë, besueshmëri e lartë e procesit, monitorimi paraprak nënkupton identifikimin e mësimeve të nxjerra që do të shërbenin si referencë për qarkullimin, zbatimin me sukses të PKP-ës (NAP) në planin afatgjatë). </w:t>
      </w:r>
    </w:p>
    <w:p w14:paraId="6EDD13A0" w14:textId="77777777" w:rsidR="00547185" w:rsidRPr="007114AF" w:rsidRDefault="00547185" w:rsidP="00547185">
      <w:pPr>
        <w:pStyle w:val="TEKSTI"/>
        <w:rPr>
          <w:color w:val="000000"/>
          <w:u w:val="single"/>
        </w:rPr>
      </w:pPr>
      <w:r w:rsidRPr="007114AF">
        <w:rPr>
          <w:color w:val="000000"/>
          <w:u w:val="single"/>
        </w:rPr>
        <w:t>Faza 2 – Qasja afatgjatë:</w:t>
      </w:r>
    </w:p>
    <w:p w14:paraId="6EDD13A1" w14:textId="77777777" w:rsidR="00547185" w:rsidRPr="007114AF" w:rsidRDefault="00547185" w:rsidP="00547185">
      <w:pPr>
        <w:pStyle w:val="TEKSTI"/>
        <w:rPr>
          <w:rFonts w:cs="Arial"/>
          <w:color w:val="000000" w:themeColor="text1"/>
        </w:rPr>
      </w:pPr>
      <w:r w:rsidRPr="007114AF">
        <w:rPr>
          <w:color w:val="000000"/>
        </w:rPr>
        <w:t xml:space="preserve">Nëse pas dy vlerësimeve të pavarura (nga institucionet ndërkombëtare), qeveria shqiptare tregon lidership të qëndrueshëm në procesin e integrimit të përshtatjes ndaj ndryshimeve klimatike, të shoqëruar me financim thelbësor nga buxheti kombëtar dhe nëse institucionet shqiptare tërheqin me sukses financim ndërkombëtar për projektin përshtatjes ndaj ndryshimeve klimatike, atëherë qeveria duhet të marrë parasysh krijimin e një programi të ri multisektorial qeveritar për përshtatje ndaj ndryshimeve klimatike, të aksesueshëm nga të gjitha institucionet </w:t>
      </w:r>
      <w:r w:rsidRPr="007114AF">
        <w:rPr>
          <w:color w:val="000000"/>
        </w:rPr>
        <w:lastRenderedPageBreak/>
        <w:t>qeveritare zbatuese dhe më tej, një fond i ri i posaçëm për përshtatje ndaj ndryshimeve klimatike mund të krijohet me ligj të veçantë (sipas kritereve të përcaktuara nga Ministria e Financave dhe Ekonomisë dhe të menaxhuara nga një agjenci e vetme qeveritare).</w:t>
      </w:r>
    </w:p>
    <w:p w14:paraId="6EDD13A2" w14:textId="77777777" w:rsidR="00547185" w:rsidRPr="007114AF" w:rsidRDefault="00B976ED" w:rsidP="00547185">
      <w:pPr>
        <w:pStyle w:val="TEKSTI"/>
        <w:rPr>
          <w:b/>
        </w:rPr>
      </w:pPr>
      <w:r w:rsidRPr="007114AF">
        <w:rPr>
          <w:b/>
        </w:rPr>
        <w:t xml:space="preserve">- </w:t>
      </w:r>
      <w:r w:rsidR="00547185" w:rsidRPr="007114AF">
        <w:rPr>
          <w:b/>
        </w:rPr>
        <w:t>Mobilizimi i fondeve të financimit të përshtatjes nga burime private dhe ndërkombëtare</w:t>
      </w:r>
    </w:p>
    <w:p w14:paraId="6EDD13A3" w14:textId="1E0E72D8" w:rsidR="00547185" w:rsidRPr="007114AF" w:rsidRDefault="00547185" w:rsidP="00547185">
      <w:pPr>
        <w:pStyle w:val="TEKSTI"/>
        <w:rPr>
          <w:rFonts w:cs="Arial"/>
        </w:rPr>
      </w:pPr>
      <w:r w:rsidRPr="007114AF">
        <w:rPr>
          <w:rFonts w:cs="Arial"/>
        </w:rPr>
        <w:t>Mobilizimi i financimit ndërkombëtar, si dhe financimi privat dhe investimet do të duhet të veprojnë paralelisht me krijimin e fondeve publike në nivel kombëtar. Megjithatë, kjo do të kërkojë ngritjen e proceseve specifike dhe ndërtimin e kapaciteteve specifike të mobilizimit të burimeve në të gjitha vitet në vazhdim. Në kuadrin e 15 fushave prioritare</w:t>
      </w:r>
      <w:r w:rsidR="000A2A01" w:rsidRPr="007114AF">
        <w:rPr>
          <w:rFonts w:cs="Arial"/>
        </w:rPr>
        <w:t xml:space="preserve"> </w:t>
      </w:r>
      <w:r w:rsidRPr="007114AF">
        <w:rPr>
          <w:rFonts w:cs="Arial"/>
        </w:rPr>
        <w:t xml:space="preserve">(NAP) që do të financohen, duhet të bëhet një dallim i përgjithshëm midis fushave prioritare 1 deri 7, që mbulojnë proceset institucionale dhe të menaxhimit që janë me më pak kosto intensive, dhe fushave prioritare 8 deri 15 të sektorëve specifikë që do të kërkojnë investime më të konsiderueshme në infrastrukturë, pajisje dhe teknologji. Fushat prioritare 9 dhe 12 bëjnë përjashtim, pasi fokusohen kryesisht në proceset e planifikimit që janë përsëri me më pak kosto-intensive. </w:t>
      </w:r>
    </w:p>
    <w:p w14:paraId="6EDD13A4" w14:textId="77777777" w:rsidR="00547185" w:rsidRPr="007114AF" w:rsidRDefault="00B976ED" w:rsidP="00547185">
      <w:pPr>
        <w:pStyle w:val="TEKSTI"/>
        <w:rPr>
          <w:b/>
        </w:rPr>
      </w:pPr>
      <w:r w:rsidRPr="007114AF">
        <w:rPr>
          <w:b/>
        </w:rPr>
        <w:t xml:space="preserve">- </w:t>
      </w:r>
      <w:r w:rsidR="00547185" w:rsidRPr="007114AF">
        <w:rPr>
          <w:b/>
        </w:rPr>
        <w:t>Gatishmëria e veprimeve prioritare dhe kërkesat për akses në financim</w:t>
      </w:r>
    </w:p>
    <w:p w14:paraId="6EDD13A5" w14:textId="4F93D1FA" w:rsidR="00547185" w:rsidRPr="007114AF" w:rsidRDefault="00547185" w:rsidP="00547185">
      <w:pPr>
        <w:pStyle w:val="TEKSTI"/>
        <w:rPr>
          <w:color w:val="000000"/>
        </w:rPr>
      </w:pPr>
      <w:r w:rsidRPr="007114AF">
        <w:rPr>
          <w:color w:val="000000"/>
        </w:rPr>
        <w:t>Shumica e fushave prioritare të NAP-it janë në një fazë të hershme të planifikimit të projekteve të tyre</w:t>
      </w:r>
      <w:r w:rsidR="00AE5FB3">
        <w:rPr>
          <w:color w:val="000000"/>
        </w:rPr>
        <w:t xml:space="preserve"> </w:t>
      </w:r>
      <w:r w:rsidRPr="007114AF">
        <w:rPr>
          <w:color w:val="000000"/>
        </w:rPr>
        <w:t>dhe si rrjedhojë gatishmëria e tyre e përgjithshme (për projekte investimi shpesh të referuara si</w:t>
      </w:r>
      <w:r w:rsidR="000A2A01" w:rsidRPr="007114AF">
        <w:rPr>
          <w:color w:val="000000"/>
        </w:rPr>
        <w:t xml:space="preserve"> </w:t>
      </w:r>
      <w:r w:rsidR="00D10DAB" w:rsidRPr="007114AF">
        <w:rPr>
          <w:color w:val="000000"/>
        </w:rPr>
        <w:t>‘</w:t>
      </w:r>
      <w:r w:rsidRPr="007114AF">
        <w:rPr>
          <w:color w:val="000000"/>
        </w:rPr>
        <w:t>garanci për sjellje përfitimesh</w:t>
      </w:r>
      <w:r w:rsidR="00D10DAB" w:rsidRPr="007114AF">
        <w:rPr>
          <w:color w:val="000000"/>
        </w:rPr>
        <w:t>’</w:t>
      </w:r>
      <w:r w:rsidRPr="007114AF">
        <w:rPr>
          <w:color w:val="000000"/>
        </w:rPr>
        <w:t>) është e ulët. Deri tani preventivët nuk kanë marrë parasysh parime të rëndësishme të përshtatjes së llogaritjes së kostos. Një përmbledhje e preventivëve aktualë jepet më poshtë në dokument. Kjo duhet të korrigjohet në hapat e ardhshëm të planifikimit për t</w:t>
      </w:r>
      <w:r w:rsidR="00D10DAB" w:rsidRPr="007114AF">
        <w:rPr>
          <w:color w:val="000000"/>
        </w:rPr>
        <w:t>’</w:t>
      </w:r>
      <w:r w:rsidRPr="007114AF">
        <w:rPr>
          <w:color w:val="000000"/>
        </w:rPr>
        <w:t>u bërë gati për financim të jashtëm</w:t>
      </w:r>
      <w:r w:rsidRPr="007114AF">
        <w:rPr>
          <w:rStyle w:val="FootnoteReference"/>
          <w:color w:val="000000"/>
        </w:rPr>
        <w:footnoteReference w:id="69"/>
      </w:r>
      <w:r w:rsidRPr="007114AF">
        <w:rPr>
          <w:color w:val="000000"/>
        </w:rPr>
        <w:t xml:space="preserve">. Me qëllim përmbushjen e kërkesave të financuesve ndërkombëtarë të përshtatjes që ndryshon qartë sipas fondit të veçantë, propozime të aplikimit të plotë duhet të shqyrtojnë elementet e propozimit të mëposhtëm </w:t>
      </w:r>
      <w:r w:rsidR="00D10DAB" w:rsidRPr="007114AF">
        <w:rPr>
          <w:color w:val="000000"/>
        </w:rPr>
        <w:t>‘</w:t>
      </w:r>
      <w:r w:rsidRPr="007114AF">
        <w:rPr>
          <w:color w:val="000000"/>
        </w:rPr>
        <w:t>tipik</w:t>
      </w:r>
      <w:r w:rsidR="00D10DAB" w:rsidRPr="007114AF">
        <w:rPr>
          <w:color w:val="000000"/>
        </w:rPr>
        <w:t>’</w:t>
      </w:r>
      <w:r w:rsidRPr="007114AF">
        <w:rPr>
          <w:color w:val="000000"/>
        </w:rPr>
        <w:t xml:space="preserve"> (zhvillimit): </w:t>
      </w:r>
    </w:p>
    <w:p w14:paraId="6EDD13A6" w14:textId="77777777" w:rsidR="00547185" w:rsidRPr="007114AF" w:rsidRDefault="00B976ED" w:rsidP="00547185">
      <w:pPr>
        <w:pStyle w:val="TEKSTI"/>
        <w:rPr>
          <w:color w:val="000000"/>
        </w:rPr>
      </w:pPr>
      <w:r w:rsidRPr="007114AF">
        <w:rPr>
          <w:color w:val="000000"/>
        </w:rPr>
        <w:t xml:space="preserve">- </w:t>
      </w:r>
      <w:r w:rsidR="00547185" w:rsidRPr="007114AF">
        <w:rPr>
          <w:color w:val="000000"/>
        </w:rPr>
        <w:t xml:space="preserve">Harmonizimi i politikave (kombëtare, sektoriale); </w:t>
      </w:r>
    </w:p>
    <w:p w14:paraId="6EDD13A7" w14:textId="77777777" w:rsidR="00547185" w:rsidRPr="007114AF" w:rsidRDefault="00B976ED" w:rsidP="00547185">
      <w:pPr>
        <w:pStyle w:val="TEKSTI"/>
        <w:rPr>
          <w:color w:val="000000"/>
        </w:rPr>
      </w:pPr>
      <w:r w:rsidRPr="007114AF">
        <w:rPr>
          <w:color w:val="000000"/>
        </w:rPr>
        <w:t xml:space="preserve">- </w:t>
      </w:r>
      <w:r w:rsidR="00547185" w:rsidRPr="007114AF">
        <w:rPr>
          <w:color w:val="000000"/>
        </w:rPr>
        <w:t>Procesi i planifikimit, pjesëmarrja dhe transparenca;</w:t>
      </w:r>
    </w:p>
    <w:p w14:paraId="6EDD13A8" w14:textId="77777777" w:rsidR="00547185" w:rsidRPr="007114AF" w:rsidRDefault="00B976ED" w:rsidP="00547185">
      <w:pPr>
        <w:pStyle w:val="TEKSTI"/>
        <w:rPr>
          <w:color w:val="000000"/>
        </w:rPr>
      </w:pPr>
      <w:r w:rsidRPr="007114AF">
        <w:rPr>
          <w:color w:val="000000"/>
        </w:rPr>
        <w:t xml:space="preserve">- </w:t>
      </w:r>
      <w:r w:rsidR="00547185" w:rsidRPr="007114AF">
        <w:rPr>
          <w:color w:val="000000"/>
        </w:rPr>
        <w:t xml:space="preserve">Masa mirëbesimi dhe institucionale; </w:t>
      </w:r>
    </w:p>
    <w:p w14:paraId="6EDD13A9" w14:textId="77777777" w:rsidR="00547185" w:rsidRPr="007114AF" w:rsidRDefault="00B976ED" w:rsidP="00547185">
      <w:pPr>
        <w:pStyle w:val="TEKSTI"/>
        <w:rPr>
          <w:color w:val="000000"/>
        </w:rPr>
      </w:pPr>
      <w:r w:rsidRPr="007114AF">
        <w:rPr>
          <w:color w:val="000000"/>
        </w:rPr>
        <w:t xml:space="preserve">- </w:t>
      </w:r>
      <w:r w:rsidR="00547185" w:rsidRPr="007114AF">
        <w:rPr>
          <w:color w:val="000000"/>
        </w:rPr>
        <w:t xml:space="preserve">Analiza e grupeve të interesit; </w:t>
      </w:r>
    </w:p>
    <w:p w14:paraId="6EDD13AA" w14:textId="77777777" w:rsidR="00547185" w:rsidRPr="007114AF" w:rsidRDefault="00B976ED" w:rsidP="00547185">
      <w:pPr>
        <w:pStyle w:val="TEKSTI"/>
        <w:rPr>
          <w:color w:val="000000"/>
        </w:rPr>
      </w:pPr>
      <w:r w:rsidRPr="007114AF">
        <w:rPr>
          <w:color w:val="000000"/>
        </w:rPr>
        <w:t xml:space="preserve">- </w:t>
      </w:r>
      <w:r w:rsidR="00547185" w:rsidRPr="007114AF">
        <w:rPr>
          <w:color w:val="000000"/>
        </w:rPr>
        <w:t xml:space="preserve">Menaxhimi financiar dhe programatik (duke përfshirë planet e prokurimit); </w:t>
      </w:r>
    </w:p>
    <w:p w14:paraId="6EDD13AB" w14:textId="77777777" w:rsidR="00547185" w:rsidRPr="007114AF" w:rsidRDefault="00B976ED" w:rsidP="00547185">
      <w:pPr>
        <w:pStyle w:val="TEKSTI"/>
        <w:rPr>
          <w:color w:val="000000"/>
        </w:rPr>
      </w:pPr>
      <w:r w:rsidRPr="007114AF">
        <w:rPr>
          <w:color w:val="000000"/>
        </w:rPr>
        <w:t xml:space="preserve">- </w:t>
      </w:r>
      <w:r w:rsidR="00547185" w:rsidRPr="007114AF">
        <w:rPr>
          <w:color w:val="000000"/>
        </w:rPr>
        <w:t xml:space="preserve">Kuadri i rezultateve dhe sistemi i monitorimit dhe vlerësimit; </w:t>
      </w:r>
    </w:p>
    <w:p w14:paraId="6EDD13AC" w14:textId="77777777" w:rsidR="00547185" w:rsidRPr="007114AF" w:rsidRDefault="00B976ED" w:rsidP="00547185">
      <w:pPr>
        <w:pStyle w:val="TEKSTI"/>
        <w:rPr>
          <w:color w:val="000000"/>
        </w:rPr>
      </w:pPr>
      <w:r w:rsidRPr="007114AF">
        <w:rPr>
          <w:color w:val="000000"/>
        </w:rPr>
        <w:t xml:space="preserve">- </w:t>
      </w:r>
      <w:r w:rsidR="00547185" w:rsidRPr="007114AF">
        <w:rPr>
          <w:color w:val="000000"/>
        </w:rPr>
        <w:t xml:space="preserve">Analiza ekonomike (p.sh. analiza e eficiencës dhe efektivitetit të kostos) dhe analiza financiare (në veçanti për projektet e investimeve); </w:t>
      </w:r>
    </w:p>
    <w:p w14:paraId="6EDD13AD" w14:textId="77777777" w:rsidR="00547185" w:rsidRPr="007114AF" w:rsidRDefault="00B976ED" w:rsidP="00547185">
      <w:pPr>
        <w:pStyle w:val="TEKSTI"/>
        <w:rPr>
          <w:color w:val="000000"/>
        </w:rPr>
      </w:pPr>
      <w:r w:rsidRPr="007114AF">
        <w:rPr>
          <w:color w:val="000000"/>
        </w:rPr>
        <w:t xml:space="preserve">- </w:t>
      </w:r>
      <w:r w:rsidR="00547185" w:rsidRPr="007114AF">
        <w:rPr>
          <w:color w:val="000000"/>
        </w:rPr>
        <w:t>Garanci mjedisore, sociale dhe gjinore.</w:t>
      </w:r>
    </w:p>
    <w:p w14:paraId="6EDD13AE" w14:textId="7E35A3BB" w:rsidR="00547185" w:rsidRPr="007114AF" w:rsidRDefault="00547185" w:rsidP="00547185">
      <w:pPr>
        <w:pStyle w:val="TEKSTI"/>
        <w:rPr>
          <w:color w:val="000000"/>
        </w:rPr>
      </w:pPr>
      <w:r w:rsidRPr="007114AF">
        <w:rPr>
          <w:color w:val="000000"/>
        </w:rPr>
        <w:t xml:space="preserve">Për sa </w:t>
      </w:r>
      <w:r w:rsidR="00EE091B" w:rsidRPr="007114AF">
        <w:rPr>
          <w:color w:val="000000"/>
        </w:rPr>
        <w:t>u</w:t>
      </w:r>
      <w:r w:rsidRPr="007114AF">
        <w:rPr>
          <w:color w:val="000000"/>
        </w:rPr>
        <w:t xml:space="preserve"> përket masave specifike për një ndërhyrje të përshtatjes, udhëzimet e Fondit të Përshtatjes</w:t>
      </w:r>
      <w:r w:rsidRPr="007114AF">
        <w:rPr>
          <w:rStyle w:val="FootnoteReference"/>
          <w:color w:val="000000"/>
        </w:rPr>
        <w:footnoteReference w:id="70"/>
      </w:r>
      <w:r w:rsidRPr="007114AF">
        <w:rPr>
          <w:color w:val="000000"/>
        </w:rPr>
        <w:t>, Programi Pilot për Ripërtëritjen e Klimës (PPCR)</w:t>
      </w:r>
      <w:r w:rsidRPr="007114AF">
        <w:rPr>
          <w:rStyle w:val="FootnoteReference"/>
          <w:color w:val="000000"/>
        </w:rPr>
        <w:footnoteReference w:id="71"/>
      </w:r>
      <w:r w:rsidRPr="007114AF">
        <w:rPr>
          <w:color w:val="000000"/>
        </w:rPr>
        <w:t xml:space="preserve"> ose Fondi i Gjelbër i</w:t>
      </w:r>
      <w:r w:rsidR="000A2A01" w:rsidRPr="007114AF">
        <w:rPr>
          <w:color w:val="000000"/>
        </w:rPr>
        <w:t xml:space="preserve"> </w:t>
      </w:r>
      <w:r w:rsidRPr="007114AF">
        <w:rPr>
          <w:color w:val="000000"/>
        </w:rPr>
        <w:t>Klimës</w:t>
      </w:r>
      <w:r w:rsidRPr="007114AF">
        <w:rPr>
          <w:rStyle w:val="FootnoteReference"/>
          <w:color w:val="000000"/>
        </w:rPr>
        <w:footnoteReference w:id="72"/>
      </w:r>
      <w:r w:rsidRPr="007114AF">
        <w:rPr>
          <w:color w:val="000000"/>
        </w:rPr>
        <w:t xml:space="preserve"> përcaktojnë disa objektiva dhe rezultate strategjike që duhet të trajtohen në një projekt propozim/aplikim. Meqë këto tre fonde fokusohen specifikisht tek përshtatja dhe midis fondeve më të rëndësishme të përshtatjes, mund të konsiderohen si kërkesa maksimale potenciale. Kjo do të thotë se fonde të tjera (veçanërisht ato që fokusohen qartë në përshtatje) mund të kërkojnë më pak nga këta elemente specifike përshtatjeje në projektim. Në përgjithësi, propozimi duhet të tregojë në shumë mënyra se në cilën mënyrë dhe shkallë trajtojnë rrezikun e identifikuar/ të parashikuar klimatik. </w:t>
      </w:r>
    </w:p>
    <w:p w14:paraId="6EDD13AF" w14:textId="77777777" w:rsidR="00547185" w:rsidRPr="007114AF" w:rsidRDefault="00547185" w:rsidP="00547185">
      <w:pPr>
        <w:pStyle w:val="TEKSTI"/>
        <w:rPr>
          <w:color w:val="000000"/>
        </w:rPr>
      </w:pPr>
      <w:r w:rsidRPr="007114AF">
        <w:rPr>
          <w:color w:val="000000"/>
        </w:rPr>
        <w:lastRenderedPageBreak/>
        <w:t xml:space="preserve">Kostoja e përgatitjes së projektit mund të jetë e konsiderueshme, dhe si rrjedhojë është vendimtare që këto kosto të përfshihen në fazat e hershme të planifikimit dhe bisedimeve me </w:t>
      </w:r>
      <w:r w:rsidRPr="007114AF">
        <w:rPr>
          <w:rFonts w:cs="Arial"/>
        </w:rPr>
        <w:t xml:space="preserve">financues/investues </w:t>
      </w:r>
      <w:r w:rsidRPr="007114AF">
        <w:rPr>
          <w:color w:val="000000"/>
        </w:rPr>
        <w:t xml:space="preserve">potencialë. </w:t>
      </w:r>
    </w:p>
    <w:p w14:paraId="6EDD13B0" w14:textId="77777777" w:rsidR="00547185" w:rsidRPr="007114AF" w:rsidRDefault="00547185" w:rsidP="00547185">
      <w:pPr>
        <w:pStyle w:val="TEKSTI"/>
        <w:rPr>
          <w:color w:val="000000"/>
        </w:rPr>
      </w:pPr>
      <w:r w:rsidRPr="007114AF">
        <w:rPr>
          <w:color w:val="000000"/>
        </w:rPr>
        <w:t>Për shkak të kapaciteteve ekzistuese dhe shumës totale që duhet të krijohet, këshillohet që të ndiqet një qasje e bazuar në hapa, pra duke fokusuar përpjekjet në një ose dy fusha prioritare.</w:t>
      </w:r>
    </w:p>
    <w:p w14:paraId="6EDD13B1" w14:textId="6843105E" w:rsidR="00547185" w:rsidRPr="007114AF" w:rsidRDefault="00547185" w:rsidP="00547185">
      <w:pPr>
        <w:pStyle w:val="TEKSTI"/>
        <w:rPr>
          <w:color w:val="000000"/>
        </w:rPr>
      </w:pPr>
      <w:r w:rsidRPr="007114AF">
        <w:rPr>
          <w:color w:val="000000"/>
        </w:rPr>
        <w:t>Ekzistojnë shumë udhëzime dhe mësime të nxjerra mbi mënyrën sesi</w:t>
      </w:r>
      <w:r w:rsidR="000A2A01" w:rsidRPr="007114AF">
        <w:rPr>
          <w:color w:val="000000"/>
        </w:rPr>
        <w:t xml:space="preserve"> </w:t>
      </w:r>
      <w:r w:rsidRPr="007114AF">
        <w:rPr>
          <w:color w:val="000000"/>
        </w:rPr>
        <w:t>të realizohen hapa specifikë të zhvillimit të projekteve të projekteve të përshtatjes (për shembull USAID-i për Hartimin e Projekteve të Përshtatjes me Garanci Përfitimesh</w:t>
      </w:r>
      <w:r w:rsidRPr="007114AF">
        <w:rPr>
          <w:rStyle w:val="FootnoteReference"/>
          <w:color w:val="000000"/>
        </w:rPr>
        <w:footnoteReference w:id="73"/>
      </w:r>
      <w:r w:rsidRPr="007114AF">
        <w:rPr>
          <w:color w:val="000000"/>
        </w:rPr>
        <w:t>, udhëzimi i PROVIA</w:t>
      </w:r>
      <w:r w:rsidRPr="007114AF">
        <w:rPr>
          <w:rStyle w:val="FootnoteReference"/>
          <w:color w:val="000000"/>
        </w:rPr>
        <w:footnoteReference w:id="74"/>
      </w:r>
      <w:r w:rsidRPr="007114AF">
        <w:rPr>
          <w:color w:val="000000"/>
        </w:rPr>
        <w:t>-s,</w:t>
      </w:r>
      <w:r w:rsidR="000A2A01" w:rsidRPr="007114AF">
        <w:rPr>
          <w:color w:val="000000"/>
        </w:rPr>
        <w:t xml:space="preserve"> </w:t>
      </w:r>
      <w:r w:rsidRPr="007114AF">
        <w:rPr>
          <w:color w:val="000000"/>
        </w:rPr>
        <w:t>përvojat e mbledhura nga Grupi i Punës i Institucioneve të Financimit Evropian për Përshtatje ndaj Ndryshimeve klimatike</w:t>
      </w:r>
      <w:r w:rsidRPr="007114AF">
        <w:rPr>
          <w:rStyle w:val="FootnoteReference"/>
          <w:color w:val="000000"/>
        </w:rPr>
        <w:footnoteReference w:id="75"/>
      </w:r>
      <w:r w:rsidRPr="007114AF">
        <w:rPr>
          <w:color w:val="000000"/>
        </w:rPr>
        <w:t>).</w:t>
      </w:r>
    </w:p>
    <w:p w14:paraId="6EDD13B2" w14:textId="45686200" w:rsidR="00547185" w:rsidRPr="007114AF" w:rsidRDefault="00B976ED" w:rsidP="00B976ED">
      <w:pPr>
        <w:pStyle w:val="TEKSTI"/>
        <w:rPr>
          <w:b/>
        </w:rPr>
      </w:pPr>
      <w:r w:rsidRPr="007114AF">
        <w:rPr>
          <w:b/>
        </w:rPr>
        <w:t xml:space="preserve">- </w:t>
      </w:r>
      <w:r w:rsidR="00547185" w:rsidRPr="007114AF">
        <w:rPr>
          <w:b/>
        </w:rPr>
        <w:t>Identifikimi i financuesve potencialë të përshtatjes dhe instrumenteve të financimit</w:t>
      </w:r>
      <w:r w:rsidR="000A2A01" w:rsidRPr="007114AF">
        <w:rPr>
          <w:b/>
        </w:rPr>
        <w:t xml:space="preserve"> </w:t>
      </w:r>
    </w:p>
    <w:p w14:paraId="6EDD13B3" w14:textId="28A44950" w:rsidR="00547185" w:rsidRPr="007114AF" w:rsidRDefault="00547185" w:rsidP="00547185">
      <w:pPr>
        <w:pStyle w:val="TEKSTI"/>
      </w:pPr>
      <w:r w:rsidRPr="007114AF">
        <w:t>Si pjesë përbërëse e këtij dokumenti financimi, burime kombëtare dhe ndërkombëtare të financimit publik dhe privat të përshtatjes janë verifikuar për përshtatshmërinë e tyre për financimin e fushave aktuale prioritare dhe masa të tjera të ardhshme të përshtatjes.</w:t>
      </w:r>
      <w:r w:rsidR="000A2A01" w:rsidRPr="007114AF">
        <w:t xml:space="preserve"> </w:t>
      </w:r>
      <w:r w:rsidRPr="007114AF">
        <w:t>Identifikimi i financuesve potencialë nuk është një ushtrim i drejtpërdrejtë dhe kritere specifike janë përzgjedhur për t</w:t>
      </w:r>
      <w:r w:rsidR="00D10DAB" w:rsidRPr="007114AF">
        <w:t>’</w:t>
      </w:r>
      <w:r w:rsidRPr="007114AF">
        <w:t>u dhënë prioritet</w:t>
      </w:r>
      <w:r w:rsidR="000A2A01" w:rsidRPr="007114AF">
        <w:t xml:space="preserve"> </w:t>
      </w:r>
      <w:r w:rsidRPr="007114AF">
        <w:t>burimeve të financimit që mund të jenë më të mundshme, sesa të tjera për ofrimin e financimit për përshtatje në Shqipëri. Për ta bërë këtë, qasja e mëposhtme me tre komponentë është zbatuar për prioritetin e donatorëve/financuesve të përshtatshëm të mundshëm të përshtatjes:</w:t>
      </w:r>
    </w:p>
    <w:p w14:paraId="6EDD13B4" w14:textId="77777777" w:rsidR="00547185" w:rsidRPr="007114AF" w:rsidRDefault="00B976ED" w:rsidP="00547185">
      <w:pPr>
        <w:pStyle w:val="TEKSTI"/>
      </w:pPr>
      <w:r w:rsidRPr="007114AF">
        <w:t xml:space="preserve">1. </w:t>
      </w:r>
      <w:r w:rsidR="00547185" w:rsidRPr="007114AF">
        <w:t>Verifikimi dhe prioriteti i donatorëve të jashtëm/burimeve të financimit.</w:t>
      </w:r>
    </w:p>
    <w:p w14:paraId="6EDD13B5" w14:textId="77777777" w:rsidR="00547185" w:rsidRPr="007114AF" w:rsidRDefault="00B976ED" w:rsidP="00547185">
      <w:pPr>
        <w:pStyle w:val="TEKSTI"/>
      </w:pPr>
      <w:r w:rsidRPr="007114AF">
        <w:t xml:space="preserve">2. </w:t>
      </w:r>
      <w:r w:rsidR="00547185" w:rsidRPr="007114AF">
        <w:t>Prioriteti i fushave prioritare, duke pasur parasysh gatishmërinë për mobilizimin e burimeve në vitet e ardhshme.</w:t>
      </w:r>
    </w:p>
    <w:p w14:paraId="6EDD13B6" w14:textId="77777777" w:rsidR="00547185" w:rsidRPr="007114AF" w:rsidRDefault="00B976ED" w:rsidP="00547185">
      <w:pPr>
        <w:pStyle w:val="TEKSTI"/>
      </w:pPr>
      <w:r w:rsidRPr="007114AF">
        <w:t xml:space="preserve">3. </w:t>
      </w:r>
      <w:r w:rsidR="00547185" w:rsidRPr="007114AF">
        <w:t>Harmonizimi i fushave prioritare kryesore me donatorë të jashtëm prioritar/burime financimi.</w:t>
      </w:r>
    </w:p>
    <w:p w14:paraId="6EDD13B7" w14:textId="77777777" w:rsidR="00547185" w:rsidRPr="007114AF" w:rsidRDefault="00547185" w:rsidP="00547185">
      <w:pPr>
        <w:pStyle w:val="TEKSTI"/>
      </w:pPr>
      <w:r w:rsidRPr="007114AF">
        <w:t>Kjo metodologji e dhënies prioritet është fleksibël, dhe instrumenti i verifikimit mund të përditësohet vazhdimisht. Ajo jep udhëzime për mënyrën sesi duhet të identifikohen donatorë/financues të përshtatshëm të përshtatjes. Kriteret e reja të dh</w:t>
      </w:r>
      <w:r w:rsidRPr="007114AF">
        <w:rPr>
          <w:rFonts w:cs="Times New Roman"/>
        </w:rPr>
        <w:t>ënies</w:t>
      </w:r>
      <w:r w:rsidRPr="007114AF">
        <w:t>së prioritetit mund të shtohen lehtësisht dhe rëndësia e kritereve të veçanta mund të ndryshohet, nëse është e përshtatshme. Është e rëndësishme që të mbahet parasysh se një instrument i tillë për të dhënë prioritet, është vetëm hapi i parë për të kufizuar fondet /financuesit e ardhshëm. Kërkime më të thelluara për kërkesat dhe bisedimet fillestare me financues të mundshëm, duhet të vazhdojnë.</w:t>
      </w:r>
    </w:p>
    <w:p w14:paraId="6EDD13B8" w14:textId="2B0EFF8B" w:rsidR="00547185" w:rsidRPr="007114AF" w:rsidRDefault="00547185" w:rsidP="00547185">
      <w:pPr>
        <w:pStyle w:val="TEKSTI"/>
      </w:pPr>
      <w:r w:rsidRPr="007114AF">
        <w:t>Hapi i dytë i metodologjisë është diskutuar gjatë takimit të 7-të të Grupit Ndërministror të Punës së Ndryshimeve Klimatike dhe rezultoi në dhënien e prioritetit të veprimeve prioritare 8 dhe 9 (</w:t>
      </w:r>
      <w:r w:rsidR="008D30FC" w:rsidRPr="007114AF">
        <w:t xml:space="preserve">nr. </w:t>
      </w:r>
      <w:r w:rsidRPr="007114AF">
        <w:t>8: Ujitja me Aftësi Rimëkëmbëse ndaj Ndryshimeve Klimatike, Mbrojtja nga Kullimi dhe Përmbytjet,</w:t>
      </w:r>
      <w:r w:rsidR="00242009" w:rsidRPr="007114AF">
        <w:t xml:space="preserve"> nr. </w:t>
      </w:r>
      <w:r w:rsidRPr="007114AF">
        <w:t xml:space="preserve">9: Menaxhimi i Integruar i Burimeve Ujore- përpilimi i planeve të menaxhimit të baseneve ujore). Këto veprimeve prioritare janë identifikuar, si prioritete për zhvillimin e mëtejshëm të projektit në funksion të tërheqjes së fondeve ndërkombëtare të përshtatjes. Vendimi bazohet në kriteret e mëposhtme: </w:t>
      </w:r>
    </w:p>
    <w:p w14:paraId="6EDD13B9" w14:textId="77777777" w:rsidR="00547185" w:rsidRPr="007114AF" w:rsidRDefault="00547185" w:rsidP="00547185">
      <w:pPr>
        <w:pStyle w:val="TEKSTI"/>
      </w:pPr>
      <w:r w:rsidRPr="007114AF">
        <w:t>a) nivelin e planifikimit ekzistues dhe kapaciteteve zbatuese përkatëse;</w:t>
      </w:r>
    </w:p>
    <w:p w14:paraId="6EDD13BA" w14:textId="77777777" w:rsidR="00547185" w:rsidRPr="007114AF" w:rsidRDefault="00547185" w:rsidP="00547185">
      <w:pPr>
        <w:pStyle w:val="TEKSTI"/>
      </w:pPr>
      <w:r w:rsidRPr="007114AF">
        <w:t>b) nivelin e vulnerabilitetit dhe urgjencës;</w:t>
      </w:r>
    </w:p>
    <w:p w14:paraId="6EDD13BB" w14:textId="77777777" w:rsidR="00547185" w:rsidRPr="007114AF" w:rsidRDefault="00547185" w:rsidP="00547185">
      <w:pPr>
        <w:pStyle w:val="TEKSTI"/>
      </w:pPr>
      <w:r w:rsidRPr="007114AF">
        <w:t>c) nivelin e lidershipit dhe ndërgjegjësimit politik.</w:t>
      </w:r>
    </w:p>
    <w:p w14:paraId="6EDD13BC" w14:textId="77777777" w:rsidR="00547185" w:rsidRPr="007114AF" w:rsidRDefault="00B976ED" w:rsidP="00547185">
      <w:pPr>
        <w:pStyle w:val="TEKSTI"/>
        <w:rPr>
          <w:b/>
        </w:rPr>
      </w:pPr>
      <w:r w:rsidRPr="007114AF">
        <w:rPr>
          <w:b/>
        </w:rPr>
        <w:t xml:space="preserve">- </w:t>
      </w:r>
      <w:r w:rsidR="00547185" w:rsidRPr="007114AF">
        <w:rPr>
          <w:b/>
        </w:rPr>
        <w:t xml:space="preserve">Aspektet që duhet të merren parasysh në procesin e identifikimit </w:t>
      </w:r>
    </w:p>
    <w:p w14:paraId="6EDD13BD" w14:textId="77777777" w:rsidR="00547185" w:rsidRPr="007114AF" w:rsidRDefault="00547185" w:rsidP="00547185">
      <w:pPr>
        <w:pStyle w:val="TEKSTI"/>
        <w:rPr>
          <w:u w:val="single"/>
        </w:rPr>
      </w:pPr>
      <w:r w:rsidRPr="007114AF">
        <w:rPr>
          <w:u w:val="single"/>
        </w:rPr>
        <w:t xml:space="preserve">Mobilizimi i Burimeve Ndërkombëtare </w:t>
      </w:r>
    </w:p>
    <w:p w14:paraId="6EDD13BE" w14:textId="77777777" w:rsidR="00547185" w:rsidRPr="007114AF" w:rsidRDefault="00547185" w:rsidP="00547185">
      <w:pPr>
        <w:pStyle w:val="TEKSTI"/>
      </w:pPr>
      <w:r w:rsidRPr="007114AF">
        <w:t xml:space="preserve">Për shkak të financimit aktual dhe situatës politike, opsioni i krijimit dhe kanalizimit të fondeve në nivel transnacional ose rajonal duhet të merret parasysh. Ekzistojnë disa platforma </w:t>
      </w:r>
      <w:r w:rsidRPr="007114AF">
        <w:lastRenderedPageBreak/>
        <w:t>bashkëpunimi, nëpërmjet të cilave mund të kërkohet financim rajonal, të tilla si ECRAN</w:t>
      </w:r>
      <w:r w:rsidRPr="007114AF">
        <w:rPr>
          <w:rStyle w:val="FootnoteReference"/>
        </w:rPr>
        <w:footnoteReference w:id="76"/>
      </w:r>
      <w:r w:rsidRPr="007114AF">
        <w:t xml:space="preserve"> (Rrjeti i Aderimit Rajonal Mjedisor dhe Klimatik) ose EUSAIR</w:t>
      </w:r>
      <w:r w:rsidRPr="007114AF">
        <w:rPr>
          <w:rStyle w:val="FootnoteReference"/>
        </w:rPr>
        <w:footnoteReference w:id="77"/>
      </w:r>
      <w:r w:rsidRPr="007114AF">
        <w:t xml:space="preserve"> (bashkëpunimi sipas Strategjisë së BE-së për Rajonin e Jonit dhe Adriatikut). </w:t>
      </w:r>
    </w:p>
    <w:p w14:paraId="6EDD13BF" w14:textId="33508B13" w:rsidR="00547185" w:rsidRPr="007114AF" w:rsidRDefault="00547185" w:rsidP="00547185">
      <w:pPr>
        <w:pStyle w:val="TEKSTI"/>
        <w:rPr>
          <w:highlight w:val="green"/>
        </w:rPr>
      </w:pPr>
      <w:r w:rsidRPr="007114AF">
        <w:t>Gjithashtu, disa prej agjencive të mundshme të financimit kanë fonde ndërkombëtare dhe rajonale, të tilla si Kuadri i Investimeve të Ballkanit Perëndimor (WBIF)</w:t>
      </w:r>
      <w:r w:rsidRPr="007114AF">
        <w:rPr>
          <w:rStyle w:val="FootnoteReference"/>
        </w:rPr>
        <w:footnoteReference w:id="78"/>
      </w:r>
      <w:r w:rsidRPr="007114AF">
        <w:t>ose Fondi Rajonal i Fondit të Përshtatjes.</w:t>
      </w:r>
      <w:r w:rsidR="000A2A01" w:rsidRPr="007114AF">
        <w:t xml:space="preserve"> </w:t>
      </w:r>
    </w:p>
    <w:p w14:paraId="6EDD13C0" w14:textId="77777777" w:rsidR="00547185" w:rsidRPr="007114AF" w:rsidRDefault="00547185" w:rsidP="00547185">
      <w:pPr>
        <w:pStyle w:val="TEKSTI"/>
        <w:rPr>
          <w:u w:val="single"/>
        </w:rPr>
      </w:pPr>
      <w:r w:rsidRPr="007114AF">
        <w:rPr>
          <w:u w:val="single"/>
        </w:rPr>
        <w:t xml:space="preserve">Cilësia e projektpropozimeve- Ndërtimi i kapaciteteve për përgatitjen e propozimeve cilësore </w:t>
      </w:r>
    </w:p>
    <w:p w14:paraId="6EDD13C1" w14:textId="36E37D33" w:rsidR="00547185" w:rsidRPr="007114AF" w:rsidRDefault="00547185" w:rsidP="00547185">
      <w:pPr>
        <w:pStyle w:val="TEKSTI"/>
      </w:pPr>
      <w:r w:rsidRPr="007114AF">
        <w:t xml:space="preserve">Në veçanti, duke pasur parasysh proceset konkurruese të përzgjedhjes së projekteve nga </w:t>
      </w:r>
      <w:r w:rsidRPr="007114AF">
        <w:rPr>
          <w:rFonts w:cs="Arial"/>
        </w:rPr>
        <w:t xml:space="preserve">financues dhe investues </w:t>
      </w:r>
      <w:r w:rsidRPr="007114AF">
        <w:t>të mundshëm, cilësia e projektpropozimit do të bëhet një faktor thelbësor konkurrueshmërie. Pranohet se në këtë drejtim në Shqipëri, duhet të krijohen nevoja për kapacitete. Aktivitetet për krijimin e fondeve do të duhet të pranojnë këtë fokus në ndërtimin e kapaciteteve.</w:t>
      </w:r>
      <w:r w:rsidR="000A2A01" w:rsidRPr="007114AF">
        <w:t xml:space="preserve"> </w:t>
      </w:r>
      <w:r w:rsidRPr="007114AF">
        <w:t>USAID</w:t>
      </w:r>
      <w:r w:rsidRPr="007114AF">
        <w:rPr>
          <w:rStyle w:val="FootnoteReference"/>
        </w:rPr>
        <w:footnoteReference w:id="79"/>
      </w:r>
      <w:r w:rsidRPr="007114AF">
        <w:t>-i, për shembull, thekson dy faktorë suksesi në funksion të zhvillimit të projektit:</w:t>
      </w:r>
    </w:p>
    <w:p w14:paraId="6EDD13C2" w14:textId="77777777" w:rsidR="00547185" w:rsidRPr="007114AF" w:rsidRDefault="00B976ED" w:rsidP="00547185">
      <w:pPr>
        <w:pStyle w:val="TEKSTI"/>
      </w:pPr>
      <w:r w:rsidRPr="007114AF">
        <w:t xml:space="preserve">1. </w:t>
      </w:r>
      <w:r w:rsidR="00547185" w:rsidRPr="007114AF">
        <w:t>Subjektet e akredituara kombëtare zbatuese SKZ-ë (nuk duhet të hartojnë vetë projekte përshtatjeje; ato mund të bazohen në njohurinë e organizatave të shoqërisë civile për hartimin e projekteve për veten e tyre.Në këtë kontekst, këto organizata janë më të përshtatshme për hartimin e ndërhyrjeve të përshtatjes në bazë të kushteve vendore.</w:t>
      </w:r>
    </w:p>
    <w:p w14:paraId="6EDD13C3" w14:textId="77777777" w:rsidR="00547185" w:rsidRPr="007114AF" w:rsidRDefault="00B976ED" w:rsidP="00547185">
      <w:pPr>
        <w:pStyle w:val="TEKSTI"/>
      </w:pPr>
      <w:r w:rsidRPr="007114AF">
        <w:t xml:space="preserve">2. </w:t>
      </w:r>
      <w:r w:rsidR="00547185" w:rsidRPr="007114AF">
        <w:t>Elementi kryesor për hartimin e projekteve të financueshme të përshtatjes për subjektet e akredituara kombëtare zbatuese SKZ-ë (NIE) është që të kenë një perceptim të plotë të kërkesave të financuesve, në mënyrë që të mund të asistojnë mbështetësit e projekteve gjatë procesit të hartimit dhe vlerësimit.</w:t>
      </w:r>
    </w:p>
    <w:p w14:paraId="6EDD13C4" w14:textId="77777777" w:rsidR="00547185" w:rsidRPr="007114AF" w:rsidRDefault="00547185" w:rsidP="00547185">
      <w:pPr>
        <w:pStyle w:val="TEKSTI"/>
        <w:rPr>
          <w:u w:val="single"/>
        </w:rPr>
      </w:pPr>
      <w:r w:rsidRPr="007114AF">
        <w:rPr>
          <w:u w:val="single"/>
        </w:rPr>
        <w:t>Aksesi i drejtpërdrejtë kundrejt aksesit të tërthortë</w:t>
      </w:r>
    </w:p>
    <w:p w14:paraId="6EDD13C5" w14:textId="4BF5C982" w:rsidR="00547185" w:rsidRPr="007114AF" w:rsidRDefault="00547185" w:rsidP="00547185">
      <w:pPr>
        <w:pStyle w:val="TEKSTI"/>
      </w:pPr>
      <w:r w:rsidRPr="007114AF">
        <w:t>Disa agjenci financimi, të tilla si FGJK-ja (GCF) dhe Fondi për Përshtatje AF</w:t>
      </w:r>
      <w:r w:rsidRPr="007114AF">
        <w:rPr>
          <w:rStyle w:val="FootnoteReference"/>
        </w:rPr>
        <w:footnoteReference w:id="80"/>
      </w:r>
      <w:r w:rsidRPr="007114AF">
        <w:t xml:space="preserve"> ofrojnë dy mënyra të aksesit në financim, ose nëpërmjet subjekteve të akredituara kombëtare zbatuese (SKZ) (NIE), referuar edhe si akses i drejtpërdrejtë, ose nëpërmjet subjekteve të akredituara shumëpalëshe ose ndërkombëtare;</w:t>
      </w:r>
      <w:r w:rsidR="000A2A01" w:rsidRPr="007114AF">
        <w:t xml:space="preserve"> </w:t>
      </w:r>
      <w:r w:rsidRPr="007114AF">
        <w:t>referuar edhe si akses i tërthortë. Deri tani Shqipëria nuk ka ushtruar përpjekje për akreditimin e një SKZ-je (NIE) shqiptare. Për shkak të kërkesave që duhet të përmbushen, mund të ishte i vlefshëm një vlerësim i kujdesshëm i potencialit të institucioneve specifike shqiptare, në vitet e ardhshme. Me qëllim aksesin në këto fonde, Shqipëria mund të mbështetet tek partnerët aktivë ndërkombëtare të akredituar, dhe si rrjedhojë, të pranueshëm për aksesin dhe menaxhimin e fondeve. Megjithatë, çështja e aksesit të drejtpërdrejtë duhet të shqyrtohet në planin afatgjatë. Aksesi i drejtpërdrejtë mundëson që vendi të forcojë kapacitetin në planifikimin dhe zbatimin e projekteve zbatuese të përshtatjes, si dhe në mobilizimin e financimit të klimës, ndërsa aksesi i tërthortë do të rrezikojë të humbë vazhdimisht këtë mundësi. Ia vlen të përmendet gjithashtu, se shumica e përgatitjes së projektit dhe mbështetjes së gatishmërisë është e vlefshme vetëm për vendet me një SKZ-ë të akredituar</w:t>
      </w:r>
      <w:r w:rsidRPr="007114AF">
        <w:rPr>
          <w:rStyle w:val="FootnoteReference"/>
        </w:rPr>
        <w:footnoteReference w:id="81"/>
      </w:r>
      <w:r w:rsidRPr="007114AF">
        <w:t>.</w:t>
      </w:r>
    </w:p>
    <w:p w14:paraId="6EDD13C6" w14:textId="77777777" w:rsidR="00547185" w:rsidRPr="007114AF" w:rsidRDefault="00547185" w:rsidP="00547185">
      <w:pPr>
        <w:pStyle w:val="TEKSTI"/>
        <w:rPr>
          <w:b/>
        </w:rPr>
      </w:pPr>
      <w:r w:rsidRPr="007114AF">
        <w:rPr>
          <w:b/>
        </w:rPr>
        <w:t>Instrumentet e financimit</w:t>
      </w:r>
    </w:p>
    <w:p w14:paraId="6EDD13C7" w14:textId="41401F17" w:rsidR="00547185" w:rsidRPr="007114AF" w:rsidRDefault="00B976ED" w:rsidP="00547185">
      <w:pPr>
        <w:pStyle w:val="TEKSTI"/>
        <w:rPr>
          <w:b/>
        </w:rPr>
      </w:pPr>
      <w:r w:rsidRPr="007114AF">
        <w:rPr>
          <w:b/>
        </w:rPr>
        <w:t xml:space="preserve">- </w:t>
      </w:r>
      <w:r w:rsidR="00547185" w:rsidRPr="007114AF">
        <w:rPr>
          <w:b/>
        </w:rPr>
        <w:t>Huat (koncesionare)</w:t>
      </w:r>
    </w:p>
    <w:p w14:paraId="6EDD13C8" w14:textId="77777777" w:rsidR="00547185" w:rsidRPr="007114AF" w:rsidRDefault="00547185" w:rsidP="00547185">
      <w:pPr>
        <w:pStyle w:val="TEKSTI"/>
        <w:rPr>
          <w:rFonts w:cs="Arial"/>
        </w:rPr>
      </w:pPr>
      <w:r w:rsidRPr="007114AF">
        <w:rPr>
          <w:rFonts w:cs="Arial"/>
        </w:rPr>
        <w:t xml:space="preserve">Niveli aktual i borxheve publike të Shqipërisë kufizon huamarrjen nga fonde dhe financues ndërkombëtarë. Kjo zbatohet në përgjithësi, por veçanërisht, për një fushë politike që është relativisht e re, e tillë si përshtatja ndaj ndryshimeve klimatike. </w:t>
      </w:r>
    </w:p>
    <w:p w14:paraId="6EDD13C9" w14:textId="53F57E43" w:rsidR="00547185" w:rsidRPr="007114AF" w:rsidRDefault="00547185" w:rsidP="00547185">
      <w:pPr>
        <w:pStyle w:val="TEKSTI"/>
        <w:rPr>
          <w:rFonts w:cs="Arial"/>
        </w:rPr>
      </w:pPr>
      <w:r w:rsidRPr="007114AF">
        <w:rPr>
          <w:rFonts w:cs="Arial"/>
        </w:rPr>
        <w:t>Përveç kërkesave të huadhënësve potencialë, në funksion të qëndrueshmërisë së borxhit, standardeve të mirëbesimit etj</w:t>
      </w:r>
      <w:r w:rsidR="009C5CED">
        <w:rPr>
          <w:rFonts w:cs="Arial"/>
        </w:rPr>
        <w:t>.</w:t>
      </w:r>
      <w:r w:rsidRPr="007114AF">
        <w:rPr>
          <w:rFonts w:cs="Arial"/>
        </w:rPr>
        <w:t xml:space="preserve">, aktiviteti i huamarrjes do të rregullohet edhe nga prioritetet e qeverisë aktuale. Nëse përshtatja dakordësohet nga drejtues politikë, mundësia për të marrë hua </w:t>
      </w:r>
      <w:r w:rsidRPr="007114AF">
        <w:rPr>
          <w:rFonts w:cs="Arial"/>
        </w:rPr>
        <w:lastRenderedPageBreak/>
        <w:t>nga fondet ndërkombëtare të përshtatjes, të tilla si FGJK-ja (GCF), IFAD-i etj, do të rritet. Këto fonde mund të mbështeten në kushte koncesionare për Shqipërinë.</w:t>
      </w:r>
      <w:r w:rsidR="008D30FC" w:rsidRPr="007114AF">
        <w:rPr>
          <w:rFonts w:cs="Arial"/>
        </w:rPr>
        <w:t xml:space="preserve"> </w:t>
      </w:r>
    </w:p>
    <w:p w14:paraId="6EDD13CA" w14:textId="77777777" w:rsidR="00547185" w:rsidRPr="007114AF" w:rsidRDefault="00B976ED" w:rsidP="00547185">
      <w:pPr>
        <w:pStyle w:val="TEKSTI"/>
        <w:rPr>
          <w:b/>
        </w:rPr>
      </w:pPr>
      <w:r w:rsidRPr="007114AF">
        <w:rPr>
          <w:b/>
        </w:rPr>
        <w:t xml:space="preserve">- </w:t>
      </w:r>
      <w:r w:rsidR="00547185" w:rsidRPr="007114AF">
        <w:rPr>
          <w:b/>
        </w:rPr>
        <w:t>Grantet</w:t>
      </w:r>
    </w:p>
    <w:p w14:paraId="6EDD13CB" w14:textId="46AF49C0" w:rsidR="00547185" w:rsidRPr="007114AF" w:rsidRDefault="00547185" w:rsidP="00547185">
      <w:pPr>
        <w:pStyle w:val="TEKSTI"/>
        <w:rPr>
          <w:rFonts w:cs="Arial"/>
        </w:rPr>
      </w:pPr>
      <w:r w:rsidRPr="007114AF">
        <w:rPr>
          <w:rFonts w:cs="Arial"/>
        </w:rPr>
        <w:t>Grantet për masat e përshtatjes janë të disponueshme nga një gamë e fondeve dypalëshe dhe shumëpalëshe, si dhe donatorët filantropë. Shumë prej këtyre mundësive i nënshtrohen një prej tre proceseve të mëposhtme: a) një procesi konkurrues aplikimi nga i cili aplikimet shqiptare do të ishin në kundërshtim me aplikimet nga vende të tjera; b) fondet e përshtatjes që kanë zarf</w:t>
      </w:r>
      <w:r w:rsidR="009C5CED">
        <w:rPr>
          <w:rFonts w:cs="Arial"/>
        </w:rPr>
        <w:t>e</w:t>
      </w:r>
      <w:r w:rsidRPr="007114AF">
        <w:rPr>
          <w:rFonts w:cs="Arial"/>
        </w:rPr>
        <w:t xml:space="preserve"> ose alokime specifike për Shqipërinë; c) financues/investues (dypalësh) që nuk synojnë specifikisht rezultatet e përshtatjes, por do të ishin të hapur të shtonin objektivat e përshtatjes në portofolin e financimit të tyre ose strategjinë për Shqipërisë. Për mundësinë e parë, cilësia e aplikimit është veçanërisht e rëndësishme dhe si rrjedhojë, kapacitete dhe burime të mjaftueshme janë të nevojshme për përgatitjen e këtyre propozimeve cilësore për përmirësimin e mundësive për akses në këtë financim. Procesi (b) dhe (c) do të kërkonte një proces proaktiv negocimi me donatorë/financues përkatës, për të garantuar që kërkesat dhe kriteret të kuptohen mirë dhe të respektohen, ndërsa sigurohet se përshtatja përkatëse sektoriale dhe nevojat e përfituesit janë përmbushur njëlloj. </w:t>
      </w:r>
    </w:p>
    <w:p w14:paraId="6EDD13CC" w14:textId="77777777" w:rsidR="00547185" w:rsidRPr="007114AF" w:rsidRDefault="00547185" w:rsidP="00547185">
      <w:pPr>
        <w:pStyle w:val="TEKSTI"/>
        <w:rPr>
          <w:rFonts w:cs="Arial"/>
        </w:rPr>
      </w:pPr>
      <w:r w:rsidRPr="007114AF">
        <w:rPr>
          <w:rFonts w:cs="Arial"/>
        </w:rPr>
        <w:t>Masat e mundshme që duhet të merren në vitet e ardhshme janë si më poshtë:</w:t>
      </w:r>
    </w:p>
    <w:p w14:paraId="6EDD13CD" w14:textId="738B92CC" w:rsidR="00547185" w:rsidRPr="007114AF" w:rsidRDefault="00B976ED" w:rsidP="00547185">
      <w:pPr>
        <w:pStyle w:val="TEKSTI"/>
        <w:rPr>
          <w:rFonts w:cs="Arial"/>
        </w:rPr>
      </w:pPr>
      <w:r w:rsidRPr="007114AF">
        <w:rPr>
          <w:rFonts w:cs="Arial"/>
        </w:rPr>
        <w:t xml:space="preserve">a) </w:t>
      </w:r>
      <w:r w:rsidR="00547185" w:rsidRPr="007114AF">
        <w:rPr>
          <w:rFonts w:cs="Arial"/>
        </w:rPr>
        <w:t>ministritë duhet të punojnë me</w:t>
      </w:r>
      <w:r w:rsidR="000A2A01" w:rsidRPr="007114AF">
        <w:rPr>
          <w:rFonts w:cs="Arial"/>
        </w:rPr>
        <w:t xml:space="preserve"> </w:t>
      </w:r>
      <w:r w:rsidR="00547185" w:rsidRPr="007114AF">
        <w:rPr>
          <w:rFonts w:cs="Arial"/>
        </w:rPr>
        <w:t>departamentin e koordinimit të donatorëve të Kryeministrisë për sh</w:t>
      </w:r>
      <w:r w:rsidR="009C5CED">
        <w:rPr>
          <w:rFonts w:cs="Arial"/>
        </w:rPr>
        <w:t>ë</w:t>
      </w:r>
      <w:r w:rsidR="00547185" w:rsidRPr="007114AF">
        <w:rPr>
          <w:rFonts w:cs="Arial"/>
        </w:rPr>
        <w:t>nj</w:t>
      </w:r>
      <w:r w:rsidR="009C5CED">
        <w:rPr>
          <w:rFonts w:cs="Arial"/>
        </w:rPr>
        <w:t>e</w:t>
      </w:r>
      <w:r w:rsidR="00547185" w:rsidRPr="007114AF">
        <w:rPr>
          <w:rFonts w:cs="Arial"/>
        </w:rPr>
        <w:t>strimin e donatorëve specifike (duke përfshirë përgatitjen e fishave shtesë të projektit);</w:t>
      </w:r>
    </w:p>
    <w:p w14:paraId="6EDD13CE" w14:textId="77777777" w:rsidR="00547185" w:rsidRPr="007114AF" w:rsidRDefault="00B976ED" w:rsidP="00547185">
      <w:pPr>
        <w:pStyle w:val="TEKSTI"/>
        <w:rPr>
          <w:rFonts w:cs="Arial"/>
        </w:rPr>
      </w:pPr>
      <w:r w:rsidRPr="007114AF">
        <w:rPr>
          <w:rFonts w:cs="Arial"/>
        </w:rPr>
        <w:t xml:space="preserve">b) </w:t>
      </w:r>
      <w:r w:rsidR="00547185" w:rsidRPr="007114AF">
        <w:rPr>
          <w:rFonts w:cs="Arial"/>
        </w:rPr>
        <w:t>ministritë duhet të ndërtojnë kapacitete për përgatitjen e propozimeve cilësore të lidhura me përshtatjen;</w:t>
      </w:r>
    </w:p>
    <w:p w14:paraId="6EDD13CF" w14:textId="77777777" w:rsidR="00547185" w:rsidRPr="007114AF" w:rsidRDefault="00B976ED" w:rsidP="00547185">
      <w:pPr>
        <w:pStyle w:val="TEKSTI"/>
        <w:rPr>
          <w:rFonts w:cs="Arial"/>
        </w:rPr>
      </w:pPr>
      <w:r w:rsidRPr="007114AF">
        <w:rPr>
          <w:rFonts w:cs="Arial"/>
        </w:rPr>
        <w:t xml:space="preserve">c) </w:t>
      </w:r>
      <w:r w:rsidR="00547185" w:rsidRPr="007114AF">
        <w:rPr>
          <w:rFonts w:cs="Arial"/>
        </w:rPr>
        <w:t>ministritë duhet të sigurojnë fonde të përshtatshme për përgatitjen/zhvillimin e projekteve ose asistencë të ngjashme teknike;</w:t>
      </w:r>
    </w:p>
    <w:p w14:paraId="6EDD13D0" w14:textId="2A8FCC95" w:rsidR="00547185" w:rsidRPr="007114AF" w:rsidRDefault="00B976ED" w:rsidP="00547185">
      <w:pPr>
        <w:pStyle w:val="TEKSTI"/>
        <w:rPr>
          <w:rFonts w:cs="Arial"/>
        </w:rPr>
      </w:pPr>
      <w:r w:rsidRPr="007114AF">
        <w:rPr>
          <w:rFonts w:cs="Arial"/>
        </w:rPr>
        <w:t xml:space="preserve">d) </w:t>
      </w:r>
      <w:r w:rsidR="00547185" w:rsidRPr="007114AF">
        <w:rPr>
          <w:rFonts w:cs="Arial"/>
        </w:rPr>
        <w:t>ministritë duhet të punojnë me Ministrinë për Evropën dhe Punët për të pasur akses në grantet e IPA II / për të orientuar grantet</w:t>
      </w:r>
      <w:r w:rsidR="000A2A01" w:rsidRPr="007114AF">
        <w:rPr>
          <w:rFonts w:cs="Arial"/>
        </w:rPr>
        <w:t xml:space="preserve"> </w:t>
      </w:r>
      <w:r w:rsidR="00547185" w:rsidRPr="007114AF">
        <w:rPr>
          <w:rFonts w:cs="Arial"/>
        </w:rPr>
        <w:t>IPA II ndaj objektivave të përshtatjes, në veçanti Ministrinë e Turizmit dhe Mjedisit si pikë kontakti, për të ndikuar në alokimin e burimeve të Fondit Mjedisor dhe IPA II për Klimën. Ushtrimi i një mundësie për të ndikuar në PED (CSP);</w:t>
      </w:r>
    </w:p>
    <w:p w14:paraId="6EDD13D1" w14:textId="66BC5AFE" w:rsidR="00547185" w:rsidRPr="007114AF" w:rsidRDefault="00B976ED" w:rsidP="00547185">
      <w:pPr>
        <w:pStyle w:val="TEKSTI"/>
        <w:rPr>
          <w:rFonts w:cs="Arial"/>
        </w:rPr>
      </w:pPr>
      <w:r w:rsidRPr="007114AF">
        <w:rPr>
          <w:rFonts w:cs="Arial"/>
        </w:rPr>
        <w:t xml:space="preserve">e) </w:t>
      </w:r>
      <w:r w:rsidR="00547185" w:rsidRPr="007114AF">
        <w:rPr>
          <w:rFonts w:cs="Arial"/>
        </w:rPr>
        <w:t>trajtimi i financuesve që nuk janë të lidhur drejtpërdrejtë me përshtatjen, të interesuar për Shqipërinë dhe sektorët që preken nga ndikimet e ndryshimeve klimatike dhe që theksojnë përfitimet e financ</w:t>
      </w:r>
      <w:r w:rsidR="005810BB">
        <w:rPr>
          <w:rFonts w:cs="Arial"/>
        </w:rPr>
        <w:t>imit/investimit në përshtatje (</w:t>
      </w:r>
      <w:r w:rsidR="00547185" w:rsidRPr="007114AF">
        <w:rPr>
          <w:rFonts w:cs="Arial"/>
        </w:rPr>
        <w:t>për shembull investimi në një rrugë/ infrastrukturë e cila gjendet në një zone që ndikohet nga përmbytjet).</w:t>
      </w:r>
    </w:p>
    <w:p w14:paraId="6EDD13D2" w14:textId="75789FCD" w:rsidR="00547185" w:rsidRPr="007114AF" w:rsidRDefault="00547185" w:rsidP="00547185">
      <w:pPr>
        <w:pStyle w:val="TEKSTI"/>
        <w:rPr>
          <w:rFonts w:cs="Arial"/>
        </w:rPr>
      </w:pPr>
      <w:r w:rsidRPr="007114AF">
        <w:rPr>
          <w:rFonts w:cs="Arial"/>
        </w:rPr>
        <w:t>Grantet e asistencës teknike për përgatitjen e projektit</w:t>
      </w:r>
      <w:r w:rsidR="000A2A01" w:rsidRPr="007114AF">
        <w:rPr>
          <w:rFonts w:cs="Arial"/>
        </w:rPr>
        <w:t xml:space="preserve"> </w:t>
      </w:r>
    </w:p>
    <w:p w14:paraId="6EDD13D3" w14:textId="77777777" w:rsidR="00547185" w:rsidRPr="007114AF" w:rsidRDefault="00547185" w:rsidP="00547185">
      <w:pPr>
        <w:pStyle w:val="TEKSTI"/>
        <w:rPr>
          <w:rFonts w:cs="Arial"/>
        </w:rPr>
      </w:pPr>
      <w:r w:rsidRPr="007114AF">
        <w:rPr>
          <w:rFonts w:cs="Arial"/>
        </w:rPr>
        <w:t xml:space="preserve">Duke pasur parasysh fazën e hershme të planifikimit të përshtatjes dhe zbatimit në Shqipëri dhe nivelin aktual të kapaciteteve, mundësitë për të marrë grante për ndërtimin e kapaciteteve dhe gatishmëria janë vendimtare si një hap tjetër për vitet e ardhshme. </w:t>
      </w:r>
    </w:p>
    <w:p w14:paraId="6EDD13D4" w14:textId="2C061C15" w:rsidR="00547185" w:rsidRPr="007114AF" w:rsidRDefault="00B976ED" w:rsidP="00547185">
      <w:pPr>
        <w:pStyle w:val="TEKSTI"/>
        <w:rPr>
          <w:b/>
        </w:rPr>
      </w:pPr>
      <w:r w:rsidRPr="007114AF">
        <w:rPr>
          <w:b/>
        </w:rPr>
        <w:t xml:space="preserve">- </w:t>
      </w:r>
      <w:r w:rsidR="00547185" w:rsidRPr="007114AF">
        <w:rPr>
          <w:b/>
        </w:rPr>
        <w:t xml:space="preserve">Instrumentet </w:t>
      </w:r>
      <w:r w:rsidR="005810BB" w:rsidRPr="007114AF">
        <w:rPr>
          <w:b/>
        </w:rPr>
        <w:t xml:space="preserve">inovative </w:t>
      </w:r>
      <w:r w:rsidR="00547185" w:rsidRPr="007114AF">
        <w:rPr>
          <w:b/>
        </w:rPr>
        <w:t xml:space="preserve">të </w:t>
      </w:r>
      <w:r w:rsidR="005810BB" w:rsidRPr="007114AF">
        <w:rPr>
          <w:b/>
        </w:rPr>
        <w:t xml:space="preserve">financimit </w:t>
      </w:r>
      <w:r w:rsidR="00547185" w:rsidRPr="007114AF">
        <w:rPr>
          <w:b/>
        </w:rPr>
        <w:t xml:space="preserve">– </w:t>
      </w:r>
      <w:r w:rsidR="005810BB" w:rsidRPr="007114AF">
        <w:rPr>
          <w:b/>
        </w:rPr>
        <w:t xml:space="preserve">nxitja </w:t>
      </w:r>
      <w:r w:rsidR="00547185" w:rsidRPr="007114AF">
        <w:rPr>
          <w:b/>
        </w:rPr>
        <w:t xml:space="preserve">e financimit dhe investimit privat </w:t>
      </w:r>
    </w:p>
    <w:p w14:paraId="6EDD13D5" w14:textId="77777777" w:rsidR="00547185" w:rsidRPr="007114AF" w:rsidRDefault="00547185" w:rsidP="00547185">
      <w:pPr>
        <w:pStyle w:val="TEKSTI"/>
        <w:rPr>
          <w:rFonts w:cs="Arial"/>
        </w:rPr>
      </w:pPr>
      <w:r w:rsidRPr="007114AF">
        <w:rPr>
          <w:rFonts w:cs="Arial"/>
        </w:rPr>
        <w:t xml:space="preserve">Përveç instrumenteve më tradicionale të financimit të lidhura me ODA-n, ka instrumente të reja financimi që synojnë të tërheqin dhe nxisin investimin në projekte dhe programe me aftësi rimëkëmbëse ndaj ndryshimeve klimatike. Në veçanti, financimi i klimës ka nxitur tregjet financiare dhe ka sjellë disa risi që duhet të hulumtohen dhe testohen më tej, veçanërisht përshtatshmëria e tyre në kontekstin shqiptar. Mjedisi rregullator dhe legjislativ duhet të forcohet dhe përmirësohet më tej që disa prej instrumenteve të bëhen potencialisht burime të konsiderueshme financimi në të ardhmen afatmesme deri afatgjatë. </w:t>
      </w:r>
    </w:p>
    <w:p w14:paraId="6EDD13D6" w14:textId="77777777" w:rsidR="00547185" w:rsidRPr="007114AF" w:rsidRDefault="00547185" w:rsidP="00547185">
      <w:pPr>
        <w:pStyle w:val="TEKSTI"/>
        <w:rPr>
          <w:rFonts w:cs="Arial"/>
        </w:rPr>
      </w:pPr>
      <w:r w:rsidRPr="007114AF">
        <w:rPr>
          <w:rFonts w:cs="Arial"/>
        </w:rPr>
        <w:t xml:space="preserve">Këto instrumente janë veçanërisht të rëndësishme për masat prioritare në sektorët prodhues (p.sh. në bujqësi - PA 8, turizëm - PA 12), ku aktorët privatë luajnë rol të rëndësishëm në funksion të Ndryshimeve Klimatike nëpërmjet investimit ose zbatimit të zgjidhjeve me aftësi ripëtëritëse ndaj ndryshimeve klimatike. </w:t>
      </w:r>
    </w:p>
    <w:p w14:paraId="6EDD13D7" w14:textId="77777777" w:rsidR="00547185" w:rsidRPr="007114AF" w:rsidRDefault="00B976ED" w:rsidP="00547185">
      <w:pPr>
        <w:pStyle w:val="TEKSTI"/>
        <w:rPr>
          <w:b/>
        </w:rPr>
      </w:pPr>
      <w:r w:rsidRPr="007114AF">
        <w:rPr>
          <w:b/>
        </w:rPr>
        <w:t xml:space="preserve">- </w:t>
      </w:r>
      <w:r w:rsidR="00547185" w:rsidRPr="007114AF">
        <w:rPr>
          <w:b/>
        </w:rPr>
        <w:t>Garancitë</w:t>
      </w:r>
    </w:p>
    <w:p w14:paraId="6EDD13D8" w14:textId="77777777" w:rsidR="00547185" w:rsidRPr="007114AF" w:rsidRDefault="00547185" w:rsidP="00547185">
      <w:pPr>
        <w:pStyle w:val="TEKSTI"/>
        <w:rPr>
          <w:spacing w:val="-4"/>
        </w:rPr>
      </w:pPr>
      <w:r w:rsidRPr="007114AF">
        <w:t xml:space="preserve">FGJK-ja (GCF), për shembull, ofron garanci dhe angazhime në të cilat një garant ndërmerr të përmbushë detyrimet e një huamarrësi ndaj një huadhënësi, në rast të mospërmbushjes së </w:t>
      </w:r>
      <w:r w:rsidRPr="007114AF">
        <w:lastRenderedPageBreak/>
        <w:t xml:space="preserve">detyrimeve ose mospagimit nga huamarrësi të detyrimeve të tij, në këmbim të një tarife. </w:t>
      </w:r>
      <w:r w:rsidRPr="007114AF">
        <w:rPr>
          <w:spacing w:val="-4"/>
        </w:rPr>
        <w:t xml:space="preserve">Avantazhi është se ky tërheq kapitalin nëpërmjet borxhit në kushte që mund të siguronin fizibilitetin e një projekti dhe lehtëson ose menaxhon rreziqet, ndërsa është e vështirë të caktohet sasia e rreziqeve dhe në institucionet financiare ndërkombëtare përfaqëson të njëjtën shumë të kuotave të financimit si një hua. Sipas gjasave, kjo mund të ishte me interes për një investim që kombinon përfitimet e lehtësimit dhe përshtatjes në Shqipëri. </w:t>
      </w:r>
    </w:p>
    <w:p w14:paraId="6EDD13D9" w14:textId="77777777" w:rsidR="00547185" w:rsidRPr="007114AF" w:rsidRDefault="00B976ED" w:rsidP="00547185">
      <w:pPr>
        <w:pStyle w:val="TEKSTI"/>
        <w:rPr>
          <w:b/>
          <w:spacing w:val="-4"/>
        </w:rPr>
      </w:pPr>
      <w:r w:rsidRPr="007114AF">
        <w:rPr>
          <w:b/>
          <w:spacing w:val="-4"/>
        </w:rPr>
        <w:t xml:space="preserve">- </w:t>
      </w:r>
      <w:r w:rsidR="00547185" w:rsidRPr="007114AF">
        <w:rPr>
          <w:b/>
          <w:spacing w:val="-4"/>
        </w:rPr>
        <w:t>Bonot e klimës</w:t>
      </w:r>
    </w:p>
    <w:p w14:paraId="6EDD13DA" w14:textId="11723FF2" w:rsidR="00547185" w:rsidRPr="007114AF" w:rsidRDefault="00547185" w:rsidP="00547185">
      <w:pPr>
        <w:pStyle w:val="TEKSTI"/>
        <w:rPr>
          <w:rFonts w:cs="Arial"/>
          <w:spacing w:val="-4"/>
        </w:rPr>
      </w:pPr>
      <w:r w:rsidRPr="007114AF">
        <w:rPr>
          <w:rFonts w:cs="Arial"/>
          <w:spacing w:val="-4"/>
        </w:rPr>
        <w:t>Bonot e klimës janë instrumente financiare me të ardhura fikse, të njohura edhe si bono të gjelbra. Ato</w:t>
      </w:r>
      <w:r w:rsidR="000A2A01" w:rsidRPr="007114AF">
        <w:rPr>
          <w:rFonts w:cs="Arial"/>
          <w:spacing w:val="-4"/>
        </w:rPr>
        <w:t xml:space="preserve"> </w:t>
      </w:r>
      <w:r w:rsidRPr="007114AF">
        <w:rPr>
          <w:rFonts w:cs="Arial"/>
          <w:spacing w:val="-4"/>
        </w:rPr>
        <w:t>përdoren për të financuar ose rifinancuar projekte të nevojshme për trajtimin e klimës. Ato variojnë nga</w:t>
      </w:r>
      <w:r w:rsidR="000A2A01" w:rsidRPr="007114AF">
        <w:rPr>
          <w:rFonts w:cs="Arial"/>
          <w:spacing w:val="-4"/>
        </w:rPr>
        <w:t xml:space="preserve"> </w:t>
      </w:r>
      <w:r w:rsidRPr="007114AF">
        <w:rPr>
          <w:rFonts w:cs="Arial"/>
          <w:spacing w:val="-4"/>
        </w:rPr>
        <w:t>fermat/zonat me turbina të erës për prodhimin e energjisë dhe hidrocentralet e impiantet diellore deri tek transporti hekurudhor dhe ndërtimi i mureve detare në qytete të rrezikuara nga rritja e nivelit të detit. Vetëm një pjesë e vogël e këtyre bonove në fakt janë etiketuar si bono të gjelbra ose klimatike nga emetuesit e tyre. Ashtu si bonot normale, bonot klimatike mund të emetohen nga qeveria, banka ose koorporatashumëkombëshe. Subjekti emetues garanton shlyerjen e obligacionit brenda një periudhë të caktuar kohe, plus një normë kthimi fikse ose të ndryshueshme.</w:t>
      </w:r>
    </w:p>
    <w:p w14:paraId="6EDD13DB" w14:textId="77777777" w:rsidR="00547185" w:rsidRPr="007114AF" w:rsidRDefault="00547185" w:rsidP="00547185">
      <w:pPr>
        <w:pStyle w:val="TEKSTI"/>
        <w:rPr>
          <w:rFonts w:cs="Arial"/>
          <w:spacing w:val="-4"/>
        </w:rPr>
      </w:pPr>
      <w:r w:rsidRPr="007114AF">
        <w:rPr>
          <w:rFonts w:cs="Arial"/>
          <w:spacing w:val="-4"/>
        </w:rPr>
        <w:t>Përshtatshmëria e këtyre obligacioneve në kontekstin shqiptar duhet të vlerësohet më tej (shihni gjithashtu Iniciativën e Obligacioneve të Klimës, 2015 ), si pjesë e aktiviteteve afatmesme në udhërrëfyes.</w:t>
      </w:r>
    </w:p>
    <w:p w14:paraId="6EDD13DC" w14:textId="77777777" w:rsidR="00D53624" w:rsidRPr="007114AF" w:rsidRDefault="00F925D5" w:rsidP="00D53624">
      <w:pPr>
        <w:pStyle w:val="TEKSTI"/>
        <w:rPr>
          <w:rFonts w:eastAsia="Times New Roman"/>
          <w:b/>
          <w:spacing w:val="-4"/>
          <w:lang w:eastAsia="en-US"/>
        </w:rPr>
      </w:pPr>
      <w:r w:rsidRPr="007114AF">
        <w:rPr>
          <w:rFonts w:eastAsia="Times New Roman"/>
          <w:b/>
          <w:spacing w:val="-4"/>
          <w:lang w:eastAsia="en-US"/>
        </w:rPr>
        <w:t xml:space="preserve">- </w:t>
      </w:r>
      <w:r w:rsidR="00D53624" w:rsidRPr="007114AF">
        <w:rPr>
          <w:rFonts w:eastAsia="Times New Roman"/>
          <w:b/>
          <w:spacing w:val="-4"/>
          <w:lang w:eastAsia="en-US"/>
        </w:rPr>
        <w:t>Mikrofinancimi /Unionet kursim-kredi</w:t>
      </w:r>
    </w:p>
    <w:p w14:paraId="6EDD13DD" w14:textId="4A745A44" w:rsidR="00547185" w:rsidRPr="007114AF" w:rsidRDefault="00547185" w:rsidP="00D53624">
      <w:pPr>
        <w:pStyle w:val="TEKSTI"/>
        <w:rPr>
          <w:spacing w:val="-4"/>
        </w:rPr>
      </w:pPr>
      <w:r w:rsidRPr="007114AF">
        <w:rPr>
          <w:spacing w:val="-4"/>
        </w:rPr>
        <w:t>Mikrofinancimi është një mjet i rëndësishëm për t</w:t>
      </w:r>
      <w:r w:rsidR="00D10DAB" w:rsidRPr="007114AF">
        <w:rPr>
          <w:spacing w:val="-4"/>
        </w:rPr>
        <w:t>’</w:t>
      </w:r>
      <w:r w:rsidRPr="007114AF">
        <w:rPr>
          <w:spacing w:val="-4"/>
        </w:rPr>
        <w:t>u shtrirë tek grupet e popullsisë me të ardhura të ulëta dhe ndërmarrjet mikro, të vogla dhe të mesme (NVM-të), veçanërisht në zonat rurale të Shqipërisë. Megjithatë është ende e nevojshme që të krijohet një infrastrukturë e fuqishme ligjore dhe të sigurohet një mjedis i favorshëm për mikrofinancim. Nga sot bankat tregtare nuk operojnë në</w:t>
      </w:r>
      <w:r w:rsidR="000A2A01" w:rsidRPr="007114AF">
        <w:rPr>
          <w:spacing w:val="-4"/>
        </w:rPr>
        <w:t xml:space="preserve"> </w:t>
      </w:r>
      <w:r w:rsidRPr="007114AF">
        <w:rPr>
          <w:spacing w:val="-4"/>
        </w:rPr>
        <w:t>zonat rurale për disa arsye (Cibuku 2014). Ky boshllëk zgjeron rolin e Unioneve të Kredive dhe Kursimeve.</w:t>
      </w:r>
    </w:p>
    <w:p w14:paraId="6EDD13DE" w14:textId="77777777" w:rsidR="00D53624" w:rsidRPr="007114AF" w:rsidRDefault="00D53624" w:rsidP="00D53624">
      <w:pPr>
        <w:pStyle w:val="TEKSTI"/>
        <w:rPr>
          <w:spacing w:val="-4"/>
        </w:rPr>
      </w:pPr>
    </w:p>
    <w:p w14:paraId="6EDD13DF" w14:textId="77777777" w:rsidR="00D53624" w:rsidRPr="007114AF" w:rsidRDefault="00D53624" w:rsidP="002B1083">
      <w:pPr>
        <w:spacing w:after="200"/>
        <w:jc w:val="center"/>
        <w:rPr>
          <w:rFonts w:ascii="Garamond" w:hAnsi="Garamond"/>
          <w:b/>
          <w:bCs/>
          <w:iCs/>
        </w:rPr>
      </w:pPr>
      <w:r w:rsidRPr="007114AF">
        <w:rPr>
          <w:rFonts w:ascii="Garamond" w:hAnsi="Garamond"/>
          <w:noProof/>
          <w:lang w:val="en-US" w:eastAsia="en-US"/>
        </w:rPr>
        <w:drawing>
          <wp:inline distT="0" distB="0" distL="0" distR="0" wp14:anchorId="6EDD17D6" wp14:editId="6EDD17D7">
            <wp:extent cx="3424555" cy="2052955"/>
            <wp:effectExtent l="0" t="0" r="23495" b="23495"/>
            <wp:docPr id="57" name="Chart 5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p>
    <w:p w14:paraId="6EDD13E0" w14:textId="77777777" w:rsidR="00D53624" w:rsidRPr="007114AF" w:rsidRDefault="00D53624" w:rsidP="00D53624">
      <w:pPr>
        <w:pStyle w:val="TEKSTI"/>
      </w:pPr>
    </w:p>
    <w:p w14:paraId="6EDD13E1" w14:textId="77777777" w:rsidR="00D53624" w:rsidRPr="007114AF" w:rsidRDefault="00D53624" w:rsidP="00D53624">
      <w:pPr>
        <w:pStyle w:val="FIGURA"/>
        <w:rPr>
          <w:sz w:val="20"/>
          <w:szCs w:val="20"/>
        </w:rPr>
      </w:pPr>
      <w:r w:rsidRPr="007114AF">
        <w:rPr>
          <w:sz w:val="20"/>
          <w:szCs w:val="20"/>
        </w:rPr>
        <w:t>Figura 6 tregon se shumica e mikrohuave janë përdorur në sektorin bujqësor që është një prej sektorëve kyç të shqyrtuar në dokumentin e NAP-it. Diskutime fillestare me një institucion financiar jobankar</w:t>
      </w:r>
      <w:r w:rsidRPr="007114AF">
        <w:rPr>
          <w:rStyle w:val="FootnoteReference"/>
          <w:sz w:val="20"/>
          <w:szCs w:val="20"/>
        </w:rPr>
        <w:footnoteReference w:id="82"/>
      </w:r>
      <w:r w:rsidRPr="007114AF">
        <w:rPr>
          <w:sz w:val="20"/>
          <w:szCs w:val="20"/>
        </w:rPr>
        <w:t xml:space="preserve"> janë zhvilluar për eksplorimin e mundësive për integrimin e objektivave të përshtatjes në portofolin e ofruesve. </w:t>
      </w:r>
    </w:p>
    <w:p w14:paraId="6EDD13E2" w14:textId="77777777" w:rsidR="00D53624" w:rsidRPr="007114AF" w:rsidRDefault="00D53624" w:rsidP="008C3C5E">
      <w:pPr>
        <w:pStyle w:val="TEKSTI"/>
      </w:pPr>
    </w:p>
    <w:p w14:paraId="6EDD13E3" w14:textId="77777777" w:rsidR="008C3C5E" w:rsidRPr="007114AF" w:rsidRDefault="008C3C5E" w:rsidP="008C3C5E">
      <w:pPr>
        <w:pStyle w:val="TEKSTI"/>
        <w:rPr>
          <w:spacing w:val="-4"/>
        </w:rPr>
      </w:pPr>
      <w:r w:rsidRPr="007114AF">
        <w:rPr>
          <w:spacing w:val="-4"/>
        </w:rPr>
        <w:t>U identifikuan mundësitë e mëposhtme fillestare:</w:t>
      </w:r>
    </w:p>
    <w:p w14:paraId="6EDD13E4" w14:textId="77777777" w:rsidR="008C3C5E" w:rsidRPr="007114AF" w:rsidRDefault="002D0A53" w:rsidP="008C3C5E">
      <w:pPr>
        <w:pStyle w:val="TEKSTI"/>
        <w:rPr>
          <w:spacing w:val="-4"/>
        </w:rPr>
      </w:pPr>
      <w:r w:rsidRPr="007114AF">
        <w:rPr>
          <w:spacing w:val="-4"/>
        </w:rPr>
        <w:t xml:space="preserve">- </w:t>
      </w:r>
      <w:r w:rsidR="008C3C5E" w:rsidRPr="007114AF">
        <w:rPr>
          <w:spacing w:val="-4"/>
        </w:rPr>
        <w:t>Mbrojtja klimatike e produkteve të mikrofinancimit/verifikimi i aplikimeve për hua;</w:t>
      </w:r>
    </w:p>
    <w:p w14:paraId="6EDD13E5" w14:textId="78B6694D" w:rsidR="008C3C5E" w:rsidRPr="007114AF" w:rsidRDefault="002D0A53" w:rsidP="008C3C5E">
      <w:pPr>
        <w:pStyle w:val="TEKSTI"/>
        <w:rPr>
          <w:rFonts w:cs="Arial"/>
          <w:spacing w:val="-4"/>
        </w:rPr>
      </w:pPr>
      <w:r w:rsidRPr="007114AF">
        <w:rPr>
          <w:spacing w:val="-4"/>
        </w:rPr>
        <w:t xml:space="preserve">- </w:t>
      </w:r>
      <w:r w:rsidR="008C3C5E" w:rsidRPr="007114AF">
        <w:rPr>
          <w:spacing w:val="-4"/>
        </w:rPr>
        <w:t>Disa institucione mikrofinancimi kanë mbulim të përhapur në zonat rurale, nëpërmjet përfaqësuesve të tyre. Ky mund të ishte një kanal i mundshëm për asistencë teknike për sensibilizimin e fermerëve ruralë dhe NMV-ve bujqësore</w:t>
      </w:r>
      <w:r w:rsidR="008C3C5E" w:rsidRPr="007114AF">
        <w:rPr>
          <w:rFonts w:cs="Arial"/>
          <w:spacing w:val="-4"/>
        </w:rPr>
        <w:t>.</w:t>
      </w:r>
      <w:r w:rsidR="008D30FC" w:rsidRPr="007114AF">
        <w:rPr>
          <w:rFonts w:cs="Arial"/>
          <w:spacing w:val="-4"/>
        </w:rPr>
        <w:t xml:space="preserve"> </w:t>
      </w:r>
    </w:p>
    <w:p w14:paraId="6EDD13E6" w14:textId="77777777" w:rsidR="008C3C5E" w:rsidRPr="007114AF" w:rsidRDefault="002D0A53" w:rsidP="008C3C5E">
      <w:pPr>
        <w:pStyle w:val="TEKSTI"/>
        <w:rPr>
          <w:b/>
          <w:spacing w:val="-4"/>
        </w:rPr>
      </w:pPr>
      <w:r w:rsidRPr="007114AF">
        <w:rPr>
          <w:b/>
          <w:spacing w:val="-4"/>
        </w:rPr>
        <w:lastRenderedPageBreak/>
        <w:t xml:space="preserve">- </w:t>
      </w:r>
      <w:r w:rsidR="008C3C5E" w:rsidRPr="007114AF">
        <w:rPr>
          <w:b/>
          <w:spacing w:val="-4"/>
        </w:rPr>
        <w:t>Kapitali privat</w:t>
      </w:r>
    </w:p>
    <w:p w14:paraId="6EDD13E7" w14:textId="77777777" w:rsidR="008C3C5E" w:rsidRPr="007114AF" w:rsidRDefault="008C3C5E" w:rsidP="008C3C5E">
      <w:pPr>
        <w:pStyle w:val="TEKSTI"/>
        <w:rPr>
          <w:spacing w:val="-4"/>
        </w:rPr>
      </w:pPr>
      <w:r w:rsidRPr="007114AF">
        <w:rPr>
          <w:spacing w:val="-4"/>
        </w:rPr>
        <w:t>Ekzistojnë stimuj të ndryshëm për investitorët dhe shoqëritë private për të investuar në përshtatje, p.sh. prodhimi i aseteve produktive kundër ndikimeve të përmbytjeve, mbrojtja e zinxhirëve të furnizimit.</w:t>
      </w:r>
    </w:p>
    <w:p w14:paraId="6EDD13E8" w14:textId="5C4551FC" w:rsidR="008C3C5E" w:rsidRPr="007114AF" w:rsidRDefault="008C3C5E" w:rsidP="008C3C5E">
      <w:pPr>
        <w:pStyle w:val="TEKSTI"/>
        <w:rPr>
          <w:spacing w:val="-4"/>
        </w:rPr>
      </w:pPr>
      <w:r w:rsidRPr="007114AF">
        <w:rPr>
          <w:spacing w:val="-4"/>
        </w:rPr>
        <w:t>Ekzistojnë disa iniciativa për rritjen e financimit për NMV-të në Shqipëri. Për shembull, në mars 2016 u krijua Fondi i Financimit Crimson</w:t>
      </w:r>
      <w:r w:rsidR="001263E7">
        <w:rPr>
          <w:spacing w:val="-4"/>
        </w:rPr>
        <w:t xml:space="preserve"> </w:t>
      </w:r>
      <w:r w:rsidRPr="007114AF">
        <w:rPr>
          <w:spacing w:val="-4"/>
        </w:rPr>
        <w:t>për Shqipërinë</w:t>
      </w:r>
      <w:r w:rsidRPr="007114AF">
        <w:rPr>
          <w:rStyle w:val="FootnoteReference"/>
          <w:spacing w:val="-4"/>
        </w:rPr>
        <w:footnoteReference w:id="83"/>
      </w:r>
      <w:r w:rsidRPr="007114AF">
        <w:rPr>
          <w:spacing w:val="-4"/>
        </w:rPr>
        <w:t xml:space="preserve"> (FFC), një institucion financiar jobankar që do të ofrojë financim zhvillimor për bizneset mikro, të vogla dhe të mesme. FFC-ja Shqipëri është projektuar për të përmirësuar aksesin në financim për ndërmarrjet e vogla dhe të mesme që kanë marrë shërbime të pamjaftueshme (NMV-të), sipërmarrësit, novatorët, bizneset e zotëruara nga gratë dhe fermerët në Shqipëri, me qëllim katalizimin e zhvillimit të biznesit dhe krijimin e vendeve të punës.</w:t>
      </w:r>
    </w:p>
    <w:p w14:paraId="6EDD13E9" w14:textId="77777777" w:rsidR="008C3C5E" w:rsidRPr="007114AF" w:rsidRDefault="008C3C5E" w:rsidP="008C3C5E">
      <w:pPr>
        <w:pStyle w:val="TEKSTI"/>
        <w:rPr>
          <w:spacing w:val="-4"/>
        </w:rPr>
      </w:pPr>
      <w:r w:rsidRPr="007114AF">
        <w:rPr>
          <w:spacing w:val="-4"/>
        </w:rPr>
        <w:t xml:space="preserve">Produktet e FFC-ës do të ndihmojnë NMV-ët me akses të kufizuar financiar në sistemin bankar me anë të: </w:t>
      </w:r>
    </w:p>
    <w:p w14:paraId="6EDD13EA" w14:textId="77777777" w:rsidR="008C3C5E" w:rsidRPr="007114AF" w:rsidRDefault="002D0A53" w:rsidP="008C3C5E">
      <w:pPr>
        <w:pStyle w:val="TEKSTI"/>
        <w:rPr>
          <w:spacing w:val="-4"/>
        </w:rPr>
      </w:pPr>
      <w:r w:rsidRPr="007114AF">
        <w:rPr>
          <w:spacing w:val="-4"/>
        </w:rPr>
        <w:t xml:space="preserve">- </w:t>
      </w:r>
      <w:r w:rsidR="008C3C5E" w:rsidRPr="007114AF">
        <w:rPr>
          <w:spacing w:val="-4"/>
        </w:rPr>
        <w:t xml:space="preserve">Rritjes së likuiditetit të biznesit; </w:t>
      </w:r>
    </w:p>
    <w:p w14:paraId="6EDD13EB" w14:textId="77777777" w:rsidR="008C3C5E" w:rsidRPr="007114AF" w:rsidRDefault="002D0A53" w:rsidP="008C3C5E">
      <w:pPr>
        <w:pStyle w:val="TEKSTI"/>
        <w:rPr>
          <w:spacing w:val="-4"/>
        </w:rPr>
      </w:pPr>
      <w:r w:rsidRPr="007114AF">
        <w:rPr>
          <w:spacing w:val="-4"/>
        </w:rPr>
        <w:t xml:space="preserve">- </w:t>
      </w:r>
      <w:r w:rsidR="008C3C5E" w:rsidRPr="007114AF">
        <w:rPr>
          <w:spacing w:val="-4"/>
        </w:rPr>
        <w:t xml:space="preserve">Financimit të blerjes së pajisjeve, makinerive ose sendeve pasurore për nevojat e biznesit; </w:t>
      </w:r>
    </w:p>
    <w:p w14:paraId="6EDD13EC" w14:textId="77777777" w:rsidR="008C3C5E" w:rsidRPr="007114AF" w:rsidRDefault="002D0A53" w:rsidP="008C3C5E">
      <w:pPr>
        <w:pStyle w:val="TEKSTI"/>
        <w:rPr>
          <w:rFonts w:cs="Arial"/>
          <w:spacing w:val="-4"/>
        </w:rPr>
      </w:pPr>
      <w:r w:rsidRPr="007114AF">
        <w:rPr>
          <w:spacing w:val="-4"/>
        </w:rPr>
        <w:t xml:space="preserve">- </w:t>
      </w:r>
      <w:r w:rsidR="008C3C5E" w:rsidRPr="007114AF">
        <w:rPr>
          <w:spacing w:val="-4"/>
        </w:rPr>
        <w:t>Financimit të shpenzimeve paraprake të zhvillimit</w:t>
      </w:r>
      <w:r w:rsidR="008C3C5E" w:rsidRPr="007114AF">
        <w:rPr>
          <w:rFonts w:cs="Arial"/>
          <w:spacing w:val="-4"/>
        </w:rPr>
        <w:t>.</w:t>
      </w:r>
    </w:p>
    <w:p w14:paraId="6EDD13ED" w14:textId="77777777" w:rsidR="008C3C5E" w:rsidRPr="007114AF" w:rsidRDefault="002D0A53" w:rsidP="008C3C5E">
      <w:pPr>
        <w:pStyle w:val="TEKSTI"/>
        <w:rPr>
          <w:b/>
          <w:spacing w:val="-4"/>
        </w:rPr>
      </w:pPr>
      <w:r w:rsidRPr="007114AF">
        <w:rPr>
          <w:b/>
          <w:spacing w:val="-4"/>
        </w:rPr>
        <w:t xml:space="preserve">- </w:t>
      </w:r>
      <w:r w:rsidR="008C3C5E" w:rsidRPr="007114AF">
        <w:rPr>
          <w:b/>
          <w:spacing w:val="-4"/>
        </w:rPr>
        <w:t xml:space="preserve">Partneriteti publik-privat </w:t>
      </w:r>
    </w:p>
    <w:p w14:paraId="6EDD13EE" w14:textId="632CCA47" w:rsidR="008C3C5E" w:rsidRPr="007114AF" w:rsidRDefault="008C3C5E" w:rsidP="008C3C5E">
      <w:pPr>
        <w:pStyle w:val="TEKSTI"/>
        <w:rPr>
          <w:spacing w:val="-4"/>
        </w:rPr>
      </w:pPr>
      <w:r w:rsidRPr="007114AF">
        <w:rPr>
          <w:spacing w:val="-4"/>
        </w:rPr>
        <w:t xml:space="preserve">Së fundmi, Qeveria e Shqipërisë ka </w:t>
      </w:r>
      <w:r w:rsidR="009B0B46">
        <w:rPr>
          <w:spacing w:val="-4"/>
        </w:rPr>
        <w:t>kërkuar të arrijë objektiva kyç</w:t>
      </w:r>
      <w:r w:rsidRPr="007114AF">
        <w:rPr>
          <w:spacing w:val="-4"/>
        </w:rPr>
        <w:t xml:space="preserve"> kombëtar</w:t>
      </w:r>
      <w:r w:rsidR="009B0B46">
        <w:rPr>
          <w:spacing w:val="-4"/>
        </w:rPr>
        <w:t>ë</w:t>
      </w:r>
      <w:r w:rsidRPr="007114AF">
        <w:rPr>
          <w:spacing w:val="-4"/>
        </w:rPr>
        <w:t xml:space="preserve"> të zhvillimit ekonomik, nëpërmjet partneriteteve publike-private (PPP-të). Brenda kontekstit të politikës shqiptare, qëllimet dhe objektivat e PPP-ve janë si më poshtë: </w:t>
      </w:r>
    </w:p>
    <w:p w14:paraId="6EDD13EF" w14:textId="77777777" w:rsidR="008C3C5E" w:rsidRPr="007114AF" w:rsidRDefault="002D0A53" w:rsidP="008C3C5E">
      <w:pPr>
        <w:pStyle w:val="TEKSTI"/>
        <w:rPr>
          <w:spacing w:val="-4"/>
        </w:rPr>
      </w:pPr>
      <w:r w:rsidRPr="007114AF">
        <w:rPr>
          <w:spacing w:val="-4"/>
        </w:rPr>
        <w:t xml:space="preserve">- </w:t>
      </w:r>
      <w:r w:rsidR="008C3C5E" w:rsidRPr="007114AF">
        <w:rPr>
          <w:spacing w:val="-4"/>
        </w:rPr>
        <w:t>Të ofrojnë financim brenda kufizimeve të buxhetit dhe shkurtimeve të shpenzimeve publike;</w:t>
      </w:r>
    </w:p>
    <w:p w14:paraId="6EDD13F0" w14:textId="77777777" w:rsidR="008C3C5E" w:rsidRPr="007114AF" w:rsidRDefault="002D0A53" w:rsidP="008C3C5E">
      <w:pPr>
        <w:pStyle w:val="TEKSTI"/>
        <w:rPr>
          <w:spacing w:val="-4"/>
        </w:rPr>
      </w:pPr>
      <w:r w:rsidRPr="007114AF">
        <w:rPr>
          <w:spacing w:val="-4"/>
        </w:rPr>
        <w:t xml:space="preserve">- </w:t>
      </w:r>
      <w:r w:rsidR="008C3C5E" w:rsidRPr="007114AF">
        <w:rPr>
          <w:spacing w:val="-4"/>
        </w:rPr>
        <w:t>Të zgjerojnë investimin infrastrukturor si nxitës të zhvillimit ekonomik;</w:t>
      </w:r>
    </w:p>
    <w:p w14:paraId="6EDD13F1" w14:textId="77777777" w:rsidR="008C3C5E" w:rsidRPr="007114AF" w:rsidRDefault="002D0A53" w:rsidP="008C3C5E">
      <w:pPr>
        <w:pStyle w:val="TEKSTI"/>
        <w:rPr>
          <w:spacing w:val="-4"/>
        </w:rPr>
      </w:pPr>
      <w:r w:rsidRPr="007114AF">
        <w:rPr>
          <w:spacing w:val="-4"/>
        </w:rPr>
        <w:t xml:space="preserve">- </w:t>
      </w:r>
      <w:r w:rsidR="008C3C5E" w:rsidRPr="007114AF">
        <w:rPr>
          <w:spacing w:val="-4"/>
        </w:rPr>
        <w:t xml:space="preserve">Të përmirësojnë cilësinë e shërbimit, eficiencën dhe nxitjen e menaxhimit të sektorit publik; </w:t>
      </w:r>
    </w:p>
    <w:p w14:paraId="6EDD13F2" w14:textId="77777777" w:rsidR="008C3C5E" w:rsidRPr="007114AF" w:rsidRDefault="002D0A53" w:rsidP="008C3C5E">
      <w:pPr>
        <w:pStyle w:val="TEKSTI"/>
        <w:rPr>
          <w:spacing w:val="-4"/>
        </w:rPr>
      </w:pPr>
      <w:r w:rsidRPr="007114AF">
        <w:rPr>
          <w:spacing w:val="-4"/>
        </w:rPr>
        <w:t xml:space="preserve">- </w:t>
      </w:r>
      <w:r w:rsidR="008C3C5E" w:rsidRPr="007114AF">
        <w:rPr>
          <w:spacing w:val="-4"/>
        </w:rPr>
        <w:t>Të arrijnë eficiencë më të lartë në përdorimin e burimeve me anë të përfshirjes së një partneri privat dhe vlerësimit tregtar të aseteve publike.</w:t>
      </w:r>
    </w:p>
    <w:p w14:paraId="6EDD13F3" w14:textId="77777777" w:rsidR="008C3C5E" w:rsidRPr="007114AF" w:rsidRDefault="008C3C5E" w:rsidP="008C3C5E">
      <w:pPr>
        <w:pStyle w:val="TEKSTI"/>
        <w:rPr>
          <w:spacing w:val="-4"/>
        </w:rPr>
      </w:pPr>
      <w:r w:rsidRPr="007114AF">
        <w:rPr>
          <w:spacing w:val="-4"/>
        </w:rPr>
        <w:t>PPP-të mund të bëhen një mënyrë më e rregullt financimi, menaxhimi dhe zbatimi të projekteve për arsyet e mëposhtme</w:t>
      </w:r>
      <w:r w:rsidRPr="007114AF">
        <w:rPr>
          <w:rStyle w:val="FootnoteReference"/>
          <w:spacing w:val="-4"/>
        </w:rPr>
        <w:footnoteReference w:id="84"/>
      </w:r>
      <w:r w:rsidRPr="007114AF">
        <w:rPr>
          <w:rStyle w:val="FootnoteReference"/>
          <w:spacing w:val="-4"/>
        </w:rPr>
        <w:footnoteReference w:id="85"/>
      </w:r>
      <w:r w:rsidRPr="007114AF">
        <w:rPr>
          <w:spacing w:val="-4"/>
        </w:rPr>
        <w:t>:</w:t>
      </w:r>
    </w:p>
    <w:p w14:paraId="6EDD13F4" w14:textId="77777777" w:rsidR="008C3C5E" w:rsidRPr="007114AF" w:rsidRDefault="002D0A53" w:rsidP="008C3C5E">
      <w:pPr>
        <w:pStyle w:val="TEKSTI"/>
        <w:rPr>
          <w:spacing w:val="-4"/>
        </w:rPr>
      </w:pPr>
      <w:r w:rsidRPr="007114AF">
        <w:rPr>
          <w:spacing w:val="-4"/>
        </w:rPr>
        <w:t xml:space="preserve">- </w:t>
      </w:r>
      <w:r w:rsidR="008C3C5E" w:rsidRPr="007114AF">
        <w:rPr>
          <w:spacing w:val="-4"/>
        </w:rPr>
        <w:t>Interesi dhe entuziazmi për PPP-të brenda ministrive të linjës të infrastrukturës së Shqipërisë, agjencive të sektorit publik dhe veçanërisht, midis udhëheqjes së nivelit të lartë pranë qeverisë, mbeteti lartë. Megjithëse përvoja e mëparshme e Shqipërisë me koncesionet ka qenë e përzier, me disa shembuj të PPP-ve që kanë dështuar, organet e sektorit publik të Shqipërisë ruajnë një nivel relativisht të lartë interesi për vazhdimin e përdorimit të PPP-ve.</w:t>
      </w:r>
    </w:p>
    <w:p w14:paraId="6EDD13F5" w14:textId="77777777" w:rsidR="008C3C5E" w:rsidRPr="007114AF" w:rsidRDefault="002D0A53" w:rsidP="008C3C5E">
      <w:pPr>
        <w:pStyle w:val="TEKSTI"/>
        <w:rPr>
          <w:spacing w:val="-4"/>
        </w:rPr>
      </w:pPr>
      <w:r w:rsidRPr="007114AF">
        <w:rPr>
          <w:spacing w:val="-4"/>
        </w:rPr>
        <w:t xml:space="preserve">- </w:t>
      </w:r>
      <w:r w:rsidR="008C3C5E" w:rsidRPr="007114AF">
        <w:rPr>
          <w:spacing w:val="-4"/>
        </w:rPr>
        <w:t xml:space="preserve">Udhëheqja e qeverisë aktuale shqiptare është e angazhuar si ndaj forcimit të kuadrit të saj të PPP-ve, edhe ndaj ndjekjes së një qëndrimi më proaktiv për përdorimin e PPP-ve për zbatimin e projekteve të përzgjedhura të një rëndësie strategjike për strategjinë e zhvillimit të përgjithshëm ekonomik të vendit. </w:t>
      </w:r>
    </w:p>
    <w:p w14:paraId="6EDD13F6" w14:textId="04C015DA" w:rsidR="008C3C5E" w:rsidRPr="007114AF" w:rsidRDefault="002D0A53" w:rsidP="008C3C5E">
      <w:pPr>
        <w:pStyle w:val="TEKSTI"/>
        <w:rPr>
          <w:spacing w:val="-4"/>
        </w:rPr>
      </w:pPr>
      <w:r w:rsidRPr="007114AF">
        <w:rPr>
          <w:spacing w:val="-4"/>
        </w:rPr>
        <w:t xml:space="preserve">- </w:t>
      </w:r>
      <w:r w:rsidR="008C3C5E" w:rsidRPr="007114AF">
        <w:rPr>
          <w:spacing w:val="-4"/>
        </w:rPr>
        <w:t>Interesi në PPP-të në Shqipëri midis institucioneve financiare dhe investitorëve të sektorit privat paraqitet gjithashtu, relativisht i fuqishëm. Përfaqësues të sektorëve privatë, të tillë si Konfindustria dhe Dhoma Amerikane e Tregtisë, si dhe institucionet financiare ndërkombëtare, të tilla si</w:t>
      </w:r>
      <w:r w:rsidR="000A2A01" w:rsidRPr="007114AF">
        <w:rPr>
          <w:spacing w:val="-4"/>
        </w:rPr>
        <w:t xml:space="preserve"> </w:t>
      </w:r>
      <w:r w:rsidR="008C3C5E" w:rsidRPr="007114AF">
        <w:rPr>
          <w:spacing w:val="-4"/>
        </w:rPr>
        <w:t>Korporata Ndërkombëtare Financiare (IFC) dhe BERZH-i, çmojnë se, nëse Shqipëria mund të trajtojë boshllëqet aktuale në kuadrin e saj të PP-ve dhe forcimin e zbatimit të përgjithshëm të PPP-ve, do të ketë disa mundësi të reja të rëndësishme investimi për sektorin privat.</w:t>
      </w:r>
    </w:p>
    <w:p w14:paraId="6EDD13F7" w14:textId="77777777" w:rsidR="008C3C5E" w:rsidRPr="007114AF" w:rsidRDefault="002D0A53" w:rsidP="008C3C5E">
      <w:pPr>
        <w:pStyle w:val="TEKSTI"/>
        <w:rPr>
          <w:rFonts w:cs="Arial"/>
          <w:spacing w:val="-4"/>
        </w:rPr>
      </w:pPr>
      <w:r w:rsidRPr="007114AF">
        <w:rPr>
          <w:spacing w:val="-4"/>
        </w:rPr>
        <w:t xml:space="preserve">- </w:t>
      </w:r>
      <w:r w:rsidR="008C3C5E" w:rsidRPr="007114AF">
        <w:rPr>
          <w:spacing w:val="-4"/>
        </w:rPr>
        <w:t>Gjithashtu, donatorët ndërkombëtarë janë përgjithësisht të interesuar për të mbështetur forcimin e kuadrit dhe programit të PPP-ve në Shqipëri. Kjo mund të jetë veçanërisht e rëndësishme, nëse qeveria është duke kërkuar mbështetje financimi për zbatimin e ndonjë prej rekomandimeve të bëra nga ky delegim i PPP-ve</w:t>
      </w:r>
      <w:r w:rsidR="008C3C5E" w:rsidRPr="007114AF">
        <w:rPr>
          <w:rFonts w:cs="Arial"/>
          <w:spacing w:val="-4"/>
        </w:rPr>
        <w:t>.</w:t>
      </w:r>
    </w:p>
    <w:p w14:paraId="6EDD13F8" w14:textId="77777777" w:rsidR="008C3C5E" w:rsidRPr="007114AF" w:rsidRDefault="002D0A53" w:rsidP="009423A8">
      <w:pPr>
        <w:pStyle w:val="TEKSTI"/>
        <w:rPr>
          <w:b/>
          <w:spacing w:val="-4"/>
        </w:rPr>
      </w:pPr>
      <w:r w:rsidRPr="007114AF">
        <w:rPr>
          <w:b/>
          <w:spacing w:val="-4"/>
        </w:rPr>
        <w:t xml:space="preserve">- </w:t>
      </w:r>
      <w:r w:rsidR="008C3C5E" w:rsidRPr="007114AF">
        <w:rPr>
          <w:b/>
          <w:spacing w:val="-4"/>
        </w:rPr>
        <w:t>Pagesa e shërbimeve të ekosistemeve</w:t>
      </w:r>
    </w:p>
    <w:p w14:paraId="6EDD13F9" w14:textId="440DBFE2" w:rsidR="008C3C5E" w:rsidRPr="007114AF" w:rsidRDefault="00D10DAB" w:rsidP="008C3C5E">
      <w:pPr>
        <w:pStyle w:val="TEKSTI"/>
        <w:rPr>
          <w:spacing w:val="-4"/>
        </w:rPr>
      </w:pPr>
      <w:r w:rsidRPr="007114AF">
        <w:rPr>
          <w:spacing w:val="-4"/>
        </w:rPr>
        <w:lastRenderedPageBreak/>
        <w:t>‘</w:t>
      </w:r>
      <w:r w:rsidR="008C3C5E" w:rsidRPr="007114AF">
        <w:rPr>
          <w:spacing w:val="-4"/>
        </w:rPr>
        <w:t>Projekti i Shërbimeve Mjedisore</w:t>
      </w:r>
      <w:r w:rsidRPr="007114AF">
        <w:rPr>
          <w:spacing w:val="-4"/>
        </w:rPr>
        <w:t>’</w:t>
      </w:r>
      <w:r w:rsidR="008C3C5E" w:rsidRPr="007114AF">
        <w:rPr>
          <w:spacing w:val="-4"/>
        </w:rPr>
        <w:t xml:space="preserve"> i udhëhequr nga BB-ja (16.8 milionë USD) është duke testuar aktualisht skemat e Pagesës për Shërbimet e Ekosistemeve (PSHE) (PES). Projekti shenjëstron persona në pyje dhe komunitetet e afërme, me përfitime të rritura monetare ose jomonetare nga pylli</w:t>
      </w:r>
      <w:r w:rsidR="000A2A01" w:rsidRPr="007114AF">
        <w:rPr>
          <w:spacing w:val="-4"/>
        </w:rPr>
        <w:t xml:space="preserve"> </w:t>
      </w:r>
      <w:r w:rsidR="008C3C5E" w:rsidRPr="007114AF">
        <w:rPr>
          <w:spacing w:val="-4"/>
        </w:rPr>
        <w:t>b) persona në komunitete të synuara me përfitime të rritura monetare ose jomonetare nga tokat bujqësore.</w:t>
      </w:r>
    </w:p>
    <w:p w14:paraId="6EDD13FA" w14:textId="03826F08" w:rsidR="008C3C5E" w:rsidRPr="007114AF" w:rsidRDefault="008C3C5E" w:rsidP="008C3C5E">
      <w:pPr>
        <w:pStyle w:val="TEKSTI"/>
        <w:rPr>
          <w:spacing w:val="-4"/>
        </w:rPr>
      </w:pPr>
      <w:r w:rsidRPr="007114AF">
        <w:rPr>
          <w:spacing w:val="-4"/>
        </w:rPr>
        <w:t>Zhvillimi i mekanizmave të pagesës për shërbimet e pellgjeve ujëmbledhëse do të mbështesë menaxhimin e qëndrueshëm të peizazhit në zonat rurale, që përgatisin një qasje inovative të bazuar në treg, në bazë të parimit se ata që përfitojnë nga shërbimet mjedisore duhet të paguajnë personat që i gjenerojnë. Projektimet e mekanizmave si për skemat e pagesave publike dhe private, do të hulumtohen. Ky nënkomponent do të zhvillojë një model që lidh praktikat e përdorimit të tokës me gjenerimin e shërbimeve të ekosistemeve, të tilla si ruajtja e sedimenteve, pastrimi i ujit dhe rrjedhat e ujit, si dhe një plan të përshtatshëm pagese dhe masa nëpërmjet një programi të asistencës teknike,</w:t>
      </w:r>
      <w:r w:rsidR="000A2A01" w:rsidRPr="007114AF">
        <w:rPr>
          <w:spacing w:val="-4"/>
        </w:rPr>
        <w:t xml:space="preserve"> </w:t>
      </w:r>
      <w:r w:rsidRPr="007114AF">
        <w:rPr>
          <w:spacing w:val="-4"/>
        </w:rPr>
        <w:t>për të ndihmuar fermerët, për të kaluar në praktika të pranueshme të Menaxhimit të Tokës (SML) (LM). Të gjitha këto aktivitete do të sjellin përfitime të përshtatjes në fushat përkatëse.</w:t>
      </w:r>
    </w:p>
    <w:p w14:paraId="6EDD13FB" w14:textId="77777777" w:rsidR="008C3C5E" w:rsidRPr="007114AF" w:rsidRDefault="008C3C5E" w:rsidP="008C3C5E">
      <w:pPr>
        <w:pStyle w:val="TEKSTI"/>
        <w:rPr>
          <w:spacing w:val="-4"/>
        </w:rPr>
      </w:pPr>
      <w:r w:rsidRPr="007114AF">
        <w:rPr>
          <w:spacing w:val="-4"/>
        </w:rPr>
        <w:t>Përshtatshmëria e këtyre PSHE-ve (PES) për kontekstin shqiptar, duhet të vlerësohet më tej</w:t>
      </w:r>
      <w:r w:rsidRPr="007114AF">
        <w:rPr>
          <w:rStyle w:val="FootnoteReference"/>
          <w:spacing w:val="-4"/>
        </w:rPr>
        <w:footnoteReference w:id="86"/>
      </w:r>
      <w:r w:rsidRPr="007114AF">
        <w:rPr>
          <w:spacing w:val="-4"/>
        </w:rPr>
        <w:t xml:space="preserve"> si pjesë e aktiviteteve afatmesme në udhërrëfyes. </w:t>
      </w:r>
    </w:p>
    <w:p w14:paraId="6EDD13FC" w14:textId="77777777" w:rsidR="008C3C5E" w:rsidRPr="007114AF" w:rsidRDefault="002D0A53" w:rsidP="009423A8">
      <w:pPr>
        <w:pStyle w:val="TEKSTI"/>
        <w:rPr>
          <w:b/>
          <w:spacing w:val="-4"/>
        </w:rPr>
      </w:pPr>
      <w:r w:rsidRPr="007114AF">
        <w:rPr>
          <w:b/>
          <w:spacing w:val="-4"/>
        </w:rPr>
        <w:t xml:space="preserve">- </w:t>
      </w:r>
      <w:r w:rsidR="008C3C5E" w:rsidRPr="007114AF">
        <w:rPr>
          <w:b/>
          <w:spacing w:val="-4"/>
        </w:rPr>
        <w:t>Sigurimet e rriskut</w:t>
      </w:r>
    </w:p>
    <w:p w14:paraId="6EDD13FD" w14:textId="4C684CAD" w:rsidR="008C3C5E" w:rsidRPr="007114AF" w:rsidRDefault="008C3C5E" w:rsidP="008C3C5E">
      <w:pPr>
        <w:pStyle w:val="TEKSTI"/>
        <w:rPr>
          <w:rFonts w:cs="Arial"/>
          <w:spacing w:val="-4"/>
        </w:rPr>
      </w:pPr>
      <w:r w:rsidRPr="007114AF">
        <w:rPr>
          <w:rFonts w:cs="Arial"/>
          <w:spacing w:val="-4"/>
        </w:rPr>
        <w:t>Projekti i</w:t>
      </w:r>
      <w:r w:rsidR="000A2A01" w:rsidRPr="007114AF">
        <w:rPr>
          <w:rFonts w:cs="Arial"/>
          <w:spacing w:val="-4"/>
        </w:rPr>
        <w:t xml:space="preserve"> </w:t>
      </w:r>
      <w:r w:rsidRPr="007114AF">
        <w:rPr>
          <w:rFonts w:cs="Arial"/>
          <w:spacing w:val="-4"/>
        </w:rPr>
        <w:t xml:space="preserve">propozuar i udhëhequr nga Banka Botërore </w:t>
      </w:r>
      <w:r w:rsidR="00D10DAB" w:rsidRPr="007114AF">
        <w:rPr>
          <w:rFonts w:cs="Arial"/>
          <w:color w:val="FF0000"/>
          <w:spacing w:val="-4"/>
        </w:rPr>
        <w:t>‘</w:t>
      </w:r>
      <w:r w:rsidRPr="007114AF">
        <w:rPr>
          <w:rFonts w:cs="Arial"/>
          <w:spacing w:val="-4"/>
        </w:rPr>
        <w:t>Zhvillimi i Bujqësisë me Aftësi Rimëkëmbëse ndaj Ndryshimeve Klimatike dhe Menaxhimi i Përmbytjeve në Ultësirat Perëndimore të Shqipërisë</w:t>
      </w:r>
      <w:r w:rsidR="008D30FC" w:rsidRPr="007114AF">
        <w:rPr>
          <w:rFonts w:cs="Arial"/>
          <w:spacing w:val="-4"/>
        </w:rPr>
        <w:t xml:space="preserve"> </w:t>
      </w:r>
      <w:r w:rsidRPr="007114AF">
        <w:rPr>
          <w:rFonts w:cs="Arial"/>
          <w:spacing w:val="-4"/>
        </w:rPr>
        <w:t xml:space="preserve">(6 </w:t>
      </w:r>
      <w:r w:rsidR="001C47F0" w:rsidRPr="007114AF">
        <w:rPr>
          <w:rFonts w:cs="Arial"/>
          <w:spacing w:val="-4"/>
        </w:rPr>
        <w:t xml:space="preserve">milionë </w:t>
      </w:r>
      <w:r w:rsidRPr="007114AF">
        <w:rPr>
          <w:rFonts w:cs="Arial"/>
          <w:spacing w:val="-4"/>
        </w:rPr>
        <w:t xml:space="preserve">USD) do të projektojë dhe zbatojë zgjidhje të sigurimeve ndaj përmbytjeve të bazuara në komunitet, të cilat do të përshtaten në përputhje me kërkesat e financimit të </w:t>
      </w:r>
      <w:r w:rsidR="000A2A01" w:rsidRPr="007114AF">
        <w:rPr>
          <w:rFonts w:cs="Arial"/>
          <w:spacing w:val="-4"/>
        </w:rPr>
        <w:t>“</w:t>
      </w:r>
      <w:r w:rsidRPr="007114AF">
        <w:rPr>
          <w:rFonts w:cs="Arial"/>
          <w:spacing w:val="-4"/>
        </w:rPr>
        <w:t>Europa e Re</w:t>
      </w:r>
      <w:r w:rsidR="000A2A01" w:rsidRPr="007114AF">
        <w:rPr>
          <w:rFonts w:cs="Arial"/>
          <w:spacing w:val="-4"/>
        </w:rPr>
        <w:t>”</w:t>
      </w:r>
      <w:r w:rsidRPr="007114AF">
        <w:rPr>
          <w:rFonts w:cs="Arial"/>
          <w:spacing w:val="-4"/>
        </w:rPr>
        <w:t>,që do të reflektojë praktikat globale të risigurimit, në mënyrë që rreziqet mund të</w:t>
      </w:r>
      <w:r w:rsidR="000A2A01" w:rsidRPr="007114AF">
        <w:rPr>
          <w:rFonts w:cs="Arial"/>
          <w:spacing w:val="-4"/>
        </w:rPr>
        <w:t xml:space="preserve"> </w:t>
      </w:r>
      <w:r w:rsidRPr="007114AF">
        <w:rPr>
          <w:rFonts w:cs="Arial"/>
          <w:spacing w:val="-4"/>
        </w:rPr>
        <w:t>grupohen/grumbullohen dhe më vonë të risigurohen, për të garantuar mbulim të sigurimeve për bashki, të zonës së synuar që përfaqësojnë pellgje të ndryshme ujëmbledhëse në nivelet e sipërme, të mesme dhe të ulëta të lumit.</w:t>
      </w:r>
      <w:r w:rsidR="000A2A01" w:rsidRPr="007114AF">
        <w:rPr>
          <w:rFonts w:cs="Arial"/>
          <w:spacing w:val="-4"/>
        </w:rPr>
        <w:t xml:space="preserve"> </w:t>
      </w:r>
      <w:r w:rsidRPr="007114AF">
        <w:rPr>
          <w:rFonts w:cs="Arial"/>
          <w:spacing w:val="-4"/>
        </w:rPr>
        <w:t xml:space="preserve">Për të mbështetur zhvillimin e skemës dhe stimulimin e komuniteteve për të marrë pjesë në skemat e sigurimeve ndaj përmbytjeve, një skemë e qëndrueshme e subvencionimit të primeve do të hartohet për grupet e cenueshme nga pikëpamja sociale. </w:t>
      </w:r>
    </w:p>
    <w:p w14:paraId="6EDD13FE" w14:textId="77777777" w:rsidR="008C3C5E" w:rsidRPr="007114AF" w:rsidRDefault="008C3C5E" w:rsidP="008C3C5E">
      <w:pPr>
        <w:pStyle w:val="TEKSTI"/>
        <w:rPr>
          <w:rFonts w:cs="Arial"/>
          <w:spacing w:val="-4"/>
        </w:rPr>
      </w:pPr>
      <w:r w:rsidRPr="007114AF">
        <w:rPr>
          <w:rFonts w:cs="Arial"/>
          <w:spacing w:val="-4"/>
        </w:rPr>
        <w:t>Të gjitha përpjekjet për krijimin e sigurimeve të rrezikut në Shqipëri (p.sh. Projekti i Fondit të Sigurimeve të Rrezikut për Katastrofat në Kaukaz dhe Evropën Juglindore për Evropën dhe Azinë Qendrore ) duhet të monitorohen dhe vlerësohen rregullisht, me qëllim nxjerrjen e mësimeve dhe vlerësimin e aftësisë së tyre.</w:t>
      </w:r>
    </w:p>
    <w:p w14:paraId="6EDD13FF" w14:textId="77777777" w:rsidR="008C3C5E" w:rsidRPr="007114AF" w:rsidRDefault="002D0A53" w:rsidP="009423A8">
      <w:pPr>
        <w:pStyle w:val="TEKSTI"/>
        <w:rPr>
          <w:b/>
          <w:spacing w:val="-4"/>
        </w:rPr>
      </w:pPr>
      <w:r w:rsidRPr="007114AF">
        <w:rPr>
          <w:b/>
          <w:spacing w:val="-4"/>
        </w:rPr>
        <w:t xml:space="preserve">- </w:t>
      </w:r>
      <w:r w:rsidR="008C3C5E" w:rsidRPr="007114AF">
        <w:rPr>
          <w:b/>
          <w:spacing w:val="-4"/>
        </w:rPr>
        <w:t>Instrumente të tjera inovative</w:t>
      </w:r>
    </w:p>
    <w:p w14:paraId="6EDD1400" w14:textId="77777777" w:rsidR="008C3C5E" w:rsidRPr="007114AF" w:rsidRDefault="008C3C5E" w:rsidP="008C3C5E">
      <w:pPr>
        <w:pStyle w:val="TEKSTI"/>
        <w:rPr>
          <w:rFonts w:cs="Arial"/>
          <w:spacing w:val="-4"/>
        </w:rPr>
      </w:pPr>
      <w:r w:rsidRPr="007114AF">
        <w:rPr>
          <w:rFonts w:cs="Arial"/>
          <w:spacing w:val="-4"/>
        </w:rPr>
        <w:t>Financimi i përshtatjes së klimës është një fushë e re dhe instrumente të reja janë duke u përgatitur, testuar dhe përmirësuar në mënyrë progresive. Është e rëndësishme që të ndiqen këto zhvillime dhe të ndërtohet ekspertizë në një njësi ose institucion koordinues, që do të jetë përgjegjës për mobilizimin e burimeve për masën klimatike në Shqipëri.</w:t>
      </w:r>
    </w:p>
    <w:p w14:paraId="6EDD1401" w14:textId="77777777" w:rsidR="008C3C5E" w:rsidRPr="007114AF" w:rsidRDefault="008C3C5E" w:rsidP="008C3C5E">
      <w:pPr>
        <w:pStyle w:val="TEKSTI"/>
        <w:rPr>
          <w:rFonts w:cs="Arial"/>
          <w:spacing w:val="-4"/>
        </w:rPr>
      </w:pPr>
      <w:r w:rsidRPr="007114AF">
        <w:rPr>
          <w:rFonts w:cs="Arial"/>
          <w:spacing w:val="-4"/>
        </w:rPr>
        <w:t xml:space="preserve">Iniciativat përkatëse për gjurmim dhe përfshirje janë si më poshtë: </w:t>
      </w:r>
    </w:p>
    <w:p w14:paraId="6EDD1402" w14:textId="77777777" w:rsidR="008C3C5E" w:rsidRPr="007114AF" w:rsidRDefault="00DE31E0" w:rsidP="008C3C5E">
      <w:pPr>
        <w:pStyle w:val="TEKSTI"/>
        <w:rPr>
          <w:rFonts w:cs="Arial"/>
          <w:spacing w:val="-4"/>
        </w:rPr>
      </w:pPr>
      <w:hyperlink r:id="rId50" w:history="1">
        <w:r w:rsidR="008C3C5E" w:rsidRPr="007114AF">
          <w:rPr>
            <w:rStyle w:val="Hyperlink"/>
            <w:rFonts w:cs="Arial"/>
            <w:spacing w:val="-4"/>
          </w:rPr>
          <w:t>http://climate-l.iisd.org/neës/stakeholders-reflect-on-innovative-finance-health-sdgs-climate-progress-data/</w:t>
        </w:r>
      </w:hyperlink>
    </w:p>
    <w:p w14:paraId="6EDD1403" w14:textId="77777777" w:rsidR="008C3C5E" w:rsidRPr="007114AF" w:rsidRDefault="008C3C5E" w:rsidP="008C3C5E">
      <w:pPr>
        <w:pStyle w:val="TEKSTI"/>
        <w:rPr>
          <w:rFonts w:cs="Arial"/>
          <w:spacing w:val="-4"/>
        </w:rPr>
      </w:pPr>
      <w:r w:rsidRPr="007114AF">
        <w:rPr>
          <w:rFonts w:cs="Arial"/>
          <w:spacing w:val="-4"/>
        </w:rPr>
        <w:t xml:space="preserve">http:// </w:t>
      </w:r>
      <w:hyperlink r:id="rId51" w:history="1">
        <w:r w:rsidRPr="007114AF">
          <w:rPr>
            <w:rStyle w:val="Hyperlink"/>
            <w:rFonts w:cs="Arial"/>
            <w:spacing w:val="-4"/>
          </w:rPr>
          <w:t>www.climatefinanceideas.org/</w:t>
        </w:r>
      </w:hyperlink>
    </w:p>
    <w:p w14:paraId="6EDD1404" w14:textId="77777777" w:rsidR="008C3C5E" w:rsidRPr="007114AF" w:rsidRDefault="00DE31E0" w:rsidP="002B1083">
      <w:pPr>
        <w:pStyle w:val="TEKSTI"/>
        <w:rPr>
          <w:rFonts w:cs="Arial"/>
          <w:spacing w:val="-4"/>
        </w:rPr>
      </w:pPr>
      <w:hyperlink r:id="rId52" w:history="1">
        <w:r w:rsidR="008C3C5E" w:rsidRPr="007114AF">
          <w:rPr>
            <w:rStyle w:val="Hyperlink"/>
            <w:rFonts w:cs="Arial"/>
            <w:spacing w:val="-4"/>
          </w:rPr>
          <w:t>http://climatefinancelab.org/</w:t>
        </w:r>
      </w:hyperlink>
    </w:p>
    <w:p w14:paraId="6EDD1405" w14:textId="77777777" w:rsidR="008C3C5E" w:rsidRPr="007114AF" w:rsidRDefault="002D0A53" w:rsidP="009423A8">
      <w:pPr>
        <w:pStyle w:val="TEKSTI"/>
        <w:rPr>
          <w:b/>
        </w:rPr>
      </w:pPr>
      <w:r w:rsidRPr="007114AF">
        <w:rPr>
          <w:b/>
        </w:rPr>
        <w:t xml:space="preserve">- </w:t>
      </w:r>
      <w:r w:rsidR="008C3C5E" w:rsidRPr="007114AF">
        <w:rPr>
          <w:b/>
        </w:rPr>
        <w:t>Udhërrëfyesi i fokusuar në hapa dhe afate konkrete</w:t>
      </w:r>
    </w:p>
    <w:p w14:paraId="6EDD140B" w14:textId="2A2EA8C4" w:rsidR="002D0A53" w:rsidRPr="007114AF" w:rsidRDefault="008C3C5E" w:rsidP="00203893">
      <w:pPr>
        <w:pStyle w:val="TEKSTI"/>
        <w:rPr>
          <w:b/>
          <w:bCs/>
          <w:iCs/>
        </w:rPr>
      </w:pPr>
      <w:r w:rsidRPr="007114AF">
        <w:rPr>
          <w:rFonts w:cs="Arial"/>
        </w:rPr>
        <w:t>Tabela 1 përmbledh hapat e planifikuar për vitet</w:t>
      </w:r>
      <w:r w:rsidR="000A2A01" w:rsidRPr="007114AF">
        <w:rPr>
          <w:rFonts w:cs="Arial"/>
        </w:rPr>
        <w:t xml:space="preserve"> </w:t>
      </w:r>
      <w:r w:rsidRPr="007114AF">
        <w:rPr>
          <w:rFonts w:cs="Arial"/>
        </w:rPr>
        <w:t>2017 deri 2023 në bazë të analizës së ndërmarrë si pjesë e procesit të përgatitjes të strategjisë së financimit dhe diskutimeve të zhvilluara të grupit ndërministror të ndryshimeve klimatike (IMWGCC).</w:t>
      </w:r>
    </w:p>
    <w:p w14:paraId="6EDD140C" w14:textId="77777777" w:rsidR="002D0A53" w:rsidRPr="007114AF" w:rsidRDefault="002D0A53" w:rsidP="00BC1DB5">
      <w:pPr>
        <w:spacing w:after="200"/>
        <w:rPr>
          <w:rFonts w:ascii="Garamond" w:hAnsi="Garamond"/>
          <w:b/>
          <w:bCs/>
          <w:iCs/>
        </w:rPr>
      </w:pPr>
    </w:p>
    <w:p w14:paraId="6EDD140D" w14:textId="77777777" w:rsidR="002D0A53" w:rsidRPr="007114AF" w:rsidRDefault="002D0A53" w:rsidP="00BC1DB5">
      <w:pPr>
        <w:spacing w:after="200"/>
        <w:rPr>
          <w:rFonts w:ascii="Garamond" w:hAnsi="Garamond"/>
          <w:b/>
          <w:bCs/>
          <w:iCs/>
        </w:rPr>
        <w:sectPr w:rsidR="002D0A53" w:rsidRPr="007114AF" w:rsidSect="00A45C8C">
          <w:pgSz w:w="11907" w:h="16840" w:code="9"/>
          <w:pgMar w:top="1418" w:right="1418" w:bottom="1418" w:left="1418" w:header="1304" w:footer="1134" w:gutter="0"/>
          <w:cols w:space="708"/>
          <w:noEndnote/>
          <w:docGrid w:linePitch="326"/>
        </w:sectPr>
      </w:pPr>
    </w:p>
    <w:p w14:paraId="6EDD140E" w14:textId="77777777" w:rsidR="009423A8" w:rsidRPr="007114AF" w:rsidRDefault="00E507DE" w:rsidP="00BC1DB5">
      <w:pPr>
        <w:spacing w:after="200"/>
        <w:rPr>
          <w:rFonts w:ascii="Garamond" w:hAnsi="Garamond"/>
          <w:b/>
          <w:bCs/>
          <w:iCs/>
        </w:rPr>
      </w:pPr>
      <w:r w:rsidRPr="007114AF">
        <w:rPr>
          <w:rFonts w:ascii="Garamond" w:hAnsi="Garamond"/>
          <w:noProof/>
          <w:lang w:val="en-US" w:eastAsia="en-US"/>
        </w:rPr>
        <w:lastRenderedPageBreak/>
        <w:drawing>
          <wp:inline distT="0" distB="0" distL="0" distR="0" wp14:anchorId="6EDD17D8" wp14:editId="6EDD17D9">
            <wp:extent cx="8892540" cy="5153738"/>
            <wp:effectExtent l="0" t="0" r="3810" b="8890"/>
            <wp:docPr id="673" name="Picture 6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8892540" cy="5153738"/>
                    </a:xfrm>
                    <a:prstGeom prst="rect">
                      <a:avLst/>
                    </a:prstGeom>
                    <a:noFill/>
                    <a:ln>
                      <a:noFill/>
                    </a:ln>
                  </pic:spPr>
                </pic:pic>
              </a:graphicData>
            </a:graphic>
          </wp:inline>
        </w:drawing>
      </w:r>
    </w:p>
    <w:p w14:paraId="6EDD140F" w14:textId="77777777" w:rsidR="00E507DE" w:rsidRPr="007114AF" w:rsidRDefault="00E507DE" w:rsidP="00BC1DB5">
      <w:pPr>
        <w:spacing w:after="200"/>
        <w:rPr>
          <w:rFonts w:ascii="Garamond" w:hAnsi="Garamond"/>
          <w:b/>
          <w:bCs/>
          <w:iCs/>
        </w:rPr>
      </w:pPr>
    </w:p>
    <w:p w14:paraId="6EDD1410" w14:textId="77777777" w:rsidR="00E507DE" w:rsidRPr="007114AF" w:rsidRDefault="00E507DE" w:rsidP="00BC1DB5">
      <w:pPr>
        <w:spacing w:after="200"/>
        <w:rPr>
          <w:rFonts w:ascii="Garamond" w:hAnsi="Garamond"/>
          <w:b/>
          <w:bCs/>
          <w:iCs/>
        </w:rPr>
        <w:sectPr w:rsidR="00E507DE" w:rsidRPr="007114AF" w:rsidSect="002D0A53">
          <w:pgSz w:w="16840" w:h="11907" w:orient="landscape" w:code="9"/>
          <w:pgMar w:top="1418" w:right="1418" w:bottom="1418" w:left="1418" w:header="1304" w:footer="1134" w:gutter="0"/>
          <w:cols w:space="708"/>
          <w:noEndnote/>
          <w:docGrid w:linePitch="326"/>
        </w:sectPr>
      </w:pPr>
    </w:p>
    <w:p w14:paraId="6EDD1411" w14:textId="77777777" w:rsidR="00E507DE" w:rsidRPr="007114AF" w:rsidRDefault="00E507DE" w:rsidP="00E507DE">
      <w:pPr>
        <w:pStyle w:val="TEKSTI"/>
        <w:rPr>
          <w:b/>
        </w:rPr>
      </w:pPr>
      <w:bookmarkStart w:id="186" w:name="_Toc469479187"/>
      <w:bookmarkStart w:id="187" w:name="_Toc479083926"/>
      <w:r w:rsidRPr="007114AF">
        <w:rPr>
          <w:b/>
        </w:rPr>
        <w:lastRenderedPageBreak/>
        <w:t xml:space="preserve">Lista e referencave </w:t>
      </w:r>
      <w:bookmarkEnd w:id="186"/>
      <w:bookmarkEnd w:id="187"/>
    </w:p>
    <w:p w14:paraId="6EDD1412" w14:textId="77777777" w:rsidR="00E507DE" w:rsidRPr="007114AF" w:rsidRDefault="00E507DE" w:rsidP="00E507DE">
      <w:pPr>
        <w:pStyle w:val="TEKSTI"/>
      </w:pPr>
      <w:r w:rsidRPr="007114AF">
        <w:t>CDKN dhe Dalberg (2015): Vlerësimi i strategjive për mobilizimin e burimeve dhe qëndrueshmërinë e fondeve kombëtare të ndryshimeve klimatike.</w:t>
      </w:r>
    </w:p>
    <w:p w14:paraId="6EDD1413" w14:textId="77777777" w:rsidR="00E507DE" w:rsidRPr="007114AF" w:rsidRDefault="00E507DE" w:rsidP="00E507DE">
      <w:pPr>
        <w:pStyle w:val="TEKSTI"/>
      </w:pPr>
      <w:r w:rsidRPr="007114AF">
        <w:t xml:space="preserve">E3G (2014): </w:t>
      </w:r>
      <w:hyperlink r:id="rId54" w:history="1">
        <w:r w:rsidRPr="007114AF">
          <w:rPr>
            <w:rStyle w:val="Hyperlink"/>
          </w:rPr>
          <w:t>Qasjet strategjike kombëtare ndaj financimit të klimës</w:t>
        </w:r>
      </w:hyperlink>
      <w:r w:rsidRPr="007114AF">
        <w:t xml:space="preserve"> – Raport për punën e vlerësimit në Peru, Kili dhe Kolumbi për rrugët dhe strategjitë kombëtare të financimit të klimës.</w:t>
      </w:r>
    </w:p>
    <w:p w14:paraId="6EDD1414" w14:textId="77777777" w:rsidR="00E507DE" w:rsidRPr="007114AF" w:rsidRDefault="00E507DE" w:rsidP="00E507DE">
      <w:pPr>
        <w:pStyle w:val="TEKSTI"/>
      </w:pPr>
      <w:r w:rsidRPr="007114AF">
        <w:t>OECD (2014): Manual për Shenjuesit e Klimës të OECD-DAC.</w:t>
      </w:r>
    </w:p>
    <w:p w14:paraId="6EDD1415" w14:textId="50A1F4C0" w:rsidR="00E507DE" w:rsidRPr="007114AF" w:rsidRDefault="00E507DE" w:rsidP="00E507DE">
      <w:pPr>
        <w:pStyle w:val="TEKSTI"/>
      </w:pPr>
      <w:r w:rsidRPr="007114AF">
        <w:t>GIZ dhe WRI (2011): Rëndësia e Përshtatjes – Koncepte dhe Opsione për Monitorimin dhe Vlerësimin e Përshtatjes së Ndryshimit të Klimës</w:t>
      </w:r>
      <w:r w:rsidR="00191838" w:rsidRPr="007114AF">
        <w:t>.</w:t>
      </w:r>
      <w:r w:rsidRPr="007114AF">
        <w:t xml:space="preserve"> </w:t>
      </w:r>
    </w:p>
    <w:p w14:paraId="6EDD1416" w14:textId="14DA8875" w:rsidR="00E507DE" w:rsidRPr="007114AF" w:rsidRDefault="00E507DE" w:rsidP="00E507DE">
      <w:pPr>
        <w:pStyle w:val="TEKSTI"/>
      </w:pPr>
      <w:r w:rsidRPr="007114AF">
        <w:t>Qeveria e Shqipërisë: Ligji</w:t>
      </w:r>
      <w:r w:rsidR="00242009" w:rsidRPr="007114AF">
        <w:t xml:space="preserve"> nr. </w:t>
      </w:r>
      <w:r w:rsidRPr="007114AF">
        <w:t xml:space="preserve">90/2012 për </w:t>
      </w:r>
      <w:r w:rsidR="000A2A01" w:rsidRPr="007114AF">
        <w:t>“</w:t>
      </w:r>
      <w:r w:rsidRPr="007114AF">
        <w:t>Organizimin dhe Funksionimin e Administratës Shtetërore</w:t>
      </w:r>
      <w:r w:rsidR="000A2A01" w:rsidRPr="007114AF">
        <w:t>”</w:t>
      </w:r>
    </w:p>
    <w:p w14:paraId="6EDD1417" w14:textId="1FECA5DC" w:rsidR="00E507DE" w:rsidRPr="007114AF" w:rsidRDefault="00E507DE" w:rsidP="00E507DE">
      <w:pPr>
        <w:pStyle w:val="TEKSTI"/>
      </w:pPr>
      <w:r w:rsidRPr="007114AF">
        <w:t>Qeveria e Shqipërisë: Ligji për Menaxhimin dhe Kontrollin Financiar</w:t>
      </w:r>
      <w:r w:rsidR="00242009" w:rsidRPr="007114AF">
        <w:t xml:space="preserve"> nr. </w:t>
      </w:r>
      <w:r w:rsidRPr="007114AF">
        <w:t xml:space="preserve">10296/2010 (i rishikuar në vitin 2015) </w:t>
      </w:r>
    </w:p>
    <w:p w14:paraId="6EDD1418" w14:textId="23A28781" w:rsidR="00E507DE" w:rsidRPr="007114AF" w:rsidRDefault="00E507DE" w:rsidP="00E507DE">
      <w:pPr>
        <w:pStyle w:val="TEKSTI"/>
      </w:pPr>
      <w:r w:rsidRPr="007114AF">
        <w:t>Qeveria e Shqipërisë: Ligji për Menaxhimin e Sistemit Buxhetor në Shqipëri</w:t>
      </w:r>
      <w:r w:rsidR="00242009" w:rsidRPr="007114AF">
        <w:t xml:space="preserve"> nr. </w:t>
      </w:r>
      <w:r w:rsidRPr="007114AF">
        <w:t xml:space="preserve">9936/2008 (i rishikuar në vitin 2016) </w:t>
      </w:r>
    </w:p>
    <w:p w14:paraId="6EDD1419" w14:textId="6BD71860" w:rsidR="00E507DE" w:rsidRPr="007114AF" w:rsidRDefault="00E507DE" w:rsidP="00E507DE">
      <w:pPr>
        <w:pStyle w:val="TEKSTI"/>
      </w:pPr>
      <w:r w:rsidRPr="007114AF">
        <w:rPr>
          <w:bCs/>
          <w:iCs/>
        </w:rPr>
        <w:t xml:space="preserve">Qeveria e Shqipërisë: </w:t>
      </w:r>
      <w:r w:rsidRPr="007114AF">
        <w:t>Urdhri i Kryeministrit</w:t>
      </w:r>
      <w:r w:rsidR="00242009" w:rsidRPr="007114AF">
        <w:t xml:space="preserve"> nr. </w:t>
      </w:r>
      <w:r w:rsidRPr="007114AF">
        <w:t xml:space="preserve">155, datë 25.04.2014 </w:t>
      </w:r>
      <w:r w:rsidR="000A2A01" w:rsidRPr="007114AF">
        <w:t>“</w:t>
      </w:r>
      <w:r w:rsidRPr="007114AF">
        <w:t>Krijimi dhe funksionimi i grupit ndërministror të punës për ndryshimin e klimës</w:t>
      </w:r>
      <w:r w:rsidR="000A2A01" w:rsidRPr="007114AF">
        <w:t>”</w:t>
      </w:r>
    </w:p>
    <w:p w14:paraId="6EDD141A" w14:textId="609D1612" w:rsidR="00E507DE" w:rsidRPr="007114AF" w:rsidRDefault="00E507DE" w:rsidP="00E507DE">
      <w:pPr>
        <w:pStyle w:val="TEKSTI"/>
      </w:pPr>
      <w:r w:rsidRPr="007114AF">
        <w:t>Qeveria e Shqipërisë: Procedura standarde për përgatitjen e</w:t>
      </w:r>
      <w:r w:rsidR="000A2A01" w:rsidRPr="007114AF">
        <w:t xml:space="preserve"> </w:t>
      </w:r>
      <w:r w:rsidRPr="007114AF">
        <w:t>PBAM (MTBP)</w:t>
      </w:r>
      <w:r w:rsidR="00242009" w:rsidRPr="007114AF">
        <w:t xml:space="preserve"> nr. </w:t>
      </w:r>
      <w:r w:rsidRPr="007114AF">
        <w:t>8/2012, të lëshuar nga Ministri i Financave.</w:t>
      </w:r>
    </w:p>
    <w:p w14:paraId="6EDD141B" w14:textId="7D87D81F" w:rsidR="00E507DE" w:rsidRPr="007114AF" w:rsidRDefault="00E507DE" w:rsidP="00E507DE">
      <w:pPr>
        <w:pStyle w:val="TEKSTI"/>
      </w:pPr>
      <w:r w:rsidRPr="007114AF">
        <w:rPr>
          <w:bCs/>
          <w:iCs/>
        </w:rPr>
        <w:t>Qeveria e Shqipërisë:</w:t>
      </w:r>
      <w:r w:rsidRPr="007114AF">
        <w:t xml:space="preserve"> Vendimi i Këshillit të Ministrave</w:t>
      </w:r>
      <w:r w:rsidR="00242009" w:rsidRPr="007114AF">
        <w:t xml:space="preserve"> nr. </w:t>
      </w:r>
      <w:r w:rsidRPr="007114AF">
        <w:t xml:space="preserve">129/2015 </w:t>
      </w:r>
      <w:r w:rsidR="000A2A01" w:rsidRPr="007114AF">
        <w:t>“</w:t>
      </w:r>
      <w:r w:rsidRPr="007114AF">
        <w:t>Për marrjen e masave operacionale dhe institucionale për zbatimin e qasjes sektoriale dhe krijimin e grupeve të menaxhimit të integruar të politikave</w:t>
      </w:r>
      <w:r w:rsidR="000A2A01" w:rsidRPr="007114AF">
        <w:t>”</w:t>
      </w:r>
    </w:p>
    <w:p w14:paraId="6EDD141C" w14:textId="2ECAA57D" w:rsidR="00E507DE" w:rsidRPr="007114AF" w:rsidRDefault="00E507DE" w:rsidP="00E507DE">
      <w:pPr>
        <w:pStyle w:val="TEKSTI"/>
      </w:pPr>
      <w:r w:rsidRPr="007114AF">
        <w:t xml:space="preserve">OKB, Asambleja e Përgjithshme 2008 – Pikëpamje paraprake të Bashkimit Evropian mbi </w:t>
      </w:r>
      <w:r w:rsidR="000A2A01" w:rsidRPr="007114AF">
        <w:t>“</w:t>
      </w:r>
      <w:r w:rsidRPr="007114AF">
        <w:t>Mobilizimin e burimeve të brendshme të financimit për zhvillim</w:t>
      </w:r>
      <w:r w:rsidR="000A2A01" w:rsidRPr="007114AF">
        <w:t>”</w:t>
      </w:r>
    </w:p>
    <w:p w14:paraId="6EDD141D" w14:textId="77777777" w:rsidR="00E507DE" w:rsidRPr="007114AF" w:rsidRDefault="00E507DE" w:rsidP="00E507DE">
      <w:pPr>
        <w:pStyle w:val="TEKSTI"/>
        <w:rPr>
          <w:rFonts w:cs="Calibri"/>
        </w:rPr>
      </w:pPr>
      <w:r w:rsidRPr="007114AF">
        <w:rPr>
          <w:rFonts w:cs="Calibri"/>
        </w:rPr>
        <w:t xml:space="preserve">PNUD (UNDP)- SHMG (GEF) (2015): </w:t>
      </w:r>
      <w:hyperlink r:id="rId55" w:history="1">
        <w:r w:rsidRPr="007114AF">
          <w:rPr>
            <w:rStyle w:val="Hyperlink"/>
            <w:rFonts w:cs="Calibri"/>
          </w:rPr>
          <w:t>Integrimi i Ndryshimit të Klimës në Planifikim</w:t>
        </w:r>
      </w:hyperlink>
      <w:r w:rsidRPr="007114AF">
        <w:rPr>
          <w:rFonts w:cs="Calibri"/>
        </w:rPr>
        <w:t>.</w:t>
      </w:r>
    </w:p>
    <w:p w14:paraId="6EDD141E" w14:textId="77777777" w:rsidR="00E507DE" w:rsidRPr="007114AF" w:rsidRDefault="00E507DE" w:rsidP="00E507DE">
      <w:pPr>
        <w:pStyle w:val="TEKSTI"/>
      </w:pPr>
      <w:r w:rsidRPr="007114AF">
        <w:t>UNEP (2011): Mundësi për Integrimin e Planit për përshtatje ndaj ndryshimeve klimatike (CCA) &amp; DRR në Planifikimin e Zhvillimit dhe Vendimmarrje.</w:t>
      </w:r>
    </w:p>
    <w:p w14:paraId="6EDD141F" w14:textId="77777777" w:rsidR="00E507DE" w:rsidRPr="007114AF" w:rsidRDefault="00E507DE" w:rsidP="00E507DE">
      <w:pPr>
        <w:pStyle w:val="TEKSTI"/>
      </w:pPr>
      <w:r w:rsidRPr="007114AF">
        <w:t>USAID (2016): Moduli 2 – Financimi i Përshtatjes së Ndryshimeve klimatike. Fondi i USAID-it për Përgatitjen e Projektit të Përshtatjes për Ndryshimet klimatike për Azinë dhe Paqësorin.</w:t>
      </w:r>
    </w:p>
    <w:p w14:paraId="6EDD1420" w14:textId="77777777" w:rsidR="00EF480D" w:rsidRPr="007114AF" w:rsidRDefault="00EF480D" w:rsidP="009D1AC8">
      <w:pPr>
        <w:rPr>
          <w:rFonts w:ascii="Garamond" w:hAnsi="Garamond"/>
        </w:rPr>
      </w:pPr>
    </w:p>
    <w:p w14:paraId="6EDD1421" w14:textId="77777777" w:rsidR="00E507DE" w:rsidRPr="007114AF" w:rsidRDefault="00E507DE" w:rsidP="009D1AC8">
      <w:pPr>
        <w:rPr>
          <w:rFonts w:ascii="Garamond" w:hAnsi="Garamond"/>
        </w:rPr>
      </w:pPr>
    </w:p>
    <w:p w14:paraId="6EDD1422" w14:textId="77777777" w:rsidR="00E507DE" w:rsidRPr="007114AF" w:rsidRDefault="00E507DE" w:rsidP="009D1AC8">
      <w:pPr>
        <w:rPr>
          <w:rFonts w:ascii="Garamond" w:hAnsi="Garamond"/>
        </w:rPr>
      </w:pPr>
    </w:p>
    <w:p w14:paraId="6EDD1423" w14:textId="77777777" w:rsidR="00D82F76" w:rsidRPr="007114AF" w:rsidRDefault="00D82F76" w:rsidP="009D1AC8">
      <w:pPr>
        <w:rPr>
          <w:rFonts w:ascii="Garamond" w:hAnsi="Garamond"/>
        </w:rPr>
      </w:pPr>
    </w:p>
    <w:p w14:paraId="6EDD1424" w14:textId="77777777" w:rsidR="00D82F76" w:rsidRPr="007114AF" w:rsidRDefault="00D82F76" w:rsidP="009D1AC8">
      <w:pPr>
        <w:rPr>
          <w:rFonts w:ascii="Garamond" w:hAnsi="Garamond"/>
        </w:rPr>
      </w:pPr>
    </w:p>
    <w:p w14:paraId="6EDD1425" w14:textId="77777777" w:rsidR="00D82F76" w:rsidRDefault="00D82F76" w:rsidP="009D1AC8">
      <w:pPr>
        <w:rPr>
          <w:rFonts w:ascii="Garamond" w:hAnsi="Garamond"/>
        </w:rPr>
      </w:pPr>
    </w:p>
    <w:p w14:paraId="72079A75" w14:textId="77777777" w:rsidR="00881E70" w:rsidRPr="007114AF" w:rsidRDefault="00881E70" w:rsidP="009D1AC8">
      <w:pPr>
        <w:rPr>
          <w:rFonts w:ascii="Garamond" w:hAnsi="Garamond"/>
        </w:rPr>
      </w:pPr>
    </w:p>
    <w:p w14:paraId="6EDD1426" w14:textId="77777777" w:rsidR="00E45764" w:rsidRPr="007114AF" w:rsidRDefault="00E45764" w:rsidP="00975179">
      <w:pPr>
        <w:pStyle w:val="TEKSTI"/>
        <w:rPr>
          <w:b/>
        </w:rPr>
      </w:pPr>
      <w:r w:rsidRPr="007114AF">
        <w:rPr>
          <w:b/>
        </w:rPr>
        <w:lastRenderedPageBreak/>
        <w:sym w:font="Wingdings 2" w:char="F041"/>
      </w:r>
      <w:r w:rsidRPr="007114AF">
        <w:rPr>
          <w:b/>
        </w:rPr>
        <w:t>Statusi aktual i Masave Prioritare të NAP-it (për 8 vjet)</w:t>
      </w:r>
    </w:p>
    <w:tbl>
      <w:tblPr>
        <w:tblpPr w:leftFromText="180" w:rightFromText="180" w:vertAnchor="page" w:horzAnchor="margin" w:tblpX="-75" w:tblpY="1955"/>
        <w:tblW w:w="145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1"/>
        <w:gridCol w:w="1417"/>
        <w:gridCol w:w="1413"/>
        <w:gridCol w:w="5103"/>
        <w:gridCol w:w="3402"/>
      </w:tblGrid>
      <w:tr w:rsidR="00975179" w:rsidRPr="007114AF" w14:paraId="6EDD142C" w14:textId="77777777" w:rsidTr="00975179">
        <w:trPr>
          <w:trHeight w:val="136"/>
        </w:trPr>
        <w:tc>
          <w:tcPr>
            <w:tcW w:w="3251" w:type="dxa"/>
            <w:shd w:val="clear" w:color="auto" w:fill="B6DDE8" w:themeFill="accent5" w:themeFillTint="66"/>
            <w:vAlign w:val="center"/>
          </w:tcPr>
          <w:p w14:paraId="6EDD1427" w14:textId="77777777" w:rsidR="00975179" w:rsidRPr="007114AF" w:rsidRDefault="00975179" w:rsidP="009160D5">
            <w:pPr>
              <w:rPr>
                <w:rFonts w:ascii="Garamond" w:hAnsi="Garamond" w:cs="Calibri"/>
                <w:b/>
                <w:sz w:val="14"/>
                <w:szCs w:val="14"/>
              </w:rPr>
            </w:pPr>
            <w:r w:rsidRPr="007114AF">
              <w:rPr>
                <w:rFonts w:ascii="Garamond" w:hAnsi="Garamond" w:cs="Calibri"/>
                <w:b/>
                <w:sz w:val="14"/>
                <w:szCs w:val="14"/>
              </w:rPr>
              <w:t>Masat gjithëpërfshirëse / kuadri i zbatimit</w:t>
            </w:r>
          </w:p>
        </w:tc>
        <w:tc>
          <w:tcPr>
            <w:tcW w:w="1417" w:type="dxa"/>
            <w:shd w:val="clear" w:color="auto" w:fill="B6DDE8" w:themeFill="accent5" w:themeFillTint="66"/>
            <w:vAlign w:val="center"/>
          </w:tcPr>
          <w:p w14:paraId="6EDD1428" w14:textId="77777777" w:rsidR="00975179" w:rsidRPr="007114AF" w:rsidRDefault="00975179" w:rsidP="009160D5">
            <w:pPr>
              <w:rPr>
                <w:rFonts w:ascii="Garamond" w:hAnsi="Garamond" w:cs="Calibri"/>
                <w:b/>
                <w:sz w:val="14"/>
                <w:szCs w:val="14"/>
              </w:rPr>
            </w:pPr>
            <w:r w:rsidRPr="007114AF">
              <w:rPr>
                <w:rFonts w:ascii="Garamond" w:hAnsi="Garamond" w:cs="Calibri"/>
                <w:b/>
                <w:sz w:val="14"/>
                <w:szCs w:val="14"/>
              </w:rPr>
              <w:t>Kostoja totale</w:t>
            </w:r>
          </w:p>
        </w:tc>
        <w:tc>
          <w:tcPr>
            <w:tcW w:w="1413" w:type="dxa"/>
            <w:shd w:val="clear" w:color="auto" w:fill="B6DDE8" w:themeFill="accent5" w:themeFillTint="66"/>
            <w:vAlign w:val="center"/>
          </w:tcPr>
          <w:p w14:paraId="6EDD1429" w14:textId="77777777" w:rsidR="00975179" w:rsidRPr="007114AF" w:rsidRDefault="00975179" w:rsidP="009160D5">
            <w:pPr>
              <w:rPr>
                <w:rFonts w:ascii="Garamond" w:hAnsi="Garamond" w:cs="Calibri"/>
                <w:b/>
                <w:sz w:val="14"/>
                <w:szCs w:val="14"/>
              </w:rPr>
            </w:pPr>
            <w:r w:rsidRPr="007114AF">
              <w:rPr>
                <w:rFonts w:ascii="Garamond" w:hAnsi="Garamond" w:cs="Calibri"/>
                <w:b/>
                <w:sz w:val="14"/>
                <w:szCs w:val="14"/>
              </w:rPr>
              <w:t>Buxheti kombëtar</w:t>
            </w:r>
          </w:p>
        </w:tc>
        <w:tc>
          <w:tcPr>
            <w:tcW w:w="5103" w:type="dxa"/>
            <w:shd w:val="clear" w:color="auto" w:fill="B6DDE8" w:themeFill="accent5" w:themeFillTint="66"/>
            <w:vAlign w:val="center"/>
          </w:tcPr>
          <w:p w14:paraId="6EDD142A" w14:textId="77777777" w:rsidR="00975179" w:rsidRPr="007114AF" w:rsidRDefault="00975179" w:rsidP="009160D5">
            <w:pPr>
              <w:rPr>
                <w:rFonts w:ascii="Garamond" w:hAnsi="Garamond" w:cs="Calibri"/>
                <w:b/>
                <w:sz w:val="14"/>
                <w:szCs w:val="14"/>
              </w:rPr>
            </w:pPr>
            <w:r w:rsidRPr="007114AF">
              <w:rPr>
                <w:rFonts w:ascii="Garamond" w:hAnsi="Garamond" w:cs="Calibri"/>
                <w:b/>
                <w:sz w:val="14"/>
                <w:szCs w:val="14"/>
              </w:rPr>
              <w:t xml:space="preserve">Financuesit/investuesit e mundshëm të jashtëm </w:t>
            </w:r>
          </w:p>
        </w:tc>
        <w:tc>
          <w:tcPr>
            <w:tcW w:w="3402" w:type="dxa"/>
            <w:shd w:val="clear" w:color="auto" w:fill="B6DDE8" w:themeFill="accent5" w:themeFillTint="66"/>
            <w:vAlign w:val="center"/>
          </w:tcPr>
          <w:p w14:paraId="6EDD142B" w14:textId="77777777" w:rsidR="00975179" w:rsidRPr="007114AF" w:rsidRDefault="00975179" w:rsidP="009160D5">
            <w:pPr>
              <w:rPr>
                <w:rFonts w:ascii="Garamond" w:hAnsi="Garamond" w:cs="Calibri"/>
                <w:b/>
                <w:sz w:val="14"/>
                <w:szCs w:val="14"/>
              </w:rPr>
            </w:pPr>
            <w:r w:rsidRPr="007114AF">
              <w:rPr>
                <w:rFonts w:ascii="Garamond" w:hAnsi="Garamond" w:cs="Calibri"/>
                <w:b/>
                <w:sz w:val="14"/>
                <w:szCs w:val="14"/>
              </w:rPr>
              <w:t>Hapi i ardhshëm</w:t>
            </w:r>
          </w:p>
        </w:tc>
      </w:tr>
      <w:tr w:rsidR="00975179" w:rsidRPr="007114AF" w14:paraId="6EDD1433" w14:textId="77777777" w:rsidTr="00975179">
        <w:trPr>
          <w:trHeight w:val="510"/>
        </w:trPr>
        <w:tc>
          <w:tcPr>
            <w:tcW w:w="3251" w:type="dxa"/>
            <w:shd w:val="clear" w:color="auto" w:fill="auto"/>
          </w:tcPr>
          <w:p w14:paraId="6EDD142D" w14:textId="5B3F88C1" w:rsidR="00975179" w:rsidRPr="007114AF" w:rsidRDefault="008D30FC" w:rsidP="009160D5">
            <w:pPr>
              <w:rPr>
                <w:rFonts w:ascii="Garamond" w:hAnsi="Garamond" w:cs="Calibri"/>
                <w:sz w:val="14"/>
                <w:szCs w:val="14"/>
              </w:rPr>
            </w:pPr>
            <w:r w:rsidRPr="007114AF">
              <w:rPr>
                <w:rFonts w:ascii="Garamond" w:hAnsi="Garamond" w:cs="Calibri"/>
                <w:sz w:val="14"/>
                <w:szCs w:val="14"/>
              </w:rPr>
              <w:t xml:space="preserve">Nr. </w:t>
            </w:r>
            <w:r w:rsidR="00975179" w:rsidRPr="007114AF">
              <w:rPr>
                <w:rFonts w:ascii="Garamond" w:hAnsi="Garamond" w:cs="Calibri"/>
                <w:sz w:val="14"/>
                <w:szCs w:val="14"/>
              </w:rPr>
              <w:t xml:space="preserve">1: Drejtimi i procesit të përshtatjes në Shqipëri </w:t>
            </w:r>
          </w:p>
        </w:tc>
        <w:tc>
          <w:tcPr>
            <w:tcW w:w="1417" w:type="dxa"/>
            <w:shd w:val="clear" w:color="auto" w:fill="auto"/>
            <w:vAlign w:val="center"/>
          </w:tcPr>
          <w:p w14:paraId="6EDD142E" w14:textId="6BDA4905" w:rsidR="00975179" w:rsidRPr="007114AF" w:rsidRDefault="00975179" w:rsidP="009160D5">
            <w:pPr>
              <w:rPr>
                <w:rFonts w:ascii="Garamond" w:hAnsi="Garamond" w:cs="Calibri"/>
                <w:sz w:val="14"/>
                <w:szCs w:val="14"/>
              </w:rPr>
            </w:pPr>
            <w:r w:rsidRPr="007114AF">
              <w:rPr>
                <w:rFonts w:ascii="Garamond" w:hAnsi="Garamond" w:cs="Calibri"/>
                <w:sz w:val="14"/>
                <w:szCs w:val="14"/>
              </w:rPr>
              <w:t xml:space="preserve">591.6 </w:t>
            </w:r>
            <w:r w:rsidR="001C47F0" w:rsidRPr="007114AF">
              <w:rPr>
                <w:rFonts w:ascii="Garamond" w:hAnsi="Garamond" w:cs="Calibri"/>
                <w:sz w:val="14"/>
                <w:szCs w:val="14"/>
              </w:rPr>
              <w:t xml:space="preserve">milionë </w:t>
            </w:r>
            <w:r w:rsidRPr="007114AF">
              <w:rPr>
                <w:rFonts w:ascii="Garamond" w:hAnsi="Garamond" w:cs="Calibri"/>
                <w:sz w:val="14"/>
                <w:szCs w:val="14"/>
              </w:rPr>
              <w:t>LEKË</w:t>
            </w:r>
          </w:p>
        </w:tc>
        <w:tc>
          <w:tcPr>
            <w:tcW w:w="1413" w:type="dxa"/>
            <w:shd w:val="clear" w:color="auto" w:fill="auto"/>
            <w:vAlign w:val="center"/>
          </w:tcPr>
          <w:p w14:paraId="6EDD142F" w14:textId="45E8ED2B" w:rsidR="00975179" w:rsidRPr="007114AF" w:rsidRDefault="00975179" w:rsidP="009160D5">
            <w:pPr>
              <w:rPr>
                <w:rFonts w:ascii="Garamond" w:hAnsi="Garamond" w:cs="Calibri"/>
                <w:sz w:val="14"/>
                <w:szCs w:val="14"/>
              </w:rPr>
            </w:pPr>
            <w:r w:rsidRPr="007114AF">
              <w:rPr>
                <w:rFonts w:ascii="Garamond" w:hAnsi="Garamond" w:cs="Calibri"/>
                <w:sz w:val="14"/>
                <w:szCs w:val="14"/>
              </w:rPr>
              <w:t xml:space="preserve">2.7 </w:t>
            </w:r>
            <w:r w:rsidR="001C47F0" w:rsidRPr="007114AF">
              <w:rPr>
                <w:rFonts w:ascii="Garamond" w:hAnsi="Garamond" w:cs="Calibri"/>
                <w:sz w:val="14"/>
                <w:szCs w:val="14"/>
              </w:rPr>
              <w:t xml:space="preserve">milionë </w:t>
            </w:r>
            <w:r w:rsidRPr="007114AF">
              <w:rPr>
                <w:rFonts w:ascii="Garamond" w:hAnsi="Garamond" w:cs="Calibri"/>
                <w:sz w:val="14"/>
                <w:szCs w:val="14"/>
              </w:rPr>
              <w:t>LEKË/ vit</w:t>
            </w:r>
          </w:p>
        </w:tc>
        <w:tc>
          <w:tcPr>
            <w:tcW w:w="5103" w:type="dxa"/>
            <w:shd w:val="clear" w:color="auto" w:fill="auto"/>
          </w:tcPr>
          <w:p w14:paraId="6EDD1430" w14:textId="77777777" w:rsidR="00975179" w:rsidRPr="007114AF" w:rsidRDefault="00975179" w:rsidP="009160D5">
            <w:pPr>
              <w:ind w:left="612" w:hanging="612"/>
              <w:rPr>
                <w:rFonts w:ascii="Garamond" w:hAnsi="Garamond" w:cs="Calibri"/>
                <w:sz w:val="14"/>
                <w:szCs w:val="14"/>
              </w:rPr>
            </w:pPr>
            <w:r w:rsidRPr="007114AF">
              <w:rPr>
                <w:rFonts w:ascii="Garamond" w:hAnsi="Garamond" w:cs="Calibri"/>
                <w:sz w:val="14"/>
                <w:szCs w:val="14"/>
              </w:rPr>
              <w:t>- afatshkurtër: BE IPA II, aplikimi i dërguar (270 mil. LEK)</w:t>
            </w:r>
          </w:p>
          <w:p w14:paraId="6EDD1431" w14:textId="53788C5E" w:rsidR="00975179" w:rsidRPr="007114AF" w:rsidRDefault="00975179" w:rsidP="009160D5">
            <w:pPr>
              <w:ind w:left="612" w:hanging="612"/>
              <w:rPr>
                <w:rFonts w:ascii="Garamond" w:hAnsi="Garamond" w:cs="Calibri"/>
                <w:sz w:val="14"/>
                <w:szCs w:val="14"/>
              </w:rPr>
            </w:pPr>
            <w:r w:rsidRPr="007114AF">
              <w:rPr>
                <w:rFonts w:ascii="Garamond" w:hAnsi="Garamond" w:cs="Calibri"/>
                <w:sz w:val="14"/>
                <w:szCs w:val="14"/>
              </w:rPr>
              <w:t>- afatshkurtër: pjesërisht të mbuluar nga mbështetja</w:t>
            </w:r>
            <w:r w:rsidR="000A2A01" w:rsidRPr="007114AF">
              <w:rPr>
                <w:rFonts w:ascii="Garamond" w:hAnsi="Garamond" w:cs="Calibri"/>
                <w:sz w:val="14"/>
                <w:szCs w:val="14"/>
              </w:rPr>
              <w:t xml:space="preserve"> </w:t>
            </w:r>
            <w:r w:rsidRPr="007114AF">
              <w:rPr>
                <w:rFonts w:ascii="Garamond" w:hAnsi="Garamond" w:cs="Calibri"/>
                <w:sz w:val="14"/>
                <w:szCs w:val="14"/>
              </w:rPr>
              <w:t>e gatishmërisë së FGJK (GCF)</w:t>
            </w:r>
          </w:p>
        </w:tc>
        <w:tc>
          <w:tcPr>
            <w:tcW w:w="3402" w:type="dxa"/>
            <w:shd w:val="clear" w:color="auto" w:fill="auto"/>
          </w:tcPr>
          <w:p w14:paraId="6EDD1432" w14:textId="77777777" w:rsidR="00975179" w:rsidRPr="007114AF" w:rsidRDefault="00975179" w:rsidP="009160D5">
            <w:pPr>
              <w:ind w:left="612" w:hanging="612"/>
              <w:rPr>
                <w:rFonts w:ascii="Garamond" w:hAnsi="Garamond" w:cs="Calibri"/>
                <w:sz w:val="14"/>
                <w:szCs w:val="14"/>
              </w:rPr>
            </w:pPr>
            <w:r w:rsidRPr="007114AF">
              <w:rPr>
                <w:rFonts w:ascii="Garamond" w:hAnsi="Garamond" w:cs="Calibri"/>
                <w:sz w:val="14"/>
                <w:szCs w:val="14"/>
              </w:rPr>
              <w:t xml:space="preserve">Shihni gjithashtu udhërrëfyesin në kapitullin 4 </w:t>
            </w:r>
          </w:p>
        </w:tc>
      </w:tr>
      <w:tr w:rsidR="00975179" w:rsidRPr="007114AF" w14:paraId="6EDD143A" w14:textId="77777777" w:rsidTr="00975179">
        <w:trPr>
          <w:trHeight w:val="448"/>
        </w:trPr>
        <w:tc>
          <w:tcPr>
            <w:tcW w:w="3251" w:type="dxa"/>
            <w:shd w:val="clear" w:color="auto" w:fill="auto"/>
          </w:tcPr>
          <w:p w14:paraId="6EDD1434" w14:textId="3366BE79" w:rsidR="00975179" w:rsidRPr="007114AF" w:rsidRDefault="008D30FC" w:rsidP="009160D5">
            <w:pPr>
              <w:rPr>
                <w:rFonts w:ascii="Garamond" w:hAnsi="Garamond" w:cs="Calibri"/>
                <w:sz w:val="14"/>
                <w:szCs w:val="14"/>
              </w:rPr>
            </w:pPr>
            <w:r w:rsidRPr="007114AF">
              <w:rPr>
                <w:rFonts w:ascii="Garamond" w:hAnsi="Garamond" w:cs="Calibri"/>
                <w:sz w:val="14"/>
                <w:szCs w:val="14"/>
              </w:rPr>
              <w:t xml:space="preserve">Nr. </w:t>
            </w:r>
            <w:r w:rsidR="00975179" w:rsidRPr="007114AF">
              <w:rPr>
                <w:rFonts w:ascii="Garamond" w:hAnsi="Garamond" w:cs="Calibri"/>
                <w:sz w:val="14"/>
                <w:szCs w:val="14"/>
              </w:rPr>
              <w:t>2:</w:t>
            </w:r>
            <w:r w:rsidR="000A2A01" w:rsidRPr="007114AF">
              <w:rPr>
                <w:rFonts w:ascii="Garamond" w:hAnsi="Garamond" w:cs="Calibri"/>
                <w:sz w:val="14"/>
                <w:szCs w:val="14"/>
              </w:rPr>
              <w:t xml:space="preserve"> </w:t>
            </w:r>
            <w:r w:rsidR="00975179" w:rsidRPr="007114AF">
              <w:rPr>
                <w:rFonts w:ascii="Garamond" w:hAnsi="Garamond" w:cs="Calibri"/>
                <w:sz w:val="14"/>
                <w:szCs w:val="14"/>
              </w:rPr>
              <w:t>Nisma integruese gjithëpërfshirëse</w:t>
            </w:r>
          </w:p>
        </w:tc>
        <w:tc>
          <w:tcPr>
            <w:tcW w:w="1417" w:type="dxa"/>
            <w:shd w:val="clear" w:color="auto" w:fill="auto"/>
            <w:vAlign w:val="center"/>
          </w:tcPr>
          <w:p w14:paraId="6EDD1435" w14:textId="7BFE35F5" w:rsidR="00975179" w:rsidRPr="007114AF" w:rsidRDefault="00975179" w:rsidP="009160D5">
            <w:pPr>
              <w:rPr>
                <w:rFonts w:ascii="Garamond" w:hAnsi="Garamond" w:cs="Calibri"/>
                <w:sz w:val="14"/>
                <w:szCs w:val="14"/>
              </w:rPr>
            </w:pPr>
            <w:r w:rsidRPr="007114AF">
              <w:rPr>
                <w:rFonts w:ascii="Garamond" w:hAnsi="Garamond" w:cs="Calibri"/>
                <w:sz w:val="14"/>
                <w:szCs w:val="14"/>
              </w:rPr>
              <w:t xml:space="preserve">32 </w:t>
            </w:r>
            <w:r w:rsidR="001C47F0" w:rsidRPr="007114AF">
              <w:rPr>
                <w:rFonts w:ascii="Garamond" w:hAnsi="Garamond" w:cs="Calibri"/>
                <w:sz w:val="14"/>
                <w:szCs w:val="14"/>
              </w:rPr>
              <w:t xml:space="preserve">milionë </w:t>
            </w:r>
            <w:r w:rsidRPr="007114AF">
              <w:rPr>
                <w:rFonts w:ascii="Garamond" w:hAnsi="Garamond" w:cs="Calibri"/>
                <w:sz w:val="14"/>
                <w:szCs w:val="14"/>
              </w:rPr>
              <w:t>LEKË</w:t>
            </w:r>
          </w:p>
        </w:tc>
        <w:tc>
          <w:tcPr>
            <w:tcW w:w="1413" w:type="dxa"/>
            <w:shd w:val="clear" w:color="auto" w:fill="auto"/>
            <w:vAlign w:val="center"/>
          </w:tcPr>
          <w:p w14:paraId="6EDD1436" w14:textId="7100EFAC" w:rsidR="00975179" w:rsidRPr="007114AF" w:rsidRDefault="00975179" w:rsidP="009160D5">
            <w:pPr>
              <w:rPr>
                <w:rFonts w:ascii="Garamond" w:hAnsi="Garamond" w:cs="Calibri"/>
                <w:sz w:val="14"/>
                <w:szCs w:val="14"/>
              </w:rPr>
            </w:pPr>
            <w:r w:rsidRPr="007114AF">
              <w:rPr>
                <w:rFonts w:ascii="Garamond" w:hAnsi="Garamond" w:cs="Calibri"/>
                <w:sz w:val="14"/>
                <w:szCs w:val="14"/>
              </w:rPr>
              <w:t xml:space="preserve">4 </w:t>
            </w:r>
            <w:r w:rsidR="001C47F0" w:rsidRPr="007114AF">
              <w:rPr>
                <w:rFonts w:ascii="Garamond" w:hAnsi="Garamond" w:cs="Calibri"/>
                <w:sz w:val="14"/>
                <w:szCs w:val="14"/>
              </w:rPr>
              <w:t xml:space="preserve">milionë </w:t>
            </w:r>
            <w:r w:rsidRPr="007114AF">
              <w:rPr>
                <w:rFonts w:ascii="Garamond" w:hAnsi="Garamond" w:cs="Calibri"/>
                <w:sz w:val="14"/>
                <w:szCs w:val="14"/>
              </w:rPr>
              <w:t>LEKË/vit</w:t>
            </w:r>
          </w:p>
        </w:tc>
        <w:tc>
          <w:tcPr>
            <w:tcW w:w="5103" w:type="dxa"/>
            <w:shd w:val="clear" w:color="auto" w:fill="auto"/>
          </w:tcPr>
          <w:p w14:paraId="6EDD1437" w14:textId="77777777" w:rsidR="00975179" w:rsidRPr="007114AF" w:rsidRDefault="00975179" w:rsidP="009160D5">
            <w:pPr>
              <w:rPr>
                <w:rFonts w:ascii="Garamond" w:hAnsi="Garamond" w:cs="Calibri"/>
                <w:sz w:val="14"/>
                <w:szCs w:val="14"/>
              </w:rPr>
            </w:pPr>
            <w:r w:rsidRPr="007114AF">
              <w:rPr>
                <w:rFonts w:ascii="Garamond" w:hAnsi="Garamond" w:cs="Calibri"/>
                <w:sz w:val="14"/>
                <w:szCs w:val="14"/>
              </w:rPr>
              <w:t xml:space="preserve">- afatshkurtër: BE IPA II </w:t>
            </w:r>
          </w:p>
          <w:p w14:paraId="6EDD1438" w14:textId="4191CC0A" w:rsidR="00975179" w:rsidRPr="007114AF" w:rsidRDefault="00975179" w:rsidP="009160D5">
            <w:pPr>
              <w:ind w:left="612" w:hanging="612"/>
              <w:rPr>
                <w:rFonts w:ascii="Garamond" w:hAnsi="Garamond" w:cs="Calibri"/>
                <w:sz w:val="14"/>
                <w:szCs w:val="14"/>
              </w:rPr>
            </w:pPr>
            <w:r w:rsidRPr="007114AF">
              <w:rPr>
                <w:rFonts w:ascii="Garamond" w:hAnsi="Garamond" w:cs="Calibri"/>
                <w:sz w:val="14"/>
                <w:szCs w:val="14"/>
              </w:rPr>
              <w:t>- afatshkurtër:</w:t>
            </w:r>
            <w:r w:rsidR="000A2A01" w:rsidRPr="007114AF">
              <w:rPr>
                <w:rFonts w:ascii="Garamond" w:hAnsi="Garamond" w:cs="Calibri"/>
                <w:sz w:val="14"/>
                <w:szCs w:val="14"/>
              </w:rPr>
              <w:t xml:space="preserve"> </w:t>
            </w:r>
            <w:r w:rsidRPr="007114AF">
              <w:rPr>
                <w:rFonts w:ascii="Garamond" w:hAnsi="Garamond" w:cs="Calibri"/>
                <w:sz w:val="14"/>
                <w:szCs w:val="14"/>
              </w:rPr>
              <w:t>pjesërisht të mbuluar nga mbështetja</w:t>
            </w:r>
            <w:r w:rsidR="000A2A01" w:rsidRPr="007114AF">
              <w:rPr>
                <w:rFonts w:ascii="Garamond" w:hAnsi="Garamond" w:cs="Calibri"/>
                <w:sz w:val="14"/>
                <w:szCs w:val="14"/>
              </w:rPr>
              <w:t xml:space="preserve"> </w:t>
            </w:r>
            <w:r w:rsidRPr="007114AF">
              <w:rPr>
                <w:rFonts w:ascii="Garamond" w:hAnsi="Garamond" w:cs="Calibri"/>
                <w:sz w:val="14"/>
                <w:szCs w:val="14"/>
              </w:rPr>
              <w:t>e gatishmërisë së FGJK (GCF)</w:t>
            </w:r>
          </w:p>
        </w:tc>
        <w:tc>
          <w:tcPr>
            <w:tcW w:w="3402" w:type="dxa"/>
            <w:shd w:val="clear" w:color="auto" w:fill="auto"/>
          </w:tcPr>
          <w:p w14:paraId="6EDD1439" w14:textId="77777777" w:rsidR="00975179" w:rsidRPr="007114AF" w:rsidRDefault="00975179" w:rsidP="009160D5">
            <w:pPr>
              <w:rPr>
                <w:rFonts w:ascii="Garamond" w:hAnsi="Garamond" w:cs="Calibri"/>
                <w:sz w:val="14"/>
                <w:szCs w:val="14"/>
              </w:rPr>
            </w:pPr>
            <w:r w:rsidRPr="007114AF">
              <w:rPr>
                <w:rFonts w:ascii="Garamond" w:hAnsi="Garamond" w:cs="Calibri"/>
                <w:sz w:val="14"/>
                <w:szCs w:val="14"/>
              </w:rPr>
              <w:t>Shihni gjithashtu udhërrëfyesin në kapitullin 4</w:t>
            </w:r>
          </w:p>
        </w:tc>
      </w:tr>
      <w:tr w:rsidR="00975179" w:rsidRPr="007114AF" w14:paraId="6EDD1441" w14:textId="77777777" w:rsidTr="00975179">
        <w:trPr>
          <w:trHeight w:val="641"/>
        </w:trPr>
        <w:tc>
          <w:tcPr>
            <w:tcW w:w="3251" w:type="dxa"/>
            <w:shd w:val="clear" w:color="auto" w:fill="auto"/>
          </w:tcPr>
          <w:p w14:paraId="6EDD143B" w14:textId="7107F807" w:rsidR="00975179" w:rsidRPr="007114AF" w:rsidRDefault="008D30FC" w:rsidP="009160D5">
            <w:pPr>
              <w:rPr>
                <w:rFonts w:ascii="Garamond" w:hAnsi="Garamond" w:cs="Calibri"/>
                <w:sz w:val="14"/>
                <w:szCs w:val="14"/>
              </w:rPr>
            </w:pPr>
            <w:r w:rsidRPr="007114AF">
              <w:rPr>
                <w:rFonts w:ascii="Garamond" w:hAnsi="Garamond" w:cs="Calibri"/>
                <w:sz w:val="14"/>
                <w:szCs w:val="14"/>
              </w:rPr>
              <w:t xml:space="preserve">Nr. </w:t>
            </w:r>
            <w:r w:rsidR="00975179" w:rsidRPr="007114AF">
              <w:rPr>
                <w:rFonts w:ascii="Garamond" w:hAnsi="Garamond" w:cs="Calibri"/>
                <w:sz w:val="14"/>
                <w:szCs w:val="14"/>
              </w:rPr>
              <w:t>3:</w:t>
            </w:r>
            <w:r w:rsidRPr="007114AF">
              <w:rPr>
                <w:rFonts w:ascii="Garamond" w:hAnsi="Garamond" w:cs="Calibri"/>
                <w:sz w:val="14"/>
                <w:szCs w:val="14"/>
              </w:rPr>
              <w:t xml:space="preserve"> </w:t>
            </w:r>
            <w:r w:rsidR="00975179" w:rsidRPr="007114AF">
              <w:rPr>
                <w:rFonts w:ascii="Garamond" w:hAnsi="Garamond" w:cs="Calibri"/>
                <w:sz w:val="14"/>
                <w:szCs w:val="14"/>
              </w:rPr>
              <w:t>Gatishmëria financiare klimatike – Zhvillimi i kapaciteteve për financimin dhe zbatimin e NAP-it në Shqipëri.</w:t>
            </w:r>
          </w:p>
        </w:tc>
        <w:tc>
          <w:tcPr>
            <w:tcW w:w="1417" w:type="dxa"/>
            <w:shd w:val="clear" w:color="auto" w:fill="auto"/>
            <w:vAlign w:val="center"/>
          </w:tcPr>
          <w:p w14:paraId="6EDD143C" w14:textId="72C1BE46" w:rsidR="00975179" w:rsidRPr="007114AF" w:rsidRDefault="00975179" w:rsidP="009160D5">
            <w:pPr>
              <w:rPr>
                <w:rFonts w:ascii="Garamond" w:hAnsi="Garamond" w:cs="Calibri"/>
                <w:sz w:val="14"/>
                <w:szCs w:val="14"/>
              </w:rPr>
            </w:pPr>
            <w:r w:rsidRPr="007114AF">
              <w:rPr>
                <w:rFonts w:ascii="Garamond" w:hAnsi="Garamond" w:cs="Calibri"/>
                <w:sz w:val="14"/>
                <w:szCs w:val="14"/>
              </w:rPr>
              <w:t xml:space="preserve">112.5 </w:t>
            </w:r>
            <w:r w:rsidR="001C47F0" w:rsidRPr="007114AF">
              <w:rPr>
                <w:rFonts w:ascii="Garamond" w:hAnsi="Garamond" w:cs="Calibri"/>
                <w:sz w:val="14"/>
                <w:szCs w:val="14"/>
              </w:rPr>
              <w:t xml:space="preserve">milionë </w:t>
            </w:r>
            <w:r w:rsidRPr="007114AF">
              <w:rPr>
                <w:rFonts w:ascii="Garamond" w:hAnsi="Garamond" w:cs="Calibri"/>
                <w:sz w:val="14"/>
                <w:szCs w:val="14"/>
              </w:rPr>
              <w:t>LEKË</w:t>
            </w:r>
          </w:p>
        </w:tc>
        <w:tc>
          <w:tcPr>
            <w:tcW w:w="1413" w:type="dxa"/>
            <w:shd w:val="clear" w:color="auto" w:fill="auto"/>
            <w:vAlign w:val="center"/>
          </w:tcPr>
          <w:p w14:paraId="6EDD143D" w14:textId="7BF56ECD" w:rsidR="00975179" w:rsidRPr="007114AF" w:rsidRDefault="00975179" w:rsidP="009160D5">
            <w:pPr>
              <w:rPr>
                <w:rFonts w:ascii="Garamond" w:hAnsi="Garamond" w:cs="Calibri"/>
                <w:sz w:val="14"/>
                <w:szCs w:val="14"/>
              </w:rPr>
            </w:pPr>
            <w:r w:rsidRPr="007114AF">
              <w:rPr>
                <w:rFonts w:ascii="Garamond" w:hAnsi="Garamond" w:cs="Calibri"/>
                <w:sz w:val="14"/>
                <w:szCs w:val="14"/>
              </w:rPr>
              <w:t>për t</w:t>
            </w:r>
            <w:r w:rsidR="00D10DAB" w:rsidRPr="007114AF">
              <w:rPr>
                <w:rFonts w:ascii="Garamond" w:hAnsi="Garamond" w:cs="Calibri"/>
                <w:sz w:val="14"/>
                <w:szCs w:val="14"/>
              </w:rPr>
              <w:t>’</w:t>
            </w:r>
            <w:r w:rsidRPr="007114AF">
              <w:rPr>
                <w:rFonts w:ascii="Garamond" w:hAnsi="Garamond" w:cs="Calibri"/>
                <w:sz w:val="14"/>
                <w:szCs w:val="14"/>
              </w:rPr>
              <w:t>u vendosur</w:t>
            </w:r>
          </w:p>
        </w:tc>
        <w:tc>
          <w:tcPr>
            <w:tcW w:w="5103" w:type="dxa"/>
            <w:shd w:val="clear" w:color="auto" w:fill="auto"/>
          </w:tcPr>
          <w:p w14:paraId="6EDD143E" w14:textId="60E529EF" w:rsidR="00975179" w:rsidRPr="007114AF" w:rsidRDefault="00975179" w:rsidP="009160D5">
            <w:pPr>
              <w:ind w:left="612" w:hanging="612"/>
              <w:rPr>
                <w:rFonts w:ascii="Garamond" w:hAnsi="Garamond" w:cs="Calibri"/>
                <w:sz w:val="14"/>
                <w:szCs w:val="14"/>
              </w:rPr>
            </w:pPr>
            <w:r w:rsidRPr="007114AF">
              <w:rPr>
                <w:rFonts w:ascii="Garamond" w:hAnsi="Garamond" w:cs="Calibri"/>
                <w:sz w:val="14"/>
                <w:szCs w:val="14"/>
              </w:rPr>
              <w:t>- afatshkurtër:</w:t>
            </w:r>
            <w:r w:rsidR="000A2A01" w:rsidRPr="007114AF">
              <w:rPr>
                <w:rFonts w:ascii="Garamond" w:hAnsi="Garamond" w:cs="Calibri"/>
                <w:sz w:val="14"/>
                <w:szCs w:val="14"/>
              </w:rPr>
              <w:t xml:space="preserve"> </w:t>
            </w:r>
            <w:r w:rsidRPr="007114AF">
              <w:rPr>
                <w:rFonts w:ascii="Garamond" w:hAnsi="Garamond" w:cs="Calibri"/>
                <w:sz w:val="14"/>
                <w:szCs w:val="14"/>
              </w:rPr>
              <w:t>pjesërisht të mbuluar nga mbështetja</w:t>
            </w:r>
            <w:r w:rsidR="000A2A01" w:rsidRPr="007114AF">
              <w:rPr>
                <w:rFonts w:ascii="Garamond" w:hAnsi="Garamond" w:cs="Calibri"/>
                <w:sz w:val="14"/>
                <w:szCs w:val="14"/>
              </w:rPr>
              <w:t xml:space="preserve"> </w:t>
            </w:r>
            <w:r w:rsidRPr="007114AF">
              <w:rPr>
                <w:rFonts w:ascii="Garamond" w:hAnsi="Garamond" w:cs="Calibri"/>
                <w:sz w:val="14"/>
                <w:szCs w:val="14"/>
              </w:rPr>
              <w:t>e gatishmërisë së FGJK (GCF) (37.5 milionë LEK/vit për 3 vjet)</w:t>
            </w:r>
          </w:p>
          <w:p w14:paraId="6EDD143F" w14:textId="0B3F0B58" w:rsidR="00975179" w:rsidRPr="007114AF" w:rsidRDefault="00975179" w:rsidP="009160D5">
            <w:pPr>
              <w:ind w:left="156"/>
              <w:rPr>
                <w:rFonts w:ascii="Garamond" w:hAnsi="Garamond" w:cs="Calibri"/>
                <w:sz w:val="14"/>
                <w:szCs w:val="14"/>
              </w:rPr>
            </w:pPr>
            <w:r w:rsidRPr="007114AF">
              <w:rPr>
                <w:rFonts w:ascii="Garamond" w:hAnsi="Garamond" w:cs="Calibri"/>
                <w:sz w:val="14"/>
                <w:szCs w:val="14"/>
              </w:rPr>
              <w:t>-</w:t>
            </w:r>
            <w:r w:rsidR="000A2A01" w:rsidRPr="007114AF">
              <w:rPr>
                <w:rFonts w:ascii="Garamond" w:hAnsi="Garamond" w:cs="Calibri"/>
                <w:sz w:val="14"/>
                <w:szCs w:val="14"/>
              </w:rPr>
              <w:t xml:space="preserve"> </w:t>
            </w:r>
            <w:r w:rsidRPr="007114AF">
              <w:rPr>
                <w:rFonts w:ascii="Garamond" w:hAnsi="Garamond" w:cs="Calibri"/>
                <w:sz w:val="14"/>
                <w:szCs w:val="14"/>
              </w:rPr>
              <w:t>pjesërisht të mbuluar nga mbështetja</w:t>
            </w:r>
            <w:r w:rsidR="000A2A01" w:rsidRPr="007114AF">
              <w:rPr>
                <w:rFonts w:ascii="Garamond" w:hAnsi="Garamond" w:cs="Calibri"/>
                <w:sz w:val="14"/>
                <w:szCs w:val="14"/>
              </w:rPr>
              <w:t xml:space="preserve"> </w:t>
            </w:r>
            <w:r w:rsidRPr="007114AF">
              <w:rPr>
                <w:rFonts w:ascii="Garamond" w:hAnsi="Garamond" w:cs="Calibri"/>
                <w:sz w:val="14"/>
                <w:szCs w:val="14"/>
              </w:rPr>
              <w:t>e gatishmërisë së FGJK (GCF)</w:t>
            </w:r>
          </w:p>
        </w:tc>
        <w:tc>
          <w:tcPr>
            <w:tcW w:w="3402" w:type="dxa"/>
            <w:shd w:val="clear" w:color="auto" w:fill="auto"/>
          </w:tcPr>
          <w:p w14:paraId="6EDD1440" w14:textId="77777777" w:rsidR="00975179" w:rsidRPr="007114AF" w:rsidRDefault="00975179" w:rsidP="009160D5">
            <w:pPr>
              <w:rPr>
                <w:rFonts w:ascii="Garamond" w:hAnsi="Garamond" w:cs="Calibri"/>
                <w:sz w:val="14"/>
                <w:szCs w:val="14"/>
              </w:rPr>
            </w:pPr>
            <w:r w:rsidRPr="007114AF">
              <w:rPr>
                <w:rFonts w:ascii="Garamond" w:hAnsi="Garamond" w:cs="Calibri"/>
                <w:sz w:val="14"/>
                <w:szCs w:val="14"/>
              </w:rPr>
              <w:t>Shihni gjithashtu udhërrëfyesin në kapitullin 4</w:t>
            </w:r>
          </w:p>
        </w:tc>
      </w:tr>
      <w:tr w:rsidR="00975179" w:rsidRPr="007114AF" w14:paraId="6EDD1447" w14:textId="77777777" w:rsidTr="00975179">
        <w:trPr>
          <w:trHeight w:val="227"/>
        </w:trPr>
        <w:tc>
          <w:tcPr>
            <w:tcW w:w="3251" w:type="dxa"/>
            <w:shd w:val="clear" w:color="auto" w:fill="auto"/>
          </w:tcPr>
          <w:p w14:paraId="6EDD1442" w14:textId="2ECFE046" w:rsidR="00975179" w:rsidRPr="007114AF" w:rsidRDefault="008D30FC" w:rsidP="009160D5">
            <w:pPr>
              <w:rPr>
                <w:rFonts w:ascii="Garamond" w:hAnsi="Garamond" w:cs="Calibri"/>
                <w:sz w:val="14"/>
                <w:szCs w:val="14"/>
              </w:rPr>
            </w:pPr>
            <w:r w:rsidRPr="007114AF">
              <w:rPr>
                <w:rFonts w:ascii="Garamond" w:hAnsi="Garamond" w:cs="Calibri"/>
                <w:sz w:val="14"/>
                <w:szCs w:val="14"/>
              </w:rPr>
              <w:t xml:space="preserve">Nr. </w:t>
            </w:r>
            <w:r w:rsidR="00975179" w:rsidRPr="007114AF">
              <w:rPr>
                <w:rFonts w:ascii="Garamond" w:hAnsi="Garamond" w:cs="Calibri"/>
                <w:sz w:val="14"/>
                <w:szCs w:val="14"/>
              </w:rPr>
              <w:t>4:</w:t>
            </w:r>
            <w:r w:rsidR="000A2A01" w:rsidRPr="007114AF">
              <w:rPr>
                <w:rFonts w:ascii="Garamond" w:hAnsi="Garamond" w:cs="Calibri"/>
                <w:sz w:val="14"/>
                <w:szCs w:val="14"/>
              </w:rPr>
              <w:t xml:space="preserve"> </w:t>
            </w:r>
            <w:r w:rsidR="00975179" w:rsidRPr="007114AF">
              <w:rPr>
                <w:rFonts w:ascii="Garamond" w:hAnsi="Garamond" w:cs="Calibri"/>
                <w:sz w:val="14"/>
                <w:szCs w:val="14"/>
              </w:rPr>
              <w:t>Sistemi i monitorimit të implementimit të NAP-it (monitorimi i mbështetur në rezultate)</w:t>
            </w:r>
          </w:p>
        </w:tc>
        <w:tc>
          <w:tcPr>
            <w:tcW w:w="1417" w:type="dxa"/>
            <w:shd w:val="clear" w:color="auto" w:fill="auto"/>
            <w:vAlign w:val="center"/>
          </w:tcPr>
          <w:p w14:paraId="6EDD1443" w14:textId="529766EE" w:rsidR="00975179" w:rsidRPr="007114AF" w:rsidRDefault="00975179" w:rsidP="009160D5">
            <w:pPr>
              <w:rPr>
                <w:rFonts w:ascii="Garamond" w:hAnsi="Garamond" w:cs="Calibri"/>
                <w:sz w:val="14"/>
                <w:szCs w:val="14"/>
              </w:rPr>
            </w:pPr>
            <w:r w:rsidRPr="007114AF">
              <w:rPr>
                <w:rFonts w:ascii="Garamond" w:hAnsi="Garamond" w:cs="Calibri"/>
                <w:sz w:val="14"/>
                <w:szCs w:val="14"/>
              </w:rPr>
              <w:t xml:space="preserve">688 </w:t>
            </w:r>
            <w:r w:rsidR="001C47F0" w:rsidRPr="007114AF">
              <w:rPr>
                <w:rFonts w:ascii="Garamond" w:hAnsi="Garamond" w:cs="Calibri"/>
                <w:sz w:val="14"/>
                <w:szCs w:val="14"/>
              </w:rPr>
              <w:t xml:space="preserve">milionë </w:t>
            </w:r>
            <w:r w:rsidRPr="007114AF">
              <w:rPr>
                <w:rFonts w:ascii="Garamond" w:hAnsi="Garamond" w:cs="Calibri"/>
                <w:sz w:val="14"/>
                <w:szCs w:val="14"/>
              </w:rPr>
              <w:t>LEKË</w:t>
            </w:r>
          </w:p>
        </w:tc>
        <w:tc>
          <w:tcPr>
            <w:tcW w:w="1413" w:type="dxa"/>
            <w:shd w:val="clear" w:color="auto" w:fill="auto"/>
          </w:tcPr>
          <w:p w14:paraId="6EDD1444" w14:textId="10F9C0BC" w:rsidR="00975179" w:rsidRPr="007114AF" w:rsidRDefault="00975179" w:rsidP="009160D5">
            <w:pPr>
              <w:rPr>
                <w:rFonts w:ascii="Garamond" w:hAnsi="Garamond"/>
                <w:sz w:val="14"/>
                <w:szCs w:val="14"/>
              </w:rPr>
            </w:pPr>
            <w:r w:rsidRPr="007114AF">
              <w:rPr>
                <w:rFonts w:ascii="Garamond" w:hAnsi="Garamond" w:cs="Calibri"/>
                <w:sz w:val="14"/>
                <w:szCs w:val="14"/>
              </w:rPr>
              <w:t>për t</w:t>
            </w:r>
            <w:r w:rsidR="00D10DAB" w:rsidRPr="007114AF">
              <w:rPr>
                <w:rFonts w:ascii="Garamond" w:hAnsi="Garamond" w:cs="Calibri"/>
                <w:sz w:val="14"/>
                <w:szCs w:val="14"/>
              </w:rPr>
              <w:t>’</w:t>
            </w:r>
            <w:r w:rsidRPr="007114AF">
              <w:rPr>
                <w:rFonts w:ascii="Garamond" w:hAnsi="Garamond" w:cs="Calibri"/>
                <w:sz w:val="14"/>
                <w:szCs w:val="14"/>
              </w:rPr>
              <w:t>u vendosur</w:t>
            </w:r>
          </w:p>
        </w:tc>
        <w:tc>
          <w:tcPr>
            <w:tcW w:w="5103" w:type="dxa"/>
            <w:shd w:val="clear" w:color="auto" w:fill="auto"/>
          </w:tcPr>
          <w:p w14:paraId="6EDD1445" w14:textId="77777777" w:rsidR="00975179" w:rsidRPr="007114AF" w:rsidRDefault="00975179" w:rsidP="009160D5">
            <w:pPr>
              <w:rPr>
                <w:rFonts w:ascii="Garamond" w:hAnsi="Garamond" w:cs="Calibri"/>
                <w:sz w:val="14"/>
                <w:szCs w:val="14"/>
              </w:rPr>
            </w:pPr>
          </w:p>
        </w:tc>
        <w:tc>
          <w:tcPr>
            <w:tcW w:w="3402" w:type="dxa"/>
            <w:shd w:val="clear" w:color="auto" w:fill="auto"/>
          </w:tcPr>
          <w:p w14:paraId="6EDD1446" w14:textId="77777777" w:rsidR="00975179" w:rsidRPr="007114AF" w:rsidRDefault="00975179" w:rsidP="009160D5">
            <w:pPr>
              <w:rPr>
                <w:rFonts w:ascii="Garamond" w:hAnsi="Garamond" w:cs="Calibri"/>
                <w:sz w:val="14"/>
                <w:szCs w:val="14"/>
              </w:rPr>
            </w:pPr>
            <w:r w:rsidRPr="007114AF">
              <w:rPr>
                <w:rFonts w:ascii="Garamond" w:hAnsi="Garamond" w:cs="Calibri"/>
                <w:sz w:val="14"/>
                <w:szCs w:val="14"/>
              </w:rPr>
              <w:t xml:space="preserve">Shihni gjithashtu udhërrëfyesin në kapitullin 4 – rishikoni preventivët pasi rezultojnë tepër të lartë </w:t>
            </w:r>
          </w:p>
        </w:tc>
      </w:tr>
      <w:tr w:rsidR="00975179" w:rsidRPr="007114AF" w14:paraId="6EDD144D" w14:textId="77777777" w:rsidTr="00975179">
        <w:trPr>
          <w:trHeight w:val="263"/>
        </w:trPr>
        <w:tc>
          <w:tcPr>
            <w:tcW w:w="3251" w:type="dxa"/>
            <w:shd w:val="clear" w:color="auto" w:fill="auto"/>
          </w:tcPr>
          <w:p w14:paraId="6EDD1448" w14:textId="4326C2D5" w:rsidR="00975179" w:rsidRPr="007114AF" w:rsidRDefault="008D30FC" w:rsidP="009160D5">
            <w:pPr>
              <w:rPr>
                <w:rFonts w:ascii="Garamond" w:hAnsi="Garamond" w:cs="Calibri"/>
                <w:sz w:val="14"/>
                <w:szCs w:val="14"/>
              </w:rPr>
            </w:pPr>
            <w:r w:rsidRPr="007114AF">
              <w:rPr>
                <w:rFonts w:ascii="Garamond" w:hAnsi="Garamond" w:cs="Calibri"/>
                <w:sz w:val="14"/>
                <w:szCs w:val="14"/>
              </w:rPr>
              <w:t xml:space="preserve">Nr. </w:t>
            </w:r>
            <w:r w:rsidR="00975179" w:rsidRPr="007114AF">
              <w:rPr>
                <w:rFonts w:ascii="Garamond" w:hAnsi="Garamond" w:cs="Calibri"/>
                <w:sz w:val="14"/>
                <w:szCs w:val="14"/>
              </w:rPr>
              <w:t>5:</w:t>
            </w:r>
            <w:r w:rsidR="000A2A01" w:rsidRPr="007114AF">
              <w:rPr>
                <w:rFonts w:ascii="Garamond" w:hAnsi="Garamond" w:cs="Calibri"/>
                <w:sz w:val="14"/>
                <w:szCs w:val="14"/>
              </w:rPr>
              <w:t xml:space="preserve"> </w:t>
            </w:r>
            <w:r w:rsidR="00975179" w:rsidRPr="007114AF">
              <w:rPr>
                <w:rFonts w:ascii="Garamond" w:hAnsi="Garamond" w:cs="Calibri"/>
                <w:sz w:val="14"/>
                <w:szCs w:val="14"/>
              </w:rPr>
              <w:t>Nisma për informim dhe përfshirje të publikut</w:t>
            </w:r>
          </w:p>
        </w:tc>
        <w:tc>
          <w:tcPr>
            <w:tcW w:w="1417" w:type="dxa"/>
            <w:shd w:val="clear" w:color="auto" w:fill="auto"/>
            <w:vAlign w:val="center"/>
          </w:tcPr>
          <w:p w14:paraId="6EDD1449" w14:textId="6AF8A910" w:rsidR="00975179" w:rsidRPr="007114AF" w:rsidRDefault="00975179" w:rsidP="009160D5">
            <w:pPr>
              <w:rPr>
                <w:rFonts w:ascii="Garamond" w:hAnsi="Garamond" w:cs="Calibri"/>
                <w:sz w:val="14"/>
                <w:szCs w:val="14"/>
              </w:rPr>
            </w:pPr>
            <w:r w:rsidRPr="007114AF">
              <w:rPr>
                <w:rFonts w:ascii="Garamond" w:hAnsi="Garamond" w:cs="Calibri"/>
                <w:sz w:val="14"/>
                <w:szCs w:val="14"/>
              </w:rPr>
              <w:t xml:space="preserve">93.75 </w:t>
            </w:r>
            <w:r w:rsidR="001C47F0" w:rsidRPr="007114AF">
              <w:rPr>
                <w:rFonts w:ascii="Garamond" w:hAnsi="Garamond" w:cs="Calibri"/>
                <w:sz w:val="14"/>
                <w:szCs w:val="14"/>
              </w:rPr>
              <w:t xml:space="preserve">milionë </w:t>
            </w:r>
            <w:r w:rsidRPr="007114AF">
              <w:rPr>
                <w:rFonts w:ascii="Garamond" w:hAnsi="Garamond" w:cs="Calibri"/>
                <w:sz w:val="14"/>
                <w:szCs w:val="14"/>
              </w:rPr>
              <w:t>LEKË</w:t>
            </w:r>
          </w:p>
        </w:tc>
        <w:tc>
          <w:tcPr>
            <w:tcW w:w="1413" w:type="dxa"/>
            <w:shd w:val="clear" w:color="auto" w:fill="auto"/>
          </w:tcPr>
          <w:p w14:paraId="6EDD144A" w14:textId="0422BC02" w:rsidR="00975179" w:rsidRPr="007114AF" w:rsidRDefault="00975179" w:rsidP="009160D5">
            <w:pPr>
              <w:rPr>
                <w:rFonts w:ascii="Garamond" w:hAnsi="Garamond"/>
                <w:sz w:val="14"/>
                <w:szCs w:val="14"/>
              </w:rPr>
            </w:pPr>
            <w:r w:rsidRPr="007114AF">
              <w:rPr>
                <w:rFonts w:ascii="Garamond" w:hAnsi="Garamond" w:cs="Calibri"/>
                <w:sz w:val="14"/>
                <w:szCs w:val="14"/>
              </w:rPr>
              <w:t>për t</w:t>
            </w:r>
            <w:r w:rsidR="00D10DAB" w:rsidRPr="007114AF">
              <w:rPr>
                <w:rFonts w:ascii="Garamond" w:hAnsi="Garamond" w:cs="Calibri"/>
                <w:sz w:val="14"/>
                <w:szCs w:val="14"/>
              </w:rPr>
              <w:t>’</w:t>
            </w:r>
            <w:r w:rsidRPr="007114AF">
              <w:rPr>
                <w:rFonts w:ascii="Garamond" w:hAnsi="Garamond" w:cs="Calibri"/>
                <w:sz w:val="14"/>
                <w:szCs w:val="14"/>
              </w:rPr>
              <w:t>u vendosur</w:t>
            </w:r>
          </w:p>
        </w:tc>
        <w:tc>
          <w:tcPr>
            <w:tcW w:w="5103" w:type="dxa"/>
            <w:shd w:val="clear" w:color="auto" w:fill="auto"/>
          </w:tcPr>
          <w:p w14:paraId="6EDD144B" w14:textId="685644EA" w:rsidR="00975179" w:rsidRPr="007114AF" w:rsidRDefault="00975179" w:rsidP="009160D5">
            <w:pPr>
              <w:tabs>
                <w:tab w:val="left" w:pos="360"/>
              </w:tabs>
              <w:rPr>
                <w:rFonts w:ascii="Garamond" w:hAnsi="Garamond" w:cs="Calibri"/>
                <w:sz w:val="14"/>
                <w:szCs w:val="14"/>
              </w:rPr>
            </w:pPr>
            <w:r w:rsidRPr="007114AF">
              <w:rPr>
                <w:rFonts w:ascii="Garamond" w:hAnsi="Garamond" w:cs="Calibri"/>
                <w:sz w:val="14"/>
                <w:szCs w:val="14"/>
              </w:rPr>
              <w:t>Afatshkurtër-afatmesëm: grante nga donatorë dypalësh, të tillë si Gjermania, Suedia, Austria, Japonia, Franca</w:t>
            </w:r>
            <w:r w:rsidR="000A2A01" w:rsidRPr="007114AF">
              <w:rPr>
                <w:rFonts w:ascii="Garamond" w:hAnsi="Garamond" w:cs="Calibri"/>
                <w:sz w:val="14"/>
                <w:szCs w:val="14"/>
              </w:rPr>
              <w:t xml:space="preserve"> </w:t>
            </w:r>
          </w:p>
        </w:tc>
        <w:tc>
          <w:tcPr>
            <w:tcW w:w="3402" w:type="dxa"/>
            <w:shd w:val="clear" w:color="auto" w:fill="auto"/>
          </w:tcPr>
          <w:p w14:paraId="6EDD144C" w14:textId="77777777" w:rsidR="00975179" w:rsidRPr="007114AF" w:rsidRDefault="00975179" w:rsidP="009160D5">
            <w:pPr>
              <w:tabs>
                <w:tab w:val="left" w:pos="360"/>
              </w:tabs>
              <w:rPr>
                <w:rFonts w:ascii="Garamond" w:hAnsi="Garamond" w:cs="Calibri"/>
                <w:sz w:val="14"/>
                <w:szCs w:val="14"/>
              </w:rPr>
            </w:pPr>
          </w:p>
        </w:tc>
      </w:tr>
      <w:tr w:rsidR="00975179" w:rsidRPr="007114AF" w14:paraId="6EDD1453" w14:textId="77777777" w:rsidTr="00975179">
        <w:trPr>
          <w:trHeight w:val="469"/>
        </w:trPr>
        <w:tc>
          <w:tcPr>
            <w:tcW w:w="3251" w:type="dxa"/>
            <w:shd w:val="clear" w:color="auto" w:fill="auto"/>
          </w:tcPr>
          <w:p w14:paraId="6EDD144E" w14:textId="359DC93D" w:rsidR="00975179" w:rsidRPr="007114AF" w:rsidRDefault="008D30FC" w:rsidP="009160D5">
            <w:pPr>
              <w:rPr>
                <w:rFonts w:ascii="Garamond" w:hAnsi="Garamond" w:cs="Calibri"/>
                <w:sz w:val="14"/>
                <w:szCs w:val="14"/>
              </w:rPr>
            </w:pPr>
            <w:r w:rsidRPr="007114AF">
              <w:rPr>
                <w:rFonts w:ascii="Garamond" w:hAnsi="Garamond" w:cs="Calibri"/>
                <w:sz w:val="14"/>
                <w:szCs w:val="14"/>
              </w:rPr>
              <w:t xml:space="preserve">Nr. </w:t>
            </w:r>
            <w:r w:rsidR="00975179" w:rsidRPr="007114AF">
              <w:rPr>
                <w:rFonts w:ascii="Garamond" w:hAnsi="Garamond" w:cs="Calibri"/>
                <w:sz w:val="14"/>
                <w:szCs w:val="14"/>
              </w:rPr>
              <w:t>6:</w:t>
            </w:r>
            <w:r w:rsidR="000A2A01" w:rsidRPr="007114AF">
              <w:rPr>
                <w:rFonts w:ascii="Garamond" w:hAnsi="Garamond" w:cs="Calibri"/>
                <w:sz w:val="14"/>
                <w:szCs w:val="14"/>
              </w:rPr>
              <w:t xml:space="preserve"> </w:t>
            </w:r>
            <w:r w:rsidR="00975179" w:rsidRPr="007114AF">
              <w:rPr>
                <w:rFonts w:ascii="Garamond" w:hAnsi="Garamond" w:cs="Calibri"/>
                <w:sz w:val="14"/>
                <w:szCs w:val="14"/>
              </w:rPr>
              <w:t>Nisma për ngritjen e kapaciteteve për përshtatjen ndaj ndryshimeve klimatike</w:t>
            </w:r>
          </w:p>
        </w:tc>
        <w:tc>
          <w:tcPr>
            <w:tcW w:w="1417" w:type="dxa"/>
            <w:shd w:val="clear" w:color="auto" w:fill="auto"/>
            <w:vAlign w:val="center"/>
          </w:tcPr>
          <w:p w14:paraId="6EDD144F" w14:textId="77777777" w:rsidR="00975179" w:rsidRPr="007114AF" w:rsidRDefault="00975179" w:rsidP="009160D5">
            <w:pPr>
              <w:rPr>
                <w:rFonts w:ascii="Garamond" w:hAnsi="Garamond" w:cs="Calibri"/>
                <w:sz w:val="14"/>
                <w:szCs w:val="14"/>
              </w:rPr>
            </w:pPr>
            <w:r w:rsidRPr="007114AF">
              <w:rPr>
                <w:rFonts w:ascii="Garamond" w:hAnsi="Garamond" w:cs="Calibri"/>
                <w:sz w:val="14"/>
                <w:szCs w:val="14"/>
              </w:rPr>
              <w:t>Nuk ka ende preventivë</w:t>
            </w:r>
          </w:p>
        </w:tc>
        <w:tc>
          <w:tcPr>
            <w:tcW w:w="1413" w:type="dxa"/>
            <w:shd w:val="clear" w:color="auto" w:fill="auto"/>
          </w:tcPr>
          <w:p w14:paraId="6EDD1450" w14:textId="0280B3DB" w:rsidR="00975179" w:rsidRPr="007114AF" w:rsidRDefault="00975179" w:rsidP="009160D5">
            <w:pPr>
              <w:rPr>
                <w:rFonts w:ascii="Garamond" w:hAnsi="Garamond"/>
                <w:sz w:val="14"/>
                <w:szCs w:val="14"/>
              </w:rPr>
            </w:pPr>
            <w:r w:rsidRPr="007114AF">
              <w:rPr>
                <w:rFonts w:ascii="Garamond" w:hAnsi="Garamond" w:cs="Calibri"/>
                <w:sz w:val="14"/>
                <w:szCs w:val="14"/>
              </w:rPr>
              <w:t>për t</w:t>
            </w:r>
            <w:r w:rsidR="00D10DAB" w:rsidRPr="007114AF">
              <w:rPr>
                <w:rFonts w:ascii="Garamond" w:hAnsi="Garamond" w:cs="Calibri"/>
                <w:sz w:val="14"/>
                <w:szCs w:val="14"/>
              </w:rPr>
              <w:t>’</w:t>
            </w:r>
            <w:r w:rsidRPr="007114AF">
              <w:rPr>
                <w:rFonts w:ascii="Garamond" w:hAnsi="Garamond" w:cs="Calibri"/>
                <w:sz w:val="14"/>
                <w:szCs w:val="14"/>
              </w:rPr>
              <w:t>u vendosur</w:t>
            </w:r>
          </w:p>
        </w:tc>
        <w:tc>
          <w:tcPr>
            <w:tcW w:w="5103" w:type="dxa"/>
            <w:shd w:val="clear" w:color="auto" w:fill="auto"/>
            <w:vAlign w:val="center"/>
          </w:tcPr>
          <w:p w14:paraId="6EDD1451" w14:textId="73116483" w:rsidR="00975179" w:rsidRPr="007114AF" w:rsidRDefault="00975179" w:rsidP="009160D5">
            <w:pPr>
              <w:tabs>
                <w:tab w:val="left" w:pos="360"/>
              </w:tabs>
              <w:rPr>
                <w:rFonts w:ascii="Garamond" w:hAnsi="Garamond" w:cs="Calibri"/>
                <w:sz w:val="14"/>
                <w:szCs w:val="14"/>
              </w:rPr>
            </w:pPr>
            <w:r w:rsidRPr="007114AF">
              <w:rPr>
                <w:rFonts w:ascii="Garamond" w:hAnsi="Garamond" w:cs="Calibri"/>
                <w:sz w:val="14"/>
                <w:szCs w:val="14"/>
              </w:rPr>
              <w:t>afatshkurtër -afatmesëm: grante nga donatorë dypalësh, të tillë si Gjermania, Suedia, Austria, Japonia, Franca</w:t>
            </w:r>
            <w:r w:rsidR="000A2A01" w:rsidRPr="007114AF">
              <w:rPr>
                <w:rFonts w:ascii="Garamond" w:hAnsi="Garamond" w:cs="Calibri"/>
                <w:sz w:val="14"/>
                <w:szCs w:val="14"/>
              </w:rPr>
              <w:t xml:space="preserve"> </w:t>
            </w:r>
          </w:p>
        </w:tc>
        <w:tc>
          <w:tcPr>
            <w:tcW w:w="3402" w:type="dxa"/>
            <w:shd w:val="clear" w:color="auto" w:fill="auto"/>
          </w:tcPr>
          <w:p w14:paraId="6EDD1452" w14:textId="77777777" w:rsidR="00975179" w:rsidRPr="007114AF" w:rsidRDefault="00975179" w:rsidP="009160D5">
            <w:pPr>
              <w:rPr>
                <w:rFonts w:ascii="Garamond" w:hAnsi="Garamond" w:cs="Calibri"/>
                <w:sz w:val="14"/>
                <w:szCs w:val="14"/>
              </w:rPr>
            </w:pPr>
            <w:r w:rsidRPr="007114AF">
              <w:rPr>
                <w:rFonts w:ascii="Garamond" w:hAnsi="Garamond" w:cs="Calibri"/>
                <w:sz w:val="14"/>
                <w:szCs w:val="14"/>
              </w:rPr>
              <w:t>- Kostot e pjesshme për ndërtimin e kapaciteteve në mënyrë ideale duhet të përfshihen në secilin projekt buxhet, sipas rastit</w:t>
            </w:r>
          </w:p>
        </w:tc>
      </w:tr>
      <w:tr w:rsidR="00975179" w:rsidRPr="007114AF" w14:paraId="6EDD145A" w14:textId="77777777" w:rsidTr="00975179">
        <w:trPr>
          <w:trHeight w:val="450"/>
        </w:trPr>
        <w:tc>
          <w:tcPr>
            <w:tcW w:w="3251" w:type="dxa"/>
            <w:shd w:val="clear" w:color="auto" w:fill="auto"/>
          </w:tcPr>
          <w:p w14:paraId="6EDD1454" w14:textId="4259706E" w:rsidR="00975179" w:rsidRPr="007114AF" w:rsidRDefault="008D30FC" w:rsidP="009160D5">
            <w:pPr>
              <w:rPr>
                <w:rFonts w:ascii="Garamond" w:hAnsi="Garamond" w:cs="Calibri"/>
                <w:sz w:val="14"/>
                <w:szCs w:val="14"/>
              </w:rPr>
            </w:pPr>
            <w:r w:rsidRPr="007114AF">
              <w:rPr>
                <w:rFonts w:ascii="Garamond" w:hAnsi="Garamond" w:cs="Calibri"/>
                <w:sz w:val="14"/>
                <w:szCs w:val="14"/>
              </w:rPr>
              <w:t xml:space="preserve">Nr. </w:t>
            </w:r>
            <w:r w:rsidR="00975179" w:rsidRPr="007114AF">
              <w:rPr>
                <w:rFonts w:ascii="Garamond" w:hAnsi="Garamond" w:cs="Calibri"/>
                <w:sz w:val="14"/>
                <w:szCs w:val="14"/>
              </w:rPr>
              <w:t>7: Ujitje, kullim dhe mbrojtje nga përmbytje, me aftësi ripërtëritëse kundrejt ndryshimeve të klimës</w:t>
            </w:r>
          </w:p>
        </w:tc>
        <w:tc>
          <w:tcPr>
            <w:tcW w:w="1417" w:type="dxa"/>
            <w:shd w:val="clear" w:color="auto" w:fill="auto"/>
            <w:vAlign w:val="center"/>
          </w:tcPr>
          <w:p w14:paraId="6EDD1455" w14:textId="5D787BEA" w:rsidR="00975179" w:rsidRPr="007114AF" w:rsidRDefault="00975179" w:rsidP="009160D5">
            <w:pPr>
              <w:rPr>
                <w:rFonts w:ascii="Garamond" w:hAnsi="Garamond" w:cs="Calibri"/>
                <w:sz w:val="14"/>
                <w:szCs w:val="14"/>
              </w:rPr>
            </w:pPr>
            <w:r w:rsidRPr="007114AF">
              <w:rPr>
                <w:rFonts w:ascii="Garamond" w:hAnsi="Garamond" w:cs="Calibri"/>
                <w:sz w:val="14"/>
                <w:szCs w:val="14"/>
              </w:rPr>
              <w:t xml:space="preserve">1841.5 </w:t>
            </w:r>
            <w:r w:rsidR="001C47F0" w:rsidRPr="007114AF">
              <w:rPr>
                <w:rFonts w:ascii="Garamond" w:hAnsi="Garamond" w:cs="Calibri"/>
                <w:sz w:val="14"/>
                <w:szCs w:val="14"/>
              </w:rPr>
              <w:t xml:space="preserve">milionë </w:t>
            </w:r>
            <w:r w:rsidRPr="007114AF">
              <w:rPr>
                <w:rFonts w:ascii="Garamond" w:hAnsi="Garamond" w:cs="Calibri"/>
                <w:sz w:val="14"/>
                <w:szCs w:val="14"/>
              </w:rPr>
              <w:t>LEKË</w:t>
            </w:r>
          </w:p>
        </w:tc>
        <w:tc>
          <w:tcPr>
            <w:tcW w:w="1413" w:type="dxa"/>
            <w:shd w:val="clear" w:color="auto" w:fill="auto"/>
          </w:tcPr>
          <w:p w14:paraId="6EDD1456" w14:textId="428C3DD6" w:rsidR="00975179" w:rsidRPr="007114AF" w:rsidRDefault="00975179" w:rsidP="009160D5">
            <w:pPr>
              <w:rPr>
                <w:rFonts w:ascii="Garamond" w:hAnsi="Garamond"/>
                <w:sz w:val="14"/>
                <w:szCs w:val="14"/>
              </w:rPr>
            </w:pPr>
            <w:r w:rsidRPr="007114AF">
              <w:rPr>
                <w:rFonts w:ascii="Garamond" w:hAnsi="Garamond" w:cs="Calibri"/>
                <w:sz w:val="14"/>
                <w:szCs w:val="14"/>
              </w:rPr>
              <w:t>për t</w:t>
            </w:r>
            <w:r w:rsidR="00D10DAB" w:rsidRPr="007114AF">
              <w:rPr>
                <w:rFonts w:ascii="Garamond" w:hAnsi="Garamond" w:cs="Calibri"/>
                <w:sz w:val="14"/>
                <w:szCs w:val="14"/>
              </w:rPr>
              <w:t>’</w:t>
            </w:r>
            <w:r w:rsidRPr="007114AF">
              <w:rPr>
                <w:rFonts w:ascii="Garamond" w:hAnsi="Garamond" w:cs="Calibri"/>
                <w:sz w:val="14"/>
                <w:szCs w:val="14"/>
              </w:rPr>
              <w:t>u vendosur</w:t>
            </w:r>
          </w:p>
        </w:tc>
        <w:tc>
          <w:tcPr>
            <w:tcW w:w="5103" w:type="dxa"/>
            <w:shd w:val="clear" w:color="auto" w:fill="auto"/>
          </w:tcPr>
          <w:p w14:paraId="6EDD1457" w14:textId="77777777" w:rsidR="00975179" w:rsidRPr="007114AF" w:rsidRDefault="00975179" w:rsidP="009160D5">
            <w:pPr>
              <w:ind w:left="612" w:hanging="612"/>
              <w:rPr>
                <w:rFonts w:ascii="Garamond" w:hAnsi="Garamond" w:cs="Calibri"/>
                <w:sz w:val="14"/>
                <w:szCs w:val="14"/>
              </w:rPr>
            </w:pPr>
            <w:r w:rsidRPr="007114AF">
              <w:rPr>
                <w:rFonts w:ascii="Garamond" w:hAnsi="Garamond" w:cs="Calibri"/>
                <w:sz w:val="14"/>
                <w:szCs w:val="14"/>
              </w:rPr>
              <w:t>- afatshkurtër: BE IPA II, aplikimi i dërguar (1080 mil. LEKË)</w:t>
            </w:r>
          </w:p>
          <w:p w14:paraId="6EDD1458" w14:textId="77777777" w:rsidR="00975179" w:rsidRPr="007114AF" w:rsidRDefault="00975179" w:rsidP="00975179">
            <w:pPr>
              <w:ind w:left="612" w:hanging="612"/>
              <w:rPr>
                <w:rFonts w:ascii="Garamond" w:hAnsi="Garamond" w:cs="Calibri"/>
                <w:sz w:val="14"/>
                <w:szCs w:val="14"/>
              </w:rPr>
            </w:pPr>
            <w:r w:rsidRPr="007114AF">
              <w:rPr>
                <w:rFonts w:ascii="Garamond" w:hAnsi="Garamond" w:cs="Calibri"/>
                <w:sz w:val="14"/>
                <w:szCs w:val="14"/>
              </w:rPr>
              <w:t>- afatmesëm/afatgjatë: FGJK (GCF), BERZH, KfW</w:t>
            </w:r>
          </w:p>
        </w:tc>
        <w:tc>
          <w:tcPr>
            <w:tcW w:w="3402" w:type="dxa"/>
            <w:shd w:val="clear" w:color="auto" w:fill="auto"/>
          </w:tcPr>
          <w:p w14:paraId="6EDD1459" w14:textId="77777777" w:rsidR="00975179" w:rsidRPr="007114AF" w:rsidRDefault="00975179" w:rsidP="009160D5">
            <w:pPr>
              <w:rPr>
                <w:rFonts w:ascii="Garamond" w:hAnsi="Garamond" w:cs="Calibri"/>
                <w:sz w:val="14"/>
                <w:szCs w:val="14"/>
              </w:rPr>
            </w:pPr>
            <w:r w:rsidRPr="007114AF">
              <w:rPr>
                <w:rFonts w:ascii="Garamond" w:hAnsi="Garamond" w:cs="Calibri"/>
                <w:sz w:val="14"/>
                <w:szCs w:val="14"/>
              </w:rPr>
              <w:t xml:space="preserve">- Duhet të prioritizohet për përgatitjen/zhvillimin e projektit në fundryshimet klimatikesion të donatorëve ndërkombëtarë në shkallë të gjerë </w:t>
            </w:r>
          </w:p>
        </w:tc>
      </w:tr>
      <w:tr w:rsidR="00975179" w:rsidRPr="007114AF" w14:paraId="6EDD1463" w14:textId="77777777" w:rsidTr="00975179">
        <w:trPr>
          <w:trHeight w:val="1014"/>
        </w:trPr>
        <w:tc>
          <w:tcPr>
            <w:tcW w:w="3251" w:type="dxa"/>
            <w:shd w:val="clear" w:color="auto" w:fill="auto"/>
          </w:tcPr>
          <w:p w14:paraId="6EDD145B" w14:textId="01D889E7" w:rsidR="00975179" w:rsidRPr="007114AF" w:rsidRDefault="008D30FC" w:rsidP="009160D5">
            <w:pPr>
              <w:rPr>
                <w:rFonts w:ascii="Garamond" w:hAnsi="Garamond" w:cs="Calibri"/>
                <w:sz w:val="14"/>
                <w:szCs w:val="14"/>
              </w:rPr>
            </w:pPr>
            <w:r w:rsidRPr="007114AF">
              <w:rPr>
                <w:rFonts w:ascii="Garamond" w:hAnsi="Garamond" w:cs="Calibri"/>
                <w:sz w:val="14"/>
                <w:szCs w:val="14"/>
              </w:rPr>
              <w:t xml:space="preserve">Nr. </w:t>
            </w:r>
            <w:r w:rsidR="00975179" w:rsidRPr="007114AF">
              <w:rPr>
                <w:rFonts w:ascii="Garamond" w:hAnsi="Garamond" w:cs="Calibri"/>
                <w:sz w:val="14"/>
                <w:szCs w:val="14"/>
              </w:rPr>
              <w:t>8: Menaxhimi i Integruar i Burimeve Ujore</w:t>
            </w:r>
          </w:p>
        </w:tc>
        <w:tc>
          <w:tcPr>
            <w:tcW w:w="1417" w:type="dxa"/>
            <w:shd w:val="clear" w:color="auto" w:fill="auto"/>
            <w:vAlign w:val="center"/>
          </w:tcPr>
          <w:p w14:paraId="6EDD145C" w14:textId="77777777" w:rsidR="00975179" w:rsidRPr="007114AF" w:rsidRDefault="00975179" w:rsidP="009160D5">
            <w:pPr>
              <w:rPr>
                <w:rFonts w:ascii="Garamond" w:hAnsi="Garamond" w:cs="Calibri"/>
                <w:sz w:val="14"/>
                <w:szCs w:val="14"/>
              </w:rPr>
            </w:pPr>
            <w:r w:rsidRPr="007114AF">
              <w:rPr>
                <w:rFonts w:ascii="Garamond" w:hAnsi="Garamond" w:cs="Calibri"/>
                <w:sz w:val="14"/>
                <w:szCs w:val="14"/>
              </w:rPr>
              <w:t>392</w:t>
            </w:r>
          </w:p>
          <w:p w14:paraId="6EDD145D" w14:textId="35B5B49D" w:rsidR="00975179" w:rsidRPr="007114AF" w:rsidRDefault="001C47F0" w:rsidP="009160D5">
            <w:pPr>
              <w:rPr>
                <w:rFonts w:ascii="Garamond" w:hAnsi="Garamond" w:cs="Calibri"/>
                <w:sz w:val="14"/>
                <w:szCs w:val="14"/>
              </w:rPr>
            </w:pPr>
            <w:r w:rsidRPr="007114AF">
              <w:rPr>
                <w:rFonts w:ascii="Garamond" w:hAnsi="Garamond" w:cs="Calibri"/>
                <w:sz w:val="14"/>
                <w:szCs w:val="14"/>
              </w:rPr>
              <w:t xml:space="preserve">milionë </w:t>
            </w:r>
            <w:r w:rsidR="00975179" w:rsidRPr="007114AF">
              <w:rPr>
                <w:rFonts w:ascii="Garamond" w:hAnsi="Garamond" w:cs="Calibri"/>
                <w:sz w:val="14"/>
                <w:szCs w:val="14"/>
              </w:rPr>
              <w:t>LEKË</w:t>
            </w:r>
          </w:p>
        </w:tc>
        <w:tc>
          <w:tcPr>
            <w:tcW w:w="1413" w:type="dxa"/>
            <w:shd w:val="clear" w:color="auto" w:fill="auto"/>
          </w:tcPr>
          <w:p w14:paraId="6EDD145E" w14:textId="6F31042E" w:rsidR="00975179" w:rsidRPr="007114AF" w:rsidRDefault="00975179" w:rsidP="009160D5">
            <w:pPr>
              <w:rPr>
                <w:rFonts w:ascii="Garamond" w:hAnsi="Garamond"/>
                <w:sz w:val="14"/>
                <w:szCs w:val="14"/>
              </w:rPr>
            </w:pPr>
            <w:r w:rsidRPr="007114AF">
              <w:rPr>
                <w:rFonts w:ascii="Garamond" w:hAnsi="Garamond" w:cs="Calibri"/>
                <w:sz w:val="14"/>
                <w:szCs w:val="14"/>
              </w:rPr>
              <w:t>për t</w:t>
            </w:r>
            <w:r w:rsidR="00D10DAB" w:rsidRPr="007114AF">
              <w:rPr>
                <w:rFonts w:ascii="Garamond" w:hAnsi="Garamond" w:cs="Calibri"/>
                <w:sz w:val="14"/>
                <w:szCs w:val="14"/>
              </w:rPr>
              <w:t>’</w:t>
            </w:r>
            <w:r w:rsidRPr="007114AF">
              <w:rPr>
                <w:rFonts w:ascii="Garamond" w:hAnsi="Garamond" w:cs="Calibri"/>
                <w:sz w:val="14"/>
                <w:szCs w:val="14"/>
              </w:rPr>
              <w:t>u vendosur</w:t>
            </w:r>
          </w:p>
        </w:tc>
        <w:tc>
          <w:tcPr>
            <w:tcW w:w="5103" w:type="dxa"/>
            <w:shd w:val="clear" w:color="auto" w:fill="auto"/>
          </w:tcPr>
          <w:p w14:paraId="6EDD145F" w14:textId="15C3E866" w:rsidR="00975179" w:rsidRPr="007114AF" w:rsidRDefault="00975179" w:rsidP="009160D5">
            <w:pPr>
              <w:rPr>
                <w:rFonts w:ascii="Garamond" w:hAnsi="Garamond" w:cs="Calibri"/>
                <w:sz w:val="14"/>
                <w:szCs w:val="14"/>
              </w:rPr>
            </w:pPr>
            <w:r w:rsidRPr="007114AF">
              <w:rPr>
                <w:rFonts w:ascii="Garamond" w:hAnsi="Garamond" w:cs="Calibri"/>
                <w:sz w:val="14"/>
                <w:szCs w:val="14"/>
              </w:rPr>
              <w:t>-</w:t>
            </w:r>
            <w:r w:rsidR="000A2A01" w:rsidRPr="007114AF">
              <w:rPr>
                <w:rFonts w:ascii="Garamond" w:hAnsi="Garamond" w:cs="Calibri"/>
                <w:sz w:val="14"/>
                <w:szCs w:val="14"/>
              </w:rPr>
              <w:t xml:space="preserve"> </w:t>
            </w:r>
            <w:r w:rsidRPr="007114AF">
              <w:rPr>
                <w:rFonts w:ascii="Garamond" w:hAnsi="Garamond" w:cs="Calibri"/>
                <w:sz w:val="14"/>
                <w:szCs w:val="14"/>
              </w:rPr>
              <w:t>afatmesëm/afatgjatë: FGJK (GCF), BERZH, KfW (në fundryshimet klimatikesion të huave) dhe SIDA (si financues i mëparshëm), Gjermania/ICI (me fokus në Përshtatjen e bazuar në Ekosistem), në fundryshimet klimatikesion të granteve</w:t>
            </w:r>
          </w:p>
        </w:tc>
        <w:tc>
          <w:tcPr>
            <w:tcW w:w="3402" w:type="dxa"/>
            <w:shd w:val="clear" w:color="auto" w:fill="auto"/>
          </w:tcPr>
          <w:p w14:paraId="6EDD1460" w14:textId="77777777" w:rsidR="00975179" w:rsidRPr="007114AF" w:rsidRDefault="00975179" w:rsidP="009160D5">
            <w:pPr>
              <w:rPr>
                <w:rFonts w:ascii="Garamond" w:hAnsi="Garamond"/>
                <w:sz w:val="14"/>
                <w:szCs w:val="14"/>
              </w:rPr>
            </w:pPr>
            <w:r w:rsidRPr="007114AF">
              <w:rPr>
                <w:rFonts w:ascii="Garamond" w:hAnsi="Garamond"/>
                <w:sz w:val="14"/>
                <w:szCs w:val="14"/>
              </w:rPr>
              <w:t>- Nevojat për llogaritjen e shpenzimeve duhet të rishikohen. Llogaritja e shpenzimeve të masës së ardhshme në vend të masës së financuar</w:t>
            </w:r>
          </w:p>
          <w:p w14:paraId="6EDD1461" w14:textId="6CAA68A1" w:rsidR="00975179" w:rsidRPr="007114AF" w:rsidRDefault="00975179" w:rsidP="009160D5">
            <w:pPr>
              <w:rPr>
                <w:rFonts w:ascii="Garamond" w:hAnsi="Garamond"/>
                <w:sz w:val="14"/>
                <w:szCs w:val="14"/>
              </w:rPr>
            </w:pPr>
            <w:r w:rsidRPr="007114AF">
              <w:rPr>
                <w:rFonts w:ascii="Garamond" w:hAnsi="Garamond"/>
                <w:sz w:val="14"/>
                <w:szCs w:val="14"/>
              </w:rPr>
              <w:t>- Duhet të prioritizohen për përgatitjen/zhvillimin e projektit</w:t>
            </w:r>
            <w:r w:rsidR="000A2A01" w:rsidRPr="007114AF">
              <w:rPr>
                <w:rFonts w:ascii="Garamond" w:hAnsi="Garamond"/>
                <w:sz w:val="14"/>
                <w:szCs w:val="14"/>
              </w:rPr>
              <w:t xml:space="preserve"> </w:t>
            </w:r>
          </w:p>
          <w:p w14:paraId="6EDD1462" w14:textId="7B111898" w:rsidR="00975179" w:rsidRPr="007114AF" w:rsidRDefault="00975179" w:rsidP="009160D5">
            <w:pPr>
              <w:rPr>
                <w:rFonts w:ascii="Garamond" w:hAnsi="Garamond"/>
                <w:sz w:val="14"/>
                <w:szCs w:val="14"/>
              </w:rPr>
            </w:pPr>
            <w:r w:rsidRPr="007114AF">
              <w:rPr>
                <w:rFonts w:ascii="Garamond" w:hAnsi="Garamond"/>
                <w:sz w:val="14"/>
                <w:szCs w:val="14"/>
              </w:rPr>
              <w:t xml:space="preserve">217.5 </w:t>
            </w:r>
            <w:r w:rsidR="001C47F0" w:rsidRPr="007114AF">
              <w:rPr>
                <w:rFonts w:ascii="Garamond" w:hAnsi="Garamond"/>
                <w:sz w:val="14"/>
                <w:szCs w:val="14"/>
              </w:rPr>
              <w:t xml:space="preserve">milionë </w:t>
            </w:r>
            <w:r w:rsidRPr="007114AF">
              <w:rPr>
                <w:rFonts w:ascii="Garamond" w:hAnsi="Garamond"/>
                <w:sz w:val="14"/>
                <w:szCs w:val="14"/>
              </w:rPr>
              <w:t>LEKË</w:t>
            </w:r>
          </w:p>
        </w:tc>
      </w:tr>
      <w:tr w:rsidR="00975179" w:rsidRPr="007114AF" w14:paraId="6EDD146E" w14:textId="77777777" w:rsidTr="009160D5">
        <w:trPr>
          <w:trHeight w:val="440"/>
        </w:trPr>
        <w:tc>
          <w:tcPr>
            <w:tcW w:w="3251" w:type="dxa"/>
            <w:shd w:val="clear" w:color="auto" w:fill="auto"/>
          </w:tcPr>
          <w:p w14:paraId="6EDD1464" w14:textId="081936C4" w:rsidR="00975179" w:rsidRPr="007114AF" w:rsidRDefault="008D30FC" w:rsidP="009160D5">
            <w:pPr>
              <w:rPr>
                <w:rFonts w:ascii="Garamond" w:hAnsi="Garamond" w:cs="Calibri"/>
                <w:sz w:val="14"/>
                <w:szCs w:val="14"/>
              </w:rPr>
            </w:pPr>
            <w:r w:rsidRPr="007114AF">
              <w:rPr>
                <w:rFonts w:ascii="Garamond" w:hAnsi="Garamond" w:cs="Calibri"/>
                <w:sz w:val="14"/>
                <w:szCs w:val="14"/>
              </w:rPr>
              <w:t xml:space="preserve">Nr. </w:t>
            </w:r>
            <w:r w:rsidR="00975179" w:rsidRPr="007114AF">
              <w:rPr>
                <w:rFonts w:ascii="Garamond" w:hAnsi="Garamond" w:cs="Calibri"/>
                <w:sz w:val="14"/>
                <w:szCs w:val="14"/>
              </w:rPr>
              <w:t>9:</w:t>
            </w:r>
            <w:r w:rsidR="000A2A01" w:rsidRPr="007114AF">
              <w:rPr>
                <w:rFonts w:ascii="Garamond" w:hAnsi="Garamond" w:cs="Calibri"/>
                <w:sz w:val="14"/>
                <w:szCs w:val="14"/>
              </w:rPr>
              <w:t xml:space="preserve"> </w:t>
            </w:r>
            <w:r w:rsidR="00975179" w:rsidRPr="007114AF">
              <w:rPr>
                <w:rFonts w:ascii="Garamond" w:hAnsi="Garamond" w:cs="Calibri"/>
                <w:sz w:val="14"/>
                <w:szCs w:val="14"/>
              </w:rPr>
              <w:t>Përshtatja në sektorin agrar</w:t>
            </w:r>
          </w:p>
        </w:tc>
        <w:tc>
          <w:tcPr>
            <w:tcW w:w="1417" w:type="dxa"/>
            <w:shd w:val="clear" w:color="auto" w:fill="auto"/>
            <w:vAlign w:val="center"/>
          </w:tcPr>
          <w:p w14:paraId="6EDD1465" w14:textId="6F62519D" w:rsidR="00975179" w:rsidRPr="007114AF" w:rsidRDefault="00975179" w:rsidP="009160D5">
            <w:pPr>
              <w:rPr>
                <w:rFonts w:ascii="Garamond" w:hAnsi="Garamond" w:cs="Calibri"/>
                <w:sz w:val="14"/>
                <w:szCs w:val="14"/>
              </w:rPr>
            </w:pPr>
            <w:r w:rsidRPr="007114AF">
              <w:rPr>
                <w:rFonts w:ascii="Garamond" w:hAnsi="Garamond" w:cs="Calibri"/>
                <w:sz w:val="14"/>
                <w:szCs w:val="14"/>
              </w:rPr>
              <w:t xml:space="preserve">925 </w:t>
            </w:r>
            <w:r w:rsidR="001C47F0" w:rsidRPr="007114AF">
              <w:rPr>
                <w:rFonts w:ascii="Garamond" w:hAnsi="Garamond" w:cs="Calibri"/>
                <w:sz w:val="14"/>
                <w:szCs w:val="14"/>
              </w:rPr>
              <w:t xml:space="preserve">milionë </w:t>
            </w:r>
            <w:r w:rsidRPr="007114AF">
              <w:rPr>
                <w:rFonts w:ascii="Garamond" w:hAnsi="Garamond" w:cs="Calibri"/>
                <w:sz w:val="14"/>
                <w:szCs w:val="14"/>
              </w:rPr>
              <w:t>LEKË</w:t>
            </w:r>
          </w:p>
        </w:tc>
        <w:tc>
          <w:tcPr>
            <w:tcW w:w="1413" w:type="dxa"/>
            <w:shd w:val="clear" w:color="auto" w:fill="auto"/>
            <w:vAlign w:val="center"/>
          </w:tcPr>
          <w:p w14:paraId="6EDD1466" w14:textId="5BE7FF64" w:rsidR="00975179" w:rsidRPr="007114AF" w:rsidRDefault="00975179" w:rsidP="009160D5">
            <w:pPr>
              <w:rPr>
                <w:rFonts w:ascii="Garamond" w:hAnsi="Garamond" w:cs="Calibri"/>
                <w:sz w:val="14"/>
                <w:szCs w:val="14"/>
              </w:rPr>
            </w:pPr>
            <w:r w:rsidRPr="007114AF">
              <w:rPr>
                <w:rFonts w:ascii="Garamond" w:hAnsi="Garamond" w:cs="Calibri"/>
                <w:sz w:val="14"/>
                <w:szCs w:val="14"/>
              </w:rPr>
              <w:t xml:space="preserve">160 </w:t>
            </w:r>
            <w:r w:rsidR="001C47F0" w:rsidRPr="007114AF">
              <w:rPr>
                <w:rFonts w:ascii="Garamond" w:hAnsi="Garamond" w:cs="Calibri"/>
                <w:sz w:val="14"/>
                <w:szCs w:val="14"/>
              </w:rPr>
              <w:t xml:space="preserve">milionë </w:t>
            </w:r>
            <w:r w:rsidRPr="007114AF">
              <w:rPr>
                <w:rFonts w:ascii="Garamond" w:hAnsi="Garamond" w:cs="Calibri"/>
                <w:sz w:val="14"/>
                <w:szCs w:val="14"/>
              </w:rPr>
              <w:t>LEKË</w:t>
            </w:r>
          </w:p>
        </w:tc>
        <w:tc>
          <w:tcPr>
            <w:tcW w:w="5103" w:type="dxa"/>
            <w:shd w:val="clear" w:color="auto" w:fill="auto"/>
            <w:vAlign w:val="center"/>
          </w:tcPr>
          <w:p w14:paraId="6EDD1467" w14:textId="77777777" w:rsidR="00975179" w:rsidRPr="007114AF" w:rsidRDefault="00975179" w:rsidP="009160D5">
            <w:pPr>
              <w:rPr>
                <w:rFonts w:ascii="Garamond" w:hAnsi="Garamond" w:cs="Calibri"/>
                <w:sz w:val="14"/>
                <w:szCs w:val="14"/>
              </w:rPr>
            </w:pPr>
            <w:r w:rsidRPr="007114AF">
              <w:rPr>
                <w:rFonts w:ascii="Garamond" w:hAnsi="Garamond" w:cs="Calibri"/>
                <w:sz w:val="14"/>
                <w:szCs w:val="14"/>
              </w:rPr>
              <w:t>- afatshkurtër: FAO (për grante më të vogla dhe asistencë teknike)</w:t>
            </w:r>
          </w:p>
          <w:p w14:paraId="6EDD1468" w14:textId="77777777" w:rsidR="00975179" w:rsidRPr="007114AF" w:rsidRDefault="00975179" w:rsidP="009160D5">
            <w:pPr>
              <w:rPr>
                <w:rFonts w:ascii="Garamond" w:hAnsi="Garamond" w:cs="Calibri"/>
                <w:sz w:val="14"/>
                <w:szCs w:val="14"/>
              </w:rPr>
            </w:pPr>
            <w:r w:rsidRPr="007114AF">
              <w:rPr>
                <w:rFonts w:ascii="Garamond" w:hAnsi="Garamond" w:cs="Calibri"/>
                <w:sz w:val="14"/>
                <w:szCs w:val="14"/>
              </w:rPr>
              <w:t>- afatmesëm dhe afatgjatë: IFAD (për huatë koncesionare), BERZH</w:t>
            </w:r>
          </w:p>
          <w:p w14:paraId="6EDD1469" w14:textId="77777777" w:rsidR="00975179" w:rsidRPr="007114AF" w:rsidRDefault="00975179" w:rsidP="009160D5">
            <w:pPr>
              <w:rPr>
                <w:rFonts w:ascii="Garamond" w:hAnsi="Garamond" w:cs="Calibri"/>
                <w:sz w:val="14"/>
                <w:szCs w:val="14"/>
              </w:rPr>
            </w:pPr>
            <w:r w:rsidRPr="007114AF">
              <w:rPr>
                <w:rFonts w:ascii="Garamond" w:hAnsi="Garamond" w:cs="Calibri"/>
                <w:sz w:val="14"/>
                <w:szCs w:val="14"/>
              </w:rPr>
              <w:t>- PES, sigurimet e rrezikut për fermerët ose instrumente të tjera inovative (afatmesme ose afatgjata)</w:t>
            </w:r>
          </w:p>
          <w:p w14:paraId="6EDD146A" w14:textId="77777777" w:rsidR="00975179" w:rsidRPr="007114AF" w:rsidRDefault="00975179" w:rsidP="009160D5">
            <w:pPr>
              <w:rPr>
                <w:rFonts w:ascii="Garamond" w:hAnsi="Garamond" w:cs="Calibri"/>
                <w:sz w:val="14"/>
                <w:szCs w:val="14"/>
              </w:rPr>
            </w:pPr>
            <w:r w:rsidRPr="007114AF">
              <w:rPr>
                <w:rFonts w:ascii="Garamond" w:hAnsi="Garamond" w:cs="Calibri"/>
                <w:sz w:val="14"/>
                <w:szCs w:val="14"/>
              </w:rPr>
              <w:t xml:space="preserve">- BE Horizon 2020 për grante kërkimore </w:t>
            </w:r>
          </w:p>
        </w:tc>
        <w:tc>
          <w:tcPr>
            <w:tcW w:w="3402" w:type="dxa"/>
            <w:shd w:val="clear" w:color="auto" w:fill="auto"/>
          </w:tcPr>
          <w:p w14:paraId="6EDD146B" w14:textId="77777777" w:rsidR="00975179" w:rsidRPr="007114AF" w:rsidRDefault="00975179" w:rsidP="009160D5">
            <w:pPr>
              <w:rPr>
                <w:rFonts w:ascii="Garamond" w:hAnsi="Garamond"/>
                <w:sz w:val="14"/>
                <w:szCs w:val="14"/>
              </w:rPr>
            </w:pPr>
            <w:r w:rsidRPr="007114AF">
              <w:rPr>
                <w:rFonts w:ascii="Garamond" w:hAnsi="Garamond"/>
                <w:sz w:val="14"/>
                <w:szCs w:val="14"/>
              </w:rPr>
              <w:t>-të plotësohet/rishikohet treguesi 3.1</w:t>
            </w:r>
          </w:p>
          <w:p w14:paraId="6EDD146C" w14:textId="77777777" w:rsidR="00975179" w:rsidRPr="007114AF" w:rsidRDefault="00975179" w:rsidP="009160D5">
            <w:pPr>
              <w:rPr>
                <w:rFonts w:ascii="Garamond" w:hAnsi="Garamond"/>
                <w:sz w:val="14"/>
                <w:szCs w:val="14"/>
              </w:rPr>
            </w:pPr>
            <w:r w:rsidRPr="007114AF">
              <w:rPr>
                <w:rFonts w:ascii="Garamond" w:hAnsi="Garamond"/>
                <w:sz w:val="14"/>
                <w:szCs w:val="14"/>
              </w:rPr>
              <w:t xml:space="preserve">- të kontrollohet nëse aplikimi AF për ndryshimet Klimatike i drejtuar nga Banka Botërore është në progres apo nëse duhet të rishikohet </w:t>
            </w:r>
          </w:p>
          <w:p w14:paraId="6EDD146D" w14:textId="77777777" w:rsidR="00975179" w:rsidRPr="007114AF" w:rsidRDefault="00975179" w:rsidP="009160D5">
            <w:pPr>
              <w:rPr>
                <w:rFonts w:ascii="Garamond" w:hAnsi="Garamond"/>
                <w:sz w:val="14"/>
                <w:szCs w:val="14"/>
              </w:rPr>
            </w:pPr>
          </w:p>
        </w:tc>
      </w:tr>
      <w:tr w:rsidR="00975179" w:rsidRPr="007114AF" w14:paraId="6EDD1474" w14:textId="77777777" w:rsidTr="009160D5">
        <w:tc>
          <w:tcPr>
            <w:tcW w:w="3251" w:type="dxa"/>
            <w:shd w:val="clear" w:color="auto" w:fill="auto"/>
          </w:tcPr>
          <w:p w14:paraId="6EDD146F" w14:textId="7C23851A" w:rsidR="00975179" w:rsidRPr="007114AF" w:rsidRDefault="008D30FC" w:rsidP="009160D5">
            <w:pPr>
              <w:pStyle w:val="Tabellentext"/>
              <w:pBdr>
                <w:bar w:val="single" w:sz="4" w:color="FF8080"/>
              </w:pBdr>
              <w:jc w:val="both"/>
              <w:rPr>
                <w:rFonts w:ascii="Garamond" w:hAnsi="Garamond" w:cs="Calibri"/>
                <w:sz w:val="14"/>
                <w:szCs w:val="14"/>
                <w:lang w:val="sq-AL"/>
              </w:rPr>
            </w:pPr>
            <w:r w:rsidRPr="007114AF">
              <w:rPr>
                <w:rFonts w:ascii="Garamond" w:eastAsia="MS Mincho" w:hAnsi="Garamond" w:cs="Calibri"/>
                <w:bCs w:val="0"/>
                <w:iCs w:val="0"/>
                <w:sz w:val="14"/>
                <w:szCs w:val="14"/>
                <w:lang w:val="sq-AL" w:eastAsia="en-US"/>
              </w:rPr>
              <w:t xml:space="preserve">Nr. </w:t>
            </w:r>
            <w:r w:rsidR="00975179" w:rsidRPr="007114AF">
              <w:rPr>
                <w:rFonts w:ascii="Garamond" w:eastAsia="MS Mincho" w:hAnsi="Garamond" w:cs="Calibri"/>
                <w:bCs w:val="0"/>
                <w:iCs w:val="0"/>
                <w:sz w:val="14"/>
                <w:szCs w:val="14"/>
                <w:lang w:val="sq-AL" w:eastAsia="en-US"/>
              </w:rPr>
              <w:t>10:</w:t>
            </w:r>
            <w:r w:rsidR="000A2A01" w:rsidRPr="007114AF">
              <w:rPr>
                <w:rFonts w:ascii="Garamond" w:eastAsia="MS Mincho" w:hAnsi="Garamond" w:cs="Calibri"/>
                <w:bCs w:val="0"/>
                <w:iCs w:val="0"/>
                <w:sz w:val="14"/>
                <w:szCs w:val="14"/>
                <w:lang w:val="sq-AL" w:eastAsia="en-US"/>
              </w:rPr>
              <w:t xml:space="preserve"> </w:t>
            </w:r>
            <w:r w:rsidR="00975179" w:rsidRPr="007114AF">
              <w:rPr>
                <w:rFonts w:ascii="Garamond" w:eastAsia="MS Mincho" w:hAnsi="Garamond" w:cs="Calibri"/>
                <w:bCs w:val="0"/>
                <w:iCs w:val="0"/>
                <w:sz w:val="14"/>
                <w:szCs w:val="14"/>
                <w:lang w:val="sq-AL" w:eastAsia="en-US"/>
              </w:rPr>
              <w:t>Nxitja e zbatimit të strategjisë së përshtatjes ndaj ndryshimeve klimatike për sektorin e shëndetësisë</w:t>
            </w:r>
          </w:p>
        </w:tc>
        <w:tc>
          <w:tcPr>
            <w:tcW w:w="1417" w:type="dxa"/>
            <w:shd w:val="clear" w:color="auto" w:fill="auto"/>
            <w:vAlign w:val="center"/>
          </w:tcPr>
          <w:p w14:paraId="6EDD1470" w14:textId="4ADC3012" w:rsidR="00975179" w:rsidRPr="007114AF" w:rsidRDefault="00975179" w:rsidP="009160D5">
            <w:pPr>
              <w:rPr>
                <w:rFonts w:ascii="Garamond" w:hAnsi="Garamond" w:cs="Calibri"/>
                <w:sz w:val="14"/>
                <w:szCs w:val="14"/>
              </w:rPr>
            </w:pPr>
            <w:r w:rsidRPr="007114AF">
              <w:rPr>
                <w:rFonts w:ascii="Garamond" w:hAnsi="Garamond" w:cs="Calibri"/>
                <w:sz w:val="14"/>
                <w:szCs w:val="14"/>
              </w:rPr>
              <w:t xml:space="preserve">145 </w:t>
            </w:r>
            <w:r w:rsidR="001C47F0" w:rsidRPr="007114AF">
              <w:rPr>
                <w:rFonts w:ascii="Garamond" w:hAnsi="Garamond" w:cs="Calibri"/>
                <w:sz w:val="14"/>
                <w:szCs w:val="14"/>
              </w:rPr>
              <w:t xml:space="preserve">milionë </w:t>
            </w:r>
            <w:r w:rsidRPr="007114AF">
              <w:rPr>
                <w:rFonts w:ascii="Garamond" w:hAnsi="Garamond" w:cs="Calibri"/>
                <w:sz w:val="14"/>
                <w:szCs w:val="14"/>
              </w:rPr>
              <w:t>LEKË</w:t>
            </w:r>
          </w:p>
        </w:tc>
        <w:tc>
          <w:tcPr>
            <w:tcW w:w="1413" w:type="dxa"/>
            <w:shd w:val="clear" w:color="auto" w:fill="auto"/>
            <w:vAlign w:val="center"/>
          </w:tcPr>
          <w:p w14:paraId="6EDD1471" w14:textId="6833805E" w:rsidR="00975179" w:rsidRPr="007114AF" w:rsidRDefault="00975179" w:rsidP="009160D5">
            <w:pPr>
              <w:rPr>
                <w:rFonts w:ascii="Garamond" w:hAnsi="Garamond" w:cs="Calibri"/>
                <w:sz w:val="14"/>
                <w:szCs w:val="14"/>
              </w:rPr>
            </w:pPr>
            <w:r w:rsidRPr="007114AF">
              <w:rPr>
                <w:rFonts w:ascii="Garamond" w:hAnsi="Garamond" w:cs="Calibri"/>
                <w:sz w:val="14"/>
                <w:szCs w:val="14"/>
              </w:rPr>
              <w:t xml:space="preserve">73 </w:t>
            </w:r>
            <w:r w:rsidR="001C47F0" w:rsidRPr="007114AF">
              <w:rPr>
                <w:rFonts w:ascii="Garamond" w:hAnsi="Garamond" w:cs="Calibri"/>
                <w:sz w:val="14"/>
                <w:szCs w:val="14"/>
              </w:rPr>
              <w:t xml:space="preserve">milionë </w:t>
            </w:r>
            <w:r w:rsidRPr="007114AF">
              <w:rPr>
                <w:rFonts w:ascii="Garamond" w:hAnsi="Garamond" w:cs="Calibri"/>
                <w:sz w:val="14"/>
                <w:szCs w:val="14"/>
              </w:rPr>
              <w:t>LEKË</w:t>
            </w:r>
          </w:p>
        </w:tc>
        <w:tc>
          <w:tcPr>
            <w:tcW w:w="5103" w:type="dxa"/>
            <w:shd w:val="clear" w:color="auto" w:fill="auto"/>
            <w:vAlign w:val="center"/>
          </w:tcPr>
          <w:p w14:paraId="6EDD1472" w14:textId="4F024DEB" w:rsidR="00975179" w:rsidRPr="007114AF" w:rsidRDefault="00975179" w:rsidP="009160D5">
            <w:pPr>
              <w:rPr>
                <w:rFonts w:ascii="Garamond" w:hAnsi="Garamond" w:cs="Calibri"/>
                <w:sz w:val="14"/>
                <w:szCs w:val="14"/>
              </w:rPr>
            </w:pPr>
            <w:r w:rsidRPr="007114AF">
              <w:rPr>
                <w:rFonts w:ascii="Garamond" w:hAnsi="Garamond" w:cs="Calibri"/>
                <w:sz w:val="14"/>
                <w:szCs w:val="14"/>
              </w:rPr>
              <w:t xml:space="preserve">-Hendek financimi 12 </w:t>
            </w:r>
            <w:r w:rsidR="001C47F0" w:rsidRPr="007114AF">
              <w:rPr>
                <w:rFonts w:ascii="Garamond" w:hAnsi="Garamond" w:cs="Calibri"/>
                <w:sz w:val="14"/>
                <w:szCs w:val="14"/>
              </w:rPr>
              <w:t xml:space="preserve">milionë </w:t>
            </w:r>
            <w:r w:rsidRPr="007114AF">
              <w:rPr>
                <w:rFonts w:ascii="Garamond" w:hAnsi="Garamond" w:cs="Calibri"/>
                <w:sz w:val="14"/>
                <w:szCs w:val="14"/>
              </w:rPr>
              <w:t>LEKË</w:t>
            </w:r>
          </w:p>
        </w:tc>
        <w:tc>
          <w:tcPr>
            <w:tcW w:w="3402" w:type="dxa"/>
            <w:shd w:val="clear" w:color="auto" w:fill="auto"/>
          </w:tcPr>
          <w:p w14:paraId="6EDD1473" w14:textId="77777777" w:rsidR="00975179" w:rsidRPr="007114AF" w:rsidRDefault="00975179" w:rsidP="009160D5">
            <w:pPr>
              <w:rPr>
                <w:rFonts w:ascii="Garamond" w:hAnsi="Garamond"/>
                <w:sz w:val="14"/>
                <w:szCs w:val="14"/>
              </w:rPr>
            </w:pPr>
            <w:r w:rsidRPr="007114AF">
              <w:rPr>
                <w:rFonts w:ascii="Garamond" w:hAnsi="Garamond"/>
                <w:sz w:val="14"/>
                <w:szCs w:val="14"/>
              </w:rPr>
              <w:t>- pronësia brenda Ministrisë së Shëndetësisë duhet të rinovohet</w:t>
            </w:r>
          </w:p>
        </w:tc>
      </w:tr>
      <w:tr w:rsidR="00975179" w:rsidRPr="007114AF" w14:paraId="6EDD147C" w14:textId="77777777" w:rsidTr="009160D5">
        <w:trPr>
          <w:trHeight w:val="2014"/>
        </w:trPr>
        <w:tc>
          <w:tcPr>
            <w:tcW w:w="3251" w:type="dxa"/>
            <w:shd w:val="clear" w:color="auto" w:fill="auto"/>
          </w:tcPr>
          <w:p w14:paraId="6EDD1475" w14:textId="5DAED7CF" w:rsidR="00975179" w:rsidRPr="007114AF" w:rsidRDefault="008D30FC" w:rsidP="009160D5">
            <w:pPr>
              <w:pStyle w:val="Tabellentext"/>
              <w:pBdr>
                <w:bar w:val="single" w:sz="4" w:color="FF8080"/>
              </w:pBdr>
              <w:jc w:val="both"/>
              <w:rPr>
                <w:rFonts w:ascii="Garamond" w:eastAsia="MS Mincho" w:hAnsi="Garamond" w:cs="Calibri"/>
                <w:bCs w:val="0"/>
                <w:iCs w:val="0"/>
                <w:sz w:val="14"/>
                <w:szCs w:val="14"/>
                <w:lang w:val="sq-AL" w:eastAsia="en-US"/>
              </w:rPr>
            </w:pPr>
            <w:r w:rsidRPr="007114AF">
              <w:rPr>
                <w:rFonts w:ascii="Garamond" w:eastAsia="MS Mincho" w:hAnsi="Garamond" w:cs="Calibri"/>
                <w:bCs w:val="0"/>
                <w:iCs w:val="0"/>
                <w:sz w:val="14"/>
                <w:szCs w:val="14"/>
                <w:lang w:val="sq-AL" w:eastAsia="en-US"/>
              </w:rPr>
              <w:lastRenderedPageBreak/>
              <w:t xml:space="preserve">Nr. </w:t>
            </w:r>
            <w:r w:rsidR="00975179" w:rsidRPr="007114AF">
              <w:rPr>
                <w:rFonts w:ascii="Garamond" w:eastAsia="MS Mincho" w:hAnsi="Garamond" w:cs="Calibri"/>
                <w:bCs w:val="0"/>
                <w:iCs w:val="0"/>
                <w:sz w:val="14"/>
                <w:szCs w:val="14"/>
                <w:lang w:val="sq-AL" w:eastAsia="en-US"/>
              </w:rPr>
              <w:t>11:</w:t>
            </w:r>
            <w:r w:rsidR="000A2A01" w:rsidRPr="007114AF">
              <w:rPr>
                <w:rFonts w:ascii="Garamond" w:eastAsia="MS Mincho" w:hAnsi="Garamond" w:cs="Calibri"/>
                <w:bCs w:val="0"/>
                <w:iCs w:val="0"/>
                <w:sz w:val="14"/>
                <w:szCs w:val="14"/>
                <w:lang w:val="sq-AL" w:eastAsia="en-US"/>
              </w:rPr>
              <w:t xml:space="preserve"> </w:t>
            </w:r>
            <w:r w:rsidR="00975179" w:rsidRPr="007114AF">
              <w:rPr>
                <w:rFonts w:ascii="Garamond" w:eastAsia="MS Mincho" w:hAnsi="Garamond" w:cs="Calibri"/>
                <w:bCs w:val="0"/>
                <w:iCs w:val="0"/>
                <w:sz w:val="14"/>
                <w:szCs w:val="14"/>
                <w:lang w:val="sq-AL" w:eastAsia="en-US"/>
              </w:rPr>
              <w:t xml:space="preserve">Plan i integruar ndërsektorial për Zonën Bregdetare </w:t>
            </w:r>
          </w:p>
          <w:p w14:paraId="6EDD1476" w14:textId="77777777" w:rsidR="00975179" w:rsidRPr="007114AF" w:rsidRDefault="00975179" w:rsidP="009160D5">
            <w:pPr>
              <w:rPr>
                <w:rFonts w:ascii="Garamond" w:hAnsi="Garamond" w:cs="Calibri"/>
                <w:sz w:val="14"/>
                <w:szCs w:val="14"/>
              </w:rPr>
            </w:pPr>
          </w:p>
        </w:tc>
        <w:tc>
          <w:tcPr>
            <w:tcW w:w="1417" w:type="dxa"/>
            <w:shd w:val="clear" w:color="auto" w:fill="auto"/>
            <w:vAlign w:val="center"/>
          </w:tcPr>
          <w:p w14:paraId="6EDD1477" w14:textId="4E50B8ED" w:rsidR="00975179" w:rsidRPr="007114AF" w:rsidRDefault="00975179" w:rsidP="009160D5">
            <w:pPr>
              <w:rPr>
                <w:rFonts w:ascii="Garamond" w:hAnsi="Garamond" w:cs="Calibri"/>
                <w:sz w:val="14"/>
                <w:szCs w:val="14"/>
              </w:rPr>
            </w:pPr>
            <w:r w:rsidRPr="007114AF">
              <w:rPr>
                <w:rFonts w:ascii="Garamond" w:hAnsi="Garamond" w:cs="Calibri"/>
                <w:sz w:val="14"/>
                <w:szCs w:val="14"/>
              </w:rPr>
              <w:t xml:space="preserve">148.5 </w:t>
            </w:r>
            <w:r w:rsidR="001C47F0" w:rsidRPr="007114AF">
              <w:rPr>
                <w:rFonts w:ascii="Garamond" w:hAnsi="Garamond" w:cs="Calibri"/>
                <w:sz w:val="14"/>
                <w:szCs w:val="14"/>
              </w:rPr>
              <w:t xml:space="preserve">milionë </w:t>
            </w:r>
            <w:r w:rsidRPr="007114AF">
              <w:rPr>
                <w:rFonts w:ascii="Garamond" w:hAnsi="Garamond" w:cs="Calibri"/>
                <w:sz w:val="14"/>
                <w:szCs w:val="14"/>
              </w:rPr>
              <w:t>LEKË (për 3 vjet), kostot për vitin e katërt dhe më pas për t</w:t>
            </w:r>
            <w:r w:rsidR="00D10DAB" w:rsidRPr="007114AF">
              <w:rPr>
                <w:rFonts w:ascii="Garamond" w:hAnsi="Garamond" w:cs="Calibri"/>
                <w:sz w:val="14"/>
                <w:szCs w:val="14"/>
              </w:rPr>
              <w:t>’</w:t>
            </w:r>
            <w:r w:rsidRPr="007114AF">
              <w:rPr>
                <w:rFonts w:ascii="Garamond" w:hAnsi="Garamond" w:cs="Calibri"/>
                <w:sz w:val="14"/>
                <w:szCs w:val="14"/>
              </w:rPr>
              <w:t>u vendosur</w:t>
            </w:r>
          </w:p>
        </w:tc>
        <w:tc>
          <w:tcPr>
            <w:tcW w:w="1413" w:type="dxa"/>
            <w:shd w:val="clear" w:color="auto" w:fill="auto"/>
            <w:vAlign w:val="center"/>
          </w:tcPr>
          <w:p w14:paraId="6EDD1478" w14:textId="564487EC" w:rsidR="00975179" w:rsidRPr="007114AF" w:rsidRDefault="00975179" w:rsidP="009160D5">
            <w:pPr>
              <w:rPr>
                <w:rFonts w:ascii="Garamond" w:hAnsi="Garamond" w:cs="Calibri"/>
                <w:sz w:val="14"/>
                <w:szCs w:val="14"/>
              </w:rPr>
            </w:pPr>
            <w:r w:rsidRPr="007114AF">
              <w:rPr>
                <w:rFonts w:ascii="Garamond" w:hAnsi="Garamond" w:cs="Calibri"/>
                <w:sz w:val="14"/>
                <w:szCs w:val="14"/>
              </w:rPr>
              <w:t>për t</w:t>
            </w:r>
            <w:r w:rsidR="00D10DAB" w:rsidRPr="007114AF">
              <w:rPr>
                <w:rFonts w:ascii="Garamond" w:hAnsi="Garamond" w:cs="Calibri"/>
                <w:sz w:val="14"/>
                <w:szCs w:val="14"/>
              </w:rPr>
              <w:t>’</w:t>
            </w:r>
            <w:r w:rsidRPr="007114AF">
              <w:rPr>
                <w:rFonts w:ascii="Garamond" w:hAnsi="Garamond" w:cs="Calibri"/>
                <w:sz w:val="14"/>
                <w:szCs w:val="14"/>
              </w:rPr>
              <w:t>u vendosur</w:t>
            </w:r>
          </w:p>
        </w:tc>
        <w:tc>
          <w:tcPr>
            <w:tcW w:w="5103" w:type="dxa"/>
            <w:shd w:val="clear" w:color="auto" w:fill="auto"/>
          </w:tcPr>
          <w:p w14:paraId="6EDD1479" w14:textId="033705BD" w:rsidR="00975179" w:rsidRPr="007114AF" w:rsidRDefault="00975179" w:rsidP="009160D5">
            <w:pPr>
              <w:rPr>
                <w:rFonts w:ascii="Garamond" w:hAnsi="Garamond" w:cs="Calibri"/>
                <w:sz w:val="14"/>
                <w:szCs w:val="14"/>
              </w:rPr>
            </w:pPr>
            <w:r w:rsidRPr="007114AF">
              <w:rPr>
                <w:rFonts w:ascii="Garamond" w:hAnsi="Garamond" w:cs="Calibri"/>
                <w:sz w:val="14"/>
                <w:szCs w:val="14"/>
              </w:rPr>
              <w:t>- afatshkurtër-afatmesëm: grante nga donatorë dypalësh, të tillë si Suedia, Austria, Japonia, Franca</w:t>
            </w:r>
            <w:r w:rsidR="000A2A01" w:rsidRPr="007114AF">
              <w:rPr>
                <w:rFonts w:ascii="Garamond" w:hAnsi="Garamond" w:cs="Calibri"/>
                <w:sz w:val="14"/>
                <w:szCs w:val="14"/>
              </w:rPr>
              <w:t xml:space="preserve"> </w:t>
            </w:r>
            <w:r w:rsidRPr="007114AF">
              <w:rPr>
                <w:rFonts w:ascii="Garamond" w:hAnsi="Garamond" w:cs="Calibri"/>
                <w:sz w:val="14"/>
                <w:szCs w:val="14"/>
              </w:rPr>
              <w:t xml:space="preserve">ose WBIF </w:t>
            </w:r>
          </w:p>
          <w:p w14:paraId="6EDD147A" w14:textId="77777777" w:rsidR="00975179" w:rsidRPr="007114AF" w:rsidRDefault="00975179" w:rsidP="009160D5">
            <w:pPr>
              <w:rPr>
                <w:rFonts w:ascii="Garamond" w:hAnsi="Garamond" w:cs="Calibri"/>
                <w:sz w:val="14"/>
                <w:szCs w:val="14"/>
              </w:rPr>
            </w:pPr>
          </w:p>
        </w:tc>
        <w:tc>
          <w:tcPr>
            <w:tcW w:w="3402" w:type="dxa"/>
            <w:shd w:val="clear" w:color="auto" w:fill="auto"/>
          </w:tcPr>
          <w:p w14:paraId="6EDD147B" w14:textId="77777777" w:rsidR="00975179" w:rsidRPr="007114AF" w:rsidRDefault="00975179" w:rsidP="009160D5">
            <w:pPr>
              <w:rPr>
                <w:rFonts w:ascii="Garamond" w:hAnsi="Garamond"/>
                <w:sz w:val="14"/>
                <w:szCs w:val="14"/>
              </w:rPr>
            </w:pPr>
            <w:r w:rsidRPr="007114AF">
              <w:rPr>
                <w:rFonts w:ascii="Garamond" w:hAnsi="Garamond"/>
                <w:sz w:val="14"/>
                <w:szCs w:val="14"/>
              </w:rPr>
              <w:t>- Në cilën masë propozimi i PNUD-it FGJK (GCF) mbulon elementë të kësaj PA-je</w:t>
            </w:r>
          </w:p>
        </w:tc>
      </w:tr>
      <w:tr w:rsidR="00975179" w:rsidRPr="007114AF" w14:paraId="6EDD1484" w14:textId="77777777" w:rsidTr="009160D5">
        <w:tc>
          <w:tcPr>
            <w:tcW w:w="3251" w:type="dxa"/>
            <w:shd w:val="clear" w:color="auto" w:fill="auto"/>
          </w:tcPr>
          <w:p w14:paraId="6EDD147D" w14:textId="0CA67A71" w:rsidR="00975179" w:rsidRPr="007114AF" w:rsidRDefault="008D30FC" w:rsidP="009160D5">
            <w:pPr>
              <w:pStyle w:val="Tabellentext"/>
              <w:jc w:val="both"/>
              <w:rPr>
                <w:rFonts w:ascii="Garamond" w:hAnsi="Garamond" w:cs="Calibri"/>
                <w:sz w:val="14"/>
                <w:szCs w:val="14"/>
                <w:lang w:val="sq-AL"/>
              </w:rPr>
            </w:pPr>
            <w:r w:rsidRPr="007114AF">
              <w:rPr>
                <w:rFonts w:ascii="Garamond" w:eastAsia="MS Mincho" w:hAnsi="Garamond" w:cs="Calibri"/>
                <w:bCs w:val="0"/>
                <w:iCs w:val="0"/>
                <w:sz w:val="14"/>
                <w:szCs w:val="14"/>
                <w:lang w:val="sq-AL" w:eastAsia="en-US"/>
              </w:rPr>
              <w:t xml:space="preserve">Nr. </w:t>
            </w:r>
            <w:r w:rsidR="00975179" w:rsidRPr="007114AF">
              <w:rPr>
                <w:rFonts w:ascii="Garamond" w:eastAsia="MS Mincho" w:hAnsi="Garamond" w:cs="Calibri"/>
                <w:bCs w:val="0"/>
                <w:iCs w:val="0"/>
                <w:sz w:val="14"/>
                <w:szCs w:val="14"/>
                <w:lang w:val="sq-AL" w:eastAsia="en-US"/>
              </w:rPr>
              <w:t>12:</w:t>
            </w:r>
            <w:r w:rsidR="000A2A01" w:rsidRPr="007114AF">
              <w:rPr>
                <w:rFonts w:ascii="Garamond" w:eastAsia="MS Mincho" w:hAnsi="Garamond" w:cs="Calibri"/>
                <w:bCs w:val="0"/>
                <w:iCs w:val="0"/>
                <w:sz w:val="14"/>
                <w:szCs w:val="14"/>
                <w:lang w:val="sq-AL" w:eastAsia="en-US"/>
              </w:rPr>
              <w:t xml:space="preserve"> </w:t>
            </w:r>
            <w:r w:rsidR="00975179" w:rsidRPr="007114AF">
              <w:rPr>
                <w:rFonts w:ascii="Garamond" w:eastAsia="MS Mincho" w:hAnsi="Garamond" w:cs="Calibri"/>
                <w:bCs w:val="0"/>
                <w:iCs w:val="0"/>
                <w:sz w:val="14"/>
                <w:szCs w:val="14"/>
                <w:lang w:val="sq-AL" w:eastAsia="en-US"/>
              </w:rPr>
              <w:t>Nisma për krijimin e planeve për përshtatjen ndaj ndryshimeve klimatike në nivel bashkie</w:t>
            </w:r>
          </w:p>
        </w:tc>
        <w:tc>
          <w:tcPr>
            <w:tcW w:w="1417" w:type="dxa"/>
            <w:shd w:val="clear" w:color="auto" w:fill="auto"/>
            <w:vAlign w:val="center"/>
          </w:tcPr>
          <w:p w14:paraId="6EDD147E" w14:textId="05421B74" w:rsidR="00975179" w:rsidRPr="007114AF" w:rsidRDefault="00975179" w:rsidP="009160D5">
            <w:pPr>
              <w:rPr>
                <w:rFonts w:ascii="Garamond" w:hAnsi="Garamond" w:cs="Calibri"/>
                <w:sz w:val="14"/>
                <w:szCs w:val="14"/>
              </w:rPr>
            </w:pPr>
            <w:r w:rsidRPr="007114AF">
              <w:rPr>
                <w:rFonts w:ascii="Garamond" w:hAnsi="Garamond" w:cs="Calibri"/>
                <w:sz w:val="14"/>
                <w:szCs w:val="14"/>
              </w:rPr>
              <w:t xml:space="preserve">202.5 </w:t>
            </w:r>
            <w:r w:rsidR="001C47F0" w:rsidRPr="007114AF">
              <w:rPr>
                <w:rFonts w:ascii="Garamond" w:hAnsi="Garamond" w:cs="Calibri"/>
                <w:sz w:val="14"/>
                <w:szCs w:val="14"/>
              </w:rPr>
              <w:t xml:space="preserve">milionë </w:t>
            </w:r>
            <w:r w:rsidRPr="007114AF">
              <w:rPr>
                <w:rFonts w:ascii="Garamond" w:hAnsi="Garamond" w:cs="Calibri"/>
                <w:sz w:val="14"/>
                <w:szCs w:val="14"/>
              </w:rPr>
              <w:t>LEKË</w:t>
            </w:r>
          </w:p>
        </w:tc>
        <w:tc>
          <w:tcPr>
            <w:tcW w:w="1413" w:type="dxa"/>
            <w:shd w:val="clear" w:color="auto" w:fill="auto"/>
            <w:vAlign w:val="center"/>
          </w:tcPr>
          <w:p w14:paraId="6EDD147F" w14:textId="7DB62DB5" w:rsidR="00975179" w:rsidRPr="007114AF" w:rsidRDefault="00975179" w:rsidP="009160D5">
            <w:pPr>
              <w:rPr>
                <w:rFonts w:ascii="Garamond" w:hAnsi="Garamond" w:cs="Calibri"/>
                <w:sz w:val="14"/>
                <w:szCs w:val="14"/>
              </w:rPr>
            </w:pPr>
            <w:r w:rsidRPr="007114AF">
              <w:rPr>
                <w:rFonts w:ascii="Garamond" w:hAnsi="Garamond" w:cs="Calibri"/>
                <w:sz w:val="14"/>
                <w:szCs w:val="14"/>
              </w:rPr>
              <w:t>Fonde të</w:t>
            </w:r>
            <w:r w:rsidR="000A2A01" w:rsidRPr="007114AF">
              <w:rPr>
                <w:rFonts w:ascii="Garamond" w:hAnsi="Garamond" w:cs="Calibri"/>
                <w:sz w:val="14"/>
                <w:szCs w:val="14"/>
              </w:rPr>
              <w:t xml:space="preserve"> </w:t>
            </w:r>
            <w:r w:rsidRPr="007114AF">
              <w:rPr>
                <w:rFonts w:ascii="Garamond" w:hAnsi="Garamond"/>
                <w:sz w:val="14"/>
                <w:szCs w:val="14"/>
              </w:rPr>
              <w:t>FZHR (RDF)</w:t>
            </w:r>
            <w:r w:rsidR="003F649E" w:rsidRPr="007114AF">
              <w:rPr>
                <w:rFonts w:ascii="Garamond" w:hAnsi="Garamond"/>
                <w:sz w:val="14"/>
                <w:szCs w:val="14"/>
              </w:rPr>
              <w:t>,</w:t>
            </w:r>
            <w:r w:rsidRPr="007114AF">
              <w:rPr>
                <w:rFonts w:ascii="Garamond" w:hAnsi="Garamond" w:cs="Calibri"/>
                <w:sz w:val="14"/>
                <w:szCs w:val="14"/>
              </w:rPr>
              <w:t xml:space="preserve"> 13.5 </w:t>
            </w:r>
            <w:r w:rsidR="001C47F0" w:rsidRPr="007114AF">
              <w:rPr>
                <w:rFonts w:ascii="Garamond" w:hAnsi="Garamond" w:cs="Calibri"/>
                <w:sz w:val="14"/>
                <w:szCs w:val="14"/>
              </w:rPr>
              <w:t xml:space="preserve">milionë </w:t>
            </w:r>
            <w:r w:rsidRPr="007114AF">
              <w:rPr>
                <w:rFonts w:ascii="Garamond" w:hAnsi="Garamond" w:cs="Calibri"/>
                <w:sz w:val="14"/>
                <w:szCs w:val="14"/>
              </w:rPr>
              <w:t>LEKË</w:t>
            </w:r>
          </w:p>
        </w:tc>
        <w:tc>
          <w:tcPr>
            <w:tcW w:w="5103" w:type="dxa"/>
            <w:shd w:val="clear" w:color="auto" w:fill="auto"/>
          </w:tcPr>
          <w:p w14:paraId="6EDD1480" w14:textId="344D98FE" w:rsidR="00975179" w:rsidRPr="007114AF" w:rsidRDefault="00975179" w:rsidP="009160D5">
            <w:pPr>
              <w:rPr>
                <w:rFonts w:ascii="Garamond" w:hAnsi="Garamond" w:cs="Calibri"/>
                <w:sz w:val="14"/>
                <w:szCs w:val="14"/>
              </w:rPr>
            </w:pPr>
            <w:r w:rsidRPr="007114AF">
              <w:rPr>
                <w:rFonts w:ascii="Garamond" w:hAnsi="Garamond" w:cs="Calibri"/>
                <w:sz w:val="14"/>
                <w:szCs w:val="14"/>
              </w:rPr>
              <w:t xml:space="preserve">- afatshkurtër: EU IPA II, aplikimi i dërguar (189 </w:t>
            </w:r>
            <w:r w:rsidR="001C47F0" w:rsidRPr="007114AF">
              <w:rPr>
                <w:rFonts w:ascii="Garamond" w:hAnsi="Garamond" w:cs="Calibri"/>
                <w:sz w:val="14"/>
                <w:szCs w:val="14"/>
              </w:rPr>
              <w:t xml:space="preserve">milionë </w:t>
            </w:r>
            <w:r w:rsidRPr="007114AF">
              <w:rPr>
                <w:rFonts w:ascii="Garamond" w:hAnsi="Garamond" w:cs="Calibri"/>
                <w:sz w:val="14"/>
                <w:szCs w:val="14"/>
              </w:rPr>
              <w:t xml:space="preserve">LEKË) </w:t>
            </w:r>
          </w:p>
          <w:p w14:paraId="6EDD1481" w14:textId="0CF710B9" w:rsidR="00975179" w:rsidRPr="007114AF" w:rsidRDefault="00975179" w:rsidP="009160D5">
            <w:pPr>
              <w:rPr>
                <w:rFonts w:ascii="Garamond" w:hAnsi="Garamond" w:cs="Calibri"/>
                <w:sz w:val="14"/>
                <w:szCs w:val="14"/>
              </w:rPr>
            </w:pPr>
            <w:r w:rsidRPr="007114AF">
              <w:rPr>
                <w:rFonts w:ascii="Garamond" w:hAnsi="Garamond" w:cs="Calibri"/>
                <w:sz w:val="14"/>
                <w:szCs w:val="14"/>
              </w:rPr>
              <w:t>-afatshkurtër- afatmesëm: grante nga donatorë dypalësh të tillë si Suedia, Austria, Franca</w:t>
            </w:r>
            <w:r w:rsidR="000A2A01" w:rsidRPr="007114AF">
              <w:rPr>
                <w:rFonts w:ascii="Garamond" w:hAnsi="Garamond" w:cs="Calibri"/>
                <w:sz w:val="14"/>
                <w:szCs w:val="14"/>
              </w:rPr>
              <w:t xml:space="preserve"> </w:t>
            </w:r>
          </w:p>
        </w:tc>
        <w:tc>
          <w:tcPr>
            <w:tcW w:w="3402" w:type="dxa"/>
            <w:shd w:val="clear" w:color="auto" w:fill="auto"/>
          </w:tcPr>
          <w:p w14:paraId="6EDD1482" w14:textId="7D22BD52" w:rsidR="00975179" w:rsidRPr="007114AF" w:rsidRDefault="00975179" w:rsidP="009160D5">
            <w:pPr>
              <w:rPr>
                <w:rFonts w:ascii="Garamond" w:hAnsi="Garamond"/>
                <w:sz w:val="14"/>
                <w:szCs w:val="14"/>
              </w:rPr>
            </w:pPr>
            <w:r w:rsidRPr="007114AF">
              <w:rPr>
                <w:rFonts w:ascii="Garamond" w:hAnsi="Garamond"/>
                <w:sz w:val="14"/>
                <w:szCs w:val="14"/>
              </w:rPr>
              <w:t>- të mbështeten bashkitë në përgatitjen e komponentit me aftësi rimëkëmbëse ndaj ndryshimeve klimatike, të aplikimeve të</w:t>
            </w:r>
            <w:r w:rsidR="000A2A01" w:rsidRPr="007114AF">
              <w:rPr>
                <w:rFonts w:ascii="Garamond" w:hAnsi="Garamond"/>
                <w:sz w:val="14"/>
                <w:szCs w:val="14"/>
              </w:rPr>
              <w:t xml:space="preserve"> </w:t>
            </w:r>
            <w:r w:rsidRPr="007114AF">
              <w:rPr>
                <w:rFonts w:ascii="Garamond" w:hAnsi="Garamond"/>
                <w:sz w:val="14"/>
                <w:szCs w:val="14"/>
              </w:rPr>
              <w:t>FZHR (RDF)</w:t>
            </w:r>
          </w:p>
          <w:p w14:paraId="6EDD1483" w14:textId="77777777" w:rsidR="00975179" w:rsidRPr="007114AF" w:rsidRDefault="00975179" w:rsidP="009160D5">
            <w:pPr>
              <w:rPr>
                <w:rFonts w:ascii="Garamond" w:hAnsi="Garamond"/>
                <w:sz w:val="14"/>
                <w:szCs w:val="14"/>
              </w:rPr>
            </w:pPr>
            <w:r w:rsidRPr="007114AF">
              <w:rPr>
                <w:rFonts w:ascii="Garamond" w:hAnsi="Garamond"/>
                <w:sz w:val="14"/>
                <w:szCs w:val="14"/>
              </w:rPr>
              <w:t>- Në cilën masë propozimi I PNUD FGJK (GCF) mbulon elementë të kësaj PA-je</w:t>
            </w:r>
          </w:p>
        </w:tc>
      </w:tr>
      <w:tr w:rsidR="00975179" w:rsidRPr="007114AF" w14:paraId="6EDD148D" w14:textId="77777777" w:rsidTr="009160D5">
        <w:trPr>
          <w:trHeight w:val="1807"/>
        </w:trPr>
        <w:tc>
          <w:tcPr>
            <w:tcW w:w="3251" w:type="dxa"/>
            <w:shd w:val="clear" w:color="auto" w:fill="auto"/>
          </w:tcPr>
          <w:p w14:paraId="6EDD1485" w14:textId="37F7EDDF" w:rsidR="00975179" w:rsidRPr="007114AF" w:rsidRDefault="008D30FC" w:rsidP="009160D5">
            <w:pPr>
              <w:pStyle w:val="Tabellentext"/>
              <w:jc w:val="both"/>
              <w:rPr>
                <w:rFonts w:ascii="Garamond" w:hAnsi="Garamond" w:cs="Calibri"/>
                <w:sz w:val="14"/>
                <w:szCs w:val="14"/>
                <w:lang w:val="sq-AL"/>
              </w:rPr>
            </w:pPr>
            <w:r w:rsidRPr="007114AF">
              <w:rPr>
                <w:rFonts w:ascii="Garamond" w:eastAsia="MS Mincho" w:hAnsi="Garamond" w:cs="Calibri"/>
                <w:bCs w:val="0"/>
                <w:iCs w:val="0"/>
                <w:sz w:val="14"/>
                <w:szCs w:val="14"/>
                <w:lang w:val="sq-AL" w:eastAsia="en-US"/>
              </w:rPr>
              <w:t xml:space="preserve">Nr. </w:t>
            </w:r>
            <w:r w:rsidR="00975179" w:rsidRPr="007114AF">
              <w:rPr>
                <w:rFonts w:ascii="Garamond" w:eastAsia="MS Mincho" w:hAnsi="Garamond" w:cs="Calibri"/>
                <w:bCs w:val="0"/>
                <w:iCs w:val="0"/>
                <w:sz w:val="14"/>
                <w:szCs w:val="14"/>
                <w:lang w:val="sq-AL" w:eastAsia="en-US"/>
              </w:rPr>
              <w:t>13</w:t>
            </w:r>
            <w:r w:rsidR="000A2A01" w:rsidRPr="007114AF">
              <w:rPr>
                <w:rFonts w:ascii="Garamond" w:eastAsia="MS Mincho" w:hAnsi="Garamond" w:cs="Calibri"/>
                <w:bCs w:val="0"/>
                <w:iCs w:val="0"/>
                <w:sz w:val="14"/>
                <w:szCs w:val="14"/>
                <w:lang w:val="sq-AL" w:eastAsia="en-US"/>
              </w:rPr>
              <w:t xml:space="preserve"> </w:t>
            </w:r>
            <w:r w:rsidR="00975179" w:rsidRPr="007114AF">
              <w:rPr>
                <w:rFonts w:ascii="Garamond" w:eastAsia="MS Mincho" w:hAnsi="Garamond" w:cs="Calibri"/>
                <w:bCs w:val="0"/>
                <w:iCs w:val="0"/>
                <w:sz w:val="14"/>
                <w:szCs w:val="14"/>
                <w:lang w:val="sq-AL" w:eastAsia="en-US"/>
              </w:rPr>
              <w:t>Përshtatja në turizëm</w:t>
            </w:r>
          </w:p>
        </w:tc>
        <w:tc>
          <w:tcPr>
            <w:tcW w:w="1417" w:type="dxa"/>
            <w:shd w:val="clear" w:color="auto" w:fill="auto"/>
            <w:vAlign w:val="center"/>
          </w:tcPr>
          <w:p w14:paraId="6EDD1486" w14:textId="4BDB3671" w:rsidR="00975179" w:rsidRPr="007114AF" w:rsidRDefault="00975179" w:rsidP="009160D5">
            <w:pPr>
              <w:rPr>
                <w:rFonts w:ascii="Garamond" w:hAnsi="Garamond" w:cs="Calibri"/>
                <w:sz w:val="14"/>
                <w:szCs w:val="14"/>
              </w:rPr>
            </w:pPr>
            <w:r w:rsidRPr="007114AF">
              <w:rPr>
                <w:rFonts w:ascii="Garamond" w:hAnsi="Garamond" w:cs="Calibri"/>
                <w:bCs/>
                <w:iCs/>
                <w:sz w:val="14"/>
                <w:szCs w:val="14"/>
              </w:rPr>
              <w:t xml:space="preserve">81.2 </w:t>
            </w:r>
            <w:r w:rsidR="001C47F0" w:rsidRPr="007114AF">
              <w:rPr>
                <w:rFonts w:ascii="Garamond" w:hAnsi="Garamond" w:cs="Calibri"/>
                <w:bCs/>
                <w:iCs/>
                <w:sz w:val="14"/>
                <w:szCs w:val="14"/>
              </w:rPr>
              <w:t xml:space="preserve">milionë </w:t>
            </w:r>
            <w:r w:rsidRPr="007114AF">
              <w:rPr>
                <w:rFonts w:ascii="Garamond" w:hAnsi="Garamond" w:cs="Calibri"/>
                <w:bCs/>
                <w:iCs/>
                <w:sz w:val="14"/>
                <w:szCs w:val="14"/>
              </w:rPr>
              <w:t>LEKË (për 3 vjet)</w:t>
            </w:r>
          </w:p>
        </w:tc>
        <w:tc>
          <w:tcPr>
            <w:tcW w:w="1413" w:type="dxa"/>
            <w:shd w:val="clear" w:color="auto" w:fill="auto"/>
            <w:vAlign w:val="center"/>
          </w:tcPr>
          <w:p w14:paraId="6EDD1487" w14:textId="319FE3B0" w:rsidR="00975179" w:rsidRPr="007114AF" w:rsidRDefault="00975179" w:rsidP="009160D5">
            <w:pPr>
              <w:rPr>
                <w:rFonts w:ascii="Garamond" w:hAnsi="Garamond" w:cs="Calibri"/>
                <w:sz w:val="14"/>
                <w:szCs w:val="14"/>
              </w:rPr>
            </w:pPr>
            <w:r w:rsidRPr="007114AF">
              <w:rPr>
                <w:rFonts w:ascii="Garamond" w:hAnsi="Garamond" w:cs="Calibri"/>
                <w:sz w:val="14"/>
                <w:szCs w:val="14"/>
              </w:rPr>
              <w:t>për t</w:t>
            </w:r>
            <w:r w:rsidR="00D10DAB" w:rsidRPr="007114AF">
              <w:rPr>
                <w:rFonts w:ascii="Garamond" w:hAnsi="Garamond" w:cs="Calibri"/>
                <w:sz w:val="14"/>
                <w:szCs w:val="14"/>
              </w:rPr>
              <w:t>’</w:t>
            </w:r>
            <w:r w:rsidRPr="007114AF">
              <w:rPr>
                <w:rFonts w:ascii="Garamond" w:hAnsi="Garamond" w:cs="Calibri"/>
                <w:sz w:val="14"/>
                <w:szCs w:val="14"/>
              </w:rPr>
              <w:t>u vendosur</w:t>
            </w:r>
          </w:p>
        </w:tc>
        <w:tc>
          <w:tcPr>
            <w:tcW w:w="5103" w:type="dxa"/>
            <w:shd w:val="clear" w:color="auto" w:fill="auto"/>
          </w:tcPr>
          <w:p w14:paraId="6EDD1488" w14:textId="20556399" w:rsidR="00975179" w:rsidRPr="007114AF" w:rsidRDefault="00975179" w:rsidP="009160D5">
            <w:pPr>
              <w:pStyle w:val="Standardtextbody"/>
              <w:spacing w:after="0" w:line="240" w:lineRule="auto"/>
              <w:jc w:val="both"/>
              <w:rPr>
                <w:rFonts w:ascii="Garamond" w:eastAsia="Calibri" w:hAnsi="Garamond" w:cs="Calibri"/>
                <w:bCs w:val="0"/>
                <w:iCs w:val="0"/>
                <w:sz w:val="14"/>
                <w:szCs w:val="14"/>
                <w:lang w:val="sq-AL"/>
              </w:rPr>
            </w:pPr>
            <w:r w:rsidRPr="007114AF">
              <w:rPr>
                <w:rFonts w:ascii="Garamond" w:eastAsia="Calibri" w:hAnsi="Garamond" w:cs="Calibri"/>
                <w:bCs w:val="0"/>
                <w:iCs w:val="0"/>
                <w:sz w:val="14"/>
                <w:szCs w:val="14"/>
                <w:lang w:val="sq-AL"/>
              </w:rPr>
              <w:t>- afatmesëm:</w:t>
            </w:r>
            <w:r w:rsidR="000A2A01" w:rsidRPr="007114AF">
              <w:rPr>
                <w:rFonts w:ascii="Garamond" w:eastAsia="Calibri" w:hAnsi="Garamond" w:cs="Calibri"/>
                <w:bCs w:val="0"/>
                <w:iCs w:val="0"/>
                <w:sz w:val="14"/>
                <w:szCs w:val="14"/>
                <w:lang w:val="sq-AL"/>
              </w:rPr>
              <w:t xml:space="preserve"> </w:t>
            </w:r>
            <w:r w:rsidRPr="007114AF">
              <w:rPr>
                <w:rFonts w:ascii="Garamond" w:eastAsia="Calibri" w:hAnsi="Garamond" w:cs="Calibri"/>
                <w:bCs w:val="0"/>
                <w:iCs w:val="0"/>
                <w:sz w:val="14"/>
                <w:szCs w:val="14"/>
                <w:lang w:val="sq-AL"/>
              </w:rPr>
              <w:t>instrumente inovative financimi që mbështesin NVM-të në sektorin e turizmit, të cilat janë të gatshme të kontribuojnë për ripërtëritjen e klimës (shihni kapitullin</w:t>
            </w:r>
            <w:r w:rsidR="000A2A01" w:rsidRPr="007114AF">
              <w:rPr>
                <w:rFonts w:ascii="Garamond" w:eastAsia="Calibri" w:hAnsi="Garamond" w:cs="Calibri"/>
                <w:bCs w:val="0"/>
                <w:iCs w:val="0"/>
                <w:sz w:val="14"/>
                <w:szCs w:val="14"/>
                <w:lang w:val="sq-AL"/>
              </w:rPr>
              <w:t xml:space="preserve"> </w:t>
            </w:r>
            <w:r w:rsidRPr="007114AF">
              <w:rPr>
                <w:rFonts w:ascii="Garamond" w:eastAsia="Calibri" w:hAnsi="Garamond" w:cs="Calibri"/>
                <w:bCs w:val="0"/>
                <w:iCs w:val="0"/>
                <w:sz w:val="14"/>
                <w:szCs w:val="14"/>
                <w:lang w:val="sq-AL"/>
              </w:rPr>
              <w:t xml:space="preserve">3.4) </w:t>
            </w:r>
          </w:p>
          <w:p w14:paraId="6EDD1489" w14:textId="77777777" w:rsidR="00975179" w:rsidRPr="007114AF" w:rsidRDefault="00975179" w:rsidP="009160D5">
            <w:pPr>
              <w:pStyle w:val="Standardtextbody"/>
              <w:spacing w:after="0" w:line="240" w:lineRule="auto"/>
              <w:jc w:val="both"/>
              <w:rPr>
                <w:rFonts w:ascii="Garamond" w:eastAsia="Calibri" w:hAnsi="Garamond" w:cs="Calibri"/>
                <w:bCs w:val="0"/>
                <w:iCs w:val="0"/>
                <w:sz w:val="14"/>
                <w:szCs w:val="14"/>
                <w:lang w:val="sq-AL"/>
              </w:rPr>
            </w:pPr>
            <w:r w:rsidRPr="007114AF">
              <w:rPr>
                <w:rFonts w:ascii="Garamond" w:eastAsia="Calibri" w:hAnsi="Garamond" w:cs="Calibri"/>
                <w:bCs w:val="0"/>
                <w:iCs w:val="0"/>
                <w:sz w:val="14"/>
                <w:szCs w:val="14"/>
                <w:lang w:val="sq-AL"/>
              </w:rPr>
              <w:t>- Banka Evropiane e Investimeve BEI (për shembull Garancia e NVM-ve InnovFin, BB EDIF II)</w:t>
            </w:r>
          </w:p>
          <w:p w14:paraId="6EDD148A" w14:textId="77777777" w:rsidR="00975179" w:rsidRPr="007114AF" w:rsidRDefault="00975179" w:rsidP="009160D5">
            <w:pPr>
              <w:pStyle w:val="Standardtextbody"/>
              <w:spacing w:after="0" w:line="240" w:lineRule="auto"/>
              <w:jc w:val="both"/>
              <w:rPr>
                <w:rFonts w:ascii="Garamond" w:eastAsia="Calibri" w:hAnsi="Garamond" w:cs="Calibri"/>
                <w:bCs w:val="0"/>
                <w:iCs w:val="0"/>
                <w:sz w:val="14"/>
                <w:szCs w:val="14"/>
                <w:lang w:val="sq-AL"/>
              </w:rPr>
            </w:pPr>
          </w:p>
        </w:tc>
        <w:tc>
          <w:tcPr>
            <w:tcW w:w="3402" w:type="dxa"/>
            <w:shd w:val="clear" w:color="auto" w:fill="auto"/>
          </w:tcPr>
          <w:p w14:paraId="6EDD148B" w14:textId="77777777" w:rsidR="00975179" w:rsidRPr="007114AF" w:rsidRDefault="00975179" w:rsidP="009160D5">
            <w:pPr>
              <w:pStyle w:val="Standardtextbody"/>
              <w:spacing w:after="0" w:line="240" w:lineRule="auto"/>
              <w:jc w:val="both"/>
              <w:rPr>
                <w:rFonts w:ascii="Garamond" w:hAnsi="Garamond"/>
                <w:color w:val="000000"/>
                <w:sz w:val="14"/>
                <w:szCs w:val="14"/>
                <w:lang w:val="sq-AL"/>
              </w:rPr>
            </w:pPr>
            <w:r w:rsidRPr="007114AF">
              <w:rPr>
                <w:rFonts w:ascii="Garamond" w:hAnsi="Garamond"/>
                <w:sz w:val="14"/>
                <w:szCs w:val="14"/>
                <w:lang w:val="sq-AL"/>
              </w:rPr>
              <w:t xml:space="preserve">- të </w:t>
            </w:r>
            <w:r w:rsidRPr="007114AF">
              <w:rPr>
                <w:rFonts w:ascii="Garamond" w:hAnsi="Garamond"/>
                <w:color w:val="000000"/>
                <w:sz w:val="14"/>
                <w:szCs w:val="14"/>
                <w:lang w:val="sq-AL"/>
              </w:rPr>
              <w:t xml:space="preserve">specifikohen dhe projektohen aktivitete </w:t>
            </w:r>
          </w:p>
          <w:p w14:paraId="6EDD148C" w14:textId="6FA3A4F5" w:rsidR="00975179" w:rsidRPr="007114AF" w:rsidRDefault="00975179" w:rsidP="009160D5">
            <w:pPr>
              <w:pStyle w:val="Standardtextbody"/>
              <w:spacing w:after="0" w:line="240" w:lineRule="auto"/>
              <w:jc w:val="both"/>
              <w:rPr>
                <w:rFonts w:ascii="Garamond" w:eastAsia="Calibri" w:hAnsi="Garamond"/>
                <w:bCs w:val="0"/>
                <w:iCs w:val="0"/>
                <w:sz w:val="14"/>
                <w:szCs w:val="14"/>
                <w:lang w:val="sq-AL"/>
              </w:rPr>
            </w:pPr>
            <w:r w:rsidRPr="007114AF">
              <w:rPr>
                <w:rFonts w:ascii="Garamond" w:hAnsi="Garamond"/>
                <w:color w:val="000000"/>
                <w:sz w:val="14"/>
                <w:szCs w:val="14"/>
                <w:lang w:val="sq-AL"/>
              </w:rPr>
              <w:t>- të kontrollohen fituesit e kontratave të</w:t>
            </w:r>
            <w:r w:rsidR="000A2A01" w:rsidRPr="007114AF">
              <w:rPr>
                <w:rFonts w:ascii="Garamond" w:hAnsi="Garamond"/>
                <w:color w:val="000000"/>
                <w:sz w:val="14"/>
                <w:szCs w:val="14"/>
                <w:lang w:val="sq-AL"/>
              </w:rPr>
              <w:t xml:space="preserve"> </w:t>
            </w:r>
            <w:hyperlink r:id="rId56" w:history="1">
              <w:r w:rsidRPr="007114AF">
                <w:rPr>
                  <w:rStyle w:val="Hyperlink"/>
                  <w:rFonts w:ascii="Garamond" w:hAnsi="Garamond"/>
                  <w:color w:val="000000"/>
                  <w:sz w:val="14"/>
                  <w:szCs w:val="14"/>
                  <w:lang w:val="sq-AL"/>
                </w:rPr>
                <w:t xml:space="preserve">thirrjes së USAID/SIDA për propozimin </w:t>
              </w:r>
              <w:r w:rsidR="00D10DAB" w:rsidRPr="007114AF">
                <w:rPr>
                  <w:rStyle w:val="Hyperlink"/>
                  <w:rFonts w:ascii="Garamond" w:hAnsi="Garamond"/>
                  <w:color w:val="000000"/>
                  <w:sz w:val="14"/>
                  <w:szCs w:val="14"/>
                  <w:lang w:val="sq-AL"/>
                </w:rPr>
                <w:t>‘</w:t>
              </w:r>
              <w:r w:rsidRPr="007114AF">
                <w:rPr>
                  <w:rStyle w:val="Hyperlink"/>
                  <w:rFonts w:ascii="Garamond" w:hAnsi="Garamond"/>
                  <w:color w:val="000000"/>
                  <w:sz w:val="14"/>
                  <w:szCs w:val="14"/>
                  <w:lang w:val="sq-AL"/>
                </w:rPr>
                <w:t>Turizmi si Komponent Pararojë</w:t>
              </w:r>
              <w:r w:rsidR="00D10DAB" w:rsidRPr="007114AF">
                <w:rPr>
                  <w:rStyle w:val="Hyperlink"/>
                  <w:rFonts w:ascii="Garamond" w:hAnsi="Garamond"/>
                  <w:color w:val="000000"/>
                  <w:sz w:val="14"/>
                  <w:szCs w:val="14"/>
                  <w:lang w:val="sq-AL"/>
                </w:rPr>
                <w:t>’</w:t>
              </w:r>
            </w:hyperlink>
            <w:r w:rsidRPr="007114AF">
              <w:rPr>
                <w:rFonts w:ascii="Garamond" w:hAnsi="Garamond"/>
                <w:color w:val="000000"/>
                <w:sz w:val="14"/>
                <w:szCs w:val="14"/>
                <w:lang w:val="sq-AL"/>
              </w:rPr>
              <w:t>për integrimin</w:t>
            </w:r>
            <w:r w:rsidRPr="007114AF">
              <w:rPr>
                <w:rFonts w:ascii="Garamond" w:hAnsi="Garamond"/>
                <w:sz w:val="14"/>
                <w:szCs w:val="14"/>
                <w:lang w:val="sq-AL"/>
              </w:rPr>
              <w:t xml:space="preserve"> e aspekteve të NDRYSHIMEVE KLIMATIKE</w:t>
            </w:r>
          </w:p>
        </w:tc>
      </w:tr>
      <w:tr w:rsidR="00975179" w:rsidRPr="007114AF" w14:paraId="6EDD1494" w14:textId="77777777" w:rsidTr="009160D5">
        <w:trPr>
          <w:trHeight w:val="1168"/>
        </w:trPr>
        <w:tc>
          <w:tcPr>
            <w:tcW w:w="3251" w:type="dxa"/>
            <w:shd w:val="clear" w:color="auto" w:fill="auto"/>
          </w:tcPr>
          <w:p w14:paraId="6EDD148E" w14:textId="258E5EB3" w:rsidR="00975179" w:rsidRPr="007114AF" w:rsidRDefault="008D30FC" w:rsidP="009160D5">
            <w:pPr>
              <w:rPr>
                <w:rFonts w:ascii="Garamond" w:hAnsi="Garamond" w:cs="Calibri"/>
                <w:sz w:val="14"/>
                <w:szCs w:val="14"/>
              </w:rPr>
            </w:pPr>
            <w:r w:rsidRPr="007114AF">
              <w:rPr>
                <w:rFonts w:ascii="Garamond" w:hAnsi="Garamond" w:cs="Calibri"/>
                <w:sz w:val="14"/>
                <w:szCs w:val="14"/>
              </w:rPr>
              <w:t xml:space="preserve">Nr. </w:t>
            </w:r>
            <w:r w:rsidR="00975179" w:rsidRPr="007114AF">
              <w:rPr>
                <w:rFonts w:ascii="Garamond" w:hAnsi="Garamond" w:cs="Calibri"/>
                <w:sz w:val="14"/>
                <w:szCs w:val="14"/>
              </w:rPr>
              <w:t>14:</w:t>
            </w:r>
            <w:r w:rsidR="000A2A01" w:rsidRPr="007114AF">
              <w:rPr>
                <w:rFonts w:ascii="Garamond" w:hAnsi="Garamond" w:cs="Calibri"/>
                <w:sz w:val="14"/>
                <w:szCs w:val="14"/>
              </w:rPr>
              <w:t xml:space="preserve"> </w:t>
            </w:r>
            <w:r w:rsidR="00975179" w:rsidRPr="007114AF">
              <w:rPr>
                <w:rFonts w:ascii="Garamond" w:hAnsi="Garamond" w:cs="Calibri"/>
                <w:sz w:val="14"/>
                <w:szCs w:val="14"/>
              </w:rPr>
              <w:t>Rritja e nivelit të gatishmërisë së mbrojtjes civile dhe të zvogëlimit të rrezikut të fatkeqësive natyrore</w:t>
            </w:r>
          </w:p>
        </w:tc>
        <w:tc>
          <w:tcPr>
            <w:tcW w:w="1417" w:type="dxa"/>
            <w:shd w:val="clear" w:color="auto" w:fill="auto"/>
            <w:vAlign w:val="center"/>
          </w:tcPr>
          <w:p w14:paraId="6EDD148F" w14:textId="68382C03" w:rsidR="00975179" w:rsidRPr="007114AF" w:rsidRDefault="00975179" w:rsidP="009160D5">
            <w:pPr>
              <w:rPr>
                <w:rFonts w:ascii="Garamond" w:hAnsi="Garamond" w:cs="Calibri"/>
                <w:sz w:val="14"/>
                <w:szCs w:val="14"/>
              </w:rPr>
            </w:pPr>
            <w:r w:rsidRPr="007114AF">
              <w:rPr>
                <w:rFonts w:ascii="Garamond" w:hAnsi="Garamond" w:cs="Calibri"/>
                <w:bCs/>
                <w:iCs/>
                <w:sz w:val="14"/>
                <w:szCs w:val="14"/>
              </w:rPr>
              <w:t>1201.5 miliard</w:t>
            </w:r>
            <w:r w:rsidR="00242009" w:rsidRPr="007114AF">
              <w:rPr>
                <w:rFonts w:ascii="Garamond" w:hAnsi="Garamond" w:cs="Calibri"/>
                <w:bCs/>
                <w:iCs/>
                <w:sz w:val="14"/>
                <w:szCs w:val="14"/>
              </w:rPr>
              <w:t>ë</w:t>
            </w:r>
            <w:r w:rsidRPr="007114AF">
              <w:rPr>
                <w:rFonts w:ascii="Garamond" w:hAnsi="Garamond" w:cs="Calibri"/>
                <w:bCs/>
                <w:iCs/>
                <w:sz w:val="14"/>
                <w:szCs w:val="14"/>
              </w:rPr>
              <w:t xml:space="preserve"> LEKË</w:t>
            </w:r>
          </w:p>
        </w:tc>
        <w:tc>
          <w:tcPr>
            <w:tcW w:w="1413" w:type="dxa"/>
            <w:shd w:val="clear" w:color="auto" w:fill="auto"/>
            <w:vAlign w:val="center"/>
          </w:tcPr>
          <w:p w14:paraId="6EDD1490" w14:textId="30D56251" w:rsidR="00975179" w:rsidRPr="007114AF" w:rsidRDefault="00975179" w:rsidP="009160D5">
            <w:pPr>
              <w:rPr>
                <w:rFonts w:ascii="Garamond" w:hAnsi="Garamond" w:cs="Calibri"/>
                <w:sz w:val="14"/>
                <w:szCs w:val="14"/>
              </w:rPr>
            </w:pPr>
            <w:r w:rsidRPr="007114AF">
              <w:rPr>
                <w:rFonts w:ascii="Garamond" w:hAnsi="Garamond" w:cs="Calibri"/>
                <w:sz w:val="14"/>
                <w:szCs w:val="14"/>
              </w:rPr>
              <w:t>për t</w:t>
            </w:r>
            <w:r w:rsidR="00D10DAB" w:rsidRPr="007114AF">
              <w:rPr>
                <w:rFonts w:ascii="Garamond" w:hAnsi="Garamond" w:cs="Calibri"/>
                <w:sz w:val="14"/>
                <w:szCs w:val="14"/>
              </w:rPr>
              <w:t>’</w:t>
            </w:r>
            <w:r w:rsidRPr="007114AF">
              <w:rPr>
                <w:rFonts w:ascii="Garamond" w:hAnsi="Garamond" w:cs="Calibri"/>
                <w:sz w:val="14"/>
                <w:szCs w:val="14"/>
              </w:rPr>
              <w:t>u vendosur</w:t>
            </w:r>
          </w:p>
        </w:tc>
        <w:tc>
          <w:tcPr>
            <w:tcW w:w="5103" w:type="dxa"/>
            <w:shd w:val="clear" w:color="auto" w:fill="auto"/>
          </w:tcPr>
          <w:p w14:paraId="6EDD1491" w14:textId="5D330C7D" w:rsidR="00975179" w:rsidRPr="007114AF" w:rsidRDefault="00975179" w:rsidP="009160D5">
            <w:pPr>
              <w:pStyle w:val="Standardtextbody"/>
              <w:spacing w:after="0" w:line="240" w:lineRule="auto"/>
              <w:jc w:val="both"/>
              <w:rPr>
                <w:rFonts w:ascii="Garamond" w:eastAsia="Calibri" w:hAnsi="Garamond" w:cs="Calibri"/>
                <w:bCs w:val="0"/>
                <w:iCs w:val="0"/>
                <w:sz w:val="14"/>
                <w:szCs w:val="14"/>
                <w:lang w:val="sq-AL"/>
              </w:rPr>
            </w:pPr>
            <w:r w:rsidRPr="007114AF">
              <w:rPr>
                <w:rFonts w:ascii="Garamond" w:eastAsia="Calibri" w:hAnsi="Garamond" w:cs="Calibri"/>
                <w:bCs w:val="0"/>
                <w:iCs w:val="0"/>
                <w:sz w:val="14"/>
                <w:szCs w:val="14"/>
                <w:lang w:val="sq-AL"/>
              </w:rPr>
              <w:t>- pjesërisht të mbuluara nga fonde të vazhdueshme të BE</w:t>
            </w:r>
            <w:r w:rsidR="000A2A01" w:rsidRPr="007114AF">
              <w:rPr>
                <w:rFonts w:ascii="Garamond" w:eastAsia="Calibri" w:hAnsi="Garamond" w:cs="Calibri"/>
                <w:bCs w:val="0"/>
                <w:iCs w:val="0"/>
                <w:sz w:val="14"/>
                <w:szCs w:val="14"/>
                <w:lang w:val="sq-AL"/>
              </w:rPr>
              <w:t xml:space="preserve"> </w:t>
            </w:r>
            <w:r w:rsidRPr="007114AF">
              <w:rPr>
                <w:rFonts w:ascii="Garamond" w:eastAsia="Calibri" w:hAnsi="Garamond" w:cs="Calibri"/>
                <w:bCs w:val="0"/>
                <w:iCs w:val="0"/>
                <w:sz w:val="14"/>
                <w:szCs w:val="14"/>
                <w:lang w:val="sq-AL"/>
              </w:rPr>
              <w:t xml:space="preserve">IPA II </w:t>
            </w:r>
          </w:p>
          <w:p w14:paraId="6EDD1492" w14:textId="77777777" w:rsidR="00975179" w:rsidRPr="007114AF" w:rsidRDefault="00975179" w:rsidP="009160D5">
            <w:pPr>
              <w:pStyle w:val="Standardtextbody"/>
              <w:spacing w:after="0" w:line="240" w:lineRule="auto"/>
              <w:jc w:val="both"/>
              <w:rPr>
                <w:rFonts w:ascii="Garamond" w:eastAsia="Calibri" w:hAnsi="Garamond" w:cs="Calibri"/>
                <w:bCs w:val="0"/>
                <w:iCs w:val="0"/>
                <w:sz w:val="14"/>
                <w:szCs w:val="14"/>
                <w:lang w:val="sq-AL"/>
              </w:rPr>
            </w:pPr>
            <w:r w:rsidRPr="007114AF">
              <w:rPr>
                <w:rFonts w:ascii="Garamond" w:eastAsia="Calibri" w:hAnsi="Garamond" w:cs="Calibri"/>
                <w:bCs w:val="0"/>
                <w:iCs w:val="0"/>
                <w:sz w:val="14"/>
                <w:szCs w:val="14"/>
                <w:lang w:val="sq-AL"/>
              </w:rPr>
              <w:t xml:space="preserve">- afatshkurtër dhe afatmesëm: WBIF </w:t>
            </w:r>
          </w:p>
        </w:tc>
        <w:tc>
          <w:tcPr>
            <w:tcW w:w="3402" w:type="dxa"/>
            <w:shd w:val="clear" w:color="auto" w:fill="auto"/>
          </w:tcPr>
          <w:p w14:paraId="6EDD1493" w14:textId="77777777" w:rsidR="00975179" w:rsidRPr="007114AF" w:rsidRDefault="00975179" w:rsidP="009160D5">
            <w:pPr>
              <w:pStyle w:val="Standardtextbody"/>
              <w:jc w:val="both"/>
              <w:rPr>
                <w:rFonts w:ascii="Garamond" w:eastAsia="Calibri" w:hAnsi="Garamond" w:cs="Calibri"/>
                <w:bCs w:val="0"/>
                <w:iCs w:val="0"/>
                <w:sz w:val="14"/>
                <w:szCs w:val="14"/>
                <w:lang w:val="sq-AL"/>
              </w:rPr>
            </w:pPr>
            <w:r w:rsidRPr="007114AF">
              <w:rPr>
                <w:rFonts w:ascii="Garamond" w:eastAsia="Calibri" w:hAnsi="Garamond" w:cs="Calibri"/>
                <w:bCs w:val="0"/>
                <w:iCs w:val="0"/>
                <w:sz w:val="14"/>
                <w:szCs w:val="14"/>
                <w:lang w:val="sq-AL"/>
              </w:rPr>
              <w:t>- të rishikohen preventivët</w:t>
            </w:r>
          </w:p>
        </w:tc>
      </w:tr>
      <w:tr w:rsidR="00975179" w:rsidRPr="007114AF" w14:paraId="6EDD149A" w14:textId="77777777" w:rsidTr="009160D5">
        <w:tc>
          <w:tcPr>
            <w:tcW w:w="3251" w:type="dxa"/>
            <w:shd w:val="clear" w:color="auto" w:fill="auto"/>
          </w:tcPr>
          <w:p w14:paraId="6EDD1495" w14:textId="1CC3A69A" w:rsidR="00975179" w:rsidRPr="007114AF" w:rsidRDefault="008D30FC" w:rsidP="009160D5">
            <w:pPr>
              <w:rPr>
                <w:rFonts w:ascii="Garamond" w:hAnsi="Garamond" w:cs="Calibri"/>
                <w:sz w:val="14"/>
                <w:szCs w:val="14"/>
              </w:rPr>
            </w:pPr>
            <w:r w:rsidRPr="007114AF">
              <w:rPr>
                <w:rFonts w:ascii="Garamond" w:hAnsi="Garamond" w:cs="Calibri"/>
                <w:sz w:val="14"/>
                <w:szCs w:val="14"/>
              </w:rPr>
              <w:t xml:space="preserve">Nr. </w:t>
            </w:r>
            <w:r w:rsidR="00975179" w:rsidRPr="007114AF">
              <w:rPr>
                <w:rFonts w:ascii="Garamond" w:hAnsi="Garamond" w:cs="Calibri"/>
                <w:sz w:val="14"/>
                <w:szCs w:val="14"/>
              </w:rPr>
              <w:t>15</w:t>
            </w:r>
            <w:r w:rsidR="000A2A01" w:rsidRPr="007114AF">
              <w:rPr>
                <w:rFonts w:ascii="Garamond" w:hAnsi="Garamond" w:cs="Calibri"/>
                <w:sz w:val="14"/>
                <w:szCs w:val="14"/>
              </w:rPr>
              <w:t xml:space="preserve"> </w:t>
            </w:r>
            <w:r w:rsidR="00975179" w:rsidRPr="007114AF">
              <w:rPr>
                <w:rFonts w:ascii="Garamond" w:hAnsi="Garamond" w:cs="Calibri"/>
                <w:sz w:val="14"/>
                <w:szCs w:val="14"/>
              </w:rPr>
              <w:t xml:space="preserve">Ndërtimi për Rikuperimin e Lagunës </w:t>
            </w:r>
            <w:r w:rsidR="00FE05E1">
              <w:rPr>
                <w:rFonts w:ascii="Garamond" w:hAnsi="Garamond" w:cs="Calibri"/>
                <w:sz w:val="14"/>
                <w:szCs w:val="14"/>
              </w:rPr>
              <w:t>Kune–Vain</w:t>
            </w:r>
            <w:r w:rsidR="00975179" w:rsidRPr="007114AF">
              <w:rPr>
                <w:rFonts w:ascii="Garamond" w:hAnsi="Garamond" w:cs="Calibri"/>
                <w:sz w:val="14"/>
                <w:szCs w:val="14"/>
              </w:rPr>
              <w:t>i nëpërmjet Adaptimit me bazë Ekosistemin (EbA)</w:t>
            </w:r>
            <w:r w:rsidR="000A2A01" w:rsidRPr="007114AF">
              <w:rPr>
                <w:rFonts w:ascii="Garamond" w:hAnsi="Garamond" w:cs="Calibri"/>
                <w:sz w:val="14"/>
                <w:szCs w:val="14"/>
              </w:rPr>
              <w:t>”</w:t>
            </w:r>
          </w:p>
        </w:tc>
        <w:tc>
          <w:tcPr>
            <w:tcW w:w="1417" w:type="dxa"/>
            <w:shd w:val="clear" w:color="auto" w:fill="auto"/>
            <w:vAlign w:val="center"/>
          </w:tcPr>
          <w:p w14:paraId="6EDD1496" w14:textId="77777777" w:rsidR="00975179" w:rsidRPr="007114AF" w:rsidRDefault="00975179" w:rsidP="009160D5">
            <w:pPr>
              <w:rPr>
                <w:rFonts w:ascii="Garamond" w:hAnsi="Garamond" w:cs="Calibri"/>
                <w:bCs/>
                <w:iCs/>
                <w:sz w:val="14"/>
                <w:szCs w:val="14"/>
              </w:rPr>
            </w:pPr>
            <w:r w:rsidRPr="007114AF">
              <w:rPr>
                <w:rFonts w:ascii="Garamond" w:hAnsi="Garamond" w:cs="Calibri"/>
                <w:bCs/>
                <w:iCs/>
                <w:sz w:val="14"/>
                <w:szCs w:val="14"/>
              </w:rPr>
              <w:t>242 million LEKË</w:t>
            </w:r>
          </w:p>
        </w:tc>
        <w:tc>
          <w:tcPr>
            <w:tcW w:w="1413" w:type="dxa"/>
            <w:shd w:val="clear" w:color="auto" w:fill="auto"/>
            <w:vAlign w:val="center"/>
          </w:tcPr>
          <w:p w14:paraId="6EDD1497" w14:textId="77777777" w:rsidR="00975179" w:rsidRPr="007114AF" w:rsidRDefault="00975179" w:rsidP="009160D5">
            <w:pPr>
              <w:rPr>
                <w:rFonts w:ascii="Garamond" w:hAnsi="Garamond" w:cs="Calibri"/>
                <w:sz w:val="14"/>
                <w:szCs w:val="14"/>
              </w:rPr>
            </w:pPr>
          </w:p>
        </w:tc>
        <w:tc>
          <w:tcPr>
            <w:tcW w:w="5103" w:type="dxa"/>
            <w:shd w:val="clear" w:color="auto" w:fill="auto"/>
          </w:tcPr>
          <w:p w14:paraId="6EDD1498" w14:textId="4244A0C9" w:rsidR="00975179" w:rsidRPr="007114AF" w:rsidRDefault="00975179" w:rsidP="009160D5">
            <w:pPr>
              <w:pStyle w:val="Standardtextbody"/>
              <w:spacing w:after="0" w:line="240" w:lineRule="auto"/>
              <w:jc w:val="both"/>
              <w:rPr>
                <w:rFonts w:ascii="Garamond" w:eastAsia="Calibri" w:hAnsi="Garamond" w:cs="Calibri"/>
                <w:bCs w:val="0"/>
                <w:iCs w:val="0"/>
                <w:sz w:val="14"/>
                <w:szCs w:val="14"/>
                <w:lang w:val="sq-AL"/>
              </w:rPr>
            </w:pPr>
            <w:r w:rsidRPr="007114AF">
              <w:rPr>
                <w:rFonts w:ascii="Garamond" w:eastAsia="Calibri" w:hAnsi="Garamond" w:cs="Calibri"/>
                <w:bCs w:val="0"/>
                <w:iCs w:val="0"/>
                <w:sz w:val="14"/>
                <w:szCs w:val="14"/>
                <w:lang w:val="sq-AL"/>
              </w:rPr>
              <w:t>Afatshkurter- financuar nga</w:t>
            </w:r>
            <w:r w:rsidR="000A2A01" w:rsidRPr="007114AF">
              <w:rPr>
                <w:rFonts w:ascii="Garamond" w:eastAsia="Calibri" w:hAnsi="Garamond" w:cs="Calibri"/>
                <w:bCs w:val="0"/>
                <w:iCs w:val="0"/>
                <w:sz w:val="14"/>
                <w:szCs w:val="14"/>
                <w:lang w:val="sq-AL"/>
              </w:rPr>
              <w:t xml:space="preserve"> </w:t>
            </w:r>
            <w:r w:rsidRPr="007114AF">
              <w:rPr>
                <w:rFonts w:ascii="Garamond" w:hAnsi="Garamond"/>
                <w:sz w:val="14"/>
                <w:szCs w:val="14"/>
                <w:lang w:val="sq-AL"/>
              </w:rPr>
              <w:t>GEF/UNEP</w:t>
            </w:r>
            <w:r w:rsidR="000A2A01" w:rsidRPr="007114AF">
              <w:rPr>
                <w:rFonts w:ascii="Garamond" w:hAnsi="Garamond"/>
                <w:sz w:val="14"/>
                <w:szCs w:val="14"/>
                <w:lang w:val="sq-AL"/>
              </w:rPr>
              <w:t xml:space="preserve"> </w:t>
            </w:r>
          </w:p>
        </w:tc>
        <w:tc>
          <w:tcPr>
            <w:tcW w:w="3402" w:type="dxa"/>
            <w:shd w:val="clear" w:color="auto" w:fill="auto"/>
          </w:tcPr>
          <w:p w14:paraId="6EDD1499" w14:textId="77777777" w:rsidR="00975179" w:rsidRPr="007114AF" w:rsidRDefault="00975179" w:rsidP="009160D5">
            <w:pPr>
              <w:pStyle w:val="Standardtextbody"/>
              <w:jc w:val="both"/>
              <w:rPr>
                <w:rFonts w:ascii="Garamond" w:eastAsia="Calibri" w:hAnsi="Garamond" w:cs="Calibri"/>
                <w:bCs w:val="0"/>
                <w:iCs w:val="0"/>
                <w:sz w:val="14"/>
                <w:szCs w:val="14"/>
                <w:lang w:val="sq-AL"/>
              </w:rPr>
            </w:pPr>
          </w:p>
        </w:tc>
      </w:tr>
    </w:tbl>
    <w:p w14:paraId="6EDD149B" w14:textId="77777777" w:rsidR="00D82F76" w:rsidRPr="007114AF" w:rsidRDefault="00975179" w:rsidP="00E45764">
      <w:pPr>
        <w:rPr>
          <w:rFonts w:ascii="Garamond" w:hAnsi="Garamond" w:cstheme="majorBidi"/>
          <w:b/>
          <w:bCs/>
          <w:iCs/>
          <w:u w:val="single"/>
          <w:lang w:eastAsia="en-US"/>
        </w:rPr>
      </w:pPr>
      <w:r w:rsidRPr="007114AF">
        <w:rPr>
          <w:rFonts w:ascii="Garamond" w:hAnsi="Garamond" w:cstheme="majorBidi"/>
          <w:b/>
          <w:bCs/>
          <w:iCs/>
          <w:u w:val="single"/>
          <w:lang w:eastAsia="en-US"/>
        </w:rPr>
        <w:t>\</w:t>
      </w:r>
    </w:p>
    <w:tbl>
      <w:tblPr>
        <w:tblpPr w:leftFromText="180" w:rightFromText="180" w:vertAnchor="page" w:horzAnchor="margin" w:tblpX="-75" w:tblpY="1955"/>
        <w:tblW w:w="145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1"/>
        <w:gridCol w:w="1417"/>
        <w:gridCol w:w="1413"/>
        <w:gridCol w:w="5103"/>
        <w:gridCol w:w="3402"/>
      </w:tblGrid>
      <w:tr w:rsidR="00E45764" w:rsidRPr="007114AF" w14:paraId="6EDD14A1" w14:textId="77777777" w:rsidTr="00BA14F8">
        <w:trPr>
          <w:trHeight w:val="353"/>
        </w:trPr>
        <w:tc>
          <w:tcPr>
            <w:tcW w:w="3251" w:type="dxa"/>
            <w:shd w:val="clear" w:color="auto" w:fill="B6DDE8" w:themeFill="accent5" w:themeFillTint="66"/>
            <w:vAlign w:val="center"/>
          </w:tcPr>
          <w:p w14:paraId="6EDD149C" w14:textId="77777777" w:rsidR="00E45764" w:rsidRPr="007114AF" w:rsidRDefault="00E45764" w:rsidP="00D82F76">
            <w:pPr>
              <w:spacing w:after="0" w:line="240" w:lineRule="auto"/>
              <w:rPr>
                <w:rFonts w:ascii="Garamond" w:hAnsi="Garamond" w:cs="Calibri"/>
                <w:b/>
                <w:sz w:val="18"/>
                <w:szCs w:val="18"/>
              </w:rPr>
            </w:pPr>
            <w:r w:rsidRPr="007114AF">
              <w:rPr>
                <w:rFonts w:ascii="Garamond" w:hAnsi="Garamond" w:cs="Calibri"/>
                <w:b/>
                <w:sz w:val="18"/>
                <w:szCs w:val="18"/>
              </w:rPr>
              <w:t>Masat gjithëpërfshirëse / kuadri i zbatimit</w:t>
            </w:r>
          </w:p>
        </w:tc>
        <w:tc>
          <w:tcPr>
            <w:tcW w:w="1417" w:type="dxa"/>
            <w:shd w:val="clear" w:color="auto" w:fill="B6DDE8" w:themeFill="accent5" w:themeFillTint="66"/>
            <w:vAlign w:val="center"/>
          </w:tcPr>
          <w:p w14:paraId="6EDD149D" w14:textId="77777777" w:rsidR="00E45764" w:rsidRPr="007114AF" w:rsidRDefault="00E45764" w:rsidP="00D82F76">
            <w:pPr>
              <w:spacing w:after="0" w:line="240" w:lineRule="auto"/>
              <w:rPr>
                <w:rFonts w:ascii="Garamond" w:hAnsi="Garamond" w:cs="Calibri"/>
                <w:b/>
                <w:sz w:val="18"/>
                <w:szCs w:val="18"/>
              </w:rPr>
            </w:pPr>
            <w:r w:rsidRPr="007114AF">
              <w:rPr>
                <w:rFonts w:ascii="Garamond" w:hAnsi="Garamond" w:cs="Calibri"/>
                <w:b/>
                <w:sz w:val="18"/>
                <w:szCs w:val="18"/>
              </w:rPr>
              <w:t>Kostoja totale</w:t>
            </w:r>
          </w:p>
        </w:tc>
        <w:tc>
          <w:tcPr>
            <w:tcW w:w="1413" w:type="dxa"/>
            <w:shd w:val="clear" w:color="auto" w:fill="B6DDE8" w:themeFill="accent5" w:themeFillTint="66"/>
            <w:vAlign w:val="center"/>
          </w:tcPr>
          <w:p w14:paraId="6EDD149E" w14:textId="77777777" w:rsidR="00E45764" w:rsidRPr="007114AF" w:rsidRDefault="00E45764" w:rsidP="00D82F76">
            <w:pPr>
              <w:spacing w:after="0" w:line="240" w:lineRule="auto"/>
              <w:rPr>
                <w:rFonts w:ascii="Garamond" w:hAnsi="Garamond" w:cs="Calibri"/>
                <w:b/>
                <w:sz w:val="18"/>
                <w:szCs w:val="18"/>
              </w:rPr>
            </w:pPr>
            <w:r w:rsidRPr="007114AF">
              <w:rPr>
                <w:rFonts w:ascii="Garamond" w:hAnsi="Garamond" w:cs="Calibri"/>
                <w:b/>
                <w:sz w:val="18"/>
                <w:szCs w:val="18"/>
              </w:rPr>
              <w:t>Buxheti kombëtar</w:t>
            </w:r>
          </w:p>
        </w:tc>
        <w:tc>
          <w:tcPr>
            <w:tcW w:w="5103" w:type="dxa"/>
            <w:shd w:val="clear" w:color="auto" w:fill="B6DDE8" w:themeFill="accent5" w:themeFillTint="66"/>
            <w:vAlign w:val="center"/>
          </w:tcPr>
          <w:p w14:paraId="6EDD149F" w14:textId="77777777" w:rsidR="00E45764" w:rsidRPr="007114AF" w:rsidRDefault="00E45764" w:rsidP="00D82F76">
            <w:pPr>
              <w:spacing w:after="0" w:line="240" w:lineRule="auto"/>
              <w:rPr>
                <w:rFonts w:ascii="Garamond" w:hAnsi="Garamond" w:cs="Calibri"/>
                <w:b/>
                <w:sz w:val="18"/>
                <w:szCs w:val="18"/>
              </w:rPr>
            </w:pPr>
            <w:r w:rsidRPr="007114AF">
              <w:rPr>
                <w:rFonts w:ascii="Garamond" w:hAnsi="Garamond" w:cs="Calibri"/>
                <w:b/>
                <w:sz w:val="18"/>
                <w:szCs w:val="18"/>
              </w:rPr>
              <w:t xml:space="preserve">Financuesit/investuesit e mundshëm të jashtëm </w:t>
            </w:r>
          </w:p>
        </w:tc>
        <w:tc>
          <w:tcPr>
            <w:tcW w:w="3402" w:type="dxa"/>
            <w:shd w:val="clear" w:color="auto" w:fill="B6DDE8" w:themeFill="accent5" w:themeFillTint="66"/>
            <w:vAlign w:val="center"/>
          </w:tcPr>
          <w:p w14:paraId="6EDD14A0" w14:textId="77777777" w:rsidR="00E45764" w:rsidRPr="007114AF" w:rsidRDefault="00E45764" w:rsidP="00D82F76">
            <w:pPr>
              <w:spacing w:after="0" w:line="240" w:lineRule="auto"/>
              <w:rPr>
                <w:rFonts w:ascii="Garamond" w:hAnsi="Garamond" w:cs="Calibri"/>
                <w:b/>
                <w:sz w:val="18"/>
                <w:szCs w:val="18"/>
              </w:rPr>
            </w:pPr>
            <w:r w:rsidRPr="007114AF">
              <w:rPr>
                <w:rFonts w:ascii="Garamond" w:hAnsi="Garamond" w:cs="Calibri"/>
                <w:b/>
                <w:sz w:val="18"/>
                <w:szCs w:val="18"/>
              </w:rPr>
              <w:t>Hapi i ardhshëm</w:t>
            </w:r>
          </w:p>
        </w:tc>
      </w:tr>
      <w:tr w:rsidR="00E45764" w:rsidRPr="007114AF" w14:paraId="6EDD14A8" w14:textId="77777777" w:rsidTr="00BA14F8">
        <w:trPr>
          <w:trHeight w:val="713"/>
        </w:trPr>
        <w:tc>
          <w:tcPr>
            <w:tcW w:w="3251" w:type="dxa"/>
            <w:shd w:val="clear" w:color="auto" w:fill="auto"/>
          </w:tcPr>
          <w:p w14:paraId="6EDD14A2" w14:textId="141439EE" w:rsidR="00E45764" w:rsidRPr="007114AF" w:rsidRDefault="008D30FC" w:rsidP="00D82F76">
            <w:pPr>
              <w:spacing w:after="0" w:line="240" w:lineRule="auto"/>
              <w:rPr>
                <w:rFonts w:ascii="Garamond" w:hAnsi="Garamond" w:cs="Calibri"/>
                <w:sz w:val="18"/>
                <w:szCs w:val="18"/>
              </w:rPr>
            </w:pPr>
            <w:r w:rsidRPr="007114AF">
              <w:rPr>
                <w:rFonts w:ascii="Garamond" w:hAnsi="Garamond" w:cs="Calibri"/>
                <w:sz w:val="18"/>
                <w:szCs w:val="18"/>
              </w:rPr>
              <w:t xml:space="preserve">Nr. </w:t>
            </w:r>
            <w:r w:rsidR="00E45764" w:rsidRPr="007114AF">
              <w:rPr>
                <w:rFonts w:ascii="Garamond" w:hAnsi="Garamond" w:cs="Calibri"/>
                <w:sz w:val="18"/>
                <w:szCs w:val="18"/>
              </w:rPr>
              <w:t xml:space="preserve">1: Drejtimi i procesit të përshtatjes në Shqipëri </w:t>
            </w:r>
          </w:p>
        </w:tc>
        <w:tc>
          <w:tcPr>
            <w:tcW w:w="1417" w:type="dxa"/>
            <w:shd w:val="clear" w:color="auto" w:fill="auto"/>
            <w:vAlign w:val="center"/>
          </w:tcPr>
          <w:p w14:paraId="6EDD14A3" w14:textId="11726194" w:rsidR="00E45764" w:rsidRPr="007114AF" w:rsidRDefault="00E45764" w:rsidP="00D82F76">
            <w:pPr>
              <w:spacing w:after="0" w:line="240" w:lineRule="auto"/>
              <w:rPr>
                <w:rFonts w:ascii="Garamond" w:hAnsi="Garamond" w:cs="Calibri"/>
                <w:sz w:val="18"/>
                <w:szCs w:val="18"/>
              </w:rPr>
            </w:pPr>
            <w:r w:rsidRPr="007114AF">
              <w:rPr>
                <w:rFonts w:ascii="Garamond" w:hAnsi="Garamond" w:cs="Calibri"/>
                <w:sz w:val="18"/>
                <w:szCs w:val="18"/>
              </w:rPr>
              <w:t xml:space="preserve">591.6 </w:t>
            </w:r>
            <w:r w:rsidR="001C47F0" w:rsidRPr="007114AF">
              <w:rPr>
                <w:rFonts w:ascii="Garamond" w:hAnsi="Garamond" w:cs="Calibri"/>
                <w:sz w:val="18"/>
                <w:szCs w:val="18"/>
              </w:rPr>
              <w:t xml:space="preserve">milionë </w:t>
            </w:r>
            <w:r w:rsidRPr="007114AF">
              <w:rPr>
                <w:rFonts w:ascii="Garamond" w:hAnsi="Garamond" w:cs="Calibri"/>
                <w:sz w:val="18"/>
                <w:szCs w:val="18"/>
              </w:rPr>
              <w:t>LEKË</w:t>
            </w:r>
          </w:p>
        </w:tc>
        <w:tc>
          <w:tcPr>
            <w:tcW w:w="1413" w:type="dxa"/>
            <w:shd w:val="clear" w:color="auto" w:fill="auto"/>
            <w:vAlign w:val="center"/>
          </w:tcPr>
          <w:p w14:paraId="6EDD14A4" w14:textId="2AE2FC0C" w:rsidR="00E45764" w:rsidRPr="007114AF" w:rsidRDefault="00E45764" w:rsidP="00D82F76">
            <w:pPr>
              <w:spacing w:after="0" w:line="240" w:lineRule="auto"/>
              <w:rPr>
                <w:rFonts w:ascii="Garamond" w:hAnsi="Garamond" w:cs="Calibri"/>
                <w:sz w:val="18"/>
                <w:szCs w:val="18"/>
              </w:rPr>
            </w:pPr>
            <w:r w:rsidRPr="007114AF">
              <w:rPr>
                <w:rFonts w:ascii="Garamond" w:hAnsi="Garamond" w:cs="Calibri"/>
                <w:sz w:val="18"/>
                <w:szCs w:val="18"/>
              </w:rPr>
              <w:t xml:space="preserve">2.7 </w:t>
            </w:r>
            <w:r w:rsidR="001C47F0" w:rsidRPr="007114AF">
              <w:rPr>
                <w:rFonts w:ascii="Garamond" w:hAnsi="Garamond" w:cs="Calibri"/>
                <w:sz w:val="18"/>
                <w:szCs w:val="18"/>
              </w:rPr>
              <w:t xml:space="preserve">milionë </w:t>
            </w:r>
            <w:r w:rsidRPr="007114AF">
              <w:rPr>
                <w:rFonts w:ascii="Garamond" w:hAnsi="Garamond" w:cs="Calibri"/>
                <w:sz w:val="18"/>
                <w:szCs w:val="18"/>
              </w:rPr>
              <w:t>LEKË/ vit</w:t>
            </w:r>
          </w:p>
        </w:tc>
        <w:tc>
          <w:tcPr>
            <w:tcW w:w="5103" w:type="dxa"/>
            <w:shd w:val="clear" w:color="auto" w:fill="auto"/>
          </w:tcPr>
          <w:p w14:paraId="6EDD14A5" w14:textId="77777777" w:rsidR="00E45764" w:rsidRPr="007114AF" w:rsidRDefault="00E45764" w:rsidP="00D82F76">
            <w:pPr>
              <w:spacing w:after="0" w:line="240" w:lineRule="auto"/>
              <w:rPr>
                <w:rFonts w:ascii="Garamond" w:hAnsi="Garamond" w:cs="Calibri"/>
                <w:sz w:val="18"/>
                <w:szCs w:val="18"/>
              </w:rPr>
            </w:pPr>
            <w:r w:rsidRPr="007114AF">
              <w:rPr>
                <w:rFonts w:ascii="Garamond" w:hAnsi="Garamond" w:cs="Calibri"/>
                <w:sz w:val="18"/>
                <w:szCs w:val="18"/>
              </w:rPr>
              <w:t>- afatshkurtër: BE IPA II, aplikimi i dërguar (270 mil. LEK)</w:t>
            </w:r>
          </w:p>
          <w:p w14:paraId="6EDD14A6" w14:textId="6A1A7E6E" w:rsidR="00E45764" w:rsidRPr="007114AF" w:rsidRDefault="00E45764" w:rsidP="00D82F76">
            <w:pPr>
              <w:spacing w:after="0" w:line="240" w:lineRule="auto"/>
              <w:rPr>
                <w:rFonts w:ascii="Garamond" w:hAnsi="Garamond" w:cs="Calibri"/>
                <w:sz w:val="18"/>
                <w:szCs w:val="18"/>
              </w:rPr>
            </w:pPr>
            <w:r w:rsidRPr="007114AF">
              <w:rPr>
                <w:rFonts w:ascii="Garamond" w:hAnsi="Garamond" w:cs="Calibri"/>
                <w:sz w:val="18"/>
                <w:szCs w:val="18"/>
              </w:rPr>
              <w:t>- afatshkurtër: pjesërisht të mbuluar nga mbështetja</w:t>
            </w:r>
            <w:r w:rsidR="000A2A01" w:rsidRPr="007114AF">
              <w:rPr>
                <w:rFonts w:ascii="Garamond" w:hAnsi="Garamond" w:cs="Calibri"/>
                <w:sz w:val="18"/>
                <w:szCs w:val="18"/>
              </w:rPr>
              <w:t xml:space="preserve"> </w:t>
            </w:r>
            <w:r w:rsidRPr="007114AF">
              <w:rPr>
                <w:rFonts w:ascii="Garamond" w:hAnsi="Garamond" w:cs="Calibri"/>
                <w:sz w:val="18"/>
                <w:szCs w:val="18"/>
              </w:rPr>
              <w:t>e gatishmërisë së FGJK (GCF)</w:t>
            </w:r>
          </w:p>
        </w:tc>
        <w:tc>
          <w:tcPr>
            <w:tcW w:w="3402" w:type="dxa"/>
            <w:shd w:val="clear" w:color="auto" w:fill="auto"/>
          </w:tcPr>
          <w:p w14:paraId="6EDD14A7" w14:textId="77777777" w:rsidR="00E45764" w:rsidRPr="007114AF" w:rsidRDefault="00E45764" w:rsidP="00D82F76">
            <w:pPr>
              <w:spacing w:after="0" w:line="240" w:lineRule="auto"/>
              <w:rPr>
                <w:rFonts w:ascii="Garamond" w:hAnsi="Garamond" w:cs="Calibri"/>
                <w:sz w:val="18"/>
                <w:szCs w:val="18"/>
              </w:rPr>
            </w:pPr>
            <w:r w:rsidRPr="007114AF">
              <w:rPr>
                <w:rFonts w:ascii="Garamond" w:hAnsi="Garamond" w:cs="Calibri"/>
                <w:sz w:val="18"/>
                <w:szCs w:val="18"/>
              </w:rPr>
              <w:t xml:space="preserve">Shihni gjithashtu udhërrëfyesin në kapitullin 4 </w:t>
            </w:r>
          </w:p>
        </w:tc>
      </w:tr>
      <w:tr w:rsidR="00E45764" w:rsidRPr="007114AF" w14:paraId="6EDD14AF" w14:textId="77777777" w:rsidTr="00BA14F8">
        <w:trPr>
          <w:trHeight w:val="803"/>
        </w:trPr>
        <w:tc>
          <w:tcPr>
            <w:tcW w:w="3251" w:type="dxa"/>
            <w:shd w:val="clear" w:color="auto" w:fill="auto"/>
          </w:tcPr>
          <w:p w14:paraId="6EDD14A9" w14:textId="6401C1C9" w:rsidR="00E45764" w:rsidRPr="007114AF" w:rsidRDefault="008D30FC" w:rsidP="00D82F76">
            <w:pPr>
              <w:spacing w:after="0" w:line="240" w:lineRule="auto"/>
              <w:rPr>
                <w:rFonts w:ascii="Garamond" w:hAnsi="Garamond" w:cs="Calibri"/>
                <w:sz w:val="18"/>
                <w:szCs w:val="18"/>
              </w:rPr>
            </w:pPr>
            <w:r w:rsidRPr="007114AF">
              <w:rPr>
                <w:rFonts w:ascii="Garamond" w:hAnsi="Garamond" w:cs="Calibri"/>
                <w:sz w:val="18"/>
                <w:szCs w:val="18"/>
              </w:rPr>
              <w:lastRenderedPageBreak/>
              <w:t xml:space="preserve">Nr. </w:t>
            </w:r>
            <w:r w:rsidR="00E45764" w:rsidRPr="007114AF">
              <w:rPr>
                <w:rFonts w:ascii="Garamond" w:hAnsi="Garamond" w:cs="Calibri"/>
                <w:sz w:val="18"/>
                <w:szCs w:val="18"/>
              </w:rPr>
              <w:t>2:</w:t>
            </w:r>
            <w:r w:rsidR="000A2A01" w:rsidRPr="007114AF">
              <w:rPr>
                <w:rFonts w:ascii="Garamond" w:hAnsi="Garamond" w:cs="Calibri"/>
                <w:sz w:val="18"/>
                <w:szCs w:val="18"/>
              </w:rPr>
              <w:t xml:space="preserve"> </w:t>
            </w:r>
            <w:r w:rsidR="00E45764" w:rsidRPr="007114AF">
              <w:rPr>
                <w:rFonts w:ascii="Garamond" w:hAnsi="Garamond" w:cs="Calibri"/>
                <w:sz w:val="18"/>
                <w:szCs w:val="18"/>
              </w:rPr>
              <w:t>Nisma integruese gjithëpërfshirëse</w:t>
            </w:r>
          </w:p>
        </w:tc>
        <w:tc>
          <w:tcPr>
            <w:tcW w:w="1417" w:type="dxa"/>
            <w:shd w:val="clear" w:color="auto" w:fill="auto"/>
            <w:vAlign w:val="center"/>
          </w:tcPr>
          <w:p w14:paraId="6EDD14AA" w14:textId="5C498E7F" w:rsidR="00E45764" w:rsidRPr="007114AF" w:rsidRDefault="00E45764" w:rsidP="00D82F76">
            <w:pPr>
              <w:spacing w:after="0" w:line="240" w:lineRule="auto"/>
              <w:rPr>
                <w:rFonts w:ascii="Garamond" w:hAnsi="Garamond" w:cs="Calibri"/>
                <w:sz w:val="18"/>
                <w:szCs w:val="18"/>
              </w:rPr>
            </w:pPr>
            <w:r w:rsidRPr="007114AF">
              <w:rPr>
                <w:rFonts w:ascii="Garamond" w:hAnsi="Garamond" w:cs="Calibri"/>
                <w:sz w:val="18"/>
                <w:szCs w:val="18"/>
              </w:rPr>
              <w:t xml:space="preserve">32 </w:t>
            </w:r>
            <w:r w:rsidR="001C47F0" w:rsidRPr="007114AF">
              <w:rPr>
                <w:rFonts w:ascii="Garamond" w:hAnsi="Garamond" w:cs="Calibri"/>
                <w:sz w:val="18"/>
                <w:szCs w:val="18"/>
              </w:rPr>
              <w:t xml:space="preserve">milionë </w:t>
            </w:r>
            <w:r w:rsidRPr="007114AF">
              <w:rPr>
                <w:rFonts w:ascii="Garamond" w:hAnsi="Garamond" w:cs="Calibri"/>
                <w:sz w:val="18"/>
                <w:szCs w:val="18"/>
              </w:rPr>
              <w:t>LEKË</w:t>
            </w:r>
          </w:p>
        </w:tc>
        <w:tc>
          <w:tcPr>
            <w:tcW w:w="1413" w:type="dxa"/>
            <w:shd w:val="clear" w:color="auto" w:fill="auto"/>
            <w:vAlign w:val="center"/>
          </w:tcPr>
          <w:p w14:paraId="6EDD14AB" w14:textId="6952E601" w:rsidR="00E45764" w:rsidRPr="007114AF" w:rsidRDefault="00E45764" w:rsidP="00D82F76">
            <w:pPr>
              <w:spacing w:after="0" w:line="240" w:lineRule="auto"/>
              <w:rPr>
                <w:rFonts w:ascii="Garamond" w:hAnsi="Garamond" w:cs="Calibri"/>
                <w:sz w:val="18"/>
                <w:szCs w:val="18"/>
              </w:rPr>
            </w:pPr>
            <w:r w:rsidRPr="007114AF">
              <w:rPr>
                <w:rFonts w:ascii="Garamond" w:hAnsi="Garamond" w:cs="Calibri"/>
                <w:sz w:val="18"/>
                <w:szCs w:val="18"/>
              </w:rPr>
              <w:t xml:space="preserve">4 </w:t>
            </w:r>
            <w:r w:rsidR="001C47F0" w:rsidRPr="007114AF">
              <w:rPr>
                <w:rFonts w:ascii="Garamond" w:hAnsi="Garamond" w:cs="Calibri"/>
                <w:sz w:val="18"/>
                <w:szCs w:val="18"/>
              </w:rPr>
              <w:t xml:space="preserve">milionë </w:t>
            </w:r>
            <w:r w:rsidRPr="007114AF">
              <w:rPr>
                <w:rFonts w:ascii="Garamond" w:hAnsi="Garamond" w:cs="Calibri"/>
                <w:sz w:val="18"/>
                <w:szCs w:val="18"/>
              </w:rPr>
              <w:t>LEKË/vit</w:t>
            </w:r>
          </w:p>
        </w:tc>
        <w:tc>
          <w:tcPr>
            <w:tcW w:w="5103" w:type="dxa"/>
            <w:shd w:val="clear" w:color="auto" w:fill="auto"/>
          </w:tcPr>
          <w:p w14:paraId="6EDD14AC" w14:textId="77777777" w:rsidR="00E45764" w:rsidRPr="007114AF" w:rsidRDefault="00E45764" w:rsidP="00D82F76">
            <w:pPr>
              <w:spacing w:after="0" w:line="240" w:lineRule="auto"/>
              <w:rPr>
                <w:rFonts w:ascii="Garamond" w:hAnsi="Garamond" w:cs="Calibri"/>
                <w:sz w:val="18"/>
                <w:szCs w:val="18"/>
              </w:rPr>
            </w:pPr>
            <w:r w:rsidRPr="007114AF">
              <w:rPr>
                <w:rFonts w:ascii="Garamond" w:hAnsi="Garamond" w:cs="Calibri"/>
                <w:sz w:val="18"/>
                <w:szCs w:val="18"/>
              </w:rPr>
              <w:t xml:space="preserve">- afatshkurtër: BE IPA II </w:t>
            </w:r>
          </w:p>
          <w:p w14:paraId="6EDD14AD" w14:textId="52C65978" w:rsidR="00E45764" w:rsidRPr="007114AF" w:rsidRDefault="00E45764" w:rsidP="00D82F76">
            <w:pPr>
              <w:spacing w:after="0" w:line="240" w:lineRule="auto"/>
              <w:rPr>
                <w:rFonts w:ascii="Garamond" w:hAnsi="Garamond" w:cs="Calibri"/>
                <w:sz w:val="18"/>
                <w:szCs w:val="18"/>
              </w:rPr>
            </w:pPr>
            <w:r w:rsidRPr="007114AF">
              <w:rPr>
                <w:rFonts w:ascii="Garamond" w:hAnsi="Garamond" w:cs="Calibri"/>
                <w:sz w:val="18"/>
                <w:szCs w:val="18"/>
              </w:rPr>
              <w:t>- afatshkurtër:</w:t>
            </w:r>
            <w:r w:rsidR="000A2A01" w:rsidRPr="007114AF">
              <w:rPr>
                <w:rFonts w:ascii="Garamond" w:hAnsi="Garamond" w:cs="Calibri"/>
                <w:sz w:val="18"/>
                <w:szCs w:val="18"/>
              </w:rPr>
              <w:t xml:space="preserve"> </w:t>
            </w:r>
            <w:r w:rsidRPr="007114AF">
              <w:rPr>
                <w:rFonts w:ascii="Garamond" w:hAnsi="Garamond" w:cs="Calibri"/>
                <w:sz w:val="18"/>
                <w:szCs w:val="18"/>
              </w:rPr>
              <w:t>pjesërisht të mbuluar nga mbështetja</w:t>
            </w:r>
            <w:r w:rsidR="000A2A01" w:rsidRPr="007114AF">
              <w:rPr>
                <w:rFonts w:ascii="Garamond" w:hAnsi="Garamond" w:cs="Calibri"/>
                <w:sz w:val="18"/>
                <w:szCs w:val="18"/>
              </w:rPr>
              <w:t xml:space="preserve"> </w:t>
            </w:r>
            <w:r w:rsidRPr="007114AF">
              <w:rPr>
                <w:rFonts w:ascii="Garamond" w:hAnsi="Garamond" w:cs="Calibri"/>
                <w:sz w:val="18"/>
                <w:szCs w:val="18"/>
              </w:rPr>
              <w:t>e gatishmërisë së FGJK (GCF)</w:t>
            </w:r>
          </w:p>
        </w:tc>
        <w:tc>
          <w:tcPr>
            <w:tcW w:w="3402" w:type="dxa"/>
            <w:shd w:val="clear" w:color="auto" w:fill="auto"/>
          </w:tcPr>
          <w:p w14:paraId="6EDD14AE" w14:textId="77777777" w:rsidR="00E45764" w:rsidRPr="007114AF" w:rsidRDefault="00E45764" w:rsidP="00D82F76">
            <w:pPr>
              <w:spacing w:after="0" w:line="240" w:lineRule="auto"/>
              <w:rPr>
                <w:rFonts w:ascii="Garamond" w:hAnsi="Garamond" w:cs="Calibri"/>
                <w:sz w:val="18"/>
                <w:szCs w:val="18"/>
              </w:rPr>
            </w:pPr>
            <w:r w:rsidRPr="007114AF">
              <w:rPr>
                <w:rFonts w:ascii="Garamond" w:hAnsi="Garamond" w:cs="Calibri"/>
                <w:sz w:val="18"/>
                <w:szCs w:val="18"/>
              </w:rPr>
              <w:t>Shihni gjithashtu udhërrëfyesin në kapitullin 4</w:t>
            </w:r>
          </w:p>
        </w:tc>
      </w:tr>
      <w:tr w:rsidR="00E45764" w:rsidRPr="007114AF" w14:paraId="6EDD14B6" w14:textId="77777777" w:rsidTr="00BA14F8">
        <w:trPr>
          <w:trHeight w:val="1100"/>
        </w:trPr>
        <w:tc>
          <w:tcPr>
            <w:tcW w:w="3251" w:type="dxa"/>
            <w:shd w:val="clear" w:color="auto" w:fill="auto"/>
          </w:tcPr>
          <w:p w14:paraId="6EDD14B0" w14:textId="2D433CD8" w:rsidR="00E45764" w:rsidRPr="007114AF" w:rsidRDefault="008D30FC" w:rsidP="00D82F76">
            <w:pPr>
              <w:spacing w:after="0" w:line="240" w:lineRule="auto"/>
              <w:rPr>
                <w:rFonts w:ascii="Garamond" w:hAnsi="Garamond" w:cs="Calibri"/>
                <w:sz w:val="18"/>
                <w:szCs w:val="18"/>
              </w:rPr>
            </w:pPr>
            <w:r w:rsidRPr="007114AF">
              <w:rPr>
                <w:rFonts w:ascii="Garamond" w:hAnsi="Garamond" w:cs="Calibri"/>
                <w:sz w:val="18"/>
                <w:szCs w:val="18"/>
              </w:rPr>
              <w:t xml:space="preserve">Nr. </w:t>
            </w:r>
            <w:r w:rsidR="00E45764" w:rsidRPr="007114AF">
              <w:rPr>
                <w:rFonts w:ascii="Garamond" w:hAnsi="Garamond" w:cs="Calibri"/>
                <w:sz w:val="18"/>
                <w:szCs w:val="18"/>
              </w:rPr>
              <w:t>3:</w:t>
            </w:r>
            <w:r w:rsidRPr="007114AF">
              <w:rPr>
                <w:rFonts w:ascii="Garamond" w:hAnsi="Garamond" w:cs="Calibri"/>
                <w:sz w:val="18"/>
                <w:szCs w:val="18"/>
              </w:rPr>
              <w:t xml:space="preserve"> </w:t>
            </w:r>
            <w:r w:rsidR="00E45764" w:rsidRPr="007114AF">
              <w:rPr>
                <w:rFonts w:ascii="Garamond" w:hAnsi="Garamond" w:cs="Calibri"/>
                <w:sz w:val="18"/>
                <w:szCs w:val="18"/>
              </w:rPr>
              <w:t>Gatishmëria financiare klimatike – Zhvillimi i kapaciteteve për financimin dhe zbatimin e NAP-it në Shqipëri.</w:t>
            </w:r>
          </w:p>
        </w:tc>
        <w:tc>
          <w:tcPr>
            <w:tcW w:w="1417" w:type="dxa"/>
            <w:shd w:val="clear" w:color="auto" w:fill="auto"/>
            <w:vAlign w:val="center"/>
          </w:tcPr>
          <w:p w14:paraId="6EDD14B1" w14:textId="5F8C51B6" w:rsidR="00E45764" w:rsidRPr="007114AF" w:rsidRDefault="00E45764" w:rsidP="00D82F76">
            <w:pPr>
              <w:spacing w:after="0" w:line="240" w:lineRule="auto"/>
              <w:rPr>
                <w:rFonts w:ascii="Garamond" w:hAnsi="Garamond" w:cs="Calibri"/>
                <w:sz w:val="18"/>
                <w:szCs w:val="18"/>
              </w:rPr>
            </w:pPr>
            <w:r w:rsidRPr="007114AF">
              <w:rPr>
                <w:rFonts w:ascii="Garamond" w:hAnsi="Garamond" w:cs="Calibri"/>
                <w:sz w:val="18"/>
                <w:szCs w:val="18"/>
              </w:rPr>
              <w:t xml:space="preserve">112.5 </w:t>
            </w:r>
            <w:r w:rsidR="001C47F0" w:rsidRPr="007114AF">
              <w:rPr>
                <w:rFonts w:ascii="Garamond" w:hAnsi="Garamond" w:cs="Calibri"/>
                <w:sz w:val="18"/>
                <w:szCs w:val="18"/>
              </w:rPr>
              <w:t xml:space="preserve">milionë </w:t>
            </w:r>
            <w:r w:rsidRPr="007114AF">
              <w:rPr>
                <w:rFonts w:ascii="Garamond" w:hAnsi="Garamond" w:cs="Calibri"/>
                <w:sz w:val="18"/>
                <w:szCs w:val="18"/>
              </w:rPr>
              <w:t>LEKË</w:t>
            </w:r>
          </w:p>
        </w:tc>
        <w:tc>
          <w:tcPr>
            <w:tcW w:w="1413" w:type="dxa"/>
            <w:shd w:val="clear" w:color="auto" w:fill="auto"/>
            <w:vAlign w:val="center"/>
          </w:tcPr>
          <w:p w14:paraId="6EDD14B2" w14:textId="23A90AE6" w:rsidR="00E45764" w:rsidRPr="007114AF" w:rsidRDefault="00E45764" w:rsidP="00D82F76">
            <w:pPr>
              <w:spacing w:after="0" w:line="240" w:lineRule="auto"/>
              <w:rPr>
                <w:rFonts w:ascii="Garamond" w:hAnsi="Garamond" w:cs="Calibri"/>
                <w:sz w:val="18"/>
                <w:szCs w:val="18"/>
              </w:rPr>
            </w:pPr>
            <w:r w:rsidRPr="007114AF">
              <w:rPr>
                <w:rFonts w:ascii="Garamond" w:hAnsi="Garamond" w:cs="Calibri"/>
                <w:sz w:val="18"/>
                <w:szCs w:val="18"/>
              </w:rPr>
              <w:t>për t</w:t>
            </w:r>
            <w:r w:rsidR="00D10DAB" w:rsidRPr="007114AF">
              <w:rPr>
                <w:rFonts w:ascii="Garamond" w:hAnsi="Garamond" w:cs="Calibri"/>
                <w:sz w:val="18"/>
                <w:szCs w:val="18"/>
              </w:rPr>
              <w:t>’</w:t>
            </w:r>
            <w:r w:rsidRPr="007114AF">
              <w:rPr>
                <w:rFonts w:ascii="Garamond" w:hAnsi="Garamond" w:cs="Calibri"/>
                <w:sz w:val="18"/>
                <w:szCs w:val="18"/>
              </w:rPr>
              <w:t>u vendosur</w:t>
            </w:r>
          </w:p>
        </w:tc>
        <w:tc>
          <w:tcPr>
            <w:tcW w:w="5103" w:type="dxa"/>
            <w:shd w:val="clear" w:color="auto" w:fill="auto"/>
          </w:tcPr>
          <w:p w14:paraId="6EDD14B3" w14:textId="6FCA1837" w:rsidR="00E45764" w:rsidRPr="007114AF" w:rsidRDefault="00E45764" w:rsidP="00D82F76">
            <w:pPr>
              <w:spacing w:after="0" w:line="240" w:lineRule="auto"/>
              <w:rPr>
                <w:rFonts w:ascii="Garamond" w:hAnsi="Garamond" w:cs="Calibri"/>
                <w:sz w:val="18"/>
                <w:szCs w:val="18"/>
              </w:rPr>
            </w:pPr>
            <w:r w:rsidRPr="007114AF">
              <w:rPr>
                <w:rFonts w:ascii="Garamond" w:hAnsi="Garamond" w:cs="Calibri"/>
                <w:sz w:val="18"/>
                <w:szCs w:val="18"/>
              </w:rPr>
              <w:t>- afatshkurtër:</w:t>
            </w:r>
            <w:r w:rsidR="000A2A01" w:rsidRPr="007114AF">
              <w:rPr>
                <w:rFonts w:ascii="Garamond" w:hAnsi="Garamond" w:cs="Calibri"/>
                <w:sz w:val="18"/>
                <w:szCs w:val="18"/>
              </w:rPr>
              <w:t xml:space="preserve"> </w:t>
            </w:r>
            <w:r w:rsidRPr="007114AF">
              <w:rPr>
                <w:rFonts w:ascii="Garamond" w:hAnsi="Garamond" w:cs="Calibri"/>
                <w:sz w:val="18"/>
                <w:szCs w:val="18"/>
              </w:rPr>
              <w:t>pjesërisht të mbuluar nga mbështetja</w:t>
            </w:r>
            <w:r w:rsidR="000A2A01" w:rsidRPr="007114AF">
              <w:rPr>
                <w:rFonts w:ascii="Garamond" w:hAnsi="Garamond" w:cs="Calibri"/>
                <w:sz w:val="18"/>
                <w:szCs w:val="18"/>
              </w:rPr>
              <w:t xml:space="preserve"> </w:t>
            </w:r>
            <w:r w:rsidRPr="007114AF">
              <w:rPr>
                <w:rFonts w:ascii="Garamond" w:hAnsi="Garamond" w:cs="Calibri"/>
                <w:sz w:val="18"/>
                <w:szCs w:val="18"/>
              </w:rPr>
              <w:t>e gatishmërisë së FGJK (GCF) (37.5 milionë LEK/vit për 3 vjet)</w:t>
            </w:r>
          </w:p>
          <w:p w14:paraId="6EDD14B4" w14:textId="71C05779" w:rsidR="00E45764" w:rsidRPr="007114AF" w:rsidRDefault="00E45764" w:rsidP="00D82F76">
            <w:pPr>
              <w:spacing w:after="0" w:line="240" w:lineRule="auto"/>
              <w:rPr>
                <w:rFonts w:ascii="Garamond" w:hAnsi="Garamond" w:cs="Calibri"/>
                <w:sz w:val="18"/>
                <w:szCs w:val="18"/>
              </w:rPr>
            </w:pPr>
            <w:r w:rsidRPr="007114AF">
              <w:rPr>
                <w:rFonts w:ascii="Garamond" w:hAnsi="Garamond" w:cs="Calibri"/>
                <w:sz w:val="18"/>
                <w:szCs w:val="18"/>
              </w:rPr>
              <w:t>-</w:t>
            </w:r>
            <w:r w:rsidR="000A2A01" w:rsidRPr="007114AF">
              <w:rPr>
                <w:rFonts w:ascii="Garamond" w:hAnsi="Garamond" w:cs="Calibri"/>
                <w:sz w:val="18"/>
                <w:szCs w:val="18"/>
              </w:rPr>
              <w:t xml:space="preserve"> </w:t>
            </w:r>
            <w:r w:rsidRPr="007114AF">
              <w:rPr>
                <w:rFonts w:ascii="Garamond" w:hAnsi="Garamond" w:cs="Calibri"/>
                <w:sz w:val="18"/>
                <w:szCs w:val="18"/>
              </w:rPr>
              <w:t>pjesërisht të mbuluar nga mbështetja</w:t>
            </w:r>
            <w:r w:rsidR="000A2A01" w:rsidRPr="007114AF">
              <w:rPr>
                <w:rFonts w:ascii="Garamond" w:hAnsi="Garamond" w:cs="Calibri"/>
                <w:sz w:val="18"/>
                <w:szCs w:val="18"/>
              </w:rPr>
              <w:t xml:space="preserve"> </w:t>
            </w:r>
            <w:r w:rsidRPr="007114AF">
              <w:rPr>
                <w:rFonts w:ascii="Garamond" w:hAnsi="Garamond" w:cs="Calibri"/>
                <w:sz w:val="18"/>
                <w:szCs w:val="18"/>
              </w:rPr>
              <w:t>e gatishmërisë së FGJK (GCF)</w:t>
            </w:r>
          </w:p>
        </w:tc>
        <w:tc>
          <w:tcPr>
            <w:tcW w:w="3402" w:type="dxa"/>
            <w:shd w:val="clear" w:color="auto" w:fill="auto"/>
          </w:tcPr>
          <w:p w14:paraId="6EDD14B5" w14:textId="77777777" w:rsidR="00E45764" w:rsidRPr="007114AF" w:rsidRDefault="00E45764" w:rsidP="00D82F76">
            <w:pPr>
              <w:spacing w:after="0" w:line="240" w:lineRule="auto"/>
              <w:rPr>
                <w:rFonts w:ascii="Garamond" w:hAnsi="Garamond" w:cs="Calibri"/>
                <w:sz w:val="18"/>
                <w:szCs w:val="18"/>
              </w:rPr>
            </w:pPr>
            <w:r w:rsidRPr="007114AF">
              <w:rPr>
                <w:rFonts w:ascii="Garamond" w:hAnsi="Garamond" w:cs="Calibri"/>
                <w:sz w:val="18"/>
                <w:szCs w:val="18"/>
              </w:rPr>
              <w:t>Shihni gjithashtu udhërrëfyesin në kapitullin 4</w:t>
            </w:r>
          </w:p>
        </w:tc>
      </w:tr>
      <w:tr w:rsidR="00E45764" w:rsidRPr="007114AF" w14:paraId="6EDD14BC" w14:textId="77777777" w:rsidTr="00BA14F8">
        <w:trPr>
          <w:trHeight w:val="605"/>
        </w:trPr>
        <w:tc>
          <w:tcPr>
            <w:tcW w:w="3251" w:type="dxa"/>
            <w:shd w:val="clear" w:color="auto" w:fill="auto"/>
          </w:tcPr>
          <w:p w14:paraId="6EDD14B7" w14:textId="1FC9F4F2" w:rsidR="00E45764" w:rsidRPr="007114AF" w:rsidRDefault="008D30FC" w:rsidP="00D82F76">
            <w:pPr>
              <w:spacing w:after="0" w:line="240" w:lineRule="auto"/>
              <w:rPr>
                <w:rFonts w:ascii="Garamond" w:hAnsi="Garamond" w:cs="Calibri"/>
                <w:sz w:val="18"/>
                <w:szCs w:val="18"/>
              </w:rPr>
            </w:pPr>
            <w:r w:rsidRPr="007114AF">
              <w:rPr>
                <w:rFonts w:ascii="Garamond" w:hAnsi="Garamond" w:cs="Calibri"/>
                <w:sz w:val="18"/>
                <w:szCs w:val="18"/>
              </w:rPr>
              <w:t xml:space="preserve">Nr. </w:t>
            </w:r>
            <w:r w:rsidR="00E45764" w:rsidRPr="007114AF">
              <w:rPr>
                <w:rFonts w:ascii="Garamond" w:hAnsi="Garamond" w:cs="Calibri"/>
                <w:sz w:val="18"/>
                <w:szCs w:val="18"/>
              </w:rPr>
              <w:t>4:</w:t>
            </w:r>
            <w:r w:rsidR="000A2A01" w:rsidRPr="007114AF">
              <w:rPr>
                <w:rFonts w:ascii="Garamond" w:hAnsi="Garamond" w:cs="Calibri"/>
                <w:sz w:val="18"/>
                <w:szCs w:val="18"/>
              </w:rPr>
              <w:t xml:space="preserve"> </w:t>
            </w:r>
            <w:r w:rsidR="00E45764" w:rsidRPr="007114AF">
              <w:rPr>
                <w:rFonts w:ascii="Garamond" w:hAnsi="Garamond" w:cs="Calibri"/>
                <w:sz w:val="18"/>
                <w:szCs w:val="18"/>
              </w:rPr>
              <w:t>Sistemi i monitorimit të implementimit të NAP-it (monitorimi i mbështetur në rezultate)</w:t>
            </w:r>
          </w:p>
        </w:tc>
        <w:tc>
          <w:tcPr>
            <w:tcW w:w="1417" w:type="dxa"/>
            <w:shd w:val="clear" w:color="auto" w:fill="auto"/>
            <w:vAlign w:val="center"/>
          </w:tcPr>
          <w:p w14:paraId="6EDD14B8" w14:textId="7D62361D" w:rsidR="00E45764" w:rsidRPr="007114AF" w:rsidRDefault="00E45764" w:rsidP="00D82F76">
            <w:pPr>
              <w:spacing w:after="0" w:line="240" w:lineRule="auto"/>
              <w:rPr>
                <w:rFonts w:ascii="Garamond" w:hAnsi="Garamond" w:cs="Calibri"/>
                <w:sz w:val="18"/>
                <w:szCs w:val="18"/>
              </w:rPr>
            </w:pPr>
            <w:r w:rsidRPr="007114AF">
              <w:rPr>
                <w:rFonts w:ascii="Garamond" w:hAnsi="Garamond" w:cs="Calibri"/>
                <w:sz w:val="18"/>
                <w:szCs w:val="18"/>
              </w:rPr>
              <w:t xml:space="preserve">688 </w:t>
            </w:r>
            <w:r w:rsidR="001C47F0" w:rsidRPr="007114AF">
              <w:rPr>
                <w:rFonts w:ascii="Garamond" w:hAnsi="Garamond" w:cs="Calibri"/>
                <w:sz w:val="18"/>
                <w:szCs w:val="18"/>
              </w:rPr>
              <w:t xml:space="preserve">milionë </w:t>
            </w:r>
            <w:r w:rsidRPr="007114AF">
              <w:rPr>
                <w:rFonts w:ascii="Garamond" w:hAnsi="Garamond" w:cs="Calibri"/>
                <w:sz w:val="18"/>
                <w:szCs w:val="18"/>
              </w:rPr>
              <w:t>LEKË</w:t>
            </w:r>
          </w:p>
        </w:tc>
        <w:tc>
          <w:tcPr>
            <w:tcW w:w="1413" w:type="dxa"/>
            <w:shd w:val="clear" w:color="auto" w:fill="auto"/>
          </w:tcPr>
          <w:p w14:paraId="6EDD14B9" w14:textId="4248088E" w:rsidR="00E45764" w:rsidRPr="007114AF" w:rsidRDefault="00E45764" w:rsidP="00D82F76">
            <w:pPr>
              <w:spacing w:after="0" w:line="240" w:lineRule="auto"/>
              <w:rPr>
                <w:rFonts w:ascii="Garamond" w:hAnsi="Garamond"/>
                <w:sz w:val="18"/>
                <w:szCs w:val="18"/>
              </w:rPr>
            </w:pPr>
            <w:r w:rsidRPr="007114AF">
              <w:rPr>
                <w:rFonts w:ascii="Garamond" w:hAnsi="Garamond" w:cs="Calibri"/>
                <w:sz w:val="18"/>
                <w:szCs w:val="18"/>
              </w:rPr>
              <w:t>për t</w:t>
            </w:r>
            <w:r w:rsidR="00D10DAB" w:rsidRPr="007114AF">
              <w:rPr>
                <w:rFonts w:ascii="Garamond" w:hAnsi="Garamond" w:cs="Calibri"/>
                <w:sz w:val="18"/>
                <w:szCs w:val="18"/>
              </w:rPr>
              <w:t>’</w:t>
            </w:r>
            <w:r w:rsidRPr="007114AF">
              <w:rPr>
                <w:rFonts w:ascii="Garamond" w:hAnsi="Garamond" w:cs="Calibri"/>
                <w:sz w:val="18"/>
                <w:szCs w:val="18"/>
              </w:rPr>
              <w:t>u vendosur</w:t>
            </w:r>
          </w:p>
        </w:tc>
        <w:tc>
          <w:tcPr>
            <w:tcW w:w="5103" w:type="dxa"/>
            <w:shd w:val="clear" w:color="auto" w:fill="auto"/>
          </w:tcPr>
          <w:p w14:paraId="6EDD14BA" w14:textId="77777777" w:rsidR="00E45764" w:rsidRPr="007114AF" w:rsidRDefault="00E45764" w:rsidP="00D82F76">
            <w:pPr>
              <w:spacing w:after="0" w:line="240" w:lineRule="auto"/>
              <w:rPr>
                <w:rFonts w:ascii="Garamond" w:hAnsi="Garamond" w:cs="Calibri"/>
                <w:sz w:val="18"/>
                <w:szCs w:val="18"/>
              </w:rPr>
            </w:pPr>
          </w:p>
        </w:tc>
        <w:tc>
          <w:tcPr>
            <w:tcW w:w="3402" w:type="dxa"/>
            <w:shd w:val="clear" w:color="auto" w:fill="auto"/>
          </w:tcPr>
          <w:p w14:paraId="6EDD14BB" w14:textId="77777777" w:rsidR="00E45764" w:rsidRPr="007114AF" w:rsidRDefault="00E45764" w:rsidP="00D82F76">
            <w:pPr>
              <w:spacing w:after="0" w:line="240" w:lineRule="auto"/>
              <w:rPr>
                <w:rFonts w:ascii="Garamond" w:hAnsi="Garamond" w:cs="Calibri"/>
                <w:sz w:val="18"/>
                <w:szCs w:val="18"/>
              </w:rPr>
            </w:pPr>
            <w:r w:rsidRPr="007114AF">
              <w:rPr>
                <w:rFonts w:ascii="Garamond" w:hAnsi="Garamond" w:cs="Calibri"/>
                <w:sz w:val="18"/>
                <w:szCs w:val="18"/>
              </w:rPr>
              <w:t xml:space="preserve">Shihni gjithashtu udhërrëfyesin në kapitullin 4 – rishikoni preventivët pasi rezultojnë tepër të lartë </w:t>
            </w:r>
          </w:p>
        </w:tc>
      </w:tr>
      <w:tr w:rsidR="00E45764" w:rsidRPr="007114AF" w14:paraId="6EDD14C2" w14:textId="77777777" w:rsidTr="00BA14F8">
        <w:tc>
          <w:tcPr>
            <w:tcW w:w="3251" w:type="dxa"/>
            <w:shd w:val="clear" w:color="auto" w:fill="auto"/>
          </w:tcPr>
          <w:p w14:paraId="6EDD14BD" w14:textId="5D8E829E" w:rsidR="00E45764" w:rsidRPr="007114AF" w:rsidRDefault="008D30FC" w:rsidP="00D82F76">
            <w:pPr>
              <w:spacing w:after="0" w:line="240" w:lineRule="auto"/>
              <w:rPr>
                <w:rFonts w:ascii="Garamond" w:hAnsi="Garamond" w:cs="Calibri"/>
                <w:sz w:val="18"/>
                <w:szCs w:val="18"/>
              </w:rPr>
            </w:pPr>
            <w:r w:rsidRPr="007114AF">
              <w:rPr>
                <w:rFonts w:ascii="Garamond" w:hAnsi="Garamond" w:cs="Calibri"/>
                <w:sz w:val="18"/>
                <w:szCs w:val="18"/>
              </w:rPr>
              <w:t xml:space="preserve">Nr. </w:t>
            </w:r>
            <w:r w:rsidR="00E45764" w:rsidRPr="007114AF">
              <w:rPr>
                <w:rFonts w:ascii="Garamond" w:hAnsi="Garamond" w:cs="Calibri"/>
                <w:sz w:val="18"/>
                <w:szCs w:val="18"/>
              </w:rPr>
              <w:t>5:</w:t>
            </w:r>
            <w:r w:rsidR="000A2A01" w:rsidRPr="007114AF">
              <w:rPr>
                <w:rFonts w:ascii="Garamond" w:hAnsi="Garamond" w:cs="Calibri"/>
                <w:sz w:val="18"/>
                <w:szCs w:val="18"/>
              </w:rPr>
              <w:t xml:space="preserve"> </w:t>
            </w:r>
            <w:r w:rsidR="00E45764" w:rsidRPr="007114AF">
              <w:rPr>
                <w:rFonts w:ascii="Garamond" w:hAnsi="Garamond" w:cs="Calibri"/>
                <w:sz w:val="18"/>
                <w:szCs w:val="18"/>
              </w:rPr>
              <w:t>Nisma për informim dhe përfshirje të publikut</w:t>
            </w:r>
          </w:p>
        </w:tc>
        <w:tc>
          <w:tcPr>
            <w:tcW w:w="1417" w:type="dxa"/>
            <w:shd w:val="clear" w:color="auto" w:fill="auto"/>
            <w:vAlign w:val="center"/>
          </w:tcPr>
          <w:p w14:paraId="6EDD14BE" w14:textId="43522D75" w:rsidR="00E45764" w:rsidRPr="007114AF" w:rsidRDefault="00E45764" w:rsidP="00D82F76">
            <w:pPr>
              <w:spacing w:after="0" w:line="240" w:lineRule="auto"/>
              <w:rPr>
                <w:rFonts w:ascii="Garamond" w:hAnsi="Garamond" w:cs="Calibri"/>
                <w:sz w:val="18"/>
                <w:szCs w:val="18"/>
              </w:rPr>
            </w:pPr>
            <w:r w:rsidRPr="007114AF">
              <w:rPr>
                <w:rFonts w:ascii="Garamond" w:hAnsi="Garamond" w:cs="Calibri"/>
                <w:sz w:val="18"/>
                <w:szCs w:val="18"/>
              </w:rPr>
              <w:t xml:space="preserve">93.75 </w:t>
            </w:r>
            <w:r w:rsidR="001C47F0" w:rsidRPr="007114AF">
              <w:rPr>
                <w:rFonts w:ascii="Garamond" w:hAnsi="Garamond" w:cs="Calibri"/>
                <w:sz w:val="18"/>
                <w:szCs w:val="18"/>
              </w:rPr>
              <w:t xml:space="preserve">milionë </w:t>
            </w:r>
            <w:r w:rsidRPr="007114AF">
              <w:rPr>
                <w:rFonts w:ascii="Garamond" w:hAnsi="Garamond" w:cs="Calibri"/>
                <w:sz w:val="18"/>
                <w:szCs w:val="18"/>
              </w:rPr>
              <w:t>LEKË</w:t>
            </w:r>
          </w:p>
        </w:tc>
        <w:tc>
          <w:tcPr>
            <w:tcW w:w="1413" w:type="dxa"/>
            <w:shd w:val="clear" w:color="auto" w:fill="auto"/>
          </w:tcPr>
          <w:p w14:paraId="6EDD14BF" w14:textId="378EEFE4" w:rsidR="00E45764" w:rsidRPr="007114AF" w:rsidRDefault="00E45764" w:rsidP="00D82F76">
            <w:pPr>
              <w:spacing w:after="0" w:line="240" w:lineRule="auto"/>
              <w:rPr>
                <w:rFonts w:ascii="Garamond" w:hAnsi="Garamond"/>
                <w:sz w:val="18"/>
                <w:szCs w:val="18"/>
              </w:rPr>
            </w:pPr>
            <w:r w:rsidRPr="007114AF">
              <w:rPr>
                <w:rFonts w:ascii="Garamond" w:hAnsi="Garamond" w:cs="Calibri"/>
                <w:sz w:val="18"/>
                <w:szCs w:val="18"/>
              </w:rPr>
              <w:t>për t</w:t>
            </w:r>
            <w:r w:rsidR="00D10DAB" w:rsidRPr="007114AF">
              <w:rPr>
                <w:rFonts w:ascii="Garamond" w:hAnsi="Garamond" w:cs="Calibri"/>
                <w:sz w:val="18"/>
                <w:szCs w:val="18"/>
              </w:rPr>
              <w:t>’</w:t>
            </w:r>
            <w:r w:rsidRPr="007114AF">
              <w:rPr>
                <w:rFonts w:ascii="Garamond" w:hAnsi="Garamond" w:cs="Calibri"/>
                <w:sz w:val="18"/>
                <w:szCs w:val="18"/>
              </w:rPr>
              <w:t>u vendosur</w:t>
            </w:r>
          </w:p>
        </w:tc>
        <w:tc>
          <w:tcPr>
            <w:tcW w:w="5103" w:type="dxa"/>
            <w:shd w:val="clear" w:color="auto" w:fill="auto"/>
          </w:tcPr>
          <w:p w14:paraId="6EDD14C0" w14:textId="792AEC1C" w:rsidR="00E45764" w:rsidRPr="007114AF" w:rsidRDefault="00E45764" w:rsidP="00D82F76">
            <w:pPr>
              <w:tabs>
                <w:tab w:val="left" w:pos="360"/>
              </w:tabs>
              <w:spacing w:after="0" w:line="240" w:lineRule="auto"/>
              <w:rPr>
                <w:rFonts w:ascii="Garamond" w:hAnsi="Garamond" w:cs="Calibri"/>
                <w:sz w:val="18"/>
                <w:szCs w:val="18"/>
              </w:rPr>
            </w:pPr>
            <w:r w:rsidRPr="007114AF">
              <w:rPr>
                <w:rFonts w:ascii="Garamond" w:hAnsi="Garamond" w:cs="Calibri"/>
                <w:sz w:val="18"/>
                <w:szCs w:val="18"/>
              </w:rPr>
              <w:t>Afatshkurtër-afatmesëm: grante nga donatorë dypalësh, të tillë si Gjermania, Suedia, Austria, Japonia, Franca</w:t>
            </w:r>
            <w:r w:rsidR="000A2A01" w:rsidRPr="007114AF">
              <w:rPr>
                <w:rFonts w:ascii="Garamond" w:hAnsi="Garamond" w:cs="Calibri"/>
                <w:sz w:val="18"/>
                <w:szCs w:val="18"/>
              </w:rPr>
              <w:t xml:space="preserve"> </w:t>
            </w:r>
          </w:p>
        </w:tc>
        <w:tc>
          <w:tcPr>
            <w:tcW w:w="3402" w:type="dxa"/>
            <w:shd w:val="clear" w:color="auto" w:fill="auto"/>
          </w:tcPr>
          <w:p w14:paraId="6EDD14C1" w14:textId="77777777" w:rsidR="00E45764" w:rsidRPr="007114AF" w:rsidRDefault="00E45764" w:rsidP="00D82F76">
            <w:pPr>
              <w:tabs>
                <w:tab w:val="left" w:pos="360"/>
              </w:tabs>
              <w:spacing w:after="0" w:line="240" w:lineRule="auto"/>
              <w:rPr>
                <w:rFonts w:ascii="Garamond" w:hAnsi="Garamond" w:cs="Calibri"/>
                <w:sz w:val="18"/>
                <w:szCs w:val="18"/>
              </w:rPr>
            </w:pPr>
          </w:p>
        </w:tc>
      </w:tr>
      <w:tr w:rsidR="00E45764" w:rsidRPr="007114AF" w14:paraId="6EDD14C8" w14:textId="77777777" w:rsidTr="00BA14F8">
        <w:trPr>
          <w:trHeight w:val="619"/>
        </w:trPr>
        <w:tc>
          <w:tcPr>
            <w:tcW w:w="3251" w:type="dxa"/>
            <w:shd w:val="clear" w:color="auto" w:fill="auto"/>
          </w:tcPr>
          <w:p w14:paraId="6EDD14C3" w14:textId="0CB04DEC" w:rsidR="00E45764" w:rsidRPr="007114AF" w:rsidRDefault="008D30FC" w:rsidP="00D82F76">
            <w:pPr>
              <w:spacing w:after="0" w:line="240" w:lineRule="auto"/>
              <w:rPr>
                <w:rFonts w:ascii="Garamond" w:hAnsi="Garamond" w:cs="Calibri"/>
                <w:sz w:val="18"/>
                <w:szCs w:val="18"/>
              </w:rPr>
            </w:pPr>
            <w:r w:rsidRPr="007114AF">
              <w:rPr>
                <w:rFonts w:ascii="Garamond" w:hAnsi="Garamond" w:cs="Calibri"/>
                <w:sz w:val="18"/>
                <w:szCs w:val="18"/>
              </w:rPr>
              <w:t xml:space="preserve">Nr. </w:t>
            </w:r>
            <w:r w:rsidR="00E45764" w:rsidRPr="007114AF">
              <w:rPr>
                <w:rFonts w:ascii="Garamond" w:hAnsi="Garamond" w:cs="Calibri"/>
                <w:sz w:val="18"/>
                <w:szCs w:val="18"/>
              </w:rPr>
              <w:t>6:</w:t>
            </w:r>
            <w:r w:rsidR="000A2A01" w:rsidRPr="007114AF">
              <w:rPr>
                <w:rFonts w:ascii="Garamond" w:hAnsi="Garamond" w:cs="Calibri"/>
                <w:sz w:val="18"/>
                <w:szCs w:val="18"/>
              </w:rPr>
              <w:t xml:space="preserve"> </w:t>
            </w:r>
            <w:r w:rsidR="00E45764" w:rsidRPr="007114AF">
              <w:rPr>
                <w:rFonts w:ascii="Garamond" w:hAnsi="Garamond" w:cs="Calibri"/>
                <w:sz w:val="18"/>
                <w:szCs w:val="18"/>
              </w:rPr>
              <w:t>Nisma për ngritjen e kapaciteteve për përshtatjen ndaj ndryshimeve klimatike</w:t>
            </w:r>
          </w:p>
        </w:tc>
        <w:tc>
          <w:tcPr>
            <w:tcW w:w="1417" w:type="dxa"/>
            <w:shd w:val="clear" w:color="auto" w:fill="auto"/>
            <w:vAlign w:val="center"/>
          </w:tcPr>
          <w:p w14:paraId="6EDD14C4" w14:textId="77777777" w:rsidR="00E45764" w:rsidRPr="007114AF" w:rsidRDefault="00E45764" w:rsidP="00D82F76">
            <w:pPr>
              <w:spacing w:after="0" w:line="240" w:lineRule="auto"/>
              <w:rPr>
                <w:rFonts w:ascii="Garamond" w:hAnsi="Garamond" w:cs="Calibri"/>
                <w:sz w:val="18"/>
                <w:szCs w:val="18"/>
              </w:rPr>
            </w:pPr>
            <w:r w:rsidRPr="007114AF">
              <w:rPr>
                <w:rFonts w:ascii="Garamond" w:hAnsi="Garamond" w:cs="Calibri"/>
                <w:sz w:val="18"/>
                <w:szCs w:val="18"/>
              </w:rPr>
              <w:t>Nuk ka ende preventivë</w:t>
            </w:r>
          </w:p>
        </w:tc>
        <w:tc>
          <w:tcPr>
            <w:tcW w:w="1413" w:type="dxa"/>
            <w:shd w:val="clear" w:color="auto" w:fill="auto"/>
          </w:tcPr>
          <w:p w14:paraId="6EDD14C5" w14:textId="6C79CD0D" w:rsidR="00E45764" w:rsidRPr="007114AF" w:rsidRDefault="00E45764" w:rsidP="00D82F76">
            <w:pPr>
              <w:spacing w:after="0" w:line="240" w:lineRule="auto"/>
              <w:rPr>
                <w:rFonts w:ascii="Garamond" w:hAnsi="Garamond"/>
                <w:sz w:val="18"/>
                <w:szCs w:val="18"/>
              </w:rPr>
            </w:pPr>
            <w:r w:rsidRPr="007114AF">
              <w:rPr>
                <w:rFonts w:ascii="Garamond" w:hAnsi="Garamond" w:cs="Calibri"/>
                <w:sz w:val="18"/>
                <w:szCs w:val="18"/>
              </w:rPr>
              <w:t>për t</w:t>
            </w:r>
            <w:r w:rsidR="00D10DAB" w:rsidRPr="007114AF">
              <w:rPr>
                <w:rFonts w:ascii="Garamond" w:hAnsi="Garamond" w:cs="Calibri"/>
                <w:sz w:val="18"/>
                <w:szCs w:val="18"/>
              </w:rPr>
              <w:t>’</w:t>
            </w:r>
            <w:r w:rsidRPr="007114AF">
              <w:rPr>
                <w:rFonts w:ascii="Garamond" w:hAnsi="Garamond" w:cs="Calibri"/>
                <w:sz w:val="18"/>
                <w:szCs w:val="18"/>
              </w:rPr>
              <w:t>u vendosur</w:t>
            </w:r>
          </w:p>
        </w:tc>
        <w:tc>
          <w:tcPr>
            <w:tcW w:w="5103" w:type="dxa"/>
            <w:shd w:val="clear" w:color="auto" w:fill="auto"/>
            <w:vAlign w:val="center"/>
          </w:tcPr>
          <w:p w14:paraId="6EDD14C6" w14:textId="587A8CC1" w:rsidR="00E45764" w:rsidRPr="007114AF" w:rsidRDefault="00E45764" w:rsidP="00D82F76">
            <w:pPr>
              <w:tabs>
                <w:tab w:val="left" w:pos="360"/>
              </w:tabs>
              <w:spacing w:after="0" w:line="240" w:lineRule="auto"/>
              <w:rPr>
                <w:rFonts w:ascii="Garamond" w:hAnsi="Garamond" w:cs="Calibri"/>
                <w:sz w:val="18"/>
                <w:szCs w:val="18"/>
              </w:rPr>
            </w:pPr>
            <w:r w:rsidRPr="007114AF">
              <w:rPr>
                <w:rFonts w:ascii="Garamond" w:hAnsi="Garamond" w:cs="Calibri"/>
                <w:sz w:val="18"/>
                <w:szCs w:val="18"/>
              </w:rPr>
              <w:t>afatshkurtër -afatmesëm: grante nga donatorë dypalësh, të tillë si Gjermania, Suedia, Austria, Japonia, Franca</w:t>
            </w:r>
            <w:r w:rsidR="000A2A01" w:rsidRPr="007114AF">
              <w:rPr>
                <w:rFonts w:ascii="Garamond" w:hAnsi="Garamond" w:cs="Calibri"/>
                <w:sz w:val="18"/>
                <w:szCs w:val="18"/>
              </w:rPr>
              <w:t xml:space="preserve"> </w:t>
            </w:r>
          </w:p>
        </w:tc>
        <w:tc>
          <w:tcPr>
            <w:tcW w:w="3402" w:type="dxa"/>
            <w:shd w:val="clear" w:color="auto" w:fill="auto"/>
          </w:tcPr>
          <w:p w14:paraId="6EDD14C7" w14:textId="77777777" w:rsidR="00E45764" w:rsidRPr="007114AF" w:rsidRDefault="00E45764" w:rsidP="00D82F76">
            <w:pPr>
              <w:spacing w:after="0" w:line="240" w:lineRule="auto"/>
              <w:rPr>
                <w:rFonts w:ascii="Garamond" w:hAnsi="Garamond" w:cs="Calibri"/>
                <w:sz w:val="18"/>
                <w:szCs w:val="18"/>
              </w:rPr>
            </w:pPr>
            <w:r w:rsidRPr="007114AF">
              <w:rPr>
                <w:rFonts w:ascii="Garamond" w:hAnsi="Garamond" w:cs="Calibri"/>
                <w:sz w:val="18"/>
                <w:szCs w:val="18"/>
              </w:rPr>
              <w:t>- Kostot e pjesshme për ndërtimin e kapaciteteve në mënyrë ideale duhet të përfshihen në secilin projekt buxhet, sipas rastit</w:t>
            </w:r>
          </w:p>
        </w:tc>
      </w:tr>
      <w:tr w:rsidR="00E45764" w:rsidRPr="007114AF" w14:paraId="6EDD14D0" w14:textId="77777777" w:rsidTr="00BA14F8">
        <w:trPr>
          <w:trHeight w:val="1366"/>
        </w:trPr>
        <w:tc>
          <w:tcPr>
            <w:tcW w:w="3251" w:type="dxa"/>
            <w:shd w:val="clear" w:color="auto" w:fill="auto"/>
          </w:tcPr>
          <w:p w14:paraId="6EDD14C9" w14:textId="2FCC917F" w:rsidR="00E45764" w:rsidRPr="007114AF" w:rsidRDefault="008D30FC" w:rsidP="00D82F76">
            <w:pPr>
              <w:spacing w:after="0" w:line="240" w:lineRule="auto"/>
              <w:rPr>
                <w:rFonts w:ascii="Garamond" w:hAnsi="Garamond" w:cs="Calibri"/>
                <w:sz w:val="18"/>
                <w:szCs w:val="18"/>
              </w:rPr>
            </w:pPr>
            <w:r w:rsidRPr="007114AF">
              <w:rPr>
                <w:rFonts w:ascii="Garamond" w:hAnsi="Garamond" w:cs="Calibri"/>
                <w:sz w:val="18"/>
                <w:szCs w:val="18"/>
              </w:rPr>
              <w:t xml:space="preserve">Nr. </w:t>
            </w:r>
            <w:r w:rsidR="00E45764" w:rsidRPr="007114AF">
              <w:rPr>
                <w:rFonts w:ascii="Garamond" w:hAnsi="Garamond" w:cs="Calibri"/>
                <w:sz w:val="18"/>
                <w:szCs w:val="18"/>
              </w:rPr>
              <w:t>7: Ujitje, kullim dhe mbrojtje nga përmbytje, me aftësi ripërtëritëse kundrejt ndryshimeve të klimës</w:t>
            </w:r>
          </w:p>
        </w:tc>
        <w:tc>
          <w:tcPr>
            <w:tcW w:w="1417" w:type="dxa"/>
            <w:shd w:val="clear" w:color="auto" w:fill="auto"/>
            <w:vAlign w:val="center"/>
          </w:tcPr>
          <w:p w14:paraId="6EDD14CA" w14:textId="1017E009" w:rsidR="00E45764" w:rsidRPr="007114AF" w:rsidRDefault="00E45764" w:rsidP="00D82F76">
            <w:pPr>
              <w:spacing w:after="0" w:line="240" w:lineRule="auto"/>
              <w:rPr>
                <w:rFonts w:ascii="Garamond" w:hAnsi="Garamond" w:cs="Calibri"/>
                <w:sz w:val="18"/>
                <w:szCs w:val="18"/>
              </w:rPr>
            </w:pPr>
            <w:r w:rsidRPr="007114AF">
              <w:rPr>
                <w:rFonts w:ascii="Garamond" w:hAnsi="Garamond" w:cs="Calibri"/>
                <w:sz w:val="18"/>
                <w:szCs w:val="18"/>
              </w:rPr>
              <w:t xml:space="preserve">1841.5 </w:t>
            </w:r>
            <w:r w:rsidR="001C47F0" w:rsidRPr="007114AF">
              <w:rPr>
                <w:rFonts w:ascii="Garamond" w:hAnsi="Garamond" w:cs="Calibri"/>
                <w:sz w:val="18"/>
                <w:szCs w:val="18"/>
              </w:rPr>
              <w:t xml:space="preserve">milionë </w:t>
            </w:r>
            <w:r w:rsidRPr="007114AF">
              <w:rPr>
                <w:rFonts w:ascii="Garamond" w:hAnsi="Garamond" w:cs="Calibri"/>
                <w:sz w:val="18"/>
                <w:szCs w:val="18"/>
              </w:rPr>
              <w:t>LEKË</w:t>
            </w:r>
          </w:p>
        </w:tc>
        <w:tc>
          <w:tcPr>
            <w:tcW w:w="1413" w:type="dxa"/>
            <w:shd w:val="clear" w:color="auto" w:fill="auto"/>
          </w:tcPr>
          <w:p w14:paraId="6EDD14CB" w14:textId="2DF07500" w:rsidR="00E45764" w:rsidRPr="007114AF" w:rsidRDefault="00E45764" w:rsidP="00D82F76">
            <w:pPr>
              <w:spacing w:after="0" w:line="240" w:lineRule="auto"/>
              <w:rPr>
                <w:rFonts w:ascii="Garamond" w:hAnsi="Garamond"/>
                <w:sz w:val="18"/>
                <w:szCs w:val="18"/>
              </w:rPr>
            </w:pPr>
            <w:r w:rsidRPr="007114AF">
              <w:rPr>
                <w:rFonts w:ascii="Garamond" w:hAnsi="Garamond" w:cs="Calibri"/>
                <w:sz w:val="18"/>
                <w:szCs w:val="18"/>
              </w:rPr>
              <w:t>për t</w:t>
            </w:r>
            <w:r w:rsidR="00D10DAB" w:rsidRPr="007114AF">
              <w:rPr>
                <w:rFonts w:ascii="Garamond" w:hAnsi="Garamond" w:cs="Calibri"/>
                <w:sz w:val="18"/>
                <w:szCs w:val="18"/>
              </w:rPr>
              <w:t>’</w:t>
            </w:r>
            <w:r w:rsidRPr="007114AF">
              <w:rPr>
                <w:rFonts w:ascii="Garamond" w:hAnsi="Garamond" w:cs="Calibri"/>
                <w:sz w:val="18"/>
                <w:szCs w:val="18"/>
              </w:rPr>
              <w:t>u vendosur</w:t>
            </w:r>
          </w:p>
        </w:tc>
        <w:tc>
          <w:tcPr>
            <w:tcW w:w="5103" w:type="dxa"/>
            <w:shd w:val="clear" w:color="auto" w:fill="auto"/>
          </w:tcPr>
          <w:p w14:paraId="6EDD14CC" w14:textId="77777777" w:rsidR="00E45764" w:rsidRPr="007114AF" w:rsidRDefault="00E45764" w:rsidP="00D82F76">
            <w:pPr>
              <w:spacing w:after="0" w:line="240" w:lineRule="auto"/>
              <w:rPr>
                <w:rFonts w:ascii="Garamond" w:hAnsi="Garamond" w:cs="Calibri"/>
                <w:sz w:val="18"/>
                <w:szCs w:val="18"/>
              </w:rPr>
            </w:pPr>
            <w:r w:rsidRPr="007114AF">
              <w:rPr>
                <w:rFonts w:ascii="Garamond" w:hAnsi="Garamond" w:cs="Calibri"/>
                <w:sz w:val="18"/>
                <w:szCs w:val="18"/>
              </w:rPr>
              <w:t>- afatshkurtër: BE IPA II, aplikimi i dërguar (1080 mil. LEKË)</w:t>
            </w:r>
          </w:p>
          <w:p w14:paraId="6EDD14CD" w14:textId="77777777" w:rsidR="00E45764" w:rsidRPr="007114AF" w:rsidRDefault="00E45764" w:rsidP="00D82F76">
            <w:pPr>
              <w:spacing w:after="0" w:line="240" w:lineRule="auto"/>
              <w:rPr>
                <w:rFonts w:ascii="Garamond" w:hAnsi="Garamond" w:cs="Calibri"/>
                <w:sz w:val="18"/>
                <w:szCs w:val="18"/>
              </w:rPr>
            </w:pPr>
            <w:r w:rsidRPr="007114AF">
              <w:rPr>
                <w:rFonts w:ascii="Garamond" w:hAnsi="Garamond" w:cs="Calibri"/>
                <w:sz w:val="18"/>
                <w:szCs w:val="18"/>
              </w:rPr>
              <w:t>- afatmesëm/afatgjatë: FGJK (GCF), BERZH, KfW</w:t>
            </w:r>
          </w:p>
          <w:p w14:paraId="6EDD14CE" w14:textId="77777777" w:rsidR="00E45764" w:rsidRPr="007114AF" w:rsidRDefault="00E45764" w:rsidP="00D82F76">
            <w:pPr>
              <w:spacing w:after="0" w:line="240" w:lineRule="auto"/>
              <w:rPr>
                <w:rFonts w:ascii="Garamond" w:hAnsi="Garamond" w:cs="Calibri"/>
                <w:sz w:val="18"/>
                <w:szCs w:val="18"/>
              </w:rPr>
            </w:pPr>
          </w:p>
        </w:tc>
        <w:tc>
          <w:tcPr>
            <w:tcW w:w="3402" w:type="dxa"/>
            <w:shd w:val="clear" w:color="auto" w:fill="auto"/>
          </w:tcPr>
          <w:p w14:paraId="6EDD14CF" w14:textId="77777777" w:rsidR="00E45764" w:rsidRPr="007114AF" w:rsidRDefault="00E45764" w:rsidP="00D82F76">
            <w:pPr>
              <w:spacing w:after="0" w:line="240" w:lineRule="auto"/>
              <w:rPr>
                <w:rFonts w:ascii="Garamond" w:hAnsi="Garamond" w:cs="Calibri"/>
                <w:sz w:val="18"/>
                <w:szCs w:val="18"/>
              </w:rPr>
            </w:pPr>
            <w:r w:rsidRPr="007114AF">
              <w:rPr>
                <w:rFonts w:ascii="Garamond" w:hAnsi="Garamond" w:cs="Calibri"/>
                <w:sz w:val="18"/>
                <w:szCs w:val="18"/>
              </w:rPr>
              <w:t xml:space="preserve">- Duhet të prioritizohet për përgatitjen/zhvillimin e projektit në fundryshimet klimatikesion të donatorëve ndërkombëtarë në shkallë të gjerë </w:t>
            </w:r>
          </w:p>
        </w:tc>
      </w:tr>
      <w:tr w:rsidR="00E45764" w:rsidRPr="007114AF" w14:paraId="6EDD14D9" w14:textId="77777777" w:rsidTr="00BA14F8">
        <w:tc>
          <w:tcPr>
            <w:tcW w:w="3251" w:type="dxa"/>
            <w:shd w:val="clear" w:color="auto" w:fill="auto"/>
          </w:tcPr>
          <w:p w14:paraId="6EDD14D1" w14:textId="6FAC94EB" w:rsidR="00E45764" w:rsidRPr="007114AF" w:rsidRDefault="008D30FC" w:rsidP="00D82F76">
            <w:pPr>
              <w:spacing w:after="0" w:line="240" w:lineRule="auto"/>
              <w:rPr>
                <w:rFonts w:ascii="Garamond" w:hAnsi="Garamond" w:cs="Calibri"/>
                <w:sz w:val="18"/>
                <w:szCs w:val="18"/>
              </w:rPr>
            </w:pPr>
            <w:r w:rsidRPr="007114AF">
              <w:rPr>
                <w:rFonts w:ascii="Garamond" w:hAnsi="Garamond" w:cs="Calibri"/>
                <w:sz w:val="18"/>
                <w:szCs w:val="18"/>
              </w:rPr>
              <w:t xml:space="preserve">Nr. </w:t>
            </w:r>
            <w:r w:rsidR="00E45764" w:rsidRPr="007114AF">
              <w:rPr>
                <w:rFonts w:ascii="Garamond" w:hAnsi="Garamond" w:cs="Calibri"/>
                <w:sz w:val="18"/>
                <w:szCs w:val="18"/>
              </w:rPr>
              <w:t>8: Menaxhimi i Integruar i Burimeve Ujore</w:t>
            </w:r>
          </w:p>
        </w:tc>
        <w:tc>
          <w:tcPr>
            <w:tcW w:w="1417" w:type="dxa"/>
            <w:shd w:val="clear" w:color="auto" w:fill="auto"/>
            <w:vAlign w:val="center"/>
          </w:tcPr>
          <w:p w14:paraId="6EDD14D2" w14:textId="77777777" w:rsidR="00E45764" w:rsidRPr="007114AF" w:rsidRDefault="00E45764" w:rsidP="00D82F76">
            <w:pPr>
              <w:spacing w:after="0" w:line="240" w:lineRule="auto"/>
              <w:rPr>
                <w:rFonts w:ascii="Garamond" w:hAnsi="Garamond" w:cs="Calibri"/>
                <w:sz w:val="18"/>
                <w:szCs w:val="18"/>
              </w:rPr>
            </w:pPr>
            <w:r w:rsidRPr="007114AF">
              <w:rPr>
                <w:rFonts w:ascii="Garamond" w:hAnsi="Garamond" w:cs="Calibri"/>
                <w:sz w:val="18"/>
                <w:szCs w:val="18"/>
              </w:rPr>
              <w:t>392</w:t>
            </w:r>
          </w:p>
          <w:p w14:paraId="6EDD14D3" w14:textId="66DA5C30" w:rsidR="00E45764" w:rsidRPr="007114AF" w:rsidRDefault="001C47F0" w:rsidP="00D82F76">
            <w:pPr>
              <w:spacing w:after="0" w:line="240" w:lineRule="auto"/>
              <w:rPr>
                <w:rFonts w:ascii="Garamond" w:hAnsi="Garamond" w:cs="Calibri"/>
                <w:sz w:val="18"/>
                <w:szCs w:val="18"/>
              </w:rPr>
            </w:pPr>
            <w:r w:rsidRPr="007114AF">
              <w:rPr>
                <w:rFonts w:ascii="Garamond" w:hAnsi="Garamond" w:cs="Calibri"/>
                <w:sz w:val="18"/>
                <w:szCs w:val="18"/>
              </w:rPr>
              <w:t xml:space="preserve">milionë </w:t>
            </w:r>
            <w:r w:rsidR="00E45764" w:rsidRPr="007114AF">
              <w:rPr>
                <w:rFonts w:ascii="Garamond" w:hAnsi="Garamond" w:cs="Calibri"/>
                <w:sz w:val="18"/>
                <w:szCs w:val="18"/>
              </w:rPr>
              <w:t>LEKË</w:t>
            </w:r>
          </w:p>
        </w:tc>
        <w:tc>
          <w:tcPr>
            <w:tcW w:w="1413" w:type="dxa"/>
            <w:shd w:val="clear" w:color="auto" w:fill="auto"/>
          </w:tcPr>
          <w:p w14:paraId="6EDD14D4" w14:textId="37F8F5C6" w:rsidR="00E45764" w:rsidRPr="007114AF" w:rsidRDefault="00E45764" w:rsidP="00D82F76">
            <w:pPr>
              <w:spacing w:after="0" w:line="240" w:lineRule="auto"/>
              <w:rPr>
                <w:rFonts w:ascii="Garamond" w:hAnsi="Garamond"/>
                <w:sz w:val="18"/>
                <w:szCs w:val="18"/>
              </w:rPr>
            </w:pPr>
            <w:r w:rsidRPr="007114AF">
              <w:rPr>
                <w:rFonts w:ascii="Garamond" w:hAnsi="Garamond" w:cs="Calibri"/>
                <w:sz w:val="18"/>
                <w:szCs w:val="18"/>
              </w:rPr>
              <w:t>për t</w:t>
            </w:r>
            <w:r w:rsidR="00D10DAB" w:rsidRPr="007114AF">
              <w:rPr>
                <w:rFonts w:ascii="Garamond" w:hAnsi="Garamond" w:cs="Calibri"/>
                <w:sz w:val="18"/>
                <w:szCs w:val="18"/>
              </w:rPr>
              <w:t>’</w:t>
            </w:r>
            <w:r w:rsidRPr="007114AF">
              <w:rPr>
                <w:rFonts w:ascii="Garamond" w:hAnsi="Garamond" w:cs="Calibri"/>
                <w:sz w:val="18"/>
                <w:szCs w:val="18"/>
              </w:rPr>
              <w:t>u vendosur</w:t>
            </w:r>
          </w:p>
        </w:tc>
        <w:tc>
          <w:tcPr>
            <w:tcW w:w="5103" w:type="dxa"/>
            <w:shd w:val="clear" w:color="auto" w:fill="auto"/>
          </w:tcPr>
          <w:p w14:paraId="6EDD14D5" w14:textId="165D2F35" w:rsidR="00E45764" w:rsidRPr="007114AF" w:rsidRDefault="00E45764" w:rsidP="00D82F76">
            <w:pPr>
              <w:spacing w:after="0" w:line="240" w:lineRule="auto"/>
              <w:rPr>
                <w:rFonts w:ascii="Garamond" w:hAnsi="Garamond" w:cs="Calibri"/>
                <w:sz w:val="18"/>
                <w:szCs w:val="18"/>
              </w:rPr>
            </w:pPr>
            <w:r w:rsidRPr="007114AF">
              <w:rPr>
                <w:rFonts w:ascii="Garamond" w:hAnsi="Garamond" w:cs="Calibri"/>
                <w:sz w:val="18"/>
                <w:szCs w:val="18"/>
              </w:rPr>
              <w:t>-</w:t>
            </w:r>
            <w:r w:rsidR="000A2A01" w:rsidRPr="007114AF">
              <w:rPr>
                <w:rFonts w:ascii="Garamond" w:hAnsi="Garamond" w:cs="Calibri"/>
                <w:sz w:val="18"/>
                <w:szCs w:val="18"/>
              </w:rPr>
              <w:t xml:space="preserve"> </w:t>
            </w:r>
            <w:r w:rsidRPr="007114AF">
              <w:rPr>
                <w:rFonts w:ascii="Garamond" w:hAnsi="Garamond" w:cs="Calibri"/>
                <w:sz w:val="18"/>
                <w:szCs w:val="18"/>
              </w:rPr>
              <w:t>afatmesëm/afatgjatë: FGJK (GCF), BERZH, KfW (në fundryshimet klimatikesion të huave) dhe SIDA (si financues i mëparshëm), Gjermania/ICI (me fokus në Përshtatjen e bazuar në Ekosistem), në fundryshimet klimatikesion të granteve</w:t>
            </w:r>
          </w:p>
        </w:tc>
        <w:tc>
          <w:tcPr>
            <w:tcW w:w="3402" w:type="dxa"/>
            <w:shd w:val="clear" w:color="auto" w:fill="auto"/>
          </w:tcPr>
          <w:p w14:paraId="6EDD14D6" w14:textId="77777777" w:rsidR="00E45764" w:rsidRPr="007114AF" w:rsidRDefault="00E45764" w:rsidP="00D82F76">
            <w:pPr>
              <w:spacing w:after="0" w:line="240" w:lineRule="auto"/>
              <w:rPr>
                <w:rFonts w:ascii="Garamond" w:hAnsi="Garamond"/>
                <w:sz w:val="18"/>
                <w:szCs w:val="18"/>
              </w:rPr>
            </w:pPr>
            <w:r w:rsidRPr="007114AF">
              <w:rPr>
                <w:rFonts w:ascii="Garamond" w:hAnsi="Garamond"/>
                <w:sz w:val="18"/>
                <w:szCs w:val="18"/>
              </w:rPr>
              <w:t>- Nevojat për llogaritjen e shpenzimeve duhet të rishikohen. Llogaritja e shpenzimeve të masës së ardhshme në vend të masës së financuar</w:t>
            </w:r>
          </w:p>
          <w:p w14:paraId="6EDD14D7" w14:textId="6E0590CB" w:rsidR="00E45764" w:rsidRPr="007114AF" w:rsidRDefault="00E45764" w:rsidP="00D82F76">
            <w:pPr>
              <w:spacing w:after="0" w:line="240" w:lineRule="auto"/>
              <w:rPr>
                <w:rFonts w:ascii="Garamond" w:hAnsi="Garamond"/>
                <w:sz w:val="18"/>
                <w:szCs w:val="18"/>
              </w:rPr>
            </w:pPr>
            <w:r w:rsidRPr="007114AF">
              <w:rPr>
                <w:rFonts w:ascii="Garamond" w:hAnsi="Garamond"/>
                <w:sz w:val="18"/>
                <w:szCs w:val="18"/>
              </w:rPr>
              <w:t>- Duhet të prioritizohen për përgatitjen/zhvillimin e projektit</w:t>
            </w:r>
            <w:r w:rsidR="000A2A01" w:rsidRPr="007114AF">
              <w:rPr>
                <w:rFonts w:ascii="Garamond" w:hAnsi="Garamond"/>
                <w:sz w:val="18"/>
                <w:szCs w:val="18"/>
              </w:rPr>
              <w:t xml:space="preserve"> </w:t>
            </w:r>
          </w:p>
          <w:p w14:paraId="6EDD14D8" w14:textId="0995CB7B" w:rsidR="00E45764" w:rsidRPr="007114AF" w:rsidRDefault="00E45764" w:rsidP="00D82F76">
            <w:pPr>
              <w:spacing w:after="0" w:line="240" w:lineRule="auto"/>
              <w:rPr>
                <w:rFonts w:ascii="Garamond" w:hAnsi="Garamond"/>
                <w:sz w:val="18"/>
                <w:szCs w:val="18"/>
              </w:rPr>
            </w:pPr>
            <w:r w:rsidRPr="007114AF">
              <w:rPr>
                <w:rFonts w:ascii="Garamond" w:hAnsi="Garamond"/>
                <w:sz w:val="18"/>
                <w:szCs w:val="18"/>
              </w:rPr>
              <w:t xml:space="preserve">217.5 </w:t>
            </w:r>
            <w:r w:rsidR="001C47F0" w:rsidRPr="007114AF">
              <w:rPr>
                <w:rFonts w:ascii="Garamond" w:hAnsi="Garamond"/>
                <w:sz w:val="18"/>
                <w:szCs w:val="18"/>
              </w:rPr>
              <w:t xml:space="preserve">milionë </w:t>
            </w:r>
            <w:r w:rsidRPr="007114AF">
              <w:rPr>
                <w:rFonts w:ascii="Garamond" w:hAnsi="Garamond"/>
                <w:sz w:val="18"/>
                <w:szCs w:val="18"/>
              </w:rPr>
              <w:t>LEKË</w:t>
            </w:r>
          </w:p>
        </w:tc>
      </w:tr>
      <w:tr w:rsidR="00E45764" w:rsidRPr="007114AF" w14:paraId="6EDD14E4" w14:textId="77777777" w:rsidTr="00BA14F8">
        <w:trPr>
          <w:trHeight w:val="440"/>
        </w:trPr>
        <w:tc>
          <w:tcPr>
            <w:tcW w:w="3251" w:type="dxa"/>
            <w:shd w:val="clear" w:color="auto" w:fill="auto"/>
          </w:tcPr>
          <w:p w14:paraId="6EDD14DA" w14:textId="27CE8590" w:rsidR="00E45764" w:rsidRPr="007114AF" w:rsidRDefault="008D30FC" w:rsidP="00D82F76">
            <w:pPr>
              <w:spacing w:after="0" w:line="240" w:lineRule="auto"/>
              <w:rPr>
                <w:rFonts w:ascii="Garamond" w:hAnsi="Garamond" w:cs="Calibri"/>
                <w:sz w:val="18"/>
                <w:szCs w:val="18"/>
              </w:rPr>
            </w:pPr>
            <w:r w:rsidRPr="007114AF">
              <w:rPr>
                <w:rFonts w:ascii="Garamond" w:hAnsi="Garamond" w:cs="Calibri"/>
                <w:sz w:val="18"/>
                <w:szCs w:val="18"/>
              </w:rPr>
              <w:t xml:space="preserve">Nr. </w:t>
            </w:r>
            <w:r w:rsidR="00E45764" w:rsidRPr="007114AF">
              <w:rPr>
                <w:rFonts w:ascii="Garamond" w:hAnsi="Garamond" w:cs="Calibri"/>
                <w:sz w:val="18"/>
                <w:szCs w:val="18"/>
              </w:rPr>
              <w:t>9:</w:t>
            </w:r>
            <w:r w:rsidR="000A2A01" w:rsidRPr="007114AF">
              <w:rPr>
                <w:rFonts w:ascii="Garamond" w:hAnsi="Garamond" w:cs="Calibri"/>
                <w:sz w:val="18"/>
                <w:szCs w:val="18"/>
              </w:rPr>
              <w:t xml:space="preserve"> </w:t>
            </w:r>
            <w:r w:rsidR="00E45764" w:rsidRPr="007114AF">
              <w:rPr>
                <w:rFonts w:ascii="Garamond" w:hAnsi="Garamond" w:cs="Calibri"/>
                <w:sz w:val="18"/>
                <w:szCs w:val="18"/>
              </w:rPr>
              <w:t>Përshtatja në sektorin agrar</w:t>
            </w:r>
          </w:p>
        </w:tc>
        <w:tc>
          <w:tcPr>
            <w:tcW w:w="1417" w:type="dxa"/>
            <w:shd w:val="clear" w:color="auto" w:fill="auto"/>
            <w:vAlign w:val="center"/>
          </w:tcPr>
          <w:p w14:paraId="6EDD14DB" w14:textId="2870A1FB" w:rsidR="00E45764" w:rsidRPr="007114AF" w:rsidRDefault="00E45764" w:rsidP="00D82F76">
            <w:pPr>
              <w:spacing w:after="0" w:line="240" w:lineRule="auto"/>
              <w:rPr>
                <w:rFonts w:ascii="Garamond" w:hAnsi="Garamond" w:cs="Calibri"/>
                <w:sz w:val="18"/>
                <w:szCs w:val="18"/>
              </w:rPr>
            </w:pPr>
            <w:r w:rsidRPr="007114AF">
              <w:rPr>
                <w:rFonts w:ascii="Garamond" w:hAnsi="Garamond" w:cs="Calibri"/>
                <w:sz w:val="18"/>
                <w:szCs w:val="18"/>
              </w:rPr>
              <w:t xml:space="preserve">925 </w:t>
            </w:r>
            <w:r w:rsidR="001C47F0" w:rsidRPr="007114AF">
              <w:rPr>
                <w:rFonts w:ascii="Garamond" w:hAnsi="Garamond" w:cs="Calibri"/>
                <w:sz w:val="18"/>
                <w:szCs w:val="18"/>
              </w:rPr>
              <w:t xml:space="preserve">milionë </w:t>
            </w:r>
            <w:r w:rsidRPr="007114AF">
              <w:rPr>
                <w:rFonts w:ascii="Garamond" w:hAnsi="Garamond" w:cs="Calibri"/>
                <w:sz w:val="18"/>
                <w:szCs w:val="18"/>
              </w:rPr>
              <w:t>LEKË</w:t>
            </w:r>
          </w:p>
        </w:tc>
        <w:tc>
          <w:tcPr>
            <w:tcW w:w="1413" w:type="dxa"/>
            <w:shd w:val="clear" w:color="auto" w:fill="auto"/>
            <w:vAlign w:val="center"/>
          </w:tcPr>
          <w:p w14:paraId="6EDD14DC" w14:textId="7CC644F9" w:rsidR="00E45764" w:rsidRPr="007114AF" w:rsidRDefault="00E45764" w:rsidP="00D82F76">
            <w:pPr>
              <w:spacing w:after="0" w:line="240" w:lineRule="auto"/>
              <w:rPr>
                <w:rFonts w:ascii="Garamond" w:hAnsi="Garamond" w:cs="Calibri"/>
                <w:sz w:val="18"/>
                <w:szCs w:val="18"/>
              </w:rPr>
            </w:pPr>
            <w:r w:rsidRPr="007114AF">
              <w:rPr>
                <w:rFonts w:ascii="Garamond" w:hAnsi="Garamond" w:cs="Calibri"/>
                <w:sz w:val="18"/>
                <w:szCs w:val="18"/>
              </w:rPr>
              <w:t xml:space="preserve">160 </w:t>
            </w:r>
            <w:r w:rsidR="001C47F0" w:rsidRPr="007114AF">
              <w:rPr>
                <w:rFonts w:ascii="Garamond" w:hAnsi="Garamond" w:cs="Calibri"/>
                <w:sz w:val="18"/>
                <w:szCs w:val="18"/>
              </w:rPr>
              <w:t xml:space="preserve">milionë </w:t>
            </w:r>
            <w:r w:rsidRPr="007114AF">
              <w:rPr>
                <w:rFonts w:ascii="Garamond" w:hAnsi="Garamond" w:cs="Calibri"/>
                <w:sz w:val="18"/>
                <w:szCs w:val="18"/>
              </w:rPr>
              <w:t>LEKË</w:t>
            </w:r>
          </w:p>
        </w:tc>
        <w:tc>
          <w:tcPr>
            <w:tcW w:w="5103" w:type="dxa"/>
            <w:shd w:val="clear" w:color="auto" w:fill="auto"/>
            <w:vAlign w:val="center"/>
          </w:tcPr>
          <w:p w14:paraId="6EDD14DD" w14:textId="77777777" w:rsidR="00E45764" w:rsidRPr="007114AF" w:rsidRDefault="00E45764" w:rsidP="00D82F76">
            <w:pPr>
              <w:spacing w:after="0" w:line="240" w:lineRule="auto"/>
              <w:rPr>
                <w:rFonts w:ascii="Garamond" w:hAnsi="Garamond" w:cs="Calibri"/>
                <w:sz w:val="18"/>
                <w:szCs w:val="18"/>
              </w:rPr>
            </w:pPr>
            <w:r w:rsidRPr="007114AF">
              <w:rPr>
                <w:rFonts w:ascii="Garamond" w:hAnsi="Garamond" w:cs="Calibri"/>
                <w:sz w:val="18"/>
                <w:szCs w:val="18"/>
              </w:rPr>
              <w:t>- afatshkurtër: FAO (për grante më të vogla dhe asistencë teknike)</w:t>
            </w:r>
          </w:p>
          <w:p w14:paraId="6EDD14DE" w14:textId="77777777" w:rsidR="00E45764" w:rsidRPr="007114AF" w:rsidRDefault="00E45764" w:rsidP="00D82F76">
            <w:pPr>
              <w:spacing w:after="0" w:line="240" w:lineRule="auto"/>
              <w:rPr>
                <w:rFonts w:ascii="Garamond" w:hAnsi="Garamond" w:cs="Calibri"/>
                <w:sz w:val="18"/>
                <w:szCs w:val="18"/>
              </w:rPr>
            </w:pPr>
            <w:r w:rsidRPr="007114AF">
              <w:rPr>
                <w:rFonts w:ascii="Garamond" w:hAnsi="Garamond" w:cs="Calibri"/>
                <w:sz w:val="18"/>
                <w:szCs w:val="18"/>
              </w:rPr>
              <w:t>- afatmesëm dhe afatgjatë: IFAD (për huatë koncesionare), BERZH</w:t>
            </w:r>
          </w:p>
          <w:p w14:paraId="6EDD14DF" w14:textId="77777777" w:rsidR="00E45764" w:rsidRPr="007114AF" w:rsidRDefault="00E45764" w:rsidP="00D82F76">
            <w:pPr>
              <w:spacing w:after="0" w:line="240" w:lineRule="auto"/>
              <w:rPr>
                <w:rFonts w:ascii="Garamond" w:hAnsi="Garamond" w:cs="Calibri"/>
                <w:sz w:val="18"/>
                <w:szCs w:val="18"/>
              </w:rPr>
            </w:pPr>
            <w:r w:rsidRPr="007114AF">
              <w:rPr>
                <w:rFonts w:ascii="Garamond" w:hAnsi="Garamond" w:cs="Calibri"/>
                <w:sz w:val="18"/>
                <w:szCs w:val="18"/>
              </w:rPr>
              <w:t>- PES, sigurimet e rrezikut për fermerët ose instrumente të tjera inovative (afatmesme ose afatgjata)</w:t>
            </w:r>
          </w:p>
          <w:p w14:paraId="6EDD14E0" w14:textId="77777777" w:rsidR="00E45764" w:rsidRPr="007114AF" w:rsidRDefault="00E45764" w:rsidP="00D82F76">
            <w:pPr>
              <w:spacing w:after="0" w:line="240" w:lineRule="auto"/>
              <w:rPr>
                <w:rFonts w:ascii="Garamond" w:hAnsi="Garamond" w:cs="Calibri"/>
                <w:sz w:val="18"/>
                <w:szCs w:val="18"/>
              </w:rPr>
            </w:pPr>
            <w:r w:rsidRPr="007114AF">
              <w:rPr>
                <w:rFonts w:ascii="Garamond" w:hAnsi="Garamond" w:cs="Calibri"/>
                <w:sz w:val="18"/>
                <w:szCs w:val="18"/>
              </w:rPr>
              <w:t xml:space="preserve">- BE Horizon 2020 për grante kërkimore </w:t>
            </w:r>
          </w:p>
        </w:tc>
        <w:tc>
          <w:tcPr>
            <w:tcW w:w="3402" w:type="dxa"/>
            <w:shd w:val="clear" w:color="auto" w:fill="auto"/>
          </w:tcPr>
          <w:p w14:paraId="6EDD14E1" w14:textId="77777777" w:rsidR="00E45764" w:rsidRPr="007114AF" w:rsidRDefault="00E45764" w:rsidP="00D82F76">
            <w:pPr>
              <w:spacing w:after="0" w:line="240" w:lineRule="auto"/>
              <w:rPr>
                <w:rFonts w:ascii="Garamond" w:hAnsi="Garamond"/>
                <w:sz w:val="18"/>
                <w:szCs w:val="18"/>
              </w:rPr>
            </w:pPr>
            <w:r w:rsidRPr="007114AF">
              <w:rPr>
                <w:rFonts w:ascii="Garamond" w:hAnsi="Garamond"/>
                <w:sz w:val="18"/>
                <w:szCs w:val="18"/>
              </w:rPr>
              <w:t>-të plotësohet/rishikohet treguesi 3.1</w:t>
            </w:r>
          </w:p>
          <w:p w14:paraId="6EDD14E2" w14:textId="77777777" w:rsidR="00E45764" w:rsidRPr="007114AF" w:rsidRDefault="00E45764" w:rsidP="00D82F76">
            <w:pPr>
              <w:spacing w:after="0" w:line="240" w:lineRule="auto"/>
              <w:rPr>
                <w:rFonts w:ascii="Garamond" w:hAnsi="Garamond"/>
                <w:sz w:val="18"/>
                <w:szCs w:val="18"/>
              </w:rPr>
            </w:pPr>
            <w:r w:rsidRPr="007114AF">
              <w:rPr>
                <w:rFonts w:ascii="Garamond" w:hAnsi="Garamond"/>
                <w:sz w:val="18"/>
                <w:szCs w:val="18"/>
              </w:rPr>
              <w:t xml:space="preserve">- të kontrollohet nëse aplikimi AF për ndryshimet Klimatike i drejtuar nga Banka Botërore është në progres apo nëse duhet të rishikohet </w:t>
            </w:r>
          </w:p>
          <w:p w14:paraId="6EDD14E3" w14:textId="77777777" w:rsidR="00E45764" w:rsidRPr="007114AF" w:rsidRDefault="00E45764" w:rsidP="00D82F76">
            <w:pPr>
              <w:spacing w:after="0" w:line="240" w:lineRule="auto"/>
              <w:rPr>
                <w:rFonts w:ascii="Garamond" w:hAnsi="Garamond"/>
                <w:sz w:val="18"/>
                <w:szCs w:val="18"/>
              </w:rPr>
            </w:pPr>
          </w:p>
        </w:tc>
      </w:tr>
      <w:tr w:rsidR="00E45764" w:rsidRPr="007114AF" w14:paraId="6EDD14EA" w14:textId="77777777" w:rsidTr="00BA14F8">
        <w:tc>
          <w:tcPr>
            <w:tcW w:w="3251" w:type="dxa"/>
            <w:shd w:val="clear" w:color="auto" w:fill="auto"/>
          </w:tcPr>
          <w:p w14:paraId="6EDD14E5" w14:textId="075FAB6C" w:rsidR="00E45764" w:rsidRPr="007114AF" w:rsidRDefault="008D30FC" w:rsidP="00D82F76">
            <w:pPr>
              <w:pStyle w:val="Tabellentext"/>
              <w:pBdr>
                <w:bar w:val="single" w:sz="4" w:color="FF8080"/>
              </w:pBdr>
              <w:jc w:val="both"/>
              <w:rPr>
                <w:rFonts w:ascii="Garamond" w:hAnsi="Garamond" w:cs="Calibri"/>
                <w:sz w:val="18"/>
                <w:szCs w:val="18"/>
                <w:lang w:val="sq-AL"/>
              </w:rPr>
            </w:pPr>
            <w:r w:rsidRPr="007114AF">
              <w:rPr>
                <w:rFonts w:ascii="Garamond" w:eastAsia="MS Mincho" w:hAnsi="Garamond" w:cs="Calibri"/>
                <w:bCs w:val="0"/>
                <w:iCs w:val="0"/>
                <w:sz w:val="18"/>
                <w:szCs w:val="18"/>
                <w:lang w:val="sq-AL" w:eastAsia="en-US"/>
              </w:rPr>
              <w:t xml:space="preserve">Nr. </w:t>
            </w:r>
            <w:r w:rsidR="00E45764" w:rsidRPr="007114AF">
              <w:rPr>
                <w:rFonts w:ascii="Garamond" w:eastAsia="MS Mincho" w:hAnsi="Garamond" w:cs="Calibri"/>
                <w:bCs w:val="0"/>
                <w:iCs w:val="0"/>
                <w:sz w:val="18"/>
                <w:szCs w:val="18"/>
                <w:lang w:val="sq-AL" w:eastAsia="en-US"/>
              </w:rPr>
              <w:t>10:</w:t>
            </w:r>
            <w:r w:rsidR="000A2A01" w:rsidRPr="007114AF">
              <w:rPr>
                <w:rFonts w:ascii="Garamond" w:eastAsia="MS Mincho" w:hAnsi="Garamond" w:cs="Calibri"/>
                <w:bCs w:val="0"/>
                <w:iCs w:val="0"/>
                <w:sz w:val="18"/>
                <w:szCs w:val="18"/>
                <w:lang w:val="sq-AL" w:eastAsia="en-US"/>
              </w:rPr>
              <w:t xml:space="preserve"> </w:t>
            </w:r>
            <w:r w:rsidR="00E45764" w:rsidRPr="007114AF">
              <w:rPr>
                <w:rFonts w:ascii="Garamond" w:eastAsia="MS Mincho" w:hAnsi="Garamond" w:cs="Calibri"/>
                <w:bCs w:val="0"/>
                <w:iCs w:val="0"/>
                <w:sz w:val="18"/>
                <w:szCs w:val="18"/>
                <w:lang w:val="sq-AL" w:eastAsia="en-US"/>
              </w:rPr>
              <w:t>Nxitja e zbatimit të strategjisë së përshtatjes ndaj ndryshimeve klimatike për sektorin e shëndetësisë</w:t>
            </w:r>
          </w:p>
        </w:tc>
        <w:tc>
          <w:tcPr>
            <w:tcW w:w="1417" w:type="dxa"/>
            <w:shd w:val="clear" w:color="auto" w:fill="auto"/>
            <w:vAlign w:val="center"/>
          </w:tcPr>
          <w:p w14:paraId="6EDD14E6" w14:textId="09070F51" w:rsidR="00E45764" w:rsidRPr="007114AF" w:rsidRDefault="00E45764" w:rsidP="00D82F76">
            <w:pPr>
              <w:spacing w:after="0" w:line="240" w:lineRule="auto"/>
              <w:rPr>
                <w:rFonts w:ascii="Garamond" w:hAnsi="Garamond" w:cs="Calibri"/>
                <w:sz w:val="18"/>
                <w:szCs w:val="18"/>
              </w:rPr>
            </w:pPr>
            <w:r w:rsidRPr="007114AF">
              <w:rPr>
                <w:rFonts w:ascii="Garamond" w:hAnsi="Garamond" w:cs="Calibri"/>
                <w:sz w:val="18"/>
                <w:szCs w:val="18"/>
              </w:rPr>
              <w:t xml:space="preserve">145 </w:t>
            </w:r>
            <w:r w:rsidR="001C47F0" w:rsidRPr="007114AF">
              <w:rPr>
                <w:rFonts w:ascii="Garamond" w:hAnsi="Garamond" w:cs="Calibri"/>
                <w:sz w:val="18"/>
                <w:szCs w:val="18"/>
              </w:rPr>
              <w:t xml:space="preserve">milionë </w:t>
            </w:r>
            <w:r w:rsidRPr="007114AF">
              <w:rPr>
                <w:rFonts w:ascii="Garamond" w:hAnsi="Garamond" w:cs="Calibri"/>
                <w:sz w:val="18"/>
                <w:szCs w:val="18"/>
              </w:rPr>
              <w:t>LEKË</w:t>
            </w:r>
          </w:p>
        </w:tc>
        <w:tc>
          <w:tcPr>
            <w:tcW w:w="1413" w:type="dxa"/>
            <w:shd w:val="clear" w:color="auto" w:fill="auto"/>
            <w:vAlign w:val="center"/>
          </w:tcPr>
          <w:p w14:paraId="6EDD14E7" w14:textId="209F9434" w:rsidR="00E45764" w:rsidRPr="007114AF" w:rsidRDefault="00E45764" w:rsidP="00D82F76">
            <w:pPr>
              <w:spacing w:after="0" w:line="240" w:lineRule="auto"/>
              <w:rPr>
                <w:rFonts w:ascii="Garamond" w:hAnsi="Garamond" w:cs="Calibri"/>
                <w:sz w:val="18"/>
                <w:szCs w:val="18"/>
              </w:rPr>
            </w:pPr>
            <w:r w:rsidRPr="007114AF">
              <w:rPr>
                <w:rFonts w:ascii="Garamond" w:hAnsi="Garamond" w:cs="Calibri"/>
                <w:sz w:val="18"/>
                <w:szCs w:val="18"/>
              </w:rPr>
              <w:t xml:space="preserve">73 </w:t>
            </w:r>
            <w:r w:rsidR="001C47F0" w:rsidRPr="007114AF">
              <w:rPr>
                <w:rFonts w:ascii="Garamond" w:hAnsi="Garamond" w:cs="Calibri"/>
                <w:sz w:val="18"/>
                <w:szCs w:val="18"/>
              </w:rPr>
              <w:t xml:space="preserve">milionë </w:t>
            </w:r>
            <w:r w:rsidRPr="007114AF">
              <w:rPr>
                <w:rFonts w:ascii="Garamond" w:hAnsi="Garamond" w:cs="Calibri"/>
                <w:sz w:val="18"/>
                <w:szCs w:val="18"/>
              </w:rPr>
              <w:t>LEKË</w:t>
            </w:r>
          </w:p>
        </w:tc>
        <w:tc>
          <w:tcPr>
            <w:tcW w:w="5103" w:type="dxa"/>
            <w:shd w:val="clear" w:color="auto" w:fill="auto"/>
            <w:vAlign w:val="center"/>
          </w:tcPr>
          <w:p w14:paraId="6EDD14E8" w14:textId="59A6F597" w:rsidR="00E45764" w:rsidRPr="007114AF" w:rsidRDefault="00E45764" w:rsidP="00D82F76">
            <w:pPr>
              <w:spacing w:after="0" w:line="240" w:lineRule="auto"/>
              <w:rPr>
                <w:rFonts w:ascii="Garamond" w:hAnsi="Garamond" w:cs="Calibri"/>
                <w:sz w:val="18"/>
                <w:szCs w:val="18"/>
              </w:rPr>
            </w:pPr>
            <w:r w:rsidRPr="007114AF">
              <w:rPr>
                <w:rFonts w:ascii="Garamond" w:hAnsi="Garamond" w:cs="Calibri"/>
                <w:sz w:val="18"/>
                <w:szCs w:val="18"/>
              </w:rPr>
              <w:t xml:space="preserve">-Hendek financimi 12 </w:t>
            </w:r>
            <w:r w:rsidR="001C47F0" w:rsidRPr="007114AF">
              <w:rPr>
                <w:rFonts w:ascii="Garamond" w:hAnsi="Garamond" w:cs="Calibri"/>
                <w:sz w:val="18"/>
                <w:szCs w:val="18"/>
              </w:rPr>
              <w:t xml:space="preserve">milionë </w:t>
            </w:r>
            <w:r w:rsidRPr="007114AF">
              <w:rPr>
                <w:rFonts w:ascii="Garamond" w:hAnsi="Garamond" w:cs="Calibri"/>
                <w:sz w:val="18"/>
                <w:szCs w:val="18"/>
              </w:rPr>
              <w:t>LEKË</w:t>
            </w:r>
          </w:p>
        </w:tc>
        <w:tc>
          <w:tcPr>
            <w:tcW w:w="3402" w:type="dxa"/>
            <w:shd w:val="clear" w:color="auto" w:fill="auto"/>
          </w:tcPr>
          <w:p w14:paraId="6EDD14E9" w14:textId="77777777" w:rsidR="00E45764" w:rsidRPr="007114AF" w:rsidRDefault="00E45764" w:rsidP="00D82F76">
            <w:pPr>
              <w:spacing w:after="0" w:line="240" w:lineRule="auto"/>
              <w:rPr>
                <w:rFonts w:ascii="Garamond" w:hAnsi="Garamond"/>
                <w:sz w:val="18"/>
                <w:szCs w:val="18"/>
              </w:rPr>
            </w:pPr>
            <w:r w:rsidRPr="007114AF">
              <w:rPr>
                <w:rFonts w:ascii="Garamond" w:hAnsi="Garamond"/>
                <w:sz w:val="18"/>
                <w:szCs w:val="18"/>
              </w:rPr>
              <w:t>- pronësia brenda Ministrisë së Shëndetësisë duhet të rinovohet</w:t>
            </w:r>
          </w:p>
        </w:tc>
      </w:tr>
      <w:tr w:rsidR="00E45764" w:rsidRPr="007114AF" w14:paraId="6EDD14F2" w14:textId="77777777" w:rsidTr="00BA14F8">
        <w:trPr>
          <w:trHeight w:val="2014"/>
        </w:trPr>
        <w:tc>
          <w:tcPr>
            <w:tcW w:w="3251" w:type="dxa"/>
            <w:shd w:val="clear" w:color="auto" w:fill="auto"/>
          </w:tcPr>
          <w:p w14:paraId="6EDD14EB" w14:textId="3D71E198" w:rsidR="00E45764" w:rsidRPr="007114AF" w:rsidRDefault="008D30FC" w:rsidP="00D82F76">
            <w:pPr>
              <w:pStyle w:val="Tabellentext"/>
              <w:pBdr>
                <w:bar w:val="single" w:sz="4" w:color="FF8080"/>
              </w:pBdr>
              <w:jc w:val="both"/>
              <w:rPr>
                <w:rFonts w:ascii="Garamond" w:eastAsia="MS Mincho" w:hAnsi="Garamond" w:cs="Calibri"/>
                <w:bCs w:val="0"/>
                <w:iCs w:val="0"/>
                <w:sz w:val="18"/>
                <w:szCs w:val="18"/>
                <w:lang w:val="sq-AL" w:eastAsia="en-US"/>
              </w:rPr>
            </w:pPr>
            <w:r w:rsidRPr="007114AF">
              <w:rPr>
                <w:rFonts w:ascii="Garamond" w:eastAsia="MS Mincho" w:hAnsi="Garamond" w:cs="Calibri"/>
                <w:bCs w:val="0"/>
                <w:iCs w:val="0"/>
                <w:sz w:val="18"/>
                <w:szCs w:val="18"/>
                <w:lang w:val="sq-AL" w:eastAsia="en-US"/>
              </w:rPr>
              <w:lastRenderedPageBreak/>
              <w:t xml:space="preserve">Nr. </w:t>
            </w:r>
            <w:r w:rsidR="00E45764" w:rsidRPr="007114AF">
              <w:rPr>
                <w:rFonts w:ascii="Garamond" w:eastAsia="MS Mincho" w:hAnsi="Garamond" w:cs="Calibri"/>
                <w:bCs w:val="0"/>
                <w:iCs w:val="0"/>
                <w:sz w:val="18"/>
                <w:szCs w:val="18"/>
                <w:lang w:val="sq-AL" w:eastAsia="en-US"/>
              </w:rPr>
              <w:t>11:</w:t>
            </w:r>
            <w:r w:rsidR="000A2A01" w:rsidRPr="007114AF">
              <w:rPr>
                <w:rFonts w:ascii="Garamond" w:eastAsia="MS Mincho" w:hAnsi="Garamond" w:cs="Calibri"/>
                <w:bCs w:val="0"/>
                <w:iCs w:val="0"/>
                <w:sz w:val="18"/>
                <w:szCs w:val="18"/>
                <w:lang w:val="sq-AL" w:eastAsia="en-US"/>
              </w:rPr>
              <w:t xml:space="preserve"> </w:t>
            </w:r>
            <w:r w:rsidR="00E45764" w:rsidRPr="007114AF">
              <w:rPr>
                <w:rFonts w:ascii="Garamond" w:eastAsia="MS Mincho" w:hAnsi="Garamond" w:cs="Calibri"/>
                <w:bCs w:val="0"/>
                <w:iCs w:val="0"/>
                <w:sz w:val="18"/>
                <w:szCs w:val="18"/>
                <w:lang w:val="sq-AL" w:eastAsia="en-US"/>
              </w:rPr>
              <w:t xml:space="preserve">Plan i integruar ndërsektorial për Zonën Bregdetare </w:t>
            </w:r>
          </w:p>
          <w:p w14:paraId="6EDD14EC" w14:textId="77777777" w:rsidR="00E45764" w:rsidRPr="007114AF" w:rsidRDefault="00E45764" w:rsidP="00D82F76">
            <w:pPr>
              <w:spacing w:after="0" w:line="240" w:lineRule="auto"/>
              <w:rPr>
                <w:rFonts w:ascii="Garamond" w:hAnsi="Garamond" w:cs="Calibri"/>
                <w:sz w:val="18"/>
                <w:szCs w:val="18"/>
              </w:rPr>
            </w:pPr>
          </w:p>
        </w:tc>
        <w:tc>
          <w:tcPr>
            <w:tcW w:w="1417" w:type="dxa"/>
            <w:shd w:val="clear" w:color="auto" w:fill="auto"/>
            <w:vAlign w:val="center"/>
          </w:tcPr>
          <w:p w14:paraId="6EDD14ED" w14:textId="2E8E1CC9" w:rsidR="00E45764" w:rsidRPr="007114AF" w:rsidRDefault="00E45764" w:rsidP="00D82F76">
            <w:pPr>
              <w:spacing w:after="0" w:line="240" w:lineRule="auto"/>
              <w:rPr>
                <w:rFonts w:ascii="Garamond" w:hAnsi="Garamond" w:cs="Calibri"/>
                <w:sz w:val="18"/>
                <w:szCs w:val="18"/>
              </w:rPr>
            </w:pPr>
            <w:r w:rsidRPr="007114AF">
              <w:rPr>
                <w:rFonts w:ascii="Garamond" w:hAnsi="Garamond" w:cs="Calibri"/>
                <w:sz w:val="18"/>
                <w:szCs w:val="18"/>
              </w:rPr>
              <w:t xml:space="preserve">148.5 </w:t>
            </w:r>
            <w:r w:rsidR="001C47F0" w:rsidRPr="007114AF">
              <w:rPr>
                <w:rFonts w:ascii="Garamond" w:hAnsi="Garamond" w:cs="Calibri"/>
                <w:sz w:val="18"/>
                <w:szCs w:val="18"/>
              </w:rPr>
              <w:t xml:space="preserve">milionë </w:t>
            </w:r>
            <w:r w:rsidRPr="007114AF">
              <w:rPr>
                <w:rFonts w:ascii="Garamond" w:hAnsi="Garamond" w:cs="Calibri"/>
                <w:sz w:val="18"/>
                <w:szCs w:val="18"/>
              </w:rPr>
              <w:t>LEKË (për 3 vjet), kostot për vitin e katërt dhe më pas për t</w:t>
            </w:r>
            <w:r w:rsidR="00D10DAB" w:rsidRPr="007114AF">
              <w:rPr>
                <w:rFonts w:ascii="Garamond" w:hAnsi="Garamond" w:cs="Calibri"/>
                <w:sz w:val="18"/>
                <w:szCs w:val="18"/>
              </w:rPr>
              <w:t>’</w:t>
            </w:r>
            <w:r w:rsidRPr="007114AF">
              <w:rPr>
                <w:rFonts w:ascii="Garamond" w:hAnsi="Garamond" w:cs="Calibri"/>
                <w:sz w:val="18"/>
                <w:szCs w:val="18"/>
              </w:rPr>
              <w:t>u vendosur</w:t>
            </w:r>
          </w:p>
        </w:tc>
        <w:tc>
          <w:tcPr>
            <w:tcW w:w="1413" w:type="dxa"/>
            <w:shd w:val="clear" w:color="auto" w:fill="auto"/>
            <w:vAlign w:val="center"/>
          </w:tcPr>
          <w:p w14:paraId="6EDD14EE" w14:textId="4EEABA0E" w:rsidR="00E45764" w:rsidRPr="007114AF" w:rsidRDefault="00E45764" w:rsidP="00D82F76">
            <w:pPr>
              <w:spacing w:after="0" w:line="240" w:lineRule="auto"/>
              <w:rPr>
                <w:rFonts w:ascii="Garamond" w:hAnsi="Garamond" w:cs="Calibri"/>
                <w:sz w:val="18"/>
                <w:szCs w:val="18"/>
              </w:rPr>
            </w:pPr>
            <w:r w:rsidRPr="007114AF">
              <w:rPr>
                <w:rFonts w:ascii="Garamond" w:hAnsi="Garamond" w:cs="Calibri"/>
                <w:sz w:val="18"/>
                <w:szCs w:val="18"/>
              </w:rPr>
              <w:t>për t</w:t>
            </w:r>
            <w:r w:rsidR="00D10DAB" w:rsidRPr="007114AF">
              <w:rPr>
                <w:rFonts w:ascii="Garamond" w:hAnsi="Garamond" w:cs="Calibri"/>
                <w:sz w:val="18"/>
                <w:szCs w:val="18"/>
              </w:rPr>
              <w:t>’</w:t>
            </w:r>
            <w:r w:rsidRPr="007114AF">
              <w:rPr>
                <w:rFonts w:ascii="Garamond" w:hAnsi="Garamond" w:cs="Calibri"/>
                <w:sz w:val="18"/>
                <w:szCs w:val="18"/>
              </w:rPr>
              <w:t>u vendosur</w:t>
            </w:r>
          </w:p>
        </w:tc>
        <w:tc>
          <w:tcPr>
            <w:tcW w:w="5103" w:type="dxa"/>
            <w:shd w:val="clear" w:color="auto" w:fill="auto"/>
          </w:tcPr>
          <w:p w14:paraId="6EDD14EF" w14:textId="688651FF" w:rsidR="00E45764" w:rsidRPr="007114AF" w:rsidRDefault="00E45764" w:rsidP="00D82F76">
            <w:pPr>
              <w:spacing w:after="0" w:line="240" w:lineRule="auto"/>
              <w:rPr>
                <w:rFonts w:ascii="Garamond" w:hAnsi="Garamond" w:cs="Calibri"/>
                <w:sz w:val="18"/>
                <w:szCs w:val="18"/>
              </w:rPr>
            </w:pPr>
            <w:r w:rsidRPr="007114AF">
              <w:rPr>
                <w:rFonts w:ascii="Garamond" w:hAnsi="Garamond" w:cs="Calibri"/>
                <w:sz w:val="18"/>
                <w:szCs w:val="18"/>
              </w:rPr>
              <w:t>- afatshkurtër-afatmesëm: grante nga donatorë dypalësh, të tillë si Suedia, Austria, Japonia, Franca</w:t>
            </w:r>
            <w:r w:rsidR="000A2A01" w:rsidRPr="007114AF">
              <w:rPr>
                <w:rFonts w:ascii="Garamond" w:hAnsi="Garamond" w:cs="Calibri"/>
                <w:sz w:val="18"/>
                <w:szCs w:val="18"/>
              </w:rPr>
              <w:t xml:space="preserve"> </w:t>
            </w:r>
            <w:r w:rsidRPr="007114AF">
              <w:rPr>
                <w:rFonts w:ascii="Garamond" w:hAnsi="Garamond" w:cs="Calibri"/>
                <w:sz w:val="18"/>
                <w:szCs w:val="18"/>
              </w:rPr>
              <w:t xml:space="preserve">ose WBIF </w:t>
            </w:r>
          </w:p>
          <w:p w14:paraId="6EDD14F0" w14:textId="77777777" w:rsidR="00E45764" w:rsidRPr="007114AF" w:rsidRDefault="00E45764" w:rsidP="00D82F76">
            <w:pPr>
              <w:spacing w:after="0" w:line="240" w:lineRule="auto"/>
              <w:rPr>
                <w:rFonts w:ascii="Garamond" w:hAnsi="Garamond" w:cs="Calibri"/>
                <w:sz w:val="18"/>
                <w:szCs w:val="18"/>
              </w:rPr>
            </w:pPr>
          </w:p>
        </w:tc>
        <w:tc>
          <w:tcPr>
            <w:tcW w:w="3402" w:type="dxa"/>
            <w:shd w:val="clear" w:color="auto" w:fill="auto"/>
          </w:tcPr>
          <w:p w14:paraId="6EDD14F1" w14:textId="77777777" w:rsidR="00E45764" w:rsidRPr="007114AF" w:rsidRDefault="00E45764" w:rsidP="00D82F76">
            <w:pPr>
              <w:spacing w:after="0" w:line="240" w:lineRule="auto"/>
              <w:rPr>
                <w:rFonts w:ascii="Garamond" w:hAnsi="Garamond"/>
                <w:sz w:val="18"/>
                <w:szCs w:val="18"/>
              </w:rPr>
            </w:pPr>
            <w:r w:rsidRPr="007114AF">
              <w:rPr>
                <w:rFonts w:ascii="Garamond" w:hAnsi="Garamond"/>
                <w:sz w:val="18"/>
                <w:szCs w:val="18"/>
              </w:rPr>
              <w:t>- Në cilën masë propozimi i PNUD-it FGJK (GCF) mbulon elementë të kësaj PA-je</w:t>
            </w:r>
          </w:p>
        </w:tc>
      </w:tr>
      <w:tr w:rsidR="00E45764" w:rsidRPr="007114AF" w14:paraId="6EDD14FA" w14:textId="77777777" w:rsidTr="00BA14F8">
        <w:tc>
          <w:tcPr>
            <w:tcW w:w="3251" w:type="dxa"/>
            <w:shd w:val="clear" w:color="auto" w:fill="auto"/>
          </w:tcPr>
          <w:p w14:paraId="6EDD14F3" w14:textId="6F454FF3" w:rsidR="00E45764" w:rsidRPr="007114AF" w:rsidRDefault="008D30FC" w:rsidP="00D82F76">
            <w:pPr>
              <w:pStyle w:val="Tabellentext"/>
              <w:jc w:val="both"/>
              <w:rPr>
                <w:rFonts w:ascii="Garamond" w:hAnsi="Garamond" w:cs="Calibri"/>
                <w:sz w:val="18"/>
                <w:szCs w:val="18"/>
                <w:lang w:val="sq-AL"/>
              </w:rPr>
            </w:pPr>
            <w:r w:rsidRPr="007114AF">
              <w:rPr>
                <w:rFonts w:ascii="Garamond" w:eastAsia="MS Mincho" w:hAnsi="Garamond" w:cs="Calibri"/>
                <w:bCs w:val="0"/>
                <w:iCs w:val="0"/>
                <w:sz w:val="18"/>
                <w:szCs w:val="18"/>
                <w:lang w:val="sq-AL" w:eastAsia="en-US"/>
              </w:rPr>
              <w:t xml:space="preserve">Nr. </w:t>
            </w:r>
            <w:r w:rsidR="00E45764" w:rsidRPr="007114AF">
              <w:rPr>
                <w:rFonts w:ascii="Garamond" w:eastAsia="MS Mincho" w:hAnsi="Garamond" w:cs="Calibri"/>
                <w:bCs w:val="0"/>
                <w:iCs w:val="0"/>
                <w:sz w:val="18"/>
                <w:szCs w:val="18"/>
                <w:lang w:val="sq-AL" w:eastAsia="en-US"/>
              </w:rPr>
              <w:t>12:</w:t>
            </w:r>
            <w:r w:rsidR="000A2A01" w:rsidRPr="007114AF">
              <w:rPr>
                <w:rFonts w:ascii="Garamond" w:eastAsia="MS Mincho" w:hAnsi="Garamond" w:cs="Calibri"/>
                <w:bCs w:val="0"/>
                <w:iCs w:val="0"/>
                <w:sz w:val="18"/>
                <w:szCs w:val="18"/>
                <w:lang w:val="sq-AL" w:eastAsia="en-US"/>
              </w:rPr>
              <w:t xml:space="preserve"> </w:t>
            </w:r>
            <w:r w:rsidR="00E45764" w:rsidRPr="007114AF">
              <w:rPr>
                <w:rFonts w:ascii="Garamond" w:eastAsia="MS Mincho" w:hAnsi="Garamond" w:cs="Calibri"/>
                <w:bCs w:val="0"/>
                <w:iCs w:val="0"/>
                <w:sz w:val="18"/>
                <w:szCs w:val="18"/>
                <w:lang w:val="sq-AL" w:eastAsia="en-US"/>
              </w:rPr>
              <w:t>Nisma për krijimin e planeve për përshtatjen ndaj ndryshimeve klimatike në nivel bashkie</w:t>
            </w:r>
          </w:p>
        </w:tc>
        <w:tc>
          <w:tcPr>
            <w:tcW w:w="1417" w:type="dxa"/>
            <w:shd w:val="clear" w:color="auto" w:fill="auto"/>
            <w:vAlign w:val="center"/>
          </w:tcPr>
          <w:p w14:paraId="6EDD14F4" w14:textId="3278D008" w:rsidR="00E45764" w:rsidRPr="007114AF" w:rsidRDefault="00E45764" w:rsidP="00D82F76">
            <w:pPr>
              <w:spacing w:after="0" w:line="240" w:lineRule="auto"/>
              <w:rPr>
                <w:rFonts w:ascii="Garamond" w:hAnsi="Garamond" w:cs="Calibri"/>
                <w:sz w:val="18"/>
                <w:szCs w:val="18"/>
              </w:rPr>
            </w:pPr>
            <w:r w:rsidRPr="007114AF">
              <w:rPr>
                <w:rFonts w:ascii="Garamond" w:hAnsi="Garamond" w:cs="Calibri"/>
                <w:sz w:val="18"/>
                <w:szCs w:val="18"/>
              </w:rPr>
              <w:t xml:space="preserve">202.5 </w:t>
            </w:r>
            <w:r w:rsidR="001C47F0" w:rsidRPr="007114AF">
              <w:rPr>
                <w:rFonts w:ascii="Garamond" w:hAnsi="Garamond" w:cs="Calibri"/>
                <w:sz w:val="18"/>
                <w:szCs w:val="18"/>
              </w:rPr>
              <w:t xml:space="preserve">milionë </w:t>
            </w:r>
            <w:r w:rsidRPr="007114AF">
              <w:rPr>
                <w:rFonts w:ascii="Garamond" w:hAnsi="Garamond" w:cs="Calibri"/>
                <w:sz w:val="18"/>
                <w:szCs w:val="18"/>
              </w:rPr>
              <w:t>LEKË</w:t>
            </w:r>
          </w:p>
        </w:tc>
        <w:tc>
          <w:tcPr>
            <w:tcW w:w="1413" w:type="dxa"/>
            <w:shd w:val="clear" w:color="auto" w:fill="auto"/>
            <w:vAlign w:val="center"/>
          </w:tcPr>
          <w:p w14:paraId="6EDD14F5" w14:textId="06CAA4D2" w:rsidR="00E45764" w:rsidRPr="007114AF" w:rsidRDefault="00E45764" w:rsidP="00D82F76">
            <w:pPr>
              <w:spacing w:after="0" w:line="240" w:lineRule="auto"/>
              <w:rPr>
                <w:rFonts w:ascii="Garamond" w:hAnsi="Garamond" w:cs="Calibri"/>
                <w:sz w:val="18"/>
                <w:szCs w:val="18"/>
              </w:rPr>
            </w:pPr>
            <w:r w:rsidRPr="007114AF">
              <w:rPr>
                <w:rFonts w:ascii="Garamond" w:hAnsi="Garamond" w:cs="Calibri"/>
                <w:sz w:val="18"/>
                <w:szCs w:val="18"/>
              </w:rPr>
              <w:t>Fonde të</w:t>
            </w:r>
            <w:r w:rsidR="000A2A01" w:rsidRPr="007114AF">
              <w:rPr>
                <w:rFonts w:ascii="Garamond" w:hAnsi="Garamond" w:cs="Calibri"/>
                <w:sz w:val="18"/>
                <w:szCs w:val="18"/>
              </w:rPr>
              <w:t xml:space="preserve"> </w:t>
            </w:r>
            <w:r w:rsidRPr="007114AF">
              <w:rPr>
                <w:rFonts w:ascii="Garamond" w:hAnsi="Garamond"/>
                <w:sz w:val="18"/>
                <w:szCs w:val="18"/>
              </w:rPr>
              <w:t>FZHR (RDF)</w:t>
            </w:r>
            <w:r w:rsidR="003F649E" w:rsidRPr="007114AF">
              <w:rPr>
                <w:rFonts w:ascii="Garamond" w:hAnsi="Garamond"/>
                <w:sz w:val="18"/>
                <w:szCs w:val="18"/>
              </w:rPr>
              <w:t>,</w:t>
            </w:r>
            <w:r w:rsidRPr="007114AF">
              <w:rPr>
                <w:rFonts w:ascii="Garamond" w:hAnsi="Garamond" w:cs="Calibri"/>
                <w:sz w:val="18"/>
                <w:szCs w:val="18"/>
              </w:rPr>
              <w:t xml:space="preserve"> 13.5 </w:t>
            </w:r>
            <w:r w:rsidR="001C47F0" w:rsidRPr="007114AF">
              <w:rPr>
                <w:rFonts w:ascii="Garamond" w:hAnsi="Garamond" w:cs="Calibri"/>
                <w:sz w:val="18"/>
                <w:szCs w:val="18"/>
              </w:rPr>
              <w:t xml:space="preserve">milionë </w:t>
            </w:r>
            <w:r w:rsidRPr="007114AF">
              <w:rPr>
                <w:rFonts w:ascii="Garamond" w:hAnsi="Garamond" w:cs="Calibri"/>
                <w:sz w:val="18"/>
                <w:szCs w:val="18"/>
              </w:rPr>
              <w:t>LEKË</w:t>
            </w:r>
          </w:p>
        </w:tc>
        <w:tc>
          <w:tcPr>
            <w:tcW w:w="5103" w:type="dxa"/>
            <w:shd w:val="clear" w:color="auto" w:fill="auto"/>
          </w:tcPr>
          <w:p w14:paraId="6EDD14F6" w14:textId="5744B72A" w:rsidR="00E45764" w:rsidRPr="007114AF" w:rsidRDefault="00E45764" w:rsidP="00D82F76">
            <w:pPr>
              <w:spacing w:after="0" w:line="240" w:lineRule="auto"/>
              <w:rPr>
                <w:rFonts w:ascii="Garamond" w:hAnsi="Garamond" w:cs="Calibri"/>
                <w:sz w:val="18"/>
                <w:szCs w:val="18"/>
              </w:rPr>
            </w:pPr>
            <w:r w:rsidRPr="007114AF">
              <w:rPr>
                <w:rFonts w:ascii="Garamond" w:hAnsi="Garamond" w:cs="Calibri"/>
                <w:sz w:val="18"/>
                <w:szCs w:val="18"/>
              </w:rPr>
              <w:t xml:space="preserve">- afatshkurtër: EU IPA II, aplikimi i dërguar (189 </w:t>
            </w:r>
            <w:r w:rsidR="001C47F0" w:rsidRPr="007114AF">
              <w:rPr>
                <w:rFonts w:ascii="Garamond" w:hAnsi="Garamond" w:cs="Calibri"/>
                <w:sz w:val="18"/>
                <w:szCs w:val="18"/>
              </w:rPr>
              <w:t xml:space="preserve">milionë </w:t>
            </w:r>
            <w:r w:rsidRPr="007114AF">
              <w:rPr>
                <w:rFonts w:ascii="Garamond" w:hAnsi="Garamond" w:cs="Calibri"/>
                <w:sz w:val="18"/>
                <w:szCs w:val="18"/>
              </w:rPr>
              <w:t xml:space="preserve">LEKË) </w:t>
            </w:r>
          </w:p>
          <w:p w14:paraId="6EDD14F7" w14:textId="16E5196C" w:rsidR="00E45764" w:rsidRPr="007114AF" w:rsidRDefault="00E45764" w:rsidP="00D82F76">
            <w:pPr>
              <w:spacing w:after="0" w:line="240" w:lineRule="auto"/>
              <w:rPr>
                <w:rFonts w:ascii="Garamond" w:hAnsi="Garamond" w:cs="Calibri"/>
                <w:sz w:val="18"/>
                <w:szCs w:val="18"/>
              </w:rPr>
            </w:pPr>
            <w:r w:rsidRPr="007114AF">
              <w:rPr>
                <w:rFonts w:ascii="Garamond" w:hAnsi="Garamond" w:cs="Calibri"/>
                <w:sz w:val="18"/>
                <w:szCs w:val="18"/>
              </w:rPr>
              <w:t>-afatshkurtër- afatmesëm: grante nga donatorë dypalësh të tillë si Suedia, Austria, Franca</w:t>
            </w:r>
            <w:r w:rsidR="000A2A01" w:rsidRPr="007114AF">
              <w:rPr>
                <w:rFonts w:ascii="Garamond" w:hAnsi="Garamond" w:cs="Calibri"/>
                <w:sz w:val="18"/>
                <w:szCs w:val="18"/>
              </w:rPr>
              <w:t xml:space="preserve"> </w:t>
            </w:r>
          </w:p>
        </w:tc>
        <w:tc>
          <w:tcPr>
            <w:tcW w:w="3402" w:type="dxa"/>
            <w:shd w:val="clear" w:color="auto" w:fill="auto"/>
          </w:tcPr>
          <w:p w14:paraId="6EDD14F8" w14:textId="04313FA7" w:rsidR="00E45764" w:rsidRPr="007114AF" w:rsidRDefault="00E45764" w:rsidP="00D82F76">
            <w:pPr>
              <w:spacing w:after="0" w:line="240" w:lineRule="auto"/>
              <w:rPr>
                <w:rFonts w:ascii="Garamond" w:hAnsi="Garamond"/>
                <w:sz w:val="18"/>
                <w:szCs w:val="18"/>
              </w:rPr>
            </w:pPr>
            <w:r w:rsidRPr="007114AF">
              <w:rPr>
                <w:rFonts w:ascii="Garamond" w:hAnsi="Garamond"/>
                <w:sz w:val="18"/>
                <w:szCs w:val="18"/>
              </w:rPr>
              <w:t>- të mbështeten bashkitë në përgatitjen e komponentit me aftësi rimëkëmbëse ndaj ndryshimeve klimatike, të aplikimeve të</w:t>
            </w:r>
            <w:r w:rsidR="000A2A01" w:rsidRPr="007114AF">
              <w:rPr>
                <w:rFonts w:ascii="Garamond" w:hAnsi="Garamond"/>
                <w:sz w:val="18"/>
                <w:szCs w:val="18"/>
              </w:rPr>
              <w:t xml:space="preserve"> </w:t>
            </w:r>
            <w:r w:rsidRPr="007114AF">
              <w:rPr>
                <w:rFonts w:ascii="Garamond" w:hAnsi="Garamond"/>
                <w:sz w:val="18"/>
                <w:szCs w:val="18"/>
              </w:rPr>
              <w:t>FZHR (RDF)</w:t>
            </w:r>
          </w:p>
          <w:p w14:paraId="6EDD14F9" w14:textId="77777777" w:rsidR="00E45764" w:rsidRPr="007114AF" w:rsidRDefault="00E45764" w:rsidP="00D82F76">
            <w:pPr>
              <w:spacing w:after="0" w:line="240" w:lineRule="auto"/>
              <w:rPr>
                <w:rFonts w:ascii="Garamond" w:hAnsi="Garamond"/>
                <w:sz w:val="18"/>
                <w:szCs w:val="18"/>
              </w:rPr>
            </w:pPr>
            <w:r w:rsidRPr="007114AF">
              <w:rPr>
                <w:rFonts w:ascii="Garamond" w:hAnsi="Garamond"/>
                <w:sz w:val="18"/>
                <w:szCs w:val="18"/>
              </w:rPr>
              <w:t>- Në cilën masë propozimi I PNUD FGJK (GCF) mbulon elementë të kësaj PA-je</w:t>
            </w:r>
          </w:p>
        </w:tc>
      </w:tr>
      <w:tr w:rsidR="00E45764" w:rsidRPr="007114AF" w14:paraId="6EDD1503" w14:textId="77777777" w:rsidTr="00BA14F8">
        <w:trPr>
          <w:trHeight w:val="1807"/>
        </w:trPr>
        <w:tc>
          <w:tcPr>
            <w:tcW w:w="3251" w:type="dxa"/>
            <w:shd w:val="clear" w:color="auto" w:fill="auto"/>
          </w:tcPr>
          <w:p w14:paraId="6EDD14FB" w14:textId="4953A309" w:rsidR="00E45764" w:rsidRPr="007114AF" w:rsidRDefault="008D30FC" w:rsidP="00D82F76">
            <w:pPr>
              <w:pStyle w:val="Tabellentext"/>
              <w:jc w:val="both"/>
              <w:rPr>
                <w:rFonts w:ascii="Garamond" w:hAnsi="Garamond" w:cs="Calibri"/>
                <w:sz w:val="18"/>
                <w:szCs w:val="18"/>
                <w:lang w:val="sq-AL"/>
              </w:rPr>
            </w:pPr>
            <w:r w:rsidRPr="007114AF">
              <w:rPr>
                <w:rFonts w:ascii="Garamond" w:eastAsia="MS Mincho" w:hAnsi="Garamond" w:cs="Calibri"/>
                <w:bCs w:val="0"/>
                <w:iCs w:val="0"/>
                <w:sz w:val="18"/>
                <w:szCs w:val="18"/>
                <w:lang w:val="sq-AL" w:eastAsia="en-US"/>
              </w:rPr>
              <w:t xml:space="preserve">Nr. </w:t>
            </w:r>
            <w:r w:rsidR="00E45764" w:rsidRPr="007114AF">
              <w:rPr>
                <w:rFonts w:ascii="Garamond" w:eastAsia="MS Mincho" w:hAnsi="Garamond" w:cs="Calibri"/>
                <w:bCs w:val="0"/>
                <w:iCs w:val="0"/>
                <w:sz w:val="18"/>
                <w:szCs w:val="18"/>
                <w:lang w:val="sq-AL" w:eastAsia="en-US"/>
              </w:rPr>
              <w:t>13</w:t>
            </w:r>
            <w:r w:rsidR="000A2A01" w:rsidRPr="007114AF">
              <w:rPr>
                <w:rFonts w:ascii="Garamond" w:eastAsia="MS Mincho" w:hAnsi="Garamond" w:cs="Calibri"/>
                <w:bCs w:val="0"/>
                <w:iCs w:val="0"/>
                <w:sz w:val="18"/>
                <w:szCs w:val="18"/>
                <w:lang w:val="sq-AL" w:eastAsia="en-US"/>
              </w:rPr>
              <w:t xml:space="preserve"> </w:t>
            </w:r>
            <w:r w:rsidR="00E45764" w:rsidRPr="007114AF">
              <w:rPr>
                <w:rFonts w:ascii="Garamond" w:eastAsia="MS Mincho" w:hAnsi="Garamond" w:cs="Calibri"/>
                <w:bCs w:val="0"/>
                <w:iCs w:val="0"/>
                <w:sz w:val="18"/>
                <w:szCs w:val="18"/>
                <w:lang w:val="sq-AL" w:eastAsia="en-US"/>
              </w:rPr>
              <w:t>Përshtatja në turizëm</w:t>
            </w:r>
          </w:p>
        </w:tc>
        <w:tc>
          <w:tcPr>
            <w:tcW w:w="1417" w:type="dxa"/>
            <w:shd w:val="clear" w:color="auto" w:fill="auto"/>
            <w:vAlign w:val="center"/>
          </w:tcPr>
          <w:p w14:paraId="6EDD14FC" w14:textId="1260A772" w:rsidR="00E45764" w:rsidRPr="007114AF" w:rsidRDefault="00E45764" w:rsidP="00D82F76">
            <w:pPr>
              <w:spacing w:after="0" w:line="240" w:lineRule="auto"/>
              <w:rPr>
                <w:rFonts w:ascii="Garamond" w:hAnsi="Garamond" w:cs="Calibri"/>
                <w:sz w:val="18"/>
                <w:szCs w:val="18"/>
              </w:rPr>
            </w:pPr>
            <w:r w:rsidRPr="007114AF">
              <w:rPr>
                <w:rFonts w:ascii="Garamond" w:hAnsi="Garamond" w:cs="Calibri"/>
                <w:bCs/>
                <w:iCs/>
                <w:sz w:val="18"/>
                <w:szCs w:val="18"/>
              </w:rPr>
              <w:t xml:space="preserve">81.2 </w:t>
            </w:r>
            <w:r w:rsidR="001C47F0" w:rsidRPr="007114AF">
              <w:rPr>
                <w:rFonts w:ascii="Garamond" w:hAnsi="Garamond" w:cs="Calibri"/>
                <w:bCs/>
                <w:iCs/>
                <w:sz w:val="18"/>
                <w:szCs w:val="18"/>
              </w:rPr>
              <w:t xml:space="preserve">milionë </w:t>
            </w:r>
            <w:r w:rsidRPr="007114AF">
              <w:rPr>
                <w:rFonts w:ascii="Garamond" w:hAnsi="Garamond" w:cs="Calibri"/>
                <w:bCs/>
                <w:iCs/>
                <w:sz w:val="18"/>
                <w:szCs w:val="18"/>
              </w:rPr>
              <w:t>LEKË (për 3 vjet)</w:t>
            </w:r>
          </w:p>
        </w:tc>
        <w:tc>
          <w:tcPr>
            <w:tcW w:w="1413" w:type="dxa"/>
            <w:shd w:val="clear" w:color="auto" w:fill="auto"/>
            <w:vAlign w:val="center"/>
          </w:tcPr>
          <w:p w14:paraId="6EDD14FD" w14:textId="30C07768" w:rsidR="00E45764" w:rsidRPr="007114AF" w:rsidRDefault="00E45764" w:rsidP="00D82F76">
            <w:pPr>
              <w:spacing w:after="0" w:line="240" w:lineRule="auto"/>
              <w:rPr>
                <w:rFonts w:ascii="Garamond" w:hAnsi="Garamond" w:cs="Calibri"/>
                <w:sz w:val="18"/>
                <w:szCs w:val="18"/>
              </w:rPr>
            </w:pPr>
            <w:r w:rsidRPr="007114AF">
              <w:rPr>
                <w:rFonts w:ascii="Garamond" w:hAnsi="Garamond" w:cs="Calibri"/>
                <w:sz w:val="18"/>
                <w:szCs w:val="18"/>
              </w:rPr>
              <w:t>për t</w:t>
            </w:r>
            <w:r w:rsidR="00D10DAB" w:rsidRPr="007114AF">
              <w:rPr>
                <w:rFonts w:ascii="Garamond" w:hAnsi="Garamond" w:cs="Calibri"/>
                <w:sz w:val="18"/>
                <w:szCs w:val="18"/>
              </w:rPr>
              <w:t>’</w:t>
            </w:r>
            <w:r w:rsidRPr="007114AF">
              <w:rPr>
                <w:rFonts w:ascii="Garamond" w:hAnsi="Garamond" w:cs="Calibri"/>
                <w:sz w:val="18"/>
                <w:szCs w:val="18"/>
              </w:rPr>
              <w:t>u vendosur</w:t>
            </w:r>
          </w:p>
        </w:tc>
        <w:tc>
          <w:tcPr>
            <w:tcW w:w="5103" w:type="dxa"/>
            <w:shd w:val="clear" w:color="auto" w:fill="auto"/>
          </w:tcPr>
          <w:p w14:paraId="6EDD14FE" w14:textId="4781A1F4" w:rsidR="00E45764" w:rsidRPr="007114AF" w:rsidRDefault="00E45764" w:rsidP="00D82F76">
            <w:pPr>
              <w:pStyle w:val="Standardtextbody"/>
              <w:spacing w:after="0" w:line="240" w:lineRule="auto"/>
              <w:jc w:val="both"/>
              <w:rPr>
                <w:rFonts w:ascii="Garamond" w:eastAsia="Calibri" w:hAnsi="Garamond" w:cs="Calibri"/>
                <w:bCs w:val="0"/>
                <w:iCs w:val="0"/>
                <w:sz w:val="18"/>
                <w:szCs w:val="18"/>
                <w:lang w:val="sq-AL"/>
              </w:rPr>
            </w:pPr>
            <w:r w:rsidRPr="007114AF">
              <w:rPr>
                <w:rFonts w:ascii="Garamond" w:eastAsia="Calibri" w:hAnsi="Garamond" w:cs="Calibri"/>
                <w:bCs w:val="0"/>
                <w:iCs w:val="0"/>
                <w:sz w:val="18"/>
                <w:szCs w:val="18"/>
                <w:lang w:val="sq-AL"/>
              </w:rPr>
              <w:t>- afatmesëm:</w:t>
            </w:r>
            <w:r w:rsidR="000A2A01" w:rsidRPr="007114AF">
              <w:rPr>
                <w:rFonts w:ascii="Garamond" w:eastAsia="Calibri" w:hAnsi="Garamond" w:cs="Calibri"/>
                <w:bCs w:val="0"/>
                <w:iCs w:val="0"/>
                <w:sz w:val="18"/>
                <w:szCs w:val="18"/>
                <w:lang w:val="sq-AL"/>
              </w:rPr>
              <w:t xml:space="preserve"> </w:t>
            </w:r>
            <w:r w:rsidRPr="007114AF">
              <w:rPr>
                <w:rFonts w:ascii="Garamond" w:eastAsia="Calibri" w:hAnsi="Garamond" w:cs="Calibri"/>
                <w:bCs w:val="0"/>
                <w:iCs w:val="0"/>
                <w:sz w:val="18"/>
                <w:szCs w:val="18"/>
                <w:lang w:val="sq-AL"/>
              </w:rPr>
              <w:t>instrumente inovative financimi që mbështesin NVM-të në sektorin e turizmit, të cilat janë të gatshme të kontribuojnë për ripërtëritjen e klimës (shihni kapitullin</w:t>
            </w:r>
            <w:r w:rsidR="000A2A01" w:rsidRPr="007114AF">
              <w:rPr>
                <w:rFonts w:ascii="Garamond" w:eastAsia="Calibri" w:hAnsi="Garamond" w:cs="Calibri"/>
                <w:bCs w:val="0"/>
                <w:iCs w:val="0"/>
                <w:sz w:val="18"/>
                <w:szCs w:val="18"/>
                <w:lang w:val="sq-AL"/>
              </w:rPr>
              <w:t xml:space="preserve"> </w:t>
            </w:r>
            <w:r w:rsidRPr="007114AF">
              <w:rPr>
                <w:rFonts w:ascii="Garamond" w:eastAsia="Calibri" w:hAnsi="Garamond" w:cs="Calibri"/>
                <w:bCs w:val="0"/>
                <w:iCs w:val="0"/>
                <w:sz w:val="18"/>
                <w:szCs w:val="18"/>
                <w:lang w:val="sq-AL"/>
              </w:rPr>
              <w:t xml:space="preserve">3.4) </w:t>
            </w:r>
          </w:p>
          <w:p w14:paraId="6EDD14FF" w14:textId="77777777" w:rsidR="00E45764" w:rsidRPr="007114AF" w:rsidRDefault="00E45764" w:rsidP="00D82F76">
            <w:pPr>
              <w:pStyle w:val="Standardtextbody"/>
              <w:spacing w:after="0" w:line="240" w:lineRule="auto"/>
              <w:jc w:val="both"/>
              <w:rPr>
                <w:rFonts w:ascii="Garamond" w:eastAsia="Calibri" w:hAnsi="Garamond" w:cs="Calibri"/>
                <w:bCs w:val="0"/>
                <w:iCs w:val="0"/>
                <w:sz w:val="18"/>
                <w:szCs w:val="18"/>
                <w:lang w:val="sq-AL"/>
              </w:rPr>
            </w:pPr>
            <w:r w:rsidRPr="007114AF">
              <w:rPr>
                <w:rFonts w:ascii="Garamond" w:eastAsia="Calibri" w:hAnsi="Garamond" w:cs="Calibri"/>
                <w:bCs w:val="0"/>
                <w:iCs w:val="0"/>
                <w:sz w:val="18"/>
                <w:szCs w:val="18"/>
                <w:lang w:val="sq-AL"/>
              </w:rPr>
              <w:t>- Banka Evropiane e Investimeve BEI (për shembull Garancia e NVM-ve InnovFin, BB EDIF II)</w:t>
            </w:r>
          </w:p>
          <w:p w14:paraId="6EDD1500" w14:textId="77777777" w:rsidR="00E45764" w:rsidRPr="007114AF" w:rsidRDefault="00E45764" w:rsidP="00D82F76">
            <w:pPr>
              <w:pStyle w:val="Standardtextbody"/>
              <w:spacing w:after="0" w:line="240" w:lineRule="auto"/>
              <w:jc w:val="both"/>
              <w:rPr>
                <w:rFonts w:ascii="Garamond" w:eastAsia="Calibri" w:hAnsi="Garamond" w:cs="Calibri"/>
                <w:bCs w:val="0"/>
                <w:iCs w:val="0"/>
                <w:sz w:val="18"/>
                <w:szCs w:val="18"/>
                <w:lang w:val="sq-AL"/>
              </w:rPr>
            </w:pPr>
          </w:p>
        </w:tc>
        <w:tc>
          <w:tcPr>
            <w:tcW w:w="3402" w:type="dxa"/>
            <w:shd w:val="clear" w:color="auto" w:fill="auto"/>
          </w:tcPr>
          <w:p w14:paraId="6EDD1501" w14:textId="77777777" w:rsidR="00E45764" w:rsidRPr="007114AF" w:rsidRDefault="00E45764" w:rsidP="00D82F76">
            <w:pPr>
              <w:pStyle w:val="Standardtextbody"/>
              <w:spacing w:after="0" w:line="240" w:lineRule="auto"/>
              <w:jc w:val="both"/>
              <w:rPr>
                <w:rFonts w:ascii="Garamond" w:hAnsi="Garamond"/>
                <w:color w:val="000000"/>
                <w:sz w:val="18"/>
                <w:szCs w:val="18"/>
                <w:lang w:val="sq-AL"/>
              </w:rPr>
            </w:pPr>
            <w:r w:rsidRPr="007114AF">
              <w:rPr>
                <w:rFonts w:ascii="Garamond" w:hAnsi="Garamond"/>
                <w:sz w:val="18"/>
                <w:szCs w:val="18"/>
                <w:lang w:val="sq-AL"/>
              </w:rPr>
              <w:t xml:space="preserve">- të </w:t>
            </w:r>
            <w:r w:rsidRPr="007114AF">
              <w:rPr>
                <w:rFonts w:ascii="Garamond" w:hAnsi="Garamond"/>
                <w:color w:val="000000"/>
                <w:sz w:val="18"/>
                <w:szCs w:val="18"/>
                <w:lang w:val="sq-AL"/>
              </w:rPr>
              <w:t xml:space="preserve">specifikohen dhe projektohen aktivitete </w:t>
            </w:r>
          </w:p>
          <w:p w14:paraId="6EDD1502" w14:textId="65742D21" w:rsidR="00E45764" w:rsidRPr="007114AF" w:rsidRDefault="00E45764" w:rsidP="00D82F76">
            <w:pPr>
              <w:pStyle w:val="Standardtextbody"/>
              <w:spacing w:after="0" w:line="240" w:lineRule="auto"/>
              <w:jc w:val="both"/>
              <w:rPr>
                <w:rFonts w:ascii="Garamond" w:eastAsia="Calibri" w:hAnsi="Garamond"/>
                <w:bCs w:val="0"/>
                <w:iCs w:val="0"/>
                <w:sz w:val="18"/>
                <w:szCs w:val="18"/>
                <w:lang w:val="sq-AL"/>
              </w:rPr>
            </w:pPr>
            <w:r w:rsidRPr="007114AF">
              <w:rPr>
                <w:rFonts w:ascii="Garamond" w:hAnsi="Garamond"/>
                <w:color w:val="000000"/>
                <w:sz w:val="18"/>
                <w:szCs w:val="18"/>
                <w:lang w:val="sq-AL"/>
              </w:rPr>
              <w:t>- të kontrollohen fituesit e kontratave të</w:t>
            </w:r>
            <w:r w:rsidR="000A2A01" w:rsidRPr="007114AF">
              <w:rPr>
                <w:rFonts w:ascii="Garamond" w:hAnsi="Garamond"/>
                <w:color w:val="000000"/>
                <w:sz w:val="18"/>
                <w:szCs w:val="18"/>
                <w:lang w:val="sq-AL"/>
              </w:rPr>
              <w:t xml:space="preserve"> </w:t>
            </w:r>
            <w:hyperlink r:id="rId57" w:history="1">
              <w:r w:rsidRPr="007114AF">
                <w:rPr>
                  <w:rStyle w:val="Hyperlink"/>
                  <w:rFonts w:ascii="Garamond" w:hAnsi="Garamond"/>
                  <w:color w:val="000000"/>
                  <w:sz w:val="18"/>
                  <w:szCs w:val="18"/>
                  <w:lang w:val="sq-AL"/>
                </w:rPr>
                <w:t xml:space="preserve">thirrjes së USAID/SIDA për propozimin </w:t>
              </w:r>
              <w:r w:rsidR="00D10DAB" w:rsidRPr="007114AF">
                <w:rPr>
                  <w:rStyle w:val="Hyperlink"/>
                  <w:rFonts w:ascii="Garamond" w:hAnsi="Garamond"/>
                  <w:color w:val="000000"/>
                  <w:sz w:val="18"/>
                  <w:szCs w:val="18"/>
                  <w:lang w:val="sq-AL"/>
                </w:rPr>
                <w:t>‘</w:t>
              </w:r>
              <w:r w:rsidRPr="007114AF">
                <w:rPr>
                  <w:rStyle w:val="Hyperlink"/>
                  <w:rFonts w:ascii="Garamond" w:hAnsi="Garamond"/>
                  <w:color w:val="000000"/>
                  <w:sz w:val="18"/>
                  <w:szCs w:val="18"/>
                  <w:lang w:val="sq-AL"/>
                </w:rPr>
                <w:t>Turizmi si Komponent Pararojë</w:t>
              </w:r>
              <w:r w:rsidR="00D10DAB" w:rsidRPr="007114AF">
                <w:rPr>
                  <w:rStyle w:val="Hyperlink"/>
                  <w:rFonts w:ascii="Garamond" w:hAnsi="Garamond"/>
                  <w:color w:val="000000"/>
                  <w:sz w:val="18"/>
                  <w:szCs w:val="18"/>
                  <w:lang w:val="sq-AL"/>
                </w:rPr>
                <w:t>’</w:t>
              </w:r>
            </w:hyperlink>
            <w:r w:rsidRPr="007114AF">
              <w:rPr>
                <w:rFonts w:ascii="Garamond" w:hAnsi="Garamond"/>
                <w:color w:val="000000"/>
                <w:sz w:val="18"/>
                <w:szCs w:val="18"/>
                <w:lang w:val="sq-AL"/>
              </w:rPr>
              <w:t>për integrimin</w:t>
            </w:r>
            <w:r w:rsidRPr="007114AF">
              <w:rPr>
                <w:rFonts w:ascii="Garamond" w:hAnsi="Garamond"/>
                <w:sz w:val="18"/>
                <w:szCs w:val="18"/>
                <w:lang w:val="sq-AL"/>
              </w:rPr>
              <w:t xml:space="preserve"> e aspekteve të NDRYSHIMEVE KLIMATIKE</w:t>
            </w:r>
          </w:p>
        </w:tc>
      </w:tr>
      <w:tr w:rsidR="00E45764" w:rsidRPr="007114AF" w14:paraId="6EDD150A" w14:textId="77777777" w:rsidTr="00BA14F8">
        <w:trPr>
          <w:trHeight w:val="1168"/>
        </w:trPr>
        <w:tc>
          <w:tcPr>
            <w:tcW w:w="3251" w:type="dxa"/>
            <w:shd w:val="clear" w:color="auto" w:fill="auto"/>
          </w:tcPr>
          <w:p w14:paraId="6EDD1504" w14:textId="7C5448BE" w:rsidR="00E45764" w:rsidRPr="007114AF" w:rsidRDefault="008D30FC" w:rsidP="00D82F76">
            <w:pPr>
              <w:spacing w:after="0" w:line="240" w:lineRule="auto"/>
              <w:rPr>
                <w:rFonts w:ascii="Garamond" w:hAnsi="Garamond" w:cs="Calibri"/>
                <w:sz w:val="18"/>
                <w:szCs w:val="18"/>
              </w:rPr>
            </w:pPr>
            <w:r w:rsidRPr="007114AF">
              <w:rPr>
                <w:rFonts w:ascii="Garamond" w:hAnsi="Garamond" w:cs="Calibri"/>
                <w:sz w:val="18"/>
                <w:szCs w:val="18"/>
              </w:rPr>
              <w:t xml:space="preserve">Nr. </w:t>
            </w:r>
            <w:r w:rsidR="00E45764" w:rsidRPr="007114AF">
              <w:rPr>
                <w:rFonts w:ascii="Garamond" w:hAnsi="Garamond" w:cs="Calibri"/>
                <w:sz w:val="18"/>
                <w:szCs w:val="18"/>
              </w:rPr>
              <w:t>14:</w:t>
            </w:r>
            <w:r w:rsidR="000A2A01" w:rsidRPr="007114AF">
              <w:rPr>
                <w:rFonts w:ascii="Garamond" w:hAnsi="Garamond" w:cs="Calibri"/>
                <w:sz w:val="18"/>
                <w:szCs w:val="18"/>
              </w:rPr>
              <w:t xml:space="preserve"> </w:t>
            </w:r>
            <w:r w:rsidR="00E45764" w:rsidRPr="007114AF">
              <w:rPr>
                <w:rFonts w:ascii="Garamond" w:hAnsi="Garamond" w:cs="Calibri"/>
                <w:sz w:val="18"/>
                <w:szCs w:val="18"/>
              </w:rPr>
              <w:t>Rritja e nivelit të gatishmërisë së mbrojtjes civile dhe të zvogëlimit të rrezikut të fatkeqësive natyrore</w:t>
            </w:r>
          </w:p>
        </w:tc>
        <w:tc>
          <w:tcPr>
            <w:tcW w:w="1417" w:type="dxa"/>
            <w:shd w:val="clear" w:color="auto" w:fill="auto"/>
            <w:vAlign w:val="center"/>
          </w:tcPr>
          <w:p w14:paraId="6EDD1505" w14:textId="33DEE5EA" w:rsidR="00E45764" w:rsidRPr="007114AF" w:rsidRDefault="00E45764" w:rsidP="00D82F76">
            <w:pPr>
              <w:spacing w:after="0" w:line="240" w:lineRule="auto"/>
              <w:rPr>
                <w:rFonts w:ascii="Garamond" w:hAnsi="Garamond" w:cs="Calibri"/>
                <w:sz w:val="18"/>
                <w:szCs w:val="18"/>
              </w:rPr>
            </w:pPr>
            <w:r w:rsidRPr="007114AF">
              <w:rPr>
                <w:rFonts w:ascii="Garamond" w:hAnsi="Garamond" w:cs="Calibri"/>
                <w:bCs/>
                <w:iCs/>
                <w:sz w:val="18"/>
                <w:szCs w:val="18"/>
              </w:rPr>
              <w:t>1201.5 miliard</w:t>
            </w:r>
            <w:r w:rsidR="00242009" w:rsidRPr="007114AF">
              <w:rPr>
                <w:rFonts w:ascii="Garamond" w:hAnsi="Garamond" w:cs="Calibri"/>
                <w:bCs/>
                <w:iCs/>
                <w:sz w:val="18"/>
                <w:szCs w:val="18"/>
              </w:rPr>
              <w:t>ë</w:t>
            </w:r>
            <w:r w:rsidRPr="007114AF">
              <w:rPr>
                <w:rFonts w:ascii="Garamond" w:hAnsi="Garamond" w:cs="Calibri"/>
                <w:bCs/>
                <w:iCs/>
                <w:sz w:val="18"/>
                <w:szCs w:val="18"/>
              </w:rPr>
              <w:t xml:space="preserve"> LEKË</w:t>
            </w:r>
          </w:p>
        </w:tc>
        <w:tc>
          <w:tcPr>
            <w:tcW w:w="1413" w:type="dxa"/>
            <w:shd w:val="clear" w:color="auto" w:fill="auto"/>
            <w:vAlign w:val="center"/>
          </w:tcPr>
          <w:p w14:paraId="6EDD1506" w14:textId="15E222EE" w:rsidR="00E45764" w:rsidRPr="007114AF" w:rsidRDefault="00E45764" w:rsidP="00D82F76">
            <w:pPr>
              <w:spacing w:after="0" w:line="240" w:lineRule="auto"/>
              <w:rPr>
                <w:rFonts w:ascii="Garamond" w:hAnsi="Garamond" w:cs="Calibri"/>
                <w:sz w:val="18"/>
                <w:szCs w:val="18"/>
              </w:rPr>
            </w:pPr>
            <w:r w:rsidRPr="007114AF">
              <w:rPr>
                <w:rFonts w:ascii="Garamond" w:hAnsi="Garamond" w:cs="Calibri"/>
                <w:sz w:val="18"/>
                <w:szCs w:val="18"/>
              </w:rPr>
              <w:t>për t</w:t>
            </w:r>
            <w:r w:rsidR="00D10DAB" w:rsidRPr="007114AF">
              <w:rPr>
                <w:rFonts w:ascii="Garamond" w:hAnsi="Garamond" w:cs="Calibri"/>
                <w:sz w:val="18"/>
                <w:szCs w:val="18"/>
              </w:rPr>
              <w:t>’</w:t>
            </w:r>
            <w:r w:rsidRPr="007114AF">
              <w:rPr>
                <w:rFonts w:ascii="Garamond" w:hAnsi="Garamond" w:cs="Calibri"/>
                <w:sz w:val="18"/>
                <w:szCs w:val="18"/>
              </w:rPr>
              <w:t>u vendosur</w:t>
            </w:r>
          </w:p>
        </w:tc>
        <w:tc>
          <w:tcPr>
            <w:tcW w:w="5103" w:type="dxa"/>
            <w:shd w:val="clear" w:color="auto" w:fill="auto"/>
          </w:tcPr>
          <w:p w14:paraId="6EDD1507" w14:textId="1A42155F" w:rsidR="00E45764" w:rsidRPr="007114AF" w:rsidRDefault="00E45764" w:rsidP="00D82F76">
            <w:pPr>
              <w:pStyle w:val="Standardtextbody"/>
              <w:spacing w:after="0" w:line="240" w:lineRule="auto"/>
              <w:jc w:val="both"/>
              <w:rPr>
                <w:rFonts w:ascii="Garamond" w:eastAsia="Calibri" w:hAnsi="Garamond" w:cs="Calibri"/>
                <w:bCs w:val="0"/>
                <w:iCs w:val="0"/>
                <w:sz w:val="18"/>
                <w:szCs w:val="18"/>
                <w:lang w:val="sq-AL"/>
              </w:rPr>
            </w:pPr>
            <w:r w:rsidRPr="007114AF">
              <w:rPr>
                <w:rFonts w:ascii="Garamond" w:eastAsia="Calibri" w:hAnsi="Garamond" w:cs="Calibri"/>
                <w:bCs w:val="0"/>
                <w:iCs w:val="0"/>
                <w:sz w:val="18"/>
                <w:szCs w:val="18"/>
                <w:lang w:val="sq-AL"/>
              </w:rPr>
              <w:t>- pjesërisht të mbuluara nga fonde të vazhdueshme të BE</w:t>
            </w:r>
            <w:r w:rsidR="000A2A01" w:rsidRPr="007114AF">
              <w:rPr>
                <w:rFonts w:ascii="Garamond" w:eastAsia="Calibri" w:hAnsi="Garamond" w:cs="Calibri"/>
                <w:bCs w:val="0"/>
                <w:iCs w:val="0"/>
                <w:sz w:val="18"/>
                <w:szCs w:val="18"/>
                <w:lang w:val="sq-AL"/>
              </w:rPr>
              <w:t xml:space="preserve"> </w:t>
            </w:r>
            <w:r w:rsidRPr="007114AF">
              <w:rPr>
                <w:rFonts w:ascii="Garamond" w:eastAsia="Calibri" w:hAnsi="Garamond" w:cs="Calibri"/>
                <w:bCs w:val="0"/>
                <w:iCs w:val="0"/>
                <w:sz w:val="18"/>
                <w:szCs w:val="18"/>
                <w:lang w:val="sq-AL"/>
              </w:rPr>
              <w:t xml:space="preserve">IPA II </w:t>
            </w:r>
          </w:p>
          <w:p w14:paraId="6EDD1508" w14:textId="77777777" w:rsidR="00E45764" w:rsidRPr="007114AF" w:rsidRDefault="00E45764" w:rsidP="00D82F76">
            <w:pPr>
              <w:pStyle w:val="Standardtextbody"/>
              <w:spacing w:after="0" w:line="240" w:lineRule="auto"/>
              <w:jc w:val="both"/>
              <w:rPr>
                <w:rFonts w:ascii="Garamond" w:eastAsia="Calibri" w:hAnsi="Garamond" w:cs="Calibri"/>
                <w:bCs w:val="0"/>
                <w:iCs w:val="0"/>
                <w:sz w:val="18"/>
                <w:szCs w:val="18"/>
                <w:lang w:val="sq-AL"/>
              </w:rPr>
            </w:pPr>
            <w:r w:rsidRPr="007114AF">
              <w:rPr>
                <w:rFonts w:ascii="Garamond" w:eastAsia="Calibri" w:hAnsi="Garamond" w:cs="Calibri"/>
                <w:bCs w:val="0"/>
                <w:iCs w:val="0"/>
                <w:sz w:val="18"/>
                <w:szCs w:val="18"/>
                <w:lang w:val="sq-AL"/>
              </w:rPr>
              <w:t xml:space="preserve">- afatshkurtër dhe afatmesëm: WBIF </w:t>
            </w:r>
          </w:p>
        </w:tc>
        <w:tc>
          <w:tcPr>
            <w:tcW w:w="3402" w:type="dxa"/>
            <w:shd w:val="clear" w:color="auto" w:fill="auto"/>
          </w:tcPr>
          <w:p w14:paraId="6EDD1509" w14:textId="77777777" w:rsidR="00E45764" w:rsidRPr="007114AF" w:rsidRDefault="00E45764" w:rsidP="00D82F76">
            <w:pPr>
              <w:pStyle w:val="Standardtextbody"/>
              <w:spacing w:after="0" w:line="240" w:lineRule="auto"/>
              <w:jc w:val="both"/>
              <w:rPr>
                <w:rFonts w:ascii="Garamond" w:eastAsia="Calibri" w:hAnsi="Garamond" w:cs="Calibri"/>
                <w:bCs w:val="0"/>
                <w:iCs w:val="0"/>
                <w:sz w:val="18"/>
                <w:szCs w:val="18"/>
                <w:lang w:val="sq-AL"/>
              </w:rPr>
            </w:pPr>
            <w:r w:rsidRPr="007114AF">
              <w:rPr>
                <w:rFonts w:ascii="Garamond" w:eastAsia="Calibri" w:hAnsi="Garamond" w:cs="Calibri"/>
                <w:bCs w:val="0"/>
                <w:iCs w:val="0"/>
                <w:sz w:val="18"/>
                <w:szCs w:val="18"/>
                <w:lang w:val="sq-AL"/>
              </w:rPr>
              <w:t>- të rishikohen preventivët</w:t>
            </w:r>
          </w:p>
        </w:tc>
      </w:tr>
      <w:tr w:rsidR="00E45764" w:rsidRPr="007114AF" w14:paraId="6EDD1510" w14:textId="77777777" w:rsidTr="00BA14F8">
        <w:tc>
          <w:tcPr>
            <w:tcW w:w="3251" w:type="dxa"/>
            <w:shd w:val="clear" w:color="auto" w:fill="auto"/>
          </w:tcPr>
          <w:p w14:paraId="6EDD150B" w14:textId="2CC26901" w:rsidR="00E45764" w:rsidRPr="007114AF" w:rsidRDefault="008D30FC" w:rsidP="00D82F76">
            <w:pPr>
              <w:spacing w:after="0" w:line="240" w:lineRule="auto"/>
              <w:rPr>
                <w:rFonts w:ascii="Garamond" w:hAnsi="Garamond" w:cs="Calibri"/>
                <w:sz w:val="18"/>
                <w:szCs w:val="18"/>
              </w:rPr>
            </w:pPr>
            <w:r w:rsidRPr="007114AF">
              <w:rPr>
                <w:rFonts w:ascii="Garamond" w:hAnsi="Garamond" w:cs="Calibri"/>
                <w:sz w:val="18"/>
                <w:szCs w:val="18"/>
              </w:rPr>
              <w:t xml:space="preserve">Nr. </w:t>
            </w:r>
            <w:r w:rsidR="00E45764" w:rsidRPr="007114AF">
              <w:rPr>
                <w:rFonts w:ascii="Garamond" w:hAnsi="Garamond" w:cs="Calibri"/>
                <w:sz w:val="18"/>
                <w:szCs w:val="18"/>
              </w:rPr>
              <w:t>15</w:t>
            </w:r>
            <w:r w:rsidR="000A2A01" w:rsidRPr="007114AF">
              <w:rPr>
                <w:rFonts w:ascii="Garamond" w:hAnsi="Garamond" w:cs="Calibri"/>
                <w:sz w:val="18"/>
                <w:szCs w:val="18"/>
              </w:rPr>
              <w:t xml:space="preserve"> </w:t>
            </w:r>
            <w:r w:rsidR="00E45764" w:rsidRPr="007114AF">
              <w:rPr>
                <w:rFonts w:ascii="Garamond" w:hAnsi="Garamond" w:cs="Calibri"/>
                <w:sz w:val="18"/>
                <w:szCs w:val="18"/>
              </w:rPr>
              <w:t xml:space="preserve">Ndërtimi për Rikuperimin e Lagunës </w:t>
            </w:r>
            <w:r w:rsidR="00FE05E1">
              <w:rPr>
                <w:rFonts w:ascii="Garamond" w:hAnsi="Garamond" w:cs="Calibri"/>
                <w:sz w:val="18"/>
                <w:szCs w:val="18"/>
              </w:rPr>
              <w:t>Kune–Vain</w:t>
            </w:r>
            <w:r w:rsidR="00E45764" w:rsidRPr="007114AF">
              <w:rPr>
                <w:rFonts w:ascii="Garamond" w:hAnsi="Garamond" w:cs="Calibri"/>
                <w:sz w:val="18"/>
                <w:szCs w:val="18"/>
              </w:rPr>
              <w:t>i nëpërmjet Adaptimit me bazë Ekosistemin (EbA)</w:t>
            </w:r>
            <w:r w:rsidR="000A2A01" w:rsidRPr="007114AF">
              <w:rPr>
                <w:rFonts w:ascii="Garamond" w:hAnsi="Garamond" w:cs="Calibri"/>
                <w:sz w:val="18"/>
                <w:szCs w:val="18"/>
              </w:rPr>
              <w:t>”</w:t>
            </w:r>
          </w:p>
        </w:tc>
        <w:tc>
          <w:tcPr>
            <w:tcW w:w="1417" w:type="dxa"/>
            <w:shd w:val="clear" w:color="auto" w:fill="auto"/>
            <w:vAlign w:val="center"/>
          </w:tcPr>
          <w:p w14:paraId="6EDD150C" w14:textId="245D8234" w:rsidR="00E45764" w:rsidRPr="007114AF" w:rsidRDefault="00E45764" w:rsidP="00D82F76">
            <w:pPr>
              <w:spacing w:after="0" w:line="240" w:lineRule="auto"/>
              <w:rPr>
                <w:rFonts w:ascii="Garamond" w:hAnsi="Garamond" w:cs="Calibri"/>
                <w:bCs/>
                <w:iCs/>
                <w:sz w:val="18"/>
                <w:szCs w:val="18"/>
              </w:rPr>
            </w:pPr>
            <w:r w:rsidRPr="007114AF">
              <w:rPr>
                <w:rFonts w:ascii="Garamond" w:hAnsi="Garamond" w:cs="Calibri"/>
                <w:bCs/>
                <w:iCs/>
                <w:sz w:val="18"/>
                <w:szCs w:val="18"/>
              </w:rPr>
              <w:t>242 million</w:t>
            </w:r>
            <w:r w:rsidR="00242009" w:rsidRPr="007114AF">
              <w:rPr>
                <w:rFonts w:ascii="Garamond" w:hAnsi="Garamond" w:cs="Calibri"/>
                <w:bCs/>
                <w:iCs/>
                <w:sz w:val="18"/>
                <w:szCs w:val="18"/>
              </w:rPr>
              <w:t>ë</w:t>
            </w:r>
            <w:r w:rsidRPr="007114AF">
              <w:rPr>
                <w:rFonts w:ascii="Garamond" w:hAnsi="Garamond" w:cs="Calibri"/>
                <w:bCs/>
                <w:iCs/>
                <w:sz w:val="18"/>
                <w:szCs w:val="18"/>
              </w:rPr>
              <w:t xml:space="preserve"> LEKË</w:t>
            </w:r>
          </w:p>
        </w:tc>
        <w:tc>
          <w:tcPr>
            <w:tcW w:w="1413" w:type="dxa"/>
            <w:shd w:val="clear" w:color="auto" w:fill="auto"/>
            <w:vAlign w:val="center"/>
          </w:tcPr>
          <w:p w14:paraId="6EDD150D" w14:textId="77777777" w:rsidR="00E45764" w:rsidRPr="007114AF" w:rsidRDefault="00E45764" w:rsidP="00D82F76">
            <w:pPr>
              <w:spacing w:after="0" w:line="240" w:lineRule="auto"/>
              <w:rPr>
                <w:rFonts w:ascii="Garamond" w:hAnsi="Garamond" w:cs="Calibri"/>
                <w:sz w:val="18"/>
                <w:szCs w:val="18"/>
              </w:rPr>
            </w:pPr>
          </w:p>
        </w:tc>
        <w:tc>
          <w:tcPr>
            <w:tcW w:w="5103" w:type="dxa"/>
            <w:shd w:val="clear" w:color="auto" w:fill="auto"/>
          </w:tcPr>
          <w:p w14:paraId="6EDD150E" w14:textId="5448AB5C" w:rsidR="00E45764" w:rsidRPr="007114AF" w:rsidRDefault="00E45764" w:rsidP="00D82F76">
            <w:pPr>
              <w:pStyle w:val="Standardtextbody"/>
              <w:spacing w:after="0" w:line="240" w:lineRule="auto"/>
              <w:jc w:val="both"/>
              <w:rPr>
                <w:rFonts w:ascii="Garamond" w:eastAsia="Calibri" w:hAnsi="Garamond" w:cs="Calibri"/>
                <w:bCs w:val="0"/>
                <w:iCs w:val="0"/>
                <w:sz w:val="18"/>
                <w:szCs w:val="18"/>
                <w:lang w:val="sq-AL"/>
              </w:rPr>
            </w:pPr>
            <w:r w:rsidRPr="007114AF">
              <w:rPr>
                <w:rFonts w:ascii="Garamond" w:eastAsia="Calibri" w:hAnsi="Garamond" w:cs="Calibri"/>
                <w:bCs w:val="0"/>
                <w:iCs w:val="0"/>
                <w:sz w:val="18"/>
                <w:szCs w:val="18"/>
                <w:lang w:val="sq-AL"/>
              </w:rPr>
              <w:t>Afatshkurter- financuar nga</w:t>
            </w:r>
            <w:r w:rsidR="000A2A01" w:rsidRPr="007114AF">
              <w:rPr>
                <w:rFonts w:ascii="Garamond" w:eastAsia="Calibri" w:hAnsi="Garamond" w:cs="Calibri"/>
                <w:bCs w:val="0"/>
                <w:iCs w:val="0"/>
                <w:sz w:val="18"/>
                <w:szCs w:val="18"/>
                <w:lang w:val="sq-AL"/>
              </w:rPr>
              <w:t xml:space="preserve"> </w:t>
            </w:r>
            <w:r w:rsidRPr="007114AF">
              <w:rPr>
                <w:rFonts w:ascii="Garamond" w:hAnsi="Garamond"/>
                <w:sz w:val="18"/>
                <w:szCs w:val="18"/>
                <w:lang w:val="sq-AL"/>
              </w:rPr>
              <w:t>GEF/UNEP</w:t>
            </w:r>
            <w:r w:rsidR="000A2A01" w:rsidRPr="007114AF">
              <w:rPr>
                <w:rFonts w:ascii="Garamond" w:hAnsi="Garamond"/>
                <w:sz w:val="18"/>
                <w:szCs w:val="18"/>
                <w:lang w:val="sq-AL"/>
              </w:rPr>
              <w:t xml:space="preserve"> </w:t>
            </w:r>
          </w:p>
        </w:tc>
        <w:tc>
          <w:tcPr>
            <w:tcW w:w="3402" w:type="dxa"/>
            <w:shd w:val="clear" w:color="auto" w:fill="auto"/>
          </w:tcPr>
          <w:p w14:paraId="6EDD150F" w14:textId="77777777" w:rsidR="00E45764" w:rsidRPr="007114AF" w:rsidRDefault="00E45764" w:rsidP="00D82F76">
            <w:pPr>
              <w:pStyle w:val="Standardtextbody"/>
              <w:spacing w:after="0" w:line="240" w:lineRule="auto"/>
              <w:jc w:val="both"/>
              <w:rPr>
                <w:rFonts w:ascii="Garamond" w:eastAsia="Calibri" w:hAnsi="Garamond" w:cs="Calibri"/>
                <w:bCs w:val="0"/>
                <w:iCs w:val="0"/>
                <w:sz w:val="18"/>
                <w:szCs w:val="18"/>
                <w:lang w:val="sq-AL"/>
              </w:rPr>
            </w:pPr>
          </w:p>
        </w:tc>
      </w:tr>
    </w:tbl>
    <w:p w14:paraId="6EDD1511" w14:textId="77777777" w:rsidR="009D1AC8" w:rsidRPr="007114AF" w:rsidRDefault="009D1AC8" w:rsidP="009D1AC8">
      <w:pPr>
        <w:rPr>
          <w:rFonts w:ascii="Garamond" w:hAnsi="Garamond"/>
        </w:rPr>
      </w:pPr>
    </w:p>
    <w:p w14:paraId="6EDD1512" w14:textId="77777777" w:rsidR="008E1F53" w:rsidRPr="007114AF" w:rsidRDefault="008E1F53" w:rsidP="00BC1DB5">
      <w:pPr>
        <w:spacing w:after="200"/>
        <w:rPr>
          <w:rFonts w:ascii="Garamond" w:hAnsi="Garamond"/>
          <w:b/>
          <w:bCs/>
          <w:iCs/>
          <w:u w:val="single"/>
        </w:rPr>
        <w:sectPr w:rsidR="008E1F53" w:rsidRPr="007114AF" w:rsidSect="002D0A53">
          <w:headerReference w:type="even" r:id="rId58"/>
          <w:headerReference w:type="default" r:id="rId59"/>
          <w:footerReference w:type="default" r:id="rId60"/>
          <w:headerReference w:type="first" r:id="rId61"/>
          <w:pgSz w:w="16840" w:h="11907" w:orient="landscape" w:code="9"/>
          <w:pgMar w:top="1418" w:right="1418" w:bottom="1418" w:left="1418" w:header="1304" w:footer="1134" w:gutter="0"/>
          <w:cols w:space="708"/>
          <w:noEndnote/>
          <w:docGrid w:linePitch="326"/>
        </w:sectPr>
      </w:pPr>
    </w:p>
    <w:p w14:paraId="6EDD1513" w14:textId="77777777" w:rsidR="003D24B4" w:rsidRPr="007114AF" w:rsidRDefault="003D24B4" w:rsidP="00C065FF">
      <w:pPr>
        <w:pStyle w:val="TEKSTI"/>
      </w:pPr>
      <w:bookmarkStart w:id="188" w:name="_Toc469479189"/>
      <w:bookmarkStart w:id="189" w:name="_Toc479083928"/>
      <w:r w:rsidRPr="007114AF">
        <w:lastRenderedPageBreak/>
        <w:sym w:font="Wingdings 2" w:char="F041"/>
      </w:r>
      <w:r w:rsidRPr="007114AF">
        <w:t>Programi i Buxhetimit Afatmesëm – Rishikimi Institucional</w:t>
      </w:r>
      <w:bookmarkEnd w:id="188"/>
      <w:bookmarkEnd w:id="189"/>
    </w:p>
    <w:p w14:paraId="6EDD1514" w14:textId="77777777" w:rsidR="003D24B4" w:rsidRPr="007114AF" w:rsidRDefault="003D24B4" w:rsidP="00C065FF">
      <w:pPr>
        <w:pStyle w:val="TEKSTI"/>
      </w:pPr>
    </w:p>
    <w:p w14:paraId="6EDD1515" w14:textId="77777777" w:rsidR="003D24B4" w:rsidRPr="007114AF" w:rsidRDefault="003E2A26" w:rsidP="00C065FF">
      <w:pPr>
        <w:pStyle w:val="TEKSTI"/>
      </w:pPr>
      <w:r w:rsidRPr="007114AF">
        <w:t xml:space="preserve">- </w:t>
      </w:r>
      <w:r w:rsidR="003D24B4" w:rsidRPr="007114AF">
        <w:t>Përgjegjësitë e grupeve kryesore të interesit të përfshira në programin e buxhetimit afatmesëm janë si më poshtë:</w:t>
      </w:r>
    </w:p>
    <w:p w14:paraId="6EDD1516" w14:textId="77777777" w:rsidR="003D24B4" w:rsidRPr="007114AF" w:rsidRDefault="003D24B4" w:rsidP="00C065FF">
      <w:pPr>
        <w:pStyle w:val="TEKSTI"/>
      </w:pPr>
      <w:r w:rsidRPr="007114AF">
        <w:t xml:space="preserve">Zyra e Kryeministrisë – Drejtoria për Zhvillimin, Financimin dhe Ndihmën e Huaj (DZHFNH) (DFFAD) që përfshin Planifikimin Strategjik dhe Fondin e Zhvillimit Rajonal, është struktura përgjegjëse për koordinimin e strategjive kombëtare dhe sektoriale dhe luan rol kyç në rishikimin e Deklaratave të Politikave të Programeve. Detyra kryesore e kësaj drejtorie është vlerësimi i përputhshmërisë së këtyre deklaratave politike me të gjitha dokumentet e miratuara nga Këshilli i Ministrave ose Parlamenti. </w:t>
      </w:r>
    </w:p>
    <w:p w14:paraId="6EDD1517" w14:textId="5006F8BA" w:rsidR="003D24B4" w:rsidRPr="007114AF" w:rsidRDefault="00F32480" w:rsidP="00C065FF">
      <w:pPr>
        <w:pStyle w:val="TEKSTI"/>
      </w:pPr>
      <w:r w:rsidRPr="007114AF">
        <w:t xml:space="preserve">- </w:t>
      </w:r>
      <w:r w:rsidR="003D24B4" w:rsidRPr="007114AF">
        <w:t>Ministria e Financave dhe Ekonomisë(MFE) - Ministri i Financave dhe Ekonomisë është autoriteti përgjegjës për miratimin e një sistemi të standardeve dhe procedurave që garanton një administrim ekonomik, eficient dhe efektiv të burimeve financiare publike. MF-ja alokon dhe rialokon të ardhurat kombëtare,</w:t>
      </w:r>
      <w:r w:rsidR="000A2A01" w:rsidRPr="007114AF">
        <w:t xml:space="preserve"> </w:t>
      </w:r>
      <w:r w:rsidR="003D24B4" w:rsidRPr="007114AF">
        <w:t>nëpërmjet mbledhjes së të ardhurave dhe buxhetimit të shpenzimeve publike, si dhe krijon sisteme të informacionit financiar.</w:t>
      </w:r>
    </w:p>
    <w:p w14:paraId="6EDD1518" w14:textId="77777777" w:rsidR="003D24B4" w:rsidRPr="007114AF" w:rsidRDefault="00F32480" w:rsidP="00C065FF">
      <w:pPr>
        <w:pStyle w:val="TEKSTI"/>
      </w:pPr>
      <w:r w:rsidRPr="007114AF">
        <w:rPr>
          <w:color w:val="000000"/>
        </w:rPr>
        <w:t xml:space="preserve">- </w:t>
      </w:r>
      <w:r w:rsidR="003D24B4" w:rsidRPr="007114AF">
        <w:rPr>
          <w:color w:val="000000"/>
        </w:rPr>
        <w:t>Ministria për Evropën dhe Punët e Jashtme (MEPJ)</w:t>
      </w:r>
      <w:r w:rsidR="003D24B4" w:rsidRPr="007114AF">
        <w:t xml:space="preserve">- </w:t>
      </w:r>
      <w:r w:rsidR="003D24B4" w:rsidRPr="007114AF">
        <w:rPr>
          <w:color w:val="000000"/>
        </w:rPr>
        <w:t xml:space="preserve">Ministria për Evropën dhe Punët e Jashtme </w:t>
      </w:r>
      <w:r w:rsidR="003D24B4" w:rsidRPr="007114AF">
        <w:t>analizon Deklaratën Politike për çdo program, produkte dhe aktivitete të paraqitura nga institucionet qendrore, për të garantuar se ato reflektojnë të gjitha detyrimet e Planit Kombëtar për zbatimin e Marrëveshjes së Stabilizimit &amp; Asociimit me BE-në.</w:t>
      </w:r>
    </w:p>
    <w:p w14:paraId="6EDD1519" w14:textId="77777777" w:rsidR="003D24B4" w:rsidRPr="007114AF" w:rsidRDefault="00F32480" w:rsidP="00C065FF">
      <w:pPr>
        <w:pStyle w:val="TEKSTI"/>
      </w:pPr>
      <w:r w:rsidRPr="007114AF">
        <w:t xml:space="preserve">- </w:t>
      </w:r>
      <w:r w:rsidR="003D24B4" w:rsidRPr="007114AF">
        <w:t>Drejtuesit e Institucioneve Qeveritare- Niveli politik miraton projekt dokumentin e PBAM (MTBP) (politika në nivel programesh) dhe ia paraqet Këshillit të Ministrave.</w:t>
      </w:r>
    </w:p>
    <w:p w14:paraId="6EDD151A" w14:textId="0855E1A8" w:rsidR="003D24B4" w:rsidRPr="007114AF" w:rsidRDefault="00F32480" w:rsidP="00C065FF">
      <w:pPr>
        <w:pStyle w:val="TEKSTI"/>
      </w:pPr>
      <w:r w:rsidRPr="007114AF">
        <w:t xml:space="preserve">- </w:t>
      </w:r>
      <w:r w:rsidR="003D24B4" w:rsidRPr="007114AF">
        <w:t>Grupet e Menaxhimit Strategjik</w:t>
      </w:r>
      <w:r w:rsidR="000A2A01" w:rsidRPr="007114AF">
        <w:t xml:space="preserve"> </w:t>
      </w:r>
      <w:r w:rsidR="003D24B4" w:rsidRPr="007114AF">
        <w:t>pranë secilës ministri linje- të drejtuara nga Drejtuesi i Organizatës dhe të përbëra nga Sekretari i Përgjithshëm, Drejtuesit e Programeve dhe Kryefinancieri.</w:t>
      </w:r>
    </w:p>
    <w:p w14:paraId="6EDD151B" w14:textId="77777777" w:rsidR="003D24B4" w:rsidRPr="007114AF" w:rsidRDefault="00F32480" w:rsidP="00C065FF">
      <w:pPr>
        <w:pStyle w:val="TEKSTI"/>
      </w:pPr>
      <w:r w:rsidRPr="007114AF">
        <w:t xml:space="preserve">- </w:t>
      </w:r>
      <w:r w:rsidR="003D24B4" w:rsidRPr="007114AF">
        <w:t>Sekretarët e Përgjithshëm të Institucioneve Qeveritare- Niveli më i lartë i Menaxhimit Teknik përgatit projekt dokumentin përfundimtar të PBAM (MTBP) dhe është përgjegjës për ekzekutimin e buxhetit.</w:t>
      </w:r>
    </w:p>
    <w:p w14:paraId="6EDD151C" w14:textId="6A8A806E" w:rsidR="003D24B4" w:rsidRPr="007114AF" w:rsidRDefault="00F32480" w:rsidP="00C065FF">
      <w:pPr>
        <w:pStyle w:val="TEKSTI"/>
      </w:pPr>
      <w:r w:rsidRPr="007114AF">
        <w:t xml:space="preserve">- </w:t>
      </w:r>
      <w:r w:rsidR="003D24B4" w:rsidRPr="007114AF">
        <w:t>Drejtuesit e programeve (të barazvlefshëm me drejtuesit e departamenteve) përgatitin deklaratën politike për programin përkatës dhe ia paraqesin Grupit të Menaxhimit Strategjik</w:t>
      </w:r>
      <w:r w:rsidR="000A2A01" w:rsidRPr="007114AF">
        <w:t xml:space="preserve"> </w:t>
      </w:r>
      <w:r w:rsidR="003D24B4" w:rsidRPr="007114AF">
        <w:t>(GMS) (SMG).</w:t>
      </w:r>
    </w:p>
    <w:p w14:paraId="6EDD151D" w14:textId="77777777" w:rsidR="003D24B4" w:rsidRPr="007114AF" w:rsidRDefault="00F32480" w:rsidP="00C065FF">
      <w:pPr>
        <w:pStyle w:val="TEKSTI"/>
      </w:pPr>
      <w:r w:rsidRPr="007114AF">
        <w:t xml:space="preserve">- </w:t>
      </w:r>
      <w:r w:rsidR="003D24B4" w:rsidRPr="007114AF">
        <w:t>Ekipet e menaxhimit të programeve (të përbëra nga Drejtuesit e Drejtorive dhe drejtuesit e Agjencive Kombëtare pranë Ministrive të linjës) identifikojnë objektivat, aktivitetet, projektet, shpenzimet etj sipas programit.</w:t>
      </w:r>
    </w:p>
    <w:p w14:paraId="6EDD151E" w14:textId="77777777" w:rsidR="003D24B4" w:rsidRPr="007114AF" w:rsidRDefault="003D24B4" w:rsidP="00C065FF">
      <w:pPr>
        <w:pStyle w:val="TEKSTI"/>
      </w:pPr>
      <w:r w:rsidRPr="007114AF">
        <w:t>Drejtuesit e Departamenteve të Financës që i raportojnë Sekretarit të Përgjithshëm të institucionit, veprojnë si sekretarë për Grupet e Menaxhimit Strategjik dhe janë përgjegjës për cilësinë e dokumentit të PBAM (MTBP).</w:t>
      </w:r>
    </w:p>
    <w:p w14:paraId="6EDD151F" w14:textId="77777777" w:rsidR="003D24B4" w:rsidRPr="007114AF" w:rsidRDefault="003D24B4" w:rsidP="00C065FF">
      <w:pPr>
        <w:pStyle w:val="TEKSTI"/>
      </w:pPr>
      <w:r w:rsidRPr="007114AF">
        <w:rPr>
          <w:color w:val="000000"/>
        </w:rPr>
        <w:t>Gjatë procesit të zbatimit të buxhetit janë marrë vendime të rëndësishme për rialokimin e fondeve dhe janë vendosur rregulla në bazë të performancës së institucioneve buxhetore:</w:t>
      </w:r>
    </w:p>
    <w:p w14:paraId="6EDD1520" w14:textId="77777777" w:rsidR="003D24B4" w:rsidRPr="007114AF" w:rsidRDefault="00F32480" w:rsidP="00C065FF">
      <w:pPr>
        <w:pStyle w:val="TEKSTI"/>
        <w:rPr>
          <w:color w:val="000000"/>
        </w:rPr>
      </w:pPr>
      <w:r w:rsidRPr="007114AF">
        <w:rPr>
          <w:color w:val="000000"/>
        </w:rPr>
        <w:t xml:space="preserve">- </w:t>
      </w:r>
      <w:r w:rsidR="003D24B4" w:rsidRPr="007114AF">
        <w:rPr>
          <w:color w:val="000000"/>
        </w:rPr>
        <w:t>rialokimi i fondeve deri në 10% midis programeve, miratohet nga Këshilli i Ministrave;</w:t>
      </w:r>
    </w:p>
    <w:p w14:paraId="6EDD1521" w14:textId="77777777" w:rsidR="003D24B4" w:rsidRPr="007114AF" w:rsidRDefault="00F32480" w:rsidP="00C065FF">
      <w:pPr>
        <w:pStyle w:val="TEKSTI"/>
        <w:rPr>
          <w:color w:val="000000"/>
        </w:rPr>
      </w:pPr>
      <w:r w:rsidRPr="007114AF">
        <w:rPr>
          <w:color w:val="000000"/>
        </w:rPr>
        <w:t xml:space="preserve">- </w:t>
      </w:r>
      <w:r w:rsidR="003D24B4" w:rsidRPr="007114AF">
        <w:rPr>
          <w:color w:val="000000"/>
        </w:rPr>
        <w:t>midis linjave ekonomike brenda një programi dhe kategorisë së shpenzimeve rrjedhëse, rialokimi i fondeve miratohet nga Sekretari i Përgjithshëm i MF-së (MoF);</w:t>
      </w:r>
    </w:p>
    <w:p w14:paraId="6EDD1522" w14:textId="77777777" w:rsidR="003D24B4" w:rsidRPr="007114AF" w:rsidRDefault="00F32480" w:rsidP="00C065FF">
      <w:pPr>
        <w:pStyle w:val="TEKSTI"/>
        <w:rPr>
          <w:color w:val="000000"/>
        </w:rPr>
      </w:pPr>
      <w:r w:rsidRPr="007114AF">
        <w:rPr>
          <w:color w:val="000000"/>
        </w:rPr>
        <w:t xml:space="preserve">- </w:t>
      </w:r>
      <w:r w:rsidR="003D24B4" w:rsidRPr="007114AF">
        <w:rPr>
          <w:color w:val="000000"/>
        </w:rPr>
        <w:t>midis njësive të shpenzimeve brenda një programi dhe një zëri të shpenzimeve rrjedhëse, rialokimi i fondeve miratohet nga Sekretari i Përgjithshëm i institucionit të qeverisë qendrore;</w:t>
      </w:r>
    </w:p>
    <w:p w14:paraId="6EDD1523" w14:textId="77777777" w:rsidR="003D24B4" w:rsidRPr="007114AF" w:rsidRDefault="00F32480" w:rsidP="00C065FF">
      <w:pPr>
        <w:pStyle w:val="TEKSTI"/>
        <w:rPr>
          <w:color w:val="000000"/>
        </w:rPr>
      </w:pPr>
      <w:r w:rsidRPr="007114AF">
        <w:rPr>
          <w:color w:val="000000"/>
        </w:rPr>
        <w:t xml:space="preserve">- </w:t>
      </w:r>
      <w:r w:rsidR="003D24B4" w:rsidRPr="007114AF">
        <w:rPr>
          <w:color w:val="000000"/>
        </w:rPr>
        <w:t>nuk mund të kryhet asnjë rialokim pas datës 15 nëntor;</w:t>
      </w:r>
    </w:p>
    <w:p w14:paraId="6EDD1524" w14:textId="77777777" w:rsidR="00193B62" w:rsidRPr="007114AF" w:rsidRDefault="00F32480" w:rsidP="00C065FF">
      <w:pPr>
        <w:pStyle w:val="TEKSTI"/>
        <w:rPr>
          <w:color w:val="000000" w:themeColor="text1"/>
        </w:rPr>
      </w:pPr>
      <w:r w:rsidRPr="007114AF">
        <w:rPr>
          <w:color w:val="000000"/>
        </w:rPr>
        <w:t xml:space="preserve">- </w:t>
      </w:r>
      <w:r w:rsidR="003D24B4" w:rsidRPr="007114AF">
        <w:rPr>
          <w:color w:val="000000"/>
        </w:rPr>
        <w:t>nuk ekzistojnë kalime midis shpenzimeve rrjedhëse dhe investimeve</w:t>
      </w:r>
      <w:r w:rsidR="003D24B4" w:rsidRPr="007114AF">
        <w:rPr>
          <w:color w:val="000000" w:themeColor="text1"/>
        </w:rPr>
        <w:t>.</w:t>
      </w:r>
    </w:p>
    <w:p w14:paraId="6EDD1525" w14:textId="77777777" w:rsidR="00F32480" w:rsidRPr="007114AF" w:rsidRDefault="00F32480" w:rsidP="00C065FF">
      <w:pPr>
        <w:pStyle w:val="TEKSTI"/>
        <w:rPr>
          <w:color w:val="000000" w:themeColor="text1"/>
        </w:rPr>
      </w:pPr>
    </w:p>
    <w:p w14:paraId="6EDD1526" w14:textId="77777777" w:rsidR="00F32480" w:rsidRPr="007114AF" w:rsidRDefault="00F32480" w:rsidP="00C065FF">
      <w:pPr>
        <w:pStyle w:val="TEKSTI"/>
        <w:rPr>
          <w:color w:val="000000" w:themeColor="text1"/>
        </w:rPr>
      </w:pPr>
    </w:p>
    <w:p w14:paraId="6EDD1527" w14:textId="77777777" w:rsidR="00F32480" w:rsidRPr="007114AF" w:rsidRDefault="00F32480" w:rsidP="00C065FF">
      <w:pPr>
        <w:pStyle w:val="TEKSTI"/>
        <w:rPr>
          <w:color w:val="000000" w:themeColor="text1"/>
        </w:rPr>
      </w:pPr>
    </w:p>
    <w:p w14:paraId="6EDD1528" w14:textId="77777777" w:rsidR="00F32480" w:rsidRPr="007114AF" w:rsidRDefault="00F32480" w:rsidP="00C065FF">
      <w:pPr>
        <w:pStyle w:val="TEKSTI"/>
        <w:rPr>
          <w:color w:val="000000" w:themeColor="text1"/>
        </w:rPr>
      </w:pPr>
    </w:p>
    <w:p w14:paraId="6EDD1529" w14:textId="77777777" w:rsidR="00F32480" w:rsidRPr="007114AF" w:rsidRDefault="00F32480" w:rsidP="00C065FF">
      <w:pPr>
        <w:pStyle w:val="TEKSTI"/>
        <w:rPr>
          <w:color w:val="000000" w:themeColor="text1"/>
        </w:rPr>
        <w:sectPr w:rsidR="00F32480" w:rsidRPr="007114AF" w:rsidSect="008E1F53">
          <w:pgSz w:w="11907" w:h="16840" w:code="9"/>
          <w:pgMar w:top="1418" w:right="1418" w:bottom="1418" w:left="1418" w:header="1304" w:footer="1134" w:gutter="0"/>
          <w:cols w:space="708"/>
          <w:noEndnote/>
          <w:docGrid w:linePitch="326"/>
        </w:sectPr>
      </w:pPr>
    </w:p>
    <w:p w14:paraId="6EDD152A" w14:textId="77777777" w:rsidR="009160D5" w:rsidRPr="007114AF" w:rsidRDefault="009160D5" w:rsidP="009160D5">
      <w:pPr>
        <w:pStyle w:val="TEKSTI"/>
        <w:rPr>
          <w:b/>
        </w:rPr>
      </w:pPr>
      <w:bookmarkStart w:id="190" w:name="_Toc469479190"/>
      <w:bookmarkStart w:id="191" w:name="_Toc479083929"/>
      <w:r w:rsidRPr="007114AF">
        <w:rPr>
          <w:b/>
        </w:rPr>
        <w:lastRenderedPageBreak/>
        <w:sym w:font="Wingdings 2" w:char="F041"/>
      </w:r>
      <w:r w:rsidRPr="007114AF">
        <w:rPr>
          <w:b/>
        </w:rPr>
        <w:t xml:space="preserve">Avantazhet dhe Disavantazhet e Masave/Marrëveshjeve Ekzistuese Institucionale </w:t>
      </w:r>
      <w:bookmarkEnd w:id="190"/>
      <w:bookmarkEnd w:id="191"/>
    </w:p>
    <w:tbl>
      <w:tblPr>
        <w:tblW w:w="14742" w:type="dxa"/>
        <w:tblInd w:w="-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05"/>
        <w:gridCol w:w="6245"/>
        <w:gridCol w:w="6892"/>
      </w:tblGrid>
      <w:tr w:rsidR="001B6A20" w:rsidRPr="007114AF" w14:paraId="6EDD152E" w14:textId="77777777" w:rsidTr="003305AE">
        <w:trPr>
          <w:trHeight w:val="413"/>
        </w:trPr>
        <w:tc>
          <w:tcPr>
            <w:tcW w:w="1560" w:type="dxa"/>
            <w:shd w:val="clear" w:color="auto" w:fill="D9D9D9"/>
            <w:vAlign w:val="center"/>
          </w:tcPr>
          <w:p w14:paraId="6EDD152B" w14:textId="77777777" w:rsidR="001B6A20" w:rsidRPr="007114AF" w:rsidRDefault="001B6A20" w:rsidP="001B6A20">
            <w:pPr>
              <w:spacing w:after="0" w:line="240" w:lineRule="auto"/>
              <w:jc w:val="left"/>
              <w:rPr>
                <w:rFonts w:ascii="Garamond" w:eastAsiaTheme="minorHAnsi" w:hAnsi="Garamond"/>
                <w:b/>
                <w:sz w:val="20"/>
                <w:szCs w:val="20"/>
                <w:lang w:eastAsia="en-US"/>
              </w:rPr>
            </w:pPr>
            <w:r w:rsidRPr="007114AF">
              <w:rPr>
                <w:rFonts w:ascii="Garamond" w:eastAsiaTheme="minorHAnsi" w:hAnsi="Garamond"/>
                <w:b/>
                <w:sz w:val="20"/>
                <w:szCs w:val="20"/>
                <w:lang w:eastAsia="en-US"/>
              </w:rPr>
              <w:t>Qasja institucionale</w:t>
            </w:r>
          </w:p>
        </w:tc>
        <w:tc>
          <w:tcPr>
            <w:tcW w:w="6267" w:type="dxa"/>
            <w:tcBorders>
              <w:bottom w:val="single" w:sz="4" w:space="0" w:color="auto"/>
            </w:tcBorders>
            <w:shd w:val="clear" w:color="auto" w:fill="D9D9D9"/>
            <w:vAlign w:val="center"/>
          </w:tcPr>
          <w:p w14:paraId="6EDD152C" w14:textId="77777777" w:rsidR="001B6A20" w:rsidRPr="007114AF" w:rsidRDefault="001B6A20" w:rsidP="001B6A20">
            <w:pPr>
              <w:spacing w:after="0" w:line="240" w:lineRule="auto"/>
              <w:jc w:val="left"/>
              <w:rPr>
                <w:rFonts w:ascii="Garamond" w:eastAsiaTheme="minorHAnsi" w:hAnsi="Garamond"/>
                <w:b/>
                <w:sz w:val="20"/>
                <w:szCs w:val="20"/>
                <w:lang w:eastAsia="en-US"/>
              </w:rPr>
            </w:pPr>
            <w:r w:rsidRPr="007114AF">
              <w:rPr>
                <w:rFonts w:ascii="Garamond" w:eastAsiaTheme="minorHAnsi" w:hAnsi="Garamond"/>
                <w:b/>
                <w:sz w:val="20"/>
                <w:szCs w:val="20"/>
                <w:lang w:eastAsia="en-US"/>
              </w:rPr>
              <w:t>Avantazhet</w:t>
            </w:r>
          </w:p>
        </w:tc>
        <w:tc>
          <w:tcPr>
            <w:tcW w:w="6915" w:type="dxa"/>
            <w:tcBorders>
              <w:bottom w:val="single" w:sz="4" w:space="0" w:color="auto"/>
            </w:tcBorders>
            <w:shd w:val="clear" w:color="auto" w:fill="D9D9D9"/>
            <w:vAlign w:val="center"/>
          </w:tcPr>
          <w:p w14:paraId="6EDD152D" w14:textId="77777777" w:rsidR="001B6A20" w:rsidRPr="007114AF" w:rsidRDefault="001B6A20" w:rsidP="001B6A20">
            <w:pPr>
              <w:spacing w:after="0" w:line="240" w:lineRule="auto"/>
              <w:jc w:val="left"/>
              <w:rPr>
                <w:rFonts w:ascii="Garamond" w:eastAsiaTheme="minorHAnsi" w:hAnsi="Garamond"/>
                <w:b/>
                <w:sz w:val="20"/>
                <w:szCs w:val="20"/>
                <w:lang w:eastAsia="en-US"/>
              </w:rPr>
            </w:pPr>
            <w:r w:rsidRPr="007114AF">
              <w:rPr>
                <w:rFonts w:ascii="Garamond" w:eastAsiaTheme="minorHAnsi" w:hAnsi="Garamond"/>
                <w:b/>
                <w:sz w:val="20"/>
                <w:szCs w:val="20"/>
                <w:lang w:eastAsia="en-US"/>
              </w:rPr>
              <w:t>Disavantazhet</w:t>
            </w:r>
          </w:p>
        </w:tc>
      </w:tr>
      <w:tr w:rsidR="001B6A20" w:rsidRPr="007114AF" w14:paraId="6EDD153C" w14:textId="77777777" w:rsidTr="003305AE">
        <w:trPr>
          <w:trHeight w:val="2441"/>
        </w:trPr>
        <w:tc>
          <w:tcPr>
            <w:tcW w:w="1560" w:type="dxa"/>
            <w:tcBorders>
              <w:right w:val="single" w:sz="4" w:space="0" w:color="auto"/>
            </w:tcBorders>
          </w:tcPr>
          <w:p w14:paraId="6EDD152F" w14:textId="77777777" w:rsidR="001B6A20" w:rsidRPr="007114AF" w:rsidRDefault="001B6A20" w:rsidP="001B6A20">
            <w:pPr>
              <w:spacing w:after="0" w:line="240" w:lineRule="auto"/>
              <w:jc w:val="left"/>
              <w:rPr>
                <w:rFonts w:ascii="Garamond" w:eastAsiaTheme="minorHAnsi" w:hAnsi="Garamond"/>
                <w:sz w:val="20"/>
                <w:szCs w:val="20"/>
                <w:lang w:eastAsia="en-US"/>
              </w:rPr>
            </w:pPr>
            <w:r w:rsidRPr="007114AF">
              <w:rPr>
                <w:rFonts w:ascii="Garamond" w:eastAsiaTheme="minorHAnsi" w:hAnsi="Garamond"/>
                <w:b/>
                <w:bCs/>
                <w:sz w:val="20"/>
                <w:szCs w:val="20"/>
                <w:lang w:eastAsia="en-US"/>
              </w:rPr>
              <w:t>IMWG</w:t>
            </w:r>
          </w:p>
        </w:tc>
        <w:tc>
          <w:tcPr>
            <w:tcW w:w="6267" w:type="dxa"/>
            <w:tcBorders>
              <w:top w:val="single" w:sz="4" w:space="0" w:color="auto"/>
              <w:left w:val="single" w:sz="4" w:space="0" w:color="auto"/>
              <w:right w:val="single" w:sz="4" w:space="0" w:color="auto"/>
            </w:tcBorders>
          </w:tcPr>
          <w:p w14:paraId="6EDD1530" w14:textId="77777777" w:rsidR="001B6A20" w:rsidRPr="007114AF" w:rsidRDefault="001B6A20" w:rsidP="001B6A20">
            <w:pPr>
              <w:spacing w:after="0" w:line="240" w:lineRule="auto"/>
              <w:jc w:val="left"/>
              <w:rPr>
                <w:rFonts w:ascii="Garamond" w:eastAsiaTheme="minorHAnsi" w:hAnsi="Garamond"/>
                <w:sz w:val="20"/>
                <w:szCs w:val="20"/>
                <w:lang w:eastAsia="en-US"/>
              </w:rPr>
            </w:pPr>
            <w:r w:rsidRPr="007114AF">
              <w:rPr>
                <w:rFonts w:ascii="Garamond" w:eastAsiaTheme="minorHAnsi" w:hAnsi="Garamond"/>
                <w:sz w:val="20"/>
                <w:szCs w:val="20"/>
                <w:lang w:eastAsia="en-US"/>
              </w:rPr>
              <w:t xml:space="preserve">- Grupi Ndërministror të punës i ndryshimeve klimatike (IMWG) është krijuar me mandatin më të lartë politik (Urdhër i Kryeministrit) </w:t>
            </w:r>
          </w:p>
          <w:p w14:paraId="6EDD1531" w14:textId="77777777" w:rsidR="001B6A20" w:rsidRPr="007114AF" w:rsidRDefault="001B6A20" w:rsidP="001B6A20">
            <w:pPr>
              <w:spacing w:after="0" w:line="240" w:lineRule="auto"/>
              <w:jc w:val="left"/>
              <w:rPr>
                <w:rFonts w:ascii="Garamond" w:eastAsiaTheme="minorHAnsi" w:hAnsi="Garamond"/>
                <w:sz w:val="20"/>
                <w:szCs w:val="20"/>
                <w:lang w:eastAsia="en-US"/>
              </w:rPr>
            </w:pPr>
            <w:r w:rsidRPr="007114AF">
              <w:rPr>
                <w:rFonts w:ascii="Garamond" w:eastAsiaTheme="minorHAnsi" w:hAnsi="Garamond"/>
                <w:sz w:val="20"/>
                <w:szCs w:val="20"/>
                <w:lang w:eastAsia="en-US"/>
              </w:rPr>
              <w:t xml:space="preserve">- Masa/marrëveshja ekzistuese garanton lançimin me sukses të një procesi të gjatë përshtatjeje ndaj ndryshimeve klimatike në Shqipëri </w:t>
            </w:r>
          </w:p>
          <w:p w14:paraId="6EDD1532" w14:textId="77777777" w:rsidR="001B6A20" w:rsidRPr="007114AF" w:rsidRDefault="001B6A20" w:rsidP="001B6A20">
            <w:pPr>
              <w:spacing w:after="0" w:line="240" w:lineRule="auto"/>
              <w:jc w:val="left"/>
              <w:rPr>
                <w:rFonts w:ascii="Garamond" w:eastAsiaTheme="minorHAnsi" w:hAnsi="Garamond"/>
                <w:sz w:val="20"/>
                <w:szCs w:val="20"/>
                <w:lang w:eastAsia="en-US"/>
              </w:rPr>
            </w:pPr>
            <w:r w:rsidRPr="007114AF">
              <w:rPr>
                <w:rFonts w:ascii="Garamond" w:eastAsiaTheme="minorHAnsi" w:hAnsi="Garamond"/>
                <w:sz w:val="20"/>
                <w:szCs w:val="20"/>
                <w:lang w:eastAsia="en-US"/>
              </w:rPr>
              <w:t>- Roli i hartimit dhe koordinimit të Grupit Ndërministror për ndryshimet klimatike (IMWG) pranë Ministrisë së Turizmit dhe Mjedisit (CCU) për përgatitjen e dokumentit të NAP-it.</w:t>
            </w:r>
          </w:p>
          <w:p w14:paraId="6EDD1533" w14:textId="77777777" w:rsidR="001B6A20" w:rsidRPr="007114AF" w:rsidRDefault="001B6A20" w:rsidP="001B6A20">
            <w:pPr>
              <w:spacing w:after="0" w:line="240" w:lineRule="auto"/>
              <w:jc w:val="left"/>
              <w:rPr>
                <w:rFonts w:ascii="Garamond" w:eastAsiaTheme="minorHAnsi" w:hAnsi="Garamond"/>
                <w:sz w:val="20"/>
                <w:szCs w:val="20"/>
                <w:lang w:eastAsia="en-US"/>
              </w:rPr>
            </w:pPr>
            <w:r w:rsidRPr="007114AF">
              <w:rPr>
                <w:rFonts w:ascii="Garamond" w:eastAsiaTheme="minorHAnsi" w:hAnsi="Garamond"/>
                <w:sz w:val="20"/>
                <w:szCs w:val="20"/>
                <w:lang w:eastAsia="en-US"/>
              </w:rPr>
              <w:t>- Kompetencat e anëtarëve të Grupit Ndërministror të ndryshimeve klimatike (IMWG) për identifikimin e mundësive për të lehtësuar, promovuar, vlerësuar projektet dhe shprehur opinionin e tyre për projektet.</w:t>
            </w:r>
          </w:p>
          <w:p w14:paraId="6EDD1534" w14:textId="153C919B" w:rsidR="001B6A20" w:rsidRPr="007114AF" w:rsidRDefault="001B6A20" w:rsidP="001B6A20">
            <w:pPr>
              <w:spacing w:after="0" w:line="240" w:lineRule="auto"/>
              <w:jc w:val="left"/>
              <w:rPr>
                <w:rFonts w:ascii="Garamond" w:eastAsiaTheme="minorHAnsi" w:hAnsi="Garamond"/>
                <w:sz w:val="20"/>
                <w:szCs w:val="20"/>
                <w:lang w:eastAsia="en-US"/>
              </w:rPr>
            </w:pPr>
            <w:r w:rsidRPr="007114AF">
              <w:rPr>
                <w:rFonts w:ascii="Garamond" w:eastAsiaTheme="minorHAnsi" w:hAnsi="Garamond"/>
                <w:sz w:val="20"/>
                <w:szCs w:val="20"/>
                <w:lang w:eastAsia="en-US"/>
              </w:rPr>
              <w:t>- Caktimi i Drejtorisë së Politikave dhe Strategjive te Zhvillimit të Mjedisit, si pikë kontakti në Ministrinë e Turizmit dhe Mjedisit për ndryshimet klimatike</w:t>
            </w:r>
            <w:r w:rsidR="00191838" w:rsidRPr="007114AF">
              <w:rPr>
                <w:rFonts w:ascii="Garamond" w:eastAsiaTheme="minorHAnsi" w:hAnsi="Garamond"/>
                <w:sz w:val="20"/>
                <w:szCs w:val="20"/>
                <w:lang w:eastAsia="en-US"/>
              </w:rPr>
              <w:t>.</w:t>
            </w:r>
          </w:p>
          <w:p w14:paraId="6EDD1535" w14:textId="77777777" w:rsidR="001B6A20" w:rsidRPr="007114AF" w:rsidRDefault="001B6A20" w:rsidP="001B6A20">
            <w:pPr>
              <w:spacing w:after="0" w:line="240" w:lineRule="auto"/>
              <w:jc w:val="left"/>
              <w:rPr>
                <w:rFonts w:ascii="Garamond" w:eastAsiaTheme="minorHAnsi" w:hAnsi="Garamond"/>
                <w:sz w:val="20"/>
                <w:szCs w:val="20"/>
                <w:lang w:eastAsia="en-US"/>
              </w:rPr>
            </w:pPr>
          </w:p>
        </w:tc>
        <w:tc>
          <w:tcPr>
            <w:tcW w:w="6915" w:type="dxa"/>
            <w:tcBorders>
              <w:top w:val="single" w:sz="4" w:space="0" w:color="auto"/>
              <w:left w:val="single" w:sz="4" w:space="0" w:color="auto"/>
              <w:right w:val="single" w:sz="4" w:space="0" w:color="auto"/>
            </w:tcBorders>
          </w:tcPr>
          <w:p w14:paraId="6EDD1536" w14:textId="113A4F00" w:rsidR="001B6A20" w:rsidRPr="007114AF" w:rsidRDefault="001B6A20" w:rsidP="001B6A20">
            <w:pPr>
              <w:spacing w:after="0" w:line="240" w:lineRule="auto"/>
              <w:rPr>
                <w:rFonts w:ascii="Garamond" w:eastAsia="Times New Roman" w:hAnsi="Garamond" w:cs="Times New Roman"/>
                <w:sz w:val="20"/>
                <w:szCs w:val="20"/>
                <w:lang w:eastAsia="en-US"/>
              </w:rPr>
            </w:pPr>
            <w:r w:rsidRPr="007114AF">
              <w:rPr>
                <w:rFonts w:ascii="Garamond" w:eastAsia="Times New Roman" w:hAnsi="Garamond" w:cs="Times New Roman"/>
                <w:bCs/>
                <w:sz w:val="20"/>
                <w:szCs w:val="20"/>
                <w:lang w:eastAsia="en-US"/>
              </w:rPr>
              <w:t>- Terminologjia e përdorur</w:t>
            </w:r>
            <w:r w:rsidR="000A2A01" w:rsidRPr="007114AF">
              <w:rPr>
                <w:rFonts w:ascii="Garamond" w:eastAsia="Times New Roman" w:hAnsi="Garamond" w:cs="Times New Roman"/>
                <w:bCs/>
                <w:sz w:val="20"/>
                <w:szCs w:val="20"/>
                <w:lang w:eastAsia="en-US"/>
              </w:rPr>
              <w:t xml:space="preserve"> “</w:t>
            </w:r>
            <w:r w:rsidRPr="007114AF">
              <w:rPr>
                <w:rFonts w:ascii="Garamond" w:eastAsia="Times New Roman" w:hAnsi="Garamond" w:cs="Times New Roman"/>
                <w:bCs/>
                <w:sz w:val="20"/>
                <w:szCs w:val="20"/>
                <w:lang w:eastAsia="en-US"/>
              </w:rPr>
              <w:t>grup pune</w:t>
            </w:r>
            <w:r w:rsidR="000A2A01" w:rsidRPr="007114AF">
              <w:rPr>
                <w:rFonts w:ascii="Garamond" w:eastAsia="Times New Roman" w:hAnsi="Garamond" w:cs="Times New Roman"/>
                <w:bCs/>
                <w:sz w:val="20"/>
                <w:szCs w:val="20"/>
                <w:lang w:eastAsia="en-US"/>
              </w:rPr>
              <w:t>”</w:t>
            </w:r>
            <w:r w:rsidRPr="007114AF">
              <w:rPr>
                <w:rFonts w:ascii="Garamond" w:eastAsia="Times New Roman" w:hAnsi="Garamond" w:cs="Times New Roman"/>
                <w:bCs/>
                <w:sz w:val="20"/>
                <w:szCs w:val="20"/>
                <w:lang w:eastAsia="en-US"/>
              </w:rPr>
              <w:t xml:space="preserve"> nënkupton një strukturë të përkohshme të krijuar vetëm për përgatitjen e dokumenteve, pa ndonjë autoritet administrativ për mbikëqyrje ose monitorim të miratimit të politikave (Ligji</w:t>
            </w:r>
            <w:r w:rsidR="00242009" w:rsidRPr="007114AF">
              <w:rPr>
                <w:rFonts w:ascii="Garamond" w:eastAsia="Times New Roman" w:hAnsi="Garamond" w:cs="Times New Roman"/>
                <w:bCs/>
                <w:sz w:val="20"/>
                <w:szCs w:val="20"/>
                <w:lang w:eastAsia="en-US"/>
              </w:rPr>
              <w:t xml:space="preserve"> nr. </w:t>
            </w:r>
            <w:r w:rsidRPr="007114AF">
              <w:rPr>
                <w:rFonts w:ascii="Garamond" w:eastAsia="Times New Roman" w:hAnsi="Garamond" w:cs="Times New Roman"/>
                <w:sz w:val="20"/>
                <w:szCs w:val="20"/>
                <w:lang w:eastAsia="en-US"/>
              </w:rPr>
              <w:t>90/2012,</w:t>
            </w:r>
            <w:r w:rsidR="000A2A01" w:rsidRPr="007114AF">
              <w:rPr>
                <w:rFonts w:ascii="Garamond" w:eastAsia="Times New Roman" w:hAnsi="Garamond" w:cs="Times New Roman"/>
                <w:sz w:val="20"/>
                <w:szCs w:val="20"/>
                <w:lang w:eastAsia="en-US"/>
              </w:rPr>
              <w:t xml:space="preserve"> </w:t>
            </w:r>
            <w:r w:rsidRPr="007114AF">
              <w:rPr>
                <w:rFonts w:ascii="Garamond" w:eastAsia="Times New Roman" w:hAnsi="Garamond" w:cs="Times New Roman"/>
                <w:sz w:val="20"/>
                <w:szCs w:val="20"/>
                <w:lang w:eastAsia="en-US"/>
              </w:rPr>
              <w:t>neni 24/b)</w:t>
            </w:r>
          </w:p>
          <w:p w14:paraId="6EDD1537" w14:textId="77777777" w:rsidR="001B6A20" w:rsidRPr="007114AF" w:rsidRDefault="001B6A20" w:rsidP="001B6A20">
            <w:pPr>
              <w:spacing w:after="0" w:line="240" w:lineRule="auto"/>
              <w:rPr>
                <w:rFonts w:ascii="Garamond" w:eastAsia="Times New Roman" w:hAnsi="Garamond" w:cs="Times New Roman"/>
                <w:sz w:val="20"/>
                <w:szCs w:val="20"/>
                <w:lang w:eastAsia="en-US"/>
              </w:rPr>
            </w:pPr>
            <w:r w:rsidRPr="007114AF">
              <w:rPr>
                <w:rFonts w:ascii="Garamond" w:eastAsia="Times New Roman" w:hAnsi="Garamond" w:cs="Times New Roman"/>
                <w:bCs/>
                <w:sz w:val="20"/>
                <w:szCs w:val="20"/>
                <w:lang w:eastAsia="en-US"/>
              </w:rPr>
              <w:t>- Grupi bazë është kryesisht në nivel ekspertësh dhe jo vendim-marrësish/drejtuesish të programeve</w:t>
            </w:r>
            <w:r w:rsidRPr="007114AF">
              <w:rPr>
                <w:rFonts w:ascii="Garamond" w:eastAsia="Times New Roman" w:hAnsi="Garamond" w:cs="Times New Roman"/>
                <w:sz w:val="20"/>
                <w:szCs w:val="20"/>
                <w:lang w:eastAsia="en-US"/>
              </w:rPr>
              <w:t xml:space="preserve">. </w:t>
            </w:r>
          </w:p>
          <w:p w14:paraId="6EDD1538" w14:textId="77777777" w:rsidR="001B6A20" w:rsidRPr="007114AF" w:rsidRDefault="001B6A20" w:rsidP="001B6A20">
            <w:pPr>
              <w:spacing w:after="0" w:line="240" w:lineRule="auto"/>
              <w:jc w:val="left"/>
              <w:rPr>
                <w:rFonts w:ascii="Garamond" w:eastAsiaTheme="minorHAnsi" w:hAnsi="Garamond"/>
                <w:sz w:val="20"/>
                <w:szCs w:val="20"/>
                <w:lang w:eastAsia="en-US"/>
              </w:rPr>
            </w:pPr>
            <w:r w:rsidRPr="007114AF">
              <w:rPr>
                <w:rFonts w:ascii="Garamond" w:eastAsiaTheme="minorHAnsi" w:hAnsi="Garamond"/>
                <w:bCs/>
                <w:sz w:val="20"/>
                <w:szCs w:val="20"/>
                <w:lang w:eastAsia="en-US"/>
              </w:rPr>
              <w:t>- Përgjegjshmëria institucionale nuk ka hierarki vertikale dhe koordinim horizontal dhe bashkëpunimi nuk është i qartë në aktet nënligjore ekzistuese.</w:t>
            </w:r>
          </w:p>
          <w:p w14:paraId="6EDD1539" w14:textId="77777777" w:rsidR="001B6A20" w:rsidRPr="007114AF" w:rsidRDefault="001B6A20" w:rsidP="001B6A20">
            <w:pPr>
              <w:spacing w:after="0" w:line="240" w:lineRule="auto"/>
              <w:jc w:val="left"/>
              <w:rPr>
                <w:rFonts w:ascii="Garamond" w:eastAsiaTheme="minorHAnsi" w:hAnsi="Garamond"/>
                <w:bCs/>
                <w:sz w:val="20"/>
                <w:szCs w:val="20"/>
                <w:lang w:eastAsia="en-US"/>
              </w:rPr>
            </w:pPr>
            <w:r w:rsidRPr="007114AF">
              <w:rPr>
                <w:rFonts w:ascii="Garamond" w:eastAsiaTheme="minorHAnsi" w:hAnsi="Garamond"/>
                <w:bCs/>
                <w:sz w:val="20"/>
                <w:szCs w:val="20"/>
                <w:lang w:eastAsia="en-US"/>
              </w:rPr>
              <w:t>- Njësia e ndryshimeve klimatikedhe ajritështë e dobët në kapacitetet e Burimeve Njerëzore dhe pozicionohet në nivel ligji të organizatës.</w:t>
            </w:r>
          </w:p>
          <w:p w14:paraId="6EDD153A" w14:textId="77777777" w:rsidR="001B6A20" w:rsidRPr="007114AF" w:rsidRDefault="001B6A20" w:rsidP="001B6A20">
            <w:pPr>
              <w:spacing w:after="0" w:line="240" w:lineRule="auto"/>
              <w:jc w:val="left"/>
              <w:rPr>
                <w:rFonts w:ascii="Garamond" w:eastAsiaTheme="minorHAnsi" w:hAnsi="Garamond"/>
                <w:sz w:val="20"/>
                <w:szCs w:val="20"/>
                <w:lang w:eastAsia="en-US"/>
              </w:rPr>
            </w:pPr>
            <w:r w:rsidRPr="007114AF">
              <w:rPr>
                <w:rFonts w:ascii="Garamond" w:eastAsiaTheme="minorHAnsi" w:hAnsi="Garamond"/>
                <w:bCs/>
                <w:iCs/>
                <w:sz w:val="20"/>
                <w:szCs w:val="20"/>
                <w:lang w:eastAsia="en-US"/>
              </w:rPr>
              <w:t>- Roli i përgjithshëm mbikëqyrës, mobilizimi i burimeve dhe roli monitorues për ndikimin e politikave të ndryshimeve klimatike (CC) në disa sektorë nuk mbulohet ose nuk mund të mbulohet siç duhet nga grupi ndërministror i punës së ndryshimeve klimatike dhe Ministria e Turizmit dhe Mjedisit ekzistuese.</w:t>
            </w:r>
          </w:p>
          <w:p w14:paraId="6EDD153B" w14:textId="77777777" w:rsidR="001B6A20" w:rsidRPr="007114AF" w:rsidRDefault="001B6A20" w:rsidP="001B6A20">
            <w:pPr>
              <w:spacing w:after="0" w:line="240" w:lineRule="auto"/>
              <w:jc w:val="left"/>
              <w:rPr>
                <w:rFonts w:ascii="Garamond" w:eastAsiaTheme="minorHAnsi" w:hAnsi="Garamond"/>
                <w:sz w:val="20"/>
                <w:szCs w:val="20"/>
                <w:lang w:eastAsia="en-US"/>
              </w:rPr>
            </w:pPr>
            <w:r w:rsidRPr="007114AF">
              <w:rPr>
                <w:rFonts w:ascii="Garamond" w:eastAsiaTheme="minorHAnsi" w:hAnsi="Garamond"/>
                <w:sz w:val="20"/>
                <w:szCs w:val="20"/>
                <w:lang w:eastAsia="en-US"/>
              </w:rPr>
              <w:t xml:space="preserve">- </w:t>
            </w:r>
            <w:r w:rsidRPr="007114AF">
              <w:rPr>
                <w:rFonts w:ascii="Garamond" w:eastAsiaTheme="minorHAnsi" w:hAnsi="Garamond"/>
                <w:bCs/>
                <w:iCs/>
                <w:sz w:val="20"/>
                <w:szCs w:val="20"/>
                <w:lang w:eastAsia="en-US"/>
              </w:rPr>
              <w:t>Grupi ndërministror i punës së ndryshimeve klimatike</w:t>
            </w:r>
            <w:r w:rsidRPr="007114AF">
              <w:rPr>
                <w:rFonts w:ascii="Garamond" w:eastAsiaTheme="minorHAnsi" w:hAnsi="Garamond"/>
                <w:sz w:val="20"/>
                <w:szCs w:val="20"/>
                <w:lang w:eastAsia="en-US"/>
              </w:rPr>
              <w:t xml:space="preserve">nuk i nënshtrohet auditimit të brendshëm dhe të jashtëm, duke vështirësuar identifikimin e çështjeve të lidhura me funksionimin e brendshëm dhe përgjegjshmërinë </w:t>
            </w:r>
          </w:p>
        </w:tc>
      </w:tr>
      <w:tr w:rsidR="001B6A20" w:rsidRPr="007114AF" w14:paraId="6EDD1543" w14:textId="77777777" w:rsidTr="003305AE">
        <w:trPr>
          <w:trHeight w:val="1066"/>
        </w:trPr>
        <w:tc>
          <w:tcPr>
            <w:tcW w:w="1560" w:type="dxa"/>
            <w:tcBorders>
              <w:right w:val="single" w:sz="4" w:space="0" w:color="auto"/>
            </w:tcBorders>
          </w:tcPr>
          <w:p w14:paraId="6EDD153D" w14:textId="77777777" w:rsidR="001B6A20" w:rsidRPr="007114AF" w:rsidRDefault="001B6A20" w:rsidP="001B6A20">
            <w:pPr>
              <w:numPr>
                <w:ilvl w:val="0"/>
                <w:numId w:val="1"/>
              </w:numPr>
              <w:spacing w:after="0" w:line="240" w:lineRule="auto"/>
              <w:ind w:left="0" w:firstLine="0"/>
              <w:jc w:val="left"/>
              <w:rPr>
                <w:rFonts w:ascii="Garamond" w:eastAsia="Times New Roman" w:hAnsi="Garamond" w:cs="Calibri"/>
                <w:b/>
                <w:sz w:val="20"/>
                <w:szCs w:val="20"/>
              </w:rPr>
            </w:pPr>
            <w:r w:rsidRPr="007114AF">
              <w:rPr>
                <w:rFonts w:ascii="Garamond" w:eastAsia="Times New Roman" w:hAnsi="Garamond" w:cs="Calibri"/>
                <w:b/>
                <w:sz w:val="20"/>
                <w:szCs w:val="20"/>
              </w:rPr>
              <w:t xml:space="preserve">Buxheti Afatmesëm dhe Strategjik </w:t>
            </w:r>
          </w:p>
        </w:tc>
        <w:tc>
          <w:tcPr>
            <w:tcW w:w="6267" w:type="dxa"/>
            <w:tcBorders>
              <w:top w:val="single" w:sz="4" w:space="0" w:color="auto"/>
              <w:left w:val="single" w:sz="4" w:space="0" w:color="auto"/>
              <w:right w:val="single" w:sz="4" w:space="0" w:color="auto"/>
            </w:tcBorders>
          </w:tcPr>
          <w:p w14:paraId="6EDD153E" w14:textId="7058584D" w:rsidR="001B6A20" w:rsidRPr="007114AF" w:rsidRDefault="001B6A20" w:rsidP="001B6A20">
            <w:pPr>
              <w:spacing w:after="0" w:line="240" w:lineRule="auto"/>
              <w:jc w:val="left"/>
              <w:rPr>
                <w:rFonts w:ascii="Garamond" w:eastAsiaTheme="minorHAnsi" w:hAnsi="Garamond"/>
                <w:sz w:val="20"/>
                <w:szCs w:val="20"/>
                <w:lang w:eastAsia="en-US"/>
              </w:rPr>
            </w:pPr>
            <w:r w:rsidRPr="007114AF">
              <w:rPr>
                <w:rFonts w:ascii="Garamond" w:eastAsiaTheme="minorHAnsi" w:hAnsi="Garamond"/>
                <w:sz w:val="20"/>
                <w:szCs w:val="20"/>
                <w:lang w:eastAsia="en-US"/>
              </w:rPr>
              <w:t>- Roli i përgjithshëm mbikëqyrës strategjik është</w:t>
            </w:r>
            <w:r w:rsidR="000A2A01" w:rsidRPr="007114AF">
              <w:rPr>
                <w:rFonts w:ascii="Garamond" w:eastAsiaTheme="minorHAnsi" w:hAnsi="Garamond"/>
                <w:sz w:val="20"/>
                <w:szCs w:val="20"/>
                <w:lang w:eastAsia="en-US"/>
              </w:rPr>
              <w:t xml:space="preserve"> </w:t>
            </w:r>
            <w:r w:rsidRPr="007114AF">
              <w:rPr>
                <w:rFonts w:ascii="Garamond" w:eastAsiaTheme="minorHAnsi" w:hAnsi="Garamond"/>
                <w:sz w:val="20"/>
                <w:szCs w:val="20"/>
                <w:lang w:eastAsia="en-US"/>
              </w:rPr>
              <w:t xml:space="preserve">garantuar në nivelin më të lartë </w:t>
            </w:r>
            <w:r w:rsidRPr="007114AF">
              <w:rPr>
                <w:rFonts w:ascii="Garamond" w:eastAsiaTheme="minorHAnsi" w:hAnsi="Garamond"/>
                <w:color w:val="000000"/>
                <w:sz w:val="20"/>
                <w:szCs w:val="20"/>
                <w:lang w:eastAsia="en-US"/>
              </w:rPr>
              <w:t>zyra e Kryeministrisë;</w:t>
            </w:r>
          </w:p>
          <w:p w14:paraId="6EDD153F" w14:textId="77777777" w:rsidR="001B6A20" w:rsidRPr="007114AF" w:rsidRDefault="001B6A20" w:rsidP="001B6A20">
            <w:pPr>
              <w:spacing w:after="0" w:line="240" w:lineRule="auto"/>
              <w:jc w:val="left"/>
              <w:rPr>
                <w:rFonts w:ascii="Garamond" w:eastAsiaTheme="minorHAnsi" w:hAnsi="Garamond"/>
                <w:sz w:val="20"/>
                <w:szCs w:val="20"/>
                <w:lang w:eastAsia="en-US"/>
              </w:rPr>
            </w:pPr>
            <w:r w:rsidRPr="007114AF">
              <w:rPr>
                <w:rFonts w:ascii="Garamond" w:eastAsiaTheme="minorHAnsi" w:hAnsi="Garamond"/>
                <w:sz w:val="20"/>
                <w:szCs w:val="20"/>
                <w:lang w:eastAsia="en-US"/>
              </w:rPr>
              <w:t>- Roli i përgjithshëm i monitorimit dhe kontrollit të buxhetit është garantuar nga Ministria e Financave dhe Ekonomisë;</w:t>
            </w:r>
          </w:p>
          <w:p w14:paraId="6EDD1540" w14:textId="77777777" w:rsidR="001B6A20" w:rsidRPr="007114AF" w:rsidRDefault="001B6A20" w:rsidP="001B6A20">
            <w:pPr>
              <w:spacing w:after="0" w:line="240" w:lineRule="auto"/>
              <w:jc w:val="left"/>
              <w:rPr>
                <w:rFonts w:ascii="Garamond" w:eastAsiaTheme="minorHAnsi" w:hAnsi="Garamond"/>
                <w:sz w:val="20"/>
                <w:szCs w:val="20"/>
                <w:lang w:eastAsia="en-US"/>
              </w:rPr>
            </w:pPr>
            <w:r w:rsidRPr="007114AF">
              <w:rPr>
                <w:rFonts w:ascii="Garamond" w:eastAsiaTheme="minorHAnsi" w:hAnsi="Garamond"/>
                <w:sz w:val="20"/>
                <w:szCs w:val="20"/>
                <w:lang w:eastAsia="en-US"/>
              </w:rPr>
              <w:t xml:space="preserve">- </w:t>
            </w:r>
            <w:r w:rsidRPr="007114AF">
              <w:rPr>
                <w:rFonts w:ascii="Garamond" w:eastAsiaTheme="minorHAnsi" w:hAnsi="Garamond"/>
                <w:bCs/>
                <w:sz w:val="20"/>
                <w:szCs w:val="20"/>
                <w:lang w:eastAsia="en-US"/>
              </w:rPr>
              <w:t>Role të qarta të të gjitha institucioneve, linja vertikale përgjegjshmërie dhe procedura standarde janë vendosur në bazë të ligjeve dhe udhëzimeve të Ministrisë s</w:t>
            </w:r>
            <w:r w:rsidRPr="007114AF">
              <w:rPr>
                <w:rFonts w:ascii="Garamond" w:eastAsiaTheme="minorHAnsi" w:hAnsi="Garamond" w:cs="Arial"/>
                <w:bCs/>
                <w:sz w:val="20"/>
                <w:szCs w:val="20"/>
                <w:lang w:eastAsia="ko-KR"/>
              </w:rPr>
              <w:t xml:space="preserve">ë </w:t>
            </w:r>
            <w:r w:rsidRPr="007114AF">
              <w:rPr>
                <w:rFonts w:ascii="Garamond" w:eastAsiaTheme="minorHAnsi" w:hAnsi="Garamond"/>
                <w:bCs/>
                <w:sz w:val="20"/>
                <w:szCs w:val="20"/>
                <w:lang w:eastAsia="en-US"/>
              </w:rPr>
              <w:t>Financave dhe Ekonomisë;</w:t>
            </w:r>
          </w:p>
          <w:p w14:paraId="6EDD1541" w14:textId="77777777" w:rsidR="001B6A20" w:rsidRPr="007114AF" w:rsidRDefault="001B6A20" w:rsidP="001B6A20">
            <w:pPr>
              <w:spacing w:after="0" w:line="240" w:lineRule="auto"/>
              <w:jc w:val="left"/>
              <w:rPr>
                <w:rFonts w:ascii="Garamond" w:eastAsiaTheme="minorHAnsi" w:hAnsi="Garamond"/>
                <w:sz w:val="20"/>
                <w:szCs w:val="20"/>
                <w:lang w:eastAsia="en-US"/>
              </w:rPr>
            </w:pPr>
            <w:r w:rsidRPr="007114AF">
              <w:rPr>
                <w:rFonts w:ascii="Garamond" w:eastAsiaTheme="minorHAnsi" w:hAnsi="Garamond"/>
                <w:sz w:val="20"/>
                <w:szCs w:val="20"/>
                <w:lang w:eastAsia="en-US"/>
              </w:rPr>
              <w:t>- Të gjitha institucionet e përfshira i nënshtrohen auditimit të brendshëm dhe të jashtëm.</w:t>
            </w:r>
          </w:p>
        </w:tc>
        <w:tc>
          <w:tcPr>
            <w:tcW w:w="6915" w:type="dxa"/>
            <w:tcBorders>
              <w:top w:val="single" w:sz="4" w:space="0" w:color="auto"/>
              <w:left w:val="single" w:sz="4" w:space="0" w:color="auto"/>
              <w:right w:val="single" w:sz="4" w:space="0" w:color="auto"/>
            </w:tcBorders>
          </w:tcPr>
          <w:p w14:paraId="6EDD1542" w14:textId="77777777" w:rsidR="001B6A20" w:rsidRPr="007114AF" w:rsidRDefault="001B6A20" w:rsidP="001B6A20">
            <w:pPr>
              <w:spacing w:after="0" w:line="240" w:lineRule="auto"/>
              <w:jc w:val="left"/>
              <w:rPr>
                <w:rFonts w:ascii="Garamond" w:eastAsiaTheme="minorHAnsi" w:hAnsi="Garamond"/>
                <w:bCs/>
                <w:iCs/>
                <w:sz w:val="20"/>
                <w:szCs w:val="20"/>
                <w:lang w:eastAsia="en-US"/>
              </w:rPr>
            </w:pPr>
            <w:r w:rsidRPr="007114AF">
              <w:rPr>
                <w:rFonts w:ascii="Garamond" w:eastAsiaTheme="minorHAnsi" w:hAnsi="Garamond"/>
                <w:bCs/>
                <w:iCs/>
                <w:sz w:val="20"/>
                <w:szCs w:val="20"/>
                <w:lang w:eastAsia="en-US"/>
              </w:rPr>
              <w:t xml:space="preserve">- </w:t>
            </w:r>
            <w:r w:rsidRPr="007114AF">
              <w:rPr>
                <w:rFonts w:ascii="Garamond" w:eastAsiaTheme="minorHAnsi" w:hAnsi="Garamond"/>
                <w:sz w:val="20"/>
                <w:szCs w:val="20"/>
                <w:lang w:eastAsia="en-US"/>
              </w:rPr>
              <w:t>Kuadri aktual ligjor për PBAM nuk ofron një ndarje të qartë të detyrave ndërmjet institucioneve që menaxhojnë politikat komplekse ndërsektoriale që kërkojnë një shkallë të lartë bashkëpunimi ndërministror.</w:t>
            </w:r>
          </w:p>
        </w:tc>
      </w:tr>
      <w:tr w:rsidR="001B6A20" w:rsidRPr="007114AF" w14:paraId="6EDD154F" w14:textId="77777777" w:rsidTr="002F4BDF">
        <w:trPr>
          <w:trHeight w:val="3374"/>
        </w:trPr>
        <w:tc>
          <w:tcPr>
            <w:tcW w:w="1560" w:type="dxa"/>
            <w:tcBorders>
              <w:right w:val="single" w:sz="4" w:space="0" w:color="auto"/>
            </w:tcBorders>
          </w:tcPr>
          <w:p w14:paraId="6EDD1544" w14:textId="2E530426" w:rsidR="001B6A20" w:rsidRPr="007114AF" w:rsidRDefault="001B6A20" w:rsidP="001B6A20">
            <w:pPr>
              <w:spacing w:after="0" w:line="240" w:lineRule="auto"/>
              <w:jc w:val="left"/>
              <w:rPr>
                <w:rFonts w:ascii="Garamond" w:eastAsiaTheme="minorHAnsi" w:hAnsi="Garamond"/>
                <w:b/>
                <w:sz w:val="20"/>
                <w:szCs w:val="20"/>
                <w:lang w:eastAsia="en-US"/>
              </w:rPr>
            </w:pPr>
            <w:r w:rsidRPr="007114AF">
              <w:rPr>
                <w:rFonts w:ascii="Garamond" w:eastAsiaTheme="minorHAnsi" w:hAnsi="Garamond"/>
                <w:b/>
                <w:sz w:val="20"/>
                <w:szCs w:val="20"/>
                <w:lang w:eastAsia="en-US"/>
              </w:rPr>
              <w:lastRenderedPageBreak/>
              <w:t>Mekanizmi i Menaxhimit të Integruar -</w:t>
            </w:r>
            <w:r w:rsidR="000A2A01" w:rsidRPr="007114AF">
              <w:rPr>
                <w:rFonts w:ascii="Garamond" w:eastAsiaTheme="minorHAnsi" w:hAnsi="Garamond"/>
                <w:b/>
                <w:sz w:val="20"/>
                <w:szCs w:val="20"/>
                <w:lang w:eastAsia="en-US"/>
              </w:rPr>
              <w:t xml:space="preserve"> </w:t>
            </w:r>
          </w:p>
        </w:tc>
        <w:tc>
          <w:tcPr>
            <w:tcW w:w="6267" w:type="dxa"/>
            <w:tcBorders>
              <w:top w:val="single" w:sz="4" w:space="0" w:color="auto"/>
              <w:left w:val="single" w:sz="4" w:space="0" w:color="auto"/>
              <w:right w:val="single" w:sz="4" w:space="0" w:color="auto"/>
            </w:tcBorders>
          </w:tcPr>
          <w:p w14:paraId="6EDD1545" w14:textId="77777777" w:rsidR="001B6A20" w:rsidRPr="007114AF" w:rsidRDefault="001B6A20" w:rsidP="001B6A20">
            <w:pPr>
              <w:spacing w:after="0" w:line="240" w:lineRule="auto"/>
              <w:contextualSpacing/>
              <w:rPr>
                <w:rFonts w:ascii="Garamond" w:eastAsia="Times New Roman" w:hAnsi="Garamond" w:cs="Times New Roman"/>
                <w:sz w:val="20"/>
                <w:szCs w:val="20"/>
                <w:lang w:eastAsia="en-US"/>
              </w:rPr>
            </w:pPr>
            <w:r w:rsidRPr="007114AF">
              <w:rPr>
                <w:rFonts w:ascii="Garamond" w:eastAsia="Times New Roman" w:hAnsi="Garamond" w:cs="Times New Roman"/>
                <w:sz w:val="20"/>
                <w:szCs w:val="20"/>
                <w:lang w:eastAsia="en-US"/>
              </w:rPr>
              <w:t>- Respekton linjat e përgjegjshmërisë dhe parimet e kuadrit institucional të PBAM (MTBP)</w:t>
            </w:r>
          </w:p>
          <w:p w14:paraId="6EDD1546" w14:textId="77777777" w:rsidR="001B6A20" w:rsidRPr="007114AF" w:rsidRDefault="001B6A20" w:rsidP="001B6A20">
            <w:pPr>
              <w:spacing w:after="0" w:line="240" w:lineRule="auto"/>
              <w:contextualSpacing/>
              <w:rPr>
                <w:rFonts w:ascii="Garamond" w:eastAsia="Times New Roman" w:hAnsi="Garamond" w:cs="Times New Roman"/>
                <w:sz w:val="20"/>
                <w:szCs w:val="20"/>
                <w:lang w:eastAsia="en-US"/>
              </w:rPr>
            </w:pPr>
            <w:r w:rsidRPr="007114AF">
              <w:rPr>
                <w:rFonts w:ascii="Garamond" w:eastAsia="Times New Roman" w:hAnsi="Garamond" w:cs="Times New Roman"/>
                <w:sz w:val="20"/>
                <w:szCs w:val="20"/>
                <w:lang w:eastAsia="en-US"/>
              </w:rPr>
              <w:t>- Procedura tepër të hollësishme koordinimi, komunikimi dhe monitorimi janë miratuar nga VKM;</w:t>
            </w:r>
          </w:p>
          <w:p w14:paraId="6EDD1547" w14:textId="77777777" w:rsidR="001B6A20" w:rsidRPr="007114AF" w:rsidRDefault="001B6A20" w:rsidP="001B6A20">
            <w:pPr>
              <w:spacing w:after="0" w:line="240" w:lineRule="auto"/>
              <w:contextualSpacing/>
              <w:rPr>
                <w:rFonts w:ascii="Garamond" w:eastAsia="Times New Roman" w:hAnsi="Garamond" w:cs="Times New Roman"/>
                <w:sz w:val="20"/>
                <w:szCs w:val="20"/>
                <w:lang w:eastAsia="en-US"/>
              </w:rPr>
            </w:pPr>
            <w:r w:rsidRPr="007114AF">
              <w:rPr>
                <w:rFonts w:ascii="Garamond" w:eastAsia="Times New Roman" w:hAnsi="Garamond" w:cs="Times New Roman"/>
                <w:sz w:val="20"/>
                <w:szCs w:val="20"/>
                <w:lang w:eastAsia="en-US"/>
              </w:rPr>
              <w:t>- Roli i Përgjithshëm Mbikëqyrës, Koordinimi Ndërsektorial, Mobilizimi i Burimeve dhe role monitoruese janë garantuar nga IPMG.</w:t>
            </w:r>
          </w:p>
          <w:p w14:paraId="6EDD1548" w14:textId="77777777" w:rsidR="001B6A20" w:rsidRPr="007114AF" w:rsidRDefault="001B6A20" w:rsidP="001B6A20">
            <w:pPr>
              <w:spacing w:after="0" w:line="240" w:lineRule="auto"/>
              <w:contextualSpacing/>
              <w:rPr>
                <w:rFonts w:ascii="Garamond" w:eastAsia="Times New Roman" w:hAnsi="Garamond" w:cs="Times New Roman"/>
                <w:sz w:val="20"/>
                <w:szCs w:val="20"/>
                <w:lang w:eastAsia="en-US"/>
              </w:rPr>
            </w:pPr>
            <w:r w:rsidRPr="007114AF">
              <w:rPr>
                <w:rFonts w:ascii="Garamond" w:eastAsia="Times New Roman" w:hAnsi="Garamond" w:cs="Times New Roman"/>
                <w:sz w:val="20"/>
                <w:szCs w:val="20"/>
                <w:lang w:eastAsia="en-US"/>
              </w:rPr>
              <w:t>- Anëtarësimi i nivelit të lartë në nivel politik dhe ekzekutiv (i kryesuar nga ministri i ministrisë drejtuese. Anëtarë- Sekretarë të Përgjithshëm të ministrive të linjës);</w:t>
            </w:r>
          </w:p>
          <w:p w14:paraId="6EDD1549" w14:textId="77777777" w:rsidR="001B6A20" w:rsidRPr="007114AF" w:rsidRDefault="001B6A20" w:rsidP="001B6A20">
            <w:pPr>
              <w:spacing w:after="0" w:line="240" w:lineRule="auto"/>
              <w:contextualSpacing/>
              <w:rPr>
                <w:rFonts w:ascii="Garamond" w:eastAsia="Times New Roman" w:hAnsi="Garamond" w:cs="Times New Roman"/>
                <w:sz w:val="20"/>
                <w:szCs w:val="20"/>
                <w:lang w:eastAsia="en-US"/>
              </w:rPr>
            </w:pPr>
            <w:r w:rsidRPr="007114AF">
              <w:rPr>
                <w:rFonts w:ascii="Garamond" w:eastAsia="Times New Roman" w:hAnsi="Garamond" w:cs="Times New Roman"/>
                <w:sz w:val="20"/>
                <w:szCs w:val="20"/>
                <w:lang w:eastAsia="en-US"/>
              </w:rPr>
              <w:t xml:space="preserve">- Ministria e Financave dhe Ekonomisë, </w:t>
            </w:r>
            <w:r w:rsidRPr="007114AF">
              <w:rPr>
                <w:rFonts w:ascii="Garamond" w:eastAsia="Times New Roman" w:hAnsi="Garamond" w:cs="Times New Roman"/>
                <w:color w:val="000000"/>
                <w:sz w:val="20"/>
                <w:szCs w:val="20"/>
                <w:lang w:eastAsia="en-US"/>
              </w:rPr>
              <w:t xml:space="preserve">zyra e Kryeministrisë </w:t>
            </w:r>
            <w:r w:rsidRPr="007114AF">
              <w:rPr>
                <w:rFonts w:ascii="Garamond" w:eastAsia="Times New Roman" w:hAnsi="Garamond" w:cs="Times New Roman"/>
                <w:sz w:val="20"/>
                <w:szCs w:val="20"/>
                <w:lang w:eastAsia="en-US"/>
              </w:rPr>
              <w:t>(DZHFNH), Ministria për Evropën dhe Punët e Jashtme anëtarë kyç të IPMG-ës;</w:t>
            </w:r>
          </w:p>
          <w:p w14:paraId="6EDD154A" w14:textId="77777777" w:rsidR="001B6A20" w:rsidRPr="007114AF" w:rsidRDefault="001B6A20" w:rsidP="001B6A20">
            <w:pPr>
              <w:spacing w:after="0" w:line="240" w:lineRule="auto"/>
              <w:contextualSpacing/>
              <w:rPr>
                <w:rFonts w:ascii="Garamond" w:eastAsia="Times New Roman" w:hAnsi="Garamond" w:cs="Times New Roman"/>
                <w:sz w:val="20"/>
                <w:szCs w:val="20"/>
                <w:lang w:eastAsia="en-US"/>
              </w:rPr>
            </w:pPr>
            <w:r w:rsidRPr="007114AF">
              <w:rPr>
                <w:rFonts w:ascii="Garamond" w:eastAsia="Times New Roman" w:hAnsi="Garamond" w:cs="Times New Roman"/>
                <w:sz w:val="20"/>
                <w:szCs w:val="20"/>
                <w:lang w:eastAsia="en-US"/>
              </w:rPr>
              <w:t>- Miratimi i listës sektoriale të projekteve prioritare strategjike;</w:t>
            </w:r>
          </w:p>
          <w:p w14:paraId="6EDD154B" w14:textId="77777777" w:rsidR="001B6A20" w:rsidRPr="007114AF" w:rsidRDefault="001B6A20" w:rsidP="001B6A20">
            <w:pPr>
              <w:spacing w:after="0" w:line="240" w:lineRule="auto"/>
              <w:contextualSpacing/>
              <w:rPr>
                <w:rFonts w:ascii="Garamond" w:eastAsia="Times New Roman" w:hAnsi="Garamond" w:cs="Times New Roman"/>
                <w:sz w:val="20"/>
                <w:szCs w:val="20"/>
                <w:lang w:eastAsia="en-US"/>
              </w:rPr>
            </w:pPr>
            <w:r w:rsidRPr="007114AF">
              <w:rPr>
                <w:rFonts w:ascii="Garamond" w:eastAsia="Times New Roman" w:hAnsi="Garamond" w:cs="Times New Roman"/>
                <w:sz w:val="20"/>
                <w:szCs w:val="20"/>
                <w:lang w:eastAsia="en-US"/>
              </w:rPr>
              <w:t>- Sekretariati i IPMG-ës është krijuar nën varësinë e ministrisë drejtuese, me një strukturë të mjaftueshme (1 drejtues sekretariati, 2 ekspertë dhe 1 asistent administrativ) dhe i raportojnë drejtpërdrejt Sekretarit të Përgjithshëm.</w:t>
            </w:r>
          </w:p>
        </w:tc>
        <w:tc>
          <w:tcPr>
            <w:tcW w:w="6915" w:type="dxa"/>
            <w:tcBorders>
              <w:top w:val="single" w:sz="4" w:space="0" w:color="auto"/>
              <w:left w:val="single" w:sz="4" w:space="0" w:color="auto"/>
              <w:right w:val="single" w:sz="4" w:space="0" w:color="auto"/>
            </w:tcBorders>
          </w:tcPr>
          <w:p w14:paraId="6EDD154C" w14:textId="77777777" w:rsidR="001B6A20" w:rsidRPr="007114AF" w:rsidRDefault="001B6A20" w:rsidP="001B6A20">
            <w:pPr>
              <w:spacing w:after="0" w:line="240" w:lineRule="auto"/>
              <w:contextualSpacing/>
              <w:rPr>
                <w:rFonts w:ascii="Garamond" w:eastAsia="Times New Roman" w:hAnsi="Garamond" w:cs="Times New Roman"/>
                <w:sz w:val="20"/>
                <w:szCs w:val="20"/>
                <w:lang w:eastAsia="en-US"/>
              </w:rPr>
            </w:pPr>
            <w:r w:rsidRPr="007114AF">
              <w:rPr>
                <w:rFonts w:ascii="Garamond" w:eastAsia="Times New Roman" w:hAnsi="Garamond" w:cs="Times New Roman"/>
                <w:sz w:val="20"/>
                <w:szCs w:val="20"/>
                <w:lang w:eastAsia="en-US"/>
              </w:rPr>
              <w:t xml:space="preserve">- IPMG-ja është ende në fazën eksperimentale i monitoruar nga </w:t>
            </w:r>
            <w:r w:rsidRPr="007114AF">
              <w:rPr>
                <w:rFonts w:ascii="Garamond" w:eastAsia="Times New Roman" w:hAnsi="Garamond" w:cs="Times New Roman"/>
                <w:color w:val="000000"/>
                <w:sz w:val="20"/>
                <w:szCs w:val="20"/>
                <w:lang w:eastAsia="en-US"/>
              </w:rPr>
              <w:t>zyra e Kryeministrisë</w:t>
            </w:r>
            <w:r w:rsidRPr="007114AF">
              <w:rPr>
                <w:rFonts w:ascii="Garamond" w:eastAsia="Times New Roman" w:hAnsi="Garamond" w:cs="Times New Roman"/>
                <w:sz w:val="20"/>
                <w:szCs w:val="20"/>
                <w:lang w:eastAsia="en-US"/>
              </w:rPr>
              <w:t>. Efikasiteti dhe eficienca e skemës së plotë është në proces monitorimi.</w:t>
            </w:r>
          </w:p>
          <w:p w14:paraId="6EDD154D" w14:textId="77777777" w:rsidR="001B6A20" w:rsidRPr="007114AF" w:rsidRDefault="001B6A20" w:rsidP="001B6A20">
            <w:pPr>
              <w:spacing w:after="0" w:line="240" w:lineRule="auto"/>
              <w:contextualSpacing/>
              <w:rPr>
                <w:rFonts w:ascii="Garamond" w:eastAsia="Times New Roman" w:hAnsi="Garamond" w:cs="Times New Roman"/>
                <w:sz w:val="20"/>
                <w:szCs w:val="20"/>
                <w:lang w:eastAsia="en-US"/>
              </w:rPr>
            </w:pPr>
            <w:r w:rsidRPr="007114AF">
              <w:rPr>
                <w:rFonts w:ascii="Garamond" w:eastAsia="Times New Roman" w:hAnsi="Garamond" w:cs="Times New Roman"/>
                <w:sz w:val="20"/>
                <w:szCs w:val="20"/>
                <w:lang w:eastAsia="en-US"/>
              </w:rPr>
              <w:t>- Nuk ka burime financiare për sigurimin e mirëfunksionimit të IPMG-së.</w:t>
            </w:r>
          </w:p>
          <w:p w14:paraId="6EDD154E" w14:textId="2C565FE9" w:rsidR="001B6A20" w:rsidRPr="007114AF" w:rsidRDefault="001B6A20" w:rsidP="001B6A20">
            <w:pPr>
              <w:spacing w:after="0" w:line="240" w:lineRule="auto"/>
              <w:contextualSpacing/>
              <w:rPr>
                <w:rFonts w:ascii="Garamond" w:eastAsia="Times New Roman" w:hAnsi="Garamond" w:cs="Times New Roman"/>
                <w:sz w:val="20"/>
                <w:szCs w:val="20"/>
                <w:lang w:eastAsia="en-US"/>
              </w:rPr>
            </w:pPr>
            <w:r w:rsidRPr="007114AF">
              <w:rPr>
                <w:rFonts w:ascii="Garamond" w:eastAsia="Times New Roman" w:hAnsi="Garamond" w:cs="Times New Roman"/>
                <w:sz w:val="20"/>
                <w:szCs w:val="20"/>
                <w:lang w:eastAsia="en-US"/>
              </w:rPr>
              <w:t>- IPMG-ja nuk mund t</w:t>
            </w:r>
            <w:r w:rsidR="00D10DAB" w:rsidRPr="007114AF">
              <w:rPr>
                <w:rFonts w:ascii="Garamond" w:eastAsia="Times New Roman" w:hAnsi="Garamond" w:cs="Times New Roman"/>
                <w:sz w:val="20"/>
                <w:szCs w:val="20"/>
                <w:lang w:eastAsia="en-US"/>
              </w:rPr>
              <w:t>’</w:t>
            </w:r>
            <w:r w:rsidRPr="007114AF">
              <w:rPr>
                <w:rFonts w:ascii="Garamond" w:eastAsia="Times New Roman" w:hAnsi="Garamond" w:cs="Times New Roman"/>
                <w:sz w:val="20"/>
                <w:szCs w:val="20"/>
                <w:lang w:eastAsia="en-US"/>
              </w:rPr>
              <w:t>i nënshtrohet auditimit të brendshëm dhe të jashtëm.</w:t>
            </w:r>
          </w:p>
        </w:tc>
      </w:tr>
    </w:tbl>
    <w:p w14:paraId="6EDD1550" w14:textId="77777777" w:rsidR="00F32480" w:rsidRPr="007114AF" w:rsidRDefault="00F32480" w:rsidP="009160D5">
      <w:pPr>
        <w:pStyle w:val="TEKSTI"/>
        <w:rPr>
          <w:b/>
        </w:rPr>
      </w:pPr>
    </w:p>
    <w:p w14:paraId="6EDD1551" w14:textId="77777777" w:rsidR="001B6A20" w:rsidRPr="007114AF" w:rsidRDefault="001B6A20" w:rsidP="009160D5">
      <w:pPr>
        <w:pStyle w:val="TEKSTI"/>
        <w:rPr>
          <w:b/>
        </w:rPr>
      </w:pPr>
    </w:p>
    <w:p w14:paraId="6EDD1552" w14:textId="77777777" w:rsidR="001B6A20" w:rsidRPr="007114AF" w:rsidRDefault="001B6A20" w:rsidP="009160D5">
      <w:pPr>
        <w:pStyle w:val="TEKSTI"/>
        <w:rPr>
          <w:b/>
        </w:rPr>
      </w:pPr>
    </w:p>
    <w:p w14:paraId="6EDD1553" w14:textId="77777777" w:rsidR="001B6A20" w:rsidRPr="007114AF" w:rsidRDefault="001B6A20" w:rsidP="009160D5">
      <w:pPr>
        <w:pStyle w:val="TEKSTI"/>
        <w:rPr>
          <w:b/>
        </w:rPr>
      </w:pPr>
    </w:p>
    <w:p w14:paraId="6EDD1554" w14:textId="77777777" w:rsidR="001B6A20" w:rsidRPr="007114AF" w:rsidRDefault="001B6A20" w:rsidP="009160D5">
      <w:pPr>
        <w:pStyle w:val="TEKSTI"/>
        <w:rPr>
          <w:b/>
        </w:rPr>
      </w:pPr>
    </w:p>
    <w:p w14:paraId="6EDD1555" w14:textId="77777777" w:rsidR="001B6A20" w:rsidRPr="007114AF" w:rsidRDefault="001B6A20" w:rsidP="009160D5">
      <w:pPr>
        <w:pStyle w:val="TEKSTI"/>
        <w:rPr>
          <w:b/>
        </w:rPr>
      </w:pPr>
    </w:p>
    <w:p w14:paraId="6EDD1556" w14:textId="77777777" w:rsidR="001B6A20" w:rsidRPr="007114AF" w:rsidRDefault="001B6A20" w:rsidP="009160D5">
      <w:pPr>
        <w:pStyle w:val="TEKSTI"/>
        <w:rPr>
          <w:b/>
        </w:rPr>
      </w:pPr>
    </w:p>
    <w:p w14:paraId="6EDD1557" w14:textId="77777777" w:rsidR="001B6A20" w:rsidRPr="007114AF" w:rsidRDefault="001B6A20" w:rsidP="009160D5">
      <w:pPr>
        <w:pStyle w:val="TEKSTI"/>
        <w:rPr>
          <w:b/>
        </w:rPr>
      </w:pPr>
    </w:p>
    <w:p w14:paraId="6EDD1558" w14:textId="77777777" w:rsidR="001B6A20" w:rsidRPr="007114AF" w:rsidRDefault="001B6A20" w:rsidP="009160D5">
      <w:pPr>
        <w:pStyle w:val="TEKSTI"/>
        <w:rPr>
          <w:b/>
        </w:rPr>
      </w:pPr>
    </w:p>
    <w:p w14:paraId="6EDD1559" w14:textId="77777777" w:rsidR="001B6A20" w:rsidRPr="007114AF" w:rsidRDefault="001B6A20" w:rsidP="009160D5">
      <w:pPr>
        <w:pStyle w:val="TEKSTI"/>
        <w:rPr>
          <w:b/>
        </w:rPr>
      </w:pPr>
    </w:p>
    <w:p w14:paraId="6EDD155A" w14:textId="77777777" w:rsidR="00F32480" w:rsidRPr="007114AF" w:rsidRDefault="00F32480" w:rsidP="00C065FF">
      <w:pPr>
        <w:pStyle w:val="TEKSTI"/>
        <w:rPr>
          <w:color w:val="000000" w:themeColor="text1"/>
        </w:rPr>
      </w:pPr>
    </w:p>
    <w:p w14:paraId="6EDD155B" w14:textId="77777777" w:rsidR="00F32480" w:rsidRPr="007114AF" w:rsidRDefault="00F32480" w:rsidP="00C065FF">
      <w:pPr>
        <w:pStyle w:val="TEKSTI"/>
        <w:rPr>
          <w:bCs/>
          <w:iCs/>
          <w:u w:val="single"/>
        </w:rPr>
      </w:pPr>
    </w:p>
    <w:p w14:paraId="6EDD155C" w14:textId="77777777" w:rsidR="002F4BDF" w:rsidRPr="007114AF" w:rsidRDefault="002F4BDF" w:rsidP="00C065FF">
      <w:pPr>
        <w:pStyle w:val="TEKSTI"/>
        <w:rPr>
          <w:bCs/>
          <w:iCs/>
          <w:u w:val="single"/>
        </w:rPr>
      </w:pPr>
    </w:p>
    <w:p w14:paraId="6EDD155D" w14:textId="77777777" w:rsidR="002F4BDF" w:rsidRPr="007114AF" w:rsidRDefault="002F4BDF" w:rsidP="00C065FF">
      <w:pPr>
        <w:pStyle w:val="TEKSTI"/>
        <w:rPr>
          <w:bCs/>
          <w:iCs/>
          <w:u w:val="single"/>
        </w:rPr>
      </w:pPr>
    </w:p>
    <w:p w14:paraId="6EDD155E" w14:textId="77777777" w:rsidR="002F4BDF" w:rsidRPr="007114AF" w:rsidRDefault="002F4BDF" w:rsidP="00C065FF">
      <w:pPr>
        <w:pStyle w:val="TEKSTI"/>
        <w:rPr>
          <w:bCs/>
          <w:iCs/>
          <w:u w:val="single"/>
        </w:rPr>
      </w:pPr>
    </w:p>
    <w:p w14:paraId="6EDD155F" w14:textId="77777777" w:rsidR="002F4BDF" w:rsidRPr="007114AF" w:rsidRDefault="002F4BDF" w:rsidP="00C065FF">
      <w:pPr>
        <w:pStyle w:val="TEKSTI"/>
        <w:rPr>
          <w:bCs/>
          <w:iCs/>
          <w:u w:val="single"/>
        </w:rPr>
      </w:pPr>
    </w:p>
    <w:p w14:paraId="6EDD1560" w14:textId="77777777" w:rsidR="002F4BDF" w:rsidRPr="007114AF" w:rsidRDefault="002F4BDF" w:rsidP="00C065FF">
      <w:pPr>
        <w:pStyle w:val="TEKSTI"/>
        <w:rPr>
          <w:bCs/>
          <w:iCs/>
          <w:u w:val="single"/>
        </w:rPr>
      </w:pPr>
    </w:p>
    <w:p w14:paraId="6EDD1561" w14:textId="77777777" w:rsidR="002F4BDF" w:rsidRPr="007114AF" w:rsidRDefault="002F4BDF" w:rsidP="00C065FF">
      <w:pPr>
        <w:pStyle w:val="TEKSTI"/>
        <w:rPr>
          <w:bCs/>
          <w:iCs/>
          <w:u w:val="single"/>
        </w:rPr>
      </w:pPr>
    </w:p>
    <w:p w14:paraId="6EDD1562" w14:textId="77777777" w:rsidR="002F4BDF" w:rsidRPr="007114AF" w:rsidRDefault="002F4BDF" w:rsidP="00C065FF">
      <w:pPr>
        <w:pStyle w:val="TEKSTI"/>
        <w:rPr>
          <w:bCs/>
          <w:iCs/>
          <w:u w:val="single"/>
        </w:rPr>
        <w:sectPr w:rsidR="002F4BDF" w:rsidRPr="007114AF" w:rsidSect="00F32480">
          <w:pgSz w:w="16840" w:h="11907" w:orient="landscape" w:code="9"/>
          <w:pgMar w:top="1418" w:right="1418" w:bottom="1418" w:left="1418" w:header="1304" w:footer="1134" w:gutter="0"/>
          <w:cols w:space="708"/>
          <w:noEndnote/>
          <w:docGrid w:linePitch="326"/>
        </w:sectPr>
      </w:pPr>
    </w:p>
    <w:p w14:paraId="6EDD1563" w14:textId="77777777" w:rsidR="002F4BDF" w:rsidRPr="007114AF" w:rsidRDefault="002F4BDF" w:rsidP="002F4BDF">
      <w:pPr>
        <w:spacing w:after="0" w:line="240" w:lineRule="auto"/>
        <w:ind w:firstLine="284"/>
        <w:rPr>
          <w:rFonts w:ascii="Garamond" w:eastAsiaTheme="minorHAnsi" w:hAnsi="Garamond"/>
          <w:b/>
          <w:sz w:val="24"/>
          <w:szCs w:val="24"/>
          <w:lang w:eastAsia="en-US"/>
        </w:rPr>
      </w:pPr>
      <w:r w:rsidRPr="007114AF">
        <w:rPr>
          <w:rFonts w:ascii="Garamond" w:eastAsiaTheme="minorHAnsi" w:hAnsi="Garamond"/>
          <w:b/>
          <w:sz w:val="24"/>
          <w:szCs w:val="24"/>
          <w:lang w:eastAsia="en-US"/>
        </w:rPr>
        <w:lastRenderedPageBreak/>
        <w:sym w:font="Wingdings 2" w:char="F041"/>
      </w:r>
      <w:r w:rsidRPr="007114AF">
        <w:rPr>
          <w:rFonts w:ascii="Garamond" w:eastAsiaTheme="minorHAnsi" w:hAnsi="Garamond"/>
          <w:b/>
          <w:sz w:val="24"/>
          <w:szCs w:val="24"/>
          <w:lang w:eastAsia="en-US"/>
        </w:rPr>
        <w:t>Masa të tjera të mundshme afatshkurtra-afatgjata</w:t>
      </w:r>
    </w:p>
    <w:p w14:paraId="6EDD1564" w14:textId="77777777" w:rsidR="002F4BDF" w:rsidRPr="007114AF" w:rsidRDefault="002F4BDF" w:rsidP="002F4BDF">
      <w:pPr>
        <w:spacing w:after="0" w:line="240" w:lineRule="auto"/>
        <w:ind w:firstLine="284"/>
        <w:rPr>
          <w:rFonts w:ascii="Garamond" w:eastAsiaTheme="minorHAnsi" w:hAnsi="Garamond"/>
          <w:sz w:val="24"/>
          <w:szCs w:val="24"/>
          <w:u w:val="single"/>
          <w:lang w:eastAsia="en-US"/>
        </w:rPr>
      </w:pPr>
    </w:p>
    <w:p w14:paraId="6EDD1565" w14:textId="77777777" w:rsidR="002F4BDF" w:rsidRPr="007114AF" w:rsidRDefault="002F4BDF" w:rsidP="002F4BDF">
      <w:pPr>
        <w:spacing w:after="0" w:line="240" w:lineRule="auto"/>
        <w:ind w:firstLine="284"/>
        <w:rPr>
          <w:rFonts w:ascii="Garamond" w:eastAsiaTheme="minorHAnsi" w:hAnsi="Garamond"/>
          <w:sz w:val="24"/>
          <w:szCs w:val="24"/>
          <w:u w:val="single"/>
          <w:lang w:eastAsia="en-US"/>
        </w:rPr>
      </w:pPr>
      <w:r w:rsidRPr="007114AF">
        <w:rPr>
          <w:rFonts w:ascii="Garamond" w:eastAsiaTheme="minorHAnsi" w:hAnsi="Garamond"/>
          <w:sz w:val="24"/>
          <w:szCs w:val="24"/>
          <w:u w:val="single"/>
          <w:lang w:eastAsia="en-US"/>
        </w:rPr>
        <w:t xml:space="preserve">Opsioni afatshkurtër: </w:t>
      </w:r>
    </w:p>
    <w:p w14:paraId="6EDD1566" w14:textId="56C4F858" w:rsidR="002F4BDF" w:rsidRPr="007114AF" w:rsidRDefault="002F4BDF" w:rsidP="002F4BDF">
      <w:pPr>
        <w:spacing w:after="0" w:line="240" w:lineRule="auto"/>
        <w:ind w:firstLine="284"/>
        <w:rPr>
          <w:rFonts w:ascii="Garamond" w:eastAsiaTheme="minorHAnsi" w:hAnsi="Garamond"/>
          <w:sz w:val="24"/>
          <w:szCs w:val="24"/>
          <w:lang w:eastAsia="en-US"/>
        </w:rPr>
      </w:pPr>
      <w:r w:rsidRPr="007114AF">
        <w:rPr>
          <w:rFonts w:ascii="Garamond" w:eastAsiaTheme="minorHAnsi" w:hAnsi="Garamond"/>
          <w:sz w:val="24"/>
          <w:szCs w:val="24"/>
          <w:lang w:eastAsia="en-US"/>
        </w:rPr>
        <w:t>- Përditësimi i urdhrit ekzistues të Kryeministrit</w:t>
      </w:r>
      <w:r w:rsidR="00242009" w:rsidRPr="007114AF">
        <w:rPr>
          <w:rFonts w:ascii="Garamond" w:eastAsiaTheme="minorHAnsi" w:hAnsi="Garamond"/>
          <w:sz w:val="24"/>
          <w:szCs w:val="24"/>
          <w:lang w:eastAsia="en-US"/>
        </w:rPr>
        <w:t xml:space="preserve"> nr. </w:t>
      </w:r>
      <w:r w:rsidRPr="007114AF">
        <w:rPr>
          <w:rFonts w:ascii="Garamond" w:eastAsiaTheme="minorHAnsi" w:hAnsi="Garamond"/>
          <w:sz w:val="24"/>
          <w:szCs w:val="24"/>
          <w:lang w:eastAsia="en-US"/>
        </w:rPr>
        <w:t xml:space="preserve">155/2014, duke përfshirë: </w:t>
      </w:r>
    </w:p>
    <w:p w14:paraId="6EDD1567" w14:textId="77777777" w:rsidR="002F4BDF" w:rsidRPr="007114AF" w:rsidRDefault="002F4BDF" w:rsidP="002F4BDF">
      <w:pPr>
        <w:spacing w:after="0" w:line="240" w:lineRule="auto"/>
        <w:ind w:firstLine="284"/>
        <w:rPr>
          <w:rFonts w:ascii="Garamond" w:eastAsiaTheme="minorHAnsi" w:hAnsi="Garamond"/>
          <w:sz w:val="24"/>
          <w:szCs w:val="24"/>
          <w:lang w:eastAsia="en-US"/>
        </w:rPr>
      </w:pPr>
      <w:r w:rsidRPr="007114AF">
        <w:rPr>
          <w:rFonts w:ascii="Garamond" w:eastAsiaTheme="minorHAnsi" w:hAnsi="Garamond"/>
          <w:sz w:val="24"/>
          <w:szCs w:val="24"/>
          <w:lang w:eastAsia="en-US"/>
        </w:rPr>
        <w:t xml:space="preserve">Drejtorinë e DZHM- </w:t>
      </w:r>
      <w:r w:rsidRPr="007114AF">
        <w:rPr>
          <w:rFonts w:ascii="Garamond" w:eastAsiaTheme="minorHAnsi" w:hAnsi="Garamond"/>
          <w:color w:val="000000"/>
          <w:sz w:val="24"/>
          <w:szCs w:val="24"/>
          <w:lang w:eastAsia="en-US"/>
        </w:rPr>
        <w:t xml:space="preserve">zyrës së Kryeministrisë </w:t>
      </w:r>
      <w:r w:rsidRPr="007114AF">
        <w:rPr>
          <w:rFonts w:ascii="Garamond" w:eastAsiaTheme="minorHAnsi" w:hAnsi="Garamond"/>
          <w:sz w:val="24"/>
          <w:szCs w:val="24"/>
          <w:lang w:eastAsia="en-US"/>
        </w:rPr>
        <w:t>si anëtar dhe organ mbikëqyrës për të garantuar mirëfunksionimin e Grupit Ndërministror së Ndryshimeve Klimatike (ose gjendjen e ekzekutimit të urdhrit të Kryeministrit);</w:t>
      </w:r>
    </w:p>
    <w:p w14:paraId="6EDD1568" w14:textId="77777777" w:rsidR="002F4BDF" w:rsidRPr="007114AF" w:rsidRDefault="002F4BDF" w:rsidP="002F4BDF">
      <w:pPr>
        <w:spacing w:after="0" w:line="240" w:lineRule="auto"/>
        <w:ind w:firstLine="284"/>
        <w:rPr>
          <w:rFonts w:ascii="Garamond" w:eastAsiaTheme="minorHAnsi" w:hAnsi="Garamond"/>
          <w:sz w:val="24"/>
          <w:szCs w:val="24"/>
          <w:lang w:eastAsia="en-US"/>
        </w:rPr>
      </w:pPr>
      <w:r w:rsidRPr="007114AF">
        <w:rPr>
          <w:rFonts w:ascii="Garamond" w:eastAsiaTheme="minorHAnsi" w:hAnsi="Garamond"/>
          <w:sz w:val="24"/>
          <w:szCs w:val="24"/>
          <w:lang w:eastAsia="en-US"/>
        </w:rPr>
        <w:t>- detyrimi i ministrive të linjës për integrimin e masave prioritare të ndryshimeve klimatike (CC) në programet e tyre përkatëse afatmesme.</w:t>
      </w:r>
    </w:p>
    <w:p w14:paraId="6EDD1569" w14:textId="77777777" w:rsidR="002F4BDF" w:rsidRPr="007114AF" w:rsidRDefault="002F4BDF" w:rsidP="002F4BDF">
      <w:pPr>
        <w:spacing w:after="0" w:line="240" w:lineRule="auto"/>
        <w:ind w:firstLine="284"/>
        <w:rPr>
          <w:rFonts w:ascii="Garamond" w:eastAsiaTheme="minorHAnsi" w:hAnsi="Garamond"/>
          <w:sz w:val="24"/>
          <w:szCs w:val="24"/>
          <w:lang w:eastAsia="en-US"/>
        </w:rPr>
      </w:pPr>
      <w:r w:rsidRPr="007114AF">
        <w:rPr>
          <w:rFonts w:ascii="Garamond" w:eastAsiaTheme="minorHAnsi" w:hAnsi="Garamond"/>
          <w:sz w:val="24"/>
          <w:szCs w:val="24"/>
          <w:lang w:eastAsia="en-US"/>
        </w:rPr>
        <w:t xml:space="preserve">- Përgatitja dhe miratimi i rregullores së brendshme të Grupit Ndërministror të Ndryshimeve Klimatike. </w:t>
      </w:r>
    </w:p>
    <w:p w14:paraId="6EDD156A" w14:textId="71BB028A" w:rsidR="002F4BDF" w:rsidRPr="007114AF" w:rsidRDefault="002F4BDF" w:rsidP="002F4BDF">
      <w:pPr>
        <w:spacing w:after="0" w:line="240" w:lineRule="auto"/>
        <w:ind w:firstLine="284"/>
        <w:rPr>
          <w:rFonts w:ascii="Garamond" w:eastAsiaTheme="minorHAnsi" w:hAnsi="Garamond"/>
          <w:sz w:val="24"/>
          <w:szCs w:val="24"/>
          <w:lang w:eastAsia="en-US"/>
        </w:rPr>
      </w:pPr>
      <w:r w:rsidRPr="007114AF">
        <w:rPr>
          <w:rFonts w:ascii="Garamond" w:eastAsiaTheme="minorHAnsi" w:hAnsi="Garamond"/>
          <w:sz w:val="24"/>
          <w:szCs w:val="24"/>
          <w:lang w:eastAsia="en-US"/>
        </w:rPr>
        <w:t xml:space="preserve">- Përgatitja dhe miratimi i një udhëzimi të përbashkët ndërmjet Ministrisë së Turizmit dhe Mjedisit dhe Ministrinë e Financave dhe Ekonomisë për </w:t>
      </w:r>
      <w:r w:rsidR="000A2A01" w:rsidRPr="007114AF">
        <w:rPr>
          <w:rFonts w:ascii="Garamond" w:eastAsiaTheme="minorHAnsi" w:hAnsi="Garamond"/>
          <w:color w:val="000000"/>
          <w:sz w:val="24"/>
          <w:szCs w:val="24"/>
          <w:lang w:eastAsia="en-US"/>
        </w:rPr>
        <w:t>“</w:t>
      </w:r>
      <w:r w:rsidRPr="007114AF">
        <w:rPr>
          <w:rFonts w:ascii="Garamond" w:eastAsiaTheme="minorHAnsi" w:hAnsi="Garamond"/>
          <w:color w:val="000000"/>
          <w:sz w:val="24"/>
          <w:szCs w:val="24"/>
          <w:lang w:eastAsia="en-US"/>
        </w:rPr>
        <w:t>Procedurat për Integrimin e Ndryshimit të Klimës në PBAM (MTBP)</w:t>
      </w:r>
      <w:r w:rsidR="000A2A01" w:rsidRPr="007114AF">
        <w:rPr>
          <w:rFonts w:ascii="Garamond" w:eastAsiaTheme="minorHAnsi" w:hAnsi="Garamond"/>
          <w:color w:val="000000"/>
          <w:sz w:val="24"/>
          <w:szCs w:val="24"/>
          <w:lang w:eastAsia="en-US"/>
        </w:rPr>
        <w:t>”</w:t>
      </w:r>
      <w:r w:rsidRPr="007114AF">
        <w:rPr>
          <w:rFonts w:ascii="Garamond" w:eastAsiaTheme="minorHAnsi" w:hAnsi="Garamond"/>
          <w:color w:val="000000"/>
          <w:sz w:val="24"/>
          <w:szCs w:val="24"/>
          <w:lang w:eastAsia="en-US"/>
        </w:rPr>
        <w:t xml:space="preserve"> dhe garantimi i shkëmbimit të informacionit gjatë procesit të ekzekutimit të PBAM-it (MTBP).</w:t>
      </w:r>
    </w:p>
    <w:p w14:paraId="6EDD156B" w14:textId="77777777" w:rsidR="002F4BDF" w:rsidRPr="007114AF" w:rsidRDefault="002F4BDF" w:rsidP="002F4BDF">
      <w:pPr>
        <w:spacing w:after="0" w:line="240" w:lineRule="auto"/>
        <w:ind w:firstLine="284"/>
        <w:rPr>
          <w:rFonts w:ascii="Garamond" w:eastAsiaTheme="minorHAnsi" w:hAnsi="Garamond"/>
          <w:sz w:val="24"/>
          <w:szCs w:val="24"/>
          <w:lang w:eastAsia="en-US"/>
        </w:rPr>
      </w:pPr>
      <w:r w:rsidRPr="007114AF">
        <w:rPr>
          <w:rFonts w:ascii="Garamond" w:eastAsiaTheme="minorHAnsi" w:hAnsi="Garamond"/>
          <w:color w:val="000000"/>
          <w:sz w:val="24"/>
          <w:szCs w:val="24"/>
          <w:lang w:eastAsia="en-US"/>
        </w:rPr>
        <w:t>- Forcimi i kapaciteteve në fushën e ndryshimeve klimatike pranë Ministrisë së Turizmit dhe Mjedisit.</w:t>
      </w:r>
    </w:p>
    <w:p w14:paraId="6EDD156C" w14:textId="64A77484" w:rsidR="002F4BDF" w:rsidRPr="007114AF" w:rsidRDefault="002F4BDF" w:rsidP="002F4BDF">
      <w:pPr>
        <w:spacing w:after="0" w:line="240" w:lineRule="auto"/>
        <w:ind w:firstLine="284"/>
        <w:rPr>
          <w:rFonts w:ascii="Garamond" w:eastAsiaTheme="minorHAnsi" w:hAnsi="Garamond"/>
          <w:sz w:val="24"/>
          <w:szCs w:val="24"/>
          <w:lang w:eastAsia="en-US"/>
        </w:rPr>
      </w:pPr>
      <w:r w:rsidRPr="007114AF">
        <w:rPr>
          <w:rFonts w:ascii="Garamond" w:eastAsiaTheme="minorHAnsi" w:hAnsi="Garamond"/>
          <w:sz w:val="24"/>
          <w:szCs w:val="24"/>
          <w:lang w:eastAsia="en-US"/>
        </w:rPr>
        <w:t>- Ministria e Turizmit dhe Mjedisit (Drejtoria e Politikave dhe Strategjive të Zhvillimit të Mjedisit) garanton dhe raporton për zbatimin e duhur të urdhrit të Kryeministrit</w:t>
      </w:r>
      <w:r w:rsidR="00242009" w:rsidRPr="007114AF">
        <w:rPr>
          <w:rFonts w:ascii="Garamond" w:eastAsiaTheme="minorHAnsi" w:hAnsi="Garamond"/>
          <w:sz w:val="24"/>
          <w:szCs w:val="24"/>
          <w:lang w:eastAsia="en-US"/>
        </w:rPr>
        <w:t xml:space="preserve"> nr. </w:t>
      </w:r>
      <w:r w:rsidRPr="007114AF">
        <w:rPr>
          <w:rFonts w:ascii="Garamond" w:eastAsiaTheme="minorHAnsi" w:hAnsi="Garamond"/>
          <w:sz w:val="24"/>
          <w:szCs w:val="24"/>
          <w:lang w:eastAsia="en-US"/>
        </w:rPr>
        <w:t>155/ 2014 dhe udhëzimit të përbashkët me Ministrinë e Financave dhe Ekonomisë.</w:t>
      </w:r>
    </w:p>
    <w:p w14:paraId="6EDD156D" w14:textId="24D2CEF3" w:rsidR="002F4BDF" w:rsidRPr="007114AF" w:rsidRDefault="002F4BDF" w:rsidP="002F4BDF">
      <w:pPr>
        <w:spacing w:after="0" w:line="240" w:lineRule="auto"/>
        <w:ind w:firstLine="284"/>
        <w:rPr>
          <w:rFonts w:ascii="Garamond" w:eastAsiaTheme="minorHAnsi" w:hAnsi="Garamond"/>
          <w:sz w:val="24"/>
          <w:szCs w:val="24"/>
          <w:lang w:eastAsia="en-US"/>
        </w:rPr>
      </w:pPr>
      <w:r w:rsidRPr="007114AF">
        <w:rPr>
          <w:rFonts w:ascii="Garamond" w:eastAsiaTheme="minorHAnsi" w:hAnsi="Garamond"/>
          <w:sz w:val="24"/>
          <w:szCs w:val="24"/>
          <w:lang w:eastAsia="en-US"/>
        </w:rPr>
        <w:t xml:space="preserve">Disavantazhi: Grupit Ndërministror i Ndryshimeve Klimatike ende mbetet një </w:t>
      </w:r>
      <w:r w:rsidR="000A2A01" w:rsidRPr="007114AF">
        <w:rPr>
          <w:rFonts w:ascii="Garamond" w:eastAsiaTheme="minorHAnsi" w:hAnsi="Garamond"/>
          <w:sz w:val="24"/>
          <w:szCs w:val="24"/>
          <w:lang w:eastAsia="en-US"/>
        </w:rPr>
        <w:t>“</w:t>
      </w:r>
      <w:r w:rsidRPr="007114AF">
        <w:rPr>
          <w:rFonts w:ascii="Garamond" w:eastAsiaTheme="minorHAnsi" w:hAnsi="Garamond"/>
          <w:sz w:val="24"/>
          <w:szCs w:val="24"/>
          <w:lang w:eastAsia="en-US"/>
        </w:rPr>
        <w:t>grup pune</w:t>
      </w:r>
      <w:r w:rsidR="000A2A01" w:rsidRPr="007114AF">
        <w:rPr>
          <w:rFonts w:ascii="Garamond" w:eastAsiaTheme="minorHAnsi" w:hAnsi="Garamond"/>
          <w:sz w:val="24"/>
          <w:szCs w:val="24"/>
          <w:lang w:eastAsia="en-US"/>
        </w:rPr>
        <w:t>”</w:t>
      </w:r>
      <w:r w:rsidRPr="007114AF">
        <w:rPr>
          <w:rFonts w:ascii="Garamond" w:eastAsiaTheme="minorHAnsi" w:hAnsi="Garamond"/>
          <w:sz w:val="24"/>
          <w:szCs w:val="24"/>
          <w:lang w:eastAsia="en-US"/>
        </w:rPr>
        <w:t xml:space="preserve"> (shihni disavantazhet në shtojcën 3)</w:t>
      </w:r>
    </w:p>
    <w:p w14:paraId="6EDD156E" w14:textId="77777777" w:rsidR="002F4BDF" w:rsidRPr="007114AF" w:rsidRDefault="002F4BDF" w:rsidP="002F4BDF">
      <w:pPr>
        <w:spacing w:after="0" w:line="240" w:lineRule="auto"/>
        <w:ind w:firstLine="284"/>
        <w:rPr>
          <w:rFonts w:ascii="Garamond" w:eastAsiaTheme="minorHAnsi" w:hAnsi="Garamond"/>
          <w:sz w:val="24"/>
          <w:szCs w:val="24"/>
          <w:u w:val="single"/>
          <w:lang w:eastAsia="en-US"/>
        </w:rPr>
      </w:pPr>
      <w:r w:rsidRPr="007114AF">
        <w:rPr>
          <w:rFonts w:ascii="Garamond" w:eastAsiaTheme="minorHAnsi" w:hAnsi="Garamond"/>
          <w:sz w:val="24"/>
          <w:szCs w:val="24"/>
          <w:u w:val="single"/>
          <w:lang w:eastAsia="en-US"/>
        </w:rPr>
        <w:t>Opsioni afatmesëm dhe/ose afatgjatë</w:t>
      </w:r>
    </w:p>
    <w:p w14:paraId="6EDD156F" w14:textId="77777777" w:rsidR="002F4BDF" w:rsidRPr="007114AF" w:rsidRDefault="002F4BDF" w:rsidP="002F4BDF">
      <w:pPr>
        <w:spacing w:after="0" w:line="240" w:lineRule="auto"/>
        <w:ind w:firstLine="284"/>
        <w:rPr>
          <w:rFonts w:ascii="Garamond" w:eastAsiaTheme="minorHAnsi" w:hAnsi="Garamond"/>
          <w:sz w:val="24"/>
          <w:szCs w:val="24"/>
          <w:u w:val="single"/>
          <w:lang w:eastAsia="en-US"/>
        </w:rPr>
      </w:pPr>
      <w:r w:rsidRPr="007114AF">
        <w:rPr>
          <w:rFonts w:ascii="Garamond" w:eastAsiaTheme="minorHAnsi" w:hAnsi="Garamond"/>
          <w:sz w:val="24"/>
          <w:szCs w:val="24"/>
          <w:lang w:eastAsia="en-US"/>
        </w:rPr>
        <w:t xml:space="preserve">Ky opsion mund të diskutohet në rast se skema e IPMG-ës nuk do të pranohet ose/nëse zbatimi i skemës së IPMG-ës tregon se nuk mund të garantojë qëndrueshmërinë e procesit të zbatimit të ndryshimeve klimatike në planin afatgjatë. </w:t>
      </w:r>
    </w:p>
    <w:p w14:paraId="6EDD1570" w14:textId="77777777" w:rsidR="002F4BDF" w:rsidRPr="007114AF" w:rsidRDefault="002F4BDF" w:rsidP="002F4BDF">
      <w:pPr>
        <w:spacing w:after="0" w:line="240" w:lineRule="auto"/>
        <w:ind w:firstLine="284"/>
        <w:rPr>
          <w:rFonts w:ascii="Garamond" w:eastAsiaTheme="minorHAnsi" w:hAnsi="Garamond"/>
          <w:sz w:val="24"/>
          <w:szCs w:val="24"/>
          <w:lang w:eastAsia="en-US"/>
        </w:rPr>
      </w:pPr>
      <w:r w:rsidRPr="007114AF">
        <w:rPr>
          <w:rFonts w:ascii="Garamond" w:eastAsiaTheme="minorHAnsi" w:hAnsi="Garamond"/>
          <w:sz w:val="24"/>
          <w:szCs w:val="24"/>
          <w:lang w:eastAsia="en-US"/>
        </w:rPr>
        <w:t>Përcaktimi nga Ligji për Ndryshimin e Klimës të Bordit/Komitetit Drejtues për Ndryshimin e Klimës:</w:t>
      </w:r>
    </w:p>
    <w:p w14:paraId="6EDD1571" w14:textId="77777777" w:rsidR="002F4BDF" w:rsidRPr="007114AF" w:rsidRDefault="002F4BDF" w:rsidP="002F4BDF">
      <w:pPr>
        <w:spacing w:after="0" w:line="240" w:lineRule="auto"/>
        <w:ind w:firstLine="284"/>
        <w:rPr>
          <w:rFonts w:ascii="Garamond" w:eastAsiaTheme="minorHAnsi" w:hAnsi="Garamond"/>
          <w:sz w:val="24"/>
          <w:szCs w:val="24"/>
          <w:lang w:eastAsia="en-US"/>
        </w:rPr>
      </w:pPr>
      <w:r w:rsidRPr="007114AF">
        <w:rPr>
          <w:rFonts w:ascii="Garamond" w:eastAsiaTheme="minorHAnsi" w:hAnsi="Garamond"/>
          <w:sz w:val="24"/>
          <w:szCs w:val="24"/>
          <w:lang w:eastAsia="en-US"/>
        </w:rPr>
        <w:t xml:space="preserve">- i përbërë nga Ministra (me të drejtën për delegim autoriteti për sekretarin e përgjithshëm përkatës), </w:t>
      </w:r>
    </w:p>
    <w:p w14:paraId="6EDD1572" w14:textId="77777777" w:rsidR="002F4BDF" w:rsidRPr="007114AF" w:rsidRDefault="002F4BDF" w:rsidP="002F4BDF">
      <w:pPr>
        <w:spacing w:after="0" w:line="240" w:lineRule="auto"/>
        <w:ind w:firstLine="284"/>
        <w:rPr>
          <w:rFonts w:ascii="Garamond" w:eastAsiaTheme="minorHAnsi" w:hAnsi="Garamond"/>
          <w:sz w:val="24"/>
          <w:szCs w:val="24"/>
          <w:lang w:eastAsia="en-US"/>
        </w:rPr>
      </w:pPr>
      <w:r w:rsidRPr="007114AF">
        <w:rPr>
          <w:rFonts w:ascii="Garamond" w:eastAsiaTheme="minorHAnsi" w:hAnsi="Garamond"/>
          <w:sz w:val="24"/>
          <w:szCs w:val="24"/>
          <w:lang w:eastAsia="en-US"/>
        </w:rPr>
        <w:t>- i drejtuar mbi bazë rotacioni për të garantuar lidership të qëndrueshëm (çdo 6 muaj),</w:t>
      </w:r>
    </w:p>
    <w:p w14:paraId="6EDD1573" w14:textId="5236C1B2" w:rsidR="002F4BDF" w:rsidRPr="007114AF" w:rsidRDefault="002F4BDF" w:rsidP="002F4BDF">
      <w:pPr>
        <w:spacing w:after="0" w:line="240" w:lineRule="auto"/>
        <w:ind w:firstLine="284"/>
        <w:rPr>
          <w:rFonts w:ascii="Garamond" w:eastAsiaTheme="minorHAnsi" w:hAnsi="Garamond"/>
          <w:sz w:val="24"/>
          <w:szCs w:val="24"/>
          <w:lang w:eastAsia="en-US"/>
        </w:rPr>
      </w:pPr>
      <w:r w:rsidRPr="007114AF">
        <w:rPr>
          <w:rFonts w:ascii="Garamond" w:eastAsiaTheme="minorHAnsi" w:hAnsi="Garamond"/>
          <w:sz w:val="24"/>
          <w:szCs w:val="24"/>
          <w:lang w:eastAsia="en-US"/>
        </w:rPr>
        <w:t>- bordi/komiteti do të jetë përgjithësisht përgjegjës për formulimin e politikave,</w:t>
      </w:r>
      <w:r w:rsidR="000A2A01" w:rsidRPr="007114AF">
        <w:rPr>
          <w:rFonts w:ascii="Garamond" w:eastAsiaTheme="minorHAnsi" w:hAnsi="Garamond"/>
          <w:sz w:val="24"/>
          <w:szCs w:val="24"/>
          <w:lang w:eastAsia="en-US"/>
        </w:rPr>
        <w:t xml:space="preserve"> </w:t>
      </w:r>
      <w:r w:rsidRPr="007114AF">
        <w:rPr>
          <w:rFonts w:ascii="Garamond" w:eastAsiaTheme="minorHAnsi" w:hAnsi="Garamond"/>
          <w:sz w:val="24"/>
          <w:szCs w:val="24"/>
          <w:lang w:eastAsia="en-US"/>
        </w:rPr>
        <w:t xml:space="preserve">planifikimin, mobilizimin e burimeve, rialokimet e buxhetit, mbikëqyrjen, monitorimin dhe marrjen e masave korrigjuese gjatë procesit të zbatimit; </w:t>
      </w:r>
    </w:p>
    <w:p w14:paraId="6EDD1574" w14:textId="77777777" w:rsidR="002F4BDF" w:rsidRPr="007114AF" w:rsidRDefault="002F4BDF" w:rsidP="002F4BDF">
      <w:pPr>
        <w:spacing w:after="0" w:line="240" w:lineRule="auto"/>
        <w:ind w:firstLine="284"/>
        <w:rPr>
          <w:rFonts w:ascii="Garamond" w:eastAsiaTheme="minorHAnsi" w:hAnsi="Garamond"/>
          <w:sz w:val="24"/>
          <w:szCs w:val="24"/>
          <w:lang w:eastAsia="en-US"/>
        </w:rPr>
      </w:pPr>
      <w:r w:rsidRPr="007114AF">
        <w:rPr>
          <w:rFonts w:ascii="Garamond" w:eastAsiaTheme="minorHAnsi" w:hAnsi="Garamond"/>
          <w:sz w:val="24"/>
          <w:szCs w:val="24"/>
          <w:lang w:eastAsia="en-US"/>
        </w:rPr>
        <w:t>- veprimi si organ këshillimor të Komitetit të Planifikimit Strategjik pranë KM-ës, megjithëse çdo ministri linje do të ruajë autoritetin për ekzekutimin e buxheti;</w:t>
      </w:r>
    </w:p>
    <w:p w14:paraId="6EDD1575" w14:textId="77777777" w:rsidR="002F4BDF" w:rsidRPr="007114AF" w:rsidRDefault="002F4BDF" w:rsidP="002F4BDF">
      <w:pPr>
        <w:spacing w:after="0" w:line="240" w:lineRule="auto"/>
        <w:ind w:firstLine="284"/>
        <w:rPr>
          <w:rFonts w:ascii="Garamond" w:eastAsiaTheme="minorHAnsi" w:hAnsi="Garamond"/>
          <w:sz w:val="24"/>
          <w:szCs w:val="24"/>
          <w:lang w:eastAsia="en-US"/>
        </w:rPr>
      </w:pPr>
      <w:r w:rsidRPr="007114AF">
        <w:rPr>
          <w:rFonts w:ascii="Garamond" w:eastAsiaTheme="minorHAnsi" w:hAnsi="Garamond"/>
          <w:sz w:val="24"/>
          <w:szCs w:val="24"/>
          <w:lang w:eastAsia="en-US"/>
        </w:rPr>
        <w:t>- njësia e ndryshime klimatike do të veprojë si sekretariat i bordit (duhet të rritet në nivel drejtorie brenda 3 vjetëve</w:t>
      </w:r>
      <w:r w:rsidR="00E62997" w:rsidRPr="007114AF">
        <w:rPr>
          <w:rFonts w:ascii="Garamond" w:hAnsi="Garamond" w:cs="Times New Roman"/>
          <w:sz w:val="24"/>
          <w:szCs w:val="24"/>
          <w:vertAlign w:val="superscript"/>
          <w:lang w:eastAsia="en-US"/>
        </w:rPr>
        <w:footnoteReference w:id="87"/>
      </w:r>
      <w:r w:rsidRPr="007114AF">
        <w:rPr>
          <w:rFonts w:ascii="Garamond" w:eastAsiaTheme="minorHAnsi" w:hAnsi="Garamond"/>
          <w:sz w:val="24"/>
          <w:szCs w:val="24"/>
          <w:lang w:eastAsia="en-US"/>
        </w:rPr>
        <w:t xml:space="preserve">). </w:t>
      </w:r>
    </w:p>
    <w:p w14:paraId="6EDD1576" w14:textId="77777777" w:rsidR="002F4BDF" w:rsidRPr="007114AF" w:rsidRDefault="002F4BDF" w:rsidP="002F4BDF">
      <w:pPr>
        <w:spacing w:after="0" w:line="240" w:lineRule="auto"/>
        <w:ind w:firstLine="284"/>
        <w:rPr>
          <w:rFonts w:ascii="Garamond" w:eastAsiaTheme="minorHAnsi" w:hAnsi="Garamond"/>
          <w:sz w:val="24"/>
          <w:szCs w:val="24"/>
          <w:lang w:eastAsia="en-US"/>
        </w:rPr>
      </w:pPr>
      <w:r w:rsidRPr="007114AF">
        <w:rPr>
          <w:rFonts w:ascii="Garamond" w:eastAsiaTheme="minorHAnsi" w:hAnsi="Garamond"/>
          <w:sz w:val="24"/>
          <w:szCs w:val="24"/>
          <w:lang w:eastAsia="en-US"/>
        </w:rPr>
        <w:t xml:space="preserve">Avantazhet: </w:t>
      </w:r>
    </w:p>
    <w:p w14:paraId="6EDD1577" w14:textId="77777777" w:rsidR="002F4BDF" w:rsidRPr="007114AF" w:rsidRDefault="002F4BDF" w:rsidP="002F4BDF">
      <w:pPr>
        <w:spacing w:after="0" w:line="240" w:lineRule="auto"/>
        <w:ind w:firstLine="284"/>
        <w:rPr>
          <w:rFonts w:ascii="Garamond" w:eastAsiaTheme="minorHAnsi" w:hAnsi="Garamond"/>
          <w:sz w:val="24"/>
          <w:szCs w:val="24"/>
          <w:lang w:eastAsia="en-US"/>
        </w:rPr>
      </w:pPr>
      <w:r w:rsidRPr="007114AF">
        <w:rPr>
          <w:rFonts w:ascii="Garamond" w:eastAsiaTheme="minorHAnsi" w:hAnsi="Garamond"/>
          <w:sz w:val="24"/>
          <w:szCs w:val="24"/>
          <w:lang w:eastAsia="en-US"/>
        </w:rPr>
        <w:t>- Bordi/Komiteti i ri i Menaxhimit të Ndryshimeve Klimatike do të marrë vendime politike dhe administrative gjatë procesit të planifikimit dhe zbatimit (kalimi i shumë hapave të fragmentuar nga formulimi i politikave në monitorim, si dhe rregullore të fragmentuara që ndikojnë në procesin e lehtësimit dhe përshtatjes së ndryshimeve klimatike);</w:t>
      </w:r>
    </w:p>
    <w:p w14:paraId="6EDD1578" w14:textId="77777777" w:rsidR="002F4BDF" w:rsidRPr="007114AF" w:rsidRDefault="002F4BDF" w:rsidP="002F4BDF">
      <w:pPr>
        <w:spacing w:after="0" w:line="240" w:lineRule="auto"/>
        <w:ind w:firstLine="284"/>
        <w:rPr>
          <w:rFonts w:ascii="Garamond" w:eastAsiaTheme="minorHAnsi" w:hAnsi="Garamond"/>
          <w:sz w:val="24"/>
          <w:szCs w:val="24"/>
          <w:lang w:eastAsia="en-US"/>
        </w:rPr>
      </w:pPr>
      <w:r w:rsidRPr="007114AF">
        <w:rPr>
          <w:rFonts w:ascii="Garamond" w:eastAsiaTheme="minorHAnsi" w:hAnsi="Garamond"/>
          <w:sz w:val="24"/>
          <w:szCs w:val="24"/>
          <w:lang w:eastAsia="en-US"/>
        </w:rPr>
        <w:t xml:space="preserve">- Nivel i lartë i mbështetjes politike dhe lidershipit të qëndrueshëm; </w:t>
      </w:r>
    </w:p>
    <w:p w14:paraId="6EDD1579" w14:textId="77777777" w:rsidR="002F4BDF" w:rsidRPr="007114AF" w:rsidRDefault="002F4BDF" w:rsidP="002F4BDF">
      <w:pPr>
        <w:spacing w:after="0" w:line="240" w:lineRule="auto"/>
        <w:ind w:firstLine="284"/>
        <w:rPr>
          <w:rFonts w:ascii="Garamond" w:eastAsiaTheme="minorHAnsi" w:hAnsi="Garamond"/>
          <w:sz w:val="24"/>
          <w:szCs w:val="24"/>
          <w:lang w:eastAsia="en-US"/>
        </w:rPr>
      </w:pPr>
      <w:r w:rsidRPr="007114AF">
        <w:rPr>
          <w:rFonts w:ascii="Garamond" w:eastAsiaTheme="minorHAnsi" w:hAnsi="Garamond"/>
          <w:sz w:val="24"/>
          <w:szCs w:val="24"/>
          <w:lang w:eastAsia="en-US"/>
        </w:rPr>
        <w:t>- Burime të mjaftueshme financimi do të garantojnë mirëfunksionim dhe nivel të lartë përgjegjshmërie</w:t>
      </w:r>
      <w:r w:rsidR="00E62997" w:rsidRPr="007114AF">
        <w:rPr>
          <w:rFonts w:ascii="Garamond" w:hAnsi="Garamond" w:cs="Times New Roman"/>
          <w:sz w:val="24"/>
          <w:szCs w:val="24"/>
          <w:vertAlign w:val="superscript"/>
          <w:lang w:eastAsia="en-US"/>
        </w:rPr>
        <w:footnoteReference w:id="88"/>
      </w:r>
      <w:r w:rsidRPr="007114AF">
        <w:rPr>
          <w:rFonts w:ascii="Garamond" w:eastAsiaTheme="minorHAnsi" w:hAnsi="Garamond"/>
          <w:sz w:val="24"/>
          <w:szCs w:val="24"/>
          <w:lang w:eastAsia="en-US"/>
        </w:rPr>
        <w:t>;</w:t>
      </w:r>
    </w:p>
    <w:p w14:paraId="6EDD157A" w14:textId="027D6BA9" w:rsidR="002F4BDF" w:rsidRPr="007114AF" w:rsidRDefault="002F4BDF" w:rsidP="002F4BDF">
      <w:pPr>
        <w:spacing w:after="0" w:line="240" w:lineRule="auto"/>
        <w:ind w:firstLine="284"/>
        <w:rPr>
          <w:rFonts w:ascii="Garamond" w:eastAsiaTheme="minorHAnsi" w:hAnsi="Garamond"/>
          <w:sz w:val="24"/>
          <w:szCs w:val="24"/>
          <w:lang w:eastAsia="en-US"/>
        </w:rPr>
      </w:pPr>
      <w:r w:rsidRPr="007114AF">
        <w:rPr>
          <w:rFonts w:ascii="Garamond" w:eastAsiaTheme="minorHAnsi" w:hAnsi="Garamond"/>
          <w:sz w:val="24"/>
          <w:szCs w:val="24"/>
          <w:lang w:eastAsia="en-US"/>
        </w:rPr>
        <w:lastRenderedPageBreak/>
        <w:t>- Vendimet dhe funksionimi i strukturës së menaxhimit të ndryshimeve klimatike do t</w:t>
      </w:r>
      <w:r w:rsidR="00D10DAB" w:rsidRPr="007114AF">
        <w:rPr>
          <w:rFonts w:ascii="Garamond" w:eastAsiaTheme="minorHAnsi" w:hAnsi="Garamond"/>
          <w:sz w:val="24"/>
          <w:szCs w:val="24"/>
          <w:lang w:eastAsia="en-US"/>
        </w:rPr>
        <w:t>’</w:t>
      </w:r>
      <w:r w:rsidRPr="007114AF">
        <w:rPr>
          <w:rFonts w:ascii="Garamond" w:eastAsiaTheme="minorHAnsi" w:hAnsi="Garamond"/>
          <w:sz w:val="24"/>
          <w:szCs w:val="24"/>
          <w:lang w:eastAsia="en-US"/>
        </w:rPr>
        <w:t>i nënshtrohen auditimit të rregullt.</w:t>
      </w:r>
      <w:r w:rsidR="000A2A01" w:rsidRPr="007114AF">
        <w:rPr>
          <w:rFonts w:ascii="Garamond" w:eastAsiaTheme="minorHAnsi" w:hAnsi="Garamond"/>
          <w:sz w:val="24"/>
          <w:szCs w:val="24"/>
          <w:lang w:eastAsia="en-US"/>
        </w:rPr>
        <w:t xml:space="preserve"> </w:t>
      </w:r>
    </w:p>
    <w:p w14:paraId="6EDD157B" w14:textId="77777777" w:rsidR="002F4BDF" w:rsidRPr="007114AF" w:rsidRDefault="002F4BDF" w:rsidP="002F4BDF">
      <w:pPr>
        <w:spacing w:after="0" w:line="240" w:lineRule="auto"/>
        <w:ind w:firstLine="284"/>
        <w:rPr>
          <w:rFonts w:ascii="Garamond" w:eastAsiaTheme="minorHAnsi" w:hAnsi="Garamond"/>
          <w:sz w:val="24"/>
          <w:szCs w:val="24"/>
          <w:lang w:eastAsia="en-US"/>
        </w:rPr>
      </w:pPr>
    </w:p>
    <w:p w14:paraId="6EDD157C" w14:textId="32CC90B7" w:rsidR="002F4BDF" w:rsidRPr="007114AF" w:rsidRDefault="002F4BDF" w:rsidP="002F4BDF">
      <w:pPr>
        <w:spacing w:after="0" w:line="240" w:lineRule="auto"/>
        <w:ind w:firstLine="284"/>
        <w:rPr>
          <w:rFonts w:ascii="Garamond" w:eastAsiaTheme="minorHAnsi" w:hAnsi="Garamond"/>
          <w:sz w:val="24"/>
          <w:szCs w:val="24"/>
          <w:lang w:eastAsia="en-US"/>
        </w:rPr>
      </w:pPr>
      <w:r w:rsidRPr="007114AF">
        <w:rPr>
          <w:rFonts w:ascii="Garamond" w:eastAsiaTheme="minorHAnsi" w:hAnsi="Garamond"/>
          <w:sz w:val="24"/>
          <w:szCs w:val="24"/>
          <w:lang w:eastAsia="en-US"/>
        </w:rPr>
        <w:t>Disavantazhet:</w:t>
      </w:r>
      <w:r w:rsidR="000A2A01" w:rsidRPr="007114AF">
        <w:rPr>
          <w:rFonts w:ascii="Garamond" w:eastAsiaTheme="minorHAnsi" w:hAnsi="Garamond"/>
          <w:sz w:val="24"/>
          <w:szCs w:val="24"/>
          <w:lang w:eastAsia="en-US"/>
        </w:rPr>
        <w:t xml:space="preserve"> </w:t>
      </w:r>
      <w:r w:rsidRPr="007114AF">
        <w:rPr>
          <w:rFonts w:ascii="Garamond" w:eastAsiaTheme="minorHAnsi" w:hAnsi="Garamond"/>
          <w:sz w:val="24"/>
          <w:szCs w:val="24"/>
          <w:lang w:eastAsia="en-US"/>
        </w:rPr>
        <w:t>Rreziqet e lidhura me proceset e planifikimit dhe zbatimit mund të lehtësohen duke mos u shmangur.</w:t>
      </w:r>
    </w:p>
    <w:p w14:paraId="6EDD157D" w14:textId="77777777" w:rsidR="002F4BDF" w:rsidRPr="007114AF" w:rsidRDefault="002F4BDF" w:rsidP="002F4BDF">
      <w:pPr>
        <w:spacing w:after="0" w:line="240" w:lineRule="auto"/>
        <w:ind w:firstLine="284"/>
        <w:rPr>
          <w:rFonts w:ascii="Garamond" w:eastAsiaTheme="minorHAnsi" w:hAnsi="Garamond"/>
          <w:sz w:val="24"/>
          <w:szCs w:val="24"/>
          <w:lang w:eastAsia="en-US"/>
        </w:rPr>
      </w:pPr>
    </w:p>
    <w:p w14:paraId="6EDD157E" w14:textId="77777777" w:rsidR="002F4BDF" w:rsidRPr="007114AF" w:rsidRDefault="002F4BDF" w:rsidP="002F4BDF">
      <w:pPr>
        <w:spacing w:after="0" w:line="240" w:lineRule="auto"/>
        <w:ind w:firstLine="284"/>
        <w:jc w:val="left"/>
        <w:rPr>
          <w:rFonts w:ascii="Garamond" w:eastAsiaTheme="minorHAnsi" w:hAnsi="Garamond"/>
          <w:b/>
          <w:sz w:val="24"/>
          <w:szCs w:val="24"/>
          <w:lang w:eastAsia="en-US"/>
        </w:rPr>
      </w:pPr>
      <w:bookmarkStart w:id="192" w:name="_Toc469479192"/>
      <w:bookmarkStart w:id="193" w:name="_Toc479083931"/>
      <w:r w:rsidRPr="007114AF">
        <w:rPr>
          <w:rFonts w:ascii="Garamond" w:eastAsiaTheme="minorHAnsi" w:hAnsi="Garamond"/>
          <w:b/>
          <w:sz w:val="24"/>
          <w:szCs w:val="24"/>
          <w:lang w:eastAsia="en-US"/>
        </w:rPr>
        <w:sym w:font="Wingdings 2" w:char="F041"/>
      </w:r>
      <w:r w:rsidRPr="007114AF">
        <w:rPr>
          <w:rFonts w:ascii="Garamond" w:eastAsiaTheme="minorHAnsi" w:hAnsi="Garamond"/>
          <w:b/>
          <w:sz w:val="24"/>
          <w:szCs w:val="24"/>
          <w:lang w:eastAsia="en-US"/>
        </w:rPr>
        <w:t>Kalendari i Buxhetit (Buxheti Strategjik, Alokimi, Miratimi)</w:t>
      </w:r>
      <w:bookmarkEnd w:id="192"/>
      <w:bookmarkEnd w:id="193"/>
    </w:p>
    <w:tbl>
      <w:tblPr>
        <w:tblW w:w="9266" w:type="dxa"/>
        <w:tblInd w:w="-48" w:type="dxa"/>
        <w:tblLook w:val="04A0" w:firstRow="1" w:lastRow="0" w:firstColumn="1" w:lastColumn="0" w:noHBand="0" w:noVBand="1"/>
      </w:tblPr>
      <w:tblGrid>
        <w:gridCol w:w="2324"/>
        <w:gridCol w:w="1164"/>
        <w:gridCol w:w="3778"/>
        <w:gridCol w:w="2000"/>
      </w:tblGrid>
      <w:tr w:rsidR="002F4BDF" w:rsidRPr="007114AF" w14:paraId="6EDD1583" w14:textId="77777777" w:rsidTr="003305AE">
        <w:trPr>
          <w:trHeight w:val="479"/>
        </w:trPr>
        <w:tc>
          <w:tcPr>
            <w:tcW w:w="2324" w:type="dxa"/>
            <w:shd w:val="clear" w:color="auto" w:fill="C5E0B3"/>
            <w:vAlign w:val="center"/>
          </w:tcPr>
          <w:p w14:paraId="6EDD157F" w14:textId="77777777" w:rsidR="002F4BDF" w:rsidRPr="007114AF" w:rsidRDefault="002F4BDF" w:rsidP="002F4BDF">
            <w:pPr>
              <w:spacing w:line="240" w:lineRule="auto"/>
              <w:rPr>
                <w:rFonts w:ascii="Garamond" w:hAnsi="Garamond"/>
                <w:b/>
                <w:bCs/>
                <w:sz w:val="20"/>
                <w:szCs w:val="20"/>
                <w:lang w:eastAsia="en-US"/>
              </w:rPr>
            </w:pPr>
            <w:r w:rsidRPr="007114AF">
              <w:rPr>
                <w:rFonts w:ascii="Garamond" w:hAnsi="Garamond"/>
                <w:b/>
                <w:bCs/>
                <w:sz w:val="20"/>
                <w:szCs w:val="20"/>
                <w:lang w:eastAsia="en-US"/>
              </w:rPr>
              <w:t>Fazat</w:t>
            </w:r>
          </w:p>
        </w:tc>
        <w:tc>
          <w:tcPr>
            <w:tcW w:w="1164" w:type="dxa"/>
            <w:shd w:val="clear" w:color="auto" w:fill="C5E0B3"/>
            <w:vAlign w:val="center"/>
          </w:tcPr>
          <w:p w14:paraId="6EDD1580" w14:textId="77777777" w:rsidR="002F4BDF" w:rsidRPr="007114AF" w:rsidRDefault="002F4BDF" w:rsidP="002F4BDF">
            <w:pPr>
              <w:spacing w:after="200"/>
              <w:jc w:val="left"/>
              <w:rPr>
                <w:rFonts w:ascii="Garamond" w:eastAsiaTheme="minorHAnsi" w:hAnsi="Garamond"/>
                <w:sz w:val="20"/>
                <w:szCs w:val="20"/>
                <w:lang w:eastAsia="en-US"/>
              </w:rPr>
            </w:pPr>
            <w:r w:rsidRPr="007114AF">
              <w:rPr>
                <w:rFonts w:ascii="Garamond" w:eastAsiaTheme="minorHAnsi" w:hAnsi="Garamond"/>
                <w:sz w:val="20"/>
                <w:szCs w:val="20"/>
                <w:lang w:eastAsia="en-US"/>
              </w:rPr>
              <w:t>Afatet</w:t>
            </w:r>
          </w:p>
        </w:tc>
        <w:tc>
          <w:tcPr>
            <w:tcW w:w="3778" w:type="dxa"/>
            <w:shd w:val="clear" w:color="auto" w:fill="C5E0B3"/>
            <w:vAlign w:val="center"/>
          </w:tcPr>
          <w:p w14:paraId="6EDD1581" w14:textId="77777777" w:rsidR="002F4BDF" w:rsidRPr="007114AF" w:rsidRDefault="002F4BDF" w:rsidP="002F4BDF">
            <w:pPr>
              <w:spacing w:after="200"/>
              <w:jc w:val="left"/>
              <w:rPr>
                <w:rFonts w:ascii="Garamond" w:eastAsiaTheme="minorHAnsi" w:hAnsi="Garamond"/>
                <w:sz w:val="20"/>
                <w:szCs w:val="20"/>
                <w:lang w:eastAsia="en-US"/>
              </w:rPr>
            </w:pPr>
            <w:r w:rsidRPr="007114AF">
              <w:rPr>
                <w:rFonts w:ascii="Garamond" w:eastAsiaTheme="minorHAnsi" w:hAnsi="Garamond"/>
                <w:sz w:val="20"/>
                <w:szCs w:val="20"/>
                <w:lang w:eastAsia="en-US"/>
              </w:rPr>
              <w:t>Përshkrimi</w:t>
            </w:r>
          </w:p>
        </w:tc>
        <w:tc>
          <w:tcPr>
            <w:tcW w:w="2000" w:type="dxa"/>
            <w:shd w:val="clear" w:color="auto" w:fill="C5E0B3"/>
            <w:vAlign w:val="center"/>
          </w:tcPr>
          <w:p w14:paraId="6EDD1582" w14:textId="77777777" w:rsidR="002F4BDF" w:rsidRPr="007114AF" w:rsidRDefault="002F4BDF" w:rsidP="002F4BDF">
            <w:pPr>
              <w:spacing w:after="200"/>
              <w:jc w:val="left"/>
              <w:rPr>
                <w:rFonts w:ascii="Garamond" w:eastAsiaTheme="minorHAnsi" w:hAnsi="Garamond"/>
                <w:sz w:val="20"/>
                <w:szCs w:val="20"/>
                <w:lang w:eastAsia="en-US"/>
              </w:rPr>
            </w:pPr>
            <w:r w:rsidRPr="007114AF">
              <w:rPr>
                <w:rFonts w:ascii="Garamond" w:eastAsiaTheme="minorHAnsi" w:hAnsi="Garamond"/>
                <w:sz w:val="20"/>
                <w:szCs w:val="20"/>
                <w:lang w:eastAsia="en-US"/>
              </w:rPr>
              <w:t>Institucionet përgjegjëse/drejtuese</w:t>
            </w:r>
          </w:p>
        </w:tc>
      </w:tr>
      <w:tr w:rsidR="002F4BDF" w:rsidRPr="007114AF" w14:paraId="6EDD1588" w14:textId="77777777" w:rsidTr="003305AE">
        <w:trPr>
          <w:trHeight w:val="463"/>
        </w:trPr>
        <w:tc>
          <w:tcPr>
            <w:tcW w:w="2324" w:type="dxa"/>
          </w:tcPr>
          <w:p w14:paraId="6EDD1584" w14:textId="77777777" w:rsidR="002F4BDF" w:rsidRPr="007114AF" w:rsidRDefault="002F4BDF" w:rsidP="002F4BDF">
            <w:pPr>
              <w:spacing w:after="200"/>
              <w:jc w:val="left"/>
              <w:rPr>
                <w:rFonts w:ascii="Garamond" w:eastAsiaTheme="minorHAnsi" w:hAnsi="Garamond"/>
                <w:b/>
                <w:bCs/>
                <w:sz w:val="20"/>
                <w:szCs w:val="20"/>
                <w:lang w:eastAsia="en-US"/>
              </w:rPr>
            </w:pPr>
            <w:r w:rsidRPr="007114AF">
              <w:rPr>
                <w:rFonts w:ascii="Garamond" w:eastAsiaTheme="minorHAnsi" w:hAnsi="Garamond"/>
                <w:b/>
                <w:bCs/>
                <w:sz w:val="20"/>
                <w:szCs w:val="20"/>
                <w:lang w:eastAsia="en-US"/>
              </w:rPr>
              <w:t xml:space="preserve">I.Kuadri makroekonomik, prioriteti dhe përgatitja e tavaneve të </w:t>
            </w:r>
          </w:p>
        </w:tc>
        <w:tc>
          <w:tcPr>
            <w:tcW w:w="1164" w:type="dxa"/>
          </w:tcPr>
          <w:p w14:paraId="6EDD1585" w14:textId="77777777" w:rsidR="002F4BDF" w:rsidRPr="007114AF" w:rsidRDefault="002F4BDF" w:rsidP="002F4BDF">
            <w:pPr>
              <w:spacing w:after="200"/>
              <w:jc w:val="left"/>
              <w:rPr>
                <w:rFonts w:ascii="Garamond" w:eastAsiaTheme="minorHAnsi" w:hAnsi="Garamond"/>
                <w:sz w:val="20"/>
                <w:szCs w:val="20"/>
                <w:lang w:eastAsia="en-US"/>
              </w:rPr>
            </w:pPr>
            <w:r w:rsidRPr="007114AF">
              <w:rPr>
                <w:rFonts w:ascii="Garamond" w:eastAsiaTheme="minorHAnsi" w:hAnsi="Garamond"/>
                <w:sz w:val="20"/>
                <w:szCs w:val="20"/>
                <w:lang w:eastAsia="en-US"/>
              </w:rPr>
              <w:t>Janar</w:t>
            </w:r>
          </w:p>
        </w:tc>
        <w:tc>
          <w:tcPr>
            <w:tcW w:w="3778" w:type="dxa"/>
          </w:tcPr>
          <w:p w14:paraId="6EDD1586" w14:textId="77777777" w:rsidR="002F4BDF" w:rsidRPr="007114AF" w:rsidRDefault="002F4BDF" w:rsidP="002F4BDF">
            <w:pPr>
              <w:spacing w:before="120" w:line="240" w:lineRule="auto"/>
              <w:ind w:hanging="360"/>
              <w:contextualSpacing/>
              <w:rPr>
                <w:rFonts w:ascii="Garamond" w:eastAsia="Times New Roman" w:hAnsi="Garamond" w:cs="Times New Roman"/>
                <w:sz w:val="20"/>
                <w:szCs w:val="20"/>
                <w:lang w:eastAsia="en-US"/>
              </w:rPr>
            </w:pPr>
            <w:r w:rsidRPr="007114AF">
              <w:rPr>
                <w:rFonts w:ascii="Garamond" w:eastAsia="Times New Roman" w:hAnsi="Garamond" w:cs="Times New Roman"/>
                <w:sz w:val="20"/>
                <w:szCs w:val="20"/>
                <w:lang w:eastAsia="en-US"/>
              </w:rPr>
              <w:t xml:space="preserve">Përcaktimi i treguesve makroekonomikë nëpërmjet parashikimit makroekonomik për periudhën 2017-2019. </w:t>
            </w:r>
          </w:p>
        </w:tc>
        <w:tc>
          <w:tcPr>
            <w:tcW w:w="2000" w:type="dxa"/>
          </w:tcPr>
          <w:p w14:paraId="6EDD1587" w14:textId="77777777" w:rsidR="002F4BDF" w:rsidRPr="007114AF" w:rsidRDefault="002F4BDF" w:rsidP="002F4BDF">
            <w:pPr>
              <w:spacing w:after="200"/>
              <w:jc w:val="left"/>
              <w:rPr>
                <w:rFonts w:ascii="Garamond" w:eastAsiaTheme="minorHAnsi" w:hAnsi="Garamond"/>
                <w:sz w:val="20"/>
                <w:szCs w:val="20"/>
                <w:lang w:eastAsia="en-US"/>
              </w:rPr>
            </w:pPr>
            <w:r w:rsidRPr="007114AF">
              <w:rPr>
                <w:rFonts w:ascii="Garamond" w:eastAsiaTheme="minorHAnsi" w:hAnsi="Garamond"/>
                <w:sz w:val="20"/>
                <w:szCs w:val="20"/>
                <w:lang w:eastAsia="en-US"/>
              </w:rPr>
              <w:t>MF</w:t>
            </w:r>
          </w:p>
        </w:tc>
      </w:tr>
      <w:tr w:rsidR="002F4BDF" w:rsidRPr="007114AF" w14:paraId="6EDD158D" w14:textId="77777777" w:rsidTr="003305AE">
        <w:trPr>
          <w:trHeight w:val="705"/>
        </w:trPr>
        <w:tc>
          <w:tcPr>
            <w:tcW w:w="2324" w:type="dxa"/>
            <w:shd w:val="clear" w:color="auto" w:fill="F2F2F2"/>
          </w:tcPr>
          <w:p w14:paraId="6EDD1589" w14:textId="77777777" w:rsidR="002F4BDF" w:rsidRPr="007114AF" w:rsidRDefault="002F4BDF" w:rsidP="002F4BDF">
            <w:pPr>
              <w:spacing w:after="200"/>
              <w:jc w:val="left"/>
              <w:rPr>
                <w:rFonts w:ascii="Garamond" w:eastAsiaTheme="minorHAnsi" w:hAnsi="Garamond"/>
                <w:b/>
                <w:bCs/>
                <w:sz w:val="20"/>
                <w:szCs w:val="20"/>
                <w:lang w:eastAsia="en-US"/>
              </w:rPr>
            </w:pPr>
            <w:r w:rsidRPr="007114AF">
              <w:rPr>
                <w:rFonts w:ascii="Garamond" w:eastAsiaTheme="minorHAnsi" w:hAnsi="Garamond"/>
                <w:b/>
                <w:bCs/>
                <w:sz w:val="20"/>
                <w:szCs w:val="20"/>
                <w:lang w:eastAsia="en-US"/>
              </w:rPr>
              <w:t xml:space="preserve">MTB-ës për çdo institucion të qeverisjes qendrore dhe fondet e posaçme </w:t>
            </w:r>
          </w:p>
        </w:tc>
        <w:tc>
          <w:tcPr>
            <w:tcW w:w="1164" w:type="dxa"/>
            <w:shd w:val="clear" w:color="auto" w:fill="F2F2F2"/>
          </w:tcPr>
          <w:p w14:paraId="6EDD158A" w14:textId="77777777" w:rsidR="002F4BDF" w:rsidRPr="007114AF" w:rsidRDefault="002F4BDF" w:rsidP="002F4BDF">
            <w:pPr>
              <w:spacing w:after="200"/>
              <w:jc w:val="left"/>
              <w:rPr>
                <w:rFonts w:ascii="Garamond" w:eastAsiaTheme="minorHAnsi" w:hAnsi="Garamond"/>
                <w:sz w:val="20"/>
                <w:szCs w:val="20"/>
                <w:lang w:eastAsia="en-US"/>
              </w:rPr>
            </w:pPr>
            <w:r w:rsidRPr="007114AF">
              <w:rPr>
                <w:rFonts w:ascii="Garamond" w:eastAsiaTheme="minorHAnsi" w:hAnsi="Garamond"/>
                <w:sz w:val="20"/>
                <w:szCs w:val="20"/>
                <w:lang w:eastAsia="en-US"/>
              </w:rPr>
              <w:t>Janar</w:t>
            </w:r>
          </w:p>
        </w:tc>
        <w:tc>
          <w:tcPr>
            <w:tcW w:w="3778" w:type="dxa"/>
            <w:shd w:val="clear" w:color="auto" w:fill="F2F2F2"/>
          </w:tcPr>
          <w:p w14:paraId="6EDD158B" w14:textId="77777777" w:rsidR="002F4BDF" w:rsidRPr="007114AF" w:rsidRDefault="002F4BDF" w:rsidP="002F4BDF">
            <w:pPr>
              <w:spacing w:before="120" w:line="240" w:lineRule="auto"/>
              <w:ind w:hanging="360"/>
              <w:contextualSpacing/>
              <w:rPr>
                <w:rFonts w:ascii="Garamond" w:eastAsia="Times New Roman" w:hAnsi="Garamond" w:cs="Times New Roman"/>
                <w:sz w:val="20"/>
                <w:szCs w:val="20"/>
                <w:lang w:eastAsia="en-US"/>
              </w:rPr>
            </w:pPr>
            <w:r w:rsidRPr="007114AF">
              <w:rPr>
                <w:rFonts w:ascii="Garamond" w:eastAsia="Times New Roman" w:hAnsi="Garamond" w:cs="Times New Roman"/>
                <w:sz w:val="20"/>
                <w:szCs w:val="20"/>
                <w:lang w:eastAsia="en-US"/>
              </w:rPr>
              <w:t>Miratimi i Kuadrit Makroekonomik dhe Fiskal për periudhën 2017-2019</w:t>
            </w:r>
          </w:p>
        </w:tc>
        <w:tc>
          <w:tcPr>
            <w:tcW w:w="2000" w:type="dxa"/>
            <w:shd w:val="clear" w:color="auto" w:fill="F2F2F2"/>
          </w:tcPr>
          <w:p w14:paraId="6EDD158C" w14:textId="77777777" w:rsidR="002F4BDF" w:rsidRPr="007114AF" w:rsidRDefault="002F4BDF" w:rsidP="002F4BDF">
            <w:pPr>
              <w:spacing w:after="200"/>
              <w:jc w:val="left"/>
              <w:rPr>
                <w:rFonts w:ascii="Garamond" w:eastAsiaTheme="minorHAnsi" w:hAnsi="Garamond"/>
                <w:sz w:val="20"/>
                <w:szCs w:val="20"/>
                <w:lang w:eastAsia="en-US"/>
              </w:rPr>
            </w:pPr>
            <w:r w:rsidRPr="007114AF">
              <w:rPr>
                <w:rFonts w:ascii="Garamond" w:eastAsiaTheme="minorHAnsi" w:hAnsi="Garamond"/>
                <w:sz w:val="20"/>
                <w:szCs w:val="20"/>
                <w:lang w:eastAsia="en-US"/>
              </w:rPr>
              <w:t>KM</w:t>
            </w:r>
          </w:p>
        </w:tc>
      </w:tr>
      <w:tr w:rsidR="002F4BDF" w:rsidRPr="007114AF" w14:paraId="6EDD1592" w14:textId="77777777" w:rsidTr="003305AE">
        <w:trPr>
          <w:trHeight w:val="688"/>
        </w:trPr>
        <w:tc>
          <w:tcPr>
            <w:tcW w:w="2324" w:type="dxa"/>
          </w:tcPr>
          <w:p w14:paraId="6EDD158E" w14:textId="77777777" w:rsidR="002F4BDF" w:rsidRPr="007114AF" w:rsidRDefault="002F4BDF" w:rsidP="002F4BDF">
            <w:pPr>
              <w:spacing w:after="200"/>
              <w:jc w:val="left"/>
              <w:rPr>
                <w:rFonts w:ascii="Garamond" w:eastAsiaTheme="minorHAnsi" w:hAnsi="Garamond"/>
                <w:b/>
                <w:bCs/>
                <w:sz w:val="20"/>
                <w:szCs w:val="20"/>
                <w:lang w:eastAsia="en-US"/>
              </w:rPr>
            </w:pPr>
          </w:p>
        </w:tc>
        <w:tc>
          <w:tcPr>
            <w:tcW w:w="1164" w:type="dxa"/>
          </w:tcPr>
          <w:p w14:paraId="6EDD158F" w14:textId="77777777" w:rsidR="002F4BDF" w:rsidRPr="007114AF" w:rsidRDefault="002F4BDF" w:rsidP="002F4BDF">
            <w:pPr>
              <w:spacing w:after="200"/>
              <w:jc w:val="left"/>
              <w:rPr>
                <w:rFonts w:ascii="Garamond" w:eastAsiaTheme="minorHAnsi" w:hAnsi="Garamond"/>
                <w:sz w:val="20"/>
                <w:szCs w:val="20"/>
                <w:lang w:eastAsia="en-US"/>
              </w:rPr>
            </w:pPr>
            <w:r w:rsidRPr="007114AF">
              <w:rPr>
                <w:rFonts w:ascii="Garamond" w:eastAsiaTheme="minorHAnsi" w:hAnsi="Garamond"/>
                <w:sz w:val="20"/>
                <w:szCs w:val="20"/>
                <w:lang w:eastAsia="en-US"/>
              </w:rPr>
              <w:t>Shkurt</w:t>
            </w:r>
          </w:p>
        </w:tc>
        <w:tc>
          <w:tcPr>
            <w:tcW w:w="3778" w:type="dxa"/>
          </w:tcPr>
          <w:p w14:paraId="6EDD1590" w14:textId="77777777" w:rsidR="002F4BDF" w:rsidRPr="007114AF" w:rsidRDefault="002F4BDF" w:rsidP="002F4BDF">
            <w:pPr>
              <w:spacing w:before="120" w:line="240" w:lineRule="auto"/>
              <w:ind w:hanging="360"/>
              <w:contextualSpacing/>
              <w:rPr>
                <w:rFonts w:ascii="Garamond" w:eastAsia="Times New Roman" w:hAnsi="Garamond" w:cs="Times New Roman"/>
                <w:sz w:val="20"/>
                <w:szCs w:val="20"/>
                <w:lang w:eastAsia="en-US"/>
              </w:rPr>
            </w:pPr>
            <w:r w:rsidRPr="007114AF">
              <w:rPr>
                <w:rFonts w:ascii="Garamond" w:eastAsia="Times New Roman" w:hAnsi="Garamond" w:cs="Times New Roman"/>
                <w:sz w:val="20"/>
                <w:szCs w:val="20"/>
                <w:lang w:eastAsia="en-US"/>
              </w:rPr>
              <w:t xml:space="preserve">Identifikimi i prioriteteve të politikave me ndikim të konsiderueshëm tek shpenzimet dhe të ardhurat (paga, transferta lokale, programe të reja, projekte kryesore të investimit publik) </w:t>
            </w:r>
          </w:p>
        </w:tc>
        <w:tc>
          <w:tcPr>
            <w:tcW w:w="2000" w:type="dxa"/>
          </w:tcPr>
          <w:p w14:paraId="6EDD1591" w14:textId="2373D102" w:rsidR="002F4BDF" w:rsidRPr="007114AF" w:rsidRDefault="002F4BDF" w:rsidP="002F4BDF">
            <w:pPr>
              <w:spacing w:after="200"/>
              <w:jc w:val="left"/>
              <w:rPr>
                <w:rFonts w:ascii="Garamond" w:eastAsiaTheme="minorHAnsi" w:hAnsi="Garamond"/>
                <w:sz w:val="20"/>
                <w:szCs w:val="20"/>
                <w:lang w:eastAsia="en-US"/>
              </w:rPr>
            </w:pPr>
            <w:r w:rsidRPr="007114AF">
              <w:rPr>
                <w:rFonts w:ascii="Garamond" w:eastAsiaTheme="minorHAnsi" w:hAnsi="Garamond"/>
                <w:sz w:val="20"/>
                <w:szCs w:val="20"/>
                <w:lang w:eastAsia="en-US"/>
              </w:rPr>
              <w:t>MF, DZHFNH</w:t>
            </w:r>
            <w:r w:rsidR="000A2A01" w:rsidRPr="007114AF">
              <w:rPr>
                <w:rFonts w:ascii="Garamond" w:eastAsiaTheme="minorHAnsi" w:hAnsi="Garamond"/>
                <w:sz w:val="20"/>
                <w:szCs w:val="20"/>
                <w:lang w:eastAsia="en-US"/>
              </w:rPr>
              <w:t xml:space="preserve"> </w:t>
            </w:r>
            <w:r w:rsidRPr="007114AF">
              <w:rPr>
                <w:rFonts w:ascii="Garamond" w:eastAsiaTheme="minorHAnsi" w:hAnsi="Garamond"/>
                <w:sz w:val="20"/>
                <w:szCs w:val="20"/>
                <w:lang w:eastAsia="en-US"/>
              </w:rPr>
              <w:t xml:space="preserve">pranë </w:t>
            </w:r>
            <w:r w:rsidRPr="007114AF">
              <w:rPr>
                <w:rFonts w:ascii="Garamond" w:eastAsiaTheme="minorHAnsi" w:hAnsi="Garamond"/>
                <w:color w:val="000000"/>
                <w:sz w:val="20"/>
                <w:szCs w:val="20"/>
                <w:lang w:eastAsia="en-US"/>
              </w:rPr>
              <w:t>ZKM</w:t>
            </w:r>
            <w:r w:rsidR="003F649E" w:rsidRPr="007114AF">
              <w:rPr>
                <w:rFonts w:ascii="Garamond" w:eastAsiaTheme="minorHAnsi" w:hAnsi="Garamond"/>
                <w:color w:val="000000"/>
                <w:sz w:val="20"/>
                <w:szCs w:val="20"/>
                <w:lang w:eastAsia="en-US"/>
              </w:rPr>
              <w:t>,</w:t>
            </w:r>
            <w:r w:rsidRPr="007114AF">
              <w:rPr>
                <w:rFonts w:ascii="Garamond" w:eastAsiaTheme="minorHAnsi" w:hAnsi="Garamond"/>
                <w:sz w:val="20"/>
                <w:szCs w:val="20"/>
                <w:lang w:eastAsia="en-US"/>
              </w:rPr>
              <w:t xml:space="preserve"> </w:t>
            </w:r>
            <w:r w:rsidRPr="007114AF">
              <w:rPr>
                <w:rFonts w:ascii="Garamond" w:eastAsiaTheme="minorHAnsi" w:hAnsi="Garamond"/>
                <w:color w:val="000000"/>
                <w:sz w:val="20"/>
                <w:szCs w:val="20"/>
                <w:lang w:eastAsia="en-US"/>
              </w:rPr>
              <w:t xml:space="preserve">MIE </w:t>
            </w:r>
          </w:p>
        </w:tc>
      </w:tr>
      <w:tr w:rsidR="002F4BDF" w:rsidRPr="007114AF" w14:paraId="6EDD1597" w14:textId="77777777" w:rsidTr="003305AE">
        <w:trPr>
          <w:trHeight w:val="237"/>
        </w:trPr>
        <w:tc>
          <w:tcPr>
            <w:tcW w:w="2324" w:type="dxa"/>
            <w:shd w:val="clear" w:color="auto" w:fill="F2F2F2"/>
          </w:tcPr>
          <w:p w14:paraId="6EDD1593" w14:textId="77777777" w:rsidR="002F4BDF" w:rsidRPr="007114AF" w:rsidRDefault="002F4BDF" w:rsidP="002F4BDF">
            <w:pPr>
              <w:spacing w:after="200"/>
              <w:jc w:val="left"/>
              <w:rPr>
                <w:rFonts w:ascii="Garamond" w:eastAsiaTheme="minorHAnsi" w:hAnsi="Garamond"/>
                <w:b/>
                <w:bCs/>
                <w:sz w:val="20"/>
                <w:szCs w:val="20"/>
                <w:lang w:eastAsia="en-US"/>
              </w:rPr>
            </w:pPr>
          </w:p>
        </w:tc>
        <w:tc>
          <w:tcPr>
            <w:tcW w:w="1164" w:type="dxa"/>
            <w:shd w:val="clear" w:color="auto" w:fill="F2F2F2"/>
          </w:tcPr>
          <w:p w14:paraId="6EDD1594" w14:textId="77777777" w:rsidR="002F4BDF" w:rsidRPr="007114AF" w:rsidRDefault="002F4BDF" w:rsidP="002F4BDF">
            <w:pPr>
              <w:spacing w:after="200"/>
              <w:jc w:val="left"/>
              <w:rPr>
                <w:rFonts w:ascii="Garamond" w:eastAsiaTheme="minorHAnsi" w:hAnsi="Garamond"/>
                <w:sz w:val="20"/>
                <w:szCs w:val="20"/>
                <w:lang w:eastAsia="en-US"/>
              </w:rPr>
            </w:pPr>
            <w:r w:rsidRPr="007114AF">
              <w:rPr>
                <w:rFonts w:ascii="Garamond" w:eastAsiaTheme="minorHAnsi" w:hAnsi="Garamond"/>
                <w:sz w:val="20"/>
                <w:szCs w:val="20"/>
                <w:lang w:eastAsia="en-US"/>
              </w:rPr>
              <w:t>Shkurt</w:t>
            </w:r>
          </w:p>
        </w:tc>
        <w:tc>
          <w:tcPr>
            <w:tcW w:w="3778" w:type="dxa"/>
            <w:shd w:val="clear" w:color="auto" w:fill="F2F2F2"/>
          </w:tcPr>
          <w:p w14:paraId="6EDD1595" w14:textId="77777777" w:rsidR="002F4BDF" w:rsidRPr="007114AF" w:rsidRDefault="002F4BDF" w:rsidP="002F4BDF">
            <w:pPr>
              <w:spacing w:before="120" w:line="240" w:lineRule="auto"/>
              <w:ind w:hanging="360"/>
              <w:contextualSpacing/>
              <w:rPr>
                <w:rFonts w:ascii="Garamond" w:eastAsia="Times New Roman" w:hAnsi="Garamond" w:cs="Times New Roman"/>
                <w:sz w:val="20"/>
                <w:szCs w:val="20"/>
                <w:lang w:eastAsia="en-US"/>
              </w:rPr>
            </w:pPr>
            <w:r w:rsidRPr="007114AF">
              <w:rPr>
                <w:rFonts w:ascii="Garamond" w:eastAsia="Times New Roman" w:hAnsi="Garamond" w:cs="Times New Roman"/>
                <w:sz w:val="20"/>
                <w:szCs w:val="20"/>
                <w:lang w:eastAsia="en-US"/>
              </w:rPr>
              <w:t xml:space="preserve">Paraqitja e tavaneve përgatitore të PBAM (MTBP) </w:t>
            </w:r>
          </w:p>
        </w:tc>
        <w:tc>
          <w:tcPr>
            <w:tcW w:w="2000" w:type="dxa"/>
            <w:shd w:val="clear" w:color="auto" w:fill="F2F2F2"/>
          </w:tcPr>
          <w:p w14:paraId="6EDD1596" w14:textId="77777777" w:rsidR="002F4BDF" w:rsidRPr="007114AF" w:rsidRDefault="002F4BDF" w:rsidP="002F4BDF">
            <w:pPr>
              <w:spacing w:after="200"/>
              <w:jc w:val="left"/>
              <w:rPr>
                <w:rFonts w:ascii="Garamond" w:eastAsiaTheme="minorHAnsi" w:hAnsi="Garamond"/>
                <w:sz w:val="20"/>
                <w:szCs w:val="20"/>
                <w:lang w:eastAsia="en-US"/>
              </w:rPr>
            </w:pPr>
            <w:r w:rsidRPr="007114AF">
              <w:rPr>
                <w:rFonts w:ascii="Garamond" w:eastAsiaTheme="minorHAnsi" w:hAnsi="Garamond"/>
                <w:sz w:val="20"/>
                <w:szCs w:val="20"/>
                <w:lang w:eastAsia="en-US"/>
              </w:rPr>
              <w:t xml:space="preserve">MF </w:t>
            </w:r>
          </w:p>
        </w:tc>
      </w:tr>
      <w:tr w:rsidR="002F4BDF" w:rsidRPr="007114AF" w14:paraId="6EDD159C" w14:textId="77777777" w:rsidTr="003305AE">
        <w:trPr>
          <w:trHeight w:val="463"/>
        </w:trPr>
        <w:tc>
          <w:tcPr>
            <w:tcW w:w="2324" w:type="dxa"/>
          </w:tcPr>
          <w:p w14:paraId="6EDD1598" w14:textId="77777777" w:rsidR="002F4BDF" w:rsidRPr="007114AF" w:rsidRDefault="002F4BDF" w:rsidP="002F4BDF">
            <w:pPr>
              <w:spacing w:after="200"/>
              <w:jc w:val="left"/>
              <w:rPr>
                <w:rFonts w:ascii="Garamond" w:eastAsiaTheme="minorHAnsi" w:hAnsi="Garamond"/>
                <w:b/>
                <w:bCs/>
                <w:sz w:val="20"/>
                <w:szCs w:val="20"/>
                <w:lang w:eastAsia="en-US"/>
              </w:rPr>
            </w:pPr>
          </w:p>
        </w:tc>
        <w:tc>
          <w:tcPr>
            <w:tcW w:w="1164" w:type="dxa"/>
          </w:tcPr>
          <w:p w14:paraId="6EDD1599" w14:textId="77777777" w:rsidR="002F4BDF" w:rsidRPr="007114AF" w:rsidRDefault="002F4BDF" w:rsidP="002F4BDF">
            <w:pPr>
              <w:spacing w:after="200"/>
              <w:jc w:val="left"/>
              <w:rPr>
                <w:rFonts w:ascii="Garamond" w:eastAsiaTheme="minorHAnsi" w:hAnsi="Garamond"/>
                <w:sz w:val="20"/>
                <w:szCs w:val="20"/>
                <w:lang w:eastAsia="en-US"/>
              </w:rPr>
            </w:pPr>
            <w:r w:rsidRPr="007114AF">
              <w:rPr>
                <w:rFonts w:ascii="Garamond" w:eastAsiaTheme="minorHAnsi" w:hAnsi="Garamond"/>
                <w:sz w:val="20"/>
                <w:szCs w:val="20"/>
                <w:lang w:eastAsia="en-US"/>
              </w:rPr>
              <w:t>Shkurt</w:t>
            </w:r>
          </w:p>
        </w:tc>
        <w:tc>
          <w:tcPr>
            <w:tcW w:w="3778" w:type="dxa"/>
          </w:tcPr>
          <w:p w14:paraId="6EDD159A" w14:textId="77777777" w:rsidR="002F4BDF" w:rsidRPr="007114AF" w:rsidRDefault="002F4BDF" w:rsidP="002F4BDF">
            <w:pPr>
              <w:spacing w:before="120" w:line="240" w:lineRule="auto"/>
              <w:ind w:hanging="360"/>
              <w:contextualSpacing/>
              <w:rPr>
                <w:rFonts w:ascii="Garamond" w:eastAsia="Times New Roman" w:hAnsi="Garamond" w:cs="Times New Roman"/>
                <w:sz w:val="20"/>
                <w:szCs w:val="20"/>
                <w:lang w:eastAsia="en-US"/>
              </w:rPr>
            </w:pPr>
            <w:r w:rsidRPr="007114AF">
              <w:rPr>
                <w:rFonts w:ascii="Garamond" w:eastAsia="Times New Roman" w:hAnsi="Garamond" w:cs="Times New Roman"/>
                <w:sz w:val="20"/>
                <w:szCs w:val="20"/>
                <w:lang w:eastAsia="en-US"/>
              </w:rPr>
              <w:t>Përcaktimi i tavaneve përgatitore të PBAM (MTBP) për periudhën 2017-2019 dhe informimi i Parlamentit</w:t>
            </w:r>
          </w:p>
        </w:tc>
        <w:tc>
          <w:tcPr>
            <w:tcW w:w="2000" w:type="dxa"/>
          </w:tcPr>
          <w:p w14:paraId="6EDD159B" w14:textId="77777777" w:rsidR="002F4BDF" w:rsidRPr="007114AF" w:rsidRDefault="002F4BDF" w:rsidP="002F4BDF">
            <w:pPr>
              <w:spacing w:after="200"/>
              <w:jc w:val="left"/>
              <w:rPr>
                <w:rFonts w:ascii="Garamond" w:eastAsiaTheme="minorHAnsi" w:hAnsi="Garamond"/>
                <w:sz w:val="20"/>
                <w:szCs w:val="20"/>
                <w:lang w:eastAsia="en-US"/>
              </w:rPr>
            </w:pPr>
            <w:r w:rsidRPr="007114AF">
              <w:rPr>
                <w:rFonts w:ascii="Garamond" w:eastAsiaTheme="minorHAnsi" w:hAnsi="Garamond"/>
                <w:sz w:val="20"/>
                <w:szCs w:val="20"/>
                <w:lang w:eastAsia="en-US"/>
              </w:rPr>
              <w:t>KM</w:t>
            </w:r>
          </w:p>
        </w:tc>
      </w:tr>
      <w:tr w:rsidR="002F4BDF" w:rsidRPr="007114AF" w14:paraId="6EDD15A1" w14:textId="77777777" w:rsidTr="003305AE">
        <w:trPr>
          <w:trHeight w:val="463"/>
        </w:trPr>
        <w:tc>
          <w:tcPr>
            <w:tcW w:w="2324" w:type="dxa"/>
            <w:shd w:val="clear" w:color="auto" w:fill="F2F2F2"/>
          </w:tcPr>
          <w:p w14:paraId="6EDD159D" w14:textId="77777777" w:rsidR="002F4BDF" w:rsidRPr="007114AF" w:rsidRDefault="002F4BDF" w:rsidP="002F4BDF">
            <w:pPr>
              <w:spacing w:after="200"/>
              <w:jc w:val="left"/>
              <w:rPr>
                <w:rFonts w:ascii="Garamond" w:eastAsiaTheme="minorHAnsi" w:hAnsi="Garamond"/>
                <w:b/>
                <w:bCs/>
                <w:sz w:val="20"/>
                <w:szCs w:val="20"/>
                <w:lang w:eastAsia="en-US"/>
              </w:rPr>
            </w:pPr>
          </w:p>
        </w:tc>
        <w:tc>
          <w:tcPr>
            <w:tcW w:w="1164" w:type="dxa"/>
            <w:shd w:val="clear" w:color="auto" w:fill="F2F2F2"/>
          </w:tcPr>
          <w:p w14:paraId="6EDD159E" w14:textId="77777777" w:rsidR="002F4BDF" w:rsidRPr="007114AF" w:rsidRDefault="002F4BDF" w:rsidP="002F4BDF">
            <w:pPr>
              <w:spacing w:after="200"/>
              <w:jc w:val="left"/>
              <w:rPr>
                <w:rFonts w:ascii="Garamond" w:eastAsiaTheme="minorHAnsi" w:hAnsi="Garamond"/>
                <w:sz w:val="20"/>
                <w:szCs w:val="20"/>
                <w:lang w:eastAsia="en-US"/>
              </w:rPr>
            </w:pPr>
            <w:r w:rsidRPr="007114AF">
              <w:rPr>
                <w:rFonts w:ascii="Garamond" w:eastAsiaTheme="minorHAnsi" w:hAnsi="Garamond"/>
                <w:sz w:val="20"/>
                <w:szCs w:val="20"/>
                <w:lang w:eastAsia="en-US"/>
              </w:rPr>
              <w:t>Shkurt</w:t>
            </w:r>
          </w:p>
        </w:tc>
        <w:tc>
          <w:tcPr>
            <w:tcW w:w="3778" w:type="dxa"/>
            <w:shd w:val="clear" w:color="auto" w:fill="F2F2F2"/>
          </w:tcPr>
          <w:p w14:paraId="6EDD159F" w14:textId="77777777" w:rsidR="002F4BDF" w:rsidRPr="007114AF" w:rsidRDefault="002F4BDF" w:rsidP="002F4BDF">
            <w:pPr>
              <w:spacing w:before="120" w:line="240" w:lineRule="auto"/>
              <w:ind w:hanging="360"/>
              <w:contextualSpacing/>
              <w:rPr>
                <w:rFonts w:ascii="Garamond" w:eastAsia="Times New Roman" w:hAnsi="Garamond" w:cs="Times New Roman"/>
                <w:sz w:val="20"/>
                <w:szCs w:val="20"/>
                <w:lang w:eastAsia="en-US"/>
              </w:rPr>
            </w:pPr>
            <w:r w:rsidRPr="007114AF">
              <w:rPr>
                <w:rFonts w:ascii="Garamond" w:eastAsia="Times New Roman" w:hAnsi="Garamond" w:cs="Times New Roman"/>
                <w:sz w:val="20"/>
                <w:szCs w:val="20"/>
                <w:lang w:eastAsia="en-US"/>
              </w:rPr>
              <w:t>Përgatitja e Udhëzimeve për Përgatitjen e PBAM (MTBP) për Qeverinë Qendrore dhe Vendore.</w:t>
            </w:r>
          </w:p>
        </w:tc>
        <w:tc>
          <w:tcPr>
            <w:tcW w:w="2000" w:type="dxa"/>
            <w:shd w:val="clear" w:color="auto" w:fill="F2F2F2"/>
          </w:tcPr>
          <w:p w14:paraId="6EDD15A0" w14:textId="77777777" w:rsidR="002F4BDF" w:rsidRPr="007114AF" w:rsidRDefault="002F4BDF" w:rsidP="002F4BDF">
            <w:pPr>
              <w:spacing w:after="200"/>
              <w:jc w:val="left"/>
              <w:rPr>
                <w:rFonts w:ascii="Garamond" w:eastAsiaTheme="minorHAnsi" w:hAnsi="Garamond"/>
                <w:sz w:val="20"/>
                <w:szCs w:val="20"/>
                <w:lang w:eastAsia="en-US"/>
              </w:rPr>
            </w:pPr>
            <w:r w:rsidRPr="007114AF">
              <w:rPr>
                <w:rFonts w:ascii="Garamond" w:eastAsiaTheme="minorHAnsi" w:hAnsi="Garamond"/>
                <w:sz w:val="20"/>
                <w:szCs w:val="20"/>
                <w:lang w:eastAsia="en-US"/>
              </w:rPr>
              <w:t xml:space="preserve">MF </w:t>
            </w:r>
          </w:p>
        </w:tc>
      </w:tr>
      <w:tr w:rsidR="002F4BDF" w:rsidRPr="007114AF" w14:paraId="6EDD15A5" w14:textId="77777777" w:rsidTr="003305AE">
        <w:trPr>
          <w:trHeight w:val="237"/>
        </w:trPr>
        <w:tc>
          <w:tcPr>
            <w:tcW w:w="2324" w:type="dxa"/>
          </w:tcPr>
          <w:p w14:paraId="6EDD15A2" w14:textId="77777777" w:rsidR="002F4BDF" w:rsidRPr="007114AF" w:rsidRDefault="002F4BDF" w:rsidP="002F4BDF">
            <w:pPr>
              <w:spacing w:after="200"/>
              <w:jc w:val="left"/>
              <w:rPr>
                <w:rFonts w:ascii="Garamond" w:eastAsiaTheme="minorHAnsi" w:hAnsi="Garamond"/>
                <w:b/>
                <w:bCs/>
                <w:sz w:val="20"/>
                <w:szCs w:val="20"/>
                <w:lang w:eastAsia="en-US"/>
              </w:rPr>
            </w:pPr>
          </w:p>
        </w:tc>
        <w:tc>
          <w:tcPr>
            <w:tcW w:w="4942" w:type="dxa"/>
            <w:gridSpan w:val="2"/>
          </w:tcPr>
          <w:p w14:paraId="6EDD15A3" w14:textId="77777777" w:rsidR="002F4BDF" w:rsidRPr="007114AF" w:rsidRDefault="002F4BDF" w:rsidP="002F4BDF">
            <w:pPr>
              <w:spacing w:after="200"/>
              <w:jc w:val="left"/>
              <w:rPr>
                <w:rFonts w:ascii="Garamond" w:eastAsiaTheme="minorHAnsi" w:hAnsi="Garamond"/>
                <w:sz w:val="20"/>
                <w:szCs w:val="20"/>
                <w:lang w:eastAsia="en-US"/>
              </w:rPr>
            </w:pPr>
          </w:p>
        </w:tc>
        <w:tc>
          <w:tcPr>
            <w:tcW w:w="2000" w:type="dxa"/>
          </w:tcPr>
          <w:p w14:paraId="6EDD15A4" w14:textId="77777777" w:rsidR="002F4BDF" w:rsidRPr="007114AF" w:rsidRDefault="002F4BDF" w:rsidP="002F4BDF">
            <w:pPr>
              <w:spacing w:after="200"/>
              <w:jc w:val="left"/>
              <w:rPr>
                <w:rFonts w:ascii="Garamond" w:eastAsiaTheme="minorHAnsi" w:hAnsi="Garamond"/>
                <w:sz w:val="20"/>
                <w:szCs w:val="20"/>
                <w:lang w:eastAsia="en-US"/>
              </w:rPr>
            </w:pPr>
          </w:p>
        </w:tc>
      </w:tr>
      <w:tr w:rsidR="002F4BDF" w:rsidRPr="007114AF" w14:paraId="6EDD15AD" w14:textId="77777777" w:rsidTr="003305AE">
        <w:trPr>
          <w:trHeight w:val="930"/>
        </w:trPr>
        <w:tc>
          <w:tcPr>
            <w:tcW w:w="2324" w:type="dxa"/>
            <w:shd w:val="clear" w:color="auto" w:fill="F2F2F2"/>
          </w:tcPr>
          <w:p w14:paraId="6EDD15A6" w14:textId="77777777" w:rsidR="002F4BDF" w:rsidRPr="007114AF" w:rsidRDefault="002F4BDF" w:rsidP="002F4BDF">
            <w:pPr>
              <w:spacing w:after="200"/>
              <w:jc w:val="left"/>
              <w:rPr>
                <w:rFonts w:ascii="Garamond" w:eastAsiaTheme="minorHAnsi" w:hAnsi="Garamond"/>
                <w:b/>
                <w:bCs/>
                <w:sz w:val="20"/>
                <w:szCs w:val="20"/>
                <w:lang w:eastAsia="en-US"/>
              </w:rPr>
            </w:pPr>
            <w:r w:rsidRPr="007114AF">
              <w:rPr>
                <w:rFonts w:ascii="Garamond" w:eastAsiaTheme="minorHAnsi" w:hAnsi="Garamond"/>
                <w:b/>
                <w:bCs/>
                <w:sz w:val="20"/>
                <w:szCs w:val="20"/>
                <w:lang w:eastAsia="en-US"/>
              </w:rPr>
              <w:t>II. Rishikimi i Politikave të Programeve</w:t>
            </w:r>
          </w:p>
          <w:p w14:paraId="6EDD15A7" w14:textId="77777777" w:rsidR="002F4BDF" w:rsidRPr="007114AF" w:rsidRDefault="002F4BDF" w:rsidP="002F4BDF">
            <w:pPr>
              <w:spacing w:after="200"/>
              <w:jc w:val="left"/>
              <w:rPr>
                <w:rFonts w:ascii="Garamond" w:eastAsiaTheme="minorHAnsi" w:hAnsi="Garamond"/>
                <w:b/>
                <w:bCs/>
                <w:sz w:val="20"/>
                <w:szCs w:val="20"/>
                <w:lang w:eastAsia="en-US"/>
              </w:rPr>
            </w:pPr>
          </w:p>
          <w:p w14:paraId="6EDD15A8" w14:textId="77777777" w:rsidR="002F4BDF" w:rsidRPr="007114AF" w:rsidRDefault="002F4BDF" w:rsidP="002F4BDF">
            <w:pPr>
              <w:spacing w:after="200"/>
              <w:jc w:val="left"/>
              <w:rPr>
                <w:rFonts w:ascii="Garamond" w:eastAsiaTheme="minorHAnsi" w:hAnsi="Garamond"/>
                <w:b/>
                <w:bCs/>
                <w:sz w:val="20"/>
                <w:szCs w:val="20"/>
                <w:lang w:eastAsia="en-US"/>
              </w:rPr>
            </w:pPr>
            <w:r w:rsidRPr="007114AF">
              <w:rPr>
                <w:rFonts w:ascii="Garamond" w:eastAsiaTheme="minorHAnsi" w:hAnsi="Garamond"/>
                <w:b/>
                <w:bCs/>
                <w:sz w:val="20"/>
                <w:szCs w:val="20"/>
                <w:lang w:eastAsia="en-US"/>
              </w:rPr>
              <w:t>III. Planifikimi i Shpenzimeve dhe Investimeve për secilin Program</w:t>
            </w:r>
          </w:p>
        </w:tc>
        <w:tc>
          <w:tcPr>
            <w:tcW w:w="1164" w:type="dxa"/>
            <w:shd w:val="clear" w:color="auto" w:fill="F2F2F2"/>
          </w:tcPr>
          <w:p w14:paraId="6EDD15A9" w14:textId="77777777" w:rsidR="002F4BDF" w:rsidRPr="007114AF" w:rsidRDefault="002F4BDF" w:rsidP="002F4BDF">
            <w:pPr>
              <w:spacing w:after="0" w:line="240" w:lineRule="auto"/>
              <w:rPr>
                <w:rFonts w:ascii="Garamond" w:eastAsia="Calibri" w:hAnsi="Garamond" w:cs="Arial"/>
                <w:sz w:val="20"/>
                <w:szCs w:val="20"/>
                <w:lang w:eastAsia="en-US"/>
              </w:rPr>
            </w:pPr>
            <w:r w:rsidRPr="007114AF">
              <w:rPr>
                <w:rFonts w:ascii="Garamond" w:eastAsia="Calibri" w:hAnsi="Garamond" w:cs="Arial"/>
                <w:sz w:val="20"/>
                <w:szCs w:val="20"/>
                <w:lang w:eastAsia="en-US"/>
              </w:rPr>
              <w:t>Mars- prill</w:t>
            </w:r>
          </w:p>
        </w:tc>
        <w:tc>
          <w:tcPr>
            <w:tcW w:w="3778" w:type="dxa"/>
            <w:shd w:val="clear" w:color="auto" w:fill="F2F2F2"/>
          </w:tcPr>
          <w:p w14:paraId="6EDD15AA" w14:textId="77777777" w:rsidR="002F4BDF" w:rsidRPr="007114AF" w:rsidRDefault="002F4BDF" w:rsidP="002F4BDF">
            <w:pPr>
              <w:spacing w:before="120" w:line="240" w:lineRule="auto"/>
              <w:ind w:hanging="360"/>
              <w:contextualSpacing/>
              <w:rPr>
                <w:rFonts w:ascii="Garamond" w:eastAsia="Times New Roman" w:hAnsi="Garamond" w:cs="Times New Roman"/>
                <w:sz w:val="20"/>
                <w:szCs w:val="20"/>
                <w:lang w:eastAsia="en-US"/>
              </w:rPr>
            </w:pPr>
            <w:r w:rsidRPr="007114AF">
              <w:rPr>
                <w:rFonts w:ascii="Garamond" w:eastAsia="Times New Roman" w:hAnsi="Garamond" w:cs="Times New Roman"/>
                <w:sz w:val="20"/>
                <w:szCs w:val="20"/>
                <w:lang w:eastAsia="en-US"/>
              </w:rPr>
              <w:t xml:space="preserve">Përcaktimi i politikave për secilin program dhe identifikimi i qëllimeve dhe objektivave të programit </w:t>
            </w:r>
          </w:p>
          <w:p w14:paraId="6EDD15AB" w14:textId="77777777" w:rsidR="002F4BDF" w:rsidRPr="007114AF" w:rsidRDefault="002F4BDF" w:rsidP="002F4BDF">
            <w:pPr>
              <w:spacing w:before="120" w:line="240" w:lineRule="auto"/>
              <w:ind w:hanging="360"/>
              <w:contextualSpacing/>
              <w:rPr>
                <w:rFonts w:ascii="Garamond" w:eastAsia="Times New Roman" w:hAnsi="Garamond" w:cs="Times New Roman"/>
                <w:sz w:val="20"/>
                <w:szCs w:val="20"/>
                <w:lang w:eastAsia="en-US"/>
              </w:rPr>
            </w:pPr>
            <w:r w:rsidRPr="007114AF">
              <w:rPr>
                <w:rFonts w:ascii="Garamond" w:eastAsia="Times New Roman" w:hAnsi="Garamond" w:cs="Times New Roman"/>
                <w:sz w:val="20"/>
                <w:szCs w:val="20"/>
                <w:lang w:eastAsia="en-US"/>
              </w:rPr>
              <w:t xml:space="preserve">Përgatitja e Kërkesave të Buxhetit dhe paraqitja pranë MF </w:t>
            </w:r>
          </w:p>
        </w:tc>
        <w:tc>
          <w:tcPr>
            <w:tcW w:w="2000" w:type="dxa"/>
            <w:shd w:val="clear" w:color="auto" w:fill="F2F2F2"/>
          </w:tcPr>
          <w:p w14:paraId="6EDD15AC" w14:textId="3AA48054" w:rsidR="002F4BDF" w:rsidRPr="007114AF" w:rsidRDefault="002F4BDF" w:rsidP="002F4BDF">
            <w:pPr>
              <w:spacing w:after="200"/>
              <w:jc w:val="left"/>
              <w:rPr>
                <w:rFonts w:ascii="Garamond" w:eastAsiaTheme="minorHAnsi" w:hAnsi="Garamond"/>
                <w:sz w:val="20"/>
                <w:szCs w:val="20"/>
                <w:lang w:eastAsia="en-US"/>
              </w:rPr>
            </w:pPr>
            <w:r w:rsidRPr="007114AF">
              <w:rPr>
                <w:rFonts w:ascii="Garamond" w:eastAsiaTheme="minorHAnsi" w:hAnsi="Garamond"/>
                <w:sz w:val="20"/>
                <w:szCs w:val="20"/>
                <w:lang w:eastAsia="en-US"/>
              </w:rPr>
              <w:t>Çdo Institucion Qeveritar Qendror dhe</w:t>
            </w:r>
            <w:r w:rsidR="000A2A01" w:rsidRPr="007114AF">
              <w:rPr>
                <w:rFonts w:ascii="Garamond" w:eastAsiaTheme="minorHAnsi" w:hAnsi="Garamond"/>
                <w:sz w:val="20"/>
                <w:szCs w:val="20"/>
                <w:lang w:eastAsia="en-US"/>
              </w:rPr>
              <w:t xml:space="preserve"> </w:t>
            </w:r>
            <w:r w:rsidRPr="007114AF">
              <w:rPr>
                <w:rFonts w:ascii="Garamond" w:eastAsiaTheme="minorHAnsi" w:hAnsi="Garamond"/>
                <w:sz w:val="20"/>
                <w:szCs w:val="20"/>
                <w:lang w:eastAsia="en-US"/>
              </w:rPr>
              <w:t>Fondi i Posaçëm</w:t>
            </w:r>
          </w:p>
        </w:tc>
      </w:tr>
      <w:tr w:rsidR="002F4BDF" w:rsidRPr="007114AF" w14:paraId="6EDD15B2" w14:textId="77777777" w:rsidTr="003305AE">
        <w:trPr>
          <w:trHeight w:val="463"/>
        </w:trPr>
        <w:tc>
          <w:tcPr>
            <w:tcW w:w="2324" w:type="dxa"/>
          </w:tcPr>
          <w:p w14:paraId="6EDD15AE" w14:textId="77777777" w:rsidR="002F4BDF" w:rsidRPr="007114AF" w:rsidRDefault="002F4BDF" w:rsidP="002F4BDF">
            <w:pPr>
              <w:spacing w:after="200"/>
              <w:jc w:val="left"/>
              <w:rPr>
                <w:rFonts w:ascii="Garamond" w:eastAsiaTheme="minorHAnsi" w:hAnsi="Garamond"/>
                <w:b/>
                <w:bCs/>
                <w:sz w:val="20"/>
                <w:szCs w:val="20"/>
                <w:lang w:eastAsia="en-US"/>
              </w:rPr>
            </w:pPr>
          </w:p>
        </w:tc>
        <w:tc>
          <w:tcPr>
            <w:tcW w:w="1164" w:type="dxa"/>
          </w:tcPr>
          <w:p w14:paraId="6EDD15AF" w14:textId="77777777" w:rsidR="002F4BDF" w:rsidRPr="007114AF" w:rsidRDefault="002F4BDF" w:rsidP="002F4BDF">
            <w:pPr>
              <w:spacing w:after="0" w:line="240" w:lineRule="auto"/>
              <w:rPr>
                <w:rFonts w:ascii="Garamond" w:eastAsia="Calibri" w:hAnsi="Garamond" w:cs="Arial"/>
                <w:sz w:val="20"/>
                <w:szCs w:val="20"/>
                <w:lang w:eastAsia="en-US"/>
              </w:rPr>
            </w:pPr>
            <w:r w:rsidRPr="007114AF">
              <w:rPr>
                <w:rFonts w:ascii="Garamond" w:eastAsia="Calibri" w:hAnsi="Garamond" w:cs="Arial"/>
                <w:sz w:val="20"/>
                <w:szCs w:val="20"/>
                <w:lang w:eastAsia="en-US"/>
              </w:rPr>
              <w:t>Maj- Qershor</w:t>
            </w:r>
          </w:p>
        </w:tc>
        <w:tc>
          <w:tcPr>
            <w:tcW w:w="3778" w:type="dxa"/>
          </w:tcPr>
          <w:p w14:paraId="6EDD15B0" w14:textId="77777777" w:rsidR="002F4BDF" w:rsidRPr="007114AF" w:rsidRDefault="002F4BDF" w:rsidP="002F4BDF">
            <w:pPr>
              <w:spacing w:before="120" w:line="240" w:lineRule="auto"/>
              <w:ind w:hanging="360"/>
              <w:contextualSpacing/>
              <w:rPr>
                <w:rFonts w:ascii="Garamond" w:eastAsia="Times New Roman" w:hAnsi="Garamond" w:cs="Times New Roman"/>
                <w:sz w:val="20"/>
                <w:szCs w:val="20"/>
                <w:lang w:eastAsia="en-US"/>
              </w:rPr>
            </w:pPr>
            <w:r w:rsidRPr="007114AF">
              <w:rPr>
                <w:rFonts w:ascii="Garamond" w:eastAsia="Times New Roman" w:hAnsi="Garamond" w:cs="Times New Roman"/>
                <w:sz w:val="20"/>
                <w:szCs w:val="20"/>
                <w:lang w:eastAsia="en-US"/>
              </w:rPr>
              <w:t>Analizat e kërkesave të buxhetit dhe seancat dëgjimore</w:t>
            </w:r>
          </w:p>
        </w:tc>
        <w:tc>
          <w:tcPr>
            <w:tcW w:w="2000" w:type="dxa"/>
          </w:tcPr>
          <w:p w14:paraId="6EDD15B1" w14:textId="2573B9C2" w:rsidR="002F4BDF" w:rsidRPr="007114AF" w:rsidRDefault="002F4BDF" w:rsidP="002F4BDF">
            <w:pPr>
              <w:spacing w:after="200"/>
              <w:jc w:val="left"/>
              <w:rPr>
                <w:rFonts w:ascii="Garamond" w:eastAsiaTheme="minorHAnsi" w:hAnsi="Garamond"/>
                <w:sz w:val="20"/>
                <w:szCs w:val="20"/>
                <w:lang w:eastAsia="en-US"/>
              </w:rPr>
            </w:pPr>
            <w:r w:rsidRPr="007114AF">
              <w:rPr>
                <w:rFonts w:ascii="Garamond" w:eastAsiaTheme="minorHAnsi" w:hAnsi="Garamond"/>
                <w:sz w:val="20"/>
                <w:szCs w:val="20"/>
                <w:lang w:eastAsia="en-US"/>
              </w:rPr>
              <w:t>MFE, (DZHFNH)</w:t>
            </w:r>
            <w:r w:rsidR="000A2A01" w:rsidRPr="007114AF">
              <w:rPr>
                <w:rFonts w:ascii="Garamond" w:eastAsiaTheme="minorHAnsi" w:hAnsi="Garamond"/>
                <w:sz w:val="20"/>
                <w:szCs w:val="20"/>
                <w:lang w:eastAsia="en-US"/>
              </w:rPr>
              <w:t xml:space="preserve"> </w:t>
            </w:r>
            <w:r w:rsidRPr="007114AF">
              <w:rPr>
                <w:rFonts w:ascii="Garamond" w:eastAsiaTheme="minorHAnsi" w:hAnsi="Garamond"/>
                <w:sz w:val="20"/>
                <w:szCs w:val="20"/>
                <w:lang w:eastAsia="en-US"/>
              </w:rPr>
              <w:t xml:space="preserve">pranë </w:t>
            </w:r>
            <w:r w:rsidRPr="007114AF">
              <w:rPr>
                <w:rFonts w:ascii="Garamond" w:eastAsiaTheme="minorHAnsi" w:hAnsi="Garamond"/>
                <w:color w:val="000000"/>
                <w:sz w:val="20"/>
                <w:szCs w:val="20"/>
                <w:lang w:eastAsia="en-US"/>
              </w:rPr>
              <w:t>ZKM</w:t>
            </w:r>
            <w:r w:rsidR="003F649E" w:rsidRPr="007114AF">
              <w:rPr>
                <w:rFonts w:ascii="Garamond" w:eastAsiaTheme="minorHAnsi" w:hAnsi="Garamond"/>
                <w:color w:val="000000"/>
                <w:sz w:val="20"/>
                <w:szCs w:val="20"/>
                <w:lang w:eastAsia="en-US"/>
              </w:rPr>
              <w:t>,</w:t>
            </w:r>
            <w:r w:rsidRPr="007114AF">
              <w:rPr>
                <w:rFonts w:ascii="Garamond" w:eastAsiaTheme="minorHAnsi" w:hAnsi="Garamond"/>
                <w:sz w:val="20"/>
                <w:szCs w:val="20"/>
                <w:lang w:eastAsia="en-US"/>
              </w:rPr>
              <w:t xml:space="preserve"> </w:t>
            </w:r>
            <w:r w:rsidRPr="007114AF">
              <w:rPr>
                <w:rFonts w:ascii="Garamond" w:eastAsiaTheme="minorHAnsi" w:hAnsi="Garamond"/>
                <w:color w:val="000000"/>
                <w:sz w:val="20"/>
                <w:szCs w:val="20"/>
                <w:lang w:eastAsia="en-US"/>
              </w:rPr>
              <w:t>MIE</w:t>
            </w:r>
            <w:r w:rsidRPr="007114AF">
              <w:rPr>
                <w:rFonts w:ascii="Garamond" w:eastAsiaTheme="minorHAnsi" w:hAnsi="Garamond"/>
                <w:sz w:val="20"/>
                <w:szCs w:val="20"/>
                <w:lang w:eastAsia="en-US"/>
              </w:rPr>
              <w:t xml:space="preserve">, </w:t>
            </w:r>
          </w:p>
        </w:tc>
      </w:tr>
      <w:tr w:rsidR="002F4BDF" w:rsidRPr="007114AF" w14:paraId="6EDD15B8" w14:textId="77777777" w:rsidTr="003305AE">
        <w:trPr>
          <w:trHeight w:val="426"/>
        </w:trPr>
        <w:tc>
          <w:tcPr>
            <w:tcW w:w="2324" w:type="dxa"/>
            <w:shd w:val="clear" w:color="auto" w:fill="F2F2F2"/>
          </w:tcPr>
          <w:p w14:paraId="6EDD15B3" w14:textId="77777777" w:rsidR="002F4BDF" w:rsidRPr="007114AF" w:rsidRDefault="002F4BDF" w:rsidP="002F4BDF">
            <w:pPr>
              <w:spacing w:after="200"/>
              <w:jc w:val="left"/>
              <w:rPr>
                <w:rFonts w:ascii="Garamond" w:eastAsiaTheme="minorHAnsi" w:hAnsi="Garamond"/>
                <w:b/>
                <w:bCs/>
                <w:sz w:val="20"/>
                <w:szCs w:val="20"/>
                <w:lang w:eastAsia="en-US"/>
              </w:rPr>
            </w:pPr>
          </w:p>
        </w:tc>
        <w:tc>
          <w:tcPr>
            <w:tcW w:w="1164" w:type="dxa"/>
            <w:shd w:val="clear" w:color="auto" w:fill="F2F2F2"/>
          </w:tcPr>
          <w:p w14:paraId="6EDD15B4" w14:textId="77777777" w:rsidR="002F4BDF" w:rsidRPr="007114AF" w:rsidRDefault="002F4BDF" w:rsidP="002F4BDF">
            <w:pPr>
              <w:spacing w:after="200"/>
              <w:jc w:val="left"/>
              <w:rPr>
                <w:rFonts w:ascii="Garamond" w:eastAsiaTheme="minorHAnsi" w:hAnsi="Garamond"/>
                <w:sz w:val="20"/>
                <w:szCs w:val="20"/>
                <w:lang w:eastAsia="en-US"/>
              </w:rPr>
            </w:pPr>
            <w:r w:rsidRPr="007114AF">
              <w:rPr>
                <w:rFonts w:ascii="Garamond" w:eastAsiaTheme="minorHAnsi" w:hAnsi="Garamond"/>
                <w:sz w:val="20"/>
                <w:szCs w:val="20"/>
                <w:lang w:eastAsia="en-US"/>
              </w:rPr>
              <w:t>Qershor (java e tretë)</w:t>
            </w:r>
          </w:p>
        </w:tc>
        <w:tc>
          <w:tcPr>
            <w:tcW w:w="3778" w:type="dxa"/>
            <w:shd w:val="clear" w:color="auto" w:fill="F2F2F2"/>
          </w:tcPr>
          <w:p w14:paraId="6EDD15B5" w14:textId="77777777" w:rsidR="002F4BDF" w:rsidRPr="007114AF" w:rsidRDefault="002F4BDF" w:rsidP="002F4BDF">
            <w:pPr>
              <w:spacing w:after="200"/>
              <w:jc w:val="left"/>
              <w:rPr>
                <w:rFonts w:ascii="Garamond" w:eastAsiaTheme="minorHAnsi" w:hAnsi="Garamond"/>
                <w:sz w:val="20"/>
                <w:szCs w:val="20"/>
                <w:lang w:eastAsia="en-US"/>
              </w:rPr>
            </w:pPr>
            <w:r w:rsidRPr="007114AF">
              <w:rPr>
                <w:rFonts w:ascii="Garamond" w:eastAsiaTheme="minorHAnsi" w:hAnsi="Garamond"/>
                <w:sz w:val="20"/>
                <w:szCs w:val="20"/>
                <w:lang w:eastAsia="en-US"/>
              </w:rPr>
              <w:t>Rishikimi i kuadrit fiskal, nëse është e nevojshme</w:t>
            </w:r>
          </w:p>
          <w:p w14:paraId="6EDD15B6" w14:textId="77777777" w:rsidR="002F4BDF" w:rsidRPr="007114AF" w:rsidRDefault="002F4BDF" w:rsidP="002F4BDF">
            <w:pPr>
              <w:spacing w:after="200"/>
              <w:jc w:val="left"/>
              <w:rPr>
                <w:rFonts w:ascii="Garamond" w:eastAsiaTheme="minorHAnsi" w:hAnsi="Garamond"/>
                <w:sz w:val="20"/>
                <w:szCs w:val="20"/>
                <w:lang w:eastAsia="en-US"/>
              </w:rPr>
            </w:pPr>
            <w:r w:rsidRPr="007114AF">
              <w:rPr>
                <w:rFonts w:ascii="Garamond" w:eastAsiaTheme="minorHAnsi" w:hAnsi="Garamond"/>
                <w:sz w:val="20"/>
                <w:szCs w:val="20"/>
                <w:lang w:eastAsia="en-US"/>
              </w:rPr>
              <w:t>Hartimi i dokumentit të PBAM (MTBP) për periudhën 2017-2019, tavanet e reja dhe kufijtë e angazhimeve të reja financiare dhe paraqitja pranë Komitetit të Planifikimit Strategjik dhe Këshillit të Ministrave.</w:t>
            </w:r>
          </w:p>
        </w:tc>
        <w:tc>
          <w:tcPr>
            <w:tcW w:w="2000" w:type="dxa"/>
            <w:shd w:val="clear" w:color="auto" w:fill="F2F2F2"/>
          </w:tcPr>
          <w:p w14:paraId="6EDD15B7" w14:textId="273F461E" w:rsidR="002F4BDF" w:rsidRPr="007114AF" w:rsidRDefault="002F4BDF" w:rsidP="002F4BDF">
            <w:pPr>
              <w:spacing w:after="200"/>
              <w:jc w:val="left"/>
              <w:rPr>
                <w:rFonts w:ascii="Garamond" w:eastAsiaTheme="minorHAnsi" w:hAnsi="Garamond"/>
                <w:sz w:val="20"/>
                <w:szCs w:val="20"/>
                <w:lang w:eastAsia="en-US"/>
              </w:rPr>
            </w:pPr>
            <w:r w:rsidRPr="007114AF">
              <w:rPr>
                <w:rFonts w:ascii="Garamond" w:eastAsiaTheme="minorHAnsi" w:hAnsi="Garamond"/>
                <w:sz w:val="20"/>
                <w:szCs w:val="20"/>
                <w:lang w:eastAsia="en-US"/>
              </w:rPr>
              <w:t>MF</w:t>
            </w:r>
            <w:r w:rsidR="000A2A01" w:rsidRPr="007114AF">
              <w:rPr>
                <w:rFonts w:ascii="Garamond" w:eastAsiaTheme="minorHAnsi" w:hAnsi="Garamond"/>
                <w:sz w:val="20"/>
                <w:szCs w:val="20"/>
                <w:lang w:eastAsia="en-US"/>
              </w:rPr>
              <w:t xml:space="preserve"> </w:t>
            </w:r>
          </w:p>
        </w:tc>
      </w:tr>
      <w:tr w:rsidR="002F4BDF" w:rsidRPr="007114AF" w14:paraId="6EDD15BE" w14:textId="77777777" w:rsidTr="003305AE">
        <w:trPr>
          <w:trHeight w:val="688"/>
        </w:trPr>
        <w:tc>
          <w:tcPr>
            <w:tcW w:w="2324" w:type="dxa"/>
          </w:tcPr>
          <w:p w14:paraId="6EDD15B9" w14:textId="77777777" w:rsidR="002F4BDF" w:rsidRPr="007114AF" w:rsidRDefault="002F4BDF" w:rsidP="002F4BDF">
            <w:pPr>
              <w:spacing w:after="200"/>
              <w:jc w:val="left"/>
              <w:rPr>
                <w:rFonts w:ascii="Garamond" w:eastAsiaTheme="minorHAnsi" w:hAnsi="Garamond"/>
                <w:b/>
                <w:bCs/>
                <w:sz w:val="20"/>
                <w:szCs w:val="20"/>
                <w:lang w:eastAsia="en-US"/>
              </w:rPr>
            </w:pPr>
          </w:p>
        </w:tc>
        <w:tc>
          <w:tcPr>
            <w:tcW w:w="1164" w:type="dxa"/>
          </w:tcPr>
          <w:p w14:paraId="6EDD15BA" w14:textId="77777777" w:rsidR="002F4BDF" w:rsidRPr="007114AF" w:rsidRDefault="002F4BDF" w:rsidP="002F4BDF">
            <w:pPr>
              <w:spacing w:after="200"/>
              <w:jc w:val="left"/>
              <w:rPr>
                <w:rFonts w:ascii="Garamond" w:eastAsiaTheme="minorHAnsi" w:hAnsi="Garamond"/>
                <w:sz w:val="20"/>
                <w:szCs w:val="20"/>
                <w:lang w:eastAsia="en-US"/>
              </w:rPr>
            </w:pPr>
            <w:r w:rsidRPr="007114AF">
              <w:rPr>
                <w:rFonts w:ascii="Garamond" w:eastAsiaTheme="minorHAnsi" w:hAnsi="Garamond"/>
                <w:sz w:val="20"/>
                <w:szCs w:val="20"/>
                <w:lang w:eastAsia="en-US"/>
              </w:rPr>
              <w:t>Fund Qershori</w:t>
            </w:r>
          </w:p>
        </w:tc>
        <w:tc>
          <w:tcPr>
            <w:tcW w:w="3778" w:type="dxa"/>
          </w:tcPr>
          <w:p w14:paraId="6EDD15BB" w14:textId="77777777" w:rsidR="002F4BDF" w:rsidRPr="007114AF" w:rsidRDefault="002F4BDF" w:rsidP="002F4BDF">
            <w:pPr>
              <w:spacing w:after="200"/>
              <w:jc w:val="left"/>
              <w:rPr>
                <w:rFonts w:ascii="Garamond" w:eastAsiaTheme="minorHAnsi" w:hAnsi="Garamond"/>
                <w:sz w:val="20"/>
                <w:szCs w:val="20"/>
                <w:lang w:eastAsia="en-US"/>
              </w:rPr>
            </w:pPr>
            <w:r w:rsidRPr="007114AF">
              <w:rPr>
                <w:rFonts w:ascii="Garamond" w:eastAsiaTheme="minorHAnsi" w:hAnsi="Garamond"/>
                <w:sz w:val="20"/>
                <w:szCs w:val="20"/>
                <w:lang w:eastAsia="en-US"/>
              </w:rPr>
              <w:t>Miratimi i dytë i Kuadrit Fiskal dhe dokumentit të PBAM (MTBP) për periudhën 2017-2019 me tavane të reja.</w:t>
            </w:r>
          </w:p>
          <w:p w14:paraId="6EDD15BC" w14:textId="77777777" w:rsidR="002F4BDF" w:rsidRPr="007114AF" w:rsidRDefault="002F4BDF" w:rsidP="002F4BDF">
            <w:pPr>
              <w:spacing w:after="200"/>
              <w:jc w:val="left"/>
              <w:rPr>
                <w:rFonts w:ascii="Garamond" w:eastAsiaTheme="minorHAnsi" w:hAnsi="Garamond"/>
                <w:sz w:val="20"/>
                <w:szCs w:val="20"/>
                <w:lang w:eastAsia="en-US"/>
              </w:rPr>
            </w:pPr>
            <w:r w:rsidRPr="007114AF">
              <w:rPr>
                <w:rFonts w:ascii="Garamond" w:eastAsiaTheme="minorHAnsi" w:hAnsi="Garamond"/>
                <w:sz w:val="20"/>
                <w:szCs w:val="20"/>
                <w:lang w:eastAsia="en-US"/>
              </w:rPr>
              <w:t>KM informon Parlamentin</w:t>
            </w:r>
          </w:p>
        </w:tc>
        <w:tc>
          <w:tcPr>
            <w:tcW w:w="2000" w:type="dxa"/>
          </w:tcPr>
          <w:p w14:paraId="6EDD15BD" w14:textId="77777777" w:rsidR="002F4BDF" w:rsidRPr="007114AF" w:rsidRDefault="002F4BDF" w:rsidP="002F4BDF">
            <w:pPr>
              <w:spacing w:after="200"/>
              <w:jc w:val="left"/>
              <w:rPr>
                <w:rFonts w:ascii="Garamond" w:eastAsiaTheme="minorHAnsi" w:hAnsi="Garamond"/>
                <w:sz w:val="20"/>
                <w:szCs w:val="20"/>
                <w:lang w:eastAsia="en-US"/>
              </w:rPr>
            </w:pPr>
            <w:r w:rsidRPr="007114AF">
              <w:rPr>
                <w:rFonts w:ascii="Garamond" w:eastAsiaTheme="minorHAnsi" w:hAnsi="Garamond"/>
                <w:sz w:val="20"/>
                <w:szCs w:val="20"/>
                <w:lang w:eastAsia="en-US"/>
              </w:rPr>
              <w:t>SPC dhe KM</w:t>
            </w:r>
          </w:p>
        </w:tc>
      </w:tr>
      <w:tr w:rsidR="002F4BDF" w:rsidRPr="007114AF" w14:paraId="6EDD15C3" w14:textId="77777777" w:rsidTr="003305AE">
        <w:trPr>
          <w:trHeight w:val="463"/>
        </w:trPr>
        <w:tc>
          <w:tcPr>
            <w:tcW w:w="2324" w:type="dxa"/>
            <w:shd w:val="clear" w:color="auto" w:fill="F2F2F2"/>
          </w:tcPr>
          <w:p w14:paraId="6EDD15BF" w14:textId="40B4C271" w:rsidR="002F4BDF" w:rsidRPr="007114AF" w:rsidRDefault="002F4BDF" w:rsidP="002F4BDF">
            <w:pPr>
              <w:spacing w:after="200"/>
              <w:jc w:val="left"/>
              <w:rPr>
                <w:rFonts w:ascii="Garamond" w:eastAsiaTheme="minorHAnsi" w:hAnsi="Garamond"/>
                <w:b/>
                <w:bCs/>
                <w:sz w:val="20"/>
                <w:szCs w:val="20"/>
                <w:lang w:eastAsia="en-US"/>
              </w:rPr>
            </w:pPr>
            <w:r w:rsidRPr="007114AF">
              <w:rPr>
                <w:rFonts w:ascii="Garamond" w:eastAsiaTheme="minorHAnsi" w:hAnsi="Garamond"/>
                <w:b/>
                <w:bCs/>
                <w:sz w:val="20"/>
                <w:szCs w:val="20"/>
                <w:lang w:eastAsia="en-US"/>
              </w:rPr>
              <w:t>IV. Përgatitja e Programit të rishikuar të Buxhetit Afatmesëm</w:t>
            </w:r>
            <w:r w:rsidR="000A2A01" w:rsidRPr="007114AF">
              <w:rPr>
                <w:rFonts w:ascii="Garamond" w:eastAsiaTheme="minorHAnsi" w:hAnsi="Garamond"/>
                <w:b/>
                <w:bCs/>
                <w:sz w:val="20"/>
                <w:szCs w:val="20"/>
                <w:lang w:eastAsia="en-US"/>
              </w:rPr>
              <w:t xml:space="preserve"> </w:t>
            </w:r>
          </w:p>
        </w:tc>
        <w:tc>
          <w:tcPr>
            <w:tcW w:w="1164" w:type="dxa"/>
            <w:shd w:val="clear" w:color="auto" w:fill="F2F2F2"/>
          </w:tcPr>
          <w:p w14:paraId="6EDD15C0" w14:textId="77777777" w:rsidR="002F4BDF" w:rsidRPr="007114AF" w:rsidRDefault="002F4BDF" w:rsidP="002F4BDF">
            <w:pPr>
              <w:spacing w:after="200"/>
              <w:jc w:val="left"/>
              <w:rPr>
                <w:rFonts w:ascii="Garamond" w:eastAsiaTheme="minorHAnsi" w:hAnsi="Garamond"/>
                <w:sz w:val="20"/>
                <w:szCs w:val="20"/>
                <w:lang w:eastAsia="en-US"/>
              </w:rPr>
            </w:pPr>
            <w:r w:rsidRPr="007114AF">
              <w:rPr>
                <w:rFonts w:ascii="Garamond" w:eastAsiaTheme="minorHAnsi" w:hAnsi="Garamond"/>
                <w:sz w:val="20"/>
                <w:szCs w:val="20"/>
                <w:lang w:eastAsia="en-US"/>
              </w:rPr>
              <w:t>Korrik(java e parë)</w:t>
            </w:r>
          </w:p>
        </w:tc>
        <w:tc>
          <w:tcPr>
            <w:tcW w:w="3778" w:type="dxa"/>
            <w:shd w:val="clear" w:color="auto" w:fill="F2F2F2"/>
          </w:tcPr>
          <w:p w14:paraId="6EDD15C1" w14:textId="77777777" w:rsidR="002F4BDF" w:rsidRPr="007114AF" w:rsidRDefault="002F4BDF" w:rsidP="002F4BDF">
            <w:pPr>
              <w:spacing w:after="200"/>
              <w:jc w:val="left"/>
              <w:rPr>
                <w:rFonts w:ascii="Garamond" w:eastAsiaTheme="minorHAnsi" w:hAnsi="Garamond"/>
                <w:sz w:val="20"/>
                <w:szCs w:val="20"/>
                <w:lang w:eastAsia="en-US"/>
              </w:rPr>
            </w:pPr>
            <w:r w:rsidRPr="007114AF">
              <w:rPr>
                <w:rFonts w:ascii="Garamond" w:eastAsiaTheme="minorHAnsi" w:hAnsi="Garamond"/>
                <w:sz w:val="20"/>
                <w:szCs w:val="20"/>
                <w:lang w:eastAsia="en-US"/>
              </w:rPr>
              <w:t xml:space="preserve">Lëshimi i udhëzimeve plotësuese për përgatitjen e PBAM (MTBP) së rishikuar </w:t>
            </w:r>
          </w:p>
        </w:tc>
        <w:tc>
          <w:tcPr>
            <w:tcW w:w="2000" w:type="dxa"/>
            <w:shd w:val="clear" w:color="auto" w:fill="F2F2F2"/>
          </w:tcPr>
          <w:p w14:paraId="6EDD15C2" w14:textId="77777777" w:rsidR="002F4BDF" w:rsidRPr="007114AF" w:rsidRDefault="002F4BDF" w:rsidP="002F4BDF">
            <w:pPr>
              <w:spacing w:after="200"/>
              <w:jc w:val="left"/>
              <w:rPr>
                <w:rFonts w:ascii="Garamond" w:eastAsiaTheme="minorHAnsi" w:hAnsi="Garamond"/>
                <w:sz w:val="20"/>
                <w:szCs w:val="20"/>
                <w:lang w:eastAsia="en-US"/>
              </w:rPr>
            </w:pPr>
            <w:r w:rsidRPr="007114AF">
              <w:rPr>
                <w:rFonts w:ascii="Garamond" w:eastAsiaTheme="minorHAnsi" w:hAnsi="Garamond"/>
                <w:sz w:val="20"/>
                <w:szCs w:val="20"/>
                <w:lang w:eastAsia="en-US"/>
              </w:rPr>
              <w:t xml:space="preserve">MF </w:t>
            </w:r>
          </w:p>
        </w:tc>
      </w:tr>
      <w:tr w:rsidR="002F4BDF" w:rsidRPr="007114AF" w14:paraId="6EDD15C8" w14:textId="77777777" w:rsidTr="003305AE">
        <w:trPr>
          <w:trHeight w:val="705"/>
        </w:trPr>
        <w:tc>
          <w:tcPr>
            <w:tcW w:w="2324" w:type="dxa"/>
          </w:tcPr>
          <w:p w14:paraId="6EDD15C4" w14:textId="77777777" w:rsidR="002F4BDF" w:rsidRPr="007114AF" w:rsidRDefault="002F4BDF" w:rsidP="002F4BDF">
            <w:pPr>
              <w:spacing w:after="200"/>
              <w:jc w:val="left"/>
              <w:rPr>
                <w:rFonts w:ascii="Garamond" w:eastAsiaTheme="minorHAnsi" w:hAnsi="Garamond"/>
                <w:b/>
                <w:bCs/>
                <w:sz w:val="20"/>
                <w:szCs w:val="20"/>
                <w:lang w:eastAsia="en-US"/>
              </w:rPr>
            </w:pPr>
          </w:p>
        </w:tc>
        <w:tc>
          <w:tcPr>
            <w:tcW w:w="1164" w:type="dxa"/>
          </w:tcPr>
          <w:p w14:paraId="6EDD15C5" w14:textId="77777777" w:rsidR="002F4BDF" w:rsidRPr="007114AF" w:rsidRDefault="002F4BDF" w:rsidP="002F4BDF">
            <w:pPr>
              <w:spacing w:after="200"/>
              <w:jc w:val="left"/>
              <w:rPr>
                <w:rFonts w:ascii="Garamond" w:eastAsiaTheme="minorHAnsi" w:hAnsi="Garamond"/>
                <w:sz w:val="20"/>
                <w:szCs w:val="20"/>
                <w:lang w:eastAsia="en-US"/>
              </w:rPr>
            </w:pPr>
            <w:r w:rsidRPr="007114AF">
              <w:rPr>
                <w:rFonts w:ascii="Garamond" w:eastAsiaTheme="minorHAnsi" w:hAnsi="Garamond"/>
                <w:sz w:val="20"/>
                <w:szCs w:val="20"/>
                <w:lang w:eastAsia="en-US"/>
              </w:rPr>
              <w:t>Korrik-Gusht</w:t>
            </w:r>
          </w:p>
        </w:tc>
        <w:tc>
          <w:tcPr>
            <w:tcW w:w="3778" w:type="dxa"/>
          </w:tcPr>
          <w:p w14:paraId="6EDD15C6" w14:textId="58CF7B50" w:rsidR="002F4BDF" w:rsidRPr="007114AF" w:rsidRDefault="002F4BDF" w:rsidP="002F4BDF">
            <w:pPr>
              <w:spacing w:after="200"/>
              <w:jc w:val="left"/>
              <w:rPr>
                <w:rFonts w:ascii="Garamond" w:eastAsiaTheme="minorHAnsi" w:hAnsi="Garamond"/>
                <w:sz w:val="20"/>
                <w:szCs w:val="20"/>
                <w:lang w:eastAsia="en-US"/>
              </w:rPr>
            </w:pPr>
            <w:r w:rsidRPr="007114AF">
              <w:rPr>
                <w:rFonts w:ascii="Garamond" w:eastAsiaTheme="minorHAnsi" w:hAnsi="Garamond"/>
                <w:sz w:val="20"/>
                <w:szCs w:val="20"/>
                <w:lang w:eastAsia="en-US"/>
              </w:rPr>
              <w:t>Përgatitja e Programit të rishikuar të Buxhetit Afatmesëm</w:t>
            </w:r>
            <w:r w:rsidR="008D30FC" w:rsidRPr="007114AF">
              <w:rPr>
                <w:rFonts w:ascii="Garamond" w:eastAsiaTheme="minorHAnsi" w:hAnsi="Garamond"/>
                <w:sz w:val="20"/>
                <w:szCs w:val="20"/>
                <w:lang w:eastAsia="en-US"/>
              </w:rPr>
              <w:t xml:space="preserve"> </w:t>
            </w:r>
          </w:p>
        </w:tc>
        <w:tc>
          <w:tcPr>
            <w:tcW w:w="2000" w:type="dxa"/>
          </w:tcPr>
          <w:p w14:paraId="6EDD15C7" w14:textId="77777777" w:rsidR="002F4BDF" w:rsidRPr="007114AF" w:rsidRDefault="002F4BDF" w:rsidP="002F4BDF">
            <w:pPr>
              <w:spacing w:after="200"/>
              <w:jc w:val="left"/>
              <w:rPr>
                <w:rFonts w:ascii="Garamond" w:eastAsiaTheme="minorHAnsi" w:hAnsi="Garamond"/>
                <w:sz w:val="20"/>
                <w:szCs w:val="20"/>
                <w:lang w:eastAsia="en-US"/>
              </w:rPr>
            </w:pPr>
            <w:r w:rsidRPr="007114AF">
              <w:rPr>
                <w:rFonts w:ascii="Garamond" w:eastAsiaTheme="minorHAnsi" w:hAnsi="Garamond"/>
                <w:sz w:val="20"/>
                <w:szCs w:val="20"/>
                <w:lang w:eastAsia="en-US"/>
              </w:rPr>
              <w:t>Çdo institucion qeveritar dhe Fondi i Posaçëm</w:t>
            </w:r>
          </w:p>
        </w:tc>
      </w:tr>
      <w:tr w:rsidR="002F4BDF" w:rsidRPr="007114AF" w14:paraId="6EDD15CD" w14:textId="77777777" w:rsidTr="003305AE">
        <w:trPr>
          <w:trHeight w:val="463"/>
        </w:trPr>
        <w:tc>
          <w:tcPr>
            <w:tcW w:w="2324" w:type="dxa"/>
            <w:shd w:val="clear" w:color="auto" w:fill="F2F2F2"/>
          </w:tcPr>
          <w:p w14:paraId="6EDD15C9" w14:textId="77777777" w:rsidR="002F4BDF" w:rsidRPr="007114AF" w:rsidRDefault="002F4BDF" w:rsidP="002F4BDF">
            <w:pPr>
              <w:spacing w:after="200"/>
              <w:jc w:val="left"/>
              <w:rPr>
                <w:rFonts w:ascii="Garamond" w:eastAsiaTheme="minorHAnsi" w:hAnsi="Garamond"/>
                <w:b/>
                <w:bCs/>
                <w:sz w:val="20"/>
                <w:szCs w:val="20"/>
                <w:lang w:eastAsia="en-US"/>
              </w:rPr>
            </w:pPr>
          </w:p>
        </w:tc>
        <w:tc>
          <w:tcPr>
            <w:tcW w:w="1164" w:type="dxa"/>
            <w:shd w:val="clear" w:color="auto" w:fill="F2F2F2"/>
          </w:tcPr>
          <w:p w14:paraId="6EDD15CA" w14:textId="77777777" w:rsidR="002F4BDF" w:rsidRPr="007114AF" w:rsidRDefault="002F4BDF" w:rsidP="002F4BDF">
            <w:pPr>
              <w:spacing w:after="200"/>
              <w:jc w:val="left"/>
              <w:rPr>
                <w:rFonts w:ascii="Garamond" w:eastAsiaTheme="minorHAnsi" w:hAnsi="Garamond"/>
                <w:sz w:val="20"/>
                <w:szCs w:val="20"/>
                <w:lang w:eastAsia="en-US"/>
              </w:rPr>
            </w:pPr>
            <w:r w:rsidRPr="007114AF">
              <w:rPr>
                <w:rFonts w:ascii="Garamond" w:eastAsiaTheme="minorHAnsi" w:hAnsi="Garamond"/>
                <w:sz w:val="20"/>
                <w:szCs w:val="20"/>
                <w:lang w:eastAsia="en-US"/>
              </w:rPr>
              <w:t xml:space="preserve">Shtator </w:t>
            </w:r>
          </w:p>
        </w:tc>
        <w:tc>
          <w:tcPr>
            <w:tcW w:w="3778" w:type="dxa"/>
            <w:shd w:val="clear" w:color="auto" w:fill="F2F2F2"/>
          </w:tcPr>
          <w:p w14:paraId="6EDD15CB" w14:textId="77777777" w:rsidR="002F4BDF" w:rsidRPr="007114AF" w:rsidRDefault="002F4BDF" w:rsidP="002F4BDF">
            <w:pPr>
              <w:spacing w:after="200"/>
              <w:jc w:val="left"/>
              <w:rPr>
                <w:rFonts w:ascii="Garamond" w:eastAsiaTheme="minorHAnsi" w:hAnsi="Garamond"/>
                <w:sz w:val="20"/>
                <w:szCs w:val="20"/>
                <w:lang w:eastAsia="en-US"/>
              </w:rPr>
            </w:pPr>
            <w:r w:rsidRPr="007114AF">
              <w:rPr>
                <w:rFonts w:ascii="Garamond" w:eastAsiaTheme="minorHAnsi" w:hAnsi="Garamond"/>
                <w:sz w:val="20"/>
                <w:szCs w:val="20"/>
                <w:lang w:eastAsia="en-US"/>
              </w:rPr>
              <w:t>Paraqitje e PBAM (MTBP) të rishikuar tek Ministria përgjegjëse për Financat</w:t>
            </w:r>
          </w:p>
        </w:tc>
        <w:tc>
          <w:tcPr>
            <w:tcW w:w="2000" w:type="dxa"/>
            <w:shd w:val="clear" w:color="auto" w:fill="F2F2F2"/>
          </w:tcPr>
          <w:p w14:paraId="6EDD15CC" w14:textId="77777777" w:rsidR="002F4BDF" w:rsidRPr="007114AF" w:rsidRDefault="002F4BDF" w:rsidP="002F4BDF">
            <w:pPr>
              <w:spacing w:after="200"/>
              <w:jc w:val="left"/>
              <w:rPr>
                <w:rFonts w:ascii="Garamond" w:eastAsiaTheme="minorHAnsi" w:hAnsi="Garamond"/>
                <w:sz w:val="20"/>
                <w:szCs w:val="20"/>
                <w:lang w:eastAsia="en-US"/>
              </w:rPr>
            </w:pPr>
          </w:p>
        </w:tc>
      </w:tr>
      <w:tr w:rsidR="002F4BDF" w:rsidRPr="007114AF" w14:paraId="6EDD15D2" w14:textId="77777777" w:rsidTr="003305AE">
        <w:trPr>
          <w:trHeight w:val="479"/>
        </w:trPr>
        <w:tc>
          <w:tcPr>
            <w:tcW w:w="2324" w:type="dxa"/>
          </w:tcPr>
          <w:p w14:paraId="6EDD15CE" w14:textId="77777777" w:rsidR="002F4BDF" w:rsidRPr="007114AF" w:rsidRDefault="002F4BDF" w:rsidP="002F4BDF">
            <w:pPr>
              <w:spacing w:after="200"/>
              <w:jc w:val="left"/>
              <w:rPr>
                <w:rFonts w:ascii="Garamond" w:eastAsiaTheme="minorHAnsi" w:hAnsi="Garamond"/>
                <w:b/>
                <w:bCs/>
                <w:sz w:val="20"/>
                <w:szCs w:val="20"/>
                <w:lang w:eastAsia="en-US"/>
              </w:rPr>
            </w:pPr>
          </w:p>
        </w:tc>
        <w:tc>
          <w:tcPr>
            <w:tcW w:w="1164" w:type="dxa"/>
          </w:tcPr>
          <w:p w14:paraId="6EDD15CF" w14:textId="77777777" w:rsidR="002F4BDF" w:rsidRPr="007114AF" w:rsidRDefault="002F4BDF" w:rsidP="002F4BDF">
            <w:pPr>
              <w:spacing w:after="200"/>
              <w:jc w:val="left"/>
              <w:rPr>
                <w:rFonts w:ascii="Garamond" w:eastAsiaTheme="minorHAnsi" w:hAnsi="Garamond"/>
                <w:sz w:val="20"/>
                <w:szCs w:val="20"/>
                <w:lang w:eastAsia="en-US"/>
              </w:rPr>
            </w:pPr>
            <w:r w:rsidRPr="007114AF">
              <w:rPr>
                <w:rFonts w:ascii="Garamond" w:eastAsiaTheme="minorHAnsi" w:hAnsi="Garamond"/>
                <w:sz w:val="20"/>
                <w:szCs w:val="20"/>
                <w:lang w:eastAsia="en-US"/>
              </w:rPr>
              <w:t>Shtator- Tetor</w:t>
            </w:r>
          </w:p>
        </w:tc>
        <w:tc>
          <w:tcPr>
            <w:tcW w:w="3778" w:type="dxa"/>
          </w:tcPr>
          <w:p w14:paraId="6EDD15D0" w14:textId="77777777" w:rsidR="002F4BDF" w:rsidRPr="007114AF" w:rsidRDefault="002F4BDF" w:rsidP="002F4BDF">
            <w:pPr>
              <w:spacing w:after="200"/>
              <w:jc w:val="left"/>
              <w:rPr>
                <w:rFonts w:ascii="Garamond" w:eastAsiaTheme="minorHAnsi" w:hAnsi="Garamond"/>
                <w:sz w:val="20"/>
                <w:szCs w:val="20"/>
                <w:lang w:eastAsia="en-US"/>
              </w:rPr>
            </w:pPr>
            <w:r w:rsidRPr="007114AF">
              <w:rPr>
                <w:rFonts w:ascii="Garamond" w:eastAsiaTheme="minorHAnsi" w:hAnsi="Garamond"/>
                <w:sz w:val="20"/>
                <w:szCs w:val="20"/>
                <w:lang w:eastAsia="en-US"/>
              </w:rPr>
              <w:t>Analizat e kërkesave të buxhetit dhe raundi i dytë i seancave dëgjimore</w:t>
            </w:r>
          </w:p>
        </w:tc>
        <w:tc>
          <w:tcPr>
            <w:tcW w:w="2000" w:type="dxa"/>
          </w:tcPr>
          <w:p w14:paraId="6EDD15D1" w14:textId="102ED937" w:rsidR="002F4BDF" w:rsidRPr="007114AF" w:rsidRDefault="002F4BDF" w:rsidP="002F4BDF">
            <w:pPr>
              <w:spacing w:after="200"/>
              <w:jc w:val="left"/>
              <w:rPr>
                <w:rFonts w:ascii="Garamond" w:eastAsiaTheme="minorHAnsi" w:hAnsi="Garamond"/>
                <w:sz w:val="20"/>
                <w:szCs w:val="20"/>
                <w:lang w:eastAsia="en-US"/>
              </w:rPr>
            </w:pPr>
            <w:r w:rsidRPr="007114AF">
              <w:rPr>
                <w:rFonts w:ascii="Garamond" w:eastAsiaTheme="minorHAnsi" w:hAnsi="Garamond"/>
                <w:sz w:val="20"/>
                <w:szCs w:val="20"/>
                <w:lang w:eastAsia="en-US"/>
              </w:rPr>
              <w:t>MFE, (DZHFNH)</w:t>
            </w:r>
            <w:r w:rsidR="003F649E" w:rsidRPr="007114AF">
              <w:rPr>
                <w:rFonts w:ascii="Garamond" w:eastAsiaTheme="minorHAnsi" w:hAnsi="Garamond"/>
                <w:sz w:val="20"/>
                <w:szCs w:val="20"/>
                <w:lang w:eastAsia="en-US"/>
              </w:rPr>
              <w:t>,</w:t>
            </w:r>
            <w:r w:rsidRPr="007114AF">
              <w:rPr>
                <w:rFonts w:ascii="Garamond" w:eastAsiaTheme="minorHAnsi" w:hAnsi="Garamond"/>
                <w:sz w:val="20"/>
                <w:szCs w:val="20"/>
                <w:lang w:eastAsia="en-US"/>
              </w:rPr>
              <w:t xml:space="preserve"> </w:t>
            </w:r>
            <w:r w:rsidRPr="007114AF">
              <w:rPr>
                <w:rFonts w:ascii="Garamond" w:eastAsiaTheme="minorHAnsi" w:hAnsi="Garamond"/>
                <w:color w:val="000000"/>
                <w:sz w:val="20"/>
                <w:szCs w:val="20"/>
                <w:lang w:eastAsia="en-US"/>
              </w:rPr>
              <w:t xml:space="preserve">MIE </w:t>
            </w:r>
          </w:p>
        </w:tc>
      </w:tr>
      <w:tr w:rsidR="002F4BDF" w:rsidRPr="007114AF" w14:paraId="6EDD15D7" w14:textId="77777777" w:rsidTr="003305AE">
        <w:trPr>
          <w:trHeight w:val="688"/>
        </w:trPr>
        <w:tc>
          <w:tcPr>
            <w:tcW w:w="2324" w:type="dxa"/>
            <w:shd w:val="clear" w:color="auto" w:fill="F2F2F2"/>
          </w:tcPr>
          <w:p w14:paraId="6EDD15D3" w14:textId="77777777" w:rsidR="002F4BDF" w:rsidRPr="007114AF" w:rsidRDefault="002F4BDF" w:rsidP="002F4BDF">
            <w:pPr>
              <w:spacing w:after="200"/>
              <w:jc w:val="left"/>
              <w:rPr>
                <w:rFonts w:ascii="Garamond" w:eastAsiaTheme="minorHAnsi" w:hAnsi="Garamond"/>
                <w:b/>
                <w:bCs/>
                <w:sz w:val="20"/>
                <w:szCs w:val="20"/>
                <w:lang w:eastAsia="en-US"/>
              </w:rPr>
            </w:pPr>
          </w:p>
        </w:tc>
        <w:tc>
          <w:tcPr>
            <w:tcW w:w="1164" w:type="dxa"/>
            <w:shd w:val="clear" w:color="auto" w:fill="F2F2F2"/>
          </w:tcPr>
          <w:p w14:paraId="6EDD15D4" w14:textId="77777777" w:rsidR="002F4BDF" w:rsidRPr="007114AF" w:rsidRDefault="002F4BDF" w:rsidP="002F4BDF">
            <w:pPr>
              <w:spacing w:after="200"/>
              <w:jc w:val="left"/>
              <w:rPr>
                <w:rFonts w:ascii="Garamond" w:eastAsiaTheme="minorHAnsi" w:hAnsi="Garamond"/>
                <w:sz w:val="20"/>
                <w:szCs w:val="20"/>
                <w:lang w:eastAsia="en-US"/>
              </w:rPr>
            </w:pPr>
            <w:r w:rsidRPr="007114AF">
              <w:rPr>
                <w:rFonts w:ascii="Garamond" w:eastAsiaTheme="minorHAnsi" w:hAnsi="Garamond"/>
                <w:sz w:val="20"/>
                <w:szCs w:val="20"/>
                <w:lang w:eastAsia="en-US"/>
              </w:rPr>
              <w:t>Tetor</w:t>
            </w:r>
          </w:p>
        </w:tc>
        <w:tc>
          <w:tcPr>
            <w:tcW w:w="3778" w:type="dxa"/>
            <w:shd w:val="clear" w:color="auto" w:fill="F2F2F2"/>
          </w:tcPr>
          <w:p w14:paraId="6EDD15D5" w14:textId="5E8084C8" w:rsidR="002F4BDF" w:rsidRPr="007114AF" w:rsidRDefault="002F4BDF" w:rsidP="002F4BDF">
            <w:pPr>
              <w:spacing w:after="200"/>
              <w:jc w:val="left"/>
              <w:rPr>
                <w:rFonts w:ascii="Garamond" w:eastAsiaTheme="minorHAnsi" w:hAnsi="Garamond"/>
                <w:sz w:val="20"/>
                <w:szCs w:val="20"/>
                <w:lang w:eastAsia="en-US"/>
              </w:rPr>
            </w:pPr>
            <w:r w:rsidRPr="007114AF">
              <w:rPr>
                <w:rFonts w:ascii="Garamond" w:eastAsiaTheme="minorHAnsi" w:hAnsi="Garamond"/>
                <w:sz w:val="20"/>
                <w:szCs w:val="20"/>
                <w:lang w:eastAsia="en-US"/>
              </w:rPr>
              <w:t>Programi i Buxhetit Afatmesëm dhe Ligji Vjetor për Buxhetin të paraqitur pranë Komitetit të Planifikimit Strategjik dhe</w:t>
            </w:r>
            <w:r w:rsidR="000A2A01" w:rsidRPr="007114AF">
              <w:rPr>
                <w:rFonts w:ascii="Garamond" w:eastAsiaTheme="minorHAnsi" w:hAnsi="Garamond"/>
                <w:sz w:val="20"/>
                <w:szCs w:val="20"/>
                <w:lang w:eastAsia="en-US"/>
              </w:rPr>
              <w:t xml:space="preserve"> </w:t>
            </w:r>
            <w:r w:rsidRPr="007114AF">
              <w:rPr>
                <w:rFonts w:ascii="Garamond" w:eastAsiaTheme="minorHAnsi" w:hAnsi="Garamond"/>
                <w:sz w:val="20"/>
                <w:szCs w:val="20"/>
                <w:lang w:eastAsia="en-US"/>
              </w:rPr>
              <w:t>Këshillit të Ministrave</w:t>
            </w:r>
          </w:p>
        </w:tc>
        <w:tc>
          <w:tcPr>
            <w:tcW w:w="2000" w:type="dxa"/>
            <w:shd w:val="clear" w:color="auto" w:fill="F2F2F2"/>
          </w:tcPr>
          <w:p w14:paraId="6EDD15D6" w14:textId="65528683" w:rsidR="002F4BDF" w:rsidRPr="007114AF" w:rsidRDefault="002F4BDF" w:rsidP="002F4BDF">
            <w:pPr>
              <w:spacing w:after="200"/>
              <w:jc w:val="left"/>
              <w:rPr>
                <w:rFonts w:ascii="Garamond" w:eastAsiaTheme="minorHAnsi" w:hAnsi="Garamond"/>
                <w:sz w:val="20"/>
                <w:szCs w:val="20"/>
                <w:lang w:eastAsia="en-US"/>
              </w:rPr>
            </w:pPr>
            <w:r w:rsidRPr="007114AF">
              <w:rPr>
                <w:rFonts w:ascii="Garamond" w:eastAsiaTheme="minorHAnsi" w:hAnsi="Garamond"/>
                <w:sz w:val="20"/>
                <w:szCs w:val="20"/>
                <w:lang w:eastAsia="en-US"/>
              </w:rPr>
              <w:t>MF</w:t>
            </w:r>
            <w:r w:rsidR="000A2A01" w:rsidRPr="007114AF">
              <w:rPr>
                <w:rFonts w:ascii="Garamond" w:eastAsiaTheme="minorHAnsi" w:hAnsi="Garamond"/>
                <w:sz w:val="20"/>
                <w:szCs w:val="20"/>
                <w:lang w:eastAsia="en-US"/>
              </w:rPr>
              <w:t xml:space="preserve"> </w:t>
            </w:r>
          </w:p>
        </w:tc>
      </w:tr>
      <w:tr w:rsidR="002F4BDF" w:rsidRPr="007114AF" w14:paraId="6EDD15DC" w14:textId="77777777" w:rsidTr="003305AE">
        <w:trPr>
          <w:trHeight w:val="463"/>
        </w:trPr>
        <w:tc>
          <w:tcPr>
            <w:tcW w:w="2324" w:type="dxa"/>
          </w:tcPr>
          <w:p w14:paraId="6EDD15D8" w14:textId="77777777" w:rsidR="002F4BDF" w:rsidRPr="007114AF" w:rsidRDefault="002F4BDF" w:rsidP="002F4BDF">
            <w:pPr>
              <w:spacing w:after="200"/>
              <w:jc w:val="left"/>
              <w:rPr>
                <w:rFonts w:ascii="Garamond" w:eastAsiaTheme="minorHAnsi" w:hAnsi="Garamond"/>
                <w:b/>
                <w:bCs/>
                <w:sz w:val="20"/>
                <w:szCs w:val="20"/>
                <w:lang w:eastAsia="en-US"/>
              </w:rPr>
            </w:pPr>
          </w:p>
        </w:tc>
        <w:tc>
          <w:tcPr>
            <w:tcW w:w="1164" w:type="dxa"/>
          </w:tcPr>
          <w:p w14:paraId="6EDD15D9" w14:textId="77777777" w:rsidR="002F4BDF" w:rsidRPr="007114AF" w:rsidRDefault="002F4BDF" w:rsidP="002F4BDF">
            <w:pPr>
              <w:spacing w:after="200"/>
              <w:jc w:val="left"/>
              <w:rPr>
                <w:rFonts w:ascii="Garamond" w:eastAsiaTheme="minorHAnsi" w:hAnsi="Garamond"/>
                <w:sz w:val="20"/>
                <w:szCs w:val="20"/>
                <w:lang w:eastAsia="en-US"/>
              </w:rPr>
            </w:pPr>
            <w:r w:rsidRPr="007114AF">
              <w:rPr>
                <w:rFonts w:ascii="Garamond" w:eastAsiaTheme="minorHAnsi" w:hAnsi="Garamond"/>
                <w:sz w:val="20"/>
                <w:szCs w:val="20"/>
                <w:lang w:eastAsia="en-US"/>
              </w:rPr>
              <w:t>Fund Tetori</w:t>
            </w:r>
          </w:p>
        </w:tc>
        <w:tc>
          <w:tcPr>
            <w:tcW w:w="3778" w:type="dxa"/>
          </w:tcPr>
          <w:p w14:paraId="6EDD15DA" w14:textId="77777777" w:rsidR="002F4BDF" w:rsidRPr="007114AF" w:rsidRDefault="002F4BDF" w:rsidP="002F4BDF">
            <w:pPr>
              <w:spacing w:after="200"/>
              <w:jc w:val="left"/>
              <w:rPr>
                <w:rFonts w:ascii="Garamond" w:eastAsiaTheme="minorHAnsi" w:hAnsi="Garamond"/>
                <w:sz w:val="20"/>
                <w:szCs w:val="20"/>
                <w:lang w:eastAsia="en-US"/>
              </w:rPr>
            </w:pPr>
            <w:r w:rsidRPr="007114AF">
              <w:rPr>
                <w:rFonts w:ascii="Garamond" w:eastAsiaTheme="minorHAnsi" w:hAnsi="Garamond"/>
                <w:sz w:val="20"/>
                <w:szCs w:val="20"/>
                <w:lang w:eastAsia="en-US"/>
              </w:rPr>
              <w:t>Miratimi i tretë i Kuadrit Fiskal, PBAM (MTBP) 2017-2019 dhe Buxheti Vjetor 2017</w:t>
            </w:r>
          </w:p>
        </w:tc>
        <w:tc>
          <w:tcPr>
            <w:tcW w:w="2000" w:type="dxa"/>
          </w:tcPr>
          <w:p w14:paraId="6EDD15DB" w14:textId="77777777" w:rsidR="002F4BDF" w:rsidRPr="007114AF" w:rsidRDefault="002F4BDF" w:rsidP="002F4BDF">
            <w:pPr>
              <w:spacing w:after="200"/>
              <w:jc w:val="left"/>
              <w:rPr>
                <w:rFonts w:ascii="Garamond" w:eastAsiaTheme="minorHAnsi" w:hAnsi="Garamond"/>
                <w:sz w:val="20"/>
                <w:szCs w:val="20"/>
                <w:lang w:eastAsia="en-US"/>
              </w:rPr>
            </w:pPr>
            <w:r w:rsidRPr="007114AF">
              <w:rPr>
                <w:rFonts w:ascii="Garamond" w:eastAsiaTheme="minorHAnsi" w:hAnsi="Garamond"/>
                <w:sz w:val="20"/>
                <w:szCs w:val="20"/>
                <w:lang w:eastAsia="en-US"/>
              </w:rPr>
              <w:t>KM</w:t>
            </w:r>
          </w:p>
        </w:tc>
      </w:tr>
      <w:tr w:rsidR="002F4BDF" w:rsidRPr="007114AF" w14:paraId="6EDD15E1" w14:textId="77777777" w:rsidTr="003305AE">
        <w:trPr>
          <w:trHeight w:val="237"/>
        </w:trPr>
        <w:tc>
          <w:tcPr>
            <w:tcW w:w="2324" w:type="dxa"/>
            <w:shd w:val="clear" w:color="auto" w:fill="F2F2F2"/>
          </w:tcPr>
          <w:p w14:paraId="6EDD15DD" w14:textId="77777777" w:rsidR="002F4BDF" w:rsidRPr="007114AF" w:rsidRDefault="002F4BDF" w:rsidP="002F4BDF">
            <w:pPr>
              <w:spacing w:after="200"/>
              <w:jc w:val="left"/>
              <w:rPr>
                <w:rFonts w:ascii="Garamond" w:eastAsiaTheme="minorHAnsi" w:hAnsi="Garamond"/>
                <w:b/>
                <w:bCs/>
                <w:sz w:val="20"/>
                <w:szCs w:val="20"/>
                <w:highlight w:val="yellow"/>
                <w:lang w:eastAsia="en-US"/>
              </w:rPr>
            </w:pPr>
          </w:p>
        </w:tc>
        <w:tc>
          <w:tcPr>
            <w:tcW w:w="1164" w:type="dxa"/>
            <w:shd w:val="clear" w:color="auto" w:fill="F2F2F2"/>
          </w:tcPr>
          <w:p w14:paraId="6EDD15DE" w14:textId="77777777" w:rsidR="002F4BDF" w:rsidRPr="007114AF" w:rsidRDefault="002F4BDF" w:rsidP="002F4BDF">
            <w:pPr>
              <w:spacing w:after="200"/>
              <w:jc w:val="left"/>
              <w:rPr>
                <w:rFonts w:ascii="Garamond" w:eastAsiaTheme="minorHAnsi" w:hAnsi="Garamond"/>
                <w:sz w:val="20"/>
                <w:szCs w:val="20"/>
                <w:lang w:eastAsia="en-US"/>
              </w:rPr>
            </w:pPr>
            <w:r w:rsidRPr="007114AF">
              <w:rPr>
                <w:rFonts w:ascii="Garamond" w:eastAsiaTheme="minorHAnsi" w:hAnsi="Garamond"/>
                <w:sz w:val="20"/>
                <w:szCs w:val="20"/>
                <w:lang w:eastAsia="en-US"/>
              </w:rPr>
              <w:t>31 tetor</w:t>
            </w:r>
          </w:p>
        </w:tc>
        <w:tc>
          <w:tcPr>
            <w:tcW w:w="3778" w:type="dxa"/>
            <w:shd w:val="clear" w:color="auto" w:fill="F2F2F2"/>
          </w:tcPr>
          <w:p w14:paraId="6EDD15DF" w14:textId="77777777" w:rsidR="002F4BDF" w:rsidRPr="007114AF" w:rsidRDefault="002F4BDF" w:rsidP="002F4BDF">
            <w:pPr>
              <w:spacing w:after="200"/>
              <w:jc w:val="left"/>
              <w:rPr>
                <w:rFonts w:ascii="Garamond" w:eastAsiaTheme="minorHAnsi" w:hAnsi="Garamond"/>
                <w:sz w:val="20"/>
                <w:szCs w:val="20"/>
                <w:lang w:eastAsia="en-US"/>
              </w:rPr>
            </w:pPr>
            <w:r w:rsidRPr="007114AF">
              <w:rPr>
                <w:rFonts w:ascii="Garamond" w:eastAsiaTheme="minorHAnsi" w:hAnsi="Garamond"/>
                <w:sz w:val="20"/>
                <w:szCs w:val="20"/>
                <w:lang w:eastAsia="en-US"/>
              </w:rPr>
              <w:t>Paraqitje në Parlament për miratim</w:t>
            </w:r>
          </w:p>
        </w:tc>
        <w:tc>
          <w:tcPr>
            <w:tcW w:w="2000" w:type="dxa"/>
            <w:shd w:val="clear" w:color="auto" w:fill="F2F2F2"/>
          </w:tcPr>
          <w:p w14:paraId="6EDD15E0" w14:textId="77777777" w:rsidR="002F4BDF" w:rsidRPr="007114AF" w:rsidRDefault="002F4BDF" w:rsidP="002F4BDF">
            <w:pPr>
              <w:spacing w:after="200"/>
              <w:jc w:val="left"/>
              <w:rPr>
                <w:rFonts w:ascii="Garamond" w:eastAsiaTheme="minorHAnsi" w:hAnsi="Garamond"/>
                <w:sz w:val="20"/>
                <w:szCs w:val="20"/>
                <w:lang w:eastAsia="en-US"/>
              </w:rPr>
            </w:pPr>
            <w:r w:rsidRPr="007114AF">
              <w:rPr>
                <w:rFonts w:ascii="Garamond" w:eastAsiaTheme="minorHAnsi" w:hAnsi="Garamond"/>
                <w:sz w:val="20"/>
                <w:szCs w:val="20"/>
                <w:lang w:eastAsia="en-US"/>
              </w:rPr>
              <w:t>KM</w:t>
            </w:r>
          </w:p>
        </w:tc>
      </w:tr>
      <w:tr w:rsidR="002F4BDF" w:rsidRPr="007114AF" w14:paraId="6EDD15E6" w14:textId="77777777" w:rsidTr="003305AE">
        <w:trPr>
          <w:trHeight w:val="930"/>
        </w:trPr>
        <w:tc>
          <w:tcPr>
            <w:tcW w:w="2324" w:type="dxa"/>
          </w:tcPr>
          <w:p w14:paraId="6EDD15E2" w14:textId="77777777" w:rsidR="002F4BDF" w:rsidRPr="007114AF" w:rsidRDefault="002F4BDF" w:rsidP="002F4BDF">
            <w:pPr>
              <w:spacing w:after="200"/>
              <w:jc w:val="left"/>
              <w:rPr>
                <w:rFonts w:ascii="Garamond" w:eastAsiaTheme="minorHAnsi" w:hAnsi="Garamond"/>
                <w:b/>
                <w:bCs/>
                <w:sz w:val="20"/>
                <w:szCs w:val="20"/>
                <w:lang w:eastAsia="en-US"/>
              </w:rPr>
            </w:pPr>
            <w:r w:rsidRPr="007114AF">
              <w:rPr>
                <w:rFonts w:ascii="Garamond" w:eastAsiaTheme="minorHAnsi" w:hAnsi="Garamond"/>
                <w:b/>
                <w:bCs/>
                <w:sz w:val="20"/>
                <w:szCs w:val="20"/>
                <w:lang w:eastAsia="en-US"/>
              </w:rPr>
              <w:t>V. Rishikimi dhe miratimi i buxhetit nga Parlamenti</w:t>
            </w:r>
          </w:p>
        </w:tc>
        <w:tc>
          <w:tcPr>
            <w:tcW w:w="1164" w:type="dxa"/>
          </w:tcPr>
          <w:p w14:paraId="6EDD15E3" w14:textId="77777777" w:rsidR="002F4BDF" w:rsidRPr="007114AF" w:rsidRDefault="002F4BDF" w:rsidP="002F4BDF">
            <w:pPr>
              <w:spacing w:after="200"/>
              <w:jc w:val="left"/>
              <w:rPr>
                <w:rFonts w:ascii="Garamond" w:eastAsiaTheme="minorHAnsi" w:hAnsi="Garamond"/>
                <w:sz w:val="20"/>
                <w:szCs w:val="20"/>
                <w:lang w:eastAsia="en-US"/>
              </w:rPr>
            </w:pPr>
            <w:r w:rsidRPr="007114AF">
              <w:rPr>
                <w:rFonts w:ascii="Garamond" w:eastAsiaTheme="minorHAnsi" w:hAnsi="Garamond"/>
                <w:sz w:val="20"/>
                <w:szCs w:val="20"/>
                <w:lang w:eastAsia="en-US"/>
              </w:rPr>
              <w:t>Nëntor-Dhjetor</w:t>
            </w:r>
          </w:p>
        </w:tc>
        <w:tc>
          <w:tcPr>
            <w:tcW w:w="3778" w:type="dxa"/>
          </w:tcPr>
          <w:p w14:paraId="6EDD15E4" w14:textId="4226761C" w:rsidR="002F4BDF" w:rsidRPr="007114AF" w:rsidRDefault="002F4BDF" w:rsidP="002F4BDF">
            <w:pPr>
              <w:spacing w:after="200"/>
              <w:jc w:val="left"/>
              <w:rPr>
                <w:rFonts w:ascii="Garamond" w:eastAsiaTheme="minorHAnsi" w:hAnsi="Garamond"/>
                <w:sz w:val="20"/>
                <w:szCs w:val="20"/>
                <w:lang w:eastAsia="en-US"/>
              </w:rPr>
            </w:pPr>
            <w:r w:rsidRPr="007114AF">
              <w:rPr>
                <w:rFonts w:ascii="Garamond" w:eastAsiaTheme="minorHAnsi" w:hAnsi="Garamond"/>
                <w:sz w:val="20"/>
                <w:szCs w:val="20"/>
                <w:lang w:eastAsia="en-US"/>
              </w:rPr>
              <w:t>Komisionet parlamentare zhvillojnë seanca për buxhetin me</w:t>
            </w:r>
            <w:r w:rsidR="000A2A01" w:rsidRPr="007114AF">
              <w:rPr>
                <w:rFonts w:ascii="Garamond" w:eastAsiaTheme="minorHAnsi" w:hAnsi="Garamond"/>
                <w:sz w:val="20"/>
                <w:szCs w:val="20"/>
                <w:lang w:eastAsia="en-US"/>
              </w:rPr>
              <w:t xml:space="preserve"> </w:t>
            </w:r>
            <w:r w:rsidRPr="007114AF">
              <w:rPr>
                <w:rFonts w:ascii="Garamond" w:eastAsiaTheme="minorHAnsi" w:hAnsi="Garamond"/>
                <w:sz w:val="20"/>
                <w:szCs w:val="20"/>
                <w:lang w:eastAsia="en-US"/>
              </w:rPr>
              <w:t>Ministrinë e Financave dhe ministri të tjera</w:t>
            </w:r>
          </w:p>
        </w:tc>
        <w:tc>
          <w:tcPr>
            <w:tcW w:w="2000" w:type="dxa"/>
          </w:tcPr>
          <w:p w14:paraId="6EDD15E5" w14:textId="77777777" w:rsidR="002F4BDF" w:rsidRPr="007114AF" w:rsidRDefault="002F4BDF" w:rsidP="002F4BDF">
            <w:pPr>
              <w:spacing w:after="200"/>
              <w:jc w:val="left"/>
              <w:rPr>
                <w:rFonts w:ascii="Garamond" w:eastAsiaTheme="minorHAnsi" w:hAnsi="Garamond"/>
                <w:sz w:val="20"/>
                <w:szCs w:val="20"/>
                <w:lang w:eastAsia="en-US"/>
              </w:rPr>
            </w:pPr>
            <w:r w:rsidRPr="007114AF">
              <w:rPr>
                <w:rFonts w:ascii="Garamond" w:eastAsiaTheme="minorHAnsi" w:hAnsi="Garamond"/>
                <w:sz w:val="20"/>
                <w:szCs w:val="20"/>
                <w:lang w:eastAsia="en-US"/>
              </w:rPr>
              <w:t>Komisioni për Ekonominë dhe Financat (komisioni drejtues)</w:t>
            </w:r>
          </w:p>
        </w:tc>
      </w:tr>
      <w:tr w:rsidR="002F4BDF" w:rsidRPr="007114AF" w14:paraId="6EDD15EB" w14:textId="77777777" w:rsidTr="003305AE">
        <w:trPr>
          <w:trHeight w:val="479"/>
        </w:trPr>
        <w:tc>
          <w:tcPr>
            <w:tcW w:w="2324" w:type="dxa"/>
            <w:shd w:val="clear" w:color="auto" w:fill="F2F2F2"/>
          </w:tcPr>
          <w:p w14:paraId="6EDD15E7" w14:textId="77777777" w:rsidR="002F4BDF" w:rsidRPr="007114AF" w:rsidRDefault="002F4BDF" w:rsidP="002F4BDF">
            <w:pPr>
              <w:spacing w:after="200"/>
              <w:jc w:val="left"/>
              <w:rPr>
                <w:rFonts w:ascii="Garamond" w:eastAsiaTheme="minorHAnsi" w:hAnsi="Garamond"/>
                <w:b/>
                <w:bCs/>
                <w:sz w:val="20"/>
                <w:szCs w:val="20"/>
                <w:lang w:eastAsia="en-US"/>
              </w:rPr>
            </w:pPr>
          </w:p>
        </w:tc>
        <w:tc>
          <w:tcPr>
            <w:tcW w:w="1164" w:type="dxa"/>
            <w:shd w:val="clear" w:color="auto" w:fill="F2F2F2"/>
          </w:tcPr>
          <w:p w14:paraId="6EDD15E8" w14:textId="77777777" w:rsidR="002F4BDF" w:rsidRPr="007114AF" w:rsidRDefault="002F4BDF" w:rsidP="002F4BDF">
            <w:pPr>
              <w:spacing w:after="200"/>
              <w:jc w:val="left"/>
              <w:rPr>
                <w:rFonts w:ascii="Garamond" w:eastAsiaTheme="minorHAnsi" w:hAnsi="Garamond"/>
                <w:sz w:val="20"/>
                <w:szCs w:val="20"/>
                <w:lang w:eastAsia="en-US"/>
              </w:rPr>
            </w:pPr>
            <w:r w:rsidRPr="007114AF">
              <w:rPr>
                <w:rFonts w:ascii="Garamond" w:eastAsiaTheme="minorHAnsi" w:hAnsi="Garamond"/>
                <w:sz w:val="20"/>
                <w:szCs w:val="20"/>
                <w:lang w:eastAsia="en-US"/>
              </w:rPr>
              <w:t>Brenda Dhjetorit</w:t>
            </w:r>
          </w:p>
        </w:tc>
        <w:tc>
          <w:tcPr>
            <w:tcW w:w="3778" w:type="dxa"/>
            <w:shd w:val="clear" w:color="auto" w:fill="F2F2F2"/>
          </w:tcPr>
          <w:p w14:paraId="6EDD15E9" w14:textId="77777777" w:rsidR="002F4BDF" w:rsidRPr="007114AF" w:rsidRDefault="002F4BDF" w:rsidP="002F4BDF">
            <w:pPr>
              <w:spacing w:after="200"/>
              <w:jc w:val="left"/>
              <w:rPr>
                <w:rFonts w:ascii="Garamond" w:eastAsiaTheme="minorHAnsi" w:hAnsi="Garamond"/>
                <w:sz w:val="20"/>
                <w:szCs w:val="20"/>
                <w:lang w:eastAsia="en-US"/>
              </w:rPr>
            </w:pPr>
            <w:r w:rsidRPr="007114AF">
              <w:rPr>
                <w:rFonts w:ascii="Garamond" w:eastAsiaTheme="minorHAnsi" w:hAnsi="Garamond"/>
                <w:sz w:val="20"/>
                <w:szCs w:val="20"/>
                <w:lang w:eastAsia="en-US"/>
              </w:rPr>
              <w:t>Buxheti i miratuar dhe i hyrë në fuqi nga data 1 janar 2017</w:t>
            </w:r>
          </w:p>
        </w:tc>
        <w:tc>
          <w:tcPr>
            <w:tcW w:w="2000" w:type="dxa"/>
            <w:shd w:val="clear" w:color="auto" w:fill="F2F2F2"/>
          </w:tcPr>
          <w:p w14:paraId="6EDD15EA" w14:textId="77777777" w:rsidR="002F4BDF" w:rsidRPr="007114AF" w:rsidRDefault="002F4BDF" w:rsidP="002F4BDF">
            <w:pPr>
              <w:spacing w:after="200"/>
              <w:jc w:val="left"/>
              <w:rPr>
                <w:rFonts w:ascii="Garamond" w:eastAsiaTheme="minorHAnsi" w:hAnsi="Garamond"/>
                <w:sz w:val="20"/>
                <w:szCs w:val="20"/>
                <w:lang w:eastAsia="en-US"/>
              </w:rPr>
            </w:pPr>
            <w:r w:rsidRPr="007114AF">
              <w:rPr>
                <w:rFonts w:ascii="Garamond" w:eastAsiaTheme="minorHAnsi" w:hAnsi="Garamond"/>
                <w:sz w:val="20"/>
                <w:szCs w:val="20"/>
                <w:lang w:eastAsia="en-US"/>
              </w:rPr>
              <w:t>Parlamenti</w:t>
            </w:r>
          </w:p>
        </w:tc>
      </w:tr>
      <w:tr w:rsidR="002F4BDF" w:rsidRPr="007114AF" w14:paraId="6EDD15F0" w14:textId="77777777" w:rsidTr="003305AE">
        <w:trPr>
          <w:trHeight w:val="688"/>
        </w:trPr>
        <w:tc>
          <w:tcPr>
            <w:tcW w:w="2324" w:type="dxa"/>
          </w:tcPr>
          <w:p w14:paraId="6EDD15EC" w14:textId="77777777" w:rsidR="002F4BDF" w:rsidRPr="007114AF" w:rsidRDefault="002F4BDF" w:rsidP="002F4BDF">
            <w:pPr>
              <w:spacing w:after="200"/>
              <w:jc w:val="left"/>
              <w:rPr>
                <w:rFonts w:ascii="Garamond" w:eastAsiaTheme="minorHAnsi" w:hAnsi="Garamond"/>
                <w:b/>
                <w:bCs/>
                <w:sz w:val="20"/>
                <w:szCs w:val="20"/>
                <w:lang w:eastAsia="en-US"/>
              </w:rPr>
            </w:pPr>
          </w:p>
        </w:tc>
        <w:tc>
          <w:tcPr>
            <w:tcW w:w="1164" w:type="dxa"/>
          </w:tcPr>
          <w:p w14:paraId="6EDD15ED" w14:textId="77777777" w:rsidR="002F4BDF" w:rsidRPr="007114AF" w:rsidRDefault="002F4BDF" w:rsidP="002F4BDF">
            <w:pPr>
              <w:spacing w:after="200"/>
              <w:jc w:val="left"/>
              <w:rPr>
                <w:rFonts w:ascii="Garamond" w:eastAsiaTheme="minorHAnsi" w:hAnsi="Garamond"/>
                <w:sz w:val="20"/>
                <w:szCs w:val="20"/>
                <w:lang w:eastAsia="en-US"/>
              </w:rPr>
            </w:pPr>
            <w:r w:rsidRPr="007114AF">
              <w:rPr>
                <w:rFonts w:ascii="Garamond" w:eastAsiaTheme="minorHAnsi" w:hAnsi="Garamond"/>
                <w:sz w:val="20"/>
                <w:szCs w:val="20"/>
                <w:lang w:eastAsia="en-US"/>
              </w:rPr>
              <w:t>Brenda Janarit</w:t>
            </w:r>
          </w:p>
        </w:tc>
        <w:tc>
          <w:tcPr>
            <w:tcW w:w="3778" w:type="dxa"/>
          </w:tcPr>
          <w:p w14:paraId="6EDD15EE" w14:textId="77777777" w:rsidR="002F4BDF" w:rsidRPr="007114AF" w:rsidRDefault="002F4BDF" w:rsidP="002F4BDF">
            <w:pPr>
              <w:spacing w:after="200"/>
              <w:jc w:val="left"/>
              <w:rPr>
                <w:rFonts w:ascii="Garamond" w:eastAsiaTheme="minorHAnsi" w:hAnsi="Garamond"/>
                <w:sz w:val="20"/>
                <w:szCs w:val="20"/>
                <w:lang w:eastAsia="en-US"/>
              </w:rPr>
            </w:pPr>
            <w:r w:rsidRPr="007114AF">
              <w:rPr>
                <w:rFonts w:ascii="Garamond" w:eastAsiaTheme="minorHAnsi" w:hAnsi="Garamond"/>
                <w:sz w:val="20"/>
                <w:szCs w:val="20"/>
                <w:lang w:eastAsia="en-US"/>
              </w:rPr>
              <w:t>Duke përfshirë ndryshimet e Shteteve nga Këshilli i Ministrave dhe Parlamenti. (PBAM) (MTBP) e tretë e përgatitur për periudhën 2017-2019)</w:t>
            </w:r>
          </w:p>
        </w:tc>
        <w:tc>
          <w:tcPr>
            <w:tcW w:w="2000" w:type="dxa"/>
          </w:tcPr>
          <w:p w14:paraId="6EDD15EF" w14:textId="77777777" w:rsidR="002F4BDF" w:rsidRPr="007114AF" w:rsidRDefault="002F4BDF" w:rsidP="002F4BDF">
            <w:pPr>
              <w:spacing w:after="200"/>
              <w:jc w:val="left"/>
              <w:rPr>
                <w:rFonts w:ascii="Garamond" w:eastAsiaTheme="minorHAnsi" w:hAnsi="Garamond"/>
                <w:sz w:val="20"/>
                <w:szCs w:val="20"/>
                <w:lang w:eastAsia="en-US"/>
              </w:rPr>
            </w:pPr>
            <w:r w:rsidRPr="007114AF">
              <w:rPr>
                <w:rFonts w:ascii="Garamond" w:eastAsiaTheme="minorHAnsi" w:hAnsi="Garamond"/>
                <w:sz w:val="20"/>
                <w:szCs w:val="20"/>
                <w:lang w:eastAsia="en-US"/>
              </w:rPr>
              <w:t xml:space="preserve">MF </w:t>
            </w:r>
          </w:p>
        </w:tc>
      </w:tr>
    </w:tbl>
    <w:p w14:paraId="6EDD15F1" w14:textId="050F0BA2" w:rsidR="002F4BDF" w:rsidRPr="007114AF" w:rsidRDefault="002F4BDF" w:rsidP="002F4BDF">
      <w:pPr>
        <w:spacing w:after="0" w:line="240" w:lineRule="auto"/>
        <w:ind w:firstLine="284"/>
        <w:rPr>
          <w:rFonts w:ascii="Garamond" w:eastAsiaTheme="minorHAnsi" w:hAnsi="Garamond"/>
          <w:sz w:val="24"/>
          <w:szCs w:val="24"/>
          <w:lang w:eastAsia="en-US"/>
        </w:rPr>
      </w:pPr>
      <w:r w:rsidRPr="007114AF">
        <w:rPr>
          <w:rFonts w:ascii="Garamond" w:eastAsiaTheme="minorHAnsi" w:hAnsi="Garamond"/>
          <w:sz w:val="24"/>
          <w:szCs w:val="24"/>
          <w:lang w:eastAsia="en-US"/>
        </w:rPr>
        <w:t>Burimi: VKM</w:t>
      </w:r>
      <w:r w:rsidR="00242009" w:rsidRPr="007114AF">
        <w:rPr>
          <w:rFonts w:ascii="Garamond" w:eastAsiaTheme="minorHAnsi" w:hAnsi="Garamond"/>
          <w:sz w:val="24"/>
          <w:szCs w:val="24"/>
          <w:lang w:eastAsia="en-US"/>
        </w:rPr>
        <w:t xml:space="preserve"> nr. </w:t>
      </w:r>
      <w:r w:rsidRPr="007114AF">
        <w:rPr>
          <w:rFonts w:ascii="Garamond" w:eastAsiaTheme="minorHAnsi" w:hAnsi="Garamond"/>
          <w:sz w:val="24"/>
          <w:szCs w:val="24"/>
          <w:lang w:eastAsia="en-US"/>
        </w:rPr>
        <w:t xml:space="preserve">59 e datës 27.1.2016. </w:t>
      </w:r>
      <w:r w:rsidR="000A2A01" w:rsidRPr="007114AF">
        <w:rPr>
          <w:rFonts w:ascii="Garamond" w:eastAsiaTheme="minorHAnsi" w:hAnsi="Garamond"/>
          <w:sz w:val="24"/>
          <w:szCs w:val="24"/>
          <w:lang w:eastAsia="en-US"/>
        </w:rPr>
        <w:t>“</w:t>
      </w:r>
      <w:r w:rsidRPr="007114AF">
        <w:rPr>
          <w:rFonts w:ascii="Garamond" w:eastAsiaTheme="minorHAnsi" w:hAnsi="Garamond"/>
          <w:sz w:val="24"/>
          <w:szCs w:val="24"/>
          <w:lang w:eastAsia="en-US"/>
        </w:rPr>
        <w:t>Miratimi i Kalendarit për Shpenzimet e Administrimit Publik për vitin 2016</w:t>
      </w:r>
      <w:r w:rsidR="000A2A01" w:rsidRPr="007114AF">
        <w:rPr>
          <w:rFonts w:ascii="Garamond" w:eastAsiaTheme="minorHAnsi" w:hAnsi="Garamond"/>
          <w:sz w:val="24"/>
          <w:szCs w:val="24"/>
          <w:lang w:eastAsia="en-US"/>
        </w:rPr>
        <w:t>”</w:t>
      </w:r>
    </w:p>
    <w:p w14:paraId="6EDD15F2" w14:textId="77777777" w:rsidR="002F4BDF" w:rsidRPr="007114AF" w:rsidRDefault="002F4BDF" w:rsidP="002F4BDF">
      <w:pPr>
        <w:spacing w:after="200"/>
        <w:jc w:val="left"/>
        <w:rPr>
          <w:rFonts w:ascii="Garamond" w:eastAsiaTheme="minorHAnsi" w:hAnsi="Garamond"/>
          <w:lang w:eastAsia="en-US"/>
        </w:rPr>
      </w:pPr>
    </w:p>
    <w:p w14:paraId="6EDD15F3" w14:textId="77777777" w:rsidR="002F4BDF" w:rsidRPr="007114AF" w:rsidRDefault="002F4BDF" w:rsidP="002F4BDF">
      <w:pPr>
        <w:spacing w:after="200"/>
        <w:jc w:val="left"/>
        <w:rPr>
          <w:rFonts w:ascii="Garamond" w:eastAsiaTheme="minorHAnsi" w:hAnsi="Garamond"/>
          <w:lang w:eastAsia="en-US"/>
        </w:rPr>
      </w:pPr>
    </w:p>
    <w:p w14:paraId="6EDD15F4" w14:textId="77777777" w:rsidR="002F4BDF" w:rsidRPr="007114AF" w:rsidRDefault="002F4BDF" w:rsidP="002F4BDF">
      <w:pPr>
        <w:spacing w:after="200"/>
        <w:jc w:val="left"/>
        <w:rPr>
          <w:rFonts w:ascii="Garamond" w:eastAsiaTheme="minorHAnsi" w:hAnsi="Garamond"/>
          <w:lang w:eastAsia="en-US"/>
        </w:rPr>
      </w:pPr>
    </w:p>
    <w:p w14:paraId="6EDD15F5" w14:textId="77777777" w:rsidR="002F4BDF" w:rsidRPr="007114AF" w:rsidRDefault="002F4BDF" w:rsidP="002F4BDF">
      <w:pPr>
        <w:spacing w:after="200"/>
        <w:jc w:val="left"/>
        <w:rPr>
          <w:rFonts w:ascii="Garamond" w:eastAsiaTheme="minorHAnsi" w:hAnsi="Garamond"/>
          <w:lang w:eastAsia="en-US"/>
        </w:rPr>
      </w:pPr>
    </w:p>
    <w:p w14:paraId="6EDD15F6" w14:textId="77777777" w:rsidR="002F4BDF" w:rsidRPr="007114AF" w:rsidRDefault="002F4BDF" w:rsidP="002F4BDF">
      <w:pPr>
        <w:spacing w:after="200"/>
        <w:jc w:val="left"/>
        <w:rPr>
          <w:rFonts w:ascii="Garamond" w:eastAsiaTheme="minorHAnsi" w:hAnsi="Garamond"/>
          <w:lang w:eastAsia="en-US"/>
        </w:rPr>
      </w:pPr>
    </w:p>
    <w:p w14:paraId="6EDD15F7" w14:textId="77777777" w:rsidR="002F4BDF" w:rsidRPr="007114AF" w:rsidRDefault="002F4BDF" w:rsidP="002F4BDF">
      <w:pPr>
        <w:spacing w:after="0" w:line="240" w:lineRule="auto"/>
        <w:ind w:firstLine="284"/>
        <w:rPr>
          <w:rFonts w:ascii="Garamond" w:eastAsiaTheme="minorHAnsi" w:hAnsi="Garamond"/>
          <w:b/>
          <w:sz w:val="24"/>
          <w:szCs w:val="24"/>
          <w:lang w:eastAsia="en-US"/>
        </w:rPr>
      </w:pPr>
      <w:bookmarkStart w:id="194" w:name="_Toc469479193"/>
      <w:bookmarkStart w:id="195" w:name="_Toc479083932"/>
      <w:r w:rsidRPr="007114AF">
        <w:rPr>
          <w:rFonts w:ascii="Garamond" w:eastAsiaTheme="minorHAnsi" w:hAnsi="Garamond"/>
          <w:b/>
          <w:sz w:val="24"/>
          <w:szCs w:val="24"/>
          <w:lang w:eastAsia="en-US"/>
        </w:rPr>
        <w:lastRenderedPageBreak/>
        <w:sym w:font="Wingdings 2" w:char="F041"/>
      </w:r>
      <w:r w:rsidRPr="007114AF">
        <w:rPr>
          <w:rFonts w:ascii="Garamond" w:eastAsiaTheme="minorHAnsi" w:hAnsi="Garamond"/>
          <w:b/>
          <w:sz w:val="24"/>
          <w:szCs w:val="24"/>
          <w:lang w:eastAsia="en-US"/>
        </w:rPr>
        <w:t xml:space="preserve">Procesi i shpenzimeve vjetore të programit në një institucion të Qeverisë Qendrore </w:t>
      </w:r>
      <w:bookmarkEnd w:id="194"/>
      <w:bookmarkEnd w:id="195"/>
    </w:p>
    <w:p w14:paraId="6EDD15F8" w14:textId="77777777" w:rsidR="002F4BDF" w:rsidRPr="007114AF" w:rsidRDefault="002F4BDF" w:rsidP="002F4BDF">
      <w:pPr>
        <w:spacing w:after="0" w:line="240" w:lineRule="auto"/>
        <w:ind w:firstLine="284"/>
        <w:rPr>
          <w:rFonts w:ascii="Garamond" w:eastAsiaTheme="minorHAnsi" w:hAnsi="Garamond"/>
          <w:sz w:val="24"/>
          <w:szCs w:val="24"/>
          <w:lang w:eastAsia="en-US"/>
        </w:rPr>
      </w:pPr>
      <w:r w:rsidRPr="007114AF">
        <w:rPr>
          <w:rFonts w:ascii="Garamond" w:eastAsiaTheme="minorHAnsi" w:hAnsi="Garamond"/>
          <w:sz w:val="24"/>
          <w:szCs w:val="24"/>
          <w:lang w:eastAsia="en-US"/>
        </w:rPr>
        <w:t>(Shpjegim i hollësishëm i PBAM (MTBP), Faza III)</w:t>
      </w:r>
    </w:p>
    <w:p w14:paraId="6EDD15F9" w14:textId="77777777" w:rsidR="002F4BDF" w:rsidRPr="007114AF" w:rsidRDefault="00DE31E0" w:rsidP="002F4BDF">
      <w:pPr>
        <w:spacing w:after="200"/>
        <w:jc w:val="left"/>
        <w:rPr>
          <w:rFonts w:ascii="Garamond" w:eastAsiaTheme="minorHAnsi" w:hAnsi="Garamond"/>
          <w:lang w:eastAsia="en-US"/>
        </w:rPr>
      </w:pPr>
      <w:r>
        <w:rPr>
          <w:rFonts w:ascii="Garamond" w:eastAsiaTheme="minorHAnsi" w:hAnsi="Garamond"/>
          <w:lang w:eastAsia="en-US"/>
        </w:rPr>
        <w:object w:dxaOrig="1440" w:dyaOrig="1440" w14:anchorId="6EDD17D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0;margin-top:27.45pt;width:453.2pt;height:529.55pt;z-index:251658250;mso-position-horizontal:left">
            <v:imagedata r:id="rId62" o:title=""/>
            <w10:wrap type="square" side="right"/>
          </v:shape>
          <o:OLEObject Type="Embed" ProgID="Visio.Drawing.11" ShapeID="_x0000_s1026" DrawAspect="Content" ObjectID="_1844846929" r:id="rId63"/>
        </w:object>
      </w:r>
    </w:p>
    <w:p w14:paraId="6EDD15FA" w14:textId="77777777" w:rsidR="002F4BDF" w:rsidRPr="007114AF" w:rsidRDefault="002F4BDF" w:rsidP="002F4BDF">
      <w:pPr>
        <w:spacing w:after="0" w:line="240" w:lineRule="auto"/>
        <w:ind w:firstLine="284"/>
        <w:rPr>
          <w:rFonts w:ascii="Garamond" w:eastAsiaTheme="minorHAnsi" w:hAnsi="Garamond"/>
          <w:sz w:val="24"/>
          <w:szCs w:val="24"/>
          <w:lang w:eastAsia="en-US"/>
        </w:rPr>
      </w:pPr>
    </w:p>
    <w:p w14:paraId="6EDD15FB" w14:textId="4C77C2A3" w:rsidR="002F4BDF" w:rsidRPr="007114AF" w:rsidRDefault="002F4BDF" w:rsidP="002F4BDF">
      <w:pPr>
        <w:spacing w:after="0" w:line="240" w:lineRule="auto"/>
        <w:ind w:firstLine="284"/>
        <w:jc w:val="center"/>
        <w:rPr>
          <w:rFonts w:ascii="Garamond" w:eastAsiaTheme="minorHAnsi" w:hAnsi="Garamond" w:cs="Calibri"/>
          <w:b/>
          <w:bCs/>
          <w:lang w:eastAsia="en-US"/>
        </w:rPr>
      </w:pPr>
      <w:r w:rsidRPr="007114AF">
        <w:rPr>
          <w:rFonts w:ascii="Garamond" w:eastAsiaTheme="minorHAnsi" w:hAnsi="Garamond" w:cs="Calibri"/>
          <w:b/>
          <w:bCs/>
          <w:lang w:eastAsia="en-US"/>
        </w:rPr>
        <w:t>Figura 1</w:t>
      </w:r>
      <w:r w:rsidR="000A2A01" w:rsidRPr="007114AF">
        <w:rPr>
          <w:rFonts w:ascii="Garamond" w:eastAsiaTheme="minorHAnsi" w:hAnsi="Garamond" w:cs="Calibri"/>
          <w:b/>
          <w:bCs/>
          <w:lang w:eastAsia="en-US"/>
        </w:rPr>
        <w:t xml:space="preserve"> </w:t>
      </w:r>
      <w:r w:rsidRPr="007114AF">
        <w:rPr>
          <w:rFonts w:ascii="Garamond" w:eastAsiaTheme="minorHAnsi" w:hAnsi="Garamond" w:cs="Calibri"/>
          <w:b/>
          <w:bCs/>
          <w:lang w:eastAsia="en-US"/>
        </w:rPr>
        <w:t>Procesi i programimit të shpenzimeve vjetore në një Institucion të Qeverisë Q</w:t>
      </w:r>
      <w:r w:rsidR="00203893" w:rsidRPr="007114AF">
        <w:rPr>
          <w:rFonts w:ascii="Garamond" w:eastAsiaTheme="minorHAnsi" w:hAnsi="Garamond" w:cs="Calibri"/>
          <w:b/>
          <w:bCs/>
          <w:lang w:eastAsia="en-US"/>
        </w:rPr>
        <w:t>e</w:t>
      </w:r>
      <w:r w:rsidRPr="007114AF">
        <w:rPr>
          <w:rFonts w:ascii="Garamond" w:eastAsiaTheme="minorHAnsi" w:hAnsi="Garamond" w:cs="Calibri"/>
          <w:b/>
          <w:bCs/>
          <w:lang w:eastAsia="en-US"/>
        </w:rPr>
        <w:t>ndrore</w:t>
      </w:r>
    </w:p>
    <w:p w14:paraId="6EDD15FC" w14:textId="3E19F71C" w:rsidR="002F4BDF" w:rsidRPr="007114AF" w:rsidRDefault="002F4BDF" w:rsidP="002F4BDF">
      <w:pPr>
        <w:spacing w:after="0" w:line="240" w:lineRule="auto"/>
        <w:ind w:firstLine="284"/>
        <w:rPr>
          <w:rFonts w:ascii="Garamond" w:eastAsiaTheme="minorHAnsi" w:hAnsi="Garamond"/>
          <w:sz w:val="24"/>
          <w:szCs w:val="24"/>
          <w:lang w:eastAsia="en-US"/>
        </w:rPr>
      </w:pPr>
      <w:r w:rsidRPr="007114AF">
        <w:rPr>
          <w:rFonts w:ascii="Garamond" w:eastAsiaTheme="minorHAnsi" w:hAnsi="Garamond"/>
          <w:sz w:val="24"/>
          <w:szCs w:val="24"/>
          <w:lang w:eastAsia="en-US"/>
        </w:rPr>
        <w:t>Burimi: MF-ja udhëzimi</w:t>
      </w:r>
      <w:r w:rsidR="00242009" w:rsidRPr="007114AF">
        <w:rPr>
          <w:rFonts w:ascii="Garamond" w:eastAsiaTheme="minorHAnsi" w:hAnsi="Garamond"/>
          <w:sz w:val="24"/>
          <w:szCs w:val="24"/>
          <w:lang w:eastAsia="en-US"/>
        </w:rPr>
        <w:t xml:space="preserve"> nr. </w:t>
      </w:r>
      <w:r w:rsidRPr="007114AF">
        <w:rPr>
          <w:rFonts w:ascii="Garamond" w:eastAsiaTheme="minorHAnsi" w:hAnsi="Garamond"/>
          <w:sz w:val="24"/>
          <w:szCs w:val="24"/>
          <w:lang w:eastAsia="en-US"/>
        </w:rPr>
        <w:t xml:space="preserve">8/2012 </w:t>
      </w:r>
      <w:r w:rsidR="000A2A01" w:rsidRPr="007114AF">
        <w:rPr>
          <w:rFonts w:ascii="Garamond" w:eastAsiaTheme="minorHAnsi" w:hAnsi="Garamond"/>
          <w:sz w:val="24"/>
          <w:szCs w:val="24"/>
          <w:lang w:eastAsia="en-US"/>
        </w:rPr>
        <w:t>“</w:t>
      </w:r>
      <w:r w:rsidRPr="007114AF">
        <w:rPr>
          <w:rFonts w:ascii="Garamond" w:eastAsiaTheme="minorHAnsi" w:hAnsi="Garamond"/>
          <w:sz w:val="24"/>
          <w:szCs w:val="24"/>
          <w:lang w:eastAsia="en-US"/>
        </w:rPr>
        <w:t>Procedurat standarde për përgatitjen e PBA-së</w:t>
      </w:r>
      <w:r w:rsidR="000A2A01" w:rsidRPr="007114AF">
        <w:rPr>
          <w:rFonts w:ascii="Garamond" w:eastAsiaTheme="minorHAnsi" w:hAnsi="Garamond"/>
          <w:sz w:val="24"/>
          <w:szCs w:val="24"/>
          <w:lang w:eastAsia="en-US"/>
        </w:rPr>
        <w:t>”</w:t>
      </w:r>
    </w:p>
    <w:p w14:paraId="6EDD15FD" w14:textId="77777777" w:rsidR="002F4BDF" w:rsidRPr="007114AF" w:rsidRDefault="002F4BDF" w:rsidP="002F4BDF">
      <w:pPr>
        <w:spacing w:after="0" w:line="240" w:lineRule="auto"/>
        <w:ind w:firstLine="284"/>
        <w:rPr>
          <w:rFonts w:ascii="Garamond" w:eastAsiaTheme="minorHAnsi" w:hAnsi="Garamond"/>
          <w:sz w:val="24"/>
          <w:szCs w:val="24"/>
          <w:lang w:eastAsia="en-US"/>
        </w:rPr>
      </w:pPr>
    </w:p>
    <w:p w14:paraId="6EDD15FE" w14:textId="77777777" w:rsidR="002F4BDF" w:rsidRPr="007114AF" w:rsidRDefault="002F4BDF" w:rsidP="002F4BDF">
      <w:pPr>
        <w:spacing w:after="0" w:line="240" w:lineRule="auto"/>
        <w:ind w:firstLine="284"/>
        <w:rPr>
          <w:rFonts w:ascii="Garamond" w:eastAsiaTheme="minorHAnsi" w:hAnsi="Garamond"/>
          <w:sz w:val="24"/>
          <w:szCs w:val="24"/>
          <w:lang w:eastAsia="en-US"/>
        </w:rPr>
      </w:pPr>
    </w:p>
    <w:p w14:paraId="6EDD15FF" w14:textId="77777777" w:rsidR="002F4BDF" w:rsidRPr="007114AF" w:rsidRDefault="002F4BDF" w:rsidP="002F4BDF">
      <w:pPr>
        <w:spacing w:after="0" w:line="240" w:lineRule="auto"/>
        <w:ind w:firstLine="284"/>
        <w:rPr>
          <w:rFonts w:ascii="Garamond" w:eastAsiaTheme="minorHAnsi" w:hAnsi="Garamond"/>
          <w:sz w:val="24"/>
          <w:szCs w:val="24"/>
          <w:lang w:eastAsia="en-US"/>
        </w:rPr>
      </w:pPr>
    </w:p>
    <w:p w14:paraId="6EDD1600" w14:textId="77777777" w:rsidR="002F4BDF" w:rsidRPr="007114AF" w:rsidRDefault="002F4BDF" w:rsidP="002F4BDF">
      <w:pPr>
        <w:spacing w:after="0" w:line="240" w:lineRule="auto"/>
        <w:ind w:firstLine="284"/>
        <w:rPr>
          <w:rFonts w:ascii="Garamond" w:eastAsiaTheme="minorHAnsi" w:hAnsi="Garamond"/>
          <w:sz w:val="24"/>
          <w:szCs w:val="24"/>
          <w:lang w:eastAsia="en-US"/>
        </w:rPr>
      </w:pPr>
    </w:p>
    <w:p w14:paraId="6EDD1601" w14:textId="5FD650D5" w:rsidR="002F4BDF" w:rsidRPr="007114AF" w:rsidRDefault="002F4BDF" w:rsidP="002F4BDF">
      <w:pPr>
        <w:spacing w:after="0" w:line="240" w:lineRule="auto"/>
        <w:ind w:firstLine="284"/>
        <w:rPr>
          <w:rFonts w:ascii="Garamond" w:eastAsiaTheme="minorHAnsi" w:hAnsi="Garamond"/>
          <w:b/>
          <w:sz w:val="24"/>
          <w:szCs w:val="24"/>
          <w:lang w:eastAsia="en-US"/>
        </w:rPr>
      </w:pPr>
      <w:bookmarkStart w:id="196" w:name="_Toc469479194"/>
      <w:bookmarkStart w:id="197" w:name="_Toc479083933"/>
      <w:r w:rsidRPr="007114AF">
        <w:rPr>
          <w:rFonts w:ascii="Garamond" w:eastAsiaTheme="minorHAnsi" w:hAnsi="Garamond"/>
          <w:b/>
          <w:sz w:val="24"/>
          <w:szCs w:val="24"/>
          <w:lang w:eastAsia="en-US"/>
        </w:rPr>
        <w:lastRenderedPageBreak/>
        <w:sym w:font="Wingdings 2" w:char="F041"/>
      </w:r>
      <w:r w:rsidRPr="007114AF">
        <w:rPr>
          <w:rFonts w:ascii="Garamond" w:eastAsiaTheme="minorHAnsi" w:hAnsi="Garamond"/>
          <w:b/>
          <w:sz w:val="24"/>
          <w:szCs w:val="24"/>
          <w:lang w:eastAsia="en-US"/>
        </w:rPr>
        <w:t>Lista e Programeve Buxhetore të Ministrive të Linjës</w:t>
      </w:r>
      <w:bookmarkEnd w:id="196"/>
      <w:bookmarkEnd w:id="197"/>
      <w:r w:rsidR="00203893" w:rsidRPr="007114AF">
        <w:rPr>
          <w:rFonts w:ascii="Garamond" w:eastAsiaTheme="minorHAnsi" w:hAnsi="Garamond"/>
          <w:b/>
          <w:sz w:val="24"/>
          <w:szCs w:val="24"/>
          <w:lang w:eastAsia="en-US"/>
        </w:rPr>
        <w:t xml:space="preserve"> </w:t>
      </w:r>
      <w:r w:rsidRPr="007114AF">
        <w:rPr>
          <w:rFonts w:ascii="Garamond" w:eastAsiaTheme="minorHAnsi" w:hAnsi="Garamond"/>
          <w:b/>
          <w:sz w:val="24"/>
          <w:szCs w:val="24"/>
          <w:lang w:eastAsia="en-US"/>
        </w:rPr>
        <w:t xml:space="preserve">Sektori i </w:t>
      </w:r>
      <w:r w:rsidR="00203893" w:rsidRPr="007114AF">
        <w:rPr>
          <w:rFonts w:ascii="Garamond" w:eastAsiaTheme="minorHAnsi" w:hAnsi="Garamond"/>
          <w:b/>
          <w:sz w:val="24"/>
          <w:szCs w:val="24"/>
          <w:lang w:eastAsia="en-US"/>
        </w:rPr>
        <w:t>F</w:t>
      </w:r>
      <w:r w:rsidRPr="007114AF">
        <w:rPr>
          <w:rFonts w:ascii="Garamond" w:eastAsiaTheme="minorHAnsi" w:hAnsi="Garamond"/>
          <w:b/>
          <w:sz w:val="24"/>
          <w:szCs w:val="24"/>
          <w:lang w:eastAsia="en-US"/>
        </w:rPr>
        <w:t>inanc</w:t>
      </w:r>
      <w:r w:rsidR="00203893" w:rsidRPr="007114AF">
        <w:rPr>
          <w:rFonts w:ascii="Garamond" w:eastAsiaTheme="minorHAnsi" w:hAnsi="Garamond"/>
          <w:b/>
          <w:sz w:val="24"/>
          <w:szCs w:val="24"/>
          <w:lang w:eastAsia="en-US"/>
        </w:rPr>
        <w:t>ë</w:t>
      </w:r>
      <w:r w:rsidRPr="007114AF">
        <w:rPr>
          <w:rFonts w:ascii="Garamond" w:eastAsiaTheme="minorHAnsi" w:hAnsi="Garamond"/>
          <w:b/>
          <w:sz w:val="24"/>
          <w:szCs w:val="24"/>
          <w:lang w:eastAsia="en-US"/>
        </w:rPr>
        <w:t>s</w:t>
      </w:r>
    </w:p>
    <w:tbl>
      <w:tblPr>
        <w:tblpPr w:leftFromText="180" w:rightFromText="180" w:vertAnchor="text" w:horzAnchor="margin" w:tblpY="63"/>
        <w:tblW w:w="9466" w:type="dxa"/>
        <w:tblLook w:val="04A0" w:firstRow="1" w:lastRow="0" w:firstColumn="1" w:lastColumn="0" w:noHBand="0" w:noVBand="1"/>
      </w:tblPr>
      <w:tblGrid>
        <w:gridCol w:w="1866"/>
        <w:gridCol w:w="7600"/>
      </w:tblGrid>
      <w:tr w:rsidR="002F4BDF" w:rsidRPr="007114AF" w14:paraId="6EDD1604" w14:textId="77777777" w:rsidTr="003305AE">
        <w:trPr>
          <w:trHeight w:val="509"/>
        </w:trPr>
        <w:tc>
          <w:tcPr>
            <w:tcW w:w="1866" w:type="dxa"/>
            <w:vMerge w:val="restart"/>
            <w:tcBorders>
              <w:top w:val="single" w:sz="12" w:space="0" w:color="auto"/>
              <w:left w:val="single" w:sz="12" w:space="0" w:color="auto"/>
              <w:bottom w:val="single" w:sz="4" w:space="0" w:color="auto"/>
              <w:right w:val="nil"/>
            </w:tcBorders>
            <w:shd w:val="clear" w:color="auto" w:fill="auto"/>
            <w:noWrap/>
            <w:vAlign w:val="bottom"/>
            <w:hideMark/>
          </w:tcPr>
          <w:p w14:paraId="6EDD1602" w14:textId="77777777" w:rsidR="002F4BDF" w:rsidRPr="007114AF" w:rsidRDefault="002F4BDF" w:rsidP="002F4BDF">
            <w:pPr>
              <w:spacing w:after="0" w:line="240" w:lineRule="auto"/>
              <w:jc w:val="left"/>
              <w:rPr>
                <w:rFonts w:ascii="Garamond" w:eastAsia="Times New Roman" w:hAnsi="Garamond" w:cs="Arial"/>
                <w:b/>
                <w:bCs/>
                <w:color w:val="FF0000"/>
                <w:sz w:val="18"/>
                <w:szCs w:val="18"/>
                <w:lang w:eastAsia="en-US"/>
              </w:rPr>
            </w:pPr>
          </w:p>
        </w:tc>
        <w:tc>
          <w:tcPr>
            <w:tcW w:w="760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6EDD1603" w14:textId="77777777" w:rsidR="002F4BDF" w:rsidRPr="007114AF" w:rsidRDefault="002F4BDF" w:rsidP="002F4BDF">
            <w:pPr>
              <w:spacing w:after="0" w:line="240" w:lineRule="auto"/>
              <w:jc w:val="left"/>
              <w:rPr>
                <w:rFonts w:ascii="Garamond" w:eastAsia="Times New Roman" w:hAnsi="Garamond" w:cs="Arial"/>
                <w:b/>
                <w:bCs/>
                <w:sz w:val="18"/>
                <w:szCs w:val="18"/>
                <w:lang w:eastAsia="en-US"/>
              </w:rPr>
            </w:pPr>
            <w:r w:rsidRPr="007114AF">
              <w:rPr>
                <w:rFonts w:ascii="Garamond" w:eastAsia="Times New Roman" w:hAnsi="Garamond" w:cs="Arial"/>
                <w:b/>
                <w:bCs/>
                <w:sz w:val="18"/>
                <w:szCs w:val="18"/>
                <w:lang w:eastAsia="en-US"/>
              </w:rPr>
              <w:t>Institucioni/Programi Buxhetor</w:t>
            </w:r>
          </w:p>
        </w:tc>
      </w:tr>
      <w:tr w:rsidR="002F4BDF" w:rsidRPr="007114AF" w14:paraId="6EDD1607" w14:textId="77777777" w:rsidTr="003305AE">
        <w:trPr>
          <w:trHeight w:val="509"/>
        </w:trPr>
        <w:tc>
          <w:tcPr>
            <w:tcW w:w="1866" w:type="dxa"/>
            <w:vMerge/>
            <w:tcBorders>
              <w:top w:val="single" w:sz="12" w:space="0" w:color="auto"/>
              <w:left w:val="single" w:sz="12" w:space="0" w:color="auto"/>
              <w:bottom w:val="single" w:sz="4" w:space="0" w:color="auto"/>
              <w:right w:val="nil"/>
            </w:tcBorders>
            <w:vAlign w:val="center"/>
            <w:hideMark/>
          </w:tcPr>
          <w:p w14:paraId="6EDD1605" w14:textId="77777777" w:rsidR="002F4BDF" w:rsidRPr="007114AF" w:rsidRDefault="002F4BDF" w:rsidP="002F4BDF">
            <w:pPr>
              <w:spacing w:after="0" w:line="240" w:lineRule="auto"/>
              <w:jc w:val="left"/>
              <w:rPr>
                <w:rFonts w:ascii="Garamond" w:eastAsia="Times New Roman" w:hAnsi="Garamond" w:cs="Arial"/>
                <w:b/>
                <w:bCs/>
                <w:sz w:val="18"/>
                <w:szCs w:val="18"/>
                <w:lang w:eastAsia="en-US"/>
              </w:rPr>
            </w:pPr>
          </w:p>
        </w:tc>
        <w:tc>
          <w:tcPr>
            <w:tcW w:w="7600" w:type="dxa"/>
            <w:vMerge/>
            <w:tcBorders>
              <w:top w:val="single" w:sz="8" w:space="0" w:color="auto"/>
              <w:left w:val="single" w:sz="8" w:space="0" w:color="auto"/>
              <w:bottom w:val="single" w:sz="8" w:space="0" w:color="000000"/>
              <w:right w:val="single" w:sz="8" w:space="0" w:color="auto"/>
            </w:tcBorders>
            <w:vAlign w:val="center"/>
            <w:hideMark/>
          </w:tcPr>
          <w:p w14:paraId="6EDD1606" w14:textId="77777777" w:rsidR="002F4BDF" w:rsidRPr="007114AF" w:rsidRDefault="002F4BDF" w:rsidP="002F4BDF">
            <w:pPr>
              <w:spacing w:after="0" w:line="240" w:lineRule="auto"/>
              <w:jc w:val="left"/>
              <w:rPr>
                <w:rFonts w:ascii="Garamond" w:eastAsia="Times New Roman" w:hAnsi="Garamond" w:cs="Arial"/>
                <w:b/>
                <w:bCs/>
                <w:sz w:val="18"/>
                <w:szCs w:val="18"/>
                <w:lang w:eastAsia="en-US"/>
              </w:rPr>
            </w:pPr>
          </w:p>
        </w:tc>
      </w:tr>
      <w:tr w:rsidR="002F4BDF" w:rsidRPr="007114AF" w14:paraId="6EDD160A" w14:textId="77777777" w:rsidTr="003305AE">
        <w:trPr>
          <w:trHeight w:val="313"/>
        </w:trPr>
        <w:tc>
          <w:tcPr>
            <w:tcW w:w="1866" w:type="dxa"/>
            <w:tcBorders>
              <w:top w:val="nil"/>
              <w:left w:val="single" w:sz="12" w:space="0" w:color="auto"/>
              <w:bottom w:val="nil"/>
              <w:right w:val="nil"/>
            </w:tcBorders>
            <w:shd w:val="clear" w:color="auto" w:fill="auto"/>
            <w:noWrap/>
            <w:vAlign w:val="bottom"/>
            <w:hideMark/>
          </w:tcPr>
          <w:p w14:paraId="6EDD1608" w14:textId="77777777" w:rsidR="002F4BDF" w:rsidRPr="007114AF" w:rsidRDefault="002F4BDF" w:rsidP="002F4BDF">
            <w:pPr>
              <w:spacing w:after="0" w:line="240" w:lineRule="auto"/>
              <w:jc w:val="left"/>
              <w:rPr>
                <w:rFonts w:ascii="Garamond" w:eastAsia="Times New Roman" w:hAnsi="Garamond" w:cs="Arial"/>
                <w:b/>
                <w:bCs/>
                <w:sz w:val="18"/>
                <w:szCs w:val="18"/>
                <w:lang w:eastAsia="en-US"/>
              </w:rPr>
            </w:pPr>
            <w:r w:rsidRPr="007114AF">
              <w:rPr>
                <w:rFonts w:ascii="Garamond" w:eastAsia="Times New Roman" w:hAnsi="Garamond" w:cs="Arial"/>
                <w:b/>
                <w:bCs/>
                <w:sz w:val="18"/>
                <w:szCs w:val="18"/>
                <w:lang w:eastAsia="en-US"/>
              </w:rPr>
              <w:t>Klasifikimi i Buxhetit</w:t>
            </w:r>
          </w:p>
        </w:tc>
        <w:tc>
          <w:tcPr>
            <w:tcW w:w="7600" w:type="dxa"/>
            <w:vMerge/>
            <w:tcBorders>
              <w:top w:val="single" w:sz="8" w:space="0" w:color="auto"/>
              <w:left w:val="single" w:sz="8" w:space="0" w:color="auto"/>
              <w:bottom w:val="single" w:sz="8" w:space="0" w:color="000000"/>
              <w:right w:val="single" w:sz="8" w:space="0" w:color="auto"/>
            </w:tcBorders>
            <w:vAlign w:val="center"/>
            <w:hideMark/>
          </w:tcPr>
          <w:p w14:paraId="6EDD1609" w14:textId="77777777" w:rsidR="002F4BDF" w:rsidRPr="007114AF" w:rsidRDefault="002F4BDF" w:rsidP="002F4BDF">
            <w:pPr>
              <w:spacing w:after="0" w:line="240" w:lineRule="auto"/>
              <w:jc w:val="left"/>
              <w:rPr>
                <w:rFonts w:ascii="Garamond" w:eastAsia="Times New Roman" w:hAnsi="Garamond" w:cs="Arial"/>
                <w:b/>
                <w:bCs/>
                <w:sz w:val="18"/>
                <w:szCs w:val="18"/>
                <w:lang w:eastAsia="en-US"/>
              </w:rPr>
            </w:pPr>
          </w:p>
        </w:tc>
      </w:tr>
      <w:tr w:rsidR="002F4BDF" w:rsidRPr="007114AF" w14:paraId="6EDD160D" w14:textId="77777777" w:rsidTr="003305AE">
        <w:trPr>
          <w:trHeight w:val="255"/>
        </w:trPr>
        <w:tc>
          <w:tcPr>
            <w:tcW w:w="1866" w:type="dxa"/>
            <w:tcBorders>
              <w:top w:val="single" w:sz="4" w:space="0" w:color="auto"/>
              <w:left w:val="single" w:sz="12" w:space="0" w:color="auto"/>
              <w:bottom w:val="dotted" w:sz="4" w:space="0" w:color="auto"/>
              <w:right w:val="nil"/>
            </w:tcBorders>
            <w:shd w:val="clear" w:color="auto" w:fill="auto"/>
            <w:vAlign w:val="bottom"/>
            <w:hideMark/>
          </w:tcPr>
          <w:p w14:paraId="6EDD160B" w14:textId="77777777" w:rsidR="002F4BDF" w:rsidRPr="007114AF" w:rsidRDefault="002F4BDF" w:rsidP="002F4BDF">
            <w:pPr>
              <w:spacing w:after="0" w:line="240" w:lineRule="auto"/>
              <w:jc w:val="left"/>
              <w:rPr>
                <w:rFonts w:ascii="Garamond" w:eastAsia="Times New Roman" w:hAnsi="Garamond" w:cs="Arial"/>
                <w:b/>
                <w:bCs/>
                <w:sz w:val="18"/>
                <w:szCs w:val="18"/>
                <w:lang w:eastAsia="en-US"/>
              </w:rPr>
            </w:pPr>
            <w:r w:rsidRPr="007114AF">
              <w:rPr>
                <w:rFonts w:ascii="Garamond" w:eastAsia="Times New Roman" w:hAnsi="Garamond" w:cs="Arial"/>
                <w:b/>
                <w:bCs/>
                <w:sz w:val="18"/>
                <w:szCs w:val="18"/>
                <w:lang w:eastAsia="en-US"/>
              </w:rPr>
              <w:t>4</w:t>
            </w:r>
          </w:p>
        </w:tc>
        <w:tc>
          <w:tcPr>
            <w:tcW w:w="7600" w:type="dxa"/>
            <w:tcBorders>
              <w:top w:val="nil"/>
              <w:left w:val="single" w:sz="4" w:space="0" w:color="auto"/>
              <w:bottom w:val="dotted" w:sz="4" w:space="0" w:color="auto"/>
              <w:right w:val="single" w:sz="4" w:space="0" w:color="auto"/>
            </w:tcBorders>
            <w:shd w:val="clear" w:color="auto" w:fill="auto"/>
            <w:noWrap/>
            <w:vAlign w:val="bottom"/>
            <w:hideMark/>
          </w:tcPr>
          <w:p w14:paraId="6EDD160C" w14:textId="77777777" w:rsidR="002F4BDF" w:rsidRPr="007114AF" w:rsidRDefault="002F4BDF" w:rsidP="002F4BDF">
            <w:pPr>
              <w:spacing w:after="0" w:line="240" w:lineRule="auto"/>
              <w:jc w:val="left"/>
              <w:rPr>
                <w:rFonts w:ascii="Garamond" w:eastAsia="Times New Roman" w:hAnsi="Garamond" w:cs="Arial"/>
                <w:b/>
                <w:bCs/>
                <w:sz w:val="18"/>
                <w:szCs w:val="18"/>
                <w:lang w:eastAsia="en-US"/>
              </w:rPr>
            </w:pPr>
            <w:r w:rsidRPr="007114AF">
              <w:rPr>
                <w:rFonts w:ascii="Garamond" w:eastAsia="Times New Roman" w:hAnsi="Garamond" w:cs="Arial"/>
                <w:b/>
                <w:bCs/>
                <w:sz w:val="18"/>
                <w:szCs w:val="18"/>
                <w:lang w:eastAsia="en-US"/>
              </w:rPr>
              <w:t>Ministria e Zhvillimit Ekonomik, Turizmit, Tregtisë dhe Sipërmarrjes</w:t>
            </w:r>
          </w:p>
        </w:tc>
      </w:tr>
      <w:tr w:rsidR="002F4BDF" w:rsidRPr="007114AF" w14:paraId="6EDD1610" w14:textId="77777777" w:rsidTr="003305AE">
        <w:trPr>
          <w:trHeight w:val="255"/>
        </w:trPr>
        <w:tc>
          <w:tcPr>
            <w:tcW w:w="1866" w:type="dxa"/>
            <w:tcBorders>
              <w:top w:val="nil"/>
              <w:left w:val="single" w:sz="12" w:space="0" w:color="auto"/>
              <w:bottom w:val="dotted" w:sz="4" w:space="0" w:color="auto"/>
              <w:right w:val="nil"/>
            </w:tcBorders>
            <w:shd w:val="clear" w:color="auto" w:fill="auto"/>
            <w:noWrap/>
            <w:vAlign w:val="bottom"/>
            <w:hideMark/>
          </w:tcPr>
          <w:p w14:paraId="6EDD160E" w14:textId="77777777" w:rsidR="002F4BDF" w:rsidRPr="007114AF" w:rsidRDefault="002F4BDF" w:rsidP="002F4BDF">
            <w:pPr>
              <w:spacing w:after="0" w:line="240" w:lineRule="auto"/>
              <w:jc w:val="left"/>
              <w:rPr>
                <w:rFonts w:ascii="Garamond" w:eastAsia="Times New Roman" w:hAnsi="Garamond" w:cs="Arial"/>
                <w:sz w:val="18"/>
                <w:szCs w:val="18"/>
                <w:lang w:eastAsia="en-US"/>
              </w:rPr>
            </w:pPr>
            <w:r w:rsidRPr="007114AF">
              <w:rPr>
                <w:rFonts w:ascii="Garamond" w:eastAsia="Times New Roman" w:hAnsi="Garamond" w:cs="Arial"/>
                <w:sz w:val="18"/>
                <w:szCs w:val="18"/>
                <w:lang w:eastAsia="en-US"/>
              </w:rPr>
              <w:t>04130</w:t>
            </w:r>
          </w:p>
        </w:tc>
        <w:tc>
          <w:tcPr>
            <w:tcW w:w="7600" w:type="dxa"/>
            <w:tcBorders>
              <w:top w:val="nil"/>
              <w:left w:val="single" w:sz="4" w:space="0" w:color="auto"/>
              <w:bottom w:val="dotted" w:sz="4" w:space="0" w:color="auto"/>
              <w:right w:val="single" w:sz="4" w:space="0" w:color="auto"/>
            </w:tcBorders>
            <w:shd w:val="clear" w:color="auto" w:fill="auto"/>
            <w:noWrap/>
            <w:vAlign w:val="bottom"/>
            <w:hideMark/>
          </w:tcPr>
          <w:p w14:paraId="6EDD160F" w14:textId="77777777" w:rsidR="002F4BDF" w:rsidRPr="007114AF" w:rsidRDefault="002F4BDF" w:rsidP="002F4BDF">
            <w:pPr>
              <w:spacing w:after="0" w:line="240" w:lineRule="auto"/>
              <w:jc w:val="left"/>
              <w:rPr>
                <w:rFonts w:ascii="Garamond" w:eastAsia="Times New Roman" w:hAnsi="Garamond" w:cs="Arial"/>
                <w:sz w:val="18"/>
                <w:szCs w:val="18"/>
                <w:lang w:eastAsia="en-US"/>
              </w:rPr>
            </w:pPr>
            <w:r w:rsidRPr="007114AF">
              <w:rPr>
                <w:rFonts w:ascii="Garamond" w:eastAsia="Times New Roman" w:hAnsi="Garamond" w:cs="Arial"/>
                <w:sz w:val="18"/>
                <w:szCs w:val="18"/>
                <w:lang w:eastAsia="en-US"/>
              </w:rPr>
              <w:t>Mbështetje për Zhvillimin Ekonomik</w:t>
            </w:r>
          </w:p>
        </w:tc>
      </w:tr>
      <w:tr w:rsidR="002F4BDF" w:rsidRPr="007114AF" w14:paraId="6EDD1613" w14:textId="77777777" w:rsidTr="003305AE">
        <w:trPr>
          <w:trHeight w:val="255"/>
        </w:trPr>
        <w:tc>
          <w:tcPr>
            <w:tcW w:w="1866" w:type="dxa"/>
            <w:tcBorders>
              <w:top w:val="dotted" w:sz="4" w:space="0" w:color="auto"/>
              <w:left w:val="single" w:sz="12" w:space="0" w:color="auto"/>
              <w:bottom w:val="nil"/>
              <w:right w:val="nil"/>
            </w:tcBorders>
            <w:shd w:val="clear" w:color="000000" w:fill="DCE6F1"/>
            <w:noWrap/>
            <w:vAlign w:val="bottom"/>
            <w:hideMark/>
          </w:tcPr>
          <w:p w14:paraId="6EDD1611" w14:textId="77777777" w:rsidR="002F4BDF" w:rsidRPr="007114AF" w:rsidRDefault="002F4BDF" w:rsidP="002F4BDF">
            <w:pPr>
              <w:spacing w:after="0" w:line="240" w:lineRule="auto"/>
              <w:jc w:val="left"/>
              <w:rPr>
                <w:rFonts w:ascii="Garamond" w:eastAsia="Times New Roman" w:hAnsi="Garamond" w:cs="Arial"/>
                <w:sz w:val="18"/>
                <w:szCs w:val="18"/>
                <w:lang w:eastAsia="en-US"/>
              </w:rPr>
            </w:pPr>
            <w:r w:rsidRPr="007114AF">
              <w:rPr>
                <w:rFonts w:ascii="Garamond" w:eastAsia="Times New Roman" w:hAnsi="Garamond" w:cs="Arial"/>
                <w:sz w:val="18"/>
                <w:szCs w:val="18"/>
                <w:lang w:eastAsia="en-US"/>
              </w:rPr>
              <w:t>04760</w:t>
            </w:r>
          </w:p>
        </w:tc>
        <w:tc>
          <w:tcPr>
            <w:tcW w:w="7600" w:type="dxa"/>
            <w:tcBorders>
              <w:top w:val="dotted" w:sz="4" w:space="0" w:color="auto"/>
              <w:left w:val="single" w:sz="4" w:space="0" w:color="auto"/>
              <w:bottom w:val="nil"/>
              <w:right w:val="single" w:sz="4" w:space="0" w:color="auto"/>
            </w:tcBorders>
            <w:shd w:val="clear" w:color="000000" w:fill="DCE6F1"/>
            <w:noWrap/>
            <w:vAlign w:val="bottom"/>
            <w:hideMark/>
          </w:tcPr>
          <w:p w14:paraId="6EDD1612" w14:textId="77777777" w:rsidR="002F4BDF" w:rsidRPr="007114AF" w:rsidRDefault="002F4BDF" w:rsidP="002F4BDF">
            <w:pPr>
              <w:spacing w:after="0" w:line="240" w:lineRule="auto"/>
              <w:jc w:val="left"/>
              <w:rPr>
                <w:rFonts w:ascii="Garamond" w:eastAsia="Times New Roman" w:hAnsi="Garamond" w:cs="Arial"/>
                <w:sz w:val="18"/>
                <w:szCs w:val="18"/>
                <w:lang w:eastAsia="en-US"/>
              </w:rPr>
            </w:pPr>
            <w:r w:rsidRPr="007114AF">
              <w:rPr>
                <w:rFonts w:ascii="Garamond" w:eastAsia="Times New Roman" w:hAnsi="Garamond" w:cs="Arial"/>
                <w:sz w:val="18"/>
                <w:szCs w:val="18"/>
                <w:lang w:eastAsia="en-US"/>
              </w:rPr>
              <w:t>Zhvillimi i Turizmit</w:t>
            </w:r>
          </w:p>
        </w:tc>
      </w:tr>
      <w:tr w:rsidR="002F4BDF" w:rsidRPr="007114AF" w14:paraId="6EDD1616" w14:textId="77777777" w:rsidTr="003305AE">
        <w:trPr>
          <w:trHeight w:val="255"/>
        </w:trPr>
        <w:tc>
          <w:tcPr>
            <w:tcW w:w="1866" w:type="dxa"/>
            <w:tcBorders>
              <w:top w:val="single" w:sz="4" w:space="0" w:color="auto"/>
              <w:left w:val="single" w:sz="12" w:space="0" w:color="auto"/>
              <w:bottom w:val="dotted" w:sz="4" w:space="0" w:color="auto"/>
              <w:right w:val="nil"/>
            </w:tcBorders>
            <w:shd w:val="clear" w:color="auto" w:fill="auto"/>
            <w:vAlign w:val="bottom"/>
            <w:hideMark/>
          </w:tcPr>
          <w:p w14:paraId="6EDD1614" w14:textId="77777777" w:rsidR="002F4BDF" w:rsidRPr="007114AF" w:rsidRDefault="002F4BDF" w:rsidP="002F4BDF">
            <w:pPr>
              <w:spacing w:after="0" w:line="240" w:lineRule="auto"/>
              <w:jc w:val="left"/>
              <w:rPr>
                <w:rFonts w:ascii="Garamond" w:eastAsia="Times New Roman" w:hAnsi="Garamond" w:cs="Arial"/>
                <w:b/>
                <w:bCs/>
                <w:sz w:val="18"/>
                <w:szCs w:val="18"/>
                <w:lang w:eastAsia="en-US"/>
              </w:rPr>
            </w:pPr>
            <w:r w:rsidRPr="007114AF">
              <w:rPr>
                <w:rFonts w:ascii="Garamond" w:eastAsia="Times New Roman" w:hAnsi="Garamond" w:cs="Arial"/>
                <w:b/>
                <w:bCs/>
                <w:sz w:val="18"/>
                <w:szCs w:val="18"/>
                <w:lang w:eastAsia="en-US"/>
              </w:rPr>
              <w:t>5</w:t>
            </w:r>
          </w:p>
        </w:tc>
        <w:tc>
          <w:tcPr>
            <w:tcW w:w="7600" w:type="dxa"/>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6EDD1615" w14:textId="77777777" w:rsidR="002F4BDF" w:rsidRPr="007114AF" w:rsidRDefault="002F4BDF" w:rsidP="002F4BDF">
            <w:pPr>
              <w:spacing w:after="0" w:line="240" w:lineRule="auto"/>
              <w:jc w:val="left"/>
              <w:rPr>
                <w:rFonts w:ascii="Garamond" w:eastAsia="Times New Roman" w:hAnsi="Garamond" w:cs="Arial"/>
                <w:b/>
                <w:bCs/>
                <w:sz w:val="18"/>
                <w:szCs w:val="18"/>
                <w:lang w:eastAsia="en-US"/>
              </w:rPr>
            </w:pPr>
            <w:r w:rsidRPr="007114AF">
              <w:rPr>
                <w:rFonts w:ascii="Garamond" w:eastAsia="Times New Roman" w:hAnsi="Garamond" w:cs="Arial"/>
                <w:b/>
                <w:bCs/>
                <w:sz w:val="18"/>
                <w:szCs w:val="18"/>
                <w:lang w:eastAsia="en-US"/>
              </w:rPr>
              <w:t>Ministria e Bujqësisë, Zhvillimit Rural dhe Administrimit të Ujërave</w:t>
            </w:r>
          </w:p>
        </w:tc>
      </w:tr>
      <w:tr w:rsidR="002F4BDF" w:rsidRPr="007114AF" w14:paraId="6EDD1619" w14:textId="77777777" w:rsidTr="003305AE">
        <w:trPr>
          <w:trHeight w:val="255"/>
        </w:trPr>
        <w:tc>
          <w:tcPr>
            <w:tcW w:w="1866" w:type="dxa"/>
            <w:tcBorders>
              <w:top w:val="nil"/>
              <w:left w:val="single" w:sz="12" w:space="0" w:color="auto"/>
              <w:bottom w:val="dotted" w:sz="4" w:space="0" w:color="auto"/>
              <w:right w:val="nil"/>
            </w:tcBorders>
            <w:shd w:val="clear" w:color="000000" w:fill="DCE6F1"/>
            <w:noWrap/>
            <w:vAlign w:val="bottom"/>
            <w:hideMark/>
          </w:tcPr>
          <w:p w14:paraId="6EDD1617" w14:textId="77777777" w:rsidR="002F4BDF" w:rsidRPr="007114AF" w:rsidRDefault="002F4BDF" w:rsidP="002F4BDF">
            <w:pPr>
              <w:spacing w:after="0" w:line="240" w:lineRule="auto"/>
              <w:jc w:val="left"/>
              <w:rPr>
                <w:rFonts w:ascii="Garamond" w:eastAsia="Times New Roman" w:hAnsi="Garamond" w:cs="Arial"/>
                <w:sz w:val="18"/>
                <w:szCs w:val="18"/>
                <w:lang w:eastAsia="en-US"/>
              </w:rPr>
            </w:pPr>
            <w:r w:rsidRPr="007114AF">
              <w:rPr>
                <w:rFonts w:ascii="Garamond" w:eastAsia="Times New Roman" w:hAnsi="Garamond" w:cs="Arial"/>
                <w:sz w:val="18"/>
                <w:szCs w:val="18"/>
                <w:lang w:eastAsia="en-US"/>
              </w:rPr>
              <w:t>04220</w:t>
            </w:r>
          </w:p>
        </w:tc>
        <w:tc>
          <w:tcPr>
            <w:tcW w:w="7600" w:type="dxa"/>
            <w:tcBorders>
              <w:top w:val="nil"/>
              <w:left w:val="single" w:sz="4" w:space="0" w:color="auto"/>
              <w:bottom w:val="dotted" w:sz="4" w:space="0" w:color="auto"/>
              <w:right w:val="single" w:sz="4" w:space="0" w:color="auto"/>
            </w:tcBorders>
            <w:shd w:val="clear" w:color="000000" w:fill="DCE6F1"/>
            <w:noWrap/>
            <w:vAlign w:val="bottom"/>
            <w:hideMark/>
          </w:tcPr>
          <w:p w14:paraId="6EDD1618" w14:textId="77777777" w:rsidR="002F4BDF" w:rsidRPr="007114AF" w:rsidRDefault="002F4BDF" w:rsidP="002F4BDF">
            <w:pPr>
              <w:spacing w:after="0" w:line="240" w:lineRule="auto"/>
              <w:jc w:val="left"/>
              <w:rPr>
                <w:rFonts w:ascii="Garamond" w:eastAsia="Times New Roman" w:hAnsi="Garamond" w:cs="Arial"/>
                <w:sz w:val="18"/>
                <w:szCs w:val="18"/>
                <w:lang w:eastAsia="en-US"/>
              </w:rPr>
            </w:pPr>
            <w:r w:rsidRPr="007114AF">
              <w:rPr>
                <w:rFonts w:ascii="Garamond" w:eastAsia="Times New Roman" w:hAnsi="Garamond" w:cs="Arial"/>
                <w:sz w:val="18"/>
                <w:szCs w:val="18"/>
                <w:lang w:eastAsia="en-US"/>
              </w:rPr>
              <w:t>Siguria e ushqimit dhe mbrojtja e konsumatorit</w:t>
            </w:r>
          </w:p>
        </w:tc>
      </w:tr>
      <w:tr w:rsidR="002F4BDF" w:rsidRPr="007114AF" w14:paraId="6EDD161C" w14:textId="77777777" w:rsidTr="003305AE">
        <w:trPr>
          <w:trHeight w:val="255"/>
        </w:trPr>
        <w:tc>
          <w:tcPr>
            <w:tcW w:w="1866" w:type="dxa"/>
            <w:tcBorders>
              <w:top w:val="nil"/>
              <w:left w:val="single" w:sz="12" w:space="0" w:color="auto"/>
              <w:bottom w:val="dotted" w:sz="4" w:space="0" w:color="auto"/>
              <w:right w:val="nil"/>
            </w:tcBorders>
            <w:shd w:val="clear" w:color="000000" w:fill="DCE6F1"/>
            <w:noWrap/>
            <w:vAlign w:val="bottom"/>
            <w:hideMark/>
          </w:tcPr>
          <w:p w14:paraId="6EDD161A" w14:textId="77777777" w:rsidR="002F4BDF" w:rsidRPr="007114AF" w:rsidRDefault="002F4BDF" w:rsidP="002F4BDF">
            <w:pPr>
              <w:spacing w:after="0" w:line="240" w:lineRule="auto"/>
              <w:jc w:val="left"/>
              <w:rPr>
                <w:rFonts w:ascii="Garamond" w:eastAsia="Times New Roman" w:hAnsi="Garamond" w:cs="Arial"/>
                <w:sz w:val="18"/>
                <w:szCs w:val="18"/>
                <w:lang w:eastAsia="en-US"/>
              </w:rPr>
            </w:pPr>
            <w:r w:rsidRPr="007114AF">
              <w:rPr>
                <w:rFonts w:ascii="Garamond" w:eastAsia="Times New Roman" w:hAnsi="Garamond" w:cs="Arial"/>
                <w:sz w:val="18"/>
                <w:szCs w:val="18"/>
                <w:lang w:eastAsia="en-US"/>
              </w:rPr>
              <w:t>04240</w:t>
            </w:r>
          </w:p>
        </w:tc>
        <w:tc>
          <w:tcPr>
            <w:tcW w:w="7600" w:type="dxa"/>
            <w:tcBorders>
              <w:top w:val="nil"/>
              <w:left w:val="single" w:sz="4" w:space="0" w:color="auto"/>
              <w:bottom w:val="dotted" w:sz="4" w:space="0" w:color="auto"/>
              <w:right w:val="single" w:sz="4" w:space="0" w:color="auto"/>
            </w:tcBorders>
            <w:shd w:val="clear" w:color="000000" w:fill="DCE6F1"/>
            <w:noWrap/>
            <w:vAlign w:val="bottom"/>
            <w:hideMark/>
          </w:tcPr>
          <w:p w14:paraId="6EDD161B" w14:textId="77777777" w:rsidR="002F4BDF" w:rsidRPr="007114AF" w:rsidRDefault="002F4BDF" w:rsidP="002F4BDF">
            <w:pPr>
              <w:spacing w:after="0" w:line="240" w:lineRule="auto"/>
              <w:jc w:val="left"/>
              <w:rPr>
                <w:rFonts w:ascii="Garamond" w:eastAsia="Times New Roman" w:hAnsi="Garamond" w:cs="Arial"/>
                <w:sz w:val="18"/>
                <w:szCs w:val="18"/>
                <w:lang w:eastAsia="en-US"/>
              </w:rPr>
            </w:pPr>
            <w:r w:rsidRPr="007114AF">
              <w:rPr>
                <w:rFonts w:ascii="Garamond" w:eastAsia="Times New Roman" w:hAnsi="Garamond" w:cs="Arial"/>
                <w:sz w:val="18"/>
                <w:szCs w:val="18"/>
                <w:lang w:eastAsia="en-US"/>
              </w:rPr>
              <w:t>Menaxhimi i infrastrukturës së kullimit dhe ujitjes</w:t>
            </w:r>
          </w:p>
        </w:tc>
      </w:tr>
      <w:tr w:rsidR="002F4BDF" w:rsidRPr="007114AF" w14:paraId="6EDD161F" w14:textId="77777777" w:rsidTr="003305AE">
        <w:trPr>
          <w:trHeight w:val="255"/>
        </w:trPr>
        <w:tc>
          <w:tcPr>
            <w:tcW w:w="1866" w:type="dxa"/>
            <w:tcBorders>
              <w:top w:val="nil"/>
              <w:left w:val="single" w:sz="12" w:space="0" w:color="auto"/>
              <w:bottom w:val="dotted" w:sz="4" w:space="0" w:color="auto"/>
              <w:right w:val="nil"/>
            </w:tcBorders>
            <w:shd w:val="clear" w:color="000000" w:fill="DCE6F1"/>
            <w:noWrap/>
            <w:vAlign w:val="bottom"/>
            <w:hideMark/>
          </w:tcPr>
          <w:p w14:paraId="6EDD161D" w14:textId="77777777" w:rsidR="002F4BDF" w:rsidRPr="007114AF" w:rsidRDefault="002F4BDF" w:rsidP="002F4BDF">
            <w:pPr>
              <w:spacing w:after="0" w:line="240" w:lineRule="auto"/>
              <w:jc w:val="left"/>
              <w:rPr>
                <w:rFonts w:ascii="Garamond" w:eastAsia="Times New Roman" w:hAnsi="Garamond" w:cs="Arial"/>
                <w:sz w:val="18"/>
                <w:szCs w:val="18"/>
                <w:lang w:eastAsia="en-US"/>
              </w:rPr>
            </w:pPr>
            <w:r w:rsidRPr="007114AF">
              <w:rPr>
                <w:rFonts w:ascii="Garamond" w:eastAsia="Times New Roman" w:hAnsi="Garamond" w:cs="Arial"/>
                <w:sz w:val="18"/>
                <w:szCs w:val="18"/>
                <w:lang w:eastAsia="en-US"/>
              </w:rPr>
              <w:t>04250</w:t>
            </w:r>
          </w:p>
        </w:tc>
        <w:tc>
          <w:tcPr>
            <w:tcW w:w="7600" w:type="dxa"/>
            <w:tcBorders>
              <w:top w:val="nil"/>
              <w:left w:val="single" w:sz="4" w:space="0" w:color="auto"/>
              <w:bottom w:val="dotted" w:sz="4" w:space="0" w:color="auto"/>
              <w:right w:val="single" w:sz="4" w:space="0" w:color="auto"/>
            </w:tcBorders>
            <w:shd w:val="clear" w:color="000000" w:fill="DCE6F1"/>
            <w:noWrap/>
            <w:vAlign w:val="bottom"/>
            <w:hideMark/>
          </w:tcPr>
          <w:p w14:paraId="6EDD161E" w14:textId="174FA572" w:rsidR="002F4BDF" w:rsidRPr="007114AF" w:rsidRDefault="002F4BDF" w:rsidP="002F4BDF">
            <w:pPr>
              <w:spacing w:after="0" w:line="240" w:lineRule="auto"/>
              <w:jc w:val="left"/>
              <w:rPr>
                <w:rFonts w:ascii="Garamond" w:eastAsia="Times New Roman" w:hAnsi="Garamond" w:cs="Arial"/>
                <w:sz w:val="18"/>
                <w:szCs w:val="18"/>
                <w:lang w:eastAsia="en-US"/>
              </w:rPr>
            </w:pPr>
            <w:r w:rsidRPr="007114AF">
              <w:rPr>
                <w:rFonts w:ascii="Garamond" w:eastAsia="Times New Roman" w:hAnsi="Garamond" w:cs="Arial"/>
                <w:sz w:val="18"/>
                <w:szCs w:val="18"/>
                <w:lang w:eastAsia="en-US"/>
              </w:rPr>
              <w:t>Mbështetja e Zhvillimit Rural, Prodhimit Bujqësor,</w:t>
            </w:r>
            <w:r w:rsidR="000A2A01" w:rsidRPr="007114AF">
              <w:rPr>
                <w:rFonts w:ascii="Garamond" w:eastAsia="Times New Roman" w:hAnsi="Garamond" w:cs="Arial"/>
                <w:sz w:val="18"/>
                <w:szCs w:val="18"/>
                <w:lang w:eastAsia="en-US"/>
              </w:rPr>
              <w:t xml:space="preserve"> </w:t>
            </w:r>
            <w:r w:rsidRPr="007114AF">
              <w:rPr>
                <w:rFonts w:ascii="Garamond" w:eastAsia="Times New Roman" w:hAnsi="Garamond" w:cs="Arial"/>
                <w:sz w:val="18"/>
                <w:szCs w:val="18"/>
                <w:lang w:eastAsia="en-US"/>
              </w:rPr>
              <w:t>Blegtoral, Agro-industrisë dhe Tregut</w:t>
            </w:r>
          </w:p>
        </w:tc>
      </w:tr>
      <w:tr w:rsidR="002F4BDF" w:rsidRPr="007114AF" w14:paraId="6EDD1622" w14:textId="77777777" w:rsidTr="003305AE">
        <w:trPr>
          <w:trHeight w:val="255"/>
        </w:trPr>
        <w:tc>
          <w:tcPr>
            <w:tcW w:w="1866" w:type="dxa"/>
            <w:tcBorders>
              <w:top w:val="nil"/>
              <w:left w:val="single" w:sz="12" w:space="0" w:color="auto"/>
              <w:bottom w:val="dotted" w:sz="4" w:space="0" w:color="auto"/>
              <w:right w:val="nil"/>
            </w:tcBorders>
            <w:shd w:val="clear" w:color="000000" w:fill="DCE6F1"/>
            <w:noWrap/>
            <w:vAlign w:val="bottom"/>
            <w:hideMark/>
          </w:tcPr>
          <w:p w14:paraId="6EDD1620" w14:textId="77777777" w:rsidR="002F4BDF" w:rsidRPr="007114AF" w:rsidRDefault="002F4BDF" w:rsidP="002F4BDF">
            <w:pPr>
              <w:spacing w:after="0" w:line="240" w:lineRule="auto"/>
              <w:jc w:val="left"/>
              <w:rPr>
                <w:rFonts w:ascii="Garamond" w:eastAsia="Times New Roman" w:hAnsi="Garamond" w:cs="Arial"/>
                <w:sz w:val="18"/>
                <w:szCs w:val="18"/>
                <w:lang w:eastAsia="en-US"/>
              </w:rPr>
            </w:pPr>
            <w:r w:rsidRPr="007114AF">
              <w:rPr>
                <w:rFonts w:ascii="Garamond" w:eastAsia="Times New Roman" w:hAnsi="Garamond" w:cs="Arial"/>
                <w:sz w:val="18"/>
                <w:szCs w:val="18"/>
                <w:lang w:eastAsia="en-US"/>
              </w:rPr>
              <w:t>04860</w:t>
            </w:r>
          </w:p>
        </w:tc>
        <w:tc>
          <w:tcPr>
            <w:tcW w:w="7600" w:type="dxa"/>
            <w:tcBorders>
              <w:top w:val="nil"/>
              <w:left w:val="single" w:sz="4" w:space="0" w:color="auto"/>
              <w:bottom w:val="dotted" w:sz="4" w:space="0" w:color="auto"/>
              <w:right w:val="single" w:sz="4" w:space="0" w:color="auto"/>
            </w:tcBorders>
            <w:shd w:val="clear" w:color="000000" w:fill="DCE6F1"/>
            <w:noWrap/>
            <w:vAlign w:val="bottom"/>
            <w:hideMark/>
          </w:tcPr>
          <w:p w14:paraId="6EDD1621" w14:textId="77777777" w:rsidR="002F4BDF" w:rsidRPr="007114AF" w:rsidRDefault="002F4BDF" w:rsidP="002F4BDF">
            <w:pPr>
              <w:spacing w:after="0" w:line="240" w:lineRule="auto"/>
              <w:jc w:val="left"/>
              <w:rPr>
                <w:rFonts w:ascii="Garamond" w:eastAsia="Times New Roman" w:hAnsi="Garamond" w:cs="Arial"/>
                <w:sz w:val="18"/>
                <w:szCs w:val="18"/>
                <w:lang w:eastAsia="en-US"/>
              </w:rPr>
            </w:pPr>
            <w:r w:rsidRPr="007114AF">
              <w:rPr>
                <w:rFonts w:ascii="Garamond" w:eastAsia="Times New Roman" w:hAnsi="Garamond" w:cs="Arial"/>
                <w:sz w:val="18"/>
                <w:szCs w:val="18"/>
                <w:lang w:eastAsia="en-US"/>
              </w:rPr>
              <w:t>Këshillim dhe Informacion Bujqësor</w:t>
            </w:r>
          </w:p>
        </w:tc>
      </w:tr>
      <w:tr w:rsidR="002F4BDF" w:rsidRPr="007114AF" w14:paraId="6EDD1625" w14:textId="77777777" w:rsidTr="003305AE">
        <w:trPr>
          <w:trHeight w:val="255"/>
        </w:trPr>
        <w:tc>
          <w:tcPr>
            <w:tcW w:w="1866" w:type="dxa"/>
            <w:tcBorders>
              <w:top w:val="nil"/>
              <w:left w:val="single" w:sz="12" w:space="0" w:color="auto"/>
              <w:bottom w:val="dotted" w:sz="4" w:space="0" w:color="auto"/>
              <w:right w:val="nil"/>
            </w:tcBorders>
            <w:shd w:val="clear" w:color="000000" w:fill="DCE6F1"/>
            <w:noWrap/>
            <w:vAlign w:val="bottom"/>
            <w:hideMark/>
          </w:tcPr>
          <w:p w14:paraId="6EDD1623" w14:textId="77777777" w:rsidR="002F4BDF" w:rsidRPr="007114AF" w:rsidRDefault="002F4BDF" w:rsidP="002F4BDF">
            <w:pPr>
              <w:spacing w:after="0" w:line="240" w:lineRule="auto"/>
              <w:jc w:val="left"/>
              <w:rPr>
                <w:rFonts w:ascii="Garamond" w:eastAsia="Times New Roman" w:hAnsi="Garamond" w:cs="Arial"/>
                <w:sz w:val="18"/>
                <w:szCs w:val="18"/>
                <w:lang w:eastAsia="en-US"/>
              </w:rPr>
            </w:pPr>
            <w:r w:rsidRPr="007114AF">
              <w:rPr>
                <w:rFonts w:ascii="Garamond" w:eastAsia="Times New Roman" w:hAnsi="Garamond" w:cs="Arial"/>
                <w:sz w:val="18"/>
                <w:szCs w:val="18"/>
                <w:lang w:eastAsia="en-US"/>
              </w:rPr>
              <w:t>05470</w:t>
            </w:r>
          </w:p>
        </w:tc>
        <w:tc>
          <w:tcPr>
            <w:tcW w:w="7600" w:type="dxa"/>
            <w:tcBorders>
              <w:top w:val="nil"/>
              <w:left w:val="single" w:sz="4" w:space="0" w:color="auto"/>
              <w:bottom w:val="dotted" w:sz="4" w:space="0" w:color="auto"/>
              <w:right w:val="single" w:sz="4" w:space="0" w:color="auto"/>
            </w:tcBorders>
            <w:shd w:val="clear" w:color="000000" w:fill="DCE6F1"/>
            <w:noWrap/>
            <w:vAlign w:val="bottom"/>
            <w:hideMark/>
          </w:tcPr>
          <w:p w14:paraId="6EDD1624" w14:textId="77777777" w:rsidR="002F4BDF" w:rsidRPr="007114AF" w:rsidRDefault="002F4BDF" w:rsidP="002F4BDF">
            <w:pPr>
              <w:spacing w:after="0" w:line="240" w:lineRule="auto"/>
              <w:jc w:val="left"/>
              <w:rPr>
                <w:rFonts w:ascii="Garamond" w:eastAsia="Times New Roman" w:hAnsi="Garamond" w:cs="Arial"/>
                <w:sz w:val="18"/>
                <w:szCs w:val="18"/>
                <w:lang w:eastAsia="en-US"/>
              </w:rPr>
            </w:pPr>
            <w:r w:rsidRPr="007114AF">
              <w:rPr>
                <w:rFonts w:ascii="Garamond" w:eastAsia="Times New Roman" w:hAnsi="Garamond" w:cs="Arial"/>
                <w:sz w:val="18"/>
                <w:szCs w:val="18"/>
                <w:lang w:eastAsia="en-US"/>
              </w:rPr>
              <w:t>Menaxhimi i Qëndrueshëm i Tokës</w:t>
            </w:r>
          </w:p>
        </w:tc>
      </w:tr>
      <w:tr w:rsidR="002F4BDF" w:rsidRPr="007114AF" w14:paraId="6EDD1628" w14:textId="77777777" w:rsidTr="003305AE">
        <w:trPr>
          <w:trHeight w:val="255"/>
        </w:trPr>
        <w:tc>
          <w:tcPr>
            <w:tcW w:w="1866" w:type="dxa"/>
            <w:tcBorders>
              <w:top w:val="nil"/>
              <w:left w:val="single" w:sz="12" w:space="0" w:color="auto"/>
              <w:bottom w:val="dotted" w:sz="4" w:space="0" w:color="auto"/>
              <w:right w:val="nil"/>
            </w:tcBorders>
            <w:shd w:val="clear" w:color="auto" w:fill="auto"/>
            <w:noWrap/>
            <w:vAlign w:val="bottom"/>
            <w:hideMark/>
          </w:tcPr>
          <w:p w14:paraId="6EDD1626" w14:textId="77777777" w:rsidR="002F4BDF" w:rsidRPr="007114AF" w:rsidRDefault="002F4BDF" w:rsidP="002F4BDF">
            <w:pPr>
              <w:spacing w:after="0" w:line="240" w:lineRule="auto"/>
              <w:jc w:val="left"/>
              <w:rPr>
                <w:rFonts w:ascii="Garamond" w:eastAsia="Times New Roman" w:hAnsi="Garamond" w:cs="Arial"/>
                <w:sz w:val="18"/>
                <w:szCs w:val="18"/>
                <w:lang w:eastAsia="en-US"/>
              </w:rPr>
            </w:pPr>
            <w:r w:rsidRPr="007114AF">
              <w:rPr>
                <w:rFonts w:ascii="Garamond" w:eastAsia="Times New Roman" w:hAnsi="Garamond" w:cs="Arial"/>
                <w:sz w:val="18"/>
                <w:szCs w:val="18"/>
                <w:lang w:eastAsia="en-US"/>
              </w:rPr>
              <w:t>04230</w:t>
            </w:r>
          </w:p>
        </w:tc>
        <w:tc>
          <w:tcPr>
            <w:tcW w:w="7600" w:type="dxa"/>
            <w:tcBorders>
              <w:top w:val="nil"/>
              <w:left w:val="single" w:sz="4" w:space="0" w:color="auto"/>
              <w:bottom w:val="dotted" w:sz="4" w:space="0" w:color="auto"/>
              <w:right w:val="single" w:sz="4" w:space="0" w:color="auto"/>
            </w:tcBorders>
            <w:shd w:val="clear" w:color="auto" w:fill="auto"/>
            <w:noWrap/>
            <w:vAlign w:val="bottom"/>
            <w:hideMark/>
          </w:tcPr>
          <w:p w14:paraId="6EDD1627" w14:textId="77777777" w:rsidR="002F4BDF" w:rsidRPr="007114AF" w:rsidRDefault="002F4BDF" w:rsidP="002F4BDF">
            <w:pPr>
              <w:spacing w:after="0" w:line="240" w:lineRule="auto"/>
              <w:jc w:val="left"/>
              <w:rPr>
                <w:rFonts w:ascii="Garamond" w:eastAsia="Times New Roman" w:hAnsi="Garamond" w:cs="Arial"/>
                <w:sz w:val="18"/>
                <w:szCs w:val="18"/>
                <w:lang w:eastAsia="en-US"/>
              </w:rPr>
            </w:pPr>
            <w:r w:rsidRPr="007114AF">
              <w:rPr>
                <w:rFonts w:ascii="Garamond" w:eastAsia="Times New Roman" w:hAnsi="Garamond" w:cs="Arial"/>
                <w:sz w:val="18"/>
                <w:szCs w:val="18"/>
                <w:lang w:eastAsia="en-US"/>
              </w:rPr>
              <w:t>Mbështetje për Peshkimin</w:t>
            </w:r>
          </w:p>
        </w:tc>
      </w:tr>
      <w:tr w:rsidR="002F4BDF" w:rsidRPr="007114AF" w14:paraId="6EDD162B" w14:textId="77777777" w:rsidTr="003305AE">
        <w:trPr>
          <w:trHeight w:val="255"/>
        </w:trPr>
        <w:tc>
          <w:tcPr>
            <w:tcW w:w="1866" w:type="dxa"/>
            <w:tcBorders>
              <w:top w:val="nil"/>
              <w:left w:val="single" w:sz="12" w:space="0" w:color="auto"/>
              <w:bottom w:val="single" w:sz="4" w:space="0" w:color="auto"/>
              <w:right w:val="nil"/>
            </w:tcBorders>
            <w:shd w:val="clear" w:color="000000" w:fill="DCE6F1"/>
            <w:noWrap/>
            <w:vAlign w:val="bottom"/>
            <w:hideMark/>
          </w:tcPr>
          <w:p w14:paraId="6EDD1629" w14:textId="77777777" w:rsidR="002F4BDF" w:rsidRPr="007114AF" w:rsidRDefault="002F4BDF" w:rsidP="002F4BDF">
            <w:pPr>
              <w:spacing w:after="0" w:line="240" w:lineRule="auto"/>
              <w:jc w:val="left"/>
              <w:rPr>
                <w:rFonts w:ascii="Garamond" w:eastAsia="Times New Roman" w:hAnsi="Garamond" w:cs="Arial"/>
                <w:sz w:val="18"/>
                <w:szCs w:val="18"/>
                <w:lang w:eastAsia="en-US"/>
              </w:rPr>
            </w:pPr>
            <w:r w:rsidRPr="007114AF">
              <w:rPr>
                <w:rFonts w:ascii="Garamond" w:eastAsia="Times New Roman" w:hAnsi="Garamond" w:cs="Arial"/>
                <w:sz w:val="18"/>
                <w:szCs w:val="18"/>
                <w:lang w:eastAsia="en-US"/>
              </w:rPr>
              <w:t>05640</w:t>
            </w:r>
          </w:p>
        </w:tc>
        <w:tc>
          <w:tcPr>
            <w:tcW w:w="7600" w:type="dxa"/>
            <w:tcBorders>
              <w:top w:val="nil"/>
              <w:left w:val="single" w:sz="4" w:space="0" w:color="auto"/>
              <w:bottom w:val="single" w:sz="4" w:space="0" w:color="auto"/>
              <w:right w:val="single" w:sz="4" w:space="0" w:color="auto"/>
            </w:tcBorders>
            <w:shd w:val="clear" w:color="000000" w:fill="DCE6F1"/>
            <w:noWrap/>
            <w:vAlign w:val="bottom"/>
            <w:hideMark/>
          </w:tcPr>
          <w:p w14:paraId="6EDD162A" w14:textId="77777777" w:rsidR="002F4BDF" w:rsidRPr="007114AF" w:rsidRDefault="002F4BDF" w:rsidP="002F4BDF">
            <w:pPr>
              <w:spacing w:after="0" w:line="240" w:lineRule="auto"/>
              <w:jc w:val="left"/>
              <w:rPr>
                <w:rFonts w:ascii="Garamond" w:eastAsia="Times New Roman" w:hAnsi="Garamond" w:cs="Arial"/>
                <w:sz w:val="18"/>
                <w:szCs w:val="18"/>
                <w:lang w:eastAsia="en-US"/>
              </w:rPr>
            </w:pPr>
            <w:r w:rsidRPr="007114AF">
              <w:rPr>
                <w:rFonts w:ascii="Garamond" w:eastAsia="Times New Roman" w:hAnsi="Garamond" w:cs="Arial"/>
                <w:sz w:val="18"/>
                <w:szCs w:val="18"/>
                <w:lang w:eastAsia="en-US"/>
              </w:rPr>
              <w:t>Menaxhimi i Ujërave</w:t>
            </w:r>
          </w:p>
        </w:tc>
      </w:tr>
      <w:tr w:rsidR="002F4BDF" w:rsidRPr="007114AF" w14:paraId="6EDD162E" w14:textId="77777777" w:rsidTr="003305AE">
        <w:trPr>
          <w:trHeight w:val="215"/>
        </w:trPr>
        <w:tc>
          <w:tcPr>
            <w:tcW w:w="1866" w:type="dxa"/>
            <w:tcBorders>
              <w:top w:val="nil"/>
              <w:left w:val="single" w:sz="12" w:space="0" w:color="auto"/>
              <w:bottom w:val="dotted" w:sz="4" w:space="0" w:color="auto"/>
              <w:right w:val="nil"/>
            </w:tcBorders>
            <w:shd w:val="clear" w:color="auto" w:fill="auto"/>
            <w:vAlign w:val="bottom"/>
            <w:hideMark/>
          </w:tcPr>
          <w:p w14:paraId="6EDD162C" w14:textId="77777777" w:rsidR="002F4BDF" w:rsidRPr="007114AF" w:rsidRDefault="002F4BDF" w:rsidP="002F4BDF">
            <w:pPr>
              <w:spacing w:after="0" w:line="240" w:lineRule="auto"/>
              <w:jc w:val="left"/>
              <w:rPr>
                <w:rFonts w:ascii="Garamond" w:eastAsia="Times New Roman" w:hAnsi="Garamond" w:cs="Arial"/>
                <w:b/>
                <w:bCs/>
                <w:sz w:val="18"/>
                <w:szCs w:val="18"/>
                <w:lang w:eastAsia="en-US"/>
              </w:rPr>
            </w:pPr>
            <w:r w:rsidRPr="007114AF">
              <w:rPr>
                <w:rFonts w:ascii="Garamond" w:eastAsia="Times New Roman" w:hAnsi="Garamond" w:cs="Arial"/>
                <w:b/>
                <w:bCs/>
                <w:sz w:val="18"/>
                <w:szCs w:val="18"/>
                <w:lang w:eastAsia="en-US"/>
              </w:rPr>
              <w:t>6</w:t>
            </w:r>
          </w:p>
        </w:tc>
        <w:tc>
          <w:tcPr>
            <w:tcW w:w="7600" w:type="dxa"/>
            <w:tcBorders>
              <w:top w:val="nil"/>
              <w:left w:val="single" w:sz="4" w:space="0" w:color="auto"/>
              <w:bottom w:val="dotted" w:sz="4" w:space="0" w:color="auto"/>
              <w:right w:val="single" w:sz="4" w:space="0" w:color="auto"/>
            </w:tcBorders>
            <w:shd w:val="clear" w:color="auto" w:fill="auto"/>
            <w:vAlign w:val="bottom"/>
            <w:hideMark/>
          </w:tcPr>
          <w:p w14:paraId="6EDD162D" w14:textId="77777777" w:rsidR="002F4BDF" w:rsidRPr="007114AF" w:rsidRDefault="002F4BDF" w:rsidP="002F4BDF">
            <w:pPr>
              <w:spacing w:after="0" w:line="240" w:lineRule="auto"/>
              <w:jc w:val="left"/>
              <w:rPr>
                <w:rFonts w:ascii="Garamond" w:eastAsia="Times New Roman" w:hAnsi="Garamond" w:cs="Arial"/>
                <w:b/>
                <w:bCs/>
                <w:sz w:val="18"/>
                <w:szCs w:val="18"/>
                <w:lang w:eastAsia="en-US"/>
              </w:rPr>
            </w:pPr>
            <w:r w:rsidRPr="007114AF">
              <w:rPr>
                <w:rFonts w:ascii="Garamond" w:eastAsia="Times New Roman" w:hAnsi="Garamond" w:cs="Arial"/>
                <w:b/>
                <w:bCs/>
                <w:sz w:val="18"/>
                <w:szCs w:val="18"/>
                <w:lang w:eastAsia="en-US"/>
              </w:rPr>
              <w:t>Ministria e Transportit dhe Infrastrukturës</w:t>
            </w:r>
          </w:p>
        </w:tc>
      </w:tr>
      <w:tr w:rsidR="002F4BDF" w:rsidRPr="007114AF" w14:paraId="6EDD1631" w14:textId="77777777" w:rsidTr="003305AE">
        <w:trPr>
          <w:trHeight w:val="255"/>
        </w:trPr>
        <w:tc>
          <w:tcPr>
            <w:tcW w:w="1866" w:type="dxa"/>
            <w:tcBorders>
              <w:top w:val="nil"/>
              <w:left w:val="single" w:sz="12" w:space="0" w:color="auto"/>
              <w:bottom w:val="dotted" w:sz="4" w:space="0" w:color="auto"/>
              <w:right w:val="nil"/>
            </w:tcBorders>
            <w:shd w:val="clear" w:color="000000" w:fill="DCE6F1"/>
            <w:noWrap/>
            <w:vAlign w:val="bottom"/>
            <w:hideMark/>
          </w:tcPr>
          <w:p w14:paraId="6EDD162F" w14:textId="77777777" w:rsidR="002F4BDF" w:rsidRPr="007114AF" w:rsidRDefault="002F4BDF" w:rsidP="002F4BDF">
            <w:pPr>
              <w:spacing w:after="0" w:line="240" w:lineRule="auto"/>
              <w:jc w:val="left"/>
              <w:rPr>
                <w:rFonts w:ascii="Garamond" w:eastAsia="Times New Roman" w:hAnsi="Garamond" w:cs="Arial"/>
                <w:sz w:val="18"/>
                <w:szCs w:val="18"/>
                <w:lang w:eastAsia="en-US"/>
              </w:rPr>
            </w:pPr>
            <w:r w:rsidRPr="007114AF">
              <w:rPr>
                <w:rFonts w:ascii="Garamond" w:eastAsia="Times New Roman" w:hAnsi="Garamond" w:cs="Arial"/>
                <w:sz w:val="18"/>
                <w:szCs w:val="18"/>
                <w:lang w:eastAsia="en-US"/>
              </w:rPr>
              <w:t>04520</w:t>
            </w:r>
          </w:p>
        </w:tc>
        <w:tc>
          <w:tcPr>
            <w:tcW w:w="7600" w:type="dxa"/>
            <w:tcBorders>
              <w:top w:val="nil"/>
              <w:left w:val="single" w:sz="4" w:space="0" w:color="auto"/>
              <w:bottom w:val="dotted" w:sz="4" w:space="0" w:color="auto"/>
              <w:right w:val="single" w:sz="4" w:space="0" w:color="auto"/>
            </w:tcBorders>
            <w:shd w:val="clear" w:color="000000" w:fill="DCE6F1"/>
            <w:noWrap/>
            <w:vAlign w:val="bottom"/>
            <w:hideMark/>
          </w:tcPr>
          <w:p w14:paraId="6EDD1630" w14:textId="77777777" w:rsidR="002F4BDF" w:rsidRPr="007114AF" w:rsidRDefault="002F4BDF" w:rsidP="002F4BDF">
            <w:pPr>
              <w:spacing w:after="0" w:line="240" w:lineRule="auto"/>
              <w:jc w:val="left"/>
              <w:rPr>
                <w:rFonts w:ascii="Garamond" w:eastAsia="Times New Roman" w:hAnsi="Garamond" w:cs="Arial"/>
                <w:sz w:val="18"/>
                <w:szCs w:val="18"/>
                <w:lang w:eastAsia="en-US"/>
              </w:rPr>
            </w:pPr>
            <w:r w:rsidRPr="007114AF">
              <w:rPr>
                <w:rFonts w:ascii="Garamond" w:eastAsia="Times New Roman" w:hAnsi="Garamond" w:cs="Arial"/>
                <w:sz w:val="18"/>
                <w:szCs w:val="18"/>
                <w:lang w:eastAsia="en-US"/>
              </w:rPr>
              <w:t>Infrastruktura Rrugore</w:t>
            </w:r>
          </w:p>
        </w:tc>
      </w:tr>
      <w:tr w:rsidR="002F4BDF" w:rsidRPr="007114AF" w14:paraId="6EDD1634" w14:textId="77777777" w:rsidTr="003305AE">
        <w:trPr>
          <w:trHeight w:val="255"/>
        </w:trPr>
        <w:tc>
          <w:tcPr>
            <w:tcW w:w="1866" w:type="dxa"/>
            <w:tcBorders>
              <w:top w:val="nil"/>
              <w:left w:val="single" w:sz="12" w:space="0" w:color="auto"/>
              <w:bottom w:val="dotted" w:sz="4" w:space="0" w:color="auto"/>
              <w:right w:val="nil"/>
            </w:tcBorders>
            <w:shd w:val="clear" w:color="auto" w:fill="auto"/>
            <w:noWrap/>
            <w:vAlign w:val="bottom"/>
            <w:hideMark/>
          </w:tcPr>
          <w:p w14:paraId="6EDD1632" w14:textId="77777777" w:rsidR="002F4BDF" w:rsidRPr="007114AF" w:rsidRDefault="002F4BDF" w:rsidP="002F4BDF">
            <w:pPr>
              <w:spacing w:after="0" w:line="240" w:lineRule="auto"/>
              <w:jc w:val="left"/>
              <w:rPr>
                <w:rFonts w:ascii="Garamond" w:eastAsia="Times New Roman" w:hAnsi="Garamond" w:cs="Arial"/>
                <w:sz w:val="18"/>
                <w:szCs w:val="18"/>
                <w:lang w:eastAsia="en-US"/>
              </w:rPr>
            </w:pPr>
            <w:r w:rsidRPr="007114AF">
              <w:rPr>
                <w:rFonts w:ascii="Garamond" w:eastAsia="Times New Roman" w:hAnsi="Garamond" w:cs="Arial"/>
                <w:sz w:val="18"/>
                <w:szCs w:val="18"/>
                <w:lang w:eastAsia="en-US"/>
              </w:rPr>
              <w:t>04530</w:t>
            </w:r>
          </w:p>
        </w:tc>
        <w:tc>
          <w:tcPr>
            <w:tcW w:w="7600" w:type="dxa"/>
            <w:tcBorders>
              <w:top w:val="nil"/>
              <w:left w:val="single" w:sz="4" w:space="0" w:color="auto"/>
              <w:bottom w:val="dotted" w:sz="4" w:space="0" w:color="auto"/>
              <w:right w:val="single" w:sz="4" w:space="0" w:color="auto"/>
            </w:tcBorders>
            <w:shd w:val="clear" w:color="auto" w:fill="auto"/>
            <w:noWrap/>
            <w:vAlign w:val="bottom"/>
            <w:hideMark/>
          </w:tcPr>
          <w:p w14:paraId="6EDD1633" w14:textId="77777777" w:rsidR="002F4BDF" w:rsidRPr="007114AF" w:rsidRDefault="002F4BDF" w:rsidP="002F4BDF">
            <w:pPr>
              <w:spacing w:after="0" w:line="240" w:lineRule="auto"/>
              <w:jc w:val="left"/>
              <w:rPr>
                <w:rFonts w:ascii="Garamond" w:eastAsia="Times New Roman" w:hAnsi="Garamond" w:cs="Arial"/>
                <w:sz w:val="18"/>
                <w:szCs w:val="18"/>
                <w:lang w:eastAsia="en-US"/>
              </w:rPr>
            </w:pPr>
            <w:r w:rsidRPr="007114AF">
              <w:rPr>
                <w:rFonts w:ascii="Garamond" w:eastAsia="Times New Roman" w:hAnsi="Garamond" w:cs="Arial"/>
                <w:sz w:val="18"/>
                <w:szCs w:val="18"/>
                <w:lang w:eastAsia="en-US"/>
              </w:rPr>
              <w:t>Mbështetje për Studimet në Transport</w:t>
            </w:r>
          </w:p>
        </w:tc>
      </w:tr>
      <w:tr w:rsidR="002F4BDF" w:rsidRPr="007114AF" w14:paraId="6EDD1637" w14:textId="77777777" w:rsidTr="003305AE">
        <w:trPr>
          <w:trHeight w:val="255"/>
        </w:trPr>
        <w:tc>
          <w:tcPr>
            <w:tcW w:w="1866" w:type="dxa"/>
            <w:tcBorders>
              <w:top w:val="nil"/>
              <w:left w:val="single" w:sz="12" w:space="0" w:color="auto"/>
              <w:bottom w:val="dotted" w:sz="4" w:space="0" w:color="auto"/>
              <w:right w:val="nil"/>
            </w:tcBorders>
            <w:shd w:val="clear" w:color="auto" w:fill="auto"/>
            <w:noWrap/>
            <w:vAlign w:val="bottom"/>
            <w:hideMark/>
          </w:tcPr>
          <w:p w14:paraId="6EDD1635" w14:textId="77777777" w:rsidR="002F4BDF" w:rsidRPr="007114AF" w:rsidRDefault="002F4BDF" w:rsidP="002F4BDF">
            <w:pPr>
              <w:spacing w:after="0" w:line="240" w:lineRule="auto"/>
              <w:jc w:val="left"/>
              <w:rPr>
                <w:rFonts w:ascii="Garamond" w:eastAsia="Times New Roman" w:hAnsi="Garamond" w:cs="Arial"/>
                <w:sz w:val="18"/>
                <w:szCs w:val="18"/>
                <w:lang w:eastAsia="en-US"/>
              </w:rPr>
            </w:pPr>
            <w:r w:rsidRPr="007114AF">
              <w:rPr>
                <w:rFonts w:ascii="Garamond" w:eastAsia="Times New Roman" w:hAnsi="Garamond" w:cs="Arial"/>
                <w:sz w:val="18"/>
                <w:szCs w:val="18"/>
                <w:lang w:eastAsia="en-US"/>
              </w:rPr>
              <w:t>04540</w:t>
            </w:r>
          </w:p>
        </w:tc>
        <w:tc>
          <w:tcPr>
            <w:tcW w:w="7600" w:type="dxa"/>
            <w:tcBorders>
              <w:top w:val="nil"/>
              <w:left w:val="single" w:sz="4" w:space="0" w:color="auto"/>
              <w:bottom w:val="dotted" w:sz="4" w:space="0" w:color="auto"/>
              <w:right w:val="single" w:sz="4" w:space="0" w:color="auto"/>
            </w:tcBorders>
            <w:shd w:val="clear" w:color="auto" w:fill="auto"/>
            <w:noWrap/>
            <w:vAlign w:val="bottom"/>
            <w:hideMark/>
          </w:tcPr>
          <w:p w14:paraId="6EDD1636" w14:textId="77777777" w:rsidR="002F4BDF" w:rsidRPr="007114AF" w:rsidRDefault="002F4BDF" w:rsidP="002F4BDF">
            <w:pPr>
              <w:spacing w:after="0" w:line="240" w:lineRule="auto"/>
              <w:jc w:val="left"/>
              <w:rPr>
                <w:rFonts w:ascii="Garamond" w:eastAsia="Times New Roman" w:hAnsi="Garamond" w:cs="Arial"/>
                <w:sz w:val="18"/>
                <w:szCs w:val="18"/>
                <w:lang w:eastAsia="en-US"/>
              </w:rPr>
            </w:pPr>
            <w:r w:rsidRPr="007114AF">
              <w:rPr>
                <w:rFonts w:ascii="Garamond" w:eastAsia="Times New Roman" w:hAnsi="Garamond" w:cs="Arial"/>
                <w:sz w:val="18"/>
                <w:szCs w:val="18"/>
                <w:lang w:eastAsia="en-US"/>
              </w:rPr>
              <w:t>Transporti Detar</w:t>
            </w:r>
          </w:p>
        </w:tc>
      </w:tr>
      <w:tr w:rsidR="002F4BDF" w:rsidRPr="007114AF" w14:paraId="6EDD163A" w14:textId="77777777" w:rsidTr="003305AE">
        <w:trPr>
          <w:trHeight w:val="255"/>
        </w:trPr>
        <w:tc>
          <w:tcPr>
            <w:tcW w:w="1866" w:type="dxa"/>
            <w:tcBorders>
              <w:top w:val="nil"/>
              <w:left w:val="single" w:sz="12" w:space="0" w:color="auto"/>
              <w:bottom w:val="dotted" w:sz="4" w:space="0" w:color="auto"/>
              <w:right w:val="nil"/>
            </w:tcBorders>
            <w:shd w:val="clear" w:color="auto" w:fill="auto"/>
            <w:noWrap/>
            <w:vAlign w:val="bottom"/>
            <w:hideMark/>
          </w:tcPr>
          <w:p w14:paraId="6EDD1638" w14:textId="77777777" w:rsidR="002F4BDF" w:rsidRPr="007114AF" w:rsidRDefault="002F4BDF" w:rsidP="002F4BDF">
            <w:pPr>
              <w:spacing w:after="0" w:line="240" w:lineRule="auto"/>
              <w:jc w:val="left"/>
              <w:rPr>
                <w:rFonts w:ascii="Garamond" w:eastAsia="Times New Roman" w:hAnsi="Garamond" w:cs="Arial"/>
                <w:sz w:val="18"/>
                <w:szCs w:val="18"/>
                <w:lang w:eastAsia="en-US"/>
              </w:rPr>
            </w:pPr>
            <w:r w:rsidRPr="007114AF">
              <w:rPr>
                <w:rFonts w:ascii="Garamond" w:eastAsia="Times New Roman" w:hAnsi="Garamond" w:cs="Arial"/>
                <w:sz w:val="18"/>
                <w:szCs w:val="18"/>
                <w:lang w:eastAsia="en-US"/>
              </w:rPr>
              <w:t>04550</w:t>
            </w:r>
          </w:p>
        </w:tc>
        <w:tc>
          <w:tcPr>
            <w:tcW w:w="7600" w:type="dxa"/>
            <w:tcBorders>
              <w:top w:val="nil"/>
              <w:left w:val="single" w:sz="4" w:space="0" w:color="auto"/>
              <w:bottom w:val="dotted" w:sz="4" w:space="0" w:color="auto"/>
              <w:right w:val="single" w:sz="4" w:space="0" w:color="auto"/>
            </w:tcBorders>
            <w:shd w:val="clear" w:color="auto" w:fill="auto"/>
            <w:noWrap/>
            <w:vAlign w:val="bottom"/>
            <w:hideMark/>
          </w:tcPr>
          <w:p w14:paraId="6EDD1639" w14:textId="77777777" w:rsidR="002F4BDF" w:rsidRPr="007114AF" w:rsidRDefault="002F4BDF" w:rsidP="002F4BDF">
            <w:pPr>
              <w:spacing w:after="0" w:line="240" w:lineRule="auto"/>
              <w:jc w:val="left"/>
              <w:rPr>
                <w:rFonts w:ascii="Garamond" w:eastAsia="Times New Roman" w:hAnsi="Garamond" w:cs="Arial"/>
                <w:sz w:val="18"/>
                <w:szCs w:val="18"/>
                <w:lang w:eastAsia="en-US"/>
              </w:rPr>
            </w:pPr>
            <w:r w:rsidRPr="007114AF">
              <w:rPr>
                <w:rFonts w:ascii="Garamond" w:eastAsia="Times New Roman" w:hAnsi="Garamond" w:cs="Arial"/>
                <w:sz w:val="18"/>
                <w:szCs w:val="18"/>
                <w:lang w:eastAsia="en-US"/>
              </w:rPr>
              <w:t>Transporti Hekurudhor</w:t>
            </w:r>
          </w:p>
        </w:tc>
      </w:tr>
      <w:tr w:rsidR="002F4BDF" w:rsidRPr="007114AF" w14:paraId="6EDD163D" w14:textId="77777777" w:rsidTr="003305AE">
        <w:trPr>
          <w:trHeight w:val="255"/>
        </w:trPr>
        <w:tc>
          <w:tcPr>
            <w:tcW w:w="1866" w:type="dxa"/>
            <w:tcBorders>
              <w:top w:val="nil"/>
              <w:left w:val="single" w:sz="12" w:space="0" w:color="auto"/>
              <w:bottom w:val="dotted" w:sz="4" w:space="0" w:color="auto"/>
              <w:right w:val="nil"/>
            </w:tcBorders>
            <w:shd w:val="clear" w:color="000000" w:fill="DCE6F1"/>
            <w:noWrap/>
            <w:vAlign w:val="bottom"/>
            <w:hideMark/>
          </w:tcPr>
          <w:p w14:paraId="6EDD163B" w14:textId="77777777" w:rsidR="002F4BDF" w:rsidRPr="007114AF" w:rsidRDefault="002F4BDF" w:rsidP="002F4BDF">
            <w:pPr>
              <w:spacing w:after="0" w:line="240" w:lineRule="auto"/>
              <w:jc w:val="left"/>
              <w:rPr>
                <w:rFonts w:ascii="Garamond" w:eastAsia="Times New Roman" w:hAnsi="Garamond" w:cs="Arial"/>
                <w:sz w:val="18"/>
                <w:szCs w:val="18"/>
                <w:lang w:eastAsia="en-US"/>
              </w:rPr>
            </w:pPr>
            <w:r w:rsidRPr="007114AF">
              <w:rPr>
                <w:rFonts w:ascii="Garamond" w:eastAsia="Times New Roman" w:hAnsi="Garamond" w:cs="Arial"/>
                <w:sz w:val="18"/>
                <w:szCs w:val="18"/>
                <w:lang w:eastAsia="en-US"/>
              </w:rPr>
              <w:t>06370</w:t>
            </w:r>
          </w:p>
        </w:tc>
        <w:tc>
          <w:tcPr>
            <w:tcW w:w="7600" w:type="dxa"/>
            <w:tcBorders>
              <w:top w:val="nil"/>
              <w:left w:val="single" w:sz="4" w:space="0" w:color="auto"/>
              <w:bottom w:val="dotted" w:sz="4" w:space="0" w:color="auto"/>
              <w:right w:val="single" w:sz="4" w:space="0" w:color="auto"/>
            </w:tcBorders>
            <w:shd w:val="clear" w:color="000000" w:fill="DCE6F1"/>
            <w:noWrap/>
            <w:vAlign w:val="bottom"/>
            <w:hideMark/>
          </w:tcPr>
          <w:p w14:paraId="6EDD163C" w14:textId="77777777" w:rsidR="002F4BDF" w:rsidRPr="007114AF" w:rsidRDefault="002F4BDF" w:rsidP="002F4BDF">
            <w:pPr>
              <w:spacing w:after="0" w:line="240" w:lineRule="auto"/>
              <w:jc w:val="left"/>
              <w:rPr>
                <w:rFonts w:ascii="Garamond" w:eastAsia="Times New Roman" w:hAnsi="Garamond" w:cs="Arial"/>
                <w:sz w:val="18"/>
                <w:szCs w:val="18"/>
                <w:lang w:eastAsia="en-US"/>
              </w:rPr>
            </w:pPr>
            <w:r w:rsidRPr="007114AF">
              <w:rPr>
                <w:rFonts w:ascii="Garamond" w:eastAsia="Times New Roman" w:hAnsi="Garamond" w:cs="Arial"/>
                <w:sz w:val="18"/>
                <w:szCs w:val="18"/>
                <w:lang w:eastAsia="en-US"/>
              </w:rPr>
              <w:t>Furnizimi me Ujë dhe Kanalizimet</w:t>
            </w:r>
          </w:p>
        </w:tc>
      </w:tr>
      <w:tr w:rsidR="002F4BDF" w:rsidRPr="007114AF" w14:paraId="6EDD1640" w14:textId="77777777" w:rsidTr="003305AE">
        <w:trPr>
          <w:trHeight w:val="255"/>
        </w:trPr>
        <w:tc>
          <w:tcPr>
            <w:tcW w:w="1866" w:type="dxa"/>
            <w:tcBorders>
              <w:top w:val="nil"/>
              <w:left w:val="single" w:sz="12" w:space="0" w:color="auto"/>
              <w:bottom w:val="dotted" w:sz="4" w:space="0" w:color="auto"/>
              <w:right w:val="nil"/>
            </w:tcBorders>
            <w:shd w:val="clear" w:color="auto" w:fill="auto"/>
            <w:noWrap/>
            <w:vAlign w:val="bottom"/>
            <w:hideMark/>
          </w:tcPr>
          <w:p w14:paraId="6EDD163E" w14:textId="77777777" w:rsidR="002F4BDF" w:rsidRPr="007114AF" w:rsidRDefault="002F4BDF" w:rsidP="002F4BDF">
            <w:pPr>
              <w:spacing w:after="0" w:line="240" w:lineRule="auto"/>
              <w:jc w:val="left"/>
              <w:rPr>
                <w:rFonts w:ascii="Garamond" w:eastAsia="Times New Roman" w:hAnsi="Garamond" w:cs="Arial"/>
                <w:sz w:val="18"/>
                <w:szCs w:val="18"/>
                <w:lang w:eastAsia="en-US"/>
              </w:rPr>
            </w:pPr>
            <w:r w:rsidRPr="007114AF">
              <w:rPr>
                <w:rFonts w:ascii="Garamond" w:eastAsia="Times New Roman" w:hAnsi="Garamond" w:cs="Arial"/>
                <w:sz w:val="18"/>
                <w:szCs w:val="18"/>
                <w:lang w:eastAsia="en-US"/>
              </w:rPr>
              <w:t>06220</w:t>
            </w:r>
          </w:p>
        </w:tc>
        <w:tc>
          <w:tcPr>
            <w:tcW w:w="7600" w:type="dxa"/>
            <w:tcBorders>
              <w:top w:val="nil"/>
              <w:left w:val="single" w:sz="4" w:space="0" w:color="auto"/>
              <w:bottom w:val="dotted" w:sz="4" w:space="0" w:color="auto"/>
              <w:right w:val="single" w:sz="4" w:space="0" w:color="auto"/>
            </w:tcBorders>
            <w:shd w:val="clear" w:color="auto" w:fill="auto"/>
            <w:noWrap/>
            <w:vAlign w:val="bottom"/>
            <w:hideMark/>
          </w:tcPr>
          <w:p w14:paraId="6EDD163F" w14:textId="77777777" w:rsidR="002F4BDF" w:rsidRPr="007114AF" w:rsidRDefault="002F4BDF" w:rsidP="002F4BDF">
            <w:pPr>
              <w:spacing w:after="0" w:line="240" w:lineRule="auto"/>
              <w:jc w:val="left"/>
              <w:rPr>
                <w:rFonts w:ascii="Garamond" w:eastAsia="Times New Roman" w:hAnsi="Garamond" w:cs="Arial"/>
                <w:sz w:val="18"/>
                <w:szCs w:val="18"/>
                <w:lang w:eastAsia="en-US"/>
              </w:rPr>
            </w:pPr>
            <w:r w:rsidRPr="007114AF">
              <w:rPr>
                <w:rFonts w:ascii="Garamond" w:eastAsia="Times New Roman" w:hAnsi="Garamond" w:cs="Arial"/>
                <w:sz w:val="18"/>
                <w:szCs w:val="18"/>
                <w:lang w:eastAsia="en-US"/>
              </w:rPr>
              <w:t>Menaxhimi i Mbetjeve</w:t>
            </w:r>
          </w:p>
        </w:tc>
      </w:tr>
      <w:tr w:rsidR="002F4BDF" w:rsidRPr="007114AF" w14:paraId="6EDD1643" w14:textId="77777777" w:rsidTr="003305AE">
        <w:trPr>
          <w:trHeight w:val="287"/>
        </w:trPr>
        <w:tc>
          <w:tcPr>
            <w:tcW w:w="1866" w:type="dxa"/>
            <w:tcBorders>
              <w:top w:val="single" w:sz="4" w:space="0" w:color="auto"/>
              <w:left w:val="single" w:sz="12" w:space="0" w:color="auto"/>
              <w:bottom w:val="dotted" w:sz="4" w:space="0" w:color="auto"/>
              <w:right w:val="nil"/>
            </w:tcBorders>
            <w:shd w:val="clear" w:color="auto" w:fill="auto"/>
            <w:vAlign w:val="bottom"/>
            <w:hideMark/>
          </w:tcPr>
          <w:p w14:paraId="6EDD1641" w14:textId="77777777" w:rsidR="002F4BDF" w:rsidRPr="007114AF" w:rsidRDefault="002F4BDF" w:rsidP="002F4BDF">
            <w:pPr>
              <w:spacing w:after="0" w:line="240" w:lineRule="auto"/>
              <w:jc w:val="left"/>
              <w:rPr>
                <w:rFonts w:ascii="Garamond" w:eastAsia="Times New Roman" w:hAnsi="Garamond" w:cs="Arial"/>
                <w:b/>
                <w:bCs/>
                <w:sz w:val="18"/>
                <w:szCs w:val="18"/>
                <w:lang w:eastAsia="en-US"/>
              </w:rPr>
            </w:pPr>
            <w:r w:rsidRPr="007114AF">
              <w:rPr>
                <w:rFonts w:ascii="Garamond" w:eastAsia="Times New Roman" w:hAnsi="Garamond" w:cs="Arial"/>
                <w:b/>
                <w:bCs/>
                <w:sz w:val="18"/>
                <w:szCs w:val="18"/>
                <w:lang w:eastAsia="en-US"/>
              </w:rPr>
              <w:t>11</w:t>
            </w:r>
          </w:p>
        </w:tc>
        <w:tc>
          <w:tcPr>
            <w:tcW w:w="7600" w:type="dxa"/>
            <w:tcBorders>
              <w:top w:val="single" w:sz="4" w:space="0" w:color="auto"/>
              <w:left w:val="single" w:sz="4" w:space="0" w:color="auto"/>
              <w:bottom w:val="dotted" w:sz="4" w:space="0" w:color="auto"/>
              <w:right w:val="single" w:sz="4" w:space="0" w:color="auto"/>
            </w:tcBorders>
            <w:shd w:val="clear" w:color="auto" w:fill="auto"/>
            <w:vAlign w:val="bottom"/>
            <w:hideMark/>
          </w:tcPr>
          <w:p w14:paraId="6EDD1642" w14:textId="77777777" w:rsidR="002F4BDF" w:rsidRPr="007114AF" w:rsidRDefault="002F4BDF" w:rsidP="002F4BDF">
            <w:pPr>
              <w:spacing w:after="0" w:line="240" w:lineRule="auto"/>
              <w:jc w:val="left"/>
              <w:rPr>
                <w:rFonts w:ascii="Garamond" w:eastAsia="Times New Roman" w:hAnsi="Garamond" w:cs="Arial"/>
                <w:b/>
                <w:bCs/>
                <w:sz w:val="18"/>
                <w:szCs w:val="18"/>
                <w:lang w:eastAsia="en-US"/>
              </w:rPr>
            </w:pPr>
            <w:r w:rsidRPr="007114AF">
              <w:rPr>
                <w:rFonts w:ascii="Garamond" w:eastAsia="Times New Roman" w:hAnsi="Garamond" w:cs="Arial"/>
                <w:b/>
                <w:bCs/>
                <w:sz w:val="18"/>
                <w:szCs w:val="18"/>
                <w:lang w:eastAsia="en-US"/>
              </w:rPr>
              <w:t>Ministria e Arsimit dhe Sportit</w:t>
            </w:r>
          </w:p>
        </w:tc>
      </w:tr>
      <w:tr w:rsidR="002F4BDF" w:rsidRPr="007114AF" w14:paraId="6EDD1646" w14:textId="77777777" w:rsidTr="003305AE">
        <w:trPr>
          <w:trHeight w:val="255"/>
        </w:trPr>
        <w:tc>
          <w:tcPr>
            <w:tcW w:w="1866" w:type="dxa"/>
            <w:tcBorders>
              <w:top w:val="nil"/>
              <w:left w:val="single" w:sz="12" w:space="0" w:color="auto"/>
              <w:bottom w:val="dotted" w:sz="4" w:space="0" w:color="auto"/>
              <w:right w:val="nil"/>
            </w:tcBorders>
            <w:shd w:val="clear" w:color="auto" w:fill="auto"/>
            <w:noWrap/>
            <w:vAlign w:val="bottom"/>
            <w:hideMark/>
          </w:tcPr>
          <w:p w14:paraId="6EDD1644" w14:textId="77777777" w:rsidR="002F4BDF" w:rsidRPr="007114AF" w:rsidRDefault="002F4BDF" w:rsidP="002F4BDF">
            <w:pPr>
              <w:spacing w:after="0" w:line="240" w:lineRule="auto"/>
              <w:jc w:val="left"/>
              <w:rPr>
                <w:rFonts w:ascii="Garamond" w:eastAsia="Times New Roman" w:hAnsi="Garamond" w:cs="Arial"/>
                <w:sz w:val="18"/>
                <w:szCs w:val="18"/>
                <w:lang w:eastAsia="en-US"/>
              </w:rPr>
            </w:pPr>
            <w:r w:rsidRPr="007114AF">
              <w:rPr>
                <w:rFonts w:ascii="Garamond" w:eastAsia="Times New Roman" w:hAnsi="Garamond" w:cs="Arial"/>
                <w:sz w:val="18"/>
                <w:szCs w:val="18"/>
                <w:lang w:eastAsia="en-US"/>
              </w:rPr>
              <w:t>09120</w:t>
            </w:r>
          </w:p>
        </w:tc>
        <w:tc>
          <w:tcPr>
            <w:tcW w:w="7600" w:type="dxa"/>
            <w:tcBorders>
              <w:top w:val="nil"/>
              <w:left w:val="single" w:sz="4" w:space="0" w:color="auto"/>
              <w:bottom w:val="dotted" w:sz="4" w:space="0" w:color="auto"/>
              <w:right w:val="single" w:sz="4" w:space="0" w:color="auto"/>
            </w:tcBorders>
            <w:shd w:val="clear" w:color="auto" w:fill="auto"/>
            <w:noWrap/>
            <w:vAlign w:val="bottom"/>
            <w:hideMark/>
          </w:tcPr>
          <w:p w14:paraId="6EDD1645" w14:textId="77777777" w:rsidR="002F4BDF" w:rsidRPr="007114AF" w:rsidRDefault="002F4BDF" w:rsidP="002F4BDF">
            <w:pPr>
              <w:spacing w:after="0" w:line="240" w:lineRule="auto"/>
              <w:jc w:val="left"/>
              <w:rPr>
                <w:rFonts w:ascii="Garamond" w:eastAsia="Times New Roman" w:hAnsi="Garamond" w:cs="Arial"/>
                <w:sz w:val="18"/>
                <w:szCs w:val="18"/>
                <w:lang w:eastAsia="en-US"/>
              </w:rPr>
            </w:pPr>
            <w:r w:rsidRPr="007114AF">
              <w:rPr>
                <w:rFonts w:ascii="Garamond" w:eastAsia="Times New Roman" w:hAnsi="Garamond" w:cs="Arial"/>
                <w:sz w:val="18"/>
                <w:szCs w:val="18"/>
                <w:lang w:eastAsia="en-US"/>
              </w:rPr>
              <w:t>Arsimi Bazë (duke përfshirë arsimin parashkollor)</w:t>
            </w:r>
          </w:p>
        </w:tc>
      </w:tr>
      <w:tr w:rsidR="002F4BDF" w:rsidRPr="007114AF" w14:paraId="6EDD1649" w14:textId="77777777" w:rsidTr="003305AE">
        <w:trPr>
          <w:trHeight w:val="255"/>
        </w:trPr>
        <w:tc>
          <w:tcPr>
            <w:tcW w:w="1866" w:type="dxa"/>
            <w:tcBorders>
              <w:top w:val="nil"/>
              <w:left w:val="single" w:sz="12" w:space="0" w:color="auto"/>
              <w:bottom w:val="dotted" w:sz="4" w:space="0" w:color="auto"/>
              <w:right w:val="nil"/>
            </w:tcBorders>
            <w:shd w:val="clear" w:color="auto" w:fill="auto"/>
            <w:noWrap/>
            <w:vAlign w:val="bottom"/>
            <w:hideMark/>
          </w:tcPr>
          <w:p w14:paraId="6EDD1647" w14:textId="77777777" w:rsidR="002F4BDF" w:rsidRPr="007114AF" w:rsidRDefault="002F4BDF" w:rsidP="002F4BDF">
            <w:pPr>
              <w:spacing w:after="0" w:line="240" w:lineRule="auto"/>
              <w:jc w:val="left"/>
              <w:rPr>
                <w:rFonts w:ascii="Garamond" w:eastAsia="Times New Roman" w:hAnsi="Garamond" w:cs="Arial"/>
                <w:sz w:val="18"/>
                <w:szCs w:val="18"/>
                <w:lang w:eastAsia="en-US"/>
              </w:rPr>
            </w:pPr>
            <w:r w:rsidRPr="007114AF">
              <w:rPr>
                <w:rFonts w:ascii="Garamond" w:eastAsia="Times New Roman" w:hAnsi="Garamond" w:cs="Arial"/>
                <w:sz w:val="18"/>
                <w:szCs w:val="18"/>
                <w:lang w:eastAsia="en-US"/>
              </w:rPr>
              <w:t>09230</w:t>
            </w:r>
          </w:p>
        </w:tc>
        <w:tc>
          <w:tcPr>
            <w:tcW w:w="7600" w:type="dxa"/>
            <w:tcBorders>
              <w:top w:val="nil"/>
              <w:left w:val="single" w:sz="4" w:space="0" w:color="auto"/>
              <w:bottom w:val="dotted" w:sz="4" w:space="0" w:color="auto"/>
              <w:right w:val="single" w:sz="4" w:space="0" w:color="auto"/>
            </w:tcBorders>
            <w:shd w:val="clear" w:color="auto" w:fill="auto"/>
            <w:noWrap/>
            <w:vAlign w:val="bottom"/>
            <w:hideMark/>
          </w:tcPr>
          <w:p w14:paraId="6EDD1648" w14:textId="77777777" w:rsidR="002F4BDF" w:rsidRPr="007114AF" w:rsidRDefault="002F4BDF" w:rsidP="002F4BDF">
            <w:pPr>
              <w:spacing w:after="0" w:line="240" w:lineRule="auto"/>
              <w:jc w:val="left"/>
              <w:rPr>
                <w:rFonts w:ascii="Garamond" w:eastAsia="Times New Roman" w:hAnsi="Garamond" w:cs="Arial"/>
                <w:sz w:val="18"/>
                <w:szCs w:val="18"/>
                <w:lang w:eastAsia="en-US"/>
              </w:rPr>
            </w:pPr>
            <w:r w:rsidRPr="007114AF">
              <w:rPr>
                <w:rFonts w:ascii="Garamond" w:eastAsia="Times New Roman" w:hAnsi="Garamond" w:cs="Arial"/>
                <w:sz w:val="18"/>
                <w:szCs w:val="18"/>
                <w:lang w:eastAsia="en-US"/>
              </w:rPr>
              <w:t>Arsimi Dytësor (i përgjithshëm)</w:t>
            </w:r>
          </w:p>
        </w:tc>
      </w:tr>
      <w:tr w:rsidR="002F4BDF" w:rsidRPr="007114AF" w14:paraId="6EDD164C" w14:textId="77777777" w:rsidTr="003305AE">
        <w:trPr>
          <w:trHeight w:val="255"/>
        </w:trPr>
        <w:tc>
          <w:tcPr>
            <w:tcW w:w="1866" w:type="dxa"/>
            <w:tcBorders>
              <w:top w:val="nil"/>
              <w:left w:val="single" w:sz="12" w:space="0" w:color="auto"/>
              <w:bottom w:val="dotted" w:sz="4" w:space="0" w:color="auto"/>
              <w:right w:val="nil"/>
            </w:tcBorders>
            <w:shd w:val="clear" w:color="auto" w:fill="auto"/>
            <w:noWrap/>
            <w:vAlign w:val="bottom"/>
            <w:hideMark/>
          </w:tcPr>
          <w:p w14:paraId="6EDD164A" w14:textId="77777777" w:rsidR="002F4BDF" w:rsidRPr="007114AF" w:rsidRDefault="002F4BDF" w:rsidP="002F4BDF">
            <w:pPr>
              <w:spacing w:after="0" w:line="240" w:lineRule="auto"/>
              <w:jc w:val="left"/>
              <w:rPr>
                <w:rFonts w:ascii="Garamond" w:eastAsia="Times New Roman" w:hAnsi="Garamond" w:cs="Arial"/>
                <w:sz w:val="18"/>
                <w:szCs w:val="18"/>
                <w:lang w:eastAsia="en-US"/>
              </w:rPr>
            </w:pPr>
            <w:r w:rsidRPr="007114AF">
              <w:rPr>
                <w:rFonts w:ascii="Garamond" w:eastAsia="Times New Roman" w:hAnsi="Garamond" w:cs="Arial"/>
                <w:sz w:val="18"/>
                <w:szCs w:val="18"/>
                <w:lang w:eastAsia="en-US"/>
              </w:rPr>
              <w:t>09450</w:t>
            </w:r>
          </w:p>
        </w:tc>
        <w:tc>
          <w:tcPr>
            <w:tcW w:w="7600" w:type="dxa"/>
            <w:tcBorders>
              <w:top w:val="nil"/>
              <w:left w:val="single" w:sz="4" w:space="0" w:color="auto"/>
              <w:bottom w:val="dotted" w:sz="4" w:space="0" w:color="auto"/>
              <w:right w:val="single" w:sz="4" w:space="0" w:color="auto"/>
            </w:tcBorders>
            <w:shd w:val="clear" w:color="auto" w:fill="auto"/>
            <w:vAlign w:val="bottom"/>
            <w:hideMark/>
          </w:tcPr>
          <w:p w14:paraId="6EDD164B" w14:textId="77777777" w:rsidR="002F4BDF" w:rsidRPr="007114AF" w:rsidRDefault="002F4BDF" w:rsidP="002F4BDF">
            <w:pPr>
              <w:spacing w:after="0" w:line="240" w:lineRule="auto"/>
              <w:jc w:val="left"/>
              <w:rPr>
                <w:rFonts w:ascii="Garamond" w:eastAsia="Times New Roman" w:hAnsi="Garamond" w:cs="Arial"/>
                <w:sz w:val="18"/>
                <w:szCs w:val="18"/>
                <w:lang w:eastAsia="en-US"/>
              </w:rPr>
            </w:pPr>
            <w:r w:rsidRPr="007114AF">
              <w:rPr>
                <w:rFonts w:ascii="Garamond" w:eastAsia="Times New Roman" w:hAnsi="Garamond" w:cs="Arial"/>
                <w:sz w:val="18"/>
                <w:szCs w:val="18"/>
                <w:lang w:eastAsia="en-US"/>
              </w:rPr>
              <w:t>Arsimi Universitar</w:t>
            </w:r>
          </w:p>
        </w:tc>
      </w:tr>
      <w:tr w:rsidR="002F4BDF" w:rsidRPr="007114AF" w14:paraId="6EDD164F" w14:textId="77777777" w:rsidTr="003305AE">
        <w:trPr>
          <w:trHeight w:val="255"/>
        </w:trPr>
        <w:tc>
          <w:tcPr>
            <w:tcW w:w="1866" w:type="dxa"/>
            <w:tcBorders>
              <w:top w:val="nil"/>
              <w:left w:val="single" w:sz="12" w:space="0" w:color="auto"/>
              <w:bottom w:val="nil"/>
              <w:right w:val="nil"/>
            </w:tcBorders>
            <w:shd w:val="clear" w:color="000000" w:fill="DCE6F1"/>
            <w:noWrap/>
            <w:vAlign w:val="bottom"/>
            <w:hideMark/>
          </w:tcPr>
          <w:p w14:paraId="6EDD164D" w14:textId="77777777" w:rsidR="002F4BDF" w:rsidRPr="007114AF" w:rsidRDefault="002F4BDF" w:rsidP="002F4BDF">
            <w:pPr>
              <w:spacing w:after="0" w:line="240" w:lineRule="auto"/>
              <w:jc w:val="left"/>
              <w:rPr>
                <w:rFonts w:ascii="Garamond" w:eastAsia="Times New Roman" w:hAnsi="Garamond" w:cs="Arial"/>
                <w:sz w:val="18"/>
                <w:szCs w:val="18"/>
                <w:lang w:eastAsia="en-US"/>
              </w:rPr>
            </w:pPr>
            <w:r w:rsidRPr="007114AF">
              <w:rPr>
                <w:rFonts w:ascii="Garamond" w:eastAsia="Times New Roman" w:hAnsi="Garamond" w:cs="Arial"/>
                <w:sz w:val="18"/>
                <w:szCs w:val="18"/>
                <w:lang w:eastAsia="en-US"/>
              </w:rPr>
              <w:t>09770</w:t>
            </w:r>
          </w:p>
        </w:tc>
        <w:tc>
          <w:tcPr>
            <w:tcW w:w="7600" w:type="dxa"/>
            <w:tcBorders>
              <w:top w:val="nil"/>
              <w:left w:val="single" w:sz="4" w:space="0" w:color="auto"/>
              <w:bottom w:val="nil"/>
              <w:right w:val="single" w:sz="4" w:space="0" w:color="auto"/>
            </w:tcBorders>
            <w:shd w:val="clear" w:color="000000" w:fill="DCE6F1"/>
            <w:noWrap/>
            <w:vAlign w:val="bottom"/>
            <w:hideMark/>
          </w:tcPr>
          <w:p w14:paraId="6EDD164E" w14:textId="77777777" w:rsidR="002F4BDF" w:rsidRPr="007114AF" w:rsidRDefault="002F4BDF" w:rsidP="002F4BDF">
            <w:pPr>
              <w:spacing w:after="0" w:line="240" w:lineRule="auto"/>
              <w:jc w:val="left"/>
              <w:rPr>
                <w:rFonts w:ascii="Garamond" w:eastAsia="Times New Roman" w:hAnsi="Garamond" w:cs="Arial"/>
                <w:sz w:val="18"/>
                <w:szCs w:val="18"/>
                <w:lang w:eastAsia="en-US"/>
              </w:rPr>
            </w:pPr>
            <w:r w:rsidRPr="007114AF">
              <w:rPr>
                <w:rFonts w:ascii="Garamond" w:eastAsia="Times New Roman" w:hAnsi="Garamond" w:cs="Arial"/>
                <w:sz w:val="18"/>
                <w:szCs w:val="18"/>
                <w:lang w:eastAsia="en-US"/>
              </w:rPr>
              <w:t>Financimi për Shkencën</w:t>
            </w:r>
          </w:p>
        </w:tc>
      </w:tr>
      <w:tr w:rsidR="002F4BDF" w:rsidRPr="007114AF" w14:paraId="6EDD1652" w14:textId="77777777" w:rsidTr="003305AE">
        <w:trPr>
          <w:trHeight w:val="287"/>
        </w:trPr>
        <w:tc>
          <w:tcPr>
            <w:tcW w:w="1866" w:type="dxa"/>
            <w:tcBorders>
              <w:top w:val="nil"/>
              <w:left w:val="single" w:sz="12" w:space="0" w:color="auto"/>
              <w:bottom w:val="dotted" w:sz="4" w:space="0" w:color="auto"/>
              <w:right w:val="nil"/>
            </w:tcBorders>
            <w:shd w:val="clear" w:color="auto" w:fill="auto"/>
            <w:vAlign w:val="bottom"/>
            <w:hideMark/>
          </w:tcPr>
          <w:p w14:paraId="6EDD1650" w14:textId="77777777" w:rsidR="002F4BDF" w:rsidRPr="007114AF" w:rsidRDefault="002F4BDF" w:rsidP="002F4BDF">
            <w:pPr>
              <w:spacing w:after="0" w:line="240" w:lineRule="auto"/>
              <w:jc w:val="left"/>
              <w:rPr>
                <w:rFonts w:ascii="Garamond" w:eastAsia="Times New Roman" w:hAnsi="Garamond" w:cs="Arial"/>
                <w:b/>
                <w:bCs/>
                <w:sz w:val="18"/>
                <w:szCs w:val="18"/>
                <w:lang w:eastAsia="en-US"/>
              </w:rPr>
            </w:pPr>
            <w:r w:rsidRPr="007114AF">
              <w:rPr>
                <w:rFonts w:ascii="Garamond" w:eastAsia="Times New Roman" w:hAnsi="Garamond" w:cs="Arial"/>
                <w:b/>
                <w:bCs/>
                <w:sz w:val="18"/>
                <w:szCs w:val="18"/>
                <w:lang w:eastAsia="en-US"/>
              </w:rPr>
              <w:t>13</w:t>
            </w:r>
          </w:p>
        </w:tc>
        <w:tc>
          <w:tcPr>
            <w:tcW w:w="7600" w:type="dxa"/>
            <w:tcBorders>
              <w:top w:val="nil"/>
              <w:left w:val="single" w:sz="4" w:space="0" w:color="auto"/>
              <w:bottom w:val="dotted" w:sz="4" w:space="0" w:color="auto"/>
              <w:right w:val="single" w:sz="4" w:space="0" w:color="auto"/>
            </w:tcBorders>
            <w:shd w:val="clear" w:color="auto" w:fill="auto"/>
            <w:vAlign w:val="bottom"/>
            <w:hideMark/>
          </w:tcPr>
          <w:p w14:paraId="6EDD1651" w14:textId="77777777" w:rsidR="002F4BDF" w:rsidRPr="007114AF" w:rsidRDefault="002F4BDF" w:rsidP="002F4BDF">
            <w:pPr>
              <w:spacing w:after="0" w:line="240" w:lineRule="auto"/>
              <w:jc w:val="left"/>
              <w:rPr>
                <w:rFonts w:ascii="Garamond" w:eastAsia="Times New Roman" w:hAnsi="Garamond" w:cs="Arial"/>
                <w:b/>
                <w:bCs/>
                <w:sz w:val="18"/>
                <w:szCs w:val="18"/>
                <w:lang w:eastAsia="en-US"/>
              </w:rPr>
            </w:pPr>
            <w:r w:rsidRPr="007114AF">
              <w:rPr>
                <w:rFonts w:ascii="Garamond" w:eastAsia="Times New Roman" w:hAnsi="Garamond" w:cs="Arial"/>
                <w:b/>
                <w:bCs/>
                <w:sz w:val="18"/>
                <w:szCs w:val="18"/>
                <w:lang w:eastAsia="en-US"/>
              </w:rPr>
              <w:t>Ministria e Shëndetësisë</w:t>
            </w:r>
          </w:p>
        </w:tc>
      </w:tr>
      <w:tr w:rsidR="002F4BDF" w:rsidRPr="007114AF" w14:paraId="6EDD1655" w14:textId="77777777" w:rsidTr="003305AE">
        <w:trPr>
          <w:trHeight w:val="255"/>
        </w:trPr>
        <w:tc>
          <w:tcPr>
            <w:tcW w:w="1866" w:type="dxa"/>
            <w:tcBorders>
              <w:top w:val="nil"/>
              <w:left w:val="single" w:sz="12" w:space="0" w:color="auto"/>
              <w:bottom w:val="dotted" w:sz="4" w:space="0" w:color="auto"/>
              <w:right w:val="nil"/>
            </w:tcBorders>
            <w:shd w:val="clear" w:color="000000" w:fill="DCE6F1"/>
            <w:noWrap/>
            <w:vAlign w:val="bottom"/>
            <w:hideMark/>
          </w:tcPr>
          <w:p w14:paraId="6EDD1653" w14:textId="77777777" w:rsidR="002F4BDF" w:rsidRPr="007114AF" w:rsidRDefault="002F4BDF" w:rsidP="002F4BDF">
            <w:pPr>
              <w:spacing w:after="0" w:line="240" w:lineRule="auto"/>
              <w:jc w:val="left"/>
              <w:rPr>
                <w:rFonts w:ascii="Garamond" w:eastAsia="Times New Roman" w:hAnsi="Garamond" w:cs="Arial"/>
                <w:sz w:val="18"/>
                <w:szCs w:val="18"/>
                <w:lang w:eastAsia="en-US"/>
              </w:rPr>
            </w:pPr>
            <w:r w:rsidRPr="007114AF">
              <w:rPr>
                <w:rFonts w:ascii="Garamond" w:eastAsia="Times New Roman" w:hAnsi="Garamond" w:cs="Arial"/>
                <w:sz w:val="18"/>
                <w:szCs w:val="18"/>
                <w:lang w:eastAsia="en-US"/>
              </w:rPr>
              <w:t>07220</w:t>
            </w:r>
          </w:p>
        </w:tc>
        <w:tc>
          <w:tcPr>
            <w:tcW w:w="7600" w:type="dxa"/>
            <w:tcBorders>
              <w:top w:val="nil"/>
              <w:left w:val="single" w:sz="4" w:space="0" w:color="auto"/>
              <w:bottom w:val="dotted" w:sz="4" w:space="0" w:color="auto"/>
              <w:right w:val="single" w:sz="4" w:space="0" w:color="auto"/>
            </w:tcBorders>
            <w:shd w:val="clear" w:color="000000" w:fill="DCE6F1"/>
            <w:noWrap/>
            <w:vAlign w:val="bottom"/>
            <w:hideMark/>
          </w:tcPr>
          <w:p w14:paraId="6EDD1654" w14:textId="77777777" w:rsidR="002F4BDF" w:rsidRPr="007114AF" w:rsidRDefault="002F4BDF" w:rsidP="002F4BDF">
            <w:pPr>
              <w:spacing w:after="0" w:line="240" w:lineRule="auto"/>
              <w:jc w:val="left"/>
              <w:rPr>
                <w:rFonts w:ascii="Garamond" w:eastAsia="Times New Roman" w:hAnsi="Garamond" w:cs="Arial"/>
                <w:sz w:val="18"/>
                <w:szCs w:val="18"/>
                <w:lang w:eastAsia="en-US"/>
              </w:rPr>
            </w:pPr>
            <w:r w:rsidRPr="007114AF">
              <w:rPr>
                <w:rFonts w:ascii="Garamond" w:eastAsia="Times New Roman" w:hAnsi="Garamond" w:cs="Arial"/>
                <w:sz w:val="18"/>
                <w:szCs w:val="18"/>
                <w:lang w:eastAsia="en-US"/>
              </w:rPr>
              <w:t>Shërbimet ë Kujdesit Parësor</w:t>
            </w:r>
          </w:p>
        </w:tc>
      </w:tr>
      <w:tr w:rsidR="002F4BDF" w:rsidRPr="007114AF" w14:paraId="6EDD1658" w14:textId="77777777" w:rsidTr="003305AE">
        <w:trPr>
          <w:trHeight w:val="255"/>
        </w:trPr>
        <w:tc>
          <w:tcPr>
            <w:tcW w:w="1866" w:type="dxa"/>
            <w:tcBorders>
              <w:top w:val="nil"/>
              <w:left w:val="single" w:sz="12" w:space="0" w:color="auto"/>
              <w:bottom w:val="dotted" w:sz="4" w:space="0" w:color="auto"/>
              <w:right w:val="nil"/>
            </w:tcBorders>
            <w:shd w:val="clear" w:color="000000" w:fill="DCE6F1"/>
            <w:noWrap/>
            <w:vAlign w:val="bottom"/>
            <w:hideMark/>
          </w:tcPr>
          <w:p w14:paraId="6EDD1656" w14:textId="77777777" w:rsidR="002F4BDF" w:rsidRPr="007114AF" w:rsidRDefault="002F4BDF" w:rsidP="002F4BDF">
            <w:pPr>
              <w:spacing w:after="0" w:line="240" w:lineRule="auto"/>
              <w:jc w:val="left"/>
              <w:rPr>
                <w:rFonts w:ascii="Garamond" w:eastAsia="Times New Roman" w:hAnsi="Garamond" w:cs="Arial"/>
                <w:sz w:val="18"/>
                <w:szCs w:val="18"/>
                <w:lang w:eastAsia="en-US"/>
              </w:rPr>
            </w:pPr>
            <w:r w:rsidRPr="007114AF">
              <w:rPr>
                <w:rFonts w:ascii="Garamond" w:eastAsia="Times New Roman" w:hAnsi="Garamond" w:cs="Arial"/>
                <w:sz w:val="18"/>
                <w:szCs w:val="18"/>
                <w:lang w:eastAsia="en-US"/>
              </w:rPr>
              <w:t>07330</w:t>
            </w:r>
          </w:p>
        </w:tc>
        <w:tc>
          <w:tcPr>
            <w:tcW w:w="7600" w:type="dxa"/>
            <w:tcBorders>
              <w:top w:val="nil"/>
              <w:left w:val="single" w:sz="4" w:space="0" w:color="auto"/>
              <w:bottom w:val="dotted" w:sz="4" w:space="0" w:color="auto"/>
              <w:right w:val="single" w:sz="4" w:space="0" w:color="auto"/>
            </w:tcBorders>
            <w:shd w:val="clear" w:color="000000" w:fill="DCE6F1"/>
            <w:noWrap/>
            <w:vAlign w:val="bottom"/>
            <w:hideMark/>
          </w:tcPr>
          <w:p w14:paraId="6EDD1657" w14:textId="77777777" w:rsidR="002F4BDF" w:rsidRPr="007114AF" w:rsidRDefault="002F4BDF" w:rsidP="002F4BDF">
            <w:pPr>
              <w:spacing w:after="0" w:line="240" w:lineRule="auto"/>
              <w:jc w:val="left"/>
              <w:rPr>
                <w:rFonts w:ascii="Garamond" w:eastAsia="Times New Roman" w:hAnsi="Garamond" w:cs="Arial"/>
                <w:sz w:val="18"/>
                <w:szCs w:val="18"/>
                <w:lang w:eastAsia="en-US"/>
              </w:rPr>
            </w:pPr>
            <w:r w:rsidRPr="007114AF">
              <w:rPr>
                <w:rFonts w:ascii="Garamond" w:eastAsia="Times New Roman" w:hAnsi="Garamond" w:cs="Arial"/>
                <w:sz w:val="18"/>
                <w:szCs w:val="18"/>
                <w:lang w:eastAsia="en-US"/>
              </w:rPr>
              <w:t>Shërbime të Kujdesit Dytësor</w:t>
            </w:r>
          </w:p>
        </w:tc>
      </w:tr>
      <w:tr w:rsidR="002F4BDF" w:rsidRPr="007114AF" w14:paraId="6EDD165B" w14:textId="77777777" w:rsidTr="003305AE">
        <w:trPr>
          <w:trHeight w:val="255"/>
        </w:trPr>
        <w:tc>
          <w:tcPr>
            <w:tcW w:w="1866" w:type="dxa"/>
            <w:tcBorders>
              <w:top w:val="nil"/>
              <w:left w:val="single" w:sz="12" w:space="0" w:color="auto"/>
              <w:bottom w:val="dotted" w:sz="4" w:space="0" w:color="auto"/>
              <w:right w:val="nil"/>
            </w:tcBorders>
            <w:shd w:val="clear" w:color="000000" w:fill="DCE6F1"/>
            <w:noWrap/>
            <w:vAlign w:val="bottom"/>
            <w:hideMark/>
          </w:tcPr>
          <w:p w14:paraId="6EDD1659" w14:textId="77777777" w:rsidR="002F4BDF" w:rsidRPr="007114AF" w:rsidRDefault="002F4BDF" w:rsidP="002F4BDF">
            <w:pPr>
              <w:spacing w:after="0" w:line="240" w:lineRule="auto"/>
              <w:jc w:val="left"/>
              <w:rPr>
                <w:rFonts w:ascii="Garamond" w:eastAsia="Times New Roman" w:hAnsi="Garamond" w:cs="Arial"/>
                <w:sz w:val="18"/>
                <w:szCs w:val="18"/>
                <w:lang w:eastAsia="en-US"/>
              </w:rPr>
            </w:pPr>
            <w:r w:rsidRPr="007114AF">
              <w:rPr>
                <w:rFonts w:ascii="Garamond" w:eastAsia="Times New Roman" w:hAnsi="Garamond" w:cs="Arial"/>
                <w:sz w:val="18"/>
                <w:szCs w:val="18"/>
                <w:lang w:eastAsia="en-US"/>
              </w:rPr>
              <w:t>07450</w:t>
            </w:r>
          </w:p>
        </w:tc>
        <w:tc>
          <w:tcPr>
            <w:tcW w:w="7600" w:type="dxa"/>
            <w:tcBorders>
              <w:top w:val="nil"/>
              <w:left w:val="single" w:sz="4" w:space="0" w:color="auto"/>
              <w:bottom w:val="dotted" w:sz="4" w:space="0" w:color="auto"/>
              <w:right w:val="single" w:sz="4" w:space="0" w:color="auto"/>
            </w:tcBorders>
            <w:shd w:val="clear" w:color="000000" w:fill="DCE6F1"/>
            <w:noWrap/>
            <w:vAlign w:val="bottom"/>
            <w:hideMark/>
          </w:tcPr>
          <w:p w14:paraId="6EDD165A" w14:textId="77777777" w:rsidR="002F4BDF" w:rsidRPr="007114AF" w:rsidRDefault="002F4BDF" w:rsidP="002F4BDF">
            <w:pPr>
              <w:spacing w:after="0" w:line="240" w:lineRule="auto"/>
              <w:rPr>
                <w:rFonts w:ascii="Garamond" w:eastAsia="Times New Roman" w:hAnsi="Garamond" w:cs="Arial"/>
                <w:sz w:val="18"/>
                <w:szCs w:val="18"/>
                <w:lang w:eastAsia="en-US"/>
              </w:rPr>
            </w:pPr>
            <w:r w:rsidRPr="007114AF">
              <w:rPr>
                <w:rFonts w:ascii="Garamond" w:hAnsi="Garamond"/>
                <w:sz w:val="18"/>
                <w:szCs w:val="18"/>
                <w:lang w:eastAsia="en-US"/>
              </w:rPr>
              <w:t>Shërbime të Shëndetit Publik</w:t>
            </w:r>
          </w:p>
        </w:tc>
      </w:tr>
      <w:tr w:rsidR="002F4BDF" w:rsidRPr="007114AF" w14:paraId="6EDD165E" w14:textId="77777777" w:rsidTr="003305AE">
        <w:trPr>
          <w:trHeight w:val="70"/>
        </w:trPr>
        <w:tc>
          <w:tcPr>
            <w:tcW w:w="1866" w:type="dxa"/>
            <w:tcBorders>
              <w:top w:val="single" w:sz="4" w:space="0" w:color="auto"/>
              <w:left w:val="single" w:sz="12" w:space="0" w:color="auto"/>
              <w:bottom w:val="dotted" w:sz="4" w:space="0" w:color="auto"/>
              <w:right w:val="nil"/>
            </w:tcBorders>
            <w:shd w:val="clear" w:color="auto" w:fill="auto"/>
            <w:vAlign w:val="bottom"/>
            <w:hideMark/>
          </w:tcPr>
          <w:p w14:paraId="6EDD165C" w14:textId="77777777" w:rsidR="002F4BDF" w:rsidRPr="007114AF" w:rsidRDefault="002F4BDF" w:rsidP="002F4BDF">
            <w:pPr>
              <w:spacing w:after="0" w:line="240" w:lineRule="auto"/>
              <w:jc w:val="left"/>
              <w:rPr>
                <w:rFonts w:ascii="Garamond" w:eastAsia="Times New Roman" w:hAnsi="Garamond" w:cs="Arial"/>
                <w:b/>
                <w:bCs/>
                <w:sz w:val="18"/>
                <w:szCs w:val="18"/>
                <w:lang w:eastAsia="en-US"/>
              </w:rPr>
            </w:pPr>
            <w:r w:rsidRPr="007114AF">
              <w:rPr>
                <w:rFonts w:ascii="Garamond" w:eastAsia="Times New Roman" w:hAnsi="Garamond" w:cs="Arial"/>
                <w:b/>
                <w:bCs/>
                <w:sz w:val="18"/>
                <w:szCs w:val="18"/>
                <w:lang w:eastAsia="en-US"/>
              </w:rPr>
              <w:t>16</w:t>
            </w:r>
          </w:p>
        </w:tc>
        <w:tc>
          <w:tcPr>
            <w:tcW w:w="7600" w:type="dxa"/>
            <w:tcBorders>
              <w:top w:val="single" w:sz="4" w:space="0" w:color="auto"/>
              <w:left w:val="single" w:sz="4" w:space="0" w:color="auto"/>
              <w:bottom w:val="dotted" w:sz="4" w:space="0" w:color="auto"/>
              <w:right w:val="single" w:sz="4" w:space="0" w:color="auto"/>
            </w:tcBorders>
            <w:shd w:val="clear" w:color="auto" w:fill="auto"/>
            <w:vAlign w:val="bottom"/>
            <w:hideMark/>
          </w:tcPr>
          <w:p w14:paraId="6EDD165D" w14:textId="77777777" w:rsidR="002F4BDF" w:rsidRPr="007114AF" w:rsidRDefault="002F4BDF" w:rsidP="002F4BDF">
            <w:pPr>
              <w:spacing w:after="0" w:line="240" w:lineRule="auto"/>
              <w:jc w:val="left"/>
              <w:rPr>
                <w:rFonts w:ascii="Garamond" w:eastAsia="Times New Roman" w:hAnsi="Garamond" w:cs="Arial"/>
                <w:b/>
                <w:bCs/>
                <w:sz w:val="18"/>
                <w:szCs w:val="18"/>
                <w:lang w:eastAsia="en-US"/>
              </w:rPr>
            </w:pPr>
            <w:r w:rsidRPr="007114AF">
              <w:rPr>
                <w:rFonts w:ascii="Garamond" w:eastAsia="Times New Roman" w:hAnsi="Garamond" w:cs="Arial"/>
                <w:b/>
                <w:bCs/>
                <w:sz w:val="18"/>
                <w:szCs w:val="18"/>
                <w:lang w:eastAsia="en-US"/>
              </w:rPr>
              <w:t>Ministria e Brendshme</w:t>
            </w:r>
          </w:p>
        </w:tc>
      </w:tr>
      <w:tr w:rsidR="002F4BDF" w:rsidRPr="007114AF" w14:paraId="6EDD1661" w14:textId="77777777" w:rsidTr="003305AE">
        <w:trPr>
          <w:trHeight w:val="255"/>
        </w:trPr>
        <w:tc>
          <w:tcPr>
            <w:tcW w:w="1866" w:type="dxa"/>
            <w:tcBorders>
              <w:top w:val="nil"/>
              <w:left w:val="single" w:sz="12" w:space="0" w:color="auto"/>
              <w:bottom w:val="dotted" w:sz="4" w:space="0" w:color="auto"/>
              <w:right w:val="nil"/>
            </w:tcBorders>
            <w:shd w:val="clear" w:color="auto" w:fill="auto"/>
            <w:noWrap/>
            <w:vAlign w:val="bottom"/>
            <w:hideMark/>
          </w:tcPr>
          <w:p w14:paraId="6EDD165F" w14:textId="77777777" w:rsidR="002F4BDF" w:rsidRPr="007114AF" w:rsidRDefault="002F4BDF" w:rsidP="002F4BDF">
            <w:pPr>
              <w:spacing w:after="0" w:line="240" w:lineRule="auto"/>
              <w:jc w:val="left"/>
              <w:rPr>
                <w:rFonts w:ascii="Garamond" w:eastAsia="Times New Roman" w:hAnsi="Garamond" w:cs="Arial"/>
                <w:sz w:val="18"/>
                <w:szCs w:val="18"/>
                <w:lang w:eastAsia="en-US"/>
              </w:rPr>
            </w:pPr>
            <w:r w:rsidRPr="007114AF">
              <w:rPr>
                <w:rFonts w:ascii="Garamond" w:eastAsia="Times New Roman" w:hAnsi="Garamond" w:cs="Arial"/>
                <w:sz w:val="18"/>
                <w:szCs w:val="18"/>
                <w:lang w:eastAsia="en-US"/>
              </w:rPr>
              <w:t>01160</w:t>
            </w:r>
          </w:p>
        </w:tc>
        <w:tc>
          <w:tcPr>
            <w:tcW w:w="7600" w:type="dxa"/>
            <w:tcBorders>
              <w:top w:val="nil"/>
              <w:left w:val="single" w:sz="4" w:space="0" w:color="auto"/>
              <w:bottom w:val="dotted" w:sz="4" w:space="0" w:color="auto"/>
              <w:right w:val="single" w:sz="4" w:space="0" w:color="auto"/>
            </w:tcBorders>
            <w:shd w:val="clear" w:color="auto" w:fill="auto"/>
            <w:noWrap/>
            <w:vAlign w:val="bottom"/>
            <w:hideMark/>
          </w:tcPr>
          <w:p w14:paraId="6EDD1660" w14:textId="77777777" w:rsidR="002F4BDF" w:rsidRPr="007114AF" w:rsidRDefault="002F4BDF" w:rsidP="002F4BDF">
            <w:pPr>
              <w:spacing w:after="0" w:line="240" w:lineRule="auto"/>
              <w:jc w:val="left"/>
              <w:rPr>
                <w:rFonts w:ascii="Garamond" w:eastAsia="Times New Roman" w:hAnsi="Garamond" w:cs="Arial"/>
                <w:sz w:val="18"/>
                <w:szCs w:val="18"/>
                <w:lang w:eastAsia="en-US"/>
              </w:rPr>
            </w:pPr>
            <w:r w:rsidRPr="007114AF">
              <w:rPr>
                <w:rFonts w:ascii="Garamond" w:eastAsia="Times New Roman" w:hAnsi="Garamond" w:cs="Arial"/>
                <w:sz w:val="18"/>
                <w:szCs w:val="18"/>
                <w:lang w:eastAsia="en-US"/>
              </w:rPr>
              <w:t>Prefekturat e deleguara dhe funksionet e Qeverisë Vendore</w:t>
            </w:r>
          </w:p>
        </w:tc>
      </w:tr>
      <w:tr w:rsidR="002F4BDF" w:rsidRPr="007114AF" w14:paraId="6EDD1664" w14:textId="77777777" w:rsidTr="003305AE">
        <w:trPr>
          <w:trHeight w:val="255"/>
        </w:trPr>
        <w:tc>
          <w:tcPr>
            <w:tcW w:w="1866" w:type="dxa"/>
            <w:tcBorders>
              <w:top w:val="nil"/>
              <w:left w:val="single" w:sz="12" w:space="0" w:color="auto"/>
              <w:bottom w:val="nil"/>
              <w:right w:val="nil"/>
            </w:tcBorders>
            <w:shd w:val="clear" w:color="auto" w:fill="auto"/>
            <w:noWrap/>
            <w:vAlign w:val="bottom"/>
            <w:hideMark/>
          </w:tcPr>
          <w:p w14:paraId="6EDD1662" w14:textId="77777777" w:rsidR="002F4BDF" w:rsidRPr="007114AF" w:rsidRDefault="002F4BDF" w:rsidP="002F4BDF">
            <w:pPr>
              <w:spacing w:after="0" w:line="240" w:lineRule="auto"/>
              <w:jc w:val="left"/>
              <w:rPr>
                <w:rFonts w:ascii="Garamond" w:eastAsia="Times New Roman" w:hAnsi="Garamond" w:cs="Arial"/>
                <w:sz w:val="18"/>
                <w:szCs w:val="18"/>
                <w:lang w:eastAsia="en-US"/>
              </w:rPr>
            </w:pPr>
            <w:r w:rsidRPr="007114AF">
              <w:rPr>
                <w:rFonts w:ascii="Garamond" w:eastAsia="Times New Roman" w:hAnsi="Garamond" w:cs="Arial"/>
                <w:sz w:val="18"/>
                <w:szCs w:val="18"/>
                <w:lang w:eastAsia="en-US"/>
              </w:rPr>
              <w:t>01180</w:t>
            </w:r>
          </w:p>
        </w:tc>
        <w:tc>
          <w:tcPr>
            <w:tcW w:w="7600" w:type="dxa"/>
            <w:tcBorders>
              <w:top w:val="nil"/>
              <w:left w:val="single" w:sz="4" w:space="0" w:color="auto"/>
              <w:bottom w:val="dotted" w:sz="4" w:space="0" w:color="auto"/>
              <w:right w:val="single" w:sz="4" w:space="0" w:color="auto"/>
            </w:tcBorders>
            <w:shd w:val="clear" w:color="auto" w:fill="auto"/>
            <w:noWrap/>
            <w:vAlign w:val="bottom"/>
            <w:hideMark/>
          </w:tcPr>
          <w:p w14:paraId="6EDD1663" w14:textId="77777777" w:rsidR="002F4BDF" w:rsidRPr="007114AF" w:rsidRDefault="002F4BDF" w:rsidP="002F4BDF">
            <w:pPr>
              <w:spacing w:after="0" w:line="240" w:lineRule="auto"/>
              <w:jc w:val="left"/>
              <w:rPr>
                <w:rFonts w:ascii="Garamond" w:eastAsia="Times New Roman" w:hAnsi="Garamond" w:cs="Arial"/>
                <w:sz w:val="18"/>
                <w:szCs w:val="18"/>
                <w:lang w:eastAsia="en-US"/>
              </w:rPr>
            </w:pPr>
            <w:r w:rsidRPr="007114AF">
              <w:rPr>
                <w:rFonts w:ascii="Garamond" w:eastAsia="Times New Roman" w:hAnsi="Garamond" w:cs="Arial"/>
                <w:sz w:val="18"/>
                <w:szCs w:val="18"/>
                <w:lang w:eastAsia="en-US"/>
              </w:rPr>
              <w:t>Menaxhimi i Rezervave të Shtetit</w:t>
            </w:r>
          </w:p>
        </w:tc>
      </w:tr>
      <w:tr w:rsidR="002F4BDF" w:rsidRPr="007114AF" w14:paraId="6EDD1667" w14:textId="77777777" w:rsidTr="003305AE">
        <w:trPr>
          <w:trHeight w:val="255"/>
        </w:trPr>
        <w:tc>
          <w:tcPr>
            <w:tcW w:w="1866" w:type="dxa"/>
            <w:tcBorders>
              <w:top w:val="dotted" w:sz="4" w:space="0" w:color="auto"/>
              <w:left w:val="single" w:sz="12" w:space="0" w:color="auto"/>
              <w:bottom w:val="single" w:sz="4" w:space="0" w:color="auto"/>
              <w:right w:val="nil"/>
            </w:tcBorders>
            <w:shd w:val="clear" w:color="000000" w:fill="DCE6F1"/>
            <w:noWrap/>
            <w:vAlign w:val="bottom"/>
            <w:hideMark/>
          </w:tcPr>
          <w:p w14:paraId="6EDD1665" w14:textId="77777777" w:rsidR="002F4BDF" w:rsidRPr="007114AF" w:rsidRDefault="002F4BDF" w:rsidP="002F4BDF">
            <w:pPr>
              <w:spacing w:after="0" w:line="240" w:lineRule="auto"/>
              <w:jc w:val="left"/>
              <w:rPr>
                <w:rFonts w:ascii="Garamond" w:eastAsia="Times New Roman" w:hAnsi="Garamond" w:cs="Arial"/>
                <w:sz w:val="18"/>
                <w:szCs w:val="18"/>
                <w:lang w:eastAsia="en-US"/>
              </w:rPr>
            </w:pPr>
            <w:r w:rsidRPr="007114AF">
              <w:rPr>
                <w:rFonts w:ascii="Garamond" w:eastAsia="Times New Roman" w:hAnsi="Garamond" w:cs="Arial"/>
                <w:sz w:val="18"/>
                <w:szCs w:val="18"/>
                <w:lang w:eastAsia="en-US"/>
              </w:rPr>
              <w:t>10910</w:t>
            </w:r>
          </w:p>
        </w:tc>
        <w:tc>
          <w:tcPr>
            <w:tcW w:w="7600" w:type="dxa"/>
            <w:tcBorders>
              <w:top w:val="nil"/>
              <w:left w:val="single" w:sz="4" w:space="0" w:color="auto"/>
              <w:bottom w:val="single" w:sz="4" w:space="0" w:color="auto"/>
              <w:right w:val="single" w:sz="4" w:space="0" w:color="auto"/>
            </w:tcBorders>
            <w:shd w:val="clear" w:color="000000" w:fill="DCE6F1"/>
            <w:noWrap/>
            <w:vAlign w:val="bottom"/>
            <w:hideMark/>
          </w:tcPr>
          <w:p w14:paraId="6EDD1666" w14:textId="77777777" w:rsidR="002F4BDF" w:rsidRPr="007114AF" w:rsidRDefault="002F4BDF" w:rsidP="002F4BDF">
            <w:pPr>
              <w:spacing w:after="0" w:line="240" w:lineRule="auto"/>
              <w:jc w:val="left"/>
              <w:rPr>
                <w:rFonts w:ascii="Garamond" w:eastAsia="Times New Roman" w:hAnsi="Garamond" w:cs="Arial"/>
                <w:sz w:val="18"/>
                <w:szCs w:val="18"/>
                <w:lang w:eastAsia="en-US"/>
              </w:rPr>
            </w:pPr>
            <w:r w:rsidRPr="007114AF">
              <w:rPr>
                <w:rFonts w:ascii="Garamond" w:eastAsia="Times New Roman" w:hAnsi="Garamond" w:cs="Arial"/>
                <w:sz w:val="18"/>
                <w:szCs w:val="18"/>
                <w:lang w:eastAsia="en-US"/>
              </w:rPr>
              <w:t>Emergjenca Civile</w:t>
            </w:r>
          </w:p>
        </w:tc>
      </w:tr>
      <w:tr w:rsidR="002F4BDF" w:rsidRPr="007114AF" w14:paraId="6EDD166A" w14:textId="77777777" w:rsidTr="003305AE">
        <w:trPr>
          <w:trHeight w:val="278"/>
        </w:trPr>
        <w:tc>
          <w:tcPr>
            <w:tcW w:w="1866" w:type="dxa"/>
            <w:tcBorders>
              <w:top w:val="nil"/>
              <w:left w:val="single" w:sz="12" w:space="0" w:color="auto"/>
              <w:bottom w:val="dotted" w:sz="4" w:space="0" w:color="auto"/>
              <w:right w:val="nil"/>
            </w:tcBorders>
            <w:shd w:val="clear" w:color="auto" w:fill="auto"/>
            <w:vAlign w:val="bottom"/>
            <w:hideMark/>
          </w:tcPr>
          <w:p w14:paraId="6EDD1668" w14:textId="77777777" w:rsidR="002F4BDF" w:rsidRPr="007114AF" w:rsidRDefault="002F4BDF" w:rsidP="002F4BDF">
            <w:pPr>
              <w:spacing w:after="0" w:line="240" w:lineRule="auto"/>
              <w:jc w:val="left"/>
              <w:rPr>
                <w:rFonts w:ascii="Garamond" w:eastAsia="Times New Roman" w:hAnsi="Garamond" w:cs="Arial"/>
                <w:b/>
                <w:bCs/>
                <w:sz w:val="18"/>
                <w:szCs w:val="18"/>
                <w:lang w:eastAsia="en-US"/>
              </w:rPr>
            </w:pPr>
            <w:r w:rsidRPr="007114AF">
              <w:rPr>
                <w:rFonts w:ascii="Garamond" w:eastAsia="Times New Roman" w:hAnsi="Garamond" w:cs="Arial"/>
                <w:b/>
                <w:bCs/>
                <w:sz w:val="18"/>
                <w:szCs w:val="18"/>
                <w:lang w:eastAsia="en-US"/>
              </w:rPr>
              <w:t>25</w:t>
            </w:r>
          </w:p>
        </w:tc>
        <w:tc>
          <w:tcPr>
            <w:tcW w:w="7600" w:type="dxa"/>
            <w:tcBorders>
              <w:top w:val="nil"/>
              <w:left w:val="single" w:sz="4" w:space="0" w:color="auto"/>
              <w:bottom w:val="dotted" w:sz="4" w:space="0" w:color="auto"/>
              <w:right w:val="single" w:sz="4" w:space="0" w:color="auto"/>
            </w:tcBorders>
            <w:shd w:val="clear" w:color="auto" w:fill="auto"/>
            <w:vAlign w:val="bottom"/>
            <w:hideMark/>
          </w:tcPr>
          <w:p w14:paraId="6EDD1669" w14:textId="77777777" w:rsidR="002F4BDF" w:rsidRPr="007114AF" w:rsidRDefault="002F4BDF" w:rsidP="002F4BDF">
            <w:pPr>
              <w:spacing w:after="0" w:line="240" w:lineRule="auto"/>
              <w:jc w:val="left"/>
              <w:rPr>
                <w:rFonts w:ascii="Garamond" w:eastAsia="Times New Roman" w:hAnsi="Garamond" w:cs="Arial"/>
                <w:b/>
                <w:bCs/>
                <w:sz w:val="18"/>
                <w:szCs w:val="18"/>
                <w:lang w:eastAsia="en-US"/>
              </w:rPr>
            </w:pPr>
            <w:r w:rsidRPr="007114AF">
              <w:rPr>
                <w:rFonts w:ascii="Garamond" w:eastAsia="Times New Roman" w:hAnsi="Garamond" w:cs="Arial"/>
                <w:b/>
                <w:bCs/>
                <w:sz w:val="18"/>
                <w:szCs w:val="18"/>
                <w:lang w:eastAsia="en-US"/>
              </w:rPr>
              <w:t>Ministria e Mirëqenies Sociale dhe Rinisë</w:t>
            </w:r>
          </w:p>
        </w:tc>
      </w:tr>
      <w:tr w:rsidR="002F4BDF" w:rsidRPr="007114AF" w14:paraId="6EDD166D" w14:textId="77777777" w:rsidTr="003305AE">
        <w:trPr>
          <w:trHeight w:val="255"/>
        </w:trPr>
        <w:tc>
          <w:tcPr>
            <w:tcW w:w="1866" w:type="dxa"/>
            <w:tcBorders>
              <w:top w:val="nil"/>
              <w:left w:val="single" w:sz="12" w:space="0" w:color="auto"/>
              <w:bottom w:val="nil"/>
              <w:right w:val="nil"/>
            </w:tcBorders>
            <w:shd w:val="clear" w:color="auto" w:fill="auto"/>
            <w:noWrap/>
            <w:vAlign w:val="bottom"/>
            <w:hideMark/>
          </w:tcPr>
          <w:p w14:paraId="6EDD166B" w14:textId="77777777" w:rsidR="002F4BDF" w:rsidRPr="007114AF" w:rsidRDefault="002F4BDF" w:rsidP="002F4BDF">
            <w:pPr>
              <w:spacing w:after="0" w:line="240" w:lineRule="auto"/>
              <w:jc w:val="left"/>
              <w:rPr>
                <w:rFonts w:ascii="Garamond" w:eastAsia="Times New Roman" w:hAnsi="Garamond" w:cs="Arial"/>
                <w:sz w:val="18"/>
                <w:szCs w:val="18"/>
                <w:lang w:eastAsia="en-US"/>
              </w:rPr>
            </w:pPr>
            <w:r w:rsidRPr="007114AF">
              <w:rPr>
                <w:rFonts w:ascii="Garamond" w:eastAsia="Times New Roman" w:hAnsi="Garamond" w:cs="Arial"/>
                <w:sz w:val="18"/>
                <w:szCs w:val="18"/>
                <w:lang w:eastAsia="en-US"/>
              </w:rPr>
              <w:t>10460</w:t>
            </w:r>
          </w:p>
        </w:tc>
        <w:tc>
          <w:tcPr>
            <w:tcW w:w="7600" w:type="dxa"/>
            <w:tcBorders>
              <w:top w:val="nil"/>
              <w:left w:val="single" w:sz="4" w:space="0" w:color="auto"/>
              <w:bottom w:val="nil"/>
              <w:right w:val="single" w:sz="4" w:space="0" w:color="auto"/>
            </w:tcBorders>
            <w:shd w:val="clear" w:color="auto" w:fill="auto"/>
            <w:noWrap/>
            <w:vAlign w:val="bottom"/>
            <w:hideMark/>
          </w:tcPr>
          <w:p w14:paraId="6EDD166C" w14:textId="77777777" w:rsidR="002F4BDF" w:rsidRPr="007114AF" w:rsidRDefault="002F4BDF" w:rsidP="002F4BDF">
            <w:pPr>
              <w:spacing w:after="0" w:line="240" w:lineRule="auto"/>
              <w:jc w:val="left"/>
              <w:rPr>
                <w:rFonts w:ascii="Garamond" w:eastAsia="Times New Roman" w:hAnsi="Garamond" w:cs="Arial"/>
                <w:sz w:val="18"/>
                <w:szCs w:val="18"/>
                <w:lang w:eastAsia="en-US"/>
              </w:rPr>
            </w:pPr>
            <w:r w:rsidRPr="007114AF">
              <w:rPr>
                <w:rFonts w:ascii="Garamond" w:eastAsia="Times New Roman" w:hAnsi="Garamond" w:cs="Arial"/>
                <w:sz w:val="18"/>
                <w:szCs w:val="18"/>
                <w:lang w:eastAsia="en-US"/>
              </w:rPr>
              <w:t>Përfshirja Sociale</w:t>
            </w:r>
          </w:p>
        </w:tc>
      </w:tr>
      <w:tr w:rsidR="002F4BDF" w:rsidRPr="007114AF" w14:paraId="6EDD1670" w14:textId="77777777" w:rsidTr="003305AE">
        <w:trPr>
          <w:trHeight w:val="255"/>
        </w:trPr>
        <w:tc>
          <w:tcPr>
            <w:tcW w:w="1866" w:type="dxa"/>
            <w:tcBorders>
              <w:top w:val="dotted" w:sz="4" w:space="0" w:color="auto"/>
              <w:left w:val="single" w:sz="12" w:space="0" w:color="auto"/>
              <w:bottom w:val="dotted" w:sz="4" w:space="0" w:color="auto"/>
              <w:right w:val="nil"/>
            </w:tcBorders>
            <w:shd w:val="clear" w:color="000000" w:fill="DCE6F1"/>
            <w:noWrap/>
            <w:vAlign w:val="bottom"/>
            <w:hideMark/>
          </w:tcPr>
          <w:p w14:paraId="6EDD166E" w14:textId="77777777" w:rsidR="002F4BDF" w:rsidRPr="007114AF" w:rsidRDefault="002F4BDF" w:rsidP="002F4BDF">
            <w:pPr>
              <w:spacing w:after="0" w:line="240" w:lineRule="auto"/>
              <w:jc w:val="left"/>
              <w:rPr>
                <w:rFonts w:ascii="Garamond" w:eastAsia="Times New Roman" w:hAnsi="Garamond" w:cs="Arial"/>
                <w:sz w:val="18"/>
                <w:szCs w:val="18"/>
                <w:lang w:eastAsia="en-US"/>
              </w:rPr>
            </w:pPr>
            <w:r w:rsidRPr="007114AF">
              <w:rPr>
                <w:rFonts w:ascii="Garamond" w:eastAsia="Times New Roman" w:hAnsi="Garamond" w:cs="Arial"/>
                <w:sz w:val="18"/>
                <w:szCs w:val="18"/>
                <w:lang w:eastAsia="en-US"/>
              </w:rPr>
              <w:t>09240</w:t>
            </w:r>
          </w:p>
        </w:tc>
        <w:tc>
          <w:tcPr>
            <w:tcW w:w="7600" w:type="dxa"/>
            <w:tcBorders>
              <w:top w:val="dotted" w:sz="4" w:space="0" w:color="auto"/>
              <w:left w:val="single" w:sz="4" w:space="0" w:color="auto"/>
              <w:bottom w:val="dotted" w:sz="4" w:space="0" w:color="auto"/>
              <w:right w:val="single" w:sz="4" w:space="0" w:color="auto"/>
            </w:tcBorders>
            <w:shd w:val="clear" w:color="000000" w:fill="DCE6F1"/>
            <w:noWrap/>
            <w:vAlign w:val="bottom"/>
            <w:hideMark/>
          </w:tcPr>
          <w:p w14:paraId="6EDD166F" w14:textId="77777777" w:rsidR="002F4BDF" w:rsidRPr="007114AF" w:rsidRDefault="002F4BDF" w:rsidP="002F4BDF">
            <w:pPr>
              <w:spacing w:after="0" w:line="240" w:lineRule="auto"/>
              <w:jc w:val="left"/>
              <w:rPr>
                <w:rFonts w:ascii="Garamond" w:eastAsia="Times New Roman" w:hAnsi="Garamond" w:cs="Arial"/>
                <w:sz w:val="18"/>
                <w:szCs w:val="18"/>
                <w:lang w:eastAsia="en-US"/>
              </w:rPr>
            </w:pPr>
            <w:r w:rsidRPr="007114AF">
              <w:rPr>
                <w:rFonts w:ascii="Garamond" w:eastAsia="Times New Roman" w:hAnsi="Garamond" w:cs="Arial"/>
                <w:sz w:val="18"/>
                <w:szCs w:val="18"/>
                <w:lang w:eastAsia="en-US"/>
              </w:rPr>
              <w:t>Arsimi Dytësor (Profesional)</w:t>
            </w:r>
          </w:p>
        </w:tc>
      </w:tr>
      <w:tr w:rsidR="002F4BDF" w:rsidRPr="007114AF" w14:paraId="6EDD1673" w14:textId="77777777" w:rsidTr="003305AE">
        <w:trPr>
          <w:trHeight w:val="255"/>
        </w:trPr>
        <w:tc>
          <w:tcPr>
            <w:tcW w:w="1866" w:type="dxa"/>
            <w:tcBorders>
              <w:top w:val="single" w:sz="4" w:space="0" w:color="auto"/>
              <w:left w:val="single" w:sz="12" w:space="0" w:color="auto"/>
              <w:bottom w:val="dotted" w:sz="4" w:space="0" w:color="auto"/>
              <w:right w:val="nil"/>
            </w:tcBorders>
            <w:shd w:val="clear" w:color="auto" w:fill="auto"/>
            <w:vAlign w:val="bottom"/>
            <w:hideMark/>
          </w:tcPr>
          <w:p w14:paraId="6EDD1671" w14:textId="77777777" w:rsidR="002F4BDF" w:rsidRPr="007114AF" w:rsidRDefault="002F4BDF" w:rsidP="002F4BDF">
            <w:pPr>
              <w:spacing w:after="0" w:line="240" w:lineRule="auto"/>
              <w:jc w:val="left"/>
              <w:rPr>
                <w:rFonts w:ascii="Garamond" w:eastAsia="Times New Roman" w:hAnsi="Garamond" w:cs="Arial"/>
                <w:b/>
                <w:bCs/>
                <w:sz w:val="18"/>
                <w:szCs w:val="18"/>
                <w:lang w:eastAsia="en-US"/>
              </w:rPr>
            </w:pPr>
            <w:r w:rsidRPr="007114AF">
              <w:rPr>
                <w:rFonts w:ascii="Garamond" w:eastAsia="Times New Roman" w:hAnsi="Garamond" w:cs="Arial"/>
                <w:b/>
                <w:bCs/>
                <w:sz w:val="18"/>
                <w:szCs w:val="18"/>
                <w:lang w:eastAsia="en-US"/>
              </w:rPr>
              <w:t>26</w:t>
            </w:r>
          </w:p>
        </w:tc>
        <w:tc>
          <w:tcPr>
            <w:tcW w:w="7600" w:type="dxa"/>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6EDD1672" w14:textId="77777777" w:rsidR="002F4BDF" w:rsidRPr="007114AF" w:rsidRDefault="002F4BDF" w:rsidP="002F4BDF">
            <w:pPr>
              <w:spacing w:after="0" w:line="240" w:lineRule="auto"/>
              <w:jc w:val="left"/>
              <w:rPr>
                <w:rFonts w:ascii="Garamond" w:eastAsia="Times New Roman" w:hAnsi="Garamond" w:cs="Arial"/>
                <w:b/>
                <w:bCs/>
                <w:sz w:val="18"/>
                <w:szCs w:val="18"/>
                <w:lang w:eastAsia="en-US"/>
              </w:rPr>
            </w:pPr>
            <w:r w:rsidRPr="007114AF">
              <w:rPr>
                <w:rFonts w:ascii="Garamond" w:eastAsia="Times New Roman" w:hAnsi="Garamond" w:cs="Arial"/>
                <w:b/>
                <w:bCs/>
                <w:sz w:val="18"/>
                <w:szCs w:val="18"/>
                <w:lang w:eastAsia="en-US"/>
              </w:rPr>
              <w:t xml:space="preserve">Ministria e Turizmit dhe Mjedisit </w:t>
            </w:r>
          </w:p>
        </w:tc>
      </w:tr>
      <w:tr w:rsidR="002F4BDF" w:rsidRPr="007114AF" w14:paraId="6EDD1676" w14:textId="77777777" w:rsidTr="003305AE">
        <w:trPr>
          <w:trHeight w:val="255"/>
        </w:trPr>
        <w:tc>
          <w:tcPr>
            <w:tcW w:w="1866" w:type="dxa"/>
            <w:tcBorders>
              <w:top w:val="nil"/>
              <w:left w:val="single" w:sz="12" w:space="0" w:color="auto"/>
              <w:bottom w:val="dotted" w:sz="4" w:space="0" w:color="auto"/>
              <w:right w:val="nil"/>
            </w:tcBorders>
            <w:shd w:val="clear" w:color="000000" w:fill="DCE6F1"/>
            <w:noWrap/>
            <w:vAlign w:val="bottom"/>
            <w:hideMark/>
          </w:tcPr>
          <w:p w14:paraId="6EDD1674" w14:textId="77777777" w:rsidR="002F4BDF" w:rsidRPr="007114AF" w:rsidRDefault="002F4BDF" w:rsidP="002F4BDF">
            <w:pPr>
              <w:spacing w:after="0" w:line="240" w:lineRule="auto"/>
              <w:jc w:val="left"/>
              <w:rPr>
                <w:rFonts w:ascii="Garamond" w:eastAsia="Times New Roman" w:hAnsi="Garamond" w:cs="Arial"/>
                <w:sz w:val="18"/>
                <w:szCs w:val="18"/>
                <w:lang w:eastAsia="en-US"/>
              </w:rPr>
            </w:pPr>
            <w:r w:rsidRPr="007114AF">
              <w:rPr>
                <w:rFonts w:ascii="Garamond" w:eastAsia="Times New Roman" w:hAnsi="Garamond" w:cs="Arial"/>
                <w:sz w:val="18"/>
                <w:szCs w:val="18"/>
                <w:lang w:eastAsia="en-US"/>
              </w:rPr>
              <w:t>05320</w:t>
            </w:r>
          </w:p>
        </w:tc>
        <w:tc>
          <w:tcPr>
            <w:tcW w:w="7600" w:type="dxa"/>
            <w:tcBorders>
              <w:top w:val="nil"/>
              <w:left w:val="single" w:sz="4" w:space="0" w:color="auto"/>
              <w:bottom w:val="dotted" w:sz="4" w:space="0" w:color="auto"/>
              <w:right w:val="single" w:sz="4" w:space="0" w:color="auto"/>
            </w:tcBorders>
            <w:shd w:val="clear" w:color="000000" w:fill="DCE6F1"/>
            <w:noWrap/>
            <w:vAlign w:val="bottom"/>
            <w:hideMark/>
          </w:tcPr>
          <w:p w14:paraId="6EDD1675" w14:textId="77777777" w:rsidR="002F4BDF" w:rsidRPr="007114AF" w:rsidRDefault="002F4BDF" w:rsidP="002F4BDF">
            <w:pPr>
              <w:spacing w:after="0" w:line="240" w:lineRule="auto"/>
              <w:jc w:val="left"/>
              <w:rPr>
                <w:rFonts w:ascii="Garamond" w:eastAsia="Times New Roman" w:hAnsi="Garamond" w:cs="Arial"/>
                <w:sz w:val="18"/>
                <w:szCs w:val="18"/>
                <w:lang w:eastAsia="en-US"/>
              </w:rPr>
            </w:pPr>
            <w:r w:rsidRPr="007114AF">
              <w:rPr>
                <w:rFonts w:ascii="Garamond" w:eastAsia="Times New Roman" w:hAnsi="Garamond" w:cs="Arial"/>
                <w:sz w:val="18"/>
                <w:szCs w:val="18"/>
                <w:lang w:eastAsia="en-US"/>
              </w:rPr>
              <w:t>Programe të Mbrojtjes Mjedisore</w:t>
            </w:r>
          </w:p>
        </w:tc>
      </w:tr>
      <w:tr w:rsidR="002F4BDF" w:rsidRPr="007114AF" w14:paraId="6EDD1679" w14:textId="77777777" w:rsidTr="003305AE">
        <w:trPr>
          <w:trHeight w:val="255"/>
        </w:trPr>
        <w:tc>
          <w:tcPr>
            <w:tcW w:w="1866" w:type="dxa"/>
            <w:tcBorders>
              <w:top w:val="nil"/>
              <w:left w:val="single" w:sz="12" w:space="0" w:color="auto"/>
              <w:bottom w:val="dotted" w:sz="4" w:space="0" w:color="auto"/>
              <w:right w:val="nil"/>
            </w:tcBorders>
            <w:shd w:val="clear" w:color="000000" w:fill="DCE6F1"/>
            <w:noWrap/>
            <w:vAlign w:val="bottom"/>
            <w:hideMark/>
          </w:tcPr>
          <w:p w14:paraId="6EDD1677" w14:textId="77777777" w:rsidR="002F4BDF" w:rsidRPr="007114AF" w:rsidRDefault="002F4BDF" w:rsidP="002F4BDF">
            <w:pPr>
              <w:spacing w:after="0" w:line="240" w:lineRule="auto"/>
              <w:jc w:val="left"/>
              <w:rPr>
                <w:rFonts w:ascii="Garamond" w:eastAsia="Times New Roman" w:hAnsi="Garamond" w:cs="Arial"/>
                <w:sz w:val="18"/>
                <w:szCs w:val="18"/>
                <w:lang w:eastAsia="en-US"/>
              </w:rPr>
            </w:pPr>
            <w:r w:rsidRPr="007114AF">
              <w:rPr>
                <w:rFonts w:ascii="Garamond" w:eastAsia="Times New Roman" w:hAnsi="Garamond" w:cs="Arial"/>
                <w:sz w:val="18"/>
                <w:szCs w:val="18"/>
                <w:lang w:eastAsia="en-US"/>
              </w:rPr>
              <w:t>04260</w:t>
            </w:r>
          </w:p>
        </w:tc>
        <w:tc>
          <w:tcPr>
            <w:tcW w:w="7600" w:type="dxa"/>
            <w:tcBorders>
              <w:top w:val="nil"/>
              <w:left w:val="single" w:sz="4" w:space="0" w:color="auto"/>
              <w:bottom w:val="dotted" w:sz="4" w:space="0" w:color="auto"/>
              <w:right w:val="single" w:sz="4" w:space="0" w:color="auto"/>
            </w:tcBorders>
            <w:shd w:val="clear" w:color="000000" w:fill="DCE6F1"/>
            <w:noWrap/>
            <w:vAlign w:val="bottom"/>
            <w:hideMark/>
          </w:tcPr>
          <w:p w14:paraId="6EDD1678" w14:textId="77777777" w:rsidR="002F4BDF" w:rsidRPr="007114AF" w:rsidRDefault="002F4BDF" w:rsidP="002F4BDF">
            <w:pPr>
              <w:spacing w:after="0" w:line="240" w:lineRule="auto"/>
              <w:jc w:val="left"/>
              <w:rPr>
                <w:rFonts w:ascii="Garamond" w:eastAsia="Times New Roman" w:hAnsi="Garamond" w:cs="Arial"/>
                <w:sz w:val="18"/>
                <w:szCs w:val="18"/>
                <w:lang w:eastAsia="en-US"/>
              </w:rPr>
            </w:pPr>
            <w:r w:rsidRPr="007114AF">
              <w:rPr>
                <w:rFonts w:ascii="Garamond" w:eastAsia="Times New Roman" w:hAnsi="Garamond" w:cs="Arial"/>
                <w:sz w:val="18"/>
                <w:szCs w:val="18"/>
                <w:lang w:eastAsia="en-US"/>
              </w:rPr>
              <w:t>Menaxhimi i Pyjeve</w:t>
            </w:r>
          </w:p>
        </w:tc>
      </w:tr>
      <w:tr w:rsidR="002F4BDF" w:rsidRPr="007114AF" w14:paraId="6EDD167C" w14:textId="77777777" w:rsidTr="003305AE">
        <w:trPr>
          <w:trHeight w:val="285"/>
        </w:trPr>
        <w:tc>
          <w:tcPr>
            <w:tcW w:w="1866" w:type="dxa"/>
            <w:tcBorders>
              <w:top w:val="single" w:sz="4" w:space="0" w:color="auto"/>
              <w:left w:val="single" w:sz="12" w:space="0" w:color="auto"/>
              <w:bottom w:val="dotted" w:sz="4" w:space="0" w:color="auto"/>
              <w:right w:val="nil"/>
            </w:tcBorders>
            <w:shd w:val="clear" w:color="auto" w:fill="auto"/>
            <w:vAlign w:val="bottom"/>
            <w:hideMark/>
          </w:tcPr>
          <w:p w14:paraId="6EDD167A" w14:textId="77777777" w:rsidR="002F4BDF" w:rsidRPr="007114AF" w:rsidRDefault="002F4BDF" w:rsidP="002F4BDF">
            <w:pPr>
              <w:spacing w:after="0" w:line="240" w:lineRule="auto"/>
              <w:jc w:val="left"/>
              <w:rPr>
                <w:rFonts w:ascii="Garamond" w:eastAsia="Times New Roman" w:hAnsi="Garamond" w:cs="Arial"/>
                <w:b/>
                <w:bCs/>
                <w:sz w:val="18"/>
                <w:szCs w:val="18"/>
                <w:lang w:eastAsia="en-US"/>
              </w:rPr>
            </w:pPr>
            <w:r w:rsidRPr="007114AF">
              <w:rPr>
                <w:rFonts w:ascii="Garamond" w:eastAsia="Times New Roman" w:hAnsi="Garamond" w:cs="Arial"/>
                <w:b/>
                <w:bCs/>
                <w:sz w:val="18"/>
                <w:szCs w:val="18"/>
                <w:lang w:eastAsia="en-US"/>
              </w:rPr>
              <w:t>56</w:t>
            </w:r>
          </w:p>
        </w:tc>
        <w:tc>
          <w:tcPr>
            <w:tcW w:w="7600" w:type="dxa"/>
            <w:tcBorders>
              <w:top w:val="single" w:sz="4" w:space="0" w:color="auto"/>
              <w:left w:val="single" w:sz="4" w:space="0" w:color="auto"/>
              <w:bottom w:val="dotted" w:sz="4" w:space="0" w:color="auto"/>
              <w:right w:val="single" w:sz="4" w:space="0" w:color="auto"/>
            </w:tcBorders>
            <w:shd w:val="clear" w:color="auto" w:fill="auto"/>
            <w:vAlign w:val="bottom"/>
            <w:hideMark/>
          </w:tcPr>
          <w:p w14:paraId="6EDD167B" w14:textId="77777777" w:rsidR="002F4BDF" w:rsidRPr="007114AF" w:rsidRDefault="002F4BDF" w:rsidP="002F4BDF">
            <w:pPr>
              <w:spacing w:after="0" w:line="240" w:lineRule="auto"/>
              <w:jc w:val="left"/>
              <w:rPr>
                <w:rFonts w:ascii="Garamond" w:eastAsia="Times New Roman" w:hAnsi="Garamond" w:cs="Arial"/>
                <w:b/>
                <w:bCs/>
                <w:sz w:val="18"/>
                <w:szCs w:val="18"/>
                <w:lang w:eastAsia="en-US"/>
              </w:rPr>
            </w:pPr>
            <w:r w:rsidRPr="007114AF">
              <w:rPr>
                <w:rFonts w:ascii="Garamond" w:eastAsia="Times New Roman" w:hAnsi="Garamond" w:cs="Arial"/>
                <w:b/>
                <w:bCs/>
                <w:sz w:val="18"/>
                <w:szCs w:val="18"/>
                <w:lang w:eastAsia="en-US"/>
              </w:rPr>
              <w:t>Fondi Shqiptar i Zhvillimit</w:t>
            </w:r>
          </w:p>
        </w:tc>
      </w:tr>
      <w:tr w:rsidR="002F4BDF" w:rsidRPr="007114AF" w14:paraId="6EDD167F" w14:textId="77777777" w:rsidTr="003305AE">
        <w:trPr>
          <w:trHeight w:val="255"/>
        </w:trPr>
        <w:tc>
          <w:tcPr>
            <w:tcW w:w="1866" w:type="dxa"/>
            <w:tcBorders>
              <w:top w:val="nil"/>
              <w:left w:val="single" w:sz="12" w:space="0" w:color="auto"/>
              <w:bottom w:val="single" w:sz="4" w:space="0" w:color="auto"/>
              <w:right w:val="nil"/>
            </w:tcBorders>
            <w:shd w:val="clear" w:color="000000" w:fill="DCE6F1"/>
            <w:noWrap/>
            <w:vAlign w:val="bottom"/>
            <w:hideMark/>
          </w:tcPr>
          <w:p w14:paraId="6EDD167D" w14:textId="77777777" w:rsidR="002F4BDF" w:rsidRPr="007114AF" w:rsidRDefault="002F4BDF" w:rsidP="002F4BDF">
            <w:pPr>
              <w:spacing w:after="0" w:line="240" w:lineRule="auto"/>
              <w:jc w:val="left"/>
              <w:rPr>
                <w:rFonts w:ascii="Garamond" w:eastAsia="Times New Roman" w:hAnsi="Garamond" w:cs="Arial"/>
                <w:sz w:val="18"/>
                <w:szCs w:val="18"/>
                <w:lang w:eastAsia="en-US"/>
              </w:rPr>
            </w:pPr>
            <w:r w:rsidRPr="007114AF">
              <w:rPr>
                <w:rFonts w:ascii="Garamond" w:eastAsia="Times New Roman" w:hAnsi="Garamond" w:cs="Arial"/>
                <w:sz w:val="18"/>
                <w:szCs w:val="18"/>
                <w:lang w:eastAsia="en-US"/>
              </w:rPr>
              <w:t>06210</w:t>
            </w:r>
          </w:p>
        </w:tc>
        <w:tc>
          <w:tcPr>
            <w:tcW w:w="7600" w:type="dxa"/>
            <w:tcBorders>
              <w:top w:val="nil"/>
              <w:left w:val="single" w:sz="4" w:space="0" w:color="auto"/>
              <w:bottom w:val="single" w:sz="4" w:space="0" w:color="auto"/>
              <w:right w:val="single" w:sz="4" w:space="0" w:color="auto"/>
            </w:tcBorders>
            <w:shd w:val="clear" w:color="000000" w:fill="DCE6F1"/>
            <w:noWrap/>
            <w:vAlign w:val="bottom"/>
            <w:hideMark/>
          </w:tcPr>
          <w:p w14:paraId="6EDD167E" w14:textId="77777777" w:rsidR="002F4BDF" w:rsidRPr="007114AF" w:rsidRDefault="002F4BDF" w:rsidP="002F4BDF">
            <w:pPr>
              <w:spacing w:after="0" w:line="240" w:lineRule="auto"/>
              <w:jc w:val="left"/>
              <w:rPr>
                <w:rFonts w:ascii="Garamond" w:eastAsia="Times New Roman" w:hAnsi="Garamond" w:cs="Arial"/>
                <w:sz w:val="18"/>
                <w:szCs w:val="18"/>
                <w:lang w:eastAsia="en-US"/>
              </w:rPr>
            </w:pPr>
            <w:r w:rsidRPr="007114AF">
              <w:rPr>
                <w:rFonts w:ascii="Garamond" w:eastAsia="Times New Roman" w:hAnsi="Garamond" w:cs="Arial"/>
                <w:sz w:val="18"/>
                <w:szCs w:val="18"/>
                <w:lang w:eastAsia="en-US"/>
              </w:rPr>
              <w:t>Programe Zhvillimi</w:t>
            </w:r>
          </w:p>
        </w:tc>
      </w:tr>
      <w:tr w:rsidR="002F4BDF" w:rsidRPr="007114AF" w14:paraId="6EDD1682" w14:textId="77777777" w:rsidTr="003305AE">
        <w:trPr>
          <w:trHeight w:val="330"/>
        </w:trPr>
        <w:tc>
          <w:tcPr>
            <w:tcW w:w="1866" w:type="dxa"/>
            <w:tcBorders>
              <w:top w:val="nil"/>
              <w:left w:val="single" w:sz="12" w:space="0" w:color="auto"/>
              <w:bottom w:val="dotted" w:sz="4" w:space="0" w:color="auto"/>
              <w:right w:val="nil"/>
            </w:tcBorders>
            <w:shd w:val="clear" w:color="auto" w:fill="auto"/>
            <w:vAlign w:val="bottom"/>
            <w:hideMark/>
          </w:tcPr>
          <w:p w14:paraId="6EDD1680" w14:textId="77777777" w:rsidR="002F4BDF" w:rsidRPr="007114AF" w:rsidRDefault="002F4BDF" w:rsidP="002F4BDF">
            <w:pPr>
              <w:spacing w:after="0" w:line="240" w:lineRule="auto"/>
              <w:jc w:val="left"/>
              <w:rPr>
                <w:rFonts w:ascii="Garamond" w:eastAsia="Times New Roman" w:hAnsi="Garamond" w:cs="Arial"/>
                <w:b/>
                <w:bCs/>
                <w:sz w:val="18"/>
                <w:szCs w:val="18"/>
                <w:lang w:eastAsia="en-US"/>
              </w:rPr>
            </w:pPr>
            <w:r w:rsidRPr="007114AF">
              <w:rPr>
                <w:rFonts w:ascii="Garamond" w:eastAsia="Times New Roman" w:hAnsi="Garamond" w:cs="Arial"/>
                <w:b/>
                <w:bCs/>
                <w:sz w:val="18"/>
                <w:szCs w:val="18"/>
                <w:lang w:eastAsia="en-US"/>
              </w:rPr>
              <w:t>78</w:t>
            </w:r>
          </w:p>
        </w:tc>
        <w:tc>
          <w:tcPr>
            <w:tcW w:w="7600" w:type="dxa"/>
            <w:tcBorders>
              <w:top w:val="nil"/>
              <w:left w:val="single" w:sz="4" w:space="0" w:color="auto"/>
              <w:bottom w:val="dotted" w:sz="4" w:space="0" w:color="auto"/>
              <w:right w:val="single" w:sz="4" w:space="0" w:color="auto"/>
            </w:tcBorders>
            <w:shd w:val="clear" w:color="auto" w:fill="auto"/>
            <w:vAlign w:val="bottom"/>
            <w:hideMark/>
          </w:tcPr>
          <w:p w14:paraId="6EDD1681" w14:textId="77777777" w:rsidR="002F4BDF" w:rsidRPr="007114AF" w:rsidRDefault="002F4BDF" w:rsidP="002F4BDF">
            <w:pPr>
              <w:spacing w:after="0" w:line="240" w:lineRule="auto"/>
              <w:jc w:val="left"/>
              <w:rPr>
                <w:rFonts w:ascii="Garamond" w:eastAsia="Times New Roman" w:hAnsi="Garamond" w:cs="Arial"/>
                <w:b/>
                <w:bCs/>
                <w:sz w:val="18"/>
                <w:szCs w:val="18"/>
                <w:lang w:eastAsia="en-US"/>
              </w:rPr>
            </w:pPr>
            <w:r w:rsidRPr="007114AF">
              <w:rPr>
                <w:rFonts w:ascii="Garamond" w:eastAsia="Times New Roman" w:hAnsi="Garamond" w:cs="Arial"/>
                <w:b/>
                <w:bCs/>
                <w:sz w:val="18"/>
                <w:szCs w:val="18"/>
                <w:lang w:eastAsia="en-US"/>
              </w:rPr>
              <w:t>Ministria e Integrimit Evropian</w:t>
            </w:r>
          </w:p>
        </w:tc>
      </w:tr>
      <w:tr w:rsidR="002F4BDF" w:rsidRPr="007114AF" w14:paraId="6EDD1685" w14:textId="77777777" w:rsidTr="003305AE">
        <w:trPr>
          <w:trHeight w:val="255"/>
        </w:trPr>
        <w:tc>
          <w:tcPr>
            <w:tcW w:w="1866" w:type="dxa"/>
            <w:tcBorders>
              <w:top w:val="nil"/>
              <w:left w:val="single" w:sz="12" w:space="0" w:color="auto"/>
              <w:bottom w:val="single" w:sz="4" w:space="0" w:color="auto"/>
              <w:right w:val="nil"/>
            </w:tcBorders>
            <w:shd w:val="clear" w:color="000000" w:fill="DCE6F1"/>
            <w:noWrap/>
            <w:vAlign w:val="bottom"/>
            <w:hideMark/>
          </w:tcPr>
          <w:p w14:paraId="6EDD1683" w14:textId="77777777" w:rsidR="002F4BDF" w:rsidRPr="007114AF" w:rsidRDefault="002F4BDF" w:rsidP="002F4BDF">
            <w:pPr>
              <w:spacing w:after="0" w:line="240" w:lineRule="auto"/>
              <w:jc w:val="left"/>
              <w:rPr>
                <w:rFonts w:ascii="Garamond" w:eastAsia="Times New Roman" w:hAnsi="Garamond" w:cs="Arial"/>
                <w:sz w:val="18"/>
                <w:szCs w:val="18"/>
                <w:lang w:eastAsia="en-US"/>
              </w:rPr>
            </w:pPr>
            <w:r w:rsidRPr="007114AF">
              <w:rPr>
                <w:rFonts w:ascii="Garamond" w:eastAsia="Times New Roman" w:hAnsi="Garamond" w:cs="Arial"/>
                <w:sz w:val="18"/>
                <w:szCs w:val="18"/>
                <w:lang w:eastAsia="en-US"/>
              </w:rPr>
              <w:t>01150</w:t>
            </w:r>
          </w:p>
        </w:tc>
        <w:tc>
          <w:tcPr>
            <w:tcW w:w="7600" w:type="dxa"/>
            <w:tcBorders>
              <w:top w:val="nil"/>
              <w:left w:val="single" w:sz="4" w:space="0" w:color="auto"/>
              <w:bottom w:val="single" w:sz="4" w:space="0" w:color="auto"/>
              <w:right w:val="single" w:sz="4" w:space="0" w:color="auto"/>
            </w:tcBorders>
            <w:shd w:val="clear" w:color="000000" w:fill="DCE6F1"/>
            <w:noWrap/>
            <w:vAlign w:val="bottom"/>
            <w:hideMark/>
          </w:tcPr>
          <w:p w14:paraId="6EDD1684" w14:textId="77777777" w:rsidR="002F4BDF" w:rsidRPr="007114AF" w:rsidRDefault="002F4BDF" w:rsidP="002F4BDF">
            <w:pPr>
              <w:spacing w:after="0" w:line="240" w:lineRule="auto"/>
              <w:jc w:val="left"/>
              <w:rPr>
                <w:rFonts w:ascii="Garamond" w:eastAsia="Times New Roman" w:hAnsi="Garamond" w:cs="Arial"/>
                <w:sz w:val="18"/>
                <w:szCs w:val="18"/>
                <w:lang w:eastAsia="en-US"/>
              </w:rPr>
            </w:pPr>
            <w:r w:rsidRPr="007114AF">
              <w:rPr>
                <w:rFonts w:ascii="Garamond" w:eastAsia="Times New Roman" w:hAnsi="Garamond" w:cs="Arial"/>
                <w:sz w:val="18"/>
                <w:szCs w:val="18"/>
                <w:lang w:eastAsia="en-US"/>
              </w:rPr>
              <w:t xml:space="preserve">Mbështetje Institucionale për Procesin e Integrimit </w:t>
            </w:r>
          </w:p>
        </w:tc>
      </w:tr>
      <w:tr w:rsidR="002F4BDF" w:rsidRPr="007114AF" w14:paraId="6EDD1688" w14:textId="77777777" w:rsidTr="003305AE">
        <w:trPr>
          <w:trHeight w:val="255"/>
        </w:trPr>
        <w:tc>
          <w:tcPr>
            <w:tcW w:w="1866" w:type="dxa"/>
            <w:tcBorders>
              <w:top w:val="nil"/>
              <w:left w:val="single" w:sz="12" w:space="0" w:color="auto"/>
              <w:bottom w:val="dotted" w:sz="4" w:space="0" w:color="auto"/>
              <w:right w:val="nil"/>
            </w:tcBorders>
            <w:shd w:val="clear" w:color="auto" w:fill="auto"/>
            <w:vAlign w:val="bottom"/>
            <w:hideMark/>
          </w:tcPr>
          <w:p w14:paraId="6EDD1686" w14:textId="77777777" w:rsidR="002F4BDF" w:rsidRPr="007114AF" w:rsidRDefault="002F4BDF" w:rsidP="002F4BDF">
            <w:pPr>
              <w:spacing w:after="0" w:line="240" w:lineRule="auto"/>
              <w:jc w:val="left"/>
              <w:rPr>
                <w:rFonts w:ascii="Garamond" w:eastAsia="Times New Roman" w:hAnsi="Garamond" w:cs="Arial"/>
                <w:b/>
                <w:bCs/>
                <w:sz w:val="18"/>
                <w:szCs w:val="18"/>
                <w:lang w:eastAsia="en-US"/>
              </w:rPr>
            </w:pPr>
            <w:r w:rsidRPr="007114AF">
              <w:rPr>
                <w:rFonts w:ascii="Garamond" w:eastAsia="Times New Roman" w:hAnsi="Garamond" w:cs="Arial"/>
                <w:b/>
                <w:bCs/>
                <w:sz w:val="18"/>
                <w:szCs w:val="18"/>
                <w:lang w:eastAsia="en-US"/>
              </w:rPr>
              <w:t>93</w:t>
            </w:r>
          </w:p>
        </w:tc>
        <w:tc>
          <w:tcPr>
            <w:tcW w:w="7600" w:type="dxa"/>
            <w:tcBorders>
              <w:top w:val="nil"/>
              <w:left w:val="single" w:sz="4" w:space="0" w:color="auto"/>
              <w:bottom w:val="dotted" w:sz="4" w:space="0" w:color="auto"/>
              <w:right w:val="single" w:sz="4" w:space="0" w:color="auto"/>
            </w:tcBorders>
            <w:shd w:val="clear" w:color="auto" w:fill="auto"/>
            <w:noWrap/>
            <w:vAlign w:val="bottom"/>
            <w:hideMark/>
          </w:tcPr>
          <w:p w14:paraId="6EDD1687" w14:textId="77777777" w:rsidR="002F4BDF" w:rsidRPr="007114AF" w:rsidRDefault="002F4BDF" w:rsidP="002F4BDF">
            <w:pPr>
              <w:spacing w:after="0" w:line="240" w:lineRule="auto"/>
              <w:jc w:val="left"/>
              <w:rPr>
                <w:rFonts w:ascii="Garamond" w:eastAsia="Times New Roman" w:hAnsi="Garamond" w:cs="Arial"/>
                <w:b/>
                <w:bCs/>
                <w:sz w:val="18"/>
                <w:szCs w:val="18"/>
                <w:lang w:eastAsia="en-US"/>
              </w:rPr>
            </w:pPr>
            <w:r w:rsidRPr="007114AF">
              <w:rPr>
                <w:rFonts w:ascii="Garamond" w:eastAsia="Times New Roman" w:hAnsi="Garamond" w:cs="Arial"/>
                <w:b/>
                <w:bCs/>
                <w:sz w:val="18"/>
                <w:szCs w:val="18"/>
                <w:lang w:eastAsia="en-US"/>
              </w:rPr>
              <w:t>Ministria e Energjisë dhe Industrisë</w:t>
            </w:r>
          </w:p>
        </w:tc>
      </w:tr>
      <w:tr w:rsidR="002F4BDF" w:rsidRPr="007114AF" w14:paraId="6EDD168B" w14:textId="77777777" w:rsidTr="003305AE">
        <w:trPr>
          <w:trHeight w:val="255"/>
        </w:trPr>
        <w:tc>
          <w:tcPr>
            <w:tcW w:w="1866" w:type="dxa"/>
            <w:tcBorders>
              <w:top w:val="nil"/>
              <w:left w:val="single" w:sz="12" w:space="0" w:color="auto"/>
              <w:bottom w:val="dotted" w:sz="4" w:space="0" w:color="auto"/>
              <w:right w:val="nil"/>
            </w:tcBorders>
            <w:shd w:val="clear" w:color="000000" w:fill="DCE6F1"/>
            <w:noWrap/>
            <w:vAlign w:val="bottom"/>
            <w:hideMark/>
          </w:tcPr>
          <w:p w14:paraId="6EDD1689" w14:textId="77777777" w:rsidR="002F4BDF" w:rsidRPr="007114AF" w:rsidRDefault="002F4BDF" w:rsidP="002F4BDF">
            <w:pPr>
              <w:spacing w:after="0" w:line="240" w:lineRule="auto"/>
              <w:jc w:val="left"/>
              <w:rPr>
                <w:rFonts w:ascii="Garamond" w:eastAsia="Times New Roman" w:hAnsi="Garamond" w:cs="Arial"/>
                <w:sz w:val="18"/>
                <w:szCs w:val="18"/>
                <w:lang w:eastAsia="en-US"/>
              </w:rPr>
            </w:pPr>
            <w:r w:rsidRPr="007114AF">
              <w:rPr>
                <w:rFonts w:ascii="Garamond" w:eastAsia="Times New Roman" w:hAnsi="Garamond" w:cs="Arial"/>
                <w:sz w:val="18"/>
                <w:szCs w:val="18"/>
                <w:lang w:eastAsia="en-US"/>
              </w:rPr>
              <w:t>04320</w:t>
            </w:r>
          </w:p>
        </w:tc>
        <w:tc>
          <w:tcPr>
            <w:tcW w:w="7600" w:type="dxa"/>
            <w:tcBorders>
              <w:top w:val="nil"/>
              <w:left w:val="single" w:sz="4" w:space="0" w:color="auto"/>
              <w:bottom w:val="dotted" w:sz="4" w:space="0" w:color="auto"/>
              <w:right w:val="single" w:sz="4" w:space="0" w:color="auto"/>
            </w:tcBorders>
            <w:shd w:val="clear" w:color="000000" w:fill="DCE6F1"/>
            <w:noWrap/>
            <w:vAlign w:val="bottom"/>
            <w:hideMark/>
          </w:tcPr>
          <w:p w14:paraId="6EDD168A" w14:textId="77777777" w:rsidR="002F4BDF" w:rsidRPr="007114AF" w:rsidRDefault="002F4BDF" w:rsidP="002F4BDF">
            <w:pPr>
              <w:spacing w:after="0" w:line="240" w:lineRule="auto"/>
              <w:jc w:val="left"/>
              <w:rPr>
                <w:rFonts w:ascii="Garamond" w:eastAsia="Times New Roman" w:hAnsi="Garamond" w:cs="Arial"/>
                <w:sz w:val="18"/>
                <w:szCs w:val="18"/>
                <w:lang w:eastAsia="en-US"/>
              </w:rPr>
            </w:pPr>
            <w:r w:rsidRPr="007114AF">
              <w:rPr>
                <w:rFonts w:ascii="Garamond" w:eastAsia="Times New Roman" w:hAnsi="Garamond" w:cs="Arial"/>
                <w:sz w:val="18"/>
                <w:szCs w:val="18"/>
                <w:lang w:eastAsia="en-US"/>
              </w:rPr>
              <w:t>Mbështetje për Energjinë</w:t>
            </w:r>
          </w:p>
        </w:tc>
      </w:tr>
      <w:tr w:rsidR="002F4BDF" w:rsidRPr="007114AF" w14:paraId="6EDD168E" w14:textId="77777777" w:rsidTr="003305AE">
        <w:trPr>
          <w:trHeight w:val="255"/>
        </w:trPr>
        <w:tc>
          <w:tcPr>
            <w:tcW w:w="1866" w:type="dxa"/>
            <w:tcBorders>
              <w:top w:val="nil"/>
              <w:left w:val="single" w:sz="12" w:space="0" w:color="auto"/>
              <w:bottom w:val="dotted" w:sz="4" w:space="0" w:color="auto"/>
              <w:right w:val="nil"/>
            </w:tcBorders>
            <w:shd w:val="clear" w:color="000000" w:fill="DCE6F1"/>
            <w:noWrap/>
            <w:vAlign w:val="bottom"/>
            <w:hideMark/>
          </w:tcPr>
          <w:p w14:paraId="6EDD168C" w14:textId="77777777" w:rsidR="002F4BDF" w:rsidRPr="007114AF" w:rsidRDefault="002F4BDF" w:rsidP="002F4BDF">
            <w:pPr>
              <w:spacing w:after="0" w:line="240" w:lineRule="auto"/>
              <w:jc w:val="left"/>
              <w:rPr>
                <w:rFonts w:ascii="Garamond" w:eastAsia="Times New Roman" w:hAnsi="Garamond" w:cs="Arial"/>
                <w:sz w:val="18"/>
                <w:szCs w:val="18"/>
                <w:lang w:eastAsia="en-US"/>
              </w:rPr>
            </w:pPr>
            <w:r w:rsidRPr="007114AF">
              <w:rPr>
                <w:rFonts w:ascii="Garamond" w:eastAsia="Times New Roman" w:hAnsi="Garamond" w:cs="Arial"/>
                <w:sz w:val="18"/>
                <w:szCs w:val="18"/>
                <w:lang w:eastAsia="en-US"/>
              </w:rPr>
              <w:t>04430</w:t>
            </w:r>
          </w:p>
        </w:tc>
        <w:tc>
          <w:tcPr>
            <w:tcW w:w="7600" w:type="dxa"/>
            <w:tcBorders>
              <w:top w:val="nil"/>
              <w:left w:val="single" w:sz="4" w:space="0" w:color="auto"/>
              <w:bottom w:val="dotted" w:sz="4" w:space="0" w:color="auto"/>
              <w:right w:val="single" w:sz="4" w:space="0" w:color="auto"/>
            </w:tcBorders>
            <w:shd w:val="clear" w:color="000000" w:fill="DCE6F1"/>
            <w:noWrap/>
            <w:vAlign w:val="bottom"/>
            <w:hideMark/>
          </w:tcPr>
          <w:p w14:paraId="6EDD168D" w14:textId="77777777" w:rsidR="002F4BDF" w:rsidRPr="007114AF" w:rsidRDefault="002F4BDF" w:rsidP="002F4BDF">
            <w:pPr>
              <w:spacing w:after="0" w:line="240" w:lineRule="auto"/>
              <w:jc w:val="left"/>
              <w:rPr>
                <w:rFonts w:ascii="Garamond" w:eastAsia="Times New Roman" w:hAnsi="Garamond" w:cs="Arial"/>
                <w:sz w:val="18"/>
                <w:szCs w:val="18"/>
                <w:lang w:eastAsia="en-US"/>
              </w:rPr>
            </w:pPr>
            <w:r w:rsidRPr="007114AF">
              <w:rPr>
                <w:rFonts w:ascii="Garamond" w:eastAsia="Times New Roman" w:hAnsi="Garamond" w:cs="Arial"/>
                <w:sz w:val="18"/>
                <w:szCs w:val="18"/>
                <w:lang w:eastAsia="en-US"/>
              </w:rPr>
              <w:t xml:space="preserve">Mbështetje për Burimet Natyrore </w:t>
            </w:r>
          </w:p>
        </w:tc>
      </w:tr>
      <w:tr w:rsidR="002F4BDF" w:rsidRPr="007114AF" w14:paraId="6EDD1691" w14:textId="77777777" w:rsidTr="003305AE">
        <w:trPr>
          <w:trHeight w:val="255"/>
        </w:trPr>
        <w:tc>
          <w:tcPr>
            <w:tcW w:w="1866" w:type="dxa"/>
            <w:tcBorders>
              <w:top w:val="nil"/>
              <w:left w:val="single" w:sz="12" w:space="0" w:color="auto"/>
              <w:bottom w:val="nil"/>
              <w:right w:val="nil"/>
            </w:tcBorders>
            <w:shd w:val="clear" w:color="auto" w:fill="auto"/>
            <w:noWrap/>
            <w:vAlign w:val="bottom"/>
            <w:hideMark/>
          </w:tcPr>
          <w:p w14:paraId="6EDD168F" w14:textId="77777777" w:rsidR="002F4BDF" w:rsidRPr="007114AF" w:rsidRDefault="002F4BDF" w:rsidP="002F4BDF">
            <w:pPr>
              <w:spacing w:after="0" w:line="240" w:lineRule="auto"/>
              <w:jc w:val="left"/>
              <w:rPr>
                <w:rFonts w:ascii="Garamond" w:eastAsia="Times New Roman" w:hAnsi="Garamond" w:cs="Arial"/>
                <w:sz w:val="18"/>
                <w:szCs w:val="18"/>
                <w:lang w:eastAsia="en-US"/>
              </w:rPr>
            </w:pPr>
            <w:r w:rsidRPr="007114AF">
              <w:rPr>
                <w:rFonts w:ascii="Garamond" w:eastAsia="Times New Roman" w:hAnsi="Garamond" w:cs="Arial"/>
                <w:sz w:val="18"/>
                <w:szCs w:val="18"/>
                <w:lang w:eastAsia="en-US"/>
              </w:rPr>
              <w:lastRenderedPageBreak/>
              <w:t>04440</w:t>
            </w:r>
          </w:p>
        </w:tc>
        <w:tc>
          <w:tcPr>
            <w:tcW w:w="7600" w:type="dxa"/>
            <w:tcBorders>
              <w:top w:val="nil"/>
              <w:left w:val="single" w:sz="4" w:space="0" w:color="auto"/>
              <w:bottom w:val="nil"/>
              <w:right w:val="single" w:sz="4" w:space="0" w:color="auto"/>
            </w:tcBorders>
            <w:shd w:val="clear" w:color="auto" w:fill="auto"/>
            <w:noWrap/>
            <w:vAlign w:val="bottom"/>
            <w:hideMark/>
          </w:tcPr>
          <w:p w14:paraId="6EDD1690" w14:textId="77777777" w:rsidR="002F4BDF" w:rsidRPr="007114AF" w:rsidRDefault="002F4BDF" w:rsidP="002F4BDF">
            <w:pPr>
              <w:spacing w:after="0" w:line="240" w:lineRule="auto"/>
              <w:jc w:val="left"/>
              <w:rPr>
                <w:rFonts w:ascii="Garamond" w:eastAsia="Times New Roman" w:hAnsi="Garamond" w:cs="Arial"/>
                <w:sz w:val="18"/>
                <w:szCs w:val="18"/>
                <w:lang w:eastAsia="en-US"/>
              </w:rPr>
            </w:pPr>
            <w:r w:rsidRPr="007114AF">
              <w:rPr>
                <w:rFonts w:ascii="Garamond" w:eastAsia="Times New Roman" w:hAnsi="Garamond" w:cs="Arial"/>
                <w:sz w:val="18"/>
                <w:szCs w:val="18"/>
                <w:lang w:eastAsia="en-US"/>
              </w:rPr>
              <w:t>Mbështetje për Industrinë</w:t>
            </w:r>
          </w:p>
        </w:tc>
      </w:tr>
      <w:tr w:rsidR="002F4BDF" w:rsidRPr="007114AF" w14:paraId="6EDD1694" w14:textId="77777777" w:rsidTr="003305AE">
        <w:trPr>
          <w:trHeight w:val="122"/>
        </w:trPr>
        <w:tc>
          <w:tcPr>
            <w:tcW w:w="1866" w:type="dxa"/>
            <w:tcBorders>
              <w:top w:val="single" w:sz="4" w:space="0" w:color="auto"/>
              <w:left w:val="single" w:sz="12" w:space="0" w:color="auto"/>
              <w:bottom w:val="dotted" w:sz="4" w:space="0" w:color="auto"/>
              <w:right w:val="nil"/>
            </w:tcBorders>
            <w:shd w:val="clear" w:color="auto" w:fill="auto"/>
            <w:vAlign w:val="bottom"/>
            <w:hideMark/>
          </w:tcPr>
          <w:p w14:paraId="6EDD1692" w14:textId="77777777" w:rsidR="002F4BDF" w:rsidRPr="007114AF" w:rsidRDefault="002F4BDF" w:rsidP="002F4BDF">
            <w:pPr>
              <w:spacing w:after="0" w:line="240" w:lineRule="auto"/>
              <w:jc w:val="left"/>
              <w:rPr>
                <w:rFonts w:ascii="Garamond" w:eastAsia="Times New Roman" w:hAnsi="Garamond" w:cs="Arial"/>
                <w:b/>
                <w:bCs/>
                <w:sz w:val="18"/>
                <w:szCs w:val="18"/>
                <w:lang w:eastAsia="en-US"/>
              </w:rPr>
            </w:pPr>
            <w:r w:rsidRPr="007114AF">
              <w:rPr>
                <w:rFonts w:ascii="Garamond" w:eastAsia="Times New Roman" w:hAnsi="Garamond" w:cs="Arial"/>
                <w:b/>
                <w:bCs/>
                <w:sz w:val="18"/>
                <w:szCs w:val="18"/>
                <w:lang w:eastAsia="en-US"/>
              </w:rPr>
              <w:t>94</w:t>
            </w:r>
          </w:p>
        </w:tc>
        <w:tc>
          <w:tcPr>
            <w:tcW w:w="7600" w:type="dxa"/>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6EDD1693" w14:textId="77777777" w:rsidR="002F4BDF" w:rsidRPr="007114AF" w:rsidRDefault="002F4BDF" w:rsidP="002F4BDF">
            <w:pPr>
              <w:spacing w:after="0" w:line="240" w:lineRule="auto"/>
              <w:jc w:val="left"/>
              <w:rPr>
                <w:rFonts w:ascii="Garamond" w:eastAsia="Times New Roman" w:hAnsi="Garamond" w:cs="Arial"/>
                <w:b/>
                <w:bCs/>
                <w:sz w:val="18"/>
                <w:szCs w:val="18"/>
                <w:lang w:eastAsia="en-US"/>
              </w:rPr>
            </w:pPr>
            <w:r w:rsidRPr="007114AF">
              <w:rPr>
                <w:rFonts w:ascii="Garamond" w:eastAsia="Times New Roman" w:hAnsi="Garamond" w:cs="Arial"/>
                <w:b/>
                <w:bCs/>
                <w:sz w:val="18"/>
                <w:szCs w:val="18"/>
                <w:lang w:eastAsia="en-US"/>
              </w:rPr>
              <w:t>Ministria e Zhvillimit Urban</w:t>
            </w:r>
          </w:p>
        </w:tc>
      </w:tr>
      <w:tr w:rsidR="002F4BDF" w:rsidRPr="007114AF" w14:paraId="6EDD1697" w14:textId="77777777" w:rsidTr="003305AE">
        <w:trPr>
          <w:trHeight w:val="270"/>
        </w:trPr>
        <w:tc>
          <w:tcPr>
            <w:tcW w:w="1866" w:type="dxa"/>
            <w:tcBorders>
              <w:top w:val="nil"/>
              <w:left w:val="single" w:sz="12" w:space="0" w:color="auto"/>
              <w:bottom w:val="single" w:sz="8" w:space="0" w:color="auto"/>
              <w:right w:val="nil"/>
            </w:tcBorders>
            <w:shd w:val="clear" w:color="000000" w:fill="DCE6F1"/>
            <w:noWrap/>
            <w:vAlign w:val="bottom"/>
            <w:hideMark/>
          </w:tcPr>
          <w:p w14:paraId="6EDD1695" w14:textId="77777777" w:rsidR="002F4BDF" w:rsidRPr="007114AF" w:rsidRDefault="002F4BDF" w:rsidP="002F4BDF">
            <w:pPr>
              <w:spacing w:after="0" w:line="240" w:lineRule="auto"/>
              <w:jc w:val="left"/>
              <w:rPr>
                <w:rFonts w:ascii="Garamond" w:eastAsia="Times New Roman" w:hAnsi="Garamond" w:cs="Arial"/>
                <w:sz w:val="18"/>
                <w:szCs w:val="18"/>
                <w:lang w:eastAsia="en-US"/>
              </w:rPr>
            </w:pPr>
            <w:r w:rsidRPr="007114AF">
              <w:rPr>
                <w:rFonts w:ascii="Garamond" w:eastAsia="Times New Roman" w:hAnsi="Garamond" w:cs="Arial"/>
                <w:sz w:val="18"/>
                <w:szCs w:val="18"/>
                <w:lang w:eastAsia="en-US"/>
              </w:rPr>
              <w:t>06180</w:t>
            </w:r>
          </w:p>
        </w:tc>
        <w:tc>
          <w:tcPr>
            <w:tcW w:w="7600" w:type="dxa"/>
            <w:tcBorders>
              <w:top w:val="nil"/>
              <w:left w:val="single" w:sz="4" w:space="0" w:color="auto"/>
              <w:bottom w:val="single" w:sz="8" w:space="0" w:color="auto"/>
              <w:right w:val="single" w:sz="4" w:space="0" w:color="auto"/>
            </w:tcBorders>
            <w:shd w:val="clear" w:color="000000" w:fill="DCE6F1"/>
            <w:noWrap/>
            <w:vAlign w:val="bottom"/>
            <w:hideMark/>
          </w:tcPr>
          <w:p w14:paraId="6EDD1696" w14:textId="77777777" w:rsidR="002F4BDF" w:rsidRPr="007114AF" w:rsidRDefault="002F4BDF" w:rsidP="002F4BDF">
            <w:pPr>
              <w:spacing w:after="0" w:line="240" w:lineRule="auto"/>
              <w:jc w:val="left"/>
              <w:rPr>
                <w:rFonts w:ascii="Garamond" w:eastAsia="Times New Roman" w:hAnsi="Garamond" w:cs="Arial"/>
                <w:sz w:val="18"/>
                <w:szCs w:val="18"/>
                <w:lang w:eastAsia="en-US"/>
              </w:rPr>
            </w:pPr>
            <w:r w:rsidRPr="007114AF">
              <w:rPr>
                <w:rFonts w:ascii="Garamond" w:eastAsia="Times New Roman" w:hAnsi="Garamond" w:cs="Arial"/>
                <w:sz w:val="18"/>
                <w:szCs w:val="18"/>
                <w:lang w:eastAsia="en-US"/>
              </w:rPr>
              <w:t>Planifikimi Urban dhe Strehim</w:t>
            </w:r>
          </w:p>
        </w:tc>
      </w:tr>
    </w:tbl>
    <w:p w14:paraId="6EDD1698" w14:textId="165AADE2" w:rsidR="002F4BDF" w:rsidRPr="007114AF" w:rsidRDefault="002F4BDF" w:rsidP="002F4BDF">
      <w:pPr>
        <w:spacing w:after="0" w:line="240" w:lineRule="auto"/>
        <w:ind w:firstLine="284"/>
        <w:rPr>
          <w:rFonts w:ascii="Garamond" w:eastAsiaTheme="minorHAnsi" w:hAnsi="Garamond"/>
          <w:b/>
          <w:color w:val="000000" w:themeColor="text1"/>
          <w:spacing w:val="-4"/>
          <w:sz w:val="24"/>
          <w:szCs w:val="24"/>
          <w:u w:val="single"/>
          <w:lang w:eastAsia="en-US"/>
        </w:rPr>
      </w:pPr>
      <w:r w:rsidRPr="007114AF">
        <w:rPr>
          <w:rFonts w:ascii="Garamond" w:eastAsiaTheme="minorHAnsi" w:hAnsi="Garamond"/>
          <w:b/>
          <w:spacing w:val="-4"/>
          <w:sz w:val="24"/>
          <w:szCs w:val="24"/>
          <w:lang w:eastAsia="en-US"/>
        </w:rPr>
        <w:sym w:font="Wingdings 2" w:char="F041"/>
      </w:r>
      <w:r w:rsidRPr="007114AF">
        <w:rPr>
          <w:rFonts w:ascii="Garamond" w:eastAsiaTheme="minorHAnsi" w:hAnsi="Garamond"/>
          <w:b/>
          <w:spacing w:val="-4"/>
          <w:sz w:val="24"/>
          <w:szCs w:val="24"/>
          <w:lang w:eastAsia="en-US"/>
        </w:rPr>
        <w:t>Sfidat për Integrimin e Përshtatjes së ndryshimeve klimatike</w:t>
      </w:r>
      <w:r w:rsidR="000A2A01" w:rsidRPr="007114AF">
        <w:rPr>
          <w:rFonts w:ascii="Garamond" w:eastAsiaTheme="minorHAnsi" w:hAnsi="Garamond"/>
          <w:b/>
          <w:spacing w:val="-4"/>
          <w:sz w:val="24"/>
          <w:szCs w:val="24"/>
          <w:lang w:eastAsia="en-US"/>
        </w:rPr>
        <w:t xml:space="preserve"> </w:t>
      </w:r>
      <w:r w:rsidRPr="007114AF">
        <w:rPr>
          <w:rFonts w:ascii="Garamond" w:eastAsiaTheme="minorHAnsi" w:hAnsi="Garamond"/>
          <w:b/>
          <w:spacing w:val="-4"/>
          <w:sz w:val="24"/>
          <w:szCs w:val="24"/>
          <w:lang w:eastAsia="en-US"/>
        </w:rPr>
        <w:t xml:space="preserve">në Paraqitjen e Buxhetit Vjetor </w:t>
      </w:r>
    </w:p>
    <w:p w14:paraId="6EDD1699" w14:textId="5FAD5AEE" w:rsidR="002F4BDF" w:rsidRPr="007114AF" w:rsidRDefault="002F4BDF" w:rsidP="002F4BDF">
      <w:pPr>
        <w:spacing w:after="0" w:line="240" w:lineRule="auto"/>
        <w:ind w:firstLine="284"/>
        <w:rPr>
          <w:rFonts w:ascii="Garamond" w:eastAsiaTheme="minorHAnsi" w:hAnsi="Garamond"/>
          <w:color w:val="000000"/>
          <w:spacing w:val="-4"/>
          <w:sz w:val="24"/>
          <w:szCs w:val="24"/>
          <w:lang w:eastAsia="en-US"/>
        </w:rPr>
      </w:pPr>
      <w:r w:rsidRPr="007114AF">
        <w:rPr>
          <w:rFonts w:ascii="Garamond" w:eastAsiaTheme="minorHAnsi" w:hAnsi="Garamond"/>
          <w:color w:val="000000"/>
          <w:spacing w:val="-4"/>
          <w:sz w:val="24"/>
          <w:szCs w:val="24"/>
          <w:u w:val="single"/>
          <w:lang w:eastAsia="en-US"/>
        </w:rPr>
        <w:t>Burimet e pamjaftueshme financiare në nivel rrethi dhe komuniteti për trajtimin e sfidave të Përshtatjes së Ndryshimeve Klimatike</w:t>
      </w:r>
      <w:r w:rsidR="00191838" w:rsidRPr="007114AF">
        <w:rPr>
          <w:rFonts w:ascii="Garamond" w:eastAsiaTheme="minorHAnsi" w:hAnsi="Garamond"/>
          <w:color w:val="000000"/>
          <w:spacing w:val="-4"/>
          <w:sz w:val="24"/>
          <w:szCs w:val="24"/>
          <w:u w:val="single"/>
          <w:lang w:eastAsia="en-US"/>
        </w:rPr>
        <w:t>.</w:t>
      </w:r>
    </w:p>
    <w:p w14:paraId="6EDD169A" w14:textId="6774CE89" w:rsidR="002F4BDF" w:rsidRPr="007114AF" w:rsidRDefault="002F4BDF" w:rsidP="002F4BDF">
      <w:pPr>
        <w:spacing w:after="0" w:line="240" w:lineRule="auto"/>
        <w:ind w:firstLine="284"/>
        <w:rPr>
          <w:rFonts w:ascii="Garamond" w:eastAsiaTheme="minorHAnsi" w:hAnsi="Garamond"/>
          <w:color w:val="000000"/>
          <w:spacing w:val="-4"/>
          <w:sz w:val="24"/>
          <w:szCs w:val="24"/>
          <w:lang w:eastAsia="en-US"/>
        </w:rPr>
      </w:pPr>
      <w:r w:rsidRPr="007114AF">
        <w:rPr>
          <w:rFonts w:ascii="Garamond" w:eastAsiaTheme="minorHAnsi" w:hAnsi="Garamond"/>
          <w:color w:val="000000"/>
          <w:spacing w:val="-4"/>
          <w:sz w:val="24"/>
          <w:szCs w:val="24"/>
          <w:lang w:eastAsia="en-US"/>
        </w:rPr>
        <w:t>Një sfidë për bashkitë është se shumë vendime për përshtatjen aktualisht të marra në nivel rrethi,</w:t>
      </w:r>
      <w:r w:rsidR="000A2A01" w:rsidRPr="007114AF">
        <w:rPr>
          <w:rFonts w:ascii="Garamond" w:eastAsiaTheme="minorHAnsi" w:hAnsi="Garamond"/>
          <w:color w:val="000000"/>
          <w:spacing w:val="-4"/>
          <w:sz w:val="24"/>
          <w:szCs w:val="24"/>
          <w:lang w:eastAsia="en-US"/>
        </w:rPr>
        <w:t xml:space="preserve"> </w:t>
      </w:r>
      <w:r w:rsidRPr="007114AF">
        <w:rPr>
          <w:rFonts w:ascii="Garamond" w:eastAsiaTheme="minorHAnsi" w:hAnsi="Garamond"/>
          <w:color w:val="000000"/>
          <w:spacing w:val="-4"/>
          <w:sz w:val="24"/>
          <w:szCs w:val="24"/>
          <w:lang w:eastAsia="en-US"/>
        </w:rPr>
        <w:t>duhet të merren në nivel rajonal për të qenë efektive. Kostot tejkalojnë buxhetet vendore, kështu që koordinimi midis buxhetit vendor dhe qendror, është i nevojshëm, si dhe caktimi i kritereve për investime private.</w:t>
      </w:r>
      <w:r w:rsidR="000A2A01" w:rsidRPr="007114AF">
        <w:rPr>
          <w:rFonts w:ascii="Garamond" w:eastAsiaTheme="minorHAnsi" w:hAnsi="Garamond"/>
          <w:color w:val="000000"/>
          <w:spacing w:val="-4"/>
          <w:sz w:val="24"/>
          <w:szCs w:val="24"/>
          <w:lang w:eastAsia="en-US"/>
        </w:rPr>
        <w:t xml:space="preserve"> </w:t>
      </w:r>
      <w:r w:rsidRPr="007114AF">
        <w:rPr>
          <w:rFonts w:ascii="Garamond" w:eastAsiaTheme="minorHAnsi" w:hAnsi="Garamond"/>
          <w:color w:val="000000"/>
          <w:spacing w:val="-4"/>
          <w:sz w:val="24"/>
          <w:szCs w:val="24"/>
          <w:lang w:eastAsia="en-US"/>
        </w:rPr>
        <w:t>Në këtë rast, Fondi i Zhvillimit të Rajoneve me politikën e tij të investimeve mund të vepronte si mekanizëm koordinimi, dhe mund të mbështesë reagime në shkallë më të gjerë.</w:t>
      </w:r>
    </w:p>
    <w:p w14:paraId="6EDD169B" w14:textId="77777777" w:rsidR="002F4BDF" w:rsidRPr="007114AF" w:rsidRDefault="002F4BDF" w:rsidP="002F4BDF">
      <w:pPr>
        <w:spacing w:after="0" w:line="240" w:lineRule="auto"/>
        <w:ind w:firstLine="284"/>
        <w:rPr>
          <w:rFonts w:ascii="Garamond" w:eastAsiaTheme="minorHAnsi" w:hAnsi="Garamond"/>
          <w:color w:val="000000"/>
          <w:spacing w:val="-4"/>
          <w:sz w:val="24"/>
          <w:szCs w:val="24"/>
          <w:lang w:eastAsia="en-US"/>
        </w:rPr>
      </w:pPr>
      <w:r w:rsidRPr="007114AF">
        <w:rPr>
          <w:rFonts w:ascii="Garamond" w:eastAsiaTheme="minorHAnsi" w:hAnsi="Garamond"/>
          <w:color w:val="000000"/>
          <w:spacing w:val="-4"/>
          <w:sz w:val="24"/>
          <w:szCs w:val="24"/>
          <w:u w:val="single"/>
          <w:lang w:eastAsia="en-US"/>
        </w:rPr>
        <w:t>Kompleksiteti dhe koordinimi sektorial i shpenzime të përshtatjes për ndryshimin e klimës.</w:t>
      </w:r>
    </w:p>
    <w:p w14:paraId="6EDD169C" w14:textId="751EDA78" w:rsidR="002F4BDF" w:rsidRPr="007114AF" w:rsidRDefault="002F4BDF" w:rsidP="002F4BDF">
      <w:pPr>
        <w:spacing w:after="0" w:line="240" w:lineRule="auto"/>
        <w:ind w:firstLine="284"/>
        <w:rPr>
          <w:rFonts w:ascii="Garamond" w:eastAsiaTheme="minorHAnsi" w:hAnsi="Garamond"/>
          <w:color w:val="000000"/>
          <w:spacing w:val="-4"/>
          <w:sz w:val="24"/>
          <w:szCs w:val="24"/>
          <w:lang w:eastAsia="en-US"/>
        </w:rPr>
      </w:pPr>
      <w:r w:rsidRPr="007114AF">
        <w:rPr>
          <w:rFonts w:ascii="Garamond" w:eastAsiaTheme="minorHAnsi" w:hAnsi="Garamond"/>
          <w:color w:val="000000"/>
          <w:spacing w:val="-4"/>
          <w:sz w:val="24"/>
          <w:szCs w:val="24"/>
          <w:lang w:eastAsia="en-US"/>
        </w:rPr>
        <w:t>Kompleksiteti i shpenzimeve të përshtatjes së ndryshimeve të klimës CC-ës nënkupton se përshtatja efektive mund të çonte në një rivlerësim të objektivave të tjer</w:t>
      </w:r>
      <w:r w:rsidR="009B0B46">
        <w:rPr>
          <w:rFonts w:ascii="Garamond" w:eastAsiaTheme="minorHAnsi" w:hAnsi="Garamond"/>
          <w:color w:val="000000"/>
          <w:spacing w:val="-4"/>
          <w:sz w:val="24"/>
          <w:szCs w:val="24"/>
          <w:lang w:eastAsia="en-US"/>
        </w:rPr>
        <w:t>ë</w:t>
      </w:r>
      <w:r w:rsidRPr="007114AF">
        <w:rPr>
          <w:rFonts w:ascii="Garamond" w:eastAsiaTheme="minorHAnsi" w:hAnsi="Garamond"/>
          <w:color w:val="000000"/>
          <w:spacing w:val="-4"/>
          <w:sz w:val="24"/>
          <w:szCs w:val="24"/>
          <w:lang w:eastAsia="en-US"/>
        </w:rPr>
        <w:t xml:space="preserve"> politik</w:t>
      </w:r>
      <w:r w:rsidR="009B0B46">
        <w:rPr>
          <w:rFonts w:ascii="Garamond" w:eastAsiaTheme="minorHAnsi" w:hAnsi="Garamond"/>
          <w:color w:val="000000"/>
          <w:spacing w:val="-4"/>
          <w:sz w:val="24"/>
          <w:szCs w:val="24"/>
          <w:lang w:eastAsia="en-US"/>
        </w:rPr>
        <w:t>ë</w:t>
      </w:r>
      <w:r w:rsidRPr="007114AF">
        <w:rPr>
          <w:rFonts w:ascii="Garamond" w:eastAsiaTheme="minorHAnsi" w:hAnsi="Garamond"/>
          <w:color w:val="000000"/>
          <w:spacing w:val="-4"/>
          <w:sz w:val="24"/>
          <w:szCs w:val="24"/>
          <w:lang w:eastAsia="en-US"/>
        </w:rPr>
        <w:t>, duke përfshirë alternativa në zbatim dhe kërkon koordinim në rajone, sektorë dhe lidhje qeveritare. Kjo mund të kërkonte një rishikim të strategjive ekzistuese sektoriale, si dhe programit të buxhetimit afatmesëm, p.sh. në dokumentin e PBAM-it (MTBP); është e rëndësishme të garantohet që fondet e alokuara për përmbushjen e detyrimit të një ministrie, të shoqërohen me llogaritjen përkatëse në buxhetin e institucioneve të tjera, me qëllim arritjen e eficiencës së plotë për reforma.</w:t>
      </w:r>
    </w:p>
    <w:p w14:paraId="6EDD169D" w14:textId="77777777" w:rsidR="002F4BDF" w:rsidRPr="007114AF" w:rsidRDefault="002F4BDF" w:rsidP="002F4BDF">
      <w:pPr>
        <w:spacing w:after="0" w:line="240" w:lineRule="auto"/>
        <w:ind w:firstLine="284"/>
        <w:rPr>
          <w:rFonts w:ascii="Garamond" w:eastAsiaTheme="minorHAnsi" w:hAnsi="Garamond"/>
          <w:color w:val="000000"/>
          <w:spacing w:val="-4"/>
          <w:sz w:val="24"/>
          <w:szCs w:val="24"/>
          <w:u w:val="single"/>
          <w:lang w:eastAsia="en-US"/>
        </w:rPr>
      </w:pPr>
      <w:r w:rsidRPr="007114AF">
        <w:rPr>
          <w:rFonts w:ascii="Garamond" w:eastAsiaTheme="minorHAnsi" w:hAnsi="Garamond"/>
          <w:color w:val="000000"/>
          <w:spacing w:val="-4"/>
          <w:sz w:val="24"/>
          <w:szCs w:val="24"/>
          <w:u w:val="single"/>
          <w:lang w:eastAsia="en-US"/>
        </w:rPr>
        <w:t xml:space="preserve">Procesi i përgatitjes së vetë reformave strukturore. </w:t>
      </w:r>
    </w:p>
    <w:p w14:paraId="6EDD169E" w14:textId="77777777" w:rsidR="002F4BDF" w:rsidRPr="007114AF" w:rsidRDefault="002F4BDF" w:rsidP="002F4BDF">
      <w:pPr>
        <w:spacing w:after="0" w:line="240" w:lineRule="auto"/>
        <w:ind w:firstLine="284"/>
        <w:rPr>
          <w:rFonts w:ascii="Garamond" w:eastAsiaTheme="minorHAnsi" w:hAnsi="Garamond"/>
          <w:color w:val="000000"/>
          <w:spacing w:val="-4"/>
          <w:sz w:val="24"/>
          <w:szCs w:val="24"/>
          <w:lang w:eastAsia="en-US"/>
        </w:rPr>
      </w:pPr>
      <w:r w:rsidRPr="007114AF">
        <w:rPr>
          <w:rFonts w:ascii="Garamond" w:eastAsiaTheme="minorHAnsi" w:hAnsi="Garamond"/>
          <w:color w:val="000000"/>
          <w:spacing w:val="-4"/>
          <w:sz w:val="24"/>
          <w:szCs w:val="24"/>
          <w:lang w:eastAsia="en-US"/>
        </w:rPr>
        <w:t>R</w:t>
      </w:r>
      <w:r w:rsidRPr="007114AF">
        <w:rPr>
          <w:rFonts w:ascii="Garamond" w:eastAsiaTheme="minorHAnsi" w:hAnsi="Garamond"/>
          <w:spacing w:val="-4"/>
          <w:sz w:val="24"/>
          <w:szCs w:val="24"/>
          <w:lang w:eastAsia="en-US"/>
        </w:rPr>
        <w:t>eformat strukturore shpesh formulohen pa elemente të detajuara të zbatimit të tyre dhe pa përcaktuar kostot përkatëse për çdo fazë. Si rrjedhojë, integrimi i tyre me buxhetin bëhet shumë i vështirë. Forma e PBAM-it (MTBP) e propozuar nga MF-ja kërkon një vlerësim të qartë të politikës, objektivave, aktiviteteve dhe rezultateve që do të realizohen në tre vitet e ardhshme. Problemet fillojnë kur institucionit i kërkohet të caktojë qëllimin e programit, objektivat e tij dhe gjithashtu,standardin e politikës së programit. Nëse një objektiv nuk është i mirëpërcaktuar, kjo sjellë vështirësi në vlerësimin e produkteve të një programi. Megjithatë, ka raste edhe kur ministritë e linjës janë të vetëdijshme për nevojën për një proces të saktë buxhetimi, por nuk arrijnë të shndërrojnë reformat në implikime monetare, për shkak të mungesës së një perceptimi të qartë të reformës apo kapacitetit të pamjaftueshëm të burimeve njerëzore.</w:t>
      </w:r>
    </w:p>
    <w:p w14:paraId="6EDD169F" w14:textId="77777777" w:rsidR="002F4BDF" w:rsidRPr="007114AF" w:rsidRDefault="002F4BDF" w:rsidP="002F4BDF">
      <w:pPr>
        <w:spacing w:after="0" w:line="240" w:lineRule="auto"/>
        <w:ind w:firstLine="284"/>
        <w:rPr>
          <w:rFonts w:ascii="Garamond" w:eastAsiaTheme="minorHAnsi" w:hAnsi="Garamond" w:cs="Calibri"/>
          <w:spacing w:val="-4"/>
          <w:sz w:val="24"/>
          <w:szCs w:val="24"/>
          <w:lang w:eastAsia="en-US"/>
        </w:rPr>
      </w:pPr>
      <w:r w:rsidRPr="007114AF">
        <w:rPr>
          <w:rFonts w:ascii="Garamond" w:eastAsiaTheme="minorHAnsi" w:hAnsi="Garamond" w:cs="Calibri"/>
          <w:spacing w:val="-4"/>
          <w:sz w:val="24"/>
          <w:szCs w:val="24"/>
          <w:u w:val="single"/>
          <w:lang w:eastAsia="en-US"/>
        </w:rPr>
        <w:t>Qasja e fragmentuar institucionale dhe pengesat rregullatore</w:t>
      </w:r>
      <w:r w:rsidRPr="007114AF">
        <w:rPr>
          <w:rFonts w:ascii="Garamond" w:eastAsiaTheme="minorHAnsi" w:hAnsi="Garamond" w:cs="Calibri"/>
          <w:spacing w:val="-4"/>
          <w:sz w:val="24"/>
          <w:szCs w:val="24"/>
          <w:lang w:eastAsia="en-US"/>
        </w:rPr>
        <w:t>.</w:t>
      </w:r>
    </w:p>
    <w:p w14:paraId="6EDD16A0" w14:textId="383078AD" w:rsidR="002F4BDF" w:rsidRPr="007114AF" w:rsidRDefault="002F4BDF" w:rsidP="002F4BDF">
      <w:pPr>
        <w:spacing w:after="0" w:line="240" w:lineRule="auto"/>
        <w:ind w:firstLine="284"/>
        <w:rPr>
          <w:rFonts w:ascii="Garamond" w:eastAsiaTheme="minorHAnsi" w:hAnsi="Garamond"/>
          <w:color w:val="000000"/>
          <w:spacing w:val="-4"/>
          <w:sz w:val="24"/>
          <w:szCs w:val="24"/>
          <w:u w:val="single"/>
          <w:lang w:eastAsia="en-US"/>
        </w:rPr>
      </w:pPr>
      <w:r w:rsidRPr="007114AF">
        <w:rPr>
          <w:rFonts w:ascii="Garamond" w:eastAsiaTheme="minorHAnsi" w:hAnsi="Garamond"/>
          <w:spacing w:val="-4"/>
          <w:sz w:val="24"/>
          <w:szCs w:val="24"/>
          <w:lang w:eastAsia="en-US"/>
        </w:rPr>
        <w:t xml:space="preserve">Arsyeja kryesore përse ministritë e linjës dhe bashkitë nuk e marrin në konsideratë ndryshimin e klimës ose nuk marrin masa për të reduktuar ndikimet e saj, është se nuk ka asnjë kërkesë rregullatore për të vepruar në këtë mënyrë, ose ka shumë akte rregullatore të fragmentuara, që ndonjëherë janë në kundërshtim me njëra-tjetrën. Ministria e Turizmit dhe Mjedisit është duke punuar për një projektligj për ndryshimin e klimës, i cili do të përcaktojë bazën ligjore, si dhe rolin e organeve të qeverisjes. Përveç kësaj, një vendim i qeverisë për </w:t>
      </w:r>
      <w:r w:rsidR="000A2A01" w:rsidRPr="007114AF">
        <w:rPr>
          <w:rFonts w:ascii="Garamond" w:eastAsiaTheme="minorHAnsi" w:hAnsi="Garamond"/>
          <w:spacing w:val="-4"/>
          <w:sz w:val="24"/>
          <w:szCs w:val="24"/>
          <w:lang w:eastAsia="en-US"/>
        </w:rPr>
        <w:t>“</w:t>
      </w:r>
      <w:r w:rsidRPr="007114AF">
        <w:rPr>
          <w:rFonts w:ascii="Garamond" w:eastAsiaTheme="minorHAnsi" w:hAnsi="Garamond"/>
          <w:spacing w:val="-4"/>
          <w:sz w:val="24"/>
          <w:szCs w:val="24"/>
          <w:lang w:eastAsia="en-US"/>
        </w:rPr>
        <w:t>Integrimin e Ndryshimeve Klimatike në PBAM (MTBP) dhe Qasjen Institucionale</w:t>
      </w:r>
      <w:r w:rsidR="000A2A01" w:rsidRPr="007114AF">
        <w:rPr>
          <w:rFonts w:ascii="Garamond" w:eastAsiaTheme="minorHAnsi" w:hAnsi="Garamond"/>
          <w:spacing w:val="-4"/>
          <w:sz w:val="24"/>
          <w:szCs w:val="24"/>
          <w:lang w:eastAsia="en-US"/>
        </w:rPr>
        <w:t>”</w:t>
      </w:r>
      <w:r w:rsidRPr="007114AF">
        <w:rPr>
          <w:rFonts w:ascii="Garamond" w:eastAsiaTheme="minorHAnsi" w:hAnsi="Garamond"/>
          <w:spacing w:val="-4"/>
          <w:sz w:val="24"/>
          <w:szCs w:val="24"/>
          <w:lang w:eastAsia="en-US"/>
        </w:rPr>
        <w:t xml:space="preserve"> i shoqëruar me një udhëzim qeveritar ose të Ministrisë së Financave dhe Ekonomisë për </w:t>
      </w:r>
      <w:r w:rsidR="000A2A01" w:rsidRPr="007114AF">
        <w:rPr>
          <w:rFonts w:ascii="Garamond" w:eastAsiaTheme="minorHAnsi" w:hAnsi="Garamond"/>
          <w:spacing w:val="-4"/>
          <w:sz w:val="24"/>
          <w:szCs w:val="24"/>
          <w:lang w:eastAsia="en-US"/>
        </w:rPr>
        <w:t>“</w:t>
      </w:r>
      <w:r w:rsidRPr="007114AF">
        <w:rPr>
          <w:rFonts w:ascii="Garamond" w:eastAsiaTheme="minorHAnsi" w:hAnsi="Garamond"/>
          <w:spacing w:val="-4"/>
          <w:sz w:val="24"/>
          <w:szCs w:val="24"/>
          <w:lang w:eastAsia="en-US"/>
        </w:rPr>
        <w:t>Procedurat për integrimin e Ndryshimeve Klimatike në PBA</w:t>
      </w:r>
      <w:r w:rsidR="000A2A01" w:rsidRPr="007114AF">
        <w:rPr>
          <w:rFonts w:ascii="Garamond" w:eastAsiaTheme="minorHAnsi" w:hAnsi="Garamond"/>
          <w:spacing w:val="-4"/>
          <w:sz w:val="24"/>
          <w:szCs w:val="24"/>
          <w:lang w:eastAsia="en-US"/>
        </w:rPr>
        <w:t>”</w:t>
      </w:r>
      <w:r w:rsidRPr="007114AF">
        <w:rPr>
          <w:rFonts w:ascii="Garamond" w:eastAsiaTheme="minorHAnsi" w:hAnsi="Garamond"/>
          <w:spacing w:val="-4"/>
          <w:sz w:val="24"/>
          <w:szCs w:val="24"/>
          <w:lang w:eastAsia="en-US"/>
        </w:rPr>
        <w:t>, duhet të plotësojë kuadrin ligjor për të krijuar kushtet e nevojshme për zbatimin e e integrimit të përshtatjes, siç përshkruhet në NAP.</w:t>
      </w:r>
    </w:p>
    <w:p w14:paraId="6EDD16A1" w14:textId="77777777" w:rsidR="002F4BDF" w:rsidRPr="007114AF" w:rsidRDefault="002F4BDF" w:rsidP="002F4BDF">
      <w:pPr>
        <w:spacing w:after="0" w:line="240" w:lineRule="auto"/>
        <w:ind w:firstLine="284"/>
        <w:rPr>
          <w:rFonts w:ascii="Garamond" w:eastAsiaTheme="minorHAnsi" w:hAnsi="Garamond"/>
          <w:color w:val="000000"/>
          <w:spacing w:val="-4"/>
          <w:sz w:val="24"/>
          <w:szCs w:val="24"/>
          <w:u w:val="single"/>
          <w:lang w:eastAsia="en-US"/>
        </w:rPr>
      </w:pPr>
      <w:r w:rsidRPr="007114AF">
        <w:rPr>
          <w:rFonts w:ascii="Garamond" w:eastAsiaTheme="minorHAnsi" w:hAnsi="Garamond"/>
          <w:color w:val="000000"/>
          <w:spacing w:val="-4"/>
          <w:sz w:val="24"/>
          <w:szCs w:val="24"/>
          <w:u w:val="single"/>
          <w:lang w:eastAsia="en-US"/>
        </w:rPr>
        <w:t xml:space="preserve">Bashkëpunimi dhe njohuria për procesin e PBAM-it (MTBP). </w:t>
      </w:r>
    </w:p>
    <w:p w14:paraId="6EDD16A2" w14:textId="77777777" w:rsidR="002F4BDF" w:rsidRPr="007114AF" w:rsidRDefault="002F4BDF" w:rsidP="002F4BDF">
      <w:pPr>
        <w:spacing w:after="0" w:line="240" w:lineRule="auto"/>
        <w:ind w:firstLine="284"/>
        <w:rPr>
          <w:rFonts w:ascii="Garamond" w:eastAsiaTheme="minorHAnsi" w:hAnsi="Garamond" w:cs="Calibri"/>
          <w:spacing w:val="-4"/>
          <w:sz w:val="24"/>
          <w:szCs w:val="24"/>
          <w:lang w:eastAsia="en-US"/>
        </w:rPr>
      </w:pPr>
      <w:r w:rsidRPr="007114AF">
        <w:rPr>
          <w:rFonts w:ascii="Garamond" w:eastAsiaTheme="minorHAnsi" w:hAnsi="Garamond" w:cs="Calibri"/>
          <w:spacing w:val="-4"/>
          <w:sz w:val="24"/>
          <w:szCs w:val="24"/>
          <w:lang w:eastAsia="en-US"/>
        </w:rPr>
        <w:t xml:space="preserve">Sfida kryesore në formulimin dhe zbatimin e politikave është koordinimi ndërmjet ministrive të linjës përgjegjëse për zbatimin e reformave, veçanërisht në rastin e reformave ndërsektoriale që përfshijnë shumë prioritete të sektorëve. Ministria e linjës e lidhur drejtpërdrejt me zbatimin e reformës, e përfshin atë në buxhet, ndërsa të tjera ministri tëlinjës nuk mund të caktojnë domosdoshmërisht fonde të disponueshme, për një reformë që nuk është prioritet për sektorët e tyre. Kjo mungesë bashkëpunimi nënkupton se mund të nisin reforma strukturore, por nuk mund të jenë operative, nëse të gjithë komponentët e tjerë nuk janë të harmonizuar. Gjithashtu, drejtoritë pranë </w:t>
      </w:r>
      <w:r w:rsidRPr="007114AF">
        <w:rPr>
          <w:rFonts w:ascii="Garamond" w:eastAsiaTheme="minorHAnsi" w:hAnsi="Garamond" w:cs="Calibri"/>
          <w:spacing w:val="-4"/>
          <w:sz w:val="24"/>
          <w:szCs w:val="24"/>
          <w:lang w:eastAsia="en-US"/>
        </w:rPr>
        <w:lastRenderedPageBreak/>
        <w:t xml:space="preserve">ministrive të linjës që nuk njohin hollësisht politikat, strategjitë ose reformat e plota që do të zhvillohen në institucionet e tyre, nuk pajtohen me kërkesat e PBAM-it (MTBP) që kërkohen nga Ministria e Financave dhe Ekonomisë. Në shumicën e rasteve, megjithëse ministritë e linjës mund të kenë hartuar një reformë, zbatimi i së cilës kërkon disa vjet, ato nuk mund të sjellin kosto të sakta financiare për të gjitha vitet në të cilat do të zhvillohet reforma, edhe nëse kostot dhe produktet përcaktohen në planet përkatëse të veprimeve. Drejtoritë e politikave të ministrisë së linjës gjatë procesit të llogaritjes së shpenzimeve, kryesisht nuk bashkëpunojnë me agjenci varësie të specializuara dhe drejtori financimi pranë ministrisë. Kjo i sjellë vështirësi Ministrisë së Financave dhe Ekonomisë që të vlerësojë kërkesat e përgatitura nga institucionet buxhetore. Një problem tjetër për rishikim nga Ministria e Financave dhe Ekonomisë është vlerësimi i kërkesave shtesë për politikat dhe objektivat e institucioneve që ishin paraqitur si më pak të rëndësishme gjatë caktimit të tavaneve. </w:t>
      </w:r>
    </w:p>
    <w:p w14:paraId="6EDD16A3" w14:textId="77777777" w:rsidR="002F4BDF" w:rsidRPr="007114AF" w:rsidRDefault="002F4BDF" w:rsidP="002F4BDF">
      <w:pPr>
        <w:spacing w:after="0" w:line="240" w:lineRule="auto"/>
        <w:ind w:firstLine="284"/>
        <w:rPr>
          <w:rFonts w:ascii="Garamond" w:eastAsiaTheme="minorHAnsi" w:hAnsi="Garamond"/>
          <w:b/>
          <w:spacing w:val="-4"/>
          <w:sz w:val="24"/>
          <w:szCs w:val="24"/>
          <w:lang w:eastAsia="en-US"/>
        </w:rPr>
      </w:pPr>
      <w:r w:rsidRPr="007114AF">
        <w:rPr>
          <w:rFonts w:ascii="Garamond" w:eastAsiaTheme="minorHAnsi" w:hAnsi="Garamond"/>
          <w:b/>
          <w:spacing w:val="-4"/>
          <w:sz w:val="24"/>
          <w:szCs w:val="24"/>
          <w:lang w:eastAsia="en-US"/>
        </w:rPr>
        <w:sym w:font="Wingdings 2" w:char="F041"/>
      </w:r>
      <w:r w:rsidRPr="007114AF">
        <w:rPr>
          <w:rFonts w:ascii="Garamond" w:eastAsiaTheme="minorHAnsi" w:hAnsi="Garamond"/>
          <w:b/>
          <w:spacing w:val="-4"/>
          <w:sz w:val="24"/>
          <w:szCs w:val="24"/>
          <w:lang w:eastAsia="en-US"/>
        </w:rPr>
        <w:t>Shenjuesit Statistikorë të Klimës të OECD-ës</w:t>
      </w:r>
    </w:p>
    <w:p w14:paraId="6EDD16A4" w14:textId="77777777" w:rsidR="002F4BDF" w:rsidRPr="007114AF" w:rsidRDefault="002F4BDF" w:rsidP="002F4BDF">
      <w:pPr>
        <w:spacing w:after="0" w:line="240" w:lineRule="auto"/>
        <w:ind w:firstLine="284"/>
        <w:rPr>
          <w:rFonts w:ascii="Garamond" w:eastAsiaTheme="minorHAnsi" w:hAnsi="Garamond"/>
          <w:color w:val="000000"/>
          <w:spacing w:val="-4"/>
          <w:sz w:val="24"/>
          <w:szCs w:val="24"/>
          <w:lang w:eastAsia="en-US"/>
        </w:rPr>
      </w:pPr>
      <w:r w:rsidRPr="007114AF">
        <w:rPr>
          <w:rFonts w:ascii="Garamond" w:eastAsiaTheme="minorHAnsi" w:hAnsi="Garamond"/>
          <w:color w:val="000000"/>
          <w:spacing w:val="-4"/>
          <w:sz w:val="24"/>
          <w:szCs w:val="24"/>
          <w:lang w:eastAsia="en-US"/>
        </w:rPr>
        <w:t>Përkufizimi i OECD-ës për lehtësimin dhe përshtatjen është si më poshtë:</w:t>
      </w:r>
    </w:p>
    <w:p w14:paraId="6EDD16A5" w14:textId="56AD59E2" w:rsidR="002F4BDF" w:rsidRPr="007114AF" w:rsidRDefault="002F4BDF" w:rsidP="002F4BDF">
      <w:pPr>
        <w:spacing w:after="0" w:line="240" w:lineRule="auto"/>
        <w:ind w:firstLine="284"/>
        <w:rPr>
          <w:rFonts w:ascii="Garamond" w:eastAsiaTheme="minorHAnsi" w:hAnsi="Garamond"/>
          <w:spacing w:val="-4"/>
          <w:lang w:eastAsia="en-US"/>
        </w:rPr>
      </w:pPr>
      <w:r w:rsidRPr="007114AF">
        <w:rPr>
          <w:rFonts w:ascii="Garamond" w:eastAsiaTheme="minorHAnsi" w:hAnsi="Garamond"/>
          <w:spacing w:val="-4"/>
          <w:lang w:eastAsia="en-US"/>
        </w:rPr>
        <w:t>1.</w:t>
      </w:r>
      <w:r w:rsidR="000A2A01" w:rsidRPr="007114AF">
        <w:rPr>
          <w:rFonts w:ascii="Garamond" w:eastAsiaTheme="minorHAnsi" w:hAnsi="Garamond"/>
          <w:spacing w:val="-4"/>
          <w:lang w:eastAsia="en-US"/>
        </w:rPr>
        <w:t xml:space="preserve"> </w:t>
      </w:r>
      <w:r w:rsidRPr="007114AF">
        <w:rPr>
          <w:rFonts w:ascii="Garamond" w:eastAsiaTheme="minorHAnsi" w:hAnsi="Garamond"/>
          <w:spacing w:val="-4"/>
          <w:lang w:eastAsia="en-US"/>
        </w:rPr>
        <w:t xml:space="preserve">Zbutja – aktivitetet që kontribuojnë </w:t>
      </w:r>
      <w:r w:rsidR="000A2A01" w:rsidRPr="007114AF">
        <w:rPr>
          <w:rFonts w:ascii="Garamond" w:eastAsiaTheme="minorHAnsi" w:hAnsi="Garamond"/>
          <w:spacing w:val="-4"/>
          <w:lang w:eastAsia="en-US"/>
        </w:rPr>
        <w:t>“</w:t>
      </w:r>
      <w:r w:rsidRPr="007114AF">
        <w:rPr>
          <w:rFonts w:ascii="Garamond" w:eastAsiaTheme="minorHAnsi" w:hAnsi="Garamond"/>
          <w:spacing w:val="-4"/>
          <w:lang w:eastAsia="en-US"/>
        </w:rPr>
        <w:t>ndaj objektivit të stabilizimit të përqendrimeve të gazit</w:t>
      </w:r>
      <w:r w:rsidR="000A2A01" w:rsidRPr="007114AF">
        <w:rPr>
          <w:rFonts w:ascii="Garamond" w:eastAsiaTheme="minorHAnsi" w:hAnsi="Garamond"/>
          <w:spacing w:val="-4"/>
          <w:lang w:eastAsia="en-US"/>
        </w:rPr>
        <w:t xml:space="preserve"> </w:t>
      </w:r>
      <w:r w:rsidRPr="007114AF">
        <w:rPr>
          <w:rFonts w:ascii="Garamond" w:eastAsiaTheme="minorHAnsi" w:hAnsi="Garamond"/>
          <w:spacing w:val="-4"/>
          <w:lang w:eastAsia="en-US"/>
        </w:rPr>
        <w:t>serrë (GHG) në atmosferë, në një nivel që do të parandalonte ndërhyrjen antropogjene të rrezikshme në sistemin klimatik, me anë të nxitjes së përpjekjeve për uljen ose kufizimin e emetimeve të GHG-ve ose për përmirësimin e sekuestrimit të CHG-ës</w:t>
      </w:r>
      <w:r w:rsidR="000A2A01" w:rsidRPr="007114AF">
        <w:rPr>
          <w:rFonts w:ascii="Garamond" w:eastAsiaTheme="minorHAnsi" w:hAnsi="Garamond"/>
          <w:spacing w:val="-4"/>
          <w:lang w:eastAsia="en-US"/>
        </w:rPr>
        <w:t>”</w:t>
      </w:r>
      <w:r w:rsidRPr="007114AF">
        <w:rPr>
          <w:rFonts w:ascii="Garamond" w:eastAsiaTheme="minorHAnsi" w:hAnsi="Garamond"/>
          <w:spacing w:val="-4"/>
          <w:lang w:eastAsia="en-US"/>
        </w:rPr>
        <w:t xml:space="preserve">. </w:t>
      </w:r>
    </w:p>
    <w:p w14:paraId="6EDD16A6" w14:textId="66CC1B12" w:rsidR="002F4BDF" w:rsidRPr="007114AF" w:rsidRDefault="002F4BDF" w:rsidP="002F4BDF">
      <w:pPr>
        <w:spacing w:after="0" w:line="240" w:lineRule="auto"/>
        <w:ind w:firstLine="284"/>
        <w:rPr>
          <w:rFonts w:ascii="Garamond" w:eastAsiaTheme="minorHAnsi" w:hAnsi="Garamond"/>
          <w:color w:val="000000"/>
          <w:spacing w:val="-4"/>
          <w:sz w:val="24"/>
          <w:szCs w:val="24"/>
          <w:lang w:eastAsia="en-US"/>
        </w:rPr>
      </w:pPr>
      <w:r w:rsidRPr="007114AF">
        <w:rPr>
          <w:rFonts w:ascii="Garamond" w:eastAsiaTheme="minorHAnsi" w:hAnsi="Garamond"/>
          <w:color w:val="000000"/>
          <w:spacing w:val="-4"/>
          <w:sz w:val="24"/>
          <w:szCs w:val="24"/>
          <w:lang w:eastAsia="en-US"/>
        </w:rPr>
        <w:t xml:space="preserve">2. Përshtatja – aktivitetet që synojnë </w:t>
      </w:r>
      <w:r w:rsidR="000A2A01" w:rsidRPr="007114AF">
        <w:rPr>
          <w:rFonts w:ascii="Garamond" w:eastAsiaTheme="minorHAnsi" w:hAnsi="Garamond"/>
          <w:color w:val="000000"/>
          <w:spacing w:val="-4"/>
          <w:sz w:val="24"/>
          <w:szCs w:val="24"/>
          <w:lang w:eastAsia="en-US"/>
        </w:rPr>
        <w:t>“</w:t>
      </w:r>
      <w:r w:rsidRPr="007114AF">
        <w:rPr>
          <w:rFonts w:ascii="Garamond" w:eastAsiaTheme="minorHAnsi" w:hAnsi="Garamond"/>
          <w:color w:val="000000"/>
          <w:spacing w:val="-4"/>
          <w:sz w:val="24"/>
          <w:szCs w:val="24"/>
          <w:lang w:eastAsia="en-US"/>
        </w:rPr>
        <w:t>rritjen e kapacitetit dhe ripërtëritjen e sistemeve njerëzore ose natyrore ndaj ndikimeve të ndryshimit të klimës dhe rreziqeve të lidhura me klimën</w:t>
      </w:r>
      <w:r w:rsidR="000A2A01" w:rsidRPr="007114AF">
        <w:rPr>
          <w:rFonts w:ascii="Garamond" w:eastAsiaTheme="minorHAnsi" w:hAnsi="Garamond"/>
          <w:color w:val="000000"/>
          <w:spacing w:val="-4"/>
          <w:sz w:val="24"/>
          <w:szCs w:val="24"/>
          <w:lang w:eastAsia="en-US"/>
        </w:rPr>
        <w:t>”</w:t>
      </w:r>
      <w:r w:rsidRPr="007114AF">
        <w:rPr>
          <w:rFonts w:ascii="Garamond" w:eastAsiaTheme="minorHAnsi" w:hAnsi="Garamond"/>
          <w:color w:val="000000"/>
          <w:spacing w:val="-4"/>
          <w:sz w:val="24"/>
          <w:szCs w:val="24"/>
          <w:lang w:eastAsia="en-US"/>
        </w:rPr>
        <w:t>.</w:t>
      </w:r>
    </w:p>
    <w:p w14:paraId="6EDD16A7" w14:textId="77777777" w:rsidR="002F4BDF" w:rsidRPr="007114AF" w:rsidRDefault="002F4BDF" w:rsidP="002F4BDF">
      <w:pPr>
        <w:spacing w:after="0" w:line="240" w:lineRule="auto"/>
        <w:ind w:firstLine="284"/>
        <w:rPr>
          <w:rFonts w:ascii="Garamond" w:eastAsiaTheme="minorHAnsi" w:hAnsi="Garamond"/>
          <w:color w:val="000000"/>
          <w:spacing w:val="-4"/>
          <w:sz w:val="24"/>
          <w:szCs w:val="24"/>
          <w:u w:val="single"/>
          <w:lang w:eastAsia="en-US"/>
        </w:rPr>
      </w:pPr>
      <w:r w:rsidRPr="007114AF">
        <w:rPr>
          <w:rFonts w:ascii="Garamond" w:eastAsiaTheme="minorHAnsi" w:hAnsi="Garamond"/>
          <w:color w:val="000000"/>
          <w:spacing w:val="-4"/>
          <w:sz w:val="24"/>
          <w:szCs w:val="24"/>
          <w:u w:val="single"/>
          <w:lang w:eastAsia="en-US"/>
        </w:rPr>
        <w:t>Sistemi i klasifikimit për shenjuesit e klimës</w:t>
      </w:r>
    </w:p>
    <w:p w14:paraId="6EDD16A8" w14:textId="77777777" w:rsidR="002F4BDF" w:rsidRPr="007114AF" w:rsidRDefault="002F4BDF" w:rsidP="002F4BDF">
      <w:pPr>
        <w:spacing w:after="0" w:line="240" w:lineRule="auto"/>
        <w:ind w:firstLine="284"/>
        <w:rPr>
          <w:rFonts w:ascii="Garamond" w:eastAsiaTheme="minorHAnsi" w:hAnsi="Garamond"/>
          <w:color w:val="000000"/>
          <w:spacing w:val="-4"/>
          <w:sz w:val="24"/>
          <w:szCs w:val="24"/>
          <w:lang w:eastAsia="en-US"/>
        </w:rPr>
      </w:pPr>
      <w:r w:rsidRPr="007114AF">
        <w:rPr>
          <w:rFonts w:ascii="Garamond" w:eastAsiaTheme="minorHAnsi" w:hAnsi="Garamond"/>
          <w:color w:val="000000"/>
          <w:spacing w:val="-4"/>
          <w:sz w:val="24"/>
          <w:szCs w:val="24"/>
          <w:lang w:eastAsia="en-US"/>
        </w:rPr>
        <w:t>Mbledhja e të dhënave për shenjuesit e klimës bazohet në një sistem klasifikimi me tri vlera:</w:t>
      </w:r>
    </w:p>
    <w:p w14:paraId="6EDD16A9" w14:textId="12421774" w:rsidR="002F4BDF" w:rsidRPr="007114AF" w:rsidRDefault="002F4BDF" w:rsidP="002F4BDF">
      <w:pPr>
        <w:spacing w:after="0" w:line="240" w:lineRule="auto"/>
        <w:ind w:firstLine="284"/>
        <w:rPr>
          <w:rFonts w:ascii="Garamond" w:eastAsiaTheme="minorHAnsi" w:hAnsi="Garamond"/>
          <w:color w:val="000000"/>
          <w:spacing w:val="-4"/>
          <w:sz w:val="24"/>
          <w:szCs w:val="24"/>
          <w:lang w:eastAsia="en-US"/>
        </w:rPr>
      </w:pPr>
      <w:r w:rsidRPr="007114AF">
        <w:rPr>
          <w:rFonts w:ascii="Garamond" w:eastAsiaTheme="minorHAnsi" w:hAnsi="Garamond"/>
          <w:color w:val="000000"/>
          <w:spacing w:val="-4"/>
          <w:sz w:val="24"/>
          <w:szCs w:val="24"/>
          <w:lang w:eastAsia="en-US"/>
        </w:rPr>
        <w:t xml:space="preserve">Objektivi kryesor </w:t>
      </w:r>
      <w:r w:rsidRPr="007114AF">
        <w:rPr>
          <w:rFonts w:ascii="Garamond" w:eastAsiaTheme="minorHAnsi" w:hAnsi="Garamond"/>
          <w:spacing w:val="-4"/>
          <w:sz w:val="24"/>
          <w:szCs w:val="24"/>
          <w:lang w:eastAsia="en-US"/>
        </w:rPr>
        <w:t>(2)</w:t>
      </w:r>
      <w:r w:rsidRPr="007114AF">
        <w:rPr>
          <w:rFonts w:ascii="Garamond" w:eastAsiaTheme="minorHAnsi" w:hAnsi="Garamond"/>
          <w:color w:val="000000"/>
          <w:spacing w:val="-4"/>
          <w:sz w:val="24"/>
          <w:szCs w:val="24"/>
          <w:lang w:eastAsia="en-US"/>
        </w:rPr>
        <w:t>- Shpenzimet ekonomike/ projektet/programet me rëndësi të lartë, të cilat kanë objektiva të qart</w:t>
      </w:r>
      <w:r w:rsidR="009B0B46">
        <w:rPr>
          <w:rFonts w:ascii="Garamond" w:eastAsiaTheme="minorHAnsi" w:hAnsi="Garamond"/>
          <w:color w:val="000000"/>
          <w:spacing w:val="-4"/>
          <w:sz w:val="24"/>
          <w:szCs w:val="24"/>
          <w:lang w:eastAsia="en-US"/>
        </w:rPr>
        <w:t>ë</w:t>
      </w:r>
      <w:r w:rsidRPr="007114AF">
        <w:rPr>
          <w:rFonts w:ascii="Garamond" w:eastAsiaTheme="minorHAnsi" w:hAnsi="Garamond"/>
          <w:color w:val="000000"/>
          <w:spacing w:val="-4"/>
          <w:sz w:val="24"/>
          <w:szCs w:val="24"/>
          <w:lang w:eastAsia="en-US"/>
        </w:rPr>
        <w:t xml:space="preserve"> parësor</w:t>
      </w:r>
      <w:r w:rsidR="009B0B46">
        <w:rPr>
          <w:rFonts w:ascii="Garamond" w:eastAsiaTheme="minorHAnsi" w:hAnsi="Garamond"/>
          <w:color w:val="000000"/>
          <w:spacing w:val="-4"/>
          <w:sz w:val="24"/>
          <w:szCs w:val="24"/>
          <w:lang w:eastAsia="en-US"/>
        </w:rPr>
        <w:t>ë</w:t>
      </w:r>
      <w:r w:rsidRPr="007114AF">
        <w:rPr>
          <w:rFonts w:ascii="Garamond" w:eastAsiaTheme="minorHAnsi" w:hAnsi="Garamond"/>
          <w:color w:val="000000"/>
          <w:spacing w:val="-4"/>
          <w:sz w:val="24"/>
          <w:szCs w:val="24"/>
          <w:lang w:eastAsia="en-US"/>
        </w:rPr>
        <w:t xml:space="preserve"> të dhënies së rezultateve konkrete dhe të dukshme që përmirësojnë ripërtëritjen e klimës. Ato përfshijnë përshtatjen ndaj tendencave të pritshme të klimës ose ngjarjeve ekstreme klimatike dhe ofrim të shërbimeve klimatike, të tilla si: ndërgjegjësimi, informacioni, ndërtimi i kapaciteteve, planifikimi dhe rregulloret. Supozohet se 80% e shpenzimeve në këto programe kontribuojnë në përshtatje.</w:t>
      </w:r>
    </w:p>
    <w:p w14:paraId="6EDD16AA" w14:textId="088E0258" w:rsidR="002F4BDF" w:rsidRPr="007114AF" w:rsidRDefault="002F4BDF" w:rsidP="002F4BDF">
      <w:pPr>
        <w:spacing w:after="0" w:line="240" w:lineRule="auto"/>
        <w:ind w:firstLine="284"/>
        <w:rPr>
          <w:rFonts w:ascii="Garamond" w:eastAsiaTheme="minorHAnsi" w:hAnsi="Garamond"/>
          <w:color w:val="000000"/>
          <w:spacing w:val="-4"/>
          <w:sz w:val="24"/>
          <w:szCs w:val="24"/>
          <w:lang w:eastAsia="en-US"/>
        </w:rPr>
      </w:pPr>
      <w:r w:rsidRPr="007114AF">
        <w:rPr>
          <w:rFonts w:ascii="Garamond" w:eastAsiaTheme="minorHAnsi" w:hAnsi="Garamond"/>
          <w:color w:val="000000"/>
          <w:spacing w:val="-4"/>
          <w:sz w:val="24"/>
          <w:szCs w:val="24"/>
          <w:lang w:eastAsia="en-US"/>
        </w:rPr>
        <w:t>Objektivi i rëndësishëm (1) – Shpenzimet ekonomike/ projektet/programet me rëndësi të mesme që japin kontribute të fuqishme ndaj përshtatjes, por motivohen kryesisht nga probleme më të gjera zhvillimore. Ato përfshijnë programe dhe infrastrukturë për pylltarinë ekonomike, biodiversitetin,</w:t>
      </w:r>
      <w:r w:rsidR="000A2A01" w:rsidRPr="007114AF">
        <w:rPr>
          <w:rFonts w:ascii="Garamond" w:eastAsiaTheme="minorHAnsi" w:hAnsi="Garamond"/>
          <w:color w:val="000000"/>
          <w:spacing w:val="-4"/>
          <w:sz w:val="24"/>
          <w:szCs w:val="24"/>
          <w:lang w:eastAsia="en-US"/>
        </w:rPr>
        <w:t xml:space="preserve"> </w:t>
      </w:r>
      <w:r w:rsidRPr="007114AF">
        <w:rPr>
          <w:rFonts w:ascii="Garamond" w:eastAsiaTheme="minorHAnsi" w:hAnsi="Garamond"/>
          <w:color w:val="000000"/>
          <w:spacing w:val="-4"/>
          <w:sz w:val="24"/>
          <w:szCs w:val="24"/>
          <w:lang w:eastAsia="en-US"/>
        </w:rPr>
        <w:t>ujërat, të cilat kanë një element të fuqishëm të mbrojtjes klimatike. Në të njëjtën kohë ato mund të përfshijnë programe të kombinuara me një sërë aktivitetesh që nuk mund të dallohen lehtësisht. Supozohet se 50% e shpenzimeve kontribuojnë në përshtatje ose zbutje.</w:t>
      </w:r>
    </w:p>
    <w:p w14:paraId="6EDD16AB" w14:textId="77777777" w:rsidR="002F4BDF" w:rsidRPr="007114AF" w:rsidRDefault="002F4BDF" w:rsidP="002F4BDF">
      <w:pPr>
        <w:spacing w:after="0" w:line="240" w:lineRule="auto"/>
        <w:ind w:firstLine="284"/>
        <w:rPr>
          <w:rFonts w:ascii="Garamond" w:eastAsiaTheme="minorHAnsi" w:hAnsi="Garamond"/>
          <w:color w:val="000000"/>
          <w:spacing w:val="-4"/>
          <w:sz w:val="24"/>
          <w:szCs w:val="24"/>
          <w:lang w:eastAsia="en-US"/>
        </w:rPr>
      </w:pPr>
      <w:r w:rsidRPr="007114AF">
        <w:rPr>
          <w:rFonts w:ascii="Garamond" w:eastAsiaTheme="minorHAnsi" w:hAnsi="Garamond"/>
          <w:color w:val="000000"/>
          <w:spacing w:val="-4"/>
          <w:sz w:val="24"/>
          <w:szCs w:val="24"/>
          <w:lang w:eastAsia="en-US"/>
        </w:rPr>
        <w:t>Jo i synuar ndaj objektivit politik (0) – Programe me rëndësi të ulët kontribuojnë në përshtatje vetëm në mënyrë të tërthortë. Ato përfshijnë kapacitete të përgjithshme infrastrukturore dhe administrative si dhe planifikues, dhe supozohet se 25% e shpenzimeve kontribuojnë në përshtatje.</w:t>
      </w:r>
    </w:p>
    <w:p w14:paraId="6EDD16AC" w14:textId="77777777" w:rsidR="002F4BDF" w:rsidRPr="007114AF" w:rsidRDefault="002F4BDF" w:rsidP="002F4BDF">
      <w:pPr>
        <w:spacing w:after="0" w:line="240" w:lineRule="auto"/>
        <w:ind w:firstLine="284"/>
        <w:rPr>
          <w:rFonts w:ascii="Garamond" w:eastAsiaTheme="minorHAnsi" w:hAnsi="Garamond"/>
          <w:sz w:val="24"/>
          <w:szCs w:val="24"/>
          <w:lang w:eastAsia="en-US"/>
        </w:rPr>
      </w:pPr>
      <w:r w:rsidRPr="007114AF">
        <w:rPr>
          <w:rFonts w:ascii="Garamond" w:eastAsiaTheme="minorHAnsi" w:hAnsi="Garamond"/>
          <w:sz w:val="24"/>
          <w:szCs w:val="24"/>
          <w:lang w:eastAsia="en-US"/>
        </w:rPr>
        <w:t>Si të caktohen në praktikë?</w:t>
      </w:r>
    </w:p>
    <w:p w14:paraId="6EDD16AD" w14:textId="77777777" w:rsidR="002F4BDF" w:rsidRPr="007114AF" w:rsidRDefault="002F4BDF" w:rsidP="002F4BDF">
      <w:pPr>
        <w:spacing w:after="0" w:line="240" w:lineRule="auto"/>
        <w:ind w:firstLine="284"/>
        <w:rPr>
          <w:rFonts w:ascii="Garamond" w:eastAsiaTheme="minorHAnsi" w:hAnsi="Garamond"/>
          <w:sz w:val="24"/>
          <w:szCs w:val="24"/>
          <w:lang w:eastAsia="en-US"/>
        </w:rPr>
      </w:pPr>
      <w:r w:rsidRPr="007114AF">
        <w:rPr>
          <w:rFonts w:ascii="Garamond" w:eastAsiaTheme="minorHAnsi" w:hAnsi="Garamond"/>
          <w:sz w:val="24"/>
          <w:szCs w:val="24"/>
          <w:lang w:eastAsia="en-US"/>
        </w:rPr>
        <w:t>Skema e mëposhtme tregon pyetësorin logjik në fazën e programimit të buxhetit:</w:t>
      </w:r>
    </w:p>
    <w:p w14:paraId="6EDD16AE" w14:textId="77777777" w:rsidR="002F4BDF" w:rsidRPr="007114AF" w:rsidRDefault="002F4BDF" w:rsidP="002F4BDF">
      <w:pPr>
        <w:spacing w:after="0" w:line="240" w:lineRule="auto"/>
        <w:ind w:firstLine="284"/>
        <w:rPr>
          <w:rFonts w:ascii="Garamond" w:eastAsiaTheme="minorHAnsi" w:hAnsi="Garamond"/>
          <w:sz w:val="24"/>
          <w:szCs w:val="24"/>
          <w:lang w:eastAsia="en-US"/>
        </w:rPr>
      </w:pPr>
      <w:r w:rsidRPr="007114AF">
        <w:rPr>
          <w:rFonts w:ascii="Garamond" w:eastAsiaTheme="minorHAnsi" w:hAnsi="Garamond" w:cs="Calibri"/>
          <w:i/>
          <w:noProof/>
          <w:lang w:val="en-US" w:eastAsia="en-US"/>
        </w:rPr>
        <w:drawing>
          <wp:inline distT="0" distB="0" distL="0" distR="0" wp14:anchorId="6EDD17DB" wp14:editId="6EDD17DC">
            <wp:extent cx="5756745" cy="1963973"/>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5756745" cy="1963973"/>
                    </a:xfrm>
                    <a:prstGeom prst="rect">
                      <a:avLst/>
                    </a:prstGeom>
                    <a:noFill/>
                    <a:ln>
                      <a:noFill/>
                    </a:ln>
                  </pic:spPr>
                </pic:pic>
              </a:graphicData>
            </a:graphic>
          </wp:inline>
        </w:drawing>
      </w:r>
    </w:p>
    <w:p w14:paraId="6EDD16B2" w14:textId="1BAA0E5E" w:rsidR="002F4BDF" w:rsidRPr="007114AF" w:rsidRDefault="002F4BDF" w:rsidP="00203893">
      <w:pPr>
        <w:spacing w:after="0" w:line="240" w:lineRule="auto"/>
        <w:ind w:firstLine="284"/>
        <w:jc w:val="center"/>
        <w:rPr>
          <w:rFonts w:ascii="Garamond" w:eastAsiaTheme="minorHAnsi" w:hAnsi="Garamond"/>
          <w:sz w:val="24"/>
          <w:szCs w:val="24"/>
          <w:lang w:eastAsia="en-US"/>
        </w:rPr>
      </w:pPr>
      <w:r w:rsidRPr="007114AF">
        <w:rPr>
          <w:rFonts w:ascii="Garamond" w:eastAsiaTheme="minorHAnsi" w:hAnsi="Garamond"/>
          <w:b/>
          <w:sz w:val="24"/>
          <w:szCs w:val="24"/>
          <w:lang w:eastAsia="en-US"/>
        </w:rPr>
        <w:t xml:space="preserve">Burimi: Manual për </w:t>
      </w:r>
      <w:r w:rsidR="00203893" w:rsidRPr="007114AF">
        <w:rPr>
          <w:rFonts w:ascii="Garamond" w:eastAsiaTheme="minorHAnsi" w:hAnsi="Garamond"/>
          <w:b/>
          <w:sz w:val="24"/>
          <w:szCs w:val="24"/>
          <w:lang w:eastAsia="en-US"/>
        </w:rPr>
        <w:t>Shënjuesit</w:t>
      </w:r>
      <w:r w:rsidRPr="007114AF">
        <w:rPr>
          <w:rFonts w:ascii="Garamond" w:eastAsiaTheme="minorHAnsi" w:hAnsi="Garamond"/>
          <w:b/>
          <w:sz w:val="24"/>
          <w:szCs w:val="24"/>
          <w:lang w:eastAsia="en-US"/>
        </w:rPr>
        <w:t xml:space="preserve"> e Klimës të OECD-DAC-it</w:t>
      </w:r>
    </w:p>
    <w:p w14:paraId="6EDD16B3" w14:textId="77777777" w:rsidR="002F4BDF" w:rsidRPr="007114AF" w:rsidRDefault="002F4BDF" w:rsidP="002F4BDF">
      <w:pPr>
        <w:spacing w:after="0" w:line="240" w:lineRule="auto"/>
        <w:ind w:firstLine="284"/>
        <w:rPr>
          <w:rFonts w:ascii="Garamond" w:eastAsiaTheme="minorHAnsi" w:hAnsi="Garamond"/>
          <w:sz w:val="24"/>
          <w:szCs w:val="24"/>
          <w:lang w:eastAsia="en-US"/>
        </w:rPr>
      </w:pPr>
    </w:p>
    <w:p w14:paraId="6EDD16B4" w14:textId="77777777" w:rsidR="002F4BDF" w:rsidRPr="007114AF" w:rsidRDefault="002F4BDF" w:rsidP="002F4BDF">
      <w:pPr>
        <w:spacing w:after="0" w:line="240" w:lineRule="auto"/>
        <w:ind w:firstLine="284"/>
        <w:rPr>
          <w:rFonts w:ascii="Garamond" w:eastAsiaTheme="minorHAnsi" w:hAnsi="Garamond"/>
          <w:sz w:val="24"/>
          <w:szCs w:val="24"/>
          <w:lang w:eastAsia="en-US"/>
        </w:rPr>
        <w:sectPr w:rsidR="002F4BDF" w:rsidRPr="007114AF" w:rsidSect="003305AE">
          <w:pgSz w:w="11907" w:h="16840" w:code="9"/>
          <w:pgMar w:top="1418" w:right="1418" w:bottom="1418" w:left="1418" w:header="1304" w:footer="1134" w:gutter="0"/>
          <w:cols w:space="720"/>
          <w:docGrid w:linePitch="360"/>
        </w:sectPr>
      </w:pPr>
    </w:p>
    <w:p w14:paraId="6EDD16B5" w14:textId="5B082F5D" w:rsidR="002F4BDF" w:rsidRPr="007114AF" w:rsidRDefault="002F4BDF" w:rsidP="002F4BDF">
      <w:pPr>
        <w:spacing w:after="0" w:line="240" w:lineRule="auto"/>
        <w:ind w:firstLine="284"/>
        <w:rPr>
          <w:rFonts w:ascii="Garamond" w:eastAsiaTheme="minorHAnsi" w:hAnsi="Garamond"/>
          <w:b/>
          <w:sz w:val="24"/>
          <w:szCs w:val="24"/>
          <w:lang w:eastAsia="en-US"/>
        </w:rPr>
      </w:pPr>
      <w:bookmarkStart w:id="198" w:name="_Toc469479197"/>
      <w:bookmarkStart w:id="199" w:name="_Toc479083936"/>
      <w:r w:rsidRPr="007114AF">
        <w:rPr>
          <w:rFonts w:ascii="Garamond" w:eastAsiaTheme="minorHAnsi" w:hAnsi="Garamond"/>
          <w:b/>
          <w:sz w:val="24"/>
          <w:szCs w:val="24"/>
          <w:lang w:eastAsia="en-US"/>
        </w:rPr>
        <w:lastRenderedPageBreak/>
        <w:sym w:font="Wingdings 2" w:char="F041"/>
      </w:r>
      <w:r w:rsidRPr="007114AF">
        <w:rPr>
          <w:rFonts w:ascii="Garamond" w:eastAsiaTheme="minorHAnsi" w:hAnsi="Garamond"/>
          <w:b/>
          <w:sz w:val="24"/>
          <w:szCs w:val="24"/>
          <w:lang w:eastAsia="en-US"/>
        </w:rPr>
        <w:t>Metodologjia për dhënien e prioritetit</w:t>
      </w:r>
      <w:r w:rsidR="000A2A01" w:rsidRPr="007114AF">
        <w:rPr>
          <w:rFonts w:ascii="Garamond" w:eastAsiaTheme="minorHAnsi" w:hAnsi="Garamond"/>
          <w:b/>
          <w:sz w:val="24"/>
          <w:szCs w:val="24"/>
          <w:lang w:eastAsia="en-US"/>
        </w:rPr>
        <w:t xml:space="preserve"> </w:t>
      </w:r>
      <w:r w:rsidRPr="007114AF">
        <w:rPr>
          <w:rFonts w:ascii="Garamond" w:eastAsiaTheme="minorHAnsi" w:hAnsi="Garamond"/>
          <w:b/>
          <w:sz w:val="24"/>
          <w:szCs w:val="24"/>
          <w:lang w:eastAsia="en-US"/>
        </w:rPr>
        <w:t>burimeve të jashtme të financimit të përshtatjes për zbatimin e PKP-ës (NAP</w:t>
      </w:r>
      <w:bookmarkEnd w:id="198"/>
      <w:bookmarkEnd w:id="199"/>
      <w:r w:rsidRPr="007114AF">
        <w:rPr>
          <w:rFonts w:ascii="Garamond" w:eastAsiaTheme="minorHAnsi" w:hAnsi="Garamond"/>
          <w:b/>
          <w:sz w:val="24"/>
          <w:szCs w:val="24"/>
          <w:lang w:eastAsia="en-US"/>
        </w:rPr>
        <w:t>)</w:t>
      </w:r>
    </w:p>
    <w:p w14:paraId="6EDD16B6" w14:textId="77777777" w:rsidR="002F4BDF" w:rsidRPr="007114AF" w:rsidRDefault="002F4BDF" w:rsidP="002F4BDF">
      <w:pPr>
        <w:spacing w:after="0" w:line="240" w:lineRule="auto"/>
        <w:ind w:firstLine="284"/>
        <w:rPr>
          <w:rFonts w:ascii="Garamond" w:eastAsiaTheme="minorHAnsi" w:hAnsi="Garamond"/>
          <w:sz w:val="24"/>
          <w:szCs w:val="24"/>
          <w:lang w:eastAsia="en-US"/>
        </w:rPr>
      </w:pPr>
      <w:r w:rsidRPr="007114AF">
        <w:rPr>
          <w:rFonts w:ascii="Garamond" w:eastAsiaTheme="minorHAnsi" w:hAnsi="Garamond"/>
          <w:sz w:val="24"/>
          <w:szCs w:val="24"/>
          <w:lang w:eastAsia="en-US"/>
        </w:rPr>
        <w:t>Qasja e strategjisë së financimit ka zbatuar një metodë me tre komponentë për priorizitimin e donatorëve/financuesve të përshtatshëm të mundshëm:</w:t>
      </w:r>
    </w:p>
    <w:p w14:paraId="6EDD16B7" w14:textId="077EA221" w:rsidR="002F4BDF" w:rsidRPr="007114AF" w:rsidRDefault="002F4BDF" w:rsidP="002F4BDF">
      <w:pPr>
        <w:spacing w:after="0" w:line="240" w:lineRule="auto"/>
        <w:ind w:firstLine="284"/>
        <w:rPr>
          <w:rFonts w:ascii="Garamond" w:eastAsiaTheme="minorHAnsi" w:hAnsi="Garamond"/>
          <w:sz w:val="24"/>
          <w:szCs w:val="24"/>
          <w:lang w:eastAsia="en-US"/>
        </w:rPr>
      </w:pPr>
      <w:r w:rsidRPr="007114AF">
        <w:rPr>
          <w:rFonts w:ascii="Garamond" w:eastAsiaTheme="minorHAnsi" w:hAnsi="Garamond"/>
          <w:sz w:val="24"/>
          <w:szCs w:val="24"/>
          <w:lang w:eastAsia="en-US"/>
        </w:rPr>
        <w:t>1. Verifikimi dhe dhënia e prioritetit</w:t>
      </w:r>
      <w:r w:rsidR="000A2A01" w:rsidRPr="007114AF">
        <w:rPr>
          <w:rFonts w:ascii="Garamond" w:eastAsiaTheme="minorHAnsi" w:hAnsi="Garamond"/>
          <w:sz w:val="24"/>
          <w:szCs w:val="24"/>
          <w:lang w:eastAsia="en-US"/>
        </w:rPr>
        <w:t xml:space="preserve"> </w:t>
      </w:r>
      <w:r w:rsidRPr="007114AF">
        <w:rPr>
          <w:rFonts w:ascii="Garamond" w:eastAsiaTheme="minorHAnsi" w:hAnsi="Garamond"/>
          <w:sz w:val="24"/>
          <w:szCs w:val="24"/>
          <w:lang w:eastAsia="en-US"/>
        </w:rPr>
        <w:t>të donatorëve të jashtëm/burimeve të financimit.</w:t>
      </w:r>
    </w:p>
    <w:p w14:paraId="6EDD16B8" w14:textId="4F658EDF" w:rsidR="002F4BDF" w:rsidRPr="007114AF" w:rsidRDefault="002F4BDF" w:rsidP="002F4BDF">
      <w:pPr>
        <w:spacing w:after="0" w:line="240" w:lineRule="auto"/>
        <w:ind w:firstLine="284"/>
        <w:rPr>
          <w:rFonts w:ascii="Garamond" w:eastAsiaTheme="minorHAnsi" w:hAnsi="Garamond"/>
          <w:sz w:val="24"/>
          <w:szCs w:val="24"/>
          <w:lang w:eastAsia="en-US"/>
        </w:rPr>
      </w:pPr>
      <w:r w:rsidRPr="007114AF">
        <w:rPr>
          <w:rFonts w:ascii="Garamond" w:eastAsiaTheme="minorHAnsi" w:hAnsi="Garamond"/>
          <w:sz w:val="24"/>
          <w:szCs w:val="24"/>
          <w:lang w:eastAsia="en-US"/>
        </w:rPr>
        <w:t>2. Prioriteti</w:t>
      </w:r>
      <w:r w:rsidR="000A2A01" w:rsidRPr="007114AF">
        <w:rPr>
          <w:rFonts w:ascii="Garamond" w:eastAsiaTheme="minorHAnsi" w:hAnsi="Garamond"/>
          <w:sz w:val="24"/>
          <w:szCs w:val="24"/>
          <w:lang w:eastAsia="en-US"/>
        </w:rPr>
        <w:t xml:space="preserve"> </w:t>
      </w:r>
      <w:r w:rsidRPr="007114AF">
        <w:rPr>
          <w:rFonts w:ascii="Garamond" w:eastAsiaTheme="minorHAnsi" w:hAnsi="Garamond"/>
          <w:sz w:val="24"/>
          <w:szCs w:val="24"/>
          <w:lang w:eastAsia="en-US"/>
        </w:rPr>
        <w:t>i PA-ve ( Veprimeve Prioritare) në funksion të gatishmërisë për mobilizimin e burimeve në vitet e ardhshme.</w:t>
      </w:r>
    </w:p>
    <w:p w14:paraId="6EDD16B9" w14:textId="77777777" w:rsidR="002F4BDF" w:rsidRPr="007114AF" w:rsidRDefault="002F4BDF" w:rsidP="002F4BDF">
      <w:pPr>
        <w:spacing w:after="0" w:line="240" w:lineRule="auto"/>
        <w:ind w:firstLine="284"/>
        <w:rPr>
          <w:rFonts w:ascii="Garamond" w:eastAsiaTheme="minorHAnsi" w:hAnsi="Garamond"/>
          <w:sz w:val="24"/>
          <w:szCs w:val="24"/>
          <w:lang w:eastAsia="en-US"/>
        </w:rPr>
      </w:pPr>
      <w:r w:rsidRPr="007114AF">
        <w:rPr>
          <w:rFonts w:ascii="Garamond" w:eastAsiaTheme="minorHAnsi" w:hAnsi="Garamond"/>
          <w:sz w:val="24"/>
          <w:szCs w:val="24"/>
          <w:lang w:eastAsia="en-US"/>
        </w:rPr>
        <w:t>3. Kombinimi i PA-ve prioritare me donatorë të jashtëm/burime financimi prioritare.</w:t>
      </w:r>
    </w:p>
    <w:p w14:paraId="6EDD16BA" w14:textId="77777777" w:rsidR="002F4BDF" w:rsidRPr="007114AF" w:rsidRDefault="002F4BDF" w:rsidP="002F4BDF">
      <w:pPr>
        <w:spacing w:after="0" w:line="240" w:lineRule="auto"/>
        <w:ind w:firstLine="284"/>
        <w:rPr>
          <w:rFonts w:ascii="Garamond" w:eastAsiaTheme="minorHAnsi" w:hAnsi="Garamond"/>
          <w:sz w:val="24"/>
          <w:szCs w:val="24"/>
          <w:lang w:eastAsia="en-US"/>
        </w:rPr>
      </w:pPr>
      <w:r w:rsidRPr="007114AF">
        <w:rPr>
          <w:rFonts w:ascii="Garamond" w:eastAsiaTheme="minorHAnsi" w:hAnsi="Garamond"/>
          <w:sz w:val="24"/>
          <w:szCs w:val="24"/>
          <w:lang w:eastAsia="en-US"/>
        </w:rPr>
        <w:t xml:space="preserve">Instrumenti i dhënies së prioritetit është fleksibël dhe mund të përditësohet në mënyrë të vazhdueshme. Ai jep udhëzime mbi mënyrën e identifikimit të donatorëve/financuesve të përshtatshëm të përshtatjes. Kritere të reja të dhënies së prioritetit mund të shtohen lehtësisht dhe peshat e kritereve specifike mund të ndryshohen, nëse çmohen të përshtatshme. Është e rëndësishme që të merret parasysh se një mjet i tillë prioriteti është vetëm një hap i parë për kufizimin e fondeve/financuesve të mundshëm. Duhet të vazhdojë një kërkim më i thelluar për kërkesat dhe bisedimet fillestare me fonde/investues të mundshëm. </w:t>
      </w:r>
    </w:p>
    <w:p w14:paraId="6EDD16BB" w14:textId="61054384" w:rsidR="002F4BDF" w:rsidRPr="007114AF" w:rsidRDefault="002F4BDF" w:rsidP="002F4BDF">
      <w:pPr>
        <w:spacing w:after="0" w:line="240" w:lineRule="auto"/>
        <w:ind w:firstLine="284"/>
        <w:rPr>
          <w:rFonts w:ascii="Garamond" w:eastAsiaTheme="minorHAnsi" w:hAnsi="Garamond"/>
          <w:sz w:val="24"/>
          <w:szCs w:val="24"/>
          <w:lang w:eastAsia="en-US"/>
        </w:rPr>
      </w:pPr>
      <w:r w:rsidRPr="007114AF">
        <w:rPr>
          <w:rFonts w:ascii="Garamond" w:eastAsiaTheme="minorHAnsi" w:hAnsi="Garamond"/>
          <w:sz w:val="24"/>
          <w:szCs w:val="24"/>
          <w:lang w:eastAsia="en-US"/>
        </w:rPr>
        <w:t xml:space="preserve">Lista e mëposhtme e kritereve për klasifikimin/priorititetin e burimeve të financimit ndërkombëtar të përshtatjes përmban dy tipe kriteresh: 1) Kriteret që përdoren në </w:t>
      </w:r>
      <w:r w:rsidR="00D10DAB" w:rsidRPr="007114AF">
        <w:rPr>
          <w:rFonts w:ascii="Garamond" w:eastAsiaTheme="minorHAnsi" w:hAnsi="Garamond"/>
          <w:sz w:val="24"/>
          <w:szCs w:val="24"/>
          <w:lang w:eastAsia="en-US"/>
        </w:rPr>
        <w:t>‘</w:t>
      </w:r>
      <w:r w:rsidRPr="007114AF">
        <w:rPr>
          <w:rFonts w:ascii="Garamond" w:eastAsiaTheme="minorHAnsi" w:hAnsi="Garamond"/>
          <w:sz w:val="24"/>
          <w:szCs w:val="24"/>
          <w:lang w:eastAsia="en-US"/>
        </w:rPr>
        <w:t>rezultatin e prioritetit</w:t>
      </w:r>
      <w:r w:rsidR="00D10DAB" w:rsidRPr="007114AF">
        <w:rPr>
          <w:rFonts w:ascii="Garamond" w:eastAsiaTheme="minorHAnsi" w:hAnsi="Garamond"/>
          <w:sz w:val="24"/>
          <w:szCs w:val="24"/>
          <w:lang w:eastAsia="en-US"/>
        </w:rPr>
        <w:t>’</w:t>
      </w:r>
      <w:r w:rsidRPr="007114AF">
        <w:rPr>
          <w:rFonts w:ascii="Garamond" w:eastAsiaTheme="minorHAnsi" w:hAnsi="Garamond"/>
          <w:sz w:val="24"/>
          <w:szCs w:val="24"/>
          <w:lang w:eastAsia="en-US"/>
        </w:rPr>
        <w:t xml:space="preserve"> (shihni edhe rubrikën </w:t>
      </w:r>
      <w:r w:rsidR="00D10DAB" w:rsidRPr="007114AF">
        <w:rPr>
          <w:rFonts w:ascii="Garamond" w:eastAsiaTheme="minorHAnsi" w:hAnsi="Garamond"/>
          <w:sz w:val="24"/>
          <w:szCs w:val="24"/>
          <w:lang w:eastAsia="en-US"/>
        </w:rPr>
        <w:t>‘</w:t>
      </w:r>
      <w:r w:rsidRPr="007114AF">
        <w:rPr>
          <w:rFonts w:ascii="Garamond" w:eastAsiaTheme="minorHAnsi" w:hAnsi="Garamond"/>
          <w:sz w:val="24"/>
          <w:szCs w:val="24"/>
          <w:lang w:eastAsia="en-US"/>
        </w:rPr>
        <w:t>përfshirë në rezultat</w:t>
      </w:r>
      <w:r w:rsidR="00D10DAB" w:rsidRPr="007114AF">
        <w:rPr>
          <w:rFonts w:ascii="Garamond" w:eastAsiaTheme="minorHAnsi" w:hAnsi="Garamond"/>
          <w:sz w:val="24"/>
          <w:szCs w:val="24"/>
          <w:lang w:eastAsia="en-US"/>
        </w:rPr>
        <w:t>’</w:t>
      </w:r>
      <w:r w:rsidRPr="007114AF">
        <w:rPr>
          <w:rFonts w:ascii="Garamond" w:eastAsiaTheme="minorHAnsi" w:hAnsi="Garamond"/>
          <w:sz w:val="24"/>
          <w:szCs w:val="24"/>
          <w:lang w:eastAsia="en-US"/>
        </w:rPr>
        <w:t>),</w:t>
      </w:r>
      <w:r w:rsidR="000A2A01" w:rsidRPr="007114AF">
        <w:rPr>
          <w:rFonts w:ascii="Garamond" w:eastAsiaTheme="minorHAnsi" w:hAnsi="Garamond"/>
          <w:sz w:val="24"/>
          <w:szCs w:val="24"/>
          <w:lang w:eastAsia="en-US"/>
        </w:rPr>
        <w:t xml:space="preserve"> </w:t>
      </w:r>
      <w:r w:rsidRPr="007114AF">
        <w:rPr>
          <w:rFonts w:ascii="Garamond" w:eastAsiaTheme="minorHAnsi" w:hAnsi="Garamond"/>
          <w:sz w:val="24"/>
          <w:szCs w:val="24"/>
          <w:lang w:eastAsia="en-US"/>
        </w:rPr>
        <w:t>2) kriteret që grumbullohen si informacion i dobishëm shtesë.</w:t>
      </w:r>
    </w:p>
    <w:tbl>
      <w:tblPr>
        <w:tblW w:w="146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6"/>
        <w:gridCol w:w="4167"/>
        <w:gridCol w:w="1054"/>
        <w:gridCol w:w="3409"/>
        <w:gridCol w:w="918"/>
        <w:gridCol w:w="3934"/>
      </w:tblGrid>
      <w:tr w:rsidR="002F4BDF" w:rsidRPr="007114AF" w14:paraId="6EDD16C2" w14:textId="77777777" w:rsidTr="003305AE">
        <w:tc>
          <w:tcPr>
            <w:tcW w:w="1206" w:type="dxa"/>
            <w:shd w:val="clear" w:color="auto" w:fill="B6DDE8" w:themeFill="accent5" w:themeFillTint="66"/>
            <w:vAlign w:val="center"/>
          </w:tcPr>
          <w:p w14:paraId="6EDD16BC" w14:textId="77777777" w:rsidR="002F4BDF" w:rsidRPr="007114AF" w:rsidRDefault="002F4BDF" w:rsidP="002F4BDF">
            <w:pPr>
              <w:spacing w:after="0" w:line="240" w:lineRule="auto"/>
              <w:jc w:val="left"/>
              <w:rPr>
                <w:rFonts w:ascii="Garamond" w:eastAsiaTheme="minorHAnsi" w:hAnsi="Garamond"/>
                <w:sz w:val="20"/>
                <w:szCs w:val="20"/>
                <w:lang w:eastAsia="en-US"/>
              </w:rPr>
            </w:pPr>
            <w:r w:rsidRPr="007114AF">
              <w:rPr>
                <w:rFonts w:ascii="Garamond" w:eastAsiaTheme="minorHAnsi" w:hAnsi="Garamond"/>
                <w:sz w:val="20"/>
                <w:szCs w:val="20"/>
                <w:lang w:eastAsia="en-US"/>
              </w:rPr>
              <w:t>Rubrika në instrumentin e prioritetit</w:t>
            </w:r>
          </w:p>
        </w:tc>
        <w:tc>
          <w:tcPr>
            <w:tcW w:w="4167" w:type="dxa"/>
            <w:shd w:val="clear" w:color="auto" w:fill="B6DDE8" w:themeFill="accent5" w:themeFillTint="66"/>
            <w:vAlign w:val="center"/>
          </w:tcPr>
          <w:p w14:paraId="6EDD16BD" w14:textId="77777777" w:rsidR="002F4BDF" w:rsidRPr="007114AF" w:rsidRDefault="002F4BDF" w:rsidP="002F4BDF">
            <w:pPr>
              <w:spacing w:after="0" w:line="240" w:lineRule="auto"/>
              <w:jc w:val="left"/>
              <w:rPr>
                <w:rFonts w:ascii="Garamond" w:eastAsiaTheme="minorHAnsi" w:hAnsi="Garamond"/>
                <w:sz w:val="20"/>
                <w:szCs w:val="20"/>
                <w:lang w:eastAsia="en-US"/>
              </w:rPr>
            </w:pPr>
            <w:r w:rsidRPr="007114AF">
              <w:rPr>
                <w:rFonts w:ascii="Garamond" w:eastAsiaTheme="minorHAnsi" w:hAnsi="Garamond"/>
                <w:sz w:val="20"/>
                <w:szCs w:val="20"/>
                <w:lang w:eastAsia="en-US"/>
              </w:rPr>
              <w:t>Kriteri</w:t>
            </w:r>
          </w:p>
        </w:tc>
        <w:tc>
          <w:tcPr>
            <w:tcW w:w="1054" w:type="dxa"/>
            <w:shd w:val="clear" w:color="auto" w:fill="B6DDE8" w:themeFill="accent5" w:themeFillTint="66"/>
            <w:vAlign w:val="center"/>
          </w:tcPr>
          <w:p w14:paraId="6EDD16BE" w14:textId="77777777" w:rsidR="002F4BDF" w:rsidRPr="007114AF" w:rsidRDefault="002F4BDF" w:rsidP="002F4BDF">
            <w:pPr>
              <w:spacing w:after="0" w:line="240" w:lineRule="auto"/>
              <w:jc w:val="left"/>
              <w:rPr>
                <w:rFonts w:ascii="Garamond" w:eastAsiaTheme="minorHAnsi" w:hAnsi="Garamond"/>
                <w:sz w:val="20"/>
                <w:szCs w:val="20"/>
                <w:lang w:eastAsia="en-US"/>
              </w:rPr>
            </w:pPr>
            <w:r w:rsidRPr="007114AF">
              <w:rPr>
                <w:rFonts w:ascii="Garamond" w:eastAsiaTheme="minorHAnsi" w:hAnsi="Garamond"/>
                <w:sz w:val="20"/>
                <w:szCs w:val="20"/>
                <w:lang w:eastAsia="en-US"/>
              </w:rPr>
              <w:t>Përfshirë në rezultat</w:t>
            </w:r>
          </w:p>
        </w:tc>
        <w:tc>
          <w:tcPr>
            <w:tcW w:w="3409" w:type="dxa"/>
            <w:shd w:val="clear" w:color="auto" w:fill="B6DDE8" w:themeFill="accent5" w:themeFillTint="66"/>
            <w:vAlign w:val="center"/>
          </w:tcPr>
          <w:p w14:paraId="6EDD16BF" w14:textId="77777777" w:rsidR="002F4BDF" w:rsidRPr="007114AF" w:rsidRDefault="002F4BDF" w:rsidP="002F4BDF">
            <w:pPr>
              <w:spacing w:after="0" w:line="240" w:lineRule="auto"/>
              <w:jc w:val="left"/>
              <w:rPr>
                <w:rFonts w:ascii="Garamond" w:eastAsiaTheme="minorHAnsi" w:hAnsi="Garamond"/>
                <w:sz w:val="20"/>
                <w:szCs w:val="20"/>
                <w:lang w:eastAsia="en-US"/>
              </w:rPr>
            </w:pPr>
            <w:r w:rsidRPr="007114AF">
              <w:rPr>
                <w:rFonts w:ascii="Garamond" w:eastAsiaTheme="minorHAnsi" w:hAnsi="Garamond"/>
                <w:sz w:val="20"/>
                <w:szCs w:val="20"/>
                <w:lang w:eastAsia="en-US"/>
              </w:rPr>
              <w:t>Vlerat/kategoritë</w:t>
            </w:r>
          </w:p>
        </w:tc>
        <w:tc>
          <w:tcPr>
            <w:tcW w:w="918" w:type="dxa"/>
            <w:shd w:val="clear" w:color="auto" w:fill="B6DDE8" w:themeFill="accent5" w:themeFillTint="66"/>
            <w:vAlign w:val="center"/>
          </w:tcPr>
          <w:p w14:paraId="6EDD16C0" w14:textId="77777777" w:rsidR="002F4BDF" w:rsidRPr="007114AF" w:rsidRDefault="002F4BDF" w:rsidP="002F4BDF">
            <w:pPr>
              <w:spacing w:after="0" w:line="240" w:lineRule="auto"/>
              <w:jc w:val="left"/>
              <w:rPr>
                <w:rFonts w:ascii="Garamond" w:eastAsiaTheme="minorHAnsi" w:hAnsi="Garamond"/>
                <w:sz w:val="20"/>
                <w:szCs w:val="20"/>
                <w:lang w:eastAsia="en-US"/>
              </w:rPr>
            </w:pPr>
            <w:r w:rsidRPr="007114AF">
              <w:rPr>
                <w:rFonts w:ascii="Garamond" w:eastAsiaTheme="minorHAnsi" w:hAnsi="Garamond"/>
                <w:sz w:val="20"/>
                <w:szCs w:val="20"/>
                <w:lang w:eastAsia="en-US"/>
              </w:rPr>
              <w:t>Pesha</w:t>
            </w:r>
          </w:p>
        </w:tc>
        <w:tc>
          <w:tcPr>
            <w:tcW w:w="3934" w:type="dxa"/>
            <w:shd w:val="clear" w:color="auto" w:fill="B6DDE8" w:themeFill="accent5" w:themeFillTint="66"/>
            <w:vAlign w:val="center"/>
          </w:tcPr>
          <w:p w14:paraId="6EDD16C1" w14:textId="77777777" w:rsidR="002F4BDF" w:rsidRPr="007114AF" w:rsidRDefault="002F4BDF" w:rsidP="002F4BDF">
            <w:pPr>
              <w:spacing w:after="0" w:line="240" w:lineRule="auto"/>
              <w:jc w:val="left"/>
              <w:rPr>
                <w:rFonts w:ascii="Garamond" w:eastAsiaTheme="minorHAnsi" w:hAnsi="Garamond"/>
                <w:sz w:val="20"/>
                <w:szCs w:val="20"/>
                <w:lang w:eastAsia="en-US"/>
              </w:rPr>
            </w:pPr>
            <w:r w:rsidRPr="007114AF">
              <w:rPr>
                <w:rFonts w:ascii="Garamond" w:eastAsiaTheme="minorHAnsi" w:hAnsi="Garamond"/>
                <w:sz w:val="20"/>
                <w:szCs w:val="20"/>
                <w:lang w:eastAsia="en-US"/>
              </w:rPr>
              <w:t>Supozimi/shpjegimi për rëndësinë</w:t>
            </w:r>
          </w:p>
        </w:tc>
      </w:tr>
      <w:tr w:rsidR="002F4BDF" w:rsidRPr="007114AF" w14:paraId="6EDD16C9" w14:textId="77777777" w:rsidTr="003305AE">
        <w:tc>
          <w:tcPr>
            <w:tcW w:w="1206" w:type="dxa"/>
            <w:vAlign w:val="center"/>
          </w:tcPr>
          <w:p w14:paraId="6EDD16C3" w14:textId="77777777" w:rsidR="002F4BDF" w:rsidRPr="007114AF" w:rsidRDefault="002F4BDF" w:rsidP="002F4BDF">
            <w:pPr>
              <w:spacing w:after="0" w:line="240" w:lineRule="auto"/>
              <w:jc w:val="left"/>
              <w:rPr>
                <w:rFonts w:ascii="Garamond" w:eastAsiaTheme="minorHAnsi" w:hAnsi="Garamond"/>
                <w:sz w:val="20"/>
                <w:szCs w:val="20"/>
                <w:lang w:eastAsia="en-US"/>
              </w:rPr>
            </w:pPr>
            <w:r w:rsidRPr="007114AF">
              <w:rPr>
                <w:rFonts w:ascii="Garamond" w:eastAsiaTheme="minorHAnsi" w:hAnsi="Garamond"/>
                <w:sz w:val="20"/>
                <w:szCs w:val="20"/>
                <w:lang w:eastAsia="en-US"/>
              </w:rPr>
              <w:t>E</w:t>
            </w:r>
          </w:p>
        </w:tc>
        <w:tc>
          <w:tcPr>
            <w:tcW w:w="4167" w:type="dxa"/>
          </w:tcPr>
          <w:p w14:paraId="6EDD16C4" w14:textId="77777777" w:rsidR="002F4BDF" w:rsidRPr="007114AF" w:rsidRDefault="002F4BDF" w:rsidP="002F4BDF">
            <w:pPr>
              <w:spacing w:after="0" w:line="240" w:lineRule="auto"/>
              <w:jc w:val="left"/>
              <w:rPr>
                <w:rFonts w:ascii="Garamond" w:eastAsiaTheme="minorHAnsi" w:hAnsi="Garamond"/>
                <w:sz w:val="20"/>
                <w:szCs w:val="20"/>
                <w:lang w:eastAsia="en-US"/>
              </w:rPr>
            </w:pPr>
            <w:r w:rsidRPr="007114AF">
              <w:rPr>
                <w:rFonts w:ascii="Garamond" w:eastAsiaTheme="minorHAnsi" w:hAnsi="Garamond"/>
                <w:sz w:val="20"/>
                <w:szCs w:val="20"/>
                <w:lang w:eastAsia="en-US"/>
              </w:rPr>
              <w:t xml:space="preserve">A është procesi i aplikimit një proces konkurrues? </w:t>
            </w:r>
          </w:p>
        </w:tc>
        <w:tc>
          <w:tcPr>
            <w:tcW w:w="1054" w:type="dxa"/>
            <w:vAlign w:val="center"/>
          </w:tcPr>
          <w:p w14:paraId="6EDD16C5" w14:textId="77777777" w:rsidR="002F4BDF" w:rsidRPr="007114AF" w:rsidRDefault="002F4BDF" w:rsidP="002F4BDF">
            <w:pPr>
              <w:spacing w:after="0" w:line="240" w:lineRule="auto"/>
              <w:jc w:val="left"/>
              <w:rPr>
                <w:rFonts w:ascii="Garamond" w:eastAsiaTheme="minorHAnsi" w:hAnsi="Garamond"/>
                <w:sz w:val="20"/>
                <w:szCs w:val="20"/>
                <w:lang w:eastAsia="en-US"/>
              </w:rPr>
            </w:pPr>
          </w:p>
        </w:tc>
        <w:tc>
          <w:tcPr>
            <w:tcW w:w="3409" w:type="dxa"/>
          </w:tcPr>
          <w:p w14:paraId="6EDD16C6" w14:textId="77777777" w:rsidR="002F4BDF" w:rsidRPr="007114AF" w:rsidRDefault="002F4BDF" w:rsidP="002F4BDF">
            <w:pPr>
              <w:spacing w:after="0" w:line="240" w:lineRule="auto"/>
              <w:jc w:val="left"/>
              <w:rPr>
                <w:rFonts w:ascii="Garamond" w:eastAsiaTheme="minorHAnsi" w:hAnsi="Garamond"/>
                <w:sz w:val="20"/>
                <w:szCs w:val="20"/>
                <w:lang w:eastAsia="en-US"/>
              </w:rPr>
            </w:pPr>
          </w:p>
        </w:tc>
        <w:tc>
          <w:tcPr>
            <w:tcW w:w="918" w:type="dxa"/>
            <w:vAlign w:val="center"/>
          </w:tcPr>
          <w:p w14:paraId="6EDD16C7" w14:textId="77777777" w:rsidR="002F4BDF" w:rsidRPr="007114AF" w:rsidRDefault="002F4BDF" w:rsidP="002F4BDF">
            <w:pPr>
              <w:spacing w:after="0" w:line="240" w:lineRule="auto"/>
              <w:jc w:val="left"/>
              <w:rPr>
                <w:rFonts w:ascii="Garamond" w:eastAsiaTheme="minorHAnsi" w:hAnsi="Garamond"/>
                <w:sz w:val="20"/>
                <w:szCs w:val="20"/>
                <w:lang w:eastAsia="en-US"/>
              </w:rPr>
            </w:pPr>
          </w:p>
        </w:tc>
        <w:tc>
          <w:tcPr>
            <w:tcW w:w="3934" w:type="dxa"/>
          </w:tcPr>
          <w:p w14:paraId="6EDD16C8" w14:textId="77777777" w:rsidR="002F4BDF" w:rsidRPr="007114AF" w:rsidRDefault="002F4BDF" w:rsidP="002F4BDF">
            <w:pPr>
              <w:spacing w:after="0" w:line="240" w:lineRule="auto"/>
              <w:jc w:val="left"/>
              <w:rPr>
                <w:rFonts w:ascii="Garamond" w:eastAsiaTheme="minorHAnsi" w:hAnsi="Garamond"/>
                <w:sz w:val="20"/>
                <w:szCs w:val="20"/>
                <w:lang w:eastAsia="en-US"/>
              </w:rPr>
            </w:pPr>
          </w:p>
        </w:tc>
      </w:tr>
      <w:tr w:rsidR="002F4BDF" w:rsidRPr="007114AF" w14:paraId="6EDD16D0" w14:textId="77777777" w:rsidTr="003305AE">
        <w:tc>
          <w:tcPr>
            <w:tcW w:w="1206" w:type="dxa"/>
            <w:vAlign w:val="center"/>
          </w:tcPr>
          <w:p w14:paraId="6EDD16CA" w14:textId="77777777" w:rsidR="002F4BDF" w:rsidRPr="007114AF" w:rsidRDefault="002F4BDF" w:rsidP="002F4BDF">
            <w:pPr>
              <w:spacing w:after="0" w:line="240" w:lineRule="auto"/>
              <w:jc w:val="left"/>
              <w:rPr>
                <w:rFonts w:ascii="Garamond" w:eastAsiaTheme="minorHAnsi" w:hAnsi="Garamond"/>
                <w:sz w:val="20"/>
                <w:szCs w:val="20"/>
                <w:lang w:eastAsia="en-US"/>
              </w:rPr>
            </w:pPr>
            <w:r w:rsidRPr="007114AF">
              <w:rPr>
                <w:rFonts w:ascii="Garamond" w:eastAsiaTheme="minorHAnsi" w:hAnsi="Garamond"/>
                <w:sz w:val="20"/>
                <w:szCs w:val="20"/>
                <w:lang w:eastAsia="en-US"/>
              </w:rPr>
              <w:t>F</w:t>
            </w:r>
          </w:p>
        </w:tc>
        <w:tc>
          <w:tcPr>
            <w:tcW w:w="4167" w:type="dxa"/>
          </w:tcPr>
          <w:p w14:paraId="6EDD16CB" w14:textId="77777777" w:rsidR="002F4BDF" w:rsidRPr="007114AF" w:rsidRDefault="002F4BDF" w:rsidP="002F4BDF">
            <w:pPr>
              <w:spacing w:after="0" w:line="240" w:lineRule="auto"/>
              <w:jc w:val="left"/>
              <w:rPr>
                <w:rFonts w:ascii="Garamond" w:eastAsiaTheme="minorHAnsi" w:hAnsi="Garamond"/>
                <w:sz w:val="20"/>
                <w:szCs w:val="20"/>
                <w:lang w:eastAsia="en-US"/>
              </w:rPr>
            </w:pPr>
            <w:r w:rsidRPr="007114AF">
              <w:rPr>
                <w:rFonts w:ascii="Garamond" w:eastAsiaTheme="minorHAnsi" w:hAnsi="Garamond"/>
                <w:sz w:val="20"/>
                <w:szCs w:val="20"/>
                <w:lang w:eastAsia="en-US"/>
              </w:rPr>
              <w:t>A është Shqipëria e pranueshme për marrjen e financimit nga fondi/investuesi?</w:t>
            </w:r>
          </w:p>
        </w:tc>
        <w:tc>
          <w:tcPr>
            <w:tcW w:w="1054" w:type="dxa"/>
            <w:vAlign w:val="center"/>
          </w:tcPr>
          <w:p w14:paraId="6EDD16CC" w14:textId="77777777" w:rsidR="002F4BDF" w:rsidRPr="007114AF" w:rsidRDefault="002F4BDF" w:rsidP="002F4BDF">
            <w:pPr>
              <w:spacing w:after="0" w:line="240" w:lineRule="auto"/>
              <w:jc w:val="left"/>
              <w:rPr>
                <w:rFonts w:ascii="Garamond" w:eastAsiaTheme="minorHAnsi" w:hAnsi="Garamond"/>
                <w:sz w:val="20"/>
                <w:szCs w:val="20"/>
                <w:lang w:eastAsia="en-US"/>
              </w:rPr>
            </w:pPr>
          </w:p>
        </w:tc>
        <w:tc>
          <w:tcPr>
            <w:tcW w:w="3409" w:type="dxa"/>
          </w:tcPr>
          <w:p w14:paraId="6EDD16CD" w14:textId="77777777" w:rsidR="002F4BDF" w:rsidRPr="007114AF" w:rsidRDefault="002F4BDF" w:rsidP="002F4BDF">
            <w:pPr>
              <w:spacing w:after="0" w:line="240" w:lineRule="auto"/>
              <w:jc w:val="left"/>
              <w:rPr>
                <w:rFonts w:ascii="Garamond" w:eastAsiaTheme="minorHAnsi" w:hAnsi="Garamond"/>
                <w:sz w:val="20"/>
                <w:szCs w:val="20"/>
                <w:lang w:eastAsia="en-US"/>
              </w:rPr>
            </w:pPr>
          </w:p>
        </w:tc>
        <w:tc>
          <w:tcPr>
            <w:tcW w:w="918" w:type="dxa"/>
            <w:vAlign w:val="center"/>
          </w:tcPr>
          <w:p w14:paraId="6EDD16CE" w14:textId="77777777" w:rsidR="002F4BDF" w:rsidRPr="007114AF" w:rsidRDefault="002F4BDF" w:rsidP="002F4BDF">
            <w:pPr>
              <w:spacing w:after="0" w:line="240" w:lineRule="auto"/>
              <w:jc w:val="left"/>
              <w:rPr>
                <w:rFonts w:ascii="Garamond" w:eastAsiaTheme="minorHAnsi" w:hAnsi="Garamond"/>
                <w:sz w:val="20"/>
                <w:szCs w:val="20"/>
                <w:lang w:eastAsia="en-US"/>
              </w:rPr>
            </w:pPr>
          </w:p>
        </w:tc>
        <w:tc>
          <w:tcPr>
            <w:tcW w:w="3934" w:type="dxa"/>
          </w:tcPr>
          <w:p w14:paraId="6EDD16CF" w14:textId="77777777" w:rsidR="002F4BDF" w:rsidRPr="007114AF" w:rsidRDefault="002F4BDF" w:rsidP="002F4BDF">
            <w:pPr>
              <w:spacing w:after="0" w:line="240" w:lineRule="auto"/>
              <w:jc w:val="left"/>
              <w:rPr>
                <w:rFonts w:ascii="Garamond" w:eastAsiaTheme="minorHAnsi" w:hAnsi="Garamond"/>
                <w:sz w:val="20"/>
                <w:szCs w:val="20"/>
                <w:lang w:eastAsia="en-US"/>
              </w:rPr>
            </w:pPr>
          </w:p>
        </w:tc>
      </w:tr>
      <w:tr w:rsidR="002F4BDF" w:rsidRPr="007114AF" w14:paraId="6EDD16D9" w14:textId="77777777" w:rsidTr="003305AE">
        <w:trPr>
          <w:trHeight w:val="1786"/>
        </w:trPr>
        <w:tc>
          <w:tcPr>
            <w:tcW w:w="1206" w:type="dxa"/>
            <w:vAlign w:val="center"/>
          </w:tcPr>
          <w:p w14:paraId="6EDD16D1" w14:textId="77777777" w:rsidR="002F4BDF" w:rsidRPr="007114AF" w:rsidRDefault="002F4BDF" w:rsidP="002F4BDF">
            <w:pPr>
              <w:spacing w:after="0" w:line="240" w:lineRule="auto"/>
              <w:jc w:val="left"/>
              <w:rPr>
                <w:rFonts w:ascii="Garamond" w:eastAsiaTheme="minorHAnsi" w:hAnsi="Garamond"/>
                <w:sz w:val="20"/>
                <w:szCs w:val="20"/>
                <w:lang w:eastAsia="en-US"/>
              </w:rPr>
            </w:pPr>
            <w:r w:rsidRPr="007114AF">
              <w:rPr>
                <w:rFonts w:ascii="Garamond" w:eastAsiaTheme="minorHAnsi" w:hAnsi="Garamond"/>
                <w:sz w:val="20"/>
                <w:szCs w:val="20"/>
                <w:lang w:eastAsia="en-US"/>
              </w:rPr>
              <w:t>G</w:t>
            </w:r>
          </w:p>
        </w:tc>
        <w:tc>
          <w:tcPr>
            <w:tcW w:w="4167" w:type="dxa"/>
          </w:tcPr>
          <w:p w14:paraId="6EDD16D2" w14:textId="77777777" w:rsidR="002F4BDF" w:rsidRPr="007114AF" w:rsidRDefault="002F4BDF" w:rsidP="002F4BDF">
            <w:pPr>
              <w:spacing w:after="0" w:line="240" w:lineRule="auto"/>
              <w:jc w:val="left"/>
              <w:rPr>
                <w:rFonts w:ascii="Garamond" w:eastAsiaTheme="minorHAnsi" w:hAnsi="Garamond"/>
                <w:sz w:val="20"/>
                <w:szCs w:val="20"/>
                <w:lang w:eastAsia="en-US"/>
              </w:rPr>
            </w:pPr>
            <w:r w:rsidRPr="007114AF">
              <w:rPr>
                <w:rFonts w:ascii="Garamond" w:eastAsiaTheme="minorHAnsi" w:hAnsi="Garamond"/>
                <w:sz w:val="20"/>
                <w:szCs w:val="20"/>
                <w:lang w:eastAsia="en-US"/>
              </w:rPr>
              <w:t>A ka siguruar më parë fondi/investuesi fonde për Shqipërinë (gjatë 5 viteve të mëparshme)?</w:t>
            </w:r>
          </w:p>
        </w:tc>
        <w:tc>
          <w:tcPr>
            <w:tcW w:w="1054" w:type="dxa"/>
            <w:vAlign w:val="center"/>
          </w:tcPr>
          <w:p w14:paraId="6EDD16D3" w14:textId="77777777" w:rsidR="002F4BDF" w:rsidRPr="007114AF" w:rsidRDefault="002F4BDF" w:rsidP="002F4BDF">
            <w:pPr>
              <w:spacing w:after="0" w:line="240" w:lineRule="auto"/>
              <w:jc w:val="left"/>
              <w:rPr>
                <w:rFonts w:ascii="Garamond" w:eastAsiaTheme="minorHAnsi" w:hAnsi="Garamond"/>
                <w:sz w:val="20"/>
                <w:szCs w:val="20"/>
                <w:lang w:eastAsia="en-US"/>
              </w:rPr>
            </w:pPr>
            <w:r w:rsidRPr="007114AF">
              <w:rPr>
                <w:rFonts w:ascii="Garamond" w:eastAsiaTheme="minorHAnsi" w:hAnsi="Garamond"/>
                <w:sz w:val="20"/>
                <w:szCs w:val="20"/>
                <w:lang w:eastAsia="en-US"/>
              </w:rPr>
              <w:t>X</w:t>
            </w:r>
          </w:p>
        </w:tc>
        <w:tc>
          <w:tcPr>
            <w:tcW w:w="3409" w:type="dxa"/>
          </w:tcPr>
          <w:p w14:paraId="6EDD16D4" w14:textId="77777777" w:rsidR="002F4BDF" w:rsidRPr="007114AF" w:rsidRDefault="002F4BDF" w:rsidP="002F4BDF">
            <w:pPr>
              <w:spacing w:after="0" w:line="240" w:lineRule="auto"/>
              <w:jc w:val="left"/>
              <w:rPr>
                <w:rFonts w:ascii="Garamond" w:eastAsiaTheme="minorHAnsi" w:hAnsi="Garamond"/>
                <w:sz w:val="20"/>
                <w:szCs w:val="20"/>
                <w:lang w:eastAsia="en-US"/>
              </w:rPr>
            </w:pPr>
            <w:r w:rsidRPr="007114AF">
              <w:rPr>
                <w:rFonts w:ascii="Garamond" w:eastAsiaTheme="minorHAnsi" w:hAnsi="Garamond"/>
                <w:sz w:val="20"/>
                <w:szCs w:val="20"/>
                <w:lang w:eastAsia="en-US"/>
              </w:rPr>
              <w:t>1 = në çdo sektor, pa vëmendje të veçantë ndaj përshtatjes</w:t>
            </w:r>
          </w:p>
          <w:p w14:paraId="6EDD16D5" w14:textId="711E7630" w:rsidR="002F4BDF" w:rsidRPr="007114AF" w:rsidRDefault="002F4BDF" w:rsidP="009B0B46">
            <w:pPr>
              <w:spacing w:after="0" w:line="240" w:lineRule="auto"/>
              <w:jc w:val="left"/>
              <w:rPr>
                <w:rFonts w:ascii="Garamond" w:eastAsiaTheme="minorHAnsi" w:hAnsi="Garamond"/>
                <w:sz w:val="20"/>
                <w:szCs w:val="20"/>
                <w:lang w:eastAsia="en-US"/>
              </w:rPr>
            </w:pPr>
            <w:r w:rsidRPr="007114AF">
              <w:rPr>
                <w:rFonts w:ascii="Garamond" w:eastAsiaTheme="minorHAnsi" w:hAnsi="Garamond"/>
                <w:sz w:val="20"/>
                <w:szCs w:val="20"/>
                <w:lang w:eastAsia="en-US"/>
              </w:rPr>
              <w:t>2 = në sektor/projekte me objektiva të qart</w:t>
            </w:r>
            <w:r w:rsidR="009B0B46">
              <w:rPr>
                <w:rFonts w:ascii="Garamond" w:eastAsiaTheme="minorHAnsi" w:hAnsi="Garamond"/>
                <w:sz w:val="20"/>
                <w:szCs w:val="20"/>
                <w:lang w:eastAsia="en-US"/>
              </w:rPr>
              <w:t>ë</w:t>
            </w:r>
            <w:r w:rsidRPr="007114AF">
              <w:rPr>
                <w:rFonts w:ascii="Garamond" w:eastAsiaTheme="minorHAnsi" w:hAnsi="Garamond"/>
                <w:sz w:val="20"/>
                <w:szCs w:val="20"/>
                <w:lang w:eastAsia="en-US"/>
              </w:rPr>
              <w:t xml:space="preserve"> përshtatjeje </w:t>
            </w:r>
          </w:p>
        </w:tc>
        <w:tc>
          <w:tcPr>
            <w:tcW w:w="918" w:type="dxa"/>
            <w:vAlign w:val="center"/>
          </w:tcPr>
          <w:p w14:paraId="6EDD16D6" w14:textId="77777777" w:rsidR="002F4BDF" w:rsidRPr="007114AF" w:rsidRDefault="002F4BDF" w:rsidP="002F4BDF">
            <w:pPr>
              <w:spacing w:after="0" w:line="240" w:lineRule="auto"/>
              <w:jc w:val="left"/>
              <w:rPr>
                <w:rFonts w:ascii="Garamond" w:eastAsiaTheme="minorHAnsi" w:hAnsi="Garamond"/>
                <w:sz w:val="20"/>
                <w:szCs w:val="20"/>
                <w:lang w:eastAsia="en-US"/>
              </w:rPr>
            </w:pPr>
            <w:r w:rsidRPr="007114AF">
              <w:rPr>
                <w:rFonts w:ascii="Garamond" w:eastAsiaTheme="minorHAnsi" w:hAnsi="Garamond"/>
                <w:sz w:val="20"/>
                <w:szCs w:val="20"/>
                <w:lang w:eastAsia="en-US"/>
              </w:rPr>
              <w:t>3</w:t>
            </w:r>
          </w:p>
        </w:tc>
        <w:tc>
          <w:tcPr>
            <w:tcW w:w="3934" w:type="dxa"/>
          </w:tcPr>
          <w:p w14:paraId="6EDD16D7" w14:textId="7491F99E" w:rsidR="002F4BDF" w:rsidRPr="007114AF" w:rsidRDefault="002F4BDF" w:rsidP="002F4BDF">
            <w:pPr>
              <w:spacing w:after="0" w:line="240" w:lineRule="auto"/>
              <w:jc w:val="left"/>
              <w:rPr>
                <w:rFonts w:ascii="Garamond" w:eastAsiaTheme="minorHAnsi" w:hAnsi="Garamond"/>
                <w:sz w:val="20"/>
                <w:szCs w:val="20"/>
                <w:lang w:eastAsia="en-US"/>
              </w:rPr>
            </w:pPr>
            <w:r w:rsidRPr="007114AF">
              <w:rPr>
                <w:rFonts w:ascii="Garamond" w:eastAsiaTheme="minorHAnsi" w:hAnsi="Garamond"/>
                <w:sz w:val="20"/>
                <w:szCs w:val="20"/>
                <w:lang w:eastAsia="en-US"/>
              </w:rPr>
              <w:t>Donatorët/financuesit që kanë siguruar më parë financim, kanë më shumë gjasa të sigurojnë sërish financim, nëse nuk kanë një</w:t>
            </w:r>
            <w:r w:rsidR="000A2A01" w:rsidRPr="007114AF">
              <w:rPr>
                <w:rFonts w:ascii="Garamond" w:eastAsiaTheme="minorHAnsi" w:hAnsi="Garamond"/>
                <w:sz w:val="20"/>
                <w:szCs w:val="20"/>
                <w:lang w:eastAsia="en-US"/>
              </w:rPr>
              <w:t xml:space="preserve"> </w:t>
            </w:r>
            <w:r w:rsidRPr="007114AF">
              <w:rPr>
                <w:rFonts w:ascii="Garamond" w:eastAsiaTheme="minorHAnsi" w:hAnsi="Garamond"/>
                <w:sz w:val="20"/>
                <w:szCs w:val="20"/>
                <w:lang w:eastAsia="en-US"/>
              </w:rPr>
              <w:t>prag alokimi për vend/shtet.</w:t>
            </w:r>
          </w:p>
          <w:p w14:paraId="6EDD16D8" w14:textId="78128818" w:rsidR="002F4BDF" w:rsidRPr="007114AF" w:rsidRDefault="002F4BDF" w:rsidP="002F4BDF">
            <w:pPr>
              <w:spacing w:after="0" w:line="240" w:lineRule="auto"/>
              <w:jc w:val="left"/>
              <w:rPr>
                <w:rFonts w:ascii="Garamond" w:eastAsiaTheme="minorHAnsi" w:hAnsi="Garamond"/>
                <w:sz w:val="20"/>
                <w:szCs w:val="20"/>
                <w:lang w:eastAsia="en-US"/>
              </w:rPr>
            </w:pPr>
            <w:r w:rsidRPr="007114AF">
              <w:rPr>
                <w:rFonts w:ascii="Garamond" w:eastAsiaTheme="minorHAnsi" w:hAnsi="Garamond"/>
                <w:sz w:val="20"/>
                <w:szCs w:val="20"/>
                <w:lang w:eastAsia="en-US"/>
              </w:rPr>
              <w:t>Projekti i mëparshëm dhe përdorimi i fondeve ka sjellë rezultate pozitive dhe marrëdhënie të favorshme. Nëse jo, ky kriter mund të duhet të</w:t>
            </w:r>
            <w:r w:rsidR="000A2A01" w:rsidRPr="007114AF">
              <w:rPr>
                <w:rFonts w:ascii="Garamond" w:eastAsiaTheme="minorHAnsi" w:hAnsi="Garamond"/>
                <w:sz w:val="20"/>
                <w:szCs w:val="20"/>
                <w:lang w:eastAsia="en-US"/>
              </w:rPr>
              <w:t xml:space="preserve"> </w:t>
            </w:r>
            <w:r w:rsidRPr="007114AF">
              <w:rPr>
                <w:rFonts w:ascii="Garamond" w:eastAsiaTheme="minorHAnsi" w:hAnsi="Garamond"/>
                <w:sz w:val="20"/>
                <w:szCs w:val="20"/>
                <w:lang w:eastAsia="en-US"/>
              </w:rPr>
              <w:t>përjashtohet.</w:t>
            </w:r>
          </w:p>
        </w:tc>
      </w:tr>
      <w:tr w:rsidR="002F4BDF" w:rsidRPr="007114AF" w14:paraId="6EDD16E1" w14:textId="77777777" w:rsidTr="003305AE">
        <w:tc>
          <w:tcPr>
            <w:tcW w:w="1206" w:type="dxa"/>
            <w:vAlign w:val="center"/>
          </w:tcPr>
          <w:p w14:paraId="6EDD16DA" w14:textId="77777777" w:rsidR="002F4BDF" w:rsidRPr="007114AF" w:rsidRDefault="002F4BDF" w:rsidP="002F4BDF">
            <w:pPr>
              <w:spacing w:after="0" w:line="240" w:lineRule="auto"/>
              <w:jc w:val="left"/>
              <w:rPr>
                <w:rFonts w:ascii="Garamond" w:eastAsiaTheme="minorHAnsi" w:hAnsi="Garamond"/>
                <w:sz w:val="20"/>
                <w:szCs w:val="20"/>
                <w:lang w:eastAsia="en-US"/>
              </w:rPr>
            </w:pPr>
            <w:r w:rsidRPr="007114AF">
              <w:rPr>
                <w:rFonts w:ascii="Garamond" w:eastAsiaTheme="minorHAnsi" w:hAnsi="Garamond"/>
                <w:sz w:val="20"/>
                <w:szCs w:val="20"/>
                <w:lang w:eastAsia="en-US"/>
              </w:rPr>
              <w:t>H</w:t>
            </w:r>
          </w:p>
        </w:tc>
        <w:tc>
          <w:tcPr>
            <w:tcW w:w="4167" w:type="dxa"/>
          </w:tcPr>
          <w:p w14:paraId="6EDD16DB" w14:textId="77777777" w:rsidR="002F4BDF" w:rsidRPr="007114AF" w:rsidRDefault="002F4BDF" w:rsidP="002F4BDF">
            <w:pPr>
              <w:spacing w:after="0" w:line="240" w:lineRule="auto"/>
              <w:jc w:val="left"/>
              <w:rPr>
                <w:rFonts w:ascii="Garamond" w:eastAsiaTheme="minorHAnsi" w:hAnsi="Garamond"/>
                <w:sz w:val="20"/>
                <w:szCs w:val="20"/>
                <w:lang w:eastAsia="en-US"/>
              </w:rPr>
            </w:pPr>
            <w:r w:rsidRPr="007114AF">
              <w:rPr>
                <w:rFonts w:ascii="Garamond" w:eastAsiaTheme="minorHAnsi" w:hAnsi="Garamond"/>
                <w:sz w:val="20"/>
                <w:szCs w:val="20"/>
                <w:lang w:eastAsia="en-US"/>
              </w:rPr>
              <w:t xml:space="preserve">A ka fondi/investuesi një alokim/prag për një vend specifik? </w:t>
            </w:r>
          </w:p>
        </w:tc>
        <w:tc>
          <w:tcPr>
            <w:tcW w:w="1054" w:type="dxa"/>
            <w:vAlign w:val="center"/>
          </w:tcPr>
          <w:p w14:paraId="6EDD16DC" w14:textId="77777777" w:rsidR="002F4BDF" w:rsidRPr="007114AF" w:rsidRDefault="002F4BDF" w:rsidP="002F4BDF">
            <w:pPr>
              <w:spacing w:after="0" w:line="240" w:lineRule="auto"/>
              <w:jc w:val="left"/>
              <w:rPr>
                <w:rFonts w:ascii="Garamond" w:eastAsiaTheme="minorHAnsi" w:hAnsi="Garamond"/>
                <w:sz w:val="20"/>
                <w:szCs w:val="20"/>
                <w:lang w:eastAsia="en-US"/>
              </w:rPr>
            </w:pPr>
          </w:p>
        </w:tc>
        <w:tc>
          <w:tcPr>
            <w:tcW w:w="3409" w:type="dxa"/>
          </w:tcPr>
          <w:p w14:paraId="6EDD16DD" w14:textId="77777777" w:rsidR="002F4BDF" w:rsidRPr="007114AF" w:rsidRDefault="002F4BDF" w:rsidP="002F4BDF">
            <w:pPr>
              <w:spacing w:after="0" w:line="240" w:lineRule="auto"/>
              <w:jc w:val="left"/>
              <w:rPr>
                <w:rFonts w:ascii="Garamond" w:eastAsiaTheme="minorHAnsi" w:hAnsi="Garamond"/>
                <w:sz w:val="20"/>
                <w:szCs w:val="20"/>
                <w:lang w:eastAsia="en-US"/>
              </w:rPr>
            </w:pPr>
            <w:r w:rsidRPr="007114AF">
              <w:rPr>
                <w:rFonts w:ascii="Garamond" w:eastAsiaTheme="minorHAnsi" w:hAnsi="Garamond"/>
                <w:sz w:val="20"/>
                <w:szCs w:val="20"/>
                <w:lang w:eastAsia="en-US"/>
              </w:rPr>
              <w:t>0 = jo</w:t>
            </w:r>
          </w:p>
          <w:p w14:paraId="6EDD16DE" w14:textId="77777777" w:rsidR="002F4BDF" w:rsidRPr="007114AF" w:rsidRDefault="002F4BDF" w:rsidP="002F4BDF">
            <w:pPr>
              <w:spacing w:after="0" w:line="240" w:lineRule="auto"/>
              <w:jc w:val="left"/>
              <w:rPr>
                <w:rFonts w:ascii="Garamond" w:eastAsiaTheme="minorHAnsi" w:hAnsi="Garamond"/>
                <w:sz w:val="20"/>
                <w:szCs w:val="20"/>
                <w:lang w:eastAsia="en-US"/>
              </w:rPr>
            </w:pPr>
            <w:r w:rsidRPr="007114AF">
              <w:rPr>
                <w:rFonts w:ascii="Garamond" w:eastAsiaTheme="minorHAnsi" w:hAnsi="Garamond"/>
                <w:sz w:val="20"/>
                <w:szCs w:val="20"/>
                <w:lang w:eastAsia="en-US"/>
              </w:rPr>
              <w:t>1 = po</w:t>
            </w:r>
          </w:p>
        </w:tc>
        <w:tc>
          <w:tcPr>
            <w:tcW w:w="918" w:type="dxa"/>
            <w:vAlign w:val="center"/>
          </w:tcPr>
          <w:p w14:paraId="6EDD16DF" w14:textId="77777777" w:rsidR="002F4BDF" w:rsidRPr="007114AF" w:rsidRDefault="002F4BDF" w:rsidP="002F4BDF">
            <w:pPr>
              <w:spacing w:after="0" w:line="240" w:lineRule="auto"/>
              <w:jc w:val="left"/>
              <w:rPr>
                <w:rFonts w:ascii="Garamond" w:eastAsiaTheme="minorHAnsi" w:hAnsi="Garamond"/>
                <w:sz w:val="20"/>
                <w:szCs w:val="20"/>
                <w:lang w:eastAsia="en-US"/>
              </w:rPr>
            </w:pPr>
          </w:p>
        </w:tc>
        <w:tc>
          <w:tcPr>
            <w:tcW w:w="3934" w:type="dxa"/>
          </w:tcPr>
          <w:p w14:paraId="6EDD16E0" w14:textId="77777777" w:rsidR="002F4BDF" w:rsidRPr="007114AF" w:rsidRDefault="002F4BDF" w:rsidP="002F4BDF">
            <w:pPr>
              <w:spacing w:after="0" w:line="240" w:lineRule="auto"/>
              <w:jc w:val="left"/>
              <w:rPr>
                <w:rFonts w:ascii="Garamond" w:eastAsiaTheme="minorHAnsi" w:hAnsi="Garamond"/>
                <w:sz w:val="20"/>
                <w:szCs w:val="20"/>
                <w:lang w:eastAsia="en-US"/>
              </w:rPr>
            </w:pPr>
          </w:p>
        </w:tc>
      </w:tr>
      <w:tr w:rsidR="002F4BDF" w:rsidRPr="007114AF" w14:paraId="6EDD16E9" w14:textId="77777777" w:rsidTr="003305AE">
        <w:tc>
          <w:tcPr>
            <w:tcW w:w="1206" w:type="dxa"/>
            <w:vAlign w:val="center"/>
          </w:tcPr>
          <w:p w14:paraId="6EDD16E2" w14:textId="77777777" w:rsidR="002F4BDF" w:rsidRPr="007114AF" w:rsidRDefault="002F4BDF" w:rsidP="002F4BDF">
            <w:pPr>
              <w:spacing w:after="0" w:line="240" w:lineRule="auto"/>
              <w:jc w:val="left"/>
              <w:rPr>
                <w:rFonts w:ascii="Garamond" w:eastAsiaTheme="minorHAnsi" w:hAnsi="Garamond"/>
                <w:sz w:val="20"/>
                <w:szCs w:val="20"/>
                <w:lang w:eastAsia="en-US"/>
              </w:rPr>
            </w:pPr>
            <w:r w:rsidRPr="007114AF">
              <w:rPr>
                <w:rFonts w:ascii="Garamond" w:eastAsiaTheme="minorHAnsi" w:hAnsi="Garamond"/>
                <w:sz w:val="20"/>
                <w:szCs w:val="20"/>
                <w:lang w:eastAsia="en-US"/>
              </w:rPr>
              <w:t>I</w:t>
            </w:r>
          </w:p>
        </w:tc>
        <w:tc>
          <w:tcPr>
            <w:tcW w:w="4167" w:type="dxa"/>
          </w:tcPr>
          <w:p w14:paraId="6EDD16E3" w14:textId="51802924" w:rsidR="002F4BDF" w:rsidRPr="007114AF" w:rsidRDefault="002F4BDF" w:rsidP="002F4BDF">
            <w:pPr>
              <w:spacing w:after="0" w:line="240" w:lineRule="auto"/>
              <w:jc w:val="left"/>
              <w:rPr>
                <w:rFonts w:ascii="Garamond" w:eastAsiaTheme="minorHAnsi" w:hAnsi="Garamond"/>
                <w:sz w:val="20"/>
                <w:szCs w:val="20"/>
                <w:lang w:eastAsia="en-US"/>
              </w:rPr>
            </w:pPr>
            <w:r w:rsidRPr="007114AF">
              <w:rPr>
                <w:rFonts w:ascii="Garamond" w:eastAsiaTheme="minorHAnsi" w:hAnsi="Garamond"/>
                <w:sz w:val="20"/>
                <w:szCs w:val="20"/>
                <w:lang w:eastAsia="en-US"/>
              </w:rPr>
              <w:t>A ka marrë Shqipëria një përqindje të konsiderueshme (më shumë se</w:t>
            </w:r>
            <w:r w:rsidR="000A2A01" w:rsidRPr="007114AF">
              <w:rPr>
                <w:rFonts w:ascii="Garamond" w:eastAsiaTheme="minorHAnsi" w:hAnsi="Garamond"/>
                <w:sz w:val="20"/>
                <w:szCs w:val="20"/>
                <w:lang w:eastAsia="en-US"/>
              </w:rPr>
              <w:t xml:space="preserve"> </w:t>
            </w:r>
            <w:r w:rsidRPr="007114AF">
              <w:rPr>
                <w:rFonts w:ascii="Garamond" w:eastAsiaTheme="minorHAnsi" w:hAnsi="Garamond"/>
                <w:sz w:val="20"/>
                <w:szCs w:val="20"/>
                <w:lang w:eastAsia="en-US"/>
              </w:rPr>
              <w:t>50%) të këtij alokimi/ pragu?</w:t>
            </w:r>
          </w:p>
        </w:tc>
        <w:tc>
          <w:tcPr>
            <w:tcW w:w="1054" w:type="dxa"/>
            <w:vAlign w:val="center"/>
          </w:tcPr>
          <w:p w14:paraId="6EDD16E4" w14:textId="77777777" w:rsidR="002F4BDF" w:rsidRPr="007114AF" w:rsidRDefault="002F4BDF" w:rsidP="002F4BDF">
            <w:pPr>
              <w:spacing w:after="0" w:line="240" w:lineRule="auto"/>
              <w:jc w:val="left"/>
              <w:rPr>
                <w:rFonts w:ascii="Garamond" w:eastAsiaTheme="minorHAnsi" w:hAnsi="Garamond"/>
                <w:sz w:val="20"/>
                <w:szCs w:val="20"/>
                <w:lang w:eastAsia="en-US"/>
              </w:rPr>
            </w:pPr>
          </w:p>
        </w:tc>
        <w:tc>
          <w:tcPr>
            <w:tcW w:w="3409" w:type="dxa"/>
          </w:tcPr>
          <w:p w14:paraId="6EDD16E5" w14:textId="77777777" w:rsidR="002F4BDF" w:rsidRPr="007114AF" w:rsidRDefault="002F4BDF" w:rsidP="002F4BDF">
            <w:pPr>
              <w:spacing w:after="0" w:line="240" w:lineRule="auto"/>
              <w:jc w:val="left"/>
              <w:rPr>
                <w:rFonts w:ascii="Garamond" w:eastAsiaTheme="minorHAnsi" w:hAnsi="Garamond"/>
                <w:sz w:val="20"/>
                <w:szCs w:val="20"/>
                <w:lang w:eastAsia="en-US"/>
              </w:rPr>
            </w:pPr>
            <w:r w:rsidRPr="007114AF">
              <w:rPr>
                <w:rFonts w:ascii="Garamond" w:eastAsiaTheme="minorHAnsi" w:hAnsi="Garamond"/>
                <w:sz w:val="20"/>
                <w:szCs w:val="20"/>
                <w:lang w:eastAsia="en-US"/>
              </w:rPr>
              <w:t>0 = po</w:t>
            </w:r>
          </w:p>
          <w:p w14:paraId="6EDD16E6" w14:textId="77777777" w:rsidR="002F4BDF" w:rsidRPr="007114AF" w:rsidRDefault="002F4BDF" w:rsidP="002F4BDF">
            <w:pPr>
              <w:spacing w:after="0" w:line="240" w:lineRule="auto"/>
              <w:jc w:val="left"/>
              <w:rPr>
                <w:rFonts w:ascii="Garamond" w:eastAsiaTheme="minorHAnsi" w:hAnsi="Garamond"/>
                <w:sz w:val="20"/>
                <w:szCs w:val="20"/>
                <w:lang w:eastAsia="en-US"/>
              </w:rPr>
            </w:pPr>
            <w:r w:rsidRPr="007114AF">
              <w:rPr>
                <w:rFonts w:ascii="Garamond" w:eastAsiaTheme="minorHAnsi" w:hAnsi="Garamond"/>
                <w:sz w:val="20"/>
                <w:szCs w:val="20"/>
                <w:lang w:eastAsia="en-US"/>
              </w:rPr>
              <w:t>1 = jo</w:t>
            </w:r>
          </w:p>
        </w:tc>
        <w:tc>
          <w:tcPr>
            <w:tcW w:w="918" w:type="dxa"/>
            <w:vAlign w:val="center"/>
          </w:tcPr>
          <w:p w14:paraId="6EDD16E7" w14:textId="77777777" w:rsidR="002F4BDF" w:rsidRPr="007114AF" w:rsidRDefault="002F4BDF" w:rsidP="002F4BDF">
            <w:pPr>
              <w:spacing w:after="0" w:line="240" w:lineRule="auto"/>
              <w:jc w:val="left"/>
              <w:rPr>
                <w:rFonts w:ascii="Garamond" w:eastAsiaTheme="minorHAnsi" w:hAnsi="Garamond"/>
                <w:sz w:val="20"/>
                <w:szCs w:val="20"/>
                <w:lang w:eastAsia="en-US"/>
              </w:rPr>
            </w:pPr>
          </w:p>
        </w:tc>
        <w:tc>
          <w:tcPr>
            <w:tcW w:w="3934" w:type="dxa"/>
          </w:tcPr>
          <w:p w14:paraId="6EDD16E8" w14:textId="77777777" w:rsidR="002F4BDF" w:rsidRPr="007114AF" w:rsidRDefault="002F4BDF" w:rsidP="002F4BDF">
            <w:pPr>
              <w:spacing w:after="0" w:line="240" w:lineRule="auto"/>
              <w:jc w:val="left"/>
              <w:rPr>
                <w:rFonts w:ascii="Garamond" w:eastAsiaTheme="minorHAnsi" w:hAnsi="Garamond"/>
                <w:sz w:val="20"/>
                <w:szCs w:val="20"/>
                <w:lang w:eastAsia="en-US"/>
              </w:rPr>
            </w:pPr>
          </w:p>
        </w:tc>
      </w:tr>
      <w:tr w:rsidR="002F4BDF" w:rsidRPr="007114AF" w14:paraId="6EDD16F1" w14:textId="77777777" w:rsidTr="003305AE">
        <w:tc>
          <w:tcPr>
            <w:tcW w:w="1206" w:type="dxa"/>
            <w:vAlign w:val="center"/>
          </w:tcPr>
          <w:p w14:paraId="6EDD16EA" w14:textId="77777777" w:rsidR="002F4BDF" w:rsidRPr="007114AF" w:rsidRDefault="002F4BDF" w:rsidP="002F4BDF">
            <w:pPr>
              <w:spacing w:after="0" w:line="240" w:lineRule="auto"/>
              <w:jc w:val="left"/>
              <w:rPr>
                <w:rFonts w:ascii="Garamond" w:eastAsiaTheme="minorHAnsi" w:hAnsi="Garamond"/>
                <w:sz w:val="20"/>
                <w:szCs w:val="20"/>
                <w:lang w:eastAsia="en-US"/>
              </w:rPr>
            </w:pPr>
            <w:r w:rsidRPr="007114AF">
              <w:rPr>
                <w:rFonts w:ascii="Garamond" w:eastAsiaTheme="minorHAnsi" w:hAnsi="Garamond"/>
                <w:sz w:val="20"/>
                <w:szCs w:val="20"/>
                <w:lang w:eastAsia="en-US"/>
              </w:rPr>
              <w:t>J</w:t>
            </w:r>
          </w:p>
        </w:tc>
        <w:tc>
          <w:tcPr>
            <w:tcW w:w="4167" w:type="dxa"/>
          </w:tcPr>
          <w:p w14:paraId="6EDD16EB" w14:textId="77777777" w:rsidR="002F4BDF" w:rsidRPr="007114AF" w:rsidRDefault="002F4BDF" w:rsidP="002F4BDF">
            <w:pPr>
              <w:spacing w:after="0" w:line="240" w:lineRule="auto"/>
              <w:jc w:val="left"/>
              <w:rPr>
                <w:rFonts w:ascii="Garamond" w:eastAsiaTheme="minorHAnsi" w:hAnsi="Garamond"/>
                <w:sz w:val="20"/>
                <w:szCs w:val="20"/>
                <w:lang w:eastAsia="en-US"/>
              </w:rPr>
            </w:pPr>
            <w:r w:rsidRPr="007114AF">
              <w:rPr>
                <w:rFonts w:ascii="Garamond" w:eastAsiaTheme="minorHAnsi" w:hAnsi="Garamond"/>
                <w:sz w:val="20"/>
                <w:szCs w:val="20"/>
                <w:lang w:eastAsia="en-US"/>
              </w:rPr>
              <w:t xml:space="preserve">A jep grante fondi/investuesi? </w:t>
            </w:r>
          </w:p>
        </w:tc>
        <w:tc>
          <w:tcPr>
            <w:tcW w:w="1054" w:type="dxa"/>
            <w:vAlign w:val="center"/>
          </w:tcPr>
          <w:p w14:paraId="6EDD16EC" w14:textId="77777777" w:rsidR="002F4BDF" w:rsidRPr="007114AF" w:rsidRDefault="002F4BDF" w:rsidP="002F4BDF">
            <w:pPr>
              <w:spacing w:after="0" w:line="240" w:lineRule="auto"/>
              <w:jc w:val="left"/>
              <w:rPr>
                <w:rFonts w:ascii="Garamond" w:eastAsiaTheme="minorHAnsi" w:hAnsi="Garamond"/>
                <w:sz w:val="20"/>
                <w:szCs w:val="20"/>
                <w:lang w:eastAsia="en-US"/>
              </w:rPr>
            </w:pPr>
            <w:r w:rsidRPr="007114AF">
              <w:rPr>
                <w:rFonts w:ascii="Garamond" w:eastAsiaTheme="minorHAnsi" w:hAnsi="Garamond"/>
                <w:sz w:val="20"/>
                <w:szCs w:val="20"/>
                <w:lang w:eastAsia="en-US"/>
              </w:rPr>
              <w:t>X</w:t>
            </w:r>
          </w:p>
        </w:tc>
        <w:tc>
          <w:tcPr>
            <w:tcW w:w="3409" w:type="dxa"/>
          </w:tcPr>
          <w:p w14:paraId="6EDD16ED" w14:textId="77777777" w:rsidR="002F4BDF" w:rsidRPr="007114AF" w:rsidRDefault="002F4BDF" w:rsidP="002F4BDF">
            <w:pPr>
              <w:spacing w:after="0" w:line="240" w:lineRule="auto"/>
              <w:jc w:val="left"/>
              <w:rPr>
                <w:rFonts w:ascii="Garamond" w:eastAsiaTheme="minorHAnsi" w:hAnsi="Garamond"/>
                <w:sz w:val="20"/>
                <w:szCs w:val="20"/>
                <w:lang w:eastAsia="en-US"/>
              </w:rPr>
            </w:pPr>
            <w:r w:rsidRPr="007114AF">
              <w:rPr>
                <w:rFonts w:ascii="Garamond" w:eastAsiaTheme="minorHAnsi" w:hAnsi="Garamond"/>
                <w:sz w:val="20"/>
                <w:szCs w:val="20"/>
                <w:lang w:eastAsia="en-US"/>
              </w:rPr>
              <w:t>0 = jo</w:t>
            </w:r>
          </w:p>
          <w:p w14:paraId="6EDD16EE" w14:textId="77777777" w:rsidR="002F4BDF" w:rsidRPr="007114AF" w:rsidRDefault="002F4BDF" w:rsidP="002F4BDF">
            <w:pPr>
              <w:spacing w:after="0" w:line="240" w:lineRule="auto"/>
              <w:jc w:val="left"/>
              <w:rPr>
                <w:rFonts w:ascii="Garamond" w:eastAsiaTheme="minorHAnsi" w:hAnsi="Garamond"/>
                <w:sz w:val="20"/>
                <w:szCs w:val="20"/>
                <w:lang w:eastAsia="en-US"/>
              </w:rPr>
            </w:pPr>
            <w:r w:rsidRPr="007114AF">
              <w:rPr>
                <w:rFonts w:ascii="Garamond" w:eastAsiaTheme="minorHAnsi" w:hAnsi="Garamond"/>
                <w:sz w:val="20"/>
                <w:szCs w:val="20"/>
                <w:lang w:eastAsia="en-US"/>
              </w:rPr>
              <w:t>1 = po</w:t>
            </w:r>
          </w:p>
        </w:tc>
        <w:tc>
          <w:tcPr>
            <w:tcW w:w="918" w:type="dxa"/>
            <w:vAlign w:val="center"/>
          </w:tcPr>
          <w:p w14:paraId="6EDD16EF" w14:textId="77777777" w:rsidR="002F4BDF" w:rsidRPr="007114AF" w:rsidRDefault="002F4BDF" w:rsidP="002F4BDF">
            <w:pPr>
              <w:spacing w:after="0" w:line="240" w:lineRule="auto"/>
              <w:jc w:val="left"/>
              <w:rPr>
                <w:rFonts w:ascii="Garamond" w:eastAsiaTheme="minorHAnsi" w:hAnsi="Garamond"/>
                <w:sz w:val="20"/>
                <w:szCs w:val="20"/>
                <w:lang w:eastAsia="en-US"/>
              </w:rPr>
            </w:pPr>
            <w:r w:rsidRPr="007114AF">
              <w:rPr>
                <w:rFonts w:ascii="Garamond" w:eastAsiaTheme="minorHAnsi" w:hAnsi="Garamond"/>
                <w:sz w:val="20"/>
                <w:szCs w:val="20"/>
                <w:lang w:eastAsia="en-US"/>
              </w:rPr>
              <w:t>1</w:t>
            </w:r>
          </w:p>
        </w:tc>
        <w:tc>
          <w:tcPr>
            <w:tcW w:w="3934" w:type="dxa"/>
          </w:tcPr>
          <w:p w14:paraId="6EDD16F0" w14:textId="77777777" w:rsidR="002F4BDF" w:rsidRPr="007114AF" w:rsidRDefault="002F4BDF" w:rsidP="002F4BDF">
            <w:pPr>
              <w:spacing w:after="0" w:line="240" w:lineRule="auto"/>
              <w:jc w:val="left"/>
              <w:rPr>
                <w:rFonts w:ascii="Garamond" w:eastAsiaTheme="minorHAnsi" w:hAnsi="Garamond"/>
                <w:sz w:val="20"/>
                <w:szCs w:val="20"/>
                <w:lang w:eastAsia="en-US"/>
              </w:rPr>
            </w:pPr>
            <w:r w:rsidRPr="007114AF">
              <w:rPr>
                <w:rFonts w:ascii="Garamond" w:eastAsiaTheme="minorHAnsi" w:hAnsi="Garamond"/>
                <w:sz w:val="20"/>
                <w:szCs w:val="20"/>
                <w:lang w:eastAsia="en-US"/>
              </w:rPr>
              <w:t xml:space="preserve">Duke pasur parasysh çështjet aktuale të huamarrjes, donatorët/financuesit që ofrojnë </w:t>
            </w:r>
            <w:r w:rsidRPr="007114AF">
              <w:rPr>
                <w:rFonts w:ascii="Garamond" w:eastAsiaTheme="minorHAnsi" w:hAnsi="Garamond"/>
                <w:sz w:val="20"/>
                <w:szCs w:val="20"/>
                <w:lang w:eastAsia="en-US"/>
              </w:rPr>
              <w:lastRenderedPageBreak/>
              <w:t>grante, kanë prioritet.</w:t>
            </w:r>
          </w:p>
        </w:tc>
      </w:tr>
      <w:tr w:rsidR="002F4BDF" w:rsidRPr="007114AF" w14:paraId="6EDD16F9" w14:textId="77777777" w:rsidTr="003305AE">
        <w:trPr>
          <w:trHeight w:val="469"/>
        </w:trPr>
        <w:tc>
          <w:tcPr>
            <w:tcW w:w="1206" w:type="dxa"/>
            <w:vAlign w:val="center"/>
          </w:tcPr>
          <w:p w14:paraId="6EDD16F2" w14:textId="77777777" w:rsidR="002F4BDF" w:rsidRPr="007114AF" w:rsidRDefault="002F4BDF" w:rsidP="002F4BDF">
            <w:pPr>
              <w:spacing w:after="0" w:line="240" w:lineRule="auto"/>
              <w:jc w:val="left"/>
              <w:rPr>
                <w:rFonts w:ascii="Garamond" w:eastAsiaTheme="minorHAnsi" w:hAnsi="Garamond"/>
                <w:sz w:val="20"/>
                <w:szCs w:val="20"/>
                <w:lang w:eastAsia="en-US"/>
              </w:rPr>
            </w:pPr>
            <w:r w:rsidRPr="007114AF">
              <w:rPr>
                <w:rFonts w:ascii="Garamond" w:eastAsiaTheme="minorHAnsi" w:hAnsi="Garamond"/>
                <w:sz w:val="20"/>
                <w:szCs w:val="20"/>
                <w:lang w:eastAsia="en-US"/>
              </w:rPr>
              <w:lastRenderedPageBreak/>
              <w:t>K</w:t>
            </w:r>
          </w:p>
        </w:tc>
        <w:tc>
          <w:tcPr>
            <w:tcW w:w="4167" w:type="dxa"/>
          </w:tcPr>
          <w:p w14:paraId="6EDD16F3" w14:textId="77777777" w:rsidR="002F4BDF" w:rsidRPr="007114AF" w:rsidRDefault="002F4BDF" w:rsidP="002F4BDF">
            <w:pPr>
              <w:spacing w:after="0" w:line="240" w:lineRule="auto"/>
              <w:jc w:val="left"/>
              <w:rPr>
                <w:rFonts w:ascii="Garamond" w:eastAsiaTheme="minorHAnsi" w:hAnsi="Garamond"/>
                <w:sz w:val="20"/>
                <w:szCs w:val="20"/>
                <w:lang w:eastAsia="en-US"/>
              </w:rPr>
            </w:pPr>
            <w:r w:rsidRPr="007114AF">
              <w:rPr>
                <w:rFonts w:ascii="Garamond" w:eastAsiaTheme="minorHAnsi" w:hAnsi="Garamond"/>
                <w:sz w:val="20"/>
                <w:szCs w:val="20"/>
                <w:lang w:eastAsia="en-US"/>
              </w:rPr>
              <w:t xml:space="preserve">A kërkon financuesi/investuesi bashkëfinancim? </w:t>
            </w:r>
          </w:p>
        </w:tc>
        <w:tc>
          <w:tcPr>
            <w:tcW w:w="1054" w:type="dxa"/>
            <w:vAlign w:val="center"/>
          </w:tcPr>
          <w:p w14:paraId="6EDD16F4" w14:textId="77777777" w:rsidR="002F4BDF" w:rsidRPr="007114AF" w:rsidRDefault="002F4BDF" w:rsidP="002F4BDF">
            <w:pPr>
              <w:spacing w:after="0" w:line="240" w:lineRule="auto"/>
              <w:jc w:val="left"/>
              <w:rPr>
                <w:rFonts w:ascii="Garamond" w:eastAsiaTheme="minorHAnsi" w:hAnsi="Garamond"/>
                <w:sz w:val="20"/>
                <w:szCs w:val="20"/>
                <w:lang w:eastAsia="en-US"/>
              </w:rPr>
            </w:pPr>
          </w:p>
        </w:tc>
        <w:tc>
          <w:tcPr>
            <w:tcW w:w="3409" w:type="dxa"/>
          </w:tcPr>
          <w:p w14:paraId="6EDD16F5" w14:textId="77777777" w:rsidR="002F4BDF" w:rsidRPr="007114AF" w:rsidRDefault="002F4BDF" w:rsidP="002F4BDF">
            <w:pPr>
              <w:spacing w:after="0" w:line="240" w:lineRule="auto"/>
              <w:jc w:val="left"/>
              <w:rPr>
                <w:rFonts w:ascii="Garamond" w:eastAsiaTheme="minorHAnsi" w:hAnsi="Garamond"/>
                <w:sz w:val="20"/>
                <w:szCs w:val="20"/>
                <w:lang w:eastAsia="en-US"/>
              </w:rPr>
            </w:pPr>
            <w:r w:rsidRPr="007114AF">
              <w:rPr>
                <w:rFonts w:ascii="Garamond" w:eastAsiaTheme="minorHAnsi" w:hAnsi="Garamond"/>
                <w:sz w:val="20"/>
                <w:szCs w:val="20"/>
                <w:lang w:eastAsia="en-US"/>
              </w:rPr>
              <w:t>0 = jo</w:t>
            </w:r>
          </w:p>
          <w:p w14:paraId="6EDD16F6" w14:textId="77777777" w:rsidR="002F4BDF" w:rsidRPr="007114AF" w:rsidRDefault="002F4BDF" w:rsidP="002F4BDF">
            <w:pPr>
              <w:spacing w:after="0" w:line="240" w:lineRule="auto"/>
              <w:jc w:val="left"/>
              <w:rPr>
                <w:rFonts w:ascii="Garamond" w:eastAsiaTheme="minorHAnsi" w:hAnsi="Garamond"/>
                <w:sz w:val="20"/>
                <w:szCs w:val="20"/>
                <w:lang w:eastAsia="en-US"/>
              </w:rPr>
            </w:pPr>
            <w:r w:rsidRPr="007114AF">
              <w:rPr>
                <w:rFonts w:ascii="Garamond" w:eastAsiaTheme="minorHAnsi" w:hAnsi="Garamond"/>
                <w:sz w:val="20"/>
                <w:szCs w:val="20"/>
                <w:lang w:eastAsia="en-US"/>
              </w:rPr>
              <w:t>1 = po</w:t>
            </w:r>
          </w:p>
        </w:tc>
        <w:tc>
          <w:tcPr>
            <w:tcW w:w="918" w:type="dxa"/>
            <w:vAlign w:val="center"/>
          </w:tcPr>
          <w:p w14:paraId="6EDD16F7" w14:textId="77777777" w:rsidR="002F4BDF" w:rsidRPr="007114AF" w:rsidRDefault="002F4BDF" w:rsidP="002F4BDF">
            <w:pPr>
              <w:spacing w:after="0" w:line="240" w:lineRule="auto"/>
              <w:jc w:val="left"/>
              <w:rPr>
                <w:rFonts w:ascii="Garamond" w:eastAsiaTheme="minorHAnsi" w:hAnsi="Garamond"/>
                <w:sz w:val="20"/>
                <w:szCs w:val="20"/>
                <w:lang w:eastAsia="en-US"/>
              </w:rPr>
            </w:pPr>
          </w:p>
        </w:tc>
        <w:tc>
          <w:tcPr>
            <w:tcW w:w="3934" w:type="dxa"/>
          </w:tcPr>
          <w:p w14:paraId="6EDD16F8" w14:textId="77777777" w:rsidR="002F4BDF" w:rsidRPr="007114AF" w:rsidRDefault="002F4BDF" w:rsidP="002F4BDF">
            <w:pPr>
              <w:spacing w:after="0" w:line="240" w:lineRule="auto"/>
              <w:jc w:val="left"/>
              <w:rPr>
                <w:rFonts w:ascii="Garamond" w:eastAsiaTheme="minorHAnsi" w:hAnsi="Garamond"/>
                <w:sz w:val="20"/>
                <w:szCs w:val="20"/>
                <w:lang w:eastAsia="en-US"/>
              </w:rPr>
            </w:pPr>
          </w:p>
        </w:tc>
      </w:tr>
      <w:tr w:rsidR="002F4BDF" w:rsidRPr="007114AF" w14:paraId="6EDD1702" w14:textId="77777777" w:rsidTr="003305AE">
        <w:tc>
          <w:tcPr>
            <w:tcW w:w="1206" w:type="dxa"/>
            <w:vAlign w:val="center"/>
          </w:tcPr>
          <w:p w14:paraId="6EDD16FA" w14:textId="77777777" w:rsidR="002F4BDF" w:rsidRPr="007114AF" w:rsidRDefault="002F4BDF" w:rsidP="002F4BDF">
            <w:pPr>
              <w:spacing w:after="0" w:line="240" w:lineRule="auto"/>
              <w:jc w:val="left"/>
              <w:rPr>
                <w:rFonts w:ascii="Garamond" w:eastAsiaTheme="minorHAnsi" w:hAnsi="Garamond"/>
                <w:sz w:val="20"/>
                <w:szCs w:val="20"/>
                <w:lang w:eastAsia="en-US"/>
              </w:rPr>
            </w:pPr>
            <w:r w:rsidRPr="007114AF">
              <w:rPr>
                <w:rFonts w:ascii="Garamond" w:eastAsiaTheme="minorHAnsi" w:hAnsi="Garamond"/>
                <w:sz w:val="20"/>
                <w:szCs w:val="20"/>
                <w:lang w:eastAsia="en-US"/>
              </w:rPr>
              <w:t>L</w:t>
            </w:r>
          </w:p>
        </w:tc>
        <w:tc>
          <w:tcPr>
            <w:tcW w:w="4167" w:type="dxa"/>
          </w:tcPr>
          <w:p w14:paraId="6EDD16FB" w14:textId="5B0627BA" w:rsidR="002F4BDF" w:rsidRPr="007114AF" w:rsidRDefault="002F4BDF" w:rsidP="002F4BDF">
            <w:pPr>
              <w:spacing w:after="0" w:line="240" w:lineRule="auto"/>
              <w:jc w:val="left"/>
              <w:rPr>
                <w:rFonts w:ascii="Garamond" w:eastAsiaTheme="minorHAnsi" w:hAnsi="Garamond"/>
                <w:sz w:val="20"/>
                <w:szCs w:val="20"/>
                <w:lang w:eastAsia="en-US"/>
              </w:rPr>
            </w:pPr>
            <w:r w:rsidRPr="007114AF">
              <w:rPr>
                <w:rFonts w:ascii="Garamond" w:eastAsiaTheme="minorHAnsi" w:hAnsi="Garamond"/>
                <w:sz w:val="20"/>
                <w:szCs w:val="20"/>
                <w:lang w:eastAsia="en-US"/>
              </w:rPr>
              <w:t>Shkalla e fokusit për përshtatjen në strategjinë e financimit (për Shqipërinë)</w:t>
            </w:r>
            <w:r w:rsidR="000A2A01" w:rsidRPr="007114AF">
              <w:rPr>
                <w:rFonts w:ascii="Garamond" w:eastAsiaTheme="minorHAnsi" w:hAnsi="Garamond"/>
                <w:sz w:val="20"/>
                <w:szCs w:val="20"/>
                <w:lang w:eastAsia="en-US"/>
              </w:rPr>
              <w:t xml:space="preserve"> </w:t>
            </w:r>
          </w:p>
        </w:tc>
        <w:tc>
          <w:tcPr>
            <w:tcW w:w="1054" w:type="dxa"/>
            <w:vAlign w:val="center"/>
          </w:tcPr>
          <w:p w14:paraId="6EDD16FC" w14:textId="77777777" w:rsidR="002F4BDF" w:rsidRPr="007114AF" w:rsidRDefault="002F4BDF" w:rsidP="002F4BDF">
            <w:pPr>
              <w:spacing w:after="0" w:line="240" w:lineRule="auto"/>
              <w:jc w:val="left"/>
              <w:rPr>
                <w:rFonts w:ascii="Garamond" w:eastAsiaTheme="minorHAnsi" w:hAnsi="Garamond"/>
                <w:sz w:val="20"/>
                <w:szCs w:val="20"/>
                <w:lang w:eastAsia="en-US"/>
              </w:rPr>
            </w:pPr>
            <w:r w:rsidRPr="007114AF">
              <w:rPr>
                <w:rFonts w:ascii="Garamond" w:eastAsiaTheme="minorHAnsi" w:hAnsi="Garamond"/>
                <w:sz w:val="20"/>
                <w:szCs w:val="20"/>
                <w:lang w:eastAsia="en-US"/>
              </w:rPr>
              <w:t>X</w:t>
            </w:r>
          </w:p>
        </w:tc>
        <w:tc>
          <w:tcPr>
            <w:tcW w:w="3409" w:type="dxa"/>
          </w:tcPr>
          <w:p w14:paraId="6EDD16FD" w14:textId="248C6D50" w:rsidR="002F4BDF" w:rsidRPr="007114AF" w:rsidRDefault="002F4BDF" w:rsidP="002F4BDF">
            <w:pPr>
              <w:spacing w:after="0" w:line="240" w:lineRule="auto"/>
              <w:jc w:val="left"/>
              <w:rPr>
                <w:rFonts w:ascii="Garamond" w:eastAsiaTheme="minorHAnsi" w:hAnsi="Garamond"/>
                <w:sz w:val="20"/>
                <w:szCs w:val="20"/>
                <w:lang w:eastAsia="en-US"/>
              </w:rPr>
            </w:pPr>
            <w:r w:rsidRPr="007114AF">
              <w:rPr>
                <w:rFonts w:ascii="Garamond" w:eastAsiaTheme="minorHAnsi" w:hAnsi="Garamond"/>
                <w:sz w:val="20"/>
                <w:szCs w:val="20"/>
                <w:lang w:eastAsia="en-US"/>
              </w:rPr>
              <w:t>0 = përshtatja nuk është marrë në konsideratë</w:t>
            </w:r>
            <w:r w:rsidR="000A2A01" w:rsidRPr="007114AF">
              <w:rPr>
                <w:rFonts w:ascii="Garamond" w:eastAsiaTheme="minorHAnsi" w:hAnsi="Garamond"/>
                <w:sz w:val="20"/>
                <w:szCs w:val="20"/>
                <w:lang w:eastAsia="en-US"/>
              </w:rPr>
              <w:t xml:space="preserve"> </w:t>
            </w:r>
          </w:p>
          <w:p w14:paraId="6EDD16FE" w14:textId="77777777" w:rsidR="002F4BDF" w:rsidRPr="007114AF" w:rsidRDefault="002F4BDF" w:rsidP="002F4BDF">
            <w:pPr>
              <w:spacing w:after="0" w:line="240" w:lineRule="auto"/>
              <w:jc w:val="left"/>
              <w:rPr>
                <w:rFonts w:ascii="Garamond" w:eastAsiaTheme="minorHAnsi" w:hAnsi="Garamond"/>
                <w:sz w:val="20"/>
                <w:szCs w:val="20"/>
                <w:lang w:eastAsia="en-US"/>
              </w:rPr>
            </w:pPr>
            <w:r w:rsidRPr="007114AF">
              <w:rPr>
                <w:rFonts w:ascii="Garamond" w:eastAsiaTheme="minorHAnsi" w:hAnsi="Garamond"/>
                <w:sz w:val="20"/>
                <w:szCs w:val="20"/>
                <w:lang w:eastAsia="en-US"/>
              </w:rPr>
              <w:t>1 = objektivat e përshtatjes nuk janë synuar qartë, por përmenden si bashkëpërfitim</w:t>
            </w:r>
          </w:p>
          <w:p w14:paraId="6EDD16FF" w14:textId="77777777" w:rsidR="002F4BDF" w:rsidRPr="007114AF" w:rsidRDefault="002F4BDF" w:rsidP="002F4BDF">
            <w:pPr>
              <w:spacing w:after="0" w:line="240" w:lineRule="auto"/>
              <w:jc w:val="left"/>
              <w:rPr>
                <w:rFonts w:ascii="Garamond" w:eastAsiaTheme="minorHAnsi" w:hAnsi="Garamond"/>
                <w:sz w:val="20"/>
                <w:szCs w:val="20"/>
                <w:lang w:eastAsia="en-US"/>
              </w:rPr>
            </w:pPr>
            <w:r w:rsidRPr="007114AF">
              <w:rPr>
                <w:rFonts w:ascii="Garamond" w:eastAsiaTheme="minorHAnsi" w:hAnsi="Garamond"/>
                <w:sz w:val="20"/>
                <w:szCs w:val="20"/>
                <w:lang w:eastAsia="en-US"/>
              </w:rPr>
              <w:t>2 = financimi fokusohet në objektivat e përshtatjes</w:t>
            </w:r>
          </w:p>
        </w:tc>
        <w:tc>
          <w:tcPr>
            <w:tcW w:w="918" w:type="dxa"/>
            <w:vAlign w:val="center"/>
          </w:tcPr>
          <w:p w14:paraId="6EDD1700" w14:textId="77777777" w:rsidR="002F4BDF" w:rsidRPr="007114AF" w:rsidRDefault="002F4BDF" w:rsidP="002F4BDF">
            <w:pPr>
              <w:spacing w:after="0" w:line="240" w:lineRule="auto"/>
              <w:jc w:val="left"/>
              <w:rPr>
                <w:rFonts w:ascii="Garamond" w:eastAsiaTheme="minorHAnsi" w:hAnsi="Garamond"/>
                <w:sz w:val="20"/>
                <w:szCs w:val="20"/>
                <w:lang w:eastAsia="en-US"/>
              </w:rPr>
            </w:pPr>
            <w:r w:rsidRPr="007114AF">
              <w:rPr>
                <w:rFonts w:ascii="Garamond" w:eastAsiaTheme="minorHAnsi" w:hAnsi="Garamond"/>
                <w:sz w:val="20"/>
                <w:szCs w:val="20"/>
                <w:lang w:eastAsia="en-US"/>
              </w:rPr>
              <w:t>1</w:t>
            </w:r>
          </w:p>
        </w:tc>
        <w:tc>
          <w:tcPr>
            <w:tcW w:w="3934" w:type="dxa"/>
          </w:tcPr>
          <w:p w14:paraId="6EDD1701" w14:textId="77777777" w:rsidR="002F4BDF" w:rsidRPr="007114AF" w:rsidRDefault="002F4BDF" w:rsidP="002F4BDF">
            <w:pPr>
              <w:spacing w:after="0" w:line="240" w:lineRule="auto"/>
              <w:jc w:val="left"/>
              <w:rPr>
                <w:rFonts w:ascii="Garamond" w:eastAsiaTheme="minorHAnsi" w:hAnsi="Garamond"/>
                <w:sz w:val="20"/>
                <w:szCs w:val="20"/>
                <w:lang w:eastAsia="en-US"/>
              </w:rPr>
            </w:pPr>
          </w:p>
        </w:tc>
      </w:tr>
      <w:tr w:rsidR="002F4BDF" w:rsidRPr="007114AF" w14:paraId="6EDD170D" w14:textId="77777777" w:rsidTr="003305AE">
        <w:tc>
          <w:tcPr>
            <w:tcW w:w="1206" w:type="dxa"/>
            <w:vAlign w:val="center"/>
          </w:tcPr>
          <w:p w14:paraId="6EDD1703" w14:textId="77777777" w:rsidR="002F4BDF" w:rsidRPr="007114AF" w:rsidRDefault="002F4BDF" w:rsidP="002F4BDF">
            <w:pPr>
              <w:spacing w:after="0" w:line="240" w:lineRule="auto"/>
              <w:jc w:val="left"/>
              <w:rPr>
                <w:rFonts w:ascii="Garamond" w:eastAsiaTheme="minorHAnsi" w:hAnsi="Garamond"/>
                <w:sz w:val="20"/>
                <w:szCs w:val="20"/>
                <w:lang w:eastAsia="en-US"/>
              </w:rPr>
            </w:pPr>
            <w:r w:rsidRPr="007114AF">
              <w:rPr>
                <w:rFonts w:ascii="Garamond" w:eastAsiaTheme="minorHAnsi" w:hAnsi="Garamond"/>
                <w:sz w:val="20"/>
                <w:szCs w:val="20"/>
                <w:lang w:eastAsia="en-US"/>
              </w:rPr>
              <w:t>M</w:t>
            </w:r>
          </w:p>
        </w:tc>
        <w:tc>
          <w:tcPr>
            <w:tcW w:w="4167" w:type="dxa"/>
          </w:tcPr>
          <w:p w14:paraId="6EDD1704" w14:textId="77777777" w:rsidR="002F4BDF" w:rsidRPr="007114AF" w:rsidRDefault="002F4BDF" w:rsidP="002F4BDF">
            <w:pPr>
              <w:spacing w:after="0" w:line="240" w:lineRule="auto"/>
              <w:jc w:val="left"/>
              <w:rPr>
                <w:rFonts w:ascii="Garamond" w:eastAsiaTheme="minorHAnsi" w:hAnsi="Garamond"/>
                <w:sz w:val="20"/>
                <w:szCs w:val="20"/>
                <w:lang w:eastAsia="en-US"/>
              </w:rPr>
            </w:pPr>
            <w:r w:rsidRPr="007114AF">
              <w:rPr>
                <w:rFonts w:ascii="Garamond" w:eastAsiaTheme="minorHAnsi" w:hAnsi="Garamond"/>
                <w:sz w:val="20"/>
                <w:szCs w:val="20"/>
                <w:lang w:eastAsia="en-US"/>
              </w:rPr>
              <w:t>Madhësia e fondeve potencialisht të disponueshme (duke marrë gjithashtu parasysh shumat e mëparshme të financimit).</w:t>
            </w:r>
          </w:p>
        </w:tc>
        <w:tc>
          <w:tcPr>
            <w:tcW w:w="1054" w:type="dxa"/>
            <w:vAlign w:val="center"/>
          </w:tcPr>
          <w:p w14:paraId="6EDD1705" w14:textId="77777777" w:rsidR="002F4BDF" w:rsidRPr="007114AF" w:rsidRDefault="002F4BDF" w:rsidP="002F4BDF">
            <w:pPr>
              <w:spacing w:after="0" w:line="240" w:lineRule="auto"/>
              <w:jc w:val="left"/>
              <w:rPr>
                <w:rFonts w:ascii="Garamond" w:eastAsiaTheme="minorHAnsi" w:hAnsi="Garamond"/>
                <w:sz w:val="20"/>
                <w:szCs w:val="20"/>
                <w:lang w:eastAsia="en-US"/>
              </w:rPr>
            </w:pPr>
            <w:r w:rsidRPr="007114AF">
              <w:rPr>
                <w:rFonts w:ascii="Garamond" w:eastAsiaTheme="minorHAnsi" w:hAnsi="Garamond"/>
                <w:sz w:val="20"/>
                <w:szCs w:val="20"/>
                <w:lang w:eastAsia="en-US"/>
              </w:rPr>
              <w:t>X</w:t>
            </w:r>
          </w:p>
        </w:tc>
        <w:tc>
          <w:tcPr>
            <w:tcW w:w="3409" w:type="dxa"/>
          </w:tcPr>
          <w:p w14:paraId="6EDD1706" w14:textId="77777777" w:rsidR="002F4BDF" w:rsidRPr="007114AF" w:rsidRDefault="002F4BDF" w:rsidP="002F4BDF">
            <w:pPr>
              <w:spacing w:after="0" w:line="240" w:lineRule="auto"/>
              <w:jc w:val="left"/>
              <w:rPr>
                <w:rFonts w:ascii="Garamond" w:eastAsiaTheme="minorHAnsi" w:hAnsi="Garamond"/>
                <w:sz w:val="20"/>
                <w:szCs w:val="20"/>
                <w:lang w:eastAsia="en-US"/>
              </w:rPr>
            </w:pPr>
            <w:r w:rsidRPr="007114AF">
              <w:rPr>
                <w:rFonts w:ascii="Garamond" w:eastAsiaTheme="minorHAnsi" w:hAnsi="Garamond"/>
                <w:sz w:val="20"/>
                <w:szCs w:val="20"/>
                <w:lang w:eastAsia="en-US"/>
              </w:rPr>
              <w:t>1= &lt; 100.000 USD</w:t>
            </w:r>
          </w:p>
          <w:p w14:paraId="6EDD1707" w14:textId="7B3C75F7" w:rsidR="002F4BDF" w:rsidRPr="007114AF" w:rsidRDefault="002F4BDF" w:rsidP="002F4BDF">
            <w:pPr>
              <w:spacing w:after="0" w:line="240" w:lineRule="auto"/>
              <w:jc w:val="left"/>
              <w:rPr>
                <w:rFonts w:ascii="Garamond" w:eastAsiaTheme="minorHAnsi" w:hAnsi="Garamond"/>
                <w:sz w:val="20"/>
                <w:szCs w:val="20"/>
                <w:lang w:eastAsia="en-US"/>
              </w:rPr>
            </w:pPr>
            <w:r w:rsidRPr="007114AF">
              <w:rPr>
                <w:rFonts w:ascii="Garamond" w:eastAsiaTheme="minorHAnsi" w:hAnsi="Garamond"/>
                <w:sz w:val="20"/>
                <w:szCs w:val="20"/>
                <w:lang w:eastAsia="en-US"/>
              </w:rPr>
              <w:t xml:space="preserve">2= 100.000 – 1 </w:t>
            </w:r>
            <w:r w:rsidR="001C47F0" w:rsidRPr="007114AF">
              <w:rPr>
                <w:rFonts w:ascii="Garamond" w:eastAsiaTheme="minorHAnsi" w:hAnsi="Garamond"/>
                <w:sz w:val="20"/>
                <w:szCs w:val="20"/>
                <w:lang w:eastAsia="en-US"/>
              </w:rPr>
              <w:t xml:space="preserve">milion </w:t>
            </w:r>
            <w:r w:rsidRPr="007114AF">
              <w:rPr>
                <w:rFonts w:ascii="Garamond" w:eastAsiaTheme="minorHAnsi" w:hAnsi="Garamond"/>
                <w:sz w:val="20"/>
                <w:szCs w:val="20"/>
                <w:lang w:eastAsia="en-US"/>
              </w:rPr>
              <w:t>USD</w:t>
            </w:r>
          </w:p>
          <w:p w14:paraId="6EDD1708" w14:textId="59866B9B" w:rsidR="002F4BDF" w:rsidRPr="007114AF" w:rsidRDefault="002F4BDF" w:rsidP="002F4BDF">
            <w:pPr>
              <w:spacing w:after="0" w:line="240" w:lineRule="auto"/>
              <w:jc w:val="left"/>
              <w:rPr>
                <w:rFonts w:ascii="Garamond" w:eastAsiaTheme="minorHAnsi" w:hAnsi="Garamond"/>
                <w:sz w:val="20"/>
                <w:szCs w:val="20"/>
                <w:lang w:eastAsia="en-US"/>
              </w:rPr>
            </w:pPr>
            <w:r w:rsidRPr="007114AF">
              <w:rPr>
                <w:rFonts w:ascii="Garamond" w:eastAsiaTheme="minorHAnsi" w:hAnsi="Garamond"/>
                <w:sz w:val="20"/>
                <w:szCs w:val="20"/>
                <w:lang w:eastAsia="en-US"/>
              </w:rPr>
              <w:t xml:space="preserve">3= &gt; 1 </w:t>
            </w:r>
            <w:r w:rsidR="001C47F0" w:rsidRPr="007114AF">
              <w:rPr>
                <w:rFonts w:ascii="Garamond" w:eastAsiaTheme="minorHAnsi" w:hAnsi="Garamond"/>
                <w:sz w:val="20"/>
                <w:szCs w:val="20"/>
                <w:lang w:eastAsia="en-US"/>
              </w:rPr>
              <w:t xml:space="preserve">milion </w:t>
            </w:r>
            <w:r w:rsidRPr="007114AF">
              <w:rPr>
                <w:rFonts w:ascii="Garamond" w:eastAsiaTheme="minorHAnsi" w:hAnsi="Garamond"/>
                <w:sz w:val="20"/>
                <w:szCs w:val="20"/>
                <w:lang w:eastAsia="en-US"/>
              </w:rPr>
              <w:t>USD</w:t>
            </w:r>
          </w:p>
          <w:p w14:paraId="6EDD1709" w14:textId="1361CF13" w:rsidR="002F4BDF" w:rsidRPr="007114AF" w:rsidRDefault="002F4BDF" w:rsidP="002F4BDF">
            <w:pPr>
              <w:spacing w:after="0" w:line="240" w:lineRule="auto"/>
              <w:jc w:val="left"/>
              <w:rPr>
                <w:rFonts w:ascii="Garamond" w:eastAsiaTheme="minorHAnsi" w:hAnsi="Garamond"/>
                <w:sz w:val="20"/>
                <w:szCs w:val="20"/>
                <w:lang w:eastAsia="en-US"/>
              </w:rPr>
            </w:pPr>
            <w:r w:rsidRPr="007114AF">
              <w:rPr>
                <w:rFonts w:ascii="Garamond" w:eastAsiaTheme="minorHAnsi" w:hAnsi="Garamond"/>
                <w:sz w:val="20"/>
                <w:szCs w:val="20"/>
                <w:lang w:eastAsia="en-US"/>
              </w:rPr>
              <w:t xml:space="preserve">4= &gt; 3 </w:t>
            </w:r>
            <w:r w:rsidR="001C47F0" w:rsidRPr="007114AF">
              <w:rPr>
                <w:rFonts w:ascii="Garamond" w:eastAsiaTheme="minorHAnsi" w:hAnsi="Garamond"/>
                <w:sz w:val="20"/>
                <w:szCs w:val="20"/>
                <w:lang w:eastAsia="en-US"/>
              </w:rPr>
              <w:t xml:space="preserve">milionë </w:t>
            </w:r>
            <w:r w:rsidRPr="007114AF">
              <w:rPr>
                <w:rFonts w:ascii="Garamond" w:eastAsiaTheme="minorHAnsi" w:hAnsi="Garamond"/>
                <w:sz w:val="20"/>
                <w:szCs w:val="20"/>
                <w:lang w:eastAsia="en-US"/>
              </w:rPr>
              <w:t xml:space="preserve">USD </w:t>
            </w:r>
          </w:p>
        </w:tc>
        <w:tc>
          <w:tcPr>
            <w:tcW w:w="918" w:type="dxa"/>
            <w:vAlign w:val="center"/>
          </w:tcPr>
          <w:p w14:paraId="6EDD170A" w14:textId="77777777" w:rsidR="002F4BDF" w:rsidRPr="007114AF" w:rsidRDefault="002F4BDF" w:rsidP="002F4BDF">
            <w:pPr>
              <w:spacing w:after="0" w:line="240" w:lineRule="auto"/>
              <w:jc w:val="left"/>
              <w:rPr>
                <w:rFonts w:ascii="Garamond" w:eastAsiaTheme="minorHAnsi" w:hAnsi="Garamond"/>
                <w:sz w:val="20"/>
                <w:szCs w:val="20"/>
                <w:lang w:eastAsia="en-US"/>
              </w:rPr>
            </w:pPr>
            <w:r w:rsidRPr="007114AF">
              <w:rPr>
                <w:rFonts w:ascii="Garamond" w:eastAsiaTheme="minorHAnsi" w:hAnsi="Garamond"/>
                <w:sz w:val="20"/>
                <w:szCs w:val="20"/>
                <w:lang w:eastAsia="en-US"/>
              </w:rPr>
              <w:t>0.5</w:t>
            </w:r>
          </w:p>
          <w:p w14:paraId="6EDD170B" w14:textId="77777777" w:rsidR="002F4BDF" w:rsidRPr="007114AF" w:rsidRDefault="002F4BDF" w:rsidP="002F4BDF">
            <w:pPr>
              <w:spacing w:after="0" w:line="240" w:lineRule="auto"/>
              <w:jc w:val="left"/>
              <w:rPr>
                <w:rFonts w:ascii="Garamond" w:eastAsiaTheme="minorHAnsi" w:hAnsi="Garamond"/>
                <w:sz w:val="20"/>
                <w:szCs w:val="20"/>
                <w:lang w:eastAsia="en-US"/>
              </w:rPr>
            </w:pPr>
          </w:p>
        </w:tc>
        <w:tc>
          <w:tcPr>
            <w:tcW w:w="3934" w:type="dxa"/>
          </w:tcPr>
          <w:p w14:paraId="6EDD170C" w14:textId="77777777" w:rsidR="002F4BDF" w:rsidRPr="007114AF" w:rsidRDefault="002F4BDF" w:rsidP="002F4BDF">
            <w:pPr>
              <w:spacing w:after="0" w:line="240" w:lineRule="auto"/>
              <w:jc w:val="left"/>
              <w:rPr>
                <w:rFonts w:ascii="Garamond" w:eastAsiaTheme="minorHAnsi" w:hAnsi="Garamond"/>
                <w:sz w:val="20"/>
                <w:szCs w:val="20"/>
                <w:lang w:eastAsia="en-US"/>
              </w:rPr>
            </w:pPr>
            <w:r w:rsidRPr="007114AF">
              <w:rPr>
                <w:rFonts w:ascii="Garamond" w:eastAsiaTheme="minorHAnsi" w:hAnsi="Garamond"/>
                <w:sz w:val="20"/>
                <w:szCs w:val="20"/>
                <w:lang w:eastAsia="en-US"/>
              </w:rPr>
              <w:t xml:space="preserve">Në veçanti, fondet/investuesit që janë </w:t>
            </w:r>
          </w:p>
        </w:tc>
      </w:tr>
      <w:tr w:rsidR="002F4BDF" w:rsidRPr="007114AF" w14:paraId="6EDD1715" w14:textId="77777777" w:rsidTr="003305AE">
        <w:tc>
          <w:tcPr>
            <w:tcW w:w="1206" w:type="dxa"/>
            <w:vAlign w:val="center"/>
          </w:tcPr>
          <w:p w14:paraId="6EDD170E" w14:textId="77777777" w:rsidR="002F4BDF" w:rsidRPr="007114AF" w:rsidRDefault="002F4BDF" w:rsidP="002F4BDF">
            <w:pPr>
              <w:spacing w:after="0" w:line="240" w:lineRule="auto"/>
              <w:jc w:val="left"/>
              <w:rPr>
                <w:rFonts w:ascii="Garamond" w:eastAsiaTheme="minorHAnsi" w:hAnsi="Garamond"/>
                <w:sz w:val="20"/>
                <w:szCs w:val="20"/>
                <w:lang w:eastAsia="en-US"/>
              </w:rPr>
            </w:pPr>
            <w:r w:rsidRPr="007114AF">
              <w:rPr>
                <w:rFonts w:ascii="Garamond" w:eastAsiaTheme="minorHAnsi" w:hAnsi="Garamond"/>
                <w:sz w:val="20"/>
                <w:szCs w:val="20"/>
                <w:lang w:eastAsia="en-US"/>
              </w:rPr>
              <w:t>N</w:t>
            </w:r>
          </w:p>
        </w:tc>
        <w:tc>
          <w:tcPr>
            <w:tcW w:w="4167" w:type="dxa"/>
          </w:tcPr>
          <w:p w14:paraId="6EDD170F" w14:textId="77777777" w:rsidR="002F4BDF" w:rsidRPr="007114AF" w:rsidRDefault="002F4BDF" w:rsidP="002F4BDF">
            <w:pPr>
              <w:spacing w:after="0" w:line="240" w:lineRule="auto"/>
              <w:jc w:val="left"/>
              <w:rPr>
                <w:rFonts w:ascii="Garamond" w:eastAsiaTheme="minorHAnsi" w:hAnsi="Garamond"/>
                <w:sz w:val="20"/>
                <w:szCs w:val="20"/>
                <w:lang w:eastAsia="en-US"/>
              </w:rPr>
            </w:pPr>
            <w:r w:rsidRPr="007114AF">
              <w:rPr>
                <w:rFonts w:ascii="Garamond" w:eastAsiaTheme="minorHAnsi" w:hAnsi="Garamond"/>
                <w:sz w:val="20"/>
                <w:szCs w:val="20"/>
                <w:lang w:eastAsia="en-US"/>
              </w:rPr>
              <w:t>A siguron fondi/investuesi fonde/mbështetje për përgatitjen e projektit?</w:t>
            </w:r>
          </w:p>
        </w:tc>
        <w:tc>
          <w:tcPr>
            <w:tcW w:w="1054" w:type="dxa"/>
            <w:vAlign w:val="center"/>
          </w:tcPr>
          <w:p w14:paraId="6EDD1710" w14:textId="77777777" w:rsidR="002F4BDF" w:rsidRPr="007114AF" w:rsidRDefault="002F4BDF" w:rsidP="002F4BDF">
            <w:pPr>
              <w:spacing w:after="0" w:line="240" w:lineRule="auto"/>
              <w:jc w:val="left"/>
              <w:rPr>
                <w:rFonts w:ascii="Garamond" w:eastAsiaTheme="minorHAnsi" w:hAnsi="Garamond"/>
                <w:sz w:val="20"/>
                <w:szCs w:val="20"/>
                <w:lang w:eastAsia="en-US"/>
              </w:rPr>
            </w:pPr>
          </w:p>
        </w:tc>
        <w:tc>
          <w:tcPr>
            <w:tcW w:w="3409" w:type="dxa"/>
          </w:tcPr>
          <w:p w14:paraId="6EDD1711" w14:textId="77777777" w:rsidR="002F4BDF" w:rsidRPr="007114AF" w:rsidRDefault="002F4BDF" w:rsidP="002F4BDF">
            <w:pPr>
              <w:spacing w:after="0" w:line="240" w:lineRule="auto"/>
              <w:jc w:val="left"/>
              <w:rPr>
                <w:rFonts w:ascii="Garamond" w:eastAsiaTheme="minorHAnsi" w:hAnsi="Garamond"/>
                <w:sz w:val="20"/>
                <w:szCs w:val="20"/>
                <w:lang w:eastAsia="en-US"/>
              </w:rPr>
            </w:pPr>
            <w:r w:rsidRPr="007114AF">
              <w:rPr>
                <w:rFonts w:ascii="Garamond" w:eastAsiaTheme="minorHAnsi" w:hAnsi="Garamond"/>
                <w:sz w:val="20"/>
                <w:szCs w:val="20"/>
                <w:lang w:eastAsia="en-US"/>
              </w:rPr>
              <w:t>0 = jo</w:t>
            </w:r>
          </w:p>
          <w:p w14:paraId="6EDD1712" w14:textId="77777777" w:rsidR="002F4BDF" w:rsidRPr="007114AF" w:rsidRDefault="002F4BDF" w:rsidP="002F4BDF">
            <w:pPr>
              <w:spacing w:after="0" w:line="240" w:lineRule="auto"/>
              <w:jc w:val="left"/>
              <w:rPr>
                <w:rFonts w:ascii="Garamond" w:eastAsiaTheme="minorHAnsi" w:hAnsi="Garamond"/>
                <w:sz w:val="20"/>
                <w:szCs w:val="20"/>
                <w:lang w:eastAsia="en-US"/>
              </w:rPr>
            </w:pPr>
            <w:r w:rsidRPr="007114AF">
              <w:rPr>
                <w:rFonts w:ascii="Garamond" w:eastAsiaTheme="minorHAnsi" w:hAnsi="Garamond"/>
                <w:sz w:val="20"/>
                <w:szCs w:val="20"/>
                <w:lang w:eastAsia="en-US"/>
              </w:rPr>
              <w:t>1 = po</w:t>
            </w:r>
          </w:p>
        </w:tc>
        <w:tc>
          <w:tcPr>
            <w:tcW w:w="918" w:type="dxa"/>
            <w:vAlign w:val="center"/>
          </w:tcPr>
          <w:p w14:paraId="6EDD1713" w14:textId="77777777" w:rsidR="002F4BDF" w:rsidRPr="007114AF" w:rsidRDefault="002F4BDF" w:rsidP="002F4BDF">
            <w:pPr>
              <w:spacing w:after="0" w:line="240" w:lineRule="auto"/>
              <w:jc w:val="left"/>
              <w:rPr>
                <w:rFonts w:ascii="Garamond" w:eastAsiaTheme="minorHAnsi" w:hAnsi="Garamond"/>
                <w:sz w:val="20"/>
                <w:szCs w:val="20"/>
                <w:lang w:eastAsia="en-US"/>
              </w:rPr>
            </w:pPr>
          </w:p>
        </w:tc>
        <w:tc>
          <w:tcPr>
            <w:tcW w:w="3934" w:type="dxa"/>
          </w:tcPr>
          <w:p w14:paraId="6EDD1714" w14:textId="77777777" w:rsidR="002F4BDF" w:rsidRPr="007114AF" w:rsidRDefault="002F4BDF" w:rsidP="002F4BDF">
            <w:pPr>
              <w:spacing w:after="0" w:line="240" w:lineRule="auto"/>
              <w:jc w:val="left"/>
              <w:rPr>
                <w:rFonts w:ascii="Garamond" w:eastAsiaTheme="minorHAnsi" w:hAnsi="Garamond"/>
                <w:sz w:val="20"/>
                <w:szCs w:val="20"/>
                <w:lang w:eastAsia="en-US"/>
              </w:rPr>
            </w:pPr>
          </w:p>
        </w:tc>
      </w:tr>
      <w:tr w:rsidR="002F4BDF" w:rsidRPr="007114AF" w14:paraId="6EDD171D" w14:textId="77777777" w:rsidTr="003305AE">
        <w:tc>
          <w:tcPr>
            <w:tcW w:w="1206" w:type="dxa"/>
            <w:vAlign w:val="center"/>
          </w:tcPr>
          <w:p w14:paraId="6EDD1716" w14:textId="77777777" w:rsidR="002F4BDF" w:rsidRPr="007114AF" w:rsidRDefault="002F4BDF" w:rsidP="002F4BDF">
            <w:pPr>
              <w:spacing w:after="0" w:line="240" w:lineRule="auto"/>
              <w:jc w:val="left"/>
              <w:rPr>
                <w:rFonts w:ascii="Garamond" w:eastAsiaTheme="minorHAnsi" w:hAnsi="Garamond"/>
                <w:sz w:val="20"/>
                <w:szCs w:val="20"/>
                <w:lang w:eastAsia="en-US"/>
              </w:rPr>
            </w:pPr>
            <w:r w:rsidRPr="007114AF">
              <w:rPr>
                <w:rFonts w:ascii="Garamond" w:eastAsiaTheme="minorHAnsi" w:hAnsi="Garamond"/>
                <w:sz w:val="20"/>
                <w:szCs w:val="20"/>
                <w:lang w:eastAsia="en-US"/>
              </w:rPr>
              <w:t>R</w:t>
            </w:r>
          </w:p>
        </w:tc>
        <w:tc>
          <w:tcPr>
            <w:tcW w:w="4167" w:type="dxa"/>
          </w:tcPr>
          <w:p w14:paraId="6EDD1717" w14:textId="77777777" w:rsidR="002F4BDF" w:rsidRPr="007114AF" w:rsidRDefault="002F4BDF" w:rsidP="002F4BDF">
            <w:pPr>
              <w:spacing w:after="0" w:line="240" w:lineRule="auto"/>
              <w:jc w:val="left"/>
              <w:rPr>
                <w:rFonts w:ascii="Garamond" w:eastAsiaTheme="minorHAnsi" w:hAnsi="Garamond"/>
                <w:sz w:val="20"/>
                <w:szCs w:val="20"/>
                <w:lang w:eastAsia="en-US"/>
              </w:rPr>
            </w:pPr>
            <w:r w:rsidRPr="007114AF">
              <w:rPr>
                <w:rFonts w:ascii="Garamond" w:eastAsiaTheme="minorHAnsi" w:hAnsi="Garamond"/>
                <w:sz w:val="20"/>
                <w:szCs w:val="20"/>
                <w:lang w:eastAsia="en-US"/>
              </w:rPr>
              <w:t>A siguron fondi/investuesi financim për projektet e investimit?</w:t>
            </w:r>
          </w:p>
        </w:tc>
        <w:tc>
          <w:tcPr>
            <w:tcW w:w="1054" w:type="dxa"/>
            <w:vAlign w:val="center"/>
          </w:tcPr>
          <w:p w14:paraId="6EDD1718" w14:textId="77777777" w:rsidR="002F4BDF" w:rsidRPr="007114AF" w:rsidRDefault="002F4BDF" w:rsidP="002F4BDF">
            <w:pPr>
              <w:spacing w:after="0" w:line="240" w:lineRule="auto"/>
              <w:jc w:val="left"/>
              <w:rPr>
                <w:rFonts w:ascii="Garamond" w:eastAsiaTheme="minorHAnsi" w:hAnsi="Garamond"/>
                <w:sz w:val="20"/>
                <w:szCs w:val="20"/>
                <w:lang w:eastAsia="en-US"/>
              </w:rPr>
            </w:pPr>
            <w:r w:rsidRPr="007114AF">
              <w:rPr>
                <w:rFonts w:ascii="Garamond" w:eastAsiaTheme="minorHAnsi" w:hAnsi="Garamond"/>
                <w:sz w:val="20"/>
                <w:szCs w:val="20"/>
                <w:lang w:eastAsia="en-US"/>
              </w:rPr>
              <w:t>X</w:t>
            </w:r>
          </w:p>
        </w:tc>
        <w:tc>
          <w:tcPr>
            <w:tcW w:w="3409" w:type="dxa"/>
          </w:tcPr>
          <w:p w14:paraId="6EDD1719" w14:textId="77777777" w:rsidR="002F4BDF" w:rsidRPr="007114AF" w:rsidRDefault="002F4BDF" w:rsidP="002F4BDF">
            <w:pPr>
              <w:spacing w:after="0" w:line="240" w:lineRule="auto"/>
              <w:jc w:val="left"/>
              <w:rPr>
                <w:rFonts w:ascii="Garamond" w:eastAsiaTheme="minorHAnsi" w:hAnsi="Garamond"/>
                <w:sz w:val="20"/>
                <w:szCs w:val="20"/>
                <w:lang w:eastAsia="en-US"/>
              </w:rPr>
            </w:pPr>
            <w:r w:rsidRPr="007114AF">
              <w:rPr>
                <w:rFonts w:ascii="Garamond" w:eastAsiaTheme="minorHAnsi" w:hAnsi="Garamond"/>
                <w:sz w:val="20"/>
                <w:szCs w:val="20"/>
                <w:lang w:eastAsia="en-US"/>
              </w:rPr>
              <w:t>0 = jo</w:t>
            </w:r>
          </w:p>
          <w:p w14:paraId="6EDD171A" w14:textId="77777777" w:rsidR="002F4BDF" w:rsidRPr="007114AF" w:rsidRDefault="002F4BDF" w:rsidP="002F4BDF">
            <w:pPr>
              <w:spacing w:after="0" w:line="240" w:lineRule="auto"/>
              <w:jc w:val="left"/>
              <w:rPr>
                <w:rFonts w:ascii="Garamond" w:eastAsiaTheme="minorHAnsi" w:hAnsi="Garamond"/>
                <w:sz w:val="20"/>
                <w:szCs w:val="20"/>
                <w:lang w:eastAsia="en-US"/>
              </w:rPr>
            </w:pPr>
            <w:r w:rsidRPr="007114AF">
              <w:rPr>
                <w:rFonts w:ascii="Garamond" w:eastAsiaTheme="minorHAnsi" w:hAnsi="Garamond"/>
                <w:sz w:val="20"/>
                <w:szCs w:val="20"/>
                <w:lang w:eastAsia="en-US"/>
              </w:rPr>
              <w:t>1 = po</w:t>
            </w:r>
          </w:p>
        </w:tc>
        <w:tc>
          <w:tcPr>
            <w:tcW w:w="918" w:type="dxa"/>
            <w:vAlign w:val="center"/>
          </w:tcPr>
          <w:p w14:paraId="6EDD171B" w14:textId="77777777" w:rsidR="002F4BDF" w:rsidRPr="007114AF" w:rsidRDefault="002F4BDF" w:rsidP="002F4BDF">
            <w:pPr>
              <w:spacing w:after="0" w:line="240" w:lineRule="auto"/>
              <w:jc w:val="left"/>
              <w:rPr>
                <w:rFonts w:ascii="Garamond" w:eastAsiaTheme="minorHAnsi" w:hAnsi="Garamond"/>
                <w:sz w:val="20"/>
                <w:szCs w:val="20"/>
                <w:lang w:eastAsia="en-US"/>
              </w:rPr>
            </w:pPr>
            <w:r w:rsidRPr="007114AF">
              <w:rPr>
                <w:rFonts w:ascii="Garamond" w:eastAsiaTheme="minorHAnsi" w:hAnsi="Garamond"/>
                <w:sz w:val="20"/>
                <w:szCs w:val="20"/>
                <w:lang w:eastAsia="en-US"/>
              </w:rPr>
              <w:t>1</w:t>
            </w:r>
          </w:p>
        </w:tc>
        <w:tc>
          <w:tcPr>
            <w:tcW w:w="3934" w:type="dxa"/>
          </w:tcPr>
          <w:p w14:paraId="6EDD171C" w14:textId="77777777" w:rsidR="002F4BDF" w:rsidRPr="007114AF" w:rsidRDefault="002F4BDF" w:rsidP="002F4BDF">
            <w:pPr>
              <w:spacing w:after="0" w:line="240" w:lineRule="auto"/>
              <w:jc w:val="left"/>
              <w:rPr>
                <w:rFonts w:ascii="Garamond" w:eastAsiaTheme="minorHAnsi" w:hAnsi="Garamond"/>
                <w:sz w:val="20"/>
                <w:szCs w:val="20"/>
                <w:lang w:eastAsia="en-US"/>
              </w:rPr>
            </w:pPr>
            <w:r w:rsidRPr="007114AF">
              <w:rPr>
                <w:rFonts w:ascii="Garamond" w:eastAsiaTheme="minorHAnsi" w:hAnsi="Garamond"/>
                <w:sz w:val="20"/>
                <w:szCs w:val="20"/>
                <w:lang w:eastAsia="en-US"/>
              </w:rPr>
              <w:t>Në funksion të PA 8-15</w:t>
            </w:r>
          </w:p>
        </w:tc>
      </w:tr>
      <w:tr w:rsidR="002F4BDF" w:rsidRPr="007114AF" w14:paraId="6EDD1725" w14:textId="77777777" w:rsidTr="003305AE">
        <w:tc>
          <w:tcPr>
            <w:tcW w:w="1206" w:type="dxa"/>
            <w:vAlign w:val="center"/>
          </w:tcPr>
          <w:p w14:paraId="6EDD171E" w14:textId="77777777" w:rsidR="002F4BDF" w:rsidRPr="007114AF" w:rsidRDefault="002F4BDF" w:rsidP="002F4BDF">
            <w:pPr>
              <w:spacing w:after="0" w:line="240" w:lineRule="auto"/>
              <w:jc w:val="left"/>
              <w:rPr>
                <w:rFonts w:ascii="Garamond" w:eastAsiaTheme="minorHAnsi" w:hAnsi="Garamond"/>
                <w:sz w:val="20"/>
                <w:szCs w:val="20"/>
                <w:lang w:eastAsia="en-US"/>
              </w:rPr>
            </w:pPr>
            <w:r w:rsidRPr="007114AF">
              <w:rPr>
                <w:rFonts w:ascii="Garamond" w:eastAsiaTheme="minorHAnsi" w:hAnsi="Garamond"/>
                <w:sz w:val="20"/>
                <w:szCs w:val="20"/>
                <w:lang w:eastAsia="en-US"/>
              </w:rPr>
              <w:t>P</w:t>
            </w:r>
          </w:p>
        </w:tc>
        <w:tc>
          <w:tcPr>
            <w:tcW w:w="4167" w:type="dxa"/>
          </w:tcPr>
          <w:p w14:paraId="6EDD171F" w14:textId="77777777" w:rsidR="002F4BDF" w:rsidRPr="007114AF" w:rsidRDefault="002F4BDF" w:rsidP="002F4BDF">
            <w:pPr>
              <w:spacing w:after="0" w:line="240" w:lineRule="auto"/>
              <w:jc w:val="left"/>
              <w:rPr>
                <w:rFonts w:ascii="Garamond" w:eastAsiaTheme="minorHAnsi" w:hAnsi="Garamond"/>
                <w:sz w:val="20"/>
                <w:szCs w:val="20"/>
                <w:lang w:eastAsia="en-US"/>
              </w:rPr>
            </w:pPr>
            <w:r w:rsidRPr="007114AF">
              <w:rPr>
                <w:rFonts w:ascii="Garamond" w:eastAsiaTheme="minorHAnsi" w:hAnsi="Garamond"/>
                <w:sz w:val="20"/>
                <w:szCs w:val="20"/>
                <w:lang w:eastAsia="en-US"/>
              </w:rPr>
              <w:t>A siguron fondi/investuesi financim për asistencën teknike?</w:t>
            </w:r>
          </w:p>
        </w:tc>
        <w:tc>
          <w:tcPr>
            <w:tcW w:w="1054" w:type="dxa"/>
            <w:vAlign w:val="center"/>
          </w:tcPr>
          <w:p w14:paraId="6EDD1720" w14:textId="77777777" w:rsidR="002F4BDF" w:rsidRPr="007114AF" w:rsidRDefault="002F4BDF" w:rsidP="002F4BDF">
            <w:pPr>
              <w:spacing w:after="0" w:line="240" w:lineRule="auto"/>
              <w:jc w:val="left"/>
              <w:rPr>
                <w:rFonts w:ascii="Garamond" w:eastAsiaTheme="minorHAnsi" w:hAnsi="Garamond"/>
                <w:sz w:val="20"/>
                <w:szCs w:val="20"/>
                <w:lang w:eastAsia="en-US"/>
              </w:rPr>
            </w:pPr>
          </w:p>
        </w:tc>
        <w:tc>
          <w:tcPr>
            <w:tcW w:w="3409" w:type="dxa"/>
          </w:tcPr>
          <w:p w14:paraId="6EDD1721" w14:textId="77777777" w:rsidR="002F4BDF" w:rsidRPr="007114AF" w:rsidRDefault="002F4BDF" w:rsidP="002F4BDF">
            <w:pPr>
              <w:spacing w:after="0" w:line="240" w:lineRule="auto"/>
              <w:jc w:val="left"/>
              <w:rPr>
                <w:rFonts w:ascii="Garamond" w:eastAsiaTheme="minorHAnsi" w:hAnsi="Garamond"/>
                <w:sz w:val="20"/>
                <w:szCs w:val="20"/>
                <w:lang w:eastAsia="en-US"/>
              </w:rPr>
            </w:pPr>
            <w:r w:rsidRPr="007114AF">
              <w:rPr>
                <w:rFonts w:ascii="Garamond" w:eastAsiaTheme="minorHAnsi" w:hAnsi="Garamond"/>
                <w:sz w:val="20"/>
                <w:szCs w:val="20"/>
                <w:lang w:eastAsia="en-US"/>
              </w:rPr>
              <w:t>0 = jo</w:t>
            </w:r>
          </w:p>
          <w:p w14:paraId="6EDD1722" w14:textId="77777777" w:rsidR="002F4BDF" w:rsidRPr="007114AF" w:rsidRDefault="002F4BDF" w:rsidP="002F4BDF">
            <w:pPr>
              <w:spacing w:after="0" w:line="240" w:lineRule="auto"/>
              <w:jc w:val="left"/>
              <w:rPr>
                <w:rFonts w:ascii="Garamond" w:eastAsiaTheme="minorHAnsi" w:hAnsi="Garamond"/>
                <w:sz w:val="20"/>
                <w:szCs w:val="20"/>
                <w:lang w:eastAsia="en-US"/>
              </w:rPr>
            </w:pPr>
            <w:r w:rsidRPr="007114AF">
              <w:rPr>
                <w:rFonts w:ascii="Garamond" w:eastAsiaTheme="minorHAnsi" w:hAnsi="Garamond"/>
                <w:sz w:val="20"/>
                <w:szCs w:val="20"/>
                <w:lang w:eastAsia="en-US"/>
              </w:rPr>
              <w:t>1 = po</w:t>
            </w:r>
          </w:p>
        </w:tc>
        <w:tc>
          <w:tcPr>
            <w:tcW w:w="918" w:type="dxa"/>
            <w:vAlign w:val="center"/>
          </w:tcPr>
          <w:p w14:paraId="6EDD1723" w14:textId="77777777" w:rsidR="002F4BDF" w:rsidRPr="007114AF" w:rsidRDefault="002F4BDF" w:rsidP="002F4BDF">
            <w:pPr>
              <w:spacing w:after="0" w:line="240" w:lineRule="auto"/>
              <w:jc w:val="left"/>
              <w:rPr>
                <w:rFonts w:ascii="Garamond" w:eastAsiaTheme="minorHAnsi" w:hAnsi="Garamond"/>
                <w:sz w:val="20"/>
                <w:szCs w:val="20"/>
                <w:lang w:eastAsia="en-US"/>
              </w:rPr>
            </w:pPr>
          </w:p>
        </w:tc>
        <w:tc>
          <w:tcPr>
            <w:tcW w:w="3934" w:type="dxa"/>
          </w:tcPr>
          <w:p w14:paraId="6EDD1724" w14:textId="77777777" w:rsidR="002F4BDF" w:rsidRPr="007114AF" w:rsidRDefault="002F4BDF" w:rsidP="002F4BDF">
            <w:pPr>
              <w:spacing w:after="0" w:line="240" w:lineRule="auto"/>
              <w:jc w:val="left"/>
              <w:rPr>
                <w:rFonts w:ascii="Garamond" w:eastAsiaTheme="minorHAnsi" w:hAnsi="Garamond"/>
                <w:sz w:val="20"/>
                <w:szCs w:val="20"/>
                <w:lang w:eastAsia="en-US"/>
              </w:rPr>
            </w:pPr>
          </w:p>
        </w:tc>
      </w:tr>
      <w:tr w:rsidR="002F4BDF" w:rsidRPr="007114AF" w14:paraId="6EDD172D" w14:textId="77777777" w:rsidTr="003305AE">
        <w:tc>
          <w:tcPr>
            <w:tcW w:w="1206" w:type="dxa"/>
            <w:vAlign w:val="center"/>
          </w:tcPr>
          <w:p w14:paraId="6EDD1726" w14:textId="77777777" w:rsidR="002F4BDF" w:rsidRPr="007114AF" w:rsidRDefault="002F4BDF" w:rsidP="002F4BDF">
            <w:pPr>
              <w:spacing w:after="0" w:line="240" w:lineRule="auto"/>
              <w:jc w:val="left"/>
              <w:rPr>
                <w:rFonts w:ascii="Garamond" w:eastAsiaTheme="minorHAnsi" w:hAnsi="Garamond"/>
                <w:sz w:val="20"/>
                <w:szCs w:val="20"/>
                <w:lang w:eastAsia="en-US"/>
              </w:rPr>
            </w:pPr>
            <w:r w:rsidRPr="007114AF">
              <w:rPr>
                <w:rFonts w:ascii="Garamond" w:eastAsiaTheme="minorHAnsi" w:hAnsi="Garamond"/>
                <w:sz w:val="20"/>
                <w:szCs w:val="20"/>
                <w:lang w:eastAsia="en-US"/>
              </w:rPr>
              <w:t>Q</w:t>
            </w:r>
          </w:p>
        </w:tc>
        <w:tc>
          <w:tcPr>
            <w:tcW w:w="4167" w:type="dxa"/>
          </w:tcPr>
          <w:p w14:paraId="6EDD1727" w14:textId="77777777" w:rsidR="002F4BDF" w:rsidRPr="007114AF" w:rsidRDefault="002F4BDF" w:rsidP="002F4BDF">
            <w:pPr>
              <w:spacing w:after="0" w:line="240" w:lineRule="auto"/>
              <w:jc w:val="left"/>
              <w:rPr>
                <w:rFonts w:ascii="Garamond" w:eastAsiaTheme="minorHAnsi" w:hAnsi="Garamond"/>
                <w:sz w:val="20"/>
                <w:szCs w:val="20"/>
                <w:lang w:eastAsia="en-US"/>
              </w:rPr>
            </w:pPr>
            <w:r w:rsidRPr="007114AF">
              <w:rPr>
                <w:rFonts w:ascii="Garamond" w:eastAsiaTheme="minorHAnsi" w:hAnsi="Garamond"/>
                <w:sz w:val="20"/>
                <w:szCs w:val="20"/>
                <w:lang w:eastAsia="en-US"/>
              </w:rPr>
              <w:t>A siguron fondi/investuesi financim për trajnim dhe ndërtim kapacitetesh?</w:t>
            </w:r>
          </w:p>
        </w:tc>
        <w:tc>
          <w:tcPr>
            <w:tcW w:w="1054" w:type="dxa"/>
            <w:vAlign w:val="center"/>
          </w:tcPr>
          <w:p w14:paraId="6EDD1728" w14:textId="77777777" w:rsidR="002F4BDF" w:rsidRPr="007114AF" w:rsidRDefault="002F4BDF" w:rsidP="002F4BDF">
            <w:pPr>
              <w:spacing w:after="0" w:line="240" w:lineRule="auto"/>
              <w:jc w:val="left"/>
              <w:rPr>
                <w:rFonts w:ascii="Garamond" w:eastAsiaTheme="minorHAnsi" w:hAnsi="Garamond"/>
                <w:sz w:val="20"/>
                <w:szCs w:val="20"/>
                <w:lang w:eastAsia="en-US"/>
              </w:rPr>
            </w:pPr>
          </w:p>
        </w:tc>
        <w:tc>
          <w:tcPr>
            <w:tcW w:w="3409" w:type="dxa"/>
          </w:tcPr>
          <w:p w14:paraId="6EDD1729" w14:textId="77777777" w:rsidR="002F4BDF" w:rsidRPr="007114AF" w:rsidRDefault="002F4BDF" w:rsidP="002F4BDF">
            <w:pPr>
              <w:spacing w:after="0" w:line="240" w:lineRule="auto"/>
              <w:jc w:val="left"/>
              <w:rPr>
                <w:rFonts w:ascii="Garamond" w:eastAsiaTheme="minorHAnsi" w:hAnsi="Garamond"/>
                <w:sz w:val="20"/>
                <w:szCs w:val="20"/>
                <w:lang w:eastAsia="en-US"/>
              </w:rPr>
            </w:pPr>
            <w:r w:rsidRPr="007114AF">
              <w:rPr>
                <w:rFonts w:ascii="Garamond" w:eastAsiaTheme="minorHAnsi" w:hAnsi="Garamond"/>
                <w:sz w:val="20"/>
                <w:szCs w:val="20"/>
                <w:lang w:eastAsia="en-US"/>
              </w:rPr>
              <w:t>0 = jo</w:t>
            </w:r>
          </w:p>
          <w:p w14:paraId="6EDD172A" w14:textId="77777777" w:rsidR="002F4BDF" w:rsidRPr="007114AF" w:rsidRDefault="002F4BDF" w:rsidP="002F4BDF">
            <w:pPr>
              <w:spacing w:after="0" w:line="240" w:lineRule="auto"/>
              <w:jc w:val="left"/>
              <w:rPr>
                <w:rFonts w:ascii="Garamond" w:eastAsiaTheme="minorHAnsi" w:hAnsi="Garamond"/>
                <w:sz w:val="20"/>
                <w:szCs w:val="20"/>
                <w:lang w:eastAsia="en-US"/>
              </w:rPr>
            </w:pPr>
            <w:r w:rsidRPr="007114AF">
              <w:rPr>
                <w:rFonts w:ascii="Garamond" w:eastAsiaTheme="minorHAnsi" w:hAnsi="Garamond"/>
                <w:sz w:val="20"/>
                <w:szCs w:val="20"/>
                <w:lang w:eastAsia="en-US"/>
              </w:rPr>
              <w:t>1 = po</w:t>
            </w:r>
          </w:p>
        </w:tc>
        <w:tc>
          <w:tcPr>
            <w:tcW w:w="918" w:type="dxa"/>
            <w:vAlign w:val="center"/>
          </w:tcPr>
          <w:p w14:paraId="6EDD172B" w14:textId="77777777" w:rsidR="002F4BDF" w:rsidRPr="007114AF" w:rsidRDefault="002F4BDF" w:rsidP="002F4BDF">
            <w:pPr>
              <w:spacing w:after="0" w:line="240" w:lineRule="auto"/>
              <w:jc w:val="left"/>
              <w:rPr>
                <w:rFonts w:ascii="Garamond" w:eastAsiaTheme="minorHAnsi" w:hAnsi="Garamond"/>
                <w:sz w:val="20"/>
                <w:szCs w:val="20"/>
                <w:lang w:eastAsia="en-US"/>
              </w:rPr>
            </w:pPr>
          </w:p>
        </w:tc>
        <w:tc>
          <w:tcPr>
            <w:tcW w:w="3934" w:type="dxa"/>
          </w:tcPr>
          <w:p w14:paraId="6EDD172C" w14:textId="77777777" w:rsidR="002F4BDF" w:rsidRPr="007114AF" w:rsidRDefault="002F4BDF" w:rsidP="002F4BDF">
            <w:pPr>
              <w:spacing w:after="0" w:line="240" w:lineRule="auto"/>
              <w:jc w:val="left"/>
              <w:rPr>
                <w:rFonts w:ascii="Garamond" w:eastAsiaTheme="minorHAnsi" w:hAnsi="Garamond"/>
                <w:sz w:val="20"/>
                <w:szCs w:val="20"/>
                <w:lang w:eastAsia="en-US"/>
              </w:rPr>
            </w:pPr>
          </w:p>
        </w:tc>
      </w:tr>
      <w:tr w:rsidR="002F4BDF" w:rsidRPr="007114AF" w14:paraId="6EDD1735" w14:textId="77777777" w:rsidTr="003305AE">
        <w:tc>
          <w:tcPr>
            <w:tcW w:w="1206" w:type="dxa"/>
            <w:vAlign w:val="center"/>
          </w:tcPr>
          <w:p w14:paraId="6EDD172E" w14:textId="77777777" w:rsidR="002F4BDF" w:rsidRPr="007114AF" w:rsidRDefault="002F4BDF" w:rsidP="002F4BDF">
            <w:pPr>
              <w:spacing w:after="0" w:line="240" w:lineRule="auto"/>
              <w:jc w:val="left"/>
              <w:rPr>
                <w:rFonts w:ascii="Garamond" w:eastAsiaTheme="minorHAnsi" w:hAnsi="Garamond"/>
                <w:sz w:val="20"/>
                <w:szCs w:val="20"/>
                <w:lang w:eastAsia="en-US"/>
              </w:rPr>
            </w:pPr>
            <w:r w:rsidRPr="007114AF">
              <w:rPr>
                <w:rFonts w:ascii="Garamond" w:eastAsiaTheme="minorHAnsi" w:hAnsi="Garamond"/>
                <w:sz w:val="20"/>
                <w:szCs w:val="20"/>
                <w:lang w:eastAsia="en-US"/>
              </w:rPr>
              <w:t>O</w:t>
            </w:r>
          </w:p>
        </w:tc>
        <w:tc>
          <w:tcPr>
            <w:tcW w:w="4167" w:type="dxa"/>
          </w:tcPr>
          <w:p w14:paraId="6EDD172F" w14:textId="77777777" w:rsidR="002F4BDF" w:rsidRPr="007114AF" w:rsidRDefault="002F4BDF" w:rsidP="002F4BDF">
            <w:pPr>
              <w:spacing w:after="0" w:line="240" w:lineRule="auto"/>
              <w:jc w:val="left"/>
              <w:rPr>
                <w:rFonts w:ascii="Garamond" w:eastAsiaTheme="minorHAnsi" w:hAnsi="Garamond"/>
                <w:sz w:val="20"/>
                <w:szCs w:val="20"/>
                <w:lang w:eastAsia="en-US"/>
              </w:rPr>
            </w:pPr>
            <w:r w:rsidRPr="007114AF">
              <w:rPr>
                <w:rFonts w:ascii="Garamond" w:eastAsiaTheme="minorHAnsi" w:hAnsi="Garamond"/>
                <w:sz w:val="20"/>
                <w:szCs w:val="20"/>
                <w:lang w:eastAsia="en-US"/>
              </w:rPr>
              <w:t xml:space="preserve">A siguron fondi/investuesi financim për forcim institucional/procese të politikave/koordinimit? </w:t>
            </w:r>
          </w:p>
        </w:tc>
        <w:tc>
          <w:tcPr>
            <w:tcW w:w="1054" w:type="dxa"/>
            <w:vAlign w:val="center"/>
          </w:tcPr>
          <w:p w14:paraId="6EDD1730" w14:textId="77777777" w:rsidR="002F4BDF" w:rsidRPr="007114AF" w:rsidRDefault="002F4BDF" w:rsidP="002F4BDF">
            <w:pPr>
              <w:spacing w:after="0" w:line="240" w:lineRule="auto"/>
              <w:jc w:val="left"/>
              <w:rPr>
                <w:rFonts w:ascii="Garamond" w:eastAsiaTheme="minorHAnsi" w:hAnsi="Garamond"/>
                <w:sz w:val="20"/>
                <w:szCs w:val="20"/>
                <w:lang w:eastAsia="en-US"/>
              </w:rPr>
            </w:pPr>
            <w:r w:rsidRPr="007114AF">
              <w:rPr>
                <w:rFonts w:ascii="Garamond" w:eastAsiaTheme="minorHAnsi" w:hAnsi="Garamond"/>
                <w:sz w:val="20"/>
                <w:szCs w:val="20"/>
                <w:lang w:eastAsia="en-US"/>
              </w:rPr>
              <w:t>X</w:t>
            </w:r>
          </w:p>
        </w:tc>
        <w:tc>
          <w:tcPr>
            <w:tcW w:w="3409" w:type="dxa"/>
          </w:tcPr>
          <w:p w14:paraId="6EDD1731" w14:textId="77777777" w:rsidR="002F4BDF" w:rsidRPr="007114AF" w:rsidRDefault="002F4BDF" w:rsidP="002F4BDF">
            <w:pPr>
              <w:spacing w:after="0" w:line="240" w:lineRule="auto"/>
              <w:jc w:val="left"/>
              <w:rPr>
                <w:rFonts w:ascii="Garamond" w:eastAsiaTheme="minorHAnsi" w:hAnsi="Garamond"/>
                <w:sz w:val="20"/>
                <w:szCs w:val="20"/>
                <w:lang w:eastAsia="en-US"/>
              </w:rPr>
            </w:pPr>
            <w:r w:rsidRPr="007114AF">
              <w:rPr>
                <w:rFonts w:ascii="Garamond" w:eastAsiaTheme="minorHAnsi" w:hAnsi="Garamond"/>
                <w:sz w:val="20"/>
                <w:szCs w:val="20"/>
                <w:lang w:eastAsia="en-US"/>
              </w:rPr>
              <w:t>0 = jo</w:t>
            </w:r>
          </w:p>
          <w:p w14:paraId="6EDD1732" w14:textId="77777777" w:rsidR="002F4BDF" w:rsidRPr="007114AF" w:rsidRDefault="002F4BDF" w:rsidP="002F4BDF">
            <w:pPr>
              <w:spacing w:after="0" w:line="240" w:lineRule="auto"/>
              <w:jc w:val="left"/>
              <w:rPr>
                <w:rFonts w:ascii="Garamond" w:eastAsiaTheme="minorHAnsi" w:hAnsi="Garamond"/>
                <w:sz w:val="20"/>
                <w:szCs w:val="20"/>
                <w:lang w:eastAsia="en-US"/>
              </w:rPr>
            </w:pPr>
            <w:r w:rsidRPr="007114AF">
              <w:rPr>
                <w:rFonts w:ascii="Garamond" w:eastAsiaTheme="minorHAnsi" w:hAnsi="Garamond"/>
                <w:sz w:val="20"/>
                <w:szCs w:val="20"/>
                <w:lang w:eastAsia="en-US"/>
              </w:rPr>
              <w:t>1 = po</w:t>
            </w:r>
          </w:p>
        </w:tc>
        <w:tc>
          <w:tcPr>
            <w:tcW w:w="918" w:type="dxa"/>
            <w:vAlign w:val="center"/>
          </w:tcPr>
          <w:p w14:paraId="6EDD1733" w14:textId="77777777" w:rsidR="002F4BDF" w:rsidRPr="007114AF" w:rsidRDefault="002F4BDF" w:rsidP="002F4BDF">
            <w:pPr>
              <w:spacing w:after="0" w:line="240" w:lineRule="auto"/>
              <w:jc w:val="left"/>
              <w:rPr>
                <w:rFonts w:ascii="Garamond" w:eastAsiaTheme="minorHAnsi" w:hAnsi="Garamond"/>
                <w:sz w:val="20"/>
                <w:szCs w:val="20"/>
                <w:lang w:eastAsia="en-US"/>
              </w:rPr>
            </w:pPr>
            <w:r w:rsidRPr="007114AF">
              <w:rPr>
                <w:rFonts w:ascii="Garamond" w:eastAsiaTheme="minorHAnsi" w:hAnsi="Garamond"/>
                <w:sz w:val="20"/>
                <w:szCs w:val="20"/>
                <w:lang w:eastAsia="en-US"/>
              </w:rPr>
              <w:t>1</w:t>
            </w:r>
          </w:p>
        </w:tc>
        <w:tc>
          <w:tcPr>
            <w:tcW w:w="3934" w:type="dxa"/>
          </w:tcPr>
          <w:p w14:paraId="6EDD1734" w14:textId="77777777" w:rsidR="002F4BDF" w:rsidRPr="007114AF" w:rsidRDefault="002F4BDF" w:rsidP="002F4BDF">
            <w:pPr>
              <w:spacing w:after="0" w:line="240" w:lineRule="auto"/>
              <w:jc w:val="left"/>
              <w:rPr>
                <w:rFonts w:ascii="Garamond" w:eastAsiaTheme="minorHAnsi" w:hAnsi="Garamond"/>
                <w:sz w:val="20"/>
                <w:szCs w:val="20"/>
                <w:lang w:eastAsia="en-US"/>
              </w:rPr>
            </w:pPr>
            <w:r w:rsidRPr="007114AF">
              <w:rPr>
                <w:rFonts w:ascii="Garamond" w:eastAsiaTheme="minorHAnsi" w:hAnsi="Garamond"/>
                <w:sz w:val="20"/>
                <w:szCs w:val="20"/>
                <w:lang w:eastAsia="en-US"/>
              </w:rPr>
              <w:t>Në funksion të PA 1-7</w:t>
            </w:r>
          </w:p>
        </w:tc>
      </w:tr>
      <w:tr w:rsidR="002F4BDF" w:rsidRPr="007114AF" w14:paraId="6EDD1744" w14:textId="77777777" w:rsidTr="003305AE">
        <w:tc>
          <w:tcPr>
            <w:tcW w:w="1206" w:type="dxa"/>
            <w:vAlign w:val="center"/>
          </w:tcPr>
          <w:p w14:paraId="6EDD1736" w14:textId="77777777" w:rsidR="002F4BDF" w:rsidRPr="007114AF" w:rsidRDefault="002F4BDF" w:rsidP="002F4BDF">
            <w:pPr>
              <w:spacing w:after="0" w:line="240" w:lineRule="auto"/>
              <w:jc w:val="left"/>
              <w:rPr>
                <w:rFonts w:ascii="Garamond" w:eastAsiaTheme="minorHAnsi" w:hAnsi="Garamond"/>
                <w:sz w:val="20"/>
                <w:szCs w:val="20"/>
                <w:lang w:eastAsia="en-US"/>
              </w:rPr>
            </w:pPr>
            <w:r w:rsidRPr="007114AF">
              <w:rPr>
                <w:rFonts w:ascii="Garamond" w:eastAsiaTheme="minorHAnsi" w:hAnsi="Garamond"/>
                <w:sz w:val="20"/>
                <w:szCs w:val="20"/>
                <w:lang w:eastAsia="en-US"/>
              </w:rPr>
              <w:t>S-Y</w:t>
            </w:r>
          </w:p>
        </w:tc>
        <w:tc>
          <w:tcPr>
            <w:tcW w:w="4167" w:type="dxa"/>
          </w:tcPr>
          <w:p w14:paraId="6EDD1737" w14:textId="77777777" w:rsidR="002F4BDF" w:rsidRPr="007114AF" w:rsidRDefault="002F4BDF" w:rsidP="002F4BDF">
            <w:pPr>
              <w:spacing w:after="0" w:line="240" w:lineRule="auto"/>
              <w:jc w:val="left"/>
              <w:rPr>
                <w:rFonts w:ascii="Garamond" w:eastAsiaTheme="minorHAnsi" w:hAnsi="Garamond"/>
                <w:sz w:val="20"/>
                <w:szCs w:val="20"/>
                <w:lang w:eastAsia="en-US"/>
              </w:rPr>
            </w:pPr>
            <w:r w:rsidRPr="007114AF">
              <w:rPr>
                <w:rFonts w:ascii="Garamond" w:eastAsiaTheme="minorHAnsi" w:hAnsi="Garamond"/>
                <w:sz w:val="20"/>
                <w:szCs w:val="20"/>
                <w:lang w:eastAsia="en-US"/>
              </w:rPr>
              <w:t>A siguron fondi/investuesi financim në sektorët e mëposhtëm:</w:t>
            </w:r>
          </w:p>
          <w:p w14:paraId="6EDD1738" w14:textId="77777777" w:rsidR="002F4BDF" w:rsidRPr="007114AF" w:rsidRDefault="002F4BDF" w:rsidP="0012572D">
            <w:pPr>
              <w:numPr>
                <w:ilvl w:val="0"/>
                <w:numId w:val="12"/>
              </w:numPr>
              <w:spacing w:after="0" w:line="240" w:lineRule="auto"/>
              <w:ind w:left="0" w:firstLine="0"/>
              <w:contextualSpacing/>
              <w:jc w:val="left"/>
              <w:rPr>
                <w:rFonts w:ascii="Garamond" w:eastAsia="Times New Roman" w:hAnsi="Garamond" w:cs="Times New Roman"/>
                <w:sz w:val="20"/>
                <w:szCs w:val="20"/>
                <w:lang w:eastAsia="en-US"/>
              </w:rPr>
            </w:pPr>
            <w:r w:rsidRPr="007114AF">
              <w:rPr>
                <w:rFonts w:ascii="Garamond" w:eastAsia="Times New Roman" w:hAnsi="Garamond" w:cs="Times New Roman"/>
                <w:sz w:val="20"/>
                <w:szCs w:val="20"/>
                <w:lang w:eastAsia="en-US"/>
              </w:rPr>
              <w:t>ujë, ujitje dhe mbrojtje nga përmbytjet</w:t>
            </w:r>
          </w:p>
          <w:p w14:paraId="6EDD1739" w14:textId="77777777" w:rsidR="002F4BDF" w:rsidRPr="007114AF" w:rsidRDefault="002F4BDF" w:rsidP="0012572D">
            <w:pPr>
              <w:numPr>
                <w:ilvl w:val="0"/>
                <w:numId w:val="12"/>
              </w:numPr>
              <w:spacing w:after="0" w:line="240" w:lineRule="auto"/>
              <w:ind w:left="0" w:firstLine="0"/>
              <w:contextualSpacing/>
              <w:jc w:val="left"/>
              <w:rPr>
                <w:rFonts w:ascii="Garamond" w:eastAsia="Times New Roman" w:hAnsi="Garamond" w:cs="Times New Roman"/>
                <w:sz w:val="20"/>
                <w:szCs w:val="20"/>
                <w:lang w:eastAsia="en-US"/>
              </w:rPr>
            </w:pPr>
            <w:r w:rsidRPr="007114AF">
              <w:rPr>
                <w:rFonts w:ascii="Garamond" w:eastAsia="Times New Roman" w:hAnsi="Garamond" w:cs="Times New Roman"/>
                <w:sz w:val="20"/>
                <w:szCs w:val="20"/>
                <w:lang w:eastAsia="en-US"/>
              </w:rPr>
              <w:t>bujqësi</w:t>
            </w:r>
          </w:p>
          <w:p w14:paraId="6EDD173A" w14:textId="77777777" w:rsidR="002F4BDF" w:rsidRPr="007114AF" w:rsidRDefault="002F4BDF" w:rsidP="0012572D">
            <w:pPr>
              <w:numPr>
                <w:ilvl w:val="0"/>
                <w:numId w:val="12"/>
              </w:numPr>
              <w:spacing w:after="0" w:line="240" w:lineRule="auto"/>
              <w:ind w:left="0" w:firstLine="0"/>
              <w:contextualSpacing/>
              <w:jc w:val="left"/>
              <w:rPr>
                <w:rFonts w:ascii="Garamond" w:eastAsia="Times New Roman" w:hAnsi="Garamond" w:cs="Times New Roman"/>
                <w:sz w:val="20"/>
                <w:szCs w:val="20"/>
                <w:lang w:eastAsia="en-US"/>
              </w:rPr>
            </w:pPr>
            <w:r w:rsidRPr="007114AF">
              <w:rPr>
                <w:rFonts w:ascii="Garamond" w:eastAsia="Times New Roman" w:hAnsi="Garamond" w:cs="Times New Roman"/>
                <w:sz w:val="20"/>
                <w:szCs w:val="20"/>
                <w:lang w:eastAsia="en-US"/>
              </w:rPr>
              <w:t>shëndetësi</w:t>
            </w:r>
          </w:p>
          <w:p w14:paraId="6EDD173B" w14:textId="77777777" w:rsidR="002F4BDF" w:rsidRPr="007114AF" w:rsidRDefault="002F4BDF" w:rsidP="0012572D">
            <w:pPr>
              <w:numPr>
                <w:ilvl w:val="0"/>
                <w:numId w:val="12"/>
              </w:numPr>
              <w:spacing w:after="0" w:line="240" w:lineRule="auto"/>
              <w:ind w:left="0" w:firstLine="0"/>
              <w:contextualSpacing/>
              <w:jc w:val="left"/>
              <w:rPr>
                <w:rFonts w:ascii="Garamond" w:eastAsia="Times New Roman" w:hAnsi="Garamond" w:cs="Times New Roman"/>
                <w:sz w:val="20"/>
                <w:szCs w:val="20"/>
                <w:lang w:eastAsia="en-US"/>
              </w:rPr>
            </w:pPr>
            <w:r w:rsidRPr="007114AF">
              <w:rPr>
                <w:rFonts w:ascii="Garamond" w:eastAsia="Times New Roman" w:hAnsi="Garamond" w:cs="Times New Roman"/>
                <w:sz w:val="20"/>
                <w:szCs w:val="20"/>
                <w:lang w:eastAsia="en-US"/>
              </w:rPr>
              <w:t>menaxhim/mbrojtje e bregdetit</w:t>
            </w:r>
          </w:p>
          <w:p w14:paraId="6EDD173C" w14:textId="77777777" w:rsidR="002F4BDF" w:rsidRPr="007114AF" w:rsidRDefault="002F4BDF" w:rsidP="0012572D">
            <w:pPr>
              <w:numPr>
                <w:ilvl w:val="0"/>
                <w:numId w:val="12"/>
              </w:numPr>
              <w:spacing w:after="0" w:line="240" w:lineRule="auto"/>
              <w:ind w:left="0" w:firstLine="0"/>
              <w:contextualSpacing/>
              <w:jc w:val="left"/>
              <w:rPr>
                <w:rFonts w:ascii="Garamond" w:eastAsia="Times New Roman" w:hAnsi="Garamond" w:cs="Times New Roman"/>
                <w:sz w:val="20"/>
                <w:szCs w:val="20"/>
                <w:lang w:eastAsia="en-US"/>
              </w:rPr>
            </w:pPr>
            <w:r w:rsidRPr="007114AF">
              <w:rPr>
                <w:rFonts w:ascii="Garamond" w:eastAsia="Times New Roman" w:hAnsi="Garamond" w:cs="Times New Roman"/>
                <w:sz w:val="20"/>
                <w:szCs w:val="20"/>
                <w:lang w:eastAsia="en-US"/>
              </w:rPr>
              <w:t>urban</w:t>
            </w:r>
          </w:p>
          <w:p w14:paraId="6EDD173D" w14:textId="77777777" w:rsidR="002F4BDF" w:rsidRPr="007114AF" w:rsidRDefault="002F4BDF" w:rsidP="0012572D">
            <w:pPr>
              <w:numPr>
                <w:ilvl w:val="0"/>
                <w:numId w:val="12"/>
              </w:numPr>
              <w:spacing w:after="0" w:line="240" w:lineRule="auto"/>
              <w:ind w:left="0" w:firstLine="0"/>
              <w:contextualSpacing/>
              <w:jc w:val="left"/>
              <w:rPr>
                <w:rFonts w:ascii="Garamond" w:eastAsia="Times New Roman" w:hAnsi="Garamond" w:cs="Times New Roman"/>
                <w:sz w:val="20"/>
                <w:szCs w:val="20"/>
                <w:lang w:eastAsia="en-US"/>
              </w:rPr>
            </w:pPr>
            <w:r w:rsidRPr="007114AF">
              <w:rPr>
                <w:rFonts w:ascii="Garamond" w:eastAsia="Times New Roman" w:hAnsi="Garamond" w:cs="Times New Roman"/>
                <w:sz w:val="20"/>
                <w:szCs w:val="20"/>
                <w:lang w:eastAsia="en-US"/>
              </w:rPr>
              <w:t>turizëm</w:t>
            </w:r>
          </w:p>
          <w:p w14:paraId="6EDD173E" w14:textId="77777777" w:rsidR="002F4BDF" w:rsidRPr="007114AF" w:rsidRDefault="002F4BDF" w:rsidP="0012572D">
            <w:pPr>
              <w:numPr>
                <w:ilvl w:val="0"/>
                <w:numId w:val="12"/>
              </w:numPr>
              <w:spacing w:after="0" w:line="240" w:lineRule="auto"/>
              <w:ind w:left="0" w:firstLine="0"/>
              <w:contextualSpacing/>
              <w:jc w:val="left"/>
              <w:rPr>
                <w:rFonts w:ascii="Garamond" w:eastAsia="Times New Roman" w:hAnsi="Garamond" w:cs="Times New Roman"/>
                <w:sz w:val="20"/>
                <w:szCs w:val="20"/>
                <w:lang w:eastAsia="en-US"/>
              </w:rPr>
            </w:pPr>
            <w:r w:rsidRPr="007114AF">
              <w:rPr>
                <w:rFonts w:ascii="Garamond" w:eastAsia="Times New Roman" w:hAnsi="Garamond" w:cs="Times New Roman"/>
                <w:sz w:val="20"/>
                <w:szCs w:val="20"/>
                <w:lang w:eastAsia="en-US"/>
              </w:rPr>
              <w:t>ulja e rrezikut nga fatkeqësitë/ gatishmëria</w:t>
            </w:r>
          </w:p>
        </w:tc>
        <w:tc>
          <w:tcPr>
            <w:tcW w:w="1054" w:type="dxa"/>
            <w:vAlign w:val="center"/>
          </w:tcPr>
          <w:p w14:paraId="6EDD173F" w14:textId="77777777" w:rsidR="002F4BDF" w:rsidRPr="007114AF" w:rsidRDefault="002F4BDF" w:rsidP="002F4BDF">
            <w:pPr>
              <w:spacing w:after="0" w:line="240" w:lineRule="auto"/>
              <w:jc w:val="left"/>
              <w:rPr>
                <w:rFonts w:ascii="Garamond" w:eastAsiaTheme="minorHAnsi" w:hAnsi="Garamond"/>
                <w:sz w:val="20"/>
                <w:szCs w:val="20"/>
                <w:lang w:eastAsia="en-US"/>
              </w:rPr>
            </w:pPr>
            <w:r w:rsidRPr="007114AF">
              <w:rPr>
                <w:rFonts w:ascii="Garamond" w:eastAsiaTheme="minorHAnsi" w:hAnsi="Garamond"/>
                <w:sz w:val="20"/>
                <w:szCs w:val="20"/>
                <w:lang w:eastAsia="en-US"/>
              </w:rPr>
              <w:t>X</w:t>
            </w:r>
          </w:p>
        </w:tc>
        <w:tc>
          <w:tcPr>
            <w:tcW w:w="3409" w:type="dxa"/>
          </w:tcPr>
          <w:p w14:paraId="6EDD1740" w14:textId="77777777" w:rsidR="002F4BDF" w:rsidRPr="007114AF" w:rsidRDefault="002F4BDF" w:rsidP="002F4BDF">
            <w:pPr>
              <w:spacing w:after="0" w:line="240" w:lineRule="auto"/>
              <w:jc w:val="left"/>
              <w:rPr>
                <w:rFonts w:ascii="Garamond" w:eastAsiaTheme="minorHAnsi" w:hAnsi="Garamond"/>
                <w:sz w:val="20"/>
                <w:szCs w:val="20"/>
                <w:lang w:eastAsia="en-US"/>
              </w:rPr>
            </w:pPr>
            <w:r w:rsidRPr="007114AF">
              <w:rPr>
                <w:rFonts w:ascii="Garamond" w:eastAsiaTheme="minorHAnsi" w:hAnsi="Garamond"/>
                <w:sz w:val="20"/>
                <w:szCs w:val="20"/>
                <w:lang w:eastAsia="en-US"/>
              </w:rPr>
              <w:t>0 = jo</w:t>
            </w:r>
          </w:p>
          <w:p w14:paraId="6EDD1741" w14:textId="77777777" w:rsidR="002F4BDF" w:rsidRPr="007114AF" w:rsidRDefault="002F4BDF" w:rsidP="002F4BDF">
            <w:pPr>
              <w:spacing w:after="0" w:line="240" w:lineRule="auto"/>
              <w:jc w:val="left"/>
              <w:rPr>
                <w:rFonts w:ascii="Garamond" w:eastAsiaTheme="minorHAnsi" w:hAnsi="Garamond"/>
                <w:sz w:val="20"/>
                <w:szCs w:val="20"/>
                <w:lang w:eastAsia="en-US"/>
              </w:rPr>
            </w:pPr>
            <w:r w:rsidRPr="007114AF">
              <w:rPr>
                <w:rFonts w:ascii="Garamond" w:eastAsiaTheme="minorHAnsi" w:hAnsi="Garamond"/>
                <w:sz w:val="20"/>
                <w:szCs w:val="20"/>
                <w:lang w:eastAsia="en-US"/>
              </w:rPr>
              <w:t>1 = po</w:t>
            </w:r>
          </w:p>
        </w:tc>
        <w:tc>
          <w:tcPr>
            <w:tcW w:w="918" w:type="dxa"/>
            <w:vAlign w:val="center"/>
          </w:tcPr>
          <w:p w14:paraId="6EDD1742" w14:textId="77777777" w:rsidR="002F4BDF" w:rsidRPr="007114AF" w:rsidRDefault="002F4BDF" w:rsidP="002F4BDF">
            <w:pPr>
              <w:spacing w:after="0" w:line="240" w:lineRule="auto"/>
              <w:jc w:val="left"/>
              <w:rPr>
                <w:rFonts w:ascii="Garamond" w:eastAsiaTheme="minorHAnsi" w:hAnsi="Garamond"/>
                <w:sz w:val="20"/>
                <w:szCs w:val="20"/>
                <w:lang w:eastAsia="en-US"/>
              </w:rPr>
            </w:pPr>
            <w:r w:rsidRPr="007114AF">
              <w:rPr>
                <w:rFonts w:ascii="Garamond" w:eastAsiaTheme="minorHAnsi" w:hAnsi="Garamond"/>
                <w:sz w:val="20"/>
                <w:szCs w:val="20"/>
                <w:lang w:eastAsia="en-US"/>
              </w:rPr>
              <w:t>1</w:t>
            </w:r>
          </w:p>
        </w:tc>
        <w:tc>
          <w:tcPr>
            <w:tcW w:w="3934" w:type="dxa"/>
          </w:tcPr>
          <w:p w14:paraId="6EDD1743" w14:textId="77777777" w:rsidR="002F4BDF" w:rsidRPr="007114AF" w:rsidRDefault="002F4BDF" w:rsidP="002F4BDF">
            <w:pPr>
              <w:spacing w:after="0" w:line="240" w:lineRule="auto"/>
              <w:jc w:val="left"/>
              <w:rPr>
                <w:rFonts w:ascii="Garamond" w:eastAsiaTheme="minorHAnsi" w:hAnsi="Garamond"/>
                <w:sz w:val="20"/>
                <w:szCs w:val="20"/>
                <w:lang w:eastAsia="en-US"/>
              </w:rPr>
            </w:pPr>
            <w:r w:rsidRPr="007114AF">
              <w:rPr>
                <w:rFonts w:ascii="Garamond" w:eastAsiaTheme="minorHAnsi" w:hAnsi="Garamond"/>
                <w:sz w:val="20"/>
                <w:szCs w:val="20"/>
                <w:lang w:eastAsia="en-US"/>
              </w:rPr>
              <w:t>Në funksion të PA 8-15</w:t>
            </w:r>
          </w:p>
        </w:tc>
      </w:tr>
    </w:tbl>
    <w:p w14:paraId="6EDD1745" w14:textId="21E55A6D" w:rsidR="002F4BDF" w:rsidRPr="007114AF" w:rsidRDefault="002F4BDF" w:rsidP="002F4BDF">
      <w:pPr>
        <w:spacing w:after="0" w:line="240" w:lineRule="auto"/>
        <w:ind w:firstLine="284"/>
        <w:rPr>
          <w:rFonts w:ascii="Garamond" w:eastAsiaTheme="minorHAnsi" w:hAnsi="Garamond"/>
          <w:sz w:val="24"/>
          <w:szCs w:val="24"/>
          <w:lang w:eastAsia="en-US"/>
        </w:rPr>
      </w:pPr>
      <w:r w:rsidRPr="007114AF">
        <w:rPr>
          <w:rFonts w:ascii="Garamond" w:eastAsiaTheme="minorHAnsi" w:hAnsi="Garamond"/>
          <w:sz w:val="24"/>
          <w:szCs w:val="24"/>
          <w:lang w:eastAsia="en-US"/>
        </w:rPr>
        <w:t>Fondet/investuesit do të klasifikohen eventualisht (specifikisht, duke përdorur kolonën Z për klasifikim) sipas rezultatit të prioritetit, duke llogaritur rezultatin e mëposhtëm:</w:t>
      </w:r>
      <w:r w:rsidR="00203893" w:rsidRPr="007114AF">
        <w:rPr>
          <w:rFonts w:ascii="Garamond" w:eastAsiaTheme="minorHAnsi" w:hAnsi="Garamond"/>
          <w:sz w:val="24"/>
          <w:szCs w:val="24"/>
          <w:lang w:eastAsia="en-US"/>
        </w:rPr>
        <w:t xml:space="preserve"> </w:t>
      </w:r>
      <w:r w:rsidRPr="007114AF">
        <w:rPr>
          <w:rFonts w:ascii="Garamond" w:eastAsiaTheme="minorHAnsi" w:hAnsi="Garamond"/>
          <w:sz w:val="24"/>
          <w:szCs w:val="24"/>
          <w:lang w:eastAsia="en-US"/>
        </w:rPr>
        <w:t>Rezultati i prioritetit në kolonën Z = SHUMA (G*3; J; L; M*0,5; O; R:Y)</w:t>
      </w:r>
    </w:p>
    <w:p w14:paraId="6EDD1746" w14:textId="77777777" w:rsidR="002F4BDF" w:rsidRPr="007114AF" w:rsidRDefault="002F4BDF" w:rsidP="002F4BDF">
      <w:pPr>
        <w:spacing w:after="0" w:line="240" w:lineRule="auto"/>
        <w:ind w:firstLine="284"/>
        <w:rPr>
          <w:rFonts w:ascii="Garamond" w:eastAsiaTheme="minorHAnsi" w:hAnsi="Garamond"/>
          <w:sz w:val="24"/>
          <w:szCs w:val="24"/>
          <w:lang w:eastAsia="en-US"/>
        </w:rPr>
      </w:pPr>
    </w:p>
    <w:p w14:paraId="6EDD1747" w14:textId="77777777" w:rsidR="002F4BDF" w:rsidRPr="007114AF" w:rsidRDefault="002F4BDF" w:rsidP="002F4BDF">
      <w:pPr>
        <w:spacing w:after="0" w:line="240" w:lineRule="auto"/>
        <w:ind w:firstLine="284"/>
        <w:rPr>
          <w:rFonts w:ascii="Garamond" w:eastAsiaTheme="minorHAnsi" w:hAnsi="Garamond"/>
          <w:sz w:val="24"/>
          <w:szCs w:val="24"/>
          <w:lang w:eastAsia="en-US"/>
        </w:rPr>
      </w:pPr>
      <w:r w:rsidRPr="007114AF">
        <w:rPr>
          <w:rFonts w:ascii="Garamond" w:eastAsiaTheme="minorHAnsi" w:hAnsi="Garamond"/>
          <w:sz w:val="24"/>
          <w:szCs w:val="24"/>
          <w:lang w:eastAsia="en-US"/>
        </w:rPr>
        <w:lastRenderedPageBreak/>
        <w:t>Ju lutemi vëreni: Në përgjithësi ka një tendencë ndaj prioritetit të fondeve/ investuesve, të cilët parashikojnë projekte investimi në shkallë të gjerë.</w:t>
      </w:r>
    </w:p>
    <w:p w14:paraId="6EDD1748" w14:textId="77777777" w:rsidR="002F4BDF" w:rsidRPr="007114AF" w:rsidRDefault="002F4BDF" w:rsidP="002F4BDF">
      <w:pPr>
        <w:spacing w:after="0" w:line="240" w:lineRule="auto"/>
        <w:ind w:firstLine="284"/>
        <w:rPr>
          <w:rFonts w:ascii="Garamond" w:eastAsiaTheme="minorHAnsi" w:hAnsi="Garamond"/>
          <w:sz w:val="24"/>
          <w:szCs w:val="24"/>
          <w:lang w:eastAsia="en-US"/>
        </w:rPr>
        <w:sectPr w:rsidR="002F4BDF" w:rsidRPr="007114AF" w:rsidSect="003305AE">
          <w:pgSz w:w="16840" w:h="11907" w:orient="landscape" w:code="9"/>
          <w:pgMar w:top="1418" w:right="1418" w:bottom="1418" w:left="1418" w:header="1304" w:footer="1134" w:gutter="0"/>
          <w:cols w:space="720"/>
          <w:docGrid w:linePitch="360"/>
        </w:sectPr>
      </w:pPr>
    </w:p>
    <w:p w14:paraId="6EDD1749" w14:textId="77777777" w:rsidR="002F4BDF" w:rsidRPr="007114AF" w:rsidRDefault="002F4BDF" w:rsidP="002F4BDF">
      <w:pPr>
        <w:spacing w:after="0" w:line="240" w:lineRule="auto"/>
        <w:ind w:firstLine="284"/>
        <w:rPr>
          <w:rFonts w:ascii="Garamond" w:eastAsiaTheme="minorHAnsi" w:hAnsi="Garamond"/>
          <w:b/>
          <w:sz w:val="24"/>
          <w:szCs w:val="24"/>
          <w:lang w:eastAsia="en-US"/>
        </w:rPr>
      </w:pPr>
      <w:bookmarkStart w:id="200" w:name="_Toc479083937"/>
      <w:bookmarkStart w:id="201" w:name="_Toc469479198"/>
      <w:r w:rsidRPr="007114AF">
        <w:rPr>
          <w:rFonts w:ascii="Garamond" w:eastAsiaTheme="minorHAnsi" w:hAnsi="Garamond"/>
          <w:b/>
          <w:sz w:val="24"/>
          <w:szCs w:val="24"/>
          <w:lang w:eastAsia="en-US"/>
        </w:rPr>
        <w:lastRenderedPageBreak/>
        <w:sym w:font="Wingdings 2" w:char="F041"/>
      </w:r>
      <w:r w:rsidRPr="007114AF">
        <w:rPr>
          <w:rFonts w:ascii="Garamond" w:eastAsiaTheme="minorHAnsi" w:hAnsi="Garamond"/>
          <w:b/>
          <w:sz w:val="24"/>
          <w:szCs w:val="24"/>
          <w:lang w:eastAsia="en-US"/>
        </w:rPr>
        <w:t xml:space="preserve">Situata duke pasur parasysh Burime Specifike me Potencial të Lartë Financimi </w:t>
      </w:r>
      <w:bookmarkEnd w:id="200"/>
      <w:bookmarkEnd w:id="201"/>
    </w:p>
    <w:p w14:paraId="6EDD174A" w14:textId="77777777" w:rsidR="002F4BDF" w:rsidRPr="007114AF" w:rsidRDefault="002F4BDF" w:rsidP="002F4BDF">
      <w:pPr>
        <w:spacing w:after="0" w:line="240" w:lineRule="auto"/>
        <w:ind w:firstLine="284"/>
        <w:rPr>
          <w:rFonts w:ascii="Garamond" w:eastAsiaTheme="minorHAnsi" w:hAnsi="Garamond" w:cs="Arial"/>
          <w:iCs/>
          <w:sz w:val="24"/>
          <w:szCs w:val="24"/>
          <w:lang w:eastAsia="en-US"/>
        </w:rPr>
      </w:pPr>
      <w:bookmarkStart w:id="202" w:name="_Toc472434157"/>
      <w:bookmarkStart w:id="203" w:name="_Toc469479199"/>
    </w:p>
    <w:p w14:paraId="6EDD174B" w14:textId="77777777" w:rsidR="002F4BDF" w:rsidRPr="007114AF" w:rsidRDefault="002F4BDF" w:rsidP="002F4BDF">
      <w:pPr>
        <w:spacing w:after="0" w:line="240" w:lineRule="auto"/>
        <w:ind w:firstLine="284"/>
        <w:rPr>
          <w:rFonts w:ascii="Garamond" w:eastAsiaTheme="minorHAnsi" w:hAnsi="Garamond" w:cs="Arial"/>
          <w:i/>
          <w:iCs/>
          <w:sz w:val="24"/>
          <w:szCs w:val="24"/>
          <w:lang w:eastAsia="en-US"/>
        </w:rPr>
      </w:pPr>
      <w:r w:rsidRPr="007114AF">
        <w:rPr>
          <w:rFonts w:ascii="Garamond" w:eastAsiaTheme="minorHAnsi" w:hAnsi="Garamond" w:cs="Arial"/>
          <w:i/>
          <w:iCs/>
          <w:sz w:val="24"/>
          <w:szCs w:val="24"/>
          <w:lang w:eastAsia="en-US"/>
        </w:rPr>
        <w:t>Fondi i Gjelbër i Klimës (FGJK (GCF))</w:t>
      </w:r>
      <w:bookmarkEnd w:id="202"/>
    </w:p>
    <w:p w14:paraId="6EDD174C" w14:textId="36F7CBEF" w:rsidR="002F4BDF" w:rsidRPr="007114AF" w:rsidRDefault="002F4BDF" w:rsidP="002F4BDF">
      <w:pPr>
        <w:spacing w:after="0" w:line="240" w:lineRule="auto"/>
        <w:ind w:firstLine="284"/>
        <w:rPr>
          <w:rFonts w:ascii="Garamond" w:eastAsiaTheme="minorHAnsi" w:hAnsi="Garamond" w:cs="Arial"/>
          <w:sz w:val="24"/>
          <w:szCs w:val="24"/>
          <w:lang w:eastAsia="en-US"/>
        </w:rPr>
      </w:pPr>
      <w:r w:rsidRPr="007114AF">
        <w:rPr>
          <w:rFonts w:ascii="Garamond" w:eastAsiaTheme="minorHAnsi" w:hAnsi="Garamond" w:cs="Arial"/>
          <w:sz w:val="24"/>
          <w:szCs w:val="24"/>
          <w:lang w:eastAsia="en-US"/>
        </w:rPr>
        <w:t xml:space="preserve">Në bashkëpunim të ngushtë me Autoritetin Kombëtar të Caktuar (NDA), UNEP-i përgatiti dhe i paraqet një propozim Shërbimit Mbështetës ndaj Gatishmërisë të FGJK-ës (GCF) që arrin shumën 300.000 USD (duke përfshirë bashkëfinancim 10% nga QSH-ja). Aktivitetet e propozuara mbulojnë </w:t>
      </w:r>
      <w:r w:rsidR="00D10DAB" w:rsidRPr="007114AF">
        <w:rPr>
          <w:rFonts w:ascii="Garamond" w:eastAsiaTheme="minorHAnsi" w:hAnsi="Garamond" w:cs="Arial"/>
          <w:sz w:val="24"/>
          <w:szCs w:val="24"/>
          <w:lang w:eastAsia="en-US"/>
        </w:rPr>
        <w:t>‘</w:t>
      </w:r>
      <w:r w:rsidRPr="007114AF">
        <w:rPr>
          <w:rFonts w:ascii="Garamond" w:eastAsiaTheme="minorHAnsi" w:hAnsi="Garamond" w:cs="Arial"/>
          <w:sz w:val="24"/>
          <w:szCs w:val="24"/>
          <w:lang w:eastAsia="en-US"/>
        </w:rPr>
        <w:t>forcimin e kapaciteteve institucionale të NFP-ës për të përmbushur me efikasitet rolet dhe përgjegjësitë e saj të lidhura me Fondin, si dhe zhvillimin, nëpërmjet një procesi të angazhimit të shumë aktorëve të konsultuar gjerësisht, t</w:t>
      </w:r>
      <w:r w:rsidRPr="007114AF">
        <w:rPr>
          <w:rFonts w:ascii="Garamond" w:eastAsiaTheme="minorHAnsi" w:hAnsi="Garamond" w:cs="Times New Roman"/>
          <w:sz w:val="24"/>
          <w:szCs w:val="24"/>
          <w:lang w:eastAsia="en-US"/>
        </w:rPr>
        <w:t>ë</w:t>
      </w:r>
      <w:r w:rsidRPr="007114AF">
        <w:rPr>
          <w:rFonts w:ascii="Garamond" w:eastAsiaTheme="minorHAnsi" w:hAnsi="Garamond" w:cs="Arial"/>
          <w:sz w:val="24"/>
          <w:szCs w:val="24"/>
          <w:lang w:eastAsia="en-US"/>
        </w:rPr>
        <w:t xml:space="preserve">një programi vendor, duke përfshirë prioritetet e programimit, dhënien e prioritetit të qartë të programeve/projekteve dhe një grup të caktuar aktivitetesh që do të bazohen në paraqitjen e një projektpropozimi pranë FGJK-ës (GCF) </w:t>
      </w:r>
      <w:r w:rsidR="00D10DAB" w:rsidRPr="007114AF">
        <w:rPr>
          <w:rFonts w:ascii="Garamond" w:eastAsiaTheme="minorHAnsi" w:hAnsi="Garamond" w:cs="Arial"/>
          <w:sz w:val="24"/>
          <w:szCs w:val="24"/>
          <w:lang w:eastAsia="en-US"/>
        </w:rPr>
        <w:t>‘</w:t>
      </w:r>
      <w:r w:rsidRPr="007114AF">
        <w:rPr>
          <w:rFonts w:ascii="Garamond" w:eastAsiaTheme="minorHAnsi" w:hAnsi="Garamond" w:cs="Arial"/>
          <w:sz w:val="24"/>
          <w:szCs w:val="24"/>
          <w:lang w:eastAsia="en-US"/>
        </w:rPr>
        <w:t>.</w:t>
      </w:r>
    </w:p>
    <w:p w14:paraId="6EDD174D" w14:textId="77777777" w:rsidR="002F4BDF" w:rsidRPr="007114AF" w:rsidRDefault="002F4BDF" w:rsidP="002F4BDF">
      <w:pPr>
        <w:spacing w:after="0" w:line="240" w:lineRule="auto"/>
        <w:ind w:firstLine="284"/>
        <w:rPr>
          <w:rFonts w:ascii="Garamond" w:eastAsiaTheme="minorHAnsi" w:hAnsi="Garamond" w:cs="Arial"/>
          <w:sz w:val="24"/>
          <w:szCs w:val="24"/>
          <w:lang w:eastAsia="en-US"/>
        </w:rPr>
      </w:pPr>
      <w:r w:rsidRPr="007114AF">
        <w:rPr>
          <w:rFonts w:ascii="Garamond" w:eastAsiaTheme="minorHAnsi" w:hAnsi="Garamond" w:cs="Arial"/>
          <w:sz w:val="24"/>
          <w:szCs w:val="24"/>
          <w:lang w:eastAsia="en-US"/>
        </w:rPr>
        <w:t>Përveç kësaj, PNUD-i aktualisht po përgatit një propozim për qytetet bregdetare me aftësi ripërtëritëse ndaj ndryshimeve klimatike për paraqitje te fondi i përshtatjes së FGJK-ës (GCF).</w:t>
      </w:r>
    </w:p>
    <w:p w14:paraId="6EDD174E" w14:textId="511BEBF9" w:rsidR="002F4BDF" w:rsidRPr="007114AF" w:rsidRDefault="002F4BDF" w:rsidP="002F4BDF">
      <w:pPr>
        <w:spacing w:after="0" w:line="240" w:lineRule="auto"/>
        <w:ind w:firstLine="284"/>
        <w:rPr>
          <w:rFonts w:ascii="Garamond" w:eastAsiaTheme="minorHAnsi" w:hAnsi="Garamond" w:cs="Arial"/>
          <w:sz w:val="24"/>
          <w:szCs w:val="24"/>
          <w:lang w:eastAsia="en-US"/>
        </w:rPr>
      </w:pPr>
      <w:r w:rsidRPr="007114AF">
        <w:rPr>
          <w:rFonts w:ascii="Garamond" w:eastAsiaTheme="minorHAnsi" w:hAnsi="Garamond" w:cs="Arial"/>
          <w:sz w:val="24"/>
          <w:szCs w:val="24"/>
          <w:lang w:eastAsia="en-US"/>
        </w:rPr>
        <w:t>Në të ardhmen afatmesme, FGJK-ja (GCF) është ofruesi më i mundshëm i një granti të shkallës së gjerë për përshtatje ndaj ndryshimeve klimatike</w:t>
      </w:r>
      <w:r w:rsidR="000A2A01" w:rsidRPr="007114AF">
        <w:rPr>
          <w:rFonts w:ascii="Garamond" w:eastAsiaTheme="minorHAnsi" w:hAnsi="Garamond" w:cs="Arial"/>
          <w:sz w:val="24"/>
          <w:szCs w:val="24"/>
          <w:lang w:eastAsia="en-US"/>
        </w:rPr>
        <w:t xml:space="preserve"> </w:t>
      </w:r>
      <w:r w:rsidRPr="007114AF">
        <w:rPr>
          <w:rFonts w:ascii="Garamond" w:eastAsiaTheme="minorHAnsi" w:hAnsi="Garamond" w:cs="Arial"/>
          <w:sz w:val="24"/>
          <w:szCs w:val="24"/>
          <w:lang w:eastAsia="en-US"/>
        </w:rPr>
        <w:t>për Shqipërinë. Përveç granteve dhe huave koncesionare, FGJK-ja (GCF) ofron shumë modalitete të tjera financimi</w:t>
      </w:r>
      <w:r w:rsidRPr="007114AF">
        <w:rPr>
          <w:rFonts w:ascii="Garamond" w:eastAsiaTheme="minorHAnsi" w:hAnsi="Garamond" w:cs="Arial"/>
          <w:sz w:val="24"/>
          <w:szCs w:val="24"/>
          <w:vertAlign w:val="superscript"/>
          <w:lang w:eastAsia="en-US"/>
        </w:rPr>
        <w:footnoteReference w:id="89"/>
      </w:r>
      <w:r w:rsidRPr="007114AF">
        <w:rPr>
          <w:rFonts w:ascii="Garamond" w:eastAsiaTheme="minorHAnsi" w:hAnsi="Garamond" w:cs="Arial"/>
          <w:sz w:val="24"/>
          <w:szCs w:val="24"/>
          <w:lang w:eastAsia="en-US"/>
        </w:rPr>
        <w:t>. Aplikimi i ardhshëm te FGJK-ja (GCF) duhet të shqyrtojë ato përveç huave dhe granteve.</w:t>
      </w:r>
    </w:p>
    <w:p w14:paraId="6EDD174F" w14:textId="77777777" w:rsidR="002F4BDF" w:rsidRPr="007114AF" w:rsidRDefault="002F4BDF" w:rsidP="002F4BDF">
      <w:pPr>
        <w:spacing w:after="0" w:line="240" w:lineRule="auto"/>
        <w:ind w:firstLine="284"/>
        <w:rPr>
          <w:rFonts w:ascii="Garamond" w:eastAsiaTheme="minorHAnsi" w:hAnsi="Garamond" w:cs="Arial"/>
          <w:i/>
          <w:iCs/>
          <w:sz w:val="24"/>
          <w:szCs w:val="24"/>
          <w:lang w:eastAsia="en-US"/>
        </w:rPr>
      </w:pPr>
      <w:bookmarkStart w:id="204" w:name="_Toc472434158"/>
      <w:r w:rsidRPr="007114AF">
        <w:rPr>
          <w:rFonts w:ascii="Garamond" w:eastAsiaTheme="minorHAnsi" w:hAnsi="Garamond" w:cs="Arial"/>
          <w:i/>
          <w:iCs/>
          <w:sz w:val="24"/>
          <w:szCs w:val="24"/>
          <w:lang w:eastAsia="en-US"/>
        </w:rPr>
        <w:t>Fondi i Përshtatjes (FP)</w:t>
      </w:r>
      <w:bookmarkEnd w:id="204"/>
    </w:p>
    <w:p w14:paraId="6EDD1750" w14:textId="77777777" w:rsidR="002F4BDF" w:rsidRPr="007114AF" w:rsidRDefault="002F4BDF" w:rsidP="002F4BDF">
      <w:pPr>
        <w:spacing w:after="0" w:line="240" w:lineRule="auto"/>
        <w:ind w:firstLine="284"/>
        <w:rPr>
          <w:rFonts w:ascii="Garamond" w:eastAsiaTheme="minorHAnsi" w:hAnsi="Garamond" w:cs="Arial"/>
          <w:sz w:val="24"/>
          <w:szCs w:val="24"/>
          <w:lang w:eastAsia="en-US"/>
        </w:rPr>
      </w:pPr>
      <w:r w:rsidRPr="007114AF">
        <w:rPr>
          <w:rFonts w:ascii="Garamond" w:eastAsiaTheme="minorHAnsi" w:hAnsi="Garamond" w:cs="Arial"/>
          <w:sz w:val="24"/>
          <w:szCs w:val="24"/>
          <w:lang w:eastAsia="en-US"/>
        </w:rPr>
        <w:t xml:space="preserve">Meqë propozimi i udhëhequr nga Banka Botërore nuk u miratua në mars 2016, është e rëndësishme të shpjegohen zhvillimet më të fundit, duke pasur parasysh një riparaqitje (pra, një paraqitje të tretë). </w:t>
      </w:r>
    </w:p>
    <w:p w14:paraId="6EDD1751" w14:textId="2035A91A" w:rsidR="002F4BDF" w:rsidRPr="007114AF" w:rsidRDefault="002F4BDF" w:rsidP="002F4BDF">
      <w:pPr>
        <w:spacing w:after="0" w:line="240" w:lineRule="auto"/>
        <w:ind w:firstLine="284"/>
        <w:rPr>
          <w:rFonts w:ascii="Garamond" w:eastAsiaTheme="minorHAnsi" w:hAnsi="Garamond" w:cs="Arial"/>
          <w:sz w:val="24"/>
          <w:szCs w:val="24"/>
          <w:lang w:eastAsia="en-US"/>
        </w:rPr>
      </w:pPr>
      <w:r w:rsidRPr="007114AF">
        <w:rPr>
          <w:rFonts w:ascii="Garamond" w:eastAsiaTheme="minorHAnsi" w:hAnsi="Garamond" w:cs="Arial"/>
          <w:sz w:val="24"/>
          <w:szCs w:val="24"/>
          <w:lang w:eastAsia="en-US"/>
        </w:rPr>
        <w:t xml:space="preserve">Nga pikëpamja teorike, Shqipëria mund të marrë 10 </w:t>
      </w:r>
      <w:r w:rsidR="001C47F0" w:rsidRPr="007114AF">
        <w:rPr>
          <w:rFonts w:ascii="Garamond" w:eastAsiaTheme="minorHAnsi" w:hAnsi="Garamond" w:cs="Arial"/>
          <w:sz w:val="24"/>
          <w:szCs w:val="24"/>
          <w:lang w:eastAsia="en-US"/>
        </w:rPr>
        <w:t xml:space="preserve">milionë </w:t>
      </w:r>
      <w:r w:rsidRPr="007114AF">
        <w:rPr>
          <w:rFonts w:ascii="Garamond" w:eastAsiaTheme="minorHAnsi" w:hAnsi="Garamond" w:cs="Arial"/>
          <w:sz w:val="24"/>
          <w:szCs w:val="24"/>
          <w:lang w:eastAsia="en-US"/>
        </w:rPr>
        <w:t>USD nga AF-ja, por nuk ka shfrytëzuar ende këtë burim financimi. Megjithatë, AF-ja aktualisht shqyrton një ndryshim të metodës/procedurës mbi shumën e përcaktuar në vend</w:t>
      </w:r>
      <w:r w:rsidRPr="007114AF">
        <w:rPr>
          <w:rFonts w:ascii="Garamond" w:eastAsiaTheme="minorHAnsi" w:hAnsi="Garamond" w:cs="Arial"/>
          <w:sz w:val="24"/>
          <w:szCs w:val="24"/>
          <w:vertAlign w:val="superscript"/>
          <w:lang w:eastAsia="en-US"/>
        </w:rPr>
        <w:footnoteReference w:id="90"/>
      </w:r>
      <w:r w:rsidRPr="007114AF">
        <w:rPr>
          <w:rFonts w:ascii="Garamond" w:eastAsiaTheme="minorHAnsi" w:hAnsi="Garamond" w:cs="Arial"/>
          <w:sz w:val="24"/>
          <w:szCs w:val="24"/>
          <w:lang w:eastAsia="en-US"/>
        </w:rPr>
        <w:t>.</w:t>
      </w:r>
      <w:r w:rsidR="000A2A01" w:rsidRPr="007114AF">
        <w:rPr>
          <w:rFonts w:ascii="Garamond" w:eastAsiaTheme="minorHAnsi" w:hAnsi="Garamond" w:cs="Arial"/>
          <w:sz w:val="24"/>
          <w:szCs w:val="24"/>
          <w:lang w:eastAsia="en-US"/>
        </w:rPr>
        <w:t xml:space="preserve"> </w:t>
      </w:r>
    </w:p>
    <w:p w14:paraId="6EDD1752" w14:textId="77777777" w:rsidR="002F4BDF" w:rsidRPr="007114AF" w:rsidRDefault="002F4BDF" w:rsidP="002F4BDF">
      <w:pPr>
        <w:spacing w:after="0" w:line="240" w:lineRule="auto"/>
        <w:ind w:firstLine="284"/>
        <w:rPr>
          <w:rFonts w:ascii="Garamond" w:eastAsiaTheme="minorHAnsi" w:hAnsi="Garamond" w:cs="Arial"/>
          <w:i/>
          <w:iCs/>
          <w:sz w:val="24"/>
          <w:szCs w:val="24"/>
          <w:lang w:eastAsia="en-US"/>
        </w:rPr>
      </w:pPr>
      <w:bookmarkStart w:id="205" w:name="_Toc472434159"/>
      <w:r w:rsidRPr="007114AF">
        <w:rPr>
          <w:rFonts w:ascii="Garamond" w:eastAsiaTheme="minorHAnsi" w:hAnsi="Garamond" w:cs="Arial"/>
          <w:i/>
          <w:iCs/>
          <w:sz w:val="24"/>
          <w:szCs w:val="24"/>
          <w:lang w:eastAsia="en-US"/>
        </w:rPr>
        <w:t xml:space="preserve">Fondi i Zhvillimit </w:t>
      </w:r>
      <w:bookmarkEnd w:id="205"/>
      <w:r w:rsidRPr="007114AF">
        <w:rPr>
          <w:rFonts w:ascii="Garamond" w:eastAsiaTheme="minorHAnsi" w:hAnsi="Garamond" w:cs="Arial"/>
          <w:i/>
          <w:iCs/>
          <w:sz w:val="24"/>
          <w:szCs w:val="24"/>
          <w:lang w:eastAsia="en-US"/>
        </w:rPr>
        <w:t>të Rajoneve</w:t>
      </w:r>
    </w:p>
    <w:p w14:paraId="6EDD1753" w14:textId="2E6B73C6" w:rsidR="002F4BDF" w:rsidRPr="007114AF" w:rsidRDefault="002F4BDF" w:rsidP="002F4BDF">
      <w:pPr>
        <w:spacing w:after="0" w:line="240" w:lineRule="auto"/>
        <w:ind w:firstLine="284"/>
        <w:rPr>
          <w:rFonts w:ascii="Garamond" w:eastAsiaTheme="minorHAnsi" w:hAnsi="Garamond" w:cs="Arial"/>
          <w:sz w:val="24"/>
          <w:szCs w:val="24"/>
          <w:lang w:eastAsia="en-US"/>
        </w:rPr>
      </w:pPr>
      <w:r w:rsidRPr="007114AF">
        <w:rPr>
          <w:rFonts w:ascii="Garamond" w:eastAsiaTheme="minorHAnsi" w:hAnsi="Garamond" w:cs="Arial"/>
          <w:sz w:val="24"/>
          <w:szCs w:val="24"/>
          <w:lang w:eastAsia="en-US"/>
        </w:rPr>
        <w:t>Fondi i Zhvillimit të Rajoneve (FZHR) (RDF) luan rol kryesor në mbështetjen ndaj investimeve për autoritetet rajonale dhe vendore. FZHR-ja (RDF) u krijua në nëntor 2009 në bazë të Ligjit</w:t>
      </w:r>
      <w:r w:rsidR="00242009" w:rsidRPr="007114AF">
        <w:rPr>
          <w:rFonts w:ascii="Garamond" w:eastAsiaTheme="minorHAnsi" w:hAnsi="Garamond" w:cs="Arial"/>
          <w:sz w:val="24"/>
          <w:szCs w:val="24"/>
          <w:lang w:eastAsia="en-US"/>
        </w:rPr>
        <w:t xml:space="preserve"> nr. </w:t>
      </w:r>
      <w:r w:rsidRPr="007114AF">
        <w:rPr>
          <w:rFonts w:ascii="Garamond" w:eastAsiaTheme="minorHAnsi" w:hAnsi="Garamond" w:cs="Arial"/>
          <w:sz w:val="24"/>
          <w:szCs w:val="24"/>
          <w:lang w:eastAsia="en-US"/>
        </w:rPr>
        <w:t>10190, dhe përdoret për mbështetjen e investimeve në nivele rajonale dhe vendore nëpërmjet një sistemi konkurrues grantesh në disa fusha politikash. FZHR-ja (RDF) ka karakteristikat e mëposhtme:</w:t>
      </w:r>
      <w:r w:rsidR="000A2A01" w:rsidRPr="007114AF">
        <w:rPr>
          <w:rFonts w:ascii="Garamond" w:eastAsiaTheme="minorHAnsi" w:hAnsi="Garamond" w:cs="Arial"/>
          <w:sz w:val="24"/>
          <w:szCs w:val="24"/>
          <w:lang w:eastAsia="en-US"/>
        </w:rPr>
        <w:t xml:space="preserve"> </w:t>
      </w:r>
    </w:p>
    <w:p w14:paraId="6EDD1754" w14:textId="77777777" w:rsidR="002F4BDF" w:rsidRPr="007114AF" w:rsidRDefault="002F4BDF" w:rsidP="002F4BDF">
      <w:pPr>
        <w:spacing w:after="0" w:line="240" w:lineRule="auto"/>
        <w:ind w:firstLine="284"/>
        <w:rPr>
          <w:rFonts w:ascii="Garamond" w:eastAsiaTheme="minorHAnsi" w:hAnsi="Garamond" w:cs="Arial"/>
          <w:sz w:val="24"/>
          <w:szCs w:val="24"/>
          <w:lang w:eastAsia="en-US"/>
        </w:rPr>
      </w:pPr>
      <w:r w:rsidRPr="007114AF">
        <w:rPr>
          <w:rFonts w:ascii="Garamond" w:eastAsiaTheme="minorHAnsi" w:hAnsi="Garamond" w:cs="Arial"/>
          <w:sz w:val="24"/>
          <w:szCs w:val="24"/>
          <w:lang w:eastAsia="en-US"/>
        </w:rPr>
        <w:t xml:space="preserve">- Ministritë e linjës janë përgjegjëse për përzgjedhjen dhe zbatimin e projekteve, ndërsa koordinimi i përgjithshëm kryhet nga DSDC-ja me konsulencën e Ministrisë së Financave dhe Ekonomisë dhe Fondit Shqiptar të Zhvillimit; </w:t>
      </w:r>
    </w:p>
    <w:p w14:paraId="6EDD1755" w14:textId="77777777" w:rsidR="002F4BDF" w:rsidRPr="007114AF" w:rsidRDefault="002F4BDF" w:rsidP="002F4BDF">
      <w:pPr>
        <w:spacing w:after="0" w:line="240" w:lineRule="auto"/>
        <w:ind w:firstLine="284"/>
        <w:rPr>
          <w:rFonts w:ascii="Garamond" w:eastAsiaTheme="minorHAnsi" w:hAnsi="Garamond" w:cs="Arial"/>
          <w:sz w:val="24"/>
          <w:szCs w:val="24"/>
          <w:lang w:eastAsia="en-US"/>
        </w:rPr>
      </w:pPr>
      <w:r w:rsidRPr="007114AF">
        <w:rPr>
          <w:rFonts w:ascii="Garamond" w:eastAsiaTheme="minorHAnsi" w:hAnsi="Garamond" w:cs="Arial"/>
          <w:sz w:val="24"/>
          <w:szCs w:val="24"/>
          <w:lang w:eastAsia="en-US"/>
        </w:rPr>
        <w:t xml:space="preserve">- Çdo sferë politike ka alokimin e vet financiar dhe linjën e buxhetit për zhvillim rajonal; </w:t>
      </w:r>
    </w:p>
    <w:p w14:paraId="6EDD1756" w14:textId="77777777" w:rsidR="002F4BDF" w:rsidRPr="007114AF" w:rsidRDefault="002F4BDF" w:rsidP="002F4BDF">
      <w:pPr>
        <w:spacing w:after="0" w:line="240" w:lineRule="auto"/>
        <w:ind w:firstLine="284"/>
        <w:rPr>
          <w:rFonts w:ascii="Garamond" w:eastAsiaTheme="minorHAnsi" w:hAnsi="Garamond" w:cs="Arial"/>
          <w:sz w:val="24"/>
          <w:szCs w:val="24"/>
          <w:lang w:eastAsia="en-US"/>
        </w:rPr>
      </w:pPr>
      <w:r w:rsidRPr="007114AF">
        <w:rPr>
          <w:rFonts w:ascii="Garamond" w:eastAsiaTheme="minorHAnsi" w:hAnsi="Garamond" w:cs="Arial"/>
          <w:sz w:val="24"/>
          <w:szCs w:val="24"/>
          <w:lang w:eastAsia="en-US"/>
        </w:rPr>
        <w:t xml:space="preserve">- Këto fonde të ndara sipas sferës së politikave shpërndahen në qarqe mbi bazën e disa kritereve; </w:t>
      </w:r>
    </w:p>
    <w:p w14:paraId="6EDD1757" w14:textId="397B7CF6" w:rsidR="002F4BDF" w:rsidRPr="007114AF" w:rsidRDefault="002F4BDF" w:rsidP="002F4BDF">
      <w:pPr>
        <w:spacing w:after="0" w:line="240" w:lineRule="auto"/>
        <w:ind w:firstLine="284"/>
        <w:rPr>
          <w:rFonts w:ascii="Garamond" w:eastAsiaTheme="minorHAnsi" w:hAnsi="Garamond" w:cs="Arial"/>
          <w:sz w:val="24"/>
          <w:szCs w:val="24"/>
          <w:lang w:eastAsia="en-US"/>
        </w:rPr>
      </w:pPr>
      <w:r w:rsidRPr="007114AF">
        <w:rPr>
          <w:rFonts w:ascii="Garamond" w:eastAsiaTheme="minorHAnsi" w:hAnsi="Garamond" w:cs="Arial"/>
          <w:sz w:val="24"/>
          <w:szCs w:val="24"/>
          <w:lang w:eastAsia="en-US"/>
        </w:rPr>
        <w:t>- Buxheti për projekt alokohet</w:t>
      </w:r>
      <w:r w:rsidR="000A2A01" w:rsidRPr="007114AF">
        <w:rPr>
          <w:rFonts w:ascii="Garamond" w:eastAsiaTheme="minorHAnsi" w:hAnsi="Garamond" w:cs="Arial"/>
          <w:sz w:val="24"/>
          <w:szCs w:val="24"/>
          <w:lang w:eastAsia="en-US"/>
        </w:rPr>
        <w:t xml:space="preserve"> </w:t>
      </w:r>
      <w:r w:rsidRPr="007114AF">
        <w:rPr>
          <w:rFonts w:ascii="Garamond" w:eastAsiaTheme="minorHAnsi" w:hAnsi="Garamond" w:cs="Arial"/>
          <w:sz w:val="24"/>
          <w:szCs w:val="24"/>
          <w:lang w:eastAsia="en-US"/>
        </w:rPr>
        <w:t xml:space="preserve">mbi bazën e një sistemi konkurrues granti; </w:t>
      </w:r>
    </w:p>
    <w:p w14:paraId="6EDD1758" w14:textId="77777777" w:rsidR="002F4BDF" w:rsidRPr="007114AF" w:rsidRDefault="002F4BDF" w:rsidP="002F4BDF">
      <w:pPr>
        <w:spacing w:after="0" w:line="240" w:lineRule="auto"/>
        <w:ind w:firstLine="284"/>
        <w:rPr>
          <w:rFonts w:ascii="Garamond" w:eastAsiaTheme="minorHAnsi" w:hAnsi="Garamond" w:cs="Arial"/>
          <w:sz w:val="24"/>
          <w:szCs w:val="24"/>
          <w:lang w:eastAsia="en-US"/>
        </w:rPr>
      </w:pPr>
      <w:r w:rsidRPr="007114AF">
        <w:rPr>
          <w:rFonts w:ascii="Garamond" w:eastAsiaTheme="minorHAnsi" w:hAnsi="Garamond" w:cs="Arial"/>
          <w:sz w:val="24"/>
          <w:szCs w:val="24"/>
          <w:lang w:eastAsia="en-US"/>
        </w:rPr>
        <w:t xml:space="preserve">- Projektet vlerësohen mbi bazën e një rrjeti vlerësimi, duke përdorur disa tregues dhe rezultate përkatëse, përfshirë rëndësinë e tyre ndaj një prioriteti të caktuar politike sektoriale. </w:t>
      </w:r>
    </w:p>
    <w:p w14:paraId="6EDD1759" w14:textId="6A908026" w:rsidR="002F4BDF" w:rsidRPr="007114AF" w:rsidRDefault="002F4BDF" w:rsidP="002F4BDF">
      <w:pPr>
        <w:spacing w:after="0" w:line="240" w:lineRule="auto"/>
        <w:ind w:firstLine="284"/>
        <w:rPr>
          <w:rFonts w:ascii="Garamond" w:eastAsiaTheme="minorHAnsi" w:hAnsi="Garamond" w:cs="Arial"/>
          <w:sz w:val="24"/>
          <w:szCs w:val="24"/>
          <w:lang w:eastAsia="en-US"/>
        </w:rPr>
      </w:pPr>
      <w:r w:rsidRPr="007114AF">
        <w:rPr>
          <w:rFonts w:ascii="Garamond" w:eastAsiaTheme="minorHAnsi" w:hAnsi="Garamond" w:cs="Arial"/>
          <w:sz w:val="24"/>
          <w:szCs w:val="24"/>
          <w:lang w:eastAsia="en-US"/>
        </w:rPr>
        <w:t xml:space="preserve">Volumi financiar i granteve të dhëna nga FZHR-ja (RDF) arrin shumën deri 72.8 </w:t>
      </w:r>
      <w:r w:rsidR="001C47F0" w:rsidRPr="007114AF">
        <w:rPr>
          <w:rFonts w:ascii="Garamond" w:eastAsiaTheme="minorHAnsi" w:hAnsi="Garamond" w:cs="Arial"/>
          <w:sz w:val="24"/>
          <w:szCs w:val="24"/>
          <w:lang w:eastAsia="en-US"/>
        </w:rPr>
        <w:t xml:space="preserve">milionë </w:t>
      </w:r>
      <w:r w:rsidRPr="007114AF">
        <w:rPr>
          <w:rFonts w:ascii="Garamond" w:eastAsiaTheme="minorHAnsi" w:hAnsi="Garamond" w:cs="Arial"/>
          <w:sz w:val="24"/>
          <w:szCs w:val="24"/>
          <w:lang w:eastAsia="en-US"/>
        </w:rPr>
        <w:t>Euro në vit. FZHR-ja (RDF) bashkëpunon me ministritë për caktimin e prioriteteve sektoriale të qeverisë qendrore në nivel rajonal mbi bazë vjetore. Programi për vitin 2019 përgatitet deri në fund të vitit 2018.</w:t>
      </w:r>
      <w:r w:rsidR="000A2A01" w:rsidRPr="007114AF">
        <w:rPr>
          <w:rFonts w:ascii="Garamond" w:eastAsiaTheme="minorHAnsi" w:hAnsi="Garamond" w:cs="Arial"/>
          <w:sz w:val="24"/>
          <w:szCs w:val="24"/>
          <w:lang w:eastAsia="en-US"/>
        </w:rPr>
        <w:t xml:space="preserve"> </w:t>
      </w:r>
      <w:r w:rsidRPr="007114AF">
        <w:rPr>
          <w:rFonts w:ascii="Garamond" w:eastAsiaTheme="minorHAnsi" w:hAnsi="Garamond" w:cs="Arial"/>
          <w:sz w:val="24"/>
          <w:szCs w:val="24"/>
          <w:lang w:eastAsia="en-US"/>
        </w:rPr>
        <w:t>Para muajit dhjetor 2018, çdo ministri duhet të ketë dërguar prioritetet e tyre për vitin e ardhshëm. Atëherë, bashkitë aplikojnë për projekte për fushat e përzgjedhura.</w:t>
      </w:r>
    </w:p>
    <w:p w14:paraId="6EDD175A" w14:textId="5C162458" w:rsidR="002F4BDF" w:rsidRPr="007114AF" w:rsidRDefault="002F4BDF" w:rsidP="002F4BDF">
      <w:pPr>
        <w:spacing w:after="0" w:line="240" w:lineRule="auto"/>
        <w:ind w:firstLine="284"/>
        <w:rPr>
          <w:rFonts w:ascii="Garamond" w:eastAsiaTheme="minorHAnsi" w:hAnsi="Garamond" w:cs="Arial"/>
          <w:sz w:val="24"/>
          <w:szCs w:val="24"/>
          <w:lang w:eastAsia="en-US"/>
        </w:rPr>
      </w:pPr>
      <w:r w:rsidRPr="007114AF">
        <w:rPr>
          <w:rFonts w:ascii="Garamond" w:eastAsiaTheme="minorHAnsi" w:hAnsi="Garamond" w:cs="Arial"/>
          <w:sz w:val="24"/>
          <w:szCs w:val="24"/>
          <w:lang w:eastAsia="en-US"/>
        </w:rPr>
        <w:lastRenderedPageBreak/>
        <w:t>Planifikohet që FZHR-ja (RDF)</w:t>
      </w:r>
      <w:r w:rsidR="000A2A01" w:rsidRPr="007114AF">
        <w:rPr>
          <w:rFonts w:ascii="Garamond" w:eastAsiaTheme="minorHAnsi" w:hAnsi="Garamond" w:cs="Arial"/>
          <w:sz w:val="24"/>
          <w:szCs w:val="24"/>
          <w:lang w:eastAsia="en-US"/>
        </w:rPr>
        <w:t xml:space="preserve"> </w:t>
      </w:r>
      <w:r w:rsidRPr="007114AF">
        <w:rPr>
          <w:rFonts w:ascii="Garamond" w:eastAsiaTheme="minorHAnsi" w:hAnsi="Garamond" w:cs="Arial"/>
          <w:sz w:val="24"/>
          <w:szCs w:val="24"/>
          <w:lang w:eastAsia="en-US"/>
        </w:rPr>
        <w:t>do të integrojë kriteret e lidhura me përshtatjen në udhëzimet e saj për planifikimin e buxhetit, si dhe procesin e përzgjedhjes dhe verifikimit të projektit</w:t>
      </w:r>
      <w:r w:rsidRPr="007114AF">
        <w:rPr>
          <w:rFonts w:ascii="Garamond" w:eastAsiaTheme="minorHAnsi" w:hAnsi="Garamond" w:cs="Arial"/>
          <w:sz w:val="24"/>
          <w:szCs w:val="24"/>
          <w:vertAlign w:val="superscript"/>
          <w:lang w:eastAsia="en-US"/>
        </w:rPr>
        <w:footnoteReference w:id="91"/>
      </w:r>
      <w:r w:rsidRPr="007114AF">
        <w:rPr>
          <w:rFonts w:ascii="Garamond" w:eastAsiaTheme="minorHAnsi" w:hAnsi="Garamond" w:cs="Arial"/>
          <w:sz w:val="24"/>
          <w:szCs w:val="24"/>
          <w:lang w:eastAsia="en-US"/>
        </w:rPr>
        <w:t>. Këto udhëzime do të miratohen nga Komiteti i FZHR-ës (RDF), i cili përbëhet nga Kryeministri dhe 85% e kabinetit të ministrave dhe përfaqësues nga bashki dhe shoqata rajonale. Komiteti miraton dokumente strategjike, programim, rregulla dhe rregullore të harmonizuara për zbatim, kritere verifikimi për aplikime, vlerësimin deri tek autoriteti kontraktues për projektin e miratuar.</w:t>
      </w:r>
      <w:r w:rsidR="000A2A01" w:rsidRPr="007114AF">
        <w:rPr>
          <w:rFonts w:ascii="Garamond" w:eastAsiaTheme="minorHAnsi" w:hAnsi="Garamond" w:cs="Arial"/>
          <w:sz w:val="24"/>
          <w:szCs w:val="24"/>
          <w:lang w:eastAsia="en-US"/>
        </w:rPr>
        <w:t xml:space="preserve"> </w:t>
      </w:r>
    </w:p>
    <w:p w14:paraId="6EDD175B" w14:textId="77777777" w:rsidR="002F4BDF" w:rsidRPr="007114AF" w:rsidRDefault="002F4BDF" w:rsidP="002F4BDF">
      <w:pPr>
        <w:spacing w:after="0" w:line="240" w:lineRule="auto"/>
        <w:ind w:firstLine="284"/>
        <w:rPr>
          <w:rFonts w:ascii="Garamond" w:eastAsiaTheme="minorHAnsi" w:hAnsi="Garamond" w:cs="Arial"/>
          <w:i/>
          <w:iCs/>
          <w:sz w:val="24"/>
          <w:szCs w:val="24"/>
          <w:lang w:eastAsia="en-US"/>
        </w:rPr>
      </w:pPr>
      <w:bookmarkStart w:id="206" w:name="_Toc472434160"/>
      <w:r w:rsidRPr="007114AF">
        <w:rPr>
          <w:rFonts w:ascii="Garamond" w:eastAsiaTheme="minorHAnsi" w:hAnsi="Garamond" w:cs="Arial"/>
          <w:i/>
          <w:iCs/>
          <w:sz w:val="24"/>
          <w:szCs w:val="24"/>
          <w:lang w:eastAsia="en-US"/>
        </w:rPr>
        <w:t>Instrumenti II i BE-së për Paraaderimin</w:t>
      </w:r>
      <w:bookmarkEnd w:id="206"/>
    </w:p>
    <w:p w14:paraId="6EDD175C" w14:textId="0CF6D96B" w:rsidR="002F4BDF" w:rsidRPr="007114AF" w:rsidRDefault="002F4BDF" w:rsidP="002F4BDF">
      <w:pPr>
        <w:spacing w:after="0" w:line="240" w:lineRule="auto"/>
        <w:ind w:firstLine="284"/>
        <w:rPr>
          <w:rFonts w:ascii="Garamond" w:eastAsiaTheme="minorHAnsi" w:hAnsi="Garamond" w:cs="Arial"/>
          <w:sz w:val="24"/>
          <w:szCs w:val="24"/>
          <w:lang w:eastAsia="en-US"/>
        </w:rPr>
      </w:pPr>
      <w:r w:rsidRPr="007114AF">
        <w:rPr>
          <w:rFonts w:ascii="Garamond" w:eastAsiaTheme="minorHAnsi" w:hAnsi="Garamond" w:cs="Arial"/>
          <w:sz w:val="24"/>
          <w:szCs w:val="24"/>
          <w:lang w:eastAsia="en-US"/>
        </w:rPr>
        <w:t xml:space="preserve">BE IPA II ka një fond të mjedisit dhe klimës që arrin shumën 68 </w:t>
      </w:r>
      <w:r w:rsidR="001C47F0" w:rsidRPr="007114AF">
        <w:rPr>
          <w:rFonts w:ascii="Garamond" w:eastAsiaTheme="minorHAnsi" w:hAnsi="Garamond" w:cs="Arial"/>
          <w:sz w:val="24"/>
          <w:szCs w:val="24"/>
          <w:lang w:eastAsia="en-US"/>
        </w:rPr>
        <w:t xml:space="preserve">milionë </w:t>
      </w:r>
      <w:r w:rsidRPr="007114AF">
        <w:rPr>
          <w:rFonts w:ascii="Garamond" w:eastAsiaTheme="minorHAnsi" w:hAnsi="Garamond" w:cs="Arial"/>
          <w:sz w:val="24"/>
          <w:szCs w:val="24"/>
          <w:lang w:eastAsia="en-US"/>
        </w:rPr>
        <w:t>Euro për periudhën 2014 deri 2020. Strategjia fillestare vendore IPA II e shqyrton përshtatjen ndaj ndryshimeve klimatike vetëm në mënyrë sipërfaqësore dhe nuk ka asnjë alokim të drejtpërdrejtë buxheti për masat e përshtatëse ndaj ndryshimeve klimatike. Në tetor 2016 ka pasur një kërkesë për përmirësimin e aspekteve të ndryshimeve klimatike për strategjinë. Ministria përgjegjëse, ish Ministria e Mjedisit, propozoi të përfshinte disa masa në përgjigje të saj (shihni për detaje shtojcën 1).</w:t>
      </w:r>
    </w:p>
    <w:p w14:paraId="6EDD175D" w14:textId="77777777" w:rsidR="002F4BDF" w:rsidRPr="007114AF" w:rsidRDefault="002F4BDF" w:rsidP="002F4BDF">
      <w:pPr>
        <w:spacing w:after="0" w:line="240" w:lineRule="auto"/>
        <w:ind w:firstLine="284"/>
        <w:rPr>
          <w:rFonts w:ascii="Garamond" w:eastAsiaTheme="minorHAnsi" w:hAnsi="Garamond" w:cs="Arial"/>
          <w:sz w:val="24"/>
          <w:szCs w:val="24"/>
          <w:lang w:eastAsia="en-US"/>
        </w:rPr>
      </w:pPr>
      <w:r w:rsidRPr="007114AF">
        <w:rPr>
          <w:rFonts w:ascii="Garamond" w:eastAsiaTheme="minorHAnsi" w:hAnsi="Garamond" w:cs="Arial"/>
          <w:sz w:val="24"/>
          <w:szCs w:val="24"/>
          <w:lang w:eastAsia="en-US"/>
        </w:rPr>
        <w:t>Procesi për miratimin e projekteve të financuara nga IPA II:</w:t>
      </w:r>
    </w:p>
    <w:p w14:paraId="6EDD175E" w14:textId="77777777" w:rsidR="002F4BDF" w:rsidRPr="007114AF" w:rsidRDefault="002F4BDF" w:rsidP="002F4BDF">
      <w:pPr>
        <w:spacing w:after="0" w:line="240" w:lineRule="auto"/>
        <w:ind w:firstLine="284"/>
        <w:rPr>
          <w:rFonts w:ascii="Garamond" w:eastAsiaTheme="minorHAnsi" w:hAnsi="Garamond" w:cs="Arial"/>
          <w:sz w:val="24"/>
          <w:szCs w:val="24"/>
          <w:lang w:eastAsia="en-US"/>
        </w:rPr>
      </w:pPr>
      <w:r w:rsidRPr="007114AF">
        <w:rPr>
          <w:rFonts w:ascii="Garamond" w:eastAsiaTheme="minorHAnsi" w:hAnsi="Garamond" w:cs="Arial"/>
          <w:sz w:val="24"/>
          <w:szCs w:val="24"/>
          <w:lang w:eastAsia="en-US"/>
        </w:rPr>
        <w:t>- Procesi i përgjithshëm mund të kërkojë deri 3 vjet.</w:t>
      </w:r>
    </w:p>
    <w:p w14:paraId="6EDD175F" w14:textId="77777777" w:rsidR="002F4BDF" w:rsidRPr="007114AF" w:rsidRDefault="002F4BDF" w:rsidP="002F4BDF">
      <w:pPr>
        <w:spacing w:after="0" w:line="240" w:lineRule="auto"/>
        <w:ind w:firstLine="284"/>
        <w:rPr>
          <w:rFonts w:ascii="Garamond" w:eastAsiaTheme="minorHAnsi" w:hAnsi="Garamond" w:cs="Arial"/>
          <w:sz w:val="24"/>
          <w:szCs w:val="24"/>
          <w:lang w:eastAsia="en-US"/>
        </w:rPr>
      </w:pPr>
      <w:r w:rsidRPr="007114AF">
        <w:rPr>
          <w:rFonts w:ascii="Garamond" w:eastAsiaTheme="minorHAnsi" w:hAnsi="Garamond" w:cs="Arial"/>
          <w:sz w:val="24"/>
          <w:szCs w:val="24"/>
          <w:lang w:eastAsia="en-US"/>
        </w:rPr>
        <w:t>- Ministria për Evropën dhe Punët e Jashtme i dërgon një kërkesë zyrtare të gjitha ministrive të linjës për paraqitjen e projektideve çdo vit.</w:t>
      </w:r>
    </w:p>
    <w:p w14:paraId="6EDD1760" w14:textId="57AA74C2" w:rsidR="002F4BDF" w:rsidRPr="007114AF" w:rsidRDefault="002F4BDF" w:rsidP="002F4BDF">
      <w:pPr>
        <w:spacing w:after="0" w:line="240" w:lineRule="auto"/>
        <w:ind w:firstLine="284"/>
        <w:rPr>
          <w:rFonts w:ascii="Garamond" w:eastAsiaTheme="minorHAnsi" w:hAnsi="Garamond" w:cs="Arial"/>
          <w:sz w:val="24"/>
          <w:szCs w:val="24"/>
          <w:lang w:eastAsia="en-US"/>
        </w:rPr>
      </w:pPr>
      <w:r w:rsidRPr="007114AF">
        <w:rPr>
          <w:rFonts w:ascii="Garamond" w:eastAsiaTheme="minorHAnsi" w:hAnsi="Garamond" w:cs="Arial"/>
          <w:sz w:val="24"/>
          <w:szCs w:val="24"/>
          <w:lang w:eastAsia="en-US"/>
        </w:rPr>
        <w:t>- Ministritë e linjës supozohen të paraqesin një projektpropozim të përmbledhur të 4 faqeve, që përfshijnë detajet e mëposhtme: i) titullin e projektit dhe pikën e kontaktit; ii) sektorin/nënsektorin sipas Planit të Veprimit për Zbatimin e MSA-së, nëse projekti propozohet të përfshihet; iii) lidhjen me dokumente strategjike; iv) objektivin/qëllimin e përgjithshëm të projektit; v) përshkrimin e projektpropozimit; vi) kohëzgjatjen e projektit; vii) vlerësimin e kapaciteteve aktuale</w:t>
      </w:r>
      <w:r w:rsidR="000A2A01" w:rsidRPr="007114AF">
        <w:rPr>
          <w:rFonts w:ascii="Garamond" w:eastAsiaTheme="minorHAnsi" w:hAnsi="Garamond" w:cs="Arial"/>
          <w:sz w:val="24"/>
          <w:szCs w:val="24"/>
          <w:lang w:eastAsia="en-US"/>
        </w:rPr>
        <w:t xml:space="preserve"> </w:t>
      </w:r>
      <w:r w:rsidRPr="007114AF">
        <w:rPr>
          <w:rFonts w:ascii="Garamond" w:eastAsiaTheme="minorHAnsi" w:hAnsi="Garamond" w:cs="Arial"/>
          <w:sz w:val="24"/>
          <w:szCs w:val="24"/>
          <w:lang w:eastAsia="en-US"/>
        </w:rPr>
        <w:t>administrative të ministrisë/institucionit për menaxhimin e zbatimit të projekteve; viii) lidhjen e projektpropozimit aktual me asistencën e mëparshme në këtë fushë; ix) institucionin përfitues / institucionet e përfshira në zbatimin e projektit; x) koston treguese për projektin.</w:t>
      </w:r>
    </w:p>
    <w:p w14:paraId="6EDD1761" w14:textId="77777777" w:rsidR="002F4BDF" w:rsidRPr="007114AF" w:rsidRDefault="002F4BDF" w:rsidP="002F4BDF">
      <w:pPr>
        <w:spacing w:after="0" w:line="240" w:lineRule="auto"/>
        <w:ind w:firstLine="284"/>
        <w:rPr>
          <w:rFonts w:ascii="Garamond" w:eastAsiaTheme="minorHAnsi" w:hAnsi="Garamond" w:cs="Arial"/>
          <w:sz w:val="24"/>
          <w:szCs w:val="24"/>
          <w:lang w:eastAsia="en-US"/>
        </w:rPr>
      </w:pPr>
      <w:r w:rsidRPr="007114AF">
        <w:rPr>
          <w:rFonts w:ascii="Garamond" w:eastAsiaTheme="minorHAnsi" w:hAnsi="Garamond" w:cs="Arial"/>
          <w:sz w:val="24"/>
          <w:szCs w:val="24"/>
          <w:lang w:eastAsia="en-US"/>
        </w:rPr>
        <w:t>- Miratim nga EUD-ja pas 2 seancave (me përfaqësues nga KE-ja, Bruksel).</w:t>
      </w:r>
    </w:p>
    <w:p w14:paraId="6EDD1762" w14:textId="77777777" w:rsidR="002F4BDF" w:rsidRPr="007114AF" w:rsidRDefault="002F4BDF" w:rsidP="002F4BDF">
      <w:pPr>
        <w:spacing w:after="0" w:line="240" w:lineRule="auto"/>
        <w:ind w:firstLine="284"/>
        <w:rPr>
          <w:rFonts w:ascii="Garamond" w:eastAsiaTheme="minorHAnsi" w:hAnsi="Garamond" w:cs="Arial"/>
          <w:sz w:val="24"/>
          <w:szCs w:val="24"/>
          <w:lang w:eastAsia="en-US"/>
        </w:rPr>
      </w:pPr>
      <w:r w:rsidRPr="007114AF">
        <w:rPr>
          <w:rFonts w:ascii="Garamond" w:eastAsiaTheme="minorHAnsi" w:hAnsi="Garamond" w:cs="Arial"/>
          <w:sz w:val="24"/>
          <w:szCs w:val="24"/>
          <w:lang w:eastAsia="en-US"/>
        </w:rPr>
        <w:t>- Tavanet e projektit zakonisht miratohen për tre vite.</w:t>
      </w:r>
    </w:p>
    <w:p w14:paraId="6EDD1763" w14:textId="77777777" w:rsidR="002F4BDF" w:rsidRPr="007114AF" w:rsidRDefault="002F4BDF" w:rsidP="002F4BDF">
      <w:pPr>
        <w:spacing w:after="0" w:line="240" w:lineRule="auto"/>
        <w:ind w:firstLine="284"/>
        <w:rPr>
          <w:rFonts w:ascii="Garamond" w:eastAsiaTheme="minorHAnsi" w:hAnsi="Garamond" w:cs="Arial"/>
          <w:sz w:val="24"/>
          <w:szCs w:val="24"/>
          <w:lang w:eastAsia="en-US"/>
        </w:rPr>
      </w:pPr>
      <w:r w:rsidRPr="007114AF">
        <w:rPr>
          <w:rFonts w:ascii="Garamond" w:eastAsiaTheme="minorHAnsi" w:hAnsi="Garamond" w:cs="Arial"/>
          <w:sz w:val="24"/>
          <w:szCs w:val="24"/>
          <w:lang w:eastAsia="en-US"/>
        </w:rPr>
        <w:t>- Përgatitja dhe miratimi i Fishës Standarde të Projektit (rreth 30 faqe).</w:t>
      </w:r>
    </w:p>
    <w:p w14:paraId="6EDD1764" w14:textId="77777777" w:rsidR="002F4BDF" w:rsidRPr="007114AF" w:rsidRDefault="002F4BDF" w:rsidP="002F4BDF">
      <w:pPr>
        <w:spacing w:after="0" w:line="240" w:lineRule="auto"/>
        <w:ind w:firstLine="284"/>
        <w:rPr>
          <w:rFonts w:ascii="Garamond" w:eastAsiaTheme="minorHAnsi" w:hAnsi="Garamond" w:cs="Arial"/>
          <w:sz w:val="24"/>
          <w:szCs w:val="24"/>
          <w:lang w:eastAsia="en-US"/>
        </w:rPr>
      </w:pPr>
      <w:r w:rsidRPr="007114AF">
        <w:rPr>
          <w:rFonts w:ascii="Garamond" w:eastAsiaTheme="minorHAnsi" w:hAnsi="Garamond" w:cs="Arial"/>
          <w:sz w:val="24"/>
          <w:szCs w:val="24"/>
          <w:lang w:eastAsia="en-US"/>
        </w:rPr>
        <w:t>- Procesi i tenderimit.</w:t>
      </w:r>
    </w:p>
    <w:p w14:paraId="6EDD1765" w14:textId="77777777" w:rsidR="002F4BDF" w:rsidRPr="007114AF" w:rsidRDefault="002F4BDF" w:rsidP="002F4BDF">
      <w:pPr>
        <w:spacing w:after="0" w:line="240" w:lineRule="auto"/>
        <w:ind w:firstLine="284"/>
        <w:rPr>
          <w:rFonts w:ascii="Garamond" w:eastAsiaTheme="minorHAnsi" w:hAnsi="Garamond" w:cs="Arial"/>
          <w:sz w:val="24"/>
          <w:szCs w:val="24"/>
          <w:lang w:eastAsia="en-US"/>
        </w:rPr>
      </w:pPr>
      <w:r w:rsidRPr="007114AF">
        <w:rPr>
          <w:rFonts w:ascii="Garamond" w:eastAsiaTheme="minorHAnsi" w:hAnsi="Garamond" w:cs="Arial"/>
          <w:sz w:val="24"/>
          <w:szCs w:val="24"/>
          <w:lang w:eastAsia="en-US"/>
        </w:rPr>
        <w:t>- Nënshkrimi i kontratës.</w:t>
      </w:r>
    </w:p>
    <w:p w14:paraId="6EDD1766" w14:textId="77777777" w:rsidR="002F4BDF" w:rsidRPr="007114AF" w:rsidRDefault="002F4BDF" w:rsidP="002F4BDF">
      <w:pPr>
        <w:spacing w:after="0" w:line="240" w:lineRule="auto"/>
        <w:ind w:firstLine="284"/>
        <w:rPr>
          <w:rFonts w:ascii="Garamond" w:eastAsiaTheme="minorHAnsi" w:hAnsi="Garamond" w:cs="Arial"/>
          <w:sz w:val="24"/>
          <w:szCs w:val="24"/>
          <w:lang w:eastAsia="en-US"/>
        </w:rPr>
      </w:pPr>
      <w:r w:rsidRPr="007114AF">
        <w:rPr>
          <w:rFonts w:ascii="Garamond" w:eastAsiaTheme="minorHAnsi" w:hAnsi="Garamond" w:cs="Arial"/>
          <w:sz w:val="24"/>
          <w:szCs w:val="24"/>
          <w:lang w:eastAsia="en-US"/>
        </w:rPr>
        <w:t>- Fillimi i fazës së zbatimit.</w:t>
      </w:r>
    </w:p>
    <w:p w14:paraId="6EDD1767" w14:textId="77777777" w:rsidR="002F4BDF" w:rsidRPr="007114AF" w:rsidRDefault="002F4BDF" w:rsidP="002F4BDF">
      <w:pPr>
        <w:spacing w:after="0" w:line="240" w:lineRule="auto"/>
        <w:ind w:firstLine="284"/>
        <w:rPr>
          <w:rFonts w:ascii="Garamond" w:eastAsiaTheme="minorHAnsi" w:hAnsi="Garamond" w:cs="Arial"/>
          <w:sz w:val="24"/>
          <w:szCs w:val="24"/>
          <w:lang w:eastAsia="en-US"/>
        </w:rPr>
      </w:pPr>
    </w:p>
    <w:p w14:paraId="6EDD1768" w14:textId="77777777" w:rsidR="002F4BDF" w:rsidRPr="007114AF" w:rsidRDefault="002F4BDF" w:rsidP="002F4BDF">
      <w:pPr>
        <w:spacing w:after="0" w:line="240" w:lineRule="auto"/>
        <w:ind w:firstLine="284"/>
        <w:rPr>
          <w:rFonts w:ascii="Garamond" w:eastAsiaTheme="minorHAnsi" w:hAnsi="Garamond" w:cs="Arial"/>
          <w:sz w:val="24"/>
          <w:szCs w:val="24"/>
          <w:lang w:eastAsia="en-US"/>
        </w:rPr>
      </w:pPr>
      <w:r w:rsidRPr="007114AF">
        <w:rPr>
          <w:rFonts w:ascii="Garamond" w:eastAsiaTheme="minorHAnsi" w:hAnsi="Garamond" w:cs="Arial"/>
          <w:sz w:val="24"/>
          <w:szCs w:val="24"/>
          <w:lang w:eastAsia="en-US"/>
        </w:rPr>
        <w:t>Rekomandime:</w:t>
      </w:r>
    </w:p>
    <w:p w14:paraId="6EDD1769" w14:textId="77777777" w:rsidR="002F4BDF" w:rsidRPr="007114AF" w:rsidRDefault="002F4BDF" w:rsidP="002F4BDF">
      <w:pPr>
        <w:spacing w:after="0" w:line="240" w:lineRule="auto"/>
        <w:ind w:firstLine="284"/>
        <w:rPr>
          <w:rFonts w:ascii="Garamond" w:eastAsiaTheme="minorHAnsi" w:hAnsi="Garamond" w:cs="Arial"/>
          <w:sz w:val="24"/>
          <w:szCs w:val="24"/>
          <w:lang w:eastAsia="en-US"/>
        </w:rPr>
      </w:pPr>
      <w:r w:rsidRPr="007114AF">
        <w:rPr>
          <w:rFonts w:ascii="Garamond" w:eastAsiaTheme="minorHAnsi" w:hAnsi="Garamond" w:cs="Arial"/>
          <w:sz w:val="24"/>
          <w:szCs w:val="24"/>
          <w:lang w:eastAsia="en-US"/>
        </w:rPr>
        <w:t xml:space="preserve">- Ndjekja e parashtrimit në përgjigje të kontributit ndaj rishikimit afatmesëm të CSP/ IPA II </w:t>
      </w:r>
    </w:p>
    <w:p w14:paraId="6EDD176A" w14:textId="77777777" w:rsidR="002F4BDF" w:rsidRPr="007114AF" w:rsidRDefault="002F4BDF" w:rsidP="002F4BDF">
      <w:pPr>
        <w:spacing w:after="0" w:line="240" w:lineRule="auto"/>
        <w:ind w:firstLine="284"/>
        <w:rPr>
          <w:rFonts w:ascii="Garamond" w:eastAsiaTheme="minorHAnsi" w:hAnsi="Garamond" w:cs="Arial"/>
          <w:sz w:val="24"/>
          <w:szCs w:val="24"/>
          <w:lang w:eastAsia="en-US"/>
        </w:rPr>
      </w:pPr>
      <w:r w:rsidRPr="007114AF">
        <w:rPr>
          <w:rFonts w:ascii="Garamond" w:eastAsiaTheme="minorHAnsi" w:hAnsi="Garamond" w:cs="Arial"/>
          <w:sz w:val="24"/>
          <w:szCs w:val="24"/>
          <w:lang w:eastAsia="en-US"/>
        </w:rPr>
        <w:t xml:space="preserve">- Gjithashtu, duhet të merret parasysh mbrojtja klimatike e aktiviteteve të tjera të financuara nga IPA II, në fusha të tjera të financimit/sektorëve të tillë si transporti, bujqësia etj. </w:t>
      </w:r>
    </w:p>
    <w:bookmarkEnd w:id="203"/>
    <w:p w14:paraId="6EDD176B" w14:textId="77777777" w:rsidR="002F4BDF" w:rsidRPr="007114AF" w:rsidRDefault="002F4BDF" w:rsidP="002F4BDF">
      <w:pPr>
        <w:spacing w:after="0" w:line="240" w:lineRule="auto"/>
        <w:ind w:firstLine="284"/>
        <w:rPr>
          <w:rFonts w:ascii="Garamond" w:eastAsiaTheme="minorHAnsi" w:hAnsi="Garamond"/>
          <w:sz w:val="24"/>
          <w:szCs w:val="24"/>
          <w:lang w:eastAsia="en-US"/>
        </w:rPr>
      </w:pPr>
    </w:p>
    <w:p w14:paraId="6EDD176C" w14:textId="77777777" w:rsidR="002F4BDF" w:rsidRPr="007114AF" w:rsidRDefault="002F4BDF" w:rsidP="002F4BDF">
      <w:pPr>
        <w:spacing w:after="0" w:line="240" w:lineRule="auto"/>
        <w:ind w:firstLine="284"/>
        <w:rPr>
          <w:rFonts w:ascii="Garamond" w:eastAsiaTheme="minorHAnsi" w:hAnsi="Garamond"/>
          <w:sz w:val="24"/>
          <w:szCs w:val="24"/>
          <w:lang w:eastAsia="en-US"/>
        </w:rPr>
      </w:pPr>
    </w:p>
    <w:p w14:paraId="6EDD176D" w14:textId="77777777" w:rsidR="002F4BDF" w:rsidRPr="007114AF" w:rsidRDefault="002F4BDF" w:rsidP="002F4BDF">
      <w:pPr>
        <w:spacing w:after="0" w:line="240" w:lineRule="auto"/>
        <w:ind w:firstLine="284"/>
        <w:rPr>
          <w:rFonts w:ascii="Garamond" w:eastAsiaTheme="minorHAnsi" w:hAnsi="Garamond"/>
          <w:sz w:val="24"/>
          <w:szCs w:val="24"/>
          <w:lang w:eastAsia="en-US"/>
        </w:rPr>
      </w:pPr>
    </w:p>
    <w:p w14:paraId="6EDD176E" w14:textId="77777777" w:rsidR="002F4BDF" w:rsidRPr="007114AF" w:rsidRDefault="002F4BDF" w:rsidP="002F4BDF">
      <w:pPr>
        <w:spacing w:after="0" w:line="240" w:lineRule="auto"/>
        <w:ind w:firstLine="284"/>
        <w:rPr>
          <w:rFonts w:ascii="Garamond" w:eastAsiaTheme="minorHAnsi" w:hAnsi="Garamond"/>
          <w:sz w:val="24"/>
          <w:szCs w:val="24"/>
          <w:lang w:eastAsia="en-US"/>
        </w:rPr>
      </w:pPr>
    </w:p>
    <w:p w14:paraId="6EDD176F" w14:textId="77777777" w:rsidR="002F4BDF" w:rsidRPr="007114AF" w:rsidRDefault="002F4BDF" w:rsidP="002F4BDF">
      <w:pPr>
        <w:spacing w:after="0" w:line="240" w:lineRule="auto"/>
        <w:ind w:firstLine="284"/>
        <w:rPr>
          <w:rFonts w:ascii="Garamond" w:eastAsiaTheme="minorHAnsi" w:hAnsi="Garamond"/>
          <w:sz w:val="24"/>
          <w:szCs w:val="24"/>
          <w:lang w:eastAsia="en-US"/>
        </w:rPr>
      </w:pPr>
    </w:p>
    <w:p w14:paraId="6EDD1770" w14:textId="77777777" w:rsidR="002F4BDF" w:rsidRPr="007114AF" w:rsidRDefault="002F4BDF" w:rsidP="002F4BDF">
      <w:pPr>
        <w:spacing w:after="0" w:line="240" w:lineRule="auto"/>
        <w:ind w:firstLine="284"/>
        <w:rPr>
          <w:rFonts w:ascii="Garamond" w:eastAsiaTheme="minorHAnsi" w:hAnsi="Garamond"/>
          <w:sz w:val="24"/>
          <w:szCs w:val="24"/>
          <w:lang w:eastAsia="en-US"/>
        </w:rPr>
      </w:pPr>
    </w:p>
    <w:p w14:paraId="6EDD1771" w14:textId="77777777" w:rsidR="002F4BDF" w:rsidRPr="007114AF" w:rsidRDefault="002F4BDF" w:rsidP="002F4BDF">
      <w:pPr>
        <w:spacing w:after="0" w:line="240" w:lineRule="auto"/>
        <w:ind w:firstLine="284"/>
        <w:rPr>
          <w:rFonts w:ascii="Garamond" w:eastAsiaTheme="minorHAnsi" w:hAnsi="Garamond"/>
          <w:sz w:val="24"/>
          <w:szCs w:val="24"/>
          <w:lang w:eastAsia="en-US"/>
        </w:rPr>
      </w:pPr>
    </w:p>
    <w:p w14:paraId="6EDD1772" w14:textId="77777777" w:rsidR="002F4BDF" w:rsidRPr="007114AF" w:rsidRDefault="002F4BDF" w:rsidP="002F4BDF">
      <w:pPr>
        <w:spacing w:after="0" w:line="240" w:lineRule="auto"/>
        <w:ind w:firstLine="284"/>
        <w:rPr>
          <w:rFonts w:ascii="Garamond" w:eastAsiaTheme="minorHAnsi" w:hAnsi="Garamond"/>
          <w:sz w:val="24"/>
          <w:szCs w:val="24"/>
          <w:lang w:eastAsia="en-US"/>
        </w:rPr>
      </w:pPr>
    </w:p>
    <w:p w14:paraId="6EDD1773" w14:textId="77777777" w:rsidR="002F4BDF" w:rsidRPr="007114AF" w:rsidRDefault="002F4BDF" w:rsidP="002F4BDF">
      <w:pPr>
        <w:spacing w:after="0" w:line="240" w:lineRule="auto"/>
        <w:ind w:firstLine="284"/>
        <w:rPr>
          <w:rFonts w:ascii="Garamond" w:eastAsiaTheme="minorHAnsi" w:hAnsi="Garamond"/>
          <w:sz w:val="24"/>
          <w:szCs w:val="24"/>
          <w:lang w:eastAsia="en-US"/>
        </w:rPr>
      </w:pPr>
    </w:p>
    <w:p w14:paraId="6EDD1774" w14:textId="77777777" w:rsidR="002F4BDF" w:rsidRPr="007114AF" w:rsidRDefault="002F4BDF" w:rsidP="002F4BDF">
      <w:pPr>
        <w:spacing w:after="0" w:line="240" w:lineRule="auto"/>
        <w:ind w:firstLine="284"/>
        <w:rPr>
          <w:rFonts w:ascii="Garamond" w:eastAsiaTheme="minorHAnsi" w:hAnsi="Garamond"/>
          <w:sz w:val="24"/>
          <w:szCs w:val="24"/>
          <w:lang w:eastAsia="en-US"/>
        </w:rPr>
      </w:pPr>
    </w:p>
    <w:p w14:paraId="6EDD1775" w14:textId="77777777" w:rsidR="002F4BDF" w:rsidRPr="007114AF" w:rsidRDefault="002F4BDF" w:rsidP="002F4BDF">
      <w:pPr>
        <w:spacing w:after="0" w:line="240" w:lineRule="auto"/>
        <w:ind w:firstLine="284"/>
        <w:rPr>
          <w:rFonts w:ascii="Garamond" w:eastAsiaTheme="minorHAnsi" w:hAnsi="Garamond"/>
          <w:sz w:val="24"/>
          <w:szCs w:val="24"/>
          <w:lang w:eastAsia="en-US"/>
        </w:rPr>
      </w:pPr>
    </w:p>
    <w:p w14:paraId="6EDD1776" w14:textId="77777777" w:rsidR="002F4BDF" w:rsidRPr="007114AF" w:rsidRDefault="002F4BDF" w:rsidP="002F4BDF">
      <w:pPr>
        <w:spacing w:after="0" w:line="240" w:lineRule="auto"/>
        <w:ind w:firstLine="284"/>
        <w:rPr>
          <w:rFonts w:ascii="Garamond" w:eastAsiaTheme="minorHAnsi" w:hAnsi="Garamond"/>
          <w:sz w:val="24"/>
          <w:szCs w:val="24"/>
          <w:lang w:eastAsia="en-US"/>
        </w:rPr>
      </w:pPr>
    </w:p>
    <w:p w14:paraId="6EDD1777" w14:textId="77777777" w:rsidR="002F4BDF" w:rsidRPr="007114AF" w:rsidRDefault="002F4BDF" w:rsidP="002F4BDF">
      <w:pPr>
        <w:spacing w:after="0" w:line="240" w:lineRule="auto"/>
        <w:ind w:firstLine="284"/>
        <w:rPr>
          <w:rFonts w:ascii="Garamond" w:eastAsiaTheme="minorHAnsi" w:hAnsi="Garamond"/>
          <w:sz w:val="24"/>
          <w:szCs w:val="24"/>
          <w:lang w:eastAsia="en-US"/>
        </w:rPr>
      </w:pPr>
    </w:p>
    <w:p w14:paraId="6EDD1778" w14:textId="77777777" w:rsidR="002F4BDF" w:rsidRPr="007114AF" w:rsidRDefault="002F4BDF" w:rsidP="002F4BDF">
      <w:pPr>
        <w:spacing w:after="0" w:line="240" w:lineRule="auto"/>
        <w:jc w:val="center"/>
        <w:rPr>
          <w:rFonts w:ascii="Garamond" w:eastAsiaTheme="minorHAnsi" w:hAnsi="Garamond"/>
          <w:sz w:val="24"/>
          <w:szCs w:val="24"/>
          <w:lang w:eastAsia="en-US"/>
        </w:rPr>
      </w:pPr>
      <w:r w:rsidRPr="007114AF">
        <w:rPr>
          <w:rFonts w:ascii="Garamond" w:eastAsiaTheme="minorHAnsi" w:hAnsi="Garamond"/>
          <w:b/>
          <w:i/>
          <w:noProof/>
          <w:sz w:val="24"/>
          <w:szCs w:val="24"/>
          <w:lang w:val="en-US" w:eastAsia="en-US"/>
        </w:rPr>
        <w:drawing>
          <wp:inline distT="0" distB="0" distL="0" distR="0" wp14:anchorId="6EDD17DD" wp14:editId="6EDD17DE">
            <wp:extent cx="5760085" cy="4827046"/>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5760085" cy="4827046"/>
                    </a:xfrm>
                    <a:prstGeom prst="rect">
                      <a:avLst/>
                    </a:prstGeom>
                    <a:noFill/>
                    <a:ln>
                      <a:noFill/>
                    </a:ln>
                  </pic:spPr>
                </pic:pic>
              </a:graphicData>
            </a:graphic>
          </wp:inline>
        </w:drawing>
      </w:r>
    </w:p>
    <w:p w14:paraId="6EDD1779" w14:textId="77777777" w:rsidR="002F4BDF" w:rsidRPr="007114AF" w:rsidRDefault="002F4BDF" w:rsidP="002F4BDF">
      <w:pPr>
        <w:spacing w:after="0" w:line="240" w:lineRule="auto"/>
        <w:ind w:firstLine="284"/>
        <w:rPr>
          <w:rFonts w:ascii="Garamond" w:eastAsiaTheme="minorHAnsi" w:hAnsi="Garamond"/>
          <w:sz w:val="24"/>
          <w:szCs w:val="24"/>
          <w:lang w:eastAsia="en-US"/>
        </w:rPr>
      </w:pPr>
    </w:p>
    <w:p w14:paraId="6EDD177A" w14:textId="080CBC74" w:rsidR="002F4BDF" w:rsidRDefault="002F4BDF" w:rsidP="002F4BDF">
      <w:pPr>
        <w:spacing w:after="0" w:line="240" w:lineRule="auto"/>
        <w:ind w:firstLine="284"/>
        <w:rPr>
          <w:rFonts w:ascii="Garamond" w:eastAsiaTheme="minorHAnsi" w:hAnsi="Garamond"/>
          <w:spacing w:val="-4"/>
          <w:sz w:val="24"/>
          <w:szCs w:val="24"/>
          <w:lang w:eastAsia="en-US"/>
        </w:rPr>
      </w:pPr>
      <w:r w:rsidRPr="007114AF">
        <w:rPr>
          <w:rFonts w:ascii="Garamond" w:eastAsiaTheme="minorHAnsi" w:hAnsi="Garamond"/>
          <w:spacing w:val="-4"/>
          <w:sz w:val="24"/>
          <w:szCs w:val="24"/>
          <w:lang w:eastAsia="en-US"/>
        </w:rPr>
        <w:t>Burimi: USAID (2016): Profili I rrezikut nga ndryshimet klimatike-Shqipëria</w:t>
      </w:r>
      <w:r w:rsidR="000A2A01" w:rsidRPr="007114AF">
        <w:rPr>
          <w:rFonts w:ascii="Garamond" w:eastAsiaTheme="minorHAnsi" w:hAnsi="Garamond"/>
          <w:spacing w:val="-4"/>
          <w:sz w:val="24"/>
          <w:szCs w:val="24"/>
          <w:lang w:eastAsia="en-US"/>
        </w:rPr>
        <w:t xml:space="preserve"> </w:t>
      </w:r>
      <w:r w:rsidRPr="007114AF">
        <w:rPr>
          <w:rFonts w:ascii="Garamond" w:eastAsiaTheme="minorHAnsi" w:hAnsi="Garamond"/>
          <w:spacing w:val="-4"/>
          <w:sz w:val="24"/>
          <w:szCs w:val="24"/>
          <w:lang w:eastAsia="en-US"/>
        </w:rPr>
        <w:t>– Fletë infromative</w:t>
      </w:r>
    </w:p>
    <w:p w14:paraId="6BA66C67" w14:textId="6A99A972" w:rsidR="00DE31E0" w:rsidRDefault="00DE31E0" w:rsidP="002F4BDF">
      <w:pPr>
        <w:spacing w:after="0" w:line="240" w:lineRule="auto"/>
        <w:ind w:firstLine="284"/>
        <w:rPr>
          <w:rFonts w:ascii="Garamond" w:eastAsiaTheme="minorHAnsi" w:hAnsi="Garamond"/>
          <w:spacing w:val="-4"/>
          <w:sz w:val="24"/>
          <w:szCs w:val="24"/>
          <w:lang w:eastAsia="en-US"/>
        </w:rPr>
      </w:pPr>
    </w:p>
    <w:p w14:paraId="24066856" w14:textId="24DD70A1" w:rsidR="00DE31E0" w:rsidRDefault="00DE31E0" w:rsidP="002F4BDF">
      <w:pPr>
        <w:spacing w:after="0" w:line="240" w:lineRule="auto"/>
        <w:ind w:firstLine="284"/>
        <w:rPr>
          <w:rFonts w:ascii="Garamond" w:eastAsiaTheme="minorHAnsi" w:hAnsi="Garamond"/>
          <w:spacing w:val="-4"/>
          <w:sz w:val="24"/>
          <w:szCs w:val="24"/>
          <w:lang w:eastAsia="en-US"/>
        </w:rPr>
      </w:pPr>
    </w:p>
    <w:p w14:paraId="5E368B9B" w14:textId="5ED215C6" w:rsidR="00DE31E0" w:rsidRDefault="00DE31E0" w:rsidP="002F4BDF">
      <w:pPr>
        <w:spacing w:after="0" w:line="240" w:lineRule="auto"/>
        <w:ind w:firstLine="284"/>
        <w:rPr>
          <w:rFonts w:ascii="Garamond" w:eastAsiaTheme="minorHAnsi" w:hAnsi="Garamond"/>
          <w:spacing w:val="-4"/>
          <w:sz w:val="24"/>
          <w:szCs w:val="24"/>
          <w:lang w:eastAsia="en-US"/>
        </w:rPr>
      </w:pPr>
    </w:p>
    <w:p w14:paraId="3C9A2379" w14:textId="004FAAEF" w:rsidR="00622884" w:rsidRDefault="00622884" w:rsidP="002F4BDF">
      <w:pPr>
        <w:spacing w:after="0" w:line="240" w:lineRule="auto"/>
        <w:ind w:firstLine="284"/>
        <w:rPr>
          <w:rFonts w:ascii="Garamond" w:eastAsiaTheme="minorHAnsi" w:hAnsi="Garamond"/>
          <w:spacing w:val="-4"/>
          <w:sz w:val="24"/>
          <w:szCs w:val="24"/>
          <w:lang w:eastAsia="en-US"/>
        </w:rPr>
      </w:pPr>
    </w:p>
    <w:p w14:paraId="0B5D3B5D" w14:textId="12BB1C88" w:rsidR="00622884" w:rsidRDefault="00622884" w:rsidP="002F4BDF">
      <w:pPr>
        <w:spacing w:after="0" w:line="240" w:lineRule="auto"/>
        <w:ind w:firstLine="284"/>
        <w:rPr>
          <w:rFonts w:ascii="Garamond" w:eastAsiaTheme="minorHAnsi" w:hAnsi="Garamond"/>
          <w:spacing w:val="-4"/>
          <w:sz w:val="24"/>
          <w:szCs w:val="24"/>
          <w:lang w:eastAsia="en-US"/>
        </w:rPr>
      </w:pPr>
    </w:p>
    <w:p w14:paraId="2F4242AC" w14:textId="1C0490B3" w:rsidR="00622884" w:rsidRDefault="00622884" w:rsidP="002F4BDF">
      <w:pPr>
        <w:spacing w:after="0" w:line="240" w:lineRule="auto"/>
        <w:ind w:firstLine="284"/>
        <w:rPr>
          <w:rFonts w:ascii="Garamond" w:eastAsiaTheme="minorHAnsi" w:hAnsi="Garamond"/>
          <w:spacing w:val="-4"/>
          <w:sz w:val="24"/>
          <w:szCs w:val="24"/>
          <w:lang w:eastAsia="en-US"/>
        </w:rPr>
      </w:pPr>
    </w:p>
    <w:p w14:paraId="762FD471" w14:textId="23F5D818" w:rsidR="00622884" w:rsidRDefault="00622884" w:rsidP="002F4BDF">
      <w:pPr>
        <w:spacing w:after="0" w:line="240" w:lineRule="auto"/>
        <w:ind w:firstLine="284"/>
        <w:rPr>
          <w:rFonts w:ascii="Garamond" w:eastAsiaTheme="minorHAnsi" w:hAnsi="Garamond"/>
          <w:spacing w:val="-4"/>
          <w:sz w:val="24"/>
          <w:szCs w:val="24"/>
          <w:lang w:eastAsia="en-US"/>
        </w:rPr>
      </w:pPr>
    </w:p>
    <w:p w14:paraId="296FD548" w14:textId="4255E65A" w:rsidR="00622884" w:rsidRDefault="00622884" w:rsidP="002F4BDF">
      <w:pPr>
        <w:spacing w:after="0" w:line="240" w:lineRule="auto"/>
        <w:ind w:firstLine="284"/>
        <w:rPr>
          <w:rFonts w:ascii="Garamond" w:eastAsiaTheme="minorHAnsi" w:hAnsi="Garamond"/>
          <w:spacing w:val="-4"/>
          <w:sz w:val="24"/>
          <w:szCs w:val="24"/>
          <w:lang w:eastAsia="en-US"/>
        </w:rPr>
      </w:pPr>
    </w:p>
    <w:p w14:paraId="7472D133" w14:textId="73D08ECE" w:rsidR="00622884" w:rsidRDefault="00622884" w:rsidP="002F4BDF">
      <w:pPr>
        <w:spacing w:after="0" w:line="240" w:lineRule="auto"/>
        <w:ind w:firstLine="284"/>
        <w:rPr>
          <w:rFonts w:ascii="Garamond" w:eastAsiaTheme="minorHAnsi" w:hAnsi="Garamond"/>
          <w:spacing w:val="-4"/>
          <w:sz w:val="24"/>
          <w:szCs w:val="24"/>
          <w:lang w:eastAsia="en-US"/>
        </w:rPr>
      </w:pPr>
    </w:p>
    <w:p w14:paraId="230369A7" w14:textId="54F8E609" w:rsidR="00622884" w:rsidRDefault="00622884" w:rsidP="002F4BDF">
      <w:pPr>
        <w:spacing w:after="0" w:line="240" w:lineRule="auto"/>
        <w:ind w:firstLine="284"/>
        <w:rPr>
          <w:rFonts w:ascii="Garamond" w:eastAsiaTheme="minorHAnsi" w:hAnsi="Garamond"/>
          <w:spacing w:val="-4"/>
          <w:sz w:val="24"/>
          <w:szCs w:val="24"/>
          <w:lang w:eastAsia="en-US"/>
        </w:rPr>
      </w:pPr>
    </w:p>
    <w:p w14:paraId="6B9DD437" w14:textId="20E31FDE" w:rsidR="00622884" w:rsidRDefault="00622884" w:rsidP="002F4BDF">
      <w:pPr>
        <w:spacing w:after="0" w:line="240" w:lineRule="auto"/>
        <w:ind w:firstLine="284"/>
        <w:rPr>
          <w:rFonts w:ascii="Garamond" w:eastAsiaTheme="minorHAnsi" w:hAnsi="Garamond"/>
          <w:spacing w:val="-4"/>
          <w:sz w:val="24"/>
          <w:szCs w:val="24"/>
          <w:lang w:eastAsia="en-US"/>
        </w:rPr>
      </w:pPr>
    </w:p>
    <w:p w14:paraId="444A520D" w14:textId="723AA4B8" w:rsidR="00622884" w:rsidRDefault="00622884" w:rsidP="002F4BDF">
      <w:pPr>
        <w:spacing w:after="0" w:line="240" w:lineRule="auto"/>
        <w:ind w:firstLine="284"/>
        <w:rPr>
          <w:rFonts w:ascii="Garamond" w:eastAsiaTheme="minorHAnsi" w:hAnsi="Garamond"/>
          <w:spacing w:val="-4"/>
          <w:sz w:val="24"/>
          <w:szCs w:val="24"/>
          <w:lang w:eastAsia="en-US"/>
        </w:rPr>
      </w:pPr>
    </w:p>
    <w:p w14:paraId="4ECE2B8B" w14:textId="56694158" w:rsidR="00622884" w:rsidRDefault="00622884" w:rsidP="002F4BDF">
      <w:pPr>
        <w:spacing w:after="0" w:line="240" w:lineRule="auto"/>
        <w:ind w:firstLine="284"/>
        <w:rPr>
          <w:rFonts w:ascii="Garamond" w:eastAsiaTheme="minorHAnsi" w:hAnsi="Garamond"/>
          <w:spacing w:val="-4"/>
          <w:sz w:val="24"/>
          <w:szCs w:val="24"/>
          <w:lang w:eastAsia="en-US"/>
        </w:rPr>
      </w:pPr>
    </w:p>
    <w:p w14:paraId="1EFCC29C" w14:textId="61C294E4" w:rsidR="00622884" w:rsidRDefault="00622884" w:rsidP="002F4BDF">
      <w:pPr>
        <w:spacing w:after="0" w:line="240" w:lineRule="auto"/>
        <w:ind w:firstLine="284"/>
        <w:rPr>
          <w:rFonts w:ascii="Garamond" w:eastAsiaTheme="minorHAnsi" w:hAnsi="Garamond"/>
          <w:spacing w:val="-4"/>
          <w:sz w:val="24"/>
          <w:szCs w:val="24"/>
          <w:lang w:eastAsia="en-US"/>
        </w:rPr>
      </w:pPr>
    </w:p>
    <w:p w14:paraId="00D6CDD7" w14:textId="4BA370DE" w:rsidR="00622884" w:rsidRDefault="00622884" w:rsidP="002F4BDF">
      <w:pPr>
        <w:spacing w:after="0" w:line="240" w:lineRule="auto"/>
        <w:ind w:firstLine="284"/>
        <w:rPr>
          <w:rFonts w:ascii="Garamond" w:eastAsiaTheme="minorHAnsi" w:hAnsi="Garamond"/>
          <w:spacing w:val="-4"/>
          <w:sz w:val="24"/>
          <w:szCs w:val="24"/>
          <w:lang w:eastAsia="en-US"/>
        </w:rPr>
      </w:pPr>
    </w:p>
    <w:p w14:paraId="582DE497" w14:textId="73A76864" w:rsidR="00622884" w:rsidRDefault="00622884" w:rsidP="002F4BDF">
      <w:pPr>
        <w:spacing w:after="0" w:line="240" w:lineRule="auto"/>
        <w:ind w:firstLine="284"/>
        <w:rPr>
          <w:rFonts w:ascii="Garamond" w:eastAsiaTheme="minorHAnsi" w:hAnsi="Garamond"/>
          <w:spacing w:val="-4"/>
          <w:sz w:val="24"/>
          <w:szCs w:val="24"/>
          <w:lang w:eastAsia="en-US"/>
        </w:rPr>
      </w:pPr>
    </w:p>
    <w:p w14:paraId="55CD0DA9" w14:textId="77777777" w:rsidR="00622884" w:rsidRPr="00622884" w:rsidRDefault="00622884" w:rsidP="00622884">
      <w:pPr>
        <w:tabs>
          <w:tab w:val="left" w:pos="5325"/>
        </w:tabs>
        <w:spacing w:after="0" w:line="240" w:lineRule="auto"/>
        <w:jc w:val="right"/>
        <w:rPr>
          <w:rFonts w:ascii="Garamond" w:eastAsia="Calibri" w:hAnsi="Garamond" w:cs="Times New Roman"/>
          <w:b/>
          <w:sz w:val="24"/>
          <w:szCs w:val="24"/>
          <w:lang w:eastAsia="en-US"/>
        </w:rPr>
      </w:pPr>
    </w:p>
    <w:p w14:paraId="3691EE8E" w14:textId="77777777" w:rsidR="00622884" w:rsidRPr="00622884" w:rsidRDefault="00622884" w:rsidP="00622884">
      <w:pPr>
        <w:tabs>
          <w:tab w:val="left" w:pos="5325"/>
        </w:tabs>
        <w:spacing w:after="0" w:line="240" w:lineRule="auto"/>
        <w:ind w:firstLine="284"/>
        <w:jc w:val="center"/>
        <w:rPr>
          <w:rFonts w:ascii="Garamond" w:eastAsia="Calibri" w:hAnsi="Garamond" w:cs="Times New Roman"/>
          <w:sz w:val="24"/>
          <w:szCs w:val="24"/>
          <w:lang w:eastAsia="en-US"/>
        </w:rPr>
      </w:pPr>
      <w:r w:rsidRPr="00622884">
        <w:rPr>
          <w:rFonts w:ascii="Garamond" w:eastAsia="Calibri" w:hAnsi="Garamond" w:cs="Times New Roman"/>
          <w:sz w:val="24"/>
          <w:szCs w:val="24"/>
          <w:lang w:eastAsia="en-US"/>
        </w:rPr>
        <w:t>PLANI KOMBËTAR PËR PËRSHTATJEN NDAJ NDRYSHIMEVE KLIMATIKE 2026–2036 (NAP)</w:t>
      </w:r>
    </w:p>
    <w:p w14:paraId="788566A4" w14:textId="2C86D084" w:rsidR="005060D9" w:rsidRPr="005060D9" w:rsidRDefault="005060D9" w:rsidP="005060D9">
      <w:pPr>
        <w:tabs>
          <w:tab w:val="left" w:pos="5325"/>
        </w:tabs>
        <w:spacing w:after="0" w:line="240" w:lineRule="auto"/>
        <w:ind w:firstLine="284"/>
        <w:jc w:val="center"/>
        <w:rPr>
          <w:rFonts w:ascii="Garamond" w:eastAsia="Calibri" w:hAnsi="Garamond" w:cs="Times New Roman"/>
          <w:i/>
          <w:sz w:val="24"/>
          <w:szCs w:val="24"/>
          <w:lang w:eastAsia="en-US"/>
        </w:rPr>
      </w:pPr>
      <w:r w:rsidRPr="005060D9">
        <w:rPr>
          <w:rFonts w:ascii="Garamond" w:eastAsia="Calibri" w:hAnsi="Garamond" w:cs="Times New Roman"/>
          <w:i/>
          <w:sz w:val="24"/>
          <w:szCs w:val="24"/>
          <w:lang w:eastAsia="en-US"/>
        </w:rPr>
        <w:t>(Shtuar me vendimin nr. 432, datë 10.6.2026)</w:t>
      </w:r>
    </w:p>
    <w:p w14:paraId="4AFA322B" w14:textId="77777777" w:rsidR="005060D9" w:rsidRPr="005060D9" w:rsidRDefault="005060D9" w:rsidP="005060D9">
      <w:pPr>
        <w:tabs>
          <w:tab w:val="left" w:pos="5325"/>
        </w:tabs>
        <w:spacing w:after="0" w:line="240" w:lineRule="auto"/>
        <w:ind w:firstLine="284"/>
        <w:jc w:val="center"/>
        <w:rPr>
          <w:rFonts w:ascii="Garamond" w:eastAsia="Calibri" w:hAnsi="Garamond" w:cs="Times New Roman"/>
          <w:b/>
          <w:i/>
          <w:sz w:val="24"/>
          <w:szCs w:val="24"/>
          <w:lang w:eastAsia="en-US"/>
        </w:rPr>
      </w:pPr>
    </w:p>
    <w:p w14:paraId="2AD06F05" w14:textId="77777777" w:rsidR="00622884" w:rsidRPr="00622884" w:rsidRDefault="00622884" w:rsidP="00622884">
      <w:pPr>
        <w:tabs>
          <w:tab w:val="left" w:pos="5325"/>
        </w:tabs>
        <w:spacing w:after="0" w:line="240" w:lineRule="auto"/>
        <w:ind w:firstLine="284"/>
        <w:jc w:val="left"/>
        <w:rPr>
          <w:rFonts w:ascii="Garamond" w:eastAsia="Calibri" w:hAnsi="Garamond" w:cs="Times New Roman"/>
          <w:sz w:val="24"/>
          <w:szCs w:val="24"/>
          <w:lang w:eastAsia="en-US"/>
        </w:rPr>
      </w:pPr>
      <w:r w:rsidRPr="00622884">
        <w:rPr>
          <w:rFonts w:ascii="Garamond" w:eastAsia="Calibri" w:hAnsi="Garamond" w:cs="Times New Roman"/>
          <w:sz w:val="24"/>
          <w:szCs w:val="24"/>
          <w:lang w:eastAsia="en-US"/>
        </w:rPr>
        <w:t>TABELA E PËRMBAJTJES</w:t>
      </w:r>
    </w:p>
    <w:p w14:paraId="193FCC4A" w14:textId="77777777" w:rsidR="00622884" w:rsidRPr="00622884" w:rsidRDefault="00622884" w:rsidP="00622884">
      <w:pPr>
        <w:tabs>
          <w:tab w:val="left" w:pos="5325"/>
        </w:tabs>
        <w:spacing w:after="0" w:line="240" w:lineRule="auto"/>
        <w:ind w:firstLine="284"/>
        <w:jc w:val="center"/>
        <w:rPr>
          <w:rFonts w:ascii="Garamond" w:eastAsia="Calibri" w:hAnsi="Garamond" w:cs="Times New Roman"/>
          <w:sz w:val="24"/>
          <w:szCs w:val="24"/>
          <w:lang w:eastAsia="en-US"/>
        </w:rPr>
      </w:pPr>
    </w:p>
    <w:p w14:paraId="3F8CF292"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r w:rsidRPr="00622884">
        <w:rPr>
          <w:rFonts w:ascii="Garamond" w:eastAsia="Calibri" w:hAnsi="Garamond" w:cs="Times New Roman"/>
          <w:sz w:val="24"/>
          <w:szCs w:val="24"/>
          <w:lang w:eastAsia="en-US"/>
        </w:rPr>
        <w:t xml:space="preserve">PARATHËNIE </w:t>
      </w:r>
    </w:p>
    <w:p w14:paraId="1D42B404"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r w:rsidRPr="00622884">
        <w:rPr>
          <w:rFonts w:ascii="Garamond" w:eastAsia="Calibri" w:hAnsi="Garamond" w:cs="Times New Roman"/>
          <w:sz w:val="24"/>
          <w:szCs w:val="24"/>
          <w:lang w:eastAsia="en-US"/>
        </w:rPr>
        <w:t xml:space="preserve">PËRMBLEDHJE EKZEKUTIVE </w:t>
      </w:r>
    </w:p>
    <w:p w14:paraId="2300C34A"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r w:rsidRPr="00622884">
        <w:rPr>
          <w:rFonts w:ascii="Garamond" w:eastAsia="Calibri" w:hAnsi="Garamond" w:cs="Times New Roman"/>
          <w:sz w:val="24"/>
          <w:szCs w:val="24"/>
          <w:lang w:eastAsia="en-US"/>
        </w:rPr>
        <w:t xml:space="preserve">1. Hyrje </w:t>
      </w:r>
    </w:p>
    <w:p w14:paraId="6F50AC72"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r w:rsidRPr="00622884">
        <w:rPr>
          <w:rFonts w:ascii="Garamond" w:eastAsia="Calibri" w:hAnsi="Garamond" w:cs="Times New Roman"/>
          <w:sz w:val="24"/>
          <w:szCs w:val="24"/>
          <w:lang w:eastAsia="en-US"/>
        </w:rPr>
        <w:t xml:space="preserve">2. Përshtatja ndaj ndryshimeve klimatike, procesi i NAP-it dhe arritjet </w:t>
      </w:r>
    </w:p>
    <w:p w14:paraId="04F484F5"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r w:rsidRPr="00622884">
        <w:rPr>
          <w:rFonts w:ascii="Garamond" w:eastAsia="Calibri" w:hAnsi="Garamond" w:cs="Times New Roman"/>
          <w:sz w:val="24"/>
          <w:szCs w:val="24"/>
          <w:lang w:eastAsia="en-US"/>
        </w:rPr>
        <w:t xml:space="preserve">2.1 Nevoja për përshtatje </w:t>
      </w:r>
    </w:p>
    <w:p w14:paraId="339D6214"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r w:rsidRPr="00622884">
        <w:rPr>
          <w:rFonts w:ascii="Garamond" w:eastAsia="Calibri" w:hAnsi="Garamond" w:cs="Times New Roman"/>
          <w:sz w:val="24"/>
          <w:szCs w:val="24"/>
          <w:lang w:eastAsia="en-US"/>
        </w:rPr>
        <w:t>2.2 Sfon</w:t>
      </w:r>
      <w:bookmarkStart w:id="207" w:name="_GoBack"/>
      <w:bookmarkEnd w:id="207"/>
      <w:r w:rsidRPr="00622884">
        <w:rPr>
          <w:rFonts w:ascii="Garamond" w:eastAsia="Calibri" w:hAnsi="Garamond" w:cs="Times New Roman"/>
          <w:sz w:val="24"/>
          <w:szCs w:val="24"/>
          <w:lang w:eastAsia="en-US"/>
        </w:rPr>
        <w:t xml:space="preserve">di i NAP-it dhe udhëzimet </w:t>
      </w:r>
    </w:p>
    <w:p w14:paraId="37C86026"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r w:rsidRPr="00622884">
        <w:rPr>
          <w:rFonts w:ascii="Garamond" w:eastAsia="Calibri" w:hAnsi="Garamond" w:cs="Times New Roman"/>
          <w:sz w:val="24"/>
          <w:szCs w:val="24"/>
          <w:lang w:eastAsia="en-US"/>
        </w:rPr>
        <w:t xml:space="preserve">2.3 Përvoja ndërkombëtare me NAP-in </w:t>
      </w:r>
    </w:p>
    <w:p w14:paraId="1D1D6534"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r w:rsidRPr="00622884">
        <w:rPr>
          <w:rFonts w:ascii="Garamond" w:eastAsia="Calibri" w:hAnsi="Garamond" w:cs="Times New Roman"/>
          <w:sz w:val="24"/>
          <w:szCs w:val="24"/>
          <w:lang w:eastAsia="en-US"/>
        </w:rPr>
        <w:t xml:space="preserve">2.4 Përvoja e Shqipërisë me NAP-in </w:t>
      </w:r>
    </w:p>
    <w:p w14:paraId="0BC035BD"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r w:rsidRPr="00622884">
        <w:rPr>
          <w:rFonts w:ascii="Garamond" w:eastAsia="Calibri" w:hAnsi="Garamond" w:cs="Times New Roman"/>
          <w:sz w:val="24"/>
          <w:szCs w:val="24"/>
          <w:lang w:eastAsia="en-US"/>
        </w:rPr>
        <w:t xml:space="preserve">3. Konteksti kombëtar socio-ekonomik, institucional dhe i politikave </w:t>
      </w:r>
    </w:p>
    <w:p w14:paraId="67DA4FD3"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r w:rsidRPr="00622884">
        <w:rPr>
          <w:rFonts w:ascii="Garamond" w:eastAsia="Calibri" w:hAnsi="Garamond" w:cs="Times New Roman"/>
          <w:sz w:val="24"/>
          <w:szCs w:val="24"/>
          <w:lang w:eastAsia="en-US"/>
        </w:rPr>
        <w:t xml:space="preserve">3.1 Popullsia </w:t>
      </w:r>
    </w:p>
    <w:p w14:paraId="3D354C63"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r w:rsidRPr="00622884">
        <w:rPr>
          <w:rFonts w:ascii="Garamond" w:eastAsia="Calibri" w:hAnsi="Garamond" w:cs="Times New Roman"/>
          <w:sz w:val="24"/>
          <w:szCs w:val="24"/>
          <w:lang w:eastAsia="en-US"/>
        </w:rPr>
        <w:t xml:space="preserve">3.2 Treguesit ekonomikë kombëtarë </w:t>
      </w:r>
    </w:p>
    <w:p w14:paraId="40C039AC"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r w:rsidRPr="00622884">
        <w:rPr>
          <w:rFonts w:ascii="Garamond" w:eastAsia="Calibri" w:hAnsi="Garamond" w:cs="Times New Roman"/>
          <w:sz w:val="24"/>
          <w:szCs w:val="24"/>
          <w:lang w:eastAsia="en-US"/>
        </w:rPr>
        <w:t xml:space="preserve">3.3 Konteksti dhe perspektiva socio-ekonomike sektoriale </w:t>
      </w:r>
    </w:p>
    <w:p w14:paraId="29714ECE"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r w:rsidRPr="00622884">
        <w:rPr>
          <w:rFonts w:ascii="Garamond" w:eastAsia="Calibri" w:hAnsi="Garamond" w:cs="Times New Roman"/>
          <w:sz w:val="24"/>
          <w:szCs w:val="24"/>
          <w:lang w:eastAsia="en-US"/>
        </w:rPr>
        <w:t xml:space="preserve">3.4 Kuadri ligjor, institucional dhe i politikave </w:t>
      </w:r>
    </w:p>
    <w:p w14:paraId="7AE90E12"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r w:rsidRPr="00622884">
        <w:rPr>
          <w:rFonts w:ascii="Garamond" w:eastAsia="Calibri" w:hAnsi="Garamond" w:cs="Times New Roman"/>
          <w:sz w:val="24"/>
          <w:szCs w:val="24"/>
          <w:lang w:eastAsia="en-US"/>
        </w:rPr>
        <w:t xml:space="preserve">4. Tendencat, skenarët, cenueshmëritë dhe risqet klimatike </w:t>
      </w:r>
    </w:p>
    <w:p w14:paraId="59CDD58E"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r w:rsidRPr="00622884">
        <w:rPr>
          <w:rFonts w:ascii="Garamond" w:eastAsia="Calibri" w:hAnsi="Garamond" w:cs="Times New Roman"/>
          <w:sz w:val="24"/>
          <w:szCs w:val="24"/>
          <w:lang w:eastAsia="en-US"/>
        </w:rPr>
        <w:t>4.1 Tendencat dhe skenarët klimatikë</w:t>
      </w:r>
    </w:p>
    <w:p w14:paraId="48867CBB"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r w:rsidRPr="00622884">
        <w:rPr>
          <w:rFonts w:ascii="Garamond" w:eastAsia="Calibri" w:hAnsi="Garamond" w:cs="Times New Roman"/>
          <w:sz w:val="24"/>
          <w:szCs w:val="24"/>
          <w:lang w:eastAsia="en-US"/>
        </w:rPr>
        <w:t>4.2 Cenueshmëritë klimatike dhe risqet në nivel kombëtar</w:t>
      </w:r>
    </w:p>
    <w:p w14:paraId="6A6BEB19"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r w:rsidRPr="00622884">
        <w:rPr>
          <w:rFonts w:ascii="Garamond" w:eastAsia="Calibri" w:hAnsi="Garamond" w:cs="Times New Roman"/>
          <w:sz w:val="24"/>
          <w:szCs w:val="24"/>
          <w:lang w:eastAsia="en-US"/>
        </w:rPr>
        <w:t>4.3 Vlerësimet e risqeve klimatike në nivel sektorial</w:t>
      </w:r>
    </w:p>
    <w:p w14:paraId="4926FDC4"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r w:rsidRPr="00622884">
        <w:rPr>
          <w:rFonts w:ascii="Garamond" w:eastAsia="Calibri" w:hAnsi="Garamond" w:cs="Times New Roman"/>
          <w:sz w:val="24"/>
          <w:szCs w:val="24"/>
          <w:lang w:eastAsia="en-US"/>
        </w:rPr>
        <w:t>4.4 Cenueshmëritë klimatike dhe risqet në nivel vendor</w:t>
      </w:r>
    </w:p>
    <w:p w14:paraId="77E22051"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r w:rsidRPr="00622884">
        <w:rPr>
          <w:rFonts w:ascii="Garamond" w:eastAsia="Calibri" w:hAnsi="Garamond" w:cs="Times New Roman"/>
          <w:sz w:val="24"/>
          <w:szCs w:val="24"/>
          <w:lang w:eastAsia="en-US"/>
        </w:rPr>
        <w:t>5. Masat e përshtatjes, vlerësimet dhe veprimet prioritare në Shqipëri</w:t>
      </w:r>
    </w:p>
    <w:p w14:paraId="38FEB4A5"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r w:rsidRPr="00622884">
        <w:rPr>
          <w:rFonts w:ascii="Garamond" w:eastAsia="Calibri" w:hAnsi="Garamond" w:cs="Times New Roman"/>
          <w:sz w:val="24"/>
          <w:szCs w:val="24"/>
          <w:lang w:eastAsia="en-US"/>
        </w:rPr>
        <w:t>5.1 Masat e përshtatjes në nivel sektorial</w:t>
      </w:r>
    </w:p>
    <w:p w14:paraId="1E64E31A"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r w:rsidRPr="00622884">
        <w:rPr>
          <w:rFonts w:ascii="Garamond" w:eastAsia="Calibri" w:hAnsi="Garamond" w:cs="Times New Roman"/>
          <w:sz w:val="24"/>
          <w:szCs w:val="24"/>
          <w:lang w:eastAsia="en-US"/>
        </w:rPr>
        <w:t>5.2 Masat e përshtatjes në nivel vendor</w:t>
      </w:r>
    </w:p>
    <w:p w14:paraId="1F692906"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r w:rsidRPr="00622884">
        <w:rPr>
          <w:rFonts w:ascii="Garamond" w:eastAsia="Calibri" w:hAnsi="Garamond" w:cs="Times New Roman"/>
          <w:sz w:val="24"/>
          <w:szCs w:val="24"/>
          <w:lang w:eastAsia="en-US"/>
        </w:rPr>
        <w:t>5.3 Vlerësimi i përshtatjes dhe veprimet prioritare të përshtatjes në Shqipëri</w:t>
      </w:r>
    </w:p>
    <w:p w14:paraId="20579716"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r w:rsidRPr="00622884">
        <w:rPr>
          <w:rFonts w:ascii="Garamond" w:eastAsia="Calibri" w:hAnsi="Garamond" w:cs="Times New Roman"/>
          <w:sz w:val="24"/>
          <w:szCs w:val="24"/>
          <w:lang w:eastAsia="en-US"/>
        </w:rPr>
        <w:t>6. Plani i zbatimit të NAP-it</w:t>
      </w:r>
    </w:p>
    <w:p w14:paraId="5B4BDA8B"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r w:rsidRPr="00622884">
        <w:rPr>
          <w:rFonts w:ascii="Garamond" w:eastAsia="Calibri" w:hAnsi="Garamond" w:cs="Times New Roman"/>
          <w:sz w:val="24"/>
          <w:szCs w:val="24"/>
          <w:lang w:eastAsia="en-US"/>
        </w:rPr>
        <w:t>6.1 Masat prioritare në kuadër të NAP-it</w:t>
      </w:r>
    </w:p>
    <w:p w14:paraId="080BDF24"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r w:rsidRPr="00622884">
        <w:rPr>
          <w:rFonts w:ascii="Garamond" w:eastAsia="Calibri" w:hAnsi="Garamond" w:cs="Times New Roman"/>
          <w:sz w:val="24"/>
          <w:szCs w:val="24"/>
          <w:lang w:eastAsia="en-US"/>
        </w:rPr>
        <w:t>6.2 Qeverisja dhe përgjegjësitë për zbatimin e NAP-it</w:t>
      </w:r>
    </w:p>
    <w:p w14:paraId="4A7C16FC"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r w:rsidRPr="00622884">
        <w:rPr>
          <w:rFonts w:ascii="Garamond" w:eastAsia="Calibri" w:hAnsi="Garamond" w:cs="Times New Roman"/>
          <w:sz w:val="24"/>
          <w:szCs w:val="24"/>
          <w:lang w:eastAsia="en-US"/>
        </w:rPr>
        <w:t>6.3 Afati për zbatimin</w:t>
      </w:r>
    </w:p>
    <w:p w14:paraId="158A9026"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r w:rsidRPr="00622884">
        <w:rPr>
          <w:rFonts w:ascii="Garamond" w:eastAsia="Calibri" w:hAnsi="Garamond" w:cs="Times New Roman"/>
          <w:sz w:val="24"/>
          <w:szCs w:val="24"/>
          <w:lang w:eastAsia="en-US"/>
        </w:rPr>
        <w:t>6.4 Kostot e parashikuara për planin e zbatimit</w:t>
      </w:r>
    </w:p>
    <w:p w14:paraId="7FC8CA08"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r w:rsidRPr="00622884">
        <w:rPr>
          <w:rFonts w:ascii="Garamond" w:eastAsia="Calibri" w:hAnsi="Garamond" w:cs="Times New Roman"/>
          <w:sz w:val="24"/>
          <w:szCs w:val="24"/>
          <w:lang w:eastAsia="en-US"/>
        </w:rPr>
        <w:t>7. Integrimi i perspektivës gjinore</w:t>
      </w:r>
    </w:p>
    <w:p w14:paraId="54FB9901"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r w:rsidRPr="00622884">
        <w:rPr>
          <w:rFonts w:ascii="Garamond" w:eastAsia="Calibri" w:hAnsi="Garamond" w:cs="Times New Roman"/>
          <w:sz w:val="24"/>
          <w:szCs w:val="24"/>
          <w:lang w:eastAsia="en-US"/>
        </w:rPr>
        <w:t>7.1 Sfidat e barazisë gjinore në të gjithë sektorët e NAP-it</w:t>
      </w:r>
    </w:p>
    <w:p w14:paraId="53299E31"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r w:rsidRPr="00622884">
        <w:rPr>
          <w:rFonts w:ascii="Garamond" w:eastAsia="Calibri" w:hAnsi="Garamond" w:cs="Times New Roman"/>
          <w:sz w:val="24"/>
          <w:szCs w:val="24"/>
          <w:lang w:eastAsia="en-US"/>
        </w:rPr>
        <w:t>7.2 Veprimet për barazinë gjinore</w:t>
      </w:r>
    </w:p>
    <w:p w14:paraId="7EA6AE0A"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r w:rsidRPr="00622884">
        <w:rPr>
          <w:rFonts w:ascii="Garamond" w:eastAsia="Calibri" w:hAnsi="Garamond" w:cs="Times New Roman"/>
          <w:sz w:val="24"/>
          <w:szCs w:val="24"/>
          <w:lang w:eastAsia="en-US"/>
        </w:rPr>
        <w:t>8. Komunikimi dhe angazhimi i palëve të interesit</w:t>
      </w:r>
    </w:p>
    <w:p w14:paraId="5B6FB995"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r w:rsidRPr="00622884">
        <w:rPr>
          <w:rFonts w:ascii="Garamond" w:eastAsia="Calibri" w:hAnsi="Garamond" w:cs="Times New Roman"/>
          <w:sz w:val="24"/>
          <w:szCs w:val="24"/>
          <w:lang w:eastAsia="en-US"/>
        </w:rPr>
        <w:t>8.1 Objektivat kryesorë të komunikimit dhe angazhimit</w:t>
      </w:r>
    </w:p>
    <w:p w14:paraId="682F5E05"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r w:rsidRPr="00622884">
        <w:rPr>
          <w:rFonts w:ascii="Garamond" w:eastAsia="Calibri" w:hAnsi="Garamond" w:cs="Times New Roman"/>
          <w:sz w:val="24"/>
          <w:szCs w:val="24"/>
          <w:lang w:eastAsia="en-US"/>
        </w:rPr>
        <w:t>8.2 Audiencat kryesore</w:t>
      </w:r>
    </w:p>
    <w:p w14:paraId="7C36DE4C"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r w:rsidRPr="00622884">
        <w:rPr>
          <w:rFonts w:ascii="Garamond" w:eastAsia="Calibri" w:hAnsi="Garamond" w:cs="Times New Roman"/>
          <w:sz w:val="24"/>
          <w:szCs w:val="24"/>
          <w:lang w:eastAsia="en-US"/>
        </w:rPr>
        <w:t>8.3 Mesazhet kryesore të komunikimit për NAP-in</w:t>
      </w:r>
    </w:p>
    <w:p w14:paraId="5FFB0CCF"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r w:rsidRPr="00622884">
        <w:rPr>
          <w:rFonts w:ascii="Garamond" w:eastAsia="Calibri" w:hAnsi="Garamond" w:cs="Times New Roman"/>
          <w:sz w:val="24"/>
          <w:szCs w:val="24"/>
          <w:lang w:eastAsia="en-US"/>
        </w:rPr>
        <w:t>8.4 Plani i veprimit për komunikim dhe angazhim të palëve të interesit</w:t>
      </w:r>
    </w:p>
    <w:p w14:paraId="3D273D23"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r w:rsidRPr="00622884">
        <w:rPr>
          <w:rFonts w:ascii="Garamond" w:eastAsia="Calibri" w:hAnsi="Garamond" w:cs="Times New Roman"/>
          <w:sz w:val="24"/>
          <w:szCs w:val="24"/>
          <w:lang w:eastAsia="en-US"/>
        </w:rPr>
        <w:t>9. Financimi i NAP-it</w:t>
      </w:r>
    </w:p>
    <w:p w14:paraId="25613CAF"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r w:rsidRPr="00622884">
        <w:rPr>
          <w:rFonts w:ascii="Garamond" w:eastAsia="Calibri" w:hAnsi="Garamond" w:cs="Times New Roman"/>
          <w:sz w:val="24"/>
          <w:szCs w:val="24"/>
          <w:lang w:eastAsia="en-US"/>
        </w:rPr>
        <w:t>9.1 Nevojat për financim për përshtatje</w:t>
      </w:r>
    </w:p>
    <w:p w14:paraId="1E61DEAB"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r w:rsidRPr="00622884">
        <w:rPr>
          <w:rFonts w:ascii="Garamond" w:eastAsia="Calibri" w:hAnsi="Garamond" w:cs="Times New Roman"/>
          <w:sz w:val="24"/>
          <w:szCs w:val="24"/>
          <w:lang w:eastAsia="en-US"/>
        </w:rPr>
        <w:t>9.2 Angazhimet ekzistuese dhe boshllëqet në financim</w:t>
      </w:r>
    </w:p>
    <w:p w14:paraId="2BA7F879"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r w:rsidRPr="00622884">
        <w:rPr>
          <w:rFonts w:ascii="Garamond" w:eastAsia="Calibri" w:hAnsi="Garamond" w:cs="Times New Roman"/>
          <w:sz w:val="24"/>
          <w:szCs w:val="24"/>
          <w:lang w:eastAsia="en-US"/>
        </w:rPr>
        <w:t>9.3 Pengesat për të kapërcyer hendekun e financimit për përshtatje</w:t>
      </w:r>
    </w:p>
    <w:p w14:paraId="65F41631"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r w:rsidRPr="00622884">
        <w:rPr>
          <w:rFonts w:ascii="Garamond" w:eastAsia="Calibri" w:hAnsi="Garamond" w:cs="Times New Roman"/>
          <w:sz w:val="24"/>
          <w:szCs w:val="24"/>
          <w:lang w:eastAsia="en-US"/>
        </w:rPr>
        <w:t>9.4 Mekanizmat mundësues për të kapërcyer hendekun e financimit të përshtatjes</w:t>
      </w:r>
    </w:p>
    <w:p w14:paraId="600446A4"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r w:rsidRPr="00622884">
        <w:rPr>
          <w:rFonts w:ascii="Garamond" w:eastAsia="Calibri" w:hAnsi="Garamond" w:cs="Times New Roman"/>
          <w:sz w:val="24"/>
          <w:szCs w:val="24"/>
          <w:lang w:eastAsia="en-US"/>
        </w:rPr>
        <w:t>9.5 Qasje strategjike</w:t>
      </w:r>
    </w:p>
    <w:p w14:paraId="1F16F08D"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r w:rsidRPr="00622884">
        <w:rPr>
          <w:rFonts w:ascii="Garamond" w:eastAsia="Calibri" w:hAnsi="Garamond" w:cs="Times New Roman"/>
          <w:sz w:val="24"/>
          <w:szCs w:val="24"/>
          <w:lang w:eastAsia="en-US"/>
        </w:rPr>
        <w:t>9.6 Afati dhe zbatimi i propozuar për Strategjinë e Financimit të NAP-it</w:t>
      </w:r>
    </w:p>
    <w:p w14:paraId="4E170513"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r w:rsidRPr="00622884">
        <w:rPr>
          <w:rFonts w:ascii="Garamond" w:eastAsia="Calibri" w:hAnsi="Garamond" w:cs="Times New Roman"/>
          <w:sz w:val="24"/>
          <w:szCs w:val="24"/>
          <w:lang w:eastAsia="en-US"/>
        </w:rPr>
        <w:t>10. Monitorimi, vlerësimi dhe të nxënit</w:t>
      </w:r>
    </w:p>
    <w:p w14:paraId="642A780D"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r w:rsidRPr="00622884">
        <w:rPr>
          <w:rFonts w:ascii="Garamond" w:eastAsia="Calibri" w:hAnsi="Garamond" w:cs="Times New Roman"/>
          <w:sz w:val="24"/>
          <w:szCs w:val="24"/>
          <w:lang w:eastAsia="en-US"/>
        </w:rPr>
        <w:lastRenderedPageBreak/>
        <w:t>10.1 Kuadri i rezultateve</w:t>
      </w:r>
    </w:p>
    <w:p w14:paraId="4C4C75DF"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r w:rsidRPr="00622884">
        <w:rPr>
          <w:rFonts w:ascii="Garamond" w:eastAsia="Calibri" w:hAnsi="Garamond" w:cs="Times New Roman"/>
          <w:sz w:val="24"/>
          <w:szCs w:val="24"/>
          <w:lang w:eastAsia="en-US"/>
        </w:rPr>
        <w:t>10.2 Komponenti i monitorimit</w:t>
      </w:r>
    </w:p>
    <w:p w14:paraId="2C52BC1D"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r w:rsidRPr="00622884">
        <w:rPr>
          <w:rFonts w:ascii="Garamond" w:eastAsia="Calibri" w:hAnsi="Garamond" w:cs="Times New Roman"/>
          <w:sz w:val="24"/>
          <w:szCs w:val="24"/>
          <w:lang w:eastAsia="en-US"/>
        </w:rPr>
        <w:t>10.3 Komponenti i vlerësimit</w:t>
      </w:r>
    </w:p>
    <w:p w14:paraId="7D075EAD"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r w:rsidRPr="00622884">
        <w:rPr>
          <w:rFonts w:ascii="Garamond" w:eastAsia="Calibri" w:hAnsi="Garamond" w:cs="Times New Roman"/>
          <w:sz w:val="24"/>
          <w:szCs w:val="24"/>
          <w:lang w:eastAsia="en-US"/>
        </w:rPr>
        <w:t>10.4 Komponenti i të nxënit</w:t>
      </w:r>
    </w:p>
    <w:p w14:paraId="1EC81141"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r w:rsidRPr="00622884">
        <w:rPr>
          <w:rFonts w:ascii="Garamond" w:eastAsia="Calibri" w:hAnsi="Garamond" w:cs="Times New Roman"/>
          <w:sz w:val="24"/>
          <w:szCs w:val="24"/>
          <w:lang w:eastAsia="en-US"/>
        </w:rPr>
        <w:t xml:space="preserve">LISTA E REFERENCAVE </w:t>
      </w:r>
    </w:p>
    <w:p w14:paraId="7C4AAE92"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r w:rsidRPr="00622884">
        <w:rPr>
          <w:rFonts w:ascii="Garamond" w:eastAsia="Calibri" w:hAnsi="Garamond" w:cs="Times New Roman"/>
          <w:sz w:val="24"/>
          <w:szCs w:val="24"/>
          <w:lang w:eastAsia="en-US"/>
        </w:rPr>
        <w:t xml:space="preserve">ANEKSET </w:t>
      </w:r>
    </w:p>
    <w:p w14:paraId="58180D93"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r w:rsidRPr="00622884">
        <w:rPr>
          <w:rFonts w:ascii="Garamond" w:eastAsia="Calibri" w:hAnsi="Garamond" w:cs="Times New Roman"/>
          <w:sz w:val="24"/>
          <w:szCs w:val="24"/>
          <w:lang w:eastAsia="en-US"/>
        </w:rPr>
        <w:t>Aneksi I. Përmbledhje e kuadrit rregullator dhe politikave</w:t>
      </w:r>
    </w:p>
    <w:p w14:paraId="2DCDA808"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r w:rsidRPr="00622884">
        <w:rPr>
          <w:rFonts w:ascii="Garamond" w:eastAsia="Calibri" w:hAnsi="Garamond" w:cs="Times New Roman"/>
          <w:sz w:val="24"/>
          <w:szCs w:val="24"/>
          <w:lang w:eastAsia="en-US"/>
        </w:rPr>
        <w:t>Aneksi II. Detaje mbi tendencat klimatike të vëzhguara dhe të parashikuara në nivel vendor</w:t>
      </w:r>
    </w:p>
    <w:p w14:paraId="45B3F666"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r w:rsidRPr="00622884">
        <w:rPr>
          <w:rFonts w:ascii="Garamond" w:eastAsia="Calibri" w:hAnsi="Garamond" w:cs="Times New Roman"/>
          <w:sz w:val="24"/>
          <w:szCs w:val="24"/>
          <w:lang w:eastAsia="en-US"/>
        </w:rPr>
        <w:t>Aneksi III. Plani i detajuar i zbatimit të masave prioritare të përshtatjes në Shqipëri</w:t>
      </w:r>
    </w:p>
    <w:p w14:paraId="24008970"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r w:rsidRPr="00622884">
        <w:rPr>
          <w:rFonts w:ascii="Garamond" w:eastAsia="Calibri" w:hAnsi="Garamond" w:cs="Times New Roman"/>
          <w:sz w:val="24"/>
          <w:szCs w:val="24"/>
          <w:lang w:eastAsia="en-US"/>
        </w:rPr>
        <w:t>Aneksi IV. Harta përfshin pylltarinë, bujqësinë dhe vendndodhjet e masave ZBN</w:t>
      </w:r>
    </w:p>
    <w:p w14:paraId="43A5541F"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r w:rsidRPr="00622884">
        <w:rPr>
          <w:rFonts w:ascii="Garamond" w:eastAsia="Calibri" w:hAnsi="Garamond" w:cs="Times New Roman"/>
          <w:sz w:val="24"/>
          <w:szCs w:val="24"/>
          <w:lang w:eastAsia="en-US"/>
        </w:rPr>
        <w:t>LISTA E FIGURAVE</w:t>
      </w:r>
    </w:p>
    <w:p w14:paraId="3898F936"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r w:rsidRPr="00622884">
        <w:rPr>
          <w:rFonts w:ascii="Garamond" w:eastAsia="Calibri" w:hAnsi="Garamond" w:cs="Times New Roman"/>
          <w:sz w:val="24"/>
          <w:szCs w:val="24"/>
          <w:lang w:eastAsia="en-US"/>
        </w:rPr>
        <w:t>Figura 1. Procesi i NAP-it në Shqipëri, korrik 2021–gusht 2025.</w:t>
      </w:r>
    </w:p>
    <w:p w14:paraId="5F9D5F30"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r w:rsidRPr="00622884">
        <w:rPr>
          <w:rFonts w:ascii="Garamond" w:eastAsia="Calibri" w:hAnsi="Garamond" w:cs="Times New Roman"/>
          <w:sz w:val="24"/>
          <w:szCs w:val="24"/>
          <w:lang w:eastAsia="en-US"/>
        </w:rPr>
        <w:t>Figura 2. Struktura organizative e Këshillit të Ministrave të Shqipërisë sipas Ligjit për Ndryshimet klimatike nr. 155/2020, i ndryshuar</w:t>
      </w:r>
    </w:p>
    <w:p w14:paraId="335994B9"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r w:rsidRPr="00622884">
        <w:rPr>
          <w:rFonts w:ascii="Garamond" w:eastAsia="Calibri" w:hAnsi="Garamond" w:cs="Times New Roman"/>
          <w:sz w:val="24"/>
          <w:szCs w:val="24"/>
          <w:lang w:eastAsia="en-US"/>
        </w:rPr>
        <w:t>Figura 3. Rajonet klimatike kryesore në Shqipëri</w:t>
      </w:r>
    </w:p>
    <w:p w14:paraId="0EAB4059"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r w:rsidRPr="00622884">
        <w:rPr>
          <w:rFonts w:ascii="Garamond" w:eastAsia="Calibri" w:hAnsi="Garamond" w:cs="Times New Roman"/>
          <w:sz w:val="24"/>
          <w:szCs w:val="24"/>
          <w:lang w:eastAsia="en-US"/>
        </w:rPr>
        <w:t>Figura 4. Harta e temperaturës mesatare vjetore (°C): reshjet vjetore (mm) (djathtas) të Shqipërisë, 1991–2020</w:t>
      </w:r>
    </w:p>
    <w:p w14:paraId="5AD04037"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r w:rsidRPr="00622884">
        <w:rPr>
          <w:rFonts w:ascii="Garamond" w:eastAsia="Calibri" w:hAnsi="Garamond" w:cs="Times New Roman"/>
          <w:sz w:val="24"/>
          <w:szCs w:val="24"/>
          <w:lang w:eastAsia="en-US"/>
        </w:rPr>
        <w:t>Figura 5. Shpërndarjet e temperaturave vjetore</w:t>
      </w:r>
    </w:p>
    <w:p w14:paraId="023C6C6E"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r w:rsidRPr="00622884">
        <w:rPr>
          <w:rFonts w:ascii="Garamond" w:eastAsia="Calibri" w:hAnsi="Garamond" w:cs="Times New Roman"/>
          <w:sz w:val="24"/>
          <w:szCs w:val="24"/>
          <w:lang w:eastAsia="en-US"/>
        </w:rPr>
        <w:t>Figura 6. Tendencat mesatare vjetore të temperaturës sipërfaqësore të ajrit me sinjifikancën e tendencës për çdo dekadë (1951–2023)</w:t>
      </w:r>
    </w:p>
    <w:p w14:paraId="63186165"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r w:rsidRPr="00622884">
        <w:rPr>
          <w:rFonts w:ascii="Garamond" w:eastAsia="Calibri" w:hAnsi="Garamond" w:cs="Times New Roman"/>
          <w:sz w:val="24"/>
          <w:szCs w:val="24"/>
          <w:lang w:eastAsia="en-US"/>
        </w:rPr>
        <w:t>Figura 7. Tendencat vjetore të reshjeve me sinjifikancën e tendencës për secilën dekadë (1951–2023)</w:t>
      </w:r>
    </w:p>
    <w:p w14:paraId="395D4AB1"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r w:rsidRPr="00622884">
        <w:rPr>
          <w:rFonts w:ascii="Garamond" w:eastAsia="Calibri" w:hAnsi="Garamond" w:cs="Times New Roman"/>
          <w:sz w:val="24"/>
          <w:szCs w:val="24"/>
          <w:lang w:eastAsia="en-US"/>
        </w:rPr>
        <w:t>Figura 8. Luhatja në rritjen e nivelit të detit (në mm) në Shqipëri në periudhën 1993–2015</w:t>
      </w:r>
    </w:p>
    <w:p w14:paraId="4B074177"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r w:rsidRPr="00622884">
        <w:rPr>
          <w:rFonts w:ascii="Garamond" w:eastAsia="Calibri" w:hAnsi="Garamond" w:cs="Times New Roman"/>
          <w:sz w:val="24"/>
          <w:szCs w:val="24"/>
          <w:lang w:eastAsia="en-US"/>
        </w:rPr>
        <w:t>Figura 9. Ndryshime në temperaturën globale sipërfaqësore krahasuar me periudhën 1850–1900</w:t>
      </w:r>
    </w:p>
    <w:p w14:paraId="706751E9"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r w:rsidRPr="00622884">
        <w:rPr>
          <w:rFonts w:ascii="Garamond" w:eastAsia="Calibri" w:hAnsi="Garamond" w:cs="Times New Roman"/>
          <w:sz w:val="24"/>
          <w:szCs w:val="24"/>
          <w:lang w:eastAsia="en-US"/>
        </w:rPr>
        <w:t>Figura 10. Rritja mesatare globale e nivelit të detit krahasuar me periudhën 1850–1900</w:t>
      </w:r>
    </w:p>
    <w:p w14:paraId="46BE5620"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r w:rsidRPr="00622884">
        <w:rPr>
          <w:rFonts w:ascii="Garamond" w:eastAsia="Calibri" w:hAnsi="Garamond" w:cs="Times New Roman"/>
          <w:sz w:val="24"/>
          <w:szCs w:val="24"/>
          <w:lang w:eastAsia="en-US"/>
        </w:rPr>
        <w:t>Figura 11. Skenarët bazë për PBB-në e Shqipërisë</w:t>
      </w:r>
    </w:p>
    <w:p w14:paraId="0EFAD47B"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r w:rsidRPr="00622884">
        <w:rPr>
          <w:rFonts w:ascii="Garamond" w:eastAsia="Calibri" w:hAnsi="Garamond" w:cs="Times New Roman"/>
          <w:sz w:val="24"/>
          <w:szCs w:val="24"/>
          <w:lang w:eastAsia="en-US"/>
        </w:rPr>
        <w:t>Figura 12. Skenarët bazë për popullsinë e Shqipërisë</w:t>
      </w:r>
    </w:p>
    <w:p w14:paraId="47B637C4"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r w:rsidRPr="00622884">
        <w:rPr>
          <w:rFonts w:ascii="Garamond" w:eastAsia="Calibri" w:hAnsi="Garamond" w:cs="Times New Roman"/>
          <w:sz w:val="24"/>
          <w:szCs w:val="24"/>
          <w:lang w:eastAsia="en-US"/>
        </w:rPr>
        <w:t>Figura 13. Ndryshimet e temperaturës mesatare vjetore sipas skenarëve SPS2-4.5 dhe SPS5-8.5</w:t>
      </w:r>
    </w:p>
    <w:p w14:paraId="3486462D"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r w:rsidRPr="00622884">
        <w:rPr>
          <w:rFonts w:ascii="Garamond" w:eastAsia="Calibri" w:hAnsi="Garamond" w:cs="Times New Roman"/>
          <w:sz w:val="24"/>
          <w:szCs w:val="24"/>
          <w:lang w:eastAsia="en-US"/>
        </w:rPr>
        <w:t>Figura 14. Ndryshimet e parashikuara të temperaturës për vitin 2050 në stinë të ndryshme</w:t>
      </w:r>
    </w:p>
    <w:p w14:paraId="1E3EFC60"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r w:rsidRPr="00622884">
        <w:rPr>
          <w:rFonts w:ascii="Garamond" w:eastAsia="Calibri" w:hAnsi="Garamond" w:cs="Times New Roman"/>
          <w:sz w:val="24"/>
          <w:szCs w:val="24"/>
          <w:lang w:eastAsia="en-US"/>
        </w:rPr>
        <w:t>Figura 15. Diferencat sezonale për reshjet</w:t>
      </w:r>
    </w:p>
    <w:p w14:paraId="7164A20C"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r w:rsidRPr="00622884">
        <w:rPr>
          <w:rFonts w:ascii="Garamond" w:eastAsia="Calibri" w:hAnsi="Garamond" w:cs="Times New Roman"/>
          <w:sz w:val="24"/>
          <w:szCs w:val="24"/>
          <w:lang w:eastAsia="en-US"/>
        </w:rPr>
        <w:t>Figura 16. Periudhat e përsëritjes, reshjet maksimale, 1 ditë</w:t>
      </w:r>
    </w:p>
    <w:p w14:paraId="3CA9A8E3"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r w:rsidRPr="00622884">
        <w:rPr>
          <w:rFonts w:ascii="Garamond" w:eastAsia="Calibri" w:hAnsi="Garamond" w:cs="Times New Roman"/>
          <w:sz w:val="24"/>
          <w:szCs w:val="24"/>
          <w:lang w:eastAsia="en-US"/>
        </w:rPr>
        <w:t>Figura 17. Zonat bregdetare me gjasa për t’u përmbytur me rritjen prej 0,33 m të nivelit të detit</w:t>
      </w:r>
    </w:p>
    <w:p w14:paraId="53C0D020"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r w:rsidRPr="00622884">
        <w:rPr>
          <w:rFonts w:ascii="Garamond" w:eastAsia="Calibri" w:hAnsi="Garamond" w:cs="Times New Roman"/>
          <w:sz w:val="24"/>
          <w:szCs w:val="24"/>
          <w:lang w:eastAsia="en-US"/>
        </w:rPr>
        <w:t>Figura 18. Marrëdhënia ndërmjet klimës dhe proceseve socio-ekonomike</w:t>
      </w:r>
    </w:p>
    <w:p w14:paraId="26FD364A"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r w:rsidRPr="00622884">
        <w:rPr>
          <w:rFonts w:ascii="Garamond" w:eastAsia="Calibri" w:hAnsi="Garamond" w:cs="Times New Roman"/>
          <w:sz w:val="24"/>
          <w:szCs w:val="24"/>
          <w:lang w:eastAsia="en-US"/>
        </w:rPr>
        <w:t>Figura 19. Prioritizimi i masave të përshtatjes sipas ndikimit dhe mundësia për pasoja të mëdha</w:t>
      </w:r>
    </w:p>
    <w:p w14:paraId="5B18867A"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r w:rsidRPr="00622884">
        <w:rPr>
          <w:rFonts w:ascii="Garamond" w:eastAsia="Calibri" w:hAnsi="Garamond" w:cs="Times New Roman"/>
          <w:sz w:val="24"/>
          <w:szCs w:val="24"/>
          <w:lang w:eastAsia="en-US"/>
        </w:rPr>
        <w:t>Figura 20. Marrëveshjet institucionale për planin e zbatimit</w:t>
      </w:r>
    </w:p>
    <w:p w14:paraId="56EBEF1B"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r w:rsidRPr="00622884">
        <w:rPr>
          <w:rFonts w:ascii="Garamond" w:eastAsia="Calibri" w:hAnsi="Garamond" w:cs="Times New Roman"/>
          <w:sz w:val="24"/>
          <w:szCs w:val="24"/>
          <w:lang w:eastAsia="en-US"/>
        </w:rPr>
        <w:t>Figura 21. Kuadri i rezultateve të NAP-it</w:t>
      </w:r>
    </w:p>
    <w:p w14:paraId="3440B128"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r w:rsidRPr="00622884">
        <w:rPr>
          <w:rFonts w:ascii="Garamond" w:eastAsia="Calibri" w:hAnsi="Garamond" w:cs="Times New Roman"/>
          <w:sz w:val="24"/>
          <w:szCs w:val="24"/>
          <w:lang w:eastAsia="en-US"/>
        </w:rPr>
        <w:t>Figura 22. Tendencat e temperaturës, të vëzhguara për Elbasanin</w:t>
      </w:r>
    </w:p>
    <w:p w14:paraId="30D916E9"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r w:rsidRPr="00622884">
        <w:rPr>
          <w:rFonts w:ascii="Garamond" w:eastAsia="Calibri" w:hAnsi="Garamond" w:cs="Times New Roman"/>
          <w:sz w:val="24"/>
          <w:szCs w:val="24"/>
          <w:lang w:eastAsia="en-US"/>
        </w:rPr>
        <w:t>Figura 23. Ndryshimet e temperaturave mesatare ditore (vëzhgime) për periudhën 1961–1990 (norma klimatologjike) dhe 2001–2010, në Kukës</w:t>
      </w:r>
    </w:p>
    <w:p w14:paraId="1350B826"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r w:rsidRPr="00622884">
        <w:rPr>
          <w:rFonts w:ascii="Garamond" w:eastAsia="Calibri" w:hAnsi="Garamond" w:cs="Times New Roman"/>
          <w:sz w:val="24"/>
          <w:szCs w:val="24"/>
          <w:lang w:eastAsia="en-US"/>
        </w:rPr>
        <w:t>Figura 24. Reshjet ndërvjetore totale të vëzhguara në Kukës</w:t>
      </w:r>
    </w:p>
    <w:p w14:paraId="1AB53291"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r w:rsidRPr="00622884">
        <w:rPr>
          <w:rFonts w:ascii="Garamond" w:eastAsia="Calibri" w:hAnsi="Garamond" w:cs="Times New Roman"/>
          <w:sz w:val="24"/>
          <w:szCs w:val="24"/>
          <w:lang w:eastAsia="en-US"/>
        </w:rPr>
        <w:t>Figura 25. Ndryshimi i projektuar i temperaturës mesatare (Tmesatare) në dimër dhe verë (°C) për SPSx-y të ndryshme, Kukës</w:t>
      </w:r>
    </w:p>
    <w:p w14:paraId="3461B753"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r w:rsidRPr="00622884">
        <w:rPr>
          <w:rFonts w:ascii="Garamond" w:eastAsia="Calibri" w:hAnsi="Garamond" w:cs="Times New Roman"/>
          <w:sz w:val="24"/>
          <w:szCs w:val="24"/>
          <w:lang w:eastAsia="en-US"/>
        </w:rPr>
        <w:t>Figura 26. Ndryshimet e parashikuara të reshjeve, vjetore dhe verore (%), zona e Lezhës</w:t>
      </w:r>
    </w:p>
    <w:p w14:paraId="23C2AC0B"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r w:rsidRPr="00622884">
        <w:rPr>
          <w:rFonts w:ascii="Garamond" w:eastAsia="Calibri" w:hAnsi="Garamond" w:cs="Times New Roman"/>
          <w:sz w:val="24"/>
          <w:szCs w:val="24"/>
          <w:lang w:eastAsia="en-US"/>
        </w:rPr>
        <w:t>Figura 27. Ndryshimet e mundshme të reshjeve vjetore në Vlorë</w:t>
      </w:r>
    </w:p>
    <w:p w14:paraId="7E4EE102"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r w:rsidRPr="00622884">
        <w:rPr>
          <w:rFonts w:ascii="Garamond" w:eastAsia="Calibri" w:hAnsi="Garamond" w:cs="Times New Roman"/>
          <w:sz w:val="24"/>
          <w:szCs w:val="24"/>
          <w:lang w:eastAsia="en-US"/>
        </w:rPr>
        <w:t>Figura 28. Ndryshimet e mundshme të reshjeve verore sipas skenarëve të ndryshëm, Gjirokastër</w:t>
      </w:r>
    </w:p>
    <w:p w14:paraId="331B00B7"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r w:rsidRPr="00622884">
        <w:rPr>
          <w:rFonts w:ascii="Garamond" w:eastAsia="Calibri" w:hAnsi="Garamond" w:cs="Times New Roman"/>
          <w:sz w:val="24"/>
          <w:szCs w:val="24"/>
          <w:lang w:eastAsia="en-US"/>
        </w:rPr>
        <w:t>Figura 29. Parashikimi i rritjes së nivelit të detit sipas skenarëve të ndryshëm, Durrës</w:t>
      </w:r>
    </w:p>
    <w:p w14:paraId="2DF7310B" w14:textId="77777777" w:rsidR="00622884" w:rsidRPr="00622884" w:rsidRDefault="00622884" w:rsidP="00622884">
      <w:pPr>
        <w:tabs>
          <w:tab w:val="left" w:pos="5325"/>
        </w:tabs>
        <w:spacing w:after="0" w:line="240" w:lineRule="auto"/>
        <w:ind w:firstLine="284"/>
        <w:rPr>
          <w:rFonts w:ascii="Garamond" w:eastAsia="Calibri" w:hAnsi="Garamond" w:cs="Times New Roman"/>
          <w:sz w:val="14"/>
          <w:szCs w:val="24"/>
          <w:lang w:eastAsia="en-US"/>
        </w:rPr>
      </w:pPr>
    </w:p>
    <w:p w14:paraId="7F212E30"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r w:rsidRPr="00622884">
        <w:rPr>
          <w:rFonts w:ascii="Garamond" w:eastAsia="Calibri" w:hAnsi="Garamond" w:cs="Times New Roman"/>
          <w:sz w:val="24"/>
          <w:szCs w:val="24"/>
          <w:lang w:eastAsia="en-US"/>
        </w:rPr>
        <w:t>LISTA E TABELAVE</w:t>
      </w:r>
    </w:p>
    <w:p w14:paraId="36F5D44F"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r w:rsidRPr="00622884">
        <w:rPr>
          <w:rFonts w:ascii="Garamond" w:eastAsia="Calibri" w:hAnsi="Garamond" w:cs="Times New Roman"/>
          <w:sz w:val="24"/>
          <w:szCs w:val="24"/>
          <w:lang w:eastAsia="en-US"/>
        </w:rPr>
        <w:t>Tabela 1. Përmbledhje e ndryshimeve klimatike të vëzhguara dhe të parashikuara në Shqipëri</w:t>
      </w:r>
    </w:p>
    <w:p w14:paraId="0FDEB1B2"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r w:rsidRPr="00622884">
        <w:rPr>
          <w:rFonts w:ascii="Garamond" w:eastAsia="Calibri" w:hAnsi="Garamond" w:cs="Times New Roman"/>
          <w:sz w:val="24"/>
          <w:szCs w:val="24"/>
          <w:lang w:eastAsia="en-US"/>
        </w:rPr>
        <w:t>Tabela 2. Vlerësimi i riskut: Koncepte dhe përkufizime</w:t>
      </w:r>
    </w:p>
    <w:p w14:paraId="6D53A8B7"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r w:rsidRPr="00622884">
        <w:rPr>
          <w:rFonts w:ascii="Garamond" w:eastAsia="Calibri" w:hAnsi="Garamond" w:cs="Times New Roman"/>
          <w:sz w:val="24"/>
          <w:szCs w:val="24"/>
          <w:lang w:eastAsia="en-US"/>
        </w:rPr>
        <w:t>Tabela 3. Risqet klimatike aktuale dhe të ardhshme në sektorin e bujqësisë</w:t>
      </w:r>
    </w:p>
    <w:p w14:paraId="3D7C7761"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r w:rsidRPr="00622884">
        <w:rPr>
          <w:rFonts w:ascii="Garamond" w:eastAsia="Calibri" w:hAnsi="Garamond" w:cs="Times New Roman"/>
          <w:sz w:val="24"/>
          <w:szCs w:val="24"/>
          <w:lang w:eastAsia="en-US"/>
        </w:rPr>
        <w:t>Tabela 4. Risqet klimatike aktuale dhe të ardhshme në sektorin e turizmit</w:t>
      </w:r>
    </w:p>
    <w:p w14:paraId="6AFCAAAA"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r w:rsidRPr="00622884">
        <w:rPr>
          <w:rFonts w:ascii="Garamond" w:eastAsia="Calibri" w:hAnsi="Garamond" w:cs="Times New Roman"/>
          <w:sz w:val="24"/>
          <w:szCs w:val="24"/>
          <w:lang w:eastAsia="en-US"/>
        </w:rPr>
        <w:t>Tabela 5. Risqet klimatike aktuale dhe të ardhshme në sektorin e energjisë</w:t>
      </w:r>
    </w:p>
    <w:p w14:paraId="7A2C2135"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r w:rsidRPr="00622884">
        <w:rPr>
          <w:rFonts w:ascii="Garamond" w:eastAsia="Calibri" w:hAnsi="Garamond" w:cs="Times New Roman"/>
          <w:sz w:val="24"/>
          <w:szCs w:val="24"/>
          <w:lang w:eastAsia="en-US"/>
        </w:rPr>
        <w:t>Tabela 6. Risqet klimatike aktuale dhe të ardhshme në sektorin e transportit</w:t>
      </w:r>
    </w:p>
    <w:p w14:paraId="0A02EC5D"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r w:rsidRPr="00622884">
        <w:rPr>
          <w:rFonts w:ascii="Garamond" w:eastAsia="Calibri" w:hAnsi="Garamond" w:cs="Times New Roman"/>
          <w:sz w:val="24"/>
          <w:szCs w:val="24"/>
          <w:lang w:eastAsia="en-US"/>
        </w:rPr>
        <w:t>Tabela 7. Risqet aktuale dhe të ardhshme klimatike në sektorin e zhvillimit urban</w:t>
      </w:r>
    </w:p>
    <w:p w14:paraId="2D3253E0"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r w:rsidRPr="00622884">
        <w:rPr>
          <w:rFonts w:ascii="Garamond" w:eastAsia="Calibri" w:hAnsi="Garamond" w:cs="Times New Roman"/>
          <w:sz w:val="24"/>
          <w:szCs w:val="24"/>
          <w:lang w:eastAsia="en-US"/>
        </w:rPr>
        <w:t>Tabela 8. Risqet aktuale dhe të ardhshme klimatike ndërsektoriale</w:t>
      </w:r>
    </w:p>
    <w:p w14:paraId="7EC872AA"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r w:rsidRPr="00622884">
        <w:rPr>
          <w:rFonts w:ascii="Garamond" w:eastAsia="Calibri" w:hAnsi="Garamond" w:cs="Times New Roman"/>
          <w:sz w:val="24"/>
          <w:szCs w:val="24"/>
          <w:lang w:eastAsia="en-US"/>
        </w:rPr>
        <w:t>Tabela 9. Masat e përshtatjes të identifikuara në 8 bashki</w:t>
      </w:r>
    </w:p>
    <w:p w14:paraId="6AE3F019"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r w:rsidRPr="00622884">
        <w:rPr>
          <w:rFonts w:ascii="Garamond" w:eastAsia="Calibri" w:hAnsi="Garamond" w:cs="Times New Roman"/>
          <w:sz w:val="24"/>
          <w:szCs w:val="24"/>
          <w:lang w:eastAsia="en-US"/>
        </w:rPr>
        <w:t>Tabela 10. Plani i zbatimit të NAP-it</w:t>
      </w:r>
    </w:p>
    <w:p w14:paraId="457ED12A"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r w:rsidRPr="00622884">
        <w:rPr>
          <w:rFonts w:ascii="Garamond" w:eastAsia="Calibri" w:hAnsi="Garamond" w:cs="Times New Roman"/>
          <w:sz w:val="24"/>
          <w:szCs w:val="24"/>
          <w:lang w:eastAsia="en-US"/>
        </w:rPr>
        <w:t>Tabela 11. Koha dhe përgjegjësitë për planin e zbatimit</w:t>
      </w:r>
    </w:p>
    <w:p w14:paraId="2D2B0942"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r w:rsidRPr="00622884">
        <w:rPr>
          <w:rFonts w:ascii="Garamond" w:eastAsia="Calibri" w:hAnsi="Garamond" w:cs="Times New Roman"/>
          <w:sz w:val="24"/>
          <w:szCs w:val="24"/>
          <w:lang w:eastAsia="en-US"/>
        </w:rPr>
        <w:t>Tabela 12. Totali i masave dhe kostove për sektor</w:t>
      </w:r>
    </w:p>
    <w:p w14:paraId="670EEA03"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r w:rsidRPr="00622884">
        <w:rPr>
          <w:rFonts w:ascii="Garamond" w:eastAsia="Calibri" w:hAnsi="Garamond" w:cs="Times New Roman"/>
          <w:sz w:val="24"/>
          <w:szCs w:val="24"/>
          <w:lang w:eastAsia="en-US"/>
        </w:rPr>
        <w:t>Tabela 13. Nevojat e vlerësuara për buxhet sipas llojit të ndërhyrjes</w:t>
      </w:r>
    </w:p>
    <w:p w14:paraId="42346868"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r w:rsidRPr="00622884">
        <w:rPr>
          <w:rFonts w:ascii="Garamond" w:eastAsia="Calibri" w:hAnsi="Garamond" w:cs="Times New Roman"/>
          <w:sz w:val="24"/>
          <w:szCs w:val="24"/>
          <w:lang w:eastAsia="en-US"/>
        </w:rPr>
        <w:t>Tabela 14. Buxheti i përllogaritur sipas afatit</w:t>
      </w:r>
    </w:p>
    <w:p w14:paraId="6F962629"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r w:rsidRPr="00622884">
        <w:rPr>
          <w:rFonts w:ascii="Garamond" w:eastAsia="Calibri" w:hAnsi="Garamond" w:cs="Times New Roman"/>
          <w:sz w:val="24"/>
          <w:szCs w:val="24"/>
          <w:lang w:eastAsia="en-US"/>
        </w:rPr>
        <w:t>Tabela 15. Objektivat e komunikimit të NAP-it</w:t>
      </w:r>
    </w:p>
    <w:p w14:paraId="6E42DE90"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r w:rsidRPr="00622884">
        <w:rPr>
          <w:rFonts w:ascii="Garamond" w:eastAsia="Calibri" w:hAnsi="Garamond" w:cs="Times New Roman"/>
          <w:sz w:val="24"/>
          <w:szCs w:val="24"/>
          <w:lang w:eastAsia="en-US"/>
        </w:rPr>
        <w:t>Tabela 16. Mesazhet e komunikimit të NAP-it</w:t>
      </w:r>
    </w:p>
    <w:p w14:paraId="16613B44"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r w:rsidRPr="00622884">
        <w:rPr>
          <w:rFonts w:ascii="Garamond" w:eastAsia="Calibri" w:hAnsi="Garamond" w:cs="Times New Roman"/>
          <w:sz w:val="24"/>
          <w:szCs w:val="24"/>
          <w:lang w:eastAsia="en-US"/>
        </w:rPr>
        <w:t>Tabela 17. Plani i komunikimit dhe angazhimit të palëve të interesit</w:t>
      </w:r>
    </w:p>
    <w:p w14:paraId="2B2B6A69"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r w:rsidRPr="00622884">
        <w:rPr>
          <w:rFonts w:ascii="Garamond" w:eastAsia="Calibri" w:hAnsi="Garamond" w:cs="Times New Roman"/>
          <w:sz w:val="24"/>
          <w:szCs w:val="24"/>
          <w:lang w:eastAsia="en-US"/>
        </w:rPr>
        <w:t>Tabela 18. Investimi i parashikuar për periudhën 2026–2042</w:t>
      </w:r>
    </w:p>
    <w:p w14:paraId="3B9DF54B"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r w:rsidRPr="00622884">
        <w:rPr>
          <w:rFonts w:ascii="Garamond" w:eastAsia="Calibri" w:hAnsi="Garamond" w:cs="Times New Roman"/>
          <w:sz w:val="24"/>
          <w:szCs w:val="24"/>
          <w:lang w:eastAsia="en-US"/>
        </w:rPr>
        <w:t>Tabela 19. Nevojat e parashikuara për financim për përshtatje, financimi aktual dhe boshllëqet sipas sektorit</w:t>
      </w:r>
    </w:p>
    <w:p w14:paraId="35D80C19"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r w:rsidRPr="00622884">
        <w:rPr>
          <w:rFonts w:ascii="Garamond" w:eastAsia="Calibri" w:hAnsi="Garamond" w:cs="Times New Roman"/>
          <w:sz w:val="24"/>
          <w:szCs w:val="24"/>
          <w:lang w:eastAsia="en-US"/>
        </w:rPr>
        <w:t>Tabela 20. Plani i detajuar i financimit, 2025–2028</w:t>
      </w:r>
    </w:p>
    <w:p w14:paraId="3C54EA5B"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r w:rsidRPr="00622884">
        <w:rPr>
          <w:rFonts w:ascii="Garamond" w:eastAsia="Calibri" w:hAnsi="Garamond" w:cs="Times New Roman"/>
          <w:sz w:val="24"/>
          <w:szCs w:val="24"/>
          <w:lang w:eastAsia="en-US"/>
        </w:rPr>
        <w:t>Tabela 21. Treguesit e procesit të NAP-it</w:t>
      </w:r>
    </w:p>
    <w:p w14:paraId="20AF85A5"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r w:rsidRPr="00622884">
        <w:rPr>
          <w:rFonts w:ascii="Garamond" w:eastAsia="Calibri" w:hAnsi="Garamond" w:cs="Times New Roman"/>
          <w:sz w:val="24"/>
          <w:szCs w:val="24"/>
          <w:lang w:eastAsia="en-US"/>
        </w:rPr>
        <w:t>Tabela 22. Modalitetet dhe përgjegjësitë e vlerësimit</w:t>
      </w:r>
    </w:p>
    <w:p w14:paraId="08A6C397"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r w:rsidRPr="00622884">
        <w:rPr>
          <w:rFonts w:ascii="Garamond" w:eastAsia="Calibri" w:hAnsi="Garamond" w:cs="Times New Roman"/>
          <w:sz w:val="24"/>
          <w:szCs w:val="24"/>
          <w:lang w:eastAsia="en-US"/>
        </w:rPr>
        <w:t>Tabela 23. Kuadri legjislativ dhe rregullator</w:t>
      </w:r>
    </w:p>
    <w:p w14:paraId="00AA37A0"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r w:rsidRPr="00622884">
        <w:rPr>
          <w:rFonts w:ascii="Garamond" w:eastAsia="Calibri" w:hAnsi="Garamond" w:cs="Times New Roman"/>
          <w:sz w:val="24"/>
          <w:szCs w:val="24"/>
          <w:lang w:eastAsia="en-US"/>
        </w:rPr>
        <w:t>Tabela 24. Kuadri i politikave</w:t>
      </w:r>
    </w:p>
    <w:p w14:paraId="1D249858" w14:textId="77777777" w:rsidR="00622884" w:rsidRPr="00622884" w:rsidRDefault="00622884" w:rsidP="00622884">
      <w:pPr>
        <w:tabs>
          <w:tab w:val="left" w:pos="5325"/>
        </w:tabs>
        <w:spacing w:after="0" w:line="240" w:lineRule="auto"/>
        <w:rPr>
          <w:rFonts w:ascii="Garamond" w:eastAsia="Calibri" w:hAnsi="Garamond" w:cs="Times New Roman"/>
          <w:sz w:val="24"/>
          <w:szCs w:val="24"/>
          <w:lang w:eastAsia="en-US"/>
        </w:rPr>
      </w:pPr>
    </w:p>
    <w:p w14:paraId="1FF529AF"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r w:rsidRPr="00622884">
        <w:rPr>
          <w:rFonts w:ascii="Garamond" w:eastAsia="Calibri" w:hAnsi="Garamond" w:cs="Times New Roman"/>
          <w:sz w:val="24"/>
          <w:szCs w:val="24"/>
          <w:lang w:eastAsia="en-US"/>
        </w:rPr>
        <w:t>PARATHËNIE</w:t>
      </w:r>
    </w:p>
    <w:p w14:paraId="1B4CE905"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r w:rsidRPr="00622884">
        <w:rPr>
          <w:rFonts w:ascii="Garamond" w:eastAsia="Calibri" w:hAnsi="Garamond" w:cs="Times New Roman"/>
          <w:sz w:val="24"/>
          <w:szCs w:val="24"/>
          <w:lang w:eastAsia="en-US"/>
        </w:rPr>
        <w:t>Ndryshimet klimatike përbëjnë një ndër sfidat më të mëdha të kohëve moderne, duke kërcënuar ekosistemet, ekonomitë dhe mirëqenien e popujve në mbarë botën. Shqipëria nuk përbën përjashtim. Vendi ynë po përballet tashmë me efektet e ndryshimeve klimatike nëpërmjet rritjes së temperaturave mesatare, shpeshtësisë më të madhe të thatësirave, përmbytjeve, zjarreve në pyje dhe ngjarjeve të tjera ekstreme të motit. Këto ndikime prekin ecurinë tonë ekonomike dhe mjetet e jetesës së qytetarëve tanë, veçanërisht të komuniteteve më të cenueshme.</w:t>
      </w:r>
    </w:p>
    <w:p w14:paraId="709416C1"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r w:rsidRPr="00622884">
        <w:rPr>
          <w:rFonts w:ascii="Garamond" w:eastAsia="Calibri" w:hAnsi="Garamond" w:cs="Times New Roman"/>
          <w:sz w:val="24"/>
          <w:szCs w:val="24"/>
          <w:lang w:eastAsia="en-US"/>
        </w:rPr>
        <w:t xml:space="preserve">Gjatë dhjetëvjeçarit të fundit, Shqipëria ka përparuar ndjeshëm sa i përket forcimit të kuadrit institucional dhe ligjor për trajtimin e ndryshimeve klimatike. Miratimi i Ligjit për Ndryshimet klimatike, në vitin 2020, miratimi i Kontributeve Kombëtare të Pikësynuara (KKP) në vitin 2021 dhe përafrimi i </w:t>
      </w:r>
      <w:r w:rsidRPr="00622884">
        <w:rPr>
          <w:rFonts w:ascii="Garamond" w:eastAsia="Calibri" w:hAnsi="Garamond" w:cs="Times New Roman"/>
          <w:i/>
          <w:sz w:val="24"/>
          <w:szCs w:val="24"/>
          <w:lang w:eastAsia="en-US"/>
        </w:rPr>
        <w:t>acquis</w:t>
      </w:r>
      <w:r w:rsidRPr="00622884">
        <w:rPr>
          <w:rFonts w:ascii="Garamond" w:eastAsia="Calibri" w:hAnsi="Garamond" w:cs="Times New Roman"/>
          <w:sz w:val="24"/>
          <w:szCs w:val="24"/>
          <w:lang w:eastAsia="en-US"/>
        </w:rPr>
        <w:t>-it të BE-së për klimën kanë përgatitur terrenin për një politikë kombëtare për klimën, e cila është koherente dhe me perspektivë drejt së ardhmes. Në këtë kuadër, procesi i Planit Kombëtar të Përshtatjes (NAP) është shfaqur si një mekanizëm qendror për integrimin e përshtatjes ndaj ndryshimeve klimatike në planifikimin për zhvillim, politikëbërjen dhe kuadrot financiarë në nivelin kombëtar dhe atë vendor.</w:t>
      </w:r>
    </w:p>
    <w:p w14:paraId="7C39D991"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r w:rsidRPr="00622884">
        <w:rPr>
          <w:rFonts w:ascii="Garamond" w:eastAsia="Calibri" w:hAnsi="Garamond" w:cs="Times New Roman"/>
          <w:sz w:val="24"/>
          <w:szCs w:val="24"/>
          <w:lang w:eastAsia="en-US"/>
        </w:rPr>
        <w:t xml:space="preserve">Ky dokument përfaqëson rezultatin e Procesit të Dytë Kombëtar të Përshtatjes, një nismë e Ministrisë së Mjedisit (MM), në përputhje me kërkesën ligjore për një rishikim katërvjeçar të NAP-it dhe në përgjigje të angazhimeve ndërkombëtare të Shqipërisë, në kuadër të UNFCCC-së dhe Marrëveshjes së Parisit. Procesi mbështetet te përvoja e NAP-it të parë (2015–2019). Strategjia e NAP-it të dytë dhe plani i zbatimit janë orientuar nëpërmjet rishikimit të planit të parë, një game të gjerë studimesh dhe vlerësimesh, dokumenteve të përditësuara të politikave </w:t>
      </w:r>
      <w:r w:rsidRPr="00622884">
        <w:rPr>
          <w:rFonts w:ascii="Garamond" w:eastAsia="Calibri" w:hAnsi="Garamond" w:cs="Times New Roman"/>
          <w:sz w:val="24"/>
          <w:szCs w:val="24"/>
          <w:lang w:eastAsia="en-US"/>
        </w:rPr>
        <w:lastRenderedPageBreak/>
        <w:t>kombëtare dhe praktikave më të mira ndërkombëtare, e gjithë kjo në bashkëpunim të ngushtë me një sërë palësh interesi kombëtare.</w:t>
      </w:r>
    </w:p>
    <w:p w14:paraId="525C840A"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r w:rsidRPr="00622884">
        <w:rPr>
          <w:rFonts w:ascii="Garamond" w:eastAsia="Calibri" w:hAnsi="Garamond" w:cs="Times New Roman"/>
          <w:sz w:val="24"/>
          <w:szCs w:val="24"/>
          <w:lang w:eastAsia="en-US"/>
        </w:rPr>
        <w:t>Objektivi i NAP-it të dytë është pakësimi i ndikimeve të lidhura me ndryshimet klimatike në nivel vendi, duke ngritur kapacitetet institucionale dhe ato teknike, që bëjnë të mundur planifikimin afatgjatë dhe të integruar të përshtatjes ndaj ndryshimeve klimatike. Nëpërmjet vlerësimeve gjithëpërfshirëse të cenueshmërive dhe risqeve në pesë sektorët prioritarë të bujqësisë, pylltarisë, turizmit, energjisë, transportit dhe zhvillimit urban, NAP-i mundëson një udhërrëfyes të qartë për ndërmarrjen e veprimeve të bashkërenduara. Plani shoqërohet me disa instrumente kyç në mbështetje të zbatimit të tij, si: plani i zbatimit për NAP-in, Strategjia e Financimit, Plani i Veprimit për Barazinë Gjinore (PVBGJ), Plani i Komunikimit dhe Angazhimit të Palëve të Interesit (PKAPI), si edhe Kuadri i Monitorimit, Vlerësimit dhe të Nxënit (MVN). Këta komponentë formojnë një sistem të plotë për planifikimin, financimin, zbatimin dhe gjurmimin e veprimeve të përshtatjes në nivel mbarëkombëtar.</w:t>
      </w:r>
    </w:p>
    <w:p w14:paraId="424250EB"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r w:rsidRPr="00622884">
        <w:rPr>
          <w:rFonts w:ascii="Garamond" w:eastAsia="Calibri" w:hAnsi="Garamond" w:cs="Times New Roman"/>
          <w:sz w:val="24"/>
          <w:szCs w:val="24"/>
          <w:lang w:eastAsia="en-US"/>
        </w:rPr>
        <w:t>Procesi i NAP-it aktual ka pasur një shkallë të lartë pjesëmarrjeje, duke përfshirë ministritë, bashkitë, akademinë, shoqërinë civile dhe sektorin privat. Ai ka arritur të nxjerrë të dhëna të vyera, të forcojë bashkëpunimin institucional dhe të ndërtojë bazat teknike për zhvillimin me aftësi ripërtëritëse ndaj klimës. Më e rëndësishmja, ky proces mundëson kushtet për shndërrimin e përshtatjes nga një kuadër politikash në një angazhim kombëtar kolektiv dhe afatgjatë.</w:t>
      </w:r>
    </w:p>
    <w:p w14:paraId="052726AF"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r w:rsidRPr="00622884">
        <w:rPr>
          <w:rFonts w:ascii="Garamond" w:eastAsia="Calibri" w:hAnsi="Garamond" w:cs="Times New Roman"/>
          <w:sz w:val="24"/>
          <w:szCs w:val="24"/>
          <w:lang w:eastAsia="en-US"/>
        </w:rPr>
        <w:t>Nëpërmjet këtij plani kombëtar përshtatjeje të dytë, qeveria shqiptare rithekson vendosmërinë e palëkundshme për të ndërtuar një të ardhme të qëndrueshme, me aftësi ripërtëritëse dhe nivele të ulëta shkarkimesh. Jemi të vetëdijshëm se përshtatja nuk është një përpjekje e ndërmarrë vetëm një herë, por një proces i vazhdueshëm, që kërkon institucione të forta, financim të qëndrueshëm dhe përfshirjen e të gjithë sektorëve të shoqërisë.</w:t>
      </w:r>
    </w:p>
    <w:p w14:paraId="4A03BCD9"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r w:rsidRPr="00622884">
        <w:rPr>
          <w:rFonts w:ascii="Garamond" w:eastAsia="Calibri" w:hAnsi="Garamond" w:cs="Times New Roman"/>
          <w:sz w:val="24"/>
          <w:szCs w:val="24"/>
          <w:lang w:eastAsia="en-US"/>
        </w:rPr>
        <w:t>Dëshiroj t’u shpreh mirënjohjen më të sinqertë të gjithë kontribuesve ndaj kësaj përpjekjeje, konkretisht institucioneve kombëtare, bashkive, ekspertëve, partnerëve të zhvillimit dhe organizatave ndërkombëtare, bashkëpunimi i të cilëve bëri të mundur këtë arritje. Plani përfaqëson një angazhim kombëtar të rinovuar ndaj aftësisë ripërtëritëse dhe zhvillimit të qëndrueshëm, si edhe një dëshmi të rolit të Shqipërisë si pararojë në sfidën botërore të ndryshimeve klimatike.</w:t>
      </w:r>
    </w:p>
    <w:p w14:paraId="0C70B04B"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p>
    <w:p w14:paraId="5A27F075" w14:textId="77777777" w:rsidR="00622884" w:rsidRPr="00622884" w:rsidRDefault="00622884" w:rsidP="00622884">
      <w:pPr>
        <w:tabs>
          <w:tab w:val="left" w:pos="5325"/>
        </w:tabs>
        <w:spacing w:after="0" w:line="240" w:lineRule="auto"/>
        <w:ind w:firstLine="284"/>
        <w:jc w:val="right"/>
        <w:rPr>
          <w:rFonts w:ascii="Garamond" w:eastAsia="Calibri" w:hAnsi="Garamond" w:cs="Times New Roman"/>
          <w:b/>
          <w:sz w:val="24"/>
          <w:szCs w:val="24"/>
          <w:lang w:eastAsia="en-US"/>
        </w:rPr>
      </w:pPr>
      <w:r w:rsidRPr="00622884">
        <w:rPr>
          <w:rFonts w:ascii="Garamond" w:eastAsia="Calibri" w:hAnsi="Garamond" w:cs="Times New Roman"/>
          <w:b/>
          <w:sz w:val="24"/>
          <w:szCs w:val="24"/>
          <w:lang w:eastAsia="en-US"/>
        </w:rPr>
        <w:t>Sofjan Jaupaj</w:t>
      </w:r>
    </w:p>
    <w:p w14:paraId="49408FB8" w14:textId="77777777" w:rsidR="00622884" w:rsidRPr="00622884" w:rsidRDefault="00622884" w:rsidP="00622884">
      <w:pPr>
        <w:tabs>
          <w:tab w:val="left" w:pos="5325"/>
        </w:tabs>
        <w:spacing w:after="0" w:line="240" w:lineRule="auto"/>
        <w:ind w:firstLine="284"/>
        <w:jc w:val="right"/>
        <w:rPr>
          <w:rFonts w:ascii="Garamond" w:eastAsia="Calibri" w:hAnsi="Garamond" w:cs="Times New Roman"/>
          <w:sz w:val="24"/>
          <w:szCs w:val="24"/>
          <w:lang w:eastAsia="en-US"/>
        </w:rPr>
      </w:pPr>
      <w:r w:rsidRPr="00622884">
        <w:rPr>
          <w:rFonts w:ascii="Garamond" w:eastAsia="Calibri" w:hAnsi="Garamond" w:cs="Times New Roman"/>
          <w:sz w:val="24"/>
          <w:szCs w:val="24"/>
          <w:lang w:eastAsia="en-US"/>
        </w:rPr>
        <w:t>MINISTËR I MJEDISIT</w:t>
      </w:r>
    </w:p>
    <w:p w14:paraId="4CD6702B" w14:textId="77777777" w:rsidR="00622884" w:rsidRPr="00622884" w:rsidRDefault="00622884" w:rsidP="00622884">
      <w:pPr>
        <w:tabs>
          <w:tab w:val="left" w:pos="5325"/>
        </w:tabs>
        <w:spacing w:after="0" w:line="240" w:lineRule="auto"/>
        <w:ind w:firstLine="284"/>
        <w:jc w:val="right"/>
        <w:rPr>
          <w:rFonts w:ascii="Garamond" w:eastAsia="Calibri" w:hAnsi="Garamond" w:cs="Times New Roman"/>
          <w:sz w:val="24"/>
          <w:szCs w:val="24"/>
          <w:lang w:eastAsia="en-US"/>
        </w:rPr>
      </w:pPr>
      <w:r w:rsidRPr="00622884">
        <w:rPr>
          <w:rFonts w:ascii="Garamond" w:eastAsia="Calibri" w:hAnsi="Garamond" w:cs="Times New Roman"/>
          <w:sz w:val="24"/>
          <w:szCs w:val="24"/>
          <w:lang w:eastAsia="en-US"/>
        </w:rPr>
        <w:t>REPUBLIKA E SHQIPËRISË</w:t>
      </w:r>
    </w:p>
    <w:p w14:paraId="5999F1CB" w14:textId="77777777" w:rsidR="00622884" w:rsidRPr="00622884" w:rsidRDefault="00622884" w:rsidP="00622884">
      <w:pPr>
        <w:tabs>
          <w:tab w:val="left" w:pos="5325"/>
        </w:tabs>
        <w:spacing w:after="0" w:line="240" w:lineRule="auto"/>
        <w:ind w:firstLine="284"/>
        <w:jc w:val="center"/>
        <w:rPr>
          <w:rFonts w:ascii="Garamond" w:eastAsia="Calibri" w:hAnsi="Garamond" w:cs="Times New Roman"/>
          <w:sz w:val="24"/>
          <w:szCs w:val="24"/>
          <w:lang w:eastAsia="en-US"/>
        </w:rPr>
      </w:pPr>
    </w:p>
    <w:p w14:paraId="01DDE03A" w14:textId="77777777" w:rsidR="00622884" w:rsidRPr="00622884" w:rsidRDefault="00622884" w:rsidP="00622884">
      <w:pPr>
        <w:tabs>
          <w:tab w:val="left" w:pos="5325"/>
        </w:tabs>
        <w:spacing w:after="0" w:line="240" w:lineRule="auto"/>
        <w:ind w:firstLine="284"/>
        <w:rPr>
          <w:rFonts w:ascii="Garamond" w:eastAsia="Calibri" w:hAnsi="Garamond" w:cs="Times New Roman"/>
          <w:bCs/>
          <w:sz w:val="24"/>
          <w:szCs w:val="24"/>
          <w:lang w:eastAsia="en-US"/>
        </w:rPr>
      </w:pPr>
      <w:r w:rsidRPr="00622884">
        <w:rPr>
          <w:rFonts w:ascii="Garamond" w:eastAsia="Calibri" w:hAnsi="Garamond" w:cs="Times New Roman"/>
          <w:sz w:val="24"/>
          <w:szCs w:val="24"/>
          <w:lang w:eastAsia="en-US" w:bidi="sq-AL"/>
        </w:rPr>
        <w:t>LISTA E SHKURTESAVE DHE SHKURTIMEVE</w:t>
      </w:r>
    </w:p>
    <w:tbl>
      <w:tblPr>
        <w:tblW w:w="0" w:type="auto"/>
        <w:tblLook w:val="04A0" w:firstRow="1" w:lastRow="0" w:firstColumn="1" w:lastColumn="0" w:noHBand="0" w:noVBand="1"/>
      </w:tblPr>
      <w:tblGrid>
        <w:gridCol w:w="1269"/>
        <w:gridCol w:w="7757"/>
      </w:tblGrid>
      <w:tr w:rsidR="00622884" w:rsidRPr="00622884" w14:paraId="1DEAA470" w14:textId="77777777" w:rsidTr="00622884">
        <w:tc>
          <w:tcPr>
            <w:tcW w:w="1269" w:type="dxa"/>
          </w:tcPr>
          <w:p w14:paraId="37EFBEA1" w14:textId="77777777" w:rsidR="00622884" w:rsidRPr="00622884" w:rsidRDefault="00622884" w:rsidP="00622884">
            <w:pPr>
              <w:spacing w:after="0" w:line="240" w:lineRule="auto"/>
              <w:jc w:val="left"/>
              <w:rPr>
                <w:rFonts w:ascii="Garamond" w:eastAsia="Calibri" w:hAnsi="Garamond" w:cs="Calibri Light"/>
                <w:b/>
                <w:bCs/>
                <w:sz w:val="20"/>
                <w:szCs w:val="20"/>
                <w:lang w:eastAsia="en-US"/>
              </w:rPr>
            </w:pPr>
          </w:p>
        </w:tc>
        <w:tc>
          <w:tcPr>
            <w:tcW w:w="7757" w:type="dxa"/>
          </w:tcPr>
          <w:p w14:paraId="0370EAC1" w14:textId="77777777" w:rsidR="00622884" w:rsidRPr="00622884" w:rsidRDefault="00622884" w:rsidP="00622884">
            <w:pPr>
              <w:spacing w:after="0" w:line="240" w:lineRule="auto"/>
              <w:jc w:val="left"/>
              <w:rPr>
                <w:rFonts w:ascii="Garamond" w:eastAsia="Calibri" w:hAnsi="Garamond" w:cs="Calibri Light"/>
                <w:sz w:val="20"/>
                <w:szCs w:val="20"/>
                <w:lang w:eastAsia="en-US"/>
              </w:rPr>
            </w:pPr>
          </w:p>
        </w:tc>
      </w:tr>
      <w:tr w:rsidR="00622884" w:rsidRPr="00622884" w14:paraId="7AC94340" w14:textId="77777777" w:rsidTr="00622884">
        <w:tc>
          <w:tcPr>
            <w:tcW w:w="1269" w:type="dxa"/>
          </w:tcPr>
          <w:p w14:paraId="4DB32A9D" w14:textId="77777777" w:rsidR="00622884" w:rsidRPr="00622884" w:rsidRDefault="00622884" w:rsidP="00622884">
            <w:pPr>
              <w:spacing w:after="0" w:line="240" w:lineRule="auto"/>
              <w:jc w:val="left"/>
              <w:rPr>
                <w:rFonts w:ascii="Garamond" w:eastAsia="Calibri" w:hAnsi="Garamond" w:cs="Calibri Light"/>
                <w:b/>
                <w:bCs/>
                <w:sz w:val="20"/>
                <w:szCs w:val="20"/>
                <w:lang w:eastAsia="en-US"/>
              </w:rPr>
            </w:pPr>
            <w:r w:rsidRPr="00622884">
              <w:rPr>
                <w:rFonts w:ascii="Garamond" w:eastAsia="Calibri" w:hAnsi="Garamond" w:cs="Times New Roman"/>
                <w:b/>
                <w:sz w:val="20"/>
                <w:szCs w:val="20"/>
                <w:lang w:eastAsia="en-US" w:bidi="sq-AL"/>
              </w:rPr>
              <w:t xml:space="preserve">AKBN </w:t>
            </w:r>
          </w:p>
        </w:tc>
        <w:tc>
          <w:tcPr>
            <w:tcW w:w="7757" w:type="dxa"/>
          </w:tcPr>
          <w:p w14:paraId="6D769F46" w14:textId="77777777" w:rsidR="00622884" w:rsidRPr="00622884" w:rsidRDefault="00622884" w:rsidP="00622884">
            <w:pPr>
              <w:spacing w:after="0" w:line="240" w:lineRule="auto"/>
              <w:jc w:val="left"/>
              <w:rPr>
                <w:rFonts w:ascii="Garamond" w:eastAsia="Calibri" w:hAnsi="Garamond" w:cs="Calibri Light"/>
                <w:sz w:val="20"/>
                <w:szCs w:val="20"/>
                <w:lang w:eastAsia="en-US"/>
              </w:rPr>
            </w:pPr>
            <w:r w:rsidRPr="00622884">
              <w:rPr>
                <w:rFonts w:ascii="Garamond" w:eastAsia="Calibri" w:hAnsi="Garamond" w:cs="Times New Roman"/>
                <w:sz w:val="20"/>
                <w:szCs w:val="20"/>
                <w:lang w:eastAsia="en-US" w:bidi="sq-AL"/>
              </w:rPr>
              <w:t>Agjencia Kombëtare e Burimeve Natyrore të Shqipërisë</w:t>
            </w:r>
          </w:p>
        </w:tc>
      </w:tr>
      <w:tr w:rsidR="00622884" w:rsidRPr="00622884" w14:paraId="241EB984" w14:textId="77777777" w:rsidTr="00622884">
        <w:tc>
          <w:tcPr>
            <w:tcW w:w="1269" w:type="dxa"/>
          </w:tcPr>
          <w:p w14:paraId="1625F426" w14:textId="77777777" w:rsidR="00622884" w:rsidRPr="00622884" w:rsidRDefault="00622884" w:rsidP="00622884">
            <w:pPr>
              <w:spacing w:after="0" w:line="240" w:lineRule="auto"/>
              <w:jc w:val="left"/>
              <w:rPr>
                <w:rFonts w:ascii="Garamond" w:eastAsia="Calibri" w:hAnsi="Garamond" w:cs="Calibri Light"/>
                <w:b/>
                <w:bCs/>
                <w:sz w:val="20"/>
                <w:szCs w:val="20"/>
                <w:lang w:eastAsia="en-US"/>
              </w:rPr>
            </w:pPr>
            <w:r w:rsidRPr="00622884">
              <w:rPr>
                <w:rFonts w:ascii="Garamond" w:eastAsia="Calibri" w:hAnsi="Garamond" w:cs="Times New Roman"/>
                <w:b/>
                <w:sz w:val="20"/>
                <w:szCs w:val="20"/>
                <w:lang w:eastAsia="en-US" w:bidi="sq-AL"/>
              </w:rPr>
              <w:t>AKBN</w:t>
            </w:r>
          </w:p>
        </w:tc>
        <w:tc>
          <w:tcPr>
            <w:tcW w:w="7757" w:type="dxa"/>
          </w:tcPr>
          <w:p w14:paraId="4914200F" w14:textId="77777777" w:rsidR="00622884" w:rsidRPr="00622884" w:rsidRDefault="00622884" w:rsidP="00622884">
            <w:pPr>
              <w:spacing w:after="0" w:line="240" w:lineRule="auto"/>
              <w:jc w:val="left"/>
              <w:rPr>
                <w:rFonts w:ascii="Garamond" w:eastAsia="Calibri" w:hAnsi="Garamond" w:cs="Calibri Light"/>
                <w:sz w:val="20"/>
                <w:szCs w:val="20"/>
                <w:lang w:eastAsia="en-US"/>
              </w:rPr>
            </w:pPr>
            <w:r w:rsidRPr="00622884">
              <w:rPr>
                <w:rFonts w:ascii="Garamond" w:eastAsia="Calibri" w:hAnsi="Garamond" w:cs="Times New Roman"/>
                <w:sz w:val="20"/>
                <w:szCs w:val="20"/>
                <w:lang w:eastAsia="en-US" w:bidi="sq-AL"/>
              </w:rPr>
              <w:t>Agjencia Kombëtare e Burimeve Natyrore</w:t>
            </w:r>
          </w:p>
        </w:tc>
      </w:tr>
      <w:tr w:rsidR="00622884" w:rsidRPr="00622884" w14:paraId="456B9AA7" w14:textId="77777777" w:rsidTr="00622884">
        <w:tc>
          <w:tcPr>
            <w:tcW w:w="1269" w:type="dxa"/>
          </w:tcPr>
          <w:p w14:paraId="49BFBD2B" w14:textId="77777777" w:rsidR="00622884" w:rsidRPr="00622884" w:rsidRDefault="00622884" w:rsidP="00622884">
            <w:pPr>
              <w:spacing w:after="0" w:line="240" w:lineRule="auto"/>
              <w:jc w:val="left"/>
              <w:rPr>
                <w:rFonts w:ascii="Garamond" w:eastAsia="Calibri" w:hAnsi="Garamond" w:cs="Calibri Light"/>
                <w:b/>
                <w:bCs/>
                <w:sz w:val="20"/>
                <w:szCs w:val="20"/>
                <w:lang w:eastAsia="en-US"/>
              </w:rPr>
            </w:pPr>
            <w:r w:rsidRPr="00622884">
              <w:rPr>
                <w:rFonts w:ascii="Garamond" w:eastAsia="Calibri" w:hAnsi="Garamond" w:cs="Times New Roman"/>
                <w:b/>
                <w:sz w:val="20"/>
                <w:szCs w:val="20"/>
                <w:lang w:eastAsia="en-US" w:bidi="sq-AL"/>
              </w:rPr>
              <w:t>AKEC</w:t>
            </w:r>
          </w:p>
        </w:tc>
        <w:tc>
          <w:tcPr>
            <w:tcW w:w="7757" w:type="dxa"/>
          </w:tcPr>
          <w:p w14:paraId="5BC8E7A5" w14:textId="77777777" w:rsidR="00622884" w:rsidRPr="00622884" w:rsidRDefault="00622884" w:rsidP="00622884">
            <w:pPr>
              <w:spacing w:after="0" w:line="240" w:lineRule="auto"/>
              <w:jc w:val="left"/>
              <w:rPr>
                <w:rFonts w:ascii="Garamond" w:eastAsia="Calibri" w:hAnsi="Garamond" w:cs="Calibri Light"/>
                <w:sz w:val="20"/>
                <w:szCs w:val="20"/>
                <w:lang w:eastAsia="en-US"/>
              </w:rPr>
            </w:pPr>
            <w:r w:rsidRPr="00622884">
              <w:rPr>
                <w:rFonts w:ascii="Garamond" w:eastAsia="Calibri" w:hAnsi="Garamond" w:cs="Times New Roman"/>
                <w:sz w:val="20"/>
                <w:szCs w:val="20"/>
                <w:lang w:eastAsia="en-US" w:bidi="sq-AL"/>
              </w:rPr>
              <w:t>Agjencia Kombëtare e Emergjencave Civile</w:t>
            </w:r>
          </w:p>
        </w:tc>
      </w:tr>
      <w:tr w:rsidR="00622884" w:rsidRPr="00622884" w14:paraId="560F80EF" w14:textId="77777777" w:rsidTr="00622884">
        <w:tc>
          <w:tcPr>
            <w:tcW w:w="1269" w:type="dxa"/>
          </w:tcPr>
          <w:p w14:paraId="4C18E038" w14:textId="77777777" w:rsidR="00622884" w:rsidRPr="00622884" w:rsidRDefault="00622884" w:rsidP="00622884">
            <w:pPr>
              <w:spacing w:after="0" w:line="240" w:lineRule="auto"/>
              <w:jc w:val="left"/>
              <w:rPr>
                <w:rFonts w:ascii="Garamond" w:eastAsia="Calibri" w:hAnsi="Garamond" w:cs="Calibri Light"/>
                <w:b/>
                <w:bCs/>
                <w:sz w:val="20"/>
                <w:szCs w:val="20"/>
                <w:lang w:eastAsia="en-US"/>
              </w:rPr>
            </w:pPr>
            <w:r w:rsidRPr="00622884">
              <w:rPr>
                <w:rFonts w:ascii="Garamond" w:eastAsia="Calibri" w:hAnsi="Garamond" w:cs="Times New Roman"/>
                <w:b/>
                <w:sz w:val="20"/>
                <w:szCs w:val="20"/>
                <w:lang w:eastAsia="en-US" w:bidi="sq-AL"/>
              </w:rPr>
              <w:t>AKM</w:t>
            </w:r>
          </w:p>
        </w:tc>
        <w:tc>
          <w:tcPr>
            <w:tcW w:w="7757" w:type="dxa"/>
          </w:tcPr>
          <w:p w14:paraId="715E9F3B" w14:textId="77777777" w:rsidR="00622884" w:rsidRPr="00622884" w:rsidRDefault="00622884" w:rsidP="00622884">
            <w:pPr>
              <w:spacing w:after="0" w:line="240" w:lineRule="auto"/>
              <w:jc w:val="left"/>
              <w:rPr>
                <w:rFonts w:ascii="Garamond" w:eastAsia="Calibri" w:hAnsi="Garamond" w:cs="Calibri Light"/>
                <w:sz w:val="20"/>
                <w:szCs w:val="20"/>
                <w:lang w:eastAsia="en-US"/>
              </w:rPr>
            </w:pPr>
            <w:r w:rsidRPr="00622884">
              <w:rPr>
                <w:rFonts w:ascii="Garamond" w:eastAsia="Calibri" w:hAnsi="Garamond" w:cs="Times New Roman"/>
                <w:sz w:val="20"/>
                <w:szCs w:val="20"/>
                <w:lang w:eastAsia="en-US" w:bidi="sq-AL"/>
              </w:rPr>
              <w:t>Agjencia Kombëtare e Mjedisit</w:t>
            </w:r>
          </w:p>
        </w:tc>
      </w:tr>
      <w:tr w:rsidR="00622884" w:rsidRPr="00622884" w14:paraId="6264233C" w14:textId="77777777" w:rsidTr="00622884">
        <w:tc>
          <w:tcPr>
            <w:tcW w:w="1269" w:type="dxa"/>
          </w:tcPr>
          <w:p w14:paraId="2BD23D3F" w14:textId="77777777" w:rsidR="00622884" w:rsidRPr="00622884" w:rsidRDefault="00622884" w:rsidP="00622884">
            <w:pPr>
              <w:spacing w:after="0" w:line="240" w:lineRule="auto"/>
              <w:jc w:val="left"/>
              <w:rPr>
                <w:rFonts w:ascii="Garamond" w:eastAsia="Calibri" w:hAnsi="Garamond" w:cs="Calibri Light"/>
                <w:b/>
                <w:bCs/>
                <w:sz w:val="20"/>
                <w:szCs w:val="20"/>
                <w:lang w:eastAsia="en-US"/>
              </w:rPr>
            </w:pPr>
            <w:r w:rsidRPr="00622884">
              <w:rPr>
                <w:rFonts w:ascii="Garamond" w:eastAsia="Calibri" w:hAnsi="Garamond" w:cs="Times New Roman"/>
                <w:b/>
                <w:sz w:val="20"/>
                <w:szCs w:val="20"/>
                <w:lang w:eastAsia="en-US" w:bidi="sq-AL"/>
              </w:rPr>
              <w:t>AKP</w:t>
            </w:r>
          </w:p>
        </w:tc>
        <w:tc>
          <w:tcPr>
            <w:tcW w:w="7757" w:type="dxa"/>
          </w:tcPr>
          <w:p w14:paraId="3B846D5C" w14:textId="77777777" w:rsidR="00622884" w:rsidRPr="00622884" w:rsidRDefault="00622884" w:rsidP="00622884">
            <w:pPr>
              <w:spacing w:after="0" w:line="240" w:lineRule="auto"/>
              <w:jc w:val="left"/>
              <w:rPr>
                <w:rFonts w:ascii="Garamond" w:eastAsia="Calibri" w:hAnsi="Garamond" w:cs="Calibri Light"/>
                <w:sz w:val="20"/>
                <w:szCs w:val="20"/>
                <w:lang w:eastAsia="en-US"/>
              </w:rPr>
            </w:pPr>
            <w:r w:rsidRPr="00622884">
              <w:rPr>
                <w:rFonts w:ascii="Garamond" w:eastAsia="Calibri" w:hAnsi="Garamond" w:cs="Times New Roman"/>
                <w:sz w:val="20"/>
                <w:szCs w:val="20"/>
                <w:lang w:eastAsia="en-US" w:bidi="sq-AL"/>
              </w:rPr>
              <w:t>Analiza kosto-përfitim</w:t>
            </w:r>
          </w:p>
        </w:tc>
      </w:tr>
      <w:tr w:rsidR="00622884" w:rsidRPr="00622884" w14:paraId="12DF1D30" w14:textId="77777777" w:rsidTr="00622884">
        <w:tc>
          <w:tcPr>
            <w:tcW w:w="1269" w:type="dxa"/>
          </w:tcPr>
          <w:p w14:paraId="36A89335" w14:textId="77777777" w:rsidR="00622884" w:rsidRPr="00622884" w:rsidRDefault="00622884" w:rsidP="00622884">
            <w:pPr>
              <w:spacing w:after="0" w:line="240" w:lineRule="auto"/>
              <w:jc w:val="left"/>
              <w:rPr>
                <w:rFonts w:ascii="Garamond" w:eastAsia="Calibri" w:hAnsi="Garamond" w:cs="Calibri Light"/>
                <w:b/>
                <w:bCs/>
                <w:sz w:val="20"/>
                <w:szCs w:val="20"/>
                <w:lang w:eastAsia="en-US"/>
              </w:rPr>
            </w:pPr>
            <w:r w:rsidRPr="00622884">
              <w:rPr>
                <w:rFonts w:ascii="Garamond" w:eastAsia="Calibri" w:hAnsi="Garamond" w:cs="Times New Roman"/>
                <w:b/>
                <w:sz w:val="20"/>
                <w:szCs w:val="20"/>
                <w:lang w:eastAsia="en-US" w:bidi="sq-AL"/>
              </w:rPr>
              <w:t>AKPT</w:t>
            </w:r>
          </w:p>
        </w:tc>
        <w:tc>
          <w:tcPr>
            <w:tcW w:w="7757" w:type="dxa"/>
          </w:tcPr>
          <w:p w14:paraId="7C242CFF" w14:textId="77777777" w:rsidR="00622884" w:rsidRPr="00622884" w:rsidRDefault="00622884" w:rsidP="00622884">
            <w:pPr>
              <w:spacing w:after="0" w:line="240" w:lineRule="auto"/>
              <w:jc w:val="left"/>
              <w:rPr>
                <w:rFonts w:ascii="Garamond" w:eastAsia="Calibri" w:hAnsi="Garamond" w:cs="Calibri Light"/>
                <w:sz w:val="20"/>
                <w:szCs w:val="20"/>
                <w:lang w:eastAsia="en-US"/>
              </w:rPr>
            </w:pPr>
            <w:r w:rsidRPr="00622884">
              <w:rPr>
                <w:rFonts w:ascii="Garamond" w:eastAsia="Calibri" w:hAnsi="Garamond" w:cs="Times New Roman"/>
                <w:sz w:val="20"/>
                <w:szCs w:val="20"/>
                <w:lang w:eastAsia="en-US" w:bidi="sq-AL"/>
              </w:rPr>
              <w:t>Agjencia Kombëtare e Planifikimit të Territorit</w:t>
            </w:r>
          </w:p>
        </w:tc>
      </w:tr>
      <w:tr w:rsidR="00622884" w:rsidRPr="00622884" w14:paraId="32DC7AFB" w14:textId="77777777" w:rsidTr="00622884">
        <w:tc>
          <w:tcPr>
            <w:tcW w:w="1269" w:type="dxa"/>
          </w:tcPr>
          <w:p w14:paraId="146F794E" w14:textId="77777777" w:rsidR="00622884" w:rsidRPr="00622884" w:rsidRDefault="00622884" w:rsidP="00622884">
            <w:pPr>
              <w:spacing w:after="0" w:line="240" w:lineRule="auto"/>
              <w:jc w:val="left"/>
              <w:rPr>
                <w:rFonts w:ascii="Garamond" w:eastAsia="Calibri" w:hAnsi="Garamond" w:cs="Calibri Light"/>
                <w:b/>
                <w:bCs/>
                <w:sz w:val="20"/>
                <w:szCs w:val="20"/>
                <w:lang w:eastAsia="en-US"/>
              </w:rPr>
            </w:pPr>
            <w:r w:rsidRPr="00622884">
              <w:rPr>
                <w:rFonts w:ascii="Garamond" w:eastAsia="Calibri" w:hAnsi="Garamond" w:cs="Times New Roman"/>
                <w:b/>
                <w:sz w:val="20"/>
                <w:szCs w:val="20"/>
                <w:lang w:eastAsia="en-US" w:bidi="sq-AL"/>
              </w:rPr>
              <w:t>AKZM</w:t>
            </w:r>
          </w:p>
        </w:tc>
        <w:tc>
          <w:tcPr>
            <w:tcW w:w="7757" w:type="dxa"/>
          </w:tcPr>
          <w:p w14:paraId="138D6806" w14:textId="77777777" w:rsidR="00622884" w:rsidRPr="00622884" w:rsidRDefault="00622884" w:rsidP="00622884">
            <w:pPr>
              <w:spacing w:after="0" w:line="240" w:lineRule="auto"/>
              <w:jc w:val="left"/>
              <w:rPr>
                <w:rFonts w:ascii="Garamond" w:eastAsia="Calibri" w:hAnsi="Garamond" w:cs="Calibri Light"/>
                <w:sz w:val="20"/>
                <w:szCs w:val="20"/>
                <w:lang w:eastAsia="en-US"/>
              </w:rPr>
            </w:pPr>
            <w:r w:rsidRPr="00622884">
              <w:rPr>
                <w:rFonts w:ascii="Garamond" w:eastAsia="Calibri" w:hAnsi="Garamond" w:cs="Times New Roman"/>
                <w:sz w:val="20"/>
                <w:szCs w:val="20"/>
                <w:lang w:eastAsia="en-US" w:bidi="sq-AL"/>
              </w:rPr>
              <w:t>Agjencia Kombëtare e Zonave të Mbrojtura</w:t>
            </w:r>
          </w:p>
        </w:tc>
      </w:tr>
      <w:tr w:rsidR="00622884" w:rsidRPr="00622884" w14:paraId="3900486B" w14:textId="77777777" w:rsidTr="00622884">
        <w:tc>
          <w:tcPr>
            <w:tcW w:w="1269" w:type="dxa"/>
          </w:tcPr>
          <w:p w14:paraId="4F66CFFE" w14:textId="77777777" w:rsidR="00622884" w:rsidRPr="00622884" w:rsidRDefault="00622884" w:rsidP="00622884">
            <w:pPr>
              <w:spacing w:after="0" w:line="240" w:lineRule="auto"/>
              <w:jc w:val="left"/>
              <w:rPr>
                <w:rFonts w:ascii="Garamond" w:eastAsia="Calibri" w:hAnsi="Garamond" w:cs="Calibri Light"/>
                <w:b/>
                <w:bCs/>
                <w:sz w:val="20"/>
                <w:szCs w:val="20"/>
                <w:lang w:eastAsia="en-US"/>
              </w:rPr>
            </w:pPr>
            <w:r w:rsidRPr="00622884">
              <w:rPr>
                <w:rFonts w:ascii="Garamond" w:eastAsia="Calibri" w:hAnsi="Garamond" w:cs="Times New Roman"/>
                <w:b/>
                <w:sz w:val="20"/>
                <w:szCs w:val="20"/>
                <w:lang w:eastAsia="en-US" w:bidi="sq-AL"/>
              </w:rPr>
              <w:t>AR6</w:t>
            </w:r>
          </w:p>
        </w:tc>
        <w:tc>
          <w:tcPr>
            <w:tcW w:w="7757" w:type="dxa"/>
          </w:tcPr>
          <w:p w14:paraId="364610D3" w14:textId="77777777" w:rsidR="00622884" w:rsidRPr="00622884" w:rsidRDefault="00622884" w:rsidP="00622884">
            <w:pPr>
              <w:spacing w:after="0" w:line="240" w:lineRule="auto"/>
              <w:jc w:val="left"/>
              <w:rPr>
                <w:rFonts w:ascii="Garamond" w:eastAsia="Calibri" w:hAnsi="Garamond" w:cs="Calibri Light"/>
                <w:sz w:val="20"/>
                <w:szCs w:val="20"/>
                <w:lang w:eastAsia="en-US"/>
              </w:rPr>
            </w:pPr>
            <w:r w:rsidRPr="00622884">
              <w:rPr>
                <w:rFonts w:ascii="Garamond" w:eastAsia="Calibri" w:hAnsi="Garamond" w:cs="Times New Roman"/>
                <w:sz w:val="20"/>
                <w:szCs w:val="20"/>
                <w:lang w:eastAsia="en-US" w:bidi="sq-AL"/>
              </w:rPr>
              <w:t>Raporti i Gjashtë i Vlerësimit i PNNK-së</w:t>
            </w:r>
          </w:p>
        </w:tc>
      </w:tr>
      <w:tr w:rsidR="00622884" w:rsidRPr="00622884" w14:paraId="505EC5DC" w14:textId="77777777" w:rsidTr="00622884">
        <w:tc>
          <w:tcPr>
            <w:tcW w:w="1269" w:type="dxa"/>
          </w:tcPr>
          <w:p w14:paraId="5AE6FB93" w14:textId="77777777" w:rsidR="00622884" w:rsidRPr="00622884" w:rsidRDefault="00622884" w:rsidP="00622884">
            <w:pPr>
              <w:spacing w:after="0" w:line="240" w:lineRule="auto"/>
              <w:jc w:val="left"/>
              <w:rPr>
                <w:rFonts w:ascii="Garamond" w:eastAsia="Calibri" w:hAnsi="Garamond" w:cs="Calibri Light"/>
                <w:b/>
                <w:bCs/>
                <w:sz w:val="20"/>
                <w:szCs w:val="20"/>
                <w:lang w:eastAsia="en-US"/>
              </w:rPr>
            </w:pPr>
            <w:r w:rsidRPr="00622884">
              <w:rPr>
                <w:rFonts w:ascii="Garamond" w:eastAsia="Calibri" w:hAnsi="Garamond" w:cs="Times New Roman"/>
                <w:b/>
                <w:sz w:val="20"/>
                <w:szCs w:val="20"/>
                <w:lang w:eastAsia="en-US" w:bidi="sq-AL"/>
              </w:rPr>
              <w:t>ARRSH</w:t>
            </w:r>
          </w:p>
        </w:tc>
        <w:tc>
          <w:tcPr>
            <w:tcW w:w="7757" w:type="dxa"/>
          </w:tcPr>
          <w:p w14:paraId="6A4E13E9" w14:textId="77777777" w:rsidR="00622884" w:rsidRPr="00622884" w:rsidRDefault="00622884" w:rsidP="00622884">
            <w:pPr>
              <w:spacing w:after="0" w:line="240" w:lineRule="auto"/>
              <w:jc w:val="left"/>
              <w:rPr>
                <w:rFonts w:ascii="Garamond" w:eastAsia="Calibri" w:hAnsi="Garamond" w:cs="Calibri Light"/>
                <w:sz w:val="20"/>
                <w:szCs w:val="20"/>
                <w:lang w:eastAsia="en-US"/>
              </w:rPr>
            </w:pPr>
            <w:r w:rsidRPr="00622884">
              <w:rPr>
                <w:rFonts w:ascii="Garamond" w:eastAsia="Calibri" w:hAnsi="Garamond" w:cs="Times New Roman"/>
                <w:sz w:val="20"/>
                <w:szCs w:val="20"/>
                <w:lang w:eastAsia="en-US" w:bidi="sq-AL"/>
              </w:rPr>
              <w:t>Autoriteti Rrugor Shqiptar</w:t>
            </w:r>
          </w:p>
        </w:tc>
      </w:tr>
      <w:tr w:rsidR="00622884" w:rsidRPr="00622884" w14:paraId="0E21BC66" w14:textId="77777777" w:rsidTr="00622884">
        <w:tc>
          <w:tcPr>
            <w:tcW w:w="1269" w:type="dxa"/>
          </w:tcPr>
          <w:p w14:paraId="5ED95832" w14:textId="77777777" w:rsidR="00622884" w:rsidRPr="00622884" w:rsidRDefault="00622884" w:rsidP="00622884">
            <w:pPr>
              <w:spacing w:after="0" w:line="240" w:lineRule="auto"/>
              <w:jc w:val="left"/>
              <w:rPr>
                <w:rFonts w:ascii="Garamond" w:eastAsia="Calibri" w:hAnsi="Garamond" w:cs="Calibri Light"/>
                <w:b/>
                <w:bCs/>
                <w:sz w:val="20"/>
                <w:szCs w:val="20"/>
                <w:lang w:eastAsia="en-US"/>
              </w:rPr>
            </w:pPr>
            <w:r w:rsidRPr="00622884">
              <w:rPr>
                <w:rFonts w:ascii="Garamond" w:eastAsia="Calibri" w:hAnsi="Garamond" w:cs="Times New Roman"/>
                <w:b/>
                <w:sz w:val="20"/>
                <w:szCs w:val="20"/>
                <w:lang w:eastAsia="en-US" w:bidi="sq-AL"/>
              </w:rPr>
              <w:t>ASPA</w:t>
            </w:r>
          </w:p>
        </w:tc>
        <w:tc>
          <w:tcPr>
            <w:tcW w:w="7757" w:type="dxa"/>
          </w:tcPr>
          <w:p w14:paraId="531956BF" w14:textId="77777777" w:rsidR="00622884" w:rsidRPr="00622884" w:rsidRDefault="00622884" w:rsidP="00622884">
            <w:pPr>
              <w:spacing w:after="0" w:line="240" w:lineRule="auto"/>
              <w:jc w:val="left"/>
              <w:rPr>
                <w:rFonts w:ascii="Garamond" w:eastAsia="Calibri" w:hAnsi="Garamond" w:cs="Calibri Light"/>
                <w:sz w:val="20"/>
                <w:szCs w:val="20"/>
                <w:lang w:eastAsia="en-US"/>
              </w:rPr>
            </w:pPr>
            <w:r w:rsidRPr="00622884">
              <w:rPr>
                <w:rFonts w:ascii="Garamond" w:eastAsia="Calibri" w:hAnsi="Garamond" w:cs="Times New Roman"/>
                <w:sz w:val="20"/>
                <w:szCs w:val="20"/>
                <w:lang w:eastAsia="en-US" w:bidi="sq-AL"/>
              </w:rPr>
              <w:t>Shkolla Shqiptare e Administratës Publike</w:t>
            </w:r>
          </w:p>
        </w:tc>
      </w:tr>
      <w:tr w:rsidR="00622884" w:rsidRPr="00622884" w14:paraId="145ABDBA" w14:textId="77777777" w:rsidTr="00622884">
        <w:tc>
          <w:tcPr>
            <w:tcW w:w="1269" w:type="dxa"/>
          </w:tcPr>
          <w:p w14:paraId="3F4554D2" w14:textId="77777777" w:rsidR="00622884" w:rsidRPr="00622884" w:rsidRDefault="00622884" w:rsidP="00622884">
            <w:pPr>
              <w:spacing w:after="0" w:line="240" w:lineRule="auto"/>
              <w:jc w:val="left"/>
              <w:rPr>
                <w:rFonts w:ascii="Garamond" w:eastAsia="Calibri" w:hAnsi="Garamond" w:cs="Calibri Light"/>
                <w:b/>
                <w:bCs/>
                <w:sz w:val="20"/>
                <w:szCs w:val="20"/>
                <w:lang w:eastAsia="en-US"/>
              </w:rPr>
            </w:pPr>
            <w:r w:rsidRPr="00622884">
              <w:rPr>
                <w:rFonts w:ascii="Garamond" w:eastAsia="Calibri" w:hAnsi="Garamond" w:cs="Times New Roman"/>
                <w:b/>
                <w:sz w:val="20"/>
                <w:szCs w:val="20"/>
                <w:lang w:eastAsia="en-US" w:bidi="sq-AL"/>
              </w:rPr>
              <w:t>ASHK</w:t>
            </w:r>
          </w:p>
        </w:tc>
        <w:tc>
          <w:tcPr>
            <w:tcW w:w="7757" w:type="dxa"/>
          </w:tcPr>
          <w:p w14:paraId="61D3C5DE" w14:textId="77777777" w:rsidR="00622884" w:rsidRPr="00622884" w:rsidRDefault="00622884" w:rsidP="00622884">
            <w:pPr>
              <w:spacing w:after="0" w:line="240" w:lineRule="auto"/>
              <w:jc w:val="left"/>
              <w:rPr>
                <w:rFonts w:ascii="Garamond" w:eastAsia="Calibri" w:hAnsi="Garamond" w:cs="Calibri Light"/>
                <w:sz w:val="20"/>
                <w:szCs w:val="20"/>
                <w:lang w:eastAsia="en-US"/>
              </w:rPr>
            </w:pPr>
            <w:r w:rsidRPr="00622884">
              <w:rPr>
                <w:rFonts w:ascii="Garamond" w:eastAsia="Calibri" w:hAnsi="Garamond" w:cs="Times New Roman"/>
                <w:sz w:val="20"/>
                <w:szCs w:val="20"/>
                <w:lang w:eastAsia="en-US" w:bidi="sq-AL"/>
              </w:rPr>
              <w:t>Analiza me shumë kritere</w:t>
            </w:r>
          </w:p>
        </w:tc>
      </w:tr>
      <w:tr w:rsidR="00622884" w:rsidRPr="00622884" w14:paraId="07B6D7A5" w14:textId="77777777" w:rsidTr="00622884">
        <w:tc>
          <w:tcPr>
            <w:tcW w:w="1269" w:type="dxa"/>
          </w:tcPr>
          <w:p w14:paraId="782D4782" w14:textId="77777777" w:rsidR="00622884" w:rsidRPr="00622884" w:rsidRDefault="00622884" w:rsidP="00622884">
            <w:pPr>
              <w:spacing w:after="0" w:line="240" w:lineRule="auto"/>
              <w:jc w:val="left"/>
              <w:rPr>
                <w:rFonts w:ascii="Garamond" w:eastAsia="Calibri" w:hAnsi="Garamond" w:cs="Calibri Light"/>
                <w:b/>
                <w:bCs/>
                <w:sz w:val="20"/>
                <w:szCs w:val="20"/>
                <w:lang w:eastAsia="en-US"/>
              </w:rPr>
            </w:pPr>
            <w:r w:rsidRPr="00622884">
              <w:rPr>
                <w:rFonts w:ascii="Garamond" w:eastAsia="Calibri" w:hAnsi="Garamond" w:cs="Times New Roman"/>
                <w:b/>
                <w:sz w:val="20"/>
                <w:szCs w:val="20"/>
                <w:lang w:eastAsia="en-US" w:bidi="sq-AL"/>
              </w:rPr>
              <w:t>BE</w:t>
            </w:r>
          </w:p>
        </w:tc>
        <w:tc>
          <w:tcPr>
            <w:tcW w:w="7757" w:type="dxa"/>
          </w:tcPr>
          <w:p w14:paraId="7C1D363E" w14:textId="77777777" w:rsidR="00622884" w:rsidRPr="00622884" w:rsidRDefault="00622884" w:rsidP="00622884">
            <w:pPr>
              <w:spacing w:after="0" w:line="240" w:lineRule="auto"/>
              <w:jc w:val="left"/>
              <w:rPr>
                <w:rFonts w:ascii="Garamond" w:eastAsia="Calibri" w:hAnsi="Garamond" w:cs="Calibri Light"/>
                <w:sz w:val="20"/>
                <w:szCs w:val="20"/>
                <w:lang w:eastAsia="en-US"/>
              </w:rPr>
            </w:pPr>
            <w:r w:rsidRPr="00622884">
              <w:rPr>
                <w:rFonts w:ascii="Garamond" w:eastAsia="Calibri" w:hAnsi="Garamond" w:cs="Times New Roman"/>
                <w:sz w:val="20"/>
                <w:szCs w:val="20"/>
                <w:lang w:eastAsia="en-US" w:bidi="sq-AL"/>
              </w:rPr>
              <w:t>Bashkimi Evropian</w:t>
            </w:r>
          </w:p>
        </w:tc>
      </w:tr>
      <w:tr w:rsidR="00622884" w:rsidRPr="00622884" w14:paraId="6A2E12E4" w14:textId="77777777" w:rsidTr="00622884">
        <w:tc>
          <w:tcPr>
            <w:tcW w:w="1269" w:type="dxa"/>
          </w:tcPr>
          <w:p w14:paraId="0C7B96CF" w14:textId="77777777" w:rsidR="00622884" w:rsidRPr="00622884" w:rsidRDefault="00622884" w:rsidP="00622884">
            <w:pPr>
              <w:spacing w:after="0" w:line="240" w:lineRule="auto"/>
              <w:jc w:val="left"/>
              <w:rPr>
                <w:rFonts w:ascii="Garamond" w:eastAsia="Calibri" w:hAnsi="Garamond" w:cs="Calibri Light"/>
                <w:b/>
                <w:bCs/>
                <w:sz w:val="20"/>
                <w:szCs w:val="20"/>
                <w:lang w:eastAsia="en-US"/>
              </w:rPr>
            </w:pPr>
            <w:r w:rsidRPr="00622884">
              <w:rPr>
                <w:rFonts w:ascii="Garamond" w:eastAsia="Calibri" w:hAnsi="Garamond" w:cs="Times New Roman"/>
                <w:b/>
                <w:sz w:val="20"/>
                <w:szCs w:val="20"/>
                <w:lang w:eastAsia="en-US" w:bidi="sq-AL"/>
              </w:rPr>
              <w:t>BPO</w:t>
            </w:r>
          </w:p>
        </w:tc>
        <w:tc>
          <w:tcPr>
            <w:tcW w:w="7757" w:type="dxa"/>
          </w:tcPr>
          <w:p w14:paraId="7C5529B6" w14:textId="77777777" w:rsidR="00622884" w:rsidRPr="00622884" w:rsidRDefault="00622884" w:rsidP="00622884">
            <w:pPr>
              <w:spacing w:after="0" w:line="240" w:lineRule="auto"/>
              <w:jc w:val="left"/>
              <w:rPr>
                <w:rFonts w:ascii="Garamond" w:eastAsia="Calibri" w:hAnsi="Garamond" w:cs="Calibri Light"/>
                <w:sz w:val="20"/>
                <w:szCs w:val="20"/>
                <w:lang w:eastAsia="en-US"/>
              </w:rPr>
            </w:pPr>
            <w:r w:rsidRPr="00622884">
              <w:rPr>
                <w:rFonts w:ascii="Garamond" w:eastAsia="Calibri" w:hAnsi="Garamond" w:cs="Times New Roman"/>
                <w:sz w:val="20"/>
                <w:szCs w:val="20"/>
                <w:lang w:eastAsia="en-US" w:bidi="sq-AL"/>
              </w:rPr>
              <w:t>Nënkontraktimi i Proceseve të Biznesit</w:t>
            </w:r>
          </w:p>
        </w:tc>
      </w:tr>
      <w:tr w:rsidR="00622884" w:rsidRPr="00622884" w14:paraId="429A6BFE" w14:textId="77777777" w:rsidTr="00622884">
        <w:tc>
          <w:tcPr>
            <w:tcW w:w="1269" w:type="dxa"/>
          </w:tcPr>
          <w:p w14:paraId="0497A4B3" w14:textId="77777777" w:rsidR="00622884" w:rsidRPr="00622884" w:rsidRDefault="00622884" w:rsidP="00622884">
            <w:pPr>
              <w:spacing w:after="0" w:line="240" w:lineRule="auto"/>
              <w:jc w:val="left"/>
              <w:rPr>
                <w:rFonts w:ascii="Garamond" w:eastAsia="Calibri" w:hAnsi="Garamond" w:cs="Calibri Light"/>
                <w:b/>
                <w:bCs/>
                <w:sz w:val="20"/>
                <w:szCs w:val="20"/>
                <w:lang w:eastAsia="en-US"/>
              </w:rPr>
            </w:pPr>
            <w:r w:rsidRPr="00622884">
              <w:rPr>
                <w:rFonts w:ascii="Garamond" w:eastAsia="Calibri" w:hAnsi="Garamond" w:cs="Times New Roman"/>
                <w:b/>
                <w:sz w:val="20"/>
                <w:szCs w:val="20"/>
                <w:lang w:eastAsia="en-US" w:bidi="sq-AL"/>
              </w:rPr>
              <w:t>CAPEX</w:t>
            </w:r>
          </w:p>
        </w:tc>
        <w:tc>
          <w:tcPr>
            <w:tcW w:w="7757" w:type="dxa"/>
          </w:tcPr>
          <w:p w14:paraId="489621C5" w14:textId="77777777" w:rsidR="00622884" w:rsidRPr="00622884" w:rsidRDefault="00622884" w:rsidP="00622884">
            <w:pPr>
              <w:spacing w:after="0" w:line="240" w:lineRule="auto"/>
              <w:jc w:val="left"/>
              <w:rPr>
                <w:rFonts w:ascii="Garamond" w:eastAsia="Calibri" w:hAnsi="Garamond" w:cs="Calibri Light"/>
                <w:sz w:val="20"/>
                <w:szCs w:val="20"/>
                <w:lang w:eastAsia="en-US"/>
              </w:rPr>
            </w:pPr>
            <w:r w:rsidRPr="00622884">
              <w:rPr>
                <w:rFonts w:ascii="Garamond" w:eastAsia="Calibri" w:hAnsi="Garamond" w:cs="Times New Roman"/>
                <w:sz w:val="20"/>
                <w:szCs w:val="20"/>
                <w:lang w:eastAsia="en-US" w:bidi="sq-AL"/>
              </w:rPr>
              <w:t>Shpenzimet kapitale</w:t>
            </w:r>
          </w:p>
        </w:tc>
      </w:tr>
      <w:tr w:rsidR="00622884" w:rsidRPr="00622884" w14:paraId="731B73CE" w14:textId="77777777" w:rsidTr="00622884">
        <w:tc>
          <w:tcPr>
            <w:tcW w:w="1269" w:type="dxa"/>
          </w:tcPr>
          <w:p w14:paraId="392DB88E" w14:textId="77777777" w:rsidR="00622884" w:rsidRPr="00622884" w:rsidRDefault="00622884" w:rsidP="00622884">
            <w:pPr>
              <w:spacing w:after="0" w:line="240" w:lineRule="auto"/>
              <w:jc w:val="left"/>
              <w:rPr>
                <w:rFonts w:ascii="Garamond" w:eastAsia="Calibri" w:hAnsi="Garamond" w:cs="Calibri Light"/>
                <w:b/>
                <w:bCs/>
                <w:sz w:val="20"/>
                <w:szCs w:val="20"/>
                <w:lang w:eastAsia="en-US"/>
              </w:rPr>
            </w:pPr>
            <w:r w:rsidRPr="00622884">
              <w:rPr>
                <w:rFonts w:ascii="Garamond" w:eastAsia="Calibri" w:hAnsi="Garamond" w:cs="Times New Roman"/>
                <w:b/>
                <w:sz w:val="20"/>
                <w:szCs w:val="20"/>
                <w:lang w:eastAsia="en-US" w:bidi="sq-AL"/>
              </w:rPr>
              <w:t>EBK</w:t>
            </w:r>
          </w:p>
        </w:tc>
        <w:tc>
          <w:tcPr>
            <w:tcW w:w="7757" w:type="dxa"/>
          </w:tcPr>
          <w:p w14:paraId="2A0DEBCA" w14:textId="77777777" w:rsidR="00622884" w:rsidRPr="00622884" w:rsidRDefault="00622884" w:rsidP="00622884">
            <w:pPr>
              <w:spacing w:after="0" w:line="240" w:lineRule="auto"/>
              <w:jc w:val="left"/>
              <w:rPr>
                <w:rFonts w:ascii="Garamond" w:eastAsia="Calibri" w:hAnsi="Garamond" w:cs="Calibri Light"/>
                <w:sz w:val="20"/>
                <w:szCs w:val="20"/>
                <w:lang w:eastAsia="en-US"/>
              </w:rPr>
            </w:pPr>
            <w:r w:rsidRPr="00622884">
              <w:rPr>
                <w:rFonts w:ascii="Garamond" w:eastAsia="Calibri" w:hAnsi="Garamond" w:cs="Times New Roman"/>
                <w:sz w:val="20"/>
                <w:szCs w:val="20"/>
                <w:lang w:eastAsia="en-US" w:bidi="sq-AL"/>
              </w:rPr>
              <w:t>Etiketimi i buxhetit për klimën</w:t>
            </w:r>
          </w:p>
        </w:tc>
      </w:tr>
      <w:tr w:rsidR="00622884" w:rsidRPr="00622884" w14:paraId="7AE18E79" w14:textId="77777777" w:rsidTr="00622884">
        <w:tc>
          <w:tcPr>
            <w:tcW w:w="1269" w:type="dxa"/>
          </w:tcPr>
          <w:p w14:paraId="7F36945A" w14:textId="77777777" w:rsidR="00622884" w:rsidRPr="00622884" w:rsidRDefault="00622884" w:rsidP="00622884">
            <w:pPr>
              <w:spacing w:after="0" w:line="240" w:lineRule="auto"/>
              <w:jc w:val="left"/>
              <w:rPr>
                <w:rFonts w:ascii="Garamond" w:eastAsia="Calibri" w:hAnsi="Garamond" w:cs="Calibri Light"/>
                <w:b/>
                <w:bCs/>
                <w:sz w:val="20"/>
                <w:szCs w:val="20"/>
                <w:lang w:eastAsia="en-US"/>
              </w:rPr>
            </w:pPr>
            <w:r w:rsidRPr="00622884">
              <w:rPr>
                <w:rFonts w:ascii="Garamond" w:eastAsia="Calibri" w:hAnsi="Garamond" w:cs="Times New Roman"/>
                <w:b/>
                <w:sz w:val="20"/>
                <w:szCs w:val="20"/>
                <w:lang w:eastAsia="en-US" w:bidi="sq-AL"/>
              </w:rPr>
              <w:t>FGJK</w:t>
            </w:r>
          </w:p>
        </w:tc>
        <w:tc>
          <w:tcPr>
            <w:tcW w:w="7757" w:type="dxa"/>
          </w:tcPr>
          <w:p w14:paraId="6BE63DE6" w14:textId="77777777" w:rsidR="00622884" w:rsidRPr="00622884" w:rsidRDefault="00622884" w:rsidP="00622884">
            <w:pPr>
              <w:spacing w:after="0" w:line="240" w:lineRule="auto"/>
              <w:jc w:val="left"/>
              <w:rPr>
                <w:rFonts w:ascii="Garamond" w:eastAsia="Calibri" w:hAnsi="Garamond" w:cs="Calibri Light"/>
                <w:sz w:val="20"/>
                <w:szCs w:val="20"/>
                <w:lang w:eastAsia="en-US"/>
              </w:rPr>
            </w:pPr>
            <w:r w:rsidRPr="00622884">
              <w:rPr>
                <w:rFonts w:ascii="Garamond" w:eastAsia="Calibri" w:hAnsi="Garamond" w:cs="Times New Roman"/>
                <w:sz w:val="20"/>
                <w:szCs w:val="20"/>
                <w:lang w:eastAsia="en-US" w:bidi="sq-AL"/>
              </w:rPr>
              <w:t>Fondi i Gjelbër për Klimën</w:t>
            </w:r>
          </w:p>
        </w:tc>
      </w:tr>
      <w:tr w:rsidR="00622884" w:rsidRPr="00622884" w14:paraId="639FC7AC" w14:textId="77777777" w:rsidTr="00622884">
        <w:tc>
          <w:tcPr>
            <w:tcW w:w="1269" w:type="dxa"/>
          </w:tcPr>
          <w:p w14:paraId="3A23A3C8" w14:textId="77777777" w:rsidR="00622884" w:rsidRPr="00622884" w:rsidRDefault="00622884" w:rsidP="00622884">
            <w:pPr>
              <w:spacing w:after="0" w:line="240" w:lineRule="auto"/>
              <w:jc w:val="left"/>
              <w:rPr>
                <w:rFonts w:ascii="Garamond" w:eastAsia="Calibri" w:hAnsi="Garamond" w:cs="Calibri Light"/>
                <w:b/>
                <w:bCs/>
                <w:sz w:val="20"/>
                <w:szCs w:val="20"/>
                <w:lang w:eastAsia="en-US"/>
              </w:rPr>
            </w:pPr>
            <w:r w:rsidRPr="00622884">
              <w:rPr>
                <w:rFonts w:ascii="Garamond" w:eastAsia="Calibri" w:hAnsi="Garamond" w:cs="Times New Roman"/>
                <w:b/>
                <w:sz w:val="20"/>
                <w:szCs w:val="20"/>
                <w:lang w:eastAsia="en-US" w:bidi="sq-AL"/>
              </w:rPr>
              <w:t>FP</w:t>
            </w:r>
          </w:p>
        </w:tc>
        <w:tc>
          <w:tcPr>
            <w:tcW w:w="7757" w:type="dxa"/>
          </w:tcPr>
          <w:p w14:paraId="044EF1D2" w14:textId="77777777" w:rsidR="00622884" w:rsidRPr="00622884" w:rsidRDefault="00622884" w:rsidP="00622884">
            <w:pPr>
              <w:spacing w:after="0" w:line="240" w:lineRule="auto"/>
              <w:jc w:val="left"/>
              <w:rPr>
                <w:rFonts w:ascii="Garamond" w:eastAsia="Calibri" w:hAnsi="Garamond" w:cs="Calibri Light"/>
                <w:sz w:val="20"/>
                <w:szCs w:val="20"/>
                <w:lang w:eastAsia="en-US"/>
              </w:rPr>
            </w:pPr>
            <w:r w:rsidRPr="00622884">
              <w:rPr>
                <w:rFonts w:ascii="Garamond" w:eastAsia="Calibri" w:hAnsi="Garamond" w:cs="Times New Roman"/>
                <w:sz w:val="20"/>
                <w:szCs w:val="20"/>
                <w:lang w:eastAsia="en-US" w:bidi="sq-AL"/>
              </w:rPr>
              <w:t>Fondi për Përshtatje</w:t>
            </w:r>
          </w:p>
        </w:tc>
      </w:tr>
      <w:tr w:rsidR="00622884" w:rsidRPr="00622884" w14:paraId="1A834FC8" w14:textId="77777777" w:rsidTr="00622884">
        <w:tc>
          <w:tcPr>
            <w:tcW w:w="1269" w:type="dxa"/>
          </w:tcPr>
          <w:p w14:paraId="03BC0F25" w14:textId="77777777" w:rsidR="00622884" w:rsidRPr="00622884" w:rsidRDefault="00622884" w:rsidP="00622884">
            <w:pPr>
              <w:spacing w:after="0" w:line="240" w:lineRule="auto"/>
              <w:jc w:val="left"/>
              <w:rPr>
                <w:rFonts w:ascii="Garamond" w:eastAsia="Calibri" w:hAnsi="Garamond" w:cs="Calibri Light"/>
                <w:b/>
                <w:bCs/>
                <w:sz w:val="20"/>
                <w:szCs w:val="20"/>
                <w:lang w:eastAsia="en-US"/>
              </w:rPr>
            </w:pPr>
            <w:r w:rsidRPr="00622884">
              <w:rPr>
                <w:rFonts w:ascii="Garamond" w:eastAsia="Calibri" w:hAnsi="Garamond" w:cs="Times New Roman"/>
                <w:b/>
                <w:sz w:val="20"/>
                <w:szCs w:val="20"/>
                <w:lang w:eastAsia="en-US" w:bidi="sq-AL"/>
              </w:rPr>
              <w:lastRenderedPageBreak/>
              <w:t>GEF</w:t>
            </w:r>
          </w:p>
        </w:tc>
        <w:tc>
          <w:tcPr>
            <w:tcW w:w="7757" w:type="dxa"/>
          </w:tcPr>
          <w:p w14:paraId="609DA301" w14:textId="77777777" w:rsidR="00622884" w:rsidRPr="00622884" w:rsidRDefault="00622884" w:rsidP="00622884">
            <w:pPr>
              <w:spacing w:after="0" w:line="240" w:lineRule="auto"/>
              <w:jc w:val="left"/>
              <w:rPr>
                <w:rFonts w:ascii="Garamond" w:eastAsia="Calibri" w:hAnsi="Garamond" w:cs="Calibri Light"/>
                <w:sz w:val="20"/>
                <w:szCs w:val="20"/>
                <w:lang w:eastAsia="en-US"/>
              </w:rPr>
            </w:pPr>
            <w:r w:rsidRPr="00622884">
              <w:rPr>
                <w:rFonts w:ascii="Garamond" w:eastAsia="Calibri" w:hAnsi="Garamond" w:cs="Times New Roman"/>
                <w:sz w:val="20"/>
                <w:szCs w:val="20"/>
                <w:lang w:eastAsia="en-US" w:bidi="sq-AL"/>
              </w:rPr>
              <w:t>Instrumenti Global për Mjedisin</w:t>
            </w:r>
          </w:p>
        </w:tc>
      </w:tr>
      <w:tr w:rsidR="00622884" w:rsidRPr="00622884" w14:paraId="0780B220" w14:textId="77777777" w:rsidTr="00622884">
        <w:tc>
          <w:tcPr>
            <w:tcW w:w="1269" w:type="dxa"/>
          </w:tcPr>
          <w:p w14:paraId="3A986D25" w14:textId="77777777" w:rsidR="00622884" w:rsidRPr="00622884" w:rsidRDefault="00622884" w:rsidP="00622884">
            <w:pPr>
              <w:spacing w:after="0" w:line="240" w:lineRule="auto"/>
              <w:jc w:val="left"/>
              <w:rPr>
                <w:rFonts w:ascii="Garamond" w:eastAsia="Calibri" w:hAnsi="Garamond" w:cs="Calibri Light"/>
                <w:b/>
                <w:bCs/>
                <w:sz w:val="20"/>
                <w:szCs w:val="20"/>
                <w:lang w:eastAsia="en-US"/>
              </w:rPr>
            </w:pPr>
            <w:r w:rsidRPr="00622884">
              <w:rPr>
                <w:rFonts w:ascii="Garamond" w:eastAsia="Calibri" w:hAnsi="Garamond" w:cs="Times New Roman"/>
                <w:b/>
                <w:sz w:val="20"/>
                <w:szCs w:val="20"/>
                <w:lang w:eastAsia="en-US" w:bidi="sq-AL"/>
              </w:rPr>
              <w:t>GIZ</w:t>
            </w:r>
          </w:p>
        </w:tc>
        <w:tc>
          <w:tcPr>
            <w:tcW w:w="7757" w:type="dxa"/>
          </w:tcPr>
          <w:p w14:paraId="049FF4D8" w14:textId="77777777" w:rsidR="00622884" w:rsidRPr="00622884" w:rsidRDefault="00622884" w:rsidP="00622884">
            <w:pPr>
              <w:spacing w:after="0" w:line="240" w:lineRule="auto"/>
              <w:jc w:val="left"/>
              <w:rPr>
                <w:rFonts w:ascii="Garamond" w:eastAsia="Calibri" w:hAnsi="Garamond" w:cs="Calibri Light"/>
                <w:sz w:val="20"/>
                <w:szCs w:val="20"/>
                <w:lang w:eastAsia="en-US"/>
              </w:rPr>
            </w:pPr>
            <w:r w:rsidRPr="00622884">
              <w:rPr>
                <w:rFonts w:ascii="Garamond" w:eastAsia="Calibri" w:hAnsi="Garamond" w:cs="Times New Roman"/>
                <w:sz w:val="20"/>
                <w:szCs w:val="20"/>
                <w:lang w:eastAsia="en-US" w:bidi="sq-AL"/>
              </w:rPr>
              <w:t>Agjencia Gjermane për Zhvillim (sipas nistoreve në gjuhën gjermane)</w:t>
            </w:r>
          </w:p>
        </w:tc>
      </w:tr>
      <w:tr w:rsidR="00622884" w:rsidRPr="00622884" w14:paraId="3017DF23" w14:textId="77777777" w:rsidTr="00622884">
        <w:tc>
          <w:tcPr>
            <w:tcW w:w="1269" w:type="dxa"/>
          </w:tcPr>
          <w:p w14:paraId="6F3E3D2E" w14:textId="77777777" w:rsidR="00622884" w:rsidRPr="00622884" w:rsidRDefault="00622884" w:rsidP="00622884">
            <w:pPr>
              <w:spacing w:after="0" w:line="240" w:lineRule="auto"/>
              <w:jc w:val="left"/>
              <w:rPr>
                <w:rFonts w:ascii="Garamond" w:eastAsia="Calibri" w:hAnsi="Garamond" w:cs="Calibri Light"/>
                <w:b/>
                <w:bCs/>
                <w:sz w:val="20"/>
                <w:szCs w:val="20"/>
                <w:lang w:eastAsia="en-US"/>
              </w:rPr>
            </w:pPr>
            <w:r w:rsidRPr="00622884">
              <w:rPr>
                <w:rFonts w:ascii="Garamond" w:eastAsia="Calibri" w:hAnsi="Garamond" w:cs="Times New Roman"/>
                <w:b/>
                <w:sz w:val="20"/>
                <w:szCs w:val="20"/>
                <w:lang w:eastAsia="en-US" w:bidi="sq-AL"/>
              </w:rPr>
              <w:t>GNPNK</w:t>
            </w:r>
          </w:p>
        </w:tc>
        <w:tc>
          <w:tcPr>
            <w:tcW w:w="7757" w:type="dxa"/>
          </w:tcPr>
          <w:p w14:paraId="41BDF975" w14:textId="77777777" w:rsidR="00622884" w:rsidRPr="00622884" w:rsidRDefault="00622884" w:rsidP="00622884">
            <w:pPr>
              <w:spacing w:after="0" w:line="240" w:lineRule="auto"/>
              <w:jc w:val="left"/>
              <w:rPr>
                <w:rFonts w:ascii="Garamond" w:eastAsia="Calibri" w:hAnsi="Garamond" w:cs="Calibri Light"/>
                <w:sz w:val="20"/>
                <w:szCs w:val="20"/>
                <w:lang w:eastAsia="en-US"/>
              </w:rPr>
            </w:pPr>
            <w:r w:rsidRPr="00622884">
              <w:rPr>
                <w:rFonts w:ascii="Garamond" w:eastAsia="Calibri" w:hAnsi="Garamond" w:cs="Times New Roman"/>
                <w:sz w:val="20"/>
                <w:szCs w:val="20"/>
                <w:lang w:eastAsia="en-US" w:bidi="sq-AL"/>
              </w:rPr>
              <w:t>Grupi Ndërministror i Punës për Ndryshimet Klimatike</w:t>
            </w:r>
          </w:p>
        </w:tc>
      </w:tr>
      <w:tr w:rsidR="00622884" w:rsidRPr="00622884" w14:paraId="5B69C568" w14:textId="77777777" w:rsidTr="00622884">
        <w:tc>
          <w:tcPr>
            <w:tcW w:w="1269" w:type="dxa"/>
          </w:tcPr>
          <w:p w14:paraId="1ED80F31" w14:textId="77777777" w:rsidR="00622884" w:rsidRPr="00622884" w:rsidRDefault="00622884" w:rsidP="00622884">
            <w:pPr>
              <w:spacing w:after="0" w:line="240" w:lineRule="auto"/>
              <w:jc w:val="left"/>
              <w:rPr>
                <w:rFonts w:ascii="Garamond" w:eastAsia="Calibri" w:hAnsi="Garamond" w:cs="Calibri Light"/>
                <w:b/>
                <w:bCs/>
                <w:sz w:val="20"/>
                <w:szCs w:val="20"/>
                <w:lang w:eastAsia="en-US"/>
              </w:rPr>
            </w:pPr>
            <w:r w:rsidRPr="00622884">
              <w:rPr>
                <w:rFonts w:ascii="Garamond" w:eastAsia="Calibri" w:hAnsi="Garamond" w:cs="Times New Roman"/>
                <w:b/>
                <w:sz w:val="20"/>
                <w:szCs w:val="20"/>
                <w:lang w:eastAsia="en-US" w:bidi="sq-AL"/>
              </w:rPr>
              <w:t xml:space="preserve">GPPNK </w:t>
            </w:r>
          </w:p>
        </w:tc>
        <w:tc>
          <w:tcPr>
            <w:tcW w:w="7757" w:type="dxa"/>
          </w:tcPr>
          <w:p w14:paraId="61CB9D98" w14:textId="77777777" w:rsidR="00622884" w:rsidRPr="00622884" w:rsidRDefault="00622884" w:rsidP="00622884">
            <w:pPr>
              <w:spacing w:after="0" w:line="240" w:lineRule="auto"/>
              <w:jc w:val="left"/>
              <w:rPr>
                <w:rFonts w:ascii="Garamond" w:eastAsia="Calibri" w:hAnsi="Garamond" w:cs="Calibri Light"/>
                <w:sz w:val="20"/>
                <w:szCs w:val="20"/>
                <w:lang w:eastAsia="en-US"/>
              </w:rPr>
            </w:pPr>
            <w:r w:rsidRPr="00622884">
              <w:rPr>
                <w:rFonts w:ascii="Garamond" w:eastAsia="Calibri" w:hAnsi="Garamond" w:cs="Times New Roman"/>
                <w:sz w:val="20"/>
                <w:szCs w:val="20"/>
                <w:lang w:eastAsia="en-US" w:bidi="sq-AL"/>
              </w:rPr>
              <w:t>Grupi i Punës për Përshtatjen ndaj Ndryshimeve Klimatike (në kuadër të GNPNK-së)</w:t>
            </w:r>
          </w:p>
        </w:tc>
      </w:tr>
      <w:tr w:rsidR="00622884" w:rsidRPr="00622884" w14:paraId="3E449FE7" w14:textId="77777777" w:rsidTr="00622884">
        <w:tc>
          <w:tcPr>
            <w:tcW w:w="1269" w:type="dxa"/>
          </w:tcPr>
          <w:p w14:paraId="03C703EC" w14:textId="77777777" w:rsidR="00622884" w:rsidRPr="00622884" w:rsidRDefault="00622884" w:rsidP="00622884">
            <w:pPr>
              <w:spacing w:after="0" w:line="240" w:lineRule="auto"/>
              <w:jc w:val="left"/>
              <w:rPr>
                <w:rFonts w:ascii="Garamond" w:eastAsia="Calibri" w:hAnsi="Garamond" w:cs="Calibri Light"/>
                <w:b/>
                <w:bCs/>
                <w:sz w:val="20"/>
                <w:szCs w:val="20"/>
                <w:lang w:eastAsia="en-US"/>
              </w:rPr>
            </w:pPr>
            <w:r w:rsidRPr="00622884">
              <w:rPr>
                <w:rFonts w:ascii="Garamond" w:eastAsia="Calibri" w:hAnsi="Garamond" w:cs="Times New Roman"/>
                <w:b/>
                <w:sz w:val="20"/>
                <w:szCs w:val="20"/>
                <w:lang w:eastAsia="en-US" w:bidi="sq-AL"/>
              </w:rPr>
              <w:t>GPZNK</w:t>
            </w:r>
          </w:p>
        </w:tc>
        <w:tc>
          <w:tcPr>
            <w:tcW w:w="7757" w:type="dxa"/>
          </w:tcPr>
          <w:p w14:paraId="04EE1FBF" w14:textId="77777777" w:rsidR="00622884" w:rsidRPr="00622884" w:rsidRDefault="00622884" w:rsidP="00622884">
            <w:pPr>
              <w:spacing w:after="0" w:line="240" w:lineRule="auto"/>
              <w:jc w:val="left"/>
              <w:rPr>
                <w:rFonts w:ascii="Garamond" w:eastAsia="Calibri" w:hAnsi="Garamond" w:cs="Calibri Light"/>
                <w:sz w:val="20"/>
                <w:szCs w:val="20"/>
                <w:lang w:eastAsia="en-US"/>
              </w:rPr>
            </w:pPr>
            <w:r w:rsidRPr="00622884">
              <w:rPr>
                <w:rFonts w:ascii="Garamond" w:eastAsia="Calibri" w:hAnsi="Garamond" w:cs="Times New Roman"/>
                <w:sz w:val="20"/>
                <w:szCs w:val="20"/>
                <w:lang w:eastAsia="en-US" w:bidi="sq-AL"/>
              </w:rPr>
              <w:t>Grupi i Punës për Zbutjen e Ndryshimeve Klimatike (në kuadër të GNPNK-së)</w:t>
            </w:r>
          </w:p>
        </w:tc>
      </w:tr>
      <w:tr w:rsidR="00622884" w:rsidRPr="00622884" w14:paraId="3DB1CC16" w14:textId="77777777" w:rsidTr="00622884">
        <w:tc>
          <w:tcPr>
            <w:tcW w:w="1269" w:type="dxa"/>
          </w:tcPr>
          <w:p w14:paraId="69B73FA0" w14:textId="77777777" w:rsidR="00622884" w:rsidRPr="00622884" w:rsidRDefault="00622884" w:rsidP="00622884">
            <w:pPr>
              <w:spacing w:after="0" w:line="240" w:lineRule="auto"/>
              <w:jc w:val="left"/>
              <w:rPr>
                <w:rFonts w:ascii="Garamond" w:eastAsia="Calibri" w:hAnsi="Garamond" w:cs="Calibri Light"/>
                <w:b/>
                <w:bCs/>
                <w:sz w:val="20"/>
                <w:szCs w:val="20"/>
                <w:lang w:eastAsia="en-US"/>
              </w:rPr>
            </w:pPr>
            <w:r w:rsidRPr="00622884">
              <w:rPr>
                <w:rFonts w:ascii="Garamond" w:eastAsia="Calibri" w:hAnsi="Garamond" w:cs="Times New Roman"/>
                <w:b/>
                <w:sz w:val="20"/>
                <w:szCs w:val="20"/>
                <w:lang w:eastAsia="en-US" w:bidi="sq-AL"/>
              </w:rPr>
              <w:t>GS</w:t>
            </w:r>
          </w:p>
        </w:tc>
        <w:tc>
          <w:tcPr>
            <w:tcW w:w="7757" w:type="dxa"/>
          </w:tcPr>
          <w:p w14:paraId="3610CDBE" w14:textId="77777777" w:rsidR="00622884" w:rsidRPr="00622884" w:rsidRDefault="00622884" w:rsidP="00622884">
            <w:pPr>
              <w:spacing w:after="0" w:line="240" w:lineRule="auto"/>
              <w:jc w:val="left"/>
              <w:rPr>
                <w:rFonts w:ascii="Garamond" w:eastAsia="Calibri" w:hAnsi="Garamond" w:cs="Calibri Light"/>
                <w:sz w:val="20"/>
                <w:szCs w:val="20"/>
                <w:lang w:eastAsia="en-US"/>
              </w:rPr>
            </w:pPr>
            <w:r w:rsidRPr="00622884">
              <w:rPr>
                <w:rFonts w:ascii="Garamond" w:eastAsia="Calibri" w:hAnsi="Garamond" w:cs="Times New Roman"/>
                <w:sz w:val="20"/>
                <w:szCs w:val="20"/>
                <w:lang w:eastAsia="en-US" w:bidi="sq-AL"/>
              </w:rPr>
              <w:t>Gazet Serrë</w:t>
            </w:r>
          </w:p>
        </w:tc>
      </w:tr>
      <w:tr w:rsidR="00622884" w:rsidRPr="00622884" w14:paraId="5EF6CF86" w14:textId="77777777" w:rsidTr="00622884">
        <w:tc>
          <w:tcPr>
            <w:tcW w:w="1269" w:type="dxa"/>
          </w:tcPr>
          <w:p w14:paraId="68EF4E91" w14:textId="77777777" w:rsidR="00622884" w:rsidRPr="00622884" w:rsidRDefault="00622884" w:rsidP="00622884">
            <w:pPr>
              <w:spacing w:after="0" w:line="240" w:lineRule="auto"/>
              <w:jc w:val="left"/>
              <w:rPr>
                <w:rFonts w:ascii="Garamond" w:eastAsia="Calibri" w:hAnsi="Garamond" w:cs="Calibri Light"/>
                <w:b/>
                <w:bCs/>
                <w:sz w:val="20"/>
                <w:szCs w:val="20"/>
                <w:lang w:eastAsia="en-US"/>
              </w:rPr>
            </w:pPr>
            <w:r w:rsidRPr="00622884">
              <w:rPr>
                <w:rFonts w:ascii="Garamond" w:eastAsia="Calibri" w:hAnsi="Garamond" w:cs="Times New Roman"/>
                <w:b/>
                <w:sz w:val="20"/>
                <w:szCs w:val="20"/>
                <w:lang w:eastAsia="en-US" w:bidi="sq-AL"/>
              </w:rPr>
              <w:t>GTP</w:t>
            </w:r>
          </w:p>
        </w:tc>
        <w:tc>
          <w:tcPr>
            <w:tcW w:w="7757" w:type="dxa"/>
          </w:tcPr>
          <w:p w14:paraId="3FA60411" w14:textId="77777777" w:rsidR="00622884" w:rsidRPr="00622884" w:rsidRDefault="00622884" w:rsidP="00622884">
            <w:pPr>
              <w:spacing w:after="0" w:line="240" w:lineRule="auto"/>
              <w:jc w:val="left"/>
              <w:rPr>
                <w:rFonts w:ascii="Garamond" w:eastAsia="Calibri" w:hAnsi="Garamond" w:cs="Calibri Light"/>
                <w:sz w:val="20"/>
                <w:szCs w:val="20"/>
                <w:lang w:eastAsia="en-US"/>
              </w:rPr>
            </w:pPr>
            <w:r w:rsidRPr="00622884">
              <w:rPr>
                <w:rFonts w:ascii="Garamond" w:eastAsia="Calibri" w:hAnsi="Garamond" w:cs="Times New Roman"/>
                <w:sz w:val="20"/>
                <w:szCs w:val="20"/>
                <w:lang w:eastAsia="en-US" w:bidi="sq-AL"/>
              </w:rPr>
              <w:t>Grupi Teknik i Punës</w:t>
            </w:r>
          </w:p>
        </w:tc>
      </w:tr>
      <w:tr w:rsidR="00622884" w:rsidRPr="00622884" w14:paraId="1EE2C14B" w14:textId="77777777" w:rsidTr="00622884">
        <w:tc>
          <w:tcPr>
            <w:tcW w:w="1269" w:type="dxa"/>
          </w:tcPr>
          <w:p w14:paraId="3D842F3B" w14:textId="77777777" w:rsidR="00622884" w:rsidRPr="00622884" w:rsidRDefault="00622884" w:rsidP="00622884">
            <w:pPr>
              <w:spacing w:after="0" w:line="240" w:lineRule="auto"/>
              <w:jc w:val="left"/>
              <w:rPr>
                <w:rFonts w:ascii="Garamond" w:eastAsia="Calibri" w:hAnsi="Garamond" w:cs="Calibri Light"/>
                <w:b/>
                <w:bCs/>
                <w:sz w:val="20"/>
                <w:szCs w:val="20"/>
                <w:lang w:eastAsia="en-US"/>
              </w:rPr>
            </w:pPr>
            <w:r w:rsidRPr="00622884">
              <w:rPr>
                <w:rFonts w:ascii="Garamond" w:eastAsia="Calibri" w:hAnsi="Garamond" w:cs="Times New Roman"/>
                <w:b/>
                <w:sz w:val="20"/>
                <w:szCs w:val="20"/>
                <w:lang w:eastAsia="en-US" w:bidi="sq-AL"/>
              </w:rPr>
              <w:t>IGJEO</w:t>
            </w:r>
          </w:p>
        </w:tc>
        <w:tc>
          <w:tcPr>
            <w:tcW w:w="7757" w:type="dxa"/>
          </w:tcPr>
          <w:p w14:paraId="1314C553" w14:textId="77777777" w:rsidR="00622884" w:rsidRPr="00622884" w:rsidRDefault="00622884" w:rsidP="00622884">
            <w:pPr>
              <w:spacing w:after="0" w:line="240" w:lineRule="auto"/>
              <w:jc w:val="left"/>
              <w:rPr>
                <w:rFonts w:ascii="Garamond" w:eastAsia="Calibri" w:hAnsi="Garamond" w:cs="Calibri Light"/>
                <w:sz w:val="20"/>
                <w:szCs w:val="20"/>
                <w:lang w:eastAsia="en-US"/>
              </w:rPr>
            </w:pPr>
            <w:r w:rsidRPr="00622884">
              <w:rPr>
                <w:rFonts w:ascii="Garamond" w:eastAsia="Calibri" w:hAnsi="Garamond" w:cs="Times New Roman"/>
                <w:sz w:val="20"/>
                <w:szCs w:val="20"/>
                <w:lang w:eastAsia="en-US" w:bidi="sq-AL"/>
              </w:rPr>
              <w:t>Instituti i Gjeoshkencave</w:t>
            </w:r>
          </w:p>
        </w:tc>
      </w:tr>
      <w:tr w:rsidR="00622884" w:rsidRPr="00622884" w14:paraId="27CC7D2A" w14:textId="77777777" w:rsidTr="00622884">
        <w:tc>
          <w:tcPr>
            <w:tcW w:w="1269" w:type="dxa"/>
          </w:tcPr>
          <w:p w14:paraId="7C1E204D" w14:textId="77777777" w:rsidR="00622884" w:rsidRPr="00622884" w:rsidRDefault="00622884" w:rsidP="00622884">
            <w:pPr>
              <w:spacing w:after="0" w:line="240" w:lineRule="auto"/>
              <w:jc w:val="left"/>
              <w:rPr>
                <w:rFonts w:ascii="Garamond" w:eastAsia="Calibri" w:hAnsi="Garamond" w:cs="Calibri Light"/>
                <w:b/>
                <w:bCs/>
                <w:sz w:val="20"/>
                <w:szCs w:val="20"/>
                <w:lang w:eastAsia="en-US"/>
              </w:rPr>
            </w:pPr>
            <w:r w:rsidRPr="00622884">
              <w:rPr>
                <w:rFonts w:ascii="Garamond" w:eastAsia="Calibri" w:hAnsi="Garamond" w:cs="Times New Roman"/>
                <w:b/>
                <w:sz w:val="20"/>
                <w:szCs w:val="20"/>
                <w:lang w:eastAsia="en-US" w:bidi="sq-AL"/>
              </w:rPr>
              <w:t xml:space="preserve">INSTAT </w:t>
            </w:r>
          </w:p>
        </w:tc>
        <w:tc>
          <w:tcPr>
            <w:tcW w:w="7757" w:type="dxa"/>
          </w:tcPr>
          <w:p w14:paraId="2ACA23CF" w14:textId="77777777" w:rsidR="00622884" w:rsidRPr="00622884" w:rsidRDefault="00622884" w:rsidP="00622884">
            <w:pPr>
              <w:spacing w:after="0" w:line="240" w:lineRule="auto"/>
              <w:jc w:val="left"/>
              <w:rPr>
                <w:rFonts w:ascii="Garamond" w:eastAsia="Calibri" w:hAnsi="Garamond" w:cs="Calibri Light"/>
                <w:sz w:val="20"/>
                <w:szCs w:val="20"/>
                <w:lang w:eastAsia="en-US"/>
              </w:rPr>
            </w:pPr>
            <w:r w:rsidRPr="00622884">
              <w:rPr>
                <w:rFonts w:ascii="Garamond" w:eastAsia="Calibri" w:hAnsi="Garamond" w:cs="Times New Roman"/>
                <w:sz w:val="20"/>
                <w:szCs w:val="20"/>
                <w:lang w:eastAsia="en-US" w:bidi="sq-AL"/>
              </w:rPr>
              <w:t>Instituti i Statistikave</w:t>
            </w:r>
          </w:p>
        </w:tc>
      </w:tr>
      <w:tr w:rsidR="00622884" w:rsidRPr="00622884" w14:paraId="4DA9F68D" w14:textId="77777777" w:rsidTr="00622884">
        <w:tc>
          <w:tcPr>
            <w:tcW w:w="1269" w:type="dxa"/>
          </w:tcPr>
          <w:p w14:paraId="6AEA7A3D" w14:textId="77777777" w:rsidR="00622884" w:rsidRPr="00622884" w:rsidRDefault="00622884" w:rsidP="00622884">
            <w:pPr>
              <w:spacing w:after="0" w:line="240" w:lineRule="auto"/>
              <w:jc w:val="left"/>
              <w:rPr>
                <w:rFonts w:ascii="Garamond" w:eastAsia="Calibri" w:hAnsi="Garamond" w:cs="Calibri Light"/>
                <w:b/>
                <w:bCs/>
                <w:sz w:val="20"/>
                <w:szCs w:val="20"/>
                <w:lang w:eastAsia="en-US"/>
              </w:rPr>
            </w:pPr>
            <w:r w:rsidRPr="00622884">
              <w:rPr>
                <w:rFonts w:ascii="Garamond" w:eastAsia="Calibri" w:hAnsi="Garamond" w:cs="Times New Roman"/>
                <w:b/>
                <w:sz w:val="20"/>
                <w:szCs w:val="20"/>
                <w:lang w:eastAsia="en-US" w:bidi="sq-AL"/>
              </w:rPr>
              <w:t>IPA III</w:t>
            </w:r>
          </w:p>
        </w:tc>
        <w:tc>
          <w:tcPr>
            <w:tcW w:w="7757" w:type="dxa"/>
          </w:tcPr>
          <w:p w14:paraId="40606907" w14:textId="77777777" w:rsidR="00622884" w:rsidRPr="00622884" w:rsidRDefault="00622884" w:rsidP="00622884">
            <w:pPr>
              <w:spacing w:after="0" w:line="240" w:lineRule="auto"/>
              <w:jc w:val="left"/>
              <w:rPr>
                <w:rFonts w:ascii="Garamond" w:eastAsia="Calibri" w:hAnsi="Garamond" w:cs="Calibri Light"/>
                <w:sz w:val="20"/>
                <w:szCs w:val="20"/>
                <w:lang w:eastAsia="en-US"/>
              </w:rPr>
            </w:pPr>
            <w:r w:rsidRPr="00622884">
              <w:rPr>
                <w:rFonts w:ascii="Garamond" w:eastAsia="Calibri" w:hAnsi="Garamond" w:cs="Times New Roman"/>
                <w:sz w:val="20"/>
                <w:szCs w:val="20"/>
                <w:lang w:eastAsia="en-US" w:bidi="sq-AL"/>
              </w:rPr>
              <w:t>Instrumenti i Asistencës së Paraaderimit (BE)</w:t>
            </w:r>
          </w:p>
        </w:tc>
      </w:tr>
      <w:tr w:rsidR="00622884" w:rsidRPr="00622884" w14:paraId="184AEC26" w14:textId="77777777" w:rsidTr="00622884">
        <w:tc>
          <w:tcPr>
            <w:tcW w:w="1269" w:type="dxa"/>
          </w:tcPr>
          <w:p w14:paraId="0C64643B" w14:textId="77777777" w:rsidR="00622884" w:rsidRPr="00622884" w:rsidRDefault="00622884" w:rsidP="00622884">
            <w:pPr>
              <w:spacing w:after="0" w:line="240" w:lineRule="auto"/>
              <w:jc w:val="left"/>
              <w:rPr>
                <w:rFonts w:ascii="Garamond" w:eastAsia="Calibri" w:hAnsi="Garamond" w:cs="Calibri Light"/>
                <w:b/>
                <w:bCs/>
                <w:sz w:val="20"/>
                <w:szCs w:val="20"/>
                <w:lang w:eastAsia="en-US"/>
              </w:rPr>
            </w:pPr>
            <w:r w:rsidRPr="00622884">
              <w:rPr>
                <w:rFonts w:ascii="Garamond" w:eastAsia="Calibri" w:hAnsi="Garamond" w:cs="Times New Roman"/>
                <w:b/>
                <w:sz w:val="20"/>
                <w:szCs w:val="20"/>
                <w:lang w:eastAsia="en-US" w:bidi="sq-AL"/>
              </w:rPr>
              <w:t>IPGJ</w:t>
            </w:r>
          </w:p>
        </w:tc>
        <w:tc>
          <w:tcPr>
            <w:tcW w:w="7757" w:type="dxa"/>
          </w:tcPr>
          <w:p w14:paraId="0265D938" w14:textId="77777777" w:rsidR="00622884" w:rsidRPr="00622884" w:rsidRDefault="00622884" w:rsidP="00622884">
            <w:pPr>
              <w:spacing w:after="0" w:line="240" w:lineRule="auto"/>
              <w:jc w:val="left"/>
              <w:rPr>
                <w:rFonts w:ascii="Garamond" w:eastAsia="Calibri" w:hAnsi="Garamond" w:cs="Calibri Light"/>
                <w:sz w:val="20"/>
                <w:szCs w:val="20"/>
                <w:lang w:eastAsia="en-US"/>
              </w:rPr>
            </w:pPr>
            <w:r w:rsidRPr="00622884">
              <w:rPr>
                <w:rFonts w:ascii="Garamond" w:eastAsia="Calibri" w:hAnsi="Garamond" w:cs="Times New Roman"/>
                <w:sz w:val="20"/>
                <w:szCs w:val="20"/>
                <w:lang w:eastAsia="en-US" w:bidi="sq-AL"/>
              </w:rPr>
              <w:t>Indeksi i Pabarazisë Gjinore</w:t>
            </w:r>
          </w:p>
        </w:tc>
      </w:tr>
      <w:tr w:rsidR="00622884" w:rsidRPr="00622884" w14:paraId="4781922C" w14:textId="77777777" w:rsidTr="00622884">
        <w:tc>
          <w:tcPr>
            <w:tcW w:w="1269" w:type="dxa"/>
          </w:tcPr>
          <w:p w14:paraId="0D522721" w14:textId="77777777" w:rsidR="00622884" w:rsidRPr="00622884" w:rsidRDefault="00622884" w:rsidP="00622884">
            <w:pPr>
              <w:spacing w:after="0" w:line="240" w:lineRule="auto"/>
              <w:jc w:val="left"/>
              <w:rPr>
                <w:rFonts w:ascii="Garamond" w:eastAsia="Calibri" w:hAnsi="Garamond" w:cs="Calibri Light"/>
                <w:b/>
                <w:bCs/>
                <w:sz w:val="20"/>
                <w:szCs w:val="20"/>
                <w:lang w:eastAsia="en-US"/>
              </w:rPr>
            </w:pPr>
            <w:r w:rsidRPr="00622884">
              <w:rPr>
                <w:rFonts w:ascii="Garamond" w:eastAsia="Calibri" w:hAnsi="Garamond" w:cs="Times New Roman"/>
                <w:b/>
                <w:sz w:val="20"/>
                <w:szCs w:val="20"/>
                <w:lang w:eastAsia="en-US" w:bidi="sq-AL"/>
              </w:rPr>
              <w:t>IZHNJ</w:t>
            </w:r>
          </w:p>
        </w:tc>
        <w:tc>
          <w:tcPr>
            <w:tcW w:w="7757" w:type="dxa"/>
          </w:tcPr>
          <w:p w14:paraId="23B3E5BF" w14:textId="77777777" w:rsidR="00622884" w:rsidRPr="00622884" w:rsidRDefault="00622884" w:rsidP="00622884">
            <w:pPr>
              <w:spacing w:after="0" w:line="240" w:lineRule="auto"/>
              <w:jc w:val="left"/>
              <w:rPr>
                <w:rFonts w:ascii="Garamond" w:eastAsia="Calibri" w:hAnsi="Garamond" w:cs="Calibri Light"/>
                <w:sz w:val="20"/>
                <w:szCs w:val="20"/>
                <w:lang w:eastAsia="en-US"/>
              </w:rPr>
            </w:pPr>
            <w:r w:rsidRPr="00622884">
              <w:rPr>
                <w:rFonts w:ascii="Garamond" w:eastAsia="Calibri" w:hAnsi="Garamond" w:cs="Times New Roman"/>
                <w:sz w:val="20"/>
                <w:szCs w:val="20"/>
                <w:lang w:eastAsia="en-US" w:bidi="sq-AL"/>
              </w:rPr>
              <w:t>Indeksi i Zhvillimit Njerëzor</w:t>
            </w:r>
          </w:p>
        </w:tc>
      </w:tr>
      <w:tr w:rsidR="00622884" w:rsidRPr="00622884" w14:paraId="6BD04DA5" w14:textId="77777777" w:rsidTr="00622884">
        <w:tc>
          <w:tcPr>
            <w:tcW w:w="1269" w:type="dxa"/>
          </w:tcPr>
          <w:p w14:paraId="50D18E41" w14:textId="77777777" w:rsidR="00622884" w:rsidRPr="00622884" w:rsidRDefault="00622884" w:rsidP="00622884">
            <w:pPr>
              <w:spacing w:after="0" w:line="240" w:lineRule="auto"/>
              <w:jc w:val="left"/>
              <w:rPr>
                <w:rFonts w:ascii="Garamond" w:eastAsia="Calibri" w:hAnsi="Garamond" w:cs="Calibri Light"/>
                <w:b/>
                <w:bCs/>
                <w:sz w:val="20"/>
                <w:szCs w:val="20"/>
                <w:lang w:eastAsia="en-US"/>
              </w:rPr>
            </w:pPr>
            <w:r w:rsidRPr="00622884">
              <w:rPr>
                <w:rFonts w:ascii="Garamond" w:eastAsia="Calibri" w:hAnsi="Garamond" w:cs="Times New Roman"/>
                <w:b/>
                <w:sz w:val="20"/>
                <w:szCs w:val="20"/>
                <w:lang w:eastAsia="en-US" w:bidi="sq-AL"/>
              </w:rPr>
              <w:t>KKP</w:t>
            </w:r>
          </w:p>
        </w:tc>
        <w:tc>
          <w:tcPr>
            <w:tcW w:w="7757" w:type="dxa"/>
          </w:tcPr>
          <w:p w14:paraId="124B3F83" w14:textId="77777777" w:rsidR="00622884" w:rsidRPr="00622884" w:rsidRDefault="00622884" w:rsidP="00622884">
            <w:pPr>
              <w:spacing w:after="0" w:line="240" w:lineRule="auto"/>
              <w:jc w:val="left"/>
              <w:rPr>
                <w:rFonts w:ascii="Garamond" w:eastAsia="Calibri" w:hAnsi="Garamond" w:cs="Calibri Light"/>
                <w:sz w:val="20"/>
                <w:szCs w:val="20"/>
                <w:lang w:eastAsia="en-US"/>
              </w:rPr>
            </w:pPr>
            <w:r w:rsidRPr="00622884">
              <w:rPr>
                <w:rFonts w:ascii="Garamond" w:eastAsia="Calibri" w:hAnsi="Garamond" w:cs="Times New Roman"/>
                <w:sz w:val="20"/>
                <w:szCs w:val="20"/>
                <w:lang w:eastAsia="en-US" w:bidi="sq-AL"/>
              </w:rPr>
              <w:t>Kontributet Kombëtare të Pikësynuara (raport në kuadër të UNFCCC-së)</w:t>
            </w:r>
          </w:p>
        </w:tc>
      </w:tr>
      <w:tr w:rsidR="00622884" w:rsidRPr="00622884" w14:paraId="54EE9612" w14:textId="77777777" w:rsidTr="00622884">
        <w:tc>
          <w:tcPr>
            <w:tcW w:w="1269" w:type="dxa"/>
          </w:tcPr>
          <w:p w14:paraId="313F909A" w14:textId="77777777" w:rsidR="00622884" w:rsidRPr="00622884" w:rsidRDefault="00622884" w:rsidP="00622884">
            <w:pPr>
              <w:spacing w:after="0" w:line="240" w:lineRule="auto"/>
              <w:jc w:val="left"/>
              <w:rPr>
                <w:rFonts w:ascii="Garamond" w:eastAsia="Calibri" w:hAnsi="Garamond" w:cs="Calibri Light"/>
                <w:b/>
                <w:bCs/>
                <w:sz w:val="20"/>
                <w:szCs w:val="20"/>
                <w:lang w:eastAsia="en-US"/>
              </w:rPr>
            </w:pPr>
            <w:r w:rsidRPr="00622884">
              <w:rPr>
                <w:rFonts w:ascii="Garamond" w:eastAsia="Calibri" w:hAnsi="Garamond" w:cs="Times New Roman"/>
                <w:b/>
                <w:sz w:val="20"/>
                <w:szCs w:val="20"/>
                <w:lang w:eastAsia="en-US" w:bidi="sq-AL"/>
              </w:rPr>
              <w:t xml:space="preserve">KP </w:t>
            </w:r>
          </w:p>
        </w:tc>
        <w:tc>
          <w:tcPr>
            <w:tcW w:w="7757" w:type="dxa"/>
          </w:tcPr>
          <w:p w14:paraId="6E9B3FE1" w14:textId="77777777" w:rsidR="00622884" w:rsidRPr="00622884" w:rsidRDefault="00622884" w:rsidP="00622884">
            <w:pPr>
              <w:spacing w:after="0" w:line="240" w:lineRule="auto"/>
              <w:jc w:val="left"/>
              <w:rPr>
                <w:rFonts w:ascii="Garamond" w:eastAsia="Calibri" w:hAnsi="Garamond" w:cs="Calibri Light"/>
                <w:sz w:val="20"/>
                <w:szCs w:val="20"/>
                <w:lang w:eastAsia="en-US"/>
              </w:rPr>
            </w:pPr>
            <w:r w:rsidRPr="00622884">
              <w:rPr>
                <w:rFonts w:ascii="Garamond" w:eastAsia="Calibri" w:hAnsi="Garamond" w:cs="Times New Roman"/>
                <w:sz w:val="20"/>
                <w:szCs w:val="20"/>
                <w:lang w:eastAsia="en-US" w:bidi="sq-AL"/>
              </w:rPr>
              <w:t>Konferenca e palëve (në kuadër të UNFCCC-së)</w:t>
            </w:r>
          </w:p>
        </w:tc>
      </w:tr>
      <w:tr w:rsidR="00622884" w:rsidRPr="00622884" w14:paraId="6EB200E8" w14:textId="77777777" w:rsidTr="00622884">
        <w:tc>
          <w:tcPr>
            <w:tcW w:w="1269" w:type="dxa"/>
          </w:tcPr>
          <w:p w14:paraId="600009C7" w14:textId="77777777" w:rsidR="00622884" w:rsidRPr="00622884" w:rsidRDefault="00622884" w:rsidP="00622884">
            <w:pPr>
              <w:spacing w:after="0" w:line="240" w:lineRule="auto"/>
              <w:jc w:val="left"/>
              <w:rPr>
                <w:rFonts w:ascii="Garamond" w:eastAsia="Calibri" w:hAnsi="Garamond" w:cs="Calibri Light"/>
                <w:b/>
                <w:bCs/>
                <w:sz w:val="20"/>
                <w:szCs w:val="20"/>
                <w:lang w:eastAsia="en-US"/>
              </w:rPr>
            </w:pPr>
            <w:r w:rsidRPr="00622884">
              <w:rPr>
                <w:rFonts w:ascii="Garamond" w:eastAsia="Calibri" w:hAnsi="Garamond" w:cs="Times New Roman"/>
                <w:b/>
                <w:sz w:val="20"/>
                <w:szCs w:val="20"/>
                <w:lang w:eastAsia="en-US" w:bidi="sq-AL"/>
              </w:rPr>
              <w:t>KPT</w:t>
            </w:r>
          </w:p>
        </w:tc>
        <w:tc>
          <w:tcPr>
            <w:tcW w:w="7757" w:type="dxa"/>
          </w:tcPr>
          <w:p w14:paraId="7C83FDF1" w14:textId="77777777" w:rsidR="00622884" w:rsidRPr="00622884" w:rsidRDefault="00622884" w:rsidP="00622884">
            <w:pPr>
              <w:spacing w:after="0" w:line="240" w:lineRule="auto"/>
              <w:jc w:val="left"/>
              <w:rPr>
                <w:rFonts w:ascii="Garamond" w:eastAsia="Calibri" w:hAnsi="Garamond" w:cs="Calibri Light"/>
                <w:sz w:val="20"/>
                <w:szCs w:val="20"/>
                <w:lang w:eastAsia="en-US"/>
              </w:rPr>
            </w:pPr>
            <w:r w:rsidRPr="00622884">
              <w:rPr>
                <w:rFonts w:ascii="Garamond" w:eastAsia="Calibri" w:hAnsi="Garamond" w:cs="Times New Roman"/>
                <w:sz w:val="20"/>
                <w:szCs w:val="20"/>
                <w:lang w:eastAsia="en-US" w:bidi="sq-AL"/>
              </w:rPr>
              <w:t>Kuadri i Përmirësuar i Transparencës</w:t>
            </w:r>
          </w:p>
        </w:tc>
      </w:tr>
      <w:tr w:rsidR="00622884" w:rsidRPr="00622884" w14:paraId="1F09FF51" w14:textId="77777777" w:rsidTr="00622884">
        <w:tc>
          <w:tcPr>
            <w:tcW w:w="1269" w:type="dxa"/>
          </w:tcPr>
          <w:p w14:paraId="3DD9B5F3" w14:textId="77777777" w:rsidR="00622884" w:rsidRPr="00622884" w:rsidRDefault="00622884" w:rsidP="00622884">
            <w:pPr>
              <w:spacing w:after="0" w:line="240" w:lineRule="auto"/>
              <w:jc w:val="left"/>
              <w:rPr>
                <w:rFonts w:ascii="Garamond" w:eastAsia="Calibri" w:hAnsi="Garamond" w:cs="Calibri Light"/>
                <w:b/>
                <w:bCs/>
                <w:sz w:val="20"/>
                <w:szCs w:val="20"/>
                <w:lang w:eastAsia="en-US"/>
              </w:rPr>
            </w:pPr>
            <w:r w:rsidRPr="00622884">
              <w:rPr>
                <w:rFonts w:ascii="Garamond" w:eastAsia="Calibri" w:hAnsi="Garamond" w:cs="Times New Roman"/>
                <w:b/>
                <w:sz w:val="20"/>
                <w:szCs w:val="20"/>
                <w:lang w:eastAsia="en-US" w:bidi="sq-AL"/>
              </w:rPr>
              <w:t>MA</w:t>
            </w:r>
          </w:p>
        </w:tc>
        <w:tc>
          <w:tcPr>
            <w:tcW w:w="7757" w:type="dxa"/>
          </w:tcPr>
          <w:p w14:paraId="6425F3E2" w14:textId="77777777" w:rsidR="00622884" w:rsidRPr="00622884" w:rsidRDefault="00622884" w:rsidP="00622884">
            <w:pPr>
              <w:spacing w:after="0" w:line="240" w:lineRule="auto"/>
              <w:jc w:val="left"/>
              <w:rPr>
                <w:rFonts w:ascii="Garamond" w:eastAsia="Calibri" w:hAnsi="Garamond" w:cs="Calibri Light"/>
                <w:sz w:val="20"/>
                <w:szCs w:val="20"/>
                <w:lang w:eastAsia="en-US"/>
              </w:rPr>
            </w:pPr>
            <w:r w:rsidRPr="00622884">
              <w:rPr>
                <w:rFonts w:ascii="Garamond" w:eastAsia="Calibri" w:hAnsi="Garamond" w:cs="Times New Roman"/>
                <w:sz w:val="20"/>
                <w:szCs w:val="20"/>
                <w:lang w:eastAsia="en-US" w:bidi="sq-AL"/>
              </w:rPr>
              <w:t>Ministria e Arsimit</w:t>
            </w:r>
          </w:p>
        </w:tc>
      </w:tr>
      <w:tr w:rsidR="00622884" w:rsidRPr="00622884" w14:paraId="3DAC0F52" w14:textId="77777777" w:rsidTr="00622884">
        <w:tc>
          <w:tcPr>
            <w:tcW w:w="1269" w:type="dxa"/>
          </w:tcPr>
          <w:p w14:paraId="5D949493" w14:textId="77777777" w:rsidR="00622884" w:rsidRPr="00622884" w:rsidRDefault="00622884" w:rsidP="00622884">
            <w:pPr>
              <w:spacing w:after="0" w:line="240" w:lineRule="auto"/>
              <w:jc w:val="left"/>
              <w:rPr>
                <w:rFonts w:ascii="Garamond" w:eastAsia="Calibri" w:hAnsi="Garamond" w:cs="Calibri Light"/>
                <w:b/>
                <w:bCs/>
                <w:sz w:val="20"/>
                <w:szCs w:val="20"/>
                <w:lang w:eastAsia="en-US"/>
              </w:rPr>
            </w:pPr>
            <w:r w:rsidRPr="00622884">
              <w:rPr>
                <w:rFonts w:ascii="Garamond" w:eastAsia="Calibri" w:hAnsi="Garamond" w:cs="Times New Roman"/>
                <w:b/>
                <w:sz w:val="20"/>
                <w:szCs w:val="20"/>
                <w:lang w:eastAsia="en-US" w:bidi="sq-AL"/>
              </w:rPr>
              <w:t xml:space="preserve">MBZHR </w:t>
            </w:r>
          </w:p>
        </w:tc>
        <w:tc>
          <w:tcPr>
            <w:tcW w:w="7757" w:type="dxa"/>
          </w:tcPr>
          <w:p w14:paraId="2814B68D" w14:textId="77777777" w:rsidR="00622884" w:rsidRPr="00622884" w:rsidRDefault="00622884" w:rsidP="00622884">
            <w:pPr>
              <w:spacing w:after="0" w:line="240" w:lineRule="auto"/>
              <w:jc w:val="left"/>
              <w:rPr>
                <w:rFonts w:ascii="Garamond" w:eastAsia="Calibri" w:hAnsi="Garamond" w:cs="Calibri Light"/>
                <w:sz w:val="20"/>
                <w:szCs w:val="20"/>
                <w:lang w:eastAsia="en-US"/>
              </w:rPr>
            </w:pPr>
            <w:r w:rsidRPr="00622884">
              <w:rPr>
                <w:rFonts w:ascii="Garamond" w:eastAsia="Calibri" w:hAnsi="Garamond" w:cs="Times New Roman"/>
                <w:sz w:val="20"/>
                <w:szCs w:val="20"/>
                <w:lang w:eastAsia="en-US" w:bidi="sq-AL"/>
              </w:rPr>
              <w:t>Ministria e Bujqësisë dhe Zhvillimit Rural</w:t>
            </w:r>
          </w:p>
        </w:tc>
      </w:tr>
      <w:tr w:rsidR="00622884" w:rsidRPr="00622884" w14:paraId="398D7E8E" w14:textId="77777777" w:rsidTr="00622884">
        <w:tc>
          <w:tcPr>
            <w:tcW w:w="1269" w:type="dxa"/>
          </w:tcPr>
          <w:p w14:paraId="0CD49D4D" w14:textId="77777777" w:rsidR="00622884" w:rsidRPr="00622884" w:rsidRDefault="00622884" w:rsidP="00622884">
            <w:pPr>
              <w:spacing w:after="0" w:line="240" w:lineRule="auto"/>
              <w:jc w:val="left"/>
              <w:rPr>
                <w:rFonts w:ascii="Garamond" w:eastAsia="Calibri" w:hAnsi="Garamond" w:cs="Calibri Light"/>
                <w:b/>
                <w:bCs/>
                <w:sz w:val="20"/>
                <w:szCs w:val="20"/>
                <w:lang w:eastAsia="en-US"/>
              </w:rPr>
            </w:pPr>
            <w:r w:rsidRPr="00622884">
              <w:rPr>
                <w:rFonts w:ascii="Garamond" w:eastAsia="Calibri" w:hAnsi="Garamond" w:cs="Times New Roman"/>
                <w:b/>
                <w:sz w:val="20"/>
                <w:szCs w:val="20"/>
                <w:lang w:eastAsia="en-US" w:bidi="sq-AL"/>
              </w:rPr>
              <w:t>MDB</w:t>
            </w:r>
          </w:p>
        </w:tc>
        <w:tc>
          <w:tcPr>
            <w:tcW w:w="7757" w:type="dxa"/>
          </w:tcPr>
          <w:p w14:paraId="53A344A6" w14:textId="77777777" w:rsidR="00622884" w:rsidRPr="00622884" w:rsidRDefault="00622884" w:rsidP="00622884">
            <w:pPr>
              <w:spacing w:after="0" w:line="240" w:lineRule="auto"/>
              <w:jc w:val="left"/>
              <w:rPr>
                <w:rFonts w:ascii="Garamond" w:eastAsia="Calibri" w:hAnsi="Garamond" w:cs="Calibri Light"/>
                <w:sz w:val="20"/>
                <w:szCs w:val="20"/>
                <w:lang w:eastAsia="en-US"/>
              </w:rPr>
            </w:pPr>
            <w:r w:rsidRPr="00622884">
              <w:rPr>
                <w:rFonts w:ascii="Garamond" w:eastAsia="Calibri" w:hAnsi="Garamond" w:cs="Times New Roman"/>
                <w:sz w:val="20"/>
                <w:szCs w:val="20"/>
                <w:lang w:eastAsia="en-US" w:bidi="sq-AL"/>
              </w:rPr>
              <w:t>Banka Shumëpalëshe për Zhvillim</w:t>
            </w:r>
          </w:p>
        </w:tc>
      </w:tr>
      <w:tr w:rsidR="00622884" w:rsidRPr="00622884" w14:paraId="4AC4E6BA" w14:textId="77777777" w:rsidTr="00622884">
        <w:tc>
          <w:tcPr>
            <w:tcW w:w="1269" w:type="dxa"/>
          </w:tcPr>
          <w:p w14:paraId="043CD6CB" w14:textId="77777777" w:rsidR="00622884" w:rsidRPr="00622884" w:rsidRDefault="00622884" w:rsidP="00622884">
            <w:pPr>
              <w:spacing w:after="0" w:line="240" w:lineRule="auto"/>
              <w:jc w:val="left"/>
              <w:rPr>
                <w:rFonts w:ascii="Garamond" w:eastAsia="Calibri" w:hAnsi="Garamond" w:cs="Calibri Light"/>
                <w:b/>
                <w:bCs/>
                <w:sz w:val="20"/>
                <w:szCs w:val="20"/>
                <w:lang w:eastAsia="en-US"/>
              </w:rPr>
            </w:pPr>
            <w:r w:rsidRPr="00622884">
              <w:rPr>
                <w:rFonts w:ascii="Garamond" w:eastAsia="Calibri" w:hAnsi="Garamond" w:cs="Times New Roman"/>
                <w:b/>
                <w:sz w:val="20"/>
                <w:szCs w:val="20"/>
                <w:lang w:eastAsia="en-US" w:bidi="sq-AL"/>
              </w:rPr>
              <w:t xml:space="preserve">MEI </w:t>
            </w:r>
          </w:p>
        </w:tc>
        <w:tc>
          <w:tcPr>
            <w:tcW w:w="7757" w:type="dxa"/>
          </w:tcPr>
          <w:p w14:paraId="2D08EEFB" w14:textId="77777777" w:rsidR="00622884" w:rsidRPr="00622884" w:rsidRDefault="00622884" w:rsidP="00622884">
            <w:pPr>
              <w:spacing w:after="0" w:line="240" w:lineRule="auto"/>
              <w:jc w:val="left"/>
              <w:rPr>
                <w:rFonts w:ascii="Garamond" w:eastAsia="Calibri" w:hAnsi="Garamond" w:cs="Calibri Light"/>
                <w:sz w:val="20"/>
                <w:szCs w:val="20"/>
                <w:lang w:eastAsia="en-US"/>
              </w:rPr>
            </w:pPr>
            <w:r w:rsidRPr="00622884">
              <w:rPr>
                <w:rFonts w:ascii="Garamond" w:eastAsia="Calibri" w:hAnsi="Garamond" w:cs="Times New Roman"/>
                <w:sz w:val="20"/>
                <w:szCs w:val="20"/>
                <w:lang w:eastAsia="en-US" w:bidi="sq-AL"/>
              </w:rPr>
              <w:t>Ministria e Ekonomisë dhe Inovacionit</w:t>
            </w:r>
          </w:p>
        </w:tc>
      </w:tr>
      <w:tr w:rsidR="00622884" w:rsidRPr="00622884" w14:paraId="341A3BC3" w14:textId="77777777" w:rsidTr="00622884">
        <w:tc>
          <w:tcPr>
            <w:tcW w:w="1269" w:type="dxa"/>
          </w:tcPr>
          <w:p w14:paraId="7ED45BB6" w14:textId="77777777" w:rsidR="00622884" w:rsidRPr="00622884" w:rsidRDefault="00622884" w:rsidP="00622884">
            <w:pPr>
              <w:spacing w:after="0" w:line="240" w:lineRule="auto"/>
              <w:jc w:val="left"/>
              <w:rPr>
                <w:rFonts w:ascii="Garamond" w:eastAsia="Calibri" w:hAnsi="Garamond" w:cs="Calibri Light"/>
                <w:b/>
                <w:bCs/>
                <w:sz w:val="20"/>
                <w:szCs w:val="20"/>
                <w:lang w:eastAsia="en-US"/>
              </w:rPr>
            </w:pPr>
            <w:r w:rsidRPr="00622884">
              <w:rPr>
                <w:rFonts w:ascii="Garamond" w:eastAsia="Calibri" w:hAnsi="Garamond" w:cs="Times New Roman"/>
                <w:b/>
                <w:sz w:val="20"/>
                <w:szCs w:val="20"/>
                <w:lang w:eastAsia="en-US" w:bidi="sq-AL"/>
              </w:rPr>
              <w:t xml:space="preserve">MF </w:t>
            </w:r>
          </w:p>
        </w:tc>
        <w:tc>
          <w:tcPr>
            <w:tcW w:w="7757" w:type="dxa"/>
          </w:tcPr>
          <w:p w14:paraId="33CF55C5" w14:textId="77777777" w:rsidR="00622884" w:rsidRPr="00622884" w:rsidRDefault="00622884" w:rsidP="00622884">
            <w:pPr>
              <w:spacing w:after="0" w:line="240" w:lineRule="auto"/>
              <w:jc w:val="left"/>
              <w:rPr>
                <w:rFonts w:ascii="Garamond" w:eastAsia="Calibri" w:hAnsi="Garamond" w:cs="Calibri Light"/>
                <w:sz w:val="20"/>
                <w:szCs w:val="20"/>
                <w:lang w:eastAsia="en-US"/>
              </w:rPr>
            </w:pPr>
            <w:r w:rsidRPr="00622884">
              <w:rPr>
                <w:rFonts w:ascii="Garamond" w:eastAsia="Calibri" w:hAnsi="Garamond" w:cs="Times New Roman"/>
                <w:sz w:val="20"/>
                <w:szCs w:val="20"/>
                <w:lang w:eastAsia="en-US" w:bidi="sq-AL"/>
              </w:rPr>
              <w:t>Ministria e Financave</w:t>
            </w:r>
          </w:p>
        </w:tc>
      </w:tr>
      <w:tr w:rsidR="00622884" w:rsidRPr="00622884" w14:paraId="063E5123" w14:textId="77777777" w:rsidTr="00622884">
        <w:tc>
          <w:tcPr>
            <w:tcW w:w="1269" w:type="dxa"/>
          </w:tcPr>
          <w:p w14:paraId="6D736F78" w14:textId="77777777" w:rsidR="00622884" w:rsidRPr="00622884" w:rsidRDefault="00622884" w:rsidP="00622884">
            <w:pPr>
              <w:spacing w:after="0" w:line="240" w:lineRule="auto"/>
              <w:jc w:val="left"/>
              <w:rPr>
                <w:rFonts w:ascii="Garamond" w:eastAsia="Calibri" w:hAnsi="Garamond" w:cs="Calibri Light"/>
                <w:b/>
                <w:bCs/>
                <w:sz w:val="20"/>
                <w:szCs w:val="20"/>
                <w:lang w:eastAsia="en-US"/>
              </w:rPr>
            </w:pPr>
            <w:r w:rsidRPr="00622884">
              <w:rPr>
                <w:rFonts w:ascii="Garamond" w:eastAsia="Calibri" w:hAnsi="Garamond" w:cs="Times New Roman"/>
                <w:b/>
                <w:sz w:val="20"/>
                <w:szCs w:val="20"/>
                <w:lang w:eastAsia="en-US" w:bidi="sq-AL"/>
              </w:rPr>
              <w:t>MIE</w:t>
            </w:r>
          </w:p>
        </w:tc>
        <w:tc>
          <w:tcPr>
            <w:tcW w:w="7757" w:type="dxa"/>
          </w:tcPr>
          <w:p w14:paraId="00884150" w14:textId="77777777" w:rsidR="00622884" w:rsidRPr="00622884" w:rsidRDefault="00622884" w:rsidP="00622884">
            <w:pPr>
              <w:spacing w:after="0" w:line="240" w:lineRule="auto"/>
              <w:jc w:val="left"/>
              <w:rPr>
                <w:rFonts w:ascii="Garamond" w:eastAsia="Calibri" w:hAnsi="Garamond" w:cs="Calibri Light"/>
                <w:sz w:val="20"/>
                <w:szCs w:val="20"/>
                <w:lang w:eastAsia="en-US"/>
              </w:rPr>
            </w:pPr>
            <w:r w:rsidRPr="00622884">
              <w:rPr>
                <w:rFonts w:ascii="Garamond" w:eastAsia="Calibri" w:hAnsi="Garamond" w:cs="Times New Roman"/>
                <w:sz w:val="20"/>
                <w:szCs w:val="20"/>
                <w:lang w:eastAsia="en-US" w:bidi="sq-AL"/>
              </w:rPr>
              <w:t>Ministria e Infrastrukturës dhe Energjisë</w:t>
            </w:r>
          </w:p>
        </w:tc>
      </w:tr>
      <w:tr w:rsidR="00622884" w:rsidRPr="00622884" w14:paraId="22BEA72C" w14:textId="77777777" w:rsidTr="00622884">
        <w:tc>
          <w:tcPr>
            <w:tcW w:w="1269" w:type="dxa"/>
          </w:tcPr>
          <w:p w14:paraId="1FBB729A" w14:textId="77777777" w:rsidR="00622884" w:rsidRPr="00622884" w:rsidRDefault="00622884" w:rsidP="00622884">
            <w:pPr>
              <w:spacing w:after="0" w:line="240" w:lineRule="auto"/>
              <w:jc w:val="left"/>
              <w:rPr>
                <w:rFonts w:ascii="Garamond" w:eastAsia="Calibri" w:hAnsi="Garamond" w:cs="Calibri Light"/>
                <w:b/>
                <w:bCs/>
                <w:sz w:val="20"/>
                <w:szCs w:val="20"/>
                <w:lang w:eastAsia="en-US"/>
              </w:rPr>
            </w:pPr>
            <w:r w:rsidRPr="00622884">
              <w:rPr>
                <w:rFonts w:ascii="Garamond" w:eastAsia="Calibri" w:hAnsi="Garamond" w:cs="Times New Roman"/>
                <w:b/>
                <w:sz w:val="20"/>
                <w:szCs w:val="20"/>
                <w:lang w:eastAsia="en-US" w:bidi="sq-AL"/>
              </w:rPr>
              <w:t>MM</w:t>
            </w:r>
          </w:p>
        </w:tc>
        <w:tc>
          <w:tcPr>
            <w:tcW w:w="7757" w:type="dxa"/>
          </w:tcPr>
          <w:p w14:paraId="75283679" w14:textId="77777777" w:rsidR="00622884" w:rsidRPr="00622884" w:rsidRDefault="00622884" w:rsidP="00622884">
            <w:pPr>
              <w:spacing w:after="0" w:line="240" w:lineRule="auto"/>
              <w:jc w:val="left"/>
              <w:rPr>
                <w:rFonts w:ascii="Garamond" w:eastAsia="Calibri" w:hAnsi="Garamond" w:cs="Calibri Light"/>
                <w:sz w:val="20"/>
                <w:szCs w:val="20"/>
                <w:lang w:eastAsia="en-US"/>
              </w:rPr>
            </w:pPr>
            <w:r w:rsidRPr="00622884">
              <w:rPr>
                <w:rFonts w:ascii="Garamond" w:eastAsia="Calibri" w:hAnsi="Garamond" w:cs="Times New Roman"/>
                <w:sz w:val="20"/>
                <w:szCs w:val="20"/>
                <w:lang w:eastAsia="en-US" w:bidi="sq-AL"/>
              </w:rPr>
              <w:t>Ministria e Mjedisit</w:t>
            </w:r>
          </w:p>
        </w:tc>
      </w:tr>
      <w:tr w:rsidR="00622884" w:rsidRPr="00622884" w14:paraId="030ABDBA" w14:textId="77777777" w:rsidTr="00622884">
        <w:tc>
          <w:tcPr>
            <w:tcW w:w="1269" w:type="dxa"/>
          </w:tcPr>
          <w:p w14:paraId="072011BD" w14:textId="77777777" w:rsidR="00622884" w:rsidRPr="00622884" w:rsidRDefault="00622884" w:rsidP="00622884">
            <w:pPr>
              <w:spacing w:after="0" w:line="240" w:lineRule="auto"/>
              <w:jc w:val="left"/>
              <w:rPr>
                <w:rFonts w:ascii="Garamond" w:eastAsia="Calibri" w:hAnsi="Garamond" w:cs="Calibri Light"/>
                <w:b/>
                <w:bCs/>
                <w:sz w:val="20"/>
                <w:szCs w:val="20"/>
                <w:lang w:eastAsia="en-US"/>
              </w:rPr>
            </w:pPr>
            <w:r w:rsidRPr="00622884">
              <w:rPr>
                <w:rFonts w:ascii="Garamond" w:eastAsia="Calibri" w:hAnsi="Garamond" w:cs="Times New Roman"/>
                <w:b/>
                <w:sz w:val="20"/>
                <w:szCs w:val="20"/>
                <w:lang w:eastAsia="en-US" w:bidi="sq-AL"/>
              </w:rPr>
              <w:t>MoRV</w:t>
            </w:r>
          </w:p>
        </w:tc>
        <w:tc>
          <w:tcPr>
            <w:tcW w:w="7757" w:type="dxa"/>
          </w:tcPr>
          <w:p w14:paraId="74552F76" w14:textId="77777777" w:rsidR="00622884" w:rsidRPr="00622884" w:rsidRDefault="00622884" w:rsidP="00622884">
            <w:pPr>
              <w:spacing w:after="0" w:line="240" w:lineRule="auto"/>
              <w:jc w:val="left"/>
              <w:rPr>
                <w:rFonts w:ascii="Garamond" w:eastAsia="Calibri" w:hAnsi="Garamond" w:cs="Calibri Light"/>
                <w:sz w:val="20"/>
                <w:szCs w:val="20"/>
                <w:lang w:eastAsia="en-US"/>
              </w:rPr>
            </w:pPr>
            <w:r w:rsidRPr="00622884">
              <w:rPr>
                <w:rFonts w:ascii="Garamond" w:eastAsia="Calibri" w:hAnsi="Garamond" w:cs="Times New Roman"/>
                <w:sz w:val="20"/>
                <w:szCs w:val="20"/>
                <w:lang w:eastAsia="en-US" w:bidi="sq-AL"/>
              </w:rPr>
              <w:t>Monitorimi, raportimi dhe verifikimi</w:t>
            </w:r>
          </w:p>
        </w:tc>
      </w:tr>
      <w:tr w:rsidR="00622884" w:rsidRPr="00622884" w14:paraId="48D36B16" w14:textId="77777777" w:rsidTr="00622884">
        <w:tc>
          <w:tcPr>
            <w:tcW w:w="1269" w:type="dxa"/>
          </w:tcPr>
          <w:p w14:paraId="4E1D45C9" w14:textId="77777777" w:rsidR="00622884" w:rsidRPr="00622884" w:rsidRDefault="00622884" w:rsidP="00622884">
            <w:pPr>
              <w:spacing w:after="0" w:line="240" w:lineRule="auto"/>
              <w:jc w:val="left"/>
              <w:rPr>
                <w:rFonts w:ascii="Garamond" w:eastAsia="Calibri" w:hAnsi="Garamond" w:cs="Calibri Light"/>
                <w:b/>
                <w:bCs/>
                <w:sz w:val="20"/>
                <w:szCs w:val="20"/>
                <w:lang w:eastAsia="en-US"/>
              </w:rPr>
            </w:pPr>
            <w:r w:rsidRPr="00622884">
              <w:rPr>
                <w:rFonts w:ascii="Garamond" w:eastAsia="Calibri" w:hAnsi="Garamond" w:cs="Times New Roman"/>
                <w:b/>
                <w:sz w:val="20"/>
                <w:szCs w:val="20"/>
                <w:lang w:eastAsia="en-US" w:bidi="sq-AL"/>
              </w:rPr>
              <w:t>MRF</w:t>
            </w:r>
          </w:p>
        </w:tc>
        <w:tc>
          <w:tcPr>
            <w:tcW w:w="7757" w:type="dxa"/>
          </w:tcPr>
          <w:p w14:paraId="540B1938" w14:textId="77777777" w:rsidR="00622884" w:rsidRPr="00622884" w:rsidRDefault="00622884" w:rsidP="00622884">
            <w:pPr>
              <w:spacing w:after="0" w:line="240" w:lineRule="auto"/>
              <w:jc w:val="left"/>
              <w:rPr>
                <w:rFonts w:ascii="Garamond" w:eastAsia="Calibri" w:hAnsi="Garamond" w:cs="Calibri Light"/>
                <w:sz w:val="20"/>
                <w:szCs w:val="20"/>
                <w:lang w:eastAsia="en-US"/>
              </w:rPr>
            </w:pPr>
            <w:r w:rsidRPr="00622884">
              <w:rPr>
                <w:rFonts w:ascii="Garamond" w:eastAsia="Calibri" w:hAnsi="Garamond" w:cs="Times New Roman"/>
                <w:sz w:val="20"/>
                <w:szCs w:val="20"/>
                <w:lang w:eastAsia="en-US" w:bidi="sq-AL"/>
              </w:rPr>
              <w:t>Menaxhimi i riskut nga fatkeqësitë</w:t>
            </w:r>
          </w:p>
        </w:tc>
      </w:tr>
      <w:tr w:rsidR="00622884" w:rsidRPr="00622884" w14:paraId="3B1F8434" w14:textId="77777777" w:rsidTr="00622884">
        <w:tc>
          <w:tcPr>
            <w:tcW w:w="1269" w:type="dxa"/>
          </w:tcPr>
          <w:p w14:paraId="71BFFA7D" w14:textId="77777777" w:rsidR="00622884" w:rsidRPr="00622884" w:rsidRDefault="00622884" w:rsidP="00622884">
            <w:pPr>
              <w:spacing w:after="0" w:line="240" w:lineRule="auto"/>
              <w:jc w:val="left"/>
              <w:rPr>
                <w:rFonts w:ascii="Garamond" w:eastAsia="Calibri" w:hAnsi="Garamond" w:cs="Calibri Light"/>
                <w:b/>
                <w:bCs/>
                <w:sz w:val="20"/>
                <w:szCs w:val="20"/>
                <w:lang w:eastAsia="en-US"/>
              </w:rPr>
            </w:pPr>
            <w:r w:rsidRPr="00622884">
              <w:rPr>
                <w:rFonts w:ascii="Garamond" w:eastAsia="Calibri" w:hAnsi="Garamond" w:cs="Times New Roman"/>
                <w:b/>
                <w:sz w:val="20"/>
                <w:szCs w:val="20"/>
                <w:lang w:eastAsia="en-US" w:bidi="sq-AL"/>
              </w:rPr>
              <w:t>MRT</w:t>
            </w:r>
          </w:p>
        </w:tc>
        <w:tc>
          <w:tcPr>
            <w:tcW w:w="7757" w:type="dxa"/>
          </w:tcPr>
          <w:p w14:paraId="6CF982E5" w14:textId="77777777" w:rsidR="00622884" w:rsidRPr="00622884" w:rsidRDefault="00622884" w:rsidP="00622884">
            <w:pPr>
              <w:spacing w:after="0" w:line="240" w:lineRule="auto"/>
              <w:jc w:val="left"/>
              <w:rPr>
                <w:rFonts w:ascii="Garamond" w:eastAsia="Calibri" w:hAnsi="Garamond" w:cs="Calibri Light"/>
                <w:sz w:val="20"/>
                <w:szCs w:val="20"/>
                <w:lang w:eastAsia="en-US"/>
              </w:rPr>
            </w:pPr>
            <w:r w:rsidRPr="00622884">
              <w:rPr>
                <w:rFonts w:ascii="Garamond" w:eastAsia="Calibri" w:hAnsi="Garamond" w:cs="Times New Roman"/>
                <w:sz w:val="20"/>
                <w:szCs w:val="20"/>
                <w:lang w:eastAsia="en-US" w:bidi="sq-AL"/>
              </w:rPr>
              <w:t>Matrica referencë e treguesve</w:t>
            </w:r>
          </w:p>
        </w:tc>
      </w:tr>
      <w:tr w:rsidR="00622884" w:rsidRPr="00622884" w14:paraId="749932FF" w14:textId="77777777" w:rsidTr="00622884">
        <w:tc>
          <w:tcPr>
            <w:tcW w:w="1269" w:type="dxa"/>
          </w:tcPr>
          <w:p w14:paraId="431F7FDB" w14:textId="77777777" w:rsidR="00622884" w:rsidRPr="00622884" w:rsidRDefault="00622884" w:rsidP="00622884">
            <w:pPr>
              <w:spacing w:after="0" w:line="240" w:lineRule="auto"/>
              <w:jc w:val="left"/>
              <w:rPr>
                <w:rFonts w:ascii="Garamond" w:eastAsia="Calibri" w:hAnsi="Garamond" w:cs="Calibri Light"/>
                <w:b/>
                <w:bCs/>
                <w:sz w:val="20"/>
                <w:szCs w:val="20"/>
                <w:lang w:eastAsia="en-US"/>
              </w:rPr>
            </w:pPr>
            <w:r w:rsidRPr="00622884">
              <w:rPr>
                <w:rFonts w:ascii="Garamond" w:eastAsia="Calibri" w:hAnsi="Garamond" w:cs="Times New Roman"/>
                <w:b/>
                <w:sz w:val="20"/>
                <w:szCs w:val="20"/>
                <w:lang w:eastAsia="en-US" w:bidi="sq-AL"/>
              </w:rPr>
              <w:t>MRV</w:t>
            </w:r>
          </w:p>
        </w:tc>
        <w:tc>
          <w:tcPr>
            <w:tcW w:w="7757" w:type="dxa"/>
          </w:tcPr>
          <w:p w14:paraId="2A78BA8B" w14:textId="77777777" w:rsidR="00622884" w:rsidRPr="00622884" w:rsidRDefault="00622884" w:rsidP="00622884">
            <w:pPr>
              <w:spacing w:after="0" w:line="240" w:lineRule="auto"/>
              <w:jc w:val="left"/>
              <w:rPr>
                <w:rFonts w:ascii="Garamond" w:eastAsia="Calibri" w:hAnsi="Garamond" w:cs="Calibri Light"/>
                <w:sz w:val="20"/>
                <w:szCs w:val="20"/>
                <w:lang w:eastAsia="en-US"/>
              </w:rPr>
            </w:pPr>
            <w:r w:rsidRPr="00622884">
              <w:rPr>
                <w:rFonts w:ascii="Garamond" w:eastAsia="Calibri" w:hAnsi="Garamond" w:cs="Times New Roman"/>
                <w:sz w:val="20"/>
                <w:szCs w:val="20"/>
                <w:lang w:eastAsia="en-US" w:bidi="sq-AL"/>
              </w:rPr>
              <w:t>Matja, raportimi dhe verifikimi</w:t>
            </w:r>
          </w:p>
        </w:tc>
      </w:tr>
      <w:tr w:rsidR="00622884" w:rsidRPr="00622884" w14:paraId="1B40E931" w14:textId="77777777" w:rsidTr="00622884">
        <w:tc>
          <w:tcPr>
            <w:tcW w:w="1269" w:type="dxa"/>
          </w:tcPr>
          <w:p w14:paraId="34464BEF" w14:textId="77777777" w:rsidR="00622884" w:rsidRPr="00622884" w:rsidRDefault="00622884" w:rsidP="00622884">
            <w:pPr>
              <w:spacing w:after="0" w:line="240" w:lineRule="auto"/>
              <w:jc w:val="left"/>
              <w:rPr>
                <w:rFonts w:ascii="Garamond" w:eastAsia="Calibri" w:hAnsi="Garamond" w:cs="Calibri Light"/>
                <w:b/>
                <w:bCs/>
                <w:sz w:val="20"/>
                <w:szCs w:val="20"/>
                <w:lang w:eastAsia="en-US"/>
              </w:rPr>
            </w:pPr>
            <w:r w:rsidRPr="00622884">
              <w:rPr>
                <w:rFonts w:ascii="Garamond" w:eastAsia="Calibri" w:hAnsi="Garamond" w:cs="Times New Roman"/>
                <w:b/>
                <w:sz w:val="20"/>
                <w:szCs w:val="20"/>
                <w:lang w:eastAsia="en-US" w:bidi="sq-AL"/>
              </w:rPr>
              <w:t>MSA</w:t>
            </w:r>
          </w:p>
        </w:tc>
        <w:tc>
          <w:tcPr>
            <w:tcW w:w="7757" w:type="dxa"/>
          </w:tcPr>
          <w:p w14:paraId="07DBEDDD" w14:textId="77777777" w:rsidR="00622884" w:rsidRPr="00622884" w:rsidRDefault="00622884" w:rsidP="00622884">
            <w:pPr>
              <w:spacing w:after="0" w:line="240" w:lineRule="auto"/>
              <w:jc w:val="left"/>
              <w:rPr>
                <w:rFonts w:ascii="Garamond" w:eastAsia="Calibri" w:hAnsi="Garamond" w:cs="Calibri Light"/>
                <w:sz w:val="20"/>
                <w:szCs w:val="20"/>
                <w:lang w:eastAsia="en-US"/>
              </w:rPr>
            </w:pPr>
            <w:r w:rsidRPr="00622884">
              <w:rPr>
                <w:rFonts w:ascii="Garamond" w:eastAsia="Calibri" w:hAnsi="Garamond" w:cs="Times New Roman"/>
                <w:sz w:val="20"/>
                <w:szCs w:val="20"/>
                <w:lang w:eastAsia="en-US" w:bidi="sq-AL"/>
              </w:rPr>
              <w:t>Marrëveshja e Stabilizim-Asocimit (në kuadër të BE-së)</w:t>
            </w:r>
          </w:p>
        </w:tc>
      </w:tr>
      <w:tr w:rsidR="00622884" w:rsidRPr="00622884" w14:paraId="73509526" w14:textId="77777777" w:rsidTr="00622884">
        <w:tc>
          <w:tcPr>
            <w:tcW w:w="1269" w:type="dxa"/>
          </w:tcPr>
          <w:p w14:paraId="243EAF3B" w14:textId="77777777" w:rsidR="00622884" w:rsidRPr="00622884" w:rsidRDefault="00622884" w:rsidP="00622884">
            <w:pPr>
              <w:spacing w:after="0" w:line="240" w:lineRule="auto"/>
              <w:jc w:val="left"/>
              <w:rPr>
                <w:rFonts w:ascii="Garamond" w:eastAsia="Calibri" w:hAnsi="Garamond" w:cs="Calibri Light"/>
                <w:b/>
                <w:bCs/>
                <w:sz w:val="20"/>
                <w:szCs w:val="20"/>
                <w:lang w:eastAsia="en-US"/>
              </w:rPr>
            </w:pPr>
            <w:r w:rsidRPr="00622884">
              <w:rPr>
                <w:rFonts w:ascii="Garamond" w:eastAsia="Calibri" w:hAnsi="Garamond" w:cs="Times New Roman"/>
                <w:b/>
                <w:sz w:val="20"/>
                <w:szCs w:val="20"/>
                <w:lang w:eastAsia="en-US" w:bidi="sq-AL"/>
              </w:rPr>
              <w:t>MSHMS</w:t>
            </w:r>
          </w:p>
        </w:tc>
        <w:tc>
          <w:tcPr>
            <w:tcW w:w="7757" w:type="dxa"/>
          </w:tcPr>
          <w:p w14:paraId="13D52747" w14:textId="77777777" w:rsidR="00622884" w:rsidRPr="00622884" w:rsidRDefault="00622884" w:rsidP="00622884">
            <w:pPr>
              <w:spacing w:after="0" w:line="240" w:lineRule="auto"/>
              <w:jc w:val="left"/>
              <w:rPr>
                <w:rFonts w:ascii="Garamond" w:eastAsia="Calibri" w:hAnsi="Garamond" w:cs="Calibri Light"/>
                <w:sz w:val="20"/>
                <w:szCs w:val="20"/>
                <w:lang w:eastAsia="en-US"/>
              </w:rPr>
            </w:pPr>
            <w:r w:rsidRPr="00622884">
              <w:rPr>
                <w:rFonts w:ascii="Garamond" w:eastAsia="Calibri" w:hAnsi="Garamond" w:cs="Times New Roman"/>
                <w:sz w:val="20"/>
                <w:szCs w:val="20"/>
                <w:lang w:eastAsia="en-US" w:bidi="sq-AL"/>
              </w:rPr>
              <w:t>Ministria e Shëndetësisë dhe Mirëqenies Sociale</w:t>
            </w:r>
          </w:p>
        </w:tc>
      </w:tr>
      <w:tr w:rsidR="00622884" w:rsidRPr="00622884" w14:paraId="568961DC" w14:textId="77777777" w:rsidTr="00622884">
        <w:tc>
          <w:tcPr>
            <w:tcW w:w="1269" w:type="dxa"/>
          </w:tcPr>
          <w:p w14:paraId="7576C225" w14:textId="77777777" w:rsidR="00622884" w:rsidRPr="00622884" w:rsidRDefault="00622884" w:rsidP="00622884">
            <w:pPr>
              <w:spacing w:after="0" w:line="240" w:lineRule="auto"/>
              <w:jc w:val="left"/>
              <w:rPr>
                <w:rFonts w:ascii="Garamond" w:eastAsia="Calibri" w:hAnsi="Garamond" w:cs="Calibri Light"/>
                <w:b/>
                <w:bCs/>
                <w:sz w:val="20"/>
                <w:szCs w:val="20"/>
                <w:lang w:eastAsia="en-US"/>
              </w:rPr>
            </w:pPr>
            <w:r w:rsidRPr="00622884">
              <w:rPr>
                <w:rFonts w:ascii="Garamond" w:eastAsia="Calibri" w:hAnsi="Garamond" w:cs="Times New Roman"/>
                <w:b/>
                <w:sz w:val="20"/>
                <w:szCs w:val="20"/>
                <w:lang w:eastAsia="en-US" w:bidi="sq-AL"/>
              </w:rPr>
              <w:t>MTKS</w:t>
            </w:r>
          </w:p>
        </w:tc>
        <w:tc>
          <w:tcPr>
            <w:tcW w:w="7757" w:type="dxa"/>
          </w:tcPr>
          <w:p w14:paraId="680302A5" w14:textId="77777777" w:rsidR="00622884" w:rsidRPr="00622884" w:rsidRDefault="00622884" w:rsidP="00622884">
            <w:pPr>
              <w:spacing w:after="0" w:line="240" w:lineRule="auto"/>
              <w:jc w:val="left"/>
              <w:rPr>
                <w:rFonts w:ascii="Garamond" w:eastAsia="Calibri" w:hAnsi="Garamond" w:cs="Calibri Light"/>
                <w:sz w:val="20"/>
                <w:szCs w:val="20"/>
                <w:lang w:eastAsia="en-US"/>
              </w:rPr>
            </w:pPr>
            <w:r w:rsidRPr="00622884">
              <w:rPr>
                <w:rFonts w:ascii="Garamond" w:eastAsia="Calibri" w:hAnsi="Garamond" w:cs="Times New Roman"/>
                <w:sz w:val="20"/>
                <w:szCs w:val="20"/>
                <w:lang w:eastAsia="en-US" w:bidi="sq-AL"/>
              </w:rPr>
              <w:t xml:space="preserve">Ministria e Turizmit, Kulturës dhe Sportit </w:t>
            </w:r>
          </w:p>
        </w:tc>
      </w:tr>
      <w:tr w:rsidR="00622884" w:rsidRPr="00622884" w14:paraId="3B5BF6EC" w14:textId="77777777" w:rsidTr="00622884">
        <w:tc>
          <w:tcPr>
            <w:tcW w:w="1269" w:type="dxa"/>
          </w:tcPr>
          <w:p w14:paraId="6F7C20AB" w14:textId="77777777" w:rsidR="00622884" w:rsidRPr="00622884" w:rsidRDefault="00622884" w:rsidP="00622884">
            <w:pPr>
              <w:spacing w:after="0" w:line="240" w:lineRule="auto"/>
              <w:jc w:val="left"/>
              <w:rPr>
                <w:rFonts w:ascii="Garamond" w:eastAsia="Calibri" w:hAnsi="Garamond" w:cs="Calibri Light"/>
                <w:b/>
                <w:bCs/>
                <w:sz w:val="20"/>
                <w:szCs w:val="20"/>
                <w:lang w:eastAsia="en-US"/>
              </w:rPr>
            </w:pPr>
            <w:r w:rsidRPr="00622884">
              <w:rPr>
                <w:rFonts w:ascii="Garamond" w:eastAsia="Calibri" w:hAnsi="Garamond" w:cs="Times New Roman"/>
                <w:b/>
                <w:sz w:val="20"/>
                <w:szCs w:val="20"/>
                <w:lang w:eastAsia="en-US" w:bidi="sq-AL"/>
              </w:rPr>
              <w:t>MV</w:t>
            </w:r>
          </w:p>
        </w:tc>
        <w:tc>
          <w:tcPr>
            <w:tcW w:w="7757" w:type="dxa"/>
          </w:tcPr>
          <w:p w14:paraId="07FE219B" w14:textId="77777777" w:rsidR="00622884" w:rsidRPr="00622884" w:rsidRDefault="00622884" w:rsidP="00622884">
            <w:pPr>
              <w:spacing w:after="0" w:line="240" w:lineRule="auto"/>
              <w:jc w:val="left"/>
              <w:rPr>
                <w:rFonts w:ascii="Garamond" w:eastAsia="Calibri" w:hAnsi="Garamond" w:cs="Calibri Light"/>
                <w:sz w:val="20"/>
                <w:szCs w:val="20"/>
                <w:lang w:eastAsia="en-US"/>
              </w:rPr>
            </w:pPr>
            <w:r w:rsidRPr="00622884">
              <w:rPr>
                <w:rFonts w:ascii="Garamond" w:eastAsia="Calibri" w:hAnsi="Garamond" w:cs="Times New Roman"/>
                <w:sz w:val="20"/>
                <w:szCs w:val="20"/>
                <w:lang w:eastAsia="en-US" w:bidi="sq-AL"/>
              </w:rPr>
              <w:t>Monitorimi dhe vlerësimi</w:t>
            </w:r>
          </w:p>
        </w:tc>
      </w:tr>
      <w:tr w:rsidR="00622884" w:rsidRPr="00622884" w14:paraId="545B9A60" w14:textId="77777777" w:rsidTr="00622884">
        <w:tc>
          <w:tcPr>
            <w:tcW w:w="1269" w:type="dxa"/>
          </w:tcPr>
          <w:p w14:paraId="521C9DBD" w14:textId="77777777" w:rsidR="00622884" w:rsidRPr="00622884" w:rsidRDefault="00622884" w:rsidP="00622884">
            <w:pPr>
              <w:spacing w:after="0" w:line="240" w:lineRule="auto"/>
              <w:jc w:val="left"/>
              <w:rPr>
                <w:rFonts w:ascii="Garamond" w:eastAsia="Calibri" w:hAnsi="Garamond" w:cs="Calibri Light"/>
                <w:b/>
                <w:bCs/>
                <w:sz w:val="20"/>
                <w:szCs w:val="20"/>
                <w:lang w:eastAsia="en-US"/>
              </w:rPr>
            </w:pPr>
            <w:r w:rsidRPr="00622884">
              <w:rPr>
                <w:rFonts w:ascii="Garamond" w:eastAsia="Calibri" w:hAnsi="Garamond" w:cs="Times New Roman"/>
                <w:b/>
                <w:sz w:val="20"/>
                <w:szCs w:val="20"/>
                <w:lang w:eastAsia="en-US" w:bidi="sq-AL"/>
              </w:rPr>
              <w:t>MVN</w:t>
            </w:r>
          </w:p>
        </w:tc>
        <w:tc>
          <w:tcPr>
            <w:tcW w:w="7757" w:type="dxa"/>
          </w:tcPr>
          <w:p w14:paraId="2EDC4BFB" w14:textId="77777777" w:rsidR="00622884" w:rsidRPr="00622884" w:rsidRDefault="00622884" w:rsidP="00622884">
            <w:pPr>
              <w:spacing w:after="0" w:line="240" w:lineRule="auto"/>
              <w:jc w:val="left"/>
              <w:rPr>
                <w:rFonts w:ascii="Garamond" w:eastAsia="Calibri" w:hAnsi="Garamond" w:cs="Calibri Light"/>
                <w:sz w:val="20"/>
                <w:szCs w:val="20"/>
                <w:lang w:eastAsia="en-US"/>
              </w:rPr>
            </w:pPr>
            <w:r w:rsidRPr="00622884">
              <w:rPr>
                <w:rFonts w:ascii="Garamond" w:eastAsia="Calibri" w:hAnsi="Garamond" w:cs="Times New Roman"/>
                <w:sz w:val="20"/>
                <w:szCs w:val="20"/>
                <w:lang w:eastAsia="en-US" w:bidi="sq-AL"/>
              </w:rPr>
              <w:t>Monitorimi, vlerësimi dhe të nxënit</w:t>
            </w:r>
          </w:p>
        </w:tc>
      </w:tr>
      <w:tr w:rsidR="00622884" w:rsidRPr="00622884" w14:paraId="301EDEE6" w14:textId="77777777" w:rsidTr="00622884">
        <w:tc>
          <w:tcPr>
            <w:tcW w:w="1269" w:type="dxa"/>
          </w:tcPr>
          <w:p w14:paraId="593E2592" w14:textId="77777777" w:rsidR="00622884" w:rsidRPr="00622884" w:rsidRDefault="00622884" w:rsidP="00622884">
            <w:pPr>
              <w:spacing w:after="0" w:line="240" w:lineRule="auto"/>
              <w:jc w:val="left"/>
              <w:rPr>
                <w:rFonts w:ascii="Garamond" w:eastAsia="Calibri" w:hAnsi="Garamond" w:cs="Times New Roman"/>
                <w:b/>
                <w:sz w:val="20"/>
                <w:szCs w:val="20"/>
                <w:lang w:eastAsia="en-US" w:bidi="sq-AL"/>
              </w:rPr>
            </w:pPr>
            <w:r w:rsidRPr="00622884">
              <w:rPr>
                <w:rFonts w:ascii="Garamond" w:eastAsia="Calibri" w:hAnsi="Garamond" w:cs="Times New Roman"/>
                <w:b/>
                <w:sz w:val="20"/>
                <w:szCs w:val="20"/>
                <w:lang w:eastAsia="en-US" w:bidi="sq-AL"/>
              </w:rPr>
              <w:t>MZP</w:t>
            </w:r>
          </w:p>
        </w:tc>
        <w:tc>
          <w:tcPr>
            <w:tcW w:w="7757" w:type="dxa"/>
          </w:tcPr>
          <w:p w14:paraId="403443EE" w14:textId="77777777" w:rsidR="00622884" w:rsidRPr="00622884" w:rsidRDefault="00622884" w:rsidP="00622884">
            <w:pPr>
              <w:spacing w:after="0" w:line="240" w:lineRule="auto"/>
              <w:jc w:val="left"/>
              <w:rPr>
                <w:rFonts w:ascii="Garamond" w:eastAsia="Calibri" w:hAnsi="Garamond" w:cs="Times New Roman"/>
                <w:sz w:val="20"/>
                <w:szCs w:val="20"/>
                <w:lang w:eastAsia="en-US" w:bidi="sq-AL"/>
              </w:rPr>
            </w:pPr>
            <w:r w:rsidRPr="00622884">
              <w:rPr>
                <w:rFonts w:ascii="Garamond" w:eastAsia="Calibri" w:hAnsi="Garamond" w:cs="Times New Roman"/>
                <w:sz w:val="20"/>
                <w:szCs w:val="20"/>
                <w:lang w:eastAsia="en-US" w:bidi="sq-AL"/>
              </w:rPr>
              <w:t>Menaxhimi i zjarreve në peizazh</w:t>
            </w:r>
          </w:p>
        </w:tc>
      </w:tr>
      <w:tr w:rsidR="00622884" w:rsidRPr="00622884" w14:paraId="5CE1B5D6" w14:textId="77777777" w:rsidTr="00622884">
        <w:tc>
          <w:tcPr>
            <w:tcW w:w="1269" w:type="dxa"/>
          </w:tcPr>
          <w:p w14:paraId="2B59E470" w14:textId="77777777" w:rsidR="00622884" w:rsidRPr="00622884" w:rsidRDefault="00622884" w:rsidP="00622884">
            <w:pPr>
              <w:spacing w:after="0" w:line="240" w:lineRule="auto"/>
              <w:jc w:val="left"/>
              <w:rPr>
                <w:rFonts w:ascii="Garamond" w:eastAsia="Calibri" w:hAnsi="Garamond" w:cs="Calibri Light"/>
                <w:b/>
                <w:bCs/>
                <w:sz w:val="20"/>
                <w:szCs w:val="20"/>
                <w:lang w:eastAsia="en-US"/>
              </w:rPr>
            </w:pPr>
            <w:r w:rsidRPr="00622884">
              <w:rPr>
                <w:rFonts w:ascii="Garamond" w:eastAsia="Calibri" w:hAnsi="Garamond" w:cs="Times New Roman"/>
                <w:b/>
                <w:sz w:val="20"/>
                <w:szCs w:val="20"/>
                <w:lang w:eastAsia="en-US" w:bidi="sq-AL"/>
              </w:rPr>
              <w:t>NAP</w:t>
            </w:r>
          </w:p>
        </w:tc>
        <w:tc>
          <w:tcPr>
            <w:tcW w:w="7757" w:type="dxa"/>
          </w:tcPr>
          <w:p w14:paraId="329D7015" w14:textId="77777777" w:rsidR="00622884" w:rsidRPr="00622884" w:rsidRDefault="00622884" w:rsidP="00622884">
            <w:pPr>
              <w:spacing w:after="0" w:line="240" w:lineRule="auto"/>
              <w:jc w:val="left"/>
              <w:rPr>
                <w:rFonts w:ascii="Garamond" w:eastAsia="Calibri" w:hAnsi="Garamond" w:cs="Calibri Light"/>
                <w:sz w:val="20"/>
                <w:szCs w:val="20"/>
                <w:lang w:eastAsia="en-US"/>
              </w:rPr>
            </w:pPr>
            <w:r w:rsidRPr="00622884">
              <w:rPr>
                <w:rFonts w:ascii="Garamond" w:eastAsia="Calibri" w:hAnsi="Garamond" w:cs="Times New Roman"/>
                <w:sz w:val="20"/>
                <w:szCs w:val="20"/>
                <w:lang w:eastAsia="en-US" w:bidi="sq-AL"/>
              </w:rPr>
              <w:t>Plani Vendor i Përshtatjes</w:t>
            </w:r>
          </w:p>
        </w:tc>
      </w:tr>
      <w:tr w:rsidR="00622884" w:rsidRPr="00622884" w14:paraId="4FEA0A2E" w14:textId="77777777" w:rsidTr="00622884">
        <w:tc>
          <w:tcPr>
            <w:tcW w:w="1269" w:type="dxa"/>
          </w:tcPr>
          <w:p w14:paraId="5A09B546" w14:textId="77777777" w:rsidR="00622884" w:rsidRPr="00622884" w:rsidRDefault="00622884" w:rsidP="00622884">
            <w:pPr>
              <w:spacing w:after="0" w:line="240" w:lineRule="auto"/>
              <w:jc w:val="left"/>
              <w:rPr>
                <w:rFonts w:ascii="Garamond" w:eastAsia="Calibri" w:hAnsi="Garamond" w:cs="Calibri Light"/>
                <w:b/>
                <w:bCs/>
                <w:sz w:val="20"/>
                <w:szCs w:val="20"/>
                <w:lang w:eastAsia="en-US"/>
              </w:rPr>
            </w:pPr>
            <w:r w:rsidRPr="00622884">
              <w:rPr>
                <w:rFonts w:ascii="Garamond" w:eastAsia="Calibri" w:hAnsi="Garamond" w:cs="Times New Roman"/>
                <w:b/>
                <w:sz w:val="20"/>
                <w:szCs w:val="20"/>
                <w:lang w:eastAsia="en-US" w:bidi="sq-AL"/>
              </w:rPr>
              <w:t>NAP</w:t>
            </w:r>
          </w:p>
        </w:tc>
        <w:tc>
          <w:tcPr>
            <w:tcW w:w="7757" w:type="dxa"/>
          </w:tcPr>
          <w:p w14:paraId="417C12CD" w14:textId="77777777" w:rsidR="00622884" w:rsidRPr="00622884" w:rsidRDefault="00622884" w:rsidP="00622884">
            <w:pPr>
              <w:spacing w:after="0" w:line="240" w:lineRule="auto"/>
              <w:jc w:val="left"/>
              <w:rPr>
                <w:rFonts w:ascii="Garamond" w:eastAsia="Calibri" w:hAnsi="Garamond" w:cs="Calibri Light"/>
                <w:sz w:val="20"/>
                <w:szCs w:val="20"/>
                <w:lang w:eastAsia="en-US"/>
              </w:rPr>
            </w:pPr>
            <w:r w:rsidRPr="00622884">
              <w:rPr>
                <w:rFonts w:ascii="Garamond" w:eastAsia="Calibri" w:hAnsi="Garamond" w:cs="Times New Roman"/>
                <w:sz w:val="20"/>
                <w:szCs w:val="20"/>
                <w:lang w:eastAsia="en-US" w:bidi="sq-AL"/>
              </w:rPr>
              <w:t>Plani Kombëtar i Përshtatjes</w:t>
            </w:r>
          </w:p>
        </w:tc>
      </w:tr>
      <w:tr w:rsidR="00622884" w:rsidRPr="00622884" w14:paraId="43AA7818" w14:textId="77777777" w:rsidTr="00622884">
        <w:tc>
          <w:tcPr>
            <w:tcW w:w="1269" w:type="dxa"/>
          </w:tcPr>
          <w:p w14:paraId="60955A08" w14:textId="77777777" w:rsidR="00622884" w:rsidRPr="00622884" w:rsidRDefault="00622884" w:rsidP="00622884">
            <w:pPr>
              <w:spacing w:after="0" w:line="240" w:lineRule="auto"/>
              <w:jc w:val="left"/>
              <w:rPr>
                <w:rFonts w:ascii="Garamond" w:eastAsia="Calibri" w:hAnsi="Garamond" w:cs="Calibri Light"/>
                <w:b/>
                <w:bCs/>
                <w:sz w:val="20"/>
                <w:szCs w:val="20"/>
                <w:lang w:eastAsia="en-US"/>
              </w:rPr>
            </w:pPr>
            <w:r w:rsidRPr="00622884">
              <w:rPr>
                <w:rFonts w:ascii="Garamond" w:eastAsia="Calibri" w:hAnsi="Garamond" w:cs="Times New Roman"/>
                <w:b/>
                <w:sz w:val="20"/>
                <w:szCs w:val="20"/>
                <w:lang w:eastAsia="en-US" w:bidi="sq-AL"/>
              </w:rPr>
              <w:t>NAPH</w:t>
            </w:r>
          </w:p>
        </w:tc>
        <w:tc>
          <w:tcPr>
            <w:tcW w:w="7757" w:type="dxa"/>
          </w:tcPr>
          <w:p w14:paraId="5CABBE25" w14:textId="77777777" w:rsidR="00622884" w:rsidRPr="00622884" w:rsidRDefault="00622884" w:rsidP="00622884">
            <w:pPr>
              <w:spacing w:after="0" w:line="240" w:lineRule="auto"/>
              <w:jc w:val="left"/>
              <w:rPr>
                <w:rFonts w:ascii="Garamond" w:eastAsia="Calibri" w:hAnsi="Garamond" w:cs="Calibri Light"/>
                <w:sz w:val="20"/>
                <w:szCs w:val="20"/>
                <w:lang w:eastAsia="en-US"/>
              </w:rPr>
            </w:pPr>
            <w:r w:rsidRPr="00622884">
              <w:rPr>
                <w:rFonts w:ascii="Garamond" w:eastAsia="Calibri" w:hAnsi="Garamond" w:cs="Times New Roman"/>
                <w:sz w:val="20"/>
                <w:szCs w:val="20"/>
                <w:lang w:eastAsia="en-US" w:bidi="sq-AL"/>
              </w:rPr>
              <w:t>Plani Kombëtar i Përgjithshëm Hapësinor</w:t>
            </w:r>
          </w:p>
        </w:tc>
      </w:tr>
      <w:tr w:rsidR="00622884" w:rsidRPr="00622884" w14:paraId="4CA326AE" w14:textId="77777777" w:rsidTr="00622884">
        <w:tc>
          <w:tcPr>
            <w:tcW w:w="1269" w:type="dxa"/>
          </w:tcPr>
          <w:p w14:paraId="7DCE04B6" w14:textId="77777777" w:rsidR="00622884" w:rsidRPr="00622884" w:rsidRDefault="00622884" w:rsidP="00622884">
            <w:pPr>
              <w:spacing w:after="0" w:line="240" w:lineRule="auto"/>
              <w:jc w:val="left"/>
              <w:rPr>
                <w:rFonts w:ascii="Garamond" w:eastAsia="Calibri" w:hAnsi="Garamond" w:cs="Calibri Light"/>
                <w:b/>
                <w:bCs/>
                <w:sz w:val="20"/>
                <w:szCs w:val="20"/>
                <w:lang w:eastAsia="en-US"/>
              </w:rPr>
            </w:pPr>
            <w:r w:rsidRPr="00622884">
              <w:rPr>
                <w:rFonts w:ascii="Garamond" w:eastAsia="Calibri" w:hAnsi="Garamond" w:cs="Times New Roman"/>
                <w:b/>
                <w:sz w:val="20"/>
                <w:szCs w:val="20"/>
                <w:lang w:eastAsia="en-US" w:bidi="sq-AL"/>
              </w:rPr>
              <w:t>ND - GAIN</w:t>
            </w:r>
          </w:p>
        </w:tc>
        <w:tc>
          <w:tcPr>
            <w:tcW w:w="7757" w:type="dxa"/>
          </w:tcPr>
          <w:p w14:paraId="6397ABB5" w14:textId="77777777" w:rsidR="00622884" w:rsidRPr="00622884" w:rsidRDefault="00622884" w:rsidP="00622884">
            <w:pPr>
              <w:spacing w:after="0" w:line="240" w:lineRule="auto"/>
              <w:jc w:val="left"/>
              <w:rPr>
                <w:rFonts w:ascii="Garamond" w:eastAsia="Calibri" w:hAnsi="Garamond" w:cs="Calibri Light"/>
                <w:sz w:val="20"/>
                <w:szCs w:val="20"/>
                <w:lang w:eastAsia="en-US"/>
              </w:rPr>
            </w:pPr>
            <w:r w:rsidRPr="00622884">
              <w:rPr>
                <w:rFonts w:ascii="Garamond" w:eastAsia="Calibri" w:hAnsi="Garamond" w:cs="Times New Roman"/>
                <w:sz w:val="20"/>
                <w:szCs w:val="20"/>
                <w:lang w:eastAsia="en-US" w:bidi="sq-AL"/>
              </w:rPr>
              <w:t>Universiteti i Notre Damit – Nisma Globale e Përshtatjes</w:t>
            </w:r>
          </w:p>
        </w:tc>
      </w:tr>
      <w:tr w:rsidR="00622884" w:rsidRPr="00622884" w14:paraId="11E65CB1" w14:textId="77777777" w:rsidTr="00622884">
        <w:tc>
          <w:tcPr>
            <w:tcW w:w="1269" w:type="dxa"/>
          </w:tcPr>
          <w:p w14:paraId="2A0FB894" w14:textId="77777777" w:rsidR="00622884" w:rsidRPr="00622884" w:rsidRDefault="00622884" w:rsidP="00622884">
            <w:pPr>
              <w:spacing w:after="0" w:line="240" w:lineRule="auto"/>
              <w:jc w:val="left"/>
              <w:rPr>
                <w:rFonts w:ascii="Garamond" w:eastAsia="Calibri" w:hAnsi="Garamond" w:cs="Calibri Light"/>
                <w:b/>
                <w:bCs/>
                <w:sz w:val="20"/>
                <w:szCs w:val="20"/>
                <w:lang w:eastAsia="en-US"/>
              </w:rPr>
            </w:pPr>
            <w:r w:rsidRPr="00622884">
              <w:rPr>
                <w:rFonts w:ascii="Garamond" w:eastAsia="Calibri" w:hAnsi="Garamond" w:cs="Times New Roman"/>
                <w:b/>
                <w:sz w:val="20"/>
                <w:szCs w:val="20"/>
                <w:lang w:eastAsia="en-US" w:bidi="sq-AL"/>
              </w:rPr>
              <w:t>NK</w:t>
            </w:r>
          </w:p>
        </w:tc>
        <w:tc>
          <w:tcPr>
            <w:tcW w:w="7757" w:type="dxa"/>
          </w:tcPr>
          <w:p w14:paraId="3828D7AA" w14:textId="77777777" w:rsidR="00622884" w:rsidRPr="00622884" w:rsidRDefault="00622884" w:rsidP="00622884">
            <w:pPr>
              <w:spacing w:after="0" w:line="240" w:lineRule="auto"/>
              <w:jc w:val="left"/>
              <w:rPr>
                <w:rFonts w:ascii="Garamond" w:eastAsia="Calibri" w:hAnsi="Garamond" w:cs="Calibri Light"/>
                <w:sz w:val="20"/>
                <w:szCs w:val="20"/>
                <w:lang w:eastAsia="en-US"/>
              </w:rPr>
            </w:pPr>
            <w:r w:rsidRPr="00622884">
              <w:rPr>
                <w:rFonts w:ascii="Garamond" w:eastAsia="Calibri" w:hAnsi="Garamond" w:cs="Times New Roman"/>
                <w:sz w:val="20"/>
                <w:szCs w:val="20"/>
                <w:lang w:eastAsia="en-US" w:bidi="sq-AL"/>
              </w:rPr>
              <w:t>Ndryshimet klimatike</w:t>
            </w:r>
          </w:p>
        </w:tc>
      </w:tr>
      <w:tr w:rsidR="00622884" w:rsidRPr="00622884" w14:paraId="75F10C20" w14:textId="77777777" w:rsidTr="00622884">
        <w:tc>
          <w:tcPr>
            <w:tcW w:w="1269" w:type="dxa"/>
          </w:tcPr>
          <w:p w14:paraId="4D7EB42A" w14:textId="77777777" w:rsidR="00622884" w:rsidRPr="00622884" w:rsidRDefault="00622884" w:rsidP="00622884">
            <w:pPr>
              <w:spacing w:after="0" w:line="240" w:lineRule="auto"/>
              <w:jc w:val="left"/>
              <w:rPr>
                <w:rFonts w:ascii="Garamond" w:eastAsia="Calibri" w:hAnsi="Garamond" w:cs="Calibri Light"/>
                <w:b/>
                <w:bCs/>
                <w:sz w:val="20"/>
                <w:szCs w:val="20"/>
                <w:lang w:eastAsia="en-US"/>
              </w:rPr>
            </w:pPr>
            <w:r w:rsidRPr="00622884">
              <w:rPr>
                <w:rFonts w:ascii="Garamond" w:eastAsia="Calibri" w:hAnsi="Garamond" w:cs="Times New Roman"/>
                <w:b/>
                <w:sz w:val="20"/>
                <w:szCs w:val="20"/>
                <w:lang w:eastAsia="en-US" w:bidi="sq-AL"/>
              </w:rPr>
              <w:t>NJQV</w:t>
            </w:r>
          </w:p>
        </w:tc>
        <w:tc>
          <w:tcPr>
            <w:tcW w:w="7757" w:type="dxa"/>
          </w:tcPr>
          <w:p w14:paraId="10D27C23" w14:textId="77777777" w:rsidR="00622884" w:rsidRPr="00622884" w:rsidRDefault="00622884" w:rsidP="00622884">
            <w:pPr>
              <w:spacing w:after="0" w:line="240" w:lineRule="auto"/>
              <w:jc w:val="left"/>
              <w:rPr>
                <w:rFonts w:ascii="Garamond" w:eastAsia="Calibri" w:hAnsi="Garamond" w:cs="Calibri Light"/>
                <w:sz w:val="20"/>
                <w:szCs w:val="20"/>
                <w:lang w:eastAsia="en-US"/>
              </w:rPr>
            </w:pPr>
            <w:r w:rsidRPr="00622884">
              <w:rPr>
                <w:rFonts w:ascii="Garamond" w:eastAsia="Calibri" w:hAnsi="Garamond" w:cs="Times New Roman"/>
                <w:sz w:val="20"/>
                <w:szCs w:val="20"/>
                <w:lang w:eastAsia="en-US" w:bidi="sq-AL"/>
              </w:rPr>
              <w:t>Njësia e qeverisjes vendore</w:t>
            </w:r>
          </w:p>
        </w:tc>
      </w:tr>
      <w:tr w:rsidR="00622884" w:rsidRPr="00622884" w14:paraId="1E4DC046" w14:textId="77777777" w:rsidTr="00622884">
        <w:tc>
          <w:tcPr>
            <w:tcW w:w="1269" w:type="dxa"/>
          </w:tcPr>
          <w:p w14:paraId="3B6B176B" w14:textId="77777777" w:rsidR="00622884" w:rsidRPr="00622884" w:rsidRDefault="00622884" w:rsidP="00622884">
            <w:pPr>
              <w:spacing w:after="0" w:line="240" w:lineRule="auto"/>
              <w:jc w:val="left"/>
              <w:rPr>
                <w:rFonts w:ascii="Garamond" w:eastAsia="Calibri" w:hAnsi="Garamond" w:cs="Calibri Light"/>
                <w:b/>
                <w:bCs/>
                <w:sz w:val="20"/>
                <w:szCs w:val="20"/>
                <w:lang w:eastAsia="en-US"/>
              </w:rPr>
            </w:pPr>
            <w:r w:rsidRPr="00622884">
              <w:rPr>
                <w:rFonts w:ascii="Garamond" w:eastAsia="Calibri" w:hAnsi="Garamond" w:cs="Times New Roman"/>
                <w:b/>
                <w:sz w:val="20"/>
                <w:szCs w:val="20"/>
                <w:lang w:eastAsia="en-US" w:bidi="sq-AL"/>
              </w:rPr>
              <w:t>OBK</w:t>
            </w:r>
          </w:p>
        </w:tc>
        <w:tc>
          <w:tcPr>
            <w:tcW w:w="7757" w:type="dxa"/>
          </w:tcPr>
          <w:p w14:paraId="166E3E03" w14:textId="77777777" w:rsidR="00622884" w:rsidRPr="00622884" w:rsidRDefault="00622884" w:rsidP="00622884">
            <w:pPr>
              <w:spacing w:after="0" w:line="240" w:lineRule="auto"/>
              <w:jc w:val="left"/>
              <w:rPr>
                <w:rFonts w:ascii="Garamond" w:eastAsia="Calibri" w:hAnsi="Garamond" w:cs="Calibri Light"/>
                <w:sz w:val="20"/>
                <w:szCs w:val="20"/>
                <w:lang w:eastAsia="en-US"/>
              </w:rPr>
            </w:pPr>
            <w:r w:rsidRPr="00622884">
              <w:rPr>
                <w:rFonts w:ascii="Garamond" w:eastAsia="Calibri" w:hAnsi="Garamond" w:cs="Times New Roman"/>
                <w:sz w:val="20"/>
                <w:szCs w:val="20"/>
                <w:lang w:eastAsia="en-US" w:bidi="sq-AL"/>
              </w:rPr>
              <w:t>Organizatat me bazë komunitare</w:t>
            </w:r>
          </w:p>
        </w:tc>
      </w:tr>
      <w:tr w:rsidR="00622884" w:rsidRPr="00622884" w14:paraId="076C47C3" w14:textId="77777777" w:rsidTr="00622884">
        <w:tc>
          <w:tcPr>
            <w:tcW w:w="1269" w:type="dxa"/>
          </w:tcPr>
          <w:p w14:paraId="27D60656" w14:textId="77777777" w:rsidR="00622884" w:rsidRPr="00622884" w:rsidRDefault="00622884" w:rsidP="00622884">
            <w:pPr>
              <w:spacing w:after="0" w:line="240" w:lineRule="auto"/>
              <w:jc w:val="left"/>
              <w:rPr>
                <w:rFonts w:ascii="Garamond" w:eastAsia="Calibri" w:hAnsi="Garamond" w:cs="Calibri Light"/>
                <w:b/>
                <w:bCs/>
                <w:sz w:val="20"/>
                <w:szCs w:val="20"/>
                <w:lang w:eastAsia="en-US"/>
              </w:rPr>
            </w:pPr>
            <w:r w:rsidRPr="00622884">
              <w:rPr>
                <w:rFonts w:ascii="Garamond" w:eastAsia="Calibri" w:hAnsi="Garamond" w:cs="Times New Roman"/>
                <w:b/>
                <w:sz w:val="20"/>
                <w:szCs w:val="20"/>
                <w:lang w:eastAsia="en-US" w:bidi="sq-AL"/>
              </w:rPr>
              <w:t>OECD</w:t>
            </w:r>
          </w:p>
        </w:tc>
        <w:tc>
          <w:tcPr>
            <w:tcW w:w="7757" w:type="dxa"/>
          </w:tcPr>
          <w:p w14:paraId="58BDE0F7" w14:textId="77777777" w:rsidR="00622884" w:rsidRPr="00622884" w:rsidRDefault="00622884" w:rsidP="00622884">
            <w:pPr>
              <w:spacing w:after="0" w:line="240" w:lineRule="auto"/>
              <w:jc w:val="left"/>
              <w:rPr>
                <w:rFonts w:ascii="Garamond" w:eastAsia="Calibri" w:hAnsi="Garamond" w:cs="Calibri Light"/>
                <w:sz w:val="20"/>
                <w:szCs w:val="20"/>
                <w:lang w:eastAsia="en-US"/>
              </w:rPr>
            </w:pPr>
            <w:r w:rsidRPr="00622884">
              <w:rPr>
                <w:rFonts w:ascii="Garamond" w:eastAsia="Calibri" w:hAnsi="Garamond" w:cs="Times New Roman"/>
                <w:sz w:val="20"/>
                <w:szCs w:val="20"/>
                <w:lang w:eastAsia="en-US" w:bidi="sq-AL"/>
              </w:rPr>
              <w:t>Organizata për Bashkëpunim Ekonomik dhe Zhvillim</w:t>
            </w:r>
          </w:p>
        </w:tc>
      </w:tr>
      <w:tr w:rsidR="00622884" w:rsidRPr="00622884" w14:paraId="63451B07" w14:textId="77777777" w:rsidTr="00622884">
        <w:tc>
          <w:tcPr>
            <w:tcW w:w="1269" w:type="dxa"/>
          </w:tcPr>
          <w:p w14:paraId="6009CA1F" w14:textId="77777777" w:rsidR="00622884" w:rsidRPr="00622884" w:rsidRDefault="00622884" w:rsidP="00622884">
            <w:pPr>
              <w:spacing w:after="0" w:line="240" w:lineRule="auto"/>
              <w:jc w:val="left"/>
              <w:rPr>
                <w:rFonts w:ascii="Garamond" w:eastAsia="Calibri" w:hAnsi="Garamond" w:cs="Calibri Light"/>
                <w:b/>
                <w:bCs/>
                <w:sz w:val="20"/>
                <w:szCs w:val="20"/>
                <w:lang w:eastAsia="en-US"/>
              </w:rPr>
            </w:pPr>
            <w:r w:rsidRPr="00622884">
              <w:rPr>
                <w:rFonts w:ascii="Garamond" w:eastAsia="Calibri" w:hAnsi="Garamond" w:cs="Times New Roman"/>
                <w:b/>
                <w:sz w:val="20"/>
                <w:szCs w:val="20"/>
                <w:lang w:eastAsia="en-US" w:bidi="sq-AL"/>
              </w:rPr>
              <w:t>OGP</w:t>
            </w:r>
          </w:p>
        </w:tc>
        <w:tc>
          <w:tcPr>
            <w:tcW w:w="7757" w:type="dxa"/>
          </w:tcPr>
          <w:p w14:paraId="729BEFA2" w14:textId="77777777" w:rsidR="00622884" w:rsidRPr="00622884" w:rsidRDefault="00622884" w:rsidP="00622884">
            <w:pPr>
              <w:spacing w:after="0" w:line="240" w:lineRule="auto"/>
              <w:jc w:val="left"/>
              <w:rPr>
                <w:rFonts w:ascii="Garamond" w:eastAsia="Calibri" w:hAnsi="Garamond" w:cs="Calibri Light"/>
                <w:sz w:val="20"/>
                <w:szCs w:val="20"/>
                <w:lang w:eastAsia="en-US"/>
              </w:rPr>
            </w:pPr>
            <w:r w:rsidRPr="00622884">
              <w:rPr>
                <w:rFonts w:ascii="Garamond" w:eastAsia="Calibri" w:hAnsi="Garamond" w:cs="Times New Roman"/>
                <w:sz w:val="20"/>
                <w:szCs w:val="20"/>
                <w:lang w:eastAsia="en-US" w:bidi="sq-AL"/>
              </w:rPr>
              <w:t>Objektivi Global për Përshtatjen (në kuadër të UNFCCC-së)</w:t>
            </w:r>
          </w:p>
        </w:tc>
      </w:tr>
      <w:tr w:rsidR="00622884" w:rsidRPr="00622884" w14:paraId="0F4BC0AA" w14:textId="77777777" w:rsidTr="00622884">
        <w:tc>
          <w:tcPr>
            <w:tcW w:w="1269" w:type="dxa"/>
          </w:tcPr>
          <w:p w14:paraId="6D2ABB13" w14:textId="77777777" w:rsidR="00622884" w:rsidRPr="00622884" w:rsidRDefault="00622884" w:rsidP="00622884">
            <w:pPr>
              <w:spacing w:after="0" w:line="240" w:lineRule="auto"/>
              <w:jc w:val="left"/>
              <w:rPr>
                <w:rFonts w:ascii="Garamond" w:eastAsia="Calibri" w:hAnsi="Garamond" w:cs="Calibri Light"/>
                <w:b/>
                <w:bCs/>
                <w:sz w:val="20"/>
                <w:szCs w:val="20"/>
                <w:lang w:eastAsia="en-US"/>
              </w:rPr>
            </w:pPr>
            <w:r w:rsidRPr="00622884">
              <w:rPr>
                <w:rFonts w:ascii="Garamond" w:eastAsia="Calibri" w:hAnsi="Garamond" w:cs="Times New Roman"/>
                <w:b/>
                <w:sz w:val="20"/>
                <w:szCs w:val="20"/>
                <w:lang w:eastAsia="en-US" w:bidi="sq-AL"/>
              </w:rPr>
              <w:t>OKB</w:t>
            </w:r>
          </w:p>
        </w:tc>
        <w:tc>
          <w:tcPr>
            <w:tcW w:w="7757" w:type="dxa"/>
          </w:tcPr>
          <w:p w14:paraId="1B57B872" w14:textId="77777777" w:rsidR="00622884" w:rsidRPr="00622884" w:rsidRDefault="00622884" w:rsidP="00622884">
            <w:pPr>
              <w:spacing w:after="0" w:line="240" w:lineRule="auto"/>
              <w:jc w:val="left"/>
              <w:rPr>
                <w:rFonts w:ascii="Garamond" w:eastAsia="Calibri" w:hAnsi="Garamond" w:cs="Calibri Light"/>
                <w:sz w:val="20"/>
                <w:szCs w:val="20"/>
                <w:lang w:eastAsia="en-US"/>
              </w:rPr>
            </w:pPr>
            <w:r w:rsidRPr="00622884">
              <w:rPr>
                <w:rFonts w:ascii="Garamond" w:eastAsia="Calibri" w:hAnsi="Garamond" w:cs="Times New Roman"/>
                <w:sz w:val="20"/>
                <w:szCs w:val="20"/>
                <w:lang w:eastAsia="en-US" w:bidi="sq-AL"/>
              </w:rPr>
              <w:t>Organizata e Kombeve të Bashkuara</w:t>
            </w:r>
          </w:p>
        </w:tc>
      </w:tr>
      <w:tr w:rsidR="00622884" w:rsidRPr="00622884" w14:paraId="7AAA5606" w14:textId="77777777" w:rsidTr="00622884">
        <w:tc>
          <w:tcPr>
            <w:tcW w:w="1269" w:type="dxa"/>
          </w:tcPr>
          <w:p w14:paraId="682AE5AA" w14:textId="77777777" w:rsidR="00622884" w:rsidRPr="00622884" w:rsidRDefault="00622884" w:rsidP="00622884">
            <w:pPr>
              <w:spacing w:after="0" w:line="240" w:lineRule="auto"/>
              <w:jc w:val="left"/>
              <w:rPr>
                <w:rFonts w:ascii="Garamond" w:eastAsia="Calibri" w:hAnsi="Garamond" w:cs="Calibri Light"/>
                <w:b/>
                <w:bCs/>
                <w:sz w:val="20"/>
                <w:szCs w:val="20"/>
                <w:lang w:eastAsia="en-US"/>
              </w:rPr>
            </w:pPr>
            <w:r w:rsidRPr="00622884">
              <w:rPr>
                <w:rFonts w:ascii="Garamond" w:eastAsia="Calibri" w:hAnsi="Garamond" w:cs="Times New Roman"/>
                <w:b/>
                <w:sz w:val="20"/>
                <w:szCs w:val="20"/>
                <w:lang w:eastAsia="en-US" w:bidi="sq-AL"/>
              </w:rPr>
              <w:t>OPEX</w:t>
            </w:r>
          </w:p>
        </w:tc>
        <w:tc>
          <w:tcPr>
            <w:tcW w:w="7757" w:type="dxa"/>
          </w:tcPr>
          <w:p w14:paraId="50B99588" w14:textId="77777777" w:rsidR="00622884" w:rsidRPr="00622884" w:rsidRDefault="00622884" w:rsidP="00622884">
            <w:pPr>
              <w:spacing w:after="0" w:line="240" w:lineRule="auto"/>
              <w:jc w:val="left"/>
              <w:rPr>
                <w:rFonts w:ascii="Garamond" w:eastAsia="Calibri" w:hAnsi="Garamond" w:cs="Calibri Light"/>
                <w:sz w:val="20"/>
                <w:szCs w:val="20"/>
                <w:lang w:eastAsia="en-US"/>
              </w:rPr>
            </w:pPr>
            <w:r w:rsidRPr="00622884">
              <w:rPr>
                <w:rFonts w:ascii="Garamond" w:eastAsia="Calibri" w:hAnsi="Garamond" w:cs="Times New Roman"/>
                <w:sz w:val="20"/>
                <w:szCs w:val="20"/>
                <w:lang w:eastAsia="en-US" w:bidi="sq-AL"/>
              </w:rPr>
              <w:t>Shpenzimet operative</w:t>
            </w:r>
          </w:p>
        </w:tc>
      </w:tr>
      <w:tr w:rsidR="00622884" w:rsidRPr="00622884" w14:paraId="3DC41FF2" w14:textId="77777777" w:rsidTr="00622884">
        <w:tc>
          <w:tcPr>
            <w:tcW w:w="1269" w:type="dxa"/>
          </w:tcPr>
          <w:p w14:paraId="73B3194A" w14:textId="77777777" w:rsidR="00622884" w:rsidRPr="00622884" w:rsidRDefault="00622884" w:rsidP="00622884">
            <w:pPr>
              <w:spacing w:after="0" w:line="240" w:lineRule="auto"/>
              <w:jc w:val="left"/>
              <w:rPr>
                <w:rFonts w:ascii="Garamond" w:eastAsia="Calibri" w:hAnsi="Garamond" w:cs="Calibri Light"/>
                <w:b/>
                <w:bCs/>
                <w:sz w:val="20"/>
                <w:szCs w:val="20"/>
                <w:lang w:eastAsia="en-US"/>
              </w:rPr>
            </w:pPr>
            <w:r w:rsidRPr="00622884">
              <w:rPr>
                <w:rFonts w:ascii="Garamond" w:eastAsia="Calibri" w:hAnsi="Garamond" w:cs="Times New Roman"/>
                <w:b/>
                <w:sz w:val="20"/>
                <w:szCs w:val="20"/>
                <w:lang w:eastAsia="en-US" w:bidi="sq-AL"/>
              </w:rPr>
              <w:t>OZHQ</w:t>
            </w:r>
          </w:p>
        </w:tc>
        <w:tc>
          <w:tcPr>
            <w:tcW w:w="7757" w:type="dxa"/>
          </w:tcPr>
          <w:p w14:paraId="38DE287D" w14:textId="77777777" w:rsidR="00622884" w:rsidRPr="00622884" w:rsidRDefault="00622884" w:rsidP="00622884">
            <w:pPr>
              <w:spacing w:after="0" w:line="240" w:lineRule="auto"/>
              <w:jc w:val="left"/>
              <w:rPr>
                <w:rFonts w:ascii="Garamond" w:eastAsia="Calibri" w:hAnsi="Garamond" w:cs="Calibri Light"/>
                <w:sz w:val="20"/>
                <w:szCs w:val="20"/>
                <w:lang w:eastAsia="en-US"/>
              </w:rPr>
            </w:pPr>
            <w:r w:rsidRPr="00622884">
              <w:rPr>
                <w:rFonts w:ascii="Garamond" w:eastAsia="Calibri" w:hAnsi="Garamond" w:cs="Times New Roman"/>
                <w:sz w:val="20"/>
                <w:szCs w:val="20"/>
                <w:lang w:eastAsia="en-US" w:bidi="sq-AL"/>
              </w:rPr>
              <w:t>Objektivi i zhvillimit të qëndrueshëm</w:t>
            </w:r>
          </w:p>
        </w:tc>
      </w:tr>
      <w:tr w:rsidR="00622884" w:rsidRPr="00622884" w14:paraId="54571526" w14:textId="77777777" w:rsidTr="00622884">
        <w:tc>
          <w:tcPr>
            <w:tcW w:w="1269" w:type="dxa"/>
          </w:tcPr>
          <w:p w14:paraId="280A6D45" w14:textId="77777777" w:rsidR="00622884" w:rsidRPr="00622884" w:rsidRDefault="00622884" w:rsidP="00622884">
            <w:pPr>
              <w:spacing w:after="0" w:line="240" w:lineRule="auto"/>
              <w:jc w:val="left"/>
              <w:rPr>
                <w:rFonts w:ascii="Garamond" w:eastAsia="Calibri" w:hAnsi="Garamond" w:cs="Calibri Light"/>
                <w:b/>
                <w:bCs/>
                <w:sz w:val="20"/>
                <w:szCs w:val="20"/>
                <w:lang w:eastAsia="en-US"/>
              </w:rPr>
            </w:pPr>
            <w:r w:rsidRPr="00622884">
              <w:rPr>
                <w:rFonts w:ascii="Garamond" w:eastAsia="Calibri" w:hAnsi="Garamond" w:cs="Times New Roman"/>
                <w:b/>
                <w:sz w:val="20"/>
                <w:szCs w:val="20"/>
                <w:lang w:eastAsia="en-US" w:bidi="sq-AL"/>
              </w:rPr>
              <w:t>PBA</w:t>
            </w:r>
          </w:p>
        </w:tc>
        <w:tc>
          <w:tcPr>
            <w:tcW w:w="7757" w:type="dxa"/>
          </w:tcPr>
          <w:p w14:paraId="330EA830" w14:textId="77777777" w:rsidR="00622884" w:rsidRPr="00622884" w:rsidRDefault="00622884" w:rsidP="00622884">
            <w:pPr>
              <w:spacing w:after="0" w:line="240" w:lineRule="auto"/>
              <w:jc w:val="left"/>
              <w:rPr>
                <w:rFonts w:ascii="Garamond" w:eastAsia="Calibri" w:hAnsi="Garamond" w:cs="Calibri Light"/>
                <w:sz w:val="20"/>
                <w:szCs w:val="20"/>
                <w:lang w:eastAsia="en-US"/>
              </w:rPr>
            </w:pPr>
            <w:r w:rsidRPr="00622884">
              <w:rPr>
                <w:rFonts w:ascii="Garamond" w:eastAsia="Calibri" w:hAnsi="Garamond" w:cs="Times New Roman"/>
                <w:sz w:val="20"/>
                <w:szCs w:val="20"/>
                <w:lang w:eastAsia="en-US" w:bidi="sq-AL"/>
              </w:rPr>
              <w:t>Programi buxhetor afatmesëm</w:t>
            </w:r>
          </w:p>
        </w:tc>
      </w:tr>
      <w:tr w:rsidR="00622884" w:rsidRPr="00622884" w14:paraId="0CE8E90F" w14:textId="77777777" w:rsidTr="00622884">
        <w:tc>
          <w:tcPr>
            <w:tcW w:w="1269" w:type="dxa"/>
          </w:tcPr>
          <w:p w14:paraId="2BD3393C" w14:textId="77777777" w:rsidR="00622884" w:rsidRPr="00622884" w:rsidRDefault="00622884" w:rsidP="00622884">
            <w:pPr>
              <w:spacing w:after="0" w:line="240" w:lineRule="auto"/>
              <w:jc w:val="left"/>
              <w:rPr>
                <w:rFonts w:ascii="Garamond" w:eastAsia="Calibri" w:hAnsi="Garamond" w:cs="Calibri Light"/>
                <w:b/>
                <w:bCs/>
                <w:sz w:val="20"/>
                <w:szCs w:val="20"/>
                <w:lang w:eastAsia="en-US"/>
              </w:rPr>
            </w:pPr>
            <w:r w:rsidRPr="00622884">
              <w:rPr>
                <w:rFonts w:ascii="Garamond" w:eastAsia="Calibri" w:hAnsi="Garamond" w:cs="Times New Roman"/>
                <w:b/>
                <w:sz w:val="20"/>
                <w:szCs w:val="20"/>
                <w:lang w:eastAsia="en-US" w:bidi="sq-AL"/>
              </w:rPr>
              <w:t xml:space="preserve">PKAPI </w:t>
            </w:r>
          </w:p>
        </w:tc>
        <w:tc>
          <w:tcPr>
            <w:tcW w:w="7757" w:type="dxa"/>
          </w:tcPr>
          <w:p w14:paraId="614771E3" w14:textId="77777777" w:rsidR="00622884" w:rsidRPr="00622884" w:rsidRDefault="00622884" w:rsidP="00622884">
            <w:pPr>
              <w:spacing w:after="0" w:line="240" w:lineRule="auto"/>
              <w:jc w:val="left"/>
              <w:rPr>
                <w:rFonts w:ascii="Garamond" w:eastAsia="Calibri" w:hAnsi="Garamond" w:cs="Calibri Light"/>
                <w:sz w:val="20"/>
                <w:szCs w:val="20"/>
                <w:lang w:eastAsia="en-US"/>
              </w:rPr>
            </w:pPr>
            <w:r w:rsidRPr="00622884">
              <w:rPr>
                <w:rFonts w:ascii="Garamond" w:eastAsia="Calibri" w:hAnsi="Garamond" w:cs="Times New Roman"/>
                <w:sz w:val="20"/>
                <w:szCs w:val="20"/>
                <w:lang w:eastAsia="en-US" w:bidi="sq-AL"/>
              </w:rPr>
              <w:t>Plani i komunikimit dhe angazhimit të palëve të interesit</w:t>
            </w:r>
          </w:p>
        </w:tc>
      </w:tr>
      <w:tr w:rsidR="00622884" w:rsidRPr="00622884" w14:paraId="44E75E0A" w14:textId="77777777" w:rsidTr="00622884">
        <w:tc>
          <w:tcPr>
            <w:tcW w:w="1269" w:type="dxa"/>
          </w:tcPr>
          <w:p w14:paraId="5E41A4E3" w14:textId="77777777" w:rsidR="00622884" w:rsidRPr="00622884" w:rsidRDefault="00622884" w:rsidP="00622884">
            <w:pPr>
              <w:spacing w:after="0" w:line="240" w:lineRule="auto"/>
              <w:jc w:val="left"/>
              <w:rPr>
                <w:rFonts w:ascii="Garamond" w:eastAsia="Calibri" w:hAnsi="Garamond" w:cs="Calibri Light"/>
                <w:b/>
                <w:bCs/>
                <w:sz w:val="20"/>
                <w:szCs w:val="20"/>
                <w:lang w:eastAsia="en-US"/>
              </w:rPr>
            </w:pPr>
            <w:r w:rsidRPr="00622884">
              <w:rPr>
                <w:rFonts w:ascii="Garamond" w:eastAsia="Calibri" w:hAnsi="Garamond" w:cs="Times New Roman"/>
                <w:b/>
                <w:sz w:val="20"/>
                <w:szCs w:val="20"/>
                <w:lang w:eastAsia="en-US" w:bidi="sq-AL"/>
              </w:rPr>
              <w:t>PKEP</w:t>
            </w:r>
          </w:p>
        </w:tc>
        <w:tc>
          <w:tcPr>
            <w:tcW w:w="7757" w:type="dxa"/>
          </w:tcPr>
          <w:p w14:paraId="175F7A66" w14:textId="77777777" w:rsidR="00622884" w:rsidRPr="00622884" w:rsidRDefault="00622884" w:rsidP="00622884">
            <w:pPr>
              <w:spacing w:after="0" w:line="240" w:lineRule="auto"/>
              <w:jc w:val="left"/>
              <w:rPr>
                <w:rFonts w:ascii="Garamond" w:eastAsia="Calibri" w:hAnsi="Garamond" w:cs="Calibri Light"/>
                <w:sz w:val="20"/>
                <w:szCs w:val="20"/>
                <w:lang w:eastAsia="en-US"/>
              </w:rPr>
            </w:pPr>
            <w:r w:rsidRPr="00622884">
              <w:rPr>
                <w:rFonts w:ascii="Garamond" w:eastAsia="Calibri" w:hAnsi="Garamond" w:cs="Times New Roman"/>
                <w:sz w:val="20"/>
                <w:szCs w:val="20"/>
                <w:lang w:eastAsia="en-US" w:bidi="sq-AL"/>
              </w:rPr>
              <w:t>Plani Kombëtar për Energjinë dhe Klimën</w:t>
            </w:r>
          </w:p>
        </w:tc>
      </w:tr>
      <w:tr w:rsidR="00622884" w:rsidRPr="00622884" w14:paraId="28D8DE3B" w14:textId="77777777" w:rsidTr="00622884">
        <w:tc>
          <w:tcPr>
            <w:tcW w:w="1269" w:type="dxa"/>
          </w:tcPr>
          <w:p w14:paraId="7B0F8E4E" w14:textId="77777777" w:rsidR="00622884" w:rsidRPr="00622884" w:rsidRDefault="00622884" w:rsidP="00622884">
            <w:pPr>
              <w:spacing w:after="0" w:line="240" w:lineRule="auto"/>
              <w:jc w:val="left"/>
              <w:rPr>
                <w:rFonts w:ascii="Garamond" w:eastAsia="Calibri" w:hAnsi="Garamond" w:cs="Calibri Light"/>
                <w:b/>
                <w:bCs/>
                <w:sz w:val="20"/>
                <w:szCs w:val="20"/>
                <w:lang w:eastAsia="en-US"/>
              </w:rPr>
            </w:pPr>
            <w:r w:rsidRPr="00622884">
              <w:rPr>
                <w:rFonts w:ascii="Garamond" w:eastAsia="Calibri" w:hAnsi="Garamond" w:cs="Times New Roman"/>
                <w:b/>
                <w:sz w:val="20"/>
                <w:szCs w:val="20"/>
                <w:lang w:eastAsia="en-US" w:bidi="sq-AL"/>
              </w:rPr>
              <w:t>PNK</w:t>
            </w:r>
          </w:p>
        </w:tc>
        <w:tc>
          <w:tcPr>
            <w:tcW w:w="7757" w:type="dxa"/>
          </w:tcPr>
          <w:p w14:paraId="1ED33D06" w14:textId="77777777" w:rsidR="00622884" w:rsidRPr="00622884" w:rsidRDefault="00622884" w:rsidP="00622884">
            <w:pPr>
              <w:spacing w:after="0" w:line="240" w:lineRule="auto"/>
              <w:jc w:val="left"/>
              <w:rPr>
                <w:rFonts w:ascii="Garamond" w:eastAsia="Calibri" w:hAnsi="Garamond" w:cs="Calibri Light"/>
                <w:sz w:val="20"/>
                <w:szCs w:val="20"/>
                <w:lang w:eastAsia="en-US"/>
              </w:rPr>
            </w:pPr>
            <w:r w:rsidRPr="00622884">
              <w:rPr>
                <w:rFonts w:ascii="Garamond" w:eastAsia="Calibri" w:hAnsi="Garamond" w:cs="Times New Roman"/>
                <w:sz w:val="20"/>
                <w:szCs w:val="20"/>
                <w:lang w:eastAsia="en-US" w:bidi="sq-AL"/>
              </w:rPr>
              <w:t>Përshtatja ndaj ndryshimeve klimatike</w:t>
            </w:r>
          </w:p>
        </w:tc>
      </w:tr>
      <w:tr w:rsidR="00622884" w:rsidRPr="00622884" w14:paraId="08A79381" w14:textId="77777777" w:rsidTr="00622884">
        <w:tc>
          <w:tcPr>
            <w:tcW w:w="1269" w:type="dxa"/>
          </w:tcPr>
          <w:p w14:paraId="22D2491D" w14:textId="77777777" w:rsidR="00622884" w:rsidRPr="00622884" w:rsidRDefault="00622884" w:rsidP="00622884">
            <w:pPr>
              <w:spacing w:after="0" w:line="240" w:lineRule="auto"/>
              <w:jc w:val="left"/>
              <w:rPr>
                <w:rFonts w:ascii="Garamond" w:eastAsia="Calibri" w:hAnsi="Garamond" w:cs="Calibri Light"/>
                <w:b/>
                <w:bCs/>
                <w:sz w:val="20"/>
                <w:szCs w:val="20"/>
                <w:lang w:eastAsia="en-US"/>
              </w:rPr>
            </w:pPr>
            <w:r w:rsidRPr="00622884">
              <w:rPr>
                <w:rFonts w:ascii="Garamond" w:eastAsia="Calibri" w:hAnsi="Garamond" w:cs="Times New Roman"/>
                <w:b/>
                <w:sz w:val="20"/>
                <w:szCs w:val="20"/>
                <w:lang w:eastAsia="en-US" w:bidi="sq-AL"/>
              </w:rPr>
              <w:t>PNNK</w:t>
            </w:r>
          </w:p>
        </w:tc>
        <w:tc>
          <w:tcPr>
            <w:tcW w:w="7757" w:type="dxa"/>
          </w:tcPr>
          <w:p w14:paraId="784BA28A" w14:textId="77777777" w:rsidR="00622884" w:rsidRPr="00622884" w:rsidRDefault="00622884" w:rsidP="00622884">
            <w:pPr>
              <w:spacing w:after="0" w:line="240" w:lineRule="auto"/>
              <w:jc w:val="left"/>
              <w:rPr>
                <w:rFonts w:ascii="Garamond" w:eastAsia="Calibri" w:hAnsi="Garamond" w:cs="Calibri Light"/>
                <w:sz w:val="20"/>
                <w:szCs w:val="20"/>
                <w:lang w:eastAsia="en-US"/>
              </w:rPr>
            </w:pPr>
            <w:r w:rsidRPr="00622884">
              <w:rPr>
                <w:rFonts w:ascii="Garamond" w:eastAsia="Calibri" w:hAnsi="Garamond" w:cs="Times New Roman"/>
                <w:sz w:val="20"/>
                <w:szCs w:val="20"/>
                <w:lang w:eastAsia="en-US" w:bidi="sq-AL"/>
              </w:rPr>
              <w:t>Paneli Ndërqeveritar për Ndryshimet Klimatike</w:t>
            </w:r>
          </w:p>
        </w:tc>
      </w:tr>
      <w:tr w:rsidR="00622884" w:rsidRPr="00622884" w14:paraId="3642C37E" w14:textId="77777777" w:rsidTr="00622884">
        <w:tc>
          <w:tcPr>
            <w:tcW w:w="1269" w:type="dxa"/>
          </w:tcPr>
          <w:p w14:paraId="1FD269A6" w14:textId="77777777" w:rsidR="00622884" w:rsidRPr="00622884" w:rsidRDefault="00622884" w:rsidP="00622884">
            <w:pPr>
              <w:spacing w:after="0" w:line="240" w:lineRule="auto"/>
              <w:jc w:val="left"/>
              <w:rPr>
                <w:rFonts w:ascii="Garamond" w:eastAsia="Calibri" w:hAnsi="Garamond" w:cs="Calibri Light"/>
                <w:b/>
                <w:bCs/>
                <w:sz w:val="20"/>
                <w:szCs w:val="20"/>
                <w:lang w:eastAsia="en-US"/>
              </w:rPr>
            </w:pPr>
            <w:r w:rsidRPr="00622884">
              <w:rPr>
                <w:rFonts w:ascii="Garamond" w:eastAsia="Calibri" w:hAnsi="Garamond" w:cs="Times New Roman"/>
                <w:b/>
                <w:sz w:val="20"/>
                <w:szCs w:val="20"/>
                <w:lang w:eastAsia="en-US" w:bidi="sq-AL"/>
              </w:rPr>
              <w:t>PSK</w:t>
            </w:r>
          </w:p>
        </w:tc>
        <w:tc>
          <w:tcPr>
            <w:tcW w:w="7757" w:type="dxa"/>
          </w:tcPr>
          <w:p w14:paraId="662BB81B" w14:textId="77777777" w:rsidR="00622884" w:rsidRPr="00622884" w:rsidRDefault="00622884" w:rsidP="00622884">
            <w:pPr>
              <w:spacing w:after="0" w:line="240" w:lineRule="auto"/>
              <w:jc w:val="left"/>
              <w:rPr>
                <w:rFonts w:ascii="Garamond" w:eastAsia="Calibri" w:hAnsi="Garamond" w:cs="Calibri Light"/>
                <w:sz w:val="20"/>
                <w:szCs w:val="20"/>
                <w:lang w:eastAsia="en-US"/>
              </w:rPr>
            </w:pPr>
            <w:r w:rsidRPr="00622884">
              <w:rPr>
                <w:rFonts w:ascii="Garamond" w:eastAsia="Calibri" w:hAnsi="Garamond" w:cs="Times New Roman"/>
                <w:sz w:val="20"/>
                <w:szCs w:val="20"/>
                <w:lang w:eastAsia="en-US" w:bidi="sq-AL"/>
              </w:rPr>
              <w:t>Përgjegjësia sociale e korporatës</w:t>
            </w:r>
          </w:p>
        </w:tc>
      </w:tr>
      <w:tr w:rsidR="00622884" w:rsidRPr="00622884" w14:paraId="22B70FA9" w14:textId="77777777" w:rsidTr="00622884">
        <w:tc>
          <w:tcPr>
            <w:tcW w:w="1269" w:type="dxa"/>
          </w:tcPr>
          <w:p w14:paraId="3A5290E4" w14:textId="77777777" w:rsidR="00622884" w:rsidRPr="00622884" w:rsidRDefault="00622884" w:rsidP="00622884">
            <w:pPr>
              <w:spacing w:after="0" w:line="240" w:lineRule="auto"/>
              <w:jc w:val="left"/>
              <w:rPr>
                <w:rFonts w:ascii="Garamond" w:eastAsia="Calibri" w:hAnsi="Garamond" w:cs="Calibri Light"/>
                <w:b/>
                <w:bCs/>
                <w:sz w:val="20"/>
                <w:szCs w:val="20"/>
                <w:lang w:eastAsia="en-US"/>
              </w:rPr>
            </w:pPr>
            <w:r w:rsidRPr="00622884">
              <w:rPr>
                <w:rFonts w:ascii="Garamond" w:eastAsia="Calibri" w:hAnsi="Garamond" w:cs="Times New Roman"/>
                <w:b/>
                <w:sz w:val="20"/>
                <w:szCs w:val="20"/>
                <w:lang w:eastAsia="en-US" w:bidi="sq-AL"/>
              </w:rPr>
              <w:t>PVBGJ</w:t>
            </w:r>
          </w:p>
        </w:tc>
        <w:tc>
          <w:tcPr>
            <w:tcW w:w="7757" w:type="dxa"/>
          </w:tcPr>
          <w:p w14:paraId="0C8D45AF" w14:textId="77777777" w:rsidR="00622884" w:rsidRPr="00622884" w:rsidRDefault="00622884" w:rsidP="00622884">
            <w:pPr>
              <w:spacing w:after="0" w:line="240" w:lineRule="auto"/>
              <w:jc w:val="left"/>
              <w:rPr>
                <w:rFonts w:ascii="Garamond" w:eastAsia="Calibri" w:hAnsi="Garamond" w:cs="Calibri Light"/>
                <w:sz w:val="20"/>
                <w:szCs w:val="20"/>
                <w:lang w:eastAsia="en-US"/>
              </w:rPr>
            </w:pPr>
            <w:r w:rsidRPr="00622884">
              <w:rPr>
                <w:rFonts w:ascii="Garamond" w:eastAsia="Calibri" w:hAnsi="Garamond" w:cs="Times New Roman"/>
                <w:sz w:val="20"/>
                <w:szCs w:val="20"/>
                <w:lang w:eastAsia="en-US" w:bidi="sq-AL"/>
              </w:rPr>
              <w:t>Plani i Veprimit për Barazinë Gjinore</w:t>
            </w:r>
          </w:p>
        </w:tc>
      </w:tr>
      <w:tr w:rsidR="00622884" w:rsidRPr="00622884" w14:paraId="01FEF982" w14:textId="77777777" w:rsidTr="00622884">
        <w:tc>
          <w:tcPr>
            <w:tcW w:w="1269" w:type="dxa"/>
          </w:tcPr>
          <w:p w14:paraId="63E08C00" w14:textId="77777777" w:rsidR="00622884" w:rsidRPr="00622884" w:rsidRDefault="00622884" w:rsidP="00622884">
            <w:pPr>
              <w:spacing w:after="0" w:line="240" w:lineRule="auto"/>
              <w:jc w:val="left"/>
              <w:rPr>
                <w:rFonts w:ascii="Garamond" w:eastAsia="Calibri" w:hAnsi="Garamond" w:cs="Calibri Light"/>
                <w:b/>
                <w:bCs/>
                <w:sz w:val="20"/>
                <w:szCs w:val="20"/>
                <w:lang w:eastAsia="en-US"/>
              </w:rPr>
            </w:pPr>
            <w:r w:rsidRPr="00622884">
              <w:rPr>
                <w:rFonts w:ascii="Garamond" w:eastAsia="Calibri" w:hAnsi="Garamond" w:cs="Times New Roman"/>
                <w:b/>
                <w:sz w:val="20"/>
                <w:szCs w:val="20"/>
                <w:lang w:eastAsia="en-US" w:bidi="sq-AL"/>
              </w:rPr>
              <w:t>RDT</w:t>
            </w:r>
          </w:p>
        </w:tc>
        <w:tc>
          <w:tcPr>
            <w:tcW w:w="7757" w:type="dxa"/>
          </w:tcPr>
          <w:p w14:paraId="3867D263" w14:textId="77777777" w:rsidR="00622884" w:rsidRPr="00622884" w:rsidRDefault="00622884" w:rsidP="00622884">
            <w:pPr>
              <w:spacing w:after="0" w:line="240" w:lineRule="auto"/>
              <w:jc w:val="left"/>
              <w:rPr>
                <w:rFonts w:ascii="Garamond" w:eastAsia="Calibri" w:hAnsi="Garamond" w:cs="Calibri Light"/>
                <w:sz w:val="20"/>
                <w:szCs w:val="20"/>
                <w:lang w:eastAsia="en-US"/>
              </w:rPr>
            </w:pPr>
            <w:r w:rsidRPr="00622884">
              <w:rPr>
                <w:rFonts w:ascii="Garamond" w:eastAsia="Calibri" w:hAnsi="Garamond" w:cs="Times New Roman"/>
                <w:sz w:val="20"/>
                <w:szCs w:val="20"/>
                <w:lang w:eastAsia="en-US" w:bidi="sq-AL"/>
              </w:rPr>
              <w:t>Raportet Dyvjeçare të Transparencës</w:t>
            </w:r>
          </w:p>
        </w:tc>
      </w:tr>
      <w:tr w:rsidR="00622884" w:rsidRPr="00622884" w14:paraId="12E9E2D2" w14:textId="77777777" w:rsidTr="00622884">
        <w:tc>
          <w:tcPr>
            <w:tcW w:w="1269" w:type="dxa"/>
          </w:tcPr>
          <w:p w14:paraId="2DB6A607" w14:textId="77777777" w:rsidR="00622884" w:rsidRPr="00622884" w:rsidRDefault="00622884" w:rsidP="00622884">
            <w:pPr>
              <w:spacing w:after="0" w:line="240" w:lineRule="auto"/>
              <w:jc w:val="left"/>
              <w:rPr>
                <w:rFonts w:ascii="Garamond" w:eastAsia="Calibri" w:hAnsi="Garamond" w:cs="Calibri Light"/>
                <w:b/>
                <w:bCs/>
                <w:sz w:val="20"/>
                <w:szCs w:val="20"/>
                <w:lang w:eastAsia="en-US"/>
              </w:rPr>
            </w:pPr>
            <w:r w:rsidRPr="00622884">
              <w:rPr>
                <w:rFonts w:ascii="Garamond" w:eastAsia="Calibri" w:hAnsi="Garamond" w:cs="Times New Roman"/>
                <w:b/>
                <w:sz w:val="20"/>
                <w:szCs w:val="20"/>
                <w:lang w:eastAsia="en-US" w:bidi="sq-AL"/>
              </w:rPr>
              <w:t>RGJP</w:t>
            </w:r>
          </w:p>
        </w:tc>
        <w:tc>
          <w:tcPr>
            <w:tcW w:w="7757" w:type="dxa"/>
          </w:tcPr>
          <w:p w14:paraId="530C1E0E" w14:textId="77777777" w:rsidR="00622884" w:rsidRPr="00622884" w:rsidRDefault="00622884" w:rsidP="00622884">
            <w:pPr>
              <w:spacing w:after="0" w:line="240" w:lineRule="auto"/>
              <w:jc w:val="left"/>
              <w:rPr>
                <w:rFonts w:ascii="Garamond" w:eastAsia="Calibri" w:hAnsi="Garamond" w:cs="Calibri Light"/>
                <w:sz w:val="20"/>
                <w:szCs w:val="20"/>
                <w:lang w:eastAsia="en-US"/>
              </w:rPr>
            </w:pPr>
            <w:r w:rsidRPr="00622884">
              <w:rPr>
                <w:rFonts w:ascii="Garamond" w:eastAsia="Calibri" w:hAnsi="Garamond" w:cs="Times New Roman"/>
                <w:sz w:val="20"/>
                <w:szCs w:val="20"/>
                <w:lang w:eastAsia="en-US" w:bidi="sq-AL"/>
              </w:rPr>
              <w:t>Raporti Gjashtëmujor i Përditësimit (në kuadër të UNFCCC-së)</w:t>
            </w:r>
          </w:p>
        </w:tc>
      </w:tr>
      <w:tr w:rsidR="00622884" w:rsidRPr="00622884" w14:paraId="00E7FB00" w14:textId="77777777" w:rsidTr="00622884">
        <w:tc>
          <w:tcPr>
            <w:tcW w:w="1269" w:type="dxa"/>
          </w:tcPr>
          <w:p w14:paraId="31AF3CB3" w14:textId="77777777" w:rsidR="00622884" w:rsidRPr="00622884" w:rsidRDefault="00622884" w:rsidP="00622884">
            <w:pPr>
              <w:spacing w:after="0" w:line="240" w:lineRule="auto"/>
              <w:jc w:val="left"/>
              <w:rPr>
                <w:rFonts w:ascii="Garamond" w:eastAsia="Calibri" w:hAnsi="Garamond" w:cs="Calibri Light"/>
                <w:b/>
                <w:bCs/>
                <w:sz w:val="20"/>
                <w:szCs w:val="20"/>
                <w:lang w:eastAsia="en-US"/>
              </w:rPr>
            </w:pPr>
            <w:r w:rsidRPr="00622884">
              <w:rPr>
                <w:rFonts w:ascii="Garamond" w:eastAsia="Calibri" w:hAnsi="Garamond" w:cs="Times New Roman"/>
                <w:b/>
                <w:sz w:val="20"/>
                <w:szCs w:val="20"/>
                <w:lang w:eastAsia="en-US" w:bidi="sq-AL"/>
              </w:rPr>
              <w:t>RKP</w:t>
            </w:r>
          </w:p>
        </w:tc>
        <w:tc>
          <w:tcPr>
            <w:tcW w:w="7757" w:type="dxa"/>
          </w:tcPr>
          <w:p w14:paraId="2AB87186" w14:textId="77777777" w:rsidR="00622884" w:rsidRPr="00622884" w:rsidRDefault="00622884" w:rsidP="00622884">
            <w:pPr>
              <w:spacing w:after="0" w:line="240" w:lineRule="auto"/>
              <w:jc w:val="left"/>
              <w:rPr>
                <w:rFonts w:ascii="Garamond" w:eastAsia="Calibri" w:hAnsi="Garamond" w:cs="Calibri Light"/>
                <w:sz w:val="20"/>
                <w:szCs w:val="20"/>
                <w:lang w:eastAsia="en-US"/>
              </w:rPr>
            </w:pPr>
            <w:r w:rsidRPr="00622884">
              <w:rPr>
                <w:rFonts w:ascii="Garamond" w:eastAsia="Calibri" w:hAnsi="Garamond" w:cs="Times New Roman"/>
                <w:sz w:val="20"/>
                <w:szCs w:val="20"/>
                <w:lang w:eastAsia="en-US" w:bidi="sq-AL"/>
              </w:rPr>
              <w:t>Raporti kosto-përfitim</w:t>
            </w:r>
          </w:p>
        </w:tc>
      </w:tr>
      <w:tr w:rsidR="00622884" w:rsidRPr="00622884" w14:paraId="0ABDE73F" w14:textId="77777777" w:rsidTr="00622884">
        <w:tc>
          <w:tcPr>
            <w:tcW w:w="1269" w:type="dxa"/>
          </w:tcPr>
          <w:p w14:paraId="5E94CFE4" w14:textId="77777777" w:rsidR="00622884" w:rsidRPr="00622884" w:rsidRDefault="00622884" w:rsidP="00622884">
            <w:pPr>
              <w:spacing w:after="0" w:line="240" w:lineRule="auto"/>
              <w:jc w:val="left"/>
              <w:rPr>
                <w:rFonts w:ascii="Garamond" w:eastAsia="Calibri" w:hAnsi="Garamond" w:cs="Calibri Light"/>
                <w:b/>
                <w:bCs/>
                <w:sz w:val="20"/>
                <w:szCs w:val="20"/>
                <w:lang w:eastAsia="en-US"/>
              </w:rPr>
            </w:pPr>
            <w:r w:rsidRPr="00622884">
              <w:rPr>
                <w:rFonts w:ascii="Garamond" w:eastAsia="Calibri" w:hAnsi="Garamond" w:cs="Times New Roman"/>
                <w:b/>
                <w:sz w:val="20"/>
                <w:szCs w:val="20"/>
                <w:lang w:eastAsia="en-US" w:bidi="sq-AL"/>
              </w:rPr>
              <w:t>RRK</w:t>
            </w:r>
          </w:p>
        </w:tc>
        <w:tc>
          <w:tcPr>
            <w:tcW w:w="7757" w:type="dxa"/>
          </w:tcPr>
          <w:p w14:paraId="0DF85412" w14:textId="77777777" w:rsidR="00622884" w:rsidRPr="00622884" w:rsidRDefault="00622884" w:rsidP="00622884">
            <w:pPr>
              <w:spacing w:after="0" w:line="240" w:lineRule="auto"/>
              <w:jc w:val="left"/>
              <w:rPr>
                <w:rFonts w:ascii="Garamond" w:eastAsia="Calibri" w:hAnsi="Garamond" w:cs="Calibri Light"/>
                <w:sz w:val="20"/>
                <w:szCs w:val="20"/>
                <w:lang w:eastAsia="en-US"/>
              </w:rPr>
            </w:pPr>
            <w:r w:rsidRPr="00622884">
              <w:rPr>
                <w:rFonts w:ascii="Garamond" w:eastAsia="Calibri" w:hAnsi="Garamond" w:cs="Times New Roman"/>
                <w:sz w:val="20"/>
                <w:szCs w:val="20"/>
                <w:lang w:eastAsia="en-US" w:bidi="sq-AL"/>
              </w:rPr>
              <w:t>Rrethanat kombëtare (raport në kuadër të UNFCCC-së)</w:t>
            </w:r>
          </w:p>
        </w:tc>
      </w:tr>
      <w:tr w:rsidR="00622884" w:rsidRPr="00622884" w14:paraId="01FA562E" w14:textId="77777777" w:rsidTr="00622884">
        <w:tc>
          <w:tcPr>
            <w:tcW w:w="1269" w:type="dxa"/>
          </w:tcPr>
          <w:p w14:paraId="325D11E9" w14:textId="77777777" w:rsidR="00622884" w:rsidRPr="00622884" w:rsidRDefault="00622884" w:rsidP="00622884">
            <w:pPr>
              <w:spacing w:after="0" w:line="240" w:lineRule="auto"/>
              <w:jc w:val="left"/>
              <w:rPr>
                <w:rFonts w:ascii="Garamond" w:eastAsia="Calibri" w:hAnsi="Garamond" w:cs="Calibri Light"/>
                <w:b/>
                <w:bCs/>
                <w:sz w:val="20"/>
                <w:szCs w:val="20"/>
                <w:lang w:eastAsia="en-US"/>
              </w:rPr>
            </w:pPr>
            <w:r w:rsidRPr="00622884">
              <w:rPr>
                <w:rFonts w:ascii="Garamond" w:eastAsia="Calibri" w:hAnsi="Garamond" w:cs="Times New Roman"/>
                <w:b/>
                <w:sz w:val="20"/>
                <w:szCs w:val="20"/>
                <w:lang w:eastAsia="en-US" w:bidi="sq-AL"/>
              </w:rPr>
              <w:t>RRND</w:t>
            </w:r>
          </w:p>
        </w:tc>
        <w:tc>
          <w:tcPr>
            <w:tcW w:w="7757" w:type="dxa"/>
          </w:tcPr>
          <w:p w14:paraId="3784F010" w14:textId="77777777" w:rsidR="00622884" w:rsidRPr="00622884" w:rsidRDefault="00622884" w:rsidP="00622884">
            <w:pPr>
              <w:spacing w:after="0" w:line="240" w:lineRule="auto"/>
              <w:jc w:val="left"/>
              <w:rPr>
                <w:rFonts w:ascii="Garamond" w:eastAsia="Calibri" w:hAnsi="Garamond" w:cs="Calibri Light"/>
                <w:sz w:val="20"/>
                <w:szCs w:val="20"/>
                <w:lang w:eastAsia="en-US"/>
              </w:rPr>
            </w:pPr>
            <w:r w:rsidRPr="00622884">
              <w:rPr>
                <w:rFonts w:ascii="Garamond" w:eastAsia="Calibri" w:hAnsi="Garamond" w:cs="Times New Roman"/>
                <w:sz w:val="20"/>
                <w:szCs w:val="20"/>
                <w:lang w:eastAsia="en-US" w:bidi="sq-AL"/>
              </w:rPr>
              <w:t>Rritja e nivelit të detit</w:t>
            </w:r>
          </w:p>
        </w:tc>
      </w:tr>
      <w:tr w:rsidR="00622884" w:rsidRPr="00622884" w14:paraId="009673EE" w14:textId="77777777" w:rsidTr="00622884">
        <w:tc>
          <w:tcPr>
            <w:tcW w:w="1269" w:type="dxa"/>
          </w:tcPr>
          <w:p w14:paraId="7BC8D74F" w14:textId="77777777" w:rsidR="00622884" w:rsidRPr="00622884" w:rsidRDefault="00622884" w:rsidP="00622884">
            <w:pPr>
              <w:spacing w:after="0" w:line="240" w:lineRule="auto"/>
              <w:jc w:val="left"/>
              <w:rPr>
                <w:rFonts w:ascii="Garamond" w:eastAsia="Calibri" w:hAnsi="Garamond" w:cs="Calibri Light"/>
                <w:b/>
                <w:bCs/>
                <w:sz w:val="20"/>
                <w:szCs w:val="20"/>
                <w:lang w:eastAsia="en-US"/>
              </w:rPr>
            </w:pPr>
            <w:r w:rsidRPr="00622884">
              <w:rPr>
                <w:rFonts w:ascii="Garamond" w:eastAsia="Calibri" w:hAnsi="Garamond" w:cs="Times New Roman"/>
                <w:b/>
                <w:sz w:val="20"/>
                <w:szCs w:val="20"/>
                <w:lang w:eastAsia="en-US" w:bidi="sq-AL"/>
              </w:rPr>
              <w:t>SIP</w:t>
            </w:r>
          </w:p>
        </w:tc>
        <w:tc>
          <w:tcPr>
            <w:tcW w:w="7757" w:type="dxa"/>
          </w:tcPr>
          <w:p w14:paraId="62F8DF2C" w14:textId="77777777" w:rsidR="00622884" w:rsidRPr="00622884" w:rsidRDefault="00622884" w:rsidP="00622884">
            <w:pPr>
              <w:spacing w:after="0" w:line="240" w:lineRule="auto"/>
              <w:jc w:val="left"/>
              <w:rPr>
                <w:rFonts w:ascii="Garamond" w:eastAsia="Calibri" w:hAnsi="Garamond" w:cs="Calibri Light"/>
                <w:sz w:val="20"/>
                <w:szCs w:val="20"/>
                <w:lang w:eastAsia="en-US"/>
              </w:rPr>
            </w:pPr>
            <w:r w:rsidRPr="00622884">
              <w:rPr>
                <w:rFonts w:ascii="Garamond" w:eastAsia="Calibri" w:hAnsi="Garamond" w:cs="Times New Roman"/>
                <w:sz w:val="20"/>
                <w:szCs w:val="20"/>
                <w:lang w:eastAsia="en-US" w:bidi="sq-AL"/>
              </w:rPr>
              <w:t>Sistemi i integruar i planifikimit</w:t>
            </w:r>
          </w:p>
        </w:tc>
      </w:tr>
      <w:tr w:rsidR="00622884" w:rsidRPr="00622884" w14:paraId="6AB7A4CA" w14:textId="77777777" w:rsidTr="00622884">
        <w:tc>
          <w:tcPr>
            <w:tcW w:w="1269" w:type="dxa"/>
          </w:tcPr>
          <w:p w14:paraId="26EA15E1" w14:textId="77777777" w:rsidR="00622884" w:rsidRPr="00622884" w:rsidRDefault="00622884" w:rsidP="00622884">
            <w:pPr>
              <w:spacing w:after="0" w:line="240" w:lineRule="auto"/>
              <w:jc w:val="left"/>
              <w:rPr>
                <w:rFonts w:ascii="Garamond" w:eastAsia="Calibri" w:hAnsi="Garamond" w:cs="Calibri Light"/>
                <w:b/>
                <w:bCs/>
                <w:sz w:val="20"/>
                <w:szCs w:val="20"/>
                <w:lang w:eastAsia="en-US"/>
              </w:rPr>
            </w:pPr>
            <w:r w:rsidRPr="00622884">
              <w:rPr>
                <w:rFonts w:ascii="Garamond" w:eastAsia="Calibri" w:hAnsi="Garamond" w:cs="Times New Roman"/>
                <w:b/>
                <w:sz w:val="20"/>
                <w:szCs w:val="20"/>
                <w:lang w:eastAsia="en-US" w:bidi="sq-AL"/>
              </w:rPr>
              <w:t>SKBGJ</w:t>
            </w:r>
          </w:p>
        </w:tc>
        <w:tc>
          <w:tcPr>
            <w:tcW w:w="7757" w:type="dxa"/>
          </w:tcPr>
          <w:p w14:paraId="7D5616DA" w14:textId="77777777" w:rsidR="00622884" w:rsidRPr="00622884" w:rsidRDefault="00622884" w:rsidP="00622884">
            <w:pPr>
              <w:spacing w:after="0" w:line="240" w:lineRule="auto"/>
              <w:jc w:val="left"/>
              <w:rPr>
                <w:rFonts w:ascii="Garamond" w:eastAsia="Calibri" w:hAnsi="Garamond" w:cs="Calibri Light"/>
                <w:sz w:val="20"/>
                <w:szCs w:val="20"/>
                <w:lang w:eastAsia="en-US"/>
              </w:rPr>
            </w:pPr>
            <w:r w:rsidRPr="00622884">
              <w:rPr>
                <w:rFonts w:ascii="Garamond" w:eastAsia="Calibri" w:hAnsi="Garamond" w:cs="Times New Roman"/>
                <w:sz w:val="20"/>
                <w:szCs w:val="20"/>
                <w:lang w:eastAsia="en-US" w:bidi="sq-AL"/>
              </w:rPr>
              <w:t>Strategjia Kombëtare për Barazinë Gjinore</w:t>
            </w:r>
          </w:p>
        </w:tc>
      </w:tr>
      <w:tr w:rsidR="00622884" w:rsidRPr="00622884" w14:paraId="7B7B2B10" w14:textId="77777777" w:rsidTr="00622884">
        <w:tc>
          <w:tcPr>
            <w:tcW w:w="1269" w:type="dxa"/>
          </w:tcPr>
          <w:p w14:paraId="2239B7B8" w14:textId="77777777" w:rsidR="00622884" w:rsidRPr="00622884" w:rsidRDefault="00622884" w:rsidP="00622884">
            <w:pPr>
              <w:spacing w:after="0" w:line="240" w:lineRule="auto"/>
              <w:jc w:val="left"/>
              <w:rPr>
                <w:rFonts w:ascii="Garamond" w:eastAsia="Calibri" w:hAnsi="Garamond" w:cs="Calibri Light"/>
                <w:b/>
                <w:bCs/>
                <w:sz w:val="20"/>
                <w:szCs w:val="20"/>
                <w:lang w:eastAsia="en-US"/>
              </w:rPr>
            </w:pPr>
            <w:r w:rsidRPr="00622884">
              <w:rPr>
                <w:rFonts w:ascii="Garamond" w:eastAsia="Calibri" w:hAnsi="Garamond" w:cs="Times New Roman"/>
                <w:b/>
                <w:sz w:val="20"/>
                <w:szCs w:val="20"/>
                <w:lang w:eastAsia="en-US" w:bidi="sq-AL"/>
              </w:rPr>
              <w:t>SKNK</w:t>
            </w:r>
          </w:p>
        </w:tc>
        <w:tc>
          <w:tcPr>
            <w:tcW w:w="7757" w:type="dxa"/>
          </w:tcPr>
          <w:p w14:paraId="1B49DB9F" w14:textId="77777777" w:rsidR="00622884" w:rsidRPr="00622884" w:rsidRDefault="00622884" w:rsidP="00622884">
            <w:pPr>
              <w:spacing w:after="0" w:line="240" w:lineRule="auto"/>
              <w:jc w:val="left"/>
              <w:rPr>
                <w:rFonts w:ascii="Garamond" w:eastAsia="Calibri" w:hAnsi="Garamond" w:cs="Calibri Light"/>
                <w:sz w:val="20"/>
                <w:szCs w:val="20"/>
                <w:lang w:eastAsia="en-US"/>
              </w:rPr>
            </w:pPr>
            <w:r w:rsidRPr="00622884">
              <w:rPr>
                <w:rFonts w:ascii="Garamond" w:eastAsia="Calibri" w:hAnsi="Garamond" w:cs="Times New Roman"/>
                <w:sz w:val="20"/>
                <w:szCs w:val="20"/>
                <w:lang w:eastAsia="en-US" w:bidi="sq-AL"/>
              </w:rPr>
              <w:t>Strategjia Kombëtare për Ndryshimet Klimatike</w:t>
            </w:r>
          </w:p>
        </w:tc>
      </w:tr>
      <w:tr w:rsidR="00622884" w:rsidRPr="00622884" w14:paraId="2E1A6B29" w14:textId="77777777" w:rsidTr="00622884">
        <w:tc>
          <w:tcPr>
            <w:tcW w:w="1269" w:type="dxa"/>
          </w:tcPr>
          <w:p w14:paraId="3F300FE1" w14:textId="77777777" w:rsidR="00622884" w:rsidRPr="00622884" w:rsidRDefault="00622884" w:rsidP="00622884">
            <w:pPr>
              <w:spacing w:after="0" w:line="240" w:lineRule="auto"/>
              <w:jc w:val="left"/>
              <w:rPr>
                <w:rFonts w:ascii="Garamond" w:eastAsia="Calibri" w:hAnsi="Garamond" w:cs="Calibri Light"/>
                <w:b/>
                <w:bCs/>
                <w:sz w:val="20"/>
                <w:szCs w:val="20"/>
                <w:lang w:eastAsia="en-US"/>
              </w:rPr>
            </w:pPr>
            <w:r w:rsidRPr="00622884">
              <w:rPr>
                <w:rFonts w:ascii="Garamond" w:eastAsia="Calibri" w:hAnsi="Garamond" w:cs="Times New Roman"/>
                <w:b/>
                <w:sz w:val="20"/>
                <w:szCs w:val="20"/>
                <w:lang w:eastAsia="en-US" w:bidi="sq-AL"/>
              </w:rPr>
              <w:t>SKP</w:t>
            </w:r>
          </w:p>
        </w:tc>
        <w:tc>
          <w:tcPr>
            <w:tcW w:w="7757" w:type="dxa"/>
          </w:tcPr>
          <w:p w14:paraId="31DE0960" w14:textId="77777777" w:rsidR="00622884" w:rsidRPr="00622884" w:rsidRDefault="00622884" w:rsidP="00622884">
            <w:pPr>
              <w:spacing w:after="0" w:line="240" w:lineRule="auto"/>
              <w:jc w:val="left"/>
              <w:rPr>
                <w:rFonts w:ascii="Garamond" w:eastAsia="Calibri" w:hAnsi="Garamond" w:cs="Calibri Light"/>
                <w:sz w:val="20"/>
                <w:szCs w:val="20"/>
                <w:lang w:eastAsia="en-US"/>
              </w:rPr>
            </w:pPr>
            <w:r w:rsidRPr="00622884">
              <w:rPr>
                <w:rFonts w:ascii="Garamond" w:eastAsia="Calibri" w:hAnsi="Garamond" w:cs="Times New Roman"/>
                <w:sz w:val="20"/>
                <w:szCs w:val="20"/>
                <w:lang w:eastAsia="en-US" w:bidi="sq-AL"/>
              </w:rPr>
              <w:t>Strategjia Kombëtare e Përshtatjes</w:t>
            </w:r>
          </w:p>
        </w:tc>
      </w:tr>
      <w:tr w:rsidR="00622884" w:rsidRPr="00622884" w14:paraId="0F236F25" w14:textId="77777777" w:rsidTr="00622884">
        <w:tc>
          <w:tcPr>
            <w:tcW w:w="1269" w:type="dxa"/>
          </w:tcPr>
          <w:p w14:paraId="468DE214" w14:textId="77777777" w:rsidR="00622884" w:rsidRPr="00622884" w:rsidRDefault="00622884" w:rsidP="00622884">
            <w:pPr>
              <w:spacing w:after="0" w:line="240" w:lineRule="auto"/>
              <w:jc w:val="left"/>
              <w:rPr>
                <w:rFonts w:ascii="Garamond" w:eastAsia="Calibri" w:hAnsi="Garamond" w:cs="Calibri Light"/>
                <w:b/>
                <w:bCs/>
                <w:sz w:val="20"/>
                <w:szCs w:val="20"/>
                <w:lang w:eastAsia="en-US"/>
              </w:rPr>
            </w:pPr>
            <w:r w:rsidRPr="00622884">
              <w:rPr>
                <w:rFonts w:ascii="Garamond" w:eastAsia="Calibri" w:hAnsi="Garamond" w:cs="Times New Roman"/>
                <w:b/>
                <w:sz w:val="20"/>
                <w:szCs w:val="20"/>
                <w:lang w:eastAsia="en-US" w:bidi="sq-AL"/>
              </w:rPr>
              <w:lastRenderedPageBreak/>
              <w:t>SKZHI</w:t>
            </w:r>
          </w:p>
        </w:tc>
        <w:tc>
          <w:tcPr>
            <w:tcW w:w="7757" w:type="dxa"/>
          </w:tcPr>
          <w:p w14:paraId="4C26FF78" w14:textId="77777777" w:rsidR="00622884" w:rsidRPr="00622884" w:rsidRDefault="00622884" w:rsidP="00622884">
            <w:pPr>
              <w:spacing w:after="0" w:line="240" w:lineRule="auto"/>
              <w:jc w:val="left"/>
              <w:rPr>
                <w:rFonts w:ascii="Garamond" w:eastAsia="Calibri" w:hAnsi="Garamond" w:cs="Calibri Light"/>
                <w:sz w:val="20"/>
                <w:szCs w:val="20"/>
                <w:lang w:eastAsia="en-US"/>
              </w:rPr>
            </w:pPr>
            <w:r w:rsidRPr="00622884">
              <w:rPr>
                <w:rFonts w:ascii="Garamond" w:eastAsia="Calibri" w:hAnsi="Garamond" w:cs="Times New Roman"/>
                <w:sz w:val="20"/>
                <w:szCs w:val="20"/>
                <w:lang w:eastAsia="en-US" w:bidi="sq-AL"/>
              </w:rPr>
              <w:t>Strategjitë Kombëtare për Zhvillim dhe Integrim</w:t>
            </w:r>
            <w:r w:rsidRPr="00622884">
              <w:rPr>
                <w:rFonts w:ascii="Garamond" w:eastAsia="Calibri" w:hAnsi="Garamond" w:cs="Times New Roman"/>
                <w:sz w:val="20"/>
                <w:szCs w:val="20"/>
                <w:vertAlign w:val="superscript"/>
                <w:lang w:eastAsia="en-US" w:bidi="sq-AL"/>
              </w:rPr>
              <w:footnoteReference w:id="92"/>
            </w:r>
          </w:p>
        </w:tc>
      </w:tr>
      <w:tr w:rsidR="00622884" w:rsidRPr="00622884" w14:paraId="367B74A0" w14:textId="77777777" w:rsidTr="00622884">
        <w:tc>
          <w:tcPr>
            <w:tcW w:w="1269" w:type="dxa"/>
          </w:tcPr>
          <w:p w14:paraId="5D6B9C08" w14:textId="77777777" w:rsidR="00622884" w:rsidRPr="00622884" w:rsidRDefault="00622884" w:rsidP="00622884">
            <w:pPr>
              <w:spacing w:after="0" w:line="240" w:lineRule="auto"/>
              <w:jc w:val="left"/>
              <w:rPr>
                <w:rFonts w:ascii="Garamond" w:eastAsia="Calibri" w:hAnsi="Garamond" w:cs="Calibri Light"/>
                <w:b/>
                <w:bCs/>
                <w:sz w:val="20"/>
                <w:szCs w:val="20"/>
                <w:lang w:eastAsia="en-US"/>
              </w:rPr>
            </w:pPr>
            <w:r w:rsidRPr="00622884">
              <w:rPr>
                <w:rFonts w:ascii="Garamond" w:eastAsia="Calibri" w:hAnsi="Garamond" w:cs="Times New Roman"/>
                <w:b/>
                <w:sz w:val="20"/>
                <w:szCs w:val="20"/>
                <w:lang w:eastAsia="en-US" w:bidi="sq-AL"/>
              </w:rPr>
              <w:t>SKZHIE</w:t>
            </w:r>
          </w:p>
        </w:tc>
        <w:tc>
          <w:tcPr>
            <w:tcW w:w="7757" w:type="dxa"/>
          </w:tcPr>
          <w:p w14:paraId="044DC497" w14:textId="77777777" w:rsidR="00622884" w:rsidRPr="00622884" w:rsidRDefault="00622884" w:rsidP="00622884">
            <w:pPr>
              <w:spacing w:after="0" w:line="240" w:lineRule="auto"/>
              <w:jc w:val="left"/>
              <w:rPr>
                <w:rFonts w:ascii="Garamond" w:eastAsia="Calibri" w:hAnsi="Garamond" w:cs="Calibri Light"/>
                <w:sz w:val="20"/>
                <w:szCs w:val="20"/>
                <w:lang w:eastAsia="en-US"/>
              </w:rPr>
            </w:pPr>
            <w:r w:rsidRPr="00622884">
              <w:rPr>
                <w:rFonts w:ascii="Garamond" w:eastAsia="Calibri" w:hAnsi="Garamond" w:cs="Times New Roman"/>
                <w:sz w:val="20"/>
                <w:szCs w:val="20"/>
                <w:lang w:eastAsia="en-US" w:bidi="sq-AL"/>
              </w:rPr>
              <w:t>Strategjia Kombëtare për Zhvillim dhe Integrim Evropian</w:t>
            </w:r>
          </w:p>
        </w:tc>
      </w:tr>
      <w:tr w:rsidR="00622884" w:rsidRPr="00622884" w14:paraId="5FC1E7EE" w14:textId="77777777" w:rsidTr="00622884">
        <w:tc>
          <w:tcPr>
            <w:tcW w:w="1269" w:type="dxa"/>
          </w:tcPr>
          <w:p w14:paraId="3935F890" w14:textId="77777777" w:rsidR="00622884" w:rsidRPr="00622884" w:rsidRDefault="00622884" w:rsidP="00622884">
            <w:pPr>
              <w:spacing w:after="0" w:line="240" w:lineRule="auto"/>
              <w:jc w:val="left"/>
              <w:rPr>
                <w:rFonts w:ascii="Garamond" w:eastAsia="Calibri" w:hAnsi="Garamond" w:cs="Calibri Light"/>
                <w:b/>
                <w:bCs/>
                <w:sz w:val="20"/>
                <w:szCs w:val="20"/>
                <w:lang w:eastAsia="en-US"/>
              </w:rPr>
            </w:pPr>
            <w:r w:rsidRPr="00622884">
              <w:rPr>
                <w:rFonts w:ascii="Garamond" w:eastAsia="Calibri" w:hAnsi="Garamond" w:cs="Times New Roman"/>
                <w:b/>
                <w:sz w:val="20"/>
                <w:szCs w:val="20"/>
                <w:lang w:eastAsia="en-US" w:bidi="sq-AL"/>
              </w:rPr>
              <w:t xml:space="preserve">SPP </w:t>
            </w:r>
          </w:p>
        </w:tc>
        <w:tc>
          <w:tcPr>
            <w:tcW w:w="7757" w:type="dxa"/>
          </w:tcPr>
          <w:p w14:paraId="668D8F5E" w14:textId="77777777" w:rsidR="00622884" w:rsidRPr="00622884" w:rsidRDefault="00622884" w:rsidP="00622884">
            <w:pPr>
              <w:spacing w:after="0" w:line="240" w:lineRule="auto"/>
              <w:jc w:val="left"/>
              <w:rPr>
                <w:rFonts w:ascii="Garamond" w:eastAsia="Calibri" w:hAnsi="Garamond" w:cs="Calibri Light"/>
                <w:sz w:val="20"/>
                <w:szCs w:val="20"/>
                <w:lang w:eastAsia="en-US"/>
              </w:rPr>
            </w:pPr>
            <w:r w:rsidRPr="00622884">
              <w:rPr>
                <w:rFonts w:ascii="Garamond" w:eastAsia="Calibri" w:hAnsi="Garamond" w:cs="Times New Roman"/>
                <w:sz w:val="20"/>
                <w:szCs w:val="20"/>
                <w:lang w:eastAsia="en-US" w:bidi="sq-AL"/>
              </w:rPr>
              <w:t>Skenarët përfaqësues të përqendrimit </w:t>
            </w:r>
          </w:p>
        </w:tc>
      </w:tr>
      <w:tr w:rsidR="00622884" w:rsidRPr="00622884" w14:paraId="7A7FFFEC" w14:textId="77777777" w:rsidTr="00622884">
        <w:tc>
          <w:tcPr>
            <w:tcW w:w="1269" w:type="dxa"/>
          </w:tcPr>
          <w:p w14:paraId="2CEB8D0C" w14:textId="77777777" w:rsidR="00622884" w:rsidRPr="00622884" w:rsidRDefault="00622884" w:rsidP="00622884">
            <w:pPr>
              <w:spacing w:after="0" w:line="240" w:lineRule="auto"/>
              <w:jc w:val="left"/>
              <w:rPr>
                <w:rFonts w:ascii="Garamond" w:eastAsia="Calibri" w:hAnsi="Garamond" w:cs="Calibri Light"/>
                <w:b/>
                <w:bCs/>
                <w:sz w:val="20"/>
                <w:szCs w:val="20"/>
                <w:lang w:eastAsia="en-US"/>
              </w:rPr>
            </w:pPr>
            <w:r w:rsidRPr="00622884">
              <w:rPr>
                <w:rFonts w:ascii="Garamond" w:eastAsia="Calibri" w:hAnsi="Garamond" w:cs="Times New Roman"/>
                <w:b/>
                <w:sz w:val="20"/>
                <w:szCs w:val="20"/>
                <w:lang w:eastAsia="en-US" w:bidi="sq-AL"/>
              </w:rPr>
              <w:t>SPS</w:t>
            </w:r>
          </w:p>
        </w:tc>
        <w:tc>
          <w:tcPr>
            <w:tcW w:w="7757" w:type="dxa"/>
          </w:tcPr>
          <w:p w14:paraId="638EDB4D" w14:textId="77777777" w:rsidR="00622884" w:rsidRPr="00622884" w:rsidRDefault="00622884" w:rsidP="00622884">
            <w:pPr>
              <w:spacing w:after="0" w:line="240" w:lineRule="auto"/>
              <w:jc w:val="left"/>
              <w:rPr>
                <w:rFonts w:ascii="Garamond" w:eastAsia="Calibri" w:hAnsi="Garamond" w:cs="Calibri Light"/>
                <w:sz w:val="20"/>
                <w:szCs w:val="20"/>
                <w:lang w:eastAsia="en-US"/>
              </w:rPr>
            </w:pPr>
            <w:r w:rsidRPr="00622884">
              <w:rPr>
                <w:rFonts w:ascii="Garamond" w:eastAsia="Calibri" w:hAnsi="Garamond" w:cs="Times New Roman"/>
                <w:sz w:val="20"/>
                <w:szCs w:val="20"/>
                <w:lang w:eastAsia="en-US" w:bidi="sq-AL"/>
              </w:rPr>
              <w:t>Skenarët e përbashkët socio-ekonomikë</w:t>
            </w:r>
          </w:p>
        </w:tc>
      </w:tr>
      <w:tr w:rsidR="00622884" w:rsidRPr="00622884" w14:paraId="52FD2D04" w14:textId="77777777" w:rsidTr="00622884">
        <w:tc>
          <w:tcPr>
            <w:tcW w:w="1269" w:type="dxa"/>
          </w:tcPr>
          <w:p w14:paraId="1B89F09B" w14:textId="77777777" w:rsidR="00622884" w:rsidRPr="00622884" w:rsidRDefault="00622884" w:rsidP="00622884">
            <w:pPr>
              <w:spacing w:after="0" w:line="240" w:lineRule="auto"/>
              <w:jc w:val="left"/>
              <w:rPr>
                <w:rFonts w:ascii="Garamond" w:eastAsia="Calibri" w:hAnsi="Garamond" w:cs="Calibri Light"/>
                <w:b/>
                <w:bCs/>
                <w:sz w:val="20"/>
                <w:szCs w:val="20"/>
                <w:lang w:eastAsia="en-US"/>
              </w:rPr>
            </w:pPr>
            <w:r w:rsidRPr="00622884">
              <w:rPr>
                <w:rFonts w:ascii="Garamond" w:eastAsia="Calibri" w:hAnsi="Garamond" w:cs="Times New Roman"/>
                <w:b/>
                <w:sz w:val="20"/>
                <w:szCs w:val="20"/>
                <w:lang w:eastAsia="en-US" w:bidi="sq-AL"/>
              </w:rPr>
              <w:t>SRT</w:t>
            </w:r>
          </w:p>
        </w:tc>
        <w:tc>
          <w:tcPr>
            <w:tcW w:w="7757" w:type="dxa"/>
          </w:tcPr>
          <w:p w14:paraId="15E02521" w14:textId="77777777" w:rsidR="00622884" w:rsidRPr="00622884" w:rsidRDefault="00622884" w:rsidP="00622884">
            <w:pPr>
              <w:spacing w:after="0" w:line="240" w:lineRule="auto"/>
              <w:jc w:val="left"/>
              <w:rPr>
                <w:rFonts w:ascii="Garamond" w:eastAsia="Calibri" w:hAnsi="Garamond" w:cs="Calibri Light"/>
                <w:sz w:val="20"/>
                <w:szCs w:val="20"/>
                <w:lang w:eastAsia="en-US"/>
              </w:rPr>
            </w:pPr>
            <w:r w:rsidRPr="00622884">
              <w:rPr>
                <w:rFonts w:ascii="Garamond" w:eastAsia="Calibri" w:hAnsi="Garamond" w:cs="Times New Roman"/>
                <w:sz w:val="20"/>
                <w:szCs w:val="20"/>
                <w:lang w:eastAsia="en-US" w:bidi="sq-AL"/>
              </w:rPr>
              <w:t>Skeda referencë e treguesve</w:t>
            </w:r>
          </w:p>
        </w:tc>
      </w:tr>
      <w:tr w:rsidR="00622884" w:rsidRPr="00622884" w14:paraId="277AF0F5" w14:textId="77777777" w:rsidTr="00622884">
        <w:tc>
          <w:tcPr>
            <w:tcW w:w="1269" w:type="dxa"/>
          </w:tcPr>
          <w:p w14:paraId="55B4DDF9" w14:textId="77777777" w:rsidR="00622884" w:rsidRPr="00622884" w:rsidRDefault="00622884" w:rsidP="00622884">
            <w:pPr>
              <w:spacing w:after="0" w:line="240" w:lineRule="auto"/>
              <w:jc w:val="left"/>
              <w:rPr>
                <w:rFonts w:ascii="Garamond" w:eastAsia="Calibri" w:hAnsi="Garamond" w:cs="Calibri Light"/>
                <w:b/>
                <w:bCs/>
                <w:sz w:val="20"/>
                <w:szCs w:val="20"/>
                <w:lang w:eastAsia="en-US"/>
              </w:rPr>
            </w:pPr>
            <w:r w:rsidRPr="00622884">
              <w:rPr>
                <w:rFonts w:ascii="Garamond" w:eastAsia="Calibri" w:hAnsi="Garamond" w:cs="Times New Roman"/>
                <w:b/>
                <w:sz w:val="20"/>
                <w:szCs w:val="20"/>
                <w:lang w:eastAsia="en-US" w:bidi="sq-AL"/>
              </w:rPr>
              <w:t>TIK-BPO</w:t>
            </w:r>
          </w:p>
        </w:tc>
        <w:tc>
          <w:tcPr>
            <w:tcW w:w="7757" w:type="dxa"/>
          </w:tcPr>
          <w:p w14:paraId="16B48C66" w14:textId="77777777" w:rsidR="00622884" w:rsidRPr="00622884" w:rsidRDefault="00622884" w:rsidP="00622884">
            <w:pPr>
              <w:spacing w:after="0" w:line="240" w:lineRule="auto"/>
              <w:jc w:val="left"/>
              <w:rPr>
                <w:rFonts w:ascii="Garamond" w:eastAsia="Calibri" w:hAnsi="Garamond" w:cs="Calibri Light"/>
                <w:sz w:val="20"/>
                <w:szCs w:val="20"/>
                <w:lang w:eastAsia="en-US"/>
              </w:rPr>
            </w:pPr>
            <w:r w:rsidRPr="00622884">
              <w:rPr>
                <w:rFonts w:ascii="Garamond" w:eastAsia="Calibri" w:hAnsi="Garamond" w:cs="Times New Roman"/>
                <w:sz w:val="20"/>
                <w:szCs w:val="20"/>
                <w:lang w:eastAsia="en-US" w:bidi="sq-AL"/>
              </w:rPr>
              <w:t>Teknologjia e Informacionit dhe Komunikimit 3</w:t>
            </w:r>
          </w:p>
        </w:tc>
      </w:tr>
      <w:tr w:rsidR="00622884" w:rsidRPr="00622884" w14:paraId="2003D85C" w14:textId="77777777" w:rsidTr="00622884">
        <w:tc>
          <w:tcPr>
            <w:tcW w:w="1269" w:type="dxa"/>
          </w:tcPr>
          <w:p w14:paraId="327AC0EB" w14:textId="77777777" w:rsidR="00622884" w:rsidRPr="00622884" w:rsidRDefault="00622884" w:rsidP="00622884">
            <w:pPr>
              <w:spacing w:after="0" w:line="240" w:lineRule="auto"/>
              <w:jc w:val="left"/>
              <w:rPr>
                <w:rFonts w:ascii="Garamond" w:eastAsia="Calibri" w:hAnsi="Garamond" w:cs="Calibri Light"/>
                <w:b/>
                <w:bCs/>
                <w:sz w:val="20"/>
                <w:szCs w:val="20"/>
                <w:lang w:eastAsia="en-US"/>
              </w:rPr>
            </w:pPr>
            <w:r w:rsidRPr="00622884">
              <w:rPr>
                <w:rFonts w:ascii="Garamond" w:eastAsia="Calibri" w:hAnsi="Garamond" w:cs="Times New Roman"/>
                <w:b/>
                <w:sz w:val="20"/>
                <w:szCs w:val="20"/>
                <w:lang w:eastAsia="en-US" w:bidi="sq-AL"/>
              </w:rPr>
              <w:t>UNDP</w:t>
            </w:r>
          </w:p>
        </w:tc>
        <w:tc>
          <w:tcPr>
            <w:tcW w:w="7757" w:type="dxa"/>
          </w:tcPr>
          <w:p w14:paraId="2A47D003" w14:textId="77777777" w:rsidR="00622884" w:rsidRPr="00622884" w:rsidRDefault="00622884" w:rsidP="00622884">
            <w:pPr>
              <w:spacing w:after="0" w:line="240" w:lineRule="auto"/>
              <w:jc w:val="left"/>
              <w:rPr>
                <w:rFonts w:ascii="Garamond" w:eastAsia="Calibri" w:hAnsi="Garamond" w:cs="Calibri Light"/>
                <w:sz w:val="20"/>
                <w:szCs w:val="20"/>
                <w:lang w:eastAsia="en-US"/>
              </w:rPr>
            </w:pPr>
            <w:r w:rsidRPr="00622884">
              <w:rPr>
                <w:rFonts w:ascii="Garamond" w:eastAsia="Calibri" w:hAnsi="Garamond" w:cs="Times New Roman"/>
                <w:sz w:val="20"/>
                <w:szCs w:val="20"/>
                <w:lang w:eastAsia="en-US" w:bidi="sq-AL"/>
              </w:rPr>
              <w:t>Programi i Kombeve të Bashkuara për Zhvillim</w:t>
            </w:r>
          </w:p>
        </w:tc>
      </w:tr>
      <w:tr w:rsidR="00622884" w:rsidRPr="00622884" w14:paraId="71D55FE1" w14:textId="77777777" w:rsidTr="00622884">
        <w:tc>
          <w:tcPr>
            <w:tcW w:w="1269" w:type="dxa"/>
          </w:tcPr>
          <w:p w14:paraId="4E901005" w14:textId="77777777" w:rsidR="00622884" w:rsidRPr="00622884" w:rsidRDefault="00622884" w:rsidP="00622884">
            <w:pPr>
              <w:spacing w:after="0" w:line="240" w:lineRule="auto"/>
              <w:jc w:val="left"/>
              <w:rPr>
                <w:rFonts w:ascii="Garamond" w:eastAsia="Calibri" w:hAnsi="Garamond" w:cs="Calibri Light"/>
                <w:b/>
                <w:bCs/>
                <w:sz w:val="20"/>
                <w:szCs w:val="20"/>
                <w:lang w:eastAsia="en-US"/>
              </w:rPr>
            </w:pPr>
            <w:r w:rsidRPr="00622884">
              <w:rPr>
                <w:rFonts w:ascii="Garamond" w:eastAsia="Calibri" w:hAnsi="Garamond" w:cs="Times New Roman"/>
                <w:b/>
                <w:sz w:val="20"/>
                <w:szCs w:val="20"/>
                <w:lang w:eastAsia="en-US" w:bidi="sq-AL"/>
              </w:rPr>
              <w:t>UNFCCC</w:t>
            </w:r>
          </w:p>
        </w:tc>
        <w:tc>
          <w:tcPr>
            <w:tcW w:w="7757" w:type="dxa"/>
          </w:tcPr>
          <w:p w14:paraId="07C37E6A" w14:textId="77777777" w:rsidR="00622884" w:rsidRPr="00622884" w:rsidRDefault="00622884" w:rsidP="00622884">
            <w:pPr>
              <w:spacing w:after="0" w:line="240" w:lineRule="auto"/>
              <w:jc w:val="left"/>
              <w:rPr>
                <w:rFonts w:ascii="Garamond" w:eastAsia="Calibri" w:hAnsi="Garamond" w:cs="Calibri Light"/>
                <w:sz w:val="20"/>
                <w:szCs w:val="20"/>
                <w:lang w:eastAsia="en-US"/>
              </w:rPr>
            </w:pPr>
            <w:r w:rsidRPr="00622884">
              <w:rPr>
                <w:rFonts w:ascii="Garamond" w:eastAsia="Calibri" w:hAnsi="Garamond" w:cs="Times New Roman"/>
                <w:sz w:val="20"/>
                <w:szCs w:val="20"/>
                <w:lang w:eastAsia="en-US" w:bidi="sq-AL"/>
              </w:rPr>
              <w:t>Konventa Kuadër e Kombeve të Bashkuara për Ndryshimet Klimatike</w:t>
            </w:r>
          </w:p>
        </w:tc>
      </w:tr>
      <w:tr w:rsidR="00622884" w:rsidRPr="00622884" w14:paraId="0B6EF1D0" w14:textId="77777777" w:rsidTr="00622884">
        <w:tc>
          <w:tcPr>
            <w:tcW w:w="1269" w:type="dxa"/>
          </w:tcPr>
          <w:p w14:paraId="21CC1D7F" w14:textId="77777777" w:rsidR="00622884" w:rsidRPr="00622884" w:rsidRDefault="00622884" w:rsidP="00622884">
            <w:pPr>
              <w:spacing w:after="0" w:line="240" w:lineRule="auto"/>
              <w:jc w:val="left"/>
              <w:rPr>
                <w:rFonts w:ascii="Garamond" w:eastAsia="Calibri" w:hAnsi="Garamond" w:cs="Calibri Light"/>
                <w:b/>
                <w:bCs/>
                <w:sz w:val="20"/>
                <w:szCs w:val="20"/>
                <w:lang w:eastAsia="en-US"/>
              </w:rPr>
            </w:pPr>
            <w:r w:rsidRPr="00622884">
              <w:rPr>
                <w:rFonts w:ascii="Garamond" w:eastAsia="Calibri" w:hAnsi="Garamond" w:cs="Times New Roman"/>
                <w:b/>
                <w:sz w:val="20"/>
                <w:szCs w:val="20"/>
                <w:lang w:eastAsia="en-US" w:bidi="sq-AL"/>
              </w:rPr>
              <w:t>VKM</w:t>
            </w:r>
          </w:p>
        </w:tc>
        <w:tc>
          <w:tcPr>
            <w:tcW w:w="7757" w:type="dxa"/>
          </w:tcPr>
          <w:p w14:paraId="2E945433" w14:textId="77777777" w:rsidR="00622884" w:rsidRPr="00622884" w:rsidRDefault="00622884" w:rsidP="00622884">
            <w:pPr>
              <w:spacing w:after="0" w:line="240" w:lineRule="auto"/>
              <w:jc w:val="left"/>
              <w:rPr>
                <w:rFonts w:ascii="Garamond" w:eastAsia="Calibri" w:hAnsi="Garamond" w:cs="Calibri Light"/>
                <w:sz w:val="20"/>
                <w:szCs w:val="20"/>
                <w:lang w:eastAsia="en-US"/>
              </w:rPr>
            </w:pPr>
            <w:r w:rsidRPr="00622884">
              <w:rPr>
                <w:rFonts w:ascii="Garamond" w:eastAsia="Calibri" w:hAnsi="Garamond" w:cs="Times New Roman"/>
                <w:sz w:val="20"/>
                <w:szCs w:val="20"/>
                <w:lang w:eastAsia="en-US" w:bidi="sq-AL"/>
              </w:rPr>
              <w:t>Vendimi i Këshillit të Ministrave</w:t>
            </w:r>
          </w:p>
        </w:tc>
      </w:tr>
      <w:tr w:rsidR="00622884" w:rsidRPr="00622884" w14:paraId="4BCA7AA0" w14:textId="77777777" w:rsidTr="00622884">
        <w:tc>
          <w:tcPr>
            <w:tcW w:w="1269" w:type="dxa"/>
          </w:tcPr>
          <w:p w14:paraId="3A3F5E67" w14:textId="77777777" w:rsidR="00622884" w:rsidRPr="00622884" w:rsidRDefault="00622884" w:rsidP="00622884">
            <w:pPr>
              <w:spacing w:after="0" w:line="240" w:lineRule="auto"/>
              <w:jc w:val="left"/>
              <w:rPr>
                <w:rFonts w:ascii="Garamond" w:eastAsia="Calibri" w:hAnsi="Garamond" w:cs="Calibri Light"/>
                <w:b/>
                <w:bCs/>
                <w:sz w:val="20"/>
                <w:szCs w:val="20"/>
                <w:lang w:eastAsia="en-US"/>
              </w:rPr>
            </w:pPr>
            <w:r w:rsidRPr="00622884">
              <w:rPr>
                <w:rFonts w:ascii="Garamond" w:eastAsia="Calibri" w:hAnsi="Garamond" w:cs="Times New Roman"/>
                <w:b/>
                <w:sz w:val="20"/>
                <w:szCs w:val="20"/>
                <w:lang w:eastAsia="en-US" w:bidi="sq-AL"/>
              </w:rPr>
              <w:t xml:space="preserve">VNA </w:t>
            </w:r>
          </w:p>
        </w:tc>
        <w:tc>
          <w:tcPr>
            <w:tcW w:w="7757" w:type="dxa"/>
          </w:tcPr>
          <w:p w14:paraId="2C1564D8" w14:textId="77777777" w:rsidR="00622884" w:rsidRPr="00622884" w:rsidRDefault="00622884" w:rsidP="00622884">
            <w:pPr>
              <w:spacing w:after="0" w:line="240" w:lineRule="auto"/>
              <w:jc w:val="left"/>
              <w:rPr>
                <w:rFonts w:ascii="Garamond" w:eastAsia="Calibri" w:hAnsi="Garamond" w:cs="Calibri Light"/>
                <w:sz w:val="20"/>
                <w:szCs w:val="20"/>
                <w:lang w:eastAsia="en-US"/>
              </w:rPr>
            </w:pPr>
            <w:r w:rsidRPr="00622884">
              <w:rPr>
                <w:rFonts w:ascii="Garamond" w:eastAsia="Calibri" w:hAnsi="Garamond" w:cs="Times New Roman"/>
                <w:sz w:val="20"/>
                <w:szCs w:val="20"/>
                <w:lang w:eastAsia="en-US" w:bidi="sq-AL"/>
              </w:rPr>
              <w:t>Vlera neto aktuale</w:t>
            </w:r>
          </w:p>
        </w:tc>
      </w:tr>
      <w:tr w:rsidR="00622884" w:rsidRPr="00622884" w14:paraId="5D82C14A" w14:textId="77777777" w:rsidTr="00622884">
        <w:tc>
          <w:tcPr>
            <w:tcW w:w="1269" w:type="dxa"/>
          </w:tcPr>
          <w:p w14:paraId="31CF22E5" w14:textId="77777777" w:rsidR="00622884" w:rsidRPr="00622884" w:rsidRDefault="00622884" w:rsidP="00622884">
            <w:pPr>
              <w:spacing w:after="0" w:line="240" w:lineRule="auto"/>
              <w:jc w:val="left"/>
              <w:rPr>
                <w:rFonts w:ascii="Garamond" w:eastAsia="Calibri" w:hAnsi="Garamond" w:cs="Calibri Light"/>
                <w:b/>
                <w:bCs/>
                <w:sz w:val="20"/>
                <w:szCs w:val="20"/>
                <w:lang w:eastAsia="en-US"/>
              </w:rPr>
            </w:pPr>
            <w:r w:rsidRPr="00622884">
              <w:rPr>
                <w:rFonts w:ascii="Garamond" w:eastAsia="Calibri" w:hAnsi="Garamond" w:cs="Times New Roman"/>
                <w:b/>
                <w:sz w:val="20"/>
                <w:szCs w:val="20"/>
                <w:lang w:eastAsia="en-US" w:bidi="sq-AL"/>
              </w:rPr>
              <w:t>VNM</w:t>
            </w:r>
          </w:p>
        </w:tc>
        <w:tc>
          <w:tcPr>
            <w:tcW w:w="7757" w:type="dxa"/>
          </w:tcPr>
          <w:p w14:paraId="727A6BB4" w14:textId="77777777" w:rsidR="00622884" w:rsidRPr="00622884" w:rsidRDefault="00622884" w:rsidP="00622884">
            <w:pPr>
              <w:spacing w:after="0" w:line="240" w:lineRule="auto"/>
              <w:jc w:val="left"/>
              <w:rPr>
                <w:rFonts w:ascii="Garamond" w:eastAsia="Calibri" w:hAnsi="Garamond" w:cs="Calibri Light"/>
                <w:sz w:val="20"/>
                <w:szCs w:val="20"/>
                <w:lang w:eastAsia="en-US"/>
              </w:rPr>
            </w:pPr>
            <w:r w:rsidRPr="00622884">
              <w:rPr>
                <w:rFonts w:ascii="Garamond" w:eastAsia="Calibri" w:hAnsi="Garamond" w:cs="Times New Roman"/>
                <w:sz w:val="20"/>
                <w:szCs w:val="20"/>
                <w:lang w:eastAsia="en-US" w:bidi="sq-AL"/>
              </w:rPr>
              <w:t>Vlerësimi i ndikimit mjedisor</w:t>
            </w:r>
          </w:p>
        </w:tc>
      </w:tr>
      <w:tr w:rsidR="00622884" w:rsidRPr="00622884" w14:paraId="0684C7AA" w14:textId="77777777" w:rsidTr="00622884">
        <w:tc>
          <w:tcPr>
            <w:tcW w:w="1269" w:type="dxa"/>
          </w:tcPr>
          <w:p w14:paraId="7C3E191C" w14:textId="77777777" w:rsidR="00622884" w:rsidRPr="00622884" w:rsidRDefault="00622884" w:rsidP="00622884">
            <w:pPr>
              <w:spacing w:after="0" w:line="240" w:lineRule="auto"/>
              <w:jc w:val="left"/>
              <w:rPr>
                <w:rFonts w:ascii="Garamond" w:eastAsia="Calibri" w:hAnsi="Garamond" w:cs="Calibri Light"/>
                <w:b/>
                <w:bCs/>
                <w:sz w:val="20"/>
                <w:szCs w:val="20"/>
                <w:lang w:eastAsia="en-US"/>
              </w:rPr>
            </w:pPr>
            <w:r w:rsidRPr="00622884">
              <w:rPr>
                <w:rFonts w:ascii="Garamond" w:eastAsia="Calibri" w:hAnsi="Garamond" w:cs="Times New Roman"/>
                <w:b/>
                <w:sz w:val="20"/>
                <w:szCs w:val="20"/>
                <w:lang w:eastAsia="en-US" w:bidi="sq-AL"/>
              </w:rPr>
              <w:t>VNNK</w:t>
            </w:r>
          </w:p>
        </w:tc>
        <w:tc>
          <w:tcPr>
            <w:tcW w:w="7757" w:type="dxa"/>
          </w:tcPr>
          <w:p w14:paraId="75563038" w14:textId="77777777" w:rsidR="00622884" w:rsidRPr="00622884" w:rsidRDefault="00622884" w:rsidP="00622884">
            <w:pPr>
              <w:spacing w:after="0" w:line="240" w:lineRule="auto"/>
              <w:jc w:val="left"/>
              <w:rPr>
                <w:rFonts w:ascii="Garamond" w:eastAsia="Calibri" w:hAnsi="Garamond" w:cs="Calibri Light"/>
                <w:sz w:val="20"/>
                <w:szCs w:val="20"/>
                <w:lang w:eastAsia="en-US"/>
              </w:rPr>
            </w:pPr>
            <w:r w:rsidRPr="00622884">
              <w:rPr>
                <w:rFonts w:ascii="Garamond" w:eastAsia="Calibri" w:hAnsi="Garamond" w:cs="Times New Roman"/>
                <w:sz w:val="20"/>
                <w:szCs w:val="20"/>
                <w:lang w:eastAsia="en-US" w:bidi="sq-AL"/>
              </w:rPr>
              <w:t>Vlerësimi i nevojave për ngritjen e kapaciteteve</w:t>
            </w:r>
          </w:p>
        </w:tc>
      </w:tr>
      <w:tr w:rsidR="00622884" w:rsidRPr="00622884" w14:paraId="3337495A" w14:textId="77777777" w:rsidTr="00622884">
        <w:tc>
          <w:tcPr>
            <w:tcW w:w="1269" w:type="dxa"/>
          </w:tcPr>
          <w:p w14:paraId="2EEC66DA" w14:textId="77777777" w:rsidR="00622884" w:rsidRPr="00622884" w:rsidRDefault="00622884" w:rsidP="00622884">
            <w:pPr>
              <w:spacing w:after="0" w:line="240" w:lineRule="auto"/>
              <w:jc w:val="left"/>
              <w:rPr>
                <w:rFonts w:ascii="Garamond" w:eastAsia="Calibri" w:hAnsi="Garamond" w:cs="Calibri Light"/>
                <w:b/>
                <w:bCs/>
                <w:sz w:val="20"/>
                <w:szCs w:val="20"/>
                <w:lang w:eastAsia="en-US"/>
              </w:rPr>
            </w:pPr>
            <w:r w:rsidRPr="00622884">
              <w:rPr>
                <w:rFonts w:ascii="Garamond" w:eastAsia="Calibri" w:hAnsi="Garamond" w:cs="Times New Roman"/>
                <w:b/>
                <w:sz w:val="20"/>
                <w:szCs w:val="20"/>
                <w:lang w:eastAsia="en-US" w:bidi="sq-AL"/>
              </w:rPr>
              <w:t xml:space="preserve">VNSE </w:t>
            </w:r>
          </w:p>
        </w:tc>
        <w:tc>
          <w:tcPr>
            <w:tcW w:w="7757" w:type="dxa"/>
          </w:tcPr>
          <w:p w14:paraId="3E328579" w14:textId="77777777" w:rsidR="00622884" w:rsidRPr="00622884" w:rsidRDefault="00622884" w:rsidP="00622884">
            <w:pPr>
              <w:spacing w:after="0" w:line="240" w:lineRule="auto"/>
              <w:jc w:val="left"/>
              <w:rPr>
                <w:rFonts w:ascii="Garamond" w:eastAsia="Calibri" w:hAnsi="Garamond" w:cs="Calibri Light"/>
                <w:sz w:val="20"/>
                <w:szCs w:val="20"/>
                <w:lang w:eastAsia="en-US"/>
              </w:rPr>
            </w:pPr>
            <w:r w:rsidRPr="00622884">
              <w:rPr>
                <w:rFonts w:ascii="Garamond" w:eastAsia="Calibri" w:hAnsi="Garamond" w:cs="Times New Roman"/>
                <w:sz w:val="20"/>
                <w:szCs w:val="20"/>
                <w:lang w:eastAsia="en-US" w:bidi="sq-AL"/>
              </w:rPr>
              <w:t>Vlerësimet e ndikimit socio-ekonomik</w:t>
            </w:r>
          </w:p>
        </w:tc>
      </w:tr>
      <w:tr w:rsidR="00622884" w:rsidRPr="00622884" w14:paraId="4EAEB255" w14:textId="77777777" w:rsidTr="00622884">
        <w:tc>
          <w:tcPr>
            <w:tcW w:w="1269" w:type="dxa"/>
          </w:tcPr>
          <w:p w14:paraId="6B05C5BA" w14:textId="77777777" w:rsidR="00622884" w:rsidRPr="00622884" w:rsidRDefault="00622884" w:rsidP="00622884">
            <w:pPr>
              <w:spacing w:after="0" w:line="240" w:lineRule="auto"/>
              <w:jc w:val="left"/>
              <w:rPr>
                <w:rFonts w:ascii="Garamond" w:eastAsia="Calibri" w:hAnsi="Garamond" w:cs="Calibri Light"/>
                <w:b/>
                <w:bCs/>
                <w:sz w:val="20"/>
                <w:szCs w:val="20"/>
                <w:lang w:eastAsia="en-US"/>
              </w:rPr>
            </w:pPr>
            <w:r w:rsidRPr="00622884">
              <w:rPr>
                <w:rFonts w:ascii="Garamond" w:eastAsia="Calibri" w:hAnsi="Garamond" w:cs="Times New Roman"/>
                <w:b/>
                <w:sz w:val="20"/>
                <w:szCs w:val="20"/>
                <w:lang w:eastAsia="en-US" w:bidi="sq-AL"/>
              </w:rPr>
              <w:t>VRK</w:t>
            </w:r>
          </w:p>
        </w:tc>
        <w:tc>
          <w:tcPr>
            <w:tcW w:w="7757" w:type="dxa"/>
          </w:tcPr>
          <w:p w14:paraId="577F6E13" w14:textId="77777777" w:rsidR="00622884" w:rsidRPr="00622884" w:rsidRDefault="00622884" w:rsidP="00622884">
            <w:pPr>
              <w:spacing w:after="0" w:line="240" w:lineRule="auto"/>
              <w:jc w:val="left"/>
              <w:rPr>
                <w:rFonts w:ascii="Garamond" w:eastAsia="Calibri" w:hAnsi="Garamond" w:cs="Calibri Light"/>
                <w:sz w:val="20"/>
                <w:szCs w:val="20"/>
                <w:lang w:eastAsia="en-US"/>
              </w:rPr>
            </w:pPr>
            <w:r w:rsidRPr="00622884">
              <w:rPr>
                <w:rFonts w:ascii="Garamond" w:eastAsia="Calibri" w:hAnsi="Garamond" w:cs="Times New Roman"/>
                <w:sz w:val="20"/>
                <w:szCs w:val="20"/>
                <w:lang w:eastAsia="en-US" w:bidi="sq-AL"/>
              </w:rPr>
              <w:t xml:space="preserve">Vlerësimi i riskut klimatik </w:t>
            </w:r>
          </w:p>
        </w:tc>
      </w:tr>
      <w:tr w:rsidR="00622884" w:rsidRPr="00622884" w14:paraId="762D1143" w14:textId="77777777" w:rsidTr="00622884">
        <w:tc>
          <w:tcPr>
            <w:tcW w:w="1269" w:type="dxa"/>
          </w:tcPr>
          <w:p w14:paraId="1EFC4225" w14:textId="77777777" w:rsidR="00622884" w:rsidRPr="00622884" w:rsidRDefault="00622884" w:rsidP="00622884">
            <w:pPr>
              <w:spacing w:after="0" w:line="240" w:lineRule="auto"/>
              <w:jc w:val="left"/>
              <w:rPr>
                <w:rFonts w:ascii="Garamond" w:eastAsia="Calibri" w:hAnsi="Garamond" w:cs="Times New Roman"/>
                <w:b/>
                <w:sz w:val="20"/>
                <w:szCs w:val="20"/>
                <w:lang w:eastAsia="en-US" w:bidi="sq-AL"/>
              </w:rPr>
            </w:pPr>
            <w:r w:rsidRPr="00622884">
              <w:rPr>
                <w:rFonts w:ascii="Garamond" w:eastAsia="Calibri" w:hAnsi="Garamond" w:cs="Times New Roman"/>
                <w:b/>
                <w:sz w:val="20"/>
                <w:szCs w:val="20"/>
                <w:lang w:eastAsia="en-US" w:bidi="sq-AL"/>
              </w:rPr>
              <w:t>ZAE</w:t>
            </w:r>
          </w:p>
        </w:tc>
        <w:tc>
          <w:tcPr>
            <w:tcW w:w="7757" w:type="dxa"/>
          </w:tcPr>
          <w:p w14:paraId="4E82420F" w14:textId="77777777" w:rsidR="00622884" w:rsidRPr="00622884" w:rsidRDefault="00622884" w:rsidP="00622884">
            <w:pPr>
              <w:spacing w:after="0" w:line="240" w:lineRule="auto"/>
              <w:jc w:val="left"/>
              <w:rPr>
                <w:rFonts w:ascii="Garamond" w:eastAsia="Calibri" w:hAnsi="Garamond" w:cs="Times New Roman"/>
                <w:sz w:val="20"/>
                <w:szCs w:val="20"/>
                <w:lang w:eastAsia="en-US" w:bidi="sq-AL"/>
              </w:rPr>
            </w:pPr>
            <w:r w:rsidRPr="00622884">
              <w:rPr>
                <w:rFonts w:ascii="Garamond" w:eastAsia="Calibri" w:hAnsi="Garamond" w:cs="Times New Roman"/>
                <w:sz w:val="20"/>
                <w:szCs w:val="20"/>
                <w:lang w:eastAsia="en-US" w:bidi="sq-AL"/>
              </w:rPr>
              <w:t>Zonat agro-ekologjike</w:t>
            </w:r>
          </w:p>
        </w:tc>
      </w:tr>
      <w:tr w:rsidR="00622884" w:rsidRPr="00622884" w14:paraId="6114D671" w14:textId="77777777" w:rsidTr="00622884">
        <w:tc>
          <w:tcPr>
            <w:tcW w:w="1269" w:type="dxa"/>
          </w:tcPr>
          <w:p w14:paraId="39FC330C" w14:textId="77777777" w:rsidR="00622884" w:rsidRPr="00622884" w:rsidRDefault="00622884" w:rsidP="00622884">
            <w:pPr>
              <w:spacing w:after="0" w:line="240" w:lineRule="auto"/>
              <w:jc w:val="left"/>
              <w:rPr>
                <w:rFonts w:ascii="Garamond" w:eastAsia="Calibri" w:hAnsi="Garamond" w:cs="Calibri Light"/>
                <w:b/>
                <w:bCs/>
                <w:sz w:val="20"/>
                <w:szCs w:val="20"/>
                <w:lang w:eastAsia="en-US"/>
              </w:rPr>
            </w:pPr>
            <w:r w:rsidRPr="00622884">
              <w:rPr>
                <w:rFonts w:ascii="Garamond" w:eastAsia="Calibri" w:hAnsi="Garamond" w:cs="Times New Roman"/>
                <w:b/>
                <w:sz w:val="20"/>
                <w:szCs w:val="20"/>
                <w:lang w:eastAsia="en-US" w:bidi="sq-AL"/>
              </w:rPr>
              <w:t>ZMF</w:t>
            </w:r>
          </w:p>
        </w:tc>
        <w:tc>
          <w:tcPr>
            <w:tcW w:w="7757" w:type="dxa"/>
          </w:tcPr>
          <w:p w14:paraId="1B3F2901" w14:textId="77777777" w:rsidR="00622884" w:rsidRPr="00622884" w:rsidRDefault="00622884" w:rsidP="00622884">
            <w:pPr>
              <w:spacing w:after="0" w:line="240" w:lineRule="auto"/>
              <w:jc w:val="left"/>
              <w:rPr>
                <w:rFonts w:ascii="Garamond" w:eastAsia="Calibri" w:hAnsi="Garamond" w:cs="Calibri Light"/>
                <w:sz w:val="20"/>
                <w:szCs w:val="20"/>
                <w:lang w:eastAsia="en-US"/>
              </w:rPr>
            </w:pPr>
            <w:r w:rsidRPr="00622884">
              <w:rPr>
                <w:rFonts w:ascii="Garamond" w:eastAsia="Calibri" w:hAnsi="Garamond" w:cs="Times New Roman"/>
                <w:sz w:val="20"/>
                <w:szCs w:val="20"/>
                <w:lang w:eastAsia="en-US" w:bidi="sq-AL"/>
              </w:rPr>
              <w:t>Zona mesdhetare fushore</w:t>
            </w:r>
          </w:p>
        </w:tc>
      </w:tr>
      <w:tr w:rsidR="00622884" w:rsidRPr="00622884" w14:paraId="5EC89DAB" w14:textId="77777777" w:rsidTr="00622884">
        <w:tc>
          <w:tcPr>
            <w:tcW w:w="1269" w:type="dxa"/>
          </w:tcPr>
          <w:p w14:paraId="77738709" w14:textId="77777777" w:rsidR="00622884" w:rsidRPr="00622884" w:rsidRDefault="00622884" w:rsidP="00622884">
            <w:pPr>
              <w:spacing w:after="0" w:line="240" w:lineRule="auto"/>
              <w:jc w:val="left"/>
              <w:rPr>
                <w:rFonts w:ascii="Garamond" w:eastAsia="Calibri" w:hAnsi="Garamond" w:cs="Calibri Light"/>
                <w:b/>
                <w:bCs/>
                <w:sz w:val="20"/>
                <w:szCs w:val="20"/>
                <w:lang w:eastAsia="en-US"/>
              </w:rPr>
            </w:pPr>
            <w:r w:rsidRPr="00622884">
              <w:rPr>
                <w:rFonts w:ascii="Garamond" w:eastAsia="Calibri" w:hAnsi="Garamond" w:cs="Times New Roman"/>
                <w:b/>
                <w:sz w:val="20"/>
                <w:szCs w:val="20"/>
                <w:lang w:eastAsia="en-US" w:bidi="sq-AL"/>
              </w:rPr>
              <w:t>ZMK</w:t>
            </w:r>
          </w:p>
        </w:tc>
        <w:tc>
          <w:tcPr>
            <w:tcW w:w="7757" w:type="dxa"/>
          </w:tcPr>
          <w:p w14:paraId="26106A3E" w14:textId="77777777" w:rsidR="00622884" w:rsidRPr="00622884" w:rsidRDefault="00622884" w:rsidP="00622884">
            <w:pPr>
              <w:spacing w:after="0" w:line="240" w:lineRule="auto"/>
              <w:jc w:val="left"/>
              <w:rPr>
                <w:rFonts w:ascii="Garamond" w:eastAsia="Calibri" w:hAnsi="Garamond" w:cs="Calibri Light"/>
                <w:sz w:val="20"/>
                <w:szCs w:val="20"/>
                <w:lang w:eastAsia="en-US"/>
              </w:rPr>
            </w:pPr>
            <w:r w:rsidRPr="00622884">
              <w:rPr>
                <w:rFonts w:ascii="Garamond" w:eastAsia="Calibri" w:hAnsi="Garamond" w:cs="Times New Roman"/>
                <w:sz w:val="20"/>
                <w:szCs w:val="20"/>
                <w:lang w:eastAsia="en-US" w:bidi="sq-AL"/>
              </w:rPr>
              <w:t>Zona mesdhetare kodrinore</w:t>
            </w:r>
          </w:p>
        </w:tc>
      </w:tr>
      <w:tr w:rsidR="00622884" w:rsidRPr="00622884" w14:paraId="6E23CBE5" w14:textId="77777777" w:rsidTr="00622884">
        <w:tc>
          <w:tcPr>
            <w:tcW w:w="1269" w:type="dxa"/>
          </w:tcPr>
          <w:p w14:paraId="51559E75" w14:textId="77777777" w:rsidR="00622884" w:rsidRPr="00622884" w:rsidRDefault="00622884" w:rsidP="00622884">
            <w:pPr>
              <w:spacing w:after="0" w:line="240" w:lineRule="auto"/>
              <w:jc w:val="left"/>
              <w:rPr>
                <w:rFonts w:ascii="Garamond" w:eastAsia="Calibri" w:hAnsi="Garamond" w:cs="Calibri Light"/>
                <w:b/>
                <w:bCs/>
                <w:sz w:val="20"/>
                <w:szCs w:val="20"/>
                <w:lang w:eastAsia="en-US"/>
              </w:rPr>
            </w:pPr>
            <w:r w:rsidRPr="00622884">
              <w:rPr>
                <w:rFonts w:ascii="Garamond" w:eastAsia="Calibri" w:hAnsi="Garamond" w:cs="Times New Roman"/>
                <w:b/>
                <w:sz w:val="20"/>
                <w:szCs w:val="20"/>
                <w:lang w:eastAsia="en-US" w:bidi="sq-AL"/>
              </w:rPr>
              <w:t xml:space="preserve">ZMM </w:t>
            </w:r>
          </w:p>
        </w:tc>
        <w:tc>
          <w:tcPr>
            <w:tcW w:w="7757" w:type="dxa"/>
          </w:tcPr>
          <w:p w14:paraId="5CACD993" w14:textId="77777777" w:rsidR="00622884" w:rsidRPr="00622884" w:rsidRDefault="00622884" w:rsidP="00622884">
            <w:pPr>
              <w:spacing w:after="0" w:line="240" w:lineRule="auto"/>
              <w:jc w:val="left"/>
              <w:rPr>
                <w:rFonts w:ascii="Garamond" w:eastAsia="Calibri" w:hAnsi="Garamond" w:cs="Calibri Light"/>
                <w:sz w:val="20"/>
                <w:szCs w:val="20"/>
                <w:lang w:eastAsia="en-US"/>
              </w:rPr>
            </w:pPr>
            <w:r w:rsidRPr="00622884">
              <w:rPr>
                <w:rFonts w:ascii="Garamond" w:eastAsia="Calibri" w:hAnsi="Garamond" w:cs="Times New Roman"/>
                <w:sz w:val="20"/>
                <w:szCs w:val="20"/>
                <w:lang w:eastAsia="en-US" w:bidi="sq-AL"/>
              </w:rPr>
              <w:t>Zona mesdhetare malore</w:t>
            </w:r>
          </w:p>
        </w:tc>
      </w:tr>
      <w:tr w:rsidR="00622884" w:rsidRPr="00622884" w14:paraId="3983A55B" w14:textId="77777777" w:rsidTr="00622884">
        <w:tc>
          <w:tcPr>
            <w:tcW w:w="1269" w:type="dxa"/>
          </w:tcPr>
          <w:p w14:paraId="6E51F4D1" w14:textId="77777777" w:rsidR="00622884" w:rsidRPr="00622884" w:rsidRDefault="00622884" w:rsidP="00622884">
            <w:pPr>
              <w:spacing w:after="0" w:line="240" w:lineRule="auto"/>
              <w:jc w:val="left"/>
              <w:rPr>
                <w:rFonts w:ascii="Garamond" w:eastAsia="Calibri" w:hAnsi="Garamond" w:cs="Calibri Light"/>
                <w:b/>
                <w:bCs/>
                <w:sz w:val="20"/>
                <w:szCs w:val="20"/>
                <w:lang w:eastAsia="en-US"/>
              </w:rPr>
            </w:pPr>
            <w:r w:rsidRPr="00622884">
              <w:rPr>
                <w:rFonts w:ascii="Garamond" w:eastAsia="Calibri" w:hAnsi="Garamond" w:cs="Times New Roman"/>
                <w:b/>
                <w:sz w:val="20"/>
                <w:szCs w:val="20"/>
                <w:lang w:eastAsia="en-US" w:bidi="sq-AL"/>
              </w:rPr>
              <w:t>ZMP</w:t>
            </w:r>
          </w:p>
        </w:tc>
        <w:tc>
          <w:tcPr>
            <w:tcW w:w="7757" w:type="dxa"/>
          </w:tcPr>
          <w:p w14:paraId="5929F407" w14:textId="77777777" w:rsidR="00622884" w:rsidRPr="00622884" w:rsidRDefault="00622884" w:rsidP="00622884">
            <w:pPr>
              <w:spacing w:after="0" w:line="240" w:lineRule="auto"/>
              <w:jc w:val="left"/>
              <w:rPr>
                <w:rFonts w:ascii="Garamond" w:eastAsia="Calibri" w:hAnsi="Garamond" w:cs="Calibri Light"/>
                <w:sz w:val="20"/>
                <w:szCs w:val="20"/>
                <w:lang w:eastAsia="en-US"/>
              </w:rPr>
            </w:pPr>
            <w:r w:rsidRPr="00622884">
              <w:rPr>
                <w:rFonts w:ascii="Garamond" w:eastAsia="Calibri" w:hAnsi="Garamond" w:cs="Times New Roman"/>
                <w:sz w:val="20"/>
                <w:szCs w:val="20"/>
                <w:lang w:eastAsia="en-US" w:bidi="sq-AL"/>
              </w:rPr>
              <w:t>Zona mesdhetare paramalore</w:t>
            </w:r>
          </w:p>
        </w:tc>
      </w:tr>
      <w:tr w:rsidR="00622884" w:rsidRPr="00622884" w14:paraId="03F24884" w14:textId="77777777" w:rsidTr="00622884">
        <w:tc>
          <w:tcPr>
            <w:tcW w:w="1269" w:type="dxa"/>
          </w:tcPr>
          <w:p w14:paraId="0A6B74B8" w14:textId="77777777" w:rsidR="00622884" w:rsidRPr="00622884" w:rsidRDefault="00622884" w:rsidP="00622884">
            <w:pPr>
              <w:spacing w:after="0" w:line="240" w:lineRule="auto"/>
              <w:jc w:val="left"/>
              <w:rPr>
                <w:rFonts w:ascii="Garamond" w:eastAsia="Calibri" w:hAnsi="Garamond" w:cs="Calibri Light"/>
                <w:b/>
                <w:bCs/>
                <w:sz w:val="20"/>
                <w:szCs w:val="20"/>
                <w:lang w:eastAsia="en-US"/>
              </w:rPr>
            </w:pPr>
            <w:r w:rsidRPr="00622884">
              <w:rPr>
                <w:rFonts w:ascii="Garamond" w:eastAsia="Calibri" w:hAnsi="Garamond" w:cs="Times New Roman"/>
                <w:b/>
                <w:sz w:val="20"/>
                <w:szCs w:val="20"/>
                <w:lang w:eastAsia="en-US" w:bidi="sq-AL"/>
              </w:rPr>
              <w:t>ZRF</w:t>
            </w:r>
          </w:p>
        </w:tc>
        <w:tc>
          <w:tcPr>
            <w:tcW w:w="7757" w:type="dxa"/>
          </w:tcPr>
          <w:p w14:paraId="57697675" w14:textId="77777777" w:rsidR="00622884" w:rsidRPr="00622884" w:rsidRDefault="00622884" w:rsidP="00622884">
            <w:pPr>
              <w:spacing w:after="0" w:line="240" w:lineRule="auto"/>
              <w:jc w:val="left"/>
              <w:rPr>
                <w:rFonts w:ascii="Garamond" w:eastAsia="Calibri" w:hAnsi="Garamond" w:cs="Calibri Light"/>
                <w:sz w:val="20"/>
                <w:szCs w:val="20"/>
                <w:lang w:eastAsia="en-US"/>
              </w:rPr>
            </w:pPr>
            <w:r w:rsidRPr="00622884">
              <w:rPr>
                <w:rFonts w:ascii="Garamond" w:eastAsia="Calibri" w:hAnsi="Garamond" w:cs="Times New Roman"/>
                <w:sz w:val="20"/>
                <w:szCs w:val="20"/>
                <w:lang w:eastAsia="en-US" w:bidi="sq-AL"/>
              </w:rPr>
              <w:t>Zvogëlimi i riskut nga fatkeqësitë</w:t>
            </w:r>
          </w:p>
        </w:tc>
      </w:tr>
    </w:tbl>
    <w:p w14:paraId="00D4938C" w14:textId="77777777" w:rsidR="00622884" w:rsidRPr="00622884" w:rsidRDefault="00622884" w:rsidP="00622884">
      <w:pPr>
        <w:tabs>
          <w:tab w:val="left" w:pos="5325"/>
        </w:tabs>
        <w:spacing w:after="0" w:line="240" w:lineRule="auto"/>
        <w:ind w:firstLine="284"/>
        <w:rPr>
          <w:rFonts w:ascii="Garamond" w:eastAsia="Calibri" w:hAnsi="Garamond" w:cs="Times New Roman"/>
          <w:sz w:val="2"/>
          <w:szCs w:val="24"/>
          <w:lang w:eastAsia="en-US"/>
        </w:rPr>
      </w:pPr>
    </w:p>
    <w:p w14:paraId="762D200C"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p>
    <w:p w14:paraId="3C33636C"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r w:rsidRPr="00622884">
        <w:rPr>
          <w:rFonts w:ascii="Garamond" w:eastAsia="Calibri" w:hAnsi="Garamond" w:cs="Times New Roman"/>
          <w:sz w:val="24"/>
          <w:szCs w:val="24"/>
          <w:lang w:eastAsia="en-US"/>
        </w:rPr>
        <w:t>PËRMBLEDHJE EKZEKUTIVE</w:t>
      </w:r>
    </w:p>
    <w:p w14:paraId="1A79FD61"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r w:rsidRPr="00622884">
        <w:rPr>
          <w:rFonts w:ascii="Garamond" w:eastAsia="Calibri" w:hAnsi="Garamond" w:cs="Times New Roman"/>
          <w:sz w:val="24"/>
          <w:szCs w:val="24"/>
          <w:lang w:eastAsia="en-US"/>
        </w:rPr>
        <w:t xml:space="preserve">Ky dokument është rezultat i Procesit të dytë Kombëtar të Përshtatjes, të qeverisë shqiptare, një nismë e Ministrisë së Mjedisit (MM) e zhvilluar gjatë periudhës 2021–2025, në kuadër të projektit të Planit Kombëtar të Përshtatjes (NAP), me mbështetjen e UNDP-së dhe Fondit të Gjelbër për Klimën. NAP-i i dytë mbështetet te rishikimi i NAP-it të parë, te gjetjet e studimeve dhe vlerësimeve të ndryshme, dhe ndjek dokumentet kombëtare aktuale dhe ato të përditësuara, duke u udhëhequr prej udhëzimeve dhe përvojës rajonale dhe ndërkombëtare. </w:t>
      </w:r>
    </w:p>
    <w:p w14:paraId="54FA2F3B"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r w:rsidRPr="00622884">
        <w:rPr>
          <w:rFonts w:ascii="Garamond" w:eastAsia="Calibri" w:hAnsi="Garamond" w:cs="Times New Roman"/>
          <w:sz w:val="24"/>
          <w:szCs w:val="24"/>
          <w:lang w:eastAsia="en-US"/>
        </w:rPr>
        <w:t>Ndryshimet klimatike përbëjnë një kërcënim të paprecedent ndaj jetës dhe mjeteve të jetesës së miliarda njerëzve në mbarë botën. Për shkak të vendndodhjes gjeografike ose kushteve socio-ekonomike, disa vende ose rajone janë më të prekura nga ndikimet e ndryshimeve klimatike, ku 40% e njerëzve tashmë jetojnë në zona me cenueshmëri të lartë ndaj klimës. Si pasojë e pozicionit bregdetar në Evropën Jugore, si edhe rrethanave socio-ekonomike, institucionale dhe rregullatore, Shqipëria përballet me risqe klimatike veçanërisht të larta. Është thelbësore që këto sfida të tejkalohen nëpërmjet uljes së cenueshmërisë dhe përmirësimit të aftësisë ripërtëritëse ndaj klimës në ndryshim. Përpjekjet për përshtatje janë të nevojshme për organizimin e sistemeve dhe menaxhimin e risqeve klimatike nëpërmjet një procesi identifikimi, planifikimi, zhvillimi dhe hartimi politikash, programesh dhe projektesh.</w:t>
      </w:r>
    </w:p>
    <w:p w14:paraId="1CF2BEBB"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r w:rsidRPr="00622884">
        <w:rPr>
          <w:rFonts w:ascii="Garamond" w:eastAsia="Calibri" w:hAnsi="Garamond" w:cs="Times New Roman"/>
          <w:sz w:val="24"/>
          <w:szCs w:val="24"/>
          <w:lang w:eastAsia="en-US"/>
        </w:rPr>
        <w:t>NAP-i i parë i Shqipërisë (i miratuar në vitin 2019) u përgatit në vijim të UNFCCC-së dhe Marrëveshjes së Parisit. Raport Progresi i NAP-it të parë për periudhën 2019–2023 konstatoi një zbatim të kufizuar. Mësimi kryesor i nxjerrë ishte se shumica e veprimeve karakterizoheshin nga mungesa e koordinimit dhe qasjes ndërsektoriale ndaj trajtimit të cenueshmërive nga klima në nivel kombëtar. Ky aspekt, krahas rekomandimeve të mëtejshme, u mor parasysh në procesin për Planin e dytë Kombëtar të Përshtatjes (NAP 2021–2025), nëpërmjet vlerësimeve, studimeve dhe programeve të ndryshme për ngritjen e kapaciteteve.</w:t>
      </w:r>
    </w:p>
    <w:p w14:paraId="278BCCAC"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r w:rsidRPr="00622884">
        <w:rPr>
          <w:rFonts w:ascii="Garamond" w:eastAsia="Calibri" w:hAnsi="Garamond" w:cs="Times New Roman"/>
          <w:sz w:val="24"/>
          <w:szCs w:val="24"/>
          <w:lang w:eastAsia="en-US"/>
        </w:rPr>
        <w:t xml:space="preserve">Gjatë dhjetëvjeçarit të fundit, në përputhje me UNFCCC-në dhe </w:t>
      </w:r>
      <w:r w:rsidRPr="00622884">
        <w:rPr>
          <w:rFonts w:ascii="Garamond" w:eastAsia="Calibri" w:hAnsi="Garamond" w:cs="Times New Roman"/>
          <w:i/>
          <w:sz w:val="24"/>
          <w:szCs w:val="24"/>
          <w:lang w:eastAsia="en-US"/>
        </w:rPr>
        <w:t>acquis</w:t>
      </w:r>
      <w:r w:rsidRPr="00622884">
        <w:rPr>
          <w:rFonts w:ascii="Garamond" w:eastAsia="Calibri" w:hAnsi="Garamond" w:cs="Times New Roman"/>
          <w:sz w:val="24"/>
          <w:szCs w:val="24"/>
          <w:lang w:eastAsia="en-US"/>
        </w:rPr>
        <w:t xml:space="preserve">-in e BE-së për klimën, Shqipëria ka ndërmarrë disa hapa ligjorë, politikash dhe institucionalë për përballimin e sfidave të lidhura me ndryshimet klimatike. Është kryer një organizim institucional së bashku me Ministrinë e Mjedisit, si ministria qendrore përgjegjëse për politikën e ndryshimeve klimatike, si edhe për </w:t>
      </w:r>
      <w:r w:rsidRPr="00622884">
        <w:rPr>
          <w:rFonts w:ascii="Garamond" w:eastAsia="Calibri" w:hAnsi="Garamond" w:cs="Times New Roman"/>
          <w:sz w:val="24"/>
          <w:szCs w:val="24"/>
          <w:lang w:eastAsia="en-US"/>
        </w:rPr>
        <w:lastRenderedPageBreak/>
        <w:t>legjislacionin, koordinimin dhe zbatimin në nivel qeveritar, po ashtu edhe me ministritë e linjës, ku përfshihet MM-ja, të cilat janë përgjegjëse për çështjet e klimës në sektorët përkatës. Është ngritur një Grup Ndërministror Pune për Ndryshimet Klimatike (GNPNK) me përfaqësues të ministrive dhe agjencive të ndryshme sektoriale, me rol koordinues në mbështetje të MM-së për çështjet e lidhura me klimën, megjithëse ekzekutimi i mandatit vijon të hasë vështirësi.</w:t>
      </w:r>
    </w:p>
    <w:p w14:paraId="3937B9ED"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r w:rsidRPr="00622884">
        <w:rPr>
          <w:rFonts w:ascii="Garamond" w:eastAsia="Calibri" w:hAnsi="Garamond" w:cs="Times New Roman"/>
          <w:sz w:val="24"/>
          <w:szCs w:val="24"/>
          <w:lang w:eastAsia="en-US"/>
        </w:rPr>
        <w:t>Çështjet e klimës trajtohen në dokumentet e rëndësishme të politikave, si Strategjia Kombëtare për Zhvillim dhe Integrim Evropian (SKZHIE III, 2022–2030), ku përfshihen udhëzime dhe përcaktohen prioritetet e zhvillimit të qëndrueshëm ekonomik dhe shoqëror të Shqipërisë në rrugëtimin drejt anëtarësimit të plotë në BE. Dokumentet e tjera të politikave kombëtare për ndryshimet klimatike përfshijnë Dokumentin Strategjik për Zbutjen dhe Përshtatjen ndaj Ndryshimeve Klimatike, Kontributet Kombëtare të Pikësynuara të rishikuara dhe Planin Kombëtar për Energjinë dhe Klimën, të Republikës së Shqipërisë. Ligji për Ndryshimet klimatike rregullon kuadrin ligjor të lidhur me ndryshimet klimatike, me ligjet e tjera shoqëruese, si: Ligji për Energjinë, Ligji për Mbrojtjen civile, etj.</w:t>
      </w:r>
    </w:p>
    <w:p w14:paraId="29E491F7"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r w:rsidRPr="00622884">
        <w:rPr>
          <w:rFonts w:ascii="Garamond" w:eastAsia="Calibri" w:hAnsi="Garamond" w:cs="Times New Roman"/>
          <w:sz w:val="24"/>
          <w:szCs w:val="24"/>
          <w:lang w:eastAsia="en-US"/>
        </w:rPr>
        <w:t>Nga një prej vendeve më të varfra në Evropë, Shqipëria u shndërrua në një vend me të ardhura të mesme të larta, me një PBB prej 23 miliardë dollarësh amerikanë dhe PBB për frymë prej 8.300 dollarësh amerikanë në vitin 2023. Sidoqoftë, ndryshimet klimatike rrezikojnë zhbërjen e këtyre arritjeve, duke përkeqësuar goditjet ekonomike, veçanërisht për familjet me të ardhura të ulëta, gratë dhe grupet e tjera të cenueshme të popullsisë, që janë më pak të përgatitura për t’u rimëkëmbur pas ngjarjeve ekstreme të motit.</w:t>
      </w:r>
    </w:p>
    <w:p w14:paraId="40C0748A"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r w:rsidRPr="00622884">
        <w:rPr>
          <w:rFonts w:ascii="Garamond" w:eastAsia="Calibri" w:hAnsi="Garamond" w:cs="Times New Roman"/>
          <w:sz w:val="24"/>
          <w:szCs w:val="24"/>
          <w:lang w:eastAsia="en-US"/>
        </w:rPr>
        <w:t>Klima mesdhetare e Shqipërisë karakterizohet nga stinë dimri e butë dhe e lagësht, e ndjekur nga stinë vere e nxehtë dhe e thatë. Që prej vitit 1951, temperaturat mesatare në Shqipëri janë rritur, kryesisht në stinën e pranverës dhe verës, ndërsa reshjet vjetore (pavarësisht se jo me tendencë tepër të veçantë) kanë pësuar rënie, kryesisht gjatë stinës së dimrit dhe pranverës. Parashikimet në skenarin më të keq për vitin 2050 tregojnë se temperatura mesatare e ajrit (Tmes) do të rritet nga 0,9°C në 2,0°C, ndërsa reshjet vjetore do të bien edhe më tej nga -2,7% në -5,8%, ndërsa gjatë stinës së verës nga -8,1% në -17,6%. Ngjarjet e reshjeve ekstreme pritet të shtohen, duke shkaktuar periudha thatësire ose përmbytjeje më të lokalizuara. Të gjithë skenarët e së ardhmes parashikojnë një Rritje në Nivelin e Detit (RRND) përgjatë bregdetit shqiptar deri në 20–28 cm, në vitin 2050, duke prekur më ndjeshëm bregdetin e Adriatikut.</w:t>
      </w:r>
    </w:p>
    <w:p w14:paraId="3243BABC"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r w:rsidRPr="00622884">
        <w:rPr>
          <w:rFonts w:ascii="Garamond" w:eastAsia="Calibri" w:hAnsi="Garamond" w:cs="Times New Roman"/>
          <w:sz w:val="24"/>
          <w:szCs w:val="24"/>
          <w:lang w:eastAsia="en-US"/>
        </w:rPr>
        <w:t>Objektivi i përgjithshëm i procesit të dytë të NAP-it është pakësimi i risqeve të lidhura me ndryshimet klimatike në të gjithë Shqipërinë, nëpërmjet forcimit të kapaciteteve institucionale dhe teknike, çka do të mbështetë integrimin e Përshtatjes ndaj Ndryshimeve Klimatike (PNK) në planifikimin afatgjatë. Ky objektiv mbulon periudhën 10-vjeçare nga viti 2026 në vitin 2036 dhe fokusohet te sektorët socio-ekonomikë kryesorë në Shqipëri, të cilët janë të cenueshëm prej ndryshimeve klimatike (sektorët prioritarë të NAP-it): bujqësia dhe pylltaria, turizmi, energjia, transporti dhe zhvillimi urban.</w:t>
      </w:r>
    </w:p>
    <w:p w14:paraId="6B5F87A6"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r w:rsidRPr="00622884">
        <w:rPr>
          <w:rFonts w:ascii="Garamond" w:eastAsia="Calibri" w:hAnsi="Garamond" w:cs="Times New Roman"/>
          <w:sz w:val="24"/>
          <w:szCs w:val="24"/>
          <w:lang w:eastAsia="en-US"/>
        </w:rPr>
        <w:t>Ndryshimet klimatike kanë ndikime të drejtpërdrejta dhe të tërthorta në shëndetin publik, përmes rritjes së frekuencës dhe intensitetit të valëve të të nxehtit dhe ngjarjeve të tjera ekstreme klimatike, përkeqësimit të cilësisë së ujit dhe ajrit, shfaqjes dhe përhapjes së sëmundjeve të lidhura me klimën dhe rritjes së presionit mbi shërbimet shëndetësore. Në këtë kontekst, sektori i shëndetësisë përbën një komponent thelbësor të qëndrueshmërisë kombëtare ndaj ndryshimeve klimatike. Për këtë arsye, plani, krahas sektorëve prioritarë të identifikuar, integron edhe dimensionin e shëndetësisë si sektor ndërsektorial, me qëllim adresimin e risqeve klimatike mbi shëndetin publik dhe forcimin e reziliencës së shërbimeve shëndetësore.</w:t>
      </w:r>
    </w:p>
    <w:p w14:paraId="4AE3E4D7"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r w:rsidRPr="00622884">
        <w:rPr>
          <w:rFonts w:ascii="Garamond" w:eastAsia="Calibri" w:hAnsi="Garamond" w:cs="Times New Roman"/>
          <w:sz w:val="24"/>
          <w:szCs w:val="24"/>
          <w:lang w:eastAsia="en-US"/>
        </w:rPr>
        <w:t xml:space="preserve">Projekti i NAP-it ndërmori vlerësime të hollësishme të riskut klimatik për 5 sektorët prioritarë të identifikuar në Shqipëri. Vlerësimet tregojnë se risqet kombëtare të klimës në Shqipëri vijnë duke u rritur gjatë kohës, si edhe pesimizmin e skenarit. Sektorët e zhvillimit urban, bujqësisë dhe turizmit kanë nivelin më të lartë të riskut, ndërsa sektorët e energjisë dhe transportit kanë nivele më të ulëta (vlen për risqet aktuale dhe ato të ardhshme). Arsyeja kryesore për këtë është </w:t>
      </w:r>
      <w:r w:rsidRPr="00622884">
        <w:rPr>
          <w:rFonts w:ascii="Garamond" w:eastAsia="Calibri" w:hAnsi="Garamond" w:cs="Times New Roman"/>
          <w:sz w:val="24"/>
          <w:szCs w:val="24"/>
          <w:lang w:eastAsia="en-US"/>
        </w:rPr>
        <w:lastRenderedPageBreak/>
        <w:t>ndjeshmëria e bujqësisë dhe turizmit ndaj ndryshimeve të variablave klimatikë, ndërsa për sektorin e zhvillimit urban arsyeja kryesore është ndjeshmëria ndaj rritjes së temperaturave dhe valëve të të nxehtit, si edhe përqendrimi i konsiderueshëm i sektorit të zhvillimit urban në bregdetin e cenueshëm. Disa zona janë veçanërisht të cenueshme (p.sh.: zonat e ultësirës bregdetare, fushat aluvionale, qytetet me popullsi të dendur), po ashtu edhe grupe të caktuara të popullsisë për shkak të moshës, problemeve mjekësore, varësisë, vendndodhjes, situatës ekonomike, gjinisë ose ndërthurjes së këtyre faktorëve. Menaxhimi mjedisor i papërshtatshëm, ku përfshihet shpyllëzimi, keqmenaxhimi i ujëmbledhësve dhe menaxhimi i papërshtatshëm i mbetjeve, theksojnë risqet klimatike në të gjithë sektorët. Mangësitë në legjislacionin për klimën, kapacitetet njerëzore, të dhënat dhe pajisjet mund t’i përkeqësojnë më tej risqet klimatike në vend dhe të pengojnë përpjekjet për përshtatjen dhe menaxhimin e fatkeqësive.</w:t>
      </w:r>
    </w:p>
    <w:p w14:paraId="23CED78F"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r w:rsidRPr="00622884">
        <w:rPr>
          <w:rFonts w:ascii="Garamond" w:eastAsia="Calibri" w:hAnsi="Garamond" w:cs="Times New Roman"/>
          <w:sz w:val="24"/>
          <w:szCs w:val="24"/>
          <w:lang w:eastAsia="en-US"/>
        </w:rPr>
        <w:t>Me qëllim përshtatjen me risqet e mundshme të ndryshimeve klimatike, gjatë procesit të NAP-it u identifikuan 151 “Masa përshtatjeje” të mundshme për të pestë sektorët prioritarë, si edhe masa ndërsektoriale, duke integruar njëkohësisht edhe komponentët e përbashkët dhe vendndodhjet e rreth 356 masave vendore të përshtatjes në 8 bashkitë e përzgjedhura. Një proces i mëtejshëm prioritizimi mundësoi identifikimin e 66 masave prioritare në sektorët prioritarë dhe masa ndërsektoriale përmes analizës së shumë kritereve dhe analizës kosto-përfitim. Më pas, këto masa u organizuan në planin e zbatimit të NAP-it, në mënyrë që prioritetet sektoriale të përshtatjes të shndërrohen në ndërhyrje konkrete, të realizueshme në aspektin teknik dhe financiar dhe përfshirëse në aspektin social. Plani i zbatimit përfshin 10 masa ndërsektoriale përshtatjeje, 8 për bujqësinë, 13 për pylltarinë, 11 për turizmin, 9 për zhvillimin urban, 8 për energjinë dhe 7 për transportin. Këto 66 masa u ndanë më tej në 45 masa “të buta” (ngritje kapacitetesh); 15 masa “të gjelbra” të bazuara te natyra, dhe 6 masa infrastrukturore madhore ose “gri” (6). Secila prej masave të përshtatjes u detajua më tej në 2 deri në 10 veprimtari zbatimi të posaçme. Për planifikimin kohor të zbatimit, masat u ndanë në masa afatshkurtra (2026–2028), masa afatmesme (2029–2032) dhe masa afatgjata (2033–2036), ku zbatimi i disave prej tyre planifikohet të përfundojë në vitin 2042. Në nivel kombëtar, Ministria e Mjedisit është autoriteti udhëheqës i planit të zbatimit për NAP-in. Në praktikë, përshtatja ndaj ndryshimeve klimatike zbatohet nga ministritë dhe agjencitë sektoriale përkatëse, shpeshherë në koordinim të ngushtë me autoritetet bashkiake dhe palët e tjera kryesore të interesit.</w:t>
      </w:r>
    </w:p>
    <w:p w14:paraId="51305F6A"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r w:rsidRPr="00622884">
        <w:rPr>
          <w:rFonts w:ascii="Garamond" w:eastAsia="Calibri" w:hAnsi="Garamond" w:cs="Times New Roman"/>
          <w:sz w:val="24"/>
          <w:szCs w:val="24"/>
          <w:lang w:eastAsia="en-US"/>
        </w:rPr>
        <w:t xml:space="preserve">Zbatimi i 66 ndërhyrjeve të përshtatjes parashikohet të ketë një kosto të përgjithshme prej 9,8 miliardë dollarësh amerikanë (rreth 8,4 miliardë euro). Zhvillimi urban parashikohet të ketë koston më të lartë, i ndjekur më pas nga pylltaria, ndërsa turizmi parashikohet të ketë koston më të ulët. Sa u përket llojeve të ndërhyrjeve, 15 ndërhyrjet e gjelbra zënë përqindjen më të lartë të kostove të përgjithshme të parashikuara (45%), ndërsa ndërhyrjet e buta zënë 32% dhe ato gri 23%. Në aspektin kohor (fillimi në planin afatshkurtër, afatmesëm apo afatgjatë), kostot e parashikuara kanë një shpërndarje thuajse të barabartë. Për shkak të fazave të zbatimit, buxhetet vjetore të parashikuara e kanë vlerën më të lartë duke filluar nga periudha 2033–2035. Kostot vjetore të përgjithshme për secilin sektor dhe masë janë përcaktuar për të mbështetur ministritë e linjës gjatë planifikimit të buxheteve afatmesme dhe vjetore për përshtatjen. </w:t>
      </w:r>
    </w:p>
    <w:p w14:paraId="47C956E0"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r w:rsidRPr="00622884">
        <w:rPr>
          <w:rFonts w:ascii="Garamond" w:eastAsia="Calibri" w:hAnsi="Garamond" w:cs="Times New Roman"/>
          <w:sz w:val="24"/>
          <w:szCs w:val="24"/>
          <w:lang w:eastAsia="en-US"/>
        </w:rPr>
        <w:t xml:space="preserve">Për planin e zbatimit të NAP-it u hartua një strategji financimi, me qëllim mobilizimin dhe alokimin efektiv të burimeve financiare të mjaftueshme dhe të qëndrueshme për zbatimin e prioriteteve të përshtatjes të Shqipërisë. Megjithëse financimi i përgjithshëm i nevojshëm për përshtatjen është shumë i lartë dhe arrin në thuajse 2,7% të PBB-së së Shqipërisë për vitin 2025, ai bazohet te një profil investimi i financuar paraprakisht, i përqendruar te vitet e hershme të zbatimit të masave të ndryshme. Pavarësisht shumës së nevojshme, ky nivel investimi konsiderohet i realizueshëm fiskalisht, veçanërisht nëse mbështetet nga financimi koncesionar, alokimet buxhetore me faza dhe integrimi i plotë në kuadrot kombëtare të investimeve publike. Kostoja e mosveprimit do të ishte më e lartë, pasi dëmtimet e rënda prej klimës mund të zhbëjnë vite të tëra zhvillimi. </w:t>
      </w:r>
    </w:p>
    <w:p w14:paraId="1216A266"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r w:rsidRPr="00622884">
        <w:rPr>
          <w:rFonts w:ascii="Garamond" w:eastAsia="Calibri" w:hAnsi="Garamond" w:cs="Times New Roman"/>
          <w:sz w:val="24"/>
          <w:szCs w:val="24"/>
          <w:lang w:eastAsia="en-US"/>
        </w:rPr>
        <w:lastRenderedPageBreak/>
        <w:t>Qeveria shqiptare ka parashikuar një shumë të konsiderueshme për veprimet e përshtatjes në sektorë të ndryshëm në Programin Buxhetor Afatmesëm (PBA) 2025–2027 dhe në strategjitë sektoriale kombëtare, dhe partnerët ndërkombëtarë po planifikojnë ta mbështetin përshtatjen nëpërmjet granteve dhe huave. Pavarësisht kësaj, kjo shumë është ndjeshëm nën atë të nevojshme për financimin e përshtatjes, duke krijuar një hendek të përgjithshëm financimi në masën 93%. Për rrjedhojë, do të duhet financim i konsiderueshëm për të mbështetur nevojat e financimit të përshtatjes në këtë NAP. Kjo do të kryhet pavarësisht sfidave të shumta strukturore ekonomike dhe fiskale, si kostot paraprake të larta të masave të përshtatjes, tregjet e pazhvilluara të kapitalit, mungesa e instrumenteve për zbutjen e risqeve, peizazhi i fragmentuar i donatorëve, pjesëmarrja e paktë e sektorit privat dhe oferta e kufizuar e projekteve të përshtatjes që tërheqin financim. Prandaj, është thelbësore që kontributet e brendshme të fuqizohen më tej, gjithashtu, edhe qasja në financim ndërkombëtar për klimën dhe mobilizimi i kapitalit privat. Në planin afatshkurtër (2026–28), që përfshin kryesisht masa “të buta”, Shqipëria zotëron disa burime. Në planin afatmesëm (2029–32), masat janë kritike dhe kërkojnë financim shtesë të konsiderueshëm prej projekteve të planifikuara dhe të reja. Në planin afatgjatë (2033–50) duhet të trajtohet jo vetëm pjesa e mbetur e planit, por edhe të arrihet përshtatje me kushtet në ndryshim.</w:t>
      </w:r>
    </w:p>
    <w:p w14:paraId="0960E06D"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r w:rsidRPr="00622884">
        <w:rPr>
          <w:rFonts w:ascii="Garamond" w:eastAsia="Calibri" w:hAnsi="Garamond" w:cs="Times New Roman"/>
          <w:sz w:val="24"/>
          <w:szCs w:val="24"/>
          <w:lang w:eastAsia="en-US"/>
        </w:rPr>
        <w:t xml:space="preserve">Gjatë procesit të NAP-it dhe si një pjesë thelbësore e planit të zbatimit, është hartuar një Plan Veprimi për Barazinë Gjinore (PVBGJ), i cili siguron integrimin e nevojave dhe perspektivave të grave në të gjithë procesin, duke njohur faktin se ndryshimet klimatike ndikojnë ndryshe te gratë dhe burrat. Objektivat e PVBGJ-së përfshinin promovimin e barazisë gjinore dhe fuqizimin e grave nëpërmjet planifikimit të përgjigjshëm gjinor, integrimit të perspektivës gjinore, si edhe zbatimit dhe monitorimit. PVBGJ-ja është e bashkërenduar me një sërë strategjish kombëtare kryesore dhe angazhimesh ndërkombëtare, duke përfshirë Strategjinë Kombëtare për Barazinë Gjinore (SKBGJ 2021–2030), strategjitë e posaçme për sektorët, Marrëveshjen e Parisit dhe objektivat e zhvillimit të qëndrueshëm, dhe mbështet zbatimin e tyre. </w:t>
      </w:r>
    </w:p>
    <w:p w14:paraId="648E6001"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r w:rsidRPr="00622884">
        <w:rPr>
          <w:rFonts w:ascii="Garamond" w:eastAsia="Calibri" w:hAnsi="Garamond" w:cs="Times New Roman"/>
          <w:sz w:val="24"/>
          <w:szCs w:val="24"/>
          <w:lang w:eastAsia="en-US"/>
        </w:rPr>
        <w:t>Në mënyrë të ngjashme, për planin e zbatimit të NAP-it u përgatit edhe një plan për komunikimin dhe angazhimin e palëve të interesit (PKAPI). Nëpërmjet komunikimit të synuar dhe gjithëpërfshirës, PKAPI-ja synon ta shndërrojë përshtatjen ndaj klimës nga një kuadër politikash në një lëvizje të pranuar nga palët e interesit në të gjitha nivelet e shoqërisë. Objektivi Strategjik i PKAPI-së është: “Të pozicionohet përshtatja ndaj klimës si një prioritet kombëtar në Shqipëri nëpërmjet shfrytëzimit të komunikimit efektiv si një mjet për angazhimin e palëve të interesit, nxitjen e veprimit kolektiv dhe përmirësimin e aftësisë ripërtëritëse afatgjatë në të gjithë sektorët e shoqërisë”.</w:t>
      </w:r>
    </w:p>
    <w:p w14:paraId="4505FF39"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r w:rsidRPr="00622884">
        <w:rPr>
          <w:rFonts w:ascii="Garamond" w:eastAsia="Calibri" w:hAnsi="Garamond" w:cs="Times New Roman"/>
          <w:sz w:val="24"/>
          <w:szCs w:val="24"/>
          <w:lang w:eastAsia="en-US"/>
        </w:rPr>
        <w:t>Krahas procesit të NAP-it u zhvillua edhe një sistem për monitorimin, vlerësimin dhe të nxënit (MVN), lidhur me NAP-in për të mbështetur zbatimin e saj. Ky sistem do të: mbështetë transparencën dhe llogaridhënien; sigurojë ndjekjen gjithëpërfshirëse të ecurisë; promovojë bashkëpunimin, koordinimin dhe ndarjen e njohurive në nivel ndërsektorial; përmirësojë efikasitetin e burimeve nëpërmjet shfrytëzimit të të dhënave dhe mjeteve ekzistuese, dhe do të lehtësojë të nxënit. MM-ja do të jetë organi qendror për koordinimin e monitorimit dhe vlerësimit, mbikëqyrjen e të dhënave dhe raportimin te strukturat kombëtare dhe ndërkombëtare. Ministritë e linjës dhe njësitë e qeverisjes vendore do të mundësojnë të dhëna vjetore për masat e përshtatjes, ndërsa Agjencia Kombëtare e Mjedisit (AKM) do të verifikojë dhe përpunojë raportet dhe të dhënat.</w:t>
      </w:r>
    </w:p>
    <w:p w14:paraId="121D0706"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r w:rsidRPr="00622884">
        <w:rPr>
          <w:rFonts w:ascii="Garamond" w:eastAsia="Calibri" w:hAnsi="Garamond" w:cs="Times New Roman"/>
          <w:sz w:val="24"/>
          <w:szCs w:val="24"/>
          <w:lang w:eastAsia="en-US"/>
        </w:rPr>
        <w:t>Zbatimi i sistemit MVN për NAP-in e dytë të Shqipërisë do të ndjekë një qasje me faza, të renditura më poshtë: Organizimi institucional; Ngritja e kapaciteteve; Testimi pilot; Operacionalizimi; Rishikimi dhe përmirësimi. Faza përfundimtare do të përqendrohet në vlerësimin e performancës së NAP-it në krahasim me kuadrin e rezultateve përkatëse, që do të zhvillohet nëpërmjet shqyrtimit afatmesëm të vitit 2030 dhe nëpërmjet një vlerësimi përfundimtar në vitin 2036.</w:t>
      </w:r>
    </w:p>
    <w:p w14:paraId="7EA3386F" w14:textId="77777777" w:rsidR="00622884" w:rsidRPr="00622884" w:rsidRDefault="00622884" w:rsidP="00622884">
      <w:pPr>
        <w:keepNext/>
        <w:keepLines/>
        <w:spacing w:after="0" w:line="240" w:lineRule="auto"/>
        <w:ind w:left="284"/>
        <w:outlineLvl w:val="0"/>
        <w:rPr>
          <w:rFonts w:ascii="Garamond" w:eastAsia="Times New Roman" w:hAnsi="Garamond" w:cs="Averta ExtraBold"/>
          <w:bCs/>
          <w:kern w:val="2"/>
          <w:sz w:val="24"/>
          <w:szCs w:val="24"/>
          <w:lang w:eastAsia="en-US"/>
        </w:rPr>
      </w:pPr>
      <w:bookmarkStart w:id="208" w:name="_Toc213936217"/>
      <w:r w:rsidRPr="00622884">
        <w:rPr>
          <w:rFonts w:ascii="Garamond" w:eastAsia="Yu Gothic Light" w:hAnsi="Garamond" w:cs="Averta ExtraBold"/>
          <w:bCs/>
          <w:kern w:val="2"/>
          <w:sz w:val="24"/>
          <w:szCs w:val="24"/>
          <w:lang w:eastAsia="en-US" w:bidi="sq-AL"/>
        </w:rPr>
        <w:lastRenderedPageBreak/>
        <w:t>1. HYRJE</w:t>
      </w:r>
      <w:bookmarkEnd w:id="208"/>
    </w:p>
    <w:p w14:paraId="56B8F08F" w14:textId="77777777" w:rsidR="00622884" w:rsidRPr="00622884" w:rsidRDefault="00622884" w:rsidP="00622884">
      <w:pPr>
        <w:spacing w:after="0" w:line="240" w:lineRule="auto"/>
        <w:ind w:firstLine="284"/>
        <w:rPr>
          <w:rFonts w:ascii="Garamond" w:eastAsia="SimSun" w:hAnsi="Garamond" w:cs="Calibri Light"/>
          <w:sz w:val="24"/>
          <w:szCs w:val="24"/>
          <w:lang w:eastAsia="en-US"/>
        </w:rPr>
      </w:pPr>
      <w:r w:rsidRPr="00622884">
        <w:rPr>
          <w:rFonts w:ascii="Garamond" w:eastAsia="SimSun" w:hAnsi="Garamond" w:cs="Calibri Light"/>
          <w:sz w:val="24"/>
          <w:szCs w:val="24"/>
          <w:lang w:eastAsia="en-US" w:bidi="sq-AL"/>
        </w:rPr>
        <w:t>Ky dokument është rezultat i Procesit të Dytë Kombëtar të Përshtatjes, të qeverisë shqiptare, një nismë e Ministrisë së Mjedisit (MM) e zhvilluar gjatë periudhës 2021</w:t>
      </w:r>
      <w:r w:rsidRPr="00622884">
        <w:rPr>
          <w:rFonts w:ascii="Garamond" w:eastAsia="SimSun" w:hAnsi="Garamond" w:cs="Times New Roman"/>
          <w:color w:val="1D3C5A"/>
          <w:sz w:val="24"/>
          <w:szCs w:val="24"/>
          <w:lang w:eastAsia="en-US"/>
        </w:rPr>
        <w:t>–</w:t>
      </w:r>
      <w:r w:rsidRPr="00622884">
        <w:rPr>
          <w:rFonts w:ascii="Garamond" w:eastAsia="SimSun" w:hAnsi="Garamond" w:cs="Calibri Light"/>
          <w:sz w:val="24"/>
          <w:szCs w:val="24"/>
          <w:lang w:eastAsia="en-US" w:bidi="sq-AL"/>
        </w:rPr>
        <w:t>2025, në kuadër të projektit të Planit Kombëtar të Përshtatjes (NAP)</w:t>
      </w:r>
      <w:r w:rsidRPr="00622884">
        <w:rPr>
          <w:rFonts w:ascii="Garamond" w:eastAsia="SimSun" w:hAnsi="Garamond" w:cs="Calibri Light"/>
          <w:sz w:val="24"/>
          <w:szCs w:val="24"/>
          <w:vertAlign w:val="superscript"/>
          <w:lang w:eastAsia="en-US" w:bidi="sq-AL"/>
        </w:rPr>
        <w:footnoteReference w:id="93"/>
      </w:r>
      <w:r w:rsidRPr="00622884">
        <w:rPr>
          <w:rFonts w:ascii="Garamond" w:eastAsia="SimSun" w:hAnsi="Garamond" w:cs="Calibri Light"/>
          <w:sz w:val="24"/>
          <w:szCs w:val="24"/>
          <w:lang w:eastAsia="en-US" w:bidi="sq-AL"/>
        </w:rPr>
        <w:t>, në përgjigje të kërkesës ligjore për një rishikim 4-vjeçar të NAP-it dhe angazhimeve ndërkombëtare. Në periudhën 2015</w:t>
      </w:r>
      <w:r w:rsidRPr="00622884">
        <w:rPr>
          <w:rFonts w:ascii="Garamond" w:eastAsia="SimSun" w:hAnsi="Garamond" w:cs="Times New Roman"/>
          <w:color w:val="1D3C5A"/>
          <w:sz w:val="24"/>
          <w:szCs w:val="24"/>
          <w:lang w:eastAsia="en-US"/>
        </w:rPr>
        <w:t>–</w:t>
      </w:r>
      <w:r w:rsidRPr="00622884">
        <w:rPr>
          <w:rFonts w:ascii="Garamond" w:eastAsia="SimSun" w:hAnsi="Garamond" w:cs="Calibri Light"/>
          <w:sz w:val="24"/>
          <w:szCs w:val="24"/>
          <w:lang w:eastAsia="en-US" w:bidi="sq-AL"/>
        </w:rPr>
        <w:t>2019 u hartua NAP-i i parë me mbështetjen e Agjencisë Gjermane për Zhvillim (GIZ) dhe Programit të Kombeve të Bashkuara për Zhvillim (UNDP), e cila u miratua si dokumenti kuadër i NAP-it në vitin 2019. Strategjia dhe plani i zbatimit të NAP-it të dytë mbështeten te rishikimi i NAP-it të parë, te gjetjet e studimeve dhe vlerësimeve të caktuara të kryera si pjesë e procesit të NAP-it të dytë, dhe ndjekin dokumentet kombëtare aktuale dhe ato të përditësuara</w:t>
      </w:r>
      <w:r w:rsidRPr="00622884">
        <w:rPr>
          <w:rFonts w:ascii="Garamond" w:eastAsia="SimSun" w:hAnsi="Garamond" w:cs="Calibri Light"/>
          <w:sz w:val="24"/>
          <w:szCs w:val="24"/>
          <w:vertAlign w:val="superscript"/>
          <w:lang w:eastAsia="en-US" w:bidi="sq-AL"/>
        </w:rPr>
        <w:footnoteReference w:id="94"/>
      </w:r>
      <w:r w:rsidRPr="00622884">
        <w:rPr>
          <w:rFonts w:ascii="Garamond" w:eastAsia="SimSun" w:hAnsi="Garamond" w:cs="Calibri Light"/>
          <w:sz w:val="24"/>
          <w:szCs w:val="24"/>
          <w:lang w:eastAsia="en-US" w:bidi="sq-AL"/>
        </w:rPr>
        <w:t>, duke u orientuar prej udhëzimeve dhe përvojës rajonale dhe ndërkombëtare.</w:t>
      </w:r>
      <w:r w:rsidRPr="00622884">
        <w:rPr>
          <w:rFonts w:ascii="Garamond" w:eastAsia="SimSun" w:hAnsi="Garamond" w:cs="Calibri Light"/>
          <w:sz w:val="24"/>
          <w:szCs w:val="24"/>
          <w:vertAlign w:val="superscript"/>
          <w:lang w:eastAsia="en-US" w:bidi="sq-AL"/>
        </w:rPr>
        <w:footnoteReference w:id="95"/>
      </w:r>
      <w:r w:rsidRPr="00622884">
        <w:rPr>
          <w:rFonts w:ascii="Garamond" w:eastAsia="SimSun" w:hAnsi="Garamond" w:cs="Calibri Light"/>
          <w:sz w:val="24"/>
          <w:szCs w:val="24"/>
          <w:lang w:eastAsia="en-US" w:bidi="sq-AL"/>
        </w:rPr>
        <w:t xml:space="preserve"> </w:t>
      </w:r>
    </w:p>
    <w:p w14:paraId="0FF19011" w14:textId="77777777" w:rsidR="00622884" w:rsidRPr="00622884" w:rsidRDefault="00622884" w:rsidP="00622884">
      <w:pPr>
        <w:spacing w:after="0" w:line="240" w:lineRule="auto"/>
        <w:ind w:firstLine="284"/>
        <w:rPr>
          <w:rFonts w:ascii="Garamond" w:eastAsia="SimSun" w:hAnsi="Garamond" w:cs="Calibri Light"/>
          <w:b/>
          <w:bCs/>
          <w:sz w:val="24"/>
          <w:szCs w:val="24"/>
          <w:lang w:eastAsia="en-US"/>
        </w:rPr>
      </w:pPr>
      <w:r w:rsidRPr="00622884">
        <w:rPr>
          <w:rFonts w:ascii="Garamond" w:eastAsia="SimSun" w:hAnsi="Garamond" w:cs="Calibri Light"/>
          <w:b/>
          <w:sz w:val="24"/>
          <w:szCs w:val="24"/>
          <w:lang w:eastAsia="en-US" w:bidi="sq-AL"/>
        </w:rPr>
        <w:t>Vizioni i NAP-it</w:t>
      </w:r>
    </w:p>
    <w:p w14:paraId="4130A827" w14:textId="77777777" w:rsidR="00622884" w:rsidRPr="00622884" w:rsidRDefault="00622884" w:rsidP="00622884">
      <w:pPr>
        <w:spacing w:after="0" w:line="240" w:lineRule="auto"/>
        <w:ind w:firstLine="284"/>
        <w:rPr>
          <w:rFonts w:ascii="Garamond" w:eastAsia="SimSun" w:hAnsi="Garamond" w:cs="Calibri Light"/>
          <w:sz w:val="24"/>
          <w:szCs w:val="24"/>
          <w:lang w:eastAsia="en-US"/>
        </w:rPr>
      </w:pPr>
      <w:r w:rsidRPr="00622884">
        <w:rPr>
          <w:rFonts w:ascii="Garamond" w:eastAsia="SimSun" w:hAnsi="Garamond" w:cs="Calibri Light"/>
          <w:sz w:val="24"/>
          <w:szCs w:val="24"/>
          <w:lang w:eastAsia="en-US" w:bidi="sq-AL"/>
        </w:rPr>
        <w:t>NAP-i udhëhiqet nga një vizion afatgjatë për “</w:t>
      </w:r>
      <w:r w:rsidRPr="00622884">
        <w:rPr>
          <w:rFonts w:ascii="Garamond" w:eastAsia="SimSun" w:hAnsi="Garamond" w:cs="Calibri Light"/>
          <w:i/>
          <w:sz w:val="24"/>
          <w:szCs w:val="24"/>
          <w:lang w:eastAsia="en-US" w:bidi="sq-AL"/>
        </w:rPr>
        <w:t xml:space="preserve">një Shqipëri të sigurt, të begatë dhe të qëndrueshme, të mbështetur tek Evropa”, </w:t>
      </w:r>
      <w:r w:rsidRPr="00622884">
        <w:rPr>
          <w:rFonts w:ascii="Garamond" w:eastAsia="SimSun" w:hAnsi="Garamond" w:cs="Calibri Light"/>
          <w:sz w:val="24"/>
          <w:szCs w:val="24"/>
          <w:lang w:eastAsia="en-US" w:bidi="sq-AL"/>
        </w:rPr>
        <w:t xml:space="preserve">çka pasqyron drejtimin e përgjithshëm të përcaktuar nga SKZHIE-ja. Objektivi i përshtatjes është arritja e </w:t>
      </w:r>
      <w:r w:rsidRPr="00622884">
        <w:rPr>
          <w:rFonts w:ascii="Garamond" w:eastAsia="SimSun" w:hAnsi="Garamond" w:cs="Calibri Light"/>
          <w:i/>
          <w:sz w:val="24"/>
          <w:szCs w:val="24"/>
          <w:lang w:eastAsia="en-US" w:bidi="sq-AL"/>
        </w:rPr>
        <w:t>“një Shqipërie me aftësi ripërtëritëse ndaj klimës, të përshtatur me ndryshimet klimatike”</w:t>
      </w:r>
      <w:r w:rsidRPr="00622884">
        <w:rPr>
          <w:rFonts w:ascii="Garamond" w:eastAsia="SimSun" w:hAnsi="Garamond" w:cs="Calibri Light"/>
          <w:sz w:val="24"/>
          <w:szCs w:val="24"/>
          <w:lang w:eastAsia="en-US" w:bidi="sq-AL"/>
        </w:rPr>
        <w:t>, sikurse parashikohet në Strategjinë Kombëtare për Ndryshimet Klimatike dhe Strategjinë e Përshtatjes të BE-së.</w:t>
      </w:r>
    </w:p>
    <w:p w14:paraId="02AFC10E" w14:textId="77777777" w:rsidR="00622884" w:rsidRPr="00622884" w:rsidRDefault="00622884" w:rsidP="00622884">
      <w:pPr>
        <w:spacing w:after="0" w:line="240" w:lineRule="auto"/>
        <w:ind w:firstLine="284"/>
        <w:rPr>
          <w:rFonts w:ascii="Garamond" w:eastAsia="SimSun" w:hAnsi="Garamond" w:cs="Calibri Light"/>
          <w:b/>
          <w:bCs/>
          <w:sz w:val="24"/>
          <w:szCs w:val="24"/>
          <w:lang w:eastAsia="en-US"/>
        </w:rPr>
      </w:pPr>
      <w:r w:rsidRPr="00622884">
        <w:rPr>
          <w:rFonts w:ascii="Garamond" w:eastAsia="SimSun" w:hAnsi="Garamond" w:cs="Calibri Light"/>
          <w:b/>
          <w:sz w:val="24"/>
          <w:szCs w:val="24"/>
          <w:lang w:eastAsia="en-US" w:bidi="sq-AL"/>
        </w:rPr>
        <w:t>Objektivat e NAP-it</w:t>
      </w:r>
    </w:p>
    <w:p w14:paraId="2B8DE43E" w14:textId="77777777" w:rsidR="00622884" w:rsidRPr="00622884" w:rsidRDefault="00622884" w:rsidP="00622884">
      <w:pPr>
        <w:spacing w:after="0" w:line="240" w:lineRule="auto"/>
        <w:ind w:firstLine="284"/>
        <w:rPr>
          <w:rFonts w:ascii="Garamond" w:eastAsia="SimSun" w:hAnsi="Garamond" w:cs="Calibri Light"/>
          <w:sz w:val="24"/>
          <w:szCs w:val="24"/>
          <w:lang w:eastAsia="en-US"/>
        </w:rPr>
      </w:pPr>
      <w:r w:rsidRPr="00622884">
        <w:rPr>
          <w:rFonts w:ascii="Garamond" w:eastAsia="SimSun" w:hAnsi="Garamond" w:cs="Calibri Light"/>
          <w:sz w:val="24"/>
          <w:szCs w:val="24"/>
          <w:lang w:eastAsia="en-US" w:bidi="sq-AL"/>
        </w:rPr>
        <w:t xml:space="preserve">Në këtë kuadër të përgjithshëm, objektivi i përgjithshëm i NAP-it aktual është </w:t>
      </w:r>
      <w:r w:rsidRPr="00622884">
        <w:rPr>
          <w:rFonts w:ascii="Garamond" w:eastAsia="SimSun" w:hAnsi="Garamond" w:cs="Calibri Light"/>
          <w:b/>
          <w:i/>
          <w:sz w:val="24"/>
          <w:szCs w:val="24"/>
          <w:lang w:eastAsia="en-US" w:bidi="sq-AL"/>
        </w:rPr>
        <w:t xml:space="preserve">pakësimi i risqeve të lidhura me ndryshimet klimatike në të gjithë Shqipërinë, nëpërmjet forcimit të kapaciteteve institucionale dhe teknike, çka do të mbështetë integrimin e përshtatjes ndaj ndryshimeve klimatike (PNK) në planifikimin afatgjatë. </w:t>
      </w:r>
      <w:r w:rsidRPr="00622884">
        <w:rPr>
          <w:rFonts w:ascii="Garamond" w:eastAsia="SimSun" w:hAnsi="Garamond" w:cs="Calibri Light"/>
          <w:sz w:val="24"/>
          <w:szCs w:val="24"/>
          <w:lang w:eastAsia="en-US" w:bidi="sq-AL"/>
        </w:rPr>
        <w:t>Ky proces i NAP-it mbështet integrimin e përshtatjes në strategjitë kombëtare dhe vendore të zhvillimit, në politikat sektoriale dhe në kuadrot e planifikimit financiar. Ai, gjithashtu, shërben si një pikë referimi qendrore për koordinimin dhe harmonizimin e përpjekjeve për planifikimin e përshtatjes në nivel kombëtar dhe ndërsektorial.</w:t>
      </w:r>
    </w:p>
    <w:p w14:paraId="7D79F42A" w14:textId="77777777" w:rsidR="00622884" w:rsidRPr="00622884" w:rsidRDefault="00622884" w:rsidP="00622884">
      <w:pPr>
        <w:spacing w:after="0" w:line="240" w:lineRule="auto"/>
        <w:ind w:firstLine="284"/>
        <w:rPr>
          <w:rFonts w:ascii="Garamond" w:eastAsia="SimSun" w:hAnsi="Garamond" w:cs="Calibri Light"/>
          <w:sz w:val="24"/>
          <w:szCs w:val="24"/>
          <w:lang w:eastAsia="en-US"/>
        </w:rPr>
      </w:pPr>
      <w:r w:rsidRPr="00622884">
        <w:rPr>
          <w:rFonts w:ascii="Garamond" w:eastAsia="SimSun" w:hAnsi="Garamond" w:cs="Calibri Light"/>
          <w:sz w:val="24"/>
          <w:szCs w:val="24"/>
          <w:lang w:eastAsia="en-US" w:bidi="sq-AL"/>
        </w:rPr>
        <w:t>Duke u mbështetur në këtë qëllim, NAP-i parashikon një të ardhme ku zhvillimi socio-ekonomik i Shqipërisë është i qëndrueshëm dhe me aftësi ripërtëritëse ndaj efekteve negative të ndryshimeve klimatike. Ky vizion buron drejtpërdrejt nga objektivi i përgjithshëm i NAP-it dhe është plotësisht në përputhje me angazhimet e përgjithshme të Shqipërisë, në kuadër të marrëveshjeve ndërkombëtare, përfshirë Marrëveshjen e Parisit, duke kontribuar njëkohësisht në arritjen e objektivave të zhvillimit të qëndrueshëm (OZHQ).</w:t>
      </w:r>
    </w:p>
    <w:p w14:paraId="4A98F7B4"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r w:rsidRPr="00622884">
        <w:rPr>
          <w:rFonts w:ascii="Garamond" w:eastAsia="Calibri" w:hAnsi="Garamond" w:cs="Times New Roman"/>
          <w:sz w:val="24"/>
          <w:szCs w:val="24"/>
          <w:lang w:eastAsia="en-US" w:bidi="sq-AL"/>
        </w:rPr>
        <w:t>Për të arritur këto synime, NAP-i fokusohet te disa objektiva thelbësorë:</w:t>
      </w:r>
    </w:p>
    <w:p w14:paraId="69638563"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r w:rsidRPr="00622884">
        <w:rPr>
          <w:rFonts w:ascii="Garamond" w:eastAsia="Calibri" w:hAnsi="Garamond" w:cs="Times New Roman"/>
          <w:sz w:val="24"/>
          <w:szCs w:val="24"/>
          <w:lang w:eastAsia="en-US" w:bidi="sq-AL"/>
        </w:rPr>
        <w:t>-</w:t>
      </w:r>
      <w:r w:rsidRPr="00622884">
        <w:rPr>
          <w:rFonts w:ascii="Garamond" w:eastAsia="Calibri" w:hAnsi="Garamond" w:cs="Times New Roman"/>
          <w:b/>
          <w:sz w:val="24"/>
          <w:szCs w:val="24"/>
          <w:lang w:eastAsia="en-US" w:bidi="sq-AL"/>
        </w:rPr>
        <w:t xml:space="preserve"> Integrimi i përshtatjes ndaj klimës </w:t>
      </w:r>
      <w:r w:rsidRPr="00622884">
        <w:rPr>
          <w:rFonts w:ascii="Garamond" w:eastAsia="Calibri" w:hAnsi="Garamond" w:cs="Times New Roman"/>
          <w:sz w:val="24"/>
          <w:szCs w:val="24"/>
          <w:lang w:eastAsia="en-US" w:bidi="sq-AL"/>
        </w:rPr>
        <w:t>në politikat, planet dhe buxhetet kombëtare dhe sektoriale, duke siguruar që të gjitha veprimtaritë e zhvillimit të marrin parasysh sistematikisht risqet klimatike dhe të përfshijnë qëndrueshmërinë në strategjitë e rritjes së Shqipërisë.</w:t>
      </w:r>
    </w:p>
    <w:p w14:paraId="2A010E5E"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r w:rsidRPr="00622884">
        <w:rPr>
          <w:rFonts w:ascii="Garamond" w:eastAsia="Calibri" w:hAnsi="Garamond" w:cs="Times New Roman"/>
          <w:sz w:val="24"/>
          <w:szCs w:val="24"/>
          <w:lang w:eastAsia="en-US" w:bidi="sq-AL"/>
        </w:rPr>
        <w:t>-</w:t>
      </w:r>
      <w:r w:rsidRPr="00622884">
        <w:rPr>
          <w:rFonts w:ascii="Garamond" w:eastAsia="Calibri" w:hAnsi="Garamond" w:cs="Times New Roman"/>
          <w:b/>
          <w:sz w:val="24"/>
          <w:szCs w:val="24"/>
          <w:lang w:eastAsia="en-US" w:bidi="sq-AL"/>
        </w:rPr>
        <w:t xml:space="preserve"> Ngritja e kapaciteteve përshtatëse</w:t>
      </w:r>
      <w:r w:rsidRPr="00622884">
        <w:rPr>
          <w:rFonts w:ascii="Garamond" w:eastAsia="Calibri" w:hAnsi="Garamond" w:cs="Times New Roman"/>
          <w:sz w:val="24"/>
          <w:szCs w:val="24"/>
          <w:lang w:eastAsia="en-US" w:bidi="sq-AL"/>
        </w:rPr>
        <w:t xml:space="preserve"> në nivelet institucionale, komunitare dhe individuale, duke përmirësuar aftësinë për të kuptuar, planifikuar dhe menaxhuar ndikimet e ndryshimeve klimatike dhe për t’u përgatitur më mirë për sfidat e ardhshme.</w:t>
      </w:r>
    </w:p>
    <w:p w14:paraId="0590F91B"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r w:rsidRPr="00622884">
        <w:rPr>
          <w:rFonts w:ascii="Garamond" w:eastAsia="Calibri" w:hAnsi="Garamond" w:cs="Times New Roman"/>
          <w:sz w:val="24"/>
          <w:szCs w:val="24"/>
          <w:lang w:eastAsia="en-US" w:bidi="sq-AL"/>
        </w:rPr>
        <w:lastRenderedPageBreak/>
        <w:t>-</w:t>
      </w:r>
      <w:r w:rsidRPr="00622884">
        <w:rPr>
          <w:rFonts w:ascii="Garamond" w:eastAsia="Calibri" w:hAnsi="Garamond" w:cs="Times New Roman"/>
          <w:b/>
          <w:sz w:val="24"/>
          <w:szCs w:val="24"/>
          <w:lang w:eastAsia="en-US" w:bidi="sq-AL"/>
        </w:rPr>
        <w:t xml:space="preserve"> Nxitja e zhvillimit të qëndrueshëm</w:t>
      </w:r>
      <w:r w:rsidRPr="00622884">
        <w:rPr>
          <w:rFonts w:ascii="Garamond" w:eastAsia="Calibri" w:hAnsi="Garamond" w:cs="Times New Roman"/>
          <w:sz w:val="24"/>
          <w:szCs w:val="24"/>
          <w:lang w:eastAsia="en-US" w:bidi="sq-AL"/>
        </w:rPr>
        <w:t xml:space="preserve"> nëpërmjet përpjekjeve të përshtatjes që kontribuojnë në uljen e varfërisë, barazinë sociale dhe mbrojtjen e mjedisit, duke siguruar që përshtatja jo vetëm të zvogëlojë cenueshmërinë, por edhe të mbështesë një të ardhme gjithëpërfshirëse dhe të qëndrueshme.</w:t>
      </w:r>
    </w:p>
    <w:p w14:paraId="25B122D4"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r w:rsidRPr="00622884">
        <w:rPr>
          <w:rFonts w:ascii="Garamond" w:eastAsia="Calibri" w:hAnsi="Garamond" w:cs="Times New Roman"/>
          <w:sz w:val="24"/>
          <w:szCs w:val="24"/>
          <w:lang w:eastAsia="en-US" w:bidi="sq-AL"/>
        </w:rPr>
        <w:t>-</w:t>
      </w:r>
      <w:r w:rsidRPr="00622884">
        <w:rPr>
          <w:rFonts w:ascii="Garamond" w:eastAsia="Calibri" w:hAnsi="Garamond" w:cs="Times New Roman"/>
          <w:b/>
          <w:sz w:val="24"/>
          <w:szCs w:val="24"/>
          <w:lang w:eastAsia="en-US" w:bidi="sq-AL"/>
        </w:rPr>
        <w:t xml:space="preserve"> Lehtësimi i qasjes në financimet për klimën</w:t>
      </w:r>
      <w:r w:rsidRPr="00622884">
        <w:rPr>
          <w:rFonts w:ascii="Garamond" w:eastAsia="Calibri" w:hAnsi="Garamond" w:cs="Times New Roman"/>
          <w:sz w:val="24"/>
          <w:szCs w:val="24"/>
          <w:lang w:eastAsia="en-US" w:bidi="sq-AL"/>
        </w:rPr>
        <w:t>, nëpërmjet mobilizimit të burimeve financiare kombëtare, rajonale dhe ndërkombëtare për të mbështetur zbatimin e masave të përshtatjes dhe për t’i kthyer planet në veprime konkrete.</w:t>
      </w:r>
    </w:p>
    <w:p w14:paraId="1791E454"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r w:rsidRPr="00622884">
        <w:rPr>
          <w:rFonts w:ascii="Garamond" w:eastAsia="Calibri" w:hAnsi="Garamond" w:cs="Times New Roman"/>
          <w:sz w:val="24"/>
          <w:szCs w:val="24"/>
          <w:lang w:eastAsia="en-US" w:bidi="sq-AL"/>
        </w:rPr>
        <w:t>-</w:t>
      </w:r>
      <w:r w:rsidRPr="00622884">
        <w:rPr>
          <w:rFonts w:ascii="Garamond" w:eastAsia="Calibri" w:hAnsi="Garamond" w:cs="Times New Roman"/>
          <w:b/>
          <w:sz w:val="24"/>
          <w:szCs w:val="24"/>
          <w:lang w:eastAsia="en-US" w:bidi="sq-AL"/>
        </w:rPr>
        <w:t xml:space="preserve"> Përmirësimi i koordinimit dhe bashkëpunimit </w:t>
      </w:r>
      <w:r w:rsidRPr="00622884">
        <w:rPr>
          <w:rFonts w:ascii="Garamond" w:eastAsia="Calibri" w:hAnsi="Garamond" w:cs="Times New Roman"/>
          <w:sz w:val="24"/>
          <w:szCs w:val="24"/>
          <w:lang w:eastAsia="en-US" w:bidi="sq-AL"/>
        </w:rPr>
        <w:t>ndërmjet aktorëve kryesorë, përfshirë institucionet qeveritare, bashkitë, sektorin privat, shoqërinë civile dhe partnerët ndërkombëtarë, për të siguruar koherencë, përgjegjësi dhe një reagim të unifikuar ndaj ndryshimeve klimatike.</w:t>
      </w:r>
    </w:p>
    <w:p w14:paraId="52F11EAA" w14:textId="77777777" w:rsidR="00622884" w:rsidRPr="00622884" w:rsidRDefault="00622884" w:rsidP="00622884">
      <w:pPr>
        <w:spacing w:after="0" w:line="240" w:lineRule="auto"/>
        <w:ind w:firstLine="284"/>
        <w:rPr>
          <w:rFonts w:ascii="Garamond" w:eastAsia="SimSun" w:hAnsi="Garamond" w:cs="Calibri Light"/>
          <w:b/>
          <w:bCs/>
          <w:sz w:val="24"/>
          <w:szCs w:val="24"/>
          <w:lang w:eastAsia="en-US"/>
        </w:rPr>
      </w:pPr>
      <w:r w:rsidRPr="00622884">
        <w:rPr>
          <w:rFonts w:ascii="Garamond" w:eastAsia="SimSun" w:hAnsi="Garamond" w:cs="Calibri Light"/>
          <w:b/>
          <w:sz w:val="24"/>
          <w:szCs w:val="24"/>
          <w:lang w:eastAsia="en-US" w:bidi="sq-AL"/>
        </w:rPr>
        <w:t>Përmbajtja e NAP-it</w:t>
      </w:r>
    </w:p>
    <w:p w14:paraId="073249C9" w14:textId="77777777" w:rsidR="00622884" w:rsidRPr="00622884" w:rsidRDefault="00622884" w:rsidP="00622884">
      <w:pPr>
        <w:spacing w:after="0" w:line="240" w:lineRule="auto"/>
        <w:ind w:firstLine="284"/>
        <w:rPr>
          <w:rFonts w:ascii="Garamond" w:eastAsia="SimSun" w:hAnsi="Garamond" w:cs="Calibri Light"/>
          <w:sz w:val="24"/>
          <w:szCs w:val="24"/>
          <w:shd w:val="clear" w:color="auto" w:fill="FFFFFF"/>
          <w:lang w:eastAsia="en-US"/>
        </w:rPr>
      </w:pPr>
      <w:r w:rsidRPr="00622884">
        <w:rPr>
          <w:rFonts w:ascii="Garamond" w:eastAsia="SimSun" w:hAnsi="Garamond" w:cs="Calibri Light"/>
          <w:sz w:val="24"/>
          <w:szCs w:val="24"/>
          <w:lang w:eastAsia="en-US" w:bidi="sq-AL"/>
        </w:rPr>
        <w:t xml:space="preserve">Për t’i kthyer këto objektiva në veprim, procesi i NAP-it ka ndërmarrë </w:t>
      </w:r>
      <w:r w:rsidRPr="00622884">
        <w:rPr>
          <w:rFonts w:ascii="Garamond" w:eastAsia="SimSun" w:hAnsi="Garamond" w:cs="Calibri Light"/>
          <w:sz w:val="24"/>
          <w:szCs w:val="24"/>
          <w:shd w:val="clear" w:color="auto" w:fill="FFFFFF"/>
          <w:lang w:eastAsia="en-US" w:bidi="sq-AL"/>
        </w:rPr>
        <w:t>një sërë veprimtarish, duke përfshirë analiza institucionale dhe sektoriale, vlerësime të mangësive në kapacitete, vlerësime të nevojave, si dhe vlerësime të cenueshmërisë dhe riskut për pesë sektorët prioritarë</w:t>
      </w:r>
      <w:r w:rsidRPr="00622884">
        <w:rPr>
          <w:rFonts w:ascii="Garamond" w:eastAsia="SimSun" w:hAnsi="Garamond" w:cs="Calibri Light"/>
          <w:sz w:val="24"/>
          <w:szCs w:val="24"/>
          <w:shd w:val="clear" w:color="auto" w:fill="FFFFFF"/>
          <w:vertAlign w:val="superscript"/>
          <w:lang w:eastAsia="en-US" w:bidi="sq-AL"/>
        </w:rPr>
        <w:footnoteReference w:id="96"/>
      </w:r>
      <w:r w:rsidRPr="00622884">
        <w:rPr>
          <w:rFonts w:ascii="Garamond" w:eastAsia="SimSun" w:hAnsi="Garamond" w:cs="Calibri Light"/>
          <w:sz w:val="24"/>
          <w:szCs w:val="24"/>
          <w:shd w:val="clear" w:color="auto" w:fill="FFFFFF"/>
          <w:lang w:eastAsia="en-US" w:bidi="sq-AL"/>
        </w:rPr>
        <w:t xml:space="preserve">, dhe janë zhvilluar, gjithashtu, skenarë klimatikë në nivel kombëtar dhe vendor, janë identifikuar dhe prioritizuar alternativat e përshtatjes, është mbështetur </w:t>
      </w:r>
      <w:r w:rsidRPr="00622884">
        <w:rPr>
          <w:rFonts w:ascii="Garamond" w:eastAsia="SimSun" w:hAnsi="Garamond" w:cs="Calibri Light"/>
          <w:sz w:val="24"/>
          <w:szCs w:val="24"/>
          <w:lang w:eastAsia="en-US" w:bidi="sq-AL"/>
        </w:rPr>
        <w:t>digjitalizimi i të dhënave</w:t>
      </w:r>
      <w:r w:rsidRPr="00622884">
        <w:rPr>
          <w:rFonts w:ascii="Garamond" w:eastAsia="SimSun" w:hAnsi="Garamond" w:cs="Calibri Light"/>
          <w:sz w:val="24"/>
          <w:szCs w:val="24"/>
          <w:shd w:val="clear" w:color="auto" w:fill="FFFFFF"/>
          <w:lang w:eastAsia="en-US" w:bidi="sq-AL"/>
        </w:rPr>
        <w:t xml:space="preserve">, janë identifikuar alternativat e financimit për PNK-në, janë zhvilluar kurrikula dhe mjete për përmirësimin e kapaciteteve për planifikimin, buxhetimin dhe integrimin e përshtatjes me klimën, </w:t>
      </w:r>
      <w:r w:rsidRPr="00622884">
        <w:rPr>
          <w:rFonts w:ascii="Garamond" w:eastAsia="SimSun" w:hAnsi="Garamond" w:cs="Calibri Light"/>
          <w:sz w:val="24"/>
          <w:szCs w:val="24"/>
          <w:lang w:eastAsia="en-US" w:bidi="sq-AL"/>
        </w:rPr>
        <w:t xml:space="preserve">si dhe janë kryer veprimtari informuese dhe trajnime në nivel kombëtar dhe vendor, </w:t>
      </w:r>
      <w:r w:rsidRPr="00622884">
        <w:rPr>
          <w:rFonts w:ascii="Garamond" w:eastAsia="SimSun" w:hAnsi="Garamond" w:cs="Calibri Light"/>
          <w:sz w:val="24"/>
          <w:szCs w:val="24"/>
          <w:shd w:val="clear" w:color="auto" w:fill="FFFFFF"/>
          <w:lang w:eastAsia="en-US" w:bidi="sq-AL"/>
        </w:rPr>
        <w:t xml:space="preserve">ndër të tjera. </w:t>
      </w:r>
      <w:r w:rsidRPr="00622884">
        <w:rPr>
          <w:rFonts w:ascii="Garamond" w:eastAsia="SimSun" w:hAnsi="Garamond" w:cs="Calibri Light"/>
          <w:sz w:val="24"/>
          <w:szCs w:val="24"/>
          <w:lang w:eastAsia="en-US" w:bidi="sq-AL"/>
        </w:rPr>
        <w:t xml:space="preserve">Këto </w:t>
      </w:r>
      <w:r w:rsidRPr="00622884">
        <w:rPr>
          <w:rFonts w:ascii="Garamond" w:eastAsia="SimSun" w:hAnsi="Garamond" w:cs="Calibri Light"/>
          <w:sz w:val="24"/>
          <w:szCs w:val="24"/>
          <w:shd w:val="clear" w:color="auto" w:fill="FFFFFF"/>
          <w:lang w:eastAsia="en-US" w:bidi="sq-AL"/>
        </w:rPr>
        <w:t>veprimtari kanë sjellë një sërë produktesh që kanë orientuar dokumentin dhe procesin aktual të NAP-it.</w:t>
      </w:r>
      <w:r w:rsidRPr="00622884">
        <w:rPr>
          <w:rFonts w:ascii="Garamond" w:eastAsia="SimSun" w:hAnsi="Garamond" w:cs="Calibri Light"/>
          <w:sz w:val="24"/>
          <w:szCs w:val="24"/>
          <w:lang w:eastAsia="en-US" w:bidi="sq-AL"/>
        </w:rPr>
        <w:t xml:space="preserve"> </w:t>
      </w:r>
    </w:p>
    <w:p w14:paraId="2F455852" w14:textId="77777777" w:rsidR="00622884" w:rsidRPr="00622884" w:rsidRDefault="00622884" w:rsidP="00622884">
      <w:pPr>
        <w:spacing w:after="0" w:line="240" w:lineRule="auto"/>
        <w:ind w:firstLine="284"/>
        <w:rPr>
          <w:rFonts w:ascii="Garamond" w:eastAsia="SimSun" w:hAnsi="Garamond" w:cs="Calibri Light"/>
          <w:sz w:val="24"/>
          <w:szCs w:val="24"/>
          <w:lang w:eastAsia="en-US"/>
        </w:rPr>
      </w:pPr>
      <w:r w:rsidRPr="00622884">
        <w:rPr>
          <w:rFonts w:ascii="Garamond" w:eastAsia="Calibri" w:hAnsi="Garamond" w:cs="Times New Roman"/>
          <w:sz w:val="24"/>
          <w:szCs w:val="24"/>
          <w:lang w:eastAsia="en-US" w:bidi="sq-AL"/>
        </w:rPr>
        <w:t>Kapitujt vijues trajtojnë përshtatjen ndaj ndryshimeve klimatike dhe procesin e NAP-it në nivel botëror dhe kombëtar; përshkruajnë rrethanat kombëtare, cenueshmëritë, rreziqet, alternativat dhe vlerësimet e përshtatjes për Shqipërinë dhe sektorët e saj prioritarë; dhe më tej paraqesin ndërhyrjet prioritare në nivel ndërsektorial dhe sektorial. Gjithashtu, dokumenti mundëson një përmbledhje të konsideratave kryesore të nevojshme për zbatimin e suksesshëm të tij, duke përfshirë detaje mbi organizimet e nevojshme të zbatimit të masave, integrimin gjinor gjatë</w:t>
      </w:r>
      <w:r w:rsidRPr="00622884">
        <w:rPr>
          <w:rFonts w:ascii="Garamond" w:eastAsia="Calibri" w:hAnsi="Garamond" w:cs="Times New Roman"/>
          <w:sz w:val="24"/>
          <w:szCs w:val="24"/>
          <w:shd w:val="clear" w:color="auto" w:fill="FFFFFF"/>
          <w:lang w:eastAsia="en-US" w:bidi="sq-AL"/>
        </w:rPr>
        <w:t xml:space="preserve"> të</w:t>
      </w:r>
      <w:r w:rsidRPr="00622884">
        <w:rPr>
          <w:rFonts w:ascii="Garamond" w:eastAsia="Calibri" w:hAnsi="Garamond" w:cs="Times New Roman"/>
          <w:sz w:val="24"/>
          <w:szCs w:val="24"/>
          <w:lang w:eastAsia="en-US" w:bidi="sq-AL"/>
        </w:rPr>
        <w:t xml:space="preserve"> gjithë procesit, si dhe komunikimin aktiv dhe përfshirjen e aktorëve.</w:t>
      </w:r>
    </w:p>
    <w:p w14:paraId="125A1364" w14:textId="77777777" w:rsidR="00622884" w:rsidRPr="00622884" w:rsidRDefault="00622884" w:rsidP="00622884">
      <w:pPr>
        <w:spacing w:after="0" w:line="240" w:lineRule="auto"/>
        <w:ind w:firstLine="284"/>
        <w:rPr>
          <w:rFonts w:ascii="Garamond" w:eastAsia="Calibri" w:hAnsi="Garamond" w:cs="Times New Roman"/>
          <w:sz w:val="24"/>
          <w:szCs w:val="24"/>
          <w:lang w:eastAsia="en-US" w:bidi="sq-AL"/>
        </w:rPr>
      </w:pPr>
      <w:r w:rsidRPr="00622884">
        <w:rPr>
          <w:rFonts w:ascii="Garamond" w:eastAsia="Calibri" w:hAnsi="Garamond" w:cs="Times New Roman"/>
          <w:sz w:val="24"/>
          <w:szCs w:val="24"/>
          <w:lang w:eastAsia="en-US" w:bidi="sq-AL"/>
        </w:rPr>
        <w:t xml:space="preserve">E gjithë kjo mbështetet nga një strategji financimi, e cila ofron alternativa për financimin e nevojave të identifikuara, si dhe nga një kuadër i përshtatshëm për monitorimin, vlerësimin dhe të nxënit për të lehtësuar ndjekjen e rezultateve. Disa nga këto elemente janë trajtuar më gjerësisht në dokumentet plotësuese të NAP-it: Plani i zbatimit për veprimet e prioritizuara të përshtatjes; Strategjia e financimit të NAP-it; Plani i veprimit për barazinë gjinore (PVBGJ) i NAP-it; Plani për komunikimin dhe angazhimin e palëve të interesit (PKAPI) i NAP-it; Kuadri i monitorimit, vlerësimit dhe të nxënit (MVN) i NAP-it. </w:t>
      </w:r>
      <w:bookmarkStart w:id="209" w:name="_Toc213936218"/>
    </w:p>
    <w:p w14:paraId="24A68F63" w14:textId="77777777" w:rsidR="00622884" w:rsidRPr="00622884" w:rsidRDefault="00622884" w:rsidP="00622884">
      <w:pPr>
        <w:spacing w:after="0" w:line="240" w:lineRule="auto"/>
        <w:ind w:firstLine="284"/>
        <w:rPr>
          <w:rFonts w:ascii="Garamond" w:eastAsia="Calibri" w:hAnsi="Garamond" w:cs="Times New Roman"/>
          <w:sz w:val="24"/>
          <w:szCs w:val="24"/>
          <w:lang w:eastAsia="en-US" w:bidi="sq-AL"/>
        </w:rPr>
      </w:pPr>
      <w:r w:rsidRPr="00622884">
        <w:rPr>
          <w:rFonts w:ascii="Garamond" w:eastAsia="Calibri" w:hAnsi="Garamond" w:cs="Times New Roman"/>
          <w:sz w:val="24"/>
          <w:szCs w:val="24"/>
          <w:lang w:eastAsia="en-US" w:bidi="sq-AL"/>
        </w:rPr>
        <w:t>2. PËRSHTATJA NDAJ NDRYSHIMEVE KLIMATIKE, PROCESI I NAP-it DHE ARRITJET</w:t>
      </w:r>
      <w:bookmarkEnd w:id="209"/>
      <w:r w:rsidRPr="00622884">
        <w:rPr>
          <w:rFonts w:ascii="Garamond" w:eastAsia="Calibri" w:hAnsi="Garamond" w:cs="Times New Roman"/>
          <w:sz w:val="24"/>
          <w:szCs w:val="24"/>
          <w:lang w:eastAsia="en-US" w:bidi="sq-AL"/>
        </w:rPr>
        <w:t xml:space="preserve"> </w:t>
      </w:r>
    </w:p>
    <w:p w14:paraId="24D79B50" w14:textId="77777777" w:rsidR="00622884" w:rsidRPr="00622884" w:rsidRDefault="00622884" w:rsidP="00622884">
      <w:pPr>
        <w:keepNext/>
        <w:keepLines/>
        <w:spacing w:after="0" w:line="240" w:lineRule="auto"/>
        <w:ind w:firstLine="284"/>
        <w:outlineLvl w:val="1"/>
        <w:rPr>
          <w:rFonts w:ascii="Garamond" w:eastAsia="MS Mincho" w:hAnsi="Garamond" w:cs="Times New Roman"/>
          <w:b/>
          <w:bCs/>
          <w:caps/>
          <w:sz w:val="24"/>
          <w:szCs w:val="24"/>
          <w:lang w:eastAsia="es-ES"/>
        </w:rPr>
      </w:pPr>
      <w:bookmarkStart w:id="210" w:name="_Toc213936219"/>
      <w:r w:rsidRPr="00622884">
        <w:rPr>
          <w:rFonts w:ascii="Garamond" w:eastAsia="MS Mincho" w:hAnsi="Garamond" w:cs="Times New Roman"/>
          <w:b/>
          <w:bCs/>
          <w:caps/>
          <w:sz w:val="24"/>
          <w:szCs w:val="24"/>
          <w:lang w:eastAsia="es-ES" w:bidi="sq-AL"/>
        </w:rPr>
        <w:t xml:space="preserve">2.1 </w:t>
      </w:r>
      <w:r w:rsidRPr="00622884">
        <w:rPr>
          <w:rFonts w:ascii="Garamond" w:eastAsia="MS Mincho" w:hAnsi="Garamond" w:cs="Times New Roman"/>
          <w:b/>
          <w:bCs/>
          <w:sz w:val="24"/>
          <w:szCs w:val="24"/>
          <w:lang w:eastAsia="es-ES" w:bidi="sq-AL"/>
        </w:rPr>
        <w:t>Nevoja për përshtatje</w:t>
      </w:r>
      <w:bookmarkEnd w:id="210"/>
    </w:p>
    <w:p w14:paraId="7E6E1770" w14:textId="77777777" w:rsidR="00622884" w:rsidRPr="00622884" w:rsidRDefault="00622884" w:rsidP="00622884">
      <w:pPr>
        <w:spacing w:after="0" w:line="240" w:lineRule="auto"/>
        <w:ind w:firstLine="284"/>
        <w:rPr>
          <w:rFonts w:ascii="Garamond" w:eastAsia="SimSun" w:hAnsi="Garamond" w:cs="Calibri Light"/>
          <w:sz w:val="24"/>
          <w:szCs w:val="24"/>
          <w:lang w:eastAsia="en-US"/>
        </w:rPr>
      </w:pPr>
      <w:bookmarkStart w:id="211" w:name="_Hlk157432263"/>
      <w:r w:rsidRPr="00622884">
        <w:rPr>
          <w:rFonts w:ascii="Garamond" w:eastAsia="SimSun" w:hAnsi="Garamond" w:cs="Calibri Light"/>
          <w:sz w:val="24"/>
          <w:szCs w:val="24"/>
          <w:lang w:eastAsia="en-US" w:bidi="sq-AL"/>
        </w:rPr>
        <w:t xml:space="preserve">Ndryshimet klimatike përbëjnë një kërcënim të paprecedent ndaj jetës dhe mjeteve të jetesës së miliarda njerëzve </w:t>
      </w:r>
      <w:r w:rsidRPr="00622884">
        <w:rPr>
          <w:rFonts w:ascii="Garamond" w:eastAsia="SimSun" w:hAnsi="Garamond" w:cs="Calibri Light"/>
          <w:b/>
          <w:sz w:val="24"/>
          <w:szCs w:val="24"/>
          <w:lang w:eastAsia="en-US" w:bidi="sq-AL"/>
        </w:rPr>
        <w:t>në mbarë botën</w:t>
      </w:r>
      <w:r w:rsidRPr="00622884">
        <w:rPr>
          <w:rFonts w:ascii="Garamond" w:eastAsia="SimSun" w:hAnsi="Garamond" w:cs="Calibri Light"/>
          <w:sz w:val="24"/>
          <w:szCs w:val="24"/>
          <w:lang w:eastAsia="en-US" w:bidi="sq-AL"/>
        </w:rPr>
        <w:t>.</w:t>
      </w:r>
      <w:r w:rsidRPr="00622884">
        <w:rPr>
          <w:rFonts w:ascii="Garamond" w:eastAsia="SimSun" w:hAnsi="Garamond" w:cs="Calibri Light"/>
          <w:b/>
          <w:sz w:val="24"/>
          <w:szCs w:val="24"/>
          <w:lang w:eastAsia="en-US" w:bidi="sq-AL"/>
        </w:rPr>
        <w:t xml:space="preserve"> </w:t>
      </w:r>
      <w:r w:rsidRPr="00622884">
        <w:rPr>
          <w:rFonts w:ascii="Garamond" w:eastAsia="SimSun" w:hAnsi="Garamond" w:cs="Calibri Light"/>
          <w:sz w:val="24"/>
          <w:szCs w:val="24"/>
          <w:lang w:eastAsia="en-US" w:bidi="sq-AL"/>
        </w:rPr>
        <w:t>Ato mund të rrisin shpeshtësinë e ngjarjeve ekstreme dhe katastrofike të motit, të ndikojnë në cilësinë e ajrit dhe të ujit, të rrisin përhapjen e disa sëmundjeve, të ndikojnë në zonat dhe komunitetet bregdetare, të kërcënojnë cilësinë dhe sigurinë ushqimore, të rrisin çmimet e ushqimeve dhe të kërcënojnë ekzistencën e llojeve, habitateve dhe peizazheve. Për pasojë, kanë një ndikim veçanërisht të theksuar te mjetet e jetesës, përfitimet dhe perspektivat e brezave të ardhshëm për një jetë dinjitoze dhe të qëndrueshme.</w:t>
      </w:r>
    </w:p>
    <w:p w14:paraId="6086198C" w14:textId="77777777" w:rsidR="00622884" w:rsidRPr="00622884" w:rsidRDefault="00622884" w:rsidP="00622884">
      <w:pPr>
        <w:spacing w:after="0" w:line="240" w:lineRule="auto"/>
        <w:ind w:firstLine="284"/>
        <w:rPr>
          <w:rFonts w:ascii="Garamond" w:eastAsia="SimSun" w:hAnsi="Garamond" w:cs="Calibri Light"/>
          <w:sz w:val="24"/>
          <w:szCs w:val="24"/>
          <w:lang w:eastAsia="en-US"/>
        </w:rPr>
      </w:pPr>
      <w:r w:rsidRPr="00622884">
        <w:rPr>
          <w:rFonts w:ascii="Garamond" w:eastAsia="SimSun" w:hAnsi="Garamond" w:cs="Calibri Light"/>
          <w:sz w:val="24"/>
          <w:szCs w:val="24"/>
          <w:lang w:eastAsia="en-US" w:bidi="sq-AL"/>
        </w:rPr>
        <w:t xml:space="preserve">Përshtatja ndaj ndryshimeve klimatike është procesi i rregullimit të sistemeve dhe menaxhimit të rreziqeve të ndryshimeve klimatike përmes një procesi të identifikimit, planifikimit, zhvillimit </w:t>
      </w:r>
      <w:r w:rsidRPr="00622884">
        <w:rPr>
          <w:rFonts w:ascii="Garamond" w:eastAsia="SimSun" w:hAnsi="Garamond" w:cs="Calibri Light"/>
          <w:sz w:val="24"/>
          <w:szCs w:val="24"/>
          <w:lang w:eastAsia="en-US" w:bidi="sq-AL"/>
        </w:rPr>
        <w:lastRenderedPageBreak/>
        <w:t>dhe zbatimit të politikave, programeve dhe projekteve, me qëllim përballimin, zvogëlimin e cenueshmërisë dhe rritjen e aftësisë ripërtëritëse ndaj një klime në ndryshim. Për shkak të vendndodhjes gjeografike ose kushteve socio-ekonomike, disa vende ose rajone janë më të prekura nga ndikimet e ndryshimeve klimatike. Pavarësisht prirjeve inkurajuese, ecuria e arritur deri më sot në nivel botëror sa i përket përshtatjes nuk është në shkallën e nevojshme</w:t>
      </w:r>
      <w:r w:rsidRPr="00622884">
        <w:rPr>
          <w:rFonts w:ascii="Garamond" w:eastAsia="SimSun" w:hAnsi="Garamond" w:cs="Calibri Light"/>
          <w:sz w:val="24"/>
          <w:szCs w:val="24"/>
          <w:vertAlign w:val="superscript"/>
          <w:lang w:eastAsia="en-US" w:bidi="sq-AL"/>
        </w:rPr>
        <w:footnoteReference w:id="97"/>
      </w:r>
      <w:r w:rsidRPr="00622884">
        <w:rPr>
          <w:rFonts w:ascii="Garamond" w:eastAsia="SimSun" w:hAnsi="Garamond" w:cs="Calibri Light"/>
          <w:sz w:val="24"/>
          <w:szCs w:val="24"/>
          <w:lang w:eastAsia="en-US" w:bidi="sq-AL"/>
        </w:rPr>
        <w:t>. Nevoja për të përshpejtuar veprimet për përshtatjen është urgjente, pasi 40% e njerëzimit tashmë jeton në zona me cenueshmëri të lartë ndaj klimës</w:t>
      </w:r>
      <w:r w:rsidRPr="00622884">
        <w:rPr>
          <w:rFonts w:ascii="Garamond" w:eastAsia="SimSun" w:hAnsi="Garamond" w:cs="Calibri Light"/>
          <w:sz w:val="24"/>
          <w:szCs w:val="24"/>
          <w:vertAlign w:val="superscript"/>
          <w:lang w:eastAsia="en-US" w:bidi="sq-AL"/>
        </w:rPr>
        <w:footnoteReference w:id="98"/>
      </w:r>
      <w:r w:rsidRPr="00622884">
        <w:rPr>
          <w:rFonts w:ascii="Garamond" w:eastAsia="SimSun" w:hAnsi="Garamond" w:cs="Calibri Light"/>
          <w:sz w:val="24"/>
          <w:szCs w:val="24"/>
          <w:lang w:eastAsia="en-US" w:bidi="sq-AL"/>
        </w:rPr>
        <w:t>. Pritet që bota do të përballet me nivele të rrezikshme të risqeve klimatike përpara fundit të shekullit XXI. Prandaj, përshtatja urgjente është e domosdoshme për të pakësuar risqet klimatike ekzistuese dhe të ardhshme, të cilat, nëse nuk trajtohen, do të çojnë pashmangshmërisht në humbje dhe dëme të mëtejshme të lidhura me klimën, që vlerësohet se kanë tejkaluar 500 miliardë dollarë amerikanë gjatë dy dekadave të fundit në 55 ekonomitë më të cenueshme ndaj klimës</w:t>
      </w:r>
      <w:r w:rsidRPr="00622884">
        <w:rPr>
          <w:rFonts w:ascii="Garamond" w:eastAsia="SimSun" w:hAnsi="Garamond" w:cs="Calibri Light"/>
          <w:sz w:val="24"/>
          <w:szCs w:val="24"/>
          <w:vertAlign w:val="superscript"/>
          <w:lang w:eastAsia="en-US" w:bidi="sq-AL"/>
        </w:rPr>
        <w:footnoteReference w:id="99"/>
      </w:r>
      <w:r w:rsidRPr="00622884">
        <w:rPr>
          <w:rFonts w:ascii="Garamond" w:eastAsia="SimSun" w:hAnsi="Garamond" w:cs="Calibri Light"/>
          <w:sz w:val="24"/>
          <w:szCs w:val="24"/>
          <w:lang w:eastAsia="en-US" w:bidi="sq-AL"/>
        </w:rPr>
        <w:t>.</w:t>
      </w:r>
    </w:p>
    <w:p w14:paraId="138F056D" w14:textId="77777777" w:rsidR="00622884" w:rsidRPr="00622884" w:rsidRDefault="00622884" w:rsidP="00622884">
      <w:pPr>
        <w:spacing w:after="0" w:line="240" w:lineRule="auto"/>
        <w:ind w:firstLine="284"/>
        <w:rPr>
          <w:rFonts w:ascii="Garamond" w:eastAsia="SimSun" w:hAnsi="Garamond" w:cs="Calibri Light"/>
          <w:sz w:val="24"/>
          <w:szCs w:val="24"/>
          <w:lang w:eastAsia="en-US"/>
        </w:rPr>
      </w:pPr>
      <w:r w:rsidRPr="00622884">
        <w:rPr>
          <w:rFonts w:ascii="Garamond" w:eastAsia="SimSun" w:hAnsi="Garamond" w:cs="Calibri Light"/>
          <w:b/>
          <w:sz w:val="24"/>
          <w:szCs w:val="24"/>
          <w:lang w:eastAsia="en-US" w:bidi="sq-AL"/>
        </w:rPr>
        <w:t>Evropa</w:t>
      </w:r>
      <w:r w:rsidRPr="00622884">
        <w:rPr>
          <w:rFonts w:ascii="Garamond" w:eastAsia="SimSun" w:hAnsi="Garamond" w:cs="Calibri Light"/>
          <w:sz w:val="24"/>
          <w:szCs w:val="24"/>
          <w:lang w:eastAsia="en-US" w:bidi="sq-AL"/>
        </w:rPr>
        <w:t xml:space="preserve"> po përjeton gjithnjë e më shumë valë të nxehti ekstrem, thatësira, zjarre në pyje dhe përmbytje vitet e fundit, dhe risqet klimatike po kërcënojnë sigurinë e saj energjetike dhe ushqimore, ekosistemet, infrastrukturën, burimet ujore, stabilitetin financiar dhe shëndetin e njerëzve. Rajonet e ultësirave bregdetare të Evropës, duke përfshirë shumë qytete me popullsi të dendur, përballen me risqe gjithnjë e më të mëdha nga përmbytjet, erozioni dhe depërtimi i ujërave të kripura</w:t>
      </w:r>
      <w:r w:rsidRPr="00622884">
        <w:rPr>
          <w:rFonts w:ascii="Garamond" w:eastAsia="SimSun" w:hAnsi="Garamond" w:cs="Calibri Light"/>
          <w:sz w:val="24"/>
          <w:szCs w:val="24"/>
          <w:vertAlign w:val="superscript"/>
          <w:lang w:eastAsia="en-US" w:bidi="sq-AL"/>
        </w:rPr>
        <w:footnoteReference w:id="100"/>
      </w:r>
      <w:r w:rsidRPr="00622884">
        <w:rPr>
          <w:rFonts w:ascii="Garamond" w:eastAsia="SimSun" w:hAnsi="Garamond" w:cs="Calibri Light"/>
          <w:sz w:val="24"/>
          <w:szCs w:val="24"/>
          <w:lang w:eastAsia="en-US" w:bidi="sq-AL"/>
        </w:rPr>
        <w:t>. Në vitin 2024, Evropa ishte kontinenti që u ngroh më shpejt në botë, ku pjesët juglindore përjetuan nxehtësi dhe thatësira veçanërisht ekstreme, ndërsa temperatura mesatare vjetore e sipërfaqes së Detit Mesdhe arriti nivelin më të lartë të regjistruar ndonjëherë</w:t>
      </w:r>
      <w:r w:rsidRPr="00622884">
        <w:rPr>
          <w:rFonts w:ascii="Garamond" w:eastAsia="SimSun" w:hAnsi="Garamond" w:cs="Calibri Light"/>
          <w:sz w:val="24"/>
          <w:szCs w:val="24"/>
          <w:vertAlign w:val="superscript"/>
          <w:lang w:eastAsia="en-US" w:bidi="sq-AL"/>
        </w:rPr>
        <w:footnoteReference w:id="101"/>
      </w:r>
      <w:r w:rsidRPr="00622884">
        <w:rPr>
          <w:rFonts w:ascii="Garamond" w:eastAsia="SimSun" w:hAnsi="Garamond" w:cs="Calibri Light"/>
          <w:sz w:val="24"/>
          <w:szCs w:val="24"/>
          <w:lang w:eastAsia="en-US" w:bidi="sq-AL"/>
        </w:rPr>
        <w:t>.</w:t>
      </w:r>
    </w:p>
    <w:p w14:paraId="70CFD9D9" w14:textId="77777777" w:rsidR="00622884" w:rsidRPr="00622884" w:rsidRDefault="00622884" w:rsidP="00622884">
      <w:pPr>
        <w:spacing w:after="0" w:line="240" w:lineRule="auto"/>
        <w:ind w:firstLine="284"/>
        <w:rPr>
          <w:rFonts w:ascii="Garamond" w:eastAsia="SimSun" w:hAnsi="Garamond" w:cs="Calibri Light"/>
          <w:sz w:val="24"/>
          <w:szCs w:val="24"/>
          <w:lang w:eastAsia="en-US"/>
        </w:rPr>
      </w:pPr>
      <w:r w:rsidRPr="00622884">
        <w:rPr>
          <w:rFonts w:ascii="Garamond" w:eastAsia="SimSun" w:hAnsi="Garamond" w:cs="Calibri Light"/>
          <w:sz w:val="24"/>
          <w:szCs w:val="24"/>
          <w:lang w:eastAsia="en-US" w:bidi="sq-AL"/>
        </w:rPr>
        <w:t xml:space="preserve">Edhe pse ndryshimet klimatike prekin çdo vend, </w:t>
      </w:r>
      <w:r w:rsidRPr="00622884">
        <w:rPr>
          <w:rFonts w:ascii="Garamond" w:eastAsia="SimSun" w:hAnsi="Garamond" w:cs="Calibri Light"/>
          <w:b/>
          <w:sz w:val="24"/>
          <w:szCs w:val="24"/>
          <w:lang w:eastAsia="en-US" w:bidi="sq-AL"/>
        </w:rPr>
        <w:t>Shqipëria</w:t>
      </w:r>
      <w:r w:rsidRPr="00622884">
        <w:rPr>
          <w:rFonts w:ascii="Garamond" w:eastAsia="SimSun" w:hAnsi="Garamond" w:cs="Calibri Light"/>
          <w:sz w:val="24"/>
          <w:szCs w:val="24"/>
          <w:lang w:eastAsia="en-US" w:bidi="sq-AL"/>
        </w:rPr>
        <w:t xml:space="preserve">, për shkak të pozicionit të saj bregdetar në Evropën Jugore, si dhe për shkak të kushteve të saj socio-ekonomike, institucionale dhe rregullatore, përballet me risqe klimatike veçanërisht të larta. Shqipëria ka një nga nivelet më të larta të riskut dhe ekspozimit ndaj fatkeqësive ndër vendet evropiane, ku ngjarje klimatike si përmbytjet, zjarret në pyje dhe rrëshqitjet e dheut, së bashku me fatkeqësi të tjera natyrore si tërmetet, kanë prekur 95 për qind të bashkive gjatë dy dekadave të fundit. Ndikimet e ndryshimeve klimatike në Shqipëri po bëhen gjithnjë e më të shpeshta dhe më të rënda, ku skenarët klimatikë parashikojnë periudha më të gjata, më të nxehta dhe më të thata, si dhe rritje të vazhdueshme të nivelit të detit, duke ndikuar te burimet ujore të vendit, bujqësia, turizmi, shëndeti publik, sektori energjetik dhe zonat bregdetare. Vlerësimet e kujdesshme tregojnë se dëmet ekonomike të lidhura me klimën mund të arrijnë deri në 7% të PBB-së vetëm në vitin </w:t>
      </w:r>
      <w:r w:rsidRPr="00622884">
        <w:rPr>
          <w:rFonts w:ascii="Garamond" w:eastAsia="SimSun" w:hAnsi="Garamond" w:cs="Calibri Light"/>
          <w:sz w:val="24"/>
          <w:szCs w:val="24"/>
          <w:lang w:eastAsia="en-US" w:bidi="sq-AL"/>
        </w:rPr>
        <w:lastRenderedPageBreak/>
        <w:t>2050.</w:t>
      </w:r>
      <w:r w:rsidRPr="00622884">
        <w:rPr>
          <w:rFonts w:ascii="Garamond" w:eastAsia="SimSun" w:hAnsi="Garamond" w:cs="Calibri Light"/>
          <w:sz w:val="24"/>
          <w:szCs w:val="24"/>
          <w:vertAlign w:val="superscript"/>
          <w:lang w:eastAsia="en-US" w:bidi="sq-AL"/>
        </w:rPr>
        <w:footnoteReference w:id="102"/>
      </w:r>
      <w:r w:rsidRPr="00622884">
        <w:rPr>
          <w:rFonts w:ascii="Garamond" w:eastAsia="SimSun" w:hAnsi="Garamond" w:cs="Calibri Light"/>
          <w:sz w:val="24"/>
          <w:szCs w:val="24"/>
          <w:lang w:eastAsia="en-US" w:bidi="sq-AL"/>
        </w:rPr>
        <w:t xml:space="preserve"> Këto cenueshmëri, risqe dhe humbjet shoqëruese janë trajtuar më hollësisht në kapitullin 4. Nëse nuk trajtohen, këto ndikime klimatike do të vazhdojnë të minojnë përparimin dhe të dobësojnë aftësinë ripërtëritëse të komuniteteve në Shqipëri. Prandaj, investimet në përshtatje janë thelbësore, pasi përfitimet e tyre janë shumë herë më të mëdha sesa kostot. </w:t>
      </w:r>
      <w:r w:rsidRPr="00622884">
        <w:rPr>
          <w:rFonts w:ascii="Garamond" w:eastAsia="SimSun" w:hAnsi="Garamond" w:cs="Calibri Light"/>
          <w:sz w:val="24"/>
          <w:szCs w:val="24"/>
          <w:shd w:val="clear" w:color="auto" w:fill="FFFFFF"/>
          <w:lang w:eastAsia="en-US" w:bidi="sq-AL"/>
        </w:rPr>
        <w:t>Analizat nga rajoni tregojnë se për çdo 1 euro të investuar, vlera e kthimit varion nga 2 deri në 10 euro, me përfitime që përfshijnë reduktimin e humbjeve, rritjen e potencialit ekonomik dhe bashkëpërfitime sociale e mjedisore.</w:t>
      </w:r>
      <w:r w:rsidRPr="00622884">
        <w:rPr>
          <w:rFonts w:ascii="Garamond" w:eastAsia="SimSun" w:hAnsi="Garamond" w:cs="Calibri Light"/>
          <w:sz w:val="24"/>
          <w:szCs w:val="24"/>
          <w:shd w:val="clear" w:color="auto" w:fill="FFFFFF"/>
          <w:vertAlign w:val="superscript"/>
          <w:lang w:eastAsia="en-US" w:bidi="sq-AL"/>
        </w:rPr>
        <w:footnoteReference w:id="103"/>
      </w:r>
    </w:p>
    <w:p w14:paraId="70E53CF6" w14:textId="77777777" w:rsidR="00622884" w:rsidRPr="00622884" w:rsidRDefault="00622884" w:rsidP="00622884">
      <w:pPr>
        <w:keepNext/>
        <w:keepLines/>
        <w:spacing w:after="0" w:line="240" w:lineRule="auto"/>
        <w:ind w:firstLine="284"/>
        <w:outlineLvl w:val="1"/>
        <w:rPr>
          <w:rFonts w:ascii="Garamond" w:eastAsia="MS Mincho" w:hAnsi="Garamond" w:cs="Times New Roman"/>
          <w:b/>
          <w:bCs/>
          <w:caps/>
          <w:sz w:val="24"/>
          <w:szCs w:val="24"/>
          <w:lang w:eastAsia="es-ES"/>
        </w:rPr>
      </w:pPr>
      <w:bookmarkStart w:id="212" w:name="_Toc213936220"/>
      <w:bookmarkEnd w:id="211"/>
      <w:r w:rsidRPr="00622884">
        <w:rPr>
          <w:rFonts w:ascii="Garamond" w:eastAsia="MS Mincho" w:hAnsi="Garamond" w:cs="Times New Roman"/>
          <w:b/>
          <w:bCs/>
          <w:caps/>
          <w:sz w:val="24"/>
          <w:szCs w:val="24"/>
          <w:lang w:eastAsia="es-ES" w:bidi="sq-AL"/>
        </w:rPr>
        <w:t xml:space="preserve">2.2 </w:t>
      </w:r>
      <w:r w:rsidRPr="00622884">
        <w:rPr>
          <w:rFonts w:ascii="Garamond" w:eastAsia="MS Mincho" w:hAnsi="Garamond" w:cs="Times New Roman"/>
          <w:b/>
          <w:bCs/>
          <w:sz w:val="24"/>
          <w:szCs w:val="24"/>
          <w:lang w:eastAsia="es-ES" w:bidi="sq-AL"/>
        </w:rPr>
        <w:t>Sfondi i</w:t>
      </w:r>
      <w:r w:rsidRPr="00622884">
        <w:rPr>
          <w:rFonts w:ascii="Garamond" w:eastAsia="MS Mincho" w:hAnsi="Garamond" w:cs="Times New Roman"/>
          <w:b/>
          <w:bCs/>
          <w:caps/>
          <w:sz w:val="24"/>
          <w:szCs w:val="24"/>
          <w:lang w:eastAsia="es-ES" w:bidi="sq-AL"/>
        </w:rPr>
        <w:t xml:space="preserve"> NAP-</w:t>
      </w:r>
      <w:r w:rsidRPr="00622884">
        <w:rPr>
          <w:rFonts w:ascii="Garamond" w:eastAsia="MS Mincho" w:hAnsi="Garamond" w:cs="Times New Roman"/>
          <w:b/>
          <w:bCs/>
          <w:sz w:val="24"/>
          <w:szCs w:val="24"/>
          <w:lang w:eastAsia="es-ES" w:bidi="sq-AL"/>
        </w:rPr>
        <w:t>it</w:t>
      </w:r>
      <w:r w:rsidRPr="00622884">
        <w:rPr>
          <w:rFonts w:ascii="Garamond" w:eastAsia="MS Mincho" w:hAnsi="Garamond" w:cs="Times New Roman"/>
          <w:b/>
          <w:bCs/>
          <w:caps/>
          <w:sz w:val="24"/>
          <w:szCs w:val="24"/>
          <w:lang w:eastAsia="es-ES" w:bidi="sq-AL"/>
        </w:rPr>
        <w:t xml:space="preserve"> </w:t>
      </w:r>
      <w:r w:rsidRPr="00622884">
        <w:rPr>
          <w:rFonts w:ascii="Garamond" w:eastAsia="MS Mincho" w:hAnsi="Garamond" w:cs="Times New Roman"/>
          <w:b/>
          <w:bCs/>
          <w:sz w:val="24"/>
          <w:szCs w:val="24"/>
          <w:lang w:eastAsia="es-ES" w:bidi="sq-AL"/>
        </w:rPr>
        <w:t>dhe udhëzimet</w:t>
      </w:r>
      <w:bookmarkEnd w:id="212"/>
    </w:p>
    <w:p w14:paraId="25608F32" w14:textId="77777777" w:rsidR="00622884" w:rsidRPr="00622884" w:rsidRDefault="00622884" w:rsidP="00622884">
      <w:pPr>
        <w:spacing w:after="0" w:line="240" w:lineRule="auto"/>
        <w:ind w:firstLine="284"/>
        <w:rPr>
          <w:rFonts w:ascii="Garamond" w:eastAsia="SimSun" w:hAnsi="Garamond" w:cs="Calibri Light"/>
          <w:sz w:val="24"/>
          <w:szCs w:val="24"/>
          <w:lang w:eastAsia="en-US"/>
        </w:rPr>
      </w:pPr>
      <w:bookmarkStart w:id="213" w:name="_Hlk157432303"/>
      <w:r w:rsidRPr="00622884">
        <w:rPr>
          <w:rFonts w:ascii="Garamond" w:eastAsia="SimSun" w:hAnsi="Garamond" w:cs="Calibri Light"/>
          <w:sz w:val="24"/>
          <w:szCs w:val="24"/>
          <w:lang w:eastAsia="en-US" w:bidi="sq-AL"/>
        </w:rPr>
        <w:t>Procesi i NAP-it u ndërmor në kuadër të</w:t>
      </w:r>
      <w:r w:rsidRPr="00622884">
        <w:rPr>
          <w:rFonts w:ascii="Garamond" w:eastAsia="SimSun" w:hAnsi="Garamond" w:cs="Calibri Light"/>
          <w:b/>
          <w:sz w:val="24"/>
          <w:szCs w:val="24"/>
          <w:lang w:eastAsia="en-US" w:bidi="sq-AL"/>
        </w:rPr>
        <w:t xml:space="preserve"> Konventës Kuadër të Kombeve të Bashkuara për Ndryshimet Klimatike (UNFCCC)</w:t>
      </w:r>
      <w:r w:rsidRPr="00622884">
        <w:rPr>
          <w:rFonts w:ascii="Garamond" w:eastAsia="SimSun" w:hAnsi="Garamond" w:cs="Calibri Light"/>
          <w:sz w:val="24"/>
          <w:szCs w:val="24"/>
          <w:lang w:eastAsia="en-US" w:bidi="sq-AL"/>
        </w:rPr>
        <w:t xml:space="preserve">, </w:t>
      </w:r>
      <w:r w:rsidRPr="00622884">
        <w:rPr>
          <w:rFonts w:ascii="Garamond" w:eastAsia="SimSun" w:hAnsi="Garamond" w:cs="Calibri Light"/>
          <w:spacing w:val="-2"/>
          <w:sz w:val="24"/>
          <w:szCs w:val="24"/>
          <w:lang w:eastAsia="en-US" w:bidi="sq-AL"/>
        </w:rPr>
        <w:t xml:space="preserve">me qëllim trajtimin e nevojave për përshtatje me klimën në planin afatmesëm dhe afatgjatë. Ky proces u detajua më tej në vitin 2010, sipas Kuadrit të Përshtatjes së Kankunit </w:t>
      </w:r>
      <w:r w:rsidRPr="00622884">
        <w:rPr>
          <w:rFonts w:ascii="Garamond" w:eastAsia="SimSun" w:hAnsi="Garamond" w:cs="Calibri Light"/>
          <w:sz w:val="24"/>
          <w:szCs w:val="24"/>
          <w:vertAlign w:val="superscript"/>
          <w:lang w:eastAsia="en-US" w:bidi="sq-AL"/>
        </w:rPr>
        <w:footnoteReference w:id="104"/>
      </w:r>
      <w:r w:rsidRPr="00622884">
        <w:rPr>
          <w:rFonts w:ascii="Garamond" w:eastAsia="SimSun" w:hAnsi="Garamond" w:cs="Calibri Light"/>
          <w:sz w:val="24"/>
          <w:szCs w:val="24"/>
          <w:lang w:eastAsia="en-US" w:bidi="sq-AL"/>
        </w:rPr>
        <w:t>gjatë Konferencës së 16-të të palëve (KP) të UNFCCC-së, ndërsa objektivat e tij u përmirësuan si pjesë e Marrëveshjes së Parisit të vitit 2015. Procesi i NAP-it është konceptuar si një proces planifikimi i përsëritur, në pronësi të vetë vendeve, që u mundëson këtyre të fundit të identifikojnë, trajtojnë dhe rishikojnë nevojat e tyre të përshtatjes, problematikat, boshllëqet, prioritetet dhe kërkesat përkatëse për burime, në kuadrin e planeve kombëtare të përshtatjes. Ai, gjithashtu, shihet si një vazhdim organik i formulimit dhe zbatimit të Kontributeve Kombëtare të Pikësynuara (KKP) të vendeve.</w:t>
      </w:r>
    </w:p>
    <w:p w14:paraId="04624550" w14:textId="77777777" w:rsidR="00622884" w:rsidRPr="00622884" w:rsidRDefault="00622884" w:rsidP="00622884">
      <w:pPr>
        <w:spacing w:after="0" w:line="240" w:lineRule="auto"/>
        <w:ind w:firstLine="284"/>
        <w:rPr>
          <w:rFonts w:ascii="Garamond" w:eastAsia="SimSun" w:hAnsi="Garamond" w:cs="Calibri Light"/>
          <w:sz w:val="24"/>
          <w:szCs w:val="24"/>
          <w:lang w:eastAsia="en-US"/>
        </w:rPr>
      </w:pPr>
      <w:r w:rsidRPr="00622884">
        <w:rPr>
          <w:rFonts w:ascii="Garamond" w:eastAsia="SimSun" w:hAnsi="Garamond" w:cs="Calibri Light"/>
          <w:b/>
          <w:sz w:val="24"/>
          <w:szCs w:val="24"/>
          <w:lang w:eastAsia="en-US" w:bidi="sq-AL"/>
        </w:rPr>
        <w:t>Procesi i NAP-it</w:t>
      </w:r>
      <w:r w:rsidRPr="00622884">
        <w:rPr>
          <w:rFonts w:ascii="Garamond" w:eastAsia="SimSun" w:hAnsi="Garamond" w:cs="Calibri Light"/>
          <w:sz w:val="24"/>
          <w:szCs w:val="24"/>
          <w:lang w:eastAsia="en-US" w:bidi="sq-AL"/>
        </w:rPr>
        <w:t xml:space="preserve"> parashikon “të marrë plotësisht në konsideratë çështjet e ndryshimeve klimatike në proceset e planifikimit dhe vendimmarrjes” dhe “të zhvillojë njohuritë që mbështesin vendimmarrjen, si dhe ndërtimin e kapaciteteve të nevojshme për të mundësuar të gjitha veprimet e nevojshme për një proces planifikimi strategjik të përshtatjes në pronësi të vendit”</w:t>
      </w:r>
      <w:r w:rsidRPr="00622884">
        <w:rPr>
          <w:rFonts w:ascii="Garamond" w:eastAsia="SimSun" w:hAnsi="Garamond" w:cs="Calibri Light"/>
          <w:sz w:val="24"/>
          <w:szCs w:val="24"/>
          <w:vertAlign w:val="superscript"/>
          <w:lang w:eastAsia="en-US" w:bidi="sq-AL"/>
        </w:rPr>
        <w:footnoteReference w:id="105"/>
      </w:r>
      <w:r w:rsidRPr="00622884">
        <w:rPr>
          <w:rFonts w:ascii="Garamond" w:eastAsia="SimSun" w:hAnsi="Garamond" w:cs="Calibri Light"/>
          <w:sz w:val="24"/>
          <w:szCs w:val="24"/>
          <w:lang w:eastAsia="en-US" w:bidi="sq-AL"/>
        </w:rPr>
        <w:t>. Në mënyrë të përgjithshme, procesi i NAP-it, në kuadër të UNFCCC-së, synon të arrijë këto objektiva kryesorë:</w:t>
      </w:r>
    </w:p>
    <w:p w14:paraId="4909C0DD" w14:textId="77777777" w:rsidR="00622884" w:rsidRPr="00622884" w:rsidRDefault="00622884" w:rsidP="0012572D">
      <w:pPr>
        <w:numPr>
          <w:ilvl w:val="0"/>
          <w:numId w:val="13"/>
        </w:numPr>
        <w:spacing w:after="0" w:line="240" w:lineRule="auto"/>
        <w:ind w:left="0" w:firstLine="284"/>
        <w:jc w:val="left"/>
        <w:rPr>
          <w:rFonts w:ascii="Garamond" w:eastAsia="SimSun" w:hAnsi="Garamond" w:cs="Calibri Light"/>
          <w:sz w:val="24"/>
          <w:szCs w:val="24"/>
          <w:lang w:eastAsia="en-US"/>
        </w:rPr>
      </w:pPr>
      <w:r w:rsidRPr="00622884">
        <w:rPr>
          <w:rFonts w:ascii="Garamond" w:eastAsia="SimSun" w:hAnsi="Garamond" w:cs="Calibri Light"/>
          <w:sz w:val="24"/>
          <w:szCs w:val="24"/>
          <w:lang w:eastAsia="en-US" w:bidi="sq-AL"/>
        </w:rPr>
        <w:t>Të reduktohet cenueshmëria ndaj ndikimeve të ndryshimeve klimatike, përmes ndërtimit të kapaciteteve përshtatëse dhe forcimit të aftësisë ripërtëritëse;</w:t>
      </w:r>
    </w:p>
    <w:p w14:paraId="1638BDF9" w14:textId="77777777" w:rsidR="00622884" w:rsidRPr="00622884" w:rsidRDefault="00622884" w:rsidP="0012572D">
      <w:pPr>
        <w:numPr>
          <w:ilvl w:val="0"/>
          <w:numId w:val="13"/>
        </w:numPr>
        <w:spacing w:after="0" w:line="240" w:lineRule="auto"/>
        <w:ind w:left="0" w:firstLine="284"/>
        <w:jc w:val="left"/>
        <w:rPr>
          <w:rFonts w:ascii="Garamond" w:eastAsia="SimSun" w:hAnsi="Garamond" w:cs="Calibri Light"/>
          <w:sz w:val="24"/>
          <w:szCs w:val="24"/>
          <w:lang w:eastAsia="en-US"/>
        </w:rPr>
      </w:pPr>
      <w:r w:rsidRPr="00622884">
        <w:rPr>
          <w:rFonts w:ascii="Garamond" w:eastAsia="SimSun" w:hAnsi="Garamond" w:cs="Calibri Light"/>
          <w:sz w:val="24"/>
          <w:szCs w:val="24"/>
          <w:lang w:eastAsia="en-US" w:bidi="sq-AL"/>
        </w:rPr>
        <w:t>Të lehtësohet integrimi i përshtatjes klimatike në politikat, programet dhe veprimtaritë përkatëse të reja dhe ekzistuese, në veçanti në proceset dhe strategjitë e planifikimit të zhvillimit, në të gjithë sektorët përkatës dhe në nivele të ndryshme.</w:t>
      </w:r>
    </w:p>
    <w:p w14:paraId="19DCAB36" w14:textId="77777777" w:rsidR="00622884" w:rsidRPr="00622884" w:rsidRDefault="00622884" w:rsidP="00622884">
      <w:pPr>
        <w:spacing w:after="0" w:line="240" w:lineRule="auto"/>
        <w:ind w:firstLine="284"/>
        <w:rPr>
          <w:rFonts w:ascii="Garamond" w:eastAsia="SimSun" w:hAnsi="Garamond" w:cs="Calibri Light"/>
          <w:sz w:val="24"/>
          <w:szCs w:val="24"/>
          <w:lang w:eastAsia="en-US"/>
        </w:rPr>
      </w:pPr>
      <w:r w:rsidRPr="00622884">
        <w:rPr>
          <w:rFonts w:ascii="Garamond" w:eastAsia="SimSun" w:hAnsi="Garamond" w:cs="Calibri Light"/>
          <w:b/>
          <w:sz w:val="24"/>
          <w:szCs w:val="24"/>
          <w:lang w:eastAsia="en-US" w:bidi="sq-AL"/>
        </w:rPr>
        <w:t>Udhëzimet për zhvillimin dhe zbatimin e procesit të NAP-it</w:t>
      </w:r>
      <w:r w:rsidRPr="00622884">
        <w:rPr>
          <w:rFonts w:ascii="Garamond" w:eastAsia="SimSun" w:hAnsi="Garamond" w:cs="Calibri Light"/>
          <w:sz w:val="24"/>
          <w:szCs w:val="24"/>
          <w:lang w:eastAsia="en-US" w:bidi="sq-AL"/>
        </w:rPr>
        <w:t xml:space="preserve"> vijnë nga UNFCCC-ja dhe aktorë të tjerë, përfshirë organizatat ndërkombëtare dhe donatorët</w:t>
      </w:r>
      <w:r w:rsidRPr="00622884">
        <w:rPr>
          <w:rFonts w:ascii="Garamond" w:eastAsia="SimSun" w:hAnsi="Garamond" w:cs="Calibri Light"/>
          <w:sz w:val="24"/>
          <w:szCs w:val="24"/>
          <w:vertAlign w:val="superscript"/>
          <w:lang w:eastAsia="en-US" w:bidi="sq-AL"/>
        </w:rPr>
        <w:footnoteReference w:id="106"/>
      </w:r>
      <w:r w:rsidRPr="00622884">
        <w:rPr>
          <w:rFonts w:ascii="Garamond" w:eastAsia="SimSun" w:hAnsi="Garamond" w:cs="Calibri Light"/>
          <w:sz w:val="24"/>
          <w:szCs w:val="24"/>
          <w:lang w:eastAsia="en-US" w:bidi="sq-AL"/>
        </w:rPr>
        <w:t>. Udhëzimi kryesor fillestar vjen prej dokumentit “</w:t>
      </w:r>
      <w:r w:rsidRPr="00622884">
        <w:rPr>
          <w:rFonts w:ascii="Garamond" w:eastAsia="SimSun" w:hAnsi="Garamond" w:cs="Calibri Light"/>
          <w:b/>
          <w:sz w:val="24"/>
          <w:szCs w:val="24"/>
          <w:lang w:eastAsia="en-US" w:bidi="sq-AL"/>
        </w:rPr>
        <w:t>Udhëzuesi teknik për procesin e planit kombëtar të përshtatjes</w:t>
      </w:r>
      <w:r w:rsidRPr="00622884">
        <w:rPr>
          <w:rFonts w:ascii="Garamond" w:eastAsia="SimSun" w:hAnsi="Garamond" w:cs="Calibri Light"/>
          <w:sz w:val="24"/>
          <w:szCs w:val="24"/>
          <w:lang w:eastAsia="en-US" w:bidi="sq-AL"/>
        </w:rPr>
        <w:t>”</w:t>
      </w:r>
      <w:r w:rsidRPr="00622884">
        <w:rPr>
          <w:rFonts w:ascii="Garamond" w:eastAsia="SimSun" w:hAnsi="Garamond" w:cs="Calibri Light"/>
          <w:sz w:val="24"/>
          <w:szCs w:val="24"/>
          <w:vertAlign w:val="superscript"/>
          <w:lang w:eastAsia="en-US" w:bidi="sq-AL"/>
        </w:rPr>
        <w:footnoteReference w:id="107"/>
      </w:r>
      <w:r w:rsidRPr="00622884">
        <w:rPr>
          <w:rFonts w:ascii="Garamond" w:eastAsia="SimSun" w:hAnsi="Garamond" w:cs="Calibri Light"/>
          <w:sz w:val="24"/>
          <w:szCs w:val="24"/>
          <w:lang w:eastAsia="en-US" w:bidi="sq-AL"/>
        </w:rPr>
        <w:t>, i cili prezanton hapat dhe elementet kryesore të procesit. Parimet udhëzuese për zhvillimin e një NAP-i, siç janë përcaktuar në këtë udhëzues teknik, përfshijnë:</w:t>
      </w:r>
    </w:p>
    <w:p w14:paraId="41A10179"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r w:rsidRPr="00622884">
        <w:rPr>
          <w:rFonts w:ascii="Garamond" w:eastAsia="Calibri" w:hAnsi="Garamond" w:cs="Times New Roman"/>
          <w:sz w:val="24"/>
          <w:szCs w:val="24"/>
          <w:lang w:eastAsia="en-US" w:bidi="sq-AL"/>
        </w:rPr>
        <w:t>- një proces pjesëmarrës që përfshin palët vendase të interesit (komunitetet, sektorin privat, organizatat joqeveritare dhe aktorë të tjerë përkatës);</w:t>
      </w:r>
    </w:p>
    <w:p w14:paraId="58C2440A"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r w:rsidRPr="00622884">
        <w:rPr>
          <w:rFonts w:ascii="Garamond" w:eastAsia="Calibri" w:hAnsi="Garamond" w:cs="Times New Roman"/>
          <w:sz w:val="24"/>
          <w:szCs w:val="24"/>
          <w:lang w:eastAsia="en-US" w:bidi="sq-AL"/>
        </w:rPr>
        <w:lastRenderedPageBreak/>
        <w:t xml:space="preserve"> - një qasje shumëdisiplinore dhe plotësuese, e cila bazohet te planet dhe programet ekzistuese përkatëse; </w:t>
      </w:r>
    </w:p>
    <w:p w14:paraId="2FB91F9B"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r w:rsidRPr="00622884">
        <w:rPr>
          <w:rFonts w:ascii="Garamond" w:eastAsia="Calibri" w:hAnsi="Garamond" w:cs="Times New Roman"/>
          <w:sz w:val="24"/>
          <w:szCs w:val="24"/>
          <w:lang w:eastAsia="en-US" w:bidi="sq-AL"/>
        </w:rPr>
        <w:t xml:space="preserve">- marrjen në konsideratë të veçantë të grupeve të margjinalizuara, si gratë; </w:t>
      </w:r>
    </w:p>
    <w:p w14:paraId="6BFE4D54"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r w:rsidRPr="00622884">
        <w:rPr>
          <w:rFonts w:ascii="Garamond" w:eastAsia="Calibri" w:hAnsi="Garamond" w:cs="Times New Roman"/>
          <w:sz w:val="24"/>
          <w:szCs w:val="24"/>
          <w:lang w:eastAsia="en-US" w:bidi="sq-AL"/>
        </w:rPr>
        <w:t>- shfrytëzimin e menaxhimit të qëndrueshëm të mjedisit;</w:t>
      </w:r>
    </w:p>
    <w:p w14:paraId="15E98F6C"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r w:rsidRPr="00622884">
        <w:rPr>
          <w:rFonts w:ascii="Garamond" w:eastAsia="Calibri" w:hAnsi="Garamond" w:cs="Times New Roman"/>
          <w:sz w:val="24"/>
          <w:szCs w:val="24"/>
          <w:lang w:eastAsia="en-US" w:bidi="sq-AL"/>
        </w:rPr>
        <w:t>- efikasitetin në kosto;</w:t>
      </w:r>
    </w:p>
    <w:p w14:paraId="3C2FD81C"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r w:rsidRPr="00622884">
        <w:rPr>
          <w:rFonts w:ascii="Garamond" w:eastAsia="Calibri" w:hAnsi="Garamond" w:cs="Times New Roman"/>
          <w:sz w:val="24"/>
          <w:szCs w:val="24"/>
          <w:lang w:eastAsia="en-US" w:bidi="sq-AL"/>
        </w:rPr>
        <w:t>- përgjigjshmërinë gjinore në planifikim dhe zbatim; dhe</w:t>
      </w:r>
    </w:p>
    <w:p w14:paraId="128274A7"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r w:rsidRPr="00622884">
        <w:rPr>
          <w:rFonts w:ascii="Garamond" w:eastAsia="Calibri" w:hAnsi="Garamond" w:cs="Times New Roman"/>
          <w:sz w:val="24"/>
          <w:szCs w:val="24"/>
          <w:lang w:eastAsia="en-US" w:bidi="sq-AL"/>
        </w:rPr>
        <w:t>- elasticitetin e procedurave në përputhje me rrethanat vendore.</w:t>
      </w:r>
    </w:p>
    <w:p w14:paraId="31C1F346" w14:textId="77777777" w:rsidR="00622884" w:rsidRPr="00622884" w:rsidRDefault="00622884" w:rsidP="00622884">
      <w:pPr>
        <w:spacing w:after="0" w:line="240" w:lineRule="auto"/>
        <w:ind w:firstLine="284"/>
        <w:rPr>
          <w:rFonts w:ascii="Garamond" w:eastAsia="SimSun" w:hAnsi="Garamond" w:cs="Calibri Light"/>
          <w:sz w:val="24"/>
          <w:szCs w:val="24"/>
          <w:lang w:eastAsia="en-US"/>
        </w:rPr>
      </w:pPr>
      <w:r w:rsidRPr="00622884">
        <w:rPr>
          <w:rFonts w:ascii="Garamond" w:eastAsia="SimSun" w:hAnsi="Garamond" w:cs="Calibri Light"/>
          <w:sz w:val="24"/>
          <w:szCs w:val="24"/>
          <w:lang w:eastAsia="en-US" w:bidi="sq-AL"/>
        </w:rPr>
        <w:t xml:space="preserve">Janë hartuar dhe përdorur edhe </w:t>
      </w:r>
      <w:r w:rsidRPr="00622884">
        <w:rPr>
          <w:rFonts w:ascii="Garamond" w:eastAsia="SimSun" w:hAnsi="Garamond" w:cs="Calibri Light"/>
          <w:b/>
          <w:sz w:val="24"/>
          <w:szCs w:val="24"/>
          <w:lang w:eastAsia="en-US" w:bidi="sq-AL"/>
        </w:rPr>
        <w:t xml:space="preserve">materiale të tjera udhëzuese </w:t>
      </w:r>
      <w:r w:rsidRPr="00622884">
        <w:rPr>
          <w:rFonts w:ascii="Garamond" w:eastAsia="SimSun" w:hAnsi="Garamond" w:cs="Calibri Light"/>
          <w:sz w:val="24"/>
          <w:szCs w:val="24"/>
          <w:lang w:eastAsia="en-US" w:bidi="sq-AL"/>
        </w:rPr>
        <w:t>në nivele të ndryshme hapësinore dhe organizative, si: në nivel kombëtar</w:t>
      </w:r>
      <w:r w:rsidRPr="00622884">
        <w:rPr>
          <w:rFonts w:ascii="Garamond" w:eastAsia="SimSun" w:hAnsi="Garamond" w:cs="Calibri Light"/>
          <w:sz w:val="24"/>
          <w:szCs w:val="24"/>
          <w:vertAlign w:val="superscript"/>
          <w:lang w:eastAsia="en-US" w:bidi="sq-AL"/>
        </w:rPr>
        <w:footnoteReference w:id="108"/>
      </w:r>
      <w:r w:rsidRPr="00622884">
        <w:rPr>
          <w:rFonts w:ascii="Garamond" w:eastAsia="SimSun" w:hAnsi="Garamond" w:cs="Calibri Light"/>
          <w:sz w:val="24"/>
          <w:szCs w:val="24"/>
          <w:lang w:eastAsia="en-US" w:bidi="sq-AL"/>
        </w:rPr>
        <w:t>, vendor</w:t>
      </w:r>
      <w:r w:rsidRPr="00622884">
        <w:rPr>
          <w:rFonts w:ascii="Garamond" w:eastAsia="SimSun" w:hAnsi="Garamond" w:cs="Calibri Light"/>
          <w:sz w:val="24"/>
          <w:szCs w:val="24"/>
          <w:vertAlign w:val="superscript"/>
          <w:lang w:eastAsia="en-US" w:bidi="sq-AL"/>
        </w:rPr>
        <w:footnoteReference w:id="109"/>
      </w:r>
      <w:r w:rsidRPr="00622884">
        <w:rPr>
          <w:rFonts w:ascii="Garamond" w:eastAsia="SimSun" w:hAnsi="Garamond" w:cs="Calibri Light"/>
          <w:sz w:val="24"/>
          <w:szCs w:val="24"/>
          <w:lang w:eastAsia="en-US" w:bidi="sq-AL"/>
        </w:rPr>
        <w:t>, shtetëror/provincial</w:t>
      </w:r>
      <w:r w:rsidRPr="00622884">
        <w:rPr>
          <w:rFonts w:ascii="Garamond" w:eastAsia="SimSun" w:hAnsi="Garamond" w:cs="Calibri Light"/>
          <w:sz w:val="24"/>
          <w:szCs w:val="24"/>
          <w:vertAlign w:val="superscript"/>
          <w:lang w:eastAsia="en-US" w:bidi="sq-AL"/>
        </w:rPr>
        <w:footnoteReference w:id="110"/>
      </w:r>
      <w:r w:rsidRPr="00622884">
        <w:rPr>
          <w:rFonts w:ascii="Garamond" w:eastAsia="SimSun" w:hAnsi="Garamond" w:cs="Calibri Light"/>
          <w:sz w:val="24"/>
          <w:szCs w:val="24"/>
          <w:lang w:eastAsia="en-US" w:bidi="sq-AL"/>
        </w:rPr>
        <w:t>, qyteti</w:t>
      </w:r>
      <w:r w:rsidRPr="00622884">
        <w:rPr>
          <w:rFonts w:ascii="Garamond" w:eastAsia="SimSun" w:hAnsi="Garamond" w:cs="Calibri Light"/>
          <w:sz w:val="24"/>
          <w:szCs w:val="24"/>
          <w:vertAlign w:val="superscript"/>
          <w:lang w:eastAsia="en-US" w:bidi="sq-AL"/>
        </w:rPr>
        <w:footnoteReference w:id="111"/>
      </w:r>
      <w:r w:rsidRPr="00622884">
        <w:rPr>
          <w:rFonts w:ascii="Garamond" w:eastAsia="SimSun" w:hAnsi="Garamond" w:cs="Calibri Light"/>
          <w:sz w:val="24"/>
          <w:szCs w:val="24"/>
          <w:lang w:eastAsia="en-US" w:bidi="sq-AL"/>
        </w:rPr>
        <w:t>, bashkie</w:t>
      </w:r>
      <w:r w:rsidRPr="00622884">
        <w:rPr>
          <w:rFonts w:ascii="Garamond" w:eastAsia="SimSun" w:hAnsi="Garamond" w:cs="Calibri Light"/>
          <w:sz w:val="24"/>
          <w:szCs w:val="24"/>
          <w:vertAlign w:val="superscript"/>
          <w:lang w:eastAsia="en-US" w:bidi="sq-AL"/>
        </w:rPr>
        <w:footnoteReference w:id="112"/>
      </w:r>
      <w:r w:rsidRPr="00622884">
        <w:rPr>
          <w:rFonts w:ascii="Garamond" w:eastAsia="SimSun" w:hAnsi="Garamond" w:cs="Calibri Light"/>
          <w:sz w:val="24"/>
          <w:szCs w:val="24"/>
          <w:lang w:eastAsia="en-US" w:bidi="sq-AL"/>
        </w:rPr>
        <w:t>, bregdetar</w:t>
      </w:r>
      <w:r w:rsidRPr="00622884">
        <w:rPr>
          <w:rFonts w:ascii="Garamond" w:eastAsia="SimSun" w:hAnsi="Garamond" w:cs="Calibri Light"/>
          <w:sz w:val="24"/>
          <w:szCs w:val="24"/>
          <w:vertAlign w:val="superscript"/>
          <w:lang w:eastAsia="en-US" w:bidi="sq-AL"/>
        </w:rPr>
        <w:footnoteReference w:id="113"/>
      </w:r>
      <w:r w:rsidRPr="00622884">
        <w:rPr>
          <w:rFonts w:ascii="Garamond" w:eastAsia="SimSun" w:hAnsi="Garamond" w:cs="Calibri Light"/>
          <w:sz w:val="24"/>
          <w:szCs w:val="24"/>
          <w:lang w:eastAsia="en-US" w:bidi="sq-AL"/>
        </w:rPr>
        <w:t>, biznesi</w:t>
      </w:r>
      <w:r w:rsidRPr="00622884">
        <w:rPr>
          <w:rFonts w:ascii="Garamond" w:eastAsia="SimSun" w:hAnsi="Garamond" w:cs="Calibri Light"/>
          <w:sz w:val="24"/>
          <w:szCs w:val="24"/>
          <w:vertAlign w:val="superscript"/>
          <w:lang w:eastAsia="en-US" w:bidi="sq-AL"/>
        </w:rPr>
        <w:footnoteReference w:id="114"/>
      </w:r>
      <w:r w:rsidRPr="00622884">
        <w:rPr>
          <w:rFonts w:ascii="Garamond" w:eastAsia="SimSun" w:hAnsi="Garamond" w:cs="Calibri Light"/>
          <w:sz w:val="24"/>
          <w:szCs w:val="24"/>
          <w:lang w:eastAsia="en-US" w:bidi="sq-AL"/>
        </w:rPr>
        <w:t>, etj.</w:t>
      </w:r>
    </w:p>
    <w:p w14:paraId="789E9EA4" w14:textId="77777777" w:rsidR="00622884" w:rsidRPr="00622884" w:rsidRDefault="00622884" w:rsidP="00622884">
      <w:pPr>
        <w:spacing w:after="0" w:line="240" w:lineRule="auto"/>
        <w:ind w:firstLine="284"/>
        <w:rPr>
          <w:rFonts w:ascii="Garamond" w:eastAsia="SimSun" w:hAnsi="Garamond" w:cs="Calibri Light"/>
          <w:sz w:val="24"/>
          <w:szCs w:val="24"/>
          <w:lang w:eastAsia="en-US"/>
        </w:rPr>
      </w:pPr>
      <w:r w:rsidRPr="00622884">
        <w:rPr>
          <w:rFonts w:ascii="Garamond" w:eastAsia="SimSun" w:hAnsi="Garamond" w:cs="Calibri Light"/>
          <w:b/>
          <w:sz w:val="24"/>
          <w:szCs w:val="24"/>
          <w:lang w:eastAsia="en-US" w:bidi="sq-AL"/>
        </w:rPr>
        <w:t>Marrëveshja e Parisit</w:t>
      </w:r>
      <w:r w:rsidRPr="00622884">
        <w:rPr>
          <w:rFonts w:ascii="Garamond" w:eastAsia="SimSun" w:hAnsi="Garamond" w:cs="Calibri Light"/>
          <w:sz w:val="24"/>
          <w:szCs w:val="24"/>
          <w:lang w:eastAsia="en-US" w:bidi="sq-AL"/>
        </w:rPr>
        <w:t>, e miratuar nga palët e UNFCCC-së në vitin 2015, përforcon kuadrin ndërkombëtar për veprimin për përshtatje. Palët vendosën “objektivin global për përshtatjen, që synon rritjen e kapaciteteve përshtatëse, forcimin e aftësisë ripërtëritëse dhe reduktimin e cenueshmërisë ndaj ndryshimeve klimatike”. Në Konferencën e palëve të UNFCCC-së (KP-28), të mbajtur në Dubai, në dhjetor 2023, u miratua “Kuadri për objektivin global për përshtatjen (OGP)”</w:t>
      </w:r>
      <w:r w:rsidRPr="00622884">
        <w:rPr>
          <w:rFonts w:ascii="Garamond" w:eastAsia="SimSun" w:hAnsi="Garamond" w:cs="Calibri Light"/>
          <w:sz w:val="24"/>
          <w:szCs w:val="24"/>
          <w:vertAlign w:val="superscript"/>
          <w:lang w:eastAsia="en-US" w:bidi="sq-AL"/>
        </w:rPr>
        <w:footnoteReference w:id="115"/>
      </w:r>
      <w:r w:rsidRPr="00622884">
        <w:rPr>
          <w:rFonts w:ascii="Garamond" w:eastAsia="SimSun" w:hAnsi="Garamond" w:cs="Calibri Light"/>
          <w:sz w:val="24"/>
          <w:szCs w:val="24"/>
          <w:lang w:eastAsia="en-US" w:bidi="sq-AL"/>
        </w:rPr>
        <w:t>, i cili “u bën thirrje palëve dhe fton aktorët jopalë të rrisin ambicien dhe të forcojnë veprimet dhe mbështetjen për përshtatjen, në mënyrë që të përshpejtohet veprimi i shpejtë në shkallë të gjerë dhe në të gjitha nivelet”</w:t>
      </w:r>
      <w:r w:rsidRPr="00622884">
        <w:rPr>
          <w:rFonts w:ascii="Garamond" w:eastAsia="SimSun" w:hAnsi="Garamond" w:cs="Calibri Light"/>
          <w:sz w:val="24"/>
          <w:szCs w:val="24"/>
          <w:vertAlign w:val="superscript"/>
          <w:lang w:eastAsia="en-US" w:bidi="sq-AL"/>
        </w:rPr>
        <w:footnoteReference w:id="116"/>
      </w:r>
      <w:r w:rsidRPr="00622884">
        <w:rPr>
          <w:rFonts w:ascii="Garamond" w:eastAsia="SimSun" w:hAnsi="Garamond" w:cs="Calibri Light"/>
          <w:sz w:val="24"/>
          <w:szCs w:val="24"/>
          <w:lang w:eastAsia="en-US" w:bidi="sq-AL"/>
        </w:rPr>
        <w:t>. Ky kuadër synon të udhëheqë zbatimin e GGA-së dhe, ndër të tjera, ka për qëllim krijimin e sistemeve të paralajmërimit të hershëm për shumë rreziqe (deri në vitin 2027), zhvillimin e shërbimeve të informacionit klimatik për reduktimin e riskut dhe vëzhgimin sistematik (deri në vitin 2027), realizimin e vlerësimeve të ndikimit, cenueshmërisë dhe riskut (deri në vitin 2030), si dhe hartimin e planeve kombëtare të përshtatjes që janë të drejtuara nga vetë vendet, të përgjigjshme ndaj gjinisë, pjesëmarrëse dhe transparente (deri në vitin 2030), në të gjitha vendet e prekura.</w:t>
      </w:r>
    </w:p>
    <w:p w14:paraId="7838EE17" w14:textId="77777777" w:rsidR="00622884" w:rsidRPr="00622884" w:rsidRDefault="00622884" w:rsidP="00622884">
      <w:pPr>
        <w:spacing w:after="0" w:line="240" w:lineRule="auto"/>
        <w:ind w:firstLine="284"/>
        <w:rPr>
          <w:rFonts w:ascii="Garamond" w:eastAsia="SimSun" w:hAnsi="Garamond" w:cs="Calibri Light"/>
          <w:sz w:val="24"/>
          <w:szCs w:val="24"/>
          <w:lang w:eastAsia="en-US"/>
        </w:rPr>
      </w:pPr>
      <w:r w:rsidRPr="00622884">
        <w:rPr>
          <w:rFonts w:ascii="Garamond" w:eastAsia="SimSun" w:hAnsi="Garamond" w:cs="Calibri Light"/>
          <w:sz w:val="24"/>
          <w:szCs w:val="24"/>
          <w:lang w:eastAsia="en-US" w:bidi="sq-AL"/>
        </w:rPr>
        <w:lastRenderedPageBreak/>
        <w:t>Duke rritur aftësinë ripërtëritëse ndaj ndryshimeve klimatike, NAP-et</w:t>
      </w:r>
      <w:r w:rsidRPr="00622884">
        <w:rPr>
          <w:rFonts w:ascii="Garamond" w:eastAsia="SimSun" w:hAnsi="Garamond" w:cs="Calibri Light"/>
          <w:b/>
          <w:sz w:val="24"/>
          <w:szCs w:val="24"/>
          <w:lang w:eastAsia="en-US" w:bidi="sq-AL"/>
        </w:rPr>
        <w:t xml:space="preserve"> kontribuojnë në arritjen e shumë objektivave të zhvillimit të qëndrueshëm</w:t>
      </w:r>
      <w:r w:rsidRPr="00622884">
        <w:rPr>
          <w:rFonts w:ascii="Garamond" w:eastAsia="SimSun" w:hAnsi="Garamond" w:cs="Calibri Light"/>
          <w:sz w:val="24"/>
          <w:szCs w:val="24"/>
          <w:lang w:eastAsia="en-US" w:bidi="sq-AL"/>
        </w:rPr>
        <w:t>, rezultateve të Rio +20, si dhe në Kuadrin e Sendait për Reduktimin e Riskut nga Fatkeqësitë 2015–2030, duke mbështetur kështu objektivat kombëtarë socio-ekonomikë dhe të qëndrueshmërisë.</w:t>
      </w:r>
    </w:p>
    <w:p w14:paraId="3B12D394" w14:textId="77777777" w:rsidR="00622884" w:rsidRPr="00622884" w:rsidRDefault="00622884" w:rsidP="00622884">
      <w:pPr>
        <w:keepNext/>
        <w:keepLines/>
        <w:spacing w:after="0" w:line="240" w:lineRule="auto"/>
        <w:ind w:firstLine="284"/>
        <w:outlineLvl w:val="1"/>
        <w:rPr>
          <w:rFonts w:ascii="Garamond" w:eastAsia="MS Mincho" w:hAnsi="Garamond" w:cs="Times New Roman"/>
          <w:b/>
          <w:bCs/>
          <w:caps/>
          <w:sz w:val="24"/>
          <w:szCs w:val="24"/>
          <w:lang w:eastAsia="es-ES"/>
        </w:rPr>
      </w:pPr>
      <w:bookmarkStart w:id="214" w:name="_Toc213936221"/>
      <w:bookmarkEnd w:id="213"/>
      <w:r w:rsidRPr="00622884">
        <w:rPr>
          <w:rFonts w:ascii="Garamond" w:eastAsia="MS Mincho" w:hAnsi="Garamond" w:cs="Times New Roman"/>
          <w:b/>
          <w:bCs/>
          <w:caps/>
          <w:sz w:val="24"/>
          <w:szCs w:val="24"/>
          <w:lang w:eastAsia="es-ES" w:bidi="sq-AL"/>
        </w:rPr>
        <w:t xml:space="preserve">2.3 </w:t>
      </w:r>
      <w:r w:rsidRPr="00622884">
        <w:rPr>
          <w:rFonts w:ascii="Garamond" w:eastAsia="MS Mincho" w:hAnsi="Garamond" w:cs="Times New Roman"/>
          <w:b/>
          <w:bCs/>
          <w:sz w:val="24"/>
          <w:szCs w:val="24"/>
          <w:lang w:eastAsia="es-ES" w:bidi="sq-AL"/>
        </w:rPr>
        <w:t xml:space="preserve">Përvoja ndërkombëtare me </w:t>
      </w:r>
      <w:r w:rsidRPr="00622884">
        <w:rPr>
          <w:rFonts w:ascii="Garamond" w:eastAsia="MS Mincho" w:hAnsi="Garamond" w:cs="Times New Roman"/>
          <w:b/>
          <w:bCs/>
          <w:caps/>
          <w:sz w:val="24"/>
          <w:szCs w:val="24"/>
          <w:lang w:eastAsia="es-ES" w:bidi="sq-AL"/>
        </w:rPr>
        <w:t>NAP-</w:t>
      </w:r>
      <w:r w:rsidRPr="00622884">
        <w:rPr>
          <w:rFonts w:ascii="Garamond" w:eastAsia="MS Mincho" w:hAnsi="Garamond" w:cs="Times New Roman"/>
          <w:b/>
          <w:bCs/>
          <w:sz w:val="24"/>
          <w:szCs w:val="24"/>
          <w:lang w:eastAsia="es-ES" w:bidi="sq-AL"/>
        </w:rPr>
        <w:t>in</w:t>
      </w:r>
      <w:bookmarkEnd w:id="214"/>
    </w:p>
    <w:p w14:paraId="5C4BABE8" w14:textId="77777777" w:rsidR="00622884" w:rsidRPr="00622884" w:rsidRDefault="00622884" w:rsidP="00622884">
      <w:pPr>
        <w:spacing w:after="0" w:line="240" w:lineRule="auto"/>
        <w:ind w:firstLine="284"/>
        <w:rPr>
          <w:rFonts w:ascii="Garamond" w:eastAsia="SimSun" w:hAnsi="Garamond" w:cs="Calibri Light"/>
          <w:sz w:val="24"/>
          <w:szCs w:val="24"/>
          <w:lang w:eastAsia="en-US"/>
        </w:rPr>
      </w:pPr>
      <w:bookmarkStart w:id="215" w:name="_Hlk157432337"/>
      <w:r w:rsidRPr="00622884">
        <w:rPr>
          <w:rFonts w:ascii="Garamond" w:eastAsia="SimSun" w:hAnsi="Garamond" w:cs="Calibri Light"/>
          <w:sz w:val="24"/>
          <w:szCs w:val="24"/>
          <w:lang w:eastAsia="en-US" w:bidi="sq-AL"/>
        </w:rPr>
        <w:t xml:space="preserve">Rreth 80% e palëve (ose vendeve) të UNFCCC-së kanë hartuar të paktën një </w:t>
      </w:r>
      <w:r w:rsidRPr="00622884">
        <w:rPr>
          <w:rFonts w:ascii="Garamond" w:eastAsia="SimSun" w:hAnsi="Garamond" w:cs="Calibri Light"/>
          <w:b/>
          <w:sz w:val="24"/>
          <w:szCs w:val="24"/>
          <w:lang w:eastAsia="en-US" w:bidi="sq-AL"/>
        </w:rPr>
        <w:t>plan, strategji ose politikë kombëtare përshtatjeje</w:t>
      </w:r>
      <w:r w:rsidRPr="00622884">
        <w:rPr>
          <w:rFonts w:ascii="Garamond" w:eastAsia="SimSun" w:hAnsi="Garamond" w:cs="Calibri Light"/>
          <w:sz w:val="24"/>
          <w:szCs w:val="24"/>
          <w:lang w:eastAsia="en-US" w:bidi="sq-AL"/>
        </w:rPr>
        <w:t>. Shumica e këtyre vendeve kanë identifikuar alternativa përshtatjeje që u përgjigjen cenueshmërive dhe risqeve klimatike të vlerësuara në sektorët prioritarë, si: bujqësia, uji dhe shëndetësia</w:t>
      </w:r>
      <w:r w:rsidRPr="00622884">
        <w:rPr>
          <w:rFonts w:ascii="Garamond" w:eastAsia="SimSun" w:hAnsi="Garamond" w:cs="Calibri Light"/>
          <w:sz w:val="24"/>
          <w:szCs w:val="24"/>
          <w:vertAlign w:val="superscript"/>
          <w:lang w:eastAsia="en-US" w:bidi="sq-AL"/>
        </w:rPr>
        <w:footnoteReference w:id="117"/>
      </w:r>
      <w:r w:rsidRPr="00622884">
        <w:rPr>
          <w:rFonts w:ascii="Garamond" w:eastAsia="SimSun" w:hAnsi="Garamond" w:cs="Calibri Light"/>
          <w:sz w:val="24"/>
          <w:szCs w:val="24"/>
          <w:lang w:eastAsia="en-US" w:bidi="sq-AL"/>
        </w:rPr>
        <w:t>. Gjetjet sugjerojnë se po rritet ndërgjegjësimi dhe kuptimi për rëndësinë e përshtatjes ndaj ndryshimeve klimatike, por zbatimi efektiv i planeve ekzistuese mbetet një pengesë kryesore</w:t>
      </w:r>
      <w:r w:rsidRPr="00622884">
        <w:rPr>
          <w:rFonts w:ascii="Garamond" w:eastAsia="SimSun" w:hAnsi="Garamond" w:cs="Calibri Light"/>
          <w:sz w:val="24"/>
          <w:szCs w:val="24"/>
          <w:vertAlign w:val="superscript"/>
          <w:lang w:eastAsia="en-US" w:bidi="sq-AL"/>
        </w:rPr>
        <w:footnoteReference w:id="118"/>
      </w:r>
      <w:r w:rsidRPr="00622884">
        <w:rPr>
          <w:rFonts w:ascii="Garamond" w:eastAsia="SimSun" w:hAnsi="Garamond" w:cs="Calibri Light"/>
          <w:sz w:val="24"/>
          <w:szCs w:val="24"/>
          <w:lang w:eastAsia="en-US" w:bidi="sq-AL"/>
        </w:rPr>
        <w:t>.</w:t>
      </w:r>
    </w:p>
    <w:p w14:paraId="5E0EC6A2" w14:textId="77777777" w:rsidR="00622884" w:rsidRPr="00622884" w:rsidRDefault="00622884" w:rsidP="00622884">
      <w:pPr>
        <w:spacing w:after="0" w:line="240" w:lineRule="auto"/>
        <w:ind w:firstLine="284"/>
        <w:rPr>
          <w:rFonts w:ascii="Garamond" w:eastAsia="SimSun" w:hAnsi="Garamond" w:cs="Calibri Light"/>
          <w:sz w:val="24"/>
          <w:szCs w:val="24"/>
          <w:lang w:eastAsia="en-US"/>
        </w:rPr>
      </w:pPr>
      <w:r w:rsidRPr="00622884">
        <w:rPr>
          <w:rFonts w:ascii="Garamond" w:eastAsia="SimSun" w:hAnsi="Garamond" w:cs="Calibri Light"/>
          <w:sz w:val="24"/>
          <w:szCs w:val="24"/>
          <w:lang w:eastAsia="en-US" w:bidi="sq-AL"/>
        </w:rPr>
        <w:t xml:space="preserve">Në vitin 2021, </w:t>
      </w:r>
      <w:r w:rsidRPr="00622884">
        <w:rPr>
          <w:rFonts w:ascii="Garamond" w:eastAsia="SimSun" w:hAnsi="Garamond" w:cs="Calibri Light"/>
          <w:b/>
          <w:sz w:val="24"/>
          <w:szCs w:val="24"/>
          <w:lang w:eastAsia="en-US" w:bidi="sq-AL"/>
        </w:rPr>
        <w:t>BE-ja miratoi një strategji për përshtatjen</w:t>
      </w:r>
      <w:r w:rsidRPr="00622884">
        <w:rPr>
          <w:rFonts w:ascii="Garamond" w:eastAsia="SimSun" w:hAnsi="Garamond" w:cs="Calibri Light"/>
          <w:sz w:val="24"/>
          <w:szCs w:val="24"/>
          <w:lang w:eastAsia="en-US" w:bidi="sq-AL"/>
        </w:rPr>
        <w:t>, e cila përcakton një vizion afatgjatë që BE-ja të “kthehet në një shoqëri të qëndrueshme ndaj klimës, plotësisht e përshtatur me ndikimet e pashmangshme të ndryshimeve klimatike deri në vitin 2050”</w:t>
      </w:r>
      <w:r w:rsidRPr="00622884">
        <w:rPr>
          <w:rFonts w:ascii="Garamond" w:eastAsia="SimSun" w:hAnsi="Garamond" w:cs="Calibri Light"/>
          <w:sz w:val="24"/>
          <w:szCs w:val="24"/>
          <w:vertAlign w:val="superscript"/>
          <w:lang w:eastAsia="en-US" w:bidi="sq-AL"/>
        </w:rPr>
        <w:footnoteReference w:id="119"/>
      </w:r>
      <w:r w:rsidRPr="00622884">
        <w:rPr>
          <w:rFonts w:ascii="Garamond" w:eastAsia="SimSun" w:hAnsi="Garamond" w:cs="Calibri Light"/>
          <w:sz w:val="24"/>
          <w:szCs w:val="24"/>
          <w:lang w:eastAsia="en-US" w:bidi="sq-AL"/>
        </w:rPr>
        <w:t>. Kjo strategji synon të forcojë kapacitetin përshtatës brenda BE-së dhe të minimizojë cenueshmërinë ndaj ndikimeve të ndryshimeve klimatike, nëpërmjet: përmirësimit të njohurive mbi ndikimet klimatike dhe zgjidhjet për përshtatje; përforcimit të planifikimit për përshtatje dhe vlerësimeve të riskut klimatik; përshpejtimit të veprimeve për përshtatje, dhe forcimit të qëndrueshmërisë klimatike në nivel botëror. Shumica e vendeve të BE-së kanë strategji përshtatjeje, disa në formën e NAP-eve, të tjerat si strategji apo programe, ku disa janë të bazuara te sektorët</w:t>
      </w:r>
      <w:r w:rsidRPr="00622884">
        <w:rPr>
          <w:rFonts w:ascii="Garamond" w:eastAsia="SimSun" w:hAnsi="Garamond" w:cs="Calibri Light"/>
          <w:sz w:val="24"/>
          <w:szCs w:val="24"/>
          <w:vertAlign w:val="superscript"/>
          <w:lang w:eastAsia="en-US" w:bidi="sq-AL"/>
        </w:rPr>
        <w:footnoteReference w:id="120"/>
      </w:r>
      <w:r w:rsidRPr="00622884">
        <w:rPr>
          <w:rFonts w:ascii="Garamond" w:eastAsia="SimSun" w:hAnsi="Garamond" w:cs="Calibri Light"/>
          <w:sz w:val="24"/>
          <w:szCs w:val="24"/>
          <w:lang w:eastAsia="en-US" w:bidi="sq-AL"/>
        </w:rPr>
        <w:t>.</w:t>
      </w:r>
    </w:p>
    <w:p w14:paraId="77E72F82" w14:textId="77777777" w:rsidR="00622884" w:rsidRPr="00622884" w:rsidRDefault="00622884" w:rsidP="00622884">
      <w:pPr>
        <w:keepNext/>
        <w:keepLines/>
        <w:spacing w:after="0" w:line="240" w:lineRule="auto"/>
        <w:ind w:firstLine="284"/>
        <w:outlineLvl w:val="1"/>
        <w:rPr>
          <w:rFonts w:ascii="Garamond" w:eastAsia="MS Mincho" w:hAnsi="Garamond" w:cs="Times New Roman"/>
          <w:b/>
          <w:bCs/>
          <w:caps/>
          <w:sz w:val="24"/>
          <w:szCs w:val="24"/>
          <w:lang w:eastAsia="es-ES"/>
        </w:rPr>
      </w:pPr>
      <w:bookmarkStart w:id="216" w:name="_Toc213936222"/>
      <w:bookmarkEnd w:id="215"/>
      <w:r w:rsidRPr="00622884">
        <w:rPr>
          <w:rFonts w:ascii="Garamond" w:eastAsia="MS Mincho" w:hAnsi="Garamond" w:cs="Times New Roman"/>
          <w:b/>
          <w:bCs/>
          <w:caps/>
          <w:sz w:val="24"/>
          <w:szCs w:val="24"/>
          <w:lang w:eastAsia="es-ES" w:bidi="sq-AL"/>
        </w:rPr>
        <w:t xml:space="preserve">2.4 </w:t>
      </w:r>
      <w:r w:rsidRPr="00622884">
        <w:rPr>
          <w:rFonts w:ascii="Garamond" w:eastAsia="MS Mincho" w:hAnsi="Garamond" w:cs="Times New Roman"/>
          <w:b/>
          <w:bCs/>
          <w:sz w:val="24"/>
          <w:szCs w:val="24"/>
          <w:lang w:eastAsia="es-ES" w:bidi="sq-AL"/>
        </w:rPr>
        <w:t xml:space="preserve">Përvoja e shqipërisë me </w:t>
      </w:r>
      <w:r w:rsidRPr="00622884">
        <w:rPr>
          <w:rFonts w:ascii="Garamond" w:eastAsia="MS Mincho" w:hAnsi="Garamond" w:cs="Times New Roman"/>
          <w:b/>
          <w:bCs/>
          <w:caps/>
          <w:sz w:val="24"/>
          <w:szCs w:val="24"/>
          <w:lang w:eastAsia="es-ES" w:bidi="sq-AL"/>
        </w:rPr>
        <w:t>NAP-</w:t>
      </w:r>
      <w:r w:rsidRPr="00622884">
        <w:rPr>
          <w:rFonts w:ascii="Garamond" w:eastAsia="MS Mincho" w:hAnsi="Garamond" w:cs="Times New Roman"/>
          <w:b/>
          <w:bCs/>
          <w:sz w:val="24"/>
          <w:szCs w:val="24"/>
          <w:lang w:eastAsia="es-ES" w:bidi="sq-AL"/>
        </w:rPr>
        <w:t>in</w:t>
      </w:r>
      <w:bookmarkEnd w:id="216"/>
    </w:p>
    <w:p w14:paraId="7B167553" w14:textId="77777777" w:rsidR="00622884" w:rsidRPr="00622884" w:rsidRDefault="00622884" w:rsidP="00622884">
      <w:pPr>
        <w:keepNext/>
        <w:spacing w:after="0" w:line="240" w:lineRule="auto"/>
        <w:ind w:firstLine="284"/>
        <w:mirrorIndents/>
        <w:rPr>
          <w:rFonts w:ascii="Garamond" w:eastAsia="Calibri Light" w:hAnsi="Garamond" w:cs="Calibri Light"/>
          <w:b/>
          <w:bCs/>
          <w:iCs/>
          <w:sz w:val="24"/>
          <w:szCs w:val="24"/>
          <w:lang w:eastAsia="en-US"/>
        </w:rPr>
      </w:pPr>
      <w:r w:rsidRPr="00622884">
        <w:rPr>
          <w:rFonts w:ascii="Garamond" w:eastAsia="Calibri Light" w:hAnsi="Garamond" w:cs="Calibri Light"/>
          <w:b/>
          <w:bCs/>
          <w:iCs/>
          <w:sz w:val="24"/>
          <w:szCs w:val="24"/>
          <w:lang w:eastAsia="en-US" w:bidi="sq-AL"/>
        </w:rPr>
        <w:t>NAP-i i parë i Shqipërisë</w:t>
      </w:r>
    </w:p>
    <w:p w14:paraId="279FEEF5" w14:textId="77777777" w:rsidR="00622884" w:rsidRPr="00622884" w:rsidRDefault="00622884" w:rsidP="00622884">
      <w:pPr>
        <w:spacing w:after="0" w:line="240" w:lineRule="auto"/>
        <w:ind w:firstLine="284"/>
        <w:rPr>
          <w:rFonts w:ascii="Garamond" w:eastAsia="SimSun" w:hAnsi="Garamond" w:cs="Calibri Light"/>
          <w:sz w:val="24"/>
          <w:szCs w:val="24"/>
          <w:lang w:eastAsia="en-US"/>
        </w:rPr>
      </w:pPr>
      <w:r w:rsidRPr="00622884">
        <w:rPr>
          <w:rFonts w:ascii="Garamond" w:eastAsia="SimSun" w:hAnsi="Garamond" w:cs="Calibri Light"/>
          <w:sz w:val="24"/>
          <w:szCs w:val="24"/>
          <w:lang w:eastAsia="en-US" w:bidi="sq-AL"/>
        </w:rPr>
        <w:t>Përshtatja ndaj ndryshimeve klimatike ka rëndësi të madhe mjedisore dhe socio-ekonomike për Shqipërinë, si një vend dhe rajon që është veçanërisht i cenueshëm ndaj ndryshimeve klimatike. Ndërmarrja e një procesi NAP-i dhe zhvillimi i një strategjie dhe plani zbatimi të NAP-it përbën një detyrim ndërkombëtar për Shqipërinë, në kuadër të UNFCCC-së, në të cilën vendi është palë që prej vitit 1994, për shembull, sipas nenit 7 të Marrëveshjes së Parisit, e ratifikuar nga Shqipëria më 21 shtator 2016. Gjithashtu, rishikimi çdo katër vjet i NAP-it është një detyrim ligjor kombëtar në bazë të Ligjit për Ndryshimet klimatike</w:t>
      </w:r>
      <w:r w:rsidRPr="00622884">
        <w:rPr>
          <w:rFonts w:ascii="Garamond" w:eastAsia="SimSun" w:hAnsi="Garamond" w:cs="Calibri Light"/>
          <w:sz w:val="24"/>
          <w:szCs w:val="24"/>
          <w:vertAlign w:val="superscript"/>
          <w:lang w:eastAsia="en-US" w:bidi="sq-AL"/>
        </w:rPr>
        <w:footnoteReference w:id="121"/>
      </w:r>
      <w:r w:rsidRPr="00622884">
        <w:rPr>
          <w:rFonts w:ascii="Garamond" w:eastAsia="SimSun" w:hAnsi="Garamond" w:cs="Calibri Light"/>
          <w:sz w:val="24"/>
          <w:szCs w:val="24"/>
          <w:lang w:eastAsia="en-US" w:bidi="sq-AL"/>
        </w:rPr>
        <w:t xml:space="preserve">. Ky është, gjithashtu, një hap i domosdoshëm në kuadrin e përpjekjeve të vendit për anëtarësim në Bashkimin Evropian, ku BE-ja ka rekomanduar përparimin e agjendës së vendit për ndryshimet klimatike, përfshirë hartimin e një NAP-i. Raporti i progresit </w:t>
      </w:r>
      <w:r w:rsidRPr="00622884">
        <w:rPr>
          <w:rFonts w:ascii="Garamond" w:eastAsia="SimSun" w:hAnsi="Garamond" w:cs="Calibri Light"/>
          <w:sz w:val="24"/>
          <w:szCs w:val="24"/>
          <w:shd w:val="clear" w:color="auto" w:fill="FFFFFF"/>
          <w:lang w:eastAsia="en-US" w:bidi="sq-AL"/>
        </w:rPr>
        <w:t>të</w:t>
      </w:r>
      <w:r w:rsidRPr="00622884">
        <w:rPr>
          <w:rFonts w:ascii="Garamond" w:eastAsia="SimSun" w:hAnsi="Garamond" w:cs="Calibri Light"/>
          <w:sz w:val="24"/>
          <w:szCs w:val="24"/>
          <w:lang w:eastAsia="en-US" w:bidi="sq-AL"/>
        </w:rPr>
        <w:t xml:space="preserve"> BE-së për vitin 2022, mbi procesin e anëtarësimit të Shqipërisë, theksoi sërish nevojën për zbatimin efektiv të NAP-it të parë dhe miratimin e një strategjie të re dhe të një plani kombëtar të ri të përshtatjes.</w:t>
      </w:r>
    </w:p>
    <w:p w14:paraId="3D9F05F2" w14:textId="77777777" w:rsidR="00622884" w:rsidRPr="00622884" w:rsidRDefault="00622884" w:rsidP="00622884">
      <w:pPr>
        <w:spacing w:after="0" w:line="240" w:lineRule="auto"/>
        <w:ind w:firstLine="284"/>
        <w:rPr>
          <w:rFonts w:ascii="Garamond" w:eastAsia="SimSun" w:hAnsi="Garamond" w:cs="Calibri Light"/>
          <w:sz w:val="24"/>
          <w:szCs w:val="24"/>
          <w:lang w:eastAsia="en-US"/>
        </w:rPr>
      </w:pPr>
      <w:r w:rsidRPr="00622884">
        <w:rPr>
          <w:rFonts w:ascii="Garamond" w:eastAsia="SimSun" w:hAnsi="Garamond" w:cs="Calibri Light"/>
          <w:b/>
          <w:sz w:val="24"/>
          <w:szCs w:val="24"/>
          <w:lang w:eastAsia="en-US" w:bidi="sq-AL"/>
        </w:rPr>
        <w:lastRenderedPageBreak/>
        <w:t>NAP-i i parë u hartua në periudhën 2015</w:t>
      </w:r>
      <w:r w:rsidRPr="00622884">
        <w:rPr>
          <w:rFonts w:ascii="Garamond" w:eastAsia="SimSun" w:hAnsi="Garamond" w:cs="Times New Roman"/>
          <w:color w:val="1D3C5A"/>
          <w:sz w:val="24"/>
          <w:szCs w:val="24"/>
          <w:lang w:eastAsia="en-US"/>
        </w:rPr>
        <w:t>–</w:t>
      </w:r>
      <w:r w:rsidRPr="00622884">
        <w:rPr>
          <w:rFonts w:ascii="Garamond" w:eastAsia="SimSun" w:hAnsi="Garamond" w:cs="Calibri Light"/>
          <w:b/>
          <w:sz w:val="24"/>
          <w:szCs w:val="24"/>
          <w:lang w:eastAsia="en-US" w:bidi="sq-AL"/>
        </w:rPr>
        <w:t>2019,</w:t>
      </w:r>
      <w:r w:rsidRPr="00622884">
        <w:rPr>
          <w:rFonts w:ascii="Garamond" w:eastAsia="SimSun" w:hAnsi="Garamond" w:cs="Calibri Light"/>
          <w:sz w:val="24"/>
          <w:szCs w:val="24"/>
          <w:lang w:eastAsia="en-US" w:bidi="sq-AL"/>
        </w:rPr>
        <w:t xml:space="preserve"> me mbështetjen e Agjencisë Gjermane për Zhvillim (GIZ) dhe UNDP-së, dhe u miratua si dokumenti kuadër i NAP-it në vitin 2019</w:t>
      </w:r>
      <w:r w:rsidRPr="00622884">
        <w:rPr>
          <w:rFonts w:ascii="Garamond" w:eastAsia="SimSun" w:hAnsi="Garamond" w:cs="Calibri Light"/>
          <w:sz w:val="24"/>
          <w:szCs w:val="24"/>
          <w:vertAlign w:val="superscript"/>
          <w:lang w:eastAsia="en-US" w:bidi="sq-AL"/>
        </w:rPr>
        <w:footnoteReference w:id="122"/>
      </w:r>
      <w:r w:rsidRPr="00622884">
        <w:rPr>
          <w:rFonts w:ascii="Garamond" w:eastAsia="SimSun" w:hAnsi="Garamond" w:cs="Calibri Light"/>
          <w:sz w:val="24"/>
          <w:szCs w:val="24"/>
          <w:lang w:eastAsia="en-US" w:bidi="sq-AL"/>
        </w:rPr>
        <w:t>, duke përfshirë 6 fusha ndërhyrjeje madhore</w:t>
      </w:r>
      <w:r w:rsidRPr="00622884">
        <w:rPr>
          <w:rFonts w:ascii="Garamond" w:eastAsia="SimSun" w:hAnsi="Garamond" w:cs="Calibri Light"/>
          <w:sz w:val="24"/>
          <w:szCs w:val="24"/>
          <w:vertAlign w:val="superscript"/>
          <w:lang w:eastAsia="en-US" w:bidi="sq-AL"/>
        </w:rPr>
        <w:footnoteReference w:id="123"/>
      </w:r>
      <w:r w:rsidRPr="00622884">
        <w:rPr>
          <w:rFonts w:ascii="Garamond" w:eastAsia="SimSun" w:hAnsi="Garamond" w:cs="Calibri Light"/>
          <w:sz w:val="24"/>
          <w:szCs w:val="24"/>
          <w:lang w:eastAsia="en-US" w:bidi="sq-AL"/>
        </w:rPr>
        <w:t xml:space="preserve"> dhe 16 objektiva. Raporti i progresit për NAP-in e parë për periudhën 2019</w:t>
      </w:r>
      <w:r w:rsidRPr="00622884">
        <w:rPr>
          <w:rFonts w:ascii="Garamond" w:eastAsia="SimSun" w:hAnsi="Garamond" w:cs="Times New Roman"/>
          <w:color w:val="1D3C5A"/>
          <w:sz w:val="24"/>
          <w:szCs w:val="24"/>
          <w:lang w:eastAsia="en-US"/>
        </w:rPr>
        <w:t>–</w:t>
      </w:r>
      <w:r w:rsidRPr="00622884">
        <w:rPr>
          <w:rFonts w:ascii="Garamond" w:eastAsia="SimSun" w:hAnsi="Garamond" w:cs="Calibri Light"/>
          <w:sz w:val="24"/>
          <w:szCs w:val="24"/>
          <w:lang w:eastAsia="en-US" w:bidi="sq-AL"/>
        </w:rPr>
        <w:t>2023 në Shqipëri</w:t>
      </w:r>
      <w:r w:rsidRPr="00622884">
        <w:rPr>
          <w:rFonts w:ascii="Garamond" w:eastAsia="SimSun" w:hAnsi="Garamond" w:cs="Calibri Light"/>
          <w:sz w:val="24"/>
          <w:szCs w:val="24"/>
          <w:vertAlign w:val="superscript"/>
          <w:lang w:eastAsia="en-US" w:bidi="sq-AL"/>
        </w:rPr>
        <w:footnoteReference w:id="124"/>
      </w:r>
      <w:r w:rsidRPr="00622884">
        <w:rPr>
          <w:rFonts w:ascii="Garamond" w:eastAsia="SimSun" w:hAnsi="Garamond" w:cs="Calibri Light"/>
          <w:sz w:val="24"/>
          <w:szCs w:val="24"/>
          <w:lang w:eastAsia="en-US" w:bidi="sq-AL"/>
        </w:rPr>
        <w:t xml:space="preserve"> theksoi se nga 118 masat e planifikuara të përshtatjes, vetëm 15% ishin përfunduar, rreth 69% e të gjitha masave kishin pasur përparim të pjesshëm, ndërsa 22% ende nuk ishin nisur. Ndër arritjet kryesore u veçuan krijimi dhe funksionimi i Grupit Ndërministror të Punës për Ndryshimet Klimatike (GNPNK); integrimi i ndryshimeve klimatike në disa dokumente të tjera strategjike, dhe ndërgjegjësimi për ndryshimet klimatike dhe nevojën për përshtatje. Sfidat përfshinë mangësitë në kapacitete dhe njohuri, kufizimet buxhetore dhe mungesën e burimeve, si edhe ndikimin e tërmetit të nëntorit 2019 dhe pandemisë COVID-19, të cilat ngadalësuan zbatimin e masave. Raporti i progresit </w:t>
      </w:r>
      <w:r w:rsidRPr="00622884">
        <w:rPr>
          <w:rFonts w:ascii="Garamond" w:eastAsia="SimSun" w:hAnsi="Garamond" w:cs="Calibri Light"/>
          <w:sz w:val="24"/>
          <w:szCs w:val="24"/>
          <w:shd w:val="clear" w:color="auto" w:fill="FFFFFF"/>
          <w:lang w:eastAsia="en-US" w:bidi="sq-AL"/>
        </w:rPr>
        <w:t>të</w:t>
      </w:r>
      <w:r w:rsidRPr="00622884">
        <w:rPr>
          <w:rFonts w:ascii="Garamond" w:eastAsia="SimSun" w:hAnsi="Garamond" w:cs="Calibri Light"/>
          <w:sz w:val="24"/>
          <w:szCs w:val="24"/>
          <w:lang w:eastAsia="en-US" w:bidi="sq-AL"/>
        </w:rPr>
        <w:t xml:space="preserve"> NAP-it (2019</w:t>
      </w:r>
      <w:r w:rsidRPr="00622884">
        <w:rPr>
          <w:rFonts w:ascii="Garamond" w:eastAsia="SimSun" w:hAnsi="Garamond" w:cs="Times New Roman"/>
          <w:color w:val="1D3C5A"/>
          <w:sz w:val="24"/>
          <w:szCs w:val="24"/>
          <w:lang w:eastAsia="en-US"/>
        </w:rPr>
        <w:t>–</w:t>
      </w:r>
      <w:r w:rsidRPr="00622884">
        <w:rPr>
          <w:rFonts w:ascii="Garamond" w:eastAsia="SimSun" w:hAnsi="Garamond" w:cs="Calibri Light"/>
          <w:sz w:val="24"/>
          <w:szCs w:val="24"/>
          <w:lang w:eastAsia="en-US" w:bidi="sq-AL"/>
        </w:rPr>
        <w:t>2023) theksoi, gjithashtu, se financimi i disponueshëm për përshtatjen varej pothuajse ekskluzivisht nga donatorët, në kontrast me 99,9% të buxhetit të shtetit për kontributin kombëtar të pikësynuar (KKP), i cili ishte përcaktuar për zbutje. Mësimi kryesor i nxjerrë nga zbatimi i veprimeve të përshtatjes me klimën në Shqipëri gjatë dekadës së fundit ishte se shumica e veprimeve kishin mangësi në koordinim dhe nuk ndiqnin një qasje ndërsektoriale për trajtimin e cenueshmërive ndaj klimës në nivel kombëtar</w:t>
      </w:r>
      <w:r w:rsidRPr="00622884">
        <w:rPr>
          <w:rFonts w:ascii="Garamond" w:eastAsia="SimSun" w:hAnsi="Garamond" w:cs="Calibri Light"/>
          <w:sz w:val="24"/>
          <w:szCs w:val="24"/>
          <w:vertAlign w:val="superscript"/>
          <w:lang w:eastAsia="en-US" w:bidi="sq-AL"/>
        </w:rPr>
        <w:footnoteReference w:id="125"/>
      </w:r>
      <w:r w:rsidRPr="00622884">
        <w:rPr>
          <w:rFonts w:ascii="Garamond" w:eastAsia="SimSun" w:hAnsi="Garamond" w:cs="Calibri Light"/>
          <w:sz w:val="24"/>
          <w:szCs w:val="24"/>
          <w:lang w:eastAsia="en-US" w:bidi="sq-AL"/>
        </w:rPr>
        <w:t xml:space="preserve">. </w:t>
      </w:r>
    </w:p>
    <w:p w14:paraId="18B3DFB2"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r w:rsidRPr="00622884">
        <w:rPr>
          <w:rFonts w:ascii="Garamond" w:eastAsia="Calibri" w:hAnsi="Garamond" w:cs="Times New Roman"/>
          <w:sz w:val="24"/>
          <w:szCs w:val="24"/>
          <w:lang w:eastAsia="en-US" w:bidi="sq-AL"/>
        </w:rPr>
        <w:t>Raporti i progresit 2023 për NAP-in e parë dha disa rekomandime prioritare për NAP-in e dytë, si më poshtë:</w:t>
      </w:r>
    </w:p>
    <w:p w14:paraId="47996DC8"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r w:rsidRPr="00622884">
        <w:rPr>
          <w:rFonts w:ascii="Garamond" w:eastAsia="Calibri" w:hAnsi="Garamond" w:cs="Times New Roman"/>
          <w:sz w:val="24"/>
          <w:szCs w:val="24"/>
          <w:lang w:eastAsia="en-US" w:bidi="sq-AL"/>
        </w:rPr>
        <w:t>- Të ngrihet një strukturë qeverisjeje e mirorganizuar dhe e mbështetur me burime, si dhe të forcohen institucionet për zbatimin e NAP-it;</w:t>
      </w:r>
    </w:p>
    <w:p w14:paraId="64155B62"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r w:rsidRPr="00622884">
        <w:rPr>
          <w:rFonts w:ascii="Garamond" w:eastAsia="Calibri" w:hAnsi="Garamond" w:cs="Times New Roman"/>
          <w:sz w:val="24"/>
          <w:szCs w:val="24"/>
          <w:lang w:eastAsia="en-US" w:bidi="sq-AL"/>
        </w:rPr>
        <w:t>-Të hartohen dhe zbatohen plane efektive për mobilizimin e burimeve financiare, njerëzore dhe teknologjike që do të mbështesin zbatimin e NAP-it;</w:t>
      </w:r>
    </w:p>
    <w:p w14:paraId="225FB49E"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r w:rsidRPr="00622884">
        <w:rPr>
          <w:rFonts w:ascii="Garamond" w:eastAsia="Calibri" w:hAnsi="Garamond" w:cs="Times New Roman"/>
          <w:sz w:val="24"/>
          <w:szCs w:val="24"/>
          <w:lang w:eastAsia="en-US" w:bidi="sq-AL"/>
        </w:rPr>
        <w:t xml:space="preserve">-Të zhvillohet dhe zbatohet një kuadër efikas për monitorimin dhe vlerësimin e NAP-it të ri; </w:t>
      </w:r>
    </w:p>
    <w:p w14:paraId="4CA0C818"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r w:rsidRPr="00622884">
        <w:rPr>
          <w:rFonts w:ascii="Garamond" w:eastAsia="Calibri" w:hAnsi="Garamond" w:cs="Times New Roman"/>
          <w:sz w:val="24"/>
          <w:szCs w:val="24"/>
          <w:lang w:eastAsia="en-US" w:bidi="sq-AL"/>
        </w:rPr>
        <w:t>- Të zhvillohet dhe zbatohet një program i përshtatshëm edukimi dhe komunikimi për të mbështetur zbatimin e NAP-it;</w:t>
      </w:r>
    </w:p>
    <w:p w14:paraId="4F29317C"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r w:rsidRPr="00622884">
        <w:rPr>
          <w:rFonts w:ascii="Garamond" w:eastAsia="Calibri" w:hAnsi="Garamond" w:cs="Times New Roman"/>
          <w:sz w:val="24"/>
          <w:szCs w:val="24"/>
          <w:lang w:eastAsia="en-US" w:bidi="sq-AL"/>
        </w:rPr>
        <w:t>- Të rritet mbështetja për veprimet për përshtatje, të udhëhequra nga sektori privat.</w:t>
      </w:r>
    </w:p>
    <w:p w14:paraId="7A5C4A0B" w14:textId="77777777" w:rsidR="00622884" w:rsidRPr="00622884" w:rsidRDefault="00622884" w:rsidP="00622884">
      <w:pPr>
        <w:spacing w:after="0" w:line="240" w:lineRule="auto"/>
        <w:ind w:firstLine="284"/>
        <w:rPr>
          <w:rFonts w:ascii="Garamond" w:eastAsia="SimSun" w:hAnsi="Garamond" w:cs="Calibri Light"/>
          <w:sz w:val="24"/>
          <w:szCs w:val="24"/>
          <w:lang w:eastAsia="en-US"/>
        </w:rPr>
      </w:pPr>
      <w:r w:rsidRPr="00622884">
        <w:rPr>
          <w:rFonts w:ascii="Garamond" w:eastAsia="SimSun" w:hAnsi="Garamond" w:cs="Calibri Light"/>
          <w:sz w:val="24"/>
          <w:szCs w:val="24"/>
          <w:lang w:eastAsia="en-US" w:bidi="sq-AL"/>
        </w:rPr>
        <w:t>Këto rekomandime janë marrë në konsideratë në procesin e hartimit të NAP-it të dytë.</w:t>
      </w:r>
    </w:p>
    <w:p w14:paraId="41918CB2" w14:textId="77777777" w:rsidR="00622884" w:rsidRPr="00622884" w:rsidRDefault="00622884" w:rsidP="00622884">
      <w:pPr>
        <w:keepNext/>
        <w:spacing w:after="0" w:line="240" w:lineRule="auto"/>
        <w:ind w:firstLine="284"/>
        <w:mirrorIndents/>
        <w:rPr>
          <w:rFonts w:ascii="Garamond" w:eastAsia="Calibri Light" w:hAnsi="Garamond" w:cs="Calibri Light"/>
          <w:b/>
          <w:bCs/>
          <w:iCs/>
          <w:sz w:val="24"/>
          <w:szCs w:val="24"/>
          <w:lang w:eastAsia="en-US"/>
        </w:rPr>
      </w:pPr>
      <w:r w:rsidRPr="00622884">
        <w:rPr>
          <w:rFonts w:ascii="Garamond" w:eastAsia="Calibri Light" w:hAnsi="Garamond" w:cs="Calibri Light"/>
          <w:b/>
          <w:sz w:val="24"/>
          <w:szCs w:val="24"/>
          <w:lang w:eastAsia="en-US" w:bidi="sq-AL"/>
        </w:rPr>
        <w:t xml:space="preserve"> NAP-i i dytë i Shqipërisë</w:t>
      </w:r>
    </w:p>
    <w:p w14:paraId="07CF5685" w14:textId="77777777" w:rsidR="00622884" w:rsidRPr="00622884" w:rsidRDefault="00622884" w:rsidP="00622884">
      <w:pPr>
        <w:spacing w:after="0" w:line="240" w:lineRule="auto"/>
        <w:ind w:firstLine="284"/>
        <w:rPr>
          <w:rFonts w:ascii="Garamond" w:eastAsia="SimSun" w:hAnsi="Garamond" w:cs="Calibri Light"/>
          <w:sz w:val="24"/>
          <w:szCs w:val="24"/>
          <w:lang w:eastAsia="en-US" w:bidi="sq-AL"/>
        </w:rPr>
      </w:pPr>
      <w:r w:rsidRPr="00622884">
        <w:rPr>
          <w:rFonts w:ascii="Garamond" w:eastAsia="SimSun" w:hAnsi="Garamond" w:cs="Calibri Light"/>
          <w:b/>
          <w:sz w:val="24"/>
          <w:szCs w:val="24"/>
          <w:lang w:eastAsia="en-US" w:bidi="sq-AL"/>
        </w:rPr>
        <w:t>Procesi i hartimit të Planit të dytë Kombëtar të Përshtatjes (NAP)</w:t>
      </w:r>
      <w:r w:rsidRPr="00622884">
        <w:rPr>
          <w:rFonts w:ascii="Garamond" w:eastAsia="SimSun" w:hAnsi="Garamond" w:cs="Calibri Light"/>
          <w:sz w:val="24"/>
          <w:szCs w:val="24"/>
          <w:lang w:eastAsia="en-US" w:bidi="sq-AL"/>
        </w:rPr>
        <w:t xml:space="preserve"> në Shqipëri, për periudhën 2021</w:t>
      </w:r>
      <w:r w:rsidRPr="00622884">
        <w:rPr>
          <w:rFonts w:ascii="Garamond" w:eastAsia="SimSun" w:hAnsi="Garamond" w:cs="Times New Roman"/>
          <w:color w:val="1D3C5A"/>
          <w:sz w:val="24"/>
          <w:szCs w:val="24"/>
          <w:lang w:eastAsia="en-US"/>
        </w:rPr>
        <w:t>–</w:t>
      </w:r>
      <w:r w:rsidRPr="00622884">
        <w:rPr>
          <w:rFonts w:ascii="Garamond" w:eastAsia="SimSun" w:hAnsi="Garamond" w:cs="Calibri Light"/>
          <w:sz w:val="24"/>
          <w:szCs w:val="24"/>
          <w:lang w:eastAsia="en-US" w:bidi="sq-AL"/>
        </w:rPr>
        <w:t xml:space="preserve">2025, ka qenë një nismë e udhëhequr nga vetë vendi, e krijuar për të mbështetur institucionet kombëtare dhe tetë bashki në identifikimin, trajtimin dhe përshtatjen ndaj sfidave që vijnë prej ndryshimeve klimatike. Nëpërmjet një sërë vlerësimesh, studimesh dhe programesh për ngritjen e kapaciteteve, ky proces ka ndihmuar në përgatitjen e NAP-it të dytë, i cili fokusohet te pesë sektorë kryesorë: bujqësia dhe pylltaria, turizmi, zhvillimi urban, energjia dhe transporti. Disa prej arritjeve dhe dokumenteve më të rëndësishme të prodhuara gjatë këtij procesi të NAP-it përfshijnë (shih edhe </w:t>
      </w:r>
      <w:r w:rsidRPr="00622884">
        <w:rPr>
          <w:rFonts w:ascii="Garamond" w:eastAsia="SimSun" w:hAnsi="Garamond" w:cs="Calibri Light"/>
          <w:sz w:val="24"/>
          <w:szCs w:val="24"/>
          <w:lang w:eastAsia="en-US" w:bidi="sq-AL"/>
        </w:rPr>
        <w:fldChar w:fldCharType="begin"/>
      </w:r>
      <w:r w:rsidRPr="00622884">
        <w:rPr>
          <w:rFonts w:ascii="Garamond" w:eastAsia="SimSun" w:hAnsi="Garamond" w:cs="Calibri Light"/>
          <w:sz w:val="24"/>
          <w:szCs w:val="24"/>
          <w:lang w:eastAsia="en-US" w:bidi="sq-AL"/>
        </w:rPr>
        <w:instrText xml:space="preserve"> REF _Ref209094445 \h  \* MERGEFORMAT </w:instrText>
      </w:r>
      <w:r w:rsidRPr="00622884">
        <w:rPr>
          <w:rFonts w:ascii="Garamond" w:eastAsia="SimSun" w:hAnsi="Garamond" w:cs="Calibri Light"/>
          <w:sz w:val="24"/>
          <w:szCs w:val="24"/>
          <w:lang w:eastAsia="en-US" w:bidi="sq-AL"/>
        </w:rPr>
      </w:r>
      <w:r w:rsidRPr="00622884">
        <w:rPr>
          <w:rFonts w:ascii="Garamond" w:eastAsia="SimSun" w:hAnsi="Garamond" w:cs="Calibri Light"/>
          <w:sz w:val="24"/>
          <w:szCs w:val="24"/>
          <w:lang w:eastAsia="en-US" w:bidi="sq-AL"/>
        </w:rPr>
        <w:fldChar w:fldCharType="separate"/>
      </w:r>
      <w:r w:rsidRPr="00622884">
        <w:rPr>
          <w:rFonts w:ascii="Garamond" w:eastAsia="SimSun" w:hAnsi="Garamond" w:cs="Calibri Light"/>
          <w:sz w:val="24"/>
          <w:szCs w:val="24"/>
          <w:lang w:eastAsia="en-US" w:bidi="sq-AL"/>
        </w:rPr>
        <w:t>figura 1</w:t>
      </w:r>
      <w:r w:rsidRPr="00622884">
        <w:rPr>
          <w:rFonts w:ascii="Garamond" w:eastAsia="SimSun" w:hAnsi="Garamond" w:cs="Calibri Light"/>
          <w:sz w:val="24"/>
          <w:szCs w:val="24"/>
          <w:lang w:eastAsia="en-US" w:bidi="sq-AL"/>
        </w:rPr>
        <w:fldChar w:fldCharType="end"/>
      </w:r>
      <w:r w:rsidRPr="00622884">
        <w:rPr>
          <w:rFonts w:ascii="Garamond" w:eastAsia="SimSun" w:hAnsi="Garamond" w:cs="Calibri Light"/>
          <w:sz w:val="24"/>
          <w:szCs w:val="24"/>
          <w:lang w:eastAsia="en-US" w:bidi="sq-AL"/>
        </w:rPr>
        <w:t xml:space="preserve"> në të djathtë):</w:t>
      </w:r>
    </w:p>
    <w:p w14:paraId="3836D53A" w14:textId="77777777" w:rsidR="00622884" w:rsidRPr="00622884" w:rsidRDefault="00622884" w:rsidP="00622884">
      <w:pPr>
        <w:spacing w:after="0" w:line="240" w:lineRule="auto"/>
        <w:ind w:firstLine="284"/>
        <w:rPr>
          <w:rFonts w:ascii="Garamond" w:eastAsia="SimSun" w:hAnsi="Garamond" w:cs="Calibri Light"/>
          <w:sz w:val="6"/>
          <w:szCs w:val="24"/>
          <w:lang w:eastAsia="en-US"/>
        </w:rPr>
      </w:pPr>
    </w:p>
    <w:p w14:paraId="2A9EF2A8" w14:textId="77777777" w:rsidR="00622884" w:rsidRPr="00622884" w:rsidRDefault="00622884" w:rsidP="00622884">
      <w:pPr>
        <w:spacing w:after="0" w:line="240" w:lineRule="auto"/>
        <w:ind w:firstLine="284"/>
        <w:jc w:val="center"/>
        <w:rPr>
          <w:rFonts w:ascii="Garamond" w:eastAsia="SimSun" w:hAnsi="Garamond" w:cs="Calibri Light"/>
          <w:sz w:val="24"/>
          <w:szCs w:val="24"/>
          <w:lang w:eastAsia="en-US"/>
        </w:rPr>
      </w:pPr>
      <w:r w:rsidRPr="00622884">
        <w:rPr>
          <w:rFonts w:ascii="Garamond" w:eastAsia="SimSun" w:hAnsi="Garamond" w:cs="Calibri Light"/>
          <w:noProof/>
          <w:sz w:val="24"/>
          <w:szCs w:val="24"/>
          <w:lang w:eastAsia="sq-AL"/>
        </w:rPr>
        <w:lastRenderedPageBreak/>
        <w:drawing>
          <wp:inline distT="0" distB="0" distL="0" distR="0" wp14:anchorId="58B37C91" wp14:editId="78BEA30F">
            <wp:extent cx="2249796" cy="3885166"/>
            <wp:effectExtent l="0" t="0" r="0" b="1270"/>
            <wp:docPr id="231" name="Picture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2280029" cy="3937376"/>
                    </a:xfrm>
                    <a:prstGeom prst="rect">
                      <a:avLst/>
                    </a:prstGeom>
                    <a:noFill/>
                  </pic:spPr>
                </pic:pic>
              </a:graphicData>
            </a:graphic>
          </wp:inline>
        </w:drawing>
      </w:r>
    </w:p>
    <w:p w14:paraId="2ECFCFAE" w14:textId="77777777" w:rsidR="00622884" w:rsidRPr="00622884" w:rsidRDefault="00622884" w:rsidP="00622884">
      <w:pPr>
        <w:spacing w:after="0" w:line="240" w:lineRule="auto"/>
        <w:ind w:firstLine="284"/>
        <w:rPr>
          <w:rFonts w:ascii="Garamond" w:eastAsia="SimSun" w:hAnsi="Garamond" w:cs="Calibri Light"/>
          <w:sz w:val="8"/>
          <w:szCs w:val="24"/>
          <w:lang w:eastAsia="en-US"/>
        </w:rPr>
      </w:pPr>
    </w:p>
    <w:p w14:paraId="755F05F9" w14:textId="77777777" w:rsidR="00622884" w:rsidRPr="00622884" w:rsidRDefault="00622884" w:rsidP="00622884">
      <w:pPr>
        <w:spacing w:after="0" w:line="240" w:lineRule="auto"/>
        <w:ind w:firstLine="284"/>
        <w:jc w:val="center"/>
        <w:rPr>
          <w:rFonts w:ascii="Garamond" w:eastAsia="SimSun" w:hAnsi="Garamond" w:cs="Calibri Light"/>
          <w:i/>
          <w:sz w:val="20"/>
          <w:szCs w:val="20"/>
          <w:lang w:eastAsia="en-US"/>
        </w:rPr>
      </w:pPr>
      <w:r w:rsidRPr="00622884">
        <w:rPr>
          <w:rFonts w:ascii="Garamond" w:eastAsia="SimSun" w:hAnsi="Garamond" w:cs="Calibri Light"/>
          <w:i/>
          <w:sz w:val="20"/>
          <w:szCs w:val="20"/>
          <w:lang w:eastAsia="en-US"/>
        </w:rPr>
        <w:t>Figura 1. Procesi i PKP-së në Shqipëri, korrik 2021</w:t>
      </w:r>
      <w:r w:rsidRPr="00622884">
        <w:rPr>
          <w:rFonts w:ascii="Garamond" w:eastAsia="SimSun" w:hAnsi="Garamond" w:cs="Times New Roman"/>
          <w:i/>
          <w:color w:val="1D3C5A"/>
          <w:sz w:val="20"/>
          <w:szCs w:val="20"/>
          <w:lang w:eastAsia="en-US"/>
        </w:rPr>
        <w:t>–</w:t>
      </w:r>
      <w:r w:rsidRPr="00622884">
        <w:rPr>
          <w:rFonts w:ascii="Garamond" w:eastAsia="SimSun" w:hAnsi="Garamond" w:cs="Calibri Light"/>
          <w:i/>
          <w:sz w:val="20"/>
          <w:szCs w:val="20"/>
          <w:lang w:eastAsia="en-US"/>
        </w:rPr>
        <w:t>gusht 2025.</w:t>
      </w:r>
    </w:p>
    <w:p w14:paraId="59751166"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u w:val="single"/>
          <w:lang w:eastAsia="en-US"/>
        </w:rPr>
      </w:pPr>
      <w:r w:rsidRPr="00622884">
        <w:rPr>
          <w:rFonts w:ascii="Garamond" w:eastAsia="Calibri" w:hAnsi="Garamond" w:cs="Times New Roman"/>
          <w:sz w:val="24"/>
          <w:szCs w:val="24"/>
          <w:lang w:eastAsia="en-US" w:bidi="sq-AL"/>
        </w:rPr>
        <w:t>-</w:t>
      </w:r>
      <w:r w:rsidRPr="00622884">
        <w:rPr>
          <w:rFonts w:ascii="Garamond" w:eastAsia="Calibri" w:hAnsi="Garamond" w:cs="Times New Roman"/>
          <w:b/>
          <w:sz w:val="24"/>
          <w:szCs w:val="24"/>
          <w:lang w:eastAsia="en-US" w:bidi="sq-AL"/>
        </w:rPr>
        <w:t xml:space="preserve"> Raporti i vlerësimit fillestar:</w:t>
      </w:r>
      <w:r w:rsidRPr="00622884">
        <w:rPr>
          <w:rFonts w:ascii="Garamond" w:eastAsia="Calibri" w:hAnsi="Garamond" w:cs="Times New Roman"/>
          <w:sz w:val="24"/>
          <w:szCs w:val="24"/>
          <w:lang w:eastAsia="en-US" w:bidi="sq-AL"/>
        </w:rPr>
        <w:t xml:space="preserve"> Pikënisja e procesit të NAP-it, që analizoi kuadrin politik, institucional dhe ligjor, si dhe vlerësoi informacionin ekzistues mbi ndikimet, cenueshmëritë dhe masat e përshtatjes ndaj ndryshimeve klimatike, duke identifikuar dobësitë dhe boshllëqet në institucionet kombëtare dhe vendore;</w:t>
      </w:r>
    </w:p>
    <w:p w14:paraId="7B295E47"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r w:rsidRPr="00622884">
        <w:rPr>
          <w:rFonts w:ascii="Garamond" w:eastAsia="Calibri" w:hAnsi="Garamond" w:cs="Times New Roman"/>
          <w:sz w:val="24"/>
          <w:szCs w:val="24"/>
          <w:lang w:eastAsia="en-US" w:bidi="sq-AL"/>
        </w:rPr>
        <w:t>-</w:t>
      </w:r>
      <w:r w:rsidRPr="00622884">
        <w:rPr>
          <w:rFonts w:ascii="Garamond" w:eastAsia="Calibri" w:hAnsi="Garamond" w:cs="Times New Roman"/>
          <w:b/>
          <w:sz w:val="24"/>
          <w:szCs w:val="24"/>
          <w:lang w:eastAsia="en-US" w:bidi="sq-AL"/>
        </w:rPr>
        <w:t xml:space="preserve"> Analizat e kapaciteteve institucionale dhe ligjore</w:t>
      </w:r>
      <w:r w:rsidRPr="00622884">
        <w:rPr>
          <w:rFonts w:ascii="Garamond" w:eastAsia="Calibri" w:hAnsi="Garamond" w:cs="Times New Roman"/>
          <w:sz w:val="24"/>
          <w:szCs w:val="24"/>
          <w:lang w:eastAsia="en-US" w:bidi="sq-AL"/>
        </w:rPr>
        <w:t>, për shembull, për Grupin Ndërministror të Punës për Ndryshimet Klimatike (GNPNK) dhe Institutin e Gjeoshkencave (IGJEO);</w:t>
      </w:r>
    </w:p>
    <w:p w14:paraId="7D12BD07"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r w:rsidRPr="00622884">
        <w:rPr>
          <w:rFonts w:ascii="Garamond" w:eastAsia="Calibri" w:hAnsi="Garamond" w:cs="Times New Roman"/>
          <w:sz w:val="24"/>
          <w:szCs w:val="24"/>
          <w:lang w:eastAsia="en-US" w:bidi="sq-AL"/>
        </w:rPr>
        <w:t>-</w:t>
      </w:r>
      <w:r w:rsidRPr="00622884">
        <w:rPr>
          <w:rFonts w:ascii="Garamond" w:eastAsia="Calibri" w:hAnsi="Garamond" w:cs="Times New Roman"/>
          <w:b/>
          <w:sz w:val="24"/>
          <w:szCs w:val="24"/>
          <w:lang w:eastAsia="en-US" w:bidi="sq-AL"/>
        </w:rPr>
        <w:t xml:space="preserve"> Hartimi i legjislacionit</w:t>
      </w:r>
      <w:r w:rsidRPr="00622884">
        <w:rPr>
          <w:rFonts w:ascii="Garamond" w:eastAsia="Calibri" w:hAnsi="Garamond" w:cs="Times New Roman"/>
          <w:sz w:val="24"/>
          <w:szCs w:val="24"/>
          <w:lang w:eastAsia="en-US" w:bidi="sq-AL"/>
        </w:rPr>
        <w:t>, për shembull, mbështetja për projekt-VKM-në nr. 889: “Për miratimin e rregullores për monitorimin, raportimin e shkarkimeve të gazeve me efekt serrë dhe të informacioneve të tjera, që lidhen me ndryshimet klimatike në nivel kombëtar”; urdhrin e ministrit “Për formatin dhe mënyrat e raportimit të Grupit Ndërministror të Punës për Ndryshimet Klimatike”; urdhrin e ministrit “Për rregulloren e brendshme për funksionimin e Grupit Ndërministror të Punës për Ndryshimet Klimatike”;</w:t>
      </w:r>
    </w:p>
    <w:p w14:paraId="52EAC3D5"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r w:rsidRPr="00622884">
        <w:rPr>
          <w:rFonts w:ascii="Garamond" w:eastAsia="Calibri" w:hAnsi="Garamond" w:cs="Times New Roman"/>
          <w:sz w:val="24"/>
          <w:szCs w:val="24"/>
          <w:lang w:eastAsia="en-US" w:bidi="sq-AL"/>
        </w:rPr>
        <w:t xml:space="preserve">- </w:t>
      </w:r>
      <w:r w:rsidRPr="00622884">
        <w:rPr>
          <w:rFonts w:ascii="Garamond" w:eastAsia="Calibri" w:hAnsi="Garamond" w:cs="Times New Roman"/>
          <w:b/>
          <w:sz w:val="24"/>
          <w:szCs w:val="24"/>
          <w:lang w:eastAsia="en-US" w:bidi="sq-AL"/>
        </w:rPr>
        <w:t>Planet Vendore të Përshtatjes (PVP</w:t>
      </w:r>
      <w:r w:rsidRPr="00622884">
        <w:rPr>
          <w:rFonts w:ascii="Garamond" w:eastAsia="Calibri" w:hAnsi="Garamond" w:cs="Times New Roman"/>
          <w:sz w:val="24"/>
          <w:szCs w:val="24"/>
          <w:lang w:eastAsia="en-US" w:bidi="sq-AL"/>
        </w:rPr>
        <w:t>) për bashkitë Durrës, Kukës, Krujë, Vlorë, Elbasan, Fier, Gjirokastër dhe Përmet;</w:t>
      </w:r>
    </w:p>
    <w:p w14:paraId="136799D3"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r w:rsidRPr="00622884">
        <w:rPr>
          <w:rFonts w:ascii="Garamond" w:eastAsia="Calibri" w:hAnsi="Garamond" w:cs="Times New Roman"/>
          <w:sz w:val="24"/>
          <w:szCs w:val="24"/>
          <w:lang w:eastAsia="en-US" w:bidi="sq-AL"/>
        </w:rPr>
        <w:t>-</w:t>
      </w:r>
      <w:r w:rsidRPr="00622884">
        <w:rPr>
          <w:rFonts w:ascii="Garamond" w:eastAsia="Calibri" w:hAnsi="Garamond" w:cs="Times New Roman"/>
          <w:b/>
          <w:sz w:val="24"/>
          <w:szCs w:val="24"/>
          <w:lang w:eastAsia="en-US" w:bidi="sq-AL"/>
        </w:rPr>
        <w:t xml:space="preserve"> Programi Kombëtar i Trajnimit për Ndryshimet Klimatike</w:t>
      </w:r>
      <w:r w:rsidRPr="00622884">
        <w:rPr>
          <w:rFonts w:ascii="Garamond" w:eastAsia="Calibri" w:hAnsi="Garamond" w:cs="Times New Roman"/>
          <w:sz w:val="24"/>
          <w:szCs w:val="24"/>
          <w:lang w:eastAsia="en-US" w:bidi="sq-AL"/>
        </w:rPr>
        <w:t>, nën koordinimin e GNPNK-së;</w:t>
      </w:r>
    </w:p>
    <w:p w14:paraId="0884E628"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r w:rsidRPr="00622884">
        <w:rPr>
          <w:rFonts w:ascii="Garamond" w:eastAsia="Calibri" w:hAnsi="Garamond" w:cs="Times New Roman"/>
          <w:sz w:val="24"/>
          <w:szCs w:val="24"/>
          <w:lang w:eastAsia="en-US" w:bidi="sq-AL"/>
        </w:rPr>
        <w:t>-</w:t>
      </w:r>
      <w:r w:rsidRPr="00622884">
        <w:rPr>
          <w:rFonts w:ascii="Garamond" w:eastAsia="Calibri" w:hAnsi="Garamond" w:cs="Times New Roman"/>
          <w:b/>
          <w:sz w:val="24"/>
          <w:szCs w:val="24"/>
          <w:lang w:eastAsia="en-US" w:bidi="sq-AL"/>
        </w:rPr>
        <w:t xml:space="preserve"> Analiza e klimës aktuale dhe skenarëve të ardhshëm</w:t>
      </w:r>
      <w:r w:rsidRPr="00622884">
        <w:rPr>
          <w:rFonts w:ascii="Garamond" w:eastAsia="Calibri" w:hAnsi="Garamond" w:cs="Times New Roman"/>
          <w:sz w:val="24"/>
          <w:szCs w:val="24"/>
          <w:lang w:eastAsia="en-US" w:bidi="sq-AL"/>
        </w:rPr>
        <w:t xml:space="preserve"> në nivel kombëtar dhe vendor;</w:t>
      </w:r>
    </w:p>
    <w:p w14:paraId="6D7E5057"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r w:rsidRPr="00622884">
        <w:rPr>
          <w:rFonts w:ascii="Garamond" w:eastAsia="Calibri" w:hAnsi="Garamond" w:cs="Times New Roman"/>
          <w:sz w:val="24"/>
          <w:szCs w:val="24"/>
          <w:lang w:eastAsia="en-US" w:bidi="sq-AL"/>
        </w:rPr>
        <w:t>-</w:t>
      </w:r>
      <w:r w:rsidRPr="00622884">
        <w:rPr>
          <w:rFonts w:ascii="Garamond" w:eastAsia="Calibri" w:hAnsi="Garamond" w:cs="Times New Roman"/>
          <w:b/>
          <w:sz w:val="24"/>
          <w:szCs w:val="24"/>
          <w:lang w:eastAsia="en-US" w:bidi="sq-AL"/>
        </w:rPr>
        <w:t xml:space="preserve"> Skenarët socio-ekonomikë kombëtarë</w:t>
      </w:r>
      <w:r w:rsidRPr="00622884">
        <w:rPr>
          <w:rFonts w:ascii="Garamond" w:eastAsia="Calibri" w:hAnsi="Garamond" w:cs="Times New Roman"/>
          <w:sz w:val="24"/>
          <w:szCs w:val="24"/>
          <w:lang w:eastAsia="en-US" w:bidi="sq-AL"/>
        </w:rPr>
        <w:t>, bazuar te skenarët e përbashkët socio-ekonomikë (SPS);</w:t>
      </w:r>
    </w:p>
    <w:p w14:paraId="21DD0235"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r w:rsidRPr="00622884">
        <w:rPr>
          <w:rFonts w:ascii="Garamond" w:eastAsia="Calibri" w:hAnsi="Garamond" w:cs="Times New Roman"/>
          <w:sz w:val="24"/>
          <w:szCs w:val="24"/>
          <w:lang w:eastAsia="en-US" w:bidi="sq-AL"/>
        </w:rPr>
        <w:t>-</w:t>
      </w:r>
      <w:r w:rsidRPr="00622884">
        <w:rPr>
          <w:rFonts w:ascii="Garamond" w:eastAsia="Calibri" w:hAnsi="Garamond" w:cs="Times New Roman"/>
          <w:b/>
          <w:sz w:val="24"/>
          <w:szCs w:val="24"/>
          <w:lang w:eastAsia="en-US" w:bidi="sq-AL"/>
        </w:rPr>
        <w:t xml:space="preserve"> Vlerësimet e cenueshmërisë dhe rrezikut të realizuara për pesë sektorët prioritarë:</w:t>
      </w:r>
      <w:r w:rsidRPr="00622884">
        <w:rPr>
          <w:rFonts w:ascii="Garamond" w:eastAsia="Calibri" w:hAnsi="Garamond" w:cs="Times New Roman"/>
          <w:sz w:val="24"/>
          <w:szCs w:val="24"/>
          <w:lang w:eastAsia="en-US" w:bidi="sq-AL"/>
        </w:rPr>
        <w:t xml:space="preserve"> energjinë, transportin, bujqësinë, turizmin dhe zhvillimin urban;</w:t>
      </w:r>
    </w:p>
    <w:p w14:paraId="36AA749C"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r w:rsidRPr="00622884">
        <w:rPr>
          <w:rFonts w:ascii="Garamond" w:eastAsia="Calibri" w:hAnsi="Garamond" w:cs="Times New Roman"/>
          <w:sz w:val="24"/>
          <w:szCs w:val="24"/>
          <w:lang w:eastAsia="en-US" w:bidi="sq-AL"/>
        </w:rPr>
        <w:t xml:space="preserve">- Përgatitja e një </w:t>
      </w:r>
      <w:r w:rsidRPr="00622884">
        <w:rPr>
          <w:rFonts w:ascii="Garamond" w:eastAsia="Calibri" w:hAnsi="Garamond" w:cs="Times New Roman"/>
          <w:b/>
          <w:sz w:val="24"/>
          <w:szCs w:val="24"/>
          <w:lang w:eastAsia="en-US" w:bidi="sq-AL"/>
        </w:rPr>
        <w:t>liste fillestare me 150 masa për përshtatjen;</w:t>
      </w:r>
    </w:p>
    <w:p w14:paraId="444857D8"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r w:rsidRPr="00622884">
        <w:rPr>
          <w:rFonts w:ascii="Garamond" w:eastAsia="Calibri" w:hAnsi="Garamond" w:cs="Times New Roman"/>
          <w:sz w:val="24"/>
          <w:szCs w:val="24"/>
          <w:lang w:eastAsia="en-US" w:bidi="sq-AL"/>
        </w:rPr>
        <w:t xml:space="preserve">- Pas një </w:t>
      </w:r>
      <w:r w:rsidRPr="00622884">
        <w:rPr>
          <w:rFonts w:ascii="Garamond" w:eastAsia="Calibri" w:hAnsi="Garamond" w:cs="Times New Roman"/>
          <w:b/>
          <w:sz w:val="24"/>
          <w:szCs w:val="24"/>
          <w:lang w:eastAsia="en-US" w:bidi="sq-AL"/>
        </w:rPr>
        <w:t>procesi prioritizimi</w:t>
      </w:r>
      <w:r w:rsidRPr="00622884">
        <w:rPr>
          <w:rFonts w:ascii="Garamond" w:eastAsia="Calibri" w:hAnsi="Garamond" w:cs="Times New Roman"/>
          <w:sz w:val="24"/>
          <w:szCs w:val="24"/>
          <w:lang w:eastAsia="en-US" w:bidi="sq-AL"/>
        </w:rPr>
        <w:t xml:space="preserve">, u përcaktua lista përfundimtare me </w:t>
      </w:r>
      <w:r w:rsidRPr="00622884">
        <w:rPr>
          <w:rFonts w:ascii="Garamond" w:eastAsia="Calibri" w:hAnsi="Garamond" w:cs="Times New Roman"/>
          <w:b/>
          <w:sz w:val="24"/>
          <w:szCs w:val="24"/>
          <w:lang w:eastAsia="en-US" w:bidi="sq-AL"/>
        </w:rPr>
        <w:t>66 ndërhyrje prioritare për përshtatjen</w:t>
      </w:r>
      <w:r w:rsidRPr="00622884">
        <w:rPr>
          <w:rFonts w:ascii="Garamond" w:eastAsia="Calibri" w:hAnsi="Garamond" w:cs="Times New Roman"/>
          <w:sz w:val="24"/>
          <w:szCs w:val="24"/>
          <w:lang w:eastAsia="en-US" w:bidi="sq-AL"/>
        </w:rPr>
        <w:t>;</w:t>
      </w:r>
    </w:p>
    <w:p w14:paraId="265EC4C6"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r w:rsidRPr="00622884">
        <w:rPr>
          <w:rFonts w:ascii="Garamond" w:eastAsia="Calibri" w:hAnsi="Garamond" w:cs="Times New Roman"/>
          <w:sz w:val="24"/>
          <w:szCs w:val="24"/>
          <w:lang w:eastAsia="en-US" w:bidi="sq-AL"/>
        </w:rPr>
        <w:lastRenderedPageBreak/>
        <w:t>-</w:t>
      </w:r>
      <w:r w:rsidRPr="00622884">
        <w:rPr>
          <w:rFonts w:ascii="Garamond" w:eastAsia="Calibri" w:hAnsi="Garamond" w:cs="Times New Roman"/>
          <w:b/>
          <w:sz w:val="24"/>
          <w:szCs w:val="24"/>
          <w:lang w:eastAsia="en-US" w:bidi="sq-AL"/>
        </w:rPr>
        <w:t xml:space="preserve"> Rishikimi i kuadrit ligjor dhe i politikave sektoriale</w:t>
      </w:r>
      <w:r w:rsidRPr="00622884">
        <w:rPr>
          <w:rFonts w:ascii="Garamond" w:eastAsia="Calibri" w:hAnsi="Garamond" w:cs="Times New Roman"/>
          <w:sz w:val="24"/>
          <w:szCs w:val="24"/>
          <w:lang w:eastAsia="en-US" w:bidi="sq-AL"/>
        </w:rPr>
        <w:t>, për të siguruar integrimin efektiv të përshtatjes ndaj ndryshimeve klimatike në politikat përkatëse;</w:t>
      </w:r>
    </w:p>
    <w:p w14:paraId="1CAFA876" w14:textId="77777777" w:rsidR="00622884" w:rsidRPr="00622884" w:rsidRDefault="00622884" w:rsidP="00622884">
      <w:pPr>
        <w:tabs>
          <w:tab w:val="left" w:pos="5325"/>
        </w:tabs>
        <w:spacing w:after="0" w:line="240" w:lineRule="auto"/>
        <w:ind w:firstLine="284"/>
        <w:rPr>
          <w:rFonts w:ascii="Garamond" w:eastAsia="Calibri" w:hAnsi="Garamond" w:cs="Times New Roman"/>
          <w:b/>
          <w:bCs/>
          <w:sz w:val="24"/>
          <w:szCs w:val="24"/>
          <w:lang w:eastAsia="en-US"/>
        </w:rPr>
      </w:pPr>
      <w:r w:rsidRPr="00622884">
        <w:rPr>
          <w:rFonts w:ascii="Garamond" w:eastAsia="Calibri" w:hAnsi="Garamond" w:cs="Times New Roman"/>
          <w:sz w:val="24"/>
          <w:szCs w:val="24"/>
          <w:lang w:eastAsia="en-US" w:bidi="sq-AL"/>
        </w:rPr>
        <w:t xml:space="preserve">- Hartimi i </w:t>
      </w:r>
      <w:r w:rsidRPr="00622884">
        <w:rPr>
          <w:rFonts w:ascii="Garamond" w:eastAsia="Calibri" w:hAnsi="Garamond" w:cs="Times New Roman"/>
          <w:b/>
          <w:sz w:val="24"/>
          <w:szCs w:val="24"/>
          <w:lang w:eastAsia="en-US" w:bidi="sq-AL"/>
        </w:rPr>
        <w:t>Strategjisë përfundimtare të NAP-it</w:t>
      </w:r>
      <w:r w:rsidRPr="00622884">
        <w:rPr>
          <w:rFonts w:ascii="Garamond" w:eastAsia="Calibri" w:hAnsi="Garamond" w:cs="Times New Roman"/>
          <w:sz w:val="24"/>
          <w:szCs w:val="24"/>
          <w:lang w:eastAsia="en-US" w:bidi="sq-AL"/>
        </w:rPr>
        <w:t xml:space="preserve"> </w:t>
      </w:r>
      <w:r w:rsidRPr="00622884">
        <w:rPr>
          <w:rFonts w:ascii="Garamond" w:eastAsia="Calibri" w:hAnsi="Garamond" w:cs="Times New Roman"/>
          <w:b/>
          <w:sz w:val="24"/>
          <w:szCs w:val="24"/>
          <w:lang w:eastAsia="en-US" w:bidi="sq-AL"/>
        </w:rPr>
        <w:t>dhe i planit të zbatimit për veprimet prioritare të përshtatjes</w:t>
      </w:r>
      <w:r w:rsidRPr="00622884">
        <w:rPr>
          <w:rFonts w:ascii="Garamond" w:eastAsia="Calibri" w:hAnsi="Garamond" w:cs="Times New Roman"/>
          <w:sz w:val="24"/>
          <w:szCs w:val="24"/>
          <w:lang w:eastAsia="en-US" w:bidi="sq-AL"/>
        </w:rPr>
        <w:t xml:space="preserve">, duke përfshirë </w:t>
      </w:r>
      <w:r w:rsidRPr="00622884">
        <w:rPr>
          <w:rFonts w:ascii="Garamond" w:eastAsia="Calibri" w:hAnsi="Garamond" w:cs="Times New Roman"/>
          <w:b/>
          <w:sz w:val="24"/>
          <w:szCs w:val="24"/>
          <w:lang w:eastAsia="en-US" w:bidi="sq-AL"/>
        </w:rPr>
        <w:t>planin e veprimit për barazinë gjinore</w:t>
      </w:r>
      <w:r w:rsidRPr="00622884">
        <w:rPr>
          <w:rFonts w:ascii="Garamond" w:eastAsia="Calibri" w:hAnsi="Garamond" w:cs="Times New Roman"/>
          <w:sz w:val="24"/>
          <w:szCs w:val="24"/>
          <w:lang w:eastAsia="en-US" w:bidi="sq-AL"/>
        </w:rPr>
        <w:t xml:space="preserve"> </w:t>
      </w:r>
      <w:r w:rsidRPr="00622884">
        <w:rPr>
          <w:rFonts w:ascii="Garamond" w:eastAsia="Calibri" w:hAnsi="Garamond" w:cs="Times New Roman"/>
          <w:b/>
          <w:sz w:val="24"/>
          <w:szCs w:val="24"/>
          <w:lang w:eastAsia="en-US" w:bidi="sq-AL"/>
        </w:rPr>
        <w:t>dhe</w:t>
      </w:r>
      <w:r w:rsidRPr="00622884">
        <w:rPr>
          <w:rFonts w:ascii="Garamond" w:eastAsia="Calibri" w:hAnsi="Garamond" w:cs="Times New Roman"/>
          <w:sz w:val="24"/>
          <w:szCs w:val="24"/>
          <w:lang w:eastAsia="en-US" w:bidi="sq-AL"/>
        </w:rPr>
        <w:t xml:space="preserve"> </w:t>
      </w:r>
      <w:r w:rsidRPr="00622884">
        <w:rPr>
          <w:rFonts w:ascii="Garamond" w:eastAsia="Calibri" w:hAnsi="Garamond" w:cs="Times New Roman"/>
          <w:b/>
          <w:sz w:val="24"/>
          <w:szCs w:val="24"/>
          <w:lang w:eastAsia="en-US" w:bidi="sq-AL"/>
        </w:rPr>
        <w:t>planin e angazhimit dhe komunikimit me palët e interesit</w:t>
      </w:r>
      <w:r w:rsidRPr="00622884">
        <w:rPr>
          <w:rFonts w:ascii="Garamond" w:eastAsia="Calibri" w:hAnsi="Garamond" w:cs="Times New Roman"/>
          <w:sz w:val="24"/>
          <w:szCs w:val="24"/>
          <w:lang w:eastAsia="en-US" w:bidi="sq-AL"/>
        </w:rPr>
        <w:t>;</w:t>
      </w:r>
    </w:p>
    <w:p w14:paraId="19DE8A1D"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r w:rsidRPr="00622884">
        <w:rPr>
          <w:rFonts w:ascii="Garamond" w:eastAsia="Calibri" w:hAnsi="Garamond" w:cs="Times New Roman"/>
          <w:sz w:val="24"/>
          <w:szCs w:val="24"/>
          <w:lang w:eastAsia="en-US" w:bidi="sq-AL"/>
        </w:rPr>
        <w:t>-</w:t>
      </w:r>
      <w:r w:rsidRPr="00622884">
        <w:rPr>
          <w:rFonts w:ascii="Garamond" w:eastAsia="Calibri" w:hAnsi="Garamond" w:cs="Times New Roman"/>
          <w:b/>
          <w:sz w:val="24"/>
          <w:szCs w:val="24"/>
          <w:lang w:eastAsia="en-US" w:bidi="sq-AL"/>
        </w:rPr>
        <w:t xml:space="preserve"> Kuadri i monitorimit dhe vlerësimit (MV) </w:t>
      </w:r>
      <w:r w:rsidRPr="00622884">
        <w:rPr>
          <w:rFonts w:ascii="Garamond" w:eastAsia="Calibri" w:hAnsi="Garamond" w:cs="Times New Roman"/>
          <w:sz w:val="24"/>
          <w:szCs w:val="24"/>
          <w:lang w:eastAsia="en-US" w:bidi="sq-AL"/>
        </w:rPr>
        <w:t>për ndjekjen e progresit në zbatimin e procesit të NAP-it dhe të masave të përshtatjes të parashikuara në të;</w:t>
      </w:r>
    </w:p>
    <w:p w14:paraId="09654CCF" w14:textId="77777777" w:rsidR="00622884" w:rsidRPr="00622884" w:rsidRDefault="00622884" w:rsidP="00622884">
      <w:pPr>
        <w:tabs>
          <w:tab w:val="left" w:pos="5325"/>
        </w:tabs>
        <w:spacing w:after="0" w:line="240" w:lineRule="auto"/>
        <w:ind w:firstLine="284"/>
        <w:rPr>
          <w:rFonts w:ascii="Garamond" w:eastAsia="Calibri" w:hAnsi="Garamond" w:cs="Times New Roman"/>
          <w:b/>
          <w:bCs/>
          <w:sz w:val="24"/>
          <w:szCs w:val="24"/>
          <w:lang w:eastAsia="en-US"/>
        </w:rPr>
      </w:pPr>
      <w:r w:rsidRPr="00622884">
        <w:rPr>
          <w:rFonts w:ascii="Garamond" w:eastAsia="Calibri" w:hAnsi="Garamond" w:cs="Times New Roman"/>
          <w:sz w:val="24"/>
          <w:szCs w:val="24"/>
          <w:lang w:eastAsia="en-US" w:bidi="sq-AL"/>
        </w:rPr>
        <w:t xml:space="preserve">- </w:t>
      </w:r>
      <w:r w:rsidRPr="00622884">
        <w:rPr>
          <w:rFonts w:ascii="Garamond" w:eastAsia="Calibri" w:hAnsi="Garamond" w:cs="Times New Roman"/>
          <w:b/>
          <w:sz w:val="24"/>
          <w:szCs w:val="24"/>
          <w:lang w:eastAsia="en-US" w:bidi="sq-AL"/>
        </w:rPr>
        <w:t>Strategjia e financimit të NAP-it;</w:t>
      </w:r>
    </w:p>
    <w:p w14:paraId="0E40659D"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r w:rsidRPr="00622884">
        <w:rPr>
          <w:rFonts w:ascii="Garamond" w:eastAsia="Calibri" w:hAnsi="Garamond" w:cs="Times New Roman"/>
          <w:sz w:val="24"/>
          <w:szCs w:val="24"/>
          <w:lang w:eastAsia="en-US" w:bidi="sq-AL"/>
        </w:rPr>
        <w:t>-</w:t>
      </w:r>
      <w:r w:rsidRPr="00622884">
        <w:rPr>
          <w:rFonts w:ascii="Garamond" w:eastAsia="Calibri" w:hAnsi="Garamond" w:cs="Times New Roman"/>
          <w:b/>
          <w:sz w:val="24"/>
          <w:szCs w:val="24"/>
          <w:lang w:eastAsia="en-US" w:bidi="sq-AL"/>
        </w:rPr>
        <w:t xml:space="preserve"> Studimi për vlerësimin e tregut të sektorit privat, me qëllim mbështetjen e përpjekjeve për përshtatje</w:t>
      </w:r>
      <w:r w:rsidRPr="00622884">
        <w:rPr>
          <w:rFonts w:ascii="Garamond" w:eastAsia="Calibri" w:hAnsi="Garamond" w:cs="Times New Roman"/>
          <w:sz w:val="24"/>
          <w:szCs w:val="24"/>
          <w:lang w:eastAsia="en-US" w:bidi="sq-AL"/>
        </w:rPr>
        <w:t xml:space="preserve"> dhe nxitjen e bashkëpunimit për tërheqjen e investimeve private dhe inovacioneve në teknologjitë me aftësi ripërtëritëse ndaj klimës.</w:t>
      </w:r>
    </w:p>
    <w:p w14:paraId="5786E54A" w14:textId="77777777" w:rsidR="00622884" w:rsidRPr="00622884" w:rsidRDefault="00622884" w:rsidP="00622884">
      <w:pPr>
        <w:keepNext/>
        <w:spacing w:after="0" w:line="240" w:lineRule="auto"/>
        <w:ind w:firstLine="284"/>
        <w:mirrorIndents/>
        <w:rPr>
          <w:rFonts w:ascii="Garamond" w:eastAsia="Calibri Light" w:hAnsi="Garamond" w:cs="Calibri Light"/>
          <w:b/>
          <w:bCs/>
          <w:iCs/>
          <w:sz w:val="24"/>
          <w:szCs w:val="24"/>
          <w:lang w:eastAsia="en-US"/>
        </w:rPr>
      </w:pPr>
      <w:r w:rsidRPr="00622884">
        <w:rPr>
          <w:rFonts w:ascii="Garamond" w:eastAsia="Calibri Light" w:hAnsi="Garamond" w:cs="Calibri Light"/>
          <w:b/>
          <w:bCs/>
          <w:iCs/>
          <w:sz w:val="24"/>
          <w:szCs w:val="24"/>
          <w:lang w:eastAsia="en-US" w:bidi="sq-AL"/>
        </w:rPr>
        <w:t>Përmbledhje e pengesave kryesore dhe mësimeve të nxjerra nga proceset e NAP-it në Shqipëri</w:t>
      </w:r>
    </w:p>
    <w:p w14:paraId="6D173CFE" w14:textId="77777777" w:rsidR="00622884" w:rsidRPr="00622884" w:rsidRDefault="00622884" w:rsidP="00622884">
      <w:pPr>
        <w:spacing w:after="0" w:line="240" w:lineRule="auto"/>
        <w:ind w:firstLine="284"/>
        <w:rPr>
          <w:rFonts w:ascii="Garamond" w:eastAsia="SimSun" w:hAnsi="Garamond" w:cs="Calibri Light"/>
          <w:sz w:val="24"/>
          <w:szCs w:val="24"/>
          <w:lang w:eastAsia="en-US"/>
        </w:rPr>
      </w:pPr>
      <w:r w:rsidRPr="00622884">
        <w:rPr>
          <w:rFonts w:ascii="Garamond" w:eastAsia="SimSun" w:hAnsi="Garamond" w:cs="Calibri Light"/>
          <w:sz w:val="24"/>
          <w:szCs w:val="24"/>
          <w:lang w:eastAsia="en-US" w:bidi="sq-AL"/>
        </w:rPr>
        <w:t>Procesi i dytë i NAP-it në Shqipëri (2021</w:t>
      </w:r>
      <w:r w:rsidRPr="00622884">
        <w:rPr>
          <w:rFonts w:ascii="Garamond" w:eastAsia="SimSun" w:hAnsi="Garamond" w:cs="Times New Roman"/>
          <w:color w:val="1D3C5A"/>
          <w:sz w:val="24"/>
          <w:szCs w:val="24"/>
          <w:lang w:eastAsia="en-US"/>
        </w:rPr>
        <w:t>–</w:t>
      </w:r>
      <w:r w:rsidRPr="00622884">
        <w:rPr>
          <w:rFonts w:ascii="Garamond" w:eastAsia="SimSun" w:hAnsi="Garamond" w:cs="Calibri Light"/>
          <w:sz w:val="24"/>
          <w:szCs w:val="24"/>
          <w:lang w:eastAsia="en-US" w:bidi="sq-AL"/>
        </w:rPr>
        <w:t>2025) kontribuoi në planifikimin dhe përcaktimin e prioriteteve për masat e përshtatjes. Ai theksoi rëndësinë e forcimit të kapaciteteve, angazhimit institucional dhe integrimit të përshtatjes ndaj ndryshimeve klimatike në të gjitha nivelet e qeverisjes.</w:t>
      </w:r>
    </w:p>
    <w:p w14:paraId="2F8BD8CE" w14:textId="77777777" w:rsidR="00622884" w:rsidRPr="00622884" w:rsidRDefault="00622884" w:rsidP="00622884">
      <w:pPr>
        <w:tabs>
          <w:tab w:val="left" w:pos="5325"/>
        </w:tabs>
        <w:spacing w:after="0" w:line="240" w:lineRule="auto"/>
        <w:ind w:firstLine="284"/>
        <w:rPr>
          <w:rFonts w:ascii="Garamond" w:eastAsia="Calibri" w:hAnsi="Garamond" w:cs="Times New Roman"/>
          <w:b/>
          <w:sz w:val="24"/>
          <w:szCs w:val="24"/>
          <w:lang w:eastAsia="en-US"/>
        </w:rPr>
      </w:pPr>
      <w:r w:rsidRPr="00622884">
        <w:rPr>
          <w:rFonts w:ascii="Garamond" w:eastAsia="Calibri" w:hAnsi="Garamond" w:cs="Times New Roman"/>
          <w:b/>
          <w:sz w:val="24"/>
          <w:szCs w:val="24"/>
          <w:lang w:eastAsia="en-US" w:bidi="sq-AL"/>
        </w:rPr>
        <w:t>Pengesat dhe sfidat</w:t>
      </w:r>
    </w:p>
    <w:p w14:paraId="23092C7B" w14:textId="77777777" w:rsidR="00622884" w:rsidRPr="00622884" w:rsidRDefault="00622884" w:rsidP="00622884">
      <w:pPr>
        <w:spacing w:after="0" w:line="240" w:lineRule="auto"/>
        <w:ind w:firstLine="284"/>
        <w:rPr>
          <w:rFonts w:ascii="Garamond" w:eastAsia="SimSun" w:hAnsi="Garamond" w:cs="Calibri Light"/>
          <w:sz w:val="24"/>
          <w:szCs w:val="24"/>
          <w:lang w:eastAsia="en-US" w:bidi="sq-AL"/>
        </w:rPr>
      </w:pPr>
      <w:r w:rsidRPr="00622884">
        <w:rPr>
          <w:rFonts w:ascii="Garamond" w:eastAsia="SimSun" w:hAnsi="Garamond" w:cs="Calibri Light"/>
          <w:sz w:val="24"/>
          <w:szCs w:val="24"/>
          <w:lang w:eastAsia="en-US" w:bidi="sq-AL"/>
        </w:rPr>
        <w:t xml:space="preserve">Më poshtë paraqitet një përmbledhje e </w:t>
      </w:r>
      <w:r w:rsidRPr="00622884">
        <w:rPr>
          <w:rFonts w:ascii="Garamond" w:eastAsia="SimSun" w:hAnsi="Garamond" w:cs="Calibri Light"/>
          <w:b/>
          <w:sz w:val="24"/>
          <w:szCs w:val="24"/>
          <w:lang w:eastAsia="en-US" w:bidi="sq-AL"/>
        </w:rPr>
        <w:t>pengesave dhe sfidave</w:t>
      </w:r>
      <w:r w:rsidRPr="00622884">
        <w:rPr>
          <w:rFonts w:ascii="Garamond" w:eastAsia="SimSun" w:hAnsi="Garamond" w:cs="Calibri Light"/>
          <w:sz w:val="24"/>
          <w:szCs w:val="24"/>
          <w:lang w:eastAsia="en-US" w:bidi="sq-AL"/>
        </w:rPr>
        <w:t xml:space="preserve"> të identifikuara gjatë këtij procesi, bazuar te dokumentet dhe raportet e përgatitura gjatë procesit të NAP-it:</w:t>
      </w:r>
    </w:p>
    <w:p w14:paraId="31FC35C3" w14:textId="77777777" w:rsidR="00622884" w:rsidRPr="00622884" w:rsidRDefault="00622884" w:rsidP="00622884">
      <w:pPr>
        <w:spacing w:after="0" w:line="240" w:lineRule="auto"/>
        <w:ind w:firstLine="284"/>
        <w:rPr>
          <w:rFonts w:ascii="Garamond" w:eastAsia="SimSun" w:hAnsi="Garamond" w:cs="Calibri Light"/>
          <w:sz w:val="24"/>
          <w:szCs w:val="24"/>
          <w:lang w:eastAsia="en-US"/>
        </w:rPr>
      </w:pPr>
      <w:r w:rsidRPr="00622884">
        <w:rPr>
          <w:rFonts w:ascii="Garamond" w:eastAsia="SimSun" w:hAnsi="Garamond" w:cs="Calibri Light"/>
          <w:noProof/>
          <w:sz w:val="24"/>
          <w:szCs w:val="24"/>
          <w:lang w:eastAsia="sq-AL"/>
        </w:rPr>
        <w:drawing>
          <wp:inline distT="0" distB="0" distL="0" distR="0" wp14:anchorId="4482753A" wp14:editId="5BD818CC">
            <wp:extent cx="518160" cy="510540"/>
            <wp:effectExtent l="0" t="0" r="0" b="3810"/>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518160" cy="510540"/>
                    </a:xfrm>
                    <a:prstGeom prst="rect">
                      <a:avLst/>
                    </a:prstGeom>
                    <a:noFill/>
                  </pic:spPr>
                </pic:pic>
              </a:graphicData>
            </a:graphic>
          </wp:inline>
        </w:drawing>
      </w:r>
    </w:p>
    <w:p w14:paraId="33A753D4" w14:textId="77777777" w:rsidR="00622884" w:rsidRPr="00622884" w:rsidRDefault="00622884" w:rsidP="00622884">
      <w:pPr>
        <w:spacing w:after="0" w:line="240" w:lineRule="auto"/>
        <w:ind w:firstLine="284"/>
        <w:rPr>
          <w:rFonts w:ascii="Garamond" w:eastAsia="SimSun" w:hAnsi="Garamond" w:cs="Calibri Light"/>
          <w:sz w:val="24"/>
          <w:szCs w:val="24"/>
          <w:lang w:eastAsia="en-US" w:bidi="sq-AL"/>
        </w:rPr>
      </w:pPr>
      <w:r w:rsidRPr="00622884">
        <w:rPr>
          <w:rFonts w:ascii="Garamond" w:eastAsia="SimSun" w:hAnsi="Garamond" w:cs="Calibri Light"/>
          <w:b/>
          <w:sz w:val="24"/>
          <w:szCs w:val="24"/>
          <w:lang w:eastAsia="en-US" w:bidi="sq-AL"/>
        </w:rPr>
        <w:t>Integrimi</w:t>
      </w:r>
      <w:r w:rsidRPr="00622884">
        <w:rPr>
          <w:rFonts w:ascii="Garamond" w:eastAsia="SimSun" w:hAnsi="Garamond" w:cs="Calibri Light"/>
          <w:sz w:val="24"/>
          <w:szCs w:val="24"/>
          <w:lang w:eastAsia="en-US" w:bidi="sq-AL"/>
        </w:rPr>
        <w:t>: edhe pse integrimi i përshtatjes ndaj ndryshimeve klimatike është tashmë një kërkesë ligjore, ai ende nuk është përfshirë në mënyrë të mjaftueshme në strategjitë kombëtare dhe sektoriale. Vlerësimet e ndikimit mjedisor (VNM) dhe vlerësimet e ndikimit socio-ekonomik (VNSE) shpesh mungojnë në një vlerësim të riskut klimatik, çka kufizon konsideratat për përshtatjen në proceset vendimmarrëse. Gjatë procesit të NAP-it u bë përpjekje për të forcuar integrimin, por kërkohet përmirësim i mëtejshëm në këtë drejtim.</w:t>
      </w:r>
    </w:p>
    <w:p w14:paraId="3547CBA0" w14:textId="77777777" w:rsidR="00622884" w:rsidRPr="00622884" w:rsidRDefault="00622884" w:rsidP="00622884">
      <w:pPr>
        <w:spacing w:after="0" w:line="240" w:lineRule="auto"/>
        <w:ind w:firstLine="284"/>
        <w:rPr>
          <w:rFonts w:ascii="Garamond" w:eastAsia="SimSun" w:hAnsi="Garamond" w:cs="Calibri Light"/>
          <w:sz w:val="24"/>
          <w:szCs w:val="24"/>
          <w:lang w:eastAsia="en-US"/>
        </w:rPr>
      </w:pPr>
      <w:r w:rsidRPr="00622884">
        <w:rPr>
          <w:rFonts w:ascii="Garamond" w:eastAsia="SimSun" w:hAnsi="Garamond" w:cs="Calibri Light"/>
          <w:noProof/>
          <w:sz w:val="24"/>
          <w:szCs w:val="24"/>
          <w:lang w:eastAsia="sq-AL"/>
        </w:rPr>
        <w:drawing>
          <wp:inline distT="0" distB="0" distL="0" distR="0" wp14:anchorId="0C3C2513" wp14:editId="7A671102">
            <wp:extent cx="518160" cy="518160"/>
            <wp:effectExtent l="0" t="0" r="0" b="0"/>
            <wp:docPr id="233"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518160" cy="518160"/>
                    </a:xfrm>
                    <a:prstGeom prst="rect">
                      <a:avLst/>
                    </a:prstGeom>
                    <a:noFill/>
                  </pic:spPr>
                </pic:pic>
              </a:graphicData>
            </a:graphic>
          </wp:inline>
        </w:drawing>
      </w:r>
    </w:p>
    <w:p w14:paraId="1E5B8A46" w14:textId="77777777" w:rsidR="00622884" w:rsidRPr="00622884" w:rsidRDefault="00622884" w:rsidP="00622884">
      <w:pPr>
        <w:spacing w:after="0" w:line="240" w:lineRule="auto"/>
        <w:ind w:firstLine="284"/>
        <w:rPr>
          <w:rFonts w:ascii="Garamond" w:eastAsia="SimSun" w:hAnsi="Garamond" w:cs="Calibri Light"/>
          <w:sz w:val="24"/>
          <w:szCs w:val="24"/>
          <w:lang w:eastAsia="en-US" w:bidi="sq-AL"/>
        </w:rPr>
      </w:pPr>
      <w:r w:rsidRPr="00622884">
        <w:rPr>
          <w:rFonts w:ascii="Garamond" w:eastAsia="SimSun" w:hAnsi="Garamond" w:cs="Calibri Light"/>
          <w:b/>
          <w:sz w:val="24"/>
          <w:szCs w:val="24"/>
          <w:lang w:eastAsia="en-US" w:bidi="sq-AL"/>
        </w:rPr>
        <w:t>Angazhimi dhe koordinimi institucional</w:t>
      </w:r>
      <w:r w:rsidRPr="00622884">
        <w:rPr>
          <w:rFonts w:ascii="Garamond" w:eastAsia="SimSun" w:hAnsi="Garamond" w:cs="Calibri Light"/>
          <w:sz w:val="24"/>
          <w:szCs w:val="24"/>
          <w:lang w:eastAsia="en-US" w:bidi="sq-AL"/>
        </w:rPr>
        <w:t>: pavarësisht se struktura institucionale për përshtatjen ndaj ndryshimeve klimatike është miratuar me ligj, mandatet përkatëse nuk janë përcaktuar plotësisht ose nuk janë zbatuar në mënyrë të plotë, dhe koordinimi ndërinstitucional ka mbetur i dobët në vazhdimësi. GNPNK-ja, me rolin e vet të rëndësishëm koordinues, ishte joaktiv në fillim të procesit të dytë të NAP-it dhe kërkoi kohë për t’u riaktivizuar. Edhe pse të pranishëm gjatë të gjithë procesit NAP, pjesëmarrja dhe angazhimi institucional nuk kishin stabilitet dhe vazhdimësi për shkak të ndryshimeve të shpeshta të stafit përgjegjës (pikat fokale për klimën). Për më tepër, mungesa e sistemeve efektive të koordinimit pengoi shkëmbimin e rezultateve dhe raporteve të përshtatjes ndërmjet ministrive dhe institucioneve. Interesat për përshtatje në nivelet e ndryshme të qeverisjes nuk kanë qenë gjithmonë të përputhshme. Aktorët vendorë shpesh kanë pasur prioritet ndërhyrje të menjëhershme, të ndjeshme ndaj kontekstit në përgjigje të risqeve afatshkurtra konkrete, ndërsa institucionet kombëtare fokusohen më shumë tek objektiva strategjikë afatgjatë, të bashkërenduar me zhvillimin e qëndrueshëm dhe angazhimet për klimën të vendit.</w:t>
      </w:r>
    </w:p>
    <w:p w14:paraId="38D46E68" w14:textId="77777777" w:rsidR="00622884" w:rsidRPr="00622884" w:rsidRDefault="00622884" w:rsidP="00622884">
      <w:pPr>
        <w:spacing w:after="0" w:line="240" w:lineRule="auto"/>
        <w:ind w:firstLine="284"/>
        <w:rPr>
          <w:rFonts w:ascii="Garamond" w:eastAsia="SimSun" w:hAnsi="Garamond" w:cs="Calibri Light"/>
          <w:sz w:val="24"/>
          <w:szCs w:val="24"/>
          <w:lang w:eastAsia="en-US"/>
        </w:rPr>
      </w:pPr>
      <w:r w:rsidRPr="00622884">
        <w:rPr>
          <w:rFonts w:ascii="Garamond" w:eastAsia="SimSun" w:hAnsi="Garamond" w:cs="Calibri Light"/>
          <w:noProof/>
          <w:sz w:val="24"/>
          <w:szCs w:val="24"/>
          <w:lang w:eastAsia="sq-AL"/>
        </w:rPr>
        <w:drawing>
          <wp:inline distT="0" distB="0" distL="0" distR="0" wp14:anchorId="5F046206" wp14:editId="46317A63">
            <wp:extent cx="510540" cy="510540"/>
            <wp:effectExtent l="0" t="0" r="3810" b="3810"/>
            <wp:docPr id="234"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510540" cy="510540"/>
                    </a:xfrm>
                    <a:prstGeom prst="rect">
                      <a:avLst/>
                    </a:prstGeom>
                    <a:noFill/>
                  </pic:spPr>
                </pic:pic>
              </a:graphicData>
            </a:graphic>
          </wp:inline>
        </w:drawing>
      </w:r>
    </w:p>
    <w:p w14:paraId="489C507E" w14:textId="77777777" w:rsidR="00622884" w:rsidRPr="00622884" w:rsidRDefault="00622884" w:rsidP="00622884">
      <w:pPr>
        <w:spacing w:after="0" w:line="240" w:lineRule="auto"/>
        <w:ind w:firstLine="284"/>
        <w:rPr>
          <w:rFonts w:ascii="Garamond" w:eastAsia="SimSun" w:hAnsi="Garamond" w:cs="Calibri Light"/>
          <w:sz w:val="24"/>
          <w:szCs w:val="24"/>
          <w:u w:val="single"/>
          <w:lang w:eastAsia="en-US"/>
        </w:rPr>
      </w:pPr>
      <w:r w:rsidRPr="00622884">
        <w:rPr>
          <w:rFonts w:ascii="Garamond" w:eastAsia="SimSun" w:hAnsi="Garamond" w:cs="Calibri Light"/>
          <w:b/>
          <w:sz w:val="24"/>
          <w:szCs w:val="24"/>
          <w:lang w:eastAsia="en-US" w:bidi="sq-AL"/>
        </w:rPr>
        <w:lastRenderedPageBreak/>
        <w:t>Burimet njerëzore</w:t>
      </w:r>
      <w:r w:rsidRPr="00622884">
        <w:rPr>
          <w:rFonts w:ascii="Garamond" w:eastAsia="SimSun" w:hAnsi="Garamond" w:cs="Calibri Light"/>
          <w:sz w:val="24"/>
          <w:szCs w:val="24"/>
          <w:lang w:eastAsia="en-US" w:bidi="sq-AL"/>
        </w:rPr>
        <w:t>: Në përgjithësi, institucionet nuk disponojnë staf apo struktura të dedikuara për përshtatjen ndaj ndryshimeve klimatike, duke u mbështetur kështu në organizime të përkohshme dhe të posaçme. Vetëm një numër shumë i kufizuar specialistësh në administratën publike punojnë me çështjet e ndryshimeve klimatike. Nuk ofrohen trajnime fillestare apo në vazhdimësi për çështjet e klimës, qoftë në nivel të brendshëm institucional apo gjatë punës. Trajnimet kanë qenë sporadike dhe të lidhura kryesisht me projekte ndërkombëtare, ndërsa njohuritë institucionale humbasin shpesh për shkak të qarkullimit të stafit. Stafi aktual që merret drejtpërdrejt ose tërthorazi me çështjet e klimës është relativisht i ri dhe pothuajse nuk ka pasur trajnime mbi këto tema përpara fillimit të procesit të dytë të NAP-it. Burimet njerëzore dhe financiare të pamjaftueshme kanë penguar hartimin dhe zbatimin në mënyrë të qëndrueshme dhe praktike të NAP-it, duke e bërë Shqipërinë të varur nga mbështetja ndërkombëtare.</w:t>
      </w:r>
    </w:p>
    <w:p w14:paraId="2FC8BAE8" w14:textId="77777777" w:rsidR="00622884" w:rsidRPr="00622884" w:rsidRDefault="00622884" w:rsidP="00622884">
      <w:pPr>
        <w:spacing w:after="0" w:line="240" w:lineRule="auto"/>
        <w:ind w:firstLine="284"/>
        <w:rPr>
          <w:rFonts w:ascii="Garamond" w:eastAsia="SimSun" w:hAnsi="Garamond" w:cs="Calibri Light"/>
          <w:sz w:val="24"/>
          <w:szCs w:val="24"/>
          <w:u w:val="single"/>
          <w:lang w:eastAsia="en-US"/>
        </w:rPr>
      </w:pPr>
      <w:r w:rsidRPr="00622884">
        <w:rPr>
          <w:rFonts w:ascii="Garamond" w:eastAsia="SimSun" w:hAnsi="Garamond" w:cs="Calibri Light"/>
          <w:b/>
          <w:sz w:val="24"/>
          <w:szCs w:val="24"/>
          <w:lang w:eastAsia="en-US" w:bidi="sq-AL"/>
        </w:rPr>
        <w:t>Financimi:</w:t>
      </w:r>
      <w:r w:rsidRPr="00622884">
        <w:rPr>
          <w:rFonts w:ascii="Garamond" w:eastAsia="SimSun" w:hAnsi="Garamond" w:cs="Calibri Light"/>
          <w:sz w:val="24"/>
          <w:szCs w:val="24"/>
          <w:lang w:eastAsia="en-US" w:bidi="sq-AL"/>
        </w:rPr>
        <w:t xml:space="preserve"> Aktualisht, financimi për përshtatjen ndaj ndryshimeve klimatike mbështetet kryesisht te fondet e donatorëve ndërkombëtarë, me kontribute minimale vendore dhe me përfshirje të pamjaftueshme të përfituesve, sidomos në nivel vendor. Financimi i brendshëm ekzistues është kryesisht reaktiv, duke u fokusuar te masat ndihmëse dhe rindërtimi pas fatkeqësive natyrore, në vend të përshtatjes proaktive me ndryshimet klimatike.</w:t>
      </w:r>
    </w:p>
    <w:p w14:paraId="42B7148C" w14:textId="77777777" w:rsidR="00622884" w:rsidRPr="00622884" w:rsidRDefault="00622884" w:rsidP="00622884">
      <w:pPr>
        <w:spacing w:after="0" w:line="240" w:lineRule="auto"/>
        <w:ind w:firstLine="284"/>
        <w:rPr>
          <w:rFonts w:ascii="Garamond" w:eastAsia="SimSun" w:hAnsi="Garamond" w:cs="Calibri Light"/>
          <w:sz w:val="24"/>
          <w:szCs w:val="24"/>
          <w:u w:val="single"/>
          <w:lang w:eastAsia="en-US"/>
        </w:rPr>
      </w:pPr>
      <w:r w:rsidRPr="00622884">
        <w:rPr>
          <w:rFonts w:ascii="Garamond" w:eastAsia="SimSun" w:hAnsi="Garamond" w:cs="Calibri Light"/>
          <w:b/>
          <w:sz w:val="24"/>
          <w:szCs w:val="24"/>
          <w:lang w:eastAsia="en-US" w:bidi="sq-AL"/>
        </w:rPr>
        <w:t xml:space="preserve">Të dhënat: </w:t>
      </w:r>
      <w:r w:rsidRPr="00622884">
        <w:rPr>
          <w:rFonts w:ascii="Garamond" w:eastAsia="SimSun" w:hAnsi="Garamond" w:cs="Calibri Light"/>
          <w:sz w:val="24"/>
          <w:szCs w:val="24"/>
          <w:lang w:eastAsia="en-US" w:bidi="sq-AL"/>
        </w:rPr>
        <w:t>Proceset e mbledhjes së të dhënave janë të fragmentuara, të kufizuara dhe të pakoordinuara në nivel kombëtar. Njohuritë mbi klimën varen kryesisht nga projektet ndërkombëtare, duke krijuar varësi dhe boshllëqe informacioni. Mungesa e të dhënave të besueshme, të mjaftueshme dhe të vazhdueshme (p.sh. nga monitorimi i klimës, projektet dhe masat e përshtatjes, përdorimi i Treguesve Rio për ndryshimet klimatike, kostot dhe financimet e përdorura për përshtatjen, etj.) ka krijuar vështirësi në vlerësimin e riskut dhe cenueshmërisë klimatike, në analizat kosto-përfitim, si dhe në monitorimin dhe vlerësimin e ndërhyrjeve të përshtatjes. Këto vështirësi janë zbutur pjesërisht nëpërmjet diskutimeve me ekspertët kombëtarë, përdorimit të modeleve standarde, GIS-it, shqyrtimit të dokumentacionit dhe gjykimit të ekspertëve. Mungesa e një sistemi të qëndrueshëm për shkëmbimin e rezultateve dhe raporteve të projekteve të përshtatjes me Ministrinë e Mjedisit (si institucioni koordinues për ndryshimet klimatike në nivel qeveritar) ka cenuar ndërgjegjësimin dhe pasqyrimin e ecurisë së përgjithshme të përshtatjes në nivel sektorial dhe vendor.</w:t>
      </w:r>
    </w:p>
    <w:p w14:paraId="049C1688" w14:textId="77777777" w:rsidR="00622884" w:rsidRPr="00622884" w:rsidRDefault="00622884" w:rsidP="00622884">
      <w:pPr>
        <w:spacing w:after="0" w:line="240" w:lineRule="auto"/>
        <w:ind w:firstLine="284"/>
        <w:rPr>
          <w:rFonts w:ascii="Garamond" w:eastAsia="SimSun" w:hAnsi="Garamond" w:cs="Calibri Light"/>
          <w:sz w:val="24"/>
          <w:szCs w:val="24"/>
          <w:lang w:eastAsia="en-US"/>
        </w:rPr>
      </w:pPr>
      <w:r w:rsidRPr="00622884">
        <w:rPr>
          <w:rFonts w:ascii="Garamond" w:eastAsia="SimSun" w:hAnsi="Garamond" w:cs="Calibri Light"/>
          <w:b/>
          <w:sz w:val="24"/>
          <w:szCs w:val="24"/>
          <w:lang w:eastAsia="en-US" w:bidi="sq-AL"/>
        </w:rPr>
        <w:t>Monitorimi dhe vlerësimi</w:t>
      </w:r>
      <w:r w:rsidRPr="00622884">
        <w:rPr>
          <w:rFonts w:ascii="Garamond" w:eastAsia="SimSun" w:hAnsi="Garamond" w:cs="Calibri Light"/>
          <w:sz w:val="24"/>
          <w:szCs w:val="24"/>
          <w:lang w:eastAsia="en-US" w:bidi="sq-AL"/>
        </w:rPr>
        <w:t>: Mungesa e protokolleve të përcaktuara për monitorim dhe vlerësim ka reduktuar llogaridhënien dhe ka vështirësuar vlerësimin e arritjeve konkrete të nismave të përshtatjes të zbatuara deri më sot. Monitorimi dhe vlerësimi i projekteve të përshtatjes nuk janë zbatuar në mënyrë të rregullt dhe të sistematizuar, por vetëm rast pas rasti.</w:t>
      </w:r>
    </w:p>
    <w:p w14:paraId="73190072" w14:textId="77777777" w:rsidR="00622884" w:rsidRPr="00622884" w:rsidRDefault="00622884" w:rsidP="00622884">
      <w:pPr>
        <w:tabs>
          <w:tab w:val="left" w:pos="5325"/>
        </w:tabs>
        <w:spacing w:after="0" w:line="240" w:lineRule="auto"/>
        <w:ind w:firstLine="284"/>
        <w:rPr>
          <w:rFonts w:ascii="Garamond" w:eastAsia="Calibri" w:hAnsi="Garamond" w:cs="Times New Roman"/>
          <w:b/>
          <w:sz w:val="24"/>
          <w:szCs w:val="24"/>
          <w:lang w:eastAsia="en-US"/>
        </w:rPr>
      </w:pPr>
      <w:r w:rsidRPr="00622884">
        <w:rPr>
          <w:rFonts w:ascii="Garamond" w:eastAsia="Calibri" w:hAnsi="Garamond" w:cs="Times New Roman"/>
          <w:b/>
          <w:sz w:val="24"/>
          <w:szCs w:val="24"/>
          <w:lang w:eastAsia="en-US" w:bidi="sq-AL"/>
        </w:rPr>
        <w:t>Mësimet e nxjerra:</w:t>
      </w:r>
      <w:r w:rsidRPr="00622884">
        <w:rPr>
          <w:rFonts w:ascii="Garamond" w:eastAsia="Calibri" w:hAnsi="Garamond" w:cs="Times New Roman"/>
          <w:b/>
          <w:sz w:val="24"/>
          <w:szCs w:val="24"/>
          <w:lang w:eastAsia="en-US"/>
        </w:rPr>
        <w:t xml:space="preserve"> </w:t>
      </w:r>
      <w:r w:rsidRPr="00622884">
        <w:rPr>
          <w:rFonts w:ascii="Garamond" w:eastAsia="Calibri" w:hAnsi="Garamond" w:cs="Times New Roman"/>
          <w:sz w:val="24"/>
          <w:szCs w:val="24"/>
          <w:lang w:eastAsia="en-US" w:bidi="sq-AL"/>
        </w:rPr>
        <w:t>Sa u përket mësimeve të nxjerra nga procesi i dytë i NAP-it dhe duke marrë parasysh pengesat dhe sfidat e përmendura më sipër, për zbatimin e ardhshëm të veprimeve për klimën në Shqipëri paraqiten pikat, si më poshtë:</w:t>
      </w:r>
    </w:p>
    <w:p w14:paraId="21331997" w14:textId="77777777" w:rsidR="00622884" w:rsidRPr="00622884" w:rsidRDefault="00622884" w:rsidP="00622884">
      <w:pPr>
        <w:spacing w:after="0" w:line="240" w:lineRule="auto"/>
        <w:ind w:firstLine="284"/>
        <w:rPr>
          <w:rFonts w:ascii="Garamond" w:eastAsia="SimSun" w:hAnsi="Garamond" w:cs="Calibri Light"/>
          <w:sz w:val="24"/>
          <w:szCs w:val="24"/>
          <w:u w:val="single"/>
          <w:lang w:eastAsia="en-US"/>
        </w:rPr>
      </w:pPr>
      <w:r w:rsidRPr="00622884">
        <w:rPr>
          <w:rFonts w:ascii="Garamond" w:eastAsia="SimSun" w:hAnsi="Garamond" w:cs="Calibri Light"/>
          <w:b/>
          <w:sz w:val="24"/>
          <w:szCs w:val="24"/>
          <w:lang w:eastAsia="en-US" w:bidi="sq-AL"/>
        </w:rPr>
        <w:t>Integrimi</w:t>
      </w:r>
      <w:r w:rsidRPr="00622884">
        <w:rPr>
          <w:rFonts w:ascii="Garamond" w:eastAsia="SimSun" w:hAnsi="Garamond" w:cs="Calibri Light"/>
          <w:sz w:val="24"/>
          <w:szCs w:val="24"/>
          <w:lang w:eastAsia="en-US" w:bidi="sq-AL"/>
        </w:rPr>
        <w:t>: Masat e zbatimit të NAP-it të dytë duhet të përdoren për të integruar përshtatjen ndaj ndryshimeve klimatike në pesë sektorët prioritarë, në kuadër të Strategjisë Kombëtare për Zhvillim dhe Integrim Evropian 2030. Integrimi i përshtatjes ndaj ndryshimeve klimatike është një proces cilësor, që nuk kërkon domosdoshmërish më shumë fonde, por një mënyrë të re të vepruari “të të bërit të gjërave ndryshe”, por jo domosdoshmërish “të të bërit më shumë”. Përdorimi i Treguesve Rio për përshtatjen ndaj ndryshimeve klimatike për vlerësimin e nivelit të integrimit në politikat e tjera sektoriale mund të lehtësojë procesin.</w:t>
      </w:r>
    </w:p>
    <w:p w14:paraId="40697937" w14:textId="77777777" w:rsidR="00622884" w:rsidRPr="00622884" w:rsidRDefault="00622884" w:rsidP="00622884">
      <w:pPr>
        <w:spacing w:after="0" w:line="240" w:lineRule="auto"/>
        <w:ind w:firstLine="284"/>
        <w:rPr>
          <w:rFonts w:ascii="Garamond" w:eastAsia="SimSun" w:hAnsi="Garamond" w:cs="Calibri Light"/>
          <w:sz w:val="24"/>
          <w:szCs w:val="24"/>
          <w:lang w:eastAsia="en-US"/>
        </w:rPr>
      </w:pPr>
      <w:r w:rsidRPr="00622884">
        <w:rPr>
          <w:rFonts w:ascii="Garamond" w:eastAsia="SimSun" w:hAnsi="Garamond" w:cs="Calibri Light"/>
          <w:b/>
          <w:sz w:val="24"/>
          <w:szCs w:val="24"/>
          <w:lang w:eastAsia="en-US" w:bidi="sq-AL"/>
        </w:rPr>
        <w:t>Angazhimi dhe koordinimi institucional</w:t>
      </w:r>
      <w:r w:rsidRPr="00622884">
        <w:rPr>
          <w:rFonts w:ascii="Garamond" w:eastAsia="SimSun" w:hAnsi="Garamond" w:cs="Calibri Light"/>
          <w:sz w:val="24"/>
          <w:szCs w:val="24"/>
          <w:lang w:eastAsia="en-US" w:bidi="sq-AL"/>
        </w:rPr>
        <w:t>: Zbatimi i qëndrueshëm dhe efektiv i NAP-it, si dhe monitorimi dhe rishikimi i saj, kërkojnë një grup ndërministror pune për ndryshimet klimatike (GNPNK) aktiv dhe të qëndrueshëm. Pjesëmarrja e anëtarëve të GNPNK-së duhet të mbështetet me përfshirjen e detyrimeve përkatëse në përshkrimet e tyre të punës.</w:t>
      </w:r>
    </w:p>
    <w:p w14:paraId="295C1823" w14:textId="77777777" w:rsidR="00622884" w:rsidRPr="00622884" w:rsidRDefault="00622884" w:rsidP="00622884">
      <w:pPr>
        <w:spacing w:after="0" w:line="240" w:lineRule="auto"/>
        <w:ind w:firstLine="284"/>
        <w:rPr>
          <w:rFonts w:ascii="Garamond" w:eastAsia="SimSun" w:hAnsi="Garamond" w:cs="Calibri Light"/>
          <w:sz w:val="24"/>
          <w:szCs w:val="24"/>
          <w:lang w:eastAsia="en-US"/>
        </w:rPr>
      </w:pPr>
      <w:r w:rsidRPr="00622884">
        <w:rPr>
          <w:rFonts w:ascii="Garamond" w:eastAsia="SimSun" w:hAnsi="Garamond" w:cs="Calibri Light"/>
          <w:b/>
          <w:sz w:val="24"/>
          <w:szCs w:val="24"/>
          <w:lang w:eastAsia="en-US" w:bidi="sq-AL"/>
        </w:rPr>
        <w:t>Burimet njerëzore</w:t>
      </w:r>
      <w:r w:rsidRPr="00622884">
        <w:rPr>
          <w:rFonts w:ascii="Garamond" w:eastAsia="SimSun" w:hAnsi="Garamond" w:cs="Calibri Light"/>
          <w:sz w:val="24"/>
          <w:szCs w:val="24"/>
          <w:lang w:eastAsia="en-US" w:bidi="sq-AL"/>
        </w:rPr>
        <w:t xml:space="preserve">: Ngritja e kapaciteteve nëpërmjet trajnimeve të rregullta për përshtatjen ndaj ndryshimeve klimatike duhet të jetë prioritet, për të ulur varësinë nga mbështetja e jashtme. Shkolla Shqiptare e Administratës Publike mund të angazhohet për ofrimin e njohurive të </w:t>
      </w:r>
      <w:r w:rsidRPr="00622884">
        <w:rPr>
          <w:rFonts w:ascii="Garamond" w:eastAsia="SimSun" w:hAnsi="Garamond" w:cs="Calibri Light"/>
          <w:sz w:val="24"/>
          <w:szCs w:val="24"/>
          <w:lang w:eastAsia="en-US" w:bidi="sq-AL"/>
        </w:rPr>
        <w:lastRenderedPageBreak/>
        <w:t>vazhdueshme për përshtatjen dhe menaxhimin e projekteve. Zbatimi i Planit të Komunikimit dhe Angazhimit të Palëve të Interesuara (PKAPI) i NAP-it është, gjithashtu, thelbësor.</w:t>
      </w:r>
    </w:p>
    <w:p w14:paraId="4D16B26F" w14:textId="77777777" w:rsidR="00622884" w:rsidRPr="00622884" w:rsidRDefault="00622884" w:rsidP="00622884">
      <w:pPr>
        <w:spacing w:after="0" w:line="240" w:lineRule="auto"/>
        <w:ind w:firstLine="284"/>
        <w:rPr>
          <w:rFonts w:ascii="Garamond" w:eastAsia="SimSun" w:hAnsi="Garamond" w:cs="Calibri Light"/>
          <w:sz w:val="24"/>
          <w:szCs w:val="24"/>
          <w:u w:val="single"/>
          <w:lang w:eastAsia="en-US"/>
        </w:rPr>
      </w:pPr>
      <w:r w:rsidRPr="00622884">
        <w:rPr>
          <w:rFonts w:ascii="Garamond" w:eastAsia="SimSun" w:hAnsi="Garamond" w:cs="Calibri Light"/>
          <w:b/>
          <w:sz w:val="24"/>
          <w:szCs w:val="24"/>
          <w:lang w:eastAsia="en-US" w:bidi="sq-AL"/>
        </w:rPr>
        <w:t>Financimi:</w:t>
      </w:r>
      <w:r w:rsidRPr="00622884">
        <w:rPr>
          <w:rFonts w:ascii="Garamond" w:eastAsia="SimSun" w:hAnsi="Garamond" w:cs="Calibri Light"/>
          <w:sz w:val="24"/>
          <w:szCs w:val="24"/>
          <w:lang w:eastAsia="en-US" w:bidi="sq-AL"/>
        </w:rPr>
        <w:t xml:space="preserve"> Sigurimi i fondeve të mjaftueshme është thelbësor për zbatimin e NAP-it. Nevojitet një rritje e financimit publik vendor për t’u përballur me efektet e ndryshimeve klimatike dhe për të planifikuar në mënyrë të përshtatshme, ndërsa financimi ndërkombëtar dhe ai nga sektori privat duhet të shërbejë si plotësues. Këto aspekte janë të trajtuara më në hollësi në strategjinë e financimit, e cila duhet të udhëheqë zbatimin e këtij NAP-i.</w:t>
      </w:r>
    </w:p>
    <w:p w14:paraId="7AC81D3E" w14:textId="77777777" w:rsidR="00622884" w:rsidRPr="00622884" w:rsidRDefault="00622884" w:rsidP="00622884">
      <w:pPr>
        <w:spacing w:after="0" w:line="240" w:lineRule="auto"/>
        <w:ind w:firstLine="284"/>
        <w:rPr>
          <w:rFonts w:ascii="Garamond" w:eastAsia="SimSun" w:hAnsi="Garamond" w:cs="Calibri Light"/>
          <w:sz w:val="24"/>
          <w:szCs w:val="24"/>
          <w:highlight w:val="yellow"/>
          <w:lang w:eastAsia="en-US"/>
        </w:rPr>
      </w:pPr>
      <w:r w:rsidRPr="00622884">
        <w:rPr>
          <w:rFonts w:ascii="Garamond" w:eastAsia="SimSun" w:hAnsi="Garamond" w:cs="Calibri Light"/>
          <w:b/>
          <w:sz w:val="24"/>
          <w:szCs w:val="24"/>
          <w:lang w:eastAsia="en-US" w:bidi="sq-AL"/>
        </w:rPr>
        <w:t>Të dhënat:</w:t>
      </w:r>
      <w:r w:rsidRPr="00622884">
        <w:rPr>
          <w:rFonts w:ascii="Garamond" w:eastAsia="SimSun" w:hAnsi="Garamond" w:cs="Calibri Light"/>
          <w:sz w:val="24"/>
          <w:szCs w:val="24"/>
          <w:lang w:eastAsia="en-US" w:bidi="sq-AL"/>
        </w:rPr>
        <w:t xml:space="preserve"> Zbatimi i vendimit të Këshillit të Ministrave për monitorimin dhe raportimin e ndryshimeve klimatike dhe të dhënave përkatëse është shumë i rëndësishëm për mbledhjen sistematike, ndarjen dhe integrimin e të dhënave në proceset e hartimit të politikave. Krijimi i një platforme </w:t>
      </w:r>
      <w:r w:rsidRPr="00622884">
        <w:rPr>
          <w:rFonts w:ascii="Garamond" w:eastAsia="SimSun" w:hAnsi="Garamond" w:cs="Calibri Light"/>
          <w:i/>
          <w:sz w:val="24"/>
          <w:szCs w:val="24"/>
          <w:lang w:eastAsia="en-US" w:bidi="sq-AL"/>
        </w:rPr>
        <w:t>online</w:t>
      </w:r>
      <w:r w:rsidRPr="00622884">
        <w:rPr>
          <w:rFonts w:ascii="Garamond" w:eastAsia="SimSun" w:hAnsi="Garamond" w:cs="Calibri Light"/>
          <w:sz w:val="24"/>
          <w:szCs w:val="24"/>
          <w:lang w:eastAsia="en-US" w:bidi="sq-AL"/>
        </w:rPr>
        <w:t xml:space="preserve"> për shkëmbimin e informacionit ndërmjet Ministrisë së Mjedisit dhe ministrive të linjës për rezultatet dhe raportet e projekteve të përshtatjes (përfshirë raportet administrative), që mbulojnë zbatimin, monitorimin, vlerësimin, mësimet e nxjerra dhe verifikimet, do të forcojë ndjeshëm bazën e informacionit të Ministrisë së Mjedisit, si institucioni koordinues kombëtar për çështjet e përshtatjes.</w:t>
      </w:r>
    </w:p>
    <w:p w14:paraId="6A16DA51" w14:textId="77777777" w:rsidR="00622884" w:rsidRPr="00622884" w:rsidRDefault="00622884" w:rsidP="00622884">
      <w:pPr>
        <w:spacing w:after="0" w:line="240" w:lineRule="auto"/>
        <w:ind w:firstLine="284"/>
        <w:rPr>
          <w:rFonts w:ascii="Garamond" w:eastAsia="SimSun" w:hAnsi="Garamond" w:cs="Calibri Light"/>
          <w:sz w:val="24"/>
          <w:szCs w:val="24"/>
          <w:lang w:eastAsia="en-US"/>
        </w:rPr>
      </w:pPr>
      <w:r w:rsidRPr="00622884">
        <w:rPr>
          <w:rFonts w:ascii="Garamond" w:eastAsia="SimSun" w:hAnsi="Garamond" w:cs="Calibri Light"/>
          <w:b/>
          <w:sz w:val="24"/>
          <w:szCs w:val="24"/>
          <w:lang w:eastAsia="en-US" w:bidi="sq-AL"/>
        </w:rPr>
        <w:t>Monitorimi dhe vlerësimi</w:t>
      </w:r>
      <w:r w:rsidRPr="00622884">
        <w:rPr>
          <w:rFonts w:ascii="Garamond" w:eastAsia="SimSun" w:hAnsi="Garamond" w:cs="Calibri Light"/>
          <w:sz w:val="24"/>
          <w:szCs w:val="24"/>
          <w:lang w:eastAsia="en-US" w:bidi="sq-AL"/>
        </w:rPr>
        <w:t>: Zbatimi i një kuadri gjithëpërfshirës dhe të qëndrueshëm për monitorimin dhe vlerësimin (MV) e projekteve dhe nismave të përshtatjes, duke vlerësuar arritjet, kostot, përfitimet dhe mësimet e nxjerra, do të mundësojë matjen e efikasitetit dhe efektivitetit të veprimeve për klimën dhe do të ndihmojë në përsëritjen dhe/ose përshkallëzimin e tyre në Shqipëri. Kuadri i MV-së i paraqitur në këtë NAP përbën një pikënisje të mirë dhe duhet të ndiqet gjatë zbatimit të mëtejshëm të NAP-it.</w:t>
      </w:r>
    </w:p>
    <w:p w14:paraId="09C24CF1" w14:textId="77777777" w:rsidR="00622884" w:rsidRPr="00622884" w:rsidRDefault="00622884" w:rsidP="00622884">
      <w:pPr>
        <w:tabs>
          <w:tab w:val="left" w:pos="5325"/>
        </w:tabs>
        <w:spacing w:after="0" w:line="240" w:lineRule="auto"/>
        <w:ind w:firstLine="284"/>
        <w:rPr>
          <w:rFonts w:ascii="Garamond" w:eastAsia="Times New Roman" w:hAnsi="Garamond" w:cs="Times New Roman"/>
          <w:sz w:val="24"/>
          <w:szCs w:val="24"/>
          <w:lang w:eastAsia="en-US"/>
        </w:rPr>
      </w:pPr>
      <w:bookmarkStart w:id="217" w:name="_Ref210986988"/>
      <w:bookmarkStart w:id="218" w:name="_Toc213936223"/>
      <w:r w:rsidRPr="00622884">
        <w:rPr>
          <w:rFonts w:ascii="Garamond" w:eastAsia="Calibri" w:hAnsi="Garamond" w:cs="Times New Roman"/>
          <w:sz w:val="24"/>
          <w:szCs w:val="24"/>
          <w:lang w:eastAsia="en-US" w:bidi="sq-AL"/>
        </w:rPr>
        <w:t>3. KONTEKSTI KOMBËTAR SOCIO-EKONOMIK, INSTITUCIONAL DHE I POLITIKAVE</w:t>
      </w:r>
      <w:bookmarkEnd w:id="217"/>
      <w:bookmarkEnd w:id="218"/>
      <w:r w:rsidRPr="00622884">
        <w:rPr>
          <w:rFonts w:ascii="Garamond" w:eastAsia="Calibri" w:hAnsi="Garamond" w:cs="Times New Roman"/>
          <w:sz w:val="24"/>
          <w:szCs w:val="24"/>
          <w:lang w:eastAsia="en-US" w:bidi="sq-AL"/>
        </w:rPr>
        <w:t xml:space="preserve"> </w:t>
      </w:r>
    </w:p>
    <w:p w14:paraId="7E0E6229" w14:textId="77777777" w:rsidR="00622884" w:rsidRPr="00622884" w:rsidRDefault="00622884" w:rsidP="00622884">
      <w:pPr>
        <w:tabs>
          <w:tab w:val="left" w:pos="5325"/>
        </w:tabs>
        <w:spacing w:after="0" w:line="240" w:lineRule="auto"/>
        <w:ind w:firstLine="284"/>
        <w:rPr>
          <w:rFonts w:ascii="Garamond" w:eastAsia="Calibri" w:hAnsi="Garamond" w:cs="Times New Roman"/>
          <w:b/>
          <w:sz w:val="24"/>
          <w:szCs w:val="24"/>
          <w:lang w:eastAsia="en-US"/>
        </w:rPr>
      </w:pPr>
      <w:bookmarkStart w:id="219" w:name="_Ref210985787"/>
      <w:bookmarkStart w:id="220" w:name="_Toc213936224"/>
      <w:r w:rsidRPr="00622884">
        <w:rPr>
          <w:rFonts w:ascii="Garamond" w:eastAsia="Calibri" w:hAnsi="Garamond" w:cs="Times New Roman"/>
          <w:b/>
          <w:sz w:val="24"/>
          <w:szCs w:val="24"/>
          <w:lang w:eastAsia="en-US" w:bidi="sq-AL"/>
        </w:rPr>
        <w:t>3.1 Popullsia</w:t>
      </w:r>
      <w:bookmarkEnd w:id="219"/>
      <w:bookmarkEnd w:id="220"/>
    </w:p>
    <w:p w14:paraId="08D8A9F9" w14:textId="77777777" w:rsidR="00622884" w:rsidRPr="00622884" w:rsidRDefault="00622884" w:rsidP="00622884">
      <w:pPr>
        <w:spacing w:after="0" w:line="240" w:lineRule="auto"/>
        <w:ind w:firstLine="284"/>
        <w:rPr>
          <w:rFonts w:ascii="Garamond" w:eastAsia="SimSun" w:hAnsi="Garamond" w:cs="Calibri Light"/>
          <w:sz w:val="24"/>
          <w:szCs w:val="24"/>
          <w:lang w:eastAsia="en-US"/>
        </w:rPr>
      </w:pPr>
      <w:bookmarkStart w:id="221" w:name="_Hlk157418122"/>
      <w:r w:rsidRPr="00622884">
        <w:rPr>
          <w:rFonts w:ascii="Garamond" w:eastAsia="SimSun" w:hAnsi="Garamond" w:cs="Calibri Light"/>
          <w:sz w:val="24"/>
          <w:szCs w:val="24"/>
          <w:lang w:eastAsia="en-US" w:bidi="sq-AL"/>
        </w:rPr>
        <w:t>Shqipëria është një vend i vogël malor, i pozicionuar në pjesën perëndimore të gadishullit të Ballkanit, në Evropën juglindore, me një sipërfaqe 28.748 km</w:t>
      </w:r>
      <w:r w:rsidRPr="00622884">
        <w:rPr>
          <w:rFonts w:ascii="Garamond" w:eastAsia="SimSun" w:hAnsi="Garamond" w:cs="Calibri Light"/>
          <w:sz w:val="24"/>
          <w:szCs w:val="24"/>
          <w:vertAlign w:val="superscript"/>
          <w:lang w:eastAsia="en-US" w:bidi="sq-AL"/>
        </w:rPr>
        <w:t>2</w:t>
      </w:r>
      <w:r w:rsidRPr="00622884">
        <w:rPr>
          <w:rFonts w:ascii="Garamond" w:eastAsia="SimSun" w:hAnsi="Garamond" w:cs="Calibri Light"/>
          <w:sz w:val="24"/>
          <w:szCs w:val="24"/>
          <w:lang w:eastAsia="en-US" w:bidi="sq-AL"/>
        </w:rPr>
        <w:t>, me 2.761.785 banorë dhe dendësi popullsie prej 98 personash/km</w:t>
      </w:r>
      <w:r w:rsidRPr="00622884">
        <w:rPr>
          <w:rFonts w:ascii="Garamond" w:eastAsia="SimSun" w:hAnsi="Garamond" w:cs="Calibri Light"/>
          <w:sz w:val="24"/>
          <w:szCs w:val="24"/>
          <w:vertAlign w:val="superscript"/>
          <w:lang w:eastAsia="en-US" w:bidi="sq-AL"/>
        </w:rPr>
        <w:t xml:space="preserve">2 </w:t>
      </w:r>
      <w:r w:rsidRPr="00622884">
        <w:rPr>
          <w:rFonts w:ascii="Garamond" w:eastAsia="SimSun" w:hAnsi="Garamond" w:cs="Calibri Light"/>
          <w:sz w:val="24"/>
          <w:szCs w:val="24"/>
          <w:lang w:eastAsia="en-US" w:bidi="sq-AL"/>
        </w:rPr>
        <w:t>(2023). Projeksionet tregojnë se deri në vitin 2030, popullsia e përgjithshme e Shqipërisë do të pësojë një rënie të lehtë në rreth 2.745.996 banorë. Mosha mesatare e popullsisë është rritur nga 33,2 vjeç në vitin 2012 në 38,3 vjeç në vitin 2023 dhe pritet të arrijë në 42,1 vjeç në vitin 2031</w:t>
      </w:r>
      <w:r w:rsidRPr="00622884">
        <w:rPr>
          <w:rFonts w:ascii="Garamond" w:eastAsia="SimSun" w:hAnsi="Garamond" w:cs="Calibri Light"/>
          <w:sz w:val="24"/>
          <w:szCs w:val="24"/>
          <w:vertAlign w:val="superscript"/>
          <w:lang w:eastAsia="en-US" w:bidi="sq-AL"/>
        </w:rPr>
        <w:footnoteReference w:id="126"/>
      </w:r>
      <w:r w:rsidRPr="00622884">
        <w:rPr>
          <w:rFonts w:ascii="Garamond" w:eastAsia="SimSun" w:hAnsi="Garamond" w:cs="Calibri Light"/>
          <w:sz w:val="24"/>
          <w:szCs w:val="24"/>
          <w:lang w:eastAsia="en-US" w:bidi="sq-AL"/>
        </w:rPr>
        <w:t>. Raporti i varësisë pritet të rritet nga rreth 20,5 persona të moshuar për çdo 100 persona në moshë pune në vitin 2019, në rreth 35,0 persona të moshuar për çdo 100 persona në moshë pune</w:t>
      </w:r>
      <w:r w:rsidRPr="00622884">
        <w:rPr>
          <w:rFonts w:ascii="Garamond" w:eastAsia="SimSun" w:hAnsi="Garamond" w:cs="Calibri Light"/>
          <w:sz w:val="24"/>
          <w:szCs w:val="24"/>
          <w:vertAlign w:val="superscript"/>
          <w:lang w:eastAsia="en-US" w:bidi="sq-AL"/>
        </w:rPr>
        <w:footnoteReference w:id="127"/>
      </w:r>
      <w:r w:rsidRPr="00622884">
        <w:rPr>
          <w:rFonts w:ascii="Garamond" w:eastAsia="SimSun" w:hAnsi="Garamond" w:cs="Calibri Light"/>
          <w:sz w:val="24"/>
          <w:szCs w:val="24"/>
          <w:lang w:eastAsia="en-US" w:bidi="sq-AL"/>
        </w:rPr>
        <w:t xml:space="preserve"> deri në vitin 2031, gjë që do të ushtrojë më shumë trysni mbi popullsinë aktive. Kjo do të ketë, gjithashtu, si pasojë rritjen e ekspozimit të të moshuarve ndaj sëmundjeve dhe problemeve shëndetësore, duke përfshirë ato që lidhen me rreziqet klimatike, si nxehtësia ekstreme, e cila mund të ketë ndikime të rënda te personat me sëmundje ekzistuese apo me lëvizshmëri të kufizuar, si dhe të rrisë kostot shëndetësore për frymë.</w:t>
      </w:r>
    </w:p>
    <w:p w14:paraId="7AFD584C" w14:textId="77777777" w:rsidR="00622884" w:rsidRPr="00622884" w:rsidRDefault="00622884" w:rsidP="00622884">
      <w:pPr>
        <w:spacing w:after="0" w:line="240" w:lineRule="auto"/>
        <w:ind w:firstLine="284"/>
        <w:rPr>
          <w:rFonts w:ascii="Garamond" w:eastAsia="SimSun" w:hAnsi="Garamond" w:cs="Calibri Light"/>
          <w:sz w:val="24"/>
          <w:szCs w:val="24"/>
          <w:lang w:eastAsia="en-US"/>
        </w:rPr>
      </w:pPr>
      <w:r w:rsidRPr="00622884">
        <w:rPr>
          <w:rFonts w:ascii="Garamond" w:eastAsia="SimSun" w:hAnsi="Garamond" w:cs="Calibri Light"/>
          <w:sz w:val="24"/>
          <w:szCs w:val="24"/>
          <w:lang w:eastAsia="en-US" w:bidi="sq-AL"/>
        </w:rPr>
        <w:t>Popullsia urbane është rritur nga rreth një e treta e popullsisë totale në fillim të viteve 1990 në pothuajse dy të tretat (62%) në vitin 2020 dhe pritet të vazhdojë të rritet në 78,2% deri në vitin 2050</w:t>
      </w:r>
      <w:r w:rsidRPr="00622884">
        <w:rPr>
          <w:rFonts w:ascii="Garamond" w:eastAsia="SimSun" w:hAnsi="Garamond" w:cs="Calibri Light"/>
          <w:sz w:val="24"/>
          <w:szCs w:val="24"/>
          <w:vertAlign w:val="superscript"/>
          <w:lang w:eastAsia="en-US" w:bidi="sq-AL"/>
        </w:rPr>
        <w:footnoteReference w:id="128"/>
      </w:r>
      <w:r w:rsidRPr="00622884">
        <w:rPr>
          <w:rFonts w:ascii="Garamond" w:eastAsia="SimSun" w:hAnsi="Garamond" w:cs="Calibri Light"/>
          <w:sz w:val="24"/>
          <w:szCs w:val="24"/>
          <w:lang w:eastAsia="en-US" w:bidi="sq-AL"/>
        </w:rPr>
        <w:t xml:space="preserve">. Popullsia rurale, veçanërisht fermerët e vegjël, preken në mënyrë të zhdrejtë nga ndryshueshmëria klimatike, përfshirë thatësirat, përmbytjet dhe modelet e paparashikueshme të motit, të cilat rrezikojnë prodhimtarinë bujqësore dhe mjetet e jetesës. Si rezultat i migrimit rural-urban, popullsia e mbetur rurale do t’u përkasë grupeve më të moshuara, të cilat janë më të cenueshme nga ndryshimet klimatike. Fëmijët në zonat rurale dhe ata që u përkasin grupeve të margjinalizuara apo familjeve me të ardhura të ulëta, mund të përballen me ndërprerje të </w:t>
      </w:r>
      <w:r w:rsidRPr="00622884">
        <w:rPr>
          <w:rFonts w:ascii="Garamond" w:eastAsia="SimSun" w:hAnsi="Garamond" w:cs="Calibri Light"/>
          <w:sz w:val="24"/>
          <w:szCs w:val="24"/>
          <w:lang w:eastAsia="en-US" w:bidi="sq-AL"/>
        </w:rPr>
        <w:lastRenderedPageBreak/>
        <w:t xml:space="preserve">ndjeshme në arsim dhe sfida të tjera si pasojë e fatkeqësive të lidhura me klimën, të cilat mund të ndikojnë te lëvizshmëria socio-ekonomike afatgjatë. Popullsia bregdetare është rritur gjithashtu (në 36% në vitin 2020), duke vendosur më shumë njerëz në rrezik në një zonë që preket ndjeshëm nga përmbytjet bregdetare. Por edhe popullsia urbane në rritje përballet me risqe klimatike gjithnjë e më të mëdha, veçanërisht ato që lidhen me shëndetin, siç do të trajtohet më tej në kapitullin </w:t>
      </w:r>
      <w:r w:rsidRPr="00622884">
        <w:rPr>
          <w:rFonts w:ascii="Garamond" w:eastAsia="SimSun" w:hAnsi="Garamond" w:cs="Calibri Light"/>
          <w:sz w:val="24"/>
          <w:szCs w:val="24"/>
          <w:lang w:eastAsia="en-US" w:bidi="sq-AL"/>
        </w:rPr>
        <w:fldChar w:fldCharType="begin"/>
      </w:r>
      <w:r w:rsidRPr="00622884">
        <w:rPr>
          <w:rFonts w:ascii="Garamond" w:eastAsia="SimSun" w:hAnsi="Garamond" w:cs="Calibri Light"/>
          <w:sz w:val="24"/>
          <w:szCs w:val="24"/>
          <w:lang w:eastAsia="en-US" w:bidi="sq-AL"/>
        </w:rPr>
        <w:instrText xml:space="preserve"> REF _Ref210985871 \r  \* MERGEFORMAT </w:instrText>
      </w:r>
      <w:r w:rsidRPr="00622884">
        <w:rPr>
          <w:rFonts w:ascii="Garamond" w:eastAsia="SimSun" w:hAnsi="Garamond" w:cs="Calibri Light"/>
          <w:sz w:val="24"/>
          <w:szCs w:val="24"/>
          <w:lang w:eastAsia="en-US" w:bidi="sq-AL"/>
        </w:rPr>
        <w:fldChar w:fldCharType="separate"/>
      </w:r>
      <w:r w:rsidRPr="00622884">
        <w:rPr>
          <w:rFonts w:ascii="Garamond" w:eastAsia="SimSun" w:hAnsi="Garamond" w:cs="Calibri Light"/>
          <w:sz w:val="24"/>
          <w:szCs w:val="24"/>
          <w:lang w:eastAsia="en-US" w:bidi="sq-AL"/>
        </w:rPr>
        <w:t>4</w:t>
      </w:r>
      <w:r w:rsidRPr="00622884">
        <w:rPr>
          <w:rFonts w:ascii="Garamond" w:eastAsia="SimSun" w:hAnsi="Garamond" w:cs="Calibri Light"/>
          <w:sz w:val="24"/>
          <w:szCs w:val="24"/>
          <w:lang w:eastAsia="en-US" w:bidi="sq-AL"/>
        </w:rPr>
        <w:fldChar w:fldCharType="end"/>
      </w:r>
      <w:r w:rsidRPr="00622884">
        <w:rPr>
          <w:rFonts w:ascii="Garamond" w:eastAsia="SimSun" w:hAnsi="Garamond" w:cs="Calibri Light"/>
          <w:sz w:val="24"/>
          <w:szCs w:val="24"/>
          <w:lang w:eastAsia="en-US" w:bidi="sq-AL"/>
        </w:rPr>
        <w:t>.</w:t>
      </w:r>
    </w:p>
    <w:p w14:paraId="64314734" w14:textId="77777777" w:rsidR="00622884" w:rsidRPr="00622884" w:rsidRDefault="00622884" w:rsidP="00622884">
      <w:pPr>
        <w:spacing w:after="0" w:line="240" w:lineRule="auto"/>
        <w:ind w:firstLine="284"/>
        <w:rPr>
          <w:rFonts w:ascii="Garamond" w:eastAsia="SimSun" w:hAnsi="Garamond" w:cs="Calibri Light"/>
          <w:sz w:val="24"/>
          <w:szCs w:val="24"/>
          <w:lang w:eastAsia="en-US"/>
        </w:rPr>
      </w:pPr>
      <w:r w:rsidRPr="00622884">
        <w:rPr>
          <w:rFonts w:ascii="Garamond" w:eastAsia="SimSun" w:hAnsi="Garamond" w:cs="Calibri Light"/>
          <w:sz w:val="24"/>
          <w:szCs w:val="24"/>
          <w:lang w:eastAsia="en-US" w:bidi="sq-AL"/>
        </w:rPr>
        <w:t>Një analizë gjinore e kryer për këtë NAP zbuloi pabarazi gjinore që lidhen me varfërinë dhe përfshirjen sociale, duke përfshirë hendekët në punësim në të gjithë sektorët, dhe faktin që gratë përballen me sfida të pabarabarta sa i përket qasjes në burime, pronësisë, pjesëmarrjes në vendimmarrje dhe përmirësimit të aftësisë ripërtëritëse</w:t>
      </w:r>
      <w:r w:rsidRPr="00622884">
        <w:rPr>
          <w:rFonts w:ascii="Garamond" w:eastAsia="SimSun" w:hAnsi="Garamond" w:cs="Calibri Light"/>
          <w:sz w:val="24"/>
          <w:szCs w:val="24"/>
          <w:vertAlign w:val="superscript"/>
          <w:lang w:eastAsia="en-US" w:bidi="sq-AL"/>
        </w:rPr>
        <w:footnoteReference w:id="129"/>
      </w:r>
      <w:r w:rsidRPr="00622884">
        <w:rPr>
          <w:rFonts w:ascii="Garamond" w:eastAsia="SimSun" w:hAnsi="Garamond" w:cs="Calibri Light"/>
          <w:sz w:val="24"/>
          <w:szCs w:val="24"/>
          <w:lang w:eastAsia="en-US" w:bidi="sq-AL"/>
        </w:rPr>
        <w:t xml:space="preserve">. Ky aspekt do të trajtohet më tej në kapitullin </w:t>
      </w:r>
      <w:r w:rsidRPr="00622884">
        <w:rPr>
          <w:rFonts w:ascii="Garamond" w:eastAsia="SimSun" w:hAnsi="Garamond" w:cs="Calibri Light"/>
          <w:sz w:val="24"/>
          <w:szCs w:val="24"/>
          <w:lang w:eastAsia="en-US" w:bidi="sq-AL"/>
        </w:rPr>
        <w:fldChar w:fldCharType="begin"/>
      </w:r>
      <w:r w:rsidRPr="00622884">
        <w:rPr>
          <w:rFonts w:ascii="Garamond" w:eastAsia="SimSun" w:hAnsi="Garamond" w:cs="Calibri Light"/>
          <w:sz w:val="24"/>
          <w:szCs w:val="24"/>
          <w:lang w:eastAsia="en-US" w:bidi="sq-AL"/>
        </w:rPr>
        <w:instrText xml:space="preserve"> REF _Ref210985733 \r  \* MERGEFORMAT </w:instrText>
      </w:r>
      <w:r w:rsidRPr="00622884">
        <w:rPr>
          <w:rFonts w:ascii="Garamond" w:eastAsia="SimSun" w:hAnsi="Garamond" w:cs="Calibri Light"/>
          <w:sz w:val="24"/>
          <w:szCs w:val="24"/>
          <w:lang w:eastAsia="en-US" w:bidi="sq-AL"/>
        </w:rPr>
        <w:fldChar w:fldCharType="separate"/>
      </w:r>
      <w:r w:rsidRPr="00622884">
        <w:rPr>
          <w:rFonts w:ascii="Garamond" w:eastAsia="SimSun" w:hAnsi="Garamond" w:cs="Calibri Light"/>
          <w:sz w:val="24"/>
          <w:szCs w:val="24"/>
          <w:lang w:eastAsia="en-US" w:bidi="sq-AL"/>
        </w:rPr>
        <w:t>7</w:t>
      </w:r>
      <w:r w:rsidRPr="00622884">
        <w:rPr>
          <w:rFonts w:ascii="Garamond" w:eastAsia="SimSun" w:hAnsi="Garamond" w:cs="Calibri Light"/>
          <w:sz w:val="24"/>
          <w:szCs w:val="24"/>
          <w:lang w:eastAsia="en-US" w:bidi="sq-AL"/>
        </w:rPr>
        <w:fldChar w:fldCharType="end"/>
      </w:r>
      <w:r w:rsidRPr="00622884">
        <w:rPr>
          <w:rFonts w:ascii="Garamond" w:eastAsia="SimSun" w:hAnsi="Garamond" w:cs="Calibri Light"/>
          <w:sz w:val="24"/>
          <w:szCs w:val="24"/>
          <w:lang w:eastAsia="en-US" w:bidi="sq-AL"/>
        </w:rPr>
        <w:t>.</w:t>
      </w:r>
    </w:p>
    <w:p w14:paraId="51858FCC" w14:textId="77777777" w:rsidR="00622884" w:rsidRPr="00622884" w:rsidRDefault="00622884" w:rsidP="00622884">
      <w:pPr>
        <w:tabs>
          <w:tab w:val="left" w:pos="5325"/>
        </w:tabs>
        <w:spacing w:after="0" w:line="240" w:lineRule="auto"/>
        <w:ind w:firstLine="284"/>
        <w:rPr>
          <w:rFonts w:ascii="Garamond" w:eastAsia="Calibri" w:hAnsi="Garamond" w:cs="Times New Roman"/>
          <w:b/>
          <w:sz w:val="24"/>
          <w:szCs w:val="24"/>
          <w:lang w:eastAsia="en-US"/>
        </w:rPr>
      </w:pPr>
      <w:bookmarkStart w:id="222" w:name="_Toc213936225"/>
      <w:r w:rsidRPr="00622884">
        <w:rPr>
          <w:rFonts w:ascii="Garamond" w:eastAsia="Calibri" w:hAnsi="Garamond" w:cs="Times New Roman"/>
          <w:b/>
          <w:sz w:val="24"/>
          <w:szCs w:val="24"/>
          <w:lang w:eastAsia="en-US" w:bidi="sq-AL"/>
        </w:rPr>
        <w:t>3.2 Treguesit ekonomikë kombëtarë</w:t>
      </w:r>
      <w:bookmarkEnd w:id="222"/>
    </w:p>
    <w:p w14:paraId="0BEA7342" w14:textId="77777777" w:rsidR="00622884" w:rsidRPr="00622884" w:rsidRDefault="00622884" w:rsidP="00622884">
      <w:pPr>
        <w:spacing w:after="0" w:line="240" w:lineRule="auto"/>
        <w:ind w:firstLine="284"/>
        <w:rPr>
          <w:rFonts w:ascii="Garamond" w:eastAsia="SimSun" w:hAnsi="Garamond" w:cs="Calibri Light"/>
          <w:sz w:val="24"/>
          <w:szCs w:val="24"/>
          <w:lang w:eastAsia="en-US"/>
        </w:rPr>
      </w:pPr>
      <w:r w:rsidRPr="00622884">
        <w:rPr>
          <w:rFonts w:ascii="Garamond" w:eastAsia="SimSun" w:hAnsi="Garamond" w:cs="Calibri Light"/>
          <w:sz w:val="24"/>
          <w:szCs w:val="24"/>
          <w:lang w:eastAsia="en-US" w:bidi="sq-AL"/>
        </w:rPr>
        <w:t>Nga një prej vendeve më të varfra në Evropë, Shqipëria u shndërrua në një vend me të ardhura të mesme të larta, me një PBB prej 23 miliardë dollarësh amerikanë dhe PBB për frymë prej 8300 dollarësh amerikanë në vitin 2023</w:t>
      </w:r>
      <w:r w:rsidRPr="00622884">
        <w:rPr>
          <w:rFonts w:ascii="Garamond" w:eastAsia="SimSun" w:hAnsi="Garamond" w:cs="Calibri Light"/>
          <w:sz w:val="24"/>
          <w:szCs w:val="24"/>
          <w:vertAlign w:val="superscript"/>
          <w:lang w:eastAsia="en-US" w:bidi="sq-AL"/>
        </w:rPr>
        <w:footnoteReference w:id="130"/>
      </w:r>
      <w:r w:rsidRPr="00622884">
        <w:rPr>
          <w:rFonts w:ascii="Garamond" w:eastAsia="SimSun" w:hAnsi="Garamond" w:cs="Calibri Light"/>
          <w:sz w:val="24"/>
          <w:szCs w:val="24"/>
          <w:lang w:eastAsia="en-US" w:bidi="sq-AL"/>
        </w:rPr>
        <w:t>. Kjo rritje ekonomike është shoqëruar me një tranzicion nga një ekonomi e planifikuar e bazuar tek lëndët e para, bujqësia dhe industria, drejt një ekonomie më të larmishme, të mbështetur kryesisht nga sektori privat. Pas një rritjeje prej 3,9% në vitin 2023, rritja reale e PBB-së parashikohet të jetë mesatarisht rreth 3,5% gjatë periudhës 2024</w:t>
      </w:r>
      <w:r w:rsidRPr="00622884">
        <w:rPr>
          <w:rFonts w:ascii="Garamond" w:eastAsia="SimSun" w:hAnsi="Garamond" w:cs="Times New Roman"/>
          <w:color w:val="1D3C5A"/>
          <w:sz w:val="24"/>
          <w:szCs w:val="24"/>
          <w:lang w:eastAsia="en-US"/>
        </w:rPr>
        <w:t>–</w:t>
      </w:r>
      <w:r w:rsidRPr="00622884">
        <w:rPr>
          <w:rFonts w:ascii="Garamond" w:eastAsia="SimSun" w:hAnsi="Garamond" w:cs="Calibri Light"/>
          <w:sz w:val="24"/>
          <w:szCs w:val="24"/>
          <w:lang w:eastAsia="en-US" w:bidi="sq-AL"/>
        </w:rPr>
        <w:t>2029, e nxitur nga konsumi vendas, turizmi dhe veprimtaria ndërtimore</w:t>
      </w:r>
      <w:r w:rsidRPr="00622884">
        <w:rPr>
          <w:rFonts w:ascii="Garamond" w:eastAsia="SimSun" w:hAnsi="Garamond" w:cs="Calibri Light"/>
          <w:sz w:val="24"/>
          <w:szCs w:val="24"/>
          <w:vertAlign w:val="superscript"/>
          <w:lang w:eastAsia="en-US" w:bidi="sq-AL"/>
        </w:rPr>
        <w:footnoteReference w:id="131"/>
      </w:r>
      <w:r w:rsidRPr="00622884">
        <w:rPr>
          <w:rFonts w:ascii="Garamond" w:eastAsia="SimSun" w:hAnsi="Garamond" w:cs="Calibri Light"/>
          <w:sz w:val="24"/>
          <w:szCs w:val="24"/>
          <w:lang w:eastAsia="en-US" w:bidi="sq-AL"/>
        </w:rPr>
        <w:t>. Gjatë tri dekadave të fundit, treguesit socialë janë përmirësuar ndjeshëm në Shqipëri. Indeksi i Zhvillimit Njerëzor (IZHNJ) i Shqipërisë</w:t>
      </w:r>
      <w:r w:rsidRPr="00622884">
        <w:rPr>
          <w:rFonts w:ascii="Garamond" w:eastAsia="SimSun" w:hAnsi="Garamond" w:cs="Calibri Light"/>
          <w:sz w:val="24"/>
          <w:szCs w:val="24"/>
          <w:vertAlign w:val="superscript"/>
          <w:lang w:eastAsia="en-US" w:bidi="sq-AL"/>
        </w:rPr>
        <w:footnoteReference w:id="132"/>
      </w:r>
      <w:r w:rsidRPr="00622884">
        <w:rPr>
          <w:rFonts w:ascii="Garamond" w:eastAsia="SimSun" w:hAnsi="Garamond" w:cs="Calibri Light"/>
          <w:sz w:val="24"/>
          <w:szCs w:val="24"/>
          <w:lang w:eastAsia="en-US" w:bidi="sq-AL"/>
        </w:rPr>
        <w:t xml:space="preserve"> për vitin 2023 ishte 0,81, duke e renditur vendin në kategorinë e zhvillimit shumë të lartë njerëzor, në vendin e 71-të nga 193 vende dhe territore, megjithatë, rreth 21,7% e popullsisë ende jetonte nën kufirin kombëtar të varfërisë</w:t>
      </w:r>
      <w:r w:rsidRPr="00622884">
        <w:rPr>
          <w:rFonts w:ascii="Garamond" w:eastAsia="SimSun" w:hAnsi="Garamond" w:cs="Calibri Light"/>
          <w:sz w:val="24"/>
          <w:szCs w:val="24"/>
          <w:vertAlign w:val="superscript"/>
          <w:lang w:eastAsia="en-US" w:bidi="sq-AL"/>
        </w:rPr>
        <w:footnoteReference w:id="133"/>
      </w:r>
      <w:r w:rsidRPr="00622884">
        <w:rPr>
          <w:rFonts w:ascii="Garamond" w:eastAsia="SimSun" w:hAnsi="Garamond" w:cs="Calibri Light"/>
          <w:sz w:val="24"/>
          <w:szCs w:val="24"/>
          <w:lang w:eastAsia="en-US" w:bidi="sq-AL"/>
        </w:rPr>
        <w:t>. Papunësia arriti nivelin më të ulët historik prej 8,8% në vitin 2024, por papunësia e të rinjve mbeti e lartë, në 19,1%.</w:t>
      </w:r>
    </w:p>
    <w:p w14:paraId="3C545EE7" w14:textId="77777777" w:rsidR="00622884" w:rsidRPr="00622884" w:rsidRDefault="00622884" w:rsidP="00622884">
      <w:pPr>
        <w:spacing w:after="0" w:line="240" w:lineRule="auto"/>
        <w:ind w:firstLine="284"/>
        <w:rPr>
          <w:rFonts w:ascii="Garamond" w:eastAsia="SimSun" w:hAnsi="Garamond" w:cs="Calibri Light"/>
          <w:sz w:val="24"/>
          <w:szCs w:val="24"/>
          <w:lang w:eastAsia="en-US"/>
        </w:rPr>
      </w:pPr>
      <w:r w:rsidRPr="00622884">
        <w:rPr>
          <w:rFonts w:ascii="Garamond" w:eastAsia="SimSun" w:hAnsi="Garamond" w:cs="Calibri Light"/>
          <w:sz w:val="24"/>
          <w:szCs w:val="24"/>
          <w:lang w:eastAsia="en-US" w:bidi="sq-AL"/>
        </w:rPr>
        <w:t>Ndryshimet klimatike rrezikojnë zhbërjen e këtyre arritjeve, duke përkeqësuar goditjet ekonomike, veçanërisht për familjet me të ardhura të ulëta, që janë më pak të përgatitura për t’u rimëkëmbur pas ngjarjeve ekstreme të motit. Gjatë 33 viteve të fundit, humbjet ekonomike të shkaktuara nga përmbytjet janë vlerësuar në 2,3 miliardë dollarë amerikanë</w:t>
      </w:r>
      <w:r w:rsidRPr="00622884">
        <w:rPr>
          <w:rFonts w:ascii="Garamond" w:eastAsia="SimSun" w:hAnsi="Garamond" w:cs="Calibri Light"/>
          <w:sz w:val="24"/>
          <w:szCs w:val="24"/>
          <w:vertAlign w:val="superscript"/>
          <w:lang w:eastAsia="en-US" w:bidi="sq-AL"/>
        </w:rPr>
        <w:footnoteReference w:id="134"/>
      </w:r>
      <w:r w:rsidRPr="00622884">
        <w:rPr>
          <w:rFonts w:ascii="Garamond" w:eastAsia="SimSun" w:hAnsi="Garamond" w:cs="Calibri Light"/>
          <w:sz w:val="24"/>
          <w:szCs w:val="24"/>
          <w:lang w:eastAsia="en-US" w:bidi="sq-AL"/>
        </w:rPr>
        <w:t>. Përparimi socio-ekonomik i Shqipërisë është penguar së fundmi nga dy goditje të mëdha. Në nëntor 2019, vendi u godit nga një tërmet shkatërrues me magnitudë 6,3 ballë të shkallës Rihter (më i forti në 30 vitet e fundit), që shkaktoi 51 viktima, preku mbi 200.000 persona dhe solli humbje të barasvlershme me rreth 7,5% të PBB-së. Në mes të përpjekjeve për rindërtim, vendi u godit nga kriza e COVID-19-s, duke rritur presionin mbi buxhetin dhe reagimit qeveritar, pasi Shqipëria u detyrua të mbyllë sektorë kyç të ekonomisë</w:t>
      </w:r>
      <w:r w:rsidRPr="00622884">
        <w:rPr>
          <w:rFonts w:ascii="Garamond" w:eastAsia="SimSun" w:hAnsi="Garamond" w:cs="Calibri Light"/>
          <w:sz w:val="24"/>
          <w:szCs w:val="24"/>
          <w:vertAlign w:val="superscript"/>
          <w:lang w:eastAsia="en-US" w:bidi="sq-AL"/>
        </w:rPr>
        <w:footnoteReference w:id="135"/>
      </w:r>
      <w:r w:rsidRPr="00622884">
        <w:rPr>
          <w:rFonts w:ascii="Garamond" w:eastAsia="SimSun" w:hAnsi="Garamond" w:cs="Calibri Light"/>
          <w:sz w:val="24"/>
          <w:szCs w:val="24"/>
          <w:lang w:eastAsia="en-US" w:bidi="sq-AL"/>
        </w:rPr>
        <w:t>. Duke e përkeqësuar më tej këtë situatë, shtrëngimi aktual i kushteve ekonomike dhe financiare globale mund të vështirësojë qasjen e Shqipërisë në tregjet e jashtme të financimit, duke përfshirë financimin për klimën.</w:t>
      </w:r>
    </w:p>
    <w:p w14:paraId="0BC9990A" w14:textId="77777777" w:rsidR="00622884" w:rsidRPr="00622884" w:rsidRDefault="00622884" w:rsidP="00622884">
      <w:pPr>
        <w:spacing w:after="0" w:line="240" w:lineRule="auto"/>
        <w:ind w:firstLine="284"/>
        <w:rPr>
          <w:rFonts w:ascii="Garamond" w:eastAsia="SimSun" w:hAnsi="Garamond" w:cs="Calibri Light"/>
          <w:sz w:val="24"/>
          <w:szCs w:val="24"/>
          <w:lang w:eastAsia="en-US"/>
        </w:rPr>
      </w:pPr>
      <w:r w:rsidRPr="00622884">
        <w:rPr>
          <w:rFonts w:ascii="Garamond" w:eastAsia="SimSun" w:hAnsi="Garamond" w:cs="Calibri Light"/>
          <w:sz w:val="24"/>
          <w:szCs w:val="24"/>
          <w:lang w:eastAsia="en-US" w:bidi="sq-AL"/>
        </w:rPr>
        <w:lastRenderedPageBreak/>
        <w:t>Ekonomia është e ndjeshme ndaj kushteve të pafavorshme të vazhdueshme të motit</w:t>
      </w:r>
      <w:r w:rsidRPr="00622884">
        <w:rPr>
          <w:rFonts w:ascii="Garamond" w:eastAsia="SimSun" w:hAnsi="Garamond" w:cs="Calibri Light"/>
          <w:sz w:val="24"/>
          <w:szCs w:val="24"/>
          <w:vertAlign w:val="superscript"/>
          <w:lang w:eastAsia="en-US" w:bidi="sq-AL"/>
        </w:rPr>
        <w:footnoteReference w:id="136"/>
      </w:r>
      <w:r w:rsidRPr="00622884">
        <w:rPr>
          <w:rFonts w:ascii="Garamond" w:eastAsia="SimSun" w:hAnsi="Garamond" w:cs="Calibri Light"/>
          <w:sz w:val="24"/>
          <w:szCs w:val="24"/>
          <w:lang w:eastAsia="en-US" w:bidi="sq-AL"/>
        </w:rPr>
        <w:t>, të cilat mund të ndikojnë veçanërisht te grupet e margjinalizuara dhe familjet me të ardhura të ulëta, që shpenzojnë një pjesë më të madhe të të ardhurave të tyre për produkte të domosdoshme. Kjo situatë mund të përkeqësojë pasigurinë ushqimore dhe të thellojë pabarazitë ekzistuese për gratë, të moshuarit dhe komunitetet rurale e bregdetare. Ekzistojnë pabarazi të dukshme gjinore në punësim ndërmjet grave dhe burrave: në nivel kombëtar, gratë janë më pak të punësuara se burrat, përkatësisht 52,8% kundrejt 67,7% në vitin 2023</w:t>
      </w:r>
      <w:r w:rsidRPr="00622884">
        <w:rPr>
          <w:rFonts w:ascii="Garamond" w:eastAsia="SimSun" w:hAnsi="Garamond" w:cs="Calibri Light"/>
          <w:sz w:val="24"/>
          <w:szCs w:val="24"/>
          <w:vertAlign w:val="superscript"/>
          <w:lang w:eastAsia="en-US" w:bidi="sq-AL"/>
        </w:rPr>
        <w:footnoteReference w:id="137"/>
      </w:r>
      <w:r w:rsidRPr="00622884">
        <w:rPr>
          <w:rFonts w:ascii="Garamond" w:eastAsia="SimSun" w:hAnsi="Garamond" w:cs="Calibri Light"/>
          <w:sz w:val="24"/>
          <w:szCs w:val="24"/>
          <w:lang w:eastAsia="en-US" w:bidi="sq-AL"/>
        </w:rPr>
        <w:t>. Në bujqësi, më shumë gra janë të punësuara (40,1% e fuqisë punëtore femërore të përgjithshme) krahasuar me burrat (28,7% e fuqisë punëtore mashkullore të përgjithshme), ndryshe nga shumica e sektorëve të tjerë ku mbizotërojnë burrat, përfshirë ndërtimin (13,5% burra kundrejt 0,6% gra) dhe energjinë/shërbimet komunale (4,3% burra kundrejt 0,9% gra)</w:t>
      </w:r>
      <w:r w:rsidRPr="00622884">
        <w:rPr>
          <w:rFonts w:ascii="Garamond" w:eastAsia="SimSun" w:hAnsi="Garamond" w:cs="Calibri Light"/>
          <w:sz w:val="24"/>
          <w:szCs w:val="24"/>
          <w:vertAlign w:val="superscript"/>
          <w:lang w:eastAsia="en-US" w:bidi="sq-AL"/>
        </w:rPr>
        <w:footnoteReference w:id="138"/>
      </w:r>
      <w:r w:rsidRPr="00622884">
        <w:rPr>
          <w:rFonts w:ascii="Garamond" w:eastAsia="SimSun" w:hAnsi="Garamond" w:cs="Calibri Light"/>
          <w:sz w:val="24"/>
          <w:szCs w:val="24"/>
          <w:lang w:eastAsia="en-US" w:bidi="sq-AL"/>
        </w:rPr>
        <w:t>.</w:t>
      </w:r>
    </w:p>
    <w:p w14:paraId="5000D54C" w14:textId="77777777" w:rsidR="00622884" w:rsidRPr="00622884" w:rsidRDefault="00622884" w:rsidP="00622884">
      <w:pPr>
        <w:tabs>
          <w:tab w:val="left" w:pos="5325"/>
        </w:tabs>
        <w:spacing w:after="0" w:line="240" w:lineRule="auto"/>
        <w:ind w:firstLine="284"/>
        <w:rPr>
          <w:rFonts w:ascii="Garamond" w:eastAsia="Calibri" w:hAnsi="Garamond" w:cs="Times New Roman"/>
          <w:b/>
          <w:sz w:val="24"/>
          <w:szCs w:val="24"/>
          <w:lang w:eastAsia="en-US"/>
        </w:rPr>
      </w:pPr>
      <w:bookmarkStart w:id="224" w:name="_Toc213936226"/>
      <w:r w:rsidRPr="00622884">
        <w:rPr>
          <w:rFonts w:ascii="Garamond" w:eastAsia="Calibri" w:hAnsi="Garamond" w:cs="Times New Roman"/>
          <w:b/>
          <w:sz w:val="24"/>
          <w:szCs w:val="24"/>
          <w:lang w:eastAsia="en-US" w:bidi="sq-AL"/>
        </w:rPr>
        <w:t>3.3 Konteksti dhe perspektiva socio-ekonomike sektoriale</w:t>
      </w:r>
      <w:bookmarkEnd w:id="224"/>
      <w:r w:rsidRPr="00622884">
        <w:rPr>
          <w:rFonts w:ascii="Garamond" w:eastAsia="Calibri" w:hAnsi="Garamond" w:cs="Times New Roman"/>
          <w:b/>
          <w:sz w:val="24"/>
          <w:szCs w:val="24"/>
          <w:lang w:eastAsia="en-US" w:bidi="sq-AL"/>
        </w:rPr>
        <w:t xml:space="preserve"> </w:t>
      </w:r>
    </w:p>
    <w:p w14:paraId="4B039515" w14:textId="77777777" w:rsidR="00622884" w:rsidRPr="00622884" w:rsidRDefault="00622884" w:rsidP="00622884">
      <w:pPr>
        <w:spacing w:after="0" w:line="240" w:lineRule="auto"/>
        <w:ind w:firstLine="284"/>
        <w:rPr>
          <w:rFonts w:ascii="Garamond" w:eastAsia="SimSun" w:hAnsi="Garamond" w:cs="Calibri Light"/>
          <w:sz w:val="24"/>
          <w:szCs w:val="24"/>
          <w:lang w:eastAsia="en-US"/>
        </w:rPr>
      </w:pPr>
      <w:r w:rsidRPr="00622884">
        <w:rPr>
          <w:rFonts w:ascii="Garamond" w:eastAsia="SimSun" w:hAnsi="Garamond" w:cs="Calibri Light"/>
          <w:sz w:val="24"/>
          <w:szCs w:val="24"/>
          <w:lang w:eastAsia="en-US" w:bidi="sq-AL"/>
        </w:rPr>
        <w:t>Kjo pjesë paraqet situatën aktuale, vizionin, ecurinë e kohëve të fundit dhe sfidat për sektorët kryesorë ekonomikë në Shqipëri, me një referencë të veçantë për 5 sektorët prioritarë të NAP-it</w:t>
      </w:r>
      <w:r w:rsidRPr="00622884">
        <w:rPr>
          <w:rFonts w:ascii="Garamond" w:eastAsia="SimSun" w:hAnsi="Garamond" w:cs="Calibri Light"/>
          <w:sz w:val="24"/>
          <w:szCs w:val="24"/>
          <w:vertAlign w:val="superscript"/>
          <w:lang w:eastAsia="en-US" w:bidi="sq-AL"/>
        </w:rPr>
        <w:footnoteReference w:id="139"/>
      </w:r>
      <w:r w:rsidRPr="00622884">
        <w:rPr>
          <w:rFonts w:ascii="Garamond" w:eastAsia="SimSun" w:hAnsi="Garamond" w:cs="Calibri Light"/>
          <w:sz w:val="24"/>
          <w:szCs w:val="24"/>
          <w:lang w:eastAsia="en-US" w:bidi="sq-AL"/>
        </w:rPr>
        <w:t>. Ajo bazohet në analizën sektoriale të kryer në kuadër të projektit të NAP-it të UNDP-së dhe krahasohet me vizionin sektorial qeveritar të dhënë në SKZHIE III, 2022</w:t>
      </w:r>
      <w:r w:rsidRPr="00622884">
        <w:rPr>
          <w:rFonts w:ascii="Garamond" w:eastAsia="SimSun" w:hAnsi="Garamond" w:cs="Times New Roman"/>
          <w:color w:val="1D3C5A"/>
          <w:sz w:val="24"/>
          <w:szCs w:val="24"/>
          <w:lang w:eastAsia="en-US"/>
        </w:rPr>
        <w:t>–</w:t>
      </w:r>
      <w:r w:rsidRPr="00622884">
        <w:rPr>
          <w:rFonts w:ascii="Garamond" w:eastAsia="SimSun" w:hAnsi="Garamond" w:cs="Calibri Light"/>
          <w:sz w:val="24"/>
          <w:szCs w:val="24"/>
          <w:lang w:eastAsia="en-US" w:bidi="sq-AL"/>
        </w:rPr>
        <w:t>2030. Përveç sfidave ekonomike konkrete, këta sektorë përballen, gjithashtu, me risqe dhe sfida specifike të lidhura me ndryshimet klimatike, të cilat janë trajtuar më hollësisht në kapitullin 9 për 5 sektorët prioritarë të NAP-it.</w:t>
      </w:r>
    </w:p>
    <w:p w14:paraId="637B239D" w14:textId="77777777" w:rsidR="00622884" w:rsidRPr="00622884" w:rsidRDefault="00622884" w:rsidP="00622884">
      <w:pPr>
        <w:keepNext/>
        <w:spacing w:after="0" w:line="240" w:lineRule="auto"/>
        <w:ind w:firstLine="284"/>
        <w:mirrorIndents/>
        <w:rPr>
          <w:rFonts w:ascii="Garamond" w:eastAsia="Calibri Light" w:hAnsi="Garamond" w:cs="Calibri Light"/>
          <w:b/>
          <w:bCs/>
          <w:iCs/>
          <w:sz w:val="24"/>
          <w:szCs w:val="24"/>
          <w:lang w:eastAsia="en-US"/>
        </w:rPr>
      </w:pPr>
      <w:r w:rsidRPr="00622884">
        <w:rPr>
          <w:rFonts w:ascii="Garamond" w:eastAsia="Calibri Light" w:hAnsi="Garamond" w:cs="Calibri Light"/>
          <w:b/>
          <w:bCs/>
          <w:iCs/>
          <w:sz w:val="24"/>
          <w:szCs w:val="24"/>
          <w:lang w:eastAsia="en-US" w:bidi="sq-AL"/>
        </w:rPr>
        <w:t>Bujqësia dhe pylltaria</w:t>
      </w:r>
    </w:p>
    <w:p w14:paraId="061227D6" w14:textId="77777777" w:rsidR="00622884" w:rsidRPr="00622884" w:rsidRDefault="00622884" w:rsidP="00622884">
      <w:pPr>
        <w:spacing w:after="0" w:line="240" w:lineRule="auto"/>
        <w:ind w:firstLine="284"/>
        <w:rPr>
          <w:rFonts w:ascii="Garamond" w:eastAsia="SimSun" w:hAnsi="Garamond" w:cs="Calibri Light"/>
          <w:sz w:val="24"/>
          <w:szCs w:val="24"/>
          <w:lang w:eastAsia="en-US"/>
        </w:rPr>
      </w:pPr>
      <w:r w:rsidRPr="00622884">
        <w:rPr>
          <w:rFonts w:ascii="Garamond" w:eastAsia="SimSun" w:hAnsi="Garamond" w:cs="Calibri Light"/>
          <w:b/>
          <w:sz w:val="24"/>
          <w:szCs w:val="24"/>
          <w:lang w:eastAsia="en-US" w:bidi="sq-AL"/>
        </w:rPr>
        <w:t>Bujqësia</w:t>
      </w:r>
      <w:r w:rsidRPr="00622884">
        <w:rPr>
          <w:rFonts w:ascii="Garamond" w:eastAsia="SimSun" w:hAnsi="Garamond" w:cs="Calibri Light"/>
          <w:sz w:val="24"/>
          <w:szCs w:val="24"/>
          <w:lang w:eastAsia="en-US" w:bidi="sq-AL"/>
        </w:rPr>
        <w:t>, përfshirë blegtorinë, mbetet një sektor jetik në Shqipëri, duke punësuar gati 34% të fuqisë punëtore dhe duke kontribuar me 16,9% në PBB në vitin 2022</w:t>
      </w:r>
      <w:r w:rsidRPr="00622884">
        <w:rPr>
          <w:rFonts w:ascii="Garamond" w:eastAsia="SimSun" w:hAnsi="Garamond" w:cs="Calibri Light"/>
          <w:sz w:val="24"/>
          <w:szCs w:val="24"/>
          <w:vertAlign w:val="superscript"/>
          <w:lang w:eastAsia="en-US" w:bidi="sq-AL"/>
        </w:rPr>
        <w:footnoteReference w:id="140"/>
      </w:r>
      <w:r w:rsidRPr="00622884">
        <w:rPr>
          <w:rFonts w:ascii="Garamond" w:eastAsia="SimSun" w:hAnsi="Garamond" w:cs="Calibri Light"/>
          <w:sz w:val="24"/>
          <w:szCs w:val="24"/>
          <w:lang w:eastAsia="en-US" w:bidi="sq-AL"/>
        </w:rPr>
        <w:t>. Shqipëria ka 696,000 hektarë tokë bujqësore, të ndarë në katër zona agro-ekologjike (ZAE): ultësirat, kodrat e ndërmjetme, malet veriore dhe qendrore dhe malësitë jugore. Prodhimi i kulturave bujqësore është përqendruar kryesisht në ultësira, me prani të kufizuar në zonat e tjera agro-ekologjike. Shpërndarja e blegtorisë ndryshon sipas rajoneve: gjedhët dhe kuajt gjenden në të katër ZAE-të, ndërsa mbarështimi i derrave dhe shpendëve është i përqendruar në ultësira dhe në zonën kodrinore të ndërmjetme. Sektori përbëhet kryesisht nga ferma të vogla familjare (85%), me një madhësi mesatare prej 1,2 hektarësh. Kërkesa kombëtare dhe ndërkombëtare për produkte bujqësore, blegtorale dhe pyjore pritet të vazhdojë të rritet, me kusht që të realizohen investime të rëndësishme në ujitje, kullim dhe mbrojtje nga përmbytjet (lumore dhe detare) dhe të plotësohet kërkesa në rritje për ujë</w:t>
      </w:r>
      <w:r w:rsidRPr="00622884">
        <w:rPr>
          <w:rFonts w:ascii="Garamond" w:eastAsia="SimSun" w:hAnsi="Garamond" w:cs="Calibri Light"/>
          <w:sz w:val="24"/>
          <w:szCs w:val="24"/>
          <w:vertAlign w:val="superscript"/>
          <w:lang w:eastAsia="en-US" w:bidi="sq-AL"/>
        </w:rPr>
        <w:footnoteReference w:id="141"/>
      </w:r>
      <w:r w:rsidRPr="00622884">
        <w:rPr>
          <w:rFonts w:ascii="Garamond" w:eastAsia="SimSun" w:hAnsi="Garamond" w:cs="Calibri Light"/>
          <w:sz w:val="24"/>
          <w:szCs w:val="24"/>
          <w:lang w:eastAsia="en-US" w:bidi="sq-AL"/>
        </w:rPr>
        <w:t xml:space="preserve">. Madhësia e vogël e fermave, fragmentimi i tokës dhe të drejtat e paqarta të pronësisë mbeten sfidat kryesore të sektorit. Ndryshimet klimatike rrezikojnë prodhimtarinë bujqësore për shkak të rritjes së shpeshtësisë së ngjarjeve ekstreme të motit, thatësirave dhe përmbytjeve (shihni kapitullin </w:t>
      </w:r>
      <w:r w:rsidRPr="00622884">
        <w:rPr>
          <w:rFonts w:ascii="Garamond" w:eastAsia="SimSun" w:hAnsi="Garamond" w:cs="Calibri Light"/>
          <w:sz w:val="24"/>
          <w:szCs w:val="24"/>
          <w:lang w:eastAsia="en-US" w:bidi="sq-AL"/>
        </w:rPr>
        <w:fldChar w:fldCharType="begin"/>
      </w:r>
      <w:r w:rsidRPr="00622884">
        <w:rPr>
          <w:rFonts w:ascii="Garamond" w:eastAsia="SimSun" w:hAnsi="Garamond" w:cs="Calibri Light"/>
          <w:sz w:val="24"/>
          <w:szCs w:val="24"/>
          <w:lang w:eastAsia="en-US" w:bidi="sq-AL"/>
        </w:rPr>
        <w:instrText xml:space="preserve"> REF _Ref210991552 \r  \* MERGEFORMAT </w:instrText>
      </w:r>
      <w:r w:rsidRPr="00622884">
        <w:rPr>
          <w:rFonts w:ascii="Garamond" w:eastAsia="SimSun" w:hAnsi="Garamond" w:cs="Calibri Light"/>
          <w:sz w:val="24"/>
          <w:szCs w:val="24"/>
          <w:lang w:eastAsia="en-US" w:bidi="sq-AL"/>
        </w:rPr>
        <w:fldChar w:fldCharType="separate"/>
      </w:r>
      <w:r w:rsidRPr="00622884">
        <w:rPr>
          <w:rFonts w:ascii="Garamond" w:eastAsia="SimSun" w:hAnsi="Garamond" w:cs="Calibri Light"/>
          <w:sz w:val="24"/>
          <w:szCs w:val="24"/>
          <w:lang w:eastAsia="en-US" w:bidi="sq-AL"/>
        </w:rPr>
        <w:t>4</w:t>
      </w:r>
      <w:r w:rsidRPr="00622884">
        <w:rPr>
          <w:rFonts w:ascii="Garamond" w:eastAsia="SimSun" w:hAnsi="Garamond" w:cs="Calibri Light"/>
          <w:sz w:val="24"/>
          <w:szCs w:val="24"/>
          <w:lang w:eastAsia="en-US" w:bidi="sq-AL"/>
        </w:rPr>
        <w:fldChar w:fldCharType="end"/>
      </w:r>
      <w:r w:rsidRPr="00622884">
        <w:rPr>
          <w:rFonts w:ascii="Garamond" w:eastAsia="SimSun" w:hAnsi="Garamond" w:cs="Calibri Light"/>
          <w:sz w:val="24"/>
          <w:szCs w:val="24"/>
          <w:lang w:eastAsia="en-US" w:bidi="sq-AL"/>
        </w:rPr>
        <w:t xml:space="preserve"> dhe kapitullin </w:t>
      </w:r>
      <w:r w:rsidRPr="00622884">
        <w:rPr>
          <w:rFonts w:ascii="Garamond" w:eastAsia="SimSun" w:hAnsi="Garamond" w:cs="Calibri Light"/>
          <w:sz w:val="24"/>
          <w:szCs w:val="24"/>
          <w:lang w:eastAsia="en-US" w:bidi="sq-AL"/>
        </w:rPr>
        <w:fldChar w:fldCharType="begin"/>
      </w:r>
      <w:r w:rsidRPr="00622884">
        <w:rPr>
          <w:rFonts w:ascii="Garamond" w:eastAsia="SimSun" w:hAnsi="Garamond" w:cs="Calibri Light"/>
          <w:sz w:val="24"/>
          <w:szCs w:val="24"/>
          <w:lang w:eastAsia="en-US" w:bidi="sq-AL"/>
        </w:rPr>
        <w:instrText xml:space="preserve"> REF _Ref210991569 \r  \* MERGEFORMAT </w:instrText>
      </w:r>
      <w:r w:rsidRPr="00622884">
        <w:rPr>
          <w:rFonts w:ascii="Garamond" w:eastAsia="SimSun" w:hAnsi="Garamond" w:cs="Calibri Light"/>
          <w:sz w:val="24"/>
          <w:szCs w:val="24"/>
          <w:lang w:eastAsia="en-US" w:bidi="sq-AL"/>
        </w:rPr>
        <w:fldChar w:fldCharType="separate"/>
      </w:r>
      <w:r w:rsidRPr="00622884">
        <w:rPr>
          <w:rFonts w:ascii="Garamond" w:eastAsia="SimSun" w:hAnsi="Garamond" w:cs="Calibri Light"/>
          <w:sz w:val="24"/>
          <w:szCs w:val="24"/>
          <w:lang w:eastAsia="en-US" w:bidi="sq-AL"/>
        </w:rPr>
        <w:t>5</w:t>
      </w:r>
      <w:r w:rsidRPr="00622884">
        <w:rPr>
          <w:rFonts w:ascii="Garamond" w:eastAsia="SimSun" w:hAnsi="Garamond" w:cs="Calibri Light"/>
          <w:sz w:val="24"/>
          <w:szCs w:val="24"/>
          <w:lang w:eastAsia="en-US" w:bidi="sq-AL"/>
        </w:rPr>
        <w:fldChar w:fldCharType="end"/>
      </w:r>
      <w:r w:rsidRPr="00622884">
        <w:rPr>
          <w:rFonts w:ascii="Garamond" w:eastAsia="SimSun" w:hAnsi="Garamond" w:cs="Calibri Light"/>
          <w:sz w:val="24"/>
          <w:szCs w:val="24"/>
          <w:lang w:eastAsia="en-US" w:bidi="sq-AL"/>
        </w:rPr>
        <w:t xml:space="preserve"> për masat e identifikuara të përshtatjes). </w:t>
      </w:r>
    </w:p>
    <w:p w14:paraId="018F0281" w14:textId="77777777" w:rsidR="00622884" w:rsidRPr="00622884" w:rsidRDefault="00622884" w:rsidP="00622884">
      <w:pPr>
        <w:spacing w:after="0" w:line="240" w:lineRule="auto"/>
        <w:ind w:firstLine="284"/>
        <w:rPr>
          <w:rFonts w:ascii="Garamond" w:eastAsia="SimSun" w:hAnsi="Garamond" w:cs="Calibri Light"/>
          <w:sz w:val="24"/>
          <w:szCs w:val="24"/>
          <w:lang w:eastAsia="en-US"/>
        </w:rPr>
      </w:pPr>
      <w:r w:rsidRPr="00622884">
        <w:rPr>
          <w:rFonts w:ascii="Garamond" w:eastAsia="SimSun" w:hAnsi="Garamond" w:cs="Calibri Light"/>
          <w:b/>
          <w:sz w:val="24"/>
          <w:szCs w:val="24"/>
          <w:lang w:eastAsia="en-US" w:bidi="sq-AL"/>
        </w:rPr>
        <w:t>Pyjet</w:t>
      </w:r>
      <w:r w:rsidRPr="00622884">
        <w:rPr>
          <w:rFonts w:ascii="Garamond" w:eastAsia="SimSun" w:hAnsi="Garamond" w:cs="Calibri Light"/>
          <w:sz w:val="24"/>
          <w:szCs w:val="24"/>
          <w:lang w:eastAsia="en-US" w:bidi="sq-AL"/>
        </w:rPr>
        <w:t xml:space="preserve"> mbulojnë rreth 39% të sipërfaqes së territorit të Shqipërisë dhe përbëjnë një burim thelbësor të druve të zjarrit për familjet rurale. Megjithatë, sipërfaqja pyjore është ulur nga 1,385 milionë hektarë në vitin 1938 në 1,051 milionë hektarë në vitin 2018. Sektori i pylltarisë përballet </w:t>
      </w:r>
      <w:r w:rsidRPr="00622884">
        <w:rPr>
          <w:rFonts w:ascii="Garamond" w:eastAsia="SimSun" w:hAnsi="Garamond" w:cs="Calibri Light"/>
          <w:sz w:val="24"/>
          <w:szCs w:val="24"/>
          <w:lang w:eastAsia="en-US" w:bidi="sq-AL"/>
        </w:rPr>
        <w:lastRenderedPageBreak/>
        <w:t>me sfida të konsiderueshme klimatike, ku përfshihet rritja e shpeshtësisë së zjarreve në pyje, ndryshimi i shpërndarjes së llojeve dhe përhapjet e dëmtuesve dhe sëmundjeve. Gjatë periudhës 2007–2019, janë djegur rreth 337.800 hektarë pyje, që përfaqësojnë 33% të sipërfaqes pyjore kombëtare. Prerja e jashtëligjshme dhe menaxhimi i pamjaftueshëm i pyjeve e thellojnë më tej këtë cenueshmëri, duke dobësuar aftësinë ripërtëritëse të ekosistemeve pyjore ndaj ndryshimeve klimatike. Për këtë arsye, forcimi i kapaciteteve për menaxhimin e qëndrueshëm të pyjeve, përmirësimi i përpjekjeve për ripyllëzime dhe integrimi i menaxhimit të zjarreve në peizazh janë thelbësore për sektorin. MZP-ja është një qasje përshtatëse gjithëpërfshirëse dhe proaktive që lidh parandalimin, gatishmërinë, reagimin dhe restaurimin pas zjarrit me menaxhimin e qëndrueshëm të pyjeve, kullotave, zonave të mbrojtura dhe përdorimin e tokës, me qëllim zvogëlimin e kushteve që favorizojnë ndezjen dhe përhapjen e zjarreve dhe forcimin afatgjatë të qëndrueshmërisë së burimeve pyjore dhe zbutjen e ndikimeve të ndryshimeve klimatike. Forcimi i kapaciteteve për menaxhimin e pyjeve dhe përmirësimi i përpjekjeve për ripyllëzim janë thelbësore për zbutjen e ndikimeve të ndryshimeve klimatike dhe për sigurimin e qëndrueshmërisë së burimeve pyjore.</w:t>
      </w:r>
    </w:p>
    <w:p w14:paraId="665FC675" w14:textId="77777777" w:rsidR="00622884" w:rsidRPr="00622884" w:rsidRDefault="00622884" w:rsidP="00622884">
      <w:pPr>
        <w:keepNext/>
        <w:spacing w:after="0" w:line="240" w:lineRule="auto"/>
        <w:ind w:firstLine="284"/>
        <w:mirrorIndents/>
        <w:rPr>
          <w:rFonts w:ascii="Garamond" w:eastAsia="Calibri Light" w:hAnsi="Garamond" w:cs="Calibri Light"/>
          <w:b/>
          <w:bCs/>
          <w:iCs/>
          <w:sz w:val="24"/>
          <w:szCs w:val="24"/>
          <w:lang w:eastAsia="en-US"/>
        </w:rPr>
      </w:pPr>
      <w:r w:rsidRPr="00622884">
        <w:rPr>
          <w:rFonts w:ascii="Garamond" w:eastAsia="Calibri Light" w:hAnsi="Garamond" w:cs="Calibri Light"/>
          <w:b/>
          <w:bCs/>
          <w:iCs/>
          <w:sz w:val="24"/>
          <w:szCs w:val="24"/>
          <w:lang w:eastAsia="en-US" w:bidi="sq-AL"/>
        </w:rPr>
        <w:t>Turizmi</w:t>
      </w:r>
    </w:p>
    <w:p w14:paraId="034D6E2B" w14:textId="77777777" w:rsidR="00622884" w:rsidRPr="00622884" w:rsidRDefault="00622884" w:rsidP="00622884">
      <w:pPr>
        <w:spacing w:after="0" w:line="240" w:lineRule="auto"/>
        <w:ind w:firstLine="284"/>
        <w:rPr>
          <w:rFonts w:ascii="Garamond" w:eastAsia="Calibri" w:hAnsi="Garamond" w:cs="Calibri Light"/>
          <w:sz w:val="24"/>
          <w:szCs w:val="24"/>
          <w:lang w:eastAsia="en-US"/>
        </w:rPr>
      </w:pPr>
      <w:r w:rsidRPr="00622884">
        <w:rPr>
          <w:rFonts w:ascii="Garamond" w:eastAsia="SimSun" w:hAnsi="Garamond" w:cs="Calibri Light"/>
          <w:noProof/>
          <w:color w:val="1D3C5A"/>
          <w:sz w:val="24"/>
          <w:szCs w:val="24"/>
          <w:lang w:eastAsia="en-US" w:bidi="sq-AL"/>
        </w:rPr>
        <w:t xml:space="preserve">Turizmi është një shtyllë kryesore e ekonomisë shqiptare, duke kontribuar me gati 25% të PBB-së në vitin 2024 dhe duke punësuar 20% të fuqisë punëtore në Shqipëri. Sektori ka shfaqur një rimëkëmbje të jashtëzakonshme pas pandemisë, me rritjen e numrit të turistëve me 56% në vitin 2023 dhe me një rritje shtesë prej 15% në vitin 2024, duke arritur në 11,7 milionë vizitorë. Turizmi bregdetar mbetet forca kryesore e industrisë, por turizmi natyror dhe ai rural po bëhen gjithnjë e më të parapëlqyer. Turizmi do të promovohet më tej nëpërmjet ndërtimit të infrastrukturave të reja të rëndësishme turistike, kryesisht në zonat bregdetare. Megjithatë, turizmi është shumë i ndjeshëm ndaj ndikimeve të ndryshimeve klimatike, përfshirë rritjen e nivelit të detit, erozionin bregdetar dhe ngjarjet ekstreme të motit, siç përshkruhet më tej në kapitullin </w:t>
      </w:r>
      <w:r w:rsidRPr="00622884">
        <w:rPr>
          <w:rFonts w:ascii="Garamond" w:eastAsia="SimSun" w:hAnsi="Garamond" w:cs="Calibri Light"/>
          <w:noProof/>
          <w:color w:val="1D3C5A"/>
          <w:sz w:val="24"/>
          <w:szCs w:val="24"/>
          <w:lang w:eastAsia="en-US" w:bidi="sq-AL"/>
        </w:rPr>
        <w:fldChar w:fldCharType="begin"/>
      </w:r>
      <w:r w:rsidRPr="00622884">
        <w:rPr>
          <w:rFonts w:ascii="Garamond" w:eastAsia="SimSun" w:hAnsi="Garamond" w:cs="Calibri Light"/>
          <w:noProof/>
          <w:color w:val="1D3C5A"/>
          <w:sz w:val="24"/>
          <w:szCs w:val="24"/>
          <w:lang w:eastAsia="en-US" w:bidi="sq-AL"/>
        </w:rPr>
        <w:instrText xml:space="preserve"> REF _Ref210991945 \r  \* MERGEFORMAT </w:instrText>
      </w:r>
      <w:r w:rsidRPr="00622884">
        <w:rPr>
          <w:rFonts w:ascii="Garamond" w:eastAsia="SimSun" w:hAnsi="Garamond" w:cs="Calibri Light"/>
          <w:noProof/>
          <w:color w:val="1D3C5A"/>
          <w:sz w:val="24"/>
          <w:szCs w:val="24"/>
          <w:lang w:eastAsia="en-US" w:bidi="sq-AL"/>
        </w:rPr>
        <w:fldChar w:fldCharType="separate"/>
      </w:r>
      <w:r w:rsidRPr="00622884">
        <w:rPr>
          <w:rFonts w:ascii="Garamond" w:eastAsia="SimSun" w:hAnsi="Garamond" w:cs="Calibri Light"/>
          <w:noProof/>
          <w:color w:val="1D3C5A"/>
          <w:sz w:val="24"/>
          <w:szCs w:val="24"/>
          <w:lang w:eastAsia="en-US" w:bidi="sq-AL"/>
        </w:rPr>
        <w:t>4</w:t>
      </w:r>
      <w:r w:rsidRPr="00622884">
        <w:rPr>
          <w:rFonts w:ascii="Garamond" w:eastAsia="SimSun" w:hAnsi="Garamond" w:cs="Calibri Light"/>
          <w:noProof/>
          <w:color w:val="1D3C5A"/>
          <w:sz w:val="24"/>
          <w:szCs w:val="24"/>
          <w:lang w:eastAsia="en-US" w:bidi="sq-AL"/>
        </w:rPr>
        <w:fldChar w:fldCharType="end"/>
      </w:r>
      <w:r w:rsidRPr="00622884">
        <w:rPr>
          <w:rFonts w:ascii="Garamond" w:eastAsia="SimSun" w:hAnsi="Garamond" w:cs="Calibri Light"/>
          <w:noProof/>
          <w:color w:val="1D3C5A"/>
          <w:sz w:val="24"/>
          <w:szCs w:val="24"/>
          <w:lang w:eastAsia="en-US" w:bidi="sq-AL"/>
        </w:rPr>
        <w:t>. Përshtatja e industrisë së turizmit ndaj ndryshimeve klimatike kërkon diversifikimin e produkteve turistike (p.sh. turizëm kulturor dhe eko-turizëm) dhe përmirësimin e infrastrukturës së qëndrueshme ndaj klimës (shihni kapitullin 5 për masat e identifikuara dhe të prioritizuara të përshtatjes në turizëm).</w:t>
      </w:r>
    </w:p>
    <w:p w14:paraId="4C8829A2" w14:textId="77777777" w:rsidR="00622884" w:rsidRPr="00622884" w:rsidRDefault="00622884" w:rsidP="00622884">
      <w:pPr>
        <w:keepNext/>
        <w:spacing w:after="0" w:line="240" w:lineRule="auto"/>
        <w:ind w:firstLine="284"/>
        <w:mirrorIndents/>
        <w:rPr>
          <w:rFonts w:ascii="Garamond" w:eastAsia="Calibri Light" w:hAnsi="Garamond" w:cs="Calibri Light"/>
          <w:b/>
          <w:bCs/>
          <w:iCs/>
          <w:sz w:val="24"/>
          <w:szCs w:val="24"/>
          <w:lang w:eastAsia="en-US"/>
        </w:rPr>
      </w:pPr>
      <w:r w:rsidRPr="00622884">
        <w:rPr>
          <w:rFonts w:ascii="Garamond" w:eastAsia="Calibri Light" w:hAnsi="Garamond" w:cs="Calibri Light"/>
          <w:b/>
          <w:bCs/>
          <w:iCs/>
          <w:sz w:val="24"/>
          <w:szCs w:val="24"/>
          <w:lang w:eastAsia="en-US" w:bidi="sq-AL"/>
        </w:rPr>
        <w:t>Energjia</w:t>
      </w:r>
    </w:p>
    <w:p w14:paraId="1EB206AB" w14:textId="77777777" w:rsidR="00622884" w:rsidRPr="00622884" w:rsidRDefault="00622884" w:rsidP="00622884">
      <w:pPr>
        <w:spacing w:after="0" w:line="240" w:lineRule="auto"/>
        <w:ind w:firstLine="284"/>
        <w:rPr>
          <w:rFonts w:ascii="Garamond" w:eastAsia="SimSun" w:hAnsi="Garamond" w:cs="Calibri Light"/>
          <w:sz w:val="24"/>
          <w:szCs w:val="24"/>
          <w:lang w:eastAsia="en-US"/>
        </w:rPr>
      </w:pPr>
      <w:bookmarkStart w:id="225" w:name="_Hlk210979457"/>
      <w:r w:rsidRPr="00622884">
        <w:rPr>
          <w:rFonts w:ascii="Garamond" w:eastAsia="SimSun" w:hAnsi="Garamond" w:cs="Calibri Light"/>
          <w:sz w:val="24"/>
          <w:szCs w:val="24"/>
          <w:lang w:eastAsia="en-US" w:bidi="sq-AL"/>
        </w:rPr>
        <w:t xml:space="preserve">Shqipëria zotëron një shpërndarje të gjerë burimesh </w:t>
      </w:r>
      <w:r w:rsidRPr="00622884">
        <w:rPr>
          <w:rFonts w:ascii="Garamond" w:eastAsia="SimSun" w:hAnsi="Garamond" w:cs="Calibri Light"/>
          <w:b/>
          <w:sz w:val="24"/>
          <w:szCs w:val="24"/>
          <w:lang w:eastAsia="en-US" w:bidi="sq-AL"/>
        </w:rPr>
        <w:t>energjetike</w:t>
      </w:r>
      <w:r w:rsidRPr="00622884">
        <w:rPr>
          <w:rFonts w:ascii="Garamond" w:eastAsia="SimSun" w:hAnsi="Garamond" w:cs="Calibri Light"/>
          <w:sz w:val="24"/>
          <w:szCs w:val="24"/>
          <w:lang w:eastAsia="en-US" w:bidi="sq-AL"/>
        </w:rPr>
        <w:t xml:space="preserve">, që përfshijnë naftën dhe gazin, qymyrin, hidroenergjinë, biomasën pyjore natyrore dhe burime të tjera të ripërtëritshme (energji diellore, eolike, gjeotermale). Në vitin 2023, nafta përbënte 43% të furnizimit me energji, e ndjekur nga hidroenergjetika (34%) dhe biokarburantet dhe mbetjet (12,9%). </w:t>
      </w:r>
      <w:bookmarkEnd w:id="225"/>
      <w:r w:rsidRPr="00622884">
        <w:rPr>
          <w:rFonts w:ascii="Garamond" w:eastAsia="SimSun" w:hAnsi="Garamond" w:cs="Calibri Light"/>
          <w:sz w:val="24"/>
          <w:szCs w:val="24"/>
          <w:lang w:eastAsia="en-US" w:bidi="sq-AL"/>
        </w:rPr>
        <w:t xml:space="preserve">Objektivi kombëtar për sigurinë energjetike është të sigurohet furnizim i qëndrueshëm, i sigurt dhe cilësor nga të gjitha sistemet e prodhimit dhe shpërndarjes së energjisë, çka nënkupton se energjia duhet të jetë e disponueshme, e qasshme, e përballueshme dhe e pranueshme në raport me zhvillimin e vendit. Ngjarjet klimatike ekstreme mund ta ndikojnë dhe ta kërcënojnë këtë siguri energjetike nëpërmjet ndërprerjeve në furnizim dhe shpërndarje (shihni, gjithashtu, kapitullin </w:t>
      </w:r>
      <w:r w:rsidRPr="00622884">
        <w:rPr>
          <w:rFonts w:ascii="Garamond" w:eastAsia="SimSun" w:hAnsi="Garamond" w:cs="Calibri Light"/>
          <w:sz w:val="24"/>
          <w:szCs w:val="24"/>
          <w:lang w:eastAsia="en-US" w:bidi="sq-AL"/>
        </w:rPr>
        <w:fldChar w:fldCharType="begin"/>
      </w:r>
      <w:r w:rsidRPr="00622884">
        <w:rPr>
          <w:rFonts w:ascii="Garamond" w:eastAsia="SimSun" w:hAnsi="Garamond" w:cs="Calibri Light"/>
          <w:sz w:val="24"/>
          <w:szCs w:val="24"/>
          <w:lang w:eastAsia="en-US" w:bidi="sq-AL"/>
        </w:rPr>
        <w:instrText xml:space="preserve"> REF _Ref210986112 \r  \* MERGEFORMAT </w:instrText>
      </w:r>
      <w:r w:rsidRPr="00622884">
        <w:rPr>
          <w:rFonts w:ascii="Garamond" w:eastAsia="SimSun" w:hAnsi="Garamond" w:cs="Calibri Light"/>
          <w:sz w:val="24"/>
          <w:szCs w:val="24"/>
          <w:lang w:eastAsia="en-US" w:bidi="sq-AL"/>
        </w:rPr>
        <w:fldChar w:fldCharType="separate"/>
      </w:r>
      <w:r w:rsidRPr="00622884">
        <w:rPr>
          <w:rFonts w:ascii="Garamond" w:eastAsia="SimSun" w:hAnsi="Garamond" w:cs="Calibri Light"/>
          <w:sz w:val="24"/>
          <w:szCs w:val="24"/>
          <w:lang w:eastAsia="en-US" w:bidi="sq-AL"/>
        </w:rPr>
        <w:t>4</w:t>
      </w:r>
      <w:r w:rsidRPr="00622884">
        <w:rPr>
          <w:rFonts w:ascii="Garamond" w:eastAsia="SimSun" w:hAnsi="Garamond" w:cs="Calibri Light"/>
          <w:sz w:val="24"/>
          <w:szCs w:val="24"/>
          <w:lang w:eastAsia="en-US" w:bidi="sq-AL"/>
        </w:rPr>
        <w:fldChar w:fldCharType="end"/>
      </w:r>
      <w:r w:rsidRPr="00622884">
        <w:rPr>
          <w:rFonts w:ascii="Garamond" w:eastAsia="SimSun" w:hAnsi="Garamond" w:cs="Calibri Light"/>
          <w:sz w:val="24"/>
          <w:szCs w:val="24"/>
          <w:lang w:eastAsia="en-US" w:bidi="sq-AL"/>
        </w:rPr>
        <w:t xml:space="preserve"> për detaje), dhe kjo duhet të merret më shumë në konsideratë në politikat dhe strategjitë e ardhshme energjetike.</w:t>
      </w:r>
    </w:p>
    <w:p w14:paraId="2EB69E4C" w14:textId="77777777" w:rsidR="00622884" w:rsidRPr="00622884" w:rsidRDefault="00622884" w:rsidP="00622884">
      <w:pPr>
        <w:keepNext/>
        <w:spacing w:after="0" w:line="240" w:lineRule="auto"/>
        <w:ind w:firstLine="284"/>
        <w:mirrorIndents/>
        <w:rPr>
          <w:rFonts w:ascii="Garamond" w:eastAsia="Calibri Light" w:hAnsi="Garamond" w:cs="Calibri Light"/>
          <w:b/>
          <w:bCs/>
          <w:iCs/>
          <w:sz w:val="24"/>
          <w:szCs w:val="24"/>
          <w:lang w:eastAsia="en-US"/>
        </w:rPr>
      </w:pPr>
      <w:r w:rsidRPr="00622884">
        <w:rPr>
          <w:rFonts w:ascii="Garamond" w:eastAsia="Calibri Light" w:hAnsi="Garamond" w:cs="Calibri Light"/>
          <w:b/>
          <w:bCs/>
          <w:iCs/>
          <w:sz w:val="24"/>
          <w:szCs w:val="24"/>
          <w:lang w:eastAsia="en-US" w:bidi="sq-AL"/>
        </w:rPr>
        <w:t>Transporti</w:t>
      </w:r>
    </w:p>
    <w:p w14:paraId="2EE38AB9" w14:textId="77777777" w:rsidR="00622884" w:rsidRPr="00622884" w:rsidRDefault="00622884" w:rsidP="00622884">
      <w:pPr>
        <w:spacing w:after="0" w:line="240" w:lineRule="auto"/>
        <w:ind w:firstLine="284"/>
        <w:rPr>
          <w:rFonts w:ascii="Garamond" w:eastAsia="SimSun" w:hAnsi="Garamond" w:cs="Calibri Light"/>
          <w:bCs/>
          <w:sz w:val="24"/>
          <w:szCs w:val="24"/>
          <w:lang w:eastAsia="en-US"/>
        </w:rPr>
      </w:pPr>
      <w:r w:rsidRPr="00622884">
        <w:rPr>
          <w:rFonts w:ascii="Garamond" w:eastAsia="SimSun" w:hAnsi="Garamond" w:cs="Calibri Light"/>
          <w:b/>
          <w:sz w:val="24"/>
          <w:szCs w:val="24"/>
          <w:lang w:eastAsia="en-US" w:bidi="sq-AL"/>
        </w:rPr>
        <w:t xml:space="preserve">Sektori i transportit </w:t>
      </w:r>
      <w:r w:rsidRPr="00622884">
        <w:rPr>
          <w:rFonts w:ascii="Garamond" w:eastAsia="SimSun" w:hAnsi="Garamond" w:cs="Calibri Light"/>
          <w:sz w:val="24"/>
          <w:szCs w:val="24"/>
          <w:lang w:eastAsia="en-US" w:bidi="sq-AL"/>
        </w:rPr>
        <w:t xml:space="preserve">në Shqipëri mbështetet kryesisht te rrjeti rrugor, me një gjatësi totale prej 18.000 km, dhe me rritje të ngarkesës së qarkullimit si për mallrat, ashtu edhe për pasagjerët. Vëllimi i qarkullimit rrugor pritet të tejkalojë kapacitetin e sistemit në të ardhmen e afërt, veçanërisht në korridoret e ngarkuara, si Tiranë–Durrës dhe autostrada Adriatiko–Joniane. Trafiku i rënduar tashmë shkakton probleme të konsiderueshme kongjestioni në qytete, si: Tirana, Durrësi, Fieri, Shkodra, etj. Nga ana tjetër, rrjeti hekurudhor mbetet i nënpërdorur, me 200 km nga 416 km të linjës kryesore hekurudhore jashtë funksionit. Transporti detar është mënyra kryesore për transportin e mallrave drejt Shqipërisë dhe jashtë saj, ku 67,6% e eksporteve </w:t>
      </w:r>
      <w:r w:rsidRPr="00622884">
        <w:rPr>
          <w:rFonts w:ascii="Garamond" w:eastAsia="SimSun" w:hAnsi="Garamond" w:cs="Calibri Light"/>
          <w:sz w:val="24"/>
          <w:szCs w:val="24"/>
          <w:lang w:eastAsia="en-US" w:bidi="sq-AL"/>
        </w:rPr>
        <w:lastRenderedPageBreak/>
        <w:t>dhe 51,6% e importeve të mallrave janë transportuar me rrugë detare në vitin 2022. Transporti ajror është rritur me 212% gjatë periudhës 2014</w:t>
      </w:r>
      <w:r w:rsidRPr="00622884">
        <w:rPr>
          <w:rFonts w:ascii="Garamond" w:eastAsia="SimSun" w:hAnsi="Garamond" w:cs="Times New Roman"/>
          <w:color w:val="1D3C5A"/>
          <w:sz w:val="24"/>
          <w:szCs w:val="24"/>
          <w:lang w:eastAsia="en-US"/>
        </w:rPr>
        <w:t>–</w:t>
      </w:r>
      <w:r w:rsidRPr="00622884">
        <w:rPr>
          <w:rFonts w:ascii="Garamond" w:eastAsia="SimSun" w:hAnsi="Garamond" w:cs="Calibri Light"/>
          <w:sz w:val="24"/>
          <w:szCs w:val="24"/>
          <w:lang w:eastAsia="en-US" w:bidi="sq-AL"/>
        </w:rPr>
        <w:t>2022 (duke arritur 39.062 fluturime në vitin 2022), ndërsa numri i pasagjerëve ajrorë është rritur nga rreth 1,m8 milionë në vitin 2010 në rreth 5,2 milionë pasagjerë</w:t>
      </w:r>
      <w:r w:rsidRPr="00622884">
        <w:rPr>
          <w:rFonts w:ascii="Garamond" w:eastAsia="SimSun" w:hAnsi="Garamond" w:cs="Calibri Light"/>
          <w:sz w:val="24"/>
          <w:szCs w:val="24"/>
          <w:vertAlign w:val="superscript"/>
          <w:lang w:eastAsia="en-US" w:bidi="sq-AL"/>
        </w:rPr>
        <w:footnoteReference w:id="142"/>
      </w:r>
      <w:r w:rsidRPr="00622884">
        <w:rPr>
          <w:rFonts w:ascii="Garamond" w:eastAsia="SimSun" w:hAnsi="Garamond" w:cs="Calibri Light"/>
          <w:sz w:val="24"/>
          <w:szCs w:val="24"/>
          <w:lang w:eastAsia="en-US" w:bidi="sq-AL"/>
        </w:rPr>
        <w:t xml:space="preserve">. Ndryshimet klimatike paraqesin rreziqe të konsiderueshme për infrastrukturën e transportit, përfshirë dëmtimet nga ngjarjet ekstreme të motit dhe rritjen e kostove të mirëmbajtjes (shihni më tej kapitullin </w:t>
      </w:r>
      <w:r w:rsidRPr="00622884">
        <w:rPr>
          <w:rFonts w:ascii="Garamond" w:eastAsia="SimSun" w:hAnsi="Garamond" w:cs="Calibri Light"/>
          <w:sz w:val="24"/>
          <w:szCs w:val="24"/>
          <w:lang w:eastAsia="en-US" w:bidi="sq-AL"/>
        </w:rPr>
        <w:fldChar w:fldCharType="begin"/>
      </w:r>
      <w:r w:rsidRPr="00622884">
        <w:rPr>
          <w:rFonts w:ascii="Garamond" w:eastAsia="SimSun" w:hAnsi="Garamond" w:cs="Calibri Light"/>
          <w:sz w:val="24"/>
          <w:szCs w:val="24"/>
          <w:lang w:eastAsia="en-US" w:bidi="sq-AL"/>
        </w:rPr>
        <w:instrText xml:space="preserve"> REF _Ref210991945 \r  \* MERGEFORMAT </w:instrText>
      </w:r>
      <w:r w:rsidRPr="00622884">
        <w:rPr>
          <w:rFonts w:ascii="Garamond" w:eastAsia="SimSun" w:hAnsi="Garamond" w:cs="Calibri Light"/>
          <w:sz w:val="24"/>
          <w:szCs w:val="24"/>
          <w:lang w:eastAsia="en-US" w:bidi="sq-AL"/>
        </w:rPr>
        <w:fldChar w:fldCharType="separate"/>
      </w:r>
      <w:r w:rsidRPr="00622884">
        <w:rPr>
          <w:rFonts w:ascii="Garamond" w:eastAsia="SimSun" w:hAnsi="Garamond" w:cs="Calibri Light"/>
          <w:sz w:val="24"/>
          <w:szCs w:val="24"/>
          <w:lang w:eastAsia="en-US" w:bidi="sq-AL"/>
        </w:rPr>
        <w:t>4</w:t>
      </w:r>
      <w:r w:rsidRPr="00622884">
        <w:rPr>
          <w:rFonts w:ascii="Garamond" w:eastAsia="SimSun" w:hAnsi="Garamond" w:cs="Calibri Light"/>
          <w:sz w:val="24"/>
          <w:szCs w:val="24"/>
          <w:lang w:eastAsia="en-US" w:bidi="sq-AL"/>
        </w:rPr>
        <w:fldChar w:fldCharType="end"/>
      </w:r>
      <w:r w:rsidRPr="00622884">
        <w:rPr>
          <w:rFonts w:ascii="Garamond" w:eastAsia="SimSun" w:hAnsi="Garamond" w:cs="Calibri Light"/>
          <w:sz w:val="24"/>
          <w:szCs w:val="24"/>
          <w:lang w:eastAsia="en-US" w:bidi="sq-AL"/>
        </w:rPr>
        <w:t xml:space="preserve"> për detaje). Zhvillimi i infrastrukturës së qëndrueshme ndaj klimës dhe promovimi i mënyrave të qëndrueshme të transportit do të jenë vendimtare për t’u përshtatur me këto ndikime (shihni kapitullin </w:t>
      </w:r>
      <w:r w:rsidRPr="00622884">
        <w:rPr>
          <w:rFonts w:ascii="Garamond" w:eastAsia="SimSun" w:hAnsi="Garamond" w:cs="Calibri Light"/>
          <w:sz w:val="24"/>
          <w:szCs w:val="24"/>
          <w:lang w:eastAsia="en-US" w:bidi="sq-AL"/>
        </w:rPr>
        <w:fldChar w:fldCharType="begin"/>
      </w:r>
      <w:r w:rsidRPr="00622884">
        <w:rPr>
          <w:rFonts w:ascii="Garamond" w:eastAsia="SimSun" w:hAnsi="Garamond" w:cs="Calibri Light"/>
          <w:sz w:val="24"/>
          <w:szCs w:val="24"/>
          <w:lang w:eastAsia="en-US" w:bidi="sq-AL"/>
        </w:rPr>
        <w:instrText xml:space="preserve"> REF _Ref210992191 \r  \* MERGEFORMAT </w:instrText>
      </w:r>
      <w:r w:rsidRPr="00622884">
        <w:rPr>
          <w:rFonts w:ascii="Garamond" w:eastAsia="SimSun" w:hAnsi="Garamond" w:cs="Calibri Light"/>
          <w:sz w:val="24"/>
          <w:szCs w:val="24"/>
          <w:lang w:eastAsia="en-US" w:bidi="sq-AL"/>
        </w:rPr>
        <w:fldChar w:fldCharType="separate"/>
      </w:r>
      <w:r w:rsidRPr="00622884">
        <w:rPr>
          <w:rFonts w:ascii="Garamond" w:eastAsia="SimSun" w:hAnsi="Garamond" w:cs="Calibri Light"/>
          <w:sz w:val="24"/>
          <w:szCs w:val="24"/>
          <w:lang w:eastAsia="en-US" w:bidi="sq-AL"/>
        </w:rPr>
        <w:t>5</w:t>
      </w:r>
      <w:r w:rsidRPr="00622884">
        <w:rPr>
          <w:rFonts w:ascii="Garamond" w:eastAsia="SimSun" w:hAnsi="Garamond" w:cs="Calibri Light"/>
          <w:sz w:val="24"/>
          <w:szCs w:val="24"/>
          <w:lang w:eastAsia="en-US" w:bidi="sq-AL"/>
        </w:rPr>
        <w:fldChar w:fldCharType="end"/>
      </w:r>
      <w:r w:rsidRPr="00622884">
        <w:rPr>
          <w:rFonts w:ascii="Garamond" w:eastAsia="SimSun" w:hAnsi="Garamond" w:cs="Calibri Light"/>
          <w:sz w:val="24"/>
          <w:szCs w:val="24"/>
          <w:lang w:eastAsia="en-US" w:bidi="sq-AL"/>
        </w:rPr>
        <w:t>).</w:t>
      </w:r>
    </w:p>
    <w:p w14:paraId="6A4DAF20" w14:textId="77777777" w:rsidR="00622884" w:rsidRPr="00622884" w:rsidRDefault="00622884" w:rsidP="00622884">
      <w:pPr>
        <w:keepNext/>
        <w:spacing w:after="0" w:line="240" w:lineRule="auto"/>
        <w:ind w:firstLine="284"/>
        <w:mirrorIndents/>
        <w:rPr>
          <w:rFonts w:ascii="Garamond" w:eastAsia="Calibri Light" w:hAnsi="Garamond" w:cs="Calibri Light"/>
          <w:b/>
          <w:bCs/>
          <w:iCs/>
          <w:sz w:val="24"/>
          <w:szCs w:val="24"/>
          <w:lang w:eastAsia="en-US"/>
        </w:rPr>
      </w:pPr>
      <w:r w:rsidRPr="00622884">
        <w:rPr>
          <w:rFonts w:ascii="Garamond" w:eastAsia="Calibri Light" w:hAnsi="Garamond" w:cs="Calibri Light"/>
          <w:b/>
          <w:bCs/>
          <w:iCs/>
          <w:sz w:val="24"/>
          <w:szCs w:val="24"/>
          <w:lang w:eastAsia="en-US" w:bidi="sq-AL"/>
        </w:rPr>
        <w:t>Zhvillimi urban</w:t>
      </w:r>
    </w:p>
    <w:p w14:paraId="41444940" w14:textId="77777777" w:rsidR="00622884" w:rsidRPr="00622884" w:rsidRDefault="00622884" w:rsidP="00622884">
      <w:pPr>
        <w:spacing w:after="0" w:line="240" w:lineRule="auto"/>
        <w:ind w:firstLine="284"/>
        <w:rPr>
          <w:rFonts w:ascii="Garamond" w:eastAsia="SimSun" w:hAnsi="Garamond" w:cs="Calibri Light"/>
          <w:sz w:val="24"/>
          <w:szCs w:val="24"/>
          <w:lang w:eastAsia="en-US"/>
        </w:rPr>
      </w:pPr>
      <w:r w:rsidRPr="00622884">
        <w:rPr>
          <w:rFonts w:ascii="Garamond" w:eastAsia="SimSun" w:hAnsi="Garamond" w:cs="Calibri Light"/>
          <w:sz w:val="24"/>
          <w:szCs w:val="24"/>
          <w:lang w:eastAsia="en-US" w:bidi="sq-AL"/>
        </w:rPr>
        <w:t xml:space="preserve">Aktualisht, Shqipëria është e ndarë në katër rajone, të karakterizuara nga pabarazi të konsiderueshme rajonale, ekonomike, urbano-rurale, ndërrajonale dhe intrarajonale. Qytetet dhe qendrat urbane luajnë një rol gjithnjë e më të rëndësishëm në mjedisin socio-ekonomik. Rajoni Tiranë–Durrës është më i zhvilluari ekonomikisht, ndërsa rajonet e tjera janë më rurale, me vendbanime të fragmentuara dhe cilësi më të ulët të kapitalit njerëzor. Urbanizimi është në rritje të shpejtë në Shqipëri, ku popullsia urbane pritet të arrijë në 78,2% të popullsisë së përgjithshme deri në vitin 2050. Shpopullimi i vazhdueshëm i zonave rurale ndikon në ofrimin e disa shërbimeve, si: qasja në kujdesin shëndetësor, ushqim dhe mjete bazë në këto zona. Rritja urbane rrit kërkesën për infrastrukturë dhe shërbime, duke ushtruar presion mbi zonat urbane për zhvillimin e tyre. Plani i Përgjithshëm Kombëtar Hapësinor (PPKH, 2016) përfaqëson një përpjekje të koordinuar për planifikimin hapësinor dhe do të formësojë trajektoren e zhvillimit urban të Shqipërisë në të ardhmen. Për shkak të cenueshmërisë së perceptuar, kërkohen investime dhe përpjekje të konsiderueshme për përshtatjen ndaj ndryshimeve klimatike, ku infrastrukturat jetike duhet të bëhen të qëndrueshme ndaj klimës, për të rritur aftësinë ripërtëritëse të vendit ndaj ndikimeve të ndryshimeve klimatike. Shihni kapitullin </w:t>
      </w:r>
      <w:r w:rsidRPr="00622884">
        <w:rPr>
          <w:rFonts w:ascii="Garamond" w:eastAsia="SimSun" w:hAnsi="Garamond" w:cs="Calibri Light"/>
          <w:sz w:val="24"/>
          <w:szCs w:val="24"/>
          <w:lang w:eastAsia="en-US" w:bidi="sq-AL"/>
        </w:rPr>
        <w:fldChar w:fldCharType="begin"/>
      </w:r>
      <w:r w:rsidRPr="00622884">
        <w:rPr>
          <w:rFonts w:ascii="Garamond" w:eastAsia="SimSun" w:hAnsi="Garamond" w:cs="Calibri Light"/>
          <w:sz w:val="24"/>
          <w:szCs w:val="24"/>
          <w:lang w:eastAsia="en-US" w:bidi="sq-AL"/>
        </w:rPr>
        <w:instrText xml:space="preserve"> REF _Ref210992297 \r  \* MERGEFORMAT </w:instrText>
      </w:r>
      <w:r w:rsidRPr="00622884">
        <w:rPr>
          <w:rFonts w:ascii="Garamond" w:eastAsia="SimSun" w:hAnsi="Garamond" w:cs="Calibri Light"/>
          <w:sz w:val="24"/>
          <w:szCs w:val="24"/>
          <w:lang w:eastAsia="en-US" w:bidi="sq-AL"/>
        </w:rPr>
        <w:fldChar w:fldCharType="separate"/>
      </w:r>
      <w:r w:rsidRPr="00622884">
        <w:rPr>
          <w:rFonts w:ascii="Garamond" w:eastAsia="SimSun" w:hAnsi="Garamond" w:cs="Calibri Light"/>
          <w:sz w:val="24"/>
          <w:szCs w:val="24"/>
          <w:lang w:eastAsia="en-US" w:bidi="sq-AL"/>
        </w:rPr>
        <w:t>4</w:t>
      </w:r>
      <w:r w:rsidRPr="00622884">
        <w:rPr>
          <w:rFonts w:ascii="Garamond" w:eastAsia="SimSun" w:hAnsi="Garamond" w:cs="Calibri Light"/>
          <w:sz w:val="24"/>
          <w:szCs w:val="24"/>
          <w:lang w:eastAsia="en-US" w:bidi="sq-AL"/>
        </w:rPr>
        <w:fldChar w:fldCharType="end"/>
      </w:r>
      <w:r w:rsidRPr="00622884">
        <w:rPr>
          <w:rFonts w:ascii="Garamond" w:eastAsia="SimSun" w:hAnsi="Garamond" w:cs="Calibri Light"/>
          <w:sz w:val="24"/>
          <w:szCs w:val="24"/>
          <w:lang w:eastAsia="en-US" w:bidi="sq-AL"/>
        </w:rPr>
        <w:t xml:space="preserve"> për risqet konkrete klimatike, që ndikojnë te zhvillimi urban, dhe kapitullin 5 për masat e identifikuara dhe të prioritizuara të përshtatjes.</w:t>
      </w:r>
    </w:p>
    <w:p w14:paraId="73BAE1EE" w14:textId="77777777" w:rsidR="00622884" w:rsidRPr="00622884" w:rsidRDefault="00622884" w:rsidP="00622884">
      <w:pPr>
        <w:spacing w:after="0" w:line="240" w:lineRule="auto"/>
        <w:ind w:firstLine="284"/>
        <w:rPr>
          <w:rFonts w:ascii="Garamond" w:eastAsia="SimSun" w:hAnsi="Garamond" w:cs="Calibri Light"/>
          <w:sz w:val="24"/>
          <w:szCs w:val="24"/>
          <w:lang w:eastAsia="en-US"/>
        </w:rPr>
      </w:pPr>
      <w:r w:rsidRPr="00622884">
        <w:rPr>
          <w:rFonts w:ascii="Garamond" w:eastAsia="SimSun" w:hAnsi="Garamond" w:cs="Calibri Light"/>
          <w:b/>
          <w:sz w:val="24"/>
          <w:szCs w:val="24"/>
          <w:lang w:eastAsia="en-US" w:bidi="sq-AL"/>
        </w:rPr>
        <w:t>Burimet ujore</w:t>
      </w:r>
      <w:r w:rsidRPr="00622884">
        <w:rPr>
          <w:rFonts w:ascii="Garamond" w:eastAsia="SimSun" w:hAnsi="Garamond" w:cs="Calibri Light"/>
          <w:sz w:val="24"/>
          <w:szCs w:val="24"/>
          <w:lang w:eastAsia="en-US" w:bidi="sq-AL"/>
        </w:rPr>
        <w:t xml:space="preserve"> përbëjnë një burim të rëndësishëm të hidroenergjisë, duke prodhuar rreth 90% të energjisë elektrike të vendit dhe siguruar ujë për ujitje në bujqësi. Aktualisht, për çdo sezon ujitjeje nevojiten rreth 1 miliard metra kub ujë për të ujitur 360.000 hektarë tokë bujqësore. Ngjarjet ekstreme të motit paraqesin risqe për cilësinë e ujit dhe infrastrukturën e furnizimit, përfshirë edhe ato që sigurojnë ujë të pijshëm dhe shërbime higjieno-sanitare për popullsinë. Sigurimi i menaxhimit të qëndrueshëm të burimeve ujore dhe përmirësimi i eficiencës së ujitjes janë thelbësore për të përmbushur nevojat e ardhshme për ujë dhe për t’u përshtatur me ndryshueshmërinë klimatike</w:t>
      </w:r>
      <w:r w:rsidRPr="00622884">
        <w:rPr>
          <w:rFonts w:ascii="Garamond" w:eastAsia="SimSun" w:hAnsi="Garamond" w:cs="Calibri Light"/>
          <w:sz w:val="24"/>
          <w:szCs w:val="24"/>
          <w:vertAlign w:val="superscript"/>
          <w:lang w:eastAsia="en-US" w:bidi="sq-AL"/>
        </w:rPr>
        <w:footnoteReference w:id="143"/>
      </w:r>
      <w:r w:rsidRPr="00622884">
        <w:rPr>
          <w:rFonts w:ascii="Garamond" w:eastAsia="SimSun" w:hAnsi="Garamond" w:cs="Calibri Light"/>
          <w:sz w:val="24"/>
          <w:szCs w:val="24"/>
          <w:lang w:eastAsia="en-US" w:bidi="sq-AL"/>
        </w:rPr>
        <w:t>.</w:t>
      </w:r>
    </w:p>
    <w:p w14:paraId="637A64D0" w14:textId="77777777" w:rsidR="00622884" w:rsidRPr="00622884" w:rsidRDefault="00622884" w:rsidP="00622884">
      <w:pPr>
        <w:spacing w:after="0" w:line="240" w:lineRule="auto"/>
        <w:ind w:firstLine="284"/>
        <w:rPr>
          <w:rFonts w:ascii="Garamond" w:eastAsia="SimSun" w:hAnsi="Garamond" w:cs="Calibri Light"/>
          <w:sz w:val="24"/>
          <w:szCs w:val="24"/>
          <w:lang w:eastAsia="en-US"/>
        </w:rPr>
      </w:pPr>
      <w:r w:rsidRPr="00622884">
        <w:rPr>
          <w:rFonts w:ascii="Garamond" w:eastAsia="SimSun" w:hAnsi="Garamond" w:cs="Calibri Light"/>
          <w:b/>
          <w:sz w:val="24"/>
          <w:szCs w:val="24"/>
          <w:lang w:eastAsia="en-US" w:bidi="sq-AL"/>
        </w:rPr>
        <w:t>Sektori i industrisë</w:t>
      </w:r>
      <w:r w:rsidRPr="00622884">
        <w:rPr>
          <w:rFonts w:ascii="Garamond" w:eastAsia="SimSun" w:hAnsi="Garamond" w:cs="Calibri Light"/>
          <w:sz w:val="24"/>
          <w:szCs w:val="24"/>
          <w:lang w:eastAsia="en-US" w:bidi="sq-AL"/>
        </w:rPr>
        <w:t xml:space="preserve"> në Shqipëri ka shënuar zhvillime shumë pozitive gjatë dhjetëvjeçarit të fundit. Vlera e shtuar nga industria (përfshirë ndërtimin) arriti 26% të PBB-së në vitin 2020. Importet e Shqipërisë u rritën nga 4,41 miliardë dollarë amerikanë në vitin 2015, në 5,42 miliardë dollarë amerikanë në vitin 2020, kryesisht nga Italia, Kina, Greqia, Turqia dhe Gjermania. Ndërkohë, eksportet shqiptare u rritën nga 2,2 miliardë dollarë amerikanë në vitin 2015 në 2,62 miliardë dollarë amerikanë në vitin 2020, ku produktet kryesore të eksportit përfshijnë këpucë, veshje, naftë bruto dhe hekur të papërpunuar, të eksportuara kryesisht drejt Italisë, Serbisë, Gjermanisë, Spanjës dhe Greqisë. Pavarësisht këtyre tendencave pozitive, ndryshimet klimatike paraqesin një sërë risqesh për sektorin industrial, p.sh., ngjarjet ekstreme si përmbytjet dhe thatësirat mund të ndërpresin zinxhirët e furnizimit, të dëmtojnë infrastrukturën dhe të rrisin kostot e prodhimit. Forcimi i aftësisë ripërtëritëse ndaj klimës në sektorin industrial kërkon </w:t>
      </w:r>
      <w:r w:rsidRPr="00622884">
        <w:rPr>
          <w:rFonts w:ascii="Garamond" w:eastAsia="SimSun" w:hAnsi="Garamond" w:cs="Calibri Light"/>
          <w:sz w:val="24"/>
          <w:szCs w:val="24"/>
          <w:lang w:eastAsia="en-US" w:bidi="sq-AL"/>
        </w:rPr>
        <w:lastRenderedPageBreak/>
        <w:t>diversifikimin e zinxhirëve të furnizimit, përmirësimin e eficiencës energjetike dhe investimin në infrastrukturë të përshtatshme.</w:t>
      </w:r>
    </w:p>
    <w:p w14:paraId="697A7B6B" w14:textId="77777777" w:rsidR="00622884" w:rsidRPr="00622884" w:rsidRDefault="00622884" w:rsidP="00622884">
      <w:pPr>
        <w:spacing w:after="0" w:line="240" w:lineRule="auto"/>
        <w:ind w:firstLine="284"/>
        <w:rPr>
          <w:rFonts w:ascii="Garamond" w:eastAsia="SimSun" w:hAnsi="Garamond" w:cs="Calibri Light"/>
          <w:sz w:val="24"/>
          <w:szCs w:val="24"/>
          <w:lang w:eastAsia="en-US"/>
        </w:rPr>
      </w:pPr>
      <w:r w:rsidRPr="00622884">
        <w:rPr>
          <w:rFonts w:ascii="Garamond" w:eastAsia="SimSun" w:hAnsi="Garamond" w:cs="Calibri Light"/>
          <w:sz w:val="24"/>
          <w:szCs w:val="24"/>
          <w:lang w:eastAsia="en-US" w:bidi="sq-AL"/>
        </w:rPr>
        <w:t xml:space="preserve">Në vitin 2019, </w:t>
      </w:r>
      <w:r w:rsidRPr="00622884">
        <w:rPr>
          <w:rFonts w:ascii="Garamond" w:eastAsia="SimSun" w:hAnsi="Garamond" w:cs="Calibri Light"/>
          <w:b/>
          <w:sz w:val="24"/>
          <w:szCs w:val="24"/>
          <w:lang w:eastAsia="en-US" w:bidi="sq-AL"/>
        </w:rPr>
        <w:t>sektori i shërbimeve</w:t>
      </w:r>
      <w:r w:rsidRPr="00622884">
        <w:rPr>
          <w:rFonts w:ascii="Garamond" w:eastAsia="SimSun" w:hAnsi="Garamond" w:cs="Calibri Light"/>
          <w:sz w:val="24"/>
          <w:szCs w:val="24"/>
          <w:lang w:eastAsia="en-US" w:bidi="sq-AL"/>
        </w:rPr>
        <w:t xml:space="preserve"> (i përfaqësuar nga nënsektorët e tregtisë, transportit, veprimtarive tregtare dhe shërbimeve të telekomunikacionit) përbënte rreth 50% të PBB-së së vendit. Që nga fillimi i viteve 2000, Shqipëria është shndërruar në një destinacion kryesor për shërbimet e Teknologjisë së Informacionit dhe Komunikimit (TIK), falë disponueshmërisë së burimeve, rritjes së vëmendjes ndaj sektorit të shërbimeve, zhvillimit të infrastrukturës dhe incentivave tërheqëse për investimet. Tirana është qendra kryesore e TIK-ut në Shqipëri. Ky sektor ka përjetuar një rritje të qëndrueshme, me rreth 4.005 ndërmarrje aktive në fushën e TIK-ut deri në fund të vitit 2021. Sidoqoftë, ndryshimet klimatike mund të ndikojnë ndjeshëm tek ofrimi i shërbimeve dhe infrastruktura mbështetëse, për shembull, valët e të nxehtit dhe ngjarjet ekstreme të motit mund të ndërpresin rrjetet e telekomunikacionit, ndërsa përmbytjet dhe stuhitë mund të dëmtojnë infrastrukturën logjistike</w:t>
      </w:r>
      <w:r w:rsidRPr="00622884">
        <w:rPr>
          <w:rFonts w:ascii="Garamond" w:eastAsia="SimSun" w:hAnsi="Garamond" w:cs="Calibri Light"/>
          <w:sz w:val="24"/>
          <w:szCs w:val="24"/>
          <w:vertAlign w:val="superscript"/>
          <w:lang w:eastAsia="en-US" w:bidi="sq-AL"/>
        </w:rPr>
        <w:footnoteReference w:id="144"/>
      </w:r>
      <w:r w:rsidRPr="00622884">
        <w:rPr>
          <w:rFonts w:ascii="Garamond" w:eastAsia="SimSun" w:hAnsi="Garamond" w:cs="Calibri Light"/>
          <w:sz w:val="24"/>
          <w:szCs w:val="24"/>
          <w:lang w:eastAsia="en-US" w:bidi="sq-AL"/>
        </w:rPr>
        <w:t>.</w:t>
      </w:r>
    </w:p>
    <w:p w14:paraId="1ADD9B61" w14:textId="77777777" w:rsidR="00622884" w:rsidRPr="00622884" w:rsidRDefault="00622884" w:rsidP="00622884">
      <w:pPr>
        <w:keepNext/>
        <w:keepLines/>
        <w:spacing w:after="0" w:line="240" w:lineRule="auto"/>
        <w:ind w:firstLine="284"/>
        <w:outlineLvl w:val="1"/>
        <w:rPr>
          <w:rFonts w:ascii="Garamond" w:eastAsia="MS Mincho" w:hAnsi="Garamond" w:cs="Times New Roman"/>
          <w:b/>
          <w:bCs/>
          <w:caps/>
          <w:sz w:val="24"/>
          <w:szCs w:val="24"/>
          <w:lang w:eastAsia="es-ES"/>
        </w:rPr>
      </w:pPr>
      <w:bookmarkStart w:id="226" w:name="_Toc213936227"/>
      <w:bookmarkEnd w:id="221"/>
      <w:r w:rsidRPr="00622884">
        <w:rPr>
          <w:rFonts w:ascii="Garamond" w:eastAsia="MS Mincho" w:hAnsi="Garamond" w:cs="Times New Roman"/>
          <w:b/>
          <w:bCs/>
          <w:caps/>
          <w:sz w:val="24"/>
          <w:szCs w:val="24"/>
          <w:lang w:eastAsia="es-ES" w:bidi="sq-AL"/>
        </w:rPr>
        <w:t xml:space="preserve">3.4 </w:t>
      </w:r>
      <w:r w:rsidRPr="00622884">
        <w:rPr>
          <w:rFonts w:ascii="Garamond" w:eastAsia="MS Mincho" w:hAnsi="Garamond" w:cs="Times New Roman"/>
          <w:b/>
          <w:bCs/>
          <w:sz w:val="24"/>
          <w:szCs w:val="24"/>
          <w:lang w:eastAsia="es-ES" w:bidi="sq-AL"/>
        </w:rPr>
        <w:t>Kuadri ligjor, institucional dhe i politikave</w:t>
      </w:r>
      <w:bookmarkEnd w:id="226"/>
      <w:r w:rsidRPr="00622884">
        <w:rPr>
          <w:rFonts w:ascii="Garamond" w:eastAsia="MS Mincho" w:hAnsi="Garamond" w:cs="Times New Roman"/>
          <w:b/>
          <w:bCs/>
          <w:sz w:val="24"/>
          <w:szCs w:val="24"/>
          <w:lang w:eastAsia="es-ES" w:bidi="sq-AL"/>
        </w:rPr>
        <w:t xml:space="preserve"> </w:t>
      </w:r>
    </w:p>
    <w:p w14:paraId="429E941B" w14:textId="77777777" w:rsidR="00622884" w:rsidRPr="00622884" w:rsidRDefault="00622884" w:rsidP="00622884">
      <w:pPr>
        <w:spacing w:after="0" w:line="240" w:lineRule="auto"/>
        <w:ind w:firstLine="284"/>
        <w:rPr>
          <w:rFonts w:ascii="Garamond" w:eastAsia="Times New Roman" w:hAnsi="Garamond" w:cs="Calibri Light"/>
          <w:sz w:val="24"/>
          <w:szCs w:val="24"/>
          <w:lang w:eastAsia="en-US"/>
        </w:rPr>
      </w:pPr>
      <w:r w:rsidRPr="00622884">
        <w:rPr>
          <w:rFonts w:ascii="Garamond" w:eastAsia="SimSun" w:hAnsi="Garamond" w:cs="Calibri Light"/>
          <w:sz w:val="24"/>
          <w:szCs w:val="24"/>
          <w:lang w:eastAsia="en-US" w:bidi="sq-AL"/>
        </w:rPr>
        <w:t xml:space="preserve"> Republika e Shqipërisë është një </w:t>
      </w:r>
      <w:r w:rsidRPr="00622884">
        <w:rPr>
          <w:rFonts w:ascii="Garamond" w:eastAsia="SimSun" w:hAnsi="Garamond" w:cs="Calibri Light"/>
          <w:b/>
          <w:sz w:val="24"/>
          <w:szCs w:val="24"/>
          <w:lang w:eastAsia="en-US" w:bidi="sq-AL"/>
        </w:rPr>
        <w:t>Republikë Kushtetuese</w:t>
      </w:r>
      <w:r w:rsidRPr="00622884">
        <w:rPr>
          <w:rFonts w:ascii="Garamond" w:eastAsia="SimSun" w:hAnsi="Garamond" w:cs="Calibri Light"/>
          <w:sz w:val="24"/>
          <w:szCs w:val="24"/>
          <w:lang w:eastAsia="en-US" w:bidi="sq-AL"/>
        </w:rPr>
        <w:t xml:space="preserve"> me një President (Kreu i Shtetit), një Kuvend të zgjedhur në mënyrë demokratike (Pushteti Ligjvënës), Këshillin e Ministrave (Pushteti Ekzekutiv) dhe Pushtetin Gjyqësor. Në aspektin administrativ, Shqipëria është e ndarë në 12 qarqe dhe 61 bashki, që përfshijnë si zona urbane ashtu edhe rurale (bashki dhe komuna)</w:t>
      </w:r>
      <w:r w:rsidRPr="00622884">
        <w:rPr>
          <w:rFonts w:ascii="Garamond" w:eastAsia="SimSun" w:hAnsi="Garamond" w:cs="Calibri Light"/>
          <w:sz w:val="24"/>
          <w:szCs w:val="24"/>
          <w:vertAlign w:val="superscript"/>
          <w:lang w:eastAsia="en-US" w:bidi="sq-AL"/>
        </w:rPr>
        <w:footnoteReference w:id="145"/>
      </w:r>
      <w:r w:rsidRPr="00622884">
        <w:rPr>
          <w:rFonts w:ascii="Garamond" w:eastAsia="SimSun" w:hAnsi="Garamond" w:cs="Calibri Light"/>
          <w:sz w:val="24"/>
          <w:szCs w:val="24"/>
          <w:lang w:eastAsia="en-US" w:bidi="sq-AL"/>
        </w:rPr>
        <w:t>.</w:t>
      </w:r>
    </w:p>
    <w:p w14:paraId="58A4AEAB" w14:textId="77777777" w:rsidR="00622884" w:rsidRPr="00622884" w:rsidRDefault="00622884" w:rsidP="00622884">
      <w:pPr>
        <w:spacing w:after="0" w:line="240" w:lineRule="auto"/>
        <w:ind w:firstLine="284"/>
        <w:rPr>
          <w:rFonts w:ascii="Garamond" w:eastAsia="Times New Roman" w:hAnsi="Garamond" w:cs="Calibri Light"/>
          <w:sz w:val="24"/>
          <w:szCs w:val="24"/>
          <w:lang w:eastAsia="en-US"/>
        </w:rPr>
      </w:pPr>
      <w:r w:rsidRPr="00622884">
        <w:rPr>
          <w:rFonts w:ascii="Garamond" w:eastAsia="SimSun" w:hAnsi="Garamond" w:cs="Calibri Light"/>
          <w:sz w:val="24"/>
          <w:szCs w:val="24"/>
          <w:lang w:eastAsia="en-US" w:bidi="sq-AL"/>
        </w:rPr>
        <w:t xml:space="preserve">Figura më poshtë paraqet strukturën organizative të Këshillit të Ministrave të Shqipërisë, duke renditur ministritë kryesore, agjencitë vartëse dhe institucionet përkatëse. </w:t>
      </w:r>
    </w:p>
    <w:p w14:paraId="40CDAE50" w14:textId="77777777" w:rsidR="00622884" w:rsidRPr="00622884" w:rsidRDefault="00622884" w:rsidP="00622884">
      <w:pPr>
        <w:tabs>
          <w:tab w:val="left" w:pos="5325"/>
        </w:tabs>
        <w:spacing w:after="0" w:line="240" w:lineRule="auto"/>
        <w:ind w:firstLine="284"/>
        <w:rPr>
          <w:rFonts w:ascii="Garamond" w:eastAsia="Calibri" w:hAnsi="Garamond" w:cs="Times New Roman"/>
          <w:sz w:val="10"/>
          <w:szCs w:val="24"/>
          <w:lang w:eastAsia="en-US"/>
        </w:rPr>
      </w:pPr>
    </w:p>
    <w:p w14:paraId="2DA504E3" w14:textId="77777777" w:rsidR="00622884" w:rsidRPr="00622884" w:rsidRDefault="00622884" w:rsidP="00622884">
      <w:pPr>
        <w:tabs>
          <w:tab w:val="left" w:pos="5325"/>
        </w:tabs>
        <w:spacing w:after="0" w:line="240" w:lineRule="auto"/>
        <w:ind w:firstLine="284"/>
        <w:rPr>
          <w:rFonts w:ascii="Garamond" w:eastAsia="Calibri" w:hAnsi="Garamond" w:cs="Times New Roman"/>
          <w:i/>
          <w:sz w:val="20"/>
          <w:szCs w:val="20"/>
          <w:lang w:eastAsia="en-US"/>
        </w:rPr>
      </w:pPr>
      <w:r w:rsidRPr="00622884">
        <w:rPr>
          <w:rFonts w:ascii="Garamond" w:eastAsia="Calibri" w:hAnsi="Garamond" w:cs="Times New Roman"/>
          <w:i/>
          <w:sz w:val="20"/>
          <w:szCs w:val="20"/>
          <w:lang w:eastAsia="en-US"/>
        </w:rPr>
        <w:t xml:space="preserve">Figura 2. Struktura organizative e Këshillit të Ministrave të Shqipërisë sipas Ligjit për Ndryshimet klimatike 155/2020, i ndryshuar. </w:t>
      </w:r>
    </w:p>
    <w:p w14:paraId="2EB9396E" w14:textId="77777777" w:rsidR="00622884" w:rsidRPr="00622884" w:rsidRDefault="00622884" w:rsidP="00622884">
      <w:pPr>
        <w:tabs>
          <w:tab w:val="left" w:pos="5325"/>
        </w:tabs>
        <w:spacing w:after="0" w:line="240" w:lineRule="auto"/>
        <w:ind w:firstLine="284"/>
        <w:rPr>
          <w:rFonts w:ascii="Garamond" w:eastAsia="Calibri" w:hAnsi="Garamond" w:cs="Times New Roman"/>
          <w:sz w:val="20"/>
          <w:szCs w:val="20"/>
          <w:lang w:eastAsia="en-US"/>
        </w:rPr>
      </w:pPr>
      <w:r w:rsidRPr="00622884">
        <w:rPr>
          <w:rFonts w:ascii="Garamond" w:eastAsia="Calibri" w:hAnsi="Garamond" w:cs="Times New Roman"/>
          <w:sz w:val="20"/>
          <w:szCs w:val="20"/>
          <w:lang w:eastAsia="en-US"/>
        </w:rPr>
        <w:t>Burimi: UNDP-ja.</w:t>
      </w:r>
    </w:p>
    <w:p w14:paraId="12DCF6F2" w14:textId="77777777" w:rsidR="00622884" w:rsidRPr="00622884" w:rsidRDefault="00622884" w:rsidP="00622884">
      <w:pPr>
        <w:tabs>
          <w:tab w:val="left" w:pos="5325"/>
        </w:tabs>
        <w:spacing w:after="0" w:line="240" w:lineRule="auto"/>
        <w:ind w:firstLine="284"/>
        <w:rPr>
          <w:rFonts w:ascii="Garamond" w:eastAsia="Calibri" w:hAnsi="Garamond" w:cs="Times New Roman"/>
          <w:sz w:val="16"/>
          <w:szCs w:val="24"/>
          <w:lang w:eastAsia="en-US"/>
        </w:rPr>
      </w:pPr>
    </w:p>
    <w:p w14:paraId="41FA6E6B"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r w:rsidRPr="00622884">
        <w:rPr>
          <w:rFonts w:ascii="Garamond" w:eastAsia="Calibri" w:hAnsi="Garamond" w:cs="Times New Roman"/>
          <w:noProof/>
          <w:sz w:val="24"/>
          <w:szCs w:val="24"/>
          <w:lang w:eastAsia="sq-AL"/>
        </w:rPr>
        <w:lastRenderedPageBreak/>
        <w:drawing>
          <wp:inline distT="0" distB="0" distL="0" distR="0" wp14:anchorId="73310B9E" wp14:editId="3B979C91">
            <wp:extent cx="5362760" cy="3591399"/>
            <wp:effectExtent l="0" t="0" r="0"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5369628" cy="3595999"/>
                    </a:xfrm>
                    <a:prstGeom prst="rect">
                      <a:avLst/>
                    </a:prstGeom>
                    <a:noFill/>
                    <a:ln>
                      <a:noFill/>
                    </a:ln>
                  </pic:spPr>
                </pic:pic>
              </a:graphicData>
            </a:graphic>
          </wp:inline>
        </w:drawing>
      </w:r>
    </w:p>
    <w:p w14:paraId="3F6AC3CE" w14:textId="77777777" w:rsidR="00622884" w:rsidRPr="00622884" w:rsidRDefault="00622884" w:rsidP="00622884">
      <w:pPr>
        <w:keepNext/>
        <w:spacing w:after="0" w:line="240" w:lineRule="auto"/>
        <w:ind w:firstLine="284"/>
        <w:mirrorIndents/>
        <w:rPr>
          <w:rFonts w:ascii="Garamond" w:eastAsia="Calibri Light" w:hAnsi="Garamond" w:cs="Calibri Light"/>
          <w:b/>
          <w:bCs/>
          <w:iCs/>
          <w:sz w:val="24"/>
          <w:szCs w:val="24"/>
          <w:lang w:eastAsia="en-US"/>
        </w:rPr>
      </w:pPr>
      <w:r w:rsidRPr="00622884">
        <w:rPr>
          <w:rFonts w:ascii="Garamond" w:eastAsia="Calibri Light" w:hAnsi="Garamond" w:cs="Calibri Light"/>
          <w:b/>
          <w:bCs/>
          <w:iCs/>
          <w:sz w:val="24"/>
          <w:szCs w:val="24"/>
          <w:lang w:eastAsia="en-US" w:bidi="sq-AL"/>
        </w:rPr>
        <w:t>Institucionet që trajtojnë ndryshimet klimatike</w:t>
      </w:r>
    </w:p>
    <w:p w14:paraId="7DE693DE" w14:textId="77777777" w:rsidR="00622884" w:rsidRPr="00622884" w:rsidRDefault="00622884" w:rsidP="00622884">
      <w:pPr>
        <w:spacing w:after="0" w:line="240" w:lineRule="auto"/>
        <w:ind w:firstLine="284"/>
        <w:rPr>
          <w:rFonts w:ascii="Garamond" w:eastAsia="SimSun" w:hAnsi="Garamond" w:cs="Calibri Light"/>
          <w:sz w:val="24"/>
          <w:szCs w:val="24"/>
          <w:lang w:eastAsia="en-GB"/>
        </w:rPr>
      </w:pPr>
      <w:r w:rsidRPr="00622884">
        <w:rPr>
          <w:rFonts w:ascii="Garamond" w:eastAsia="SimSun" w:hAnsi="Garamond" w:cs="Calibri Light"/>
          <w:sz w:val="24"/>
          <w:szCs w:val="24"/>
          <w:lang w:eastAsia="en-US" w:bidi="sq-AL"/>
        </w:rPr>
        <w:t xml:space="preserve">Sipas Ligjit për Ndryshimet Klimatike (2020), përgjegjësitë për çështjet e ndryshimeve klimatike ndahen ndërmjet disa </w:t>
      </w:r>
      <w:r w:rsidRPr="00622884">
        <w:rPr>
          <w:rFonts w:ascii="Garamond" w:eastAsia="SimSun" w:hAnsi="Garamond" w:cs="Calibri Light"/>
          <w:b/>
          <w:sz w:val="24"/>
          <w:szCs w:val="24"/>
          <w:lang w:eastAsia="en-US" w:bidi="sq-AL"/>
        </w:rPr>
        <w:t>ministrive dhe institucioneve.</w:t>
      </w:r>
      <w:r w:rsidRPr="00622884">
        <w:rPr>
          <w:rFonts w:ascii="Garamond" w:eastAsia="SimSun" w:hAnsi="Garamond" w:cs="Calibri Light"/>
          <w:sz w:val="24"/>
          <w:szCs w:val="24"/>
          <w:lang w:eastAsia="en-US" w:bidi="sq-AL"/>
        </w:rPr>
        <w:t xml:space="preserve"> </w:t>
      </w:r>
    </w:p>
    <w:p w14:paraId="11C3AA48"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GB"/>
        </w:rPr>
      </w:pPr>
      <w:r w:rsidRPr="00622884">
        <w:rPr>
          <w:rFonts w:ascii="Garamond" w:eastAsia="Calibri" w:hAnsi="Garamond" w:cs="Times New Roman"/>
          <w:sz w:val="24"/>
          <w:szCs w:val="24"/>
          <w:lang w:eastAsia="en-US" w:bidi="sq-AL"/>
        </w:rPr>
        <w:t>-</w:t>
      </w:r>
      <w:r w:rsidRPr="00622884">
        <w:rPr>
          <w:rFonts w:ascii="Garamond" w:eastAsia="Calibri" w:hAnsi="Garamond" w:cs="Times New Roman"/>
          <w:b/>
          <w:sz w:val="24"/>
          <w:szCs w:val="24"/>
          <w:lang w:eastAsia="en-US" w:bidi="sq-AL"/>
        </w:rPr>
        <w:t xml:space="preserve"> Ministria e Mjedisit (MM) </w:t>
      </w:r>
      <w:r w:rsidRPr="00622884">
        <w:rPr>
          <w:rFonts w:ascii="Garamond" w:eastAsia="Calibri" w:hAnsi="Garamond" w:cs="Times New Roman"/>
          <w:sz w:val="24"/>
          <w:szCs w:val="24"/>
          <w:lang w:eastAsia="en-US" w:bidi="sq-AL"/>
        </w:rPr>
        <w:t>është ministria qendrore përgjegjëse për mbrojtjen e mjedisit dhe ka në ngarkim politikat dhe legjislacionin për ndryshimet klimatike, si dhe koordinimin në nivel qeveritar. Ajo është, gjithashtu, pika fokale kombëtare për Konventën Kuadër të Kombeve të Bashkuara për Ndryshimet Klimatike (UNFCCC). Brenda kësaj ministrie funksionon Agjencia Kombëtare e Mjedisit (AKM), e cila zbaton dhe monitoron këto politika, ndërsa ministritë e linjës dhe agjencitë, autoritetet dhe institutet vartëse adresojnë çështjet e ndryshimeve klimatike në sektorët e tyre përkatës.</w:t>
      </w:r>
    </w:p>
    <w:p w14:paraId="1A683EBC"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s-ES"/>
        </w:rPr>
      </w:pPr>
      <w:r w:rsidRPr="00622884">
        <w:rPr>
          <w:rFonts w:ascii="Garamond" w:eastAsia="Calibri" w:hAnsi="Garamond" w:cs="Times New Roman"/>
          <w:sz w:val="24"/>
          <w:szCs w:val="24"/>
          <w:lang w:eastAsia="en-US" w:bidi="sq-AL"/>
        </w:rPr>
        <w:t>-</w:t>
      </w:r>
      <w:r w:rsidRPr="00622884">
        <w:rPr>
          <w:rFonts w:ascii="Garamond" w:eastAsia="Calibri" w:hAnsi="Garamond" w:cs="Times New Roman"/>
          <w:b/>
          <w:sz w:val="24"/>
          <w:szCs w:val="24"/>
          <w:lang w:eastAsia="en-US" w:bidi="sq-AL"/>
        </w:rPr>
        <w:t xml:space="preserve"> Ministria e Bujqësisë dhe Zhvillimit Rural (MBZHR)</w:t>
      </w:r>
      <w:r w:rsidRPr="00622884">
        <w:rPr>
          <w:rFonts w:ascii="Garamond" w:eastAsia="Calibri" w:hAnsi="Garamond" w:cs="Times New Roman"/>
          <w:sz w:val="24"/>
          <w:szCs w:val="24"/>
          <w:lang w:eastAsia="en-US" w:bidi="sq-AL"/>
        </w:rPr>
        <w:t xml:space="preserve"> është institucioni përgjegjës për politikat bujqësore dhe rurale, dhe luan një rol kyç në përshtatjen ndaj ndryshimeve klimatike, për shkak të cenueshmërisë së lartë të bujqësisë nga klima. </w:t>
      </w:r>
    </w:p>
    <w:p w14:paraId="2C3B7D14"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GB"/>
        </w:rPr>
      </w:pPr>
      <w:r w:rsidRPr="00622884">
        <w:rPr>
          <w:rFonts w:ascii="Garamond" w:eastAsia="Calibri" w:hAnsi="Garamond" w:cs="Times New Roman"/>
          <w:sz w:val="24"/>
          <w:szCs w:val="24"/>
          <w:lang w:eastAsia="en-US" w:bidi="sq-AL"/>
        </w:rPr>
        <w:t>-</w:t>
      </w:r>
      <w:r w:rsidRPr="00622884">
        <w:rPr>
          <w:rFonts w:ascii="Garamond" w:eastAsia="Calibri" w:hAnsi="Garamond" w:cs="Times New Roman"/>
          <w:b/>
          <w:sz w:val="24"/>
          <w:szCs w:val="24"/>
          <w:lang w:eastAsia="en-US" w:bidi="sq-AL"/>
        </w:rPr>
        <w:t xml:space="preserve"> Ministria e Infrastrukturës dhe Energjisë (MIE)</w:t>
      </w:r>
      <w:r w:rsidRPr="00622884">
        <w:rPr>
          <w:rFonts w:ascii="Garamond" w:eastAsia="Calibri" w:hAnsi="Garamond" w:cs="Times New Roman"/>
          <w:sz w:val="24"/>
          <w:szCs w:val="24"/>
          <w:lang w:eastAsia="en-US" w:bidi="sq-AL"/>
        </w:rPr>
        <w:t xml:space="preserve"> është përgjegjëse për planifikimin territorial dhe urban, banesat, punimet publike, politikat e zhvillimit territorial, kodet e ndërtimit, rregulloret e përdorimit të tokës dhe mbikëqyrjen e infrastrukturës kryesore urbane, të gjitha këto me rëndësi thelbësore për përshtatjen ndaj ndryshimeve klimatike. MIE, gjithashtu, mbikëqyr Departamentin e Energjisë, që është përgjegjës për integrimin e përshtatjes ndaj klimës në politikat energjetike dhe planifikimin e infrastrukturës energjetike. Po ashtu, MIE është institucioni kryesor për transportin (rrugor, hekurudhor, detar dhe ajror) dhe infrastrukturën përkatëse, ku Autoriteti Rrugor Shqiptar (ARRSH) është përgjegjës për menaxhimin e rrjetit kombëtar rrugor, ndërsa Drejtoria e Përgjithshme Detare dhe Autoriteti i Aviacionit Civil integrojnë përshtatjen brenda kompetencave të tyre. </w:t>
      </w:r>
      <w:r w:rsidRPr="00622884">
        <w:rPr>
          <w:rFonts w:ascii="Garamond" w:eastAsia="Calibri" w:hAnsi="Garamond" w:cs="Times New Roman"/>
          <w:b/>
          <w:sz w:val="24"/>
          <w:szCs w:val="24"/>
          <w:lang w:eastAsia="en-US" w:bidi="sq-AL"/>
        </w:rPr>
        <w:t>Ministritë e tjera të linjës dhe institucionet publike</w:t>
      </w:r>
      <w:r w:rsidRPr="00622884">
        <w:rPr>
          <w:rFonts w:ascii="Garamond" w:eastAsia="Calibri" w:hAnsi="Garamond" w:cs="Times New Roman"/>
          <w:sz w:val="24"/>
          <w:szCs w:val="24"/>
          <w:lang w:eastAsia="en-US" w:bidi="sq-AL"/>
        </w:rPr>
        <w:t xml:space="preserve">, p.sh. Ministria për Evropën dhe Punët e Jashtme, Ministria e Financave, Ministria e Arsimit, Instituti i Statistikave (INSTAT-i), Kryeministria, etj., kanë role më të tërthorta në çështjet e ndryshimeve klimatike. Agjencia Kombëtare e Emergjencave Civile (AKEC) pranë Ministrisë së Mbrojtjes merret me mbrojtjen civile, përfshirë dhe mbrojtjen nga ndikimet e ndryshimeve klimatike, si: përmbytjet, rrëshqitjet e dherave, zjarret në pyje, etj., nëpërmjet një sërë komitetesh koordinuese, komisionesh dhe grupesh pune në nivel qendror dhe </w:t>
      </w:r>
      <w:r w:rsidRPr="00622884">
        <w:rPr>
          <w:rFonts w:ascii="Garamond" w:eastAsia="Calibri" w:hAnsi="Garamond" w:cs="Times New Roman"/>
          <w:sz w:val="24"/>
          <w:szCs w:val="24"/>
          <w:lang w:eastAsia="en-US" w:bidi="sq-AL"/>
        </w:rPr>
        <w:lastRenderedPageBreak/>
        <w:t>vendor. Megjithatë, menaxhimi i ndryshimeve klimatike në nivel nënkombëtar mbetet ende i dobët, edhe për shkak të kapaciteteve të pamjaftueshme institucionale, teknike dhe individuale në këtë nivel</w:t>
      </w:r>
      <w:r w:rsidRPr="00622884">
        <w:rPr>
          <w:rFonts w:ascii="Garamond" w:eastAsia="Calibri" w:hAnsi="Garamond" w:cs="Times New Roman"/>
          <w:sz w:val="24"/>
          <w:szCs w:val="24"/>
          <w:vertAlign w:val="superscript"/>
          <w:lang w:eastAsia="en-US" w:bidi="sq-AL"/>
        </w:rPr>
        <w:footnoteReference w:id="146"/>
      </w:r>
      <w:r w:rsidRPr="00622884">
        <w:rPr>
          <w:rFonts w:ascii="Garamond" w:eastAsia="Calibri" w:hAnsi="Garamond" w:cs="Times New Roman"/>
          <w:sz w:val="24"/>
          <w:szCs w:val="24"/>
          <w:lang w:eastAsia="en-US" w:bidi="sq-AL"/>
        </w:rPr>
        <w:t>.</w:t>
      </w:r>
    </w:p>
    <w:p w14:paraId="013A2663"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GB"/>
        </w:rPr>
      </w:pPr>
      <w:r w:rsidRPr="00622884">
        <w:rPr>
          <w:rFonts w:ascii="Garamond" w:eastAsia="Calibri" w:hAnsi="Garamond" w:cs="Times New Roman"/>
          <w:sz w:val="24"/>
          <w:szCs w:val="24"/>
          <w:lang w:eastAsia="en-US" w:bidi="sq-AL"/>
        </w:rPr>
        <w:t>-</w:t>
      </w:r>
      <w:r w:rsidRPr="00622884">
        <w:rPr>
          <w:rFonts w:ascii="Garamond" w:eastAsia="Calibri" w:hAnsi="Garamond" w:cs="Times New Roman"/>
          <w:b/>
          <w:sz w:val="24"/>
          <w:szCs w:val="24"/>
          <w:lang w:eastAsia="en-US" w:bidi="sq-AL"/>
        </w:rPr>
        <w:t xml:space="preserve"> Shërbimet meteorologjike: </w:t>
      </w:r>
      <w:r w:rsidRPr="00622884">
        <w:rPr>
          <w:rFonts w:ascii="Garamond" w:eastAsia="Calibri" w:hAnsi="Garamond" w:cs="Times New Roman"/>
          <w:sz w:val="24"/>
          <w:szCs w:val="24"/>
          <w:lang w:eastAsia="en-US" w:bidi="sq-AL"/>
        </w:rPr>
        <w:t>Zhvillimi dhe shpërndarja e informacionit për ndryshimet klimatike mbështeten nga dy institute meteorologjike: Instituti i Gjeoshkencave (IGJEO) pjesë e Universitetit Politeknik të Tiranës dhe Shërbimi Meteorologjik Ushtarak pranë Ministrisë së Mbrojtjes</w:t>
      </w:r>
      <w:r w:rsidRPr="00622884">
        <w:rPr>
          <w:rFonts w:ascii="Garamond" w:eastAsia="Calibri" w:hAnsi="Garamond" w:cs="Times New Roman"/>
          <w:sz w:val="24"/>
          <w:szCs w:val="24"/>
          <w:vertAlign w:val="superscript"/>
          <w:lang w:eastAsia="en-US" w:bidi="sq-AL"/>
        </w:rPr>
        <w:footnoteReference w:id="147"/>
      </w:r>
      <w:r w:rsidRPr="00622884">
        <w:rPr>
          <w:rFonts w:ascii="Garamond" w:eastAsia="Calibri" w:hAnsi="Garamond" w:cs="Times New Roman"/>
          <w:sz w:val="24"/>
          <w:szCs w:val="24"/>
          <w:lang w:eastAsia="en-US" w:bidi="sq-AL"/>
        </w:rPr>
        <w:t>.</w:t>
      </w:r>
    </w:p>
    <w:p w14:paraId="2EDF4755"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r w:rsidRPr="00622884">
        <w:rPr>
          <w:rFonts w:ascii="Garamond" w:eastAsia="Calibri" w:hAnsi="Garamond" w:cs="Times New Roman"/>
          <w:sz w:val="24"/>
          <w:szCs w:val="24"/>
          <w:lang w:eastAsia="en-US" w:bidi="sq-AL"/>
        </w:rPr>
        <w:t>-</w:t>
      </w:r>
      <w:r w:rsidRPr="00622884">
        <w:rPr>
          <w:rFonts w:ascii="Garamond" w:eastAsia="Calibri" w:hAnsi="Garamond" w:cs="Times New Roman"/>
          <w:b/>
          <w:sz w:val="24"/>
          <w:szCs w:val="24"/>
          <w:lang w:eastAsia="en-US" w:bidi="sq-AL"/>
        </w:rPr>
        <w:t xml:space="preserve"> Grupi Ndërministror i Punës për Ndryshimet Klimatike (GNPNK) </w:t>
      </w:r>
      <w:r w:rsidRPr="00622884">
        <w:rPr>
          <w:rFonts w:ascii="Garamond" w:eastAsia="Calibri" w:hAnsi="Garamond" w:cs="Times New Roman"/>
          <w:sz w:val="24"/>
          <w:szCs w:val="24"/>
          <w:lang w:eastAsia="en-US" w:bidi="sq-AL"/>
        </w:rPr>
        <w:t>përbëhet nga anëtarë ekspertë të AKM-së, AKEC-it, INSTAT-it, IGJEO-s, si dhe përfaqësues nga disa ministri sektoriale</w:t>
      </w:r>
      <w:r w:rsidRPr="00622884">
        <w:rPr>
          <w:rFonts w:ascii="Garamond" w:eastAsia="Calibri" w:hAnsi="Garamond" w:cs="Times New Roman"/>
          <w:sz w:val="24"/>
          <w:szCs w:val="24"/>
          <w:vertAlign w:val="superscript"/>
          <w:lang w:eastAsia="en-US" w:bidi="sq-AL"/>
        </w:rPr>
        <w:footnoteReference w:id="148"/>
      </w:r>
      <w:r w:rsidRPr="00622884">
        <w:rPr>
          <w:rFonts w:ascii="Garamond" w:eastAsia="Calibri" w:hAnsi="Garamond" w:cs="Times New Roman"/>
          <w:sz w:val="24"/>
          <w:szCs w:val="24"/>
          <w:lang w:eastAsia="en-US" w:bidi="sq-AL"/>
        </w:rPr>
        <w:t>, dhe ka një rol koordinues e këshillimor në mbështetje të Ministrisë së Mjedisit për çështjet që lidhen me klimën. Është vlerësuar se ka qenë kryesisht joaktiv që nga viti 2017</w:t>
      </w:r>
      <w:r w:rsidRPr="00622884">
        <w:rPr>
          <w:rFonts w:ascii="Garamond" w:eastAsia="Calibri" w:hAnsi="Garamond" w:cs="Times New Roman"/>
          <w:sz w:val="24"/>
          <w:szCs w:val="24"/>
          <w:vertAlign w:val="superscript"/>
          <w:lang w:eastAsia="en-US" w:bidi="sq-AL"/>
        </w:rPr>
        <w:footnoteReference w:id="149"/>
      </w:r>
      <w:r w:rsidRPr="00622884">
        <w:rPr>
          <w:rFonts w:ascii="Garamond" w:eastAsia="Calibri" w:hAnsi="Garamond" w:cs="Times New Roman"/>
          <w:sz w:val="24"/>
          <w:szCs w:val="24"/>
          <w:lang w:eastAsia="en-US" w:bidi="sq-AL"/>
        </w:rPr>
        <w:t>. Për të ringjallur këtë forum, është përgatitur një draft i rishikuar i urdhrit të Kryeministrit “Për krijimin dhe funksionimin e Grupit Ndërministror të Punës për Ndryshimet Klimatike”, i cili ende nuk është miratuar</w:t>
      </w:r>
      <w:r w:rsidRPr="00622884">
        <w:rPr>
          <w:rFonts w:ascii="Garamond" w:eastAsia="Calibri" w:hAnsi="Garamond" w:cs="Times New Roman"/>
          <w:sz w:val="24"/>
          <w:szCs w:val="24"/>
          <w:vertAlign w:val="superscript"/>
          <w:lang w:eastAsia="en-US" w:bidi="sq-AL"/>
        </w:rPr>
        <w:footnoteReference w:id="150"/>
      </w:r>
      <w:r w:rsidRPr="00622884">
        <w:rPr>
          <w:rFonts w:ascii="Garamond" w:eastAsia="Calibri" w:hAnsi="Garamond" w:cs="Times New Roman"/>
          <w:sz w:val="24"/>
          <w:szCs w:val="24"/>
          <w:lang w:eastAsia="en-US" w:bidi="sq-AL"/>
        </w:rPr>
        <w:t>. GNPNK-ja ndahet në dy nëngrupe: Grupi i Punës për Zbutjen e Ndryshimeve Klimatike (GPZNK) dhe Grupi i Punës për Përshtatjen ndaj Ndryshimeve Klimatike (GPPNK), ndërsa janë përcaktuar rregulla të detajuara për drejtimin, sekretariatin teknik, si dhe manualet e funksionimit dhe formatet e raportimit</w:t>
      </w:r>
      <w:r w:rsidRPr="00622884">
        <w:rPr>
          <w:rFonts w:ascii="Garamond" w:eastAsia="Calibri" w:hAnsi="Garamond" w:cs="Times New Roman"/>
          <w:sz w:val="24"/>
          <w:szCs w:val="24"/>
          <w:vertAlign w:val="superscript"/>
          <w:lang w:eastAsia="en-US" w:bidi="sq-AL"/>
        </w:rPr>
        <w:footnoteReference w:id="151"/>
      </w:r>
      <w:r w:rsidRPr="00622884">
        <w:rPr>
          <w:rFonts w:ascii="Garamond" w:eastAsia="Calibri" w:hAnsi="Garamond" w:cs="Times New Roman"/>
          <w:sz w:val="24"/>
          <w:szCs w:val="24"/>
          <w:lang w:eastAsia="en-US" w:bidi="sq-AL"/>
        </w:rPr>
        <w:t>.</w:t>
      </w:r>
    </w:p>
    <w:p w14:paraId="46C05787"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GB"/>
        </w:rPr>
      </w:pPr>
      <w:r w:rsidRPr="00622884">
        <w:rPr>
          <w:rFonts w:ascii="Garamond" w:eastAsia="Calibri" w:hAnsi="Garamond" w:cs="Times New Roman"/>
          <w:sz w:val="24"/>
          <w:szCs w:val="24"/>
          <w:lang w:eastAsia="en-US" w:bidi="sq-AL"/>
        </w:rPr>
        <w:t xml:space="preserve">Kapacitetet për menaxhimin e përshtatjes mund të përmirësohen më tej në vend. Disa nga </w:t>
      </w:r>
      <w:r w:rsidRPr="00622884">
        <w:rPr>
          <w:rFonts w:ascii="Garamond" w:eastAsia="Calibri" w:hAnsi="Garamond" w:cs="Times New Roman"/>
          <w:b/>
          <w:sz w:val="24"/>
          <w:szCs w:val="24"/>
          <w:lang w:eastAsia="en-US" w:bidi="sq-AL"/>
        </w:rPr>
        <w:t>boshllëqet institucionale</w:t>
      </w:r>
      <w:r w:rsidRPr="00622884">
        <w:rPr>
          <w:rFonts w:ascii="Garamond" w:eastAsia="Calibri" w:hAnsi="Garamond" w:cs="Times New Roman"/>
          <w:sz w:val="24"/>
          <w:szCs w:val="24"/>
          <w:vertAlign w:val="superscript"/>
          <w:lang w:eastAsia="en-US" w:bidi="sq-AL"/>
        </w:rPr>
        <w:footnoteReference w:id="152"/>
      </w:r>
      <w:r w:rsidRPr="00622884">
        <w:rPr>
          <w:rFonts w:ascii="Garamond" w:eastAsia="Calibri" w:hAnsi="Garamond" w:cs="Times New Roman"/>
          <w:sz w:val="24"/>
          <w:szCs w:val="24"/>
          <w:lang w:eastAsia="en-US" w:bidi="sq-AL"/>
        </w:rPr>
        <w:t xml:space="preserve"> të identifikuara në Shqipëri, në lidhje me përshtatjen ndaj ndryshimeve klimatike, përfshijnë: </w:t>
      </w:r>
    </w:p>
    <w:p w14:paraId="5BEABE9B"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GB"/>
        </w:rPr>
      </w:pPr>
      <w:r w:rsidRPr="00622884">
        <w:rPr>
          <w:rFonts w:ascii="Garamond" w:eastAsia="Calibri" w:hAnsi="Garamond" w:cs="Times New Roman"/>
          <w:sz w:val="24"/>
          <w:szCs w:val="24"/>
          <w:lang w:eastAsia="en-US" w:bidi="sq-AL"/>
        </w:rPr>
        <w:t xml:space="preserve">- Mungesën e mandateve të qarta institucionale për ndryshimet klimatike në shumicën e institucioneve të përcaktuara nga ligji nr. 155/2020, “Për ndryshimet klimatike”, i ndryshuar; </w:t>
      </w:r>
    </w:p>
    <w:p w14:paraId="579F1953"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GB"/>
        </w:rPr>
      </w:pPr>
      <w:r w:rsidRPr="00622884">
        <w:rPr>
          <w:rFonts w:ascii="Garamond" w:eastAsia="Calibri" w:hAnsi="Garamond" w:cs="Times New Roman"/>
          <w:sz w:val="24"/>
          <w:szCs w:val="24"/>
          <w:lang w:eastAsia="en-US" w:bidi="sq-AL"/>
        </w:rPr>
        <w:t>- Mungesën e strukturave të posaçme për çështjet e ndryshimeve klimatike në institucionet përkatëse;</w:t>
      </w:r>
    </w:p>
    <w:p w14:paraId="0D9B56E7"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GB"/>
        </w:rPr>
      </w:pPr>
      <w:r w:rsidRPr="00622884">
        <w:rPr>
          <w:rFonts w:ascii="Garamond" w:eastAsia="Calibri" w:hAnsi="Garamond" w:cs="Times New Roman"/>
          <w:sz w:val="24"/>
          <w:szCs w:val="24"/>
          <w:lang w:eastAsia="en-US" w:bidi="sq-AL"/>
        </w:rPr>
        <w:t xml:space="preserve">- Mungesën e stafit të posaçëm për ndryshimet klimatike në këto institucione. </w:t>
      </w:r>
    </w:p>
    <w:p w14:paraId="1B6195EA" w14:textId="77777777" w:rsidR="00622884" w:rsidRPr="00622884" w:rsidRDefault="00622884" w:rsidP="00622884">
      <w:pPr>
        <w:keepNext/>
        <w:spacing w:after="0" w:line="240" w:lineRule="auto"/>
        <w:ind w:firstLine="284"/>
        <w:mirrorIndents/>
        <w:rPr>
          <w:rFonts w:ascii="Garamond" w:eastAsia="Calibri Light" w:hAnsi="Garamond" w:cs="Calibri Light"/>
          <w:b/>
          <w:bCs/>
          <w:iCs/>
          <w:sz w:val="24"/>
          <w:szCs w:val="24"/>
          <w:lang w:eastAsia="en-US"/>
        </w:rPr>
      </w:pPr>
      <w:r w:rsidRPr="00622884">
        <w:rPr>
          <w:rFonts w:ascii="Garamond" w:eastAsia="Calibri Light" w:hAnsi="Garamond" w:cs="Calibri Light"/>
          <w:b/>
          <w:bCs/>
          <w:iCs/>
          <w:sz w:val="24"/>
          <w:szCs w:val="24"/>
          <w:lang w:eastAsia="en-US" w:bidi="sq-AL"/>
        </w:rPr>
        <w:t>Kuadri ligjor dhe i politikave</w:t>
      </w:r>
    </w:p>
    <w:p w14:paraId="09C0FC1E" w14:textId="77777777" w:rsidR="00622884" w:rsidRPr="00622884" w:rsidRDefault="00622884" w:rsidP="00622884">
      <w:pPr>
        <w:spacing w:after="0" w:line="240" w:lineRule="auto"/>
        <w:ind w:firstLine="284"/>
        <w:rPr>
          <w:rFonts w:ascii="Garamond" w:eastAsia="Calibri" w:hAnsi="Garamond" w:cs="Calibri Light"/>
          <w:bCs/>
          <w:sz w:val="24"/>
          <w:szCs w:val="24"/>
          <w:lang w:eastAsia="en-US"/>
        </w:rPr>
      </w:pPr>
      <w:r w:rsidRPr="00622884">
        <w:rPr>
          <w:rFonts w:ascii="Garamond" w:eastAsia="SimSun" w:hAnsi="Garamond" w:cs="Calibri Light"/>
          <w:b/>
          <w:sz w:val="24"/>
          <w:szCs w:val="24"/>
          <w:lang w:eastAsia="en-US" w:bidi="sq-AL"/>
        </w:rPr>
        <w:t>Strategjia Kombëtare për Zhvillim dhe Integrim Evropian</w:t>
      </w:r>
      <w:r w:rsidRPr="00622884">
        <w:rPr>
          <w:rFonts w:ascii="Garamond" w:eastAsia="SimSun" w:hAnsi="Garamond" w:cs="Calibri Light"/>
          <w:sz w:val="24"/>
          <w:szCs w:val="24"/>
          <w:lang w:eastAsia="en-US" w:bidi="sq-AL"/>
        </w:rPr>
        <w:t xml:space="preserve"> (SKZHIE III, 2022</w:t>
      </w:r>
      <w:r w:rsidRPr="00622884">
        <w:rPr>
          <w:rFonts w:ascii="Garamond" w:eastAsia="SimSun" w:hAnsi="Garamond" w:cs="Times New Roman"/>
          <w:color w:val="1D3C5A"/>
          <w:sz w:val="24"/>
          <w:szCs w:val="24"/>
          <w:lang w:eastAsia="en-US"/>
        </w:rPr>
        <w:t>–</w:t>
      </w:r>
      <w:r w:rsidRPr="00622884">
        <w:rPr>
          <w:rFonts w:ascii="Garamond" w:eastAsia="SimSun" w:hAnsi="Garamond" w:cs="Calibri Light"/>
          <w:sz w:val="24"/>
          <w:szCs w:val="24"/>
          <w:lang w:eastAsia="en-US" w:bidi="sq-AL"/>
        </w:rPr>
        <w:t xml:space="preserve">2030) është dokumenti kryesor kombëtar i planifikimit, që përcakton drejtimet dhe prioritetet për zhvillimin ekonomik dhe social të qëndrueshëm të vendit në rrugën drejt anëtarësimit të plotë në </w:t>
      </w:r>
      <w:r w:rsidRPr="00622884">
        <w:rPr>
          <w:rFonts w:ascii="Garamond" w:eastAsia="SimSun" w:hAnsi="Garamond" w:cs="Calibri Light"/>
          <w:sz w:val="24"/>
          <w:szCs w:val="24"/>
          <w:lang w:eastAsia="en-US" w:bidi="sq-AL"/>
        </w:rPr>
        <w:lastRenderedPageBreak/>
        <w:t>BE. Një analizë e shpejtë përmes “lentës klimatike”</w:t>
      </w:r>
      <w:r w:rsidRPr="00622884">
        <w:rPr>
          <w:rFonts w:ascii="Garamond" w:eastAsia="SimSun" w:hAnsi="Garamond" w:cs="Calibri Light"/>
          <w:sz w:val="24"/>
          <w:szCs w:val="24"/>
          <w:vertAlign w:val="superscript"/>
          <w:lang w:eastAsia="en-US" w:bidi="sq-AL"/>
        </w:rPr>
        <w:footnoteReference w:id="153"/>
      </w:r>
      <w:r w:rsidRPr="00622884">
        <w:rPr>
          <w:rFonts w:ascii="Garamond" w:eastAsia="SimSun" w:hAnsi="Garamond" w:cs="Calibri Light"/>
          <w:sz w:val="24"/>
          <w:szCs w:val="24"/>
          <w:lang w:eastAsia="en-US" w:bidi="sq-AL"/>
        </w:rPr>
        <w:t xml:space="preserve"> e zbatuar ndaj SKZHIE III</w:t>
      </w:r>
      <w:r w:rsidRPr="00622884">
        <w:rPr>
          <w:rFonts w:ascii="Garamond" w:eastAsia="SimSun" w:hAnsi="Garamond" w:cs="Calibri Light"/>
          <w:sz w:val="24"/>
          <w:szCs w:val="24"/>
          <w:vertAlign w:val="superscript"/>
          <w:lang w:eastAsia="en-US" w:bidi="sq-AL"/>
        </w:rPr>
        <w:footnoteReference w:id="154"/>
      </w:r>
      <w:r w:rsidRPr="00622884">
        <w:rPr>
          <w:rFonts w:ascii="Garamond" w:eastAsia="SimSun" w:hAnsi="Garamond" w:cs="Calibri Light"/>
          <w:sz w:val="24"/>
          <w:szCs w:val="24"/>
          <w:lang w:eastAsia="en-US" w:bidi="sq-AL"/>
        </w:rPr>
        <w:t xml:space="preserve"> tregoi se integrimi i përshtatjes ndaj ndryshimeve klimatike është përmirësuar krahasuar me strategjinë e mëparshme SKZH II (2015</w:t>
      </w:r>
      <w:r w:rsidRPr="00622884">
        <w:rPr>
          <w:rFonts w:ascii="Garamond" w:eastAsia="SimSun" w:hAnsi="Garamond" w:cs="Times New Roman"/>
          <w:color w:val="1D3C5A"/>
          <w:sz w:val="24"/>
          <w:szCs w:val="24"/>
          <w:lang w:eastAsia="en-US"/>
        </w:rPr>
        <w:t>–</w:t>
      </w:r>
      <w:r w:rsidRPr="00622884">
        <w:rPr>
          <w:rFonts w:ascii="Garamond" w:eastAsia="SimSun" w:hAnsi="Garamond" w:cs="Calibri Light"/>
          <w:sz w:val="24"/>
          <w:szCs w:val="24"/>
          <w:lang w:eastAsia="en-US" w:bidi="sq-AL"/>
        </w:rPr>
        <w:t>2020). Kjo dëshmohet përmes objektivit të politikave të SKZHIE III për të rritur aftësinë ripërtëritëse të vendit ndaj ndikimeve të ndryshimeve klimatike nëpërmjet masave të veçanta të përshtatjes, si: integrimi i përshtatjes ndaj ndryshimeve klimatike në dokumentet strategjike kombëtare dhe vendore dhe në buxhetimin publik; krijimi i një platforme kombëtare të informacionit dhe shërbimeve klimatike; zbatimi i qasjeve të bazuara në ekosisteme dhe zgjidhjeve të bazuara në natyrë; përmirësimi i menaxhimit të rreziqeve nga fatkeqësitë përmes sistemeve të paralajmërimit të hershëm; përshtatja në zonat bregdetare. Megjithatë, ndryshimet klimatike nuk janë integruar në mënyrë të barabartë në të gjithë sektorët prioritarë</w:t>
      </w:r>
      <w:r w:rsidRPr="00622884">
        <w:rPr>
          <w:rFonts w:ascii="Garamond" w:eastAsia="SimSun" w:hAnsi="Garamond" w:cs="Calibri Light"/>
          <w:sz w:val="24"/>
          <w:szCs w:val="24"/>
          <w:vertAlign w:val="superscript"/>
          <w:lang w:eastAsia="en-US" w:bidi="sq-AL"/>
        </w:rPr>
        <w:footnoteReference w:id="155"/>
      </w:r>
      <w:r w:rsidRPr="00622884">
        <w:rPr>
          <w:rFonts w:ascii="Garamond" w:eastAsia="SimSun" w:hAnsi="Garamond" w:cs="Calibri Light"/>
          <w:sz w:val="24"/>
          <w:szCs w:val="24"/>
          <w:lang w:eastAsia="en-US" w:bidi="sq-AL"/>
        </w:rPr>
        <w:t xml:space="preserve">. Dokumente të tjera të rëndësishme të politikave që fokusohen në përshtatjen ndaj ndryshimeve klimatike përfshijnë </w:t>
      </w:r>
      <w:r w:rsidRPr="00622884">
        <w:rPr>
          <w:rFonts w:ascii="Garamond" w:eastAsia="SimSun" w:hAnsi="Garamond" w:cs="Calibri Light"/>
          <w:b/>
          <w:sz w:val="24"/>
          <w:szCs w:val="24"/>
          <w:lang w:eastAsia="en-US" w:bidi="sq-AL"/>
        </w:rPr>
        <w:t>dokumentin strategjik për zbutjen dhe përshtatjen ndaj ndryshimeve klimatike</w:t>
      </w:r>
      <w:r w:rsidRPr="00622884">
        <w:rPr>
          <w:rFonts w:ascii="Garamond" w:eastAsia="SimSun" w:hAnsi="Garamond" w:cs="Calibri Light"/>
          <w:sz w:val="24"/>
          <w:szCs w:val="24"/>
          <w:lang w:eastAsia="en-US" w:bidi="sq-AL"/>
        </w:rPr>
        <w:t xml:space="preserve">, kontributet e rishikuara </w:t>
      </w:r>
      <w:r w:rsidRPr="00622884">
        <w:rPr>
          <w:rFonts w:ascii="Garamond" w:eastAsia="SimSun" w:hAnsi="Garamond" w:cs="Calibri Light"/>
          <w:b/>
          <w:sz w:val="24"/>
          <w:szCs w:val="24"/>
          <w:lang w:eastAsia="en-US" w:bidi="sq-AL"/>
        </w:rPr>
        <w:t>kombëtare të pikësynuara</w:t>
      </w:r>
      <w:r w:rsidRPr="00622884">
        <w:rPr>
          <w:rFonts w:ascii="Garamond" w:eastAsia="SimSun" w:hAnsi="Garamond" w:cs="Calibri Light"/>
          <w:sz w:val="24"/>
          <w:szCs w:val="24"/>
          <w:lang w:eastAsia="en-US" w:bidi="sq-AL"/>
        </w:rPr>
        <w:t xml:space="preserve"> (KKP, 2021), </w:t>
      </w:r>
      <w:r w:rsidRPr="00622884">
        <w:rPr>
          <w:rFonts w:ascii="Garamond" w:eastAsia="SimSun" w:hAnsi="Garamond" w:cs="Calibri Light"/>
          <w:b/>
          <w:sz w:val="24"/>
          <w:szCs w:val="24"/>
          <w:lang w:eastAsia="en-US" w:bidi="sq-AL"/>
        </w:rPr>
        <w:t>Planin Kombëtar të Energjisë dhe Klimës të Republikës së Shqipërisë</w:t>
      </w:r>
      <w:r w:rsidRPr="00622884">
        <w:rPr>
          <w:rFonts w:ascii="Garamond" w:eastAsia="SimSun" w:hAnsi="Garamond" w:cs="Calibri Light"/>
          <w:sz w:val="24"/>
          <w:szCs w:val="24"/>
          <w:lang w:eastAsia="en-US" w:bidi="sq-AL"/>
        </w:rPr>
        <w:t xml:space="preserve"> (PKEK, 2024), etj.</w:t>
      </w:r>
    </w:p>
    <w:p w14:paraId="4B94B0A9" w14:textId="77777777" w:rsidR="00622884" w:rsidRPr="00622884" w:rsidRDefault="00622884" w:rsidP="00622884">
      <w:pPr>
        <w:spacing w:after="0" w:line="240" w:lineRule="auto"/>
        <w:ind w:firstLine="284"/>
        <w:rPr>
          <w:rFonts w:ascii="Garamond" w:eastAsia="SimSun" w:hAnsi="Garamond" w:cs="Calibri Light"/>
          <w:sz w:val="24"/>
          <w:szCs w:val="24"/>
          <w:lang w:eastAsia="en-US" w:bidi="sq-AL"/>
        </w:rPr>
      </w:pPr>
      <w:r w:rsidRPr="00622884">
        <w:rPr>
          <w:rFonts w:ascii="Garamond" w:eastAsia="SimSun" w:hAnsi="Garamond" w:cs="Calibri Light"/>
          <w:sz w:val="24"/>
          <w:szCs w:val="24"/>
          <w:lang w:eastAsia="en-US" w:bidi="sq-AL"/>
        </w:rPr>
        <w:t xml:space="preserve">Në lidhje me negociatat në vazhdim dhe përafrimin e </w:t>
      </w:r>
      <w:r w:rsidRPr="00622884">
        <w:rPr>
          <w:rFonts w:ascii="Garamond" w:eastAsia="SimSun" w:hAnsi="Garamond" w:cs="Calibri Light"/>
          <w:b/>
          <w:sz w:val="24"/>
          <w:szCs w:val="24"/>
          <w:lang w:eastAsia="en-US" w:bidi="sq-AL"/>
        </w:rPr>
        <w:t>legjislacionit për klimën të BE-së</w:t>
      </w:r>
      <w:r w:rsidRPr="00622884">
        <w:rPr>
          <w:rFonts w:ascii="Garamond" w:eastAsia="SimSun" w:hAnsi="Garamond" w:cs="Calibri Light"/>
          <w:sz w:val="24"/>
          <w:szCs w:val="24"/>
          <w:vertAlign w:val="superscript"/>
          <w:lang w:eastAsia="en-US" w:bidi="sq-AL"/>
        </w:rPr>
        <w:footnoteReference w:id="156"/>
      </w:r>
      <w:r w:rsidRPr="00622884">
        <w:rPr>
          <w:rFonts w:ascii="Garamond" w:eastAsia="SimSun" w:hAnsi="Garamond" w:cs="Calibri Light"/>
          <w:sz w:val="24"/>
          <w:szCs w:val="24"/>
          <w:lang w:eastAsia="en-US" w:bidi="sq-AL"/>
        </w:rPr>
        <w:t xml:space="preserve"> nga Shqipëria, Strategjia e BE-së për Përshtatjen ndaj Ndryshimeve Klimatike (2021) përcakton një vizion afatgjatë për BE-në për “t’u bërë një shoqëri e qëndrueshme ndaj klimës, plotësisht e përshtatur me ndikimet e pashmangshme të ndryshimeve klimatike deri në vitin 2050”. Kjo strategji synon të forcojë kapacitetin përshtatës të BE-së dhe të minimizojë cenueshmërinë ndaj ndikimeve klimatike, duke: përmirësuar njohuritë mbi ndikimet klimatike dhe zgjidhjet për përshtatje; intensifikuar planifikimin e përshtatjes dhe vlerësimet e riskut klimatik; përshpejtuar veprimet për përshtatje, dhe forcuar qëndrueshmërinë klimatike në nivel botëror</w:t>
      </w:r>
      <w:r w:rsidRPr="00622884">
        <w:rPr>
          <w:rFonts w:ascii="Garamond" w:eastAsia="SimSun" w:hAnsi="Garamond" w:cs="Calibri Light"/>
          <w:sz w:val="24"/>
          <w:szCs w:val="24"/>
          <w:vertAlign w:val="superscript"/>
          <w:lang w:eastAsia="en-US" w:bidi="sq-AL"/>
        </w:rPr>
        <w:footnoteReference w:id="157"/>
      </w:r>
      <w:r w:rsidRPr="00622884">
        <w:rPr>
          <w:rFonts w:ascii="Garamond" w:eastAsia="SimSun" w:hAnsi="Garamond" w:cs="Calibri Light"/>
          <w:sz w:val="24"/>
          <w:szCs w:val="24"/>
          <w:lang w:eastAsia="en-US" w:bidi="sq-AL"/>
        </w:rPr>
        <w:t>. Shqipëria ka nënshkruar, gjithashtu, Agjendën e Gjelbër të BE-së për Ballkanin Perëndimor dhe marrëveshje të tjera rajonale që lidhen me qëndrueshmërinë dhe veprimin klimatik, të cilat udhëheqin reagimin e saj ndaj përshtatjes klimatike.</w:t>
      </w:r>
    </w:p>
    <w:p w14:paraId="224A3237" w14:textId="77777777" w:rsidR="00622884" w:rsidRPr="00622884" w:rsidRDefault="00622884" w:rsidP="00622884">
      <w:pPr>
        <w:spacing w:after="0" w:line="240" w:lineRule="auto"/>
        <w:ind w:firstLine="284"/>
        <w:rPr>
          <w:rFonts w:ascii="Garamond" w:eastAsia="SimSun" w:hAnsi="Garamond" w:cs="Calibri Light"/>
          <w:sz w:val="24"/>
          <w:szCs w:val="24"/>
          <w:lang w:eastAsia="en-US"/>
        </w:rPr>
      </w:pPr>
      <w:r w:rsidRPr="00622884">
        <w:rPr>
          <w:rFonts w:ascii="Garamond" w:eastAsia="SimSun" w:hAnsi="Garamond" w:cs="Calibri Light"/>
          <w:b/>
          <w:sz w:val="24"/>
          <w:szCs w:val="24"/>
          <w:lang w:eastAsia="en-US" w:bidi="sq-AL"/>
        </w:rPr>
        <w:t>Veç kësaj</w:t>
      </w:r>
      <w:r w:rsidRPr="00622884">
        <w:rPr>
          <w:rFonts w:ascii="Garamond" w:eastAsia="SimSun" w:hAnsi="Garamond" w:cs="Calibri Light"/>
          <w:sz w:val="24"/>
          <w:szCs w:val="24"/>
          <w:lang w:eastAsia="en-US" w:bidi="sq-AL"/>
        </w:rPr>
        <w:t xml:space="preserve">, korniza ligjore për përshtatjen ndaj ndryshimeve klimatike përfshin Ligjin për Ndryshimet Klimatike nr. 155/2020, i ndryshuar dhe VKM-në nr. 889, të dhjetorit 2022, “Për miratimin e rregullores për monitorimin, raportimin e shkarkimeve të gazeve me efekt serrë dhe të informacioneve të tjera, që lidhen me ndryshimet klimatike në nivel kombëtar”. Tre nga pesë objektivat e Ligjit për Ndryshimet Klimatike lidhen me përshtatjen ndaj ndryshimeve </w:t>
      </w:r>
      <w:r w:rsidRPr="00622884">
        <w:rPr>
          <w:rFonts w:ascii="Garamond" w:eastAsia="SimSun" w:hAnsi="Garamond" w:cs="Calibri Light"/>
          <w:b/>
          <w:sz w:val="24"/>
          <w:szCs w:val="24"/>
          <w:lang w:eastAsia="en-US" w:bidi="sq-AL"/>
        </w:rPr>
        <w:t>klimatike</w:t>
      </w:r>
      <w:r w:rsidRPr="00622884">
        <w:rPr>
          <w:rFonts w:ascii="Garamond" w:eastAsia="SimSun" w:hAnsi="Garamond" w:cs="Calibri Light"/>
          <w:sz w:val="24"/>
          <w:szCs w:val="24"/>
          <w:lang w:eastAsia="en-US" w:bidi="sq-AL"/>
        </w:rPr>
        <w:t xml:space="preserve">: rritja e kapacitetit të përshtatjes në nivel kombëtar dhe vendor; nxitja e zhvillimit ekonomik përmes krijimit të vendeve të punës dhe konkurrencës, duke përfshirë diversifikimin ekonomik dhe menaxhimin e qëndrueshëm të burimeve natyrore; pjesëmarrja graduale në zbatimin e </w:t>
      </w:r>
      <w:r w:rsidRPr="00622884">
        <w:rPr>
          <w:rFonts w:ascii="Garamond" w:eastAsia="SimSun" w:hAnsi="Garamond" w:cs="Calibri Light"/>
          <w:sz w:val="24"/>
          <w:szCs w:val="24"/>
          <w:lang w:eastAsia="en-US" w:bidi="sq-AL"/>
        </w:rPr>
        <w:lastRenderedPageBreak/>
        <w:t>politikave të BE-së për ndryshimet klimatike. Akte të tjera përkatëse janë: Ligjet për Energjinë, Ligji për Mbrojtjen Civile dhe Deklarata e Riskut Fiskal</w:t>
      </w:r>
      <w:r w:rsidRPr="00622884">
        <w:rPr>
          <w:rFonts w:ascii="Garamond" w:eastAsia="SimSun" w:hAnsi="Garamond" w:cs="Calibri Light"/>
          <w:sz w:val="24"/>
          <w:szCs w:val="24"/>
          <w:vertAlign w:val="superscript"/>
          <w:lang w:eastAsia="en-US" w:bidi="sq-AL"/>
        </w:rPr>
        <w:footnoteReference w:id="158"/>
      </w:r>
      <w:r w:rsidRPr="00622884">
        <w:rPr>
          <w:rFonts w:ascii="Garamond" w:eastAsia="SimSun" w:hAnsi="Garamond" w:cs="Calibri Light"/>
          <w:sz w:val="24"/>
          <w:szCs w:val="24"/>
          <w:lang w:eastAsia="en-US" w:bidi="sq-AL"/>
        </w:rPr>
        <w:t>.</w:t>
      </w:r>
    </w:p>
    <w:p w14:paraId="13753443" w14:textId="77777777" w:rsidR="00622884" w:rsidRPr="00622884" w:rsidRDefault="00622884" w:rsidP="00622884">
      <w:pPr>
        <w:spacing w:after="0" w:line="240" w:lineRule="auto"/>
        <w:ind w:firstLine="284"/>
        <w:rPr>
          <w:rFonts w:ascii="Garamond" w:eastAsia="SimSun" w:hAnsi="Garamond" w:cs="Calibri Light"/>
          <w:sz w:val="24"/>
          <w:szCs w:val="24"/>
          <w:lang w:eastAsia="en-US" w:bidi="sq-AL"/>
        </w:rPr>
      </w:pPr>
      <w:r w:rsidRPr="00622884">
        <w:rPr>
          <w:rFonts w:ascii="Garamond" w:eastAsia="SimSun" w:hAnsi="Garamond" w:cs="Calibri Light"/>
          <w:sz w:val="24"/>
          <w:szCs w:val="24"/>
          <w:lang w:eastAsia="en-US" w:bidi="sq-AL"/>
        </w:rPr>
        <w:t xml:space="preserve">Detaje shtesë dhe një listë e plotë e legjislacionit dhe politikave të Shqipërisë që lidhen me klimën mund të gjenden në aneksin I. </w:t>
      </w:r>
      <w:r w:rsidRPr="00622884">
        <w:rPr>
          <w:rFonts w:ascii="Garamond" w:eastAsia="SimSun" w:hAnsi="Garamond" w:cs="Calibri Light"/>
          <w:sz w:val="24"/>
          <w:szCs w:val="24"/>
          <w:lang w:eastAsia="en-US" w:bidi="sq-AL"/>
        </w:rPr>
        <w:fldChar w:fldCharType="begin"/>
      </w:r>
      <w:r w:rsidRPr="00622884">
        <w:rPr>
          <w:rFonts w:ascii="Garamond" w:eastAsia="SimSun" w:hAnsi="Garamond" w:cs="Calibri Light"/>
          <w:sz w:val="24"/>
          <w:szCs w:val="24"/>
          <w:lang w:eastAsia="en-US" w:bidi="sq-AL"/>
        </w:rPr>
        <w:instrText xml:space="preserve"> REF AnnexI \h  \* MERGEFORMAT </w:instrText>
      </w:r>
      <w:r w:rsidRPr="00622884">
        <w:rPr>
          <w:rFonts w:ascii="Garamond" w:eastAsia="SimSun" w:hAnsi="Garamond" w:cs="Calibri Light"/>
          <w:sz w:val="24"/>
          <w:szCs w:val="24"/>
          <w:lang w:eastAsia="en-US" w:bidi="sq-AL"/>
        </w:rPr>
      </w:r>
      <w:r w:rsidRPr="00622884">
        <w:rPr>
          <w:rFonts w:ascii="Garamond" w:eastAsia="SimSun" w:hAnsi="Garamond" w:cs="Calibri Light"/>
          <w:sz w:val="24"/>
          <w:szCs w:val="24"/>
          <w:lang w:eastAsia="en-US" w:bidi="sq-AL"/>
        </w:rPr>
        <w:fldChar w:fldCharType="separate"/>
      </w:r>
      <w:r w:rsidRPr="00622884">
        <w:rPr>
          <w:rFonts w:ascii="Garamond" w:eastAsia="SimSun" w:hAnsi="Garamond" w:cs="Calibri Light"/>
          <w:sz w:val="24"/>
          <w:szCs w:val="24"/>
          <w:lang w:eastAsia="en-US"/>
        </w:rPr>
        <w:t>Aneksi</w:t>
      </w:r>
      <w:r w:rsidRPr="00622884">
        <w:rPr>
          <w:rFonts w:ascii="Garamond" w:eastAsia="SimSun" w:hAnsi="Garamond" w:cs="Calibri Light"/>
          <w:sz w:val="24"/>
          <w:szCs w:val="24"/>
          <w:lang w:eastAsia="en-US" w:bidi="sq-AL"/>
        </w:rPr>
        <w:t xml:space="preserve"> I: Përmbledhje e kuadrit rregullator dhe politikave.</w:t>
      </w:r>
    </w:p>
    <w:p w14:paraId="12629E5F" w14:textId="77777777" w:rsidR="00622884" w:rsidRPr="00622884" w:rsidRDefault="00622884" w:rsidP="00622884">
      <w:pPr>
        <w:spacing w:after="0" w:line="240" w:lineRule="auto"/>
        <w:ind w:firstLine="284"/>
        <w:rPr>
          <w:rFonts w:ascii="Garamond" w:eastAsia="Times New Roman" w:hAnsi="Garamond" w:cs="Calibri Light"/>
          <w:sz w:val="24"/>
          <w:szCs w:val="24"/>
          <w:lang w:eastAsia="en-US"/>
        </w:rPr>
      </w:pPr>
      <w:r w:rsidRPr="00622884">
        <w:rPr>
          <w:rFonts w:ascii="Garamond" w:eastAsia="SimSun" w:hAnsi="Garamond" w:cs="Calibri Light"/>
          <w:sz w:val="24"/>
          <w:szCs w:val="24"/>
          <w:lang w:eastAsia="en-US" w:bidi="sq-AL"/>
        </w:rPr>
        <w:fldChar w:fldCharType="end"/>
      </w:r>
      <w:bookmarkStart w:id="227" w:name="_Ref210984365"/>
      <w:bookmarkStart w:id="228" w:name="_Ref210984371"/>
      <w:bookmarkStart w:id="229" w:name="_Ref210985676"/>
      <w:bookmarkStart w:id="230" w:name="_Ref210985871"/>
      <w:bookmarkStart w:id="231" w:name="_Ref210986112"/>
      <w:bookmarkStart w:id="232" w:name="_Ref210991552"/>
      <w:bookmarkStart w:id="233" w:name="_Ref210991945"/>
      <w:bookmarkStart w:id="234" w:name="_Ref210992297"/>
      <w:bookmarkStart w:id="235" w:name="_Toc213936228"/>
      <w:r w:rsidRPr="00622884">
        <w:rPr>
          <w:rFonts w:ascii="Garamond" w:eastAsia="SimSun" w:hAnsi="Garamond" w:cs="Calibri Light"/>
          <w:sz w:val="24"/>
          <w:szCs w:val="24"/>
          <w:lang w:eastAsia="en-US" w:bidi="sq-AL"/>
        </w:rPr>
        <w:t>4. TENDENCAT, SKENARËT, CENUESHMËRITË DHE RISQET KLIMATIKE</w:t>
      </w:r>
      <w:bookmarkEnd w:id="227"/>
      <w:bookmarkEnd w:id="228"/>
      <w:bookmarkEnd w:id="229"/>
      <w:bookmarkEnd w:id="230"/>
      <w:bookmarkEnd w:id="231"/>
      <w:bookmarkEnd w:id="232"/>
      <w:bookmarkEnd w:id="233"/>
      <w:bookmarkEnd w:id="234"/>
      <w:bookmarkEnd w:id="235"/>
      <w:r w:rsidRPr="00622884">
        <w:rPr>
          <w:rFonts w:ascii="Garamond" w:eastAsia="SimSun" w:hAnsi="Garamond" w:cs="Calibri Light"/>
          <w:sz w:val="24"/>
          <w:szCs w:val="24"/>
          <w:lang w:eastAsia="en-US" w:bidi="sq-AL"/>
        </w:rPr>
        <w:t xml:space="preserve"> </w:t>
      </w:r>
    </w:p>
    <w:p w14:paraId="6C62668B" w14:textId="77777777" w:rsidR="00622884" w:rsidRPr="00622884" w:rsidRDefault="00622884" w:rsidP="00622884">
      <w:pPr>
        <w:spacing w:after="0" w:line="240" w:lineRule="auto"/>
        <w:ind w:firstLine="284"/>
        <w:rPr>
          <w:rFonts w:ascii="Garamond" w:eastAsia="SimSun" w:hAnsi="Garamond" w:cs="Calibri Light"/>
          <w:sz w:val="24"/>
          <w:szCs w:val="24"/>
          <w:lang w:eastAsia="nl-NL"/>
        </w:rPr>
      </w:pPr>
      <w:r w:rsidRPr="00622884">
        <w:rPr>
          <w:rFonts w:ascii="Garamond" w:eastAsia="SimSun" w:hAnsi="Garamond" w:cs="Calibri Light"/>
          <w:sz w:val="24"/>
          <w:szCs w:val="24"/>
          <w:lang w:eastAsia="en-US" w:bidi="sq-AL"/>
        </w:rPr>
        <w:t xml:space="preserve">Metodologjia për vlerësimin e tendencave dhe skenarëve të ndryshimeve klimatike në Shqipëri u bazua tek një qasje gjithëpërfshirëse, ndërdisiplinore dhe pjesëmarrëse, e cila përfshinte analizimin e kushteve të vëzhguara klimatike dhe ndryshimeve të pritshme klimatike, vlerësimin e risqeve klimatike, analizën e cenueshmërisë së pesë sektorëve kryesorë dhe konsultimin me palët e interesit. </w:t>
      </w:r>
    </w:p>
    <w:p w14:paraId="1604E001"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bidi="sq-AL"/>
        </w:rPr>
      </w:pPr>
      <w:r w:rsidRPr="00622884">
        <w:rPr>
          <w:rFonts w:ascii="Garamond" w:eastAsia="Calibri" w:hAnsi="Garamond" w:cs="Times New Roman"/>
          <w:sz w:val="24"/>
          <w:szCs w:val="24"/>
          <w:lang w:eastAsia="en-US" w:bidi="sq-AL"/>
        </w:rPr>
        <w:t>Duke u mbështetur te kjo bazë metodologjike, është thelbësore të kuptohet konteksti aktual klimatik i Shqipërisë si pikë referimi për vlerësimin e ndryshimeve të ardhshme. Sipas klasifikimit klimatik të Köppen, Shqipëria ka klimë mesdhetare, të karakterizuar nga dimra të butë dhe me lagështi, të pasuar nga vera të nxehta dhe të thata. Në këtë klimë tipike mesdhetare, për shkak të topografisë së larmishme, vërehen ndryshime të konsiderueshme klimatike, që variojnë nga dimrat shumë të ftohtë në zonat veriore, verilindore dhe juglindore, deri te verat shumë të nxehta dhe të thata përgjatë bregdetit. Duke marrë në konsideratë ndryshimet hapësinore të elementeve klimatike të përmendura dhe bazuar te ndryshimet e regjimeve të temperaturës dhe reshjeve, klimatologët shqiptarë e ndajnë territorin e Shqipërisë në 4 zona klimatike (shihni më poshtë): Zona Fushore Mesdhetare (ZFM), Zona Kodrinore Mesdhetare (ZKM), Zona Paramalore Mesdhetare (ZPM), Zona Malore Mesdhetare (ZMM) dhe në 13 nënzona</w:t>
      </w:r>
    </w:p>
    <w:p w14:paraId="5412436E"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p>
    <w:p w14:paraId="5BB1AE39"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r w:rsidRPr="00622884">
        <w:rPr>
          <w:rFonts w:ascii="Garamond" w:eastAsia="Calibri" w:hAnsi="Garamond" w:cs="Times New Roman"/>
          <w:noProof/>
          <w:sz w:val="24"/>
          <w:szCs w:val="24"/>
          <w:lang w:eastAsia="sq-AL"/>
        </w:rPr>
        <w:lastRenderedPageBreak/>
        <w:drawing>
          <wp:inline distT="0" distB="0" distL="0" distR="0" wp14:anchorId="425E3D5E" wp14:editId="34651F0F">
            <wp:extent cx="3944203" cy="5118136"/>
            <wp:effectExtent l="0" t="0" r="0" b="6350"/>
            <wp:docPr id="235"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3945358" cy="5119635"/>
                    </a:xfrm>
                    <a:prstGeom prst="rect">
                      <a:avLst/>
                    </a:prstGeom>
                    <a:noFill/>
                    <a:ln>
                      <a:noFill/>
                    </a:ln>
                  </pic:spPr>
                </pic:pic>
              </a:graphicData>
            </a:graphic>
          </wp:inline>
        </w:drawing>
      </w:r>
    </w:p>
    <w:p w14:paraId="4A75A3B0" w14:textId="77777777" w:rsidR="00622884" w:rsidRPr="00622884" w:rsidRDefault="00622884" w:rsidP="00622884">
      <w:pPr>
        <w:tabs>
          <w:tab w:val="left" w:pos="5325"/>
        </w:tabs>
        <w:spacing w:after="0" w:line="240" w:lineRule="auto"/>
        <w:ind w:firstLine="284"/>
        <w:rPr>
          <w:rFonts w:ascii="Garamond" w:eastAsia="Calibri" w:hAnsi="Garamond" w:cs="Times New Roman"/>
          <w:sz w:val="20"/>
          <w:szCs w:val="20"/>
          <w:lang w:eastAsia="en-US"/>
        </w:rPr>
      </w:pPr>
      <w:r w:rsidRPr="00622884">
        <w:rPr>
          <w:rFonts w:ascii="Garamond" w:eastAsia="Calibri" w:hAnsi="Garamond" w:cs="Times New Roman"/>
          <w:sz w:val="20"/>
          <w:szCs w:val="20"/>
          <w:lang w:eastAsia="en-US"/>
        </w:rPr>
        <w:t>Burimi: Mbështetje për plotësimin e mangësive në të dhënat dhe analizat e riskut të përshtatjes. Qeveria e Shqipërisë.</w:t>
      </w:r>
    </w:p>
    <w:p w14:paraId="1E156EC1" w14:textId="77777777" w:rsidR="00622884" w:rsidRPr="00622884" w:rsidRDefault="00622884" w:rsidP="00622884">
      <w:pPr>
        <w:tabs>
          <w:tab w:val="left" w:pos="5325"/>
        </w:tabs>
        <w:spacing w:after="0" w:line="240" w:lineRule="auto"/>
        <w:ind w:firstLine="284"/>
        <w:rPr>
          <w:rFonts w:ascii="Garamond" w:eastAsia="Calibri" w:hAnsi="Garamond" w:cs="Times New Roman"/>
          <w:sz w:val="10"/>
          <w:szCs w:val="20"/>
          <w:lang w:eastAsia="en-US"/>
        </w:rPr>
      </w:pPr>
    </w:p>
    <w:p w14:paraId="3746B775"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r w:rsidRPr="00622884">
        <w:rPr>
          <w:rFonts w:ascii="Garamond" w:eastAsia="Calibri" w:hAnsi="Garamond" w:cs="Times New Roman"/>
          <w:sz w:val="24"/>
          <w:szCs w:val="24"/>
          <w:lang w:eastAsia="en-US"/>
        </w:rPr>
        <w:t>Figura në vijim paraqet shpërndarjen hapësinore të temperaturës mesatare vjetore (°C) dhe reshjeve vjetore (mm) në Shqipëri për periudhën 1991–2020, duke ilustruar gradientët e theksuar klimatikë nga zonat bregdetare drejt atyre të brendshme dhe malore.</w:t>
      </w:r>
    </w:p>
    <w:p w14:paraId="2EF8D913" w14:textId="77777777" w:rsidR="00622884" w:rsidRPr="00622884" w:rsidRDefault="00622884" w:rsidP="00622884">
      <w:pPr>
        <w:tabs>
          <w:tab w:val="left" w:pos="5325"/>
        </w:tabs>
        <w:spacing w:after="0" w:line="240" w:lineRule="auto"/>
        <w:ind w:firstLine="284"/>
        <w:rPr>
          <w:rFonts w:ascii="Garamond" w:eastAsia="Calibri" w:hAnsi="Garamond" w:cs="Times New Roman"/>
          <w:sz w:val="12"/>
          <w:szCs w:val="24"/>
          <w:lang w:eastAsia="en-US"/>
        </w:rPr>
      </w:pPr>
    </w:p>
    <w:p w14:paraId="1BAC7204"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r w:rsidRPr="00622884">
        <w:rPr>
          <w:rFonts w:ascii="Garamond" w:eastAsia="Calibri" w:hAnsi="Garamond" w:cs="Times New Roman"/>
          <w:noProof/>
          <w:sz w:val="24"/>
          <w:szCs w:val="24"/>
          <w:lang w:eastAsia="sq-AL"/>
        </w:rPr>
        <w:drawing>
          <wp:inline distT="0" distB="0" distL="0" distR="0" wp14:anchorId="2665491C" wp14:editId="16B275AA">
            <wp:extent cx="5349198" cy="2242555"/>
            <wp:effectExtent l="0" t="0" r="4445" b="571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5376199" cy="2253875"/>
                    </a:xfrm>
                    <a:prstGeom prst="rect">
                      <a:avLst/>
                    </a:prstGeom>
                    <a:noFill/>
                  </pic:spPr>
                </pic:pic>
              </a:graphicData>
            </a:graphic>
          </wp:inline>
        </w:drawing>
      </w:r>
    </w:p>
    <w:p w14:paraId="419EBB33" w14:textId="77777777" w:rsidR="00622884" w:rsidRPr="00622884" w:rsidRDefault="00622884" w:rsidP="00622884">
      <w:pPr>
        <w:tabs>
          <w:tab w:val="left" w:pos="5325"/>
        </w:tabs>
        <w:spacing w:after="0" w:line="240" w:lineRule="auto"/>
        <w:ind w:firstLine="284"/>
        <w:rPr>
          <w:rFonts w:ascii="Garamond" w:eastAsia="Calibri" w:hAnsi="Garamond" w:cs="Times New Roman"/>
          <w:i/>
          <w:sz w:val="20"/>
          <w:szCs w:val="20"/>
          <w:lang w:eastAsia="en-US"/>
        </w:rPr>
      </w:pPr>
      <w:r w:rsidRPr="00622884">
        <w:rPr>
          <w:rFonts w:ascii="Garamond" w:eastAsia="Calibri" w:hAnsi="Garamond" w:cs="Times New Roman"/>
          <w:i/>
          <w:sz w:val="20"/>
          <w:szCs w:val="20"/>
          <w:lang w:eastAsia="en-US"/>
        </w:rPr>
        <w:t xml:space="preserve">Figura 4. Harta e temperaturës mesatare vjetore (°C): reshjet vjetore (mm) (djathtas) të Shqipërisë, 1991–2020. </w:t>
      </w:r>
    </w:p>
    <w:p w14:paraId="018072C4" w14:textId="77777777" w:rsidR="00622884" w:rsidRPr="00622884" w:rsidRDefault="00622884" w:rsidP="00622884">
      <w:pPr>
        <w:tabs>
          <w:tab w:val="left" w:pos="5325"/>
        </w:tabs>
        <w:spacing w:after="0" w:line="240" w:lineRule="auto"/>
        <w:ind w:firstLine="284"/>
        <w:rPr>
          <w:rFonts w:ascii="Garamond" w:eastAsia="Calibri" w:hAnsi="Garamond" w:cs="Times New Roman"/>
          <w:sz w:val="20"/>
          <w:szCs w:val="20"/>
          <w:lang w:eastAsia="en-US"/>
        </w:rPr>
      </w:pPr>
      <w:r w:rsidRPr="00622884">
        <w:rPr>
          <w:rFonts w:ascii="Garamond" w:eastAsia="Calibri" w:hAnsi="Garamond" w:cs="Times New Roman"/>
          <w:sz w:val="20"/>
          <w:szCs w:val="20"/>
          <w:lang w:eastAsia="en-US"/>
        </w:rPr>
        <w:t>Burimi: Profili i Riskut Klimatik për Vendin, Banka Botërore (2021).</w:t>
      </w:r>
    </w:p>
    <w:p w14:paraId="37BF7782" w14:textId="77777777" w:rsidR="00622884" w:rsidRPr="00622884" w:rsidRDefault="00622884" w:rsidP="00622884">
      <w:pPr>
        <w:tabs>
          <w:tab w:val="left" w:pos="5325"/>
        </w:tabs>
        <w:spacing w:after="0" w:line="240" w:lineRule="auto"/>
        <w:ind w:firstLine="284"/>
        <w:rPr>
          <w:rFonts w:ascii="Garamond" w:eastAsia="Calibri" w:hAnsi="Garamond" w:cs="Times New Roman"/>
          <w:sz w:val="6"/>
          <w:szCs w:val="20"/>
          <w:lang w:eastAsia="en-US"/>
        </w:rPr>
      </w:pPr>
    </w:p>
    <w:p w14:paraId="475899CF"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r w:rsidRPr="00622884">
        <w:rPr>
          <w:rFonts w:ascii="Garamond" w:eastAsia="Calibri" w:hAnsi="Garamond" w:cs="Times New Roman"/>
          <w:sz w:val="24"/>
          <w:szCs w:val="24"/>
          <w:lang w:eastAsia="en-US"/>
        </w:rPr>
        <w:t xml:space="preserve">Në mënyrë plotësuese, figura 5 tregon shpërndarjen bazë (1995–2015) të temperaturave minimale, mesatare dhe maksimale, duke theksuar diapazonin dhe variabilitetin e kushteve vjetore të temperaturës në të gjithë territorin. </w:t>
      </w:r>
    </w:p>
    <w:p w14:paraId="2D116880" w14:textId="77777777" w:rsidR="00622884" w:rsidRPr="00622884" w:rsidRDefault="00622884" w:rsidP="00622884">
      <w:pPr>
        <w:tabs>
          <w:tab w:val="left" w:pos="5325"/>
        </w:tabs>
        <w:spacing w:after="0" w:line="240" w:lineRule="auto"/>
        <w:ind w:firstLine="284"/>
        <w:rPr>
          <w:rFonts w:ascii="Garamond" w:eastAsia="Calibri" w:hAnsi="Garamond" w:cs="Times New Roman"/>
          <w:sz w:val="12"/>
          <w:szCs w:val="24"/>
          <w:lang w:eastAsia="en-US"/>
        </w:rPr>
      </w:pPr>
    </w:p>
    <w:tbl>
      <w:tblPr>
        <w:tblW w:w="0" w:type="auto"/>
        <w:tblBorders>
          <w:top w:val="single" w:sz="4" w:space="0" w:color="1D3C5A"/>
          <w:left w:val="single" w:sz="4" w:space="0" w:color="1D3C5A"/>
          <w:bottom w:val="single" w:sz="4" w:space="0" w:color="1D3C5A"/>
          <w:right w:val="single" w:sz="4" w:space="0" w:color="1D3C5A"/>
        </w:tblBorders>
        <w:tblLook w:val="04A0" w:firstRow="1" w:lastRow="0" w:firstColumn="1" w:lastColumn="0" w:noHBand="0" w:noVBand="1"/>
      </w:tblPr>
      <w:tblGrid>
        <w:gridCol w:w="2783"/>
        <w:gridCol w:w="2835"/>
        <w:gridCol w:w="2721"/>
        <w:gridCol w:w="948"/>
      </w:tblGrid>
      <w:tr w:rsidR="00622884" w:rsidRPr="00622884" w14:paraId="43037ABF" w14:textId="77777777" w:rsidTr="00622884">
        <w:trPr>
          <w:trHeight w:val="455"/>
        </w:trPr>
        <w:tc>
          <w:tcPr>
            <w:tcW w:w="2588" w:type="dxa"/>
            <w:shd w:val="clear" w:color="auto" w:fill="215A5C"/>
            <w:vAlign w:val="center"/>
          </w:tcPr>
          <w:p w14:paraId="0FE2C939" w14:textId="77777777" w:rsidR="00622884" w:rsidRPr="00622884" w:rsidRDefault="00622884" w:rsidP="00622884">
            <w:pPr>
              <w:suppressAutoHyphens/>
              <w:spacing w:before="120" w:after="180"/>
              <w:jc w:val="center"/>
              <w:rPr>
                <w:rFonts w:ascii="Calibri Light" w:eastAsia="Times New Roman" w:hAnsi="Calibri Light" w:cs="Calibri Light"/>
                <w:b/>
                <w:sz w:val="20"/>
                <w:szCs w:val="24"/>
                <w:lang w:eastAsia="ar-SA"/>
              </w:rPr>
            </w:pPr>
            <w:r w:rsidRPr="00622884">
              <w:rPr>
                <w:rFonts w:ascii="Calibri" w:eastAsia="Times New Roman" w:hAnsi="Calibri" w:cs="Times New Roman"/>
                <w:b/>
                <w:sz w:val="20"/>
                <w:lang w:eastAsia="en-US" w:bidi="sq-AL"/>
              </w:rPr>
              <w:t>Tmin</w:t>
            </w:r>
          </w:p>
        </w:tc>
        <w:tc>
          <w:tcPr>
            <w:tcW w:w="2636" w:type="dxa"/>
            <w:shd w:val="clear" w:color="auto" w:fill="215A5C"/>
            <w:vAlign w:val="center"/>
          </w:tcPr>
          <w:p w14:paraId="0A4E5791" w14:textId="77777777" w:rsidR="00622884" w:rsidRPr="00622884" w:rsidRDefault="00622884" w:rsidP="00622884">
            <w:pPr>
              <w:suppressAutoHyphens/>
              <w:spacing w:before="120" w:after="180"/>
              <w:jc w:val="center"/>
              <w:rPr>
                <w:rFonts w:ascii="Calibri Light" w:eastAsia="Times New Roman" w:hAnsi="Calibri Light" w:cs="Calibri Light"/>
                <w:b/>
                <w:sz w:val="20"/>
                <w:szCs w:val="24"/>
                <w:lang w:eastAsia="ar-SA"/>
              </w:rPr>
            </w:pPr>
            <w:r w:rsidRPr="00622884">
              <w:rPr>
                <w:rFonts w:ascii="Calibri" w:eastAsia="Times New Roman" w:hAnsi="Calibri" w:cs="Times New Roman"/>
                <w:b/>
                <w:sz w:val="20"/>
                <w:lang w:eastAsia="en-US" w:bidi="sq-AL"/>
              </w:rPr>
              <w:t>Tmes</w:t>
            </w:r>
          </w:p>
        </w:tc>
        <w:tc>
          <w:tcPr>
            <w:tcW w:w="2529" w:type="dxa"/>
            <w:shd w:val="clear" w:color="auto" w:fill="215A5C"/>
            <w:vAlign w:val="center"/>
          </w:tcPr>
          <w:p w14:paraId="7A821091" w14:textId="77777777" w:rsidR="00622884" w:rsidRPr="00622884" w:rsidRDefault="00622884" w:rsidP="00622884">
            <w:pPr>
              <w:suppressAutoHyphens/>
              <w:spacing w:before="120" w:after="180"/>
              <w:jc w:val="center"/>
              <w:rPr>
                <w:rFonts w:ascii="Calibri Light" w:eastAsia="Times New Roman" w:hAnsi="Calibri Light" w:cs="Calibri Light"/>
                <w:b/>
                <w:sz w:val="20"/>
                <w:szCs w:val="24"/>
                <w:lang w:eastAsia="ar-SA"/>
              </w:rPr>
            </w:pPr>
            <w:r w:rsidRPr="00622884">
              <w:rPr>
                <w:rFonts w:ascii="Calibri" w:eastAsia="Times New Roman" w:hAnsi="Calibri" w:cs="Times New Roman"/>
                <w:b/>
                <w:sz w:val="20"/>
                <w:lang w:eastAsia="en-US" w:bidi="sq-AL"/>
              </w:rPr>
              <w:t>Tmaks</w:t>
            </w:r>
          </w:p>
        </w:tc>
        <w:tc>
          <w:tcPr>
            <w:tcW w:w="885" w:type="dxa"/>
            <w:shd w:val="clear" w:color="auto" w:fill="215A5C"/>
            <w:vAlign w:val="center"/>
          </w:tcPr>
          <w:p w14:paraId="6AC28209" w14:textId="77777777" w:rsidR="00622884" w:rsidRPr="00622884" w:rsidRDefault="00622884" w:rsidP="00622884">
            <w:pPr>
              <w:suppressAutoHyphens/>
              <w:spacing w:before="120" w:after="180"/>
              <w:rPr>
                <w:rFonts w:ascii="Calibri Light" w:eastAsia="Times New Roman" w:hAnsi="Calibri Light" w:cs="Calibri Light"/>
                <w:b/>
                <w:sz w:val="20"/>
                <w:szCs w:val="24"/>
                <w:lang w:eastAsia="ar-SA"/>
              </w:rPr>
            </w:pPr>
          </w:p>
        </w:tc>
      </w:tr>
      <w:tr w:rsidR="00622884" w:rsidRPr="00622884" w14:paraId="17AA82CB" w14:textId="77777777" w:rsidTr="00622884">
        <w:trPr>
          <w:trHeight w:val="3511"/>
        </w:trPr>
        <w:tc>
          <w:tcPr>
            <w:tcW w:w="2588" w:type="dxa"/>
            <w:vAlign w:val="center"/>
          </w:tcPr>
          <w:p w14:paraId="7788C54E" w14:textId="77777777" w:rsidR="00622884" w:rsidRPr="00622884" w:rsidRDefault="00622884" w:rsidP="00622884">
            <w:pPr>
              <w:suppressAutoHyphens/>
              <w:spacing w:before="120" w:after="180"/>
              <w:rPr>
                <w:rFonts w:ascii="Calibri Light" w:eastAsia="Times New Roman" w:hAnsi="Calibri Light" w:cs="Calibri Light"/>
                <w:sz w:val="20"/>
                <w:szCs w:val="24"/>
                <w:lang w:eastAsia="ar-SA"/>
              </w:rPr>
            </w:pPr>
            <w:r w:rsidRPr="00622884">
              <w:rPr>
                <w:rFonts w:ascii="Calibri" w:eastAsia="Times New Roman" w:hAnsi="Calibri" w:cs="Times New Roman"/>
                <w:noProof/>
                <w:sz w:val="20"/>
                <w:lang w:eastAsia="sq-AL"/>
              </w:rPr>
              <w:drawing>
                <wp:inline distT="0" distB="0" distL="0" distR="0" wp14:anchorId="5758C0F7" wp14:editId="02EFA524">
                  <wp:extent cx="1699260" cy="2606675"/>
                  <wp:effectExtent l="0" t="0" r="0" b="3175"/>
                  <wp:docPr id="236" name="Picture 236" descr="Afbeelding met kaart, tekst&#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fbeelding met kaart, tekst&#10;&#10;Door AI gegenereerde inhoud is mogelijk onjuist."/>
                          <pic:cNvPicPr>
                            <a:picLocks noChangeAspect="1" noChangeArrowheads="1"/>
                          </pic:cNvPicPr>
                        </pic:nvPicPr>
                        <pic:blipFill>
                          <a:blip r:embed="rId73">
                            <a:extLst>
                              <a:ext uri="{28A0092B-C50C-407E-A947-70E740481C1C}">
                                <a14:useLocalDpi xmlns:a14="http://schemas.microsoft.com/office/drawing/2010/main" val="0"/>
                              </a:ext>
                            </a:extLst>
                          </a:blip>
                          <a:srcRect l="30824" t="6027" r="32385" b="5135"/>
                          <a:stretch>
                            <a:fillRect/>
                          </a:stretch>
                        </pic:blipFill>
                        <pic:spPr bwMode="auto">
                          <a:xfrm>
                            <a:off x="0" y="0"/>
                            <a:ext cx="1699260" cy="2606675"/>
                          </a:xfrm>
                          <a:prstGeom prst="rect">
                            <a:avLst/>
                          </a:prstGeom>
                          <a:noFill/>
                          <a:ln>
                            <a:noFill/>
                          </a:ln>
                        </pic:spPr>
                      </pic:pic>
                    </a:graphicData>
                  </a:graphic>
                </wp:inline>
              </w:drawing>
            </w:r>
          </w:p>
        </w:tc>
        <w:tc>
          <w:tcPr>
            <w:tcW w:w="2636" w:type="dxa"/>
            <w:vAlign w:val="center"/>
          </w:tcPr>
          <w:p w14:paraId="55062BF5" w14:textId="77777777" w:rsidR="00622884" w:rsidRPr="00622884" w:rsidRDefault="00622884" w:rsidP="00622884">
            <w:pPr>
              <w:suppressAutoHyphens/>
              <w:spacing w:before="120" w:after="180"/>
              <w:rPr>
                <w:rFonts w:ascii="Calibri Light" w:eastAsia="Times New Roman" w:hAnsi="Calibri Light" w:cs="Calibri Light"/>
                <w:sz w:val="20"/>
                <w:szCs w:val="24"/>
                <w:lang w:eastAsia="ar-SA"/>
              </w:rPr>
            </w:pPr>
            <w:r w:rsidRPr="00622884">
              <w:rPr>
                <w:rFonts w:ascii="Calibri" w:eastAsia="Times New Roman" w:hAnsi="Calibri" w:cs="Times New Roman"/>
                <w:noProof/>
                <w:sz w:val="20"/>
                <w:lang w:eastAsia="sq-AL"/>
              </w:rPr>
              <w:drawing>
                <wp:inline distT="0" distB="0" distL="0" distR="0" wp14:anchorId="3E9F0EA6" wp14:editId="7701D577">
                  <wp:extent cx="1726565" cy="2620645"/>
                  <wp:effectExtent l="0" t="0" r="6985" b="8255"/>
                  <wp:docPr id="237" name="Picture 237" descr="Afbeelding met kaart&#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Afbeelding met kaart&#10;&#10;Door AI gegenereerde inhoud is mogelijk onjuist."/>
                          <pic:cNvPicPr>
                            <a:picLocks noChangeAspect="1" noChangeArrowheads="1"/>
                          </pic:cNvPicPr>
                        </pic:nvPicPr>
                        <pic:blipFill>
                          <a:blip r:embed="rId74">
                            <a:extLst>
                              <a:ext uri="{28A0092B-C50C-407E-A947-70E740481C1C}">
                                <a14:useLocalDpi xmlns:a14="http://schemas.microsoft.com/office/drawing/2010/main" val="0"/>
                              </a:ext>
                            </a:extLst>
                          </a:blip>
                          <a:srcRect l="30470" t="4012" r="32133" b="4614"/>
                          <a:stretch>
                            <a:fillRect/>
                          </a:stretch>
                        </pic:blipFill>
                        <pic:spPr bwMode="auto">
                          <a:xfrm>
                            <a:off x="0" y="0"/>
                            <a:ext cx="1726565" cy="2620645"/>
                          </a:xfrm>
                          <a:prstGeom prst="rect">
                            <a:avLst/>
                          </a:prstGeom>
                          <a:noFill/>
                          <a:ln>
                            <a:noFill/>
                          </a:ln>
                        </pic:spPr>
                      </pic:pic>
                    </a:graphicData>
                  </a:graphic>
                </wp:inline>
              </w:drawing>
            </w:r>
          </w:p>
        </w:tc>
        <w:tc>
          <w:tcPr>
            <w:tcW w:w="2529" w:type="dxa"/>
            <w:vAlign w:val="center"/>
          </w:tcPr>
          <w:p w14:paraId="68D14220" w14:textId="77777777" w:rsidR="00622884" w:rsidRPr="00622884" w:rsidRDefault="00622884" w:rsidP="00622884">
            <w:pPr>
              <w:suppressAutoHyphens/>
              <w:spacing w:before="120" w:after="180"/>
              <w:rPr>
                <w:rFonts w:ascii="Calibri Light" w:eastAsia="Times New Roman" w:hAnsi="Calibri Light" w:cs="Calibri Light"/>
                <w:sz w:val="20"/>
                <w:szCs w:val="24"/>
                <w:lang w:eastAsia="ar-SA"/>
              </w:rPr>
            </w:pPr>
            <w:r w:rsidRPr="00622884">
              <w:rPr>
                <w:rFonts w:ascii="Calibri" w:eastAsia="Times New Roman" w:hAnsi="Calibri" w:cs="Times New Roman"/>
                <w:noProof/>
                <w:sz w:val="20"/>
                <w:lang w:eastAsia="sq-AL"/>
              </w:rPr>
              <w:drawing>
                <wp:inline distT="0" distB="0" distL="0" distR="0" wp14:anchorId="1C671AF0" wp14:editId="3A812176">
                  <wp:extent cx="1657985" cy="2559050"/>
                  <wp:effectExtent l="0" t="0" r="0" b="0"/>
                  <wp:docPr id="238" name="Picture 238" descr="Afbeelding met schermopname, Kleurrijkheid, sinaasappel&#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Afbeelding met schermopname, Kleurrijkheid, sinaasappel&#10;&#10;Door AI gegenereerde inhoud is mogelijk onjuist."/>
                          <pic:cNvPicPr>
                            <a:picLocks noChangeAspect="1" noChangeArrowheads="1"/>
                          </pic:cNvPicPr>
                        </pic:nvPicPr>
                        <pic:blipFill>
                          <a:blip r:embed="rId75">
                            <a:extLst>
                              <a:ext uri="{28A0092B-C50C-407E-A947-70E740481C1C}">
                                <a14:useLocalDpi xmlns:a14="http://schemas.microsoft.com/office/drawing/2010/main" val="0"/>
                              </a:ext>
                            </a:extLst>
                          </a:blip>
                          <a:srcRect l="31857" t="4457" r="31441" b="4170"/>
                          <a:stretch>
                            <a:fillRect/>
                          </a:stretch>
                        </pic:blipFill>
                        <pic:spPr bwMode="auto">
                          <a:xfrm>
                            <a:off x="0" y="0"/>
                            <a:ext cx="1657985" cy="2559050"/>
                          </a:xfrm>
                          <a:prstGeom prst="rect">
                            <a:avLst/>
                          </a:prstGeom>
                          <a:noFill/>
                          <a:ln>
                            <a:noFill/>
                          </a:ln>
                        </pic:spPr>
                      </pic:pic>
                    </a:graphicData>
                  </a:graphic>
                </wp:inline>
              </w:drawing>
            </w:r>
          </w:p>
        </w:tc>
        <w:tc>
          <w:tcPr>
            <w:tcW w:w="885" w:type="dxa"/>
            <w:vAlign w:val="center"/>
          </w:tcPr>
          <w:p w14:paraId="3EE2A396" w14:textId="77777777" w:rsidR="00622884" w:rsidRPr="00622884" w:rsidRDefault="00622884" w:rsidP="00622884">
            <w:pPr>
              <w:suppressAutoHyphens/>
              <w:spacing w:before="120" w:after="180"/>
              <w:rPr>
                <w:rFonts w:ascii="Calibri Light" w:eastAsia="Times New Roman" w:hAnsi="Calibri Light" w:cs="Calibri Light"/>
                <w:sz w:val="20"/>
                <w:szCs w:val="24"/>
                <w:lang w:eastAsia="ar-SA"/>
              </w:rPr>
            </w:pPr>
            <w:r w:rsidRPr="00622884">
              <w:rPr>
                <w:rFonts w:ascii="Calibri" w:eastAsia="Times New Roman" w:hAnsi="Calibri" w:cs="Times New Roman"/>
                <w:noProof/>
                <w:sz w:val="20"/>
                <w:lang w:eastAsia="sq-AL"/>
              </w:rPr>
              <w:drawing>
                <wp:inline distT="0" distB="0" distL="0" distR="0" wp14:anchorId="06ED6F28" wp14:editId="5DCE095A">
                  <wp:extent cx="484505" cy="2204085"/>
                  <wp:effectExtent l="0" t="0" r="0" b="5715"/>
                  <wp:docPr id="11" name="Picture 11" descr="Afbeelding met tekst, schermopname, software, Multimediasoftware&#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Afbeelding met tekst, schermopname, software, Multimediasoftware&#10;&#10;Door AI gegenereerde inhoud is mogelijk onjuist."/>
                          <pic:cNvPicPr>
                            <a:picLocks noChangeAspect="1" noChangeArrowheads="1"/>
                          </pic:cNvPicPr>
                        </pic:nvPicPr>
                        <pic:blipFill>
                          <a:blip r:embed="rId76">
                            <a:extLst>
                              <a:ext uri="{28A0092B-C50C-407E-A947-70E740481C1C}">
                                <a14:useLocalDpi xmlns:a14="http://schemas.microsoft.com/office/drawing/2010/main" val="0"/>
                              </a:ext>
                            </a:extLst>
                          </a:blip>
                          <a:srcRect l="6453" t="21675" r="89017" b="41766"/>
                          <a:stretch>
                            <a:fillRect/>
                          </a:stretch>
                        </pic:blipFill>
                        <pic:spPr bwMode="auto">
                          <a:xfrm>
                            <a:off x="0" y="0"/>
                            <a:ext cx="484505" cy="2204085"/>
                          </a:xfrm>
                          <a:prstGeom prst="rect">
                            <a:avLst/>
                          </a:prstGeom>
                          <a:noFill/>
                          <a:ln>
                            <a:noFill/>
                          </a:ln>
                        </pic:spPr>
                      </pic:pic>
                    </a:graphicData>
                  </a:graphic>
                </wp:inline>
              </w:drawing>
            </w:r>
          </w:p>
        </w:tc>
      </w:tr>
    </w:tbl>
    <w:p w14:paraId="03685C4C" w14:textId="77777777" w:rsidR="00622884" w:rsidRPr="00622884" w:rsidRDefault="00622884" w:rsidP="00622884">
      <w:pPr>
        <w:tabs>
          <w:tab w:val="left" w:pos="5325"/>
        </w:tabs>
        <w:spacing w:after="0" w:line="240" w:lineRule="auto"/>
        <w:rPr>
          <w:rFonts w:ascii="Garamond" w:eastAsia="Calibri" w:hAnsi="Garamond" w:cs="Times New Roman"/>
          <w:sz w:val="2"/>
          <w:szCs w:val="24"/>
          <w:lang w:eastAsia="en-US"/>
        </w:rPr>
      </w:pPr>
    </w:p>
    <w:p w14:paraId="55A98C13" w14:textId="77777777" w:rsidR="00622884" w:rsidRPr="00622884" w:rsidRDefault="00622884" w:rsidP="00622884">
      <w:pPr>
        <w:tabs>
          <w:tab w:val="left" w:pos="5325"/>
        </w:tabs>
        <w:spacing w:after="0" w:line="240" w:lineRule="auto"/>
        <w:ind w:firstLine="284"/>
        <w:rPr>
          <w:rFonts w:ascii="Garamond" w:eastAsia="Calibri" w:hAnsi="Garamond" w:cs="Times New Roman"/>
          <w:i/>
          <w:sz w:val="20"/>
          <w:szCs w:val="20"/>
          <w:lang w:eastAsia="en-US"/>
        </w:rPr>
      </w:pPr>
      <w:bookmarkStart w:id="236" w:name="_Ref209094779"/>
      <w:bookmarkStart w:id="237" w:name="_Toc213936077"/>
      <w:r w:rsidRPr="00622884">
        <w:rPr>
          <w:rFonts w:ascii="Garamond" w:eastAsia="Calibri" w:hAnsi="Garamond" w:cs="Times New Roman"/>
          <w:i/>
          <w:sz w:val="20"/>
          <w:szCs w:val="20"/>
          <w:lang w:eastAsia="en-US" w:bidi="sq-AL"/>
        </w:rPr>
        <w:t xml:space="preserve">Figura </w:t>
      </w:r>
      <w:r w:rsidRPr="00622884">
        <w:rPr>
          <w:rFonts w:ascii="Garamond" w:eastAsia="Calibri" w:hAnsi="Garamond" w:cs="Times New Roman"/>
          <w:i/>
          <w:sz w:val="20"/>
          <w:szCs w:val="20"/>
          <w:lang w:eastAsia="en-US" w:bidi="sq-AL"/>
        </w:rPr>
        <w:fldChar w:fldCharType="begin"/>
      </w:r>
      <w:r w:rsidRPr="00622884">
        <w:rPr>
          <w:rFonts w:ascii="Garamond" w:eastAsia="Calibri" w:hAnsi="Garamond" w:cs="Times New Roman"/>
          <w:i/>
          <w:sz w:val="20"/>
          <w:szCs w:val="20"/>
          <w:lang w:eastAsia="en-US" w:bidi="sq-AL"/>
        </w:rPr>
        <w:instrText xml:space="preserve"> SEQ Figura \* ARABIC </w:instrText>
      </w:r>
      <w:r w:rsidRPr="00622884">
        <w:rPr>
          <w:rFonts w:ascii="Garamond" w:eastAsia="Calibri" w:hAnsi="Garamond" w:cs="Times New Roman"/>
          <w:i/>
          <w:sz w:val="20"/>
          <w:szCs w:val="20"/>
          <w:lang w:eastAsia="en-US" w:bidi="sq-AL"/>
        </w:rPr>
        <w:fldChar w:fldCharType="separate"/>
      </w:r>
      <w:r w:rsidRPr="00622884">
        <w:rPr>
          <w:rFonts w:ascii="Garamond" w:eastAsia="Calibri" w:hAnsi="Garamond" w:cs="Times New Roman"/>
          <w:i/>
          <w:sz w:val="20"/>
          <w:szCs w:val="20"/>
          <w:lang w:eastAsia="en-US" w:bidi="sq-AL"/>
        </w:rPr>
        <w:t>5</w:t>
      </w:r>
      <w:r w:rsidRPr="00622884">
        <w:rPr>
          <w:rFonts w:ascii="Garamond" w:eastAsia="Calibri" w:hAnsi="Garamond" w:cs="Times New Roman"/>
          <w:i/>
          <w:sz w:val="20"/>
          <w:szCs w:val="20"/>
          <w:lang w:eastAsia="en-US" w:bidi="sq-AL"/>
        </w:rPr>
        <w:fldChar w:fldCharType="end"/>
      </w:r>
      <w:bookmarkEnd w:id="236"/>
      <w:r w:rsidRPr="00622884">
        <w:rPr>
          <w:rFonts w:ascii="Garamond" w:eastAsia="Calibri" w:hAnsi="Garamond" w:cs="Times New Roman"/>
          <w:i/>
          <w:sz w:val="20"/>
          <w:szCs w:val="20"/>
          <w:lang w:eastAsia="en-US" w:bidi="sq-AL"/>
        </w:rPr>
        <w:t>. Shpërndarjet e temperaturave vjetore</w:t>
      </w:r>
      <w:r w:rsidRPr="00622884">
        <w:rPr>
          <w:rFonts w:ascii="Garamond" w:eastAsia="Calibri" w:hAnsi="Garamond" w:cs="Times New Roman"/>
          <w:i/>
          <w:sz w:val="20"/>
          <w:szCs w:val="20"/>
          <w:vertAlign w:val="superscript"/>
          <w:lang w:eastAsia="en-US" w:bidi="sq-AL"/>
        </w:rPr>
        <w:footnoteReference w:id="159"/>
      </w:r>
      <w:r w:rsidRPr="00622884">
        <w:rPr>
          <w:rFonts w:ascii="Garamond" w:eastAsia="Calibri" w:hAnsi="Garamond" w:cs="Times New Roman"/>
          <w:i/>
          <w:sz w:val="20"/>
          <w:szCs w:val="20"/>
          <w:lang w:eastAsia="en-US" w:bidi="sq-AL"/>
        </w:rPr>
        <w:t>.</w:t>
      </w:r>
      <w:bookmarkEnd w:id="237"/>
    </w:p>
    <w:p w14:paraId="646FA525" w14:textId="77777777" w:rsidR="00622884" w:rsidRPr="00622884" w:rsidRDefault="00622884" w:rsidP="00622884">
      <w:pPr>
        <w:tabs>
          <w:tab w:val="left" w:pos="5325"/>
        </w:tabs>
        <w:spacing w:after="0" w:line="240" w:lineRule="auto"/>
        <w:ind w:firstLine="284"/>
        <w:rPr>
          <w:rFonts w:ascii="Garamond" w:eastAsia="Calibri" w:hAnsi="Garamond" w:cs="Times New Roman"/>
          <w:sz w:val="20"/>
          <w:szCs w:val="20"/>
          <w:lang w:eastAsia="en-US"/>
        </w:rPr>
      </w:pPr>
      <w:r w:rsidRPr="00622884">
        <w:rPr>
          <w:rFonts w:ascii="Garamond" w:eastAsia="Calibri" w:hAnsi="Garamond" w:cs="Times New Roman"/>
          <w:sz w:val="20"/>
          <w:szCs w:val="20"/>
          <w:lang w:eastAsia="en-US" w:bidi="sq-AL"/>
        </w:rPr>
        <w:t>Burimi: Mbështetje për plotësimin e mangësive në të dhënat dhe analizat e riskut të përshtatjes. Qeveria e Shqipërisë.</w:t>
      </w:r>
    </w:p>
    <w:p w14:paraId="2A1F5A07" w14:textId="77777777" w:rsidR="00622884" w:rsidRPr="00622884" w:rsidRDefault="00622884" w:rsidP="00622884">
      <w:pPr>
        <w:tabs>
          <w:tab w:val="left" w:pos="5325"/>
        </w:tabs>
        <w:spacing w:after="0" w:line="240" w:lineRule="auto"/>
        <w:ind w:firstLine="284"/>
        <w:rPr>
          <w:rFonts w:ascii="Garamond" w:eastAsia="Calibri" w:hAnsi="Garamond" w:cs="Times New Roman"/>
          <w:sz w:val="14"/>
          <w:szCs w:val="24"/>
          <w:lang w:eastAsia="en-US"/>
        </w:rPr>
      </w:pPr>
    </w:p>
    <w:p w14:paraId="0FCD935D" w14:textId="77777777" w:rsidR="00622884" w:rsidRPr="00622884" w:rsidRDefault="00622884" w:rsidP="00622884">
      <w:pPr>
        <w:spacing w:after="0" w:line="240" w:lineRule="auto"/>
        <w:ind w:firstLine="284"/>
        <w:rPr>
          <w:rFonts w:ascii="Garamond" w:eastAsia="SimSun" w:hAnsi="Garamond" w:cs="Calibri Light"/>
          <w:sz w:val="24"/>
          <w:szCs w:val="24"/>
          <w:lang w:eastAsia="en-US"/>
        </w:rPr>
      </w:pPr>
      <w:r w:rsidRPr="00622884">
        <w:rPr>
          <w:rFonts w:ascii="Garamond" w:eastAsia="Calibri" w:hAnsi="Garamond" w:cs="Times New Roman"/>
          <w:sz w:val="24"/>
          <w:szCs w:val="24"/>
          <w:lang w:eastAsia="en-US" w:bidi="sq-AL"/>
        </w:rPr>
        <w:t>Kjo larmi gjeografike përkthehet në risqe dhe cenueshmëri klimatike të diferencuara nëpër territor. Shqipëria është e ekspozuar ndaj risqeve të konsiderueshme klimatike dhe fatkeqësive natyrore, me nivele të ndryshme ashpërsie nëpër rajone. Rreziqet natyrore kryesore përfshijnë përmbytjet, rrëshqitjet e dherave, zjarret masive, tërmetet, ortekët e dëborës dhe kërcënimet biologjike, si pandemitë dhe sëmundjet e transmetueshme përmes ujit. Cenueshmëria e vendit thellohet më tej nga faktorë socio-ekonomikë, si: rritja e popullsisë, urbanizimi, shterimi i burimeve, varfëria, kapacitetet e kufizuara institucionale, menaxhimi i pamjaftueshëm i riskut nga fatkeqësitë dhe niveli i ulët i pjesëmarrjes komunitare</w:t>
      </w:r>
      <w:r w:rsidRPr="00622884">
        <w:rPr>
          <w:rFonts w:ascii="Garamond" w:eastAsia="Calibri" w:hAnsi="Garamond" w:cs="Times New Roman"/>
          <w:sz w:val="24"/>
          <w:szCs w:val="24"/>
          <w:vertAlign w:val="superscript"/>
          <w:lang w:eastAsia="en-US" w:bidi="sq-AL"/>
        </w:rPr>
        <w:footnoteReference w:id="160"/>
      </w:r>
      <w:r w:rsidRPr="00622884">
        <w:rPr>
          <w:rFonts w:ascii="Garamond" w:eastAsia="Calibri" w:hAnsi="Garamond" w:cs="Times New Roman"/>
          <w:sz w:val="24"/>
          <w:szCs w:val="24"/>
          <w:lang w:eastAsia="en-US" w:bidi="sq-AL"/>
        </w:rPr>
        <w:t>.</w:t>
      </w:r>
    </w:p>
    <w:p w14:paraId="5C9B21F0" w14:textId="77777777" w:rsidR="00622884" w:rsidRPr="00622884" w:rsidRDefault="00622884" w:rsidP="00622884">
      <w:pPr>
        <w:keepNext/>
        <w:keepLines/>
        <w:spacing w:after="0" w:line="240" w:lineRule="auto"/>
        <w:ind w:firstLine="284"/>
        <w:outlineLvl w:val="1"/>
        <w:rPr>
          <w:rFonts w:ascii="Garamond" w:eastAsia="MS Mincho" w:hAnsi="Garamond" w:cs="Times New Roman"/>
          <w:bCs/>
          <w:caps/>
          <w:sz w:val="24"/>
          <w:szCs w:val="24"/>
          <w:lang w:eastAsia="es-ES"/>
        </w:rPr>
      </w:pPr>
      <w:bookmarkStart w:id="238" w:name="_Toc213936229"/>
      <w:r w:rsidRPr="00622884">
        <w:rPr>
          <w:rFonts w:ascii="Garamond" w:eastAsia="MS Mincho" w:hAnsi="Garamond" w:cs="Times New Roman"/>
          <w:sz w:val="24"/>
          <w:szCs w:val="24"/>
          <w:lang w:eastAsia="es-ES" w:bidi="sq-AL"/>
        </w:rPr>
        <w:t>4.1 Tendencat dhe skenarët klimatikë</w:t>
      </w:r>
      <w:bookmarkEnd w:id="238"/>
    </w:p>
    <w:p w14:paraId="4671D525" w14:textId="77777777" w:rsidR="00622884" w:rsidRPr="00622884" w:rsidRDefault="00622884" w:rsidP="00622884">
      <w:pPr>
        <w:keepNext/>
        <w:spacing w:after="0" w:line="240" w:lineRule="auto"/>
        <w:ind w:firstLine="284"/>
        <w:mirrorIndents/>
        <w:rPr>
          <w:rFonts w:ascii="Garamond" w:eastAsia="Calibri Light" w:hAnsi="Garamond" w:cs="Calibri Light"/>
          <w:b/>
          <w:bCs/>
          <w:iCs/>
          <w:sz w:val="24"/>
          <w:szCs w:val="24"/>
          <w:lang w:eastAsia="en-US"/>
        </w:rPr>
      </w:pPr>
      <w:r w:rsidRPr="00622884">
        <w:rPr>
          <w:rFonts w:ascii="Garamond" w:eastAsia="Calibri Light" w:hAnsi="Garamond" w:cs="Calibri Light"/>
          <w:b/>
          <w:bCs/>
          <w:iCs/>
          <w:sz w:val="24"/>
          <w:szCs w:val="24"/>
          <w:lang w:eastAsia="en-US" w:bidi="sq-AL"/>
        </w:rPr>
        <w:t>Tendencat klimatike të vëzhguara</w:t>
      </w:r>
    </w:p>
    <w:p w14:paraId="180AC7EE" w14:textId="77777777" w:rsidR="00622884" w:rsidRPr="00622884" w:rsidRDefault="00622884" w:rsidP="00622884">
      <w:pPr>
        <w:spacing w:after="0" w:line="240" w:lineRule="auto"/>
        <w:ind w:firstLine="284"/>
        <w:rPr>
          <w:rFonts w:ascii="Garamond" w:eastAsia="SimSun" w:hAnsi="Garamond" w:cs="Calibri Light"/>
          <w:sz w:val="24"/>
          <w:szCs w:val="24"/>
          <w:lang w:eastAsia="en-US"/>
        </w:rPr>
      </w:pPr>
      <w:r w:rsidRPr="00622884">
        <w:rPr>
          <w:rFonts w:ascii="Garamond" w:eastAsia="Calibri" w:hAnsi="Garamond" w:cs="Times New Roman"/>
          <w:sz w:val="24"/>
          <w:szCs w:val="24"/>
          <w:lang w:eastAsia="en-US" w:bidi="sq-AL"/>
        </w:rPr>
        <w:t>Vëzhgimet e temperaturës ndërmjet viteve 1951 dhe 2020 në Shqipëri tregojnë ndryshime ndërvjetore të temperaturave mesatare vjetore (figura 6). Mund të dallohen tri periudha të veçanta, përkatësisht një rritje e temperaturës mesatare vjetore nga viti 1951 deri në 2020, nga 1971 deri në 2020 dhe nga 1991 deri në 2020. Në të gjithë vendin, vëzhgimet tregojnë një rritje të qartë të temperaturës sipërfaqësore të ajrit: tendencat e temperaturës për periudhën 1991</w:t>
      </w:r>
      <w:r w:rsidRPr="00622884">
        <w:rPr>
          <w:rFonts w:ascii="Garamond" w:eastAsia="Calibri" w:hAnsi="Garamond" w:cs="Times New Roman"/>
          <w:sz w:val="24"/>
          <w:szCs w:val="24"/>
          <w:lang w:eastAsia="en-US"/>
        </w:rPr>
        <w:t>–</w:t>
      </w:r>
      <w:r w:rsidRPr="00622884">
        <w:rPr>
          <w:rFonts w:ascii="Garamond" w:eastAsia="Calibri" w:hAnsi="Garamond" w:cs="Times New Roman"/>
          <w:sz w:val="24"/>
          <w:szCs w:val="24"/>
          <w:lang w:eastAsia="en-US" w:bidi="sq-AL"/>
        </w:rPr>
        <w:t>2020 kanë qenë më të larta se tendencat e regjistruara për periudhën 1951</w:t>
      </w:r>
      <w:r w:rsidRPr="00622884">
        <w:rPr>
          <w:rFonts w:ascii="Garamond" w:eastAsia="Calibri" w:hAnsi="Garamond" w:cs="Times New Roman"/>
          <w:sz w:val="24"/>
          <w:szCs w:val="24"/>
          <w:lang w:eastAsia="en-US"/>
        </w:rPr>
        <w:t>–</w:t>
      </w:r>
      <w:r w:rsidRPr="00622884">
        <w:rPr>
          <w:rFonts w:ascii="Garamond" w:eastAsia="Calibri" w:hAnsi="Garamond" w:cs="Times New Roman"/>
          <w:sz w:val="24"/>
          <w:szCs w:val="24"/>
          <w:lang w:eastAsia="en-US" w:bidi="sq-AL"/>
        </w:rPr>
        <w:t>2020</w:t>
      </w:r>
      <w:r w:rsidRPr="00622884">
        <w:rPr>
          <w:rFonts w:ascii="Garamond" w:eastAsia="Calibri" w:hAnsi="Garamond" w:cs="Times New Roman"/>
          <w:sz w:val="24"/>
          <w:szCs w:val="24"/>
          <w:vertAlign w:val="superscript"/>
          <w:lang w:eastAsia="en-US" w:bidi="sq-AL"/>
        </w:rPr>
        <w:footnoteReference w:id="161"/>
      </w:r>
      <w:r w:rsidRPr="00622884">
        <w:rPr>
          <w:rFonts w:ascii="Garamond" w:eastAsia="Calibri" w:hAnsi="Garamond" w:cs="Times New Roman"/>
          <w:sz w:val="24"/>
          <w:szCs w:val="24"/>
          <w:lang w:eastAsia="en-US" w:bidi="sq-AL"/>
        </w:rPr>
        <w:t>.</w:t>
      </w:r>
    </w:p>
    <w:p w14:paraId="70A4C6FB"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p>
    <w:p w14:paraId="7C727CFF"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r w:rsidRPr="00622884">
        <w:rPr>
          <w:rFonts w:ascii="Garamond" w:eastAsia="Calibri" w:hAnsi="Garamond" w:cs="Times New Roman"/>
          <w:noProof/>
          <w:sz w:val="20"/>
          <w:szCs w:val="24"/>
          <w:lang w:eastAsia="sq-AL"/>
        </w:rPr>
        <w:lastRenderedPageBreak/>
        <w:drawing>
          <wp:inline distT="0" distB="0" distL="0" distR="0" wp14:anchorId="4449A7E6" wp14:editId="58BAF31A">
            <wp:extent cx="4776470" cy="2929390"/>
            <wp:effectExtent l="0" t="0" r="5080" b="4445"/>
            <wp:docPr id="239" name="Picture 239" descr="A graph with red and yellow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A graph with red and yellow lines&#10;&#10;AI-generated content may be incorrect."/>
                    <pic:cNvPicPr>
                      <a:picLocks noChangeAspect="1" noChangeArrowheads="1"/>
                    </pic:cNvPicPr>
                  </pic:nvPicPr>
                  <pic:blipFill>
                    <a:blip r:embed="rId77" cstate="print">
                      <a:extLst>
                        <a:ext uri="{28A0092B-C50C-407E-A947-70E740481C1C}">
                          <a14:useLocalDpi xmlns:a14="http://schemas.microsoft.com/office/drawing/2010/main" val="0"/>
                        </a:ext>
                      </a:extLst>
                    </a:blip>
                    <a:srcRect t="9622"/>
                    <a:stretch>
                      <a:fillRect/>
                    </a:stretch>
                  </pic:blipFill>
                  <pic:spPr bwMode="auto">
                    <a:xfrm>
                      <a:off x="0" y="0"/>
                      <a:ext cx="4781437" cy="2932436"/>
                    </a:xfrm>
                    <a:prstGeom prst="rect">
                      <a:avLst/>
                    </a:prstGeom>
                    <a:noFill/>
                    <a:ln>
                      <a:noFill/>
                    </a:ln>
                  </pic:spPr>
                </pic:pic>
              </a:graphicData>
            </a:graphic>
          </wp:inline>
        </w:drawing>
      </w:r>
    </w:p>
    <w:p w14:paraId="4F323F8B" w14:textId="77777777" w:rsidR="00622884" w:rsidRPr="00622884" w:rsidRDefault="00622884" w:rsidP="00622884">
      <w:pPr>
        <w:tabs>
          <w:tab w:val="left" w:pos="5325"/>
        </w:tabs>
        <w:spacing w:after="0" w:line="240" w:lineRule="auto"/>
        <w:ind w:firstLine="284"/>
        <w:rPr>
          <w:rFonts w:ascii="Garamond" w:eastAsia="Calibri" w:hAnsi="Garamond" w:cs="Times New Roman"/>
          <w:i/>
          <w:sz w:val="20"/>
          <w:szCs w:val="20"/>
          <w:lang w:eastAsia="en-US"/>
        </w:rPr>
      </w:pPr>
      <w:r w:rsidRPr="00622884">
        <w:rPr>
          <w:rFonts w:ascii="Garamond" w:eastAsia="Calibri" w:hAnsi="Garamond" w:cs="Times New Roman"/>
          <w:i/>
          <w:sz w:val="20"/>
          <w:szCs w:val="20"/>
          <w:lang w:eastAsia="en-US"/>
        </w:rPr>
        <w:t>Figura 6. Tendencat mesatare vjetore të temperaturës sipërfaqësore të ajrit me sinjifikancën e tendencës për çdo dekadë (1951</w:t>
      </w:r>
      <w:r w:rsidRPr="00622884">
        <w:rPr>
          <w:rFonts w:ascii="Garamond" w:eastAsia="Calibri" w:hAnsi="Garamond" w:cs="Times New Roman"/>
          <w:sz w:val="20"/>
          <w:szCs w:val="20"/>
          <w:lang w:eastAsia="en-US"/>
        </w:rPr>
        <w:t>–</w:t>
      </w:r>
      <w:r w:rsidRPr="00622884">
        <w:rPr>
          <w:rFonts w:ascii="Garamond" w:eastAsia="Calibri" w:hAnsi="Garamond" w:cs="Times New Roman"/>
          <w:i/>
          <w:sz w:val="20"/>
          <w:szCs w:val="20"/>
          <w:lang w:eastAsia="en-US"/>
        </w:rPr>
        <w:t xml:space="preserve">2023). </w:t>
      </w:r>
    </w:p>
    <w:p w14:paraId="55BC898B" w14:textId="77777777" w:rsidR="00622884" w:rsidRPr="00622884" w:rsidRDefault="00622884" w:rsidP="00622884">
      <w:pPr>
        <w:tabs>
          <w:tab w:val="left" w:pos="5325"/>
        </w:tabs>
        <w:spacing w:after="0" w:line="240" w:lineRule="auto"/>
        <w:ind w:firstLine="284"/>
        <w:rPr>
          <w:rFonts w:ascii="Garamond" w:eastAsia="Calibri" w:hAnsi="Garamond" w:cs="Times New Roman"/>
          <w:sz w:val="20"/>
          <w:szCs w:val="20"/>
          <w:lang w:eastAsia="en-US"/>
        </w:rPr>
      </w:pPr>
      <w:r w:rsidRPr="00622884">
        <w:rPr>
          <w:rFonts w:ascii="Garamond" w:eastAsia="Calibri" w:hAnsi="Garamond" w:cs="Times New Roman"/>
          <w:sz w:val="20"/>
          <w:szCs w:val="20"/>
          <w:lang w:eastAsia="en-US"/>
        </w:rPr>
        <w:t>Burimi: Grupi i Njohurive për Ndryshimet Klimatike, 2021.</w:t>
      </w:r>
    </w:p>
    <w:p w14:paraId="3CF56F5D"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p>
    <w:p w14:paraId="2EBE22C5" w14:textId="77777777" w:rsidR="00622884" w:rsidRPr="00622884" w:rsidRDefault="00622884" w:rsidP="00622884">
      <w:pPr>
        <w:tabs>
          <w:tab w:val="left" w:pos="5325"/>
        </w:tabs>
        <w:spacing w:after="0" w:line="240" w:lineRule="auto"/>
        <w:ind w:firstLine="284"/>
        <w:rPr>
          <w:rFonts w:ascii="Calibri Light" w:eastAsia="SimSun" w:hAnsi="Calibri Light" w:cs="Times New Roman"/>
          <w:sz w:val="24"/>
          <w:szCs w:val="24"/>
          <w:lang w:eastAsia="en-US"/>
        </w:rPr>
      </w:pPr>
      <w:r w:rsidRPr="00622884">
        <w:rPr>
          <w:rFonts w:ascii="Garamond" w:eastAsia="Calibri" w:hAnsi="Garamond" w:cs="Times New Roman"/>
          <w:sz w:val="24"/>
          <w:szCs w:val="24"/>
          <w:lang w:eastAsia="en-US" w:bidi="sq-AL"/>
        </w:rPr>
        <w:t>Vëzhgimet e reshjeve nuk paraqesin një tendencë të përcaktuar (figura 7). Që prej viteve 1950, është regjistruar një rënie e lehtë e reshjeve mesatare vjetore, megjithatë kjo rënie nuk është statistikisht domethënëse. Nga ana tjetër, pjesa veriore e zonës bregdetare ka pësuar një rritje të numrit të ditëve me reshje në vit</w:t>
      </w:r>
      <w:r w:rsidRPr="00622884">
        <w:rPr>
          <w:rFonts w:ascii="Garamond" w:eastAsia="Calibri" w:hAnsi="Garamond" w:cs="Times New Roman"/>
          <w:sz w:val="24"/>
          <w:szCs w:val="24"/>
          <w:vertAlign w:val="superscript"/>
          <w:lang w:eastAsia="en-US" w:bidi="sq-AL"/>
        </w:rPr>
        <w:footnoteReference w:id="162"/>
      </w:r>
      <w:r w:rsidRPr="00622884">
        <w:rPr>
          <w:rFonts w:ascii="Garamond" w:eastAsia="Calibri" w:hAnsi="Garamond" w:cs="Times New Roman"/>
          <w:sz w:val="24"/>
          <w:szCs w:val="24"/>
          <w:lang w:eastAsia="en-US" w:bidi="sq-AL"/>
        </w:rPr>
        <w:t>. Në përgjithësi, megjithëse modelet sezonale të reshjeve nuk shfaqin ndryshime të mëdha, është vërejtur rritje e intensitetit të reshjeve. Gjithashtu, të dhënat nga Baza e të Dhënave të Ngjarjeve Emergjente tregojnë se përmbytjet kanë qenë rreziku hidrometeorologjik më i shpeshtë në Shqipëri gjatë dy dekadave të fundit, megjithëse nuk është identifikuar ndonjë tendencë e qartë lidhur me shpeshtësinë e tyre</w:t>
      </w:r>
      <w:r w:rsidRPr="00622884">
        <w:rPr>
          <w:rFonts w:ascii="Garamond" w:eastAsia="Calibri" w:hAnsi="Garamond" w:cs="Times New Roman"/>
          <w:sz w:val="24"/>
          <w:szCs w:val="24"/>
          <w:vertAlign w:val="superscript"/>
          <w:lang w:eastAsia="en-US" w:bidi="sq-AL"/>
        </w:rPr>
        <w:footnoteReference w:id="163"/>
      </w:r>
      <w:r w:rsidRPr="00622884">
        <w:rPr>
          <w:rFonts w:ascii="Garamond" w:eastAsia="Calibri" w:hAnsi="Garamond" w:cs="Times New Roman"/>
          <w:sz w:val="24"/>
          <w:szCs w:val="24"/>
          <w:lang w:eastAsia="en-US" w:bidi="sq-AL"/>
        </w:rPr>
        <w:t>.</w:t>
      </w:r>
    </w:p>
    <w:p w14:paraId="4F48AD31" w14:textId="77777777" w:rsidR="00622884" w:rsidRPr="00622884" w:rsidRDefault="00622884" w:rsidP="00622884">
      <w:pPr>
        <w:tabs>
          <w:tab w:val="left" w:pos="5325"/>
        </w:tabs>
        <w:spacing w:after="0" w:line="240" w:lineRule="auto"/>
        <w:ind w:firstLine="284"/>
        <w:rPr>
          <w:rFonts w:ascii="Garamond" w:eastAsia="Calibri" w:hAnsi="Garamond" w:cs="Times New Roman"/>
          <w:sz w:val="32"/>
          <w:szCs w:val="24"/>
          <w:lang w:eastAsia="en-US"/>
        </w:rPr>
      </w:pPr>
    </w:p>
    <w:p w14:paraId="32291189" w14:textId="77777777" w:rsidR="00622884" w:rsidRPr="00622884" w:rsidRDefault="00622884" w:rsidP="00622884">
      <w:pPr>
        <w:tabs>
          <w:tab w:val="left" w:pos="5325"/>
        </w:tabs>
        <w:spacing w:after="0" w:line="240" w:lineRule="auto"/>
        <w:ind w:firstLine="284"/>
        <w:rPr>
          <w:rFonts w:ascii="Garamond" w:eastAsia="Calibri" w:hAnsi="Garamond" w:cs="Times New Roman"/>
          <w:sz w:val="32"/>
          <w:szCs w:val="24"/>
          <w:lang w:eastAsia="en-US"/>
        </w:rPr>
      </w:pPr>
      <w:r w:rsidRPr="00622884">
        <w:rPr>
          <w:rFonts w:ascii="Garamond" w:eastAsia="Calibri" w:hAnsi="Garamond" w:cs="Times New Roman"/>
          <w:noProof/>
          <w:sz w:val="20"/>
          <w:szCs w:val="24"/>
          <w:lang w:eastAsia="sq-AL"/>
        </w:rPr>
        <w:drawing>
          <wp:inline distT="0" distB="0" distL="0" distR="0" wp14:anchorId="170D1067" wp14:editId="6B3AFEBB">
            <wp:extent cx="4135120" cy="2776301"/>
            <wp:effectExtent l="0" t="0" r="0" b="5080"/>
            <wp:docPr id="240" name="Picture 240" descr="A graph with green and yellow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A graph with green and yellow lines&#10;&#10;AI-generated content may be incorrect."/>
                    <pic:cNvPicPr>
                      <a:picLocks noChangeAspect="1" noChangeArrowheads="1"/>
                    </pic:cNvPicPr>
                  </pic:nvPicPr>
                  <pic:blipFill>
                    <a:blip r:embed="rId78" cstate="print">
                      <a:extLst>
                        <a:ext uri="{28A0092B-C50C-407E-A947-70E740481C1C}">
                          <a14:useLocalDpi xmlns:a14="http://schemas.microsoft.com/office/drawing/2010/main" val="0"/>
                        </a:ext>
                      </a:extLst>
                    </a:blip>
                    <a:srcRect t="8788"/>
                    <a:stretch>
                      <a:fillRect/>
                    </a:stretch>
                  </pic:blipFill>
                  <pic:spPr bwMode="auto">
                    <a:xfrm>
                      <a:off x="0" y="0"/>
                      <a:ext cx="4139322" cy="2779122"/>
                    </a:xfrm>
                    <a:prstGeom prst="rect">
                      <a:avLst/>
                    </a:prstGeom>
                    <a:noFill/>
                    <a:ln>
                      <a:noFill/>
                    </a:ln>
                  </pic:spPr>
                </pic:pic>
              </a:graphicData>
            </a:graphic>
          </wp:inline>
        </w:drawing>
      </w:r>
    </w:p>
    <w:p w14:paraId="6C927B59" w14:textId="77777777" w:rsidR="00622884" w:rsidRPr="00622884" w:rsidRDefault="00622884" w:rsidP="00622884">
      <w:pPr>
        <w:tabs>
          <w:tab w:val="left" w:pos="5325"/>
        </w:tabs>
        <w:spacing w:after="0" w:line="240" w:lineRule="auto"/>
        <w:ind w:firstLine="284"/>
        <w:rPr>
          <w:rFonts w:ascii="Garamond" w:eastAsia="Calibri" w:hAnsi="Garamond" w:cs="Times New Roman"/>
          <w:i/>
          <w:sz w:val="20"/>
          <w:szCs w:val="20"/>
          <w:lang w:eastAsia="en-US"/>
        </w:rPr>
      </w:pPr>
      <w:r w:rsidRPr="00622884">
        <w:rPr>
          <w:rFonts w:ascii="Garamond" w:eastAsia="Calibri" w:hAnsi="Garamond" w:cs="Times New Roman"/>
          <w:i/>
          <w:sz w:val="20"/>
          <w:szCs w:val="20"/>
          <w:lang w:eastAsia="en-US"/>
        </w:rPr>
        <w:lastRenderedPageBreak/>
        <w:t xml:space="preserve">Figura 7. Tendencat vjetore të reshjeve me sinjifikancën e tendencës për secilën dekadë (1951–2023). </w:t>
      </w:r>
    </w:p>
    <w:p w14:paraId="4A930995" w14:textId="77777777" w:rsidR="00622884" w:rsidRPr="00622884" w:rsidRDefault="00622884" w:rsidP="00622884">
      <w:pPr>
        <w:tabs>
          <w:tab w:val="left" w:pos="5325"/>
        </w:tabs>
        <w:spacing w:after="0" w:line="240" w:lineRule="auto"/>
        <w:ind w:firstLine="284"/>
        <w:rPr>
          <w:rFonts w:ascii="Garamond" w:eastAsia="Calibri" w:hAnsi="Garamond" w:cs="Times New Roman"/>
          <w:sz w:val="20"/>
          <w:szCs w:val="20"/>
          <w:lang w:eastAsia="en-US"/>
        </w:rPr>
      </w:pPr>
      <w:r w:rsidRPr="00622884">
        <w:rPr>
          <w:rFonts w:ascii="Garamond" w:eastAsia="Calibri" w:hAnsi="Garamond" w:cs="Times New Roman"/>
          <w:sz w:val="20"/>
          <w:szCs w:val="20"/>
          <w:lang w:eastAsia="en-US"/>
        </w:rPr>
        <w:t>Burimi: Grupi i Njohurive për Ndryshimet Klimatike, 2021.</w:t>
      </w:r>
    </w:p>
    <w:p w14:paraId="05E36389"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p>
    <w:p w14:paraId="7F6E4067" w14:textId="77777777" w:rsidR="00622884" w:rsidRPr="00622884" w:rsidRDefault="00622884" w:rsidP="00622884">
      <w:pPr>
        <w:tabs>
          <w:tab w:val="left" w:pos="5325"/>
        </w:tabs>
        <w:spacing w:after="0" w:line="240" w:lineRule="auto"/>
        <w:ind w:firstLine="284"/>
        <w:rPr>
          <w:rFonts w:ascii="Calibri Light" w:eastAsia="SimSun" w:hAnsi="Calibri Light" w:cs="Times New Roman"/>
          <w:sz w:val="24"/>
          <w:szCs w:val="24"/>
          <w:lang w:eastAsia="en-US"/>
        </w:rPr>
      </w:pPr>
      <w:r w:rsidRPr="00622884">
        <w:rPr>
          <w:rFonts w:ascii="Garamond" w:eastAsia="Calibri" w:hAnsi="Garamond" w:cs="Times New Roman"/>
          <w:sz w:val="24"/>
          <w:szCs w:val="24"/>
          <w:lang w:eastAsia="en-US" w:bidi="sq-AL"/>
        </w:rPr>
        <w:t>Shqipëria është prekur edhe nga rritja e nivelit të detit. Siç ilustrohet në figurën 8, është vërejtur një tendencë në rritje gjatë periudhës 1993</w:t>
      </w:r>
      <w:r w:rsidRPr="00622884">
        <w:rPr>
          <w:rFonts w:ascii="Garamond" w:eastAsia="Calibri" w:hAnsi="Garamond" w:cs="Times New Roman"/>
          <w:sz w:val="24"/>
          <w:szCs w:val="24"/>
          <w:lang w:eastAsia="en-US"/>
        </w:rPr>
        <w:t>–</w:t>
      </w:r>
      <w:r w:rsidRPr="00622884">
        <w:rPr>
          <w:rFonts w:ascii="Garamond" w:eastAsia="Calibri" w:hAnsi="Garamond" w:cs="Times New Roman"/>
          <w:sz w:val="24"/>
          <w:szCs w:val="24"/>
          <w:lang w:eastAsia="en-US" w:bidi="sq-AL"/>
        </w:rPr>
        <w:t>2004. Kjo u pasua nga një periudhë trevjeçare gjatë së cilës luhatja në rritjen e nivelit të detit shfaqi një ulje të përkohshme, përpara se të rifillonte rritje mesatare ndërmjet vitit 2007 dhe 2015</w:t>
      </w:r>
      <w:bookmarkStart w:id="239" w:name="_Ref210907359"/>
      <w:r w:rsidRPr="00622884">
        <w:rPr>
          <w:rFonts w:ascii="Garamond" w:eastAsia="Calibri" w:hAnsi="Garamond" w:cs="Times New Roman"/>
          <w:sz w:val="24"/>
          <w:szCs w:val="24"/>
          <w:lang w:eastAsia="en-US" w:bidi="sq-AL"/>
        </w:rPr>
        <w:t>-ës</w:t>
      </w:r>
      <w:r w:rsidRPr="00622884">
        <w:rPr>
          <w:rFonts w:ascii="Garamond" w:eastAsia="Calibri" w:hAnsi="Garamond" w:cs="Times New Roman"/>
          <w:sz w:val="20"/>
          <w:szCs w:val="24"/>
          <w:vertAlign w:val="superscript"/>
          <w:lang w:eastAsia="en-US" w:bidi="sq-AL"/>
        </w:rPr>
        <w:footnoteReference w:id="164"/>
      </w:r>
      <w:bookmarkEnd w:id="239"/>
      <w:r w:rsidRPr="00622884">
        <w:rPr>
          <w:rFonts w:ascii="Garamond" w:eastAsia="Calibri" w:hAnsi="Garamond" w:cs="Times New Roman"/>
          <w:sz w:val="24"/>
          <w:szCs w:val="24"/>
          <w:lang w:eastAsia="en-US" w:bidi="sq-AL"/>
        </w:rPr>
        <w:t>.</w:t>
      </w:r>
    </w:p>
    <w:p w14:paraId="43A9B41E"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r w:rsidRPr="00622884">
        <w:rPr>
          <w:rFonts w:ascii="Garamond" w:eastAsia="Calibri" w:hAnsi="Garamond" w:cs="Times New Roman"/>
          <w:noProof/>
          <w:sz w:val="20"/>
          <w:szCs w:val="24"/>
          <w:lang w:eastAsia="sq-AL"/>
        </w:rPr>
        <w:drawing>
          <wp:inline distT="0" distB="0" distL="0" distR="0" wp14:anchorId="514B386E" wp14:editId="4DC0AE66">
            <wp:extent cx="5329555" cy="2511425"/>
            <wp:effectExtent l="0" t="0" r="4445" b="3175"/>
            <wp:docPr id="241" name="Picture 241" descr="A graph with a line and a lin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graph with a line and a line&#10;&#10;Description automatically generated with medium confidence"/>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5329555" cy="2511425"/>
                    </a:xfrm>
                    <a:prstGeom prst="rect">
                      <a:avLst/>
                    </a:prstGeom>
                    <a:noFill/>
                    <a:ln>
                      <a:noFill/>
                    </a:ln>
                  </pic:spPr>
                </pic:pic>
              </a:graphicData>
            </a:graphic>
          </wp:inline>
        </w:drawing>
      </w:r>
    </w:p>
    <w:p w14:paraId="606FB0BF" w14:textId="77777777" w:rsidR="00622884" w:rsidRPr="00622884" w:rsidRDefault="00622884" w:rsidP="00622884">
      <w:pPr>
        <w:tabs>
          <w:tab w:val="left" w:pos="5325"/>
        </w:tabs>
        <w:spacing w:after="0" w:line="240" w:lineRule="auto"/>
        <w:ind w:firstLine="284"/>
        <w:rPr>
          <w:rFonts w:ascii="Garamond" w:eastAsia="Calibri" w:hAnsi="Garamond" w:cs="Times New Roman"/>
          <w:i/>
          <w:sz w:val="20"/>
          <w:szCs w:val="20"/>
          <w:lang w:eastAsia="en-US"/>
        </w:rPr>
      </w:pPr>
      <w:r w:rsidRPr="00622884">
        <w:rPr>
          <w:rFonts w:ascii="Garamond" w:eastAsia="Calibri" w:hAnsi="Garamond" w:cs="Times New Roman"/>
          <w:i/>
          <w:sz w:val="20"/>
          <w:szCs w:val="20"/>
          <w:lang w:eastAsia="en-US"/>
        </w:rPr>
        <w:t xml:space="preserve">Figura 8. Luhatja në rritjen e nivelit të detit (në mm) në Shqipëri në periudhën 1993–2015. </w:t>
      </w:r>
    </w:p>
    <w:p w14:paraId="37DC8506" w14:textId="77777777" w:rsidR="00622884" w:rsidRPr="00622884" w:rsidRDefault="00622884" w:rsidP="00622884">
      <w:pPr>
        <w:tabs>
          <w:tab w:val="left" w:pos="5325"/>
        </w:tabs>
        <w:spacing w:after="0" w:line="240" w:lineRule="auto"/>
        <w:ind w:firstLine="284"/>
        <w:rPr>
          <w:rFonts w:ascii="Garamond" w:eastAsia="Calibri" w:hAnsi="Garamond" w:cs="Times New Roman"/>
          <w:sz w:val="20"/>
          <w:szCs w:val="20"/>
          <w:lang w:eastAsia="en-US"/>
        </w:rPr>
      </w:pPr>
      <w:r w:rsidRPr="00622884">
        <w:rPr>
          <w:rFonts w:ascii="Garamond" w:eastAsia="Calibri" w:hAnsi="Garamond" w:cs="Times New Roman"/>
          <w:sz w:val="20"/>
          <w:szCs w:val="20"/>
          <w:lang w:eastAsia="en-US"/>
        </w:rPr>
        <w:t>Burimi: Grupi i Njohurive për Ndryshimet Klimatike, 2021.</w:t>
      </w:r>
    </w:p>
    <w:p w14:paraId="21E817C4"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p>
    <w:p w14:paraId="5FE472D9" w14:textId="77777777" w:rsidR="00622884" w:rsidRPr="00622884" w:rsidRDefault="00622884" w:rsidP="00622884">
      <w:pPr>
        <w:spacing w:after="0" w:line="240" w:lineRule="auto"/>
        <w:ind w:firstLine="284"/>
        <w:rPr>
          <w:rFonts w:ascii="Garamond" w:eastAsia="SimSun" w:hAnsi="Garamond" w:cs="Calibri Light"/>
          <w:sz w:val="24"/>
          <w:szCs w:val="24"/>
          <w:lang w:eastAsia="en-US"/>
        </w:rPr>
      </w:pPr>
      <w:r w:rsidRPr="00622884">
        <w:rPr>
          <w:rFonts w:ascii="Garamond" w:eastAsia="Calibri" w:hAnsi="Garamond" w:cs="Times New Roman"/>
          <w:sz w:val="24"/>
          <w:szCs w:val="24"/>
          <w:lang w:eastAsia="en-US" w:bidi="sq-AL"/>
        </w:rPr>
        <w:t xml:space="preserve">Detaje të mëtejshme mbi tendencat dhe parashikimet klimatike në nivel bashkiak jepen në </w:t>
      </w:r>
      <w:hyperlink w:anchor="AnnexII" w:history="1">
        <w:r w:rsidRPr="00622884">
          <w:rPr>
            <w:rFonts w:ascii="Garamond" w:eastAsia="Calibri" w:hAnsi="Garamond" w:cs="Times New Roman"/>
            <w:b/>
            <w:color w:val="467886"/>
            <w:sz w:val="24"/>
            <w:szCs w:val="24"/>
            <w:u w:val="single"/>
            <w:lang w:eastAsia="en-US" w:bidi="sq-AL"/>
          </w:rPr>
          <w:t>aneksin II</w:t>
        </w:r>
        <w:r w:rsidRPr="00622884">
          <w:rPr>
            <w:rFonts w:ascii="Garamond" w:eastAsia="Calibri" w:hAnsi="Garamond" w:cs="Times New Roman"/>
            <w:color w:val="467886"/>
            <w:sz w:val="24"/>
            <w:szCs w:val="24"/>
            <w:u w:val="single"/>
            <w:lang w:eastAsia="en-US" w:bidi="sq-AL"/>
          </w:rPr>
          <w:t>,</w:t>
        </w:r>
      </w:hyperlink>
      <w:r w:rsidRPr="00622884">
        <w:rPr>
          <w:rFonts w:ascii="Garamond" w:eastAsia="Calibri" w:hAnsi="Garamond" w:cs="Times New Roman"/>
          <w:sz w:val="24"/>
          <w:szCs w:val="24"/>
          <w:lang w:eastAsia="en-US" w:bidi="sq-AL"/>
        </w:rPr>
        <w:t xml:space="preserve"> i cili ofron një perspektivë të lokalizuar, që plotëson analizat në shkallë kombëtare të paraqitura në këtë dokument.</w:t>
      </w:r>
    </w:p>
    <w:p w14:paraId="5A16D4F5" w14:textId="77777777" w:rsidR="00622884" w:rsidRPr="00622884" w:rsidRDefault="00622884" w:rsidP="00622884">
      <w:pPr>
        <w:keepNext/>
        <w:spacing w:after="0" w:line="240" w:lineRule="auto"/>
        <w:ind w:firstLine="284"/>
        <w:mirrorIndents/>
        <w:rPr>
          <w:rFonts w:ascii="Garamond" w:eastAsia="Calibri Light" w:hAnsi="Garamond" w:cs="Calibri Light"/>
          <w:b/>
          <w:bCs/>
          <w:iCs/>
          <w:sz w:val="24"/>
          <w:szCs w:val="24"/>
          <w:lang w:eastAsia="en-US"/>
        </w:rPr>
      </w:pPr>
      <w:r w:rsidRPr="00622884">
        <w:rPr>
          <w:rFonts w:ascii="Garamond" w:eastAsia="Calibri Light" w:hAnsi="Garamond" w:cs="Calibri Light"/>
          <w:b/>
          <w:bCs/>
          <w:iCs/>
          <w:sz w:val="24"/>
          <w:szCs w:val="24"/>
          <w:lang w:eastAsia="en-US" w:bidi="sq-AL"/>
        </w:rPr>
        <w:t>Risqet e ardhshme: Parashikimet për klimën</w:t>
      </w:r>
    </w:p>
    <w:p w14:paraId="38F4AAF3" w14:textId="77777777" w:rsidR="00622884" w:rsidRPr="00622884" w:rsidRDefault="00622884" w:rsidP="00622884">
      <w:pPr>
        <w:spacing w:after="0" w:line="240" w:lineRule="auto"/>
        <w:ind w:firstLine="284"/>
        <w:rPr>
          <w:rFonts w:ascii="Garamond" w:eastAsia="SimSun" w:hAnsi="Garamond" w:cs="Times New Roman"/>
          <w:sz w:val="24"/>
          <w:szCs w:val="24"/>
          <w:lang w:eastAsia="en-US"/>
        </w:rPr>
      </w:pPr>
      <w:r w:rsidRPr="00622884">
        <w:rPr>
          <w:rFonts w:ascii="Garamond" w:eastAsia="Calibri" w:hAnsi="Garamond" w:cs="Times New Roman"/>
          <w:sz w:val="24"/>
          <w:szCs w:val="24"/>
          <w:lang w:eastAsia="en-US" w:bidi="sq-AL"/>
        </w:rPr>
        <w:t>Për të kuptuar parashikimet për klimën në Shqipëri, më poshtë paraqitet një përshkrim i shkurtër i pesë skenarëve të përbashkët socio-ekonomikë (SPS)</w:t>
      </w:r>
      <w:r w:rsidRPr="00622884">
        <w:rPr>
          <w:rFonts w:ascii="Garamond" w:eastAsia="Calibri" w:hAnsi="Garamond" w:cs="Times New Roman"/>
          <w:sz w:val="24"/>
          <w:szCs w:val="24"/>
          <w:vertAlign w:val="superscript"/>
          <w:lang w:eastAsia="en-US" w:bidi="sq-AL"/>
        </w:rPr>
        <w:fldChar w:fldCharType="begin"/>
      </w:r>
      <w:r w:rsidRPr="00622884">
        <w:rPr>
          <w:rFonts w:ascii="Garamond" w:eastAsia="Calibri" w:hAnsi="Garamond" w:cs="Times New Roman"/>
          <w:sz w:val="24"/>
          <w:szCs w:val="24"/>
          <w:vertAlign w:val="superscript"/>
          <w:lang w:eastAsia="en-US" w:bidi="sq-AL"/>
        </w:rPr>
        <w:instrText xml:space="preserve"> NOTEREF _Ref210907359 \h  \* MERGEFORMAT </w:instrText>
      </w:r>
      <w:r w:rsidRPr="00622884">
        <w:rPr>
          <w:rFonts w:ascii="Garamond" w:eastAsia="Calibri" w:hAnsi="Garamond" w:cs="Times New Roman"/>
          <w:sz w:val="24"/>
          <w:szCs w:val="24"/>
          <w:vertAlign w:val="superscript"/>
          <w:lang w:eastAsia="en-US" w:bidi="sq-AL"/>
        </w:rPr>
      </w:r>
      <w:r w:rsidRPr="00622884">
        <w:rPr>
          <w:rFonts w:ascii="Garamond" w:eastAsia="Calibri" w:hAnsi="Garamond" w:cs="Times New Roman"/>
          <w:sz w:val="24"/>
          <w:szCs w:val="24"/>
          <w:vertAlign w:val="superscript"/>
          <w:lang w:eastAsia="en-US" w:bidi="sq-AL"/>
        </w:rPr>
        <w:fldChar w:fldCharType="separate"/>
      </w:r>
      <w:r w:rsidRPr="00622884">
        <w:rPr>
          <w:rFonts w:ascii="Garamond" w:eastAsia="Calibri" w:hAnsi="Garamond" w:cs="Times New Roman"/>
          <w:sz w:val="24"/>
          <w:szCs w:val="24"/>
          <w:vertAlign w:val="superscript"/>
          <w:lang w:eastAsia="en-US" w:bidi="sq-AL"/>
        </w:rPr>
        <w:t>73</w:t>
      </w:r>
      <w:r w:rsidRPr="00622884">
        <w:rPr>
          <w:rFonts w:ascii="Garamond" w:eastAsia="Calibri" w:hAnsi="Garamond" w:cs="Times New Roman"/>
          <w:sz w:val="24"/>
          <w:szCs w:val="24"/>
          <w:vertAlign w:val="superscript"/>
          <w:lang w:eastAsia="en-US" w:bidi="sq-AL"/>
        </w:rPr>
        <w:fldChar w:fldCharType="end"/>
      </w:r>
      <w:r w:rsidRPr="00622884">
        <w:rPr>
          <w:rFonts w:ascii="Garamond" w:eastAsia="Calibri" w:hAnsi="Garamond" w:cs="Times New Roman"/>
          <w:sz w:val="24"/>
          <w:szCs w:val="24"/>
          <w:lang w:eastAsia="en-US" w:bidi="sq-AL"/>
        </w:rPr>
        <w:t xml:space="preserve">: </w:t>
      </w:r>
    </w:p>
    <w:p w14:paraId="1D4EEDFE"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u w:val="single"/>
          <w:lang w:eastAsia="en-US" w:bidi="sq-AL"/>
        </w:rPr>
      </w:pPr>
      <w:r w:rsidRPr="00622884">
        <w:rPr>
          <w:rFonts w:ascii="Garamond" w:eastAsia="Calibri" w:hAnsi="Garamond" w:cs="Times New Roman"/>
          <w:sz w:val="24"/>
          <w:szCs w:val="24"/>
          <w:u w:val="single"/>
          <w:lang w:eastAsia="en-US" w:bidi="sq-AL"/>
        </w:rPr>
        <w:t xml:space="preserve">SPS1: Ruajtja e të mirave të përbashkëta globale: </w:t>
      </w:r>
      <w:r w:rsidRPr="00622884">
        <w:rPr>
          <w:rFonts w:ascii="Garamond" w:eastAsia="Calibri" w:hAnsi="Garamond" w:cs="Times New Roman"/>
          <w:sz w:val="24"/>
          <w:szCs w:val="24"/>
          <w:lang w:eastAsia="en-US" w:bidi="sq-AL"/>
        </w:rPr>
        <w:t>kufijtë e sistemeve natyrore po ruhen, me theks të veçantë te mirëqenia e njeriut sesa thjesht te rritja ekonomike. Pabarazitë në të ardhura, si midis vendeve ashtu edhe brenda tyre, po reduktohen. Modelet e konsumit po orientohen drejt minimizimit të përdorimit të burimeve materiale dhe energjisë.</w:t>
      </w:r>
    </w:p>
    <w:p w14:paraId="780CE836" w14:textId="77777777" w:rsidR="00622884" w:rsidRPr="00622884" w:rsidRDefault="00622884" w:rsidP="00622884">
      <w:pPr>
        <w:spacing w:after="0" w:line="240" w:lineRule="auto"/>
        <w:ind w:firstLine="284"/>
        <w:rPr>
          <w:rFonts w:ascii="Garamond" w:eastAsia="SimSun" w:hAnsi="Garamond" w:cs="Times New Roman"/>
          <w:sz w:val="24"/>
          <w:szCs w:val="24"/>
          <w:lang w:eastAsia="en-US"/>
        </w:rPr>
      </w:pPr>
      <w:r w:rsidRPr="00622884">
        <w:rPr>
          <w:rFonts w:ascii="Garamond" w:eastAsia="Calibri" w:hAnsi="Garamond" w:cs="Times New Roman"/>
          <w:sz w:val="24"/>
          <w:szCs w:val="24"/>
          <w:u w:val="single"/>
          <w:lang w:eastAsia="en-US" w:bidi="sq-AL"/>
        </w:rPr>
        <w:t>SS2: Zhvillimi në të ardhmen:</w:t>
      </w:r>
      <w:r w:rsidRPr="00622884">
        <w:rPr>
          <w:rFonts w:ascii="Garamond" w:eastAsia="Calibri" w:hAnsi="Garamond" w:cs="Times New Roman"/>
          <w:sz w:val="24"/>
          <w:szCs w:val="24"/>
          <w:lang w:eastAsia="en-US" w:bidi="sq-AL"/>
        </w:rPr>
        <w:t xml:space="preserve"> Trajektoret e të ardhurave midis vendeve ndryshojnë ndjeshëm. Megjithëse ekziston njëfarë bashkëpunimi ndërmjet shteteve, ai mbetet i kufizuar në fushëveprim. Rritja e popullsisë globale është mesatare, duke u stabilizuar në gjysmën e dytë të shekullit. Sistemet mjedisore po përjetojnë njëfarë degradimi.</w:t>
      </w:r>
    </w:p>
    <w:p w14:paraId="22354FA3" w14:textId="77777777" w:rsidR="00622884" w:rsidRPr="00622884" w:rsidRDefault="00622884" w:rsidP="00622884">
      <w:pPr>
        <w:spacing w:after="0" w:line="240" w:lineRule="auto"/>
        <w:ind w:firstLine="284"/>
        <w:rPr>
          <w:rFonts w:ascii="Garamond" w:eastAsia="SimSun" w:hAnsi="Garamond" w:cs="Times New Roman"/>
          <w:sz w:val="24"/>
          <w:szCs w:val="24"/>
          <w:lang w:eastAsia="en-US"/>
        </w:rPr>
      </w:pPr>
      <w:r w:rsidRPr="00622884">
        <w:rPr>
          <w:rFonts w:ascii="Garamond" w:eastAsia="Calibri" w:hAnsi="Garamond" w:cs="Times New Roman"/>
          <w:sz w:val="24"/>
          <w:szCs w:val="24"/>
          <w:u w:val="single"/>
          <w:lang w:eastAsia="en-US" w:bidi="sq-AL"/>
        </w:rPr>
        <w:t>SPS3: Rivaliteti rajonal:</w:t>
      </w:r>
      <w:r w:rsidRPr="00622884">
        <w:rPr>
          <w:rFonts w:ascii="Garamond" w:eastAsia="Calibri" w:hAnsi="Garamond" w:cs="Times New Roman"/>
          <w:sz w:val="24"/>
          <w:szCs w:val="24"/>
          <w:lang w:eastAsia="en-US" w:bidi="sq-AL"/>
        </w:rPr>
        <w:t xml:space="preserve"> Rishfaqja e nacionalizmit dhe konflikteve rajonale ka bërë që çështjet globale të kalojnë në plan të dytë. Agjendat e politikave po fokusohen gjithnjë e më shumë te siguria kombëtare dhe rajonale. Në të njëjtën kohë, investimet në arsim dhe zhvillim teknologjik po bien, duke kontribuar në rritjen e pabarazive. Disa rajone po përballen me degradim të rëndë mjedisor.</w:t>
      </w:r>
    </w:p>
    <w:p w14:paraId="723CE8F8" w14:textId="77777777" w:rsidR="00622884" w:rsidRPr="00622884" w:rsidRDefault="00622884" w:rsidP="00622884">
      <w:pPr>
        <w:spacing w:after="0" w:line="240" w:lineRule="auto"/>
        <w:ind w:firstLine="284"/>
        <w:rPr>
          <w:rFonts w:ascii="Garamond" w:eastAsia="SimSun" w:hAnsi="Garamond" w:cs="Times New Roman"/>
          <w:sz w:val="24"/>
          <w:szCs w:val="24"/>
          <w:lang w:eastAsia="en-US"/>
        </w:rPr>
      </w:pPr>
      <w:r w:rsidRPr="00622884">
        <w:rPr>
          <w:rFonts w:ascii="Garamond" w:eastAsia="Calibri" w:hAnsi="Garamond" w:cs="Times New Roman"/>
          <w:sz w:val="24"/>
          <w:szCs w:val="24"/>
          <w:u w:val="single"/>
          <w:lang w:eastAsia="en-US" w:bidi="sq-AL"/>
        </w:rPr>
        <w:t>SPS4: Pabarazia:</w:t>
      </w:r>
      <w:r w:rsidRPr="00622884">
        <w:rPr>
          <w:rFonts w:ascii="Garamond" w:eastAsia="Calibri" w:hAnsi="Garamond" w:cs="Times New Roman"/>
          <w:sz w:val="24"/>
          <w:szCs w:val="24"/>
          <w:lang w:eastAsia="en-US" w:bidi="sq-AL"/>
        </w:rPr>
        <w:t xml:space="preserve"> Hendeku ndërmjet shoqërive të zhvilluara dhe bashkëpunuese globalisht dhe atyre që mbeten në faza më të ulëta zhvillimi, të karakterizuara nga të ardhura të ulëta dhe arsimim i kufizuar, po zgjerohet. Ndërkohë që politikat mjedisore janë efektive në trajtimin e sfidave vendore në disa rajone, ato kanë sukses të kufizuar në rajone të tjera.</w:t>
      </w:r>
    </w:p>
    <w:p w14:paraId="25C25A3F" w14:textId="77777777" w:rsidR="00622884" w:rsidRPr="00622884" w:rsidRDefault="00622884" w:rsidP="00622884">
      <w:pPr>
        <w:spacing w:after="0" w:line="240" w:lineRule="auto"/>
        <w:ind w:firstLine="284"/>
        <w:rPr>
          <w:rFonts w:ascii="Garamond" w:eastAsia="SimSun" w:hAnsi="Garamond" w:cs="Times New Roman"/>
          <w:sz w:val="24"/>
          <w:szCs w:val="24"/>
          <w:lang w:eastAsia="en-US"/>
        </w:rPr>
      </w:pPr>
      <w:r w:rsidRPr="00622884">
        <w:rPr>
          <w:rFonts w:ascii="Garamond" w:eastAsia="Calibri" w:hAnsi="Garamond" w:cs="Times New Roman"/>
          <w:sz w:val="24"/>
          <w:szCs w:val="24"/>
          <w:u w:val="single"/>
          <w:lang w:eastAsia="en-US" w:bidi="sq-AL"/>
        </w:rPr>
        <w:lastRenderedPageBreak/>
        <w:t>SPS5: Zhvillimi i mbështetur në lëndët djegëse fosile:</w:t>
      </w:r>
      <w:r w:rsidRPr="00622884">
        <w:rPr>
          <w:rFonts w:ascii="Garamond" w:eastAsia="Calibri" w:hAnsi="Garamond" w:cs="Times New Roman"/>
          <w:sz w:val="24"/>
          <w:szCs w:val="24"/>
          <w:lang w:eastAsia="en-US" w:bidi="sq-AL"/>
        </w:rPr>
        <w:t xml:space="preserve"> Tregjet globale po integrohen gjithnjë e më shumë, duke nxitur inovacionin dhe përparimin teknologjik. Megjithatë, zhvillimi social dhe ekonomik mbështetet në përdorimin e shtuar të burimeve fosile, ku qymyri që zë një pjesë të rëndësishme, dhe karakterizohet nga një stil jetese intensiv në përdorimin e energjisë, i përhapur globalisht. Ndërsa ekonomia botërore vijon të zgjerohet, çështjet mjedisore vendore, si ndotja e ajrit, po trajtohen në mënyrë efektive.</w:t>
      </w:r>
    </w:p>
    <w:p w14:paraId="2C0CE8F2" w14:textId="77777777" w:rsidR="00622884" w:rsidRPr="00622884" w:rsidRDefault="00622884" w:rsidP="00622884">
      <w:pPr>
        <w:spacing w:after="0" w:line="240" w:lineRule="auto"/>
        <w:ind w:firstLine="284"/>
        <w:rPr>
          <w:rFonts w:ascii="Garamond" w:eastAsia="SimSun" w:hAnsi="Garamond" w:cs="Times New Roman"/>
          <w:sz w:val="24"/>
          <w:szCs w:val="24"/>
          <w:lang w:eastAsia="en-US"/>
        </w:rPr>
      </w:pPr>
      <w:r w:rsidRPr="00622884">
        <w:rPr>
          <w:rFonts w:ascii="Garamond" w:eastAsia="Calibri" w:hAnsi="Garamond" w:cs="Times New Roman"/>
          <w:sz w:val="24"/>
          <w:szCs w:val="24"/>
          <w:lang w:eastAsia="en-US" w:bidi="sq-AL"/>
        </w:rPr>
        <w:t>Çdo skenar shoqërohet me një rritje të ndryshme të temperaturës mesatare globale.</w:t>
      </w:r>
    </w:p>
    <w:p w14:paraId="06515F63"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bidi="sq-AL"/>
        </w:rPr>
      </w:pPr>
    </w:p>
    <w:p w14:paraId="7AC519C6" w14:textId="77777777" w:rsidR="00622884" w:rsidRPr="00622884" w:rsidRDefault="00622884" w:rsidP="00622884">
      <w:pPr>
        <w:tabs>
          <w:tab w:val="left" w:pos="5325"/>
        </w:tabs>
        <w:spacing w:after="0" w:line="240" w:lineRule="auto"/>
        <w:ind w:firstLine="284"/>
        <w:rPr>
          <w:rFonts w:ascii="Garamond" w:eastAsia="SimSun" w:hAnsi="Garamond" w:cs="Calibri Light"/>
          <w:i/>
          <w:iCs/>
          <w:sz w:val="20"/>
          <w:szCs w:val="20"/>
          <w:lang w:eastAsia="en-US"/>
        </w:rPr>
      </w:pPr>
      <w:r w:rsidRPr="00622884">
        <w:rPr>
          <w:rFonts w:ascii="Garamond" w:eastAsia="Calibri" w:hAnsi="Garamond" w:cs="Times New Roman"/>
          <w:i/>
          <w:sz w:val="20"/>
          <w:szCs w:val="20"/>
          <w:lang w:eastAsia="en-US" w:bidi="sq-AL"/>
        </w:rPr>
        <w:t xml:space="preserve">Tabela 1. Rritja e parashikuar e temperaturës globale sipas skenarëve të ndryshëm. </w:t>
      </w:r>
    </w:p>
    <w:p w14:paraId="767AC5B3" w14:textId="77777777" w:rsidR="00622884" w:rsidRPr="00622884" w:rsidRDefault="00622884" w:rsidP="00622884">
      <w:pPr>
        <w:tabs>
          <w:tab w:val="left" w:pos="5325"/>
        </w:tabs>
        <w:spacing w:after="0" w:line="240" w:lineRule="auto"/>
        <w:ind w:firstLine="284"/>
        <w:rPr>
          <w:rFonts w:ascii="Garamond" w:eastAsia="SimSun" w:hAnsi="Garamond" w:cs="Calibri Light"/>
          <w:iCs/>
          <w:sz w:val="20"/>
          <w:szCs w:val="20"/>
          <w:lang w:eastAsia="en-US"/>
        </w:rPr>
      </w:pPr>
      <w:r w:rsidRPr="00622884">
        <w:rPr>
          <w:rFonts w:ascii="Garamond" w:eastAsia="Calibri" w:hAnsi="Garamond" w:cs="Times New Roman"/>
          <w:sz w:val="20"/>
          <w:szCs w:val="20"/>
          <w:lang w:eastAsia="en-US" w:bidi="sq-AL"/>
        </w:rPr>
        <w:t>Burimi: PNNK, 2021.</w:t>
      </w: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4A0" w:firstRow="1" w:lastRow="0" w:firstColumn="1" w:lastColumn="0" w:noHBand="0" w:noVBand="1"/>
      </w:tblPr>
      <w:tblGrid>
        <w:gridCol w:w="751"/>
        <w:gridCol w:w="1402"/>
        <w:gridCol w:w="1444"/>
        <w:gridCol w:w="1401"/>
        <w:gridCol w:w="1444"/>
        <w:gridCol w:w="1401"/>
        <w:gridCol w:w="1444"/>
      </w:tblGrid>
      <w:tr w:rsidR="00622884" w:rsidRPr="00622884" w14:paraId="5D9BFAFA" w14:textId="77777777" w:rsidTr="00622884">
        <w:trPr>
          <w:trHeight w:val="340"/>
        </w:trPr>
        <w:tc>
          <w:tcPr>
            <w:tcW w:w="0" w:type="auto"/>
            <w:shd w:val="clear" w:color="auto" w:fill="215A5C"/>
            <w:vAlign w:val="center"/>
          </w:tcPr>
          <w:p w14:paraId="5EFF5F22" w14:textId="77777777" w:rsidR="00622884" w:rsidRPr="00622884" w:rsidRDefault="00622884" w:rsidP="00622884">
            <w:pPr>
              <w:spacing w:after="0" w:line="240" w:lineRule="auto"/>
              <w:ind w:firstLine="284"/>
              <w:jc w:val="center"/>
              <w:rPr>
                <w:rFonts w:ascii="Garamond" w:eastAsia="SimSun" w:hAnsi="Garamond" w:cs="Times New Roman"/>
                <w:sz w:val="16"/>
                <w:szCs w:val="16"/>
                <w:lang w:eastAsia="en-US"/>
              </w:rPr>
            </w:pPr>
          </w:p>
        </w:tc>
        <w:tc>
          <w:tcPr>
            <w:tcW w:w="0" w:type="auto"/>
            <w:gridSpan w:val="2"/>
            <w:shd w:val="clear" w:color="auto" w:fill="215A5C"/>
            <w:vAlign w:val="center"/>
          </w:tcPr>
          <w:p w14:paraId="05F185FA" w14:textId="77777777" w:rsidR="00622884" w:rsidRPr="00622884" w:rsidRDefault="00622884" w:rsidP="00622884">
            <w:pPr>
              <w:spacing w:after="0" w:line="240" w:lineRule="auto"/>
              <w:ind w:firstLine="284"/>
              <w:jc w:val="center"/>
              <w:rPr>
                <w:rFonts w:ascii="Garamond" w:eastAsia="SimSun" w:hAnsi="Garamond" w:cs="Times New Roman"/>
                <w:b/>
                <w:bCs/>
                <w:sz w:val="16"/>
                <w:szCs w:val="16"/>
                <w:lang w:eastAsia="en-US"/>
              </w:rPr>
            </w:pPr>
            <w:r w:rsidRPr="00622884">
              <w:rPr>
                <w:rFonts w:ascii="Garamond" w:eastAsia="SimSun" w:hAnsi="Garamond" w:cs="Times New Roman"/>
                <w:b/>
                <w:sz w:val="16"/>
                <w:szCs w:val="16"/>
                <w:lang w:eastAsia="en-US" w:bidi="sq-AL"/>
              </w:rPr>
              <w:t>Plani afatshkurtër, 2021</w:t>
            </w:r>
            <w:r w:rsidRPr="00622884">
              <w:rPr>
                <w:rFonts w:ascii="Garamond" w:eastAsia="Calibri" w:hAnsi="Garamond" w:cs="Times New Roman"/>
                <w:sz w:val="16"/>
                <w:szCs w:val="16"/>
                <w:lang w:eastAsia="en-US"/>
              </w:rPr>
              <w:t>–</w:t>
            </w:r>
            <w:r w:rsidRPr="00622884">
              <w:rPr>
                <w:rFonts w:ascii="Garamond" w:eastAsia="SimSun" w:hAnsi="Garamond" w:cs="Times New Roman"/>
                <w:b/>
                <w:sz w:val="16"/>
                <w:szCs w:val="16"/>
                <w:lang w:eastAsia="en-US" w:bidi="sq-AL"/>
              </w:rPr>
              <w:t>2040</w:t>
            </w:r>
          </w:p>
        </w:tc>
        <w:tc>
          <w:tcPr>
            <w:tcW w:w="0" w:type="auto"/>
            <w:gridSpan w:val="2"/>
            <w:shd w:val="clear" w:color="auto" w:fill="215A5C"/>
            <w:vAlign w:val="center"/>
          </w:tcPr>
          <w:p w14:paraId="1DAD8D82" w14:textId="77777777" w:rsidR="00622884" w:rsidRPr="00622884" w:rsidRDefault="00622884" w:rsidP="00622884">
            <w:pPr>
              <w:spacing w:after="0" w:line="240" w:lineRule="auto"/>
              <w:ind w:firstLine="284"/>
              <w:jc w:val="center"/>
              <w:rPr>
                <w:rFonts w:ascii="Garamond" w:eastAsia="SimSun" w:hAnsi="Garamond" w:cs="Times New Roman"/>
                <w:b/>
                <w:bCs/>
                <w:sz w:val="16"/>
                <w:szCs w:val="16"/>
                <w:lang w:eastAsia="en-US"/>
              </w:rPr>
            </w:pPr>
            <w:r w:rsidRPr="00622884">
              <w:rPr>
                <w:rFonts w:ascii="Garamond" w:eastAsia="SimSun" w:hAnsi="Garamond" w:cs="Times New Roman"/>
                <w:b/>
                <w:sz w:val="16"/>
                <w:szCs w:val="16"/>
                <w:lang w:eastAsia="en-US" w:bidi="sq-AL"/>
              </w:rPr>
              <w:t>Plani afatmesëm, 2041</w:t>
            </w:r>
            <w:r w:rsidRPr="00622884">
              <w:rPr>
                <w:rFonts w:ascii="Garamond" w:eastAsia="Calibri" w:hAnsi="Garamond" w:cs="Times New Roman"/>
                <w:sz w:val="16"/>
                <w:szCs w:val="16"/>
                <w:lang w:eastAsia="en-US"/>
              </w:rPr>
              <w:t>–</w:t>
            </w:r>
            <w:r w:rsidRPr="00622884">
              <w:rPr>
                <w:rFonts w:ascii="Garamond" w:eastAsia="SimSun" w:hAnsi="Garamond" w:cs="Times New Roman"/>
                <w:b/>
                <w:sz w:val="16"/>
                <w:szCs w:val="16"/>
                <w:lang w:eastAsia="en-US" w:bidi="sq-AL"/>
              </w:rPr>
              <w:t>2060</w:t>
            </w:r>
          </w:p>
        </w:tc>
        <w:tc>
          <w:tcPr>
            <w:tcW w:w="0" w:type="auto"/>
            <w:gridSpan w:val="2"/>
            <w:shd w:val="clear" w:color="auto" w:fill="215A5C"/>
            <w:vAlign w:val="center"/>
          </w:tcPr>
          <w:p w14:paraId="261A64DB" w14:textId="77777777" w:rsidR="00622884" w:rsidRPr="00622884" w:rsidRDefault="00622884" w:rsidP="00622884">
            <w:pPr>
              <w:spacing w:after="0" w:line="240" w:lineRule="auto"/>
              <w:ind w:firstLine="284"/>
              <w:jc w:val="center"/>
              <w:rPr>
                <w:rFonts w:ascii="Garamond" w:eastAsia="SimSun" w:hAnsi="Garamond" w:cs="Times New Roman"/>
                <w:b/>
                <w:bCs/>
                <w:sz w:val="16"/>
                <w:szCs w:val="16"/>
                <w:lang w:eastAsia="en-US"/>
              </w:rPr>
            </w:pPr>
            <w:r w:rsidRPr="00622884">
              <w:rPr>
                <w:rFonts w:ascii="Garamond" w:eastAsia="SimSun" w:hAnsi="Garamond" w:cs="Times New Roman"/>
                <w:b/>
                <w:sz w:val="16"/>
                <w:szCs w:val="16"/>
                <w:lang w:eastAsia="en-US" w:bidi="sq-AL"/>
              </w:rPr>
              <w:t>Plani afatgjatë, 2081</w:t>
            </w:r>
            <w:r w:rsidRPr="00622884">
              <w:rPr>
                <w:rFonts w:ascii="Garamond" w:eastAsia="Calibri" w:hAnsi="Garamond" w:cs="Times New Roman"/>
                <w:sz w:val="16"/>
                <w:szCs w:val="16"/>
                <w:lang w:eastAsia="en-US"/>
              </w:rPr>
              <w:t>–</w:t>
            </w:r>
            <w:r w:rsidRPr="00622884">
              <w:rPr>
                <w:rFonts w:ascii="Garamond" w:eastAsia="SimSun" w:hAnsi="Garamond" w:cs="Times New Roman"/>
                <w:b/>
                <w:sz w:val="16"/>
                <w:szCs w:val="16"/>
                <w:lang w:eastAsia="en-US" w:bidi="sq-AL"/>
              </w:rPr>
              <w:t>2100</w:t>
            </w:r>
          </w:p>
        </w:tc>
      </w:tr>
      <w:tr w:rsidR="00622884" w:rsidRPr="00622884" w14:paraId="61F7E764" w14:textId="77777777" w:rsidTr="00622884">
        <w:tc>
          <w:tcPr>
            <w:tcW w:w="0" w:type="auto"/>
            <w:shd w:val="clear" w:color="auto" w:fill="215A5C"/>
            <w:vAlign w:val="center"/>
          </w:tcPr>
          <w:p w14:paraId="43F8255B" w14:textId="77777777" w:rsidR="00622884" w:rsidRPr="00622884" w:rsidRDefault="00622884" w:rsidP="00622884">
            <w:pPr>
              <w:spacing w:after="0" w:line="240" w:lineRule="auto"/>
              <w:jc w:val="left"/>
              <w:rPr>
                <w:rFonts w:ascii="Garamond" w:eastAsia="SimSun" w:hAnsi="Garamond" w:cs="Times New Roman"/>
                <w:sz w:val="16"/>
                <w:szCs w:val="16"/>
                <w:lang w:eastAsia="en-US"/>
              </w:rPr>
            </w:pPr>
            <w:r w:rsidRPr="00622884">
              <w:rPr>
                <w:rFonts w:ascii="Garamond" w:eastAsia="SimSun" w:hAnsi="Garamond" w:cs="Times New Roman"/>
                <w:b/>
                <w:sz w:val="16"/>
                <w:szCs w:val="16"/>
                <w:lang w:eastAsia="en-US" w:bidi="sq-AL"/>
              </w:rPr>
              <w:t>Skenari</w:t>
            </w:r>
          </w:p>
        </w:tc>
        <w:tc>
          <w:tcPr>
            <w:tcW w:w="0" w:type="auto"/>
            <w:shd w:val="clear" w:color="auto" w:fill="215A5C"/>
            <w:vAlign w:val="center"/>
          </w:tcPr>
          <w:p w14:paraId="21BDFA6A" w14:textId="77777777" w:rsidR="00622884" w:rsidRPr="00622884" w:rsidRDefault="00622884" w:rsidP="00622884">
            <w:pPr>
              <w:spacing w:after="0" w:line="240" w:lineRule="auto"/>
              <w:jc w:val="left"/>
              <w:rPr>
                <w:rFonts w:ascii="Garamond" w:eastAsia="SimSun" w:hAnsi="Garamond" w:cs="Times New Roman"/>
                <w:sz w:val="16"/>
                <w:szCs w:val="16"/>
                <w:lang w:eastAsia="en-US"/>
              </w:rPr>
            </w:pPr>
            <w:r w:rsidRPr="00622884">
              <w:rPr>
                <w:rFonts w:ascii="Garamond" w:eastAsia="SimSun" w:hAnsi="Garamond" w:cs="Times New Roman"/>
                <w:b/>
                <w:sz w:val="16"/>
                <w:szCs w:val="16"/>
                <w:lang w:eastAsia="en-US" w:bidi="sq-AL"/>
              </w:rPr>
              <w:t>Parashikimi më i mirë (°C)</w:t>
            </w:r>
          </w:p>
        </w:tc>
        <w:tc>
          <w:tcPr>
            <w:tcW w:w="0" w:type="auto"/>
            <w:shd w:val="clear" w:color="auto" w:fill="215A5C"/>
            <w:vAlign w:val="center"/>
          </w:tcPr>
          <w:p w14:paraId="103C6CA2" w14:textId="77777777" w:rsidR="00622884" w:rsidRPr="00622884" w:rsidRDefault="00622884" w:rsidP="00622884">
            <w:pPr>
              <w:spacing w:after="0" w:line="240" w:lineRule="auto"/>
              <w:jc w:val="left"/>
              <w:rPr>
                <w:rFonts w:ascii="Garamond" w:eastAsia="SimSun" w:hAnsi="Garamond" w:cs="Times New Roman"/>
                <w:sz w:val="16"/>
                <w:szCs w:val="16"/>
                <w:lang w:eastAsia="en-US"/>
              </w:rPr>
            </w:pPr>
            <w:r w:rsidRPr="00622884">
              <w:rPr>
                <w:rFonts w:ascii="Garamond" w:eastAsia="SimSun" w:hAnsi="Garamond" w:cs="Times New Roman"/>
                <w:b/>
                <w:sz w:val="16"/>
                <w:szCs w:val="16"/>
                <w:lang w:eastAsia="en-US" w:bidi="sq-AL"/>
              </w:rPr>
              <w:t>Intervali më i mundshëm (°C)</w:t>
            </w:r>
          </w:p>
        </w:tc>
        <w:tc>
          <w:tcPr>
            <w:tcW w:w="0" w:type="auto"/>
            <w:shd w:val="clear" w:color="auto" w:fill="215A5C"/>
            <w:vAlign w:val="center"/>
          </w:tcPr>
          <w:p w14:paraId="79203833" w14:textId="77777777" w:rsidR="00622884" w:rsidRPr="00622884" w:rsidRDefault="00622884" w:rsidP="00622884">
            <w:pPr>
              <w:spacing w:after="0" w:line="240" w:lineRule="auto"/>
              <w:ind w:firstLine="284"/>
              <w:jc w:val="center"/>
              <w:rPr>
                <w:rFonts w:ascii="Garamond" w:eastAsia="SimSun" w:hAnsi="Garamond" w:cs="Times New Roman"/>
                <w:sz w:val="16"/>
                <w:szCs w:val="16"/>
                <w:lang w:eastAsia="en-US"/>
              </w:rPr>
            </w:pPr>
            <w:r w:rsidRPr="00622884">
              <w:rPr>
                <w:rFonts w:ascii="Garamond" w:eastAsia="SimSun" w:hAnsi="Garamond" w:cs="Times New Roman"/>
                <w:b/>
                <w:sz w:val="16"/>
                <w:szCs w:val="16"/>
                <w:lang w:eastAsia="en-US" w:bidi="sq-AL"/>
              </w:rPr>
              <w:t>Parashikimi më i mirë (°C)</w:t>
            </w:r>
          </w:p>
        </w:tc>
        <w:tc>
          <w:tcPr>
            <w:tcW w:w="0" w:type="auto"/>
            <w:shd w:val="clear" w:color="auto" w:fill="215A5C"/>
            <w:vAlign w:val="center"/>
          </w:tcPr>
          <w:p w14:paraId="6418E2F4" w14:textId="77777777" w:rsidR="00622884" w:rsidRPr="00622884" w:rsidRDefault="00622884" w:rsidP="00622884">
            <w:pPr>
              <w:spacing w:after="0" w:line="240" w:lineRule="auto"/>
              <w:jc w:val="left"/>
              <w:rPr>
                <w:rFonts w:ascii="Garamond" w:eastAsia="SimSun" w:hAnsi="Garamond" w:cs="Times New Roman"/>
                <w:b/>
                <w:bCs/>
                <w:sz w:val="16"/>
                <w:szCs w:val="16"/>
                <w:lang w:eastAsia="en-US"/>
              </w:rPr>
            </w:pPr>
            <w:r w:rsidRPr="00622884">
              <w:rPr>
                <w:rFonts w:ascii="Garamond" w:eastAsia="SimSun" w:hAnsi="Garamond" w:cs="Times New Roman"/>
                <w:b/>
                <w:sz w:val="16"/>
                <w:szCs w:val="16"/>
                <w:lang w:eastAsia="en-US" w:bidi="sq-AL"/>
              </w:rPr>
              <w:t>Intervali më i mundshëm (°C)</w:t>
            </w:r>
          </w:p>
        </w:tc>
        <w:tc>
          <w:tcPr>
            <w:tcW w:w="0" w:type="auto"/>
            <w:shd w:val="clear" w:color="auto" w:fill="215A5C"/>
            <w:vAlign w:val="center"/>
          </w:tcPr>
          <w:p w14:paraId="29C7902C" w14:textId="77777777" w:rsidR="00622884" w:rsidRPr="00622884" w:rsidRDefault="00622884" w:rsidP="00622884">
            <w:pPr>
              <w:spacing w:after="0" w:line="240" w:lineRule="auto"/>
              <w:jc w:val="left"/>
              <w:rPr>
                <w:rFonts w:ascii="Garamond" w:eastAsia="SimSun" w:hAnsi="Garamond" w:cs="Times New Roman"/>
                <w:b/>
                <w:bCs/>
                <w:sz w:val="16"/>
                <w:szCs w:val="16"/>
                <w:lang w:eastAsia="en-US"/>
              </w:rPr>
            </w:pPr>
            <w:r w:rsidRPr="00622884">
              <w:rPr>
                <w:rFonts w:ascii="Garamond" w:eastAsia="SimSun" w:hAnsi="Garamond" w:cs="Times New Roman"/>
                <w:b/>
                <w:sz w:val="16"/>
                <w:szCs w:val="16"/>
                <w:lang w:eastAsia="en-US" w:bidi="sq-AL"/>
              </w:rPr>
              <w:t>Parashikimi më i mirë (°C)</w:t>
            </w:r>
          </w:p>
        </w:tc>
        <w:tc>
          <w:tcPr>
            <w:tcW w:w="0" w:type="auto"/>
            <w:shd w:val="clear" w:color="auto" w:fill="215A5C"/>
            <w:vAlign w:val="center"/>
          </w:tcPr>
          <w:p w14:paraId="67F2A02E" w14:textId="77777777" w:rsidR="00622884" w:rsidRPr="00622884" w:rsidRDefault="00622884" w:rsidP="00622884">
            <w:pPr>
              <w:spacing w:after="0" w:line="240" w:lineRule="auto"/>
              <w:jc w:val="left"/>
              <w:rPr>
                <w:rFonts w:ascii="Garamond" w:eastAsia="SimSun" w:hAnsi="Garamond" w:cs="Times New Roman"/>
                <w:b/>
                <w:bCs/>
                <w:sz w:val="16"/>
                <w:szCs w:val="16"/>
                <w:lang w:eastAsia="en-US"/>
              </w:rPr>
            </w:pPr>
            <w:r w:rsidRPr="00622884">
              <w:rPr>
                <w:rFonts w:ascii="Garamond" w:eastAsia="SimSun" w:hAnsi="Garamond" w:cs="Times New Roman"/>
                <w:b/>
                <w:sz w:val="16"/>
                <w:szCs w:val="16"/>
                <w:lang w:eastAsia="en-US" w:bidi="sq-AL"/>
              </w:rPr>
              <w:t>Intervali më i mundshëm (°C)</w:t>
            </w:r>
          </w:p>
        </w:tc>
      </w:tr>
      <w:tr w:rsidR="00622884" w:rsidRPr="00622884" w14:paraId="2A90424C" w14:textId="77777777" w:rsidTr="00622884">
        <w:tc>
          <w:tcPr>
            <w:tcW w:w="0" w:type="auto"/>
            <w:shd w:val="clear" w:color="auto" w:fill="E0F4F4"/>
            <w:vAlign w:val="center"/>
          </w:tcPr>
          <w:p w14:paraId="7E74C9A1" w14:textId="77777777" w:rsidR="00622884" w:rsidRPr="00622884" w:rsidRDefault="00622884" w:rsidP="00622884">
            <w:pPr>
              <w:spacing w:after="0" w:line="240" w:lineRule="auto"/>
              <w:jc w:val="left"/>
              <w:rPr>
                <w:rFonts w:ascii="Garamond" w:eastAsia="SimSun" w:hAnsi="Garamond" w:cs="Times New Roman"/>
                <w:sz w:val="16"/>
                <w:szCs w:val="16"/>
                <w:lang w:eastAsia="en-US"/>
              </w:rPr>
            </w:pPr>
            <w:r w:rsidRPr="00622884">
              <w:rPr>
                <w:rFonts w:ascii="Garamond" w:eastAsia="SimSun" w:hAnsi="Garamond" w:cs="Times New Roman"/>
                <w:b/>
                <w:sz w:val="16"/>
                <w:szCs w:val="16"/>
                <w:lang w:eastAsia="en-US" w:bidi="sq-AL"/>
              </w:rPr>
              <w:t>SPS1-1.9</w:t>
            </w:r>
          </w:p>
        </w:tc>
        <w:tc>
          <w:tcPr>
            <w:tcW w:w="0" w:type="auto"/>
            <w:shd w:val="clear" w:color="auto" w:fill="E0F4F4"/>
            <w:vAlign w:val="center"/>
          </w:tcPr>
          <w:p w14:paraId="616831AD" w14:textId="77777777" w:rsidR="00622884" w:rsidRPr="00622884" w:rsidRDefault="00622884" w:rsidP="00622884">
            <w:pPr>
              <w:spacing w:after="0" w:line="240" w:lineRule="auto"/>
              <w:ind w:firstLine="284"/>
              <w:jc w:val="center"/>
              <w:rPr>
                <w:rFonts w:ascii="Garamond" w:eastAsia="SimSun" w:hAnsi="Garamond" w:cs="Times New Roman"/>
                <w:sz w:val="16"/>
                <w:szCs w:val="16"/>
                <w:lang w:eastAsia="en-US"/>
              </w:rPr>
            </w:pPr>
            <w:r w:rsidRPr="00622884">
              <w:rPr>
                <w:rFonts w:ascii="Garamond" w:eastAsia="SimSun" w:hAnsi="Garamond" w:cs="Times New Roman"/>
                <w:sz w:val="16"/>
                <w:szCs w:val="16"/>
                <w:lang w:eastAsia="en-US" w:bidi="sq-AL"/>
              </w:rPr>
              <w:t>1,5</w:t>
            </w:r>
          </w:p>
        </w:tc>
        <w:tc>
          <w:tcPr>
            <w:tcW w:w="0" w:type="auto"/>
            <w:shd w:val="clear" w:color="auto" w:fill="E0F4F4"/>
            <w:vAlign w:val="center"/>
          </w:tcPr>
          <w:p w14:paraId="7546B45A" w14:textId="77777777" w:rsidR="00622884" w:rsidRPr="00622884" w:rsidRDefault="00622884" w:rsidP="00622884">
            <w:pPr>
              <w:spacing w:after="0" w:line="240" w:lineRule="auto"/>
              <w:jc w:val="left"/>
              <w:rPr>
                <w:rFonts w:ascii="Garamond" w:eastAsia="SimSun" w:hAnsi="Garamond" w:cs="Times New Roman"/>
                <w:sz w:val="16"/>
                <w:szCs w:val="16"/>
                <w:lang w:eastAsia="en-US"/>
              </w:rPr>
            </w:pPr>
            <w:r w:rsidRPr="00622884">
              <w:rPr>
                <w:rFonts w:ascii="Garamond" w:eastAsia="SimSun" w:hAnsi="Garamond" w:cs="Times New Roman"/>
                <w:sz w:val="16"/>
                <w:szCs w:val="16"/>
                <w:lang w:eastAsia="en-US" w:bidi="sq-AL"/>
              </w:rPr>
              <w:t>1,2 deri në 1,7</w:t>
            </w:r>
          </w:p>
        </w:tc>
        <w:tc>
          <w:tcPr>
            <w:tcW w:w="0" w:type="auto"/>
            <w:shd w:val="clear" w:color="auto" w:fill="E0F4F4"/>
            <w:vAlign w:val="center"/>
          </w:tcPr>
          <w:p w14:paraId="3481E039" w14:textId="77777777" w:rsidR="00622884" w:rsidRPr="00622884" w:rsidRDefault="00622884" w:rsidP="00622884">
            <w:pPr>
              <w:spacing w:after="0" w:line="240" w:lineRule="auto"/>
              <w:ind w:firstLine="284"/>
              <w:jc w:val="center"/>
              <w:rPr>
                <w:rFonts w:ascii="Garamond" w:eastAsia="SimSun" w:hAnsi="Garamond" w:cs="Times New Roman"/>
                <w:sz w:val="16"/>
                <w:szCs w:val="16"/>
                <w:lang w:eastAsia="en-US"/>
              </w:rPr>
            </w:pPr>
            <w:r w:rsidRPr="00622884">
              <w:rPr>
                <w:rFonts w:ascii="Garamond" w:eastAsia="SimSun" w:hAnsi="Garamond" w:cs="Times New Roman"/>
                <w:sz w:val="16"/>
                <w:szCs w:val="16"/>
                <w:lang w:eastAsia="en-US" w:bidi="sq-AL"/>
              </w:rPr>
              <w:t>1,6</w:t>
            </w:r>
          </w:p>
        </w:tc>
        <w:tc>
          <w:tcPr>
            <w:tcW w:w="0" w:type="auto"/>
            <w:shd w:val="clear" w:color="auto" w:fill="E0F4F4"/>
            <w:vAlign w:val="center"/>
          </w:tcPr>
          <w:p w14:paraId="7583CA8A" w14:textId="77777777" w:rsidR="00622884" w:rsidRPr="00622884" w:rsidRDefault="00622884" w:rsidP="00622884">
            <w:pPr>
              <w:spacing w:after="0" w:line="240" w:lineRule="auto"/>
              <w:jc w:val="left"/>
              <w:rPr>
                <w:rFonts w:ascii="Garamond" w:eastAsia="SimSun" w:hAnsi="Garamond" w:cs="Times New Roman"/>
                <w:sz w:val="16"/>
                <w:szCs w:val="16"/>
                <w:lang w:eastAsia="en-US"/>
              </w:rPr>
            </w:pPr>
            <w:r w:rsidRPr="00622884">
              <w:rPr>
                <w:rFonts w:ascii="Garamond" w:eastAsia="SimSun" w:hAnsi="Garamond" w:cs="Times New Roman"/>
                <w:sz w:val="16"/>
                <w:szCs w:val="16"/>
                <w:lang w:eastAsia="en-US" w:bidi="sq-AL"/>
              </w:rPr>
              <w:t>1,2 deri në 2,0</w:t>
            </w:r>
          </w:p>
        </w:tc>
        <w:tc>
          <w:tcPr>
            <w:tcW w:w="0" w:type="auto"/>
            <w:shd w:val="clear" w:color="auto" w:fill="E0F4F4"/>
            <w:vAlign w:val="center"/>
          </w:tcPr>
          <w:p w14:paraId="5BFDF62F" w14:textId="77777777" w:rsidR="00622884" w:rsidRPr="00622884" w:rsidRDefault="00622884" w:rsidP="00622884">
            <w:pPr>
              <w:spacing w:after="0" w:line="240" w:lineRule="auto"/>
              <w:ind w:firstLine="284"/>
              <w:jc w:val="center"/>
              <w:rPr>
                <w:rFonts w:ascii="Garamond" w:eastAsia="SimSun" w:hAnsi="Garamond" w:cs="Times New Roman"/>
                <w:sz w:val="16"/>
                <w:szCs w:val="16"/>
                <w:lang w:eastAsia="en-US"/>
              </w:rPr>
            </w:pPr>
            <w:r w:rsidRPr="00622884">
              <w:rPr>
                <w:rFonts w:ascii="Garamond" w:eastAsia="SimSun" w:hAnsi="Garamond" w:cs="Times New Roman"/>
                <w:sz w:val="16"/>
                <w:szCs w:val="16"/>
                <w:lang w:eastAsia="en-US" w:bidi="sq-AL"/>
              </w:rPr>
              <w:t>1,4</w:t>
            </w:r>
          </w:p>
        </w:tc>
        <w:tc>
          <w:tcPr>
            <w:tcW w:w="0" w:type="auto"/>
            <w:shd w:val="clear" w:color="auto" w:fill="E0F4F4"/>
            <w:vAlign w:val="center"/>
          </w:tcPr>
          <w:p w14:paraId="38DA5233" w14:textId="77777777" w:rsidR="00622884" w:rsidRPr="00622884" w:rsidRDefault="00622884" w:rsidP="00622884">
            <w:pPr>
              <w:spacing w:after="0" w:line="240" w:lineRule="auto"/>
              <w:jc w:val="left"/>
              <w:rPr>
                <w:rFonts w:ascii="Garamond" w:eastAsia="SimSun" w:hAnsi="Garamond" w:cs="Times New Roman"/>
                <w:sz w:val="16"/>
                <w:szCs w:val="16"/>
                <w:lang w:eastAsia="en-US"/>
              </w:rPr>
            </w:pPr>
            <w:r w:rsidRPr="00622884">
              <w:rPr>
                <w:rFonts w:ascii="Garamond" w:eastAsia="SimSun" w:hAnsi="Garamond" w:cs="Times New Roman"/>
                <w:sz w:val="16"/>
                <w:szCs w:val="16"/>
                <w:lang w:eastAsia="en-US" w:bidi="sq-AL"/>
              </w:rPr>
              <w:t>1,0 deri në 1,8</w:t>
            </w:r>
          </w:p>
        </w:tc>
      </w:tr>
      <w:tr w:rsidR="00622884" w:rsidRPr="00622884" w14:paraId="4520E1EB" w14:textId="77777777" w:rsidTr="00622884">
        <w:tc>
          <w:tcPr>
            <w:tcW w:w="0" w:type="auto"/>
            <w:shd w:val="clear" w:color="auto" w:fill="E0F4F4"/>
            <w:vAlign w:val="center"/>
          </w:tcPr>
          <w:p w14:paraId="7B4C3A4B" w14:textId="77777777" w:rsidR="00622884" w:rsidRPr="00622884" w:rsidRDefault="00622884" w:rsidP="00622884">
            <w:pPr>
              <w:spacing w:after="0" w:line="240" w:lineRule="auto"/>
              <w:jc w:val="left"/>
              <w:rPr>
                <w:rFonts w:ascii="Garamond" w:eastAsia="SimSun" w:hAnsi="Garamond" w:cs="Times New Roman"/>
                <w:sz w:val="16"/>
                <w:szCs w:val="16"/>
                <w:lang w:eastAsia="en-US"/>
              </w:rPr>
            </w:pPr>
            <w:r w:rsidRPr="00622884">
              <w:rPr>
                <w:rFonts w:ascii="Garamond" w:eastAsia="SimSun" w:hAnsi="Garamond" w:cs="Times New Roman"/>
                <w:b/>
                <w:sz w:val="16"/>
                <w:szCs w:val="16"/>
                <w:lang w:eastAsia="en-US" w:bidi="sq-AL"/>
              </w:rPr>
              <w:t>SPS1-2.6</w:t>
            </w:r>
          </w:p>
        </w:tc>
        <w:tc>
          <w:tcPr>
            <w:tcW w:w="0" w:type="auto"/>
            <w:shd w:val="clear" w:color="auto" w:fill="E0F4F4"/>
            <w:vAlign w:val="center"/>
          </w:tcPr>
          <w:p w14:paraId="36654389" w14:textId="77777777" w:rsidR="00622884" w:rsidRPr="00622884" w:rsidRDefault="00622884" w:rsidP="00622884">
            <w:pPr>
              <w:spacing w:after="0" w:line="240" w:lineRule="auto"/>
              <w:ind w:firstLine="284"/>
              <w:jc w:val="center"/>
              <w:rPr>
                <w:rFonts w:ascii="Garamond" w:eastAsia="SimSun" w:hAnsi="Garamond" w:cs="Times New Roman"/>
                <w:sz w:val="16"/>
                <w:szCs w:val="16"/>
                <w:lang w:eastAsia="en-US"/>
              </w:rPr>
            </w:pPr>
            <w:r w:rsidRPr="00622884">
              <w:rPr>
                <w:rFonts w:ascii="Garamond" w:eastAsia="SimSun" w:hAnsi="Garamond" w:cs="Times New Roman"/>
                <w:sz w:val="16"/>
                <w:szCs w:val="16"/>
                <w:lang w:eastAsia="en-US" w:bidi="sq-AL"/>
              </w:rPr>
              <w:t>1,5</w:t>
            </w:r>
          </w:p>
        </w:tc>
        <w:tc>
          <w:tcPr>
            <w:tcW w:w="0" w:type="auto"/>
            <w:shd w:val="clear" w:color="auto" w:fill="E0F4F4"/>
            <w:vAlign w:val="center"/>
          </w:tcPr>
          <w:p w14:paraId="65DCB503" w14:textId="77777777" w:rsidR="00622884" w:rsidRPr="00622884" w:rsidRDefault="00622884" w:rsidP="00622884">
            <w:pPr>
              <w:spacing w:after="0" w:line="240" w:lineRule="auto"/>
              <w:jc w:val="left"/>
              <w:rPr>
                <w:rFonts w:ascii="Garamond" w:eastAsia="SimSun" w:hAnsi="Garamond" w:cs="Times New Roman"/>
                <w:sz w:val="16"/>
                <w:szCs w:val="16"/>
                <w:lang w:eastAsia="en-US"/>
              </w:rPr>
            </w:pPr>
            <w:r w:rsidRPr="00622884">
              <w:rPr>
                <w:rFonts w:ascii="Garamond" w:eastAsia="SimSun" w:hAnsi="Garamond" w:cs="Times New Roman"/>
                <w:sz w:val="16"/>
                <w:szCs w:val="16"/>
                <w:lang w:eastAsia="en-US" w:bidi="sq-AL"/>
              </w:rPr>
              <w:t>1,2 deri në 1,8</w:t>
            </w:r>
          </w:p>
        </w:tc>
        <w:tc>
          <w:tcPr>
            <w:tcW w:w="0" w:type="auto"/>
            <w:shd w:val="clear" w:color="auto" w:fill="E0F4F4"/>
            <w:vAlign w:val="center"/>
          </w:tcPr>
          <w:p w14:paraId="5F19108D" w14:textId="77777777" w:rsidR="00622884" w:rsidRPr="00622884" w:rsidRDefault="00622884" w:rsidP="00622884">
            <w:pPr>
              <w:spacing w:after="0" w:line="240" w:lineRule="auto"/>
              <w:ind w:firstLine="284"/>
              <w:jc w:val="center"/>
              <w:rPr>
                <w:rFonts w:ascii="Garamond" w:eastAsia="SimSun" w:hAnsi="Garamond" w:cs="Times New Roman"/>
                <w:sz w:val="16"/>
                <w:szCs w:val="16"/>
                <w:lang w:eastAsia="en-US"/>
              </w:rPr>
            </w:pPr>
            <w:r w:rsidRPr="00622884">
              <w:rPr>
                <w:rFonts w:ascii="Garamond" w:eastAsia="SimSun" w:hAnsi="Garamond" w:cs="Times New Roman"/>
                <w:sz w:val="16"/>
                <w:szCs w:val="16"/>
                <w:lang w:eastAsia="en-US" w:bidi="sq-AL"/>
              </w:rPr>
              <w:t>1,7</w:t>
            </w:r>
          </w:p>
        </w:tc>
        <w:tc>
          <w:tcPr>
            <w:tcW w:w="0" w:type="auto"/>
            <w:shd w:val="clear" w:color="auto" w:fill="E0F4F4"/>
            <w:vAlign w:val="center"/>
          </w:tcPr>
          <w:p w14:paraId="5F9CD09B" w14:textId="77777777" w:rsidR="00622884" w:rsidRPr="00622884" w:rsidRDefault="00622884" w:rsidP="00622884">
            <w:pPr>
              <w:spacing w:after="0" w:line="240" w:lineRule="auto"/>
              <w:jc w:val="left"/>
              <w:rPr>
                <w:rFonts w:ascii="Garamond" w:eastAsia="SimSun" w:hAnsi="Garamond" w:cs="Times New Roman"/>
                <w:sz w:val="16"/>
                <w:szCs w:val="16"/>
                <w:lang w:eastAsia="en-US"/>
              </w:rPr>
            </w:pPr>
            <w:r w:rsidRPr="00622884">
              <w:rPr>
                <w:rFonts w:ascii="Garamond" w:eastAsia="SimSun" w:hAnsi="Garamond" w:cs="Times New Roman"/>
                <w:sz w:val="16"/>
                <w:szCs w:val="16"/>
                <w:lang w:eastAsia="en-US" w:bidi="sq-AL"/>
              </w:rPr>
              <w:t>1,3 deri në 2,2</w:t>
            </w:r>
          </w:p>
        </w:tc>
        <w:tc>
          <w:tcPr>
            <w:tcW w:w="0" w:type="auto"/>
            <w:shd w:val="clear" w:color="auto" w:fill="E0F4F4"/>
            <w:vAlign w:val="center"/>
          </w:tcPr>
          <w:p w14:paraId="1DFBACEB" w14:textId="77777777" w:rsidR="00622884" w:rsidRPr="00622884" w:rsidRDefault="00622884" w:rsidP="00622884">
            <w:pPr>
              <w:spacing w:after="0" w:line="240" w:lineRule="auto"/>
              <w:ind w:firstLine="284"/>
              <w:jc w:val="center"/>
              <w:rPr>
                <w:rFonts w:ascii="Garamond" w:eastAsia="SimSun" w:hAnsi="Garamond" w:cs="Times New Roman"/>
                <w:sz w:val="16"/>
                <w:szCs w:val="16"/>
                <w:lang w:eastAsia="en-US"/>
              </w:rPr>
            </w:pPr>
            <w:r w:rsidRPr="00622884">
              <w:rPr>
                <w:rFonts w:ascii="Garamond" w:eastAsia="SimSun" w:hAnsi="Garamond" w:cs="Times New Roman"/>
                <w:sz w:val="16"/>
                <w:szCs w:val="16"/>
                <w:lang w:eastAsia="en-US" w:bidi="sq-AL"/>
              </w:rPr>
              <w:t>1,8</w:t>
            </w:r>
          </w:p>
        </w:tc>
        <w:tc>
          <w:tcPr>
            <w:tcW w:w="0" w:type="auto"/>
            <w:shd w:val="clear" w:color="auto" w:fill="E0F4F4"/>
            <w:vAlign w:val="center"/>
          </w:tcPr>
          <w:p w14:paraId="5B256858" w14:textId="77777777" w:rsidR="00622884" w:rsidRPr="00622884" w:rsidRDefault="00622884" w:rsidP="00622884">
            <w:pPr>
              <w:spacing w:after="0" w:line="240" w:lineRule="auto"/>
              <w:jc w:val="left"/>
              <w:rPr>
                <w:rFonts w:ascii="Garamond" w:eastAsia="SimSun" w:hAnsi="Garamond" w:cs="Times New Roman"/>
                <w:sz w:val="16"/>
                <w:szCs w:val="16"/>
                <w:lang w:eastAsia="en-US"/>
              </w:rPr>
            </w:pPr>
            <w:r w:rsidRPr="00622884">
              <w:rPr>
                <w:rFonts w:ascii="Garamond" w:eastAsia="SimSun" w:hAnsi="Garamond" w:cs="Times New Roman"/>
                <w:sz w:val="16"/>
                <w:szCs w:val="16"/>
                <w:lang w:eastAsia="en-US" w:bidi="sq-AL"/>
              </w:rPr>
              <w:t>1,3 deri në 2,4</w:t>
            </w:r>
          </w:p>
        </w:tc>
      </w:tr>
      <w:tr w:rsidR="00622884" w:rsidRPr="00622884" w14:paraId="10B15E25" w14:textId="77777777" w:rsidTr="00622884">
        <w:tc>
          <w:tcPr>
            <w:tcW w:w="0" w:type="auto"/>
            <w:shd w:val="clear" w:color="auto" w:fill="E0F4F4"/>
            <w:vAlign w:val="center"/>
          </w:tcPr>
          <w:p w14:paraId="1987C812" w14:textId="77777777" w:rsidR="00622884" w:rsidRPr="00622884" w:rsidRDefault="00622884" w:rsidP="00622884">
            <w:pPr>
              <w:spacing w:after="0" w:line="240" w:lineRule="auto"/>
              <w:jc w:val="left"/>
              <w:rPr>
                <w:rFonts w:ascii="Garamond" w:eastAsia="SimSun" w:hAnsi="Garamond" w:cs="Times New Roman"/>
                <w:sz w:val="16"/>
                <w:szCs w:val="16"/>
                <w:lang w:eastAsia="en-US"/>
              </w:rPr>
            </w:pPr>
            <w:r w:rsidRPr="00622884">
              <w:rPr>
                <w:rFonts w:ascii="Garamond" w:eastAsia="SimSun" w:hAnsi="Garamond" w:cs="Times New Roman"/>
                <w:b/>
                <w:sz w:val="16"/>
                <w:szCs w:val="16"/>
                <w:lang w:eastAsia="en-US" w:bidi="sq-AL"/>
              </w:rPr>
              <w:t>SPS2-4.5</w:t>
            </w:r>
          </w:p>
        </w:tc>
        <w:tc>
          <w:tcPr>
            <w:tcW w:w="0" w:type="auto"/>
            <w:shd w:val="clear" w:color="auto" w:fill="E0F4F4"/>
            <w:vAlign w:val="center"/>
          </w:tcPr>
          <w:p w14:paraId="091309E6" w14:textId="77777777" w:rsidR="00622884" w:rsidRPr="00622884" w:rsidRDefault="00622884" w:rsidP="00622884">
            <w:pPr>
              <w:spacing w:after="0" w:line="240" w:lineRule="auto"/>
              <w:ind w:firstLine="284"/>
              <w:jc w:val="center"/>
              <w:rPr>
                <w:rFonts w:ascii="Garamond" w:eastAsia="SimSun" w:hAnsi="Garamond" w:cs="Times New Roman"/>
                <w:sz w:val="16"/>
                <w:szCs w:val="16"/>
                <w:lang w:eastAsia="en-US"/>
              </w:rPr>
            </w:pPr>
            <w:r w:rsidRPr="00622884">
              <w:rPr>
                <w:rFonts w:ascii="Garamond" w:eastAsia="SimSun" w:hAnsi="Garamond" w:cs="Times New Roman"/>
                <w:sz w:val="16"/>
                <w:szCs w:val="16"/>
                <w:lang w:eastAsia="en-US" w:bidi="sq-AL"/>
              </w:rPr>
              <w:t>1,5</w:t>
            </w:r>
          </w:p>
        </w:tc>
        <w:tc>
          <w:tcPr>
            <w:tcW w:w="0" w:type="auto"/>
            <w:shd w:val="clear" w:color="auto" w:fill="E0F4F4"/>
            <w:vAlign w:val="center"/>
          </w:tcPr>
          <w:p w14:paraId="3A6F683D" w14:textId="77777777" w:rsidR="00622884" w:rsidRPr="00622884" w:rsidRDefault="00622884" w:rsidP="00622884">
            <w:pPr>
              <w:spacing w:after="0" w:line="240" w:lineRule="auto"/>
              <w:jc w:val="left"/>
              <w:rPr>
                <w:rFonts w:ascii="Garamond" w:eastAsia="SimSun" w:hAnsi="Garamond" w:cs="Times New Roman"/>
                <w:sz w:val="16"/>
                <w:szCs w:val="16"/>
                <w:lang w:eastAsia="en-US"/>
              </w:rPr>
            </w:pPr>
            <w:r w:rsidRPr="00622884">
              <w:rPr>
                <w:rFonts w:ascii="Garamond" w:eastAsia="SimSun" w:hAnsi="Garamond" w:cs="Times New Roman"/>
                <w:sz w:val="16"/>
                <w:szCs w:val="16"/>
                <w:lang w:eastAsia="en-US" w:bidi="sq-AL"/>
              </w:rPr>
              <w:t>1,2 deri në 1,8</w:t>
            </w:r>
          </w:p>
        </w:tc>
        <w:tc>
          <w:tcPr>
            <w:tcW w:w="0" w:type="auto"/>
            <w:shd w:val="clear" w:color="auto" w:fill="E0F4F4"/>
            <w:vAlign w:val="center"/>
          </w:tcPr>
          <w:p w14:paraId="5EFEC207" w14:textId="77777777" w:rsidR="00622884" w:rsidRPr="00622884" w:rsidRDefault="00622884" w:rsidP="00622884">
            <w:pPr>
              <w:spacing w:after="0" w:line="240" w:lineRule="auto"/>
              <w:ind w:firstLine="284"/>
              <w:jc w:val="center"/>
              <w:rPr>
                <w:rFonts w:ascii="Garamond" w:eastAsia="SimSun" w:hAnsi="Garamond" w:cs="Times New Roman"/>
                <w:sz w:val="16"/>
                <w:szCs w:val="16"/>
                <w:lang w:eastAsia="en-US"/>
              </w:rPr>
            </w:pPr>
            <w:r w:rsidRPr="00622884">
              <w:rPr>
                <w:rFonts w:ascii="Garamond" w:eastAsia="SimSun" w:hAnsi="Garamond" w:cs="Times New Roman"/>
                <w:sz w:val="16"/>
                <w:szCs w:val="16"/>
                <w:lang w:eastAsia="en-US" w:bidi="sq-AL"/>
              </w:rPr>
              <w:t>2</w:t>
            </w:r>
          </w:p>
        </w:tc>
        <w:tc>
          <w:tcPr>
            <w:tcW w:w="0" w:type="auto"/>
            <w:shd w:val="clear" w:color="auto" w:fill="E0F4F4"/>
            <w:vAlign w:val="center"/>
          </w:tcPr>
          <w:p w14:paraId="6E666686" w14:textId="77777777" w:rsidR="00622884" w:rsidRPr="00622884" w:rsidRDefault="00622884" w:rsidP="00622884">
            <w:pPr>
              <w:spacing w:after="0" w:line="240" w:lineRule="auto"/>
              <w:jc w:val="left"/>
              <w:rPr>
                <w:rFonts w:ascii="Garamond" w:eastAsia="SimSun" w:hAnsi="Garamond" w:cs="Times New Roman"/>
                <w:sz w:val="16"/>
                <w:szCs w:val="16"/>
                <w:lang w:eastAsia="en-US"/>
              </w:rPr>
            </w:pPr>
            <w:r w:rsidRPr="00622884">
              <w:rPr>
                <w:rFonts w:ascii="Garamond" w:eastAsia="SimSun" w:hAnsi="Garamond" w:cs="Times New Roman"/>
                <w:sz w:val="16"/>
                <w:szCs w:val="16"/>
                <w:lang w:eastAsia="en-US" w:bidi="sq-AL"/>
              </w:rPr>
              <w:t>1,6 deri në 2,5</w:t>
            </w:r>
          </w:p>
        </w:tc>
        <w:tc>
          <w:tcPr>
            <w:tcW w:w="0" w:type="auto"/>
            <w:shd w:val="clear" w:color="auto" w:fill="E0F4F4"/>
            <w:vAlign w:val="center"/>
          </w:tcPr>
          <w:p w14:paraId="697816AB" w14:textId="77777777" w:rsidR="00622884" w:rsidRPr="00622884" w:rsidRDefault="00622884" w:rsidP="00622884">
            <w:pPr>
              <w:spacing w:after="0" w:line="240" w:lineRule="auto"/>
              <w:ind w:firstLine="284"/>
              <w:jc w:val="center"/>
              <w:rPr>
                <w:rFonts w:ascii="Garamond" w:eastAsia="SimSun" w:hAnsi="Garamond" w:cs="Times New Roman"/>
                <w:sz w:val="16"/>
                <w:szCs w:val="16"/>
                <w:lang w:eastAsia="en-US"/>
              </w:rPr>
            </w:pPr>
            <w:r w:rsidRPr="00622884">
              <w:rPr>
                <w:rFonts w:ascii="Garamond" w:eastAsia="SimSun" w:hAnsi="Garamond" w:cs="Times New Roman"/>
                <w:sz w:val="16"/>
                <w:szCs w:val="16"/>
                <w:lang w:eastAsia="en-US" w:bidi="sq-AL"/>
              </w:rPr>
              <w:t>2,7</w:t>
            </w:r>
          </w:p>
        </w:tc>
        <w:tc>
          <w:tcPr>
            <w:tcW w:w="0" w:type="auto"/>
            <w:shd w:val="clear" w:color="auto" w:fill="E0F4F4"/>
            <w:vAlign w:val="center"/>
          </w:tcPr>
          <w:p w14:paraId="3F0A7EDB" w14:textId="77777777" w:rsidR="00622884" w:rsidRPr="00622884" w:rsidRDefault="00622884" w:rsidP="00622884">
            <w:pPr>
              <w:spacing w:after="0" w:line="240" w:lineRule="auto"/>
              <w:jc w:val="left"/>
              <w:rPr>
                <w:rFonts w:ascii="Garamond" w:eastAsia="SimSun" w:hAnsi="Garamond" w:cs="Times New Roman"/>
                <w:sz w:val="16"/>
                <w:szCs w:val="16"/>
                <w:lang w:eastAsia="en-US"/>
              </w:rPr>
            </w:pPr>
            <w:r w:rsidRPr="00622884">
              <w:rPr>
                <w:rFonts w:ascii="Garamond" w:eastAsia="SimSun" w:hAnsi="Garamond" w:cs="Times New Roman"/>
                <w:sz w:val="16"/>
                <w:szCs w:val="16"/>
                <w:lang w:eastAsia="en-US" w:bidi="sq-AL"/>
              </w:rPr>
              <w:t>2,1 deri në 3,5</w:t>
            </w:r>
          </w:p>
        </w:tc>
      </w:tr>
      <w:tr w:rsidR="00622884" w:rsidRPr="00622884" w14:paraId="64CDBD4A" w14:textId="77777777" w:rsidTr="00622884">
        <w:tc>
          <w:tcPr>
            <w:tcW w:w="0" w:type="auto"/>
            <w:shd w:val="clear" w:color="auto" w:fill="E0F4F4"/>
            <w:vAlign w:val="center"/>
          </w:tcPr>
          <w:p w14:paraId="7F7568F6" w14:textId="77777777" w:rsidR="00622884" w:rsidRPr="00622884" w:rsidRDefault="00622884" w:rsidP="00622884">
            <w:pPr>
              <w:spacing w:after="0" w:line="240" w:lineRule="auto"/>
              <w:jc w:val="left"/>
              <w:rPr>
                <w:rFonts w:ascii="Garamond" w:eastAsia="SimSun" w:hAnsi="Garamond" w:cs="Times New Roman"/>
                <w:sz w:val="16"/>
                <w:szCs w:val="16"/>
                <w:lang w:eastAsia="en-US"/>
              </w:rPr>
            </w:pPr>
            <w:r w:rsidRPr="00622884">
              <w:rPr>
                <w:rFonts w:ascii="Garamond" w:eastAsia="SimSun" w:hAnsi="Garamond" w:cs="Times New Roman"/>
                <w:b/>
                <w:sz w:val="16"/>
                <w:szCs w:val="16"/>
                <w:lang w:eastAsia="en-US" w:bidi="sq-AL"/>
              </w:rPr>
              <w:t>SPS3-7.0</w:t>
            </w:r>
          </w:p>
        </w:tc>
        <w:tc>
          <w:tcPr>
            <w:tcW w:w="0" w:type="auto"/>
            <w:shd w:val="clear" w:color="auto" w:fill="E0F4F4"/>
            <w:vAlign w:val="center"/>
          </w:tcPr>
          <w:p w14:paraId="5648960F" w14:textId="77777777" w:rsidR="00622884" w:rsidRPr="00622884" w:rsidRDefault="00622884" w:rsidP="00622884">
            <w:pPr>
              <w:spacing w:after="0" w:line="240" w:lineRule="auto"/>
              <w:ind w:firstLine="284"/>
              <w:jc w:val="center"/>
              <w:rPr>
                <w:rFonts w:ascii="Garamond" w:eastAsia="SimSun" w:hAnsi="Garamond" w:cs="Times New Roman"/>
                <w:sz w:val="16"/>
                <w:szCs w:val="16"/>
                <w:lang w:eastAsia="en-US"/>
              </w:rPr>
            </w:pPr>
            <w:r w:rsidRPr="00622884">
              <w:rPr>
                <w:rFonts w:ascii="Garamond" w:eastAsia="SimSun" w:hAnsi="Garamond" w:cs="Times New Roman"/>
                <w:sz w:val="16"/>
                <w:szCs w:val="16"/>
                <w:lang w:eastAsia="en-US" w:bidi="sq-AL"/>
              </w:rPr>
              <w:t>1,5</w:t>
            </w:r>
          </w:p>
        </w:tc>
        <w:tc>
          <w:tcPr>
            <w:tcW w:w="0" w:type="auto"/>
            <w:shd w:val="clear" w:color="auto" w:fill="E0F4F4"/>
            <w:vAlign w:val="center"/>
          </w:tcPr>
          <w:p w14:paraId="39B19E7B" w14:textId="77777777" w:rsidR="00622884" w:rsidRPr="00622884" w:rsidRDefault="00622884" w:rsidP="00622884">
            <w:pPr>
              <w:spacing w:after="0" w:line="240" w:lineRule="auto"/>
              <w:jc w:val="left"/>
              <w:rPr>
                <w:rFonts w:ascii="Garamond" w:eastAsia="SimSun" w:hAnsi="Garamond" w:cs="Times New Roman"/>
                <w:sz w:val="16"/>
                <w:szCs w:val="16"/>
                <w:lang w:eastAsia="en-US"/>
              </w:rPr>
            </w:pPr>
            <w:r w:rsidRPr="00622884">
              <w:rPr>
                <w:rFonts w:ascii="Garamond" w:eastAsia="SimSun" w:hAnsi="Garamond" w:cs="Times New Roman"/>
                <w:sz w:val="16"/>
                <w:szCs w:val="16"/>
                <w:lang w:eastAsia="en-US" w:bidi="sq-AL"/>
              </w:rPr>
              <w:t>1,2 deri në 1,8</w:t>
            </w:r>
          </w:p>
        </w:tc>
        <w:tc>
          <w:tcPr>
            <w:tcW w:w="0" w:type="auto"/>
            <w:shd w:val="clear" w:color="auto" w:fill="E0F4F4"/>
            <w:vAlign w:val="center"/>
          </w:tcPr>
          <w:p w14:paraId="6E19B723" w14:textId="77777777" w:rsidR="00622884" w:rsidRPr="00622884" w:rsidRDefault="00622884" w:rsidP="00622884">
            <w:pPr>
              <w:spacing w:after="0" w:line="240" w:lineRule="auto"/>
              <w:ind w:firstLine="284"/>
              <w:jc w:val="center"/>
              <w:rPr>
                <w:rFonts w:ascii="Garamond" w:eastAsia="SimSun" w:hAnsi="Garamond" w:cs="Times New Roman"/>
                <w:sz w:val="16"/>
                <w:szCs w:val="16"/>
                <w:lang w:eastAsia="en-US"/>
              </w:rPr>
            </w:pPr>
            <w:r w:rsidRPr="00622884">
              <w:rPr>
                <w:rFonts w:ascii="Garamond" w:eastAsia="SimSun" w:hAnsi="Garamond" w:cs="Times New Roman"/>
                <w:sz w:val="16"/>
                <w:szCs w:val="16"/>
                <w:lang w:eastAsia="en-US" w:bidi="sq-AL"/>
              </w:rPr>
              <w:t>2.1</w:t>
            </w:r>
          </w:p>
        </w:tc>
        <w:tc>
          <w:tcPr>
            <w:tcW w:w="0" w:type="auto"/>
            <w:shd w:val="clear" w:color="auto" w:fill="E0F4F4"/>
            <w:vAlign w:val="center"/>
          </w:tcPr>
          <w:p w14:paraId="6B93AD7A" w14:textId="77777777" w:rsidR="00622884" w:rsidRPr="00622884" w:rsidRDefault="00622884" w:rsidP="00622884">
            <w:pPr>
              <w:spacing w:after="0" w:line="240" w:lineRule="auto"/>
              <w:jc w:val="left"/>
              <w:rPr>
                <w:rFonts w:ascii="Garamond" w:eastAsia="SimSun" w:hAnsi="Garamond" w:cs="Times New Roman"/>
                <w:sz w:val="16"/>
                <w:szCs w:val="16"/>
                <w:lang w:eastAsia="en-US"/>
              </w:rPr>
            </w:pPr>
            <w:r w:rsidRPr="00622884">
              <w:rPr>
                <w:rFonts w:ascii="Garamond" w:eastAsia="SimSun" w:hAnsi="Garamond" w:cs="Times New Roman"/>
                <w:sz w:val="16"/>
                <w:szCs w:val="16"/>
                <w:lang w:eastAsia="en-US" w:bidi="sq-AL"/>
              </w:rPr>
              <w:t>1,7 deri në 2,6</w:t>
            </w:r>
          </w:p>
        </w:tc>
        <w:tc>
          <w:tcPr>
            <w:tcW w:w="0" w:type="auto"/>
            <w:shd w:val="clear" w:color="auto" w:fill="E0F4F4"/>
            <w:vAlign w:val="center"/>
          </w:tcPr>
          <w:p w14:paraId="1B731397" w14:textId="77777777" w:rsidR="00622884" w:rsidRPr="00622884" w:rsidRDefault="00622884" w:rsidP="00622884">
            <w:pPr>
              <w:spacing w:after="0" w:line="240" w:lineRule="auto"/>
              <w:ind w:firstLine="284"/>
              <w:jc w:val="center"/>
              <w:rPr>
                <w:rFonts w:ascii="Garamond" w:eastAsia="SimSun" w:hAnsi="Garamond" w:cs="Times New Roman"/>
                <w:sz w:val="16"/>
                <w:szCs w:val="16"/>
                <w:lang w:eastAsia="en-US"/>
              </w:rPr>
            </w:pPr>
            <w:r w:rsidRPr="00622884">
              <w:rPr>
                <w:rFonts w:ascii="Garamond" w:eastAsia="SimSun" w:hAnsi="Garamond" w:cs="Times New Roman"/>
                <w:sz w:val="16"/>
                <w:szCs w:val="16"/>
                <w:lang w:eastAsia="en-US" w:bidi="sq-AL"/>
              </w:rPr>
              <w:t>3,6</w:t>
            </w:r>
          </w:p>
        </w:tc>
        <w:tc>
          <w:tcPr>
            <w:tcW w:w="0" w:type="auto"/>
            <w:shd w:val="clear" w:color="auto" w:fill="E0F4F4"/>
            <w:vAlign w:val="center"/>
          </w:tcPr>
          <w:p w14:paraId="28C33B7C" w14:textId="77777777" w:rsidR="00622884" w:rsidRPr="00622884" w:rsidRDefault="00622884" w:rsidP="00622884">
            <w:pPr>
              <w:spacing w:after="0" w:line="240" w:lineRule="auto"/>
              <w:jc w:val="left"/>
              <w:rPr>
                <w:rFonts w:ascii="Garamond" w:eastAsia="SimSun" w:hAnsi="Garamond" w:cs="Times New Roman"/>
                <w:sz w:val="16"/>
                <w:szCs w:val="16"/>
                <w:lang w:eastAsia="en-US"/>
              </w:rPr>
            </w:pPr>
            <w:r w:rsidRPr="00622884">
              <w:rPr>
                <w:rFonts w:ascii="Garamond" w:eastAsia="SimSun" w:hAnsi="Garamond" w:cs="Times New Roman"/>
                <w:sz w:val="16"/>
                <w:szCs w:val="16"/>
                <w:lang w:eastAsia="en-US" w:bidi="sq-AL"/>
              </w:rPr>
              <w:t>2,8 deri në 4,6</w:t>
            </w:r>
          </w:p>
        </w:tc>
      </w:tr>
      <w:tr w:rsidR="00622884" w:rsidRPr="00622884" w14:paraId="3011C806" w14:textId="77777777" w:rsidTr="00622884">
        <w:tc>
          <w:tcPr>
            <w:tcW w:w="0" w:type="auto"/>
            <w:shd w:val="clear" w:color="auto" w:fill="E0F4F4"/>
            <w:vAlign w:val="center"/>
          </w:tcPr>
          <w:p w14:paraId="43E3B765" w14:textId="77777777" w:rsidR="00622884" w:rsidRPr="00622884" w:rsidRDefault="00622884" w:rsidP="00622884">
            <w:pPr>
              <w:spacing w:after="0" w:line="240" w:lineRule="auto"/>
              <w:jc w:val="left"/>
              <w:rPr>
                <w:rFonts w:ascii="Garamond" w:eastAsia="SimSun" w:hAnsi="Garamond" w:cs="Times New Roman"/>
                <w:sz w:val="16"/>
                <w:szCs w:val="16"/>
                <w:lang w:eastAsia="en-US"/>
              </w:rPr>
            </w:pPr>
            <w:r w:rsidRPr="00622884">
              <w:rPr>
                <w:rFonts w:ascii="Garamond" w:eastAsia="SimSun" w:hAnsi="Garamond" w:cs="Times New Roman"/>
                <w:b/>
                <w:sz w:val="16"/>
                <w:szCs w:val="16"/>
                <w:lang w:eastAsia="en-US" w:bidi="sq-AL"/>
              </w:rPr>
              <w:t>SPS5-8.5</w:t>
            </w:r>
          </w:p>
        </w:tc>
        <w:tc>
          <w:tcPr>
            <w:tcW w:w="0" w:type="auto"/>
            <w:shd w:val="clear" w:color="auto" w:fill="E0F4F4"/>
            <w:vAlign w:val="center"/>
          </w:tcPr>
          <w:p w14:paraId="11FF6CAB" w14:textId="77777777" w:rsidR="00622884" w:rsidRPr="00622884" w:rsidRDefault="00622884" w:rsidP="00622884">
            <w:pPr>
              <w:spacing w:after="0" w:line="240" w:lineRule="auto"/>
              <w:ind w:firstLine="284"/>
              <w:jc w:val="center"/>
              <w:rPr>
                <w:rFonts w:ascii="Garamond" w:eastAsia="SimSun" w:hAnsi="Garamond" w:cs="Times New Roman"/>
                <w:sz w:val="16"/>
                <w:szCs w:val="16"/>
                <w:lang w:eastAsia="en-US"/>
              </w:rPr>
            </w:pPr>
            <w:r w:rsidRPr="00622884">
              <w:rPr>
                <w:rFonts w:ascii="Garamond" w:eastAsia="SimSun" w:hAnsi="Garamond" w:cs="Times New Roman"/>
                <w:sz w:val="16"/>
                <w:szCs w:val="16"/>
                <w:lang w:eastAsia="en-US" w:bidi="sq-AL"/>
              </w:rPr>
              <w:t>1,6</w:t>
            </w:r>
          </w:p>
        </w:tc>
        <w:tc>
          <w:tcPr>
            <w:tcW w:w="0" w:type="auto"/>
            <w:shd w:val="clear" w:color="auto" w:fill="E0F4F4"/>
            <w:vAlign w:val="center"/>
          </w:tcPr>
          <w:p w14:paraId="0EF8A0D5" w14:textId="77777777" w:rsidR="00622884" w:rsidRPr="00622884" w:rsidRDefault="00622884" w:rsidP="00622884">
            <w:pPr>
              <w:spacing w:after="0" w:line="240" w:lineRule="auto"/>
              <w:jc w:val="left"/>
              <w:rPr>
                <w:rFonts w:ascii="Garamond" w:eastAsia="SimSun" w:hAnsi="Garamond" w:cs="Times New Roman"/>
                <w:sz w:val="16"/>
                <w:szCs w:val="16"/>
                <w:lang w:eastAsia="en-US"/>
              </w:rPr>
            </w:pPr>
            <w:r w:rsidRPr="00622884">
              <w:rPr>
                <w:rFonts w:ascii="Garamond" w:eastAsia="SimSun" w:hAnsi="Garamond" w:cs="Times New Roman"/>
                <w:sz w:val="16"/>
                <w:szCs w:val="16"/>
                <w:lang w:eastAsia="en-US" w:bidi="sq-AL"/>
              </w:rPr>
              <w:t>1,3 deri në 1,9</w:t>
            </w:r>
          </w:p>
        </w:tc>
        <w:tc>
          <w:tcPr>
            <w:tcW w:w="0" w:type="auto"/>
            <w:shd w:val="clear" w:color="auto" w:fill="E0F4F4"/>
            <w:vAlign w:val="center"/>
          </w:tcPr>
          <w:p w14:paraId="733ED482" w14:textId="77777777" w:rsidR="00622884" w:rsidRPr="00622884" w:rsidRDefault="00622884" w:rsidP="00622884">
            <w:pPr>
              <w:spacing w:after="0" w:line="240" w:lineRule="auto"/>
              <w:ind w:firstLine="284"/>
              <w:jc w:val="center"/>
              <w:rPr>
                <w:rFonts w:ascii="Garamond" w:eastAsia="SimSun" w:hAnsi="Garamond" w:cs="Times New Roman"/>
                <w:sz w:val="16"/>
                <w:szCs w:val="16"/>
                <w:lang w:eastAsia="en-US"/>
              </w:rPr>
            </w:pPr>
            <w:r w:rsidRPr="00622884">
              <w:rPr>
                <w:rFonts w:ascii="Garamond" w:eastAsia="SimSun" w:hAnsi="Garamond" w:cs="Times New Roman"/>
                <w:sz w:val="16"/>
                <w:szCs w:val="16"/>
                <w:lang w:eastAsia="en-US" w:bidi="sq-AL"/>
              </w:rPr>
              <w:t>2,4</w:t>
            </w:r>
          </w:p>
        </w:tc>
        <w:tc>
          <w:tcPr>
            <w:tcW w:w="0" w:type="auto"/>
            <w:shd w:val="clear" w:color="auto" w:fill="E0F4F4"/>
            <w:vAlign w:val="center"/>
          </w:tcPr>
          <w:p w14:paraId="4C6B63DB" w14:textId="77777777" w:rsidR="00622884" w:rsidRPr="00622884" w:rsidRDefault="00622884" w:rsidP="00622884">
            <w:pPr>
              <w:spacing w:after="0" w:line="240" w:lineRule="auto"/>
              <w:jc w:val="left"/>
              <w:rPr>
                <w:rFonts w:ascii="Garamond" w:eastAsia="SimSun" w:hAnsi="Garamond" w:cs="Times New Roman"/>
                <w:sz w:val="16"/>
                <w:szCs w:val="16"/>
                <w:lang w:eastAsia="en-US"/>
              </w:rPr>
            </w:pPr>
            <w:r w:rsidRPr="00622884">
              <w:rPr>
                <w:rFonts w:ascii="Garamond" w:eastAsia="SimSun" w:hAnsi="Garamond" w:cs="Times New Roman"/>
                <w:sz w:val="16"/>
                <w:szCs w:val="16"/>
                <w:lang w:eastAsia="en-US" w:bidi="sq-AL"/>
              </w:rPr>
              <w:t>1,9 deri në 3,0</w:t>
            </w:r>
          </w:p>
        </w:tc>
        <w:tc>
          <w:tcPr>
            <w:tcW w:w="0" w:type="auto"/>
            <w:shd w:val="clear" w:color="auto" w:fill="E0F4F4"/>
            <w:vAlign w:val="center"/>
          </w:tcPr>
          <w:p w14:paraId="4EE2A04D" w14:textId="77777777" w:rsidR="00622884" w:rsidRPr="00622884" w:rsidRDefault="00622884" w:rsidP="00622884">
            <w:pPr>
              <w:spacing w:after="0" w:line="240" w:lineRule="auto"/>
              <w:ind w:firstLine="284"/>
              <w:jc w:val="center"/>
              <w:rPr>
                <w:rFonts w:ascii="Garamond" w:eastAsia="SimSun" w:hAnsi="Garamond" w:cs="Times New Roman"/>
                <w:sz w:val="16"/>
                <w:szCs w:val="16"/>
                <w:lang w:eastAsia="en-US"/>
              </w:rPr>
            </w:pPr>
            <w:r w:rsidRPr="00622884">
              <w:rPr>
                <w:rFonts w:ascii="Garamond" w:eastAsia="SimSun" w:hAnsi="Garamond" w:cs="Times New Roman"/>
                <w:sz w:val="16"/>
                <w:szCs w:val="16"/>
                <w:lang w:eastAsia="en-US" w:bidi="sq-AL"/>
              </w:rPr>
              <w:t>4,4</w:t>
            </w:r>
          </w:p>
        </w:tc>
        <w:tc>
          <w:tcPr>
            <w:tcW w:w="0" w:type="auto"/>
            <w:shd w:val="clear" w:color="auto" w:fill="E0F4F4"/>
            <w:vAlign w:val="center"/>
          </w:tcPr>
          <w:p w14:paraId="672C7858" w14:textId="77777777" w:rsidR="00622884" w:rsidRPr="00622884" w:rsidRDefault="00622884" w:rsidP="00622884">
            <w:pPr>
              <w:spacing w:after="0" w:line="240" w:lineRule="auto"/>
              <w:jc w:val="left"/>
              <w:rPr>
                <w:rFonts w:ascii="Garamond" w:eastAsia="SimSun" w:hAnsi="Garamond" w:cs="Times New Roman"/>
                <w:sz w:val="16"/>
                <w:szCs w:val="16"/>
                <w:lang w:eastAsia="en-US"/>
              </w:rPr>
            </w:pPr>
            <w:r w:rsidRPr="00622884">
              <w:rPr>
                <w:rFonts w:ascii="Garamond" w:eastAsia="SimSun" w:hAnsi="Garamond" w:cs="Times New Roman"/>
                <w:sz w:val="16"/>
                <w:szCs w:val="16"/>
                <w:lang w:eastAsia="en-US" w:bidi="sq-AL"/>
              </w:rPr>
              <w:t>3,3 deri në 5,7</w:t>
            </w:r>
          </w:p>
        </w:tc>
      </w:tr>
    </w:tbl>
    <w:p w14:paraId="353351EA" w14:textId="77777777" w:rsidR="00622884" w:rsidRPr="00622884" w:rsidRDefault="00622884" w:rsidP="00622884">
      <w:pPr>
        <w:spacing w:after="0" w:line="240" w:lineRule="auto"/>
        <w:ind w:firstLine="284"/>
        <w:rPr>
          <w:rFonts w:ascii="Garamond" w:eastAsia="SimSun" w:hAnsi="Garamond" w:cs="Calibri Light"/>
          <w:sz w:val="24"/>
          <w:szCs w:val="24"/>
          <w:lang w:eastAsia="en-US"/>
        </w:rPr>
      </w:pPr>
      <w:r w:rsidRPr="00622884">
        <w:rPr>
          <w:rFonts w:ascii="Garamond" w:eastAsia="SimSun" w:hAnsi="Garamond" w:cs="Calibri Light"/>
          <w:sz w:val="24"/>
          <w:szCs w:val="24"/>
          <w:lang w:eastAsia="en-US" w:bidi="sq-AL"/>
        </w:rPr>
        <w:t>Ndryshimet e vëzhguara dhe të simuluara në temperaturën mesatare globale të sipërfaqes, në raport me periudhën 1850</w:t>
      </w:r>
      <w:r w:rsidRPr="00622884">
        <w:rPr>
          <w:rFonts w:ascii="Garamond" w:eastAsia="SimSun" w:hAnsi="Garamond" w:cs="Times New Roman"/>
          <w:color w:val="1D3C5A"/>
          <w:sz w:val="24"/>
          <w:szCs w:val="24"/>
          <w:lang w:eastAsia="en-US"/>
        </w:rPr>
        <w:t>–</w:t>
      </w:r>
      <w:r w:rsidRPr="00622884">
        <w:rPr>
          <w:rFonts w:ascii="Garamond" w:eastAsia="SimSun" w:hAnsi="Garamond" w:cs="Calibri Light"/>
          <w:sz w:val="24"/>
          <w:szCs w:val="24"/>
          <w:lang w:eastAsia="en-US" w:bidi="sq-AL"/>
        </w:rPr>
        <w:t xml:space="preserve">1900 paraqiten, duke ilustruar një trajektore të qëndrueshme rritëse në të gjitha SPS-të. Në mënyrë të ngjashme, </w:t>
      </w:r>
      <w:r w:rsidRPr="00622884">
        <w:rPr>
          <w:rFonts w:ascii="Garamond" w:eastAsia="SimSun" w:hAnsi="Garamond" w:cs="Calibri Light"/>
          <w:sz w:val="24"/>
          <w:szCs w:val="24"/>
          <w:lang w:eastAsia="en-US" w:bidi="sq-AL"/>
        </w:rPr>
        <w:fldChar w:fldCharType="begin"/>
      </w:r>
      <w:r w:rsidRPr="00622884">
        <w:rPr>
          <w:rFonts w:ascii="Garamond" w:eastAsia="SimSun" w:hAnsi="Garamond" w:cs="Calibri Light"/>
          <w:sz w:val="24"/>
          <w:szCs w:val="24"/>
          <w:lang w:eastAsia="en-US" w:bidi="sq-AL"/>
        </w:rPr>
        <w:instrText xml:space="preserve"> REF _Ref209095089 \h  \* MERGEFORMAT </w:instrText>
      </w:r>
      <w:r w:rsidRPr="00622884">
        <w:rPr>
          <w:rFonts w:ascii="Garamond" w:eastAsia="SimSun" w:hAnsi="Garamond" w:cs="Calibri Light"/>
          <w:sz w:val="24"/>
          <w:szCs w:val="24"/>
          <w:lang w:eastAsia="en-US" w:bidi="sq-AL"/>
        </w:rPr>
      </w:r>
      <w:r w:rsidRPr="00622884">
        <w:rPr>
          <w:rFonts w:ascii="Garamond" w:eastAsia="SimSun" w:hAnsi="Garamond" w:cs="Calibri Light"/>
          <w:sz w:val="24"/>
          <w:szCs w:val="24"/>
          <w:lang w:eastAsia="en-US" w:bidi="sq-AL"/>
        </w:rPr>
        <w:fldChar w:fldCharType="separate"/>
      </w:r>
      <w:r w:rsidRPr="00622884">
        <w:rPr>
          <w:rFonts w:ascii="Garamond" w:eastAsia="SimSun" w:hAnsi="Garamond" w:cs="Calibri Light"/>
          <w:b/>
          <w:bCs/>
          <w:sz w:val="24"/>
          <w:szCs w:val="24"/>
          <w:lang w:eastAsia="en-US" w:bidi="sq-AL"/>
        </w:rPr>
        <w:t>figura 10</w:t>
      </w:r>
      <w:r w:rsidRPr="00622884">
        <w:rPr>
          <w:rFonts w:ascii="Garamond" w:eastAsia="SimSun" w:hAnsi="Garamond" w:cs="Calibri Light"/>
          <w:sz w:val="24"/>
          <w:szCs w:val="24"/>
          <w:lang w:eastAsia="en-US" w:bidi="sq-AL"/>
        </w:rPr>
        <w:fldChar w:fldCharType="end"/>
      </w:r>
      <w:r w:rsidRPr="00622884">
        <w:rPr>
          <w:rFonts w:ascii="Garamond" w:eastAsia="SimSun" w:hAnsi="Garamond" w:cs="Calibri Light"/>
          <w:sz w:val="24"/>
          <w:szCs w:val="24"/>
          <w:lang w:eastAsia="en-US" w:bidi="sq-AL"/>
        </w:rPr>
        <w:t xml:space="preserve"> paraqet rritjen e pritshme të nivelit mesatar global të detit, duke theksuar përshpejtimin e rritjes së nivelit të detit në skenarët me shkarkime më të larta.</w:t>
      </w:r>
    </w:p>
    <w:p w14:paraId="0CDA5FA5" w14:textId="77777777" w:rsidR="00622884" w:rsidRPr="00622884" w:rsidRDefault="00622884" w:rsidP="00622884">
      <w:pPr>
        <w:keepNext/>
        <w:suppressAutoHyphens/>
        <w:spacing w:after="0" w:line="240" w:lineRule="auto"/>
        <w:ind w:firstLine="284"/>
        <w:jc w:val="center"/>
        <w:rPr>
          <w:rFonts w:ascii="Garamond" w:eastAsia="Calibri" w:hAnsi="Garamond" w:cs="Calibri Light"/>
          <w:sz w:val="24"/>
          <w:szCs w:val="24"/>
          <w:lang w:eastAsia="en-US"/>
        </w:rPr>
      </w:pPr>
      <w:r w:rsidRPr="00622884">
        <w:rPr>
          <w:rFonts w:ascii="Garamond" w:eastAsia="Calibri" w:hAnsi="Garamond" w:cs="Times New Roman"/>
          <w:noProof/>
          <w:sz w:val="24"/>
          <w:szCs w:val="24"/>
          <w:lang w:eastAsia="sq-AL"/>
        </w:rPr>
        <w:drawing>
          <wp:inline distT="0" distB="0" distL="0" distR="0" wp14:anchorId="73EF621B" wp14:editId="4193AAF5">
            <wp:extent cx="4756150" cy="2211070"/>
            <wp:effectExtent l="0" t="0" r="6350" b="0"/>
            <wp:docPr id="244" name="Picture 244" descr="Afbeelding met tekst, software, Computerpictogram, Webpagina&#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fbeelding met tekst, software, Computerpictogram, Webpagina&#10;&#10;Automatisch gegenereerde beschrijving"/>
                    <pic:cNvPicPr>
                      <a:picLocks noChangeAspect="1" noChangeArrowheads="1"/>
                    </pic:cNvPicPr>
                  </pic:nvPicPr>
                  <pic:blipFill>
                    <a:blip r:embed="rId80">
                      <a:extLst>
                        <a:ext uri="{28A0092B-C50C-407E-A947-70E740481C1C}">
                          <a14:useLocalDpi xmlns:a14="http://schemas.microsoft.com/office/drawing/2010/main" val="0"/>
                        </a:ext>
                      </a:extLst>
                    </a:blip>
                    <a:srcRect l="35043" t="34943" r="35216" b="40460"/>
                    <a:stretch>
                      <a:fillRect/>
                    </a:stretch>
                  </pic:blipFill>
                  <pic:spPr bwMode="auto">
                    <a:xfrm>
                      <a:off x="0" y="0"/>
                      <a:ext cx="4756150" cy="2211070"/>
                    </a:xfrm>
                    <a:prstGeom prst="rect">
                      <a:avLst/>
                    </a:prstGeom>
                    <a:noFill/>
                    <a:ln>
                      <a:noFill/>
                    </a:ln>
                  </pic:spPr>
                </pic:pic>
              </a:graphicData>
            </a:graphic>
          </wp:inline>
        </w:drawing>
      </w:r>
    </w:p>
    <w:p w14:paraId="3093E40E" w14:textId="77777777" w:rsidR="00622884" w:rsidRPr="00622884" w:rsidRDefault="00622884" w:rsidP="00622884">
      <w:pPr>
        <w:tabs>
          <w:tab w:val="left" w:pos="5325"/>
        </w:tabs>
        <w:spacing w:after="0" w:line="240" w:lineRule="auto"/>
        <w:ind w:firstLine="284"/>
        <w:rPr>
          <w:rFonts w:ascii="Garamond" w:eastAsia="Calibri" w:hAnsi="Garamond" w:cs="Times New Roman"/>
          <w:i/>
          <w:iCs/>
          <w:sz w:val="20"/>
          <w:szCs w:val="20"/>
          <w:lang w:eastAsia="en-US"/>
        </w:rPr>
      </w:pPr>
      <w:bookmarkStart w:id="240" w:name="_Toc213936081"/>
      <w:r w:rsidRPr="00622884">
        <w:rPr>
          <w:rFonts w:ascii="Garamond" w:eastAsia="Calibri" w:hAnsi="Garamond" w:cs="Times New Roman"/>
          <w:i/>
          <w:sz w:val="20"/>
          <w:szCs w:val="20"/>
          <w:lang w:eastAsia="en-US" w:bidi="sq-AL"/>
        </w:rPr>
        <w:t>Figura 9. Ndryshime në temperaturën globale sipërfaqësore krahasuar me periudhën 1850</w:t>
      </w:r>
      <w:r w:rsidRPr="00622884">
        <w:rPr>
          <w:rFonts w:ascii="Garamond" w:eastAsia="Calibri" w:hAnsi="Garamond" w:cs="Times New Roman"/>
          <w:i/>
          <w:sz w:val="20"/>
          <w:szCs w:val="20"/>
          <w:lang w:eastAsia="en-US"/>
        </w:rPr>
        <w:t>–</w:t>
      </w:r>
      <w:r w:rsidRPr="00622884">
        <w:rPr>
          <w:rFonts w:ascii="Garamond" w:eastAsia="Calibri" w:hAnsi="Garamond" w:cs="Times New Roman"/>
          <w:i/>
          <w:sz w:val="20"/>
          <w:szCs w:val="20"/>
          <w:lang w:eastAsia="en-US" w:bidi="sq-AL"/>
        </w:rPr>
        <w:t>1900.</w:t>
      </w:r>
      <w:bookmarkEnd w:id="240"/>
    </w:p>
    <w:p w14:paraId="34A0BFE2" w14:textId="77777777" w:rsidR="00622884" w:rsidRPr="00622884" w:rsidRDefault="00622884" w:rsidP="00622884">
      <w:pPr>
        <w:tabs>
          <w:tab w:val="left" w:pos="5325"/>
        </w:tabs>
        <w:spacing w:after="0" w:line="240" w:lineRule="auto"/>
        <w:ind w:firstLine="284"/>
        <w:rPr>
          <w:rFonts w:ascii="Garamond" w:eastAsia="Calibri" w:hAnsi="Garamond" w:cs="Times New Roman"/>
          <w:iCs/>
          <w:sz w:val="20"/>
          <w:szCs w:val="20"/>
          <w:shd w:val="clear" w:color="auto" w:fill="FFFFFF"/>
          <w:lang w:eastAsia="ar-SA"/>
        </w:rPr>
      </w:pPr>
      <w:r w:rsidRPr="00622884">
        <w:rPr>
          <w:rFonts w:ascii="Garamond" w:eastAsia="Calibri" w:hAnsi="Garamond" w:cs="Times New Roman"/>
          <w:sz w:val="20"/>
          <w:szCs w:val="20"/>
          <w:shd w:val="clear" w:color="auto" w:fill="FFFFFF"/>
          <w:lang w:eastAsia="en-US" w:bidi="sq-AL"/>
        </w:rPr>
        <w:t xml:space="preserve">Burimi: </w:t>
      </w:r>
      <w:r w:rsidRPr="00622884">
        <w:rPr>
          <w:rFonts w:ascii="Garamond" w:eastAsia="Calibri" w:hAnsi="Garamond" w:cs="Times New Roman"/>
          <w:sz w:val="20"/>
          <w:szCs w:val="20"/>
          <w:lang w:eastAsia="en-US" w:bidi="sq-AL"/>
        </w:rPr>
        <w:t>TS, ndryshimet klimatike 2021: Baza e shkencave fizike. Kontributi i GPI-së për AR6 e PNNK-së.</w:t>
      </w:r>
    </w:p>
    <w:p w14:paraId="15EE0FEE" w14:textId="77777777" w:rsidR="00622884" w:rsidRPr="00622884" w:rsidRDefault="00622884" w:rsidP="00622884">
      <w:pPr>
        <w:keepNext/>
        <w:suppressAutoHyphens/>
        <w:spacing w:after="0" w:line="240" w:lineRule="auto"/>
        <w:ind w:firstLine="284"/>
        <w:jc w:val="center"/>
        <w:rPr>
          <w:rFonts w:ascii="Garamond" w:eastAsia="Calibri" w:hAnsi="Garamond" w:cs="Calibri Light"/>
          <w:sz w:val="24"/>
          <w:szCs w:val="24"/>
          <w:lang w:eastAsia="en-US"/>
        </w:rPr>
      </w:pPr>
      <w:r w:rsidRPr="00622884">
        <w:rPr>
          <w:rFonts w:ascii="Garamond" w:eastAsia="Calibri" w:hAnsi="Garamond" w:cs="Times New Roman"/>
          <w:noProof/>
          <w:sz w:val="24"/>
          <w:szCs w:val="24"/>
          <w:lang w:eastAsia="sq-AL"/>
        </w:rPr>
        <w:lastRenderedPageBreak/>
        <w:drawing>
          <wp:inline distT="0" distB="0" distL="0" distR="0" wp14:anchorId="59124A4D" wp14:editId="2DB948E3">
            <wp:extent cx="4967605" cy="2129155"/>
            <wp:effectExtent l="0" t="0" r="4445" b="4445"/>
            <wp:docPr id="245" name="Picture 245" descr="Afbeelding met tekst, software, Computerpictogram, Webpagina&#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fbeelding met tekst, software, Computerpictogram, Webpagina&#10;&#10;Automatisch gegenereerde beschrijving"/>
                    <pic:cNvPicPr>
                      <a:picLocks noChangeAspect="1" noChangeArrowheads="1"/>
                    </pic:cNvPicPr>
                  </pic:nvPicPr>
                  <pic:blipFill>
                    <a:blip r:embed="rId81">
                      <a:extLst>
                        <a:ext uri="{28A0092B-C50C-407E-A947-70E740481C1C}">
                          <a14:useLocalDpi xmlns:a14="http://schemas.microsoft.com/office/drawing/2010/main" val="0"/>
                        </a:ext>
                      </a:extLst>
                    </a:blip>
                    <a:srcRect l="24347" t="46667" r="30882" b="24272"/>
                    <a:stretch>
                      <a:fillRect/>
                    </a:stretch>
                  </pic:blipFill>
                  <pic:spPr bwMode="auto">
                    <a:xfrm>
                      <a:off x="0" y="0"/>
                      <a:ext cx="4967605" cy="2129155"/>
                    </a:xfrm>
                    <a:prstGeom prst="rect">
                      <a:avLst/>
                    </a:prstGeom>
                    <a:noFill/>
                    <a:ln>
                      <a:noFill/>
                    </a:ln>
                  </pic:spPr>
                </pic:pic>
              </a:graphicData>
            </a:graphic>
          </wp:inline>
        </w:drawing>
      </w:r>
    </w:p>
    <w:p w14:paraId="68E5D43B" w14:textId="77777777" w:rsidR="00622884" w:rsidRPr="00622884" w:rsidRDefault="00622884" w:rsidP="00622884">
      <w:pPr>
        <w:tabs>
          <w:tab w:val="left" w:pos="5325"/>
        </w:tabs>
        <w:spacing w:after="0" w:line="240" w:lineRule="auto"/>
        <w:ind w:firstLine="284"/>
        <w:rPr>
          <w:rFonts w:ascii="Garamond" w:eastAsia="Yu Mincho" w:hAnsi="Garamond" w:cs="Times New Roman"/>
          <w:i/>
          <w:iCs/>
          <w:sz w:val="20"/>
          <w:szCs w:val="20"/>
          <w:lang w:eastAsia="en-US"/>
        </w:rPr>
      </w:pPr>
      <w:bookmarkStart w:id="241" w:name="_Toc213936082"/>
      <w:r w:rsidRPr="00622884">
        <w:rPr>
          <w:rFonts w:ascii="Garamond" w:eastAsia="Calibri" w:hAnsi="Garamond" w:cs="Times New Roman"/>
          <w:i/>
          <w:sz w:val="20"/>
          <w:szCs w:val="20"/>
          <w:lang w:eastAsia="en-US" w:bidi="sq-AL"/>
        </w:rPr>
        <w:t>Figura 10. Rritja mesatare globale e nivelit të detit krahasuar me periudhën 1850</w:t>
      </w:r>
      <w:r w:rsidRPr="00622884">
        <w:rPr>
          <w:rFonts w:ascii="Garamond" w:eastAsia="Calibri" w:hAnsi="Garamond" w:cs="Times New Roman"/>
          <w:i/>
          <w:sz w:val="20"/>
          <w:szCs w:val="20"/>
          <w:lang w:eastAsia="en-US"/>
        </w:rPr>
        <w:t>–</w:t>
      </w:r>
      <w:r w:rsidRPr="00622884">
        <w:rPr>
          <w:rFonts w:ascii="Garamond" w:eastAsia="Calibri" w:hAnsi="Garamond" w:cs="Times New Roman"/>
          <w:i/>
          <w:sz w:val="20"/>
          <w:szCs w:val="20"/>
          <w:lang w:eastAsia="en-US" w:bidi="sq-AL"/>
        </w:rPr>
        <w:t>1900.</w:t>
      </w:r>
      <w:bookmarkEnd w:id="241"/>
    </w:p>
    <w:p w14:paraId="540BD32B" w14:textId="77777777" w:rsidR="00622884" w:rsidRPr="00622884" w:rsidRDefault="00622884" w:rsidP="00622884">
      <w:pPr>
        <w:tabs>
          <w:tab w:val="left" w:pos="5325"/>
        </w:tabs>
        <w:spacing w:after="0" w:line="240" w:lineRule="auto"/>
        <w:ind w:firstLine="284"/>
        <w:rPr>
          <w:rFonts w:ascii="Garamond" w:eastAsia="Yu Mincho" w:hAnsi="Garamond" w:cs="Times New Roman"/>
          <w:iCs/>
          <w:sz w:val="20"/>
          <w:szCs w:val="20"/>
          <w:lang w:eastAsia="en-US"/>
        </w:rPr>
      </w:pPr>
      <w:r w:rsidRPr="00622884">
        <w:rPr>
          <w:rFonts w:ascii="Garamond" w:eastAsia="Calibri" w:hAnsi="Garamond" w:cs="Times New Roman"/>
          <w:sz w:val="20"/>
          <w:szCs w:val="20"/>
          <w:lang w:eastAsia="en-US" w:bidi="sq-AL"/>
        </w:rPr>
        <w:t>Burimi: TS, ndryshimet klimatike 2021: Baza e shkencave fizike. Kontributi i GPI-së për AR6 e PNNK-së.</w:t>
      </w:r>
    </w:p>
    <w:p w14:paraId="64B0FC80" w14:textId="77777777" w:rsidR="00622884" w:rsidRPr="00622884" w:rsidRDefault="00622884" w:rsidP="00622884">
      <w:pPr>
        <w:spacing w:after="0" w:line="240" w:lineRule="auto"/>
        <w:ind w:firstLine="284"/>
        <w:rPr>
          <w:rFonts w:ascii="Garamond" w:eastAsia="Calibri" w:hAnsi="Garamond" w:cs="Times New Roman"/>
          <w:sz w:val="24"/>
          <w:szCs w:val="24"/>
          <w:lang w:eastAsia="en-US" w:bidi="sq-AL"/>
        </w:rPr>
      </w:pPr>
    </w:p>
    <w:p w14:paraId="74D39935" w14:textId="77777777" w:rsidR="00622884" w:rsidRPr="00622884" w:rsidRDefault="00622884" w:rsidP="00622884">
      <w:pPr>
        <w:spacing w:after="0" w:line="240" w:lineRule="auto"/>
        <w:ind w:firstLine="284"/>
        <w:rPr>
          <w:rFonts w:ascii="Garamond" w:eastAsia="SimSun" w:hAnsi="Garamond" w:cs="Calibri Light"/>
          <w:sz w:val="24"/>
          <w:szCs w:val="24"/>
          <w:lang w:eastAsia="en-US"/>
        </w:rPr>
      </w:pPr>
      <w:r w:rsidRPr="00622884">
        <w:rPr>
          <w:rFonts w:ascii="Garamond" w:eastAsia="Calibri" w:hAnsi="Garamond" w:cs="Times New Roman"/>
          <w:sz w:val="24"/>
          <w:szCs w:val="24"/>
          <w:lang w:eastAsia="en-US" w:bidi="sq-AL"/>
        </w:rPr>
        <w:t>Në nivel kombëtar, konteksti socio-ekonomik i Shqipërisë është analizuar nën të njëjtën kornizë të SPS-ve për të vlerësuar cenueshmëritë e mundshme, kapacitetin përshtatës dhe implikimet sektoriale</w:t>
      </w:r>
      <w:r w:rsidRPr="00622884">
        <w:rPr>
          <w:rFonts w:ascii="Garamond" w:eastAsia="Calibri" w:hAnsi="Garamond" w:cs="Times New Roman"/>
          <w:sz w:val="24"/>
          <w:szCs w:val="24"/>
          <w:vertAlign w:val="superscript"/>
          <w:lang w:eastAsia="en-US" w:bidi="sq-AL"/>
        </w:rPr>
        <w:footnoteReference w:id="165"/>
      </w:r>
      <w:r w:rsidRPr="00622884">
        <w:rPr>
          <w:rFonts w:ascii="Garamond" w:eastAsia="Calibri" w:hAnsi="Garamond" w:cs="Times New Roman"/>
          <w:sz w:val="24"/>
          <w:szCs w:val="24"/>
          <w:lang w:eastAsia="en-US" w:bidi="sq-AL"/>
        </w:rPr>
        <w:t>. Ekonomia e brishtë e Shqipërisë, risqet nga fatkeqësitë natyrore, varfëria dhe infrastruktura e pamjaftueshme e bëjnë atë shumë të prekshme nga ndryshimet klimatike. Sfidat mjedisore, si: shpyllëzimi, menaxhimi i dobët i ujëmbledhësve, ndotja dhe zhvillimi bregdetar i parregulluar, së bashku me ndërgjegjësimin e ulët për klimën, i ndërlikojnë më tej përpjekjet për përshtatje. Ekonomia e vendit është zhvendosur nga lëndët e para dhe industria drejt një strukture të udhëhequr nga shërbimet, duke ruajtur rritje të qëndrueshme vjetore, e nxitur nga performanca e sektorit privat, eksportet dhe investimet në infrastrukturë. Për më tepër, popullsia e Shqipërisë ka rënë që nga vitet 1960 për shkak të reformave shoqërore dhe shifrave të larta të emigracionit. Me nivele rritjeje të qëndrueshme, parashikohet që popullsia të bjerë më tej, duke arritur në rreth 2,75 milionë banorë deri në vitin 2031. Në vijim, paraqiten skenarët SPS për Shqipërinë</w:t>
      </w:r>
      <w:r w:rsidRPr="00622884">
        <w:rPr>
          <w:rFonts w:ascii="Garamond" w:eastAsia="Calibri" w:hAnsi="Garamond" w:cs="Times New Roman"/>
          <w:sz w:val="24"/>
          <w:szCs w:val="24"/>
          <w:vertAlign w:val="superscript"/>
          <w:lang w:eastAsia="en-US" w:bidi="sq-AL"/>
        </w:rPr>
        <w:footnoteReference w:id="166"/>
      </w:r>
      <w:r w:rsidRPr="00622884">
        <w:rPr>
          <w:rFonts w:ascii="Garamond" w:eastAsia="Calibri" w:hAnsi="Garamond" w:cs="Times New Roman"/>
          <w:sz w:val="24"/>
          <w:szCs w:val="24"/>
          <w:lang w:eastAsia="en-US" w:bidi="sq-AL"/>
        </w:rPr>
        <w:t>:</w:t>
      </w:r>
    </w:p>
    <w:p w14:paraId="74A976DE"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p>
    <w:tbl>
      <w:tblPr>
        <w:tblW w:w="9067" w:type="dxa"/>
        <w:tblBorders>
          <w:top w:val="single" w:sz="4" w:space="0" w:color="1D3C5A"/>
          <w:left w:val="single" w:sz="4" w:space="0" w:color="1D3C5A"/>
          <w:bottom w:val="single" w:sz="4" w:space="0" w:color="1D3C5A"/>
          <w:right w:val="single" w:sz="4" w:space="0" w:color="1D3C5A"/>
          <w:insideH w:val="single" w:sz="4" w:space="0" w:color="1D3C5A"/>
          <w:insideV w:val="single" w:sz="4" w:space="0" w:color="1D3C5A"/>
        </w:tblBorders>
        <w:tblCellMar>
          <w:left w:w="0" w:type="dxa"/>
          <w:right w:w="0" w:type="dxa"/>
        </w:tblCellMar>
        <w:tblLook w:val="04A0" w:firstRow="1" w:lastRow="0" w:firstColumn="1" w:lastColumn="0" w:noHBand="0" w:noVBand="1"/>
      </w:tblPr>
      <w:tblGrid>
        <w:gridCol w:w="571"/>
        <w:gridCol w:w="8496"/>
      </w:tblGrid>
      <w:tr w:rsidR="00622884" w:rsidRPr="00622884" w14:paraId="7BC7C0B0" w14:textId="77777777" w:rsidTr="00622884">
        <w:trPr>
          <w:trHeight w:val="3695"/>
        </w:trPr>
        <w:tc>
          <w:tcPr>
            <w:tcW w:w="0" w:type="auto"/>
            <w:shd w:val="clear" w:color="auto" w:fill="DFEAF5"/>
            <w:tcMar>
              <w:top w:w="75" w:type="dxa"/>
              <w:left w:w="75" w:type="dxa"/>
              <w:bottom w:w="75" w:type="dxa"/>
              <w:right w:w="75" w:type="dxa"/>
            </w:tcMar>
            <w:vAlign w:val="center"/>
            <w:hideMark/>
          </w:tcPr>
          <w:p w14:paraId="24422327" w14:textId="77777777" w:rsidR="00622884" w:rsidRPr="00622884" w:rsidRDefault="00622884" w:rsidP="00622884">
            <w:pPr>
              <w:suppressAutoHyphens/>
              <w:spacing w:after="0" w:line="240" w:lineRule="auto"/>
              <w:rPr>
                <w:rFonts w:ascii="Garamond" w:eastAsia="Times New Roman" w:hAnsi="Garamond" w:cs="Calibri Light"/>
                <w:b/>
                <w:bCs/>
                <w:sz w:val="20"/>
                <w:szCs w:val="20"/>
                <w:lang w:eastAsia="ar-SA"/>
              </w:rPr>
            </w:pPr>
            <w:r w:rsidRPr="00622884">
              <w:rPr>
                <w:rFonts w:ascii="Garamond" w:eastAsia="Calibri" w:hAnsi="Garamond" w:cs="Times New Roman"/>
                <w:b/>
                <w:sz w:val="20"/>
                <w:szCs w:val="20"/>
                <w:lang w:eastAsia="en-US" w:bidi="sq-AL"/>
              </w:rPr>
              <w:t>SPS1</w:t>
            </w:r>
          </w:p>
        </w:tc>
        <w:tc>
          <w:tcPr>
            <w:tcW w:w="8528" w:type="dxa"/>
            <w:tcMar>
              <w:top w:w="75" w:type="dxa"/>
              <w:left w:w="75" w:type="dxa"/>
              <w:bottom w:w="75" w:type="dxa"/>
              <w:right w:w="75" w:type="dxa"/>
            </w:tcMar>
            <w:vAlign w:val="center"/>
            <w:hideMark/>
          </w:tcPr>
          <w:p w14:paraId="184B566D" w14:textId="77777777" w:rsidR="00622884" w:rsidRPr="00622884" w:rsidRDefault="00622884" w:rsidP="00622884">
            <w:pPr>
              <w:suppressAutoHyphens/>
              <w:spacing w:after="0" w:line="240" w:lineRule="auto"/>
              <w:rPr>
                <w:rFonts w:ascii="Garamond" w:eastAsia="Times New Roman" w:hAnsi="Garamond" w:cs="Calibri Light"/>
                <w:b/>
                <w:sz w:val="20"/>
                <w:szCs w:val="20"/>
                <w:lang w:eastAsia="ar-SA"/>
              </w:rPr>
            </w:pPr>
            <w:r w:rsidRPr="00622884">
              <w:rPr>
                <w:rFonts w:ascii="Garamond" w:eastAsia="Calibri" w:hAnsi="Garamond" w:cs="Times New Roman"/>
                <w:b/>
                <w:sz w:val="20"/>
                <w:szCs w:val="20"/>
                <w:lang w:eastAsia="en-US" w:bidi="sq-AL"/>
              </w:rPr>
              <w:t>Qëndrueshmëria – Ndjekja e rrugës së gjelbër (sfida të pakta për zbutjen dhe përshtatjen)</w:t>
            </w:r>
          </w:p>
          <w:p w14:paraId="1D3F6379" w14:textId="77777777" w:rsidR="00622884" w:rsidRPr="00622884" w:rsidRDefault="00622884" w:rsidP="00622884">
            <w:pPr>
              <w:suppressAutoHyphens/>
              <w:spacing w:after="0" w:line="240" w:lineRule="auto"/>
              <w:rPr>
                <w:rFonts w:ascii="Garamond" w:eastAsia="Times New Roman" w:hAnsi="Garamond" w:cs="Calibri Light"/>
                <w:iCs/>
                <w:sz w:val="20"/>
                <w:szCs w:val="20"/>
                <w:lang w:eastAsia="ar-SA"/>
              </w:rPr>
            </w:pPr>
            <w:r w:rsidRPr="00622884">
              <w:rPr>
                <w:rFonts w:ascii="Garamond" w:eastAsia="Calibri" w:hAnsi="Garamond" w:cs="Times New Roman"/>
                <w:sz w:val="20"/>
                <w:szCs w:val="20"/>
                <w:lang w:eastAsia="en-US" w:bidi="sq-AL"/>
              </w:rPr>
              <w:t xml:space="preserve">Në këtë SPS, rruga e qëndrueshme që po ndjek bota do të ndikojë te dinamikat e zhvillimit ekonomik dhe cilësia mjedisore në çdo vend. Mbështetja ndërkombëtare dhe politikat e integrimit do të sigurojnë zbatimin e politikave të gjelbra në Shqipëri. </w:t>
            </w:r>
          </w:p>
          <w:p w14:paraId="23D7E490" w14:textId="77777777" w:rsidR="00622884" w:rsidRPr="00622884" w:rsidRDefault="00622884" w:rsidP="00622884">
            <w:pPr>
              <w:suppressAutoHyphens/>
              <w:spacing w:after="0" w:line="240" w:lineRule="auto"/>
              <w:rPr>
                <w:rFonts w:ascii="Garamond" w:eastAsia="Times New Roman" w:hAnsi="Garamond" w:cs="Calibri Light"/>
                <w:iCs/>
                <w:sz w:val="20"/>
                <w:szCs w:val="20"/>
                <w:lang w:eastAsia="ar-SA"/>
              </w:rPr>
            </w:pPr>
            <w:r w:rsidRPr="00622884">
              <w:rPr>
                <w:rFonts w:ascii="Garamond" w:eastAsia="Calibri" w:hAnsi="Garamond" w:cs="Times New Roman"/>
                <w:sz w:val="20"/>
                <w:szCs w:val="20"/>
                <w:lang w:eastAsia="en-US" w:bidi="sq-AL"/>
              </w:rPr>
              <w:t xml:space="preserve">Shqipëria do të ketë më shumë investime në arsim, më shumë ofrim të kujdesit shëndetësor, rritje ekonomike mesatare deri në të lartë, të orientuar drejt mirëqenies njerëzore, dhe më pak pabarazi. </w:t>
            </w:r>
          </w:p>
          <w:p w14:paraId="2C68265B" w14:textId="77777777" w:rsidR="00622884" w:rsidRPr="00622884" w:rsidRDefault="00622884" w:rsidP="00622884">
            <w:pPr>
              <w:suppressAutoHyphens/>
              <w:spacing w:after="0" w:line="240" w:lineRule="auto"/>
              <w:rPr>
                <w:rFonts w:ascii="Garamond" w:eastAsia="Times New Roman" w:hAnsi="Garamond" w:cs="Calibri Light"/>
                <w:iCs/>
                <w:sz w:val="20"/>
                <w:szCs w:val="20"/>
                <w:lang w:eastAsia="ar-SA"/>
              </w:rPr>
            </w:pPr>
            <w:r w:rsidRPr="00622884">
              <w:rPr>
                <w:rFonts w:ascii="Garamond" w:eastAsia="Calibri" w:hAnsi="Garamond" w:cs="Times New Roman"/>
                <w:sz w:val="20"/>
                <w:szCs w:val="20"/>
                <w:lang w:eastAsia="en-US" w:bidi="sq-AL"/>
              </w:rPr>
              <w:t xml:space="preserve">Për shkak të një popullsie më të arsimuar, vendi do të ketë rritje më të ulët të popullsisë. Popullsia në përgjithësi do të bjerë gjatë të gjithë shekullit. </w:t>
            </w:r>
          </w:p>
          <w:p w14:paraId="329433D2" w14:textId="77777777" w:rsidR="00622884" w:rsidRPr="00622884" w:rsidRDefault="00622884" w:rsidP="00622884">
            <w:pPr>
              <w:suppressAutoHyphens/>
              <w:spacing w:after="0" w:line="240" w:lineRule="auto"/>
              <w:rPr>
                <w:rFonts w:ascii="Garamond" w:eastAsia="Times New Roman" w:hAnsi="Garamond" w:cs="Calibri Light"/>
                <w:iCs/>
                <w:sz w:val="20"/>
                <w:szCs w:val="20"/>
                <w:lang w:eastAsia="ar-SA"/>
              </w:rPr>
            </w:pPr>
            <w:r w:rsidRPr="00622884">
              <w:rPr>
                <w:rFonts w:ascii="Garamond" w:eastAsia="Calibri" w:hAnsi="Garamond" w:cs="Times New Roman"/>
                <w:sz w:val="20"/>
                <w:szCs w:val="20"/>
                <w:lang w:eastAsia="en-US" w:bidi="sq-AL"/>
              </w:rPr>
              <w:t xml:space="preserve">Për shkak të një niveli më të ulët pabarazie, më shumë njerëz do të jenë në gjendje të udhëtojnë për qëllime pushimi, duke ndikuar kështu te sektori i turizmit. </w:t>
            </w:r>
          </w:p>
          <w:p w14:paraId="7A94D30E" w14:textId="77777777" w:rsidR="00622884" w:rsidRPr="00622884" w:rsidRDefault="00622884" w:rsidP="00622884">
            <w:pPr>
              <w:suppressAutoHyphens/>
              <w:spacing w:after="0" w:line="240" w:lineRule="auto"/>
              <w:rPr>
                <w:rFonts w:ascii="Garamond" w:eastAsia="Times New Roman" w:hAnsi="Garamond" w:cs="Calibri Light"/>
                <w:iCs/>
                <w:sz w:val="20"/>
                <w:szCs w:val="20"/>
                <w:lang w:eastAsia="ar-SA"/>
              </w:rPr>
            </w:pPr>
            <w:r w:rsidRPr="00622884">
              <w:rPr>
                <w:rFonts w:ascii="Garamond" w:eastAsia="Calibri" w:hAnsi="Garamond" w:cs="Times New Roman"/>
                <w:sz w:val="20"/>
                <w:szCs w:val="20"/>
                <w:lang w:eastAsia="en-US" w:bidi="sq-AL"/>
              </w:rPr>
              <w:t>Intensiteti më i ulët i përdorimit të burimeve dhe popullsia më e ulët do të sjellin kërkesë më të vogël për ujë. Pritet, gjithashtu, përmirësim në menaxhimin e burimeve ujore.</w:t>
            </w:r>
          </w:p>
          <w:p w14:paraId="3A71C323" w14:textId="77777777" w:rsidR="00622884" w:rsidRPr="00622884" w:rsidRDefault="00622884" w:rsidP="00622884">
            <w:pPr>
              <w:suppressAutoHyphens/>
              <w:spacing w:after="0" w:line="240" w:lineRule="auto"/>
              <w:rPr>
                <w:rFonts w:ascii="Garamond" w:eastAsia="Times New Roman" w:hAnsi="Garamond" w:cs="Calibri Light"/>
                <w:iCs/>
                <w:sz w:val="20"/>
                <w:szCs w:val="20"/>
                <w:lang w:eastAsia="ar-SA"/>
              </w:rPr>
            </w:pPr>
            <w:r w:rsidRPr="00622884">
              <w:rPr>
                <w:rFonts w:ascii="Garamond" w:eastAsia="Calibri" w:hAnsi="Garamond" w:cs="Times New Roman"/>
                <w:sz w:val="20"/>
                <w:szCs w:val="20"/>
                <w:lang w:eastAsia="en-US" w:bidi="sq-AL"/>
              </w:rPr>
              <w:t>Rregulloret më të forta mjedisore do të ndikojnë, gjithashtu, në sektorin e bujqësisë. Bujqësia do të përjetojë përmirësime në prodhimtari për shkak të zbatimit të praktikave më të mira në sektor dhe përmirësimeve në teknologji.</w:t>
            </w:r>
          </w:p>
          <w:p w14:paraId="3957E3B7" w14:textId="77777777" w:rsidR="00622884" w:rsidRPr="00622884" w:rsidRDefault="00622884" w:rsidP="00622884">
            <w:pPr>
              <w:suppressAutoHyphens/>
              <w:spacing w:after="0" w:line="240" w:lineRule="auto"/>
              <w:rPr>
                <w:rFonts w:ascii="Garamond" w:eastAsia="Times New Roman" w:hAnsi="Garamond" w:cs="Calibri Light"/>
                <w:iCs/>
                <w:sz w:val="20"/>
                <w:szCs w:val="20"/>
                <w:lang w:eastAsia="ar-SA"/>
              </w:rPr>
            </w:pPr>
            <w:r w:rsidRPr="00622884">
              <w:rPr>
                <w:rFonts w:ascii="Garamond" w:eastAsia="Calibri" w:hAnsi="Garamond" w:cs="Times New Roman"/>
                <w:sz w:val="20"/>
                <w:szCs w:val="20"/>
                <w:lang w:eastAsia="en-US" w:bidi="sq-AL"/>
              </w:rPr>
              <w:t xml:space="preserve">Qëndrueshmëria e lartë nënkupton konsum më të ulët ushqimi, duke ndikuar kështu sërish në prodhimin bujqësor. </w:t>
            </w:r>
          </w:p>
        </w:tc>
      </w:tr>
      <w:tr w:rsidR="00622884" w:rsidRPr="00622884" w14:paraId="31C71408" w14:textId="77777777" w:rsidTr="00622884">
        <w:tc>
          <w:tcPr>
            <w:tcW w:w="0" w:type="auto"/>
            <w:shd w:val="clear" w:color="auto" w:fill="DFEAF5"/>
            <w:tcMar>
              <w:top w:w="75" w:type="dxa"/>
              <w:left w:w="75" w:type="dxa"/>
              <w:bottom w:w="75" w:type="dxa"/>
              <w:right w:w="75" w:type="dxa"/>
            </w:tcMar>
            <w:vAlign w:val="center"/>
            <w:hideMark/>
          </w:tcPr>
          <w:p w14:paraId="39381EA4" w14:textId="77777777" w:rsidR="00622884" w:rsidRPr="00622884" w:rsidRDefault="00622884" w:rsidP="00622884">
            <w:pPr>
              <w:suppressAutoHyphens/>
              <w:spacing w:after="0" w:line="240" w:lineRule="auto"/>
              <w:rPr>
                <w:rFonts w:ascii="Garamond" w:eastAsia="Times New Roman" w:hAnsi="Garamond" w:cs="Calibri Light"/>
                <w:b/>
                <w:bCs/>
                <w:sz w:val="20"/>
                <w:szCs w:val="20"/>
                <w:lang w:eastAsia="ar-SA"/>
              </w:rPr>
            </w:pPr>
            <w:r w:rsidRPr="00622884">
              <w:rPr>
                <w:rFonts w:ascii="Garamond" w:eastAsia="Calibri" w:hAnsi="Garamond" w:cs="Times New Roman"/>
                <w:b/>
                <w:sz w:val="20"/>
                <w:szCs w:val="20"/>
                <w:lang w:eastAsia="en-US" w:bidi="sq-AL"/>
              </w:rPr>
              <w:lastRenderedPageBreak/>
              <w:t>SPS2</w:t>
            </w:r>
          </w:p>
        </w:tc>
        <w:tc>
          <w:tcPr>
            <w:tcW w:w="8528" w:type="dxa"/>
            <w:tcMar>
              <w:top w:w="75" w:type="dxa"/>
              <w:left w:w="75" w:type="dxa"/>
              <w:bottom w:w="75" w:type="dxa"/>
              <w:right w:w="75" w:type="dxa"/>
            </w:tcMar>
            <w:vAlign w:val="center"/>
            <w:hideMark/>
          </w:tcPr>
          <w:p w14:paraId="38FC596A" w14:textId="77777777" w:rsidR="00622884" w:rsidRPr="00622884" w:rsidRDefault="00622884" w:rsidP="00622884">
            <w:pPr>
              <w:suppressAutoHyphens/>
              <w:spacing w:after="0" w:line="240" w:lineRule="auto"/>
              <w:rPr>
                <w:rFonts w:ascii="Garamond" w:eastAsia="Times New Roman" w:hAnsi="Garamond" w:cs="Calibri Light"/>
                <w:b/>
                <w:sz w:val="20"/>
                <w:szCs w:val="20"/>
                <w:lang w:eastAsia="ar-SA"/>
              </w:rPr>
            </w:pPr>
            <w:r w:rsidRPr="00622884">
              <w:rPr>
                <w:rFonts w:ascii="Garamond" w:eastAsia="Calibri" w:hAnsi="Garamond" w:cs="Times New Roman"/>
                <w:b/>
                <w:sz w:val="20"/>
                <w:szCs w:val="20"/>
                <w:lang w:eastAsia="en-US" w:bidi="sq-AL"/>
              </w:rPr>
              <w:t>Rruga e mesme (sfida të moderuara për zbutjen dhe përshtatjen)</w:t>
            </w:r>
          </w:p>
          <w:p w14:paraId="43FEF732" w14:textId="77777777" w:rsidR="00622884" w:rsidRPr="00622884" w:rsidRDefault="00622884" w:rsidP="00622884">
            <w:pPr>
              <w:suppressAutoHyphens/>
              <w:spacing w:after="0" w:line="240" w:lineRule="auto"/>
              <w:rPr>
                <w:rFonts w:ascii="Garamond" w:eastAsia="Times New Roman" w:hAnsi="Garamond" w:cs="Calibri Light"/>
                <w:iCs/>
                <w:sz w:val="20"/>
                <w:szCs w:val="20"/>
                <w:lang w:eastAsia="ar-SA"/>
              </w:rPr>
            </w:pPr>
            <w:r w:rsidRPr="00622884">
              <w:rPr>
                <w:rFonts w:ascii="Garamond" w:eastAsia="Calibri" w:hAnsi="Garamond" w:cs="Times New Roman"/>
                <w:sz w:val="20"/>
                <w:szCs w:val="20"/>
                <w:lang w:eastAsia="en-US" w:bidi="sq-AL"/>
              </w:rPr>
              <w:t xml:space="preserve">Ndërsa bota ndjek një rrugë në të cilën tendencat nuk ndryshojnë ndjeshëm nga modelet historike, Shqipëria do të përjetojë zhvillime shoqërore, ekonomike dhe teknologjike të ngjashme me ato që përjeton sot. Përbërja e PBB-së nuk ndryshon, duke bërë që vendi të mbështetet ndjeshëm te sektori i shërbimeve dhe më pak te bujqësia dhe industria. Shqipëria mbetet një ekonomi shërbimesh, me veprimtari të përqendruara kryesisht te shërbimet financiare, mikpritja, tregtia me pakicë dhe më pak te shëndetësia, shërbimet njerëzore, teknologjia e informacionit dhe arsimi. </w:t>
            </w:r>
          </w:p>
          <w:p w14:paraId="275E2224" w14:textId="77777777" w:rsidR="00622884" w:rsidRPr="00622884" w:rsidRDefault="00622884" w:rsidP="00622884">
            <w:pPr>
              <w:suppressAutoHyphens/>
              <w:spacing w:after="0" w:line="240" w:lineRule="auto"/>
              <w:rPr>
                <w:rFonts w:ascii="Garamond" w:eastAsia="Times New Roman" w:hAnsi="Garamond" w:cs="Calibri Light"/>
                <w:iCs/>
                <w:sz w:val="20"/>
                <w:szCs w:val="20"/>
                <w:lang w:eastAsia="ar-SA"/>
              </w:rPr>
            </w:pPr>
            <w:r w:rsidRPr="00622884">
              <w:rPr>
                <w:rFonts w:ascii="Garamond" w:eastAsia="Calibri" w:hAnsi="Garamond" w:cs="Times New Roman"/>
                <w:sz w:val="20"/>
                <w:szCs w:val="20"/>
                <w:lang w:eastAsia="en-US" w:bidi="sq-AL"/>
              </w:rPr>
              <w:t xml:space="preserve">Përpjekjet e pakta për menaxhimin mjedisor do të çojnë në degradim të mëtejshëm të sistemeve mjedisore. Përpjekjet e pakta për arritjen e objektivave të qëndrueshmërisë do të ndikojnë te menaxhimi i burimeve. </w:t>
            </w:r>
          </w:p>
          <w:p w14:paraId="615084E9" w14:textId="77777777" w:rsidR="00622884" w:rsidRPr="00622884" w:rsidRDefault="00622884" w:rsidP="00622884">
            <w:pPr>
              <w:suppressAutoHyphens/>
              <w:spacing w:after="0" w:line="240" w:lineRule="auto"/>
              <w:rPr>
                <w:rFonts w:ascii="Garamond" w:eastAsia="Times New Roman" w:hAnsi="Garamond" w:cs="Calibri Light"/>
                <w:iCs/>
                <w:sz w:val="20"/>
                <w:szCs w:val="20"/>
                <w:lang w:eastAsia="ar-SA"/>
              </w:rPr>
            </w:pPr>
            <w:r w:rsidRPr="00622884">
              <w:rPr>
                <w:rFonts w:ascii="Garamond" w:eastAsia="Calibri" w:hAnsi="Garamond" w:cs="Times New Roman"/>
                <w:sz w:val="20"/>
                <w:szCs w:val="20"/>
                <w:lang w:eastAsia="en-US" w:bidi="sq-AL"/>
              </w:rPr>
              <w:t xml:space="preserve">Kjo rrugë do të shkaktojë rritje ekonomike mesatare, rritje më të lartë të popullsisë krahasuar me SPS1 dhe nivele të ngjashme pabarazie me ato aktuale. Popullsia në përgjithësi do të bjerë gjatë të gjithë shekullit. Ndikimet në sektorët e ndryshëm pritet të jenë, si më poshtë: </w:t>
            </w:r>
          </w:p>
          <w:p w14:paraId="6907C392" w14:textId="77777777" w:rsidR="00622884" w:rsidRPr="00622884" w:rsidRDefault="00622884" w:rsidP="00622884">
            <w:pPr>
              <w:suppressAutoHyphens/>
              <w:spacing w:after="0" w:line="240" w:lineRule="auto"/>
              <w:rPr>
                <w:rFonts w:ascii="Garamond" w:eastAsia="Times New Roman" w:hAnsi="Garamond" w:cs="Calibri Light"/>
                <w:iCs/>
                <w:sz w:val="20"/>
                <w:szCs w:val="20"/>
                <w:lang w:eastAsia="ar-SA"/>
              </w:rPr>
            </w:pPr>
            <w:r w:rsidRPr="00622884">
              <w:rPr>
                <w:rFonts w:ascii="Garamond" w:eastAsia="Calibri" w:hAnsi="Garamond" w:cs="Times New Roman"/>
                <w:sz w:val="20"/>
                <w:szCs w:val="20"/>
                <w:lang w:eastAsia="en-US" w:bidi="sq-AL"/>
              </w:rPr>
              <w:t>Kërkesa për ujë do të rritet për shkak të numrit më të madh të popullsisë krahasuar me SPS1.</w:t>
            </w:r>
          </w:p>
          <w:p w14:paraId="69E6AB94" w14:textId="77777777" w:rsidR="00622884" w:rsidRPr="00622884" w:rsidRDefault="00622884" w:rsidP="00622884">
            <w:pPr>
              <w:suppressAutoHyphens/>
              <w:spacing w:after="0" w:line="240" w:lineRule="auto"/>
              <w:rPr>
                <w:rFonts w:ascii="Garamond" w:eastAsia="Times New Roman" w:hAnsi="Garamond" w:cs="Calibri Light"/>
                <w:iCs/>
                <w:sz w:val="20"/>
                <w:szCs w:val="20"/>
                <w:lang w:eastAsia="ar-SA"/>
              </w:rPr>
            </w:pPr>
            <w:r w:rsidRPr="00622884">
              <w:rPr>
                <w:rFonts w:ascii="Garamond" w:eastAsia="Calibri" w:hAnsi="Garamond" w:cs="Times New Roman"/>
                <w:sz w:val="20"/>
                <w:szCs w:val="20"/>
                <w:lang w:eastAsia="en-US" w:bidi="sq-AL"/>
              </w:rPr>
              <w:t xml:space="preserve">Sektori i turizmit mund të ndikohet nga rritja e popullsisë, por nga ana tjetër, pabarazia e vazhdueshme në popullsi do të ndikojë te kërkesa për turizmin. Ndikimi i ndërthurur i këtyre dy forcave shtytëse mbi turizmin mbetet i paqartë. </w:t>
            </w:r>
          </w:p>
          <w:p w14:paraId="51512A0D" w14:textId="77777777" w:rsidR="00622884" w:rsidRPr="00622884" w:rsidRDefault="00622884" w:rsidP="00622884">
            <w:pPr>
              <w:suppressAutoHyphens/>
              <w:spacing w:after="0" w:line="240" w:lineRule="auto"/>
              <w:rPr>
                <w:rFonts w:ascii="Garamond" w:eastAsia="Times New Roman" w:hAnsi="Garamond" w:cs="Calibri Light"/>
                <w:iCs/>
                <w:sz w:val="20"/>
                <w:szCs w:val="20"/>
                <w:lang w:eastAsia="ar-SA"/>
              </w:rPr>
            </w:pPr>
            <w:r w:rsidRPr="00622884">
              <w:rPr>
                <w:rFonts w:ascii="Garamond" w:eastAsia="Calibri" w:hAnsi="Garamond" w:cs="Times New Roman"/>
                <w:sz w:val="20"/>
                <w:szCs w:val="20"/>
                <w:lang w:eastAsia="en-US" w:bidi="sq-AL"/>
              </w:rPr>
              <w:t xml:space="preserve">Më pak fokus dhe zhvillim në teknologji do të ndikojnë te prodhimi bujqësor, duke ulur rendimentin e prodhimit bujqësor. </w:t>
            </w:r>
          </w:p>
        </w:tc>
      </w:tr>
      <w:tr w:rsidR="00622884" w:rsidRPr="00622884" w14:paraId="3C5F52DC" w14:textId="77777777" w:rsidTr="00622884">
        <w:tc>
          <w:tcPr>
            <w:tcW w:w="0" w:type="auto"/>
            <w:shd w:val="clear" w:color="auto" w:fill="DFEAF5"/>
            <w:tcMar>
              <w:top w:w="75" w:type="dxa"/>
              <w:left w:w="75" w:type="dxa"/>
              <w:bottom w:w="75" w:type="dxa"/>
              <w:right w:w="75" w:type="dxa"/>
            </w:tcMar>
            <w:vAlign w:val="center"/>
            <w:hideMark/>
          </w:tcPr>
          <w:p w14:paraId="3D58528B" w14:textId="77777777" w:rsidR="00622884" w:rsidRPr="00622884" w:rsidRDefault="00622884" w:rsidP="00622884">
            <w:pPr>
              <w:suppressAutoHyphens/>
              <w:spacing w:after="0" w:line="240" w:lineRule="auto"/>
              <w:rPr>
                <w:rFonts w:ascii="Garamond" w:eastAsia="Times New Roman" w:hAnsi="Garamond" w:cs="Calibri Light"/>
                <w:b/>
                <w:bCs/>
                <w:sz w:val="20"/>
                <w:szCs w:val="20"/>
                <w:lang w:eastAsia="ar-SA"/>
              </w:rPr>
            </w:pPr>
            <w:r w:rsidRPr="00622884">
              <w:rPr>
                <w:rFonts w:ascii="Garamond" w:eastAsia="Calibri" w:hAnsi="Garamond" w:cs="Times New Roman"/>
                <w:b/>
                <w:sz w:val="20"/>
                <w:szCs w:val="20"/>
                <w:lang w:eastAsia="en-US" w:bidi="sq-AL"/>
              </w:rPr>
              <w:t>SPS3</w:t>
            </w:r>
          </w:p>
        </w:tc>
        <w:tc>
          <w:tcPr>
            <w:tcW w:w="8528" w:type="dxa"/>
            <w:tcMar>
              <w:top w:w="75" w:type="dxa"/>
              <w:left w:w="75" w:type="dxa"/>
              <w:bottom w:w="75" w:type="dxa"/>
              <w:right w:w="75" w:type="dxa"/>
            </w:tcMar>
            <w:vAlign w:val="center"/>
            <w:hideMark/>
          </w:tcPr>
          <w:p w14:paraId="00637DF5" w14:textId="77777777" w:rsidR="00622884" w:rsidRPr="00622884" w:rsidRDefault="00622884" w:rsidP="00622884">
            <w:pPr>
              <w:suppressAutoHyphens/>
              <w:spacing w:after="0" w:line="240" w:lineRule="auto"/>
              <w:rPr>
                <w:rFonts w:ascii="Garamond" w:eastAsia="Times New Roman" w:hAnsi="Garamond" w:cs="Calibri Light"/>
                <w:b/>
                <w:sz w:val="20"/>
                <w:szCs w:val="20"/>
                <w:lang w:eastAsia="ar-SA"/>
              </w:rPr>
            </w:pPr>
            <w:r w:rsidRPr="00622884">
              <w:rPr>
                <w:rFonts w:ascii="Garamond" w:eastAsia="Calibri" w:hAnsi="Garamond" w:cs="Times New Roman"/>
                <w:b/>
                <w:sz w:val="20"/>
                <w:szCs w:val="20"/>
                <w:lang w:eastAsia="en-US" w:bidi="sq-AL"/>
              </w:rPr>
              <w:t>Rivaliteti rajonal - Një rrugë e ashpër (sfida të shumta për zbutjen dhe përshtatjen)</w:t>
            </w:r>
          </w:p>
          <w:p w14:paraId="03E3E338" w14:textId="77777777" w:rsidR="00622884" w:rsidRPr="00622884" w:rsidRDefault="00622884" w:rsidP="00622884">
            <w:pPr>
              <w:suppressAutoHyphens/>
              <w:spacing w:after="0" w:line="240" w:lineRule="auto"/>
              <w:rPr>
                <w:rFonts w:ascii="Garamond" w:eastAsia="Times New Roman" w:hAnsi="Garamond" w:cs="Calibri Light"/>
                <w:iCs/>
                <w:sz w:val="20"/>
                <w:szCs w:val="20"/>
                <w:lang w:eastAsia="ar-SA"/>
              </w:rPr>
            </w:pPr>
            <w:r w:rsidRPr="00622884">
              <w:rPr>
                <w:rFonts w:ascii="Garamond" w:eastAsia="Calibri" w:hAnsi="Garamond" w:cs="Times New Roman"/>
                <w:sz w:val="20"/>
                <w:szCs w:val="20"/>
                <w:lang w:eastAsia="en-US" w:bidi="sq-AL"/>
              </w:rPr>
              <w:t>Në një skenar të tillë, nivele më të forta nacionalizmi do të çojnë në kufizime të forta në bashkëpunimin ndërkombëtar. Për një vend si Shqipëria, shumë të varur nga mbështetja ndërkombëtare, kjo do të shkaktojë një ndikim të konsiderueshëm në zhvillimin ekonomik dhe rritjen ekonomike. Zhvillimi i ngadaltë ekonomik, me norma të ulëta rritjeje, duke shkaktuar edhe më shumë pabarazi, janë disa nga karakteristikat e së ardhmes për këtë skenar. Investimet e ulëta në arsim, teknologji dhe kujdes shëndetësor dhe veprimet e kufizuara për mjedisin do të ndikojnë fuqishëm te mirëqenia e popullsisë.</w:t>
            </w:r>
          </w:p>
          <w:p w14:paraId="58908C33" w14:textId="77777777" w:rsidR="00622884" w:rsidRPr="00622884" w:rsidRDefault="00622884" w:rsidP="00622884">
            <w:pPr>
              <w:suppressAutoHyphens/>
              <w:spacing w:after="0" w:line="240" w:lineRule="auto"/>
              <w:rPr>
                <w:rFonts w:ascii="Garamond" w:eastAsia="Times New Roman" w:hAnsi="Garamond" w:cs="Calibri Light"/>
                <w:iCs/>
                <w:sz w:val="20"/>
                <w:szCs w:val="20"/>
                <w:lang w:eastAsia="ar-SA"/>
              </w:rPr>
            </w:pPr>
            <w:r w:rsidRPr="00622884">
              <w:rPr>
                <w:rFonts w:ascii="Garamond" w:eastAsia="Calibri" w:hAnsi="Garamond" w:cs="Times New Roman"/>
                <w:sz w:val="20"/>
                <w:szCs w:val="20"/>
                <w:lang w:eastAsia="en-US" w:bidi="sq-AL"/>
              </w:rPr>
              <w:t>Një popullsi më pak e arsimuar do të çojë në norma më të larta të rritjes së popullsisë, krahasuar me skenarët e tjerë. Kërkesa më e lartë për ushqim dhe ujë, e shoqëruar me më shumë shpërfillje ndaj mjedisit, do të shkaktojë keqpërdorim të burimeve. Zhvillimi më i ulët teknologjik do të ndikojë te nivelet e prodhimit në sektorin bujqësor, i cili nga ana tjetër duhet të plotësojë nevojat e një popullsie në rritje. Niveli i ulët i zhvillimit ekonomik, nga ana tjetër, do të ndikojë në konsum, duke e ulur atë. Sektori i turizmit do të përballet me rënie për shkak të rritjes së varfërisë dhe pabarazisë ndërmjet rajoneve.</w:t>
            </w:r>
          </w:p>
        </w:tc>
      </w:tr>
      <w:tr w:rsidR="00622884" w:rsidRPr="00622884" w14:paraId="29E30539" w14:textId="77777777" w:rsidTr="00622884">
        <w:trPr>
          <w:trHeight w:val="1553"/>
        </w:trPr>
        <w:tc>
          <w:tcPr>
            <w:tcW w:w="0" w:type="auto"/>
            <w:shd w:val="clear" w:color="auto" w:fill="DFEAF5"/>
            <w:tcMar>
              <w:top w:w="75" w:type="dxa"/>
              <w:left w:w="75" w:type="dxa"/>
              <w:bottom w:w="75" w:type="dxa"/>
              <w:right w:w="75" w:type="dxa"/>
            </w:tcMar>
            <w:vAlign w:val="center"/>
            <w:hideMark/>
          </w:tcPr>
          <w:p w14:paraId="2FFA9CD0" w14:textId="77777777" w:rsidR="00622884" w:rsidRPr="00622884" w:rsidRDefault="00622884" w:rsidP="00622884">
            <w:pPr>
              <w:suppressAutoHyphens/>
              <w:spacing w:after="0" w:line="240" w:lineRule="auto"/>
              <w:rPr>
                <w:rFonts w:ascii="Garamond" w:eastAsia="Times New Roman" w:hAnsi="Garamond" w:cs="Calibri Light"/>
                <w:b/>
                <w:bCs/>
                <w:sz w:val="20"/>
                <w:szCs w:val="20"/>
                <w:lang w:eastAsia="ar-SA"/>
              </w:rPr>
            </w:pPr>
            <w:r w:rsidRPr="00622884">
              <w:rPr>
                <w:rFonts w:ascii="Garamond" w:eastAsia="Calibri" w:hAnsi="Garamond" w:cs="Times New Roman"/>
                <w:b/>
                <w:sz w:val="20"/>
                <w:szCs w:val="20"/>
                <w:lang w:eastAsia="en-US" w:bidi="sq-AL"/>
              </w:rPr>
              <w:t>SPS4</w:t>
            </w:r>
          </w:p>
        </w:tc>
        <w:tc>
          <w:tcPr>
            <w:tcW w:w="8528" w:type="dxa"/>
            <w:tcMar>
              <w:top w:w="75" w:type="dxa"/>
              <w:left w:w="75" w:type="dxa"/>
              <w:bottom w:w="75" w:type="dxa"/>
              <w:right w:w="75" w:type="dxa"/>
            </w:tcMar>
            <w:vAlign w:val="center"/>
            <w:hideMark/>
          </w:tcPr>
          <w:p w14:paraId="3C5E97B4" w14:textId="77777777" w:rsidR="00622884" w:rsidRPr="00622884" w:rsidRDefault="00622884" w:rsidP="00622884">
            <w:pPr>
              <w:suppressAutoHyphens/>
              <w:spacing w:after="0" w:line="240" w:lineRule="auto"/>
              <w:rPr>
                <w:rFonts w:ascii="Garamond" w:eastAsia="Times New Roman" w:hAnsi="Garamond" w:cs="Calibri Light"/>
                <w:b/>
                <w:sz w:val="20"/>
                <w:szCs w:val="20"/>
                <w:lang w:eastAsia="ar-SA"/>
              </w:rPr>
            </w:pPr>
            <w:r w:rsidRPr="00622884">
              <w:rPr>
                <w:rFonts w:ascii="Garamond" w:eastAsia="Calibri" w:hAnsi="Garamond" w:cs="Times New Roman"/>
                <w:b/>
                <w:sz w:val="20"/>
                <w:szCs w:val="20"/>
                <w:lang w:eastAsia="en-US" w:bidi="sq-AL"/>
              </w:rPr>
              <w:t>Pabarazia – Një rrugë e ndarë (sfida të pakta për zbutjen, sfida të shumta për përshtatjen)</w:t>
            </w:r>
          </w:p>
          <w:p w14:paraId="13EE9A74" w14:textId="77777777" w:rsidR="00622884" w:rsidRPr="00622884" w:rsidRDefault="00622884" w:rsidP="00622884">
            <w:pPr>
              <w:suppressAutoHyphens/>
              <w:spacing w:after="0" w:line="240" w:lineRule="auto"/>
              <w:rPr>
                <w:rFonts w:ascii="Garamond" w:eastAsia="Times New Roman" w:hAnsi="Garamond" w:cs="Calibri Light"/>
                <w:iCs/>
                <w:sz w:val="20"/>
                <w:szCs w:val="20"/>
                <w:lang w:eastAsia="ar-SA"/>
              </w:rPr>
            </w:pPr>
            <w:r w:rsidRPr="00622884">
              <w:rPr>
                <w:rFonts w:ascii="Garamond" w:eastAsia="Calibri" w:hAnsi="Garamond" w:cs="Times New Roman"/>
                <w:sz w:val="20"/>
                <w:szCs w:val="20"/>
                <w:lang w:eastAsia="en-US" w:bidi="sq-AL"/>
              </w:rPr>
              <w:t>Ky skenar paraqet një botë me rritje të pabarazisë. Qasja në arsim dhe kujdes shëndetësor është e mundur vetëm për një pjesë të popullsisë. Kjo shkakton një nivel të lartë shtresëzimi brenda vendit. Kjo do ta ndikojë ndjeshëm Shqipërinë, një vend që aktualisht po përballet me rritjen e shtresëzimit të popullsisë.</w:t>
            </w:r>
          </w:p>
          <w:p w14:paraId="43A8013F" w14:textId="77777777" w:rsidR="00622884" w:rsidRPr="00622884" w:rsidRDefault="00622884" w:rsidP="00622884">
            <w:pPr>
              <w:suppressAutoHyphens/>
              <w:spacing w:after="0" w:line="240" w:lineRule="auto"/>
              <w:rPr>
                <w:rFonts w:ascii="Garamond" w:eastAsia="Times New Roman" w:hAnsi="Garamond" w:cs="Calibri Light"/>
                <w:iCs/>
                <w:sz w:val="20"/>
                <w:szCs w:val="20"/>
                <w:lang w:eastAsia="ar-SA"/>
              </w:rPr>
            </w:pPr>
            <w:r w:rsidRPr="00622884">
              <w:rPr>
                <w:rFonts w:ascii="Garamond" w:eastAsia="Calibri" w:hAnsi="Garamond" w:cs="Times New Roman"/>
                <w:sz w:val="20"/>
                <w:szCs w:val="20"/>
                <w:lang w:eastAsia="en-US" w:bidi="sq-AL"/>
              </w:rPr>
              <w:t>Kohezioni social i cenuar mund të shkaktojë paqëndrueshmëri të lartë politike dhe konflikte.</w:t>
            </w:r>
          </w:p>
          <w:p w14:paraId="1F44B511" w14:textId="77777777" w:rsidR="00622884" w:rsidRPr="00622884" w:rsidRDefault="00622884" w:rsidP="00622884">
            <w:pPr>
              <w:suppressAutoHyphens/>
              <w:spacing w:after="0" w:line="240" w:lineRule="auto"/>
              <w:rPr>
                <w:rFonts w:ascii="Garamond" w:eastAsia="Times New Roman" w:hAnsi="Garamond" w:cs="Calibri Light"/>
                <w:iCs/>
                <w:sz w:val="20"/>
                <w:szCs w:val="20"/>
                <w:lang w:eastAsia="ar-SA"/>
              </w:rPr>
            </w:pPr>
            <w:r w:rsidRPr="00622884">
              <w:rPr>
                <w:rFonts w:ascii="Garamond" w:eastAsia="Calibri" w:hAnsi="Garamond" w:cs="Times New Roman"/>
                <w:sz w:val="20"/>
                <w:szCs w:val="20"/>
                <w:lang w:eastAsia="en-US" w:bidi="sq-AL"/>
              </w:rPr>
              <w:t>Fragmentimi vërehet, gjithashtu, në mënyrën e zbatimit të politikave të ndryshme, për shembull në fushën mjedisore. Popullata e të pasurve do të ulet, ndërsa popullata e të varfërve do të rritet.</w:t>
            </w:r>
          </w:p>
        </w:tc>
      </w:tr>
      <w:tr w:rsidR="00622884" w:rsidRPr="00622884" w14:paraId="4C9E598C" w14:textId="77777777" w:rsidTr="00622884">
        <w:tc>
          <w:tcPr>
            <w:tcW w:w="0" w:type="auto"/>
            <w:shd w:val="clear" w:color="auto" w:fill="DFEAF5"/>
            <w:tcMar>
              <w:top w:w="75" w:type="dxa"/>
              <w:left w:w="75" w:type="dxa"/>
              <w:bottom w:w="75" w:type="dxa"/>
              <w:right w:w="75" w:type="dxa"/>
            </w:tcMar>
            <w:vAlign w:val="center"/>
            <w:hideMark/>
          </w:tcPr>
          <w:p w14:paraId="054C3074" w14:textId="77777777" w:rsidR="00622884" w:rsidRPr="00622884" w:rsidRDefault="00622884" w:rsidP="00622884">
            <w:pPr>
              <w:suppressAutoHyphens/>
              <w:spacing w:after="0" w:line="240" w:lineRule="auto"/>
              <w:rPr>
                <w:rFonts w:ascii="Garamond" w:eastAsia="Times New Roman" w:hAnsi="Garamond" w:cs="Calibri Light"/>
                <w:b/>
                <w:bCs/>
                <w:sz w:val="20"/>
                <w:szCs w:val="20"/>
                <w:lang w:eastAsia="ar-SA"/>
              </w:rPr>
            </w:pPr>
            <w:r w:rsidRPr="00622884">
              <w:rPr>
                <w:rFonts w:ascii="Garamond" w:eastAsia="Calibri" w:hAnsi="Garamond" w:cs="Times New Roman"/>
                <w:b/>
                <w:sz w:val="20"/>
                <w:szCs w:val="20"/>
                <w:lang w:eastAsia="en-US" w:bidi="sq-AL"/>
              </w:rPr>
              <w:t>SPS5</w:t>
            </w:r>
          </w:p>
        </w:tc>
        <w:tc>
          <w:tcPr>
            <w:tcW w:w="8528" w:type="dxa"/>
            <w:tcMar>
              <w:top w:w="75" w:type="dxa"/>
              <w:left w:w="75" w:type="dxa"/>
              <w:bottom w:w="75" w:type="dxa"/>
              <w:right w:w="75" w:type="dxa"/>
            </w:tcMar>
            <w:vAlign w:val="center"/>
            <w:hideMark/>
          </w:tcPr>
          <w:p w14:paraId="56EB9653" w14:textId="77777777" w:rsidR="00622884" w:rsidRPr="00622884" w:rsidRDefault="00622884" w:rsidP="00622884">
            <w:pPr>
              <w:suppressAutoHyphens/>
              <w:spacing w:after="0" w:line="240" w:lineRule="auto"/>
              <w:rPr>
                <w:rFonts w:ascii="Garamond" w:eastAsia="Times New Roman" w:hAnsi="Garamond" w:cs="Calibri Light"/>
                <w:b/>
                <w:sz w:val="20"/>
                <w:szCs w:val="20"/>
                <w:lang w:eastAsia="ar-SA"/>
              </w:rPr>
            </w:pPr>
            <w:r w:rsidRPr="00622884">
              <w:rPr>
                <w:rFonts w:ascii="Garamond" w:eastAsia="Calibri" w:hAnsi="Garamond" w:cs="Times New Roman"/>
                <w:b/>
                <w:sz w:val="20"/>
                <w:szCs w:val="20"/>
                <w:lang w:eastAsia="en-US" w:bidi="sq-AL"/>
              </w:rPr>
              <w:t>Zhvillimi i mbështetur në lëndët djegëse fosile – Ndjekja e rrugës së shpejtë (sfida të shumta për zbutjen, sfida të pakta për përshtatjen)</w:t>
            </w:r>
          </w:p>
          <w:p w14:paraId="26F2D33C" w14:textId="77777777" w:rsidR="00622884" w:rsidRPr="00622884" w:rsidRDefault="00622884" w:rsidP="00622884">
            <w:pPr>
              <w:suppressAutoHyphens/>
              <w:spacing w:after="0" w:line="240" w:lineRule="auto"/>
              <w:rPr>
                <w:rFonts w:ascii="Garamond" w:eastAsia="Times New Roman" w:hAnsi="Garamond" w:cs="Calibri Light"/>
                <w:iCs/>
                <w:sz w:val="20"/>
                <w:szCs w:val="20"/>
                <w:lang w:eastAsia="ar-SA"/>
              </w:rPr>
            </w:pPr>
            <w:r w:rsidRPr="00622884">
              <w:rPr>
                <w:rFonts w:ascii="Garamond" w:eastAsia="Calibri" w:hAnsi="Garamond" w:cs="Times New Roman"/>
                <w:sz w:val="20"/>
                <w:szCs w:val="20"/>
                <w:lang w:eastAsia="en-US" w:bidi="sq-AL"/>
              </w:rPr>
              <w:t xml:space="preserve">Ky skenar do të sjellë rritje në të gjithë sektorët në Shqipëri, investime të larta në arsim dhe kujdes shëndetësor, duke shkaktuar më pak pabarazi, rënie të popullsisë, nivele të larta të rritjes ekonomike dhe rritje të veprimeve për mjedisin. Rënia e popullsisë do të shkaktojë kërkesë më të ulët për ujë. Zhvillimi i lartë teknologjik do të rrisë rendimentin e prodhimit në bujqësi. Turizmi do të ndikohet negativisht nga rënia e popullsisë, por pozitivisht nga normat e larta të rritjes ekonomike dhe nivelet më të ulëta të pabarazisë. Efekti i përgjithshëm ndaj turizmit do të rezultojë nga ndërthurja e efekteve të rënies së popullsisë dhe rritjes ekonomike. </w:t>
            </w:r>
          </w:p>
        </w:tc>
      </w:tr>
    </w:tbl>
    <w:p w14:paraId="71DE24E6" w14:textId="77777777" w:rsidR="00622884" w:rsidRPr="00622884" w:rsidRDefault="00622884" w:rsidP="00622884">
      <w:pPr>
        <w:tabs>
          <w:tab w:val="left" w:pos="5325"/>
        </w:tabs>
        <w:spacing w:after="0" w:line="240" w:lineRule="auto"/>
        <w:ind w:firstLine="284"/>
        <w:rPr>
          <w:rFonts w:ascii="Garamond" w:eastAsia="Calibri" w:hAnsi="Garamond" w:cs="Times New Roman"/>
          <w:sz w:val="16"/>
          <w:szCs w:val="24"/>
          <w:lang w:eastAsia="en-US"/>
        </w:rPr>
      </w:pPr>
    </w:p>
    <w:p w14:paraId="723A91F9" w14:textId="77777777" w:rsidR="00622884" w:rsidRPr="00622884" w:rsidRDefault="00622884" w:rsidP="00622884">
      <w:pPr>
        <w:tabs>
          <w:tab w:val="left" w:pos="5325"/>
        </w:tabs>
        <w:spacing w:after="0" w:line="240" w:lineRule="auto"/>
        <w:ind w:firstLine="284"/>
        <w:rPr>
          <w:rFonts w:ascii="Calibri Light" w:eastAsia="SimSun" w:hAnsi="Calibri Light" w:cs="Calibri Light"/>
          <w:sz w:val="24"/>
          <w:szCs w:val="24"/>
          <w:lang w:eastAsia="en-US"/>
        </w:rPr>
      </w:pPr>
      <w:r w:rsidRPr="00622884">
        <w:rPr>
          <w:rFonts w:ascii="Garamond" w:eastAsia="Calibri" w:hAnsi="Garamond" w:cs="Times New Roman"/>
          <w:sz w:val="24"/>
          <w:szCs w:val="24"/>
          <w:lang w:eastAsia="en-US" w:bidi="sq-AL"/>
        </w:rPr>
        <w:t>Shihni figurën 11 dhe figurën 12, më poshtë për disa nga përshkrimet kryesore të skenarëve të mësipërm</w:t>
      </w:r>
      <w:r w:rsidRPr="00622884">
        <w:rPr>
          <w:rFonts w:ascii="Garamond" w:eastAsia="Calibri" w:hAnsi="Garamond" w:cs="Times New Roman"/>
          <w:sz w:val="20"/>
          <w:szCs w:val="24"/>
          <w:vertAlign w:val="superscript"/>
          <w:lang w:eastAsia="en-US" w:bidi="sq-AL"/>
        </w:rPr>
        <w:footnoteReference w:id="167"/>
      </w:r>
      <w:r w:rsidRPr="00622884">
        <w:rPr>
          <w:rFonts w:ascii="Garamond" w:eastAsia="Calibri" w:hAnsi="Garamond" w:cs="Times New Roman"/>
          <w:sz w:val="24"/>
          <w:szCs w:val="24"/>
          <w:lang w:eastAsia="en-US" w:bidi="sq-AL"/>
        </w:rPr>
        <w:t>.</w:t>
      </w:r>
    </w:p>
    <w:p w14:paraId="4BFEF890" w14:textId="77777777" w:rsidR="00622884" w:rsidRPr="00622884" w:rsidRDefault="00622884" w:rsidP="00622884">
      <w:pPr>
        <w:tabs>
          <w:tab w:val="left" w:pos="5325"/>
        </w:tabs>
        <w:spacing w:after="0" w:line="240" w:lineRule="auto"/>
        <w:ind w:firstLine="284"/>
        <w:rPr>
          <w:rFonts w:ascii="Garamond" w:eastAsia="Calibri" w:hAnsi="Garamond" w:cs="Times New Roman"/>
          <w:sz w:val="4"/>
          <w:szCs w:val="24"/>
          <w:lang w:eastAsia="en-US"/>
        </w:rPr>
      </w:pPr>
    </w:p>
    <w:p w14:paraId="0F9296F0" w14:textId="77777777" w:rsidR="00622884" w:rsidRPr="00622884" w:rsidRDefault="00622884" w:rsidP="00622884">
      <w:pPr>
        <w:tabs>
          <w:tab w:val="left" w:pos="5325"/>
        </w:tabs>
        <w:spacing w:after="0" w:line="240" w:lineRule="auto"/>
        <w:ind w:firstLine="284"/>
        <w:jc w:val="center"/>
        <w:rPr>
          <w:rFonts w:ascii="Garamond" w:eastAsia="Calibri" w:hAnsi="Garamond" w:cs="Times New Roman"/>
          <w:sz w:val="24"/>
          <w:szCs w:val="24"/>
          <w:lang w:eastAsia="en-US"/>
        </w:rPr>
      </w:pPr>
      <w:r w:rsidRPr="00622884">
        <w:rPr>
          <w:rFonts w:ascii="Garamond" w:eastAsia="Calibri" w:hAnsi="Garamond" w:cs="Times New Roman"/>
          <w:noProof/>
          <w:sz w:val="24"/>
          <w:szCs w:val="24"/>
          <w:lang w:eastAsia="sq-AL"/>
        </w:rPr>
        <w:lastRenderedPageBreak/>
        <w:drawing>
          <wp:inline distT="0" distB="0" distL="0" distR="0" wp14:anchorId="382DE8EF" wp14:editId="544DE2B4">
            <wp:extent cx="4974482" cy="1485383"/>
            <wp:effectExtent l="0" t="0" r="0" b="635"/>
            <wp:docPr id="642" name="Picture 642" descr="Afbeelding met Perceel, lijn, tekst, diagram&#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fbeelding met Perceel, lijn, tekst, diagram&#10;&#10;Automatisch gegenereerde beschrijving"/>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4986040" cy="1488834"/>
                    </a:xfrm>
                    <a:prstGeom prst="rect">
                      <a:avLst/>
                    </a:prstGeom>
                    <a:noFill/>
                    <a:ln>
                      <a:noFill/>
                    </a:ln>
                  </pic:spPr>
                </pic:pic>
              </a:graphicData>
            </a:graphic>
          </wp:inline>
        </w:drawing>
      </w:r>
    </w:p>
    <w:p w14:paraId="05B53AE0" w14:textId="77777777" w:rsidR="00622884" w:rsidRPr="00622884" w:rsidRDefault="00622884" w:rsidP="00622884">
      <w:pPr>
        <w:tabs>
          <w:tab w:val="left" w:pos="5325"/>
        </w:tabs>
        <w:spacing w:after="0" w:line="240" w:lineRule="auto"/>
        <w:ind w:firstLine="284"/>
        <w:jc w:val="center"/>
        <w:rPr>
          <w:rFonts w:ascii="Garamond" w:eastAsia="Calibri" w:hAnsi="Garamond" w:cs="Times New Roman"/>
          <w:i/>
          <w:sz w:val="20"/>
          <w:szCs w:val="20"/>
          <w:lang w:eastAsia="en-US"/>
        </w:rPr>
      </w:pPr>
      <w:r w:rsidRPr="00622884">
        <w:rPr>
          <w:rFonts w:ascii="Garamond" w:eastAsia="Calibri" w:hAnsi="Garamond" w:cs="Times New Roman"/>
          <w:i/>
          <w:sz w:val="20"/>
          <w:szCs w:val="20"/>
          <w:lang w:eastAsia="en-US"/>
        </w:rPr>
        <w:t>Figura 11. Skenarët bazë për PBB-në e Shqipërisë.</w:t>
      </w:r>
    </w:p>
    <w:p w14:paraId="14A05402" w14:textId="77777777" w:rsidR="00622884" w:rsidRPr="00622884" w:rsidRDefault="00622884" w:rsidP="00622884">
      <w:pPr>
        <w:tabs>
          <w:tab w:val="left" w:pos="5325"/>
        </w:tabs>
        <w:spacing w:after="0" w:line="240" w:lineRule="auto"/>
        <w:ind w:firstLine="284"/>
        <w:rPr>
          <w:rFonts w:ascii="Garamond" w:eastAsia="Calibri" w:hAnsi="Garamond" w:cs="Times New Roman"/>
          <w:i/>
          <w:sz w:val="20"/>
          <w:szCs w:val="20"/>
          <w:lang w:eastAsia="en-US"/>
        </w:rPr>
      </w:pPr>
    </w:p>
    <w:p w14:paraId="65C37FC8" w14:textId="77777777" w:rsidR="00622884" w:rsidRPr="00622884" w:rsidRDefault="00622884" w:rsidP="00622884">
      <w:pPr>
        <w:tabs>
          <w:tab w:val="left" w:pos="5325"/>
        </w:tabs>
        <w:spacing w:after="0" w:line="240" w:lineRule="auto"/>
        <w:ind w:firstLine="284"/>
        <w:jc w:val="center"/>
        <w:rPr>
          <w:rFonts w:ascii="Garamond" w:eastAsia="Calibri" w:hAnsi="Garamond" w:cs="Times New Roman"/>
          <w:sz w:val="24"/>
          <w:szCs w:val="24"/>
          <w:lang w:eastAsia="en-US"/>
        </w:rPr>
      </w:pPr>
      <w:r w:rsidRPr="00622884">
        <w:rPr>
          <w:rFonts w:ascii="Garamond" w:eastAsia="Calibri" w:hAnsi="Garamond" w:cs="Times New Roman"/>
          <w:b/>
          <w:noProof/>
          <w:sz w:val="20"/>
          <w:szCs w:val="24"/>
          <w:lang w:eastAsia="sq-AL"/>
        </w:rPr>
        <w:drawing>
          <wp:inline distT="0" distB="0" distL="0" distR="0" wp14:anchorId="4AFEF0FA" wp14:editId="316F7BA4">
            <wp:extent cx="4953900" cy="1584684"/>
            <wp:effectExtent l="0" t="0" r="0" b="0"/>
            <wp:docPr id="643" name="Picture 643" descr="Afbeelding met Perceel, lijn, diagram, tekst&#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5" descr="Afbeelding met Perceel, lijn, diagram, tekst&#10;&#10;Door AI gegenereerde inhoud is mogelijk onjuist."/>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4984918" cy="1594606"/>
                    </a:xfrm>
                    <a:prstGeom prst="rect">
                      <a:avLst/>
                    </a:prstGeom>
                    <a:noFill/>
                    <a:ln>
                      <a:noFill/>
                    </a:ln>
                  </pic:spPr>
                </pic:pic>
              </a:graphicData>
            </a:graphic>
          </wp:inline>
        </w:drawing>
      </w:r>
    </w:p>
    <w:p w14:paraId="1809F832" w14:textId="77777777" w:rsidR="00622884" w:rsidRPr="00622884" w:rsidRDefault="00622884" w:rsidP="00622884">
      <w:pPr>
        <w:tabs>
          <w:tab w:val="left" w:pos="5325"/>
        </w:tabs>
        <w:spacing w:after="0" w:line="240" w:lineRule="auto"/>
        <w:ind w:firstLine="284"/>
        <w:jc w:val="center"/>
        <w:rPr>
          <w:rFonts w:ascii="Garamond" w:eastAsia="Calibri" w:hAnsi="Garamond" w:cs="Times New Roman"/>
          <w:i/>
          <w:sz w:val="20"/>
          <w:szCs w:val="20"/>
          <w:lang w:eastAsia="en-US"/>
        </w:rPr>
      </w:pPr>
      <w:r w:rsidRPr="00622884">
        <w:rPr>
          <w:rFonts w:ascii="Garamond" w:eastAsia="Calibri" w:hAnsi="Garamond" w:cs="Times New Roman"/>
          <w:i/>
          <w:sz w:val="20"/>
          <w:szCs w:val="20"/>
          <w:lang w:eastAsia="en-US"/>
        </w:rPr>
        <w:t>Figura 12. Skenarët bazë për popullsinë e Shqipërisë.</w:t>
      </w:r>
    </w:p>
    <w:p w14:paraId="51835627" w14:textId="77777777" w:rsidR="00622884" w:rsidRPr="00622884" w:rsidRDefault="00622884" w:rsidP="00622884">
      <w:pPr>
        <w:spacing w:after="0" w:line="240" w:lineRule="auto"/>
        <w:rPr>
          <w:rFonts w:ascii="Garamond" w:eastAsia="Calibri" w:hAnsi="Garamond" w:cs="Times New Roman"/>
          <w:b/>
          <w:sz w:val="24"/>
          <w:szCs w:val="24"/>
          <w:lang w:eastAsia="en-US" w:bidi="sq-AL"/>
        </w:rPr>
      </w:pPr>
    </w:p>
    <w:p w14:paraId="368CF4A7" w14:textId="77777777" w:rsidR="00622884" w:rsidRPr="00622884" w:rsidRDefault="00622884" w:rsidP="00622884">
      <w:pPr>
        <w:spacing w:after="0" w:line="240" w:lineRule="auto"/>
        <w:ind w:firstLine="284"/>
        <w:rPr>
          <w:rFonts w:ascii="Garamond" w:eastAsia="SimSun" w:hAnsi="Garamond" w:cs="Times New Roman"/>
          <w:b/>
          <w:bCs/>
          <w:sz w:val="24"/>
          <w:szCs w:val="24"/>
          <w:lang w:eastAsia="en-US"/>
        </w:rPr>
      </w:pPr>
      <w:r w:rsidRPr="00622884">
        <w:rPr>
          <w:rFonts w:ascii="Garamond" w:eastAsia="Calibri" w:hAnsi="Garamond" w:cs="Times New Roman"/>
          <w:b/>
          <w:sz w:val="24"/>
          <w:szCs w:val="24"/>
          <w:lang w:eastAsia="en-US" w:bidi="sq-AL"/>
        </w:rPr>
        <w:t>Temperatura</w:t>
      </w:r>
    </w:p>
    <w:p w14:paraId="58928661" w14:textId="77777777" w:rsidR="00622884" w:rsidRPr="00622884" w:rsidRDefault="00622884" w:rsidP="00622884">
      <w:pPr>
        <w:spacing w:after="0" w:line="240" w:lineRule="auto"/>
        <w:ind w:firstLine="284"/>
        <w:rPr>
          <w:rFonts w:ascii="Garamond" w:eastAsia="SimSun" w:hAnsi="Garamond" w:cs="Times New Roman"/>
          <w:sz w:val="24"/>
          <w:szCs w:val="24"/>
          <w:lang w:eastAsia="en-US"/>
        </w:rPr>
      </w:pPr>
      <w:r w:rsidRPr="00622884">
        <w:rPr>
          <w:rFonts w:ascii="Garamond" w:eastAsia="Calibri" w:hAnsi="Garamond" w:cs="Times New Roman"/>
          <w:sz w:val="24"/>
          <w:szCs w:val="24"/>
          <w:lang w:eastAsia="en-US" w:bidi="sq-AL"/>
        </w:rPr>
        <w:t>Ndryshimet e parashikuara vjetore në temperaturën mesatare, në krahasim me periudhën klimatologjike të referencës (1996</w:t>
      </w:r>
      <w:r w:rsidRPr="00622884">
        <w:rPr>
          <w:rFonts w:ascii="Garamond" w:eastAsia="Calibri" w:hAnsi="Garamond" w:cs="Times New Roman"/>
          <w:sz w:val="24"/>
          <w:szCs w:val="24"/>
          <w:lang w:eastAsia="en-US"/>
        </w:rPr>
        <w:t>–</w:t>
      </w:r>
      <w:r w:rsidRPr="00622884">
        <w:rPr>
          <w:rFonts w:ascii="Garamond" w:eastAsia="Calibri" w:hAnsi="Garamond" w:cs="Times New Roman"/>
          <w:sz w:val="24"/>
          <w:szCs w:val="24"/>
          <w:lang w:eastAsia="en-US" w:bidi="sq-AL"/>
        </w:rPr>
        <w:t>2015), pritet të arrijnë deri në 0,8°C (duke u luhatur nga 0,5°C deri në 1,1°C) deri në vitin 2030 dhe 1,3°C (nga 0,8°C deri në 1,9°C) deri në vitin 2050. Nën skenarit të ndërmjetëm SPS2-4.5, rritjet e temperaturës deri në vitin 2100 parashikohen të variojnë ndërmjet 1,4°C dhe 3,1°C në bazë vjetore, dhe ndërmjet 1,9°C dhe 3,9°C gjatë verës. Skenarët me shkarkime të larta dhe shumë të larta, SPS3-7.0 dhe SPS5-8.5, parashikojnë që temperaturat vjetore dhe verore mund të rriten deri në 4,6°C (nga 3,2°C deri në 6,8°C) dhe 6,0°C (nga 4,1°C deri në 8,9°C), përkatësisht, deri në vitin 2100. Të gjitha SPS-të parashikojnë rritje më të ulët të temperaturës në dimër dhe pranverë në krahasim me verën dhe vjeshtën, me ngrohjen më të theksuar të pritshme gjatë verës, sipas skenarëve agresivë SPS3-7.0 dhe SPS5-8.5 (Baastel, 2024a).</w:t>
      </w:r>
    </w:p>
    <w:p w14:paraId="083A1DAB" w14:textId="77777777" w:rsidR="00622884" w:rsidRPr="00622884" w:rsidRDefault="00622884" w:rsidP="00622884">
      <w:pPr>
        <w:spacing w:after="0" w:line="240" w:lineRule="auto"/>
        <w:ind w:firstLine="284"/>
        <w:rPr>
          <w:rFonts w:ascii="Garamond" w:eastAsia="Calibri" w:hAnsi="Garamond" w:cs="Times New Roman"/>
          <w:sz w:val="24"/>
          <w:szCs w:val="24"/>
          <w:lang w:eastAsia="en-US" w:bidi="sq-AL"/>
        </w:rPr>
      </w:pPr>
      <w:r w:rsidRPr="00622884">
        <w:rPr>
          <w:rFonts w:ascii="Garamond" w:eastAsia="Calibri" w:hAnsi="Garamond" w:cs="Times New Roman"/>
          <w:sz w:val="24"/>
          <w:szCs w:val="24"/>
          <w:lang w:eastAsia="en-US" w:bidi="sq-AL"/>
        </w:rPr>
        <w:t>Për të vizualizuar këto parashikime, figura</w:t>
      </w:r>
      <w:r w:rsidRPr="00622884">
        <w:rPr>
          <w:rFonts w:ascii="Garamond" w:eastAsia="Calibri" w:hAnsi="Garamond" w:cs="Times New Roman"/>
          <w:sz w:val="24"/>
          <w:szCs w:val="24"/>
          <w:vertAlign w:val="superscript"/>
          <w:lang w:eastAsia="en-US" w:bidi="sq-AL"/>
        </w:rPr>
        <w:footnoteReference w:id="168"/>
      </w:r>
      <w:r w:rsidRPr="00622884">
        <w:rPr>
          <w:rFonts w:ascii="Garamond" w:eastAsia="Calibri" w:hAnsi="Garamond" w:cs="Times New Roman"/>
          <w:sz w:val="24"/>
          <w:szCs w:val="24"/>
          <w:lang w:eastAsia="en-US" w:bidi="sq-AL"/>
        </w:rPr>
        <w:t xml:space="preserve"> më poshtë paraqet ndryshimet e temperaturës mesatare vjetore sipas skenarëve SPS2-4.5 dhe SPS5-8.5, për vitet 2050 dhe 2100, duke ilustruar shkallën dhe shpërndarjen hapësinore të ngrohjes së pritur në të gjithë territorin e Shqipërisë.</w:t>
      </w:r>
    </w:p>
    <w:p w14:paraId="3890E836" w14:textId="77777777" w:rsidR="00622884" w:rsidRPr="00622884" w:rsidRDefault="00622884" w:rsidP="00622884">
      <w:pPr>
        <w:spacing w:after="0" w:line="240" w:lineRule="auto"/>
        <w:ind w:firstLine="284"/>
        <w:rPr>
          <w:rFonts w:ascii="Garamond" w:eastAsia="SimSun" w:hAnsi="Garamond" w:cs="Times New Roman"/>
          <w:sz w:val="10"/>
          <w:szCs w:val="24"/>
          <w:lang w:eastAsia="en-US"/>
        </w:rPr>
      </w:pPr>
    </w:p>
    <w:tbl>
      <w:tblPr>
        <w:tblW w:w="0" w:type="auto"/>
        <w:jc w:val="center"/>
        <w:tblBorders>
          <w:top w:val="single" w:sz="4" w:space="0" w:color="1D3C5A"/>
          <w:left w:val="single" w:sz="4" w:space="0" w:color="1D3C5A"/>
          <w:bottom w:val="single" w:sz="4" w:space="0" w:color="1D3C5A"/>
          <w:right w:val="single" w:sz="4" w:space="0" w:color="1D3C5A"/>
        </w:tblBorders>
        <w:tblLayout w:type="fixed"/>
        <w:tblLook w:val="04A0" w:firstRow="1" w:lastRow="0" w:firstColumn="1" w:lastColumn="0" w:noHBand="0" w:noVBand="1"/>
      </w:tblPr>
      <w:tblGrid>
        <w:gridCol w:w="2776"/>
        <w:gridCol w:w="2634"/>
        <w:gridCol w:w="1366"/>
      </w:tblGrid>
      <w:tr w:rsidR="00622884" w:rsidRPr="00622884" w14:paraId="525C5CCD" w14:textId="77777777" w:rsidTr="00622884">
        <w:trPr>
          <w:trHeight w:val="437"/>
          <w:jc w:val="center"/>
        </w:trPr>
        <w:tc>
          <w:tcPr>
            <w:tcW w:w="2776" w:type="dxa"/>
            <w:shd w:val="clear" w:color="auto" w:fill="215A5C"/>
            <w:vAlign w:val="center"/>
          </w:tcPr>
          <w:p w14:paraId="2A293736" w14:textId="77777777" w:rsidR="00622884" w:rsidRPr="00622884" w:rsidRDefault="00622884" w:rsidP="00622884">
            <w:pPr>
              <w:suppressAutoHyphens/>
              <w:spacing w:after="0" w:line="240" w:lineRule="auto"/>
              <w:ind w:firstLine="284"/>
              <w:jc w:val="center"/>
              <w:rPr>
                <w:rFonts w:ascii="Garamond" w:eastAsia="Times New Roman" w:hAnsi="Garamond" w:cs="Calibri Light"/>
                <w:b/>
                <w:sz w:val="20"/>
                <w:szCs w:val="20"/>
                <w:lang w:eastAsia="ar-SA"/>
              </w:rPr>
            </w:pPr>
            <w:r w:rsidRPr="00622884">
              <w:rPr>
                <w:rFonts w:ascii="Garamond" w:eastAsia="Times New Roman" w:hAnsi="Garamond" w:cs="Times New Roman"/>
                <w:b/>
                <w:sz w:val="20"/>
                <w:szCs w:val="20"/>
                <w:lang w:eastAsia="en-US" w:bidi="sq-AL"/>
              </w:rPr>
              <w:t>Tmes 2050 RCP2-4.5</w:t>
            </w:r>
          </w:p>
        </w:tc>
        <w:tc>
          <w:tcPr>
            <w:tcW w:w="2634" w:type="dxa"/>
            <w:shd w:val="clear" w:color="auto" w:fill="215A5C"/>
            <w:vAlign w:val="center"/>
          </w:tcPr>
          <w:p w14:paraId="0A37D30F" w14:textId="77777777" w:rsidR="00622884" w:rsidRPr="00622884" w:rsidRDefault="00622884" w:rsidP="00622884">
            <w:pPr>
              <w:suppressAutoHyphens/>
              <w:spacing w:after="0" w:line="240" w:lineRule="auto"/>
              <w:ind w:firstLine="284"/>
              <w:jc w:val="center"/>
              <w:rPr>
                <w:rFonts w:ascii="Garamond" w:eastAsia="Times New Roman" w:hAnsi="Garamond" w:cs="Calibri Light"/>
                <w:b/>
                <w:sz w:val="20"/>
                <w:szCs w:val="20"/>
                <w:lang w:eastAsia="ar-SA"/>
              </w:rPr>
            </w:pPr>
            <w:r w:rsidRPr="00622884">
              <w:rPr>
                <w:rFonts w:ascii="Garamond" w:eastAsia="Times New Roman" w:hAnsi="Garamond" w:cs="Times New Roman"/>
                <w:b/>
                <w:sz w:val="20"/>
                <w:szCs w:val="20"/>
                <w:lang w:eastAsia="en-US" w:bidi="sq-AL"/>
              </w:rPr>
              <w:t>Tmes 2100 RCP2-4.5</w:t>
            </w:r>
          </w:p>
        </w:tc>
        <w:tc>
          <w:tcPr>
            <w:tcW w:w="1366" w:type="dxa"/>
            <w:shd w:val="clear" w:color="auto" w:fill="215A5C"/>
            <w:vAlign w:val="center"/>
          </w:tcPr>
          <w:p w14:paraId="1AA8A205" w14:textId="77777777" w:rsidR="00622884" w:rsidRPr="00622884" w:rsidRDefault="00622884" w:rsidP="00622884">
            <w:pPr>
              <w:suppressAutoHyphens/>
              <w:spacing w:after="0" w:line="240" w:lineRule="auto"/>
              <w:ind w:firstLine="284"/>
              <w:rPr>
                <w:rFonts w:ascii="Garamond" w:eastAsia="Times New Roman" w:hAnsi="Garamond" w:cs="Calibri Light"/>
                <w:b/>
                <w:sz w:val="24"/>
                <w:szCs w:val="24"/>
                <w:lang w:eastAsia="ar-SA"/>
              </w:rPr>
            </w:pPr>
          </w:p>
        </w:tc>
      </w:tr>
      <w:tr w:rsidR="00622884" w:rsidRPr="00622884" w14:paraId="33B6BB63" w14:textId="77777777" w:rsidTr="00622884">
        <w:trPr>
          <w:trHeight w:val="3824"/>
          <w:jc w:val="center"/>
        </w:trPr>
        <w:tc>
          <w:tcPr>
            <w:tcW w:w="2776" w:type="dxa"/>
            <w:vAlign w:val="center"/>
          </w:tcPr>
          <w:p w14:paraId="3C610D26" w14:textId="77777777" w:rsidR="00622884" w:rsidRPr="00622884" w:rsidRDefault="00622884" w:rsidP="00622884">
            <w:pPr>
              <w:suppressAutoHyphens/>
              <w:spacing w:after="0" w:line="240" w:lineRule="auto"/>
              <w:ind w:firstLine="284"/>
              <w:jc w:val="center"/>
              <w:rPr>
                <w:rFonts w:ascii="Garamond" w:eastAsia="Times New Roman" w:hAnsi="Garamond" w:cs="Calibri Light"/>
                <w:sz w:val="24"/>
                <w:szCs w:val="24"/>
                <w:lang w:eastAsia="ar-SA"/>
              </w:rPr>
            </w:pPr>
            <w:r w:rsidRPr="00622884">
              <w:rPr>
                <w:rFonts w:ascii="Garamond" w:eastAsia="Times New Roman" w:hAnsi="Garamond" w:cs="Times New Roman"/>
                <w:noProof/>
                <w:sz w:val="24"/>
                <w:szCs w:val="24"/>
                <w:lang w:eastAsia="sq-AL"/>
              </w:rPr>
              <w:lastRenderedPageBreak/>
              <w:drawing>
                <wp:inline distT="0" distB="0" distL="0" distR="0" wp14:anchorId="1CE70DBC" wp14:editId="67069FE4">
                  <wp:extent cx="1528445" cy="2449830"/>
                  <wp:effectExtent l="0" t="0" r="0" b="7620"/>
                  <wp:docPr id="644" name="Picture 644" descr="Afbeelding met kaart&#10;&#10;Beschrijving automatisch gegenereerd met gemiddelde betrouwbaarhe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Afbeelding met kaart&#10;&#10;Beschrijving automatisch gegenereerd met gemiddelde betrouwbaarheid"/>
                          <pic:cNvPicPr>
                            <a:picLocks noChangeAspect="1" noChangeArrowheads="1"/>
                          </pic:cNvPicPr>
                        </pic:nvPicPr>
                        <pic:blipFill>
                          <a:blip r:embed="rId84">
                            <a:extLst>
                              <a:ext uri="{28A0092B-C50C-407E-A947-70E740481C1C}">
                                <a14:useLocalDpi xmlns:a14="http://schemas.microsoft.com/office/drawing/2010/main" val="0"/>
                              </a:ext>
                            </a:extLst>
                          </a:blip>
                          <a:srcRect l="27213" t="2907" r="26230" b="2826"/>
                          <a:stretch>
                            <a:fillRect/>
                          </a:stretch>
                        </pic:blipFill>
                        <pic:spPr bwMode="auto">
                          <a:xfrm>
                            <a:off x="0" y="0"/>
                            <a:ext cx="1528445" cy="2449830"/>
                          </a:xfrm>
                          <a:prstGeom prst="rect">
                            <a:avLst/>
                          </a:prstGeom>
                          <a:noFill/>
                          <a:ln>
                            <a:noFill/>
                          </a:ln>
                        </pic:spPr>
                      </pic:pic>
                    </a:graphicData>
                  </a:graphic>
                </wp:inline>
              </w:drawing>
            </w:r>
          </w:p>
        </w:tc>
        <w:tc>
          <w:tcPr>
            <w:tcW w:w="2634" w:type="dxa"/>
            <w:vAlign w:val="center"/>
          </w:tcPr>
          <w:p w14:paraId="72423B20" w14:textId="77777777" w:rsidR="00622884" w:rsidRPr="00622884" w:rsidRDefault="00622884" w:rsidP="00622884">
            <w:pPr>
              <w:suppressAutoHyphens/>
              <w:spacing w:after="0" w:line="240" w:lineRule="auto"/>
              <w:ind w:firstLine="284"/>
              <w:jc w:val="center"/>
              <w:rPr>
                <w:rFonts w:ascii="Garamond" w:eastAsia="Times New Roman" w:hAnsi="Garamond" w:cs="Calibri Light"/>
                <w:sz w:val="24"/>
                <w:szCs w:val="24"/>
                <w:lang w:eastAsia="ar-SA"/>
              </w:rPr>
            </w:pPr>
            <w:r w:rsidRPr="00622884">
              <w:rPr>
                <w:rFonts w:ascii="Garamond" w:eastAsia="Times New Roman" w:hAnsi="Garamond" w:cs="Times New Roman"/>
                <w:noProof/>
                <w:sz w:val="24"/>
                <w:szCs w:val="24"/>
                <w:lang w:eastAsia="sq-AL"/>
              </w:rPr>
              <w:drawing>
                <wp:inline distT="0" distB="0" distL="0" distR="0" wp14:anchorId="0430C952" wp14:editId="5EA7F9F2">
                  <wp:extent cx="1590040" cy="2477135"/>
                  <wp:effectExtent l="0" t="0" r="0" b="0"/>
                  <wp:docPr id="33" name="Picture 33" descr="Afbeelding met kaar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Afbeelding met kaart&#10;&#10;Automatisch gegenereerde beschrijving"/>
                          <pic:cNvPicPr>
                            <a:picLocks noChangeAspect="1" noChangeArrowheads="1"/>
                          </pic:cNvPicPr>
                        </pic:nvPicPr>
                        <pic:blipFill>
                          <a:blip r:embed="rId85">
                            <a:extLst>
                              <a:ext uri="{28A0092B-C50C-407E-A947-70E740481C1C}">
                                <a14:useLocalDpi xmlns:a14="http://schemas.microsoft.com/office/drawing/2010/main" val="0"/>
                              </a:ext>
                            </a:extLst>
                          </a:blip>
                          <a:srcRect l="27135" t="3860" r="25914" b="3848"/>
                          <a:stretch>
                            <a:fillRect/>
                          </a:stretch>
                        </pic:blipFill>
                        <pic:spPr bwMode="auto">
                          <a:xfrm>
                            <a:off x="0" y="0"/>
                            <a:ext cx="1590040" cy="2477135"/>
                          </a:xfrm>
                          <a:prstGeom prst="rect">
                            <a:avLst/>
                          </a:prstGeom>
                          <a:noFill/>
                          <a:ln>
                            <a:noFill/>
                          </a:ln>
                        </pic:spPr>
                      </pic:pic>
                    </a:graphicData>
                  </a:graphic>
                </wp:inline>
              </w:drawing>
            </w:r>
          </w:p>
        </w:tc>
        <w:tc>
          <w:tcPr>
            <w:tcW w:w="1366" w:type="dxa"/>
            <w:vAlign w:val="center"/>
          </w:tcPr>
          <w:p w14:paraId="71E33009" w14:textId="77777777" w:rsidR="00622884" w:rsidRPr="00622884" w:rsidRDefault="00622884" w:rsidP="00622884">
            <w:pPr>
              <w:suppressAutoHyphens/>
              <w:spacing w:after="0" w:line="240" w:lineRule="auto"/>
              <w:ind w:firstLine="284"/>
              <w:rPr>
                <w:rFonts w:ascii="Garamond" w:eastAsia="Times New Roman" w:hAnsi="Garamond" w:cs="Calibri Light"/>
                <w:sz w:val="24"/>
                <w:szCs w:val="24"/>
                <w:lang w:eastAsia="ar-SA"/>
              </w:rPr>
            </w:pPr>
            <w:r w:rsidRPr="00622884">
              <w:rPr>
                <w:rFonts w:ascii="Garamond" w:eastAsia="Times New Roman" w:hAnsi="Garamond" w:cs="Times New Roman"/>
                <w:noProof/>
                <w:sz w:val="24"/>
                <w:szCs w:val="24"/>
                <w:lang w:eastAsia="sq-AL"/>
              </w:rPr>
              <w:drawing>
                <wp:inline distT="0" distB="0" distL="0" distR="0" wp14:anchorId="6D2CAABA" wp14:editId="659E9E66">
                  <wp:extent cx="839470" cy="2094865"/>
                  <wp:effectExtent l="0" t="0" r="0" b="635"/>
                  <wp:docPr id="32" name="Picture 32" descr="Afbeelding met tekst, schermopname, kaart, softwar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Afbeelding met tekst, schermopname, kaart, software&#10;&#10;Automatisch gegenereerde beschrijving"/>
                          <pic:cNvPicPr>
                            <a:picLocks noChangeAspect="1" noChangeArrowheads="1"/>
                          </pic:cNvPicPr>
                        </pic:nvPicPr>
                        <pic:blipFill>
                          <a:blip r:embed="rId86">
                            <a:extLst>
                              <a:ext uri="{28A0092B-C50C-407E-A947-70E740481C1C}">
                                <a14:useLocalDpi xmlns:a14="http://schemas.microsoft.com/office/drawing/2010/main" val="0"/>
                              </a:ext>
                            </a:extLst>
                          </a:blip>
                          <a:srcRect l="5688" t="21609" r="87070" b="46207"/>
                          <a:stretch>
                            <a:fillRect/>
                          </a:stretch>
                        </pic:blipFill>
                        <pic:spPr bwMode="auto">
                          <a:xfrm>
                            <a:off x="0" y="0"/>
                            <a:ext cx="839470" cy="2094865"/>
                          </a:xfrm>
                          <a:prstGeom prst="rect">
                            <a:avLst/>
                          </a:prstGeom>
                          <a:noFill/>
                          <a:ln>
                            <a:noFill/>
                          </a:ln>
                        </pic:spPr>
                      </pic:pic>
                    </a:graphicData>
                  </a:graphic>
                </wp:inline>
              </w:drawing>
            </w:r>
          </w:p>
        </w:tc>
      </w:tr>
      <w:tr w:rsidR="00622884" w:rsidRPr="00622884" w14:paraId="4C6CA050" w14:textId="77777777" w:rsidTr="00622884">
        <w:trPr>
          <w:trHeight w:val="437"/>
          <w:jc w:val="center"/>
        </w:trPr>
        <w:tc>
          <w:tcPr>
            <w:tcW w:w="2776" w:type="dxa"/>
            <w:vAlign w:val="center"/>
          </w:tcPr>
          <w:p w14:paraId="043F9105" w14:textId="77777777" w:rsidR="00622884" w:rsidRPr="00622884" w:rsidRDefault="00622884" w:rsidP="00622884">
            <w:pPr>
              <w:suppressAutoHyphens/>
              <w:spacing w:after="0" w:line="240" w:lineRule="auto"/>
              <w:ind w:firstLine="284"/>
              <w:jc w:val="center"/>
              <w:rPr>
                <w:rFonts w:ascii="Garamond" w:eastAsia="Times New Roman" w:hAnsi="Garamond" w:cs="Calibri Light"/>
                <w:b/>
                <w:sz w:val="20"/>
                <w:szCs w:val="20"/>
                <w:lang w:eastAsia="ar-SA"/>
              </w:rPr>
            </w:pPr>
            <w:r w:rsidRPr="00622884">
              <w:rPr>
                <w:rFonts w:ascii="Garamond" w:eastAsia="Times New Roman" w:hAnsi="Garamond" w:cs="Times New Roman"/>
                <w:b/>
                <w:sz w:val="20"/>
                <w:szCs w:val="20"/>
                <w:lang w:eastAsia="en-US" w:bidi="sq-AL"/>
              </w:rPr>
              <w:t>Tmes 2050 RCP5-8.5</w:t>
            </w:r>
          </w:p>
        </w:tc>
        <w:tc>
          <w:tcPr>
            <w:tcW w:w="2634" w:type="dxa"/>
            <w:vAlign w:val="center"/>
          </w:tcPr>
          <w:p w14:paraId="15AB2E4F" w14:textId="77777777" w:rsidR="00622884" w:rsidRPr="00622884" w:rsidRDefault="00622884" w:rsidP="00622884">
            <w:pPr>
              <w:suppressAutoHyphens/>
              <w:spacing w:after="0" w:line="240" w:lineRule="auto"/>
              <w:ind w:firstLine="284"/>
              <w:jc w:val="center"/>
              <w:rPr>
                <w:rFonts w:ascii="Garamond" w:eastAsia="Times New Roman" w:hAnsi="Garamond" w:cs="Calibri Light"/>
                <w:b/>
                <w:sz w:val="20"/>
                <w:szCs w:val="20"/>
                <w:lang w:eastAsia="ar-SA"/>
              </w:rPr>
            </w:pPr>
            <w:r w:rsidRPr="00622884">
              <w:rPr>
                <w:rFonts w:ascii="Garamond" w:eastAsia="Times New Roman" w:hAnsi="Garamond" w:cs="Times New Roman"/>
                <w:b/>
                <w:sz w:val="20"/>
                <w:szCs w:val="20"/>
                <w:lang w:eastAsia="en-US" w:bidi="sq-AL"/>
              </w:rPr>
              <w:t>Tmes 2100 RCP5-8.5</w:t>
            </w:r>
          </w:p>
        </w:tc>
        <w:tc>
          <w:tcPr>
            <w:tcW w:w="1366" w:type="dxa"/>
            <w:vAlign w:val="center"/>
          </w:tcPr>
          <w:p w14:paraId="631C36BB" w14:textId="77777777" w:rsidR="00622884" w:rsidRPr="00622884" w:rsidRDefault="00622884" w:rsidP="00622884">
            <w:pPr>
              <w:suppressAutoHyphens/>
              <w:spacing w:after="0" w:line="240" w:lineRule="auto"/>
              <w:ind w:firstLine="284"/>
              <w:rPr>
                <w:rFonts w:ascii="Garamond" w:eastAsia="Times New Roman" w:hAnsi="Garamond" w:cs="Calibri Light"/>
                <w:b/>
                <w:sz w:val="24"/>
                <w:szCs w:val="24"/>
                <w:lang w:eastAsia="ar-SA"/>
              </w:rPr>
            </w:pPr>
          </w:p>
        </w:tc>
      </w:tr>
      <w:tr w:rsidR="00622884" w:rsidRPr="00622884" w14:paraId="46EB3C32" w14:textId="77777777" w:rsidTr="00622884">
        <w:trPr>
          <w:trHeight w:val="3833"/>
          <w:jc w:val="center"/>
        </w:trPr>
        <w:tc>
          <w:tcPr>
            <w:tcW w:w="2776" w:type="dxa"/>
            <w:vAlign w:val="center"/>
          </w:tcPr>
          <w:p w14:paraId="7E4F0AFB" w14:textId="77777777" w:rsidR="00622884" w:rsidRPr="00622884" w:rsidRDefault="00622884" w:rsidP="00622884">
            <w:pPr>
              <w:suppressAutoHyphens/>
              <w:spacing w:after="0" w:line="240" w:lineRule="auto"/>
              <w:ind w:firstLine="284"/>
              <w:jc w:val="center"/>
              <w:rPr>
                <w:rFonts w:ascii="Garamond" w:eastAsia="Times New Roman" w:hAnsi="Garamond" w:cs="Calibri Light"/>
                <w:sz w:val="24"/>
                <w:szCs w:val="24"/>
                <w:lang w:eastAsia="ar-SA"/>
              </w:rPr>
            </w:pPr>
            <w:r w:rsidRPr="00622884">
              <w:rPr>
                <w:rFonts w:ascii="Garamond" w:eastAsia="Times New Roman" w:hAnsi="Garamond" w:cs="Times New Roman"/>
                <w:noProof/>
                <w:sz w:val="24"/>
                <w:szCs w:val="24"/>
                <w:lang w:eastAsia="sq-AL"/>
              </w:rPr>
              <w:drawing>
                <wp:inline distT="0" distB="0" distL="0" distR="0" wp14:anchorId="112FA093" wp14:editId="6B2FE1FE">
                  <wp:extent cx="1473835" cy="2415540"/>
                  <wp:effectExtent l="0" t="0" r="0" b="3810"/>
                  <wp:docPr id="645" name="Picture 645" descr="Afbeelding met kaart&#10;&#10;Beschrijving automatisch gegenereerd met gemiddelde betrouwbaarhe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Afbeelding met kaart&#10;&#10;Beschrijving automatisch gegenereerd met gemiddelde betrouwbaarheid"/>
                          <pic:cNvPicPr>
                            <a:picLocks noChangeAspect="1" noChangeArrowheads="1"/>
                          </pic:cNvPicPr>
                        </pic:nvPicPr>
                        <pic:blipFill>
                          <a:blip r:embed="rId87">
                            <a:extLst>
                              <a:ext uri="{28A0092B-C50C-407E-A947-70E740481C1C}">
                                <a14:useLocalDpi xmlns:a14="http://schemas.microsoft.com/office/drawing/2010/main" val="0"/>
                              </a:ext>
                            </a:extLst>
                          </a:blip>
                          <a:srcRect l="28696" t="3522" r="21849" b="2817"/>
                          <a:stretch>
                            <a:fillRect/>
                          </a:stretch>
                        </pic:blipFill>
                        <pic:spPr bwMode="auto">
                          <a:xfrm>
                            <a:off x="0" y="0"/>
                            <a:ext cx="1473835" cy="2415540"/>
                          </a:xfrm>
                          <a:prstGeom prst="rect">
                            <a:avLst/>
                          </a:prstGeom>
                          <a:noFill/>
                          <a:ln>
                            <a:noFill/>
                          </a:ln>
                        </pic:spPr>
                      </pic:pic>
                    </a:graphicData>
                  </a:graphic>
                </wp:inline>
              </w:drawing>
            </w:r>
          </w:p>
        </w:tc>
        <w:tc>
          <w:tcPr>
            <w:tcW w:w="2634" w:type="dxa"/>
            <w:vAlign w:val="center"/>
          </w:tcPr>
          <w:p w14:paraId="39652AEE" w14:textId="77777777" w:rsidR="00622884" w:rsidRPr="00622884" w:rsidRDefault="00622884" w:rsidP="00622884">
            <w:pPr>
              <w:suppressAutoHyphens/>
              <w:spacing w:after="0" w:line="240" w:lineRule="auto"/>
              <w:ind w:firstLine="284"/>
              <w:jc w:val="center"/>
              <w:rPr>
                <w:rFonts w:ascii="Garamond" w:eastAsia="Times New Roman" w:hAnsi="Garamond" w:cs="Calibri Light"/>
                <w:sz w:val="24"/>
                <w:szCs w:val="24"/>
                <w:lang w:eastAsia="ar-SA"/>
              </w:rPr>
            </w:pPr>
            <w:r w:rsidRPr="00622884">
              <w:rPr>
                <w:rFonts w:ascii="Garamond" w:eastAsia="Times New Roman" w:hAnsi="Garamond" w:cs="Times New Roman"/>
                <w:noProof/>
                <w:sz w:val="24"/>
                <w:szCs w:val="24"/>
                <w:lang w:eastAsia="sq-AL"/>
              </w:rPr>
              <w:drawing>
                <wp:inline distT="0" distB="0" distL="0" distR="0" wp14:anchorId="26FDCF20" wp14:editId="71FFD038">
                  <wp:extent cx="1473835" cy="2367915"/>
                  <wp:effectExtent l="0" t="0" r="0" b="0"/>
                  <wp:docPr id="646" name="Picture 646" descr="Afbeelding met kaart, Graphics&#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Afbeelding met kaart, Graphics&#10;&#10;Automatisch gegenereerde beschrijving"/>
                          <pic:cNvPicPr>
                            <a:picLocks noChangeAspect="1" noChangeArrowheads="1"/>
                          </pic:cNvPicPr>
                        </pic:nvPicPr>
                        <pic:blipFill>
                          <a:blip r:embed="rId88" cstate="print">
                            <a:extLst>
                              <a:ext uri="{28A0092B-C50C-407E-A947-70E740481C1C}">
                                <a14:useLocalDpi xmlns:a14="http://schemas.microsoft.com/office/drawing/2010/main" val="0"/>
                              </a:ext>
                            </a:extLst>
                          </a:blip>
                          <a:srcRect l="27515" t="2953" r="22260" b="4059"/>
                          <a:stretch>
                            <a:fillRect/>
                          </a:stretch>
                        </pic:blipFill>
                        <pic:spPr bwMode="auto">
                          <a:xfrm>
                            <a:off x="0" y="0"/>
                            <a:ext cx="1473835" cy="2367915"/>
                          </a:xfrm>
                          <a:prstGeom prst="rect">
                            <a:avLst/>
                          </a:prstGeom>
                          <a:noFill/>
                          <a:ln>
                            <a:noFill/>
                          </a:ln>
                        </pic:spPr>
                      </pic:pic>
                    </a:graphicData>
                  </a:graphic>
                </wp:inline>
              </w:drawing>
            </w:r>
          </w:p>
        </w:tc>
        <w:tc>
          <w:tcPr>
            <w:tcW w:w="1366" w:type="dxa"/>
            <w:vAlign w:val="center"/>
          </w:tcPr>
          <w:p w14:paraId="792CCE17" w14:textId="77777777" w:rsidR="00622884" w:rsidRPr="00622884" w:rsidRDefault="00622884" w:rsidP="00622884">
            <w:pPr>
              <w:suppressAutoHyphens/>
              <w:spacing w:after="0" w:line="240" w:lineRule="auto"/>
              <w:ind w:firstLine="284"/>
              <w:rPr>
                <w:rFonts w:ascii="Garamond" w:eastAsia="Times New Roman" w:hAnsi="Garamond" w:cs="Calibri Light"/>
                <w:sz w:val="24"/>
                <w:szCs w:val="24"/>
                <w:lang w:eastAsia="ar-SA"/>
              </w:rPr>
            </w:pPr>
            <w:r w:rsidRPr="00622884">
              <w:rPr>
                <w:rFonts w:ascii="Garamond" w:eastAsia="Times New Roman" w:hAnsi="Garamond" w:cs="Times New Roman"/>
                <w:noProof/>
                <w:sz w:val="24"/>
                <w:szCs w:val="24"/>
                <w:lang w:eastAsia="sq-AL"/>
              </w:rPr>
              <w:drawing>
                <wp:inline distT="0" distB="0" distL="0" distR="0" wp14:anchorId="7DE3ED20" wp14:editId="2C0CDD56">
                  <wp:extent cx="839470" cy="2094865"/>
                  <wp:effectExtent l="0" t="0" r="0" b="635"/>
                  <wp:docPr id="647" name="Picture 647" descr="Afbeelding met tekst, schermopname, kaart, softwar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Afbeelding met tekst, schermopname, kaart, software&#10;&#10;Automatisch gegenereerde beschrijving"/>
                          <pic:cNvPicPr>
                            <a:picLocks noChangeAspect="1" noChangeArrowheads="1"/>
                          </pic:cNvPicPr>
                        </pic:nvPicPr>
                        <pic:blipFill>
                          <a:blip r:embed="rId86">
                            <a:extLst>
                              <a:ext uri="{28A0092B-C50C-407E-A947-70E740481C1C}">
                                <a14:useLocalDpi xmlns:a14="http://schemas.microsoft.com/office/drawing/2010/main" val="0"/>
                              </a:ext>
                            </a:extLst>
                          </a:blip>
                          <a:srcRect l="5688" t="21609" r="87070" b="46207"/>
                          <a:stretch>
                            <a:fillRect/>
                          </a:stretch>
                        </pic:blipFill>
                        <pic:spPr bwMode="auto">
                          <a:xfrm>
                            <a:off x="0" y="0"/>
                            <a:ext cx="839470" cy="2094865"/>
                          </a:xfrm>
                          <a:prstGeom prst="rect">
                            <a:avLst/>
                          </a:prstGeom>
                          <a:noFill/>
                          <a:ln>
                            <a:noFill/>
                          </a:ln>
                        </pic:spPr>
                      </pic:pic>
                    </a:graphicData>
                  </a:graphic>
                </wp:inline>
              </w:drawing>
            </w:r>
          </w:p>
        </w:tc>
      </w:tr>
    </w:tbl>
    <w:p w14:paraId="49711D1C" w14:textId="77777777" w:rsidR="00622884" w:rsidRPr="00622884" w:rsidRDefault="00622884" w:rsidP="00622884">
      <w:pPr>
        <w:spacing w:after="0" w:line="240" w:lineRule="auto"/>
        <w:ind w:firstLine="284"/>
        <w:jc w:val="center"/>
        <w:rPr>
          <w:rFonts w:ascii="Garamond" w:eastAsia="Calibri" w:hAnsi="Garamond" w:cs="Times New Roman"/>
          <w:i/>
          <w:sz w:val="20"/>
          <w:szCs w:val="20"/>
          <w:lang w:eastAsia="en-US" w:bidi="sq-AL"/>
        </w:rPr>
      </w:pPr>
      <w:r w:rsidRPr="00622884">
        <w:rPr>
          <w:rFonts w:ascii="Garamond" w:eastAsia="Calibri" w:hAnsi="Garamond" w:cs="Times New Roman"/>
          <w:i/>
          <w:sz w:val="20"/>
          <w:szCs w:val="20"/>
          <w:lang w:eastAsia="en-US" w:bidi="sq-AL"/>
        </w:rPr>
        <w:t>Figura 13. Ndryshimet e temperaturës mesatare vjetore sipas skenarëve SPS2-4.5 dhe SPS5-8.5.</w:t>
      </w:r>
    </w:p>
    <w:p w14:paraId="137697F0" w14:textId="77777777" w:rsidR="00622884" w:rsidRPr="00622884" w:rsidRDefault="00622884" w:rsidP="00622884">
      <w:pPr>
        <w:spacing w:after="0" w:line="240" w:lineRule="auto"/>
        <w:ind w:firstLine="284"/>
        <w:rPr>
          <w:rFonts w:ascii="Garamond" w:eastAsia="Calibri" w:hAnsi="Garamond" w:cs="Times New Roman"/>
          <w:sz w:val="24"/>
          <w:szCs w:val="24"/>
          <w:lang w:eastAsia="en-US" w:bidi="sq-AL"/>
        </w:rPr>
      </w:pPr>
    </w:p>
    <w:p w14:paraId="47AF80B8" w14:textId="77777777" w:rsidR="00622884" w:rsidRPr="00622884" w:rsidRDefault="00622884" w:rsidP="00622884">
      <w:pPr>
        <w:spacing w:after="0" w:line="240" w:lineRule="auto"/>
        <w:ind w:firstLine="284"/>
        <w:rPr>
          <w:rFonts w:ascii="Garamond" w:eastAsia="Calibri" w:hAnsi="Garamond" w:cs="Times New Roman"/>
          <w:sz w:val="24"/>
          <w:szCs w:val="24"/>
          <w:lang w:eastAsia="en-US" w:bidi="sq-AL"/>
        </w:rPr>
      </w:pPr>
      <w:r w:rsidRPr="00622884">
        <w:rPr>
          <w:rFonts w:ascii="Garamond" w:eastAsia="Calibri" w:hAnsi="Garamond" w:cs="Times New Roman"/>
          <w:sz w:val="24"/>
          <w:szCs w:val="24"/>
          <w:lang w:eastAsia="en-US" w:bidi="sq-AL"/>
        </w:rPr>
        <w:t>Variacionet sezonale të ndryshimit të temperaturës janë, gjithashtu, të dukshme. Figura më poshtë paraqet ndryshimet e parashikuara të temperaturës për vitin 2050 në stinë të ndryshme, duke theksuar ngrohjen më të madhe që pritet gjatë verës dhe vjeshtës krahasuar me dimrin dhe pranverën.</w:t>
      </w:r>
    </w:p>
    <w:p w14:paraId="32E9E4F7" w14:textId="77777777" w:rsidR="00622884" w:rsidRPr="00622884" w:rsidRDefault="00622884" w:rsidP="00622884">
      <w:pPr>
        <w:keepNext/>
        <w:suppressAutoHyphens/>
        <w:spacing w:after="0" w:line="240" w:lineRule="auto"/>
        <w:jc w:val="center"/>
        <w:rPr>
          <w:rFonts w:ascii="Garamond" w:eastAsia="Calibri" w:hAnsi="Garamond" w:cs="Calibri Light"/>
          <w:sz w:val="24"/>
          <w:szCs w:val="24"/>
          <w:lang w:eastAsia="en-US"/>
        </w:rPr>
      </w:pPr>
      <w:r w:rsidRPr="00622884">
        <w:rPr>
          <w:rFonts w:ascii="Garamond" w:eastAsia="Calibri" w:hAnsi="Garamond" w:cs="Times New Roman"/>
          <w:noProof/>
          <w:sz w:val="24"/>
          <w:szCs w:val="24"/>
          <w:lang w:eastAsia="sq-AL"/>
        </w:rPr>
        <w:drawing>
          <wp:inline distT="0" distB="0" distL="0" distR="0" wp14:anchorId="0493F7B3" wp14:editId="3B923E22">
            <wp:extent cx="5477529" cy="1208166"/>
            <wp:effectExtent l="0" t="0" r="0" b="0"/>
            <wp:docPr id="648" name="Picture 648" descr="Afbeelding met schermopname, tekst, diagram, Percee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descr="Afbeelding met schermopname, tekst, diagram, Perceel&#10;&#10;Automatisch gegenereerde beschrijving"/>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5514990" cy="1216429"/>
                    </a:xfrm>
                    <a:prstGeom prst="rect">
                      <a:avLst/>
                    </a:prstGeom>
                    <a:noFill/>
                    <a:ln>
                      <a:noFill/>
                    </a:ln>
                  </pic:spPr>
                </pic:pic>
              </a:graphicData>
            </a:graphic>
          </wp:inline>
        </w:drawing>
      </w:r>
    </w:p>
    <w:p w14:paraId="5201B491" w14:textId="77777777" w:rsidR="00622884" w:rsidRPr="00622884" w:rsidRDefault="00622884" w:rsidP="00622884">
      <w:pPr>
        <w:spacing w:after="0" w:line="240" w:lineRule="auto"/>
        <w:ind w:firstLine="284"/>
        <w:jc w:val="center"/>
        <w:rPr>
          <w:rFonts w:ascii="Garamond" w:eastAsia="Calibri" w:hAnsi="Garamond" w:cs="Times New Roman"/>
          <w:i/>
          <w:sz w:val="20"/>
          <w:szCs w:val="20"/>
          <w:lang w:eastAsia="en-US" w:bidi="sq-AL"/>
        </w:rPr>
      </w:pPr>
      <w:r w:rsidRPr="00622884">
        <w:rPr>
          <w:rFonts w:ascii="Garamond" w:eastAsia="Calibri" w:hAnsi="Garamond" w:cs="Times New Roman"/>
          <w:i/>
          <w:sz w:val="20"/>
          <w:szCs w:val="20"/>
          <w:lang w:eastAsia="en-US" w:bidi="sq-AL"/>
        </w:rPr>
        <w:t>Figura 14. Ndryshimet e parashikuara të temperaturës për vitin 2050 në stinë të ndryshme.</w:t>
      </w:r>
    </w:p>
    <w:p w14:paraId="2678FA8A" w14:textId="77777777" w:rsidR="00622884" w:rsidRPr="00622884" w:rsidRDefault="00622884" w:rsidP="00622884">
      <w:pPr>
        <w:spacing w:after="0" w:line="240" w:lineRule="auto"/>
        <w:ind w:firstLine="284"/>
        <w:rPr>
          <w:rFonts w:ascii="Garamond" w:eastAsia="Calibri" w:hAnsi="Garamond" w:cs="Times New Roman"/>
          <w:i/>
          <w:sz w:val="6"/>
          <w:szCs w:val="20"/>
          <w:lang w:eastAsia="en-US" w:bidi="sq-AL"/>
        </w:rPr>
      </w:pPr>
    </w:p>
    <w:p w14:paraId="0A304E23" w14:textId="77777777" w:rsidR="00622884" w:rsidRPr="00622884" w:rsidRDefault="00622884" w:rsidP="00622884">
      <w:pPr>
        <w:spacing w:after="0" w:line="240" w:lineRule="auto"/>
        <w:ind w:firstLine="284"/>
        <w:rPr>
          <w:rFonts w:ascii="Garamond" w:eastAsia="SimSun" w:hAnsi="Garamond" w:cs="Times New Roman"/>
          <w:sz w:val="24"/>
          <w:szCs w:val="24"/>
          <w:lang w:eastAsia="en-US"/>
        </w:rPr>
      </w:pPr>
      <w:r w:rsidRPr="00622884">
        <w:rPr>
          <w:rFonts w:ascii="Garamond" w:eastAsia="Calibri" w:hAnsi="Garamond" w:cs="Times New Roman"/>
          <w:sz w:val="24"/>
          <w:szCs w:val="24"/>
          <w:lang w:eastAsia="en-US" w:bidi="sq-AL"/>
        </w:rPr>
        <w:t xml:space="preserve">Ndryshimet e parashikuara në temperaturat maksimale dhe minimale paraqesin tendenca të ngjashme me ato të temperaturës mesatare. Në skenarin e ndërmjetëm (SPS2-4.5), temperaturat maksimale vjetore pritet të rriten afërsisht me 1,6°C (nga 1,1°C deri në 2,7°C) deri në vitin 2050, dhe 2,5°C (nga 1,6°C deri në 4,1°C) deri në vitin 2100. Skenari më agresiv (SPS5-8.5) parashikon rritje më të mëdha të temperaturave maksimale, veçanërisht gjatë muajve të verës, që mund të arrijnë 2,8°C (nga 1,8°C deri në 4,6°C) deri në vitin 2050. Krahas kësaj, parashikimet tregojnë se </w:t>
      </w:r>
      <w:r w:rsidRPr="00622884">
        <w:rPr>
          <w:rFonts w:ascii="Garamond" w:eastAsia="Calibri" w:hAnsi="Garamond" w:cs="Times New Roman"/>
          <w:sz w:val="24"/>
          <w:szCs w:val="24"/>
          <w:lang w:eastAsia="en-US" w:bidi="sq-AL"/>
        </w:rPr>
        <w:lastRenderedPageBreak/>
        <w:t>temperaturat në përqindëshin e lartë (95%) pritet të rriten më shpejt se temperaturat mesatare, veçanërisht gjatë verës. Rritja e njëkohshme e temperaturave minimale sugjeron, gjithashtu, se intensiteti i valëve të të nxehtit do të rritet, me një rritje të shpeshtësisë dhe kohëzgjatjes së këtyre fenomeneve, veçanërisht në skenarin SPS5-8.5.</w:t>
      </w:r>
    </w:p>
    <w:p w14:paraId="7A324B8F" w14:textId="77777777" w:rsidR="00622884" w:rsidRPr="00622884" w:rsidRDefault="00622884" w:rsidP="00622884">
      <w:pPr>
        <w:spacing w:after="0" w:line="240" w:lineRule="auto"/>
        <w:ind w:firstLine="284"/>
        <w:rPr>
          <w:rFonts w:ascii="Garamond" w:eastAsia="SimSun" w:hAnsi="Garamond" w:cs="Times New Roman"/>
          <w:sz w:val="24"/>
          <w:szCs w:val="24"/>
          <w:lang w:eastAsia="en-US"/>
        </w:rPr>
      </w:pPr>
      <w:r w:rsidRPr="00622884">
        <w:rPr>
          <w:rFonts w:ascii="Garamond" w:eastAsia="Calibri" w:hAnsi="Garamond" w:cs="Times New Roman"/>
          <w:sz w:val="24"/>
          <w:szCs w:val="24"/>
          <w:lang w:eastAsia="en-US" w:bidi="sq-AL"/>
        </w:rPr>
        <w:t>Numri i ditëve të nxehta (përcaktuar si ditë me temperatura maksimale ≥35°C) pritet të rritet, ndërsa numri i ditëve të ftohta (temperatura minimale &lt;0°C) dhe shumë të ftohta (temperatura minimale &lt;-5°C) pritet të bjerë në të gjitha zonat klimatike në të gjithë skenarët. Këto tendenca janë veçanërisht të theksuara në skenarët SPS3-7.0 dhe SPS5-8.5, krahasuar me periudhën e referencës.</w:t>
      </w:r>
    </w:p>
    <w:p w14:paraId="7689ABA6" w14:textId="77777777" w:rsidR="00622884" w:rsidRPr="00622884" w:rsidRDefault="00622884" w:rsidP="00622884">
      <w:pPr>
        <w:spacing w:after="0" w:line="240" w:lineRule="auto"/>
        <w:ind w:firstLine="284"/>
        <w:rPr>
          <w:rFonts w:ascii="Garamond" w:eastAsia="SimSun" w:hAnsi="Garamond" w:cs="Times New Roman"/>
          <w:sz w:val="24"/>
          <w:szCs w:val="24"/>
          <w:lang w:eastAsia="en-US"/>
        </w:rPr>
      </w:pPr>
      <w:r w:rsidRPr="00622884">
        <w:rPr>
          <w:rFonts w:ascii="Garamond" w:eastAsia="Calibri" w:hAnsi="Garamond" w:cs="Times New Roman"/>
          <w:sz w:val="24"/>
          <w:szCs w:val="24"/>
          <w:lang w:eastAsia="en-US" w:bidi="sq-AL"/>
        </w:rPr>
        <w:t>Temperaturat maksimale dhe minimale absolute pritet të rriten në të gjithë skenarët SPS. Si pasojë, periudhat e përsëritjes së temperaturave ekstreme maksimale pritet të ulen ndjeshëm, ndërsa periudhat e përsëritjes së temperaturave ekstreme minimale pritet të rriten ndjeshëm në të gjithë territorin shqiptar.</w:t>
      </w:r>
    </w:p>
    <w:p w14:paraId="1A8B0581" w14:textId="77777777" w:rsidR="00622884" w:rsidRPr="00622884" w:rsidRDefault="00622884" w:rsidP="00622884">
      <w:pPr>
        <w:spacing w:after="0" w:line="240" w:lineRule="auto"/>
        <w:ind w:firstLine="284"/>
        <w:rPr>
          <w:rFonts w:ascii="Garamond" w:eastAsia="SimSun" w:hAnsi="Garamond" w:cs="Times New Roman"/>
          <w:b/>
          <w:bCs/>
          <w:sz w:val="24"/>
          <w:szCs w:val="24"/>
          <w:lang w:eastAsia="en-US"/>
        </w:rPr>
      </w:pPr>
      <w:r w:rsidRPr="00622884">
        <w:rPr>
          <w:rFonts w:ascii="Garamond" w:eastAsia="Calibri" w:hAnsi="Garamond" w:cs="Times New Roman"/>
          <w:b/>
          <w:sz w:val="24"/>
          <w:szCs w:val="24"/>
          <w:lang w:eastAsia="en-US" w:bidi="sq-AL"/>
        </w:rPr>
        <w:t>Reshjet</w:t>
      </w:r>
      <w:r w:rsidRPr="00622884">
        <w:rPr>
          <w:rFonts w:ascii="Garamond" w:eastAsia="Calibri" w:hAnsi="Garamond" w:cs="Times New Roman"/>
          <w:sz w:val="24"/>
          <w:szCs w:val="24"/>
          <w:vertAlign w:val="superscript"/>
          <w:lang w:eastAsia="en-US" w:bidi="sq-AL"/>
        </w:rPr>
        <w:fldChar w:fldCharType="begin"/>
      </w:r>
      <w:r w:rsidRPr="00622884">
        <w:rPr>
          <w:rFonts w:ascii="Garamond" w:eastAsia="Calibri" w:hAnsi="Garamond" w:cs="Times New Roman"/>
          <w:sz w:val="24"/>
          <w:szCs w:val="24"/>
          <w:vertAlign w:val="superscript"/>
          <w:lang w:eastAsia="en-US" w:bidi="sq-AL"/>
        </w:rPr>
        <w:instrText xml:space="preserve"> NOTEREF _Ref210907359 \h  \* MERGEFORMAT </w:instrText>
      </w:r>
      <w:r w:rsidRPr="00622884">
        <w:rPr>
          <w:rFonts w:ascii="Garamond" w:eastAsia="Calibri" w:hAnsi="Garamond" w:cs="Times New Roman"/>
          <w:sz w:val="24"/>
          <w:szCs w:val="24"/>
          <w:vertAlign w:val="superscript"/>
          <w:lang w:eastAsia="en-US" w:bidi="sq-AL"/>
        </w:rPr>
      </w:r>
      <w:r w:rsidRPr="00622884">
        <w:rPr>
          <w:rFonts w:ascii="Garamond" w:eastAsia="Calibri" w:hAnsi="Garamond" w:cs="Times New Roman"/>
          <w:sz w:val="24"/>
          <w:szCs w:val="24"/>
          <w:vertAlign w:val="superscript"/>
          <w:lang w:eastAsia="en-US" w:bidi="sq-AL"/>
        </w:rPr>
        <w:fldChar w:fldCharType="separate"/>
      </w:r>
      <w:r w:rsidRPr="00622884">
        <w:rPr>
          <w:rFonts w:ascii="Garamond" w:eastAsia="Calibri" w:hAnsi="Garamond" w:cs="Times New Roman"/>
          <w:sz w:val="24"/>
          <w:szCs w:val="24"/>
          <w:vertAlign w:val="superscript"/>
          <w:lang w:eastAsia="en-US" w:bidi="sq-AL"/>
        </w:rPr>
        <w:t>73</w:t>
      </w:r>
      <w:r w:rsidRPr="00622884">
        <w:rPr>
          <w:rFonts w:ascii="Garamond" w:eastAsia="Calibri" w:hAnsi="Garamond" w:cs="Times New Roman"/>
          <w:sz w:val="24"/>
          <w:szCs w:val="24"/>
          <w:vertAlign w:val="superscript"/>
          <w:lang w:eastAsia="en-US" w:bidi="sq-AL"/>
        </w:rPr>
        <w:fldChar w:fldCharType="end"/>
      </w:r>
      <w:r w:rsidRPr="00622884">
        <w:rPr>
          <w:rFonts w:ascii="Garamond" w:eastAsia="Calibri" w:hAnsi="Garamond" w:cs="Times New Roman"/>
          <w:b/>
          <w:sz w:val="24"/>
          <w:szCs w:val="24"/>
          <w:lang w:eastAsia="en-US" w:bidi="sq-AL"/>
        </w:rPr>
        <w:t xml:space="preserve"> </w:t>
      </w:r>
    </w:p>
    <w:p w14:paraId="625EE5A0" w14:textId="77777777" w:rsidR="00622884" w:rsidRPr="00622884" w:rsidRDefault="00622884" w:rsidP="00622884">
      <w:pPr>
        <w:spacing w:after="0" w:line="240" w:lineRule="auto"/>
        <w:ind w:firstLine="284"/>
        <w:rPr>
          <w:rFonts w:ascii="Garamond" w:eastAsia="SimSun" w:hAnsi="Garamond" w:cs="Times New Roman"/>
          <w:sz w:val="24"/>
          <w:szCs w:val="24"/>
          <w:lang w:eastAsia="en-US"/>
        </w:rPr>
      </w:pPr>
      <w:r w:rsidRPr="00622884">
        <w:rPr>
          <w:rFonts w:ascii="Garamond" w:eastAsia="Calibri" w:hAnsi="Garamond" w:cs="Times New Roman"/>
          <w:sz w:val="24"/>
          <w:szCs w:val="24"/>
          <w:lang w:eastAsia="en-US" w:bidi="sq-AL"/>
        </w:rPr>
        <w:t>Të gjitha SPS-të tregojnë një rënie të mundshme si të reshjeve vjetore ashtu edhe sezonale krahasuar me periudhën e referencës 1995–2015, për të gjitha periudhat e parashikuara deri në vitin 2100. Skenari me shkarkime të larta SPS5-8.5 parashikon uljet më të mëdha në përqindjen e reshjeve, me vlerat vjetore dhe të verës që pritet të bien deri në -5,8% (nga -32,7% deri në +17%) dhe -17,6% (nga -56,2% deri në +16,9%) përkatësisht deri në vitin 2050. Nga ana tjetër, uljet më të vogla në përqindjen e reshjeve priten në skenarët SPS1-1.9 dhe SPS1-2.6, përveç gjatë muajve të verës, ku priten ulje deri në -8,1% (nga -25,7% deri në +7,8%) dhe -10,2% (nga -32,5% deri në +9,5%). Diferencat ndërmjet stinëve për reshjet janë më pak të theksuara. Figura më poshtë ilustron këto kontraste sezonale, duke theksuar variabilitetin dhe pasigurinë e ndryshimeve të reshjeve në rajone dhe periudha të ndryshme.</w:t>
      </w:r>
    </w:p>
    <w:p w14:paraId="6D9C1B11" w14:textId="77777777" w:rsidR="00622884" w:rsidRPr="00622884" w:rsidRDefault="00622884" w:rsidP="00622884">
      <w:pPr>
        <w:keepNext/>
        <w:spacing w:after="0" w:line="240" w:lineRule="auto"/>
        <w:jc w:val="left"/>
        <w:rPr>
          <w:rFonts w:ascii="Garamond" w:eastAsia="Calibri" w:hAnsi="Garamond" w:cs="Calibri Light"/>
          <w:sz w:val="24"/>
          <w:szCs w:val="24"/>
          <w:lang w:eastAsia="en-US"/>
        </w:rPr>
      </w:pPr>
      <w:r w:rsidRPr="00622884">
        <w:rPr>
          <w:rFonts w:ascii="Garamond" w:eastAsia="Calibri" w:hAnsi="Garamond" w:cs="Times New Roman"/>
          <w:noProof/>
          <w:sz w:val="24"/>
          <w:szCs w:val="24"/>
          <w:lang w:eastAsia="sq-AL"/>
        </w:rPr>
        <w:drawing>
          <wp:inline distT="0" distB="0" distL="0" distR="0" wp14:anchorId="7466695A" wp14:editId="17E49B15">
            <wp:extent cx="5354955" cy="1191616"/>
            <wp:effectExtent l="0" t="0" r="0" b="8890"/>
            <wp:docPr id="649" name="Picture 6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5394967" cy="1200520"/>
                    </a:xfrm>
                    <a:prstGeom prst="rect">
                      <a:avLst/>
                    </a:prstGeom>
                    <a:noFill/>
                    <a:ln>
                      <a:noFill/>
                    </a:ln>
                  </pic:spPr>
                </pic:pic>
              </a:graphicData>
            </a:graphic>
          </wp:inline>
        </w:drawing>
      </w:r>
    </w:p>
    <w:p w14:paraId="18C74341" w14:textId="77777777" w:rsidR="00622884" w:rsidRPr="00622884" w:rsidRDefault="00622884" w:rsidP="00622884">
      <w:pPr>
        <w:spacing w:after="0" w:line="240" w:lineRule="auto"/>
        <w:ind w:firstLine="284"/>
        <w:jc w:val="center"/>
        <w:rPr>
          <w:rFonts w:ascii="Garamond" w:eastAsia="Calibri" w:hAnsi="Garamond" w:cs="Times New Roman"/>
          <w:i/>
          <w:sz w:val="20"/>
          <w:szCs w:val="20"/>
          <w:lang w:eastAsia="en-US" w:bidi="sq-AL"/>
        </w:rPr>
      </w:pPr>
      <w:r w:rsidRPr="00622884">
        <w:rPr>
          <w:rFonts w:ascii="Garamond" w:eastAsia="Calibri" w:hAnsi="Garamond" w:cs="Times New Roman"/>
          <w:i/>
          <w:sz w:val="20"/>
          <w:szCs w:val="20"/>
          <w:lang w:eastAsia="en-US" w:bidi="sq-AL"/>
        </w:rPr>
        <w:t>Figura 15. Diferencat sezonale për reshjet.</w:t>
      </w:r>
    </w:p>
    <w:p w14:paraId="2F6BD3A1" w14:textId="77777777" w:rsidR="00622884" w:rsidRPr="00622884" w:rsidRDefault="00622884" w:rsidP="00622884">
      <w:pPr>
        <w:spacing w:after="0" w:line="240" w:lineRule="auto"/>
        <w:ind w:firstLine="284"/>
        <w:rPr>
          <w:rFonts w:ascii="Garamond" w:eastAsia="Calibri" w:hAnsi="Garamond" w:cs="Times New Roman"/>
          <w:sz w:val="24"/>
          <w:szCs w:val="24"/>
          <w:lang w:eastAsia="en-US" w:bidi="sq-AL"/>
        </w:rPr>
      </w:pPr>
    </w:p>
    <w:p w14:paraId="56A2981C" w14:textId="77777777" w:rsidR="00622884" w:rsidRPr="00622884" w:rsidRDefault="00622884" w:rsidP="00622884">
      <w:pPr>
        <w:spacing w:after="0" w:line="240" w:lineRule="auto"/>
        <w:ind w:firstLine="284"/>
        <w:rPr>
          <w:rFonts w:ascii="Garamond" w:eastAsia="SimSun" w:hAnsi="Garamond" w:cs="Times New Roman"/>
          <w:sz w:val="24"/>
          <w:szCs w:val="24"/>
          <w:lang w:eastAsia="en-US"/>
        </w:rPr>
      </w:pPr>
      <w:r w:rsidRPr="00622884">
        <w:rPr>
          <w:rFonts w:ascii="Garamond" w:eastAsia="Calibri" w:hAnsi="Garamond" w:cs="Times New Roman"/>
          <w:sz w:val="24"/>
          <w:szCs w:val="24"/>
          <w:lang w:eastAsia="en-US" w:bidi="sq-AL"/>
        </w:rPr>
        <w:t>Rënia e theksuar në përqindëshin e 5-të të ndryshimeve të parashikuara sugjeron një rritje të mundshme të shpeshtësisë së thatësirave, ndërsa rritja e konsiderueshme në përqindëshin e 95-të tregon risk të shtuar për ngjarje reshjesh të dendura. Analizat në skenarë dhe periudha të ndryshme (2030, 2050, 2100), si dhe për një deri në tri ditë radhazi, tregojnë se periudhat e përsëritjes për nivelet maksimale të reshjeve pritet të shkurtohen në të gjithë Shqipërinë. Për shembull, në zonën e Elbasanit, një ngjarje ekstreme reshjesh prej rreth 145 mm/ditë, historikisht e përsëritur një herë çdo 100 vjet, pritet të ndodhë një herë çdo 70 vjet deri në vitin 2050.</w:t>
      </w:r>
    </w:p>
    <w:p w14:paraId="36B25518" w14:textId="77777777" w:rsidR="00622884" w:rsidRPr="00622884" w:rsidRDefault="00622884" w:rsidP="00622884">
      <w:pPr>
        <w:spacing w:after="0" w:line="240" w:lineRule="auto"/>
        <w:ind w:firstLine="284"/>
        <w:rPr>
          <w:rFonts w:ascii="Garamond" w:eastAsia="Calibri" w:hAnsi="Garamond" w:cs="Times New Roman"/>
          <w:sz w:val="24"/>
          <w:szCs w:val="24"/>
          <w:lang w:eastAsia="en-US" w:bidi="sq-AL"/>
        </w:rPr>
      </w:pPr>
      <w:r w:rsidRPr="00622884">
        <w:rPr>
          <w:rFonts w:ascii="Garamond" w:eastAsia="Calibri" w:hAnsi="Garamond" w:cs="Times New Roman"/>
          <w:sz w:val="24"/>
          <w:szCs w:val="24"/>
          <w:lang w:eastAsia="en-US" w:bidi="sq-AL"/>
        </w:rPr>
        <w:t>Ky trend ilustrohet më tej në figurë, e cila paraqet periudhat e përsëritjes së reshjeve maksimale njëditore, duke treguar se ngjarjet ekstreme të reshjeve pritet të bëhen më të shpeshta, më intensive dhe më të gjata.</w:t>
      </w:r>
    </w:p>
    <w:p w14:paraId="72775B46" w14:textId="77777777" w:rsidR="00622884" w:rsidRPr="00622884" w:rsidRDefault="00622884" w:rsidP="00622884">
      <w:pPr>
        <w:spacing w:after="0" w:line="240" w:lineRule="auto"/>
        <w:ind w:firstLine="284"/>
        <w:rPr>
          <w:rFonts w:ascii="Garamond" w:eastAsia="SimSun" w:hAnsi="Garamond" w:cs="Times New Roman"/>
          <w:sz w:val="8"/>
          <w:szCs w:val="24"/>
          <w:lang w:eastAsia="en-US"/>
        </w:rPr>
      </w:pPr>
    </w:p>
    <w:p w14:paraId="67F5794C" w14:textId="77777777" w:rsidR="00622884" w:rsidRPr="00622884" w:rsidRDefault="00622884" w:rsidP="00622884">
      <w:pPr>
        <w:spacing w:after="0" w:line="240" w:lineRule="auto"/>
        <w:ind w:firstLine="284"/>
        <w:jc w:val="center"/>
        <w:rPr>
          <w:rFonts w:ascii="Garamond" w:eastAsia="SimSun" w:hAnsi="Garamond" w:cs="Times New Roman"/>
          <w:sz w:val="24"/>
          <w:szCs w:val="24"/>
          <w:lang w:eastAsia="en-US"/>
        </w:rPr>
      </w:pPr>
      <w:r w:rsidRPr="00622884">
        <w:rPr>
          <w:rFonts w:ascii="Garamond" w:eastAsia="Calibri" w:hAnsi="Garamond" w:cs="Times New Roman"/>
          <w:noProof/>
          <w:sz w:val="24"/>
          <w:szCs w:val="24"/>
          <w:lang w:eastAsia="sq-AL"/>
        </w:rPr>
        <w:lastRenderedPageBreak/>
        <w:drawing>
          <wp:inline distT="0" distB="0" distL="0" distR="0" wp14:anchorId="381E31FF" wp14:editId="7970D468">
            <wp:extent cx="4231005" cy="1741912"/>
            <wp:effectExtent l="0" t="0" r="0" b="0"/>
            <wp:docPr id="650" name="Picture 6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4234629" cy="1743404"/>
                    </a:xfrm>
                    <a:prstGeom prst="rect">
                      <a:avLst/>
                    </a:prstGeom>
                    <a:noFill/>
                    <a:ln>
                      <a:noFill/>
                    </a:ln>
                  </pic:spPr>
                </pic:pic>
              </a:graphicData>
            </a:graphic>
          </wp:inline>
        </w:drawing>
      </w:r>
    </w:p>
    <w:p w14:paraId="4F3B55F7" w14:textId="77777777" w:rsidR="00622884" w:rsidRPr="00622884" w:rsidRDefault="00622884" w:rsidP="00622884">
      <w:pPr>
        <w:spacing w:after="0" w:line="240" w:lineRule="auto"/>
        <w:ind w:firstLine="284"/>
        <w:jc w:val="center"/>
        <w:rPr>
          <w:rFonts w:ascii="Garamond" w:eastAsia="Calibri" w:hAnsi="Garamond" w:cs="Times New Roman"/>
          <w:i/>
          <w:sz w:val="20"/>
          <w:szCs w:val="20"/>
          <w:lang w:eastAsia="en-US" w:bidi="sq-AL"/>
        </w:rPr>
      </w:pPr>
      <w:r w:rsidRPr="00622884">
        <w:rPr>
          <w:rFonts w:ascii="Garamond" w:eastAsia="Calibri" w:hAnsi="Garamond" w:cs="Times New Roman"/>
          <w:i/>
          <w:sz w:val="20"/>
          <w:szCs w:val="20"/>
          <w:lang w:eastAsia="en-US" w:bidi="sq-AL"/>
        </w:rPr>
        <w:t>Figura 16. Periudhat e përsëritjes, reshjet maksimale, 1 ditë.</w:t>
      </w:r>
    </w:p>
    <w:p w14:paraId="325DBA26" w14:textId="77777777" w:rsidR="00622884" w:rsidRPr="00622884" w:rsidRDefault="00622884" w:rsidP="00622884">
      <w:pPr>
        <w:spacing w:after="0" w:line="240" w:lineRule="auto"/>
        <w:ind w:firstLine="284"/>
        <w:rPr>
          <w:rFonts w:ascii="Garamond" w:eastAsia="Calibri" w:hAnsi="Garamond" w:cs="Times New Roman"/>
          <w:b/>
          <w:i/>
          <w:sz w:val="12"/>
          <w:szCs w:val="20"/>
          <w:lang w:eastAsia="en-US" w:bidi="sq-AL"/>
        </w:rPr>
      </w:pPr>
    </w:p>
    <w:p w14:paraId="50BB2057" w14:textId="77777777" w:rsidR="00622884" w:rsidRPr="00622884" w:rsidRDefault="00622884" w:rsidP="00622884">
      <w:pPr>
        <w:spacing w:after="0" w:line="240" w:lineRule="auto"/>
        <w:ind w:firstLine="284"/>
        <w:rPr>
          <w:rFonts w:ascii="Garamond" w:eastAsia="SimSun" w:hAnsi="Garamond" w:cs="Times New Roman"/>
          <w:b/>
          <w:bCs/>
          <w:sz w:val="24"/>
          <w:szCs w:val="24"/>
          <w:lang w:eastAsia="en-US"/>
        </w:rPr>
      </w:pPr>
      <w:r w:rsidRPr="00622884">
        <w:rPr>
          <w:rFonts w:ascii="Garamond" w:eastAsia="Calibri" w:hAnsi="Garamond" w:cs="Times New Roman"/>
          <w:b/>
          <w:sz w:val="24"/>
          <w:szCs w:val="24"/>
          <w:lang w:eastAsia="en-US" w:bidi="sq-AL"/>
        </w:rPr>
        <w:t>Rritja e nivelit të detit</w:t>
      </w:r>
      <w:r w:rsidRPr="00622884">
        <w:rPr>
          <w:rFonts w:ascii="Garamond" w:eastAsia="Calibri" w:hAnsi="Garamond" w:cs="Times New Roman"/>
          <w:sz w:val="24"/>
          <w:szCs w:val="24"/>
          <w:vertAlign w:val="superscript"/>
          <w:lang w:eastAsia="en-US" w:bidi="sq-AL"/>
        </w:rPr>
        <w:fldChar w:fldCharType="begin"/>
      </w:r>
      <w:r w:rsidRPr="00622884">
        <w:rPr>
          <w:rFonts w:ascii="Garamond" w:eastAsia="Calibri" w:hAnsi="Garamond" w:cs="Times New Roman"/>
          <w:sz w:val="24"/>
          <w:szCs w:val="24"/>
          <w:vertAlign w:val="superscript"/>
          <w:lang w:eastAsia="en-US" w:bidi="sq-AL"/>
        </w:rPr>
        <w:instrText xml:space="preserve"> NOTEREF _Ref210907359 \h  \* MERGEFORMAT </w:instrText>
      </w:r>
      <w:r w:rsidRPr="00622884">
        <w:rPr>
          <w:rFonts w:ascii="Garamond" w:eastAsia="Calibri" w:hAnsi="Garamond" w:cs="Times New Roman"/>
          <w:sz w:val="24"/>
          <w:szCs w:val="24"/>
          <w:vertAlign w:val="superscript"/>
          <w:lang w:eastAsia="en-US" w:bidi="sq-AL"/>
        </w:rPr>
      </w:r>
      <w:r w:rsidRPr="00622884">
        <w:rPr>
          <w:rFonts w:ascii="Garamond" w:eastAsia="Calibri" w:hAnsi="Garamond" w:cs="Times New Roman"/>
          <w:sz w:val="24"/>
          <w:szCs w:val="24"/>
          <w:vertAlign w:val="superscript"/>
          <w:lang w:eastAsia="en-US" w:bidi="sq-AL"/>
        </w:rPr>
        <w:fldChar w:fldCharType="separate"/>
      </w:r>
      <w:r w:rsidRPr="00622884">
        <w:rPr>
          <w:rFonts w:ascii="Garamond" w:eastAsia="Calibri" w:hAnsi="Garamond" w:cs="Times New Roman"/>
          <w:sz w:val="24"/>
          <w:szCs w:val="24"/>
          <w:vertAlign w:val="superscript"/>
          <w:lang w:eastAsia="en-US" w:bidi="sq-AL"/>
        </w:rPr>
        <w:t>73</w:t>
      </w:r>
      <w:r w:rsidRPr="00622884">
        <w:rPr>
          <w:rFonts w:ascii="Garamond" w:eastAsia="Calibri" w:hAnsi="Garamond" w:cs="Times New Roman"/>
          <w:sz w:val="24"/>
          <w:szCs w:val="24"/>
          <w:vertAlign w:val="superscript"/>
          <w:lang w:eastAsia="en-US" w:bidi="sq-AL"/>
        </w:rPr>
        <w:fldChar w:fldCharType="end"/>
      </w:r>
    </w:p>
    <w:p w14:paraId="35D48FF5" w14:textId="77777777" w:rsidR="00622884" w:rsidRPr="00622884" w:rsidRDefault="00622884" w:rsidP="00622884">
      <w:pPr>
        <w:spacing w:after="0" w:line="240" w:lineRule="auto"/>
        <w:ind w:firstLine="284"/>
        <w:rPr>
          <w:rFonts w:ascii="Garamond" w:eastAsia="SimSun" w:hAnsi="Garamond" w:cs="Times New Roman"/>
          <w:sz w:val="24"/>
          <w:szCs w:val="24"/>
          <w:lang w:eastAsia="en-US"/>
        </w:rPr>
      </w:pPr>
      <w:r w:rsidRPr="00622884">
        <w:rPr>
          <w:rFonts w:ascii="Garamond" w:eastAsia="Calibri" w:hAnsi="Garamond" w:cs="Times New Roman"/>
          <w:sz w:val="24"/>
          <w:szCs w:val="24"/>
          <w:lang w:eastAsia="en-US" w:bidi="sq-AL"/>
        </w:rPr>
        <w:t>Të gjitha SPS-të parashikojnë një rritje të nivelit të detit. Në skenarin e ndërmjetëm SPS2-4.5, rritja e nivelit të detit në zonën e Durrësit pritet të arrijë afërsisht 24 cm (nga 6 deri në 30 cm) deri në vitin 2050, dhe 65 cm (nga 17 deri në 83 cm) deri në vitin 2100, krahasuar me periudhën e referencës 1995</w:t>
      </w:r>
      <w:r w:rsidRPr="00622884">
        <w:rPr>
          <w:rFonts w:ascii="Garamond" w:eastAsia="Calibri" w:hAnsi="Garamond" w:cs="Times New Roman"/>
          <w:sz w:val="24"/>
          <w:szCs w:val="24"/>
          <w:lang w:eastAsia="en-US"/>
        </w:rPr>
        <w:t>–</w:t>
      </w:r>
      <w:r w:rsidRPr="00622884">
        <w:rPr>
          <w:rFonts w:ascii="Garamond" w:eastAsia="Calibri" w:hAnsi="Garamond" w:cs="Times New Roman"/>
          <w:sz w:val="24"/>
          <w:szCs w:val="24"/>
          <w:lang w:eastAsia="en-US" w:bidi="sq-AL"/>
        </w:rPr>
        <w:t>2015.</w:t>
      </w:r>
    </w:p>
    <w:p w14:paraId="36A3887D" w14:textId="77777777" w:rsidR="00622884" w:rsidRPr="00622884" w:rsidRDefault="00622884" w:rsidP="00622884">
      <w:pPr>
        <w:spacing w:after="0" w:line="240" w:lineRule="auto"/>
        <w:ind w:firstLine="284"/>
        <w:rPr>
          <w:rFonts w:ascii="Garamond" w:eastAsia="SimSun" w:hAnsi="Garamond" w:cs="Times New Roman"/>
          <w:sz w:val="24"/>
          <w:szCs w:val="24"/>
          <w:lang w:eastAsia="en-US"/>
        </w:rPr>
      </w:pPr>
      <w:r w:rsidRPr="00622884">
        <w:rPr>
          <w:rFonts w:ascii="Garamond" w:eastAsia="Calibri" w:hAnsi="Garamond" w:cs="Times New Roman"/>
          <w:sz w:val="24"/>
          <w:szCs w:val="24"/>
          <w:lang w:eastAsia="en-US" w:bidi="sq-AL"/>
        </w:rPr>
        <w:t>Shtrirja e parashikuar e përmbytjes bregdetare paraqitet në figurën më poshtë, duke theksuar zonat që pritet të preken nga një rritje e nivelit të detit prej 0,33 m, të shënuara me ngjyrë blu</w:t>
      </w:r>
      <w:r w:rsidRPr="00622884">
        <w:rPr>
          <w:rFonts w:ascii="Garamond" w:eastAsia="Calibri" w:hAnsi="Garamond" w:cs="Times New Roman"/>
          <w:sz w:val="24"/>
          <w:szCs w:val="24"/>
          <w:vertAlign w:val="superscript"/>
          <w:lang w:eastAsia="en-US" w:bidi="sq-AL"/>
        </w:rPr>
        <w:footnoteReference w:id="169"/>
      </w:r>
      <w:r w:rsidRPr="00622884">
        <w:rPr>
          <w:rFonts w:ascii="Garamond" w:eastAsia="Calibri" w:hAnsi="Garamond" w:cs="Times New Roman"/>
          <w:sz w:val="24"/>
          <w:szCs w:val="24"/>
          <w:lang w:eastAsia="en-US" w:bidi="sq-AL"/>
        </w:rPr>
        <w:t>.</w:t>
      </w:r>
    </w:p>
    <w:p w14:paraId="3AB7FF1F" w14:textId="77777777" w:rsidR="00622884" w:rsidRPr="00622884" w:rsidRDefault="00622884" w:rsidP="00622884">
      <w:pPr>
        <w:keepNext/>
        <w:spacing w:after="0" w:line="240" w:lineRule="auto"/>
        <w:ind w:firstLine="284"/>
        <w:jc w:val="center"/>
        <w:rPr>
          <w:rFonts w:ascii="Garamond" w:eastAsia="Calibri" w:hAnsi="Garamond" w:cs="Calibri Light"/>
          <w:sz w:val="24"/>
          <w:szCs w:val="24"/>
          <w:lang w:eastAsia="en-US"/>
        </w:rPr>
      </w:pPr>
      <w:r w:rsidRPr="00622884">
        <w:rPr>
          <w:rFonts w:ascii="Garamond" w:eastAsia="Calibri" w:hAnsi="Garamond" w:cs="Times New Roman"/>
          <w:noProof/>
          <w:sz w:val="24"/>
          <w:szCs w:val="24"/>
          <w:lang w:eastAsia="sq-AL"/>
        </w:rPr>
        <w:drawing>
          <wp:inline distT="0" distB="0" distL="0" distR="0" wp14:anchorId="789192A3" wp14:editId="03B376F9">
            <wp:extent cx="2899428" cy="2966628"/>
            <wp:effectExtent l="0" t="0" r="0" b="5715"/>
            <wp:docPr id="651" name="Picture 6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2901983" cy="2969242"/>
                    </a:xfrm>
                    <a:prstGeom prst="rect">
                      <a:avLst/>
                    </a:prstGeom>
                    <a:noFill/>
                    <a:ln>
                      <a:noFill/>
                    </a:ln>
                  </pic:spPr>
                </pic:pic>
              </a:graphicData>
            </a:graphic>
          </wp:inline>
        </w:drawing>
      </w:r>
    </w:p>
    <w:p w14:paraId="3FC32EB0" w14:textId="77777777" w:rsidR="00622884" w:rsidRPr="00622884" w:rsidRDefault="00622884" w:rsidP="00622884">
      <w:pPr>
        <w:spacing w:after="0" w:line="240" w:lineRule="auto"/>
        <w:ind w:firstLine="284"/>
        <w:jc w:val="center"/>
        <w:rPr>
          <w:rFonts w:ascii="Garamond" w:eastAsia="Calibri" w:hAnsi="Garamond" w:cs="Times New Roman"/>
          <w:i/>
          <w:sz w:val="20"/>
          <w:szCs w:val="20"/>
          <w:lang w:eastAsia="en-US" w:bidi="sq-AL"/>
        </w:rPr>
      </w:pPr>
      <w:r w:rsidRPr="00622884">
        <w:rPr>
          <w:rFonts w:ascii="Garamond" w:eastAsia="Calibri" w:hAnsi="Garamond" w:cs="Times New Roman"/>
          <w:i/>
          <w:sz w:val="20"/>
          <w:szCs w:val="20"/>
          <w:lang w:eastAsia="en-US" w:bidi="sq-AL"/>
        </w:rPr>
        <w:t>Figura 17. Zonat bregdetare me gjasa për t’u përmbytur me rritjen prej 0,33m të nivelit të detit.</w:t>
      </w:r>
    </w:p>
    <w:p w14:paraId="3DE2FB64" w14:textId="77777777" w:rsidR="00622884" w:rsidRPr="00622884" w:rsidRDefault="00622884" w:rsidP="00622884">
      <w:pPr>
        <w:spacing w:after="0" w:line="240" w:lineRule="auto"/>
        <w:ind w:firstLine="284"/>
        <w:rPr>
          <w:rFonts w:ascii="Garamond" w:eastAsia="Calibri" w:hAnsi="Garamond" w:cs="Times New Roman"/>
          <w:b/>
          <w:i/>
          <w:sz w:val="20"/>
          <w:szCs w:val="20"/>
          <w:lang w:eastAsia="en-US" w:bidi="sq-AL"/>
        </w:rPr>
      </w:pPr>
    </w:p>
    <w:p w14:paraId="47D302EB" w14:textId="77777777" w:rsidR="00622884" w:rsidRPr="00622884" w:rsidRDefault="00622884" w:rsidP="00622884">
      <w:pPr>
        <w:spacing w:after="0" w:line="240" w:lineRule="auto"/>
        <w:ind w:firstLine="284"/>
        <w:rPr>
          <w:rFonts w:ascii="Garamond" w:eastAsia="SimSun" w:hAnsi="Garamond" w:cs="Times New Roman"/>
          <w:b/>
          <w:bCs/>
          <w:sz w:val="24"/>
          <w:szCs w:val="24"/>
          <w:lang w:eastAsia="en-US"/>
        </w:rPr>
      </w:pPr>
      <w:r w:rsidRPr="00622884">
        <w:rPr>
          <w:rFonts w:ascii="Garamond" w:eastAsia="Calibri" w:hAnsi="Garamond" w:cs="Times New Roman"/>
          <w:b/>
          <w:sz w:val="24"/>
          <w:szCs w:val="24"/>
          <w:lang w:eastAsia="en-US" w:bidi="sq-AL"/>
        </w:rPr>
        <w:t>Variablat e tjera klimatike</w:t>
      </w:r>
      <w:r w:rsidRPr="00622884">
        <w:rPr>
          <w:rFonts w:ascii="Garamond" w:eastAsia="Calibri" w:hAnsi="Garamond" w:cs="Times New Roman"/>
          <w:sz w:val="24"/>
          <w:szCs w:val="24"/>
          <w:vertAlign w:val="superscript"/>
          <w:lang w:eastAsia="en-US" w:bidi="sq-AL"/>
        </w:rPr>
        <w:fldChar w:fldCharType="begin"/>
      </w:r>
      <w:r w:rsidRPr="00622884">
        <w:rPr>
          <w:rFonts w:ascii="Garamond" w:eastAsia="Calibri" w:hAnsi="Garamond" w:cs="Times New Roman"/>
          <w:sz w:val="24"/>
          <w:szCs w:val="24"/>
          <w:vertAlign w:val="superscript"/>
          <w:lang w:eastAsia="en-US" w:bidi="sq-AL"/>
        </w:rPr>
        <w:instrText xml:space="preserve"> NOTEREF _Ref210907359 \h  \* MERGEFORMAT </w:instrText>
      </w:r>
      <w:r w:rsidRPr="00622884">
        <w:rPr>
          <w:rFonts w:ascii="Garamond" w:eastAsia="Calibri" w:hAnsi="Garamond" w:cs="Times New Roman"/>
          <w:sz w:val="24"/>
          <w:szCs w:val="24"/>
          <w:vertAlign w:val="superscript"/>
          <w:lang w:eastAsia="en-US" w:bidi="sq-AL"/>
        </w:rPr>
      </w:r>
      <w:r w:rsidRPr="00622884">
        <w:rPr>
          <w:rFonts w:ascii="Garamond" w:eastAsia="Calibri" w:hAnsi="Garamond" w:cs="Times New Roman"/>
          <w:sz w:val="24"/>
          <w:szCs w:val="24"/>
          <w:vertAlign w:val="superscript"/>
          <w:lang w:eastAsia="en-US" w:bidi="sq-AL"/>
        </w:rPr>
        <w:fldChar w:fldCharType="separate"/>
      </w:r>
      <w:r w:rsidRPr="00622884">
        <w:rPr>
          <w:rFonts w:ascii="Garamond" w:eastAsia="Calibri" w:hAnsi="Garamond" w:cs="Times New Roman"/>
          <w:sz w:val="24"/>
          <w:szCs w:val="24"/>
          <w:vertAlign w:val="superscript"/>
          <w:lang w:eastAsia="en-US" w:bidi="sq-AL"/>
        </w:rPr>
        <w:t>73</w:t>
      </w:r>
      <w:r w:rsidRPr="00622884">
        <w:rPr>
          <w:rFonts w:ascii="Garamond" w:eastAsia="Calibri" w:hAnsi="Garamond" w:cs="Times New Roman"/>
          <w:sz w:val="24"/>
          <w:szCs w:val="24"/>
          <w:vertAlign w:val="superscript"/>
          <w:lang w:eastAsia="en-US" w:bidi="sq-AL"/>
        </w:rPr>
        <w:fldChar w:fldCharType="end"/>
      </w:r>
    </w:p>
    <w:p w14:paraId="0523D82D" w14:textId="77777777" w:rsidR="00622884" w:rsidRPr="00622884" w:rsidRDefault="00622884" w:rsidP="00622884">
      <w:pPr>
        <w:spacing w:after="0" w:line="240" w:lineRule="auto"/>
        <w:ind w:firstLine="284"/>
        <w:rPr>
          <w:rFonts w:ascii="Garamond" w:eastAsia="SimSun" w:hAnsi="Garamond" w:cs="Times New Roman"/>
          <w:sz w:val="24"/>
          <w:szCs w:val="24"/>
          <w:lang w:eastAsia="en-US"/>
        </w:rPr>
      </w:pPr>
      <w:r w:rsidRPr="00622884">
        <w:rPr>
          <w:rFonts w:ascii="Garamond" w:eastAsia="Calibri" w:hAnsi="Garamond" w:cs="Times New Roman"/>
          <w:sz w:val="24"/>
          <w:szCs w:val="24"/>
          <w:lang w:eastAsia="en-US" w:bidi="sq-AL"/>
        </w:rPr>
        <w:t>Shpeshtësia dhe kohëzgjatja e kushteve të ftohta pritet të ulen, së bashku me një pakësim të numrit të ditëve me nevojë për ngrohje. Në kontrast, ditët me nevojë për ftohje pritet të rriten, duke reflektuar një kërkesë më të madhe për energji për ftohje. Këto ndryshime janë veçanërisht të theksuara në skenarët SPS3-7.0 dhe SPS5-8.5.</w:t>
      </w:r>
    </w:p>
    <w:p w14:paraId="4B28F1EA" w14:textId="77777777" w:rsidR="00622884" w:rsidRPr="00622884" w:rsidRDefault="00622884" w:rsidP="00622884">
      <w:pPr>
        <w:spacing w:after="0" w:line="240" w:lineRule="auto"/>
        <w:ind w:firstLine="284"/>
        <w:rPr>
          <w:rFonts w:ascii="Garamond" w:eastAsia="SimSun" w:hAnsi="Garamond" w:cs="Times New Roman"/>
          <w:sz w:val="24"/>
          <w:szCs w:val="24"/>
          <w:lang w:eastAsia="en-US"/>
        </w:rPr>
      </w:pPr>
      <w:r w:rsidRPr="00622884">
        <w:rPr>
          <w:rFonts w:ascii="Garamond" w:eastAsia="Calibri" w:hAnsi="Garamond" w:cs="Times New Roman"/>
          <w:sz w:val="24"/>
          <w:szCs w:val="24"/>
          <w:lang w:eastAsia="en-US" w:bidi="sq-AL"/>
        </w:rPr>
        <w:t xml:space="preserve">Në përgjithësi, ekziston një konsensus i fortë në të gjithë skenarët mbi drejtimin e ndryshimeve klimatike të parashikuara, megjithëse ekzistojnë variacione në shkallën e tyre. Konkretisht, të gjithë skenarët tregojnë një rritje të temperaturave vjetore, një ulje të reshjeve </w:t>
      </w:r>
      <w:r w:rsidRPr="00622884">
        <w:rPr>
          <w:rFonts w:ascii="Garamond" w:eastAsia="Calibri" w:hAnsi="Garamond" w:cs="Times New Roman"/>
          <w:sz w:val="24"/>
          <w:szCs w:val="24"/>
          <w:lang w:eastAsia="en-US" w:bidi="sq-AL"/>
        </w:rPr>
        <w:lastRenderedPageBreak/>
        <w:t>vjetore, një rritje të nivelit të detit, dhe një shpeshtim të ngjarjeve ekstreme si reshjet intensive, thatësirat dhe valët e të nxehtit. Shkalla e këtyre ndryshimeve rritet me kalimin e kohës, me luhatje më të mëdha të parashikuara për vitin 2050 krahasuar me 2030, dhe për 2100 krahasuar me 2050. Për më tepër, shkalla e ndryshimit është ndjeshëm më e madhe në skenarët më agresivë të shkarkimeve.</w:t>
      </w:r>
    </w:p>
    <w:p w14:paraId="7CD5875B" w14:textId="77777777" w:rsidR="00622884" w:rsidRPr="00622884" w:rsidRDefault="00622884" w:rsidP="00622884">
      <w:pPr>
        <w:spacing w:after="0" w:line="240" w:lineRule="auto"/>
        <w:ind w:firstLine="284"/>
        <w:rPr>
          <w:rFonts w:ascii="Garamond" w:eastAsia="SimSun" w:hAnsi="Garamond" w:cs="Times New Roman"/>
          <w:sz w:val="24"/>
          <w:szCs w:val="24"/>
          <w:lang w:eastAsia="en-US"/>
        </w:rPr>
      </w:pPr>
      <w:r w:rsidRPr="00622884">
        <w:rPr>
          <w:rFonts w:ascii="Garamond" w:eastAsia="Calibri" w:hAnsi="Garamond" w:cs="Times New Roman"/>
          <w:sz w:val="24"/>
          <w:szCs w:val="24"/>
          <w:lang w:eastAsia="en-US" w:bidi="sq-AL"/>
        </w:rPr>
        <w:t>Për vlerësimet e ashpërsisë së rreziqeve, është thelbësore të merren parasysh të gjithë skenarët. Vlerësimet më të ulëta të ashpërsisë bazohen në skenarin më optimist (SPS1-1.9) për vitin 2030, ndërsa vlerësimet më të larta të ashpërsisë nxirren nga skenarët më ekstremë, zakonisht duke përdorur parashikimet e SPS5-8.5 për vitin 2050. Kjo qasje thekson si progresionin e mundshëm të rreziqeve klimatike, ashtu edhe ndikimin e theksuar të skenarëve të shkarkimeve te kushtet e ardhshme.</w:t>
      </w:r>
    </w:p>
    <w:p w14:paraId="26B696BC" w14:textId="77777777" w:rsidR="00622884" w:rsidRPr="00622884" w:rsidRDefault="00622884" w:rsidP="00622884">
      <w:pPr>
        <w:spacing w:after="0" w:line="240" w:lineRule="auto"/>
        <w:ind w:firstLine="284"/>
        <w:rPr>
          <w:rFonts w:ascii="Garamond" w:eastAsia="SimSun" w:hAnsi="Garamond" w:cs="Times New Roman"/>
          <w:sz w:val="24"/>
          <w:szCs w:val="24"/>
          <w:lang w:eastAsia="en-US"/>
        </w:rPr>
      </w:pPr>
      <w:r w:rsidRPr="00622884">
        <w:rPr>
          <w:rFonts w:ascii="Garamond" w:eastAsia="Calibri" w:hAnsi="Garamond" w:cs="Times New Roman"/>
          <w:sz w:val="24"/>
          <w:szCs w:val="24"/>
          <w:lang w:eastAsia="en-US" w:bidi="sq-AL"/>
        </w:rPr>
        <w:t>Ndryshimet e parashikuara përputhen me tendencat e vëzhguara të rritjes së temperaturës, rritjes së nivelit të detit dhe rritjes së shpeshtësisë së ngjarjeve të reshjeve intensive. Kur krahasohen ndryshimet e vëzhguara dhe të parashikuara të variablave klimatike në Shqipëri, konstatohen dy dallime kryesore: i. një intensifikim i tendencave të vëzhguara në parashikime, i reflektuar në temperatura më të larta, rritje më të madhe të nivelit të detit dhe reshje më intensive; dhe ii. një qartësi më e madhe për disa variabla, veçanërisht reshjet vjetore, ku vëzhgimet mbeten të paqarta, por të gjithë skenarët parashikojnë rënie. Një dallim i tretë i rëndësishëm lidhet me natyrën e të dhënave: ndërsa vëzhgimet bazohen në matje reale, parashikimet bazohen në simulime modelesh sipas supozimeve specifike, duke sjellë një shkallë të caktuar pasigurie. Megjithatë, është e rëndësishme të theksohet se për Shqipërinë, pavarësisht variacioneve në shkallën e ndryshimit sipas skenarit, të gjithë skenarët konvergojnë përgjithësisht në drejtimin e ndryshimeve të parashikuara.</w:t>
      </w:r>
    </w:p>
    <w:p w14:paraId="45C17AB2" w14:textId="77777777" w:rsidR="00622884" w:rsidRPr="00622884" w:rsidRDefault="00622884" w:rsidP="00622884">
      <w:pPr>
        <w:spacing w:after="0" w:line="240" w:lineRule="auto"/>
        <w:ind w:firstLine="284"/>
        <w:rPr>
          <w:rFonts w:ascii="Garamond" w:eastAsia="SimSun" w:hAnsi="Garamond" w:cs="Times New Roman"/>
          <w:sz w:val="24"/>
          <w:szCs w:val="24"/>
          <w:lang w:eastAsia="en-US"/>
        </w:rPr>
      </w:pPr>
      <w:r w:rsidRPr="00622884">
        <w:rPr>
          <w:rFonts w:ascii="Garamond" w:eastAsia="Calibri" w:hAnsi="Garamond" w:cs="Times New Roman"/>
          <w:sz w:val="24"/>
          <w:szCs w:val="24"/>
          <w:lang w:eastAsia="en-US" w:bidi="sq-AL"/>
        </w:rPr>
        <w:t>Për të plotësuar analizat e detajuara të paraqitura më sipër, tabela vijuese përmbledh tendencat klimatike të vëzhguara dhe të parashikuara në Shqipëri, duke ofruar një përmbledhje të temperaturës, reshjeve, rritjes së nivelit të detit dhe ngjarjeve ekstreme në skenarë dhe periudha të ndryshme kohore.</w:t>
      </w:r>
    </w:p>
    <w:p w14:paraId="2A8CD4AF" w14:textId="77777777" w:rsidR="00622884" w:rsidRPr="00622884" w:rsidRDefault="00622884" w:rsidP="00622884">
      <w:pPr>
        <w:spacing w:after="0" w:line="240" w:lineRule="auto"/>
        <w:ind w:firstLine="284"/>
        <w:jc w:val="right"/>
        <w:rPr>
          <w:rFonts w:ascii="Garamond" w:eastAsia="Aptos" w:hAnsi="Garamond" w:cs="Arial"/>
          <w:i/>
          <w:iCs/>
          <w:sz w:val="4"/>
          <w:szCs w:val="24"/>
          <w:lang w:eastAsia="en-US" w:bidi="sq-AL"/>
        </w:rPr>
      </w:pPr>
      <w:bookmarkStart w:id="242" w:name="_Ref209096422"/>
      <w:bookmarkStart w:id="243" w:name="_Toc213936102"/>
    </w:p>
    <w:bookmarkEnd w:id="242"/>
    <w:p w14:paraId="77C80521" w14:textId="77777777" w:rsidR="00622884" w:rsidRPr="00622884" w:rsidRDefault="00622884" w:rsidP="00622884">
      <w:pPr>
        <w:spacing w:after="0" w:line="240" w:lineRule="auto"/>
        <w:rPr>
          <w:rFonts w:ascii="Garamond" w:eastAsia="Aptos" w:hAnsi="Garamond" w:cs="Arial"/>
          <w:b/>
          <w:iCs/>
          <w:sz w:val="20"/>
          <w:szCs w:val="20"/>
          <w:lang w:eastAsia="en-US" w:bidi="sq-AL"/>
        </w:rPr>
      </w:pPr>
      <w:r w:rsidRPr="00622884">
        <w:rPr>
          <w:rFonts w:ascii="Garamond" w:eastAsia="Aptos" w:hAnsi="Garamond" w:cs="Arial"/>
          <w:b/>
          <w:iCs/>
          <w:sz w:val="20"/>
          <w:szCs w:val="20"/>
          <w:lang w:eastAsia="en-US" w:bidi="sq-AL"/>
        </w:rPr>
        <w:t>Tabela 1: Përmbledhje e ndryshimeve klimatike të vëzhguara dhe të parashikuara në Shqipëri</w:t>
      </w:r>
      <w:r w:rsidRPr="00622884">
        <w:rPr>
          <w:rFonts w:ascii="Garamond" w:eastAsia="Aptos" w:hAnsi="Garamond" w:cs="Arial"/>
          <w:b/>
          <w:iCs/>
          <w:sz w:val="20"/>
          <w:szCs w:val="20"/>
          <w:vertAlign w:val="superscript"/>
          <w:lang w:eastAsia="en-US" w:bidi="sq-AL"/>
        </w:rPr>
        <w:footnoteReference w:id="170"/>
      </w:r>
      <w:r w:rsidRPr="00622884">
        <w:rPr>
          <w:rFonts w:ascii="Garamond" w:eastAsia="Aptos" w:hAnsi="Garamond" w:cs="Arial"/>
          <w:b/>
          <w:iCs/>
          <w:sz w:val="20"/>
          <w:szCs w:val="20"/>
          <w:lang w:eastAsia="en-US" w:bidi="sq-AL"/>
        </w:rPr>
        <w:t>.</w:t>
      </w:r>
      <w:bookmarkEnd w:id="243"/>
    </w:p>
    <w:tbl>
      <w:tblPr>
        <w:tblW w:w="0" w:type="auto"/>
        <w:tblBorders>
          <w:top w:val="single" w:sz="4" w:space="0" w:color="1D3C5A"/>
          <w:left w:val="single" w:sz="4" w:space="0" w:color="1D3C5A"/>
          <w:bottom w:val="single" w:sz="4" w:space="0" w:color="1D3C5A"/>
          <w:right w:val="single" w:sz="4" w:space="0" w:color="1D3C5A"/>
          <w:insideH w:val="single" w:sz="4" w:space="0" w:color="1D3C5A"/>
          <w:insideV w:val="single" w:sz="4" w:space="0" w:color="1D3C5A"/>
        </w:tblBorders>
        <w:tblCellMar>
          <w:left w:w="0" w:type="dxa"/>
          <w:right w:w="0" w:type="dxa"/>
        </w:tblCellMar>
        <w:tblLook w:val="04A0" w:firstRow="1" w:lastRow="0" w:firstColumn="1" w:lastColumn="0" w:noHBand="0" w:noVBand="1"/>
      </w:tblPr>
      <w:tblGrid>
        <w:gridCol w:w="4111"/>
        <w:gridCol w:w="2473"/>
        <w:gridCol w:w="853"/>
        <w:gridCol w:w="895"/>
        <w:gridCol w:w="860"/>
      </w:tblGrid>
      <w:tr w:rsidR="00622884" w:rsidRPr="00622884" w14:paraId="1F07CEF0" w14:textId="77777777" w:rsidTr="00622884">
        <w:trPr>
          <w:trHeight w:val="688"/>
        </w:trPr>
        <w:tc>
          <w:tcPr>
            <w:tcW w:w="0" w:type="auto"/>
            <w:shd w:val="clear" w:color="auto" w:fill="215A5C"/>
            <w:tcMar>
              <w:top w:w="7" w:type="dxa"/>
              <w:left w:w="52" w:type="dxa"/>
              <w:bottom w:w="0" w:type="dxa"/>
              <w:right w:w="52" w:type="dxa"/>
            </w:tcMar>
            <w:vAlign w:val="center"/>
            <w:hideMark/>
          </w:tcPr>
          <w:p w14:paraId="4F79AEBC" w14:textId="77777777" w:rsidR="00622884" w:rsidRPr="00622884" w:rsidRDefault="00622884" w:rsidP="00622884">
            <w:pPr>
              <w:spacing w:after="0" w:line="240" w:lineRule="auto"/>
              <w:jc w:val="center"/>
              <w:textAlignment w:val="center"/>
              <w:rPr>
                <w:rFonts w:ascii="Garamond" w:eastAsia="Times New Roman" w:hAnsi="Garamond" w:cs="Calibri Light"/>
                <w:sz w:val="16"/>
                <w:szCs w:val="16"/>
                <w:lang w:eastAsia="nl-NL"/>
              </w:rPr>
            </w:pPr>
            <w:r w:rsidRPr="00622884">
              <w:rPr>
                <w:rFonts w:ascii="Garamond" w:eastAsia="Calibri" w:hAnsi="Garamond" w:cs="Times New Roman"/>
                <w:b/>
                <w:kern w:val="24"/>
                <w:sz w:val="16"/>
                <w:szCs w:val="16"/>
                <w:lang w:eastAsia="en-US" w:bidi="sq-AL"/>
              </w:rPr>
              <w:t>Tendencat klimatike të vëzhguara</w:t>
            </w:r>
          </w:p>
        </w:tc>
        <w:tc>
          <w:tcPr>
            <w:tcW w:w="0" w:type="auto"/>
            <w:gridSpan w:val="4"/>
            <w:shd w:val="clear" w:color="auto" w:fill="215A5C"/>
            <w:tcMar>
              <w:top w:w="34" w:type="dxa"/>
              <w:left w:w="69" w:type="dxa"/>
              <w:bottom w:w="34" w:type="dxa"/>
              <w:right w:w="69" w:type="dxa"/>
            </w:tcMar>
            <w:vAlign w:val="center"/>
            <w:hideMark/>
          </w:tcPr>
          <w:p w14:paraId="0A3143EF" w14:textId="77777777" w:rsidR="00622884" w:rsidRPr="00622884" w:rsidRDefault="00622884" w:rsidP="00622884">
            <w:pPr>
              <w:spacing w:after="0" w:line="240" w:lineRule="auto"/>
              <w:jc w:val="center"/>
              <w:rPr>
                <w:rFonts w:ascii="Garamond" w:eastAsia="Times New Roman" w:hAnsi="Garamond" w:cs="Calibri Light"/>
                <w:sz w:val="16"/>
                <w:szCs w:val="16"/>
                <w:lang w:eastAsia="nl-NL"/>
              </w:rPr>
            </w:pPr>
            <w:r w:rsidRPr="00622884">
              <w:rPr>
                <w:rFonts w:ascii="Garamond" w:eastAsia="Calibri" w:hAnsi="Garamond" w:cs="Times New Roman"/>
                <w:b/>
                <w:kern w:val="24"/>
                <w:sz w:val="16"/>
                <w:szCs w:val="16"/>
                <w:lang w:eastAsia="en-US" w:bidi="sq-AL"/>
              </w:rPr>
              <w:t>Ndryshimet klimatike të parashikuara</w:t>
            </w:r>
          </w:p>
        </w:tc>
      </w:tr>
      <w:tr w:rsidR="00622884" w:rsidRPr="00622884" w14:paraId="0BF85560" w14:textId="77777777" w:rsidTr="00622884">
        <w:trPr>
          <w:trHeight w:val="201"/>
        </w:trPr>
        <w:tc>
          <w:tcPr>
            <w:tcW w:w="0" w:type="auto"/>
            <w:gridSpan w:val="5"/>
            <w:shd w:val="clear" w:color="auto" w:fill="DFEAF5"/>
            <w:tcMar>
              <w:top w:w="34" w:type="dxa"/>
              <w:left w:w="69" w:type="dxa"/>
              <w:bottom w:w="34" w:type="dxa"/>
              <w:right w:w="69" w:type="dxa"/>
            </w:tcMar>
            <w:hideMark/>
          </w:tcPr>
          <w:p w14:paraId="099A9FFD" w14:textId="77777777" w:rsidR="00622884" w:rsidRPr="00622884" w:rsidRDefault="00622884" w:rsidP="00622884">
            <w:pPr>
              <w:spacing w:after="0" w:line="240" w:lineRule="auto"/>
              <w:jc w:val="left"/>
              <w:textAlignment w:val="center"/>
              <w:rPr>
                <w:rFonts w:ascii="Garamond" w:eastAsia="Times New Roman" w:hAnsi="Garamond" w:cs="Calibri Light"/>
                <w:b/>
                <w:bCs/>
                <w:sz w:val="16"/>
                <w:szCs w:val="16"/>
                <w:lang w:eastAsia="nl-NL"/>
              </w:rPr>
            </w:pPr>
            <w:r w:rsidRPr="00622884">
              <w:rPr>
                <w:rFonts w:ascii="Garamond" w:eastAsia="Calibri" w:hAnsi="Garamond" w:cs="Times New Roman"/>
                <w:b/>
                <w:kern w:val="24"/>
                <w:sz w:val="16"/>
                <w:szCs w:val="16"/>
                <w:lang w:eastAsia="en-US" w:bidi="sq-AL"/>
              </w:rPr>
              <w:t>Temperatura</w:t>
            </w:r>
          </w:p>
        </w:tc>
      </w:tr>
      <w:tr w:rsidR="00622884" w:rsidRPr="00622884" w14:paraId="6B7248C7" w14:textId="77777777" w:rsidTr="00622884">
        <w:trPr>
          <w:trHeight w:val="487"/>
        </w:trPr>
        <w:tc>
          <w:tcPr>
            <w:tcW w:w="0" w:type="auto"/>
            <w:tcMar>
              <w:top w:w="7" w:type="dxa"/>
              <w:left w:w="52" w:type="dxa"/>
              <w:bottom w:w="0" w:type="dxa"/>
              <w:right w:w="52" w:type="dxa"/>
            </w:tcMar>
            <w:vAlign w:val="center"/>
            <w:hideMark/>
          </w:tcPr>
          <w:p w14:paraId="50EFFAA6" w14:textId="77777777" w:rsidR="00622884" w:rsidRPr="00622884" w:rsidRDefault="00622884" w:rsidP="00622884">
            <w:pPr>
              <w:spacing w:after="0" w:line="240" w:lineRule="auto"/>
              <w:jc w:val="left"/>
              <w:textAlignment w:val="center"/>
              <w:rPr>
                <w:rFonts w:ascii="Garamond" w:eastAsia="Times New Roman" w:hAnsi="Garamond" w:cs="Calibri Light"/>
                <w:sz w:val="16"/>
                <w:szCs w:val="16"/>
                <w:lang w:eastAsia="nl-NL"/>
              </w:rPr>
            </w:pPr>
            <w:r w:rsidRPr="00622884">
              <w:rPr>
                <w:rFonts w:ascii="Garamond" w:eastAsia="Calibri" w:hAnsi="Garamond" w:cs="Times New Roman"/>
                <w:kern w:val="24"/>
                <w:sz w:val="16"/>
                <w:szCs w:val="16"/>
                <w:lang w:eastAsia="en-US" w:bidi="sq-AL"/>
              </w:rPr>
              <w:t>Temperatura vjetore: rritje por nuk dihet se deri në çfarë mase</w:t>
            </w:r>
          </w:p>
        </w:tc>
        <w:tc>
          <w:tcPr>
            <w:tcW w:w="0" w:type="auto"/>
            <w:tcMar>
              <w:top w:w="7" w:type="dxa"/>
              <w:left w:w="52" w:type="dxa"/>
              <w:bottom w:w="0" w:type="dxa"/>
              <w:right w:w="52" w:type="dxa"/>
            </w:tcMar>
            <w:vAlign w:val="center"/>
            <w:hideMark/>
          </w:tcPr>
          <w:p w14:paraId="216F83AE" w14:textId="77777777" w:rsidR="00622884" w:rsidRPr="00622884" w:rsidRDefault="00622884" w:rsidP="00622884">
            <w:pPr>
              <w:spacing w:after="0" w:line="240" w:lineRule="auto"/>
              <w:jc w:val="left"/>
              <w:rPr>
                <w:rFonts w:ascii="Garamond" w:eastAsia="Times New Roman" w:hAnsi="Garamond" w:cs="Calibri Light"/>
                <w:sz w:val="16"/>
                <w:szCs w:val="16"/>
                <w:lang w:eastAsia="nl-NL"/>
              </w:rPr>
            </w:pPr>
            <w:r w:rsidRPr="00622884">
              <w:rPr>
                <w:rFonts w:ascii="Garamond" w:eastAsia="Calibri" w:hAnsi="Garamond" w:cs="Times New Roman"/>
                <w:kern w:val="24"/>
                <w:sz w:val="16"/>
                <w:szCs w:val="16"/>
                <w:lang w:eastAsia="en-US" w:bidi="sq-AL"/>
              </w:rPr>
              <w:t>Temperatura vjetore: rritje</w:t>
            </w:r>
          </w:p>
        </w:tc>
        <w:tc>
          <w:tcPr>
            <w:tcW w:w="0" w:type="auto"/>
            <w:tcMar>
              <w:top w:w="7" w:type="dxa"/>
              <w:left w:w="52" w:type="dxa"/>
              <w:bottom w:w="0" w:type="dxa"/>
              <w:right w:w="52" w:type="dxa"/>
            </w:tcMar>
            <w:hideMark/>
          </w:tcPr>
          <w:p w14:paraId="4E1B67BA" w14:textId="77777777" w:rsidR="00622884" w:rsidRPr="00622884" w:rsidRDefault="00622884" w:rsidP="00622884">
            <w:pPr>
              <w:spacing w:after="0" w:line="240" w:lineRule="auto"/>
              <w:jc w:val="left"/>
              <w:textAlignment w:val="center"/>
              <w:rPr>
                <w:rFonts w:ascii="Garamond" w:eastAsia="Times New Roman" w:hAnsi="Garamond" w:cs="Calibri Light"/>
                <w:sz w:val="16"/>
                <w:szCs w:val="16"/>
                <w:lang w:eastAsia="nl-NL"/>
              </w:rPr>
            </w:pPr>
            <w:r w:rsidRPr="00622884">
              <w:rPr>
                <w:rFonts w:ascii="Garamond" w:eastAsia="Calibri" w:hAnsi="Garamond" w:cs="Times New Roman"/>
                <w:kern w:val="24"/>
                <w:sz w:val="16"/>
                <w:szCs w:val="16"/>
                <w:lang w:eastAsia="en-US" w:bidi="sq-AL"/>
              </w:rPr>
              <w:t>SPS1-1.9:</w:t>
            </w:r>
          </w:p>
          <w:p w14:paraId="0C672948" w14:textId="77777777" w:rsidR="00622884" w:rsidRPr="00622884" w:rsidRDefault="00622884" w:rsidP="00622884">
            <w:pPr>
              <w:spacing w:after="0" w:line="240" w:lineRule="auto"/>
              <w:jc w:val="left"/>
              <w:textAlignment w:val="center"/>
              <w:rPr>
                <w:rFonts w:ascii="Garamond" w:eastAsia="Times New Roman" w:hAnsi="Garamond" w:cs="Calibri Light"/>
                <w:sz w:val="16"/>
                <w:szCs w:val="16"/>
                <w:lang w:eastAsia="nl-NL"/>
              </w:rPr>
            </w:pPr>
            <w:r w:rsidRPr="00622884">
              <w:rPr>
                <w:rFonts w:ascii="Garamond" w:eastAsia="Calibri" w:hAnsi="Garamond" w:cs="Times New Roman"/>
                <w:kern w:val="24"/>
                <w:sz w:val="16"/>
                <w:szCs w:val="16"/>
                <w:lang w:eastAsia="en-US" w:bidi="sq-AL"/>
              </w:rPr>
              <w:t>2030: 0,8°C</w:t>
            </w:r>
          </w:p>
          <w:p w14:paraId="6CA77968" w14:textId="77777777" w:rsidR="00622884" w:rsidRPr="00622884" w:rsidRDefault="00622884" w:rsidP="00622884">
            <w:pPr>
              <w:spacing w:after="0" w:line="240" w:lineRule="auto"/>
              <w:jc w:val="left"/>
              <w:textAlignment w:val="center"/>
              <w:rPr>
                <w:rFonts w:ascii="Garamond" w:eastAsia="Times New Roman" w:hAnsi="Garamond" w:cs="Calibri Light"/>
                <w:sz w:val="16"/>
                <w:szCs w:val="16"/>
                <w:lang w:eastAsia="nl-NL"/>
              </w:rPr>
            </w:pPr>
            <w:r w:rsidRPr="00622884">
              <w:rPr>
                <w:rFonts w:ascii="Garamond" w:eastAsia="Calibri" w:hAnsi="Garamond" w:cs="Times New Roman"/>
                <w:kern w:val="24"/>
                <w:sz w:val="16"/>
                <w:szCs w:val="16"/>
                <w:lang w:eastAsia="en-US" w:bidi="sq-AL"/>
              </w:rPr>
              <w:t>2050: 0,9°C</w:t>
            </w:r>
          </w:p>
        </w:tc>
        <w:tc>
          <w:tcPr>
            <w:tcW w:w="0" w:type="auto"/>
            <w:tcMar>
              <w:top w:w="34" w:type="dxa"/>
              <w:left w:w="69" w:type="dxa"/>
              <w:bottom w:w="34" w:type="dxa"/>
              <w:right w:w="69" w:type="dxa"/>
            </w:tcMar>
            <w:hideMark/>
          </w:tcPr>
          <w:p w14:paraId="6FE98B35" w14:textId="77777777" w:rsidR="00622884" w:rsidRPr="00622884" w:rsidRDefault="00622884" w:rsidP="00622884">
            <w:pPr>
              <w:spacing w:after="0" w:line="240" w:lineRule="auto"/>
              <w:jc w:val="left"/>
              <w:textAlignment w:val="center"/>
              <w:rPr>
                <w:rFonts w:ascii="Garamond" w:eastAsia="Times New Roman" w:hAnsi="Garamond" w:cs="Calibri Light"/>
                <w:sz w:val="16"/>
                <w:szCs w:val="16"/>
                <w:lang w:eastAsia="nl-NL"/>
              </w:rPr>
            </w:pPr>
            <w:r w:rsidRPr="00622884">
              <w:rPr>
                <w:rFonts w:ascii="Garamond" w:eastAsia="Calibri" w:hAnsi="Garamond" w:cs="Times New Roman"/>
                <w:kern w:val="24"/>
                <w:sz w:val="16"/>
                <w:szCs w:val="16"/>
                <w:lang w:eastAsia="en-US" w:bidi="sq-AL"/>
              </w:rPr>
              <w:t>SPS2-4.5:</w:t>
            </w:r>
          </w:p>
          <w:p w14:paraId="6D8E56FA" w14:textId="77777777" w:rsidR="00622884" w:rsidRPr="00622884" w:rsidRDefault="00622884" w:rsidP="00622884">
            <w:pPr>
              <w:spacing w:after="0" w:line="240" w:lineRule="auto"/>
              <w:jc w:val="left"/>
              <w:textAlignment w:val="center"/>
              <w:rPr>
                <w:rFonts w:ascii="Garamond" w:eastAsia="Times New Roman" w:hAnsi="Garamond" w:cs="Calibri Light"/>
                <w:sz w:val="16"/>
                <w:szCs w:val="16"/>
                <w:lang w:eastAsia="nl-NL"/>
              </w:rPr>
            </w:pPr>
            <w:r w:rsidRPr="00622884">
              <w:rPr>
                <w:rFonts w:ascii="Garamond" w:eastAsia="Calibri" w:hAnsi="Garamond" w:cs="Times New Roman"/>
                <w:kern w:val="24"/>
                <w:sz w:val="16"/>
                <w:szCs w:val="16"/>
                <w:lang w:eastAsia="en-US" w:bidi="sq-AL"/>
              </w:rPr>
              <w:t>2030: 0,8°C</w:t>
            </w:r>
          </w:p>
          <w:p w14:paraId="08ABB63A" w14:textId="77777777" w:rsidR="00622884" w:rsidRPr="00622884" w:rsidRDefault="00622884" w:rsidP="00622884">
            <w:pPr>
              <w:spacing w:after="0" w:line="240" w:lineRule="auto"/>
              <w:jc w:val="left"/>
              <w:textAlignment w:val="center"/>
              <w:rPr>
                <w:rFonts w:ascii="Garamond" w:eastAsia="Times New Roman" w:hAnsi="Garamond" w:cs="Calibri Light"/>
                <w:sz w:val="16"/>
                <w:szCs w:val="16"/>
                <w:lang w:eastAsia="nl-NL"/>
              </w:rPr>
            </w:pPr>
            <w:r w:rsidRPr="00622884">
              <w:rPr>
                <w:rFonts w:ascii="Garamond" w:eastAsia="Calibri" w:hAnsi="Garamond" w:cs="Times New Roman"/>
                <w:kern w:val="24"/>
                <w:sz w:val="16"/>
                <w:szCs w:val="16"/>
                <w:lang w:eastAsia="en-US" w:bidi="sq-AL"/>
              </w:rPr>
              <w:t>2050: 1,5°C</w:t>
            </w:r>
          </w:p>
        </w:tc>
        <w:tc>
          <w:tcPr>
            <w:tcW w:w="0" w:type="auto"/>
            <w:tcMar>
              <w:top w:w="7" w:type="dxa"/>
              <w:left w:w="52" w:type="dxa"/>
              <w:bottom w:w="0" w:type="dxa"/>
              <w:right w:w="52" w:type="dxa"/>
            </w:tcMar>
            <w:hideMark/>
          </w:tcPr>
          <w:p w14:paraId="3E7A76DC" w14:textId="77777777" w:rsidR="00622884" w:rsidRPr="00622884" w:rsidRDefault="00622884" w:rsidP="00622884">
            <w:pPr>
              <w:spacing w:after="0" w:line="240" w:lineRule="auto"/>
              <w:jc w:val="left"/>
              <w:textAlignment w:val="center"/>
              <w:rPr>
                <w:rFonts w:ascii="Garamond" w:eastAsia="Times New Roman" w:hAnsi="Garamond" w:cs="Calibri Light"/>
                <w:sz w:val="16"/>
                <w:szCs w:val="16"/>
                <w:lang w:eastAsia="nl-NL"/>
              </w:rPr>
            </w:pPr>
            <w:r w:rsidRPr="00622884">
              <w:rPr>
                <w:rFonts w:ascii="Garamond" w:eastAsia="Calibri" w:hAnsi="Garamond" w:cs="Times New Roman"/>
                <w:kern w:val="24"/>
                <w:sz w:val="16"/>
                <w:szCs w:val="16"/>
                <w:lang w:eastAsia="en-US" w:bidi="sq-AL"/>
              </w:rPr>
              <w:t>SPS5-8.5</w:t>
            </w:r>
          </w:p>
          <w:p w14:paraId="7B2E9AB4" w14:textId="77777777" w:rsidR="00622884" w:rsidRPr="00622884" w:rsidRDefault="00622884" w:rsidP="00622884">
            <w:pPr>
              <w:spacing w:after="0" w:line="240" w:lineRule="auto"/>
              <w:jc w:val="left"/>
              <w:textAlignment w:val="center"/>
              <w:rPr>
                <w:rFonts w:ascii="Garamond" w:eastAsia="Times New Roman" w:hAnsi="Garamond" w:cs="Calibri Light"/>
                <w:sz w:val="16"/>
                <w:szCs w:val="16"/>
                <w:lang w:eastAsia="nl-NL"/>
              </w:rPr>
            </w:pPr>
            <w:r w:rsidRPr="00622884">
              <w:rPr>
                <w:rFonts w:ascii="Garamond" w:eastAsia="Calibri" w:hAnsi="Garamond" w:cs="Times New Roman"/>
                <w:kern w:val="24"/>
                <w:sz w:val="16"/>
                <w:szCs w:val="16"/>
                <w:lang w:eastAsia="en-US" w:bidi="sq-AL"/>
              </w:rPr>
              <w:t>2030: 1°C</w:t>
            </w:r>
          </w:p>
          <w:p w14:paraId="45F1E1DA" w14:textId="77777777" w:rsidR="00622884" w:rsidRPr="00622884" w:rsidRDefault="00622884" w:rsidP="00622884">
            <w:pPr>
              <w:spacing w:after="0" w:line="240" w:lineRule="auto"/>
              <w:jc w:val="left"/>
              <w:textAlignment w:val="center"/>
              <w:rPr>
                <w:rFonts w:ascii="Garamond" w:eastAsia="Times New Roman" w:hAnsi="Garamond" w:cs="Calibri Light"/>
                <w:sz w:val="16"/>
                <w:szCs w:val="16"/>
                <w:lang w:eastAsia="nl-NL"/>
              </w:rPr>
            </w:pPr>
            <w:r w:rsidRPr="00622884">
              <w:rPr>
                <w:rFonts w:ascii="Garamond" w:eastAsia="Calibri" w:hAnsi="Garamond" w:cs="Times New Roman"/>
                <w:kern w:val="24"/>
                <w:sz w:val="16"/>
                <w:szCs w:val="16"/>
                <w:lang w:eastAsia="en-US" w:bidi="sq-AL"/>
              </w:rPr>
              <w:t>2050: 2°C</w:t>
            </w:r>
          </w:p>
        </w:tc>
      </w:tr>
      <w:tr w:rsidR="00622884" w:rsidRPr="00622884" w14:paraId="43C3451A" w14:textId="77777777" w:rsidTr="00622884">
        <w:trPr>
          <w:trHeight w:val="105"/>
        </w:trPr>
        <w:tc>
          <w:tcPr>
            <w:tcW w:w="0" w:type="auto"/>
            <w:gridSpan w:val="5"/>
            <w:shd w:val="clear" w:color="auto" w:fill="DFEAF5"/>
            <w:tcMar>
              <w:top w:w="34" w:type="dxa"/>
              <w:left w:w="69" w:type="dxa"/>
              <w:bottom w:w="34" w:type="dxa"/>
              <w:right w:w="69" w:type="dxa"/>
            </w:tcMar>
            <w:hideMark/>
          </w:tcPr>
          <w:p w14:paraId="1A5ED94E" w14:textId="77777777" w:rsidR="00622884" w:rsidRPr="00622884" w:rsidRDefault="00622884" w:rsidP="00622884">
            <w:pPr>
              <w:spacing w:after="0" w:line="240" w:lineRule="auto"/>
              <w:jc w:val="left"/>
              <w:textAlignment w:val="center"/>
              <w:rPr>
                <w:rFonts w:ascii="Garamond" w:eastAsia="Times New Roman" w:hAnsi="Garamond" w:cs="Calibri Light"/>
                <w:b/>
                <w:bCs/>
                <w:sz w:val="16"/>
                <w:szCs w:val="16"/>
                <w:lang w:eastAsia="nl-NL"/>
              </w:rPr>
            </w:pPr>
            <w:r w:rsidRPr="00622884">
              <w:rPr>
                <w:rFonts w:ascii="Garamond" w:eastAsia="Calibri" w:hAnsi="Garamond" w:cs="Times New Roman"/>
                <w:b/>
                <w:kern w:val="24"/>
                <w:sz w:val="16"/>
                <w:szCs w:val="16"/>
                <w:lang w:eastAsia="en-US" w:bidi="sq-AL"/>
              </w:rPr>
              <w:t>Reshjet</w:t>
            </w:r>
          </w:p>
        </w:tc>
      </w:tr>
      <w:tr w:rsidR="00622884" w:rsidRPr="00622884" w14:paraId="223DEB56" w14:textId="77777777" w:rsidTr="00622884">
        <w:trPr>
          <w:trHeight w:val="505"/>
        </w:trPr>
        <w:tc>
          <w:tcPr>
            <w:tcW w:w="0" w:type="auto"/>
            <w:tcMar>
              <w:top w:w="7" w:type="dxa"/>
              <w:left w:w="52" w:type="dxa"/>
              <w:bottom w:w="0" w:type="dxa"/>
              <w:right w:w="52" w:type="dxa"/>
            </w:tcMar>
            <w:vAlign w:val="center"/>
            <w:hideMark/>
          </w:tcPr>
          <w:p w14:paraId="353EC007" w14:textId="77777777" w:rsidR="00622884" w:rsidRPr="00622884" w:rsidRDefault="00622884" w:rsidP="00622884">
            <w:pPr>
              <w:spacing w:after="0" w:line="240" w:lineRule="auto"/>
              <w:jc w:val="left"/>
              <w:textAlignment w:val="center"/>
              <w:rPr>
                <w:rFonts w:ascii="Garamond" w:eastAsia="Times New Roman" w:hAnsi="Garamond" w:cs="Calibri Light"/>
                <w:sz w:val="16"/>
                <w:szCs w:val="16"/>
                <w:lang w:eastAsia="nl-NL"/>
              </w:rPr>
            </w:pPr>
            <w:r w:rsidRPr="00622884">
              <w:rPr>
                <w:rFonts w:ascii="Garamond" w:eastAsia="Calibri" w:hAnsi="Garamond" w:cs="Times New Roman"/>
                <w:kern w:val="24"/>
                <w:sz w:val="16"/>
                <w:szCs w:val="16"/>
                <w:lang w:eastAsia="en-US" w:bidi="sq-AL"/>
              </w:rPr>
              <w:t>Reshjet vjetore: nuk ka vëzhgime përfundimtare</w:t>
            </w:r>
          </w:p>
        </w:tc>
        <w:tc>
          <w:tcPr>
            <w:tcW w:w="0" w:type="auto"/>
            <w:tcMar>
              <w:top w:w="7" w:type="dxa"/>
              <w:left w:w="52" w:type="dxa"/>
              <w:bottom w:w="0" w:type="dxa"/>
              <w:right w:w="52" w:type="dxa"/>
            </w:tcMar>
            <w:vAlign w:val="center"/>
            <w:hideMark/>
          </w:tcPr>
          <w:p w14:paraId="43598E41" w14:textId="77777777" w:rsidR="00622884" w:rsidRPr="00622884" w:rsidRDefault="00622884" w:rsidP="00622884">
            <w:pPr>
              <w:spacing w:after="0" w:line="240" w:lineRule="auto"/>
              <w:jc w:val="left"/>
              <w:textAlignment w:val="center"/>
              <w:rPr>
                <w:rFonts w:ascii="Garamond" w:eastAsia="Times New Roman" w:hAnsi="Garamond" w:cs="Calibri Light"/>
                <w:sz w:val="16"/>
                <w:szCs w:val="16"/>
                <w:lang w:eastAsia="nl-NL"/>
              </w:rPr>
            </w:pPr>
            <w:r w:rsidRPr="00622884">
              <w:rPr>
                <w:rFonts w:ascii="Garamond" w:eastAsia="Calibri" w:hAnsi="Garamond" w:cs="Times New Roman"/>
                <w:kern w:val="24"/>
                <w:sz w:val="16"/>
                <w:szCs w:val="16"/>
                <w:lang w:eastAsia="en-US" w:bidi="sq-AL"/>
              </w:rPr>
              <w:t>Reshjet vjetore: rënie</w:t>
            </w:r>
          </w:p>
        </w:tc>
        <w:tc>
          <w:tcPr>
            <w:tcW w:w="0" w:type="auto"/>
            <w:tcMar>
              <w:top w:w="7" w:type="dxa"/>
              <w:left w:w="52" w:type="dxa"/>
              <w:bottom w:w="0" w:type="dxa"/>
              <w:right w:w="52" w:type="dxa"/>
            </w:tcMar>
            <w:hideMark/>
          </w:tcPr>
          <w:p w14:paraId="5DB338EA" w14:textId="77777777" w:rsidR="00622884" w:rsidRPr="00622884" w:rsidRDefault="00622884" w:rsidP="00622884">
            <w:pPr>
              <w:spacing w:after="0" w:line="240" w:lineRule="auto"/>
              <w:jc w:val="left"/>
              <w:textAlignment w:val="center"/>
              <w:rPr>
                <w:rFonts w:ascii="Garamond" w:eastAsia="Times New Roman" w:hAnsi="Garamond" w:cs="Calibri Light"/>
                <w:sz w:val="16"/>
                <w:szCs w:val="16"/>
                <w:lang w:eastAsia="nl-NL"/>
              </w:rPr>
            </w:pPr>
            <w:r w:rsidRPr="00622884">
              <w:rPr>
                <w:rFonts w:ascii="Garamond" w:eastAsia="Calibri" w:hAnsi="Garamond" w:cs="Times New Roman"/>
                <w:kern w:val="24"/>
                <w:sz w:val="16"/>
                <w:szCs w:val="16"/>
                <w:lang w:eastAsia="en-US" w:bidi="sq-AL"/>
              </w:rPr>
              <w:t>SPS1-1.9:</w:t>
            </w:r>
          </w:p>
          <w:p w14:paraId="3F9B5907" w14:textId="77777777" w:rsidR="00622884" w:rsidRPr="00622884" w:rsidRDefault="00622884" w:rsidP="00622884">
            <w:pPr>
              <w:spacing w:after="0" w:line="240" w:lineRule="auto"/>
              <w:jc w:val="left"/>
              <w:textAlignment w:val="center"/>
              <w:rPr>
                <w:rFonts w:ascii="Garamond" w:eastAsia="Times New Roman" w:hAnsi="Garamond" w:cs="Calibri Light"/>
                <w:sz w:val="16"/>
                <w:szCs w:val="16"/>
                <w:lang w:eastAsia="nl-NL"/>
              </w:rPr>
            </w:pPr>
            <w:r w:rsidRPr="00622884">
              <w:rPr>
                <w:rFonts w:ascii="Garamond" w:eastAsia="Calibri" w:hAnsi="Garamond" w:cs="Times New Roman"/>
                <w:kern w:val="24"/>
                <w:sz w:val="16"/>
                <w:szCs w:val="16"/>
                <w:lang w:eastAsia="en-US" w:bidi="sq-AL"/>
              </w:rPr>
              <w:t>2030: 2,4%</w:t>
            </w:r>
          </w:p>
          <w:p w14:paraId="45B32A39" w14:textId="77777777" w:rsidR="00622884" w:rsidRPr="00622884" w:rsidRDefault="00622884" w:rsidP="00622884">
            <w:pPr>
              <w:spacing w:after="0" w:line="240" w:lineRule="auto"/>
              <w:jc w:val="left"/>
              <w:textAlignment w:val="center"/>
              <w:rPr>
                <w:rFonts w:ascii="Garamond" w:eastAsia="Times New Roman" w:hAnsi="Garamond" w:cs="Calibri Light"/>
                <w:sz w:val="16"/>
                <w:szCs w:val="16"/>
                <w:lang w:eastAsia="nl-NL"/>
              </w:rPr>
            </w:pPr>
            <w:r w:rsidRPr="00622884">
              <w:rPr>
                <w:rFonts w:ascii="Garamond" w:eastAsia="Calibri" w:hAnsi="Garamond" w:cs="Times New Roman"/>
                <w:kern w:val="24"/>
                <w:sz w:val="16"/>
                <w:szCs w:val="16"/>
                <w:lang w:eastAsia="en-US" w:bidi="sq-AL"/>
              </w:rPr>
              <w:t>2050: 2,7%</w:t>
            </w:r>
          </w:p>
        </w:tc>
        <w:tc>
          <w:tcPr>
            <w:tcW w:w="0" w:type="auto"/>
            <w:tcMar>
              <w:top w:w="34" w:type="dxa"/>
              <w:left w:w="69" w:type="dxa"/>
              <w:bottom w:w="34" w:type="dxa"/>
              <w:right w:w="69" w:type="dxa"/>
            </w:tcMar>
            <w:hideMark/>
          </w:tcPr>
          <w:p w14:paraId="0567ADE5" w14:textId="77777777" w:rsidR="00622884" w:rsidRPr="00622884" w:rsidRDefault="00622884" w:rsidP="00622884">
            <w:pPr>
              <w:spacing w:after="0" w:line="240" w:lineRule="auto"/>
              <w:jc w:val="left"/>
              <w:textAlignment w:val="center"/>
              <w:rPr>
                <w:rFonts w:ascii="Garamond" w:eastAsia="Times New Roman" w:hAnsi="Garamond" w:cs="Calibri Light"/>
                <w:sz w:val="16"/>
                <w:szCs w:val="16"/>
                <w:lang w:eastAsia="nl-NL"/>
              </w:rPr>
            </w:pPr>
            <w:r w:rsidRPr="00622884">
              <w:rPr>
                <w:rFonts w:ascii="Garamond" w:eastAsia="Calibri" w:hAnsi="Garamond" w:cs="Times New Roman"/>
                <w:kern w:val="24"/>
                <w:sz w:val="16"/>
                <w:szCs w:val="16"/>
                <w:lang w:eastAsia="en-US" w:bidi="sq-AL"/>
              </w:rPr>
              <w:t>SPS2-4.5:</w:t>
            </w:r>
          </w:p>
          <w:p w14:paraId="7586CDDB" w14:textId="77777777" w:rsidR="00622884" w:rsidRPr="00622884" w:rsidRDefault="00622884" w:rsidP="00622884">
            <w:pPr>
              <w:spacing w:after="0" w:line="240" w:lineRule="auto"/>
              <w:jc w:val="left"/>
              <w:textAlignment w:val="center"/>
              <w:rPr>
                <w:rFonts w:ascii="Garamond" w:eastAsia="Times New Roman" w:hAnsi="Garamond" w:cs="Calibri Light"/>
                <w:sz w:val="16"/>
                <w:szCs w:val="16"/>
                <w:lang w:eastAsia="nl-NL"/>
              </w:rPr>
            </w:pPr>
            <w:r w:rsidRPr="00622884">
              <w:rPr>
                <w:rFonts w:ascii="Garamond" w:eastAsia="Calibri" w:hAnsi="Garamond" w:cs="Times New Roman"/>
                <w:kern w:val="24"/>
                <w:sz w:val="16"/>
                <w:szCs w:val="16"/>
                <w:lang w:eastAsia="en-US" w:bidi="sq-AL"/>
              </w:rPr>
              <w:t>2030: 2,7%</w:t>
            </w:r>
          </w:p>
          <w:p w14:paraId="4F943614" w14:textId="77777777" w:rsidR="00622884" w:rsidRPr="00622884" w:rsidRDefault="00622884" w:rsidP="00622884">
            <w:pPr>
              <w:spacing w:after="0" w:line="240" w:lineRule="auto"/>
              <w:jc w:val="left"/>
              <w:textAlignment w:val="center"/>
              <w:rPr>
                <w:rFonts w:ascii="Garamond" w:eastAsia="Times New Roman" w:hAnsi="Garamond" w:cs="Calibri Light"/>
                <w:sz w:val="16"/>
                <w:szCs w:val="16"/>
                <w:lang w:eastAsia="nl-NL"/>
              </w:rPr>
            </w:pPr>
            <w:r w:rsidRPr="00622884">
              <w:rPr>
                <w:rFonts w:ascii="Garamond" w:eastAsia="Calibri" w:hAnsi="Garamond" w:cs="Times New Roman"/>
                <w:kern w:val="24"/>
                <w:sz w:val="16"/>
                <w:szCs w:val="16"/>
                <w:lang w:eastAsia="en-US" w:bidi="sq-AL"/>
              </w:rPr>
              <w:t>2050: 4,4%</w:t>
            </w:r>
          </w:p>
        </w:tc>
        <w:tc>
          <w:tcPr>
            <w:tcW w:w="0" w:type="auto"/>
            <w:tcMar>
              <w:top w:w="7" w:type="dxa"/>
              <w:left w:w="52" w:type="dxa"/>
              <w:bottom w:w="0" w:type="dxa"/>
              <w:right w:w="52" w:type="dxa"/>
            </w:tcMar>
            <w:hideMark/>
          </w:tcPr>
          <w:p w14:paraId="03EB9049" w14:textId="77777777" w:rsidR="00622884" w:rsidRPr="00622884" w:rsidRDefault="00622884" w:rsidP="00622884">
            <w:pPr>
              <w:spacing w:after="0" w:line="240" w:lineRule="auto"/>
              <w:jc w:val="left"/>
              <w:textAlignment w:val="center"/>
              <w:rPr>
                <w:rFonts w:ascii="Garamond" w:eastAsia="Times New Roman" w:hAnsi="Garamond" w:cs="Calibri Light"/>
                <w:sz w:val="16"/>
                <w:szCs w:val="16"/>
                <w:lang w:eastAsia="nl-NL"/>
              </w:rPr>
            </w:pPr>
            <w:r w:rsidRPr="00622884">
              <w:rPr>
                <w:rFonts w:ascii="Garamond" w:eastAsia="Calibri" w:hAnsi="Garamond" w:cs="Times New Roman"/>
                <w:kern w:val="24"/>
                <w:sz w:val="16"/>
                <w:szCs w:val="16"/>
                <w:lang w:eastAsia="en-US" w:bidi="sq-AL"/>
              </w:rPr>
              <w:t>SPS5-8.5</w:t>
            </w:r>
          </w:p>
          <w:p w14:paraId="7F0AED06" w14:textId="77777777" w:rsidR="00622884" w:rsidRPr="00622884" w:rsidRDefault="00622884" w:rsidP="00622884">
            <w:pPr>
              <w:spacing w:after="0" w:line="240" w:lineRule="auto"/>
              <w:jc w:val="left"/>
              <w:textAlignment w:val="center"/>
              <w:rPr>
                <w:rFonts w:ascii="Garamond" w:eastAsia="Times New Roman" w:hAnsi="Garamond" w:cs="Calibri Light"/>
                <w:sz w:val="16"/>
                <w:szCs w:val="16"/>
                <w:lang w:eastAsia="nl-NL"/>
              </w:rPr>
            </w:pPr>
            <w:r w:rsidRPr="00622884">
              <w:rPr>
                <w:rFonts w:ascii="Garamond" w:eastAsia="Calibri" w:hAnsi="Garamond" w:cs="Times New Roman"/>
                <w:kern w:val="24"/>
                <w:sz w:val="16"/>
                <w:szCs w:val="16"/>
                <w:lang w:eastAsia="en-US" w:bidi="sq-AL"/>
              </w:rPr>
              <w:t>2030: 3,6%</w:t>
            </w:r>
          </w:p>
          <w:p w14:paraId="6133FB56" w14:textId="77777777" w:rsidR="00622884" w:rsidRPr="00622884" w:rsidRDefault="00622884" w:rsidP="00622884">
            <w:pPr>
              <w:spacing w:after="0" w:line="240" w:lineRule="auto"/>
              <w:jc w:val="left"/>
              <w:textAlignment w:val="center"/>
              <w:rPr>
                <w:rFonts w:ascii="Garamond" w:eastAsia="Times New Roman" w:hAnsi="Garamond" w:cs="Calibri Light"/>
                <w:sz w:val="16"/>
                <w:szCs w:val="16"/>
                <w:lang w:eastAsia="nl-NL"/>
              </w:rPr>
            </w:pPr>
            <w:r w:rsidRPr="00622884">
              <w:rPr>
                <w:rFonts w:ascii="Garamond" w:eastAsia="Calibri" w:hAnsi="Garamond" w:cs="Times New Roman"/>
                <w:kern w:val="24"/>
                <w:sz w:val="16"/>
                <w:szCs w:val="16"/>
                <w:lang w:eastAsia="en-US" w:bidi="sq-AL"/>
              </w:rPr>
              <w:t>2050: 5,8%</w:t>
            </w:r>
          </w:p>
        </w:tc>
      </w:tr>
      <w:tr w:rsidR="00622884" w:rsidRPr="00622884" w14:paraId="2DA94775" w14:textId="77777777" w:rsidTr="00622884">
        <w:trPr>
          <w:trHeight w:val="175"/>
        </w:trPr>
        <w:tc>
          <w:tcPr>
            <w:tcW w:w="0" w:type="auto"/>
            <w:gridSpan w:val="5"/>
            <w:shd w:val="clear" w:color="auto" w:fill="DFEAF5"/>
            <w:tcMar>
              <w:top w:w="34" w:type="dxa"/>
              <w:left w:w="69" w:type="dxa"/>
              <w:bottom w:w="34" w:type="dxa"/>
              <w:right w:w="69" w:type="dxa"/>
            </w:tcMar>
            <w:hideMark/>
          </w:tcPr>
          <w:p w14:paraId="3C79F498" w14:textId="77777777" w:rsidR="00622884" w:rsidRPr="00622884" w:rsidRDefault="00622884" w:rsidP="00622884">
            <w:pPr>
              <w:spacing w:after="0" w:line="240" w:lineRule="auto"/>
              <w:jc w:val="left"/>
              <w:textAlignment w:val="center"/>
              <w:rPr>
                <w:rFonts w:ascii="Garamond" w:eastAsia="Times New Roman" w:hAnsi="Garamond" w:cs="Calibri Light"/>
                <w:b/>
                <w:bCs/>
                <w:sz w:val="16"/>
                <w:szCs w:val="16"/>
                <w:lang w:eastAsia="nl-NL"/>
              </w:rPr>
            </w:pPr>
            <w:r w:rsidRPr="00622884">
              <w:rPr>
                <w:rFonts w:ascii="Garamond" w:eastAsia="Calibri" w:hAnsi="Garamond" w:cs="Times New Roman"/>
                <w:b/>
                <w:kern w:val="24"/>
                <w:sz w:val="16"/>
                <w:szCs w:val="16"/>
                <w:lang w:eastAsia="en-US" w:bidi="sq-AL"/>
              </w:rPr>
              <w:t>Niveli i detit</w:t>
            </w:r>
          </w:p>
        </w:tc>
      </w:tr>
      <w:tr w:rsidR="00622884" w:rsidRPr="00622884" w14:paraId="1DD5E2AA" w14:textId="77777777" w:rsidTr="00622884">
        <w:trPr>
          <w:trHeight w:val="541"/>
        </w:trPr>
        <w:tc>
          <w:tcPr>
            <w:tcW w:w="0" w:type="auto"/>
            <w:tcMar>
              <w:top w:w="7" w:type="dxa"/>
              <w:left w:w="52" w:type="dxa"/>
              <w:bottom w:w="0" w:type="dxa"/>
              <w:right w:w="52" w:type="dxa"/>
            </w:tcMar>
            <w:vAlign w:val="center"/>
            <w:hideMark/>
          </w:tcPr>
          <w:p w14:paraId="52271DFB" w14:textId="77777777" w:rsidR="00622884" w:rsidRPr="00622884" w:rsidRDefault="00622884" w:rsidP="00622884">
            <w:pPr>
              <w:spacing w:after="0" w:line="240" w:lineRule="auto"/>
              <w:jc w:val="left"/>
              <w:textAlignment w:val="center"/>
              <w:rPr>
                <w:rFonts w:ascii="Garamond" w:eastAsia="Times New Roman" w:hAnsi="Garamond" w:cs="Calibri Light"/>
                <w:sz w:val="16"/>
                <w:szCs w:val="16"/>
                <w:lang w:eastAsia="nl-NL"/>
              </w:rPr>
            </w:pPr>
            <w:r w:rsidRPr="00622884">
              <w:rPr>
                <w:rFonts w:ascii="Garamond" w:eastAsia="Calibri" w:hAnsi="Garamond" w:cs="Times New Roman"/>
                <w:kern w:val="24"/>
                <w:sz w:val="16"/>
                <w:szCs w:val="16"/>
                <w:lang w:eastAsia="en-US" w:bidi="sq-AL"/>
              </w:rPr>
              <w:t>Rritje</w:t>
            </w:r>
          </w:p>
        </w:tc>
        <w:tc>
          <w:tcPr>
            <w:tcW w:w="0" w:type="auto"/>
            <w:tcMar>
              <w:top w:w="7" w:type="dxa"/>
              <w:left w:w="52" w:type="dxa"/>
              <w:bottom w:w="0" w:type="dxa"/>
              <w:right w:w="52" w:type="dxa"/>
            </w:tcMar>
            <w:vAlign w:val="center"/>
            <w:hideMark/>
          </w:tcPr>
          <w:p w14:paraId="41B61527" w14:textId="77777777" w:rsidR="00622884" w:rsidRPr="00622884" w:rsidRDefault="00622884" w:rsidP="00622884">
            <w:pPr>
              <w:spacing w:after="0" w:line="240" w:lineRule="auto"/>
              <w:jc w:val="left"/>
              <w:textAlignment w:val="center"/>
              <w:rPr>
                <w:rFonts w:ascii="Garamond" w:eastAsia="Times New Roman" w:hAnsi="Garamond" w:cs="Calibri Light"/>
                <w:sz w:val="16"/>
                <w:szCs w:val="16"/>
                <w:lang w:eastAsia="nl-NL"/>
              </w:rPr>
            </w:pPr>
            <w:r w:rsidRPr="00622884">
              <w:rPr>
                <w:rFonts w:ascii="Garamond" w:eastAsia="Calibri" w:hAnsi="Garamond" w:cs="Times New Roman"/>
                <w:kern w:val="24"/>
                <w:sz w:val="16"/>
                <w:szCs w:val="16"/>
                <w:lang w:eastAsia="en-US" w:bidi="sq-AL"/>
              </w:rPr>
              <w:t>Rritje</w:t>
            </w:r>
          </w:p>
        </w:tc>
        <w:tc>
          <w:tcPr>
            <w:tcW w:w="0" w:type="auto"/>
            <w:tcMar>
              <w:top w:w="7" w:type="dxa"/>
              <w:left w:w="52" w:type="dxa"/>
              <w:bottom w:w="0" w:type="dxa"/>
              <w:right w:w="52" w:type="dxa"/>
            </w:tcMar>
            <w:vAlign w:val="center"/>
            <w:hideMark/>
          </w:tcPr>
          <w:p w14:paraId="01565363" w14:textId="77777777" w:rsidR="00622884" w:rsidRPr="00622884" w:rsidRDefault="00622884" w:rsidP="00622884">
            <w:pPr>
              <w:spacing w:after="0" w:line="240" w:lineRule="auto"/>
              <w:jc w:val="left"/>
              <w:textAlignment w:val="center"/>
              <w:rPr>
                <w:rFonts w:ascii="Garamond" w:eastAsia="Times New Roman" w:hAnsi="Garamond" w:cs="Calibri Light"/>
                <w:sz w:val="16"/>
                <w:szCs w:val="16"/>
                <w:lang w:eastAsia="nl-NL"/>
              </w:rPr>
            </w:pPr>
            <w:r w:rsidRPr="00622884">
              <w:rPr>
                <w:rFonts w:ascii="Garamond" w:eastAsia="Calibri" w:hAnsi="Garamond" w:cs="Times New Roman"/>
                <w:kern w:val="24"/>
                <w:sz w:val="16"/>
                <w:szCs w:val="16"/>
                <w:lang w:eastAsia="en-US" w:bidi="sq-AL"/>
              </w:rPr>
              <w:t>SPS1-1.9:</w:t>
            </w:r>
          </w:p>
          <w:p w14:paraId="67C9A4C0" w14:textId="77777777" w:rsidR="00622884" w:rsidRPr="00622884" w:rsidRDefault="00622884" w:rsidP="00622884">
            <w:pPr>
              <w:spacing w:after="0" w:line="240" w:lineRule="auto"/>
              <w:jc w:val="left"/>
              <w:textAlignment w:val="center"/>
              <w:rPr>
                <w:rFonts w:ascii="Garamond" w:eastAsia="Times New Roman" w:hAnsi="Garamond" w:cs="Calibri Light"/>
                <w:sz w:val="16"/>
                <w:szCs w:val="16"/>
                <w:lang w:eastAsia="nl-NL"/>
              </w:rPr>
            </w:pPr>
            <w:r w:rsidRPr="00622884">
              <w:rPr>
                <w:rFonts w:ascii="Garamond" w:eastAsia="Calibri" w:hAnsi="Garamond" w:cs="Times New Roman"/>
                <w:kern w:val="24"/>
                <w:sz w:val="16"/>
                <w:szCs w:val="16"/>
                <w:lang w:eastAsia="en-US" w:bidi="sq-AL"/>
              </w:rPr>
              <w:t>2030: 11cm</w:t>
            </w:r>
          </w:p>
          <w:p w14:paraId="3DC244E6" w14:textId="77777777" w:rsidR="00622884" w:rsidRPr="00622884" w:rsidRDefault="00622884" w:rsidP="00622884">
            <w:pPr>
              <w:spacing w:after="0" w:line="240" w:lineRule="auto"/>
              <w:jc w:val="left"/>
              <w:textAlignment w:val="center"/>
              <w:rPr>
                <w:rFonts w:ascii="Garamond" w:eastAsia="Times New Roman" w:hAnsi="Garamond" w:cs="Calibri Light"/>
                <w:sz w:val="16"/>
                <w:szCs w:val="16"/>
                <w:lang w:eastAsia="nl-NL"/>
              </w:rPr>
            </w:pPr>
            <w:r w:rsidRPr="00622884">
              <w:rPr>
                <w:rFonts w:ascii="Garamond" w:eastAsia="Calibri" w:hAnsi="Garamond" w:cs="Times New Roman"/>
                <w:kern w:val="24"/>
                <w:sz w:val="16"/>
                <w:szCs w:val="16"/>
                <w:lang w:eastAsia="en-US" w:bidi="sq-AL"/>
              </w:rPr>
              <w:t>2050: 20cm</w:t>
            </w:r>
          </w:p>
        </w:tc>
        <w:tc>
          <w:tcPr>
            <w:tcW w:w="0" w:type="auto"/>
            <w:tcMar>
              <w:top w:w="34" w:type="dxa"/>
              <w:left w:w="69" w:type="dxa"/>
              <w:bottom w:w="34" w:type="dxa"/>
              <w:right w:w="69" w:type="dxa"/>
            </w:tcMar>
            <w:hideMark/>
          </w:tcPr>
          <w:p w14:paraId="60DA071E" w14:textId="77777777" w:rsidR="00622884" w:rsidRPr="00622884" w:rsidRDefault="00622884" w:rsidP="00622884">
            <w:pPr>
              <w:spacing w:after="0" w:line="240" w:lineRule="auto"/>
              <w:jc w:val="left"/>
              <w:textAlignment w:val="center"/>
              <w:rPr>
                <w:rFonts w:ascii="Garamond" w:eastAsia="Times New Roman" w:hAnsi="Garamond" w:cs="Calibri Light"/>
                <w:sz w:val="16"/>
                <w:szCs w:val="16"/>
                <w:lang w:eastAsia="nl-NL"/>
              </w:rPr>
            </w:pPr>
            <w:r w:rsidRPr="00622884">
              <w:rPr>
                <w:rFonts w:ascii="Garamond" w:eastAsia="Calibri" w:hAnsi="Garamond" w:cs="Times New Roman"/>
                <w:kern w:val="24"/>
                <w:sz w:val="16"/>
                <w:szCs w:val="16"/>
                <w:lang w:eastAsia="en-US" w:bidi="sq-AL"/>
              </w:rPr>
              <w:t>SPS2-4.5:</w:t>
            </w:r>
          </w:p>
          <w:p w14:paraId="274FE264" w14:textId="77777777" w:rsidR="00622884" w:rsidRPr="00622884" w:rsidRDefault="00622884" w:rsidP="00622884">
            <w:pPr>
              <w:spacing w:after="0" w:line="240" w:lineRule="auto"/>
              <w:jc w:val="left"/>
              <w:textAlignment w:val="center"/>
              <w:rPr>
                <w:rFonts w:ascii="Garamond" w:eastAsia="Times New Roman" w:hAnsi="Garamond" w:cs="Calibri Light"/>
                <w:sz w:val="16"/>
                <w:szCs w:val="16"/>
                <w:lang w:eastAsia="nl-NL"/>
              </w:rPr>
            </w:pPr>
            <w:r w:rsidRPr="00622884">
              <w:rPr>
                <w:rFonts w:ascii="Garamond" w:eastAsia="Calibri" w:hAnsi="Garamond" w:cs="Times New Roman"/>
                <w:kern w:val="24"/>
                <w:sz w:val="16"/>
                <w:szCs w:val="16"/>
                <w:lang w:eastAsia="en-US" w:bidi="sq-AL"/>
              </w:rPr>
              <w:t>2030: 11cm</w:t>
            </w:r>
          </w:p>
          <w:p w14:paraId="3EACDDA9" w14:textId="77777777" w:rsidR="00622884" w:rsidRPr="00622884" w:rsidRDefault="00622884" w:rsidP="00622884">
            <w:pPr>
              <w:spacing w:after="0" w:line="240" w:lineRule="auto"/>
              <w:jc w:val="left"/>
              <w:textAlignment w:val="center"/>
              <w:rPr>
                <w:rFonts w:ascii="Garamond" w:eastAsia="Times New Roman" w:hAnsi="Garamond" w:cs="Calibri Light"/>
                <w:sz w:val="16"/>
                <w:szCs w:val="16"/>
                <w:lang w:eastAsia="nl-NL"/>
              </w:rPr>
            </w:pPr>
            <w:r w:rsidRPr="00622884">
              <w:rPr>
                <w:rFonts w:ascii="Garamond" w:eastAsia="Calibri" w:hAnsi="Garamond" w:cs="Times New Roman"/>
                <w:kern w:val="24"/>
                <w:sz w:val="16"/>
                <w:szCs w:val="16"/>
                <w:lang w:eastAsia="en-US" w:bidi="sq-AL"/>
              </w:rPr>
              <w:t>2050: 24cm</w:t>
            </w:r>
          </w:p>
        </w:tc>
        <w:tc>
          <w:tcPr>
            <w:tcW w:w="0" w:type="auto"/>
            <w:tcMar>
              <w:top w:w="7" w:type="dxa"/>
              <w:left w:w="52" w:type="dxa"/>
              <w:bottom w:w="0" w:type="dxa"/>
              <w:right w:w="52" w:type="dxa"/>
            </w:tcMar>
            <w:vAlign w:val="center"/>
            <w:hideMark/>
          </w:tcPr>
          <w:p w14:paraId="08C0733D" w14:textId="77777777" w:rsidR="00622884" w:rsidRPr="00622884" w:rsidRDefault="00622884" w:rsidP="00622884">
            <w:pPr>
              <w:spacing w:after="0" w:line="240" w:lineRule="auto"/>
              <w:jc w:val="left"/>
              <w:textAlignment w:val="center"/>
              <w:rPr>
                <w:rFonts w:ascii="Garamond" w:eastAsia="Times New Roman" w:hAnsi="Garamond" w:cs="Calibri Light"/>
                <w:sz w:val="16"/>
                <w:szCs w:val="16"/>
                <w:lang w:eastAsia="nl-NL"/>
              </w:rPr>
            </w:pPr>
            <w:r w:rsidRPr="00622884">
              <w:rPr>
                <w:rFonts w:ascii="Garamond" w:eastAsia="Calibri" w:hAnsi="Garamond" w:cs="Times New Roman"/>
                <w:kern w:val="24"/>
                <w:sz w:val="16"/>
                <w:szCs w:val="16"/>
                <w:lang w:eastAsia="en-US" w:bidi="sq-AL"/>
              </w:rPr>
              <w:t>SPS5-8.5</w:t>
            </w:r>
          </w:p>
          <w:p w14:paraId="5A11B2A4" w14:textId="77777777" w:rsidR="00622884" w:rsidRPr="00622884" w:rsidRDefault="00622884" w:rsidP="00622884">
            <w:pPr>
              <w:spacing w:after="0" w:line="240" w:lineRule="auto"/>
              <w:jc w:val="left"/>
              <w:textAlignment w:val="center"/>
              <w:rPr>
                <w:rFonts w:ascii="Garamond" w:eastAsia="Times New Roman" w:hAnsi="Garamond" w:cs="Calibri Light"/>
                <w:sz w:val="16"/>
                <w:szCs w:val="16"/>
                <w:lang w:eastAsia="nl-NL"/>
              </w:rPr>
            </w:pPr>
            <w:r w:rsidRPr="00622884">
              <w:rPr>
                <w:rFonts w:ascii="Garamond" w:eastAsia="Calibri" w:hAnsi="Garamond" w:cs="Times New Roman"/>
                <w:kern w:val="24"/>
                <w:sz w:val="16"/>
                <w:szCs w:val="16"/>
                <w:lang w:eastAsia="en-US" w:bidi="sq-AL"/>
              </w:rPr>
              <w:t>2030: 11cm</w:t>
            </w:r>
          </w:p>
          <w:p w14:paraId="73FF225B" w14:textId="77777777" w:rsidR="00622884" w:rsidRPr="00622884" w:rsidRDefault="00622884" w:rsidP="00622884">
            <w:pPr>
              <w:spacing w:after="0" w:line="240" w:lineRule="auto"/>
              <w:jc w:val="left"/>
              <w:textAlignment w:val="center"/>
              <w:rPr>
                <w:rFonts w:ascii="Garamond" w:eastAsia="Times New Roman" w:hAnsi="Garamond" w:cs="Calibri Light"/>
                <w:sz w:val="16"/>
                <w:szCs w:val="16"/>
                <w:lang w:eastAsia="nl-NL"/>
              </w:rPr>
            </w:pPr>
            <w:r w:rsidRPr="00622884">
              <w:rPr>
                <w:rFonts w:ascii="Garamond" w:eastAsia="Calibri" w:hAnsi="Garamond" w:cs="Times New Roman"/>
                <w:kern w:val="24"/>
                <w:sz w:val="16"/>
                <w:szCs w:val="16"/>
                <w:lang w:eastAsia="en-US" w:bidi="sq-AL"/>
              </w:rPr>
              <w:t>2050: 28cm</w:t>
            </w:r>
          </w:p>
        </w:tc>
      </w:tr>
      <w:tr w:rsidR="00622884" w:rsidRPr="00622884" w14:paraId="172B064C" w14:textId="77777777" w:rsidTr="00622884">
        <w:trPr>
          <w:trHeight w:val="219"/>
        </w:trPr>
        <w:tc>
          <w:tcPr>
            <w:tcW w:w="0" w:type="auto"/>
            <w:gridSpan w:val="5"/>
            <w:shd w:val="clear" w:color="auto" w:fill="DFEAF5"/>
            <w:tcMar>
              <w:top w:w="34" w:type="dxa"/>
              <w:left w:w="69" w:type="dxa"/>
              <w:bottom w:w="34" w:type="dxa"/>
              <w:right w:w="69" w:type="dxa"/>
            </w:tcMar>
            <w:hideMark/>
          </w:tcPr>
          <w:p w14:paraId="316552EC" w14:textId="77777777" w:rsidR="00622884" w:rsidRPr="00622884" w:rsidRDefault="00622884" w:rsidP="00622884">
            <w:pPr>
              <w:spacing w:after="0" w:line="240" w:lineRule="auto"/>
              <w:jc w:val="left"/>
              <w:textAlignment w:val="center"/>
              <w:rPr>
                <w:rFonts w:ascii="Garamond" w:eastAsia="Times New Roman" w:hAnsi="Garamond" w:cs="Calibri Light"/>
                <w:b/>
                <w:bCs/>
                <w:sz w:val="16"/>
                <w:szCs w:val="16"/>
                <w:lang w:eastAsia="nl-NL"/>
              </w:rPr>
            </w:pPr>
            <w:r w:rsidRPr="00622884">
              <w:rPr>
                <w:rFonts w:ascii="Garamond" w:eastAsia="Calibri" w:hAnsi="Garamond" w:cs="Times New Roman"/>
                <w:b/>
                <w:kern w:val="24"/>
                <w:sz w:val="16"/>
                <w:szCs w:val="16"/>
                <w:lang w:eastAsia="en-US" w:bidi="sq-AL"/>
              </w:rPr>
              <w:t>Ngjarjet ekstreme të motit</w:t>
            </w:r>
          </w:p>
        </w:tc>
      </w:tr>
      <w:tr w:rsidR="00622884" w:rsidRPr="00622884" w14:paraId="3D87BD08" w14:textId="77777777" w:rsidTr="00622884">
        <w:trPr>
          <w:trHeight w:val="424"/>
        </w:trPr>
        <w:tc>
          <w:tcPr>
            <w:tcW w:w="0" w:type="auto"/>
            <w:tcMar>
              <w:top w:w="7" w:type="dxa"/>
              <w:left w:w="52" w:type="dxa"/>
              <w:bottom w:w="0" w:type="dxa"/>
              <w:right w:w="52" w:type="dxa"/>
            </w:tcMar>
            <w:vAlign w:val="center"/>
            <w:hideMark/>
          </w:tcPr>
          <w:p w14:paraId="689D4DED" w14:textId="77777777" w:rsidR="00622884" w:rsidRPr="00622884" w:rsidRDefault="00622884" w:rsidP="00622884">
            <w:pPr>
              <w:spacing w:after="0" w:line="240" w:lineRule="auto"/>
              <w:jc w:val="left"/>
              <w:textAlignment w:val="center"/>
              <w:rPr>
                <w:rFonts w:ascii="Garamond" w:eastAsia="Times New Roman" w:hAnsi="Garamond" w:cs="Calibri Light"/>
                <w:sz w:val="16"/>
                <w:szCs w:val="16"/>
                <w:lang w:eastAsia="nl-NL"/>
              </w:rPr>
            </w:pPr>
            <w:r w:rsidRPr="00622884">
              <w:rPr>
                <w:rFonts w:ascii="Garamond" w:eastAsia="Calibri" w:hAnsi="Garamond" w:cs="Times New Roman"/>
                <w:kern w:val="24"/>
                <w:sz w:val="16"/>
                <w:szCs w:val="16"/>
                <w:lang w:eastAsia="en-US" w:bidi="sq-AL"/>
              </w:rPr>
              <w:t>Shpeshtësia dhe intensiteti i thatësirës: nuk ka informacion</w:t>
            </w:r>
          </w:p>
        </w:tc>
        <w:tc>
          <w:tcPr>
            <w:tcW w:w="0" w:type="auto"/>
            <w:tcMar>
              <w:top w:w="7" w:type="dxa"/>
              <w:left w:w="52" w:type="dxa"/>
              <w:bottom w:w="0" w:type="dxa"/>
              <w:right w:w="52" w:type="dxa"/>
            </w:tcMar>
            <w:vAlign w:val="center"/>
            <w:hideMark/>
          </w:tcPr>
          <w:p w14:paraId="75C35F67" w14:textId="77777777" w:rsidR="00622884" w:rsidRPr="00622884" w:rsidRDefault="00622884" w:rsidP="00622884">
            <w:pPr>
              <w:spacing w:after="0" w:line="240" w:lineRule="auto"/>
              <w:jc w:val="left"/>
              <w:textAlignment w:val="center"/>
              <w:rPr>
                <w:rFonts w:ascii="Garamond" w:eastAsia="Times New Roman" w:hAnsi="Garamond" w:cs="Calibri Light"/>
                <w:sz w:val="16"/>
                <w:szCs w:val="16"/>
                <w:lang w:eastAsia="nl-NL"/>
              </w:rPr>
            </w:pPr>
            <w:r w:rsidRPr="00622884">
              <w:rPr>
                <w:rFonts w:ascii="Garamond" w:eastAsia="Calibri" w:hAnsi="Garamond" w:cs="Times New Roman"/>
                <w:kern w:val="24"/>
                <w:sz w:val="16"/>
                <w:szCs w:val="16"/>
                <w:lang w:eastAsia="en-US" w:bidi="sq-AL"/>
              </w:rPr>
              <w:t>Shpeshtësia dhe intensiteti i thatësirës: rritje</w:t>
            </w:r>
          </w:p>
        </w:tc>
        <w:tc>
          <w:tcPr>
            <w:tcW w:w="0" w:type="auto"/>
            <w:gridSpan w:val="3"/>
            <w:tcMar>
              <w:top w:w="34" w:type="dxa"/>
              <w:left w:w="69" w:type="dxa"/>
              <w:bottom w:w="34" w:type="dxa"/>
              <w:right w:w="69" w:type="dxa"/>
            </w:tcMar>
            <w:hideMark/>
          </w:tcPr>
          <w:p w14:paraId="632FD83E" w14:textId="77777777" w:rsidR="00622884" w:rsidRPr="00622884" w:rsidRDefault="00622884" w:rsidP="00622884">
            <w:pPr>
              <w:spacing w:after="0" w:line="240" w:lineRule="auto"/>
              <w:jc w:val="left"/>
              <w:rPr>
                <w:rFonts w:ascii="Garamond" w:eastAsia="Times New Roman" w:hAnsi="Garamond" w:cs="Calibri Light"/>
                <w:sz w:val="16"/>
                <w:szCs w:val="16"/>
                <w:lang w:eastAsia="nl-NL"/>
              </w:rPr>
            </w:pPr>
            <w:r w:rsidRPr="00622884">
              <w:rPr>
                <w:rFonts w:ascii="Garamond" w:eastAsia="Calibri" w:hAnsi="Garamond" w:cs="Times New Roman"/>
                <w:kern w:val="24"/>
                <w:sz w:val="16"/>
                <w:szCs w:val="16"/>
                <w:lang w:eastAsia="en-US" w:bidi="sq-AL"/>
              </w:rPr>
              <w:t>Rënie e theksuar në nivelin e 5% (të reshjeve).</w:t>
            </w:r>
          </w:p>
        </w:tc>
      </w:tr>
      <w:tr w:rsidR="00622884" w:rsidRPr="00622884" w14:paraId="28032E82" w14:textId="77777777" w:rsidTr="00622884">
        <w:trPr>
          <w:trHeight w:val="348"/>
        </w:trPr>
        <w:tc>
          <w:tcPr>
            <w:tcW w:w="0" w:type="auto"/>
            <w:vMerge w:val="restart"/>
            <w:tcMar>
              <w:top w:w="34" w:type="dxa"/>
              <w:left w:w="69" w:type="dxa"/>
              <w:bottom w:w="34" w:type="dxa"/>
              <w:right w:w="69" w:type="dxa"/>
            </w:tcMar>
            <w:hideMark/>
          </w:tcPr>
          <w:p w14:paraId="1B6BB513" w14:textId="77777777" w:rsidR="00622884" w:rsidRPr="00622884" w:rsidRDefault="00622884" w:rsidP="00622884">
            <w:pPr>
              <w:spacing w:after="0" w:line="240" w:lineRule="auto"/>
              <w:jc w:val="left"/>
              <w:textAlignment w:val="center"/>
              <w:rPr>
                <w:rFonts w:ascii="Garamond" w:eastAsia="Times New Roman" w:hAnsi="Garamond" w:cs="Calibri Light"/>
                <w:sz w:val="16"/>
                <w:szCs w:val="16"/>
                <w:lang w:eastAsia="nl-NL"/>
              </w:rPr>
            </w:pPr>
            <w:r w:rsidRPr="00622884">
              <w:rPr>
                <w:rFonts w:ascii="Garamond" w:eastAsia="Calibri" w:hAnsi="Garamond" w:cs="Times New Roman"/>
                <w:kern w:val="24"/>
                <w:sz w:val="16"/>
                <w:szCs w:val="16"/>
                <w:lang w:eastAsia="en-US" w:bidi="sq-AL"/>
              </w:rPr>
              <w:t>Shpeshtësia dhe intensiteti i reshjeve të dendura: nuk ka informacion për shpeshtësinë, rritje intensiteti</w:t>
            </w:r>
          </w:p>
        </w:tc>
        <w:tc>
          <w:tcPr>
            <w:tcW w:w="0" w:type="auto"/>
            <w:vMerge w:val="restart"/>
            <w:tcMar>
              <w:top w:w="34" w:type="dxa"/>
              <w:left w:w="69" w:type="dxa"/>
              <w:bottom w:w="34" w:type="dxa"/>
              <w:right w:w="69" w:type="dxa"/>
            </w:tcMar>
            <w:hideMark/>
          </w:tcPr>
          <w:p w14:paraId="0E0E533A" w14:textId="77777777" w:rsidR="00622884" w:rsidRPr="00622884" w:rsidRDefault="00622884" w:rsidP="00622884">
            <w:pPr>
              <w:spacing w:after="0" w:line="240" w:lineRule="auto"/>
              <w:jc w:val="left"/>
              <w:textAlignment w:val="center"/>
              <w:rPr>
                <w:rFonts w:ascii="Garamond" w:eastAsia="Times New Roman" w:hAnsi="Garamond" w:cs="Calibri Light"/>
                <w:sz w:val="16"/>
                <w:szCs w:val="16"/>
                <w:lang w:eastAsia="nl-NL"/>
              </w:rPr>
            </w:pPr>
            <w:r w:rsidRPr="00622884">
              <w:rPr>
                <w:rFonts w:ascii="Garamond" w:eastAsia="Calibri" w:hAnsi="Garamond" w:cs="Times New Roman"/>
                <w:kern w:val="24"/>
                <w:sz w:val="16"/>
                <w:szCs w:val="16"/>
                <w:lang w:eastAsia="en-US" w:bidi="sq-AL"/>
              </w:rPr>
              <w:t>Shpeshtësia dhe intensiteti i reshjeve të dendura: rritje</w:t>
            </w:r>
          </w:p>
        </w:tc>
        <w:tc>
          <w:tcPr>
            <w:tcW w:w="0" w:type="auto"/>
            <w:gridSpan w:val="3"/>
            <w:tcMar>
              <w:top w:w="34" w:type="dxa"/>
              <w:left w:w="69" w:type="dxa"/>
              <w:bottom w:w="34" w:type="dxa"/>
              <w:right w:w="69" w:type="dxa"/>
            </w:tcMar>
            <w:hideMark/>
          </w:tcPr>
          <w:p w14:paraId="569B89D2" w14:textId="77777777" w:rsidR="00622884" w:rsidRPr="00622884" w:rsidRDefault="00622884" w:rsidP="00622884">
            <w:pPr>
              <w:spacing w:after="0" w:line="240" w:lineRule="auto"/>
              <w:jc w:val="left"/>
              <w:rPr>
                <w:rFonts w:ascii="Garamond" w:eastAsia="Times New Roman" w:hAnsi="Garamond" w:cs="Calibri Light"/>
                <w:sz w:val="16"/>
                <w:szCs w:val="16"/>
                <w:lang w:eastAsia="nl-NL"/>
              </w:rPr>
            </w:pPr>
            <w:r w:rsidRPr="00622884">
              <w:rPr>
                <w:rFonts w:ascii="Garamond" w:eastAsia="Calibri" w:hAnsi="Garamond" w:cs="Times New Roman"/>
                <w:kern w:val="24"/>
                <w:sz w:val="16"/>
                <w:szCs w:val="16"/>
                <w:lang w:eastAsia="en-US" w:bidi="sq-AL"/>
              </w:rPr>
              <w:t>Periudhat e përsëritjes së ditëve me &gt; 100 mm reshje:</w:t>
            </w:r>
          </w:p>
        </w:tc>
      </w:tr>
      <w:tr w:rsidR="00622884" w:rsidRPr="00622884" w14:paraId="6AEF021F" w14:textId="77777777" w:rsidTr="00622884">
        <w:trPr>
          <w:trHeight w:val="298"/>
        </w:trPr>
        <w:tc>
          <w:tcPr>
            <w:tcW w:w="0" w:type="auto"/>
            <w:vMerge/>
            <w:vAlign w:val="center"/>
            <w:hideMark/>
          </w:tcPr>
          <w:p w14:paraId="1D1BF650" w14:textId="77777777" w:rsidR="00622884" w:rsidRPr="00622884" w:rsidRDefault="00622884" w:rsidP="00622884">
            <w:pPr>
              <w:spacing w:after="0" w:line="240" w:lineRule="auto"/>
              <w:jc w:val="left"/>
              <w:rPr>
                <w:rFonts w:ascii="Garamond" w:eastAsia="Times New Roman" w:hAnsi="Garamond" w:cs="Calibri Light"/>
                <w:sz w:val="16"/>
                <w:szCs w:val="16"/>
                <w:lang w:eastAsia="nl-NL"/>
              </w:rPr>
            </w:pPr>
          </w:p>
        </w:tc>
        <w:tc>
          <w:tcPr>
            <w:tcW w:w="0" w:type="auto"/>
            <w:vMerge/>
            <w:vAlign w:val="center"/>
            <w:hideMark/>
          </w:tcPr>
          <w:p w14:paraId="54C520AC" w14:textId="77777777" w:rsidR="00622884" w:rsidRPr="00622884" w:rsidRDefault="00622884" w:rsidP="00622884">
            <w:pPr>
              <w:spacing w:after="0" w:line="240" w:lineRule="auto"/>
              <w:jc w:val="left"/>
              <w:rPr>
                <w:rFonts w:ascii="Garamond" w:eastAsia="Times New Roman" w:hAnsi="Garamond" w:cs="Calibri Light"/>
                <w:sz w:val="16"/>
                <w:szCs w:val="16"/>
                <w:lang w:eastAsia="nl-NL"/>
              </w:rPr>
            </w:pPr>
          </w:p>
        </w:tc>
        <w:tc>
          <w:tcPr>
            <w:tcW w:w="0" w:type="auto"/>
            <w:gridSpan w:val="2"/>
            <w:tcMar>
              <w:top w:w="34" w:type="dxa"/>
              <w:left w:w="69" w:type="dxa"/>
              <w:bottom w:w="34" w:type="dxa"/>
              <w:right w:w="69" w:type="dxa"/>
            </w:tcMar>
            <w:hideMark/>
          </w:tcPr>
          <w:p w14:paraId="29833682" w14:textId="77777777" w:rsidR="00622884" w:rsidRPr="00622884" w:rsidRDefault="00622884" w:rsidP="00622884">
            <w:pPr>
              <w:spacing w:after="0" w:line="240" w:lineRule="auto"/>
              <w:jc w:val="left"/>
              <w:textAlignment w:val="center"/>
              <w:rPr>
                <w:rFonts w:ascii="Garamond" w:eastAsia="Times New Roman" w:hAnsi="Garamond" w:cs="Calibri Light"/>
                <w:sz w:val="16"/>
                <w:szCs w:val="16"/>
                <w:lang w:eastAsia="nl-NL"/>
              </w:rPr>
            </w:pPr>
            <w:r w:rsidRPr="00622884">
              <w:rPr>
                <w:rFonts w:ascii="Garamond" w:eastAsia="Calibri" w:hAnsi="Garamond" w:cs="Times New Roman"/>
                <w:kern w:val="24"/>
                <w:sz w:val="16"/>
                <w:szCs w:val="16"/>
                <w:lang w:eastAsia="en-US" w:bidi="sq-AL"/>
              </w:rPr>
              <w:t>SPS2-4.5:</w:t>
            </w:r>
          </w:p>
          <w:p w14:paraId="29CEF2C4" w14:textId="77777777" w:rsidR="00622884" w:rsidRPr="00622884" w:rsidRDefault="00622884" w:rsidP="00622884">
            <w:pPr>
              <w:spacing w:after="0" w:line="240" w:lineRule="auto"/>
              <w:jc w:val="left"/>
              <w:textAlignment w:val="center"/>
              <w:rPr>
                <w:rFonts w:ascii="Garamond" w:eastAsia="Times New Roman" w:hAnsi="Garamond" w:cs="Calibri Light"/>
                <w:sz w:val="16"/>
                <w:szCs w:val="16"/>
                <w:lang w:eastAsia="nl-NL"/>
              </w:rPr>
            </w:pPr>
            <w:r w:rsidRPr="00622884">
              <w:rPr>
                <w:rFonts w:ascii="Garamond" w:eastAsia="Calibri" w:hAnsi="Garamond" w:cs="Times New Roman"/>
                <w:kern w:val="24"/>
                <w:sz w:val="16"/>
                <w:szCs w:val="16"/>
                <w:lang w:eastAsia="en-US" w:bidi="sq-AL"/>
              </w:rPr>
              <w:t>2050: 16,7</w:t>
            </w:r>
          </w:p>
        </w:tc>
        <w:tc>
          <w:tcPr>
            <w:tcW w:w="0" w:type="auto"/>
            <w:tcMar>
              <w:top w:w="34" w:type="dxa"/>
              <w:left w:w="69" w:type="dxa"/>
              <w:bottom w:w="34" w:type="dxa"/>
              <w:right w:w="69" w:type="dxa"/>
            </w:tcMar>
            <w:hideMark/>
          </w:tcPr>
          <w:p w14:paraId="0344255E" w14:textId="77777777" w:rsidR="00622884" w:rsidRPr="00622884" w:rsidRDefault="00622884" w:rsidP="00622884">
            <w:pPr>
              <w:spacing w:after="0" w:line="240" w:lineRule="auto"/>
              <w:jc w:val="left"/>
              <w:textAlignment w:val="center"/>
              <w:rPr>
                <w:rFonts w:ascii="Garamond" w:eastAsia="Times New Roman" w:hAnsi="Garamond" w:cs="Calibri Light"/>
                <w:sz w:val="16"/>
                <w:szCs w:val="16"/>
                <w:lang w:eastAsia="nl-NL"/>
              </w:rPr>
            </w:pPr>
            <w:r w:rsidRPr="00622884">
              <w:rPr>
                <w:rFonts w:ascii="Garamond" w:eastAsia="Calibri" w:hAnsi="Garamond" w:cs="Times New Roman"/>
                <w:kern w:val="24"/>
                <w:sz w:val="16"/>
                <w:szCs w:val="16"/>
                <w:lang w:eastAsia="en-US" w:bidi="sq-AL"/>
              </w:rPr>
              <w:t>SPS5-8.5</w:t>
            </w:r>
          </w:p>
          <w:p w14:paraId="685A4AA8" w14:textId="77777777" w:rsidR="00622884" w:rsidRPr="00622884" w:rsidRDefault="00622884" w:rsidP="00622884">
            <w:pPr>
              <w:spacing w:after="0" w:line="240" w:lineRule="auto"/>
              <w:jc w:val="left"/>
              <w:textAlignment w:val="center"/>
              <w:rPr>
                <w:rFonts w:ascii="Garamond" w:eastAsia="Times New Roman" w:hAnsi="Garamond" w:cs="Calibri Light"/>
                <w:sz w:val="16"/>
                <w:szCs w:val="16"/>
                <w:lang w:eastAsia="nl-NL"/>
              </w:rPr>
            </w:pPr>
            <w:r w:rsidRPr="00622884">
              <w:rPr>
                <w:rFonts w:ascii="Garamond" w:eastAsia="Calibri" w:hAnsi="Garamond" w:cs="Times New Roman"/>
                <w:kern w:val="24"/>
                <w:sz w:val="16"/>
                <w:szCs w:val="16"/>
                <w:lang w:eastAsia="en-US" w:bidi="sq-AL"/>
              </w:rPr>
              <w:t>2050: 15,9</w:t>
            </w:r>
          </w:p>
        </w:tc>
      </w:tr>
      <w:tr w:rsidR="00622884" w:rsidRPr="00622884" w14:paraId="0B418B16" w14:textId="77777777" w:rsidTr="00622884">
        <w:trPr>
          <w:trHeight w:val="322"/>
        </w:trPr>
        <w:tc>
          <w:tcPr>
            <w:tcW w:w="0" w:type="auto"/>
            <w:vMerge w:val="restart"/>
            <w:tcMar>
              <w:top w:w="34" w:type="dxa"/>
              <w:left w:w="69" w:type="dxa"/>
              <w:bottom w:w="34" w:type="dxa"/>
              <w:right w:w="69" w:type="dxa"/>
            </w:tcMar>
            <w:hideMark/>
          </w:tcPr>
          <w:p w14:paraId="6E31501A" w14:textId="77777777" w:rsidR="00622884" w:rsidRPr="00622884" w:rsidRDefault="00622884" w:rsidP="00622884">
            <w:pPr>
              <w:spacing w:after="0" w:line="240" w:lineRule="auto"/>
              <w:jc w:val="left"/>
              <w:textAlignment w:val="center"/>
              <w:rPr>
                <w:rFonts w:ascii="Garamond" w:eastAsia="Times New Roman" w:hAnsi="Garamond" w:cs="Calibri Light"/>
                <w:sz w:val="16"/>
                <w:szCs w:val="16"/>
                <w:lang w:eastAsia="nl-NL"/>
              </w:rPr>
            </w:pPr>
            <w:r w:rsidRPr="00622884">
              <w:rPr>
                <w:rFonts w:ascii="Garamond" w:eastAsia="Calibri" w:hAnsi="Garamond" w:cs="Times New Roman"/>
                <w:kern w:val="24"/>
                <w:sz w:val="16"/>
                <w:szCs w:val="16"/>
                <w:lang w:eastAsia="en-US" w:bidi="sq-AL"/>
              </w:rPr>
              <w:t>Shpeshtësia dhe intensiteti i valëve të të nxehtit: nuk ka informacion</w:t>
            </w:r>
          </w:p>
        </w:tc>
        <w:tc>
          <w:tcPr>
            <w:tcW w:w="0" w:type="auto"/>
            <w:vMerge w:val="restart"/>
            <w:tcMar>
              <w:top w:w="34" w:type="dxa"/>
              <w:left w:w="69" w:type="dxa"/>
              <w:bottom w:w="34" w:type="dxa"/>
              <w:right w:w="69" w:type="dxa"/>
            </w:tcMar>
            <w:hideMark/>
          </w:tcPr>
          <w:p w14:paraId="74DAE490" w14:textId="77777777" w:rsidR="00622884" w:rsidRPr="00622884" w:rsidRDefault="00622884" w:rsidP="00622884">
            <w:pPr>
              <w:spacing w:after="0" w:line="240" w:lineRule="auto"/>
              <w:jc w:val="left"/>
              <w:textAlignment w:val="center"/>
              <w:rPr>
                <w:rFonts w:ascii="Garamond" w:eastAsia="Times New Roman" w:hAnsi="Garamond" w:cs="Calibri Light"/>
                <w:sz w:val="16"/>
                <w:szCs w:val="16"/>
                <w:lang w:eastAsia="nl-NL"/>
              </w:rPr>
            </w:pPr>
            <w:r w:rsidRPr="00622884">
              <w:rPr>
                <w:rFonts w:ascii="Garamond" w:eastAsia="Calibri" w:hAnsi="Garamond" w:cs="Times New Roman"/>
                <w:kern w:val="24"/>
                <w:sz w:val="16"/>
                <w:szCs w:val="16"/>
                <w:lang w:eastAsia="en-US" w:bidi="sq-AL"/>
              </w:rPr>
              <w:t>Shpeshtësia dhe intensiteti i valëve të të nxehtit: rritje</w:t>
            </w:r>
          </w:p>
        </w:tc>
        <w:tc>
          <w:tcPr>
            <w:tcW w:w="0" w:type="auto"/>
            <w:gridSpan w:val="3"/>
            <w:tcMar>
              <w:top w:w="34" w:type="dxa"/>
              <w:left w:w="69" w:type="dxa"/>
              <w:bottom w:w="34" w:type="dxa"/>
              <w:right w:w="69" w:type="dxa"/>
            </w:tcMar>
            <w:hideMark/>
          </w:tcPr>
          <w:p w14:paraId="0C7F508B" w14:textId="77777777" w:rsidR="00622884" w:rsidRPr="00622884" w:rsidRDefault="00622884" w:rsidP="00622884">
            <w:pPr>
              <w:spacing w:after="0" w:line="240" w:lineRule="auto"/>
              <w:jc w:val="left"/>
              <w:rPr>
                <w:rFonts w:ascii="Garamond" w:eastAsia="Times New Roman" w:hAnsi="Garamond" w:cs="Calibri Light"/>
                <w:sz w:val="16"/>
                <w:szCs w:val="16"/>
                <w:lang w:eastAsia="nl-NL"/>
              </w:rPr>
            </w:pPr>
            <w:r w:rsidRPr="00622884">
              <w:rPr>
                <w:rFonts w:ascii="Garamond" w:eastAsia="Calibri" w:hAnsi="Garamond" w:cs="Times New Roman"/>
                <w:kern w:val="24"/>
                <w:sz w:val="16"/>
                <w:szCs w:val="16"/>
                <w:lang w:eastAsia="en-US" w:bidi="sq-AL"/>
              </w:rPr>
              <w:t>Numri mesatar i valëve të të nxehtit/vit:</w:t>
            </w:r>
          </w:p>
        </w:tc>
      </w:tr>
      <w:tr w:rsidR="00622884" w:rsidRPr="00622884" w14:paraId="4B786E81" w14:textId="77777777" w:rsidTr="00622884">
        <w:trPr>
          <w:trHeight w:val="505"/>
        </w:trPr>
        <w:tc>
          <w:tcPr>
            <w:tcW w:w="0" w:type="auto"/>
            <w:vMerge/>
            <w:vAlign w:val="center"/>
            <w:hideMark/>
          </w:tcPr>
          <w:p w14:paraId="6C81935F" w14:textId="77777777" w:rsidR="00622884" w:rsidRPr="00622884" w:rsidRDefault="00622884" w:rsidP="00622884">
            <w:pPr>
              <w:spacing w:after="0" w:line="240" w:lineRule="auto"/>
              <w:jc w:val="left"/>
              <w:rPr>
                <w:rFonts w:ascii="Garamond" w:eastAsia="Times New Roman" w:hAnsi="Garamond" w:cs="Calibri Light"/>
                <w:sz w:val="16"/>
                <w:szCs w:val="16"/>
                <w:lang w:eastAsia="nl-NL"/>
              </w:rPr>
            </w:pPr>
          </w:p>
        </w:tc>
        <w:tc>
          <w:tcPr>
            <w:tcW w:w="0" w:type="auto"/>
            <w:vMerge/>
            <w:vAlign w:val="center"/>
            <w:hideMark/>
          </w:tcPr>
          <w:p w14:paraId="41FF8F2F" w14:textId="77777777" w:rsidR="00622884" w:rsidRPr="00622884" w:rsidRDefault="00622884" w:rsidP="00622884">
            <w:pPr>
              <w:spacing w:after="0" w:line="240" w:lineRule="auto"/>
              <w:jc w:val="left"/>
              <w:rPr>
                <w:rFonts w:ascii="Garamond" w:eastAsia="Times New Roman" w:hAnsi="Garamond" w:cs="Calibri Light"/>
                <w:sz w:val="16"/>
                <w:szCs w:val="16"/>
                <w:lang w:eastAsia="nl-NL"/>
              </w:rPr>
            </w:pPr>
          </w:p>
        </w:tc>
        <w:tc>
          <w:tcPr>
            <w:tcW w:w="0" w:type="auto"/>
            <w:tcMar>
              <w:top w:w="7" w:type="dxa"/>
              <w:left w:w="52" w:type="dxa"/>
              <w:bottom w:w="0" w:type="dxa"/>
              <w:right w:w="52" w:type="dxa"/>
            </w:tcMar>
            <w:hideMark/>
          </w:tcPr>
          <w:p w14:paraId="0424D8AB" w14:textId="77777777" w:rsidR="00622884" w:rsidRPr="00622884" w:rsidRDefault="00622884" w:rsidP="00622884">
            <w:pPr>
              <w:spacing w:after="0" w:line="240" w:lineRule="auto"/>
              <w:jc w:val="left"/>
              <w:textAlignment w:val="center"/>
              <w:rPr>
                <w:rFonts w:ascii="Garamond" w:eastAsia="Times New Roman" w:hAnsi="Garamond" w:cs="Calibri Light"/>
                <w:sz w:val="16"/>
                <w:szCs w:val="16"/>
                <w:lang w:eastAsia="nl-NL"/>
              </w:rPr>
            </w:pPr>
            <w:r w:rsidRPr="00622884">
              <w:rPr>
                <w:rFonts w:ascii="Garamond" w:eastAsia="Calibri" w:hAnsi="Garamond" w:cs="Times New Roman"/>
                <w:kern w:val="24"/>
                <w:sz w:val="16"/>
                <w:szCs w:val="16"/>
                <w:lang w:eastAsia="en-US" w:bidi="sq-AL"/>
              </w:rPr>
              <w:t>SPS1-1.9:</w:t>
            </w:r>
          </w:p>
          <w:p w14:paraId="1498BC64" w14:textId="77777777" w:rsidR="00622884" w:rsidRPr="00622884" w:rsidRDefault="00622884" w:rsidP="00622884">
            <w:pPr>
              <w:spacing w:after="0" w:line="240" w:lineRule="auto"/>
              <w:jc w:val="left"/>
              <w:textAlignment w:val="center"/>
              <w:rPr>
                <w:rFonts w:ascii="Garamond" w:eastAsia="Times New Roman" w:hAnsi="Garamond" w:cs="Calibri Light"/>
                <w:sz w:val="16"/>
                <w:szCs w:val="16"/>
                <w:lang w:eastAsia="nl-NL"/>
              </w:rPr>
            </w:pPr>
            <w:r w:rsidRPr="00622884">
              <w:rPr>
                <w:rFonts w:ascii="Garamond" w:eastAsia="Calibri" w:hAnsi="Garamond" w:cs="Times New Roman"/>
                <w:kern w:val="24"/>
                <w:sz w:val="16"/>
                <w:szCs w:val="16"/>
                <w:lang w:eastAsia="en-US" w:bidi="sq-AL"/>
              </w:rPr>
              <w:t>2030: 3</w:t>
            </w:r>
          </w:p>
          <w:p w14:paraId="427FF882" w14:textId="77777777" w:rsidR="00622884" w:rsidRPr="00622884" w:rsidRDefault="00622884" w:rsidP="00622884">
            <w:pPr>
              <w:spacing w:after="0" w:line="240" w:lineRule="auto"/>
              <w:jc w:val="left"/>
              <w:textAlignment w:val="center"/>
              <w:rPr>
                <w:rFonts w:ascii="Garamond" w:eastAsia="Times New Roman" w:hAnsi="Garamond" w:cs="Calibri Light"/>
                <w:sz w:val="16"/>
                <w:szCs w:val="16"/>
                <w:lang w:eastAsia="nl-NL"/>
              </w:rPr>
            </w:pPr>
            <w:r w:rsidRPr="00622884">
              <w:rPr>
                <w:rFonts w:ascii="Garamond" w:eastAsia="Calibri" w:hAnsi="Garamond" w:cs="Times New Roman"/>
                <w:kern w:val="24"/>
                <w:sz w:val="16"/>
                <w:szCs w:val="16"/>
                <w:lang w:eastAsia="en-US" w:bidi="sq-AL"/>
              </w:rPr>
              <w:t>2050: 3</w:t>
            </w:r>
          </w:p>
        </w:tc>
        <w:tc>
          <w:tcPr>
            <w:tcW w:w="0" w:type="auto"/>
            <w:tcMar>
              <w:top w:w="34" w:type="dxa"/>
              <w:left w:w="69" w:type="dxa"/>
              <w:bottom w:w="34" w:type="dxa"/>
              <w:right w:w="69" w:type="dxa"/>
            </w:tcMar>
            <w:hideMark/>
          </w:tcPr>
          <w:p w14:paraId="426D6533" w14:textId="77777777" w:rsidR="00622884" w:rsidRPr="00622884" w:rsidRDefault="00622884" w:rsidP="00622884">
            <w:pPr>
              <w:spacing w:after="0" w:line="240" w:lineRule="auto"/>
              <w:jc w:val="left"/>
              <w:textAlignment w:val="center"/>
              <w:rPr>
                <w:rFonts w:ascii="Garamond" w:eastAsia="Times New Roman" w:hAnsi="Garamond" w:cs="Calibri Light"/>
                <w:sz w:val="16"/>
                <w:szCs w:val="16"/>
                <w:lang w:eastAsia="nl-NL"/>
              </w:rPr>
            </w:pPr>
            <w:r w:rsidRPr="00622884">
              <w:rPr>
                <w:rFonts w:ascii="Garamond" w:eastAsia="Calibri" w:hAnsi="Garamond" w:cs="Times New Roman"/>
                <w:kern w:val="24"/>
                <w:sz w:val="16"/>
                <w:szCs w:val="16"/>
                <w:lang w:eastAsia="en-US" w:bidi="sq-AL"/>
              </w:rPr>
              <w:t>SPS2-4.5:</w:t>
            </w:r>
          </w:p>
          <w:p w14:paraId="79D0246C" w14:textId="77777777" w:rsidR="00622884" w:rsidRPr="00622884" w:rsidRDefault="00622884" w:rsidP="00622884">
            <w:pPr>
              <w:spacing w:after="0" w:line="240" w:lineRule="auto"/>
              <w:jc w:val="left"/>
              <w:textAlignment w:val="center"/>
              <w:rPr>
                <w:rFonts w:ascii="Garamond" w:eastAsia="Times New Roman" w:hAnsi="Garamond" w:cs="Calibri Light"/>
                <w:sz w:val="16"/>
                <w:szCs w:val="16"/>
                <w:lang w:eastAsia="nl-NL"/>
              </w:rPr>
            </w:pPr>
            <w:r w:rsidRPr="00622884">
              <w:rPr>
                <w:rFonts w:ascii="Garamond" w:eastAsia="Calibri" w:hAnsi="Garamond" w:cs="Times New Roman"/>
                <w:kern w:val="24"/>
                <w:sz w:val="16"/>
                <w:szCs w:val="16"/>
                <w:lang w:eastAsia="en-US" w:bidi="sq-AL"/>
              </w:rPr>
              <w:t>2030: 4</w:t>
            </w:r>
          </w:p>
          <w:p w14:paraId="41124DB4" w14:textId="77777777" w:rsidR="00622884" w:rsidRPr="00622884" w:rsidRDefault="00622884" w:rsidP="00622884">
            <w:pPr>
              <w:spacing w:after="0" w:line="240" w:lineRule="auto"/>
              <w:jc w:val="left"/>
              <w:textAlignment w:val="center"/>
              <w:rPr>
                <w:rFonts w:ascii="Garamond" w:eastAsia="Times New Roman" w:hAnsi="Garamond" w:cs="Calibri Light"/>
                <w:sz w:val="16"/>
                <w:szCs w:val="16"/>
                <w:lang w:eastAsia="nl-NL"/>
              </w:rPr>
            </w:pPr>
            <w:r w:rsidRPr="00622884">
              <w:rPr>
                <w:rFonts w:ascii="Garamond" w:eastAsia="Calibri" w:hAnsi="Garamond" w:cs="Times New Roman"/>
                <w:kern w:val="24"/>
                <w:sz w:val="16"/>
                <w:szCs w:val="16"/>
                <w:lang w:eastAsia="en-US" w:bidi="sq-AL"/>
              </w:rPr>
              <w:t>2050: 4</w:t>
            </w:r>
          </w:p>
        </w:tc>
        <w:tc>
          <w:tcPr>
            <w:tcW w:w="0" w:type="auto"/>
            <w:tcMar>
              <w:top w:w="7" w:type="dxa"/>
              <w:left w:w="52" w:type="dxa"/>
              <w:bottom w:w="0" w:type="dxa"/>
              <w:right w:w="52" w:type="dxa"/>
            </w:tcMar>
            <w:hideMark/>
          </w:tcPr>
          <w:p w14:paraId="763BBFA4" w14:textId="77777777" w:rsidR="00622884" w:rsidRPr="00622884" w:rsidRDefault="00622884" w:rsidP="00622884">
            <w:pPr>
              <w:spacing w:after="0" w:line="240" w:lineRule="auto"/>
              <w:jc w:val="left"/>
              <w:textAlignment w:val="center"/>
              <w:rPr>
                <w:rFonts w:ascii="Garamond" w:eastAsia="Times New Roman" w:hAnsi="Garamond" w:cs="Calibri Light"/>
                <w:sz w:val="16"/>
                <w:szCs w:val="16"/>
                <w:lang w:eastAsia="nl-NL"/>
              </w:rPr>
            </w:pPr>
            <w:r w:rsidRPr="00622884">
              <w:rPr>
                <w:rFonts w:ascii="Garamond" w:eastAsia="Calibri" w:hAnsi="Garamond" w:cs="Times New Roman"/>
                <w:kern w:val="24"/>
                <w:sz w:val="16"/>
                <w:szCs w:val="16"/>
                <w:lang w:eastAsia="en-US" w:bidi="sq-AL"/>
              </w:rPr>
              <w:t>SPS5-8.5</w:t>
            </w:r>
          </w:p>
          <w:p w14:paraId="6D33DAD4" w14:textId="77777777" w:rsidR="00622884" w:rsidRPr="00622884" w:rsidRDefault="00622884" w:rsidP="00622884">
            <w:pPr>
              <w:spacing w:after="0" w:line="240" w:lineRule="auto"/>
              <w:jc w:val="left"/>
              <w:textAlignment w:val="center"/>
              <w:rPr>
                <w:rFonts w:ascii="Garamond" w:eastAsia="Times New Roman" w:hAnsi="Garamond" w:cs="Calibri Light"/>
                <w:sz w:val="16"/>
                <w:szCs w:val="16"/>
                <w:lang w:eastAsia="nl-NL"/>
              </w:rPr>
            </w:pPr>
            <w:r w:rsidRPr="00622884">
              <w:rPr>
                <w:rFonts w:ascii="Garamond" w:eastAsia="Calibri" w:hAnsi="Garamond" w:cs="Times New Roman"/>
                <w:kern w:val="24"/>
                <w:sz w:val="16"/>
                <w:szCs w:val="16"/>
                <w:lang w:eastAsia="en-US" w:bidi="sq-AL"/>
              </w:rPr>
              <w:t>2030: 4</w:t>
            </w:r>
          </w:p>
          <w:p w14:paraId="795EF8B7" w14:textId="77777777" w:rsidR="00622884" w:rsidRPr="00622884" w:rsidRDefault="00622884" w:rsidP="00622884">
            <w:pPr>
              <w:spacing w:after="0" w:line="240" w:lineRule="auto"/>
              <w:jc w:val="left"/>
              <w:textAlignment w:val="center"/>
              <w:rPr>
                <w:rFonts w:ascii="Garamond" w:eastAsia="Times New Roman" w:hAnsi="Garamond" w:cs="Calibri Light"/>
                <w:sz w:val="16"/>
                <w:szCs w:val="16"/>
                <w:lang w:eastAsia="nl-NL"/>
              </w:rPr>
            </w:pPr>
            <w:r w:rsidRPr="00622884">
              <w:rPr>
                <w:rFonts w:ascii="Garamond" w:eastAsia="Calibri" w:hAnsi="Garamond" w:cs="Times New Roman"/>
                <w:kern w:val="24"/>
                <w:sz w:val="16"/>
                <w:szCs w:val="16"/>
                <w:lang w:eastAsia="en-US" w:bidi="sq-AL"/>
              </w:rPr>
              <w:t>2050: 4</w:t>
            </w:r>
          </w:p>
        </w:tc>
      </w:tr>
      <w:tr w:rsidR="00622884" w:rsidRPr="00622884" w14:paraId="69CE559F" w14:textId="77777777" w:rsidTr="00622884">
        <w:trPr>
          <w:trHeight w:val="212"/>
        </w:trPr>
        <w:tc>
          <w:tcPr>
            <w:tcW w:w="0" w:type="auto"/>
            <w:vMerge w:val="restart"/>
            <w:tcMar>
              <w:top w:w="34" w:type="dxa"/>
              <w:left w:w="69" w:type="dxa"/>
              <w:bottom w:w="34" w:type="dxa"/>
              <w:right w:w="69" w:type="dxa"/>
            </w:tcMar>
            <w:hideMark/>
          </w:tcPr>
          <w:p w14:paraId="66342599" w14:textId="77777777" w:rsidR="00622884" w:rsidRPr="00622884" w:rsidRDefault="00622884" w:rsidP="00622884">
            <w:pPr>
              <w:spacing w:after="0" w:line="240" w:lineRule="auto"/>
              <w:jc w:val="left"/>
              <w:textAlignment w:val="center"/>
              <w:rPr>
                <w:rFonts w:ascii="Garamond" w:eastAsia="Times New Roman" w:hAnsi="Garamond" w:cs="Calibri Light"/>
                <w:sz w:val="16"/>
                <w:szCs w:val="16"/>
                <w:lang w:eastAsia="nl-NL"/>
              </w:rPr>
            </w:pPr>
            <w:r w:rsidRPr="00622884">
              <w:rPr>
                <w:rFonts w:ascii="Garamond" w:eastAsia="Calibri" w:hAnsi="Garamond" w:cs="Times New Roman"/>
                <w:kern w:val="24"/>
                <w:sz w:val="16"/>
                <w:szCs w:val="16"/>
                <w:lang w:eastAsia="en-US" w:bidi="sq-AL"/>
              </w:rPr>
              <w:t>Shpeshtësia dhe intensiteti i ditëve shumë të ftohta: nuk ka informacion</w:t>
            </w:r>
          </w:p>
        </w:tc>
        <w:tc>
          <w:tcPr>
            <w:tcW w:w="0" w:type="auto"/>
            <w:vMerge w:val="restart"/>
            <w:tcMar>
              <w:top w:w="34" w:type="dxa"/>
              <w:left w:w="69" w:type="dxa"/>
              <w:bottom w:w="34" w:type="dxa"/>
              <w:right w:w="69" w:type="dxa"/>
            </w:tcMar>
            <w:hideMark/>
          </w:tcPr>
          <w:p w14:paraId="79935D82" w14:textId="77777777" w:rsidR="00622884" w:rsidRPr="00622884" w:rsidRDefault="00622884" w:rsidP="00622884">
            <w:pPr>
              <w:spacing w:after="0" w:line="240" w:lineRule="auto"/>
              <w:jc w:val="left"/>
              <w:textAlignment w:val="center"/>
              <w:rPr>
                <w:rFonts w:ascii="Garamond" w:eastAsia="Times New Roman" w:hAnsi="Garamond" w:cs="Calibri Light"/>
                <w:sz w:val="16"/>
                <w:szCs w:val="16"/>
                <w:lang w:eastAsia="nl-NL"/>
              </w:rPr>
            </w:pPr>
            <w:r w:rsidRPr="00622884">
              <w:rPr>
                <w:rFonts w:ascii="Garamond" w:eastAsia="Calibri" w:hAnsi="Garamond" w:cs="Times New Roman"/>
                <w:kern w:val="24"/>
                <w:sz w:val="16"/>
                <w:szCs w:val="16"/>
                <w:lang w:eastAsia="en-US" w:bidi="sq-AL"/>
              </w:rPr>
              <w:t>Shpeshtësia dhe intensiteti i ditëve shumë të ftohta: rënie</w:t>
            </w:r>
          </w:p>
        </w:tc>
        <w:tc>
          <w:tcPr>
            <w:tcW w:w="0" w:type="auto"/>
            <w:gridSpan w:val="3"/>
            <w:tcMar>
              <w:top w:w="34" w:type="dxa"/>
              <w:left w:w="69" w:type="dxa"/>
              <w:bottom w:w="34" w:type="dxa"/>
              <w:right w:w="69" w:type="dxa"/>
            </w:tcMar>
            <w:hideMark/>
          </w:tcPr>
          <w:p w14:paraId="257738E4" w14:textId="77777777" w:rsidR="00622884" w:rsidRPr="00622884" w:rsidRDefault="00622884" w:rsidP="00622884">
            <w:pPr>
              <w:spacing w:after="0" w:line="240" w:lineRule="auto"/>
              <w:jc w:val="left"/>
              <w:rPr>
                <w:rFonts w:ascii="Garamond" w:eastAsia="Times New Roman" w:hAnsi="Garamond" w:cs="Calibri Light"/>
                <w:sz w:val="16"/>
                <w:szCs w:val="16"/>
                <w:lang w:eastAsia="nl-NL"/>
              </w:rPr>
            </w:pPr>
            <w:r w:rsidRPr="00622884">
              <w:rPr>
                <w:rFonts w:ascii="Garamond" w:eastAsia="Calibri" w:hAnsi="Garamond" w:cs="Times New Roman"/>
                <w:kern w:val="24"/>
                <w:sz w:val="16"/>
                <w:szCs w:val="16"/>
                <w:lang w:eastAsia="en-US" w:bidi="sq-AL"/>
              </w:rPr>
              <w:t>Numri i rasteve me Tmin &lt; -5°C</w:t>
            </w:r>
          </w:p>
        </w:tc>
      </w:tr>
      <w:tr w:rsidR="00622884" w:rsidRPr="00622884" w14:paraId="62AA6E69" w14:textId="77777777" w:rsidTr="00622884">
        <w:trPr>
          <w:trHeight w:val="487"/>
        </w:trPr>
        <w:tc>
          <w:tcPr>
            <w:tcW w:w="0" w:type="auto"/>
            <w:vMerge/>
            <w:vAlign w:val="center"/>
            <w:hideMark/>
          </w:tcPr>
          <w:p w14:paraId="2BB7A9F3" w14:textId="77777777" w:rsidR="00622884" w:rsidRPr="00622884" w:rsidRDefault="00622884" w:rsidP="00622884">
            <w:pPr>
              <w:spacing w:after="0" w:line="240" w:lineRule="auto"/>
              <w:jc w:val="left"/>
              <w:rPr>
                <w:rFonts w:ascii="Garamond" w:eastAsia="Times New Roman" w:hAnsi="Garamond" w:cs="Calibri Light"/>
                <w:sz w:val="16"/>
                <w:szCs w:val="16"/>
                <w:lang w:eastAsia="nl-NL"/>
              </w:rPr>
            </w:pPr>
          </w:p>
        </w:tc>
        <w:tc>
          <w:tcPr>
            <w:tcW w:w="0" w:type="auto"/>
            <w:vMerge/>
            <w:vAlign w:val="center"/>
            <w:hideMark/>
          </w:tcPr>
          <w:p w14:paraId="3FFFAC6A" w14:textId="77777777" w:rsidR="00622884" w:rsidRPr="00622884" w:rsidRDefault="00622884" w:rsidP="00622884">
            <w:pPr>
              <w:spacing w:after="0" w:line="240" w:lineRule="auto"/>
              <w:jc w:val="left"/>
              <w:rPr>
                <w:rFonts w:ascii="Garamond" w:eastAsia="Times New Roman" w:hAnsi="Garamond" w:cs="Calibri Light"/>
                <w:sz w:val="16"/>
                <w:szCs w:val="16"/>
                <w:lang w:eastAsia="nl-NL"/>
              </w:rPr>
            </w:pPr>
          </w:p>
        </w:tc>
        <w:tc>
          <w:tcPr>
            <w:tcW w:w="0" w:type="auto"/>
            <w:tcMar>
              <w:top w:w="7" w:type="dxa"/>
              <w:left w:w="52" w:type="dxa"/>
              <w:bottom w:w="0" w:type="dxa"/>
              <w:right w:w="52" w:type="dxa"/>
            </w:tcMar>
            <w:hideMark/>
          </w:tcPr>
          <w:p w14:paraId="4E862FE1" w14:textId="77777777" w:rsidR="00622884" w:rsidRPr="00622884" w:rsidRDefault="00622884" w:rsidP="00622884">
            <w:pPr>
              <w:spacing w:after="0" w:line="240" w:lineRule="auto"/>
              <w:jc w:val="left"/>
              <w:textAlignment w:val="center"/>
              <w:rPr>
                <w:rFonts w:ascii="Garamond" w:eastAsia="Times New Roman" w:hAnsi="Garamond" w:cs="Calibri Light"/>
                <w:sz w:val="16"/>
                <w:szCs w:val="16"/>
                <w:lang w:eastAsia="nl-NL"/>
              </w:rPr>
            </w:pPr>
            <w:r w:rsidRPr="00622884">
              <w:rPr>
                <w:rFonts w:ascii="Garamond" w:eastAsia="Calibri" w:hAnsi="Garamond" w:cs="Times New Roman"/>
                <w:kern w:val="24"/>
                <w:sz w:val="16"/>
                <w:szCs w:val="16"/>
                <w:lang w:eastAsia="en-US" w:bidi="sq-AL"/>
              </w:rPr>
              <w:t>SPS1-1.9:</w:t>
            </w:r>
          </w:p>
          <w:p w14:paraId="0CE7AE9F" w14:textId="77777777" w:rsidR="00622884" w:rsidRPr="00622884" w:rsidRDefault="00622884" w:rsidP="00622884">
            <w:pPr>
              <w:spacing w:after="0" w:line="240" w:lineRule="auto"/>
              <w:jc w:val="left"/>
              <w:textAlignment w:val="center"/>
              <w:rPr>
                <w:rFonts w:ascii="Garamond" w:eastAsia="Times New Roman" w:hAnsi="Garamond" w:cs="Calibri Light"/>
                <w:sz w:val="16"/>
                <w:szCs w:val="16"/>
                <w:lang w:eastAsia="nl-NL"/>
              </w:rPr>
            </w:pPr>
            <w:r w:rsidRPr="00622884">
              <w:rPr>
                <w:rFonts w:ascii="Garamond" w:eastAsia="Calibri" w:hAnsi="Garamond" w:cs="Times New Roman"/>
                <w:kern w:val="24"/>
                <w:sz w:val="16"/>
                <w:szCs w:val="16"/>
                <w:lang w:eastAsia="en-US" w:bidi="sq-AL"/>
              </w:rPr>
              <w:t>2030: 24</w:t>
            </w:r>
          </w:p>
          <w:p w14:paraId="2F22C21C" w14:textId="77777777" w:rsidR="00622884" w:rsidRPr="00622884" w:rsidRDefault="00622884" w:rsidP="00622884">
            <w:pPr>
              <w:spacing w:after="0" w:line="240" w:lineRule="auto"/>
              <w:jc w:val="left"/>
              <w:textAlignment w:val="center"/>
              <w:rPr>
                <w:rFonts w:ascii="Garamond" w:eastAsia="Times New Roman" w:hAnsi="Garamond" w:cs="Calibri Light"/>
                <w:sz w:val="16"/>
                <w:szCs w:val="16"/>
                <w:lang w:eastAsia="nl-NL"/>
              </w:rPr>
            </w:pPr>
            <w:r w:rsidRPr="00622884">
              <w:rPr>
                <w:rFonts w:ascii="Garamond" w:eastAsia="Calibri" w:hAnsi="Garamond" w:cs="Times New Roman"/>
                <w:kern w:val="24"/>
                <w:sz w:val="16"/>
                <w:szCs w:val="16"/>
                <w:lang w:eastAsia="en-US" w:bidi="sq-AL"/>
              </w:rPr>
              <w:t>2050: 24</w:t>
            </w:r>
          </w:p>
        </w:tc>
        <w:tc>
          <w:tcPr>
            <w:tcW w:w="0" w:type="auto"/>
            <w:tcMar>
              <w:top w:w="34" w:type="dxa"/>
              <w:left w:w="69" w:type="dxa"/>
              <w:bottom w:w="34" w:type="dxa"/>
              <w:right w:w="69" w:type="dxa"/>
            </w:tcMar>
            <w:hideMark/>
          </w:tcPr>
          <w:p w14:paraId="637D766D" w14:textId="77777777" w:rsidR="00622884" w:rsidRPr="00622884" w:rsidRDefault="00622884" w:rsidP="00622884">
            <w:pPr>
              <w:spacing w:after="0" w:line="240" w:lineRule="auto"/>
              <w:jc w:val="left"/>
              <w:textAlignment w:val="center"/>
              <w:rPr>
                <w:rFonts w:ascii="Garamond" w:eastAsia="Times New Roman" w:hAnsi="Garamond" w:cs="Calibri Light"/>
                <w:sz w:val="16"/>
                <w:szCs w:val="16"/>
                <w:lang w:eastAsia="nl-NL"/>
              </w:rPr>
            </w:pPr>
            <w:r w:rsidRPr="00622884">
              <w:rPr>
                <w:rFonts w:ascii="Garamond" w:eastAsia="Calibri" w:hAnsi="Garamond" w:cs="Times New Roman"/>
                <w:kern w:val="24"/>
                <w:sz w:val="16"/>
                <w:szCs w:val="16"/>
                <w:lang w:eastAsia="en-US" w:bidi="sq-AL"/>
              </w:rPr>
              <w:t>SPS2-4.5:</w:t>
            </w:r>
          </w:p>
          <w:p w14:paraId="5F350DA9" w14:textId="77777777" w:rsidR="00622884" w:rsidRPr="00622884" w:rsidRDefault="00622884" w:rsidP="00622884">
            <w:pPr>
              <w:spacing w:after="0" w:line="240" w:lineRule="auto"/>
              <w:jc w:val="left"/>
              <w:textAlignment w:val="center"/>
              <w:rPr>
                <w:rFonts w:ascii="Garamond" w:eastAsia="Times New Roman" w:hAnsi="Garamond" w:cs="Calibri Light"/>
                <w:sz w:val="16"/>
                <w:szCs w:val="16"/>
                <w:lang w:eastAsia="nl-NL"/>
              </w:rPr>
            </w:pPr>
            <w:r w:rsidRPr="00622884">
              <w:rPr>
                <w:rFonts w:ascii="Garamond" w:eastAsia="Calibri" w:hAnsi="Garamond" w:cs="Times New Roman"/>
                <w:kern w:val="24"/>
                <w:sz w:val="16"/>
                <w:szCs w:val="16"/>
                <w:lang w:eastAsia="en-US" w:bidi="sq-AL"/>
              </w:rPr>
              <w:t>2030: 24</w:t>
            </w:r>
          </w:p>
          <w:p w14:paraId="1159F2F9" w14:textId="77777777" w:rsidR="00622884" w:rsidRPr="00622884" w:rsidRDefault="00622884" w:rsidP="00622884">
            <w:pPr>
              <w:spacing w:after="0" w:line="240" w:lineRule="auto"/>
              <w:jc w:val="left"/>
              <w:textAlignment w:val="center"/>
              <w:rPr>
                <w:rFonts w:ascii="Garamond" w:eastAsia="Times New Roman" w:hAnsi="Garamond" w:cs="Calibri Light"/>
                <w:sz w:val="16"/>
                <w:szCs w:val="16"/>
                <w:lang w:eastAsia="nl-NL"/>
              </w:rPr>
            </w:pPr>
            <w:r w:rsidRPr="00622884">
              <w:rPr>
                <w:rFonts w:ascii="Garamond" w:eastAsia="Calibri" w:hAnsi="Garamond" w:cs="Times New Roman"/>
                <w:kern w:val="24"/>
                <w:sz w:val="16"/>
                <w:szCs w:val="16"/>
                <w:lang w:eastAsia="en-US" w:bidi="sq-AL"/>
              </w:rPr>
              <w:t>2050: 18</w:t>
            </w:r>
          </w:p>
        </w:tc>
        <w:tc>
          <w:tcPr>
            <w:tcW w:w="0" w:type="auto"/>
            <w:tcMar>
              <w:top w:w="7" w:type="dxa"/>
              <w:left w:w="52" w:type="dxa"/>
              <w:bottom w:w="0" w:type="dxa"/>
              <w:right w:w="52" w:type="dxa"/>
            </w:tcMar>
            <w:hideMark/>
          </w:tcPr>
          <w:p w14:paraId="42CB077C" w14:textId="77777777" w:rsidR="00622884" w:rsidRPr="00622884" w:rsidRDefault="00622884" w:rsidP="00622884">
            <w:pPr>
              <w:spacing w:after="0" w:line="240" w:lineRule="auto"/>
              <w:jc w:val="left"/>
              <w:textAlignment w:val="center"/>
              <w:rPr>
                <w:rFonts w:ascii="Garamond" w:eastAsia="Times New Roman" w:hAnsi="Garamond" w:cs="Calibri Light"/>
                <w:kern w:val="24"/>
                <w:sz w:val="16"/>
                <w:szCs w:val="16"/>
                <w:lang w:eastAsia="nl-NL"/>
              </w:rPr>
            </w:pPr>
            <w:r w:rsidRPr="00622884">
              <w:rPr>
                <w:rFonts w:ascii="Garamond" w:eastAsia="Calibri" w:hAnsi="Garamond" w:cs="Times New Roman"/>
                <w:kern w:val="24"/>
                <w:sz w:val="16"/>
                <w:szCs w:val="16"/>
                <w:lang w:eastAsia="en-US" w:bidi="sq-AL"/>
              </w:rPr>
              <w:t>SPS5-8.5</w:t>
            </w:r>
          </w:p>
          <w:p w14:paraId="01EAEF66" w14:textId="77777777" w:rsidR="00622884" w:rsidRPr="00622884" w:rsidRDefault="00622884" w:rsidP="00622884">
            <w:pPr>
              <w:spacing w:after="0" w:line="240" w:lineRule="auto"/>
              <w:jc w:val="left"/>
              <w:textAlignment w:val="center"/>
              <w:rPr>
                <w:rFonts w:ascii="Garamond" w:eastAsia="Times New Roman" w:hAnsi="Garamond" w:cs="Calibri Light"/>
                <w:kern w:val="24"/>
                <w:sz w:val="16"/>
                <w:szCs w:val="16"/>
                <w:lang w:eastAsia="nl-NL"/>
              </w:rPr>
            </w:pPr>
            <w:r w:rsidRPr="00622884">
              <w:rPr>
                <w:rFonts w:ascii="Garamond" w:eastAsia="Calibri" w:hAnsi="Garamond" w:cs="Times New Roman"/>
                <w:kern w:val="24"/>
                <w:sz w:val="16"/>
                <w:szCs w:val="16"/>
                <w:lang w:eastAsia="en-US" w:bidi="sq-AL"/>
              </w:rPr>
              <w:t>2030: 24</w:t>
            </w:r>
          </w:p>
          <w:p w14:paraId="2CEEDD3E" w14:textId="77777777" w:rsidR="00622884" w:rsidRPr="00622884" w:rsidRDefault="00622884" w:rsidP="00622884">
            <w:pPr>
              <w:spacing w:after="0" w:line="240" w:lineRule="auto"/>
              <w:jc w:val="left"/>
              <w:textAlignment w:val="center"/>
              <w:rPr>
                <w:rFonts w:ascii="Garamond" w:eastAsia="Times New Roman" w:hAnsi="Garamond" w:cs="Calibri Light"/>
                <w:sz w:val="16"/>
                <w:szCs w:val="16"/>
                <w:lang w:eastAsia="nl-NL"/>
              </w:rPr>
            </w:pPr>
            <w:r w:rsidRPr="00622884">
              <w:rPr>
                <w:rFonts w:ascii="Garamond" w:eastAsia="Calibri" w:hAnsi="Garamond" w:cs="Times New Roman"/>
                <w:kern w:val="24"/>
                <w:sz w:val="16"/>
                <w:szCs w:val="16"/>
                <w:lang w:eastAsia="en-US" w:bidi="sq-AL"/>
              </w:rPr>
              <w:t>2050: 16</w:t>
            </w:r>
          </w:p>
        </w:tc>
      </w:tr>
    </w:tbl>
    <w:p w14:paraId="3F5AAFA6" w14:textId="77777777" w:rsidR="00622884" w:rsidRPr="00622884" w:rsidRDefault="00622884" w:rsidP="00622884">
      <w:pPr>
        <w:keepNext/>
        <w:keepLines/>
        <w:spacing w:after="0" w:line="240" w:lineRule="auto"/>
        <w:ind w:firstLine="284"/>
        <w:outlineLvl w:val="1"/>
        <w:rPr>
          <w:rFonts w:ascii="Garamond" w:eastAsia="MS Mincho" w:hAnsi="Garamond" w:cs="Times New Roman"/>
          <w:b/>
          <w:sz w:val="24"/>
          <w:szCs w:val="24"/>
          <w:lang w:eastAsia="es-ES" w:bidi="sq-AL"/>
        </w:rPr>
      </w:pPr>
      <w:bookmarkStart w:id="244" w:name="_Toc213936230"/>
    </w:p>
    <w:p w14:paraId="151156AA" w14:textId="77777777" w:rsidR="00622884" w:rsidRPr="00622884" w:rsidRDefault="00622884" w:rsidP="00622884">
      <w:pPr>
        <w:keepNext/>
        <w:keepLines/>
        <w:spacing w:after="0" w:line="240" w:lineRule="auto"/>
        <w:ind w:firstLine="284"/>
        <w:outlineLvl w:val="1"/>
        <w:rPr>
          <w:rFonts w:ascii="Garamond" w:eastAsia="MS Mincho" w:hAnsi="Garamond" w:cs="Times New Roman"/>
          <w:bCs/>
          <w:caps/>
          <w:sz w:val="24"/>
          <w:szCs w:val="24"/>
          <w:lang w:eastAsia="es-ES"/>
        </w:rPr>
      </w:pPr>
      <w:r w:rsidRPr="00622884">
        <w:rPr>
          <w:rFonts w:ascii="Garamond" w:eastAsia="MS Mincho" w:hAnsi="Garamond" w:cs="Times New Roman"/>
          <w:sz w:val="24"/>
          <w:szCs w:val="24"/>
          <w:lang w:eastAsia="es-ES" w:bidi="sq-AL"/>
        </w:rPr>
        <w:t>4.2 Cenueshmëritë klimatike dhe risqet në nivel kombëtar</w:t>
      </w:r>
      <w:bookmarkEnd w:id="244"/>
    </w:p>
    <w:p w14:paraId="553665B0" w14:textId="77777777" w:rsidR="00622884" w:rsidRPr="00622884" w:rsidRDefault="00622884" w:rsidP="00622884">
      <w:pPr>
        <w:spacing w:after="0" w:line="240" w:lineRule="auto"/>
        <w:ind w:firstLine="284"/>
        <w:rPr>
          <w:rFonts w:ascii="Garamond" w:eastAsia="SimSun" w:hAnsi="Garamond" w:cs="Calibri Light"/>
          <w:bCs/>
          <w:sz w:val="24"/>
          <w:szCs w:val="24"/>
          <w:lang w:eastAsia="en-US"/>
        </w:rPr>
      </w:pPr>
      <w:r w:rsidRPr="00622884">
        <w:rPr>
          <w:rFonts w:ascii="Garamond" w:eastAsia="SimSun" w:hAnsi="Garamond" w:cs="Calibri Light"/>
          <w:sz w:val="24"/>
          <w:szCs w:val="24"/>
          <w:lang w:eastAsia="en-US" w:bidi="sq-AL"/>
        </w:rPr>
        <w:t>Shqipëria është e ekspozuar ndaj rreziqeve gjeologjike (tërmeteve, rrëshqitjeve të shkëmbinjve dhe dherave), por rreziqet hidro-meteorologjike, si: përmbytjet (të shpejta), thatësirat, rrëshqitjet e dherave dhe zjarret në pyje janë rreziqet më të shpeshta, duke përbërë më shumë se 90% të dëmeve të regjistruara</w:t>
      </w:r>
      <w:r w:rsidRPr="00622884">
        <w:rPr>
          <w:rFonts w:ascii="Garamond" w:eastAsia="SimSun" w:hAnsi="Garamond" w:cs="Calibri Light"/>
          <w:sz w:val="24"/>
          <w:szCs w:val="24"/>
          <w:vertAlign w:val="superscript"/>
          <w:lang w:eastAsia="en-US" w:bidi="sq-AL"/>
        </w:rPr>
        <w:footnoteReference w:id="171"/>
      </w:r>
      <w:r w:rsidRPr="00622884">
        <w:rPr>
          <w:rFonts w:ascii="Garamond" w:eastAsia="SimSun" w:hAnsi="Garamond" w:cs="Calibri Light"/>
          <w:sz w:val="24"/>
          <w:szCs w:val="24"/>
          <w:lang w:eastAsia="en-US" w:bidi="sq-AL"/>
        </w:rPr>
        <w:t>. Në vitin 2023, bazuar në cenueshmërinë dhe gatishmërinë ndaj risqeve dhe krizave, Indeksi i Vendeve ND-GAIN</w:t>
      </w:r>
      <w:r w:rsidRPr="00622884">
        <w:rPr>
          <w:rFonts w:ascii="Garamond" w:eastAsia="SimSun" w:hAnsi="Garamond" w:cs="Calibri Light"/>
          <w:sz w:val="24"/>
          <w:szCs w:val="24"/>
          <w:vertAlign w:val="superscript"/>
          <w:lang w:eastAsia="en-US" w:bidi="sq-AL"/>
        </w:rPr>
        <w:footnoteReference w:id="172"/>
      </w:r>
      <w:r w:rsidRPr="00622884">
        <w:rPr>
          <w:rFonts w:ascii="Garamond" w:eastAsia="SimSun" w:hAnsi="Garamond" w:cs="Calibri Light"/>
          <w:sz w:val="24"/>
          <w:szCs w:val="24"/>
          <w:lang w:eastAsia="en-US" w:bidi="sq-AL"/>
        </w:rPr>
        <w:t xml:space="preserve"> e renditi Shqipërinë në vendin e 80-të (nga 185 vende të vlerësuara)</w:t>
      </w:r>
      <w:r w:rsidRPr="00622884">
        <w:rPr>
          <w:rFonts w:ascii="Garamond" w:eastAsia="SimSun" w:hAnsi="Garamond" w:cs="Calibri Light"/>
          <w:sz w:val="24"/>
          <w:szCs w:val="24"/>
          <w:vertAlign w:val="superscript"/>
          <w:lang w:eastAsia="en-US" w:bidi="sq-AL"/>
        </w:rPr>
        <w:footnoteReference w:id="173"/>
      </w:r>
      <w:r w:rsidRPr="00622884">
        <w:rPr>
          <w:rFonts w:ascii="Garamond" w:eastAsia="SimSun" w:hAnsi="Garamond" w:cs="Calibri Light"/>
          <w:sz w:val="24"/>
          <w:szCs w:val="24"/>
          <w:lang w:eastAsia="en-US" w:bidi="sq-AL"/>
        </w:rPr>
        <w:t>. Kjo krahasohet negativisht me vendet e tjera të BE-së dhe, gjithashtu, renditet pas vendeve të Ballkanit Perëndimor</w:t>
      </w:r>
      <w:r w:rsidRPr="00622884">
        <w:rPr>
          <w:rFonts w:ascii="Garamond" w:eastAsia="SimSun" w:hAnsi="Garamond" w:cs="Calibri Light"/>
          <w:sz w:val="24"/>
          <w:szCs w:val="24"/>
          <w:vertAlign w:val="superscript"/>
          <w:lang w:eastAsia="en-US" w:bidi="sq-AL"/>
        </w:rPr>
        <w:footnoteReference w:id="174"/>
      </w:r>
      <w:r w:rsidRPr="00622884">
        <w:rPr>
          <w:rFonts w:ascii="Garamond" w:eastAsia="SimSun" w:hAnsi="Garamond" w:cs="Calibri Light"/>
          <w:sz w:val="24"/>
          <w:szCs w:val="24"/>
          <w:lang w:eastAsia="en-US" w:bidi="sq-AL"/>
        </w:rPr>
        <w:t>. Shqipëria ka përjetuar shumë raste përmbytjesh gjatë shekullit të fundit: sipas Sistemit të Menaxhimit të Informacionit për Fatkeqësitë (DesInventar), janë regjistruar 504 raste përmbytjesh në ultësirën perëndimore gjatë periudhës 1900</w:t>
      </w:r>
      <w:r w:rsidRPr="00622884">
        <w:rPr>
          <w:rFonts w:ascii="Garamond" w:eastAsia="SimSun" w:hAnsi="Garamond" w:cs="Times New Roman"/>
          <w:color w:val="1D3C5A"/>
          <w:sz w:val="24"/>
          <w:szCs w:val="24"/>
          <w:lang w:eastAsia="en-US"/>
        </w:rPr>
        <w:t>–</w:t>
      </w:r>
      <w:r w:rsidRPr="00622884">
        <w:rPr>
          <w:rFonts w:ascii="Garamond" w:eastAsia="SimSun" w:hAnsi="Garamond" w:cs="Calibri Light"/>
          <w:sz w:val="24"/>
          <w:szCs w:val="24"/>
          <w:lang w:eastAsia="en-US" w:bidi="sq-AL"/>
        </w:rPr>
        <w:t>2018</w:t>
      </w:r>
      <w:r w:rsidRPr="00622884">
        <w:rPr>
          <w:rFonts w:ascii="Garamond" w:eastAsia="SimSun" w:hAnsi="Garamond" w:cs="Calibri Light"/>
          <w:sz w:val="24"/>
          <w:szCs w:val="24"/>
          <w:vertAlign w:val="superscript"/>
          <w:lang w:eastAsia="en-US" w:bidi="sq-AL"/>
        </w:rPr>
        <w:footnoteReference w:id="175"/>
      </w:r>
      <w:r w:rsidRPr="00622884">
        <w:rPr>
          <w:rFonts w:ascii="Garamond" w:eastAsia="SimSun" w:hAnsi="Garamond" w:cs="Calibri Light"/>
          <w:sz w:val="24"/>
          <w:szCs w:val="24"/>
          <w:lang w:eastAsia="en-US" w:bidi="sq-AL"/>
        </w:rPr>
        <w:t>. Në rastet e thatësirës, veçohet thatësira e viteve 1989</w:t>
      </w:r>
      <w:r w:rsidRPr="00622884">
        <w:rPr>
          <w:rFonts w:ascii="Garamond" w:eastAsia="SimSun" w:hAnsi="Garamond" w:cs="Times New Roman"/>
          <w:color w:val="1D3C5A"/>
          <w:sz w:val="24"/>
          <w:szCs w:val="24"/>
          <w:lang w:eastAsia="en-US"/>
        </w:rPr>
        <w:t>–</w:t>
      </w:r>
      <w:r w:rsidRPr="00622884">
        <w:rPr>
          <w:rFonts w:ascii="Garamond" w:eastAsia="SimSun" w:hAnsi="Garamond" w:cs="Calibri Light"/>
          <w:sz w:val="24"/>
          <w:szCs w:val="24"/>
          <w:lang w:eastAsia="en-US" w:bidi="sq-AL"/>
        </w:rPr>
        <w:t>1991, e cila preku mbi 3 milionë njerëz dhe shkaktoi rreth 24 milionë dollarë amerikanë humbje ekonomike; ekonomisë shqiptare iu deshën gati gjashtë vjet për t’u rikthyer në nivelet para thatësirës</w:t>
      </w:r>
      <w:r w:rsidRPr="00622884">
        <w:rPr>
          <w:rFonts w:ascii="Garamond" w:eastAsia="SimSun" w:hAnsi="Garamond" w:cs="Calibri Light"/>
          <w:sz w:val="24"/>
          <w:szCs w:val="24"/>
          <w:vertAlign w:val="superscript"/>
          <w:lang w:eastAsia="en-US" w:bidi="sq-AL"/>
        </w:rPr>
        <w:footnoteReference w:id="176"/>
      </w:r>
      <w:r w:rsidRPr="00622884">
        <w:rPr>
          <w:rFonts w:ascii="Garamond" w:eastAsia="SimSun" w:hAnsi="Garamond" w:cs="Calibri Light"/>
          <w:sz w:val="24"/>
          <w:szCs w:val="24"/>
          <w:lang w:eastAsia="en-US" w:bidi="sq-AL"/>
        </w:rPr>
        <w:t>. Thatësirat shkaktojnë, gjithashtu, mungesa të rënda energjie: thatësira e vitit 2007 uli prodhimin e hidrocentralit të Fierzës me 33%. Të gjitha cenueshmëritë e shkaktuara nga ndryshimet klimatike do të kenë pasoja të rëndësishme për sektorët kryesorë ekonomikë dhe do të paraqesin pengesa të konsiderueshme për zhvillimin e vazhdueshëm të vendit. Vlerësimet e kujdesshme tregojnë se dëmet ekonomike të lidhura me klimën mund të arrijnë deri në 7% të PBB-së vetëm në vitin 2050</w:t>
      </w:r>
      <w:r w:rsidRPr="00622884">
        <w:rPr>
          <w:rFonts w:ascii="Garamond" w:eastAsia="SimSun" w:hAnsi="Garamond" w:cs="Calibri Light"/>
          <w:sz w:val="24"/>
          <w:szCs w:val="24"/>
          <w:vertAlign w:val="superscript"/>
          <w:lang w:eastAsia="en-US" w:bidi="sq-AL"/>
        </w:rPr>
        <w:footnoteReference w:id="177"/>
      </w:r>
      <w:r w:rsidRPr="00622884">
        <w:rPr>
          <w:rFonts w:ascii="Garamond" w:eastAsia="SimSun" w:hAnsi="Garamond" w:cs="Calibri Light"/>
          <w:sz w:val="24"/>
          <w:szCs w:val="24"/>
          <w:lang w:eastAsia="en-US" w:bidi="sq-AL"/>
        </w:rPr>
        <w:t>.</w:t>
      </w:r>
    </w:p>
    <w:p w14:paraId="22E7F80A" w14:textId="77777777" w:rsidR="00622884" w:rsidRPr="00622884" w:rsidRDefault="00622884" w:rsidP="00622884">
      <w:pPr>
        <w:spacing w:after="0" w:line="240" w:lineRule="auto"/>
        <w:ind w:firstLine="284"/>
        <w:rPr>
          <w:rFonts w:ascii="Garamond" w:eastAsia="SimSun" w:hAnsi="Garamond" w:cs="Calibri Light"/>
          <w:sz w:val="24"/>
          <w:szCs w:val="24"/>
          <w:lang w:eastAsia="en-US" w:bidi="sq-AL"/>
        </w:rPr>
      </w:pPr>
      <w:r w:rsidRPr="00622884">
        <w:rPr>
          <w:rFonts w:ascii="Garamond" w:eastAsia="SimSun" w:hAnsi="Garamond" w:cs="Calibri Light"/>
          <w:sz w:val="24"/>
          <w:szCs w:val="24"/>
          <w:lang w:eastAsia="en-US" w:bidi="sq-AL"/>
        </w:rPr>
        <w:t xml:space="preserve">Për të analizuar këto cenueshmëri në mënyrë sistematike, vlerësimet e riskut të ndërmarra në këtë NAP kanë përdorur kornizën konceptuale për vlerësimet e rrezikut klimatik, siç paraqitet në Raportin AR6 të PNNK për Ndikimet, Përshtatjen dhe Cenueshmërinë (2022). Kjo kornizë konsideron se risku është potenciali për pasoja (efekte ose ndikime) mbi sistemet natyrore dhe njerëzore, që rezulton nga ndërveprimi ndërmjet rrezikut, ekspozimit dhe cenueshmërisë, e cila nga ana e saj është rezultat i ndërveprimit të ndjeshmërisë ose brishtësisë së një sistemi dhe kapacitetit të tij për t’u përgatitur dhe për të reaguar. Më poshtë paraqitet korniza konceptuale dhe më tej përkufizimet. </w:t>
      </w:r>
      <w:r w:rsidRPr="00622884">
        <w:rPr>
          <w:rFonts w:ascii="Garamond" w:eastAsia="SimSun" w:hAnsi="Garamond" w:cs="Calibri Light"/>
          <w:sz w:val="24"/>
          <w:szCs w:val="24"/>
          <w:lang w:eastAsia="en-US" w:bidi="sq-AL"/>
        </w:rPr>
        <w:fldChar w:fldCharType="begin"/>
      </w:r>
      <w:r w:rsidRPr="00622884">
        <w:rPr>
          <w:rFonts w:ascii="Garamond" w:eastAsia="SimSun" w:hAnsi="Garamond" w:cs="Calibri Light"/>
          <w:sz w:val="24"/>
          <w:szCs w:val="24"/>
          <w:lang w:eastAsia="en-US" w:bidi="sq-AL"/>
        </w:rPr>
        <w:instrText xml:space="preserve"> REF _Ref210994425  \* MERGEFORMAT </w:instrText>
      </w:r>
      <w:r w:rsidRPr="00622884">
        <w:rPr>
          <w:rFonts w:ascii="Garamond" w:eastAsia="SimSun" w:hAnsi="Garamond" w:cs="Calibri Light"/>
          <w:sz w:val="24"/>
          <w:szCs w:val="24"/>
          <w:lang w:eastAsia="en-US" w:bidi="sq-AL"/>
        </w:rPr>
        <w:fldChar w:fldCharType="separate"/>
      </w:r>
      <w:r w:rsidRPr="00622884">
        <w:rPr>
          <w:rFonts w:ascii="Garamond" w:eastAsia="SimSun" w:hAnsi="Garamond" w:cs="Calibri Light"/>
          <w:sz w:val="24"/>
          <w:szCs w:val="24"/>
          <w:lang w:eastAsia="en-US" w:bidi="sq-AL"/>
        </w:rPr>
        <w:t>Figura 18</w:t>
      </w:r>
      <w:r w:rsidRPr="00622884">
        <w:rPr>
          <w:rFonts w:ascii="Garamond" w:eastAsia="SimSun" w:hAnsi="Garamond" w:cs="Calibri Light"/>
          <w:sz w:val="24"/>
          <w:szCs w:val="24"/>
          <w:lang w:eastAsia="en-US" w:bidi="sq-AL"/>
        </w:rPr>
        <w:fldChar w:fldCharType="end"/>
      </w:r>
      <w:r w:rsidRPr="00622884">
        <w:rPr>
          <w:rFonts w:ascii="Garamond" w:eastAsia="SimSun" w:hAnsi="Garamond" w:cs="Calibri Light"/>
          <w:sz w:val="24"/>
          <w:szCs w:val="24"/>
          <w:lang w:eastAsia="en-US" w:bidi="sq-AL"/>
        </w:rPr>
        <w:t xml:space="preserve"> paraqet një skemë ku tregohet marrëdhënia ndërmjet klimës dhe proceseve socio-ekonomike.</w:t>
      </w:r>
    </w:p>
    <w:p w14:paraId="38236F13" w14:textId="77777777" w:rsidR="00622884" w:rsidRPr="00622884" w:rsidRDefault="00622884" w:rsidP="00622884">
      <w:pPr>
        <w:spacing w:after="0" w:line="240" w:lineRule="auto"/>
        <w:ind w:firstLine="284"/>
        <w:rPr>
          <w:rFonts w:ascii="Garamond" w:eastAsia="Times New Roman" w:hAnsi="Garamond" w:cs="Calibri Light"/>
          <w:sz w:val="24"/>
          <w:szCs w:val="24"/>
          <w:lang w:eastAsia="en-US"/>
        </w:rPr>
      </w:pPr>
    </w:p>
    <w:p w14:paraId="426904C4" w14:textId="77777777" w:rsidR="00622884" w:rsidRPr="00622884" w:rsidRDefault="00622884" w:rsidP="00622884">
      <w:pPr>
        <w:keepNext/>
        <w:spacing w:after="0" w:line="240" w:lineRule="auto"/>
        <w:ind w:firstLine="284"/>
        <w:jc w:val="center"/>
        <w:rPr>
          <w:rFonts w:ascii="Garamond" w:eastAsia="Calibri" w:hAnsi="Garamond" w:cs="Calibri Light"/>
          <w:sz w:val="24"/>
          <w:szCs w:val="24"/>
          <w:lang w:eastAsia="en-US"/>
        </w:rPr>
      </w:pPr>
      <w:r w:rsidRPr="00622884">
        <w:rPr>
          <w:rFonts w:ascii="Garamond" w:eastAsia="Calibri" w:hAnsi="Garamond" w:cs="Times New Roman"/>
          <w:noProof/>
          <w:sz w:val="24"/>
          <w:szCs w:val="24"/>
          <w:lang w:eastAsia="sq-AL"/>
        </w:rPr>
        <w:lastRenderedPageBreak/>
        <w:drawing>
          <wp:inline distT="0" distB="0" distL="0" distR="0" wp14:anchorId="16E7D666" wp14:editId="5718B369">
            <wp:extent cx="4987447" cy="2064641"/>
            <wp:effectExtent l="0" t="0" r="3810" b="0"/>
            <wp:docPr id="652" name="Picture 652" descr="Afbeelding met tekst, schermopname, Lettertype, diagram&#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descr="Afbeelding met tekst, schermopname, Lettertype, diagram&#10;&#10;Automatisch gegenereerde beschrijving"/>
                    <pic:cNvPicPr>
                      <a:picLocks noChangeAspect="1" noChangeArrowheads="1"/>
                    </pic:cNvPicPr>
                  </pic:nvPicPr>
                  <pic:blipFill>
                    <a:blip r:embed="rId93">
                      <a:extLst>
                        <a:ext uri="{28A0092B-C50C-407E-A947-70E740481C1C}">
                          <a14:useLocalDpi xmlns:a14="http://schemas.microsoft.com/office/drawing/2010/main" val="0"/>
                        </a:ext>
                      </a:extLst>
                    </a:blip>
                    <a:srcRect l="3026" t="3120" r="3714" b="5785"/>
                    <a:stretch>
                      <a:fillRect/>
                    </a:stretch>
                  </pic:blipFill>
                  <pic:spPr bwMode="auto">
                    <a:xfrm>
                      <a:off x="0" y="0"/>
                      <a:ext cx="5001399" cy="2070417"/>
                    </a:xfrm>
                    <a:prstGeom prst="rect">
                      <a:avLst/>
                    </a:prstGeom>
                    <a:noFill/>
                    <a:ln>
                      <a:noFill/>
                    </a:ln>
                  </pic:spPr>
                </pic:pic>
              </a:graphicData>
            </a:graphic>
          </wp:inline>
        </w:drawing>
      </w:r>
      <w:bookmarkStart w:id="245" w:name="_Toc213936103"/>
    </w:p>
    <w:p w14:paraId="51E8BD60" w14:textId="77777777" w:rsidR="00622884" w:rsidRPr="00622884" w:rsidRDefault="00622884" w:rsidP="00622884">
      <w:pPr>
        <w:spacing w:after="0" w:line="240" w:lineRule="auto"/>
        <w:ind w:firstLine="284"/>
        <w:jc w:val="center"/>
        <w:rPr>
          <w:rFonts w:ascii="Garamond" w:eastAsia="Aptos" w:hAnsi="Garamond" w:cs="Arial"/>
          <w:i/>
          <w:iCs/>
          <w:sz w:val="20"/>
          <w:szCs w:val="20"/>
          <w:lang w:eastAsia="en-US" w:bidi="sq-AL"/>
        </w:rPr>
      </w:pPr>
      <w:r w:rsidRPr="00622884">
        <w:rPr>
          <w:rFonts w:ascii="Garamond" w:eastAsia="Aptos" w:hAnsi="Garamond" w:cs="Arial"/>
          <w:i/>
          <w:iCs/>
          <w:sz w:val="20"/>
          <w:szCs w:val="20"/>
          <w:lang w:eastAsia="en-US" w:bidi="sq-AL"/>
        </w:rPr>
        <w:t>Figura 18. Marrëdhënia ndërmjet klimës dhe proceseve socio-ekonomike.</w:t>
      </w:r>
    </w:p>
    <w:p w14:paraId="68B5F479" w14:textId="77777777" w:rsidR="00622884" w:rsidRPr="00622884" w:rsidRDefault="00622884" w:rsidP="00622884">
      <w:pPr>
        <w:spacing w:after="0" w:line="240" w:lineRule="auto"/>
        <w:ind w:firstLine="284"/>
        <w:jc w:val="right"/>
        <w:rPr>
          <w:rFonts w:ascii="Garamond" w:eastAsia="Aptos" w:hAnsi="Garamond" w:cs="Arial"/>
          <w:i/>
          <w:iCs/>
          <w:sz w:val="24"/>
          <w:szCs w:val="24"/>
          <w:lang w:eastAsia="en-US" w:bidi="sq-AL"/>
        </w:rPr>
      </w:pPr>
    </w:p>
    <w:p w14:paraId="2770B5AD" w14:textId="77777777" w:rsidR="00622884" w:rsidRPr="00622884" w:rsidRDefault="00622884" w:rsidP="00622884">
      <w:pPr>
        <w:spacing w:after="0" w:line="240" w:lineRule="auto"/>
        <w:ind w:firstLine="284"/>
        <w:jc w:val="right"/>
        <w:rPr>
          <w:rFonts w:ascii="Garamond" w:eastAsia="Aptos" w:hAnsi="Garamond" w:cs="Arial"/>
          <w:i/>
          <w:iCs/>
          <w:sz w:val="24"/>
          <w:szCs w:val="24"/>
          <w:lang w:eastAsia="en-US" w:bidi="sq-AL"/>
        </w:rPr>
      </w:pPr>
    </w:p>
    <w:bookmarkEnd w:id="245"/>
    <w:p w14:paraId="29F68105" w14:textId="77777777" w:rsidR="00622884" w:rsidRPr="00622884" w:rsidRDefault="00622884" w:rsidP="00622884">
      <w:pPr>
        <w:spacing w:after="0" w:line="240" w:lineRule="auto"/>
        <w:ind w:firstLine="284"/>
        <w:rPr>
          <w:rFonts w:ascii="Garamond" w:eastAsia="Aptos" w:hAnsi="Garamond" w:cs="Arial"/>
          <w:b/>
          <w:iCs/>
          <w:sz w:val="24"/>
          <w:szCs w:val="24"/>
          <w:lang w:eastAsia="en-US"/>
        </w:rPr>
      </w:pPr>
      <w:r w:rsidRPr="00622884">
        <w:rPr>
          <w:rFonts w:ascii="Garamond" w:eastAsia="Aptos" w:hAnsi="Garamond" w:cs="Arial"/>
          <w:b/>
          <w:iCs/>
          <w:sz w:val="24"/>
          <w:szCs w:val="24"/>
          <w:lang w:eastAsia="en-US"/>
        </w:rPr>
        <w:t>Tabela 2: Vlerësimi i riskut: koncepte dhe përkufizime.</w:t>
      </w:r>
    </w:p>
    <w:tbl>
      <w:tblPr>
        <w:tblW w:w="9062" w:type="dxa"/>
        <w:tblBorders>
          <w:top w:val="single" w:sz="4" w:space="0" w:color="1D3C5A"/>
          <w:left w:val="single" w:sz="4" w:space="0" w:color="1D3C5A"/>
          <w:bottom w:val="single" w:sz="4" w:space="0" w:color="1D3C5A"/>
          <w:right w:val="single" w:sz="4" w:space="0" w:color="1D3C5A"/>
          <w:insideH w:val="single" w:sz="4" w:space="0" w:color="1D3C5A"/>
          <w:insideV w:val="single" w:sz="4" w:space="0" w:color="1D3C5A"/>
        </w:tblBorders>
        <w:tblCellMar>
          <w:left w:w="0" w:type="dxa"/>
          <w:right w:w="0" w:type="dxa"/>
        </w:tblCellMar>
        <w:tblLook w:val="04A0" w:firstRow="1" w:lastRow="0" w:firstColumn="1" w:lastColumn="0" w:noHBand="0" w:noVBand="1"/>
      </w:tblPr>
      <w:tblGrid>
        <w:gridCol w:w="1497"/>
        <w:gridCol w:w="7565"/>
      </w:tblGrid>
      <w:tr w:rsidR="00622884" w:rsidRPr="00622884" w14:paraId="32877FFE" w14:textId="77777777" w:rsidTr="00622884">
        <w:trPr>
          <w:trHeight w:val="20"/>
          <w:tblHeader/>
        </w:trPr>
        <w:tc>
          <w:tcPr>
            <w:tcW w:w="1444" w:type="dxa"/>
            <w:shd w:val="clear" w:color="auto" w:fill="215A5C"/>
            <w:tcMar>
              <w:top w:w="15" w:type="dxa"/>
              <w:left w:w="138" w:type="dxa"/>
              <w:bottom w:w="0" w:type="dxa"/>
              <w:right w:w="138" w:type="dxa"/>
            </w:tcMar>
            <w:vAlign w:val="center"/>
            <w:hideMark/>
          </w:tcPr>
          <w:p w14:paraId="70C0681E" w14:textId="77777777" w:rsidR="00622884" w:rsidRPr="00622884" w:rsidRDefault="00622884" w:rsidP="00622884">
            <w:pPr>
              <w:spacing w:after="0" w:line="240" w:lineRule="auto"/>
              <w:jc w:val="center"/>
              <w:rPr>
                <w:rFonts w:ascii="Garamond" w:eastAsia="Calibri" w:hAnsi="Garamond" w:cs="Calibri Light"/>
                <w:sz w:val="20"/>
                <w:szCs w:val="20"/>
                <w:lang w:eastAsia="en-US"/>
              </w:rPr>
            </w:pPr>
            <w:r w:rsidRPr="00622884">
              <w:rPr>
                <w:rFonts w:ascii="Garamond" w:eastAsia="Calibri" w:hAnsi="Garamond" w:cs="Times New Roman"/>
                <w:b/>
                <w:sz w:val="20"/>
                <w:szCs w:val="20"/>
                <w:lang w:eastAsia="en-US" w:bidi="sq-AL"/>
              </w:rPr>
              <w:t>Koncepti</w:t>
            </w:r>
          </w:p>
        </w:tc>
        <w:tc>
          <w:tcPr>
            <w:tcW w:w="7618" w:type="dxa"/>
            <w:shd w:val="clear" w:color="auto" w:fill="215A5C"/>
            <w:tcMar>
              <w:top w:w="15" w:type="dxa"/>
              <w:left w:w="138" w:type="dxa"/>
              <w:bottom w:w="0" w:type="dxa"/>
              <w:right w:w="138" w:type="dxa"/>
            </w:tcMar>
            <w:vAlign w:val="center"/>
            <w:hideMark/>
          </w:tcPr>
          <w:p w14:paraId="206735CB" w14:textId="77777777" w:rsidR="00622884" w:rsidRPr="00622884" w:rsidRDefault="00622884" w:rsidP="00622884">
            <w:pPr>
              <w:spacing w:after="0" w:line="240" w:lineRule="auto"/>
              <w:rPr>
                <w:rFonts w:ascii="Garamond" w:eastAsia="Calibri" w:hAnsi="Garamond" w:cs="Calibri Light"/>
                <w:sz w:val="20"/>
                <w:szCs w:val="20"/>
                <w:lang w:eastAsia="en-US"/>
              </w:rPr>
            </w:pPr>
            <w:r w:rsidRPr="00622884">
              <w:rPr>
                <w:rFonts w:ascii="Garamond" w:eastAsia="Calibri" w:hAnsi="Garamond" w:cs="Times New Roman"/>
                <w:b/>
                <w:sz w:val="20"/>
                <w:szCs w:val="20"/>
                <w:lang w:eastAsia="en-US" w:bidi="sq-AL"/>
              </w:rPr>
              <w:t>Përkufizimi</w:t>
            </w:r>
          </w:p>
        </w:tc>
      </w:tr>
      <w:tr w:rsidR="00622884" w:rsidRPr="00622884" w14:paraId="075E7AB1" w14:textId="77777777" w:rsidTr="00622884">
        <w:trPr>
          <w:trHeight w:val="20"/>
        </w:trPr>
        <w:tc>
          <w:tcPr>
            <w:tcW w:w="1444" w:type="dxa"/>
            <w:shd w:val="clear" w:color="auto" w:fill="DFEAF5"/>
            <w:tcMar>
              <w:top w:w="15" w:type="dxa"/>
              <w:left w:w="138" w:type="dxa"/>
              <w:bottom w:w="0" w:type="dxa"/>
              <w:right w:w="138" w:type="dxa"/>
            </w:tcMar>
            <w:vAlign w:val="center"/>
            <w:hideMark/>
          </w:tcPr>
          <w:p w14:paraId="1346058C" w14:textId="77777777" w:rsidR="00622884" w:rsidRPr="00622884" w:rsidRDefault="00622884" w:rsidP="00622884">
            <w:pPr>
              <w:spacing w:after="0" w:line="240" w:lineRule="auto"/>
              <w:jc w:val="center"/>
              <w:rPr>
                <w:rFonts w:ascii="Garamond" w:eastAsia="Calibri" w:hAnsi="Garamond" w:cs="Calibri Light"/>
                <w:sz w:val="20"/>
                <w:szCs w:val="20"/>
                <w:lang w:eastAsia="en-US"/>
              </w:rPr>
            </w:pPr>
            <w:r w:rsidRPr="00622884">
              <w:rPr>
                <w:rFonts w:ascii="Garamond" w:eastAsia="Calibri" w:hAnsi="Garamond" w:cs="Times New Roman"/>
                <w:b/>
                <w:sz w:val="20"/>
                <w:szCs w:val="20"/>
                <w:lang w:eastAsia="en-US" w:bidi="sq-AL"/>
              </w:rPr>
              <w:t>Rreziku</w:t>
            </w:r>
          </w:p>
        </w:tc>
        <w:tc>
          <w:tcPr>
            <w:tcW w:w="7618" w:type="dxa"/>
            <w:tcMar>
              <w:top w:w="15" w:type="dxa"/>
              <w:left w:w="138" w:type="dxa"/>
              <w:bottom w:w="0" w:type="dxa"/>
              <w:right w:w="138" w:type="dxa"/>
            </w:tcMar>
            <w:vAlign w:val="center"/>
            <w:hideMark/>
          </w:tcPr>
          <w:p w14:paraId="004F9046" w14:textId="77777777" w:rsidR="00622884" w:rsidRPr="00622884" w:rsidRDefault="00622884" w:rsidP="00622884">
            <w:pPr>
              <w:spacing w:after="0" w:line="240" w:lineRule="auto"/>
              <w:rPr>
                <w:rFonts w:ascii="Garamond" w:eastAsia="Calibri" w:hAnsi="Garamond" w:cs="Calibri Light"/>
                <w:sz w:val="20"/>
                <w:szCs w:val="20"/>
                <w:lang w:eastAsia="en-US"/>
              </w:rPr>
            </w:pPr>
            <w:r w:rsidRPr="00622884">
              <w:rPr>
                <w:rFonts w:ascii="Garamond" w:eastAsia="Calibri" w:hAnsi="Garamond" w:cs="Times New Roman"/>
                <w:sz w:val="20"/>
                <w:szCs w:val="20"/>
                <w:lang w:eastAsia="en-US" w:bidi="sq-AL"/>
              </w:rPr>
              <w:t>Ngjarja ose prirja e mundshme natyrore ose e shkaktuar nga njeriu që mund të sjellë humbje, lëndime ose pasoja të tjera shëndetësore, si dhe dëme e humbje të pasurisë, infrastrukturës, mjeteve të jetesës, ofrimit të shërbimeve, ekosistemeve dhe burimeve.</w:t>
            </w:r>
          </w:p>
        </w:tc>
      </w:tr>
      <w:tr w:rsidR="00622884" w:rsidRPr="00622884" w14:paraId="5F5C8A75" w14:textId="77777777" w:rsidTr="00622884">
        <w:trPr>
          <w:trHeight w:val="20"/>
        </w:trPr>
        <w:tc>
          <w:tcPr>
            <w:tcW w:w="1444" w:type="dxa"/>
            <w:shd w:val="clear" w:color="auto" w:fill="DFEAF5"/>
            <w:tcMar>
              <w:top w:w="15" w:type="dxa"/>
              <w:left w:w="138" w:type="dxa"/>
              <w:bottom w:w="0" w:type="dxa"/>
              <w:right w:w="138" w:type="dxa"/>
            </w:tcMar>
            <w:vAlign w:val="center"/>
            <w:hideMark/>
          </w:tcPr>
          <w:p w14:paraId="4E9580B0" w14:textId="77777777" w:rsidR="00622884" w:rsidRPr="00622884" w:rsidRDefault="00622884" w:rsidP="00622884">
            <w:pPr>
              <w:spacing w:after="0" w:line="240" w:lineRule="auto"/>
              <w:jc w:val="center"/>
              <w:rPr>
                <w:rFonts w:ascii="Garamond" w:eastAsia="Calibri" w:hAnsi="Garamond" w:cs="Calibri Light"/>
                <w:sz w:val="20"/>
                <w:szCs w:val="20"/>
                <w:lang w:eastAsia="en-US"/>
              </w:rPr>
            </w:pPr>
            <w:r w:rsidRPr="00622884">
              <w:rPr>
                <w:rFonts w:ascii="Garamond" w:eastAsia="Calibri" w:hAnsi="Garamond" w:cs="Times New Roman"/>
                <w:b/>
                <w:sz w:val="20"/>
                <w:szCs w:val="20"/>
                <w:lang w:eastAsia="en-US" w:bidi="sq-AL"/>
              </w:rPr>
              <w:t>Ekspozimi</w:t>
            </w:r>
          </w:p>
        </w:tc>
        <w:tc>
          <w:tcPr>
            <w:tcW w:w="7618" w:type="dxa"/>
            <w:tcMar>
              <w:top w:w="15" w:type="dxa"/>
              <w:left w:w="138" w:type="dxa"/>
              <w:bottom w:w="0" w:type="dxa"/>
              <w:right w:w="138" w:type="dxa"/>
            </w:tcMar>
            <w:vAlign w:val="center"/>
            <w:hideMark/>
          </w:tcPr>
          <w:p w14:paraId="5876C47B" w14:textId="77777777" w:rsidR="00622884" w:rsidRPr="00622884" w:rsidRDefault="00622884" w:rsidP="00622884">
            <w:pPr>
              <w:spacing w:after="0" w:line="240" w:lineRule="auto"/>
              <w:rPr>
                <w:rFonts w:ascii="Garamond" w:eastAsia="Calibri" w:hAnsi="Garamond" w:cs="Calibri Light"/>
                <w:sz w:val="20"/>
                <w:szCs w:val="20"/>
                <w:lang w:eastAsia="en-US"/>
              </w:rPr>
            </w:pPr>
            <w:r w:rsidRPr="00622884">
              <w:rPr>
                <w:rFonts w:ascii="Garamond" w:eastAsia="Calibri" w:hAnsi="Garamond" w:cs="Times New Roman"/>
                <w:sz w:val="20"/>
                <w:szCs w:val="20"/>
                <w:lang w:eastAsia="en-US" w:bidi="sq-AL"/>
              </w:rPr>
              <w:t>Prania e njerëzve, llojeve ose ekosistemeve, funksioneve, shërbimeve dhe burimeve mjedisore, infrastrukturës ose aseteve ekonomike, sociale apo kulturore në vende dhe mjedise që mund të preken negativisht nga ndryshimet në variablat klimatike.</w:t>
            </w:r>
          </w:p>
        </w:tc>
      </w:tr>
      <w:tr w:rsidR="00622884" w:rsidRPr="00622884" w14:paraId="4428A002" w14:textId="77777777" w:rsidTr="00622884">
        <w:trPr>
          <w:trHeight w:val="20"/>
        </w:trPr>
        <w:tc>
          <w:tcPr>
            <w:tcW w:w="1444" w:type="dxa"/>
            <w:shd w:val="clear" w:color="auto" w:fill="DFEAF5"/>
            <w:tcMar>
              <w:top w:w="15" w:type="dxa"/>
              <w:left w:w="138" w:type="dxa"/>
              <w:bottom w:w="0" w:type="dxa"/>
              <w:right w:w="138" w:type="dxa"/>
            </w:tcMar>
            <w:vAlign w:val="center"/>
            <w:hideMark/>
          </w:tcPr>
          <w:p w14:paraId="7C389A4B" w14:textId="77777777" w:rsidR="00622884" w:rsidRPr="00622884" w:rsidRDefault="00622884" w:rsidP="00622884">
            <w:pPr>
              <w:spacing w:after="0" w:line="240" w:lineRule="auto"/>
              <w:jc w:val="center"/>
              <w:rPr>
                <w:rFonts w:ascii="Garamond" w:eastAsia="Calibri" w:hAnsi="Garamond" w:cs="Calibri Light"/>
                <w:sz w:val="20"/>
                <w:szCs w:val="20"/>
                <w:lang w:eastAsia="en-US"/>
              </w:rPr>
            </w:pPr>
            <w:r w:rsidRPr="00622884">
              <w:rPr>
                <w:rFonts w:ascii="Garamond" w:eastAsia="Calibri" w:hAnsi="Garamond" w:cs="Times New Roman"/>
                <w:b/>
                <w:sz w:val="20"/>
                <w:szCs w:val="20"/>
                <w:lang w:eastAsia="en-US" w:bidi="sq-AL"/>
              </w:rPr>
              <w:t>Cenueshmëria</w:t>
            </w:r>
          </w:p>
        </w:tc>
        <w:tc>
          <w:tcPr>
            <w:tcW w:w="7618" w:type="dxa"/>
            <w:tcMar>
              <w:top w:w="15" w:type="dxa"/>
              <w:left w:w="138" w:type="dxa"/>
              <w:bottom w:w="0" w:type="dxa"/>
              <w:right w:w="138" w:type="dxa"/>
            </w:tcMar>
            <w:vAlign w:val="center"/>
            <w:hideMark/>
          </w:tcPr>
          <w:p w14:paraId="22842FC0" w14:textId="77777777" w:rsidR="00622884" w:rsidRPr="00622884" w:rsidRDefault="00622884" w:rsidP="00622884">
            <w:pPr>
              <w:spacing w:after="0" w:line="240" w:lineRule="auto"/>
              <w:rPr>
                <w:rFonts w:ascii="Garamond" w:eastAsia="Calibri" w:hAnsi="Garamond" w:cs="Calibri Light"/>
                <w:sz w:val="20"/>
                <w:szCs w:val="20"/>
                <w:lang w:eastAsia="en-US"/>
              </w:rPr>
            </w:pPr>
            <w:r w:rsidRPr="00622884">
              <w:rPr>
                <w:rFonts w:ascii="Garamond" w:eastAsia="Calibri" w:hAnsi="Garamond" w:cs="Times New Roman"/>
                <w:sz w:val="20"/>
                <w:szCs w:val="20"/>
                <w:lang w:eastAsia="en-US" w:bidi="sq-AL"/>
              </w:rPr>
              <w:t>Prirja për t’u prekur negativisht. Cenueshmëria përfshin ndjeshmërinë ndaj dëmit dhe kapacitetin përshtatës.</w:t>
            </w:r>
          </w:p>
        </w:tc>
      </w:tr>
      <w:tr w:rsidR="00622884" w:rsidRPr="00622884" w14:paraId="0B05FE44" w14:textId="77777777" w:rsidTr="00622884">
        <w:trPr>
          <w:trHeight w:val="20"/>
        </w:trPr>
        <w:tc>
          <w:tcPr>
            <w:tcW w:w="1444" w:type="dxa"/>
            <w:shd w:val="clear" w:color="auto" w:fill="DFEAF5"/>
            <w:tcMar>
              <w:top w:w="15" w:type="dxa"/>
              <w:left w:w="138" w:type="dxa"/>
              <w:bottom w:w="0" w:type="dxa"/>
              <w:right w:w="138" w:type="dxa"/>
            </w:tcMar>
            <w:vAlign w:val="center"/>
            <w:hideMark/>
          </w:tcPr>
          <w:p w14:paraId="658F3C99" w14:textId="77777777" w:rsidR="00622884" w:rsidRPr="00622884" w:rsidRDefault="00622884" w:rsidP="00622884">
            <w:pPr>
              <w:spacing w:after="0" w:line="240" w:lineRule="auto"/>
              <w:jc w:val="center"/>
              <w:rPr>
                <w:rFonts w:ascii="Garamond" w:eastAsia="Calibri" w:hAnsi="Garamond" w:cs="Calibri Light"/>
                <w:sz w:val="20"/>
                <w:szCs w:val="20"/>
                <w:lang w:eastAsia="en-US"/>
              </w:rPr>
            </w:pPr>
            <w:r w:rsidRPr="00622884">
              <w:rPr>
                <w:rFonts w:ascii="Garamond" w:eastAsia="Calibri" w:hAnsi="Garamond" w:cs="Times New Roman"/>
                <w:b/>
                <w:sz w:val="20"/>
                <w:szCs w:val="20"/>
                <w:lang w:eastAsia="en-US" w:bidi="sq-AL"/>
              </w:rPr>
              <w:t>Ndjeshmëria</w:t>
            </w:r>
          </w:p>
        </w:tc>
        <w:tc>
          <w:tcPr>
            <w:tcW w:w="7618" w:type="dxa"/>
            <w:tcMar>
              <w:top w:w="15" w:type="dxa"/>
              <w:left w:w="138" w:type="dxa"/>
              <w:bottom w:w="0" w:type="dxa"/>
              <w:right w:w="138" w:type="dxa"/>
            </w:tcMar>
            <w:vAlign w:val="center"/>
            <w:hideMark/>
          </w:tcPr>
          <w:p w14:paraId="4314AB8C" w14:textId="77777777" w:rsidR="00622884" w:rsidRPr="00622884" w:rsidRDefault="00622884" w:rsidP="00622884">
            <w:pPr>
              <w:spacing w:after="0" w:line="240" w:lineRule="auto"/>
              <w:rPr>
                <w:rFonts w:ascii="Garamond" w:eastAsia="Calibri" w:hAnsi="Garamond" w:cs="Calibri Light"/>
                <w:sz w:val="20"/>
                <w:szCs w:val="20"/>
                <w:lang w:eastAsia="en-US"/>
              </w:rPr>
            </w:pPr>
            <w:r w:rsidRPr="00622884">
              <w:rPr>
                <w:rFonts w:ascii="Garamond" w:eastAsia="Calibri" w:hAnsi="Garamond" w:cs="Times New Roman"/>
                <w:sz w:val="20"/>
                <w:szCs w:val="20"/>
                <w:lang w:eastAsia="en-US" w:bidi="sq-AL"/>
              </w:rPr>
              <w:t>Shkalla në të cilën një sistem mund të ndikohet negativisht ose pozitivisht nga një ekspozim i caktuar ndaj ndryshimeve klimatike. Kjo përcaktohet nga atributet natyrore dhe/ose fizike të sistemit.</w:t>
            </w:r>
          </w:p>
        </w:tc>
      </w:tr>
      <w:tr w:rsidR="00622884" w:rsidRPr="00622884" w14:paraId="454002D6" w14:textId="77777777" w:rsidTr="00622884">
        <w:trPr>
          <w:trHeight w:val="20"/>
        </w:trPr>
        <w:tc>
          <w:tcPr>
            <w:tcW w:w="1444" w:type="dxa"/>
            <w:shd w:val="clear" w:color="auto" w:fill="DFEAF5"/>
            <w:tcMar>
              <w:top w:w="15" w:type="dxa"/>
              <w:left w:w="138" w:type="dxa"/>
              <w:bottom w:w="0" w:type="dxa"/>
              <w:right w:w="138" w:type="dxa"/>
            </w:tcMar>
            <w:vAlign w:val="center"/>
            <w:hideMark/>
          </w:tcPr>
          <w:p w14:paraId="7FF83976" w14:textId="77777777" w:rsidR="00622884" w:rsidRPr="00622884" w:rsidRDefault="00622884" w:rsidP="00622884">
            <w:pPr>
              <w:spacing w:after="0" w:line="240" w:lineRule="auto"/>
              <w:jc w:val="center"/>
              <w:rPr>
                <w:rFonts w:ascii="Garamond" w:eastAsia="Calibri" w:hAnsi="Garamond" w:cs="Calibri Light"/>
                <w:sz w:val="20"/>
                <w:szCs w:val="20"/>
                <w:lang w:eastAsia="en-US"/>
              </w:rPr>
            </w:pPr>
            <w:r w:rsidRPr="00622884">
              <w:rPr>
                <w:rFonts w:ascii="Garamond" w:eastAsia="Calibri" w:hAnsi="Garamond" w:cs="Times New Roman"/>
                <w:b/>
                <w:sz w:val="20"/>
                <w:szCs w:val="20"/>
                <w:lang w:eastAsia="en-US" w:bidi="sq-AL"/>
              </w:rPr>
              <w:t>Kapaciteti përshtatës</w:t>
            </w:r>
          </w:p>
        </w:tc>
        <w:tc>
          <w:tcPr>
            <w:tcW w:w="7618" w:type="dxa"/>
            <w:tcMar>
              <w:top w:w="15" w:type="dxa"/>
              <w:left w:w="138" w:type="dxa"/>
              <w:bottom w:w="0" w:type="dxa"/>
              <w:right w:w="138" w:type="dxa"/>
            </w:tcMar>
            <w:vAlign w:val="center"/>
            <w:hideMark/>
          </w:tcPr>
          <w:p w14:paraId="70C15DFF" w14:textId="77777777" w:rsidR="00622884" w:rsidRPr="00622884" w:rsidRDefault="00622884" w:rsidP="00622884">
            <w:pPr>
              <w:spacing w:after="0" w:line="240" w:lineRule="auto"/>
              <w:rPr>
                <w:rFonts w:ascii="Garamond" w:eastAsia="Calibri" w:hAnsi="Garamond" w:cs="Calibri Light"/>
                <w:sz w:val="20"/>
                <w:szCs w:val="20"/>
                <w:lang w:eastAsia="en-US"/>
              </w:rPr>
            </w:pPr>
            <w:r w:rsidRPr="00622884">
              <w:rPr>
                <w:rFonts w:ascii="Garamond" w:eastAsia="Calibri" w:hAnsi="Garamond" w:cs="Times New Roman"/>
                <w:sz w:val="20"/>
                <w:szCs w:val="20"/>
                <w:lang w:eastAsia="en-US" w:bidi="sq-AL"/>
              </w:rPr>
              <w:t>Mundësitë ose mungesa e mundësive për t’u përshtatur me klimën aktuale ose të pritshme dhe efektet e saj. Në sistemet njerëzore, përshtatja synon të zbusë ose shmangë dëmet ose të shfrytëzojë mundësitë e dobishme. Në disa sisteme natyrore, ndërhyrja njerëzore mund të lehtësojë përshtatjen ndaj klimës së pritshme dhe efekteve të saj. Kapaciteti përshtatës u referohet faktorëve që lidhen me disponueshmërinë e informacionit dhe njohurive, ekzistencën e strukturave institucionale të qëndrueshme dhe të koordinuara, ekzistencën e burimeve njerëzore, teknologjike dhe infrastrukturore, si dhe disponueshmërinë e burimeve financiare.</w:t>
            </w:r>
          </w:p>
        </w:tc>
      </w:tr>
      <w:tr w:rsidR="00622884" w:rsidRPr="00622884" w14:paraId="14B524CE" w14:textId="77777777" w:rsidTr="00622884">
        <w:trPr>
          <w:trHeight w:val="20"/>
        </w:trPr>
        <w:tc>
          <w:tcPr>
            <w:tcW w:w="1444" w:type="dxa"/>
            <w:shd w:val="clear" w:color="auto" w:fill="DFEAF5"/>
            <w:tcMar>
              <w:top w:w="15" w:type="dxa"/>
              <w:left w:w="138" w:type="dxa"/>
              <w:bottom w:w="0" w:type="dxa"/>
              <w:right w:w="138" w:type="dxa"/>
            </w:tcMar>
            <w:vAlign w:val="center"/>
            <w:hideMark/>
          </w:tcPr>
          <w:p w14:paraId="43B9A7AE" w14:textId="77777777" w:rsidR="00622884" w:rsidRPr="00622884" w:rsidRDefault="00622884" w:rsidP="00622884">
            <w:pPr>
              <w:spacing w:after="0" w:line="240" w:lineRule="auto"/>
              <w:jc w:val="center"/>
              <w:rPr>
                <w:rFonts w:ascii="Garamond" w:eastAsia="Calibri" w:hAnsi="Garamond" w:cs="Calibri Light"/>
                <w:b/>
                <w:bCs/>
                <w:sz w:val="20"/>
                <w:szCs w:val="20"/>
                <w:lang w:eastAsia="en-US"/>
              </w:rPr>
            </w:pPr>
            <w:r w:rsidRPr="00622884">
              <w:rPr>
                <w:rFonts w:ascii="Garamond" w:eastAsia="Calibri" w:hAnsi="Garamond" w:cs="Times New Roman"/>
                <w:b/>
                <w:sz w:val="20"/>
                <w:szCs w:val="20"/>
                <w:lang w:eastAsia="en-US" w:bidi="sq-AL"/>
              </w:rPr>
              <w:t>Ndikimi</w:t>
            </w:r>
          </w:p>
        </w:tc>
        <w:tc>
          <w:tcPr>
            <w:tcW w:w="7618" w:type="dxa"/>
            <w:tcMar>
              <w:top w:w="15" w:type="dxa"/>
              <w:left w:w="138" w:type="dxa"/>
              <w:bottom w:w="0" w:type="dxa"/>
              <w:right w:w="138" w:type="dxa"/>
            </w:tcMar>
            <w:vAlign w:val="center"/>
            <w:hideMark/>
          </w:tcPr>
          <w:p w14:paraId="4462932E" w14:textId="77777777" w:rsidR="00622884" w:rsidRPr="00622884" w:rsidRDefault="00622884" w:rsidP="00622884">
            <w:pPr>
              <w:spacing w:after="0" w:line="240" w:lineRule="auto"/>
              <w:rPr>
                <w:rFonts w:ascii="Garamond" w:eastAsia="Calibri" w:hAnsi="Garamond" w:cs="Calibri Light"/>
                <w:sz w:val="20"/>
                <w:szCs w:val="20"/>
                <w:lang w:eastAsia="en-US"/>
              </w:rPr>
            </w:pPr>
            <w:r w:rsidRPr="00622884">
              <w:rPr>
                <w:rFonts w:ascii="Garamond" w:eastAsia="Calibri" w:hAnsi="Garamond" w:cs="Times New Roman"/>
                <w:sz w:val="20"/>
                <w:szCs w:val="20"/>
                <w:lang w:eastAsia="en-US" w:bidi="sq-AL"/>
              </w:rPr>
              <w:t>Pasojë e ndodhjes së një rreziku. Efekti ndaj sistemeve natyrore dhe njerëzore, që ndodh si rezultat i ngjarjeve dhe fenomeneve ekstreme të motit dhe klimës, si dhe i ndryshimeve klimatike (p.sh. efektet ndaj jetës, mjeteve të jetesës, shëndetit, ekosistemeve, ekonomive, shoqërive, kulturave, shërbimeve dhe infrastrukturës).</w:t>
            </w:r>
          </w:p>
        </w:tc>
      </w:tr>
      <w:tr w:rsidR="00622884" w:rsidRPr="00622884" w14:paraId="3148FD54" w14:textId="77777777" w:rsidTr="00622884">
        <w:trPr>
          <w:trHeight w:val="20"/>
        </w:trPr>
        <w:tc>
          <w:tcPr>
            <w:tcW w:w="1444" w:type="dxa"/>
            <w:shd w:val="clear" w:color="auto" w:fill="DFEAF5"/>
            <w:tcMar>
              <w:top w:w="15" w:type="dxa"/>
              <w:left w:w="138" w:type="dxa"/>
              <w:bottom w:w="0" w:type="dxa"/>
              <w:right w:w="138" w:type="dxa"/>
            </w:tcMar>
            <w:vAlign w:val="center"/>
            <w:hideMark/>
          </w:tcPr>
          <w:p w14:paraId="0451A531" w14:textId="77777777" w:rsidR="00622884" w:rsidRPr="00622884" w:rsidRDefault="00622884" w:rsidP="00622884">
            <w:pPr>
              <w:spacing w:after="0" w:line="240" w:lineRule="auto"/>
              <w:jc w:val="center"/>
              <w:rPr>
                <w:rFonts w:ascii="Garamond" w:eastAsia="Calibri" w:hAnsi="Garamond" w:cs="Calibri Light"/>
                <w:b/>
                <w:bCs/>
                <w:sz w:val="20"/>
                <w:szCs w:val="20"/>
                <w:lang w:eastAsia="en-US"/>
              </w:rPr>
            </w:pPr>
            <w:r w:rsidRPr="00622884">
              <w:rPr>
                <w:rFonts w:ascii="Garamond" w:eastAsia="Calibri" w:hAnsi="Garamond" w:cs="Times New Roman"/>
                <w:b/>
                <w:sz w:val="20"/>
                <w:szCs w:val="20"/>
                <w:lang w:eastAsia="en-US" w:bidi="sq-AL"/>
              </w:rPr>
              <w:t>Risku</w:t>
            </w:r>
          </w:p>
        </w:tc>
        <w:tc>
          <w:tcPr>
            <w:tcW w:w="7618" w:type="dxa"/>
            <w:tcMar>
              <w:top w:w="15" w:type="dxa"/>
              <w:left w:w="138" w:type="dxa"/>
              <w:bottom w:w="0" w:type="dxa"/>
              <w:right w:w="138" w:type="dxa"/>
            </w:tcMar>
            <w:vAlign w:val="center"/>
            <w:hideMark/>
          </w:tcPr>
          <w:p w14:paraId="4B3AFEAD" w14:textId="77777777" w:rsidR="00622884" w:rsidRPr="00622884" w:rsidRDefault="00622884" w:rsidP="00622884">
            <w:pPr>
              <w:spacing w:after="0" w:line="240" w:lineRule="auto"/>
              <w:rPr>
                <w:rFonts w:ascii="Garamond" w:eastAsia="Calibri" w:hAnsi="Garamond" w:cs="Calibri Light"/>
                <w:sz w:val="20"/>
                <w:szCs w:val="20"/>
                <w:lang w:eastAsia="en-US"/>
              </w:rPr>
            </w:pPr>
            <w:r w:rsidRPr="00622884">
              <w:rPr>
                <w:rFonts w:ascii="Garamond" w:eastAsia="Calibri" w:hAnsi="Garamond" w:cs="Times New Roman"/>
                <w:sz w:val="20"/>
                <w:szCs w:val="20"/>
                <w:lang w:eastAsia="en-US" w:bidi="sq-AL"/>
              </w:rPr>
              <w:t>Potenciali për ndodhjen e pasojave kur diçka me vlerë është në rrezik dhe kur rezultati është i pasigurt. Shpeshherë, termi risk përdoret për t’iu referuar pasojave të mundshme negative të një rreziku të lidhur me klimën, ose të reagimeve për përshtatjen ose zbutjen ndaj atij rreziku, ndaj jetës, mjeteve të jetesës, shëndetit dhe mirëqenies, ekosistemeve dhe llojeve, aseteve ekonomike, sociale dhe kulturore, shërbimeve (përfshirë shërbimet e ekosistemit) dhe infrastrukturës. Risku zakonisht paraqitet si probabiliteti i ndodhjes së ngjarjeve ose prirjeve të rrezikshme shumëzuar me ndikimet nëse këto ngjarje ose prirje ndodhin. Risku është rezultat i ndërveprimit midis cenueshmërisë, ekspozimit dhe rrezikut.</w:t>
            </w:r>
          </w:p>
        </w:tc>
      </w:tr>
    </w:tbl>
    <w:p w14:paraId="582B481F" w14:textId="77777777" w:rsidR="00622884" w:rsidRPr="00622884" w:rsidRDefault="00622884" w:rsidP="00622884">
      <w:pPr>
        <w:spacing w:after="0" w:line="240" w:lineRule="auto"/>
        <w:ind w:firstLine="284"/>
        <w:rPr>
          <w:rFonts w:ascii="Garamond" w:eastAsia="SimSun" w:hAnsi="Garamond" w:cs="Calibri Light"/>
          <w:sz w:val="24"/>
          <w:szCs w:val="24"/>
          <w:lang w:eastAsia="en-US" w:bidi="sq-AL"/>
        </w:rPr>
      </w:pPr>
    </w:p>
    <w:p w14:paraId="0F7AA77B" w14:textId="77777777" w:rsidR="00622884" w:rsidRPr="00622884" w:rsidRDefault="00622884" w:rsidP="00622884">
      <w:pPr>
        <w:spacing w:after="0" w:line="240" w:lineRule="auto"/>
        <w:ind w:firstLine="284"/>
        <w:rPr>
          <w:rFonts w:ascii="Garamond" w:eastAsia="SimSun" w:hAnsi="Garamond" w:cs="Calibri Light"/>
          <w:sz w:val="24"/>
          <w:szCs w:val="24"/>
          <w:lang w:eastAsia="en-US"/>
        </w:rPr>
      </w:pPr>
      <w:r w:rsidRPr="00622884">
        <w:rPr>
          <w:rFonts w:ascii="Garamond" w:eastAsia="SimSun" w:hAnsi="Garamond" w:cs="Calibri Light"/>
          <w:sz w:val="24"/>
          <w:szCs w:val="24"/>
          <w:lang w:eastAsia="en-US" w:bidi="sq-AL"/>
        </w:rPr>
        <w:t xml:space="preserve">Madhësia e vogël e Shqipërisë e rrit riskun klimatik, në kuptimin që një ngjarje ekstreme mund të ndikojë më lehtë një pjesë të madhe të vendit sesa në një vend më të madh. Gjithashtu, përqendrimi i popullsisë në bregdet (në vitin 2020 rreth një e treta e popullsisë jetonte në zonat bregdetare, dhe ky numër po rritet si pasojë e migrimit të brendshëm) e rrit riskun klimatik, pasi një pjesë e madhe e popullsisë dhe veprimtaritë e saj ekonomike përgjatë bregdetit janë të ekspozuara ndaj përmbytjeve dhe rritjes së nivelit të detit. Përqendrimi i popullsisë në një zonë të </w:t>
      </w:r>
      <w:r w:rsidRPr="00622884">
        <w:rPr>
          <w:rFonts w:ascii="Garamond" w:eastAsia="SimSun" w:hAnsi="Garamond" w:cs="Calibri Light"/>
          <w:sz w:val="24"/>
          <w:szCs w:val="24"/>
          <w:lang w:eastAsia="en-US" w:bidi="sq-AL"/>
        </w:rPr>
        <w:lastRenderedPageBreak/>
        <w:t>vetme (Tiranë</w:t>
      </w:r>
      <w:r w:rsidRPr="00622884">
        <w:rPr>
          <w:rFonts w:ascii="Garamond" w:eastAsia="SimSun" w:hAnsi="Garamond" w:cs="Times New Roman"/>
          <w:color w:val="1D3C5A"/>
          <w:sz w:val="24"/>
          <w:szCs w:val="24"/>
          <w:lang w:eastAsia="en-US"/>
        </w:rPr>
        <w:t>–</w:t>
      </w:r>
      <w:r w:rsidRPr="00622884">
        <w:rPr>
          <w:rFonts w:ascii="Garamond" w:eastAsia="SimSun" w:hAnsi="Garamond" w:cs="Calibri Light"/>
          <w:sz w:val="24"/>
          <w:szCs w:val="24"/>
          <w:lang w:eastAsia="en-US" w:bidi="sq-AL"/>
        </w:rPr>
        <w:t>Durrës, ku në vitin 2031 pritet të jetojë rreth 35% e popullsisë së Shqipërisë), gjithashtu, e rrit riskun klimatik të Shqipërisë. Për më tepër, përqendrimi i konsiderueshëm ekonomik në disa sektorë, p.sh. varësia e lartë nga turizmi bregdetar, transporti rrugor për njerëzit dhe transporti detar për mallrat, si dhe hidroenergjetika për prodhimin e energjisë elektrike, e bën vendin të cenueshëm nga risqet e lidhura me klimën në këta sektorë të rëndësishëm. Cenueshmëria e popullsisë shqiptare ndaj fatkeqësive natyrore përkeqësohet nga varfëria, infrastruktura me cilësi të ulët, ndërtimet e pakontrolluara dhe një sërë faktorësh mjedisorë të ndikuar nga njeriu, që nga shpyllëzimi i shpejtë, menaxhimi i dobët i baseneve ujore, degradimi në rritje i tokës e deri te ndotja mjedisore</w:t>
      </w:r>
      <w:r w:rsidRPr="00622884">
        <w:rPr>
          <w:rFonts w:ascii="Garamond" w:eastAsia="SimSun" w:hAnsi="Garamond" w:cs="Calibri Light"/>
          <w:sz w:val="24"/>
          <w:szCs w:val="24"/>
          <w:vertAlign w:val="superscript"/>
          <w:lang w:eastAsia="en-US" w:bidi="sq-AL"/>
        </w:rPr>
        <w:footnoteReference w:id="178"/>
      </w:r>
      <w:r w:rsidRPr="00622884">
        <w:rPr>
          <w:rFonts w:ascii="Garamond" w:eastAsia="SimSun" w:hAnsi="Garamond" w:cs="Calibri Light"/>
          <w:sz w:val="24"/>
          <w:szCs w:val="24"/>
          <w:lang w:eastAsia="en-US" w:bidi="sq-AL"/>
        </w:rPr>
        <w:t xml:space="preserve">. </w:t>
      </w:r>
    </w:p>
    <w:p w14:paraId="6F77C178" w14:textId="77777777" w:rsidR="00622884" w:rsidRPr="00622884" w:rsidRDefault="00622884" w:rsidP="00622884">
      <w:pPr>
        <w:spacing w:after="0" w:line="240" w:lineRule="auto"/>
        <w:ind w:firstLine="284"/>
        <w:rPr>
          <w:rFonts w:ascii="Garamond" w:eastAsia="SimSun" w:hAnsi="Garamond" w:cs="Calibri Light"/>
          <w:sz w:val="24"/>
          <w:szCs w:val="24"/>
          <w:lang w:eastAsia="en-US"/>
        </w:rPr>
      </w:pPr>
      <w:r w:rsidRPr="00622884">
        <w:rPr>
          <w:rFonts w:ascii="Garamond" w:eastAsia="SimSun" w:hAnsi="Garamond" w:cs="Calibri Light"/>
          <w:sz w:val="24"/>
          <w:szCs w:val="24"/>
          <w:lang w:eastAsia="en-US" w:bidi="sq-AL"/>
        </w:rPr>
        <w:t>Dimensionet gjinore luajnë gjithashtu rol në cenueshmërinë nga klima në Shqipëri. Rezultatet e anketimit treguan se 39% e të anketuarve pranojnë ekzistencën e dallimeve midis aftësive të burrave dhe grave për t’iu përgjigjur ndryshimeve klimatike, ndërsa 53% pohuan se burrat janë më të aftë për të trajtuar sfidat klimatike</w:t>
      </w:r>
      <w:r w:rsidRPr="00622884">
        <w:rPr>
          <w:rFonts w:ascii="Garamond" w:eastAsia="SimSun" w:hAnsi="Garamond" w:cs="Calibri Light"/>
          <w:sz w:val="24"/>
          <w:szCs w:val="24"/>
          <w:vertAlign w:val="superscript"/>
          <w:lang w:eastAsia="en-US" w:bidi="sq-AL"/>
        </w:rPr>
        <w:footnoteReference w:id="179"/>
      </w:r>
      <w:r w:rsidRPr="00622884">
        <w:rPr>
          <w:rFonts w:ascii="Garamond" w:eastAsia="SimSun" w:hAnsi="Garamond" w:cs="Calibri Light"/>
          <w:sz w:val="24"/>
          <w:szCs w:val="24"/>
          <w:lang w:eastAsia="en-US" w:bidi="sq-AL"/>
        </w:rPr>
        <w:t>. Kjo theksohet nga fakti që burrat në shumicën e rasteve marrin vendime për investimet dhe financat brenda familjes, duke kufizuar aftësinë e grave për të zbatuar masa përshtatjeje, veçanërisht në zonat rurale dhe për gratë e angazhuara në bujqësi</w:t>
      </w:r>
      <w:r w:rsidRPr="00622884">
        <w:rPr>
          <w:rFonts w:ascii="Garamond" w:eastAsia="SimSun" w:hAnsi="Garamond" w:cs="Calibri Light"/>
          <w:sz w:val="24"/>
          <w:szCs w:val="24"/>
          <w:vertAlign w:val="superscript"/>
          <w:lang w:eastAsia="en-US" w:bidi="sq-AL"/>
        </w:rPr>
        <w:footnoteReference w:id="180"/>
      </w:r>
      <w:r w:rsidRPr="00622884">
        <w:rPr>
          <w:rFonts w:ascii="Garamond" w:eastAsia="SimSun" w:hAnsi="Garamond" w:cs="Calibri Light"/>
          <w:sz w:val="24"/>
          <w:szCs w:val="24"/>
          <w:lang w:eastAsia="en-US" w:bidi="sq-AL"/>
        </w:rPr>
        <w:t xml:space="preserve">. Gjithashtu, lëvizshmëria e grave shpesh është më e kufizuar krahasuar me burrat, gjë që kufizon kapacitetin e tyre përshtatës, duke penguar qasjen në tregje, shërbime dhe mundësi ekonomike alternative gjatë problematikave të shkaktuara nga fenomenet klimatike. Të moshuarit, foshnjat, personat me aftësi të kufizuara ose me sëmundje, si edhe grupet e varfra dhe të margjinalizuara, janë gjithashtu në mënyrë disproporcionale të rrezikuar nga ndryshimet klimatike. Këto risqe përfshijnë rritjen e cenueshmërisë nga sëmundjet respiratore, ndjeshmëri më të madhe ndaj infeksioneve gjatë proceseve të pastrimit pas fatkeqësive, si dhe ndjeshmëri më të lartë ndaj temperaturave ekstreme. </w:t>
      </w:r>
    </w:p>
    <w:p w14:paraId="604603BD" w14:textId="77777777" w:rsidR="00622884" w:rsidRPr="00622884" w:rsidRDefault="00622884" w:rsidP="00622884">
      <w:pPr>
        <w:keepNext/>
        <w:keepLines/>
        <w:spacing w:after="0" w:line="240" w:lineRule="auto"/>
        <w:ind w:firstLine="284"/>
        <w:outlineLvl w:val="1"/>
        <w:rPr>
          <w:rFonts w:ascii="Garamond" w:eastAsia="MS Mincho" w:hAnsi="Garamond" w:cs="Times New Roman"/>
          <w:bCs/>
          <w:caps/>
          <w:sz w:val="24"/>
          <w:szCs w:val="24"/>
          <w:lang w:eastAsia="es-ES"/>
        </w:rPr>
      </w:pPr>
      <w:bookmarkStart w:id="246" w:name="_Toc213936231"/>
      <w:r w:rsidRPr="00622884">
        <w:rPr>
          <w:rFonts w:ascii="Garamond" w:eastAsia="MS Mincho" w:hAnsi="Garamond" w:cs="Times New Roman"/>
          <w:bCs/>
          <w:caps/>
          <w:sz w:val="24"/>
          <w:szCs w:val="24"/>
          <w:lang w:eastAsia="es-ES" w:bidi="sq-AL"/>
        </w:rPr>
        <w:t>4.3 VLERËSIMET E RISQEVE KLIMATIKE NË NIVEL SEKTORIAL</w:t>
      </w:r>
      <w:bookmarkEnd w:id="246"/>
    </w:p>
    <w:p w14:paraId="790A6045" w14:textId="77777777" w:rsidR="00622884" w:rsidRPr="00622884" w:rsidRDefault="00622884" w:rsidP="00622884">
      <w:pPr>
        <w:spacing w:after="0" w:line="240" w:lineRule="auto"/>
        <w:ind w:firstLine="284"/>
        <w:rPr>
          <w:rFonts w:ascii="Garamond" w:eastAsia="SimSun" w:hAnsi="Garamond" w:cs="Calibri Light"/>
          <w:sz w:val="24"/>
          <w:szCs w:val="24"/>
          <w:lang w:eastAsia="en-US"/>
        </w:rPr>
      </w:pPr>
      <w:r w:rsidRPr="00622884">
        <w:rPr>
          <w:rFonts w:ascii="Garamond" w:eastAsia="SimSun" w:hAnsi="Garamond" w:cs="Calibri Light"/>
          <w:sz w:val="24"/>
          <w:szCs w:val="24"/>
          <w:lang w:eastAsia="en-US" w:bidi="sq-AL"/>
        </w:rPr>
        <w:t>Projekti i NAP-it ndërmori Vlerësime të detajuara të Riskut Klimatik (VRK)</w:t>
      </w:r>
      <w:r w:rsidRPr="00622884">
        <w:rPr>
          <w:rFonts w:ascii="Garamond" w:eastAsia="SimSun" w:hAnsi="Garamond" w:cs="Calibri Light"/>
          <w:sz w:val="24"/>
          <w:szCs w:val="24"/>
          <w:vertAlign w:val="superscript"/>
          <w:lang w:eastAsia="en-US" w:bidi="sq-AL"/>
        </w:rPr>
        <w:footnoteReference w:id="181"/>
      </w:r>
      <w:r w:rsidRPr="00622884">
        <w:rPr>
          <w:rFonts w:ascii="Garamond" w:eastAsia="SimSun" w:hAnsi="Garamond" w:cs="Calibri Light"/>
          <w:sz w:val="24"/>
          <w:szCs w:val="24"/>
          <w:lang w:eastAsia="en-US" w:bidi="sq-AL"/>
        </w:rPr>
        <w:t xml:space="preserve"> për 5 sektorët prioritarë të identifikuar (bujqësinë, turizmin, energjinë, transportin dhe zhvillimin urban)</w:t>
      </w:r>
      <w:r w:rsidRPr="00622884">
        <w:rPr>
          <w:rFonts w:ascii="Garamond" w:eastAsia="SimSun" w:hAnsi="Garamond" w:cs="Calibri Light"/>
          <w:sz w:val="24"/>
          <w:szCs w:val="24"/>
          <w:vertAlign w:val="superscript"/>
          <w:lang w:eastAsia="en-US" w:bidi="sq-AL"/>
        </w:rPr>
        <w:footnoteReference w:id="182"/>
      </w:r>
      <w:r w:rsidRPr="00622884">
        <w:rPr>
          <w:rFonts w:ascii="Garamond" w:eastAsia="SimSun" w:hAnsi="Garamond" w:cs="Calibri Light"/>
          <w:sz w:val="24"/>
          <w:szCs w:val="24"/>
          <w:lang w:eastAsia="en-US" w:bidi="sq-AL"/>
        </w:rPr>
        <w:t xml:space="preserve">. Risqet aktuale në të gjithë sektorët u vlerësuan për Rritjen e temperaturës, Intensitetin e reshjeve dhe Rritjen e nivelit të detit (RRND). </w:t>
      </w:r>
      <w:r w:rsidRPr="00622884">
        <w:rPr>
          <w:rFonts w:ascii="Garamond" w:eastAsia="SimSun" w:hAnsi="Garamond" w:cs="Calibri Light"/>
          <w:sz w:val="24"/>
          <w:szCs w:val="24"/>
          <w:u w:val="single"/>
          <w:lang w:eastAsia="en-US" w:bidi="sq-AL"/>
        </w:rPr>
        <w:t>Risqet e ardhshme</w:t>
      </w:r>
      <w:r w:rsidRPr="00622884">
        <w:rPr>
          <w:rFonts w:ascii="Garamond" w:eastAsia="SimSun" w:hAnsi="Garamond" w:cs="Calibri Light"/>
          <w:sz w:val="24"/>
          <w:szCs w:val="24"/>
          <w:lang w:eastAsia="en-US" w:bidi="sq-AL"/>
        </w:rPr>
        <w:t xml:space="preserve"> u përqendruan te: Rritja e temperaturës, Ulja e reshjeve, RRND-ja dhe Thatësirat. Kjo bëri të mundur Vlerësime Risku të kombinuara për sektorët e ndryshëm prioritarë dhe nënsektorët e tyre të identifikuar, siç paraqitet më poshtë.</w:t>
      </w:r>
    </w:p>
    <w:p w14:paraId="1E1C2583" w14:textId="77777777" w:rsidR="00622884" w:rsidRPr="00622884" w:rsidRDefault="00622884" w:rsidP="00622884">
      <w:pPr>
        <w:keepNext/>
        <w:spacing w:after="0" w:line="240" w:lineRule="auto"/>
        <w:ind w:firstLine="284"/>
        <w:mirrorIndents/>
        <w:rPr>
          <w:rFonts w:ascii="Garamond" w:eastAsia="Calibri Light" w:hAnsi="Garamond" w:cs="Calibri Light"/>
          <w:b/>
          <w:bCs/>
          <w:iCs/>
          <w:sz w:val="24"/>
          <w:szCs w:val="24"/>
          <w:lang w:eastAsia="en-US"/>
        </w:rPr>
      </w:pPr>
      <w:r w:rsidRPr="00622884">
        <w:rPr>
          <w:rFonts w:ascii="Garamond" w:eastAsia="Calibri Light" w:hAnsi="Garamond" w:cs="Calibri Light"/>
          <w:b/>
          <w:bCs/>
          <w:iCs/>
          <w:sz w:val="24"/>
          <w:szCs w:val="24"/>
          <w:lang w:eastAsia="en-US" w:bidi="sq-AL"/>
        </w:rPr>
        <w:t>Bujqësia</w:t>
      </w:r>
    </w:p>
    <w:p w14:paraId="38D7E28A" w14:textId="77777777" w:rsidR="00622884" w:rsidRPr="00622884" w:rsidRDefault="00622884" w:rsidP="00622884">
      <w:pPr>
        <w:spacing w:after="0" w:line="240" w:lineRule="auto"/>
        <w:ind w:firstLine="284"/>
        <w:rPr>
          <w:rFonts w:ascii="Garamond" w:eastAsia="SimSun" w:hAnsi="Garamond" w:cs="Calibri Light"/>
          <w:sz w:val="24"/>
          <w:szCs w:val="24"/>
          <w:lang w:eastAsia="en-US" w:bidi="sq-AL"/>
        </w:rPr>
      </w:pPr>
      <w:r w:rsidRPr="00622884">
        <w:rPr>
          <w:rFonts w:ascii="Garamond" w:eastAsia="SimSun" w:hAnsi="Garamond" w:cs="Calibri Light"/>
          <w:sz w:val="24"/>
          <w:szCs w:val="24"/>
          <w:lang w:eastAsia="en-US" w:bidi="sq-AL"/>
        </w:rPr>
        <w:t>Bujqësia është një nga sektorët kryesorë socio-ekonomikë të ekonomisë shqiptare dhe një nga sektorët që konsiderohet më i cenueshëm nga ndryshimet klimatike. Ndryshimet e temperaturave dhe modeleve të reshjeve mund të ulin rendimentin e kulturave bujqësore, ndërkohë që degradimi i tokës dhe rritja e kërkesës për ujitje paraqesin sfida shtesë. Kullotat, pyjet, burimet gjenetike, llojet dhe racat, toka dhe pjelloria e saj, burimet ujore dhe produktiviteti i tyre janë të gjitha nën ndikimin e drejtpërdrejtë të ndryshimeve klimatike. Rritja e temperaturave, ulja e reshjeve, ndryshimi i regjimit të reshjeve, depërtimi i ujit të detit/kripëzimi i akuiferëve bregdetarë</w:t>
      </w:r>
      <w:r w:rsidRPr="00622884">
        <w:rPr>
          <w:rFonts w:ascii="Garamond" w:eastAsia="SimSun" w:hAnsi="Garamond" w:cs="Calibri Light"/>
          <w:sz w:val="24"/>
          <w:szCs w:val="24"/>
          <w:vertAlign w:val="superscript"/>
          <w:lang w:eastAsia="en-US" w:bidi="sq-AL"/>
        </w:rPr>
        <w:footnoteReference w:id="183"/>
      </w:r>
      <w:r w:rsidRPr="00622884">
        <w:rPr>
          <w:rFonts w:ascii="Garamond" w:eastAsia="SimSun" w:hAnsi="Garamond" w:cs="Calibri Light"/>
          <w:sz w:val="24"/>
          <w:szCs w:val="24"/>
          <w:lang w:eastAsia="en-US" w:bidi="sq-AL"/>
        </w:rPr>
        <w:t xml:space="preserve">, ngjarjet ekstreme të motit, si dhe fenomenet e lidhura, si zjarret në pyje, përmbytjet, </w:t>
      </w:r>
      <w:r w:rsidRPr="00622884">
        <w:rPr>
          <w:rFonts w:ascii="Garamond" w:eastAsia="SimSun" w:hAnsi="Garamond" w:cs="Calibri Light"/>
          <w:sz w:val="24"/>
          <w:szCs w:val="24"/>
          <w:lang w:eastAsia="en-US" w:bidi="sq-AL"/>
        </w:rPr>
        <w:lastRenderedPageBreak/>
        <w:t>thatësirat dhe kripëzimi, infektimet dhe sëmundjet e reja që shfaqen si rezultat i kushteve të ndryshuara klimatike, të gjitha ndikojnë në bujqësi</w:t>
      </w:r>
      <w:r w:rsidRPr="00622884">
        <w:rPr>
          <w:rFonts w:ascii="Garamond" w:eastAsia="SimSun" w:hAnsi="Garamond" w:cs="Calibri Light"/>
          <w:sz w:val="24"/>
          <w:szCs w:val="24"/>
          <w:vertAlign w:val="superscript"/>
          <w:lang w:eastAsia="en-US" w:bidi="sq-AL"/>
        </w:rPr>
        <w:footnoteReference w:id="184"/>
      </w:r>
      <w:r w:rsidRPr="00622884">
        <w:rPr>
          <w:rFonts w:ascii="Garamond" w:eastAsia="SimSun" w:hAnsi="Garamond" w:cs="Calibri Light"/>
          <w:sz w:val="24"/>
          <w:szCs w:val="24"/>
          <w:lang w:eastAsia="en-US" w:bidi="sq-AL"/>
        </w:rPr>
        <w:t xml:space="preserve">. </w:t>
      </w:r>
      <w:bookmarkStart w:id="247" w:name="_Hlk171590029"/>
      <w:r w:rsidRPr="00622884">
        <w:rPr>
          <w:rFonts w:ascii="Garamond" w:eastAsia="SimSun" w:hAnsi="Garamond" w:cs="Calibri Light"/>
          <w:sz w:val="24"/>
          <w:szCs w:val="24"/>
          <w:lang w:eastAsia="en-US" w:bidi="sq-AL"/>
        </w:rPr>
        <w:t>Risqet aktuale dhe Risqet e ardhshme në bujqësi, siç janë vlerësuar në VRK për</w:t>
      </w:r>
      <w:bookmarkStart w:id="248" w:name="_Hlk172810187"/>
      <w:r w:rsidRPr="00622884">
        <w:rPr>
          <w:rFonts w:ascii="Garamond" w:eastAsia="SimSun" w:hAnsi="Garamond" w:cs="Calibri Light"/>
          <w:sz w:val="24"/>
          <w:szCs w:val="24"/>
          <w:lang w:eastAsia="en-US" w:bidi="sq-AL"/>
        </w:rPr>
        <w:t xml:space="preserve"> Zonat e ndryshme Agro-Ekologjike (ZAE)</w:t>
      </w:r>
      <w:bookmarkEnd w:id="248"/>
      <w:r w:rsidRPr="00622884">
        <w:rPr>
          <w:rFonts w:ascii="Garamond" w:eastAsia="SimSun" w:hAnsi="Garamond" w:cs="Calibri Light"/>
          <w:sz w:val="24"/>
          <w:szCs w:val="24"/>
          <w:lang w:eastAsia="en-US" w:bidi="sq-AL"/>
        </w:rPr>
        <w:t xml:space="preserve"> dhe nënsektorët përkatës, janë vlerësuar si më poshtë</w:t>
      </w:r>
      <w:r w:rsidRPr="00622884">
        <w:rPr>
          <w:rFonts w:ascii="Garamond" w:eastAsia="SimSun" w:hAnsi="Garamond" w:cs="Calibri Light"/>
          <w:sz w:val="24"/>
          <w:szCs w:val="24"/>
          <w:vertAlign w:val="superscript"/>
          <w:lang w:eastAsia="en-US" w:bidi="sq-AL"/>
        </w:rPr>
        <w:footnoteReference w:id="185"/>
      </w:r>
      <w:r w:rsidRPr="00622884">
        <w:rPr>
          <w:rFonts w:ascii="Garamond" w:eastAsia="SimSun" w:hAnsi="Garamond" w:cs="Calibri Light"/>
          <w:sz w:val="24"/>
          <w:szCs w:val="24"/>
          <w:lang w:eastAsia="en-US" w:bidi="sq-AL"/>
        </w:rPr>
        <w:t>:</w:t>
      </w:r>
    </w:p>
    <w:p w14:paraId="4D1A9AB4" w14:textId="77777777" w:rsidR="00622884" w:rsidRPr="00622884" w:rsidRDefault="00622884" w:rsidP="00622884">
      <w:pPr>
        <w:spacing w:after="0" w:line="240" w:lineRule="auto"/>
        <w:rPr>
          <w:rFonts w:ascii="Garamond" w:eastAsia="SimSun" w:hAnsi="Garamond" w:cs="Calibri Light"/>
          <w:sz w:val="2"/>
          <w:szCs w:val="24"/>
          <w:lang w:eastAsia="en-US"/>
        </w:rPr>
      </w:pPr>
    </w:p>
    <w:p w14:paraId="10ADCBAD" w14:textId="77777777" w:rsidR="00622884" w:rsidRPr="00622884" w:rsidRDefault="00622884" w:rsidP="00622884">
      <w:pPr>
        <w:spacing w:after="0" w:line="240" w:lineRule="auto"/>
        <w:ind w:firstLine="284"/>
        <w:rPr>
          <w:rFonts w:ascii="Garamond" w:eastAsia="Aptos" w:hAnsi="Garamond" w:cs="Arial"/>
          <w:b/>
          <w:iCs/>
          <w:sz w:val="24"/>
          <w:szCs w:val="24"/>
          <w:lang w:eastAsia="en-US"/>
        </w:rPr>
      </w:pPr>
      <w:bookmarkStart w:id="250" w:name="_Hlk204935081"/>
      <w:r w:rsidRPr="00622884">
        <w:rPr>
          <w:rFonts w:ascii="Garamond" w:eastAsia="Aptos" w:hAnsi="Garamond" w:cs="Arial"/>
          <w:b/>
          <w:iCs/>
          <w:sz w:val="24"/>
          <w:szCs w:val="24"/>
          <w:lang w:eastAsia="en-US"/>
        </w:rPr>
        <w:t>Tabela 3: Risqet klimatike aktuale dhe të ardhshme në sektorin e bujqësisë.</w:t>
      </w:r>
    </w:p>
    <w:tbl>
      <w:tblPr>
        <w:tblW w:w="5000" w:type="pct"/>
        <w:jc w:val="center"/>
        <w:tblBorders>
          <w:top w:val="single" w:sz="4" w:space="0" w:color="1D3C5A"/>
          <w:left w:val="single" w:sz="4" w:space="0" w:color="1D3C5A"/>
          <w:bottom w:val="single" w:sz="4" w:space="0" w:color="1D3C5A"/>
          <w:right w:val="single" w:sz="4" w:space="0" w:color="1D3C5A"/>
          <w:insideH w:val="single" w:sz="4" w:space="0" w:color="1D3C5A"/>
          <w:insideV w:val="single" w:sz="4" w:space="0" w:color="1D3C5A"/>
        </w:tblBorders>
        <w:tblCellMar>
          <w:left w:w="0" w:type="dxa"/>
          <w:right w:w="0" w:type="dxa"/>
        </w:tblCellMar>
        <w:tblLook w:val="04A0" w:firstRow="1" w:lastRow="0" w:firstColumn="1" w:lastColumn="0" w:noHBand="0" w:noVBand="1"/>
      </w:tblPr>
      <w:tblGrid>
        <w:gridCol w:w="3601"/>
        <w:gridCol w:w="2064"/>
        <w:gridCol w:w="3786"/>
      </w:tblGrid>
      <w:tr w:rsidR="00622884" w:rsidRPr="00622884" w14:paraId="5AEC1F44" w14:textId="77777777" w:rsidTr="00622884">
        <w:trPr>
          <w:trHeight w:val="20"/>
          <w:jc w:val="center"/>
        </w:trPr>
        <w:tc>
          <w:tcPr>
            <w:tcW w:w="1905" w:type="pct"/>
            <w:vMerge w:val="restart"/>
            <w:shd w:val="clear" w:color="auto" w:fill="215A5C"/>
            <w:tcMar>
              <w:top w:w="95" w:type="dxa"/>
              <w:left w:w="190" w:type="dxa"/>
              <w:bottom w:w="95" w:type="dxa"/>
              <w:right w:w="190" w:type="dxa"/>
            </w:tcMar>
            <w:vAlign w:val="center"/>
            <w:hideMark/>
          </w:tcPr>
          <w:bookmarkEnd w:id="247"/>
          <w:bookmarkEnd w:id="250"/>
          <w:p w14:paraId="766B6EFB" w14:textId="77777777" w:rsidR="00622884" w:rsidRPr="00622884" w:rsidRDefault="00622884" w:rsidP="00622884">
            <w:pPr>
              <w:spacing w:after="0" w:line="240" w:lineRule="auto"/>
              <w:jc w:val="center"/>
              <w:textAlignment w:val="center"/>
              <w:rPr>
                <w:rFonts w:ascii="Garamond" w:eastAsia="Times New Roman" w:hAnsi="Garamond" w:cs="Calibri Light"/>
                <w:b/>
                <w:bCs/>
                <w:sz w:val="16"/>
                <w:szCs w:val="16"/>
                <w:lang w:eastAsia="nl-NL"/>
              </w:rPr>
            </w:pPr>
            <w:r w:rsidRPr="00622884">
              <w:rPr>
                <w:rFonts w:ascii="Garamond" w:eastAsia="Calibri" w:hAnsi="Garamond" w:cs="Times New Roman"/>
                <w:b/>
                <w:sz w:val="16"/>
                <w:szCs w:val="16"/>
                <w:lang w:eastAsia="en-US" w:bidi="sq-AL"/>
              </w:rPr>
              <w:t>ZAE DHE NËNSEKTORËT NË BUJQËSI</w:t>
            </w:r>
          </w:p>
        </w:tc>
        <w:tc>
          <w:tcPr>
            <w:tcW w:w="3095" w:type="pct"/>
            <w:gridSpan w:val="2"/>
            <w:shd w:val="clear" w:color="auto" w:fill="215A5C"/>
            <w:tcMar>
              <w:top w:w="95" w:type="dxa"/>
              <w:left w:w="190" w:type="dxa"/>
              <w:bottom w:w="95" w:type="dxa"/>
              <w:right w:w="190" w:type="dxa"/>
            </w:tcMar>
            <w:vAlign w:val="center"/>
            <w:hideMark/>
          </w:tcPr>
          <w:p w14:paraId="128D89CC" w14:textId="77777777" w:rsidR="00622884" w:rsidRPr="00622884" w:rsidRDefault="00622884" w:rsidP="00622884">
            <w:pPr>
              <w:spacing w:after="0" w:line="240" w:lineRule="auto"/>
              <w:jc w:val="center"/>
              <w:textAlignment w:val="center"/>
              <w:rPr>
                <w:rFonts w:ascii="Garamond" w:eastAsia="Times New Roman" w:hAnsi="Garamond" w:cs="Calibri Light"/>
                <w:sz w:val="16"/>
                <w:szCs w:val="16"/>
                <w:lang w:eastAsia="nl-NL"/>
              </w:rPr>
            </w:pPr>
            <w:r w:rsidRPr="00622884">
              <w:rPr>
                <w:rFonts w:ascii="Garamond" w:eastAsia="Calibri" w:hAnsi="Garamond" w:cs="Times New Roman"/>
                <w:b/>
                <w:kern w:val="24"/>
                <w:sz w:val="16"/>
                <w:szCs w:val="16"/>
                <w:lang w:eastAsia="en-US" w:bidi="sq-AL"/>
              </w:rPr>
              <w:t>PËRGJITHËSISHT</w:t>
            </w:r>
          </w:p>
        </w:tc>
      </w:tr>
      <w:tr w:rsidR="00622884" w:rsidRPr="00622884" w14:paraId="26737F01" w14:textId="77777777" w:rsidTr="00622884">
        <w:trPr>
          <w:trHeight w:val="105"/>
          <w:jc w:val="center"/>
        </w:trPr>
        <w:tc>
          <w:tcPr>
            <w:tcW w:w="1905" w:type="pct"/>
            <w:vMerge/>
            <w:shd w:val="clear" w:color="auto" w:fill="215A5C"/>
            <w:vAlign w:val="center"/>
            <w:hideMark/>
          </w:tcPr>
          <w:p w14:paraId="2F784A79" w14:textId="77777777" w:rsidR="00622884" w:rsidRPr="00622884" w:rsidRDefault="00622884" w:rsidP="00622884">
            <w:pPr>
              <w:spacing w:after="0" w:line="240" w:lineRule="auto"/>
              <w:jc w:val="center"/>
              <w:rPr>
                <w:rFonts w:ascii="Garamond" w:eastAsia="Times New Roman" w:hAnsi="Garamond" w:cs="Calibri Light"/>
                <w:sz w:val="16"/>
                <w:szCs w:val="16"/>
                <w:lang w:eastAsia="nl-NL"/>
              </w:rPr>
            </w:pPr>
          </w:p>
        </w:tc>
        <w:tc>
          <w:tcPr>
            <w:tcW w:w="1092" w:type="pct"/>
            <w:shd w:val="clear" w:color="auto" w:fill="215A5C"/>
            <w:tcMar>
              <w:top w:w="20" w:type="dxa"/>
              <w:left w:w="142" w:type="dxa"/>
              <w:bottom w:w="0" w:type="dxa"/>
              <w:right w:w="142" w:type="dxa"/>
            </w:tcMar>
            <w:vAlign w:val="center"/>
            <w:hideMark/>
          </w:tcPr>
          <w:p w14:paraId="34CDC479" w14:textId="77777777" w:rsidR="00622884" w:rsidRPr="00622884" w:rsidRDefault="00622884" w:rsidP="00622884">
            <w:pPr>
              <w:spacing w:after="0" w:line="240" w:lineRule="auto"/>
              <w:jc w:val="center"/>
              <w:textAlignment w:val="center"/>
              <w:rPr>
                <w:rFonts w:ascii="Garamond" w:eastAsia="Times New Roman" w:hAnsi="Garamond" w:cs="Calibri Light"/>
                <w:sz w:val="16"/>
                <w:szCs w:val="16"/>
                <w:lang w:eastAsia="nl-NL"/>
              </w:rPr>
            </w:pPr>
            <w:r w:rsidRPr="00622884">
              <w:rPr>
                <w:rFonts w:ascii="Garamond" w:eastAsia="Calibri" w:hAnsi="Garamond" w:cs="Times New Roman"/>
                <w:b/>
                <w:kern w:val="24"/>
                <w:sz w:val="16"/>
                <w:szCs w:val="16"/>
                <w:lang w:eastAsia="en-US" w:bidi="sq-AL"/>
              </w:rPr>
              <w:t>Risku aktual</w:t>
            </w:r>
          </w:p>
        </w:tc>
        <w:tc>
          <w:tcPr>
            <w:tcW w:w="2003" w:type="pct"/>
            <w:shd w:val="clear" w:color="auto" w:fill="215A5C"/>
            <w:tcMar>
              <w:top w:w="20" w:type="dxa"/>
              <w:left w:w="142" w:type="dxa"/>
              <w:bottom w:w="0" w:type="dxa"/>
              <w:right w:w="142" w:type="dxa"/>
            </w:tcMar>
            <w:vAlign w:val="center"/>
            <w:hideMark/>
          </w:tcPr>
          <w:p w14:paraId="54F7187E" w14:textId="77777777" w:rsidR="00622884" w:rsidRPr="00622884" w:rsidRDefault="00622884" w:rsidP="00622884">
            <w:pPr>
              <w:spacing w:after="0" w:line="240" w:lineRule="auto"/>
              <w:jc w:val="center"/>
              <w:textAlignment w:val="center"/>
              <w:rPr>
                <w:rFonts w:ascii="Garamond" w:eastAsia="Times New Roman" w:hAnsi="Garamond" w:cs="Calibri Light"/>
                <w:sz w:val="16"/>
                <w:szCs w:val="16"/>
                <w:lang w:eastAsia="nl-NL"/>
              </w:rPr>
            </w:pPr>
            <w:r w:rsidRPr="00622884">
              <w:rPr>
                <w:rFonts w:ascii="Garamond" w:eastAsia="Calibri" w:hAnsi="Garamond" w:cs="Times New Roman"/>
                <w:b/>
                <w:kern w:val="24"/>
                <w:sz w:val="16"/>
                <w:szCs w:val="16"/>
                <w:lang w:eastAsia="en-US" w:bidi="sq-AL"/>
              </w:rPr>
              <w:t>Risku i ardhshëm (skenari më i mirë - më i keq</w:t>
            </w:r>
            <w:r w:rsidRPr="00622884">
              <w:rPr>
                <w:rFonts w:ascii="Garamond" w:eastAsia="Calibri" w:hAnsi="Garamond" w:cs="Times New Roman"/>
                <w:b/>
                <w:kern w:val="24"/>
                <w:sz w:val="16"/>
                <w:szCs w:val="16"/>
                <w:vertAlign w:val="superscript"/>
                <w:lang w:eastAsia="en-US" w:bidi="sq-AL"/>
              </w:rPr>
              <w:footnoteReference w:id="186"/>
            </w:r>
            <w:r w:rsidRPr="00622884">
              <w:rPr>
                <w:rFonts w:ascii="Garamond" w:eastAsia="Calibri" w:hAnsi="Garamond" w:cs="Times New Roman"/>
                <w:b/>
                <w:kern w:val="24"/>
                <w:sz w:val="16"/>
                <w:szCs w:val="16"/>
                <w:lang w:eastAsia="en-US" w:bidi="sq-AL"/>
              </w:rPr>
              <w:t>)</w:t>
            </w:r>
          </w:p>
        </w:tc>
      </w:tr>
      <w:tr w:rsidR="00622884" w:rsidRPr="00622884" w14:paraId="0FC71B87" w14:textId="77777777" w:rsidTr="00622884">
        <w:trPr>
          <w:trHeight w:val="93"/>
          <w:jc w:val="center"/>
        </w:trPr>
        <w:tc>
          <w:tcPr>
            <w:tcW w:w="5000" w:type="pct"/>
            <w:gridSpan w:val="3"/>
            <w:shd w:val="clear" w:color="auto" w:fill="DFEAF5"/>
            <w:tcMar>
              <w:top w:w="95" w:type="dxa"/>
              <w:left w:w="190" w:type="dxa"/>
              <w:bottom w:w="95" w:type="dxa"/>
              <w:right w:w="190" w:type="dxa"/>
            </w:tcMar>
            <w:hideMark/>
          </w:tcPr>
          <w:p w14:paraId="37DC0C0D" w14:textId="77777777" w:rsidR="00622884" w:rsidRPr="00622884" w:rsidRDefault="00622884" w:rsidP="00622884">
            <w:pPr>
              <w:spacing w:after="0" w:line="240" w:lineRule="auto"/>
              <w:textAlignment w:val="center"/>
              <w:rPr>
                <w:rFonts w:ascii="Garamond" w:eastAsia="Times New Roman" w:hAnsi="Garamond" w:cs="Calibri Light"/>
                <w:b/>
                <w:bCs/>
                <w:sz w:val="16"/>
                <w:szCs w:val="16"/>
                <w:lang w:eastAsia="nl-NL"/>
              </w:rPr>
            </w:pPr>
            <w:r w:rsidRPr="00622884">
              <w:rPr>
                <w:rFonts w:ascii="Garamond" w:eastAsia="Calibri" w:hAnsi="Garamond" w:cs="Times New Roman"/>
                <w:b/>
                <w:kern w:val="24"/>
                <w:sz w:val="16"/>
                <w:szCs w:val="16"/>
                <w:highlight w:val="white"/>
                <w:lang w:eastAsia="en-US" w:bidi="sq-AL"/>
              </w:rPr>
              <w:t>ZAE</w:t>
            </w:r>
          </w:p>
        </w:tc>
      </w:tr>
      <w:tr w:rsidR="00622884" w:rsidRPr="00622884" w14:paraId="7BEBFA0D" w14:textId="77777777" w:rsidTr="00622884">
        <w:trPr>
          <w:trHeight w:val="261"/>
          <w:jc w:val="center"/>
        </w:trPr>
        <w:tc>
          <w:tcPr>
            <w:tcW w:w="1905" w:type="pct"/>
            <w:tcMar>
              <w:top w:w="20" w:type="dxa"/>
              <w:left w:w="142" w:type="dxa"/>
              <w:bottom w:w="0" w:type="dxa"/>
              <w:right w:w="142" w:type="dxa"/>
            </w:tcMar>
            <w:vAlign w:val="center"/>
            <w:hideMark/>
          </w:tcPr>
          <w:p w14:paraId="6477C47C" w14:textId="77777777" w:rsidR="00622884" w:rsidRPr="00622884" w:rsidRDefault="00622884" w:rsidP="00622884">
            <w:pPr>
              <w:spacing w:after="0" w:line="240" w:lineRule="auto"/>
              <w:textAlignment w:val="center"/>
              <w:rPr>
                <w:rFonts w:ascii="Garamond" w:eastAsia="Times New Roman" w:hAnsi="Garamond" w:cs="Calibri Light"/>
                <w:sz w:val="16"/>
                <w:szCs w:val="16"/>
                <w:lang w:eastAsia="nl-NL"/>
              </w:rPr>
            </w:pPr>
            <w:r w:rsidRPr="00622884">
              <w:rPr>
                <w:rFonts w:ascii="Garamond" w:eastAsia="Calibri" w:hAnsi="Garamond" w:cs="Times New Roman"/>
                <w:kern w:val="24"/>
                <w:sz w:val="16"/>
                <w:szCs w:val="16"/>
                <w:highlight w:val="white"/>
                <w:lang w:eastAsia="en-US" w:bidi="sq-AL"/>
              </w:rPr>
              <w:t>Ultësira</w:t>
            </w:r>
          </w:p>
        </w:tc>
        <w:tc>
          <w:tcPr>
            <w:tcW w:w="1092" w:type="pct"/>
            <w:tcMar>
              <w:top w:w="20" w:type="dxa"/>
              <w:left w:w="142" w:type="dxa"/>
              <w:bottom w:w="0" w:type="dxa"/>
              <w:right w:w="142" w:type="dxa"/>
            </w:tcMar>
            <w:vAlign w:val="center"/>
            <w:hideMark/>
          </w:tcPr>
          <w:p w14:paraId="61B9BCF6" w14:textId="77777777" w:rsidR="00622884" w:rsidRPr="00622884" w:rsidRDefault="00622884" w:rsidP="00622884">
            <w:pPr>
              <w:spacing w:after="0" w:line="240" w:lineRule="auto"/>
              <w:textAlignment w:val="center"/>
              <w:rPr>
                <w:rFonts w:ascii="Garamond" w:eastAsia="Times New Roman" w:hAnsi="Garamond" w:cs="Calibri Light"/>
                <w:sz w:val="16"/>
                <w:szCs w:val="16"/>
                <w:lang w:eastAsia="nl-NL"/>
              </w:rPr>
            </w:pPr>
            <w:r w:rsidRPr="00622884">
              <w:rPr>
                <w:rFonts w:ascii="Garamond" w:eastAsia="Calibri" w:hAnsi="Garamond" w:cs="Times New Roman"/>
                <w:kern w:val="24"/>
                <w:sz w:val="16"/>
                <w:szCs w:val="16"/>
                <w:highlight w:val="darkRed"/>
                <w:lang w:eastAsia="en-US" w:bidi="sq-AL"/>
              </w:rPr>
              <w:t>Shumë i lartë</w:t>
            </w:r>
          </w:p>
        </w:tc>
        <w:tc>
          <w:tcPr>
            <w:tcW w:w="2003" w:type="pct"/>
            <w:tcMar>
              <w:top w:w="20" w:type="dxa"/>
              <w:left w:w="142" w:type="dxa"/>
              <w:bottom w:w="0" w:type="dxa"/>
              <w:right w:w="142" w:type="dxa"/>
            </w:tcMar>
            <w:vAlign w:val="center"/>
            <w:hideMark/>
          </w:tcPr>
          <w:p w14:paraId="2D930322" w14:textId="77777777" w:rsidR="00622884" w:rsidRPr="00622884" w:rsidRDefault="00622884" w:rsidP="00622884">
            <w:pPr>
              <w:spacing w:after="0" w:line="240" w:lineRule="auto"/>
              <w:textAlignment w:val="center"/>
              <w:rPr>
                <w:rFonts w:ascii="Garamond" w:eastAsia="Times New Roman" w:hAnsi="Garamond" w:cs="Calibri Light"/>
                <w:sz w:val="16"/>
                <w:szCs w:val="16"/>
                <w:lang w:eastAsia="nl-NL"/>
              </w:rPr>
            </w:pPr>
            <w:r w:rsidRPr="00622884">
              <w:rPr>
                <w:rFonts w:ascii="Garamond" w:eastAsia="Calibri" w:hAnsi="Garamond" w:cs="Times New Roman"/>
                <w:kern w:val="24"/>
                <w:sz w:val="16"/>
                <w:szCs w:val="16"/>
                <w:highlight w:val="darkRed"/>
                <w:lang w:eastAsia="en-US" w:bidi="sq-AL"/>
              </w:rPr>
              <w:t>Shumë i lartë</w:t>
            </w:r>
          </w:p>
        </w:tc>
      </w:tr>
      <w:tr w:rsidR="00622884" w:rsidRPr="00622884" w14:paraId="5F70962A" w14:textId="77777777" w:rsidTr="00622884">
        <w:trPr>
          <w:trHeight w:val="261"/>
          <w:jc w:val="center"/>
        </w:trPr>
        <w:tc>
          <w:tcPr>
            <w:tcW w:w="1905" w:type="pct"/>
            <w:tcMar>
              <w:top w:w="20" w:type="dxa"/>
              <w:left w:w="142" w:type="dxa"/>
              <w:bottom w:w="0" w:type="dxa"/>
              <w:right w:w="142" w:type="dxa"/>
            </w:tcMar>
            <w:vAlign w:val="center"/>
            <w:hideMark/>
          </w:tcPr>
          <w:p w14:paraId="26E4C899" w14:textId="77777777" w:rsidR="00622884" w:rsidRPr="00622884" w:rsidRDefault="00622884" w:rsidP="00622884">
            <w:pPr>
              <w:spacing w:after="0" w:line="240" w:lineRule="auto"/>
              <w:textAlignment w:val="center"/>
              <w:rPr>
                <w:rFonts w:ascii="Garamond" w:eastAsia="Times New Roman" w:hAnsi="Garamond" w:cs="Calibri Light"/>
                <w:sz w:val="16"/>
                <w:szCs w:val="16"/>
                <w:lang w:eastAsia="nl-NL"/>
              </w:rPr>
            </w:pPr>
            <w:r w:rsidRPr="00622884">
              <w:rPr>
                <w:rFonts w:ascii="Garamond" w:eastAsia="Calibri" w:hAnsi="Garamond" w:cs="Times New Roman"/>
                <w:kern w:val="24"/>
                <w:sz w:val="16"/>
                <w:szCs w:val="16"/>
                <w:highlight w:val="white"/>
                <w:lang w:eastAsia="en-US" w:bidi="sq-AL"/>
              </w:rPr>
              <w:t xml:space="preserve">Kodrinore e ndërmjetme </w:t>
            </w:r>
          </w:p>
        </w:tc>
        <w:tc>
          <w:tcPr>
            <w:tcW w:w="1092" w:type="pct"/>
            <w:tcMar>
              <w:top w:w="20" w:type="dxa"/>
              <w:left w:w="142" w:type="dxa"/>
              <w:bottom w:w="0" w:type="dxa"/>
              <w:right w:w="142" w:type="dxa"/>
            </w:tcMar>
            <w:vAlign w:val="center"/>
            <w:hideMark/>
          </w:tcPr>
          <w:p w14:paraId="31F0636F" w14:textId="77777777" w:rsidR="00622884" w:rsidRPr="00622884" w:rsidRDefault="00622884" w:rsidP="00622884">
            <w:pPr>
              <w:spacing w:after="0" w:line="240" w:lineRule="auto"/>
              <w:textAlignment w:val="center"/>
              <w:rPr>
                <w:rFonts w:ascii="Garamond" w:eastAsia="Times New Roman" w:hAnsi="Garamond" w:cs="Calibri Light"/>
                <w:sz w:val="16"/>
                <w:szCs w:val="16"/>
                <w:lang w:eastAsia="nl-NL"/>
              </w:rPr>
            </w:pPr>
            <w:r w:rsidRPr="00622884">
              <w:rPr>
                <w:rFonts w:ascii="Garamond" w:eastAsia="Calibri" w:hAnsi="Garamond" w:cs="Times New Roman"/>
                <w:kern w:val="24"/>
                <w:sz w:val="16"/>
                <w:szCs w:val="16"/>
                <w:highlight w:val="red"/>
                <w:lang w:eastAsia="en-US" w:bidi="sq-AL"/>
              </w:rPr>
              <w:t>I lartë</w:t>
            </w:r>
          </w:p>
        </w:tc>
        <w:tc>
          <w:tcPr>
            <w:tcW w:w="2003" w:type="pct"/>
            <w:tcMar>
              <w:top w:w="20" w:type="dxa"/>
              <w:left w:w="142" w:type="dxa"/>
              <w:bottom w:w="0" w:type="dxa"/>
              <w:right w:w="142" w:type="dxa"/>
            </w:tcMar>
            <w:vAlign w:val="center"/>
            <w:hideMark/>
          </w:tcPr>
          <w:p w14:paraId="6E236899" w14:textId="77777777" w:rsidR="00622884" w:rsidRPr="00622884" w:rsidRDefault="00622884" w:rsidP="00622884">
            <w:pPr>
              <w:spacing w:after="0" w:line="240" w:lineRule="auto"/>
              <w:textAlignment w:val="center"/>
              <w:rPr>
                <w:rFonts w:ascii="Garamond" w:eastAsia="Times New Roman" w:hAnsi="Garamond" w:cs="Calibri Light"/>
                <w:sz w:val="16"/>
                <w:szCs w:val="16"/>
                <w:lang w:eastAsia="nl-NL"/>
              </w:rPr>
            </w:pPr>
            <w:r w:rsidRPr="00622884">
              <w:rPr>
                <w:rFonts w:ascii="Garamond" w:eastAsia="Calibri" w:hAnsi="Garamond" w:cs="Times New Roman"/>
                <w:kern w:val="24"/>
                <w:sz w:val="16"/>
                <w:szCs w:val="16"/>
                <w:highlight w:val="red"/>
                <w:lang w:eastAsia="en-US" w:bidi="sq-AL"/>
              </w:rPr>
              <w:t>I lartë</w:t>
            </w:r>
            <w:r w:rsidRPr="00622884">
              <w:rPr>
                <w:rFonts w:ascii="Garamond" w:eastAsia="Calibri" w:hAnsi="Garamond" w:cs="Times New Roman"/>
                <w:kern w:val="24"/>
                <w:sz w:val="16"/>
                <w:szCs w:val="16"/>
                <w:lang w:eastAsia="en-US" w:bidi="sq-AL"/>
              </w:rPr>
              <w:t xml:space="preserve"> – </w:t>
            </w:r>
            <w:r w:rsidRPr="00622884">
              <w:rPr>
                <w:rFonts w:ascii="Garamond" w:eastAsia="Calibri" w:hAnsi="Garamond" w:cs="Times New Roman"/>
                <w:kern w:val="24"/>
                <w:sz w:val="16"/>
                <w:szCs w:val="16"/>
                <w:highlight w:val="darkRed"/>
                <w:lang w:eastAsia="en-US" w:bidi="sq-AL"/>
              </w:rPr>
              <w:t>Shumë i lartë</w:t>
            </w:r>
          </w:p>
        </w:tc>
      </w:tr>
      <w:tr w:rsidR="00622884" w:rsidRPr="00622884" w14:paraId="7045E148" w14:textId="77777777" w:rsidTr="00622884">
        <w:trPr>
          <w:trHeight w:val="261"/>
          <w:jc w:val="center"/>
        </w:trPr>
        <w:tc>
          <w:tcPr>
            <w:tcW w:w="1905" w:type="pct"/>
            <w:tcMar>
              <w:top w:w="20" w:type="dxa"/>
              <w:left w:w="142" w:type="dxa"/>
              <w:bottom w:w="0" w:type="dxa"/>
              <w:right w:w="142" w:type="dxa"/>
            </w:tcMar>
            <w:vAlign w:val="center"/>
            <w:hideMark/>
          </w:tcPr>
          <w:p w14:paraId="7D3DA857" w14:textId="77777777" w:rsidR="00622884" w:rsidRPr="00622884" w:rsidRDefault="00622884" w:rsidP="00622884">
            <w:pPr>
              <w:spacing w:after="0" w:line="240" w:lineRule="auto"/>
              <w:textAlignment w:val="center"/>
              <w:rPr>
                <w:rFonts w:ascii="Garamond" w:eastAsia="Times New Roman" w:hAnsi="Garamond" w:cs="Calibri Light"/>
                <w:sz w:val="16"/>
                <w:szCs w:val="16"/>
                <w:lang w:eastAsia="nl-NL"/>
              </w:rPr>
            </w:pPr>
            <w:r w:rsidRPr="00622884">
              <w:rPr>
                <w:rFonts w:ascii="Garamond" w:eastAsia="Calibri" w:hAnsi="Garamond" w:cs="Times New Roman"/>
                <w:kern w:val="24"/>
                <w:sz w:val="16"/>
                <w:szCs w:val="16"/>
                <w:highlight w:val="white"/>
                <w:lang w:eastAsia="en-US" w:bidi="sq-AL"/>
              </w:rPr>
              <w:t>Malet veriore dhe qendrore</w:t>
            </w:r>
          </w:p>
        </w:tc>
        <w:tc>
          <w:tcPr>
            <w:tcW w:w="1092" w:type="pct"/>
            <w:tcMar>
              <w:top w:w="20" w:type="dxa"/>
              <w:left w:w="142" w:type="dxa"/>
              <w:bottom w:w="0" w:type="dxa"/>
              <w:right w:w="142" w:type="dxa"/>
            </w:tcMar>
            <w:vAlign w:val="center"/>
            <w:hideMark/>
          </w:tcPr>
          <w:p w14:paraId="416FFEB4" w14:textId="77777777" w:rsidR="00622884" w:rsidRPr="00622884" w:rsidRDefault="00622884" w:rsidP="00622884">
            <w:pPr>
              <w:spacing w:after="0" w:line="240" w:lineRule="auto"/>
              <w:rPr>
                <w:rFonts w:ascii="Garamond" w:eastAsia="Times New Roman" w:hAnsi="Garamond" w:cs="Calibri Light"/>
                <w:sz w:val="16"/>
                <w:szCs w:val="16"/>
                <w:lang w:eastAsia="nl-NL"/>
              </w:rPr>
            </w:pPr>
            <w:r w:rsidRPr="00622884">
              <w:rPr>
                <w:rFonts w:ascii="Garamond" w:eastAsia="Calibri" w:hAnsi="Garamond" w:cs="Times New Roman"/>
                <w:sz w:val="16"/>
                <w:szCs w:val="16"/>
                <w:highlight w:val="lightGray"/>
                <w:lang w:eastAsia="en-US" w:bidi="sq-AL"/>
              </w:rPr>
              <w:t>I ulët</w:t>
            </w:r>
          </w:p>
        </w:tc>
        <w:tc>
          <w:tcPr>
            <w:tcW w:w="2003" w:type="pct"/>
            <w:tcMar>
              <w:top w:w="20" w:type="dxa"/>
              <w:left w:w="142" w:type="dxa"/>
              <w:bottom w:w="0" w:type="dxa"/>
              <w:right w:w="142" w:type="dxa"/>
            </w:tcMar>
            <w:vAlign w:val="center"/>
            <w:hideMark/>
          </w:tcPr>
          <w:p w14:paraId="008B04DA" w14:textId="77777777" w:rsidR="00622884" w:rsidRPr="00622884" w:rsidRDefault="00622884" w:rsidP="00622884">
            <w:pPr>
              <w:spacing w:after="0" w:line="240" w:lineRule="auto"/>
              <w:textAlignment w:val="center"/>
              <w:rPr>
                <w:rFonts w:ascii="Garamond" w:eastAsia="Times New Roman" w:hAnsi="Garamond" w:cs="Calibri Light"/>
                <w:sz w:val="16"/>
                <w:szCs w:val="16"/>
                <w:lang w:eastAsia="nl-NL"/>
              </w:rPr>
            </w:pPr>
            <w:r w:rsidRPr="00622884">
              <w:rPr>
                <w:rFonts w:ascii="Garamond" w:eastAsia="Calibri" w:hAnsi="Garamond" w:cs="Times New Roman"/>
                <w:sz w:val="16"/>
                <w:szCs w:val="16"/>
                <w:highlight w:val="lightGray"/>
                <w:lang w:eastAsia="en-US" w:bidi="sq-AL"/>
              </w:rPr>
              <w:t>I ulët</w:t>
            </w:r>
            <w:r w:rsidRPr="00622884">
              <w:rPr>
                <w:rFonts w:ascii="Garamond" w:eastAsia="Calibri" w:hAnsi="Garamond" w:cs="Times New Roman"/>
                <w:kern w:val="24"/>
                <w:sz w:val="16"/>
                <w:szCs w:val="16"/>
                <w:lang w:eastAsia="en-US" w:bidi="sq-AL"/>
              </w:rPr>
              <w:t xml:space="preserve"> - </w:t>
            </w:r>
            <w:r w:rsidRPr="00622884">
              <w:rPr>
                <w:rFonts w:ascii="Garamond" w:eastAsia="Calibri" w:hAnsi="Garamond" w:cs="Times New Roman"/>
                <w:kern w:val="24"/>
                <w:sz w:val="16"/>
                <w:szCs w:val="16"/>
                <w:highlight w:val="yellow"/>
                <w:lang w:eastAsia="en-US" w:bidi="sq-AL"/>
              </w:rPr>
              <w:t>Mesatar</w:t>
            </w:r>
          </w:p>
        </w:tc>
      </w:tr>
      <w:tr w:rsidR="00622884" w:rsidRPr="00622884" w14:paraId="7DBEAB20" w14:textId="77777777" w:rsidTr="00622884">
        <w:trPr>
          <w:trHeight w:val="261"/>
          <w:jc w:val="center"/>
        </w:trPr>
        <w:tc>
          <w:tcPr>
            <w:tcW w:w="1905" w:type="pct"/>
            <w:tcMar>
              <w:top w:w="20" w:type="dxa"/>
              <w:left w:w="142" w:type="dxa"/>
              <w:bottom w:w="0" w:type="dxa"/>
              <w:right w:w="142" w:type="dxa"/>
            </w:tcMar>
            <w:vAlign w:val="center"/>
            <w:hideMark/>
          </w:tcPr>
          <w:p w14:paraId="43E068F0" w14:textId="77777777" w:rsidR="00622884" w:rsidRPr="00622884" w:rsidRDefault="00622884" w:rsidP="00622884">
            <w:pPr>
              <w:spacing w:after="0" w:line="240" w:lineRule="auto"/>
              <w:textAlignment w:val="center"/>
              <w:rPr>
                <w:rFonts w:ascii="Garamond" w:eastAsia="Times New Roman" w:hAnsi="Garamond" w:cs="Calibri Light"/>
                <w:sz w:val="16"/>
                <w:szCs w:val="16"/>
                <w:lang w:eastAsia="nl-NL"/>
              </w:rPr>
            </w:pPr>
            <w:r w:rsidRPr="00622884">
              <w:rPr>
                <w:rFonts w:ascii="Garamond" w:eastAsia="Calibri" w:hAnsi="Garamond" w:cs="Times New Roman"/>
                <w:kern w:val="24"/>
                <w:sz w:val="16"/>
                <w:szCs w:val="16"/>
                <w:highlight w:val="white"/>
                <w:lang w:eastAsia="en-US" w:bidi="sq-AL"/>
              </w:rPr>
              <w:t>Malësitë jugore</w:t>
            </w:r>
          </w:p>
        </w:tc>
        <w:tc>
          <w:tcPr>
            <w:tcW w:w="1092" w:type="pct"/>
            <w:tcMar>
              <w:top w:w="20" w:type="dxa"/>
              <w:left w:w="142" w:type="dxa"/>
              <w:bottom w:w="0" w:type="dxa"/>
              <w:right w:w="142" w:type="dxa"/>
            </w:tcMar>
            <w:vAlign w:val="center"/>
            <w:hideMark/>
          </w:tcPr>
          <w:p w14:paraId="1326A638" w14:textId="77777777" w:rsidR="00622884" w:rsidRPr="00622884" w:rsidRDefault="00622884" w:rsidP="00622884">
            <w:pPr>
              <w:spacing w:after="0" w:line="240" w:lineRule="auto"/>
              <w:textAlignment w:val="center"/>
              <w:rPr>
                <w:rFonts w:ascii="Garamond" w:eastAsia="Times New Roman" w:hAnsi="Garamond" w:cs="Calibri Light"/>
                <w:sz w:val="16"/>
                <w:szCs w:val="16"/>
                <w:lang w:eastAsia="nl-NL"/>
              </w:rPr>
            </w:pPr>
            <w:r w:rsidRPr="00622884">
              <w:rPr>
                <w:rFonts w:ascii="Garamond" w:eastAsia="Calibri" w:hAnsi="Garamond" w:cs="Times New Roman"/>
                <w:kern w:val="24"/>
                <w:sz w:val="16"/>
                <w:szCs w:val="16"/>
                <w:highlight w:val="yellow"/>
                <w:lang w:eastAsia="en-US" w:bidi="sq-AL"/>
              </w:rPr>
              <w:t>Mesatar</w:t>
            </w:r>
          </w:p>
        </w:tc>
        <w:tc>
          <w:tcPr>
            <w:tcW w:w="2003" w:type="pct"/>
            <w:tcMar>
              <w:top w:w="20" w:type="dxa"/>
              <w:left w:w="142" w:type="dxa"/>
              <w:bottom w:w="0" w:type="dxa"/>
              <w:right w:w="142" w:type="dxa"/>
            </w:tcMar>
            <w:vAlign w:val="center"/>
            <w:hideMark/>
          </w:tcPr>
          <w:p w14:paraId="4CC35C74" w14:textId="77777777" w:rsidR="00622884" w:rsidRPr="00622884" w:rsidRDefault="00622884" w:rsidP="00622884">
            <w:pPr>
              <w:spacing w:after="0" w:line="240" w:lineRule="auto"/>
              <w:textAlignment w:val="center"/>
              <w:rPr>
                <w:rFonts w:ascii="Garamond" w:eastAsia="Times New Roman" w:hAnsi="Garamond" w:cs="Calibri Light"/>
                <w:sz w:val="16"/>
                <w:szCs w:val="16"/>
                <w:lang w:eastAsia="nl-NL"/>
              </w:rPr>
            </w:pPr>
            <w:r w:rsidRPr="00622884">
              <w:rPr>
                <w:rFonts w:ascii="Garamond" w:eastAsia="Calibri" w:hAnsi="Garamond" w:cs="Times New Roman"/>
                <w:kern w:val="24"/>
                <w:sz w:val="16"/>
                <w:szCs w:val="16"/>
                <w:highlight w:val="yellow"/>
                <w:lang w:eastAsia="en-US" w:bidi="sq-AL"/>
              </w:rPr>
              <w:t>Mesatar</w:t>
            </w:r>
            <w:r w:rsidRPr="00622884">
              <w:rPr>
                <w:rFonts w:ascii="Garamond" w:eastAsia="Calibri" w:hAnsi="Garamond" w:cs="Times New Roman"/>
                <w:kern w:val="24"/>
                <w:sz w:val="16"/>
                <w:szCs w:val="16"/>
                <w:lang w:eastAsia="en-US" w:bidi="sq-AL"/>
              </w:rPr>
              <w:t xml:space="preserve"> - </w:t>
            </w:r>
            <w:r w:rsidRPr="00622884">
              <w:rPr>
                <w:rFonts w:ascii="Garamond" w:eastAsia="Calibri" w:hAnsi="Garamond" w:cs="Times New Roman"/>
                <w:kern w:val="24"/>
                <w:sz w:val="16"/>
                <w:szCs w:val="16"/>
                <w:highlight w:val="red"/>
                <w:lang w:eastAsia="en-US" w:bidi="sq-AL"/>
              </w:rPr>
              <w:t>I lartë</w:t>
            </w:r>
          </w:p>
        </w:tc>
      </w:tr>
      <w:tr w:rsidR="00622884" w:rsidRPr="00622884" w14:paraId="255D1F5C" w14:textId="77777777" w:rsidTr="00622884">
        <w:trPr>
          <w:trHeight w:val="75"/>
          <w:jc w:val="center"/>
        </w:trPr>
        <w:tc>
          <w:tcPr>
            <w:tcW w:w="5000" w:type="pct"/>
            <w:gridSpan w:val="3"/>
            <w:shd w:val="clear" w:color="auto" w:fill="DFEAF5"/>
            <w:tcMar>
              <w:top w:w="95" w:type="dxa"/>
              <w:left w:w="190" w:type="dxa"/>
              <w:bottom w:w="95" w:type="dxa"/>
              <w:right w:w="190" w:type="dxa"/>
            </w:tcMar>
            <w:hideMark/>
          </w:tcPr>
          <w:p w14:paraId="16B7D46D" w14:textId="77777777" w:rsidR="00622884" w:rsidRPr="00622884" w:rsidRDefault="00622884" w:rsidP="00622884">
            <w:pPr>
              <w:spacing w:after="0" w:line="240" w:lineRule="auto"/>
              <w:textAlignment w:val="center"/>
              <w:rPr>
                <w:rFonts w:ascii="Garamond" w:eastAsia="Times New Roman" w:hAnsi="Garamond" w:cs="Calibri Light"/>
                <w:b/>
                <w:bCs/>
                <w:sz w:val="16"/>
                <w:szCs w:val="16"/>
                <w:lang w:eastAsia="nl-NL"/>
              </w:rPr>
            </w:pPr>
            <w:r w:rsidRPr="00622884">
              <w:rPr>
                <w:rFonts w:ascii="Garamond" w:eastAsia="Calibri" w:hAnsi="Garamond" w:cs="Times New Roman"/>
                <w:b/>
                <w:kern w:val="24"/>
                <w:sz w:val="16"/>
                <w:szCs w:val="16"/>
                <w:highlight w:val="white"/>
                <w:lang w:eastAsia="en-US" w:bidi="sq-AL"/>
              </w:rPr>
              <w:t>NËNSEKTORËT</w:t>
            </w:r>
          </w:p>
        </w:tc>
      </w:tr>
      <w:tr w:rsidR="00622884" w:rsidRPr="00622884" w14:paraId="56BBF1BF" w14:textId="77777777" w:rsidTr="00622884">
        <w:trPr>
          <w:trHeight w:val="261"/>
          <w:jc w:val="center"/>
        </w:trPr>
        <w:tc>
          <w:tcPr>
            <w:tcW w:w="1905" w:type="pct"/>
            <w:tcMar>
              <w:top w:w="20" w:type="dxa"/>
              <w:left w:w="142" w:type="dxa"/>
              <w:bottom w:w="0" w:type="dxa"/>
              <w:right w:w="142" w:type="dxa"/>
            </w:tcMar>
            <w:vAlign w:val="center"/>
            <w:hideMark/>
          </w:tcPr>
          <w:p w14:paraId="0088C406" w14:textId="77777777" w:rsidR="00622884" w:rsidRPr="00622884" w:rsidRDefault="00622884" w:rsidP="00622884">
            <w:pPr>
              <w:spacing w:after="0" w:line="240" w:lineRule="auto"/>
              <w:textAlignment w:val="center"/>
              <w:rPr>
                <w:rFonts w:ascii="Garamond" w:eastAsia="Times New Roman" w:hAnsi="Garamond" w:cs="Calibri Light"/>
                <w:sz w:val="16"/>
                <w:szCs w:val="16"/>
                <w:lang w:eastAsia="nl-NL"/>
              </w:rPr>
            </w:pPr>
            <w:r w:rsidRPr="00622884">
              <w:rPr>
                <w:rFonts w:ascii="Garamond" w:eastAsia="Calibri" w:hAnsi="Garamond" w:cs="Times New Roman"/>
                <w:kern w:val="24"/>
                <w:sz w:val="16"/>
                <w:szCs w:val="16"/>
                <w:highlight w:val="white"/>
                <w:lang w:eastAsia="en-US" w:bidi="sq-AL"/>
              </w:rPr>
              <w:t>Kulturat e përkohshme</w:t>
            </w:r>
          </w:p>
        </w:tc>
        <w:tc>
          <w:tcPr>
            <w:tcW w:w="1092" w:type="pct"/>
            <w:tcMar>
              <w:top w:w="20" w:type="dxa"/>
              <w:left w:w="142" w:type="dxa"/>
              <w:bottom w:w="0" w:type="dxa"/>
              <w:right w:w="142" w:type="dxa"/>
            </w:tcMar>
            <w:vAlign w:val="center"/>
            <w:hideMark/>
          </w:tcPr>
          <w:p w14:paraId="19D4C51E" w14:textId="77777777" w:rsidR="00622884" w:rsidRPr="00622884" w:rsidRDefault="00622884" w:rsidP="00622884">
            <w:pPr>
              <w:spacing w:after="0" w:line="240" w:lineRule="auto"/>
              <w:textAlignment w:val="center"/>
              <w:rPr>
                <w:rFonts w:ascii="Garamond" w:eastAsia="Times New Roman" w:hAnsi="Garamond" w:cs="Calibri Light"/>
                <w:sz w:val="16"/>
                <w:szCs w:val="16"/>
                <w:lang w:eastAsia="nl-NL"/>
              </w:rPr>
            </w:pPr>
            <w:r w:rsidRPr="00622884">
              <w:rPr>
                <w:rFonts w:ascii="Garamond" w:eastAsia="Calibri" w:hAnsi="Garamond" w:cs="Times New Roman"/>
                <w:kern w:val="24"/>
                <w:sz w:val="16"/>
                <w:szCs w:val="16"/>
                <w:highlight w:val="red"/>
                <w:lang w:eastAsia="en-US" w:bidi="sq-AL"/>
              </w:rPr>
              <w:t>I lartë</w:t>
            </w:r>
          </w:p>
        </w:tc>
        <w:tc>
          <w:tcPr>
            <w:tcW w:w="2003" w:type="pct"/>
            <w:tcMar>
              <w:top w:w="20" w:type="dxa"/>
              <w:left w:w="142" w:type="dxa"/>
              <w:bottom w:w="0" w:type="dxa"/>
              <w:right w:w="142" w:type="dxa"/>
            </w:tcMar>
            <w:vAlign w:val="center"/>
            <w:hideMark/>
          </w:tcPr>
          <w:p w14:paraId="129AC673" w14:textId="77777777" w:rsidR="00622884" w:rsidRPr="00622884" w:rsidRDefault="00622884" w:rsidP="00622884">
            <w:pPr>
              <w:spacing w:after="0" w:line="240" w:lineRule="auto"/>
              <w:textAlignment w:val="center"/>
              <w:rPr>
                <w:rFonts w:ascii="Garamond" w:eastAsia="Times New Roman" w:hAnsi="Garamond" w:cs="Calibri Light"/>
                <w:sz w:val="16"/>
                <w:szCs w:val="16"/>
                <w:lang w:eastAsia="nl-NL"/>
              </w:rPr>
            </w:pPr>
            <w:r w:rsidRPr="00622884">
              <w:rPr>
                <w:rFonts w:ascii="Garamond" w:eastAsia="Calibri" w:hAnsi="Garamond" w:cs="Times New Roman"/>
                <w:kern w:val="24"/>
                <w:sz w:val="16"/>
                <w:szCs w:val="16"/>
                <w:highlight w:val="darkRed"/>
                <w:lang w:eastAsia="en-US" w:bidi="sq-AL"/>
              </w:rPr>
              <w:t>Shumë i lartë</w:t>
            </w:r>
          </w:p>
        </w:tc>
      </w:tr>
      <w:tr w:rsidR="00622884" w:rsidRPr="00622884" w14:paraId="440C113E" w14:textId="77777777" w:rsidTr="00622884">
        <w:trPr>
          <w:trHeight w:val="261"/>
          <w:jc w:val="center"/>
        </w:trPr>
        <w:tc>
          <w:tcPr>
            <w:tcW w:w="1905" w:type="pct"/>
            <w:tcMar>
              <w:top w:w="20" w:type="dxa"/>
              <w:left w:w="142" w:type="dxa"/>
              <w:bottom w:w="0" w:type="dxa"/>
              <w:right w:w="142" w:type="dxa"/>
            </w:tcMar>
            <w:vAlign w:val="center"/>
            <w:hideMark/>
          </w:tcPr>
          <w:p w14:paraId="033604EB" w14:textId="77777777" w:rsidR="00622884" w:rsidRPr="00622884" w:rsidRDefault="00622884" w:rsidP="00622884">
            <w:pPr>
              <w:spacing w:after="0" w:line="240" w:lineRule="auto"/>
              <w:textAlignment w:val="center"/>
              <w:rPr>
                <w:rFonts w:ascii="Garamond" w:eastAsia="Times New Roman" w:hAnsi="Garamond" w:cs="Calibri Light"/>
                <w:sz w:val="16"/>
                <w:szCs w:val="16"/>
                <w:lang w:eastAsia="nl-NL"/>
              </w:rPr>
            </w:pPr>
            <w:r w:rsidRPr="00622884">
              <w:rPr>
                <w:rFonts w:ascii="Garamond" w:eastAsia="Calibri" w:hAnsi="Garamond" w:cs="Times New Roman"/>
                <w:kern w:val="24"/>
                <w:sz w:val="16"/>
                <w:szCs w:val="16"/>
                <w:highlight w:val="white"/>
                <w:lang w:eastAsia="en-US" w:bidi="sq-AL"/>
              </w:rPr>
              <w:t>Kultura të përhershme</w:t>
            </w:r>
          </w:p>
        </w:tc>
        <w:tc>
          <w:tcPr>
            <w:tcW w:w="1092" w:type="pct"/>
            <w:tcMar>
              <w:top w:w="20" w:type="dxa"/>
              <w:left w:w="142" w:type="dxa"/>
              <w:bottom w:w="0" w:type="dxa"/>
              <w:right w:w="142" w:type="dxa"/>
            </w:tcMar>
            <w:vAlign w:val="center"/>
            <w:hideMark/>
          </w:tcPr>
          <w:p w14:paraId="4A6762F8" w14:textId="77777777" w:rsidR="00622884" w:rsidRPr="00622884" w:rsidRDefault="00622884" w:rsidP="00622884">
            <w:pPr>
              <w:spacing w:after="0" w:line="240" w:lineRule="auto"/>
              <w:textAlignment w:val="center"/>
              <w:rPr>
                <w:rFonts w:ascii="Garamond" w:eastAsia="Times New Roman" w:hAnsi="Garamond" w:cs="Calibri Light"/>
                <w:sz w:val="16"/>
                <w:szCs w:val="16"/>
                <w:lang w:eastAsia="nl-NL"/>
              </w:rPr>
            </w:pPr>
            <w:r w:rsidRPr="00622884">
              <w:rPr>
                <w:rFonts w:ascii="Garamond" w:eastAsia="Calibri" w:hAnsi="Garamond" w:cs="Times New Roman"/>
                <w:kern w:val="24"/>
                <w:sz w:val="16"/>
                <w:szCs w:val="16"/>
                <w:highlight w:val="yellow"/>
                <w:lang w:eastAsia="en-US" w:bidi="sq-AL"/>
              </w:rPr>
              <w:t>Mesatar</w:t>
            </w:r>
          </w:p>
        </w:tc>
        <w:tc>
          <w:tcPr>
            <w:tcW w:w="2003" w:type="pct"/>
            <w:tcMar>
              <w:top w:w="20" w:type="dxa"/>
              <w:left w:w="142" w:type="dxa"/>
              <w:bottom w:w="0" w:type="dxa"/>
              <w:right w:w="142" w:type="dxa"/>
            </w:tcMar>
            <w:vAlign w:val="center"/>
            <w:hideMark/>
          </w:tcPr>
          <w:p w14:paraId="7B4C9564" w14:textId="77777777" w:rsidR="00622884" w:rsidRPr="00622884" w:rsidRDefault="00622884" w:rsidP="00622884">
            <w:pPr>
              <w:spacing w:after="0" w:line="240" w:lineRule="auto"/>
              <w:textAlignment w:val="center"/>
              <w:rPr>
                <w:rFonts w:ascii="Garamond" w:eastAsia="Times New Roman" w:hAnsi="Garamond" w:cs="Calibri Light"/>
                <w:sz w:val="16"/>
                <w:szCs w:val="16"/>
                <w:lang w:eastAsia="nl-NL"/>
              </w:rPr>
            </w:pPr>
            <w:r w:rsidRPr="00622884">
              <w:rPr>
                <w:rFonts w:ascii="Garamond" w:eastAsia="Calibri" w:hAnsi="Garamond" w:cs="Times New Roman"/>
                <w:kern w:val="24"/>
                <w:sz w:val="16"/>
                <w:szCs w:val="16"/>
                <w:highlight w:val="yellow"/>
                <w:lang w:eastAsia="en-US" w:bidi="sq-AL"/>
              </w:rPr>
              <w:t>Mesatar</w:t>
            </w:r>
            <w:r w:rsidRPr="00622884">
              <w:rPr>
                <w:rFonts w:ascii="Garamond" w:eastAsia="Calibri" w:hAnsi="Garamond" w:cs="Times New Roman"/>
                <w:kern w:val="24"/>
                <w:sz w:val="16"/>
                <w:szCs w:val="16"/>
                <w:lang w:eastAsia="en-US" w:bidi="sq-AL"/>
              </w:rPr>
              <w:t xml:space="preserve"> – </w:t>
            </w:r>
            <w:r w:rsidRPr="00622884">
              <w:rPr>
                <w:rFonts w:ascii="Garamond" w:eastAsia="Calibri" w:hAnsi="Garamond" w:cs="Times New Roman"/>
                <w:kern w:val="24"/>
                <w:sz w:val="16"/>
                <w:szCs w:val="16"/>
                <w:highlight w:val="darkRed"/>
                <w:lang w:eastAsia="en-US" w:bidi="sq-AL"/>
              </w:rPr>
              <w:t>Shumë i lartë</w:t>
            </w:r>
          </w:p>
        </w:tc>
      </w:tr>
      <w:tr w:rsidR="00622884" w:rsidRPr="00622884" w14:paraId="075C7A6C" w14:textId="77777777" w:rsidTr="00622884">
        <w:trPr>
          <w:trHeight w:val="261"/>
          <w:jc w:val="center"/>
        </w:trPr>
        <w:tc>
          <w:tcPr>
            <w:tcW w:w="1905" w:type="pct"/>
            <w:tcMar>
              <w:top w:w="20" w:type="dxa"/>
              <w:left w:w="142" w:type="dxa"/>
              <w:bottom w:w="0" w:type="dxa"/>
              <w:right w:w="142" w:type="dxa"/>
            </w:tcMar>
            <w:vAlign w:val="center"/>
            <w:hideMark/>
          </w:tcPr>
          <w:p w14:paraId="1DFE515D" w14:textId="77777777" w:rsidR="00622884" w:rsidRPr="00622884" w:rsidRDefault="00622884" w:rsidP="00622884">
            <w:pPr>
              <w:spacing w:after="0" w:line="240" w:lineRule="auto"/>
              <w:textAlignment w:val="center"/>
              <w:rPr>
                <w:rFonts w:ascii="Garamond" w:eastAsia="Times New Roman" w:hAnsi="Garamond" w:cs="Calibri Light"/>
                <w:sz w:val="16"/>
                <w:szCs w:val="16"/>
                <w:lang w:eastAsia="nl-NL"/>
              </w:rPr>
            </w:pPr>
            <w:r w:rsidRPr="00622884">
              <w:rPr>
                <w:rFonts w:ascii="Garamond" w:eastAsia="Calibri" w:hAnsi="Garamond" w:cs="Times New Roman"/>
                <w:kern w:val="24"/>
                <w:sz w:val="16"/>
                <w:szCs w:val="16"/>
                <w:highlight w:val="white"/>
                <w:lang w:eastAsia="en-US" w:bidi="sq-AL"/>
              </w:rPr>
              <w:t>Gjedhët dhe kuajt</w:t>
            </w:r>
          </w:p>
        </w:tc>
        <w:tc>
          <w:tcPr>
            <w:tcW w:w="1092" w:type="pct"/>
            <w:tcMar>
              <w:top w:w="20" w:type="dxa"/>
              <w:left w:w="142" w:type="dxa"/>
              <w:bottom w:w="0" w:type="dxa"/>
              <w:right w:w="142" w:type="dxa"/>
            </w:tcMar>
            <w:vAlign w:val="center"/>
            <w:hideMark/>
          </w:tcPr>
          <w:p w14:paraId="40842E75" w14:textId="77777777" w:rsidR="00622884" w:rsidRPr="00622884" w:rsidRDefault="00622884" w:rsidP="00622884">
            <w:pPr>
              <w:spacing w:after="0" w:line="240" w:lineRule="auto"/>
              <w:textAlignment w:val="center"/>
              <w:rPr>
                <w:rFonts w:ascii="Garamond" w:eastAsia="Times New Roman" w:hAnsi="Garamond" w:cs="Calibri Light"/>
                <w:sz w:val="16"/>
                <w:szCs w:val="16"/>
                <w:lang w:eastAsia="nl-NL"/>
              </w:rPr>
            </w:pPr>
            <w:r w:rsidRPr="00622884">
              <w:rPr>
                <w:rFonts w:ascii="Garamond" w:eastAsia="Calibri" w:hAnsi="Garamond" w:cs="Times New Roman"/>
                <w:kern w:val="24"/>
                <w:sz w:val="16"/>
                <w:szCs w:val="16"/>
                <w:highlight w:val="yellow"/>
                <w:lang w:eastAsia="en-US" w:bidi="sq-AL"/>
              </w:rPr>
              <w:t>Mesatar</w:t>
            </w:r>
          </w:p>
        </w:tc>
        <w:tc>
          <w:tcPr>
            <w:tcW w:w="2003" w:type="pct"/>
            <w:tcMar>
              <w:top w:w="20" w:type="dxa"/>
              <w:left w:w="142" w:type="dxa"/>
              <w:bottom w:w="0" w:type="dxa"/>
              <w:right w:w="142" w:type="dxa"/>
            </w:tcMar>
            <w:vAlign w:val="center"/>
            <w:hideMark/>
          </w:tcPr>
          <w:p w14:paraId="29F717E5" w14:textId="77777777" w:rsidR="00622884" w:rsidRPr="00622884" w:rsidRDefault="00622884" w:rsidP="00622884">
            <w:pPr>
              <w:spacing w:after="0" w:line="240" w:lineRule="auto"/>
              <w:textAlignment w:val="center"/>
              <w:rPr>
                <w:rFonts w:ascii="Garamond" w:eastAsia="Times New Roman" w:hAnsi="Garamond" w:cs="Calibri Light"/>
                <w:sz w:val="16"/>
                <w:szCs w:val="16"/>
                <w:lang w:eastAsia="nl-NL"/>
              </w:rPr>
            </w:pPr>
            <w:r w:rsidRPr="00622884">
              <w:rPr>
                <w:rFonts w:ascii="Garamond" w:eastAsia="Calibri" w:hAnsi="Garamond" w:cs="Times New Roman"/>
                <w:kern w:val="24"/>
                <w:sz w:val="16"/>
                <w:szCs w:val="16"/>
                <w:highlight w:val="red"/>
                <w:lang w:eastAsia="en-US" w:bidi="sq-AL"/>
              </w:rPr>
              <w:t>I lartë</w:t>
            </w:r>
            <w:r w:rsidRPr="00622884">
              <w:rPr>
                <w:rFonts w:ascii="Garamond" w:eastAsia="Calibri" w:hAnsi="Garamond" w:cs="Times New Roman"/>
                <w:kern w:val="24"/>
                <w:sz w:val="16"/>
                <w:szCs w:val="16"/>
                <w:lang w:eastAsia="en-US" w:bidi="sq-AL"/>
              </w:rPr>
              <w:t xml:space="preserve"> – </w:t>
            </w:r>
            <w:r w:rsidRPr="00622884">
              <w:rPr>
                <w:rFonts w:ascii="Garamond" w:eastAsia="Calibri" w:hAnsi="Garamond" w:cs="Times New Roman"/>
                <w:kern w:val="24"/>
                <w:sz w:val="16"/>
                <w:szCs w:val="16"/>
                <w:highlight w:val="darkRed"/>
                <w:lang w:eastAsia="en-US" w:bidi="sq-AL"/>
              </w:rPr>
              <w:t>Shumë i lartë</w:t>
            </w:r>
          </w:p>
        </w:tc>
      </w:tr>
      <w:tr w:rsidR="00622884" w:rsidRPr="00622884" w14:paraId="5E68A409" w14:textId="77777777" w:rsidTr="00622884">
        <w:trPr>
          <w:trHeight w:val="261"/>
          <w:jc w:val="center"/>
        </w:trPr>
        <w:tc>
          <w:tcPr>
            <w:tcW w:w="1905" w:type="pct"/>
            <w:tcMar>
              <w:top w:w="20" w:type="dxa"/>
              <w:left w:w="142" w:type="dxa"/>
              <w:bottom w:w="0" w:type="dxa"/>
              <w:right w:w="142" w:type="dxa"/>
            </w:tcMar>
            <w:vAlign w:val="center"/>
            <w:hideMark/>
          </w:tcPr>
          <w:p w14:paraId="01D126A1" w14:textId="77777777" w:rsidR="00622884" w:rsidRPr="00622884" w:rsidRDefault="00622884" w:rsidP="00622884">
            <w:pPr>
              <w:spacing w:after="0" w:line="240" w:lineRule="auto"/>
              <w:textAlignment w:val="center"/>
              <w:rPr>
                <w:rFonts w:ascii="Garamond" w:eastAsia="Times New Roman" w:hAnsi="Garamond" w:cs="Calibri Light"/>
                <w:sz w:val="16"/>
                <w:szCs w:val="16"/>
                <w:lang w:eastAsia="nl-NL"/>
              </w:rPr>
            </w:pPr>
            <w:r w:rsidRPr="00622884">
              <w:rPr>
                <w:rFonts w:ascii="Garamond" w:eastAsia="Calibri" w:hAnsi="Garamond" w:cs="Times New Roman"/>
                <w:kern w:val="24"/>
                <w:sz w:val="16"/>
                <w:szCs w:val="16"/>
                <w:highlight w:val="white"/>
                <w:lang w:eastAsia="en-US" w:bidi="sq-AL"/>
              </w:rPr>
              <w:t>Derrat dhe shpendët</w:t>
            </w:r>
          </w:p>
        </w:tc>
        <w:tc>
          <w:tcPr>
            <w:tcW w:w="1092" w:type="pct"/>
            <w:tcMar>
              <w:top w:w="20" w:type="dxa"/>
              <w:left w:w="142" w:type="dxa"/>
              <w:bottom w:w="0" w:type="dxa"/>
              <w:right w:w="142" w:type="dxa"/>
            </w:tcMar>
            <w:vAlign w:val="center"/>
            <w:hideMark/>
          </w:tcPr>
          <w:p w14:paraId="4FC3941A" w14:textId="77777777" w:rsidR="00622884" w:rsidRPr="00622884" w:rsidRDefault="00622884" w:rsidP="00622884">
            <w:pPr>
              <w:spacing w:after="0" w:line="240" w:lineRule="auto"/>
              <w:rPr>
                <w:rFonts w:ascii="Garamond" w:eastAsia="Times New Roman" w:hAnsi="Garamond" w:cs="Calibri Light"/>
                <w:sz w:val="16"/>
                <w:szCs w:val="16"/>
                <w:lang w:eastAsia="nl-NL"/>
              </w:rPr>
            </w:pPr>
            <w:r w:rsidRPr="00622884">
              <w:rPr>
                <w:rFonts w:ascii="Garamond" w:eastAsia="Calibri" w:hAnsi="Garamond" w:cs="Times New Roman"/>
                <w:sz w:val="16"/>
                <w:szCs w:val="16"/>
                <w:highlight w:val="lightGray"/>
                <w:lang w:eastAsia="en-US" w:bidi="sq-AL"/>
              </w:rPr>
              <w:t>I ulët</w:t>
            </w:r>
          </w:p>
        </w:tc>
        <w:tc>
          <w:tcPr>
            <w:tcW w:w="2003" w:type="pct"/>
            <w:tcMar>
              <w:top w:w="20" w:type="dxa"/>
              <w:left w:w="142" w:type="dxa"/>
              <w:bottom w:w="0" w:type="dxa"/>
              <w:right w:w="142" w:type="dxa"/>
            </w:tcMar>
            <w:vAlign w:val="center"/>
            <w:hideMark/>
          </w:tcPr>
          <w:p w14:paraId="1D158A55" w14:textId="77777777" w:rsidR="00622884" w:rsidRPr="00622884" w:rsidRDefault="00622884" w:rsidP="00622884">
            <w:pPr>
              <w:spacing w:after="0" w:line="240" w:lineRule="auto"/>
              <w:textAlignment w:val="center"/>
              <w:rPr>
                <w:rFonts w:ascii="Garamond" w:eastAsia="Times New Roman" w:hAnsi="Garamond" w:cs="Calibri Light"/>
                <w:sz w:val="16"/>
                <w:szCs w:val="16"/>
                <w:lang w:eastAsia="nl-NL"/>
              </w:rPr>
            </w:pPr>
            <w:r w:rsidRPr="00622884">
              <w:rPr>
                <w:rFonts w:ascii="Garamond" w:eastAsia="Calibri" w:hAnsi="Garamond" w:cs="Times New Roman"/>
                <w:sz w:val="16"/>
                <w:szCs w:val="16"/>
                <w:highlight w:val="lightGray"/>
                <w:lang w:eastAsia="en-US" w:bidi="sq-AL"/>
              </w:rPr>
              <w:t>I ulët</w:t>
            </w:r>
            <w:r w:rsidRPr="00622884">
              <w:rPr>
                <w:rFonts w:ascii="Garamond" w:eastAsia="Calibri" w:hAnsi="Garamond" w:cs="Times New Roman"/>
                <w:kern w:val="24"/>
                <w:sz w:val="16"/>
                <w:szCs w:val="16"/>
                <w:lang w:eastAsia="en-US" w:bidi="sq-AL"/>
              </w:rPr>
              <w:t xml:space="preserve"> - </w:t>
            </w:r>
            <w:r w:rsidRPr="00622884">
              <w:rPr>
                <w:rFonts w:ascii="Garamond" w:eastAsia="Calibri" w:hAnsi="Garamond" w:cs="Times New Roman"/>
                <w:kern w:val="24"/>
                <w:sz w:val="16"/>
                <w:szCs w:val="16"/>
                <w:highlight w:val="yellow"/>
                <w:lang w:eastAsia="en-US" w:bidi="sq-AL"/>
              </w:rPr>
              <w:t>Mesatar</w:t>
            </w:r>
          </w:p>
        </w:tc>
      </w:tr>
      <w:tr w:rsidR="00622884" w:rsidRPr="00622884" w14:paraId="63BFD2F1" w14:textId="77777777" w:rsidTr="00622884">
        <w:trPr>
          <w:trHeight w:val="261"/>
          <w:jc w:val="center"/>
        </w:trPr>
        <w:tc>
          <w:tcPr>
            <w:tcW w:w="1905" w:type="pct"/>
            <w:tcMar>
              <w:top w:w="20" w:type="dxa"/>
              <w:left w:w="142" w:type="dxa"/>
              <w:bottom w:w="0" w:type="dxa"/>
              <w:right w:w="142" w:type="dxa"/>
            </w:tcMar>
            <w:vAlign w:val="center"/>
            <w:hideMark/>
          </w:tcPr>
          <w:p w14:paraId="6F69E035" w14:textId="77777777" w:rsidR="00622884" w:rsidRPr="00622884" w:rsidRDefault="00622884" w:rsidP="00622884">
            <w:pPr>
              <w:spacing w:after="0" w:line="240" w:lineRule="auto"/>
              <w:textAlignment w:val="center"/>
              <w:rPr>
                <w:rFonts w:ascii="Garamond" w:eastAsia="Times New Roman" w:hAnsi="Garamond" w:cs="Calibri Light"/>
                <w:sz w:val="16"/>
                <w:szCs w:val="16"/>
                <w:lang w:eastAsia="nl-NL"/>
              </w:rPr>
            </w:pPr>
            <w:r w:rsidRPr="00622884">
              <w:rPr>
                <w:rFonts w:ascii="Garamond" w:eastAsia="Calibri" w:hAnsi="Garamond" w:cs="Times New Roman"/>
                <w:kern w:val="24"/>
                <w:sz w:val="16"/>
                <w:szCs w:val="16"/>
                <w:highlight w:val="white"/>
                <w:lang w:eastAsia="en-US" w:bidi="sq-AL"/>
              </w:rPr>
              <w:t>Delet dhe dhitë</w:t>
            </w:r>
          </w:p>
        </w:tc>
        <w:tc>
          <w:tcPr>
            <w:tcW w:w="1092" w:type="pct"/>
            <w:tcMar>
              <w:top w:w="20" w:type="dxa"/>
              <w:left w:w="142" w:type="dxa"/>
              <w:bottom w:w="0" w:type="dxa"/>
              <w:right w:w="142" w:type="dxa"/>
            </w:tcMar>
            <w:vAlign w:val="center"/>
            <w:hideMark/>
          </w:tcPr>
          <w:p w14:paraId="4BCB4385" w14:textId="77777777" w:rsidR="00622884" w:rsidRPr="00622884" w:rsidRDefault="00622884" w:rsidP="00622884">
            <w:pPr>
              <w:spacing w:after="0" w:line="240" w:lineRule="auto"/>
              <w:rPr>
                <w:rFonts w:ascii="Garamond" w:eastAsia="Times New Roman" w:hAnsi="Garamond" w:cs="Calibri Light"/>
                <w:sz w:val="16"/>
                <w:szCs w:val="16"/>
                <w:lang w:eastAsia="nl-NL"/>
              </w:rPr>
            </w:pPr>
            <w:r w:rsidRPr="00622884">
              <w:rPr>
                <w:rFonts w:ascii="Garamond" w:eastAsia="Calibri" w:hAnsi="Garamond" w:cs="Times New Roman"/>
                <w:sz w:val="16"/>
                <w:szCs w:val="16"/>
                <w:highlight w:val="lightGray"/>
                <w:lang w:eastAsia="en-US" w:bidi="sq-AL"/>
              </w:rPr>
              <w:t>I ulët</w:t>
            </w:r>
          </w:p>
        </w:tc>
        <w:tc>
          <w:tcPr>
            <w:tcW w:w="2003" w:type="pct"/>
            <w:tcMar>
              <w:top w:w="20" w:type="dxa"/>
              <w:left w:w="142" w:type="dxa"/>
              <w:bottom w:w="0" w:type="dxa"/>
              <w:right w:w="142" w:type="dxa"/>
            </w:tcMar>
            <w:vAlign w:val="center"/>
            <w:hideMark/>
          </w:tcPr>
          <w:p w14:paraId="4FEA1F4E" w14:textId="77777777" w:rsidR="00622884" w:rsidRPr="00622884" w:rsidRDefault="00622884" w:rsidP="00622884">
            <w:pPr>
              <w:spacing w:after="0" w:line="240" w:lineRule="auto"/>
              <w:textAlignment w:val="center"/>
              <w:rPr>
                <w:rFonts w:ascii="Garamond" w:eastAsia="Times New Roman" w:hAnsi="Garamond" w:cs="Calibri Light"/>
                <w:sz w:val="16"/>
                <w:szCs w:val="16"/>
                <w:lang w:eastAsia="nl-NL"/>
              </w:rPr>
            </w:pPr>
            <w:r w:rsidRPr="00622884">
              <w:rPr>
                <w:rFonts w:ascii="Garamond" w:eastAsia="Calibri" w:hAnsi="Garamond" w:cs="Times New Roman"/>
                <w:sz w:val="16"/>
                <w:szCs w:val="16"/>
                <w:highlight w:val="lightGray"/>
                <w:lang w:eastAsia="en-US" w:bidi="sq-AL"/>
              </w:rPr>
              <w:t>I ulët</w:t>
            </w:r>
            <w:r w:rsidRPr="00622884">
              <w:rPr>
                <w:rFonts w:ascii="Garamond" w:eastAsia="Calibri" w:hAnsi="Garamond" w:cs="Times New Roman"/>
                <w:kern w:val="24"/>
                <w:sz w:val="16"/>
                <w:szCs w:val="16"/>
                <w:lang w:eastAsia="en-US" w:bidi="sq-AL"/>
              </w:rPr>
              <w:t xml:space="preserve"> - </w:t>
            </w:r>
            <w:r w:rsidRPr="00622884">
              <w:rPr>
                <w:rFonts w:ascii="Garamond" w:eastAsia="Calibri" w:hAnsi="Garamond" w:cs="Times New Roman"/>
                <w:kern w:val="24"/>
                <w:sz w:val="16"/>
                <w:szCs w:val="16"/>
                <w:highlight w:val="yellow"/>
                <w:lang w:eastAsia="en-US" w:bidi="sq-AL"/>
              </w:rPr>
              <w:t>Mesatar</w:t>
            </w:r>
          </w:p>
        </w:tc>
      </w:tr>
    </w:tbl>
    <w:p w14:paraId="510C5F10" w14:textId="77777777" w:rsidR="00622884" w:rsidRPr="00622884" w:rsidRDefault="00622884" w:rsidP="00622884">
      <w:pPr>
        <w:spacing w:after="0" w:line="240" w:lineRule="auto"/>
        <w:ind w:firstLine="284"/>
        <w:rPr>
          <w:rFonts w:ascii="Garamond" w:eastAsia="Calibri" w:hAnsi="Garamond" w:cs="Calibri Light"/>
          <w:sz w:val="14"/>
          <w:szCs w:val="24"/>
          <w:lang w:eastAsia="en-US"/>
        </w:rPr>
      </w:pPr>
    </w:p>
    <w:p w14:paraId="62A7B7C9" w14:textId="77777777" w:rsidR="00622884" w:rsidRPr="00622884" w:rsidRDefault="00622884" w:rsidP="00622884">
      <w:pPr>
        <w:spacing w:after="0" w:line="240" w:lineRule="auto"/>
        <w:ind w:firstLine="284"/>
        <w:rPr>
          <w:rFonts w:ascii="Garamond" w:eastAsia="SimSun" w:hAnsi="Garamond" w:cs="Calibri Light"/>
          <w:sz w:val="24"/>
          <w:szCs w:val="24"/>
          <w:lang w:eastAsia="en-US"/>
        </w:rPr>
      </w:pPr>
      <w:r w:rsidRPr="00622884">
        <w:rPr>
          <w:rFonts w:ascii="Garamond" w:eastAsia="SimSun" w:hAnsi="Garamond" w:cs="Calibri Light"/>
          <w:sz w:val="24"/>
          <w:szCs w:val="24"/>
          <w:lang w:eastAsia="en-US" w:bidi="sq-AL"/>
        </w:rPr>
        <w:t xml:space="preserve">Ndërsa shqetësimet për risqet aktuale në bujqësi mund të jenë të ndërthurura, risqet e ardhshme janë vazhdueshëm shumë shqetësuese dhe madje alarmuese në skenarin e ardhshëm më të keq. Ultësira është </w:t>
      </w:r>
      <w:r w:rsidRPr="00622884">
        <w:rPr>
          <w:rFonts w:ascii="Garamond" w:eastAsia="SimSun" w:hAnsi="Garamond" w:cs="Calibri Light"/>
          <w:b/>
          <w:sz w:val="24"/>
          <w:szCs w:val="24"/>
          <w:lang w:eastAsia="en-US" w:bidi="sq-AL"/>
        </w:rPr>
        <w:t>ZAE</w:t>
      </w:r>
      <w:r w:rsidRPr="00622884">
        <w:rPr>
          <w:rFonts w:ascii="Garamond" w:eastAsia="SimSun" w:hAnsi="Garamond" w:cs="Calibri Light"/>
          <w:sz w:val="24"/>
          <w:szCs w:val="24"/>
          <w:lang w:eastAsia="en-US" w:bidi="sq-AL"/>
        </w:rPr>
        <w:t xml:space="preserve">-ja me risk shumë të lartë si në të tashmen ashtu edhe në të ardhmen, ndërsa zona kodrinore e ndërmjetme është ZAE-ja e dytë më e ekspozuar ndaj riskut. Malet veriore dhe qendrore janë ZAE-ja më pak e ekspozuar ndaj riskut; kjo zonë mund të përfitojë nga një sezon më i gjatë rritjeje si për kulturat verore, ashtu edhe për ato dimërore, çka potencialisht mund të kompensojë rritjen e stresit nga uji dhe nxehtësia, që pritet gjatë muajve të verës. Megjithatë, në periudhë shumë afatgjatë, ky përfitim mund të vihet sërish në rrezik nga rritja e vazhdueshme e stresit nga uji dhe nxehtësia. Sipas </w:t>
      </w:r>
      <w:r w:rsidRPr="00622884">
        <w:rPr>
          <w:rFonts w:ascii="Garamond" w:eastAsia="SimSun" w:hAnsi="Garamond" w:cs="Calibri Light"/>
          <w:b/>
          <w:sz w:val="24"/>
          <w:szCs w:val="24"/>
          <w:lang w:eastAsia="en-US" w:bidi="sq-AL"/>
        </w:rPr>
        <w:t>nënsektorëve</w:t>
      </w:r>
      <w:r w:rsidRPr="00622884">
        <w:rPr>
          <w:rFonts w:ascii="Garamond" w:eastAsia="SimSun" w:hAnsi="Garamond" w:cs="Calibri Light"/>
          <w:sz w:val="24"/>
          <w:szCs w:val="24"/>
          <w:lang w:eastAsia="en-US" w:bidi="sq-AL"/>
        </w:rPr>
        <w:t xml:space="preserve">, kulturat bujqësore janë më të ekspozuara ndaj riskut, si aktualisht, po ashtu edhe në të ardhmen e parashikuar, në varësi të llojit të kulturës, skenarit SPS dhe harkut kohor, ku risqet në skenarin më të keq bëhen shumë të larta. Kulturat e përkohshme janë në përgjithësi me risk më të lartë, veçanërisht në planin afatshkurtër. Në nënsektorët e blegtorisë, risqet variojnë nga të ulëta deri në shumë të larta, me bagëtinë e trashë dhe kuajt që janë më të ekspozuar ndaj riskut, me risk shumë të lartë në skenarin më të keq klimatik. Derrat, shpendët, delet dhe dhitë kanë vlerësime më të ulëta risqesh, duke qenë mesatare në skenarin më të keq. </w:t>
      </w:r>
    </w:p>
    <w:p w14:paraId="57428517" w14:textId="77777777" w:rsidR="00622884" w:rsidRPr="00622884" w:rsidRDefault="00622884" w:rsidP="00622884">
      <w:pPr>
        <w:keepNext/>
        <w:spacing w:after="0" w:line="240" w:lineRule="auto"/>
        <w:ind w:firstLine="284"/>
        <w:mirrorIndents/>
        <w:rPr>
          <w:rFonts w:ascii="Garamond" w:eastAsia="Calibri Light" w:hAnsi="Garamond" w:cs="Calibri Light"/>
          <w:b/>
          <w:bCs/>
          <w:iCs/>
          <w:sz w:val="24"/>
          <w:szCs w:val="24"/>
          <w:lang w:eastAsia="en-US"/>
        </w:rPr>
      </w:pPr>
      <w:r w:rsidRPr="00622884">
        <w:rPr>
          <w:rFonts w:ascii="Garamond" w:eastAsia="Calibri Light" w:hAnsi="Garamond" w:cs="Calibri Light"/>
          <w:b/>
          <w:bCs/>
          <w:iCs/>
          <w:sz w:val="24"/>
          <w:szCs w:val="24"/>
          <w:lang w:eastAsia="en-US" w:bidi="sq-AL"/>
        </w:rPr>
        <w:t>Turizmi</w:t>
      </w:r>
    </w:p>
    <w:p w14:paraId="2DF8B2DA" w14:textId="77777777" w:rsidR="00622884" w:rsidRPr="00622884" w:rsidRDefault="00622884" w:rsidP="00622884">
      <w:pPr>
        <w:spacing w:after="0" w:line="240" w:lineRule="auto"/>
        <w:ind w:firstLine="284"/>
        <w:rPr>
          <w:rFonts w:ascii="Garamond" w:eastAsia="SimSun" w:hAnsi="Garamond" w:cs="Calibri Light"/>
          <w:sz w:val="24"/>
          <w:szCs w:val="24"/>
          <w:lang w:eastAsia="en-US"/>
        </w:rPr>
      </w:pPr>
      <w:r w:rsidRPr="00622884">
        <w:rPr>
          <w:rFonts w:ascii="Garamond" w:eastAsia="SimSun" w:hAnsi="Garamond" w:cs="Calibri Light"/>
          <w:sz w:val="24"/>
          <w:szCs w:val="24"/>
          <w:lang w:eastAsia="en-US" w:bidi="sq-AL"/>
        </w:rPr>
        <w:t>Turizmi është një sektor kyç ekonomik dhe mjaft i cenueshëm nga ndryshimet klimatike. Shtimi i përmbytjeve lumore për shkak të reshjeve të dendura dhe të gjata</w:t>
      </w:r>
      <w:r w:rsidRPr="00622884">
        <w:rPr>
          <w:rFonts w:ascii="Garamond" w:eastAsia="SimSun" w:hAnsi="Garamond" w:cs="Calibri Light"/>
          <w:sz w:val="24"/>
          <w:szCs w:val="24"/>
          <w:vertAlign w:val="superscript"/>
          <w:lang w:eastAsia="en-US" w:bidi="sq-AL"/>
        </w:rPr>
        <w:footnoteReference w:id="187"/>
      </w:r>
      <w:r w:rsidRPr="00622884">
        <w:rPr>
          <w:rFonts w:ascii="Garamond" w:eastAsia="SimSun" w:hAnsi="Garamond" w:cs="Calibri Light"/>
          <w:sz w:val="24"/>
          <w:szCs w:val="24"/>
          <w:lang w:eastAsia="en-US" w:bidi="sq-AL"/>
        </w:rPr>
        <w:t xml:space="preserve">, ekstremet e temperaturës (veçanërisht nxehtësia), rritja e nivelit të detit (RRND) dhe erërat e forta tashmë kanë ndikuar në sektorin e turizmit në Shqipëri. Turizmi bregdetar, atraksioni kryesor turistik në vend, është veçanërisht i ndjeshëm ndaj përmbytjeve dhe erozionit të plazheve, ndërsa </w:t>
      </w:r>
      <w:r w:rsidRPr="00622884">
        <w:rPr>
          <w:rFonts w:ascii="Garamond" w:eastAsia="SimSun" w:hAnsi="Garamond" w:cs="Calibri Light"/>
          <w:sz w:val="24"/>
          <w:szCs w:val="24"/>
          <w:lang w:eastAsia="en-US" w:bidi="sq-AL"/>
        </w:rPr>
        <w:lastRenderedPageBreak/>
        <w:t>ndryshimet në modelet e temperaturës dhe reshjeve mund të ndikojnë gjithashtu në turizmin malor dhe atë rural. Faktorë të tjerë që mund të ndikojnë në tërheqjen ndaj ofertës turistike të Shqipërisë si pasojë e ndryshimeve klimatike janë: dëmtimi i trashëgimisë kulturore; shkatërrimi i biodiversitetit dhe i peizazheve natyrore, si detare po ashtu edhe bregdetare</w:t>
      </w:r>
      <w:r w:rsidRPr="00622884">
        <w:rPr>
          <w:rFonts w:ascii="Garamond" w:eastAsia="SimSun" w:hAnsi="Garamond" w:cs="Calibri Light"/>
          <w:sz w:val="24"/>
          <w:szCs w:val="24"/>
          <w:vertAlign w:val="superscript"/>
          <w:lang w:eastAsia="en-US" w:bidi="sq-AL"/>
        </w:rPr>
        <w:footnoteReference w:id="188"/>
      </w:r>
      <w:r w:rsidRPr="00622884">
        <w:rPr>
          <w:rFonts w:ascii="Garamond" w:eastAsia="SimSun" w:hAnsi="Garamond" w:cs="Calibri Light"/>
          <w:sz w:val="24"/>
          <w:szCs w:val="24"/>
          <w:lang w:eastAsia="en-US" w:bidi="sq-AL"/>
        </w:rPr>
        <w:t>. Në një aspekt potencialisht të favorshëm, me periudha të ngrohta më të gjata, turizmi bregdetar, që mbizotëron në zonën bregdetare, mund të zgjatet përtej muajve me kërkesë më të lartë të korrikut dhe gushtit, duke e shpërndarë më mirë sezonin dhe përfitimet ekonomike</w:t>
      </w:r>
      <w:r w:rsidRPr="00622884">
        <w:rPr>
          <w:rFonts w:ascii="Garamond" w:eastAsia="SimSun" w:hAnsi="Garamond" w:cs="Calibri Light"/>
          <w:sz w:val="24"/>
          <w:szCs w:val="24"/>
          <w:vertAlign w:val="superscript"/>
          <w:lang w:eastAsia="en-US" w:bidi="sq-AL"/>
        </w:rPr>
        <w:footnoteReference w:id="189"/>
      </w:r>
      <w:r w:rsidRPr="00622884">
        <w:rPr>
          <w:rFonts w:ascii="Garamond" w:eastAsia="SimSun" w:hAnsi="Garamond" w:cs="Calibri Light"/>
          <w:sz w:val="24"/>
          <w:szCs w:val="24"/>
          <w:lang w:eastAsia="en-US" w:bidi="sq-AL"/>
        </w:rPr>
        <w:t xml:space="preserve">. </w:t>
      </w:r>
    </w:p>
    <w:p w14:paraId="38F21376" w14:textId="77777777" w:rsidR="00622884" w:rsidRPr="00622884" w:rsidRDefault="00622884" w:rsidP="00622884">
      <w:pPr>
        <w:spacing w:after="0" w:line="240" w:lineRule="auto"/>
        <w:ind w:firstLine="284"/>
        <w:rPr>
          <w:rFonts w:ascii="Garamond" w:eastAsia="SimSun" w:hAnsi="Garamond" w:cs="Calibri Light"/>
          <w:sz w:val="24"/>
          <w:szCs w:val="24"/>
          <w:lang w:eastAsia="en-US"/>
        </w:rPr>
      </w:pPr>
      <w:r w:rsidRPr="00622884">
        <w:rPr>
          <w:rFonts w:ascii="Garamond" w:eastAsia="SimSun" w:hAnsi="Garamond" w:cs="Calibri Light"/>
          <w:sz w:val="24"/>
          <w:szCs w:val="24"/>
          <w:lang w:eastAsia="en-US" w:bidi="sq-AL"/>
        </w:rPr>
        <w:t>Risqet aktuale dhe risqet e ardhshme në turizëm, siç janë vlerësuar në VRK për nënsektorët e ndryshëm të turizmit bregdetar, ekoturizmit, turizmit qytetar dhe artistik, si dhe turizmit të trashëgimisë kulturore, janë vlerësuar si më poshtë</w:t>
      </w:r>
      <w:r w:rsidRPr="00622884">
        <w:rPr>
          <w:rFonts w:ascii="Garamond" w:eastAsia="SimSun" w:hAnsi="Garamond" w:cs="Calibri Light"/>
          <w:sz w:val="24"/>
          <w:szCs w:val="24"/>
          <w:vertAlign w:val="superscript"/>
          <w:lang w:eastAsia="en-US" w:bidi="sq-AL"/>
        </w:rPr>
        <w:footnoteReference w:id="190"/>
      </w:r>
      <w:r w:rsidRPr="00622884">
        <w:rPr>
          <w:rFonts w:ascii="Garamond" w:eastAsia="SimSun" w:hAnsi="Garamond" w:cs="Calibri Light"/>
          <w:sz w:val="24"/>
          <w:szCs w:val="24"/>
          <w:lang w:eastAsia="en-US" w:bidi="sq-AL"/>
        </w:rPr>
        <w:t>:</w:t>
      </w:r>
    </w:p>
    <w:p w14:paraId="39E16D89" w14:textId="77777777" w:rsidR="00622884" w:rsidRPr="00622884" w:rsidRDefault="00622884" w:rsidP="00622884">
      <w:pPr>
        <w:spacing w:after="0" w:line="240" w:lineRule="auto"/>
        <w:ind w:firstLine="284"/>
        <w:rPr>
          <w:rFonts w:ascii="Garamond" w:eastAsia="Aptos" w:hAnsi="Garamond" w:cs="Arial"/>
          <w:i/>
          <w:iCs/>
          <w:sz w:val="10"/>
          <w:szCs w:val="24"/>
          <w:lang w:eastAsia="en-US" w:bidi="sq-AL"/>
        </w:rPr>
      </w:pPr>
      <w:bookmarkStart w:id="251" w:name="_Toc213936105"/>
    </w:p>
    <w:p w14:paraId="1833E82E" w14:textId="77777777" w:rsidR="00622884" w:rsidRPr="00622884" w:rsidRDefault="00622884" w:rsidP="00622884">
      <w:pPr>
        <w:spacing w:after="0" w:line="240" w:lineRule="auto"/>
        <w:ind w:firstLine="284"/>
        <w:rPr>
          <w:rFonts w:ascii="Garamond" w:eastAsia="Aptos" w:hAnsi="Garamond" w:cs="Arial"/>
          <w:b/>
          <w:iCs/>
          <w:sz w:val="24"/>
          <w:szCs w:val="24"/>
          <w:lang w:eastAsia="en-US" w:bidi="sq-AL"/>
        </w:rPr>
      </w:pPr>
      <w:r w:rsidRPr="00622884">
        <w:rPr>
          <w:rFonts w:ascii="Garamond" w:eastAsia="Aptos" w:hAnsi="Garamond" w:cs="Arial"/>
          <w:b/>
          <w:iCs/>
          <w:sz w:val="24"/>
          <w:szCs w:val="24"/>
          <w:lang w:eastAsia="en-US" w:bidi="sq-AL"/>
        </w:rPr>
        <w:t>Tabela 4: Risqet klimatike aktuale dhe të ardhshme në sektorin e turizmit.</w:t>
      </w:r>
    </w:p>
    <w:tbl>
      <w:tblPr>
        <w:tblW w:w="5000" w:type="pct"/>
        <w:jc w:val="center"/>
        <w:tblBorders>
          <w:top w:val="single" w:sz="4" w:space="0" w:color="1D3C5A"/>
          <w:left w:val="single" w:sz="4" w:space="0" w:color="1D3C5A"/>
          <w:bottom w:val="single" w:sz="4" w:space="0" w:color="1D3C5A"/>
          <w:right w:val="single" w:sz="4" w:space="0" w:color="1D3C5A"/>
          <w:insideH w:val="single" w:sz="4" w:space="0" w:color="1D3C5A"/>
          <w:insideV w:val="single" w:sz="4" w:space="0" w:color="1D3C5A"/>
        </w:tblBorders>
        <w:tblLook w:val="04A0" w:firstRow="1" w:lastRow="0" w:firstColumn="1" w:lastColumn="0" w:noHBand="0" w:noVBand="1"/>
      </w:tblPr>
      <w:tblGrid>
        <w:gridCol w:w="2994"/>
        <w:gridCol w:w="2400"/>
        <w:gridCol w:w="3893"/>
      </w:tblGrid>
      <w:tr w:rsidR="00622884" w:rsidRPr="00622884" w14:paraId="1E39EEC5" w14:textId="77777777" w:rsidTr="00622884">
        <w:trPr>
          <w:trHeight w:val="322"/>
          <w:jc w:val="center"/>
        </w:trPr>
        <w:tc>
          <w:tcPr>
            <w:tcW w:w="1612" w:type="pct"/>
            <w:vMerge w:val="restart"/>
            <w:shd w:val="clear" w:color="auto" w:fill="215A5C"/>
            <w:vAlign w:val="center"/>
          </w:tcPr>
          <w:bookmarkEnd w:id="251"/>
          <w:p w14:paraId="1A5EE429" w14:textId="77777777" w:rsidR="00622884" w:rsidRPr="00622884" w:rsidRDefault="00622884" w:rsidP="00622884">
            <w:pPr>
              <w:spacing w:after="0" w:line="240" w:lineRule="auto"/>
              <w:jc w:val="center"/>
              <w:rPr>
                <w:rFonts w:ascii="Garamond" w:eastAsia="Calibri" w:hAnsi="Garamond" w:cs="Calibri Light"/>
                <w:b/>
                <w:bCs/>
                <w:sz w:val="16"/>
                <w:szCs w:val="16"/>
                <w:lang w:eastAsia="en-US"/>
              </w:rPr>
            </w:pPr>
            <w:r w:rsidRPr="00622884">
              <w:rPr>
                <w:rFonts w:ascii="Garamond" w:eastAsia="Calibri" w:hAnsi="Garamond" w:cs="Times New Roman"/>
                <w:b/>
                <w:sz w:val="16"/>
                <w:szCs w:val="16"/>
                <w:lang w:eastAsia="en-US" w:bidi="sq-AL"/>
              </w:rPr>
              <w:t>NËNSEKTORËT E TURIZMIT</w:t>
            </w:r>
          </w:p>
        </w:tc>
        <w:tc>
          <w:tcPr>
            <w:tcW w:w="3388" w:type="pct"/>
            <w:gridSpan w:val="2"/>
            <w:shd w:val="clear" w:color="auto" w:fill="215A5C"/>
            <w:vAlign w:val="center"/>
          </w:tcPr>
          <w:p w14:paraId="4563BC41" w14:textId="77777777" w:rsidR="00622884" w:rsidRPr="00622884" w:rsidRDefault="00622884" w:rsidP="00622884">
            <w:pPr>
              <w:spacing w:after="0" w:line="240" w:lineRule="auto"/>
              <w:jc w:val="center"/>
              <w:rPr>
                <w:rFonts w:ascii="Garamond" w:eastAsia="Calibri" w:hAnsi="Garamond" w:cs="Calibri Light"/>
                <w:b/>
                <w:bCs/>
                <w:sz w:val="16"/>
                <w:szCs w:val="16"/>
                <w:lang w:eastAsia="en-US"/>
              </w:rPr>
            </w:pPr>
            <w:r w:rsidRPr="00622884">
              <w:rPr>
                <w:rFonts w:ascii="Garamond" w:eastAsia="Calibri" w:hAnsi="Garamond" w:cs="Times New Roman"/>
                <w:b/>
                <w:sz w:val="16"/>
                <w:szCs w:val="16"/>
                <w:lang w:eastAsia="en-US" w:bidi="sq-AL"/>
              </w:rPr>
              <w:t>PËRGJITHËSISHT</w:t>
            </w:r>
          </w:p>
        </w:tc>
      </w:tr>
      <w:tr w:rsidR="00622884" w:rsidRPr="00622884" w14:paraId="0979B51F" w14:textId="77777777" w:rsidTr="00622884">
        <w:trPr>
          <w:trHeight w:val="171"/>
          <w:jc w:val="center"/>
        </w:trPr>
        <w:tc>
          <w:tcPr>
            <w:tcW w:w="1612" w:type="pct"/>
            <w:vMerge/>
            <w:shd w:val="clear" w:color="auto" w:fill="215A5C"/>
            <w:vAlign w:val="center"/>
          </w:tcPr>
          <w:p w14:paraId="2F89B749" w14:textId="77777777" w:rsidR="00622884" w:rsidRPr="00622884" w:rsidRDefault="00622884" w:rsidP="00622884">
            <w:pPr>
              <w:spacing w:after="0" w:line="240" w:lineRule="auto"/>
              <w:jc w:val="center"/>
              <w:rPr>
                <w:rFonts w:ascii="Garamond" w:eastAsia="Calibri" w:hAnsi="Garamond" w:cs="Calibri Light"/>
                <w:b/>
                <w:bCs/>
                <w:sz w:val="16"/>
                <w:szCs w:val="16"/>
                <w:lang w:eastAsia="en-US"/>
              </w:rPr>
            </w:pPr>
          </w:p>
        </w:tc>
        <w:tc>
          <w:tcPr>
            <w:tcW w:w="1292" w:type="pct"/>
            <w:shd w:val="clear" w:color="auto" w:fill="215A5C"/>
            <w:vAlign w:val="center"/>
          </w:tcPr>
          <w:p w14:paraId="51493C71" w14:textId="77777777" w:rsidR="00622884" w:rsidRPr="00622884" w:rsidRDefault="00622884" w:rsidP="00622884">
            <w:pPr>
              <w:spacing w:after="0" w:line="240" w:lineRule="auto"/>
              <w:jc w:val="center"/>
              <w:rPr>
                <w:rFonts w:ascii="Garamond" w:eastAsia="Calibri" w:hAnsi="Garamond" w:cs="Calibri Light"/>
                <w:b/>
                <w:bCs/>
                <w:sz w:val="16"/>
                <w:szCs w:val="16"/>
                <w:lang w:eastAsia="en-US"/>
              </w:rPr>
            </w:pPr>
            <w:r w:rsidRPr="00622884">
              <w:rPr>
                <w:rFonts w:ascii="Garamond" w:eastAsia="Calibri" w:hAnsi="Garamond" w:cs="Times New Roman"/>
                <w:b/>
                <w:sz w:val="16"/>
                <w:szCs w:val="16"/>
                <w:lang w:eastAsia="en-US" w:bidi="sq-AL"/>
              </w:rPr>
              <w:t>Risku aktual</w:t>
            </w:r>
          </w:p>
        </w:tc>
        <w:tc>
          <w:tcPr>
            <w:tcW w:w="2096" w:type="pct"/>
            <w:shd w:val="clear" w:color="auto" w:fill="215A5C"/>
            <w:vAlign w:val="center"/>
          </w:tcPr>
          <w:p w14:paraId="01A09B7D" w14:textId="77777777" w:rsidR="00622884" w:rsidRPr="00622884" w:rsidRDefault="00622884" w:rsidP="00622884">
            <w:pPr>
              <w:spacing w:after="0" w:line="240" w:lineRule="auto"/>
              <w:jc w:val="center"/>
              <w:rPr>
                <w:rFonts w:ascii="Garamond" w:eastAsia="Calibri" w:hAnsi="Garamond" w:cs="Calibri Light"/>
                <w:b/>
                <w:bCs/>
                <w:sz w:val="16"/>
                <w:szCs w:val="16"/>
                <w:lang w:eastAsia="en-US"/>
              </w:rPr>
            </w:pPr>
            <w:r w:rsidRPr="00622884">
              <w:rPr>
                <w:rFonts w:ascii="Garamond" w:eastAsia="Calibri" w:hAnsi="Garamond" w:cs="Times New Roman"/>
                <w:b/>
                <w:sz w:val="16"/>
                <w:szCs w:val="16"/>
                <w:lang w:eastAsia="en-US" w:bidi="sq-AL"/>
              </w:rPr>
              <w:t>Risku i ardhshëm (skenari më i mirë - më i keq)</w:t>
            </w:r>
          </w:p>
        </w:tc>
      </w:tr>
      <w:tr w:rsidR="00622884" w:rsidRPr="00622884" w14:paraId="65B4BA1A" w14:textId="77777777" w:rsidTr="00622884">
        <w:trPr>
          <w:trHeight w:val="322"/>
          <w:jc w:val="center"/>
        </w:trPr>
        <w:tc>
          <w:tcPr>
            <w:tcW w:w="1612" w:type="pct"/>
            <w:vAlign w:val="center"/>
          </w:tcPr>
          <w:p w14:paraId="1D262E45" w14:textId="77777777" w:rsidR="00622884" w:rsidRPr="00622884" w:rsidRDefault="00622884" w:rsidP="00622884">
            <w:pPr>
              <w:spacing w:after="0" w:line="240" w:lineRule="auto"/>
              <w:jc w:val="center"/>
              <w:rPr>
                <w:rFonts w:ascii="Garamond" w:eastAsia="Calibri" w:hAnsi="Garamond" w:cs="Calibri Light"/>
                <w:b/>
                <w:bCs/>
                <w:sz w:val="16"/>
                <w:szCs w:val="16"/>
                <w:lang w:eastAsia="en-US"/>
              </w:rPr>
            </w:pPr>
            <w:r w:rsidRPr="00622884">
              <w:rPr>
                <w:rFonts w:ascii="Garamond" w:eastAsia="Calibri" w:hAnsi="Garamond" w:cs="Times New Roman"/>
                <w:b/>
                <w:sz w:val="16"/>
                <w:szCs w:val="16"/>
                <w:lang w:eastAsia="en-US" w:bidi="sq-AL"/>
              </w:rPr>
              <w:t>Bregdetar</w:t>
            </w:r>
          </w:p>
        </w:tc>
        <w:tc>
          <w:tcPr>
            <w:tcW w:w="1292" w:type="pct"/>
            <w:vAlign w:val="center"/>
          </w:tcPr>
          <w:p w14:paraId="5CC9E166" w14:textId="77777777" w:rsidR="00622884" w:rsidRPr="00622884" w:rsidRDefault="00622884" w:rsidP="00622884">
            <w:pPr>
              <w:spacing w:after="0" w:line="240" w:lineRule="auto"/>
              <w:jc w:val="center"/>
              <w:rPr>
                <w:rFonts w:ascii="Garamond" w:eastAsia="Calibri" w:hAnsi="Garamond" w:cs="Calibri Light"/>
                <w:sz w:val="16"/>
                <w:szCs w:val="16"/>
                <w:lang w:eastAsia="en-US"/>
              </w:rPr>
            </w:pPr>
            <w:r w:rsidRPr="00622884">
              <w:rPr>
                <w:rFonts w:ascii="Garamond" w:eastAsia="Calibri" w:hAnsi="Garamond" w:cs="Times New Roman"/>
                <w:sz w:val="16"/>
                <w:szCs w:val="16"/>
                <w:highlight w:val="lightGray"/>
                <w:lang w:eastAsia="en-US" w:bidi="sq-AL"/>
              </w:rPr>
              <w:t>I ulët</w:t>
            </w:r>
          </w:p>
        </w:tc>
        <w:tc>
          <w:tcPr>
            <w:tcW w:w="2096" w:type="pct"/>
            <w:vAlign w:val="center"/>
          </w:tcPr>
          <w:p w14:paraId="47D8DD75" w14:textId="77777777" w:rsidR="00622884" w:rsidRPr="00622884" w:rsidRDefault="00622884" w:rsidP="00622884">
            <w:pPr>
              <w:spacing w:after="0" w:line="240" w:lineRule="auto"/>
              <w:jc w:val="center"/>
              <w:rPr>
                <w:rFonts w:ascii="Garamond" w:eastAsia="Calibri" w:hAnsi="Garamond" w:cs="Calibri Light"/>
                <w:sz w:val="16"/>
                <w:szCs w:val="16"/>
                <w:lang w:eastAsia="en-US"/>
              </w:rPr>
            </w:pPr>
            <w:r w:rsidRPr="00622884">
              <w:rPr>
                <w:rFonts w:ascii="Garamond" w:eastAsia="Calibri" w:hAnsi="Garamond" w:cs="Times New Roman"/>
                <w:sz w:val="16"/>
                <w:szCs w:val="16"/>
                <w:highlight w:val="red"/>
                <w:lang w:eastAsia="en-US" w:bidi="sq-AL"/>
              </w:rPr>
              <w:t>I lartë</w:t>
            </w:r>
            <w:r w:rsidRPr="00622884">
              <w:rPr>
                <w:rFonts w:ascii="Garamond" w:eastAsia="Calibri" w:hAnsi="Garamond" w:cs="Times New Roman"/>
                <w:sz w:val="16"/>
                <w:szCs w:val="16"/>
                <w:lang w:eastAsia="en-US" w:bidi="sq-AL"/>
              </w:rPr>
              <w:t xml:space="preserve"> – </w:t>
            </w:r>
            <w:r w:rsidRPr="00622884">
              <w:rPr>
                <w:rFonts w:ascii="Garamond" w:eastAsia="Calibri" w:hAnsi="Garamond" w:cs="Times New Roman"/>
                <w:sz w:val="16"/>
                <w:szCs w:val="16"/>
                <w:highlight w:val="darkRed"/>
                <w:lang w:eastAsia="en-US" w:bidi="sq-AL"/>
              </w:rPr>
              <w:t>Shumë i lartë</w:t>
            </w:r>
          </w:p>
        </w:tc>
      </w:tr>
      <w:tr w:rsidR="00622884" w:rsidRPr="00622884" w14:paraId="4A8A554F" w14:textId="77777777" w:rsidTr="00622884">
        <w:trPr>
          <w:trHeight w:val="310"/>
          <w:jc w:val="center"/>
        </w:trPr>
        <w:tc>
          <w:tcPr>
            <w:tcW w:w="1612" w:type="pct"/>
            <w:vAlign w:val="center"/>
          </w:tcPr>
          <w:p w14:paraId="61546729" w14:textId="77777777" w:rsidR="00622884" w:rsidRPr="00622884" w:rsidRDefault="00622884" w:rsidP="00622884">
            <w:pPr>
              <w:spacing w:after="0" w:line="240" w:lineRule="auto"/>
              <w:jc w:val="center"/>
              <w:rPr>
                <w:rFonts w:ascii="Garamond" w:eastAsia="Calibri" w:hAnsi="Garamond" w:cs="Calibri Light"/>
                <w:b/>
                <w:bCs/>
                <w:sz w:val="16"/>
                <w:szCs w:val="16"/>
                <w:lang w:eastAsia="en-US"/>
              </w:rPr>
            </w:pPr>
            <w:r w:rsidRPr="00622884">
              <w:rPr>
                <w:rFonts w:ascii="Garamond" w:eastAsia="Calibri" w:hAnsi="Garamond" w:cs="Times New Roman"/>
                <w:b/>
                <w:sz w:val="16"/>
                <w:szCs w:val="16"/>
                <w:lang w:eastAsia="en-US" w:bidi="sq-AL"/>
              </w:rPr>
              <w:t>Ekoturizmi</w:t>
            </w:r>
          </w:p>
        </w:tc>
        <w:tc>
          <w:tcPr>
            <w:tcW w:w="1292" w:type="pct"/>
            <w:vAlign w:val="center"/>
          </w:tcPr>
          <w:p w14:paraId="7E06896D" w14:textId="77777777" w:rsidR="00622884" w:rsidRPr="00622884" w:rsidRDefault="00622884" w:rsidP="00622884">
            <w:pPr>
              <w:spacing w:after="0" w:line="240" w:lineRule="auto"/>
              <w:jc w:val="center"/>
              <w:rPr>
                <w:rFonts w:ascii="Garamond" w:eastAsia="Calibri" w:hAnsi="Garamond" w:cs="Calibri Light"/>
                <w:sz w:val="16"/>
                <w:szCs w:val="16"/>
                <w:lang w:eastAsia="en-US"/>
              </w:rPr>
            </w:pPr>
            <w:r w:rsidRPr="00622884">
              <w:rPr>
                <w:rFonts w:ascii="Garamond" w:eastAsia="Calibri" w:hAnsi="Garamond" w:cs="Times New Roman"/>
                <w:sz w:val="16"/>
                <w:szCs w:val="16"/>
                <w:highlight w:val="yellow"/>
                <w:lang w:eastAsia="en-US" w:bidi="sq-AL"/>
              </w:rPr>
              <w:t>Mesatar</w:t>
            </w:r>
          </w:p>
        </w:tc>
        <w:tc>
          <w:tcPr>
            <w:tcW w:w="2096" w:type="pct"/>
            <w:vAlign w:val="center"/>
          </w:tcPr>
          <w:p w14:paraId="5BD30C43" w14:textId="77777777" w:rsidR="00622884" w:rsidRPr="00622884" w:rsidRDefault="00622884" w:rsidP="00622884">
            <w:pPr>
              <w:spacing w:after="0" w:line="240" w:lineRule="auto"/>
              <w:jc w:val="center"/>
              <w:rPr>
                <w:rFonts w:ascii="Garamond" w:eastAsia="Calibri" w:hAnsi="Garamond" w:cs="Calibri Light"/>
                <w:sz w:val="16"/>
                <w:szCs w:val="16"/>
                <w:lang w:eastAsia="en-US"/>
              </w:rPr>
            </w:pPr>
            <w:r w:rsidRPr="00622884">
              <w:rPr>
                <w:rFonts w:ascii="Garamond" w:eastAsia="Calibri" w:hAnsi="Garamond" w:cs="Times New Roman"/>
                <w:kern w:val="24"/>
                <w:sz w:val="16"/>
                <w:szCs w:val="16"/>
                <w:highlight w:val="darkRed"/>
                <w:lang w:eastAsia="en-US" w:bidi="sq-AL"/>
              </w:rPr>
              <w:t>Shumë i lartë</w:t>
            </w:r>
            <w:r w:rsidRPr="00622884">
              <w:rPr>
                <w:rFonts w:ascii="Garamond" w:eastAsia="Calibri" w:hAnsi="Garamond" w:cs="Times New Roman"/>
                <w:sz w:val="16"/>
                <w:szCs w:val="16"/>
                <w:lang w:eastAsia="en-US" w:bidi="sq-AL"/>
              </w:rPr>
              <w:t xml:space="preserve"> – </w:t>
            </w:r>
            <w:r w:rsidRPr="00622884">
              <w:rPr>
                <w:rFonts w:ascii="Garamond" w:eastAsia="Calibri" w:hAnsi="Garamond" w:cs="Times New Roman"/>
                <w:kern w:val="24"/>
                <w:sz w:val="16"/>
                <w:szCs w:val="16"/>
                <w:highlight w:val="darkRed"/>
                <w:lang w:eastAsia="en-US" w:bidi="sq-AL"/>
              </w:rPr>
              <w:t>Shumë i lartë</w:t>
            </w:r>
          </w:p>
        </w:tc>
      </w:tr>
      <w:tr w:rsidR="00622884" w:rsidRPr="00622884" w14:paraId="54F2744F" w14:textId="77777777" w:rsidTr="00622884">
        <w:trPr>
          <w:trHeight w:val="322"/>
          <w:jc w:val="center"/>
        </w:trPr>
        <w:tc>
          <w:tcPr>
            <w:tcW w:w="1612" w:type="pct"/>
            <w:vAlign w:val="center"/>
          </w:tcPr>
          <w:p w14:paraId="37F791EA" w14:textId="77777777" w:rsidR="00622884" w:rsidRPr="00622884" w:rsidRDefault="00622884" w:rsidP="00622884">
            <w:pPr>
              <w:spacing w:after="0" w:line="240" w:lineRule="auto"/>
              <w:jc w:val="center"/>
              <w:rPr>
                <w:rFonts w:ascii="Garamond" w:eastAsia="Calibri" w:hAnsi="Garamond" w:cs="Calibri Light"/>
                <w:b/>
                <w:bCs/>
                <w:sz w:val="16"/>
                <w:szCs w:val="16"/>
                <w:lang w:eastAsia="en-US"/>
              </w:rPr>
            </w:pPr>
            <w:r w:rsidRPr="00622884">
              <w:rPr>
                <w:rFonts w:ascii="Garamond" w:eastAsia="Calibri" w:hAnsi="Garamond" w:cs="Times New Roman"/>
                <w:b/>
                <w:sz w:val="16"/>
                <w:szCs w:val="16"/>
                <w:lang w:eastAsia="en-US" w:bidi="sq-AL"/>
              </w:rPr>
              <w:t>Qytetar dhe artistik</w:t>
            </w:r>
          </w:p>
        </w:tc>
        <w:tc>
          <w:tcPr>
            <w:tcW w:w="1292" w:type="pct"/>
            <w:vAlign w:val="center"/>
          </w:tcPr>
          <w:p w14:paraId="2FA58C29" w14:textId="77777777" w:rsidR="00622884" w:rsidRPr="00622884" w:rsidRDefault="00622884" w:rsidP="00622884">
            <w:pPr>
              <w:spacing w:after="0" w:line="240" w:lineRule="auto"/>
              <w:jc w:val="center"/>
              <w:rPr>
                <w:rFonts w:ascii="Garamond" w:eastAsia="Calibri" w:hAnsi="Garamond" w:cs="Calibri Light"/>
                <w:sz w:val="16"/>
                <w:szCs w:val="16"/>
                <w:lang w:eastAsia="en-US"/>
              </w:rPr>
            </w:pPr>
            <w:r w:rsidRPr="00622884">
              <w:rPr>
                <w:rFonts w:ascii="Garamond" w:eastAsia="Calibri" w:hAnsi="Garamond" w:cs="Times New Roman"/>
                <w:sz w:val="16"/>
                <w:szCs w:val="16"/>
                <w:highlight w:val="lightGray"/>
                <w:lang w:eastAsia="en-US" w:bidi="sq-AL"/>
              </w:rPr>
              <w:t>I ulët</w:t>
            </w:r>
          </w:p>
        </w:tc>
        <w:tc>
          <w:tcPr>
            <w:tcW w:w="2096" w:type="pct"/>
            <w:vAlign w:val="center"/>
          </w:tcPr>
          <w:p w14:paraId="7CFEC5AD" w14:textId="77777777" w:rsidR="00622884" w:rsidRPr="00622884" w:rsidRDefault="00622884" w:rsidP="00622884">
            <w:pPr>
              <w:spacing w:after="0" w:line="240" w:lineRule="auto"/>
              <w:jc w:val="center"/>
              <w:rPr>
                <w:rFonts w:ascii="Garamond" w:eastAsia="Calibri" w:hAnsi="Garamond" w:cs="Calibri Light"/>
                <w:sz w:val="16"/>
                <w:szCs w:val="16"/>
                <w:lang w:eastAsia="en-US"/>
              </w:rPr>
            </w:pPr>
            <w:r w:rsidRPr="00622884">
              <w:rPr>
                <w:rFonts w:ascii="Garamond" w:eastAsia="Calibri" w:hAnsi="Garamond" w:cs="Times New Roman"/>
                <w:sz w:val="16"/>
                <w:szCs w:val="16"/>
                <w:highlight w:val="yellow"/>
                <w:lang w:eastAsia="en-US" w:bidi="sq-AL"/>
              </w:rPr>
              <w:t>Mesatar</w:t>
            </w:r>
            <w:r w:rsidRPr="00622884">
              <w:rPr>
                <w:rFonts w:ascii="Garamond" w:eastAsia="Calibri" w:hAnsi="Garamond" w:cs="Times New Roman"/>
                <w:sz w:val="16"/>
                <w:szCs w:val="16"/>
                <w:lang w:eastAsia="en-US" w:bidi="sq-AL"/>
              </w:rPr>
              <w:t xml:space="preserve"> – </w:t>
            </w:r>
            <w:r w:rsidRPr="00622884">
              <w:rPr>
                <w:rFonts w:ascii="Garamond" w:eastAsia="Calibri" w:hAnsi="Garamond" w:cs="Times New Roman"/>
                <w:sz w:val="16"/>
                <w:szCs w:val="16"/>
                <w:highlight w:val="red"/>
                <w:lang w:eastAsia="en-US" w:bidi="sq-AL"/>
              </w:rPr>
              <w:t>I lartë</w:t>
            </w:r>
          </w:p>
        </w:tc>
      </w:tr>
      <w:tr w:rsidR="00622884" w:rsidRPr="00622884" w14:paraId="30C3648C" w14:textId="77777777" w:rsidTr="00622884">
        <w:trPr>
          <w:trHeight w:val="322"/>
          <w:jc w:val="center"/>
        </w:trPr>
        <w:tc>
          <w:tcPr>
            <w:tcW w:w="1612" w:type="pct"/>
            <w:vAlign w:val="center"/>
          </w:tcPr>
          <w:p w14:paraId="7464DB47" w14:textId="77777777" w:rsidR="00622884" w:rsidRPr="00622884" w:rsidRDefault="00622884" w:rsidP="00622884">
            <w:pPr>
              <w:spacing w:after="0" w:line="240" w:lineRule="auto"/>
              <w:jc w:val="center"/>
              <w:rPr>
                <w:rFonts w:ascii="Garamond" w:eastAsia="Calibri" w:hAnsi="Garamond" w:cs="Calibri Light"/>
                <w:b/>
                <w:bCs/>
                <w:sz w:val="16"/>
                <w:szCs w:val="16"/>
                <w:lang w:eastAsia="en-US"/>
              </w:rPr>
            </w:pPr>
            <w:r w:rsidRPr="00622884">
              <w:rPr>
                <w:rFonts w:ascii="Garamond" w:eastAsia="Calibri" w:hAnsi="Garamond" w:cs="Times New Roman"/>
                <w:b/>
                <w:sz w:val="16"/>
                <w:szCs w:val="16"/>
                <w:lang w:eastAsia="en-US" w:bidi="sq-AL"/>
              </w:rPr>
              <w:t>Trashëgimia kulturore</w:t>
            </w:r>
          </w:p>
        </w:tc>
        <w:tc>
          <w:tcPr>
            <w:tcW w:w="1292" w:type="pct"/>
            <w:vAlign w:val="center"/>
          </w:tcPr>
          <w:p w14:paraId="5C3D382A" w14:textId="77777777" w:rsidR="00622884" w:rsidRPr="00622884" w:rsidRDefault="00622884" w:rsidP="00622884">
            <w:pPr>
              <w:spacing w:after="0" w:line="240" w:lineRule="auto"/>
              <w:jc w:val="center"/>
              <w:rPr>
                <w:rFonts w:ascii="Garamond" w:eastAsia="Calibri" w:hAnsi="Garamond" w:cs="Calibri Light"/>
                <w:sz w:val="16"/>
                <w:szCs w:val="16"/>
                <w:lang w:eastAsia="en-US"/>
              </w:rPr>
            </w:pPr>
            <w:r w:rsidRPr="00622884">
              <w:rPr>
                <w:rFonts w:ascii="Garamond" w:eastAsia="Calibri" w:hAnsi="Garamond" w:cs="Times New Roman"/>
                <w:sz w:val="16"/>
                <w:szCs w:val="16"/>
                <w:highlight w:val="yellow"/>
                <w:lang w:eastAsia="en-US" w:bidi="sq-AL"/>
              </w:rPr>
              <w:t>Mesatar</w:t>
            </w:r>
          </w:p>
        </w:tc>
        <w:tc>
          <w:tcPr>
            <w:tcW w:w="2096" w:type="pct"/>
            <w:vAlign w:val="center"/>
          </w:tcPr>
          <w:p w14:paraId="33A08963" w14:textId="77777777" w:rsidR="00622884" w:rsidRPr="00622884" w:rsidRDefault="00622884" w:rsidP="00622884">
            <w:pPr>
              <w:spacing w:after="0" w:line="240" w:lineRule="auto"/>
              <w:jc w:val="center"/>
              <w:rPr>
                <w:rFonts w:ascii="Garamond" w:eastAsia="Calibri" w:hAnsi="Garamond" w:cs="Calibri Light"/>
                <w:sz w:val="16"/>
                <w:szCs w:val="16"/>
                <w:lang w:eastAsia="en-US"/>
              </w:rPr>
            </w:pPr>
            <w:r w:rsidRPr="00622884">
              <w:rPr>
                <w:rFonts w:ascii="Garamond" w:eastAsia="Calibri" w:hAnsi="Garamond" w:cs="Times New Roman"/>
                <w:sz w:val="16"/>
                <w:szCs w:val="16"/>
                <w:highlight w:val="yellow"/>
                <w:lang w:eastAsia="en-US" w:bidi="sq-AL"/>
              </w:rPr>
              <w:t>Mesatar</w:t>
            </w:r>
            <w:r w:rsidRPr="00622884">
              <w:rPr>
                <w:rFonts w:ascii="Garamond" w:eastAsia="Calibri" w:hAnsi="Garamond" w:cs="Times New Roman"/>
                <w:sz w:val="16"/>
                <w:szCs w:val="16"/>
                <w:lang w:eastAsia="en-US" w:bidi="sq-AL"/>
              </w:rPr>
              <w:t xml:space="preserve"> – </w:t>
            </w:r>
            <w:r w:rsidRPr="00622884">
              <w:rPr>
                <w:rFonts w:ascii="Garamond" w:eastAsia="Calibri" w:hAnsi="Garamond" w:cs="Times New Roman"/>
                <w:kern w:val="24"/>
                <w:sz w:val="16"/>
                <w:szCs w:val="16"/>
                <w:highlight w:val="darkRed"/>
                <w:lang w:eastAsia="en-US" w:bidi="sq-AL"/>
              </w:rPr>
              <w:t>Shumë i lartë</w:t>
            </w:r>
          </w:p>
        </w:tc>
      </w:tr>
    </w:tbl>
    <w:p w14:paraId="52F51092" w14:textId="77777777" w:rsidR="00622884" w:rsidRPr="00622884" w:rsidRDefault="00622884" w:rsidP="00622884">
      <w:pPr>
        <w:spacing w:after="0" w:line="240" w:lineRule="auto"/>
        <w:ind w:firstLine="284"/>
        <w:rPr>
          <w:rFonts w:ascii="Garamond" w:eastAsia="Calibri" w:hAnsi="Garamond" w:cs="Calibri Light"/>
          <w:sz w:val="24"/>
          <w:szCs w:val="24"/>
          <w:lang w:eastAsia="en-US"/>
        </w:rPr>
      </w:pPr>
    </w:p>
    <w:p w14:paraId="1E899658" w14:textId="77777777" w:rsidR="00622884" w:rsidRPr="00622884" w:rsidRDefault="00622884" w:rsidP="00622884">
      <w:pPr>
        <w:spacing w:after="0" w:line="240" w:lineRule="auto"/>
        <w:ind w:firstLine="284"/>
        <w:rPr>
          <w:rFonts w:ascii="Garamond" w:eastAsia="SimSun" w:hAnsi="Garamond" w:cs="Calibri Light"/>
          <w:sz w:val="24"/>
          <w:szCs w:val="24"/>
          <w:lang w:eastAsia="en-US"/>
        </w:rPr>
      </w:pPr>
      <w:r w:rsidRPr="00622884">
        <w:rPr>
          <w:rFonts w:ascii="Garamond" w:eastAsia="SimSun" w:hAnsi="Garamond" w:cs="Calibri Light"/>
          <w:sz w:val="24"/>
          <w:szCs w:val="24"/>
          <w:lang w:eastAsia="en-US" w:bidi="sq-AL"/>
        </w:rPr>
        <w:t xml:space="preserve">Vlerësimet e riskut për turizmin rriten me kalimin e kohës, nga risku aktual drejt riskut të ardhshëm, madje deri në nivel alarmant në skenarin më të keq. Sipas nënsektorëve, ekoturizmi është më i ekspozuari ndaj riskut, ndërsa në skenarët më të mirë, turizmi i qytetar dhe artistik dhe trashëgimia kulturore janë segmentet më pak të ekspozuara ndaj riskut. Megjithatë, “më pak të ekspozuara ndaj riskut” nuk do të thotë “pa risk”, pasi, për shembull, rritja e parashikuar e nivelit të detit mund të dëmtojë ndjeshëm qytetet bregdetare (turizmi urban) dhe vendndodhjet e trashëgimisë kulturore bregdetare (turizmi kulturor), megjithëse në një shkallë më të vogël sesa vendndodhjet në brendësi të territorit. Disa dallime në vlerësimet e riskut mund të shpjegohen gjithashtu nga mënyra se si nënsektorët kanë përfituar tashmë nga zhvillimi i vazhdueshëm në Shqipëri dhe pritet të përfitojnë më tej, duke rritur aftësinë e tyre ripërtëritëse nëpërmjet zhvillimit të ardhshëm. </w:t>
      </w:r>
    </w:p>
    <w:p w14:paraId="1F5977A0" w14:textId="77777777" w:rsidR="00622884" w:rsidRPr="00622884" w:rsidRDefault="00622884" w:rsidP="00622884">
      <w:pPr>
        <w:keepNext/>
        <w:spacing w:after="0" w:line="240" w:lineRule="auto"/>
        <w:ind w:firstLine="284"/>
        <w:mirrorIndents/>
        <w:rPr>
          <w:rFonts w:ascii="Garamond" w:eastAsia="Calibri Light" w:hAnsi="Garamond" w:cs="Calibri Light"/>
          <w:b/>
          <w:bCs/>
          <w:iCs/>
          <w:sz w:val="24"/>
          <w:szCs w:val="24"/>
          <w:lang w:eastAsia="en-US"/>
        </w:rPr>
      </w:pPr>
      <w:r w:rsidRPr="00622884">
        <w:rPr>
          <w:rFonts w:ascii="Garamond" w:eastAsia="Calibri Light" w:hAnsi="Garamond" w:cs="Calibri Light"/>
          <w:b/>
          <w:bCs/>
          <w:iCs/>
          <w:sz w:val="24"/>
          <w:szCs w:val="24"/>
          <w:lang w:eastAsia="en-US" w:bidi="sq-AL"/>
        </w:rPr>
        <w:t>Energjia</w:t>
      </w:r>
    </w:p>
    <w:p w14:paraId="464EFDCE" w14:textId="77777777" w:rsidR="00622884" w:rsidRPr="00622884" w:rsidRDefault="00622884" w:rsidP="00622884">
      <w:pPr>
        <w:spacing w:after="0" w:line="240" w:lineRule="auto"/>
        <w:ind w:firstLine="284"/>
        <w:rPr>
          <w:rFonts w:ascii="Garamond" w:eastAsia="SimSun" w:hAnsi="Garamond" w:cs="Calibri Light"/>
          <w:sz w:val="24"/>
          <w:szCs w:val="24"/>
          <w:lang w:eastAsia="en-US"/>
        </w:rPr>
      </w:pPr>
      <w:r w:rsidRPr="00622884">
        <w:rPr>
          <w:rFonts w:ascii="Garamond" w:eastAsia="SimSun" w:hAnsi="Garamond" w:cs="Calibri Light"/>
          <w:sz w:val="24"/>
          <w:szCs w:val="24"/>
          <w:lang w:eastAsia="en-US" w:bidi="sq-AL"/>
        </w:rPr>
        <w:t xml:space="preserve">Ndryshimet në reshje, disponueshmërinë e ujit dhe avullimin do të ndikojnë në disponueshmërinë e hidroenergjisë, e cila prodhon 96% të energjisë elektrike të vendit. Variabiliteti i shkaktuar nga ndryshimet klimatike në prurjet e lumenjve mund të ulë prodhimin hidroenergjetik, duke rrezikuar sigurinë energjetike. Rritja e temperaturave gjithashtu shton kërkesën për energji për ftohje, duke ushtruar presion ndaj sistemit energjetik. Infrastruktura hidroenergjetike mund të dëmtohet gjatë ngjarjeve të reshjeve të dendura, përfshirë rrjetin e shpërndarjes, gjë që mund të përkeqësojë më tej humbjet e energjisë elektrike. </w:t>
      </w:r>
    </w:p>
    <w:p w14:paraId="5F6BA904" w14:textId="77777777" w:rsidR="00622884" w:rsidRPr="00622884" w:rsidRDefault="00622884" w:rsidP="00622884">
      <w:pPr>
        <w:spacing w:after="0" w:line="240" w:lineRule="auto"/>
        <w:ind w:firstLine="284"/>
        <w:rPr>
          <w:rFonts w:ascii="Garamond" w:eastAsia="SimSun" w:hAnsi="Garamond" w:cs="Calibri Light"/>
          <w:sz w:val="24"/>
          <w:szCs w:val="24"/>
          <w:lang w:eastAsia="en-US"/>
        </w:rPr>
      </w:pPr>
      <w:r w:rsidRPr="00622884">
        <w:rPr>
          <w:rFonts w:ascii="Garamond" w:eastAsia="SimSun" w:hAnsi="Garamond" w:cs="Calibri Light"/>
          <w:sz w:val="24"/>
          <w:szCs w:val="24"/>
          <w:lang w:eastAsia="en-US" w:bidi="sq-AL"/>
        </w:rPr>
        <w:t>Risqet aktuale dhe risqet e ardhshme në sektorin e energjisë, siç janë vlerësuar në VRK për nënsektorët e ndryshëm të trajtuar (naftë, gaz dhe qymyr; hidroenergji; dru zjarri; erë dhe diell; transmetim dhe shpërndarje), janë vlerësuar si më poshtë</w:t>
      </w:r>
      <w:r w:rsidRPr="00622884">
        <w:rPr>
          <w:rFonts w:ascii="Garamond" w:eastAsia="SimSun" w:hAnsi="Garamond" w:cs="Calibri Light"/>
          <w:sz w:val="24"/>
          <w:szCs w:val="24"/>
          <w:vertAlign w:val="superscript"/>
          <w:lang w:eastAsia="en-US" w:bidi="sq-AL"/>
        </w:rPr>
        <w:footnoteReference w:id="191"/>
      </w:r>
      <w:r w:rsidRPr="00622884">
        <w:rPr>
          <w:rFonts w:ascii="Garamond" w:eastAsia="SimSun" w:hAnsi="Garamond" w:cs="Calibri Light"/>
          <w:sz w:val="24"/>
          <w:szCs w:val="24"/>
          <w:lang w:eastAsia="en-US" w:bidi="sq-AL"/>
        </w:rPr>
        <w:t>:</w:t>
      </w:r>
    </w:p>
    <w:p w14:paraId="403FEED9" w14:textId="77777777" w:rsidR="00622884" w:rsidRPr="00622884" w:rsidRDefault="00622884" w:rsidP="00622884">
      <w:pPr>
        <w:spacing w:after="0" w:line="240" w:lineRule="auto"/>
        <w:ind w:firstLine="284"/>
        <w:jc w:val="right"/>
        <w:rPr>
          <w:rFonts w:ascii="Garamond" w:eastAsia="Aptos" w:hAnsi="Garamond" w:cs="Arial"/>
          <w:i/>
          <w:iCs/>
          <w:sz w:val="2"/>
          <w:szCs w:val="24"/>
          <w:lang w:eastAsia="en-US" w:bidi="sq-AL"/>
        </w:rPr>
      </w:pPr>
      <w:bookmarkStart w:id="252" w:name="_Toc213936106"/>
    </w:p>
    <w:p w14:paraId="6FBABFFD" w14:textId="77777777" w:rsidR="00622884" w:rsidRPr="00622884" w:rsidRDefault="00622884" w:rsidP="00622884">
      <w:pPr>
        <w:spacing w:after="0" w:line="240" w:lineRule="auto"/>
        <w:ind w:firstLine="284"/>
        <w:rPr>
          <w:rFonts w:ascii="Garamond" w:eastAsia="Aptos" w:hAnsi="Garamond" w:cs="Arial"/>
          <w:b/>
          <w:iCs/>
          <w:sz w:val="24"/>
          <w:szCs w:val="24"/>
          <w:lang w:eastAsia="en-US"/>
        </w:rPr>
      </w:pPr>
      <w:r w:rsidRPr="00622884">
        <w:rPr>
          <w:rFonts w:ascii="Garamond" w:eastAsia="Aptos" w:hAnsi="Garamond" w:cs="Arial"/>
          <w:b/>
          <w:iCs/>
          <w:sz w:val="24"/>
          <w:szCs w:val="24"/>
          <w:lang w:eastAsia="en-US" w:bidi="sq-AL"/>
        </w:rPr>
        <w:lastRenderedPageBreak/>
        <w:t>Tabela 5: Risqet klimatike aktuale dhe të ardhshme në sektorin e energjisë.</w:t>
      </w:r>
      <w:bookmarkEnd w:id="252"/>
    </w:p>
    <w:tbl>
      <w:tblPr>
        <w:tblW w:w="0" w:type="auto"/>
        <w:jc w:val="center"/>
        <w:tblBorders>
          <w:top w:val="single" w:sz="4" w:space="0" w:color="1D3C5A"/>
          <w:left w:val="single" w:sz="4" w:space="0" w:color="1D3C5A"/>
          <w:bottom w:val="single" w:sz="4" w:space="0" w:color="1D3C5A"/>
          <w:right w:val="single" w:sz="4" w:space="0" w:color="1D3C5A"/>
          <w:insideH w:val="single" w:sz="4" w:space="0" w:color="1D3C5A"/>
          <w:insideV w:val="single" w:sz="4" w:space="0" w:color="1D3C5A"/>
        </w:tblBorders>
        <w:tblCellMar>
          <w:left w:w="0" w:type="dxa"/>
          <w:right w:w="0" w:type="dxa"/>
        </w:tblCellMar>
        <w:tblLook w:val="04A0" w:firstRow="1" w:lastRow="0" w:firstColumn="1" w:lastColumn="0" w:noHBand="0" w:noVBand="1"/>
      </w:tblPr>
      <w:tblGrid>
        <w:gridCol w:w="2793"/>
        <w:gridCol w:w="1219"/>
        <w:gridCol w:w="3633"/>
      </w:tblGrid>
      <w:tr w:rsidR="00622884" w:rsidRPr="00622884" w14:paraId="467D0ABD" w14:textId="77777777" w:rsidTr="00622884">
        <w:trPr>
          <w:trHeight w:val="239"/>
          <w:jc w:val="center"/>
        </w:trPr>
        <w:tc>
          <w:tcPr>
            <w:tcW w:w="0" w:type="auto"/>
            <w:vMerge w:val="restart"/>
            <w:shd w:val="clear" w:color="auto" w:fill="215A5C"/>
            <w:tcMar>
              <w:top w:w="15" w:type="dxa"/>
              <w:left w:w="182" w:type="dxa"/>
              <w:bottom w:w="0" w:type="dxa"/>
              <w:right w:w="182" w:type="dxa"/>
            </w:tcMar>
            <w:vAlign w:val="center"/>
            <w:hideMark/>
          </w:tcPr>
          <w:p w14:paraId="6A643FD9" w14:textId="77777777" w:rsidR="00622884" w:rsidRPr="00622884" w:rsidRDefault="00622884" w:rsidP="00622884">
            <w:pPr>
              <w:spacing w:after="0" w:line="240" w:lineRule="auto"/>
              <w:jc w:val="center"/>
              <w:rPr>
                <w:rFonts w:ascii="Garamond" w:eastAsia="Calibri" w:hAnsi="Garamond" w:cs="Calibri Light"/>
                <w:b/>
                <w:bCs/>
                <w:sz w:val="16"/>
                <w:szCs w:val="16"/>
                <w:lang w:eastAsia="en-US"/>
              </w:rPr>
            </w:pPr>
            <w:r w:rsidRPr="00622884">
              <w:rPr>
                <w:rFonts w:ascii="Garamond" w:eastAsia="Calibri" w:hAnsi="Garamond" w:cs="Times New Roman"/>
                <w:b/>
                <w:sz w:val="16"/>
                <w:szCs w:val="16"/>
                <w:lang w:eastAsia="en-US" w:bidi="sq-AL"/>
              </w:rPr>
              <w:t>NËNSEKTORËT E ENERGJISË</w:t>
            </w:r>
          </w:p>
        </w:tc>
        <w:tc>
          <w:tcPr>
            <w:tcW w:w="0" w:type="auto"/>
            <w:gridSpan w:val="2"/>
            <w:shd w:val="clear" w:color="auto" w:fill="215A5C"/>
            <w:tcMar>
              <w:top w:w="15" w:type="dxa"/>
              <w:left w:w="182" w:type="dxa"/>
              <w:bottom w:w="0" w:type="dxa"/>
              <w:right w:w="182" w:type="dxa"/>
            </w:tcMar>
            <w:vAlign w:val="center"/>
            <w:hideMark/>
          </w:tcPr>
          <w:p w14:paraId="22F25A40" w14:textId="77777777" w:rsidR="00622884" w:rsidRPr="00622884" w:rsidRDefault="00622884" w:rsidP="00622884">
            <w:pPr>
              <w:spacing w:after="0" w:line="240" w:lineRule="auto"/>
              <w:jc w:val="center"/>
              <w:rPr>
                <w:rFonts w:ascii="Garamond" w:eastAsia="Calibri" w:hAnsi="Garamond" w:cs="Calibri Light"/>
                <w:sz w:val="16"/>
                <w:szCs w:val="16"/>
                <w:lang w:eastAsia="en-US"/>
              </w:rPr>
            </w:pPr>
            <w:r w:rsidRPr="00622884">
              <w:rPr>
                <w:rFonts w:ascii="Garamond" w:eastAsia="Calibri" w:hAnsi="Garamond" w:cs="Times New Roman"/>
                <w:b/>
                <w:sz w:val="16"/>
                <w:szCs w:val="16"/>
                <w:lang w:eastAsia="en-US" w:bidi="sq-AL"/>
              </w:rPr>
              <w:t>PËRGJITHËSISHT</w:t>
            </w:r>
          </w:p>
        </w:tc>
      </w:tr>
      <w:tr w:rsidR="00622884" w:rsidRPr="00622884" w14:paraId="31CACA8E" w14:textId="77777777" w:rsidTr="00622884">
        <w:trPr>
          <w:trHeight w:val="199"/>
          <w:jc w:val="center"/>
        </w:trPr>
        <w:tc>
          <w:tcPr>
            <w:tcW w:w="0" w:type="auto"/>
            <w:vMerge/>
            <w:shd w:val="clear" w:color="auto" w:fill="215A5C"/>
            <w:vAlign w:val="center"/>
            <w:hideMark/>
          </w:tcPr>
          <w:p w14:paraId="4611C50F" w14:textId="77777777" w:rsidR="00622884" w:rsidRPr="00622884" w:rsidRDefault="00622884" w:rsidP="00622884">
            <w:pPr>
              <w:spacing w:after="0" w:line="240" w:lineRule="auto"/>
              <w:jc w:val="center"/>
              <w:rPr>
                <w:rFonts w:ascii="Garamond" w:eastAsia="Calibri" w:hAnsi="Garamond" w:cs="Calibri Light"/>
                <w:sz w:val="16"/>
                <w:szCs w:val="16"/>
                <w:lang w:eastAsia="en-US"/>
              </w:rPr>
            </w:pPr>
          </w:p>
        </w:tc>
        <w:tc>
          <w:tcPr>
            <w:tcW w:w="0" w:type="auto"/>
            <w:shd w:val="clear" w:color="auto" w:fill="215A5C"/>
            <w:tcMar>
              <w:top w:w="15" w:type="dxa"/>
              <w:left w:w="182" w:type="dxa"/>
              <w:bottom w:w="0" w:type="dxa"/>
              <w:right w:w="182" w:type="dxa"/>
            </w:tcMar>
            <w:vAlign w:val="center"/>
            <w:hideMark/>
          </w:tcPr>
          <w:p w14:paraId="32C1A678" w14:textId="77777777" w:rsidR="00622884" w:rsidRPr="00622884" w:rsidRDefault="00622884" w:rsidP="00622884">
            <w:pPr>
              <w:spacing w:after="0" w:line="240" w:lineRule="auto"/>
              <w:jc w:val="center"/>
              <w:rPr>
                <w:rFonts w:ascii="Garamond" w:eastAsia="Calibri" w:hAnsi="Garamond" w:cs="Calibri Light"/>
                <w:b/>
                <w:bCs/>
                <w:sz w:val="16"/>
                <w:szCs w:val="16"/>
                <w:lang w:eastAsia="en-US"/>
              </w:rPr>
            </w:pPr>
            <w:r w:rsidRPr="00622884">
              <w:rPr>
                <w:rFonts w:ascii="Garamond" w:eastAsia="Calibri" w:hAnsi="Garamond" w:cs="Times New Roman"/>
                <w:b/>
                <w:sz w:val="16"/>
                <w:szCs w:val="16"/>
                <w:lang w:eastAsia="en-US" w:bidi="sq-AL"/>
              </w:rPr>
              <w:t>Risku aktual</w:t>
            </w:r>
          </w:p>
        </w:tc>
        <w:tc>
          <w:tcPr>
            <w:tcW w:w="0" w:type="auto"/>
            <w:shd w:val="clear" w:color="auto" w:fill="215A5C"/>
            <w:tcMar>
              <w:top w:w="15" w:type="dxa"/>
              <w:left w:w="182" w:type="dxa"/>
              <w:bottom w:w="0" w:type="dxa"/>
              <w:right w:w="182" w:type="dxa"/>
            </w:tcMar>
            <w:vAlign w:val="center"/>
            <w:hideMark/>
          </w:tcPr>
          <w:p w14:paraId="4A1C1126" w14:textId="77777777" w:rsidR="00622884" w:rsidRPr="00622884" w:rsidRDefault="00622884" w:rsidP="00622884">
            <w:pPr>
              <w:spacing w:after="0" w:line="240" w:lineRule="auto"/>
              <w:jc w:val="center"/>
              <w:rPr>
                <w:rFonts w:ascii="Garamond" w:eastAsia="Calibri" w:hAnsi="Garamond" w:cs="Calibri Light"/>
                <w:b/>
                <w:bCs/>
                <w:sz w:val="16"/>
                <w:szCs w:val="16"/>
                <w:lang w:eastAsia="en-US"/>
              </w:rPr>
            </w:pPr>
            <w:r w:rsidRPr="00622884">
              <w:rPr>
                <w:rFonts w:ascii="Garamond" w:eastAsia="Calibri" w:hAnsi="Garamond" w:cs="Times New Roman"/>
                <w:b/>
                <w:sz w:val="16"/>
                <w:szCs w:val="16"/>
                <w:lang w:eastAsia="en-US" w:bidi="sq-AL"/>
              </w:rPr>
              <w:t>Risku i ardhshëm (skenari më i mirë – më i keq)</w:t>
            </w:r>
          </w:p>
        </w:tc>
      </w:tr>
      <w:tr w:rsidR="00622884" w:rsidRPr="00622884" w14:paraId="66688198" w14:textId="77777777" w:rsidTr="00622884">
        <w:trPr>
          <w:trHeight w:val="274"/>
          <w:jc w:val="center"/>
        </w:trPr>
        <w:tc>
          <w:tcPr>
            <w:tcW w:w="0" w:type="auto"/>
            <w:tcMar>
              <w:top w:w="15" w:type="dxa"/>
              <w:left w:w="182" w:type="dxa"/>
              <w:bottom w:w="0" w:type="dxa"/>
              <w:right w:w="182" w:type="dxa"/>
            </w:tcMar>
            <w:vAlign w:val="center"/>
            <w:hideMark/>
          </w:tcPr>
          <w:p w14:paraId="4BC964B4" w14:textId="77777777" w:rsidR="00622884" w:rsidRPr="00622884" w:rsidRDefault="00622884" w:rsidP="00622884">
            <w:pPr>
              <w:spacing w:after="0" w:line="240" w:lineRule="auto"/>
              <w:jc w:val="left"/>
              <w:rPr>
                <w:rFonts w:ascii="Garamond" w:eastAsia="Calibri" w:hAnsi="Garamond" w:cs="Calibri Light"/>
                <w:sz w:val="16"/>
                <w:szCs w:val="16"/>
                <w:lang w:eastAsia="en-US"/>
              </w:rPr>
            </w:pPr>
            <w:r w:rsidRPr="00622884">
              <w:rPr>
                <w:rFonts w:ascii="Garamond" w:eastAsia="Calibri" w:hAnsi="Garamond" w:cs="Times New Roman"/>
                <w:b/>
                <w:sz w:val="16"/>
                <w:szCs w:val="16"/>
                <w:lang w:eastAsia="en-US" w:bidi="sq-AL"/>
              </w:rPr>
              <w:t>Nafta, gazi dhe qymyri</w:t>
            </w:r>
          </w:p>
        </w:tc>
        <w:tc>
          <w:tcPr>
            <w:tcW w:w="0" w:type="auto"/>
            <w:tcMar>
              <w:top w:w="15" w:type="dxa"/>
              <w:left w:w="182" w:type="dxa"/>
              <w:bottom w:w="0" w:type="dxa"/>
              <w:right w:w="182" w:type="dxa"/>
            </w:tcMar>
            <w:vAlign w:val="center"/>
            <w:hideMark/>
          </w:tcPr>
          <w:p w14:paraId="0829334C" w14:textId="77777777" w:rsidR="00622884" w:rsidRPr="00622884" w:rsidRDefault="00622884" w:rsidP="00622884">
            <w:pPr>
              <w:spacing w:after="0" w:line="240" w:lineRule="auto"/>
              <w:rPr>
                <w:rFonts w:ascii="Garamond" w:eastAsia="Calibri" w:hAnsi="Garamond" w:cs="Calibri Light"/>
                <w:sz w:val="16"/>
                <w:szCs w:val="16"/>
                <w:lang w:eastAsia="en-US"/>
              </w:rPr>
            </w:pPr>
            <w:r w:rsidRPr="00622884">
              <w:rPr>
                <w:rFonts w:ascii="Garamond" w:eastAsia="Calibri" w:hAnsi="Garamond" w:cs="Times New Roman"/>
                <w:sz w:val="16"/>
                <w:szCs w:val="16"/>
                <w:highlight w:val="green"/>
                <w:lang w:eastAsia="en-US" w:bidi="sq-AL"/>
              </w:rPr>
              <w:t>Shumë i ulët</w:t>
            </w:r>
          </w:p>
        </w:tc>
        <w:tc>
          <w:tcPr>
            <w:tcW w:w="0" w:type="auto"/>
            <w:tcMar>
              <w:top w:w="15" w:type="dxa"/>
              <w:left w:w="182" w:type="dxa"/>
              <w:bottom w:w="0" w:type="dxa"/>
              <w:right w:w="182" w:type="dxa"/>
            </w:tcMar>
            <w:hideMark/>
          </w:tcPr>
          <w:p w14:paraId="2FA19F49" w14:textId="77777777" w:rsidR="00622884" w:rsidRPr="00622884" w:rsidRDefault="00622884" w:rsidP="00622884">
            <w:pPr>
              <w:spacing w:after="0" w:line="240" w:lineRule="auto"/>
              <w:rPr>
                <w:rFonts w:ascii="Garamond" w:eastAsia="Calibri" w:hAnsi="Garamond" w:cs="Calibri Light"/>
                <w:sz w:val="16"/>
                <w:szCs w:val="16"/>
                <w:lang w:eastAsia="en-US"/>
              </w:rPr>
            </w:pPr>
            <w:r w:rsidRPr="00622884">
              <w:rPr>
                <w:rFonts w:ascii="Garamond" w:eastAsia="Calibri" w:hAnsi="Garamond" w:cs="Times New Roman"/>
                <w:sz w:val="16"/>
                <w:szCs w:val="16"/>
                <w:highlight w:val="yellow"/>
                <w:lang w:eastAsia="en-US" w:bidi="sq-AL"/>
              </w:rPr>
              <w:t>Mesatar</w:t>
            </w:r>
            <w:r w:rsidRPr="00622884">
              <w:rPr>
                <w:rFonts w:ascii="Garamond" w:eastAsia="Calibri" w:hAnsi="Garamond" w:cs="Times New Roman"/>
                <w:sz w:val="16"/>
                <w:szCs w:val="16"/>
                <w:lang w:eastAsia="en-US" w:bidi="sq-AL"/>
              </w:rPr>
              <w:t xml:space="preserve"> – </w:t>
            </w:r>
            <w:r w:rsidRPr="00622884">
              <w:rPr>
                <w:rFonts w:ascii="Garamond" w:eastAsia="Calibri" w:hAnsi="Garamond" w:cs="Times New Roman"/>
                <w:kern w:val="24"/>
                <w:sz w:val="16"/>
                <w:szCs w:val="16"/>
                <w:highlight w:val="darkRed"/>
                <w:lang w:eastAsia="en-US" w:bidi="sq-AL"/>
              </w:rPr>
              <w:t>Shumë i lartë</w:t>
            </w:r>
          </w:p>
        </w:tc>
      </w:tr>
      <w:tr w:rsidR="00622884" w:rsidRPr="00622884" w14:paraId="356BA5E0" w14:textId="77777777" w:rsidTr="00622884">
        <w:trPr>
          <w:trHeight w:val="221"/>
          <w:jc w:val="center"/>
        </w:trPr>
        <w:tc>
          <w:tcPr>
            <w:tcW w:w="0" w:type="auto"/>
            <w:tcMar>
              <w:top w:w="15" w:type="dxa"/>
              <w:left w:w="182" w:type="dxa"/>
              <w:bottom w:w="0" w:type="dxa"/>
              <w:right w:w="182" w:type="dxa"/>
            </w:tcMar>
            <w:vAlign w:val="center"/>
            <w:hideMark/>
          </w:tcPr>
          <w:p w14:paraId="52408866" w14:textId="77777777" w:rsidR="00622884" w:rsidRPr="00622884" w:rsidRDefault="00622884" w:rsidP="00622884">
            <w:pPr>
              <w:spacing w:after="0" w:line="240" w:lineRule="auto"/>
              <w:jc w:val="left"/>
              <w:rPr>
                <w:rFonts w:ascii="Garamond" w:eastAsia="Calibri" w:hAnsi="Garamond" w:cs="Calibri Light"/>
                <w:sz w:val="16"/>
                <w:szCs w:val="16"/>
                <w:lang w:eastAsia="en-US"/>
              </w:rPr>
            </w:pPr>
            <w:r w:rsidRPr="00622884">
              <w:rPr>
                <w:rFonts w:ascii="Garamond" w:eastAsia="Calibri" w:hAnsi="Garamond" w:cs="Times New Roman"/>
                <w:b/>
                <w:sz w:val="16"/>
                <w:szCs w:val="16"/>
                <w:lang w:eastAsia="en-US" w:bidi="sq-AL"/>
              </w:rPr>
              <w:t>Hidroenergjetika</w:t>
            </w:r>
          </w:p>
        </w:tc>
        <w:tc>
          <w:tcPr>
            <w:tcW w:w="0" w:type="auto"/>
            <w:tcMar>
              <w:top w:w="15" w:type="dxa"/>
              <w:left w:w="182" w:type="dxa"/>
              <w:bottom w:w="0" w:type="dxa"/>
              <w:right w:w="182" w:type="dxa"/>
            </w:tcMar>
            <w:vAlign w:val="center"/>
            <w:hideMark/>
          </w:tcPr>
          <w:p w14:paraId="10BD8547" w14:textId="77777777" w:rsidR="00622884" w:rsidRPr="00622884" w:rsidRDefault="00622884" w:rsidP="00622884">
            <w:pPr>
              <w:spacing w:after="0" w:line="240" w:lineRule="auto"/>
              <w:rPr>
                <w:rFonts w:ascii="Garamond" w:eastAsia="Calibri" w:hAnsi="Garamond" w:cs="Calibri Light"/>
                <w:sz w:val="16"/>
                <w:szCs w:val="16"/>
                <w:lang w:eastAsia="en-US"/>
              </w:rPr>
            </w:pPr>
            <w:r w:rsidRPr="00622884">
              <w:rPr>
                <w:rFonts w:ascii="Garamond" w:eastAsia="Calibri" w:hAnsi="Garamond" w:cs="Times New Roman"/>
                <w:sz w:val="16"/>
                <w:szCs w:val="16"/>
                <w:highlight w:val="lightGray"/>
                <w:lang w:eastAsia="en-US" w:bidi="sq-AL"/>
              </w:rPr>
              <w:t>I ulët</w:t>
            </w:r>
          </w:p>
        </w:tc>
        <w:tc>
          <w:tcPr>
            <w:tcW w:w="0" w:type="auto"/>
            <w:tcMar>
              <w:top w:w="15" w:type="dxa"/>
              <w:left w:w="182" w:type="dxa"/>
              <w:bottom w:w="0" w:type="dxa"/>
              <w:right w:w="182" w:type="dxa"/>
            </w:tcMar>
            <w:hideMark/>
          </w:tcPr>
          <w:p w14:paraId="51AEAE90" w14:textId="77777777" w:rsidR="00622884" w:rsidRPr="00622884" w:rsidRDefault="00622884" w:rsidP="00622884">
            <w:pPr>
              <w:spacing w:after="0" w:line="240" w:lineRule="auto"/>
              <w:rPr>
                <w:rFonts w:ascii="Garamond" w:eastAsia="Calibri" w:hAnsi="Garamond" w:cs="Calibri Light"/>
                <w:sz w:val="16"/>
                <w:szCs w:val="16"/>
                <w:lang w:eastAsia="en-US"/>
              </w:rPr>
            </w:pPr>
            <w:r w:rsidRPr="00622884">
              <w:rPr>
                <w:rFonts w:ascii="Garamond" w:eastAsia="Calibri" w:hAnsi="Garamond" w:cs="Times New Roman"/>
                <w:sz w:val="16"/>
                <w:szCs w:val="16"/>
                <w:highlight w:val="yellow"/>
                <w:lang w:eastAsia="en-US" w:bidi="sq-AL"/>
              </w:rPr>
              <w:t>Mesatar</w:t>
            </w:r>
            <w:r w:rsidRPr="00622884">
              <w:rPr>
                <w:rFonts w:ascii="Garamond" w:eastAsia="Calibri" w:hAnsi="Garamond" w:cs="Times New Roman"/>
                <w:sz w:val="16"/>
                <w:szCs w:val="16"/>
                <w:lang w:eastAsia="en-US" w:bidi="sq-AL"/>
              </w:rPr>
              <w:t xml:space="preserve"> – </w:t>
            </w:r>
            <w:r w:rsidRPr="00622884">
              <w:rPr>
                <w:rFonts w:ascii="Garamond" w:eastAsia="Calibri" w:hAnsi="Garamond" w:cs="Times New Roman"/>
                <w:kern w:val="24"/>
                <w:sz w:val="16"/>
                <w:szCs w:val="16"/>
                <w:highlight w:val="darkRed"/>
                <w:lang w:eastAsia="en-US" w:bidi="sq-AL"/>
              </w:rPr>
              <w:t>Shumë i lartë</w:t>
            </w:r>
          </w:p>
        </w:tc>
      </w:tr>
      <w:tr w:rsidR="00622884" w:rsidRPr="00622884" w14:paraId="65145D06" w14:textId="77777777" w:rsidTr="00622884">
        <w:trPr>
          <w:trHeight w:val="184"/>
          <w:jc w:val="center"/>
        </w:trPr>
        <w:tc>
          <w:tcPr>
            <w:tcW w:w="0" w:type="auto"/>
            <w:tcMar>
              <w:top w:w="15" w:type="dxa"/>
              <w:left w:w="182" w:type="dxa"/>
              <w:bottom w:w="0" w:type="dxa"/>
              <w:right w:w="182" w:type="dxa"/>
            </w:tcMar>
            <w:vAlign w:val="center"/>
            <w:hideMark/>
          </w:tcPr>
          <w:p w14:paraId="7DC75ADD" w14:textId="77777777" w:rsidR="00622884" w:rsidRPr="00622884" w:rsidRDefault="00622884" w:rsidP="00622884">
            <w:pPr>
              <w:spacing w:after="0" w:line="240" w:lineRule="auto"/>
              <w:jc w:val="left"/>
              <w:rPr>
                <w:rFonts w:ascii="Garamond" w:eastAsia="Calibri" w:hAnsi="Garamond" w:cs="Calibri Light"/>
                <w:sz w:val="16"/>
                <w:szCs w:val="16"/>
                <w:lang w:eastAsia="en-US"/>
              </w:rPr>
            </w:pPr>
            <w:r w:rsidRPr="00622884">
              <w:rPr>
                <w:rFonts w:ascii="Garamond" w:eastAsia="Calibri" w:hAnsi="Garamond" w:cs="Times New Roman"/>
                <w:b/>
                <w:sz w:val="16"/>
                <w:szCs w:val="16"/>
                <w:lang w:eastAsia="en-US" w:bidi="sq-AL"/>
              </w:rPr>
              <w:t>Dru zjarri</w:t>
            </w:r>
          </w:p>
        </w:tc>
        <w:tc>
          <w:tcPr>
            <w:tcW w:w="0" w:type="auto"/>
            <w:tcMar>
              <w:top w:w="15" w:type="dxa"/>
              <w:left w:w="182" w:type="dxa"/>
              <w:bottom w:w="0" w:type="dxa"/>
              <w:right w:w="182" w:type="dxa"/>
            </w:tcMar>
            <w:vAlign w:val="center"/>
            <w:hideMark/>
          </w:tcPr>
          <w:p w14:paraId="63F5BDFA" w14:textId="77777777" w:rsidR="00622884" w:rsidRPr="00622884" w:rsidRDefault="00622884" w:rsidP="00622884">
            <w:pPr>
              <w:spacing w:after="0" w:line="240" w:lineRule="auto"/>
              <w:rPr>
                <w:rFonts w:ascii="Garamond" w:eastAsia="Calibri" w:hAnsi="Garamond" w:cs="Calibri Light"/>
                <w:sz w:val="16"/>
                <w:szCs w:val="16"/>
                <w:lang w:eastAsia="en-US"/>
              </w:rPr>
            </w:pPr>
            <w:r w:rsidRPr="00622884">
              <w:rPr>
                <w:rFonts w:ascii="Garamond" w:eastAsia="Calibri" w:hAnsi="Garamond" w:cs="Times New Roman"/>
                <w:sz w:val="16"/>
                <w:szCs w:val="16"/>
                <w:highlight w:val="green"/>
                <w:lang w:eastAsia="en-US" w:bidi="sq-AL"/>
              </w:rPr>
              <w:t>I ulët</w:t>
            </w:r>
          </w:p>
        </w:tc>
        <w:tc>
          <w:tcPr>
            <w:tcW w:w="0" w:type="auto"/>
            <w:tcMar>
              <w:top w:w="15" w:type="dxa"/>
              <w:left w:w="182" w:type="dxa"/>
              <w:bottom w:w="0" w:type="dxa"/>
              <w:right w:w="182" w:type="dxa"/>
            </w:tcMar>
            <w:hideMark/>
          </w:tcPr>
          <w:p w14:paraId="65861D06" w14:textId="77777777" w:rsidR="00622884" w:rsidRPr="00622884" w:rsidRDefault="00622884" w:rsidP="00622884">
            <w:pPr>
              <w:spacing w:after="0" w:line="240" w:lineRule="auto"/>
              <w:rPr>
                <w:rFonts w:ascii="Garamond" w:eastAsia="Calibri" w:hAnsi="Garamond" w:cs="Calibri Light"/>
                <w:sz w:val="16"/>
                <w:szCs w:val="16"/>
                <w:lang w:eastAsia="en-US"/>
              </w:rPr>
            </w:pPr>
            <w:r w:rsidRPr="00622884">
              <w:rPr>
                <w:rFonts w:ascii="Garamond" w:eastAsia="Calibri" w:hAnsi="Garamond" w:cs="Times New Roman"/>
                <w:sz w:val="16"/>
                <w:szCs w:val="16"/>
                <w:highlight w:val="yellow"/>
                <w:lang w:eastAsia="en-US" w:bidi="sq-AL"/>
              </w:rPr>
              <w:t>Mesatar</w:t>
            </w:r>
            <w:r w:rsidRPr="00622884">
              <w:rPr>
                <w:rFonts w:ascii="Garamond" w:eastAsia="Calibri" w:hAnsi="Garamond" w:cs="Times New Roman"/>
                <w:sz w:val="16"/>
                <w:szCs w:val="16"/>
                <w:lang w:eastAsia="en-US" w:bidi="sq-AL"/>
              </w:rPr>
              <w:t xml:space="preserve"> – </w:t>
            </w:r>
            <w:r w:rsidRPr="00622884">
              <w:rPr>
                <w:rFonts w:ascii="Garamond" w:eastAsia="Calibri" w:hAnsi="Garamond" w:cs="Times New Roman"/>
                <w:kern w:val="24"/>
                <w:sz w:val="16"/>
                <w:szCs w:val="16"/>
                <w:highlight w:val="darkRed"/>
                <w:lang w:eastAsia="en-US" w:bidi="sq-AL"/>
              </w:rPr>
              <w:t>Shumë i lartë</w:t>
            </w:r>
          </w:p>
        </w:tc>
      </w:tr>
      <w:tr w:rsidR="00622884" w:rsidRPr="00622884" w14:paraId="54258E4D" w14:textId="77777777" w:rsidTr="00622884">
        <w:trPr>
          <w:trHeight w:val="236"/>
          <w:jc w:val="center"/>
        </w:trPr>
        <w:tc>
          <w:tcPr>
            <w:tcW w:w="0" w:type="auto"/>
            <w:tcMar>
              <w:top w:w="15" w:type="dxa"/>
              <w:left w:w="182" w:type="dxa"/>
              <w:bottom w:w="0" w:type="dxa"/>
              <w:right w:w="182" w:type="dxa"/>
            </w:tcMar>
            <w:vAlign w:val="center"/>
            <w:hideMark/>
          </w:tcPr>
          <w:p w14:paraId="594193F5" w14:textId="77777777" w:rsidR="00622884" w:rsidRPr="00622884" w:rsidRDefault="00622884" w:rsidP="00622884">
            <w:pPr>
              <w:spacing w:after="0" w:line="240" w:lineRule="auto"/>
              <w:jc w:val="left"/>
              <w:rPr>
                <w:rFonts w:ascii="Garamond" w:eastAsia="Calibri" w:hAnsi="Garamond" w:cs="Calibri Light"/>
                <w:sz w:val="16"/>
                <w:szCs w:val="16"/>
                <w:lang w:eastAsia="en-US"/>
              </w:rPr>
            </w:pPr>
            <w:r w:rsidRPr="00622884">
              <w:rPr>
                <w:rFonts w:ascii="Garamond" w:eastAsia="Calibri" w:hAnsi="Garamond" w:cs="Times New Roman"/>
                <w:b/>
                <w:sz w:val="16"/>
                <w:szCs w:val="16"/>
                <w:lang w:eastAsia="en-US" w:bidi="sq-AL"/>
              </w:rPr>
              <w:t>Energjia e erës dhe energjia diellore</w:t>
            </w:r>
          </w:p>
        </w:tc>
        <w:tc>
          <w:tcPr>
            <w:tcW w:w="0" w:type="auto"/>
            <w:tcMar>
              <w:top w:w="15" w:type="dxa"/>
              <w:left w:w="182" w:type="dxa"/>
              <w:bottom w:w="0" w:type="dxa"/>
              <w:right w:w="182" w:type="dxa"/>
            </w:tcMar>
            <w:vAlign w:val="center"/>
            <w:hideMark/>
          </w:tcPr>
          <w:p w14:paraId="43D6039B" w14:textId="77777777" w:rsidR="00622884" w:rsidRPr="00622884" w:rsidRDefault="00622884" w:rsidP="00622884">
            <w:pPr>
              <w:spacing w:after="0" w:line="240" w:lineRule="auto"/>
              <w:rPr>
                <w:rFonts w:ascii="Garamond" w:eastAsia="Calibri" w:hAnsi="Garamond" w:cs="Calibri Light"/>
                <w:sz w:val="16"/>
                <w:szCs w:val="16"/>
                <w:lang w:eastAsia="en-US"/>
              </w:rPr>
            </w:pPr>
            <w:r w:rsidRPr="00622884">
              <w:rPr>
                <w:rFonts w:ascii="Garamond" w:eastAsia="Calibri" w:hAnsi="Garamond" w:cs="Times New Roman"/>
                <w:sz w:val="16"/>
                <w:szCs w:val="16"/>
                <w:highlight w:val="green"/>
                <w:lang w:eastAsia="en-US" w:bidi="sq-AL"/>
              </w:rPr>
              <w:t>Shumë i ulët</w:t>
            </w:r>
          </w:p>
        </w:tc>
        <w:tc>
          <w:tcPr>
            <w:tcW w:w="0" w:type="auto"/>
            <w:tcMar>
              <w:top w:w="15" w:type="dxa"/>
              <w:left w:w="182" w:type="dxa"/>
              <w:bottom w:w="0" w:type="dxa"/>
              <w:right w:w="182" w:type="dxa"/>
            </w:tcMar>
            <w:vAlign w:val="center"/>
            <w:hideMark/>
          </w:tcPr>
          <w:p w14:paraId="045536D7" w14:textId="77777777" w:rsidR="00622884" w:rsidRPr="00622884" w:rsidRDefault="00622884" w:rsidP="00622884">
            <w:pPr>
              <w:spacing w:after="0" w:line="240" w:lineRule="auto"/>
              <w:rPr>
                <w:rFonts w:ascii="Garamond" w:eastAsia="Calibri" w:hAnsi="Garamond" w:cs="Calibri Light"/>
                <w:sz w:val="16"/>
                <w:szCs w:val="16"/>
                <w:lang w:eastAsia="en-US"/>
              </w:rPr>
            </w:pPr>
            <w:r w:rsidRPr="00622884">
              <w:rPr>
                <w:rFonts w:ascii="Garamond" w:eastAsia="Calibri" w:hAnsi="Garamond" w:cs="Times New Roman"/>
                <w:sz w:val="16"/>
                <w:szCs w:val="16"/>
                <w:highlight w:val="lightGray"/>
                <w:lang w:eastAsia="en-US" w:bidi="sq-AL"/>
              </w:rPr>
              <w:t>I ulët</w:t>
            </w:r>
            <w:r w:rsidRPr="00622884">
              <w:rPr>
                <w:rFonts w:ascii="Garamond" w:eastAsia="Calibri" w:hAnsi="Garamond" w:cs="Times New Roman"/>
                <w:sz w:val="16"/>
                <w:szCs w:val="16"/>
                <w:lang w:eastAsia="en-US" w:bidi="sq-AL"/>
              </w:rPr>
              <w:t xml:space="preserve"> – </w:t>
            </w:r>
            <w:r w:rsidRPr="00622884">
              <w:rPr>
                <w:rFonts w:ascii="Garamond" w:eastAsia="Calibri" w:hAnsi="Garamond" w:cs="Times New Roman"/>
                <w:sz w:val="16"/>
                <w:szCs w:val="16"/>
                <w:highlight w:val="yellow"/>
                <w:lang w:eastAsia="en-US" w:bidi="sq-AL"/>
              </w:rPr>
              <w:t>Mesatar</w:t>
            </w:r>
          </w:p>
        </w:tc>
      </w:tr>
      <w:tr w:rsidR="00622884" w:rsidRPr="00622884" w14:paraId="04099498" w14:textId="77777777" w:rsidTr="00622884">
        <w:trPr>
          <w:trHeight w:val="245"/>
          <w:jc w:val="center"/>
        </w:trPr>
        <w:tc>
          <w:tcPr>
            <w:tcW w:w="0" w:type="auto"/>
            <w:tcMar>
              <w:top w:w="15" w:type="dxa"/>
              <w:left w:w="182" w:type="dxa"/>
              <w:bottom w:w="0" w:type="dxa"/>
              <w:right w:w="182" w:type="dxa"/>
            </w:tcMar>
            <w:vAlign w:val="center"/>
            <w:hideMark/>
          </w:tcPr>
          <w:p w14:paraId="3FD102A7" w14:textId="77777777" w:rsidR="00622884" w:rsidRPr="00622884" w:rsidRDefault="00622884" w:rsidP="00622884">
            <w:pPr>
              <w:spacing w:after="0" w:line="240" w:lineRule="auto"/>
              <w:jc w:val="left"/>
              <w:rPr>
                <w:rFonts w:ascii="Garamond" w:eastAsia="Calibri" w:hAnsi="Garamond" w:cs="Calibri Light"/>
                <w:sz w:val="16"/>
                <w:szCs w:val="16"/>
                <w:lang w:eastAsia="en-US"/>
              </w:rPr>
            </w:pPr>
            <w:r w:rsidRPr="00622884">
              <w:rPr>
                <w:rFonts w:ascii="Garamond" w:eastAsia="Calibri" w:hAnsi="Garamond" w:cs="Times New Roman"/>
                <w:b/>
                <w:sz w:val="16"/>
                <w:szCs w:val="16"/>
                <w:lang w:eastAsia="en-US" w:bidi="sq-AL"/>
              </w:rPr>
              <w:t>Transmetimi dhe shpërndarja</w:t>
            </w:r>
          </w:p>
        </w:tc>
        <w:tc>
          <w:tcPr>
            <w:tcW w:w="0" w:type="auto"/>
            <w:tcMar>
              <w:top w:w="15" w:type="dxa"/>
              <w:left w:w="182" w:type="dxa"/>
              <w:bottom w:w="0" w:type="dxa"/>
              <w:right w:w="182" w:type="dxa"/>
            </w:tcMar>
            <w:vAlign w:val="center"/>
            <w:hideMark/>
          </w:tcPr>
          <w:p w14:paraId="505FA2F9" w14:textId="77777777" w:rsidR="00622884" w:rsidRPr="00622884" w:rsidRDefault="00622884" w:rsidP="00622884">
            <w:pPr>
              <w:spacing w:after="0" w:line="240" w:lineRule="auto"/>
              <w:rPr>
                <w:rFonts w:ascii="Garamond" w:eastAsia="Calibri" w:hAnsi="Garamond" w:cs="Calibri Light"/>
                <w:sz w:val="16"/>
                <w:szCs w:val="16"/>
                <w:lang w:eastAsia="en-US"/>
              </w:rPr>
            </w:pPr>
            <w:r w:rsidRPr="00622884">
              <w:rPr>
                <w:rFonts w:ascii="Garamond" w:eastAsia="Calibri" w:hAnsi="Garamond" w:cs="Times New Roman"/>
                <w:sz w:val="16"/>
                <w:szCs w:val="16"/>
                <w:highlight w:val="yellow"/>
                <w:lang w:eastAsia="en-US" w:bidi="sq-AL"/>
              </w:rPr>
              <w:t>Mesatar</w:t>
            </w:r>
          </w:p>
        </w:tc>
        <w:tc>
          <w:tcPr>
            <w:tcW w:w="0" w:type="auto"/>
            <w:tcMar>
              <w:top w:w="15" w:type="dxa"/>
              <w:left w:w="182" w:type="dxa"/>
              <w:bottom w:w="0" w:type="dxa"/>
              <w:right w:w="182" w:type="dxa"/>
            </w:tcMar>
            <w:vAlign w:val="center"/>
            <w:hideMark/>
          </w:tcPr>
          <w:p w14:paraId="7FFC1048" w14:textId="77777777" w:rsidR="00622884" w:rsidRPr="00622884" w:rsidRDefault="00622884" w:rsidP="00622884">
            <w:pPr>
              <w:spacing w:after="0" w:line="240" w:lineRule="auto"/>
              <w:rPr>
                <w:rFonts w:ascii="Garamond" w:eastAsia="Calibri" w:hAnsi="Garamond" w:cs="Calibri Light"/>
                <w:sz w:val="16"/>
                <w:szCs w:val="16"/>
                <w:lang w:eastAsia="en-US"/>
              </w:rPr>
            </w:pPr>
            <w:r w:rsidRPr="00622884">
              <w:rPr>
                <w:rFonts w:ascii="Garamond" w:eastAsia="Calibri" w:hAnsi="Garamond" w:cs="Times New Roman"/>
                <w:sz w:val="16"/>
                <w:szCs w:val="16"/>
                <w:highlight w:val="yellow"/>
                <w:lang w:eastAsia="en-US" w:bidi="sq-AL"/>
              </w:rPr>
              <w:t>Mesatar</w:t>
            </w:r>
            <w:r w:rsidRPr="00622884">
              <w:rPr>
                <w:rFonts w:ascii="Garamond" w:eastAsia="Calibri" w:hAnsi="Garamond" w:cs="Times New Roman"/>
                <w:sz w:val="16"/>
                <w:szCs w:val="16"/>
                <w:lang w:eastAsia="en-US" w:bidi="sq-AL"/>
              </w:rPr>
              <w:t xml:space="preserve"> – </w:t>
            </w:r>
            <w:r w:rsidRPr="00622884">
              <w:rPr>
                <w:rFonts w:ascii="Garamond" w:eastAsia="Calibri" w:hAnsi="Garamond" w:cs="Times New Roman"/>
                <w:kern w:val="24"/>
                <w:sz w:val="16"/>
                <w:szCs w:val="16"/>
                <w:highlight w:val="darkRed"/>
                <w:lang w:eastAsia="en-US" w:bidi="sq-AL"/>
              </w:rPr>
              <w:t>Shumë i lartë</w:t>
            </w:r>
          </w:p>
        </w:tc>
      </w:tr>
    </w:tbl>
    <w:p w14:paraId="7E963733" w14:textId="77777777" w:rsidR="00622884" w:rsidRPr="00622884" w:rsidRDefault="00622884" w:rsidP="00622884">
      <w:pPr>
        <w:spacing w:after="0" w:line="240" w:lineRule="auto"/>
        <w:ind w:firstLine="284"/>
        <w:rPr>
          <w:rFonts w:ascii="Garamond" w:eastAsia="Calibri" w:hAnsi="Garamond" w:cs="Calibri Light"/>
          <w:sz w:val="24"/>
          <w:szCs w:val="24"/>
          <w:lang w:eastAsia="en-US"/>
        </w:rPr>
      </w:pPr>
    </w:p>
    <w:p w14:paraId="63D09144" w14:textId="77777777" w:rsidR="00622884" w:rsidRPr="00622884" w:rsidRDefault="00622884" w:rsidP="00622884">
      <w:pPr>
        <w:spacing w:after="0" w:line="240" w:lineRule="auto"/>
        <w:ind w:firstLine="284"/>
        <w:rPr>
          <w:rFonts w:ascii="Garamond" w:eastAsia="SimSun" w:hAnsi="Garamond" w:cs="Calibri Light"/>
          <w:sz w:val="24"/>
          <w:szCs w:val="24"/>
          <w:lang w:eastAsia="en-US"/>
        </w:rPr>
      </w:pPr>
      <w:r w:rsidRPr="00622884">
        <w:rPr>
          <w:rFonts w:ascii="Garamond" w:eastAsia="SimSun" w:hAnsi="Garamond" w:cs="Calibri Light"/>
          <w:sz w:val="24"/>
          <w:szCs w:val="24"/>
          <w:lang w:eastAsia="en-US" w:bidi="sq-AL"/>
        </w:rPr>
        <w:t xml:space="preserve">Vlerësimet e riskut në energji rriten nga risku aktual drejt riskut të ardhshëm, deri në nivel të konsiderueshëm kur merret parasysh skenari më i keq. Ndërsa shqetësimet për risqet aktuale mund të jenë nga të ulëta në të moderuara, risqet e ardhshme janë alarmante, veçanërisht në skenarin më të keq, i cili lidhet ngushtë me uljen e disponueshmërisë së ujit. Nënsektorët e transmetimit dhe shpërndarjes, drurëve të zjarrit dhe hidroenergjisë janë më të ekspozuar ndaj riskut. Nënsektori i energjisë së erës dhe diellit është më pak në risk, megjithatë, deri më tani, këta nënsektorë përfaqësojnë vetëm një pjesë shumë të vogël të prodhimit të energjisë (1% në vitin 2023). </w:t>
      </w:r>
    </w:p>
    <w:p w14:paraId="5361D3B7" w14:textId="77777777" w:rsidR="00622884" w:rsidRPr="00622884" w:rsidRDefault="00622884" w:rsidP="00622884">
      <w:pPr>
        <w:keepNext/>
        <w:spacing w:after="0" w:line="240" w:lineRule="auto"/>
        <w:ind w:firstLine="284"/>
        <w:mirrorIndents/>
        <w:rPr>
          <w:rFonts w:ascii="Garamond" w:eastAsia="Calibri Light" w:hAnsi="Garamond" w:cs="Calibri Light"/>
          <w:b/>
          <w:bCs/>
          <w:iCs/>
          <w:sz w:val="24"/>
          <w:szCs w:val="24"/>
          <w:lang w:eastAsia="en-US"/>
        </w:rPr>
      </w:pPr>
      <w:r w:rsidRPr="00622884">
        <w:rPr>
          <w:rFonts w:ascii="Garamond" w:eastAsia="Calibri Light" w:hAnsi="Garamond" w:cs="Calibri Light"/>
          <w:b/>
          <w:bCs/>
          <w:iCs/>
          <w:sz w:val="24"/>
          <w:szCs w:val="24"/>
          <w:lang w:eastAsia="en-US" w:bidi="sq-AL"/>
        </w:rPr>
        <w:t>Transporti</w:t>
      </w:r>
    </w:p>
    <w:p w14:paraId="6B03F08A" w14:textId="77777777" w:rsidR="00622884" w:rsidRPr="00622884" w:rsidRDefault="00622884" w:rsidP="00622884">
      <w:pPr>
        <w:spacing w:after="0" w:line="240" w:lineRule="auto"/>
        <w:ind w:firstLine="284"/>
        <w:rPr>
          <w:rFonts w:ascii="Garamond" w:eastAsia="SimSun" w:hAnsi="Garamond" w:cs="Calibri Light"/>
          <w:sz w:val="24"/>
          <w:szCs w:val="24"/>
          <w:lang w:eastAsia="en-US"/>
        </w:rPr>
      </w:pPr>
      <w:r w:rsidRPr="00622884">
        <w:rPr>
          <w:rFonts w:ascii="Garamond" w:eastAsia="SimSun" w:hAnsi="Garamond" w:cs="Calibri Light"/>
          <w:sz w:val="24"/>
          <w:szCs w:val="24"/>
          <w:lang w:eastAsia="en-US" w:bidi="sq-AL"/>
        </w:rPr>
        <w:t>Transporti rrugor dhe hekurudhor janë të prirur ndaj fatkeqësive të lidhura me klimën (p.sh. reshje të rrëmbyeshme, stuhi dhe erëra ekstreme, rritje e nivelit të detit, përmbytje, rrëshqitje dherash, valë të nxehti dhe degradim i lidhur me nxehtësinë), të cilat ndikojnë në shumë mënyra mbi infrastrukturën, qëndrueshmërinë dhe sigurinë e tyre</w:t>
      </w:r>
      <w:r w:rsidRPr="00622884">
        <w:rPr>
          <w:rFonts w:ascii="Garamond" w:eastAsia="SimSun" w:hAnsi="Garamond" w:cs="Calibri Light"/>
          <w:sz w:val="24"/>
          <w:szCs w:val="24"/>
          <w:vertAlign w:val="superscript"/>
          <w:lang w:eastAsia="en-US" w:bidi="sq-AL"/>
        </w:rPr>
        <w:footnoteReference w:id="192"/>
      </w:r>
      <w:r w:rsidRPr="00622884">
        <w:rPr>
          <w:rFonts w:ascii="Garamond" w:eastAsia="SimSun" w:hAnsi="Garamond" w:cs="Calibri Light"/>
          <w:sz w:val="24"/>
          <w:szCs w:val="24"/>
          <w:lang w:eastAsia="en-US" w:bidi="sq-AL"/>
        </w:rPr>
        <w:t>. Risqet aktuale dhe Risqet e ardhshme në sektorin e transportit, siç janë vlerësuar në VRK për nënsektorët e ndryshëm të trajtuar (rrugor, hekurudhor, detar dhe ajror), janë përcaktuar, si më poshtë:</w:t>
      </w:r>
    </w:p>
    <w:p w14:paraId="112FCEE7" w14:textId="77777777" w:rsidR="00622884" w:rsidRPr="00622884" w:rsidRDefault="00622884" w:rsidP="00622884">
      <w:pPr>
        <w:spacing w:after="0" w:line="240" w:lineRule="auto"/>
        <w:ind w:firstLine="284"/>
        <w:jc w:val="right"/>
        <w:rPr>
          <w:rFonts w:ascii="Garamond" w:eastAsia="Aptos" w:hAnsi="Garamond" w:cs="Arial"/>
          <w:i/>
          <w:iCs/>
          <w:sz w:val="8"/>
          <w:szCs w:val="24"/>
          <w:lang w:eastAsia="en-US" w:bidi="sq-AL"/>
        </w:rPr>
      </w:pPr>
      <w:bookmarkStart w:id="253" w:name="_Toc213936107"/>
    </w:p>
    <w:bookmarkEnd w:id="253"/>
    <w:p w14:paraId="722135A1" w14:textId="77777777" w:rsidR="00622884" w:rsidRPr="00622884" w:rsidRDefault="00622884" w:rsidP="00622884">
      <w:pPr>
        <w:spacing w:after="0" w:line="240" w:lineRule="auto"/>
        <w:ind w:firstLine="284"/>
        <w:rPr>
          <w:rFonts w:ascii="Garamond" w:eastAsia="Aptos" w:hAnsi="Garamond" w:cs="Arial"/>
          <w:b/>
          <w:iCs/>
          <w:sz w:val="24"/>
          <w:szCs w:val="24"/>
          <w:lang w:eastAsia="en-US"/>
        </w:rPr>
      </w:pPr>
      <w:r w:rsidRPr="00622884">
        <w:rPr>
          <w:rFonts w:ascii="Garamond" w:eastAsia="Aptos" w:hAnsi="Garamond" w:cs="Arial"/>
          <w:b/>
          <w:iCs/>
          <w:sz w:val="24"/>
          <w:szCs w:val="24"/>
          <w:lang w:eastAsia="en-US"/>
        </w:rPr>
        <w:t>Tabela 6: Risqet klimatike aktuale dhe të ardhshme në sektorin e transportit.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831"/>
        <w:gridCol w:w="1071"/>
        <w:gridCol w:w="3485"/>
      </w:tblGrid>
      <w:tr w:rsidR="00622884" w:rsidRPr="00622884" w14:paraId="1E7C6F2D" w14:textId="77777777" w:rsidTr="00622884">
        <w:trPr>
          <w:trHeight w:val="245"/>
          <w:jc w:val="center"/>
        </w:trPr>
        <w:tc>
          <w:tcPr>
            <w:tcW w:w="0" w:type="auto"/>
            <w:vMerge w:val="restart"/>
            <w:shd w:val="clear" w:color="auto" w:fill="215A5C"/>
            <w:tcMar>
              <w:top w:w="15" w:type="dxa"/>
              <w:left w:w="108" w:type="dxa"/>
              <w:bottom w:w="0" w:type="dxa"/>
              <w:right w:w="108" w:type="dxa"/>
            </w:tcMar>
            <w:vAlign w:val="center"/>
            <w:hideMark/>
          </w:tcPr>
          <w:p w14:paraId="7F1346CA" w14:textId="77777777" w:rsidR="00622884" w:rsidRPr="00622884" w:rsidRDefault="00622884" w:rsidP="00622884">
            <w:pPr>
              <w:spacing w:after="0" w:line="240" w:lineRule="auto"/>
              <w:jc w:val="center"/>
              <w:rPr>
                <w:rFonts w:ascii="Garamond" w:eastAsia="Calibri" w:hAnsi="Garamond" w:cs="Calibri Light"/>
                <w:b/>
                <w:bCs/>
                <w:sz w:val="16"/>
                <w:szCs w:val="16"/>
                <w:lang w:eastAsia="en-US"/>
              </w:rPr>
            </w:pPr>
            <w:r w:rsidRPr="00622884">
              <w:rPr>
                <w:rFonts w:ascii="Garamond" w:eastAsia="Calibri" w:hAnsi="Garamond" w:cs="Times New Roman"/>
                <w:b/>
                <w:sz w:val="16"/>
                <w:szCs w:val="16"/>
                <w:lang w:eastAsia="en-US" w:bidi="sq-AL"/>
              </w:rPr>
              <w:t>NËNSEKTORËT E TRANSPORTIT</w:t>
            </w:r>
          </w:p>
        </w:tc>
        <w:tc>
          <w:tcPr>
            <w:tcW w:w="0" w:type="auto"/>
            <w:gridSpan w:val="2"/>
            <w:shd w:val="clear" w:color="auto" w:fill="215A5C"/>
            <w:tcMar>
              <w:top w:w="15" w:type="dxa"/>
              <w:left w:w="108" w:type="dxa"/>
              <w:bottom w:w="0" w:type="dxa"/>
              <w:right w:w="108" w:type="dxa"/>
            </w:tcMar>
            <w:vAlign w:val="center"/>
            <w:hideMark/>
          </w:tcPr>
          <w:p w14:paraId="218FA367" w14:textId="77777777" w:rsidR="00622884" w:rsidRPr="00622884" w:rsidRDefault="00622884" w:rsidP="00622884">
            <w:pPr>
              <w:spacing w:after="0" w:line="240" w:lineRule="auto"/>
              <w:jc w:val="center"/>
              <w:rPr>
                <w:rFonts w:ascii="Garamond" w:eastAsia="Calibri" w:hAnsi="Garamond" w:cs="Calibri Light"/>
                <w:b/>
                <w:bCs/>
                <w:sz w:val="16"/>
                <w:szCs w:val="16"/>
                <w:lang w:eastAsia="en-US"/>
              </w:rPr>
            </w:pPr>
            <w:r w:rsidRPr="00622884">
              <w:rPr>
                <w:rFonts w:ascii="Garamond" w:eastAsia="Calibri" w:hAnsi="Garamond" w:cs="Times New Roman"/>
                <w:b/>
                <w:sz w:val="16"/>
                <w:szCs w:val="16"/>
                <w:lang w:eastAsia="en-US" w:bidi="sq-AL"/>
              </w:rPr>
              <w:t>PËRGJITHËSISHT</w:t>
            </w:r>
          </w:p>
        </w:tc>
      </w:tr>
      <w:tr w:rsidR="00622884" w:rsidRPr="00622884" w14:paraId="0D93C274" w14:textId="77777777" w:rsidTr="00622884">
        <w:trPr>
          <w:trHeight w:val="187"/>
          <w:jc w:val="center"/>
        </w:trPr>
        <w:tc>
          <w:tcPr>
            <w:tcW w:w="0" w:type="auto"/>
            <w:vMerge/>
            <w:shd w:val="clear" w:color="auto" w:fill="215A5C"/>
            <w:vAlign w:val="center"/>
            <w:hideMark/>
          </w:tcPr>
          <w:p w14:paraId="26C1D323" w14:textId="77777777" w:rsidR="00622884" w:rsidRPr="00622884" w:rsidRDefault="00622884" w:rsidP="00622884">
            <w:pPr>
              <w:spacing w:after="0" w:line="240" w:lineRule="auto"/>
              <w:jc w:val="center"/>
              <w:rPr>
                <w:rFonts w:ascii="Garamond" w:eastAsia="Calibri" w:hAnsi="Garamond" w:cs="Calibri Light"/>
                <w:sz w:val="16"/>
                <w:szCs w:val="16"/>
                <w:lang w:eastAsia="en-US"/>
              </w:rPr>
            </w:pPr>
          </w:p>
        </w:tc>
        <w:tc>
          <w:tcPr>
            <w:tcW w:w="0" w:type="auto"/>
            <w:shd w:val="clear" w:color="auto" w:fill="215A5C"/>
            <w:tcMar>
              <w:top w:w="15" w:type="dxa"/>
              <w:left w:w="108" w:type="dxa"/>
              <w:bottom w:w="0" w:type="dxa"/>
              <w:right w:w="108" w:type="dxa"/>
            </w:tcMar>
            <w:vAlign w:val="center"/>
            <w:hideMark/>
          </w:tcPr>
          <w:p w14:paraId="74CDAB9F" w14:textId="77777777" w:rsidR="00622884" w:rsidRPr="00622884" w:rsidRDefault="00622884" w:rsidP="00622884">
            <w:pPr>
              <w:spacing w:after="0" w:line="240" w:lineRule="auto"/>
              <w:jc w:val="center"/>
              <w:rPr>
                <w:rFonts w:ascii="Garamond" w:eastAsia="Calibri" w:hAnsi="Garamond" w:cs="Calibri Light"/>
                <w:sz w:val="16"/>
                <w:szCs w:val="16"/>
                <w:lang w:eastAsia="en-US"/>
              </w:rPr>
            </w:pPr>
            <w:r w:rsidRPr="00622884">
              <w:rPr>
                <w:rFonts w:ascii="Garamond" w:eastAsia="Calibri" w:hAnsi="Garamond" w:cs="Times New Roman"/>
                <w:b/>
                <w:sz w:val="16"/>
                <w:szCs w:val="16"/>
                <w:lang w:eastAsia="en-US" w:bidi="sq-AL"/>
              </w:rPr>
              <w:t>Risku aktual</w:t>
            </w:r>
          </w:p>
        </w:tc>
        <w:tc>
          <w:tcPr>
            <w:tcW w:w="0" w:type="auto"/>
            <w:shd w:val="clear" w:color="auto" w:fill="215A5C"/>
            <w:tcMar>
              <w:top w:w="15" w:type="dxa"/>
              <w:left w:w="108" w:type="dxa"/>
              <w:bottom w:w="0" w:type="dxa"/>
              <w:right w:w="108" w:type="dxa"/>
            </w:tcMar>
            <w:vAlign w:val="center"/>
            <w:hideMark/>
          </w:tcPr>
          <w:p w14:paraId="113DDEA9" w14:textId="77777777" w:rsidR="00622884" w:rsidRPr="00622884" w:rsidRDefault="00622884" w:rsidP="00622884">
            <w:pPr>
              <w:spacing w:after="0" w:line="240" w:lineRule="auto"/>
              <w:jc w:val="center"/>
              <w:rPr>
                <w:rFonts w:ascii="Garamond" w:eastAsia="Calibri" w:hAnsi="Garamond" w:cs="Calibri Light"/>
                <w:sz w:val="16"/>
                <w:szCs w:val="16"/>
                <w:lang w:eastAsia="en-US"/>
              </w:rPr>
            </w:pPr>
            <w:r w:rsidRPr="00622884">
              <w:rPr>
                <w:rFonts w:ascii="Garamond" w:eastAsia="Calibri" w:hAnsi="Garamond" w:cs="Times New Roman"/>
                <w:b/>
                <w:sz w:val="16"/>
                <w:szCs w:val="16"/>
                <w:lang w:eastAsia="en-US" w:bidi="sq-AL"/>
              </w:rPr>
              <w:t>Risku i ardhshëm (skenari më i mirë – më i keq)</w:t>
            </w:r>
          </w:p>
        </w:tc>
      </w:tr>
      <w:tr w:rsidR="00622884" w:rsidRPr="00622884" w14:paraId="08C753E7" w14:textId="77777777" w:rsidTr="00622884">
        <w:trPr>
          <w:trHeight w:val="187"/>
          <w:jc w:val="center"/>
        </w:trPr>
        <w:tc>
          <w:tcPr>
            <w:tcW w:w="0" w:type="auto"/>
            <w:tcMar>
              <w:top w:w="15" w:type="dxa"/>
              <w:left w:w="108" w:type="dxa"/>
              <w:bottom w:w="0" w:type="dxa"/>
              <w:right w:w="108" w:type="dxa"/>
            </w:tcMar>
            <w:vAlign w:val="center"/>
            <w:hideMark/>
          </w:tcPr>
          <w:p w14:paraId="7897936F" w14:textId="77777777" w:rsidR="00622884" w:rsidRPr="00622884" w:rsidRDefault="00622884" w:rsidP="00622884">
            <w:pPr>
              <w:spacing w:after="0" w:line="240" w:lineRule="auto"/>
              <w:rPr>
                <w:rFonts w:ascii="Garamond" w:eastAsia="Calibri" w:hAnsi="Garamond" w:cs="Calibri Light"/>
                <w:sz w:val="16"/>
                <w:szCs w:val="16"/>
                <w:lang w:eastAsia="en-US"/>
              </w:rPr>
            </w:pPr>
            <w:r w:rsidRPr="00622884">
              <w:rPr>
                <w:rFonts w:ascii="Garamond" w:eastAsia="Calibri" w:hAnsi="Garamond" w:cs="Times New Roman"/>
                <w:b/>
                <w:sz w:val="16"/>
                <w:szCs w:val="16"/>
                <w:lang w:eastAsia="en-US" w:bidi="sq-AL"/>
              </w:rPr>
              <w:t>Transporti rrugor</w:t>
            </w:r>
          </w:p>
        </w:tc>
        <w:tc>
          <w:tcPr>
            <w:tcW w:w="0" w:type="auto"/>
            <w:tcMar>
              <w:top w:w="15" w:type="dxa"/>
              <w:left w:w="108" w:type="dxa"/>
              <w:bottom w:w="0" w:type="dxa"/>
              <w:right w:w="108" w:type="dxa"/>
            </w:tcMar>
            <w:vAlign w:val="center"/>
            <w:hideMark/>
          </w:tcPr>
          <w:p w14:paraId="6A000B79" w14:textId="77777777" w:rsidR="00622884" w:rsidRPr="00622884" w:rsidRDefault="00622884" w:rsidP="00622884">
            <w:pPr>
              <w:spacing w:after="0" w:line="240" w:lineRule="auto"/>
              <w:rPr>
                <w:rFonts w:ascii="Garamond" w:eastAsia="Calibri" w:hAnsi="Garamond" w:cs="Calibri Light"/>
                <w:sz w:val="16"/>
                <w:szCs w:val="16"/>
                <w:lang w:eastAsia="en-US"/>
              </w:rPr>
            </w:pPr>
            <w:r w:rsidRPr="00622884">
              <w:rPr>
                <w:rFonts w:ascii="Garamond" w:eastAsia="Calibri" w:hAnsi="Garamond" w:cs="Times New Roman"/>
                <w:sz w:val="16"/>
                <w:szCs w:val="16"/>
                <w:highlight w:val="lightGray"/>
                <w:lang w:eastAsia="en-US" w:bidi="sq-AL"/>
              </w:rPr>
              <w:t>I ulët</w:t>
            </w:r>
          </w:p>
        </w:tc>
        <w:tc>
          <w:tcPr>
            <w:tcW w:w="0" w:type="auto"/>
            <w:tcMar>
              <w:top w:w="15" w:type="dxa"/>
              <w:left w:w="108" w:type="dxa"/>
              <w:bottom w:w="0" w:type="dxa"/>
              <w:right w:w="108" w:type="dxa"/>
            </w:tcMar>
            <w:hideMark/>
          </w:tcPr>
          <w:p w14:paraId="1EC50E6E" w14:textId="77777777" w:rsidR="00622884" w:rsidRPr="00622884" w:rsidRDefault="00622884" w:rsidP="00622884">
            <w:pPr>
              <w:spacing w:after="0" w:line="240" w:lineRule="auto"/>
              <w:rPr>
                <w:rFonts w:ascii="Garamond" w:eastAsia="Calibri" w:hAnsi="Garamond" w:cs="Calibri Light"/>
                <w:sz w:val="16"/>
                <w:szCs w:val="16"/>
                <w:lang w:eastAsia="en-US"/>
              </w:rPr>
            </w:pPr>
            <w:r w:rsidRPr="00622884">
              <w:rPr>
                <w:rFonts w:ascii="Garamond" w:eastAsia="Calibri" w:hAnsi="Garamond" w:cs="Times New Roman"/>
                <w:sz w:val="16"/>
                <w:szCs w:val="16"/>
                <w:highlight w:val="yellow"/>
                <w:lang w:eastAsia="en-US" w:bidi="sq-AL"/>
              </w:rPr>
              <w:t>Mesatar</w:t>
            </w:r>
            <w:r w:rsidRPr="00622884">
              <w:rPr>
                <w:rFonts w:ascii="Garamond" w:eastAsia="Calibri" w:hAnsi="Garamond" w:cs="Times New Roman"/>
                <w:sz w:val="16"/>
                <w:szCs w:val="16"/>
                <w:lang w:eastAsia="en-US" w:bidi="sq-AL"/>
              </w:rPr>
              <w:t xml:space="preserve"> – </w:t>
            </w:r>
            <w:r w:rsidRPr="00622884">
              <w:rPr>
                <w:rFonts w:ascii="Garamond" w:eastAsia="Calibri" w:hAnsi="Garamond" w:cs="Times New Roman"/>
                <w:kern w:val="24"/>
                <w:sz w:val="16"/>
                <w:szCs w:val="16"/>
                <w:highlight w:val="darkRed"/>
                <w:lang w:eastAsia="en-US" w:bidi="sq-AL"/>
              </w:rPr>
              <w:t>Shumë i lartë</w:t>
            </w:r>
          </w:p>
        </w:tc>
      </w:tr>
      <w:tr w:rsidR="00622884" w:rsidRPr="00622884" w14:paraId="5D366D6D" w14:textId="77777777" w:rsidTr="00622884">
        <w:trPr>
          <w:trHeight w:val="196"/>
          <w:jc w:val="center"/>
        </w:trPr>
        <w:tc>
          <w:tcPr>
            <w:tcW w:w="0" w:type="auto"/>
            <w:tcMar>
              <w:top w:w="15" w:type="dxa"/>
              <w:left w:w="108" w:type="dxa"/>
              <w:bottom w:w="0" w:type="dxa"/>
              <w:right w:w="108" w:type="dxa"/>
            </w:tcMar>
            <w:vAlign w:val="center"/>
            <w:hideMark/>
          </w:tcPr>
          <w:p w14:paraId="61EA7266" w14:textId="77777777" w:rsidR="00622884" w:rsidRPr="00622884" w:rsidRDefault="00622884" w:rsidP="00622884">
            <w:pPr>
              <w:spacing w:after="0" w:line="240" w:lineRule="auto"/>
              <w:rPr>
                <w:rFonts w:ascii="Garamond" w:eastAsia="Calibri" w:hAnsi="Garamond" w:cs="Calibri Light"/>
                <w:sz w:val="16"/>
                <w:szCs w:val="16"/>
                <w:lang w:eastAsia="en-US"/>
              </w:rPr>
            </w:pPr>
            <w:r w:rsidRPr="00622884">
              <w:rPr>
                <w:rFonts w:ascii="Garamond" w:eastAsia="Calibri" w:hAnsi="Garamond" w:cs="Times New Roman"/>
                <w:b/>
                <w:sz w:val="16"/>
                <w:szCs w:val="16"/>
                <w:lang w:eastAsia="en-US" w:bidi="sq-AL"/>
              </w:rPr>
              <w:t>Transporti hekurudhor</w:t>
            </w:r>
          </w:p>
        </w:tc>
        <w:tc>
          <w:tcPr>
            <w:tcW w:w="0" w:type="auto"/>
            <w:tcMar>
              <w:top w:w="15" w:type="dxa"/>
              <w:left w:w="108" w:type="dxa"/>
              <w:bottom w:w="0" w:type="dxa"/>
              <w:right w:w="108" w:type="dxa"/>
            </w:tcMar>
            <w:vAlign w:val="center"/>
            <w:hideMark/>
          </w:tcPr>
          <w:p w14:paraId="7A3396B5" w14:textId="77777777" w:rsidR="00622884" w:rsidRPr="00622884" w:rsidRDefault="00622884" w:rsidP="00622884">
            <w:pPr>
              <w:spacing w:after="0" w:line="240" w:lineRule="auto"/>
              <w:rPr>
                <w:rFonts w:ascii="Garamond" w:eastAsia="Calibri" w:hAnsi="Garamond" w:cs="Calibri Light"/>
                <w:sz w:val="16"/>
                <w:szCs w:val="16"/>
                <w:lang w:eastAsia="en-US"/>
              </w:rPr>
            </w:pPr>
            <w:r w:rsidRPr="00622884">
              <w:rPr>
                <w:rFonts w:ascii="Garamond" w:eastAsia="Calibri" w:hAnsi="Garamond" w:cs="Times New Roman"/>
                <w:sz w:val="16"/>
                <w:szCs w:val="16"/>
                <w:highlight w:val="lightGray"/>
                <w:lang w:eastAsia="en-US" w:bidi="sq-AL"/>
              </w:rPr>
              <w:t>I ulët</w:t>
            </w:r>
          </w:p>
        </w:tc>
        <w:tc>
          <w:tcPr>
            <w:tcW w:w="0" w:type="auto"/>
            <w:tcMar>
              <w:top w:w="15" w:type="dxa"/>
              <w:left w:w="108" w:type="dxa"/>
              <w:bottom w:w="0" w:type="dxa"/>
              <w:right w:w="108" w:type="dxa"/>
            </w:tcMar>
            <w:hideMark/>
          </w:tcPr>
          <w:p w14:paraId="28298DEC" w14:textId="77777777" w:rsidR="00622884" w:rsidRPr="00622884" w:rsidRDefault="00622884" w:rsidP="00622884">
            <w:pPr>
              <w:spacing w:after="0" w:line="240" w:lineRule="auto"/>
              <w:rPr>
                <w:rFonts w:ascii="Garamond" w:eastAsia="Calibri" w:hAnsi="Garamond" w:cs="Calibri Light"/>
                <w:sz w:val="16"/>
                <w:szCs w:val="16"/>
                <w:lang w:eastAsia="en-US"/>
              </w:rPr>
            </w:pPr>
            <w:r w:rsidRPr="00622884">
              <w:rPr>
                <w:rFonts w:ascii="Garamond" w:eastAsia="Calibri" w:hAnsi="Garamond" w:cs="Times New Roman"/>
                <w:sz w:val="16"/>
                <w:szCs w:val="16"/>
                <w:highlight w:val="lightGray"/>
                <w:lang w:eastAsia="en-US" w:bidi="sq-AL"/>
              </w:rPr>
              <w:t>I ulët</w:t>
            </w:r>
            <w:r w:rsidRPr="00622884">
              <w:rPr>
                <w:rFonts w:ascii="Garamond" w:eastAsia="Calibri" w:hAnsi="Garamond" w:cs="Times New Roman"/>
                <w:sz w:val="16"/>
                <w:szCs w:val="16"/>
                <w:lang w:eastAsia="en-US" w:bidi="sq-AL"/>
              </w:rPr>
              <w:t xml:space="preserve"> – </w:t>
            </w:r>
            <w:r w:rsidRPr="00622884">
              <w:rPr>
                <w:rFonts w:ascii="Garamond" w:eastAsia="Calibri" w:hAnsi="Garamond" w:cs="Times New Roman"/>
                <w:kern w:val="24"/>
                <w:sz w:val="16"/>
                <w:szCs w:val="16"/>
                <w:highlight w:val="darkRed"/>
                <w:lang w:eastAsia="en-US" w:bidi="sq-AL"/>
              </w:rPr>
              <w:t>Shumë i lartë</w:t>
            </w:r>
          </w:p>
        </w:tc>
      </w:tr>
      <w:tr w:rsidR="00622884" w:rsidRPr="00622884" w14:paraId="2E8E065D" w14:textId="77777777" w:rsidTr="00622884">
        <w:trPr>
          <w:trHeight w:val="187"/>
          <w:jc w:val="center"/>
        </w:trPr>
        <w:tc>
          <w:tcPr>
            <w:tcW w:w="0" w:type="auto"/>
            <w:tcMar>
              <w:top w:w="15" w:type="dxa"/>
              <w:left w:w="108" w:type="dxa"/>
              <w:bottom w:w="0" w:type="dxa"/>
              <w:right w:w="108" w:type="dxa"/>
            </w:tcMar>
            <w:vAlign w:val="center"/>
            <w:hideMark/>
          </w:tcPr>
          <w:p w14:paraId="0C10CE82" w14:textId="77777777" w:rsidR="00622884" w:rsidRPr="00622884" w:rsidRDefault="00622884" w:rsidP="00622884">
            <w:pPr>
              <w:spacing w:after="0" w:line="240" w:lineRule="auto"/>
              <w:rPr>
                <w:rFonts w:ascii="Garamond" w:eastAsia="Calibri" w:hAnsi="Garamond" w:cs="Calibri Light"/>
                <w:sz w:val="16"/>
                <w:szCs w:val="16"/>
                <w:lang w:eastAsia="en-US"/>
              </w:rPr>
            </w:pPr>
            <w:r w:rsidRPr="00622884">
              <w:rPr>
                <w:rFonts w:ascii="Garamond" w:eastAsia="Calibri" w:hAnsi="Garamond" w:cs="Times New Roman"/>
                <w:b/>
                <w:sz w:val="16"/>
                <w:szCs w:val="16"/>
                <w:lang w:eastAsia="en-US" w:bidi="sq-AL"/>
              </w:rPr>
              <w:t>Transporti detar</w:t>
            </w:r>
          </w:p>
        </w:tc>
        <w:tc>
          <w:tcPr>
            <w:tcW w:w="0" w:type="auto"/>
            <w:tcMar>
              <w:top w:w="15" w:type="dxa"/>
              <w:left w:w="108" w:type="dxa"/>
              <w:bottom w:w="0" w:type="dxa"/>
              <w:right w:w="108" w:type="dxa"/>
            </w:tcMar>
            <w:vAlign w:val="center"/>
            <w:hideMark/>
          </w:tcPr>
          <w:p w14:paraId="7BCF17E1" w14:textId="77777777" w:rsidR="00622884" w:rsidRPr="00622884" w:rsidRDefault="00622884" w:rsidP="00622884">
            <w:pPr>
              <w:spacing w:after="0" w:line="240" w:lineRule="auto"/>
              <w:rPr>
                <w:rFonts w:ascii="Garamond" w:eastAsia="Calibri" w:hAnsi="Garamond" w:cs="Calibri Light"/>
                <w:sz w:val="16"/>
                <w:szCs w:val="16"/>
                <w:lang w:eastAsia="en-US"/>
              </w:rPr>
            </w:pPr>
            <w:r w:rsidRPr="00622884">
              <w:rPr>
                <w:rFonts w:ascii="Garamond" w:eastAsia="Calibri" w:hAnsi="Garamond" w:cs="Times New Roman"/>
                <w:sz w:val="16"/>
                <w:szCs w:val="16"/>
                <w:highlight w:val="green"/>
                <w:lang w:eastAsia="en-US" w:bidi="sq-AL"/>
              </w:rPr>
              <w:t>Shumë i ulët</w:t>
            </w:r>
          </w:p>
        </w:tc>
        <w:tc>
          <w:tcPr>
            <w:tcW w:w="0" w:type="auto"/>
            <w:tcMar>
              <w:top w:w="15" w:type="dxa"/>
              <w:left w:w="108" w:type="dxa"/>
              <w:bottom w:w="0" w:type="dxa"/>
              <w:right w:w="108" w:type="dxa"/>
            </w:tcMar>
            <w:hideMark/>
          </w:tcPr>
          <w:p w14:paraId="52D41DF4" w14:textId="77777777" w:rsidR="00622884" w:rsidRPr="00622884" w:rsidRDefault="00622884" w:rsidP="00622884">
            <w:pPr>
              <w:spacing w:after="0" w:line="240" w:lineRule="auto"/>
              <w:rPr>
                <w:rFonts w:ascii="Garamond" w:eastAsia="Calibri" w:hAnsi="Garamond" w:cs="Calibri Light"/>
                <w:sz w:val="16"/>
                <w:szCs w:val="16"/>
                <w:lang w:eastAsia="en-US"/>
              </w:rPr>
            </w:pPr>
            <w:r w:rsidRPr="00622884">
              <w:rPr>
                <w:rFonts w:ascii="Garamond" w:eastAsia="Calibri" w:hAnsi="Garamond" w:cs="Times New Roman"/>
                <w:sz w:val="16"/>
                <w:szCs w:val="16"/>
                <w:highlight w:val="yellow"/>
                <w:lang w:eastAsia="en-US" w:bidi="sq-AL"/>
              </w:rPr>
              <w:t>Mesatar</w:t>
            </w:r>
            <w:r w:rsidRPr="00622884">
              <w:rPr>
                <w:rFonts w:ascii="Garamond" w:eastAsia="Calibri" w:hAnsi="Garamond" w:cs="Times New Roman"/>
                <w:sz w:val="16"/>
                <w:szCs w:val="16"/>
                <w:lang w:eastAsia="en-US" w:bidi="sq-AL"/>
              </w:rPr>
              <w:t xml:space="preserve"> – </w:t>
            </w:r>
            <w:r w:rsidRPr="00622884">
              <w:rPr>
                <w:rFonts w:ascii="Garamond" w:eastAsia="Calibri" w:hAnsi="Garamond" w:cs="Times New Roman"/>
                <w:kern w:val="24"/>
                <w:sz w:val="16"/>
                <w:szCs w:val="16"/>
                <w:highlight w:val="darkRed"/>
                <w:lang w:eastAsia="en-US" w:bidi="sq-AL"/>
              </w:rPr>
              <w:t>Shumë i lartë</w:t>
            </w:r>
          </w:p>
        </w:tc>
      </w:tr>
      <w:tr w:rsidR="00622884" w:rsidRPr="00622884" w14:paraId="7A629419" w14:textId="77777777" w:rsidTr="00622884">
        <w:trPr>
          <w:trHeight w:val="193"/>
          <w:jc w:val="center"/>
        </w:trPr>
        <w:tc>
          <w:tcPr>
            <w:tcW w:w="0" w:type="auto"/>
            <w:tcMar>
              <w:top w:w="15" w:type="dxa"/>
              <w:left w:w="108" w:type="dxa"/>
              <w:bottom w:w="0" w:type="dxa"/>
              <w:right w:w="108" w:type="dxa"/>
            </w:tcMar>
            <w:vAlign w:val="center"/>
            <w:hideMark/>
          </w:tcPr>
          <w:p w14:paraId="1996E6C5" w14:textId="77777777" w:rsidR="00622884" w:rsidRPr="00622884" w:rsidRDefault="00622884" w:rsidP="00622884">
            <w:pPr>
              <w:spacing w:after="0" w:line="240" w:lineRule="auto"/>
              <w:rPr>
                <w:rFonts w:ascii="Garamond" w:eastAsia="Calibri" w:hAnsi="Garamond" w:cs="Calibri Light"/>
                <w:sz w:val="16"/>
                <w:szCs w:val="16"/>
                <w:lang w:eastAsia="en-US"/>
              </w:rPr>
            </w:pPr>
            <w:r w:rsidRPr="00622884">
              <w:rPr>
                <w:rFonts w:ascii="Garamond" w:eastAsia="Calibri" w:hAnsi="Garamond" w:cs="Times New Roman"/>
                <w:b/>
                <w:sz w:val="16"/>
                <w:szCs w:val="16"/>
                <w:lang w:eastAsia="en-US" w:bidi="sq-AL"/>
              </w:rPr>
              <w:t>Transport ajror</w:t>
            </w:r>
          </w:p>
        </w:tc>
        <w:tc>
          <w:tcPr>
            <w:tcW w:w="0" w:type="auto"/>
            <w:tcMar>
              <w:top w:w="15" w:type="dxa"/>
              <w:left w:w="108" w:type="dxa"/>
              <w:bottom w:w="0" w:type="dxa"/>
              <w:right w:w="108" w:type="dxa"/>
            </w:tcMar>
            <w:vAlign w:val="center"/>
            <w:hideMark/>
          </w:tcPr>
          <w:p w14:paraId="4D1FC3E5" w14:textId="77777777" w:rsidR="00622884" w:rsidRPr="00622884" w:rsidRDefault="00622884" w:rsidP="00622884">
            <w:pPr>
              <w:spacing w:after="0" w:line="240" w:lineRule="auto"/>
              <w:rPr>
                <w:rFonts w:ascii="Garamond" w:eastAsia="Calibri" w:hAnsi="Garamond" w:cs="Calibri Light"/>
                <w:sz w:val="16"/>
                <w:szCs w:val="16"/>
                <w:lang w:eastAsia="en-US"/>
              </w:rPr>
            </w:pPr>
            <w:r w:rsidRPr="00622884">
              <w:rPr>
                <w:rFonts w:ascii="Garamond" w:eastAsia="Calibri" w:hAnsi="Garamond" w:cs="Times New Roman"/>
                <w:sz w:val="16"/>
                <w:szCs w:val="16"/>
                <w:highlight w:val="green"/>
                <w:lang w:eastAsia="en-US" w:bidi="sq-AL"/>
              </w:rPr>
              <w:t>Shumë i ulët</w:t>
            </w:r>
          </w:p>
        </w:tc>
        <w:tc>
          <w:tcPr>
            <w:tcW w:w="0" w:type="auto"/>
            <w:tcMar>
              <w:top w:w="15" w:type="dxa"/>
              <w:left w:w="108" w:type="dxa"/>
              <w:bottom w:w="0" w:type="dxa"/>
              <w:right w:w="108" w:type="dxa"/>
            </w:tcMar>
            <w:vAlign w:val="center"/>
            <w:hideMark/>
          </w:tcPr>
          <w:p w14:paraId="56AB0819" w14:textId="77777777" w:rsidR="00622884" w:rsidRPr="00622884" w:rsidRDefault="00622884" w:rsidP="00622884">
            <w:pPr>
              <w:spacing w:after="0" w:line="240" w:lineRule="auto"/>
              <w:rPr>
                <w:rFonts w:ascii="Garamond" w:eastAsia="Calibri" w:hAnsi="Garamond" w:cs="Calibri Light"/>
                <w:sz w:val="16"/>
                <w:szCs w:val="16"/>
                <w:lang w:eastAsia="en-US"/>
              </w:rPr>
            </w:pPr>
            <w:r w:rsidRPr="00622884">
              <w:rPr>
                <w:rFonts w:ascii="Garamond" w:eastAsia="Calibri" w:hAnsi="Garamond" w:cs="Times New Roman"/>
                <w:sz w:val="16"/>
                <w:szCs w:val="16"/>
                <w:highlight w:val="lightGray"/>
                <w:lang w:eastAsia="en-US" w:bidi="sq-AL"/>
              </w:rPr>
              <w:t>I ulët</w:t>
            </w:r>
            <w:r w:rsidRPr="00622884">
              <w:rPr>
                <w:rFonts w:ascii="Garamond" w:eastAsia="Calibri" w:hAnsi="Garamond" w:cs="Times New Roman"/>
                <w:sz w:val="16"/>
                <w:szCs w:val="16"/>
                <w:lang w:eastAsia="en-US" w:bidi="sq-AL"/>
              </w:rPr>
              <w:t xml:space="preserve"> – </w:t>
            </w:r>
            <w:r w:rsidRPr="00622884">
              <w:rPr>
                <w:rFonts w:ascii="Garamond" w:eastAsia="Calibri" w:hAnsi="Garamond" w:cs="Times New Roman"/>
                <w:sz w:val="16"/>
                <w:szCs w:val="16"/>
                <w:highlight w:val="yellow"/>
                <w:lang w:eastAsia="en-US" w:bidi="sq-AL"/>
              </w:rPr>
              <w:t>Mesatar</w:t>
            </w:r>
          </w:p>
        </w:tc>
      </w:tr>
    </w:tbl>
    <w:p w14:paraId="32D88E4D" w14:textId="77777777" w:rsidR="00622884" w:rsidRPr="00622884" w:rsidRDefault="00622884" w:rsidP="00622884">
      <w:pPr>
        <w:spacing w:after="0" w:line="240" w:lineRule="auto"/>
        <w:ind w:firstLine="284"/>
        <w:rPr>
          <w:rFonts w:ascii="Garamond" w:eastAsia="Calibri" w:hAnsi="Garamond" w:cs="Calibri Light"/>
          <w:sz w:val="8"/>
          <w:szCs w:val="24"/>
          <w:lang w:eastAsia="en-US"/>
        </w:rPr>
      </w:pPr>
    </w:p>
    <w:p w14:paraId="38D7E655" w14:textId="77777777" w:rsidR="00622884" w:rsidRPr="00622884" w:rsidRDefault="00622884" w:rsidP="00622884">
      <w:pPr>
        <w:spacing w:after="0" w:line="240" w:lineRule="auto"/>
        <w:ind w:firstLine="284"/>
        <w:rPr>
          <w:rFonts w:ascii="Garamond" w:eastAsia="SimSun" w:hAnsi="Garamond" w:cs="Calibri Light"/>
          <w:sz w:val="24"/>
          <w:szCs w:val="24"/>
          <w:lang w:eastAsia="en-US"/>
        </w:rPr>
      </w:pPr>
      <w:r w:rsidRPr="00622884">
        <w:rPr>
          <w:rFonts w:ascii="Garamond" w:eastAsia="SimSun" w:hAnsi="Garamond" w:cs="Calibri Light"/>
          <w:sz w:val="24"/>
          <w:szCs w:val="24"/>
          <w:lang w:eastAsia="en-US" w:bidi="sq-AL"/>
        </w:rPr>
        <w:t xml:space="preserve">Vlerësimet e riskut për transportin rriten nga risku aktual drejt riskut të ardhshëm dhe në mënyrë të ndjeshme kur merret parasysh skenari më i keq i riskut, ku disa risqe arrijnë edhe në nivele alarmante. Një faktor i rëndësishëm që çoi në vlerësime shumë të larta të riskut në skenarin më të keq është rritja e parashikuar e reshjeve intensive dhe dëmet që ato mund të shkaktojnë në nënsektorët e transportit (veçanërisht në atë rrugor dhe hekurudhor) nëpërmjet erozionit, përmbytjeve dhe rrëshqitjeve të dherave. Përveç reshjeve intensive, temperatura mesatare vjetore dhe nxehtësia ekstreme pritet të ndikojnë kryesisht te nënsektorët e transportit hekurudhor dhe detar, ndërsa rritja e parashikuar e nivelit të detit ndikon kryesisht te nënsektori i transportit detar. Sipas nënsektorëve, transporti rrugor, hekurudhor dhe detar janë më të ekspozuar ndaj riskut, ndërsa transporti ajror është më pak në risk. Megjithatë, nënsektori i transportit hekurudhor përfaqëson vetëm një pjesë shumë të vogël të transportit të përgjithshëm. </w:t>
      </w:r>
    </w:p>
    <w:p w14:paraId="4DAC13DC" w14:textId="77777777" w:rsidR="00622884" w:rsidRPr="00622884" w:rsidRDefault="00622884" w:rsidP="00622884">
      <w:pPr>
        <w:keepNext/>
        <w:spacing w:after="0" w:line="240" w:lineRule="auto"/>
        <w:ind w:firstLine="284"/>
        <w:mirrorIndents/>
        <w:rPr>
          <w:rFonts w:ascii="Garamond" w:eastAsia="Calibri Light" w:hAnsi="Garamond" w:cs="Calibri Light"/>
          <w:b/>
          <w:bCs/>
          <w:iCs/>
          <w:sz w:val="24"/>
          <w:szCs w:val="24"/>
          <w:lang w:eastAsia="en-US"/>
        </w:rPr>
      </w:pPr>
      <w:r w:rsidRPr="00622884">
        <w:rPr>
          <w:rFonts w:ascii="Garamond" w:eastAsia="Calibri Light" w:hAnsi="Garamond" w:cs="Calibri Light"/>
          <w:b/>
          <w:bCs/>
          <w:iCs/>
          <w:sz w:val="24"/>
          <w:szCs w:val="24"/>
          <w:lang w:eastAsia="en-US" w:bidi="sq-AL"/>
        </w:rPr>
        <w:t>Zhvillimi urban</w:t>
      </w:r>
    </w:p>
    <w:p w14:paraId="5D82B59D" w14:textId="77777777" w:rsidR="00622884" w:rsidRPr="00622884" w:rsidRDefault="00622884" w:rsidP="00622884">
      <w:pPr>
        <w:spacing w:after="0" w:line="240" w:lineRule="auto"/>
        <w:ind w:firstLine="284"/>
        <w:rPr>
          <w:rFonts w:ascii="Garamond" w:eastAsia="SimSun" w:hAnsi="Garamond" w:cs="Calibri Light"/>
          <w:sz w:val="24"/>
          <w:szCs w:val="24"/>
          <w:lang w:eastAsia="en-US"/>
        </w:rPr>
      </w:pPr>
      <w:r w:rsidRPr="00622884">
        <w:rPr>
          <w:rFonts w:ascii="Garamond" w:eastAsia="SimSun" w:hAnsi="Garamond" w:cs="Calibri Light"/>
          <w:sz w:val="24"/>
          <w:szCs w:val="24"/>
          <w:lang w:eastAsia="en-US" w:bidi="sq-AL"/>
        </w:rPr>
        <w:t xml:space="preserve">Ngjarjet ekstreme të motit, duke përfshirë valët e të nxehtit, thatësirën e zgjatur, reshjet e dendura dhe përmbytjet, paraqesin sfida të konsiderueshme ndaj infrastrukturës urbane, furnizimit me ujë dhe sistemeve të menaxhimit të mbetjeve. Ndikimet e ndryshimeve klimatike te zonat urbane janë disproporcionalisht më të larta për shkak të përqendrimit të popullsisë dhe </w:t>
      </w:r>
      <w:r w:rsidRPr="00622884">
        <w:rPr>
          <w:rFonts w:ascii="Garamond" w:eastAsia="SimSun" w:hAnsi="Garamond" w:cs="Calibri Light"/>
          <w:sz w:val="24"/>
          <w:szCs w:val="24"/>
          <w:lang w:eastAsia="en-US" w:bidi="sq-AL"/>
        </w:rPr>
        <w:lastRenderedPageBreak/>
        <w:t>aseteve, veçanërisht në zonat me risk të lartë, që ndërthuren me kushtet që theksojnë rreziqet (p.sh., rritja e vërshimeve si pasojë e mbulimit të tokës, rritja e nivelit të detit dhe depërtimi i detit, efektet e ishujve urbanë të nxehtësisë, etj.)</w:t>
      </w:r>
      <w:r w:rsidRPr="00622884">
        <w:rPr>
          <w:rFonts w:ascii="Garamond" w:eastAsia="SimSun" w:hAnsi="Garamond" w:cs="Calibri Light"/>
          <w:sz w:val="24"/>
          <w:szCs w:val="24"/>
          <w:vertAlign w:val="superscript"/>
          <w:lang w:eastAsia="en-US" w:bidi="sq-AL"/>
        </w:rPr>
        <w:footnoteReference w:id="193"/>
      </w:r>
      <w:r w:rsidRPr="00622884">
        <w:rPr>
          <w:rFonts w:ascii="Garamond" w:eastAsia="SimSun" w:hAnsi="Garamond" w:cs="Calibri Light"/>
          <w:sz w:val="24"/>
          <w:szCs w:val="24"/>
          <w:lang w:eastAsia="en-US" w:bidi="sq-AL"/>
        </w:rPr>
        <w:t xml:space="preserve">. Shpesh, për shkak të reshjeve të dendura dhe përmbytjeve në Tiranë, transporti, energjia elektrike, infrastruktura e ujësjellësit dhe industria e vogël kanë qenë shumë të cenueshme </w:t>
      </w:r>
      <w:r w:rsidRPr="00622884">
        <w:rPr>
          <w:rFonts w:ascii="Garamond" w:eastAsia="SimSun" w:hAnsi="Garamond" w:cs="Calibri Light"/>
          <w:sz w:val="24"/>
          <w:szCs w:val="24"/>
          <w:vertAlign w:val="superscript"/>
          <w:lang w:eastAsia="en-US" w:bidi="sq-AL"/>
        </w:rPr>
        <w:footnoteReference w:id="194"/>
      </w:r>
      <w:r w:rsidRPr="00622884">
        <w:rPr>
          <w:rFonts w:ascii="Garamond" w:eastAsia="SimSun" w:hAnsi="Garamond" w:cs="Calibri Light"/>
          <w:sz w:val="24"/>
          <w:szCs w:val="24"/>
          <w:lang w:eastAsia="en-US" w:bidi="sq-AL"/>
        </w:rPr>
        <w:t>. Kjo mund të sjellë vështirësi ekonomike, si dhe shtimin e sëmundjeve dhe sfidave për shëndetin publik</w:t>
      </w:r>
      <w:r w:rsidRPr="00622884">
        <w:rPr>
          <w:rFonts w:ascii="Garamond" w:eastAsia="SimSun" w:hAnsi="Garamond" w:cs="Calibri Light"/>
          <w:sz w:val="24"/>
          <w:szCs w:val="24"/>
          <w:vertAlign w:val="superscript"/>
          <w:lang w:eastAsia="en-US" w:bidi="sq-AL"/>
        </w:rPr>
        <w:footnoteReference w:id="195"/>
      </w:r>
      <w:r w:rsidRPr="00622884">
        <w:rPr>
          <w:rFonts w:ascii="Garamond" w:eastAsia="SimSun" w:hAnsi="Garamond" w:cs="Calibri Light"/>
          <w:sz w:val="24"/>
          <w:szCs w:val="24"/>
          <w:lang w:eastAsia="en-US" w:bidi="sq-AL"/>
        </w:rPr>
        <w:t xml:space="preserve"> në një përqindje në rritje të popullsisë urbane në Shqipëri (parashikohet të jetë 78.2% në vitin 2050). </w:t>
      </w:r>
    </w:p>
    <w:p w14:paraId="7A7E27F1" w14:textId="77777777" w:rsidR="00622884" w:rsidRPr="00622884" w:rsidRDefault="00622884" w:rsidP="00622884">
      <w:pPr>
        <w:spacing w:after="0" w:line="240" w:lineRule="auto"/>
        <w:ind w:firstLine="284"/>
        <w:rPr>
          <w:rFonts w:ascii="Garamond" w:eastAsia="SimSun" w:hAnsi="Garamond" w:cs="Calibri Light"/>
          <w:sz w:val="24"/>
          <w:szCs w:val="24"/>
          <w:lang w:eastAsia="en-US"/>
        </w:rPr>
      </w:pPr>
      <w:r w:rsidRPr="00622884">
        <w:rPr>
          <w:rFonts w:ascii="Garamond" w:eastAsia="SimSun" w:hAnsi="Garamond" w:cs="Calibri Light"/>
          <w:sz w:val="24"/>
          <w:szCs w:val="24"/>
          <w:lang w:eastAsia="en-US" w:bidi="sq-AL"/>
        </w:rPr>
        <w:t>Sipas vlerësimit në VRK-në për zonat e ndryshme klimatike dhe nënsektorët e shqyrtuar (rezidencial, social, prodhues, rrjeti i furnizimit), risqet aktuale dhe risqet e ardhshme në sektorin e zhvillimit urban</w:t>
      </w:r>
      <w:r w:rsidRPr="00622884">
        <w:rPr>
          <w:rFonts w:ascii="Garamond" w:eastAsia="SimSun" w:hAnsi="Garamond" w:cs="Calibri Light"/>
          <w:sz w:val="24"/>
          <w:szCs w:val="24"/>
          <w:vertAlign w:val="superscript"/>
          <w:lang w:eastAsia="en-US" w:bidi="sq-AL"/>
        </w:rPr>
        <w:footnoteReference w:id="196"/>
      </w:r>
      <w:r w:rsidRPr="00622884">
        <w:rPr>
          <w:rFonts w:ascii="Garamond" w:eastAsia="SimSun" w:hAnsi="Garamond" w:cs="Calibri Light"/>
          <w:sz w:val="24"/>
          <w:szCs w:val="24"/>
          <w:lang w:eastAsia="en-US" w:bidi="sq-AL"/>
        </w:rPr>
        <w:t xml:space="preserve"> u vlerësuan si më poshtë:</w:t>
      </w:r>
    </w:p>
    <w:p w14:paraId="54CF3592" w14:textId="77777777" w:rsidR="00622884" w:rsidRPr="00622884" w:rsidRDefault="00622884" w:rsidP="00622884">
      <w:pPr>
        <w:spacing w:after="0" w:line="240" w:lineRule="auto"/>
        <w:ind w:firstLine="284"/>
        <w:jc w:val="right"/>
        <w:rPr>
          <w:rFonts w:ascii="Garamond" w:eastAsia="Aptos" w:hAnsi="Garamond" w:cs="Arial"/>
          <w:i/>
          <w:iCs/>
          <w:sz w:val="8"/>
          <w:szCs w:val="24"/>
          <w:lang w:eastAsia="en-US" w:bidi="sq-AL"/>
        </w:rPr>
      </w:pPr>
      <w:bookmarkStart w:id="254" w:name="_Toc213936108"/>
    </w:p>
    <w:bookmarkEnd w:id="254"/>
    <w:p w14:paraId="2C4706F8" w14:textId="77777777" w:rsidR="00622884" w:rsidRPr="00622884" w:rsidRDefault="00622884" w:rsidP="00622884">
      <w:pPr>
        <w:spacing w:after="0" w:line="240" w:lineRule="auto"/>
        <w:ind w:firstLine="284"/>
        <w:rPr>
          <w:rFonts w:ascii="Garamond" w:eastAsia="Aptos" w:hAnsi="Garamond" w:cs="Arial"/>
          <w:b/>
          <w:iCs/>
          <w:sz w:val="24"/>
          <w:szCs w:val="24"/>
          <w:lang w:eastAsia="en-US"/>
        </w:rPr>
      </w:pPr>
      <w:r w:rsidRPr="00622884">
        <w:rPr>
          <w:rFonts w:ascii="Garamond" w:eastAsia="Aptos" w:hAnsi="Garamond" w:cs="Arial"/>
          <w:b/>
          <w:iCs/>
          <w:sz w:val="24"/>
          <w:szCs w:val="24"/>
          <w:lang w:eastAsia="en-US"/>
        </w:rPr>
        <w:t>Tabela 7: Risqet aktuale dhe të ardhshme klimatike në sektorin e zhvillimit urban.</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43"/>
        <w:gridCol w:w="1742"/>
        <w:gridCol w:w="4302"/>
      </w:tblGrid>
      <w:tr w:rsidR="00622884" w:rsidRPr="00622884" w14:paraId="2F3BFB00" w14:textId="77777777" w:rsidTr="00622884">
        <w:trPr>
          <w:trHeight w:val="274"/>
          <w:jc w:val="center"/>
        </w:trPr>
        <w:tc>
          <w:tcPr>
            <w:tcW w:w="1746" w:type="pct"/>
            <w:vMerge w:val="restart"/>
            <w:shd w:val="clear" w:color="auto" w:fill="215A5C"/>
            <w:vAlign w:val="center"/>
          </w:tcPr>
          <w:p w14:paraId="3BE32545" w14:textId="77777777" w:rsidR="00622884" w:rsidRPr="00622884" w:rsidRDefault="00622884" w:rsidP="00622884">
            <w:pPr>
              <w:spacing w:after="0" w:line="240" w:lineRule="auto"/>
              <w:jc w:val="center"/>
              <w:rPr>
                <w:rFonts w:ascii="Garamond" w:eastAsia="Calibri" w:hAnsi="Garamond" w:cs="Calibri Light"/>
                <w:b/>
                <w:bCs/>
                <w:sz w:val="16"/>
                <w:szCs w:val="16"/>
                <w:lang w:eastAsia="en-US"/>
              </w:rPr>
            </w:pPr>
            <w:r w:rsidRPr="00622884">
              <w:rPr>
                <w:rFonts w:ascii="Garamond" w:eastAsia="Calibri" w:hAnsi="Garamond" w:cs="Times New Roman"/>
                <w:b/>
                <w:sz w:val="16"/>
                <w:szCs w:val="16"/>
                <w:lang w:eastAsia="en-US" w:bidi="sq-AL"/>
              </w:rPr>
              <w:t>ZONAT KLIMATIKE URBANE</w:t>
            </w:r>
          </w:p>
          <w:p w14:paraId="1419A55B" w14:textId="77777777" w:rsidR="00622884" w:rsidRPr="00622884" w:rsidRDefault="00622884" w:rsidP="00622884">
            <w:pPr>
              <w:spacing w:after="0" w:line="240" w:lineRule="auto"/>
              <w:jc w:val="center"/>
              <w:rPr>
                <w:rFonts w:ascii="Garamond" w:eastAsia="Calibri" w:hAnsi="Garamond" w:cs="Calibri Light"/>
                <w:b/>
                <w:bCs/>
                <w:sz w:val="16"/>
                <w:szCs w:val="16"/>
                <w:lang w:eastAsia="en-US"/>
              </w:rPr>
            </w:pPr>
            <w:r w:rsidRPr="00622884">
              <w:rPr>
                <w:rFonts w:ascii="Garamond" w:eastAsia="Calibri" w:hAnsi="Garamond" w:cs="Times New Roman"/>
                <w:b/>
                <w:sz w:val="16"/>
                <w:szCs w:val="16"/>
                <w:lang w:eastAsia="en-US" w:bidi="sq-AL"/>
              </w:rPr>
              <w:t>DHE NËNSEKTORËT</w:t>
            </w:r>
          </w:p>
        </w:tc>
        <w:tc>
          <w:tcPr>
            <w:tcW w:w="3254" w:type="pct"/>
            <w:gridSpan w:val="2"/>
            <w:shd w:val="clear" w:color="auto" w:fill="215A5C"/>
            <w:vAlign w:val="center"/>
          </w:tcPr>
          <w:p w14:paraId="36E94D01" w14:textId="77777777" w:rsidR="00622884" w:rsidRPr="00622884" w:rsidRDefault="00622884" w:rsidP="00622884">
            <w:pPr>
              <w:spacing w:after="0" w:line="240" w:lineRule="auto"/>
              <w:jc w:val="center"/>
              <w:rPr>
                <w:rFonts w:ascii="Garamond" w:eastAsia="Calibri" w:hAnsi="Garamond" w:cs="Calibri Light"/>
                <w:sz w:val="16"/>
                <w:szCs w:val="16"/>
                <w:lang w:eastAsia="en-US"/>
              </w:rPr>
            </w:pPr>
            <w:r w:rsidRPr="00622884">
              <w:rPr>
                <w:rFonts w:ascii="Garamond" w:eastAsia="Calibri" w:hAnsi="Garamond" w:cs="Times New Roman"/>
                <w:b/>
                <w:sz w:val="16"/>
                <w:szCs w:val="16"/>
                <w:lang w:eastAsia="en-US" w:bidi="sq-AL"/>
              </w:rPr>
              <w:t>PËRMBLEDHJE</w:t>
            </w:r>
          </w:p>
        </w:tc>
      </w:tr>
      <w:tr w:rsidR="00622884" w:rsidRPr="00622884" w14:paraId="1122DF03" w14:textId="77777777" w:rsidTr="00622884">
        <w:trPr>
          <w:trHeight w:val="274"/>
          <w:jc w:val="center"/>
        </w:trPr>
        <w:tc>
          <w:tcPr>
            <w:tcW w:w="1746" w:type="pct"/>
            <w:vMerge/>
            <w:shd w:val="clear" w:color="auto" w:fill="215A5C"/>
            <w:vAlign w:val="center"/>
          </w:tcPr>
          <w:p w14:paraId="2B190E76" w14:textId="77777777" w:rsidR="00622884" w:rsidRPr="00622884" w:rsidRDefault="00622884" w:rsidP="00622884">
            <w:pPr>
              <w:spacing w:after="0" w:line="240" w:lineRule="auto"/>
              <w:jc w:val="center"/>
              <w:rPr>
                <w:rFonts w:ascii="Garamond" w:eastAsia="Calibri" w:hAnsi="Garamond" w:cs="Calibri Light"/>
                <w:sz w:val="16"/>
                <w:szCs w:val="16"/>
                <w:lang w:eastAsia="en-US"/>
              </w:rPr>
            </w:pPr>
          </w:p>
        </w:tc>
        <w:tc>
          <w:tcPr>
            <w:tcW w:w="938" w:type="pct"/>
            <w:shd w:val="clear" w:color="auto" w:fill="215A5C"/>
            <w:vAlign w:val="center"/>
          </w:tcPr>
          <w:p w14:paraId="7B4C8813" w14:textId="77777777" w:rsidR="00622884" w:rsidRPr="00622884" w:rsidRDefault="00622884" w:rsidP="00622884">
            <w:pPr>
              <w:spacing w:after="0" w:line="240" w:lineRule="auto"/>
              <w:jc w:val="center"/>
              <w:rPr>
                <w:rFonts w:ascii="Garamond" w:eastAsia="Calibri" w:hAnsi="Garamond" w:cs="Calibri Light"/>
                <w:sz w:val="16"/>
                <w:szCs w:val="16"/>
                <w:lang w:eastAsia="en-US"/>
              </w:rPr>
            </w:pPr>
            <w:r w:rsidRPr="00622884">
              <w:rPr>
                <w:rFonts w:ascii="Garamond" w:eastAsia="Calibri" w:hAnsi="Garamond" w:cs="Times New Roman"/>
                <w:b/>
                <w:sz w:val="16"/>
                <w:szCs w:val="16"/>
                <w:lang w:eastAsia="en-US" w:bidi="sq-AL"/>
              </w:rPr>
              <w:t>Risku aktual</w:t>
            </w:r>
          </w:p>
        </w:tc>
        <w:tc>
          <w:tcPr>
            <w:tcW w:w="2316" w:type="pct"/>
            <w:shd w:val="clear" w:color="auto" w:fill="215A5C"/>
            <w:vAlign w:val="center"/>
          </w:tcPr>
          <w:p w14:paraId="420D3E7B" w14:textId="77777777" w:rsidR="00622884" w:rsidRPr="00622884" w:rsidRDefault="00622884" w:rsidP="00622884">
            <w:pPr>
              <w:spacing w:after="0" w:line="240" w:lineRule="auto"/>
              <w:jc w:val="center"/>
              <w:rPr>
                <w:rFonts w:ascii="Garamond" w:eastAsia="Calibri" w:hAnsi="Garamond" w:cs="Calibri Light"/>
                <w:sz w:val="16"/>
                <w:szCs w:val="16"/>
                <w:lang w:eastAsia="en-US"/>
              </w:rPr>
            </w:pPr>
            <w:r w:rsidRPr="00622884">
              <w:rPr>
                <w:rFonts w:ascii="Garamond" w:eastAsia="Calibri" w:hAnsi="Garamond" w:cs="Times New Roman"/>
                <w:b/>
                <w:sz w:val="16"/>
                <w:szCs w:val="16"/>
                <w:lang w:eastAsia="en-US" w:bidi="sq-AL"/>
              </w:rPr>
              <w:t>Risku i ardhshëm (skenari më i mirë - më i keq i mundshëm)</w:t>
            </w:r>
          </w:p>
        </w:tc>
      </w:tr>
      <w:tr w:rsidR="00622884" w:rsidRPr="00622884" w14:paraId="751EA207" w14:textId="77777777" w:rsidTr="00622884">
        <w:trPr>
          <w:trHeight w:val="274"/>
          <w:jc w:val="center"/>
        </w:trPr>
        <w:tc>
          <w:tcPr>
            <w:tcW w:w="5000" w:type="pct"/>
            <w:gridSpan w:val="3"/>
          </w:tcPr>
          <w:p w14:paraId="01D21FE7" w14:textId="77777777" w:rsidR="00622884" w:rsidRPr="00622884" w:rsidRDefault="00622884" w:rsidP="00622884">
            <w:pPr>
              <w:spacing w:after="0" w:line="240" w:lineRule="auto"/>
              <w:jc w:val="left"/>
              <w:rPr>
                <w:rFonts w:ascii="Garamond" w:eastAsia="Calibri" w:hAnsi="Garamond" w:cs="Calibri Light"/>
                <w:sz w:val="16"/>
                <w:szCs w:val="16"/>
                <w:u w:val="single"/>
                <w:lang w:eastAsia="en-US"/>
              </w:rPr>
            </w:pPr>
            <w:r w:rsidRPr="00622884">
              <w:rPr>
                <w:rFonts w:ascii="Garamond" w:eastAsia="Calibri" w:hAnsi="Garamond" w:cs="Times New Roman"/>
                <w:b/>
                <w:sz w:val="16"/>
                <w:szCs w:val="16"/>
                <w:lang w:eastAsia="en-US" w:bidi="sq-AL"/>
              </w:rPr>
              <w:t>ZONAT KLIMATIKE</w:t>
            </w:r>
            <w:r w:rsidRPr="00622884">
              <w:rPr>
                <w:rFonts w:ascii="Garamond" w:eastAsia="Calibri" w:hAnsi="Garamond" w:cs="Times New Roman"/>
                <w:sz w:val="16"/>
                <w:szCs w:val="16"/>
                <w:vertAlign w:val="superscript"/>
                <w:lang w:eastAsia="en-US" w:bidi="sq-AL"/>
              </w:rPr>
              <w:footnoteReference w:id="197"/>
            </w:r>
          </w:p>
        </w:tc>
      </w:tr>
      <w:tr w:rsidR="00622884" w:rsidRPr="00622884" w14:paraId="26309BCA" w14:textId="77777777" w:rsidTr="00622884">
        <w:trPr>
          <w:trHeight w:val="264"/>
          <w:jc w:val="center"/>
        </w:trPr>
        <w:tc>
          <w:tcPr>
            <w:tcW w:w="1746" w:type="pct"/>
          </w:tcPr>
          <w:p w14:paraId="333AE0D4" w14:textId="77777777" w:rsidR="00622884" w:rsidRPr="00622884" w:rsidRDefault="00622884" w:rsidP="00622884">
            <w:pPr>
              <w:spacing w:after="0" w:line="240" w:lineRule="auto"/>
              <w:jc w:val="left"/>
              <w:rPr>
                <w:rFonts w:ascii="Garamond" w:eastAsia="Calibri" w:hAnsi="Garamond" w:cs="Calibri Light"/>
                <w:sz w:val="16"/>
                <w:szCs w:val="16"/>
                <w:lang w:eastAsia="en-US"/>
              </w:rPr>
            </w:pPr>
            <w:r w:rsidRPr="00622884">
              <w:rPr>
                <w:rFonts w:ascii="Garamond" w:eastAsia="Calibri" w:hAnsi="Garamond" w:cs="Times New Roman"/>
                <w:b/>
                <w:sz w:val="16"/>
                <w:szCs w:val="16"/>
                <w:lang w:eastAsia="en-US" w:bidi="sq-AL"/>
              </w:rPr>
              <w:t>ZMF</w:t>
            </w:r>
          </w:p>
        </w:tc>
        <w:tc>
          <w:tcPr>
            <w:tcW w:w="938" w:type="pct"/>
          </w:tcPr>
          <w:p w14:paraId="74D0005A" w14:textId="77777777" w:rsidR="00622884" w:rsidRPr="00622884" w:rsidRDefault="00622884" w:rsidP="00622884">
            <w:pPr>
              <w:spacing w:after="0" w:line="240" w:lineRule="auto"/>
              <w:rPr>
                <w:rFonts w:ascii="Garamond" w:eastAsia="Calibri" w:hAnsi="Garamond" w:cs="Calibri Light"/>
                <w:sz w:val="16"/>
                <w:szCs w:val="16"/>
                <w:highlight w:val="lightGray"/>
                <w:lang w:eastAsia="en-US"/>
              </w:rPr>
            </w:pPr>
            <w:r w:rsidRPr="00622884">
              <w:rPr>
                <w:rFonts w:ascii="Garamond" w:eastAsia="Calibri" w:hAnsi="Garamond" w:cs="Times New Roman"/>
                <w:sz w:val="16"/>
                <w:szCs w:val="16"/>
                <w:highlight w:val="lightGray"/>
                <w:lang w:eastAsia="en-US" w:bidi="sq-AL"/>
              </w:rPr>
              <w:t>I ulët</w:t>
            </w:r>
          </w:p>
        </w:tc>
        <w:tc>
          <w:tcPr>
            <w:tcW w:w="2316" w:type="pct"/>
          </w:tcPr>
          <w:p w14:paraId="6AAA66A4" w14:textId="77777777" w:rsidR="00622884" w:rsidRPr="00622884" w:rsidRDefault="00622884" w:rsidP="00622884">
            <w:pPr>
              <w:spacing w:after="0" w:line="240" w:lineRule="auto"/>
              <w:jc w:val="left"/>
              <w:rPr>
                <w:rFonts w:ascii="Garamond" w:eastAsia="Calibri" w:hAnsi="Garamond" w:cs="Calibri Light"/>
                <w:sz w:val="16"/>
                <w:szCs w:val="16"/>
                <w:lang w:eastAsia="en-US"/>
              </w:rPr>
            </w:pPr>
            <w:r w:rsidRPr="00622884">
              <w:rPr>
                <w:rFonts w:ascii="Garamond" w:eastAsia="Calibri" w:hAnsi="Garamond" w:cs="Times New Roman"/>
                <w:kern w:val="24"/>
                <w:sz w:val="16"/>
                <w:szCs w:val="16"/>
                <w:highlight w:val="darkRed"/>
                <w:lang w:eastAsia="en-US" w:bidi="sq-AL"/>
              </w:rPr>
              <w:t>Shumë i lartë</w:t>
            </w:r>
            <w:r w:rsidRPr="00622884">
              <w:rPr>
                <w:rFonts w:ascii="Garamond" w:eastAsia="Calibri" w:hAnsi="Garamond" w:cs="Times New Roman"/>
                <w:sz w:val="16"/>
                <w:szCs w:val="16"/>
                <w:lang w:eastAsia="en-US" w:bidi="sq-AL"/>
              </w:rPr>
              <w:t xml:space="preserve"> – </w:t>
            </w:r>
            <w:r w:rsidRPr="00622884">
              <w:rPr>
                <w:rFonts w:ascii="Garamond" w:eastAsia="Calibri" w:hAnsi="Garamond" w:cs="Times New Roman"/>
                <w:kern w:val="24"/>
                <w:sz w:val="16"/>
                <w:szCs w:val="16"/>
                <w:highlight w:val="darkRed"/>
                <w:lang w:eastAsia="en-US" w:bidi="sq-AL"/>
              </w:rPr>
              <w:t>Shumë i lartë</w:t>
            </w:r>
          </w:p>
        </w:tc>
      </w:tr>
      <w:tr w:rsidR="00622884" w:rsidRPr="00622884" w14:paraId="29DC8D76" w14:textId="77777777" w:rsidTr="00622884">
        <w:trPr>
          <w:trHeight w:val="274"/>
          <w:jc w:val="center"/>
        </w:trPr>
        <w:tc>
          <w:tcPr>
            <w:tcW w:w="1746" w:type="pct"/>
          </w:tcPr>
          <w:p w14:paraId="31D551AD" w14:textId="77777777" w:rsidR="00622884" w:rsidRPr="00622884" w:rsidRDefault="00622884" w:rsidP="00622884">
            <w:pPr>
              <w:spacing w:after="0" w:line="240" w:lineRule="auto"/>
              <w:jc w:val="left"/>
              <w:rPr>
                <w:rFonts w:ascii="Garamond" w:eastAsia="Calibri" w:hAnsi="Garamond" w:cs="Calibri Light"/>
                <w:sz w:val="16"/>
                <w:szCs w:val="16"/>
                <w:lang w:eastAsia="en-US"/>
              </w:rPr>
            </w:pPr>
            <w:r w:rsidRPr="00622884">
              <w:rPr>
                <w:rFonts w:ascii="Garamond" w:eastAsia="Calibri" w:hAnsi="Garamond" w:cs="Times New Roman"/>
                <w:b/>
                <w:sz w:val="16"/>
                <w:szCs w:val="16"/>
                <w:lang w:eastAsia="en-US" w:bidi="sq-AL"/>
              </w:rPr>
              <w:t>ZMK</w:t>
            </w:r>
          </w:p>
        </w:tc>
        <w:tc>
          <w:tcPr>
            <w:tcW w:w="938" w:type="pct"/>
          </w:tcPr>
          <w:p w14:paraId="5FAB23A7" w14:textId="77777777" w:rsidR="00622884" w:rsidRPr="00622884" w:rsidRDefault="00622884" w:rsidP="00622884">
            <w:pPr>
              <w:spacing w:after="0" w:line="240" w:lineRule="auto"/>
              <w:rPr>
                <w:rFonts w:ascii="Garamond" w:eastAsia="Calibri" w:hAnsi="Garamond" w:cs="Calibri Light"/>
                <w:sz w:val="16"/>
                <w:szCs w:val="16"/>
                <w:highlight w:val="lightGray"/>
                <w:lang w:eastAsia="en-US"/>
              </w:rPr>
            </w:pPr>
            <w:r w:rsidRPr="00622884">
              <w:rPr>
                <w:rFonts w:ascii="Garamond" w:eastAsia="Calibri" w:hAnsi="Garamond" w:cs="Times New Roman"/>
                <w:sz w:val="16"/>
                <w:szCs w:val="16"/>
                <w:highlight w:val="lightGray"/>
                <w:lang w:eastAsia="en-US" w:bidi="sq-AL"/>
              </w:rPr>
              <w:t>I ulët</w:t>
            </w:r>
          </w:p>
        </w:tc>
        <w:tc>
          <w:tcPr>
            <w:tcW w:w="2316" w:type="pct"/>
          </w:tcPr>
          <w:p w14:paraId="43839449" w14:textId="77777777" w:rsidR="00622884" w:rsidRPr="00622884" w:rsidRDefault="00622884" w:rsidP="00622884">
            <w:pPr>
              <w:spacing w:after="0" w:line="240" w:lineRule="auto"/>
              <w:jc w:val="left"/>
              <w:rPr>
                <w:rFonts w:ascii="Garamond" w:eastAsia="Calibri" w:hAnsi="Garamond" w:cs="Calibri Light"/>
                <w:sz w:val="16"/>
                <w:szCs w:val="16"/>
                <w:lang w:eastAsia="en-US"/>
              </w:rPr>
            </w:pPr>
            <w:r w:rsidRPr="00622884">
              <w:rPr>
                <w:rFonts w:ascii="Garamond" w:eastAsia="Calibri" w:hAnsi="Garamond" w:cs="Times New Roman"/>
                <w:kern w:val="24"/>
                <w:sz w:val="16"/>
                <w:szCs w:val="16"/>
                <w:highlight w:val="darkRed"/>
                <w:lang w:eastAsia="en-US" w:bidi="sq-AL"/>
              </w:rPr>
              <w:t>Shumë i lartë</w:t>
            </w:r>
            <w:r w:rsidRPr="00622884">
              <w:rPr>
                <w:rFonts w:ascii="Garamond" w:eastAsia="Calibri" w:hAnsi="Garamond" w:cs="Times New Roman"/>
                <w:sz w:val="16"/>
                <w:szCs w:val="16"/>
                <w:lang w:eastAsia="en-US" w:bidi="sq-AL"/>
              </w:rPr>
              <w:t xml:space="preserve"> – </w:t>
            </w:r>
            <w:r w:rsidRPr="00622884">
              <w:rPr>
                <w:rFonts w:ascii="Garamond" w:eastAsia="Calibri" w:hAnsi="Garamond" w:cs="Times New Roman"/>
                <w:kern w:val="24"/>
                <w:sz w:val="16"/>
                <w:szCs w:val="16"/>
                <w:highlight w:val="darkRed"/>
                <w:lang w:eastAsia="en-US" w:bidi="sq-AL"/>
              </w:rPr>
              <w:t>Shumë i lartë</w:t>
            </w:r>
          </w:p>
        </w:tc>
      </w:tr>
      <w:tr w:rsidR="00622884" w:rsidRPr="00622884" w14:paraId="54A17361" w14:textId="77777777" w:rsidTr="00622884">
        <w:trPr>
          <w:trHeight w:val="274"/>
          <w:jc w:val="center"/>
        </w:trPr>
        <w:tc>
          <w:tcPr>
            <w:tcW w:w="1746" w:type="pct"/>
          </w:tcPr>
          <w:p w14:paraId="0D2BB2A6" w14:textId="77777777" w:rsidR="00622884" w:rsidRPr="00622884" w:rsidRDefault="00622884" w:rsidP="00622884">
            <w:pPr>
              <w:spacing w:after="0" w:line="240" w:lineRule="auto"/>
              <w:jc w:val="left"/>
              <w:rPr>
                <w:rFonts w:ascii="Garamond" w:eastAsia="Calibri" w:hAnsi="Garamond" w:cs="Calibri Light"/>
                <w:sz w:val="16"/>
                <w:szCs w:val="16"/>
                <w:lang w:eastAsia="en-US"/>
              </w:rPr>
            </w:pPr>
            <w:r w:rsidRPr="00622884">
              <w:rPr>
                <w:rFonts w:ascii="Garamond" w:eastAsia="Calibri" w:hAnsi="Garamond" w:cs="Times New Roman"/>
                <w:b/>
                <w:sz w:val="16"/>
                <w:szCs w:val="16"/>
                <w:lang w:eastAsia="en-US" w:bidi="sq-AL"/>
              </w:rPr>
              <w:t>ZMP</w:t>
            </w:r>
          </w:p>
        </w:tc>
        <w:tc>
          <w:tcPr>
            <w:tcW w:w="938" w:type="pct"/>
          </w:tcPr>
          <w:p w14:paraId="6071486B" w14:textId="77777777" w:rsidR="00622884" w:rsidRPr="00622884" w:rsidRDefault="00622884" w:rsidP="00622884">
            <w:pPr>
              <w:spacing w:after="0" w:line="240" w:lineRule="auto"/>
              <w:rPr>
                <w:rFonts w:ascii="Garamond" w:eastAsia="Calibri" w:hAnsi="Garamond" w:cs="Calibri Light"/>
                <w:sz w:val="16"/>
                <w:szCs w:val="16"/>
                <w:highlight w:val="lightGray"/>
                <w:lang w:eastAsia="en-US"/>
              </w:rPr>
            </w:pPr>
            <w:r w:rsidRPr="00622884">
              <w:rPr>
                <w:rFonts w:ascii="Garamond" w:eastAsia="Calibri" w:hAnsi="Garamond" w:cs="Times New Roman"/>
                <w:sz w:val="16"/>
                <w:szCs w:val="16"/>
                <w:highlight w:val="lightGray"/>
                <w:lang w:eastAsia="en-US" w:bidi="sq-AL"/>
              </w:rPr>
              <w:t>I ulët</w:t>
            </w:r>
          </w:p>
        </w:tc>
        <w:tc>
          <w:tcPr>
            <w:tcW w:w="2316" w:type="pct"/>
          </w:tcPr>
          <w:p w14:paraId="74F420F6" w14:textId="77777777" w:rsidR="00622884" w:rsidRPr="00622884" w:rsidRDefault="00622884" w:rsidP="00622884">
            <w:pPr>
              <w:spacing w:after="0" w:line="240" w:lineRule="auto"/>
              <w:jc w:val="left"/>
              <w:rPr>
                <w:rFonts w:ascii="Garamond" w:eastAsia="Calibri" w:hAnsi="Garamond" w:cs="Calibri Light"/>
                <w:sz w:val="16"/>
                <w:szCs w:val="16"/>
                <w:lang w:eastAsia="en-US"/>
              </w:rPr>
            </w:pPr>
            <w:r w:rsidRPr="00622884">
              <w:rPr>
                <w:rFonts w:ascii="Garamond" w:eastAsia="Calibri" w:hAnsi="Garamond" w:cs="Times New Roman"/>
                <w:sz w:val="16"/>
                <w:szCs w:val="16"/>
                <w:highlight w:val="red"/>
                <w:lang w:eastAsia="en-US" w:bidi="sq-AL"/>
              </w:rPr>
              <w:t>I lartë</w:t>
            </w:r>
            <w:r w:rsidRPr="00622884">
              <w:rPr>
                <w:rFonts w:ascii="Garamond" w:eastAsia="Calibri" w:hAnsi="Garamond" w:cs="Times New Roman"/>
                <w:sz w:val="16"/>
                <w:szCs w:val="16"/>
                <w:lang w:eastAsia="en-US" w:bidi="sq-AL"/>
              </w:rPr>
              <w:t xml:space="preserve"> – </w:t>
            </w:r>
            <w:r w:rsidRPr="00622884">
              <w:rPr>
                <w:rFonts w:ascii="Garamond" w:eastAsia="Calibri" w:hAnsi="Garamond" w:cs="Times New Roman"/>
                <w:kern w:val="24"/>
                <w:sz w:val="16"/>
                <w:szCs w:val="16"/>
                <w:highlight w:val="darkRed"/>
                <w:lang w:eastAsia="en-US" w:bidi="sq-AL"/>
              </w:rPr>
              <w:t>Shumë i lartë</w:t>
            </w:r>
          </w:p>
        </w:tc>
      </w:tr>
      <w:tr w:rsidR="00622884" w:rsidRPr="00622884" w14:paraId="5ACB76FC" w14:textId="77777777" w:rsidTr="00622884">
        <w:trPr>
          <w:trHeight w:val="274"/>
          <w:jc w:val="center"/>
        </w:trPr>
        <w:tc>
          <w:tcPr>
            <w:tcW w:w="1746" w:type="pct"/>
          </w:tcPr>
          <w:p w14:paraId="50D42D60" w14:textId="77777777" w:rsidR="00622884" w:rsidRPr="00622884" w:rsidRDefault="00622884" w:rsidP="00622884">
            <w:pPr>
              <w:spacing w:after="0" w:line="240" w:lineRule="auto"/>
              <w:jc w:val="left"/>
              <w:rPr>
                <w:rFonts w:ascii="Garamond" w:eastAsia="Calibri" w:hAnsi="Garamond" w:cs="Calibri Light"/>
                <w:sz w:val="16"/>
                <w:szCs w:val="16"/>
                <w:lang w:eastAsia="en-US"/>
              </w:rPr>
            </w:pPr>
            <w:r w:rsidRPr="00622884">
              <w:rPr>
                <w:rFonts w:ascii="Garamond" w:eastAsia="Calibri" w:hAnsi="Garamond" w:cs="Times New Roman"/>
                <w:b/>
                <w:sz w:val="16"/>
                <w:szCs w:val="16"/>
                <w:lang w:eastAsia="en-US" w:bidi="sq-AL"/>
              </w:rPr>
              <w:t>ZMM</w:t>
            </w:r>
          </w:p>
        </w:tc>
        <w:tc>
          <w:tcPr>
            <w:tcW w:w="938" w:type="pct"/>
          </w:tcPr>
          <w:p w14:paraId="76DD8D3E" w14:textId="77777777" w:rsidR="00622884" w:rsidRPr="00622884" w:rsidRDefault="00622884" w:rsidP="00622884">
            <w:pPr>
              <w:spacing w:after="0" w:line="240" w:lineRule="auto"/>
              <w:rPr>
                <w:rFonts w:ascii="Garamond" w:eastAsia="Calibri" w:hAnsi="Garamond" w:cs="Calibri Light"/>
                <w:sz w:val="16"/>
                <w:szCs w:val="16"/>
                <w:highlight w:val="lightGray"/>
                <w:lang w:eastAsia="en-US"/>
              </w:rPr>
            </w:pPr>
            <w:r w:rsidRPr="00622884">
              <w:rPr>
                <w:rFonts w:ascii="Garamond" w:eastAsia="Calibri" w:hAnsi="Garamond" w:cs="Times New Roman"/>
                <w:sz w:val="16"/>
                <w:szCs w:val="16"/>
                <w:highlight w:val="lightGray"/>
                <w:lang w:eastAsia="en-US" w:bidi="sq-AL"/>
              </w:rPr>
              <w:t>I ulët</w:t>
            </w:r>
          </w:p>
        </w:tc>
        <w:tc>
          <w:tcPr>
            <w:tcW w:w="2316" w:type="pct"/>
          </w:tcPr>
          <w:p w14:paraId="2C808DC5" w14:textId="77777777" w:rsidR="00622884" w:rsidRPr="00622884" w:rsidRDefault="00622884" w:rsidP="00622884">
            <w:pPr>
              <w:spacing w:after="0" w:line="240" w:lineRule="auto"/>
              <w:jc w:val="left"/>
              <w:rPr>
                <w:rFonts w:ascii="Garamond" w:eastAsia="Calibri" w:hAnsi="Garamond" w:cs="Calibri Light"/>
                <w:sz w:val="16"/>
                <w:szCs w:val="16"/>
                <w:lang w:eastAsia="en-US"/>
              </w:rPr>
            </w:pPr>
            <w:r w:rsidRPr="00622884">
              <w:rPr>
                <w:rFonts w:ascii="Garamond" w:eastAsia="Calibri" w:hAnsi="Garamond" w:cs="Times New Roman"/>
                <w:sz w:val="16"/>
                <w:szCs w:val="16"/>
                <w:highlight w:val="red"/>
                <w:lang w:eastAsia="en-US" w:bidi="sq-AL"/>
              </w:rPr>
              <w:t>I lartë</w:t>
            </w:r>
            <w:r w:rsidRPr="00622884">
              <w:rPr>
                <w:rFonts w:ascii="Garamond" w:eastAsia="Calibri" w:hAnsi="Garamond" w:cs="Times New Roman"/>
                <w:sz w:val="16"/>
                <w:szCs w:val="16"/>
                <w:lang w:eastAsia="en-US" w:bidi="sq-AL"/>
              </w:rPr>
              <w:t xml:space="preserve"> – </w:t>
            </w:r>
            <w:r w:rsidRPr="00622884">
              <w:rPr>
                <w:rFonts w:ascii="Garamond" w:eastAsia="Calibri" w:hAnsi="Garamond" w:cs="Times New Roman"/>
                <w:kern w:val="24"/>
                <w:sz w:val="16"/>
                <w:szCs w:val="16"/>
                <w:highlight w:val="darkRed"/>
                <w:lang w:eastAsia="en-US" w:bidi="sq-AL"/>
              </w:rPr>
              <w:t>Shumë i lartë</w:t>
            </w:r>
          </w:p>
        </w:tc>
      </w:tr>
      <w:tr w:rsidR="00622884" w:rsidRPr="00622884" w14:paraId="0E1F834C" w14:textId="77777777" w:rsidTr="00622884">
        <w:trPr>
          <w:trHeight w:val="274"/>
          <w:jc w:val="center"/>
        </w:trPr>
        <w:tc>
          <w:tcPr>
            <w:tcW w:w="5000" w:type="pct"/>
            <w:gridSpan w:val="3"/>
          </w:tcPr>
          <w:p w14:paraId="4AA09922" w14:textId="77777777" w:rsidR="00622884" w:rsidRPr="00622884" w:rsidRDefault="00622884" w:rsidP="00622884">
            <w:pPr>
              <w:spacing w:after="0" w:line="240" w:lineRule="auto"/>
              <w:jc w:val="left"/>
              <w:rPr>
                <w:rFonts w:ascii="Garamond" w:eastAsia="Calibri" w:hAnsi="Garamond" w:cs="Calibri Light"/>
                <w:sz w:val="16"/>
                <w:szCs w:val="16"/>
                <w:lang w:eastAsia="en-US"/>
              </w:rPr>
            </w:pPr>
            <w:r w:rsidRPr="00622884">
              <w:rPr>
                <w:rFonts w:ascii="Garamond" w:eastAsia="Calibri" w:hAnsi="Garamond" w:cs="Times New Roman"/>
                <w:b/>
                <w:sz w:val="16"/>
                <w:szCs w:val="16"/>
                <w:lang w:eastAsia="en-US" w:bidi="sq-AL"/>
              </w:rPr>
              <w:t>NËNSEKTORËT</w:t>
            </w:r>
          </w:p>
        </w:tc>
      </w:tr>
      <w:tr w:rsidR="00622884" w:rsidRPr="00622884" w14:paraId="156AA584" w14:textId="77777777" w:rsidTr="00622884">
        <w:trPr>
          <w:trHeight w:val="274"/>
          <w:jc w:val="center"/>
        </w:trPr>
        <w:tc>
          <w:tcPr>
            <w:tcW w:w="1746" w:type="pct"/>
          </w:tcPr>
          <w:p w14:paraId="69FCBB32" w14:textId="77777777" w:rsidR="00622884" w:rsidRPr="00622884" w:rsidRDefault="00622884" w:rsidP="00622884">
            <w:pPr>
              <w:spacing w:after="0" w:line="240" w:lineRule="auto"/>
              <w:jc w:val="left"/>
              <w:rPr>
                <w:rFonts w:ascii="Garamond" w:eastAsia="Calibri" w:hAnsi="Garamond" w:cs="Calibri Light"/>
                <w:sz w:val="16"/>
                <w:szCs w:val="16"/>
                <w:lang w:eastAsia="en-US"/>
              </w:rPr>
            </w:pPr>
            <w:r w:rsidRPr="00622884">
              <w:rPr>
                <w:rFonts w:ascii="Garamond" w:eastAsia="Calibri" w:hAnsi="Garamond" w:cs="Times New Roman"/>
                <w:b/>
                <w:sz w:val="16"/>
                <w:szCs w:val="16"/>
                <w:lang w:eastAsia="en-US" w:bidi="sq-AL"/>
              </w:rPr>
              <w:t>Rezidencial</w:t>
            </w:r>
          </w:p>
        </w:tc>
        <w:tc>
          <w:tcPr>
            <w:tcW w:w="938" w:type="pct"/>
          </w:tcPr>
          <w:p w14:paraId="1FA65D09" w14:textId="77777777" w:rsidR="00622884" w:rsidRPr="00622884" w:rsidRDefault="00622884" w:rsidP="00622884">
            <w:pPr>
              <w:spacing w:after="0" w:line="240" w:lineRule="auto"/>
              <w:jc w:val="left"/>
              <w:rPr>
                <w:rFonts w:ascii="Garamond" w:eastAsia="Calibri" w:hAnsi="Garamond" w:cs="Calibri Light"/>
                <w:sz w:val="16"/>
                <w:szCs w:val="16"/>
                <w:highlight w:val="red"/>
                <w:lang w:eastAsia="en-US"/>
              </w:rPr>
            </w:pPr>
            <w:r w:rsidRPr="00622884">
              <w:rPr>
                <w:rFonts w:ascii="Garamond" w:eastAsia="Calibri" w:hAnsi="Garamond" w:cs="Times New Roman"/>
                <w:sz w:val="16"/>
                <w:szCs w:val="16"/>
                <w:highlight w:val="red"/>
                <w:lang w:eastAsia="en-US" w:bidi="sq-AL"/>
              </w:rPr>
              <w:t>I lartë</w:t>
            </w:r>
          </w:p>
        </w:tc>
        <w:tc>
          <w:tcPr>
            <w:tcW w:w="2316" w:type="pct"/>
          </w:tcPr>
          <w:p w14:paraId="4C4BDD03" w14:textId="77777777" w:rsidR="00622884" w:rsidRPr="00622884" w:rsidRDefault="00622884" w:rsidP="00622884">
            <w:pPr>
              <w:spacing w:after="0" w:line="240" w:lineRule="auto"/>
              <w:jc w:val="left"/>
              <w:rPr>
                <w:rFonts w:ascii="Garamond" w:eastAsia="Calibri" w:hAnsi="Garamond" w:cs="Calibri Light"/>
                <w:sz w:val="16"/>
                <w:szCs w:val="16"/>
                <w:lang w:eastAsia="en-US"/>
              </w:rPr>
            </w:pPr>
            <w:r w:rsidRPr="00622884">
              <w:rPr>
                <w:rFonts w:ascii="Garamond" w:eastAsia="Calibri" w:hAnsi="Garamond" w:cs="Times New Roman"/>
                <w:kern w:val="24"/>
                <w:sz w:val="16"/>
                <w:szCs w:val="16"/>
                <w:highlight w:val="darkRed"/>
                <w:lang w:eastAsia="en-US" w:bidi="sq-AL"/>
              </w:rPr>
              <w:t>Shumë i lartë</w:t>
            </w:r>
            <w:r w:rsidRPr="00622884">
              <w:rPr>
                <w:rFonts w:ascii="Garamond" w:eastAsia="Calibri" w:hAnsi="Garamond" w:cs="Times New Roman"/>
                <w:sz w:val="16"/>
                <w:szCs w:val="16"/>
                <w:lang w:eastAsia="en-US" w:bidi="sq-AL"/>
              </w:rPr>
              <w:t xml:space="preserve"> – </w:t>
            </w:r>
            <w:r w:rsidRPr="00622884">
              <w:rPr>
                <w:rFonts w:ascii="Garamond" w:eastAsia="Calibri" w:hAnsi="Garamond" w:cs="Times New Roman"/>
                <w:kern w:val="24"/>
                <w:sz w:val="16"/>
                <w:szCs w:val="16"/>
                <w:highlight w:val="darkRed"/>
                <w:lang w:eastAsia="en-US" w:bidi="sq-AL"/>
              </w:rPr>
              <w:t>Shumë i lartë</w:t>
            </w:r>
          </w:p>
        </w:tc>
      </w:tr>
      <w:tr w:rsidR="00622884" w:rsidRPr="00622884" w14:paraId="661A74C0" w14:textId="77777777" w:rsidTr="00622884">
        <w:trPr>
          <w:trHeight w:val="274"/>
          <w:jc w:val="center"/>
        </w:trPr>
        <w:tc>
          <w:tcPr>
            <w:tcW w:w="1746" w:type="pct"/>
          </w:tcPr>
          <w:p w14:paraId="375C823C" w14:textId="77777777" w:rsidR="00622884" w:rsidRPr="00622884" w:rsidRDefault="00622884" w:rsidP="00622884">
            <w:pPr>
              <w:spacing w:after="0" w:line="240" w:lineRule="auto"/>
              <w:jc w:val="left"/>
              <w:rPr>
                <w:rFonts w:ascii="Garamond" w:eastAsia="Calibri" w:hAnsi="Garamond" w:cs="Calibri Light"/>
                <w:sz w:val="16"/>
                <w:szCs w:val="16"/>
                <w:lang w:eastAsia="en-US"/>
              </w:rPr>
            </w:pPr>
            <w:r w:rsidRPr="00622884">
              <w:rPr>
                <w:rFonts w:ascii="Garamond" w:eastAsia="Calibri" w:hAnsi="Garamond" w:cs="Times New Roman"/>
                <w:b/>
                <w:sz w:val="16"/>
                <w:szCs w:val="16"/>
                <w:lang w:eastAsia="en-US" w:bidi="sq-AL"/>
              </w:rPr>
              <w:t>Social</w:t>
            </w:r>
          </w:p>
        </w:tc>
        <w:tc>
          <w:tcPr>
            <w:tcW w:w="938" w:type="pct"/>
          </w:tcPr>
          <w:p w14:paraId="72FD03FF" w14:textId="77777777" w:rsidR="00622884" w:rsidRPr="00622884" w:rsidRDefault="00622884" w:rsidP="00622884">
            <w:pPr>
              <w:spacing w:after="0" w:line="240" w:lineRule="auto"/>
              <w:jc w:val="left"/>
              <w:rPr>
                <w:rFonts w:ascii="Garamond" w:eastAsia="Calibri" w:hAnsi="Garamond" w:cs="Calibri Light"/>
                <w:sz w:val="16"/>
                <w:szCs w:val="16"/>
                <w:highlight w:val="red"/>
                <w:lang w:eastAsia="en-US"/>
              </w:rPr>
            </w:pPr>
            <w:r w:rsidRPr="00622884">
              <w:rPr>
                <w:rFonts w:ascii="Garamond" w:eastAsia="Calibri" w:hAnsi="Garamond" w:cs="Times New Roman"/>
                <w:sz w:val="16"/>
                <w:szCs w:val="16"/>
                <w:highlight w:val="red"/>
                <w:lang w:eastAsia="en-US" w:bidi="sq-AL"/>
              </w:rPr>
              <w:t>I lartë</w:t>
            </w:r>
          </w:p>
        </w:tc>
        <w:tc>
          <w:tcPr>
            <w:tcW w:w="2316" w:type="pct"/>
          </w:tcPr>
          <w:p w14:paraId="6F8F436C" w14:textId="77777777" w:rsidR="00622884" w:rsidRPr="00622884" w:rsidRDefault="00622884" w:rsidP="00622884">
            <w:pPr>
              <w:spacing w:after="0" w:line="240" w:lineRule="auto"/>
              <w:jc w:val="left"/>
              <w:rPr>
                <w:rFonts w:ascii="Garamond" w:eastAsia="Calibri" w:hAnsi="Garamond" w:cs="Calibri Light"/>
                <w:sz w:val="16"/>
                <w:szCs w:val="16"/>
                <w:lang w:eastAsia="en-US"/>
              </w:rPr>
            </w:pPr>
            <w:r w:rsidRPr="00622884">
              <w:rPr>
                <w:rFonts w:ascii="Garamond" w:eastAsia="Calibri" w:hAnsi="Garamond" w:cs="Times New Roman"/>
                <w:kern w:val="24"/>
                <w:sz w:val="16"/>
                <w:szCs w:val="16"/>
                <w:highlight w:val="darkRed"/>
                <w:lang w:eastAsia="en-US" w:bidi="sq-AL"/>
              </w:rPr>
              <w:t>Shumë i lartë</w:t>
            </w:r>
            <w:r w:rsidRPr="00622884">
              <w:rPr>
                <w:rFonts w:ascii="Garamond" w:eastAsia="Calibri" w:hAnsi="Garamond" w:cs="Times New Roman"/>
                <w:sz w:val="16"/>
                <w:szCs w:val="16"/>
                <w:lang w:eastAsia="en-US" w:bidi="sq-AL"/>
              </w:rPr>
              <w:t xml:space="preserve"> – </w:t>
            </w:r>
            <w:r w:rsidRPr="00622884">
              <w:rPr>
                <w:rFonts w:ascii="Garamond" w:eastAsia="Calibri" w:hAnsi="Garamond" w:cs="Times New Roman"/>
                <w:kern w:val="24"/>
                <w:sz w:val="16"/>
                <w:szCs w:val="16"/>
                <w:highlight w:val="darkRed"/>
                <w:lang w:eastAsia="en-US" w:bidi="sq-AL"/>
              </w:rPr>
              <w:t>Shumë i lartë</w:t>
            </w:r>
          </w:p>
        </w:tc>
      </w:tr>
      <w:tr w:rsidR="00622884" w:rsidRPr="00622884" w14:paraId="1518E542" w14:textId="77777777" w:rsidTr="00622884">
        <w:trPr>
          <w:trHeight w:val="264"/>
          <w:jc w:val="center"/>
        </w:trPr>
        <w:tc>
          <w:tcPr>
            <w:tcW w:w="1746" w:type="pct"/>
          </w:tcPr>
          <w:p w14:paraId="1FFDE6F5" w14:textId="77777777" w:rsidR="00622884" w:rsidRPr="00622884" w:rsidRDefault="00622884" w:rsidP="00622884">
            <w:pPr>
              <w:spacing w:after="0" w:line="240" w:lineRule="auto"/>
              <w:jc w:val="left"/>
              <w:rPr>
                <w:rFonts w:ascii="Garamond" w:eastAsia="Calibri" w:hAnsi="Garamond" w:cs="Calibri Light"/>
                <w:sz w:val="16"/>
                <w:szCs w:val="16"/>
                <w:lang w:eastAsia="en-US"/>
              </w:rPr>
            </w:pPr>
            <w:r w:rsidRPr="00622884">
              <w:rPr>
                <w:rFonts w:ascii="Garamond" w:eastAsia="Calibri" w:hAnsi="Garamond" w:cs="Times New Roman"/>
                <w:b/>
                <w:sz w:val="16"/>
                <w:szCs w:val="16"/>
                <w:lang w:eastAsia="en-US" w:bidi="sq-AL"/>
              </w:rPr>
              <w:t>Prodhues</w:t>
            </w:r>
          </w:p>
        </w:tc>
        <w:tc>
          <w:tcPr>
            <w:tcW w:w="938" w:type="pct"/>
          </w:tcPr>
          <w:p w14:paraId="6A920C7C" w14:textId="77777777" w:rsidR="00622884" w:rsidRPr="00622884" w:rsidRDefault="00622884" w:rsidP="00622884">
            <w:pPr>
              <w:spacing w:after="0" w:line="240" w:lineRule="auto"/>
              <w:rPr>
                <w:rFonts w:ascii="Garamond" w:eastAsia="Calibri" w:hAnsi="Garamond" w:cs="Calibri Light"/>
                <w:sz w:val="16"/>
                <w:szCs w:val="16"/>
                <w:highlight w:val="lightGray"/>
                <w:lang w:eastAsia="en-US"/>
              </w:rPr>
            </w:pPr>
            <w:r w:rsidRPr="00622884">
              <w:rPr>
                <w:rFonts w:ascii="Garamond" w:eastAsia="Calibri" w:hAnsi="Garamond" w:cs="Times New Roman"/>
                <w:sz w:val="16"/>
                <w:szCs w:val="16"/>
                <w:highlight w:val="lightGray"/>
                <w:lang w:eastAsia="en-US" w:bidi="sq-AL"/>
              </w:rPr>
              <w:t>I ulët</w:t>
            </w:r>
          </w:p>
        </w:tc>
        <w:tc>
          <w:tcPr>
            <w:tcW w:w="2316" w:type="pct"/>
          </w:tcPr>
          <w:p w14:paraId="7FF5D5D2" w14:textId="77777777" w:rsidR="00622884" w:rsidRPr="00622884" w:rsidRDefault="00622884" w:rsidP="00622884">
            <w:pPr>
              <w:spacing w:after="0" w:line="240" w:lineRule="auto"/>
              <w:jc w:val="left"/>
              <w:rPr>
                <w:rFonts w:ascii="Garamond" w:eastAsia="Calibri" w:hAnsi="Garamond" w:cs="Calibri Light"/>
                <w:sz w:val="16"/>
                <w:szCs w:val="16"/>
                <w:lang w:eastAsia="en-US"/>
              </w:rPr>
            </w:pPr>
            <w:r w:rsidRPr="00622884">
              <w:rPr>
                <w:rFonts w:ascii="Garamond" w:eastAsia="Calibri" w:hAnsi="Garamond" w:cs="Times New Roman"/>
                <w:kern w:val="24"/>
                <w:sz w:val="16"/>
                <w:szCs w:val="16"/>
                <w:highlight w:val="darkRed"/>
                <w:lang w:eastAsia="en-US" w:bidi="sq-AL"/>
              </w:rPr>
              <w:t>Shumë i lartë</w:t>
            </w:r>
            <w:r w:rsidRPr="00622884">
              <w:rPr>
                <w:rFonts w:ascii="Garamond" w:eastAsia="Calibri" w:hAnsi="Garamond" w:cs="Times New Roman"/>
                <w:sz w:val="16"/>
                <w:szCs w:val="16"/>
                <w:lang w:eastAsia="en-US" w:bidi="sq-AL"/>
              </w:rPr>
              <w:t xml:space="preserve"> – </w:t>
            </w:r>
            <w:r w:rsidRPr="00622884">
              <w:rPr>
                <w:rFonts w:ascii="Garamond" w:eastAsia="Calibri" w:hAnsi="Garamond" w:cs="Times New Roman"/>
                <w:kern w:val="24"/>
                <w:sz w:val="16"/>
                <w:szCs w:val="16"/>
                <w:highlight w:val="darkRed"/>
                <w:lang w:eastAsia="en-US" w:bidi="sq-AL"/>
              </w:rPr>
              <w:t>Shumë i lartë</w:t>
            </w:r>
          </w:p>
        </w:tc>
      </w:tr>
      <w:tr w:rsidR="00622884" w:rsidRPr="00622884" w14:paraId="2889653E" w14:textId="77777777" w:rsidTr="00622884">
        <w:trPr>
          <w:trHeight w:val="274"/>
          <w:jc w:val="center"/>
        </w:trPr>
        <w:tc>
          <w:tcPr>
            <w:tcW w:w="1746" w:type="pct"/>
          </w:tcPr>
          <w:p w14:paraId="771FD423" w14:textId="77777777" w:rsidR="00622884" w:rsidRPr="00622884" w:rsidRDefault="00622884" w:rsidP="00622884">
            <w:pPr>
              <w:spacing w:after="0" w:line="240" w:lineRule="auto"/>
              <w:jc w:val="left"/>
              <w:rPr>
                <w:rFonts w:ascii="Garamond" w:eastAsia="Calibri" w:hAnsi="Garamond" w:cs="Calibri Light"/>
                <w:sz w:val="16"/>
                <w:szCs w:val="16"/>
                <w:lang w:eastAsia="en-US"/>
              </w:rPr>
            </w:pPr>
            <w:r w:rsidRPr="00622884">
              <w:rPr>
                <w:rFonts w:ascii="Garamond" w:eastAsia="Calibri" w:hAnsi="Garamond" w:cs="Times New Roman"/>
                <w:b/>
                <w:sz w:val="16"/>
                <w:szCs w:val="16"/>
                <w:lang w:eastAsia="en-US" w:bidi="sq-AL"/>
              </w:rPr>
              <w:t>Rrjeti i furnizimit</w:t>
            </w:r>
          </w:p>
        </w:tc>
        <w:tc>
          <w:tcPr>
            <w:tcW w:w="938" w:type="pct"/>
          </w:tcPr>
          <w:p w14:paraId="1B1A47A4" w14:textId="77777777" w:rsidR="00622884" w:rsidRPr="00622884" w:rsidRDefault="00622884" w:rsidP="00622884">
            <w:pPr>
              <w:spacing w:after="0" w:line="240" w:lineRule="auto"/>
              <w:rPr>
                <w:rFonts w:ascii="Garamond" w:eastAsia="Calibri" w:hAnsi="Garamond" w:cs="Calibri Light"/>
                <w:sz w:val="16"/>
                <w:szCs w:val="16"/>
                <w:highlight w:val="lightGray"/>
                <w:lang w:eastAsia="en-US"/>
              </w:rPr>
            </w:pPr>
            <w:r w:rsidRPr="00622884">
              <w:rPr>
                <w:rFonts w:ascii="Garamond" w:eastAsia="Calibri" w:hAnsi="Garamond" w:cs="Times New Roman"/>
                <w:sz w:val="16"/>
                <w:szCs w:val="16"/>
                <w:highlight w:val="lightGray"/>
                <w:lang w:eastAsia="en-US" w:bidi="sq-AL"/>
              </w:rPr>
              <w:t>I ulët</w:t>
            </w:r>
          </w:p>
        </w:tc>
        <w:tc>
          <w:tcPr>
            <w:tcW w:w="2316" w:type="pct"/>
          </w:tcPr>
          <w:p w14:paraId="5A3B1B0B" w14:textId="77777777" w:rsidR="00622884" w:rsidRPr="00622884" w:rsidRDefault="00622884" w:rsidP="00622884">
            <w:pPr>
              <w:spacing w:after="0" w:line="240" w:lineRule="auto"/>
              <w:jc w:val="left"/>
              <w:rPr>
                <w:rFonts w:ascii="Garamond" w:eastAsia="Calibri" w:hAnsi="Garamond" w:cs="Calibri Light"/>
                <w:sz w:val="16"/>
                <w:szCs w:val="16"/>
                <w:lang w:eastAsia="en-US"/>
              </w:rPr>
            </w:pPr>
            <w:r w:rsidRPr="00622884">
              <w:rPr>
                <w:rFonts w:ascii="Garamond" w:eastAsia="Calibri" w:hAnsi="Garamond" w:cs="Times New Roman"/>
                <w:kern w:val="24"/>
                <w:sz w:val="16"/>
                <w:szCs w:val="16"/>
                <w:highlight w:val="darkRed"/>
                <w:lang w:eastAsia="en-US" w:bidi="sq-AL"/>
              </w:rPr>
              <w:t>Shumë i lartë</w:t>
            </w:r>
            <w:r w:rsidRPr="00622884">
              <w:rPr>
                <w:rFonts w:ascii="Garamond" w:eastAsia="Calibri" w:hAnsi="Garamond" w:cs="Times New Roman"/>
                <w:sz w:val="16"/>
                <w:szCs w:val="16"/>
                <w:lang w:eastAsia="en-US" w:bidi="sq-AL"/>
              </w:rPr>
              <w:t xml:space="preserve"> – </w:t>
            </w:r>
            <w:r w:rsidRPr="00622884">
              <w:rPr>
                <w:rFonts w:ascii="Garamond" w:eastAsia="Calibri" w:hAnsi="Garamond" w:cs="Times New Roman"/>
                <w:kern w:val="24"/>
                <w:sz w:val="16"/>
                <w:szCs w:val="16"/>
                <w:highlight w:val="darkRed"/>
                <w:lang w:eastAsia="en-US" w:bidi="sq-AL"/>
              </w:rPr>
              <w:t>Shumë i lartë</w:t>
            </w:r>
          </w:p>
        </w:tc>
      </w:tr>
    </w:tbl>
    <w:p w14:paraId="39FDB2BF" w14:textId="77777777" w:rsidR="00622884" w:rsidRPr="00622884" w:rsidRDefault="00622884" w:rsidP="00622884">
      <w:pPr>
        <w:spacing w:after="0" w:line="240" w:lineRule="auto"/>
        <w:ind w:firstLine="284"/>
        <w:rPr>
          <w:rFonts w:ascii="Garamond" w:eastAsia="SimSun" w:hAnsi="Garamond" w:cs="Calibri Light"/>
          <w:sz w:val="4"/>
          <w:szCs w:val="24"/>
          <w:lang w:eastAsia="en-US" w:bidi="sq-AL"/>
        </w:rPr>
      </w:pPr>
    </w:p>
    <w:p w14:paraId="54BF1E34" w14:textId="77777777" w:rsidR="00622884" w:rsidRPr="00622884" w:rsidRDefault="00622884" w:rsidP="00622884">
      <w:pPr>
        <w:spacing w:after="0" w:line="240" w:lineRule="auto"/>
        <w:ind w:firstLine="284"/>
        <w:rPr>
          <w:rFonts w:ascii="Garamond" w:eastAsia="SimSun" w:hAnsi="Garamond" w:cs="Calibri Light"/>
          <w:sz w:val="24"/>
          <w:szCs w:val="24"/>
          <w:lang w:eastAsia="en-US"/>
        </w:rPr>
      </w:pPr>
      <w:r w:rsidRPr="00622884">
        <w:rPr>
          <w:rFonts w:ascii="Garamond" w:eastAsia="SimSun" w:hAnsi="Garamond" w:cs="Calibri Light"/>
          <w:sz w:val="24"/>
          <w:szCs w:val="24"/>
          <w:lang w:eastAsia="en-US" w:bidi="sq-AL"/>
        </w:rPr>
        <w:t>Në të katërta zonat klimatike urbane risku aktual rritet në të ardhmen, kryesisht si “Shumë i lartë”, si për skenarin më të mirë të mundshëm, ashtu edhe për skenarin më të keq të mundshëm. Në veçanti, risku i ardhshëm në qytetet me popullsinë më të lartë (Tirana, Durrësi, Vlora, Fieri, Shkodra, Elbasani) dhe zona më e urbanizuar në vend (brezi bregdetar) vlerësohet si “Shumë i lartë”. Risku i ardhshëm për qytetet e tjera është “I lartë” për skenarin më të mirë të mundshëm dhe “Shumë i lartë” për skenarin më të keq të mundshëm. Në të gjithë nënsektorët urbanë (rezidencial, social, prodhues dhe furnizues) vihet re një rritje në “Risqe shumë të larta” në të ardhmen.</w:t>
      </w:r>
    </w:p>
    <w:p w14:paraId="42F6A268" w14:textId="77777777" w:rsidR="00622884" w:rsidRPr="00622884" w:rsidRDefault="00622884" w:rsidP="00622884">
      <w:pPr>
        <w:keepNext/>
        <w:spacing w:after="0" w:line="240" w:lineRule="auto"/>
        <w:ind w:firstLine="284"/>
        <w:mirrorIndents/>
        <w:rPr>
          <w:rFonts w:ascii="Garamond" w:eastAsia="Calibri Light" w:hAnsi="Garamond" w:cs="Calibri Light"/>
          <w:b/>
          <w:bCs/>
          <w:iCs/>
          <w:sz w:val="24"/>
          <w:szCs w:val="24"/>
          <w:lang w:eastAsia="en-US"/>
        </w:rPr>
      </w:pPr>
      <w:r w:rsidRPr="00622884">
        <w:rPr>
          <w:rFonts w:ascii="Garamond" w:eastAsia="Calibri Light" w:hAnsi="Garamond" w:cs="Calibri Light"/>
          <w:b/>
          <w:bCs/>
          <w:iCs/>
          <w:sz w:val="24"/>
          <w:szCs w:val="24"/>
          <w:lang w:eastAsia="en-US" w:bidi="sq-AL"/>
        </w:rPr>
        <w:t>Ndërsektorial</w:t>
      </w:r>
    </w:p>
    <w:p w14:paraId="0AC150BE" w14:textId="77777777" w:rsidR="00622884" w:rsidRPr="00622884" w:rsidRDefault="00622884" w:rsidP="00622884">
      <w:pPr>
        <w:spacing w:after="0" w:line="240" w:lineRule="auto"/>
        <w:ind w:firstLine="284"/>
        <w:rPr>
          <w:rFonts w:ascii="Garamond" w:eastAsia="SimSun" w:hAnsi="Garamond" w:cs="Calibri Light"/>
          <w:sz w:val="24"/>
          <w:szCs w:val="24"/>
          <w:lang w:eastAsia="ar-SA"/>
        </w:rPr>
      </w:pPr>
      <w:r w:rsidRPr="00622884">
        <w:rPr>
          <w:rFonts w:ascii="Garamond" w:eastAsia="SimSun" w:hAnsi="Garamond" w:cs="Calibri Light"/>
          <w:sz w:val="24"/>
          <w:szCs w:val="24"/>
          <w:lang w:eastAsia="en-US" w:bidi="sq-AL"/>
        </w:rPr>
        <w:t xml:space="preserve">Në këtë vlerësim ndër-sektorial vlerësohen risqet kombëtare, </w:t>
      </w:r>
      <w:bookmarkStart w:id="255" w:name="_Hlk204935206"/>
      <w:r w:rsidRPr="00622884">
        <w:rPr>
          <w:rFonts w:ascii="Garamond" w:eastAsia="SimSun" w:hAnsi="Garamond" w:cs="Calibri Light"/>
          <w:sz w:val="24"/>
          <w:szCs w:val="24"/>
          <w:lang w:eastAsia="en-US" w:bidi="sq-AL"/>
        </w:rPr>
        <w:t xml:space="preserve">ndërsektoriale </w:t>
      </w:r>
      <w:bookmarkEnd w:id="255"/>
      <w:r w:rsidRPr="00622884">
        <w:rPr>
          <w:rFonts w:ascii="Garamond" w:eastAsia="SimSun" w:hAnsi="Garamond" w:cs="Calibri Light"/>
          <w:sz w:val="24"/>
          <w:szCs w:val="24"/>
          <w:lang w:eastAsia="en-US" w:bidi="sq-AL"/>
        </w:rPr>
        <w:t>në vend dhe përdoren tabelat përmbledhëse të klasifikimit të riskut në raportet sektoriale</w:t>
      </w:r>
      <w:r w:rsidRPr="00622884">
        <w:rPr>
          <w:rFonts w:ascii="Garamond" w:eastAsia="SimSun" w:hAnsi="Garamond" w:cs="Calibri Light"/>
          <w:sz w:val="24"/>
          <w:szCs w:val="24"/>
          <w:vertAlign w:val="superscript"/>
          <w:lang w:eastAsia="en-US" w:bidi="sq-AL"/>
        </w:rPr>
        <w:footnoteReference w:id="198"/>
      </w:r>
      <w:r w:rsidRPr="00622884">
        <w:rPr>
          <w:rFonts w:ascii="Garamond" w:eastAsia="SimSun" w:hAnsi="Garamond" w:cs="Calibri Light"/>
          <w:sz w:val="24"/>
          <w:szCs w:val="24"/>
          <w:lang w:eastAsia="en-US" w:bidi="sq-AL"/>
        </w:rPr>
        <w:t>.</w:t>
      </w:r>
    </w:p>
    <w:p w14:paraId="35433E26" w14:textId="77777777" w:rsidR="00622884" w:rsidRPr="00622884" w:rsidRDefault="00622884" w:rsidP="00622884">
      <w:pPr>
        <w:spacing w:after="0" w:line="240" w:lineRule="auto"/>
        <w:ind w:firstLine="284"/>
        <w:jc w:val="right"/>
        <w:rPr>
          <w:rFonts w:ascii="Garamond" w:eastAsia="Aptos" w:hAnsi="Garamond" w:cs="Arial"/>
          <w:i/>
          <w:iCs/>
          <w:sz w:val="4"/>
          <w:szCs w:val="24"/>
          <w:lang w:eastAsia="en-US"/>
        </w:rPr>
      </w:pPr>
    </w:p>
    <w:p w14:paraId="6FB40953" w14:textId="77777777" w:rsidR="00622884" w:rsidRPr="00622884" w:rsidRDefault="00622884" w:rsidP="00622884">
      <w:pPr>
        <w:spacing w:after="0" w:line="240" w:lineRule="auto"/>
        <w:ind w:firstLine="284"/>
        <w:rPr>
          <w:rFonts w:ascii="Garamond" w:eastAsia="Aptos" w:hAnsi="Garamond" w:cs="Arial"/>
          <w:b/>
          <w:iCs/>
          <w:sz w:val="24"/>
          <w:szCs w:val="24"/>
          <w:lang w:eastAsia="en-US"/>
        </w:rPr>
      </w:pPr>
      <w:r w:rsidRPr="00622884">
        <w:rPr>
          <w:rFonts w:ascii="Garamond" w:eastAsia="Aptos" w:hAnsi="Garamond" w:cs="Arial"/>
          <w:b/>
          <w:iCs/>
          <w:sz w:val="24"/>
          <w:szCs w:val="24"/>
          <w:lang w:eastAsia="en-US"/>
        </w:rPr>
        <w:t>Tabela 8: Risqet aktuale dhe të ardhshme klimatike ndërsektoriale.</w:t>
      </w:r>
    </w:p>
    <w:tbl>
      <w:tblPr>
        <w:tblW w:w="0" w:type="auto"/>
        <w:jc w:val="center"/>
        <w:tblBorders>
          <w:top w:val="single" w:sz="4" w:space="0" w:color="1D3C5A"/>
          <w:left w:val="single" w:sz="4" w:space="0" w:color="1D3C5A"/>
          <w:bottom w:val="single" w:sz="4" w:space="0" w:color="1D3C5A"/>
          <w:right w:val="single" w:sz="4" w:space="0" w:color="1D3C5A"/>
          <w:insideH w:val="single" w:sz="4" w:space="0" w:color="1D3C5A"/>
          <w:insideV w:val="single" w:sz="4" w:space="0" w:color="1D3C5A"/>
        </w:tblBorders>
        <w:tblCellMar>
          <w:left w:w="0" w:type="dxa"/>
          <w:right w:w="0" w:type="dxa"/>
        </w:tblCellMar>
        <w:tblLook w:val="0420" w:firstRow="1" w:lastRow="0" w:firstColumn="0" w:lastColumn="0" w:noHBand="0" w:noVBand="1"/>
      </w:tblPr>
      <w:tblGrid>
        <w:gridCol w:w="2211"/>
        <w:gridCol w:w="873"/>
        <w:gridCol w:w="2942"/>
      </w:tblGrid>
      <w:tr w:rsidR="00622884" w:rsidRPr="00622884" w14:paraId="0620C45A" w14:textId="77777777" w:rsidTr="00622884">
        <w:trPr>
          <w:trHeight w:val="292"/>
          <w:jc w:val="center"/>
        </w:trPr>
        <w:tc>
          <w:tcPr>
            <w:tcW w:w="0" w:type="auto"/>
            <w:shd w:val="clear" w:color="auto" w:fill="215A5C"/>
            <w:tcMar>
              <w:top w:w="9" w:type="dxa"/>
              <w:left w:w="9" w:type="dxa"/>
              <w:bottom w:w="0" w:type="dxa"/>
              <w:right w:w="9" w:type="dxa"/>
            </w:tcMar>
            <w:vAlign w:val="center"/>
            <w:hideMark/>
          </w:tcPr>
          <w:p w14:paraId="68D6A6F7" w14:textId="77777777" w:rsidR="00622884" w:rsidRPr="00622884" w:rsidRDefault="00622884" w:rsidP="00622884">
            <w:pPr>
              <w:spacing w:after="0" w:line="240" w:lineRule="auto"/>
              <w:jc w:val="center"/>
              <w:textAlignment w:val="bottom"/>
              <w:rPr>
                <w:rFonts w:ascii="Garamond" w:eastAsia="Times New Roman" w:hAnsi="Garamond" w:cs="Calibri Light"/>
                <w:sz w:val="16"/>
                <w:szCs w:val="16"/>
                <w:lang w:eastAsia="en-GB"/>
              </w:rPr>
            </w:pPr>
            <w:r w:rsidRPr="00622884">
              <w:rPr>
                <w:rFonts w:ascii="Garamond" w:eastAsia="Calibri" w:hAnsi="Garamond" w:cs="Times New Roman"/>
                <w:b/>
                <w:kern w:val="24"/>
                <w:sz w:val="16"/>
                <w:szCs w:val="16"/>
                <w:lang w:eastAsia="en-US" w:bidi="sq-AL"/>
              </w:rPr>
              <w:lastRenderedPageBreak/>
              <w:t>NËNSEKTORI</w:t>
            </w:r>
          </w:p>
        </w:tc>
        <w:tc>
          <w:tcPr>
            <w:tcW w:w="0" w:type="auto"/>
            <w:shd w:val="clear" w:color="auto" w:fill="215A5C"/>
            <w:tcMar>
              <w:top w:w="9" w:type="dxa"/>
              <w:left w:w="9" w:type="dxa"/>
              <w:bottom w:w="0" w:type="dxa"/>
              <w:right w:w="9" w:type="dxa"/>
            </w:tcMar>
            <w:vAlign w:val="center"/>
            <w:hideMark/>
          </w:tcPr>
          <w:p w14:paraId="0DD04EA4" w14:textId="77777777" w:rsidR="00622884" w:rsidRPr="00622884" w:rsidRDefault="00622884" w:rsidP="00622884">
            <w:pPr>
              <w:spacing w:after="0" w:line="240" w:lineRule="auto"/>
              <w:jc w:val="center"/>
              <w:textAlignment w:val="bottom"/>
              <w:rPr>
                <w:rFonts w:ascii="Garamond" w:eastAsia="Times New Roman" w:hAnsi="Garamond" w:cs="Calibri Light"/>
                <w:sz w:val="16"/>
                <w:szCs w:val="16"/>
                <w:lang w:eastAsia="en-GB"/>
              </w:rPr>
            </w:pPr>
            <w:r w:rsidRPr="00622884">
              <w:rPr>
                <w:rFonts w:ascii="Garamond" w:eastAsia="Calibri" w:hAnsi="Garamond" w:cs="Times New Roman"/>
                <w:b/>
                <w:kern w:val="24"/>
                <w:sz w:val="16"/>
                <w:szCs w:val="16"/>
                <w:lang w:eastAsia="en-US" w:bidi="sq-AL"/>
              </w:rPr>
              <w:t>Risku aktual</w:t>
            </w:r>
          </w:p>
        </w:tc>
        <w:tc>
          <w:tcPr>
            <w:tcW w:w="0" w:type="auto"/>
            <w:shd w:val="clear" w:color="auto" w:fill="215A5C"/>
            <w:tcMar>
              <w:top w:w="9" w:type="dxa"/>
              <w:left w:w="9" w:type="dxa"/>
              <w:bottom w:w="0" w:type="dxa"/>
              <w:right w:w="9" w:type="dxa"/>
            </w:tcMar>
            <w:vAlign w:val="center"/>
            <w:hideMark/>
          </w:tcPr>
          <w:p w14:paraId="0B659531" w14:textId="77777777" w:rsidR="00622884" w:rsidRPr="00622884" w:rsidRDefault="00622884" w:rsidP="00622884">
            <w:pPr>
              <w:spacing w:after="0" w:line="240" w:lineRule="auto"/>
              <w:jc w:val="center"/>
              <w:textAlignment w:val="bottom"/>
              <w:rPr>
                <w:rFonts w:ascii="Garamond" w:eastAsia="Times New Roman" w:hAnsi="Garamond" w:cs="Calibri Light"/>
                <w:b/>
                <w:bCs/>
                <w:kern w:val="24"/>
                <w:sz w:val="16"/>
                <w:szCs w:val="16"/>
                <w:lang w:eastAsia="en-GB"/>
              </w:rPr>
            </w:pPr>
            <w:r w:rsidRPr="00622884">
              <w:rPr>
                <w:rFonts w:ascii="Garamond" w:eastAsia="Calibri" w:hAnsi="Garamond" w:cs="Times New Roman"/>
                <w:b/>
                <w:kern w:val="24"/>
                <w:sz w:val="16"/>
                <w:szCs w:val="16"/>
                <w:lang w:eastAsia="en-US" w:bidi="sq-AL"/>
              </w:rPr>
              <w:t>Risku i ardhshëm</w:t>
            </w:r>
          </w:p>
          <w:p w14:paraId="53192156" w14:textId="77777777" w:rsidR="00622884" w:rsidRPr="00622884" w:rsidRDefault="00622884" w:rsidP="00622884">
            <w:pPr>
              <w:spacing w:after="0" w:line="240" w:lineRule="auto"/>
              <w:jc w:val="center"/>
              <w:textAlignment w:val="bottom"/>
              <w:rPr>
                <w:rFonts w:ascii="Garamond" w:eastAsia="Times New Roman" w:hAnsi="Garamond" w:cs="Calibri Light"/>
                <w:sz w:val="16"/>
                <w:szCs w:val="16"/>
                <w:lang w:eastAsia="en-GB"/>
              </w:rPr>
            </w:pPr>
            <w:r w:rsidRPr="00622884">
              <w:rPr>
                <w:rFonts w:ascii="Garamond" w:eastAsia="Calibri" w:hAnsi="Garamond" w:cs="Times New Roman"/>
                <w:b/>
                <w:kern w:val="24"/>
                <w:sz w:val="16"/>
                <w:szCs w:val="16"/>
                <w:lang w:eastAsia="en-US" w:bidi="sq-AL"/>
              </w:rPr>
              <w:t>(skenari më i mirë – më i keq i mundshëm)</w:t>
            </w:r>
          </w:p>
        </w:tc>
      </w:tr>
      <w:tr w:rsidR="00622884" w:rsidRPr="00622884" w14:paraId="1141D363" w14:textId="77777777" w:rsidTr="00622884">
        <w:trPr>
          <w:trHeight w:val="292"/>
          <w:jc w:val="center"/>
        </w:trPr>
        <w:tc>
          <w:tcPr>
            <w:tcW w:w="0" w:type="auto"/>
            <w:gridSpan w:val="3"/>
            <w:shd w:val="clear" w:color="auto" w:fill="DFEAF5"/>
            <w:tcMar>
              <w:top w:w="9" w:type="dxa"/>
              <w:left w:w="9" w:type="dxa"/>
              <w:bottom w:w="0" w:type="dxa"/>
              <w:right w:w="9" w:type="dxa"/>
            </w:tcMar>
            <w:vAlign w:val="center"/>
            <w:hideMark/>
          </w:tcPr>
          <w:p w14:paraId="32195796" w14:textId="77777777" w:rsidR="00622884" w:rsidRPr="00622884" w:rsidRDefault="00622884" w:rsidP="00622884">
            <w:pPr>
              <w:spacing w:after="0" w:line="240" w:lineRule="auto"/>
              <w:textAlignment w:val="bottom"/>
              <w:rPr>
                <w:rFonts w:ascii="Garamond" w:eastAsia="Times New Roman" w:hAnsi="Garamond" w:cs="Calibri Light"/>
                <w:sz w:val="16"/>
                <w:szCs w:val="16"/>
                <w:lang w:eastAsia="en-GB"/>
              </w:rPr>
            </w:pPr>
            <w:r w:rsidRPr="00622884">
              <w:rPr>
                <w:rFonts w:ascii="Garamond" w:eastAsia="Calibri" w:hAnsi="Garamond" w:cs="Times New Roman"/>
                <w:b/>
                <w:kern w:val="24"/>
                <w:sz w:val="16"/>
                <w:szCs w:val="16"/>
                <w:lang w:eastAsia="en-US" w:bidi="sq-AL"/>
              </w:rPr>
              <w:t>BUJQËSIA</w:t>
            </w:r>
          </w:p>
        </w:tc>
      </w:tr>
      <w:tr w:rsidR="00622884" w:rsidRPr="00622884" w14:paraId="233A1976" w14:textId="77777777" w:rsidTr="00622884">
        <w:trPr>
          <w:trHeight w:val="292"/>
          <w:jc w:val="center"/>
        </w:trPr>
        <w:tc>
          <w:tcPr>
            <w:tcW w:w="0" w:type="auto"/>
            <w:tcMar>
              <w:top w:w="9" w:type="dxa"/>
              <w:left w:w="9" w:type="dxa"/>
              <w:bottom w:w="0" w:type="dxa"/>
              <w:right w:w="9" w:type="dxa"/>
            </w:tcMar>
            <w:vAlign w:val="center"/>
            <w:hideMark/>
          </w:tcPr>
          <w:p w14:paraId="255731CB" w14:textId="77777777" w:rsidR="00622884" w:rsidRPr="00622884" w:rsidRDefault="00622884" w:rsidP="00622884">
            <w:pPr>
              <w:spacing w:after="0" w:line="240" w:lineRule="auto"/>
              <w:textAlignment w:val="bottom"/>
              <w:rPr>
                <w:rFonts w:ascii="Garamond" w:eastAsia="Times New Roman" w:hAnsi="Garamond" w:cs="Calibri Light"/>
                <w:sz w:val="16"/>
                <w:szCs w:val="16"/>
                <w:highlight w:val="yellow"/>
                <w:lang w:eastAsia="en-GB"/>
              </w:rPr>
            </w:pPr>
            <w:r w:rsidRPr="00622884">
              <w:rPr>
                <w:rFonts w:ascii="Garamond" w:eastAsia="Calibri" w:hAnsi="Garamond" w:cs="Times New Roman"/>
                <w:kern w:val="24"/>
                <w:sz w:val="16"/>
                <w:szCs w:val="16"/>
                <w:lang w:eastAsia="en-US" w:bidi="sq-AL"/>
              </w:rPr>
              <w:t>Kulturat e përkohshme</w:t>
            </w:r>
          </w:p>
        </w:tc>
        <w:tc>
          <w:tcPr>
            <w:tcW w:w="0" w:type="auto"/>
            <w:tcMar>
              <w:top w:w="9" w:type="dxa"/>
              <w:left w:w="9" w:type="dxa"/>
              <w:bottom w:w="0" w:type="dxa"/>
              <w:right w:w="9" w:type="dxa"/>
            </w:tcMar>
            <w:vAlign w:val="center"/>
            <w:hideMark/>
          </w:tcPr>
          <w:p w14:paraId="1D1DEE66" w14:textId="77777777" w:rsidR="00622884" w:rsidRPr="00622884" w:rsidRDefault="00622884" w:rsidP="00622884">
            <w:pPr>
              <w:spacing w:after="0" w:line="240" w:lineRule="auto"/>
              <w:rPr>
                <w:rFonts w:ascii="Garamond" w:eastAsia="Times New Roman" w:hAnsi="Garamond" w:cs="Calibri Light"/>
                <w:sz w:val="16"/>
                <w:szCs w:val="16"/>
                <w:highlight w:val="yellow"/>
                <w:lang w:eastAsia="en-GB"/>
              </w:rPr>
            </w:pPr>
            <w:r w:rsidRPr="00622884">
              <w:rPr>
                <w:rFonts w:ascii="Garamond" w:eastAsia="Calibri" w:hAnsi="Garamond" w:cs="Times New Roman"/>
                <w:sz w:val="16"/>
                <w:szCs w:val="16"/>
                <w:highlight w:val="red"/>
                <w:lang w:eastAsia="en-US" w:bidi="sq-AL"/>
              </w:rPr>
              <w:t>I lartë</w:t>
            </w:r>
          </w:p>
        </w:tc>
        <w:tc>
          <w:tcPr>
            <w:tcW w:w="0" w:type="auto"/>
            <w:tcMar>
              <w:top w:w="9" w:type="dxa"/>
              <w:left w:w="9" w:type="dxa"/>
              <w:bottom w:w="0" w:type="dxa"/>
              <w:right w:w="9" w:type="dxa"/>
            </w:tcMar>
            <w:vAlign w:val="center"/>
            <w:hideMark/>
          </w:tcPr>
          <w:p w14:paraId="204F74A1" w14:textId="77777777" w:rsidR="00622884" w:rsidRPr="00622884" w:rsidRDefault="00622884" w:rsidP="00622884">
            <w:pPr>
              <w:spacing w:after="0" w:line="240" w:lineRule="auto"/>
              <w:textAlignment w:val="bottom"/>
              <w:rPr>
                <w:rFonts w:ascii="Garamond" w:eastAsia="Times New Roman" w:hAnsi="Garamond" w:cs="Calibri Light"/>
                <w:sz w:val="16"/>
                <w:szCs w:val="16"/>
                <w:highlight w:val="yellow"/>
                <w:lang w:eastAsia="en-GB"/>
              </w:rPr>
            </w:pPr>
            <w:r w:rsidRPr="00622884">
              <w:rPr>
                <w:rFonts w:ascii="Garamond" w:eastAsia="Calibri" w:hAnsi="Garamond" w:cs="Times New Roman"/>
                <w:kern w:val="24"/>
                <w:sz w:val="16"/>
                <w:szCs w:val="16"/>
                <w:highlight w:val="darkRed"/>
                <w:lang w:eastAsia="en-US" w:bidi="sq-AL"/>
              </w:rPr>
              <w:t>Shumë i lartë</w:t>
            </w:r>
            <w:r w:rsidRPr="00622884">
              <w:rPr>
                <w:rFonts w:ascii="Garamond" w:eastAsia="Calibri" w:hAnsi="Garamond" w:cs="Times New Roman"/>
                <w:kern w:val="24"/>
                <w:sz w:val="16"/>
                <w:szCs w:val="16"/>
                <w:lang w:eastAsia="en-US" w:bidi="sq-AL"/>
              </w:rPr>
              <w:t xml:space="preserve"> – </w:t>
            </w:r>
            <w:r w:rsidRPr="00622884">
              <w:rPr>
                <w:rFonts w:ascii="Garamond" w:eastAsia="Calibri" w:hAnsi="Garamond" w:cs="Times New Roman"/>
                <w:kern w:val="24"/>
                <w:sz w:val="16"/>
                <w:szCs w:val="16"/>
                <w:highlight w:val="darkRed"/>
                <w:lang w:eastAsia="en-US" w:bidi="sq-AL"/>
              </w:rPr>
              <w:t>Shumë i lartë</w:t>
            </w:r>
          </w:p>
        </w:tc>
      </w:tr>
      <w:tr w:rsidR="00622884" w:rsidRPr="00622884" w14:paraId="6AA42E4A" w14:textId="77777777" w:rsidTr="00622884">
        <w:trPr>
          <w:trHeight w:val="292"/>
          <w:jc w:val="center"/>
        </w:trPr>
        <w:tc>
          <w:tcPr>
            <w:tcW w:w="0" w:type="auto"/>
            <w:tcMar>
              <w:top w:w="9" w:type="dxa"/>
              <w:left w:w="9" w:type="dxa"/>
              <w:bottom w:w="0" w:type="dxa"/>
              <w:right w:w="9" w:type="dxa"/>
            </w:tcMar>
            <w:vAlign w:val="center"/>
            <w:hideMark/>
          </w:tcPr>
          <w:p w14:paraId="06EF7699" w14:textId="77777777" w:rsidR="00622884" w:rsidRPr="00622884" w:rsidRDefault="00622884" w:rsidP="00622884">
            <w:pPr>
              <w:spacing w:after="0" w:line="240" w:lineRule="auto"/>
              <w:textAlignment w:val="bottom"/>
              <w:rPr>
                <w:rFonts w:ascii="Garamond" w:eastAsia="Times New Roman" w:hAnsi="Garamond" w:cs="Calibri Light"/>
                <w:sz w:val="16"/>
                <w:szCs w:val="16"/>
                <w:lang w:eastAsia="en-GB"/>
              </w:rPr>
            </w:pPr>
            <w:r w:rsidRPr="00622884">
              <w:rPr>
                <w:rFonts w:ascii="Garamond" w:eastAsia="Calibri" w:hAnsi="Garamond" w:cs="Times New Roman"/>
                <w:kern w:val="24"/>
                <w:sz w:val="16"/>
                <w:szCs w:val="16"/>
                <w:lang w:eastAsia="en-US" w:bidi="sq-AL"/>
              </w:rPr>
              <w:t>Kulturat e përhershme</w:t>
            </w:r>
          </w:p>
        </w:tc>
        <w:tc>
          <w:tcPr>
            <w:tcW w:w="0" w:type="auto"/>
            <w:tcMar>
              <w:top w:w="9" w:type="dxa"/>
              <w:left w:w="9" w:type="dxa"/>
              <w:bottom w:w="0" w:type="dxa"/>
              <w:right w:w="9" w:type="dxa"/>
            </w:tcMar>
            <w:vAlign w:val="center"/>
            <w:hideMark/>
          </w:tcPr>
          <w:p w14:paraId="2BA57DEF" w14:textId="77777777" w:rsidR="00622884" w:rsidRPr="00622884" w:rsidRDefault="00622884" w:rsidP="00622884">
            <w:pPr>
              <w:spacing w:after="0" w:line="240" w:lineRule="auto"/>
              <w:textAlignment w:val="bottom"/>
              <w:rPr>
                <w:rFonts w:ascii="Garamond" w:eastAsia="Times New Roman" w:hAnsi="Garamond" w:cs="Calibri Light"/>
                <w:sz w:val="16"/>
                <w:szCs w:val="16"/>
                <w:lang w:eastAsia="en-GB"/>
              </w:rPr>
            </w:pPr>
            <w:r w:rsidRPr="00622884">
              <w:rPr>
                <w:rFonts w:ascii="Garamond" w:eastAsia="Calibri" w:hAnsi="Garamond" w:cs="Times New Roman"/>
                <w:sz w:val="16"/>
                <w:szCs w:val="16"/>
                <w:highlight w:val="yellow"/>
                <w:lang w:eastAsia="en-US" w:bidi="sq-AL"/>
              </w:rPr>
              <w:t>Mesatar</w:t>
            </w:r>
          </w:p>
        </w:tc>
        <w:tc>
          <w:tcPr>
            <w:tcW w:w="0" w:type="auto"/>
            <w:tcMar>
              <w:top w:w="9" w:type="dxa"/>
              <w:left w:w="9" w:type="dxa"/>
              <w:bottom w:w="0" w:type="dxa"/>
              <w:right w:w="9" w:type="dxa"/>
            </w:tcMar>
            <w:vAlign w:val="center"/>
            <w:hideMark/>
          </w:tcPr>
          <w:p w14:paraId="06DD1611" w14:textId="77777777" w:rsidR="00622884" w:rsidRPr="00622884" w:rsidRDefault="00622884" w:rsidP="00622884">
            <w:pPr>
              <w:spacing w:after="0" w:line="240" w:lineRule="auto"/>
              <w:textAlignment w:val="bottom"/>
              <w:rPr>
                <w:rFonts w:ascii="Garamond" w:eastAsia="Times New Roman" w:hAnsi="Garamond" w:cs="Calibri Light"/>
                <w:sz w:val="16"/>
                <w:szCs w:val="16"/>
                <w:lang w:eastAsia="en-GB"/>
              </w:rPr>
            </w:pPr>
            <w:r w:rsidRPr="00622884">
              <w:rPr>
                <w:rFonts w:ascii="Garamond" w:eastAsia="Calibri" w:hAnsi="Garamond" w:cs="Times New Roman"/>
                <w:sz w:val="16"/>
                <w:szCs w:val="16"/>
                <w:highlight w:val="yellow"/>
                <w:lang w:eastAsia="en-US" w:bidi="sq-AL"/>
              </w:rPr>
              <w:t>Mesatar</w:t>
            </w:r>
            <w:r w:rsidRPr="00622884">
              <w:rPr>
                <w:rFonts w:ascii="Garamond" w:eastAsia="Calibri" w:hAnsi="Garamond" w:cs="Times New Roman"/>
                <w:kern w:val="24"/>
                <w:sz w:val="16"/>
                <w:szCs w:val="16"/>
                <w:lang w:eastAsia="en-US" w:bidi="sq-AL"/>
              </w:rPr>
              <w:t xml:space="preserve"> – </w:t>
            </w:r>
            <w:r w:rsidRPr="00622884">
              <w:rPr>
                <w:rFonts w:ascii="Garamond" w:eastAsia="Calibri" w:hAnsi="Garamond" w:cs="Times New Roman"/>
                <w:kern w:val="24"/>
                <w:sz w:val="16"/>
                <w:szCs w:val="16"/>
                <w:highlight w:val="darkRed"/>
                <w:lang w:eastAsia="en-US" w:bidi="sq-AL"/>
              </w:rPr>
              <w:t>Shumë i lartë</w:t>
            </w:r>
          </w:p>
        </w:tc>
      </w:tr>
      <w:tr w:rsidR="00622884" w:rsidRPr="00622884" w14:paraId="26CC5E65" w14:textId="77777777" w:rsidTr="00622884">
        <w:trPr>
          <w:trHeight w:val="292"/>
          <w:jc w:val="center"/>
        </w:trPr>
        <w:tc>
          <w:tcPr>
            <w:tcW w:w="0" w:type="auto"/>
            <w:tcMar>
              <w:top w:w="9" w:type="dxa"/>
              <w:left w:w="9" w:type="dxa"/>
              <w:bottom w:w="0" w:type="dxa"/>
              <w:right w:w="9" w:type="dxa"/>
            </w:tcMar>
            <w:vAlign w:val="center"/>
            <w:hideMark/>
          </w:tcPr>
          <w:p w14:paraId="3790BBDA" w14:textId="77777777" w:rsidR="00622884" w:rsidRPr="00622884" w:rsidRDefault="00622884" w:rsidP="00622884">
            <w:pPr>
              <w:spacing w:after="0" w:line="240" w:lineRule="auto"/>
              <w:textAlignment w:val="bottom"/>
              <w:rPr>
                <w:rFonts w:ascii="Garamond" w:eastAsia="Times New Roman" w:hAnsi="Garamond" w:cs="Calibri Light"/>
                <w:sz w:val="16"/>
                <w:szCs w:val="16"/>
                <w:lang w:eastAsia="en-GB"/>
              </w:rPr>
            </w:pPr>
            <w:r w:rsidRPr="00622884">
              <w:rPr>
                <w:rFonts w:ascii="Garamond" w:eastAsia="Calibri" w:hAnsi="Garamond" w:cs="Times New Roman"/>
                <w:kern w:val="24"/>
                <w:sz w:val="16"/>
                <w:szCs w:val="16"/>
                <w:lang w:eastAsia="en-US" w:bidi="sq-AL"/>
              </w:rPr>
              <w:t>Gjedhët dhe kuajt</w:t>
            </w:r>
          </w:p>
        </w:tc>
        <w:tc>
          <w:tcPr>
            <w:tcW w:w="0" w:type="auto"/>
            <w:tcMar>
              <w:top w:w="9" w:type="dxa"/>
              <w:left w:w="9" w:type="dxa"/>
              <w:bottom w:w="0" w:type="dxa"/>
              <w:right w:w="9" w:type="dxa"/>
            </w:tcMar>
            <w:vAlign w:val="center"/>
            <w:hideMark/>
          </w:tcPr>
          <w:p w14:paraId="46837469" w14:textId="77777777" w:rsidR="00622884" w:rsidRPr="00622884" w:rsidRDefault="00622884" w:rsidP="00622884">
            <w:pPr>
              <w:spacing w:after="0" w:line="240" w:lineRule="auto"/>
              <w:textAlignment w:val="bottom"/>
              <w:rPr>
                <w:rFonts w:ascii="Garamond" w:eastAsia="Times New Roman" w:hAnsi="Garamond" w:cs="Calibri Light"/>
                <w:sz w:val="16"/>
                <w:szCs w:val="16"/>
                <w:lang w:eastAsia="en-GB"/>
              </w:rPr>
            </w:pPr>
            <w:r w:rsidRPr="00622884">
              <w:rPr>
                <w:rFonts w:ascii="Garamond" w:eastAsia="Calibri" w:hAnsi="Garamond" w:cs="Times New Roman"/>
                <w:sz w:val="16"/>
                <w:szCs w:val="16"/>
                <w:highlight w:val="yellow"/>
                <w:lang w:eastAsia="en-US" w:bidi="sq-AL"/>
              </w:rPr>
              <w:t>Mesatar</w:t>
            </w:r>
          </w:p>
        </w:tc>
        <w:tc>
          <w:tcPr>
            <w:tcW w:w="0" w:type="auto"/>
            <w:tcMar>
              <w:top w:w="9" w:type="dxa"/>
              <w:left w:w="9" w:type="dxa"/>
              <w:bottom w:w="0" w:type="dxa"/>
              <w:right w:w="9" w:type="dxa"/>
            </w:tcMar>
            <w:vAlign w:val="center"/>
            <w:hideMark/>
          </w:tcPr>
          <w:p w14:paraId="3C15AE4C" w14:textId="77777777" w:rsidR="00622884" w:rsidRPr="00622884" w:rsidRDefault="00622884" w:rsidP="00622884">
            <w:pPr>
              <w:spacing w:after="0" w:line="240" w:lineRule="auto"/>
              <w:rPr>
                <w:rFonts w:ascii="Garamond" w:eastAsia="Times New Roman" w:hAnsi="Garamond" w:cs="Calibri Light"/>
                <w:sz w:val="16"/>
                <w:szCs w:val="16"/>
                <w:lang w:eastAsia="en-GB"/>
              </w:rPr>
            </w:pPr>
            <w:r w:rsidRPr="00622884">
              <w:rPr>
                <w:rFonts w:ascii="Garamond" w:eastAsia="Calibri" w:hAnsi="Garamond" w:cs="Times New Roman"/>
                <w:sz w:val="16"/>
                <w:szCs w:val="16"/>
                <w:highlight w:val="red"/>
                <w:lang w:eastAsia="en-US" w:bidi="sq-AL"/>
              </w:rPr>
              <w:t xml:space="preserve">I lartë </w:t>
            </w:r>
            <w:r w:rsidRPr="00622884">
              <w:rPr>
                <w:rFonts w:ascii="Garamond" w:eastAsia="Calibri" w:hAnsi="Garamond" w:cs="Times New Roman"/>
                <w:sz w:val="16"/>
                <w:szCs w:val="16"/>
                <w:lang w:eastAsia="en-US" w:bidi="sq-AL"/>
              </w:rPr>
              <w:t xml:space="preserve">– </w:t>
            </w:r>
            <w:r w:rsidRPr="00622884">
              <w:rPr>
                <w:rFonts w:ascii="Garamond" w:eastAsia="Calibri" w:hAnsi="Garamond" w:cs="Times New Roman"/>
                <w:kern w:val="24"/>
                <w:sz w:val="16"/>
                <w:szCs w:val="16"/>
                <w:highlight w:val="darkRed"/>
                <w:lang w:eastAsia="en-US" w:bidi="sq-AL"/>
              </w:rPr>
              <w:t>Shumë i lartë</w:t>
            </w:r>
          </w:p>
        </w:tc>
      </w:tr>
      <w:tr w:rsidR="00622884" w:rsidRPr="00622884" w14:paraId="39056DE6" w14:textId="77777777" w:rsidTr="00622884">
        <w:trPr>
          <w:trHeight w:val="292"/>
          <w:jc w:val="center"/>
        </w:trPr>
        <w:tc>
          <w:tcPr>
            <w:tcW w:w="0" w:type="auto"/>
            <w:tcMar>
              <w:top w:w="9" w:type="dxa"/>
              <w:left w:w="9" w:type="dxa"/>
              <w:bottom w:w="0" w:type="dxa"/>
              <w:right w:w="9" w:type="dxa"/>
            </w:tcMar>
            <w:vAlign w:val="center"/>
            <w:hideMark/>
          </w:tcPr>
          <w:p w14:paraId="094E18CB" w14:textId="77777777" w:rsidR="00622884" w:rsidRPr="00622884" w:rsidRDefault="00622884" w:rsidP="00622884">
            <w:pPr>
              <w:spacing w:after="0" w:line="240" w:lineRule="auto"/>
              <w:textAlignment w:val="bottom"/>
              <w:rPr>
                <w:rFonts w:ascii="Garamond" w:eastAsia="Times New Roman" w:hAnsi="Garamond" w:cs="Calibri Light"/>
                <w:sz w:val="16"/>
                <w:szCs w:val="16"/>
                <w:lang w:eastAsia="en-GB"/>
              </w:rPr>
            </w:pPr>
            <w:r w:rsidRPr="00622884">
              <w:rPr>
                <w:rFonts w:ascii="Garamond" w:eastAsia="Calibri" w:hAnsi="Garamond" w:cs="Times New Roman"/>
                <w:kern w:val="24"/>
                <w:sz w:val="16"/>
                <w:szCs w:val="16"/>
                <w:lang w:eastAsia="en-US" w:bidi="sq-AL"/>
              </w:rPr>
              <w:t>Derrat dhe shpendët</w:t>
            </w:r>
          </w:p>
        </w:tc>
        <w:tc>
          <w:tcPr>
            <w:tcW w:w="0" w:type="auto"/>
            <w:tcMar>
              <w:top w:w="9" w:type="dxa"/>
              <w:left w:w="9" w:type="dxa"/>
              <w:bottom w:w="0" w:type="dxa"/>
              <w:right w:w="9" w:type="dxa"/>
            </w:tcMar>
            <w:vAlign w:val="center"/>
            <w:hideMark/>
          </w:tcPr>
          <w:p w14:paraId="1419DDE5" w14:textId="77777777" w:rsidR="00622884" w:rsidRPr="00622884" w:rsidRDefault="00622884" w:rsidP="00622884">
            <w:pPr>
              <w:spacing w:after="0" w:line="240" w:lineRule="auto"/>
              <w:rPr>
                <w:rFonts w:ascii="Garamond" w:eastAsia="Times New Roman" w:hAnsi="Garamond" w:cs="Calibri Light"/>
                <w:sz w:val="16"/>
                <w:szCs w:val="16"/>
                <w:lang w:eastAsia="en-GB"/>
              </w:rPr>
            </w:pPr>
            <w:r w:rsidRPr="00622884">
              <w:rPr>
                <w:rFonts w:ascii="Garamond" w:eastAsia="Calibri" w:hAnsi="Garamond" w:cs="Times New Roman"/>
                <w:sz w:val="16"/>
                <w:szCs w:val="16"/>
                <w:highlight w:val="lightGray"/>
                <w:lang w:eastAsia="en-US" w:bidi="sq-AL"/>
              </w:rPr>
              <w:t>I ulët</w:t>
            </w:r>
          </w:p>
        </w:tc>
        <w:tc>
          <w:tcPr>
            <w:tcW w:w="0" w:type="auto"/>
            <w:tcMar>
              <w:top w:w="9" w:type="dxa"/>
              <w:left w:w="9" w:type="dxa"/>
              <w:bottom w:w="0" w:type="dxa"/>
              <w:right w:w="9" w:type="dxa"/>
            </w:tcMar>
            <w:vAlign w:val="center"/>
            <w:hideMark/>
          </w:tcPr>
          <w:p w14:paraId="3F624BDF" w14:textId="77777777" w:rsidR="00622884" w:rsidRPr="00622884" w:rsidRDefault="00622884" w:rsidP="00622884">
            <w:pPr>
              <w:spacing w:after="0" w:line="240" w:lineRule="auto"/>
              <w:rPr>
                <w:rFonts w:ascii="Garamond" w:eastAsia="Times New Roman" w:hAnsi="Garamond" w:cs="Calibri Light"/>
                <w:sz w:val="16"/>
                <w:szCs w:val="16"/>
                <w:lang w:eastAsia="en-GB"/>
              </w:rPr>
            </w:pPr>
            <w:r w:rsidRPr="00622884">
              <w:rPr>
                <w:rFonts w:ascii="Garamond" w:eastAsia="Calibri" w:hAnsi="Garamond" w:cs="Times New Roman"/>
                <w:sz w:val="16"/>
                <w:szCs w:val="16"/>
                <w:highlight w:val="lightGray"/>
                <w:lang w:eastAsia="en-US" w:bidi="sq-AL"/>
              </w:rPr>
              <w:t>I ulët</w:t>
            </w:r>
            <w:r w:rsidRPr="00622884">
              <w:rPr>
                <w:rFonts w:ascii="Garamond" w:eastAsia="Calibri" w:hAnsi="Garamond" w:cs="Times New Roman"/>
                <w:kern w:val="24"/>
                <w:sz w:val="16"/>
                <w:szCs w:val="16"/>
                <w:lang w:eastAsia="en-US" w:bidi="sq-AL"/>
              </w:rPr>
              <w:t xml:space="preserve"> – </w:t>
            </w:r>
            <w:r w:rsidRPr="00622884">
              <w:rPr>
                <w:rFonts w:ascii="Garamond" w:eastAsia="Calibri" w:hAnsi="Garamond" w:cs="Times New Roman"/>
                <w:sz w:val="16"/>
                <w:szCs w:val="16"/>
                <w:highlight w:val="yellow"/>
                <w:lang w:eastAsia="en-US" w:bidi="sq-AL"/>
              </w:rPr>
              <w:t>Mesatar</w:t>
            </w:r>
          </w:p>
        </w:tc>
      </w:tr>
      <w:tr w:rsidR="00622884" w:rsidRPr="00622884" w14:paraId="280B2A8F" w14:textId="77777777" w:rsidTr="00622884">
        <w:trPr>
          <w:trHeight w:val="292"/>
          <w:jc w:val="center"/>
        </w:trPr>
        <w:tc>
          <w:tcPr>
            <w:tcW w:w="0" w:type="auto"/>
            <w:tcMar>
              <w:top w:w="9" w:type="dxa"/>
              <w:left w:w="9" w:type="dxa"/>
              <w:bottom w:w="0" w:type="dxa"/>
              <w:right w:w="9" w:type="dxa"/>
            </w:tcMar>
            <w:vAlign w:val="center"/>
            <w:hideMark/>
          </w:tcPr>
          <w:p w14:paraId="2055D9C3" w14:textId="77777777" w:rsidR="00622884" w:rsidRPr="00622884" w:rsidRDefault="00622884" w:rsidP="00622884">
            <w:pPr>
              <w:spacing w:after="0" w:line="240" w:lineRule="auto"/>
              <w:textAlignment w:val="bottom"/>
              <w:rPr>
                <w:rFonts w:ascii="Garamond" w:eastAsia="Times New Roman" w:hAnsi="Garamond" w:cs="Calibri Light"/>
                <w:sz w:val="16"/>
                <w:szCs w:val="16"/>
                <w:lang w:eastAsia="en-GB"/>
              </w:rPr>
            </w:pPr>
            <w:r w:rsidRPr="00622884">
              <w:rPr>
                <w:rFonts w:ascii="Garamond" w:eastAsia="Calibri" w:hAnsi="Garamond" w:cs="Times New Roman"/>
                <w:kern w:val="24"/>
                <w:sz w:val="16"/>
                <w:szCs w:val="16"/>
                <w:lang w:eastAsia="en-US" w:bidi="sq-AL"/>
              </w:rPr>
              <w:t>Delet dhe dhitë</w:t>
            </w:r>
          </w:p>
        </w:tc>
        <w:tc>
          <w:tcPr>
            <w:tcW w:w="0" w:type="auto"/>
            <w:tcMar>
              <w:top w:w="9" w:type="dxa"/>
              <w:left w:w="9" w:type="dxa"/>
              <w:bottom w:w="0" w:type="dxa"/>
              <w:right w:w="9" w:type="dxa"/>
            </w:tcMar>
            <w:vAlign w:val="center"/>
            <w:hideMark/>
          </w:tcPr>
          <w:p w14:paraId="188FD314" w14:textId="77777777" w:rsidR="00622884" w:rsidRPr="00622884" w:rsidRDefault="00622884" w:rsidP="00622884">
            <w:pPr>
              <w:spacing w:after="0" w:line="240" w:lineRule="auto"/>
              <w:rPr>
                <w:rFonts w:ascii="Garamond" w:eastAsia="Times New Roman" w:hAnsi="Garamond" w:cs="Calibri Light"/>
                <w:sz w:val="16"/>
                <w:szCs w:val="16"/>
                <w:lang w:eastAsia="en-GB"/>
              </w:rPr>
            </w:pPr>
            <w:r w:rsidRPr="00622884">
              <w:rPr>
                <w:rFonts w:ascii="Garamond" w:eastAsia="Calibri" w:hAnsi="Garamond" w:cs="Times New Roman"/>
                <w:sz w:val="16"/>
                <w:szCs w:val="16"/>
                <w:highlight w:val="lightGray"/>
                <w:lang w:eastAsia="en-US" w:bidi="sq-AL"/>
              </w:rPr>
              <w:t>I ulët</w:t>
            </w:r>
          </w:p>
        </w:tc>
        <w:tc>
          <w:tcPr>
            <w:tcW w:w="0" w:type="auto"/>
            <w:tcMar>
              <w:top w:w="9" w:type="dxa"/>
              <w:left w:w="9" w:type="dxa"/>
              <w:bottom w:w="0" w:type="dxa"/>
              <w:right w:w="9" w:type="dxa"/>
            </w:tcMar>
            <w:vAlign w:val="center"/>
            <w:hideMark/>
          </w:tcPr>
          <w:p w14:paraId="60A15372" w14:textId="77777777" w:rsidR="00622884" w:rsidRPr="00622884" w:rsidRDefault="00622884" w:rsidP="00622884">
            <w:pPr>
              <w:spacing w:after="0" w:line="240" w:lineRule="auto"/>
              <w:rPr>
                <w:rFonts w:ascii="Garamond" w:eastAsia="Times New Roman" w:hAnsi="Garamond" w:cs="Calibri Light"/>
                <w:sz w:val="16"/>
                <w:szCs w:val="16"/>
                <w:lang w:eastAsia="en-GB"/>
              </w:rPr>
            </w:pPr>
            <w:r w:rsidRPr="00622884">
              <w:rPr>
                <w:rFonts w:ascii="Garamond" w:eastAsia="Calibri" w:hAnsi="Garamond" w:cs="Times New Roman"/>
                <w:sz w:val="16"/>
                <w:szCs w:val="16"/>
                <w:highlight w:val="lightGray"/>
                <w:lang w:eastAsia="en-US" w:bidi="sq-AL"/>
              </w:rPr>
              <w:t>I ulët</w:t>
            </w:r>
            <w:r w:rsidRPr="00622884">
              <w:rPr>
                <w:rFonts w:ascii="Garamond" w:eastAsia="Calibri" w:hAnsi="Garamond" w:cs="Times New Roman"/>
                <w:kern w:val="24"/>
                <w:sz w:val="16"/>
                <w:szCs w:val="16"/>
                <w:lang w:eastAsia="en-US" w:bidi="sq-AL"/>
              </w:rPr>
              <w:t xml:space="preserve"> – </w:t>
            </w:r>
            <w:r w:rsidRPr="00622884">
              <w:rPr>
                <w:rFonts w:ascii="Garamond" w:eastAsia="Calibri" w:hAnsi="Garamond" w:cs="Times New Roman"/>
                <w:sz w:val="16"/>
                <w:szCs w:val="16"/>
                <w:highlight w:val="yellow"/>
                <w:lang w:eastAsia="en-US" w:bidi="sq-AL"/>
              </w:rPr>
              <w:t>Mesatar</w:t>
            </w:r>
          </w:p>
        </w:tc>
      </w:tr>
      <w:tr w:rsidR="00622884" w:rsidRPr="00622884" w14:paraId="12001B48" w14:textId="77777777" w:rsidTr="00622884">
        <w:trPr>
          <w:trHeight w:val="292"/>
          <w:jc w:val="center"/>
        </w:trPr>
        <w:tc>
          <w:tcPr>
            <w:tcW w:w="0" w:type="auto"/>
            <w:gridSpan w:val="3"/>
            <w:shd w:val="clear" w:color="auto" w:fill="DFEAF5"/>
            <w:tcMar>
              <w:top w:w="9" w:type="dxa"/>
              <w:left w:w="9" w:type="dxa"/>
              <w:bottom w:w="0" w:type="dxa"/>
              <w:right w:w="9" w:type="dxa"/>
            </w:tcMar>
            <w:vAlign w:val="center"/>
            <w:hideMark/>
          </w:tcPr>
          <w:p w14:paraId="4F6C8A3D" w14:textId="77777777" w:rsidR="00622884" w:rsidRPr="00622884" w:rsidRDefault="00622884" w:rsidP="00622884">
            <w:pPr>
              <w:spacing w:after="0" w:line="240" w:lineRule="auto"/>
              <w:textAlignment w:val="bottom"/>
              <w:rPr>
                <w:rFonts w:ascii="Garamond" w:eastAsia="Times New Roman" w:hAnsi="Garamond" w:cs="Calibri Light"/>
                <w:sz w:val="16"/>
                <w:szCs w:val="16"/>
                <w:lang w:eastAsia="en-GB"/>
              </w:rPr>
            </w:pPr>
            <w:r w:rsidRPr="00622884">
              <w:rPr>
                <w:rFonts w:ascii="Garamond" w:eastAsia="Calibri" w:hAnsi="Garamond" w:cs="Times New Roman"/>
                <w:b/>
                <w:kern w:val="24"/>
                <w:sz w:val="16"/>
                <w:szCs w:val="16"/>
                <w:lang w:eastAsia="en-US" w:bidi="sq-AL"/>
              </w:rPr>
              <w:t>TURIZMI</w:t>
            </w:r>
          </w:p>
        </w:tc>
      </w:tr>
      <w:tr w:rsidR="00622884" w:rsidRPr="00622884" w14:paraId="3DB96E74" w14:textId="77777777" w:rsidTr="00622884">
        <w:trPr>
          <w:trHeight w:val="292"/>
          <w:jc w:val="center"/>
        </w:trPr>
        <w:tc>
          <w:tcPr>
            <w:tcW w:w="0" w:type="auto"/>
            <w:tcMar>
              <w:top w:w="9" w:type="dxa"/>
              <w:left w:w="9" w:type="dxa"/>
              <w:bottom w:w="0" w:type="dxa"/>
              <w:right w:w="9" w:type="dxa"/>
            </w:tcMar>
            <w:vAlign w:val="center"/>
            <w:hideMark/>
          </w:tcPr>
          <w:p w14:paraId="292359D2" w14:textId="77777777" w:rsidR="00622884" w:rsidRPr="00622884" w:rsidRDefault="00622884" w:rsidP="00622884">
            <w:pPr>
              <w:spacing w:after="0" w:line="240" w:lineRule="auto"/>
              <w:textAlignment w:val="bottom"/>
              <w:rPr>
                <w:rFonts w:ascii="Garamond" w:eastAsia="Times New Roman" w:hAnsi="Garamond" w:cs="Calibri Light"/>
                <w:sz w:val="16"/>
                <w:szCs w:val="16"/>
                <w:lang w:eastAsia="en-GB"/>
              </w:rPr>
            </w:pPr>
            <w:r w:rsidRPr="00622884">
              <w:rPr>
                <w:rFonts w:ascii="Garamond" w:eastAsia="Calibri" w:hAnsi="Garamond" w:cs="Times New Roman"/>
                <w:kern w:val="24"/>
                <w:sz w:val="16"/>
                <w:szCs w:val="16"/>
                <w:lang w:eastAsia="en-US" w:bidi="sq-AL"/>
              </w:rPr>
              <w:t>Turizmi bregdetar</w:t>
            </w:r>
          </w:p>
        </w:tc>
        <w:tc>
          <w:tcPr>
            <w:tcW w:w="0" w:type="auto"/>
            <w:tcMar>
              <w:top w:w="9" w:type="dxa"/>
              <w:left w:w="9" w:type="dxa"/>
              <w:bottom w:w="0" w:type="dxa"/>
              <w:right w:w="9" w:type="dxa"/>
            </w:tcMar>
            <w:vAlign w:val="center"/>
            <w:hideMark/>
          </w:tcPr>
          <w:p w14:paraId="4C399DC3" w14:textId="77777777" w:rsidR="00622884" w:rsidRPr="00622884" w:rsidRDefault="00622884" w:rsidP="00622884">
            <w:pPr>
              <w:spacing w:after="0" w:line="240" w:lineRule="auto"/>
              <w:rPr>
                <w:rFonts w:ascii="Garamond" w:eastAsia="Times New Roman" w:hAnsi="Garamond" w:cs="Calibri Light"/>
                <w:sz w:val="16"/>
                <w:szCs w:val="16"/>
                <w:lang w:eastAsia="en-GB"/>
              </w:rPr>
            </w:pPr>
            <w:r w:rsidRPr="00622884">
              <w:rPr>
                <w:rFonts w:ascii="Garamond" w:eastAsia="Calibri" w:hAnsi="Garamond" w:cs="Times New Roman"/>
                <w:sz w:val="16"/>
                <w:szCs w:val="16"/>
                <w:highlight w:val="lightGray"/>
                <w:lang w:eastAsia="en-US" w:bidi="sq-AL"/>
              </w:rPr>
              <w:t>I ulët</w:t>
            </w:r>
          </w:p>
        </w:tc>
        <w:tc>
          <w:tcPr>
            <w:tcW w:w="0" w:type="auto"/>
            <w:tcMar>
              <w:top w:w="9" w:type="dxa"/>
              <w:left w:w="9" w:type="dxa"/>
              <w:bottom w:w="0" w:type="dxa"/>
              <w:right w:w="9" w:type="dxa"/>
            </w:tcMar>
            <w:vAlign w:val="center"/>
            <w:hideMark/>
          </w:tcPr>
          <w:p w14:paraId="59661ED3" w14:textId="77777777" w:rsidR="00622884" w:rsidRPr="00622884" w:rsidRDefault="00622884" w:rsidP="00622884">
            <w:pPr>
              <w:spacing w:after="0" w:line="240" w:lineRule="auto"/>
              <w:rPr>
                <w:rFonts w:ascii="Garamond" w:eastAsia="Times New Roman" w:hAnsi="Garamond" w:cs="Calibri Light"/>
                <w:sz w:val="16"/>
                <w:szCs w:val="16"/>
                <w:lang w:eastAsia="en-GB"/>
              </w:rPr>
            </w:pPr>
            <w:r w:rsidRPr="00622884">
              <w:rPr>
                <w:rFonts w:ascii="Garamond" w:eastAsia="Calibri" w:hAnsi="Garamond" w:cs="Times New Roman"/>
                <w:sz w:val="16"/>
                <w:szCs w:val="16"/>
                <w:highlight w:val="red"/>
                <w:lang w:eastAsia="en-US" w:bidi="sq-AL"/>
              </w:rPr>
              <w:t>I lartë</w:t>
            </w:r>
            <w:r w:rsidRPr="00622884">
              <w:rPr>
                <w:rFonts w:ascii="Garamond" w:eastAsia="Calibri" w:hAnsi="Garamond" w:cs="Times New Roman"/>
                <w:kern w:val="24"/>
                <w:sz w:val="16"/>
                <w:szCs w:val="16"/>
                <w:lang w:eastAsia="en-US" w:bidi="sq-AL"/>
              </w:rPr>
              <w:t xml:space="preserve"> – </w:t>
            </w:r>
            <w:r w:rsidRPr="00622884">
              <w:rPr>
                <w:rFonts w:ascii="Garamond" w:eastAsia="Calibri" w:hAnsi="Garamond" w:cs="Times New Roman"/>
                <w:kern w:val="24"/>
                <w:sz w:val="16"/>
                <w:szCs w:val="16"/>
                <w:highlight w:val="darkRed"/>
                <w:lang w:eastAsia="en-US" w:bidi="sq-AL"/>
              </w:rPr>
              <w:t>Shumë i lartë</w:t>
            </w:r>
          </w:p>
        </w:tc>
      </w:tr>
      <w:tr w:rsidR="00622884" w:rsidRPr="00622884" w14:paraId="7C425728" w14:textId="77777777" w:rsidTr="00622884">
        <w:trPr>
          <w:trHeight w:val="292"/>
          <w:jc w:val="center"/>
        </w:trPr>
        <w:tc>
          <w:tcPr>
            <w:tcW w:w="0" w:type="auto"/>
            <w:tcMar>
              <w:top w:w="9" w:type="dxa"/>
              <w:left w:w="9" w:type="dxa"/>
              <w:bottom w:w="0" w:type="dxa"/>
              <w:right w:w="9" w:type="dxa"/>
            </w:tcMar>
            <w:vAlign w:val="center"/>
            <w:hideMark/>
          </w:tcPr>
          <w:p w14:paraId="0DCF1DE7" w14:textId="77777777" w:rsidR="00622884" w:rsidRPr="00622884" w:rsidRDefault="00622884" w:rsidP="00622884">
            <w:pPr>
              <w:spacing w:after="0" w:line="240" w:lineRule="auto"/>
              <w:textAlignment w:val="bottom"/>
              <w:rPr>
                <w:rFonts w:ascii="Garamond" w:eastAsia="Times New Roman" w:hAnsi="Garamond" w:cs="Calibri Light"/>
                <w:sz w:val="16"/>
                <w:szCs w:val="16"/>
                <w:highlight w:val="yellow"/>
                <w:lang w:eastAsia="en-GB"/>
              </w:rPr>
            </w:pPr>
            <w:r w:rsidRPr="00622884">
              <w:rPr>
                <w:rFonts w:ascii="Garamond" w:eastAsia="Calibri" w:hAnsi="Garamond" w:cs="Times New Roman"/>
                <w:kern w:val="24"/>
                <w:sz w:val="16"/>
                <w:szCs w:val="16"/>
                <w:lang w:eastAsia="en-US" w:bidi="sq-AL"/>
              </w:rPr>
              <w:t>Ekoturizmi</w:t>
            </w:r>
          </w:p>
        </w:tc>
        <w:tc>
          <w:tcPr>
            <w:tcW w:w="0" w:type="auto"/>
            <w:tcMar>
              <w:top w:w="9" w:type="dxa"/>
              <w:left w:w="9" w:type="dxa"/>
              <w:bottom w:w="0" w:type="dxa"/>
              <w:right w:w="9" w:type="dxa"/>
            </w:tcMar>
            <w:vAlign w:val="center"/>
            <w:hideMark/>
          </w:tcPr>
          <w:p w14:paraId="5DBADE83" w14:textId="77777777" w:rsidR="00622884" w:rsidRPr="00622884" w:rsidRDefault="00622884" w:rsidP="00622884">
            <w:pPr>
              <w:spacing w:after="0" w:line="240" w:lineRule="auto"/>
              <w:textAlignment w:val="bottom"/>
              <w:rPr>
                <w:rFonts w:ascii="Garamond" w:eastAsia="Times New Roman" w:hAnsi="Garamond" w:cs="Calibri Light"/>
                <w:sz w:val="16"/>
                <w:szCs w:val="16"/>
                <w:highlight w:val="yellow"/>
                <w:lang w:eastAsia="en-GB"/>
              </w:rPr>
            </w:pPr>
            <w:r w:rsidRPr="00622884">
              <w:rPr>
                <w:rFonts w:ascii="Garamond" w:eastAsia="Calibri" w:hAnsi="Garamond" w:cs="Times New Roman"/>
                <w:sz w:val="16"/>
                <w:szCs w:val="16"/>
                <w:highlight w:val="yellow"/>
                <w:lang w:eastAsia="en-US" w:bidi="sq-AL"/>
              </w:rPr>
              <w:t>Mesatar</w:t>
            </w:r>
          </w:p>
        </w:tc>
        <w:tc>
          <w:tcPr>
            <w:tcW w:w="0" w:type="auto"/>
            <w:tcMar>
              <w:top w:w="9" w:type="dxa"/>
              <w:left w:w="9" w:type="dxa"/>
              <w:bottom w:w="0" w:type="dxa"/>
              <w:right w:w="9" w:type="dxa"/>
            </w:tcMar>
            <w:vAlign w:val="center"/>
            <w:hideMark/>
          </w:tcPr>
          <w:p w14:paraId="64F73F40" w14:textId="77777777" w:rsidR="00622884" w:rsidRPr="00622884" w:rsidRDefault="00622884" w:rsidP="00622884">
            <w:pPr>
              <w:spacing w:after="0" w:line="240" w:lineRule="auto"/>
              <w:textAlignment w:val="bottom"/>
              <w:rPr>
                <w:rFonts w:ascii="Garamond" w:eastAsia="Times New Roman" w:hAnsi="Garamond" w:cs="Calibri Light"/>
                <w:sz w:val="16"/>
                <w:szCs w:val="16"/>
                <w:highlight w:val="yellow"/>
                <w:lang w:eastAsia="en-GB"/>
              </w:rPr>
            </w:pPr>
            <w:r w:rsidRPr="00622884">
              <w:rPr>
                <w:rFonts w:ascii="Garamond" w:eastAsia="Calibri" w:hAnsi="Garamond" w:cs="Times New Roman"/>
                <w:kern w:val="24"/>
                <w:sz w:val="16"/>
                <w:szCs w:val="16"/>
                <w:highlight w:val="darkRed"/>
                <w:lang w:eastAsia="en-US" w:bidi="sq-AL"/>
              </w:rPr>
              <w:t>Shumë i lartë</w:t>
            </w:r>
            <w:r w:rsidRPr="00622884">
              <w:rPr>
                <w:rFonts w:ascii="Garamond" w:eastAsia="Calibri" w:hAnsi="Garamond" w:cs="Times New Roman"/>
                <w:kern w:val="24"/>
                <w:sz w:val="16"/>
                <w:szCs w:val="16"/>
                <w:lang w:eastAsia="en-US" w:bidi="sq-AL"/>
              </w:rPr>
              <w:t xml:space="preserve"> – </w:t>
            </w:r>
            <w:r w:rsidRPr="00622884">
              <w:rPr>
                <w:rFonts w:ascii="Garamond" w:eastAsia="Calibri" w:hAnsi="Garamond" w:cs="Times New Roman"/>
                <w:kern w:val="24"/>
                <w:sz w:val="16"/>
                <w:szCs w:val="16"/>
                <w:highlight w:val="darkRed"/>
                <w:lang w:eastAsia="en-US" w:bidi="sq-AL"/>
              </w:rPr>
              <w:t>Shumë i lartë</w:t>
            </w:r>
          </w:p>
        </w:tc>
      </w:tr>
      <w:tr w:rsidR="00622884" w:rsidRPr="00622884" w14:paraId="76B91E7E" w14:textId="77777777" w:rsidTr="00622884">
        <w:trPr>
          <w:trHeight w:val="292"/>
          <w:jc w:val="center"/>
        </w:trPr>
        <w:tc>
          <w:tcPr>
            <w:tcW w:w="0" w:type="auto"/>
            <w:tcMar>
              <w:top w:w="9" w:type="dxa"/>
              <w:left w:w="9" w:type="dxa"/>
              <w:bottom w:w="0" w:type="dxa"/>
              <w:right w:w="9" w:type="dxa"/>
            </w:tcMar>
            <w:vAlign w:val="center"/>
            <w:hideMark/>
          </w:tcPr>
          <w:p w14:paraId="1816A2BA" w14:textId="77777777" w:rsidR="00622884" w:rsidRPr="00622884" w:rsidRDefault="00622884" w:rsidP="00622884">
            <w:pPr>
              <w:spacing w:after="0" w:line="240" w:lineRule="auto"/>
              <w:textAlignment w:val="bottom"/>
              <w:rPr>
                <w:rFonts w:ascii="Garamond" w:eastAsia="Times New Roman" w:hAnsi="Garamond" w:cs="Calibri Light"/>
                <w:sz w:val="16"/>
                <w:szCs w:val="16"/>
                <w:lang w:eastAsia="en-GB"/>
              </w:rPr>
            </w:pPr>
            <w:r w:rsidRPr="00622884">
              <w:rPr>
                <w:rFonts w:ascii="Garamond" w:eastAsia="Calibri" w:hAnsi="Garamond" w:cs="Times New Roman"/>
                <w:kern w:val="24"/>
                <w:sz w:val="16"/>
                <w:szCs w:val="16"/>
                <w:lang w:eastAsia="en-US" w:bidi="sq-AL"/>
              </w:rPr>
              <w:t>Qytetar dhe artistik</w:t>
            </w:r>
          </w:p>
        </w:tc>
        <w:tc>
          <w:tcPr>
            <w:tcW w:w="0" w:type="auto"/>
            <w:tcMar>
              <w:top w:w="9" w:type="dxa"/>
              <w:left w:w="9" w:type="dxa"/>
              <w:bottom w:w="0" w:type="dxa"/>
              <w:right w:w="9" w:type="dxa"/>
            </w:tcMar>
            <w:vAlign w:val="center"/>
            <w:hideMark/>
          </w:tcPr>
          <w:p w14:paraId="376D8386" w14:textId="77777777" w:rsidR="00622884" w:rsidRPr="00622884" w:rsidRDefault="00622884" w:rsidP="00622884">
            <w:pPr>
              <w:spacing w:after="0" w:line="240" w:lineRule="auto"/>
              <w:rPr>
                <w:rFonts w:ascii="Garamond" w:eastAsia="Times New Roman" w:hAnsi="Garamond" w:cs="Calibri Light"/>
                <w:sz w:val="16"/>
                <w:szCs w:val="16"/>
                <w:lang w:eastAsia="en-GB"/>
              </w:rPr>
            </w:pPr>
            <w:r w:rsidRPr="00622884">
              <w:rPr>
                <w:rFonts w:ascii="Garamond" w:eastAsia="Calibri" w:hAnsi="Garamond" w:cs="Times New Roman"/>
                <w:sz w:val="16"/>
                <w:szCs w:val="16"/>
                <w:highlight w:val="lightGray"/>
                <w:lang w:eastAsia="en-US" w:bidi="sq-AL"/>
              </w:rPr>
              <w:t>I ulët</w:t>
            </w:r>
          </w:p>
        </w:tc>
        <w:tc>
          <w:tcPr>
            <w:tcW w:w="0" w:type="auto"/>
            <w:tcMar>
              <w:top w:w="9" w:type="dxa"/>
              <w:left w:w="9" w:type="dxa"/>
              <w:bottom w:w="0" w:type="dxa"/>
              <w:right w:w="9" w:type="dxa"/>
            </w:tcMar>
            <w:vAlign w:val="center"/>
            <w:hideMark/>
          </w:tcPr>
          <w:p w14:paraId="7F5B903B" w14:textId="77777777" w:rsidR="00622884" w:rsidRPr="00622884" w:rsidRDefault="00622884" w:rsidP="00622884">
            <w:pPr>
              <w:spacing w:after="0" w:line="240" w:lineRule="auto"/>
              <w:textAlignment w:val="bottom"/>
              <w:rPr>
                <w:rFonts w:ascii="Garamond" w:eastAsia="Times New Roman" w:hAnsi="Garamond" w:cs="Calibri Light"/>
                <w:sz w:val="16"/>
                <w:szCs w:val="16"/>
                <w:lang w:eastAsia="en-GB"/>
              </w:rPr>
            </w:pPr>
            <w:r w:rsidRPr="00622884">
              <w:rPr>
                <w:rFonts w:ascii="Garamond" w:eastAsia="Calibri" w:hAnsi="Garamond" w:cs="Times New Roman"/>
                <w:sz w:val="16"/>
                <w:szCs w:val="16"/>
                <w:highlight w:val="yellow"/>
                <w:lang w:eastAsia="en-US" w:bidi="sq-AL"/>
              </w:rPr>
              <w:t>Mesatar</w:t>
            </w:r>
            <w:r w:rsidRPr="00622884">
              <w:rPr>
                <w:rFonts w:ascii="Garamond" w:eastAsia="Calibri" w:hAnsi="Garamond" w:cs="Times New Roman"/>
                <w:kern w:val="24"/>
                <w:sz w:val="16"/>
                <w:szCs w:val="16"/>
                <w:lang w:eastAsia="en-US" w:bidi="sq-AL"/>
              </w:rPr>
              <w:t xml:space="preserve"> – </w:t>
            </w:r>
            <w:r w:rsidRPr="00622884">
              <w:rPr>
                <w:rFonts w:ascii="Garamond" w:eastAsia="Calibri" w:hAnsi="Garamond" w:cs="Times New Roman"/>
                <w:sz w:val="16"/>
                <w:szCs w:val="16"/>
                <w:highlight w:val="red"/>
                <w:lang w:eastAsia="en-US" w:bidi="sq-AL"/>
              </w:rPr>
              <w:t>I lartë</w:t>
            </w:r>
          </w:p>
        </w:tc>
      </w:tr>
      <w:tr w:rsidR="00622884" w:rsidRPr="00622884" w14:paraId="633C56D9" w14:textId="77777777" w:rsidTr="00622884">
        <w:trPr>
          <w:trHeight w:val="292"/>
          <w:jc w:val="center"/>
        </w:trPr>
        <w:tc>
          <w:tcPr>
            <w:tcW w:w="0" w:type="auto"/>
            <w:tcMar>
              <w:top w:w="9" w:type="dxa"/>
              <w:left w:w="9" w:type="dxa"/>
              <w:bottom w:w="0" w:type="dxa"/>
              <w:right w:w="9" w:type="dxa"/>
            </w:tcMar>
            <w:vAlign w:val="center"/>
            <w:hideMark/>
          </w:tcPr>
          <w:p w14:paraId="36D3B9BE" w14:textId="77777777" w:rsidR="00622884" w:rsidRPr="00622884" w:rsidRDefault="00622884" w:rsidP="00622884">
            <w:pPr>
              <w:spacing w:after="0" w:line="240" w:lineRule="auto"/>
              <w:textAlignment w:val="bottom"/>
              <w:rPr>
                <w:rFonts w:ascii="Garamond" w:eastAsia="Times New Roman" w:hAnsi="Garamond" w:cs="Calibri Light"/>
                <w:sz w:val="16"/>
                <w:szCs w:val="16"/>
                <w:lang w:eastAsia="en-GB"/>
              </w:rPr>
            </w:pPr>
            <w:r w:rsidRPr="00622884">
              <w:rPr>
                <w:rFonts w:ascii="Garamond" w:eastAsia="Calibri" w:hAnsi="Garamond" w:cs="Times New Roman"/>
                <w:kern w:val="24"/>
                <w:sz w:val="16"/>
                <w:szCs w:val="16"/>
                <w:lang w:eastAsia="en-US" w:bidi="sq-AL"/>
              </w:rPr>
              <w:t>Trashëgimia kulturore</w:t>
            </w:r>
          </w:p>
        </w:tc>
        <w:tc>
          <w:tcPr>
            <w:tcW w:w="0" w:type="auto"/>
            <w:tcMar>
              <w:top w:w="9" w:type="dxa"/>
              <w:left w:w="9" w:type="dxa"/>
              <w:bottom w:w="0" w:type="dxa"/>
              <w:right w:w="9" w:type="dxa"/>
            </w:tcMar>
            <w:vAlign w:val="center"/>
            <w:hideMark/>
          </w:tcPr>
          <w:p w14:paraId="73896C23" w14:textId="77777777" w:rsidR="00622884" w:rsidRPr="00622884" w:rsidRDefault="00622884" w:rsidP="00622884">
            <w:pPr>
              <w:spacing w:after="0" w:line="240" w:lineRule="auto"/>
              <w:textAlignment w:val="bottom"/>
              <w:rPr>
                <w:rFonts w:ascii="Garamond" w:eastAsia="Times New Roman" w:hAnsi="Garamond" w:cs="Calibri Light"/>
                <w:sz w:val="16"/>
                <w:szCs w:val="16"/>
                <w:lang w:eastAsia="en-GB"/>
              </w:rPr>
            </w:pPr>
            <w:r w:rsidRPr="00622884">
              <w:rPr>
                <w:rFonts w:ascii="Garamond" w:eastAsia="Calibri" w:hAnsi="Garamond" w:cs="Times New Roman"/>
                <w:sz w:val="16"/>
                <w:szCs w:val="16"/>
                <w:highlight w:val="yellow"/>
                <w:lang w:eastAsia="en-US" w:bidi="sq-AL"/>
              </w:rPr>
              <w:t>Mesatar</w:t>
            </w:r>
          </w:p>
        </w:tc>
        <w:tc>
          <w:tcPr>
            <w:tcW w:w="0" w:type="auto"/>
            <w:tcMar>
              <w:top w:w="9" w:type="dxa"/>
              <w:left w:w="9" w:type="dxa"/>
              <w:bottom w:w="0" w:type="dxa"/>
              <w:right w:w="9" w:type="dxa"/>
            </w:tcMar>
            <w:vAlign w:val="center"/>
            <w:hideMark/>
          </w:tcPr>
          <w:p w14:paraId="7A066ACE" w14:textId="77777777" w:rsidR="00622884" w:rsidRPr="00622884" w:rsidRDefault="00622884" w:rsidP="00622884">
            <w:pPr>
              <w:spacing w:after="0" w:line="240" w:lineRule="auto"/>
              <w:textAlignment w:val="bottom"/>
              <w:rPr>
                <w:rFonts w:ascii="Garamond" w:eastAsia="Times New Roman" w:hAnsi="Garamond" w:cs="Calibri Light"/>
                <w:sz w:val="16"/>
                <w:szCs w:val="16"/>
                <w:lang w:eastAsia="en-GB"/>
              </w:rPr>
            </w:pPr>
            <w:r w:rsidRPr="00622884">
              <w:rPr>
                <w:rFonts w:ascii="Garamond" w:eastAsia="Calibri" w:hAnsi="Garamond" w:cs="Times New Roman"/>
                <w:sz w:val="16"/>
                <w:szCs w:val="16"/>
                <w:highlight w:val="yellow"/>
                <w:lang w:eastAsia="en-US" w:bidi="sq-AL"/>
              </w:rPr>
              <w:t>Mesatar</w:t>
            </w:r>
            <w:r w:rsidRPr="00622884">
              <w:rPr>
                <w:rFonts w:ascii="Garamond" w:eastAsia="Calibri" w:hAnsi="Garamond" w:cs="Times New Roman"/>
                <w:kern w:val="24"/>
                <w:sz w:val="16"/>
                <w:szCs w:val="16"/>
                <w:lang w:eastAsia="en-US" w:bidi="sq-AL"/>
              </w:rPr>
              <w:t xml:space="preserve"> – </w:t>
            </w:r>
            <w:r w:rsidRPr="00622884">
              <w:rPr>
                <w:rFonts w:ascii="Garamond" w:eastAsia="Calibri" w:hAnsi="Garamond" w:cs="Times New Roman"/>
                <w:kern w:val="24"/>
                <w:sz w:val="16"/>
                <w:szCs w:val="16"/>
                <w:highlight w:val="darkRed"/>
                <w:lang w:eastAsia="en-US" w:bidi="sq-AL"/>
              </w:rPr>
              <w:t>Shumë i lartë</w:t>
            </w:r>
          </w:p>
        </w:tc>
      </w:tr>
      <w:tr w:rsidR="00622884" w:rsidRPr="00622884" w14:paraId="56F1BE77" w14:textId="77777777" w:rsidTr="00622884">
        <w:trPr>
          <w:trHeight w:val="292"/>
          <w:jc w:val="center"/>
        </w:trPr>
        <w:tc>
          <w:tcPr>
            <w:tcW w:w="0" w:type="auto"/>
            <w:gridSpan w:val="3"/>
            <w:shd w:val="clear" w:color="auto" w:fill="DFEAF5"/>
            <w:tcMar>
              <w:top w:w="9" w:type="dxa"/>
              <w:left w:w="9" w:type="dxa"/>
              <w:bottom w:w="0" w:type="dxa"/>
              <w:right w:w="9" w:type="dxa"/>
            </w:tcMar>
            <w:vAlign w:val="center"/>
            <w:hideMark/>
          </w:tcPr>
          <w:p w14:paraId="1CDC9FF8" w14:textId="77777777" w:rsidR="00622884" w:rsidRPr="00622884" w:rsidRDefault="00622884" w:rsidP="00622884">
            <w:pPr>
              <w:spacing w:after="0" w:line="240" w:lineRule="auto"/>
              <w:textAlignment w:val="bottom"/>
              <w:rPr>
                <w:rFonts w:ascii="Garamond" w:eastAsia="Times New Roman" w:hAnsi="Garamond" w:cs="Calibri Light"/>
                <w:sz w:val="16"/>
                <w:szCs w:val="16"/>
                <w:lang w:eastAsia="en-GB"/>
              </w:rPr>
            </w:pPr>
            <w:r w:rsidRPr="00622884">
              <w:rPr>
                <w:rFonts w:ascii="Garamond" w:eastAsia="Calibri" w:hAnsi="Garamond" w:cs="Times New Roman"/>
                <w:b/>
                <w:kern w:val="24"/>
                <w:sz w:val="16"/>
                <w:szCs w:val="16"/>
                <w:lang w:eastAsia="en-US" w:bidi="sq-AL"/>
              </w:rPr>
              <w:t>ENERGJIA</w:t>
            </w:r>
          </w:p>
        </w:tc>
      </w:tr>
      <w:tr w:rsidR="00622884" w:rsidRPr="00622884" w14:paraId="3322D020" w14:textId="77777777" w:rsidTr="00622884">
        <w:trPr>
          <w:trHeight w:val="292"/>
          <w:jc w:val="center"/>
        </w:trPr>
        <w:tc>
          <w:tcPr>
            <w:tcW w:w="0" w:type="auto"/>
            <w:tcMar>
              <w:top w:w="9" w:type="dxa"/>
              <w:left w:w="9" w:type="dxa"/>
              <w:bottom w:w="0" w:type="dxa"/>
              <w:right w:w="9" w:type="dxa"/>
            </w:tcMar>
            <w:vAlign w:val="center"/>
            <w:hideMark/>
          </w:tcPr>
          <w:p w14:paraId="1324BF1D" w14:textId="77777777" w:rsidR="00622884" w:rsidRPr="00622884" w:rsidRDefault="00622884" w:rsidP="00622884">
            <w:pPr>
              <w:spacing w:after="0" w:line="240" w:lineRule="auto"/>
              <w:textAlignment w:val="bottom"/>
              <w:rPr>
                <w:rFonts w:ascii="Garamond" w:eastAsia="Times New Roman" w:hAnsi="Garamond" w:cs="Calibri Light"/>
                <w:sz w:val="16"/>
                <w:szCs w:val="16"/>
                <w:lang w:eastAsia="en-GB"/>
              </w:rPr>
            </w:pPr>
            <w:r w:rsidRPr="00622884">
              <w:rPr>
                <w:rFonts w:ascii="Garamond" w:eastAsia="Calibri" w:hAnsi="Garamond" w:cs="Times New Roman"/>
                <w:kern w:val="24"/>
                <w:sz w:val="16"/>
                <w:szCs w:val="16"/>
                <w:lang w:eastAsia="en-US" w:bidi="sq-AL"/>
              </w:rPr>
              <w:t>Nafta, gazi dhe qymyri</w:t>
            </w:r>
          </w:p>
        </w:tc>
        <w:tc>
          <w:tcPr>
            <w:tcW w:w="0" w:type="auto"/>
            <w:tcMar>
              <w:top w:w="9" w:type="dxa"/>
              <w:left w:w="9" w:type="dxa"/>
              <w:bottom w:w="0" w:type="dxa"/>
              <w:right w:w="9" w:type="dxa"/>
            </w:tcMar>
            <w:vAlign w:val="center"/>
            <w:hideMark/>
          </w:tcPr>
          <w:p w14:paraId="03C473E3" w14:textId="77777777" w:rsidR="00622884" w:rsidRPr="00622884" w:rsidRDefault="00622884" w:rsidP="00622884">
            <w:pPr>
              <w:spacing w:after="0" w:line="240" w:lineRule="auto"/>
              <w:rPr>
                <w:rFonts w:ascii="Garamond" w:eastAsia="Times New Roman" w:hAnsi="Garamond" w:cs="Calibri Light"/>
                <w:sz w:val="16"/>
                <w:szCs w:val="16"/>
                <w:lang w:eastAsia="en-GB"/>
              </w:rPr>
            </w:pPr>
            <w:r w:rsidRPr="00622884">
              <w:rPr>
                <w:rFonts w:ascii="Garamond" w:eastAsia="Calibri" w:hAnsi="Garamond" w:cs="Times New Roman"/>
                <w:sz w:val="16"/>
                <w:szCs w:val="16"/>
                <w:highlight w:val="green"/>
                <w:lang w:eastAsia="en-US" w:bidi="sq-AL"/>
              </w:rPr>
              <w:t>Shumë i ulët</w:t>
            </w:r>
          </w:p>
        </w:tc>
        <w:tc>
          <w:tcPr>
            <w:tcW w:w="0" w:type="auto"/>
            <w:tcMar>
              <w:top w:w="9" w:type="dxa"/>
              <w:left w:w="9" w:type="dxa"/>
              <w:bottom w:w="0" w:type="dxa"/>
              <w:right w:w="9" w:type="dxa"/>
            </w:tcMar>
            <w:vAlign w:val="center"/>
            <w:hideMark/>
          </w:tcPr>
          <w:p w14:paraId="229E6F5C" w14:textId="77777777" w:rsidR="00622884" w:rsidRPr="00622884" w:rsidRDefault="00622884" w:rsidP="00622884">
            <w:pPr>
              <w:spacing w:after="0" w:line="240" w:lineRule="auto"/>
              <w:textAlignment w:val="bottom"/>
              <w:rPr>
                <w:rFonts w:ascii="Garamond" w:eastAsia="Times New Roman" w:hAnsi="Garamond" w:cs="Calibri Light"/>
                <w:sz w:val="16"/>
                <w:szCs w:val="16"/>
                <w:lang w:eastAsia="en-GB"/>
              </w:rPr>
            </w:pPr>
            <w:r w:rsidRPr="00622884">
              <w:rPr>
                <w:rFonts w:ascii="Garamond" w:eastAsia="Calibri" w:hAnsi="Garamond" w:cs="Times New Roman"/>
                <w:sz w:val="16"/>
                <w:szCs w:val="16"/>
                <w:highlight w:val="yellow"/>
                <w:lang w:eastAsia="en-US" w:bidi="sq-AL"/>
              </w:rPr>
              <w:t>Mesatar</w:t>
            </w:r>
            <w:r w:rsidRPr="00622884">
              <w:rPr>
                <w:rFonts w:ascii="Garamond" w:eastAsia="Calibri" w:hAnsi="Garamond" w:cs="Times New Roman"/>
                <w:kern w:val="24"/>
                <w:sz w:val="16"/>
                <w:szCs w:val="16"/>
                <w:lang w:eastAsia="en-US" w:bidi="sq-AL"/>
              </w:rPr>
              <w:t xml:space="preserve"> – </w:t>
            </w:r>
            <w:r w:rsidRPr="00622884">
              <w:rPr>
                <w:rFonts w:ascii="Garamond" w:eastAsia="Calibri" w:hAnsi="Garamond" w:cs="Times New Roman"/>
                <w:kern w:val="24"/>
                <w:sz w:val="16"/>
                <w:szCs w:val="16"/>
                <w:highlight w:val="darkRed"/>
                <w:lang w:eastAsia="en-US" w:bidi="sq-AL"/>
              </w:rPr>
              <w:t>Shumë i lartë</w:t>
            </w:r>
          </w:p>
        </w:tc>
      </w:tr>
      <w:tr w:rsidR="00622884" w:rsidRPr="00622884" w14:paraId="75081993" w14:textId="77777777" w:rsidTr="00622884">
        <w:trPr>
          <w:trHeight w:val="292"/>
          <w:jc w:val="center"/>
        </w:trPr>
        <w:tc>
          <w:tcPr>
            <w:tcW w:w="0" w:type="auto"/>
            <w:tcMar>
              <w:top w:w="9" w:type="dxa"/>
              <w:left w:w="9" w:type="dxa"/>
              <w:bottom w:w="0" w:type="dxa"/>
              <w:right w:w="9" w:type="dxa"/>
            </w:tcMar>
            <w:vAlign w:val="center"/>
            <w:hideMark/>
          </w:tcPr>
          <w:p w14:paraId="59971BD6" w14:textId="77777777" w:rsidR="00622884" w:rsidRPr="00622884" w:rsidRDefault="00622884" w:rsidP="00622884">
            <w:pPr>
              <w:spacing w:after="0" w:line="240" w:lineRule="auto"/>
              <w:textAlignment w:val="bottom"/>
              <w:rPr>
                <w:rFonts w:ascii="Garamond" w:eastAsia="Times New Roman" w:hAnsi="Garamond" w:cs="Calibri Light"/>
                <w:sz w:val="16"/>
                <w:szCs w:val="16"/>
                <w:lang w:eastAsia="en-GB"/>
              </w:rPr>
            </w:pPr>
            <w:r w:rsidRPr="00622884">
              <w:rPr>
                <w:rFonts w:ascii="Garamond" w:eastAsia="Calibri" w:hAnsi="Garamond" w:cs="Times New Roman"/>
                <w:kern w:val="24"/>
                <w:sz w:val="16"/>
                <w:szCs w:val="16"/>
                <w:lang w:eastAsia="en-US" w:bidi="sq-AL"/>
              </w:rPr>
              <w:t>Hidroenergjetika</w:t>
            </w:r>
          </w:p>
        </w:tc>
        <w:tc>
          <w:tcPr>
            <w:tcW w:w="0" w:type="auto"/>
            <w:tcMar>
              <w:top w:w="9" w:type="dxa"/>
              <w:left w:w="9" w:type="dxa"/>
              <w:bottom w:w="0" w:type="dxa"/>
              <w:right w:w="9" w:type="dxa"/>
            </w:tcMar>
            <w:vAlign w:val="center"/>
            <w:hideMark/>
          </w:tcPr>
          <w:p w14:paraId="1513D422" w14:textId="77777777" w:rsidR="00622884" w:rsidRPr="00622884" w:rsidRDefault="00622884" w:rsidP="00622884">
            <w:pPr>
              <w:spacing w:after="0" w:line="240" w:lineRule="auto"/>
              <w:rPr>
                <w:rFonts w:ascii="Garamond" w:eastAsia="Times New Roman" w:hAnsi="Garamond" w:cs="Calibri Light"/>
                <w:sz w:val="16"/>
                <w:szCs w:val="16"/>
                <w:lang w:eastAsia="en-GB"/>
              </w:rPr>
            </w:pPr>
            <w:r w:rsidRPr="00622884">
              <w:rPr>
                <w:rFonts w:ascii="Garamond" w:eastAsia="Calibri" w:hAnsi="Garamond" w:cs="Times New Roman"/>
                <w:sz w:val="16"/>
                <w:szCs w:val="16"/>
                <w:highlight w:val="lightGray"/>
                <w:lang w:eastAsia="en-US" w:bidi="sq-AL"/>
              </w:rPr>
              <w:t>I ulët</w:t>
            </w:r>
          </w:p>
        </w:tc>
        <w:tc>
          <w:tcPr>
            <w:tcW w:w="0" w:type="auto"/>
            <w:tcMar>
              <w:top w:w="9" w:type="dxa"/>
              <w:left w:w="9" w:type="dxa"/>
              <w:bottom w:w="0" w:type="dxa"/>
              <w:right w:w="9" w:type="dxa"/>
            </w:tcMar>
            <w:vAlign w:val="center"/>
            <w:hideMark/>
          </w:tcPr>
          <w:p w14:paraId="34BDEBB4" w14:textId="77777777" w:rsidR="00622884" w:rsidRPr="00622884" w:rsidRDefault="00622884" w:rsidP="00622884">
            <w:pPr>
              <w:spacing w:after="0" w:line="240" w:lineRule="auto"/>
              <w:textAlignment w:val="bottom"/>
              <w:rPr>
                <w:rFonts w:ascii="Garamond" w:eastAsia="Times New Roman" w:hAnsi="Garamond" w:cs="Calibri Light"/>
                <w:sz w:val="16"/>
                <w:szCs w:val="16"/>
                <w:lang w:eastAsia="en-GB"/>
              </w:rPr>
            </w:pPr>
            <w:r w:rsidRPr="00622884">
              <w:rPr>
                <w:rFonts w:ascii="Garamond" w:eastAsia="Calibri" w:hAnsi="Garamond" w:cs="Times New Roman"/>
                <w:sz w:val="16"/>
                <w:szCs w:val="16"/>
                <w:highlight w:val="yellow"/>
                <w:lang w:eastAsia="en-US" w:bidi="sq-AL"/>
              </w:rPr>
              <w:t>Mesatar</w:t>
            </w:r>
            <w:r w:rsidRPr="00622884">
              <w:rPr>
                <w:rFonts w:ascii="Garamond" w:eastAsia="Calibri" w:hAnsi="Garamond" w:cs="Times New Roman"/>
                <w:kern w:val="24"/>
                <w:sz w:val="16"/>
                <w:szCs w:val="16"/>
                <w:lang w:eastAsia="en-US" w:bidi="sq-AL"/>
              </w:rPr>
              <w:t xml:space="preserve"> – </w:t>
            </w:r>
            <w:r w:rsidRPr="00622884">
              <w:rPr>
                <w:rFonts w:ascii="Garamond" w:eastAsia="Calibri" w:hAnsi="Garamond" w:cs="Times New Roman"/>
                <w:kern w:val="24"/>
                <w:sz w:val="16"/>
                <w:szCs w:val="16"/>
                <w:highlight w:val="darkRed"/>
                <w:lang w:eastAsia="en-US" w:bidi="sq-AL"/>
              </w:rPr>
              <w:t>Shumë i lartë</w:t>
            </w:r>
          </w:p>
        </w:tc>
      </w:tr>
      <w:tr w:rsidR="00622884" w:rsidRPr="00622884" w14:paraId="4EACAF5B" w14:textId="77777777" w:rsidTr="00622884">
        <w:trPr>
          <w:trHeight w:val="292"/>
          <w:jc w:val="center"/>
        </w:trPr>
        <w:tc>
          <w:tcPr>
            <w:tcW w:w="0" w:type="auto"/>
            <w:tcMar>
              <w:top w:w="9" w:type="dxa"/>
              <w:left w:w="9" w:type="dxa"/>
              <w:bottom w:w="0" w:type="dxa"/>
              <w:right w:w="9" w:type="dxa"/>
            </w:tcMar>
            <w:vAlign w:val="center"/>
            <w:hideMark/>
          </w:tcPr>
          <w:p w14:paraId="52CA1DA7" w14:textId="77777777" w:rsidR="00622884" w:rsidRPr="00622884" w:rsidRDefault="00622884" w:rsidP="00622884">
            <w:pPr>
              <w:spacing w:after="0" w:line="240" w:lineRule="auto"/>
              <w:textAlignment w:val="bottom"/>
              <w:rPr>
                <w:rFonts w:ascii="Garamond" w:eastAsia="Times New Roman" w:hAnsi="Garamond" w:cs="Calibri Light"/>
                <w:sz w:val="16"/>
                <w:szCs w:val="16"/>
                <w:lang w:eastAsia="en-GB"/>
              </w:rPr>
            </w:pPr>
            <w:r w:rsidRPr="00622884">
              <w:rPr>
                <w:rFonts w:ascii="Garamond" w:eastAsia="Calibri" w:hAnsi="Garamond" w:cs="Times New Roman"/>
                <w:kern w:val="24"/>
                <w:sz w:val="16"/>
                <w:szCs w:val="16"/>
                <w:lang w:eastAsia="en-US" w:bidi="sq-AL"/>
              </w:rPr>
              <w:t>Dru zjarri</w:t>
            </w:r>
          </w:p>
        </w:tc>
        <w:tc>
          <w:tcPr>
            <w:tcW w:w="0" w:type="auto"/>
            <w:tcMar>
              <w:top w:w="9" w:type="dxa"/>
              <w:left w:w="9" w:type="dxa"/>
              <w:bottom w:w="0" w:type="dxa"/>
              <w:right w:w="9" w:type="dxa"/>
            </w:tcMar>
            <w:vAlign w:val="center"/>
            <w:hideMark/>
          </w:tcPr>
          <w:p w14:paraId="2EE0763F" w14:textId="77777777" w:rsidR="00622884" w:rsidRPr="00622884" w:rsidRDefault="00622884" w:rsidP="00622884">
            <w:pPr>
              <w:spacing w:after="0" w:line="240" w:lineRule="auto"/>
              <w:rPr>
                <w:rFonts w:ascii="Garamond" w:eastAsia="Times New Roman" w:hAnsi="Garamond" w:cs="Calibri Light"/>
                <w:sz w:val="16"/>
                <w:szCs w:val="16"/>
                <w:lang w:eastAsia="en-GB"/>
              </w:rPr>
            </w:pPr>
            <w:r w:rsidRPr="00622884">
              <w:rPr>
                <w:rFonts w:ascii="Garamond" w:eastAsia="Calibri" w:hAnsi="Garamond" w:cs="Times New Roman"/>
                <w:sz w:val="16"/>
                <w:szCs w:val="16"/>
                <w:highlight w:val="lightGray"/>
                <w:lang w:eastAsia="en-US" w:bidi="sq-AL"/>
              </w:rPr>
              <w:t>I ulët</w:t>
            </w:r>
          </w:p>
        </w:tc>
        <w:tc>
          <w:tcPr>
            <w:tcW w:w="0" w:type="auto"/>
            <w:tcMar>
              <w:top w:w="9" w:type="dxa"/>
              <w:left w:w="9" w:type="dxa"/>
              <w:bottom w:w="0" w:type="dxa"/>
              <w:right w:w="9" w:type="dxa"/>
            </w:tcMar>
            <w:vAlign w:val="center"/>
            <w:hideMark/>
          </w:tcPr>
          <w:p w14:paraId="74251BE9" w14:textId="77777777" w:rsidR="00622884" w:rsidRPr="00622884" w:rsidRDefault="00622884" w:rsidP="00622884">
            <w:pPr>
              <w:spacing w:after="0" w:line="240" w:lineRule="auto"/>
              <w:textAlignment w:val="bottom"/>
              <w:rPr>
                <w:rFonts w:ascii="Garamond" w:eastAsia="Times New Roman" w:hAnsi="Garamond" w:cs="Calibri Light"/>
                <w:sz w:val="16"/>
                <w:szCs w:val="16"/>
                <w:lang w:eastAsia="en-GB"/>
              </w:rPr>
            </w:pPr>
            <w:r w:rsidRPr="00622884">
              <w:rPr>
                <w:rFonts w:ascii="Garamond" w:eastAsia="Calibri" w:hAnsi="Garamond" w:cs="Times New Roman"/>
                <w:sz w:val="16"/>
                <w:szCs w:val="16"/>
                <w:highlight w:val="yellow"/>
                <w:lang w:eastAsia="en-US" w:bidi="sq-AL"/>
              </w:rPr>
              <w:t>Mesatar</w:t>
            </w:r>
            <w:r w:rsidRPr="00622884">
              <w:rPr>
                <w:rFonts w:ascii="Garamond" w:eastAsia="Calibri" w:hAnsi="Garamond" w:cs="Times New Roman"/>
                <w:kern w:val="24"/>
                <w:sz w:val="16"/>
                <w:szCs w:val="16"/>
                <w:lang w:eastAsia="en-US" w:bidi="sq-AL"/>
              </w:rPr>
              <w:t xml:space="preserve"> – </w:t>
            </w:r>
            <w:r w:rsidRPr="00622884">
              <w:rPr>
                <w:rFonts w:ascii="Garamond" w:eastAsia="Calibri" w:hAnsi="Garamond" w:cs="Times New Roman"/>
                <w:kern w:val="24"/>
                <w:sz w:val="16"/>
                <w:szCs w:val="16"/>
                <w:highlight w:val="darkRed"/>
                <w:lang w:eastAsia="en-US" w:bidi="sq-AL"/>
              </w:rPr>
              <w:t>Shumë i lartë</w:t>
            </w:r>
          </w:p>
        </w:tc>
      </w:tr>
      <w:tr w:rsidR="00622884" w:rsidRPr="00622884" w14:paraId="3D14E067" w14:textId="77777777" w:rsidTr="00622884">
        <w:trPr>
          <w:trHeight w:val="292"/>
          <w:jc w:val="center"/>
        </w:trPr>
        <w:tc>
          <w:tcPr>
            <w:tcW w:w="0" w:type="auto"/>
            <w:tcMar>
              <w:top w:w="9" w:type="dxa"/>
              <w:left w:w="9" w:type="dxa"/>
              <w:bottom w:w="0" w:type="dxa"/>
              <w:right w:w="9" w:type="dxa"/>
            </w:tcMar>
            <w:vAlign w:val="center"/>
            <w:hideMark/>
          </w:tcPr>
          <w:p w14:paraId="51D01DAF" w14:textId="77777777" w:rsidR="00622884" w:rsidRPr="00622884" w:rsidRDefault="00622884" w:rsidP="00622884">
            <w:pPr>
              <w:spacing w:after="0" w:line="240" w:lineRule="auto"/>
              <w:textAlignment w:val="bottom"/>
              <w:rPr>
                <w:rFonts w:ascii="Garamond" w:eastAsia="Times New Roman" w:hAnsi="Garamond" w:cs="Calibri Light"/>
                <w:sz w:val="16"/>
                <w:szCs w:val="16"/>
                <w:lang w:eastAsia="en-GB"/>
              </w:rPr>
            </w:pPr>
            <w:r w:rsidRPr="00622884">
              <w:rPr>
                <w:rFonts w:ascii="Garamond" w:eastAsia="Calibri" w:hAnsi="Garamond" w:cs="Times New Roman"/>
                <w:kern w:val="24"/>
                <w:sz w:val="16"/>
                <w:szCs w:val="16"/>
                <w:lang w:eastAsia="en-US" w:bidi="sq-AL"/>
              </w:rPr>
              <w:t>Energjia e erës dhe energjia diellore</w:t>
            </w:r>
          </w:p>
        </w:tc>
        <w:tc>
          <w:tcPr>
            <w:tcW w:w="0" w:type="auto"/>
            <w:tcMar>
              <w:top w:w="9" w:type="dxa"/>
              <w:left w:w="9" w:type="dxa"/>
              <w:bottom w:w="0" w:type="dxa"/>
              <w:right w:w="9" w:type="dxa"/>
            </w:tcMar>
            <w:vAlign w:val="center"/>
            <w:hideMark/>
          </w:tcPr>
          <w:p w14:paraId="380FA46E" w14:textId="77777777" w:rsidR="00622884" w:rsidRPr="00622884" w:rsidRDefault="00622884" w:rsidP="00622884">
            <w:pPr>
              <w:spacing w:after="0" w:line="240" w:lineRule="auto"/>
              <w:rPr>
                <w:rFonts w:ascii="Garamond" w:eastAsia="Times New Roman" w:hAnsi="Garamond" w:cs="Calibri Light"/>
                <w:sz w:val="16"/>
                <w:szCs w:val="16"/>
                <w:lang w:eastAsia="en-GB"/>
              </w:rPr>
            </w:pPr>
            <w:r w:rsidRPr="00622884">
              <w:rPr>
                <w:rFonts w:ascii="Garamond" w:eastAsia="Calibri" w:hAnsi="Garamond" w:cs="Times New Roman"/>
                <w:sz w:val="16"/>
                <w:szCs w:val="16"/>
                <w:highlight w:val="green"/>
                <w:lang w:eastAsia="en-US" w:bidi="sq-AL"/>
              </w:rPr>
              <w:t>Shumë i ulët</w:t>
            </w:r>
          </w:p>
        </w:tc>
        <w:tc>
          <w:tcPr>
            <w:tcW w:w="0" w:type="auto"/>
            <w:tcMar>
              <w:top w:w="9" w:type="dxa"/>
              <w:left w:w="9" w:type="dxa"/>
              <w:bottom w:w="0" w:type="dxa"/>
              <w:right w:w="9" w:type="dxa"/>
            </w:tcMar>
            <w:vAlign w:val="center"/>
            <w:hideMark/>
          </w:tcPr>
          <w:p w14:paraId="4B23F257" w14:textId="77777777" w:rsidR="00622884" w:rsidRPr="00622884" w:rsidRDefault="00622884" w:rsidP="00622884">
            <w:pPr>
              <w:spacing w:after="0" w:line="240" w:lineRule="auto"/>
              <w:textAlignment w:val="bottom"/>
              <w:rPr>
                <w:rFonts w:ascii="Garamond" w:eastAsia="Times New Roman" w:hAnsi="Garamond" w:cs="Calibri Light"/>
                <w:sz w:val="16"/>
                <w:szCs w:val="16"/>
                <w:lang w:eastAsia="en-GB"/>
              </w:rPr>
            </w:pPr>
            <w:r w:rsidRPr="00622884">
              <w:rPr>
                <w:rFonts w:ascii="Garamond" w:eastAsia="Calibri" w:hAnsi="Garamond" w:cs="Times New Roman"/>
                <w:sz w:val="16"/>
                <w:szCs w:val="16"/>
                <w:highlight w:val="lightGray"/>
                <w:lang w:eastAsia="en-US" w:bidi="sq-AL"/>
              </w:rPr>
              <w:t>I ulët</w:t>
            </w:r>
            <w:r w:rsidRPr="00622884">
              <w:rPr>
                <w:rFonts w:ascii="Garamond" w:eastAsia="Calibri" w:hAnsi="Garamond" w:cs="Times New Roman"/>
                <w:kern w:val="24"/>
                <w:sz w:val="16"/>
                <w:szCs w:val="16"/>
                <w:lang w:eastAsia="en-US" w:bidi="sq-AL"/>
              </w:rPr>
              <w:t xml:space="preserve"> – </w:t>
            </w:r>
            <w:r w:rsidRPr="00622884">
              <w:rPr>
                <w:rFonts w:ascii="Garamond" w:eastAsia="Calibri" w:hAnsi="Garamond" w:cs="Times New Roman"/>
                <w:sz w:val="16"/>
                <w:szCs w:val="16"/>
                <w:highlight w:val="yellow"/>
                <w:lang w:eastAsia="en-US" w:bidi="sq-AL"/>
              </w:rPr>
              <w:t>Mesatar</w:t>
            </w:r>
          </w:p>
        </w:tc>
      </w:tr>
      <w:tr w:rsidR="00622884" w:rsidRPr="00622884" w14:paraId="012DBF21" w14:textId="77777777" w:rsidTr="00622884">
        <w:trPr>
          <w:trHeight w:val="292"/>
          <w:jc w:val="center"/>
        </w:trPr>
        <w:tc>
          <w:tcPr>
            <w:tcW w:w="0" w:type="auto"/>
            <w:tcMar>
              <w:top w:w="9" w:type="dxa"/>
              <w:left w:w="9" w:type="dxa"/>
              <w:bottom w:w="0" w:type="dxa"/>
              <w:right w:w="9" w:type="dxa"/>
            </w:tcMar>
            <w:vAlign w:val="center"/>
            <w:hideMark/>
          </w:tcPr>
          <w:p w14:paraId="64F19F5D" w14:textId="77777777" w:rsidR="00622884" w:rsidRPr="00622884" w:rsidRDefault="00622884" w:rsidP="00622884">
            <w:pPr>
              <w:spacing w:after="0" w:line="240" w:lineRule="auto"/>
              <w:textAlignment w:val="bottom"/>
              <w:rPr>
                <w:rFonts w:ascii="Garamond" w:eastAsia="Times New Roman" w:hAnsi="Garamond" w:cs="Calibri Light"/>
                <w:sz w:val="16"/>
                <w:szCs w:val="16"/>
                <w:highlight w:val="yellow"/>
                <w:lang w:eastAsia="en-GB"/>
              </w:rPr>
            </w:pPr>
            <w:r w:rsidRPr="00622884">
              <w:rPr>
                <w:rFonts w:ascii="Garamond" w:eastAsia="Calibri" w:hAnsi="Garamond" w:cs="Times New Roman"/>
                <w:kern w:val="24"/>
                <w:sz w:val="16"/>
                <w:szCs w:val="16"/>
                <w:lang w:eastAsia="en-US" w:bidi="sq-AL"/>
              </w:rPr>
              <w:t>Transmetimi dhe shpërndarja</w:t>
            </w:r>
          </w:p>
        </w:tc>
        <w:tc>
          <w:tcPr>
            <w:tcW w:w="0" w:type="auto"/>
            <w:tcMar>
              <w:top w:w="9" w:type="dxa"/>
              <w:left w:w="9" w:type="dxa"/>
              <w:bottom w:w="0" w:type="dxa"/>
              <w:right w:w="9" w:type="dxa"/>
            </w:tcMar>
            <w:vAlign w:val="center"/>
            <w:hideMark/>
          </w:tcPr>
          <w:p w14:paraId="247BABB9" w14:textId="77777777" w:rsidR="00622884" w:rsidRPr="00622884" w:rsidRDefault="00622884" w:rsidP="00622884">
            <w:pPr>
              <w:spacing w:after="0" w:line="240" w:lineRule="auto"/>
              <w:textAlignment w:val="bottom"/>
              <w:rPr>
                <w:rFonts w:ascii="Garamond" w:eastAsia="Times New Roman" w:hAnsi="Garamond" w:cs="Calibri Light"/>
                <w:sz w:val="16"/>
                <w:szCs w:val="16"/>
                <w:highlight w:val="yellow"/>
                <w:lang w:eastAsia="en-GB"/>
              </w:rPr>
            </w:pPr>
            <w:r w:rsidRPr="00622884">
              <w:rPr>
                <w:rFonts w:ascii="Garamond" w:eastAsia="Calibri" w:hAnsi="Garamond" w:cs="Times New Roman"/>
                <w:sz w:val="16"/>
                <w:szCs w:val="16"/>
                <w:highlight w:val="yellow"/>
                <w:lang w:eastAsia="en-US" w:bidi="sq-AL"/>
              </w:rPr>
              <w:t>Mesatar</w:t>
            </w:r>
          </w:p>
        </w:tc>
        <w:tc>
          <w:tcPr>
            <w:tcW w:w="0" w:type="auto"/>
            <w:tcMar>
              <w:top w:w="9" w:type="dxa"/>
              <w:left w:w="9" w:type="dxa"/>
              <w:bottom w:w="0" w:type="dxa"/>
              <w:right w:w="9" w:type="dxa"/>
            </w:tcMar>
            <w:vAlign w:val="center"/>
            <w:hideMark/>
          </w:tcPr>
          <w:p w14:paraId="37779221" w14:textId="77777777" w:rsidR="00622884" w:rsidRPr="00622884" w:rsidRDefault="00622884" w:rsidP="00622884">
            <w:pPr>
              <w:spacing w:after="0" w:line="240" w:lineRule="auto"/>
              <w:textAlignment w:val="bottom"/>
              <w:rPr>
                <w:rFonts w:ascii="Garamond" w:eastAsia="Times New Roman" w:hAnsi="Garamond" w:cs="Calibri Light"/>
                <w:sz w:val="16"/>
                <w:szCs w:val="16"/>
                <w:highlight w:val="yellow"/>
                <w:lang w:eastAsia="en-GB"/>
              </w:rPr>
            </w:pPr>
            <w:r w:rsidRPr="00622884">
              <w:rPr>
                <w:rFonts w:ascii="Garamond" w:eastAsia="Calibri" w:hAnsi="Garamond" w:cs="Times New Roman"/>
                <w:sz w:val="16"/>
                <w:szCs w:val="16"/>
                <w:highlight w:val="yellow"/>
                <w:lang w:eastAsia="en-US" w:bidi="sq-AL"/>
              </w:rPr>
              <w:t>Mesatar</w:t>
            </w:r>
            <w:r w:rsidRPr="00622884">
              <w:rPr>
                <w:rFonts w:ascii="Garamond" w:eastAsia="Calibri" w:hAnsi="Garamond" w:cs="Times New Roman"/>
                <w:kern w:val="24"/>
                <w:sz w:val="16"/>
                <w:szCs w:val="16"/>
                <w:lang w:eastAsia="en-US" w:bidi="sq-AL"/>
              </w:rPr>
              <w:t xml:space="preserve"> – </w:t>
            </w:r>
            <w:r w:rsidRPr="00622884">
              <w:rPr>
                <w:rFonts w:ascii="Garamond" w:eastAsia="Calibri" w:hAnsi="Garamond" w:cs="Times New Roman"/>
                <w:kern w:val="24"/>
                <w:sz w:val="16"/>
                <w:szCs w:val="16"/>
                <w:highlight w:val="darkRed"/>
                <w:lang w:eastAsia="en-US" w:bidi="sq-AL"/>
              </w:rPr>
              <w:t>Shumë i lartë</w:t>
            </w:r>
          </w:p>
        </w:tc>
      </w:tr>
      <w:tr w:rsidR="00622884" w:rsidRPr="00622884" w14:paraId="41839F75" w14:textId="77777777" w:rsidTr="00622884">
        <w:trPr>
          <w:trHeight w:val="292"/>
          <w:jc w:val="center"/>
        </w:trPr>
        <w:tc>
          <w:tcPr>
            <w:tcW w:w="0" w:type="auto"/>
            <w:gridSpan w:val="3"/>
            <w:shd w:val="clear" w:color="auto" w:fill="DFEAF5"/>
            <w:tcMar>
              <w:top w:w="9" w:type="dxa"/>
              <w:left w:w="9" w:type="dxa"/>
              <w:bottom w:w="0" w:type="dxa"/>
              <w:right w:w="9" w:type="dxa"/>
            </w:tcMar>
            <w:vAlign w:val="center"/>
            <w:hideMark/>
          </w:tcPr>
          <w:p w14:paraId="5309FEDF" w14:textId="77777777" w:rsidR="00622884" w:rsidRPr="00622884" w:rsidRDefault="00622884" w:rsidP="00622884">
            <w:pPr>
              <w:spacing w:after="0" w:line="240" w:lineRule="auto"/>
              <w:textAlignment w:val="bottom"/>
              <w:rPr>
                <w:rFonts w:ascii="Garamond" w:eastAsia="Times New Roman" w:hAnsi="Garamond" w:cs="Calibri Light"/>
                <w:sz w:val="16"/>
                <w:szCs w:val="16"/>
                <w:lang w:eastAsia="en-GB"/>
              </w:rPr>
            </w:pPr>
            <w:r w:rsidRPr="00622884">
              <w:rPr>
                <w:rFonts w:ascii="Garamond" w:eastAsia="Calibri" w:hAnsi="Garamond" w:cs="Times New Roman"/>
                <w:b/>
                <w:kern w:val="24"/>
                <w:sz w:val="16"/>
                <w:szCs w:val="16"/>
                <w:lang w:eastAsia="en-US" w:bidi="sq-AL"/>
              </w:rPr>
              <w:t>TRANSPORTI</w:t>
            </w:r>
          </w:p>
        </w:tc>
      </w:tr>
      <w:tr w:rsidR="00622884" w:rsidRPr="00622884" w14:paraId="593C8A0A" w14:textId="77777777" w:rsidTr="00622884">
        <w:trPr>
          <w:trHeight w:val="292"/>
          <w:jc w:val="center"/>
        </w:trPr>
        <w:tc>
          <w:tcPr>
            <w:tcW w:w="0" w:type="auto"/>
            <w:tcMar>
              <w:top w:w="9" w:type="dxa"/>
              <w:left w:w="9" w:type="dxa"/>
              <w:bottom w:w="0" w:type="dxa"/>
              <w:right w:w="9" w:type="dxa"/>
            </w:tcMar>
            <w:vAlign w:val="center"/>
            <w:hideMark/>
          </w:tcPr>
          <w:p w14:paraId="718926C4" w14:textId="77777777" w:rsidR="00622884" w:rsidRPr="00622884" w:rsidRDefault="00622884" w:rsidP="00622884">
            <w:pPr>
              <w:spacing w:after="0" w:line="240" w:lineRule="auto"/>
              <w:textAlignment w:val="bottom"/>
              <w:rPr>
                <w:rFonts w:ascii="Garamond" w:eastAsia="Times New Roman" w:hAnsi="Garamond" w:cs="Calibri Light"/>
                <w:sz w:val="16"/>
                <w:szCs w:val="16"/>
                <w:lang w:eastAsia="en-GB"/>
              </w:rPr>
            </w:pPr>
            <w:r w:rsidRPr="00622884">
              <w:rPr>
                <w:rFonts w:ascii="Garamond" w:eastAsia="Calibri" w:hAnsi="Garamond" w:cs="Times New Roman"/>
                <w:kern w:val="24"/>
                <w:sz w:val="16"/>
                <w:szCs w:val="16"/>
                <w:lang w:eastAsia="en-US" w:bidi="sq-AL"/>
              </w:rPr>
              <w:t>Transporti rrugor</w:t>
            </w:r>
          </w:p>
        </w:tc>
        <w:tc>
          <w:tcPr>
            <w:tcW w:w="0" w:type="auto"/>
            <w:tcMar>
              <w:top w:w="9" w:type="dxa"/>
              <w:left w:w="9" w:type="dxa"/>
              <w:bottom w:w="0" w:type="dxa"/>
              <w:right w:w="9" w:type="dxa"/>
            </w:tcMar>
            <w:vAlign w:val="center"/>
            <w:hideMark/>
          </w:tcPr>
          <w:p w14:paraId="35A1102F" w14:textId="77777777" w:rsidR="00622884" w:rsidRPr="00622884" w:rsidRDefault="00622884" w:rsidP="00622884">
            <w:pPr>
              <w:spacing w:after="0" w:line="240" w:lineRule="auto"/>
              <w:textAlignment w:val="bottom"/>
              <w:rPr>
                <w:rFonts w:ascii="Garamond" w:eastAsia="Times New Roman" w:hAnsi="Garamond" w:cs="Calibri Light"/>
                <w:sz w:val="16"/>
                <w:szCs w:val="16"/>
                <w:lang w:eastAsia="en-GB"/>
              </w:rPr>
            </w:pPr>
            <w:r w:rsidRPr="00622884">
              <w:rPr>
                <w:rFonts w:ascii="Garamond" w:eastAsia="Calibri" w:hAnsi="Garamond" w:cs="Times New Roman"/>
                <w:sz w:val="16"/>
                <w:szCs w:val="16"/>
                <w:highlight w:val="lightGray"/>
                <w:lang w:eastAsia="en-US" w:bidi="sq-AL"/>
              </w:rPr>
              <w:t>I ulët</w:t>
            </w:r>
          </w:p>
        </w:tc>
        <w:tc>
          <w:tcPr>
            <w:tcW w:w="0" w:type="auto"/>
            <w:tcMar>
              <w:top w:w="9" w:type="dxa"/>
              <w:left w:w="9" w:type="dxa"/>
              <w:bottom w:w="0" w:type="dxa"/>
              <w:right w:w="9" w:type="dxa"/>
            </w:tcMar>
            <w:vAlign w:val="center"/>
            <w:hideMark/>
          </w:tcPr>
          <w:p w14:paraId="7EF6B2F6" w14:textId="77777777" w:rsidR="00622884" w:rsidRPr="00622884" w:rsidRDefault="00622884" w:rsidP="00622884">
            <w:pPr>
              <w:spacing w:after="0" w:line="240" w:lineRule="auto"/>
              <w:textAlignment w:val="bottom"/>
              <w:rPr>
                <w:rFonts w:ascii="Garamond" w:eastAsia="Times New Roman" w:hAnsi="Garamond" w:cs="Calibri Light"/>
                <w:sz w:val="16"/>
                <w:szCs w:val="16"/>
                <w:lang w:eastAsia="en-GB"/>
              </w:rPr>
            </w:pPr>
            <w:r w:rsidRPr="00622884">
              <w:rPr>
                <w:rFonts w:ascii="Garamond" w:eastAsia="Calibri" w:hAnsi="Garamond" w:cs="Times New Roman"/>
                <w:sz w:val="16"/>
                <w:szCs w:val="16"/>
                <w:highlight w:val="yellow"/>
                <w:lang w:eastAsia="en-US" w:bidi="sq-AL"/>
              </w:rPr>
              <w:t>Mesatar</w:t>
            </w:r>
            <w:r w:rsidRPr="00622884">
              <w:rPr>
                <w:rFonts w:ascii="Garamond" w:eastAsia="Calibri" w:hAnsi="Garamond" w:cs="Times New Roman"/>
                <w:kern w:val="24"/>
                <w:sz w:val="16"/>
                <w:szCs w:val="16"/>
                <w:lang w:eastAsia="en-US" w:bidi="sq-AL"/>
              </w:rPr>
              <w:t xml:space="preserve"> – </w:t>
            </w:r>
            <w:r w:rsidRPr="00622884">
              <w:rPr>
                <w:rFonts w:ascii="Garamond" w:eastAsia="Calibri" w:hAnsi="Garamond" w:cs="Times New Roman"/>
                <w:kern w:val="24"/>
                <w:sz w:val="16"/>
                <w:szCs w:val="16"/>
                <w:highlight w:val="darkRed"/>
                <w:lang w:eastAsia="en-US" w:bidi="sq-AL"/>
              </w:rPr>
              <w:t>Shumë i lartë</w:t>
            </w:r>
          </w:p>
        </w:tc>
      </w:tr>
      <w:tr w:rsidR="00622884" w:rsidRPr="00622884" w14:paraId="1B469513" w14:textId="77777777" w:rsidTr="00622884">
        <w:trPr>
          <w:trHeight w:val="292"/>
          <w:jc w:val="center"/>
        </w:trPr>
        <w:tc>
          <w:tcPr>
            <w:tcW w:w="0" w:type="auto"/>
            <w:tcMar>
              <w:top w:w="9" w:type="dxa"/>
              <w:left w:w="9" w:type="dxa"/>
              <w:bottom w:w="0" w:type="dxa"/>
              <w:right w:w="9" w:type="dxa"/>
            </w:tcMar>
            <w:vAlign w:val="center"/>
            <w:hideMark/>
          </w:tcPr>
          <w:p w14:paraId="02889972" w14:textId="77777777" w:rsidR="00622884" w:rsidRPr="00622884" w:rsidRDefault="00622884" w:rsidP="00622884">
            <w:pPr>
              <w:spacing w:after="0" w:line="240" w:lineRule="auto"/>
              <w:textAlignment w:val="bottom"/>
              <w:rPr>
                <w:rFonts w:ascii="Garamond" w:eastAsia="Times New Roman" w:hAnsi="Garamond" w:cs="Calibri Light"/>
                <w:sz w:val="16"/>
                <w:szCs w:val="16"/>
                <w:lang w:eastAsia="en-GB"/>
              </w:rPr>
            </w:pPr>
            <w:r w:rsidRPr="00622884">
              <w:rPr>
                <w:rFonts w:ascii="Garamond" w:eastAsia="Calibri" w:hAnsi="Garamond" w:cs="Times New Roman"/>
                <w:kern w:val="24"/>
                <w:sz w:val="16"/>
                <w:szCs w:val="16"/>
                <w:lang w:eastAsia="en-US" w:bidi="sq-AL"/>
              </w:rPr>
              <w:t>Transporti hekurudhor</w:t>
            </w:r>
          </w:p>
        </w:tc>
        <w:tc>
          <w:tcPr>
            <w:tcW w:w="0" w:type="auto"/>
            <w:tcMar>
              <w:top w:w="9" w:type="dxa"/>
              <w:left w:w="9" w:type="dxa"/>
              <w:bottom w:w="0" w:type="dxa"/>
              <w:right w:w="9" w:type="dxa"/>
            </w:tcMar>
            <w:vAlign w:val="center"/>
            <w:hideMark/>
          </w:tcPr>
          <w:p w14:paraId="4D736EE6" w14:textId="77777777" w:rsidR="00622884" w:rsidRPr="00622884" w:rsidRDefault="00622884" w:rsidP="00622884">
            <w:pPr>
              <w:spacing w:after="0" w:line="240" w:lineRule="auto"/>
              <w:textAlignment w:val="bottom"/>
              <w:rPr>
                <w:rFonts w:ascii="Garamond" w:eastAsia="Times New Roman" w:hAnsi="Garamond" w:cs="Calibri Light"/>
                <w:sz w:val="16"/>
                <w:szCs w:val="16"/>
                <w:lang w:eastAsia="en-GB"/>
              </w:rPr>
            </w:pPr>
            <w:r w:rsidRPr="00622884">
              <w:rPr>
                <w:rFonts w:ascii="Garamond" w:eastAsia="Calibri" w:hAnsi="Garamond" w:cs="Times New Roman"/>
                <w:sz w:val="16"/>
                <w:szCs w:val="16"/>
                <w:highlight w:val="lightGray"/>
                <w:lang w:eastAsia="en-US" w:bidi="sq-AL"/>
              </w:rPr>
              <w:t>I ulët</w:t>
            </w:r>
          </w:p>
        </w:tc>
        <w:tc>
          <w:tcPr>
            <w:tcW w:w="0" w:type="auto"/>
            <w:tcMar>
              <w:top w:w="9" w:type="dxa"/>
              <w:left w:w="9" w:type="dxa"/>
              <w:bottom w:w="0" w:type="dxa"/>
              <w:right w:w="9" w:type="dxa"/>
            </w:tcMar>
            <w:vAlign w:val="center"/>
            <w:hideMark/>
          </w:tcPr>
          <w:p w14:paraId="60724825" w14:textId="77777777" w:rsidR="00622884" w:rsidRPr="00622884" w:rsidRDefault="00622884" w:rsidP="00622884">
            <w:pPr>
              <w:spacing w:after="0" w:line="240" w:lineRule="auto"/>
              <w:rPr>
                <w:rFonts w:ascii="Garamond" w:eastAsia="Times New Roman" w:hAnsi="Garamond" w:cs="Calibri Light"/>
                <w:sz w:val="16"/>
                <w:szCs w:val="16"/>
                <w:lang w:eastAsia="en-GB"/>
              </w:rPr>
            </w:pPr>
            <w:r w:rsidRPr="00622884">
              <w:rPr>
                <w:rFonts w:ascii="Garamond" w:eastAsia="Calibri" w:hAnsi="Garamond" w:cs="Times New Roman"/>
                <w:sz w:val="16"/>
                <w:szCs w:val="16"/>
                <w:highlight w:val="lightGray"/>
                <w:lang w:eastAsia="en-US" w:bidi="sq-AL"/>
              </w:rPr>
              <w:t>I ulët</w:t>
            </w:r>
            <w:r w:rsidRPr="00622884">
              <w:rPr>
                <w:rFonts w:ascii="Garamond" w:eastAsia="Calibri" w:hAnsi="Garamond" w:cs="Times New Roman"/>
                <w:kern w:val="24"/>
                <w:sz w:val="16"/>
                <w:szCs w:val="16"/>
                <w:lang w:eastAsia="en-US" w:bidi="sq-AL"/>
              </w:rPr>
              <w:t xml:space="preserve"> – </w:t>
            </w:r>
            <w:r w:rsidRPr="00622884">
              <w:rPr>
                <w:rFonts w:ascii="Garamond" w:eastAsia="Calibri" w:hAnsi="Garamond" w:cs="Times New Roman"/>
                <w:kern w:val="24"/>
                <w:sz w:val="16"/>
                <w:szCs w:val="16"/>
                <w:highlight w:val="darkRed"/>
                <w:lang w:eastAsia="en-US" w:bidi="sq-AL"/>
              </w:rPr>
              <w:t>Shumë i lartë</w:t>
            </w:r>
          </w:p>
        </w:tc>
      </w:tr>
      <w:tr w:rsidR="00622884" w:rsidRPr="00622884" w14:paraId="061FFCCE" w14:textId="77777777" w:rsidTr="00622884">
        <w:trPr>
          <w:trHeight w:val="292"/>
          <w:jc w:val="center"/>
        </w:trPr>
        <w:tc>
          <w:tcPr>
            <w:tcW w:w="0" w:type="auto"/>
            <w:tcMar>
              <w:top w:w="9" w:type="dxa"/>
              <w:left w:w="9" w:type="dxa"/>
              <w:bottom w:w="0" w:type="dxa"/>
              <w:right w:w="9" w:type="dxa"/>
            </w:tcMar>
            <w:vAlign w:val="center"/>
            <w:hideMark/>
          </w:tcPr>
          <w:p w14:paraId="7DD1C760" w14:textId="77777777" w:rsidR="00622884" w:rsidRPr="00622884" w:rsidRDefault="00622884" w:rsidP="00622884">
            <w:pPr>
              <w:spacing w:after="0" w:line="240" w:lineRule="auto"/>
              <w:textAlignment w:val="bottom"/>
              <w:rPr>
                <w:rFonts w:ascii="Garamond" w:eastAsia="Times New Roman" w:hAnsi="Garamond" w:cs="Calibri Light"/>
                <w:sz w:val="16"/>
                <w:szCs w:val="16"/>
                <w:lang w:eastAsia="en-GB"/>
              </w:rPr>
            </w:pPr>
            <w:r w:rsidRPr="00622884">
              <w:rPr>
                <w:rFonts w:ascii="Garamond" w:eastAsia="Calibri" w:hAnsi="Garamond" w:cs="Times New Roman"/>
                <w:kern w:val="24"/>
                <w:sz w:val="16"/>
                <w:szCs w:val="16"/>
                <w:lang w:eastAsia="en-US" w:bidi="sq-AL"/>
              </w:rPr>
              <w:t>Transporti detar</w:t>
            </w:r>
          </w:p>
        </w:tc>
        <w:tc>
          <w:tcPr>
            <w:tcW w:w="0" w:type="auto"/>
            <w:tcMar>
              <w:top w:w="9" w:type="dxa"/>
              <w:left w:w="9" w:type="dxa"/>
              <w:bottom w:w="0" w:type="dxa"/>
              <w:right w:w="9" w:type="dxa"/>
            </w:tcMar>
            <w:vAlign w:val="center"/>
            <w:hideMark/>
          </w:tcPr>
          <w:p w14:paraId="73DAA708" w14:textId="77777777" w:rsidR="00622884" w:rsidRPr="00622884" w:rsidRDefault="00622884" w:rsidP="00622884">
            <w:pPr>
              <w:spacing w:after="0" w:line="240" w:lineRule="auto"/>
              <w:rPr>
                <w:rFonts w:ascii="Garamond" w:eastAsia="Times New Roman" w:hAnsi="Garamond" w:cs="Calibri Light"/>
                <w:sz w:val="16"/>
                <w:szCs w:val="16"/>
                <w:lang w:eastAsia="en-GB"/>
              </w:rPr>
            </w:pPr>
            <w:r w:rsidRPr="00622884">
              <w:rPr>
                <w:rFonts w:ascii="Garamond" w:eastAsia="Calibri" w:hAnsi="Garamond" w:cs="Times New Roman"/>
                <w:sz w:val="16"/>
                <w:szCs w:val="16"/>
                <w:highlight w:val="green"/>
                <w:lang w:eastAsia="en-US" w:bidi="sq-AL"/>
              </w:rPr>
              <w:t>Shumë i ulët</w:t>
            </w:r>
          </w:p>
        </w:tc>
        <w:tc>
          <w:tcPr>
            <w:tcW w:w="0" w:type="auto"/>
            <w:tcMar>
              <w:top w:w="9" w:type="dxa"/>
              <w:left w:w="9" w:type="dxa"/>
              <w:bottom w:w="0" w:type="dxa"/>
              <w:right w:w="9" w:type="dxa"/>
            </w:tcMar>
            <w:vAlign w:val="center"/>
            <w:hideMark/>
          </w:tcPr>
          <w:p w14:paraId="2646D32C" w14:textId="77777777" w:rsidR="00622884" w:rsidRPr="00622884" w:rsidRDefault="00622884" w:rsidP="00622884">
            <w:pPr>
              <w:spacing w:after="0" w:line="240" w:lineRule="auto"/>
              <w:textAlignment w:val="bottom"/>
              <w:rPr>
                <w:rFonts w:ascii="Garamond" w:eastAsia="Times New Roman" w:hAnsi="Garamond" w:cs="Calibri Light"/>
                <w:sz w:val="16"/>
                <w:szCs w:val="16"/>
                <w:lang w:eastAsia="en-GB"/>
              </w:rPr>
            </w:pPr>
            <w:r w:rsidRPr="00622884">
              <w:rPr>
                <w:rFonts w:ascii="Garamond" w:eastAsia="Calibri" w:hAnsi="Garamond" w:cs="Times New Roman"/>
                <w:sz w:val="16"/>
                <w:szCs w:val="16"/>
                <w:highlight w:val="yellow"/>
                <w:lang w:eastAsia="en-US" w:bidi="sq-AL"/>
              </w:rPr>
              <w:t>Mesatar</w:t>
            </w:r>
            <w:r w:rsidRPr="00622884">
              <w:rPr>
                <w:rFonts w:ascii="Garamond" w:eastAsia="Calibri" w:hAnsi="Garamond" w:cs="Times New Roman"/>
                <w:kern w:val="24"/>
                <w:sz w:val="16"/>
                <w:szCs w:val="16"/>
                <w:lang w:eastAsia="en-US" w:bidi="sq-AL"/>
              </w:rPr>
              <w:t xml:space="preserve"> – </w:t>
            </w:r>
            <w:r w:rsidRPr="00622884">
              <w:rPr>
                <w:rFonts w:ascii="Garamond" w:eastAsia="Calibri" w:hAnsi="Garamond" w:cs="Times New Roman"/>
                <w:kern w:val="24"/>
                <w:sz w:val="16"/>
                <w:szCs w:val="16"/>
                <w:highlight w:val="darkRed"/>
                <w:lang w:eastAsia="en-US" w:bidi="sq-AL"/>
              </w:rPr>
              <w:t>Shumë i lartë</w:t>
            </w:r>
          </w:p>
        </w:tc>
      </w:tr>
      <w:tr w:rsidR="00622884" w:rsidRPr="00622884" w14:paraId="276AD3F5" w14:textId="77777777" w:rsidTr="00622884">
        <w:trPr>
          <w:trHeight w:val="292"/>
          <w:jc w:val="center"/>
        </w:trPr>
        <w:tc>
          <w:tcPr>
            <w:tcW w:w="0" w:type="auto"/>
            <w:tcMar>
              <w:top w:w="9" w:type="dxa"/>
              <w:left w:w="9" w:type="dxa"/>
              <w:bottom w:w="0" w:type="dxa"/>
              <w:right w:w="9" w:type="dxa"/>
            </w:tcMar>
            <w:vAlign w:val="center"/>
            <w:hideMark/>
          </w:tcPr>
          <w:p w14:paraId="143218B2" w14:textId="77777777" w:rsidR="00622884" w:rsidRPr="00622884" w:rsidRDefault="00622884" w:rsidP="00622884">
            <w:pPr>
              <w:spacing w:after="0" w:line="240" w:lineRule="auto"/>
              <w:textAlignment w:val="bottom"/>
              <w:rPr>
                <w:rFonts w:ascii="Garamond" w:eastAsia="Times New Roman" w:hAnsi="Garamond" w:cs="Calibri Light"/>
                <w:sz w:val="16"/>
                <w:szCs w:val="16"/>
                <w:lang w:eastAsia="en-GB"/>
              </w:rPr>
            </w:pPr>
            <w:r w:rsidRPr="00622884">
              <w:rPr>
                <w:rFonts w:ascii="Garamond" w:eastAsia="Calibri" w:hAnsi="Garamond" w:cs="Times New Roman"/>
                <w:kern w:val="24"/>
                <w:sz w:val="16"/>
                <w:szCs w:val="16"/>
                <w:lang w:eastAsia="en-US" w:bidi="sq-AL"/>
              </w:rPr>
              <w:t>Transporti ajror</w:t>
            </w:r>
          </w:p>
        </w:tc>
        <w:tc>
          <w:tcPr>
            <w:tcW w:w="0" w:type="auto"/>
            <w:tcMar>
              <w:top w:w="9" w:type="dxa"/>
              <w:left w:w="9" w:type="dxa"/>
              <w:bottom w:w="0" w:type="dxa"/>
              <w:right w:w="9" w:type="dxa"/>
            </w:tcMar>
            <w:vAlign w:val="center"/>
            <w:hideMark/>
          </w:tcPr>
          <w:p w14:paraId="60EA1E6F" w14:textId="77777777" w:rsidR="00622884" w:rsidRPr="00622884" w:rsidRDefault="00622884" w:rsidP="00622884">
            <w:pPr>
              <w:spacing w:after="0" w:line="240" w:lineRule="auto"/>
              <w:rPr>
                <w:rFonts w:ascii="Garamond" w:eastAsia="Times New Roman" w:hAnsi="Garamond" w:cs="Calibri Light"/>
                <w:sz w:val="16"/>
                <w:szCs w:val="16"/>
                <w:lang w:eastAsia="en-GB"/>
              </w:rPr>
            </w:pPr>
            <w:r w:rsidRPr="00622884">
              <w:rPr>
                <w:rFonts w:ascii="Garamond" w:eastAsia="Calibri" w:hAnsi="Garamond" w:cs="Times New Roman"/>
                <w:sz w:val="16"/>
                <w:szCs w:val="16"/>
                <w:highlight w:val="green"/>
                <w:lang w:eastAsia="en-US" w:bidi="sq-AL"/>
              </w:rPr>
              <w:t>Shumë i ulët</w:t>
            </w:r>
          </w:p>
        </w:tc>
        <w:tc>
          <w:tcPr>
            <w:tcW w:w="0" w:type="auto"/>
            <w:tcMar>
              <w:top w:w="9" w:type="dxa"/>
              <w:left w:w="9" w:type="dxa"/>
              <w:bottom w:w="0" w:type="dxa"/>
              <w:right w:w="9" w:type="dxa"/>
            </w:tcMar>
            <w:vAlign w:val="center"/>
            <w:hideMark/>
          </w:tcPr>
          <w:p w14:paraId="109E63E4" w14:textId="77777777" w:rsidR="00622884" w:rsidRPr="00622884" w:rsidRDefault="00622884" w:rsidP="00622884">
            <w:pPr>
              <w:spacing w:after="0" w:line="240" w:lineRule="auto"/>
              <w:rPr>
                <w:rFonts w:ascii="Garamond" w:eastAsia="Times New Roman" w:hAnsi="Garamond" w:cs="Calibri Light"/>
                <w:sz w:val="16"/>
                <w:szCs w:val="16"/>
                <w:lang w:eastAsia="en-GB"/>
              </w:rPr>
            </w:pPr>
            <w:r w:rsidRPr="00622884">
              <w:rPr>
                <w:rFonts w:ascii="Garamond" w:eastAsia="Calibri" w:hAnsi="Garamond" w:cs="Times New Roman"/>
                <w:sz w:val="16"/>
                <w:szCs w:val="16"/>
                <w:highlight w:val="lightGray"/>
                <w:lang w:eastAsia="en-US" w:bidi="sq-AL"/>
              </w:rPr>
              <w:t>I ulët</w:t>
            </w:r>
            <w:r w:rsidRPr="00622884">
              <w:rPr>
                <w:rFonts w:ascii="Garamond" w:eastAsia="Calibri" w:hAnsi="Garamond" w:cs="Times New Roman"/>
                <w:kern w:val="24"/>
                <w:sz w:val="16"/>
                <w:szCs w:val="16"/>
                <w:lang w:eastAsia="en-US" w:bidi="sq-AL"/>
              </w:rPr>
              <w:t xml:space="preserve"> – </w:t>
            </w:r>
            <w:r w:rsidRPr="00622884">
              <w:rPr>
                <w:rFonts w:ascii="Garamond" w:eastAsia="Calibri" w:hAnsi="Garamond" w:cs="Times New Roman"/>
                <w:sz w:val="16"/>
                <w:szCs w:val="16"/>
                <w:highlight w:val="yellow"/>
                <w:lang w:eastAsia="en-US" w:bidi="sq-AL"/>
              </w:rPr>
              <w:t>Mesatar</w:t>
            </w:r>
          </w:p>
        </w:tc>
      </w:tr>
      <w:tr w:rsidR="00622884" w:rsidRPr="00622884" w14:paraId="126F2B16" w14:textId="77777777" w:rsidTr="00622884">
        <w:trPr>
          <w:trHeight w:val="292"/>
          <w:jc w:val="center"/>
        </w:trPr>
        <w:tc>
          <w:tcPr>
            <w:tcW w:w="0" w:type="auto"/>
            <w:gridSpan w:val="3"/>
            <w:shd w:val="clear" w:color="auto" w:fill="DFEAF5"/>
            <w:tcMar>
              <w:top w:w="9" w:type="dxa"/>
              <w:left w:w="9" w:type="dxa"/>
              <w:bottom w:w="0" w:type="dxa"/>
              <w:right w:w="9" w:type="dxa"/>
            </w:tcMar>
            <w:vAlign w:val="center"/>
            <w:hideMark/>
          </w:tcPr>
          <w:p w14:paraId="48522556" w14:textId="77777777" w:rsidR="00622884" w:rsidRPr="00622884" w:rsidRDefault="00622884" w:rsidP="00622884">
            <w:pPr>
              <w:spacing w:after="0" w:line="240" w:lineRule="auto"/>
              <w:textAlignment w:val="bottom"/>
              <w:rPr>
                <w:rFonts w:ascii="Garamond" w:eastAsia="Times New Roman" w:hAnsi="Garamond" w:cs="Calibri Light"/>
                <w:sz w:val="16"/>
                <w:szCs w:val="16"/>
                <w:lang w:eastAsia="en-GB"/>
              </w:rPr>
            </w:pPr>
            <w:r w:rsidRPr="00622884">
              <w:rPr>
                <w:rFonts w:ascii="Garamond" w:eastAsia="Calibri" w:hAnsi="Garamond" w:cs="Times New Roman"/>
                <w:b/>
                <w:kern w:val="24"/>
                <w:sz w:val="16"/>
                <w:szCs w:val="16"/>
                <w:lang w:eastAsia="en-US" w:bidi="sq-AL"/>
              </w:rPr>
              <w:t>URBAN</w:t>
            </w:r>
          </w:p>
        </w:tc>
      </w:tr>
      <w:tr w:rsidR="00622884" w:rsidRPr="00622884" w14:paraId="24A1BA16" w14:textId="77777777" w:rsidTr="00622884">
        <w:trPr>
          <w:trHeight w:val="292"/>
          <w:jc w:val="center"/>
        </w:trPr>
        <w:tc>
          <w:tcPr>
            <w:tcW w:w="0" w:type="auto"/>
            <w:tcMar>
              <w:top w:w="9" w:type="dxa"/>
              <w:left w:w="9" w:type="dxa"/>
              <w:bottom w:w="0" w:type="dxa"/>
              <w:right w:w="9" w:type="dxa"/>
            </w:tcMar>
            <w:vAlign w:val="center"/>
            <w:hideMark/>
          </w:tcPr>
          <w:p w14:paraId="4DD4B279" w14:textId="77777777" w:rsidR="00622884" w:rsidRPr="00622884" w:rsidRDefault="00622884" w:rsidP="00622884">
            <w:pPr>
              <w:spacing w:after="0" w:line="240" w:lineRule="auto"/>
              <w:textAlignment w:val="bottom"/>
              <w:rPr>
                <w:rFonts w:ascii="Garamond" w:eastAsia="Times New Roman" w:hAnsi="Garamond" w:cs="Calibri Light"/>
                <w:sz w:val="16"/>
                <w:szCs w:val="16"/>
                <w:lang w:eastAsia="en-GB"/>
              </w:rPr>
            </w:pPr>
            <w:r w:rsidRPr="00622884">
              <w:rPr>
                <w:rFonts w:ascii="Garamond" w:eastAsia="Calibri" w:hAnsi="Garamond" w:cs="Times New Roman"/>
                <w:kern w:val="24"/>
                <w:sz w:val="16"/>
                <w:szCs w:val="16"/>
                <w:lang w:eastAsia="en-US" w:bidi="sq-AL"/>
              </w:rPr>
              <w:t>Rezidencial</w:t>
            </w:r>
          </w:p>
        </w:tc>
        <w:tc>
          <w:tcPr>
            <w:tcW w:w="0" w:type="auto"/>
            <w:tcMar>
              <w:top w:w="9" w:type="dxa"/>
              <w:left w:w="9" w:type="dxa"/>
              <w:bottom w:w="0" w:type="dxa"/>
              <w:right w:w="9" w:type="dxa"/>
            </w:tcMar>
            <w:vAlign w:val="center"/>
            <w:hideMark/>
          </w:tcPr>
          <w:p w14:paraId="73CFB0BC" w14:textId="77777777" w:rsidR="00622884" w:rsidRPr="00622884" w:rsidRDefault="00622884" w:rsidP="00622884">
            <w:pPr>
              <w:spacing w:after="0" w:line="240" w:lineRule="auto"/>
              <w:rPr>
                <w:rFonts w:ascii="Garamond" w:eastAsia="Times New Roman" w:hAnsi="Garamond" w:cs="Calibri Light"/>
                <w:sz w:val="16"/>
                <w:szCs w:val="16"/>
                <w:highlight w:val="yellow"/>
                <w:lang w:eastAsia="en-GB"/>
              </w:rPr>
            </w:pPr>
            <w:r w:rsidRPr="00622884">
              <w:rPr>
                <w:rFonts w:ascii="Garamond" w:eastAsia="Calibri" w:hAnsi="Garamond" w:cs="Times New Roman"/>
                <w:sz w:val="16"/>
                <w:szCs w:val="16"/>
                <w:highlight w:val="red"/>
                <w:lang w:eastAsia="en-US" w:bidi="sq-AL"/>
              </w:rPr>
              <w:t>I lartë</w:t>
            </w:r>
          </w:p>
        </w:tc>
        <w:tc>
          <w:tcPr>
            <w:tcW w:w="0" w:type="auto"/>
            <w:tcMar>
              <w:top w:w="9" w:type="dxa"/>
              <w:left w:w="9" w:type="dxa"/>
              <w:bottom w:w="0" w:type="dxa"/>
              <w:right w:w="9" w:type="dxa"/>
            </w:tcMar>
            <w:vAlign w:val="center"/>
            <w:hideMark/>
          </w:tcPr>
          <w:p w14:paraId="01BC01E7" w14:textId="77777777" w:rsidR="00622884" w:rsidRPr="00622884" w:rsidRDefault="00622884" w:rsidP="00622884">
            <w:pPr>
              <w:spacing w:after="0" w:line="240" w:lineRule="auto"/>
              <w:textAlignment w:val="bottom"/>
              <w:rPr>
                <w:rFonts w:ascii="Garamond" w:eastAsia="Times New Roman" w:hAnsi="Garamond" w:cs="Calibri Light"/>
                <w:sz w:val="16"/>
                <w:szCs w:val="16"/>
                <w:highlight w:val="yellow"/>
                <w:lang w:eastAsia="en-GB"/>
              </w:rPr>
            </w:pPr>
            <w:r w:rsidRPr="00622884">
              <w:rPr>
                <w:rFonts w:ascii="Garamond" w:eastAsia="Calibri" w:hAnsi="Garamond" w:cs="Times New Roman"/>
                <w:kern w:val="24"/>
                <w:sz w:val="16"/>
                <w:szCs w:val="16"/>
                <w:highlight w:val="darkRed"/>
                <w:lang w:eastAsia="en-US" w:bidi="sq-AL"/>
              </w:rPr>
              <w:t>Shumë i lartë</w:t>
            </w:r>
            <w:r w:rsidRPr="00622884">
              <w:rPr>
                <w:rFonts w:ascii="Garamond" w:eastAsia="Calibri" w:hAnsi="Garamond" w:cs="Times New Roman"/>
                <w:kern w:val="24"/>
                <w:sz w:val="16"/>
                <w:szCs w:val="16"/>
                <w:lang w:eastAsia="en-US" w:bidi="sq-AL"/>
              </w:rPr>
              <w:t xml:space="preserve"> – </w:t>
            </w:r>
            <w:r w:rsidRPr="00622884">
              <w:rPr>
                <w:rFonts w:ascii="Garamond" w:eastAsia="Calibri" w:hAnsi="Garamond" w:cs="Times New Roman"/>
                <w:kern w:val="24"/>
                <w:sz w:val="16"/>
                <w:szCs w:val="16"/>
                <w:highlight w:val="darkRed"/>
                <w:lang w:eastAsia="en-US" w:bidi="sq-AL"/>
              </w:rPr>
              <w:t>Shumë i lartë</w:t>
            </w:r>
          </w:p>
        </w:tc>
      </w:tr>
      <w:tr w:rsidR="00622884" w:rsidRPr="00622884" w14:paraId="55128C27" w14:textId="77777777" w:rsidTr="00622884">
        <w:trPr>
          <w:trHeight w:val="292"/>
          <w:jc w:val="center"/>
        </w:trPr>
        <w:tc>
          <w:tcPr>
            <w:tcW w:w="0" w:type="auto"/>
            <w:tcMar>
              <w:top w:w="9" w:type="dxa"/>
              <w:left w:w="9" w:type="dxa"/>
              <w:bottom w:w="0" w:type="dxa"/>
              <w:right w:w="9" w:type="dxa"/>
            </w:tcMar>
            <w:vAlign w:val="center"/>
            <w:hideMark/>
          </w:tcPr>
          <w:p w14:paraId="6B6C9630" w14:textId="77777777" w:rsidR="00622884" w:rsidRPr="00622884" w:rsidRDefault="00622884" w:rsidP="00622884">
            <w:pPr>
              <w:spacing w:after="0" w:line="240" w:lineRule="auto"/>
              <w:textAlignment w:val="bottom"/>
              <w:rPr>
                <w:rFonts w:ascii="Garamond" w:eastAsia="Times New Roman" w:hAnsi="Garamond" w:cs="Calibri Light"/>
                <w:sz w:val="16"/>
                <w:szCs w:val="16"/>
                <w:lang w:eastAsia="en-GB"/>
              </w:rPr>
            </w:pPr>
            <w:r w:rsidRPr="00622884">
              <w:rPr>
                <w:rFonts w:ascii="Garamond" w:eastAsia="Calibri" w:hAnsi="Garamond" w:cs="Times New Roman"/>
                <w:kern w:val="24"/>
                <w:sz w:val="16"/>
                <w:szCs w:val="16"/>
                <w:lang w:eastAsia="en-US" w:bidi="sq-AL"/>
              </w:rPr>
              <w:t>Social</w:t>
            </w:r>
          </w:p>
        </w:tc>
        <w:tc>
          <w:tcPr>
            <w:tcW w:w="0" w:type="auto"/>
            <w:tcMar>
              <w:top w:w="9" w:type="dxa"/>
              <w:left w:w="9" w:type="dxa"/>
              <w:bottom w:w="0" w:type="dxa"/>
              <w:right w:w="9" w:type="dxa"/>
            </w:tcMar>
            <w:vAlign w:val="center"/>
            <w:hideMark/>
          </w:tcPr>
          <w:p w14:paraId="3FCAA91F" w14:textId="77777777" w:rsidR="00622884" w:rsidRPr="00622884" w:rsidRDefault="00622884" w:rsidP="00622884">
            <w:pPr>
              <w:spacing w:after="0" w:line="240" w:lineRule="auto"/>
              <w:rPr>
                <w:rFonts w:ascii="Garamond" w:eastAsia="Times New Roman" w:hAnsi="Garamond" w:cs="Calibri Light"/>
                <w:sz w:val="16"/>
                <w:szCs w:val="16"/>
                <w:highlight w:val="yellow"/>
                <w:lang w:eastAsia="en-GB"/>
              </w:rPr>
            </w:pPr>
            <w:r w:rsidRPr="00622884">
              <w:rPr>
                <w:rFonts w:ascii="Garamond" w:eastAsia="Calibri" w:hAnsi="Garamond" w:cs="Times New Roman"/>
                <w:sz w:val="16"/>
                <w:szCs w:val="16"/>
                <w:highlight w:val="red"/>
                <w:lang w:eastAsia="en-US" w:bidi="sq-AL"/>
              </w:rPr>
              <w:t>I lartë</w:t>
            </w:r>
          </w:p>
        </w:tc>
        <w:tc>
          <w:tcPr>
            <w:tcW w:w="0" w:type="auto"/>
            <w:tcMar>
              <w:top w:w="9" w:type="dxa"/>
              <w:left w:w="9" w:type="dxa"/>
              <w:bottom w:w="0" w:type="dxa"/>
              <w:right w:w="9" w:type="dxa"/>
            </w:tcMar>
            <w:vAlign w:val="center"/>
            <w:hideMark/>
          </w:tcPr>
          <w:p w14:paraId="5CC6E380" w14:textId="77777777" w:rsidR="00622884" w:rsidRPr="00622884" w:rsidRDefault="00622884" w:rsidP="00622884">
            <w:pPr>
              <w:spacing w:after="0" w:line="240" w:lineRule="auto"/>
              <w:textAlignment w:val="bottom"/>
              <w:rPr>
                <w:rFonts w:ascii="Garamond" w:eastAsia="Times New Roman" w:hAnsi="Garamond" w:cs="Calibri Light"/>
                <w:sz w:val="16"/>
                <w:szCs w:val="16"/>
                <w:highlight w:val="yellow"/>
                <w:lang w:eastAsia="en-GB"/>
              </w:rPr>
            </w:pPr>
            <w:r w:rsidRPr="00622884">
              <w:rPr>
                <w:rFonts w:ascii="Garamond" w:eastAsia="Calibri" w:hAnsi="Garamond" w:cs="Times New Roman"/>
                <w:kern w:val="24"/>
                <w:sz w:val="16"/>
                <w:szCs w:val="16"/>
                <w:highlight w:val="darkRed"/>
                <w:lang w:eastAsia="en-US" w:bidi="sq-AL"/>
              </w:rPr>
              <w:t>Shumë i lartë</w:t>
            </w:r>
            <w:r w:rsidRPr="00622884">
              <w:rPr>
                <w:rFonts w:ascii="Garamond" w:eastAsia="Calibri" w:hAnsi="Garamond" w:cs="Times New Roman"/>
                <w:kern w:val="24"/>
                <w:sz w:val="16"/>
                <w:szCs w:val="16"/>
                <w:lang w:eastAsia="en-US" w:bidi="sq-AL"/>
              </w:rPr>
              <w:t xml:space="preserve"> – </w:t>
            </w:r>
            <w:r w:rsidRPr="00622884">
              <w:rPr>
                <w:rFonts w:ascii="Garamond" w:eastAsia="Calibri" w:hAnsi="Garamond" w:cs="Times New Roman"/>
                <w:kern w:val="24"/>
                <w:sz w:val="16"/>
                <w:szCs w:val="16"/>
                <w:highlight w:val="darkRed"/>
                <w:lang w:eastAsia="en-US" w:bidi="sq-AL"/>
              </w:rPr>
              <w:t>Shumë i lartë</w:t>
            </w:r>
          </w:p>
        </w:tc>
      </w:tr>
      <w:tr w:rsidR="00622884" w:rsidRPr="00622884" w14:paraId="317A21D3" w14:textId="77777777" w:rsidTr="00622884">
        <w:trPr>
          <w:trHeight w:val="292"/>
          <w:jc w:val="center"/>
        </w:trPr>
        <w:tc>
          <w:tcPr>
            <w:tcW w:w="0" w:type="auto"/>
            <w:tcMar>
              <w:top w:w="9" w:type="dxa"/>
              <w:left w:w="9" w:type="dxa"/>
              <w:bottom w:w="0" w:type="dxa"/>
              <w:right w:w="9" w:type="dxa"/>
            </w:tcMar>
            <w:vAlign w:val="center"/>
            <w:hideMark/>
          </w:tcPr>
          <w:p w14:paraId="4397882A" w14:textId="77777777" w:rsidR="00622884" w:rsidRPr="00622884" w:rsidRDefault="00622884" w:rsidP="00622884">
            <w:pPr>
              <w:spacing w:after="0" w:line="240" w:lineRule="auto"/>
              <w:textAlignment w:val="bottom"/>
              <w:rPr>
                <w:rFonts w:ascii="Garamond" w:eastAsia="Times New Roman" w:hAnsi="Garamond" w:cs="Calibri Light"/>
                <w:sz w:val="16"/>
                <w:szCs w:val="16"/>
                <w:lang w:eastAsia="en-GB"/>
              </w:rPr>
            </w:pPr>
            <w:r w:rsidRPr="00622884">
              <w:rPr>
                <w:rFonts w:ascii="Garamond" w:eastAsia="Calibri" w:hAnsi="Garamond" w:cs="Times New Roman"/>
                <w:kern w:val="24"/>
                <w:sz w:val="16"/>
                <w:szCs w:val="16"/>
                <w:lang w:eastAsia="en-US" w:bidi="sq-AL"/>
              </w:rPr>
              <w:t>Prodhues</w:t>
            </w:r>
          </w:p>
        </w:tc>
        <w:tc>
          <w:tcPr>
            <w:tcW w:w="0" w:type="auto"/>
            <w:tcMar>
              <w:top w:w="9" w:type="dxa"/>
              <w:left w:w="9" w:type="dxa"/>
              <w:bottom w:w="0" w:type="dxa"/>
              <w:right w:w="9" w:type="dxa"/>
            </w:tcMar>
            <w:vAlign w:val="center"/>
            <w:hideMark/>
          </w:tcPr>
          <w:p w14:paraId="274F7E7D" w14:textId="77777777" w:rsidR="00622884" w:rsidRPr="00622884" w:rsidRDefault="00622884" w:rsidP="00622884">
            <w:pPr>
              <w:spacing w:after="0" w:line="240" w:lineRule="auto"/>
              <w:rPr>
                <w:rFonts w:ascii="Garamond" w:eastAsia="Times New Roman" w:hAnsi="Garamond" w:cs="Calibri Light"/>
                <w:sz w:val="16"/>
                <w:szCs w:val="16"/>
                <w:lang w:eastAsia="en-GB"/>
              </w:rPr>
            </w:pPr>
            <w:r w:rsidRPr="00622884">
              <w:rPr>
                <w:rFonts w:ascii="Garamond" w:eastAsia="Calibri" w:hAnsi="Garamond" w:cs="Times New Roman"/>
                <w:sz w:val="16"/>
                <w:szCs w:val="16"/>
                <w:highlight w:val="lightGray"/>
                <w:lang w:eastAsia="en-US" w:bidi="sq-AL"/>
              </w:rPr>
              <w:t>I ulët</w:t>
            </w:r>
          </w:p>
        </w:tc>
        <w:tc>
          <w:tcPr>
            <w:tcW w:w="0" w:type="auto"/>
            <w:tcMar>
              <w:top w:w="9" w:type="dxa"/>
              <w:left w:w="9" w:type="dxa"/>
              <w:bottom w:w="0" w:type="dxa"/>
              <w:right w:w="9" w:type="dxa"/>
            </w:tcMar>
            <w:vAlign w:val="center"/>
            <w:hideMark/>
          </w:tcPr>
          <w:p w14:paraId="2FB442F9" w14:textId="77777777" w:rsidR="00622884" w:rsidRPr="00622884" w:rsidRDefault="00622884" w:rsidP="00622884">
            <w:pPr>
              <w:spacing w:after="0" w:line="240" w:lineRule="auto"/>
              <w:textAlignment w:val="bottom"/>
              <w:rPr>
                <w:rFonts w:ascii="Garamond" w:eastAsia="Times New Roman" w:hAnsi="Garamond" w:cs="Calibri Light"/>
                <w:sz w:val="16"/>
                <w:szCs w:val="16"/>
                <w:lang w:eastAsia="en-GB"/>
              </w:rPr>
            </w:pPr>
            <w:r w:rsidRPr="00622884">
              <w:rPr>
                <w:rFonts w:ascii="Garamond" w:eastAsia="Calibri" w:hAnsi="Garamond" w:cs="Times New Roman"/>
                <w:kern w:val="24"/>
                <w:sz w:val="16"/>
                <w:szCs w:val="16"/>
                <w:highlight w:val="darkRed"/>
                <w:lang w:eastAsia="en-US" w:bidi="sq-AL"/>
              </w:rPr>
              <w:t>Shumë i lartë</w:t>
            </w:r>
            <w:r w:rsidRPr="00622884">
              <w:rPr>
                <w:rFonts w:ascii="Garamond" w:eastAsia="Calibri" w:hAnsi="Garamond" w:cs="Times New Roman"/>
                <w:kern w:val="24"/>
                <w:sz w:val="16"/>
                <w:szCs w:val="16"/>
                <w:lang w:eastAsia="en-US" w:bidi="sq-AL"/>
              </w:rPr>
              <w:t xml:space="preserve"> – </w:t>
            </w:r>
            <w:r w:rsidRPr="00622884">
              <w:rPr>
                <w:rFonts w:ascii="Garamond" w:eastAsia="Calibri" w:hAnsi="Garamond" w:cs="Times New Roman"/>
                <w:kern w:val="24"/>
                <w:sz w:val="16"/>
                <w:szCs w:val="16"/>
                <w:highlight w:val="darkRed"/>
                <w:lang w:eastAsia="en-US" w:bidi="sq-AL"/>
              </w:rPr>
              <w:t>Shumë i lartë</w:t>
            </w:r>
          </w:p>
        </w:tc>
      </w:tr>
      <w:tr w:rsidR="00622884" w:rsidRPr="00622884" w14:paraId="1E6AC192" w14:textId="77777777" w:rsidTr="00622884">
        <w:trPr>
          <w:trHeight w:val="292"/>
          <w:jc w:val="center"/>
        </w:trPr>
        <w:tc>
          <w:tcPr>
            <w:tcW w:w="0" w:type="auto"/>
            <w:tcMar>
              <w:top w:w="9" w:type="dxa"/>
              <w:left w:w="9" w:type="dxa"/>
              <w:bottom w:w="0" w:type="dxa"/>
              <w:right w:w="9" w:type="dxa"/>
            </w:tcMar>
            <w:vAlign w:val="center"/>
            <w:hideMark/>
          </w:tcPr>
          <w:p w14:paraId="35706D8D" w14:textId="77777777" w:rsidR="00622884" w:rsidRPr="00622884" w:rsidRDefault="00622884" w:rsidP="00622884">
            <w:pPr>
              <w:spacing w:after="0" w:line="240" w:lineRule="auto"/>
              <w:textAlignment w:val="bottom"/>
              <w:rPr>
                <w:rFonts w:ascii="Garamond" w:eastAsia="Times New Roman" w:hAnsi="Garamond" w:cs="Calibri Light"/>
                <w:sz w:val="16"/>
                <w:szCs w:val="16"/>
                <w:lang w:eastAsia="en-GB"/>
              </w:rPr>
            </w:pPr>
            <w:r w:rsidRPr="00622884">
              <w:rPr>
                <w:rFonts w:ascii="Garamond" w:eastAsia="Calibri" w:hAnsi="Garamond" w:cs="Times New Roman"/>
                <w:kern w:val="24"/>
                <w:sz w:val="16"/>
                <w:szCs w:val="16"/>
                <w:lang w:eastAsia="en-US" w:bidi="sq-AL"/>
              </w:rPr>
              <w:t>Rrjeti i furnizimit</w:t>
            </w:r>
          </w:p>
        </w:tc>
        <w:tc>
          <w:tcPr>
            <w:tcW w:w="0" w:type="auto"/>
            <w:tcMar>
              <w:top w:w="9" w:type="dxa"/>
              <w:left w:w="9" w:type="dxa"/>
              <w:bottom w:w="0" w:type="dxa"/>
              <w:right w:w="9" w:type="dxa"/>
            </w:tcMar>
            <w:vAlign w:val="center"/>
            <w:hideMark/>
          </w:tcPr>
          <w:p w14:paraId="35278228" w14:textId="77777777" w:rsidR="00622884" w:rsidRPr="00622884" w:rsidRDefault="00622884" w:rsidP="00622884">
            <w:pPr>
              <w:spacing w:after="0" w:line="240" w:lineRule="auto"/>
              <w:rPr>
                <w:rFonts w:ascii="Garamond" w:eastAsia="Times New Roman" w:hAnsi="Garamond" w:cs="Calibri Light"/>
                <w:sz w:val="16"/>
                <w:szCs w:val="16"/>
                <w:lang w:eastAsia="en-GB"/>
              </w:rPr>
            </w:pPr>
            <w:r w:rsidRPr="00622884">
              <w:rPr>
                <w:rFonts w:ascii="Garamond" w:eastAsia="Calibri" w:hAnsi="Garamond" w:cs="Times New Roman"/>
                <w:sz w:val="16"/>
                <w:szCs w:val="16"/>
                <w:highlight w:val="lightGray"/>
                <w:lang w:eastAsia="en-US" w:bidi="sq-AL"/>
              </w:rPr>
              <w:t>I ulët</w:t>
            </w:r>
          </w:p>
        </w:tc>
        <w:tc>
          <w:tcPr>
            <w:tcW w:w="0" w:type="auto"/>
            <w:tcMar>
              <w:top w:w="9" w:type="dxa"/>
              <w:left w:w="9" w:type="dxa"/>
              <w:bottom w:w="0" w:type="dxa"/>
              <w:right w:w="9" w:type="dxa"/>
            </w:tcMar>
            <w:vAlign w:val="center"/>
            <w:hideMark/>
          </w:tcPr>
          <w:p w14:paraId="47B8FA65" w14:textId="77777777" w:rsidR="00622884" w:rsidRPr="00622884" w:rsidRDefault="00622884" w:rsidP="00622884">
            <w:pPr>
              <w:spacing w:after="0" w:line="240" w:lineRule="auto"/>
              <w:textAlignment w:val="bottom"/>
              <w:rPr>
                <w:rFonts w:ascii="Garamond" w:eastAsia="Times New Roman" w:hAnsi="Garamond" w:cs="Calibri Light"/>
                <w:sz w:val="16"/>
                <w:szCs w:val="16"/>
                <w:lang w:eastAsia="en-GB"/>
              </w:rPr>
            </w:pPr>
            <w:r w:rsidRPr="00622884">
              <w:rPr>
                <w:rFonts w:ascii="Garamond" w:eastAsia="Calibri" w:hAnsi="Garamond" w:cs="Times New Roman"/>
                <w:kern w:val="24"/>
                <w:sz w:val="16"/>
                <w:szCs w:val="16"/>
                <w:highlight w:val="darkRed"/>
                <w:lang w:eastAsia="en-US" w:bidi="sq-AL"/>
              </w:rPr>
              <w:t>Shumë i lartë</w:t>
            </w:r>
            <w:r w:rsidRPr="00622884">
              <w:rPr>
                <w:rFonts w:ascii="Garamond" w:eastAsia="Calibri" w:hAnsi="Garamond" w:cs="Times New Roman"/>
                <w:kern w:val="24"/>
                <w:sz w:val="16"/>
                <w:szCs w:val="16"/>
                <w:lang w:eastAsia="en-US" w:bidi="sq-AL"/>
              </w:rPr>
              <w:t xml:space="preserve"> – </w:t>
            </w:r>
            <w:r w:rsidRPr="00622884">
              <w:rPr>
                <w:rFonts w:ascii="Garamond" w:eastAsia="Calibri" w:hAnsi="Garamond" w:cs="Times New Roman"/>
                <w:kern w:val="24"/>
                <w:sz w:val="16"/>
                <w:szCs w:val="16"/>
                <w:highlight w:val="darkRed"/>
                <w:lang w:eastAsia="en-US" w:bidi="sq-AL"/>
              </w:rPr>
              <w:t>Shumë i lartë</w:t>
            </w:r>
          </w:p>
        </w:tc>
      </w:tr>
    </w:tbl>
    <w:p w14:paraId="0090BF75" w14:textId="77777777" w:rsidR="00622884" w:rsidRPr="00622884" w:rsidRDefault="00622884" w:rsidP="00622884">
      <w:pPr>
        <w:spacing w:after="0" w:line="240" w:lineRule="auto"/>
        <w:ind w:firstLine="284"/>
        <w:rPr>
          <w:rFonts w:ascii="Garamond" w:eastAsia="SimSun" w:hAnsi="Garamond" w:cs="Calibri Light"/>
          <w:sz w:val="24"/>
          <w:szCs w:val="24"/>
          <w:lang w:eastAsia="en-US" w:bidi="sq-AL"/>
        </w:rPr>
      </w:pPr>
    </w:p>
    <w:p w14:paraId="4C0D8E92" w14:textId="77777777" w:rsidR="00622884" w:rsidRPr="00622884" w:rsidRDefault="00622884" w:rsidP="00622884">
      <w:pPr>
        <w:spacing w:after="0" w:line="240" w:lineRule="auto"/>
        <w:ind w:firstLine="284"/>
        <w:rPr>
          <w:rFonts w:ascii="Garamond" w:eastAsia="SimSun" w:hAnsi="Garamond" w:cs="Calibri Light"/>
          <w:sz w:val="24"/>
          <w:szCs w:val="24"/>
          <w:lang w:eastAsia="en-US"/>
        </w:rPr>
      </w:pPr>
      <w:r w:rsidRPr="00622884">
        <w:rPr>
          <w:rFonts w:ascii="Garamond" w:eastAsia="SimSun" w:hAnsi="Garamond" w:cs="Calibri Light"/>
          <w:sz w:val="24"/>
          <w:szCs w:val="24"/>
          <w:lang w:eastAsia="en-US" w:bidi="sq-AL"/>
        </w:rPr>
        <w:t xml:space="preserve">Për ta përmbledhur, vlerësimet tregojnë se risqet kombëtare klimatike në Shqipëri vijnë duke u rritur me kalimin e kohës, si edhe pesimizmin e skenarit. </w:t>
      </w:r>
      <w:r w:rsidRPr="00622884">
        <w:rPr>
          <w:rFonts w:ascii="Garamond" w:eastAsia="SimSun" w:hAnsi="Garamond" w:cs="Calibri Light"/>
          <w:b/>
          <w:sz w:val="24"/>
          <w:szCs w:val="24"/>
          <w:lang w:eastAsia="en-US" w:bidi="sq-AL"/>
        </w:rPr>
        <w:t>Sektorët e zhvillimit urban, bujqësisë dhe turizmit kanë nivelin më të lartë të riskut</w:t>
      </w:r>
      <w:r w:rsidRPr="00622884">
        <w:rPr>
          <w:rFonts w:ascii="Garamond" w:eastAsia="SimSun" w:hAnsi="Garamond" w:cs="Calibri Light"/>
          <w:sz w:val="24"/>
          <w:szCs w:val="24"/>
          <w:lang w:eastAsia="en-US" w:bidi="sq-AL"/>
        </w:rPr>
        <w:t xml:space="preserve">, ndërsa sektorët e energjisë dhe transportit kanë nivele më të ulëta (vlen për risqet aktuale dhe ato të ardhshme). Arsyeja kryesore për këtë është ndjeshmëria e bujqësisë dhe turizmit ndaj ndryshimeve të variablave klimatike, ndërsa për sektorin e zhvillimit urban arsyeja kryesore është ndjeshmëria ndaj rritjes së temperaturave dhe valëve të të nxehtit duke marrë parasysh efektet e ishujve urbanë të nxehtësisë, si edhe përqendrimi i konsiderueshëm i sektorit të zhvillimit urban në bregdet. Sa u përket risqeve të ardhshme: nënsektorët e kulturave të përkohshme, ekoturizmit dhe zhvillimit urban janë më të rrezikuarit. Nënsektorët më pak të rrezikuar janë derrat dhe shpendët, delet dhe dhitë, energjia e erës dhe energjia diellore dhe transporti ajror. </w:t>
      </w:r>
    </w:p>
    <w:p w14:paraId="3F23512E" w14:textId="77777777" w:rsidR="00622884" w:rsidRPr="00622884" w:rsidRDefault="00622884" w:rsidP="00622884">
      <w:pPr>
        <w:spacing w:after="0" w:line="240" w:lineRule="auto"/>
        <w:ind w:firstLine="284"/>
        <w:rPr>
          <w:rFonts w:ascii="Garamond" w:eastAsia="SimSun" w:hAnsi="Garamond" w:cs="Calibri Light"/>
          <w:sz w:val="24"/>
          <w:szCs w:val="24"/>
          <w:highlight w:val="yellow"/>
          <w:lang w:eastAsia="en-US"/>
        </w:rPr>
      </w:pPr>
      <w:r w:rsidRPr="00622884">
        <w:rPr>
          <w:rFonts w:ascii="Garamond" w:eastAsia="SimSun" w:hAnsi="Garamond" w:cs="Calibri Light"/>
          <w:sz w:val="24"/>
          <w:szCs w:val="24"/>
          <w:lang w:eastAsia="en-US" w:bidi="sq-AL"/>
        </w:rPr>
        <w:t xml:space="preserve">Ky vlerësim duhet të kombinohet me një vlerësim të rëndësisë relative të sektorëve në Shqipëri. </w:t>
      </w:r>
      <w:r w:rsidRPr="00622884">
        <w:rPr>
          <w:rFonts w:ascii="Garamond" w:eastAsia="SimSun" w:hAnsi="Garamond" w:cs="Calibri Light"/>
          <w:b/>
          <w:sz w:val="24"/>
          <w:szCs w:val="24"/>
          <w:lang w:eastAsia="en-US" w:bidi="sq-AL"/>
        </w:rPr>
        <w:t xml:space="preserve">Risqet klimatike në zhvillimin urban </w:t>
      </w:r>
      <w:r w:rsidRPr="00622884">
        <w:rPr>
          <w:rFonts w:ascii="Garamond" w:eastAsia="SimSun" w:hAnsi="Garamond" w:cs="Calibri Light"/>
          <w:sz w:val="24"/>
          <w:szCs w:val="24"/>
          <w:lang w:eastAsia="en-US" w:bidi="sq-AL"/>
        </w:rPr>
        <w:t xml:space="preserve">janë kyç duke qenë se, pas një procesi të fuqishëm urbanizmi, pothuajse dy të tretat (62%) e popullsisë së vendit jetonte në zona urbane në vitin 2020, dhe parashikohet që ky numër të rritet. Gjithashtu, qytetet janë qendra ekonomike, te të cilat përqendrohen veprimtaritë më të rëndësishme ekonomike të vendit, përfshirë shërbimet </w:t>
      </w:r>
      <w:r w:rsidRPr="00622884">
        <w:rPr>
          <w:rFonts w:ascii="Garamond" w:eastAsia="SimSun" w:hAnsi="Garamond" w:cs="Calibri Light"/>
          <w:sz w:val="24"/>
          <w:szCs w:val="24"/>
          <w:lang w:eastAsia="en-US" w:bidi="sq-AL"/>
        </w:rPr>
        <w:lastRenderedPageBreak/>
        <w:t xml:space="preserve">dhe industrinë. Edhe risqet klimatike në </w:t>
      </w:r>
      <w:r w:rsidRPr="00622884">
        <w:rPr>
          <w:rFonts w:ascii="Garamond" w:eastAsia="SimSun" w:hAnsi="Garamond" w:cs="Calibri Light"/>
          <w:b/>
          <w:sz w:val="24"/>
          <w:szCs w:val="24"/>
          <w:lang w:eastAsia="en-US" w:bidi="sq-AL"/>
        </w:rPr>
        <w:t>sektorin e turizmit</w:t>
      </w:r>
      <w:r w:rsidRPr="00622884">
        <w:rPr>
          <w:rFonts w:ascii="Garamond" w:eastAsia="SimSun" w:hAnsi="Garamond" w:cs="Calibri Light"/>
          <w:sz w:val="24"/>
          <w:szCs w:val="24"/>
          <w:lang w:eastAsia="en-US" w:bidi="sq-AL"/>
        </w:rPr>
        <w:t xml:space="preserve">, veçanërisht ato të nënsektorit të turizmit bregdetar, janë me rëndësi ekonomike për Shqipërinë. Risku i lartë për </w:t>
      </w:r>
      <w:r w:rsidRPr="00622884">
        <w:rPr>
          <w:rFonts w:ascii="Garamond" w:eastAsia="SimSun" w:hAnsi="Garamond" w:cs="Calibri Light"/>
          <w:b/>
          <w:sz w:val="24"/>
          <w:szCs w:val="24"/>
          <w:lang w:eastAsia="en-US" w:bidi="sq-AL"/>
        </w:rPr>
        <w:t>bujqësinë</w:t>
      </w:r>
      <w:r w:rsidRPr="00622884">
        <w:rPr>
          <w:rFonts w:ascii="Garamond" w:eastAsia="SimSun" w:hAnsi="Garamond" w:cs="Calibri Light"/>
          <w:sz w:val="24"/>
          <w:szCs w:val="24"/>
          <w:lang w:eastAsia="en-US" w:bidi="sq-AL"/>
        </w:rPr>
        <w:t xml:space="preserve"> përbën shqetësim sa i përket punësimit dhe sigurisë ushqimore, veçanërisht në zonat e mëdha rurale të vendit. </w:t>
      </w:r>
    </w:p>
    <w:p w14:paraId="48EE245B" w14:textId="77777777" w:rsidR="00622884" w:rsidRPr="00622884" w:rsidRDefault="00622884" w:rsidP="00622884">
      <w:pPr>
        <w:spacing w:after="0" w:line="240" w:lineRule="auto"/>
        <w:ind w:firstLine="284"/>
        <w:rPr>
          <w:rFonts w:ascii="Garamond" w:eastAsia="SimSun" w:hAnsi="Garamond" w:cs="Calibri Light"/>
          <w:sz w:val="24"/>
          <w:szCs w:val="24"/>
          <w:lang w:eastAsia="en-US"/>
        </w:rPr>
      </w:pPr>
      <w:r w:rsidRPr="00622884">
        <w:rPr>
          <w:rFonts w:ascii="Garamond" w:eastAsia="SimSun" w:hAnsi="Garamond" w:cs="Calibri Light"/>
          <w:sz w:val="24"/>
          <w:szCs w:val="24"/>
          <w:lang w:eastAsia="en-US" w:bidi="sq-AL"/>
        </w:rPr>
        <w:t xml:space="preserve">Risqet që lidhen me rreziqe të ndryshme klimatike ndërveprojnë dhe ndërthurja e tyre, ose ndryshe </w:t>
      </w:r>
      <w:r w:rsidRPr="00622884">
        <w:rPr>
          <w:rFonts w:ascii="Garamond" w:eastAsia="SimSun" w:hAnsi="Garamond" w:cs="Calibri Light"/>
          <w:b/>
          <w:sz w:val="24"/>
          <w:szCs w:val="24"/>
          <w:lang w:eastAsia="en-US" w:bidi="sq-AL"/>
        </w:rPr>
        <w:t>risqet e përbëra ose të ndërlikuara</w:t>
      </w:r>
      <w:r w:rsidRPr="00622884">
        <w:rPr>
          <w:rFonts w:ascii="Garamond" w:eastAsia="SimSun" w:hAnsi="Garamond" w:cs="Calibri Light"/>
          <w:sz w:val="24"/>
          <w:szCs w:val="24"/>
          <w:lang w:eastAsia="en-US" w:bidi="sq-AL"/>
        </w:rPr>
        <w:t xml:space="preserve">, mund të jenë më të rënda sesa risqet e izoluara. Gjithashtu, sektorët dhe nënsektorët janë të ndërlidhur; risqet në një sektor nënkuptojnë risqe për sektorë të tjerë, p.sh., zhvillimi urban dhe transporti. </w:t>
      </w:r>
    </w:p>
    <w:p w14:paraId="72F59E4F" w14:textId="77777777" w:rsidR="00622884" w:rsidRPr="00622884" w:rsidRDefault="00622884" w:rsidP="00622884">
      <w:pPr>
        <w:spacing w:after="0" w:line="240" w:lineRule="auto"/>
        <w:ind w:firstLine="284"/>
        <w:rPr>
          <w:rFonts w:ascii="Garamond" w:eastAsia="SimSun" w:hAnsi="Garamond" w:cs="Calibri Light"/>
          <w:sz w:val="24"/>
          <w:szCs w:val="24"/>
          <w:lang w:eastAsia="en-US" w:bidi="sq-AL"/>
        </w:rPr>
      </w:pPr>
      <w:r w:rsidRPr="00622884">
        <w:rPr>
          <w:rFonts w:ascii="Garamond" w:eastAsia="SimSun" w:hAnsi="Garamond" w:cs="Calibri Light"/>
          <w:sz w:val="24"/>
          <w:szCs w:val="24"/>
          <w:lang w:eastAsia="en-US" w:bidi="sq-AL"/>
        </w:rPr>
        <w:t xml:space="preserve">Shqipëria ekspozohet edhe ndaj </w:t>
      </w:r>
      <w:r w:rsidRPr="00622884">
        <w:rPr>
          <w:rFonts w:ascii="Garamond" w:eastAsia="SimSun" w:hAnsi="Garamond" w:cs="Calibri Light"/>
          <w:b/>
          <w:sz w:val="24"/>
          <w:szCs w:val="24"/>
          <w:lang w:eastAsia="en-US" w:bidi="sq-AL"/>
        </w:rPr>
        <w:t>risqeve ndërkufitare klimatike</w:t>
      </w:r>
      <w:r w:rsidRPr="00622884">
        <w:rPr>
          <w:rFonts w:ascii="Garamond" w:eastAsia="SimSun" w:hAnsi="Garamond" w:cs="Calibri Light"/>
          <w:sz w:val="24"/>
          <w:szCs w:val="24"/>
          <w:lang w:eastAsia="en-US" w:bidi="sq-AL"/>
        </w:rPr>
        <w:t>, pra, risqeve që lidhen me ndikimin e ndryshimeve klimatike në rrjetet dhe burimet e përbashkëta me vendet e tjera, veçanërisht turizmi, transporti dhe energjia. Nëse marrim parasysh risqet e përbëra dhe ndërkufitare, risqet klimatike në Shqipëri mund të vlerësohen vetëm si të larta ose shumë të larta.</w:t>
      </w:r>
    </w:p>
    <w:p w14:paraId="53C72214" w14:textId="77777777" w:rsidR="00622884" w:rsidRPr="00622884" w:rsidRDefault="00622884" w:rsidP="00622884">
      <w:pPr>
        <w:spacing w:after="0" w:line="240" w:lineRule="auto"/>
        <w:ind w:firstLine="284"/>
        <w:rPr>
          <w:rFonts w:ascii="Garamond" w:eastAsia="SimSun" w:hAnsi="Garamond" w:cs="Calibri Light"/>
          <w:sz w:val="24"/>
          <w:szCs w:val="24"/>
          <w:lang w:eastAsia="en-US"/>
        </w:rPr>
      </w:pPr>
      <w:r w:rsidRPr="00622884">
        <w:rPr>
          <w:rFonts w:ascii="Garamond" w:eastAsia="SimSun" w:hAnsi="Garamond" w:cs="Calibri Light"/>
          <w:sz w:val="24"/>
          <w:szCs w:val="24"/>
          <w:lang w:eastAsia="en-US"/>
        </w:rPr>
        <w:t>Sektori i shëndetësisë është veçanërisht i ndjeshëm ndaj ndikimeve të ndryshimeve klimatike. Rritja e temperaturave mesatare dhe intensifikimi i valëve të të nxehtit kontribuojnë në rritjen e sëmundshmërisë dhe vdekshmërisë, veçanërisht te grupet vulnerabël, përfshirë të moshuarit, fëmijët dhe personat me sëmundje kronike. Ndryshimet në regjimin e reshjeve, përmbytjet dhe ngjarjet e tjera ekstreme klimatike rrisin rrezikun e sëmundjeve të transmetuara nga uji dhe vektorët, si dhe ndikojnë në aksesin dhe funksionimin e infrastrukturës dhe shërbimeve shëndetësore. Sistemi shëndetësor përballet gjithashtu me rreziqe operacionale gjatë përmbytjeve, thatësirave dhe ndërprerjeve të energjisë dhe furnizimit me ujë, duke e bërë të domosdoshme përfshirjen e masave të përshtatjes për forcimin e qëndrueshmërisë së tij</w:t>
      </w:r>
    </w:p>
    <w:p w14:paraId="197329F7" w14:textId="77777777" w:rsidR="00622884" w:rsidRPr="00622884" w:rsidRDefault="00622884" w:rsidP="00622884">
      <w:pPr>
        <w:spacing w:after="0" w:line="240" w:lineRule="auto"/>
        <w:ind w:firstLine="284"/>
        <w:rPr>
          <w:rFonts w:ascii="Garamond" w:eastAsia="Aptos" w:hAnsi="Garamond" w:cs="Calibri Light"/>
          <w:sz w:val="24"/>
          <w:szCs w:val="24"/>
          <w:lang w:eastAsia="en-US"/>
        </w:rPr>
      </w:pPr>
      <w:r w:rsidRPr="00622884">
        <w:rPr>
          <w:rFonts w:ascii="Garamond" w:eastAsia="SimSun" w:hAnsi="Garamond" w:cs="Calibri Light"/>
          <w:b/>
          <w:sz w:val="24"/>
          <w:szCs w:val="24"/>
          <w:lang w:eastAsia="en-US" w:bidi="sq-AL"/>
        </w:rPr>
        <w:t>Disa faktorë rrisin risqet e përgjithshme klimatike në Shqipëri.</w:t>
      </w:r>
      <w:r w:rsidRPr="00622884">
        <w:rPr>
          <w:rFonts w:ascii="Garamond" w:eastAsia="SimSun" w:hAnsi="Garamond" w:cs="Calibri Light"/>
          <w:sz w:val="24"/>
          <w:szCs w:val="24"/>
          <w:lang w:eastAsia="en-US" w:bidi="sq-AL"/>
        </w:rPr>
        <w:t xml:space="preserve"> Sipërfaqja e vogël e vendit, përqendrimi i popullsisë në zonat bregdetare dhe aglomeratet kryesore, mbështetja e madhe në turizmin bregdetar, transportin rrugor dhe energjinë hidroelektrike e bëjnë vendin veçanërisht cenueshëm. Disa grupe të popullsisë janë më të rrezikuara për shkak të moshës, gjendjes shëndetësore, nevojës për kujdes, vendndodhjes, situatës ekonomike, gjinisë, ose një ndërthurjeje të këtyre faktorëve. Njerëzit që jetojnë në lagje të margjinalizuara, kryesisht në zona me rrezik përmbytjeje përgjatë brigjeve të lumenjve, janë veçanërisht të rrezikuar, si prej valëve të të nxehtit, ashtu edhe prej reshjeve të dendura të shiut. Në krahasim me burrat, gratë janë më të cenueshme ndaj rreziqeve klimatike. Risqet klimatike mund të sjellin situata kritike në këto komunitete të cenueshme nëse nuk ka sisteme të mbrojtjes sociale që integrojnë përshtatjen ndaj ndryshimeve klimatike dhe rrjetet e sigurisë. Menaxhimi mjedisor i papërshtatshëm, ku përfshihet shpyllëzimi, keqmenaxhimi i pellgjeve ujëmbledhëse dhe menaxhimi i papërshtatshëm i mbetjeve, rrit edhe risqet klimatike në të gjithë sektorët. Mangësitë në legjislacionin për klimën, kapacitetet njerëzore, të dhënat dhe pajisjet mund t’i përkeqësojnë më tej risqet klimatike në vend dhe të pengojnë përpjekjet për përshtatjen dhe menaxhimin e fatkeqësive. </w:t>
      </w:r>
    </w:p>
    <w:p w14:paraId="721DB441" w14:textId="77777777" w:rsidR="00622884" w:rsidRPr="00622884" w:rsidRDefault="00622884" w:rsidP="00622884">
      <w:pPr>
        <w:spacing w:after="0" w:line="240" w:lineRule="auto"/>
        <w:ind w:firstLine="284"/>
        <w:rPr>
          <w:rFonts w:ascii="Garamond" w:eastAsia="SimSun" w:hAnsi="Garamond" w:cs="Calibri Light"/>
          <w:sz w:val="24"/>
          <w:szCs w:val="24"/>
          <w:lang w:eastAsia="en-US"/>
        </w:rPr>
      </w:pPr>
      <w:r w:rsidRPr="00622884">
        <w:rPr>
          <w:rFonts w:ascii="Garamond" w:eastAsia="SimSun" w:hAnsi="Garamond" w:cs="Calibri Light"/>
          <w:b/>
          <w:sz w:val="24"/>
          <w:szCs w:val="24"/>
          <w:lang w:eastAsia="en-US" w:bidi="sq-AL"/>
        </w:rPr>
        <w:t>Ndërsa disa faktorë të tjerë mund t’i ulin risqet klimatike në Shqipëri.</w:t>
      </w:r>
      <w:r w:rsidRPr="00622884">
        <w:rPr>
          <w:rFonts w:ascii="Garamond" w:eastAsia="SimSun" w:hAnsi="Garamond" w:cs="Calibri Light"/>
          <w:sz w:val="24"/>
          <w:szCs w:val="24"/>
          <w:lang w:eastAsia="en-US" w:bidi="sq-AL"/>
        </w:rPr>
        <w:t xml:space="preserve"> Diversiteti i konsiderueshëm i ekosistemeve në vend dhe natyra kodrinore e bregdetit Jon kontribuojnë në aftësitë ripërtëritëse të vendit. Gjithashtu, rritja e parashikuar e PBB-së dhe e PBB-së për frymë do të rrisë kapacitetet e vendit për përshtatje. Zbatimi i rregulloreve, strategjive dhe planeve evropiane kontribuon në integrim më të mirë të përshtatjes ndaj ndryshimeve klimatike, rrit kapacitetet e vendit për përshtatje dhe ul risqet klimatike</w:t>
      </w:r>
      <w:r w:rsidRPr="00622884">
        <w:rPr>
          <w:rFonts w:ascii="Garamond" w:eastAsia="SimSun" w:hAnsi="Garamond" w:cs="Calibri Light"/>
          <w:sz w:val="24"/>
          <w:szCs w:val="24"/>
          <w:vertAlign w:val="superscript"/>
          <w:lang w:eastAsia="en-US" w:bidi="sq-AL"/>
        </w:rPr>
        <w:footnoteReference w:id="199"/>
      </w:r>
      <w:r w:rsidRPr="00622884">
        <w:rPr>
          <w:rFonts w:ascii="Garamond" w:eastAsia="SimSun" w:hAnsi="Garamond" w:cs="Calibri Light"/>
          <w:sz w:val="24"/>
          <w:szCs w:val="24"/>
          <w:lang w:eastAsia="en-US" w:bidi="sq-AL"/>
        </w:rPr>
        <w:t>.</w:t>
      </w:r>
    </w:p>
    <w:p w14:paraId="78992569" w14:textId="77777777" w:rsidR="00622884" w:rsidRPr="00622884" w:rsidRDefault="00622884" w:rsidP="00622884">
      <w:pPr>
        <w:keepNext/>
        <w:keepLines/>
        <w:spacing w:after="0" w:line="240" w:lineRule="auto"/>
        <w:ind w:firstLine="284"/>
        <w:outlineLvl w:val="1"/>
        <w:rPr>
          <w:rFonts w:ascii="Garamond" w:eastAsia="MS Mincho" w:hAnsi="Garamond" w:cs="Times New Roman"/>
          <w:b/>
          <w:bCs/>
          <w:caps/>
          <w:sz w:val="24"/>
          <w:szCs w:val="24"/>
          <w:lang w:eastAsia="es-ES"/>
        </w:rPr>
      </w:pPr>
      <w:bookmarkStart w:id="256" w:name="_Toc213936232"/>
      <w:r w:rsidRPr="00622884">
        <w:rPr>
          <w:rFonts w:ascii="Garamond" w:eastAsia="MS Mincho" w:hAnsi="Garamond" w:cs="Times New Roman"/>
          <w:bCs/>
          <w:caps/>
          <w:sz w:val="24"/>
          <w:szCs w:val="24"/>
          <w:lang w:eastAsia="es-ES" w:bidi="sq-AL"/>
        </w:rPr>
        <w:t>4.4 Cenueshmëritë klimatike dhe risqet në nivel vendor</w:t>
      </w:r>
      <w:bookmarkEnd w:id="256"/>
    </w:p>
    <w:p w14:paraId="263D1A78" w14:textId="77777777" w:rsidR="00622884" w:rsidRPr="00622884" w:rsidRDefault="00622884" w:rsidP="00622884">
      <w:pPr>
        <w:spacing w:after="0" w:line="240" w:lineRule="auto"/>
        <w:ind w:firstLine="284"/>
        <w:rPr>
          <w:rFonts w:ascii="Garamond" w:eastAsia="SimSun" w:hAnsi="Garamond" w:cs="Calibri Light"/>
          <w:sz w:val="24"/>
          <w:szCs w:val="24"/>
          <w:lang w:eastAsia="en-US"/>
        </w:rPr>
      </w:pPr>
      <w:bookmarkStart w:id="257" w:name="_bookmark12"/>
      <w:bookmarkStart w:id="258" w:name="_bookmark11"/>
      <w:bookmarkStart w:id="259" w:name="_bookmark10"/>
      <w:bookmarkStart w:id="260" w:name="_bookmark9"/>
      <w:bookmarkStart w:id="261" w:name="_bookmark8"/>
      <w:bookmarkStart w:id="262" w:name="_bookmark7"/>
      <w:bookmarkStart w:id="263" w:name="Health"/>
      <w:bookmarkEnd w:id="257"/>
      <w:bookmarkEnd w:id="258"/>
      <w:bookmarkEnd w:id="259"/>
      <w:bookmarkEnd w:id="260"/>
      <w:bookmarkEnd w:id="261"/>
      <w:bookmarkEnd w:id="262"/>
      <w:bookmarkEnd w:id="263"/>
      <w:r w:rsidRPr="00622884">
        <w:rPr>
          <w:rFonts w:ascii="Garamond" w:eastAsia="SimSun" w:hAnsi="Garamond" w:cs="Calibri Light"/>
          <w:sz w:val="24"/>
          <w:szCs w:val="24"/>
          <w:lang w:eastAsia="en-US" w:bidi="sq-AL"/>
        </w:rPr>
        <w:t xml:space="preserve">Pjesa më e madhe e vijës bregdetare të Shqipërisë shtrihet përgjatë Detit Adriatik dhe karakterizohet nga një </w:t>
      </w:r>
      <w:r w:rsidRPr="00622884">
        <w:rPr>
          <w:rFonts w:ascii="Garamond" w:eastAsia="SimSun" w:hAnsi="Garamond" w:cs="Calibri Light"/>
          <w:b/>
          <w:sz w:val="24"/>
          <w:szCs w:val="24"/>
          <w:lang w:eastAsia="en-US" w:bidi="sq-AL"/>
        </w:rPr>
        <w:t xml:space="preserve">zonë </w:t>
      </w:r>
      <w:r w:rsidRPr="00622884">
        <w:rPr>
          <w:rFonts w:ascii="Garamond" w:eastAsia="SimSun" w:hAnsi="Garamond" w:cs="Calibri Light"/>
          <w:sz w:val="24"/>
          <w:szCs w:val="24"/>
          <w:lang w:eastAsia="en-US" w:bidi="sq-AL"/>
        </w:rPr>
        <w:t>e sheshtë dhe e ulët</w:t>
      </w:r>
      <w:r w:rsidRPr="00622884">
        <w:rPr>
          <w:rFonts w:ascii="Garamond" w:eastAsia="SimSun" w:hAnsi="Garamond" w:cs="Calibri Light"/>
          <w:b/>
          <w:sz w:val="24"/>
          <w:szCs w:val="24"/>
          <w:lang w:eastAsia="en-US" w:bidi="sq-AL"/>
        </w:rPr>
        <w:t xml:space="preserve"> bregdetare</w:t>
      </w:r>
      <w:r w:rsidRPr="00622884">
        <w:rPr>
          <w:rFonts w:ascii="Garamond" w:eastAsia="SimSun" w:hAnsi="Garamond" w:cs="Calibri Light"/>
          <w:sz w:val="24"/>
          <w:szCs w:val="24"/>
          <w:lang w:eastAsia="en-US" w:bidi="sq-AL"/>
        </w:rPr>
        <w:t xml:space="preserve">, që përfaqëson 11,78% të sipërfaqes së përgjithshme të Shqipërisë dhe është e banuar nga 1/3 e popullsisë së përgjithshme të vendit. </w:t>
      </w:r>
      <w:r w:rsidRPr="00622884">
        <w:rPr>
          <w:rFonts w:ascii="Garamond" w:eastAsia="SimSun" w:hAnsi="Garamond" w:cs="Calibri Light"/>
          <w:sz w:val="24"/>
          <w:szCs w:val="24"/>
          <w:lang w:eastAsia="en-US" w:bidi="sq-AL"/>
        </w:rPr>
        <w:lastRenderedPageBreak/>
        <w:t>Si pasojë, sistemet bregdetare, përfshirë zonat e banuara, janë veçanërisht të ndjeshme ndaj ndryshimeve klimatike dhe të cenueshme ndaj rritjes së nivelit të detit dhe ndryshimeve në intensitetin dhe frekuencën e përmbytjeve.</w:t>
      </w:r>
    </w:p>
    <w:p w14:paraId="112D21AC" w14:textId="77777777" w:rsidR="00622884" w:rsidRPr="00622884" w:rsidRDefault="00622884" w:rsidP="00622884">
      <w:pPr>
        <w:spacing w:after="0" w:line="240" w:lineRule="auto"/>
        <w:ind w:firstLine="284"/>
        <w:rPr>
          <w:rFonts w:ascii="Garamond" w:eastAsia="SimSun" w:hAnsi="Garamond" w:cs="Calibri Light"/>
          <w:sz w:val="24"/>
          <w:szCs w:val="24"/>
          <w:lang w:eastAsia="en-US"/>
        </w:rPr>
      </w:pPr>
      <w:r w:rsidRPr="00622884">
        <w:rPr>
          <w:rFonts w:ascii="Garamond" w:eastAsia="SimSun" w:hAnsi="Garamond" w:cs="Calibri Light"/>
          <w:sz w:val="24"/>
          <w:szCs w:val="24"/>
          <w:lang w:eastAsia="en-US" w:bidi="sq-AL"/>
        </w:rPr>
        <w:t>Projekti i NAP-it ndërmori hartimin e “</w:t>
      </w:r>
      <w:r w:rsidRPr="00622884">
        <w:rPr>
          <w:rFonts w:ascii="Garamond" w:eastAsia="SimSun" w:hAnsi="Garamond" w:cs="Calibri Light"/>
          <w:b/>
          <w:sz w:val="24"/>
          <w:szCs w:val="24"/>
          <w:lang w:eastAsia="en-US" w:bidi="sq-AL"/>
        </w:rPr>
        <w:t>Planeve Vendore të Përshtatjes</w:t>
      </w:r>
      <w:r w:rsidRPr="00622884">
        <w:rPr>
          <w:rFonts w:ascii="Garamond" w:eastAsia="SimSun" w:hAnsi="Garamond" w:cs="Calibri Light"/>
          <w:sz w:val="24"/>
          <w:szCs w:val="24"/>
          <w:lang w:eastAsia="en-US" w:bidi="sq-AL"/>
        </w:rPr>
        <w:t>” (PVP) në 8 bashki</w:t>
      </w:r>
      <w:r w:rsidRPr="00622884">
        <w:rPr>
          <w:rFonts w:ascii="Garamond" w:eastAsia="SimSun" w:hAnsi="Garamond" w:cs="Calibri Light"/>
          <w:sz w:val="24"/>
          <w:szCs w:val="24"/>
          <w:vertAlign w:val="superscript"/>
          <w:lang w:eastAsia="en-US" w:bidi="sq-AL"/>
        </w:rPr>
        <w:footnoteReference w:id="200"/>
      </w:r>
      <w:r w:rsidRPr="00622884">
        <w:rPr>
          <w:rFonts w:ascii="Garamond" w:eastAsia="SimSun" w:hAnsi="Garamond" w:cs="Calibri Light"/>
          <w:sz w:val="24"/>
          <w:szCs w:val="24"/>
          <w:lang w:eastAsia="en-US" w:bidi="sq-AL"/>
        </w:rPr>
        <w:t xml:space="preserve"> për periudhën 2022</w:t>
      </w:r>
      <w:r w:rsidRPr="00622884">
        <w:rPr>
          <w:rFonts w:ascii="Garamond" w:eastAsia="SimSun" w:hAnsi="Garamond" w:cs="Times New Roman"/>
          <w:color w:val="1D3C5A"/>
          <w:sz w:val="24"/>
          <w:szCs w:val="24"/>
          <w:lang w:eastAsia="en-US"/>
        </w:rPr>
        <w:t>–</w:t>
      </w:r>
      <w:r w:rsidRPr="00622884">
        <w:rPr>
          <w:rFonts w:ascii="Garamond" w:eastAsia="SimSun" w:hAnsi="Garamond" w:cs="Calibri Light"/>
          <w:sz w:val="24"/>
          <w:szCs w:val="24"/>
          <w:lang w:eastAsia="en-US" w:bidi="sq-AL"/>
        </w:rPr>
        <w:t>2024. PVP-të u hartuan sipas udhëzimeve të stafit teknik bashkiak përmes mbledhjes së të dhënave, ngritjes së kapaciteteve, identifikimit të masave prioritare të përshtatjes dhe përgatitjes së planit të përshtatjes për të trajtuar ndikimet negative të ngjarjeve ekstreme të motit dhe për të siguruar investime afatgjata. Risqet dhe cenueshmëritë kyç sipas bashkive janë si më poshtë</w:t>
      </w:r>
      <w:r w:rsidRPr="00622884">
        <w:rPr>
          <w:rFonts w:ascii="Garamond" w:eastAsia="SimSun" w:hAnsi="Garamond" w:cs="Calibri Light"/>
          <w:sz w:val="24"/>
          <w:szCs w:val="24"/>
          <w:vertAlign w:val="superscript"/>
          <w:lang w:eastAsia="en-US" w:bidi="sq-AL"/>
        </w:rPr>
        <w:footnoteReference w:id="201"/>
      </w:r>
      <w:r w:rsidRPr="00622884">
        <w:rPr>
          <w:rFonts w:ascii="Garamond" w:eastAsia="SimSun" w:hAnsi="Garamond" w:cs="Calibri Light"/>
          <w:sz w:val="24"/>
          <w:szCs w:val="24"/>
          <w:lang w:eastAsia="en-US" w:bidi="sq-AL"/>
        </w:rPr>
        <w:t>:</w:t>
      </w:r>
    </w:p>
    <w:p w14:paraId="0B71802E" w14:textId="77777777" w:rsidR="00622884" w:rsidRPr="00622884" w:rsidRDefault="00622884" w:rsidP="00622884">
      <w:pPr>
        <w:tabs>
          <w:tab w:val="left" w:pos="5325"/>
        </w:tabs>
        <w:spacing w:after="0" w:line="240" w:lineRule="auto"/>
        <w:ind w:firstLine="284"/>
        <w:rPr>
          <w:rFonts w:ascii="Garamond" w:eastAsia="Calibri" w:hAnsi="Garamond" w:cs="Times New Roman"/>
          <w:b/>
          <w:bCs/>
          <w:sz w:val="24"/>
          <w:szCs w:val="24"/>
          <w:lang w:eastAsia="en-US"/>
        </w:rPr>
      </w:pPr>
      <w:r w:rsidRPr="00622884">
        <w:rPr>
          <w:rFonts w:ascii="Garamond" w:eastAsia="Calibri" w:hAnsi="Garamond" w:cs="Times New Roman"/>
          <w:sz w:val="24"/>
          <w:szCs w:val="24"/>
          <w:lang w:eastAsia="en-US" w:bidi="sq-AL"/>
        </w:rPr>
        <w:t>-</w:t>
      </w:r>
      <w:r w:rsidRPr="00622884">
        <w:rPr>
          <w:rFonts w:ascii="Garamond" w:eastAsia="Calibri" w:hAnsi="Garamond" w:cs="Times New Roman"/>
          <w:b/>
          <w:sz w:val="24"/>
          <w:szCs w:val="24"/>
          <w:lang w:eastAsia="en-US" w:bidi="sq-AL"/>
        </w:rPr>
        <w:t xml:space="preserve"> Durrës: </w:t>
      </w:r>
      <w:r w:rsidRPr="00622884">
        <w:rPr>
          <w:rFonts w:ascii="Garamond" w:eastAsia="Calibri" w:hAnsi="Garamond" w:cs="Times New Roman"/>
          <w:sz w:val="24"/>
          <w:szCs w:val="24"/>
          <w:lang w:eastAsia="en-US" w:bidi="sq-AL"/>
        </w:rPr>
        <w:t>Vera më e nxehtë dhe më e thatë, dimri më i lagësht dhe moti ekstrem kërcënojnë biodiversitetin, gjendjen e dherave dhe peizazhet, duke sjellë degradim të mundshëm të ruajtjes së karbonit në dhera;</w:t>
      </w:r>
    </w:p>
    <w:p w14:paraId="1C4F1D22"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r w:rsidRPr="00622884">
        <w:rPr>
          <w:rFonts w:ascii="Garamond" w:eastAsia="Calibri" w:hAnsi="Garamond" w:cs="Times New Roman"/>
          <w:sz w:val="24"/>
          <w:szCs w:val="24"/>
          <w:lang w:eastAsia="en-US" w:bidi="sq-AL"/>
        </w:rPr>
        <w:t>-</w:t>
      </w:r>
      <w:r w:rsidRPr="00622884">
        <w:rPr>
          <w:rFonts w:ascii="Garamond" w:eastAsia="Calibri" w:hAnsi="Garamond" w:cs="Times New Roman"/>
          <w:b/>
          <w:sz w:val="24"/>
          <w:szCs w:val="24"/>
          <w:lang w:eastAsia="en-US" w:bidi="sq-AL"/>
        </w:rPr>
        <w:t xml:space="preserve"> Elbasan:</w:t>
      </w:r>
      <w:r w:rsidRPr="00622884">
        <w:rPr>
          <w:rFonts w:ascii="Garamond" w:eastAsia="Calibri" w:hAnsi="Garamond" w:cs="Times New Roman"/>
          <w:sz w:val="24"/>
          <w:szCs w:val="24"/>
          <w:lang w:eastAsia="en-US" w:bidi="sq-AL"/>
        </w:rPr>
        <w:t xml:space="preserve"> Temperaturat e larta, stuhitë e dendura të shiut dhe risqet për biodiversitetin dhe burimet ujore kërcënojnë turizmin, bujqësinë dhe pasuritë natyrore, duke sjellë shqetësime të konsiderueshme si erozioni, rrëshqitja e dheut dhe mungesa e ujit;</w:t>
      </w:r>
    </w:p>
    <w:p w14:paraId="221D7293"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r w:rsidRPr="00622884">
        <w:rPr>
          <w:rFonts w:ascii="Garamond" w:eastAsia="Calibri" w:hAnsi="Garamond" w:cs="Times New Roman"/>
          <w:sz w:val="24"/>
          <w:szCs w:val="24"/>
          <w:lang w:eastAsia="en-US" w:bidi="sq-AL"/>
        </w:rPr>
        <w:t>-</w:t>
      </w:r>
      <w:r w:rsidRPr="00622884">
        <w:rPr>
          <w:rFonts w:ascii="Garamond" w:eastAsia="Calibri" w:hAnsi="Garamond" w:cs="Times New Roman"/>
          <w:b/>
          <w:sz w:val="24"/>
          <w:szCs w:val="24"/>
          <w:lang w:eastAsia="en-US" w:bidi="sq-AL"/>
        </w:rPr>
        <w:t xml:space="preserve"> Fier: </w:t>
      </w:r>
      <w:r w:rsidRPr="00622884">
        <w:rPr>
          <w:rFonts w:ascii="Garamond" w:eastAsia="Calibri" w:hAnsi="Garamond" w:cs="Times New Roman"/>
          <w:sz w:val="24"/>
          <w:szCs w:val="24"/>
          <w:lang w:eastAsia="en-US" w:bidi="sq-AL"/>
        </w:rPr>
        <w:t>Bashkia është e cenueshme nga temperaturat në rritje dhe stuhive të shpeshta e të dendura dhe përmbytjet, të cilat parashikohet të përkeqësohen me kalimin e kohës, paraqesin rrezikun më të madh në të gjithë sektorët;</w:t>
      </w:r>
    </w:p>
    <w:p w14:paraId="5EC14758"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r w:rsidRPr="00622884">
        <w:rPr>
          <w:rFonts w:ascii="Garamond" w:eastAsia="Calibri" w:hAnsi="Garamond" w:cs="Times New Roman"/>
          <w:sz w:val="24"/>
          <w:szCs w:val="24"/>
          <w:lang w:eastAsia="en-US" w:bidi="sq-AL"/>
        </w:rPr>
        <w:t>-</w:t>
      </w:r>
      <w:r w:rsidRPr="00622884">
        <w:rPr>
          <w:rFonts w:ascii="Garamond" w:eastAsia="Calibri" w:hAnsi="Garamond" w:cs="Times New Roman"/>
          <w:b/>
          <w:sz w:val="24"/>
          <w:szCs w:val="24"/>
          <w:lang w:eastAsia="en-US" w:bidi="sq-AL"/>
        </w:rPr>
        <w:t xml:space="preserve"> Gjirokastër: </w:t>
      </w:r>
      <w:r w:rsidRPr="00622884">
        <w:rPr>
          <w:rFonts w:ascii="Garamond" w:eastAsia="Calibri" w:hAnsi="Garamond" w:cs="Times New Roman"/>
          <w:sz w:val="24"/>
          <w:szCs w:val="24"/>
          <w:lang w:eastAsia="en-US" w:bidi="sq-AL"/>
        </w:rPr>
        <w:t>Vera më e nxehtë, dimri më i lagësht dhe moti ekstrem kërcënojnë veprimtaritë e bashkisë, burimet natyrore dhe pasuritë me rëndësi për turizmin dhe industritë vendase;</w:t>
      </w:r>
    </w:p>
    <w:p w14:paraId="37DAE1EC"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r w:rsidRPr="00622884">
        <w:rPr>
          <w:rFonts w:ascii="Garamond" w:eastAsia="Calibri" w:hAnsi="Garamond" w:cs="Times New Roman"/>
          <w:sz w:val="24"/>
          <w:szCs w:val="24"/>
          <w:lang w:eastAsia="en-US" w:bidi="sq-AL"/>
        </w:rPr>
        <w:t>-</w:t>
      </w:r>
      <w:r w:rsidRPr="00622884">
        <w:rPr>
          <w:rFonts w:ascii="Garamond" w:eastAsia="Calibri" w:hAnsi="Garamond" w:cs="Times New Roman"/>
          <w:b/>
          <w:sz w:val="24"/>
          <w:szCs w:val="24"/>
          <w:lang w:eastAsia="en-US" w:bidi="sq-AL"/>
        </w:rPr>
        <w:t xml:space="preserve"> Krujë: </w:t>
      </w:r>
      <w:r w:rsidRPr="00622884">
        <w:rPr>
          <w:rFonts w:ascii="Garamond" w:eastAsia="Calibri" w:hAnsi="Garamond" w:cs="Times New Roman"/>
          <w:sz w:val="24"/>
          <w:szCs w:val="24"/>
          <w:lang w:eastAsia="en-US" w:bidi="sq-AL"/>
        </w:rPr>
        <w:t>Janë identifikuar pak mundësi dhe cenueshmëritë lidhen me rritjen e temperaturave, stuhitë e dendura të shiut dhe kërcënimet për biodiversitetin dhe gjendjen e dherave;</w:t>
      </w:r>
    </w:p>
    <w:p w14:paraId="6319E43D"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r w:rsidRPr="00622884">
        <w:rPr>
          <w:rFonts w:ascii="Garamond" w:eastAsia="Calibri" w:hAnsi="Garamond" w:cs="Times New Roman"/>
          <w:sz w:val="24"/>
          <w:szCs w:val="24"/>
          <w:lang w:eastAsia="en-US" w:bidi="sq-AL"/>
        </w:rPr>
        <w:t>-</w:t>
      </w:r>
      <w:r w:rsidRPr="00622884">
        <w:rPr>
          <w:rFonts w:ascii="Garamond" w:eastAsia="Calibri" w:hAnsi="Garamond" w:cs="Times New Roman"/>
          <w:b/>
          <w:sz w:val="24"/>
          <w:szCs w:val="24"/>
          <w:lang w:eastAsia="en-US" w:bidi="sq-AL"/>
        </w:rPr>
        <w:t xml:space="preserve"> Kukës: </w:t>
      </w:r>
      <w:r w:rsidRPr="00622884">
        <w:rPr>
          <w:rFonts w:ascii="Garamond" w:eastAsia="Calibri" w:hAnsi="Garamond" w:cs="Times New Roman"/>
          <w:sz w:val="24"/>
          <w:szCs w:val="24"/>
          <w:lang w:eastAsia="en-US" w:bidi="sq-AL"/>
        </w:rPr>
        <w:t xml:space="preserve">Kryesisht ka risqe nga përmbytjet dhe reshjet e dendura të shiut dhe rritja e temperaturave sjell verë më të thatë dhe dimër më të lagësht, duke ndikuar te të gjithë sektorët. </w:t>
      </w:r>
    </w:p>
    <w:p w14:paraId="7355D944" w14:textId="77777777" w:rsidR="00622884" w:rsidRPr="00622884" w:rsidRDefault="00622884" w:rsidP="00622884">
      <w:pPr>
        <w:tabs>
          <w:tab w:val="left" w:pos="5325"/>
        </w:tabs>
        <w:spacing w:after="0" w:line="240" w:lineRule="auto"/>
        <w:ind w:firstLine="284"/>
        <w:rPr>
          <w:rFonts w:ascii="Garamond" w:eastAsia="Calibri" w:hAnsi="Garamond" w:cs="Times New Roman"/>
          <w:b/>
          <w:bCs/>
          <w:sz w:val="24"/>
          <w:szCs w:val="24"/>
          <w:lang w:eastAsia="en-US"/>
        </w:rPr>
      </w:pPr>
      <w:r w:rsidRPr="00622884">
        <w:rPr>
          <w:rFonts w:ascii="Garamond" w:eastAsia="Calibri" w:hAnsi="Garamond" w:cs="Times New Roman"/>
          <w:sz w:val="24"/>
          <w:szCs w:val="24"/>
          <w:lang w:eastAsia="en-US" w:bidi="sq-AL"/>
        </w:rPr>
        <w:t>-</w:t>
      </w:r>
      <w:r w:rsidRPr="00622884">
        <w:rPr>
          <w:rFonts w:ascii="Garamond" w:eastAsia="Calibri" w:hAnsi="Garamond" w:cs="Times New Roman"/>
          <w:b/>
          <w:sz w:val="24"/>
          <w:szCs w:val="24"/>
          <w:lang w:eastAsia="en-US" w:bidi="sq-AL"/>
        </w:rPr>
        <w:t xml:space="preserve"> Përmet: </w:t>
      </w:r>
      <w:r w:rsidRPr="00622884">
        <w:rPr>
          <w:rFonts w:ascii="Garamond" w:eastAsia="Calibri" w:hAnsi="Garamond" w:cs="Times New Roman"/>
          <w:sz w:val="24"/>
          <w:szCs w:val="24"/>
          <w:lang w:eastAsia="en-US" w:bidi="sq-AL"/>
        </w:rPr>
        <w:t>Problematikat e ngutshme përfshijnë përmbytjet, valët e të nxehtit dhe pakësimin e reshjeve të dëborës, të cilat ndikojnë në infrastrukturë, në botën e egër dhe në shëndetin publik, duke sjellë përkeqësimin e risqeve për shkak të reshjeve të dendura të shiut;</w:t>
      </w:r>
    </w:p>
    <w:p w14:paraId="3F7CEF21"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r w:rsidRPr="00622884">
        <w:rPr>
          <w:rFonts w:ascii="Garamond" w:eastAsia="Calibri" w:hAnsi="Garamond" w:cs="Times New Roman"/>
          <w:sz w:val="24"/>
          <w:szCs w:val="24"/>
          <w:lang w:eastAsia="en-US" w:bidi="sq-AL"/>
        </w:rPr>
        <w:t>-</w:t>
      </w:r>
      <w:r w:rsidRPr="00622884">
        <w:rPr>
          <w:rFonts w:ascii="Garamond" w:eastAsia="Calibri" w:hAnsi="Garamond" w:cs="Times New Roman"/>
          <w:b/>
          <w:sz w:val="24"/>
          <w:szCs w:val="24"/>
          <w:lang w:eastAsia="en-US" w:bidi="sq-AL"/>
        </w:rPr>
        <w:t xml:space="preserve"> Vlorë: </w:t>
      </w:r>
      <w:r w:rsidRPr="00622884">
        <w:rPr>
          <w:rFonts w:ascii="Garamond" w:eastAsia="Calibri" w:hAnsi="Garamond" w:cs="Times New Roman"/>
          <w:sz w:val="24"/>
          <w:szCs w:val="24"/>
          <w:lang w:eastAsia="en-US" w:bidi="sq-AL"/>
        </w:rPr>
        <w:t>Vend i cenueshëm ndaj temperaturave në rritje, stuhive të dendura të shiut dhe përmbytjeve, që kërcënojnë të gjithë sektorët dhe ku nevojitet, ndër të tjera, infrastrukturë e përmirësuar dhe ajër i kondicionuar</w:t>
      </w:r>
      <w:r w:rsidRPr="00622884">
        <w:rPr>
          <w:rFonts w:ascii="Garamond" w:eastAsia="Calibri" w:hAnsi="Garamond" w:cs="Times New Roman"/>
          <w:sz w:val="24"/>
          <w:szCs w:val="24"/>
          <w:lang w:eastAsia="en-US" w:bidi="sq-AL"/>
        </w:rPr>
        <w:fldChar w:fldCharType="begin" w:fldLock="1"/>
      </w:r>
      <w:r w:rsidRPr="00622884">
        <w:rPr>
          <w:rFonts w:ascii="Garamond" w:eastAsia="Calibri" w:hAnsi="Garamond" w:cs="Times New Roman"/>
          <w:sz w:val="24"/>
          <w:szCs w:val="24"/>
          <w:lang w:eastAsia="en-US" w:bidi="sq-AL"/>
        </w:rPr>
        <w:instrText>ADDIN CSL_CITATION {"citationItems":[{"id":"ITEM-1","itemData":{"author":[{"dropping-particle":"","family":"Ministry of Tourism and Environment","given":"","non-dropping-particle":"","parse-names":false,"suffix":""}],"id":"ITEM-1","issued":{"date-parts":[["2024"]]},"title":"Vlora Municipality Climate Adaptation Plan 2024 – 2040","type":"report"},"uris":["http://www.mendeley.com/documents/?uuid=e90d1c93-441f-4951-947f-a48721a01f7b"]}],"mendeley":{"formattedCitation":"(Ministry of Tourism and Environment, 2024h)","plainTextFormattedCitation":"(Ministry of Tourism and Environment, 2024h)","previouslyFormattedCitation":"(Ministry of Tourism and Environment, 2024h)"},"properties":{"noteIndex":0},"schema":"https://github.com/citation-style-language/schema/raw/master/csl-citation.json"}</w:instrText>
      </w:r>
      <w:r w:rsidRPr="00622884">
        <w:rPr>
          <w:rFonts w:ascii="Garamond" w:eastAsia="Calibri" w:hAnsi="Garamond" w:cs="Times New Roman"/>
          <w:sz w:val="24"/>
          <w:szCs w:val="24"/>
          <w:lang w:eastAsia="en-US" w:bidi="sq-AL"/>
        </w:rPr>
        <w:fldChar w:fldCharType="end"/>
      </w:r>
      <w:r w:rsidRPr="00622884">
        <w:rPr>
          <w:rFonts w:ascii="Garamond" w:eastAsia="Calibri" w:hAnsi="Garamond" w:cs="Times New Roman"/>
          <w:sz w:val="24"/>
          <w:szCs w:val="24"/>
          <w:lang w:eastAsia="en-US" w:bidi="sq-AL"/>
        </w:rPr>
        <w:t>.</w:t>
      </w:r>
    </w:p>
    <w:p w14:paraId="36EE8E58" w14:textId="77777777" w:rsidR="00622884" w:rsidRPr="00622884" w:rsidRDefault="00622884" w:rsidP="00622884">
      <w:pPr>
        <w:spacing w:after="0" w:line="240" w:lineRule="auto"/>
        <w:ind w:firstLine="284"/>
        <w:rPr>
          <w:rFonts w:ascii="Garamond" w:eastAsia="SimSun" w:hAnsi="Garamond" w:cs="Calibri Light"/>
          <w:sz w:val="24"/>
          <w:szCs w:val="24"/>
          <w:lang w:eastAsia="en-US"/>
        </w:rPr>
      </w:pPr>
      <w:r w:rsidRPr="00622884">
        <w:rPr>
          <w:rFonts w:ascii="Garamond" w:eastAsia="SimSun" w:hAnsi="Garamond" w:cs="Calibri Light"/>
          <w:sz w:val="24"/>
          <w:szCs w:val="24"/>
          <w:lang w:eastAsia="en-US" w:bidi="sq-AL"/>
        </w:rPr>
        <w:t xml:space="preserve">Në një vlerësim të bazuar në GIS i risqeve klimatike, ekspozimit dhe cenueshmërisë socio-ekonomike në Shqipëri u përdorën të dhëna nga skenarët e përmbytjeve për të riprodhuar hartat e riskut duke kombinuar probabilitetin e përmbytjeve me intensitetin e ndikimit. Nga rezultatet e vlerësimit u zbulua se 60 nga 61 bashki preken nga përmbytjet e lumenjve, që ndodhin 1 herë në 100 vjet, ndërsa 17 bashki janë të ekspozuara ndaj skenarëve të rritjes së nivelit të detit me 33 cm, 90 cm dhe 100 cm. </w:t>
      </w:r>
    </w:p>
    <w:p w14:paraId="78D79923" w14:textId="77777777" w:rsidR="00622884" w:rsidRPr="00622884" w:rsidRDefault="00622884" w:rsidP="00622884">
      <w:pPr>
        <w:keepNext/>
        <w:keepLines/>
        <w:spacing w:after="0" w:line="240" w:lineRule="auto"/>
        <w:ind w:firstLine="284"/>
        <w:outlineLvl w:val="0"/>
        <w:rPr>
          <w:rFonts w:ascii="Garamond" w:eastAsia="Times New Roman" w:hAnsi="Garamond" w:cs="Averta ExtraBold"/>
          <w:bCs/>
          <w:kern w:val="2"/>
          <w:sz w:val="24"/>
          <w:szCs w:val="24"/>
          <w:lang w:eastAsia="en-US"/>
        </w:rPr>
      </w:pPr>
      <w:bookmarkStart w:id="264" w:name="_Ref210991569"/>
      <w:bookmarkStart w:id="265" w:name="_Ref210992191"/>
      <w:bookmarkStart w:id="266" w:name="_Toc213936233"/>
      <w:r w:rsidRPr="00622884">
        <w:rPr>
          <w:rFonts w:ascii="Garamond" w:eastAsia="Yu Gothic Light" w:hAnsi="Garamond" w:cs="Averta ExtraBold"/>
          <w:bCs/>
          <w:kern w:val="2"/>
          <w:sz w:val="24"/>
          <w:szCs w:val="24"/>
          <w:lang w:eastAsia="en-US" w:bidi="sq-AL"/>
        </w:rPr>
        <w:t>5. MASAT E PËRSHTATJES, VLERËSIMET DHE VEPRIMET PRIORITARE NË SHQIPËRI</w:t>
      </w:r>
      <w:bookmarkEnd w:id="264"/>
      <w:bookmarkEnd w:id="265"/>
      <w:bookmarkEnd w:id="266"/>
      <w:r w:rsidRPr="00622884">
        <w:rPr>
          <w:rFonts w:ascii="Garamond" w:eastAsia="Yu Gothic Light" w:hAnsi="Garamond" w:cs="Averta ExtraBold"/>
          <w:bCs/>
          <w:kern w:val="2"/>
          <w:sz w:val="24"/>
          <w:szCs w:val="24"/>
          <w:lang w:eastAsia="en-US" w:bidi="sq-AL"/>
        </w:rPr>
        <w:t xml:space="preserve"> </w:t>
      </w:r>
    </w:p>
    <w:p w14:paraId="021AC563" w14:textId="77777777" w:rsidR="00622884" w:rsidRPr="00622884" w:rsidRDefault="00622884" w:rsidP="00622884">
      <w:pPr>
        <w:keepNext/>
        <w:keepLines/>
        <w:spacing w:after="0" w:line="240" w:lineRule="auto"/>
        <w:ind w:firstLine="284"/>
        <w:outlineLvl w:val="1"/>
        <w:rPr>
          <w:rFonts w:ascii="Garamond" w:eastAsia="MS Mincho" w:hAnsi="Garamond" w:cs="Times New Roman"/>
          <w:b/>
          <w:bCs/>
          <w:caps/>
          <w:sz w:val="24"/>
          <w:szCs w:val="24"/>
          <w:lang w:eastAsia="es-ES"/>
        </w:rPr>
      </w:pPr>
      <w:bookmarkStart w:id="267" w:name="_Toc213936234"/>
      <w:r w:rsidRPr="00622884">
        <w:rPr>
          <w:rFonts w:ascii="Garamond" w:eastAsia="MS Mincho" w:hAnsi="Garamond" w:cs="Times New Roman"/>
          <w:b/>
          <w:bCs/>
          <w:caps/>
          <w:sz w:val="24"/>
          <w:szCs w:val="24"/>
          <w:lang w:eastAsia="es-ES" w:bidi="sq-AL"/>
        </w:rPr>
        <w:t xml:space="preserve">5.1 </w:t>
      </w:r>
      <w:r w:rsidRPr="00622884">
        <w:rPr>
          <w:rFonts w:ascii="Garamond" w:eastAsia="MS Mincho" w:hAnsi="Garamond" w:cs="Times New Roman"/>
          <w:b/>
          <w:bCs/>
          <w:sz w:val="24"/>
          <w:szCs w:val="24"/>
          <w:lang w:eastAsia="es-ES" w:bidi="sq-AL"/>
        </w:rPr>
        <w:t>Masat e përshtatjes në nivel sektorial</w:t>
      </w:r>
      <w:bookmarkEnd w:id="267"/>
      <w:r w:rsidRPr="00622884">
        <w:rPr>
          <w:rFonts w:ascii="Garamond" w:eastAsia="MS Mincho" w:hAnsi="Garamond" w:cs="Times New Roman"/>
          <w:b/>
          <w:bCs/>
          <w:sz w:val="24"/>
          <w:szCs w:val="24"/>
          <w:lang w:eastAsia="es-ES" w:bidi="sq-AL"/>
        </w:rPr>
        <w:t xml:space="preserve"> </w:t>
      </w:r>
    </w:p>
    <w:p w14:paraId="58130935" w14:textId="77777777" w:rsidR="00622884" w:rsidRPr="00622884" w:rsidRDefault="00622884" w:rsidP="00622884">
      <w:pPr>
        <w:spacing w:after="0" w:line="240" w:lineRule="auto"/>
        <w:ind w:firstLine="284"/>
        <w:rPr>
          <w:rFonts w:ascii="Garamond" w:eastAsia="SimSun" w:hAnsi="Garamond" w:cs="Calibri Light"/>
          <w:sz w:val="24"/>
          <w:szCs w:val="24"/>
          <w:lang w:eastAsia="en-US"/>
        </w:rPr>
      </w:pPr>
      <w:r w:rsidRPr="00622884">
        <w:rPr>
          <w:rFonts w:ascii="Garamond" w:eastAsia="SimSun" w:hAnsi="Garamond" w:cs="Calibri Light"/>
          <w:sz w:val="24"/>
          <w:szCs w:val="24"/>
          <w:lang w:eastAsia="en-US" w:bidi="sq-AL"/>
        </w:rPr>
        <w:t>Në kuadër të procesit të NAP-it u identifikua një grup prej 151 “Masash përshtatjeje” për pesë sektorët prioritarë, duke përfshirë masat ndërsektoriale</w:t>
      </w:r>
      <w:r w:rsidRPr="00622884">
        <w:rPr>
          <w:rFonts w:ascii="Garamond" w:eastAsia="SimSun" w:hAnsi="Garamond" w:cs="Calibri Light"/>
          <w:sz w:val="24"/>
          <w:szCs w:val="24"/>
          <w:vertAlign w:val="superscript"/>
          <w:lang w:eastAsia="en-US" w:bidi="sq-AL"/>
        </w:rPr>
        <w:footnoteReference w:id="202"/>
      </w:r>
      <w:r w:rsidRPr="00622884">
        <w:rPr>
          <w:rFonts w:ascii="Garamond" w:eastAsia="SimSun" w:hAnsi="Garamond" w:cs="Calibri Light"/>
          <w:sz w:val="24"/>
          <w:szCs w:val="24"/>
          <w:lang w:eastAsia="en-US" w:bidi="sq-AL"/>
        </w:rPr>
        <w:t xml:space="preserve">. Ato bazohen në masa ose veprime për </w:t>
      </w:r>
      <w:r w:rsidRPr="00622884">
        <w:rPr>
          <w:rFonts w:ascii="Garamond" w:eastAsia="SimSun" w:hAnsi="Garamond" w:cs="Calibri Light"/>
          <w:sz w:val="24"/>
          <w:szCs w:val="24"/>
          <w:lang w:eastAsia="en-US" w:bidi="sq-AL"/>
        </w:rPr>
        <w:lastRenderedPageBreak/>
        <w:t>përshtatje të identifikuara në kuadrin përkatës të politikave të Shqipërisë</w:t>
      </w:r>
      <w:r w:rsidRPr="00622884">
        <w:rPr>
          <w:rFonts w:ascii="Garamond" w:eastAsia="SimSun" w:hAnsi="Garamond" w:cs="Calibri Light"/>
          <w:sz w:val="24"/>
          <w:szCs w:val="24"/>
          <w:vertAlign w:val="superscript"/>
          <w:lang w:eastAsia="en-US" w:bidi="sq-AL"/>
        </w:rPr>
        <w:footnoteReference w:id="203"/>
      </w:r>
      <w:r w:rsidRPr="00622884">
        <w:rPr>
          <w:rFonts w:ascii="Garamond" w:eastAsia="SimSun" w:hAnsi="Garamond" w:cs="Calibri Light"/>
          <w:sz w:val="24"/>
          <w:szCs w:val="24"/>
          <w:lang w:eastAsia="en-US" w:bidi="sq-AL"/>
        </w:rPr>
        <w:t xml:space="preserve">, ose në nivel ndërkombëtar, dhe u diskutuan dhe u analizuan më tej me ekspertë të sektorit. </w:t>
      </w:r>
    </w:p>
    <w:p w14:paraId="6D551078" w14:textId="77777777" w:rsidR="00622884" w:rsidRPr="00622884" w:rsidRDefault="00622884" w:rsidP="00622884">
      <w:pPr>
        <w:spacing w:after="0" w:line="240" w:lineRule="auto"/>
        <w:ind w:firstLine="284"/>
        <w:rPr>
          <w:rFonts w:ascii="Garamond" w:eastAsia="SimSun" w:hAnsi="Garamond" w:cs="Calibri Light"/>
          <w:sz w:val="24"/>
          <w:szCs w:val="24"/>
          <w:lang w:eastAsia="en-US"/>
        </w:rPr>
      </w:pPr>
      <w:r w:rsidRPr="00622884">
        <w:rPr>
          <w:rFonts w:ascii="Garamond" w:eastAsia="SimSun" w:hAnsi="Garamond" w:cs="Calibri Light"/>
          <w:sz w:val="24"/>
          <w:szCs w:val="24"/>
          <w:lang w:eastAsia="en-US" w:bidi="sq-AL"/>
        </w:rPr>
        <w:t xml:space="preserve">Masat e identifikuara të përshtatjes në </w:t>
      </w:r>
      <w:r w:rsidRPr="00622884">
        <w:rPr>
          <w:rFonts w:ascii="Garamond" w:eastAsia="SimSun" w:hAnsi="Garamond" w:cs="Calibri Light"/>
          <w:b/>
          <w:sz w:val="24"/>
          <w:szCs w:val="24"/>
          <w:lang w:eastAsia="en-US" w:bidi="sq-AL"/>
        </w:rPr>
        <w:t>sektorin e bujqësisë</w:t>
      </w:r>
      <w:r w:rsidRPr="00622884">
        <w:rPr>
          <w:rFonts w:ascii="Garamond" w:eastAsia="SimSun" w:hAnsi="Garamond" w:cs="Calibri Light"/>
          <w:sz w:val="24"/>
          <w:szCs w:val="24"/>
          <w:lang w:eastAsia="en-US" w:bidi="sq-AL"/>
        </w:rPr>
        <w:t xml:space="preserve"> ndahen në nëntë nënseksione: i. Të përgjithshme (4 masa specifike përshtatjeje); ii. Menaxhimi i kullotave (5); iii. Menaxhimi i zjarreve (2); iv. Ruajtja e burimeve, specieve dhe racave gjenetike vendase të kulturave dhe bagëtive (6); v. Promovimi i specieve/varieteteve rezistente/tolerante ndaj të nxehtit, thatësirës dhe kripërave (2); vi. Menaxhimi i specieve invazive për bujqësi (2); vii. Mbrojtja e tokës bujqësore nga përmbytjet, si nga lumenjtë, ashtu edhe nga rritja e nivelit të detit (4); viii. Menaxhimi i praktikave më të mira dhe bujqësisë inteligjente në lidhje me klimën (7); dhe ix. Vlerësimi i ujit të përdorur në sektorin e bujqësisë dhe masat për eficiencën e ujit (9). Kështu, identifikohen 41 masa gjithsej në bujqësi.</w:t>
      </w:r>
    </w:p>
    <w:p w14:paraId="7365B0BF" w14:textId="77777777" w:rsidR="00622884" w:rsidRPr="00622884" w:rsidRDefault="00622884" w:rsidP="00622884">
      <w:pPr>
        <w:spacing w:after="0" w:line="240" w:lineRule="auto"/>
        <w:ind w:firstLine="284"/>
        <w:rPr>
          <w:rFonts w:ascii="Garamond" w:eastAsia="SimSun" w:hAnsi="Garamond" w:cs="Calibri Light"/>
          <w:sz w:val="24"/>
          <w:szCs w:val="24"/>
          <w:lang w:eastAsia="en-US"/>
        </w:rPr>
      </w:pPr>
      <w:r w:rsidRPr="00622884">
        <w:rPr>
          <w:rFonts w:ascii="Garamond" w:eastAsia="SimSun" w:hAnsi="Garamond" w:cs="Calibri Light"/>
          <w:sz w:val="24"/>
          <w:szCs w:val="24"/>
          <w:lang w:eastAsia="en-US" w:bidi="sq-AL"/>
        </w:rPr>
        <w:t xml:space="preserve">Për </w:t>
      </w:r>
      <w:r w:rsidRPr="00622884">
        <w:rPr>
          <w:rFonts w:ascii="Garamond" w:eastAsia="SimSun" w:hAnsi="Garamond" w:cs="Calibri Light"/>
          <w:b/>
          <w:sz w:val="24"/>
          <w:szCs w:val="24"/>
          <w:lang w:eastAsia="en-US" w:bidi="sq-AL"/>
        </w:rPr>
        <w:t>pylltarinë</w:t>
      </w:r>
      <w:r w:rsidRPr="00622884">
        <w:rPr>
          <w:rFonts w:ascii="Garamond" w:eastAsia="SimSun" w:hAnsi="Garamond" w:cs="Calibri Light"/>
          <w:sz w:val="24"/>
          <w:szCs w:val="24"/>
          <w:lang w:eastAsia="en-US" w:bidi="sq-AL"/>
        </w:rPr>
        <w:t>, identifikohen gjithsej 30 masa përshtatjeje në nënseksionet e mëposhtme: i. Të përgjithshme (6 masa); ii. Menaxhimi i pyjeve (5); iii. Monitorimi i gjendjes së pyjeve (5); iv. Ripyllëzimi, pyllëzimi dhe masat teknologjike (14).</w:t>
      </w:r>
    </w:p>
    <w:p w14:paraId="1F3A719F" w14:textId="77777777" w:rsidR="00622884" w:rsidRPr="00622884" w:rsidRDefault="00622884" w:rsidP="00622884">
      <w:pPr>
        <w:spacing w:after="0" w:line="240" w:lineRule="auto"/>
        <w:ind w:firstLine="284"/>
        <w:rPr>
          <w:rFonts w:ascii="Garamond" w:eastAsia="SimSun" w:hAnsi="Garamond" w:cs="Calibri Light"/>
          <w:sz w:val="24"/>
          <w:szCs w:val="24"/>
          <w:lang w:eastAsia="en-US"/>
        </w:rPr>
      </w:pPr>
      <w:r w:rsidRPr="00622884">
        <w:rPr>
          <w:rFonts w:ascii="Garamond" w:eastAsia="SimSun" w:hAnsi="Garamond" w:cs="Calibri Light"/>
          <w:sz w:val="24"/>
          <w:szCs w:val="24"/>
          <w:lang w:eastAsia="en-US" w:bidi="sq-AL"/>
        </w:rPr>
        <w:t xml:space="preserve">Për </w:t>
      </w:r>
      <w:r w:rsidRPr="00622884">
        <w:rPr>
          <w:rFonts w:ascii="Garamond" w:eastAsia="SimSun" w:hAnsi="Garamond" w:cs="Calibri Light"/>
          <w:b/>
          <w:sz w:val="24"/>
          <w:szCs w:val="24"/>
          <w:lang w:eastAsia="en-US" w:bidi="sq-AL"/>
        </w:rPr>
        <w:t>sektorin e turizmit</w:t>
      </w:r>
      <w:r w:rsidRPr="00622884">
        <w:rPr>
          <w:rFonts w:ascii="Garamond" w:eastAsia="SimSun" w:hAnsi="Garamond" w:cs="Calibri Light"/>
          <w:sz w:val="24"/>
          <w:szCs w:val="24"/>
          <w:lang w:eastAsia="en-US" w:bidi="sq-AL"/>
        </w:rPr>
        <w:t>, janë identifikuar 24 masa gjithsej, të cilat ndahen në nënseksionet e mëposhtme: i. Të përgjithshme (6 masa); ii. Mbrojtja e ndërtesave dhe infrastrukturave ekzistuese nga ndryshimet klimatike (4); iii. Rivendosja e një brezi të gjelbër përgjatë bregdetit për të mbrojtur tokën nga erozioni dhe për qëllime restaurimi (5); iv. Menaxhimi i mbetjeve të gjeneruara nga turizmi (5); dhe v. Masat që përfshijnë zonat malore (4).</w:t>
      </w:r>
    </w:p>
    <w:p w14:paraId="20259956" w14:textId="77777777" w:rsidR="00622884" w:rsidRPr="00622884" w:rsidRDefault="00622884" w:rsidP="00622884">
      <w:pPr>
        <w:spacing w:after="0" w:line="240" w:lineRule="auto"/>
        <w:ind w:firstLine="284"/>
        <w:rPr>
          <w:rFonts w:ascii="Garamond" w:eastAsia="SimSun" w:hAnsi="Garamond" w:cs="Calibri Light"/>
          <w:sz w:val="24"/>
          <w:szCs w:val="24"/>
          <w:lang w:eastAsia="en-US"/>
        </w:rPr>
      </w:pPr>
      <w:r w:rsidRPr="00622884">
        <w:rPr>
          <w:rFonts w:ascii="Garamond" w:eastAsia="SimSun" w:hAnsi="Garamond" w:cs="Calibri Light"/>
          <w:sz w:val="24"/>
          <w:szCs w:val="24"/>
          <w:lang w:eastAsia="en-US" w:bidi="sq-AL"/>
        </w:rPr>
        <w:t xml:space="preserve">Në </w:t>
      </w:r>
      <w:r w:rsidRPr="00622884">
        <w:rPr>
          <w:rFonts w:ascii="Garamond" w:eastAsia="SimSun" w:hAnsi="Garamond" w:cs="Calibri Light"/>
          <w:b/>
          <w:sz w:val="24"/>
          <w:szCs w:val="24"/>
          <w:lang w:eastAsia="en-US" w:bidi="sq-AL"/>
        </w:rPr>
        <w:t>sektorin e energjisë</w:t>
      </w:r>
      <w:r w:rsidRPr="00622884">
        <w:rPr>
          <w:rFonts w:ascii="Garamond" w:eastAsia="SimSun" w:hAnsi="Garamond" w:cs="Calibri Light"/>
          <w:sz w:val="24"/>
          <w:szCs w:val="24"/>
          <w:lang w:eastAsia="en-US" w:bidi="sq-AL"/>
        </w:rPr>
        <w:t xml:space="preserve">, 22 masat e identifikuara janë: i. Të përgjithshme (4 masa specifike); ii. Mobilizimi i burimeve për të zbatuar planin për eficiencën e energjisë (8); iii. Kompostimi duke përfshirë rikuperimin e energjisë nga mbetjet bujqësore - biomasa (3); iv. Vlerësimi i prodhimit dhe konsumit të energjisë (6); dhe v. Të tjera (1). </w:t>
      </w:r>
    </w:p>
    <w:p w14:paraId="5D783109" w14:textId="77777777" w:rsidR="00622884" w:rsidRPr="00622884" w:rsidRDefault="00622884" w:rsidP="00622884">
      <w:pPr>
        <w:spacing w:after="0" w:line="240" w:lineRule="auto"/>
        <w:ind w:firstLine="284"/>
        <w:rPr>
          <w:rFonts w:ascii="Garamond" w:eastAsia="SimSun" w:hAnsi="Garamond" w:cs="Calibri Light"/>
          <w:sz w:val="24"/>
          <w:szCs w:val="24"/>
          <w:lang w:eastAsia="en-US"/>
        </w:rPr>
      </w:pPr>
      <w:r w:rsidRPr="00622884">
        <w:rPr>
          <w:rFonts w:ascii="Garamond" w:eastAsia="SimSun" w:hAnsi="Garamond" w:cs="Calibri Light"/>
          <w:sz w:val="24"/>
          <w:szCs w:val="24"/>
          <w:lang w:eastAsia="en-US" w:bidi="sq-AL"/>
        </w:rPr>
        <w:t xml:space="preserve">Për </w:t>
      </w:r>
      <w:r w:rsidRPr="00622884">
        <w:rPr>
          <w:rFonts w:ascii="Garamond" w:eastAsia="SimSun" w:hAnsi="Garamond" w:cs="Calibri Light"/>
          <w:b/>
          <w:sz w:val="24"/>
          <w:szCs w:val="24"/>
          <w:lang w:eastAsia="en-US" w:bidi="sq-AL"/>
        </w:rPr>
        <w:t>sektorin e transportit</w:t>
      </w:r>
      <w:r w:rsidRPr="00622884">
        <w:rPr>
          <w:rFonts w:ascii="Garamond" w:eastAsia="SimSun" w:hAnsi="Garamond" w:cs="Calibri Light"/>
          <w:sz w:val="24"/>
          <w:szCs w:val="24"/>
          <w:lang w:eastAsia="en-US" w:bidi="sq-AL"/>
        </w:rPr>
        <w:t>, 10 masat e identifikuara ndahen në: i. Të përgjithshme (4 masa specifike); ii. Diversifikimi i sektorit të transportit (5); dhe iii. Të tjera (1).</w:t>
      </w:r>
    </w:p>
    <w:p w14:paraId="66FE1A55" w14:textId="77777777" w:rsidR="00622884" w:rsidRPr="00622884" w:rsidRDefault="00622884" w:rsidP="00622884">
      <w:pPr>
        <w:spacing w:after="0" w:line="240" w:lineRule="auto"/>
        <w:ind w:firstLine="284"/>
        <w:rPr>
          <w:rFonts w:ascii="Garamond" w:eastAsia="SimSun" w:hAnsi="Garamond" w:cs="Calibri Light"/>
          <w:sz w:val="24"/>
          <w:szCs w:val="24"/>
          <w:lang w:eastAsia="en-US"/>
        </w:rPr>
      </w:pPr>
      <w:r w:rsidRPr="00622884">
        <w:rPr>
          <w:rFonts w:ascii="Garamond" w:eastAsia="SimSun" w:hAnsi="Garamond" w:cs="Calibri Light"/>
          <w:sz w:val="24"/>
          <w:szCs w:val="24"/>
          <w:lang w:eastAsia="en-US" w:bidi="sq-AL"/>
        </w:rPr>
        <w:t xml:space="preserve">Për </w:t>
      </w:r>
      <w:r w:rsidRPr="00622884">
        <w:rPr>
          <w:rFonts w:ascii="Garamond" w:eastAsia="SimSun" w:hAnsi="Garamond" w:cs="Calibri Light"/>
          <w:b/>
          <w:sz w:val="24"/>
          <w:szCs w:val="24"/>
          <w:lang w:eastAsia="en-US" w:bidi="sq-AL"/>
        </w:rPr>
        <w:t>sektorin e zhvillimit urban</w:t>
      </w:r>
      <w:r w:rsidRPr="00622884">
        <w:rPr>
          <w:rFonts w:ascii="Garamond" w:eastAsia="SimSun" w:hAnsi="Garamond" w:cs="Calibri Light"/>
          <w:sz w:val="24"/>
          <w:szCs w:val="24"/>
          <w:lang w:eastAsia="en-US" w:bidi="sq-AL"/>
        </w:rPr>
        <w:t xml:space="preserve">, 13 masat e identifikuara ndahen në: i. Të përgjithshme (4); ii. Mbrojtja e ndërtesave dhe infrastrukturës ekzistuese nga ndryshimet klimatike (4); dhe iii. Promovimi i zgjidhjeve të bazuara në natyrë në mjediset urbane (5). </w:t>
      </w:r>
    </w:p>
    <w:p w14:paraId="3D451695" w14:textId="77777777" w:rsidR="00622884" w:rsidRPr="00622884" w:rsidRDefault="00622884" w:rsidP="00622884">
      <w:pPr>
        <w:spacing w:after="0" w:line="240" w:lineRule="auto"/>
        <w:ind w:firstLine="284"/>
        <w:rPr>
          <w:rFonts w:ascii="Garamond" w:eastAsia="SimSun" w:hAnsi="Garamond" w:cs="Calibri Light"/>
          <w:sz w:val="24"/>
          <w:szCs w:val="24"/>
          <w:lang w:eastAsia="en-US" w:bidi="sq-AL"/>
        </w:rPr>
      </w:pPr>
      <w:r w:rsidRPr="00622884">
        <w:rPr>
          <w:rFonts w:ascii="Garamond" w:eastAsia="SimSun" w:hAnsi="Garamond" w:cs="Calibri Light"/>
          <w:sz w:val="24"/>
          <w:szCs w:val="24"/>
          <w:lang w:eastAsia="en-US" w:bidi="sq-AL"/>
        </w:rPr>
        <w:t xml:space="preserve">Janë identifikuar tri </w:t>
      </w:r>
      <w:r w:rsidRPr="00622884">
        <w:rPr>
          <w:rFonts w:ascii="Garamond" w:eastAsia="SimSun" w:hAnsi="Garamond" w:cs="Calibri Light"/>
          <w:b/>
          <w:sz w:val="24"/>
          <w:szCs w:val="24"/>
          <w:lang w:eastAsia="en-US" w:bidi="sq-AL"/>
        </w:rPr>
        <w:t>fusha</w:t>
      </w:r>
      <w:r w:rsidRPr="00622884">
        <w:rPr>
          <w:rFonts w:ascii="Garamond" w:eastAsia="SimSun" w:hAnsi="Garamond" w:cs="Calibri Light"/>
          <w:sz w:val="24"/>
          <w:szCs w:val="24"/>
          <w:lang w:eastAsia="en-US" w:bidi="sq-AL"/>
        </w:rPr>
        <w:t xml:space="preserve"> të përgjithshme </w:t>
      </w:r>
      <w:r w:rsidRPr="00622884">
        <w:rPr>
          <w:rFonts w:ascii="Garamond" w:eastAsia="SimSun" w:hAnsi="Garamond" w:cs="Calibri Light"/>
          <w:b/>
          <w:sz w:val="24"/>
          <w:szCs w:val="24"/>
          <w:lang w:eastAsia="en-US" w:bidi="sq-AL"/>
        </w:rPr>
        <w:t>ndërsektoriale</w:t>
      </w:r>
      <w:r w:rsidRPr="00622884">
        <w:rPr>
          <w:rFonts w:ascii="Garamond" w:eastAsia="SimSun" w:hAnsi="Garamond" w:cs="Calibri Light"/>
          <w:sz w:val="24"/>
          <w:szCs w:val="24"/>
          <w:lang w:eastAsia="en-US" w:bidi="sq-AL"/>
        </w:rPr>
        <w:t xml:space="preserve"> kyç për masat e përshtatjes: i. koordinimi i përmirësuar për ndryshimet klimatike (me 10 masa specifike përshtatjeje); ii. përmirësimi i sistemeve të të dhënave dhe informacionit (integruar në masat sektoriale); dhe iii. zgjidhje të bazuara në ekosistem dhe zgjidhje të bazuara në natyrë (të integruara në masat sektoriale).</w:t>
      </w:r>
    </w:p>
    <w:p w14:paraId="1E801498" w14:textId="77777777" w:rsidR="00622884" w:rsidRPr="00622884" w:rsidRDefault="00622884" w:rsidP="00622884">
      <w:pPr>
        <w:spacing w:after="0" w:line="240" w:lineRule="auto"/>
        <w:ind w:firstLine="284"/>
        <w:rPr>
          <w:rFonts w:ascii="Garamond" w:eastAsia="SimSun" w:hAnsi="Garamond" w:cs="Calibri Light"/>
          <w:sz w:val="24"/>
          <w:szCs w:val="24"/>
          <w:lang w:eastAsia="en-US"/>
        </w:rPr>
      </w:pPr>
      <w:r w:rsidRPr="00622884">
        <w:rPr>
          <w:rFonts w:ascii="Garamond" w:eastAsia="SimSun" w:hAnsi="Garamond" w:cs="Calibri Light"/>
          <w:sz w:val="24"/>
          <w:szCs w:val="24"/>
          <w:lang w:eastAsia="en-US"/>
        </w:rPr>
        <w:t>Plani identifikon gjithashtu aktivitete për forcimin e qëndrueshmërisë së sistemit shëndetësor ndaj ndikimeve të ndryshimeve klimatike të cilat kontribuojnë drejtpërdrejt në arritjen e objektivave strategjikë të Planit Kombëtar të Përshtatjes dhe mbështesin vazhdimësinë e shërbimeve shëndetësore për popullsinë, sidomos gjatë ngjarjeve ekstreme klimatike</w:t>
      </w:r>
    </w:p>
    <w:p w14:paraId="32A2C31E" w14:textId="77777777" w:rsidR="00622884" w:rsidRPr="00622884" w:rsidRDefault="00622884" w:rsidP="00622884">
      <w:pPr>
        <w:keepNext/>
        <w:keepLines/>
        <w:spacing w:after="0" w:line="240" w:lineRule="auto"/>
        <w:ind w:firstLine="284"/>
        <w:outlineLvl w:val="1"/>
        <w:rPr>
          <w:rFonts w:ascii="Garamond" w:eastAsia="MS Mincho" w:hAnsi="Garamond" w:cs="Times New Roman"/>
          <w:b/>
          <w:bCs/>
          <w:caps/>
          <w:sz w:val="24"/>
          <w:szCs w:val="24"/>
          <w:lang w:eastAsia="es-ES"/>
        </w:rPr>
      </w:pPr>
      <w:bookmarkStart w:id="268" w:name="_Toc213936235"/>
      <w:bookmarkStart w:id="269" w:name="_Hlk157435719"/>
      <w:bookmarkStart w:id="270" w:name="_Hlk157430111"/>
      <w:r w:rsidRPr="00622884">
        <w:rPr>
          <w:rFonts w:ascii="Garamond" w:eastAsia="MS Mincho" w:hAnsi="Garamond" w:cs="Times New Roman"/>
          <w:b/>
          <w:bCs/>
          <w:caps/>
          <w:sz w:val="24"/>
          <w:szCs w:val="24"/>
          <w:lang w:eastAsia="es-ES" w:bidi="sq-AL"/>
        </w:rPr>
        <w:t xml:space="preserve">5.2 </w:t>
      </w:r>
      <w:r w:rsidRPr="00622884">
        <w:rPr>
          <w:rFonts w:ascii="Garamond" w:eastAsia="MS Mincho" w:hAnsi="Garamond" w:cs="Times New Roman"/>
          <w:b/>
          <w:bCs/>
          <w:sz w:val="24"/>
          <w:szCs w:val="24"/>
          <w:lang w:eastAsia="es-ES" w:bidi="sq-AL"/>
        </w:rPr>
        <w:t>Masat e përshtatjes në nivel vendor</w:t>
      </w:r>
      <w:bookmarkEnd w:id="268"/>
    </w:p>
    <w:p w14:paraId="29241CB5" w14:textId="77777777" w:rsidR="00622884" w:rsidRPr="00622884" w:rsidRDefault="00622884" w:rsidP="00622884">
      <w:pPr>
        <w:spacing w:after="0" w:line="240" w:lineRule="auto"/>
        <w:ind w:firstLine="284"/>
        <w:rPr>
          <w:rFonts w:ascii="Garamond" w:eastAsia="SimSun" w:hAnsi="Garamond" w:cs="Calibri Light"/>
          <w:sz w:val="24"/>
          <w:szCs w:val="24"/>
          <w:highlight w:val="yellow"/>
          <w:lang w:eastAsia="en-US"/>
        </w:rPr>
      </w:pPr>
      <w:bookmarkStart w:id="271" w:name="_Hlk157433569"/>
      <w:r w:rsidRPr="00622884">
        <w:rPr>
          <w:rFonts w:ascii="Garamond" w:eastAsia="SimSun" w:hAnsi="Garamond" w:cs="Calibri Light"/>
          <w:sz w:val="24"/>
          <w:szCs w:val="24"/>
          <w:lang w:eastAsia="en-US" w:bidi="sq-AL"/>
        </w:rPr>
        <w:t>Në zbatim të Ligjit “Për ndryshimet klimatike”, masat e mëposhtme u identifikuan masat e mëposhtme të përshtatjes gjatë hartimit të planeve vendore të përshtatjes në 8 bashki</w:t>
      </w:r>
      <w:r w:rsidRPr="00622884">
        <w:rPr>
          <w:rFonts w:ascii="Garamond" w:eastAsia="SimSun" w:hAnsi="Garamond" w:cs="Calibri Light"/>
          <w:sz w:val="24"/>
          <w:szCs w:val="24"/>
          <w:vertAlign w:val="superscript"/>
          <w:lang w:eastAsia="en-US" w:bidi="sq-AL"/>
        </w:rPr>
        <w:footnoteReference w:id="204"/>
      </w:r>
      <w:r w:rsidRPr="00622884">
        <w:rPr>
          <w:rFonts w:ascii="Garamond" w:eastAsia="SimSun" w:hAnsi="Garamond" w:cs="Calibri Light"/>
          <w:sz w:val="24"/>
          <w:szCs w:val="24"/>
          <w:lang w:eastAsia="en-US" w:bidi="sq-AL"/>
        </w:rPr>
        <w:t xml:space="preserve">, të cilat </w:t>
      </w:r>
      <w:r w:rsidRPr="00622884">
        <w:rPr>
          <w:rFonts w:ascii="Garamond" w:eastAsia="SimSun" w:hAnsi="Garamond" w:cs="Calibri Light"/>
          <w:sz w:val="24"/>
          <w:szCs w:val="24"/>
          <w:lang w:eastAsia="en-US" w:bidi="sq-AL"/>
        </w:rPr>
        <w:lastRenderedPageBreak/>
        <w:t>renditen më poshtë, siç përshkruhen për secilën bashki</w:t>
      </w:r>
      <w:r w:rsidRPr="00622884">
        <w:rPr>
          <w:rFonts w:ascii="Garamond" w:eastAsia="SimSun" w:hAnsi="Garamond" w:cs="Calibri Light"/>
          <w:sz w:val="24"/>
          <w:szCs w:val="24"/>
          <w:vertAlign w:val="superscript"/>
          <w:lang w:eastAsia="en-US" w:bidi="sq-AL"/>
        </w:rPr>
        <w:footnoteReference w:id="205"/>
      </w:r>
      <w:r w:rsidRPr="00622884">
        <w:rPr>
          <w:rFonts w:ascii="Garamond" w:eastAsia="SimSun" w:hAnsi="Garamond" w:cs="Calibri Light"/>
          <w:sz w:val="24"/>
          <w:szCs w:val="24"/>
          <w:lang w:eastAsia="en-US" w:bidi="sq-AL"/>
        </w:rPr>
        <w:t xml:space="preserve"> dhe sipas llojit të veprimeve të përshtatjes: </w:t>
      </w:r>
    </w:p>
    <w:p w14:paraId="696E182E" w14:textId="77777777" w:rsidR="00622884" w:rsidRPr="00622884" w:rsidRDefault="00622884" w:rsidP="00622884">
      <w:pPr>
        <w:spacing w:after="0" w:line="240" w:lineRule="auto"/>
        <w:ind w:firstLine="284"/>
        <w:rPr>
          <w:rFonts w:ascii="Garamond" w:eastAsia="Aptos" w:hAnsi="Garamond" w:cs="Arial"/>
          <w:i/>
          <w:iCs/>
          <w:sz w:val="2"/>
          <w:szCs w:val="24"/>
          <w:lang w:eastAsia="en-US" w:bidi="sq-AL"/>
        </w:rPr>
      </w:pPr>
      <w:bookmarkStart w:id="272" w:name="_Ref210993087"/>
      <w:bookmarkStart w:id="273" w:name="_Toc213936110"/>
    </w:p>
    <w:p w14:paraId="3FA2810A" w14:textId="77777777" w:rsidR="00622884" w:rsidRPr="00622884" w:rsidRDefault="00622884" w:rsidP="00622884">
      <w:pPr>
        <w:spacing w:after="0" w:line="240" w:lineRule="auto"/>
        <w:ind w:firstLine="284"/>
        <w:rPr>
          <w:rFonts w:ascii="Garamond" w:eastAsia="Aptos" w:hAnsi="Garamond" w:cs="Arial"/>
          <w:b/>
          <w:iCs/>
          <w:sz w:val="24"/>
          <w:szCs w:val="24"/>
          <w:lang w:eastAsia="en-US" w:bidi="sq-AL"/>
        </w:rPr>
      </w:pPr>
      <w:r w:rsidRPr="00622884">
        <w:rPr>
          <w:rFonts w:ascii="Garamond" w:eastAsia="Aptos" w:hAnsi="Garamond" w:cs="Arial"/>
          <w:b/>
          <w:iCs/>
          <w:sz w:val="24"/>
          <w:szCs w:val="24"/>
          <w:lang w:eastAsia="en-US" w:bidi="sq-AL"/>
        </w:rPr>
        <w:t>Tabela 9: Masat e përshtatjes të identifikuara në 8 bashki.</w:t>
      </w:r>
    </w:p>
    <w:tbl>
      <w:tblPr>
        <w:tblW w:w="10207" w:type="dxa"/>
        <w:tblInd w:w="-431" w:type="dxa"/>
        <w:tblBorders>
          <w:top w:val="single" w:sz="4" w:space="0" w:color="1D3C5A"/>
          <w:left w:val="single" w:sz="4" w:space="0" w:color="1D3C5A"/>
          <w:bottom w:val="single" w:sz="4" w:space="0" w:color="1D3C5A"/>
          <w:right w:val="single" w:sz="4" w:space="0" w:color="1D3C5A"/>
          <w:insideH w:val="single" w:sz="4" w:space="0" w:color="1D3C5A"/>
          <w:insideV w:val="single" w:sz="4" w:space="0" w:color="1D3C5A"/>
        </w:tblBorders>
        <w:tblLayout w:type="fixed"/>
        <w:tblLook w:val="04A0" w:firstRow="1" w:lastRow="0" w:firstColumn="1" w:lastColumn="0" w:noHBand="0" w:noVBand="1"/>
      </w:tblPr>
      <w:tblGrid>
        <w:gridCol w:w="3120"/>
        <w:gridCol w:w="787"/>
        <w:gridCol w:w="787"/>
        <w:gridCol w:w="788"/>
        <w:gridCol w:w="787"/>
        <w:gridCol w:w="788"/>
        <w:gridCol w:w="787"/>
        <w:gridCol w:w="788"/>
        <w:gridCol w:w="787"/>
        <w:gridCol w:w="788"/>
      </w:tblGrid>
      <w:tr w:rsidR="00622884" w:rsidRPr="00622884" w14:paraId="522B200E" w14:textId="77777777" w:rsidTr="00622884">
        <w:trPr>
          <w:trHeight w:val="412"/>
        </w:trPr>
        <w:tc>
          <w:tcPr>
            <w:tcW w:w="3120" w:type="dxa"/>
            <w:shd w:val="clear" w:color="auto" w:fill="215A5C"/>
            <w:vAlign w:val="center"/>
          </w:tcPr>
          <w:bookmarkEnd w:id="272"/>
          <w:bookmarkEnd w:id="273"/>
          <w:p w14:paraId="583D3ECA" w14:textId="77777777" w:rsidR="00622884" w:rsidRPr="00622884" w:rsidRDefault="00622884" w:rsidP="00622884">
            <w:pPr>
              <w:spacing w:after="0" w:line="240" w:lineRule="auto"/>
              <w:contextualSpacing/>
              <w:jc w:val="center"/>
              <w:rPr>
                <w:rFonts w:ascii="Garamond" w:eastAsia="Times New Roman" w:hAnsi="Garamond" w:cs="Calibri Light"/>
                <w:b/>
                <w:bCs/>
                <w:sz w:val="10"/>
                <w:szCs w:val="10"/>
                <w:lang w:eastAsia="en-US"/>
              </w:rPr>
            </w:pPr>
            <w:r w:rsidRPr="00622884">
              <w:rPr>
                <w:rFonts w:ascii="Garamond" w:eastAsia="Calibri" w:hAnsi="Garamond" w:cs="Times New Roman"/>
                <w:b/>
                <w:sz w:val="10"/>
                <w:szCs w:val="10"/>
                <w:lang w:eastAsia="en-US" w:bidi="sq-AL"/>
              </w:rPr>
              <w:t>BASHKIA/</w:t>
            </w:r>
          </w:p>
          <w:p w14:paraId="409EA346" w14:textId="77777777" w:rsidR="00622884" w:rsidRPr="00622884" w:rsidRDefault="00622884" w:rsidP="00622884">
            <w:pPr>
              <w:spacing w:after="0" w:line="240" w:lineRule="auto"/>
              <w:contextualSpacing/>
              <w:jc w:val="center"/>
              <w:rPr>
                <w:rFonts w:ascii="Garamond" w:eastAsia="Times New Roman" w:hAnsi="Garamond" w:cs="Calibri Light"/>
                <w:b/>
                <w:bCs/>
                <w:sz w:val="10"/>
                <w:szCs w:val="10"/>
                <w:lang w:eastAsia="en-US"/>
              </w:rPr>
            </w:pPr>
            <w:r w:rsidRPr="00622884">
              <w:rPr>
                <w:rFonts w:ascii="Garamond" w:eastAsia="Calibri" w:hAnsi="Garamond" w:cs="Times New Roman"/>
                <w:b/>
                <w:sz w:val="10"/>
                <w:szCs w:val="10"/>
                <w:lang w:eastAsia="en-US" w:bidi="sq-AL"/>
              </w:rPr>
              <w:t>LLOJI I MASAVE TË PËRSHTATJES</w:t>
            </w:r>
          </w:p>
        </w:tc>
        <w:tc>
          <w:tcPr>
            <w:tcW w:w="787" w:type="dxa"/>
            <w:shd w:val="clear" w:color="auto" w:fill="215A5C"/>
            <w:vAlign w:val="center"/>
          </w:tcPr>
          <w:p w14:paraId="20EA90BE" w14:textId="77777777" w:rsidR="00622884" w:rsidRPr="00622884" w:rsidRDefault="00622884" w:rsidP="00622884">
            <w:pPr>
              <w:spacing w:after="0" w:line="240" w:lineRule="auto"/>
              <w:contextualSpacing/>
              <w:jc w:val="center"/>
              <w:rPr>
                <w:rFonts w:ascii="Garamond" w:eastAsia="Times New Roman" w:hAnsi="Garamond" w:cs="Calibri Light"/>
                <w:b/>
                <w:bCs/>
                <w:sz w:val="10"/>
                <w:szCs w:val="10"/>
                <w:lang w:eastAsia="en-US"/>
              </w:rPr>
            </w:pPr>
            <w:r w:rsidRPr="00622884">
              <w:rPr>
                <w:rFonts w:ascii="Garamond" w:eastAsia="Calibri" w:hAnsi="Garamond" w:cs="Times New Roman"/>
                <w:b/>
                <w:sz w:val="10"/>
                <w:szCs w:val="10"/>
                <w:lang w:eastAsia="en-US" w:bidi="sq-AL"/>
              </w:rPr>
              <w:t>Durrës</w:t>
            </w:r>
          </w:p>
        </w:tc>
        <w:tc>
          <w:tcPr>
            <w:tcW w:w="787" w:type="dxa"/>
            <w:shd w:val="clear" w:color="auto" w:fill="215A5C"/>
            <w:vAlign w:val="center"/>
          </w:tcPr>
          <w:p w14:paraId="61BF9A78" w14:textId="77777777" w:rsidR="00622884" w:rsidRPr="00622884" w:rsidRDefault="00622884" w:rsidP="00622884">
            <w:pPr>
              <w:spacing w:after="0" w:line="240" w:lineRule="auto"/>
              <w:contextualSpacing/>
              <w:jc w:val="center"/>
              <w:rPr>
                <w:rFonts w:ascii="Garamond" w:eastAsia="Times New Roman" w:hAnsi="Garamond" w:cs="Calibri Light"/>
                <w:b/>
                <w:bCs/>
                <w:sz w:val="10"/>
                <w:szCs w:val="10"/>
                <w:lang w:eastAsia="en-US"/>
              </w:rPr>
            </w:pPr>
            <w:r w:rsidRPr="00622884">
              <w:rPr>
                <w:rFonts w:ascii="Garamond" w:eastAsia="Calibri" w:hAnsi="Garamond" w:cs="Times New Roman"/>
                <w:b/>
                <w:sz w:val="10"/>
                <w:szCs w:val="10"/>
                <w:lang w:eastAsia="en-US" w:bidi="sq-AL"/>
              </w:rPr>
              <w:t>Elbasan</w:t>
            </w:r>
          </w:p>
        </w:tc>
        <w:tc>
          <w:tcPr>
            <w:tcW w:w="788" w:type="dxa"/>
            <w:shd w:val="clear" w:color="auto" w:fill="215A5C"/>
            <w:vAlign w:val="center"/>
          </w:tcPr>
          <w:p w14:paraId="0E95D872" w14:textId="77777777" w:rsidR="00622884" w:rsidRPr="00622884" w:rsidRDefault="00622884" w:rsidP="00622884">
            <w:pPr>
              <w:spacing w:after="0" w:line="240" w:lineRule="auto"/>
              <w:contextualSpacing/>
              <w:jc w:val="center"/>
              <w:rPr>
                <w:rFonts w:ascii="Garamond" w:eastAsia="Times New Roman" w:hAnsi="Garamond" w:cs="Calibri Light"/>
                <w:b/>
                <w:bCs/>
                <w:sz w:val="10"/>
                <w:szCs w:val="10"/>
                <w:lang w:eastAsia="en-US"/>
              </w:rPr>
            </w:pPr>
            <w:r w:rsidRPr="00622884">
              <w:rPr>
                <w:rFonts w:ascii="Garamond" w:eastAsia="Calibri" w:hAnsi="Garamond" w:cs="Times New Roman"/>
                <w:b/>
                <w:sz w:val="10"/>
                <w:szCs w:val="10"/>
                <w:lang w:eastAsia="en-US" w:bidi="sq-AL"/>
              </w:rPr>
              <w:t>Fier</w:t>
            </w:r>
          </w:p>
        </w:tc>
        <w:tc>
          <w:tcPr>
            <w:tcW w:w="787" w:type="dxa"/>
            <w:shd w:val="clear" w:color="auto" w:fill="215A5C"/>
            <w:vAlign w:val="center"/>
          </w:tcPr>
          <w:p w14:paraId="259D41A4" w14:textId="77777777" w:rsidR="00622884" w:rsidRPr="00622884" w:rsidRDefault="00622884" w:rsidP="00622884">
            <w:pPr>
              <w:spacing w:after="0" w:line="240" w:lineRule="auto"/>
              <w:contextualSpacing/>
              <w:jc w:val="center"/>
              <w:rPr>
                <w:rFonts w:ascii="Garamond" w:eastAsia="Times New Roman" w:hAnsi="Garamond" w:cs="Calibri Light"/>
                <w:b/>
                <w:bCs/>
                <w:sz w:val="10"/>
                <w:szCs w:val="10"/>
                <w:lang w:eastAsia="en-US"/>
              </w:rPr>
            </w:pPr>
            <w:r w:rsidRPr="00622884">
              <w:rPr>
                <w:rFonts w:ascii="Garamond" w:eastAsia="Calibri" w:hAnsi="Garamond" w:cs="Times New Roman"/>
                <w:b/>
                <w:sz w:val="10"/>
                <w:szCs w:val="10"/>
                <w:lang w:eastAsia="en-US" w:bidi="sq-AL"/>
              </w:rPr>
              <w:t>Gjirokastër</w:t>
            </w:r>
          </w:p>
        </w:tc>
        <w:tc>
          <w:tcPr>
            <w:tcW w:w="788" w:type="dxa"/>
            <w:shd w:val="clear" w:color="auto" w:fill="215A5C"/>
            <w:vAlign w:val="center"/>
          </w:tcPr>
          <w:p w14:paraId="1CEBFB36" w14:textId="77777777" w:rsidR="00622884" w:rsidRPr="00622884" w:rsidRDefault="00622884" w:rsidP="00622884">
            <w:pPr>
              <w:spacing w:after="0" w:line="240" w:lineRule="auto"/>
              <w:contextualSpacing/>
              <w:jc w:val="center"/>
              <w:rPr>
                <w:rFonts w:ascii="Garamond" w:eastAsia="Times New Roman" w:hAnsi="Garamond" w:cs="Calibri Light"/>
                <w:b/>
                <w:bCs/>
                <w:sz w:val="10"/>
                <w:szCs w:val="10"/>
                <w:lang w:eastAsia="en-US"/>
              </w:rPr>
            </w:pPr>
            <w:r w:rsidRPr="00622884">
              <w:rPr>
                <w:rFonts w:ascii="Garamond" w:eastAsia="Calibri" w:hAnsi="Garamond" w:cs="Times New Roman"/>
                <w:b/>
                <w:sz w:val="10"/>
                <w:szCs w:val="10"/>
                <w:lang w:eastAsia="en-US" w:bidi="sq-AL"/>
              </w:rPr>
              <w:t>Krujë</w:t>
            </w:r>
          </w:p>
        </w:tc>
        <w:tc>
          <w:tcPr>
            <w:tcW w:w="787" w:type="dxa"/>
            <w:shd w:val="clear" w:color="auto" w:fill="215A5C"/>
            <w:vAlign w:val="center"/>
          </w:tcPr>
          <w:p w14:paraId="2410F6CC" w14:textId="77777777" w:rsidR="00622884" w:rsidRPr="00622884" w:rsidRDefault="00622884" w:rsidP="00622884">
            <w:pPr>
              <w:spacing w:after="0" w:line="240" w:lineRule="auto"/>
              <w:contextualSpacing/>
              <w:jc w:val="center"/>
              <w:rPr>
                <w:rFonts w:ascii="Garamond" w:eastAsia="Times New Roman" w:hAnsi="Garamond" w:cs="Calibri Light"/>
                <w:b/>
                <w:bCs/>
                <w:sz w:val="10"/>
                <w:szCs w:val="10"/>
                <w:lang w:eastAsia="en-US"/>
              </w:rPr>
            </w:pPr>
            <w:r w:rsidRPr="00622884">
              <w:rPr>
                <w:rFonts w:ascii="Garamond" w:eastAsia="Calibri" w:hAnsi="Garamond" w:cs="Times New Roman"/>
                <w:b/>
                <w:sz w:val="10"/>
                <w:szCs w:val="10"/>
                <w:lang w:eastAsia="en-US" w:bidi="sq-AL"/>
              </w:rPr>
              <w:t>Kukës</w:t>
            </w:r>
          </w:p>
        </w:tc>
        <w:tc>
          <w:tcPr>
            <w:tcW w:w="788" w:type="dxa"/>
            <w:shd w:val="clear" w:color="auto" w:fill="215A5C"/>
            <w:vAlign w:val="center"/>
          </w:tcPr>
          <w:p w14:paraId="39D8C215" w14:textId="77777777" w:rsidR="00622884" w:rsidRPr="00622884" w:rsidRDefault="00622884" w:rsidP="00622884">
            <w:pPr>
              <w:spacing w:after="0" w:line="240" w:lineRule="auto"/>
              <w:contextualSpacing/>
              <w:jc w:val="center"/>
              <w:rPr>
                <w:rFonts w:ascii="Garamond" w:eastAsia="Times New Roman" w:hAnsi="Garamond" w:cs="Calibri Light"/>
                <w:b/>
                <w:bCs/>
                <w:sz w:val="10"/>
                <w:szCs w:val="10"/>
                <w:lang w:eastAsia="en-US"/>
              </w:rPr>
            </w:pPr>
            <w:r w:rsidRPr="00622884">
              <w:rPr>
                <w:rFonts w:ascii="Garamond" w:eastAsia="Calibri" w:hAnsi="Garamond" w:cs="Times New Roman"/>
                <w:b/>
                <w:sz w:val="10"/>
                <w:szCs w:val="10"/>
                <w:lang w:eastAsia="en-US" w:bidi="sq-AL"/>
              </w:rPr>
              <w:t>Përmet</w:t>
            </w:r>
          </w:p>
        </w:tc>
        <w:tc>
          <w:tcPr>
            <w:tcW w:w="787" w:type="dxa"/>
            <w:shd w:val="clear" w:color="auto" w:fill="215A5C"/>
            <w:vAlign w:val="center"/>
          </w:tcPr>
          <w:p w14:paraId="4B9A6E87" w14:textId="77777777" w:rsidR="00622884" w:rsidRPr="00622884" w:rsidRDefault="00622884" w:rsidP="00622884">
            <w:pPr>
              <w:spacing w:after="0" w:line="240" w:lineRule="auto"/>
              <w:contextualSpacing/>
              <w:jc w:val="center"/>
              <w:rPr>
                <w:rFonts w:ascii="Garamond" w:eastAsia="Times New Roman" w:hAnsi="Garamond" w:cs="Calibri Light"/>
                <w:b/>
                <w:bCs/>
                <w:sz w:val="10"/>
                <w:szCs w:val="10"/>
                <w:lang w:eastAsia="en-US"/>
              </w:rPr>
            </w:pPr>
            <w:r w:rsidRPr="00622884">
              <w:rPr>
                <w:rFonts w:ascii="Garamond" w:eastAsia="Calibri" w:hAnsi="Garamond" w:cs="Times New Roman"/>
                <w:b/>
                <w:sz w:val="10"/>
                <w:szCs w:val="10"/>
                <w:lang w:eastAsia="en-US" w:bidi="sq-AL"/>
              </w:rPr>
              <w:t>Vlorë</w:t>
            </w:r>
          </w:p>
        </w:tc>
        <w:tc>
          <w:tcPr>
            <w:tcW w:w="788" w:type="dxa"/>
            <w:shd w:val="clear" w:color="auto" w:fill="215A5C"/>
            <w:vAlign w:val="center"/>
          </w:tcPr>
          <w:p w14:paraId="7E8F1525" w14:textId="77777777" w:rsidR="00622884" w:rsidRPr="00622884" w:rsidRDefault="00622884" w:rsidP="00622884">
            <w:pPr>
              <w:spacing w:after="0" w:line="240" w:lineRule="auto"/>
              <w:contextualSpacing/>
              <w:jc w:val="center"/>
              <w:rPr>
                <w:rFonts w:ascii="Garamond" w:eastAsia="Times New Roman" w:hAnsi="Garamond" w:cs="Calibri Light"/>
                <w:b/>
                <w:bCs/>
                <w:sz w:val="10"/>
                <w:szCs w:val="10"/>
                <w:lang w:eastAsia="en-US"/>
              </w:rPr>
            </w:pPr>
            <w:r w:rsidRPr="00622884">
              <w:rPr>
                <w:rFonts w:ascii="Garamond" w:eastAsia="Calibri" w:hAnsi="Garamond" w:cs="Times New Roman"/>
                <w:b/>
                <w:sz w:val="10"/>
                <w:szCs w:val="10"/>
                <w:lang w:eastAsia="en-US" w:bidi="sq-AL"/>
              </w:rPr>
              <w:t>GJITHSEJ</w:t>
            </w:r>
          </w:p>
        </w:tc>
      </w:tr>
      <w:tr w:rsidR="00622884" w:rsidRPr="00622884" w14:paraId="6310821B" w14:textId="77777777" w:rsidTr="00622884">
        <w:trPr>
          <w:trHeight w:val="257"/>
        </w:trPr>
        <w:tc>
          <w:tcPr>
            <w:tcW w:w="3120" w:type="dxa"/>
            <w:shd w:val="clear" w:color="auto" w:fill="DFEAF5"/>
            <w:vAlign w:val="center"/>
          </w:tcPr>
          <w:p w14:paraId="5B799D6A" w14:textId="77777777" w:rsidR="00622884" w:rsidRPr="00622884" w:rsidRDefault="00622884" w:rsidP="00622884">
            <w:pPr>
              <w:spacing w:after="0" w:line="240" w:lineRule="auto"/>
              <w:contextualSpacing/>
              <w:rPr>
                <w:rFonts w:ascii="Garamond" w:eastAsia="Times New Roman" w:hAnsi="Garamond" w:cs="Calibri Light"/>
                <w:b/>
                <w:bCs/>
                <w:sz w:val="10"/>
                <w:szCs w:val="10"/>
                <w:lang w:eastAsia="en-US"/>
              </w:rPr>
            </w:pPr>
            <w:r w:rsidRPr="00622884">
              <w:rPr>
                <w:rFonts w:ascii="Garamond" w:eastAsia="Calibri" w:hAnsi="Garamond" w:cs="Times New Roman"/>
                <w:b/>
                <w:sz w:val="10"/>
                <w:szCs w:val="10"/>
                <w:lang w:eastAsia="en-US" w:bidi="sq-AL"/>
              </w:rPr>
              <w:t>Politika dhe qeverisja</w:t>
            </w:r>
          </w:p>
        </w:tc>
        <w:tc>
          <w:tcPr>
            <w:tcW w:w="787" w:type="dxa"/>
            <w:vAlign w:val="center"/>
          </w:tcPr>
          <w:p w14:paraId="6398CDA9" w14:textId="77777777" w:rsidR="00622884" w:rsidRPr="00622884" w:rsidRDefault="00622884" w:rsidP="00622884">
            <w:pPr>
              <w:spacing w:after="0" w:line="240" w:lineRule="auto"/>
              <w:contextualSpacing/>
              <w:jc w:val="center"/>
              <w:rPr>
                <w:rFonts w:ascii="Garamond" w:eastAsia="Times New Roman" w:hAnsi="Garamond" w:cs="Calibri Light"/>
                <w:sz w:val="10"/>
                <w:szCs w:val="10"/>
                <w:lang w:eastAsia="en-US"/>
              </w:rPr>
            </w:pPr>
            <w:r w:rsidRPr="00622884">
              <w:rPr>
                <w:rFonts w:ascii="Garamond" w:eastAsia="Calibri" w:hAnsi="Garamond" w:cs="Times New Roman"/>
                <w:sz w:val="10"/>
                <w:szCs w:val="10"/>
                <w:lang w:eastAsia="en-US" w:bidi="sq-AL"/>
              </w:rPr>
              <w:t>32</w:t>
            </w:r>
          </w:p>
        </w:tc>
        <w:tc>
          <w:tcPr>
            <w:tcW w:w="787" w:type="dxa"/>
            <w:vAlign w:val="center"/>
          </w:tcPr>
          <w:p w14:paraId="7816CAA5" w14:textId="77777777" w:rsidR="00622884" w:rsidRPr="00622884" w:rsidRDefault="00622884" w:rsidP="00622884">
            <w:pPr>
              <w:spacing w:after="0" w:line="240" w:lineRule="auto"/>
              <w:contextualSpacing/>
              <w:jc w:val="center"/>
              <w:rPr>
                <w:rFonts w:ascii="Garamond" w:eastAsia="Times New Roman" w:hAnsi="Garamond" w:cs="Calibri Light"/>
                <w:sz w:val="10"/>
                <w:szCs w:val="10"/>
                <w:lang w:eastAsia="en-US"/>
              </w:rPr>
            </w:pPr>
            <w:r w:rsidRPr="00622884">
              <w:rPr>
                <w:rFonts w:ascii="Garamond" w:eastAsia="Calibri" w:hAnsi="Garamond" w:cs="Times New Roman"/>
                <w:sz w:val="10"/>
                <w:szCs w:val="10"/>
                <w:lang w:eastAsia="en-US" w:bidi="sq-AL"/>
              </w:rPr>
              <w:t>26</w:t>
            </w:r>
          </w:p>
        </w:tc>
        <w:tc>
          <w:tcPr>
            <w:tcW w:w="788" w:type="dxa"/>
            <w:vAlign w:val="center"/>
          </w:tcPr>
          <w:p w14:paraId="1D691E9E" w14:textId="77777777" w:rsidR="00622884" w:rsidRPr="00622884" w:rsidRDefault="00622884" w:rsidP="00622884">
            <w:pPr>
              <w:spacing w:after="0" w:line="240" w:lineRule="auto"/>
              <w:contextualSpacing/>
              <w:jc w:val="center"/>
              <w:rPr>
                <w:rFonts w:ascii="Garamond" w:eastAsia="Times New Roman" w:hAnsi="Garamond" w:cs="Calibri Light"/>
                <w:sz w:val="10"/>
                <w:szCs w:val="10"/>
                <w:lang w:eastAsia="en-US"/>
              </w:rPr>
            </w:pPr>
            <w:r w:rsidRPr="00622884">
              <w:rPr>
                <w:rFonts w:ascii="Garamond" w:eastAsia="Calibri" w:hAnsi="Garamond" w:cs="Times New Roman"/>
                <w:sz w:val="10"/>
                <w:szCs w:val="10"/>
                <w:lang w:eastAsia="en-US" w:bidi="sq-AL"/>
              </w:rPr>
              <w:t>15</w:t>
            </w:r>
          </w:p>
        </w:tc>
        <w:tc>
          <w:tcPr>
            <w:tcW w:w="787" w:type="dxa"/>
            <w:vAlign w:val="center"/>
          </w:tcPr>
          <w:p w14:paraId="64C864D8" w14:textId="77777777" w:rsidR="00622884" w:rsidRPr="00622884" w:rsidRDefault="00622884" w:rsidP="00622884">
            <w:pPr>
              <w:spacing w:after="0" w:line="240" w:lineRule="auto"/>
              <w:contextualSpacing/>
              <w:jc w:val="center"/>
              <w:rPr>
                <w:rFonts w:ascii="Garamond" w:eastAsia="Times New Roman" w:hAnsi="Garamond" w:cs="Calibri Light"/>
                <w:sz w:val="10"/>
                <w:szCs w:val="10"/>
                <w:lang w:eastAsia="en-US"/>
              </w:rPr>
            </w:pPr>
            <w:r w:rsidRPr="00622884">
              <w:rPr>
                <w:rFonts w:ascii="Garamond" w:eastAsia="Calibri" w:hAnsi="Garamond" w:cs="Times New Roman"/>
                <w:sz w:val="10"/>
                <w:szCs w:val="10"/>
                <w:lang w:eastAsia="en-US" w:bidi="sq-AL"/>
              </w:rPr>
              <w:t>17</w:t>
            </w:r>
          </w:p>
        </w:tc>
        <w:tc>
          <w:tcPr>
            <w:tcW w:w="788" w:type="dxa"/>
            <w:vAlign w:val="center"/>
          </w:tcPr>
          <w:p w14:paraId="76D19D50" w14:textId="77777777" w:rsidR="00622884" w:rsidRPr="00622884" w:rsidRDefault="00622884" w:rsidP="00622884">
            <w:pPr>
              <w:spacing w:after="0" w:line="240" w:lineRule="auto"/>
              <w:contextualSpacing/>
              <w:jc w:val="center"/>
              <w:rPr>
                <w:rFonts w:ascii="Garamond" w:eastAsia="Times New Roman" w:hAnsi="Garamond" w:cs="Calibri Light"/>
                <w:sz w:val="10"/>
                <w:szCs w:val="10"/>
                <w:lang w:eastAsia="en-US"/>
              </w:rPr>
            </w:pPr>
            <w:r w:rsidRPr="00622884">
              <w:rPr>
                <w:rFonts w:ascii="Garamond" w:eastAsia="Calibri" w:hAnsi="Garamond" w:cs="Times New Roman"/>
                <w:sz w:val="10"/>
                <w:szCs w:val="10"/>
                <w:lang w:eastAsia="en-US" w:bidi="sq-AL"/>
              </w:rPr>
              <w:t>15</w:t>
            </w:r>
          </w:p>
        </w:tc>
        <w:tc>
          <w:tcPr>
            <w:tcW w:w="787" w:type="dxa"/>
            <w:vAlign w:val="center"/>
          </w:tcPr>
          <w:p w14:paraId="628D0703" w14:textId="77777777" w:rsidR="00622884" w:rsidRPr="00622884" w:rsidRDefault="00622884" w:rsidP="00622884">
            <w:pPr>
              <w:spacing w:after="0" w:line="240" w:lineRule="auto"/>
              <w:contextualSpacing/>
              <w:jc w:val="center"/>
              <w:rPr>
                <w:rFonts w:ascii="Garamond" w:eastAsia="Times New Roman" w:hAnsi="Garamond" w:cs="Calibri Light"/>
                <w:sz w:val="10"/>
                <w:szCs w:val="10"/>
                <w:lang w:eastAsia="en-US"/>
              </w:rPr>
            </w:pPr>
            <w:r w:rsidRPr="00622884">
              <w:rPr>
                <w:rFonts w:ascii="Garamond" w:eastAsia="Calibri" w:hAnsi="Garamond" w:cs="Times New Roman"/>
                <w:sz w:val="10"/>
                <w:szCs w:val="10"/>
                <w:lang w:eastAsia="en-US" w:bidi="sq-AL"/>
              </w:rPr>
              <w:t>15</w:t>
            </w:r>
          </w:p>
        </w:tc>
        <w:tc>
          <w:tcPr>
            <w:tcW w:w="788" w:type="dxa"/>
            <w:vAlign w:val="center"/>
          </w:tcPr>
          <w:p w14:paraId="5752EF28" w14:textId="77777777" w:rsidR="00622884" w:rsidRPr="00622884" w:rsidRDefault="00622884" w:rsidP="00622884">
            <w:pPr>
              <w:spacing w:after="0" w:line="240" w:lineRule="auto"/>
              <w:contextualSpacing/>
              <w:jc w:val="center"/>
              <w:rPr>
                <w:rFonts w:ascii="Garamond" w:eastAsia="Times New Roman" w:hAnsi="Garamond" w:cs="Calibri Light"/>
                <w:sz w:val="10"/>
                <w:szCs w:val="10"/>
                <w:lang w:eastAsia="en-US"/>
              </w:rPr>
            </w:pPr>
            <w:r w:rsidRPr="00622884">
              <w:rPr>
                <w:rFonts w:ascii="Garamond" w:eastAsia="Calibri" w:hAnsi="Garamond" w:cs="Times New Roman"/>
                <w:sz w:val="10"/>
                <w:szCs w:val="10"/>
                <w:lang w:eastAsia="en-US" w:bidi="sq-AL"/>
              </w:rPr>
              <w:t>18</w:t>
            </w:r>
          </w:p>
        </w:tc>
        <w:tc>
          <w:tcPr>
            <w:tcW w:w="787" w:type="dxa"/>
            <w:vAlign w:val="center"/>
          </w:tcPr>
          <w:p w14:paraId="23ADAF0B" w14:textId="77777777" w:rsidR="00622884" w:rsidRPr="00622884" w:rsidRDefault="00622884" w:rsidP="00622884">
            <w:pPr>
              <w:spacing w:after="0" w:line="240" w:lineRule="auto"/>
              <w:contextualSpacing/>
              <w:jc w:val="center"/>
              <w:rPr>
                <w:rFonts w:ascii="Garamond" w:eastAsia="Times New Roman" w:hAnsi="Garamond" w:cs="Calibri Light"/>
                <w:sz w:val="10"/>
                <w:szCs w:val="10"/>
                <w:lang w:eastAsia="en-US"/>
              </w:rPr>
            </w:pPr>
            <w:r w:rsidRPr="00622884">
              <w:rPr>
                <w:rFonts w:ascii="Garamond" w:eastAsia="Calibri" w:hAnsi="Garamond" w:cs="Times New Roman"/>
                <w:sz w:val="10"/>
                <w:szCs w:val="10"/>
                <w:lang w:eastAsia="en-US" w:bidi="sq-AL"/>
              </w:rPr>
              <w:t>21</w:t>
            </w:r>
          </w:p>
        </w:tc>
        <w:tc>
          <w:tcPr>
            <w:tcW w:w="788" w:type="dxa"/>
            <w:vAlign w:val="center"/>
          </w:tcPr>
          <w:p w14:paraId="592106D8" w14:textId="77777777" w:rsidR="00622884" w:rsidRPr="00622884" w:rsidRDefault="00622884" w:rsidP="00622884">
            <w:pPr>
              <w:spacing w:after="0" w:line="240" w:lineRule="auto"/>
              <w:contextualSpacing/>
              <w:jc w:val="center"/>
              <w:rPr>
                <w:rFonts w:ascii="Garamond" w:eastAsia="Times New Roman" w:hAnsi="Garamond" w:cs="Calibri Light"/>
                <w:sz w:val="10"/>
                <w:szCs w:val="10"/>
                <w:lang w:eastAsia="en-US"/>
              </w:rPr>
            </w:pPr>
            <w:r w:rsidRPr="00622884">
              <w:rPr>
                <w:rFonts w:ascii="Garamond" w:eastAsia="Calibri" w:hAnsi="Garamond" w:cs="Times New Roman"/>
                <w:sz w:val="10"/>
                <w:szCs w:val="10"/>
                <w:lang w:eastAsia="en-US" w:bidi="sq-AL"/>
              </w:rPr>
              <w:t>159</w:t>
            </w:r>
          </w:p>
        </w:tc>
      </w:tr>
      <w:tr w:rsidR="00622884" w:rsidRPr="00622884" w14:paraId="3414398E" w14:textId="77777777" w:rsidTr="00622884">
        <w:trPr>
          <w:trHeight w:val="257"/>
        </w:trPr>
        <w:tc>
          <w:tcPr>
            <w:tcW w:w="3120" w:type="dxa"/>
            <w:shd w:val="clear" w:color="auto" w:fill="DFEAF5"/>
            <w:vAlign w:val="center"/>
          </w:tcPr>
          <w:p w14:paraId="0B5C2665" w14:textId="77777777" w:rsidR="00622884" w:rsidRPr="00622884" w:rsidRDefault="00622884" w:rsidP="00622884">
            <w:pPr>
              <w:spacing w:after="0" w:line="240" w:lineRule="auto"/>
              <w:contextualSpacing/>
              <w:rPr>
                <w:rFonts w:ascii="Garamond" w:eastAsia="Times New Roman" w:hAnsi="Garamond" w:cs="Calibri Light"/>
                <w:b/>
                <w:bCs/>
                <w:sz w:val="10"/>
                <w:szCs w:val="10"/>
                <w:lang w:eastAsia="en-US"/>
              </w:rPr>
            </w:pPr>
            <w:r w:rsidRPr="00622884">
              <w:rPr>
                <w:rFonts w:ascii="Garamond" w:eastAsia="Calibri" w:hAnsi="Garamond" w:cs="Times New Roman"/>
                <w:b/>
                <w:sz w:val="10"/>
                <w:szCs w:val="10"/>
                <w:lang w:eastAsia="en-US" w:bidi="sq-AL"/>
              </w:rPr>
              <w:t>Kapaciteti shkencor, teknik dhe shoqëror</w:t>
            </w:r>
          </w:p>
        </w:tc>
        <w:tc>
          <w:tcPr>
            <w:tcW w:w="787" w:type="dxa"/>
            <w:vAlign w:val="center"/>
          </w:tcPr>
          <w:p w14:paraId="6939A956" w14:textId="77777777" w:rsidR="00622884" w:rsidRPr="00622884" w:rsidRDefault="00622884" w:rsidP="00622884">
            <w:pPr>
              <w:spacing w:after="0" w:line="240" w:lineRule="auto"/>
              <w:contextualSpacing/>
              <w:jc w:val="center"/>
              <w:rPr>
                <w:rFonts w:ascii="Garamond" w:eastAsia="Times New Roman" w:hAnsi="Garamond" w:cs="Calibri Light"/>
                <w:sz w:val="10"/>
                <w:szCs w:val="10"/>
                <w:lang w:eastAsia="en-US"/>
              </w:rPr>
            </w:pPr>
            <w:r w:rsidRPr="00622884">
              <w:rPr>
                <w:rFonts w:ascii="Garamond" w:eastAsia="Calibri" w:hAnsi="Garamond" w:cs="Times New Roman"/>
                <w:sz w:val="10"/>
                <w:szCs w:val="10"/>
                <w:lang w:eastAsia="en-US" w:bidi="sq-AL"/>
              </w:rPr>
              <w:t>21</w:t>
            </w:r>
          </w:p>
        </w:tc>
        <w:tc>
          <w:tcPr>
            <w:tcW w:w="787" w:type="dxa"/>
            <w:vAlign w:val="center"/>
          </w:tcPr>
          <w:p w14:paraId="64222E5E" w14:textId="77777777" w:rsidR="00622884" w:rsidRPr="00622884" w:rsidRDefault="00622884" w:rsidP="00622884">
            <w:pPr>
              <w:spacing w:after="0" w:line="240" w:lineRule="auto"/>
              <w:contextualSpacing/>
              <w:jc w:val="center"/>
              <w:rPr>
                <w:rFonts w:ascii="Garamond" w:eastAsia="Times New Roman" w:hAnsi="Garamond" w:cs="Calibri Light"/>
                <w:sz w:val="10"/>
                <w:szCs w:val="10"/>
                <w:lang w:eastAsia="en-US"/>
              </w:rPr>
            </w:pPr>
            <w:r w:rsidRPr="00622884">
              <w:rPr>
                <w:rFonts w:ascii="Garamond" w:eastAsia="Calibri" w:hAnsi="Garamond" w:cs="Times New Roman"/>
                <w:sz w:val="10"/>
                <w:szCs w:val="10"/>
                <w:lang w:eastAsia="en-US" w:bidi="sq-AL"/>
              </w:rPr>
              <w:t>17</w:t>
            </w:r>
          </w:p>
        </w:tc>
        <w:tc>
          <w:tcPr>
            <w:tcW w:w="788" w:type="dxa"/>
            <w:vAlign w:val="center"/>
          </w:tcPr>
          <w:p w14:paraId="0E59BC18" w14:textId="77777777" w:rsidR="00622884" w:rsidRPr="00622884" w:rsidRDefault="00622884" w:rsidP="00622884">
            <w:pPr>
              <w:spacing w:after="0" w:line="240" w:lineRule="auto"/>
              <w:contextualSpacing/>
              <w:jc w:val="center"/>
              <w:rPr>
                <w:rFonts w:ascii="Garamond" w:eastAsia="Times New Roman" w:hAnsi="Garamond" w:cs="Calibri Light"/>
                <w:sz w:val="10"/>
                <w:szCs w:val="10"/>
                <w:lang w:eastAsia="en-US"/>
              </w:rPr>
            </w:pPr>
            <w:r w:rsidRPr="00622884">
              <w:rPr>
                <w:rFonts w:ascii="Garamond" w:eastAsia="Calibri" w:hAnsi="Garamond" w:cs="Times New Roman"/>
                <w:sz w:val="10"/>
                <w:szCs w:val="10"/>
                <w:lang w:eastAsia="en-US" w:bidi="sq-AL"/>
              </w:rPr>
              <w:t>11</w:t>
            </w:r>
          </w:p>
        </w:tc>
        <w:tc>
          <w:tcPr>
            <w:tcW w:w="787" w:type="dxa"/>
            <w:vAlign w:val="center"/>
          </w:tcPr>
          <w:p w14:paraId="2391A66F" w14:textId="77777777" w:rsidR="00622884" w:rsidRPr="00622884" w:rsidRDefault="00622884" w:rsidP="00622884">
            <w:pPr>
              <w:spacing w:after="0" w:line="240" w:lineRule="auto"/>
              <w:contextualSpacing/>
              <w:jc w:val="center"/>
              <w:rPr>
                <w:rFonts w:ascii="Garamond" w:eastAsia="Times New Roman" w:hAnsi="Garamond" w:cs="Calibri Light"/>
                <w:sz w:val="10"/>
                <w:szCs w:val="10"/>
                <w:lang w:eastAsia="en-US"/>
              </w:rPr>
            </w:pPr>
            <w:r w:rsidRPr="00622884">
              <w:rPr>
                <w:rFonts w:ascii="Garamond" w:eastAsia="Calibri" w:hAnsi="Garamond" w:cs="Times New Roman"/>
                <w:sz w:val="10"/>
                <w:szCs w:val="10"/>
                <w:lang w:eastAsia="en-US" w:bidi="sq-AL"/>
              </w:rPr>
              <w:t>10</w:t>
            </w:r>
          </w:p>
        </w:tc>
        <w:tc>
          <w:tcPr>
            <w:tcW w:w="788" w:type="dxa"/>
            <w:vAlign w:val="center"/>
          </w:tcPr>
          <w:p w14:paraId="25AAAF44" w14:textId="77777777" w:rsidR="00622884" w:rsidRPr="00622884" w:rsidRDefault="00622884" w:rsidP="00622884">
            <w:pPr>
              <w:spacing w:after="0" w:line="240" w:lineRule="auto"/>
              <w:contextualSpacing/>
              <w:jc w:val="center"/>
              <w:rPr>
                <w:rFonts w:ascii="Garamond" w:eastAsia="Times New Roman" w:hAnsi="Garamond" w:cs="Calibri Light"/>
                <w:sz w:val="10"/>
                <w:szCs w:val="10"/>
                <w:lang w:eastAsia="en-US"/>
              </w:rPr>
            </w:pPr>
            <w:r w:rsidRPr="00622884">
              <w:rPr>
                <w:rFonts w:ascii="Garamond" w:eastAsia="Calibri" w:hAnsi="Garamond" w:cs="Times New Roman"/>
                <w:sz w:val="10"/>
                <w:szCs w:val="10"/>
                <w:lang w:eastAsia="en-US" w:bidi="sq-AL"/>
              </w:rPr>
              <w:t>10</w:t>
            </w:r>
          </w:p>
        </w:tc>
        <w:tc>
          <w:tcPr>
            <w:tcW w:w="787" w:type="dxa"/>
            <w:vAlign w:val="center"/>
          </w:tcPr>
          <w:p w14:paraId="20128D5C" w14:textId="77777777" w:rsidR="00622884" w:rsidRPr="00622884" w:rsidRDefault="00622884" w:rsidP="00622884">
            <w:pPr>
              <w:spacing w:after="0" w:line="240" w:lineRule="auto"/>
              <w:contextualSpacing/>
              <w:jc w:val="center"/>
              <w:rPr>
                <w:rFonts w:ascii="Garamond" w:eastAsia="Times New Roman" w:hAnsi="Garamond" w:cs="Calibri Light"/>
                <w:sz w:val="10"/>
                <w:szCs w:val="10"/>
                <w:lang w:eastAsia="en-US"/>
              </w:rPr>
            </w:pPr>
            <w:r w:rsidRPr="00622884">
              <w:rPr>
                <w:rFonts w:ascii="Garamond" w:eastAsia="Calibri" w:hAnsi="Garamond" w:cs="Times New Roman"/>
                <w:sz w:val="10"/>
                <w:szCs w:val="10"/>
                <w:lang w:eastAsia="en-US" w:bidi="sq-AL"/>
              </w:rPr>
              <w:t>16</w:t>
            </w:r>
          </w:p>
        </w:tc>
        <w:tc>
          <w:tcPr>
            <w:tcW w:w="788" w:type="dxa"/>
            <w:vAlign w:val="center"/>
          </w:tcPr>
          <w:p w14:paraId="02C5CB1B" w14:textId="77777777" w:rsidR="00622884" w:rsidRPr="00622884" w:rsidRDefault="00622884" w:rsidP="00622884">
            <w:pPr>
              <w:spacing w:after="0" w:line="240" w:lineRule="auto"/>
              <w:contextualSpacing/>
              <w:jc w:val="center"/>
              <w:rPr>
                <w:rFonts w:ascii="Garamond" w:eastAsia="Times New Roman" w:hAnsi="Garamond" w:cs="Calibri Light"/>
                <w:sz w:val="10"/>
                <w:szCs w:val="10"/>
                <w:lang w:eastAsia="en-US"/>
              </w:rPr>
            </w:pPr>
            <w:r w:rsidRPr="00622884">
              <w:rPr>
                <w:rFonts w:ascii="Garamond" w:eastAsia="Calibri" w:hAnsi="Garamond" w:cs="Times New Roman"/>
                <w:sz w:val="10"/>
                <w:szCs w:val="10"/>
                <w:lang w:eastAsia="en-US" w:bidi="sq-AL"/>
              </w:rPr>
              <w:t>10</w:t>
            </w:r>
          </w:p>
        </w:tc>
        <w:tc>
          <w:tcPr>
            <w:tcW w:w="787" w:type="dxa"/>
            <w:vAlign w:val="center"/>
          </w:tcPr>
          <w:p w14:paraId="790D85A0" w14:textId="77777777" w:rsidR="00622884" w:rsidRPr="00622884" w:rsidRDefault="00622884" w:rsidP="00622884">
            <w:pPr>
              <w:spacing w:after="0" w:line="240" w:lineRule="auto"/>
              <w:contextualSpacing/>
              <w:jc w:val="center"/>
              <w:rPr>
                <w:rFonts w:ascii="Garamond" w:eastAsia="Times New Roman" w:hAnsi="Garamond" w:cs="Calibri Light"/>
                <w:sz w:val="10"/>
                <w:szCs w:val="10"/>
                <w:lang w:eastAsia="en-US"/>
              </w:rPr>
            </w:pPr>
            <w:r w:rsidRPr="00622884">
              <w:rPr>
                <w:rFonts w:ascii="Garamond" w:eastAsia="Calibri" w:hAnsi="Garamond" w:cs="Times New Roman"/>
                <w:sz w:val="10"/>
                <w:szCs w:val="10"/>
                <w:lang w:eastAsia="en-US" w:bidi="sq-AL"/>
              </w:rPr>
              <w:t>12</w:t>
            </w:r>
          </w:p>
        </w:tc>
        <w:tc>
          <w:tcPr>
            <w:tcW w:w="788" w:type="dxa"/>
            <w:vAlign w:val="center"/>
          </w:tcPr>
          <w:p w14:paraId="16CC3B86" w14:textId="77777777" w:rsidR="00622884" w:rsidRPr="00622884" w:rsidRDefault="00622884" w:rsidP="00622884">
            <w:pPr>
              <w:spacing w:after="0" w:line="240" w:lineRule="auto"/>
              <w:contextualSpacing/>
              <w:jc w:val="center"/>
              <w:rPr>
                <w:rFonts w:ascii="Garamond" w:eastAsia="Times New Roman" w:hAnsi="Garamond" w:cs="Calibri Light"/>
                <w:sz w:val="10"/>
                <w:szCs w:val="10"/>
                <w:lang w:eastAsia="en-US"/>
              </w:rPr>
            </w:pPr>
            <w:r w:rsidRPr="00622884">
              <w:rPr>
                <w:rFonts w:ascii="Garamond" w:eastAsia="Calibri" w:hAnsi="Garamond" w:cs="Times New Roman"/>
                <w:sz w:val="10"/>
                <w:szCs w:val="10"/>
                <w:lang w:eastAsia="en-US" w:bidi="sq-AL"/>
              </w:rPr>
              <w:t>107</w:t>
            </w:r>
          </w:p>
        </w:tc>
      </w:tr>
      <w:tr w:rsidR="00622884" w:rsidRPr="00622884" w14:paraId="288E6E49" w14:textId="77777777" w:rsidTr="00622884">
        <w:trPr>
          <w:trHeight w:val="257"/>
        </w:trPr>
        <w:tc>
          <w:tcPr>
            <w:tcW w:w="3120" w:type="dxa"/>
            <w:shd w:val="clear" w:color="auto" w:fill="DFEAF5"/>
            <w:vAlign w:val="center"/>
          </w:tcPr>
          <w:p w14:paraId="06F0C712" w14:textId="77777777" w:rsidR="00622884" w:rsidRPr="00622884" w:rsidRDefault="00622884" w:rsidP="00622884">
            <w:pPr>
              <w:spacing w:after="0" w:line="240" w:lineRule="auto"/>
              <w:contextualSpacing/>
              <w:rPr>
                <w:rFonts w:ascii="Garamond" w:eastAsia="Times New Roman" w:hAnsi="Garamond" w:cs="Calibri Light"/>
                <w:b/>
                <w:bCs/>
                <w:sz w:val="10"/>
                <w:szCs w:val="10"/>
                <w:lang w:eastAsia="en-US"/>
              </w:rPr>
            </w:pPr>
            <w:r w:rsidRPr="00622884">
              <w:rPr>
                <w:rFonts w:ascii="Garamond" w:eastAsia="Calibri" w:hAnsi="Garamond" w:cs="Times New Roman"/>
                <w:b/>
                <w:sz w:val="10"/>
                <w:szCs w:val="10"/>
                <w:lang w:eastAsia="en-US" w:bidi="sq-AL"/>
              </w:rPr>
              <w:t>Zbatimi i masave për ndryshimet klimatike</w:t>
            </w:r>
          </w:p>
        </w:tc>
        <w:tc>
          <w:tcPr>
            <w:tcW w:w="787" w:type="dxa"/>
            <w:vAlign w:val="center"/>
          </w:tcPr>
          <w:p w14:paraId="5E119FC8" w14:textId="77777777" w:rsidR="00622884" w:rsidRPr="00622884" w:rsidRDefault="00622884" w:rsidP="00622884">
            <w:pPr>
              <w:spacing w:after="0" w:line="240" w:lineRule="auto"/>
              <w:contextualSpacing/>
              <w:jc w:val="center"/>
              <w:rPr>
                <w:rFonts w:ascii="Garamond" w:eastAsia="Times New Roman" w:hAnsi="Garamond" w:cs="Calibri Light"/>
                <w:sz w:val="10"/>
                <w:szCs w:val="10"/>
                <w:lang w:eastAsia="en-US"/>
              </w:rPr>
            </w:pPr>
            <w:r w:rsidRPr="00622884">
              <w:rPr>
                <w:rFonts w:ascii="Garamond" w:eastAsia="Calibri" w:hAnsi="Garamond" w:cs="Times New Roman"/>
                <w:sz w:val="10"/>
                <w:szCs w:val="10"/>
                <w:lang w:eastAsia="en-US" w:bidi="sq-AL"/>
              </w:rPr>
              <w:t>31</w:t>
            </w:r>
          </w:p>
        </w:tc>
        <w:tc>
          <w:tcPr>
            <w:tcW w:w="787" w:type="dxa"/>
            <w:vAlign w:val="center"/>
          </w:tcPr>
          <w:p w14:paraId="652B95DE" w14:textId="77777777" w:rsidR="00622884" w:rsidRPr="00622884" w:rsidRDefault="00622884" w:rsidP="00622884">
            <w:pPr>
              <w:spacing w:after="0" w:line="240" w:lineRule="auto"/>
              <w:contextualSpacing/>
              <w:jc w:val="center"/>
              <w:rPr>
                <w:rFonts w:ascii="Garamond" w:eastAsia="Times New Roman" w:hAnsi="Garamond" w:cs="Calibri Light"/>
                <w:sz w:val="10"/>
                <w:szCs w:val="10"/>
                <w:lang w:eastAsia="en-US"/>
              </w:rPr>
            </w:pPr>
            <w:r w:rsidRPr="00622884">
              <w:rPr>
                <w:rFonts w:ascii="Garamond" w:eastAsia="Calibri" w:hAnsi="Garamond" w:cs="Times New Roman"/>
                <w:sz w:val="10"/>
                <w:szCs w:val="10"/>
                <w:lang w:eastAsia="en-US" w:bidi="sq-AL"/>
              </w:rPr>
              <w:t>14</w:t>
            </w:r>
          </w:p>
        </w:tc>
        <w:tc>
          <w:tcPr>
            <w:tcW w:w="788" w:type="dxa"/>
            <w:vAlign w:val="center"/>
          </w:tcPr>
          <w:p w14:paraId="54215A29" w14:textId="77777777" w:rsidR="00622884" w:rsidRPr="00622884" w:rsidRDefault="00622884" w:rsidP="00622884">
            <w:pPr>
              <w:spacing w:after="0" w:line="240" w:lineRule="auto"/>
              <w:contextualSpacing/>
              <w:jc w:val="center"/>
              <w:rPr>
                <w:rFonts w:ascii="Garamond" w:eastAsia="Times New Roman" w:hAnsi="Garamond" w:cs="Calibri Light"/>
                <w:sz w:val="10"/>
                <w:szCs w:val="10"/>
                <w:lang w:eastAsia="en-US"/>
              </w:rPr>
            </w:pPr>
            <w:r w:rsidRPr="00622884">
              <w:rPr>
                <w:rFonts w:ascii="Garamond" w:eastAsia="Calibri" w:hAnsi="Garamond" w:cs="Times New Roman"/>
                <w:sz w:val="10"/>
                <w:szCs w:val="10"/>
                <w:lang w:eastAsia="en-US" w:bidi="sq-AL"/>
              </w:rPr>
              <w:t>12</w:t>
            </w:r>
          </w:p>
        </w:tc>
        <w:tc>
          <w:tcPr>
            <w:tcW w:w="787" w:type="dxa"/>
            <w:vAlign w:val="center"/>
          </w:tcPr>
          <w:p w14:paraId="1E8CC20B" w14:textId="77777777" w:rsidR="00622884" w:rsidRPr="00622884" w:rsidRDefault="00622884" w:rsidP="00622884">
            <w:pPr>
              <w:spacing w:after="0" w:line="240" w:lineRule="auto"/>
              <w:contextualSpacing/>
              <w:jc w:val="center"/>
              <w:rPr>
                <w:rFonts w:ascii="Garamond" w:eastAsia="Times New Roman" w:hAnsi="Garamond" w:cs="Calibri Light"/>
                <w:sz w:val="10"/>
                <w:szCs w:val="10"/>
                <w:lang w:eastAsia="en-US"/>
              </w:rPr>
            </w:pPr>
            <w:r w:rsidRPr="00622884">
              <w:rPr>
                <w:rFonts w:ascii="Garamond" w:eastAsia="Calibri" w:hAnsi="Garamond" w:cs="Times New Roman"/>
                <w:sz w:val="10"/>
                <w:szCs w:val="10"/>
                <w:lang w:eastAsia="en-US" w:bidi="sq-AL"/>
              </w:rPr>
              <w:t>12</w:t>
            </w:r>
          </w:p>
        </w:tc>
        <w:tc>
          <w:tcPr>
            <w:tcW w:w="788" w:type="dxa"/>
            <w:vAlign w:val="center"/>
          </w:tcPr>
          <w:p w14:paraId="18FCF019" w14:textId="77777777" w:rsidR="00622884" w:rsidRPr="00622884" w:rsidRDefault="00622884" w:rsidP="00622884">
            <w:pPr>
              <w:spacing w:after="0" w:line="240" w:lineRule="auto"/>
              <w:contextualSpacing/>
              <w:jc w:val="center"/>
              <w:rPr>
                <w:rFonts w:ascii="Garamond" w:eastAsia="Times New Roman" w:hAnsi="Garamond" w:cs="Calibri Light"/>
                <w:sz w:val="10"/>
                <w:szCs w:val="10"/>
                <w:lang w:eastAsia="en-US"/>
              </w:rPr>
            </w:pPr>
            <w:r w:rsidRPr="00622884">
              <w:rPr>
                <w:rFonts w:ascii="Garamond" w:eastAsia="Calibri" w:hAnsi="Garamond" w:cs="Times New Roman"/>
                <w:sz w:val="10"/>
                <w:szCs w:val="10"/>
                <w:lang w:eastAsia="en-US" w:bidi="sq-AL"/>
              </w:rPr>
              <w:t>8</w:t>
            </w:r>
          </w:p>
        </w:tc>
        <w:tc>
          <w:tcPr>
            <w:tcW w:w="787" w:type="dxa"/>
            <w:vAlign w:val="center"/>
          </w:tcPr>
          <w:p w14:paraId="3A93A93A" w14:textId="77777777" w:rsidR="00622884" w:rsidRPr="00622884" w:rsidRDefault="00622884" w:rsidP="00622884">
            <w:pPr>
              <w:spacing w:after="0" w:line="240" w:lineRule="auto"/>
              <w:contextualSpacing/>
              <w:jc w:val="center"/>
              <w:rPr>
                <w:rFonts w:ascii="Garamond" w:eastAsia="Times New Roman" w:hAnsi="Garamond" w:cs="Calibri Light"/>
                <w:sz w:val="10"/>
                <w:szCs w:val="10"/>
                <w:lang w:eastAsia="en-US"/>
              </w:rPr>
            </w:pPr>
            <w:r w:rsidRPr="00622884">
              <w:rPr>
                <w:rFonts w:ascii="Garamond" w:eastAsia="Calibri" w:hAnsi="Garamond" w:cs="Times New Roman"/>
                <w:sz w:val="10"/>
                <w:szCs w:val="10"/>
                <w:lang w:eastAsia="en-US" w:bidi="sq-AL"/>
              </w:rPr>
              <w:t>18</w:t>
            </w:r>
          </w:p>
        </w:tc>
        <w:tc>
          <w:tcPr>
            <w:tcW w:w="788" w:type="dxa"/>
            <w:vAlign w:val="center"/>
          </w:tcPr>
          <w:p w14:paraId="4DCFEE1C" w14:textId="77777777" w:rsidR="00622884" w:rsidRPr="00622884" w:rsidRDefault="00622884" w:rsidP="00622884">
            <w:pPr>
              <w:spacing w:after="0" w:line="240" w:lineRule="auto"/>
              <w:contextualSpacing/>
              <w:jc w:val="center"/>
              <w:rPr>
                <w:rFonts w:ascii="Garamond" w:eastAsia="Times New Roman" w:hAnsi="Garamond" w:cs="Calibri Light"/>
                <w:sz w:val="10"/>
                <w:szCs w:val="10"/>
                <w:lang w:eastAsia="en-US"/>
              </w:rPr>
            </w:pPr>
            <w:r w:rsidRPr="00622884">
              <w:rPr>
                <w:rFonts w:ascii="Garamond" w:eastAsia="Calibri" w:hAnsi="Garamond" w:cs="Times New Roman"/>
                <w:sz w:val="10"/>
                <w:szCs w:val="10"/>
                <w:lang w:eastAsia="en-US" w:bidi="sq-AL"/>
              </w:rPr>
              <w:t>14</w:t>
            </w:r>
          </w:p>
        </w:tc>
        <w:tc>
          <w:tcPr>
            <w:tcW w:w="787" w:type="dxa"/>
            <w:vAlign w:val="center"/>
          </w:tcPr>
          <w:p w14:paraId="3CEE926C" w14:textId="77777777" w:rsidR="00622884" w:rsidRPr="00622884" w:rsidRDefault="00622884" w:rsidP="00622884">
            <w:pPr>
              <w:spacing w:after="0" w:line="240" w:lineRule="auto"/>
              <w:contextualSpacing/>
              <w:jc w:val="center"/>
              <w:rPr>
                <w:rFonts w:ascii="Garamond" w:eastAsia="Times New Roman" w:hAnsi="Garamond" w:cs="Calibri Light"/>
                <w:sz w:val="10"/>
                <w:szCs w:val="10"/>
                <w:lang w:eastAsia="en-US"/>
              </w:rPr>
            </w:pPr>
            <w:r w:rsidRPr="00622884">
              <w:rPr>
                <w:rFonts w:ascii="Garamond" w:eastAsia="Calibri" w:hAnsi="Garamond" w:cs="Times New Roman"/>
                <w:sz w:val="10"/>
                <w:szCs w:val="10"/>
                <w:lang w:eastAsia="en-US" w:bidi="sq-AL"/>
              </w:rPr>
              <w:t>13</w:t>
            </w:r>
          </w:p>
        </w:tc>
        <w:tc>
          <w:tcPr>
            <w:tcW w:w="788" w:type="dxa"/>
            <w:vAlign w:val="center"/>
          </w:tcPr>
          <w:p w14:paraId="27740271" w14:textId="77777777" w:rsidR="00622884" w:rsidRPr="00622884" w:rsidRDefault="00622884" w:rsidP="00622884">
            <w:pPr>
              <w:spacing w:after="0" w:line="240" w:lineRule="auto"/>
              <w:contextualSpacing/>
              <w:jc w:val="center"/>
              <w:rPr>
                <w:rFonts w:ascii="Garamond" w:eastAsia="Times New Roman" w:hAnsi="Garamond" w:cs="Calibri Light"/>
                <w:sz w:val="10"/>
                <w:szCs w:val="10"/>
                <w:lang w:eastAsia="en-US"/>
              </w:rPr>
            </w:pPr>
            <w:r w:rsidRPr="00622884">
              <w:rPr>
                <w:rFonts w:ascii="Garamond" w:eastAsia="Calibri" w:hAnsi="Garamond" w:cs="Times New Roman"/>
                <w:sz w:val="10"/>
                <w:szCs w:val="10"/>
                <w:lang w:eastAsia="en-US" w:bidi="sq-AL"/>
              </w:rPr>
              <w:t>122</w:t>
            </w:r>
          </w:p>
        </w:tc>
      </w:tr>
      <w:tr w:rsidR="00622884" w:rsidRPr="00622884" w14:paraId="3B88CA36" w14:textId="77777777" w:rsidTr="00622884">
        <w:trPr>
          <w:trHeight w:val="257"/>
        </w:trPr>
        <w:tc>
          <w:tcPr>
            <w:tcW w:w="3120" w:type="dxa"/>
            <w:shd w:val="clear" w:color="auto" w:fill="DFEAF5"/>
            <w:vAlign w:val="center"/>
          </w:tcPr>
          <w:p w14:paraId="7B29BA10" w14:textId="77777777" w:rsidR="00622884" w:rsidRPr="00622884" w:rsidRDefault="00622884" w:rsidP="00622884">
            <w:pPr>
              <w:spacing w:after="0" w:line="240" w:lineRule="auto"/>
              <w:contextualSpacing/>
              <w:rPr>
                <w:rFonts w:ascii="Garamond" w:eastAsia="Times New Roman" w:hAnsi="Garamond" w:cs="Calibri Light"/>
                <w:b/>
                <w:bCs/>
                <w:sz w:val="10"/>
                <w:szCs w:val="10"/>
                <w:lang w:eastAsia="en-US"/>
              </w:rPr>
            </w:pPr>
            <w:r w:rsidRPr="00622884">
              <w:rPr>
                <w:rFonts w:ascii="Garamond" w:eastAsia="Calibri" w:hAnsi="Garamond" w:cs="Times New Roman"/>
                <w:b/>
                <w:sz w:val="10"/>
                <w:szCs w:val="10"/>
                <w:lang w:eastAsia="en-US" w:bidi="sq-AL"/>
              </w:rPr>
              <w:t>Përshtatja e mjedisit natyror mbështetës</w:t>
            </w:r>
          </w:p>
        </w:tc>
        <w:tc>
          <w:tcPr>
            <w:tcW w:w="787" w:type="dxa"/>
            <w:vAlign w:val="center"/>
          </w:tcPr>
          <w:p w14:paraId="0AD3E5F6" w14:textId="77777777" w:rsidR="00622884" w:rsidRPr="00622884" w:rsidRDefault="00622884" w:rsidP="00622884">
            <w:pPr>
              <w:spacing w:after="0" w:line="240" w:lineRule="auto"/>
              <w:contextualSpacing/>
              <w:jc w:val="center"/>
              <w:rPr>
                <w:rFonts w:ascii="Garamond" w:eastAsia="Times New Roman" w:hAnsi="Garamond" w:cs="Calibri Light"/>
                <w:sz w:val="10"/>
                <w:szCs w:val="10"/>
                <w:lang w:eastAsia="en-US"/>
              </w:rPr>
            </w:pPr>
            <w:r w:rsidRPr="00622884">
              <w:rPr>
                <w:rFonts w:ascii="Garamond" w:eastAsia="Calibri" w:hAnsi="Garamond" w:cs="Times New Roman"/>
                <w:sz w:val="10"/>
                <w:szCs w:val="10"/>
                <w:lang w:eastAsia="en-US" w:bidi="sq-AL"/>
              </w:rPr>
              <w:t>31</w:t>
            </w:r>
          </w:p>
        </w:tc>
        <w:tc>
          <w:tcPr>
            <w:tcW w:w="787" w:type="dxa"/>
            <w:vAlign w:val="center"/>
          </w:tcPr>
          <w:p w14:paraId="7E29C270" w14:textId="77777777" w:rsidR="00622884" w:rsidRPr="00622884" w:rsidRDefault="00622884" w:rsidP="00622884">
            <w:pPr>
              <w:spacing w:after="0" w:line="240" w:lineRule="auto"/>
              <w:contextualSpacing/>
              <w:jc w:val="center"/>
              <w:rPr>
                <w:rFonts w:ascii="Garamond" w:eastAsia="Times New Roman" w:hAnsi="Garamond" w:cs="Calibri Light"/>
                <w:sz w:val="10"/>
                <w:szCs w:val="10"/>
                <w:lang w:eastAsia="en-US"/>
              </w:rPr>
            </w:pPr>
            <w:r w:rsidRPr="00622884">
              <w:rPr>
                <w:rFonts w:ascii="Garamond" w:eastAsia="Calibri" w:hAnsi="Garamond" w:cs="Times New Roman"/>
                <w:sz w:val="10"/>
                <w:szCs w:val="10"/>
                <w:lang w:eastAsia="en-US" w:bidi="sq-AL"/>
              </w:rPr>
              <w:t>10</w:t>
            </w:r>
          </w:p>
        </w:tc>
        <w:tc>
          <w:tcPr>
            <w:tcW w:w="788" w:type="dxa"/>
            <w:vAlign w:val="center"/>
          </w:tcPr>
          <w:p w14:paraId="23154C1C" w14:textId="77777777" w:rsidR="00622884" w:rsidRPr="00622884" w:rsidRDefault="00622884" w:rsidP="00622884">
            <w:pPr>
              <w:spacing w:after="0" w:line="240" w:lineRule="auto"/>
              <w:contextualSpacing/>
              <w:jc w:val="center"/>
              <w:rPr>
                <w:rFonts w:ascii="Garamond" w:eastAsia="Times New Roman" w:hAnsi="Garamond" w:cs="Calibri Light"/>
                <w:sz w:val="10"/>
                <w:szCs w:val="10"/>
                <w:lang w:eastAsia="en-US"/>
              </w:rPr>
            </w:pPr>
            <w:r w:rsidRPr="00622884">
              <w:rPr>
                <w:rFonts w:ascii="Garamond" w:eastAsia="Calibri" w:hAnsi="Garamond" w:cs="Times New Roman"/>
                <w:sz w:val="10"/>
                <w:szCs w:val="10"/>
                <w:lang w:eastAsia="en-US" w:bidi="sq-AL"/>
              </w:rPr>
              <w:t>7</w:t>
            </w:r>
          </w:p>
        </w:tc>
        <w:tc>
          <w:tcPr>
            <w:tcW w:w="787" w:type="dxa"/>
            <w:vAlign w:val="center"/>
          </w:tcPr>
          <w:p w14:paraId="031586BF" w14:textId="77777777" w:rsidR="00622884" w:rsidRPr="00622884" w:rsidRDefault="00622884" w:rsidP="00622884">
            <w:pPr>
              <w:spacing w:after="0" w:line="240" w:lineRule="auto"/>
              <w:contextualSpacing/>
              <w:jc w:val="center"/>
              <w:rPr>
                <w:rFonts w:ascii="Garamond" w:eastAsia="Times New Roman" w:hAnsi="Garamond" w:cs="Calibri Light"/>
                <w:sz w:val="10"/>
                <w:szCs w:val="10"/>
                <w:lang w:eastAsia="en-US"/>
              </w:rPr>
            </w:pPr>
            <w:r w:rsidRPr="00622884">
              <w:rPr>
                <w:rFonts w:ascii="Garamond" w:eastAsia="Calibri" w:hAnsi="Garamond" w:cs="Times New Roman"/>
                <w:sz w:val="10"/>
                <w:szCs w:val="10"/>
                <w:lang w:eastAsia="en-US" w:bidi="sq-AL"/>
              </w:rPr>
              <w:t>10</w:t>
            </w:r>
          </w:p>
        </w:tc>
        <w:tc>
          <w:tcPr>
            <w:tcW w:w="788" w:type="dxa"/>
            <w:vAlign w:val="center"/>
          </w:tcPr>
          <w:p w14:paraId="6BDF062E" w14:textId="77777777" w:rsidR="00622884" w:rsidRPr="00622884" w:rsidRDefault="00622884" w:rsidP="00622884">
            <w:pPr>
              <w:spacing w:after="0" w:line="240" w:lineRule="auto"/>
              <w:contextualSpacing/>
              <w:jc w:val="center"/>
              <w:rPr>
                <w:rFonts w:ascii="Garamond" w:eastAsia="Times New Roman" w:hAnsi="Garamond" w:cs="Calibri Light"/>
                <w:sz w:val="10"/>
                <w:szCs w:val="10"/>
                <w:lang w:eastAsia="en-US"/>
              </w:rPr>
            </w:pPr>
            <w:r w:rsidRPr="00622884">
              <w:rPr>
                <w:rFonts w:ascii="Garamond" w:eastAsia="Calibri" w:hAnsi="Garamond" w:cs="Times New Roman"/>
                <w:sz w:val="10"/>
                <w:szCs w:val="10"/>
                <w:lang w:eastAsia="en-US" w:bidi="sq-AL"/>
              </w:rPr>
              <w:t>7</w:t>
            </w:r>
          </w:p>
        </w:tc>
        <w:tc>
          <w:tcPr>
            <w:tcW w:w="787" w:type="dxa"/>
            <w:vAlign w:val="center"/>
          </w:tcPr>
          <w:p w14:paraId="65FD06C6" w14:textId="77777777" w:rsidR="00622884" w:rsidRPr="00622884" w:rsidRDefault="00622884" w:rsidP="00622884">
            <w:pPr>
              <w:spacing w:after="0" w:line="240" w:lineRule="auto"/>
              <w:contextualSpacing/>
              <w:jc w:val="center"/>
              <w:rPr>
                <w:rFonts w:ascii="Garamond" w:eastAsia="Times New Roman" w:hAnsi="Garamond" w:cs="Calibri Light"/>
                <w:sz w:val="10"/>
                <w:szCs w:val="10"/>
                <w:lang w:eastAsia="en-US"/>
              </w:rPr>
            </w:pPr>
            <w:r w:rsidRPr="00622884">
              <w:rPr>
                <w:rFonts w:ascii="Garamond" w:eastAsia="Calibri" w:hAnsi="Garamond" w:cs="Times New Roman"/>
                <w:sz w:val="10"/>
                <w:szCs w:val="10"/>
                <w:lang w:eastAsia="en-US" w:bidi="sq-AL"/>
              </w:rPr>
              <w:t>16</w:t>
            </w:r>
          </w:p>
        </w:tc>
        <w:tc>
          <w:tcPr>
            <w:tcW w:w="788" w:type="dxa"/>
            <w:vAlign w:val="center"/>
          </w:tcPr>
          <w:p w14:paraId="36F9D8A2" w14:textId="77777777" w:rsidR="00622884" w:rsidRPr="00622884" w:rsidRDefault="00622884" w:rsidP="00622884">
            <w:pPr>
              <w:spacing w:after="0" w:line="240" w:lineRule="auto"/>
              <w:contextualSpacing/>
              <w:jc w:val="center"/>
              <w:rPr>
                <w:rFonts w:ascii="Garamond" w:eastAsia="Times New Roman" w:hAnsi="Garamond" w:cs="Calibri Light"/>
                <w:sz w:val="10"/>
                <w:szCs w:val="10"/>
                <w:lang w:eastAsia="en-US"/>
              </w:rPr>
            </w:pPr>
            <w:r w:rsidRPr="00622884">
              <w:rPr>
                <w:rFonts w:ascii="Garamond" w:eastAsia="Calibri" w:hAnsi="Garamond" w:cs="Times New Roman"/>
                <w:sz w:val="10"/>
                <w:szCs w:val="10"/>
                <w:lang w:eastAsia="en-US" w:bidi="sq-AL"/>
              </w:rPr>
              <w:t>16</w:t>
            </w:r>
          </w:p>
        </w:tc>
        <w:tc>
          <w:tcPr>
            <w:tcW w:w="787" w:type="dxa"/>
            <w:vAlign w:val="center"/>
          </w:tcPr>
          <w:p w14:paraId="29F89E9D" w14:textId="77777777" w:rsidR="00622884" w:rsidRPr="00622884" w:rsidRDefault="00622884" w:rsidP="00622884">
            <w:pPr>
              <w:spacing w:after="0" w:line="240" w:lineRule="auto"/>
              <w:contextualSpacing/>
              <w:jc w:val="center"/>
              <w:rPr>
                <w:rFonts w:ascii="Garamond" w:eastAsia="Times New Roman" w:hAnsi="Garamond" w:cs="Calibri Light"/>
                <w:sz w:val="10"/>
                <w:szCs w:val="10"/>
                <w:lang w:eastAsia="en-US"/>
              </w:rPr>
            </w:pPr>
            <w:r w:rsidRPr="00622884">
              <w:rPr>
                <w:rFonts w:ascii="Garamond" w:eastAsia="Calibri" w:hAnsi="Garamond" w:cs="Times New Roman"/>
                <w:sz w:val="10"/>
                <w:szCs w:val="10"/>
                <w:lang w:eastAsia="en-US" w:bidi="sq-AL"/>
              </w:rPr>
              <w:t>16</w:t>
            </w:r>
          </w:p>
        </w:tc>
        <w:tc>
          <w:tcPr>
            <w:tcW w:w="788" w:type="dxa"/>
            <w:vAlign w:val="center"/>
          </w:tcPr>
          <w:p w14:paraId="41E9A5C2" w14:textId="77777777" w:rsidR="00622884" w:rsidRPr="00622884" w:rsidRDefault="00622884" w:rsidP="00622884">
            <w:pPr>
              <w:spacing w:after="0" w:line="240" w:lineRule="auto"/>
              <w:contextualSpacing/>
              <w:jc w:val="center"/>
              <w:rPr>
                <w:rFonts w:ascii="Garamond" w:eastAsia="Times New Roman" w:hAnsi="Garamond" w:cs="Calibri Light"/>
                <w:sz w:val="10"/>
                <w:szCs w:val="10"/>
                <w:lang w:eastAsia="en-US"/>
              </w:rPr>
            </w:pPr>
            <w:r w:rsidRPr="00622884">
              <w:rPr>
                <w:rFonts w:ascii="Garamond" w:eastAsia="Calibri" w:hAnsi="Garamond" w:cs="Times New Roman"/>
                <w:sz w:val="10"/>
                <w:szCs w:val="10"/>
                <w:lang w:eastAsia="en-US" w:bidi="sq-AL"/>
              </w:rPr>
              <w:t>113</w:t>
            </w:r>
          </w:p>
        </w:tc>
      </w:tr>
      <w:tr w:rsidR="00622884" w:rsidRPr="00622884" w14:paraId="2788B014" w14:textId="77777777" w:rsidTr="00622884">
        <w:trPr>
          <w:trHeight w:val="269"/>
        </w:trPr>
        <w:tc>
          <w:tcPr>
            <w:tcW w:w="3120" w:type="dxa"/>
            <w:shd w:val="clear" w:color="auto" w:fill="DFEAF5"/>
            <w:vAlign w:val="center"/>
          </w:tcPr>
          <w:p w14:paraId="09C23F14" w14:textId="77777777" w:rsidR="00622884" w:rsidRPr="00622884" w:rsidRDefault="00622884" w:rsidP="00622884">
            <w:pPr>
              <w:spacing w:after="0" w:line="240" w:lineRule="auto"/>
              <w:contextualSpacing/>
              <w:rPr>
                <w:rFonts w:ascii="Garamond" w:eastAsia="Times New Roman" w:hAnsi="Garamond" w:cs="Calibri Light"/>
                <w:b/>
                <w:bCs/>
                <w:sz w:val="10"/>
                <w:szCs w:val="10"/>
                <w:lang w:eastAsia="en-US"/>
              </w:rPr>
            </w:pPr>
            <w:r w:rsidRPr="00622884">
              <w:rPr>
                <w:rFonts w:ascii="Garamond" w:eastAsia="Calibri" w:hAnsi="Garamond" w:cs="Times New Roman"/>
                <w:b/>
                <w:sz w:val="10"/>
                <w:szCs w:val="10"/>
                <w:lang w:eastAsia="en-US" w:bidi="sq-AL"/>
              </w:rPr>
              <w:t>Forcimi i menaxhimit të riskut nga fatkeqësitë</w:t>
            </w:r>
          </w:p>
        </w:tc>
        <w:tc>
          <w:tcPr>
            <w:tcW w:w="787" w:type="dxa"/>
            <w:vAlign w:val="center"/>
          </w:tcPr>
          <w:p w14:paraId="7BFAA459" w14:textId="77777777" w:rsidR="00622884" w:rsidRPr="00622884" w:rsidRDefault="00622884" w:rsidP="00622884">
            <w:pPr>
              <w:spacing w:after="0" w:line="240" w:lineRule="auto"/>
              <w:contextualSpacing/>
              <w:jc w:val="center"/>
              <w:rPr>
                <w:rFonts w:ascii="Garamond" w:eastAsia="Times New Roman" w:hAnsi="Garamond" w:cs="Calibri Light"/>
                <w:sz w:val="10"/>
                <w:szCs w:val="10"/>
                <w:lang w:eastAsia="en-US"/>
              </w:rPr>
            </w:pPr>
            <w:r w:rsidRPr="00622884">
              <w:rPr>
                <w:rFonts w:ascii="Garamond" w:eastAsia="Calibri" w:hAnsi="Garamond" w:cs="Times New Roman"/>
                <w:sz w:val="10"/>
                <w:szCs w:val="10"/>
                <w:lang w:eastAsia="en-US" w:bidi="sq-AL"/>
              </w:rPr>
              <w:t>17</w:t>
            </w:r>
          </w:p>
        </w:tc>
        <w:tc>
          <w:tcPr>
            <w:tcW w:w="787" w:type="dxa"/>
            <w:vAlign w:val="center"/>
          </w:tcPr>
          <w:p w14:paraId="597FF27A" w14:textId="77777777" w:rsidR="00622884" w:rsidRPr="00622884" w:rsidRDefault="00622884" w:rsidP="00622884">
            <w:pPr>
              <w:spacing w:after="0" w:line="240" w:lineRule="auto"/>
              <w:contextualSpacing/>
              <w:jc w:val="center"/>
              <w:rPr>
                <w:rFonts w:ascii="Garamond" w:eastAsia="Times New Roman" w:hAnsi="Garamond" w:cs="Calibri Light"/>
                <w:sz w:val="10"/>
                <w:szCs w:val="10"/>
                <w:lang w:eastAsia="en-US"/>
              </w:rPr>
            </w:pPr>
            <w:r w:rsidRPr="00622884">
              <w:rPr>
                <w:rFonts w:ascii="Garamond" w:eastAsia="Calibri" w:hAnsi="Garamond" w:cs="Times New Roman"/>
                <w:sz w:val="10"/>
                <w:szCs w:val="10"/>
                <w:lang w:eastAsia="en-US" w:bidi="sq-AL"/>
              </w:rPr>
              <w:t>11</w:t>
            </w:r>
          </w:p>
        </w:tc>
        <w:tc>
          <w:tcPr>
            <w:tcW w:w="788" w:type="dxa"/>
            <w:vAlign w:val="center"/>
          </w:tcPr>
          <w:p w14:paraId="1C860DCF" w14:textId="77777777" w:rsidR="00622884" w:rsidRPr="00622884" w:rsidRDefault="00622884" w:rsidP="00622884">
            <w:pPr>
              <w:spacing w:after="0" w:line="240" w:lineRule="auto"/>
              <w:contextualSpacing/>
              <w:jc w:val="center"/>
              <w:rPr>
                <w:rFonts w:ascii="Garamond" w:eastAsia="Times New Roman" w:hAnsi="Garamond" w:cs="Calibri Light"/>
                <w:sz w:val="10"/>
                <w:szCs w:val="10"/>
                <w:lang w:eastAsia="en-US"/>
              </w:rPr>
            </w:pPr>
            <w:r w:rsidRPr="00622884">
              <w:rPr>
                <w:rFonts w:ascii="Garamond" w:eastAsia="Calibri" w:hAnsi="Garamond" w:cs="Times New Roman"/>
                <w:sz w:val="10"/>
                <w:szCs w:val="10"/>
                <w:lang w:eastAsia="en-US" w:bidi="sq-AL"/>
              </w:rPr>
              <w:t>10</w:t>
            </w:r>
          </w:p>
        </w:tc>
        <w:tc>
          <w:tcPr>
            <w:tcW w:w="787" w:type="dxa"/>
            <w:vAlign w:val="center"/>
          </w:tcPr>
          <w:p w14:paraId="5DCC8FB8" w14:textId="77777777" w:rsidR="00622884" w:rsidRPr="00622884" w:rsidRDefault="00622884" w:rsidP="00622884">
            <w:pPr>
              <w:spacing w:after="0" w:line="240" w:lineRule="auto"/>
              <w:contextualSpacing/>
              <w:jc w:val="center"/>
              <w:rPr>
                <w:rFonts w:ascii="Garamond" w:eastAsia="Times New Roman" w:hAnsi="Garamond" w:cs="Calibri Light"/>
                <w:sz w:val="10"/>
                <w:szCs w:val="10"/>
                <w:lang w:eastAsia="en-US"/>
              </w:rPr>
            </w:pPr>
            <w:r w:rsidRPr="00622884">
              <w:rPr>
                <w:rFonts w:ascii="Garamond" w:eastAsia="Calibri" w:hAnsi="Garamond" w:cs="Times New Roman"/>
                <w:sz w:val="10"/>
                <w:szCs w:val="10"/>
                <w:lang w:eastAsia="en-US" w:bidi="sq-AL"/>
              </w:rPr>
              <w:t>11</w:t>
            </w:r>
          </w:p>
        </w:tc>
        <w:tc>
          <w:tcPr>
            <w:tcW w:w="788" w:type="dxa"/>
            <w:vAlign w:val="center"/>
          </w:tcPr>
          <w:p w14:paraId="0BB277AA" w14:textId="77777777" w:rsidR="00622884" w:rsidRPr="00622884" w:rsidRDefault="00622884" w:rsidP="00622884">
            <w:pPr>
              <w:spacing w:after="0" w:line="240" w:lineRule="auto"/>
              <w:contextualSpacing/>
              <w:jc w:val="center"/>
              <w:rPr>
                <w:rFonts w:ascii="Garamond" w:eastAsia="Times New Roman" w:hAnsi="Garamond" w:cs="Calibri Light"/>
                <w:sz w:val="10"/>
                <w:szCs w:val="10"/>
                <w:lang w:eastAsia="en-US"/>
              </w:rPr>
            </w:pPr>
            <w:r w:rsidRPr="00622884">
              <w:rPr>
                <w:rFonts w:ascii="Garamond" w:eastAsia="Calibri" w:hAnsi="Garamond" w:cs="Times New Roman"/>
                <w:sz w:val="10"/>
                <w:szCs w:val="10"/>
                <w:lang w:eastAsia="en-US" w:bidi="sq-AL"/>
              </w:rPr>
              <w:t>10</w:t>
            </w:r>
          </w:p>
        </w:tc>
        <w:tc>
          <w:tcPr>
            <w:tcW w:w="787" w:type="dxa"/>
            <w:vAlign w:val="center"/>
          </w:tcPr>
          <w:p w14:paraId="58A564DC" w14:textId="77777777" w:rsidR="00622884" w:rsidRPr="00622884" w:rsidRDefault="00622884" w:rsidP="00622884">
            <w:pPr>
              <w:spacing w:after="0" w:line="240" w:lineRule="auto"/>
              <w:contextualSpacing/>
              <w:jc w:val="center"/>
              <w:rPr>
                <w:rFonts w:ascii="Garamond" w:eastAsia="Times New Roman" w:hAnsi="Garamond" w:cs="Calibri Light"/>
                <w:sz w:val="10"/>
                <w:szCs w:val="10"/>
                <w:lang w:eastAsia="en-US"/>
              </w:rPr>
            </w:pPr>
            <w:r w:rsidRPr="00622884">
              <w:rPr>
                <w:rFonts w:ascii="Garamond" w:eastAsia="Calibri" w:hAnsi="Garamond" w:cs="Times New Roman"/>
                <w:sz w:val="10"/>
                <w:szCs w:val="10"/>
                <w:lang w:eastAsia="en-US" w:bidi="sq-AL"/>
              </w:rPr>
              <w:t>3</w:t>
            </w:r>
          </w:p>
        </w:tc>
        <w:tc>
          <w:tcPr>
            <w:tcW w:w="788" w:type="dxa"/>
            <w:vAlign w:val="center"/>
          </w:tcPr>
          <w:p w14:paraId="5C1B3D49" w14:textId="77777777" w:rsidR="00622884" w:rsidRPr="00622884" w:rsidRDefault="00622884" w:rsidP="00622884">
            <w:pPr>
              <w:spacing w:after="0" w:line="240" w:lineRule="auto"/>
              <w:contextualSpacing/>
              <w:jc w:val="center"/>
              <w:rPr>
                <w:rFonts w:ascii="Garamond" w:eastAsia="Times New Roman" w:hAnsi="Garamond" w:cs="Calibri Light"/>
                <w:sz w:val="10"/>
                <w:szCs w:val="10"/>
                <w:lang w:eastAsia="en-US"/>
              </w:rPr>
            </w:pPr>
            <w:r w:rsidRPr="00622884">
              <w:rPr>
                <w:rFonts w:ascii="Garamond" w:eastAsia="Calibri" w:hAnsi="Garamond" w:cs="Times New Roman"/>
                <w:sz w:val="10"/>
                <w:szCs w:val="10"/>
                <w:lang w:eastAsia="en-US" w:bidi="sq-AL"/>
              </w:rPr>
              <w:t>12</w:t>
            </w:r>
          </w:p>
        </w:tc>
        <w:tc>
          <w:tcPr>
            <w:tcW w:w="787" w:type="dxa"/>
            <w:vAlign w:val="center"/>
          </w:tcPr>
          <w:p w14:paraId="1C0B12E8" w14:textId="77777777" w:rsidR="00622884" w:rsidRPr="00622884" w:rsidRDefault="00622884" w:rsidP="00622884">
            <w:pPr>
              <w:spacing w:after="0" w:line="240" w:lineRule="auto"/>
              <w:contextualSpacing/>
              <w:jc w:val="center"/>
              <w:rPr>
                <w:rFonts w:ascii="Garamond" w:eastAsia="Times New Roman" w:hAnsi="Garamond" w:cs="Calibri Light"/>
                <w:sz w:val="10"/>
                <w:szCs w:val="10"/>
                <w:lang w:eastAsia="en-US"/>
              </w:rPr>
            </w:pPr>
            <w:r w:rsidRPr="00622884">
              <w:rPr>
                <w:rFonts w:ascii="Garamond" w:eastAsia="Calibri" w:hAnsi="Garamond" w:cs="Times New Roman"/>
                <w:sz w:val="10"/>
                <w:szCs w:val="10"/>
                <w:lang w:eastAsia="en-US" w:bidi="sq-AL"/>
              </w:rPr>
              <w:t>11</w:t>
            </w:r>
          </w:p>
        </w:tc>
        <w:tc>
          <w:tcPr>
            <w:tcW w:w="788" w:type="dxa"/>
            <w:vAlign w:val="center"/>
          </w:tcPr>
          <w:p w14:paraId="6FE10BA5" w14:textId="77777777" w:rsidR="00622884" w:rsidRPr="00622884" w:rsidRDefault="00622884" w:rsidP="00622884">
            <w:pPr>
              <w:spacing w:after="0" w:line="240" w:lineRule="auto"/>
              <w:contextualSpacing/>
              <w:jc w:val="center"/>
              <w:rPr>
                <w:rFonts w:ascii="Garamond" w:eastAsia="Times New Roman" w:hAnsi="Garamond" w:cs="Calibri Light"/>
                <w:sz w:val="10"/>
                <w:szCs w:val="10"/>
                <w:lang w:eastAsia="en-US"/>
              </w:rPr>
            </w:pPr>
            <w:r w:rsidRPr="00622884">
              <w:rPr>
                <w:rFonts w:ascii="Garamond" w:eastAsia="Calibri" w:hAnsi="Garamond" w:cs="Times New Roman"/>
                <w:sz w:val="10"/>
                <w:szCs w:val="10"/>
                <w:lang w:eastAsia="en-US" w:bidi="sq-AL"/>
              </w:rPr>
              <w:t>85</w:t>
            </w:r>
          </w:p>
        </w:tc>
      </w:tr>
      <w:tr w:rsidR="00622884" w:rsidRPr="00622884" w14:paraId="02D72D11" w14:textId="77777777" w:rsidTr="00622884">
        <w:trPr>
          <w:trHeight w:val="257"/>
        </w:trPr>
        <w:tc>
          <w:tcPr>
            <w:tcW w:w="3120" w:type="dxa"/>
            <w:shd w:val="clear" w:color="auto" w:fill="DFEAF5"/>
            <w:vAlign w:val="center"/>
          </w:tcPr>
          <w:p w14:paraId="41D7C1E9" w14:textId="77777777" w:rsidR="00622884" w:rsidRPr="00622884" w:rsidRDefault="00622884" w:rsidP="00622884">
            <w:pPr>
              <w:spacing w:after="0" w:line="240" w:lineRule="auto"/>
              <w:contextualSpacing/>
              <w:rPr>
                <w:rFonts w:ascii="Garamond" w:eastAsia="Times New Roman" w:hAnsi="Garamond" w:cs="Calibri Light"/>
                <w:b/>
                <w:bCs/>
                <w:sz w:val="10"/>
                <w:szCs w:val="10"/>
                <w:lang w:eastAsia="en-US"/>
              </w:rPr>
            </w:pPr>
            <w:r w:rsidRPr="00622884">
              <w:rPr>
                <w:rFonts w:ascii="Garamond" w:eastAsia="Calibri" w:hAnsi="Garamond" w:cs="Times New Roman"/>
                <w:b/>
                <w:sz w:val="10"/>
                <w:szCs w:val="10"/>
                <w:lang w:eastAsia="en-US" w:bidi="sq-AL"/>
              </w:rPr>
              <w:t>Qeverisja, monitorimi dhe vlerësimi</w:t>
            </w:r>
          </w:p>
        </w:tc>
        <w:tc>
          <w:tcPr>
            <w:tcW w:w="787" w:type="dxa"/>
            <w:vAlign w:val="center"/>
          </w:tcPr>
          <w:p w14:paraId="0D36EEE6" w14:textId="77777777" w:rsidR="00622884" w:rsidRPr="00622884" w:rsidRDefault="00622884" w:rsidP="00622884">
            <w:pPr>
              <w:spacing w:after="0" w:line="240" w:lineRule="auto"/>
              <w:contextualSpacing/>
              <w:jc w:val="center"/>
              <w:rPr>
                <w:rFonts w:ascii="Garamond" w:eastAsia="Times New Roman" w:hAnsi="Garamond" w:cs="Calibri Light"/>
                <w:sz w:val="10"/>
                <w:szCs w:val="10"/>
                <w:lang w:eastAsia="en-US"/>
              </w:rPr>
            </w:pPr>
            <w:r w:rsidRPr="00622884">
              <w:rPr>
                <w:rFonts w:ascii="Garamond" w:eastAsia="Calibri" w:hAnsi="Garamond" w:cs="Times New Roman"/>
                <w:sz w:val="10"/>
                <w:szCs w:val="10"/>
                <w:lang w:eastAsia="en-US" w:bidi="sq-AL"/>
              </w:rPr>
              <w:t>14</w:t>
            </w:r>
          </w:p>
        </w:tc>
        <w:tc>
          <w:tcPr>
            <w:tcW w:w="787" w:type="dxa"/>
            <w:vAlign w:val="center"/>
          </w:tcPr>
          <w:p w14:paraId="0F77AC93" w14:textId="77777777" w:rsidR="00622884" w:rsidRPr="00622884" w:rsidRDefault="00622884" w:rsidP="00622884">
            <w:pPr>
              <w:spacing w:after="0" w:line="240" w:lineRule="auto"/>
              <w:contextualSpacing/>
              <w:jc w:val="center"/>
              <w:rPr>
                <w:rFonts w:ascii="Garamond" w:eastAsia="Times New Roman" w:hAnsi="Garamond" w:cs="Calibri Light"/>
                <w:sz w:val="10"/>
                <w:szCs w:val="10"/>
                <w:lang w:eastAsia="en-US"/>
              </w:rPr>
            </w:pPr>
            <w:r w:rsidRPr="00622884">
              <w:rPr>
                <w:rFonts w:ascii="Garamond" w:eastAsia="Calibri" w:hAnsi="Garamond" w:cs="Times New Roman"/>
                <w:sz w:val="10"/>
                <w:szCs w:val="10"/>
                <w:lang w:eastAsia="en-US" w:bidi="sq-AL"/>
              </w:rPr>
              <w:t>15</w:t>
            </w:r>
          </w:p>
        </w:tc>
        <w:tc>
          <w:tcPr>
            <w:tcW w:w="788" w:type="dxa"/>
            <w:vAlign w:val="center"/>
          </w:tcPr>
          <w:p w14:paraId="7D242DA9" w14:textId="77777777" w:rsidR="00622884" w:rsidRPr="00622884" w:rsidRDefault="00622884" w:rsidP="00622884">
            <w:pPr>
              <w:spacing w:after="0" w:line="240" w:lineRule="auto"/>
              <w:contextualSpacing/>
              <w:jc w:val="center"/>
              <w:rPr>
                <w:rFonts w:ascii="Garamond" w:eastAsia="Times New Roman" w:hAnsi="Garamond" w:cs="Calibri Light"/>
                <w:sz w:val="10"/>
                <w:szCs w:val="10"/>
                <w:lang w:eastAsia="en-US"/>
              </w:rPr>
            </w:pPr>
            <w:r w:rsidRPr="00622884">
              <w:rPr>
                <w:rFonts w:ascii="Garamond" w:eastAsia="Calibri" w:hAnsi="Garamond" w:cs="Times New Roman"/>
                <w:sz w:val="10"/>
                <w:szCs w:val="10"/>
                <w:lang w:eastAsia="en-US" w:bidi="sq-AL"/>
              </w:rPr>
              <w:t>4</w:t>
            </w:r>
          </w:p>
        </w:tc>
        <w:tc>
          <w:tcPr>
            <w:tcW w:w="787" w:type="dxa"/>
            <w:vAlign w:val="center"/>
          </w:tcPr>
          <w:p w14:paraId="6FF89751" w14:textId="77777777" w:rsidR="00622884" w:rsidRPr="00622884" w:rsidRDefault="00622884" w:rsidP="00622884">
            <w:pPr>
              <w:spacing w:after="0" w:line="240" w:lineRule="auto"/>
              <w:contextualSpacing/>
              <w:jc w:val="center"/>
              <w:rPr>
                <w:rFonts w:ascii="Garamond" w:eastAsia="Times New Roman" w:hAnsi="Garamond" w:cs="Calibri Light"/>
                <w:sz w:val="10"/>
                <w:szCs w:val="10"/>
                <w:lang w:eastAsia="en-US"/>
              </w:rPr>
            </w:pPr>
            <w:r w:rsidRPr="00622884">
              <w:rPr>
                <w:rFonts w:ascii="Garamond" w:eastAsia="Calibri" w:hAnsi="Garamond" w:cs="Times New Roman"/>
                <w:sz w:val="10"/>
                <w:szCs w:val="10"/>
                <w:lang w:eastAsia="en-US" w:bidi="sq-AL"/>
              </w:rPr>
              <w:t>13</w:t>
            </w:r>
          </w:p>
        </w:tc>
        <w:tc>
          <w:tcPr>
            <w:tcW w:w="788" w:type="dxa"/>
            <w:vAlign w:val="center"/>
          </w:tcPr>
          <w:p w14:paraId="2ED1E00F" w14:textId="77777777" w:rsidR="00622884" w:rsidRPr="00622884" w:rsidRDefault="00622884" w:rsidP="00622884">
            <w:pPr>
              <w:spacing w:after="0" w:line="240" w:lineRule="auto"/>
              <w:contextualSpacing/>
              <w:jc w:val="center"/>
              <w:rPr>
                <w:rFonts w:ascii="Garamond" w:eastAsia="Times New Roman" w:hAnsi="Garamond" w:cs="Calibri Light"/>
                <w:sz w:val="10"/>
                <w:szCs w:val="10"/>
                <w:lang w:eastAsia="en-US"/>
              </w:rPr>
            </w:pPr>
            <w:r w:rsidRPr="00622884">
              <w:rPr>
                <w:rFonts w:ascii="Garamond" w:eastAsia="Calibri" w:hAnsi="Garamond" w:cs="Times New Roman"/>
                <w:sz w:val="10"/>
                <w:szCs w:val="10"/>
                <w:lang w:eastAsia="en-US" w:bidi="sq-AL"/>
              </w:rPr>
              <w:t>13</w:t>
            </w:r>
          </w:p>
        </w:tc>
        <w:tc>
          <w:tcPr>
            <w:tcW w:w="787" w:type="dxa"/>
            <w:vAlign w:val="center"/>
          </w:tcPr>
          <w:p w14:paraId="448D6D00" w14:textId="77777777" w:rsidR="00622884" w:rsidRPr="00622884" w:rsidRDefault="00622884" w:rsidP="00622884">
            <w:pPr>
              <w:spacing w:after="0" w:line="240" w:lineRule="auto"/>
              <w:contextualSpacing/>
              <w:jc w:val="center"/>
              <w:rPr>
                <w:rFonts w:ascii="Garamond" w:eastAsia="Times New Roman" w:hAnsi="Garamond" w:cs="Calibri Light"/>
                <w:sz w:val="10"/>
                <w:szCs w:val="10"/>
                <w:lang w:eastAsia="en-US"/>
              </w:rPr>
            </w:pPr>
            <w:r w:rsidRPr="00622884">
              <w:rPr>
                <w:rFonts w:ascii="Garamond" w:eastAsia="Calibri" w:hAnsi="Garamond" w:cs="Times New Roman"/>
                <w:sz w:val="10"/>
                <w:szCs w:val="10"/>
                <w:lang w:eastAsia="en-US" w:bidi="sq-AL"/>
              </w:rPr>
              <w:t>13</w:t>
            </w:r>
          </w:p>
        </w:tc>
        <w:tc>
          <w:tcPr>
            <w:tcW w:w="788" w:type="dxa"/>
            <w:vAlign w:val="center"/>
          </w:tcPr>
          <w:p w14:paraId="009B72C5" w14:textId="77777777" w:rsidR="00622884" w:rsidRPr="00622884" w:rsidRDefault="00622884" w:rsidP="00622884">
            <w:pPr>
              <w:spacing w:after="0" w:line="240" w:lineRule="auto"/>
              <w:contextualSpacing/>
              <w:jc w:val="center"/>
              <w:rPr>
                <w:rFonts w:ascii="Garamond" w:eastAsia="Times New Roman" w:hAnsi="Garamond" w:cs="Calibri Light"/>
                <w:sz w:val="10"/>
                <w:szCs w:val="10"/>
                <w:lang w:eastAsia="en-US"/>
              </w:rPr>
            </w:pPr>
            <w:r w:rsidRPr="00622884">
              <w:rPr>
                <w:rFonts w:ascii="Garamond" w:eastAsia="Calibri" w:hAnsi="Garamond" w:cs="Times New Roman"/>
                <w:sz w:val="10"/>
                <w:szCs w:val="10"/>
                <w:lang w:eastAsia="en-US" w:bidi="sq-AL"/>
              </w:rPr>
              <w:t>13</w:t>
            </w:r>
          </w:p>
        </w:tc>
        <w:tc>
          <w:tcPr>
            <w:tcW w:w="787" w:type="dxa"/>
            <w:vAlign w:val="center"/>
          </w:tcPr>
          <w:p w14:paraId="668E93E8" w14:textId="77777777" w:rsidR="00622884" w:rsidRPr="00622884" w:rsidRDefault="00622884" w:rsidP="00622884">
            <w:pPr>
              <w:spacing w:after="0" w:line="240" w:lineRule="auto"/>
              <w:contextualSpacing/>
              <w:jc w:val="center"/>
              <w:rPr>
                <w:rFonts w:ascii="Garamond" w:eastAsia="Times New Roman" w:hAnsi="Garamond" w:cs="Calibri Light"/>
                <w:sz w:val="10"/>
                <w:szCs w:val="10"/>
                <w:lang w:eastAsia="en-US"/>
              </w:rPr>
            </w:pPr>
            <w:r w:rsidRPr="00622884">
              <w:rPr>
                <w:rFonts w:ascii="Garamond" w:eastAsia="Calibri" w:hAnsi="Garamond" w:cs="Times New Roman"/>
                <w:sz w:val="10"/>
                <w:szCs w:val="10"/>
                <w:lang w:eastAsia="en-US" w:bidi="sq-AL"/>
              </w:rPr>
              <w:t>12</w:t>
            </w:r>
          </w:p>
        </w:tc>
        <w:tc>
          <w:tcPr>
            <w:tcW w:w="788" w:type="dxa"/>
            <w:vAlign w:val="center"/>
          </w:tcPr>
          <w:p w14:paraId="06CD08CC" w14:textId="77777777" w:rsidR="00622884" w:rsidRPr="00622884" w:rsidRDefault="00622884" w:rsidP="00622884">
            <w:pPr>
              <w:spacing w:after="0" w:line="240" w:lineRule="auto"/>
              <w:contextualSpacing/>
              <w:jc w:val="center"/>
              <w:rPr>
                <w:rFonts w:ascii="Garamond" w:eastAsia="Times New Roman" w:hAnsi="Garamond" w:cs="Calibri Light"/>
                <w:sz w:val="10"/>
                <w:szCs w:val="10"/>
                <w:lang w:eastAsia="en-US"/>
              </w:rPr>
            </w:pPr>
            <w:r w:rsidRPr="00622884">
              <w:rPr>
                <w:rFonts w:ascii="Garamond" w:eastAsia="Calibri" w:hAnsi="Garamond" w:cs="Times New Roman"/>
                <w:sz w:val="10"/>
                <w:szCs w:val="10"/>
                <w:lang w:eastAsia="en-US" w:bidi="sq-AL"/>
              </w:rPr>
              <w:t>97</w:t>
            </w:r>
          </w:p>
        </w:tc>
      </w:tr>
      <w:tr w:rsidR="00622884" w:rsidRPr="00622884" w14:paraId="11C78690" w14:textId="77777777" w:rsidTr="00622884">
        <w:trPr>
          <w:trHeight w:val="257"/>
        </w:trPr>
        <w:tc>
          <w:tcPr>
            <w:tcW w:w="3120" w:type="dxa"/>
            <w:shd w:val="clear" w:color="auto" w:fill="DFEAF5"/>
            <w:vAlign w:val="center"/>
          </w:tcPr>
          <w:p w14:paraId="13E88613" w14:textId="77777777" w:rsidR="00622884" w:rsidRPr="00622884" w:rsidRDefault="00622884" w:rsidP="00622884">
            <w:pPr>
              <w:spacing w:after="0" w:line="240" w:lineRule="auto"/>
              <w:contextualSpacing/>
              <w:rPr>
                <w:rFonts w:ascii="Garamond" w:eastAsia="Times New Roman" w:hAnsi="Garamond" w:cs="Calibri Light"/>
                <w:b/>
                <w:bCs/>
                <w:sz w:val="10"/>
                <w:szCs w:val="10"/>
                <w:lang w:eastAsia="en-US"/>
              </w:rPr>
            </w:pPr>
            <w:r w:rsidRPr="00622884">
              <w:rPr>
                <w:rFonts w:ascii="Garamond" w:eastAsia="Calibri" w:hAnsi="Garamond" w:cs="Times New Roman"/>
                <w:b/>
                <w:sz w:val="10"/>
                <w:szCs w:val="10"/>
                <w:lang w:eastAsia="en-US" w:bidi="sq-AL"/>
              </w:rPr>
              <w:t>MASAT E PËRSHTATJES GJITHSEJ</w:t>
            </w:r>
          </w:p>
        </w:tc>
        <w:tc>
          <w:tcPr>
            <w:tcW w:w="787" w:type="dxa"/>
            <w:vAlign w:val="center"/>
          </w:tcPr>
          <w:p w14:paraId="5A6C306A" w14:textId="77777777" w:rsidR="00622884" w:rsidRPr="00622884" w:rsidRDefault="00622884" w:rsidP="00622884">
            <w:pPr>
              <w:spacing w:after="0" w:line="240" w:lineRule="auto"/>
              <w:contextualSpacing/>
              <w:jc w:val="center"/>
              <w:rPr>
                <w:rFonts w:ascii="Garamond" w:eastAsia="Times New Roman" w:hAnsi="Garamond" w:cs="Calibri Light"/>
                <w:sz w:val="10"/>
                <w:szCs w:val="10"/>
                <w:lang w:eastAsia="en-US"/>
              </w:rPr>
            </w:pPr>
            <w:r w:rsidRPr="00622884">
              <w:rPr>
                <w:rFonts w:ascii="Garamond" w:eastAsia="Calibri" w:hAnsi="Garamond" w:cs="Times New Roman"/>
                <w:sz w:val="10"/>
                <w:szCs w:val="10"/>
                <w:lang w:eastAsia="en-US" w:bidi="sq-AL"/>
              </w:rPr>
              <w:t>146</w:t>
            </w:r>
          </w:p>
        </w:tc>
        <w:tc>
          <w:tcPr>
            <w:tcW w:w="787" w:type="dxa"/>
            <w:vAlign w:val="center"/>
          </w:tcPr>
          <w:p w14:paraId="038A351E" w14:textId="77777777" w:rsidR="00622884" w:rsidRPr="00622884" w:rsidRDefault="00622884" w:rsidP="00622884">
            <w:pPr>
              <w:spacing w:after="0" w:line="240" w:lineRule="auto"/>
              <w:contextualSpacing/>
              <w:jc w:val="center"/>
              <w:rPr>
                <w:rFonts w:ascii="Garamond" w:eastAsia="Times New Roman" w:hAnsi="Garamond" w:cs="Calibri Light"/>
                <w:sz w:val="10"/>
                <w:szCs w:val="10"/>
                <w:lang w:eastAsia="en-US"/>
              </w:rPr>
            </w:pPr>
            <w:r w:rsidRPr="00622884">
              <w:rPr>
                <w:rFonts w:ascii="Garamond" w:eastAsia="Calibri" w:hAnsi="Garamond" w:cs="Times New Roman"/>
                <w:sz w:val="10"/>
                <w:szCs w:val="10"/>
                <w:lang w:eastAsia="en-US" w:bidi="sq-AL"/>
              </w:rPr>
              <w:t>93</w:t>
            </w:r>
          </w:p>
        </w:tc>
        <w:tc>
          <w:tcPr>
            <w:tcW w:w="788" w:type="dxa"/>
            <w:vAlign w:val="center"/>
          </w:tcPr>
          <w:p w14:paraId="682474DF" w14:textId="77777777" w:rsidR="00622884" w:rsidRPr="00622884" w:rsidRDefault="00622884" w:rsidP="00622884">
            <w:pPr>
              <w:spacing w:after="0" w:line="240" w:lineRule="auto"/>
              <w:contextualSpacing/>
              <w:jc w:val="center"/>
              <w:rPr>
                <w:rFonts w:ascii="Garamond" w:eastAsia="Times New Roman" w:hAnsi="Garamond" w:cs="Calibri Light"/>
                <w:sz w:val="10"/>
                <w:szCs w:val="10"/>
                <w:lang w:eastAsia="en-US"/>
              </w:rPr>
            </w:pPr>
            <w:r w:rsidRPr="00622884">
              <w:rPr>
                <w:rFonts w:ascii="Garamond" w:eastAsia="Calibri" w:hAnsi="Garamond" w:cs="Times New Roman"/>
                <w:sz w:val="10"/>
                <w:szCs w:val="10"/>
                <w:lang w:eastAsia="en-US" w:bidi="sq-AL"/>
              </w:rPr>
              <w:t>59</w:t>
            </w:r>
          </w:p>
        </w:tc>
        <w:tc>
          <w:tcPr>
            <w:tcW w:w="787" w:type="dxa"/>
            <w:vAlign w:val="center"/>
          </w:tcPr>
          <w:p w14:paraId="59A478F6" w14:textId="77777777" w:rsidR="00622884" w:rsidRPr="00622884" w:rsidRDefault="00622884" w:rsidP="00622884">
            <w:pPr>
              <w:spacing w:after="0" w:line="240" w:lineRule="auto"/>
              <w:contextualSpacing/>
              <w:jc w:val="center"/>
              <w:rPr>
                <w:rFonts w:ascii="Garamond" w:eastAsia="Times New Roman" w:hAnsi="Garamond" w:cs="Calibri Light"/>
                <w:sz w:val="10"/>
                <w:szCs w:val="10"/>
                <w:lang w:eastAsia="en-US"/>
              </w:rPr>
            </w:pPr>
            <w:r w:rsidRPr="00622884">
              <w:rPr>
                <w:rFonts w:ascii="Garamond" w:eastAsia="Calibri" w:hAnsi="Garamond" w:cs="Times New Roman"/>
                <w:sz w:val="10"/>
                <w:szCs w:val="10"/>
                <w:lang w:eastAsia="en-US" w:bidi="sq-AL"/>
              </w:rPr>
              <w:t>73</w:t>
            </w:r>
          </w:p>
        </w:tc>
        <w:tc>
          <w:tcPr>
            <w:tcW w:w="788" w:type="dxa"/>
            <w:vAlign w:val="center"/>
          </w:tcPr>
          <w:p w14:paraId="15C14911" w14:textId="77777777" w:rsidR="00622884" w:rsidRPr="00622884" w:rsidRDefault="00622884" w:rsidP="00622884">
            <w:pPr>
              <w:spacing w:after="0" w:line="240" w:lineRule="auto"/>
              <w:contextualSpacing/>
              <w:jc w:val="center"/>
              <w:rPr>
                <w:rFonts w:ascii="Garamond" w:eastAsia="Times New Roman" w:hAnsi="Garamond" w:cs="Calibri Light"/>
                <w:sz w:val="10"/>
                <w:szCs w:val="10"/>
                <w:lang w:eastAsia="en-US"/>
              </w:rPr>
            </w:pPr>
            <w:r w:rsidRPr="00622884">
              <w:rPr>
                <w:rFonts w:ascii="Garamond" w:eastAsia="Calibri" w:hAnsi="Garamond" w:cs="Times New Roman"/>
                <w:sz w:val="10"/>
                <w:szCs w:val="10"/>
                <w:lang w:eastAsia="en-US" w:bidi="sq-AL"/>
              </w:rPr>
              <w:t>63</w:t>
            </w:r>
          </w:p>
        </w:tc>
        <w:tc>
          <w:tcPr>
            <w:tcW w:w="787" w:type="dxa"/>
            <w:vAlign w:val="center"/>
          </w:tcPr>
          <w:p w14:paraId="331CC088" w14:textId="77777777" w:rsidR="00622884" w:rsidRPr="00622884" w:rsidRDefault="00622884" w:rsidP="00622884">
            <w:pPr>
              <w:spacing w:after="0" w:line="240" w:lineRule="auto"/>
              <w:contextualSpacing/>
              <w:jc w:val="center"/>
              <w:rPr>
                <w:rFonts w:ascii="Garamond" w:eastAsia="Times New Roman" w:hAnsi="Garamond" w:cs="Calibri Light"/>
                <w:sz w:val="10"/>
                <w:szCs w:val="10"/>
                <w:lang w:eastAsia="en-US"/>
              </w:rPr>
            </w:pPr>
            <w:r w:rsidRPr="00622884">
              <w:rPr>
                <w:rFonts w:ascii="Garamond" w:eastAsia="Calibri" w:hAnsi="Garamond" w:cs="Times New Roman"/>
                <w:sz w:val="10"/>
                <w:szCs w:val="10"/>
                <w:lang w:eastAsia="en-US" w:bidi="sq-AL"/>
              </w:rPr>
              <w:t>81</w:t>
            </w:r>
          </w:p>
        </w:tc>
        <w:tc>
          <w:tcPr>
            <w:tcW w:w="788" w:type="dxa"/>
            <w:vAlign w:val="center"/>
          </w:tcPr>
          <w:p w14:paraId="7112F373" w14:textId="77777777" w:rsidR="00622884" w:rsidRPr="00622884" w:rsidRDefault="00622884" w:rsidP="00622884">
            <w:pPr>
              <w:spacing w:after="0" w:line="240" w:lineRule="auto"/>
              <w:contextualSpacing/>
              <w:jc w:val="center"/>
              <w:rPr>
                <w:rFonts w:ascii="Garamond" w:eastAsia="Times New Roman" w:hAnsi="Garamond" w:cs="Calibri Light"/>
                <w:sz w:val="10"/>
                <w:szCs w:val="10"/>
                <w:lang w:eastAsia="en-US"/>
              </w:rPr>
            </w:pPr>
            <w:r w:rsidRPr="00622884">
              <w:rPr>
                <w:rFonts w:ascii="Garamond" w:eastAsia="Calibri" w:hAnsi="Garamond" w:cs="Times New Roman"/>
                <w:sz w:val="10"/>
                <w:szCs w:val="10"/>
                <w:lang w:eastAsia="en-US" w:bidi="sq-AL"/>
              </w:rPr>
              <w:t>83</w:t>
            </w:r>
          </w:p>
        </w:tc>
        <w:tc>
          <w:tcPr>
            <w:tcW w:w="787" w:type="dxa"/>
            <w:vAlign w:val="center"/>
          </w:tcPr>
          <w:p w14:paraId="7F127F01" w14:textId="77777777" w:rsidR="00622884" w:rsidRPr="00622884" w:rsidRDefault="00622884" w:rsidP="00622884">
            <w:pPr>
              <w:spacing w:after="0" w:line="240" w:lineRule="auto"/>
              <w:contextualSpacing/>
              <w:jc w:val="center"/>
              <w:rPr>
                <w:rFonts w:ascii="Garamond" w:eastAsia="Times New Roman" w:hAnsi="Garamond" w:cs="Calibri Light"/>
                <w:sz w:val="10"/>
                <w:szCs w:val="10"/>
                <w:lang w:eastAsia="en-US"/>
              </w:rPr>
            </w:pPr>
            <w:r w:rsidRPr="00622884">
              <w:rPr>
                <w:rFonts w:ascii="Garamond" w:eastAsia="Calibri" w:hAnsi="Garamond" w:cs="Times New Roman"/>
                <w:sz w:val="10"/>
                <w:szCs w:val="10"/>
                <w:lang w:eastAsia="en-US" w:bidi="sq-AL"/>
              </w:rPr>
              <w:t>85</w:t>
            </w:r>
          </w:p>
        </w:tc>
        <w:tc>
          <w:tcPr>
            <w:tcW w:w="788" w:type="dxa"/>
            <w:vAlign w:val="center"/>
          </w:tcPr>
          <w:p w14:paraId="039F4FDD" w14:textId="77777777" w:rsidR="00622884" w:rsidRPr="00622884" w:rsidRDefault="00622884" w:rsidP="00622884">
            <w:pPr>
              <w:spacing w:after="0" w:line="240" w:lineRule="auto"/>
              <w:contextualSpacing/>
              <w:jc w:val="center"/>
              <w:rPr>
                <w:rFonts w:ascii="Garamond" w:eastAsia="Times New Roman" w:hAnsi="Garamond" w:cs="Calibri Light"/>
                <w:sz w:val="10"/>
                <w:szCs w:val="10"/>
                <w:lang w:eastAsia="en-US"/>
              </w:rPr>
            </w:pPr>
            <w:r w:rsidRPr="00622884">
              <w:rPr>
                <w:rFonts w:ascii="Garamond" w:eastAsia="Calibri" w:hAnsi="Garamond" w:cs="Times New Roman"/>
                <w:sz w:val="10"/>
                <w:szCs w:val="10"/>
                <w:lang w:eastAsia="en-US" w:bidi="sq-AL"/>
              </w:rPr>
              <w:t>683</w:t>
            </w:r>
          </w:p>
        </w:tc>
      </w:tr>
      <w:tr w:rsidR="00622884" w:rsidRPr="00622884" w14:paraId="0AE26666" w14:textId="77777777" w:rsidTr="00622884">
        <w:trPr>
          <w:trHeight w:val="257"/>
        </w:trPr>
        <w:tc>
          <w:tcPr>
            <w:tcW w:w="3120" w:type="dxa"/>
            <w:shd w:val="clear" w:color="auto" w:fill="DFEAF5"/>
            <w:vAlign w:val="center"/>
          </w:tcPr>
          <w:p w14:paraId="2E81FB69" w14:textId="77777777" w:rsidR="00622884" w:rsidRPr="00622884" w:rsidRDefault="00622884" w:rsidP="00622884">
            <w:pPr>
              <w:spacing w:after="0" w:line="240" w:lineRule="auto"/>
              <w:contextualSpacing/>
              <w:rPr>
                <w:rFonts w:ascii="Garamond" w:eastAsia="Times New Roman" w:hAnsi="Garamond" w:cs="Calibri Light"/>
                <w:b/>
                <w:bCs/>
                <w:sz w:val="10"/>
                <w:szCs w:val="10"/>
                <w:vertAlign w:val="subscript"/>
                <w:lang w:eastAsia="en-US"/>
              </w:rPr>
            </w:pPr>
            <w:r w:rsidRPr="00622884">
              <w:rPr>
                <w:rFonts w:ascii="Garamond" w:eastAsia="Calibri" w:hAnsi="Garamond" w:cs="Times New Roman"/>
                <w:b/>
                <w:sz w:val="10"/>
                <w:szCs w:val="10"/>
                <w:lang w:eastAsia="en-US" w:bidi="sq-AL"/>
              </w:rPr>
              <w:t xml:space="preserve">MASAT PRIORITARE TË PËRSHTATJES GJITHSEJ </w:t>
            </w:r>
            <w:r w:rsidRPr="00622884">
              <w:rPr>
                <w:rFonts w:ascii="Garamond" w:eastAsia="Calibri" w:hAnsi="Garamond" w:cs="Times New Roman"/>
                <w:b/>
                <w:sz w:val="10"/>
                <w:szCs w:val="10"/>
                <w:vertAlign w:val="superscript"/>
                <w:lang w:eastAsia="en-US" w:bidi="sq-AL"/>
              </w:rPr>
              <w:footnoteReference w:id="206"/>
            </w:r>
          </w:p>
        </w:tc>
        <w:tc>
          <w:tcPr>
            <w:tcW w:w="787" w:type="dxa"/>
            <w:vAlign w:val="center"/>
          </w:tcPr>
          <w:p w14:paraId="4B96AE5B" w14:textId="77777777" w:rsidR="00622884" w:rsidRPr="00622884" w:rsidRDefault="00622884" w:rsidP="00622884">
            <w:pPr>
              <w:spacing w:after="0" w:line="240" w:lineRule="auto"/>
              <w:contextualSpacing/>
              <w:jc w:val="center"/>
              <w:rPr>
                <w:rFonts w:ascii="Garamond" w:eastAsia="Times New Roman" w:hAnsi="Garamond" w:cs="Calibri Light"/>
                <w:sz w:val="10"/>
                <w:szCs w:val="10"/>
                <w:vertAlign w:val="subscript"/>
                <w:lang w:eastAsia="en-US"/>
              </w:rPr>
            </w:pPr>
            <w:r w:rsidRPr="00622884">
              <w:rPr>
                <w:rFonts w:ascii="Garamond" w:eastAsia="Calibri" w:hAnsi="Garamond" w:cs="Times New Roman"/>
                <w:sz w:val="10"/>
                <w:szCs w:val="10"/>
                <w:vertAlign w:val="subscript"/>
                <w:lang w:eastAsia="en-US" w:bidi="sq-AL"/>
              </w:rPr>
              <w:t>43</w:t>
            </w:r>
          </w:p>
        </w:tc>
        <w:tc>
          <w:tcPr>
            <w:tcW w:w="787" w:type="dxa"/>
            <w:vAlign w:val="center"/>
          </w:tcPr>
          <w:p w14:paraId="6EABB046" w14:textId="77777777" w:rsidR="00622884" w:rsidRPr="00622884" w:rsidRDefault="00622884" w:rsidP="00622884">
            <w:pPr>
              <w:spacing w:after="0" w:line="240" w:lineRule="auto"/>
              <w:contextualSpacing/>
              <w:jc w:val="center"/>
              <w:rPr>
                <w:rFonts w:ascii="Garamond" w:eastAsia="Times New Roman" w:hAnsi="Garamond" w:cs="Calibri Light"/>
                <w:sz w:val="10"/>
                <w:szCs w:val="10"/>
                <w:vertAlign w:val="subscript"/>
                <w:lang w:eastAsia="en-US"/>
              </w:rPr>
            </w:pPr>
            <w:r w:rsidRPr="00622884">
              <w:rPr>
                <w:rFonts w:ascii="Garamond" w:eastAsia="Calibri" w:hAnsi="Garamond" w:cs="Times New Roman"/>
                <w:sz w:val="10"/>
                <w:szCs w:val="10"/>
                <w:vertAlign w:val="subscript"/>
                <w:lang w:eastAsia="en-US" w:bidi="sq-AL"/>
              </w:rPr>
              <w:t>45</w:t>
            </w:r>
          </w:p>
        </w:tc>
        <w:tc>
          <w:tcPr>
            <w:tcW w:w="788" w:type="dxa"/>
            <w:vAlign w:val="center"/>
          </w:tcPr>
          <w:p w14:paraId="4B9657C1" w14:textId="77777777" w:rsidR="00622884" w:rsidRPr="00622884" w:rsidRDefault="00622884" w:rsidP="00622884">
            <w:pPr>
              <w:spacing w:after="0" w:line="240" w:lineRule="auto"/>
              <w:contextualSpacing/>
              <w:jc w:val="center"/>
              <w:rPr>
                <w:rFonts w:ascii="Garamond" w:eastAsia="Times New Roman" w:hAnsi="Garamond" w:cs="Calibri Light"/>
                <w:sz w:val="10"/>
                <w:szCs w:val="10"/>
                <w:vertAlign w:val="subscript"/>
                <w:lang w:eastAsia="en-US"/>
              </w:rPr>
            </w:pPr>
            <w:r w:rsidRPr="00622884">
              <w:rPr>
                <w:rFonts w:ascii="Garamond" w:eastAsia="Calibri" w:hAnsi="Garamond" w:cs="Times New Roman"/>
                <w:sz w:val="10"/>
                <w:szCs w:val="10"/>
                <w:vertAlign w:val="subscript"/>
                <w:lang w:eastAsia="en-US" w:bidi="sq-AL"/>
              </w:rPr>
              <w:t>47</w:t>
            </w:r>
          </w:p>
        </w:tc>
        <w:tc>
          <w:tcPr>
            <w:tcW w:w="787" w:type="dxa"/>
            <w:vAlign w:val="center"/>
          </w:tcPr>
          <w:p w14:paraId="61B1575C" w14:textId="77777777" w:rsidR="00622884" w:rsidRPr="00622884" w:rsidRDefault="00622884" w:rsidP="00622884">
            <w:pPr>
              <w:spacing w:after="0" w:line="240" w:lineRule="auto"/>
              <w:contextualSpacing/>
              <w:jc w:val="center"/>
              <w:rPr>
                <w:rFonts w:ascii="Garamond" w:eastAsia="Times New Roman" w:hAnsi="Garamond" w:cs="Calibri Light"/>
                <w:sz w:val="10"/>
                <w:szCs w:val="10"/>
                <w:vertAlign w:val="subscript"/>
                <w:lang w:eastAsia="en-US"/>
              </w:rPr>
            </w:pPr>
            <w:r w:rsidRPr="00622884">
              <w:rPr>
                <w:rFonts w:ascii="Garamond" w:eastAsia="Calibri" w:hAnsi="Garamond" w:cs="Times New Roman"/>
                <w:sz w:val="10"/>
                <w:szCs w:val="10"/>
                <w:vertAlign w:val="subscript"/>
                <w:lang w:eastAsia="en-US" w:bidi="sq-AL"/>
              </w:rPr>
              <w:t>45</w:t>
            </w:r>
          </w:p>
        </w:tc>
        <w:tc>
          <w:tcPr>
            <w:tcW w:w="788" w:type="dxa"/>
            <w:vAlign w:val="center"/>
          </w:tcPr>
          <w:p w14:paraId="6B7152DD" w14:textId="77777777" w:rsidR="00622884" w:rsidRPr="00622884" w:rsidRDefault="00622884" w:rsidP="00622884">
            <w:pPr>
              <w:spacing w:after="0" w:line="240" w:lineRule="auto"/>
              <w:contextualSpacing/>
              <w:jc w:val="center"/>
              <w:rPr>
                <w:rFonts w:ascii="Garamond" w:eastAsia="Times New Roman" w:hAnsi="Garamond" w:cs="Calibri Light"/>
                <w:sz w:val="10"/>
                <w:szCs w:val="10"/>
                <w:vertAlign w:val="subscript"/>
                <w:lang w:eastAsia="en-US"/>
              </w:rPr>
            </w:pPr>
            <w:r w:rsidRPr="00622884">
              <w:rPr>
                <w:rFonts w:ascii="Garamond" w:eastAsia="Calibri" w:hAnsi="Garamond" w:cs="Times New Roman"/>
                <w:sz w:val="10"/>
                <w:szCs w:val="10"/>
                <w:vertAlign w:val="subscript"/>
                <w:lang w:eastAsia="en-US" w:bidi="sq-AL"/>
              </w:rPr>
              <w:t>44</w:t>
            </w:r>
          </w:p>
        </w:tc>
        <w:tc>
          <w:tcPr>
            <w:tcW w:w="787" w:type="dxa"/>
            <w:vAlign w:val="center"/>
          </w:tcPr>
          <w:p w14:paraId="7584DE72" w14:textId="77777777" w:rsidR="00622884" w:rsidRPr="00622884" w:rsidRDefault="00622884" w:rsidP="00622884">
            <w:pPr>
              <w:spacing w:after="0" w:line="240" w:lineRule="auto"/>
              <w:contextualSpacing/>
              <w:jc w:val="center"/>
              <w:rPr>
                <w:rFonts w:ascii="Garamond" w:eastAsia="Times New Roman" w:hAnsi="Garamond" w:cs="Calibri Light"/>
                <w:sz w:val="10"/>
                <w:szCs w:val="10"/>
                <w:vertAlign w:val="subscript"/>
                <w:lang w:eastAsia="en-US"/>
              </w:rPr>
            </w:pPr>
            <w:r w:rsidRPr="00622884">
              <w:rPr>
                <w:rFonts w:ascii="Garamond" w:eastAsia="Calibri" w:hAnsi="Garamond" w:cs="Times New Roman"/>
                <w:sz w:val="10"/>
                <w:szCs w:val="10"/>
                <w:vertAlign w:val="subscript"/>
                <w:lang w:eastAsia="en-US" w:bidi="sq-AL"/>
              </w:rPr>
              <w:t>41</w:t>
            </w:r>
          </w:p>
        </w:tc>
        <w:tc>
          <w:tcPr>
            <w:tcW w:w="788" w:type="dxa"/>
            <w:vAlign w:val="center"/>
          </w:tcPr>
          <w:p w14:paraId="0556A67E" w14:textId="77777777" w:rsidR="00622884" w:rsidRPr="00622884" w:rsidRDefault="00622884" w:rsidP="00622884">
            <w:pPr>
              <w:spacing w:after="0" w:line="240" w:lineRule="auto"/>
              <w:contextualSpacing/>
              <w:jc w:val="center"/>
              <w:rPr>
                <w:rFonts w:ascii="Garamond" w:eastAsia="Times New Roman" w:hAnsi="Garamond" w:cs="Calibri Light"/>
                <w:sz w:val="10"/>
                <w:szCs w:val="10"/>
                <w:vertAlign w:val="subscript"/>
                <w:lang w:eastAsia="en-US"/>
              </w:rPr>
            </w:pPr>
            <w:r w:rsidRPr="00622884">
              <w:rPr>
                <w:rFonts w:ascii="Garamond" w:eastAsia="Calibri" w:hAnsi="Garamond" w:cs="Times New Roman"/>
                <w:sz w:val="10"/>
                <w:szCs w:val="10"/>
                <w:vertAlign w:val="subscript"/>
                <w:lang w:eastAsia="en-US" w:bidi="sq-AL"/>
              </w:rPr>
              <w:t>40</w:t>
            </w:r>
          </w:p>
        </w:tc>
        <w:tc>
          <w:tcPr>
            <w:tcW w:w="787" w:type="dxa"/>
            <w:vAlign w:val="center"/>
          </w:tcPr>
          <w:p w14:paraId="683DD29D" w14:textId="77777777" w:rsidR="00622884" w:rsidRPr="00622884" w:rsidRDefault="00622884" w:rsidP="00622884">
            <w:pPr>
              <w:spacing w:after="0" w:line="240" w:lineRule="auto"/>
              <w:contextualSpacing/>
              <w:jc w:val="center"/>
              <w:rPr>
                <w:rFonts w:ascii="Garamond" w:eastAsia="Times New Roman" w:hAnsi="Garamond" w:cs="Calibri Light"/>
                <w:sz w:val="10"/>
                <w:szCs w:val="10"/>
                <w:vertAlign w:val="subscript"/>
                <w:lang w:eastAsia="en-US"/>
              </w:rPr>
            </w:pPr>
            <w:r w:rsidRPr="00622884">
              <w:rPr>
                <w:rFonts w:ascii="Garamond" w:eastAsia="Calibri" w:hAnsi="Garamond" w:cs="Times New Roman"/>
                <w:sz w:val="10"/>
                <w:szCs w:val="10"/>
                <w:vertAlign w:val="subscript"/>
                <w:lang w:eastAsia="en-US" w:bidi="sq-AL"/>
              </w:rPr>
              <w:t>51</w:t>
            </w:r>
          </w:p>
        </w:tc>
        <w:tc>
          <w:tcPr>
            <w:tcW w:w="788" w:type="dxa"/>
            <w:vAlign w:val="center"/>
          </w:tcPr>
          <w:p w14:paraId="26C5BCA2" w14:textId="77777777" w:rsidR="00622884" w:rsidRPr="00622884" w:rsidRDefault="00622884" w:rsidP="00622884">
            <w:pPr>
              <w:spacing w:after="0" w:line="240" w:lineRule="auto"/>
              <w:contextualSpacing/>
              <w:jc w:val="center"/>
              <w:rPr>
                <w:rFonts w:ascii="Garamond" w:eastAsia="Times New Roman" w:hAnsi="Garamond" w:cs="Calibri Light"/>
                <w:sz w:val="10"/>
                <w:szCs w:val="10"/>
                <w:vertAlign w:val="subscript"/>
                <w:lang w:eastAsia="en-US"/>
              </w:rPr>
            </w:pPr>
            <w:r w:rsidRPr="00622884">
              <w:rPr>
                <w:rFonts w:ascii="Garamond" w:eastAsia="Calibri" w:hAnsi="Garamond" w:cs="Times New Roman"/>
                <w:sz w:val="10"/>
                <w:szCs w:val="10"/>
                <w:vertAlign w:val="subscript"/>
                <w:lang w:eastAsia="en-US" w:bidi="sq-AL"/>
              </w:rPr>
              <w:t>356</w:t>
            </w:r>
          </w:p>
        </w:tc>
      </w:tr>
    </w:tbl>
    <w:p w14:paraId="2A7F1ED6" w14:textId="77777777" w:rsidR="00622884" w:rsidRPr="00622884" w:rsidRDefault="00622884" w:rsidP="00622884">
      <w:pPr>
        <w:spacing w:after="0" w:line="240" w:lineRule="auto"/>
        <w:ind w:firstLine="284"/>
        <w:rPr>
          <w:rFonts w:ascii="Garamond" w:eastAsia="SimSun" w:hAnsi="Garamond" w:cs="Calibri Light"/>
          <w:sz w:val="24"/>
          <w:szCs w:val="24"/>
          <w:lang w:eastAsia="en-US"/>
        </w:rPr>
      </w:pPr>
      <w:r w:rsidRPr="00622884">
        <w:rPr>
          <w:rFonts w:ascii="Garamond" w:eastAsia="SimSun" w:hAnsi="Garamond" w:cs="Calibri Light"/>
          <w:sz w:val="24"/>
          <w:szCs w:val="24"/>
          <w:lang w:eastAsia="en-US" w:bidi="sq-AL"/>
        </w:rPr>
        <w:t xml:space="preserve">Mesatarisht, u identifikuan rreth 85 masa përshtatjeje dhe 45 “masa prioritare” për çdo bashki. </w:t>
      </w:r>
    </w:p>
    <w:p w14:paraId="69CED207"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r w:rsidRPr="00622884">
        <w:rPr>
          <w:rFonts w:ascii="Garamond" w:eastAsia="Calibri" w:hAnsi="Garamond" w:cs="Times New Roman"/>
          <w:sz w:val="24"/>
          <w:szCs w:val="24"/>
          <w:lang w:eastAsia="en-US" w:bidi="sq-AL"/>
        </w:rPr>
        <w:t>- Masat e përbashkëta të përshtatjes të përmendura për të gjitha bashkitë ishin:</w:t>
      </w:r>
    </w:p>
    <w:p w14:paraId="3E5C5206"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r w:rsidRPr="00622884">
        <w:rPr>
          <w:rFonts w:ascii="Garamond" w:eastAsia="Calibri" w:hAnsi="Garamond" w:cs="Times New Roman"/>
          <w:sz w:val="24"/>
          <w:szCs w:val="24"/>
          <w:lang w:eastAsia="en-US" w:bidi="sq-AL"/>
        </w:rPr>
        <w:t>- Forcimi i kuadrit ligjor dhe institucional;</w:t>
      </w:r>
    </w:p>
    <w:p w14:paraId="76C39734"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r w:rsidRPr="00622884">
        <w:rPr>
          <w:rFonts w:ascii="Garamond" w:eastAsia="Calibri" w:hAnsi="Garamond" w:cs="Times New Roman"/>
          <w:sz w:val="24"/>
          <w:szCs w:val="24"/>
          <w:lang w:eastAsia="en-US" w:bidi="sq-AL"/>
        </w:rPr>
        <w:t>- Rritja e financimit për përshtatjen ndaj ndryshimeve klimatike;</w:t>
      </w:r>
    </w:p>
    <w:p w14:paraId="488C9CBA"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r w:rsidRPr="00622884">
        <w:rPr>
          <w:rFonts w:ascii="Garamond" w:eastAsia="Calibri" w:hAnsi="Garamond" w:cs="Times New Roman"/>
          <w:sz w:val="24"/>
          <w:szCs w:val="24"/>
          <w:lang w:eastAsia="en-US" w:bidi="sq-AL"/>
        </w:rPr>
        <w:t>- Ngritja e një grupi drejtues me përfaqësues të përshtatshëm të stafit nga të gjitha departamentet kryesore për të siguruar zbatimin e suksesshëm të veprimeve të planit vendor të veprimit;</w:t>
      </w:r>
    </w:p>
    <w:p w14:paraId="556568B5"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r w:rsidRPr="00622884">
        <w:rPr>
          <w:rFonts w:ascii="Garamond" w:eastAsia="Calibri" w:hAnsi="Garamond" w:cs="Times New Roman"/>
          <w:sz w:val="24"/>
          <w:szCs w:val="24"/>
          <w:lang w:eastAsia="en-US" w:bidi="sq-AL"/>
        </w:rPr>
        <w:t>- Rritja e kapaciteteve shkencore, teknike dhe sociale që synojnë gjenerimin e evidencave shkencore për të mbështetur vendimmarrjen, identifikimin e zonave me risk të lartë dhe rritjen e ndërgjegjësimit;</w:t>
      </w:r>
    </w:p>
    <w:p w14:paraId="2E6EB921" w14:textId="77777777" w:rsidR="00622884" w:rsidRPr="00622884" w:rsidRDefault="00622884" w:rsidP="00622884">
      <w:pPr>
        <w:tabs>
          <w:tab w:val="left" w:pos="5325"/>
        </w:tabs>
        <w:spacing w:after="0" w:line="240" w:lineRule="auto"/>
        <w:ind w:firstLine="284"/>
        <w:rPr>
          <w:rFonts w:ascii="Garamond" w:eastAsia="MS Mincho" w:hAnsi="Garamond" w:cs="Times New Roman"/>
          <w:sz w:val="24"/>
          <w:szCs w:val="24"/>
          <w:lang w:eastAsia="en-US"/>
        </w:rPr>
      </w:pPr>
      <w:r w:rsidRPr="00622884">
        <w:rPr>
          <w:rFonts w:ascii="Garamond" w:eastAsia="Calibri" w:hAnsi="Garamond" w:cs="Times New Roman"/>
          <w:sz w:val="24"/>
          <w:szCs w:val="24"/>
          <w:lang w:eastAsia="en-US" w:bidi="sq-AL"/>
        </w:rPr>
        <w:t>- Ndërmarrja e fushatave ndërgjegjësuese dhe zhvillimi i kapaciteteve sipas nevojës për përshtatje ndaj ndryshimeve klimatike, duke përfshirë rolin e mjedisit natyror.</w:t>
      </w:r>
    </w:p>
    <w:p w14:paraId="68C0E481"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r w:rsidRPr="00622884">
        <w:rPr>
          <w:rFonts w:ascii="Garamond" w:eastAsia="Calibri" w:hAnsi="Garamond" w:cs="Times New Roman"/>
          <w:sz w:val="24"/>
          <w:szCs w:val="24"/>
          <w:lang w:eastAsia="en-US" w:bidi="sq-AL"/>
        </w:rPr>
        <w:t>Krahas këtyre, në bashki të ndryshme u përmendën edhe sa vijon:</w:t>
      </w:r>
    </w:p>
    <w:p w14:paraId="4B0B0793"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r w:rsidRPr="00622884">
        <w:rPr>
          <w:rFonts w:ascii="Garamond" w:eastAsia="Calibri" w:hAnsi="Garamond" w:cs="Times New Roman"/>
          <w:sz w:val="24"/>
          <w:szCs w:val="24"/>
          <w:lang w:eastAsia="en-US" w:bidi="sq-AL"/>
        </w:rPr>
        <w:t>- Përditësimi ose kryerja e vlerësimeve të reja të cenueshmërisë dhe riskut;</w:t>
      </w:r>
    </w:p>
    <w:p w14:paraId="012E5CA9"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r w:rsidRPr="00622884">
        <w:rPr>
          <w:rFonts w:ascii="Garamond" w:eastAsia="Calibri" w:hAnsi="Garamond" w:cs="Times New Roman"/>
          <w:sz w:val="24"/>
          <w:szCs w:val="24"/>
          <w:lang w:eastAsia="en-US" w:bidi="sq-AL"/>
        </w:rPr>
        <w:t>- Mbrojtja e infrastrukturës së banesave, aseteve bashkiake dhe pronave nga dëmtimet dhe degradimi i mëtejshëm për shkak të faktorëve klimatikë;</w:t>
      </w:r>
    </w:p>
    <w:p w14:paraId="6AA57318"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r w:rsidRPr="00622884">
        <w:rPr>
          <w:rFonts w:ascii="Garamond" w:eastAsia="Calibri" w:hAnsi="Garamond" w:cs="Times New Roman"/>
          <w:sz w:val="24"/>
          <w:szCs w:val="24"/>
          <w:lang w:eastAsia="en-US" w:bidi="sq-AL"/>
        </w:rPr>
        <w:t>- Krijimi i zgjidhjeve bioinxhinierike ose zgjidhjeve të bazuara në natyrë për të mbrojtur mjediset nga erozioni;</w:t>
      </w:r>
    </w:p>
    <w:p w14:paraId="683D464B"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r w:rsidRPr="00622884">
        <w:rPr>
          <w:rFonts w:ascii="Garamond" w:eastAsia="Calibri" w:hAnsi="Garamond" w:cs="Times New Roman"/>
          <w:sz w:val="24"/>
          <w:szCs w:val="24"/>
          <w:lang w:eastAsia="en-US" w:bidi="sq-AL"/>
        </w:rPr>
        <w:t>- Kryerja e punimeve në infrastrukturë për të luftuar erozionin dhe për të mbrojtur mjediset e cenueshme;</w:t>
      </w:r>
    </w:p>
    <w:p w14:paraId="11BEAA1A"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r w:rsidRPr="00622884">
        <w:rPr>
          <w:rFonts w:ascii="Garamond" w:eastAsia="Calibri" w:hAnsi="Garamond" w:cs="Times New Roman"/>
          <w:sz w:val="24"/>
          <w:szCs w:val="24"/>
          <w:lang w:eastAsia="en-US" w:bidi="sq-AL"/>
        </w:rPr>
        <w:t>- Forcimi i menaxhimit vendor të riskut nga fatkeqësitë;</w:t>
      </w:r>
    </w:p>
    <w:p w14:paraId="5A906EC7" w14:textId="77777777" w:rsidR="00622884" w:rsidRPr="00622884" w:rsidRDefault="00622884" w:rsidP="00622884">
      <w:pPr>
        <w:tabs>
          <w:tab w:val="left" w:pos="5325"/>
        </w:tabs>
        <w:spacing w:after="0" w:line="240" w:lineRule="auto"/>
        <w:ind w:firstLine="284"/>
        <w:rPr>
          <w:rFonts w:ascii="Garamond" w:eastAsia="Times New Roman" w:hAnsi="Garamond" w:cs="Times New Roman"/>
          <w:sz w:val="24"/>
          <w:szCs w:val="24"/>
          <w:lang w:eastAsia="en-US"/>
        </w:rPr>
      </w:pPr>
      <w:r w:rsidRPr="00622884">
        <w:rPr>
          <w:rFonts w:ascii="Garamond" w:eastAsia="Calibri" w:hAnsi="Garamond" w:cs="Times New Roman"/>
          <w:sz w:val="24"/>
          <w:szCs w:val="24"/>
          <w:lang w:eastAsia="en-US" w:bidi="sq-AL"/>
        </w:rPr>
        <w:t>- Rishikimi ose hartimi i planeve specifike, p.sh., plani i menaxhimit të pyjeve në Kukës, plani i menaxhimit të ujërave sipërfaqësore në Përmet etj.</w:t>
      </w:r>
    </w:p>
    <w:p w14:paraId="71F69F22" w14:textId="77777777" w:rsidR="00622884" w:rsidRPr="00622884" w:rsidRDefault="00622884" w:rsidP="00622884">
      <w:pPr>
        <w:keepNext/>
        <w:keepLines/>
        <w:spacing w:after="0" w:line="240" w:lineRule="auto"/>
        <w:ind w:firstLine="284"/>
        <w:outlineLvl w:val="1"/>
        <w:rPr>
          <w:rFonts w:ascii="Garamond" w:eastAsia="MS Mincho" w:hAnsi="Garamond" w:cs="Times New Roman"/>
          <w:b/>
          <w:bCs/>
          <w:caps/>
          <w:sz w:val="24"/>
          <w:szCs w:val="24"/>
          <w:lang w:eastAsia="es-ES"/>
        </w:rPr>
      </w:pPr>
      <w:bookmarkStart w:id="274" w:name="_Toc213936236"/>
      <w:bookmarkEnd w:id="269"/>
      <w:bookmarkEnd w:id="271"/>
      <w:r w:rsidRPr="00622884">
        <w:rPr>
          <w:rFonts w:ascii="Garamond" w:eastAsia="MS Mincho" w:hAnsi="Garamond" w:cs="Times New Roman"/>
          <w:b/>
          <w:bCs/>
          <w:caps/>
          <w:sz w:val="24"/>
          <w:szCs w:val="24"/>
          <w:lang w:eastAsia="es-ES" w:bidi="sq-AL"/>
        </w:rPr>
        <w:t xml:space="preserve">5.3 </w:t>
      </w:r>
      <w:r w:rsidRPr="00622884">
        <w:rPr>
          <w:rFonts w:ascii="Garamond" w:eastAsia="MS Mincho" w:hAnsi="Garamond" w:cs="Times New Roman"/>
          <w:b/>
          <w:bCs/>
          <w:sz w:val="24"/>
          <w:szCs w:val="24"/>
          <w:lang w:eastAsia="es-ES" w:bidi="sq-AL"/>
        </w:rPr>
        <w:t>Vlerësimi i përshtatjes dhe veprimet prioritare të përshtatjes në Shqipëri</w:t>
      </w:r>
      <w:bookmarkEnd w:id="274"/>
    </w:p>
    <w:p w14:paraId="1D43C933" w14:textId="77777777" w:rsidR="00622884" w:rsidRPr="00622884" w:rsidRDefault="00622884" w:rsidP="00622884">
      <w:pPr>
        <w:spacing w:after="0" w:line="240" w:lineRule="auto"/>
        <w:ind w:firstLine="284"/>
        <w:rPr>
          <w:rFonts w:ascii="Garamond" w:eastAsia="SimSun" w:hAnsi="Garamond" w:cs="Calibri Light"/>
          <w:sz w:val="24"/>
          <w:szCs w:val="24"/>
          <w:lang w:eastAsia="en-US"/>
        </w:rPr>
      </w:pPr>
      <w:r w:rsidRPr="00622884">
        <w:rPr>
          <w:rFonts w:ascii="Garamond" w:eastAsia="SimSun" w:hAnsi="Garamond" w:cs="Calibri Light"/>
          <w:sz w:val="24"/>
          <w:szCs w:val="24"/>
          <w:lang w:eastAsia="en-US" w:bidi="sq-AL"/>
        </w:rPr>
        <w:t>U ndërmor prioritizimi i mëtejshëm i masave të përshtatjes të identifikuara fillimisht</w:t>
      </w:r>
      <w:r w:rsidRPr="00622884">
        <w:rPr>
          <w:rFonts w:ascii="Garamond" w:eastAsia="SimSun" w:hAnsi="Garamond" w:cs="Calibri Light"/>
          <w:sz w:val="24"/>
          <w:szCs w:val="24"/>
          <w:vertAlign w:val="superscript"/>
          <w:lang w:eastAsia="en-US" w:bidi="sq-AL"/>
        </w:rPr>
        <w:footnoteReference w:id="207"/>
      </w:r>
      <w:r w:rsidRPr="00622884">
        <w:rPr>
          <w:rFonts w:ascii="Garamond" w:eastAsia="SimSun" w:hAnsi="Garamond" w:cs="Calibri Light"/>
          <w:sz w:val="24"/>
          <w:szCs w:val="24"/>
          <w:lang w:eastAsia="en-US" w:bidi="sq-AL"/>
        </w:rPr>
        <w:t>.</w:t>
      </w:r>
      <w:r w:rsidRPr="00622884">
        <w:rPr>
          <w:rFonts w:ascii="Garamond" w:eastAsia="SimSun" w:hAnsi="Garamond" w:cs="Calibri Light"/>
          <w:b/>
          <w:sz w:val="24"/>
          <w:szCs w:val="24"/>
          <w:lang w:eastAsia="en-US" w:bidi="sq-AL"/>
        </w:rPr>
        <w:t xml:space="preserve"> </w:t>
      </w:r>
      <w:r w:rsidRPr="00622884">
        <w:rPr>
          <w:rFonts w:ascii="Garamond" w:eastAsia="SimSun" w:hAnsi="Garamond" w:cs="Calibri Light"/>
          <w:sz w:val="24"/>
          <w:szCs w:val="24"/>
          <w:lang w:eastAsia="en-US" w:bidi="sq-AL"/>
        </w:rPr>
        <w:t>U zbatua një proces prioritizimi përmes Analizës me Shumë Kritere (MCA), që përfshinte kritere për f</w:t>
      </w:r>
      <w:r w:rsidRPr="00622884">
        <w:rPr>
          <w:rFonts w:ascii="Garamond" w:eastAsia="SimSun" w:hAnsi="Garamond" w:cs="Calibri Light"/>
          <w:sz w:val="24"/>
          <w:szCs w:val="24"/>
          <w:u w:val="single"/>
          <w:lang w:eastAsia="en-US" w:bidi="sq-AL"/>
        </w:rPr>
        <w:t>izibilitetin</w:t>
      </w:r>
      <w:r w:rsidRPr="00622884">
        <w:rPr>
          <w:rFonts w:ascii="Garamond" w:eastAsia="SimSun" w:hAnsi="Garamond" w:cs="Calibri Light"/>
          <w:sz w:val="24"/>
          <w:szCs w:val="24"/>
          <w:lang w:eastAsia="en-US" w:bidi="sq-AL"/>
        </w:rPr>
        <w:t xml:space="preserve"> (financiar, teknik, institucional), </w:t>
      </w:r>
      <w:r w:rsidRPr="00622884">
        <w:rPr>
          <w:rFonts w:ascii="Garamond" w:eastAsia="SimSun" w:hAnsi="Garamond" w:cs="Calibri Light"/>
          <w:sz w:val="24"/>
          <w:szCs w:val="24"/>
          <w:u w:val="single"/>
          <w:lang w:eastAsia="en-US" w:bidi="sq-AL"/>
        </w:rPr>
        <w:t>përfitimet sociale</w:t>
      </w:r>
      <w:r w:rsidRPr="00622884">
        <w:rPr>
          <w:rFonts w:ascii="Garamond" w:eastAsia="SimSun" w:hAnsi="Garamond" w:cs="Calibri Light"/>
          <w:sz w:val="24"/>
          <w:szCs w:val="24"/>
          <w:lang w:eastAsia="en-US" w:bidi="sq-AL"/>
        </w:rPr>
        <w:t xml:space="preserve"> (pranueshmëria sociale, barazia gjinore dhe përfitimet për grupet e cenueshme) dhe </w:t>
      </w:r>
      <w:r w:rsidRPr="00622884">
        <w:rPr>
          <w:rFonts w:ascii="Garamond" w:eastAsia="SimSun" w:hAnsi="Garamond" w:cs="Calibri Light"/>
          <w:sz w:val="24"/>
          <w:szCs w:val="24"/>
          <w:u w:val="single"/>
          <w:lang w:eastAsia="en-US" w:bidi="sq-AL"/>
        </w:rPr>
        <w:t>përputhshmëria strategjike</w:t>
      </w:r>
      <w:r w:rsidRPr="00622884">
        <w:rPr>
          <w:rFonts w:ascii="Garamond" w:eastAsia="SimSun" w:hAnsi="Garamond" w:cs="Calibri Light"/>
          <w:sz w:val="24"/>
          <w:szCs w:val="24"/>
          <w:lang w:eastAsia="en-US" w:bidi="sq-AL"/>
        </w:rPr>
        <w:t xml:space="preserve"> (përputhja me strategjitë kombëtare, potenciali i uljes së cenueshmërisë, qëndrueshmëria mjedisore dhe përfitimet e ndërsjella nga zbutja). Më pas u identifikuan gjithsej 66 masa prioritare në sektorë të </w:t>
      </w:r>
      <w:r w:rsidRPr="00622884">
        <w:rPr>
          <w:rFonts w:ascii="Garamond" w:eastAsia="SimSun" w:hAnsi="Garamond" w:cs="Calibri Light"/>
          <w:sz w:val="24"/>
          <w:szCs w:val="24"/>
          <w:lang w:eastAsia="en-US" w:bidi="sq-AL"/>
        </w:rPr>
        <w:lastRenderedPageBreak/>
        <w:t xml:space="preserve">ndryshëm (bujqësia dhe pylltaria: 21; turizmi: 11; energjia: 8; transporti: 7; zhvillimi urban: 9; ndërsektoriale: 10). </w:t>
      </w:r>
    </w:p>
    <w:p w14:paraId="4C8A6818" w14:textId="77777777" w:rsidR="00622884" w:rsidRPr="00622884" w:rsidRDefault="00622884" w:rsidP="00622884">
      <w:pPr>
        <w:spacing w:after="0" w:line="240" w:lineRule="auto"/>
        <w:ind w:firstLine="284"/>
        <w:rPr>
          <w:rFonts w:ascii="Garamond" w:eastAsia="SimSun" w:hAnsi="Garamond" w:cs="Calibri Light"/>
          <w:sz w:val="24"/>
          <w:szCs w:val="24"/>
          <w:lang w:eastAsia="en-US"/>
        </w:rPr>
      </w:pPr>
      <w:r w:rsidRPr="00622884">
        <w:rPr>
          <w:rFonts w:ascii="Garamond" w:eastAsia="SimSun" w:hAnsi="Garamond" w:cs="Calibri Light"/>
          <w:sz w:val="24"/>
          <w:szCs w:val="24"/>
          <w:lang w:eastAsia="en-US" w:bidi="sq-AL"/>
        </w:rPr>
        <w:t>Nga këto 66 masa, 21 që u konsideruan masa investimi “të gjelbra”</w:t>
      </w:r>
      <w:r w:rsidRPr="00622884">
        <w:rPr>
          <w:rFonts w:ascii="Garamond" w:eastAsia="SimSun" w:hAnsi="Garamond" w:cs="Calibri Light"/>
          <w:sz w:val="24"/>
          <w:szCs w:val="24"/>
          <w:vertAlign w:val="superscript"/>
          <w:lang w:eastAsia="en-US" w:bidi="sq-AL"/>
        </w:rPr>
        <w:footnoteReference w:id="208"/>
      </w:r>
      <w:r w:rsidRPr="00622884">
        <w:rPr>
          <w:rFonts w:ascii="Garamond" w:eastAsia="SimSun" w:hAnsi="Garamond" w:cs="Calibri Light"/>
          <w:sz w:val="24"/>
          <w:szCs w:val="24"/>
          <w:lang w:eastAsia="en-US" w:bidi="sq-AL"/>
        </w:rPr>
        <w:t xml:space="preserve"> dhe “gri”</w:t>
      </w:r>
      <w:r w:rsidRPr="00622884">
        <w:rPr>
          <w:rFonts w:ascii="Garamond" w:eastAsia="SimSun" w:hAnsi="Garamond" w:cs="Calibri Light"/>
          <w:sz w:val="24"/>
          <w:szCs w:val="24"/>
          <w:vertAlign w:val="superscript"/>
          <w:lang w:eastAsia="en-US" w:bidi="sq-AL"/>
        </w:rPr>
        <w:footnoteReference w:id="209"/>
      </w:r>
      <w:r w:rsidRPr="00622884">
        <w:rPr>
          <w:rFonts w:ascii="Garamond" w:eastAsia="SimSun" w:hAnsi="Garamond" w:cs="Calibri Light"/>
          <w:sz w:val="24"/>
          <w:szCs w:val="24"/>
          <w:lang w:eastAsia="en-US" w:bidi="sq-AL"/>
        </w:rPr>
        <w:t>, iu nënshtruan Analizës së Kosto-Përfitimit (AKP)</w:t>
      </w:r>
      <w:r w:rsidRPr="00622884">
        <w:rPr>
          <w:rFonts w:ascii="Garamond" w:eastAsia="SimSun" w:hAnsi="Garamond" w:cs="Calibri Light"/>
          <w:sz w:val="24"/>
          <w:szCs w:val="24"/>
          <w:vertAlign w:val="superscript"/>
          <w:lang w:eastAsia="en-US" w:bidi="sq-AL"/>
        </w:rPr>
        <w:footnoteReference w:id="210"/>
      </w:r>
      <w:r w:rsidRPr="00622884">
        <w:rPr>
          <w:rFonts w:ascii="Garamond" w:eastAsia="SimSun" w:hAnsi="Garamond" w:cs="Calibri Light"/>
          <w:sz w:val="24"/>
          <w:szCs w:val="24"/>
          <w:lang w:eastAsia="en-US" w:bidi="sq-AL"/>
        </w:rPr>
        <w:t xml:space="preserve"> për periudhën 2026</w:t>
      </w:r>
      <w:r w:rsidRPr="00622884">
        <w:rPr>
          <w:rFonts w:ascii="Garamond" w:eastAsia="SimSun" w:hAnsi="Garamond" w:cs="Times New Roman"/>
          <w:color w:val="1D3C5A"/>
          <w:sz w:val="24"/>
          <w:szCs w:val="24"/>
          <w:lang w:eastAsia="en-US"/>
        </w:rPr>
        <w:t>–</w:t>
      </w:r>
      <w:r w:rsidRPr="00622884">
        <w:rPr>
          <w:rFonts w:ascii="Garamond" w:eastAsia="SimSun" w:hAnsi="Garamond" w:cs="Calibri Light"/>
          <w:sz w:val="24"/>
          <w:szCs w:val="24"/>
          <w:lang w:eastAsia="en-US" w:bidi="sq-AL"/>
        </w:rPr>
        <w:t>2036, përmes së cilës u vlerësua efikasiteti ekonomik i secilës masë përmes llogaritjes së Raporteve të Kosto-Përfitimit (RKP</w:t>
      </w:r>
      <w:r w:rsidRPr="00622884">
        <w:rPr>
          <w:rFonts w:ascii="Garamond" w:eastAsia="SimSun" w:hAnsi="Garamond" w:cs="Calibri Light"/>
          <w:sz w:val="24"/>
          <w:szCs w:val="24"/>
          <w:vertAlign w:val="superscript"/>
          <w:lang w:eastAsia="en-US" w:bidi="sq-AL"/>
        </w:rPr>
        <w:footnoteReference w:id="211"/>
      </w:r>
      <w:r w:rsidRPr="00622884">
        <w:rPr>
          <w:rFonts w:ascii="Garamond" w:eastAsia="SimSun" w:hAnsi="Garamond" w:cs="Calibri Light"/>
          <w:sz w:val="24"/>
          <w:szCs w:val="24"/>
          <w:lang w:eastAsia="en-US" w:bidi="sq-AL"/>
        </w:rPr>
        <w:t>) dhe Vlerës Aktuale Neto (VAN</w:t>
      </w:r>
      <w:r w:rsidRPr="00622884">
        <w:rPr>
          <w:rFonts w:ascii="Garamond" w:eastAsia="SimSun" w:hAnsi="Garamond" w:cs="Calibri Light"/>
          <w:sz w:val="24"/>
          <w:szCs w:val="24"/>
          <w:vertAlign w:val="superscript"/>
          <w:lang w:eastAsia="en-US" w:bidi="sq-AL"/>
        </w:rPr>
        <w:footnoteReference w:id="212"/>
      </w:r>
      <w:r w:rsidRPr="00622884">
        <w:rPr>
          <w:rFonts w:ascii="Garamond" w:eastAsia="SimSun" w:hAnsi="Garamond" w:cs="Calibri Light"/>
          <w:sz w:val="24"/>
          <w:szCs w:val="24"/>
          <w:lang w:eastAsia="en-US" w:bidi="sq-AL"/>
        </w:rPr>
        <w:t>). Këtu nuk u përfshinë masat “e buta”</w:t>
      </w:r>
      <w:r w:rsidRPr="00622884">
        <w:rPr>
          <w:rFonts w:ascii="Garamond" w:eastAsia="SimSun" w:hAnsi="Garamond" w:cs="Calibri Light"/>
          <w:sz w:val="24"/>
          <w:szCs w:val="24"/>
          <w:vertAlign w:val="superscript"/>
          <w:lang w:eastAsia="en-US" w:bidi="sq-AL"/>
        </w:rPr>
        <w:footnoteReference w:id="213"/>
      </w:r>
      <w:r w:rsidRPr="00622884">
        <w:rPr>
          <w:rFonts w:ascii="Garamond" w:eastAsia="SimSun" w:hAnsi="Garamond" w:cs="Calibri Light"/>
          <w:sz w:val="24"/>
          <w:szCs w:val="24"/>
          <w:lang w:eastAsia="en-US" w:bidi="sq-AL"/>
        </w:rPr>
        <w:t xml:space="preserve"> të zhvillimit të kapaciteteve për të cilat është e vështirë të kryhet një AKP (sidomos lidhur me përfitimet). Procesi i AKP-së përfshiu sa më poshtë: </w:t>
      </w:r>
    </w:p>
    <w:p w14:paraId="74C82DE4"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r w:rsidRPr="00622884">
        <w:rPr>
          <w:rFonts w:ascii="Garamond" w:eastAsia="Calibri" w:hAnsi="Garamond" w:cs="Times New Roman"/>
          <w:sz w:val="24"/>
          <w:szCs w:val="24"/>
          <w:lang w:eastAsia="en-US" w:bidi="sq-AL"/>
        </w:rPr>
        <w:t>- Konsultimet me palët e interesit për të mbledhur informacion të detajuar rreth kostos dhe synimit gjeografik;</w:t>
      </w:r>
    </w:p>
    <w:p w14:paraId="3E95877A"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r w:rsidRPr="00622884">
        <w:rPr>
          <w:rFonts w:ascii="Garamond" w:eastAsia="Calibri" w:hAnsi="Garamond" w:cs="Times New Roman"/>
          <w:sz w:val="24"/>
          <w:szCs w:val="24"/>
          <w:lang w:eastAsia="en-US" w:bidi="sq-AL"/>
        </w:rPr>
        <w:t>- Analizën e GIS-it dhe referencat e strategjive kombëtare për të vlerësuar fushëveprimin dhe shkallën e ndërhyrjeve kur të dhënat ishin të paplota;</w:t>
      </w:r>
    </w:p>
    <w:p w14:paraId="097B32B5"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r w:rsidRPr="00622884">
        <w:rPr>
          <w:rFonts w:ascii="Garamond" w:eastAsia="Calibri" w:hAnsi="Garamond" w:cs="Times New Roman"/>
          <w:sz w:val="24"/>
          <w:szCs w:val="24"/>
          <w:lang w:eastAsia="en-US" w:bidi="sq-AL"/>
        </w:rPr>
        <w:t>- Transferimet e përfitimeve dhe kostove nga ndërhyrje të ngjashme kombëtare ose rajonale, në mungesë të të dhënave parësore;</w:t>
      </w:r>
    </w:p>
    <w:p w14:paraId="565505FF"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r w:rsidRPr="00622884">
        <w:rPr>
          <w:rFonts w:ascii="Garamond" w:eastAsia="Calibri" w:hAnsi="Garamond" w:cs="Times New Roman"/>
          <w:sz w:val="24"/>
          <w:szCs w:val="24"/>
          <w:lang w:eastAsia="en-US" w:bidi="sq-AL"/>
        </w:rPr>
        <w:t>- Analizën e ndjeshmërisë duke përdorur norma të ndryshme zbritjeje për të marrë parasysh pasigurinë.</w:t>
      </w:r>
    </w:p>
    <w:p w14:paraId="16D3E2FA" w14:textId="77777777" w:rsidR="00622884" w:rsidRPr="00622884" w:rsidRDefault="00622884" w:rsidP="00622884">
      <w:pPr>
        <w:spacing w:after="0" w:line="240" w:lineRule="auto"/>
        <w:ind w:firstLine="284"/>
        <w:rPr>
          <w:rFonts w:ascii="Garamond" w:eastAsia="SimSun" w:hAnsi="Garamond" w:cs="Calibri Light"/>
          <w:sz w:val="24"/>
          <w:szCs w:val="24"/>
          <w:lang w:eastAsia="en-US" w:bidi="sq-AL"/>
        </w:rPr>
      </w:pPr>
      <w:r w:rsidRPr="00622884">
        <w:rPr>
          <w:rFonts w:ascii="Garamond" w:eastAsia="SimSun" w:hAnsi="Garamond" w:cs="Calibri Light"/>
          <w:sz w:val="24"/>
          <w:szCs w:val="24"/>
          <w:lang w:eastAsia="en-US" w:bidi="sq-AL"/>
        </w:rPr>
        <w:t>Në përgjithësi, analiza tregoi se portofoli i masave të propozuara tenton të gjenerojë kthime pozitive ekonomike, ku shumica e ndërhyrjeve tregojnë VAN-e pozitive dhe raporte të forta kosto-përfitim. Disa masa i përkasin kategorisë “</w:t>
      </w:r>
      <w:r w:rsidRPr="00622884">
        <w:rPr>
          <w:rFonts w:ascii="Garamond" w:eastAsia="SimSun" w:hAnsi="Garamond" w:cs="Calibri Light"/>
          <w:b/>
          <w:sz w:val="24"/>
          <w:szCs w:val="24"/>
          <w:lang w:eastAsia="en-US" w:bidi="sq-AL"/>
        </w:rPr>
        <w:t>me ndikim të lartë dhe pasoja minimale</w:t>
      </w:r>
      <w:r w:rsidRPr="00622884">
        <w:rPr>
          <w:rFonts w:ascii="Garamond" w:eastAsia="SimSun" w:hAnsi="Garamond" w:cs="Calibri Light"/>
          <w:sz w:val="24"/>
          <w:szCs w:val="24"/>
          <w:lang w:eastAsia="en-US" w:bidi="sq-AL"/>
        </w:rPr>
        <w:t>”. Këto masa ofrojnë përfitime të konsiderueshme neto që tejkalojnë qartazi kostot e tyre dhe konsiderohen strategjikisht optimale për zbatim për shkak të raporteve të forta kosto-përfitim dhe qëndrueshmërisë në kushte pasigurie. Masat e tjera klasifikohen si “</w:t>
      </w:r>
      <w:r w:rsidRPr="00622884">
        <w:rPr>
          <w:rFonts w:ascii="Garamond" w:eastAsia="SimSun" w:hAnsi="Garamond" w:cs="Calibri Light"/>
          <w:b/>
          <w:sz w:val="24"/>
          <w:szCs w:val="24"/>
          <w:lang w:eastAsia="en-US" w:bidi="sq-AL"/>
        </w:rPr>
        <w:t>me ndikim të ulët dhe pasoja minimale</w:t>
      </w:r>
      <w:r w:rsidRPr="00622884">
        <w:rPr>
          <w:rFonts w:ascii="Garamond" w:eastAsia="SimSun" w:hAnsi="Garamond" w:cs="Calibri Light"/>
          <w:sz w:val="24"/>
          <w:szCs w:val="24"/>
          <w:lang w:eastAsia="en-US" w:bidi="sq-AL"/>
        </w:rPr>
        <w:t>”, duke treguar se zbatimi i tyre mbetet i dobishëm edhe në mungesë të ndikimeve të rënda të ndryshimeve klimatike, shihni, gjithashtu:</w:t>
      </w:r>
    </w:p>
    <w:p w14:paraId="59B75468" w14:textId="77777777" w:rsidR="00622884" w:rsidRPr="00622884" w:rsidRDefault="00622884" w:rsidP="00622884">
      <w:pPr>
        <w:spacing w:after="0" w:line="240" w:lineRule="auto"/>
        <w:rPr>
          <w:rFonts w:ascii="Garamond" w:eastAsia="SimSun" w:hAnsi="Garamond" w:cs="Calibri Light"/>
          <w:sz w:val="8"/>
          <w:szCs w:val="24"/>
          <w:lang w:eastAsia="en-US"/>
        </w:rPr>
      </w:pPr>
    </w:p>
    <w:p w14:paraId="692DED79" w14:textId="77777777" w:rsidR="00622884" w:rsidRPr="00622884" w:rsidRDefault="00622884" w:rsidP="00622884">
      <w:pPr>
        <w:spacing w:after="0" w:line="240" w:lineRule="auto"/>
        <w:ind w:firstLine="284"/>
        <w:rPr>
          <w:rFonts w:ascii="Garamond" w:eastAsia="SimSun" w:hAnsi="Garamond" w:cs="Calibri Light"/>
          <w:sz w:val="24"/>
          <w:szCs w:val="24"/>
          <w:lang w:eastAsia="en-US"/>
        </w:rPr>
      </w:pPr>
      <w:r w:rsidRPr="00622884">
        <w:rPr>
          <w:rFonts w:ascii="Garamond" w:eastAsia="SimSun" w:hAnsi="Garamond" w:cs="Calibri Light"/>
          <w:noProof/>
          <w:sz w:val="24"/>
          <w:szCs w:val="24"/>
          <w:lang w:eastAsia="sq-AL"/>
        </w:rPr>
        <w:drawing>
          <wp:inline distT="0" distB="0" distL="0" distR="0" wp14:anchorId="69A7B15D" wp14:editId="614C1E0A">
            <wp:extent cx="4547175" cy="2051685"/>
            <wp:effectExtent l="0" t="0" r="6350" b="5715"/>
            <wp:docPr id="653" name="Picture 653" descr="A graph with text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80" descr="A graph with text on it&#10;&#10;AI-generated content may be incorrect."/>
                    <pic:cNvPicPr>
                      <a:picLocks noChangeAspect="1" noChangeArrowheads="1"/>
                    </pic:cNvPicPr>
                  </pic:nvPicPr>
                  <pic:blipFill>
                    <a:blip r:embed="rId94" cstate="print">
                      <a:extLst>
                        <a:ext uri="{28A0092B-C50C-407E-A947-70E740481C1C}">
                          <a14:useLocalDpi xmlns:a14="http://schemas.microsoft.com/office/drawing/2010/main" val="0"/>
                        </a:ext>
                      </a:extLst>
                    </a:blip>
                    <a:srcRect/>
                    <a:stretch>
                      <a:fillRect/>
                    </a:stretch>
                  </pic:blipFill>
                  <pic:spPr bwMode="auto">
                    <a:xfrm>
                      <a:off x="0" y="0"/>
                      <a:ext cx="4563237" cy="2058932"/>
                    </a:xfrm>
                    <a:prstGeom prst="rect">
                      <a:avLst/>
                    </a:prstGeom>
                    <a:noFill/>
                    <a:ln>
                      <a:noFill/>
                    </a:ln>
                  </pic:spPr>
                </pic:pic>
              </a:graphicData>
            </a:graphic>
          </wp:inline>
        </w:drawing>
      </w:r>
    </w:p>
    <w:p w14:paraId="21FC370A" w14:textId="77777777" w:rsidR="00622884" w:rsidRPr="00622884" w:rsidRDefault="00622884" w:rsidP="00622884">
      <w:pPr>
        <w:spacing w:after="0" w:line="240" w:lineRule="auto"/>
        <w:ind w:firstLine="284"/>
        <w:rPr>
          <w:rFonts w:ascii="Garamond" w:eastAsia="SimSun" w:hAnsi="Garamond" w:cs="Calibri Light"/>
          <w:sz w:val="8"/>
          <w:szCs w:val="24"/>
          <w:lang w:eastAsia="en-US"/>
        </w:rPr>
      </w:pPr>
    </w:p>
    <w:p w14:paraId="63D84CAD" w14:textId="77777777" w:rsidR="00622884" w:rsidRPr="00622884" w:rsidRDefault="00622884" w:rsidP="00622884">
      <w:pPr>
        <w:spacing w:after="0" w:line="240" w:lineRule="auto"/>
        <w:ind w:firstLine="284"/>
        <w:rPr>
          <w:rFonts w:ascii="Garamond" w:eastAsia="SimSun" w:hAnsi="Garamond" w:cs="Calibri Light"/>
          <w:sz w:val="24"/>
          <w:szCs w:val="24"/>
          <w:lang w:eastAsia="en-US"/>
        </w:rPr>
      </w:pPr>
      <w:r w:rsidRPr="00622884">
        <w:rPr>
          <w:rFonts w:ascii="Garamond" w:eastAsia="SimSun" w:hAnsi="Garamond" w:cs="Calibri Light"/>
          <w:sz w:val="24"/>
          <w:szCs w:val="24"/>
          <w:lang w:eastAsia="en-US"/>
        </w:rPr>
        <w:t>Figura 19 më poshtë, dhe planin e zbatimit, tabela 10, në kapitullin tjetër për detaje mbi masat e përshtatjes.</w:t>
      </w:r>
    </w:p>
    <w:p w14:paraId="7C028513" w14:textId="77777777" w:rsidR="00622884" w:rsidRPr="00622884" w:rsidRDefault="00622884" w:rsidP="00622884">
      <w:pPr>
        <w:spacing w:after="0" w:line="240" w:lineRule="auto"/>
        <w:ind w:firstLine="284"/>
        <w:rPr>
          <w:rFonts w:ascii="Garamond" w:eastAsia="SimSun" w:hAnsi="Garamond" w:cs="Calibri Light"/>
          <w:sz w:val="4"/>
          <w:szCs w:val="24"/>
          <w:lang w:eastAsia="en-US"/>
        </w:rPr>
      </w:pPr>
    </w:p>
    <w:p w14:paraId="07B83041" w14:textId="77777777" w:rsidR="00622884" w:rsidRPr="00622884" w:rsidRDefault="00622884" w:rsidP="00622884">
      <w:pPr>
        <w:spacing w:after="0" w:line="240" w:lineRule="auto"/>
        <w:ind w:firstLine="284"/>
        <w:jc w:val="center"/>
        <w:rPr>
          <w:rFonts w:ascii="Garamond" w:eastAsia="SimSun" w:hAnsi="Garamond" w:cs="Calibri Light"/>
          <w:b/>
          <w:bCs/>
          <w:sz w:val="24"/>
          <w:szCs w:val="24"/>
          <w:lang w:eastAsia="en-US"/>
        </w:rPr>
      </w:pPr>
      <w:bookmarkStart w:id="275" w:name="_Ref209094581"/>
      <w:r w:rsidRPr="00622884">
        <w:rPr>
          <w:rFonts w:ascii="Garamond" w:eastAsia="SimSun" w:hAnsi="Garamond" w:cs="Arial"/>
          <w:b/>
          <w:bCs/>
          <w:noProof/>
          <w:sz w:val="24"/>
          <w:szCs w:val="24"/>
          <w:lang w:eastAsia="sq-AL"/>
        </w:rPr>
        <w:drawing>
          <wp:inline distT="0" distB="0" distL="0" distR="0" wp14:anchorId="40295CFE" wp14:editId="0DE163AE">
            <wp:extent cx="3847465" cy="1977752"/>
            <wp:effectExtent l="0" t="0" r="635" b="3810"/>
            <wp:docPr id="654" name="Picture 654" descr="A graph with text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80" descr="A graph with text on it&#10;&#10;AI-generated content may be incorrect."/>
                    <pic:cNvPicPr>
                      <a:picLocks noChangeAspect="1" noChangeArrowheads="1"/>
                    </pic:cNvPicPr>
                  </pic:nvPicPr>
                  <pic:blipFill>
                    <a:blip r:embed="rId95" cstate="print">
                      <a:extLst>
                        <a:ext uri="{28A0092B-C50C-407E-A947-70E740481C1C}">
                          <a14:useLocalDpi xmlns:a14="http://schemas.microsoft.com/office/drawing/2010/main" val="0"/>
                        </a:ext>
                      </a:extLst>
                    </a:blip>
                    <a:srcRect/>
                    <a:stretch>
                      <a:fillRect/>
                    </a:stretch>
                  </pic:blipFill>
                  <pic:spPr bwMode="auto">
                    <a:xfrm>
                      <a:off x="0" y="0"/>
                      <a:ext cx="3858875" cy="1983617"/>
                    </a:xfrm>
                    <a:prstGeom prst="rect">
                      <a:avLst/>
                    </a:prstGeom>
                    <a:noFill/>
                    <a:ln>
                      <a:noFill/>
                    </a:ln>
                  </pic:spPr>
                </pic:pic>
              </a:graphicData>
            </a:graphic>
          </wp:inline>
        </w:drawing>
      </w:r>
    </w:p>
    <w:bookmarkEnd w:id="275"/>
    <w:p w14:paraId="401FD4F3" w14:textId="77777777" w:rsidR="00622884" w:rsidRPr="00622884" w:rsidRDefault="00622884" w:rsidP="00622884">
      <w:pPr>
        <w:spacing w:after="0" w:line="240" w:lineRule="auto"/>
        <w:ind w:firstLine="284"/>
        <w:jc w:val="right"/>
        <w:rPr>
          <w:rFonts w:ascii="Garamond" w:eastAsia="Aptos" w:hAnsi="Garamond" w:cs="Arial"/>
          <w:i/>
          <w:iCs/>
          <w:sz w:val="4"/>
          <w:szCs w:val="24"/>
          <w:lang w:eastAsia="en-US"/>
        </w:rPr>
      </w:pPr>
    </w:p>
    <w:p w14:paraId="203955FB" w14:textId="77777777" w:rsidR="00622884" w:rsidRPr="00622884" w:rsidRDefault="00622884" w:rsidP="00622884">
      <w:pPr>
        <w:spacing w:after="0" w:line="240" w:lineRule="auto"/>
        <w:ind w:firstLine="284"/>
        <w:jc w:val="center"/>
        <w:rPr>
          <w:rFonts w:ascii="Garamond" w:eastAsia="SimSun" w:hAnsi="Garamond" w:cs="Calibri Light"/>
          <w:i/>
          <w:sz w:val="20"/>
          <w:szCs w:val="20"/>
          <w:lang w:eastAsia="en-US" w:bidi="sq-AL"/>
        </w:rPr>
      </w:pPr>
      <w:r w:rsidRPr="00622884">
        <w:rPr>
          <w:rFonts w:ascii="Garamond" w:eastAsia="SimSun" w:hAnsi="Garamond" w:cs="Calibri Light"/>
          <w:i/>
          <w:sz w:val="20"/>
          <w:szCs w:val="20"/>
          <w:lang w:eastAsia="en-US" w:bidi="sq-AL"/>
        </w:rPr>
        <w:t>Figura 19. Prioritizimi i masave të përshtatjes sipas ndikimit dhe mundësia për pasoja të mëdha.</w:t>
      </w:r>
    </w:p>
    <w:p w14:paraId="52A440A5" w14:textId="77777777" w:rsidR="00622884" w:rsidRPr="00622884" w:rsidRDefault="00622884" w:rsidP="00622884">
      <w:pPr>
        <w:spacing w:after="0" w:line="240" w:lineRule="auto"/>
        <w:ind w:firstLine="284"/>
        <w:rPr>
          <w:rFonts w:ascii="Garamond" w:eastAsia="SimSun" w:hAnsi="Garamond" w:cs="Calibri Light"/>
          <w:sz w:val="24"/>
          <w:szCs w:val="24"/>
          <w:lang w:eastAsia="en-US" w:bidi="sq-AL"/>
        </w:rPr>
      </w:pPr>
    </w:p>
    <w:p w14:paraId="0250D835" w14:textId="77777777" w:rsidR="00622884" w:rsidRPr="00622884" w:rsidRDefault="00622884" w:rsidP="00622884">
      <w:pPr>
        <w:spacing w:after="0" w:line="240" w:lineRule="auto"/>
        <w:ind w:firstLine="284"/>
        <w:rPr>
          <w:rFonts w:ascii="Garamond" w:eastAsia="SimSun" w:hAnsi="Garamond" w:cs="Calibri Light"/>
          <w:sz w:val="24"/>
          <w:szCs w:val="24"/>
          <w:lang w:eastAsia="en-US"/>
        </w:rPr>
      </w:pPr>
      <w:r w:rsidRPr="00622884">
        <w:rPr>
          <w:rFonts w:ascii="Garamond" w:eastAsia="SimSun" w:hAnsi="Garamond" w:cs="Calibri Light"/>
          <w:sz w:val="24"/>
          <w:szCs w:val="24"/>
          <w:lang w:eastAsia="en-US" w:bidi="sq-AL"/>
        </w:rPr>
        <w:t xml:space="preserve">Analiza e KP-së nxori në pah disa </w:t>
      </w:r>
      <w:r w:rsidRPr="00622884">
        <w:rPr>
          <w:rFonts w:ascii="Garamond" w:eastAsia="SimSun" w:hAnsi="Garamond" w:cs="Calibri Light"/>
          <w:sz w:val="24"/>
          <w:szCs w:val="24"/>
          <w:u w:val="single"/>
          <w:lang w:eastAsia="en-US" w:bidi="sq-AL"/>
        </w:rPr>
        <w:t>kufizime</w:t>
      </w:r>
      <w:r w:rsidRPr="00622884">
        <w:rPr>
          <w:rFonts w:ascii="Garamond" w:eastAsia="SimSun" w:hAnsi="Garamond" w:cs="Calibri Light"/>
          <w:sz w:val="24"/>
          <w:szCs w:val="24"/>
          <w:lang w:eastAsia="en-US" w:bidi="sq-AL"/>
        </w:rPr>
        <w:t xml:space="preserve"> që duhen marrë parasysh dhe duhen vlerësuar për interpretimin e saj:</w:t>
      </w:r>
    </w:p>
    <w:p w14:paraId="728309B2"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r w:rsidRPr="00622884">
        <w:rPr>
          <w:rFonts w:ascii="Garamond" w:eastAsia="Calibri" w:hAnsi="Garamond" w:cs="Times New Roman"/>
          <w:sz w:val="24"/>
          <w:szCs w:val="24"/>
          <w:lang w:eastAsia="en-US" w:bidi="sq-AL"/>
        </w:rPr>
        <w:t xml:space="preserve">- </w:t>
      </w:r>
      <w:r w:rsidRPr="00622884">
        <w:rPr>
          <w:rFonts w:ascii="Garamond" w:eastAsia="Calibri" w:hAnsi="Garamond" w:cs="Times New Roman"/>
          <w:sz w:val="24"/>
          <w:szCs w:val="24"/>
          <w:u w:val="single"/>
          <w:lang w:eastAsia="en-US" w:bidi="sq-AL"/>
        </w:rPr>
        <w:t>Mangësitë në të dhëna dhe kufizimet analitike:</w:t>
      </w:r>
      <w:r w:rsidRPr="00622884">
        <w:rPr>
          <w:rFonts w:ascii="Garamond" w:eastAsia="Calibri" w:hAnsi="Garamond" w:cs="Times New Roman"/>
          <w:sz w:val="24"/>
          <w:szCs w:val="24"/>
          <w:lang w:eastAsia="en-US" w:bidi="sq-AL"/>
        </w:rPr>
        <w:t xml:space="preserve"> Një sërë masash nuk mund të vlerësoheshin plotësisht për shkak se mungonin të dhëna;</w:t>
      </w:r>
    </w:p>
    <w:p w14:paraId="2817E475"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r w:rsidRPr="00622884">
        <w:rPr>
          <w:rFonts w:ascii="Garamond" w:eastAsia="Calibri" w:hAnsi="Garamond" w:cs="Times New Roman"/>
          <w:sz w:val="24"/>
          <w:szCs w:val="24"/>
          <w:lang w:eastAsia="en-US" w:bidi="sq-AL"/>
        </w:rPr>
        <w:t xml:space="preserve">- </w:t>
      </w:r>
      <w:r w:rsidRPr="00622884">
        <w:rPr>
          <w:rFonts w:ascii="Garamond" w:eastAsia="Calibri" w:hAnsi="Garamond" w:cs="Times New Roman"/>
          <w:sz w:val="24"/>
          <w:szCs w:val="24"/>
          <w:u w:val="single"/>
          <w:lang w:eastAsia="en-US" w:bidi="sq-AL"/>
        </w:rPr>
        <w:t>Performancë e ulët ose negative ekonomike:</w:t>
      </w:r>
      <w:r w:rsidRPr="00622884">
        <w:rPr>
          <w:rFonts w:ascii="Garamond" w:eastAsia="Calibri" w:hAnsi="Garamond" w:cs="Times New Roman"/>
          <w:sz w:val="24"/>
          <w:szCs w:val="24"/>
          <w:lang w:eastAsia="en-US" w:bidi="sq-AL"/>
        </w:rPr>
        <w:t xml:space="preserve"> Këto rezultate ngrenë shqetësime në lidhje me qëndrueshmërinë ekonomike sipas supozimeve aktuale;</w:t>
      </w:r>
    </w:p>
    <w:p w14:paraId="37A4318C"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r w:rsidRPr="00622884">
        <w:rPr>
          <w:rFonts w:ascii="Garamond" w:eastAsia="Calibri" w:hAnsi="Garamond" w:cs="Times New Roman"/>
          <w:sz w:val="24"/>
          <w:szCs w:val="24"/>
          <w:lang w:eastAsia="en-US" w:bidi="sq-AL"/>
        </w:rPr>
        <w:t xml:space="preserve">- </w:t>
      </w:r>
      <w:r w:rsidRPr="00622884">
        <w:rPr>
          <w:rFonts w:ascii="Garamond" w:eastAsia="Calibri" w:hAnsi="Garamond" w:cs="Times New Roman"/>
          <w:sz w:val="24"/>
          <w:szCs w:val="24"/>
          <w:u w:val="single"/>
          <w:lang w:eastAsia="en-US" w:bidi="sq-AL"/>
        </w:rPr>
        <w:t>Ndjeshmëria ndaj parametrave kryesorë:</w:t>
      </w:r>
      <w:r w:rsidRPr="00622884">
        <w:rPr>
          <w:rFonts w:ascii="Garamond" w:eastAsia="Calibri" w:hAnsi="Garamond" w:cs="Times New Roman"/>
          <w:sz w:val="24"/>
          <w:szCs w:val="24"/>
          <w:lang w:eastAsia="en-US" w:bidi="sq-AL"/>
        </w:rPr>
        <w:t xml:space="preserve"> Disa masa tregojnë ndjeshmëri ndaj luhatjeve në parametrat e të dhënave, të cilat duhet të rishikohen më tej.</w:t>
      </w:r>
    </w:p>
    <w:p w14:paraId="310DA7EB"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r w:rsidRPr="00622884">
        <w:rPr>
          <w:rFonts w:ascii="Garamond" w:eastAsia="Calibri" w:hAnsi="Garamond" w:cs="Times New Roman"/>
          <w:sz w:val="24"/>
          <w:szCs w:val="24"/>
          <w:lang w:eastAsia="en-US" w:bidi="sq-AL"/>
        </w:rPr>
        <w:t xml:space="preserve">Disa </w:t>
      </w:r>
      <w:r w:rsidRPr="00622884">
        <w:rPr>
          <w:rFonts w:ascii="Garamond" w:eastAsia="Calibri" w:hAnsi="Garamond" w:cs="Times New Roman"/>
          <w:b/>
          <w:sz w:val="24"/>
          <w:szCs w:val="24"/>
          <w:lang w:eastAsia="en-US" w:bidi="sq-AL"/>
        </w:rPr>
        <w:t>rekomandime</w:t>
      </w:r>
      <w:r w:rsidRPr="00622884">
        <w:rPr>
          <w:rFonts w:ascii="Garamond" w:eastAsia="Calibri" w:hAnsi="Garamond" w:cs="Times New Roman"/>
          <w:sz w:val="24"/>
          <w:szCs w:val="24"/>
          <w:lang w:eastAsia="en-US" w:bidi="sq-AL"/>
        </w:rPr>
        <w:t xml:space="preserve"> nga AKP-ja janë:</w:t>
      </w:r>
    </w:p>
    <w:p w14:paraId="73EFB6F6"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r w:rsidRPr="00622884">
        <w:rPr>
          <w:rFonts w:ascii="Garamond" w:eastAsia="Calibri" w:hAnsi="Garamond" w:cs="Times New Roman"/>
          <w:sz w:val="24"/>
          <w:szCs w:val="24"/>
          <w:lang w:eastAsia="en-US" w:bidi="sq-AL"/>
        </w:rPr>
        <w:t xml:space="preserve">- </w:t>
      </w:r>
      <w:r w:rsidRPr="00622884">
        <w:rPr>
          <w:rFonts w:ascii="Garamond" w:eastAsia="Calibri" w:hAnsi="Garamond" w:cs="Times New Roman"/>
          <w:sz w:val="24"/>
          <w:szCs w:val="24"/>
          <w:u w:val="single"/>
          <w:lang w:eastAsia="en-US" w:bidi="sq-AL"/>
        </w:rPr>
        <w:t>Afatshkurtra:</w:t>
      </w:r>
      <w:r w:rsidRPr="00622884">
        <w:rPr>
          <w:rFonts w:ascii="Garamond" w:eastAsia="Calibri" w:hAnsi="Garamond" w:cs="Times New Roman"/>
          <w:sz w:val="24"/>
          <w:szCs w:val="24"/>
          <w:lang w:eastAsia="en-US" w:bidi="sq-AL"/>
        </w:rPr>
        <w:t xml:space="preserve"> T’i jepet përparësi zbatimit të masave me performancë të lartë dhe risk të ulët me AKP të mirë-argumentuara;</w:t>
      </w:r>
    </w:p>
    <w:p w14:paraId="4E4AFE57" w14:textId="77777777" w:rsidR="00622884" w:rsidRPr="00622884" w:rsidRDefault="00622884" w:rsidP="00622884">
      <w:pPr>
        <w:tabs>
          <w:tab w:val="left" w:pos="5325"/>
        </w:tabs>
        <w:spacing w:after="0" w:line="240" w:lineRule="auto"/>
        <w:ind w:firstLine="284"/>
        <w:rPr>
          <w:rFonts w:ascii="Garamond" w:eastAsia="Calibri" w:hAnsi="Garamond" w:cs="Times New Roman"/>
          <w:b/>
          <w:bCs/>
          <w:sz w:val="24"/>
          <w:szCs w:val="24"/>
          <w:lang w:eastAsia="en-US"/>
        </w:rPr>
      </w:pPr>
      <w:r w:rsidRPr="00622884">
        <w:rPr>
          <w:rFonts w:ascii="Garamond" w:eastAsia="Calibri" w:hAnsi="Garamond" w:cs="Times New Roman"/>
          <w:sz w:val="24"/>
          <w:szCs w:val="24"/>
          <w:lang w:eastAsia="en-US" w:bidi="sq-AL"/>
        </w:rPr>
        <w:t xml:space="preserve">- </w:t>
      </w:r>
      <w:r w:rsidRPr="00622884">
        <w:rPr>
          <w:rFonts w:ascii="Garamond" w:eastAsia="Calibri" w:hAnsi="Garamond" w:cs="Times New Roman"/>
          <w:sz w:val="24"/>
          <w:szCs w:val="24"/>
          <w:u w:val="single"/>
          <w:lang w:eastAsia="en-US" w:bidi="sq-AL"/>
        </w:rPr>
        <w:t>Afatmesme:</w:t>
      </w:r>
      <w:r w:rsidRPr="00622884">
        <w:rPr>
          <w:rFonts w:ascii="Garamond" w:eastAsia="Calibri" w:hAnsi="Garamond" w:cs="Times New Roman"/>
          <w:b/>
          <w:sz w:val="24"/>
          <w:szCs w:val="24"/>
          <w:lang w:eastAsia="en-US" w:bidi="sq-AL"/>
        </w:rPr>
        <w:t xml:space="preserve"> </w:t>
      </w:r>
      <w:r w:rsidRPr="00622884">
        <w:rPr>
          <w:rFonts w:ascii="Garamond" w:eastAsia="Calibri" w:hAnsi="Garamond" w:cs="Times New Roman"/>
          <w:sz w:val="24"/>
          <w:szCs w:val="24"/>
          <w:lang w:eastAsia="en-US" w:bidi="sq-AL"/>
        </w:rPr>
        <w:t>Të përmirësohen vlerësimet e kostos dhe përfitimit, veçanërisht për ato masa që aktualisht konsiderohen të paqarta ose negative;</w:t>
      </w:r>
    </w:p>
    <w:p w14:paraId="2E0C3CED"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r w:rsidRPr="00622884">
        <w:rPr>
          <w:rFonts w:ascii="Garamond" w:eastAsia="Calibri" w:hAnsi="Garamond" w:cs="Times New Roman"/>
          <w:sz w:val="24"/>
          <w:szCs w:val="24"/>
          <w:lang w:eastAsia="en-US" w:bidi="sq-AL"/>
        </w:rPr>
        <w:t xml:space="preserve">- </w:t>
      </w:r>
      <w:r w:rsidRPr="00622884">
        <w:rPr>
          <w:rFonts w:ascii="Garamond" w:eastAsia="Calibri" w:hAnsi="Garamond" w:cs="Times New Roman"/>
          <w:sz w:val="24"/>
          <w:szCs w:val="24"/>
          <w:u w:val="single"/>
          <w:lang w:eastAsia="en-US" w:bidi="sq-AL"/>
        </w:rPr>
        <w:t>Afatgjata:</w:t>
      </w:r>
      <w:r w:rsidRPr="00622884">
        <w:rPr>
          <w:rFonts w:ascii="Garamond" w:eastAsia="Calibri" w:hAnsi="Garamond" w:cs="Times New Roman"/>
          <w:b/>
          <w:sz w:val="24"/>
          <w:szCs w:val="24"/>
          <w:lang w:eastAsia="en-US" w:bidi="sq-AL"/>
        </w:rPr>
        <w:t xml:space="preserve"> </w:t>
      </w:r>
      <w:r w:rsidRPr="00622884">
        <w:rPr>
          <w:rFonts w:ascii="Garamond" w:eastAsia="Calibri" w:hAnsi="Garamond" w:cs="Times New Roman"/>
          <w:sz w:val="24"/>
          <w:szCs w:val="24"/>
          <w:lang w:eastAsia="en-US" w:bidi="sq-AL"/>
        </w:rPr>
        <w:t>Të institucionalizohet integrimi i analizës ekonomike në hartimin dhe vlerësimin e ndërhyrjeve të përshtatjes, duke përfshirë hartimin e udhëzimeve dhe instrumenteve kombëtare.</w:t>
      </w:r>
    </w:p>
    <w:p w14:paraId="268A2A77"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r w:rsidRPr="00622884">
        <w:rPr>
          <w:rFonts w:ascii="Garamond" w:eastAsia="Calibri" w:hAnsi="Garamond" w:cs="Times New Roman"/>
          <w:sz w:val="24"/>
          <w:szCs w:val="24"/>
          <w:lang w:eastAsia="en-US" w:bidi="sq-AL"/>
        </w:rPr>
        <w:t>Përmes këtij ushtrimi gjithëpërfshirës të përcaktimit të përparësive, duke përfshirë MCA-në dhe AKP-në, dolën masat përfundimtare të prioritizuara dhe të kostuara të përshtatjes në planin e zbatimit, shihni kapitullin tjetër.</w:t>
      </w:r>
    </w:p>
    <w:p w14:paraId="1D8BCCF5" w14:textId="77777777" w:rsidR="00622884" w:rsidRPr="00622884" w:rsidRDefault="00622884" w:rsidP="00622884">
      <w:pPr>
        <w:keepNext/>
        <w:keepLines/>
        <w:spacing w:after="0" w:line="240" w:lineRule="auto"/>
        <w:ind w:left="284"/>
        <w:outlineLvl w:val="0"/>
        <w:rPr>
          <w:rFonts w:ascii="Garamond" w:eastAsia="Times New Roman" w:hAnsi="Garamond" w:cs="Averta ExtraBold"/>
          <w:bCs/>
          <w:kern w:val="2"/>
          <w:sz w:val="24"/>
          <w:szCs w:val="24"/>
          <w:lang w:eastAsia="en-US"/>
        </w:rPr>
      </w:pPr>
      <w:bookmarkStart w:id="276" w:name="_Toc213936237"/>
      <w:bookmarkEnd w:id="270"/>
      <w:r w:rsidRPr="00622884">
        <w:rPr>
          <w:rFonts w:ascii="Garamond" w:eastAsia="Yu Gothic Light" w:hAnsi="Garamond" w:cs="Averta ExtraBold"/>
          <w:bCs/>
          <w:kern w:val="2"/>
          <w:sz w:val="24"/>
          <w:szCs w:val="24"/>
          <w:lang w:eastAsia="en-US" w:bidi="sq-AL"/>
        </w:rPr>
        <w:t>6. PLANI I ZBATIMIT TË NAP-it.</w:t>
      </w:r>
      <w:bookmarkEnd w:id="276"/>
    </w:p>
    <w:p w14:paraId="17428F8C" w14:textId="77777777" w:rsidR="00622884" w:rsidRPr="00622884" w:rsidRDefault="00622884" w:rsidP="00622884">
      <w:pPr>
        <w:spacing w:after="0" w:line="240" w:lineRule="auto"/>
        <w:ind w:firstLine="284"/>
        <w:rPr>
          <w:rFonts w:ascii="Garamond" w:eastAsia="SimSun" w:hAnsi="Garamond" w:cs="Calibri Light"/>
          <w:sz w:val="24"/>
          <w:szCs w:val="24"/>
          <w:lang w:eastAsia="en-US"/>
        </w:rPr>
      </w:pPr>
      <w:r w:rsidRPr="00622884">
        <w:rPr>
          <w:rFonts w:ascii="Garamond" w:eastAsia="SimSun" w:hAnsi="Garamond" w:cs="Calibri Light"/>
          <w:sz w:val="24"/>
          <w:szCs w:val="24"/>
          <w:lang w:eastAsia="en-US" w:bidi="sq-AL"/>
        </w:rPr>
        <w:t xml:space="preserve">Zbatimi i masave prioritare të përshtatjes kërkon një qasje zbatimi të mirëmenduar, me veprimtari, afate kohore, buxhete, role dhe përgjegjësi të përcaktuara qartë, si dhe tregues të përshtatshëm monitorimi. Për këtë qëllim, si pjesë e procesit të NAP-it, u përgatit dhe u verifikua </w:t>
      </w:r>
      <w:r w:rsidRPr="00622884">
        <w:rPr>
          <w:rFonts w:ascii="Garamond" w:eastAsia="SimSun" w:hAnsi="Garamond" w:cs="Calibri Light"/>
          <w:b/>
          <w:sz w:val="24"/>
          <w:szCs w:val="24"/>
          <w:lang w:eastAsia="en-US" w:bidi="sq-AL"/>
        </w:rPr>
        <w:t>plani i zbatimit të NAP-it</w:t>
      </w:r>
      <w:r w:rsidRPr="00622884">
        <w:rPr>
          <w:rFonts w:ascii="Garamond" w:eastAsia="SimSun" w:hAnsi="Garamond" w:cs="Calibri Light"/>
          <w:sz w:val="24"/>
          <w:szCs w:val="24"/>
          <w:lang w:eastAsia="en-US" w:bidi="sq-AL"/>
        </w:rPr>
        <w:t xml:space="preserve"> për të krijuar një kuadër koherent dhe të zbatueshëm për të udhëhequr zbatimin e masave prioritare të përshtatjes ndaj ndryshimeve klimatike në Shqipëri në të gjithë sektorët kryesorë: bujqësi dhe pylltari, energji, turizëm, zhvillim urban, transport dhe fusha ndërsektoriale</w:t>
      </w:r>
      <w:r w:rsidRPr="00622884">
        <w:rPr>
          <w:rFonts w:ascii="Garamond" w:eastAsia="SimSun" w:hAnsi="Garamond" w:cs="Calibri Light"/>
          <w:sz w:val="24"/>
          <w:szCs w:val="24"/>
          <w:vertAlign w:val="superscript"/>
          <w:lang w:eastAsia="en-US" w:bidi="sq-AL"/>
        </w:rPr>
        <w:footnoteReference w:id="214"/>
      </w:r>
      <w:r w:rsidRPr="00622884">
        <w:rPr>
          <w:rFonts w:ascii="Garamond" w:eastAsia="SimSun" w:hAnsi="Garamond" w:cs="Calibri Light"/>
          <w:sz w:val="24"/>
          <w:szCs w:val="24"/>
          <w:lang w:eastAsia="en-US" w:bidi="sq-AL"/>
        </w:rPr>
        <w:t xml:space="preserve">. Plani i zbatimit është hartuar për t’i shndërruar prioritetet sektoriale të përshtatjes në ndërhyrje konkrete që janë teknikisht të realizueshme, financiarisht të qëndrueshme dhe përfshirëse në aspektin social. Plani kontribuon në uljen e cenueshmërisë që lidhet me klimën (si sektoriale, ashtu edhe territoriale), duke rritur njëkohësisht kapacitetin institucional të vendit, koordinimin ndërinstitucional dhe aftësitë ripërtëritëse afatgjata. Ai nxit një mjedis bashkëpunues </w:t>
      </w:r>
      <w:r w:rsidRPr="00622884">
        <w:rPr>
          <w:rFonts w:ascii="Garamond" w:eastAsia="SimSun" w:hAnsi="Garamond" w:cs="Calibri Light"/>
          <w:sz w:val="24"/>
          <w:szCs w:val="24"/>
          <w:lang w:eastAsia="en-US" w:bidi="sq-AL"/>
        </w:rPr>
        <w:lastRenderedPageBreak/>
        <w:t>që u mundëson të gjithë aktorëve përkatës (qeveritarë, bashkiakë, joqeveritarë, të sektorit privat) të angazhohen në mënyrë të efektshme në procesin e zbatimit, duke siguruar që masat e përshtatjes t’u përgjigjen si prioriteteve kombëtare, ashtu edhe nevojave vendore.</w:t>
      </w:r>
    </w:p>
    <w:p w14:paraId="6F89BEB4" w14:textId="77777777" w:rsidR="00622884" w:rsidRPr="00622884" w:rsidRDefault="00622884" w:rsidP="00622884">
      <w:pPr>
        <w:spacing w:after="0" w:line="240" w:lineRule="auto"/>
        <w:ind w:firstLine="284"/>
        <w:rPr>
          <w:rFonts w:ascii="Garamond" w:eastAsia="SimSun" w:hAnsi="Garamond" w:cs="Calibri Light"/>
          <w:sz w:val="24"/>
          <w:szCs w:val="24"/>
          <w:lang w:eastAsia="en-US"/>
        </w:rPr>
      </w:pPr>
      <w:r w:rsidRPr="00622884">
        <w:rPr>
          <w:rFonts w:ascii="Garamond" w:eastAsia="Calibri" w:hAnsi="Garamond" w:cs="Times New Roman"/>
          <w:sz w:val="24"/>
          <w:szCs w:val="24"/>
          <w:lang w:eastAsia="en-US" w:bidi="sq-AL"/>
        </w:rPr>
        <w:t>Për arritjen e këtij qëllimi, plani është strukturuar për:</w:t>
      </w:r>
    </w:p>
    <w:p w14:paraId="1265FF39" w14:textId="77777777" w:rsidR="00622884" w:rsidRPr="00622884" w:rsidRDefault="00622884" w:rsidP="00622884">
      <w:pPr>
        <w:tabs>
          <w:tab w:val="left" w:pos="5325"/>
        </w:tabs>
        <w:spacing w:after="0" w:line="240" w:lineRule="auto"/>
        <w:ind w:firstLine="284"/>
        <w:rPr>
          <w:rFonts w:ascii="Garamond" w:eastAsia="SimSun" w:hAnsi="Garamond" w:cs="Calibri Light"/>
          <w:sz w:val="24"/>
          <w:szCs w:val="24"/>
          <w:lang w:eastAsia="en-US"/>
        </w:rPr>
      </w:pPr>
      <w:r w:rsidRPr="00622884">
        <w:rPr>
          <w:rFonts w:ascii="Garamond" w:eastAsia="Calibri" w:hAnsi="Garamond" w:cs="Times New Roman"/>
          <w:sz w:val="24"/>
          <w:szCs w:val="24"/>
          <w:lang w:eastAsia="en-US" w:bidi="sq-AL"/>
        </w:rPr>
        <w:t>1. Krijimin e kushteve institucionale dhe operacionale për zbatim efektiv, duke përcaktuar rolet dhe përgjegjësitë në nivel kombëtar dhe vendor.</w:t>
      </w:r>
    </w:p>
    <w:p w14:paraId="6DFCDCAF" w14:textId="77777777" w:rsidR="00622884" w:rsidRPr="00622884" w:rsidRDefault="00622884" w:rsidP="00622884">
      <w:pPr>
        <w:tabs>
          <w:tab w:val="left" w:pos="5325"/>
        </w:tabs>
        <w:spacing w:after="0" w:line="240" w:lineRule="auto"/>
        <w:ind w:firstLine="284"/>
        <w:rPr>
          <w:rFonts w:ascii="Garamond" w:eastAsia="SimSun" w:hAnsi="Garamond" w:cs="Calibri Light"/>
          <w:sz w:val="24"/>
          <w:szCs w:val="24"/>
          <w:lang w:eastAsia="en-US"/>
        </w:rPr>
      </w:pPr>
      <w:r w:rsidRPr="00622884">
        <w:rPr>
          <w:rFonts w:ascii="Garamond" w:eastAsia="Calibri" w:hAnsi="Garamond" w:cs="Times New Roman"/>
          <w:sz w:val="24"/>
          <w:szCs w:val="24"/>
          <w:lang w:eastAsia="en-US" w:bidi="sq-AL"/>
        </w:rPr>
        <w:t>2. Forcimin e bashkëpunimit shumënivelësh dhe ndërsektorial midis ministrive, agjencive publike, bashkive dhe palëve të tjera kryesore të interesit për të siguruar harmonizimin, koherencën dhe angazhimin për zbatimin e masave të përshtatjes.</w:t>
      </w:r>
    </w:p>
    <w:p w14:paraId="18AB2182" w14:textId="77777777" w:rsidR="00622884" w:rsidRPr="00622884" w:rsidRDefault="00622884" w:rsidP="00622884">
      <w:pPr>
        <w:tabs>
          <w:tab w:val="left" w:pos="5325"/>
        </w:tabs>
        <w:spacing w:after="0" w:line="240" w:lineRule="auto"/>
        <w:ind w:firstLine="284"/>
        <w:rPr>
          <w:rFonts w:ascii="Garamond" w:eastAsia="SimSun" w:hAnsi="Garamond" w:cs="Calibri Light"/>
          <w:sz w:val="24"/>
          <w:szCs w:val="24"/>
          <w:lang w:eastAsia="en-US"/>
        </w:rPr>
      </w:pPr>
      <w:r w:rsidRPr="00622884">
        <w:rPr>
          <w:rFonts w:ascii="Garamond" w:eastAsia="Calibri" w:hAnsi="Garamond" w:cs="Times New Roman"/>
          <w:sz w:val="24"/>
          <w:szCs w:val="24"/>
          <w:lang w:eastAsia="en-US" w:bidi="sq-AL"/>
        </w:rPr>
        <w:t xml:space="preserve">Kjo gjë siguron që masat e përshtatjes të zbatohen në mënyrë efektive, koherente dhe të qëndrueshme në të gjithë sektorët dhe nivelet e qeverisjes. </w:t>
      </w:r>
    </w:p>
    <w:p w14:paraId="78313C7C" w14:textId="77777777" w:rsidR="00622884" w:rsidRPr="00622884" w:rsidRDefault="00622884" w:rsidP="00622884">
      <w:pPr>
        <w:keepNext/>
        <w:keepLines/>
        <w:spacing w:after="0" w:line="240" w:lineRule="auto"/>
        <w:ind w:left="284"/>
        <w:outlineLvl w:val="1"/>
        <w:rPr>
          <w:rFonts w:ascii="Garamond" w:eastAsia="MS Mincho" w:hAnsi="Garamond" w:cs="Times New Roman"/>
          <w:b/>
          <w:bCs/>
          <w:caps/>
          <w:sz w:val="24"/>
          <w:szCs w:val="24"/>
          <w:lang w:eastAsia="es-ES"/>
        </w:rPr>
      </w:pPr>
      <w:bookmarkStart w:id="277" w:name="_Toc213936238"/>
      <w:r w:rsidRPr="00622884">
        <w:rPr>
          <w:rFonts w:ascii="Garamond" w:eastAsia="MS Mincho" w:hAnsi="Garamond" w:cs="Times New Roman"/>
          <w:b/>
          <w:bCs/>
          <w:caps/>
          <w:sz w:val="24"/>
          <w:szCs w:val="24"/>
          <w:lang w:eastAsia="es-ES" w:bidi="sq-AL"/>
        </w:rPr>
        <w:t xml:space="preserve">6.1 </w:t>
      </w:r>
      <w:r w:rsidRPr="00622884">
        <w:rPr>
          <w:rFonts w:ascii="Garamond" w:eastAsia="MS Mincho" w:hAnsi="Garamond" w:cs="Times New Roman"/>
          <w:b/>
          <w:bCs/>
          <w:sz w:val="24"/>
          <w:szCs w:val="24"/>
          <w:lang w:eastAsia="es-ES" w:bidi="sq-AL"/>
        </w:rPr>
        <w:t>Masat prioritare në kuadër të</w:t>
      </w:r>
      <w:r w:rsidRPr="00622884">
        <w:rPr>
          <w:rFonts w:ascii="Garamond" w:eastAsia="MS Mincho" w:hAnsi="Garamond" w:cs="Times New Roman"/>
          <w:b/>
          <w:bCs/>
          <w:caps/>
          <w:sz w:val="24"/>
          <w:szCs w:val="24"/>
          <w:lang w:eastAsia="es-ES" w:bidi="sq-AL"/>
        </w:rPr>
        <w:t xml:space="preserve"> NAP-</w:t>
      </w:r>
      <w:r w:rsidRPr="00622884">
        <w:rPr>
          <w:rFonts w:ascii="Garamond" w:eastAsia="MS Mincho" w:hAnsi="Garamond" w:cs="Times New Roman"/>
          <w:b/>
          <w:bCs/>
          <w:sz w:val="24"/>
          <w:szCs w:val="24"/>
          <w:lang w:eastAsia="es-ES" w:bidi="sq-AL"/>
        </w:rPr>
        <w:t>it</w:t>
      </w:r>
      <w:bookmarkEnd w:id="277"/>
    </w:p>
    <w:p w14:paraId="13EA4D19" w14:textId="77777777" w:rsidR="00622884" w:rsidRPr="00622884" w:rsidRDefault="00622884" w:rsidP="00622884">
      <w:pPr>
        <w:spacing w:after="0" w:line="240" w:lineRule="auto"/>
        <w:ind w:firstLine="284"/>
        <w:rPr>
          <w:rFonts w:ascii="Garamond" w:eastAsia="SimSun" w:hAnsi="Garamond" w:cs="Calibri Light"/>
          <w:b/>
          <w:bCs/>
          <w:sz w:val="24"/>
          <w:szCs w:val="24"/>
          <w:lang w:eastAsia="en-US"/>
        </w:rPr>
      </w:pPr>
      <w:r w:rsidRPr="00622884">
        <w:rPr>
          <w:rFonts w:ascii="Garamond" w:eastAsia="Calibri" w:hAnsi="Garamond" w:cs="Times New Roman"/>
          <w:sz w:val="24"/>
          <w:szCs w:val="24"/>
          <w:lang w:eastAsia="en-US" w:bidi="sq-AL"/>
        </w:rPr>
        <w:t>Për të lehtësuar kategorizimin e 66 masave të përshtatjes, ato janë ndarë në tre kategori bazuar në qasjen që përdorin për përshtatjen ndaj ndryshimeve klimatike:</w:t>
      </w:r>
    </w:p>
    <w:p w14:paraId="1E9C68DD" w14:textId="77777777" w:rsidR="00622884" w:rsidRPr="00622884" w:rsidRDefault="00622884" w:rsidP="00622884">
      <w:pPr>
        <w:tabs>
          <w:tab w:val="left" w:pos="5325"/>
        </w:tabs>
        <w:spacing w:after="0" w:line="240" w:lineRule="auto"/>
        <w:ind w:firstLine="284"/>
        <w:rPr>
          <w:rFonts w:ascii="Garamond" w:eastAsia="SimSun" w:hAnsi="Garamond" w:cs="Calibri Light"/>
          <w:sz w:val="24"/>
          <w:szCs w:val="24"/>
          <w:lang w:eastAsia="en-US"/>
        </w:rPr>
      </w:pPr>
      <w:r w:rsidRPr="00622884">
        <w:rPr>
          <w:rFonts w:ascii="Garamond" w:eastAsia="Calibri" w:hAnsi="Garamond" w:cs="Times New Roman"/>
          <w:sz w:val="24"/>
          <w:szCs w:val="24"/>
          <w:lang w:eastAsia="en-US" w:bidi="sq-AL"/>
        </w:rPr>
        <w:t>-</w:t>
      </w:r>
      <w:r w:rsidRPr="00622884">
        <w:rPr>
          <w:rFonts w:ascii="Garamond" w:eastAsia="Calibri" w:hAnsi="Garamond" w:cs="Times New Roman"/>
          <w:b/>
          <w:sz w:val="24"/>
          <w:szCs w:val="24"/>
          <w:lang w:eastAsia="en-US" w:bidi="sq-AL"/>
        </w:rPr>
        <w:t xml:space="preserve"> Masat e buta</w:t>
      </w:r>
      <w:r w:rsidRPr="00622884">
        <w:rPr>
          <w:rFonts w:ascii="Garamond" w:eastAsia="Calibri" w:hAnsi="Garamond" w:cs="Times New Roman"/>
          <w:sz w:val="24"/>
          <w:szCs w:val="24"/>
          <w:lang w:eastAsia="en-US" w:bidi="sq-AL"/>
        </w:rPr>
        <w:t xml:space="preserve"> u referohen ndërhyrjeve jostrukturore, si kërkimi dhe vlerësimet e riskut, ngritja e kapaciteteve, veprimtaritë e komunikimit dhe ndërgjegjësimit, mekanizmat e qeverisjes dhe koordinimit, instrumentet e planifikimit dhe rregullatore, si dhe mjetet financiare ose të bazuara në incentiva. Përmes këtyre masave synohet forcimi i kuadrove institucionalë dhe i kapaciteteve dhe krijimi i kushteve të favorshme për përshtatje (kapacitetet e përshtatjes). Ndërhyrjet e buta përbëjnë </w:t>
      </w:r>
      <w:r w:rsidRPr="00622884">
        <w:rPr>
          <w:rFonts w:ascii="Garamond" w:eastAsia="Calibri" w:hAnsi="Garamond" w:cs="Times New Roman"/>
          <w:b/>
          <w:sz w:val="24"/>
          <w:szCs w:val="24"/>
          <w:lang w:eastAsia="en-US" w:bidi="sq-AL"/>
        </w:rPr>
        <w:t>numrin më të madh të masave</w:t>
      </w:r>
      <w:r w:rsidRPr="00622884">
        <w:rPr>
          <w:rFonts w:ascii="Garamond" w:eastAsia="Calibri" w:hAnsi="Garamond" w:cs="Times New Roman"/>
          <w:sz w:val="24"/>
          <w:szCs w:val="24"/>
          <w:lang w:eastAsia="en-US" w:bidi="sq-AL"/>
        </w:rPr>
        <w:t xml:space="preserve"> (45 nga 66 masa); kjo gjë thekson rolin kritik të qeverisjes, kapaciteteve dhe sistemeve të bazuara në njohuri për përshtatjen e efektshme;</w:t>
      </w:r>
    </w:p>
    <w:p w14:paraId="716FA346" w14:textId="77777777" w:rsidR="00622884" w:rsidRPr="00622884" w:rsidRDefault="00622884" w:rsidP="00622884">
      <w:pPr>
        <w:tabs>
          <w:tab w:val="left" w:pos="5325"/>
        </w:tabs>
        <w:spacing w:after="0" w:line="240" w:lineRule="auto"/>
        <w:ind w:firstLine="284"/>
        <w:rPr>
          <w:rFonts w:ascii="Garamond" w:eastAsia="SimSun" w:hAnsi="Garamond" w:cs="Calibri Light"/>
          <w:sz w:val="24"/>
          <w:szCs w:val="24"/>
          <w:lang w:eastAsia="en-US"/>
        </w:rPr>
      </w:pPr>
      <w:r w:rsidRPr="00622884">
        <w:rPr>
          <w:rFonts w:ascii="Garamond" w:eastAsia="Calibri" w:hAnsi="Garamond" w:cs="Times New Roman"/>
          <w:sz w:val="24"/>
          <w:szCs w:val="24"/>
          <w:lang w:eastAsia="en-US" w:bidi="sq-AL"/>
        </w:rPr>
        <w:t>-</w:t>
      </w:r>
      <w:r w:rsidRPr="00622884">
        <w:rPr>
          <w:rFonts w:ascii="Garamond" w:eastAsia="Calibri" w:hAnsi="Garamond" w:cs="Times New Roman"/>
          <w:b/>
          <w:sz w:val="24"/>
          <w:szCs w:val="24"/>
          <w:lang w:eastAsia="en-US" w:bidi="sq-AL"/>
        </w:rPr>
        <w:t xml:space="preserve"> Masat e gjelbra</w:t>
      </w:r>
      <w:r w:rsidRPr="00622884">
        <w:rPr>
          <w:rFonts w:ascii="Garamond" w:eastAsia="Calibri" w:hAnsi="Garamond" w:cs="Times New Roman"/>
          <w:sz w:val="24"/>
          <w:szCs w:val="24"/>
          <w:lang w:eastAsia="en-US" w:bidi="sq-AL"/>
        </w:rPr>
        <w:t xml:space="preserve"> shfrytëzojnë restaurimin, ruajtjen ose menaxhimin e qëndrueshëm të ekosistemeve për të pakësuar risqet klimatike dhe për të ofruar përfitime të shumta të ndërsjella, duke përfshirë përmirësimin e biodiversitetit dhe ofrimin e shërbimeve të ekosistemit. Disa shembuj janë restaurimi i ekosistemit, ripyllëzimi, teknikat agroekologjike dhe zgjidhjet e bioinxhinierisë, të cilat ndonjëherë klasifikohen si zgjidhje të bazuara në natyrë ose përshtatje të bazuar në ekosistem. Ndërhyrjet e gjelbra përfaqësojnë </w:t>
      </w:r>
      <w:r w:rsidRPr="00622884">
        <w:rPr>
          <w:rFonts w:ascii="Garamond" w:eastAsia="Calibri" w:hAnsi="Garamond" w:cs="Times New Roman"/>
          <w:b/>
          <w:sz w:val="24"/>
          <w:szCs w:val="24"/>
          <w:lang w:eastAsia="en-US" w:bidi="sq-AL"/>
        </w:rPr>
        <w:t>15 ndërhyrje</w:t>
      </w:r>
      <w:r w:rsidRPr="00622884">
        <w:rPr>
          <w:rFonts w:ascii="Garamond" w:eastAsia="Calibri" w:hAnsi="Garamond" w:cs="Times New Roman"/>
          <w:sz w:val="24"/>
          <w:szCs w:val="24"/>
          <w:lang w:eastAsia="en-US" w:bidi="sq-AL"/>
        </w:rPr>
        <w:t xml:space="preserve"> gjithsej;</w:t>
      </w:r>
    </w:p>
    <w:p w14:paraId="62D7AF16" w14:textId="77777777" w:rsidR="00622884" w:rsidRPr="00622884" w:rsidRDefault="00622884" w:rsidP="00622884">
      <w:pPr>
        <w:tabs>
          <w:tab w:val="left" w:pos="5325"/>
        </w:tabs>
        <w:spacing w:after="0" w:line="240" w:lineRule="auto"/>
        <w:ind w:firstLine="284"/>
        <w:rPr>
          <w:rFonts w:ascii="Garamond" w:eastAsia="SimSun" w:hAnsi="Garamond" w:cs="Calibri Light"/>
          <w:sz w:val="24"/>
          <w:szCs w:val="24"/>
          <w:lang w:eastAsia="en-US"/>
        </w:rPr>
      </w:pPr>
      <w:r w:rsidRPr="00622884">
        <w:rPr>
          <w:rFonts w:ascii="Garamond" w:eastAsia="Calibri" w:hAnsi="Garamond" w:cs="Times New Roman"/>
          <w:sz w:val="24"/>
          <w:szCs w:val="24"/>
          <w:lang w:eastAsia="en-US" w:bidi="sq-AL"/>
        </w:rPr>
        <w:t>-</w:t>
      </w:r>
      <w:r w:rsidRPr="00622884">
        <w:rPr>
          <w:rFonts w:ascii="Garamond" w:eastAsia="Calibri" w:hAnsi="Garamond" w:cs="Times New Roman"/>
          <w:b/>
          <w:sz w:val="24"/>
          <w:szCs w:val="24"/>
          <w:lang w:eastAsia="en-US" w:bidi="sq-AL"/>
        </w:rPr>
        <w:t xml:space="preserve"> Masat gri</w:t>
      </w:r>
      <w:r w:rsidRPr="00622884">
        <w:rPr>
          <w:rFonts w:ascii="Garamond" w:eastAsia="Calibri" w:hAnsi="Garamond" w:cs="Times New Roman"/>
          <w:sz w:val="24"/>
          <w:szCs w:val="24"/>
          <w:lang w:eastAsia="en-US" w:bidi="sq-AL"/>
        </w:rPr>
        <w:t xml:space="preserve"> përfshijnë zgjidhje inxhinierike ose teknologjike të hartuara për të ulur ekspozimin fizik ndaj risqeve klimatike. Këtu përfshihet infrastruktura me aftësi ripërtëritëse, sistemet e kullimit dhe mbajtja e ujit, muret mbrojtëse, sistemet fizike të paralajmërimit të hershëm etj. Ndërhyrjet prioritare gri janë më të pakta në numër, me </w:t>
      </w:r>
      <w:r w:rsidRPr="00622884">
        <w:rPr>
          <w:rFonts w:ascii="Garamond" w:eastAsia="Calibri" w:hAnsi="Garamond" w:cs="Times New Roman"/>
          <w:b/>
          <w:sz w:val="24"/>
          <w:szCs w:val="24"/>
          <w:lang w:eastAsia="en-US" w:bidi="sq-AL"/>
        </w:rPr>
        <w:t>6 ndërhyrje</w:t>
      </w:r>
      <w:r w:rsidRPr="00622884">
        <w:rPr>
          <w:rFonts w:ascii="Garamond" w:eastAsia="Calibri" w:hAnsi="Garamond" w:cs="Times New Roman"/>
          <w:sz w:val="24"/>
          <w:szCs w:val="24"/>
          <w:lang w:eastAsia="en-US" w:bidi="sq-AL"/>
        </w:rPr>
        <w:t xml:space="preserve"> në Planin e Zbatimit, pasi për këto ndërhyrje nevojitet kapital i lartë, por ato janë thelbësore për mbrojtjen e infrastrukturës dhe shërbimeve kritike nga ngjarjet ekstreme të klimës.</w:t>
      </w:r>
    </w:p>
    <w:p w14:paraId="0764C62C" w14:textId="77777777" w:rsidR="00622884" w:rsidRPr="00622884" w:rsidRDefault="00622884" w:rsidP="00622884">
      <w:pPr>
        <w:tabs>
          <w:tab w:val="left" w:pos="5325"/>
        </w:tabs>
        <w:spacing w:after="0" w:line="240" w:lineRule="auto"/>
        <w:ind w:firstLine="284"/>
        <w:rPr>
          <w:rFonts w:ascii="Garamond" w:eastAsia="SimSun" w:hAnsi="Garamond" w:cs="Calibri Light"/>
          <w:sz w:val="24"/>
          <w:szCs w:val="24"/>
          <w:lang w:eastAsia="en-US"/>
        </w:rPr>
      </w:pPr>
      <w:r w:rsidRPr="00622884">
        <w:rPr>
          <w:rFonts w:ascii="Garamond" w:eastAsia="Calibri" w:hAnsi="Garamond" w:cs="Times New Roman"/>
          <w:sz w:val="24"/>
          <w:szCs w:val="24"/>
          <w:lang w:eastAsia="en-US" w:bidi="sq-AL"/>
        </w:rPr>
        <w:t xml:space="preserve">Paralelisht, 66 masat prioritare të përshtatjes janë të ndara sipas sektorëve për të adresuar cenueshmëritë specifike. Ato plotësohen me një kategori “masash ndërsektoriale”, që mbulon ndërhyrjet që sjellin përfitime përshtatjeje për të gjithë sektorët dhe/ose lehtësojnë koordinimin dhe zbatimin e përgjithshëm të NAP-it. Ndërhyrjet kyç për çdo sektor përmblidhen si më poshtë: </w:t>
      </w:r>
    </w:p>
    <w:p w14:paraId="40133E08" w14:textId="77777777" w:rsidR="00622884" w:rsidRPr="00622884" w:rsidRDefault="00622884" w:rsidP="00622884">
      <w:pPr>
        <w:tabs>
          <w:tab w:val="left" w:pos="5325"/>
        </w:tabs>
        <w:spacing w:after="0" w:line="240" w:lineRule="auto"/>
        <w:ind w:firstLine="284"/>
        <w:rPr>
          <w:rFonts w:ascii="Garamond" w:eastAsia="SimSun" w:hAnsi="Garamond" w:cs="Calibri Light"/>
          <w:sz w:val="24"/>
          <w:szCs w:val="24"/>
          <w:lang w:eastAsia="en-US"/>
        </w:rPr>
      </w:pPr>
      <w:r w:rsidRPr="00622884">
        <w:rPr>
          <w:rFonts w:ascii="Garamond" w:eastAsia="Calibri" w:hAnsi="Garamond" w:cs="Times New Roman"/>
          <w:sz w:val="24"/>
          <w:szCs w:val="24"/>
          <w:lang w:eastAsia="en-US" w:bidi="sq-AL"/>
        </w:rPr>
        <w:t>-</w:t>
      </w:r>
      <w:r w:rsidRPr="00622884">
        <w:rPr>
          <w:rFonts w:ascii="Garamond" w:eastAsia="Calibri" w:hAnsi="Garamond" w:cs="Times New Roman"/>
          <w:b/>
          <w:sz w:val="24"/>
          <w:szCs w:val="24"/>
          <w:lang w:eastAsia="en-US" w:bidi="sq-AL"/>
        </w:rPr>
        <w:t xml:space="preserve"> Masat ndërsektoriale të përshtatjes </w:t>
      </w:r>
      <w:r w:rsidRPr="00622884">
        <w:rPr>
          <w:rFonts w:ascii="Garamond" w:eastAsia="Calibri" w:hAnsi="Garamond" w:cs="Times New Roman"/>
          <w:sz w:val="24"/>
          <w:szCs w:val="24"/>
          <w:lang w:eastAsia="en-US" w:bidi="sq-AL"/>
        </w:rPr>
        <w:t>(10 gjithsej) janë të dobishme për shumë sektorë. Shpesh këto janë veprime që mundësojnë forcimin e koordinimit rajonal me aftësi ripërtëritëse ndaj klimës (p.sh., një Udhërrëfyes për Përshtatjen e Ballkanit Perëndimor për risqet ndërkufitare), përmirësimin e sistemeve të të dhënave klimatike (përmirësimin e rrjetit hidrometeorologjik dhe shkëmbimin e të dhënave) dhe pilotimi i mekanizmave novatorë të financimit. Këto veprime ndërsektoriale luajnë rol të rëndësishëm në përpjekjet e përgjithshme të përshtatjes, duke siguruar koherencë dhe duke shfrytëzuar sinergjitë në veprimet sektoriale;</w:t>
      </w:r>
    </w:p>
    <w:p w14:paraId="3D3F8DA7" w14:textId="77777777" w:rsidR="00622884" w:rsidRPr="00622884" w:rsidRDefault="00622884" w:rsidP="00622884">
      <w:pPr>
        <w:tabs>
          <w:tab w:val="left" w:pos="5325"/>
        </w:tabs>
        <w:spacing w:after="0" w:line="240" w:lineRule="auto"/>
        <w:ind w:firstLine="284"/>
        <w:rPr>
          <w:rFonts w:ascii="Garamond" w:eastAsia="Times New Roman" w:hAnsi="Garamond" w:cs="Calibri Light"/>
          <w:sz w:val="24"/>
          <w:szCs w:val="24"/>
          <w:lang w:eastAsia="en-US"/>
        </w:rPr>
      </w:pPr>
      <w:r w:rsidRPr="00622884">
        <w:rPr>
          <w:rFonts w:ascii="Garamond" w:eastAsia="Calibri" w:hAnsi="Garamond" w:cs="Times New Roman"/>
          <w:sz w:val="24"/>
          <w:szCs w:val="24"/>
          <w:lang w:eastAsia="en-US" w:bidi="sq-AL"/>
        </w:rPr>
        <w:t xml:space="preserve">- Masat e përshtatjes në </w:t>
      </w:r>
      <w:r w:rsidRPr="00622884">
        <w:rPr>
          <w:rFonts w:ascii="Garamond" w:eastAsia="Calibri" w:hAnsi="Garamond" w:cs="Times New Roman"/>
          <w:b/>
          <w:sz w:val="24"/>
          <w:szCs w:val="24"/>
          <w:lang w:eastAsia="en-US" w:bidi="sq-AL"/>
        </w:rPr>
        <w:t>bujqësi</w:t>
      </w:r>
      <w:r w:rsidRPr="00622884">
        <w:rPr>
          <w:rFonts w:ascii="Garamond" w:eastAsia="Calibri" w:hAnsi="Garamond" w:cs="Times New Roman"/>
          <w:sz w:val="24"/>
          <w:szCs w:val="24"/>
          <w:lang w:eastAsia="en-US" w:bidi="sq-AL"/>
        </w:rPr>
        <w:t xml:space="preserve"> (në total 8) përfshijnë përmirësimin e menaxhimit të ujit dhe infrastrukturës për aftësi ripërtëritëse ndaj ndryshimeve klimatike (p.sh., rehabilitimin e sistemeve të ujitjes dhe të kullimit dhe promovimin e mbledhjes së ujit të shiut në zonat me risk ndaj thatësirës), zbatimin e zgjidhjeve të bazuara në natyrë në tokat bujqësore (si restaurimi i fushave aluvionale dhe mbrojtja e brigjeve të lumenjve për të zvogëluar riskun nga përmbytjet në tokën </w:t>
      </w:r>
      <w:r w:rsidRPr="00622884">
        <w:rPr>
          <w:rFonts w:ascii="Garamond" w:eastAsia="Calibri" w:hAnsi="Garamond" w:cs="Times New Roman"/>
          <w:sz w:val="24"/>
          <w:szCs w:val="24"/>
          <w:lang w:eastAsia="en-US" w:bidi="sq-AL"/>
        </w:rPr>
        <w:lastRenderedPageBreak/>
        <w:t>bujqësore), ofrimin e mbrojtjes financiare për fermerët (sigurimi i kulturave bujqësore ose fondet e kompensimit për humbjet nga fatkeqësitë klimatike) dhe përmirësimin e shërbimeve bujqësore (hartimin e një Plani Veprimi për llojet invazive në kushte klimatike në ndryshim dhe rritjen e kapacitetit të monitorimit të klimës për zonat bregdetare dhe bujqësore);</w:t>
      </w:r>
    </w:p>
    <w:p w14:paraId="4A2A03DA" w14:textId="77777777" w:rsidR="00622884" w:rsidRPr="00622884" w:rsidRDefault="00622884" w:rsidP="00622884">
      <w:pPr>
        <w:tabs>
          <w:tab w:val="left" w:pos="5325"/>
        </w:tabs>
        <w:spacing w:after="0" w:line="240" w:lineRule="auto"/>
        <w:ind w:firstLine="284"/>
        <w:rPr>
          <w:rFonts w:ascii="Garamond" w:eastAsia="SimSun" w:hAnsi="Garamond" w:cs="Calibri Light"/>
          <w:sz w:val="24"/>
          <w:szCs w:val="24"/>
          <w:lang w:eastAsia="en-US"/>
        </w:rPr>
      </w:pPr>
      <w:r w:rsidRPr="00622884">
        <w:rPr>
          <w:rFonts w:ascii="Garamond" w:eastAsia="Calibri" w:hAnsi="Garamond" w:cs="Times New Roman"/>
          <w:sz w:val="24"/>
          <w:szCs w:val="24"/>
          <w:lang w:eastAsia="en-US" w:bidi="sq-AL"/>
        </w:rPr>
        <w:t xml:space="preserve">- Në sektorin e </w:t>
      </w:r>
      <w:r w:rsidRPr="00622884">
        <w:rPr>
          <w:rFonts w:ascii="Garamond" w:eastAsia="Calibri" w:hAnsi="Garamond" w:cs="Times New Roman"/>
          <w:b/>
          <w:sz w:val="24"/>
          <w:szCs w:val="24"/>
          <w:lang w:eastAsia="en-US" w:bidi="sq-AL"/>
        </w:rPr>
        <w:t>pylltarisë</w:t>
      </w:r>
      <w:r w:rsidRPr="00622884">
        <w:rPr>
          <w:rFonts w:ascii="Garamond" w:eastAsia="Calibri" w:hAnsi="Garamond" w:cs="Times New Roman"/>
          <w:sz w:val="24"/>
          <w:szCs w:val="24"/>
          <w:lang w:eastAsia="en-US" w:bidi="sq-AL"/>
        </w:rPr>
        <w:t>, 13 masat prioritare përqendrohen në restaurimin e ekosistemit dhe ripyllëzimin në shkallë të gjerë. Masa më kërkuese e planit është një program mbarëkombëtar i pyllëzimit dhe agropylltarisë për të restauruar tokat e degraduara dhe për të përmirësuar aftësitë ripërtëritëse të pellgjeve ujëmbledhëse. Masa të tjera sektoriale përfshijnë krijimin e fidanishteve rajonale pyjore për specie rezistente ndaj thatësirës dhe programe për të ndihmuar migrimin e specieve të rralla/endemike drejt habitateve të përshtatshme ndërkohë që klima ndryshon. Ndërhyrje të tjera prioritare synojnë mbrojtjen nga përmbytjet dhe erozioni përmes restaurimit të brezave të gjelbër bregdetarë dhe lumorë, duke zbatuar kontrollin e integruar të erozionit dhe duke rritur aftësitë ripërtëritëse të zonave të mbrojtura. Janë prioritizuar edhe masat për ngritjen e kapaciteteve, si forcimi i menaxhimit të zjarreve në peizazh dhe vënia në zbatim e skemave të Pagesës për Shërbimet e Ekosistemit (PSHE) për të financuar ruajtjen e pyjeve;</w:t>
      </w:r>
    </w:p>
    <w:p w14:paraId="48E2A746" w14:textId="77777777" w:rsidR="00622884" w:rsidRPr="00622884" w:rsidRDefault="00622884" w:rsidP="00622884">
      <w:pPr>
        <w:tabs>
          <w:tab w:val="left" w:pos="5325"/>
        </w:tabs>
        <w:spacing w:after="0" w:line="240" w:lineRule="auto"/>
        <w:ind w:firstLine="284"/>
        <w:rPr>
          <w:rFonts w:ascii="Garamond" w:eastAsia="SimSun" w:hAnsi="Garamond" w:cs="Calibri Light"/>
          <w:sz w:val="24"/>
          <w:szCs w:val="24"/>
          <w:lang w:eastAsia="en-US"/>
        </w:rPr>
      </w:pPr>
      <w:r w:rsidRPr="00622884">
        <w:rPr>
          <w:rFonts w:ascii="Garamond" w:eastAsia="Calibri" w:hAnsi="Garamond" w:cs="Times New Roman"/>
          <w:sz w:val="24"/>
          <w:szCs w:val="24"/>
          <w:lang w:eastAsia="en-US" w:bidi="sq-AL"/>
        </w:rPr>
        <w:t xml:space="preserve">- Në sektorin e </w:t>
      </w:r>
      <w:r w:rsidRPr="00622884">
        <w:rPr>
          <w:rFonts w:ascii="Garamond" w:eastAsia="Calibri" w:hAnsi="Garamond" w:cs="Times New Roman"/>
          <w:b/>
          <w:sz w:val="24"/>
          <w:szCs w:val="24"/>
          <w:lang w:eastAsia="en-US" w:bidi="sq-AL"/>
        </w:rPr>
        <w:t>turizmit</w:t>
      </w:r>
      <w:r w:rsidRPr="00622884">
        <w:rPr>
          <w:rFonts w:ascii="Garamond" w:eastAsia="Calibri" w:hAnsi="Garamond" w:cs="Times New Roman"/>
          <w:sz w:val="24"/>
          <w:szCs w:val="24"/>
          <w:lang w:eastAsia="en-US" w:bidi="sq-AL"/>
        </w:rPr>
        <w:t xml:space="preserve"> përfshihen 11 ndërhyrje prioritare, të cilat janë kryesisht masa “të buta” duke pasur parasysh nevojat e sektorit të turizmit për planifikim dhe kapacitete. Këtu përfshihen planifikimi hapësinor i bazuar te klima për zhvillimin e turizmit (për të shmangur zonat me rrezik të lartë si fushat aluvionale ose vijat bregdetare me erozion), përditësimi i standardeve të ndërtimit dhe programeve të incentivave për mbrojtjen e objekteve turistike nga ndryshimet klimatike, si dhe reformat politike dhe rregullatore për të integruar menaxhimin e riskut klimatik në veprimtaritë turistike. Një masë e rëndësishme e bazuar në ekosistem në turizëm është nisma për mbrojtjen e trashëgimisë nënujore të gjirit të Vlorës. Masat e tjera përqendrohen në ngritjen e kapaciteteve, p.sh., trajnimi i operatorëve turistikë lidhur me praktikat e përshtatjes, krijimi i qendrave të njohurive digjitale për turizmin me aftësi ripërtëritëse ndaj ndryshimeve klimatike dhe zbatimi i rregulloreve për mbrojtjen e pasurive natyrore;</w:t>
      </w:r>
    </w:p>
    <w:p w14:paraId="3A38038B" w14:textId="77777777" w:rsidR="00622884" w:rsidRPr="00622884" w:rsidRDefault="00622884" w:rsidP="00622884">
      <w:pPr>
        <w:tabs>
          <w:tab w:val="left" w:pos="5325"/>
        </w:tabs>
        <w:spacing w:after="0" w:line="240" w:lineRule="auto"/>
        <w:ind w:firstLine="284"/>
        <w:rPr>
          <w:rFonts w:ascii="Garamond" w:eastAsia="SimSun" w:hAnsi="Garamond" w:cs="Calibri Light"/>
          <w:sz w:val="24"/>
          <w:szCs w:val="24"/>
          <w:lang w:eastAsia="en-US"/>
        </w:rPr>
      </w:pPr>
      <w:r w:rsidRPr="00622884">
        <w:rPr>
          <w:rFonts w:ascii="Garamond" w:eastAsia="Calibri" w:hAnsi="Garamond" w:cs="Times New Roman"/>
          <w:sz w:val="24"/>
          <w:szCs w:val="24"/>
          <w:lang w:eastAsia="en-US" w:bidi="sq-AL"/>
        </w:rPr>
        <w:t xml:space="preserve">- Ka 9 masa për forcimin e aftësive ripërtëritëse urbane në </w:t>
      </w:r>
      <w:r w:rsidRPr="00622884">
        <w:rPr>
          <w:rFonts w:ascii="Garamond" w:eastAsia="Calibri" w:hAnsi="Garamond" w:cs="Times New Roman"/>
          <w:b/>
          <w:sz w:val="24"/>
          <w:szCs w:val="24"/>
          <w:lang w:eastAsia="en-US" w:bidi="sq-AL"/>
        </w:rPr>
        <w:t>zhvillimin</w:t>
      </w:r>
      <w:r w:rsidRPr="00622884">
        <w:rPr>
          <w:rFonts w:ascii="Garamond" w:eastAsia="Calibri" w:hAnsi="Garamond" w:cs="Times New Roman"/>
          <w:sz w:val="24"/>
          <w:szCs w:val="24"/>
          <w:lang w:eastAsia="en-US" w:bidi="sq-AL"/>
        </w:rPr>
        <w:t xml:space="preserve"> </w:t>
      </w:r>
      <w:r w:rsidRPr="00622884">
        <w:rPr>
          <w:rFonts w:ascii="Garamond" w:eastAsia="Calibri" w:hAnsi="Garamond" w:cs="Times New Roman"/>
          <w:b/>
          <w:sz w:val="24"/>
          <w:szCs w:val="24"/>
          <w:lang w:eastAsia="en-US" w:bidi="sq-AL"/>
        </w:rPr>
        <w:t>urban</w:t>
      </w:r>
      <w:r w:rsidRPr="00622884">
        <w:rPr>
          <w:rFonts w:ascii="Garamond" w:eastAsia="Calibri" w:hAnsi="Garamond" w:cs="Times New Roman"/>
          <w:sz w:val="24"/>
          <w:szCs w:val="24"/>
          <w:lang w:eastAsia="en-US" w:bidi="sq-AL"/>
        </w:rPr>
        <w:t>. Disa masa përfshijnë integrimin e ndryshimeve klimatike në planifikimin urban dhe territorial: p.sh., përditësimi i masterplaneve të qytetit për të marrë parasysh rritjen e nivelit të detit dhe riskun nga përmbytjet, si dhe ridrejtimi i zhvillimeve të reja larg zonave me risk të lartë. Një tjetër fushë kyç ndërhyrjeje është rritja e aftësive ripërtëritëse të ndërtesave dhe përmirësimi i infrastrukturës urbane përmes masave si: kryerja e vlerësimeve të riskut klimatik në nivel qyteti dhe hartave të cenueshmërisë për të orientuar investimet, hartimi i planeve të reagimit ndaj emergjencave të përmbytjeve për bashkitë dhe vlerësimi i alternativave për kullimin e qëndrueshëm urban. Masat “e gjelbra” specifike përfshijnë nismat për gjelbërim urban dhe ripyllëzim për të krijuar korridore të gjelbra dhe për të zbutur efektet e ishujve të nxehtësisë;</w:t>
      </w:r>
    </w:p>
    <w:p w14:paraId="11ECC08B" w14:textId="77777777" w:rsidR="00622884" w:rsidRPr="00622884" w:rsidRDefault="00622884" w:rsidP="00622884">
      <w:pPr>
        <w:tabs>
          <w:tab w:val="left" w:pos="5325"/>
        </w:tabs>
        <w:spacing w:after="0" w:line="240" w:lineRule="auto"/>
        <w:ind w:firstLine="284"/>
        <w:rPr>
          <w:rFonts w:ascii="Garamond" w:eastAsia="SimSun" w:hAnsi="Garamond" w:cs="Calibri Light"/>
          <w:sz w:val="24"/>
          <w:szCs w:val="24"/>
          <w:lang w:eastAsia="en-US"/>
        </w:rPr>
      </w:pPr>
      <w:r w:rsidRPr="00622884">
        <w:rPr>
          <w:rFonts w:ascii="Garamond" w:eastAsia="Calibri" w:hAnsi="Garamond" w:cs="Times New Roman"/>
          <w:sz w:val="24"/>
          <w:szCs w:val="24"/>
          <w:lang w:eastAsia="en-US" w:bidi="sq-AL"/>
        </w:rPr>
        <w:t xml:space="preserve">- Tetë masat e përshtatjes në </w:t>
      </w:r>
      <w:r w:rsidRPr="00622884">
        <w:rPr>
          <w:rFonts w:ascii="Garamond" w:eastAsia="Calibri" w:hAnsi="Garamond" w:cs="Times New Roman"/>
          <w:b/>
          <w:sz w:val="24"/>
          <w:szCs w:val="24"/>
          <w:lang w:eastAsia="en-US" w:bidi="sq-AL"/>
        </w:rPr>
        <w:t>sektorin e energjisë</w:t>
      </w:r>
      <w:r w:rsidRPr="00622884">
        <w:rPr>
          <w:rFonts w:ascii="Garamond" w:eastAsia="Calibri" w:hAnsi="Garamond" w:cs="Times New Roman"/>
          <w:sz w:val="24"/>
          <w:szCs w:val="24"/>
          <w:lang w:eastAsia="en-US" w:bidi="sq-AL"/>
        </w:rPr>
        <w:t xml:space="preserve"> trajtojnë si ofertën, ashtu edhe kërkesën për energji. Në aspektin e ofertës/infrastrukturës, synohet mbrojtja e infrastrukturës energjetike nga moti ekstrem përmes një mase të gjerë “gri”. Një masë tjetër përqendrohet në përmirësimin e aftësive ripërtëritëse në sistemet e gjenerimit të energjisë hidroelektrike, ku përfshihet optimizimi i operacioneve të rezervuarëve për realitetet e reja klimatike dhe përforcimin e digave dhe strukturave përkatëse. Në aspektin e kërkesës, masat përfshijnë promovimin e teknologjive efikase të ftohjes për valët e të nxehtit, si dhe përmirësimin e kuadrit rregullator përmes qasjeve të reja si zbatimi i standardeve të performancës së energjisë për ndërtesat. Gjithashtu, ka masa eksploruese si menaxhimi lidhur me kërkesën dhe studimet e ruajtjes së energjisë për të shtuar fleksibilitetin e sistemit energjetik në rast të ndryshueshmërisë klimatike;</w:t>
      </w:r>
    </w:p>
    <w:p w14:paraId="42A34E31" w14:textId="77777777" w:rsidR="00622884" w:rsidRPr="00622884" w:rsidRDefault="00622884" w:rsidP="00622884">
      <w:pPr>
        <w:tabs>
          <w:tab w:val="left" w:pos="5325"/>
        </w:tabs>
        <w:spacing w:after="0" w:line="240" w:lineRule="auto"/>
        <w:ind w:firstLine="284"/>
        <w:rPr>
          <w:rFonts w:ascii="Garamond" w:eastAsia="SimSun" w:hAnsi="Garamond" w:cs="Calibri Light"/>
          <w:sz w:val="24"/>
          <w:szCs w:val="24"/>
          <w:lang w:eastAsia="en-US"/>
        </w:rPr>
      </w:pPr>
      <w:r w:rsidRPr="00622884">
        <w:rPr>
          <w:rFonts w:ascii="Garamond" w:eastAsia="Calibri" w:hAnsi="Garamond" w:cs="Times New Roman"/>
          <w:sz w:val="24"/>
          <w:szCs w:val="24"/>
          <w:lang w:eastAsia="en-US" w:bidi="sq-AL"/>
        </w:rPr>
        <w:t xml:space="preserve">- Në </w:t>
      </w:r>
      <w:r w:rsidRPr="00622884">
        <w:rPr>
          <w:rFonts w:ascii="Garamond" w:eastAsia="Calibri" w:hAnsi="Garamond" w:cs="Times New Roman"/>
          <w:b/>
          <w:sz w:val="24"/>
          <w:szCs w:val="24"/>
          <w:lang w:eastAsia="en-US" w:bidi="sq-AL"/>
        </w:rPr>
        <w:t>sektorin e transportit</w:t>
      </w:r>
      <w:r w:rsidRPr="00622884">
        <w:rPr>
          <w:rFonts w:ascii="Garamond" w:eastAsia="Calibri" w:hAnsi="Garamond" w:cs="Times New Roman"/>
          <w:sz w:val="24"/>
          <w:szCs w:val="24"/>
          <w:lang w:eastAsia="en-US" w:bidi="sq-AL"/>
        </w:rPr>
        <w:t xml:space="preserve">, 7 masat prioritare janë kryesisht strategjike ose të përqendruara në planifikim, duke reflektuar nevojën për të mbrojtur sistematikisht rrjetin e transportit nga ndryshimet klimatike, p.sh., përmes vlerësimeve të rregullta të cenueshmërisë dhe riskut klimatik për infrastrukturën rrugore. Masa të tjera u japin përparësi zgjidhjeve bioinxhinierike për </w:t>
      </w:r>
      <w:r w:rsidRPr="00622884">
        <w:rPr>
          <w:rFonts w:ascii="Garamond" w:eastAsia="Calibri" w:hAnsi="Garamond" w:cs="Times New Roman"/>
          <w:sz w:val="24"/>
          <w:szCs w:val="24"/>
          <w:lang w:eastAsia="en-US" w:bidi="sq-AL"/>
        </w:rPr>
        <w:lastRenderedPageBreak/>
        <w:t>stabilizimin e rrugëve dhe studimet gjeologjike për të udhëhequr projektimin e rrugëve në zonat me rrezik erozioni. Një masë shumë e rëndësishme e gjelbër është integrimi i zgjidhjeve të bazuara në natyrë në infrastrukturën e transportit. Sa u përket politikave, masat përfshijnë përditësimin e standardeve të projektimit të transportit dhe programeve të mirëmbajtjes për të marrë parasysh risqet klimatike (udhëzime për projektimin e rrugëve me aftësi ripërtëritëse ndaj klimës) dhe krijimin e partneriteteve novatore të financimit për të financuar projekte për transportin me aftësi ripërtëritëse.</w:t>
      </w:r>
    </w:p>
    <w:p w14:paraId="0DFB8266" w14:textId="77777777" w:rsidR="00622884" w:rsidRPr="00622884" w:rsidRDefault="00622884" w:rsidP="00622884">
      <w:pPr>
        <w:spacing w:after="0" w:line="240" w:lineRule="auto"/>
        <w:ind w:firstLine="284"/>
        <w:rPr>
          <w:rFonts w:ascii="Garamond" w:eastAsia="Calibri" w:hAnsi="Garamond" w:cs="Times New Roman"/>
          <w:sz w:val="24"/>
          <w:szCs w:val="24"/>
          <w:lang w:eastAsia="en-US" w:bidi="sq-AL"/>
        </w:rPr>
      </w:pPr>
      <w:r w:rsidRPr="00622884">
        <w:rPr>
          <w:rFonts w:ascii="Garamond" w:eastAsia="Calibri" w:hAnsi="Garamond" w:cs="Times New Roman"/>
          <w:sz w:val="24"/>
          <w:szCs w:val="24"/>
          <w:lang w:eastAsia="en-US" w:bidi="sq-AL"/>
        </w:rPr>
        <w:t>Në aneksin IV, më poshtë, paraqitet një hartë me vendndodhjet e masave për pylltarinë, bujqësinë dhe ZBN, në të cilën përmblidhen 66 masat e përshtatjes duke përfshirë sektorin, llojin e masës, kostot e përllogaritura dhe periudhën e zbatimit:</w:t>
      </w:r>
    </w:p>
    <w:p w14:paraId="04C6394F" w14:textId="77777777" w:rsidR="00622884" w:rsidRPr="00622884" w:rsidRDefault="00622884" w:rsidP="00622884">
      <w:pPr>
        <w:spacing w:after="0" w:line="240" w:lineRule="auto"/>
        <w:ind w:firstLine="284"/>
        <w:rPr>
          <w:rFonts w:ascii="Garamond" w:eastAsia="Calibri" w:hAnsi="Garamond" w:cs="Times New Roman"/>
          <w:sz w:val="10"/>
          <w:szCs w:val="24"/>
          <w:lang w:eastAsia="en-US" w:bidi="sq-AL"/>
        </w:rPr>
      </w:pPr>
    </w:p>
    <w:p w14:paraId="43912C4B" w14:textId="77777777" w:rsidR="00622884" w:rsidRPr="00622884" w:rsidRDefault="00622884" w:rsidP="00622884">
      <w:pPr>
        <w:spacing w:after="0" w:line="240" w:lineRule="auto"/>
        <w:rPr>
          <w:rFonts w:ascii="Garamond" w:eastAsia="Calibri" w:hAnsi="Garamond" w:cs="Times New Roman"/>
          <w:b/>
          <w:bCs/>
          <w:iCs/>
          <w:sz w:val="24"/>
          <w:szCs w:val="18"/>
          <w:lang w:eastAsia="en-US"/>
        </w:rPr>
      </w:pPr>
      <w:bookmarkStart w:id="278" w:name="_Toc213936111"/>
      <w:r w:rsidRPr="00622884">
        <w:rPr>
          <w:rFonts w:ascii="Garamond" w:eastAsia="Calibri" w:hAnsi="Garamond" w:cs="Times New Roman"/>
          <w:b/>
          <w:sz w:val="24"/>
          <w:lang w:eastAsia="en-US" w:bidi="sq-AL"/>
        </w:rPr>
        <w:t>Tabela 10: Plani i Zbatimit të NAP-it</w:t>
      </w:r>
      <w:r w:rsidRPr="00622884">
        <w:rPr>
          <w:rFonts w:ascii="Garamond" w:eastAsia="Calibri" w:hAnsi="Garamond" w:cs="Times New Roman"/>
          <w:b/>
          <w:sz w:val="24"/>
          <w:vertAlign w:val="superscript"/>
          <w:lang w:eastAsia="en-US" w:bidi="sq-AL"/>
        </w:rPr>
        <w:footnoteReference w:id="215"/>
      </w:r>
      <w:r w:rsidRPr="00622884">
        <w:rPr>
          <w:rFonts w:ascii="Garamond" w:eastAsia="Calibri" w:hAnsi="Garamond" w:cs="Times New Roman"/>
          <w:b/>
          <w:sz w:val="24"/>
          <w:lang w:eastAsia="en-US" w:bidi="sq-AL"/>
        </w:rPr>
        <w:t>.</w:t>
      </w:r>
      <w:bookmarkEnd w:id="278"/>
      <w:r w:rsidRPr="00622884">
        <w:rPr>
          <w:rFonts w:ascii="Garamond" w:eastAsia="Calibri" w:hAnsi="Garamond" w:cs="Times New Roman"/>
          <w:b/>
          <w:sz w:val="24"/>
          <w:lang w:eastAsia="en-US" w:bidi="sq-AL"/>
        </w:rPr>
        <w:t xml:space="preserve"> </w:t>
      </w:r>
    </w:p>
    <w:tbl>
      <w:tblPr>
        <w:tblW w:w="5742" w:type="pct"/>
        <w:jc w:val="center"/>
        <w:tblBorders>
          <w:top w:val="single" w:sz="4" w:space="0" w:color="1D3C5A"/>
          <w:left w:val="single" w:sz="4" w:space="0" w:color="1D3C5A"/>
          <w:bottom w:val="single" w:sz="4" w:space="0" w:color="1D3C5A"/>
          <w:right w:val="single" w:sz="4" w:space="0" w:color="1D3C5A"/>
          <w:insideH w:val="single" w:sz="4" w:space="0" w:color="1D3C5A"/>
          <w:insideV w:val="single" w:sz="4" w:space="0" w:color="1D3C5A"/>
        </w:tblBorders>
        <w:tblLook w:val="04A0" w:firstRow="1" w:lastRow="0" w:firstColumn="1" w:lastColumn="0" w:noHBand="0" w:noVBand="1"/>
      </w:tblPr>
      <w:tblGrid>
        <w:gridCol w:w="419"/>
        <w:gridCol w:w="1140"/>
        <w:gridCol w:w="6048"/>
        <w:gridCol w:w="946"/>
        <w:gridCol w:w="1220"/>
        <w:gridCol w:w="892"/>
      </w:tblGrid>
      <w:tr w:rsidR="00622884" w:rsidRPr="00622884" w14:paraId="1F6B067A" w14:textId="77777777" w:rsidTr="00622884">
        <w:trPr>
          <w:trHeight w:val="20"/>
          <w:tblHeader/>
          <w:jc w:val="center"/>
        </w:trPr>
        <w:tc>
          <w:tcPr>
            <w:tcW w:w="177" w:type="pct"/>
            <w:shd w:val="clear" w:color="auto" w:fill="215A5C"/>
            <w:vAlign w:val="center"/>
          </w:tcPr>
          <w:p w14:paraId="335D139C" w14:textId="77777777" w:rsidR="00622884" w:rsidRPr="00622884" w:rsidRDefault="00622884" w:rsidP="00622884">
            <w:pPr>
              <w:spacing w:after="0" w:line="240" w:lineRule="auto"/>
              <w:jc w:val="center"/>
              <w:rPr>
                <w:rFonts w:ascii="Garamond" w:eastAsia="Calibri" w:hAnsi="Garamond" w:cs="Calibri Light"/>
                <w:b/>
                <w:bCs/>
                <w:sz w:val="14"/>
                <w:szCs w:val="14"/>
                <w:lang w:eastAsia="en-US"/>
              </w:rPr>
            </w:pPr>
            <w:r w:rsidRPr="00622884">
              <w:rPr>
                <w:rFonts w:ascii="Garamond" w:eastAsia="SimSun" w:hAnsi="Garamond" w:cs="Times New Roman"/>
                <w:b/>
                <w:sz w:val="14"/>
                <w:szCs w:val="14"/>
                <w:lang w:eastAsia="en-US" w:bidi="sq-AL"/>
              </w:rPr>
              <w:t>Nr.</w:t>
            </w:r>
          </w:p>
        </w:tc>
        <w:tc>
          <w:tcPr>
            <w:tcW w:w="576" w:type="pct"/>
            <w:shd w:val="clear" w:color="auto" w:fill="215A5C"/>
            <w:vAlign w:val="center"/>
          </w:tcPr>
          <w:p w14:paraId="14C623C3" w14:textId="77777777" w:rsidR="00622884" w:rsidRPr="00622884" w:rsidRDefault="00622884" w:rsidP="00622884">
            <w:pPr>
              <w:spacing w:after="0" w:line="240" w:lineRule="auto"/>
              <w:jc w:val="center"/>
              <w:rPr>
                <w:rFonts w:ascii="Garamond" w:eastAsia="Calibri" w:hAnsi="Garamond" w:cs="Calibri Light"/>
                <w:b/>
                <w:bCs/>
                <w:sz w:val="14"/>
                <w:szCs w:val="14"/>
                <w:lang w:eastAsia="en-US"/>
              </w:rPr>
            </w:pPr>
            <w:r w:rsidRPr="00622884">
              <w:rPr>
                <w:rFonts w:ascii="Garamond" w:eastAsia="SimSun" w:hAnsi="Garamond" w:cs="Times New Roman"/>
                <w:b/>
                <w:sz w:val="14"/>
                <w:szCs w:val="14"/>
                <w:lang w:eastAsia="en-US" w:bidi="sq-AL"/>
              </w:rPr>
              <w:t>Sektori</w:t>
            </w:r>
          </w:p>
        </w:tc>
        <w:tc>
          <w:tcPr>
            <w:tcW w:w="2877" w:type="pct"/>
            <w:shd w:val="clear" w:color="auto" w:fill="215A5C"/>
            <w:vAlign w:val="center"/>
          </w:tcPr>
          <w:p w14:paraId="1056AC63" w14:textId="77777777" w:rsidR="00622884" w:rsidRPr="00622884" w:rsidRDefault="00622884" w:rsidP="00622884">
            <w:pPr>
              <w:spacing w:after="0" w:line="240" w:lineRule="auto"/>
              <w:jc w:val="center"/>
              <w:rPr>
                <w:rFonts w:ascii="Garamond" w:eastAsia="Calibri" w:hAnsi="Garamond" w:cs="Calibri Light"/>
                <w:b/>
                <w:bCs/>
                <w:sz w:val="14"/>
                <w:szCs w:val="14"/>
                <w:lang w:eastAsia="en-US"/>
              </w:rPr>
            </w:pPr>
            <w:r w:rsidRPr="00622884">
              <w:rPr>
                <w:rFonts w:ascii="Garamond" w:eastAsia="SimSun" w:hAnsi="Garamond" w:cs="Times New Roman"/>
                <w:b/>
                <w:sz w:val="14"/>
                <w:szCs w:val="14"/>
                <w:lang w:eastAsia="en-US" w:bidi="sq-AL"/>
              </w:rPr>
              <w:t>Masat e përshtatjes</w:t>
            </w:r>
          </w:p>
        </w:tc>
        <w:tc>
          <w:tcPr>
            <w:tcW w:w="485" w:type="pct"/>
            <w:shd w:val="clear" w:color="auto" w:fill="215A5C"/>
            <w:vAlign w:val="center"/>
          </w:tcPr>
          <w:p w14:paraId="681FFC72" w14:textId="77777777" w:rsidR="00622884" w:rsidRPr="00622884" w:rsidRDefault="00622884" w:rsidP="00622884">
            <w:pPr>
              <w:spacing w:after="0" w:line="240" w:lineRule="auto"/>
              <w:jc w:val="center"/>
              <w:rPr>
                <w:rFonts w:ascii="Garamond" w:eastAsia="Calibri" w:hAnsi="Garamond" w:cs="Calibri Light"/>
                <w:b/>
                <w:bCs/>
                <w:sz w:val="14"/>
                <w:szCs w:val="14"/>
                <w:lang w:eastAsia="en-US"/>
              </w:rPr>
            </w:pPr>
            <w:r w:rsidRPr="00622884">
              <w:rPr>
                <w:rFonts w:ascii="Garamond" w:eastAsia="SimSun" w:hAnsi="Garamond" w:cs="Times New Roman"/>
                <w:b/>
                <w:sz w:val="14"/>
                <w:szCs w:val="14"/>
                <w:lang w:eastAsia="en-US" w:bidi="sq-AL"/>
              </w:rPr>
              <w:t>Lloji i ndërhyrjes*</w:t>
            </w:r>
          </w:p>
        </w:tc>
        <w:tc>
          <w:tcPr>
            <w:tcW w:w="613" w:type="pct"/>
            <w:shd w:val="clear" w:color="auto" w:fill="215A5C"/>
            <w:vAlign w:val="center"/>
          </w:tcPr>
          <w:p w14:paraId="2E24A13E" w14:textId="77777777" w:rsidR="00622884" w:rsidRPr="00622884" w:rsidRDefault="00622884" w:rsidP="00622884">
            <w:pPr>
              <w:spacing w:after="0" w:line="240" w:lineRule="auto"/>
              <w:jc w:val="center"/>
              <w:rPr>
                <w:rFonts w:ascii="Garamond" w:eastAsia="Calibri" w:hAnsi="Garamond" w:cs="Calibri Light"/>
                <w:b/>
                <w:bCs/>
                <w:sz w:val="14"/>
                <w:szCs w:val="14"/>
                <w:lang w:eastAsia="en-US"/>
              </w:rPr>
            </w:pPr>
            <w:r w:rsidRPr="00622884">
              <w:rPr>
                <w:rFonts w:ascii="Garamond" w:eastAsia="SimSun" w:hAnsi="Garamond" w:cs="Times New Roman"/>
                <w:b/>
                <w:sz w:val="14"/>
                <w:szCs w:val="14"/>
                <w:lang w:eastAsia="en-US" w:bidi="sq-AL"/>
              </w:rPr>
              <w:t>Kostoja (dollarë amerikanë)</w:t>
            </w:r>
          </w:p>
        </w:tc>
        <w:tc>
          <w:tcPr>
            <w:tcW w:w="272" w:type="pct"/>
            <w:shd w:val="clear" w:color="auto" w:fill="215A5C"/>
            <w:vAlign w:val="center"/>
          </w:tcPr>
          <w:p w14:paraId="4E4A9CB7" w14:textId="77777777" w:rsidR="00622884" w:rsidRPr="00622884" w:rsidRDefault="00622884" w:rsidP="00622884">
            <w:pPr>
              <w:spacing w:after="0" w:line="240" w:lineRule="auto"/>
              <w:jc w:val="center"/>
              <w:rPr>
                <w:rFonts w:ascii="Garamond" w:eastAsia="Calibri" w:hAnsi="Garamond" w:cs="Calibri Light"/>
                <w:b/>
                <w:bCs/>
                <w:sz w:val="14"/>
                <w:szCs w:val="14"/>
                <w:lang w:eastAsia="en-US"/>
              </w:rPr>
            </w:pPr>
            <w:r w:rsidRPr="00622884">
              <w:rPr>
                <w:rFonts w:ascii="Garamond" w:eastAsia="SimSun" w:hAnsi="Garamond" w:cs="Times New Roman"/>
                <w:b/>
                <w:sz w:val="14"/>
                <w:szCs w:val="14"/>
                <w:lang w:eastAsia="en-US" w:bidi="sq-AL"/>
              </w:rPr>
              <w:t>Periudha**</w:t>
            </w:r>
          </w:p>
        </w:tc>
      </w:tr>
      <w:tr w:rsidR="00622884" w:rsidRPr="00622884" w14:paraId="18F61073" w14:textId="77777777" w:rsidTr="00622884">
        <w:trPr>
          <w:trHeight w:val="20"/>
          <w:jc w:val="center"/>
        </w:trPr>
        <w:tc>
          <w:tcPr>
            <w:tcW w:w="177" w:type="pct"/>
            <w:shd w:val="clear" w:color="auto" w:fill="E0F4F4"/>
            <w:vAlign w:val="center"/>
          </w:tcPr>
          <w:p w14:paraId="67E442AC" w14:textId="77777777" w:rsidR="00622884" w:rsidRPr="00622884" w:rsidRDefault="00622884" w:rsidP="00622884">
            <w:pPr>
              <w:spacing w:after="0" w:line="240" w:lineRule="auto"/>
              <w:jc w:val="center"/>
              <w:rPr>
                <w:rFonts w:ascii="Garamond" w:eastAsia="Calibri" w:hAnsi="Garamond" w:cs="Calibri Light"/>
                <w:b/>
                <w:bCs/>
                <w:sz w:val="14"/>
                <w:szCs w:val="14"/>
                <w:lang w:eastAsia="en-US"/>
              </w:rPr>
            </w:pPr>
            <w:r w:rsidRPr="00622884">
              <w:rPr>
                <w:rFonts w:ascii="Garamond" w:eastAsia="SimSun" w:hAnsi="Garamond" w:cs="Times New Roman"/>
                <w:b/>
                <w:sz w:val="14"/>
                <w:szCs w:val="14"/>
                <w:lang w:eastAsia="en-US" w:bidi="sq-AL"/>
              </w:rPr>
              <w:t>1</w:t>
            </w:r>
          </w:p>
        </w:tc>
        <w:tc>
          <w:tcPr>
            <w:tcW w:w="576" w:type="pct"/>
            <w:shd w:val="clear" w:color="auto" w:fill="E0F4F4"/>
            <w:vAlign w:val="center"/>
          </w:tcPr>
          <w:p w14:paraId="3ADE9DD8" w14:textId="77777777" w:rsidR="00622884" w:rsidRPr="00622884" w:rsidRDefault="00622884" w:rsidP="00622884">
            <w:pPr>
              <w:spacing w:after="0" w:line="240" w:lineRule="auto"/>
              <w:jc w:val="center"/>
              <w:rPr>
                <w:rFonts w:ascii="Garamond" w:eastAsia="Calibri" w:hAnsi="Garamond" w:cs="Calibri Light"/>
                <w:sz w:val="14"/>
                <w:szCs w:val="14"/>
                <w:lang w:eastAsia="en-US"/>
              </w:rPr>
            </w:pPr>
            <w:r w:rsidRPr="00622884">
              <w:rPr>
                <w:rFonts w:ascii="Garamond" w:eastAsia="SimSun" w:hAnsi="Garamond" w:cs="Times New Roman"/>
                <w:sz w:val="14"/>
                <w:szCs w:val="14"/>
                <w:lang w:eastAsia="en-US" w:bidi="sq-AL"/>
              </w:rPr>
              <w:t>Ndërsektorial</w:t>
            </w:r>
          </w:p>
        </w:tc>
        <w:tc>
          <w:tcPr>
            <w:tcW w:w="2877" w:type="pct"/>
            <w:shd w:val="clear" w:color="auto" w:fill="E0F4F4"/>
            <w:vAlign w:val="center"/>
          </w:tcPr>
          <w:p w14:paraId="095A4DC0" w14:textId="77777777" w:rsidR="00622884" w:rsidRPr="00622884" w:rsidRDefault="00622884" w:rsidP="00622884">
            <w:pPr>
              <w:spacing w:after="0" w:line="240" w:lineRule="auto"/>
              <w:jc w:val="left"/>
              <w:rPr>
                <w:rFonts w:ascii="Garamond" w:eastAsia="Calibri" w:hAnsi="Garamond" w:cs="Calibri Light"/>
                <w:sz w:val="14"/>
                <w:szCs w:val="14"/>
                <w:lang w:eastAsia="en-US"/>
              </w:rPr>
            </w:pPr>
            <w:r w:rsidRPr="00622884">
              <w:rPr>
                <w:rFonts w:ascii="Garamond" w:eastAsia="SimSun" w:hAnsi="Garamond" w:cs="Times New Roman"/>
                <w:sz w:val="14"/>
                <w:szCs w:val="14"/>
                <w:lang w:eastAsia="en-US" w:bidi="sq-AL"/>
              </w:rPr>
              <w:t>Forcimi i aftësive ripërtëritëse rajonale: Mbështetja e Udhërrëfyesit për Përshtatjen e Ballkanit Perëndimor</w:t>
            </w:r>
          </w:p>
        </w:tc>
        <w:tc>
          <w:tcPr>
            <w:tcW w:w="485" w:type="pct"/>
            <w:shd w:val="clear" w:color="auto" w:fill="E0F4F4"/>
            <w:vAlign w:val="center"/>
          </w:tcPr>
          <w:p w14:paraId="68656FE7" w14:textId="77777777" w:rsidR="00622884" w:rsidRPr="00622884" w:rsidRDefault="00622884" w:rsidP="00622884">
            <w:pPr>
              <w:spacing w:after="0" w:line="240" w:lineRule="auto"/>
              <w:jc w:val="center"/>
              <w:rPr>
                <w:rFonts w:ascii="Garamond" w:eastAsia="Calibri" w:hAnsi="Garamond" w:cs="Calibri Light"/>
                <w:sz w:val="14"/>
                <w:szCs w:val="14"/>
                <w:lang w:eastAsia="en-US"/>
              </w:rPr>
            </w:pPr>
            <w:r w:rsidRPr="00622884">
              <w:rPr>
                <w:rFonts w:ascii="Garamond" w:eastAsia="SimSun" w:hAnsi="Garamond" w:cs="Times New Roman"/>
                <w:sz w:val="14"/>
                <w:szCs w:val="14"/>
                <w:lang w:eastAsia="en-US" w:bidi="sq-AL"/>
              </w:rPr>
              <w:t>Masë e butë</w:t>
            </w:r>
          </w:p>
        </w:tc>
        <w:tc>
          <w:tcPr>
            <w:tcW w:w="613" w:type="pct"/>
            <w:shd w:val="clear" w:color="auto" w:fill="E0F4F4"/>
            <w:vAlign w:val="center"/>
          </w:tcPr>
          <w:p w14:paraId="1682D0C1" w14:textId="77777777" w:rsidR="00622884" w:rsidRPr="00622884" w:rsidRDefault="00622884" w:rsidP="00622884">
            <w:pPr>
              <w:spacing w:after="0" w:line="240" w:lineRule="auto"/>
              <w:jc w:val="center"/>
              <w:rPr>
                <w:rFonts w:ascii="Garamond" w:eastAsia="Calibri" w:hAnsi="Garamond" w:cs="Calibri Light"/>
                <w:sz w:val="14"/>
                <w:szCs w:val="14"/>
                <w:lang w:eastAsia="en-US"/>
              </w:rPr>
            </w:pPr>
            <w:r w:rsidRPr="00622884">
              <w:rPr>
                <w:rFonts w:ascii="Garamond" w:eastAsia="SimSun" w:hAnsi="Garamond" w:cs="Times New Roman"/>
                <w:sz w:val="14"/>
                <w:szCs w:val="14"/>
                <w:lang w:eastAsia="en-US" w:bidi="sq-AL"/>
              </w:rPr>
              <w:t xml:space="preserve">315.000 </w:t>
            </w:r>
          </w:p>
        </w:tc>
        <w:tc>
          <w:tcPr>
            <w:tcW w:w="272" w:type="pct"/>
            <w:shd w:val="clear" w:color="auto" w:fill="E0F4F4"/>
            <w:vAlign w:val="center"/>
          </w:tcPr>
          <w:p w14:paraId="338F3BCE" w14:textId="77777777" w:rsidR="00622884" w:rsidRPr="00622884" w:rsidRDefault="00622884" w:rsidP="00622884">
            <w:pPr>
              <w:spacing w:after="0" w:line="240" w:lineRule="auto"/>
              <w:jc w:val="center"/>
              <w:rPr>
                <w:rFonts w:ascii="Garamond" w:eastAsia="Calibri" w:hAnsi="Garamond" w:cs="Calibri Light"/>
                <w:sz w:val="14"/>
                <w:szCs w:val="14"/>
                <w:lang w:eastAsia="en-US"/>
              </w:rPr>
            </w:pPr>
            <w:r w:rsidRPr="00622884">
              <w:rPr>
                <w:rFonts w:ascii="Garamond" w:eastAsia="SimSun" w:hAnsi="Garamond" w:cs="Times New Roman"/>
                <w:sz w:val="14"/>
                <w:szCs w:val="14"/>
                <w:lang w:eastAsia="en-US" w:bidi="sq-AL"/>
              </w:rPr>
              <w:t>ASH</w:t>
            </w:r>
          </w:p>
        </w:tc>
      </w:tr>
      <w:tr w:rsidR="00622884" w:rsidRPr="00622884" w14:paraId="712AD553" w14:textId="77777777" w:rsidTr="00622884">
        <w:trPr>
          <w:trHeight w:val="20"/>
          <w:jc w:val="center"/>
        </w:trPr>
        <w:tc>
          <w:tcPr>
            <w:tcW w:w="177" w:type="pct"/>
            <w:shd w:val="clear" w:color="auto" w:fill="E0F4F4"/>
            <w:vAlign w:val="center"/>
          </w:tcPr>
          <w:p w14:paraId="32E1D19D" w14:textId="77777777" w:rsidR="00622884" w:rsidRPr="00622884" w:rsidRDefault="00622884" w:rsidP="00622884">
            <w:pPr>
              <w:spacing w:after="0" w:line="240" w:lineRule="auto"/>
              <w:jc w:val="center"/>
              <w:rPr>
                <w:rFonts w:ascii="Garamond" w:eastAsia="Calibri" w:hAnsi="Garamond" w:cs="Calibri Light"/>
                <w:b/>
                <w:bCs/>
                <w:sz w:val="14"/>
                <w:szCs w:val="14"/>
                <w:lang w:eastAsia="en-US"/>
              </w:rPr>
            </w:pPr>
            <w:r w:rsidRPr="00622884">
              <w:rPr>
                <w:rFonts w:ascii="Garamond" w:eastAsia="SimSun" w:hAnsi="Garamond" w:cs="Times New Roman"/>
                <w:b/>
                <w:sz w:val="14"/>
                <w:szCs w:val="14"/>
                <w:lang w:eastAsia="en-US" w:bidi="sq-AL"/>
              </w:rPr>
              <w:t>2</w:t>
            </w:r>
          </w:p>
        </w:tc>
        <w:tc>
          <w:tcPr>
            <w:tcW w:w="576" w:type="pct"/>
            <w:shd w:val="clear" w:color="auto" w:fill="E0F4F4"/>
            <w:vAlign w:val="center"/>
          </w:tcPr>
          <w:p w14:paraId="1C33329A" w14:textId="77777777" w:rsidR="00622884" w:rsidRPr="00622884" w:rsidRDefault="00622884" w:rsidP="00622884">
            <w:pPr>
              <w:spacing w:after="0" w:line="240" w:lineRule="auto"/>
              <w:jc w:val="center"/>
              <w:rPr>
                <w:rFonts w:ascii="Garamond" w:eastAsia="Calibri" w:hAnsi="Garamond" w:cs="Calibri Light"/>
                <w:sz w:val="14"/>
                <w:szCs w:val="14"/>
                <w:lang w:eastAsia="en-US"/>
              </w:rPr>
            </w:pPr>
            <w:r w:rsidRPr="00622884">
              <w:rPr>
                <w:rFonts w:ascii="Garamond" w:eastAsia="SimSun" w:hAnsi="Garamond" w:cs="Times New Roman"/>
                <w:sz w:val="14"/>
                <w:szCs w:val="14"/>
                <w:lang w:eastAsia="en-US" w:bidi="sq-AL"/>
              </w:rPr>
              <w:t>Ndërsektorial</w:t>
            </w:r>
          </w:p>
        </w:tc>
        <w:tc>
          <w:tcPr>
            <w:tcW w:w="2877" w:type="pct"/>
            <w:shd w:val="clear" w:color="auto" w:fill="E0F4F4"/>
            <w:vAlign w:val="center"/>
          </w:tcPr>
          <w:p w14:paraId="73290B1E" w14:textId="77777777" w:rsidR="00622884" w:rsidRPr="00622884" w:rsidRDefault="00622884" w:rsidP="00622884">
            <w:pPr>
              <w:spacing w:after="0" w:line="240" w:lineRule="auto"/>
              <w:jc w:val="left"/>
              <w:rPr>
                <w:rFonts w:ascii="Garamond" w:eastAsia="Calibri" w:hAnsi="Garamond" w:cs="Calibri Light"/>
                <w:sz w:val="14"/>
                <w:szCs w:val="14"/>
                <w:u w:val="single"/>
                <w:lang w:eastAsia="en-US"/>
              </w:rPr>
            </w:pPr>
            <w:r w:rsidRPr="00622884">
              <w:rPr>
                <w:rFonts w:ascii="Garamond" w:eastAsia="SimSun" w:hAnsi="Garamond" w:cs="Times New Roman"/>
                <w:sz w:val="14"/>
                <w:szCs w:val="14"/>
                <w:lang w:eastAsia="en-US" w:bidi="sq-AL"/>
              </w:rPr>
              <w:t>Optimizimi i koordinimit të klimës: Forcimi i kornizës së GNPKN-së</w:t>
            </w:r>
          </w:p>
        </w:tc>
        <w:tc>
          <w:tcPr>
            <w:tcW w:w="485" w:type="pct"/>
            <w:shd w:val="clear" w:color="auto" w:fill="E0F4F4"/>
            <w:vAlign w:val="center"/>
          </w:tcPr>
          <w:p w14:paraId="089C818D" w14:textId="77777777" w:rsidR="00622884" w:rsidRPr="00622884" w:rsidRDefault="00622884" w:rsidP="00622884">
            <w:pPr>
              <w:spacing w:after="0" w:line="240" w:lineRule="auto"/>
              <w:jc w:val="center"/>
              <w:rPr>
                <w:rFonts w:ascii="Garamond" w:eastAsia="Calibri" w:hAnsi="Garamond" w:cs="Calibri Light"/>
                <w:sz w:val="14"/>
                <w:szCs w:val="14"/>
                <w:lang w:eastAsia="en-US"/>
              </w:rPr>
            </w:pPr>
            <w:r w:rsidRPr="00622884">
              <w:rPr>
                <w:rFonts w:ascii="Garamond" w:eastAsia="SimSun" w:hAnsi="Garamond" w:cs="Times New Roman"/>
                <w:sz w:val="14"/>
                <w:szCs w:val="14"/>
                <w:lang w:eastAsia="en-US" w:bidi="sq-AL"/>
              </w:rPr>
              <w:t>Masë e butë</w:t>
            </w:r>
          </w:p>
        </w:tc>
        <w:tc>
          <w:tcPr>
            <w:tcW w:w="613" w:type="pct"/>
            <w:shd w:val="clear" w:color="auto" w:fill="E0F4F4"/>
            <w:vAlign w:val="center"/>
          </w:tcPr>
          <w:p w14:paraId="7722B73D" w14:textId="77777777" w:rsidR="00622884" w:rsidRPr="00622884" w:rsidRDefault="00622884" w:rsidP="00622884">
            <w:pPr>
              <w:spacing w:after="0" w:line="240" w:lineRule="auto"/>
              <w:jc w:val="center"/>
              <w:rPr>
                <w:rFonts w:ascii="Garamond" w:eastAsia="Calibri" w:hAnsi="Garamond" w:cs="Calibri Light"/>
                <w:sz w:val="14"/>
                <w:szCs w:val="14"/>
                <w:lang w:eastAsia="en-US"/>
              </w:rPr>
            </w:pPr>
            <w:r w:rsidRPr="00622884">
              <w:rPr>
                <w:rFonts w:ascii="Garamond" w:eastAsia="SimSun" w:hAnsi="Garamond" w:cs="Times New Roman"/>
                <w:sz w:val="14"/>
                <w:szCs w:val="14"/>
                <w:lang w:eastAsia="en-US" w:bidi="sq-AL"/>
              </w:rPr>
              <w:t xml:space="preserve">420.000 </w:t>
            </w:r>
          </w:p>
        </w:tc>
        <w:tc>
          <w:tcPr>
            <w:tcW w:w="272" w:type="pct"/>
            <w:shd w:val="clear" w:color="auto" w:fill="E0F4F4"/>
            <w:vAlign w:val="center"/>
          </w:tcPr>
          <w:p w14:paraId="09DCA822" w14:textId="77777777" w:rsidR="00622884" w:rsidRPr="00622884" w:rsidRDefault="00622884" w:rsidP="00622884">
            <w:pPr>
              <w:spacing w:after="0" w:line="240" w:lineRule="auto"/>
              <w:jc w:val="center"/>
              <w:rPr>
                <w:rFonts w:ascii="Garamond" w:eastAsia="Calibri" w:hAnsi="Garamond" w:cs="Calibri Light"/>
                <w:sz w:val="14"/>
                <w:szCs w:val="14"/>
                <w:lang w:eastAsia="en-US"/>
              </w:rPr>
            </w:pPr>
            <w:r w:rsidRPr="00622884">
              <w:rPr>
                <w:rFonts w:ascii="Garamond" w:eastAsia="SimSun" w:hAnsi="Garamond" w:cs="Times New Roman"/>
                <w:sz w:val="14"/>
                <w:szCs w:val="14"/>
                <w:lang w:eastAsia="en-US" w:bidi="sq-AL"/>
              </w:rPr>
              <w:t>ASH</w:t>
            </w:r>
          </w:p>
        </w:tc>
      </w:tr>
      <w:tr w:rsidR="00622884" w:rsidRPr="00622884" w14:paraId="25D80213" w14:textId="77777777" w:rsidTr="00622884">
        <w:trPr>
          <w:trHeight w:val="20"/>
          <w:jc w:val="center"/>
        </w:trPr>
        <w:tc>
          <w:tcPr>
            <w:tcW w:w="177" w:type="pct"/>
            <w:shd w:val="clear" w:color="auto" w:fill="E0F4F4"/>
            <w:vAlign w:val="center"/>
          </w:tcPr>
          <w:p w14:paraId="1346BB1B" w14:textId="77777777" w:rsidR="00622884" w:rsidRPr="00622884" w:rsidRDefault="00622884" w:rsidP="00622884">
            <w:pPr>
              <w:spacing w:after="0" w:line="240" w:lineRule="auto"/>
              <w:jc w:val="center"/>
              <w:rPr>
                <w:rFonts w:ascii="Garamond" w:eastAsia="Calibri" w:hAnsi="Garamond" w:cs="Calibri Light"/>
                <w:b/>
                <w:bCs/>
                <w:sz w:val="14"/>
                <w:szCs w:val="14"/>
                <w:lang w:eastAsia="en-US"/>
              </w:rPr>
            </w:pPr>
            <w:r w:rsidRPr="00622884">
              <w:rPr>
                <w:rFonts w:ascii="Garamond" w:eastAsia="SimSun" w:hAnsi="Garamond" w:cs="Times New Roman"/>
                <w:b/>
                <w:sz w:val="14"/>
                <w:szCs w:val="14"/>
                <w:lang w:eastAsia="en-US" w:bidi="sq-AL"/>
              </w:rPr>
              <w:t>3</w:t>
            </w:r>
          </w:p>
        </w:tc>
        <w:tc>
          <w:tcPr>
            <w:tcW w:w="576" w:type="pct"/>
            <w:shd w:val="clear" w:color="auto" w:fill="E0F4F4"/>
            <w:vAlign w:val="center"/>
          </w:tcPr>
          <w:p w14:paraId="1B84A84B" w14:textId="77777777" w:rsidR="00622884" w:rsidRPr="00622884" w:rsidRDefault="00622884" w:rsidP="00622884">
            <w:pPr>
              <w:spacing w:after="0" w:line="240" w:lineRule="auto"/>
              <w:jc w:val="center"/>
              <w:rPr>
                <w:rFonts w:ascii="Garamond" w:eastAsia="Calibri" w:hAnsi="Garamond" w:cs="Calibri Light"/>
                <w:sz w:val="14"/>
                <w:szCs w:val="14"/>
                <w:lang w:eastAsia="en-US"/>
              </w:rPr>
            </w:pPr>
            <w:r w:rsidRPr="00622884">
              <w:rPr>
                <w:rFonts w:ascii="Garamond" w:eastAsia="SimSun" w:hAnsi="Garamond" w:cs="Times New Roman"/>
                <w:sz w:val="14"/>
                <w:szCs w:val="14"/>
                <w:lang w:eastAsia="en-US" w:bidi="sq-AL"/>
              </w:rPr>
              <w:t>Ndërsektorial</w:t>
            </w:r>
          </w:p>
        </w:tc>
        <w:tc>
          <w:tcPr>
            <w:tcW w:w="2877" w:type="pct"/>
            <w:shd w:val="clear" w:color="auto" w:fill="E0F4F4"/>
            <w:vAlign w:val="center"/>
          </w:tcPr>
          <w:p w14:paraId="4B390289" w14:textId="77777777" w:rsidR="00622884" w:rsidRPr="00622884" w:rsidRDefault="00622884" w:rsidP="00622884">
            <w:pPr>
              <w:spacing w:after="0" w:line="240" w:lineRule="auto"/>
              <w:jc w:val="left"/>
              <w:rPr>
                <w:rFonts w:ascii="Garamond" w:eastAsia="Calibri" w:hAnsi="Garamond" w:cs="Calibri Light"/>
                <w:sz w:val="14"/>
                <w:szCs w:val="14"/>
                <w:u w:val="single"/>
                <w:lang w:eastAsia="en-US"/>
              </w:rPr>
            </w:pPr>
            <w:r w:rsidRPr="00622884">
              <w:rPr>
                <w:rFonts w:ascii="Garamond" w:eastAsia="SimSun" w:hAnsi="Garamond" w:cs="Times New Roman"/>
                <w:sz w:val="14"/>
                <w:szCs w:val="14"/>
                <w:lang w:eastAsia="en-US" w:bidi="sq-AL"/>
              </w:rPr>
              <w:t>Rritja e kapaciteteve për përshtatje: Mbështetja për grupin teknik të ndryshimeve klimatike dhe krijimi dhe forcimi i kapaciteteve të Grupit Drejtues</w:t>
            </w:r>
          </w:p>
        </w:tc>
        <w:tc>
          <w:tcPr>
            <w:tcW w:w="485" w:type="pct"/>
            <w:shd w:val="clear" w:color="auto" w:fill="E0F4F4"/>
            <w:vAlign w:val="center"/>
          </w:tcPr>
          <w:p w14:paraId="652331EF" w14:textId="77777777" w:rsidR="00622884" w:rsidRPr="00622884" w:rsidRDefault="00622884" w:rsidP="00622884">
            <w:pPr>
              <w:spacing w:after="0" w:line="240" w:lineRule="auto"/>
              <w:jc w:val="center"/>
              <w:rPr>
                <w:rFonts w:ascii="Garamond" w:eastAsia="Calibri" w:hAnsi="Garamond" w:cs="Calibri Light"/>
                <w:sz w:val="14"/>
                <w:szCs w:val="14"/>
                <w:lang w:eastAsia="en-US"/>
              </w:rPr>
            </w:pPr>
            <w:r w:rsidRPr="00622884">
              <w:rPr>
                <w:rFonts w:ascii="Garamond" w:eastAsia="SimSun" w:hAnsi="Garamond" w:cs="Times New Roman"/>
                <w:sz w:val="14"/>
                <w:szCs w:val="14"/>
                <w:lang w:eastAsia="en-US" w:bidi="sq-AL"/>
              </w:rPr>
              <w:t>Masë e butë</w:t>
            </w:r>
          </w:p>
        </w:tc>
        <w:tc>
          <w:tcPr>
            <w:tcW w:w="613" w:type="pct"/>
            <w:shd w:val="clear" w:color="auto" w:fill="E0F4F4"/>
            <w:vAlign w:val="center"/>
          </w:tcPr>
          <w:p w14:paraId="123F9ACF" w14:textId="77777777" w:rsidR="00622884" w:rsidRPr="00622884" w:rsidRDefault="00622884" w:rsidP="00622884">
            <w:pPr>
              <w:spacing w:after="0" w:line="240" w:lineRule="auto"/>
              <w:jc w:val="center"/>
              <w:rPr>
                <w:rFonts w:ascii="Garamond" w:eastAsia="Calibri" w:hAnsi="Garamond" w:cs="Calibri Light"/>
                <w:sz w:val="14"/>
                <w:szCs w:val="14"/>
                <w:lang w:eastAsia="en-US"/>
              </w:rPr>
            </w:pPr>
            <w:r w:rsidRPr="00622884">
              <w:rPr>
                <w:rFonts w:ascii="Garamond" w:eastAsia="SimSun" w:hAnsi="Garamond" w:cs="Times New Roman"/>
                <w:sz w:val="14"/>
                <w:szCs w:val="14"/>
                <w:lang w:eastAsia="en-US" w:bidi="sq-AL"/>
              </w:rPr>
              <w:t xml:space="preserve">745.000 </w:t>
            </w:r>
          </w:p>
        </w:tc>
        <w:tc>
          <w:tcPr>
            <w:tcW w:w="272" w:type="pct"/>
            <w:shd w:val="clear" w:color="auto" w:fill="E0F4F4"/>
            <w:vAlign w:val="center"/>
          </w:tcPr>
          <w:p w14:paraId="2D22A9C7" w14:textId="77777777" w:rsidR="00622884" w:rsidRPr="00622884" w:rsidRDefault="00622884" w:rsidP="00622884">
            <w:pPr>
              <w:spacing w:after="0" w:line="240" w:lineRule="auto"/>
              <w:jc w:val="center"/>
              <w:rPr>
                <w:rFonts w:ascii="Garamond" w:eastAsia="Calibri" w:hAnsi="Garamond" w:cs="Calibri Light"/>
                <w:sz w:val="14"/>
                <w:szCs w:val="14"/>
                <w:lang w:eastAsia="en-US"/>
              </w:rPr>
            </w:pPr>
            <w:r w:rsidRPr="00622884">
              <w:rPr>
                <w:rFonts w:ascii="Garamond" w:eastAsia="SimSun" w:hAnsi="Garamond" w:cs="Times New Roman"/>
                <w:sz w:val="14"/>
                <w:szCs w:val="14"/>
                <w:lang w:eastAsia="en-US" w:bidi="sq-AL"/>
              </w:rPr>
              <w:t>ASH</w:t>
            </w:r>
          </w:p>
        </w:tc>
      </w:tr>
      <w:tr w:rsidR="00622884" w:rsidRPr="00622884" w14:paraId="3AA9DA01" w14:textId="77777777" w:rsidTr="00622884">
        <w:trPr>
          <w:trHeight w:val="20"/>
          <w:jc w:val="center"/>
        </w:trPr>
        <w:tc>
          <w:tcPr>
            <w:tcW w:w="177" w:type="pct"/>
            <w:shd w:val="clear" w:color="auto" w:fill="E0F4F4"/>
            <w:vAlign w:val="center"/>
          </w:tcPr>
          <w:p w14:paraId="6AD45104" w14:textId="77777777" w:rsidR="00622884" w:rsidRPr="00622884" w:rsidRDefault="00622884" w:rsidP="00622884">
            <w:pPr>
              <w:spacing w:after="0" w:line="240" w:lineRule="auto"/>
              <w:jc w:val="center"/>
              <w:rPr>
                <w:rFonts w:ascii="Garamond" w:eastAsia="Calibri" w:hAnsi="Garamond" w:cs="Calibri Light"/>
                <w:b/>
                <w:bCs/>
                <w:sz w:val="14"/>
                <w:szCs w:val="14"/>
                <w:lang w:eastAsia="en-US"/>
              </w:rPr>
            </w:pPr>
            <w:r w:rsidRPr="00622884">
              <w:rPr>
                <w:rFonts w:ascii="Garamond" w:eastAsia="SimSun" w:hAnsi="Garamond" w:cs="Times New Roman"/>
                <w:b/>
                <w:sz w:val="14"/>
                <w:szCs w:val="14"/>
                <w:lang w:eastAsia="en-US" w:bidi="sq-AL"/>
              </w:rPr>
              <w:t>4</w:t>
            </w:r>
          </w:p>
        </w:tc>
        <w:tc>
          <w:tcPr>
            <w:tcW w:w="576" w:type="pct"/>
            <w:shd w:val="clear" w:color="auto" w:fill="E0F4F4"/>
            <w:vAlign w:val="center"/>
          </w:tcPr>
          <w:p w14:paraId="6E34F68B" w14:textId="77777777" w:rsidR="00622884" w:rsidRPr="00622884" w:rsidRDefault="00622884" w:rsidP="00622884">
            <w:pPr>
              <w:spacing w:after="0" w:line="240" w:lineRule="auto"/>
              <w:jc w:val="center"/>
              <w:rPr>
                <w:rFonts w:ascii="Garamond" w:eastAsia="Calibri" w:hAnsi="Garamond" w:cs="Calibri Light"/>
                <w:sz w:val="14"/>
                <w:szCs w:val="14"/>
                <w:lang w:eastAsia="en-US"/>
              </w:rPr>
            </w:pPr>
            <w:r w:rsidRPr="00622884">
              <w:rPr>
                <w:rFonts w:ascii="Garamond" w:eastAsia="SimSun" w:hAnsi="Garamond" w:cs="Times New Roman"/>
                <w:sz w:val="14"/>
                <w:szCs w:val="14"/>
                <w:lang w:eastAsia="en-US" w:bidi="sq-AL"/>
              </w:rPr>
              <w:t>Ndërsektorial</w:t>
            </w:r>
          </w:p>
        </w:tc>
        <w:tc>
          <w:tcPr>
            <w:tcW w:w="2877" w:type="pct"/>
            <w:shd w:val="clear" w:color="auto" w:fill="E0F4F4"/>
            <w:vAlign w:val="center"/>
          </w:tcPr>
          <w:p w14:paraId="00E32883" w14:textId="77777777" w:rsidR="00622884" w:rsidRPr="00622884" w:rsidRDefault="00622884" w:rsidP="00622884">
            <w:pPr>
              <w:spacing w:after="0" w:line="240" w:lineRule="auto"/>
              <w:jc w:val="left"/>
              <w:rPr>
                <w:rFonts w:ascii="Garamond" w:eastAsia="Calibri" w:hAnsi="Garamond" w:cs="Calibri Light"/>
                <w:sz w:val="14"/>
                <w:szCs w:val="14"/>
                <w:u w:val="single"/>
                <w:lang w:eastAsia="en-US"/>
              </w:rPr>
            </w:pPr>
            <w:r w:rsidRPr="00622884">
              <w:rPr>
                <w:rFonts w:ascii="Garamond" w:eastAsia="SimSun" w:hAnsi="Garamond" w:cs="Times New Roman"/>
                <w:sz w:val="14"/>
                <w:szCs w:val="14"/>
                <w:lang w:eastAsia="en-US" w:bidi="sq-AL"/>
              </w:rPr>
              <w:t>Rritja e aftësive ripërtëritëse ndaj klimës përmes sistemeve të përmirësuara të të dhënave</w:t>
            </w:r>
          </w:p>
        </w:tc>
        <w:tc>
          <w:tcPr>
            <w:tcW w:w="485" w:type="pct"/>
            <w:shd w:val="clear" w:color="auto" w:fill="E0F4F4"/>
            <w:vAlign w:val="center"/>
          </w:tcPr>
          <w:p w14:paraId="2595E05D" w14:textId="77777777" w:rsidR="00622884" w:rsidRPr="00622884" w:rsidRDefault="00622884" w:rsidP="00622884">
            <w:pPr>
              <w:spacing w:after="0" w:line="240" w:lineRule="auto"/>
              <w:jc w:val="center"/>
              <w:rPr>
                <w:rFonts w:ascii="Garamond" w:eastAsia="Calibri" w:hAnsi="Garamond" w:cs="Calibri Light"/>
                <w:sz w:val="14"/>
                <w:szCs w:val="14"/>
                <w:lang w:eastAsia="en-US"/>
              </w:rPr>
            </w:pPr>
            <w:r w:rsidRPr="00622884">
              <w:rPr>
                <w:rFonts w:ascii="Garamond" w:eastAsia="SimSun" w:hAnsi="Garamond" w:cs="Times New Roman"/>
                <w:sz w:val="14"/>
                <w:szCs w:val="14"/>
                <w:lang w:eastAsia="en-US" w:bidi="sq-AL"/>
              </w:rPr>
              <w:t>Masë e butë</w:t>
            </w:r>
          </w:p>
        </w:tc>
        <w:tc>
          <w:tcPr>
            <w:tcW w:w="613" w:type="pct"/>
            <w:shd w:val="clear" w:color="auto" w:fill="E0F4F4"/>
            <w:vAlign w:val="center"/>
          </w:tcPr>
          <w:p w14:paraId="01CD212A" w14:textId="77777777" w:rsidR="00622884" w:rsidRPr="00622884" w:rsidRDefault="00622884" w:rsidP="00622884">
            <w:pPr>
              <w:spacing w:after="0" w:line="240" w:lineRule="auto"/>
              <w:jc w:val="center"/>
              <w:rPr>
                <w:rFonts w:ascii="Garamond" w:eastAsia="Calibri" w:hAnsi="Garamond" w:cs="Calibri Light"/>
                <w:sz w:val="14"/>
                <w:szCs w:val="14"/>
                <w:lang w:eastAsia="en-US"/>
              </w:rPr>
            </w:pPr>
            <w:r w:rsidRPr="00622884">
              <w:rPr>
                <w:rFonts w:ascii="Garamond" w:eastAsia="SimSun" w:hAnsi="Garamond" w:cs="Times New Roman"/>
                <w:sz w:val="14"/>
                <w:szCs w:val="14"/>
                <w:lang w:eastAsia="en-US" w:bidi="sq-AL"/>
              </w:rPr>
              <w:t xml:space="preserve">1.500.000 </w:t>
            </w:r>
          </w:p>
        </w:tc>
        <w:tc>
          <w:tcPr>
            <w:tcW w:w="272" w:type="pct"/>
            <w:shd w:val="clear" w:color="auto" w:fill="E0F4F4"/>
            <w:vAlign w:val="center"/>
          </w:tcPr>
          <w:p w14:paraId="357DEAEA" w14:textId="77777777" w:rsidR="00622884" w:rsidRPr="00622884" w:rsidRDefault="00622884" w:rsidP="00622884">
            <w:pPr>
              <w:spacing w:after="0" w:line="240" w:lineRule="auto"/>
              <w:jc w:val="center"/>
              <w:rPr>
                <w:rFonts w:ascii="Garamond" w:eastAsia="Calibri" w:hAnsi="Garamond" w:cs="Calibri Light"/>
                <w:sz w:val="14"/>
                <w:szCs w:val="14"/>
                <w:lang w:eastAsia="en-US"/>
              </w:rPr>
            </w:pPr>
            <w:r w:rsidRPr="00622884">
              <w:rPr>
                <w:rFonts w:ascii="Garamond" w:eastAsia="SimSun" w:hAnsi="Garamond" w:cs="Times New Roman"/>
                <w:sz w:val="14"/>
                <w:szCs w:val="14"/>
                <w:lang w:eastAsia="en-US" w:bidi="sq-AL"/>
              </w:rPr>
              <w:t>ASH</w:t>
            </w:r>
          </w:p>
        </w:tc>
      </w:tr>
      <w:tr w:rsidR="00622884" w:rsidRPr="00622884" w14:paraId="29358F97" w14:textId="77777777" w:rsidTr="00622884">
        <w:trPr>
          <w:trHeight w:val="20"/>
          <w:jc w:val="center"/>
        </w:trPr>
        <w:tc>
          <w:tcPr>
            <w:tcW w:w="177" w:type="pct"/>
            <w:shd w:val="clear" w:color="auto" w:fill="E0F4F4"/>
            <w:vAlign w:val="center"/>
          </w:tcPr>
          <w:p w14:paraId="211D39FF" w14:textId="77777777" w:rsidR="00622884" w:rsidRPr="00622884" w:rsidRDefault="00622884" w:rsidP="00622884">
            <w:pPr>
              <w:spacing w:after="0" w:line="240" w:lineRule="auto"/>
              <w:jc w:val="center"/>
              <w:rPr>
                <w:rFonts w:ascii="Garamond" w:eastAsia="Calibri" w:hAnsi="Garamond" w:cs="Calibri Light"/>
                <w:b/>
                <w:bCs/>
                <w:sz w:val="14"/>
                <w:szCs w:val="14"/>
                <w:lang w:eastAsia="en-US"/>
              </w:rPr>
            </w:pPr>
            <w:r w:rsidRPr="00622884">
              <w:rPr>
                <w:rFonts w:ascii="Garamond" w:eastAsia="SimSun" w:hAnsi="Garamond" w:cs="Times New Roman"/>
                <w:b/>
                <w:sz w:val="14"/>
                <w:szCs w:val="14"/>
                <w:lang w:eastAsia="en-US" w:bidi="sq-AL"/>
              </w:rPr>
              <w:t>5</w:t>
            </w:r>
          </w:p>
        </w:tc>
        <w:tc>
          <w:tcPr>
            <w:tcW w:w="576" w:type="pct"/>
            <w:shd w:val="clear" w:color="auto" w:fill="E0F4F4"/>
            <w:vAlign w:val="center"/>
          </w:tcPr>
          <w:p w14:paraId="7946B91C" w14:textId="77777777" w:rsidR="00622884" w:rsidRPr="00622884" w:rsidRDefault="00622884" w:rsidP="00622884">
            <w:pPr>
              <w:spacing w:after="0" w:line="240" w:lineRule="auto"/>
              <w:jc w:val="center"/>
              <w:rPr>
                <w:rFonts w:ascii="Garamond" w:eastAsia="Calibri" w:hAnsi="Garamond" w:cs="Calibri Light"/>
                <w:sz w:val="14"/>
                <w:szCs w:val="14"/>
                <w:lang w:eastAsia="en-US"/>
              </w:rPr>
            </w:pPr>
            <w:r w:rsidRPr="00622884">
              <w:rPr>
                <w:rFonts w:ascii="Garamond" w:eastAsia="SimSun" w:hAnsi="Garamond" w:cs="Times New Roman"/>
                <w:sz w:val="14"/>
                <w:szCs w:val="14"/>
                <w:lang w:eastAsia="en-US" w:bidi="sq-AL"/>
              </w:rPr>
              <w:t>Ndërsektorial</w:t>
            </w:r>
          </w:p>
        </w:tc>
        <w:tc>
          <w:tcPr>
            <w:tcW w:w="2877" w:type="pct"/>
            <w:shd w:val="clear" w:color="auto" w:fill="E0F4F4"/>
            <w:vAlign w:val="center"/>
          </w:tcPr>
          <w:p w14:paraId="29386055" w14:textId="77777777" w:rsidR="00622884" w:rsidRPr="00622884" w:rsidRDefault="00622884" w:rsidP="00622884">
            <w:pPr>
              <w:spacing w:after="0" w:line="240" w:lineRule="auto"/>
              <w:jc w:val="left"/>
              <w:rPr>
                <w:rFonts w:ascii="Garamond" w:eastAsia="Calibri" w:hAnsi="Garamond" w:cs="Calibri Light"/>
                <w:sz w:val="14"/>
                <w:szCs w:val="14"/>
                <w:u w:val="single"/>
                <w:lang w:eastAsia="en-US"/>
              </w:rPr>
            </w:pPr>
            <w:r w:rsidRPr="00622884">
              <w:rPr>
                <w:rFonts w:ascii="Garamond" w:eastAsia="SimSun" w:hAnsi="Garamond" w:cs="Times New Roman"/>
                <w:sz w:val="14"/>
                <w:szCs w:val="14"/>
                <w:lang w:eastAsia="en-US" w:bidi="sq-AL"/>
              </w:rPr>
              <w:t>Zgjidhje të bazuara në natyrë dhe skema zhvilluesish për fitim neto të biodiversitetit</w:t>
            </w:r>
          </w:p>
        </w:tc>
        <w:tc>
          <w:tcPr>
            <w:tcW w:w="485" w:type="pct"/>
            <w:shd w:val="clear" w:color="auto" w:fill="E0F4F4"/>
            <w:vAlign w:val="center"/>
          </w:tcPr>
          <w:p w14:paraId="72D46BC7" w14:textId="77777777" w:rsidR="00622884" w:rsidRPr="00622884" w:rsidRDefault="00622884" w:rsidP="00622884">
            <w:pPr>
              <w:spacing w:after="0" w:line="240" w:lineRule="auto"/>
              <w:jc w:val="center"/>
              <w:rPr>
                <w:rFonts w:ascii="Garamond" w:eastAsia="Calibri" w:hAnsi="Garamond" w:cs="Calibri Light"/>
                <w:sz w:val="14"/>
                <w:szCs w:val="14"/>
                <w:lang w:eastAsia="en-US"/>
              </w:rPr>
            </w:pPr>
            <w:r w:rsidRPr="00622884">
              <w:rPr>
                <w:rFonts w:ascii="Garamond" w:eastAsia="SimSun" w:hAnsi="Garamond" w:cs="Times New Roman"/>
                <w:sz w:val="14"/>
                <w:szCs w:val="14"/>
                <w:lang w:eastAsia="en-US" w:bidi="sq-AL"/>
              </w:rPr>
              <w:t>E gjelbër</w:t>
            </w:r>
          </w:p>
        </w:tc>
        <w:tc>
          <w:tcPr>
            <w:tcW w:w="613" w:type="pct"/>
            <w:shd w:val="clear" w:color="auto" w:fill="E0F4F4"/>
            <w:vAlign w:val="center"/>
          </w:tcPr>
          <w:p w14:paraId="5A379565" w14:textId="77777777" w:rsidR="00622884" w:rsidRPr="00622884" w:rsidRDefault="00622884" w:rsidP="00622884">
            <w:pPr>
              <w:spacing w:after="0" w:line="240" w:lineRule="auto"/>
              <w:jc w:val="center"/>
              <w:rPr>
                <w:rFonts w:ascii="Garamond" w:eastAsia="Calibri" w:hAnsi="Garamond" w:cs="Calibri Light"/>
                <w:sz w:val="14"/>
                <w:szCs w:val="14"/>
                <w:lang w:eastAsia="en-US"/>
              </w:rPr>
            </w:pPr>
            <w:r w:rsidRPr="00622884">
              <w:rPr>
                <w:rFonts w:ascii="Garamond" w:eastAsia="SimSun" w:hAnsi="Garamond" w:cs="Times New Roman"/>
                <w:sz w:val="14"/>
                <w:szCs w:val="14"/>
                <w:lang w:eastAsia="en-US" w:bidi="sq-AL"/>
              </w:rPr>
              <w:t>242.793.396</w:t>
            </w:r>
          </w:p>
        </w:tc>
        <w:tc>
          <w:tcPr>
            <w:tcW w:w="272" w:type="pct"/>
            <w:shd w:val="clear" w:color="auto" w:fill="E0F4F4"/>
            <w:vAlign w:val="center"/>
          </w:tcPr>
          <w:p w14:paraId="216B374F" w14:textId="77777777" w:rsidR="00622884" w:rsidRPr="00622884" w:rsidRDefault="00622884" w:rsidP="00622884">
            <w:pPr>
              <w:spacing w:after="0" w:line="240" w:lineRule="auto"/>
              <w:jc w:val="center"/>
              <w:rPr>
                <w:rFonts w:ascii="Garamond" w:eastAsia="Calibri" w:hAnsi="Garamond" w:cs="Calibri Light"/>
                <w:sz w:val="14"/>
                <w:szCs w:val="14"/>
                <w:lang w:eastAsia="en-US"/>
              </w:rPr>
            </w:pPr>
            <w:r w:rsidRPr="00622884">
              <w:rPr>
                <w:rFonts w:ascii="Garamond" w:eastAsia="SimSun" w:hAnsi="Garamond" w:cs="Times New Roman"/>
                <w:sz w:val="14"/>
                <w:szCs w:val="14"/>
                <w:lang w:eastAsia="en-US" w:bidi="sq-AL"/>
              </w:rPr>
              <w:t>AM</w:t>
            </w:r>
          </w:p>
        </w:tc>
      </w:tr>
      <w:tr w:rsidR="00622884" w:rsidRPr="00622884" w14:paraId="4C6FE168" w14:textId="77777777" w:rsidTr="00622884">
        <w:trPr>
          <w:trHeight w:val="20"/>
          <w:jc w:val="center"/>
        </w:trPr>
        <w:tc>
          <w:tcPr>
            <w:tcW w:w="177" w:type="pct"/>
            <w:shd w:val="clear" w:color="auto" w:fill="E0F4F4"/>
            <w:vAlign w:val="center"/>
          </w:tcPr>
          <w:p w14:paraId="06D26F0C" w14:textId="77777777" w:rsidR="00622884" w:rsidRPr="00622884" w:rsidRDefault="00622884" w:rsidP="00622884">
            <w:pPr>
              <w:spacing w:after="0" w:line="240" w:lineRule="auto"/>
              <w:jc w:val="center"/>
              <w:rPr>
                <w:rFonts w:ascii="Garamond" w:eastAsia="Calibri" w:hAnsi="Garamond" w:cs="Calibri Light"/>
                <w:b/>
                <w:bCs/>
                <w:sz w:val="14"/>
                <w:szCs w:val="14"/>
                <w:lang w:eastAsia="en-US"/>
              </w:rPr>
            </w:pPr>
            <w:r w:rsidRPr="00622884">
              <w:rPr>
                <w:rFonts w:ascii="Garamond" w:eastAsia="SimSun" w:hAnsi="Garamond" w:cs="Times New Roman"/>
                <w:b/>
                <w:sz w:val="14"/>
                <w:szCs w:val="14"/>
                <w:lang w:eastAsia="en-US" w:bidi="sq-AL"/>
              </w:rPr>
              <w:t>6</w:t>
            </w:r>
          </w:p>
        </w:tc>
        <w:tc>
          <w:tcPr>
            <w:tcW w:w="576" w:type="pct"/>
            <w:shd w:val="clear" w:color="auto" w:fill="E0F4F4"/>
            <w:vAlign w:val="center"/>
          </w:tcPr>
          <w:p w14:paraId="51FAD502" w14:textId="77777777" w:rsidR="00622884" w:rsidRPr="00622884" w:rsidRDefault="00622884" w:rsidP="00622884">
            <w:pPr>
              <w:spacing w:after="0" w:line="240" w:lineRule="auto"/>
              <w:jc w:val="center"/>
              <w:rPr>
                <w:rFonts w:ascii="Garamond" w:eastAsia="Calibri" w:hAnsi="Garamond" w:cs="Calibri Light"/>
                <w:sz w:val="14"/>
                <w:szCs w:val="14"/>
                <w:lang w:eastAsia="en-US"/>
              </w:rPr>
            </w:pPr>
            <w:r w:rsidRPr="00622884">
              <w:rPr>
                <w:rFonts w:ascii="Garamond" w:eastAsia="SimSun" w:hAnsi="Garamond" w:cs="Times New Roman"/>
                <w:sz w:val="14"/>
                <w:szCs w:val="14"/>
                <w:lang w:eastAsia="en-US" w:bidi="sq-AL"/>
              </w:rPr>
              <w:t>Ndërsektorial</w:t>
            </w:r>
          </w:p>
        </w:tc>
        <w:tc>
          <w:tcPr>
            <w:tcW w:w="2877" w:type="pct"/>
            <w:shd w:val="clear" w:color="auto" w:fill="E0F4F4"/>
            <w:vAlign w:val="center"/>
          </w:tcPr>
          <w:p w14:paraId="1ECA89AA" w14:textId="77777777" w:rsidR="00622884" w:rsidRPr="00622884" w:rsidRDefault="00622884" w:rsidP="00622884">
            <w:pPr>
              <w:spacing w:after="0" w:line="240" w:lineRule="auto"/>
              <w:jc w:val="left"/>
              <w:rPr>
                <w:rFonts w:ascii="Garamond" w:eastAsia="Calibri" w:hAnsi="Garamond" w:cs="Calibri Light"/>
                <w:sz w:val="14"/>
                <w:szCs w:val="14"/>
                <w:u w:val="single"/>
                <w:lang w:eastAsia="en-US"/>
              </w:rPr>
            </w:pPr>
            <w:r w:rsidRPr="00622884">
              <w:rPr>
                <w:rFonts w:ascii="Garamond" w:eastAsia="SimSun" w:hAnsi="Garamond" w:cs="Times New Roman"/>
                <w:sz w:val="14"/>
                <w:szCs w:val="14"/>
                <w:lang w:eastAsia="en-US" w:bidi="sq-AL"/>
              </w:rPr>
              <w:t>Nxitja e ndërgjegjësimit për aftësitë ripërtëritëse ndaj ndryshimeve klimatike dhe trajnimi për përshtatje dhe zbutje</w:t>
            </w:r>
          </w:p>
        </w:tc>
        <w:tc>
          <w:tcPr>
            <w:tcW w:w="485" w:type="pct"/>
            <w:shd w:val="clear" w:color="auto" w:fill="E0F4F4"/>
            <w:vAlign w:val="center"/>
          </w:tcPr>
          <w:p w14:paraId="5B1013BA" w14:textId="77777777" w:rsidR="00622884" w:rsidRPr="00622884" w:rsidRDefault="00622884" w:rsidP="00622884">
            <w:pPr>
              <w:spacing w:after="0" w:line="240" w:lineRule="auto"/>
              <w:jc w:val="center"/>
              <w:rPr>
                <w:rFonts w:ascii="Garamond" w:eastAsia="Calibri" w:hAnsi="Garamond" w:cs="Calibri Light"/>
                <w:sz w:val="14"/>
                <w:szCs w:val="14"/>
                <w:lang w:eastAsia="en-US"/>
              </w:rPr>
            </w:pPr>
            <w:r w:rsidRPr="00622884">
              <w:rPr>
                <w:rFonts w:ascii="Garamond" w:eastAsia="SimSun" w:hAnsi="Garamond" w:cs="Times New Roman"/>
                <w:sz w:val="14"/>
                <w:szCs w:val="14"/>
                <w:lang w:eastAsia="en-US" w:bidi="sq-AL"/>
              </w:rPr>
              <w:t>Masë e butë</w:t>
            </w:r>
          </w:p>
        </w:tc>
        <w:tc>
          <w:tcPr>
            <w:tcW w:w="613" w:type="pct"/>
            <w:shd w:val="clear" w:color="auto" w:fill="E0F4F4"/>
            <w:vAlign w:val="center"/>
          </w:tcPr>
          <w:p w14:paraId="12D19FAA" w14:textId="77777777" w:rsidR="00622884" w:rsidRPr="00622884" w:rsidRDefault="00622884" w:rsidP="00622884">
            <w:pPr>
              <w:spacing w:after="0" w:line="240" w:lineRule="auto"/>
              <w:jc w:val="center"/>
              <w:rPr>
                <w:rFonts w:ascii="Garamond" w:eastAsia="Calibri" w:hAnsi="Garamond" w:cs="Calibri Light"/>
                <w:sz w:val="14"/>
                <w:szCs w:val="14"/>
                <w:lang w:eastAsia="en-US"/>
              </w:rPr>
            </w:pPr>
            <w:r w:rsidRPr="00622884">
              <w:rPr>
                <w:rFonts w:ascii="Garamond" w:eastAsia="SimSun" w:hAnsi="Garamond" w:cs="Times New Roman"/>
                <w:sz w:val="14"/>
                <w:szCs w:val="14"/>
                <w:lang w:eastAsia="en-US" w:bidi="sq-AL"/>
              </w:rPr>
              <w:t>1.500.000</w:t>
            </w:r>
          </w:p>
        </w:tc>
        <w:tc>
          <w:tcPr>
            <w:tcW w:w="272" w:type="pct"/>
            <w:shd w:val="clear" w:color="auto" w:fill="E0F4F4"/>
            <w:vAlign w:val="center"/>
          </w:tcPr>
          <w:p w14:paraId="0EE6EF1D" w14:textId="77777777" w:rsidR="00622884" w:rsidRPr="00622884" w:rsidRDefault="00622884" w:rsidP="00622884">
            <w:pPr>
              <w:spacing w:after="0" w:line="240" w:lineRule="auto"/>
              <w:jc w:val="center"/>
              <w:rPr>
                <w:rFonts w:ascii="Garamond" w:eastAsia="Calibri" w:hAnsi="Garamond" w:cs="Calibri Light"/>
                <w:sz w:val="14"/>
                <w:szCs w:val="14"/>
                <w:lang w:eastAsia="en-US"/>
              </w:rPr>
            </w:pPr>
            <w:r w:rsidRPr="00622884">
              <w:rPr>
                <w:rFonts w:ascii="Garamond" w:eastAsia="SimSun" w:hAnsi="Garamond" w:cs="Times New Roman"/>
                <w:sz w:val="14"/>
                <w:szCs w:val="14"/>
                <w:lang w:eastAsia="en-US" w:bidi="sq-AL"/>
              </w:rPr>
              <w:t>ASH</w:t>
            </w:r>
          </w:p>
        </w:tc>
      </w:tr>
      <w:tr w:rsidR="00622884" w:rsidRPr="00622884" w14:paraId="0A05DA90" w14:textId="77777777" w:rsidTr="00622884">
        <w:trPr>
          <w:trHeight w:val="20"/>
          <w:jc w:val="center"/>
        </w:trPr>
        <w:tc>
          <w:tcPr>
            <w:tcW w:w="177" w:type="pct"/>
            <w:shd w:val="clear" w:color="auto" w:fill="E0F4F4"/>
            <w:vAlign w:val="center"/>
          </w:tcPr>
          <w:p w14:paraId="7B27439F" w14:textId="77777777" w:rsidR="00622884" w:rsidRPr="00622884" w:rsidRDefault="00622884" w:rsidP="00622884">
            <w:pPr>
              <w:spacing w:after="0" w:line="240" w:lineRule="auto"/>
              <w:jc w:val="center"/>
              <w:rPr>
                <w:rFonts w:ascii="Garamond" w:eastAsia="Calibri" w:hAnsi="Garamond" w:cs="Calibri Light"/>
                <w:b/>
                <w:bCs/>
                <w:sz w:val="14"/>
                <w:szCs w:val="14"/>
                <w:lang w:eastAsia="en-US"/>
              </w:rPr>
            </w:pPr>
            <w:r w:rsidRPr="00622884">
              <w:rPr>
                <w:rFonts w:ascii="Garamond" w:eastAsia="SimSun" w:hAnsi="Garamond" w:cs="Times New Roman"/>
                <w:b/>
                <w:sz w:val="14"/>
                <w:szCs w:val="14"/>
                <w:lang w:eastAsia="en-US" w:bidi="sq-AL"/>
              </w:rPr>
              <w:t>7</w:t>
            </w:r>
          </w:p>
        </w:tc>
        <w:tc>
          <w:tcPr>
            <w:tcW w:w="576" w:type="pct"/>
            <w:shd w:val="clear" w:color="auto" w:fill="E0F4F4"/>
            <w:vAlign w:val="center"/>
          </w:tcPr>
          <w:p w14:paraId="2C5A19BB" w14:textId="77777777" w:rsidR="00622884" w:rsidRPr="00622884" w:rsidRDefault="00622884" w:rsidP="00622884">
            <w:pPr>
              <w:spacing w:after="0" w:line="240" w:lineRule="auto"/>
              <w:jc w:val="center"/>
              <w:rPr>
                <w:rFonts w:ascii="Garamond" w:eastAsia="Calibri" w:hAnsi="Garamond" w:cs="Calibri Light"/>
                <w:sz w:val="14"/>
                <w:szCs w:val="14"/>
                <w:lang w:eastAsia="en-US"/>
              </w:rPr>
            </w:pPr>
            <w:r w:rsidRPr="00622884">
              <w:rPr>
                <w:rFonts w:ascii="Garamond" w:eastAsia="SimSun" w:hAnsi="Garamond" w:cs="Times New Roman"/>
                <w:sz w:val="14"/>
                <w:szCs w:val="14"/>
                <w:lang w:eastAsia="en-US" w:bidi="sq-AL"/>
              </w:rPr>
              <w:t>Ndërsektorial</w:t>
            </w:r>
          </w:p>
        </w:tc>
        <w:tc>
          <w:tcPr>
            <w:tcW w:w="2877" w:type="pct"/>
            <w:shd w:val="clear" w:color="auto" w:fill="E0F4F4"/>
            <w:vAlign w:val="center"/>
          </w:tcPr>
          <w:p w14:paraId="1799F53A" w14:textId="77777777" w:rsidR="00622884" w:rsidRPr="00622884" w:rsidRDefault="00622884" w:rsidP="00622884">
            <w:pPr>
              <w:spacing w:after="0" w:line="240" w:lineRule="auto"/>
              <w:jc w:val="left"/>
              <w:rPr>
                <w:rFonts w:ascii="Garamond" w:eastAsia="Calibri" w:hAnsi="Garamond" w:cs="Calibri Light"/>
                <w:sz w:val="14"/>
                <w:szCs w:val="14"/>
                <w:u w:val="single"/>
                <w:lang w:eastAsia="en-US"/>
              </w:rPr>
            </w:pPr>
            <w:r w:rsidRPr="00622884">
              <w:rPr>
                <w:rFonts w:ascii="Garamond" w:eastAsia="SimSun" w:hAnsi="Garamond" w:cs="Times New Roman"/>
                <w:sz w:val="14"/>
                <w:szCs w:val="14"/>
                <w:lang w:eastAsia="en-US" w:bidi="sq-AL"/>
              </w:rPr>
              <w:t xml:space="preserve">Mekanizmat novatorë të financimit për klimën: Pilotimi i strategjive të financimit të qëndrueshëm </w:t>
            </w:r>
          </w:p>
        </w:tc>
        <w:tc>
          <w:tcPr>
            <w:tcW w:w="485" w:type="pct"/>
            <w:shd w:val="clear" w:color="auto" w:fill="E0F4F4"/>
            <w:vAlign w:val="center"/>
          </w:tcPr>
          <w:p w14:paraId="086160D4" w14:textId="77777777" w:rsidR="00622884" w:rsidRPr="00622884" w:rsidRDefault="00622884" w:rsidP="00622884">
            <w:pPr>
              <w:spacing w:after="0" w:line="240" w:lineRule="auto"/>
              <w:jc w:val="center"/>
              <w:rPr>
                <w:rFonts w:ascii="Garamond" w:eastAsia="Calibri" w:hAnsi="Garamond" w:cs="Calibri Light"/>
                <w:sz w:val="14"/>
                <w:szCs w:val="14"/>
                <w:lang w:eastAsia="en-US"/>
              </w:rPr>
            </w:pPr>
            <w:r w:rsidRPr="00622884">
              <w:rPr>
                <w:rFonts w:ascii="Garamond" w:eastAsia="SimSun" w:hAnsi="Garamond" w:cs="Times New Roman"/>
                <w:sz w:val="14"/>
                <w:szCs w:val="14"/>
                <w:lang w:eastAsia="en-US" w:bidi="sq-AL"/>
              </w:rPr>
              <w:t>Masë e butë</w:t>
            </w:r>
          </w:p>
        </w:tc>
        <w:tc>
          <w:tcPr>
            <w:tcW w:w="613" w:type="pct"/>
            <w:shd w:val="clear" w:color="auto" w:fill="E0F4F4"/>
            <w:vAlign w:val="center"/>
          </w:tcPr>
          <w:p w14:paraId="1ACC65AE" w14:textId="77777777" w:rsidR="00622884" w:rsidRPr="00622884" w:rsidRDefault="00622884" w:rsidP="00622884">
            <w:pPr>
              <w:spacing w:after="0" w:line="240" w:lineRule="auto"/>
              <w:jc w:val="center"/>
              <w:rPr>
                <w:rFonts w:ascii="Garamond" w:eastAsia="Calibri" w:hAnsi="Garamond" w:cs="Calibri Light"/>
                <w:sz w:val="14"/>
                <w:szCs w:val="14"/>
                <w:lang w:eastAsia="en-US"/>
              </w:rPr>
            </w:pPr>
            <w:r w:rsidRPr="00622884">
              <w:rPr>
                <w:rFonts w:ascii="Garamond" w:eastAsia="SimSun" w:hAnsi="Garamond" w:cs="Times New Roman"/>
                <w:sz w:val="14"/>
                <w:szCs w:val="14"/>
                <w:lang w:eastAsia="en-US" w:bidi="sq-AL"/>
              </w:rPr>
              <w:t>6.080.000</w:t>
            </w:r>
          </w:p>
        </w:tc>
        <w:tc>
          <w:tcPr>
            <w:tcW w:w="272" w:type="pct"/>
            <w:shd w:val="clear" w:color="auto" w:fill="E0F4F4"/>
            <w:vAlign w:val="center"/>
          </w:tcPr>
          <w:p w14:paraId="2E6594AF" w14:textId="77777777" w:rsidR="00622884" w:rsidRPr="00622884" w:rsidRDefault="00622884" w:rsidP="00622884">
            <w:pPr>
              <w:spacing w:after="0" w:line="240" w:lineRule="auto"/>
              <w:jc w:val="center"/>
              <w:rPr>
                <w:rFonts w:ascii="Garamond" w:eastAsia="Calibri" w:hAnsi="Garamond" w:cs="Calibri Light"/>
                <w:sz w:val="14"/>
                <w:szCs w:val="14"/>
                <w:lang w:eastAsia="en-US"/>
              </w:rPr>
            </w:pPr>
            <w:r w:rsidRPr="00622884">
              <w:rPr>
                <w:rFonts w:ascii="Garamond" w:eastAsia="SimSun" w:hAnsi="Garamond" w:cs="Times New Roman"/>
                <w:sz w:val="14"/>
                <w:szCs w:val="14"/>
                <w:lang w:eastAsia="en-US" w:bidi="sq-AL"/>
              </w:rPr>
              <w:t>ASH</w:t>
            </w:r>
          </w:p>
        </w:tc>
      </w:tr>
      <w:tr w:rsidR="00622884" w:rsidRPr="00622884" w14:paraId="7976EDDE" w14:textId="77777777" w:rsidTr="00622884">
        <w:trPr>
          <w:trHeight w:val="20"/>
          <w:jc w:val="center"/>
        </w:trPr>
        <w:tc>
          <w:tcPr>
            <w:tcW w:w="177" w:type="pct"/>
            <w:shd w:val="clear" w:color="auto" w:fill="E0F4F4"/>
            <w:vAlign w:val="center"/>
          </w:tcPr>
          <w:p w14:paraId="1D9E89C0" w14:textId="77777777" w:rsidR="00622884" w:rsidRPr="00622884" w:rsidRDefault="00622884" w:rsidP="00622884">
            <w:pPr>
              <w:spacing w:after="0" w:line="240" w:lineRule="auto"/>
              <w:jc w:val="center"/>
              <w:rPr>
                <w:rFonts w:ascii="Garamond" w:eastAsia="Calibri" w:hAnsi="Garamond" w:cs="Calibri Light"/>
                <w:b/>
                <w:bCs/>
                <w:sz w:val="14"/>
                <w:szCs w:val="14"/>
                <w:lang w:eastAsia="en-US"/>
              </w:rPr>
            </w:pPr>
            <w:r w:rsidRPr="00622884">
              <w:rPr>
                <w:rFonts w:ascii="Garamond" w:eastAsia="SimSun" w:hAnsi="Garamond" w:cs="Times New Roman"/>
                <w:b/>
                <w:sz w:val="14"/>
                <w:szCs w:val="14"/>
                <w:lang w:eastAsia="en-US" w:bidi="sq-AL"/>
              </w:rPr>
              <w:t>8</w:t>
            </w:r>
          </w:p>
        </w:tc>
        <w:tc>
          <w:tcPr>
            <w:tcW w:w="576" w:type="pct"/>
            <w:shd w:val="clear" w:color="auto" w:fill="E0F4F4"/>
            <w:vAlign w:val="center"/>
          </w:tcPr>
          <w:p w14:paraId="66175082" w14:textId="77777777" w:rsidR="00622884" w:rsidRPr="00622884" w:rsidRDefault="00622884" w:rsidP="00622884">
            <w:pPr>
              <w:spacing w:after="0" w:line="240" w:lineRule="auto"/>
              <w:jc w:val="center"/>
              <w:rPr>
                <w:rFonts w:ascii="Garamond" w:eastAsia="Calibri" w:hAnsi="Garamond" w:cs="Calibri Light"/>
                <w:sz w:val="14"/>
                <w:szCs w:val="14"/>
                <w:lang w:eastAsia="en-US"/>
              </w:rPr>
            </w:pPr>
            <w:r w:rsidRPr="00622884">
              <w:rPr>
                <w:rFonts w:ascii="Garamond" w:eastAsia="SimSun" w:hAnsi="Garamond" w:cs="Times New Roman"/>
                <w:sz w:val="14"/>
                <w:szCs w:val="14"/>
                <w:lang w:eastAsia="en-US" w:bidi="sq-AL"/>
              </w:rPr>
              <w:t>Ndërsektorial</w:t>
            </w:r>
          </w:p>
        </w:tc>
        <w:tc>
          <w:tcPr>
            <w:tcW w:w="2877" w:type="pct"/>
            <w:shd w:val="clear" w:color="auto" w:fill="E0F4F4"/>
            <w:vAlign w:val="center"/>
          </w:tcPr>
          <w:p w14:paraId="27786930" w14:textId="77777777" w:rsidR="00622884" w:rsidRPr="00622884" w:rsidRDefault="00622884" w:rsidP="00622884">
            <w:pPr>
              <w:spacing w:after="0" w:line="240" w:lineRule="auto"/>
              <w:jc w:val="left"/>
              <w:rPr>
                <w:rFonts w:ascii="Garamond" w:eastAsia="Calibri" w:hAnsi="Garamond" w:cs="Calibri Light"/>
                <w:sz w:val="14"/>
                <w:szCs w:val="14"/>
                <w:u w:val="single"/>
                <w:lang w:eastAsia="en-US"/>
              </w:rPr>
            </w:pPr>
            <w:r w:rsidRPr="00622884">
              <w:rPr>
                <w:rFonts w:ascii="Garamond" w:eastAsia="SimSun" w:hAnsi="Garamond" w:cs="Times New Roman"/>
                <w:sz w:val="14"/>
                <w:szCs w:val="14"/>
                <w:lang w:eastAsia="en-US" w:bidi="sq-AL"/>
              </w:rPr>
              <w:t>Pilotimi i vlerësimeve të menaxhimit të riskut për bizneset me aftësi ripërtëritëse ndaj ndryshimeve klimatike</w:t>
            </w:r>
          </w:p>
        </w:tc>
        <w:tc>
          <w:tcPr>
            <w:tcW w:w="485" w:type="pct"/>
            <w:shd w:val="clear" w:color="auto" w:fill="E0F4F4"/>
            <w:vAlign w:val="center"/>
          </w:tcPr>
          <w:p w14:paraId="516827BC" w14:textId="77777777" w:rsidR="00622884" w:rsidRPr="00622884" w:rsidRDefault="00622884" w:rsidP="00622884">
            <w:pPr>
              <w:spacing w:after="0" w:line="240" w:lineRule="auto"/>
              <w:jc w:val="center"/>
              <w:rPr>
                <w:rFonts w:ascii="Garamond" w:eastAsia="Calibri" w:hAnsi="Garamond" w:cs="Calibri Light"/>
                <w:sz w:val="14"/>
                <w:szCs w:val="14"/>
                <w:lang w:eastAsia="en-US"/>
              </w:rPr>
            </w:pPr>
            <w:r w:rsidRPr="00622884">
              <w:rPr>
                <w:rFonts w:ascii="Garamond" w:eastAsia="SimSun" w:hAnsi="Garamond" w:cs="Times New Roman"/>
                <w:sz w:val="14"/>
                <w:szCs w:val="14"/>
                <w:lang w:eastAsia="en-US" w:bidi="sq-AL"/>
              </w:rPr>
              <w:t>Masë e butë</w:t>
            </w:r>
          </w:p>
        </w:tc>
        <w:tc>
          <w:tcPr>
            <w:tcW w:w="613" w:type="pct"/>
            <w:shd w:val="clear" w:color="auto" w:fill="E0F4F4"/>
            <w:vAlign w:val="center"/>
          </w:tcPr>
          <w:p w14:paraId="23C93436" w14:textId="77777777" w:rsidR="00622884" w:rsidRPr="00622884" w:rsidRDefault="00622884" w:rsidP="00622884">
            <w:pPr>
              <w:spacing w:after="0" w:line="240" w:lineRule="auto"/>
              <w:jc w:val="center"/>
              <w:rPr>
                <w:rFonts w:ascii="Garamond" w:eastAsia="Calibri" w:hAnsi="Garamond" w:cs="Calibri Light"/>
                <w:sz w:val="14"/>
                <w:szCs w:val="14"/>
                <w:lang w:eastAsia="en-US"/>
              </w:rPr>
            </w:pPr>
            <w:r w:rsidRPr="00622884">
              <w:rPr>
                <w:rFonts w:ascii="Garamond" w:eastAsia="SimSun" w:hAnsi="Garamond" w:cs="Times New Roman"/>
                <w:sz w:val="14"/>
                <w:szCs w:val="14"/>
                <w:lang w:eastAsia="en-US" w:bidi="sq-AL"/>
              </w:rPr>
              <w:t>200.000</w:t>
            </w:r>
          </w:p>
        </w:tc>
        <w:tc>
          <w:tcPr>
            <w:tcW w:w="272" w:type="pct"/>
            <w:shd w:val="clear" w:color="auto" w:fill="E0F4F4"/>
            <w:vAlign w:val="center"/>
          </w:tcPr>
          <w:p w14:paraId="78E4B815" w14:textId="77777777" w:rsidR="00622884" w:rsidRPr="00622884" w:rsidRDefault="00622884" w:rsidP="00622884">
            <w:pPr>
              <w:spacing w:after="0" w:line="240" w:lineRule="auto"/>
              <w:jc w:val="center"/>
              <w:rPr>
                <w:rFonts w:ascii="Garamond" w:eastAsia="Calibri" w:hAnsi="Garamond" w:cs="Calibri Light"/>
                <w:sz w:val="14"/>
                <w:szCs w:val="14"/>
                <w:lang w:eastAsia="en-US"/>
              </w:rPr>
            </w:pPr>
            <w:r w:rsidRPr="00622884">
              <w:rPr>
                <w:rFonts w:ascii="Garamond" w:eastAsia="SimSun" w:hAnsi="Garamond" w:cs="Times New Roman"/>
                <w:sz w:val="14"/>
                <w:szCs w:val="14"/>
                <w:lang w:eastAsia="en-US" w:bidi="sq-AL"/>
              </w:rPr>
              <w:t>ASH</w:t>
            </w:r>
          </w:p>
        </w:tc>
      </w:tr>
      <w:tr w:rsidR="00622884" w:rsidRPr="00622884" w14:paraId="4953075D" w14:textId="77777777" w:rsidTr="00622884">
        <w:trPr>
          <w:trHeight w:val="20"/>
          <w:jc w:val="center"/>
        </w:trPr>
        <w:tc>
          <w:tcPr>
            <w:tcW w:w="177" w:type="pct"/>
            <w:shd w:val="clear" w:color="auto" w:fill="E0F4F4"/>
            <w:vAlign w:val="center"/>
          </w:tcPr>
          <w:p w14:paraId="629061BF" w14:textId="77777777" w:rsidR="00622884" w:rsidRPr="00622884" w:rsidRDefault="00622884" w:rsidP="00622884">
            <w:pPr>
              <w:spacing w:after="0" w:line="240" w:lineRule="auto"/>
              <w:jc w:val="center"/>
              <w:rPr>
                <w:rFonts w:ascii="Garamond" w:eastAsia="Calibri" w:hAnsi="Garamond" w:cs="Calibri Light"/>
                <w:b/>
                <w:bCs/>
                <w:sz w:val="14"/>
                <w:szCs w:val="14"/>
                <w:lang w:eastAsia="en-US"/>
              </w:rPr>
            </w:pPr>
            <w:r w:rsidRPr="00622884">
              <w:rPr>
                <w:rFonts w:ascii="Garamond" w:eastAsia="SimSun" w:hAnsi="Garamond" w:cs="Times New Roman"/>
                <w:b/>
                <w:sz w:val="14"/>
                <w:szCs w:val="14"/>
                <w:lang w:eastAsia="en-US" w:bidi="sq-AL"/>
              </w:rPr>
              <w:t>9</w:t>
            </w:r>
          </w:p>
        </w:tc>
        <w:tc>
          <w:tcPr>
            <w:tcW w:w="576" w:type="pct"/>
            <w:shd w:val="clear" w:color="auto" w:fill="E0F4F4"/>
            <w:vAlign w:val="center"/>
          </w:tcPr>
          <w:p w14:paraId="5802BF37" w14:textId="77777777" w:rsidR="00622884" w:rsidRPr="00622884" w:rsidRDefault="00622884" w:rsidP="00622884">
            <w:pPr>
              <w:spacing w:after="0" w:line="240" w:lineRule="auto"/>
              <w:jc w:val="center"/>
              <w:rPr>
                <w:rFonts w:ascii="Garamond" w:eastAsia="Calibri" w:hAnsi="Garamond" w:cs="Calibri Light"/>
                <w:sz w:val="14"/>
                <w:szCs w:val="14"/>
                <w:lang w:eastAsia="en-US"/>
              </w:rPr>
            </w:pPr>
            <w:r w:rsidRPr="00622884">
              <w:rPr>
                <w:rFonts w:ascii="Garamond" w:eastAsia="SimSun" w:hAnsi="Garamond" w:cs="Times New Roman"/>
                <w:sz w:val="14"/>
                <w:szCs w:val="14"/>
                <w:lang w:eastAsia="en-US" w:bidi="sq-AL"/>
              </w:rPr>
              <w:t>Ndërsektorial</w:t>
            </w:r>
          </w:p>
        </w:tc>
        <w:tc>
          <w:tcPr>
            <w:tcW w:w="2877" w:type="pct"/>
            <w:shd w:val="clear" w:color="auto" w:fill="E0F4F4"/>
            <w:vAlign w:val="center"/>
          </w:tcPr>
          <w:p w14:paraId="7C6E9138" w14:textId="77777777" w:rsidR="00622884" w:rsidRPr="00622884" w:rsidRDefault="00622884" w:rsidP="00622884">
            <w:pPr>
              <w:spacing w:after="0" w:line="240" w:lineRule="auto"/>
              <w:jc w:val="left"/>
              <w:rPr>
                <w:rFonts w:ascii="Garamond" w:eastAsia="Calibri" w:hAnsi="Garamond" w:cs="Calibri Light"/>
                <w:sz w:val="14"/>
                <w:szCs w:val="14"/>
                <w:u w:val="single"/>
                <w:lang w:eastAsia="en-US"/>
              </w:rPr>
            </w:pPr>
            <w:bookmarkStart w:id="279" w:name="_Hlk226621254"/>
            <w:r w:rsidRPr="00622884">
              <w:rPr>
                <w:rFonts w:ascii="Garamond" w:eastAsia="SimSun" w:hAnsi="Garamond" w:cs="Times New Roman"/>
                <w:sz w:val="14"/>
                <w:szCs w:val="14"/>
                <w:lang w:eastAsia="en-US" w:bidi="sq-AL"/>
              </w:rPr>
              <w:t>Promovimi i përshtatjes klimatike me ndjeshmëri gjinore: Trajnimi i palëve të interesit, krijimi i instrumenteve gjithëpërfshirëse,</w:t>
            </w:r>
            <w:r w:rsidRPr="00622884">
              <w:rPr>
                <w:rFonts w:ascii="Garamond" w:eastAsia="Calibri" w:hAnsi="Garamond" w:cs="Times New Roman"/>
                <w:sz w:val="14"/>
                <w:szCs w:val="14"/>
                <w:lang w:eastAsia="en-US"/>
              </w:rPr>
              <w:t xml:space="preserve"> </w:t>
            </w:r>
            <w:r w:rsidRPr="00622884">
              <w:rPr>
                <w:rFonts w:ascii="Garamond" w:eastAsia="SimSun" w:hAnsi="Garamond" w:cs="Times New Roman"/>
                <w:sz w:val="14"/>
                <w:szCs w:val="14"/>
                <w:lang w:eastAsia="en-US" w:bidi="sq-AL"/>
              </w:rPr>
              <w:t>forcimi i kapaciteteve institucionale në sektorin shëndetësor</w:t>
            </w:r>
            <w:bookmarkEnd w:id="279"/>
          </w:p>
        </w:tc>
        <w:tc>
          <w:tcPr>
            <w:tcW w:w="485" w:type="pct"/>
            <w:shd w:val="clear" w:color="auto" w:fill="E0F4F4"/>
            <w:vAlign w:val="center"/>
          </w:tcPr>
          <w:p w14:paraId="38C6154B" w14:textId="77777777" w:rsidR="00622884" w:rsidRPr="00622884" w:rsidRDefault="00622884" w:rsidP="00622884">
            <w:pPr>
              <w:spacing w:after="0" w:line="240" w:lineRule="auto"/>
              <w:jc w:val="center"/>
              <w:rPr>
                <w:rFonts w:ascii="Garamond" w:eastAsia="Calibri" w:hAnsi="Garamond" w:cs="Calibri Light"/>
                <w:sz w:val="14"/>
                <w:szCs w:val="14"/>
                <w:lang w:eastAsia="en-US"/>
              </w:rPr>
            </w:pPr>
            <w:r w:rsidRPr="00622884">
              <w:rPr>
                <w:rFonts w:ascii="Garamond" w:eastAsia="SimSun" w:hAnsi="Garamond" w:cs="Times New Roman"/>
                <w:sz w:val="14"/>
                <w:szCs w:val="14"/>
                <w:lang w:eastAsia="en-US" w:bidi="sq-AL"/>
              </w:rPr>
              <w:t>Masë e butë</w:t>
            </w:r>
          </w:p>
        </w:tc>
        <w:tc>
          <w:tcPr>
            <w:tcW w:w="613" w:type="pct"/>
            <w:shd w:val="clear" w:color="auto" w:fill="E0F4F4"/>
            <w:vAlign w:val="center"/>
          </w:tcPr>
          <w:p w14:paraId="222BB324" w14:textId="77777777" w:rsidR="00622884" w:rsidRPr="00622884" w:rsidRDefault="00622884" w:rsidP="00622884">
            <w:pPr>
              <w:spacing w:after="0" w:line="240" w:lineRule="auto"/>
              <w:jc w:val="center"/>
              <w:rPr>
                <w:rFonts w:ascii="Garamond" w:eastAsia="Calibri" w:hAnsi="Garamond" w:cs="Calibri Light"/>
                <w:sz w:val="14"/>
                <w:szCs w:val="14"/>
                <w:lang w:eastAsia="en-US"/>
              </w:rPr>
            </w:pPr>
            <w:r w:rsidRPr="00622884">
              <w:rPr>
                <w:rFonts w:ascii="Garamond" w:eastAsia="SimSun" w:hAnsi="Garamond" w:cs="Times New Roman"/>
                <w:sz w:val="14"/>
                <w:szCs w:val="14"/>
                <w:lang w:eastAsia="en-US" w:bidi="sq-AL"/>
              </w:rPr>
              <w:t>143.000</w:t>
            </w:r>
          </w:p>
        </w:tc>
        <w:tc>
          <w:tcPr>
            <w:tcW w:w="272" w:type="pct"/>
            <w:shd w:val="clear" w:color="auto" w:fill="E0F4F4"/>
            <w:vAlign w:val="center"/>
          </w:tcPr>
          <w:p w14:paraId="01843E34" w14:textId="77777777" w:rsidR="00622884" w:rsidRPr="00622884" w:rsidRDefault="00622884" w:rsidP="00622884">
            <w:pPr>
              <w:spacing w:after="0" w:line="240" w:lineRule="auto"/>
              <w:jc w:val="center"/>
              <w:rPr>
                <w:rFonts w:ascii="Garamond" w:eastAsia="Calibri" w:hAnsi="Garamond" w:cs="Calibri Light"/>
                <w:sz w:val="14"/>
                <w:szCs w:val="14"/>
                <w:lang w:eastAsia="en-US"/>
              </w:rPr>
            </w:pPr>
            <w:r w:rsidRPr="00622884">
              <w:rPr>
                <w:rFonts w:ascii="Garamond" w:eastAsia="SimSun" w:hAnsi="Garamond" w:cs="Times New Roman"/>
                <w:sz w:val="14"/>
                <w:szCs w:val="14"/>
                <w:lang w:eastAsia="en-US" w:bidi="sq-AL"/>
              </w:rPr>
              <w:t>AM</w:t>
            </w:r>
          </w:p>
        </w:tc>
      </w:tr>
      <w:tr w:rsidR="00622884" w:rsidRPr="00622884" w14:paraId="38A98CBA" w14:textId="77777777" w:rsidTr="00622884">
        <w:trPr>
          <w:trHeight w:val="20"/>
          <w:jc w:val="center"/>
        </w:trPr>
        <w:tc>
          <w:tcPr>
            <w:tcW w:w="177" w:type="pct"/>
            <w:shd w:val="clear" w:color="auto" w:fill="E0F4F4"/>
            <w:vAlign w:val="center"/>
          </w:tcPr>
          <w:p w14:paraId="114E56A7" w14:textId="77777777" w:rsidR="00622884" w:rsidRPr="00622884" w:rsidRDefault="00622884" w:rsidP="00622884">
            <w:pPr>
              <w:spacing w:after="0" w:line="240" w:lineRule="auto"/>
              <w:jc w:val="center"/>
              <w:rPr>
                <w:rFonts w:ascii="Garamond" w:eastAsia="Calibri" w:hAnsi="Garamond" w:cs="Calibri Light"/>
                <w:b/>
                <w:bCs/>
                <w:sz w:val="14"/>
                <w:szCs w:val="14"/>
                <w:lang w:eastAsia="en-US"/>
              </w:rPr>
            </w:pPr>
            <w:r w:rsidRPr="00622884">
              <w:rPr>
                <w:rFonts w:ascii="Garamond" w:eastAsia="SimSun" w:hAnsi="Garamond" w:cs="Times New Roman"/>
                <w:b/>
                <w:sz w:val="14"/>
                <w:szCs w:val="14"/>
                <w:lang w:eastAsia="en-US" w:bidi="sq-AL"/>
              </w:rPr>
              <w:t>10</w:t>
            </w:r>
          </w:p>
        </w:tc>
        <w:tc>
          <w:tcPr>
            <w:tcW w:w="576" w:type="pct"/>
            <w:shd w:val="clear" w:color="auto" w:fill="E0F4F4"/>
            <w:vAlign w:val="center"/>
          </w:tcPr>
          <w:p w14:paraId="055EF7C6" w14:textId="77777777" w:rsidR="00622884" w:rsidRPr="00622884" w:rsidRDefault="00622884" w:rsidP="00622884">
            <w:pPr>
              <w:spacing w:after="0" w:line="240" w:lineRule="auto"/>
              <w:jc w:val="center"/>
              <w:rPr>
                <w:rFonts w:ascii="Garamond" w:eastAsia="Calibri" w:hAnsi="Garamond" w:cs="Calibri Light"/>
                <w:sz w:val="14"/>
                <w:szCs w:val="14"/>
                <w:lang w:eastAsia="en-US"/>
              </w:rPr>
            </w:pPr>
            <w:r w:rsidRPr="00622884">
              <w:rPr>
                <w:rFonts w:ascii="Garamond" w:eastAsia="SimSun" w:hAnsi="Garamond" w:cs="Times New Roman"/>
                <w:sz w:val="14"/>
                <w:szCs w:val="14"/>
                <w:lang w:eastAsia="en-US" w:bidi="sq-AL"/>
              </w:rPr>
              <w:t>Ndërsektorial</w:t>
            </w:r>
          </w:p>
        </w:tc>
        <w:tc>
          <w:tcPr>
            <w:tcW w:w="2877" w:type="pct"/>
            <w:shd w:val="clear" w:color="auto" w:fill="E0F4F4"/>
            <w:vAlign w:val="center"/>
          </w:tcPr>
          <w:p w14:paraId="275415C3" w14:textId="77777777" w:rsidR="00622884" w:rsidRPr="00622884" w:rsidRDefault="00622884" w:rsidP="00622884">
            <w:pPr>
              <w:spacing w:after="0" w:line="240" w:lineRule="auto"/>
              <w:jc w:val="left"/>
              <w:rPr>
                <w:rFonts w:ascii="Garamond" w:eastAsia="Calibri" w:hAnsi="Garamond" w:cs="Calibri Light"/>
                <w:sz w:val="14"/>
                <w:szCs w:val="14"/>
                <w:u w:val="single"/>
                <w:lang w:eastAsia="en-US"/>
              </w:rPr>
            </w:pPr>
            <w:r w:rsidRPr="00622884">
              <w:rPr>
                <w:rFonts w:ascii="Garamond" w:eastAsia="SimSun" w:hAnsi="Garamond" w:cs="Times New Roman"/>
                <w:sz w:val="14"/>
                <w:szCs w:val="14"/>
                <w:lang w:eastAsia="en-US" w:bidi="sq-AL"/>
              </w:rPr>
              <w:t>Edukimi i komuniteteve: Përshtatja dhe rritja e ndërgjegjësimit për fatkeqësitë</w:t>
            </w:r>
          </w:p>
        </w:tc>
        <w:tc>
          <w:tcPr>
            <w:tcW w:w="485" w:type="pct"/>
            <w:shd w:val="clear" w:color="auto" w:fill="E0F4F4"/>
            <w:vAlign w:val="center"/>
          </w:tcPr>
          <w:p w14:paraId="5FD3A178" w14:textId="77777777" w:rsidR="00622884" w:rsidRPr="00622884" w:rsidRDefault="00622884" w:rsidP="00622884">
            <w:pPr>
              <w:spacing w:after="0" w:line="240" w:lineRule="auto"/>
              <w:jc w:val="center"/>
              <w:rPr>
                <w:rFonts w:ascii="Garamond" w:eastAsia="Calibri" w:hAnsi="Garamond" w:cs="Calibri Light"/>
                <w:sz w:val="14"/>
                <w:szCs w:val="14"/>
                <w:lang w:eastAsia="en-US"/>
              </w:rPr>
            </w:pPr>
            <w:r w:rsidRPr="00622884">
              <w:rPr>
                <w:rFonts w:ascii="Garamond" w:eastAsia="SimSun" w:hAnsi="Garamond" w:cs="Times New Roman"/>
                <w:sz w:val="14"/>
                <w:szCs w:val="14"/>
                <w:lang w:eastAsia="en-US" w:bidi="sq-AL"/>
              </w:rPr>
              <w:t>Masë e butë</w:t>
            </w:r>
          </w:p>
        </w:tc>
        <w:tc>
          <w:tcPr>
            <w:tcW w:w="613" w:type="pct"/>
            <w:shd w:val="clear" w:color="auto" w:fill="E0F4F4"/>
            <w:vAlign w:val="center"/>
          </w:tcPr>
          <w:p w14:paraId="54E66B4F" w14:textId="77777777" w:rsidR="00622884" w:rsidRPr="00622884" w:rsidRDefault="00622884" w:rsidP="00622884">
            <w:pPr>
              <w:spacing w:after="0" w:line="240" w:lineRule="auto"/>
              <w:jc w:val="center"/>
              <w:rPr>
                <w:rFonts w:ascii="Garamond" w:eastAsia="Calibri" w:hAnsi="Garamond" w:cs="Calibri Light"/>
                <w:sz w:val="14"/>
                <w:szCs w:val="14"/>
                <w:lang w:eastAsia="en-US"/>
              </w:rPr>
            </w:pPr>
            <w:r w:rsidRPr="00622884">
              <w:rPr>
                <w:rFonts w:ascii="Garamond" w:eastAsia="SimSun" w:hAnsi="Garamond" w:cs="Times New Roman"/>
                <w:sz w:val="14"/>
                <w:szCs w:val="14"/>
                <w:lang w:eastAsia="en-US" w:bidi="sq-AL"/>
              </w:rPr>
              <w:t>3.025.000</w:t>
            </w:r>
          </w:p>
        </w:tc>
        <w:tc>
          <w:tcPr>
            <w:tcW w:w="272" w:type="pct"/>
            <w:shd w:val="clear" w:color="auto" w:fill="E0F4F4"/>
            <w:vAlign w:val="center"/>
          </w:tcPr>
          <w:p w14:paraId="26AF9310" w14:textId="77777777" w:rsidR="00622884" w:rsidRPr="00622884" w:rsidRDefault="00622884" w:rsidP="00622884">
            <w:pPr>
              <w:spacing w:after="0" w:line="240" w:lineRule="auto"/>
              <w:jc w:val="center"/>
              <w:rPr>
                <w:rFonts w:ascii="Garamond" w:eastAsia="Calibri" w:hAnsi="Garamond" w:cs="Calibri Light"/>
                <w:sz w:val="14"/>
                <w:szCs w:val="14"/>
                <w:lang w:eastAsia="en-US"/>
              </w:rPr>
            </w:pPr>
            <w:r w:rsidRPr="00622884">
              <w:rPr>
                <w:rFonts w:ascii="Garamond" w:eastAsia="SimSun" w:hAnsi="Garamond" w:cs="Times New Roman"/>
                <w:sz w:val="14"/>
                <w:szCs w:val="14"/>
                <w:lang w:eastAsia="en-US" w:bidi="sq-AL"/>
              </w:rPr>
              <w:t>ASH</w:t>
            </w:r>
          </w:p>
        </w:tc>
      </w:tr>
      <w:tr w:rsidR="00622884" w:rsidRPr="00622884" w14:paraId="7998AAB5" w14:textId="77777777" w:rsidTr="00622884">
        <w:trPr>
          <w:trHeight w:val="20"/>
          <w:jc w:val="center"/>
        </w:trPr>
        <w:tc>
          <w:tcPr>
            <w:tcW w:w="177" w:type="pct"/>
            <w:vAlign w:val="center"/>
          </w:tcPr>
          <w:p w14:paraId="5B889316" w14:textId="77777777" w:rsidR="00622884" w:rsidRPr="00622884" w:rsidRDefault="00622884" w:rsidP="00622884">
            <w:pPr>
              <w:spacing w:after="0" w:line="240" w:lineRule="auto"/>
              <w:jc w:val="center"/>
              <w:rPr>
                <w:rFonts w:ascii="Garamond" w:eastAsia="Calibri" w:hAnsi="Garamond" w:cs="Calibri Light"/>
                <w:b/>
                <w:bCs/>
                <w:sz w:val="14"/>
                <w:szCs w:val="14"/>
                <w:lang w:eastAsia="en-US"/>
              </w:rPr>
            </w:pPr>
            <w:r w:rsidRPr="00622884">
              <w:rPr>
                <w:rFonts w:ascii="Garamond" w:eastAsia="SimSun" w:hAnsi="Garamond" w:cs="Times New Roman"/>
                <w:b/>
                <w:sz w:val="14"/>
                <w:szCs w:val="14"/>
                <w:lang w:eastAsia="en-US" w:bidi="sq-AL"/>
              </w:rPr>
              <w:t>11</w:t>
            </w:r>
          </w:p>
        </w:tc>
        <w:tc>
          <w:tcPr>
            <w:tcW w:w="576" w:type="pct"/>
            <w:vAlign w:val="center"/>
          </w:tcPr>
          <w:p w14:paraId="217F92D4" w14:textId="77777777" w:rsidR="00622884" w:rsidRPr="00622884" w:rsidRDefault="00622884" w:rsidP="00622884">
            <w:pPr>
              <w:spacing w:after="0" w:line="240" w:lineRule="auto"/>
              <w:jc w:val="center"/>
              <w:rPr>
                <w:rFonts w:ascii="Garamond" w:eastAsia="Calibri" w:hAnsi="Garamond" w:cs="Calibri Light"/>
                <w:sz w:val="14"/>
                <w:szCs w:val="14"/>
                <w:lang w:eastAsia="en-US"/>
              </w:rPr>
            </w:pPr>
            <w:r w:rsidRPr="00622884">
              <w:rPr>
                <w:rFonts w:ascii="Garamond" w:eastAsia="SimSun" w:hAnsi="Garamond" w:cs="Times New Roman"/>
                <w:sz w:val="14"/>
                <w:szCs w:val="14"/>
                <w:lang w:eastAsia="en-US" w:bidi="sq-AL"/>
              </w:rPr>
              <w:t>Bujqësia</w:t>
            </w:r>
          </w:p>
        </w:tc>
        <w:tc>
          <w:tcPr>
            <w:tcW w:w="2877" w:type="pct"/>
            <w:vAlign w:val="center"/>
          </w:tcPr>
          <w:p w14:paraId="36308EB5" w14:textId="77777777" w:rsidR="00622884" w:rsidRPr="00622884" w:rsidRDefault="00622884" w:rsidP="00622884">
            <w:pPr>
              <w:spacing w:after="0" w:line="240" w:lineRule="auto"/>
              <w:jc w:val="left"/>
              <w:rPr>
                <w:rFonts w:ascii="Garamond" w:eastAsia="Calibri" w:hAnsi="Garamond" w:cs="Calibri Light"/>
                <w:sz w:val="14"/>
                <w:szCs w:val="14"/>
                <w:u w:val="single"/>
                <w:lang w:eastAsia="en-US"/>
              </w:rPr>
            </w:pPr>
            <w:r w:rsidRPr="00622884">
              <w:rPr>
                <w:rFonts w:ascii="Garamond" w:eastAsia="SimSun" w:hAnsi="Garamond" w:cs="Times New Roman"/>
                <w:sz w:val="14"/>
                <w:szCs w:val="14"/>
                <w:lang w:eastAsia="en-US" w:bidi="sq-AL"/>
              </w:rPr>
              <w:t>Fuqizimi i fermerëve: mbështetja financiare për infrastrukturën me aftësi ripërtëritëse ndaj ndryshimeve klimatike</w:t>
            </w:r>
          </w:p>
        </w:tc>
        <w:tc>
          <w:tcPr>
            <w:tcW w:w="485" w:type="pct"/>
            <w:vAlign w:val="center"/>
          </w:tcPr>
          <w:p w14:paraId="7FDF785D" w14:textId="77777777" w:rsidR="00622884" w:rsidRPr="00622884" w:rsidRDefault="00622884" w:rsidP="00622884">
            <w:pPr>
              <w:spacing w:after="0" w:line="240" w:lineRule="auto"/>
              <w:jc w:val="center"/>
              <w:rPr>
                <w:rFonts w:ascii="Garamond" w:eastAsia="Calibri" w:hAnsi="Garamond" w:cs="Calibri Light"/>
                <w:sz w:val="14"/>
                <w:szCs w:val="14"/>
                <w:lang w:eastAsia="en-US"/>
              </w:rPr>
            </w:pPr>
            <w:r w:rsidRPr="00622884">
              <w:rPr>
                <w:rFonts w:ascii="Garamond" w:eastAsia="SimSun" w:hAnsi="Garamond" w:cs="Times New Roman"/>
                <w:sz w:val="14"/>
                <w:szCs w:val="14"/>
                <w:lang w:eastAsia="en-US" w:bidi="sq-AL"/>
              </w:rPr>
              <w:t>Masë e butë</w:t>
            </w:r>
          </w:p>
        </w:tc>
        <w:tc>
          <w:tcPr>
            <w:tcW w:w="613" w:type="pct"/>
            <w:vAlign w:val="center"/>
          </w:tcPr>
          <w:p w14:paraId="3B1973FB" w14:textId="77777777" w:rsidR="00622884" w:rsidRPr="00622884" w:rsidRDefault="00622884" w:rsidP="00622884">
            <w:pPr>
              <w:spacing w:after="0" w:line="240" w:lineRule="auto"/>
              <w:jc w:val="center"/>
              <w:rPr>
                <w:rFonts w:ascii="Garamond" w:eastAsia="Calibri" w:hAnsi="Garamond" w:cs="Calibri Light"/>
                <w:sz w:val="14"/>
                <w:szCs w:val="14"/>
                <w:lang w:eastAsia="en-US"/>
              </w:rPr>
            </w:pPr>
            <w:r w:rsidRPr="00622884">
              <w:rPr>
                <w:rFonts w:ascii="Garamond" w:eastAsia="SimSun" w:hAnsi="Garamond" w:cs="Times New Roman"/>
                <w:sz w:val="14"/>
                <w:szCs w:val="14"/>
                <w:lang w:eastAsia="en-US" w:bidi="sq-AL"/>
              </w:rPr>
              <w:t>29.600.000</w:t>
            </w:r>
          </w:p>
        </w:tc>
        <w:tc>
          <w:tcPr>
            <w:tcW w:w="272" w:type="pct"/>
            <w:vAlign w:val="center"/>
          </w:tcPr>
          <w:p w14:paraId="5A83491C" w14:textId="77777777" w:rsidR="00622884" w:rsidRPr="00622884" w:rsidRDefault="00622884" w:rsidP="00622884">
            <w:pPr>
              <w:spacing w:after="0" w:line="240" w:lineRule="auto"/>
              <w:jc w:val="center"/>
              <w:rPr>
                <w:rFonts w:ascii="Garamond" w:eastAsia="Calibri" w:hAnsi="Garamond" w:cs="Calibri Light"/>
                <w:sz w:val="14"/>
                <w:szCs w:val="14"/>
                <w:lang w:eastAsia="en-US"/>
              </w:rPr>
            </w:pPr>
            <w:r w:rsidRPr="00622884">
              <w:rPr>
                <w:rFonts w:ascii="Garamond" w:eastAsia="SimSun" w:hAnsi="Garamond" w:cs="Times New Roman"/>
                <w:sz w:val="14"/>
                <w:szCs w:val="14"/>
                <w:lang w:eastAsia="en-US" w:bidi="sq-AL"/>
              </w:rPr>
              <w:t>ASH</w:t>
            </w:r>
          </w:p>
        </w:tc>
      </w:tr>
      <w:tr w:rsidR="00622884" w:rsidRPr="00622884" w14:paraId="374E9BA6" w14:textId="77777777" w:rsidTr="00622884">
        <w:trPr>
          <w:trHeight w:val="20"/>
          <w:jc w:val="center"/>
        </w:trPr>
        <w:tc>
          <w:tcPr>
            <w:tcW w:w="177" w:type="pct"/>
            <w:vAlign w:val="center"/>
          </w:tcPr>
          <w:p w14:paraId="70D9E566" w14:textId="77777777" w:rsidR="00622884" w:rsidRPr="00622884" w:rsidRDefault="00622884" w:rsidP="00622884">
            <w:pPr>
              <w:spacing w:after="0" w:line="240" w:lineRule="auto"/>
              <w:jc w:val="center"/>
              <w:rPr>
                <w:rFonts w:ascii="Garamond" w:eastAsia="Calibri" w:hAnsi="Garamond" w:cs="Calibri Light"/>
                <w:b/>
                <w:bCs/>
                <w:sz w:val="14"/>
                <w:szCs w:val="14"/>
                <w:lang w:eastAsia="en-US"/>
              </w:rPr>
            </w:pPr>
            <w:r w:rsidRPr="00622884">
              <w:rPr>
                <w:rFonts w:ascii="Garamond" w:eastAsia="SimSun" w:hAnsi="Garamond" w:cs="Times New Roman"/>
                <w:b/>
                <w:sz w:val="14"/>
                <w:szCs w:val="14"/>
                <w:lang w:eastAsia="en-US" w:bidi="sq-AL"/>
              </w:rPr>
              <w:t>12</w:t>
            </w:r>
          </w:p>
        </w:tc>
        <w:tc>
          <w:tcPr>
            <w:tcW w:w="576" w:type="pct"/>
            <w:vAlign w:val="center"/>
          </w:tcPr>
          <w:p w14:paraId="72427FCD" w14:textId="77777777" w:rsidR="00622884" w:rsidRPr="00622884" w:rsidRDefault="00622884" w:rsidP="00622884">
            <w:pPr>
              <w:spacing w:after="0" w:line="240" w:lineRule="auto"/>
              <w:jc w:val="center"/>
              <w:rPr>
                <w:rFonts w:ascii="Garamond" w:eastAsia="Calibri" w:hAnsi="Garamond" w:cs="Calibri Light"/>
                <w:sz w:val="14"/>
                <w:szCs w:val="14"/>
                <w:lang w:eastAsia="en-US"/>
              </w:rPr>
            </w:pPr>
            <w:r w:rsidRPr="00622884">
              <w:rPr>
                <w:rFonts w:ascii="Garamond" w:eastAsia="SimSun" w:hAnsi="Garamond" w:cs="Times New Roman"/>
                <w:sz w:val="14"/>
                <w:szCs w:val="14"/>
                <w:lang w:eastAsia="en-US" w:bidi="sq-AL"/>
              </w:rPr>
              <w:t>Bujqësia</w:t>
            </w:r>
          </w:p>
        </w:tc>
        <w:tc>
          <w:tcPr>
            <w:tcW w:w="2877" w:type="pct"/>
            <w:vAlign w:val="center"/>
          </w:tcPr>
          <w:p w14:paraId="7C2DBE26" w14:textId="77777777" w:rsidR="00622884" w:rsidRPr="00622884" w:rsidRDefault="00622884" w:rsidP="00622884">
            <w:pPr>
              <w:spacing w:after="0" w:line="240" w:lineRule="auto"/>
              <w:jc w:val="left"/>
              <w:rPr>
                <w:rFonts w:ascii="Garamond" w:eastAsia="Calibri" w:hAnsi="Garamond" w:cs="Calibri Light"/>
                <w:sz w:val="14"/>
                <w:szCs w:val="14"/>
                <w:u w:val="single"/>
                <w:lang w:eastAsia="en-US"/>
              </w:rPr>
            </w:pPr>
            <w:r w:rsidRPr="00622884">
              <w:rPr>
                <w:rFonts w:ascii="Garamond" w:eastAsia="SimSun" w:hAnsi="Garamond" w:cs="Times New Roman"/>
                <w:sz w:val="14"/>
                <w:szCs w:val="14"/>
                <w:lang w:eastAsia="en-US" w:bidi="sq-AL"/>
              </w:rPr>
              <w:t>Mbrojtja e fermerëve: Programet e kompensimit dhe ndihmës për rimëkëmbjen nga fatkeqësitë</w:t>
            </w:r>
          </w:p>
        </w:tc>
        <w:tc>
          <w:tcPr>
            <w:tcW w:w="485" w:type="pct"/>
            <w:vAlign w:val="center"/>
          </w:tcPr>
          <w:p w14:paraId="01E4C08E" w14:textId="77777777" w:rsidR="00622884" w:rsidRPr="00622884" w:rsidRDefault="00622884" w:rsidP="00622884">
            <w:pPr>
              <w:spacing w:after="0" w:line="240" w:lineRule="auto"/>
              <w:jc w:val="center"/>
              <w:rPr>
                <w:rFonts w:ascii="Garamond" w:eastAsia="Calibri" w:hAnsi="Garamond" w:cs="Calibri Light"/>
                <w:sz w:val="14"/>
                <w:szCs w:val="14"/>
                <w:lang w:eastAsia="en-US"/>
              </w:rPr>
            </w:pPr>
            <w:r w:rsidRPr="00622884">
              <w:rPr>
                <w:rFonts w:ascii="Garamond" w:eastAsia="SimSun" w:hAnsi="Garamond" w:cs="Times New Roman"/>
                <w:sz w:val="14"/>
                <w:szCs w:val="14"/>
                <w:lang w:eastAsia="en-US" w:bidi="sq-AL"/>
              </w:rPr>
              <w:t>Masë e butë</w:t>
            </w:r>
          </w:p>
        </w:tc>
        <w:tc>
          <w:tcPr>
            <w:tcW w:w="613" w:type="pct"/>
            <w:vAlign w:val="center"/>
          </w:tcPr>
          <w:p w14:paraId="3FBBA7BB" w14:textId="77777777" w:rsidR="00622884" w:rsidRPr="00622884" w:rsidRDefault="00622884" w:rsidP="00622884">
            <w:pPr>
              <w:spacing w:after="0" w:line="240" w:lineRule="auto"/>
              <w:jc w:val="center"/>
              <w:rPr>
                <w:rFonts w:ascii="Garamond" w:eastAsia="Calibri" w:hAnsi="Garamond" w:cs="Calibri Light"/>
                <w:sz w:val="14"/>
                <w:szCs w:val="14"/>
                <w:lang w:eastAsia="en-US"/>
              </w:rPr>
            </w:pPr>
            <w:r w:rsidRPr="00622884">
              <w:rPr>
                <w:rFonts w:ascii="Garamond" w:eastAsia="SimSun" w:hAnsi="Garamond" w:cs="Times New Roman"/>
                <w:sz w:val="14"/>
                <w:szCs w:val="14"/>
                <w:lang w:eastAsia="en-US" w:bidi="sq-AL"/>
              </w:rPr>
              <w:t>102.250.000</w:t>
            </w:r>
          </w:p>
        </w:tc>
        <w:tc>
          <w:tcPr>
            <w:tcW w:w="272" w:type="pct"/>
            <w:vAlign w:val="center"/>
          </w:tcPr>
          <w:p w14:paraId="1D1E87DB" w14:textId="77777777" w:rsidR="00622884" w:rsidRPr="00622884" w:rsidRDefault="00622884" w:rsidP="00622884">
            <w:pPr>
              <w:spacing w:after="0" w:line="240" w:lineRule="auto"/>
              <w:jc w:val="center"/>
              <w:rPr>
                <w:rFonts w:ascii="Garamond" w:eastAsia="Calibri" w:hAnsi="Garamond" w:cs="Calibri Light"/>
                <w:sz w:val="14"/>
                <w:szCs w:val="14"/>
                <w:lang w:eastAsia="en-US"/>
              </w:rPr>
            </w:pPr>
            <w:r w:rsidRPr="00622884">
              <w:rPr>
                <w:rFonts w:ascii="Garamond" w:eastAsia="SimSun" w:hAnsi="Garamond" w:cs="Times New Roman"/>
                <w:sz w:val="14"/>
                <w:szCs w:val="14"/>
                <w:lang w:eastAsia="en-US" w:bidi="sq-AL"/>
              </w:rPr>
              <w:t>AM</w:t>
            </w:r>
          </w:p>
        </w:tc>
      </w:tr>
      <w:tr w:rsidR="00622884" w:rsidRPr="00622884" w14:paraId="665F4C01" w14:textId="77777777" w:rsidTr="00622884">
        <w:trPr>
          <w:trHeight w:val="20"/>
          <w:jc w:val="center"/>
        </w:trPr>
        <w:tc>
          <w:tcPr>
            <w:tcW w:w="177" w:type="pct"/>
            <w:vAlign w:val="center"/>
          </w:tcPr>
          <w:p w14:paraId="5DB606E5" w14:textId="77777777" w:rsidR="00622884" w:rsidRPr="00622884" w:rsidRDefault="00622884" w:rsidP="00622884">
            <w:pPr>
              <w:spacing w:after="0" w:line="240" w:lineRule="auto"/>
              <w:jc w:val="center"/>
              <w:rPr>
                <w:rFonts w:ascii="Garamond" w:eastAsia="Calibri" w:hAnsi="Garamond" w:cs="Calibri Light"/>
                <w:b/>
                <w:bCs/>
                <w:sz w:val="14"/>
                <w:szCs w:val="14"/>
                <w:lang w:eastAsia="en-US"/>
              </w:rPr>
            </w:pPr>
            <w:r w:rsidRPr="00622884">
              <w:rPr>
                <w:rFonts w:ascii="Garamond" w:eastAsia="SimSun" w:hAnsi="Garamond" w:cs="Times New Roman"/>
                <w:b/>
                <w:sz w:val="14"/>
                <w:szCs w:val="14"/>
                <w:lang w:eastAsia="en-US" w:bidi="sq-AL"/>
              </w:rPr>
              <w:t>13</w:t>
            </w:r>
          </w:p>
        </w:tc>
        <w:tc>
          <w:tcPr>
            <w:tcW w:w="576" w:type="pct"/>
            <w:vAlign w:val="center"/>
          </w:tcPr>
          <w:p w14:paraId="2B3365FF" w14:textId="77777777" w:rsidR="00622884" w:rsidRPr="00622884" w:rsidRDefault="00622884" w:rsidP="00622884">
            <w:pPr>
              <w:spacing w:after="0" w:line="240" w:lineRule="auto"/>
              <w:jc w:val="center"/>
              <w:rPr>
                <w:rFonts w:ascii="Garamond" w:eastAsia="Calibri" w:hAnsi="Garamond" w:cs="Calibri Light"/>
                <w:sz w:val="14"/>
                <w:szCs w:val="14"/>
                <w:lang w:eastAsia="en-US"/>
              </w:rPr>
            </w:pPr>
            <w:r w:rsidRPr="00622884">
              <w:rPr>
                <w:rFonts w:ascii="Garamond" w:eastAsia="SimSun" w:hAnsi="Garamond" w:cs="Times New Roman"/>
                <w:sz w:val="14"/>
                <w:szCs w:val="14"/>
                <w:lang w:eastAsia="en-US" w:bidi="sq-AL"/>
              </w:rPr>
              <w:t>Bujqësia</w:t>
            </w:r>
          </w:p>
        </w:tc>
        <w:tc>
          <w:tcPr>
            <w:tcW w:w="2877" w:type="pct"/>
            <w:vAlign w:val="center"/>
          </w:tcPr>
          <w:p w14:paraId="6DDCA334" w14:textId="77777777" w:rsidR="00622884" w:rsidRPr="00622884" w:rsidRDefault="00622884" w:rsidP="00622884">
            <w:pPr>
              <w:spacing w:after="0" w:line="240" w:lineRule="auto"/>
              <w:jc w:val="left"/>
              <w:rPr>
                <w:rFonts w:ascii="Garamond" w:eastAsia="Calibri" w:hAnsi="Garamond" w:cs="Calibri Light"/>
                <w:sz w:val="14"/>
                <w:szCs w:val="14"/>
                <w:u w:val="single"/>
                <w:lang w:eastAsia="en-US"/>
              </w:rPr>
            </w:pPr>
            <w:r w:rsidRPr="00622884">
              <w:rPr>
                <w:rFonts w:ascii="Garamond" w:eastAsia="SimSun" w:hAnsi="Garamond" w:cs="Times New Roman"/>
                <w:sz w:val="14"/>
                <w:szCs w:val="14"/>
                <w:lang w:eastAsia="en-US" w:bidi="sq-AL"/>
              </w:rPr>
              <w:t>Plani i veprimit për llojet invazive në kushtet e ndryshueshme klimatike</w:t>
            </w:r>
          </w:p>
        </w:tc>
        <w:tc>
          <w:tcPr>
            <w:tcW w:w="485" w:type="pct"/>
            <w:vAlign w:val="center"/>
          </w:tcPr>
          <w:p w14:paraId="446DEB3D" w14:textId="77777777" w:rsidR="00622884" w:rsidRPr="00622884" w:rsidRDefault="00622884" w:rsidP="00622884">
            <w:pPr>
              <w:spacing w:after="0" w:line="240" w:lineRule="auto"/>
              <w:jc w:val="center"/>
              <w:rPr>
                <w:rFonts w:ascii="Garamond" w:eastAsia="Calibri" w:hAnsi="Garamond" w:cs="Calibri Light"/>
                <w:sz w:val="14"/>
                <w:szCs w:val="14"/>
                <w:lang w:eastAsia="en-US"/>
              </w:rPr>
            </w:pPr>
            <w:r w:rsidRPr="00622884">
              <w:rPr>
                <w:rFonts w:ascii="Garamond" w:eastAsia="SimSun" w:hAnsi="Garamond" w:cs="Times New Roman"/>
                <w:sz w:val="14"/>
                <w:szCs w:val="14"/>
                <w:lang w:eastAsia="en-US" w:bidi="sq-AL"/>
              </w:rPr>
              <w:t>Masë e butë</w:t>
            </w:r>
          </w:p>
        </w:tc>
        <w:tc>
          <w:tcPr>
            <w:tcW w:w="613" w:type="pct"/>
            <w:vAlign w:val="center"/>
          </w:tcPr>
          <w:p w14:paraId="47E66BFC" w14:textId="77777777" w:rsidR="00622884" w:rsidRPr="00622884" w:rsidRDefault="00622884" w:rsidP="00622884">
            <w:pPr>
              <w:spacing w:after="0" w:line="240" w:lineRule="auto"/>
              <w:jc w:val="center"/>
              <w:rPr>
                <w:rFonts w:ascii="Garamond" w:eastAsia="Calibri" w:hAnsi="Garamond" w:cs="Calibri Light"/>
                <w:sz w:val="14"/>
                <w:szCs w:val="14"/>
                <w:lang w:eastAsia="en-US"/>
              </w:rPr>
            </w:pPr>
            <w:r w:rsidRPr="00622884">
              <w:rPr>
                <w:rFonts w:ascii="Garamond" w:eastAsia="SimSun" w:hAnsi="Garamond" w:cs="Times New Roman"/>
                <w:sz w:val="14"/>
                <w:szCs w:val="14"/>
                <w:lang w:eastAsia="en-US" w:bidi="sq-AL"/>
              </w:rPr>
              <w:t>160.000</w:t>
            </w:r>
          </w:p>
        </w:tc>
        <w:tc>
          <w:tcPr>
            <w:tcW w:w="272" w:type="pct"/>
            <w:vAlign w:val="center"/>
          </w:tcPr>
          <w:p w14:paraId="6DC980CE" w14:textId="77777777" w:rsidR="00622884" w:rsidRPr="00622884" w:rsidRDefault="00622884" w:rsidP="00622884">
            <w:pPr>
              <w:spacing w:after="0" w:line="240" w:lineRule="auto"/>
              <w:jc w:val="center"/>
              <w:rPr>
                <w:rFonts w:ascii="Garamond" w:eastAsia="Calibri" w:hAnsi="Garamond" w:cs="Calibri Light"/>
                <w:sz w:val="14"/>
                <w:szCs w:val="14"/>
                <w:lang w:eastAsia="en-US"/>
              </w:rPr>
            </w:pPr>
            <w:r w:rsidRPr="00622884">
              <w:rPr>
                <w:rFonts w:ascii="Garamond" w:eastAsia="SimSun" w:hAnsi="Garamond" w:cs="Times New Roman"/>
                <w:sz w:val="14"/>
                <w:szCs w:val="14"/>
                <w:lang w:eastAsia="en-US" w:bidi="sq-AL"/>
              </w:rPr>
              <w:t>AM</w:t>
            </w:r>
          </w:p>
        </w:tc>
      </w:tr>
      <w:tr w:rsidR="00622884" w:rsidRPr="00622884" w14:paraId="4E9E3CEA" w14:textId="77777777" w:rsidTr="00622884">
        <w:trPr>
          <w:trHeight w:val="20"/>
          <w:jc w:val="center"/>
        </w:trPr>
        <w:tc>
          <w:tcPr>
            <w:tcW w:w="177" w:type="pct"/>
            <w:vAlign w:val="center"/>
          </w:tcPr>
          <w:p w14:paraId="70F3B53A" w14:textId="77777777" w:rsidR="00622884" w:rsidRPr="00622884" w:rsidRDefault="00622884" w:rsidP="00622884">
            <w:pPr>
              <w:spacing w:after="0" w:line="240" w:lineRule="auto"/>
              <w:jc w:val="center"/>
              <w:rPr>
                <w:rFonts w:ascii="Garamond" w:eastAsia="Calibri" w:hAnsi="Garamond" w:cs="Calibri Light"/>
                <w:b/>
                <w:bCs/>
                <w:sz w:val="14"/>
                <w:szCs w:val="14"/>
                <w:lang w:eastAsia="en-US"/>
              </w:rPr>
            </w:pPr>
            <w:r w:rsidRPr="00622884">
              <w:rPr>
                <w:rFonts w:ascii="Garamond" w:eastAsia="SimSun" w:hAnsi="Garamond" w:cs="Times New Roman"/>
                <w:b/>
                <w:sz w:val="14"/>
                <w:szCs w:val="14"/>
                <w:lang w:eastAsia="en-US" w:bidi="sq-AL"/>
              </w:rPr>
              <w:t>14</w:t>
            </w:r>
          </w:p>
        </w:tc>
        <w:tc>
          <w:tcPr>
            <w:tcW w:w="576" w:type="pct"/>
            <w:vAlign w:val="center"/>
          </w:tcPr>
          <w:p w14:paraId="507C5D5E" w14:textId="77777777" w:rsidR="00622884" w:rsidRPr="00622884" w:rsidRDefault="00622884" w:rsidP="00622884">
            <w:pPr>
              <w:spacing w:after="0" w:line="240" w:lineRule="auto"/>
              <w:jc w:val="center"/>
              <w:rPr>
                <w:rFonts w:ascii="Garamond" w:eastAsia="Calibri" w:hAnsi="Garamond" w:cs="Calibri Light"/>
                <w:sz w:val="14"/>
                <w:szCs w:val="14"/>
                <w:lang w:eastAsia="en-US"/>
              </w:rPr>
            </w:pPr>
            <w:r w:rsidRPr="00622884">
              <w:rPr>
                <w:rFonts w:ascii="Garamond" w:eastAsia="SimSun" w:hAnsi="Garamond" w:cs="Times New Roman"/>
                <w:sz w:val="14"/>
                <w:szCs w:val="14"/>
                <w:lang w:eastAsia="en-US" w:bidi="sq-AL"/>
              </w:rPr>
              <w:t>Bujqësia</w:t>
            </w:r>
          </w:p>
        </w:tc>
        <w:tc>
          <w:tcPr>
            <w:tcW w:w="2877" w:type="pct"/>
            <w:vAlign w:val="center"/>
          </w:tcPr>
          <w:p w14:paraId="4E16BD2F" w14:textId="77777777" w:rsidR="00622884" w:rsidRPr="00622884" w:rsidRDefault="00622884" w:rsidP="00622884">
            <w:pPr>
              <w:spacing w:after="0" w:line="240" w:lineRule="auto"/>
              <w:jc w:val="left"/>
              <w:rPr>
                <w:rFonts w:ascii="Garamond" w:eastAsia="Calibri" w:hAnsi="Garamond" w:cs="Calibri Light"/>
                <w:sz w:val="14"/>
                <w:szCs w:val="14"/>
                <w:u w:val="single"/>
                <w:lang w:eastAsia="en-US"/>
              </w:rPr>
            </w:pPr>
            <w:r w:rsidRPr="00622884">
              <w:rPr>
                <w:rFonts w:ascii="Garamond" w:eastAsia="SimSun" w:hAnsi="Garamond" w:cs="Times New Roman"/>
                <w:sz w:val="14"/>
                <w:szCs w:val="14"/>
                <w:lang w:eastAsia="en-US" w:bidi="sq-AL"/>
              </w:rPr>
              <w:t>Forcimi i mbrojtjes nga përmbytjet: Restaurimi i brigjeve të lumenjve dhe zgjerimi i fushave aluvionale përgjatë lumenjve kryesorë të Shqipërisë</w:t>
            </w:r>
          </w:p>
        </w:tc>
        <w:tc>
          <w:tcPr>
            <w:tcW w:w="485" w:type="pct"/>
            <w:vAlign w:val="center"/>
          </w:tcPr>
          <w:p w14:paraId="59648C57" w14:textId="77777777" w:rsidR="00622884" w:rsidRPr="00622884" w:rsidRDefault="00622884" w:rsidP="00622884">
            <w:pPr>
              <w:spacing w:after="0" w:line="240" w:lineRule="auto"/>
              <w:jc w:val="center"/>
              <w:rPr>
                <w:rFonts w:ascii="Garamond" w:eastAsia="Calibri" w:hAnsi="Garamond" w:cs="Calibri Light"/>
                <w:sz w:val="14"/>
                <w:szCs w:val="14"/>
                <w:lang w:eastAsia="en-US"/>
              </w:rPr>
            </w:pPr>
            <w:r w:rsidRPr="00622884">
              <w:rPr>
                <w:rFonts w:ascii="Garamond" w:eastAsia="SimSun" w:hAnsi="Garamond" w:cs="Times New Roman"/>
                <w:sz w:val="14"/>
                <w:szCs w:val="14"/>
                <w:lang w:eastAsia="en-US" w:bidi="sq-AL"/>
              </w:rPr>
              <w:t>Zona gri</w:t>
            </w:r>
          </w:p>
        </w:tc>
        <w:tc>
          <w:tcPr>
            <w:tcW w:w="613" w:type="pct"/>
            <w:vAlign w:val="center"/>
          </w:tcPr>
          <w:p w14:paraId="0168BE66" w14:textId="77777777" w:rsidR="00622884" w:rsidRPr="00622884" w:rsidRDefault="00622884" w:rsidP="00622884">
            <w:pPr>
              <w:spacing w:after="0" w:line="240" w:lineRule="auto"/>
              <w:jc w:val="center"/>
              <w:rPr>
                <w:rFonts w:ascii="Garamond" w:eastAsia="Calibri" w:hAnsi="Garamond" w:cs="Calibri Light"/>
                <w:sz w:val="14"/>
                <w:szCs w:val="14"/>
                <w:lang w:eastAsia="en-US"/>
              </w:rPr>
            </w:pPr>
            <w:r w:rsidRPr="00622884">
              <w:rPr>
                <w:rFonts w:ascii="Garamond" w:eastAsia="SimSun" w:hAnsi="Garamond" w:cs="Times New Roman"/>
                <w:sz w:val="14"/>
                <w:szCs w:val="14"/>
                <w:lang w:eastAsia="en-US" w:bidi="sq-AL"/>
              </w:rPr>
              <w:t>179.022.000</w:t>
            </w:r>
          </w:p>
        </w:tc>
        <w:tc>
          <w:tcPr>
            <w:tcW w:w="272" w:type="pct"/>
            <w:vAlign w:val="center"/>
          </w:tcPr>
          <w:p w14:paraId="2A5D0BE6" w14:textId="77777777" w:rsidR="00622884" w:rsidRPr="00622884" w:rsidRDefault="00622884" w:rsidP="00622884">
            <w:pPr>
              <w:spacing w:after="0" w:line="240" w:lineRule="auto"/>
              <w:jc w:val="center"/>
              <w:rPr>
                <w:rFonts w:ascii="Garamond" w:eastAsia="Calibri" w:hAnsi="Garamond" w:cs="Calibri Light"/>
                <w:sz w:val="14"/>
                <w:szCs w:val="14"/>
                <w:lang w:eastAsia="en-US"/>
              </w:rPr>
            </w:pPr>
            <w:r w:rsidRPr="00622884">
              <w:rPr>
                <w:rFonts w:ascii="Garamond" w:eastAsia="SimSun" w:hAnsi="Garamond" w:cs="Times New Roman"/>
                <w:sz w:val="14"/>
                <w:szCs w:val="14"/>
                <w:lang w:eastAsia="en-US" w:bidi="sq-AL"/>
              </w:rPr>
              <w:t>ASH</w:t>
            </w:r>
          </w:p>
        </w:tc>
      </w:tr>
      <w:tr w:rsidR="00622884" w:rsidRPr="00622884" w14:paraId="740E7267" w14:textId="77777777" w:rsidTr="00622884">
        <w:trPr>
          <w:trHeight w:val="20"/>
          <w:jc w:val="center"/>
        </w:trPr>
        <w:tc>
          <w:tcPr>
            <w:tcW w:w="177" w:type="pct"/>
            <w:vAlign w:val="center"/>
          </w:tcPr>
          <w:p w14:paraId="2793B17E" w14:textId="77777777" w:rsidR="00622884" w:rsidRPr="00622884" w:rsidRDefault="00622884" w:rsidP="00622884">
            <w:pPr>
              <w:spacing w:after="0" w:line="240" w:lineRule="auto"/>
              <w:jc w:val="center"/>
              <w:rPr>
                <w:rFonts w:ascii="Garamond" w:eastAsia="Calibri" w:hAnsi="Garamond" w:cs="Calibri Light"/>
                <w:b/>
                <w:bCs/>
                <w:sz w:val="14"/>
                <w:szCs w:val="14"/>
                <w:lang w:eastAsia="en-US"/>
              </w:rPr>
            </w:pPr>
            <w:r w:rsidRPr="00622884">
              <w:rPr>
                <w:rFonts w:ascii="Garamond" w:eastAsia="SimSun" w:hAnsi="Garamond" w:cs="Times New Roman"/>
                <w:b/>
                <w:sz w:val="14"/>
                <w:szCs w:val="14"/>
                <w:lang w:eastAsia="en-US" w:bidi="sq-AL"/>
              </w:rPr>
              <w:t>15</w:t>
            </w:r>
          </w:p>
        </w:tc>
        <w:tc>
          <w:tcPr>
            <w:tcW w:w="576" w:type="pct"/>
            <w:vAlign w:val="center"/>
          </w:tcPr>
          <w:p w14:paraId="680CEDB6" w14:textId="77777777" w:rsidR="00622884" w:rsidRPr="00622884" w:rsidRDefault="00622884" w:rsidP="00622884">
            <w:pPr>
              <w:spacing w:after="0" w:line="240" w:lineRule="auto"/>
              <w:jc w:val="center"/>
              <w:rPr>
                <w:rFonts w:ascii="Garamond" w:eastAsia="Calibri" w:hAnsi="Garamond" w:cs="Calibri Light"/>
                <w:sz w:val="14"/>
                <w:szCs w:val="14"/>
                <w:lang w:eastAsia="en-US"/>
              </w:rPr>
            </w:pPr>
            <w:r w:rsidRPr="00622884">
              <w:rPr>
                <w:rFonts w:ascii="Garamond" w:eastAsia="SimSun" w:hAnsi="Garamond" w:cs="Times New Roman"/>
                <w:sz w:val="14"/>
                <w:szCs w:val="14"/>
                <w:lang w:eastAsia="en-US" w:bidi="sq-AL"/>
              </w:rPr>
              <w:t>Bujqësia</w:t>
            </w:r>
          </w:p>
        </w:tc>
        <w:tc>
          <w:tcPr>
            <w:tcW w:w="2877" w:type="pct"/>
            <w:vAlign w:val="center"/>
          </w:tcPr>
          <w:p w14:paraId="53084F22" w14:textId="77777777" w:rsidR="00622884" w:rsidRPr="00622884" w:rsidRDefault="00622884" w:rsidP="00622884">
            <w:pPr>
              <w:spacing w:after="0" w:line="240" w:lineRule="auto"/>
              <w:jc w:val="left"/>
              <w:rPr>
                <w:rFonts w:ascii="Garamond" w:eastAsia="Calibri" w:hAnsi="Garamond" w:cs="Calibri Light"/>
                <w:sz w:val="14"/>
                <w:szCs w:val="14"/>
                <w:u w:val="single"/>
                <w:lang w:eastAsia="en-US"/>
              </w:rPr>
            </w:pPr>
            <w:r w:rsidRPr="00622884">
              <w:rPr>
                <w:rFonts w:ascii="Garamond" w:eastAsia="SimSun" w:hAnsi="Garamond" w:cs="Times New Roman"/>
                <w:sz w:val="14"/>
                <w:szCs w:val="14"/>
                <w:lang w:eastAsia="en-US" w:bidi="sq-AL"/>
              </w:rPr>
              <w:t>Zbatimi i krijimit të habitatit dhe zgjidhjeve të bazuara në natyrë për të luftuar erozionin e tokës</w:t>
            </w:r>
          </w:p>
        </w:tc>
        <w:tc>
          <w:tcPr>
            <w:tcW w:w="485" w:type="pct"/>
            <w:vAlign w:val="center"/>
          </w:tcPr>
          <w:p w14:paraId="00D0BA66" w14:textId="77777777" w:rsidR="00622884" w:rsidRPr="00622884" w:rsidRDefault="00622884" w:rsidP="00622884">
            <w:pPr>
              <w:spacing w:after="0" w:line="240" w:lineRule="auto"/>
              <w:jc w:val="center"/>
              <w:rPr>
                <w:rFonts w:ascii="Garamond" w:eastAsia="Calibri" w:hAnsi="Garamond" w:cs="Calibri Light"/>
                <w:sz w:val="14"/>
                <w:szCs w:val="14"/>
                <w:lang w:eastAsia="en-US"/>
              </w:rPr>
            </w:pPr>
            <w:r w:rsidRPr="00622884">
              <w:rPr>
                <w:rFonts w:ascii="Garamond" w:eastAsia="SimSun" w:hAnsi="Garamond" w:cs="Times New Roman"/>
                <w:sz w:val="14"/>
                <w:szCs w:val="14"/>
                <w:lang w:eastAsia="en-US" w:bidi="sq-AL"/>
              </w:rPr>
              <w:t>E gjelbër</w:t>
            </w:r>
          </w:p>
        </w:tc>
        <w:tc>
          <w:tcPr>
            <w:tcW w:w="613" w:type="pct"/>
            <w:vAlign w:val="center"/>
          </w:tcPr>
          <w:p w14:paraId="628B95DF" w14:textId="77777777" w:rsidR="00622884" w:rsidRPr="00622884" w:rsidRDefault="00622884" w:rsidP="00622884">
            <w:pPr>
              <w:spacing w:after="0" w:line="240" w:lineRule="auto"/>
              <w:jc w:val="center"/>
              <w:rPr>
                <w:rFonts w:ascii="Garamond" w:eastAsia="Calibri" w:hAnsi="Garamond" w:cs="Calibri Light"/>
                <w:sz w:val="14"/>
                <w:szCs w:val="14"/>
                <w:lang w:eastAsia="en-US"/>
              </w:rPr>
            </w:pPr>
            <w:r w:rsidRPr="00622884">
              <w:rPr>
                <w:rFonts w:ascii="Garamond" w:eastAsia="SimSun" w:hAnsi="Garamond" w:cs="Times New Roman"/>
                <w:sz w:val="14"/>
                <w:szCs w:val="14"/>
                <w:lang w:eastAsia="en-US" w:bidi="sq-AL"/>
              </w:rPr>
              <w:t>41.787.500</w:t>
            </w:r>
          </w:p>
        </w:tc>
        <w:tc>
          <w:tcPr>
            <w:tcW w:w="272" w:type="pct"/>
            <w:vAlign w:val="center"/>
          </w:tcPr>
          <w:p w14:paraId="20017C68" w14:textId="77777777" w:rsidR="00622884" w:rsidRPr="00622884" w:rsidRDefault="00622884" w:rsidP="00622884">
            <w:pPr>
              <w:spacing w:after="0" w:line="240" w:lineRule="auto"/>
              <w:jc w:val="center"/>
              <w:rPr>
                <w:rFonts w:ascii="Garamond" w:eastAsia="Calibri" w:hAnsi="Garamond" w:cs="Calibri Light"/>
                <w:sz w:val="14"/>
                <w:szCs w:val="14"/>
                <w:lang w:eastAsia="en-US"/>
              </w:rPr>
            </w:pPr>
            <w:r w:rsidRPr="00622884">
              <w:rPr>
                <w:rFonts w:ascii="Garamond" w:eastAsia="SimSun" w:hAnsi="Garamond" w:cs="Times New Roman"/>
                <w:sz w:val="14"/>
                <w:szCs w:val="14"/>
                <w:lang w:eastAsia="en-US" w:bidi="sq-AL"/>
              </w:rPr>
              <w:t>ASH</w:t>
            </w:r>
          </w:p>
        </w:tc>
      </w:tr>
      <w:tr w:rsidR="00622884" w:rsidRPr="00622884" w14:paraId="74DD0E07" w14:textId="77777777" w:rsidTr="00622884">
        <w:trPr>
          <w:trHeight w:val="20"/>
          <w:jc w:val="center"/>
        </w:trPr>
        <w:tc>
          <w:tcPr>
            <w:tcW w:w="177" w:type="pct"/>
            <w:vAlign w:val="center"/>
          </w:tcPr>
          <w:p w14:paraId="6947C457" w14:textId="77777777" w:rsidR="00622884" w:rsidRPr="00622884" w:rsidRDefault="00622884" w:rsidP="00622884">
            <w:pPr>
              <w:spacing w:after="0" w:line="240" w:lineRule="auto"/>
              <w:jc w:val="center"/>
              <w:rPr>
                <w:rFonts w:ascii="Garamond" w:eastAsia="Calibri" w:hAnsi="Garamond" w:cs="Calibri Light"/>
                <w:b/>
                <w:bCs/>
                <w:sz w:val="14"/>
                <w:szCs w:val="14"/>
                <w:lang w:eastAsia="en-US"/>
              </w:rPr>
            </w:pPr>
            <w:r w:rsidRPr="00622884">
              <w:rPr>
                <w:rFonts w:ascii="Garamond" w:eastAsia="SimSun" w:hAnsi="Garamond" w:cs="Times New Roman"/>
                <w:b/>
                <w:sz w:val="14"/>
                <w:szCs w:val="14"/>
                <w:lang w:eastAsia="en-US" w:bidi="sq-AL"/>
              </w:rPr>
              <w:t>16</w:t>
            </w:r>
          </w:p>
        </w:tc>
        <w:tc>
          <w:tcPr>
            <w:tcW w:w="576" w:type="pct"/>
            <w:vAlign w:val="center"/>
          </w:tcPr>
          <w:p w14:paraId="01441F3E" w14:textId="77777777" w:rsidR="00622884" w:rsidRPr="00622884" w:rsidRDefault="00622884" w:rsidP="00622884">
            <w:pPr>
              <w:spacing w:after="0" w:line="240" w:lineRule="auto"/>
              <w:jc w:val="center"/>
              <w:rPr>
                <w:rFonts w:ascii="Garamond" w:eastAsia="Calibri" w:hAnsi="Garamond" w:cs="Calibri Light"/>
                <w:sz w:val="14"/>
                <w:szCs w:val="14"/>
                <w:lang w:eastAsia="en-US"/>
              </w:rPr>
            </w:pPr>
            <w:r w:rsidRPr="00622884">
              <w:rPr>
                <w:rFonts w:ascii="Garamond" w:eastAsia="SimSun" w:hAnsi="Garamond" w:cs="Times New Roman"/>
                <w:sz w:val="14"/>
                <w:szCs w:val="14"/>
                <w:lang w:eastAsia="en-US" w:bidi="sq-AL"/>
              </w:rPr>
              <w:t>Bujqësia</w:t>
            </w:r>
          </w:p>
        </w:tc>
        <w:tc>
          <w:tcPr>
            <w:tcW w:w="2877" w:type="pct"/>
            <w:vAlign w:val="center"/>
          </w:tcPr>
          <w:p w14:paraId="2D6F34A3" w14:textId="77777777" w:rsidR="00622884" w:rsidRPr="00622884" w:rsidRDefault="00622884" w:rsidP="00622884">
            <w:pPr>
              <w:spacing w:after="0" w:line="240" w:lineRule="auto"/>
              <w:jc w:val="left"/>
              <w:rPr>
                <w:rFonts w:ascii="Garamond" w:eastAsia="Calibri" w:hAnsi="Garamond" w:cs="Calibri Light"/>
                <w:sz w:val="14"/>
                <w:szCs w:val="14"/>
                <w:u w:val="single"/>
                <w:lang w:eastAsia="en-US"/>
              </w:rPr>
            </w:pPr>
            <w:r w:rsidRPr="00622884">
              <w:rPr>
                <w:rFonts w:ascii="Garamond" w:eastAsia="SimSun" w:hAnsi="Garamond" w:cs="Times New Roman"/>
                <w:sz w:val="14"/>
                <w:szCs w:val="14"/>
                <w:lang w:eastAsia="en-US" w:bidi="sq-AL"/>
              </w:rPr>
              <w:t xml:space="preserve">Rritja e kapaciteteve të IGEO-s (Institutit të Gjeoshkencave) për monitorimin bregdetar dhe ofrimin e të dhënave mbi ndryshimet dhe risqet mjedisore </w:t>
            </w:r>
          </w:p>
        </w:tc>
        <w:tc>
          <w:tcPr>
            <w:tcW w:w="485" w:type="pct"/>
            <w:vAlign w:val="center"/>
          </w:tcPr>
          <w:p w14:paraId="1E432404" w14:textId="77777777" w:rsidR="00622884" w:rsidRPr="00622884" w:rsidRDefault="00622884" w:rsidP="00622884">
            <w:pPr>
              <w:spacing w:after="0" w:line="240" w:lineRule="auto"/>
              <w:jc w:val="center"/>
              <w:rPr>
                <w:rFonts w:ascii="Garamond" w:eastAsia="Calibri" w:hAnsi="Garamond" w:cs="Calibri Light"/>
                <w:sz w:val="14"/>
                <w:szCs w:val="14"/>
                <w:lang w:eastAsia="en-US"/>
              </w:rPr>
            </w:pPr>
            <w:r w:rsidRPr="00622884">
              <w:rPr>
                <w:rFonts w:ascii="Garamond" w:eastAsia="SimSun" w:hAnsi="Garamond" w:cs="Times New Roman"/>
                <w:sz w:val="14"/>
                <w:szCs w:val="14"/>
                <w:lang w:eastAsia="en-US" w:bidi="sq-AL"/>
              </w:rPr>
              <w:t>Masë e butë</w:t>
            </w:r>
          </w:p>
        </w:tc>
        <w:tc>
          <w:tcPr>
            <w:tcW w:w="613" w:type="pct"/>
            <w:vAlign w:val="center"/>
          </w:tcPr>
          <w:p w14:paraId="10C9616B" w14:textId="77777777" w:rsidR="00622884" w:rsidRPr="00622884" w:rsidRDefault="00622884" w:rsidP="00622884">
            <w:pPr>
              <w:spacing w:after="0" w:line="240" w:lineRule="auto"/>
              <w:jc w:val="center"/>
              <w:rPr>
                <w:rFonts w:ascii="Garamond" w:eastAsia="Calibri" w:hAnsi="Garamond" w:cs="Calibri Light"/>
                <w:sz w:val="14"/>
                <w:szCs w:val="14"/>
                <w:lang w:eastAsia="en-US"/>
              </w:rPr>
            </w:pPr>
            <w:r w:rsidRPr="00622884">
              <w:rPr>
                <w:rFonts w:ascii="Garamond" w:eastAsia="SimSun" w:hAnsi="Garamond" w:cs="Times New Roman"/>
                <w:sz w:val="14"/>
                <w:szCs w:val="14"/>
                <w:lang w:eastAsia="en-US" w:bidi="sq-AL"/>
              </w:rPr>
              <w:t>322.200</w:t>
            </w:r>
          </w:p>
        </w:tc>
        <w:tc>
          <w:tcPr>
            <w:tcW w:w="272" w:type="pct"/>
            <w:vAlign w:val="center"/>
          </w:tcPr>
          <w:p w14:paraId="18AB0B4B" w14:textId="77777777" w:rsidR="00622884" w:rsidRPr="00622884" w:rsidRDefault="00622884" w:rsidP="00622884">
            <w:pPr>
              <w:spacing w:after="0" w:line="240" w:lineRule="auto"/>
              <w:jc w:val="center"/>
              <w:rPr>
                <w:rFonts w:ascii="Garamond" w:eastAsia="Calibri" w:hAnsi="Garamond" w:cs="Calibri Light"/>
                <w:sz w:val="14"/>
                <w:szCs w:val="14"/>
                <w:lang w:eastAsia="en-US"/>
              </w:rPr>
            </w:pPr>
            <w:r w:rsidRPr="00622884">
              <w:rPr>
                <w:rFonts w:ascii="Garamond" w:eastAsia="SimSun" w:hAnsi="Garamond" w:cs="Times New Roman"/>
                <w:sz w:val="14"/>
                <w:szCs w:val="14"/>
                <w:lang w:eastAsia="en-US" w:bidi="sq-AL"/>
              </w:rPr>
              <w:t>ASH</w:t>
            </w:r>
          </w:p>
        </w:tc>
      </w:tr>
      <w:tr w:rsidR="00622884" w:rsidRPr="00622884" w14:paraId="50AE783A" w14:textId="77777777" w:rsidTr="00622884">
        <w:trPr>
          <w:trHeight w:val="20"/>
          <w:jc w:val="center"/>
        </w:trPr>
        <w:tc>
          <w:tcPr>
            <w:tcW w:w="177" w:type="pct"/>
            <w:vAlign w:val="center"/>
          </w:tcPr>
          <w:p w14:paraId="5F701991" w14:textId="77777777" w:rsidR="00622884" w:rsidRPr="00622884" w:rsidRDefault="00622884" w:rsidP="00622884">
            <w:pPr>
              <w:spacing w:after="0" w:line="240" w:lineRule="auto"/>
              <w:jc w:val="center"/>
              <w:rPr>
                <w:rFonts w:ascii="Garamond" w:eastAsia="Calibri" w:hAnsi="Garamond" w:cs="Calibri Light"/>
                <w:b/>
                <w:bCs/>
                <w:sz w:val="14"/>
                <w:szCs w:val="14"/>
                <w:lang w:eastAsia="en-US"/>
              </w:rPr>
            </w:pPr>
            <w:r w:rsidRPr="00622884">
              <w:rPr>
                <w:rFonts w:ascii="Garamond" w:eastAsia="SimSun" w:hAnsi="Garamond" w:cs="Times New Roman"/>
                <w:b/>
                <w:sz w:val="14"/>
                <w:szCs w:val="14"/>
                <w:lang w:eastAsia="en-US" w:bidi="sq-AL"/>
              </w:rPr>
              <w:t>17</w:t>
            </w:r>
          </w:p>
        </w:tc>
        <w:tc>
          <w:tcPr>
            <w:tcW w:w="576" w:type="pct"/>
            <w:vAlign w:val="center"/>
          </w:tcPr>
          <w:p w14:paraId="6A91AB03" w14:textId="77777777" w:rsidR="00622884" w:rsidRPr="00622884" w:rsidRDefault="00622884" w:rsidP="00622884">
            <w:pPr>
              <w:spacing w:after="0" w:line="240" w:lineRule="auto"/>
              <w:jc w:val="center"/>
              <w:rPr>
                <w:rFonts w:ascii="Garamond" w:eastAsia="Calibri" w:hAnsi="Garamond" w:cs="Calibri Light"/>
                <w:sz w:val="14"/>
                <w:szCs w:val="14"/>
                <w:lang w:eastAsia="en-US"/>
              </w:rPr>
            </w:pPr>
            <w:r w:rsidRPr="00622884">
              <w:rPr>
                <w:rFonts w:ascii="Garamond" w:eastAsia="SimSun" w:hAnsi="Garamond" w:cs="Times New Roman"/>
                <w:sz w:val="14"/>
                <w:szCs w:val="14"/>
                <w:lang w:eastAsia="en-US" w:bidi="sq-AL"/>
              </w:rPr>
              <w:t>Bujqësia</w:t>
            </w:r>
          </w:p>
        </w:tc>
        <w:tc>
          <w:tcPr>
            <w:tcW w:w="2877" w:type="pct"/>
            <w:vAlign w:val="center"/>
          </w:tcPr>
          <w:p w14:paraId="715A7C09" w14:textId="77777777" w:rsidR="00622884" w:rsidRPr="00622884" w:rsidRDefault="00622884" w:rsidP="00622884">
            <w:pPr>
              <w:spacing w:after="0" w:line="240" w:lineRule="auto"/>
              <w:jc w:val="left"/>
              <w:rPr>
                <w:rFonts w:ascii="Garamond" w:eastAsia="Calibri" w:hAnsi="Garamond" w:cs="Calibri Light"/>
                <w:sz w:val="14"/>
                <w:szCs w:val="14"/>
                <w:u w:val="single"/>
                <w:lang w:eastAsia="en-US"/>
              </w:rPr>
            </w:pPr>
            <w:r w:rsidRPr="00622884">
              <w:rPr>
                <w:rFonts w:ascii="Garamond" w:eastAsia="SimSun" w:hAnsi="Garamond" w:cs="Times New Roman"/>
                <w:sz w:val="14"/>
                <w:szCs w:val="14"/>
                <w:lang w:eastAsia="en-US" w:bidi="sq-AL"/>
              </w:rPr>
              <w:t>Zgjerimi dhe modernizimi i sistemeve të ujitjes për përmirësimin e aftësive ripërtëritëse në bujqësi</w:t>
            </w:r>
          </w:p>
        </w:tc>
        <w:tc>
          <w:tcPr>
            <w:tcW w:w="485" w:type="pct"/>
            <w:vAlign w:val="center"/>
          </w:tcPr>
          <w:p w14:paraId="37555F54" w14:textId="77777777" w:rsidR="00622884" w:rsidRPr="00622884" w:rsidRDefault="00622884" w:rsidP="00622884">
            <w:pPr>
              <w:spacing w:after="0" w:line="240" w:lineRule="auto"/>
              <w:jc w:val="center"/>
              <w:rPr>
                <w:rFonts w:ascii="Garamond" w:eastAsia="Calibri" w:hAnsi="Garamond" w:cs="Calibri Light"/>
                <w:sz w:val="14"/>
                <w:szCs w:val="14"/>
                <w:lang w:eastAsia="en-US"/>
              </w:rPr>
            </w:pPr>
            <w:r w:rsidRPr="00622884">
              <w:rPr>
                <w:rFonts w:ascii="Garamond" w:eastAsia="SimSun" w:hAnsi="Garamond" w:cs="Times New Roman"/>
                <w:sz w:val="14"/>
                <w:szCs w:val="14"/>
                <w:lang w:eastAsia="en-US" w:bidi="sq-AL"/>
              </w:rPr>
              <w:t>Zona gri</w:t>
            </w:r>
          </w:p>
        </w:tc>
        <w:tc>
          <w:tcPr>
            <w:tcW w:w="613" w:type="pct"/>
            <w:vAlign w:val="center"/>
          </w:tcPr>
          <w:p w14:paraId="6136EF4F" w14:textId="77777777" w:rsidR="00622884" w:rsidRPr="00622884" w:rsidRDefault="00622884" w:rsidP="00622884">
            <w:pPr>
              <w:spacing w:after="0" w:line="240" w:lineRule="auto"/>
              <w:jc w:val="center"/>
              <w:rPr>
                <w:rFonts w:ascii="Garamond" w:eastAsia="Calibri" w:hAnsi="Garamond" w:cs="Calibri Light"/>
                <w:sz w:val="14"/>
                <w:szCs w:val="14"/>
                <w:lang w:eastAsia="en-US"/>
              </w:rPr>
            </w:pPr>
            <w:r w:rsidRPr="00622884">
              <w:rPr>
                <w:rFonts w:ascii="Garamond" w:eastAsia="SimSun" w:hAnsi="Garamond" w:cs="Times New Roman"/>
                <w:sz w:val="14"/>
                <w:szCs w:val="14"/>
                <w:lang w:eastAsia="en-US" w:bidi="sq-AL"/>
              </w:rPr>
              <w:t>249.123.998</w:t>
            </w:r>
          </w:p>
        </w:tc>
        <w:tc>
          <w:tcPr>
            <w:tcW w:w="272" w:type="pct"/>
            <w:vAlign w:val="center"/>
          </w:tcPr>
          <w:p w14:paraId="138782B8" w14:textId="77777777" w:rsidR="00622884" w:rsidRPr="00622884" w:rsidRDefault="00622884" w:rsidP="00622884">
            <w:pPr>
              <w:spacing w:after="0" w:line="240" w:lineRule="auto"/>
              <w:jc w:val="center"/>
              <w:rPr>
                <w:rFonts w:ascii="Garamond" w:eastAsia="Calibri" w:hAnsi="Garamond" w:cs="Calibri Light"/>
                <w:sz w:val="14"/>
                <w:szCs w:val="14"/>
                <w:lang w:eastAsia="en-US"/>
              </w:rPr>
            </w:pPr>
            <w:r w:rsidRPr="00622884">
              <w:rPr>
                <w:rFonts w:ascii="Garamond" w:eastAsia="SimSun" w:hAnsi="Garamond" w:cs="Times New Roman"/>
                <w:sz w:val="14"/>
                <w:szCs w:val="14"/>
                <w:lang w:eastAsia="en-US" w:bidi="sq-AL"/>
              </w:rPr>
              <w:t>ASH</w:t>
            </w:r>
          </w:p>
        </w:tc>
      </w:tr>
      <w:tr w:rsidR="00622884" w:rsidRPr="00622884" w14:paraId="60837854" w14:textId="77777777" w:rsidTr="00622884">
        <w:trPr>
          <w:trHeight w:val="20"/>
          <w:jc w:val="center"/>
        </w:trPr>
        <w:tc>
          <w:tcPr>
            <w:tcW w:w="177" w:type="pct"/>
            <w:vAlign w:val="center"/>
          </w:tcPr>
          <w:p w14:paraId="5047296D" w14:textId="77777777" w:rsidR="00622884" w:rsidRPr="00622884" w:rsidRDefault="00622884" w:rsidP="00622884">
            <w:pPr>
              <w:spacing w:after="0" w:line="240" w:lineRule="auto"/>
              <w:jc w:val="center"/>
              <w:rPr>
                <w:rFonts w:ascii="Garamond" w:eastAsia="Calibri" w:hAnsi="Garamond" w:cs="Calibri Light"/>
                <w:b/>
                <w:bCs/>
                <w:sz w:val="14"/>
                <w:szCs w:val="14"/>
                <w:lang w:eastAsia="en-US"/>
              </w:rPr>
            </w:pPr>
            <w:r w:rsidRPr="00622884">
              <w:rPr>
                <w:rFonts w:ascii="Garamond" w:eastAsia="SimSun" w:hAnsi="Garamond" w:cs="Times New Roman"/>
                <w:b/>
                <w:sz w:val="14"/>
                <w:szCs w:val="14"/>
                <w:lang w:eastAsia="en-US" w:bidi="sq-AL"/>
              </w:rPr>
              <w:t>18</w:t>
            </w:r>
          </w:p>
        </w:tc>
        <w:tc>
          <w:tcPr>
            <w:tcW w:w="576" w:type="pct"/>
            <w:vAlign w:val="center"/>
          </w:tcPr>
          <w:p w14:paraId="550D2B10" w14:textId="77777777" w:rsidR="00622884" w:rsidRPr="00622884" w:rsidRDefault="00622884" w:rsidP="00622884">
            <w:pPr>
              <w:spacing w:after="0" w:line="240" w:lineRule="auto"/>
              <w:jc w:val="center"/>
              <w:rPr>
                <w:rFonts w:ascii="Garamond" w:eastAsia="Calibri" w:hAnsi="Garamond" w:cs="Calibri Light"/>
                <w:sz w:val="14"/>
                <w:szCs w:val="14"/>
                <w:lang w:eastAsia="en-US"/>
              </w:rPr>
            </w:pPr>
            <w:r w:rsidRPr="00622884">
              <w:rPr>
                <w:rFonts w:ascii="Garamond" w:eastAsia="SimSun" w:hAnsi="Garamond" w:cs="Times New Roman"/>
                <w:sz w:val="14"/>
                <w:szCs w:val="14"/>
                <w:lang w:eastAsia="en-US" w:bidi="sq-AL"/>
              </w:rPr>
              <w:t>Bujqësia</w:t>
            </w:r>
          </w:p>
        </w:tc>
        <w:tc>
          <w:tcPr>
            <w:tcW w:w="2877" w:type="pct"/>
            <w:vAlign w:val="center"/>
          </w:tcPr>
          <w:p w14:paraId="7539F74D" w14:textId="77777777" w:rsidR="00622884" w:rsidRPr="00622884" w:rsidRDefault="00622884" w:rsidP="00622884">
            <w:pPr>
              <w:spacing w:after="0" w:line="240" w:lineRule="auto"/>
              <w:jc w:val="left"/>
              <w:rPr>
                <w:rFonts w:ascii="Garamond" w:eastAsia="Calibri" w:hAnsi="Garamond" w:cs="Calibri Light"/>
                <w:sz w:val="14"/>
                <w:szCs w:val="14"/>
                <w:u w:val="single"/>
                <w:lang w:eastAsia="en-US"/>
              </w:rPr>
            </w:pPr>
            <w:r w:rsidRPr="00622884">
              <w:rPr>
                <w:rFonts w:ascii="Garamond" w:eastAsia="SimSun" w:hAnsi="Garamond" w:cs="Times New Roman"/>
                <w:sz w:val="14"/>
                <w:szCs w:val="14"/>
                <w:lang w:eastAsia="en-US" w:bidi="sq-AL"/>
              </w:rPr>
              <w:t>Siguria e qëndrueshme e ujit përmes Infrastrukturës së mbledhjes së ujit të shiut</w:t>
            </w:r>
          </w:p>
        </w:tc>
        <w:tc>
          <w:tcPr>
            <w:tcW w:w="485" w:type="pct"/>
            <w:vAlign w:val="center"/>
          </w:tcPr>
          <w:p w14:paraId="4BD133CB" w14:textId="77777777" w:rsidR="00622884" w:rsidRPr="00622884" w:rsidRDefault="00622884" w:rsidP="00622884">
            <w:pPr>
              <w:spacing w:after="0" w:line="240" w:lineRule="auto"/>
              <w:jc w:val="center"/>
              <w:rPr>
                <w:rFonts w:ascii="Garamond" w:eastAsia="Calibri" w:hAnsi="Garamond" w:cs="Calibri Light"/>
                <w:sz w:val="14"/>
                <w:szCs w:val="14"/>
                <w:lang w:eastAsia="en-US"/>
              </w:rPr>
            </w:pPr>
            <w:r w:rsidRPr="00622884">
              <w:rPr>
                <w:rFonts w:ascii="Garamond" w:eastAsia="SimSun" w:hAnsi="Garamond" w:cs="Times New Roman"/>
                <w:sz w:val="14"/>
                <w:szCs w:val="14"/>
                <w:lang w:eastAsia="en-US" w:bidi="sq-AL"/>
              </w:rPr>
              <w:t>Zona gri</w:t>
            </w:r>
          </w:p>
        </w:tc>
        <w:tc>
          <w:tcPr>
            <w:tcW w:w="613" w:type="pct"/>
            <w:vAlign w:val="center"/>
          </w:tcPr>
          <w:p w14:paraId="33BCBF19" w14:textId="77777777" w:rsidR="00622884" w:rsidRPr="00622884" w:rsidRDefault="00622884" w:rsidP="00622884">
            <w:pPr>
              <w:spacing w:after="0" w:line="240" w:lineRule="auto"/>
              <w:jc w:val="center"/>
              <w:rPr>
                <w:rFonts w:ascii="Garamond" w:eastAsia="Calibri" w:hAnsi="Garamond" w:cs="Calibri Light"/>
                <w:sz w:val="14"/>
                <w:szCs w:val="14"/>
                <w:lang w:eastAsia="en-US"/>
              </w:rPr>
            </w:pPr>
            <w:r w:rsidRPr="00622884">
              <w:rPr>
                <w:rFonts w:ascii="Garamond" w:eastAsia="SimSun" w:hAnsi="Garamond" w:cs="Times New Roman"/>
                <w:sz w:val="14"/>
                <w:szCs w:val="14"/>
                <w:lang w:eastAsia="en-US" w:bidi="sq-AL"/>
              </w:rPr>
              <w:t>75.849.163</w:t>
            </w:r>
          </w:p>
        </w:tc>
        <w:tc>
          <w:tcPr>
            <w:tcW w:w="272" w:type="pct"/>
            <w:vAlign w:val="center"/>
          </w:tcPr>
          <w:p w14:paraId="6AFBFF71" w14:textId="77777777" w:rsidR="00622884" w:rsidRPr="00622884" w:rsidRDefault="00622884" w:rsidP="00622884">
            <w:pPr>
              <w:spacing w:after="0" w:line="240" w:lineRule="auto"/>
              <w:jc w:val="center"/>
              <w:rPr>
                <w:rFonts w:ascii="Garamond" w:eastAsia="Calibri" w:hAnsi="Garamond" w:cs="Calibri Light"/>
                <w:sz w:val="14"/>
                <w:szCs w:val="14"/>
                <w:lang w:eastAsia="en-US"/>
              </w:rPr>
            </w:pPr>
            <w:r w:rsidRPr="00622884">
              <w:rPr>
                <w:rFonts w:ascii="Garamond" w:eastAsia="SimSun" w:hAnsi="Garamond" w:cs="Times New Roman"/>
                <w:sz w:val="14"/>
                <w:szCs w:val="14"/>
                <w:lang w:eastAsia="en-US" w:bidi="sq-AL"/>
              </w:rPr>
              <w:t>ASH</w:t>
            </w:r>
          </w:p>
        </w:tc>
      </w:tr>
      <w:tr w:rsidR="00622884" w:rsidRPr="00622884" w14:paraId="7042447F" w14:textId="77777777" w:rsidTr="00622884">
        <w:trPr>
          <w:trHeight w:val="20"/>
          <w:jc w:val="center"/>
        </w:trPr>
        <w:tc>
          <w:tcPr>
            <w:tcW w:w="177" w:type="pct"/>
            <w:vAlign w:val="center"/>
          </w:tcPr>
          <w:p w14:paraId="2EAC061C" w14:textId="77777777" w:rsidR="00622884" w:rsidRPr="00622884" w:rsidRDefault="00622884" w:rsidP="00622884">
            <w:pPr>
              <w:spacing w:after="0" w:line="240" w:lineRule="auto"/>
              <w:jc w:val="center"/>
              <w:rPr>
                <w:rFonts w:ascii="Garamond" w:eastAsia="Calibri" w:hAnsi="Garamond" w:cs="Calibri Light"/>
                <w:b/>
                <w:bCs/>
                <w:sz w:val="14"/>
                <w:szCs w:val="14"/>
                <w:lang w:eastAsia="en-US"/>
              </w:rPr>
            </w:pPr>
            <w:r w:rsidRPr="00622884">
              <w:rPr>
                <w:rFonts w:ascii="Garamond" w:eastAsia="SimSun" w:hAnsi="Garamond" w:cs="Times New Roman"/>
                <w:b/>
                <w:sz w:val="14"/>
                <w:szCs w:val="14"/>
                <w:lang w:eastAsia="en-US" w:bidi="sq-AL"/>
              </w:rPr>
              <w:t>19</w:t>
            </w:r>
          </w:p>
        </w:tc>
        <w:tc>
          <w:tcPr>
            <w:tcW w:w="576" w:type="pct"/>
            <w:vAlign w:val="center"/>
          </w:tcPr>
          <w:p w14:paraId="1873209D" w14:textId="77777777" w:rsidR="00622884" w:rsidRPr="00622884" w:rsidRDefault="00622884" w:rsidP="00622884">
            <w:pPr>
              <w:spacing w:after="0" w:line="240" w:lineRule="auto"/>
              <w:jc w:val="center"/>
              <w:rPr>
                <w:rFonts w:ascii="Garamond" w:eastAsia="Calibri" w:hAnsi="Garamond" w:cs="Calibri Light"/>
                <w:sz w:val="14"/>
                <w:szCs w:val="14"/>
                <w:lang w:eastAsia="en-US"/>
              </w:rPr>
            </w:pPr>
            <w:r w:rsidRPr="00622884">
              <w:rPr>
                <w:rFonts w:ascii="Garamond" w:eastAsia="SimSun" w:hAnsi="Garamond" w:cs="Times New Roman"/>
                <w:sz w:val="14"/>
                <w:szCs w:val="14"/>
                <w:lang w:eastAsia="en-US" w:bidi="sq-AL"/>
              </w:rPr>
              <w:t>Pylltari</w:t>
            </w:r>
          </w:p>
        </w:tc>
        <w:tc>
          <w:tcPr>
            <w:tcW w:w="2877" w:type="pct"/>
            <w:vAlign w:val="center"/>
          </w:tcPr>
          <w:p w14:paraId="13B6E29B" w14:textId="77777777" w:rsidR="00622884" w:rsidRPr="00622884" w:rsidRDefault="00622884" w:rsidP="00622884">
            <w:pPr>
              <w:spacing w:after="0" w:line="240" w:lineRule="auto"/>
              <w:jc w:val="left"/>
              <w:rPr>
                <w:rFonts w:ascii="Garamond" w:eastAsia="Calibri" w:hAnsi="Garamond" w:cs="Calibri Light"/>
                <w:sz w:val="14"/>
                <w:szCs w:val="14"/>
                <w:u w:val="single"/>
                <w:lang w:eastAsia="en-US"/>
              </w:rPr>
            </w:pPr>
            <w:r w:rsidRPr="00622884">
              <w:rPr>
                <w:rFonts w:ascii="Garamond" w:eastAsia="SimSun" w:hAnsi="Garamond" w:cs="Times New Roman"/>
                <w:sz w:val="14"/>
                <w:szCs w:val="14"/>
                <w:lang w:eastAsia="en-US" w:bidi="sq-AL"/>
              </w:rPr>
              <w:t>Rritja e efikasitetit të pylltarisë nëpërmjet pajtueshmërisë rregullatore të BE-së</w:t>
            </w:r>
          </w:p>
        </w:tc>
        <w:tc>
          <w:tcPr>
            <w:tcW w:w="485" w:type="pct"/>
            <w:vAlign w:val="center"/>
          </w:tcPr>
          <w:p w14:paraId="6A20174B" w14:textId="77777777" w:rsidR="00622884" w:rsidRPr="00622884" w:rsidRDefault="00622884" w:rsidP="00622884">
            <w:pPr>
              <w:spacing w:after="0" w:line="240" w:lineRule="auto"/>
              <w:jc w:val="center"/>
              <w:rPr>
                <w:rFonts w:ascii="Garamond" w:eastAsia="Calibri" w:hAnsi="Garamond" w:cs="Calibri Light"/>
                <w:sz w:val="14"/>
                <w:szCs w:val="14"/>
                <w:lang w:eastAsia="en-US"/>
              </w:rPr>
            </w:pPr>
            <w:r w:rsidRPr="00622884">
              <w:rPr>
                <w:rFonts w:ascii="Garamond" w:eastAsia="SimSun" w:hAnsi="Garamond" w:cs="Times New Roman"/>
                <w:sz w:val="14"/>
                <w:szCs w:val="14"/>
                <w:lang w:eastAsia="en-US" w:bidi="sq-AL"/>
              </w:rPr>
              <w:t>Masë e butë</w:t>
            </w:r>
          </w:p>
        </w:tc>
        <w:tc>
          <w:tcPr>
            <w:tcW w:w="613" w:type="pct"/>
            <w:vAlign w:val="center"/>
          </w:tcPr>
          <w:p w14:paraId="6C2A80EB" w14:textId="77777777" w:rsidR="00622884" w:rsidRPr="00622884" w:rsidRDefault="00622884" w:rsidP="00622884">
            <w:pPr>
              <w:spacing w:after="0" w:line="240" w:lineRule="auto"/>
              <w:jc w:val="center"/>
              <w:rPr>
                <w:rFonts w:ascii="Garamond" w:eastAsia="Calibri" w:hAnsi="Garamond" w:cs="Calibri Light"/>
                <w:sz w:val="14"/>
                <w:szCs w:val="14"/>
                <w:lang w:eastAsia="en-US"/>
              </w:rPr>
            </w:pPr>
            <w:r w:rsidRPr="00622884">
              <w:rPr>
                <w:rFonts w:ascii="Garamond" w:eastAsia="SimSun" w:hAnsi="Garamond" w:cs="Times New Roman"/>
                <w:sz w:val="14"/>
                <w:szCs w:val="14"/>
                <w:lang w:eastAsia="en-US" w:bidi="sq-AL"/>
              </w:rPr>
              <w:t>17.600.000</w:t>
            </w:r>
          </w:p>
        </w:tc>
        <w:tc>
          <w:tcPr>
            <w:tcW w:w="272" w:type="pct"/>
            <w:vAlign w:val="center"/>
          </w:tcPr>
          <w:p w14:paraId="35A0AE0F" w14:textId="77777777" w:rsidR="00622884" w:rsidRPr="00622884" w:rsidRDefault="00622884" w:rsidP="00622884">
            <w:pPr>
              <w:spacing w:after="0" w:line="240" w:lineRule="auto"/>
              <w:jc w:val="center"/>
              <w:rPr>
                <w:rFonts w:ascii="Garamond" w:eastAsia="Calibri" w:hAnsi="Garamond" w:cs="Calibri Light"/>
                <w:sz w:val="14"/>
                <w:szCs w:val="14"/>
                <w:lang w:eastAsia="en-US"/>
              </w:rPr>
            </w:pPr>
            <w:r w:rsidRPr="00622884">
              <w:rPr>
                <w:rFonts w:ascii="Garamond" w:eastAsia="SimSun" w:hAnsi="Garamond" w:cs="Times New Roman"/>
                <w:sz w:val="14"/>
                <w:szCs w:val="14"/>
                <w:lang w:eastAsia="en-US" w:bidi="sq-AL"/>
              </w:rPr>
              <w:t>ASH</w:t>
            </w:r>
          </w:p>
        </w:tc>
      </w:tr>
      <w:tr w:rsidR="00622884" w:rsidRPr="00622884" w14:paraId="44E90EA2" w14:textId="77777777" w:rsidTr="00622884">
        <w:trPr>
          <w:trHeight w:val="20"/>
          <w:jc w:val="center"/>
        </w:trPr>
        <w:tc>
          <w:tcPr>
            <w:tcW w:w="177" w:type="pct"/>
            <w:vAlign w:val="center"/>
          </w:tcPr>
          <w:p w14:paraId="394AAE2E" w14:textId="77777777" w:rsidR="00622884" w:rsidRPr="00622884" w:rsidRDefault="00622884" w:rsidP="00622884">
            <w:pPr>
              <w:spacing w:after="0" w:line="240" w:lineRule="auto"/>
              <w:jc w:val="center"/>
              <w:rPr>
                <w:rFonts w:ascii="Garamond" w:eastAsia="Calibri" w:hAnsi="Garamond" w:cs="Calibri Light"/>
                <w:b/>
                <w:bCs/>
                <w:sz w:val="14"/>
                <w:szCs w:val="14"/>
                <w:lang w:eastAsia="en-US"/>
              </w:rPr>
            </w:pPr>
            <w:r w:rsidRPr="00622884">
              <w:rPr>
                <w:rFonts w:ascii="Garamond" w:eastAsia="SimSun" w:hAnsi="Garamond" w:cs="Times New Roman"/>
                <w:b/>
                <w:sz w:val="14"/>
                <w:szCs w:val="14"/>
                <w:lang w:eastAsia="en-US" w:bidi="sq-AL"/>
              </w:rPr>
              <w:t>20</w:t>
            </w:r>
          </w:p>
        </w:tc>
        <w:tc>
          <w:tcPr>
            <w:tcW w:w="576" w:type="pct"/>
            <w:vAlign w:val="center"/>
          </w:tcPr>
          <w:p w14:paraId="0108DFE0" w14:textId="77777777" w:rsidR="00622884" w:rsidRPr="00622884" w:rsidRDefault="00622884" w:rsidP="00622884">
            <w:pPr>
              <w:spacing w:after="0" w:line="240" w:lineRule="auto"/>
              <w:jc w:val="center"/>
              <w:rPr>
                <w:rFonts w:ascii="Garamond" w:eastAsia="Calibri" w:hAnsi="Garamond" w:cs="Calibri Light"/>
                <w:sz w:val="14"/>
                <w:szCs w:val="14"/>
                <w:lang w:eastAsia="en-US"/>
              </w:rPr>
            </w:pPr>
            <w:r w:rsidRPr="00622884">
              <w:rPr>
                <w:rFonts w:ascii="Garamond" w:eastAsia="SimSun" w:hAnsi="Garamond" w:cs="Times New Roman"/>
                <w:sz w:val="14"/>
                <w:szCs w:val="14"/>
                <w:lang w:eastAsia="en-US" w:bidi="sq-AL"/>
              </w:rPr>
              <w:t>Pylltari</w:t>
            </w:r>
          </w:p>
        </w:tc>
        <w:tc>
          <w:tcPr>
            <w:tcW w:w="2877" w:type="pct"/>
            <w:vAlign w:val="center"/>
          </w:tcPr>
          <w:p w14:paraId="4C813A97" w14:textId="77777777" w:rsidR="00622884" w:rsidRPr="00622884" w:rsidRDefault="00622884" w:rsidP="00622884">
            <w:pPr>
              <w:spacing w:after="0" w:line="240" w:lineRule="auto"/>
              <w:jc w:val="left"/>
              <w:rPr>
                <w:rFonts w:ascii="Garamond" w:eastAsia="Calibri" w:hAnsi="Garamond" w:cs="Calibri Light"/>
                <w:sz w:val="14"/>
                <w:szCs w:val="14"/>
                <w:u w:val="single"/>
                <w:lang w:eastAsia="en-US"/>
              </w:rPr>
            </w:pPr>
            <w:r w:rsidRPr="00622884">
              <w:rPr>
                <w:rFonts w:ascii="Garamond" w:eastAsia="SimSun" w:hAnsi="Garamond" w:cs="Times New Roman"/>
                <w:sz w:val="14"/>
                <w:szCs w:val="14"/>
                <w:lang w:eastAsia="en-US" w:bidi="sq-AL"/>
              </w:rPr>
              <w:t>Promovimi i pylltarisë së qëndrueshme: Fondi i pyllëzimit dhe nismat e prokurimit të gjelbër</w:t>
            </w:r>
          </w:p>
        </w:tc>
        <w:tc>
          <w:tcPr>
            <w:tcW w:w="485" w:type="pct"/>
            <w:vAlign w:val="center"/>
          </w:tcPr>
          <w:p w14:paraId="14B17EC3" w14:textId="77777777" w:rsidR="00622884" w:rsidRPr="00622884" w:rsidRDefault="00622884" w:rsidP="00622884">
            <w:pPr>
              <w:spacing w:after="0" w:line="240" w:lineRule="auto"/>
              <w:jc w:val="center"/>
              <w:rPr>
                <w:rFonts w:ascii="Garamond" w:eastAsia="Calibri" w:hAnsi="Garamond" w:cs="Calibri Light"/>
                <w:sz w:val="14"/>
                <w:szCs w:val="14"/>
                <w:lang w:eastAsia="en-US"/>
              </w:rPr>
            </w:pPr>
            <w:r w:rsidRPr="00622884">
              <w:rPr>
                <w:rFonts w:ascii="Garamond" w:eastAsia="SimSun" w:hAnsi="Garamond" w:cs="Times New Roman"/>
                <w:sz w:val="14"/>
                <w:szCs w:val="14"/>
                <w:lang w:eastAsia="en-US" w:bidi="sq-AL"/>
              </w:rPr>
              <w:t>Masë e butë</w:t>
            </w:r>
          </w:p>
        </w:tc>
        <w:tc>
          <w:tcPr>
            <w:tcW w:w="613" w:type="pct"/>
            <w:vAlign w:val="center"/>
          </w:tcPr>
          <w:p w14:paraId="7858BDDA" w14:textId="77777777" w:rsidR="00622884" w:rsidRPr="00622884" w:rsidRDefault="00622884" w:rsidP="00622884">
            <w:pPr>
              <w:spacing w:after="0" w:line="240" w:lineRule="auto"/>
              <w:jc w:val="center"/>
              <w:rPr>
                <w:rFonts w:ascii="Garamond" w:eastAsia="Calibri" w:hAnsi="Garamond" w:cs="Calibri Light"/>
                <w:sz w:val="14"/>
                <w:szCs w:val="14"/>
                <w:lang w:eastAsia="en-US"/>
              </w:rPr>
            </w:pPr>
            <w:r w:rsidRPr="00622884">
              <w:rPr>
                <w:rFonts w:ascii="Garamond" w:eastAsia="SimSun" w:hAnsi="Garamond" w:cs="Times New Roman"/>
                <w:sz w:val="14"/>
                <w:szCs w:val="14"/>
                <w:lang w:eastAsia="en-US" w:bidi="sq-AL"/>
              </w:rPr>
              <w:t>8.540.000</w:t>
            </w:r>
          </w:p>
        </w:tc>
        <w:tc>
          <w:tcPr>
            <w:tcW w:w="272" w:type="pct"/>
            <w:vAlign w:val="center"/>
          </w:tcPr>
          <w:p w14:paraId="7F784B2E" w14:textId="77777777" w:rsidR="00622884" w:rsidRPr="00622884" w:rsidRDefault="00622884" w:rsidP="00622884">
            <w:pPr>
              <w:spacing w:after="0" w:line="240" w:lineRule="auto"/>
              <w:jc w:val="center"/>
              <w:rPr>
                <w:rFonts w:ascii="Garamond" w:eastAsia="Calibri" w:hAnsi="Garamond" w:cs="Calibri Light"/>
                <w:sz w:val="14"/>
                <w:szCs w:val="14"/>
                <w:lang w:eastAsia="en-US"/>
              </w:rPr>
            </w:pPr>
            <w:r w:rsidRPr="00622884">
              <w:rPr>
                <w:rFonts w:ascii="Garamond" w:eastAsia="SimSun" w:hAnsi="Garamond" w:cs="Times New Roman"/>
                <w:sz w:val="14"/>
                <w:szCs w:val="14"/>
                <w:lang w:eastAsia="en-US" w:bidi="sq-AL"/>
              </w:rPr>
              <w:t>ASH</w:t>
            </w:r>
          </w:p>
        </w:tc>
      </w:tr>
      <w:tr w:rsidR="00622884" w:rsidRPr="00622884" w14:paraId="17D63F99" w14:textId="77777777" w:rsidTr="00622884">
        <w:trPr>
          <w:trHeight w:val="20"/>
          <w:jc w:val="center"/>
        </w:trPr>
        <w:tc>
          <w:tcPr>
            <w:tcW w:w="177" w:type="pct"/>
            <w:vAlign w:val="center"/>
          </w:tcPr>
          <w:p w14:paraId="3BE33E7C" w14:textId="77777777" w:rsidR="00622884" w:rsidRPr="00622884" w:rsidRDefault="00622884" w:rsidP="00622884">
            <w:pPr>
              <w:spacing w:after="0" w:line="240" w:lineRule="auto"/>
              <w:jc w:val="center"/>
              <w:rPr>
                <w:rFonts w:ascii="Garamond" w:eastAsia="Calibri" w:hAnsi="Garamond" w:cs="Calibri Light"/>
                <w:b/>
                <w:bCs/>
                <w:sz w:val="14"/>
                <w:szCs w:val="14"/>
                <w:lang w:eastAsia="en-US"/>
              </w:rPr>
            </w:pPr>
            <w:r w:rsidRPr="00622884">
              <w:rPr>
                <w:rFonts w:ascii="Garamond" w:eastAsia="SimSun" w:hAnsi="Garamond" w:cs="Times New Roman"/>
                <w:b/>
                <w:sz w:val="14"/>
                <w:szCs w:val="14"/>
                <w:lang w:eastAsia="en-US" w:bidi="sq-AL"/>
              </w:rPr>
              <w:t>21</w:t>
            </w:r>
          </w:p>
        </w:tc>
        <w:tc>
          <w:tcPr>
            <w:tcW w:w="576" w:type="pct"/>
            <w:vAlign w:val="center"/>
          </w:tcPr>
          <w:p w14:paraId="17E0E887" w14:textId="77777777" w:rsidR="00622884" w:rsidRPr="00622884" w:rsidRDefault="00622884" w:rsidP="00622884">
            <w:pPr>
              <w:spacing w:after="0" w:line="240" w:lineRule="auto"/>
              <w:jc w:val="center"/>
              <w:rPr>
                <w:rFonts w:ascii="Garamond" w:eastAsia="Calibri" w:hAnsi="Garamond" w:cs="Calibri Light"/>
                <w:sz w:val="14"/>
                <w:szCs w:val="14"/>
                <w:lang w:eastAsia="en-US"/>
              </w:rPr>
            </w:pPr>
            <w:r w:rsidRPr="00622884">
              <w:rPr>
                <w:rFonts w:ascii="Garamond" w:eastAsia="SimSun" w:hAnsi="Garamond" w:cs="Times New Roman"/>
                <w:sz w:val="14"/>
                <w:szCs w:val="14"/>
                <w:lang w:eastAsia="en-US" w:bidi="sq-AL"/>
              </w:rPr>
              <w:t>Pylltari</w:t>
            </w:r>
          </w:p>
        </w:tc>
        <w:tc>
          <w:tcPr>
            <w:tcW w:w="2877" w:type="pct"/>
            <w:vAlign w:val="center"/>
          </w:tcPr>
          <w:p w14:paraId="2A452F7A" w14:textId="77777777" w:rsidR="00622884" w:rsidRPr="00622884" w:rsidRDefault="00622884" w:rsidP="00622884">
            <w:pPr>
              <w:spacing w:after="0" w:line="240" w:lineRule="auto"/>
              <w:jc w:val="left"/>
              <w:rPr>
                <w:rFonts w:ascii="Garamond" w:eastAsia="Calibri" w:hAnsi="Garamond" w:cs="Calibri Light"/>
                <w:sz w:val="14"/>
                <w:szCs w:val="14"/>
                <w:u w:val="single"/>
                <w:lang w:eastAsia="en-US"/>
              </w:rPr>
            </w:pPr>
            <w:r w:rsidRPr="00622884">
              <w:rPr>
                <w:rFonts w:ascii="Garamond" w:eastAsia="SimSun" w:hAnsi="Garamond" w:cs="Times New Roman"/>
                <w:sz w:val="14"/>
                <w:szCs w:val="14"/>
                <w:lang w:eastAsia="en-US" w:bidi="sq-AL"/>
              </w:rPr>
              <w:t xml:space="preserve">Rijetëzimi i tokave të dëmtuara: Integrimi i ZBN-së dhe PBE-së me praktikat e agropylltarisë </w:t>
            </w:r>
          </w:p>
        </w:tc>
        <w:tc>
          <w:tcPr>
            <w:tcW w:w="485" w:type="pct"/>
            <w:vAlign w:val="center"/>
          </w:tcPr>
          <w:p w14:paraId="3B3B2A25" w14:textId="77777777" w:rsidR="00622884" w:rsidRPr="00622884" w:rsidRDefault="00622884" w:rsidP="00622884">
            <w:pPr>
              <w:spacing w:after="0" w:line="240" w:lineRule="auto"/>
              <w:jc w:val="center"/>
              <w:rPr>
                <w:rFonts w:ascii="Garamond" w:eastAsia="Calibri" w:hAnsi="Garamond" w:cs="Calibri Light"/>
                <w:sz w:val="14"/>
                <w:szCs w:val="14"/>
                <w:lang w:eastAsia="en-US"/>
              </w:rPr>
            </w:pPr>
            <w:r w:rsidRPr="00622884">
              <w:rPr>
                <w:rFonts w:ascii="Garamond" w:eastAsia="SimSun" w:hAnsi="Garamond" w:cs="Times New Roman"/>
                <w:sz w:val="14"/>
                <w:szCs w:val="14"/>
                <w:lang w:eastAsia="en-US" w:bidi="sq-AL"/>
              </w:rPr>
              <w:t>E gjelbër</w:t>
            </w:r>
          </w:p>
        </w:tc>
        <w:tc>
          <w:tcPr>
            <w:tcW w:w="613" w:type="pct"/>
            <w:vAlign w:val="center"/>
          </w:tcPr>
          <w:p w14:paraId="67CCAA93" w14:textId="77777777" w:rsidR="00622884" w:rsidRPr="00622884" w:rsidRDefault="00622884" w:rsidP="00622884">
            <w:pPr>
              <w:spacing w:after="0" w:line="240" w:lineRule="auto"/>
              <w:jc w:val="center"/>
              <w:rPr>
                <w:rFonts w:ascii="Garamond" w:eastAsia="Calibri" w:hAnsi="Garamond" w:cs="Calibri Light"/>
                <w:sz w:val="14"/>
                <w:szCs w:val="14"/>
                <w:lang w:eastAsia="en-US"/>
              </w:rPr>
            </w:pPr>
            <w:r w:rsidRPr="00622884">
              <w:rPr>
                <w:rFonts w:ascii="Garamond" w:eastAsia="SimSun" w:hAnsi="Garamond" w:cs="Times New Roman"/>
                <w:sz w:val="14"/>
                <w:szCs w:val="14"/>
                <w:lang w:eastAsia="en-US" w:bidi="sq-AL"/>
              </w:rPr>
              <w:t>1.494.738.115</w:t>
            </w:r>
          </w:p>
        </w:tc>
        <w:tc>
          <w:tcPr>
            <w:tcW w:w="272" w:type="pct"/>
            <w:vAlign w:val="center"/>
          </w:tcPr>
          <w:p w14:paraId="31B8C124" w14:textId="77777777" w:rsidR="00622884" w:rsidRPr="00622884" w:rsidRDefault="00622884" w:rsidP="00622884">
            <w:pPr>
              <w:spacing w:after="0" w:line="240" w:lineRule="auto"/>
              <w:jc w:val="center"/>
              <w:rPr>
                <w:rFonts w:ascii="Garamond" w:eastAsia="Calibri" w:hAnsi="Garamond" w:cs="Calibri Light"/>
                <w:sz w:val="14"/>
                <w:szCs w:val="14"/>
                <w:lang w:eastAsia="en-US"/>
              </w:rPr>
            </w:pPr>
            <w:r w:rsidRPr="00622884">
              <w:rPr>
                <w:rFonts w:ascii="Garamond" w:eastAsia="SimSun" w:hAnsi="Garamond" w:cs="Times New Roman"/>
                <w:sz w:val="14"/>
                <w:szCs w:val="14"/>
                <w:lang w:eastAsia="en-US" w:bidi="sq-AL"/>
              </w:rPr>
              <w:t>ASH</w:t>
            </w:r>
          </w:p>
        </w:tc>
      </w:tr>
      <w:tr w:rsidR="00622884" w:rsidRPr="00622884" w14:paraId="383DE7C0" w14:textId="77777777" w:rsidTr="00622884">
        <w:trPr>
          <w:trHeight w:val="20"/>
          <w:jc w:val="center"/>
        </w:trPr>
        <w:tc>
          <w:tcPr>
            <w:tcW w:w="177" w:type="pct"/>
            <w:vAlign w:val="center"/>
          </w:tcPr>
          <w:p w14:paraId="115288EE" w14:textId="77777777" w:rsidR="00622884" w:rsidRPr="00622884" w:rsidRDefault="00622884" w:rsidP="00622884">
            <w:pPr>
              <w:spacing w:after="0" w:line="240" w:lineRule="auto"/>
              <w:jc w:val="center"/>
              <w:rPr>
                <w:rFonts w:ascii="Garamond" w:eastAsia="Calibri" w:hAnsi="Garamond" w:cs="Calibri Light"/>
                <w:b/>
                <w:bCs/>
                <w:sz w:val="14"/>
                <w:szCs w:val="14"/>
                <w:lang w:eastAsia="en-US"/>
              </w:rPr>
            </w:pPr>
            <w:r w:rsidRPr="00622884">
              <w:rPr>
                <w:rFonts w:ascii="Garamond" w:eastAsia="SimSun" w:hAnsi="Garamond" w:cs="Times New Roman"/>
                <w:b/>
                <w:sz w:val="14"/>
                <w:szCs w:val="14"/>
                <w:lang w:eastAsia="en-US" w:bidi="sq-AL"/>
              </w:rPr>
              <w:t>22</w:t>
            </w:r>
          </w:p>
        </w:tc>
        <w:tc>
          <w:tcPr>
            <w:tcW w:w="576" w:type="pct"/>
            <w:vAlign w:val="center"/>
          </w:tcPr>
          <w:p w14:paraId="265BDCB7" w14:textId="77777777" w:rsidR="00622884" w:rsidRPr="00622884" w:rsidRDefault="00622884" w:rsidP="00622884">
            <w:pPr>
              <w:spacing w:after="0" w:line="240" w:lineRule="auto"/>
              <w:jc w:val="center"/>
              <w:rPr>
                <w:rFonts w:ascii="Garamond" w:eastAsia="Calibri" w:hAnsi="Garamond" w:cs="Calibri Light"/>
                <w:sz w:val="14"/>
                <w:szCs w:val="14"/>
                <w:lang w:eastAsia="en-US"/>
              </w:rPr>
            </w:pPr>
            <w:r w:rsidRPr="00622884">
              <w:rPr>
                <w:rFonts w:ascii="Garamond" w:eastAsia="SimSun" w:hAnsi="Garamond" w:cs="Times New Roman"/>
                <w:sz w:val="14"/>
                <w:szCs w:val="14"/>
                <w:lang w:eastAsia="en-US" w:bidi="sq-AL"/>
              </w:rPr>
              <w:t>Pylltari</w:t>
            </w:r>
          </w:p>
        </w:tc>
        <w:tc>
          <w:tcPr>
            <w:tcW w:w="2877" w:type="pct"/>
            <w:vAlign w:val="center"/>
          </w:tcPr>
          <w:p w14:paraId="2D2F328C" w14:textId="77777777" w:rsidR="00622884" w:rsidRPr="00622884" w:rsidRDefault="00622884" w:rsidP="00622884">
            <w:pPr>
              <w:spacing w:after="0" w:line="240" w:lineRule="auto"/>
              <w:jc w:val="left"/>
              <w:rPr>
                <w:rFonts w:ascii="Garamond" w:eastAsia="Calibri" w:hAnsi="Garamond" w:cs="Calibri Light"/>
                <w:sz w:val="14"/>
                <w:szCs w:val="14"/>
                <w:u w:val="single"/>
                <w:lang w:eastAsia="en-US"/>
              </w:rPr>
            </w:pPr>
            <w:r w:rsidRPr="00622884">
              <w:rPr>
                <w:rFonts w:ascii="Garamond" w:eastAsia="SimSun" w:hAnsi="Garamond" w:cs="Times New Roman"/>
                <w:sz w:val="14"/>
                <w:szCs w:val="14"/>
                <w:lang w:eastAsia="en-US" w:bidi="sq-AL"/>
              </w:rPr>
              <w:t>Forcimi i mbrojtjes së pyjeve dhe kullotave: Investime në kapacitetet njerëzore dhe burimet e zjarrfikësve</w:t>
            </w:r>
          </w:p>
        </w:tc>
        <w:tc>
          <w:tcPr>
            <w:tcW w:w="485" w:type="pct"/>
            <w:vAlign w:val="center"/>
          </w:tcPr>
          <w:p w14:paraId="06B2E514" w14:textId="77777777" w:rsidR="00622884" w:rsidRPr="00622884" w:rsidRDefault="00622884" w:rsidP="00622884">
            <w:pPr>
              <w:spacing w:after="0" w:line="240" w:lineRule="auto"/>
              <w:jc w:val="center"/>
              <w:rPr>
                <w:rFonts w:ascii="Garamond" w:eastAsia="Calibri" w:hAnsi="Garamond" w:cs="Calibri Light"/>
                <w:sz w:val="14"/>
                <w:szCs w:val="14"/>
                <w:lang w:eastAsia="en-US"/>
              </w:rPr>
            </w:pPr>
            <w:r w:rsidRPr="00622884">
              <w:rPr>
                <w:rFonts w:ascii="Garamond" w:eastAsia="SimSun" w:hAnsi="Garamond" w:cs="Times New Roman"/>
                <w:sz w:val="14"/>
                <w:szCs w:val="14"/>
                <w:lang w:eastAsia="en-US" w:bidi="sq-AL"/>
              </w:rPr>
              <w:t>Masë e butë</w:t>
            </w:r>
          </w:p>
        </w:tc>
        <w:tc>
          <w:tcPr>
            <w:tcW w:w="613" w:type="pct"/>
            <w:vAlign w:val="center"/>
          </w:tcPr>
          <w:p w14:paraId="180AD6EE" w14:textId="77777777" w:rsidR="00622884" w:rsidRPr="00622884" w:rsidRDefault="00622884" w:rsidP="00622884">
            <w:pPr>
              <w:spacing w:after="0" w:line="240" w:lineRule="auto"/>
              <w:jc w:val="center"/>
              <w:rPr>
                <w:rFonts w:ascii="Garamond" w:eastAsia="Calibri" w:hAnsi="Garamond" w:cs="Calibri Light"/>
                <w:sz w:val="14"/>
                <w:szCs w:val="14"/>
                <w:lang w:eastAsia="en-US"/>
              </w:rPr>
            </w:pPr>
            <w:r w:rsidRPr="00622884">
              <w:rPr>
                <w:rFonts w:ascii="Garamond" w:eastAsia="SimSun" w:hAnsi="Garamond" w:cs="Times New Roman"/>
                <w:sz w:val="14"/>
                <w:szCs w:val="14"/>
                <w:lang w:eastAsia="en-US" w:bidi="sq-AL"/>
              </w:rPr>
              <w:t>475.000</w:t>
            </w:r>
          </w:p>
        </w:tc>
        <w:tc>
          <w:tcPr>
            <w:tcW w:w="272" w:type="pct"/>
            <w:vAlign w:val="center"/>
          </w:tcPr>
          <w:p w14:paraId="72E437CF" w14:textId="77777777" w:rsidR="00622884" w:rsidRPr="00622884" w:rsidRDefault="00622884" w:rsidP="00622884">
            <w:pPr>
              <w:spacing w:after="0" w:line="240" w:lineRule="auto"/>
              <w:jc w:val="center"/>
              <w:rPr>
                <w:rFonts w:ascii="Garamond" w:eastAsia="Calibri" w:hAnsi="Garamond" w:cs="Calibri Light"/>
                <w:sz w:val="14"/>
                <w:szCs w:val="14"/>
                <w:lang w:eastAsia="en-US"/>
              </w:rPr>
            </w:pPr>
            <w:r w:rsidRPr="00622884">
              <w:rPr>
                <w:rFonts w:ascii="Garamond" w:eastAsia="SimSun" w:hAnsi="Garamond" w:cs="Times New Roman"/>
                <w:sz w:val="14"/>
                <w:szCs w:val="14"/>
                <w:lang w:eastAsia="en-US" w:bidi="sq-AL"/>
              </w:rPr>
              <w:t>ASH</w:t>
            </w:r>
          </w:p>
        </w:tc>
      </w:tr>
      <w:tr w:rsidR="00622884" w:rsidRPr="00622884" w14:paraId="4AAA4376" w14:textId="77777777" w:rsidTr="00622884">
        <w:trPr>
          <w:trHeight w:val="20"/>
          <w:jc w:val="center"/>
        </w:trPr>
        <w:tc>
          <w:tcPr>
            <w:tcW w:w="177" w:type="pct"/>
            <w:vAlign w:val="center"/>
          </w:tcPr>
          <w:p w14:paraId="39F08BCA" w14:textId="77777777" w:rsidR="00622884" w:rsidRPr="00622884" w:rsidRDefault="00622884" w:rsidP="00622884">
            <w:pPr>
              <w:spacing w:after="0" w:line="240" w:lineRule="auto"/>
              <w:jc w:val="center"/>
              <w:rPr>
                <w:rFonts w:ascii="Garamond" w:eastAsia="Calibri" w:hAnsi="Garamond" w:cs="Calibri Light"/>
                <w:b/>
                <w:bCs/>
                <w:sz w:val="14"/>
                <w:szCs w:val="14"/>
                <w:lang w:eastAsia="en-US"/>
              </w:rPr>
            </w:pPr>
            <w:r w:rsidRPr="00622884">
              <w:rPr>
                <w:rFonts w:ascii="Garamond" w:eastAsia="SimSun" w:hAnsi="Garamond" w:cs="Times New Roman"/>
                <w:b/>
                <w:sz w:val="14"/>
                <w:szCs w:val="14"/>
                <w:lang w:eastAsia="en-US" w:bidi="sq-AL"/>
              </w:rPr>
              <w:t>23</w:t>
            </w:r>
          </w:p>
        </w:tc>
        <w:tc>
          <w:tcPr>
            <w:tcW w:w="576" w:type="pct"/>
            <w:vAlign w:val="center"/>
          </w:tcPr>
          <w:p w14:paraId="5C2F9275" w14:textId="77777777" w:rsidR="00622884" w:rsidRPr="00622884" w:rsidRDefault="00622884" w:rsidP="00622884">
            <w:pPr>
              <w:spacing w:after="0" w:line="240" w:lineRule="auto"/>
              <w:jc w:val="center"/>
              <w:rPr>
                <w:rFonts w:ascii="Garamond" w:eastAsia="Calibri" w:hAnsi="Garamond" w:cs="Calibri Light"/>
                <w:sz w:val="14"/>
                <w:szCs w:val="14"/>
                <w:lang w:eastAsia="en-US"/>
              </w:rPr>
            </w:pPr>
            <w:r w:rsidRPr="00622884">
              <w:rPr>
                <w:rFonts w:ascii="Garamond" w:eastAsia="SimSun" w:hAnsi="Garamond" w:cs="Times New Roman"/>
                <w:sz w:val="14"/>
                <w:szCs w:val="14"/>
                <w:lang w:eastAsia="en-US" w:bidi="sq-AL"/>
              </w:rPr>
              <w:t>Pylltari</w:t>
            </w:r>
          </w:p>
        </w:tc>
        <w:tc>
          <w:tcPr>
            <w:tcW w:w="2877" w:type="pct"/>
            <w:vAlign w:val="center"/>
          </w:tcPr>
          <w:p w14:paraId="281276AF" w14:textId="77777777" w:rsidR="00622884" w:rsidRPr="00622884" w:rsidRDefault="00622884" w:rsidP="00622884">
            <w:pPr>
              <w:spacing w:after="0" w:line="240" w:lineRule="auto"/>
              <w:jc w:val="left"/>
              <w:rPr>
                <w:rFonts w:ascii="Garamond" w:eastAsia="Calibri" w:hAnsi="Garamond" w:cs="Calibri Light"/>
                <w:sz w:val="14"/>
                <w:szCs w:val="14"/>
                <w:u w:val="single"/>
                <w:lang w:eastAsia="en-US"/>
              </w:rPr>
            </w:pPr>
            <w:r w:rsidRPr="00622884">
              <w:rPr>
                <w:rFonts w:ascii="Garamond" w:eastAsia="SimSun" w:hAnsi="Garamond" w:cs="Times New Roman"/>
                <w:sz w:val="14"/>
                <w:szCs w:val="14"/>
                <w:lang w:eastAsia="en-US" w:bidi="sq-AL"/>
              </w:rPr>
              <w:t>Mbështetja e pyllëzimit: Vendosja e fidanishteve rajonale për llojet rezistente ndaj thatësirës</w:t>
            </w:r>
          </w:p>
        </w:tc>
        <w:tc>
          <w:tcPr>
            <w:tcW w:w="485" w:type="pct"/>
            <w:vAlign w:val="center"/>
          </w:tcPr>
          <w:p w14:paraId="675FEBCB" w14:textId="77777777" w:rsidR="00622884" w:rsidRPr="00622884" w:rsidRDefault="00622884" w:rsidP="00622884">
            <w:pPr>
              <w:spacing w:after="0" w:line="240" w:lineRule="auto"/>
              <w:jc w:val="center"/>
              <w:rPr>
                <w:rFonts w:ascii="Garamond" w:eastAsia="Calibri" w:hAnsi="Garamond" w:cs="Calibri Light"/>
                <w:sz w:val="14"/>
                <w:szCs w:val="14"/>
                <w:lang w:eastAsia="en-US"/>
              </w:rPr>
            </w:pPr>
            <w:r w:rsidRPr="00622884">
              <w:rPr>
                <w:rFonts w:ascii="Garamond" w:eastAsia="SimSun" w:hAnsi="Garamond" w:cs="Times New Roman"/>
                <w:sz w:val="14"/>
                <w:szCs w:val="14"/>
                <w:lang w:eastAsia="en-US" w:bidi="sq-AL"/>
              </w:rPr>
              <w:t>E gjelbër</w:t>
            </w:r>
          </w:p>
        </w:tc>
        <w:tc>
          <w:tcPr>
            <w:tcW w:w="613" w:type="pct"/>
            <w:vAlign w:val="center"/>
          </w:tcPr>
          <w:p w14:paraId="65E5AAE1" w14:textId="77777777" w:rsidR="00622884" w:rsidRPr="00622884" w:rsidRDefault="00622884" w:rsidP="00622884">
            <w:pPr>
              <w:spacing w:after="0" w:line="240" w:lineRule="auto"/>
              <w:jc w:val="center"/>
              <w:rPr>
                <w:rFonts w:ascii="Garamond" w:eastAsia="Calibri" w:hAnsi="Garamond" w:cs="Calibri Light"/>
                <w:sz w:val="14"/>
                <w:szCs w:val="14"/>
                <w:lang w:eastAsia="en-US"/>
              </w:rPr>
            </w:pPr>
            <w:r w:rsidRPr="00622884">
              <w:rPr>
                <w:rFonts w:ascii="Garamond" w:eastAsia="SimSun" w:hAnsi="Garamond" w:cs="Times New Roman"/>
                <w:sz w:val="14"/>
                <w:szCs w:val="14"/>
                <w:lang w:eastAsia="en-US" w:bidi="sq-AL"/>
              </w:rPr>
              <w:t>2.249.360</w:t>
            </w:r>
          </w:p>
        </w:tc>
        <w:tc>
          <w:tcPr>
            <w:tcW w:w="272" w:type="pct"/>
            <w:vAlign w:val="center"/>
          </w:tcPr>
          <w:p w14:paraId="36D9554D" w14:textId="77777777" w:rsidR="00622884" w:rsidRPr="00622884" w:rsidRDefault="00622884" w:rsidP="00622884">
            <w:pPr>
              <w:spacing w:after="0" w:line="240" w:lineRule="auto"/>
              <w:jc w:val="center"/>
              <w:rPr>
                <w:rFonts w:ascii="Garamond" w:eastAsia="Calibri" w:hAnsi="Garamond" w:cs="Calibri Light"/>
                <w:sz w:val="14"/>
                <w:szCs w:val="14"/>
                <w:lang w:eastAsia="en-US"/>
              </w:rPr>
            </w:pPr>
            <w:r w:rsidRPr="00622884">
              <w:rPr>
                <w:rFonts w:ascii="Garamond" w:eastAsia="SimSun" w:hAnsi="Garamond" w:cs="Times New Roman"/>
                <w:sz w:val="14"/>
                <w:szCs w:val="14"/>
                <w:lang w:eastAsia="en-US" w:bidi="sq-AL"/>
              </w:rPr>
              <w:t>ASH</w:t>
            </w:r>
          </w:p>
        </w:tc>
      </w:tr>
      <w:tr w:rsidR="00622884" w:rsidRPr="00622884" w14:paraId="6EA5C8E0" w14:textId="77777777" w:rsidTr="00622884">
        <w:trPr>
          <w:trHeight w:val="20"/>
          <w:jc w:val="center"/>
        </w:trPr>
        <w:tc>
          <w:tcPr>
            <w:tcW w:w="177" w:type="pct"/>
            <w:vAlign w:val="center"/>
          </w:tcPr>
          <w:p w14:paraId="00EAF391" w14:textId="77777777" w:rsidR="00622884" w:rsidRPr="00622884" w:rsidRDefault="00622884" w:rsidP="00622884">
            <w:pPr>
              <w:spacing w:after="0" w:line="240" w:lineRule="auto"/>
              <w:jc w:val="center"/>
              <w:rPr>
                <w:rFonts w:ascii="Garamond" w:eastAsia="Calibri" w:hAnsi="Garamond" w:cs="Calibri Light"/>
                <w:b/>
                <w:bCs/>
                <w:sz w:val="14"/>
                <w:szCs w:val="14"/>
                <w:lang w:eastAsia="en-US"/>
              </w:rPr>
            </w:pPr>
            <w:r w:rsidRPr="00622884">
              <w:rPr>
                <w:rFonts w:ascii="Garamond" w:eastAsia="SimSun" w:hAnsi="Garamond" w:cs="Times New Roman"/>
                <w:b/>
                <w:sz w:val="14"/>
                <w:szCs w:val="14"/>
                <w:lang w:eastAsia="en-US" w:bidi="sq-AL"/>
              </w:rPr>
              <w:t>24</w:t>
            </w:r>
          </w:p>
        </w:tc>
        <w:tc>
          <w:tcPr>
            <w:tcW w:w="576" w:type="pct"/>
            <w:vAlign w:val="center"/>
          </w:tcPr>
          <w:p w14:paraId="508EB227" w14:textId="77777777" w:rsidR="00622884" w:rsidRPr="00622884" w:rsidRDefault="00622884" w:rsidP="00622884">
            <w:pPr>
              <w:spacing w:after="0" w:line="240" w:lineRule="auto"/>
              <w:jc w:val="center"/>
              <w:rPr>
                <w:rFonts w:ascii="Garamond" w:eastAsia="Calibri" w:hAnsi="Garamond" w:cs="Calibri Light"/>
                <w:sz w:val="14"/>
                <w:szCs w:val="14"/>
                <w:lang w:eastAsia="en-US"/>
              </w:rPr>
            </w:pPr>
            <w:r w:rsidRPr="00622884">
              <w:rPr>
                <w:rFonts w:ascii="Garamond" w:eastAsia="SimSun" w:hAnsi="Garamond" w:cs="Times New Roman"/>
                <w:sz w:val="14"/>
                <w:szCs w:val="14"/>
                <w:lang w:eastAsia="en-US" w:bidi="sq-AL"/>
              </w:rPr>
              <w:t>Pylltari</w:t>
            </w:r>
          </w:p>
        </w:tc>
        <w:tc>
          <w:tcPr>
            <w:tcW w:w="2877" w:type="pct"/>
            <w:vAlign w:val="center"/>
          </w:tcPr>
          <w:p w14:paraId="0D557004" w14:textId="77777777" w:rsidR="00622884" w:rsidRPr="00622884" w:rsidRDefault="00622884" w:rsidP="00622884">
            <w:pPr>
              <w:spacing w:after="0" w:line="240" w:lineRule="auto"/>
              <w:jc w:val="left"/>
              <w:rPr>
                <w:rFonts w:ascii="Garamond" w:eastAsia="Calibri" w:hAnsi="Garamond" w:cs="Calibri Light"/>
                <w:sz w:val="14"/>
                <w:szCs w:val="14"/>
                <w:u w:val="single"/>
                <w:lang w:eastAsia="en-US"/>
              </w:rPr>
            </w:pPr>
            <w:r w:rsidRPr="00622884">
              <w:rPr>
                <w:rFonts w:ascii="Garamond" w:eastAsia="SimSun" w:hAnsi="Garamond" w:cs="Times New Roman"/>
                <w:sz w:val="14"/>
                <w:szCs w:val="14"/>
                <w:lang w:eastAsia="en-US" w:bidi="sq-AL"/>
              </w:rPr>
              <w:t xml:space="preserve"> Mbështetja e migrimit të specieve të rralla dhe endemike të pyjeve në lartësi më të mëdha</w:t>
            </w:r>
          </w:p>
        </w:tc>
        <w:tc>
          <w:tcPr>
            <w:tcW w:w="485" w:type="pct"/>
            <w:vAlign w:val="center"/>
          </w:tcPr>
          <w:p w14:paraId="21B71356" w14:textId="77777777" w:rsidR="00622884" w:rsidRPr="00622884" w:rsidRDefault="00622884" w:rsidP="00622884">
            <w:pPr>
              <w:spacing w:after="0" w:line="240" w:lineRule="auto"/>
              <w:jc w:val="center"/>
              <w:rPr>
                <w:rFonts w:ascii="Garamond" w:eastAsia="Calibri" w:hAnsi="Garamond" w:cs="Calibri Light"/>
                <w:sz w:val="14"/>
                <w:szCs w:val="14"/>
                <w:lang w:eastAsia="en-US"/>
              </w:rPr>
            </w:pPr>
            <w:r w:rsidRPr="00622884">
              <w:rPr>
                <w:rFonts w:ascii="Garamond" w:eastAsia="SimSun" w:hAnsi="Garamond" w:cs="Times New Roman"/>
                <w:sz w:val="14"/>
                <w:szCs w:val="14"/>
                <w:lang w:eastAsia="en-US" w:bidi="sq-AL"/>
              </w:rPr>
              <w:t>E gjelbër</w:t>
            </w:r>
          </w:p>
        </w:tc>
        <w:tc>
          <w:tcPr>
            <w:tcW w:w="613" w:type="pct"/>
            <w:vAlign w:val="center"/>
          </w:tcPr>
          <w:p w14:paraId="076D8178" w14:textId="77777777" w:rsidR="00622884" w:rsidRPr="00622884" w:rsidRDefault="00622884" w:rsidP="00622884">
            <w:pPr>
              <w:spacing w:after="0" w:line="240" w:lineRule="auto"/>
              <w:jc w:val="center"/>
              <w:rPr>
                <w:rFonts w:ascii="Garamond" w:eastAsia="Calibri" w:hAnsi="Garamond" w:cs="Calibri Light"/>
                <w:sz w:val="14"/>
                <w:szCs w:val="14"/>
                <w:lang w:eastAsia="en-US"/>
              </w:rPr>
            </w:pPr>
            <w:r w:rsidRPr="00622884">
              <w:rPr>
                <w:rFonts w:ascii="Garamond" w:eastAsia="SimSun" w:hAnsi="Garamond" w:cs="Times New Roman"/>
                <w:sz w:val="14"/>
                <w:szCs w:val="14"/>
                <w:lang w:eastAsia="en-US" w:bidi="sq-AL"/>
              </w:rPr>
              <w:t>894.780</w:t>
            </w:r>
          </w:p>
        </w:tc>
        <w:tc>
          <w:tcPr>
            <w:tcW w:w="272" w:type="pct"/>
            <w:vAlign w:val="center"/>
          </w:tcPr>
          <w:p w14:paraId="0F0C870D" w14:textId="77777777" w:rsidR="00622884" w:rsidRPr="00622884" w:rsidRDefault="00622884" w:rsidP="00622884">
            <w:pPr>
              <w:spacing w:after="0" w:line="240" w:lineRule="auto"/>
              <w:jc w:val="center"/>
              <w:rPr>
                <w:rFonts w:ascii="Garamond" w:eastAsia="Calibri" w:hAnsi="Garamond" w:cs="Calibri Light"/>
                <w:sz w:val="14"/>
                <w:szCs w:val="14"/>
                <w:lang w:eastAsia="en-US"/>
              </w:rPr>
            </w:pPr>
            <w:r w:rsidRPr="00622884">
              <w:rPr>
                <w:rFonts w:ascii="Garamond" w:eastAsia="SimSun" w:hAnsi="Garamond" w:cs="Times New Roman"/>
                <w:sz w:val="14"/>
                <w:szCs w:val="14"/>
                <w:lang w:eastAsia="en-US" w:bidi="sq-AL"/>
              </w:rPr>
              <w:t>ASH</w:t>
            </w:r>
          </w:p>
        </w:tc>
      </w:tr>
      <w:tr w:rsidR="00622884" w:rsidRPr="00622884" w14:paraId="7A22D6FE" w14:textId="77777777" w:rsidTr="00622884">
        <w:trPr>
          <w:trHeight w:val="20"/>
          <w:jc w:val="center"/>
        </w:trPr>
        <w:tc>
          <w:tcPr>
            <w:tcW w:w="177" w:type="pct"/>
            <w:vAlign w:val="center"/>
          </w:tcPr>
          <w:p w14:paraId="69181A54" w14:textId="77777777" w:rsidR="00622884" w:rsidRPr="00622884" w:rsidRDefault="00622884" w:rsidP="00622884">
            <w:pPr>
              <w:spacing w:after="0" w:line="240" w:lineRule="auto"/>
              <w:jc w:val="center"/>
              <w:rPr>
                <w:rFonts w:ascii="Garamond" w:eastAsia="Calibri" w:hAnsi="Garamond" w:cs="Calibri Light"/>
                <w:b/>
                <w:bCs/>
                <w:sz w:val="14"/>
                <w:szCs w:val="14"/>
                <w:lang w:eastAsia="en-US"/>
              </w:rPr>
            </w:pPr>
            <w:r w:rsidRPr="00622884">
              <w:rPr>
                <w:rFonts w:ascii="Garamond" w:eastAsia="SimSun" w:hAnsi="Garamond" w:cs="Times New Roman"/>
                <w:b/>
                <w:sz w:val="14"/>
                <w:szCs w:val="14"/>
                <w:lang w:eastAsia="en-US" w:bidi="sq-AL"/>
              </w:rPr>
              <w:t>25</w:t>
            </w:r>
          </w:p>
        </w:tc>
        <w:tc>
          <w:tcPr>
            <w:tcW w:w="576" w:type="pct"/>
            <w:vAlign w:val="center"/>
          </w:tcPr>
          <w:p w14:paraId="5CB70A84" w14:textId="77777777" w:rsidR="00622884" w:rsidRPr="00622884" w:rsidRDefault="00622884" w:rsidP="00622884">
            <w:pPr>
              <w:spacing w:after="0" w:line="240" w:lineRule="auto"/>
              <w:jc w:val="center"/>
              <w:rPr>
                <w:rFonts w:ascii="Garamond" w:eastAsia="Calibri" w:hAnsi="Garamond" w:cs="Calibri Light"/>
                <w:sz w:val="14"/>
                <w:szCs w:val="14"/>
                <w:lang w:eastAsia="en-US"/>
              </w:rPr>
            </w:pPr>
            <w:r w:rsidRPr="00622884">
              <w:rPr>
                <w:rFonts w:ascii="Garamond" w:eastAsia="SimSun" w:hAnsi="Garamond" w:cs="Times New Roman"/>
                <w:sz w:val="14"/>
                <w:szCs w:val="14"/>
                <w:lang w:eastAsia="en-US" w:bidi="sq-AL"/>
              </w:rPr>
              <w:t>Pylltari</w:t>
            </w:r>
          </w:p>
        </w:tc>
        <w:tc>
          <w:tcPr>
            <w:tcW w:w="2877" w:type="pct"/>
            <w:vAlign w:val="center"/>
          </w:tcPr>
          <w:p w14:paraId="751B4969" w14:textId="77777777" w:rsidR="00622884" w:rsidRPr="00622884" w:rsidRDefault="00622884" w:rsidP="00622884">
            <w:pPr>
              <w:spacing w:after="0" w:line="240" w:lineRule="auto"/>
              <w:jc w:val="left"/>
              <w:rPr>
                <w:rFonts w:ascii="Garamond" w:eastAsia="Calibri" w:hAnsi="Garamond" w:cs="Calibri Light"/>
                <w:sz w:val="14"/>
                <w:szCs w:val="14"/>
                <w:u w:val="single"/>
                <w:lang w:eastAsia="en-US"/>
              </w:rPr>
            </w:pPr>
            <w:r w:rsidRPr="00622884">
              <w:rPr>
                <w:rFonts w:ascii="Garamond" w:eastAsia="SimSun" w:hAnsi="Garamond" w:cs="Times New Roman"/>
                <w:sz w:val="14"/>
                <w:szCs w:val="14"/>
                <w:lang w:eastAsia="en-US" w:bidi="sq-AL"/>
              </w:rPr>
              <w:t>Restaurimi i ekosistemeve jetësore: Mbrojtja dhe rigjenerimi i brezave të gjelbër bregdetarë dhe lumorë dhe ekosistemeve mbrojtëse</w:t>
            </w:r>
          </w:p>
        </w:tc>
        <w:tc>
          <w:tcPr>
            <w:tcW w:w="485" w:type="pct"/>
            <w:vAlign w:val="center"/>
          </w:tcPr>
          <w:p w14:paraId="32DC2AB8" w14:textId="77777777" w:rsidR="00622884" w:rsidRPr="00622884" w:rsidRDefault="00622884" w:rsidP="00622884">
            <w:pPr>
              <w:spacing w:after="0" w:line="240" w:lineRule="auto"/>
              <w:jc w:val="center"/>
              <w:rPr>
                <w:rFonts w:ascii="Garamond" w:eastAsia="Calibri" w:hAnsi="Garamond" w:cs="Calibri Light"/>
                <w:sz w:val="14"/>
                <w:szCs w:val="14"/>
                <w:lang w:eastAsia="en-US"/>
              </w:rPr>
            </w:pPr>
            <w:r w:rsidRPr="00622884">
              <w:rPr>
                <w:rFonts w:ascii="Garamond" w:eastAsia="SimSun" w:hAnsi="Garamond" w:cs="Times New Roman"/>
                <w:sz w:val="14"/>
                <w:szCs w:val="14"/>
                <w:lang w:eastAsia="en-US" w:bidi="sq-AL"/>
              </w:rPr>
              <w:t>E gjelbër</w:t>
            </w:r>
          </w:p>
        </w:tc>
        <w:tc>
          <w:tcPr>
            <w:tcW w:w="613" w:type="pct"/>
            <w:vAlign w:val="center"/>
          </w:tcPr>
          <w:p w14:paraId="435FAC23" w14:textId="77777777" w:rsidR="00622884" w:rsidRPr="00622884" w:rsidRDefault="00622884" w:rsidP="00622884">
            <w:pPr>
              <w:spacing w:after="0" w:line="240" w:lineRule="auto"/>
              <w:jc w:val="center"/>
              <w:rPr>
                <w:rFonts w:ascii="Garamond" w:eastAsia="Calibri" w:hAnsi="Garamond" w:cs="Calibri Light"/>
                <w:sz w:val="14"/>
                <w:szCs w:val="14"/>
                <w:lang w:eastAsia="en-US"/>
              </w:rPr>
            </w:pPr>
            <w:r w:rsidRPr="00622884">
              <w:rPr>
                <w:rFonts w:ascii="Garamond" w:eastAsia="SimSun" w:hAnsi="Garamond" w:cs="Times New Roman"/>
                <w:sz w:val="14"/>
                <w:szCs w:val="14"/>
                <w:lang w:eastAsia="en-US" w:bidi="sq-AL"/>
              </w:rPr>
              <w:t>145.561.688</w:t>
            </w:r>
          </w:p>
        </w:tc>
        <w:tc>
          <w:tcPr>
            <w:tcW w:w="272" w:type="pct"/>
            <w:vAlign w:val="center"/>
          </w:tcPr>
          <w:p w14:paraId="485B85A5" w14:textId="77777777" w:rsidR="00622884" w:rsidRPr="00622884" w:rsidRDefault="00622884" w:rsidP="00622884">
            <w:pPr>
              <w:spacing w:after="0" w:line="240" w:lineRule="auto"/>
              <w:jc w:val="center"/>
              <w:rPr>
                <w:rFonts w:ascii="Garamond" w:eastAsia="Calibri" w:hAnsi="Garamond" w:cs="Calibri Light"/>
                <w:sz w:val="14"/>
                <w:szCs w:val="14"/>
                <w:lang w:eastAsia="en-US"/>
              </w:rPr>
            </w:pPr>
            <w:r w:rsidRPr="00622884">
              <w:rPr>
                <w:rFonts w:ascii="Garamond" w:eastAsia="SimSun" w:hAnsi="Garamond" w:cs="Times New Roman"/>
                <w:sz w:val="14"/>
                <w:szCs w:val="14"/>
                <w:lang w:eastAsia="en-US" w:bidi="sq-AL"/>
              </w:rPr>
              <w:t>ASH</w:t>
            </w:r>
          </w:p>
        </w:tc>
      </w:tr>
      <w:tr w:rsidR="00622884" w:rsidRPr="00622884" w14:paraId="2CEEE5C7" w14:textId="77777777" w:rsidTr="00622884">
        <w:trPr>
          <w:trHeight w:val="20"/>
          <w:jc w:val="center"/>
        </w:trPr>
        <w:tc>
          <w:tcPr>
            <w:tcW w:w="177" w:type="pct"/>
            <w:vAlign w:val="center"/>
          </w:tcPr>
          <w:p w14:paraId="259EB620" w14:textId="77777777" w:rsidR="00622884" w:rsidRPr="00622884" w:rsidRDefault="00622884" w:rsidP="00622884">
            <w:pPr>
              <w:spacing w:after="0" w:line="240" w:lineRule="auto"/>
              <w:jc w:val="center"/>
              <w:rPr>
                <w:rFonts w:ascii="Garamond" w:eastAsia="Calibri" w:hAnsi="Garamond" w:cs="Calibri Light"/>
                <w:b/>
                <w:bCs/>
                <w:sz w:val="14"/>
                <w:szCs w:val="14"/>
                <w:lang w:eastAsia="en-US"/>
              </w:rPr>
            </w:pPr>
            <w:r w:rsidRPr="00622884">
              <w:rPr>
                <w:rFonts w:ascii="Garamond" w:eastAsia="SimSun" w:hAnsi="Garamond" w:cs="Times New Roman"/>
                <w:b/>
                <w:sz w:val="14"/>
                <w:szCs w:val="14"/>
                <w:lang w:eastAsia="en-US" w:bidi="sq-AL"/>
              </w:rPr>
              <w:t>26</w:t>
            </w:r>
          </w:p>
        </w:tc>
        <w:tc>
          <w:tcPr>
            <w:tcW w:w="576" w:type="pct"/>
            <w:vAlign w:val="center"/>
          </w:tcPr>
          <w:p w14:paraId="54BDBA2C" w14:textId="77777777" w:rsidR="00622884" w:rsidRPr="00622884" w:rsidRDefault="00622884" w:rsidP="00622884">
            <w:pPr>
              <w:spacing w:after="0" w:line="240" w:lineRule="auto"/>
              <w:jc w:val="center"/>
              <w:rPr>
                <w:rFonts w:ascii="Garamond" w:eastAsia="Calibri" w:hAnsi="Garamond" w:cs="Calibri Light"/>
                <w:sz w:val="14"/>
                <w:szCs w:val="14"/>
                <w:lang w:eastAsia="en-US"/>
              </w:rPr>
            </w:pPr>
            <w:r w:rsidRPr="00622884">
              <w:rPr>
                <w:rFonts w:ascii="Garamond" w:eastAsia="SimSun" w:hAnsi="Garamond" w:cs="Times New Roman"/>
                <w:sz w:val="14"/>
                <w:szCs w:val="14"/>
                <w:lang w:eastAsia="en-US" w:bidi="sq-AL"/>
              </w:rPr>
              <w:t>Pylltari</w:t>
            </w:r>
          </w:p>
        </w:tc>
        <w:tc>
          <w:tcPr>
            <w:tcW w:w="2877" w:type="pct"/>
            <w:vAlign w:val="center"/>
          </w:tcPr>
          <w:p w14:paraId="0D9C0DF1" w14:textId="77777777" w:rsidR="00622884" w:rsidRPr="00622884" w:rsidRDefault="00622884" w:rsidP="00622884">
            <w:pPr>
              <w:spacing w:after="0" w:line="240" w:lineRule="auto"/>
              <w:jc w:val="left"/>
              <w:rPr>
                <w:rFonts w:ascii="Garamond" w:eastAsia="Calibri" w:hAnsi="Garamond" w:cs="Calibri Light"/>
                <w:sz w:val="14"/>
                <w:szCs w:val="14"/>
                <w:u w:val="single"/>
                <w:lang w:eastAsia="en-US"/>
              </w:rPr>
            </w:pPr>
            <w:r w:rsidRPr="00622884">
              <w:rPr>
                <w:rFonts w:ascii="Garamond" w:eastAsia="SimSun" w:hAnsi="Garamond" w:cs="Times New Roman"/>
                <w:sz w:val="14"/>
                <w:szCs w:val="14"/>
                <w:lang w:eastAsia="en-US" w:bidi="sq-AL"/>
              </w:rPr>
              <w:t>Financimi i qëndrueshëm përmes pagesës për shërbimet e ekosistemit (PSHE)</w:t>
            </w:r>
          </w:p>
        </w:tc>
        <w:tc>
          <w:tcPr>
            <w:tcW w:w="485" w:type="pct"/>
            <w:vAlign w:val="center"/>
          </w:tcPr>
          <w:p w14:paraId="36CF95DE" w14:textId="77777777" w:rsidR="00622884" w:rsidRPr="00622884" w:rsidRDefault="00622884" w:rsidP="00622884">
            <w:pPr>
              <w:spacing w:after="0" w:line="240" w:lineRule="auto"/>
              <w:jc w:val="center"/>
              <w:rPr>
                <w:rFonts w:ascii="Garamond" w:eastAsia="Calibri" w:hAnsi="Garamond" w:cs="Calibri Light"/>
                <w:sz w:val="14"/>
                <w:szCs w:val="14"/>
                <w:lang w:eastAsia="en-US"/>
              </w:rPr>
            </w:pPr>
            <w:r w:rsidRPr="00622884">
              <w:rPr>
                <w:rFonts w:ascii="Garamond" w:eastAsia="SimSun" w:hAnsi="Garamond" w:cs="Times New Roman"/>
                <w:sz w:val="14"/>
                <w:szCs w:val="14"/>
                <w:lang w:eastAsia="en-US" w:bidi="sq-AL"/>
              </w:rPr>
              <w:t>Masë e butë</w:t>
            </w:r>
          </w:p>
        </w:tc>
        <w:tc>
          <w:tcPr>
            <w:tcW w:w="613" w:type="pct"/>
            <w:vAlign w:val="center"/>
          </w:tcPr>
          <w:p w14:paraId="54B52BC8" w14:textId="77777777" w:rsidR="00622884" w:rsidRPr="00622884" w:rsidRDefault="00622884" w:rsidP="00622884">
            <w:pPr>
              <w:spacing w:after="0" w:line="240" w:lineRule="auto"/>
              <w:jc w:val="center"/>
              <w:rPr>
                <w:rFonts w:ascii="Garamond" w:eastAsia="Calibri" w:hAnsi="Garamond" w:cs="Calibri Light"/>
                <w:sz w:val="14"/>
                <w:szCs w:val="14"/>
                <w:lang w:eastAsia="en-US"/>
              </w:rPr>
            </w:pPr>
            <w:r w:rsidRPr="00622884">
              <w:rPr>
                <w:rFonts w:ascii="Garamond" w:eastAsia="SimSun" w:hAnsi="Garamond" w:cs="Times New Roman"/>
                <w:sz w:val="14"/>
                <w:szCs w:val="14"/>
                <w:lang w:eastAsia="en-US" w:bidi="sq-AL"/>
              </w:rPr>
              <w:t>16.000.000</w:t>
            </w:r>
          </w:p>
        </w:tc>
        <w:tc>
          <w:tcPr>
            <w:tcW w:w="272" w:type="pct"/>
            <w:vAlign w:val="center"/>
          </w:tcPr>
          <w:p w14:paraId="455D7218" w14:textId="77777777" w:rsidR="00622884" w:rsidRPr="00622884" w:rsidRDefault="00622884" w:rsidP="00622884">
            <w:pPr>
              <w:spacing w:after="0" w:line="240" w:lineRule="auto"/>
              <w:jc w:val="center"/>
              <w:rPr>
                <w:rFonts w:ascii="Garamond" w:eastAsia="Calibri" w:hAnsi="Garamond" w:cs="Calibri Light"/>
                <w:sz w:val="14"/>
                <w:szCs w:val="14"/>
                <w:lang w:eastAsia="en-US"/>
              </w:rPr>
            </w:pPr>
            <w:r w:rsidRPr="00622884">
              <w:rPr>
                <w:rFonts w:ascii="Garamond" w:eastAsia="SimSun" w:hAnsi="Garamond" w:cs="Times New Roman"/>
                <w:sz w:val="14"/>
                <w:szCs w:val="14"/>
                <w:lang w:eastAsia="en-US" w:bidi="sq-AL"/>
              </w:rPr>
              <w:t>AGJ</w:t>
            </w:r>
          </w:p>
        </w:tc>
      </w:tr>
      <w:tr w:rsidR="00622884" w:rsidRPr="00622884" w14:paraId="7EA07BAD" w14:textId="77777777" w:rsidTr="00622884">
        <w:trPr>
          <w:trHeight w:val="20"/>
          <w:jc w:val="center"/>
        </w:trPr>
        <w:tc>
          <w:tcPr>
            <w:tcW w:w="177" w:type="pct"/>
            <w:vAlign w:val="center"/>
          </w:tcPr>
          <w:p w14:paraId="63F1BBB6" w14:textId="77777777" w:rsidR="00622884" w:rsidRPr="00622884" w:rsidRDefault="00622884" w:rsidP="00622884">
            <w:pPr>
              <w:spacing w:after="0" w:line="240" w:lineRule="auto"/>
              <w:jc w:val="center"/>
              <w:rPr>
                <w:rFonts w:ascii="Garamond" w:eastAsia="Calibri" w:hAnsi="Garamond" w:cs="Calibri Light"/>
                <w:b/>
                <w:bCs/>
                <w:sz w:val="14"/>
                <w:szCs w:val="14"/>
                <w:lang w:eastAsia="en-US"/>
              </w:rPr>
            </w:pPr>
            <w:r w:rsidRPr="00622884">
              <w:rPr>
                <w:rFonts w:ascii="Garamond" w:eastAsia="SimSun" w:hAnsi="Garamond" w:cs="Times New Roman"/>
                <w:b/>
                <w:sz w:val="14"/>
                <w:szCs w:val="14"/>
                <w:lang w:eastAsia="en-US" w:bidi="sq-AL"/>
              </w:rPr>
              <w:t>27</w:t>
            </w:r>
          </w:p>
        </w:tc>
        <w:tc>
          <w:tcPr>
            <w:tcW w:w="576" w:type="pct"/>
            <w:vAlign w:val="center"/>
          </w:tcPr>
          <w:p w14:paraId="4BBB2CB4" w14:textId="77777777" w:rsidR="00622884" w:rsidRPr="00622884" w:rsidRDefault="00622884" w:rsidP="00622884">
            <w:pPr>
              <w:spacing w:after="0" w:line="240" w:lineRule="auto"/>
              <w:jc w:val="center"/>
              <w:rPr>
                <w:rFonts w:ascii="Garamond" w:eastAsia="Calibri" w:hAnsi="Garamond" w:cs="Calibri Light"/>
                <w:sz w:val="14"/>
                <w:szCs w:val="14"/>
                <w:lang w:eastAsia="en-US"/>
              </w:rPr>
            </w:pPr>
            <w:r w:rsidRPr="00622884">
              <w:rPr>
                <w:rFonts w:ascii="Garamond" w:eastAsia="SimSun" w:hAnsi="Garamond" w:cs="Times New Roman"/>
                <w:sz w:val="14"/>
                <w:szCs w:val="14"/>
                <w:lang w:eastAsia="en-US" w:bidi="sq-AL"/>
              </w:rPr>
              <w:t>Pylltari</w:t>
            </w:r>
          </w:p>
        </w:tc>
        <w:tc>
          <w:tcPr>
            <w:tcW w:w="2877" w:type="pct"/>
            <w:vAlign w:val="center"/>
          </w:tcPr>
          <w:p w14:paraId="66AECB55" w14:textId="77777777" w:rsidR="00622884" w:rsidRPr="00622884" w:rsidRDefault="00622884" w:rsidP="00622884">
            <w:pPr>
              <w:spacing w:after="0" w:line="240" w:lineRule="auto"/>
              <w:jc w:val="left"/>
              <w:rPr>
                <w:rFonts w:ascii="Garamond" w:eastAsia="Calibri" w:hAnsi="Garamond" w:cs="Calibri Light"/>
                <w:sz w:val="14"/>
                <w:szCs w:val="14"/>
                <w:u w:val="single"/>
                <w:lang w:eastAsia="en-US"/>
              </w:rPr>
            </w:pPr>
            <w:r w:rsidRPr="00622884">
              <w:rPr>
                <w:rFonts w:ascii="Garamond" w:eastAsia="SimSun" w:hAnsi="Garamond" w:cs="Times New Roman"/>
                <w:sz w:val="14"/>
                <w:szCs w:val="14"/>
                <w:lang w:eastAsia="en-US" w:bidi="sq-AL"/>
              </w:rPr>
              <w:t>Restaurimi dhe aftësitë ripërtëritëse të ekosistemit të integruar: Trajtimi i erozionit të tokës në rajonet kryesore të Shqipërisë</w:t>
            </w:r>
          </w:p>
        </w:tc>
        <w:tc>
          <w:tcPr>
            <w:tcW w:w="485" w:type="pct"/>
            <w:vAlign w:val="center"/>
          </w:tcPr>
          <w:p w14:paraId="5ABB62D4" w14:textId="77777777" w:rsidR="00622884" w:rsidRPr="00622884" w:rsidRDefault="00622884" w:rsidP="00622884">
            <w:pPr>
              <w:spacing w:after="0" w:line="240" w:lineRule="auto"/>
              <w:jc w:val="center"/>
              <w:rPr>
                <w:rFonts w:ascii="Garamond" w:eastAsia="Calibri" w:hAnsi="Garamond" w:cs="Calibri Light"/>
                <w:sz w:val="14"/>
                <w:szCs w:val="14"/>
                <w:lang w:eastAsia="en-US"/>
              </w:rPr>
            </w:pPr>
            <w:r w:rsidRPr="00622884">
              <w:rPr>
                <w:rFonts w:ascii="Garamond" w:eastAsia="SimSun" w:hAnsi="Garamond" w:cs="Times New Roman"/>
                <w:sz w:val="14"/>
                <w:szCs w:val="14"/>
                <w:lang w:eastAsia="en-US" w:bidi="sq-AL"/>
              </w:rPr>
              <w:t>E gjelbër</w:t>
            </w:r>
          </w:p>
        </w:tc>
        <w:tc>
          <w:tcPr>
            <w:tcW w:w="613" w:type="pct"/>
            <w:vAlign w:val="center"/>
          </w:tcPr>
          <w:p w14:paraId="61CB4EE2" w14:textId="77777777" w:rsidR="00622884" w:rsidRPr="00622884" w:rsidRDefault="00622884" w:rsidP="00622884">
            <w:pPr>
              <w:spacing w:after="0" w:line="240" w:lineRule="auto"/>
              <w:jc w:val="center"/>
              <w:rPr>
                <w:rFonts w:ascii="Garamond" w:eastAsia="Calibri" w:hAnsi="Garamond" w:cs="Calibri Light"/>
                <w:sz w:val="14"/>
                <w:szCs w:val="14"/>
                <w:lang w:eastAsia="en-US"/>
              </w:rPr>
            </w:pPr>
            <w:r w:rsidRPr="00622884">
              <w:rPr>
                <w:rFonts w:ascii="Garamond" w:eastAsia="SimSun" w:hAnsi="Garamond" w:cs="Times New Roman"/>
                <w:sz w:val="14"/>
                <w:szCs w:val="14"/>
                <w:lang w:eastAsia="en-US" w:bidi="sq-AL"/>
              </w:rPr>
              <w:t>62.573.351</w:t>
            </w:r>
          </w:p>
        </w:tc>
        <w:tc>
          <w:tcPr>
            <w:tcW w:w="272" w:type="pct"/>
            <w:vAlign w:val="center"/>
          </w:tcPr>
          <w:p w14:paraId="4F9E1535" w14:textId="77777777" w:rsidR="00622884" w:rsidRPr="00622884" w:rsidRDefault="00622884" w:rsidP="00622884">
            <w:pPr>
              <w:spacing w:after="0" w:line="240" w:lineRule="auto"/>
              <w:jc w:val="center"/>
              <w:rPr>
                <w:rFonts w:ascii="Garamond" w:eastAsia="Calibri" w:hAnsi="Garamond" w:cs="Calibri Light"/>
                <w:sz w:val="14"/>
                <w:szCs w:val="14"/>
                <w:lang w:eastAsia="en-US"/>
              </w:rPr>
            </w:pPr>
            <w:r w:rsidRPr="00622884">
              <w:rPr>
                <w:rFonts w:ascii="Garamond" w:eastAsia="SimSun" w:hAnsi="Garamond" w:cs="Times New Roman"/>
                <w:sz w:val="14"/>
                <w:szCs w:val="14"/>
                <w:lang w:eastAsia="en-US" w:bidi="sq-AL"/>
              </w:rPr>
              <w:t>AGJ</w:t>
            </w:r>
          </w:p>
        </w:tc>
      </w:tr>
      <w:tr w:rsidR="00622884" w:rsidRPr="00622884" w14:paraId="369E5090" w14:textId="77777777" w:rsidTr="00622884">
        <w:trPr>
          <w:trHeight w:val="20"/>
          <w:jc w:val="center"/>
        </w:trPr>
        <w:tc>
          <w:tcPr>
            <w:tcW w:w="177" w:type="pct"/>
            <w:vAlign w:val="center"/>
          </w:tcPr>
          <w:p w14:paraId="6DB58B7D" w14:textId="77777777" w:rsidR="00622884" w:rsidRPr="00622884" w:rsidRDefault="00622884" w:rsidP="00622884">
            <w:pPr>
              <w:spacing w:after="0" w:line="240" w:lineRule="auto"/>
              <w:jc w:val="center"/>
              <w:rPr>
                <w:rFonts w:ascii="Garamond" w:eastAsia="Calibri" w:hAnsi="Garamond" w:cs="Calibri Light"/>
                <w:b/>
                <w:bCs/>
                <w:sz w:val="14"/>
                <w:szCs w:val="14"/>
                <w:lang w:eastAsia="en-US"/>
              </w:rPr>
            </w:pPr>
            <w:r w:rsidRPr="00622884">
              <w:rPr>
                <w:rFonts w:ascii="Garamond" w:eastAsia="SimSun" w:hAnsi="Garamond" w:cs="Times New Roman"/>
                <w:b/>
                <w:sz w:val="14"/>
                <w:szCs w:val="14"/>
                <w:lang w:eastAsia="en-US" w:bidi="sq-AL"/>
              </w:rPr>
              <w:t>28</w:t>
            </w:r>
          </w:p>
        </w:tc>
        <w:tc>
          <w:tcPr>
            <w:tcW w:w="576" w:type="pct"/>
            <w:vAlign w:val="center"/>
          </w:tcPr>
          <w:p w14:paraId="68B52D20" w14:textId="77777777" w:rsidR="00622884" w:rsidRPr="00622884" w:rsidRDefault="00622884" w:rsidP="00622884">
            <w:pPr>
              <w:spacing w:after="0" w:line="240" w:lineRule="auto"/>
              <w:jc w:val="center"/>
              <w:rPr>
                <w:rFonts w:ascii="Garamond" w:eastAsia="Calibri" w:hAnsi="Garamond" w:cs="Calibri Light"/>
                <w:sz w:val="14"/>
                <w:szCs w:val="14"/>
                <w:lang w:eastAsia="en-US"/>
              </w:rPr>
            </w:pPr>
            <w:r w:rsidRPr="00622884">
              <w:rPr>
                <w:rFonts w:ascii="Garamond" w:eastAsia="SimSun" w:hAnsi="Garamond" w:cs="Times New Roman"/>
                <w:sz w:val="14"/>
                <w:szCs w:val="14"/>
                <w:lang w:eastAsia="en-US" w:bidi="sq-AL"/>
              </w:rPr>
              <w:t>Pylltari</w:t>
            </w:r>
          </w:p>
        </w:tc>
        <w:tc>
          <w:tcPr>
            <w:tcW w:w="2877" w:type="pct"/>
            <w:vAlign w:val="center"/>
          </w:tcPr>
          <w:p w14:paraId="09910210" w14:textId="77777777" w:rsidR="00622884" w:rsidRPr="00622884" w:rsidRDefault="00622884" w:rsidP="00622884">
            <w:pPr>
              <w:spacing w:after="0" w:line="240" w:lineRule="auto"/>
              <w:jc w:val="left"/>
              <w:rPr>
                <w:rFonts w:ascii="Garamond" w:eastAsia="Calibri" w:hAnsi="Garamond" w:cs="Calibri Light"/>
                <w:sz w:val="14"/>
                <w:szCs w:val="14"/>
                <w:u w:val="single"/>
                <w:lang w:eastAsia="en-US"/>
              </w:rPr>
            </w:pPr>
            <w:r w:rsidRPr="00622884">
              <w:rPr>
                <w:rFonts w:ascii="Garamond" w:eastAsia="SimSun" w:hAnsi="Garamond" w:cs="Times New Roman"/>
                <w:sz w:val="14"/>
                <w:szCs w:val="14"/>
                <w:lang w:eastAsia="en-US" w:bidi="sq-AL"/>
              </w:rPr>
              <w:t>Lufta kundër erozionit dhe përmbytjeve: Restaurimi strategjik i habitateve dhe ripyllëzimi në rajonet kryesore të Shqipërisë</w:t>
            </w:r>
          </w:p>
        </w:tc>
        <w:tc>
          <w:tcPr>
            <w:tcW w:w="485" w:type="pct"/>
            <w:vAlign w:val="center"/>
          </w:tcPr>
          <w:p w14:paraId="1B08E6B2" w14:textId="77777777" w:rsidR="00622884" w:rsidRPr="00622884" w:rsidRDefault="00622884" w:rsidP="00622884">
            <w:pPr>
              <w:spacing w:after="0" w:line="240" w:lineRule="auto"/>
              <w:jc w:val="center"/>
              <w:rPr>
                <w:rFonts w:ascii="Garamond" w:eastAsia="Calibri" w:hAnsi="Garamond" w:cs="Calibri Light"/>
                <w:sz w:val="14"/>
                <w:szCs w:val="14"/>
                <w:lang w:eastAsia="en-US"/>
              </w:rPr>
            </w:pPr>
            <w:r w:rsidRPr="00622884">
              <w:rPr>
                <w:rFonts w:ascii="Garamond" w:eastAsia="SimSun" w:hAnsi="Garamond" w:cs="Times New Roman"/>
                <w:sz w:val="14"/>
                <w:szCs w:val="14"/>
                <w:lang w:eastAsia="en-US" w:bidi="sq-AL"/>
              </w:rPr>
              <w:t>E gjelbër</w:t>
            </w:r>
          </w:p>
        </w:tc>
        <w:tc>
          <w:tcPr>
            <w:tcW w:w="613" w:type="pct"/>
            <w:vAlign w:val="center"/>
          </w:tcPr>
          <w:p w14:paraId="3F870E0F" w14:textId="77777777" w:rsidR="00622884" w:rsidRPr="00622884" w:rsidRDefault="00622884" w:rsidP="00622884">
            <w:pPr>
              <w:spacing w:after="0" w:line="240" w:lineRule="auto"/>
              <w:jc w:val="center"/>
              <w:rPr>
                <w:rFonts w:ascii="Garamond" w:eastAsia="Calibri" w:hAnsi="Garamond" w:cs="Calibri Light"/>
                <w:sz w:val="14"/>
                <w:szCs w:val="14"/>
                <w:lang w:eastAsia="en-US"/>
              </w:rPr>
            </w:pPr>
            <w:r w:rsidRPr="00622884">
              <w:rPr>
                <w:rFonts w:ascii="Garamond" w:eastAsia="SimSun" w:hAnsi="Garamond" w:cs="Times New Roman"/>
                <w:sz w:val="14"/>
                <w:szCs w:val="14"/>
                <w:lang w:eastAsia="en-US" w:bidi="sq-AL"/>
              </w:rPr>
              <w:t>124.943.176</w:t>
            </w:r>
          </w:p>
        </w:tc>
        <w:tc>
          <w:tcPr>
            <w:tcW w:w="272" w:type="pct"/>
            <w:vAlign w:val="center"/>
          </w:tcPr>
          <w:p w14:paraId="3B3335A8" w14:textId="77777777" w:rsidR="00622884" w:rsidRPr="00622884" w:rsidRDefault="00622884" w:rsidP="00622884">
            <w:pPr>
              <w:spacing w:after="0" w:line="240" w:lineRule="auto"/>
              <w:jc w:val="center"/>
              <w:rPr>
                <w:rFonts w:ascii="Garamond" w:eastAsia="Calibri" w:hAnsi="Garamond" w:cs="Calibri Light"/>
                <w:sz w:val="14"/>
                <w:szCs w:val="14"/>
                <w:lang w:eastAsia="en-US"/>
              </w:rPr>
            </w:pPr>
            <w:r w:rsidRPr="00622884">
              <w:rPr>
                <w:rFonts w:ascii="Garamond" w:eastAsia="SimSun" w:hAnsi="Garamond" w:cs="Times New Roman"/>
                <w:sz w:val="14"/>
                <w:szCs w:val="14"/>
                <w:lang w:eastAsia="en-US" w:bidi="sq-AL"/>
              </w:rPr>
              <w:t>ASH</w:t>
            </w:r>
          </w:p>
        </w:tc>
      </w:tr>
      <w:tr w:rsidR="00622884" w:rsidRPr="00622884" w14:paraId="5D551625" w14:textId="77777777" w:rsidTr="00622884">
        <w:trPr>
          <w:trHeight w:val="20"/>
          <w:jc w:val="center"/>
        </w:trPr>
        <w:tc>
          <w:tcPr>
            <w:tcW w:w="177" w:type="pct"/>
            <w:vAlign w:val="center"/>
          </w:tcPr>
          <w:p w14:paraId="728578AE" w14:textId="77777777" w:rsidR="00622884" w:rsidRPr="00622884" w:rsidRDefault="00622884" w:rsidP="00622884">
            <w:pPr>
              <w:spacing w:after="0" w:line="240" w:lineRule="auto"/>
              <w:jc w:val="center"/>
              <w:rPr>
                <w:rFonts w:ascii="Garamond" w:eastAsia="Calibri" w:hAnsi="Garamond" w:cs="Calibri Light"/>
                <w:b/>
                <w:bCs/>
                <w:sz w:val="14"/>
                <w:szCs w:val="14"/>
                <w:lang w:eastAsia="en-US"/>
              </w:rPr>
            </w:pPr>
            <w:r w:rsidRPr="00622884">
              <w:rPr>
                <w:rFonts w:ascii="Garamond" w:eastAsia="SimSun" w:hAnsi="Garamond" w:cs="Times New Roman"/>
                <w:b/>
                <w:sz w:val="14"/>
                <w:szCs w:val="14"/>
                <w:lang w:eastAsia="en-US" w:bidi="sq-AL"/>
              </w:rPr>
              <w:t>29</w:t>
            </w:r>
          </w:p>
        </w:tc>
        <w:tc>
          <w:tcPr>
            <w:tcW w:w="576" w:type="pct"/>
            <w:vAlign w:val="center"/>
          </w:tcPr>
          <w:p w14:paraId="05739949" w14:textId="77777777" w:rsidR="00622884" w:rsidRPr="00622884" w:rsidRDefault="00622884" w:rsidP="00622884">
            <w:pPr>
              <w:spacing w:after="0" w:line="240" w:lineRule="auto"/>
              <w:jc w:val="center"/>
              <w:rPr>
                <w:rFonts w:ascii="Garamond" w:eastAsia="Calibri" w:hAnsi="Garamond" w:cs="Calibri Light"/>
                <w:sz w:val="14"/>
                <w:szCs w:val="14"/>
                <w:lang w:eastAsia="en-US"/>
              </w:rPr>
            </w:pPr>
            <w:r w:rsidRPr="00622884">
              <w:rPr>
                <w:rFonts w:ascii="Garamond" w:eastAsia="SimSun" w:hAnsi="Garamond" w:cs="Times New Roman"/>
                <w:sz w:val="14"/>
                <w:szCs w:val="14"/>
                <w:lang w:eastAsia="en-US" w:bidi="sq-AL"/>
              </w:rPr>
              <w:t>Pylltari</w:t>
            </w:r>
          </w:p>
        </w:tc>
        <w:tc>
          <w:tcPr>
            <w:tcW w:w="2877" w:type="pct"/>
            <w:vAlign w:val="center"/>
          </w:tcPr>
          <w:p w14:paraId="3ECC328D" w14:textId="77777777" w:rsidR="00622884" w:rsidRPr="00622884" w:rsidRDefault="00622884" w:rsidP="00622884">
            <w:pPr>
              <w:spacing w:after="0" w:line="240" w:lineRule="auto"/>
              <w:jc w:val="left"/>
              <w:rPr>
                <w:rFonts w:ascii="Garamond" w:eastAsia="Calibri" w:hAnsi="Garamond" w:cs="Calibri Light"/>
                <w:sz w:val="14"/>
                <w:szCs w:val="14"/>
                <w:u w:val="single"/>
                <w:lang w:eastAsia="en-US"/>
              </w:rPr>
            </w:pPr>
            <w:r w:rsidRPr="00622884">
              <w:rPr>
                <w:rFonts w:ascii="Garamond" w:eastAsia="SimSun" w:hAnsi="Garamond" w:cs="Times New Roman"/>
                <w:sz w:val="14"/>
                <w:szCs w:val="14"/>
                <w:lang w:eastAsia="en-US" w:bidi="sq-AL"/>
              </w:rPr>
              <w:t>Menaxhimi i qëndrueshëm i peizazhit: Përmirësimi i cilësisë së ujit dhe biodiversitetit në liqenin e Viroit në Gjirokastër</w:t>
            </w:r>
          </w:p>
        </w:tc>
        <w:tc>
          <w:tcPr>
            <w:tcW w:w="485" w:type="pct"/>
            <w:vAlign w:val="center"/>
          </w:tcPr>
          <w:p w14:paraId="3ABC2B6E" w14:textId="77777777" w:rsidR="00622884" w:rsidRPr="00622884" w:rsidRDefault="00622884" w:rsidP="00622884">
            <w:pPr>
              <w:spacing w:after="0" w:line="240" w:lineRule="auto"/>
              <w:jc w:val="center"/>
              <w:rPr>
                <w:rFonts w:ascii="Garamond" w:eastAsia="Calibri" w:hAnsi="Garamond" w:cs="Calibri Light"/>
                <w:sz w:val="14"/>
                <w:szCs w:val="14"/>
                <w:lang w:eastAsia="en-US"/>
              </w:rPr>
            </w:pPr>
            <w:r w:rsidRPr="00622884">
              <w:rPr>
                <w:rFonts w:ascii="Garamond" w:eastAsia="SimSun" w:hAnsi="Garamond" w:cs="Times New Roman"/>
                <w:sz w:val="14"/>
                <w:szCs w:val="14"/>
                <w:lang w:eastAsia="en-US" w:bidi="sq-AL"/>
              </w:rPr>
              <w:t>E gjelbër</w:t>
            </w:r>
          </w:p>
        </w:tc>
        <w:tc>
          <w:tcPr>
            <w:tcW w:w="613" w:type="pct"/>
            <w:vAlign w:val="center"/>
          </w:tcPr>
          <w:p w14:paraId="5FDAFD7D" w14:textId="77777777" w:rsidR="00622884" w:rsidRPr="00622884" w:rsidRDefault="00622884" w:rsidP="00622884">
            <w:pPr>
              <w:spacing w:after="0" w:line="240" w:lineRule="auto"/>
              <w:jc w:val="center"/>
              <w:rPr>
                <w:rFonts w:ascii="Garamond" w:eastAsia="Calibri" w:hAnsi="Garamond" w:cs="Calibri Light"/>
                <w:sz w:val="14"/>
                <w:szCs w:val="14"/>
                <w:lang w:eastAsia="en-US"/>
              </w:rPr>
            </w:pPr>
            <w:r w:rsidRPr="00622884">
              <w:rPr>
                <w:rFonts w:ascii="Garamond" w:eastAsia="SimSun" w:hAnsi="Garamond" w:cs="Times New Roman"/>
                <w:sz w:val="14"/>
                <w:szCs w:val="14"/>
                <w:lang w:eastAsia="en-US" w:bidi="sq-AL"/>
              </w:rPr>
              <w:t>479.334</w:t>
            </w:r>
          </w:p>
        </w:tc>
        <w:tc>
          <w:tcPr>
            <w:tcW w:w="272" w:type="pct"/>
            <w:vAlign w:val="center"/>
          </w:tcPr>
          <w:p w14:paraId="6F3B9F24" w14:textId="77777777" w:rsidR="00622884" w:rsidRPr="00622884" w:rsidRDefault="00622884" w:rsidP="00622884">
            <w:pPr>
              <w:spacing w:after="0" w:line="240" w:lineRule="auto"/>
              <w:jc w:val="center"/>
              <w:rPr>
                <w:rFonts w:ascii="Garamond" w:eastAsia="Calibri" w:hAnsi="Garamond" w:cs="Calibri Light"/>
                <w:sz w:val="14"/>
                <w:szCs w:val="14"/>
                <w:lang w:eastAsia="en-US"/>
              </w:rPr>
            </w:pPr>
            <w:r w:rsidRPr="00622884">
              <w:rPr>
                <w:rFonts w:ascii="Garamond" w:eastAsia="SimSun" w:hAnsi="Garamond" w:cs="Times New Roman"/>
                <w:sz w:val="14"/>
                <w:szCs w:val="14"/>
                <w:lang w:eastAsia="en-US" w:bidi="sq-AL"/>
              </w:rPr>
              <w:t>AGJ</w:t>
            </w:r>
          </w:p>
        </w:tc>
      </w:tr>
      <w:tr w:rsidR="00622884" w:rsidRPr="00622884" w14:paraId="7B9DFC12" w14:textId="77777777" w:rsidTr="00622884">
        <w:trPr>
          <w:trHeight w:val="20"/>
          <w:jc w:val="center"/>
        </w:trPr>
        <w:tc>
          <w:tcPr>
            <w:tcW w:w="177" w:type="pct"/>
            <w:vAlign w:val="center"/>
          </w:tcPr>
          <w:p w14:paraId="243F8334" w14:textId="77777777" w:rsidR="00622884" w:rsidRPr="00622884" w:rsidRDefault="00622884" w:rsidP="00622884">
            <w:pPr>
              <w:spacing w:after="0" w:line="240" w:lineRule="auto"/>
              <w:jc w:val="center"/>
              <w:rPr>
                <w:rFonts w:ascii="Garamond" w:eastAsia="Calibri" w:hAnsi="Garamond" w:cs="Calibri Light"/>
                <w:b/>
                <w:bCs/>
                <w:sz w:val="14"/>
                <w:szCs w:val="14"/>
                <w:lang w:eastAsia="en-US"/>
              </w:rPr>
            </w:pPr>
            <w:r w:rsidRPr="00622884">
              <w:rPr>
                <w:rFonts w:ascii="Garamond" w:eastAsia="SimSun" w:hAnsi="Garamond" w:cs="Times New Roman"/>
                <w:b/>
                <w:sz w:val="14"/>
                <w:szCs w:val="14"/>
                <w:lang w:eastAsia="en-US" w:bidi="sq-AL"/>
              </w:rPr>
              <w:t>30</w:t>
            </w:r>
          </w:p>
        </w:tc>
        <w:tc>
          <w:tcPr>
            <w:tcW w:w="576" w:type="pct"/>
            <w:vAlign w:val="center"/>
          </w:tcPr>
          <w:p w14:paraId="33991BBD" w14:textId="77777777" w:rsidR="00622884" w:rsidRPr="00622884" w:rsidRDefault="00622884" w:rsidP="00622884">
            <w:pPr>
              <w:spacing w:after="0" w:line="240" w:lineRule="auto"/>
              <w:jc w:val="center"/>
              <w:rPr>
                <w:rFonts w:ascii="Garamond" w:eastAsia="Calibri" w:hAnsi="Garamond" w:cs="Calibri Light"/>
                <w:sz w:val="14"/>
                <w:szCs w:val="14"/>
                <w:lang w:eastAsia="en-US"/>
              </w:rPr>
            </w:pPr>
            <w:r w:rsidRPr="00622884">
              <w:rPr>
                <w:rFonts w:ascii="Garamond" w:eastAsia="SimSun" w:hAnsi="Garamond" w:cs="Times New Roman"/>
                <w:sz w:val="14"/>
                <w:szCs w:val="14"/>
                <w:lang w:eastAsia="en-US" w:bidi="sq-AL"/>
              </w:rPr>
              <w:t>Pylltari</w:t>
            </w:r>
          </w:p>
        </w:tc>
        <w:tc>
          <w:tcPr>
            <w:tcW w:w="2877" w:type="pct"/>
            <w:vAlign w:val="center"/>
          </w:tcPr>
          <w:p w14:paraId="13C9DDD5" w14:textId="77777777" w:rsidR="00622884" w:rsidRPr="00622884" w:rsidRDefault="00622884" w:rsidP="00622884">
            <w:pPr>
              <w:spacing w:after="0" w:line="240" w:lineRule="auto"/>
              <w:jc w:val="left"/>
              <w:rPr>
                <w:rFonts w:ascii="Garamond" w:eastAsia="Calibri" w:hAnsi="Garamond" w:cs="Calibri Light"/>
                <w:sz w:val="14"/>
                <w:szCs w:val="14"/>
                <w:u w:val="single"/>
                <w:lang w:eastAsia="en-US"/>
              </w:rPr>
            </w:pPr>
            <w:r w:rsidRPr="00622884">
              <w:rPr>
                <w:rFonts w:ascii="Garamond" w:eastAsia="SimSun" w:hAnsi="Garamond" w:cs="Times New Roman"/>
                <w:sz w:val="14"/>
                <w:szCs w:val="14"/>
                <w:lang w:eastAsia="en-US" w:bidi="sq-AL"/>
              </w:rPr>
              <w:t>Rritja e aftësive ripërtëritëse ndaj ndryshimeve klimatike në parqet kombëtare dhe zonat e mbrojtura</w:t>
            </w:r>
          </w:p>
        </w:tc>
        <w:tc>
          <w:tcPr>
            <w:tcW w:w="485" w:type="pct"/>
            <w:vAlign w:val="center"/>
          </w:tcPr>
          <w:p w14:paraId="424FE263" w14:textId="77777777" w:rsidR="00622884" w:rsidRPr="00622884" w:rsidRDefault="00622884" w:rsidP="00622884">
            <w:pPr>
              <w:spacing w:after="0" w:line="240" w:lineRule="auto"/>
              <w:jc w:val="center"/>
              <w:rPr>
                <w:rFonts w:ascii="Garamond" w:eastAsia="Calibri" w:hAnsi="Garamond" w:cs="Calibri Light"/>
                <w:sz w:val="14"/>
                <w:szCs w:val="14"/>
                <w:lang w:eastAsia="en-US"/>
              </w:rPr>
            </w:pPr>
            <w:r w:rsidRPr="00622884">
              <w:rPr>
                <w:rFonts w:ascii="Garamond" w:eastAsia="SimSun" w:hAnsi="Garamond" w:cs="Times New Roman"/>
                <w:sz w:val="14"/>
                <w:szCs w:val="14"/>
                <w:lang w:eastAsia="en-US" w:bidi="sq-AL"/>
              </w:rPr>
              <w:t>E gjelbër</w:t>
            </w:r>
          </w:p>
        </w:tc>
        <w:tc>
          <w:tcPr>
            <w:tcW w:w="613" w:type="pct"/>
            <w:vAlign w:val="center"/>
          </w:tcPr>
          <w:p w14:paraId="0DACB7AD" w14:textId="77777777" w:rsidR="00622884" w:rsidRPr="00622884" w:rsidRDefault="00622884" w:rsidP="00622884">
            <w:pPr>
              <w:spacing w:after="0" w:line="240" w:lineRule="auto"/>
              <w:jc w:val="center"/>
              <w:rPr>
                <w:rFonts w:ascii="Garamond" w:eastAsia="Calibri" w:hAnsi="Garamond" w:cs="Calibri Light"/>
                <w:sz w:val="14"/>
                <w:szCs w:val="14"/>
                <w:lang w:eastAsia="en-US"/>
              </w:rPr>
            </w:pPr>
            <w:r w:rsidRPr="00622884">
              <w:rPr>
                <w:rFonts w:ascii="Garamond" w:eastAsia="SimSun" w:hAnsi="Garamond" w:cs="Times New Roman"/>
                <w:sz w:val="14"/>
                <w:szCs w:val="14"/>
                <w:lang w:eastAsia="en-US" w:bidi="sq-AL"/>
              </w:rPr>
              <w:t>257.461.805</w:t>
            </w:r>
          </w:p>
        </w:tc>
        <w:tc>
          <w:tcPr>
            <w:tcW w:w="272" w:type="pct"/>
            <w:vAlign w:val="center"/>
          </w:tcPr>
          <w:p w14:paraId="360F14CE" w14:textId="77777777" w:rsidR="00622884" w:rsidRPr="00622884" w:rsidRDefault="00622884" w:rsidP="00622884">
            <w:pPr>
              <w:spacing w:after="0" w:line="240" w:lineRule="auto"/>
              <w:jc w:val="center"/>
              <w:rPr>
                <w:rFonts w:ascii="Garamond" w:eastAsia="Calibri" w:hAnsi="Garamond" w:cs="Calibri Light"/>
                <w:sz w:val="14"/>
                <w:szCs w:val="14"/>
                <w:lang w:eastAsia="en-US"/>
              </w:rPr>
            </w:pPr>
            <w:r w:rsidRPr="00622884">
              <w:rPr>
                <w:rFonts w:ascii="Garamond" w:eastAsia="SimSun" w:hAnsi="Garamond" w:cs="Times New Roman"/>
                <w:sz w:val="14"/>
                <w:szCs w:val="14"/>
                <w:lang w:eastAsia="en-US" w:bidi="sq-AL"/>
              </w:rPr>
              <w:t>AM</w:t>
            </w:r>
          </w:p>
        </w:tc>
      </w:tr>
      <w:tr w:rsidR="00622884" w:rsidRPr="00622884" w14:paraId="7AE1FA7C" w14:textId="77777777" w:rsidTr="00622884">
        <w:trPr>
          <w:trHeight w:val="20"/>
          <w:jc w:val="center"/>
        </w:trPr>
        <w:tc>
          <w:tcPr>
            <w:tcW w:w="177" w:type="pct"/>
            <w:vAlign w:val="center"/>
          </w:tcPr>
          <w:p w14:paraId="76DC4B8D" w14:textId="77777777" w:rsidR="00622884" w:rsidRPr="00622884" w:rsidRDefault="00622884" w:rsidP="00622884">
            <w:pPr>
              <w:spacing w:after="0" w:line="240" w:lineRule="auto"/>
              <w:jc w:val="center"/>
              <w:rPr>
                <w:rFonts w:ascii="Garamond" w:eastAsia="Calibri" w:hAnsi="Garamond" w:cs="Calibri Light"/>
                <w:b/>
                <w:bCs/>
                <w:sz w:val="14"/>
                <w:szCs w:val="14"/>
                <w:lang w:eastAsia="en-US"/>
              </w:rPr>
            </w:pPr>
            <w:r w:rsidRPr="00622884">
              <w:rPr>
                <w:rFonts w:ascii="Garamond" w:eastAsia="SimSun" w:hAnsi="Garamond" w:cs="Times New Roman"/>
                <w:b/>
                <w:sz w:val="14"/>
                <w:szCs w:val="14"/>
                <w:lang w:eastAsia="en-US" w:bidi="sq-AL"/>
              </w:rPr>
              <w:t>31</w:t>
            </w:r>
          </w:p>
        </w:tc>
        <w:tc>
          <w:tcPr>
            <w:tcW w:w="576" w:type="pct"/>
            <w:vAlign w:val="center"/>
          </w:tcPr>
          <w:p w14:paraId="7C4B5ABA" w14:textId="77777777" w:rsidR="00622884" w:rsidRPr="00622884" w:rsidRDefault="00622884" w:rsidP="00622884">
            <w:pPr>
              <w:spacing w:after="0" w:line="240" w:lineRule="auto"/>
              <w:jc w:val="center"/>
              <w:rPr>
                <w:rFonts w:ascii="Garamond" w:eastAsia="Calibri" w:hAnsi="Garamond" w:cs="Calibri Light"/>
                <w:sz w:val="14"/>
                <w:szCs w:val="14"/>
                <w:lang w:eastAsia="en-US"/>
              </w:rPr>
            </w:pPr>
            <w:r w:rsidRPr="00622884">
              <w:rPr>
                <w:rFonts w:ascii="Garamond" w:eastAsia="SimSun" w:hAnsi="Garamond" w:cs="Times New Roman"/>
                <w:sz w:val="14"/>
                <w:szCs w:val="14"/>
                <w:lang w:eastAsia="en-US" w:bidi="sq-AL"/>
              </w:rPr>
              <w:t>Pylltari</w:t>
            </w:r>
          </w:p>
        </w:tc>
        <w:tc>
          <w:tcPr>
            <w:tcW w:w="2877" w:type="pct"/>
            <w:vAlign w:val="center"/>
          </w:tcPr>
          <w:p w14:paraId="71E4912C" w14:textId="77777777" w:rsidR="00622884" w:rsidRPr="00622884" w:rsidRDefault="00622884" w:rsidP="00622884">
            <w:pPr>
              <w:spacing w:after="0" w:line="240" w:lineRule="auto"/>
              <w:jc w:val="left"/>
              <w:rPr>
                <w:rFonts w:ascii="Garamond" w:eastAsia="Calibri" w:hAnsi="Garamond" w:cs="Calibri Light"/>
                <w:sz w:val="14"/>
                <w:szCs w:val="14"/>
                <w:u w:val="single"/>
                <w:lang w:eastAsia="en-US"/>
              </w:rPr>
            </w:pPr>
            <w:r w:rsidRPr="00622884">
              <w:rPr>
                <w:rFonts w:ascii="Garamond" w:eastAsia="SimSun" w:hAnsi="Garamond" w:cs="Times New Roman"/>
                <w:sz w:val="14"/>
                <w:szCs w:val="14"/>
                <w:lang w:eastAsia="en-US" w:bidi="sq-AL"/>
              </w:rPr>
              <w:t>Restaurimi i shtresave pyjore për të mbrojtur kulturat në Vlorë</w:t>
            </w:r>
          </w:p>
        </w:tc>
        <w:tc>
          <w:tcPr>
            <w:tcW w:w="485" w:type="pct"/>
            <w:vAlign w:val="center"/>
          </w:tcPr>
          <w:p w14:paraId="68A22BB5" w14:textId="77777777" w:rsidR="00622884" w:rsidRPr="00622884" w:rsidRDefault="00622884" w:rsidP="00622884">
            <w:pPr>
              <w:spacing w:after="0" w:line="240" w:lineRule="auto"/>
              <w:jc w:val="center"/>
              <w:rPr>
                <w:rFonts w:ascii="Garamond" w:eastAsia="Calibri" w:hAnsi="Garamond" w:cs="Calibri Light"/>
                <w:sz w:val="14"/>
                <w:szCs w:val="14"/>
                <w:lang w:eastAsia="en-US"/>
              </w:rPr>
            </w:pPr>
            <w:r w:rsidRPr="00622884">
              <w:rPr>
                <w:rFonts w:ascii="Garamond" w:eastAsia="SimSun" w:hAnsi="Garamond" w:cs="Times New Roman"/>
                <w:sz w:val="14"/>
                <w:szCs w:val="14"/>
                <w:lang w:eastAsia="en-US" w:bidi="sq-AL"/>
              </w:rPr>
              <w:t>E gjelbër</w:t>
            </w:r>
          </w:p>
        </w:tc>
        <w:tc>
          <w:tcPr>
            <w:tcW w:w="613" w:type="pct"/>
            <w:vAlign w:val="center"/>
          </w:tcPr>
          <w:p w14:paraId="3073C028" w14:textId="77777777" w:rsidR="00622884" w:rsidRPr="00622884" w:rsidRDefault="00622884" w:rsidP="00622884">
            <w:pPr>
              <w:spacing w:after="0" w:line="240" w:lineRule="auto"/>
              <w:jc w:val="center"/>
              <w:rPr>
                <w:rFonts w:ascii="Garamond" w:eastAsia="Calibri" w:hAnsi="Garamond" w:cs="Calibri Light"/>
                <w:sz w:val="14"/>
                <w:szCs w:val="14"/>
                <w:lang w:eastAsia="en-US"/>
              </w:rPr>
            </w:pPr>
            <w:r w:rsidRPr="00622884">
              <w:rPr>
                <w:rFonts w:ascii="Garamond" w:eastAsia="SimSun" w:hAnsi="Garamond" w:cs="Times New Roman"/>
                <w:sz w:val="14"/>
                <w:szCs w:val="14"/>
                <w:lang w:eastAsia="en-US" w:bidi="sq-AL"/>
              </w:rPr>
              <w:t>3.282.947</w:t>
            </w:r>
          </w:p>
        </w:tc>
        <w:tc>
          <w:tcPr>
            <w:tcW w:w="272" w:type="pct"/>
            <w:vAlign w:val="center"/>
          </w:tcPr>
          <w:p w14:paraId="639F8C9B" w14:textId="77777777" w:rsidR="00622884" w:rsidRPr="00622884" w:rsidRDefault="00622884" w:rsidP="00622884">
            <w:pPr>
              <w:spacing w:after="0" w:line="240" w:lineRule="auto"/>
              <w:jc w:val="center"/>
              <w:rPr>
                <w:rFonts w:ascii="Garamond" w:eastAsia="Calibri" w:hAnsi="Garamond" w:cs="Calibri Light"/>
                <w:sz w:val="14"/>
                <w:szCs w:val="14"/>
                <w:lang w:eastAsia="en-US"/>
              </w:rPr>
            </w:pPr>
            <w:r w:rsidRPr="00622884">
              <w:rPr>
                <w:rFonts w:ascii="Garamond" w:eastAsia="SimSun" w:hAnsi="Garamond" w:cs="Times New Roman"/>
                <w:sz w:val="14"/>
                <w:szCs w:val="14"/>
                <w:lang w:eastAsia="en-US" w:bidi="sq-AL"/>
              </w:rPr>
              <w:t>AM</w:t>
            </w:r>
          </w:p>
        </w:tc>
      </w:tr>
      <w:tr w:rsidR="00622884" w:rsidRPr="00622884" w14:paraId="4DA07264" w14:textId="77777777" w:rsidTr="00622884">
        <w:trPr>
          <w:trHeight w:val="20"/>
          <w:jc w:val="center"/>
        </w:trPr>
        <w:tc>
          <w:tcPr>
            <w:tcW w:w="177" w:type="pct"/>
            <w:shd w:val="clear" w:color="auto" w:fill="E0F4F4"/>
            <w:vAlign w:val="center"/>
          </w:tcPr>
          <w:p w14:paraId="4A5361A1" w14:textId="77777777" w:rsidR="00622884" w:rsidRPr="00622884" w:rsidRDefault="00622884" w:rsidP="00622884">
            <w:pPr>
              <w:spacing w:after="0" w:line="240" w:lineRule="auto"/>
              <w:jc w:val="center"/>
              <w:rPr>
                <w:rFonts w:ascii="Garamond" w:eastAsia="Calibri" w:hAnsi="Garamond" w:cs="Calibri Light"/>
                <w:b/>
                <w:bCs/>
                <w:sz w:val="14"/>
                <w:szCs w:val="14"/>
                <w:lang w:eastAsia="en-US"/>
              </w:rPr>
            </w:pPr>
            <w:r w:rsidRPr="00622884">
              <w:rPr>
                <w:rFonts w:ascii="Garamond" w:eastAsia="SimSun" w:hAnsi="Garamond" w:cs="Times New Roman"/>
                <w:b/>
                <w:sz w:val="14"/>
                <w:szCs w:val="14"/>
                <w:lang w:eastAsia="en-US" w:bidi="sq-AL"/>
              </w:rPr>
              <w:t>32</w:t>
            </w:r>
          </w:p>
        </w:tc>
        <w:tc>
          <w:tcPr>
            <w:tcW w:w="576" w:type="pct"/>
            <w:shd w:val="clear" w:color="auto" w:fill="E0F4F4"/>
            <w:vAlign w:val="center"/>
          </w:tcPr>
          <w:p w14:paraId="7BD53D9E" w14:textId="77777777" w:rsidR="00622884" w:rsidRPr="00622884" w:rsidRDefault="00622884" w:rsidP="00622884">
            <w:pPr>
              <w:spacing w:after="0" w:line="240" w:lineRule="auto"/>
              <w:jc w:val="center"/>
              <w:rPr>
                <w:rFonts w:ascii="Garamond" w:eastAsia="Calibri" w:hAnsi="Garamond" w:cs="Calibri Light"/>
                <w:sz w:val="14"/>
                <w:szCs w:val="14"/>
                <w:lang w:eastAsia="en-US"/>
              </w:rPr>
            </w:pPr>
            <w:r w:rsidRPr="00622884">
              <w:rPr>
                <w:rFonts w:ascii="Garamond" w:eastAsia="SimSun" w:hAnsi="Garamond" w:cs="Times New Roman"/>
                <w:sz w:val="14"/>
                <w:szCs w:val="14"/>
                <w:lang w:eastAsia="en-US" w:bidi="sq-AL"/>
              </w:rPr>
              <w:t>Turizmi</w:t>
            </w:r>
          </w:p>
        </w:tc>
        <w:tc>
          <w:tcPr>
            <w:tcW w:w="2877" w:type="pct"/>
            <w:shd w:val="clear" w:color="auto" w:fill="E0F4F4"/>
            <w:vAlign w:val="center"/>
          </w:tcPr>
          <w:p w14:paraId="3EA9D853" w14:textId="77777777" w:rsidR="00622884" w:rsidRPr="00622884" w:rsidRDefault="00622884" w:rsidP="00622884">
            <w:pPr>
              <w:spacing w:after="0" w:line="240" w:lineRule="auto"/>
              <w:jc w:val="left"/>
              <w:rPr>
                <w:rFonts w:ascii="Garamond" w:eastAsia="Calibri" w:hAnsi="Garamond" w:cs="Calibri Light"/>
                <w:sz w:val="14"/>
                <w:szCs w:val="14"/>
                <w:u w:val="single"/>
                <w:lang w:eastAsia="en-US"/>
              </w:rPr>
            </w:pPr>
            <w:r w:rsidRPr="00622884">
              <w:rPr>
                <w:rFonts w:ascii="Garamond" w:eastAsia="SimSun" w:hAnsi="Garamond" w:cs="Times New Roman"/>
                <w:sz w:val="14"/>
                <w:szCs w:val="14"/>
                <w:lang w:eastAsia="en-US" w:bidi="sq-AL"/>
              </w:rPr>
              <w:t>Planifikimi hapësinor strategjik për turizmin: Ridrejtimi i zhvillimit nga zonat me risk të lart</w:t>
            </w:r>
          </w:p>
        </w:tc>
        <w:tc>
          <w:tcPr>
            <w:tcW w:w="485" w:type="pct"/>
            <w:shd w:val="clear" w:color="auto" w:fill="E0F4F4"/>
            <w:vAlign w:val="center"/>
          </w:tcPr>
          <w:p w14:paraId="14DCC0CC" w14:textId="77777777" w:rsidR="00622884" w:rsidRPr="00622884" w:rsidRDefault="00622884" w:rsidP="00622884">
            <w:pPr>
              <w:spacing w:after="0" w:line="240" w:lineRule="auto"/>
              <w:jc w:val="center"/>
              <w:rPr>
                <w:rFonts w:ascii="Garamond" w:eastAsia="Calibri" w:hAnsi="Garamond" w:cs="Calibri Light"/>
                <w:sz w:val="14"/>
                <w:szCs w:val="14"/>
                <w:lang w:eastAsia="en-US"/>
              </w:rPr>
            </w:pPr>
            <w:r w:rsidRPr="00622884">
              <w:rPr>
                <w:rFonts w:ascii="Garamond" w:eastAsia="SimSun" w:hAnsi="Garamond" w:cs="Times New Roman"/>
                <w:sz w:val="14"/>
                <w:szCs w:val="14"/>
                <w:lang w:eastAsia="en-US" w:bidi="sq-AL"/>
              </w:rPr>
              <w:t>Masë e butë</w:t>
            </w:r>
          </w:p>
        </w:tc>
        <w:tc>
          <w:tcPr>
            <w:tcW w:w="613" w:type="pct"/>
            <w:shd w:val="clear" w:color="auto" w:fill="E0F4F4"/>
            <w:vAlign w:val="center"/>
          </w:tcPr>
          <w:p w14:paraId="73DD0103" w14:textId="77777777" w:rsidR="00622884" w:rsidRPr="00622884" w:rsidRDefault="00622884" w:rsidP="00622884">
            <w:pPr>
              <w:spacing w:after="0" w:line="240" w:lineRule="auto"/>
              <w:jc w:val="center"/>
              <w:rPr>
                <w:rFonts w:ascii="Garamond" w:eastAsia="Calibri" w:hAnsi="Garamond" w:cs="Calibri Light"/>
                <w:sz w:val="14"/>
                <w:szCs w:val="14"/>
                <w:lang w:eastAsia="en-US"/>
              </w:rPr>
            </w:pPr>
            <w:r w:rsidRPr="00622884">
              <w:rPr>
                <w:rFonts w:ascii="Garamond" w:eastAsia="SimSun" w:hAnsi="Garamond" w:cs="Times New Roman"/>
                <w:sz w:val="14"/>
                <w:szCs w:val="14"/>
                <w:lang w:eastAsia="en-US" w:bidi="sq-AL"/>
              </w:rPr>
              <w:t>600.000</w:t>
            </w:r>
          </w:p>
        </w:tc>
        <w:tc>
          <w:tcPr>
            <w:tcW w:w="272" w:type="pct"/>
            <w:shd w:val="clear" w:color="auto" w:fill="E0F4F4"/>
            <w:vAlign w:val="center"/>
          </w:tcPr>
          <w:p w14:paraId="007CC50F" w14:textId="77777777" w:rsidR="00622884" w:rsidRPr="00622884" w:rsidRDefault="00622884" w:rsidP="00622884">
            <w:pPr>
              <w:spacing w:after="0" w:line="240" w:lineRule="auto"/>
              <w:jc w:val="center"/>
              <w:rPr>
                <w:rFonts w:ascii="Garamond" w:eastAsia="Calibri" w:hAnsi="Garamond" w:cs="Calibri Light"/>
                <w:sz w:val="14"/>
                <w:szCs w:val="14"/>
                <w:lang w:eastAsia="en-US"/>
              </w:rPr>
            </w:pPr>
            <w:r w:rsidRPr="00622884">
              <w:rPr>
                <w:rFonts w:ascii="Garamond" w:eastAsia="SimSun" w:hAnsi="Garamond" w:cs="Times New Roman"/>
                <w:sz w:val="14"/>
                <w:szCs w:val="14"/>
                <w:lang w:eastAsia="en-US" w:bidi="sq-AL"/>
              </w:rPr>
              <w:t>ASH</w:t>
            </w:r>
          </w:p>
        </w:tc>
      </w:tr>
      <w:tr w:rsidR="00622884" w:rsidRPr="00622884" w14:paraId="551B0F87" w14:textId="77777777" w:rsidTr="00622884">
        <w:trPr>
          <w:trHeight w:val="20"/>
          <w:jc w:val="center"/>
        </w:trPr>
        <w:tc>
          <w:tcPr>
            <w:tcW w:w="177" w:type="pct"/>
            <w:shd w:val="clear" w:color="auto" w:fill="E0F4F4"/>
            <w:vAlign w:val="center"/>
          </w:tcPr>
          <w:p w14:paraId="1F514B09" w14:textId="77777777" w:rsidR="00622884" w:rsidRPr="00622884" w:rsidRDefault="00622884" w:rsidP="00622884">
            <w:pPr>
              <w:spacing w:after="0" w:line="240" w:lineRule="auto"/>
              <w:jc w:val="center"/>
              <w:rPr>
                <w:rFonts w:ascii="Garamond" w:eastAsia="Calibri" w:hAnsi="Garamond" w:cs="Calibri Light"/>
                <w:b/>
                <w:bCs/>
                <w:sz w:val="14"/>
                <w:szCs w:val="14"/>
                <w:lang w:eastAsia="en-US"/>
              </w:rPr>
            </w:pPr>
            <w:r w:rsidRPr="00622884">
              <w:rPr>
                <w:rFonts w:ascii="Garamond" w:eastAsia="SimSun" w:hAnsi="Garamond" w:cs="Times New Roman"/>
                <w:b/>
                <w:sz w:val="14"/>
                <w:szCs w:val="14"/>
                <w:lang w:eastAsia="en-US" w:bidi="sq-AL"/>
              </w:rPr>
              <w:t>33</w:t>
            </w:r>
          </w:p>
        </w:tc>
        <w:tc>
          <w:tcPr>
            <w:tcW w:w="576" w:type="pct"/>
            <w:shd w:val="clear" w:color="auto" w:fill="E0F4F4"/>
            <w:vAlign w:val="center"/>
          </w:tcPr>
          <w:p w14:paraId="0CB85C02" w14:textId="77777777" w:rsidR="00622884" w:rsidRPr="00622884" w:rsidRDefault="00622884" w:rsidP="00622884">
            <w:pPr>
              <w:spacing w:after="0" w:line="240" w:lineRule="auto"/>
              <w:jc w:val="center"/>
              <w:rPr>
                <w:rFonts w:ascii="Garamond" w:eastAsia="Calibri" w:hAnsi="Garamond" w:cs="Calibri Light"/>
                <w:sz w:val="14"/>
                <w:szCs w:val="14"/>
                <w:lang w:eastAsia="en-US"/>
              </w:rPr>
            </w:pPr>
            <w:r w:rsidRPr="00622884">
              <w:rPr>
                <w:rFonts w:ascii="Garamond" w:eastAsia="SimSun" w:hAnsi="Garamond" w:cs="Times New Roman"/>
                <w:sz w:val="14"/>
                <w:szCs w:val="14"/>
                <w:lang w:eastAsia="en-US" w:bidi="sq-AL"/>
              </w:rPr>
              <w:t>Turizmi</w:t>
            </w:r>
          </w:p>
        </w:tc>
        <w:tc>
          <w:tcPr>
            <w:tcW w:w="2877" w:type="pct"/>
            <w:shd w:val="clear" w:color="auto" w:fill="E0F4F4"/>
            <w:vAlign w:val="center"/>
          </w:tcPr>
          <w:p w14:paraId="17AE73FF" w14:textId="77777777" w:rsidR="00622884" w:rsidRPr="00622884" w:rsidRDefault="00622884" w:rsidP="00622884">
            <w:pPr>
              <w:spacing w:after="0" w:line="240" w:lineRule="auto"/>
              <w:jc w:val="left"/>
              <w:rPr>
                <w:rFonts w:ascii="Garamond" w:eastAsia="Calibri" w:hAnsi="Garamond" w:cs="Calibri Light"/>
                <w:sz w:val="14"/>
                <w:szCs w:val="14"/>
                <w:u w:val="single"/>
                <w:lang w:eastAsia="en-US"/>
              </w:rPr>
            </w:pPr>
            <w:r w:rsidRPr="00622884">
              <w:rPr>
                <w:rFonts w:ascii="Garamond" w:eastAsia="SimSun" w:hAnsi="Garamond" w:cs="Times New Roman"/>
                <w:sz w:val="14"/>
                <w:szCs w:val="14"/>
                <w:lang w:eastAsia="en-US" w:bidi="sq-AL"/>
              </w:rPr>
              <w:t>Mbrojtja e infrastrukturës turistike dhe trashëgimisë kulturore nga ndryshimet klimatike: Paketat e incentivave për mbrojtjen e infrastrukturës së sektorit të turizmit dhe trashëgimisë kulturore nga ndryshimet klimatike</w:t>
            </w:r>
          </w:p>
        </w:tc>
        <w:tc>
          <w:tcPr>
            <w:tcW w:w="485" w:type="pct"/>
            <w:shd w:val="clear" w:color="auto" w:fill="E0F4F4"/>
            <w:vAlign w:val="center"/>
          </w:tcPr>
          <w:p w14:paraId="1AA4CB1D" w14:textId="77777777" w:rsidR="00622884" w:rsidRPr="00622884" w:rsidRDefault="00622884" w:rsidP="00622884">
            <w:pPr>
              <w:spacing w:after="0" w:line="240" w:lineRule="auto"/>
              <w:jc w:val="center"/>
              <w:rPr>
                <w:rFonts w:ascii="Garamond" w:eastAsia="Calibri" w:hAnsi="Garamond" w:cs="Calibri Light"/>
                <w:sz w:val="14"/>
                <w:szCs w:val="14"/>
                <w:lang w:eastAsia="en-US"/>
              </w:rPr>
            </w:pPr>
            <w:r w:rsidRPr="00622884">
              <w:rPr>
                <w:rFonts w:ascii="Garamond" w:eastAsia="SimSun" w:hAnsi="Garamond" w:cs="Times New Roman"/>
                <w:sz w:val="14"/>
                <w:szCs w:val="14"/>
                <w:lang w:eastAsia="en-US" w:bidi="sq-AL"/>
              </w:rPr>
              <w:t>Masë e butë</w:t>
            </w:r>
          </w:p>
        </w:tc>
        <w:tc>
          <w:tcPr>
            <w:tcW w:w="613" w:type="pct"/>
            <w:shd w:val="clear" w:color="auto" w:fill="E0F4F4"/>
            <w:vAlign w:val="center"/>
          </w:tcPr>
          <w:p w14:paraId="3F10EA55" w14:textId="77777777" w:rsidR="00622884" w:rsidRPr="00622884" w:rsidRDefault="00622884" w:rsidP="00622884">
            <w:pPr>
              <w:spacing w:after="0" w:line="240" w:lineRule="auto"/>
              <w:jc w:val="center"/>
              <w:rPr>
                <w:rFonts w:ascii="Garamond" w:eastAsia="Calibri" w:hAnsi="Garamond" w:cs="Calibri Light"/>
                <w:sz w:val="14"/>
                <w:szCs w:val="14"/>
                <w:lang w:eastAsia="en-US"/>
              </w:rPr>
            </w:pPr>
            <w:r w:rsidRPr="00622884">
              <w:rPr>
                <w:rFonts w:ascii="Garamond" w:eastAsia="SimSun" w:hAnsi="Garamond" w:cs="Times New Roman"/>
                <w:sz w:val="14"/>
                <w:szCs w:val="14"/>
                <w:lang w:eastAsia="en-US" w:bidi="sq-AL"/>
              </w:rPr>
              <w:t>800 000</w:t>
            </w:r>
          </w:p>
        </w:tc>
        <w:tc>
          <w:tcPr>
            <w:tcW w:w="272" w:type="pct"/>
            <w:shd w:val="clear" w:color="auto" w:fill="E0F4F4"/>
            <w:vAlign w:val="center"/>
          </w:tcPr>
          <w:p w14:paraId="06FA8DB5" w14:textId="77777777" w:rsidR="00622884" w:rsidRPr="00622884" w:rsidRDefault="00622884" w:rsidP="00622884">
            <w:pPr>
              <w:spacing w:after="0" w:line="240" w:lineRule="auto"/>
              <w:jc w:val="center"/>
              <w:rPr>
                <w:rFonts w:ascii="Garamond" w:eastAsia="Calibri" w:hAnsi="Garamond" w:cs="Calibri Light"/>
                <w:sz w:val="14"/>
                <w:szCs w:val="14"/>
                <w:lang w:eastAsia="en-US"/>
              </w:rPr>
            </w:pPr>
            <w:r w:rsidRPr="00622884">
              <w:rPr>
                <w:rFonts w:ascii="Garamond" w:eastAsia="SimSun" w:hAnsi="Garamond" w:cs="Times New Roman"/>
                <w:sz w:val="14"/>
                <w:szCs w:val="14"/>
                <w:lang w:eastAsia="en-US" w:bidi="sq-AL"/>
              </w:rPr>
              <w:t>AM</w:t>
            </w:r>
          </w:p>
        </w:tc>
      </w:tr>
      <w:tr w:rsidR="00622884" w:rsidRPr="00622884" w14:paraId="25201BDD" w14:textId="77777777" w:rsidTr="00622884">
        <w:trPr>
          <w:trHeight w:val="20"/>
          <w:jc w:val="center"/>
        </w:trPr>
        <w:tc>
          <w:tcPr>
            <w:tcW w:w="177" w:type="pct"/>
            <w:shd w:val="clear" w:color="auto" w:fill="E0F4F4"/>
            <w:vAlign w:val="center"/>
          </w:tcPr>
          <w:p w14:paraId="0A2F7F6B" w14:textId="77777777" w:rsidR="00622884" w:rsidRPr="00622884" w:rsidRDefault="00622884" w:rsidP="00622884">
            <w:pPr>
              <w:spacing w:after="0" w:line="240" w:lineRule="auto"/>
              <w:jc w:val="center"/>
              <w:rPr>
                <w:rFonts w:ascii="Garamond" w:eastAsia="Calibri" w:hAnsi="Garamond" w:cs="Calibri Light"/>
                <w:b/>
                <w:bCs/>
                <w:sz w:val="14"/>
                <w:szCs w:val="14"/>
                <w:lang w:eastAsia="en-US"/>
              </w:rPr>
            </w:pPr>
            <w:r w:rsidRPr="00622884">
              <w:rPr>
                <w:rFonts w:ascii="Garamond" w:eastAsia="SimSun" w:hAnsi="Garamond" w:cs="Times New Roman"/>
                <w:b/>
                <w:sz w:val="14"/>
                <w:szCs w:val="14"/>
                <w:lang w:eastAsia="en-US" w:bidi="sq-AL"/>
              </w:rPr>
              <w:t>34</w:t>
            </w:r>
          </w:p>
        </w:tc>
        <w:tc>
          <w:tcPr>
            <w:tcW w:w="576" w:type="pct"/>
            <w:shd w:val="clear" w:color="auto" w:fill="E0F4F4"/>
            <w:vAlign w:val="center"/>
          </w:tcPr>
          <w:p w14:paraId="5B37E963" w14:textId="77777777" w:rsidR="00622884" w:rsidRPr="00622884" w:rsidRDefault="00622884" w:rsidP="00622884">
            <w:pPr>
              <w:spacing w:after="0" w:line="240" w:lineRule="auto"/>
              <w:jc w:val="center"/>
              <w:rPr>
                <w:rFonts w:ascii="Garamond" w:eastAsia="Calibri" w:hAnsi="Garamond" w:cs="Calibri Light"/>
                <w:sz w:val="14"/>
                <w:szCs w:val="14"/>
                <w:lang w:eastAsia="en-US"/>
              </w:rPr>
            </w:pPr>
            <w:r w:rsidRPr="00622884">
              <w:rPr>
                <w:rFonts w:ascii="Garamond" w:eastAsia="SimSun" w:hAnsi="Garamond" w:cs="Times New Roman"/>
                <w:sz w:val="14"/>
                <w:szCs w:val="14"/>
                <w:lang w:eastAsia="en-US" w:bidi="sq-AL"/>
              </w:rPr>
              <w:t>Turizmi</w:t>
            </w:r>
          </w:p>
        </w:tc>
        <w:tc>
          <w:tcPr>
            <w:tcW w:w="2877" w:type="pct"/>
            <w:shd w:val="clear" w:color="auto" w:fill="E0F4F4"/>
            <w:vAlign w:val="center"/>
          </w:tcPr>
          <w:p w14:paraId="0B0159AE" w14:textId="77777777" w:rsidR="00622884" w:rsidRPr="00622884" w:rsidRDefault="00622884" w:rsidP="00622884">
            <w:pPr>
              <w:spacing w:after="0" w:line="240" w:lineRule="auto"/>
              <w:jc w:val="left"/>
              <w:rPr>
                <w:rFonts w:ascii="Garamond" w:eastAsia="Calibri" w:hAnsi="Garamond" w:cs="Calibri Light"/>
                <w:sz w:val="14"/>
                <w:szCs w:val="14"/>
                <w:u w:val="single"/>
                <w:lang w:eastAsia="en-US"/>
              </w:rPr>
            </w:pPr>
            <w:r w:rsidRPr="00622884">
              <w:rPr>
                <w:rFonts w:ascii="Garamond" w:eastAsia="SimSun" w:hAnsi="Garamond" w:cs="Times New Roman"/>
                <w:sz w:val="14"/>
                <w:szCs w:val="14"/>
                <w:lang w:eastAsia="en-US" w:bidi="sq-AL"/>
              </w:rPr>
              <w:t>Planifikimi strategjik për qëndrueshmërinë bregdetare: Zonat buferike dhe përshtatja e barrierave detare</w:t>
            </w:r>
          </w:p>
        </w:tc>
        <w:tc>
          <w:tcPr>
            <w:tcW w:w="485" w:type="pct"/>
            <w:shd w:val="clear" w:color="auto" w:fill="E0F4F4"/>
            <w:vAlign w:val="center"/>
          </w:tcPr>
          <w:p w14:paraId="4DDA0C1A" w14:textId="77777777" w:rsidR="00622884" w:rsidRPr="00622884" w:rsidRDefault="00622884" w:rsidP="00622884">
            <w:pPr>
              <w:spacing w:after="0" w:line="240" w:lineRule="auto"/>
              <w:jc w:val="center"/>
              <w:rPr>
                <w:rFonts w:ascii="Garamond" w:eastAsia="Calibri" w:hAnsi="Garamond" w:cs="Calibri Light"/>
                <w:sz w:val="14"/>
                <w:szCs w:val="14"/>
                <w:lang w:eastAsia="en-US"/>
              </w:rPr>
            </w:pPr>
            <w:r w:rsidRPr="00622884">
              <w:rPr>
                <w:rFonts w:ascii="Garamond" w:eastAsia="SimSun" w:hAnsi="Garamond" w:cs="Times New Roman"/>
                <w:sz w:val="14"/>
                <w:szCs w:val="14"/>
                <w:lang w:eastAsia="en-US" w:bidi="sq-AL"/>
              </w:rPr>
              <w:t>Masë e butë</w:t>
            </w:r>
          </w:p>
        </w:tc>
        <w:tc>
          <w:tcPr>
            <w:tcW w:w="613" w:type="pct"/>
            <w:shd w:val="clear" w:color="auto" w:fill="E0F4F4"/>
            <w:vAlign w:val="center"/>
          </w:tcPr>
          <w:p w14:paraId="410F1B82" w14:textId="77777777" w:rsidR="00622884" w:rsidRPr="00622884" w:rsidRDefault="00622884" w:rsidP="00622884">
            <w:pPr>
              <w:spacing w:after="0" w:line="240" w:lineRule="auto"/>
              <w:jc w:val="center"/>
              <w:rPr>
                <w:rFonts w:ascii="Garamond" w:eastAsia="Calibri" w:hAnsi="Garamond" w:cs="Calibri Light"/>
                <w:sz w:val="14"/>
                <w:szCs w:val="14"/>
                <w:lang w:eastAsia="en-US"/>
              </w:rPr>
            </w:pPr>
            <w:r w:rsidRPr="00622884">
              <w:rPr>
                <w:rFonts w:ascii="Garamond" w:eastAsia="SimSun" w:hAnsi="Garamond" w:cs="Times New Roman"/>
                <w:sz w:val="14"/>
                <w:szCs w:val="14"/>
                <w:lang w:eastAsia="en-US" w:bidi="sq-AL"/>
              </w:rPr>
              <w:t>504.000</w:t>
            </w:r>
          </w:p>
        </w:tc>
        <w:tc>
          <w:tcPr>
            <w:tcW w:w="272" w:type="pct"/>
            <w:shd w:val="clear" w:color="auto" w:fill="E0F4F4"/>
            <w:vAlign w:val="center"/>
          </w:tcPr>
          <w:p w14:paraId="7B9F30CD" w14:textId="77777777" w:rsidR="00622884" w:rsidRPr="00622884" w:rsidRDefault="00622884" w:rsidP="00622884">
            <w:pPr>
              <w:spacing w:after="0" w:line="240" w:lineRule="auto"/>
              <w:jc w:val="center"/>
              <w:rPr>
                <w:rFonts w:ascii="Garamond" w:eastAsia="Calibri" w:hAnsi="Garamond" w:cs="Calibri Light"/>
                <w:sz w:val="14"/>
                <w:szCs w:val="14"/>
                <w:lang w:eastAsia="en-US"/>
              </w:rPr>
            </w:pPr>
            <w:r w:rsidRPr="00622884">
              <w:rPr>
                <w:rFonts w:ascii="Garamond" w:eastAsia="SimSun" w:hAnsi="Garamond" w:cs="Times New Roman"/>
                <w:sz w:val="14"/>
                <w:szCs w:val="14"/>
                <w:lang w:eastAsia="en-US" w:bidi="sq-AL"/>
              </w:rPr>
              <w:t>AM</w:t>
            </w:r>
          </w:p>
        </w:tc>
      </w:tr>
      <w:tr w:rsidR="00622884" w:rsidRPr="00622884" w14:paraId="3A2864BF" w14:textId="77777777" w:rsidTr="00622884">
        <w:trPr>
          <w:trHeight w:val="20"/>
          <w:jc w:val="center"/>
        </w:trPr>
        <w:tc>
          <w:tcPr>
            <w:tcW w:w="177" w:type="pct"/>
            <w:shd w:val="clear" w:color="auto" w:fill="E0F4F4"/>
            <w:vAlign w:val="center"/>
          </w:tcPr>
          <w:p w14:paraId="5BD9BCA2" w14:textId="77777777" w:rsidR="00622884" w:rsidRPr="00622884" w:rsidRDefault="00622884" w:rsidP="00622884">
            <w:pPr>
              <w:spacing w:after="0" w:line="240" w:lineRule="auto"/>
              <w:jc w:val="center"/>
              <w:rPr>
                <w:rFonts w:ascii="Garamond" w:eastAsia="Calibri" w:hAnsi="Garamond" w:cs="Calibri Light"/>
                <w:b/>
                <w:bCs/>
                <w:sz w:val="14"/>
                <w:szCs w:val="14"/>
                <w:lang w:eastAsia="en-US"/>
              </w:rPr>
            </w:pPr>
            <w:r w:rsidRPr="00622884">
              <w:rPr>
                <w:rFonts w:ascii="Garamond" w:eastAsia="SimSun" w:hAnsi="Garamond" w:cs="Times New Roman"/>
                <w:b/>
                <w:sz w:val="14"/>
                <w:szCs w:val="14"/>
                <w:lang w:eastAsia="en-US" w:bidi="sq-AL"/>
              </w:rPr>
              <w:t>35</w:t>
            </w:r>
          </w:p>
        </w:tc>
        <w:tc>
          <w:tcPr>
            <w:tcW w:w="576" w:type="pct"/>
            <w:shd w:val="clear" w:color="auto" w:fill="E0F4F4"/>
            <w:vAlign w:val="center"/>
          </w:tcPr>
          <w:p w14:paraId="4B267A67" w14:textId="77777777" w:rsidR="00622884" w:rsidRPr="00622884" w:rsidRDefault="00622884" w:rsidP="00622884">
            <w:pPr>
              <w:spacing w:after="0" w:line="240" w:lineRule="auto"/>
              <w:jc w:val="center"/>
              <w:rPr>
                <w:rFonts w:ascii="Garamond" w:eastAsia="Calibri" w:hAnsi="Garamond" w:cs="Calibri Light"/>
                <w:sz w:val="14"/>
                <w:szCs w:val="14"/>
                <w:lang w:eastAsia="en-US"/>
              </w:rPr>
            </w:pPr>
            <w:r w:rsidRPr="00622884">
              <w:rPr>
                <w:rFonts w:ascii="Garamond" w:eastAsia="SimSun" w:hAnsi="Garamond" w:cs="Times New Roman"/>
                <w:sz w:val="14"/>
                <w:szCs w:val="14"/>
                <w:lang w:eastAsia="en-US" w:bidi="sq-AL"/>
              </w:rPr>
              <w:t>Turizmi</w:t>
            </w:r>
          </w:p>
        </w:tc>
        <w:tc>
          <w:tcPr>
            <w:tcW w:w="2877" w:type="pct"/>
            <w:shd w:val="clear" w:color="auto" w:fill="E0F4F4"/>
            <w:vAlign w:val="center"/>
          </w:tcPr>
          <w:p w14:paraId="1E329C4F" w14:textId="77777777" w:rsidR="00622884" w:rsidRPr="00622884" w:rsidRDefault="00622884" w:rsidP="00622884">
            <w:pPr>
              <w:spacing w:after="0" w:line="240" w:lineRule="auto"/>
              <w:jc w:val="left"/>
              <w:rPr>
                <w:rFonts w:ascii="Garamond" w:eastAsia="Calibri" w:hAnsi="Garamond" w:cs="Calibri Light"/>
                <w:sz w:val="14"/>
                <w:szCs w:val="14"/>
                <w:u w:val="single"/>
                <w:lang w:eastAsia="en-US"/>
              </w:rPr>
            </w:pPr>
            <w:r w:rsidRPr="00622884">
              <w:rPr>
                <w:rFonts w:ascii="Garamond" w:eastAsia="SimSun" w:hAnsi="Garamond" w:cs="Times New Roman"/>
                <w:sz w:val="14"/>
                <w:szCs w:val="14"/>
                <w:lang w:eastAsia="en-US" w:bidi="sq-AL"/>
              </w:rPr>
              <w:t>Mbrojtja e gjirit të Vlorës: Ruajtja e habitateve të posidonias dhe trashëgimisë kulturore nënujore nga ndikimet klimatike</w:t>
            </w:r>
          </w:p>
        </w:tc>
        <w:tc>
          <w:tcPr>
            <w:tcW w:w="485" w:type="pct"/>
            <w:shd w:val="clear" w:color="auto" w:fill="E0F4F4"/>
            <w:vAlign w:val="center"/>
          </w:tcPr>
          <w:p w14:paraId="16A342D7" w14:textId="77777777" w:rsidR="00622884" w:rsidRPr="00622884" w:rsidRDefault="00622884" w:rsidP="00622884">
            <w:pPr>
              <w:spacing w:after="0" w:line="240" w:lineRule="auto"/>
              <w:jc w:val="center"/>
              <w:rPr>
                <w:rFonts w:ascii="Garamond" w:eastAsia="Calibri" w:hAnsi="Garamond" w:cs="Calibri Light"/>
                <w:sz w:val="14"/>
                <w:szCs w:val="14"/>
                <w:lang w:eastAsia="en-US"/>
              </w:rPr>
            </w:pPr>
            <w:r w:rsidRPr="00622884">
              <w:rPr>
                <w:rFonts w:ascii="Garamond" w:eastAsia="SimSun" w:hAnsi="Garamond" w:cs="Times New Roman"/>
                <w:sz w:val="14"/>
                <w:szCs w:val="14"/>
                <w:lang w:eastAsia="en-US" w:bidi="sq-AL"/>
              </w:rPr>
              <w:t>E gjelbër</w:t>
            </w:r>
          </w:p>
        </w:tc>
        <w:tc>
          <w:tcPr>
            <w:tcW w:w="613" w:type="pct"/>
            <w:shd w:val="clear" w:color="auto" w:fill="E0F4F4"/>
            <w:vAlign w:val="center"/>
          </w:tcPr>
          <w:p w14:paraId="1047F82B" w14:textId="77777777" w:rsidR="00622884" w:rsidRPr="00622884" w:rsidRDefault="00622884" w:rsidP="00622884">
            <w:pPr>
              <w:spacing w:after="0" w:line="240" w:lineRule="auto"/>
              <w:jc w:val="center"/>
              <w:rPr>
                <w:rFonts w:ascii="Garamond" w:eastAsia="Calibri" w:hAnsi="Garamond" w:cs="Calibri Light"/>
                <w:sz w:val="14"/>
                <w:szCs w:val="14"/>
                <w:lang w:eastAsia="en-US"/>
              </w:rPr>
            </w:pPr>
            <w:r w:rsidRPr="00622884">
              <w:rPr>
                <w:rFonts w:ascii="Garamond" w:eastAsia="SimSun" w:hAnsi="Garamond" w:cs="Times New Roman"/>
                <w:sz w:val="14"/>
                <w:szCs w:val="14"/>
                <w:lang w:eastAsia="en-US" w:bidi="sq-AL"/>
              </w:rPr>
              <w:t>3.606.119</w:t>
            </w:r>
          </w:p>
        </w:tc>
        <w:tc>
          <w:tcPr>
            <w:tcW w:w="272" w:type="pct"/>
            <w:shd w:val="clear" w:color="auto" w:fill="E0F4F4"/>
            <w:vAlign w:val="center"/>
          </w:tcPr>
          <w:p w14:paraId="340836BB" w14:textId="77777777" w:rsidR="00622884" w:rsidRPr="00622884" w:rsidRDefault="00622884" w:rsidP="00622884">
            <w:pPr>
              <w:spacing w:after="0" w:line="240" w:lineRule="auto"/>
              <w:jc w:val="center"/>
              <w:rPr>
                <w:rFonts w:ascii="Garamond" w:eastAsia="Calibri" w:hAnsi="Garamond" w:cs="Calibri Light"/>
                <w:sz w:val="14"/>
                <w:szCs w:val="14"/>
                <w:lang w:eastAsia="en-US"/>
              </w:rPr>
            </w:pPr>
            <w:r w:rsidRPr="00622884">
              <w:rPr>
                <w:rFonts w:ascii="Garamond" w:eastAsia="SimSun" w:hAnsi="Garamond" w:cs="Times New Roman"/>
                <w:sz w:val="14"/>
                <w:szCs w:val="14"/>
                <w:lang w:eastAsia="en-US" w:bidi="sq-AL"/>
              </w:rPr>
              <w:t>AGJ</w:t>
            </w:r>
          </w:p>
        </w:tc>
      </w:tr>
      <w:tr w:rsidR="00622884" w:rsidRPr="00622884" w14:paraId="489EFC55" w14:textId="77777777" w:rsidTr="00622884">
        <w:trPr>
          <w:trHeight w:val="20"/>
          <w:jc w:val="center"/>
        </w:trPr>
        <w:tc>
          <w:tcPr>
            <w:tcW w:w="177" w:type="pct"/>
            <w:shd w:val="clear" w:color="auto" w:fill="E0F4F4"/>
            <w:vAlign w:val="center"/>
          </w:tcPr>
          <w:p w14:paraId="3AADD1CC" w14:textId="77777777" w:rsidR="00622884" w:rsidRPr="00622884" w:rsidRDefault="00622884" w:rsidP="00622884">
            <w:pPr>
              <w:spacing w:after="0" w:line="240" w:lineRule="auto"/>
              <w:jc w:val="center"/>
              <w:rPr>
                <w:rFonts w:ascii="Garamond" w:eastAsia="Calibri" w:hAnsi="Garamond" w:cs="Calibri Light"/>
                <w:b/>
                <w:bCs/>
                <w:sz w:val="14"/>
                <w:szCs w:val="14"/>
                <w:lang w:eastAsia="en-US"/>
              </w:rPr>
            </w:pPr>
            <w:r w:rsidRPr="00622884">
              <w:rPr>
                <w:rFonts w:ascii="Garamond" w:eastAsia="SimSun" w:hAnsi="Garamond" w:cs="Times New Roman"/>
                <w:b/>
                <w:sz w:val="14"/>
                <w:szCs w:val="14"/>
                <w:lang w:eastAsia="en-US" w:bidi="sq-AL"/>
              </w:rPr>
              <w:t>36</w:t>
            </w:r>
          </w:p>
        </w:tc>
        <w:tc>
          <w:tcPr>
            <w:tcW w:w="576" w:type="pct"/>
            <w:shd w:val="clear" w:color="auto" w:fill="E0F4F4"/>
            <w:vAlign w:val="center"/>
          </w:tcPr>
          <w:p w14:paraId="395653DB" w14:textId="77777777" w:rsidR="00622884" w:rsidRPr="00622884" w:rsidRDefault="00622884" w:rsidP="00622884">
            <w:pPr>
              <w:spacing w:after="0" w:line="240" w:lineRule="auto"/>
              <w:jc w:val="center"/>
              <w:rPr>
                <w:rFonts w:ascii="Garamond" w:eastAsia="Calibri" w:hAnsi="Garamond" w:cs="Calibri Light"/>
                <w:sz w:val="14"/>
                <w:szCs w:val="14"/>
                <w:lang w:eastAsia="en-US"/>
              </w:rPr>
            </w:pPr>
            <w:r w:rsidRPr="00622884">
              <w:rPr>
                <w:rFonts w:ascii="Garamond" w:eastAsia="SimSun" w:hAnsi="Garamond" w:cs="Times New Roman"/>
                <w:sz w:val="14"/>
                <w:szCs w:val="14"/>
                <w:lang w:eastAsia="en-US" w:bidi="sq-AL"/>
              </w:rPr>
              <w:t>Turizmi</w:t>
            </w:r>
          </w:p>
        </w:tc>
        <w:tc>
          <w:tcPr>
            <w:tcW w:w="2877" w:type="pct"/>
            <w:shd w:val="clear" w:color="auto" w:fill="E0F4F4"/>
            <w:vAlign w:val="center"/>
          </w:tcPr>
          <w:p w14:paraId="3FDBBCBE" w14:textId="77777777" w:rsidR="00622884" w:rsidRPr="00622884" w:rsidRDefault="00622884" w:rsidP="00622884">
            <w:pPr>
              <w:spacing w:after="0" w:line="240" w:lineRule="auto"/>
              <w:jc w:val="left"/>
              <w:rPr>
                <w:rFonts w:ascii="Garamond" w:eastAsia="Calibri" w:hAnsi="Garamond" w:cs="Calibri Light"/>
                <w:sz w:val="14"/>
                <w:szCs w:val="14"/>
                <w:u w:val="single"/>
                <w:lang w:eastAsia="en-US"/>
              </w:rPr>
            </w:pPr>
            <w:r w:rsidRPr="00622884">
              <w:rPr>
                <w:rFonts w:ascii="Garamond" w:eastAsia="SimSun" w:hAnsi="Garamond" w:cs="Times New Roman"/>
                <w:sz w:val="14"/>
                <w:szCs w:val="14"/>
                <w:lang w:eastAsia="en-US" w:bidi="sq-AL"/>
              </w:rPr>
              <w:t xml:space="preserve">Forcimi i kuadrit politik dhe rregullator për turizmin e qëndrueshëm: Rishikimi i politikave dhe përmirësimi rregullator </w:t>
            </w:r>
          </w:p>
        </w:tc>
        <w:tc>
          <w:tcPr>
            <w:tcW w:w="485" w:type="pct"/>
            <w:shd w:val="clear" w:color="auto" w:fill="E0F4F4"/>
            <w:vAlign w:val="center"/>
          </w:tcPr>
          <w:p w14:paraId="6BE4AA19" w14:textId="77777777" w:rsidR="00622884" w:rsidRPr="00622884" w:rsidRDefault="00622884" w:rsidP="00622884">
            <w:pPr>
              <w:spacing w:after="0" w:line="240" w:lineRule="auto"/>
              <w:jc w:val="center"/>
              <w:rPr>
                <w:rFonts w:ascii="Garamond" w:eastAsia="Calibri" w:hAnsi="Garamond" w:cs="Calibri Light"/>
                <w:sz w:val="14"/>
                <w:szCs w:val="14"/>
                <w:lang w:eastAsia="en-US"/>
              </w:rPr>
            </w:pPr>
            <w:r w:rsidRPr="00622884">
              <w:rPr>
                <w:rFonts w:ascii="Garamond" w:eastAsia="SimSun" w:hAnsi="Garamond" w:cs="Times New Roman"/>
                <w:sz w:val="14"/>
                <w:szCs w:val="14"/>
                <w:lang w:eastAsia="en-US" w:bidi="sq-AL"/>
              </w:rPr>
              <w:t>Masë e butë</w:t>
            </w:r>
          </w:p>
        </w:tc>
        <w:tc>
          <w:tcPr>
            <w:tcW w:w="613" w:type="pct"/>
            <w:shd w:val="clear" w:color="auto" w:fill="E0F4F4"/>
            <w:vAlign w:val="center"/>
          </w:tcPr>
          <w:p w14:paraId="3E5E828F" w14:textId="77777777" w:rsidR="00622884" w:rsidRPr="00622884" w:rsidRDefault="00622884" w:rsidP="00622884">
            <w:pPr>
              <w:spacing w:after="0" w:line="240" w:lineRule="auto"/>
              <w:jc w:val="center"/>
              <w:rPr>
                <w:rFonts w:ascii="Garamond" w:eastAsia="Calibri" w:hAnsi="Garamond" w:cs="Calibri Light"/>
                <w:sz w:val="14"/>
                <w:szCs w:val="14"/>
                <w:lang w:eastAsia="en-US"/>
              </w:rPr>
            </w:pPr>
            <w:r w:rsidRPr="00622884">
              <w:rPr>
                <w:rFonts w:ascii="Garamond" w:eastAsia="SimSun" w:hAnsi="Garamond" w:cs="Times New Roman"/>
                <w:sz w:val="14"/>
                <w:szCs w:val="14"/>
                <w:lang w:eastAsia="en-US" w:bidi="sq-AL"/>
              </w:rPr>
              <w:t>120.500</w:t>
            </w:r>
          </w:p>
        </w:tc>
        <w:tc>
          <w:tcPr>
            <w:tcW w:w="272" w:type="pct"/>
            <w:shd w:val="clear" w:color="auto" w:fill="E0F4F4"/>
            <w:vAlign w:val="center"/>
          </w:tcPr>
          <w:p w14:paraId="4AC37CFE" w14:textId="77777777" w:rsidR="00622884" w:rsidRPr="00622884" w:rsidRDefault="00622884" w:rsidP="00622884">
            <w:pPr>
              <w:spacing w:after="0" w:line="240" w:lineRule="auto"/>
              <w:jc w:val="center"/>
              <w:rPr>
                <w:rFonts w:ascii="Garamond" w:eastAsia="Calibri" w:hAnsi="Garamond" w:cs="Calibri Light"/>
                <w:sz w:val="14"/>
                <w:szCs w:val="14"/>
                <w:lang w:eastAsia="en-US"/>
              </w:rPr>
            </w:pPr>
            <w:r w:rsidRPr="00622884">
              <w:rPr>
                <w:rFonts w:ascii="Garamond" w:eastAsia="SimSun" w:hAnsi="Garamond" w:cs="Times New Roman"/>
                <w:sz w:val="14"/>
                <w:szCs w:val="14"/>
                <w:lang w:eastAsia="en-US" w:bidi="sq-AL"/>
              </w:rPr>
              <w:t>ASH</w:t>
            </w:r>
          </w:p>
        </w:tc>
      </w:tr>
      <w:tr w:rsidR="00622884" w:rsidRPr="00622884" w14:paraId="66826166" w14:textId="77777777" w:rsidTr="00622884">
        <w:trPr>
          <w:trHeight w:val="20"/>
          <w:jc w:val="center"/>
        </w:trPr>
        <w:tc>
          <w:tcPr>
            <w:tcW w:w="177" w:type="pct"/>
            <w:shd w:val="clear" w:color="auto" w:fill="E0F4F4"/>
            <w:vAlign w:val="center"/>
          </w:tcPr>
          <w:p w14:paraId="16431D7A" w14:textId="77777777" w:rsidR="00622884" w:rsidRPr="00622884" w:rsidRDefault="00622884" w:rsidP="00622884">
            <w:pPr>
              <w:spacing w:after="0" w:line="240" w:lineRule="auto"/>
              <w:jc w:val="center"/>
              <w:rPr>
                <w:rFonts w:ascii="Garamond" w:eastAsia="Calibri" w:hAnsi="Garamond" w:cs="Calibri Light"/>
                <w:b/>
                <w:bCs/>
                <w:sz w:val="14"/>
                <w:szCs w:val="14"/>
                <w:lang w:eastAsia="en-US"/>
              </w:rPr>
            </w:pPr>
            <w:r w:rsidRPr="00622884">
              <w:rPr>
                <w:rFonts w:ascii="Garamond" w:eastAsia="SimSun" w:hAnsi="Garamond" w:cs="Times New Roman"/>
                <w:b/>
                <w:sz w:val="14"/>
                <w:szCs w:val="14"/>
                <w:lang w:eastAsia="en-US" w:bidi="sq-AL"/>
              </w:rPr>
              <w:t>37</w:t>
            </w:r>
          </w:p>
        </w:tc>
        <w:tc>
          <w:tcPr>
            <w:tcW w:w="576" w:type="pct"/>
            <w:shd w:val="clear" w:color="auto" w:fill="E0F4F4"/>
            <w:vAlign w:val="center"/>
          </w:tcPr>
          <w:p w14:paraId="27CE8792" w14:textId="77777777" w:rsidR="00622884" w:rsidRPr="00622884" w:rsidRDefault="00622884" w:rsidP="00622884">
            <w:pPr>
              <w:spacing w:after="0" w:line="240" w:lineRule="auto"/>
              <w:jc w:val="center"/>
              <w:rPr>
                <w:rFonts w:ascii="Garamond" w:eastAsia="Calibri" w:hAnsi="Garamond" w:cs="Calibri Light"/>
                <w:sz w:val="14"/>
                <w:szCs w:val="14"/>
                <w:lang w:eastAsia="en-US"/>
              </w:rPr>
            </w:pPr>
            <w:r w:rsidRPr="00622884">
              <w:rPr>
                <w:rFonts w:ascii="Garamond" w:eastAsia="SimSun" w:hAnsi="Garamond" w:cs="Times New Roman"/>
                <w:sz w:val="14"/>
                <w:szCs w:val="14"/>
                <w:lang w:eastAsia="en-US" w:bidi="sq-AL"/>
              </w:rPr>
              <w:t>Turizmi</w:t>
            </w:r>
          </w:p>
        </w:tc>
        <w:tc>
          <w:tcPr>
            <w:tcW w:w="2877" w:type="pct"/>
            <w:shd w:val="clear" w:color="auto" w:fill="E0F4F4"/>
            <w:vAlign w:val="center"/>
          </w:tcPr>
          <w:p w14:paraId="3933B2FF" w14:textId="77777777" w:rsidR="00622884" w:rsidRPr="00622884" w:rsidRDefault="00622884" w:rsidP="00622884">
            <w:pPr>
              <w:spacing w:after="0" w:line="240" w:lineRule="auto"/>
              <w:jc w:val="left"/>
              <w:rPr>
                <w:rFonts w:ascii="Garamond" w:eastAsia="Calibri" w:hAnsi="Garamond" w:cs="Calibri Light"/>
                <w:sz w:val="14"/>
                <w:szCs w:val="14"/>
                <w:u w:val="single"/>
                <w:lang w:eastAsia="en-US"/>
              </w:rPr>
            </w:pPr>
            <w:r w:rsidRPr="00622884">
              <w:rPr>
                <w:rFonts w:ascii="Garamond" w:eastAsia="SimSun" w:hAnsi="Garamond" w:cs="Times New Roman"/>
                <w:sz w:val="14"/>
                <w:szCs w:val="14"/>
                <w:lang w:eastAsia="en-US" w:bidi="sq-AL"/>
              </w:rPr>
              <w:t>Integrimi i të dhënave klimatike për turizëm të qëndrueshëm: Udhëzimet për menaxhimin e qëndrueshëm të biznesit dhe raportimin kombëtar</w:t>
            </w:r>
          </w:p>
        </w:tc>
        <w:tc>
          <w:tcPr>
            <w:tcW w:w="485" w:type="pct"/>
            <w:shd w:val="clear" w:color="auto" w:fill="E0F4F4"/>
            <w:vAlign w:val="center"/>
          </w:tcPr>
          <w:p w14:paraId="0F66BB01" w14:textId="77777777" w:rsidR="00622884" w:rsidRPr="00622884" w:rsidRDefault="00622884" w:rsidP="00622884">
            <w:pPr>
              <w:spacing w:after="0" w:line="240" w:lineRule="auto"/>
              <w:jc w:val="center"/>
              <w:rPr>
                <w:rFonts w:ascii="Garamond" w:eastAsia="Calibri" w:hAnsi="Garamond" w:cs="Calibri Light"/>
                <w:sz w:val="14"/>
                <w:szCs w:val="14"/>
                <w:lang w:eastAsia="en-US"/>
              </w:rPr>
            </w:pPr>
            <w:r w:rsidRPr="00622884">
              <w:rPr>
                <w:rFonts w:ascii="Garamond" w:eastAsia="SimSun" w:hAnsi="Garamond" w:cs="Times New Roman"/>
                <w:sz w:val="14"/>
                <w:szCs w:val="14"/>
                <w:lang w:eastAsia="en-US" w:bidi="sq-AL"/>
              </w:rPr>
              <w:t>Masë e butë</w:t>
            </w:r>
          </w:p>
        </w:tc>
        <w:tc>
          <w:tcPr>
            <w:tcW w:w="613" w:type="pct"/>
            <w:shd w:val="clear" w:color="auto" w:fill="E0F4F4"/>
            <w:vAlign w:val="center"/>
          </w:tcPr>
          <w:p w14:paraId="7320CB16" w14:textId="77777777" w:rsidR="00622884" w:rsidRPr="00622884" w:rsidRDefault="00622884" w:rsidP="00622884">
            <w:pPr>
              <w:spacing w:after="0" w:line="240" w:lineRule="auto"/>
              <w:jc w:val="center"/>
              <w:rPr>
                <w:rFonts w:ascii="Garamond" w:eastAsia="Calibri" w:hAnsi="Garamond" w:cs="Calibri Light"/>
                <w:sz w:val="14"/>
                <w:szCs w:val="14"/>
                <w:lang w:eastAsia="en-US"/>
              </w:rPr>
            </w:pPr>
            <w:r w:rsidRPr="00622884">
              <w:rPr>
                <w:rFonts w:ascii="Garamond" w:eastAsia="SimSun" w:hAnsi="Garamond" w:cs="Times New Roman"/>
                <w:sz w:val="14"/>
                <w:szCs w:val="14"/>
                <w:lang w:eastAsia="en-US" w:bidi="sq-AL"/>
              </w:rPr>
              <w:t>290.000</w:t>
            </w:r>
          </w:p>
        </w:tc>
        <w:tc>
          <w:tcPr>
            <w:tcW w:w="272" w:type="pct"/>
            <w:shd w:val="clear" w:color="auto" w:fill="E0F4F4"/>
            <w:vAlign w:val="center"/>
          </w:tcPr>
          <w:p w14:paraId="4C1BEDE6" w14:textId="77777777" w:rsidR="00622884" w:rsidRPr="00622884" w:rsidRDefault="00622884" w:rsidP="00622884">
            <w:pPr>
              <w:spacing w:after="0" w:line="240" w:lineRule="auto"/>
              <w:jc w:val="center"/>
              <w:rPr>
                <w:rFonts w:ascii="Garamond" w:eastAsia="Calibri" w:hAnsi="Garamond" w:cs="Calibri Light"/>
                <w:sz w:val="14"/>
                <w:szCs w:val="14"/>
                <w:lang w:eastAsia="en-US"/>
              </w:rPr>
            </w:pPr>
            <w:r w:rsidRPr="00622884">
              <w:rPr>
                <w:rFonts w:ascii="Garamond" w:eastAsia="SimSun" w:hAnsi="Garamond" w:cs="Times New Roman"/>
                <w:sz w:val="14"/>
                <w:szCs w:val="14"/>
                <w:lang w:eastAsia="en-US" w:bidi="sq-AL"/>
              </w:rPr>
              <w:t>ASH</w:t>
            </w:r>
          </w:p>
        </w:tc>
      </w:tr>
      <w:tr w:rsidR="00622884" w:rsidRPr="00622884" w14:paraId="319F03EB" w14:textId="77777777" w:rsidTr="00622884">
        <w:trPr>
          <w:trHeight w:val="20"/>
          <w:jc w:val="center"/>
        </w:trPr>
        <w:tc>
          <w:tcPr>
            <w:tcW w:w="177" w:type="pct"/>
            <w:shd w:val="clear" w:color="auto" w:fill="E0F4F4"/>
            <w:vAlign w:val="center"/>
          </w:tcPr>
          <w:p w14:paraId="32DF85E2" w14:textId="77777777" w:rsidR="00622884" w:rsidRPr="00622884" w:rsidRDefault="00622884" w:rsidP="00622884">
            <w:pPr>
              <w:spacing w:after="0" w:line="240" w:lineRule="auto"/>
              <w:jc w:val="center"/>
              <w:rPr>
                <w:rFonts w:ascii="Garamond" w:eastAsia="Calibri" w:hAnsi="Garamond" w:cs="Calibri Light"/>
                <w:b/>
                <w:bCs/>
                <w:sz w:val="14"/>
                <w:szCs w:val="14"/>
                <w:lang w:eastAsia="en-US"/>
              </w:rPr>
            </w:pPr>
            <w:r w:rsidRPr="00622884">
              <w:rPr>
                <w:rFonts w:ascii="Garamond" w:eastAsia="SimSun" w:hAnsi="Garamond" w:cs="Times New Roman"/>
                <w:b/>
                <w:sz w:val="14"/>
                <w:szCs w:val="14"/>
                <w:lang w:eastAsia="en-US" w:bidi="sq-AL"/>
              </w:rPr>
              <w:t>38</w:t>
            </w:r>
          </w:p>
        </w:tc>
        <w:tc>
          <w:tcPr>
            <w:tcW w:w="576" w:type="pct"/>
            <w:shd w:val="clear" w:color="auto" w:fill="E0F4F4"/>
            <w:vAlign w:val="center"/>
          </w:tcPr>
          <w:p w14:paraId="4420044C" w14:textId="77777777" w:rsidR="00622884" w:rsidRPr="00622884" w:rsidRDefault="00622884" w:rsidP="00622884">
            <w:pPr>
              <w:spacing w:after="0" w:line="240" w:lineRule="auto"/>
              <w:jc w:val="center"/>
              <w:rPr>
                <w:rFonts w:ascii="Garamond" w:eastAsia="Calibri" w:hAnsi="Garamond" w:cs="Calibri Light"/>
                <w:sz w:val="14"/>
                <w:szCs w:val="14"/>
                <w:lang w:eastAsia="en-US"/>
              </w:rPr>
            </w:pPr>
            <w:r w:rsidRPr="00622884">
              <w:rPr>
                <w:rFonts w:ascii="Garamond" w:eastAsia="SimSun" w:hAnsi="Garamond" w:cs="Times New Roman"/>
                <w:sz w:val="14"/>
                <w:szCs w:val="14"/>
                <w:lang w:eastAsia="en-US" w:bidi="sq-AL"/>
              </w:rPr>
              <w:t>Turizmi</w:t>
            </w:r>
          </w:p>
        </w:tc>
        <w:tc>
          <w:tcPr>
            <w:tcW w:w="2877" w:type="pct"/>
            <w:shd w:val="clear" w:color="auto" w:fill="E0F4F4"/>
            <w:vAlign w:val="center"/>
          </w:tcPr>
          <w:p w14:paraId="1B519F3E" w14:textId="77777777" w:rsidR="00622884" w:rsidRPr="00622884" w:rsidRDefault="00622884" w:rsidP="00622884">
            <w:pPr>
              <w:spacing w:after="0" w:line="240" w:lineRule="auto"/>
              <w:jc w:val="left"/>
              <w:rPr>
                <w:rFonts w:ascii="Garamond" w:eastAsia="Calibri" w:hAnsi="Garamond" w:cs="Calibri Light"/>
                <w:sz w:val="14"/>
                <w:szCs w:val="14"/>
                <w:u w:val="single"/>
                <w:lang w:eastAsia="en-US"/>
              </w:rPr>
            </w:pPr>
            <w:r w:rsidRPr="00622884">
              <w:rPr>
                <w:rFonts w:ascii="Garamond" w:eastAsia="SimSun" w:hAnsi="Garamond" w:cs="Times New Roman"/>
                <w:sz w:val="14"/>
                <w:szCs w:val="14"/>
                <w:lang w:eastAsia="en-US" w:bidi="sq-AL"/>
              </w:rPr>
              <w:t>Mbrojtja e infrastrukturës turistike nga ndryshimet klimatike: Projektime përshtatëse për zbutjen e risqeve klimatike</w:t>
            </w:r>
          </w:p>
        </w:tc>
        <w:tc>
          <w:tcPr>
            <w:tcW w:w="485" w:type="pct"/>
            <w:shd w:val="clear" w:color="auto" w:fill="E0F4F4"/>
            <w:vAlign w:val="center"/>
          </w:tcPr>
          <w:p w14:paraId="2556D9E1" w14:textId="77777777" w:rsidR="00622884" w:rsidRPr="00622884" w:rsidRDefault="00622884" w:rsidP="00622884">
            <w:pPr>
              <w:spacing w:after="0" w:line="240" w:lineRule="auto"/>
              <w:jc w:val="center"/>
              <w:rPr>
                <w:rFonts w:ascii="Garamond" w:eastAsia="Calibri" w:hAnsi="Garamond" w:cs="Calibri Light"/>
                <w:sz w:val="14"/>
                <w:szCs w:val="14"/>
                <w:lang w:eastAsia="en-US"/>
              </w:rPr>
            </w:pPr>
            <w:r w:rsidRPr="00622884">
              <w:rPr>
                <w:rFonts w:ascii="Garamond" w:eastAsia="SimSun" w:hAnsi="Garamond" w:cs="Times New Roman"/>
                <w:sz w:val="14"/>
                <w:szCs w:val="14"/>
                <w:lang w:eastAsia="en-US" w:bidi="sq-AL"/>
              </w:rPr>
              <w:t>Zona gri</w:t>
            </w:r>
          </w:p>
        </w:tc>
        <w:tc>
          <w:tcPr>
            <w:tcW w:w="613" w:type="pct"/>
            <w:shd w:val="clear" w:color="auto" w:fill="E0F4F4"/>
            <w:vAlign w:val="center"/>
          </w:tcPr>
          <w:p w14:paraId="0FF143BD" w14:textId="77777777" w:rsidR="00622884" w:rsidRPr="00622884" w:rsidRDefault="00622884" w:rsidP="00622884">
            <w:pPr>
              <w:spacing w:after="0" w:line="240" w:lineRule="auto"/>
              <w:jc w:val="center"/>
              <w:rPr>
                <w:rFonts w:ascii="Garamond" w:eastAsia="Calibri" w:hAnsi="Garamond" w:cs="Calibri Light"/>
                <w:sz w:val="14"/>
                <w:szCs w:val="14"/>
                <w:lang w:eastAsia="en-US"/>
              </w:rPr>
            </w:pPr>
            <w:r w:rsidRPr="00622884">
              <w:rPr>
                <w:rFonts w:ascii="Garamond" w:eastAsia="SimSun" w:hAnsi="Garamond" w:cs="Times New Roman"/>
                <w:sz w:val="14"/>
                <w:szCs w:val="14"/>
                <w:lang w:eastAsia="en-US" w:bidi="sq-AL"/>
              </w:rPr>
              <w:t>TBC</w:t>
            </w:r>
          </w:p>
        </w:tc>
        <w:tc>
          <w:tcPr>
            <w:tcW w:w="272" w:type="pct"/>
            <w:shd w:val="clear" w:color="auto" w:fill="E0F4F4"/>
            <w:vAlign w:val="center"/>
          </w:tcPr>
          <w:p w14:paraId="35C06993" w14:textId="77777777" w:rsidR="00622884" w:rsidRPr="00622884" w:rsidRDefault="00622884" w:rsidP="00622884">
            <w:pPr>
              <w:spacing w:after="0" w:line="240" w:lineRule="auto"/>
              <w:jc w:val="center"/>
              <w:rPr>
                <w:rFonts w:ascii="Garamond" w:eastAsia="Calibri" w:hAnsi="Garamond" w:cs="Calibri Light"/>
                <w:sz w:val="14"/>
                <w:szCs w:val="14"/>
                <w:lang w:eastAsia="en-US"/>
              </w:rPr>
            </w:pPr>
            <w:r w:rsidRPr="00622884">
              <w:rPr>
                <w:rFonts w:ascii="Garamond" w:eastAsia="SimSun" w:hAnsi="Garamond" w:cs="Times New Roman"/>
                <w:sz w:val="14"/>
                <w:szCs w:val="14"/>
                <w:lang w:eastAsia="en-US" w:bidi="sq-AL"/>
              </w:rPr>
              <w:t>ASH</w:t>
            </w:r>
          </w:p>
        </w:tc>
      </w:tr>
      <w:tr w:rsidR="00622884" w:rsidRPr="00622884" w14:paraId="7502E1DF" w14:textId="77777777" w:rsidTr="00622884">
        <w:trPr>
          <w:trHeight w:val="20"/>
          <w:jc w:val="center"/>
        </w:trPr>
        <w:tc>
          <w:tcPr>
            <w:tcW w:w="177" w:type="pct"/>
            <w:shd w:val="clear" w:color="auto" w:fill="E0F4F4"/>
            <w:vAlign w:val="center"/>
          </w:tcPr>
          <w:p w14:paraId="3C662E34" w14:textId="77777777" w:rsidR="00622884" w:rsidRPr="00622884" w:rsidRDefault="00622884" w:rsidP="00622884">
            <w:pPr>
              <w:spacing w:after="0" w:line="240" w:lineRule="auto"/>
              <w:jc w:val="center"/>
              <w:rPr>
                <w:rFonts w:ascii="Garamond" w:eastAsia="Calibri" w:hAnsi="Garamond" w:cs="Calibri Light"/>
                <w:b/>
                <w:bCs/>
                <w:sz w:val="14"/>
                <w:szCs w:val="14"/>
                <w:lang w:eastAsia="en-US"/>
              </w:rPr>
            </w:pPr>
            <w:r w:rsidRPr="00622884">
              <w:rPr>
                <w:rFonts w:ascii="Garamond" w:eastAsia="SimSun" w:hAnsi="Garamond" w:cs="Times New Roman"/>
                <w:b/>
                <w:sz w:val="14"/>
                <w:szCs w:val="14"/>
                <w:lang w:eastAsia="en-US" w:bidi="sq-AL"/>
              </w:rPr>
              <w:lastRenderedPageBreak/>
              <w:t>39</w:t>
            </w:r>
          </w:p>
        </w:tc>
        <w:tc>
          <w:tcPr>
            <w:tcW w:w="576" w:type="pct"/>
            <w:shd w:val="clear" w:color="auto" w:fill="E0F4F4"/>
            <w:vAlign w:val="center"/>
          </w:tcPr>
          <w:p w14:paraId="370766F2" w14:textId="77777777" w:rsidR="00622884" w:rsidRPr="00622884" w:rsidRDefault="00622884" w:rsidP="00622884">
            <w:pPr>
              <w:spacing w:after="0" w:line="240" w:lineRule="auto"/>
              <w:jc w:val="center"/>
              <w:rPr>
                <w:rFonts w:ascii="Garamond" w:eastAsia="Calibri" w:hAnsi="Garamond" w:cs="Calibri Light"/>
                <w:sz w:val="14"/>
                <w:szCs w:val="14"/>
                <w:lang w:eastAsia="en-US"/>
              </w:rPr>
            </w:pPr>
            <w:r w:rsidRPr="00622884">
              <w:rPr>
                <w:rFonts w:ascii="Garamond" w:eastAsia="SimSun" w:hAnsi="Garamond" w:cs="Times New Roman"/>
                <w:sz w:val="14"/>
                <w:szCs w:val="14"/>
                <w:lang w:eastAsia="en-US" w:bidi="sq-AL"/>
              </w:rPr>
              <w:t>Turizmi</w:t>
            </w:r>
          </w:p>
        </w:tc>
        <w:tc>
          <w:tcPr>
            <w:tcW w:w="2877" w:type="pct"/>
            <w:shd w:val="clear" w:color="auto" w:fill="E0F4F4"/>
            <w:vAlign w:val="center"/>
          </w:tcPr>
          <w:p w14:paraId="32051487" w14:textId="77777777" w:rsidR="00622884" w:rsidRPr="00622884" w:rsidRDefault="00622884" w:rsidP="00622884">
            <w:pPr>
              <w:spacing w:after="0" w:line="240" w:lineRule="auto"/>
              <w:jc w:val="left"/>
              <w:rPr>
                <w:rFonts w:ascii="Garamond" w:eastAsia="Calibri" w:hAnsi="Garamond" w:cs="Calibri Light"/>
                <w:sz w:val="14"/>
                <w:szCs w:val="14"/>
                <w:u w:val="single"/>
                <w:lang w:eastAsia="en-US"/>
              </w:rPr>
            </w:pPr>
            <w:r w:rsidRPr="00622884">
              <w:rPr>
                <w:rFonts w:ascii="Garamond" w:eastAsia="SimSun" w:hAnsi="Garamond" w:cs="Times New Roman"/>
                <w:sz w:val="14"/>
                <w:szCs w:val="14"/>
                <w:lang w:eastAsia="en-US" w:bidi="sq-AL"/>
              </w:rPr>
              <w:t>Mbrojtja e zonave bregdetare: Rregullore të integruara, planifikim dhe menaxhim për aftësitë ripërtëritëse ndaj ndryshimeve klimatike dhe zhvillimin e qëndrueshëm</w:t>
            </w:r>
          </w:p>
        </w:tc>
        <w:tc>
          <w:tcPr>
            <w:tcW w:w="485" w:type="pct"/>
            <w:shd w:val="clear" w:color="auto" w:fill="E0F4F4"/>
            <w:vAlign w:val="center"/>
          </w:tcPr>
          <w:p w14:paraId="07F144E1" w14:textId="77777777" w:rsidR="00622884" w:rsidRPr="00622884" w:rsidRDefault="00622884" w:rsidP="00622884">
            <w:pPr>
              <w:spacing w:after="0" w:line="240" w:lineRule="auto"/>
              <w:jc w:val="center"/>
              <w:rPr>
                <w:rFonts w:ascii="Garamond" w:eastAsia="Calibri" w:hAnsi="Garamond" w:cs="Calibri Light"/>
                <w:sz w:val="14"/>
                <w:szCs w:val="14"/>
                <w:lang w:eastAsia="en-US"/>
              </w:rPr>
            </w:pPr>
            <w:r w:rsidRPr="00622884">
              <w:rPr>
                <w:rFonts w:ascii="Garamond" w:eastAsia="SimSun" w:hAnsi="Garamond" w:cs="Times New Roman"/>
                <w:sz w:val="14"/>
                <w:szCs w:val="14"/>
                <w:lang w:eastAsia="en-US" w:bidi="sq-AL"/>
              </w:rPr>
              <w:t xml:space="preserve">Masë e butë </w:t>
            </w:r>
          </w:p>
        </w:tc>
        <w:tc>
          <w:tcPr>
            <w:tcW w:w="613" w:type="pct"/>
            <w:shd w:val="clear" w:color="auto" w:fill="E0F4F4"/>
            <w:vAlign w:val="center"/>
          </w:tcPr>
          <w:p w14:paraId="4DEC2A4E" w14:textId="77777777" w:rsidR="00622884" w:rsidRPr="00622884" w:rsidRDefault="00622884" w:rsidP="00622884">
            <w:pPr>
              <w:spacing w:after="0" w:line="240" w:lineRule="auto"/>
              <w:jc w:val="center"/>
              <w:rPr>
                <w:rFonts w:ascii="Garamond" w:eastAsia="Calibri" w:hAnsi="Garamond" w:cs="Calibri Light"/>
                <w:sz w:val="14"/>
                <w:szCs w:val="14"/>
                <w:lang w:eastAsia="en-US"/>
              </w:rPr>
            </w:pPr>
            <w:r w:rsidRPr="00622884">
              <w:rPr>
                <w:rFonts w:ascii="Garamond" w:eastAsia="SimSun" w:hAnsi="Garamond" w:cs="Times New Roman"/>
                <w:sz w:val="14"/>
                <w:szCs w:val="14"/>
                <w:lang w:eastAsia="en-US" w:bidi="sq-AL"/>
              </w:rPr>
              <w:t>657.000</w:t>
            </w:r>
          </w:p>
        </w:tc>
        <w:tc>
          <w:tcPr>
            <w:tcW w:w="272" w:type="pct"/>
            <w:shd w:val="clear" w:color="auto" w:fill="E0F4F4"/>
            <w:vAlign w:val="center"/>
          </w:tcPr>
          <w:p w14:paraId="781FBF82" w14:textId="77777777" w:rsidR="00622884" w:rsidRPr="00622884" w:rsidRDefault="00622884" w:rsidP="00622884">
            <w:pPr>
              <w:spacing w:after="0" w:line="240" w:lineRule="auto"/>
              <w:jc w:val="center"/>
              <w:rPr>
                <w:rFonts w:ascii="Garamond" w:eastAsia="Calibri" w:hAnsi="Garamond" w:cs="Calibri Light"/>
                <w:sz w:val="14"/>
                <w:szCs w:val="14"/>
                <w:lang w:eastAsia="en-US"/>
              </w:rPr>
            </w:pPr>
            <w:r w:rsidRPr="00622884">
              <w:rPr>
                <w:rFonts w:ascii="Garamond" w:eastAsia="SimSun" w:hAnsi="Garamond" w:cs="Times New Roman"/>
                <w:sz w:val="14"/>
                <w:szCs w:val="14"/>
                <w:lang w:eastAsia="en-US" w:bidi="sq-AL"/>
              </w:rPr>
              <w:t>AM</w:t>
            </w:r>
          </w:p>
        </w:tc>
      </w:tr>
      <w:tr w:rsidR="00622884" w:rsidRPr="00622884" w14:paraId="6B1C7407" w14:textId="77777777" w:rsidTr="00622884">
        <w:trPr>
          <w:trHeight w:val="20"/>
          <w:jc w:val="center"/>
        </w:trPr>
        <w:tc>
          <w:tcPr>
            <w:tcW w:w="177" w:type="pct"/>
            <w:shd w:val="clear" w:color="auto" w:fill="E0F4F4"/>
            <w:vAlign w:val="center"/>
          </w:tcPr>
          <w:p w14:paraId="0AA02DC3" w14:textId="77777777" w:rsidR="00622884" w:rsidRPr="00622884" w:rsidRDefault="00622884" w:rsidP="00622884">
            <w:pPr>
              <w:spacing w:after="0" w:line="240" w:lineRule="auto"/>
              <w:jc w:val="center"/>
              <w:rPr>
                <w:rFonts w:ascii="Garamond" w:eastAsia="Calibri" w:hAnsi="Garamond" w:cs="Calibri Light"/>
                <w:b/>
                <w:bCs/>
                <w:sz w:val="14"/>
                <w:szCs w:val="14"/>
                <w:lang w:eastAsia="en-US"/>
              </w:rPr>
            </w:pPr>
            <w:r w:rsidRPr="00622884">
              <w:rPr>
                <w:rFonts w:ascii="Garamond" w:eastAsia="SimSun" w:hAnsi="Garamond" w:cs="Times New Roman"/>
                <w:b/>
                <w:sz w:val="14"/>
                <w:szCs w:val="14"/>
                <w:lang w:eastAsia="en-US" w:bidi="sq-AL"/>
              </w:rPr>
              <w:t>40</w:t>
            </w:r>
          </w:p>
        </w:tc>
        <w:tc>
          <w:tcPr>
            <w:tcW w:w="576" w:type="pct"/>
            <w:shd w:val="clear" w:color="auto" w:fill="E0F4F4"/>
            <w:vAlign w:val="center"/>
          </w:tcPr>
          <w:p w14:paraId="3E084E28" w14:textId="77777777" w:rsidR="00622884" w:rsidRPr="00622884" w:rsidRDefault="00622884" w:rsidP="00622884">
            <w:pPr>
              <w:spacing w:after="0" w:line="240" w:lineRule="auto"/>
              <w:jc w:val="center"/>
              <w:rPr>
                <w:rFonts w:ascii="Garamond" w:eastAsia="Calibri" w:hAnsi="Garamond" w:cs="Calibri Light"/>
                <w:sz w:val="14"/>
                <w:szCs w:val="14"/>
                <w:lang w:eastAsia="en-US"/>
              </w:rPr>
            </w:pPr>
            <w:r w:rsidRPr="00622884">
              <w:rPr>
                <w:rFonts w:ascii="Garamond" w:eastAsia="SimSun" w:hAnsi="Garamond" w:cs="Times New Roman"/>
                <w:sz w:val="14"/>
                <w:szCs w:val="14"/>
                <w:lang w:eastAsia="en-US" w:bidi="sq-AL"/>
              </w:rPr>
              <w:t>Turizmi</w:t>
            </w:r>
          </w:p>
        </w:tc>
        <w:tc>
          <w:tcPr>
            <w:tcW w:w="2877" w:type="pct"/>
            <w:shd w:val="clear" w:color="auto" w:fill="E0F4F4"/>
            <w:vAlign w:val="center"/>
          </w:tcPr>
          <w:p w14:paraId="5FAB36D6" w14:textId="77777777" w:rsidR="00622884" w:rsidRPr="00622884" w:rsidRDefault="00622884" w:rsidP="00622884">
            <w:pPr>
              <w:spacing w:after="0" w:line="240" w:lineRule="auto"/>
              <w:jc w:val="left"/>
              <w:rPr>
                <w:rFonts w:ascii="Garamond" w:eastAsia="Calibri" w:hAnsi="Garamond" w:cs="Calibri Light"/>
                <w:sz w:val="14"/>
                <w:szCs w:val="14"/>
                <w:u w:val="single"/>
                <w:lang w:eastAsia="en-US"/>
              </w:rPr>
            </w:pPr>
            <w:r w:rsidRPr="00622884">
              <w:rPr>
                <w:rFonts w:ascii="Garamond" w:eastAsia="SimSun" w:hAnsi="Garamond" w:cs="Times New Roman"/>
                <w:sz w:val="14"/>
                <w:szCs w:val="14"/>
                <w:lang w:eastAsia="en-US" w:bidi="sq-AL"/>
              </w:rPr>
              <w:t>Ngritja e kapaciteteve me aftësi ripërtëritëse ndaj ndryshimeve klimatike: Trajnimi i operatorëve turistikë për praktikat e qëndrueshme dhe strategjitë e përshtatjes</w:t>
            </w:r>
          </w:p>
        </w:tc>
        <w:tc>
          <w:tcPr>
            <w:tcW w:w="485" w:type="pct"/>
            <w:shd w:val="clear" w:color="auto" w:fill="E0F4F4"/>
            <w:vAlign w:val="center"/>
          </w:tcPr>
          <w:p w14:paraId="46639592" w14:textId="77777777" w:rsidR="00622884" w:rsidRPr="00622884" w:rsidRDefault="00622884" w:rsidP="00622884">
            <w:pPr>
              <w:spacing w:after="0" w:line="240" w:lineRule="auto"/>
              <w:jc w:val="center"/>
              <w:rPr>
                <w:rFonts w:ascii="Garamond" w:eastAsia="Calibri" w:hAnsi="Garamond" w:cs="Calibri Light"/>
                <w:sz w:val="14"/>
                <w:szCs w:val="14"/>
                <w:lang w:eastAsia="en-US"/>
              </w:rPr>
            </w:pPr>
            <w:r w:rsidRPr="00622884">
              <w:rPr>
                <w:rFonts w:ascii="Garamond" w:eastAsia="SimSun" w:hAnsi="Garamond" w:cs="Times New Roman"/>
                <w:sz w:val="14"/>
                <w:szCs w:val="14"/>
                <w:lang w:eastAsia="en-US" w:bidi="sq-AL"/>
              </w:rPr>
              <w:t>Masë e butë</w:t>
            </w:r>
          </w:p>
        </w:tc>
        <w:tc>
          <w:tcPr>
            <w:tcW w:w="613" w:type="pct"/>
            <w:shd w:val="clear" w:color="auto" w:fill="E0F4F4"/>
            <w:vAlign w:val="center"/>
          </w:tcPr>
          <w:p w14:paraId="756DD61B" w14:textId="77777777" w:rsidR="00622884" w:rsidRPr="00622884" w:rsidRDefault="00622884" w:rsidP="00622884">
            <w:pPr>
              <w:spacing w:after="0" w:line="240" w:lineRule="auto"/>
              <w:jc w:val="center"/>
              <w:rPr>
                <w:rFonts w:ascii="Garamond" w:eastAsia="Calibri" w:hAnsi="Garamond" w:cs="Calibri Light"/>
                <w:sz w:val="14"/>
                <w:szCs w:val="14"/>
                <w:lang w:eastAsia="en-US"/>
              </w:rPr>
            </w:pPr>
            <w:r w:rsidRPr="00622884">
              <w:rPr>
                <w:rFonts w:ascii="Garamond" w:eastAsia="SimSun" w:hAnsi="Garamond" w:cs="Times New Roman"/>
                <w:sz w:val="14"/>
                <w:szCs w:val="14"/>
                <w:lang w:eastAsia="en-US" w:bidi="sq-AL"/>
              </w:rPr>
              <w:t>430.000</w:t>
            </w:r>
          </w:p>
        </w:tc>
        <w:tc>
          <w:tcPr>
            <w:tcW w:w="272" w:type="pct"/>
            <w:shd w:val="clear" w:color="auto" w:fill="E0F4F4"/>
            <w:vAlign w:val="center"/>
          </w:tcPr>
          <w:p w14:paraId="11BBC25F" w14:textId="77777777" w:rsidR="00622884" w:rsidRPr="00622884" w:rsidRDefault="00622884" w:rsidP="00622884">
            <w:pPr>
              <w:spacing w:after="0" w:line="240" w:lineRule="auto"/>
              <w:jc w:val="center"/>
              <w:rPr>
                <w:rFonts w:ascii="Garamond" w:eastAsia="Calibri" w:hAnsi="Garamond" w:cs="Calibri Light"/>
                <w:sz w:val="14"/>
                <w:szCs w:val="14"/>
                <w:lang w:eastAsia="en-US"/>
              </w:rPr>
            </w:pPr>
            <w:r w:rsidRPr="00622884">
              <w:rPr>
                <w:rFonts w:ascii="Garamond" w:eastAsia="SimSun" w:hAnsi="Garamond" w:cs="Times New Roman"/>
                <w:sz w:val="14"/>
                <w:szCs w:val="14"/>
                <w:lang w:eastAsia="en-US" w:bidi="sq-AL"/>
              </w:rPr>
              <w:t>ASH</w:t>
            </w:r>
          </w:p>
        </w:tc>
      </w:tr>
      <w:tr w:rsidR="00622884" w:rsidRPr="00622884" w14:paraId="35AE75DB" w14:textId="77777777" w:rsidTr="00622884">
        <w:trPr>
          <w:trHeight w:val="20"/>
          <w:jc w:val="center"/>
        </w:trPr>
        <w:tc>
          <w:tcPr>
            <w:tcW w:w="177" w:type="pct"/>
            <w:shd w:val="clear" w:color="auto" w:fill="E0F4F4"/>
            <w:vAlign w:val="center"/>
          </w:tcPr>
          <w:p w14:paraId="3D9C0F41" w14:textId="77777777" w:rsidR="00622884" w:rsidRPr="00622884" w:rsidRDefault="00622884" w:rsidP="00622884">
            <w:pPr>
              <w:spacing w:after="0" w:line="240" w:lineRule="auto"/>
              <w:jc w:val="center"/>
              <w:rPr>
                <w:rFonts w:ascii="Garamond" w:eastAsia="Calibri" w:hAnsi="Garamond" w:cs="Calibri Light"/>
                <w:b/>
                <w:bCs/>
                <w:sz w:val="14"/>
                <w:szCs w:val="14"/>
                <w:lang w:eastAsia="en-US"/>
              </w:rPr>
            </w:pPr>
            <w:r w:rsidRPr="00622884">
              <w:rPr>
                <w:rFonts w:ascii="Garamond" w:eastAsia="SimSun" w:hAnsi="Garamond" w:cs="Times New Roman"/>
                <w:b/>
                <w:sz w:val="14"/>
                <w:szCs w:val="14"/>
                <w:lang w:eastAsia="en-US" w:bidi="sq-AL"/>
              </w:rPr>
              <w:t>41</w:t>
            </w:r>
          </w:p>
        </w:tc>
        <w:tc>
          <w:tcPr>
            <w:tcW w:w="576" w:type="pct"/>
            <w:shd w:val="clear" w:color="auto" w:fill="E0F4F4"/>
            <w:vAlign w:val="center"/>
          </w:tcPr>
          <w:p w14:paraId="2701FADE" w14:textId="77777777" w:rsidR="00622884" w:rsidRPr="00622884" w:rsidRDefault="00622884" w:rsidP="00622884">
            <w:pPr>
              <w:spacing w:after="0" w:line="240" w:lineRule="auto"/>
              <w:jc w:val="center"/>
              <w:rPr>
                <w:rFonts w:ascii="Garamond" w:eastAsia="Calibri" w:hAnsi="Garamond" w:cs="Calibri Light"/>
                <w:sz w:val="14"/>
                <w:szCs w:val="14"/>
                <w:lang w:eastAsia="en-US"/>
              </w:rPr>
            </w:pPr>
            <w:r w:rsidRPr="00622884">
              <w:rPr>
                <w:rFonts w:ascii="Garamond" w:eastAsia="SimSun" w:hAnsi="Garamond" w:cs="Times New Roman"/>
                <w:sz w:val="14"/>
                <w:szCs w:val="14"/>
                <w:lang w:eastAsia="en-US" w:bidi="sq-AL"/>
              </w:rPr>
              <w:t>Turizmi</w:t>
            </w:r>
          </w:p>
        </w:tc>
        <w:tc>
          <w:tcPr>
            <w:tcW w:w="2877" w:type="pct"/>
            <w:shd w:val="clear" w:color="auto" w:fill="E0F4F4"/>
            <w:vAlign w:val="center"/>
          </w:tcPr>
          <w:p w14:paraId="1201F0B7" w14:textId="77777777" w:rsidR="00622884" w:rsidRPr="00622884" w:rsidRDefault="00622884" w:rsidP="00622884">
            <w:pPr>
              <w:spacing w:after="0" w:line="240" w:lineRule="auto"/>
              <w:jc w:val="left"/>
              <w:rPr>
                <w:rFonts w:ascii="Garamond" w:eastAsia="Calibri" w:hAnsi="Garamond" w:cs="Calibri Light"/>
                <w:sz w:val="14"/>
                <w:szCs w:val="14"/>
                <w:u w:val="single"/>
                <w:lang w:eastAsia="en-US"/>
              </w:rPr>
            </w:pPr>
            <w:r w:rsidRPr="00622884">
              <w:rPr>
                <w:rFonts w:ascii="Garamond" w:eastAsia="SimSun" w:hAnsi="Garamond" w:cs="Times New Roman"/>
                <w:sz w:val="14"/>
                <w:szCs w:val="14"/>
                <w:lang w:eastAsia="en-US" w:bidi="sq-AL"/>
              </w:rPr>
              <w:t>Qendrat digjitale për turizmin me aftësi ripërtëritëse ndaj ndryshimeve klimatike: Ndarja e njohurive dhe praktikave më të mira</w:t>
            </w:r>
          </w:p>
        </w:tc>
        <w:tc>
          <w:tcPr>
            <w:tcW w:w="485" w:type="pct"/>
            <w:shd w:val="clear" w:color="auto" w:fill="E0F4F4"/>
            <w:vAlign w:val="center"/>
          </w:tcPr>
          <w:p w14:paraId="6F7C5CB1" w14:textId="77777777" w:rsidR="00622884" w:rsidRPr="00622884" w:rsidRDefault="00622884" w:rsidP="00622884">
            <w:pPr>
              <w:spacing w:after="0" w:line="240" w:lineRule="auto"/>
              <w:jc w:val="center"/>
              <w:rPr>
                <w:rFonts w:ascii="Garamond" w:eastAsia="Calibri" w:hAnsi="Garamond" w:cs="Calibri Light"/>
                <w:sz w:val="14"/>
                <w:szCs w:val="14"/>
                <w:lang w:eastAsia="en-US"/>
              </w:rPr>
            </w:pPr>
            <w:r w:rsidRPr="00622884">
              <w:rPr>
                <w:rFonts w:ascii="Garamond" w:eastAsia="SimSun" w:hAnsi="Garamond" w:cs="Times New Roman"/>
                <w:sz w:val="14"/>
                <w:szCs w:val="14"/>
                <w:lang w:eastAsia="en-US" w:bidi="sq-AL"/>
              </w:rPr>
              <w:t>Masë e butë</w:t>
            </w:r>
          </w:p>
        </w:tc>
        <w:tc>
          <w:tcPr>
            <w:tcW w:w="613" w:type="pct"/>
            <w:shd w:val="clear" w:color="auto" w:fill="E0F4F4"/>
            <w:vAlign w:val="center"/>
          </w:tcPr>
          <w:p w14:paraId="10FCE5B2" w14:textId="77777777" w:rsidR="00622884" w:rsidRPr="00622884" w:rsidRDefault="00622884" w:rsidP="00622884">
            <w:pPr>
              <w:spacing w:after="0" w:line="240" w:lineRule="auto"/>
              <w:jc w:val="center"/>
              <w:rPr>
                <w:rFonts w:ascii="Garamond" w:eastAsia="Calibri" w:hAnsi="Garamond" w:cs="Calibri Light"/>
                <w:sz w:val="14"/>
                <w:szCs w:val="14"/>
                <w:lang w:eastAsia="en-US"/>
              </w:rPr>
            </w:pPr>
            <w:r w:rsidRPr="00622884">
              <w:rPr>
                <w:rFonts w:ascii="Garamond" w:eastAsia="SimSun" w:hAnsi="Garamond" w:cs="Times New Roman"/>
                <w:sz w:val="14"/>
                <w:szCs w:val="14"/>
                <w:lang w:eastAsia="en-US" w:bidi="sq-AL"/>
              </w:rPr>
              <w:t>34.000</w:t>
            </w:r>
          </w:p>
        </w:tc>
        <w:tc>
          <w:tcPr>
            <w:tcW w:w="272" w:type="pct"/>
            <w:shd w:val="clear" w:color="auto" w:fill="E0F4F4"/>
            <w:vAlign w:val="center"/>
          </w:tcPr>
          <w:p w14:paraId="510486A6" w14:textId="77777777" w:rsidR="00622884" w:rsidRPr="00622884" w:rsidRDefault="00622884" w:rsidP="00622884">
            <w:pPr>
              <w:spacing w:after="0" w:line="240" w:lineRule="auto"/>
              <w:jc w:val="center"/>
              <w:rPr>
                <w:rFonts w:ascii="Garamond" w:eastAsia="Calibri" w:hAnsi="Garamond" w:cs="Calibri Light"/>
                <w:sz w:val="14"/>
                <w:szCs w:val="14"/>
                <w:lang w:eastAsia="en-US"/>
              </w:rPr>
            </w:pPr>
            <w:r w:rsidRPr="00622884">
              <w:rPr>
                <w:rFonts w:ascii="Garamond" w:eastAsia="SimSun" w:hAnsi="Garamond" w:cs="Times New Roman"/>
                <w:sz w:val="14"/>
                <w:szCs w:val="14"/>
                <w:lang w:eastAsia="en-US" w:bidi="sq-AL"/>
              </w:rPr>
              <w:t>ASH</w:t>
            </w:r>
          </w:p>
        </w:tc>
      </w:tr>
      <w:tr w:rsidR="00622884" w:rsidRPr="00622884" w14:paraId="3A4B4FCC" w14:textId="77777777" w:rsidTr="00622884">
        <w:trPr>
          <w:trHeight w:val="20"/>
          <w:jc w:val="center"/>
        </w:trPr>
        <w:tc>
          <w:tcPr>
            <w:tcW w:w="177" w:type="pct"/>
            <w:shd w:val="clear" w:color="auto" w:fill="E0F4F4"/>
            <w:vAlign w:val="center"/>
          </w:tcPr>
          <w:p w14:paraId="00EC2D73" w14:textId="77777777" w:rsidR="00622884" w:rsidRPr="00622884" w:rsidRDefault="00622884" w:rsidP="00622884">
            <w:pPr>
              <w:spacing w:after="0" w:line="240" w:lineRule="auto"/>
              <w:jc w:val="center"/>
              <w:rPr>
                <w:rFonts w:ascii="Garamond" w:eastAsia="Calibri" w:hAnsi="Garamond" w:cs="Calibri Light"/>
                <w:b/>
                <w:bCs/>
                <w:sz w:val="14"/>
                <w:szCs w:val="14"/>
                <w:lang w:eastAsia="en-US"/>
              </w:rPr>
            </w:pPr>
            <w:r w:rsidRPr="00622884">
              <w:rPr>
                <w:rFonts w:ascii="Garamond" w:eastAsia="SimSun" w:hAnsi="Garamond" w:cs="Times New Roman"/>
                <w:b/>
                <w:sz w:val="14"/>
                <w:szCs w:val="14"/>
                <w:lang w:eastAsia="en-US" w:bidi="sq-AL"/>
              </w:rPr>
              <w:t>42</w:t>
            </w:r>
          </w:p>
        </w:tc>
        <w:tc>
          <w:tcPr>
            <w:tcW w:w="576" w:type="pct"/>
            <w:shd w:val="clear" w:color="auto" w:fill="E0F4F4"/>
            <w:vAlign w:val="center"/>
          </w:tcPr>
          <w:p w14:paraId="7F9854EA" w14:textId="77777777" w:rsidR="00622884" w:rsidRPr="00622884" w:rsidRDefault="00622884" w:rsidP="00622884">
            <w:pPr>
              <w:spacing w:after="0" w:line="240" w:lineRule="auto"/>
              <w:jc w:val="center"/>
              <w:rPr>
                <w:rFonts w:ascii="Garamond" w:eastAsia="Calibri" w:hAnsi="Garamond" w:cs="Calibri Light"/>
                <w:sz w:val="14"/>
                <w:szCs w:val="14"/>
                <w:lang w:eastAsia="en-US"/>
              </w:rPr>
            </w:pPr>
            <w:r w:rsidRPr="00622884">
              <w:rPr>
                <w:rFonts w:ascii="Garamond" w:eastAsia="SimSun" w:hAnsi="Garamond" w:cs="Times New Roman"/>
                <w:sz w:val="14"/>
                <w:szCs w:val="14"/>
                <w:lang w:eastAsia="en-US" w:bidi="sq-AL"/>
              </w:rPr>
              <w:t>Turizmi</w:t>
            </w:r>
          </w:p>
        </w:tc>
        <w:tc>
          <w:tcPr>
            <w:tcW w:w="2877" w:type="pct"/>
            <w:shd w:val="clear" w:color="auto" w:fill="E0F4F4"/>
            <w:vAlign w:val="center"/>
          </w:tcPr>
          <w:p w14:paraId="11FE816F" w14:textId="77777777" w:rsidR="00622884" w:rsidRPr="00622884" w:rsidRDefault="00622884" w:rsidP="00622884">
            <w:pPr>
              <w:spacing w:after="0" w:line="240" w:lineRule="auto"/>
              <w:jc w:val="left"/>
              <w:rPr>
                <w:rFonts w:ascii="Garamond" w:eastAsia="Calibri" w:hAnsi="Garamond" w:cs="Calibri Light"/>
                <w:sz w:val="14"/>
                <w:szCs w:val="14"/>
                <w:u w:val="single"/>
                <w:lang w:eastAsia="en-US"/>
              </w:rPr>
            </w:pPr>
            <w:r w:rsidRPr="00622884">
              <w:rPr>
                <w:rFonts w:ascii="Garamond" w:eastAsia="SimSun" w:hAnsi="Garamond" w:cs="Times New Roman"/>
                <w:sz w:val="14"/>
                <w:szCs w:val="14"/>
                <w:lang w:eastAsia="en-US" w:bidi="sq-AL"/>
              </w:rPr>
              <w:t>Mbrojtja e pasurive turistike dhe trashëgimisë kulturore: Zbatimi i rregulloreve për pasuritë turistike dhe kulturore dhe restaurimi i ekosistemeve për zhvillim të qëndrueshëm</w:t>
            </w:r>
          </w:p>
        </w:tc>
        <w:tc>
          <w:tcPr>
            <w:tcW w:w="485" w:type="pct"/>
            <w:shd w:val="clear" w:color="auto" w:fill="E0F4F4"/>
            <w:vAlign w:val="center"/>
          </w:tcPr>
          <w:p w14:paraId="6BB8380B" w14:textId="77777777" w:rsidR="00622884" w:rsidRPr="00622884" w:rsidRDefault="00622884" w:rsidP="00622884">
            <w:pPr>
              <w:spacing w:after="0" w:line="240" w:lineRule="auto"/>
              <w:jc w:val="center"/>
              <w:rPr>
                <w:rFonts w:ascii="Garamond" w:eastAsia="Calibri" w:hAnsi="Garamond" w:cs="Calibri Light"/>
                <w:sz w:val="14"/>
                <w:szCs w:val="14"/>
                <w:lang w:eastAsia="en-US"/>
              </w:rPr>
            </w:pPr>
            <w:r w:rsidRPr="00622884">
              <w:rPr>
                <w:rFonts w:ascii="Garamond" w:eastAsia="SimSun" w:hAnsi="Garamond" w:cs="Times New Roman"/>
                <w:sz w:val="14"/>
                <w:szCs w:val="14"/>
                <w:lang w:eastAsia="en-US" w:bidi="sq-AL"/>
              </w:rPr>
              <w:t>Masë e butë</w:t>
            </w:r>
          </w:p>
        </w:tc>
        <w:tc>
          <w:tcPr>
            <w:tcW w:w="613" w:type="pct"/>
            <w:shd w:val="clear" w:color="auto" w:fill="E0F4F4"/>
            <w:vAlign w:val="center"/>
          </w:tcPr>
          <w:p w14:paraId="154AEB18" w14:textId="77777777" w:rsidR="00622884" w:rsidRPr="00622884" w:rsidRDefault="00622884" w:rsidP="00622884">
            <w:pPr>
              <w:spacing w:after="0" w:line="240" w:lineRule="auto"/>
              <w:jc w:val="center"/>
              <w:rPr>
                <w:rFonts w:ascii="Garamond" w:eastAsia="Calibri" w:hAnsi="Garamond" w:cs="Calibri Light"/>
                <w:sz w:val="14"/>
                <w:szCs w:val="14"/>
                <w:lang w:eastAsia="en-US"/>
              </w:rPr>
            </w:pPr>
            <w:r w:rsidRPr="00622884">
              <w:rPr>
                <w:rFonts w:ascii="Garamond" w:eastAsia="SimSun" w:hAnsi="Garamond" w:cs="Times New Roman"/>
                <w:sz w:val="14"/>
                <w:szCs w:val="14"/>
                <w:lang w:eastAsia="en-US" w:bidi="sq-AL"/>
              </w:rPr>
              <w:t>1.450.000</w:t>
            </w:r>
          </w:p>
        </w:tc>
        <w:tc>
          <w:tcPr>
            <w:tcW w:w="272" w:type="pct"/>
            <w:shd w:val="clear" w:color="auto" w:fill="E0F4F4"/>
            <w:vAlign w:val="center"/>
          </w:tcPr>
          <w:p w14:paraId="7629BD2D" w14:textId="77777777" w:rsidR="00622884" w:rsidRPr="00622884" w:rsidRDefault="00622884" w:rsidP="00622884">
            <w:pPr>
              <w:spacing w:after="0" w:line="240" w:lineRule="auto"/>
              <w:jc w:val="center"/>
              <w:rPr>
                <w:rFonts w:ascii="Garamond" w:eastAsia="Calibri" w:hAnsi="Garamond" w:cs="Calibri Light"/>
                <w:sz w:val="14"/>
                <w:szCs w:val="14"/>
                <w:lang w:eastAsia="en-US"/>
              </w:rPr>
            </w:pPr>
            <w:r w:rsidRPr="00622884">
              <w:rPr>
                <w:rFonts w:ascii="Garamond" w:eastAsia="SimSun" w:hAnsi="Garamond" w:cs="Times New Roman"/>
                <w:sz w:val="14"/>
                <w:szCs w:val="14"/>
                <w:lang w:eastAsia="en-US" w:bidi="sq-AL"/>
              </w:rPr>
              <w:t>ASH</w:t>
            </w:r>
          </w:p>
        </w:tc>
      </w:tr>
      <w:tr w:rsidR="00622884" w:rsidRPr="00622884" w14:paraId="53963D65" w14:textId="77777777" w:rsidTr="00622884">
        <w:trPr>
          <w:trHeight w:val="20"/>
          <w:jc w:val="center"/>
        </w:trPr>
        <w:tc>
          <w:tcPr>
            <w:tcW w:w="177" w:type="pct"/>
            <w:vAlign w:val="center"/>
          </w:tcPr>
          <w:p w14:paraId="7641270A" w14:textId="77777777" w:rsidR="00622884" w:rsidRPr="00622884" w:rsidRDefault="00622884" w:rsidP="00622884">
            <w:pPr>
              <w:spacing w:after="0" w:line="240" w:lineRule="auto"/>
              <w:jc w:val="center"/>
              <w:rPr>
                <w:rFonts w:ascii="Garamond" w:eastAsia="Calibri" w:hAnsi="Garamond" w:cs="Calibri Light"/>
                <w:b/>
                <w:bCs/>
                <w:sz w:val="14"/>
                <w:szCs w:val="14"/>
                <w:lang w:eastAsia="en-US"/>
              </w:rPr>
            </w:pPr>
            <w:r w:rsidRPr="00622884">
              <w:rPr>
                <w:rFonts w:ascii="Garamond" w:eastAsia="SimSun" w:hAnsi="Garamond" w:cs="Times New Roman"/>
                <w:b/>
                <w:sz w:val="14"/>
                <w:szCs w:val="14"/>
                <w:lang w:eastAsia="en-US" w:bidi="sq-AL"/>
              </w:rPr>
              <w:t>43</w:t>
            </w:r>
          </w:p>
        </w:tc>
        <w:tc>
          <w:tcPr>
            <w:tcW w:w="576" w:type="pct"/>
            <w:vAlign w:val="center"/>
          </w:tcPr>
          <w:p w14:paraId="3C8393FC" w14:textId="77777777" w:rsidR="00622884" w:rsidRPr="00622884" w:rsidRDefault="00622884" w:rsidP="00622884">
            <w:pPr>
              <w:spacing w:after="0" w:line="240" w:lineRule="auto"/>
              <w:jc w:val="center"/>
              <w:rPr>
                <w:rFonts w:ascii="Garamond" w:eastAsia="Calibri" w:hAnsi="Garamond" w:cs="Calibri Light"/>
                <w:sz w:val="14"/>
                <w:szCs w:val="14"/>
                <w:lang w:eastAsia="en-US"/>
              </w:rPr>
            </w:pPr>
            <w:r w:rsidRPr="00622884">
              <w:rPr>
                <w:rFonts w:ascii="Garamond" w:eastAsia="SimSun" w:hAnsi="Garamond" w:cs="Times New Roman"/>
                <w:sz w:val="14"/>
                <w:szCs w:val="14"/>
                <w:lang w:eastAsia="en-US" w:bidi="sq-AL"/>
              </w:rPr>
              <w:t>Zhvillimi urban</w:t>
            </w:r>
          </w:p>
        </w:tc>
        <w:tc>
          <w:tcPr>
            <w:tcW w:w="2877" w:type="pct"/>
            <w:vAlign w:val="center"/>
          </w:tcPr>
          <w:p w14:paraId="1ED0ED03" w14:textId="77777777" w:rsidR="00622884" w:rsidRPr="00622884" w:rsidRDefault="00622884" w:rsidP="00622884">
            <w:pPr>
              <w:spacing w:after="0" w:line="240" w:lineRule="auto"/>
              <w:jc w:val="left"/>
              <w:rPr>
                <w:rFonts w:ascii="Garamond" w:eastAsia="Calibri" w:hAnsi="Garamond" w:cs="Calibri Light"/>
                <w:sz w:val="14"/>
                <w:szCs w:val="14"/>
                <w:lang w:eastAsia="en-US"/>
              </w:rPr>
            </w:pPr>
            <w:r w:rsidRPr="00622884">
              <w:rPr>
                <w:rFonts w:ascii="Garamond" w:eastAsia="SimSun" w:hAnsi="Garamond" w:cs="Times New Roman"/>
                <w:sz w:val="14"/>
                <w:szCs w:val="14"/>
                <w:lang w:eastAsia="en-US" w:bidi="sq-AL"/>
              </w:rPr>
              <w:t>Planifikimi detar dhe territorial për aftësitë ripërtëritëse ndaj ndryshimeve klimatike: Përgatitja për rritjen e nivelit të detit dhe mjediset në ndryshim</w:t>
            </w:r>
          </w:p>
        </w:tc>
        <w:tc>
          <w:tcPr>
            <w:tcW w:w="485" w:type="pct"/>
            <w:vAlign w:val="center"/>
          </w:tcPr>
          <w:p w14:paraId="502143FC" w14:textId="77777777" w:rsidR="00622884" w:rsidRPr="00622884" w:rsidRDefault="00622884" w:rsidP="00622884">
            <w:pPr>
              <w:spacing w:after="0" w:line="240" w:lineRule="auto"/>
              <w:jc w:val="center"/>
              <w:rPr>
                <w:rFonts w:ascii="Garamond" w:eastAsia="Calibri" w:hAnsi="Garamond" w:cs="Calibri Light"/>
                <w:sz w:val="14"/>
                <w:szCs w:val="14"/>
                <w:lang w:eastAsia="en-US"/>
              </w:rPr>
            </w:pPr>
            <w:r w:rsidRPr="00622884">
              <w:rPr>
                <w:rFonts w:ascii="Garamond" w:eastAsia="SimSun" w:hAnsi="Garamond" w:cs="Times New Roman"/>
                <w:sz w:val="14"/>
                <w:szCs w:val="14"/>
                <w:lang w:eastAsia="en-US" w:bidi="sq-AL"/>
              </w:rPr>
              <w:t>Masë e butë</w:t>
            </w:r>
          </w:p>
        </w:tc>
        <w:tc>
          <w:tcPr>
            <w:tcW w:w="613" w:type="pct"/>
            <w:vAlign w:val="center"/>
          </w:tcPr>
          <w:p w14:paraId="273A07B8" w14:textId="77777777" w:rsidR="00622884" w:rsidRPr="00622884" w:rsidRDefault="00622884" w:rsidP="00622884">
            <w:pPr>
              <w:spacing w:after="0" w:line="240" w:lineRule="auto"/>
              <w:jc w:val="center"/>
              <w:rPr>
                <w:rFonts w:ascii="Garamond" w:eastAsia="Calibri" w:hAnsi="Garamond" w:cs="Calibri Light"/>
                <w:sz w:val="14"/>
                <w:szCs w:val="14"/>
                <w:lang w:eastAsia="en-US"/>
              </w:rPr>
            </w:pPr>
            <w:r w:rsidRPr="00622884">
              <w:rPr>
                <w:rFonts w:ascii="Garamond" w:eastAsia="SimSun" w:hAnsi="Garamond" w:cs="Times New Roman"/>
                <w:sz w:val="14"/>
                <w:szCs w:val="14"/>
                <w:lang w:eastAsia="en-US" w:bidi="sq-AL"/>
              </w:rPr>
              <w:t>290.000</w:t>
            </w:r>
          </w:p>
        </w:tc>
        <w:tc>
          <w:tcPr>
            <w:tcW w:w="272" w:type="pct"/>
            <w:vAlign w:val="center"/>
          </w:tcPr>
          <w:p w14:paraId="7846EA44" w14:textId="77777777" w:rsidR="00622884" w:rsidRPr="00622884" w:rsidRDefault="00622884" w:rsidP="00622884">
            <w:pPr>
              <w:spacing w:after="0" w:line="240" w:lineRule="auto"/>
              <w:jc w:val="center"/>
              <w:rPr>
                <w:rFonts w:ascii="Garamond" w:eastAsia="Calibri" w:hAnsi="Garamond" w:cs="Calibri Light"/>
                <w:sz w:val="14"/>
                <w:szCs w:val="14"/>
                <w:lang w:eastAsia="en-US"/>
              </w:rPr>
            </w:pPr>
            <w:r w:rsidRPr="00622884">
              <w:rPr>
                <w:rFonts w:ascii="Garamond" w:eastAsia="SimSun" w:hAnsi="Garamond" w:cs="Times New Roman"/>
                <w:sz w:val="14"/>
                <w:szCs w:val="14"/>
                <w:lang w:eastAsia="en-US" w:bidi="sq-AL"/>
              </w:rPr>
              <w:t>AM</w:t>
            </w:r>
          </w:p>
        </w:tc>
      </w:tr>
      <w:tr w:rsidR="00622884" w:rsidRPr="00622884" w14:paraId="329F4F54" w14:textId="77777777" w:rsidTr="00622884">
        <w:trPr>
          <w:trHeight w:val="20"/>
          <w:jc w:val="center"/>
        </w:trPr>
        <w:tc>
          <w:tcPr>
            <w:tcW w:w="177" w:type="pct"/>
            <w:vAlign w:val="center"/>
          </w:tcPr>
          <w:p w14:paraId="45BE2DEC" w14:textId="77777777" w:rsidR="00622884" w:rsidRPr="00622884" w:rsidRDefault="00622884" w:rsidP="00622884">
            <w:pPr>
              <w:spacing w:after="0" w:line="240" w:lineRule="auto"/>
              <w:jc w:val="center"/>
              <w:rPr>
                <w:rFonts w:ascii="Garamond" w:eastAsia="Calibri" w:hAnsi="Garamond" w:cs="Calibri Light"/>
                <w:b/>
                <w:bCs/>
                <w:sz w:val="14"/>
                <w:szCs w:val="14"/>
                <w:lang w:eastAsia="en-US"/>
              </w:rPr>
            </w:pPr>
            <w:r w:rsidRPr="00622884">
              <w:rPr>
                <w:rFonts w:ascii="Garamond" w:eastAsia="SimSun" w:hAnsi="Garamond" w:cs="Times New Roman"/>
                <w:b/>
                <w:sz w:val="14"/>
                <w:szCs w:val="14"/>
                <w:lang w:eastAsia="en-US" w:bidi="sq-AL"/>
              </w:rPr>
              <w:t>44</w:t>
            </w:r>
          </w:p>
        </w:tc>
        <w:tc>
          <w:tcPr>
            <w:tcW w:w="576" w:type="pct"/>
            <w:vAlign w:val="center"/>
          </w:tcPr>
          <w:p w14:paraId="2BF49598" w14:textId="77777777" w:rsidR="00622884" w:rsidRPr="00622884" w:rsidRDefault="00622884" w:rsidP="00622884">
            <w:pPr>
              <w:spacing w:after="0" w:line="240" w:lineRule="auto"/>
              <w:jc w:val="center"/>
              <w:rPr>
                <w:rFonts w:ascii="Garamond" w:eastAsia="Calibri" w:hAnsi="Garamond" w:cs="Calibri Light"/>
                <w:sz w:val="14"/>
                <w:szCs w:val="14"/>
                <w:lang w:eastAsia="en-US"/>
              </w:rPr>
            </w:pPr>
            <w:r w:rsidRPr="00622884">
              <w:rPr>
                <w:rFonts w:ascii="Garamond" w:eastAsia="SimSun" w:hAnsi="Garamond" w:cs="Times New Roman"/>
                <w:sz w:val="14"/>
                <w:szCs w:val="14"/>
                <w:lang w:eastAsia="en-US" w:bidi="sq-AL"/>
              </w:rPr>
              <w:t>Zhvillimi urban</w:t>
            </w:r>
          </w:p>
        </w:tc>
        <w:tc>
          <w:tcPr>
            <w:tcW w:w="2877" w:type="pct"/>
            <w:vAlign w:val="center"/>
          </w:tcPr>
          <w:p w14:paraId="611BC068" w14:textId="77777777" w:rsidR="00622884" w:rsidRPr="00622884" w:rsidRDefault="00622884" w:rsidP="00622884">
            <w:pPr>
              <w:spacing w:after="0" w:line="240" w:lineRule="auto"/>
              <w:jc w:val="left"/>
              <w:rPr>
                <w:rFonts w:ascii="Garamond" w:eastAsia="Calibri" w:hAnsi="Garamond" w:cs="Calibri Light"/>
                <w:sz w:val="14"/>
                <w:szCs w:val="14"/>
                <w:lang w:eastAsia="en-US"/>
              </w:rPr>
            </w:pPr>
            <w:r w:rsidRPr="00622884">
              <w:rPr>
                <w:rFonts w:ascii="Garamond" w:eastAsia="SimSun" w:hAnsi="Garamond" w:cs="Times New Roman"/>
                <w:sz w:val="14"/>
                <w:szCs w:val="14"/>
                <w:lang w:eastAsia="en-US" w:bidi="sq-AL"/>
              </w:rPr>
              <w:t xml:space="preserve">Planifikimi hapësinor strategjik për uljen e riskut: Ridrejtimi i zhvillimeve dhe menaxhimi i risqeve nga përmbytjet nga ujërat sipërfaqësore </w:t>
            </w:r>
          </w:p>
        </w:tc>
        <w:tc>
          <w:tcPr>
            <w:tcW w:w="485" w:type="pct"/>
            <w:vAlign w:val="center"/>
          </w:tcPr>
          <w:p w14:paraId="00B14DF8" w14:textId="77777777" w:rsidR="00622884" w:rsidRPr="00622884" w:rsidRDefault="00622884" w:rsidP="00622884">
            <w:pPr>
              <w:spacing w:after="0" w:line="240" w:lineRule="auto"/>
              <w:jc w:val="center"/>
              <w:rPr>
                <w:rFonts w:ascii="Garamond" w:eastAsia="Calibri" w:hAnsi="Garamond" w:cs="Calibri Light"/>
                <w:sz w:val="14"/>
                <w:szCs w:val="14"/>
                <w:lang w:eastAsia="en-US"/>
              </w:rPr>
            </w:pPr>
            <w:r w:rsidRPr="00622884">
              <w:rPr>
                <w:rFonts w:ascii="Garamond" w:eastAsia="SimSun" w:hAnsi="Garamond" w:cs="Times New Roman"/>
                <w:sz w:val="14"/>
                <w:szCs w:val="14"/>
                <w:lang w:eastAsia="en-US" w:bidi="sq-AL"/>
              </w:rPr>
              <w:t>Masë e butë</w:t>
            </w:r>
          </w:p>
        </w:tc>
        <w:tc>
          <w:tcPr>
            <w:tcW w:w="613" w:type="pct"/>
            <w:vAlign w:val="center"/>
          </w:tcPr>
          <w:p w14:paraId="2D08E40F" w14:textId="77777777" w:rsidR="00622884" w:rsidRPr="00622884" w:rsidRDefault="00622884" w:rsidP="00622884">
            <w:pPr>
              <w:spacing w:after="0" w:line="240" w:lineRule="auto"/>
              <w:jc w:val="center"/>
              <w:rPr>
                <w:rFonts w:ascii="Garamond" w:eastAsia="Calibri" w:hAnsi="Garamond" w:cs="Calibri Light"/>
                <w:sz w:val="14"/>
                <w:szCs w:val="14"/>
                <w:lang w:eastAsia="en-US"/>
              </w:rPr>
            </w:pPr>
            <w:r w:rsidRPr="00622884">
              <w:rPr>
                <w:rFonts w:ascii="Garamond" w:eastAsia="SimSun" w:hAnsi="Garamond" w:cs="Times New Roman"/>
                <w:sz w:val="14"/>
                <w:szCs w:val="14"/>
                <w:lang w:eastAsia="en-US" w:bidi="sq-AL"/>
              </w:rPr>
              <w:t>3.027.000</w:t>
            </w:r>
          </w:p>
        </w:tc>
        <w:tc>
          <w:tcPr>
            <w:tcW w:w="272" w:type="pct"/>
            <w:vAlign w:val="center"/>
          </w:tcPr>
          <w:p w14:paraId="4921D96F" w14:textId="77777777" w:rsidR="00622884" w:rsidRPr="00622884" w:rsidRDefault="00622884" w:rsidP="00622884">
            <w:pPr>
              <w:spacing w:after="0" w:line="240" w:lineRule="auto"/>
              <w:jc w:val="center"/>
              <w:rPr>
                <w:rFonts w:ascii="Garamond" w:eastAsia="Calibri" w:hAnsi="Garamond" w:cs="Calibri Light"/>
                <w:sz w:val="14"/>
                <w:szCs w:val="14"/>
                <w:lang w:eastAsia="en-US"/>
              </w:rPr>
            </w:pPr>
            <w:r w:rsidRPr="00622884">
              <w:rPr>
                <w:rFonts w:ascii="Garamond" w:eastAsia="SimSun" w:hAnsi="Garamond" w:cs="Times New Roman"/>
                <w:sz w:val="14"/>
                <w:szCs w:val="14"/>
                <w:lang w:eastAsia="en-US" w:bidi="sq-AL"/>
              </w:rPr>
              <w:t>ASH</w:t>
            </w:r>
          </w:p>
        </w:tc>
      </w:tr>
      <w:tr w:rsidR="00622884" w:rsidRPr="00622884" w14:paraId="48981F50" w14:textId="77777777" w:rsidTr="00622884">
        <w:trPr>
          <w:trHeight w:val="20"/>
          <w:jc w:val="center"/>
        </w:trPr>
        <w:tc>
          <w:tcPr>
            <w:tcW w:w="177" w:type="pct"/>
            <w:vAlign w:val="center"/>
          </w:tcPr>
          <w:p w14:paraId="24B31D23" w14:textId="77777777" w:rsidR="00622884" w:rsidRPr="00622884" w:rsidRDefault="00622884" w:rsidP="00622884">
            <w:pPr>
              <w:spacing w:after="0" w:line="240" w:lineRule="auto"/>
              <w:jc w:val="center"/>
              <w:rPr>
                <w:rFonts w:ascii="Garamond" w:eastAsia="Calibri" w:hAnsi="Garamond" w:cs="Calibri Light"/>
                <w:b/>
                <w:bCs/>
                <w:sz w:val="14"/>
                <w:szCs w:val="14"/>
                <w:lang w:eastAsia="en-US"/>
              </w:rPr>
            </w:pPr>
            <w:r w:rsidRPr="00622884">
              <w:rPr>
                <w:rFonts w:ascii="Garamond" w:eastAsia="SimSun" w:hAnsi="Garamond" w:cs="Times New Roman"/>
                <w:b/>
                <w:sz w:val="14"/>
                <w:szCs w:val="14"/>
                <w:lang w:eastAsia="en-US" w:bidi="sq-AL"/>
              </w:rPr>
              <w:t>45</w:t>
            </w:r>
          </w:p>
        </w:tc>
        <w:tc>
          <w:tcPr>
            <w:tcW w:w="576" w:type="pct"/>
            <w:vAlign w:val="center"/>
          </w:tcPr>
          <w:p w14:paraId="06719678" w14:textId="77777777" w:rsidR="00622884" w:rsidRPr="00622884" w:rsidRDefault="00622884" w:rsidP="00622884">
            <w:pPr>
              <w:spacing w:after="0" w:line="240" w:lineRule="auto"/>
              <w:jc w:val="center"/>
              <w:rPr>
                <w:rFonts w:ascii="Garamond" w:eastAsia="Calibri" w:hAnsi="Garamond" w:cs="Calibri Light"/>
                <w:sz w:val="14"/>
                <w:szCs w:val="14"/>
                <w:lang w:eastAsia="en-US"/>
              </w:rPr>
            </w:pPr>
            <w:r w:rsidRPr="00622884">
              <w:rPr>
                <w:rFonts w:ascii="Garamond" w:eastAsia="SimSun" w:hAnsi="Garamond" w:cs="Times New Roman"/>
                <w:sz w:val="14"/>
                <w:szCs w:val="14"/>
                <w:lang w:eastAsia="en-US" w:bidi="sq-AL"/>
              </w:rPr>
              <w:t>Zhvillimi urban</w:t>
            </w:r>
          </w:p>
        </w:tc>
        <w:tc>
          <w:tcPr>
            <w:tcW w:w="2877" w:type="pct"/>
            <w:vAlign w:val="center"/>
          </w:tcPr>
          <w:p w14:paraId="4EA62966" w14:textId="77777777" w:rsidR="00622884" w:rsidRPr="00622884" w:rsidRDefault="00622884" w:rsidP="00622884">
            <w:pPr>
              <w:spacing w:after="0" w:line="240" w:lineRule="auto"/>
              <w:jc w:val="left"/>
              <w:rPr>
                <w:rFonts w:ascii="Garamond" w:eastAsia="Calibri" w:hAnsi="Garamond" w:cs="Calibri Light"/>
                <w:sz w:val="14"/>
                <w:szCs w:val="14"/>
                <w:lang w:eastAsia="en-US"/>
              </w:rPr>
            </w:pPr>
            <w:r w:rsidRPr="00622884">
              <w:rPr>
                <w:rFonts w:ascii="Garamond" w:eastAsia="SimSun" w:hAnsi="Garamond" w:cs="Times New Roman"/>
                <w:sz w:val="14"/>
                <w:szCs w:val="14"/>
                <w:lang w:eastAsia="en-US" w:bidi="sq-AL"/>
              </w:rPr>
              <w:t>Skemat e incentivave për të rritur aftësitë ripërtëritëse të ndërtesave ndaj temperaturave ekstreme</w:t>
            </w:r>
          </w:p>
        </w:tc>
        <w:tc>
          <w:tcPr>
            <w:tcW w:w="485" w:type="pct"/>
            <w:vAlign w:val="center"/>
          </w:tcPr>
          <w:p w14:paraId="578F038C" w14:textId="77777777" w:rsidR="00622884" w:rsidRPr="00622884" w:rsidRDefault="00622884" w:rsidP="00622884">
            <w:pPr>
              <w:spacing w:after="0" w:line="240" w:lineRule="auto"/>
              <w:jc w:val="center"/>
              <w:rPr>
                <w:rFonts w:ascii="Garamond" w:eastAsia="Calibri" w:hAnsi="Garamond" w:cs="Calibri Light"/>
                <w:sz w:val="14"/>
                <w:szCs w:val="14"/>
                <w:lang w:eastAsia="en-US"/>
              </w:rPr>
            </w:pPr>
            <w:r w:rsidRPr="00622884">
              <w:rPr>
                <w:rFonts w:ascii="Garamond" w:eastAsia="SimSun" w:hAnsi="Garamond" w:cs="Times New Roman"/>
                <w:sz w:val="14"/>
                <w:szCs w:val="14"/>
                <w:lang w:eastAsia="en-US" w:bidi="sq-AL"/>
              </w:rPr>
              <w:t>Masë e butë</w:t>
            </w:r>
          </w:p>
        </w:tc>
        <w:tc>
          <w:tcPr>
            <w:tcW w:w="613" w:type="pct"/>
            <w:vAlign w:val="center"/>
          </w:tcPr>
          <w:p w14:paraId="2487F55E" w14:textId="77777777" w:rsidR="00622884" w:rsidRPr="00622884" w:rsidRDefault="00622884" w:rsidP="00622884">
            <w:pPr>
              <w:spacing w:after="0" w:line="240" w:lineRule="auto"/>
              <w:jc w:val="center"/>
              <w:rPr>
                <w:rFonts w:ascii="Garamond" w:eastAsia="Calibri" w:hAnsi="Garamond" w:cs="Calibri Light"/>
                <w:sz w:val="14"/>
                <w:szCs w:val="14"/>
                <w:lang w:eastAsia="en-US"/>
              </w:rPr>
            </w:pPr>
            <w:r w:rsidRPr="00622884">
              <w:rPr>
                <w:rFonts w:ascii="Garamond" w:eastAsia="SimSun" w:hAnsi="Garamond" w:cs="Times New Roman"/>
                <w:sz w:val="14"/>
                <w:szCs w:val="14"/>
                <w:lang w:eastAsia="en-US" w:bidi="sq-AL"/>
              </w:rPr>
              <w:t>2.715.000.000</w:t>
            </w:r>
          </w:p>
        </w:tc>
        <w:tc>
          <w:tcPr>
            <w:tcW w:w="272" w:type="pct"/>
            <w:vAlign w:val="center"/>
          </w:tcPr>
          <w:p w14:paraId="0EDCD305" w14:textId="77777777" w:rsidR="00622884" w:rsidRPr="00622884" w:rsidRDefault="00622884" w:rsidP="00622884">
            <w:pPr>
              <w:spacing w:after="0" w:line="240" w:lineRule="auto"/>
              <w:jc w:val="center"/>
              <w:rPr>
                <w:rFonts w:ascii="Garamond" w:eastAsia="Calibri" w:hAnsi="Garamond" w:cs="Calibri Light"/>
                <w:sz w:val="14"/>
                <w:szCs w:val="14"/>
                <w:lang w:eastAsia="en-US"/>
              </w:rPr>
            </w:pPr>
            <w:r w:rsidRPr="00622884">
              <w:rPr>
                <w:rFonts w:ascii="Garamond" w:eastAsia="SimSun" w:hAnsi="Garamond" w:cs="Times New Roman"/>
                <w:sz w:val="14"/>
                <w:szCs w:val="14"/>
                <w:lang w:eastAsia="en-US" w:bidi="sq-AL"/>
              </w:rPr>
              <w:t>AGJ</w:t>
            </w:r>
          </w:p>
        </w:tc>
      </w:tr>
      <w:tr w:rsidR="00622884" w:rsidRPr="00622884" w14:paraId="0C21BC69" w14:textId="77777777" w:rsidTr="00622884">
        <w:trPr>
          <w:trHeight w:val="20"/>
          <w:jc w:val="center"/>
        </w:trPr>
        <w:tc>
          <w:tcPr>
            <w:tcW w:w="177" w:type="pct"/>
            <w:vAlign w:val="center"/>
          </w:tcPr>
          <w:p w14:paraId="0EF61842" w14:textId="77777777" w:rsidR="00622884" w:rsidRPr="00622884" w:rsidRDefault="00622884" w:rsidP="00622884">
            <w:pPr>
              <w:spacing w:after="0" w:line="240" w:lineRule="auto"/>
              <w:jc w:val="center"/>
              <w:rPr>
                <w:rFonts w:ascii="Garamond" w:eastAsia="Calibri" w:hAnsi="Garamond" w:cs="Calibri Light"/>
                <w:b/>
                <w:bCs/>
                <w:sz w:val="14"/>
                <w:szCs w:val="14"/>
                <w:lang w:eastAsia="en-US"/>
              </w:rPr>
            </w:pPr>
            <w:r w:rsidRPr="00622884">
              <w:rPr>
                <w:rFonts w:ascii="Garamond" w:eastAsia="SimSun" w:hAnsi="Garamond" w:cs="Times New Roman"/>
                <w:b/>
                <w:sz w:val="14"/>
                <w:szCs w:val="14"/>
                <w:lang w:eastAsia="en-US" w:bidi="sq-AL"/>
              </w:rPr>
              <w:t>46</w:t>
            </w:r>
          </w:p>
        </w:tc>
        <w:tc>
          <w:tcPr>
            <w:tcW w:w="576" w:type="pct"/>
            <w:vAlign w:val="center"/>
          </w:tcPr>
          <w:p w14:paraId="120D4770" w14:textId="77777777" w:rsidR="00622884" w:rsidRPr="00622884" w:rsidRDefault="00622884" w:rsidP="00622884">
            <w:pPr>
              <w:spacing w:after="0" w:line="240" w:lineRule="auto"/>
              <w:jc w:val="center"/>
              <w:rPr>
                <w:rFonts w:ascii="Garamond" w:eastAsia="Calibri" w:hAnsi="Garamond" w:cs="Calibri Light"/>
                <w:sz w:val="14"/>
                <w:szCs w:val="14"/>
                <w:lang w:eastAsia="en-US"/>
              </w:rPr>
            </w:pPr>
            <w:r w:rsidRPr="00622884">
              <w:rPr>
                <w:rFonts w:ascii="Garamond" w:eastAsia="SimSun" w:hAnsi="Garamond" w:cs="Times New Roman"/>
                <w:sz w:val="14"/>
                <w:szCs w:val="14"/>
                <w:lang w:eastAsia="en-US" w:bidi="sq-AL"/>
              </w:rPr>
              <w:t>Zhvillimi urban</w:t>
            </w:r>
          </w:p>
        </w:tc>
        <w:tc>
          <w:tcPr>
            <w:tcW w:w="2877" w:type="pct"/>
            <w:vAlign w:val="center"/>
          </w:tcPr>
          <w:p w14:paraId="227A54A7" w14:textId="77777777" w:rsidR="00622884" w:rsidRPr="00622884" w:rsidRDefault="00622884" w:rsidP="00622884">
            <w:pPr>
              <w:spacing w:after="0" w:line="240" w:lineRule="auto"/>
              <w:jc w:val="left"/>
              <w:rPr>
                <w:rFonts w:ascii="Garamond" w:eastAsia="Calibri" w:hAnsi="Garamond" w:cs="Calibri Light"/>
                <w:sz w:val="14"/>
                <w:szCs w:val="14"/>
                <w:lang w:eastAsia="en-US"/>
              </w:rPr>
            </w:pPr>
            <w:r w:rsidRPr="00622884">
              <w:rPr>
                <w:rFonts w:ascii="Garamond" w:eastAsia="SimSun" w:hAnsi="Garamond" w:cs="Times New Roman"/>
                <w:sz w:val="14"/>
                <w:szCs w:val="14"/>
                <w:lang w:eastAsia="en-US" w:bidi="sq-AL"/>
              </w:rPr>
              <w:t>Integrimi i hapësirave të gjelbra në zhvillimin e infrastrukturës publike përmes prokurimit publik të gjelbër</w:t>
            </w:r>
          </w:p>
        </w:tc>
        <w:tc>
          <w:tcPr>
            <w:tcW w:w="485" w:type="pct"/>
            <w:vAlign w:val="center"/>
          </w:tcPr>
          <w:p w14:paraId="4A0E50A7" w14:textId="77777777" w:rsidR="00622884" w:rsidRPr="00622884" w:rsidRDefault="00622884" w:rsidP="00622884">
            <w:pPr>
              <w:spacing w:after="0" w:line="240" w:lineRule="auto"/>
              <w:jc w:val="center"/>
              <w:rPr>
                <w:rFonts w:ascii="Garamond" w:eastAsia="Calibri" w:hAnsi="Garamond" w:cs="Calibri Light"/>
                <w:sz w:val="14"/>
                <w:szCs w:val="14"/>
                <w:lang w:eastAsia="en-US"/>
              </w:rPr>
            </w:pPr>
            <w:r w:rsidRPr="00622884">
              <w:rPr>
                <w:rFonts w:ascii="Garamond" w:eastAsia="SimSun" w:hAnsi="Garamond" w:cs="Times New Roman"/>
                <w:sz w:val="14"/>
                <w:szCs w:val="14"/>
                <w:lang w:eastAsia="en-US" w:bidi="sq-AL"/>
              </w:rPr>
              <w:t>Masë e butë</w:t>
            </w:r>
          </w:p>
        </w:tc>
        <w:tc>
          <w:tcPr>
            <w:tcW w:w="613" w:type="pct"/>
            <w:vAlign w:val="center"/>
          </w:tcPr>
          <w:p w14:paraId="2238E32C" w14:textId="77777777" w:rsidR="00622884" w:rsidRPr="00622884" w:rsidRDefault="00622884" w:rsidP="00622884">
            <w:pPr>
              <w:spacing w:after="0" w:line="240" w:lineRule="auto"/>
              <w:jc w:val="center"/>
              <w:rPr>
                <w:rFonts w:ascii="Garamond" w:eastAsia="Calibri" w:hAnsi="Garamond" w:cs="Calibri Light"/>
                <w:sz w:val="14"/>
                <w:szCs w:val="14"/>
                <w:lang w:eastAsia="en-US"/>
              </w:rPr>
            </w:pPr>
            <w:r w:rsidRPr="00622884">
              <w:rPr>
                <w:rFonts w:ascii="Garamond" w:eastAsia="SimSun" w:hAnsi="Garamond" w:cs="Times New Roman"/>
                <w:sz w:val="14"/>
                <w:szCs w:val="14"/>
                <w:lang w:eastAsia="en-US" w:bidi="sq-AL"/>
              </w:rPr>
              <w:t>380.000</w:t>
            </w:r>
          </w:p>
        </w:tc>
        <w:tc>
          <w:tcPr>
            <w:tcW w:w="272" w:type="pct"/>
            <w:vAlign w:val="center"/>
          </w:tcPr>
          <w:p w14:paraId="7B6FD3EA" w14:textId="77777777" w:rsidR="00622884" w:rsidRPr="00622884" w:rsidRDefault="00622884" w:rsidP="00622884">
            <w:pPr>
              <w:spacing w:after="0" w:line="240" w:lineRule="auto"/>
              <w:jc w:val="center"/>
              <w:rPr>
                <w:rFonts w:ascii="Garamond" w:eastAsia="Calibri" w:hAnsi="Garamond" w:cs="Calibri Light"/>
                <w:sz w:val="14"/>
                <w:szCs w:val="14"/>
                <w:lang w:eastAsia="en-US"/>
              </w:rPr>
            </w:pPr>
            <w:r w:rsidRPr="00622884">
              <w:rPr>
                <w:rFonts w:ascii="Garamond" w:eastAsia="SimSun" w:hAnsi="Garamond" w:cs="Times New Roman"/>
                <w:sz w:val="14"/>
                <w:szCs w:val="14"/>
                <w:lang w:eastAsia="en-US" w:bidi="sq-AL"/>
              </w:rPr>
              <w:t>AM</w:t>
            </w:r>
          </w:p>
        </w:tc>
      </w:tr>
      <w:tr w:rsidR="00622884" w:rsidRPr="00622884" w14:paraId="680F87AF" w14:textId="77777777" w:rsidTr="00622884">
        <w:trPr>
          <w:trHeight w:val="20"/>
          <w:jc w:val="center"/>
        </w:trPr>
        <w:tc>
          <w:tcPr>
            <w:tcW w:w="177" w:type="pct"/>
            <w:vAlign w:val="center"/>
          </w:tcPr>
          <w:p w14:paraId="0545BA20" w14:textId="77777777" w:rsidR="00622884" w:rsidRPr="00622884" w:rsidRDefault="00622884" w:rsidP="00622884">
            <w:pPr>
              <w:spacing w:after="0" w:line="240" w:lineRule="auto"/>
              <w:jc w:val="center"/>
              <w:rPr>
                <w:rFonts w:ascii="Garamond" w:eastAsia="Calibri" w:hAnsi="Garamond" w:cs="Calibri Light"/>
                <w:b/>
                <w:bCs/>
                <w:sz w:val="14"/>
                <w:szCs w:val="14"/>
                <w:lang w:eastAsia="en-US"/>
              </w:rPr>
            </w:pPr>
            <w:r w:rsidRPr="00622884">
              <w:rPr>
                <w:rFonts w:ascii="Garamond" w:eastAsia="SimSun" w:hAnsi="Garamond" w:cs="Times New Roman"/>
                <w:b/>
                <w:sz w:val="14"/>
                <w:szCs w:val="14"/>
                <w:lang w:eastAsia="en-US" w:bidi="sq-AL"/>
              </w:rPr>
              <w:t>47</w:t>
            </w:r>
          </w:p>
        </w:tc>
        <w:tc>
          <w:tcPr>
            <w:tcW w:w="576" w:type="pct"/>
            <w:vAlign w:val="center"/>
          </w:tcPr>
          <w:p w14:paraId="5F021705" w14:textId="77777777" w:rsidR="00622884" w:rsidRPr="00622884" w:rsidRDefault="00622884" w:rsidP="00622884">
            <w:pPr>
              <w:spacing w:after="0" w:line="240" w:lineRule="auto"/>
              <w:jc w:val="center"/>
              <w:rPr>
                <w:rFonts w:ascii="Garamond" w:eastAsia="Calibri" w:hAnsi="Garamond" w:cs="Calibri Light"/>
                <w:sz w:val="14"/>
                <w:szCs w:val="14"/>
                <w:lang w:eastAsia="en-US"/>
              </w:rPr>
            </w:pPr>
            <w:r w:rsidRPr="00622884">
              <w:rPr>
                <w:rFonts w:ascii="Garamond" w:eastAsia="SimSun" w:hAnsi="Garamond" w:cs="Times New Roman"/>
                <w:sz w:val="14"/>
                <w:szCs w:val="14"/>
                <w:lang w:eastAsia="en-US" w:bidi="sq-AL"/>
              </w:rPr>
              <w:t>Zhvillimi urban</w:t>
            </w:r>
          </w:p>
        </w:tc>
        <w:tc>
          <w:tcPr>
            <w:tcW w:w="2877" w:type="pct"/>
            <w:vAlign w:val="center"/>
          </w:tcPr>
          <w:p w14:paraId="6E39F9E6" w14:textId="77777777" w:rsidR="00622884" w:rsidRPr="00622884" w:rsidRDefault="00622884" w:rsidP="00622884">
            <w:pPr>
              <w:spacing w:after="0" w:line="240" w:lineRule="auto"/>
              <w:jc w:val="left"/>
              <w:rPr>
                <w:rFonts w:ascii="Garamond" w:eastAsia="Calibri" w:hAnsi="Garamond" w:cs="Calibri Light"/>
                <w:sz w:val="14"/>
                <w:szCs w:val="14"/>
                <w:lang w:eastAsia="en-US"/>
              </w:rPr>
            </w:pPr>
            <w:r w:rsidRPr="00622884">
              <w:rPr>
                <w:rFonts w:ascii="Garamond" w:eastAsia="SimSun" w:hAnsi="Garamond" w:cs="Times New Roman"/>
                <w:sz w:val="14"/>
                <w:szCs w:val="14"/>
                <w:lang w:eastAsia="en-US" w:bidi="sq-AL"/>
              </w:rPr>
              <w:t xml:space="preserve">Restaurimi i korridoreve të gjelbra: Nismat për ripyllëzim dhe gjelbërim urban </w:t>
            </w:r>
          </w:p>
        </w:tc>
        <w:tc>
          <w:tcPr>
            <w:tcW w:w="485" w:type="pct"/>
            <w:vAlign w:val="center"/>
          </w:tcPr>
          <w:p w14:paraId="4134D9A7" w14:textId="77777777" w:rsidR="00622884" w:rsidRPr="00622884" w:rsidRDefault="00622884" w:rsidP="00622884">
            <w:pPr>
              <w:spacing w:after="0" w:line="240" w:lineRule="auto"/>
              <w:jc w:val="center"/>
              <w:rPr>
                <w:rFonts w:ascii="Garamond" w:eastAsia="Calibri" w:hAnsi="Garamond" w:cs="Calibri Light"/>
                <w:sz w:val="14"/>
                <w:szCs w:val="14"/>
                <w:lang w:eastAsia="en-US"/>
              </w:rPr>
            </w:pPr>
            <w:r w:rsidRPr="00622884">
              <w:rPr>
                <w:rFonts w:ascii="Garamond" w:eastAsia="SimSun" w:hAnsi="Garamond" w:cs="Times New Roman"/>
                <w:sz w:val="14"/>
                <w:szCs w:val="14"/>
                <w:lang w:eastAsia="en-US" w:bidi="sq-AL"/>
              </w:rPr>
              <w:t>E gjelbër</w:t>
            </w:r>
          </w:p>
        </w:tc>
        <w:tc>
          <w:tcPr>
            <w:tcW w:w="613" w:type="pct"/>
            <w:vAlign w:val="center"/>
          </w:tcPr>
          <w:p w14:paraId="238EA121" w14:textId="77777777" w:rsidR="00622884" w:rsidRPr="00622884" w:rsidRDefault="00622884" w:rsidP="00622884">
            <w:pPr>
              <w:spacing w:after="0" w:line="240" w:lineRule="auto"/>
              <w:jc w:val="center"/>
              <w:rPr>
                <w:rFonts w:ascii="Garamond" w:eastAsia="Calibri" w:hAnsi="Garamond" w:cs="Calibri Light"/>
                <w:sz w:val="14"/>
                <w:szCs w:val="14"/>
                <w:lang w:eastAsia="en-US"/>
              </w:rPr>
            </w:pPr>
            <w:r w:rsidRPr="00622884">
              <w:rPr>
                <w:rFonts w:ascii="Garamond" w:eastAsia="SimSun" w:hAnsi="Garamond" w:cs="Times New Roman"/>
                <w:sz w:val="14"/>
                <w:szCs w:val="14"/>
                <w:lang w:eastAsia="en-US" w:bidi="sq-AL"/>
              </w:rPr>
              <w:t>568.544</w:t>
            </w:r>
          </w:p>
        </w:tc>
        <w:tc>
          <w:tcPr>
            <w:tcW w:w="272" w:type="pct"/>
            <w:vAlign w:val="center"/>
          </w:tcPr>
          <w:p w14:paraId="31C83114" w14:textId="77777777" w:rsidR="00622884" w:rsidRPr="00622884" w:rsidRDefault="00622884" w:rsidP="00622884">
            <w:pPr>
              <w:spacing w:after="0" w:line="240" w:lineRule="auto"/>
              <w:jc w:val="center"/>
              <w:rPr>
                <w:rFonts w:ascii="Garamond" w:eastAsia="Calibri" w:hAnsi="Garamond" w:cs="Calibri Light"/>
                <w:sz w:val="14"/>
                <w:szCs w:val="14"/>
                <w:lang w:eastAsia="en-US"/>
              </w:rPr>
            </w:pPr>
            <w:r w:rsidRPr="00622884">
              <w:rPr>
                <w:rFonts w:ascii="Garamond" w:eastAsia="SimSun" w:hAnsi="Garamond" w:cs="Times New Roman"/>
                <w:sz w:val="14"/>
                <w:szCs w:val="14"/>
                <w:lang w:eastAsia="en-US" w:bidi="sq-AL"/>
              </w:rPr>
              <w:t>AM</w:t>
            </w:r>
          </w:p>
        </w:tc>
      </w:tr>
      <w:tr w:rsidR="00622884" w:rsidRPr="00622884" w14:paraId="0D1EE3D8" w14:textId="77777777" w:rsidTr="00622884">
        <w:trPr>
          <w:trHeight w:val="20"/>
          <w:jc w:val="center"/>
        </w:trPr>
        <w:tc>
          <w:tcPr>
            <w:tcW w:w="177" w:type="pct"/>
            <w:vAlign w:val="center"/>
          </w:tcPr>
          <w:p w14:paraId="36D51FFD" w14:textId="77777777" w:rsidR="00622884" w:rsidRPr="00622884" w:rsidRDefault="00622884" w:rsidP="00622884">
            <w:pPr>
              <w:spacing w:after="0" w:line="240" w:lineRule="auto"/>
              <w:jc w:val="center"/>
              <w:rPr>
                <w:rFonts w:ascii="Garamond" w:eastAsia="Calibri" w:hAnsi="Garamond" w:cs="Calibri Light"/>
                <w:b/>
                <w:bCs/>
                <w:sz w:val="14"/>
                <w:szCs w:val="14"/>
                <w:lang w:eastAsia="en-US"/>
              </w:rPr>
            </w:pPr>
            <w:r w:rsidRPr="00622884">
              <w:rPr>
                <w:rFonts w:ascii="Garamond" w:eastAsia="SimSun" w:hAnsi="Garamond" w:cs="Times New Roman"/>
                <w:b/>
                <w:sz w:val="14"/>
                <w:szCs w:val="14"/>
                <w:lang w:eastAsia="en-US" w:bidi="sq-AL"/>
              </w:rPr>
              <w:t>48</w:t>
            </w:r>
          </w:p>
        </w:tc>
        <w:tc>
          <w:tcPr>
            <w:tcW w:w="576" w:type="pct"/>
            <w:vAlign w:val="center"/>
          </w:tcPr>
          <w:p w14:paraId="2938F777" w14:textId="77777777" w:rsidR="00622884" w:rsidRPr="00622884" w:rsidRDefault="00622884" w:rsidP="00622884">
            <w:pPr>
              <w:spacing w:after="0" w:line="240" w:lineRule="auto"/>
              <w:jc w:val="center"/>
              <w:rPr>
                <w:rFonts w:ascii="Garamond" w:eastAsia="Calibri" w:hAnsi="Garamond" w:cs="Calibri Light"/>
                <w:sz w:val="14"/>
                <w:szCs w:val="14"/>
                <w:lang w:eastAsia="en-US"/>
              </w:rPr>
            </w:pPr>
            <w:r w:rsidRPr="00622884">
              <w:rPr>
                <w:rFonts w:ascii="Garamond" w:eastAsia="SimSun" w:hAnsi="Garamond" w:cs="Times New Roman"/>
                <w:sz w:val="14"/>
                <w:szCs w:val="14"/>
                <w:lang w:eastAsia="en-US" w:bidi="sq-AL"/>
              </w:rPr>
              <w:t>Zhvillimi urban</w:t>
            </w:r>
          </w:p>
        </w:tc>
        <w:tc>
          <w:tcPr>
            <w:tcW w:w="2877" w:type="pct"/>
            <w:vAlign w:val="center"/>
          </w:tcPr>
          <w:p w14:paraId="097A5FCF" w14:textId="77777777" w:rsidR="00622884" w:rsidRPr="00622884" w:rsidRDefault="00622884" w:rsidP="00622884">
            <w:pPr>
              <w:spacing w:after="0" w:line="240" w:lineRule="auto"/>
              <w:jc w:val="left"/>
              <w:rPr>
                <w:rFonts w:ascii="Garamond" w:eastAsia="Calibri" w:hAnsi="Garamond" w:cs="Calibri Light"/>
                <w:sz w:val="14"/>
                <w:szCs w:val="14"/>
                <w:lang w:eastAsia="en-US"/>
              </w:rPr>
            </w:pPr>
            <w:r w:rsidRPr="00622884">
              <w:rPr>
                <w:rFonts w:ascii="Garamond" w:eastAsia="SimSun" w:hAnsi="Garamond" w:cs="Times New Roman"/>
                <w:sz w:val="14"/>
                <w:szCs w:val="14"/>
                <w:lang w:eastAsia="en-US" w:bidi="sq-AL"/>
              </w:rPr>
              <w:t>Vlerësimi i riskut klimatik për Durrësin, Elbasanin, Fierin dhe më gjerë: Krijimi i një harte gjithëpërfshirëse të cenueshmërisë</w:t>
            </w:r>
          </w:p>
        </w:tc>
        <w:tc>
          <w:tcPr>
            <w:tcW w:w="485" w:type="pct"/>
            <w:vAlign w:val="center"/>
          </w:tcPr>
          <w:p w14:paraId="36BA37EE" w14:textId="77777777" w:rsidR="00622884" w:rsidRPr="00622884" w:rsidRDefault="00622884" w:rsidP="00622884">
            <w:pPr>
              <w:spacing w:after="0" w:line="240" w:lineRule="auto"/>
              <w:jc w:val="center"/>
              <w:rPr>
                <w:rFonts w:ascii="Garamond" w:eastAsia="Calibri" w:hAnsi="Garamond" w:cs="Calibri Light"/>
                <w:sz w:val="14"/>
                <w:szCs w:val="14"/>
                <w:lang w:eastAsia="en-US"/>
              </w:rPr>
            </w:pPr>
            <w:r w:rsidRPr="00622884">
              <w:rPr>
                <w:rFonts w:ascii="Garamond" w:eastAsia="SimSun" w:hAnsi="Garamond" w:cs="Times New Roman"/>
                <w:sz w:val="14"/>
                <w:szCs w:val="14"/>
                <w:lang w:eastAsia="en-US" w:bidi="sq-AL"/>
              </w:rPr>
              <w:t>Masë e butë</w:t>
            </w:r>
          </w:p>
        </w:tc>
        <w:tc>
          <w:tcPr>
            <w:tcW w:w="613" w:type="pct"/>
            <w:vAlign w:val="center"/>
          </w:tcPr>
          <w:p w14:paraId="210073FD" w14:textId="77777777" w:rsidR="00622884" w:rsidRPr="00622884" w:rsidRDefault="00622884" w:rsidP="00622884">
            <w:pPr>
              <w:spacing w:after="0" w:line="240" w:lineRule="auto"/>
              <w:jc w:val="center"/>
              <w:rPr>
                <w:rFonts w:ascii="Garamond" w:eastAsia="Calibri" w:hAnsi="Garamond" w:cs="Calibri Light"/>
                <w:sz w:val="14"/>
                <w:szCs w:val="14"/>
                <w:lang w:eastAsia="en-US"/>
              </w:rPr>
            </w:pPr>
            <w:r w:rsidRPr="00622884">
              <w:rPr>
                <w:rFonts w:ascii="Garamond" w:eastAsia="SimSun" w:hAnsi="Garamond" w:cs="Times New Roman"/>
                <w:sz w:val="14"/>
                <w:szCs w:val="14"/>
                <w:lang w:eastAsia="en-US" w:bidi="sq-AL"/>
              </w:rPr>
              <w:t>196.000</w:t>
            </w:r>
          </w:p>
        </w:tc>
        <w:tc>
          <w:tcPr>
            <w:tcW w:w="272" w:type="pct"/>
            <w:vAlign w:val="center"/>
          </w:tcPr>
          <w:p w14:paraId="296E722D" w14:textId="77777777" w:rsidR="00622884" w:rsidRPr="00622884" w:rsidRDefault="00622884" w:rsidP="00622884">
            <w:pPr>
              <w:spacing w:after="0" w:line="240" w:lineRule="auto"/>
              <w:jc w:val="center"/>
              <w:rPr>
                <w:rFonts w:ascii="Garamond" w:eastAsia="Calibri" w:hAnsi="Garamond" w:cs="Calibri Light"/>
                <w:sz w:val="14"/>
                <w:szCs w:val="14"/>
                <w:lang w:eastAsia="en-US"/>
              </w:rPr>
            </w:pPr>
            <w:r w:rsidRPr="00622884">
              <w:rPr>
                <w:rFonts w:ascii="Garamond" w:eastAsia="SimSun" w:hAnsi="Garamond" w:cs="Times New Roman"/>
                <w:sz w:val="14"/>
                <w:szCs w:val="14"/>
                <w:lang w:eastAsia="en-US" w:bidi="sq-AL"/>
              </w:rPr>
              <w:t>ASH</w:t>
            </w:r>
          </w:p>
        </w:tc>
      </w:tr>
      <w:tr w:rsidR="00622884" w:rsidRPr="00622884" w14:paraId="075B997E" w14:textId="77777777" w:rsidTr="00622884">
        <w:trPr>
          <w:trHeight w:val="20"/>
          <w:jc w:val="center"/>
        </w:trPr>
        <w:tc>
          <w:tcPr>
            <w:tcW w:w="177" w:type="pct"/>
            <w:vAlign w:val="center"/>
          </w:tcPr>
          <w:p w14:paraId="7517917C" w14:textId="77777777" w:rsidR="00622884" w:rsidRPr="00622884" w:rsidRDefault="00622884" w:rsidP="00622884">
            <w:pPr>
              <w:spacing w:after="0" w:line="240" w:lineRule="auto"/>
              <w:jc w:val="center"/>
              <w:rPr>
                <w:rFonts w:ascii="Garamond" w:eastAsia="Calibri" w:hAnsi="Garamond" w:cs="Calibri Light"/>
                <w:b/>
                <w:bCs/>
                <w:sz w:val="14"/>
                <w:szCs w:val="14"/>
                <w:lang w:eastAsia="en-US"/>
              </w:rPr>
            </w:pPr>
            <w:r w:rsidRPr="00622884">
              <w:rPr>
                <w:rFonts w:ascii="Garamond" w:eastAsia="SimSun" w:hAnsi="Garamond" w:cs="Times New Roman"/>
                <w:b/>
                <w:sz w:val="14"/>
                <w:szCs w:val="14"/>
                <w:lang w:eastAsia="en-US" w:bidi="sq-AL"/>
              </w:rPr>
              <w:t>49</w:t>
            </w:r>
          </w:p>
        </w:tc>
        <w:tc>
          <w:tcPr>
            <w:tcW w:w="576" w:type="pct"/>
            <w:vAlign w:val="center"/>
          </w:tcPr>
          <w:p w14:paraId="24352ED8" w14:textId="77777777" w:rsidR="00622884" w:rsidRPr="00622884" w:rsidRDefault="00622884" w:rsidP="00622884">
            <w:pPr>
              <w:spacing w:after="0" w:line="240" w:lineRule="auto"/>
              <w:jc w:val="center"/>
              <w:rPr>
                <w:rFonts w:ascii="Garamond" w:eastAsia="Calibri" w:hAnsi="Garamond" w:cs="Calibri Light"/>
                <w:sz w:val="14"/>
                <w:szCs w:val="14"/>
                <w:lang w:eastAsia="en-US"/>
              </w:rPr>
            </w:pPr>
            <w:r w:rsidRPr="00622884">
              <w:rPr>
                <w:rFonts w:ascii="Garamond" w:eastAsia="SimSun" w:hAnsi="Garamond" w:cs="Times New Roman"/>
                <w:sz w:val="14"/>
                <w:szCs w:val="14"/>
                <w:lang w:eastAsia="en-US" w:bidi="sq-AL"/>
              </w:rPr>
              <w:t>Zhvillimi urban</w:t>
            </w:r>
          </w:p>
        </w:tc>
        <w:tc>
          <w:tcPr>
            <w:tcW w:w="2877" w:type="pct"/>
            <w:vAlign w:val="center"/>
          </w:tcPr>
          <w:p w14:paraId="2752E46B" w14:textId="77777777" w:rsidR="00622884" w:rsidRPr="00622884" w:rsidRDefault="00622884" w:rsidP="00622884">
            <w:pPr>
              <w:spacing w:after="0" w:line="240" w:lineRule="auto"/>
              <w:jc w:val="left"/>
              <w:rPr>
                <w:rFonts w:ascii="Garamond" w:eastAsia="Calibri" w:hAnsi="Garamond" w:cs="Calibri Light"/>
                <w:sz w:val="14"/>
                <w:szCs w:val="14"/>
                <w:lang w:eastAsia="en-US"/>
              </w:rPr>
            </w:pPr>
            <w:r w:rsidRPr="00622884">
              <w:rPr>
                <w:rFonts w:ascii="Garamond" w:eastAsia="SimSun" w:hAnsi="Garamond" w:cs="Times New Roman"/>
                <w:sz w:val="14"/>
                <w:szCs w:val="14"/>
                <w:lang w:eastAsia="en-US" w:bidi="sq-AL"/>
              </w:rPr>
              <w:t>Planet e emergjencës për raste përmbytjesh</w:t>
            </w:r>
          </w:p>
        </w:tc>
        <w:tc>
          <w:tcPr>
            <w:tcW w:w="485" w:type="pct"/>
            <w:vAlign w:val="center"/>
          </w:tcPr>
          <w:p w14:paraId="3211AF71" w14:textId="77777777" w:rsidR="00622884" w:rsidRPr="00622884" w:rsidRDefault="00622884" w:rsidP="00622884">
            <w:pPr>
              <w:spacing w:after="0" w:line="240" w:lineRule="auto"/>
              <w:jc w:val="center"/>
              <w:rPr>
                <w:rFonts w:ascii="Garamond" w:eastAsia="Calibri" w:hAnsi="Garamond" w:cs="Calibri Light"/>
                <w:sz w:val="14"/>
                <w:szCs w:val="14"/>
                <w:lang w:eastAsia="en-US"/>
              </w:rPr>
            </w:pPr>
            <w:r w:rsidRPr="00622884">
              <w:rPr>
                <w:rFonts w:ascii="Garamond" w:eastAsia="SimSun" w:hAnsi="Garamond" w:cs="Times New Roman"/>
                <w:sz w:val="14"/>
                <w:szCs w:val="14"/>
                <w:lang w:eastAsia="en-US" w:bidi="sq-AL"/>
              </w:rPr>
              <w:t>Masë e butë</w:t>
            </w:r>
          </w:p>
        </w:tc>
        <w:tc>
          <w:tcPr>
            <w:tcW w:w="613" w:type="pct"/>
            <w:vAlign w:val="center"/>
          </w:tcPr>
          <w:p w14:paraId="6B846255" w14:textId="77777777" w:rsidR="00622884" w:rsidRPr="00622884" w:rsidRDefault="00622884" w:rsidP="00622884">
            <w:pPr>
              <w:spacing w:after="0" w:line="240" w:lineRule="auto"/>
              <w:jc w:val="center"/>
              <w:rPr>
                <w:rFonts w:ascii="Garamond" w:eastAsia="Calibri" w:hAnsi="Garamond" w:cs="Calibri Light"/>
                <w:sz w:val="14"/>
                <w:szCs w:val="14"/>
                <w:lang w:eastAsia="en-US"/>
              </w:rPr>
            </w:pPr>
            <w:r w:rsidRPr="00622884">
              <w:rPr>
                <w:rFonts w:ascii="Garamond" w:eastAsia="SimSun" w:hAnsi="Garamond" w:cs="Times New Roman"/>
                <w:sz w:val="14"/>
                <w:szCs w:val="14"/>
                <w:lang w:eastAsia="en-US" w:bidi="sq-AL"/>
              </w:rPr>
              <w:t>2.500.000</w:t>
            </w:r>
          </w:p>
        </w:tc>
        <w:tc>
          <w:tcPr>
            <w:tcW w:w="272" w:type="pct"/>
            <w:vAlign w:val="center"/>
          </w:tcPr>
          <w:p w14:paraId="50BD4061" w14:textId="77777777" w:rsidR="00622884" w:rsidRPr="00622884" w:rsidRDefault="00622884" w:rsidP="00622884">
            <w:pPr>
              <w:spacing w:after="0" w:line="240" w:lineRule="auto"/>
              <w:jc w:val="center"/>
              <w:rPr>
                <w:rFonts w:ascii="Garamond" w:eastAsia="Calibri" w:hAnsi="Garamond" w:cs="Calibri Light"/>
                <w:sz w:val="14"/>
                <w:szCs w:val="14"/>
                <w:lang w:eastAsia="en-US"/>
              </w:rPr>
            </w:pPr>
            <w:r w:rsidRPr="00622884">
              <w:rPr>
                <w:rFonts w:ascii="Garamond" w:eastAsia="SimSun" w:hAnsi="Garamond" w:cs="Times New Roman"/>
                <w:sz w:val="14"/>
                <w:szCs w:val="14"/>
                <w:lang w:eastAsia="en-US" w:bidi="sq-AL"/>
              </w:rPr>
              <w:t>ASH</w:t>
            </w:r>
          </w:p>
        </w:tc>
      </w:tr>
      <w:tr w:rsidR="00622884" w:rsidRPr="00622884" w14:paraId="71F703A1" w14:textId="77777777" w:rsidTr="00622884">
        <w:trPr>
          <w:trHeight w:val="20"/>
          <w:jc w:val="center"/>
        </w:trPr>
        <w:tc>
          <w:tcPr>
            <w:tcW w:w="177" w:type="pct"/>
            <w:vAlign w:val="center"/>
          </w:tcPr>
          <w:p w14:paraId="601C187D" w14:textId="77777777" w:rsidR="00622884" w:rsidRPr="00622884" w:rsidRDefault="00622884" w:rsidP="00622884">
            <w:pPr>
              <w:spacing w:after="0" w:line="240" w:lineRule="auto"/>
              <w:jc w:val="center"/>
              <w:rPr>
                <w:rFonts w:ascii="Garamond" w:eastAsia="Calibri" w:hAnsi="Garamond" w:cs="Calibri Light"/>
                <w:b/>
                <w:bCs/>
                <w:sz w:val="14"/>
                <w:szCs w:val="14"/>
                <w:lang w:eastAsia="en-US"/>
              </w:rPr>
            </w:pPr>
            <w:r w:rsidRPr="00622884">
              <w:rPr>
                <w:rFonts w:ascii="Garamond" w:eastAsia="SimSun" w:hAnsi="Garamond" w:cs="Times New Roman"/>
                <w:b/>
                <w:sz w:val="14"/>
                <w:szCs w:val="14"/>
                <w:lang w:eastAsia="en-US" w:bidi="sq-AL"/>
              </w:rPr>
              <w:t>50</w:t>
            </w:r>
          </w:p>
        </w:tc>
        <w:tc>
          <w:tcPr>
            <w:tcW w:w="576" w:type="pct"/>
            <w:vAlign w:val="center"/>
          </w:tcPr>
          <w:p w14:paraId="30E46993" w14:textId="77777777" w:rsidR="00622884" w:rsidRPr="00622884" w:rsidRDefault="00622884" w:rsidP="00622884">
            <w:pPr>
              <w:spacing w:after="0" w:line="240" w:lineRule="auto"/>
              <w:jc w:val="center"/>
              <w:rPr>
                <w:rFonts w:ascii="Garamond" w:eastAsia="Calibri" w:hAnsi="Garamond" w:cs="Calibri Light"/>
                <w:sz w:val="14"/>
                <w:szCs w:val="14"/>
                <w:lang w:eastAsia="en-US"/>
              </w:rPr>
            </w:pPr>
            <w:r w:rsidRPr="00622884">
              <w:rPr>
                <w:rFonts w:ascii="Garamond" w:eastAsia="SimSun" w:hAnsi="Garamond" w:cs="Times New Roman"/>
                <w:sz w:val="14"/>
                <w:szCs w:val="14"/>
                <w:lang w:eastAsia="en-US" w:bidi="sq-AL"/>
              </w:rPr>
              <w:t>Zhvillimi urban</w:t>
            </w:r>
          </w:p>
        </w:tc>
        <w:tc>
          <w:tcPr>
            <w:tcW w:w="2877" w:type="pct"/>
            <w:vAlign w:val="center"/>
          </w:tcPr>
          <w:p w14:paraId="45B2F109" w14:textId="77777777" w:rsidR="00622884" w:rsidRPr="00622884" w:rsidRDefault="00622884" w:rsidP="00622884">
            <w:pPr>
              <w:spacing w:after="0" w:line="240" w:lineRule="auto"/>
              <w:jc w:val="left"/>
              <w:rPr>
                <w:rFonts w:ascii="Garamond" w:eastAsia="Calibri" w:hAnsi="Garamond" w:cs="Calibri Light"/>
                <w:sz w:val="14"/>
                <w:szCs w:val="14"/>
                <w:lang w:eastAsia="en-US"/>
              </w:rPr>
            </w:pPr>
            <w:r w:rsidRPr="00622884">
              <w:rPr>
                <w:rFonts w:ascii="Garamond" w:eastAsia="SimSun" w:hAnsi="Garamond" w:cs="Times New Roman"/>
                <w:sz w:val="14"/>
                <w:szCs w:val="14"/>
                <w:lang w:eastAsia="en-US" w:bidi="sq-AL"/>
              </w:rPr>
              <w:t xml:space="preserve">Rritja e aftësive ripërtëritëse urbane: Vlerësimi i hapësirave të gjelbra dhe zgjidhjeve të qëndrueshme të kullimit </w:t>
            </w:r>
          </w:p>
        </w:tc>
        <w:tc>
          <w:tcPr>
            <w:tcW w:w="485" w:type="pct"/>
            <w:vAlign w:val="center"/>
          </w:tcPr>
          <w:p w14:paraId="7CD5CECB" w14:textId="77777777" w:rsidR="00622884" w:rsidRPr="00622884" w:rsidRDefault="00622884" w:rsidP="00622884">
            <w:pPr>
              <w:spacing w:after="0" w:line="240" w:lineRule="auto"/>
              <w:jc w:val="center"/>
              <w:rPr>
                <w:rFonts w:ascii="Garamond" w:eastAsia="Calibri" w:hAnsi="Garamond" w:cs="Calibri Light"/>
                <w:sz w:val="14"/>
                <w:szCs w:val="14"/>
                <w:lang w:eastAsia="en-US"/>
              </w:rPr>
            </w:pPr>
            <w:r w:rsidRPr="00622884">
              <w:rPr>
                <w:rFonts w:ascii="Garamond" w:eastAsia="SimSun" w:hAnsi="Garamond" w:cs="Times New Roman"/>
                <w:sz w:val="14"/>
                <w:szCs w:val="14"/>
                <w:lang w:eastAsia="en-US" w:bidi="sq-AL"/>
              </w:rPr>
              <w:t>E gjelbër</w:t>
            </w:r>
          </w:p>
        </w:tc>
        <w:tc>
          <w:tcPr>
            <w:tcW w:w="613" w:type="pct"/>
            <w:vAlign w:val="center"/>
          </w:tcPr>
          <w:p w14:paraId="316B2A7F" w14:textId="77777777" w:rsidR="00622884" w:rsidRPr="00622884" w:rsidRDefault="00622884" w:rsidP="00622884">
            <w:pPr>
              <w:spacing w:after="0" w:line="240" w:lineRule="auto"/>
              <w:jc w:val="center"/>
              <w:rPr>
                <w:rFonts w:ascii="Garamond" w:eastAsia="Calibri" w:hAnsi="Garamond" w:cs="Calibri Light"/>
                <w:sz w:val="14"/>
                <w:szCs w:val="14"/>
                <w:lang w:eastAsia="en-US"/>
              </w:rPr>
            </w:pPr>
            <w:r w:rsidRPr="00622884">
              <w:rPr>
                <w:rFonts w:ascii="Garamond" w:eastAsia="SimSun" w:hAnsi="Garamond" w:cs="Times New Roman"/>
                <w:sz w:val="14"/>
                <w:szCs w:val="14"/>
                <w:lang w:eastAsia="en-US" w:bidi="sq-AL"/>
              </w:rPr>
              <w:t>TBC</w:t>
            </w:r>
          </w:p>
        </w:tc>
        <w:tc>
          <w:tcPr>
            <w:tcW w:w="272" w:type="pct"/>
            <w:vAlign w:val="center"/>
          </w:tcPr>
          <w:p w14:paraId="774A2193" w14:textId="77777777" w:rsidR="00622884" w:rsidRPr="00622884" w:rsidRDefault="00622884" w:rsidP="00622884">
            <w:pPr>
              <w:spacing w:after="0" w:line="240" w:lineRule="auto"/>
              <w:jc w:val="center"/>
              <w:rPr>
                <w:rFonts w:ascii="Garamond" w:eastAsia="Calibri" w:hAnsi="Garamond" w:cs="Calibri Light"/>
                <w:sz w:val="14"/>
                <w:szCs w:val="14"/>
                <w:lang w:eastAsia="en-US"/>
              </w:rPr>
            </w:pPr>
            <w:r w:rsidRPr="00622884">
              <w:rPr>
                <w:rFonts w:ascii="Garamond" w:eastAsia="SimSun" w:hAnsi="Garamond" w:cs="Times New Roman"/>
                <w:sz w:val="14"/>
                <w:szCs w:val="14"/>
                <w:lang w:eastAsia="en-US" w:bidi="sq-AL"/>
              </w:rPr>
              <w:t>ASH</w:t>
            </w:r>
          </w:p>
        </w:tc>
      </w:tr>
      <w:tr w:rsidR="00622884" w:rsidRPr="00622884" w14:paraId="7CE35E55" w14:textId="77777777" w:rsidTr="00622884">
        <w:trPr>
          <w:trHeight w:val="20"/>
          <w:jc w:val="center"/>
        </w:trPr>
        <w:tc>
          <w:tcPr>
            <w:tcW w:w="177" w:type="pct"/>
            <w:vAlign w:val="center"/>
          </w:tcPr>
          <w:p w14:paraId="2C5321D0" w14:textId="77777777" w:rsidR="00622884" w:rsidRPr="00622884" w:rsidRDefault="00622884" w:rsidP="00622884">
            <w:pPr>
              <w:spacing w:after="0" w:line="240" w:lineRule="auto"/>
              <w:jc w:val="center"/>
              <w:rPr>
                <w:rFonts w:ascii="Garamond" w:eastAsia="Calibri" w:hAnsi="Garamond" w:cs="Calibri Light"/>
                <w:b/>
                <w:bCs/>
                <w:sz w:val="14"/>
                <w:szCs w:val="14"/>
                <w:lang w:eastAsia="en-US"/>
              </w:rPr>
            </w:pPr>
            <w:r w:rsidRPr="00622884">
              <w:rPr>
                <w:rFonts w:ascii="Garamond" w:eastAsia="SimSun" w:hAnsi="Garamond" w:cs="Times New Roman"/>
                <w:b/>
                <w:sz w:val="14"/>
                <w:szCs w:val="14"/>
                <w:lang w:eastAsia="en-US" w:bidi="sq-AL"/>
              </w:rPr>
              <w:t>51</w:t>
            </w:r>
          </w:p>
        </w:tc>
        <w:tc>
          <w:tcPr>
            <w:tcW w:w="576" w:type="pct"/>
            <w:vAlign w:val="center"/>
          </w:tcPr>
          <w:p w14:paraId="0C44F8D0" w14:textId="77777777" w:rsidR="00622884" w:rsidRPr="00622884" w:rsidRDefault="00622884" w:rsidP="00622884">
            <w:pPr>
              <w:spacing w:after="0" w:line="240" w:lineRule="auto"/>
              <w:jc w:val="center"/>
              <w:rPr>
                <w:rFonts w:ascii="Garamond" w:eastAsia="Calibri" w:hAnsi="Garamond" w:cs="Calibri Light"/>
                <w:sz w:val="14"/>
                <w:szCs w:val="14"/>
                <w:lang w:eastAsia="en-US"/>
              </w:rPr>
            </w:pPr>
            <w:r w:rsidRPr="00622884">
              <w:rPr>
                <w:rFonts w:ascii="Garamond" w:eastAsia="SimSun" w:hAnsi="Garamond" w:cs="Times New Roman"/>
                <w:sz w:val="14"/>
                <w:szCs w:val="14"/>
                <w:lang w:eastAsia="en-US" w:bidi="sq-AL"/>
              </w:rPr>
              <w:t>Zhvillimi urban</w:t>
            </w:r>
          </w:p>
        </w:tc>
        <w:tc>
          <w:tcPr>
            <w:tcW w:w="2877" w:type="pct"/>
            <w:vAlign w:val="center"/>
          </w:tcPr>
          <w:p w14:paraId="4D0A0BA5" w14:textId="77777777" w:rsidR="00622884" w:rsidRPr="00622884" w:rsidRDefault="00622884" w:rsidP="00622884">
            <w:pPr>
              <w:spacing w:after="0" w:line="240" w:lineRule="auto"/>
              <w:jc w:val="left"/>
              <w:rPr>
                <w:rFonts w:ascii="Garamond" w:eastAsia="Calibri" w:hAnsi="Garamond" w:cs="Calibri Light"/>
                <w:sz w:val="14"/>
                <w:szCs w:val="14"/>
                <w:lang w:eastAsia="en-US"/>
              </w:rPr>
            </w:pPr>
            <w:r w:rsidRPr="00622884">
              <w:rPr>
                <w:rFonts w:ascii="Garamond" w:eastAsia="SimSun" w:hAnsi="Garamond" w:cs="Times New Roman"/>
                <w:sz w:val="14"/>
                <w:szCs w:val="14"/>
                <w:lang w:eastAsia="en-US" w:bidi="sq-AL"/>
              </w:rPr>
              <w:t>Projektim i qëndrueshëm urban: Ruajtja dhe restaurimi i zonave të përshkueshme dhe të infiltrimit</w:t>
            </w:r>
          </w:p>
        </w:tc>
        <w:tc>
          <w:tcPr>
            <w:tcW w:w="485" w:type="pct"/>
            <w:vAlign w:val="center"/>
          </w:tcPr>
          <w:p w14:paraId="156D88BE" w14:textId="77777777" w:rsidR="00622884" w:rsidRPr="00622884" w:rsidRDefault="00622884" w:rsidP="00622884">
            <w:pPr>
              <w:spacing w:after="0" w:line="240" w:lineRule="auto"/>
              <w:jc w:val="center"/>
              <w:rPr>
                <w:rFonts w:ascii="Garamond" w:eastAsia="Calibri" w:hAnsi="Garamond" w:cs="Calibri Light"/>
                <w:sz w:val="14"/>
                <w:szCs w:val="14"/>
                <w:lang w:eastAsia="en-US"/>
              </w:rPr>
            </w:pPr>
            <w:r w:rsidRPr="00622884">
              <w:rPr>
                <w:rFonts w:ascii="Garamond" w:eastAsia="SimSun" w:hAnsi="Garamond" w:cs="Times New Roman"/>
                <w:sz w:val="14"/>
                <w:szCs w:val="14"/>
                <w:lang w:eastAsia="en-US" w:bidi="sq-AL"/>
              </w:rPr>
              <w:t>Masë e butë</w:t>
            </w:r>
          </w:p>
        </w:tc>
        <w:tc>
          <w:tcPr>
            <w:tcW w:w="613" w:type="pct"/>
            <w:vAlign w:val="center"/>
          </w:tcPr>
          <w:p w14:paraId="2623A5A9" w14:textId="77777777" w:rsidR="00622884" w:rsidRPr="00622884" w:rsidRDefault="00622884" w:rsidP="00622884">
            <w:pPr>
              <w:spacing w:after="0" w:line="240" w:lineRule="auto"/>
              <w:jc w:val="center"/>
              <w:rPr>
                <w:rFonts w:ascii="Garamond" w:eastAsia="Calibri" w:hAnsi="Garamond" w:cs="Calibri Light"/>
                <w:sz w:val="14"/>
                <w:szCs w:val="14"/>
                <w:lang w:eastAsia="en-US"/>
              </w:rPr>
            </w:pPr>
            <w:r w:rsidRPr="00622884">
              <w:rPr>
                <w:rFonts w:ascii="Garamond" w:eastAsia="SimSun" w:hAnsi="Garamond" w:cs="Times New Roman"/>
                <w:sz w:val="14"/>
                <w:szCs w:val="14"/>
                <w:lang w:eastAsia="en-US" w:bidi="sq-AL"/>
              </w:rPr>
              <w:t>1.200.000</w:t>
            </w:r>
          </w:p>
        </w:tc>
        <w:tc>
          <w:tcPr>
            <w:tcW w:w="272" w:type="pct"/>
            <w:vAlign w:val="center"/>
          </w:tcPr>
          <w:p w14:paraId="4097068E" w14:textId="77777777" w:rsidR="00622884" w:rsidRPr="00622884" w:rsidRDefault="00622884" w:rsidP="00622884">
            <w:pPr>
              <w:spacing w:after="0" w:line="240" w:lineRule="auto"/>
              <w:jc w:val="center"/>
              <w:rPr>
                <w:rFonts w:ascii="Garamond" w:eastAsia="Calibri" w:hAnsi="Garamond" w:cs="Calibri Light"/>
                <w:sz w:val="14"/>
                <w:szCs w:val="14"/>
                <w:lang w:eastAsia="en-US"/>
              </w:rPr>
            </w:pPr>
            <w:r w:rsidRPr="00622884">
              <w:rPr>
                <w:rFonts w:ascii="Garamond" w:eastAsia="SimSun" w:hAnsi="Garamond" w:cs="Times New Roman"/>
                <w:sz w:val="14"/>
                <w:szCs w:val="14"/>
                <w:lang w:eastAsia="en-US" w:bidi="sq-AL"/>
              </w:rPr>
              <w:t>AGJ</w:t>
            </w:r>
          </w:p>
        </w:tc>
      </w:tr>
      <w:tr w:rsidR="00622884" w:rsidRPr="00622884" w14:paraId="79774CB6" w14:textId="77777777" w:rsidTr="00622884">
        <w:trPr>
          <w:trHeight w:val="20"/>
          <w:jc w:val="center"/>
        </w:trPr>
        <w:tc>
          <w:tcPr>
            <w:tcW w:w="177" w:type="pct"/>
            <w:shd w:val="clear" w:color="auto" w:fill="E0F4F4"/>
            <w:vAlign w:val="center"/>
          </w:tcPr>
          <w:p w14:paraId="39A6E089" w14:textId="77777777" w:rsidR="00622884" w:rsidRPr="00622884" w:rsidRDefault="00622884" w:rsidP="00622884">
            <w:pPr>
              <w:spacing w:after="0" w:line="240" w:lineRule="auto"/>
              <w:jc w:val="center"/>
              <w:rPr>
                <w:rFonts w:ascii="Garamond" w:eastAsia="Calibri" w:hAnsi="Garamond" w:cs="Calibri Light"/>
                <w:b/>
                <w:bCs/>
                <w:sz w:val="14"/>
                <w:szCs w:val="14"/>
                <w:lang w:eastAsia="en-US"/>
              </w:rPr>
            </w:pPr>
            <w:r w:rsidRPr="00622884">
              <w:rPr>
                <w:rFonts w:ascii="Garamond" w:eastAsia="SimSun" w:hAnsi="Garamond" w:cs="Times New Roman"/>
                <w:b/>
                <w:sz w:val="14"/>
                <w:szCs w:val="14"/>
                <w:lang w:eastAsia="en-US" w:bidi="sq-AL"/>
              </w:rPr>
              <w:t>52</w:t>
            </w:r>
          </w:p>
        </w:tc>
        <w:tc>
          <w:tcPr>
            <w:tcW w:w="576" w:type="pct"/>
            <w:shd w:val="clear" w:color="auto" w:fill="E0F4F4"/>
            <w:vAlign w:val="center"/>
          </w:tcPr>
          <w:p w14:paraId="5200B2C6" w14:textId="77777777" w:rsidR="00622884" w:rsidRPr="00622884" w:rsidRDefault="00622884" w:rsidP="00622884">
            <w:pPr>
              <w:spacing w:after="0" w:line="240" w:lineRule="auto"/>
              <w:jc w:val="center"/>
              <w:rPr>
                <w:rFonts w:ascii="Garamond" w:eastAsia="Calibri" w:hAnsi="Garamond" w:cs="Calibri Light"/>
                <w:sz w:val="14"/>
                <w:szCs w:val="14"/>
                <w:lang w:eastAsia="en-US"/>
              </w:rPr>
            </w:pPr>
            <w:r w:rsidRPr="00622884">
              <w:rPr>
                <w:rFonts w:ascii="Garamond" w:eastAsia="SimSun" w:hAnsi="Garamond" w:cs="Times New Roman"/>
                <w:sz w:val="14"/>
                <w:szCs w:val="14"/>
                <w:lang w:eastAsia="en-US" w:bidi="sq-AL"/>
              </w:rPr>
              <w:t>Energjia</w:t>
            </w:r>
          </w:p>
        </w:tc>
        <w:tc>
          <w:tcPr>
            <w:tcW w:w="2877" w:type="pct"/>
            <w:shd w:val="clear" w:color="auto" w:fill="E0F4F4"/>
            <w:vAlign w:val="center"/>
          </w:tcPr>
          <w:p w14:paraId="7FD728F2" w14:textId="77777777" w:rsidR="00622884" w:rsidRPr="00622884" w:rsidRDefault="00622884" w:rsidP="00622884">
            <w:pPr>
              <w:spacing w:after="0" w:line="240" w:lineRule="auto"/>
              <w:jc w:val="left"/>
              <w:rPr>
                <w:rFonts w:ascii="Garamond" w:eastAsia="Calibri" w:hAnsi="Garamond" w:cs="Calibri Light"/>
                <w:sz w:val="14"/>
                <w:szCs w:val="14"/>
                <w:lang w:eastAsia="en-US"/>
              </w:rPr>
            </w:pPr>
            <w:r w:rsidRPr="00622884">
              <w:rPr>
                <w:rFonts w:ascii="Garamond" w:eastAsia="SimSun" w:hAnsi="Garamond" w:cs="Times New Roman"/>
                <w:sz w:val="14"/>
                <w:szCs w:val="14"/>
                <w:lang w:eastAsia="en-US" w:bidi="sq-AL"/>
              </w:rPr>
              <w:t>Mbrojtja e infrastrukturës energjetike nga erërat e forta: Rehabilitimi i nënstacioneve dhe linjave të transmetimit</w:t>
            </w:r>
          </w:p>
        </w:tc>
        <w:tc>
          <w:tcPr>
            <w:tcW w:w="485" w:type="pct"/>
            <w:shd w:val="clear" w:color="auto" w:fill="E0F4F4"/>
            <w:vAlign w:val="center"/>
          </w:tcPr>
          <w:p w14:paraId="7C4AD601" w14:textId="77777777" w:rsidR="00622884" w:rsidRPr="00622884" w:rsidRDefault="00622884" w:rsidP="00622884">
            <w:pPr>
              <w:spacing w:after="0" w:line="240" w:lineRule="auto"/>
              <w:jc w:val="center"/>
              <w:rPr>
                <w:rFonts w:ascii="Garamond" w:eastAsia="Calibri" w:hAnsi="Garamond" w:cs="Calibri Light"/>
                <w:sz w:val="14"/>
                <w:szCs w:val="14"/>
                <w:lang w:eastAsia="en-US"/>
              </w:rPr>
            </w:pPr>
            <w:r w:rsidRPr="00622884">
              <w:rPr>
                <w:rFonts w:ascii="Garamond" w:eastAsia="SimSun" w:hAnsi="Garamond" w:cs="Times New Roman"/>
                <w:sz w:val="14"/>
                <w:szCs w:val="14"/>
                <w:lang w:eastAsia="en-US" w:bidi="sq-AL"/>
              </w:rPr>
              <w:t>Zona gri</w:t>
            </w:r>
          </w:p>
        </w:tc>
        <w:tc>
          <w:tcPr>
            <w:tcW w:w="613" w:type="pct"/>
            <w:shd w:val="clear" w:color="auto" w:fill="E0F4F4"/>
            <w:vAlign w:val="center"/>
          </w:tcPr>
          <w:p w14:paraId="5E00DB93" w14:textId="77777777" w:rsidR="00622884" w:rsidRPr="00622884" w:rsidRDefault="00622884" w:rsidP="00622884">
            <w:pPr>
              <w:spacing w:after="0" w:line="240" w:lineRule="auto"/>
              <w:jc w:val="center"/>
              <w:rPr>
                <w:rFonts w:ascii="Garamond" w:eastAsia="Calibri" w:hAnsi="Garamond" w:cs="Calibri Light"/>
                <w:sz w:val="14"/>
                <w:szCs w:val="14"/>
                <w:lang w:eastAsia="en-US"/>
              </w:rPr>
            </w:pPr>
            <w:r w:rsidRPr="00622884">
              <w:rPr>
                <w:rFonts w:ascii="Garamond" w:eastAsia="SimSun" w:hAnsi="Garamond" w:cs="Times New Roman"/>
                <w:sz w:val="14"/>
                <w:szCs w:val="14"/>
                <w:lang w:eastAsia="en-US" w:bidi="sq-AL"/>
              </w:rPr>
              <w:t>986.298.000</w:t>
            </w:r>
          </w:p>
        </w:tc>
        <w:tc>
          <w:tcPr>
            <w:tcW w:w="272" w:type="pct"/>
            <w:shd w:val="clear" w:color="auto" w:fill="E0F4F4"/>
            <w:vAlign w:val="center"/>
          </w:tcPr>
          <w:p w14:paraId="61F46FF1" w14:textId="77777777" w:rsidR="00622884" w:rsidRPr="00622884" w:rsidRDefault="00622884" w:rsidP="00622884">
            <w:pPr>
              <w:spacing w:after="0" w:line="240" w:lineRule="auto"/>
              <w:jc w:val="center"/>
              <w:rPr>
                <w:rFonts w:ascii="Garamond" w:eastAsia="Calibri" w:hAnsi="Garamond" w:cs="Calibri Light"/>
                <w:sz w:val="14"/>
                <w:szCs w:val="14"/>
                <w:lang w:eastAsia="en-US"/>
              </w:rPr>
            </w:pPr>
            <w:r w:rsidRPr="00622884">
              <w:rPr>
                <w:rFonts w:ascii="Garamond" w:eastAsia="SimSun" w:hAnsi="Garamond" w:cs="Times New Roman"/>
                <w:sz w:val="14"/>
                <w:szCs w:val="14"/>
                <w:lang w:eastAsia="en-US" w:bidi="sq-AL"/>
              </w:rPr>
              <w:t>AM</w:t>
            </w:r>
          </w:p>
        </w:tc>
      </w:tr>
      <w:tr w:rsidR="00622884" w:rsidRPr="00622884" w14:paraId="3C9B2E80" w14:textId="77777777" w:rsidTr="00622884">
        <w:trPr>
          <w:trHeight w:val="20"/>
          <w:jc w:val="center"/>
        </w:trPr>
        <w:tc>
          <w:tcPr>
            <w:tcW w:w="177" w:type="pct"/>
            <w:shd w:val="clear" w:color="auto" w:fill="E0F4F4"/>
            <w:vAlign w:val="center"/>
          </w:tcPr>
          <w:p w14:paraId="70C6CBFD" w14:textId="77777777" w:rsidR="00622884" w:rsidRPr="00622884" w:rsidRDefault="00622884" w:rsidP="00622884">
            <w:pPr>
              <w:spacing w:after="0" w:line="240" w:lineRule="auto"/>
              <w:jc w:val="center"/>
              <w:rPr>
                <w:rFonts w:ascii="Garamond" w:eastAsia="Calibri" w:hAnsi="Garamond" w:cs="Calibri Light"/>
                <w:b/>
                <w:bCs/>
                <w:sz w:val="14"/>
                <w:szCs w:val="14"/>
                <w:lang w:eastAsia="en-US"/>
              </w:rPr>
            </w:pPr>
            <w:r w:rsidRPr="00622884">
              <w:rPr>
                <w:rFonts w:ascii="Garamond" w:eastAsia="SimSun" w:hAnsi="Garamond" w:cs="Times New Roman"/>
                <w:b/>
                <w:sz w:val="14"/>
                <w:szCs w:val="14"/>
                <w:lang w:eastAsia="en-US" w:bidi="sq-AL"/>
              </w:rPr>
              <w:t>53</w:t>
            </w:r>
          </w:p>
        </w:tc>
        <w:tc>
          <w:tcPr>
            <w:tcW w:w="576" w:type="pct"/>
            <w:shd w:val="clear" w:color="auto" w:fill="E0F4F4"/>
            <w:vAlign w:val="center"/>
          </w:tcPr>
          <w:p w14:paraId="158C9C14" w14:textId="77777777" w:rsidR="00622884" w:rsidRPr="00622884" w:rsidRDefault="00622884" w:rsidP="00622884">
            <w:pPr>
              <w:spacing w:after="0" w:line="240" w:lineRule="auto"/>
              <w:jc w:val="center"/>
              <w:rPr>
                <w:rFonts w:ascii="Garamond" w:eastAsia="Calibri" w:hAnsi="Garamond" w:cs="Calibri Light"/>
                <w:sz w:val="14"/>
                <w:szCs w:val="14"/>
                <w:lang w:eastAsia="en-US"/>
              </w:rPr>
            </w:pPr>
            <w:r w:rsidRPr="00622884">
              <w:rPr>
                <w:rFonts w:ascii="Garamond" w:eastAsia="SimSun" w:hAnsi="Garamond" w:cs="Times New Roman"/>
                <w:sz w:val="14"/>
                <w:szCs w:val="14"/>
                <w:lang w:eastAsia="en-US" w:bidi="sq-AL"/>
              </w:rPr>
              <w:t>Energjia</w:t>
            </w:r>
          </w:p>
        </w:tc>
        <w:tc>
          <w:tcPr>
            <w:tcW w:w="2877" w:type="pct"/>
            <w:shd w:val="clear" w:color="auto" w:fill="E0F4F4"/>
            <w:vAlign w:val="center"/>
          </w:tcPr>
          <w:p w14:paraId="4E4C65C9" w14:textId="77777777" w:rsidR="00622884" w:rsidRPr="00622884" w:rsidRDefault="00622884" w:rsidP="00622884">
            <w:pPr>
              <w:spacing w:after="0" w:line="240" w:lineRule="auto"/>
              <w:jc w:val="left"/>
              <w:rPr>
                <w:rFonts w:ascii="Garamond" w:eastAsia="Calibri" w:hAnsi="Garamond" w:cs="Calibri Light"/>
                <w:sz w:val="14"/>
                <w:szCs w:val="14"/>
                <w:lang w:eastAsia="en-US"/>
              </w:rPr>
            </w:pPr>
            <w:r w:rsidRPr="00622884">
              <w:rPr>
                <w:rFonts w:ascii="Garamond" w:eastAsia="SimSun" w:hAnsi="Garamond" w:cs="Times New Roman"/>
                <w:sz w:val="14"/>
                <w:szCs w:val="14"/>
                <w:lang w:eastAsia="en-US" w:bidi="sq-AL"/>
              </w:rPr>
              <w:t>Rritja e efikasitetit të ndërtesave: Certifikatat e Performancës së Energjisë dhe standardet e qëndrueshmërisë</w:t>
            </w:r>
          </w:p>
        </w:tc>
        <w:tc>
          <w:tcPr>
            <w:tcW w:w="485" w:type="pct"/>
            <w:shd w:val="clear" w:color="auto" w:fill="E0F4F4"/>
            <w:vAlign w:val="center"/>
          </w:tcPr>
          <w:p w14:paraId="63E9A489" w14:textId="77777777" w:rsidR="00622884" w:rsidRPr="00622884" w:rsidRDefault="00622884" w:rsidP="00622884">
            <w:pPr>
              <w:spacing w:after="0" w:line="240" w:lineRule="auto"/>
              <w:jc w:val="center"/>
              <w:rPr>
                <w:rFonts w:ascii="Garamond" w:eastAsia="Calibri" w:hAnsi="Garamond" w:cs="Calibri Light"/>
                <w:sz w:val="14"/>
                <w:szCs w:val="14"/>
                <w:lang w:eastAsia="en-US"/>
              </w:rPr>
            </w:pPr>
            <w:r w:rsidRPr="00622884">
              <w:rPr>
                <w:rFonts w:ascii="Garamond" w:eastAsia="SimSun" w:hAnsi="Garamond" w:cs="Times New Roman"/>
                <w:sz w:val="14"/>
                <w:szCs w:val="14"/>
                <w:lang w:eastAsia="en-US" w:bidi="sq-AL"/>
              </w:rPr>
              <w:t>Masë e butë</w:t>
            </w:r>
          </w:p>
        </w:tc>
        <w:tc>
          <w:tcPr>
            <w:tcW w:w="613" w:type="pct"/>
            <w:shd w:val="clear" w:color="auto" w:fill="E0F4F4"/>
            <w:vAlign w:val="center"/>
          </w:tcPr>
          <w:p w14:paraId="155A17C7" w14:textId="77777777" w:rsidR="00622884" w:rsidRPr="00622884" w:rsidRDefault="00622884" w:rsidP="00622884">
            <w:pPr>
              <w:spacing w:after="0" w:line="240" w:lineRule="auto"/>
              <w:jc w:val="center"/>
              <w:rPr>
                <w:rFonts w:ascii="Garamond" w:eastAsia="Calibri" w:hAnsi="Garamond" w:cs="Calibri Light"/>
                <w:sz w:val="14"/>
                <w:szCs w:val="14"/>
                <w:lang w:eastAsia="en-US"/>
              </w:rPr>
            </w:pPr>
            <w:r w:rsidRPr="00622884">
              <w:rPr>
                <w:rFonts w:ascii="Garamond" w:eastAsia="SimSun" w:hAnsi="Garamond" w:cs="Times New Roman"/>
                <w:sz w:val="14"/>
                <w:szCs w:val="14"/>
                <w:lang w:eastAsia="en-US" w:bidi="sq-AL"/>
              </w:rPr>
              <w:t>3.500.000</w:t>
            </w:r>
          </w:p>
        </w:tc>
        <w:tc>
          <w:tcPr>
            <w:tcW w:w="272" w:type="pct"/>
            <w:shd w:val="clear" w:color="auto" w:fill="E0F4F4"/>
            <w:vAlign w:val="center"/>
          </w:tcPr>
          <w:p w14:paraId="3C4EF85F" w14:textId="77777777" w:rsidR="00622884" w:rsidRPr="00622884" w:rsidRDefault="00622884" w:rsidP="00622884">
            <w:pPr>
              <w:spacing w:after="0" w:line="240" w:lineRule="auto"/>
              <w:jc w:val="center"/>
              <w:rPr>
                <w:rFonts w:ascii="Garamond" w:eastAsia="Calibri" w:hAnsi="Garamond" w:cs="Calibri Light"/>
                <w:sz w:val="14"/>
                <w:szCs w:val="14"/>
                <w:lang w:eastAsia="en-US"/>
              </w:rPr>
            </w:pPr>
            <w:r w:rsidRPr="00622884">
              <w:rPr>
                <w:rFonts w:ascii="Garamond" w:eastAsia="SimSun" w:hAnsi="Garamond" w:cs="Times New Roman"/>
                <w:sz w:val="14"/>
                <w:szCs w:val="14"/>
                <w:lang w:eastAsia="en-US" w:bidi="sq-AL"/>
              </w:rPr>
              <w:t>AM</w:t>
            </w:r>
          </w:p>
        </w:tc>
      </w:tr>
      <w:tr w:rsidR="00622884" w:rsidRPr="00622884" w14:paraId="63182905" w14:textId="77777777" w:rsidTr="00622884">
        <w:trPr>
          <w:trHeight w:val="20"/>
          <w:jc w:val="center"/>
        </w:trPr>
        <w:tc>
          <w:tcPr>
            <w:tcW w:w="177" w:type="pct"/>
            <w:shd w:val="clear" w:color="auto" w:fill="E0F4F4"/>
            <w:vAlign w:val="center"/>
          </w:tcPr>
          <w:p w14:paraId="2853C41C" w14:textId="77777777" w:rsidR="00622884" w:rsidRPr="00622884" w:rsidRDefault="00622884" w:rsidP="00622884">
            <w:pPr>
              <w:spacing w:after="0" w:line="240" w:lineRule="auto"/>
              <w:jc w:val="center"/>
              <w:rPr>
                <w:rFonts w:ascii="Garamond" w:eastAsia="Calibri" w:hAnsi="Garamond" w:cs="Calibri Light"/>
                <w:b/>
                <w:bCs/>
                <w:sz w:val="14"/>
                <w:szCs w:val="14"/>
                <w:lang w:eastAsia="en-US"/>
              </w:rPr>
            </w:pPr>
            <w:r w:rsidRPr="00622884">
              <w:rPr>
                <w:rFonts w:ascii="Garamond" w:eastAsia="SimSun" w:hAnsi="Garamond" w:cs="Times New Roman"/>
                <w:b/>
                <w:sz w:val="14"/>
                <w:szCs w:val="14"/>
                <w:lang w:eastAsia="en-US" w:bidi="sq-AL"/>
              </w:rPr>
              <w:t>54</w:t>
            </w:r>
          </w:p>
        </w:tc>
        <w:tc>
          <w:tcPr>
            <w:tcW w:w="576" w:type="pct"/>
            <w:shd w:val="clear" w:color="auto" w:fill="E0F4F4"/>
            <w:vAlign w:val="center"/>
          </w:tcPr>
          <w:p w14:paraId="30973752" w14:textId="77777777" w:rsidR="00622884" w:rsidRPr="00622884" w:rsidRDefault="00622884" w:rsidP="00622884">
            <w:pPr>
              <w:spacing w:after="0" w:line="240" w:lineRule="auto"/>
              <w:jc w:val="center"/>
              <w:rPr>
                <w:rFonts w:ascii="Garamond" w:eastAsia="Calibri" w:hAnsi="Garamond" w:cs="Calibri Light"/>
                <w:sz w:val="14"/>
                <w:szCs w:val="14"/>
                <w:lang w:eastAsia="en-US"/>
              </w:rPr>
            </w:pPr>
            <w:r w:rsidRPr="00622884">
              <w:rPr>
                <w:rFonts w:ascii="Garamond" w:eastAsia="SimSun" w:hAnsi="Garamond" w:cs="Times New Roman"/>
                <w:sz w:val="14"/>
                <w:szCs w:val="14"/>
                <w:lang w:eastAsia="en-US" w:bidi="sq-AL"/>
              </w:rPr>
              <w:t>Energjia</w:t>
            </w:r>
          </w:p>
        </w:tc>
        <w:tc>
          <w:tcPr>
            <w:tcW w:w="2877" w:type="pct"/>
            <w:shd w:val="clear" w:color="auto" w:fill="E0F4F4"/>
            <w:vAlign w:val="center"/>
          </w:tcPr>
          <w:p w14:paraId="343213C4" w14:textId="77777777" w:rsidR="00622884" w:rsidRPr="00622884" w:rsidRDefault="00622884" w:rsidP="00622884">
            <w:pPr>
              <w:spacing w:after="0" w:line="240" w:lineRule="auto"/>
              <w:jc w:val="left"/>
              <w:rPr>
                <w:rFonts w:ascii="Garamond" w:eastAsia="Calibri" w:hAnsi="Garamond" w:cs="Calibri Light"/>
                <w:sz w:val="14"/>
                <w:szCs w:val="14"/>
                <w:lang w:eastAsia="en-US"/>
              </w:rPr>
            </w:pPr>
            <w:r w:rsidRPr="00622884">
              <w:rPr>
                <w:rFonts w:ascii="Garamond" w:eastAsia="SimSun" w:hAnsi="Garamond" w:cs="Times New Roman"/>
                <w:sz w:val="14"/>
                <w:szCs w:val="14"/>
                <w:lang w:eastAsia="en-US" w:bidi="sq-AL"/>
              </w:rPr>
              <w:t>Eksplorimi i potencialit të sektorit të energjisë: Studime për menaxhimin e kërkesës dhe ruajtjen e energjisë</w:t>
            </w:r>
          </w:p>
        </w:tc>
        <w:tc>
          <w:tcPr>
            <w:tcW w:w="485" w:type="pct"/>
            <w:shd w:val="clear" w:color="auto" w:fill="E0F4F4"/>
            <w:vAlign w:val="center"/>
          </w:tcPr>
          <w:p w14:paraId="002D0AEB" w14:textId="77777777" w:rsidR="00622884" w:rsidRPr="00622884" w:rsidRDefault="00622884" w:rsidP="00622884">
            <w:pPr>
              <w:spacing w:after="0" w:line="240" w:lineRule="auto"/>
              <w:jc w:val="center"/>
              <w:rPr>
                <w:rFonts w:ascii="Garamond" w:eastAsia="Calibri" w:hAnsi="Garamond" w:cs="Calibri Light"/>
                <w:sz w:val="14"/>
                <w:szCs w:val="14"/>
                <w:lang w:eastAsia="en-US"/>
              </w:rPr>
            </w:pPr>
            <w:r w:rsidRPr="00622884">
              <w:rPr>
                <w:rFonts w:ascii="Garamond" w:eastAsia="SimSun" w:hAnsi="Garamond" w:cs="Times New Roman"/>
                <w:sz w:val="14"/>
                <w:szCs w:val="14"/>
                <w:lang w:eastAsia="en-US" w:bidi="sq-AL"/>
              </w:rPr>
              <w:t>Masë e butë</w:t>
            </w:r>
          </w:p>
        </w:tc>
        <w:tc>
          <w:tcPr>
            <w:tcW w:w="613" w:type="pct"/>
            <w:shd w:val="clear" w:color="auto" w:fill="E0F4F4"/>
            <w:vAlign w:val="center"/>
          </w:tcPr>
          <w:p w14:paraId="5B087C23" w14:textId="77777777" w:rsidR="00622884" w:rsidRPr="00622884" w:rsidRDefault="00622884" w:rsidP="00622884">
            <w:pPr>
              <w:spacing w:after="0" w:line="240" w:lineRule="auto"/>
              <w:jc w:val="center"/>
              <w:rPr>
                <w:rFonts w:ascii="Garamond" w:eastAsia="Calibri" w:hAnsi="Garamond" w:cs="Calibri Light"/>
                <w:sz w:val="14"/>
                <w:szCs w:val="14"/>
                <w:lang w:eastAsia="en-US"/>
              </w:rPr>
            </w:pPr>
            <w:r w:rsidRPr="00622884">
              <w:rPr>
                <w:rFonts w:ascii="Garamond" w:eastAsia="SimSun" w:hAnsi="Garamond" w:cs="Times New Roman"/>
                <w:sz w:val="14"/>
                <w:szCs w:val="14"/>
                <w:lang w:eastAsia="en-US" w:bidi="sq-AL"/>
              </w:rPr>
              <w:t>2.900.000</w:t>
            </w:r>
          </w:p>
        </w:tc>
        <w:tc>
          <w:tcPr>
            <w:tcW w:w="272" w:type="pct"/>
            <w:shd w:val="clear" w:color="auto" w:fill="E0F4F4"/>
            <w:vAlign w:val="center"/>
          </w:tcPr>
          <w:p w14:paraId="6F8F2F58" w14:textId="77777777" w:rsidR="00622884" w:rsidRPr="00622884" w:rsidRDefault="00622884" w:rsidP="00622884">
            <w:pPr>
              <w:spacing w:after="0" w:line="240" w:lineRule="auto"/>
              <w:jc w:val="center"/>
              <w:rPr>
                <w:rFonts w:ascii="Garamond" w:eastAsia="Calibri" w:hAnsi="Garamond" w:cs="Calibri Light"/>
                <w:sz w:val="14"/>
                <w:szCs w:val="14"/>
                <w:lang w:eastAsia="en-US"/>
              </w:rPr>
            </w:pPr>
            <w:r w:rsidRPr="00622884">
              <w:rPr>
                <w:rFonts w:ascii="Garamond" w:eastAsia="SimSun" w:hAnsi="Garamond" w:cs="Times New Roman"/>
                <w:sz w:val="14"/>
                <w:szCs w:val="14"/>
                <w:lang w:eastAsia="en-US" w:bidi="sq-AL"/>
              </w:rPr>
              <w:t>AM</w:t>
            </w:r>
          </w:p>
        </w:tc>
      </w:tr>
      <w:tr w:rsidR="00622884" w:rsidRPr="00622884" w14:paraId="3B730629" w14:textId="77777777" w:rsidTr="00622884">
        <w:trPr>
          <w:trHeight w:val="20"/>
          <w:jc w:val="center"/>
        </w:trPr>
        <w:tc>
          <w:tcPr>
            <w:tcW w:w="177" w:type="pct"/>
            <w:shd w:val="clear" w:color="auto" w:fill="E0F4F4"/>
            <w:vAlign w:val="center"/>
          </w:tcPr>
          <w:p w14:paraId="30EA8DF1" w14:textId="77777777" w:rsidR="00622884" w:rsidRPr="00622884" w:rsidRDefault="00622884" w:rsidP="00622884">
            <w:pPr>
              <w:spacing w:after="0" w:line="240" w:lineRule="auto"/>
              <w:jc w:val="center"/>
              <w:rPr>
                <w:rFonts w:ascii="Garamond" w:eastAsia="Calibri" w:hAnsi="Garamond" w:cs="Calibri Light"/>
                <w:b/>
                <w:bCs/>
                <w:sz w:val="14"/>
                <w:szCs w:val="14"/>
                <w:lang w:eastAsia="en-US"/>
              </w:rPr>
            </w:pPr>
            <w:r w:rsidRPr="00622884">
              <w:rPr>
                <w:rFonts w:ascii="Garamond" w:eastAsia="SimSun" w:hAnsi="Garamond" w:cs="Times New Roman"/>
                <w:b/>
                <w:sz w:val="14"/>
                <w:szCs w:val="14"/>
                <w:lang w:eastAsia="en-US" w:bidi="sq-AL"/>
              </w:rPr>
              <w:t>55</w:t>
            </w:r>
          </w:p>
        </w:tc>
        <w:tc>
          <w:tcPr>
            <w:tcW w:w="576" w:type="pct"/>
            <w:shd w:val="clear" w:color="auto" w:fill="E0F4F4"/>
            <w:vAlign w:val="center"/>
          </w:tcPr>
          <w:p w14:paraId="31542A52" w14:textId="77777777" w:rsidR="00622884" w:rsidRPr="00622884" w:rsidRDefault="00622884" w:rsidP="00622884">
            <w:pPr>
              <w:spacing w:after="0" w:line="240" w:lineRule="auto"/>
              <w:jc w:val="center"/>
              <w:rPr>
                <w:rFonts w:ascii="Garamond" w:eastAsia="Calibri" w:hAnsi="Garamond" w:cs="Calibri Light"/>
                <w:sz w:val="14"/>
                <w:szCs w:val="14"/>
                <w:lang w:eastAsia="en-US"/>
              </w:rPr>
            </w:pPr>
            <w:r w:rsidRPr="00622884">
              <w:rPr>
                <w:rFonts w:ascii="Garamond" w:eastAsia="SimSun" w:hAnsi="Garamond" w:cs="Times New Roman"/>
                <w:sz w:val="14"/>
                <w:szCs w:val="14"/>
                <w:lang w:eastAsia="en-US" w:bidi="sq-AL"/>
              </w:rPr>
              <w:t>Energjia</w:t>
            </w:r>
          </w:p>
        </w:tc>
        <w:tc>
          <w:tcPr>
            <w:tcW w:w="2877" w:type="pct"/>
            <w:shd w:val="clear" w:color="auto" w:fill="E0F4F4"/>
            <w:vAlign w:val="center"/>
          </w:tcPr>
          <w:p w14:paraId="04E8687B" w14:textId="77777777" w:rsidR="00622884" w:rsidRPr="00622884" w:rsidRDefault="00622884" w:rsidP="00622884">
            <w:pPr>
              <w:spacing w:after="0" w:line="240" w:lineRule="auto"/>
              <w:jc w:val="left"/>
              <w:rPr>
                <w:rFonts w:ascii="Garamond" w:eastAsia="Calibri" w:hAnsi="Garamond" w:cs="Calibri Light"/>
                <w:sz w:val="14"/>
                <w:szCs w:val="14"/>
                <w:lang w:eastAsia="en-US"/>
              </w:rPr>
            </w:pPr>
            <w:r w:rsidRPr="00622884">
              <w:rPr>
                <w:rFonts w:ascii="Garamond" w:eastAsia="SimSun" w:hAnsi="Garamond" w:cs="Times New Roman"/>
                <w:sz w:val="14"/>
                <w:szCs w:val="14"/>
                <w:lang w:eastAsia="en-US" w:bidi="sq-AL"/>
              </w:rPr>
              <w:t>Mbrojtja e infrastrukturës energjetike: Monitorimi i zonave të emergjencës dhe riskut</w:t>
            </w:r>
          </w:p>
        </w:tc>
        <w:tc>
          <w:tcPr>
            <w:tcW w:w="485" w:type="pct"/>
            <w:shd w:val="clear" w:color="auto" w:fill="E0F4F4"/>
            <w:vAlign w:val="center"/>
          </w:tcPr>
          <w:p w14:paraId="62FCDE3E" w14:textId="77777777" w:rsidR="00622884" w:rsidRPr="00622884" w:rsidRDefault="00622884" w:rsidP="00622884">
            <w:pPr>
              <w:spacing w:after="0" w:line="240" w:lineRule="auto"/>
              <w:jc w:val="center"/>
              <w:rPr>
                <w:rFonts w:ascii="Garamond" w:eastAsia="Calibri" w:hAnsi="Garamond" w:cs="Calibri Light"/>
                <w:sz w:val="14"/>
                <w:szCs w:val="14"/>
                <w:lang w:eastAsia="en-US"/>
              </w:rPr>
            </w:pPr>
            <w:r w:rsidRPr="00622884">
              <w:rPr>
                <w:rFonts w:ascii="Garamond" w:eastAsia="SimSun" w:hAnsi="Garamond" w:cs="Times New Roman"/>
                <w:sz w:val="14"/>
                <w:szCs w:val="14"/>
                <w:lang w:eastAsia="en-US" w:bidi="sq-AL"/>
              </w:rPr>
              <w:t>Masë e butë</w:t>
            </w:r>
          </w:p>
        </w:tc>
        <w:tc>
          <w:tcPr>
            <w:tcW w:w="613" w:type="pct"/>
            <w:shd w:val="clear" w:color="auto" w:fill="E0F4F4"/>
            <w:vAlign w:val="center"/>
          </w:tcPr>
          <w:p w14:paraId="19E6ED22" w14:textId="77777777" w:rsidR="00622884" w:rsidRPr="00622884" w:rsidRDefault="00622884" w:rsidP="00622884">
            <w:pPr>
              <w:spacing w:after="0" w:line="240" w:lineRule="auto"/>
              <w:jc w:val="center"/>
              <w:rPr>
                <w:rFonts w:ascii="Garamond" w:eastAsia="Calibri" w:hAnsi="Garamond" w:cs="Calibri Light"/>
                <w:sz w:val="14"/>
                <w:szCs w:val="14"/>
                <w:lang w:eastAsia="en-US"/>
              </w:rPr>
            </w:pPr>
            <w:r w:rsidRPr="00622884">
              <w:rPr>
                <w:rFonts w:ascii="Garamond" w:eastAsia="SimSun" w:hAnsi="Garamond" w:cs="Times New Roman"/>
                <w:sz w:val="14"/>
                <w:szCs w:val="14"/>
                <w:lang w:eastAsia="en-US" w:bidi="sq-AL"/>
              </w:rPr>
              <w:t>875 000</w:t>
            </w:r>
          </w:p>
        </w:tc>
        <w:tc>
          <w:tcPr>
            <w:tcW w:w="272" w:type="pct"/>
            <w:shd w:val="clear" w:color="auto" w:fill="E0F4F4"/>
            <w:vAlign w:val="center"/>
          </w:tcPr>
          <w:p w14:paraId="4B23E773" w14:textId="77777777" w:rsidR="00622884" w:rsidRPr="00622884" w:rsidRDefault="00622884" w:rsidP="00622884">
            <w:pPr>
              <w:spacing w:after="0" w:line="240" w:lineRule="auto"/>
              <w:jc w:val="center"/>
              <w:rPr>
                <w:rFonts w:ascii="Garamond" w:eastAsia="Calibri" w:hAnsi="Garamond" w:cs="Calibri Light"/>
                <w:sz w:val="14"/>
                <w:szCs w:val="14"/>
                <w:lang w:eastAsia="en-US"/>
              </w:rPr>
            </w:pPr>
            <w:r w:rsidRPr="00622884">
              <w:rPr>
                <w:rFonts w:ascii="Garamond" w:eastAsia="SimSun" w:hAnsi="Garamond" w:cs="Times New Roman"/>
                <w:sz w:val="14"/>
                <w:szCs w:val="14"/>
                <w:lang w:eastAsia="en-US" w:bidi="sq-AL"/>
              </w:rPr>
              <w:t>ASH</w:t>
            </w:r>
          </w:p>
        </w:tc>
      </w:tr>
      <w:tr w:rsidR="00622884" w:rsidRPr="00622884" w14:paraId="0717F8AE" w14:textId="77777777" w:rsidTr="00622884">
        <w:trPr>
          <w:trHeight w:val="20"/>
          <w:jc w:val="center"/>
        </w:trPr>
        <w:tc>
          <w:tcPr>
            <w:tcW w:w="177" w:type="pct"/>
            <w:shd w:val="clear" w:color="auto" w:fill="E0F4F4"/>
            <w:vAlign w:val="center"/>
          </w:tcPr>
          <w:p w14:paraId="46C03580" w14:textId="77777777" w:rsidR="00622884" w:rsidRPr="00622884" w:rsidRDefault="00622884" w:rsidP="00622884">
            <w:pPr>
              <w:spacing w:after="0" w:line="240" w:lineRule="auto"/>
              <w:jc w:val="center"/>
              <w:rPr>
                <w:rFonts w:ascii="Garamond" w:eastAsia="Calibri" w:hAnsi="Garamond" w:cs="Calibri Light"/>
                <w:b/>
                <w:bCs/>
                <w:sz w:val="14"/>
                <w:szCs w:val="14"/>
                <w:lang w:eastAsia="en-US"/>
              </w:rPr>
            </w:pPr>
            <w:r w:rsidRPr="00622884">
              <w:rPr>
                <w:rFonts w:ascii="Garamond" w:eastAsia="SimSun" w:hAnsi="Garamond" w:cs="Times New Roman"/>
                <w:b/>
                <w:sz w:val="14"/>
                <w:szCs w:val="14"/>
                <w:lang w:eastAsia="en-US" w:bidi="sq-AL"/>
              </w:rPr>
              <w:t>56</w:t>
            </w:r>
          </w:p>
        </w:tc>
        <w:tc>
          <w:tcPr>
            <w:tcW w:w="576" w:type="pct"/>
            <w:shd w:val="clear" w:color="auto" w:fill="E0F4F4"/>
            <w:vAlign w:val="center"/>
          </w:tcPr>
          <w:p w14:paraId="56D14AD6" w14:textId="77777777" w:rsidR="00622884" w:rsidRPr="00622884" w:rsidRDefault="00622884" w:rsidP="00622884">
            <w:pPr>
              <w:spacing w:after="0" w:line="240" w:lineRule="auto"/>
              <w:jc w:val="center"/>
              <w:rPr>
                <w:rFonts w:ascii="Garamond" w:eastAsia="Calibri" w:hAnsi="Garamond" w:cs="Calibri Light"/>
                <w:sz w:val="14"/>
                <w:szCs w:val="14"/>
                <w:lang w:eastAsia="en-US"/>
              </w:rPr>
            </w:pPr>
            <w:r w:rsidRPr="00622884">
              <w:rPr>
                <w:rFonts w:ascii="Garamond" w:eastAsia="SimSun" w:hAnsi="Garamond" w:cs="Times New Roman"/>
                <w:sz w:val="14"/>
                <w:szCs w:val="14"/>
                <w:lang w:eastAsia="en-US" w:bidi="sq-AL"/>
              </w:rPr>
              <w:t>Energjia</w:t>
            </w:r>
          </w:p>
        </w:tc>
        <w:tc>
          <w:tcPr>
            <w:tcW w:w="2877" w:type="pct"/>
            <w:shd w:val="clear" w:color="auto" w:fill="E0F4F4"/>
            <w:vAlign w:val="center"/>
          </w:tcPr>
          <w:p w14:paraId="3630DDB1" w14:textId="77777777" w:rsidR="00622884" w:rsidRPr="00622884" w:rsidRDefault="00622884" w:rsidP="00622884">
            <w:pPr>
              <w:spacing w:after="0" w:line="240" w:lineRule="auto"/>
              <w:jc w:val="left"/>
              <w:rPr>
                <w:rFonts w:ascii="Garamond" w:eastAsia="Calibri" w:hAnsi="Garamond" w:cs="Calibri Light"/>
                <w:sz w:val="14"/>
                <w:szCs w:val="14"/>
                <w:lang w:eastAsia="en-US"/>
              </w:rPr>
            </w:pPr>
            <w:r w:rsidRPr="00622884">
              <w:rPr>
                <w:rFonts w:ascii="Garamond" w:eastAsia="SimSun" w:hAnsi="Garamond" w:cs="Times New Roman"/>
                <w:sz w:val="14"/>
                <w:szCs w:val="14"/>
                <w:lang w:eastAsia="en-US" w:bidi="sq-AL"/>
              </w:rPr>
              <w:t xml:space="preserve">Rritja e aftësive ripërtëritëse ndaj valës së të nxehtit përmes vendosjes efikase të teknologjisë së kondicionimit të ajrit dhe strehimeve për mbrojtje ndaj ndryshimeve klimatike </w:t>
            </w:r>
          </w:p>
        </w:tc>
        <w:tc>
          <w:tcPr>
            <w:tcW w:w="485" w:type="pct"/>
            <w:shd w:val="clear" w:color="auto" w:fill="E0F4F4"/>
            <w:vAlign w:val="center"/>
          </w:tcPr>
          <w:p w14:paraId="0BB5A300" w14:textId="77777777" w:rsidR="00622884" w:rsidRPr="00622884" w:rsidRDefault="00622884" w:rsidP="00622884">
            <w:pPr>
              <w:spacing w:after="0" w:line="240" w:lineRule="auto"/>
              <w:jc w:val="center"/>
              <w:rPr>
                <w:rFonts w:ascii="Garamond" w:eastAsia="Calibri" w:hAnsi="Garamond" w:cs="Calibri Light"/>
                <w:sz w:val="14"/>
                <w:szCs w:val="14"/>
                <w:lang w:eastAsia="en-US"/>
              </w:rPr>
            </w:pPr>
            <w:r w:rsidRPr="00622884">
              <w:rPr>
                <w:rFonts w:ascii="Garamond" w:eastAsia="SimSun" w:hAnsi="Garamond" w:cs="Times New Roman"/>
                <w:sz w:val="14"/>
                <w:szCs w:val="14"/>
                <w:lang w:eastAsia="en-US" w:bidi="sq-AL"/>
              </w:rPr>
              <w:t>Masë e butë</w:t>
            </w:r>
          </w:p>
        </w:tc>
        <w:tc>
          <w:tcPr>
            <w:tcW w:w="613" w:type="pct"/>
            <w:shd w:val="clear" w:color="auto" w:fill="E0F4F4"/>
            <w:vAlign w:val="center"/>
          </w:tcPr>
          <w:p w14:paraId="523AE65B" w14:textId="77777777" w:rsidR="00622884" w:rsidRPr="00622884" w:rsidRDefault="00622884" w:rsidP="00622884">
            <w:pPr>
              <w:spacing w:after="0" w:line="240" w:lineRule="auto"/>
              <w:jc w:val="center"/>
              <w:rPr>
                <w:rFonts w:ascii="Garamond" w:eastAsia="Calibri" w:hAnsi="Garamond" w:cs="Calibri Light"/>
                <w:sz w:val="14"/>
                <w:szCs w:val="14"/>
                <w:lang w:eastAsia="en-US"/>
              </w:rPr>
            </w:pPr>
            <w:r w:rsidRPr="00622884">
              <w:rPr>
                <w:rFonts w:ascii="Garamond" w:eastAsia="SimSun" w:hAnsi="Garamond" w:cs="Times New Roman"/>
                <w:sz w:val="14"/>
                <w:szCs w:val="14"/>
                <w:lang w:eastAsia="en-US" w:bidi="sq-AL"/>
              </w:rPr>
              <w:t>38.200.000</w:t>
            </w:r>
          </w:p>
        </w:tc>
        <w:tc>
          <w:tcPr>
            <w:tcW w:w="272" w:type="pct"/>
            <w:shd w:val="clear" w:color="auto" w:fill="E0F4F4"/>
            <w:vAlign w:val="center"/>
          </w:tcPr>
          <w:p w14:paraId="38A4031B" w14:textId="77777777" w:rsidR="00622884" w:rsidRPr="00622884" w:rsidRDefault="00622884" w:rsidP="00622884">
            <w:pPr>
              <w:spacing w:after="0" w:line="240" w:lineRule="auto"/>
              <w:jc w:val="center"/>
              <w:rPr>
                <w:rFonts w:ascii="Garamond" w:eastAsia="Calibri" w:hAnsi="Garamond" w:cs="Calibri Light"/>
                <w:sz w:val="14"/>
                <w:szCs w:val="14"/>
                <w:lang w:eastAsia="en-US"/>
              </w:rPr>
            </w:pPr>
            <w:r w:rsidRPr="00622884">
              <w:rPr>
                <w:rFonts w:ascii="Garamond" w:eastAsia="SimSun" w:hAnsi="Garamond" w:cs="Times New Roman"/>
                <w:sz w:val="14"/>
                <w:szCs w:val="14"/>
                <w:lang w:eastAsia="en-US" w:bidi="sq-AL"/>
              </w:rPr>
              <w:t>AGJ</w:t>
            </w:r>
          </w:p>
        </w:tc>
      </w:tr>
      <w:tr w:rsidR="00622884" w:rsidRPr="00622884" w14:paraId="34A05419" w14:textId="77777777" w:rsidTr="00622884">
        <w:trPr>
          <w:trHeight w:val="20"/>
          <w:jc w:val="center"/>
        </w:trPr>
        <w:tc>
          <w:tcPr>
            <w:tcW w:w="177" w:type="pct"/>
            <w:shd w:val="clear" w:color="auto" w:fill="E0F4F4"/>
            <w:vAlign w:val="center"/>
          </w:tcPr>
          <w:p w14:paraId="3DABE4D5" w14:textId="77777777" w:rsidR="00622884" w:rsidRPr="00622884" w:rsidRDefault="00622884" w:rsidP="00622884">
            <w:pPr>
              <w:spacing w:after="0" w:line="240" w:lineRule="auto"/>
              <w:jc w:val="center"/>
              <w:rPr>
                <w:rFonts w:ascii="Garamond" w:eastAsia="Calibri" w:hAnsi="Garamond" w:cs="Calibri Light"/>
                <w:b/>
                <w:bCs/>
                <w:sz w:val="14"/>
                <w:szCs w:val="14"/>
                <w:lang w:eastAsia="en-US"/>
              </w:rPr>
            </w:pPr>
            <w:r w:rsidRPr="00622884">
              <w:rPr>
                <w:rFonts w:ascii="Garamond" w:eastAsia="SimSun" w:hAnsi="Garamond" w:cs="Times New Roman"/>
                <w:b/>
                <w:sz w:val="14"/>
                <w:szCs w:val="14"/>
                <w:lang w:eastAsia="en-US" w:bidi="sq-AL"/>
              </w:rPr>
              <w:t>57</w:t>
            </w:r>
          </w:p>
        </w:tc>
        <w:tc>
          <w:tcPr>
            <w:tcW w:w="576" w:type="pct"/>
            <w:shd w:val="clear" w:color="auto" w:fill="E0F4F4"/>
            <w:vAlign w:val="center"/>
          </w:tcPr>
          <w:p w14:paraId="06768D02" w14:textId="77777777" w:rsidR="00622884" w:rsidRPr="00622884" w:rsidRDefault="00622884" w:rsidP="00622884">
            <w:pPr>
              <w:spacing w:after="0" w:line="240" w:lineRule="auto"/>
              <w:jc w:val="center"/>
              <w:rPr>
                <w:rFonts w:ascii="Garamond" w:eastAsia="Calibri" w:hAnsi="Garamond" w:cs="Calibri Light"/>
                <w:sz w:val="14"/>
                <w:szCs w:val="14"/>
                <w:lang w:eastAsia="en-US"/>
              </w:rPr>
            </w:pPr>
            <w:r w:rsidRPr="00622884">
              <w:rPr>
                <w:rFonts w:ascii="Garamond" w:eastAsia="SimSun" w:hAnsi="Garamond" w:cs="Times New Roman"/>
                <w:sz w:val="14"/>
                <w:szCs w:val="14"/>
                <w:lang w:eastAsia="en-US" w:bidi="sq-AL"/>
              </w:rPr>
              <w:t>Energjia</w:t>
            </w:r>
          </w:p>
        </w:tc>
        <w:tc>
          <w:tcPr>
            <w:tcW w:w="2877" w:type="pct"/>
            <w:shd w:val="clear" w:color="auto" w:fill="E0F4F4"/>
            <w:vAlign w:val="center"/>
          </w:tcPr>
          <w:p w14:paraId="0D0C4019" w14:textId="77777777" w:rsidR="00622884" w:rsidRPr="00622884" w:rsidRDefault="00622884" w:rsidP="00622884">
            <w:pPr>
              <w:spacing w:after="0" w:line="240" w:lineRule="auto"/>
              <w:jc w:val="left"/>
              <w:rPr>
                <w:rFonts w:ascii="Garamond" w:eastAsia="Calibri" w:hAnsi="Garamond" w:cs="Calibri Light"/>
                <w:sz w:val="14"/>
                <w:szCs w:val="14"/>
                <w:lang w:eastAsia="en-US"/>
              </w:rPr>
            </w:pPr>
            <w:r w:rsidRPr="00622884">
              <w:rPr>
                <w:rFonts w:ascii="Garamond" w:eastAsia="SimSun" w:hAnsi="Garamond" w:cs="Times New Roman"/>
                <w:sz w:val="14"/>
                <w:szCs w:val="14"/>
                <w:lang w:eastAsia="en-US" w:bidi="sq-AL"/>
              </w:rPr>
              <w:t>Optimizimi i energjisë së rinovueshme për sisteme me aftësi ripërtëritëse: Investime në inovacionin e rrjetit dhe magazinimin</w:t>
            </w:r>
          </w:p>
        </w:tc>
        <w:tc>
          <w:tcPr>
            <w:tcW w:w="485" w:type="pct"/>
            <w:shd w:val="clear" w:color="auto" w:fill="E0F4F4"/>
            <w:vAlign w:val="center"/>
          </w:tcPr>
          <w:p w14:paraId="2A03C5AB" w14:textId="77777777" w:rsidR="00622884" w:rsidRPr="00622884" w:rsidRDefault="00622884" w:rsidP="00622884">
            <w:pPr>
              <w:spacing w:after="0" w:line="240" w:lineRule="auto"/>
              <w:jc w:val="center"/>
              <w:rPr>
                <w:rFonts w:ascii="Garamond" w:eastAsia="Calibri" w:hAnsi="Garamond" w:cs="Calibri Light"/>
                <w:sz w:val="14"/>
                <w:szCs w:val="14"/>
                <w:lang w:eastAsia="en-US"/>
              </w:rPr>
            </w:pPr>
            <w:r w:rsidRPr="00622884">
              <w:rPr>
                <w:rFonts w:ascii="Garamond" w:eastAsia="SimSun" w:hAnsi="Garamond" w:cs="Times New Roman"/>
                <w:sz w:val="14"/>
                <w:szCs w:val="14"/>
                <w:lang w:eastAsia="en-US" w:bidi="sq-AL"/>
              </w:rPr>
              <w:t>Masë e butë</w:t>
            </w:r>
          </w:p>
        </w:tc>
        <w:tc>
          <w:tcPr>
            <w:tcW w:w="613" w:type="pct"/>
            <w:shd w:val="clear" w:color="auto" w:fill="E0F4F4"/>
            <w:vAlign w:val="center"/>
          </w:tcPr>
          <w:p w14:paraId="6DC2E8A4" w14:textId="77777777" w:rsidR="00622884" w:rsidRPr="00622884" w:rsidRDefault="00622884" w:rsidP="00622884">
            <w:pPr>
              <w:spacing w:after="0" w:line="240" w:lineRule="auto"/>
              <w:jc w:val="center"/>
              <w:rPr>
                <w:rFonts w:ascii="Garamond" w:eastAsia="Calibri" w:hAnsi="Garamond" w:cs="Calibri Light"/>
                <w:sz w:val="14"/>
                <w:szCs w:val="14"/>
                <w:lang w:eastAsia="en-US"/>
              </w:rPr>
            </w:pPr>
            <w:r w:rsidRPr="00622884">
              <w:rPr>
                <w:rFonts w:ascii="Garamond" w:eastAsia="SimSun" w:hAnsi="Garamond" w:cs="Times New Roman"/>
                <w:sz w:val="14"/>
                <w:szCs w:val="14"/>
                <w:lang w:eastAsia="en-US" w:bidi="sq-AL"/>
              </w:rPr>
              <w:t>176.850.000</w:t>
            </w:r>
          </w:p>
        </w:tc>
        <w:tc>
          <w:tcPr>
            <w:tcW w:w="272" w:type="pct"/>
            <w:shd w:val="clear" w:color="auto" w:fill="E0F4F4"/>
            <w:vAlign w:val="center"/>
          </w:tcPr>
          <w:p w14:paraId="6963CC45" w14:textId="77777777" w:rsidR="00622884" w:rsidRPr="00622884" w:rsidRDefault="00622884" w:rsidP="00622884">
            <w:pPr>
              <w:spacing w:after="0" w:line="240" w:lineRule="auto"/>
              <w:jc w:val="center"/>
              <w:rPr>
                <w:rFonts w:ascii="Garamond" w:eastAsia="Calibri" w:hAnsi="Garamond" w:cs="Calibri Light"/>
                <w:sz w:val="14"/>
                <w:szCs w:val="14"/>
                <w:lang w:eastAsia="en-US"/>
              </w:rPr>
            </w:pPr>
            <w:r w:rsidRPr="00622884">
              <w:rPr>
                <w:rFonts w:ascii="Garamond" w:eastAsia="SimSun" w:hAnsi="Garamond" w:cs="Times New Roman"/>
                <w:sz w:val="14"/>
                <w:szCs w:val="14"/>
                <w:lang w:eastAsia="en-US" w:bidi="sq-AL"/>
              </w:rPr>
              <w:t>AGJ</w:t>
            </w:r>
          </w:p>
        </w:tc>
      </w:tr>
      <w:tr w:rsidR="00622884" w:rsidRPr="00622884" w14:paraId="64B2ED0E" w14:textId="77777777" w:rsidTr="00622884">
        <w:trPr>
          <w:trHeight w:val="20"/>
          <w:jc w:val="center"/>
        </w:trPr>
        <w:tc>
          <w:tcPr>
            <w:tcW w:w="177" w:type="pct"/>
            <w:shd w:val="clear" w:color="auto" w:fill="E0F4F4"/>
            <w:vAlign w:val="center"/>
          </w:tcPr>
          <w:p w14:paraId="05C7258B" w14:textId="77777777" w:rsidR="00622884" w:rsidRPr="00622884" w:rsidRDefault="00622884" w:rsidP="00622884">
            <w:pPr>
              <w:spacing w:after="0" w:line="240" w:lineRule="auto"/>
              <w:jc w:val="center"/>
              <w:rPr>
                <w:rFonts w:ascii="Garamond" w:eastAsia="Calibri" w:hAnsi="Garamond" w:cs="Calibri Light"/>
                <w:b/>
                <w:bCs/>
                <w:sz w:val="14"/>
                <w:szCs w:val="14"/>
                <w:lang w:eastAsia="en-US"/>
              </w:rPr>
            </w:pPr>
            <w:r w:rsidRPr="00622884">
              <w:rPr>
                <w:rFonts w:ascii="Garamond" w:eastAsia="SimSun" w:hAnsi="Garamond" w:cs="Times New Roman"/>
                <w:b/>
                <w:sz w:val="14"/>
                <w:szCs w:val="14"/>
                <w:lang w:eastAsia="en-US" w:bidi="sq-AL"/>
              </w:rPr>
              <w:t>58</w:t>
            </w:r>
          </w:p>
        </w:tc>
        <w:tc>
          <w:tcPr>
            <w:tcW w:w="576" w:type="pct"/>
            <w:shd w:val="clear" w:color="auto" w:fill="E0F4F4"/>
            <w:vAlign w:val="center"/>
          </w:tcPr>
          <w:p w14:paraId="43F7EC89" w14:textId="77777777" w:rsidR="00622884" w:rsidRPr="00622884" w:rsidRDefault="00622884" w:rsidP="00622884">
            <w:pPr>
              <w:spacing w:after="0" w:line="240" w:lineRule="auto"/>
              <w:jc w:val="center"/>
              <w:rPr>
                <w:rFonts w:ascii="Garamond" w:eastAsia="Calibri" w:hAnsi="Garamond" w:cs="Calibri Light"/>
                <w:sz w:val="14"/>
                <w:szCs w:val="14"/>
                <w:lang w:eastAsia="en-US"/>
              </w:rPr>
            </w:pPr>
            <w:r w:rsidRPr="00622884">
              <w:rPr>
                <w:rFonts w:ascii="Garamond" w:eastAsia="SimSun" w:hAnsi="Garamond" w:cs="Times New Roman"/>
                <w:sz w:val="14"/>
                <w:szCs w:val="14"/>
                <w:lang w:eastAsia="en-US" w:bidi="sq-AL"/>
              </w:rPr>
              <w:t>Energjia</w:t>
            </w:r>
          </w:p>
        </w:tc>
        <w:tc>
          <w:tcPr>
            <w:tcW w:w="2877" w:type="pct"/>
            <w:shd w:val="clear" w:color="auto" w:fill="E0F4F4"/>
            <w:vAlign w:val="center"/>
          </w:tcPr>
          <w:p w14:paraId="193A0F9A" w14:textId="77777777" w:rsidR="00622884" w:rsidRPr="00622884" w:rsidRDefault="00622884" w:rsidP="00622884">
            <w:pPr>
              <w:spacing w:after="0" w:line="240" w:lineRule="auto"/>
              <w:jc w:val="left"/>
              <w:rPr>
                <w:rFonts w:ascii="Garamond" w:eastAsia="Calibri" w:hAnsi="Garamond" w:cs="Calibri Light"/>
                <w:sz w:val="14"/>
                <w:szCs w:val="14"/>
                <w:lang w:eastAsia="en-US"/>
              </w:rPr>
            </w:pPr>
            <w:r w:rsidRPr="00622884">
              <w:rPr>
                <w:rFonts w:ascii="Garamond" w:eastAsia="SimSun" w:hAnsi="Garamond" w:cs="Times New Roman"/>
                <w:sz w:val="14"/>
                <w:szCs w:val="14"/>
                <w:lang w:eastAsia="en-US" w:bidi="sq-AL"/>
              </w:rPr>
              <w:t>Promovimi i barazisë gjinore në sektorin e energjisë: Trajnimi dhe mbështetja e grave në projektet për energjinë e rinovueshme</w:t>
            </w:r>
          </w:p>
        </w:tc>
        <w:tc>
          <w:tcPr>
            <w:tcW w:w="485" w:type="pct"/>
            <w:shd w:val="clear" w:color="auto" w:fill="E0F4F4"/>
            <w:vAlign w:val="center"/>
          </w:tcPr>
          <w:p w14:paraId="63753387" w14:textId="77777777" w:rsidR="00622884" w:rsidRPr="00622884" w:rsidRDefault="00622884" w:rsidP="00622884">
            <w:pPr>
              <w:spacing w:after="0" w:line="240" w:lineRule="auto"/>
              <w:jc w:val="center"/>
              <w:rPr>
                <w:rFonts w:ascii="Garamond" w:eastAsia="Calibri" w:hAnsi="Garamond" w:cs="Calibri Light"/>
                <w:sz w:val="14"/>
                <w:szCs w:val="14"/>
                <w:lang w:eastAsia="en-US"/>
              </w:rPr>
            </w:pPr>
            <w:r w:rsidRPr="00622884">
              <w:rPr>
                <w:rFonts w:ascii="Garamond" w:eastAsia="SimSun" w:hAnsi="Garamond" w:cs="Times New Roman"/>
                <w:sz w:val="14"/>
                <w:szCs w:val="14"/>
                <w:lang w:eastAsia="en-US" w:bidi="sq-AL"/>
              </w:rPr>
              <w:t>Masë e butë</w:t>
            </w:r>
          </w:p>
        </w:tc>
        <w:tc>
          <w:tcPr>
            <w:tcW w:w="613" w:type="pct"/>
            <w:shd w:val="clear" w:color="auto" w:fill="E0F4F4"/>
            <w:vAlign w:val="center"/>
          </w:tcPr>
          <w:p w14:paraId="22469ECE" w14:textId="77777777" w:rsidR="00622884" w:rsidRPr="00622884" w:rsidRDefault="00622884" w:rsidP="00622884">
            <w:pPr>
              <w:spacing w:after="0" w:line="240" w:lineRule="auto"/>
              <w:jc w:val="center"/>
              <w:rPr>
                <w:rFonts w:ascii="Garamond" w:eastAsia="Calibri" w:hAnsi="Garamond" w:cs="Calibri Light"/>
                <w:sz w:val="14"/>
                <w:szCs w:val="14"/>
                <w:lang w:eastAsia="en-US"/>
              </w:rPr>
            </w:pPr>
            <w:r w:rsidRPr="00622884">
              <w:rPr>
                <w:rFonts w:ascii="Garamond" w:eastAsia="SimSun" w:hAnsi="Garamond" w:cs="Times New Roman"/>
                <w:sz w:val="14"/>
                <w:szCs w:val="14"/>
                <w:lang w:eastAsia="en-US" w:bidi="sq-AL"/>
              </w:rPr>
              <w:t>4.900.000</w:t>
            </w:r>
          </w:p>
        </w:tc>
        <w:tc>
          <w:tcPr>
            <w:tcW w:w="272" w:type="pct"/>
            <w:shd w:val="clear" w:color="auto" w:fill="E0F4F4"/>
            <w:vAlign w:val="center"/>
          </w:tcPr>
          <w:p w14:paraId="0A4719BC" w14:textId="77777777" w:rsidR="00622884" w:rsidRPr="00622884" w:rsidRDefault="00622884" w:rsidP="00622884">
            <w:pPr>
              <w:spacing w:after="0" w:line="240" w:lineRule="auto"/>
              <w:jc w:val="center"/>
              <w:rPr>
                <w:rFonts w:ascii="Garamond" w:eastAsia="Calibri" w:hAnsi="Garamond" w:cs="Calibri Light"/>
                <w:sz w:val="14"/>
                <w:szCs w:val="14"/>
                <w:lang w:eastAsia="en-US"/>
              </w:rPr>
            </w:pPr>
            <w:r w:rsidRPr="00622884">
              <w:rPr>
                <w:rFonts w:ascii="Garamond" w:eastAsia="SimSun" w:hAnsi="Garamond" w:cs="Times New Roman"/>
                <w:sz w:val="14"/>
                <w:szCs w:val="14"/>
                <w:lang w:eastAsia="en-US" w:bidi="sq-AL"/>
              </w:rPr>
              <w:t>ASH</w:t>
            </w:r>
          </w:p>
        </w:tc>
      </w:tr>
      <w:tr w:rsidR="00622884" w:rsidRPr="00622884" w14:paraId="3BD8C892" w14:textId="77777777" w:rsidTr="00622884">
        <w:trPr>
          <w:trHeight w:val="20"/>
          <w:jc w:val="center"/>
        </w:trPr>
        <w:tc>
          <w:tcPr>
            <w:tcW w:w="177" w:type="pct"/>
            <w:shd w:val="clear" w:color="auto" w:fill="E0F4F4"/>
            <w:vAlign w:val="center"/>
          </w:tcPr>
          <w:p w14:paraId="3F3D0EEC" w14:textId="77777777" w:rsidR="00622884" w:rsidRPr="00622884" w:rsidRDefault="00622884" w:rsidP="00622884">
            <w:pPr>
              <w:spacing w:after="0" w:line="240" w:lineRule="auto"/>
              <w:jc w:val="center"/>
              <w:rPr>
                <w:rFonts w:ascii="Garamond" w:eastAsia="Calibri" w:hAnsi="Garamond" w:cs="Calibri Light"/>
                <w:b/>
                <w:bCs/>
                <w:sz w:val="14"/>
                <w:szCs w:val="14"/>
                <w:lang w:eastAsia="en-US"/>
              </w:rPr>
            </w:pPr>
            <w:r w:rsidRPr="00622884">
              <w:rPr>
                <w:rFonts w:ascii="Garamond" w:eastAsia="SimSun" w:hAnsi="Garamond" w:cs="Times New Roman"/>
                <w:b/>
                <w:sz w:val="14"/>
                <w:szCs w:val="14"/>
                <w:lang w:eastAsia="en-US" w:bidi="sq-AL"/>
              </w:rPr>
              <w:t>59</w:t>
            </w:r>
          </w:p>
        </w:tc>
        <w:tc>
          <w:tcPr>
            <w:tcW w:w="576" w:type="pct"/>
            <w:shd w:val="clear" w:color="auto" w:fill="E0F4F4"/>
            <w:vAlign w:val="center"/>
          </w:tcPr>
          <w:p w14:paraId="24724F99" w14:textId="77777777" w:rsidR="00622884" w:rsidRPr="00622884" w:rsidRDefault="00622884" w:rsidP="00622884">
            <w:pPr>
              <w:spacing w:after="0" w:line="240" w:lineRule="auto"/>
              <w:jc w:val="center"/>
              <w:rPr>
                <w:rFonts w:ascii="Garamond" w:eastAsia="Calibri" w:hAnsi="Garamond" w:cs="Calibri Light"/>
                <w:sz w:val="14"/>
                <w:szCs w:val="14"/>
                <w:lang w:eastAsia="en-US"/>
              </w:rPr>
            </w:pPr>
            <w:r w:rsidRPr="00622884">
              <w:rPr>
                <w:rFonts w:ascii="Garamond" w:eastAsia="SimSun" w:hAnsi="Garamond" w:cs="Times New Roman"/>
                <w:sz w:val="14"/>
                <w:szCs w:val="14"/>
                <w:lang w:eastAsia="en-US" w:bidi="sq-AL"/>
              </w:rPr>
              <w:t>Energjia</w:t>
            </w:r>
          </w:p>
        </w:tc>
        <w:tc>
          <w:tcPr>
            <w:tcW w:w="2877" w:type="pct"/>
            <w:shd w:val="clear" w:color="auto" w:fill="E0F4F4"/>
            <w:vAlign w:val="center"/>
          </w:tcPr>
          <w:p w14:paraId="50646E95" w14:textId="77777777" w:rsidR="00622884" w:rsidRPr="00622884" w:rsidRDefault="00622884" w:rsidP="00622884">
            <w:pPr>
              <w:spacing w:after="0" w:line="240" w:lineRule="auto"/>
              <w:jc w:val="left"/>
              <w:rPr>
                <w:rFonts w:ascii="Garamond" w:eastAsia="Calibri" w:hAnsi="Garamond" w:cs="Calibri Light"/>
                <w:sz w:val="14"/>
                <w:szCs w:val="14"/>
                <w:lang w:eastAsia="en-US"/>
              </w:rPr>
            </w:pPr>
            <w:r w:rsidRPr="00622884">
              <w:rPr>
                <w:rFonts w:ascii="Garamond" w:eastAsia="SimSun" w:hAnsi="Garamond" w:cs="Times New Roman"/>
                <w:sz w:val="14"/>
                <w:szCs w:val="14"/>
                <w:lang w:eastAsia="en-US" w:bidi="sq-AL"/>
              </w:rPr>
              <w:t>Përmirësimi i aftësive ripërtëritëse në sistemet e energjisë hidroelektrike Operacione të optimizuara dhe infrastrukturë e përforcuar</w:t>
            </w:r>
          </w:p>
        </w:tc>
        <w:tc>
          <w:tcPr>
            <w:tcW w:w="485" w:type="pct"/>
            <w:shd w:val="clear" w:color="auto" w:fill="E0F4F4"/>
            <w:vAlign w:val="center"/>
          </w:tcPr>
          <w:p w14:paraId="37F32757" w14:textId="77777777" w:rsidR="00622884" w:rsidRPr="00622884" w:rsidRDefault="00622884" w:rsidP="00622884">
            <w:pPr>
              <w:spacing w:after="0" w:line="240" w:lineRule="auto"/>
              <w:jc w:val="center"/>
              <w:rPr>
                <w:rFonts w:ascii="Garamond" w:eastAsia="Calibri" w:hAnsi="Garamond" w:cs="Calibri Light"/>
                <w:sz w:val="14"/>
                <w:szCs w:val="14"/>
                <w:lang w:eastAsia="en-US"/>
              </w:rPr>
            </w:pPr>
            <w:r w:rsidRPr="00622884">
              <w:rPr>
                <w:rFonts w:ascii="Garamond" w:eastAsia="SimSun" w:hAnsi="Garamond" w:cs="Times New Roman"/>
                <w:sz w:val="14"/>
                <w:szCs w:val="14"/>
                <w:lang w:eastAsia="en-US" w:bidi="sq-AL"/>
              </w:rPr>
              <w:t>Zona gri</w:t>
            </w:r>
          </w:p>
        </w:tc>
        <w:tc>
          <w:tcPr>
            <w:tcW w:w="613" w:type="pct"/>
            <w:shd w:val="clear" w:color="auto" w:fill="E0F4F4"/>
            <w:vAlign w:val="center"/>
          </w:tcPr>
          <w:p w14:paraId="06390CF3" w14:textId="77777777" w:rsidR="00622884" w:rsidRPr="00622884" w:rsidRDefault="00622884" w:rsidP="00622884">
            <w:pPr>
              <w:spacing w:after="0" w:line="240" w:lineRule="auto"/>
              <w:jc w:val="center"/>
              <w:rPr>
                <w:rFonts w:ascii="Garamond" w:eastAsia="Calibri" w:hAnsi="Garamond" w:cs="Calibri Light"/>
                <w:sz w:val="14"/>
                <w:szCs w:val="14"/>
                <w:lang w:eastAsia="en-US"/>
              </w:rPr>
            </w:pPr>
            <w:r w:rsidRPr="00622884">
              <w:rPr>
                <w:rFonts w:ascii="Garamond" w:eastAsia="SimSun" w:hAnsi="Garamond" w:cs="Times New Roman"/>
                <w:sz w:val="14"/>
                <w:szCs w:val="14"/>
                <w:lang w:eastAsia="en-US" w:bidi="sq-AL"/>
              </w:rPr>
              <w:t>747.050.000</w:t>
            </w:r>
          </w:p>
        </w:tc>
        <w:tc>
          <w:tcPr>
            <w:tcW w:w="272" w:type="pct"/>
            <w:shd w:val="clear" w:color="auto" w:fill="E0F4F4"/>
            <w:vAlign w:val="center"/>
          </w:tcPr>
          <w:p w14:paraId="55B27FAC" w14:textId="77777777" w:rsidR="00622884" w:rsidRPr="00622884" w:rsidRDefault="00622884" w:rsidP="00622884">
            <w:pPr>
              <w:spacing w:after="0" w:line="240" w:lineRule="auto"/>
              <w:jc w:val="center"/>
              <w:rPr>
                <w:rFonts w:ascii="Garamond" w:eastAsia="Calibri" w:hAnsi="Garamond" w:cs="Calibri Light"/>
                <w:sz w:val="14"/>
                <w:szCs w:val="14"/>
                <w:lang w:eastAsia="en-US"/>
              </w:rPr>
            </w:pPr>
            <w:r w:rsidRPr="00622884">
              <w:rPr>
                <w:rFonts w:ascii="Garamond" w:eastAsia="SimSun" w:hAnsi="Garamond" w:cs="Times New Roman"/>
                <w:sz w:val="14"/>
                <w:szCs w:val="14"/>
                <w:lang w:eastAsia="en-US" w:bidi="sq-AL"/>
              </w:rPr>
              <w:t>ASH</w:t>
            </w:r>
          </w:p>
        </w:tc>
      </w:tr>
      <w:tr w:rsidR="00622884" w:rsidRPr="00622884" w14:paraId="21C818D5" w14:textId="77777777" w:rsidTr="00622884">
        <w:trPr>
          <w:trHeight w:val="20"/>
          <w:jc w:val="center"/>
        </w:trPr>
        <w:tc>
          <w:tcPr>
            <w:tcW w:w="177" w:type="pct"/>
            <w:vAlign w:val="center"/>
          </w:tcPr>
          <w:p w14:paraId="06934FC6" w14:textId="77777777" w:rsidR="00622884" w:rsidRPr="00622884" w:rsidRDefault="00622884" w:rsidP="00622884">
            <w:pPr>
              <w:spacing w:after="0" w:line="240" w:lineRule="auto"/>
              <w:jc w:val="center"/>
              <w:rPr>
                <w:rFonts w:ascii="Garamond" w:eastAsia="Calibri" w:hAnsi="Garamond" w:cs="Calibri Light"/>
                <w:b/>
                <w:bCs/>
                <w:sz w:val="14"/>
                <w:szCs w:val="14"/>
                <w:lang w:eastAsia="en-US"/>
              </w:rPr>
            </w:pPr>
            <w:r w:rsidRPr="00622884">
              <w:rPr>
                <w:rFonts w:ascii="Garamond" w:eastAsia="SimSun" w:hAnsi="Garamond" w:cs="Times New Roman"/>
                <w:b/>
                <w:sz w:val="14"/>
                <w:szCs w:val="14"/>
                <w:lang w:eastAsia="en-US" w:bidi="sq-AL"/>
              </w:rPr>
              <w:t>60</w:t>
            </w:r>
          </w:p>
        </w:tc>
        <w:tc>
          <w:tcPr>
            <w:tcW w:w="576" w:type="pct"/>
            <w:vAlign w:val="center"/>
          </w:tcPr>
          <w:p w14:paraId="5C682463" w14:textId="77777777" w:rsidR="00622884" w:rsidRPr="00622884" w:rsidRDefault="00622884" w:rsidP="00622884">
            <w:pPr>
              <w:spacing w:after="0" w:line="240" w:lineRule="auto"/>
              <w:jc w:val="center"/>
              <w:rPr>
                <w:rFonts w:ascii="Garamond" w:eastAsia="Calibri" w:hAnsi="Garamond" w:cs="Calibri Light"/>
                <w:sz w:val="14"/>
                <w:szCs w:val="14"/>
                <w:lang w:eastAsia="en-US"/>
              </w:rPr>
            </w:pPr>
            <w:r w:rsidRPr="00622884">
              <w:rPr>
                <w:rFonts w:ascii="Garamond" w:eastAsia="SimSun" w:hAnsi="Garamond" w:cs="Times New Roman"/>
                <w:sz w:val="14"/>
                <w:szCs w:val="14"/>
                <w:lang w:eastAsia="en-US" w:bidi="sq-AL"/>
              </w:rPr>
              <w:t>Transporti</w:t>
            </w:r>
          </w:p>
        </w:tc>
        <w:tc>
          <w:tcPr>
            <w:tcW w:w="2877" w:type="pct"/>
            <w:vAlign w:val="center"/>
          </w:tcPr>
          <w:p w14:paraId="2248D26B" w14:textId="77777777" w:rsidR="00622884" w:rsidRPr="00622884" w:rsidRDefault="00622884" w:rsidP="00622884">
            <w:pPr>
              <w:spacing w:after="0" w:line="240" w:lineRule="auto"/>
              <w:jc w:val="left"/>
              <w:rPr>
                <w:rFonts w:ascii="Garamond" w:eastAsia="Calibri" w:hAnsi="Garamond" w:cs="Calibri Light"/>
                <w:sz w:val="14"/>
                <w:szCs w:val="14"/>
                <w:lang w:eastAsia="en-US"/>
              </w:rPr>
            </w:pPr>
            <w:r w:rsidRPr="00622884">
              <w:rPr>
                <w:rFonts w:ascii="Garamond" w:eastAsia="SimSun" w:hAnsi="Garamond" w:cs="Times New Roman"/>
                <w:sz w:val="14"/>
                <w:szCs w:val="14"/>
                <w:lang w:eastAsia="en-US" w:bidi="sq-AL"/>
              </w:rPr>
              <w:t>Analiza e rregullt e cenueshmërisë dhe riskut dhe përcaktimi i masave për përmirësimin e aftësive ripërtëritëse për infrastrukturën rrugore</w:t>
            </w:r>
          </w:p>
        </w:tc>
        <w:tc>
          <w:tcPr>
            <w:tcW w:w="485" w:type="pct"/>
            <w:vAlign w:val="center"/>
          </w:tcPr>
          <w:p w14:paraId="5EBD0E4A" w14:textId="77777777" w:rsidR="00622884" w:rsidRPr="00622884" w:rsidRDefault="00622884" w:rsidP="00622884">
            <w:pPr>
              <w:spacing w:after="0" w:line="240" w:lineRule="auto"/>
              <w:jc w:val="center"/>
              <w:rPr>
                <w:rFonts w:ascii="Garamond" w:eastAsia="Calibri" w:hAnsi="Garamond" w:cs="Calibri Light"/>
                <w:sz w:val="14"/>
                <w:szCs w:val="14"/>
                <w:lang w:eastAsia="en-US"/>
              </w:rPr>
            </w:pPr>
            <w:r w:rsidRPr="00622884">
              <w:rPr>
                <w:rFonts w:ascii="Garamond" w:eastAsia="SimSun" w:hAnsi="Garamond" w:cs="Times New Roman"/>
                <w:sz w:val="14"/>
                <w:szCs w:val="14"/>
                <w:lang w:eastAsia="en-US" w:bidi="sq-AL"/>
              </w:rPr>
              <w:t>Masë e butë</w:t>
            </w:r>
          </w:p>
        </w:tc>
        <w:tc>
          <w:tcPr>
            <w:tcW w:w="613" w:type="pct"/>
            <w:vAlign w:val="center"/>
          </w:tcPr>
          <w:p w14:paraId="15DA084C" w14:textId="77777777" w:rsidR="00622884" w:rsidRPr="00622884" w:rsidRDefault="00622884" w:rsidP="00622884">
            <w:pPr>
              <w:spacing w:after="0" w:line="240" w:lineRule="auto"/>
              <w:jc w:val="center"/>
              <w:rPr>
                <w:rFonts w:ascii="Garamond" w:eastAsia="Calibri" w:hAnsi="Garamond" w:cs="Calibri Light"/>
                <w:sz w:val="14"/>
                <w:szCs w:val="14"/>
                <w:lang w:eastAsia="en-US"/>
              </w:rPr>
            </w:pPr>
            <w:r w:rsidRPr="00622884">
              <w:rPr>
                <w:rFonts w:ascii="Garamond" w:eastAsia="SimSun" w:hAnsi="Garamond" w:cs="Times New Roman"/>
                <w:sz w:val="14"/>
                <w:szCs w:val="14"/>
                <w:lang w:eastAsia="en-US" w:bidi="sq-AL"/>
              </w:rPr>
              <w:t>457.000</w:t>
            </w:r>
          </w:p>
        </w:tc>
        <w:tc>
          <w:tcPr>
            <w:tcW w:w="272" w:type="pct"/>
            <w:vAlign w:val="center"/>
          </w:tcPr>
          <w:p w14:paraId="687D1629" w14:textId="77777777" w:rsidR="00622884" w:rsidRPr="00622884" w:rsidRDefault="00622884" w:rsidP="00622884">
            <w:pPr>
              <w:spacing w:after="0" w:line="240" w:lineRule="auto"/>
              <w:jc w:val="center"/>
              <w:rPr>
                <w:rFonts w:ascii="Garamond" w:eastAsia="Calibri" w:hAnsi="Garamond" w:cs="Calibri Light"/>
                <w:sz w:val="14"/>
                <w:szCs w:val="14"/>
                <w:lang w:eastAsia="en-US"/>
              </w:rPr>
            </w:pPr>
            <w:r w:rsidRPr="00622884">
              <w:rPr>
                <w:rFonts w:ascii="Garamond" w:eastAsia="SimSun" w:hAnsi="Garamond" w:cs="Times New Roman"/>
                <w:sz w:val="14"/>
                <w:szCs w:val="14"/>
                <w:lang w:eastAsia="en-US" w:bidi="sq-AL"/>
              </w:rPr>
              <w:t>ASH</w:t>
            </w:r>
          </w:p>
        </w:tc>
      </w:tr>
      <w:tr w:rsidR="00622884" w:rsidRPr="00622884" w14:paraId="444F1ADD" w14:textId="77777777" w:rsidTr="00622884">
        <w:trPr>
          <w:trHeight w:val="20"/>
          <w:jc w:val="center"/>
        </w:trPr>
        <w:tc>
          <w:tcPr>
            <w:tcW w:w="177" w:type="pct"/>
            <w:vAlign w:val="center"/>
          </w:tcPr>
          <w:p w14:paraId="146D7979" w14:textId="77777777" w:rsidR="00622884" w:rsidRPr="00622884" w:rsidRDefault="00622884" w:rsidP="00622884">
            <w:pPr>
              <w:spacing w:after="0" w:line="240" w:lineRule="auto"/>
              <w:jc w:val="center"/>
              <w:rPr>
                <w:rFonts w:ascii="Garamond" w:eastAsia="Calibri" w:hAnsi="Garamond" w:cs="Calibri Light"/>
                <w:b/>
                <w:bCs/>
                <w:sz w:val="14"/>
                <w:szCs w:val="14"/>
                <w:lang w:eastAsia="en-US"/>
              </w:rPr>
            </w:pPr>
            <w:r w:rsidRPr="00622884">
              <w:rPr>
                <w:rFonts w:ascii="Garamond" w:eastAsia="SimSun" w:hAnsi="Garamond" w:cs="Times New Roman"/>
                <w:b/>
                <w:sz w:val="14"/>
                <w:szCs w:val="14"/>
                <w:lang w:eastAsia="en-US" w:bidi="sq-AL"/>
              </w:rPr>
              <w:t>61</w:t>
            </w:r>
          </w:p>
        </w:tc>
        <w:tc>
          <w:tcPr>
            <w:tcW w:w="576" w:type="pct"/>
            <w:vAlign w:val="center"/>
          </w:tcPr>
          <w:p w14:paraId="46D9E57B" w14:textId="77777777" w:rsidR="00622884" w:rsidRPr="00622884" w:rsidRDefault="00622884" w:rsidP="00622884">
            <w:pPr>
              <w:spacing w:after="0" w:line="240" w:lineRule="auto"/>
              <w:jc w:val="center"/>
              <w:rPr>
                <w:rFonts w:ascii="Garamond" w:eastAsia="Calibri" w:hAnsi="Garamond" w:cs="Calibri Light"/>
                <w:sz w:val="14"/>
                <w:szCs w:val="14"/>
                <w:lang w:eastAsia="en-US"/>
              </w:rPr>
            </w:pPr>
            <w:r w:rsidRPr="00622884">
              <w:rPr>
                <w:rFonts w:ascii="Garamond" w:eastAsia="SimSun" w:hAnsi="Garamond" w:cs="Times New Roman"/>
                <w:sz w:val="14"/>
                <w:szCs w:val="14"/>
                <w:lang w:eastAsia="en-US" w:bidi="sq-AL"/>
              </w:rPr>
              <w:t>Transporti</w:t>
            </w:r>
          </w:p>
        </w:tc>
        <w:tc>
          <w:tcPr>
            <w:tcW w:w="2877" w:type="pct"/>
            <w:vAlign w:val="center"/>
          </w:tcPr>
          <w:p w14:paraId="30458750" w14:textId="77777777" w:rsidR="00622884" w:rsidRPr="00622884" w:rsidRDefault="00622884" w:rsidP="00622884">
            <w:pPr>
              <w:spacing w:after="0" w:line="240" w:lineRule="auto"/>
              <w:jc w:val="left"/>
              <w:rPr>
                <w:rFonts w:ascii="Garamond" w:eastAsia="Calibri" w:hAnsi="Garamond" w:cs="Calibri Light"/>
                <w:sz w:val="14"/>
                <w:szCs w:val="14"/>
                <w:lang w:eastAsia="en-US"/>
              </w:rPr>
            </w:pPr>
            <w:r w:rsidRPr="00622884">
              <w:rPr>
                <w:rFonts w:ascii="Garamond" w:eastAsia="SimSun" w:hAnsi="Garamond" w:cs="Times New Roman"/>
                <w:sz w:val="14"/>
                <w:szCs w:val="14"/>
                <w:lang w:eastAsia="en-US" w:bidi="sq-AL"/>
              </w:rPr>
              <w:t>Studimet gjeologjike për rrugët e qëndrueshme: Zgjidhje bioinxhinierike për të ulur risqet nga erozioni dhe përmbytje</w:t>
            </w:r>
          </w:p>
        </w:tc>
        <w:tc>
          <w:tcPr>
            <w:tcW w:w="485" w:type="pct"/>
            <w:vAlign w:val="center"/>
          </w:tcPr>
          <w:p w14:paraId="7664C38D" w14:textId="77777777" w:rsidR="00622884" w:rsidRPr="00622884" w:rsidRDefault="00622884" w:rsidP="00622884">
            <w:pPr>
              <w:spacing w:after="0" w:line="240" w:lineRule="auto"/>
              <w:jc w:val="center"/>
              <w:rPr>
                <w:rFonts w:ascii="Garamond" w:eastAsia="Calibri" w:hAnsi="Garamond" w:cs="Calibri Light"/>
                <w:sz w:val="14"/>
                <w:szCs w:val="14"/>
                <w:lang w:eastAsia="en-US"/>
              </w:rPr>
            </w:pPr>
            <w:r w:rsidRPr="00622884">
              <w:rPr>
                <w:rFonts w:ascii="Garamond" w:eastAsia="SimSun" w:hAnsi="Garamond" w:cs="Times New Roman"/>
                <w:sz w:val="14"/>
                <w:szCs w:val="14"/>
                <w:lang w:eastAsia="en-US" w:bidi="sq-AL"/>
              </w:rPr>
              <w:t>Masë e butë</w:t>
            </w:r>
          </w:p>
        </w:tc>
        <w:tc>
          <w:tcPr>
            <w:tcW w:w="613" w:type="pct"/>
            <w:vAlign w:val="center"/>
          </w:tcPr>
          <w:p w14:paraId="12AF00F8" w14:textId="77777777" w:rsidR="00622884" w:rsidRPr="00622884" w:rsidRDefault="00622884" w:rsidP="00622884">
            <w:pPr>
              <w:spacing w:after="0" w:line="240" w:lineRule="auto"/>
              <w:jc w:val="center"/>
              <w:rPr>
                <w:rFonts w:ascii="Garamond" w:eastAsia="Calibri" w:hAnsi="Garamond" w:cs="Calibri Light"/>
                <w:sz w:val="14"/>
                <w:szCs w:val="14"/>
                <w:lang w:eastAsia="en-US"/>
              </w:rPr>
            </w:pPr>
            <w:r w:rsidRPr="00622884">
              <w:rPr>
                <w:rFonts w:ascii="Garamond" w:eastAsia="SimSun" w:hAnsi="Garamond" w:cs="Times New Roman"/>
                <w:sz w:val="14"/>
                <w:szCs w:val="14"/>
                <w:lang w:eastAsia="en-US" w:bidi="sq-AL"/>
              </w:rPr>
              <w:t>2.900.000</w:t>
            </w:r>
          </w:p>
        </w:tc>
        <w:tc>
          <w:tcPr>
            <w:tcW w:w="272" w:type="pct"/>
            <w:vAlign w:val="center"/>
          </w:tcPr>
          <w:p w14:paraId="5EC4F09A" w14:textId="77777777" w:rsidR="00622884" w:rsidRPr="00622884" w:rsidRDefault="00622884" w:rsidP="00622884">
            <w:pPr>
              <w:spacing w:after="0" w:line="240" w:lineRule="auto"/>
              <w:jc w:val="center"/>
              <w:rPr>
                <w:rFonts w:ascii="Garamond" w:eastAsia="Calibri" w:hAnsi="Garamond" w:cs="Calibri Light"/>
                <w:sz w:val="14"/>
                <w:szCs w:val="14"/>
                <w:lang w:eastAsia="en-US"/>
              </w:rPr>
            </w:pPr>
            <w:r w:rsidRPr="00622884">
              <w:rPr>
                <w:rFonts w:ascii="Garamond" w:eastAsia="SimSun" w:hAnsi="Garamond" w:cs="Times New Roman"/>
                <w:sz w:val="14"/>
                <w:szCs w:val="14"/>
                <w:lang w:eastAsia="en-US" w:bidi="sq-AL"/>
              </w:rPr>
              <w:t>AM</w:t>
            </w:r>
          </w:p>
        </w:tc>
      </w:tr>
      <w:tr w:rsidR="00622884" w:rsidRPr="00622884" w14:paraId="04BB4E0C" w14:textId="77777777" w:rsidTr="00622884">
        <w:trPr>
          <w:trHeight w:val="20"/>
          <w:jc w:val="center"/>
        </w:trPr>
        <w:tc>
          <w:tcPr>
            <w:tcW w:w="177" w:type="pct"/>
            <w:vAlign w:val="center"/>
          </w:tcPr>
          <w:p w14:paraId="29C65EBD" w14:textId="77777777" w:rsidR="00622884" w:rsidRPr="00622884" w:rsidRDefault="00622884" w:rsidP="00622884">
            <w:pPr>
              <w:spacing w:after="0" w:line="240" w:lineRule="auto"/>
              <w:jc w:val="center"/>
              <w:rPr>
                <w:rFonts w:ascii="Garamond" w:eastAsia="Calibri" w:hAnsi="Garamond" w:cs="Calibri Light"/>
                <w:b/>
                <w:bCs/>
                <w:sz w:val="14"/>
                <w:szCs w:val="14"/>
                <w:lang w:eastAsia="en-US"/>
              </w:rPr>
            </w:pPr>
            <w:r w:rsidRPr="00622884">
              <w:rPr>
                <w:rFonts w:ascii="Garamond" w:eastAsia="SimSun" w:hAnsi="Garamond" w:cs="Times New Roman"/>
                <w:b/>
                <w:sz w:val="14"/>
                <w:szCs w:val="14"/>
                <w:lang w:eastAsia="en-US" w:bidi="sq-AL"/>
              </w:rPr>
              <w:t>62</w:t>
            </w:r>
          </w:p>
        </w:tc>
        <w:tc>
          <w:tcPr>
            <w:tcW w:w="576" w:type="pct"/>
            <w:vAlign w:val="center"/>
          </w:tcPr>
          <w:p w14:paraId="3A2D32F4" w14:textId="77777777" w:rsidR="00622884" w:rsidRPr="00622884" w:rsidRDefault="00622884" w:rsidP="00622884">
            <w:pPr>
              <w:spacing w:after="0" w:line="240" w:lineRule="auto"/>
              <w:jc w:val="center"/>
              <w:rPr>
                <w:rFonts w:ascii="Garamond" w:eastAsia="Calibri" w:hAnsi="Garamond" w:cs="Calibri Light"/>
                <w:sz w:val="14"/>
                <w:szCs w:val="14"/>
                <w:lang w:eastAsia="en-US"/>
              </w:rPr>
            </w:pPr>
            <w:r w:rsidRPr="00622884">
              <w:rPr>
                <w:rFonts w:ascii="Garamond" w:eastAsia="SimSun" w:hAnsi="Garamond" w:cs="Times New Roman"/>
                <w:sz w:val="14"/>
                <w:szCs w:val="14"/>
                <w:lang w:eastAsia="en-US" w:bidi="sq-AL"/>
              </w:rPr>
              <w:t>Transporti</w:t>
            </w:r>
          </w:p>
        </w:tc>
        <w:tc>
          <w:tcPr>
            <w:tcW w:w="2877" w:type="pct"/>
            <w:vAlign w:val="center"/>
          </w:tcPr>
          <w:p w14:paraId="7308A09E" w14:textId="77777777" w:rsidR="00622884" w:rsidRPr="00622884" w:rsidRDefault="00622884" w:rsidP="00622884">
            <w:pPr>
              <w:spacing w:after="0" w:line="240" w:lineRule="auto"/>
              <w:jc w:val="left"/>
              <w:rPr>
                <w:rFonts w:ascii="Garamond" w:eastAsia="Calibri" w:hAnsi="Garamond" w:cs="Calibri Light"/>
                <w:sz w:val="14"/>
                <w:szCs w:val="14"/>
                <w:lang w:eastAsia="en-US"/>
              </w:rPr>
            </w:pPr>
            <w:r w:rsidRPr="00622884">
              <w:rPr>
                <w:rFonts w:ascii="Garamond" w:eastAsia="SimSun" w:hAnsi="Garamond" w:cs="Times New Roman"/>
                <w:sz w:val="14"/>
                <w:szCs w:val="14"/>
                <w:lang w:eastAsia="en-US" w:bidi="sq-AL"/>
              </w:rPr>
              <w:t xml:space="preserve">Promovimi i lëvizshmërisë urbane të qëndrueshme dhe me aftësi ripërtëritëse ndaj ndryshimeve klimatike: hartimi dhe rishikimi i planeve të lëvizshmërisë urbane </w:t>
            </w:r>
          </w:p>
        </w:tc>
        <w:tc>
          <w:tcPr>
            <w:tcW w:w="485" w:type="pct"/>
            <w:vAlign w:val="center"/>
          </w:tcPr>
          <w:p w14:paraId="2D06AF68" w14:textId="77777777" w:rsidR="00622884" w:rsidRPr="00622884" w:rsidRDefault="00622884" w:rsidP="00622884">
            <w:pPr>
              <w:spacing w:after="0" w:line="240" w:lineRule="auto"/>
              <w:jc w:val="center"/>
              <w:rPr>
                <w:rFonts w:ascii="Garamond" w:eastAsia="Calibri" w:hAnsi="Garamond" w:cs="Calibri Light"/>
                <w:sz w:val="14"/>
                <w:szCs w:val="14"/>
                <w:lang w:eastAsia="en-US"/>
              </w:rPr>
            </w:pPr>
            <w:r w:rsidRPr="00622884">
              <w:rPr>
                <w:rFonts w:ascii="Garamond" w:eastAsia="SimSun" w:hAnsi="Garamond" w:cs="Times New Roman"/>
                <w:sz w:val="14"/>
                <w:szCs w:val="14"/>
                <w:lang w:eastAsia="en-US" w:bidi="sq-AL"/>
              </w:rPr>
              <w:t>Masë e butë</w:t>
            </w:r>
          </w:p>
        </w:tc>
        <w:tc>
          <w:tcPr>
            <w:tcW w:w="613" w:type="pct"/>
            <w:vAlign w:val="center"/>
          </w:tcPr>
          <w:p w14:paraId="7483F2BC" w14:textId="77777777" w:rsidR="00622884" w:rsidRPr="00622884" w:rsidRDefault="00622884" w:rsidP="00622884">
            <w:pPr>
              <w:spacing w:after="0" w:line="240" w:lineRule="auto"/>
              <w:jc w:val="center"/>
              <w:rPr>
                <w:rFonts w:ascii="Garamond" w:eastAsia="Calibri" w:hAnsi="Garamond" w:cs="Calibri Light"/>
                <w:sz w:val="14"/>
                <w:szCs w:val="14"/>
                <w:lang w:eastAsia="en-US"/>
              </w:rPr>
            </w:pPr>
            <w:r w:rsidRPr="00622884">
              <w:rPr>
                <w:rFonts w:ascii="Garamond" w:eastAsia="SimSun" w:hAnsi="Garamond" w:cs="Times New Roman"/>
                <w:sz w:val="14"/>
                <w:szCs w:val="14"/>
                <w:lang w:eastAsia="en-US" w:bidi="sq-AL"/>
              </w:rPr>
              <w:t>1.200.000</w:t>
            </w:r>
          </w:p>
        </w:tc>
        <w:tc>
          <w:tcPr>
            <w:tcW w:w="272" w:type="pct"/>
            <w:vAlign w:val="center"/>
          </w:tcPr>
          <w:p w14:paraId="0503FADB" w14:textId="77777777" w:rsidR="00622884" w:rsidRPr="00622884" w:rsidRDefault="00622884" w:rsidP="00622884">
            <w:pPr>
              <w:spacing w:after="0" w:line="240" w:lineRule="auto"/>
              <w:jc w:val="center"/>
              <w:rPr>
                <w:rFonts w:ascii="Garamond" w:eastAsia="Calibri" w:hAnsi="Garamond" w:cs="Calibri Light"/>
                <w:sz w:val="14"/>
                <w:szCs w:val="14"/>
                <w:lang w:eastAsia="en-US"/>
              </w:rPr>
            </w:pPr>
            <w:r w:rsidRPr="00622884">
              <w:rPr>
                <w:rFonts w:ascii="Garamond" w:eastAsia="SimSun" w:hAnsi="Garamond" w:cs="Times New Roman"/>
                <w:sz w:val="14"/>
                <w:szCs w:val="14"/>
                <w:lang w:eastAsia="en-US" w:bidi="sq-AL"/>
              </w:rPr>
              <w:t>ASH</w:t>
            </w:r>
          </w:p>
        </w:tc>
      </w:tr>
      <w:tr w:rsidR="00622884" w:rsidRPr="00622884" w14:paraId="5356C91D" w14:textId="77777777" w:rsidTr="00622884">
        <w:trPr>
          <w:trHeight w:val="20"/>
          <w:jc w:val="center"/>
        </w:trPr>
        <w:tc>
          <w:tcPr>
            <w:tcW w:w="177" w:type="pct"/>
            <w:vAlign w:val="center"/>
          </w:tcPr>
          <w:p w14:paraId="20ADD576" w14:textId="77777777" w:rsidR="00622884" w:rsidRPr="00622884" w:rsidRDefault="00622884" w:rsidP="00622884">
            <w:pPr>
              <w:spacing w:after="0" w:line="240" w:lineRule="auto"/>
              <w:jc w:val="center"/>
              <w:rPr>
                <w:rFonts w:ascii="Garamond" w:eastAsia="Calibri" w:hAnsi="Garamond" w:cs="Calibri Light"/>
                <w:b/>
                <w:bCs/>
                <w:sz w:val="14"/>
                <w:szCs w:val="14"/>
                <w:lang w:eastAsia="en-US"/>
              </w:rPr>
            </w:pPr>
            <w:r w:rsidRPr="00622884">
              <w:rPr>
                <w:rFonts w:ascii="Garamond" w:eastAsia="SimSun" w:hAnsi="Garamond" w:cs="Times New Roman"/>
                <w:b/>
                <w:sz w:val="14"/>
                <w:szCs w:val="14"/>
                <w:lang w:eastAsia="en-US" w:bidi="sq-AL"/>
              </w:rPr>
              <w:t>63</w:t>
            </w:r>
          </w:p>
        </w:tc>
        <w:tc>
          <w:tcPr>
            <w:tcW w:w="576" w:type="pct"/>
            <w:vAlign w:val="center"/>
          </w:tcPr>
          <w:p w14:paraId="47E2E50F" w14:textId="77777777" w:rsidR="00622884" w:rsidRPr="00622884" w:rsidRDefault="00622884" w:rsidP="00622884">
            <w:pPr>
              <w:spacing w:after="0" w:line="240" w:lineRule="auto"/>
              <w:jc w:val="center"/>
              <w:rPr>
                <w:rFonts w:ascii="Garamond" w:eastAsia="Calibri" w:hAnsi="Garamond" w:cs="Calibri Light"/>
                <w:sz w:val="14"/>
                <w:szCs w:val="14"/>
                <w:lang w:eastAsia="en-US"/>
              </w:rPr>
            </w:pPr>
            <w:r w:rsidRPr="00622884">
              <w:rPr>
                <w:rFonts w:ascii="Garamond" w:eastAsia="SimSun" w:hAnsi="Garamond" w:cs="Times New Roman"/>
                <w:sz w:val="14"/>
                <w:szCs w:val="14"/>
                <w:lang w:eastAsia="en-US" w:bidi="sq-AL"/>
              </w:rPr>
              <w:t>Transporti</w:t>
            </w:r>
          </w:p>
        </w:tc>
        <w:tc>
          <w:tcPr>
            <w:tcW w:w="2877" w:type="pct"/>
            <w:vAlign w:val="center"/>
          </w:tcPr>
          <w:p w14:paraId="667A5E71" w14:textId="77777777" w:rsidR="00622884" w:rsidRPr="00622884" w:rsidRDefault="00622884" w:rsidP="00622884">
            <w:pPr>
              <w:spacing w:after="0" w:line="240" w:lineRule="auto"/>
              <w:jc w:val="left"/>
              <w:rPr>
                <w:rFonts w:ascii="Garamond" w:eastAsia="Calibri" w:hAnsi="Garamond" w:cs="Calibri Light"/>
                <w:sz w:val="14"/>
                <w:szCs w:val="14"/>
                <w:lang w:eastAsia="en-US"/>
              </w:rPr>
            </w:pPr>
            <w:r w:rsidRPr="00622884">
              <w:rPr>
                <w:rFonts w:ascii="Garamond" w:eastAsia="SimSun" w:hAnsi="Garamond" w:cs="Times New Roman"/>
                <w:sz w:val="14"/>
                <w:szCs w:val="14"/>
                <w:lang w:eastAsia="en-US" w:bidi="sq-AL"/>
              </w:rPr>
              <w:t>Përshtatja e infrastrukturës kritike të transportit: Vlerësimi i avancuar i riskut dhe zgjidhje të projektimit me aftësi ripërtëritëse</w:t>
            </w:r>
          </w:p>
        </w:tc>
        <w:tc>
          <w:tcPr>
            <w:tcW w:w="485" w:type="pct"/>
            <w:vAlign w:val="center"/>
          </w:tcPr>
          <w:p w14:paraId="7F8607C3" w14:textId="77777777" w:rsidR="00622884" w:rsidRPr="00622884" w:rsidRDefault="00622884" w:rsidP="00622884">
            <w:pPr>
              <w:spacing w:after="0" w:line="240" w:lineRule="auto"/>
              <w:jc w:val="center"/>
              <w:rPr>
                <w:rFonts w:ascii="Garamond" w:eastAsia="Calibri" w:hAnsi="Garamond" w:cs="Calibri Light"/>
                <w:sz w:val="14"/>
                <w:szCs w:val="14"/>
                <w:lang w:eastAsia="en-US"/>
              </w:rPr>
            </w:pPr>
            <w:r w:rsidRPr="00622884">
              <w:rPr>
                <w:rFonts w:ascii="Garamond" w:eastAsia="SimSun" w:hAnsi="Garamond" w:cs="Times New Roman"/>
                <w:sz w:val="14"/>
                <w:szCs w:val="14"/>
                <w:lang w:eastAsia="en-US" w:bidi="sq-AL"/>
              </w:rPr>
              <w:t>Masë e butë</w:t>
            </w:r>
          </w:p>
        </w:tc>
        <w:tc>
          <w:tcPr>
            <w:tcW w:w="613" w:type="pct"/>
            <w:vAlign w:val="center"/>
          </w:tcPr>
          <w:p w14:paraId="53E4C790" w14:textId="77777777" w:rsidR="00622884" w:rsidRPr="00622884" w:rsidRDefault="00622884" w:rsidP="00622884">
            <w:pPr>
              <w:spacing w:after="0" w:line="240" w:lineRule="auto"/>
              <w:jc w:val="center"/>
              <w:rPr>
                <w:rFonts w:ascii="Garamond" w:eastAsia="Calibri" w:hAnsi="Garamond" w:cs="Calibri Light"/>
                <w:sz w:val="14"/>
                <w:szCs w:val="14"/>
                <w:lang w:eastAsia="en-US"/>
              </w:rPr>
            </w:pPr>
            <w:r w:rsidRPr="00622884">
              <w:rPr>
                <w:rFonts w:ascii="Garamond" w:eastAsia="SimSun" w:hAnsi="Garamond" w:cs="Times New Roman"/>
                <w:sz w:val="14"/>
                <w:szCs w:val="14"/>
                <w:lang w:eastAsia="en-US" w:bidi="sq-AL"/>
              </w:rPr>
              <w:t>2.700.000</w:t>
            </w:r>
          </w:p>
        </w:tc>
        <w:tc>
          <w:tcPr>
            <w:tcW w:w="272" w:type="pct"/>
            <w:vAlign w:val="center"/>
          </w:tcPr>
          <w:p w14:paraId="0AC8C5BE" w14:textId="77777777" w:rsidR="00622884" w:rsidRPr="00622884" w:rsidRDefault="00622884" w:rsidP="00622884">
            <w:pPr>
              <w:spacing w:after="0" w:line="240" w:lineRule="auto"/>
              <w:jc w:val="center"/>
              <w:rPr>
                <w:rFonts w:ascii="Garamond" w:eastAsia="Calibri" w:hAnsi="Garamond" w:cs="Calibri Light"/>
                <w:sz w:val="14"/>
                <w:szCs w:val="14"/>
                <w:lang w:eastAsia="en-US"/>
              </w:rPr>
            </w:pPr>
            <w:r w:rsidRPr="00622884">
              <w:rPr>
                <w:rFonts w:ascii="Garamond" w:eastAsia="SimSun" w:hAnsi="Garamond" w:cs="Times New Roman"/>
                <w:sz w:val="14"/>
                <w:szCs w:val="14"/>
                <w:lang w:eastAsia="en-US" w:bidi="sq-AL"/>
              </w:rPr>
              <w:t>ASH</w:t>
            </w:r>
          </w:p>
        </w:tc>
      </w:tr>
      <w:tr w:rsidR="00622884" w:rsidRPr="00622884" w14:paraId="2A523C31" w14:textId="77777777" w:rsidTr="00622884">
        <w:trPr>
          <w:trHeight w:val="20"/>
          <w:jc w:val="center"/>
        </w:trPr>
        <w:tc>
          <w:tcPr>
            <w:tcW w:w="177" w:type="pct"/>
            <w:vAlign w:val="center"/>
          </w:tcPr>
          <w:p w14:paraId="436E3520" w14:textId="77777777" w:rsidR="00622884" w:rsidRPr="00622884" w:rsidRDefault="00622884" w:rsidP="00622884">
            <w:pPr>
              <w:spacing w:after="0" w:line="240" w:lineRule="auto"/>
              <w:jc w:val="center"/>
              <w:rPr>
                <w:rFonts w:ascii="Garamond" w:eastAsia="Calibri" w:hAnsi="Garamond" w:cs="Calibri Light"/>
                <w:b/>
                <w:bCs/>
                <w:sz w:val="14"/>
                <w:szCs w:val="14"/>
                <w:lang w:eastAsia="en-US"/>
              </w:rPr>
            </w:pPr>
            <w:r w:rsidRPr="00622884">
              <w:rPr>
                <w:rFonts w:ascii="Garamond" w:eastAsia="SimSun" w:hAnsi="Garamond" w:cs="Times New Roman"/>
                <w:b/>
                <w:sz w:val="14"/>
                <w:szCs w:val="14"/>
                <w:lang w:eastAsia="en-US" w:bidi="sq-AL"/>
              </w:rPr>
              <w:t>64</w:t>
            </w:r>
          </w:p>
        </w:tc>
        <w:tc>
          <w:tcPr>
            <w:tcW w:w="576" w:type="pct"/>
            <w:vAlign w:val="center"/>
          </w:tcPr>
          <w:p w14:paraId="75F8F36C" w14:textId="77777777" w:rsidR="00622884" w:rsidRPr="00622884" w:rsidRDefault="00622884" w:rsidP="00622884">
            <w:pPr>
              <w:spacing w:after="0" w:line="240" w:lineRule="auto"/>
              <w:jc w:val="center"/>
              <w:rPr>
                <w:rFonts w:ascii="Garamond" w:eastAsia="Calibri" w:hAnsi="Garamond" w:cs="Calibri Light"/>
                <w:sz w:val="14"/>
                <w:szCs w:val="14"/>
                <w:lang w:eastAsia="en-US"/>
              </w:rPr>
            </w:pPr>
            <w:r w:rsidRPr="00622884">
              <w:rPr>
                <w:rFonts w:ascii="Garamond" w:eastAsia="SimSun" w:hAnsi="Garamond" w:cs="Times New Roman"/>
                <w:sz w:val="14"/>
                <w:szCs w:val="14"/>
                <w:lang w:eastAsia="en-US" w:bidi="sq-AL"/>
              </w:rPr>
              <w:t>Transporti</w:t>
            </w:r>
          </w:p>
        </w:tc>
        <w:tc>
          <w:tcPr>
            <w:tcW w:w="2877" w:type="pct"/>
            <w:vAlign w:val="center"/>
          </w:tcPr>
          <w:p w14:paraId="6A9F7E87" w14:textId="77777777" w:rsidR="00622884" w:rsidRPr="00622884" w:rsidRDefault="00622884" w:rsidP="00622884">
            <w:pPr>
              <w:spacing w:after="0" w:line="240" w:lineRule="auto"/>
              <w:jc w:val="left"/>
              <w:rPr>
                <w:rFonts w:ascii="Garamond" w:eastAsia="Calibri" w:hAnsi="Garamond" w:cs="Calibri Light"/>
                <w:sz w:val="14"/>
                <w:szCs w:val="14"/>
                <w:lang w:eastAsia="en-US"/>
              </w:rPr>
            </w:pPr>
            <w:r w:rsidRPr="00622884">
              <w:rPr>
                <w:rFonts w:ascii="Garamond" w:eastAsia="SimSun" w:hAnsi="Garamond" w:cs="Times New Roman"/>
                <w:sz w:val="14"/>
                <w:szCs w:val="14"/>
                <w:lang w:eastAsia="en-US" w:bidi="sq-AL"/>
              </w:rPr>
              <w:t>Integrimi i zgjidhjeve të bazuara në natyrë dhe përshtatjes së bazuar në mjedis për aftësitë ripërtëritëse të sektorit të transportit: Përmirësimi i infrastrukturës përmes përshtatjes së bazuar në natyrë dhe ekosisteme</w:t>
            </w:r>
          </w:p>
        </w:tc>
        <w:tc>
          <w:tcPr>
            <w:tcW w:w="485" w:type="pct"/>
            <w:vAlign w:val="center"/>
          </w:tcPr>
          <w:p w14:paraId="03C5EA79" w14:textId="77777777" w:rsidR="00622884" w:rsidRPr="00622884" w:rsidRDefault="00622884" w:rsidP="00622884">
            <w:pPr>
              <w:spacing w:after="0" w:line="240" w:lineRule="auto"/>
              <w:jc w:val="center"/>
              <w:rPr>
                <w:rFonts w:ascii="Garamond" w:eastAsia="Calibri" w:hAnsi="Garamond" w:cs="Calibri Light"/>
                <w:sz w:val="14"/>
                <w:szCs w:val="14"/>
                <w:lang w:eastAsia="en-US"/>
              </w:rPr>
            </w:pPr>
            <w:r w:rsidRPr="00622884">
              <w:rPr>
                <w:rFonts w:ascii="Garamond" w:eastAsia="SimSun" w:hAnsi="Garamond" w:cs="Times New Roman"/>
                <w:sz w:val="14"/>
                <w:szCs w:val="14"/>
                <w:lang w:eastAsia="en-US" w:bidi="sq-AL"/>
              </w:rPr>
              <w:t>E gjelbër</w:t>
            </w:r>
          </w:p>
        </w:tc>
        <w:tc>
          <w:tcPr>
            <w:tcW w:w="613" w:type="pct"/>
            <w:vAlign w:val="center"/>
          </w:tcPr>
          <w:p w14:paraId="5AC0C6DF" w14:textId="77777777" w:rsidR="00622884" w:rsidRPr="00622884" w:rsidRDefault="00622884" w:rsidP="00622884">
            <w:pPr>
              <w:spacing w:after="0" w:line="240" w:lineRule="auto"/>
              <w:jc w:val="center"/>
              <w:rPr>
                <w:rFonts w:ascii="Garamond" w:eastAsia="Calibri" w:hAnsi="Garamond" w:cs="Calibri Light"/>
                <w:sz w:val="14"/>
                <w:szCs w:val="14"/>
                <w:lang w:eastAsia="en-US"/>
              </w:rPr>
            </w:pPr>
            <w:r w:rsidRPr="00622884">
              <w:rPr>
                <w:rFonts w:ascii="Garamond" w:eastAsia="SimSun" w:hAnsi="Garamond" w:cs="Times New Roman"/>
                <w:sz w:val="14"/>
                <w:szCs w:val="14"/>
                <w:lang w:eastAsia="en-US" w:bidi="sq-AL"/>
              </w:rPr>
              <w:t>2.029.460.000</w:t>
            </w:r>
          </w:p>
        </w:tc>
        <w:tc>
          <w:tcPr>
            <w:tcW w:w="272" w:type="pct"/>
            <w:vAlign w:val="center"/>
          </w:tcPr>
          <w:p w14:paraId="309A4B94" w14:textId="77777777" w:rsidR="00622884" w:rsidRPr="00622884" w:rsidRDefault="00622884" w:rsidP="00622884">
            <w:pPr>
              <w:spacing w:after="0" w:line="240" w:lineRule="auto"/>
              <w:jc w:val="center"/>
              <w:rPr>
                <w:rFonts w:ascii="Garamond" w:eastAsia="Calibri" w:hAnsi="Garamond" w:cs="Calibri Light"/>
                <w:sz w:val="14"/>
                <w:szCs w:val="14"/>
                <w:lang w:eastAsia="en-US"/>
              </w:rPr>
            </w:pPr>
            <w:r w:rsidRPr="00622884">
              <w:rPr>
                <w:rFonts w:ascii="Garamond" w:eastAsia="SimSun" w:hAnsi="Garamond" w:cs="Times New Roman"/>
                <w:sz w:val="14"/>
                <w:szCs w:val="14"/>
                <w:lang w:eastAsia="en-US" w:bidi="sq-AL"/>
              </w:rPr>
              <w:t>AM</w:t>
            </w:r>
          </w:p>
        </w:tc>
      </w:tr>
      <w:tr w:rsidR="00622884" w:rsidRPr="00622884" w14:paraId="1576E8D0" w14:textId="77777777" w:rsidTr="00622884">
        <w:trPr>
          <w:trHeight w:val="20"/>
          <w:jc w:val="center"/>
        </w:trPr>
        <w:tc>
          <w:tcPr>
            <w:tcW w:w="177" w:type="pct"/>
            <w:vAlign w:val="center"/>
          </w:tcPr>
          <w:p w14:paraId="2FDBEBF5" w14:textId="77777777" w:rsidR="00622884" w:rsidRPr="00622884" w:rsidRDefault="00622884" w:rsidP="00622884">
            <w:pPr>
              <w:spacing w:after="0" w:line="240" w:lineRule="auto"/>
              <w:jc w:val="center"/>
              <w:rPr>
                <w:rFonts w:ascii="Garamond" w:eastAsia="Calibri" w:hAnsi="Garamond" w:cs="Calibri Light"/>
                <w:b/>
                <w:bCs/>
                <w:sz w:val="14"/>
                <w:szCs w:val="14"/>
                <w:lang w:eastAsia="en-US"/>
              </w:rPr>
            </w:pPr>
            <w:r w:rsidRPr="00622884">
              <w:rPr>
                <w:rFonts w:ascii="Garamond" w:eastAsia="SimSun" w:hAnsi="Garamond" w:cs="Times New Roman"/>
                <w:b/>
                <w:sz w:val="14"/>
                <w:szCs w:val="14"/>
                <w:lang w:eastAsia="en-US" w:bidi="sq-AL"/>
              </w:rPr>
              <w:t>65</w:t>
            </w:r>
          </w:p>
        </w:tc>
        <w:tc>
          <w:tcPr>
            <w:tcW w:w="576" w:type="pct"/>
            <w:vAlign w:val="center"/>
          </w:tcPr>
          <w:p w14:paraId="22F7ECC6" w14:textId="77777777" w:rsidR="00622884" w:rsidRPr="00622884" w:rsidRDefault="00622884" w:rsidP="00622884">
            <w:pPr>
              <w:spacing w:after="0" w:line="240" w:lineRule="auto"/>
              <w:jc w:val="center"/>
              <w:rPr>
                <w:rFonts w:ascii="Garamond" w:eastAsia="Calibri" w:hAnsi="Garamond" w:cs="Calibri Light"/>
                <w:sz w:val="14"/>
                <w:szCs w:val="14"/>
                <w:lang w:eastAsia="en-US"/>
              </w:rPr>
            </w:pPr>
            <w:r w:rsidRPr="00622884">
              <w:rPr>
                <w:rFonts w:ascii="Garamond" w:eastAsia="SimSun" w:hAnsi="Garamond" w:cs="Times New Roman"/>
                <w:sz w:val="14"/>
                <w:szCs w:val="14"/>
                <w:lang w:eastAsia="en-US" w:bidi="sq-AL"/>
              </w:rPr>
              <w:t>Transporti</w:t>
            </w:r>
          </w:p>
        </w:tc>
        <w:tc>
          <w:tcPr>
            <w:tcW w:w="2877" w:type="pct"/>
            <w:vAlign w:val="center"/>
          </w:tcPr>
          <w:p w14:paraId="1C432872" w14:textId="77777777" w:rsidR="00622884" w:rsidRPr="00622884" w:rsidRDefault="00622884" w:rsidP="00622884">
            <w:pPr>
              <w:spacing w:after="0" w:line="240" w:lineRule="auto"/>
              <w:jc w:val="left"/>
              <w:rPr>
                <w:rFonts w:ascii="Garamond" w:eastAsia="Calibri" w:hAnsi="Garamond" w:cs="Calibri Light"/>
                <w:sz w:val="14"/>
                <w:szCs w:val="14"/>
                <w:lang w:eastAsia="en-US"/>
              </w:rPr>
            </w:pPr>
            <w:r w:rsidRPr="00622884">
              <w:rPr>
                <w:rFonts w:ascii="Garamond" w:eastAsia="SimSun" w:hAnsi="Garamond" w:cs="Times New Roman"/>
                <w:sz w:val="14"/>
                <w:szCs w:val="14"/>
                <w:lang w:eastAsia="en-US" w:bidi="sq-AL"/>
              </w:rPr>
              <w:t>Politikat e transportit për aftësi ripërtëritëse ndaj ndryshimeve klimatike: Përfshirja e përshtatjes ndaj klimës në kuadrin rregullator</w:t>
            </w:r>
          </w:p>
        </w:tc>
        <w:tc>
          <w:tcPr>
            <w:tcW w:w="485" w:type="pct"/>
            <w:vAlign w:val="center"/>
          </w:tcPr>
          <w:p w14:paraId="57735FF3" w14:textId="77777777" w:rsidR="00622884" w:rsidRPr="00622884" w:rsidRDefault="00622884" w:rsidP="00622884">
            <w:pPr>
              <w:spacing w:after="0" w:line="240" w:lineRule="auto"/>
              <w:jc w:val="center"/>
              <w:rPr>
                <w:rFonts w:ascii="Garamond" w:eastAsia="Calibri" w:hAnsi="Garamond" w:cs="Calibri Light"/>
                <w:sz w:val="14"/>
                <w:szCs w:val="14"/>
                <w:lang w:eastAsia="en-US"/>
              </w:rPr>
            </w:pPr>
            <w:r w:rsidRPr="00622884">
              <w:rPr>
                <w:rFonts w:ascii="Garamond" w:eastAsia="SimSun" w:hAnsi="Garamond" w:cs="Times New Roman"/>
                <w:sz w:val="14"/>
                <w:szCs w:val="14"/>
                <w:lang w:eastAsia="en-US" w:bidi="sq-AL"/>
              </w:rPr>
              <w:t>Masë e butë</w:t>
            </w:r>
          </w:p>
        </w:tc>
        <w:tc>
          <w:tcPr>
            <w:tcW w:w="613" w:type="pct"/>
            <w:vAlign w:val="center"/>
          </w:tcPr>
          <w:p w14:paraId="0034D282" w14:textId="77777777" w:rsidR="00622884" w:rsidRPr="00622884" w:rsidRDefault="00622884" w:rsidP="00622884">
            <w:pPr>
              <w:spacing w:after="0" w:line="240" w:lineRule="auto"/>
              <w:jc w:val="center"/>
              <w:rPr>
                <w:rFonts w:ascii="Garamond" w:eastAsia="Calibri" w:hAnsi="Garamond" w:cs="Calibri Light"/>
                <w:sz w:val="14"/>
                <w:szCs w:val="14"/>
                <w:lang w:eastAsia="en-US"/>
              </w:rPr>
            </w:pPr>
            <w:r w:rsidRPr="00622884">
              <w:rPr>
                <w:rFonts w:ascii="Garamond" w:eastAsia="SimSun" w:hAnsi="Garamond" w:cs="Times New Roman"/>
                <w:sz w:val="14"/>
                <w:szCs w:val="14"/>
                <w:lang w:eastAsia="en-US" w:bidi="sq-AL"/>
              </w:rPr>
              <w:t>218.000</w:t>
            </w:r>
          </w:p>
        </w:tc>
        <w:tc>
          <w:tcPr>
            <w:tcW w:w="272" w:type="pct"/>
            <w:vAlign w:val="center"/>
          </w:tcPr>
          <w:p w14:paraId="057C87EB" w14:textId="77777777" w:rsidR="00622884" w:rsidRPr="00622884" w:rsidRDefault="00622884" w:rsidP="00622884">
            <w:pPr>
              <w:spacing w:after="0" w:line="240" w:lineRule="auto"/>
              <w:jc w:val="center"/>
              <w:rPr>
                <w:rFonts w:ascii="Garamond" w:eastAsia="Calibri" w:hAnsi="Garamond" w:cs="Calibri Light"/>
                <w:sz w:val="14"/>
                <w:szCs w:val="14"/>
                <w:lang w:eastAsia="en-US"/>
              </w:rPr>
            </w:pPr>
            <w:r w:rsidRPr="00622884">
              <w:rPr>
                <w:rFonts w:ascii="Garamond" w:eastAsia="SimSun" w:hAnsi="Garamond" w:cs="Times New Roman"/>
                <w:sz w:val="14"/>
                <w:szCs w:val="14"/>
                <w:lang w:eastAsia="en-US" w:bidi="sq-AL"/>
              </w:rPr>
              <w:t>ASH</w:t>
            </w:r>
          </w:p>
        </w:tc>
      </w:tr>
      <w:tr w:rsidR="00622884" w:rsidRPr="00622884" w14:paraId="4104C422" w14:textId="77777777" w:rsidTr="00622884">
        <w:trPr>
          <w:trHeight w:val="20"/>
          <w:jc w:val="center"/>
        </w:trPr>
        <w:tc>
          <w:tcPr>
            <w:tcW w:w="177" w:type="pct"/>
            <w:vAlign w:val="center"/>
          </w:tcPr>
          <w:p w14:paraId="0DCE3C62" w14:textId="77777777" w:rsidR="00622884" w:rsidRPr="00622884" w:rsidRDefault="00622884" w:rsidP="00622884">
            <w:pPr>
              <w:spacing w:after="0" w:line="240" w:lineRule="auto"/>
              <w:jc w:val="center"/>
              <w:rPr>
                <w:rFonts w:ascii="Garamond" w:eastAsia="Calibri" w:hAnsi="Garamond" w:cs="Calibri Light"/>
                <w:b/>
                <w:bCs/>
                <w:sz w:val="14"/>
                <w:szCs w:val="14"/>
                <w:lang w:eastAsia="en-US"/>
              </w:rPr>
            </w:pPr>
            <w:r w:rsidRPr="00622884">
              <w:rPr>
                <w:rFonts w:ascii="Garamond" w:eastAsia="SimSun" w:hAnsi="Garamond" w:cs="Times New Roman"/>
                <w:b/>
                <w:sz w:val="14"/>
                <w:szCs w:val="14"/>
                <w:lang w:eastAsia="en-US" w:bidi="sq-AL"/>
              </w:rPr>
              <w:t>66</w:t>
            </w:r>
          </w:p>
        </w:tc>
        <w:tc>
          <w:tcPr>
            <w:tcW w:w="576" w:type="pct"/>
            <w:vAlign w:val="center"/>
          </w:tcPr>
          <w:p w14:paraId="3BEF2D78" w14:textId="77777777" w:rsidR="00622884" w:rsidRPr="00622884" w:rsidRDefault="00622884" w:rsidP="00622884">
            <w:pPr>
              <w:spacing w:after="0" w:line="240" w:lineRule="auto"/>
              <w:jc w:val="center"/>
              <w:rPr>
                <w:rFonts w:ascii="Garamond" w:eastAsia="Calibri" w:hAnsi="Garamond" w:cs="Calibri Light"/>
                <w:sz w:val="14"/>
                <w:szCs w:val="14"/>
                <w:lang w:eastAsia="en-US"/>
              </w:rPr>
            </w:pPr>
            <w:r w:rsidRPr="00622884">
              <w:rPr>
                <w:rFonts w:ascii="Garamond" w:eastAsia="SimSun" w:hAnsi="Garamond" w:cs="Times New Roman"/>
                <w:sz w:val="14"/>
                <w:szCs w:val="14"/>
                <w:lang w:eastAsia="en-US" w:bidi="sq-AL"/>
              </w:rPr>
              <w:t>Transporti</w:t>
            </w:r>
          </w:p>
        </w:tc>
        <w:tc>
          <w:tcPr>
            <w:tcW w:w="2877" w:type="pct"/>
            <w:vAlign w:val="center"/>
          </w:tcPr>
          <w:p w14:paraId="61B016B7" w14:textId="77777777" w:rsidR="00622884" w:rsidRPr="00622884" w:rsidRDefault="00622884" w:rsidP="00622884">
            <w:pPr>
              <w:spacing w:after="0" w:line="240" w:lineRule="auto"/>
              <w:jc w:val="left"/>
              <w:rPr>
                <w:rFonts w:ascii="Garamond" w:eastAsia="Calibri" w:hAnsi="Garamond" w:cs="Calibri Light"/>
                <w:sz w:val="14"/>
                <w:szCs w:val="14"/>
                <w:lang w:eastAsia="en-US"/>
              </w:rPr>
            </w:pPr>
            <w:r w:rsidRPr="00622884">
              <w:rPr>
                <w:rFonts w:ascii="Garamond" w:eastAsia="SimSun" w:hAnsi="Garamond" w:cs="Times New Roman"/>
                <w:sz w:val="14"/>
                <w:szCs w:val="14"/>
                <w:lang w:eastAsia="en-US" w:bidi="sq-AL"/>
              </w:rPr>
              <w:t>Partneritete novatore për transport të qëndrueshëm: Financimi për infrastrukturën e transportit me aftësi ripërtëritëse ndaj klimës</w:t>
            </w:r>
          </w:p>
        </w:tc>
        <w:tc>
          <w:tcPr>
            <w:tcW w:w="485" w:type="pct"/>
            <w:vAlign w:val="center"/>
          </w:tcPr>
          <w:p w14:paraId="3B6462F7" w14:textId="77777777" w:rsidR="00622884" w:rsidRPr="00622884" w:rsidRDefault="00622884" w:rsidP="00622884">
            <w:pPr>
              <w:spacing w:after="0" w:line="240" w:lineRule="auto"/>
              <w:jc w:val="center"/>
              <w:rPr>
                <w:rFonts w:ascii="Garamond" w:eastAsia="Calibri" w:hAnsi="Garamond" w:cs="Calibri Light"/>
                <w:sz w:val="14"/>
                <w:szCs w:val="14"/>
                <w:lang w:eastAsia="en-US"/>
              </w:rPr>
            </w:pPr>
            <w:r w:rsidRPr="00622884">
              <w:rPr>
                <w:rFonts w:ascii="Garamond" w:eastAsia="SimSun" w:hAnsi="Garamond" w:cs="Times New Roman"/>
                <w:sz w:val="14"/>
                <w:szCs w:val="14"/>
                <w:lang w:eastAsia="en-US" w:bidi="sq-AL"/>
              </w:rPr>
              <w:t>Masë e butë</w:t>
            </w:r>
          </w:p>
        </w:tc>
        <w:tc>
          <w:tcPr>
            <w:tcW w:w="613" w:type="pct"/>
            <w:vAlign w:val="center"/>
          </w:tcPr>
          <w:p w14:paraId="15357A92" w14:textId="77777777" w:rsidR="00622884" w:rsidRPr="00622884" w:rsidRDefault="00622884" w:rsidP="00622884">
            <w:pPr>
              <w:spacing w:after="0" w:line="240" w:lineRule="auto"/>
              <w:jc w:val="center"/>
              <w:rPr>
                <w:rFonts w:ascii="Garamond" w:eastAsia="Calibri" w:hAnsi="Garamond" w:cs="Calibri Light"/>
                <w:sz w:val="14"/>
                <w:szCs w:val="14"/>
                <w:lang w:eastAsia="en-US"/>
              </w:rPr>
            </w:pPr>
            <w:r w:rsidRPr="00622884">
              <w:rPr>
                <w:rFonts w:ascii="Garamond" w:eastAsia="SimSun" w:hAnsi="Garamond" w:cs="Times New Roman"/>
                <w:sz w:val="14"/>
                <w:szCs w:val="14"/>
                <w:lang w:eastAsia="en-US" w:bidi="sq-AL"/>
              </w:rPr>
              <w:t>1.900.000</w:t>
            </w:r>
          </w:p>
        </w:tc>
        <w:tc>
          <w:tcPr>
            <w:tcW w:w="272" w:type="pct"/>
            <w:vAlign w:val="center"/>
          </w:tcPr>
          <w:p w14:paraId="3FABE88A" w14:textId="77777777" w:rsidR="00622884" w:rsidRPr="00622884" w:rsidRDefault="00622884" w:rsidP="00622884">
            <w:pPr>
              <w:spacing w:after="0" w:line="240" w:lineRule="auto"/>
              <w:jc w:val="center"/>
              <w:rPr>
                <w:rFonts w:ascii="Garamond" w:eastAsia="Calibri" w:hAnsi="Garamond" w:cs="Calibri Light"/>
                <w:sz w:val="14"/>
                <w:szCs w:val="14"/>
                <w:lang w:eastAsia="en-US"/>
              </w:rPr>
            </w:pPr>
            <w:r w:rsidRPr="00622884">
              <w:rPr>
                <w:rFonts w:ascii="Garamond" w:eastAsia="SimSun" w:hAnsi="Garamond" w:cs="Times New Roman"/>
                <w:sz w:val="14"/>
                <w:szCs w:val="14"/>
                <w:lang w:eastAsia="en-US" w:bidi="sq-AL"/>
              </w:rPr>
              <w:t>AGJ</w:t>
            </w:r>
          </w:p>
        </w:tc>
      </w:tr>
      <w:tr w:rsidR="00622884" w:rsidRPr="00622884" w14:paraId="614D3B8D" w14:textId="77777777" w:rsidTr="00622884">
        <w:trPr>
          <w:trHeight w:val="20"/>
          <w:jc w:val="center"/>
        </w:trPr>
        <w:tc>
          <w:tcPr>
            <w:tcW w:w="4115" w:type="pct"/>
            <w:gridSpan w:val="4"/>
            <w:vAlign w:val="center"/>
          </w:tcPr>
          <w:p w14:paraId="6EE5298F" w14:textId="77777777" w:rsidR="00622884" w:rsidRPr="00622884" w:rsidRDefault="00622884" w:rsidP="00622884">
            <w:pPr>
              <w:spacing w:after="0" w:line="240" w:lineRule="auto"/>
              <w:jc w:val="center"/>
              <w:rPr>
                <w:rFonts w:ascii="Garamond" w:eastAsia="Calibri" w:hAnsi="Garamond" w:cs="Calibri Light"/>
                <w:b/>
                <w:bCs/>
                <w:sz w:val="14"/>
                <w:szCs w:val="14"/>
                <w:lang w:eastAsia="en-US"/>
              </w:rPr>
            </w:pPr>
            <w:r w:rsidRPr="00622884">
              <w:rPr>
                <w:rFonts w:ascii="Garamond" w:eastAsia="SimSun" w:hAnsi="Garamond" w:cs="Times New Roman"/>
                <w:b/>
                <w:sz w:val="14"/>
                <w:szCs w:val="14"/>
                <w:lang w:eastAsia="en-US" w:bidi="sq-AL"/>
              </w:rPr>
              <w:t>TOTALI I PËRGJITHSHËM PËR NAP-in</w:t>
            </w:r>
          </w:p>
        </w:tc>
        <w:tc>
          <w:tcPr>
            <w:tcW w:w="613" w:type="pct"/>
            <w:vAlign w:val="center"/>
          </w:tcPr>
          <w:p w14:paraId="687851A7" w14:textId="77777777" w:rsidR="00622884" w:rsidRPr="00622884" w:rsidRDefault="00622884" w:rsidP="00622884">
            <w:pPr>
              <w:spacing w:after="0" w:line="240" w:lineRule="auto"/>
              <w:jc w:val="center"/>
              <w:rPr>
                <w:rFonts w:ascii="Garamond" w:eastAsia="SimSun" w:hAnsi="Garamond" w:cs="Calibri Light"/>
                <w:sz w:val="14"/>
                <w:szCs w:val="14"/>
                <w:lang w:eastAsia="en-US"/>
              </w:rPr>
            </w:pPr>
            <w:r w:rsidRPr="00622884">
              <w:rPr>
                <w:rFonts w:ascii="Garamond" w:eastAsia="SimSun" w:hAnsi="Garamond" w:cs="Times New Roman"/>
                <w:sz w:val="14"/>
                <w:szCs w:val="14"/>
                <w:lang w:eastAsia="en-US" w:bidi="sq-AL"/>
              </w:rPr>
              <w:t>9.800.696.976</w:t>
            </w:r>
          </w:p>
        </w:tc>
        <w:tc>
          <w:tcPr>
            <w:tcW w:w="272" w:type="pct"/>
            <w:vAlign w:val="center"/>
          </w:tcPr>
          <w:p w14:paraId="6AE15380" w14:textId="77777777" w:rsidR="00622884" w:rsidRPr="00622884" w:rsidRDefault="00622884" w:rsidP="00622884">
            <w:pPr>
              <w:spacing w:after="0" w:line="240" w:lineRule="auto"/>
              <w:jc w:val="center"/>
              <w:rPr>
                <w:rFonts w:ascii="Garamond" w:eastAsia="SimSun" w:hAnsi="Garamond" w:cs="Calibri Light"/>
                <w:sz w:val="14"/>
                <w:szCs w:val="14"/>
                <w:lang w:eastAsia="en-US"/>
              </w:rPr>
            </w:pPr>
            <w:r w:rsidRPr="00622884">
              <w:rPr>
                <w:rFonts w:ascii="Garamond" w:eastAsia="SimSun" w:hAnsi="Garamond" w:cs="Times New Roman"/>
                <w:sz w:val="14"/>
                <w:szCs w:val="14"/>
                <w:lang w:eastAsia="en-US" w:bidi="sq-AL"/>
              </w:rPr>
              <w:t xml:space="preserve"> </w:t>
            </w:r>
          </w:p>
        </w:tc>
      </w:tr>
    </w:tbl>
    <w:p w14:paraId="6AF27958" w14:textId="77777777" w:rsidR="00622884" w:rsidRPr="00622884" w:rsidRDefault="00622884" w:rsidP="00622884">
      <w:pPr>
        <w:spacing w:after="0" w:line="240" w:lineRule="auto"/>
        <w:ind w:firstLine="284"/>
        <w:rPr>
          <w:rFonts w:ascii="Garamond" w:eastAsia="SimSun" w:hAnsi="Garamond" w:cs="Calibri Light"/>
          <w:sz w:val="4"/>
          <w:szCs w:val="24"/>
          <w:lang w:eastAsia="en-US"/>
        </w:rPr>
      </w:pPr>
    </w:p>
    <w:p w14:paraId="73261F19" w14:textId="77777777" w:rsidR="00622884" w:rsidRPr="00622884" w:rsidRDefault="00622884" w:rsidP="00622884">
      <w:pPr>
        <w:spacing w:after="0" w:line="240" w:lineRule="auto"/>
        <w:ind w:firstLine="284"/>
        <w:rPr>
          <w:rFonts w:ascii="Garamond" w:eastAsia="SimSun" w:hAnsi="Garamond" w:cs="Calibri Light"/>
          <w:sz w:val="20"/>
          <w:szCs w:val="20"/>
          <w:lang w:eastAsia="en-US"/>
        </w:rPr>
      </w:pPr>
      <w:r w:rsidRPr="00622884">
        <w:rPr>
          <w:rFonts w:ascii="Garamond" w:eastAsia="SimSun" w:hAnsi="Garamond" w:cs="Calibri Light"/>
          <w:sz w:val="20"/>
          <w:szCs w:val="20"/>
          <w:lang w:eastAsia="en-US"/>
        </w:rPr>
        <w:t xml:space="preserve">*Lloji: E butë, e gjelbër, gri. </w:t>
      </w:r>
    </w:p>
    <w:p w14:paraId="18840549" w14:textId="77777777" w:rsidR="00622884" w:rsidRPr="00622884" w:rsidRDefault="00622884" w:rsidP="00622884">
      <w:pPr>
        <w:spacing w:after="0" w:line="240" w:lineRule="auto"/>
        <w:ind w:firstLine="284"/>
        <w:rPr>
          <w:rFonts w:ascii="Garamond" w:eastAsia="SimSun" w:hAnsi="Garamond" w:cs="Calibri Light"/>
          <w:sz w:val="20"/>
          <w:szCs w:val="20"/>
          <w:lang w:eastAsia="en-US"/>
        </w:rPr>
      </w:pPr>
      <w:r w:rsidRPr="00622884">
        <w:rPr>
          <w:rFonts w:ascii="Garamond" w:eastAsia="SimSun" w:hAnsi="Garamond" w:cs="Calibri Light"/>
          <w:sz w:val="20"/>
          <w:szCs w:val="20"/>
          <w:lang w:eastAsia="en-US"/>
        </w:rPr>
        <w:t>**Periudha kur pritet të fillojë zbatimi i masave: ASH: Afatshkurtër: 2026</w:t>
      </w:r>
      <w:r w:rsidRPr="00622884">
        <w:rPr>
          <w:rFonts w:ascii="Garamond" w:eastAsia="Calibri" w:hAnsi="Garamond" w:cs="Times New Roman"/>
          <w:sz w:val="20"/>
          <w:szCs w:val="20"/>
          <w:lang w:eastAsia="en-US"/>
        </w:rPr>
        <w:t>–</w:t>
      </w:r>
      <w:r w:rsidRPr="00622884">
        <w:rPr>
          <w:rFonts w:ascii="Garamond" w:eastAsia="SimSun" w:hAnsi="Garamond" w:cs="Calibri Light"/>
          <w:sz w:val="20"/>
          <w:szCs w:val="20"/>
          <w:lang w:eastAsia="en-US"/>
        </w:rPr>
        <w:t>2028; AM: Afatmesme: 2029</w:t>
      </w:r>
      <w:r w:rsidRPr="00622884">
        <w:rPr>
          <w:rFonts w:ascii="Garamond" w:eastAsia="Calibri" w:hAnsi="Garamond" w:cs="Times New Roman"/>
          <w:sz w:val="20"/>
          <w:szCs w:val="20"/>
          <w:lang w:eastAsia="en-US"/>
        </w:rPr>
        <w:t>–</w:t>
      </w:r>
      <w:r w:rsidRPr="00622884">
        <w:rPr>
          <w:rFonts w:ascii="Garamond" w:eastAsia="SimSun" w:hAnsi="Garamond" w:cs="Calibri Light"/>
          <w:sz w:val="20"/>
          <w:szCs w:val="20"/>
          <w:lang w:eastAsia="en-US"/>
        </w:rPr>
        <w:t>2031; AGJ: Afatgjatë: 2032</w:t>
      </w:r>
      <w:r w:rsidRPr="00622884">
        <w:rPr>
          <w:rFonts w:ascii="Garamond" w:eastAsia="Calibri" w:hAnsi="Garamond" w:cs="Times New Roman"/>
          <w:sz w:val="20"/>
          <w:szCs w:val="20"/>
          <w:lang w:eastAsia="en-US"/>
        </w:rPr>
        <w:t>–</w:t>
      </w:r>
      <w:r w:rsidRPr="00622884">
        <w:rPr>
          <w:rFonts w:ascii="Garamond" w:eastAsia="SimSun" w:hAnsi="Garamond" w:cs="Calibri Light"/>
          <w:sz w:val="20"/>
          <w:szCs w:val="20"/>
          <w:lang w:eastAsia="en-US"/>
        </w:rPr>
        <w:t>2036. Më poshtë jepen më shumë detaje lidhur me afatin.</w:t>
      </w:r>
    </w:p>
    <w:p w14:paraId="1BCB7719" w14:textId="77777777" w:rsidR="00622884" w:rsidRPr="00622884" w:rsidRDefault="00622884" w:rsidP="00622884">
      <w:pPr>
        <w:tabs>
          <w:tab w:val="left" w:pos="5325"/>
        </w:tabs>
        <w:spacing w:after="0" w:line="240" w:lineRule="auto"/>
        <w:rPr>
          <w:rFonts w:ascii="Garamond" w:eastAsia="Calibri" w:hAnsi="Garamond" w:cs="Times New Roman"/>
          <w:sz w:val="12"/>
          <w:szCs w:val="24"/>
          <w:lang w:eastAsia="en-US"/>
        </w:rPr>
      </w:pPr>
    </w:p>
    <w:p w14:paraId="67A4A8AF" w14:textId="77777777" w:rsidR="00622884" w:rsidRPr="00622884" w:rsidRDefault="00622884" w:rsidP="00622884">
      <w:pPr>
        <w:spacing w:after="0" w:line="240" w:lineRule="auto"/>
        <w:ind w:firstLine="284"/>
        <w:rPr>
          <w:rFonts w:ascii="Garamond" w:eastAsia="SimSun" w:hAnsi="Garamond" w:cs="Calibri Light"/>
          <w:sz w:val="24"/>
          <w:szCs w:val="24"/>
          <w:lang w:eastAsia="en-US"/>
        </w:rPr>
      </w:pPr>
      <w:r w:rsidRPr="00622884">
        <w:rPr>
          <w:rFonts w:ascii="Garamond" w:eastAsia="Calibri" w:hAnsi="Garamond" w:cs="Times New Roman"/>
          <w:sz w:val="24"/>
          <w:szCs w:val="24"/>
          <w:lang w:eastAsia="en-US" w:bidi="sq-AL"/>
        </w:rPr>
        <w:t xml:space="preserve">Secila nga 66 masat e përshtatjes të paraqitura më sipër u nda në një grup prej dy deri në dhjetë nënveprimtarish specifike për çdo masë, të cilat janë hapat ose veprimtaritë specifike të nevojshme për arritjen e përgjithshme të qëllimit të secilës masë. Këto veprimtari paraqiten në </w:t>
      </w:r>
      <w:r w:rsidRPr="00622884">
        <w:rPr>
          <w:rFonts w:ascii="Garamond" w:eastAsia="Calibri" w:hAnsi="Garamond" w:cs="Times New Roman"/>
          <w:b/>
          <w:sz w:val="24"/>
          <w:szCs w:val="24"/>
          <w:lang w:eastAsia="en-US" w:bidi="sq-AL"/>
        </w:rPr>
        <w:t>aneksin III</w:t>
      </w:r>
      <w:r w:rsidRPr="00622884">
        <w:rPr>
          <w:rFonts w:ascii="Garamond" w:eastAsia="Calibri" w:hAnsi="Garamond" w:cs="Times New Roman"/>
          <w:sz w:val="24"/>
          <w:szCs w:val="24"/>
          <w:lang w:eastAsia="en-US" w:bidi="sq-AL"/>
        </w:rPr>
        <w:t xml:space="preserve">, si dhe në Planin e veçantë të Zbatimit që ofron një nivel më të gjerë detajesh. </w:t>
      </w:r>
    </w:p>
    <w:p w14:paraId="32E84107" w14:textId="77777777" w:rsidR="00622884" w:rsidRPr="00622884" w:rsidRDefault="00622884" w:rsidP="00622884">
      <w:pPr>
        <w:spacing w:after="0" w:line="240" w:lineRule="auto"/>
        <w:ind w:firstLine="284"/>
        <w:rPr>
          <w:rFonts w:ascii="Garamond" w:eastAsia="SimSun" w:hAnsi="Garamond" w:cs="Calibri Light"/>
          <w:sz w:val="24"/>
          <w:szCs w:val="24"/>
          <w:lang w:eastAsia="en-US"/>
        </w:rPr>
      </w:pPr>
      <w:r w:rsidRPr="00622884">
        <w:rPr>
          <w:rFonts w:ascii="Garamond" w:eastAsia="Calibri" w:hAnsi="Garamond" w:cs="Times New Roman"/>
          <w:sz w:val="24"/>
          <w:szCs w:val="24"/>
          <w:lang w:eastAsia="en-US" w:bidi="sq-AL"/>
        </w:rPr>
        <w:t xml:space="preserve">Për të mbështetur zbatimin efektiv të masave të përshtatjes dhe veprimtarive përbërëse, u përgatit një grup </w:t>
      </w:r>
      <w:r w:rsidRPr="00622884">
        <w:rPr>
          <w:rFonts w:ascii="Garamond" w:eastAsia="Calibri" w:hAnsi="Garamond" w:cs="Times New Roman"/>
          <w:sz w:val="24"/>
          <w:szCs w:val="24"/>
          <w:u w:val="single"/>
          <w:lang w:eastAsia="en-US" w:bidi="sq-AL"/>
        </w:rPr>
        <w:t>skedash informuese përmbledhëse</w:t>
      </w:r>
      <w:r w:rsidRPr="00622884">
        <w:rPr>
          <w:rFonts w:ascii="Garamond" w:eastAsia="Calibri" w:hAnsi="Garamond" w:cs="Times New Roman"/>
          <w:sz w:val="24"/>
          <w:szCs w:val="24"/>
          <w:lang w:eastAsia="en-US" w:bidi="sq-AL"/>
        </w:rPr>
        <w:t xml:space="preserve"> për secilën masë, të cilat janë të disponueshme në dokumentin e plotë të Planit të Zbatimit. Këto skeda informuese shërbejnë si mjet praktik për të konsoliduar informacionin kyç për secilën ndërhyrje të propozuar, duke ofruar një përmbledhje të standardizuar që lehtëson vendimmarrjen, koordinimin ndërmjet aktorëve, mobilizimin e burimeve dhe zbatimin përfundimtar. Gjithashtu, u hartuan </w:t>
      </w:r>
      <w:r w:rsidRPr="00622884">
        <w:rPr>
          <w:rFonts w:ascii="Garamond" w:eastAsia="Calibri" w:hAnsi="Garamond" w:cs="Times New Roman"/>
          <w:sz w:val="24"/>
          <w:szCs w:val="24"/>
          <w:u w:val="single"/>
          <w:lang w:eastAsia="en-US" w:bidi="sq-AL"/>
        </w:rPr>
        <w:t>dokumente koncepti</w:t>
      </w:r>
      <w:r w:rsidRPr="00622884">
        <w:rPr>
          <w:rFonts w:ascii="Garamond" w:eastAsia="Calibri" w:hAnsi="Garamond" w:cs="Times New Roman"/>
          <w:sz w:val="24"/>
          <w:szCs w:val="24"/>
          <w:lang w:eastAsia="en-US" w:bidi="sq-AL"/>
        </w:rPr>
        <w:t xml:space="preserve"> të shkurtra për shumicën e masave për të siguruar mobilizim të mëtejshëm të burimeve (të paraqitura në një dokument të veçantë).</w:t>
      </w:r>
    </w:p>
    <w:p w14:paraId="13138243" w14:textId="77777777" w:rsidR="00622884" w:rsidRPr="00622884" w:rsidRDefault="00622884" w:rsidP="00622884">
      <w:pPr>
        <w:keepNext/>
        <w:keepLines/>
        <w:spacing w:after="0" w:line="240" w:lineRule="auto"/>
        <w:ind w:left="284"/>
        <w:outlineLvl w:val="1"/>
        <w:rPr>
          <w:rFonts w:ascii="Garamond" w:eastAsia="MS Mincho" w:hAnsi="Garamond" w:cs="Times New Roman"/>
          <w:b/>
          <w:bCs/>
          <w:caps/>
          <w:sz w:val="24"/>
          <w:szCs w:val="24"/>
          <w:lang w:eastAsia="es-ES"/>
        </w:rPr>
      </w:pPr>
      <w:bookmarkStart w:id="280" w:name="_Toc213936239"/>
      <w:bookmarkStart w:id="281" w:name="_Hlk223513453"/>
      <w:r w:rsidRPr="00622884">
        <w:rPr>
          <w:rFonts w:ascii="Garamond" w:eastAsia="MS Mincho" w:hAnsi="Garamond" w:cs="Times New Roman"/>
          <w:b/>
          <w:bCs/>
          <w:caps/>
          <w:sz w:val="24"/>
          <w:szCs w:val="24"/>
          <w:lang w:eastAsia="es-ES" w:bidi="sq-AL"/>
        </w:rPr>
        <w:t xml:space="preserve">6.2 </w:t>
      </w:r>
      <w:r w:rsidRPr="00622884">
        <w:rPr>
          <w:rFonts w:ascii="Garamond" w:eastAsia="MS Mincho" w:hAnsi="Garamond" w:cs="Times New Roman"/>
          <w:b/>
          <w:bCs/>
          <w:sz w:val="24"/>
          <w:szCs w:val="24"/>
          <w:lang w:eastAsia="es-ES" w:bidi="sq-AL"/>
        </w:rPr>
        <w:t xml:space="preserve">Qeverisja dhe përgjegjësitë për zbatimin e </w:t>
      </w:r>
      <w:r w:rsidRPr="00622884">
        <w:rPr>
          <w:rFonts w:ascii="Garamond" w:eastAsia="MS Mincho" w:hAnsi="Garamond" w:cs="Times New Roman"/>
          <w:b/>
          <w:bCs/>
          <w:caps/>
          <w:sz w:val="24"/>
          <w:szCs w:val="24"/>
          <w:lang w:eastAsia="es-ES" w:bidi="sq-AL"/>
        </w:rPr>
        <w:t>NAP-</w:t>
      </w:r>
      <w:r w:rsidRPr="00622884">
        <w:rPr>
          <w:rFonts w:ascii="Garamond" w:eastAsia="MS Mincho" w:hAnsi="Garamond" w:cs="Times New Roman"/>
          <w:b/>
          <w:bCs/>
          <w:sz w:val="24"/>
          <w:szCs w:val="24"/>
          <w:lang w:eastAsia="es-ES" w:bidi="sq-AL"/>
        </w:rPr>
        <w:t>it</w:t>
      </w:r>
      <w:bookmarkEnd w:id="280"/>
    </w:p>
    <w:bookmarkEnd w:id="281"/>
    <w:p w14:paraId="6E78FA36" w14:textId="77777777" w:rsidR="00622884" w:rsidRPr="00622884" w:rsidRDefault="00622884" w:rsidP="00622884">
      <w:pPr>
        <w:spacing w:after="0" w:line="240" w:lineRule="auto"/>
        <w:ind w:firstLine="284"/>
        <w:rPr>
          <w:rFonts w:ascii="Garamond" w:eastAsia="SimSun" w:hAnsi="Garamond" w:cs="Calibri Light"/>
          <w:sz w:val="24"/>
          <w:szCs w:val="24"/>
          <w:lang w:eastAsia="es-ES"/>
        </w:rPr>
      </w:pPr>
      <w:r w:rsidRPr="00622884">
        <w:rPr>
          <w:rFonts w:ascii="Garamond" w:eastAsia="Calibri" w:hAnsi="Garamond" w:cs="Times New Roman"/>
          <w:sz w:val="24"/>
          <w:szCs w:val="24"/>
          <w:lang w:eastAsia="en-US" w:bidi="sq-AL"/>
        </w:rPr>
        <w:t xml:space="preserve">Në kuadrin institucional të Shqipërisë, qeverisja për ndryshimet klimatike koordinohet përmes një sistemi me shumë nivele, siç tregohet në kapitullin (3.4) </w:t>
      </w:r>
      <w:r w:rsidRPr="00622884">
        <w:rPr>
          <w:rFonts w:ascii="Garamond" w:eastAsia="Calibri" w:hAnsi="Garamond" w:cs="Times New Roman"/>
          <w:sz w:val="24"/>
          <w:szCs w:val="24"/>
          <w:lang w:eastAsia="en-US" w:bidi="sq-AL"/>
        </w:rPr>
        <w:fldChar w:fldCharType="begin"/>
      </w:r>
      <w:r w:rsidRPr="00622884">
        <w:rPr>
          <w:rFonts w:ascii="Garamond" w:eastAsia="Calibri" w:hAnsi="Garamond" w:cs="Times New Roman"/>
          <w:sz w:val="24"/>
          <w:szCs w:val="24"/>
          <w:lang w:eastAsia="en-US" w:bidi="sq-AL"/>
        </w:rPr>
        <w:instrText xml:space="preserve"> REF _Ref210986988 \r  \* MERGEFORMAT </w:instrText>
      </w:r>
      <w:r w:rsidRPr="00622884">
        <w:rPr>
          <w:rFonts w:ascii="Garamond" w:eastAsia="Calibri" w:hAnsi="Garamond" w:cs="Times New Roman"/>
          <w:sz w:val="24"/>
          <w:szCs w:val="24"/>
          <w:lang w:eastAsia="en-US" w:bidi="sq-AL"/>
        </w:rPr>
        <w:fldChar w:fldCharType="separate"/>
      </w:r>
      <w:r w:rsidRPr="00622884">
        <w:rPr>
          <w:rFonts w:ascii="Garamond" w:eastAsia="Calibri" w:hAnsi="Garamond" w:cs="Times New Roman"/>
          <w:sz w:val="24"/>
          <w:szCs w:val="24"/>
          <w:lang w:eastAsia="en-US" w:bidi="sq-AL"/>
        </w:rPr>
        <w:t>3</w:t>
      </w:r>
      <w:r w:rsidRPr="00622884">
        <w:rPr>
          <w:rFonts w:ascii="Garamond" w:eastAsia="Calibri" w:hAnsi="Garamond" w:cs="Times New Roman"/>
          <w:sz w:val="24"/>
          <w:szCs w:val="24"/>
          <w:lang w:eastAsia="en-US" w:bidi="sq-AL"/>
        </w:rPr>
        <w:fldChar w:fldCharType="end"/>
      </w:r>
      <w:r w:rsidRPr="00622884">
        <w:rPr>
          <w:rFonts w:ascii="Garamond" w:eastAsia="Calibri" w:hAnsi="Garamond" w:cs="Times New Roman"/>
          <w:sz w:val="24"/>
          <w:szCs w:val="24"/>
          <w:lang w:eastAsia="en-US" w:bidi="sq-AL"/>
        </w:rPr>
        <w:t xml:space="preserve">. Në nivel kombëtar, Ministria e </w:t>
      </w:r>
      <w:r w:rsidRPr="00622884">
        <w:rPr>
          <w:rFonts w:ascii="Garamond" w:eastAsia="Calibri" w:hAnsi="Garamond" w:cs="Times New Roman"/>
          <w:sz w:val="24"/>
          <w:szCs w:val="24"/>
          <w:lang w:eastAsia="en-US" w:bidi="sq-AL"/>
        </w:rPr>
        <w:lastRenderedPageBreak/>
        <w:t xml:space="preserve">Mjedisit (MM) është autoriteti kryesor për mbikëqyrjen dhe zbatimin e politikave mjedisore dhe klimatike, pjesë e së cilës është dhe Njësia për Ndryshimet Klimatike, e cila vepron si pikë fokale kombëtare për UNFCCC-në. Gjithashtu, ministria drejton GNPNK-në, që luan rol kyç në sigurimin e koordinimit ndërsektorial, harmonizimit institucional, integrimit dhe vendimmarrjes për veprimet klimatike. Grupi i Punës për Përshtatjen ndaj Ndryshimeve Klimatike (GPPNK) në GNPNK shqyrton zbatimin e NAP-it. </w:t>
      </w:r>
    </w:p>
    <w:p w14:paraId="3223DA76" w14:textId="77777777" w:rsidR="00622884" w:rsidRPr="00622884" w:rsidRDefault="00622884" w:rsidP="00622884">
      <w:pPr>
        <w:spacing w:after="0" w:line="240" w:lineRule="auto"/>
        <w:ind w:firstLine="284"/>
        <w:rPr>
          <w:rFonts w:ascii="Garamond" w:eastAsia="SimSun" w:hAnsi="Garamond" w:cs="Calibri Light"/>
          <w:sz w:val="24"/>
          <w:szCs w:val="24"/>
          <w:lang w:eastAsia="es-ES"/>
        </w:rPr>
      </w:pPr>
      <w:r w:rsidRPr="00622884">
        <w:rPr>
          <w:rFonts w:ascii="Garamond" w:eastAsia="Calibri" w:hAnsi="Garamond" w:cs="Times New Roman"/>
          <w:sz w:val="24"/>
          <w:szCs w:val="24"/>
          <w:lang w:eastAsia="en-US" w:bidi="sq-AL"/>
        </w:rPr>
        <w:t xml:space="preserve">Në praktikë, përshtatja ndaj ndryshimeve klimatike zbatohet nga ministritë dhe agjencitë sektoriale përkatëse, shpeshherë në koordinim të ngushtë me autoritetet bashkiake. Ministritë, institucionet dhe autoritetet e mëposhtme të sektorit kanë rol kyç në zbatimin e NAP-it dhe të këtij plani zbatimi (shihni kapitullin </w:t>
      </w:r>
      <w:r w:rsidRPr="00622884">
        <w:rPr>
          <w:rFonts w:ascii="Garamond" w:eastAsia="Calibri" w:hAnsi="Garamond" w:cs="Times New Roman"/>
          <w:sz w:val="24"/>
          <w:szCs w:val="24"/>
          <w:lang w:eastAsia="en-US" w:bidi="sq-AL"/>
        </w:rPr>
        <w:fldChar w:fldCharType="begin"/>
      </w:r>
      <w:r w:rsidRPr="00622884">
        <w:rPr>
          <w:rFonts w:ascii="Garamond" w:eastAsia="Calibri" w:hAnsi="Garamond" w:cs="Times New Roman"/>
          <w:sz w:val="24"/>
          <w:szCs w:val="24"/>
          <w:lang w:eastAsia="en-US" w:bidi="sq-AL"/>
        </w:rPr>
        <w:instrText xml:space="preserve"> REF _Ref210986988 \r  \* MERGEFORMAT </w:instrText>
      </w:r>
      <w:r w:rsidRPr="00622884">
        <w:rPr>
          <w:rFonts w:ascii="Garamond" w:eastAsia="Calibri" w:hAnsi="Garamond" w:cs="Times New Roman"/>
          <w:sz w:val="24"/>
          <w:szCs w:val="24"/>
          <w:lang w:eastAsia="en-US" w:bidi="sq-AL"/>
        </w:rPr>
        <w:fldChar w:fldCharType="separate"/>
      </w:r>
      <w:r w:rsidRPr="00622884">
        <w:rPr>
          <w:rFonts w:ascii="Garamond" w:eastAsia="Calibri" w:hAnsi="Garamond" w:cs="Times New Roman"/>
          <w:sz w:val="24"/>
          <w:szCs w:val="24"/>
          <w:lang w:eastAsia="en-US" w:bidi="sq-AL"/>
        </w:rPr>
        <w:t>3</w:t>
      </w:r>
      <w:r w:rsidRPr="00622884">
        <w:rPr>
          <w:rFonts w:ascii="Garamond" w:eastAsia="Calibri" w:hAnsi="Garamond" w:cs="Times New Roman"/>
          <w:sz w:val="24"/>
          <w:szCs w:val="24"/>
          <w:lang w:eastAsia="en-US" w:bidi="sq-AL"/>
        </w:rPr>
        <w:fldChar w:fldCharType="end"/>
      </w:r>
      <w:r w:rsidRPr="00622884">
        <w:rPr>
          <w:rFonts w:ascii="Garamond" w:eastAsia="Calibri" w:hAnsi="Garamond" w:cs="Times New Roman"/>
          <w:sz w:val="24"/>
          <w:szCs w:val="24"/>
          <w:lang w:eastAsia="en-US" w:bidi="sq-AL"/>
        </w:rPr>
        <w:t xml:space="preserve">; 3.4): MM-ja, MBZHR-ja, Ministria e Infrastrukturës dhe Energjisë (MIE), Ministria e Financave (MF), Ministria e Ekonomisë dhe Inovacionit (MEI), dhe Ministria e Turizmit, Kulturës dhe Sportit, Ministria e Shëndetësisë dhe Mirëqenies Sociale, duke përfshirë institucionet dhe agjencitë e tyre vartëse. </w:t>
      </w:r>
    </w:p>
    <w:p w14:paraId="2480A9A0" w14:textId="77777777" w:rsidR="00622884" w:rsidRPr="00622884" w:rsidRDefault="00622884" w:rsidP="00622884">
      <w:pPr>
        <w:spacing w:after="0" w:line="240" w:lineRule="auto"/>
        <w:ind w:firstLine="284"/>
        <w:rPr>
          <w:rFonts w:ascii="Garamond" w:eastAsia="SimSun" w:hAnsi="Garamond" w:cs="Calibri Light"/>
          <w:sz w:val="24"/>
          <w:szCs w:val="24"/>
          <w:lang w:eastAsia="es-ES"/>
        </w:rPr>
      </w:pPr>
      <w:r w:rsidRPr="00622884">
        <w:rPr>
          <w:rFonts w:ascii="Garamond" w:eastAsia="Calibri" w:hAnsi="Garamond" w:cs="Times New Roman"/>
          <w:sz w:val="24"/>
          <w:szCs w:val="24"/>
          <w:lang w:eastAsia="en-US" w:bidi="sq-AL"/>
        </w:rPr>
        <w:t xml:space="preserve">Masat prioritare të NAP-it duhet të zbatohen në bashkëpunim të ngushtë me 61 bashkitë e vendit, të cilat kanë rol kritik në planifikimin dhe zbatimin e përshtatjes, pasi ato menaxhojnë përgjegjësi kyç si infrastruktura vendore (rrugët, sistemet e kullimit, ujësjellësi), rregullimi i përdorimit të tokës, mbrojtja e mjedisit dhe ofrimi i shërbimeve publike. </w:t>
      </w:r>
    </w:p>
    <w:p w14:paraId="76F820E9" w14:textId="77777777" w:rsidR="00622884" w:rsidRPr="00622884" w:rsidRDefault="00622884" w:rsidP="00622884">
      <w:pPr>
        <w:spacing w:after="0" w:line="240" w:lineRule="auto"/>
        <w:ind w:firstLine="284"/>
        <w:rPr>
          <w:rFonts w:ascii="Garamond" w:eastAsia="SimSun" w:hAnsi="Garamond" w:cs="Calibri Light"/>
          <w:sz w:val="24"/>
          <w:szCs w:val="24"/>
          <w:lang w:eastAsia="en-US"/>
        </w:rPr>
      </w:pPr>
      <w:r w:rsidRPr="00622884">
        <w:rPr>
          <w:rFonts w:ascii="Garamond" w:eastAsia="Calibri" w:hAnsi="Garamond" w:cs="Times New Roman"/>
          <w:sz w:val="24"/>
          <w:szCs w:val="24"/>
          <w:lang w:eastAsia="en-US" w:bidi="sq-AL"/>
        </w:rPr>
        <w:t xml:space="preserve">Për ta vënë në zbatim këtë sistem qeverisjeje me shumë nivele dhe për të siguruar qartësi në shpërndarjen e përgjegjësive për veprimin klimatik, Plani i Zbatimit përdor një qasje të strukturuar dhe hierarkike, shihni edhe </w:t>
      </w:r>
      <w:r w:rsidRPr="00622884">
        <w:rPr>
          <w:rFonts w:ascii="Garamond" w:eastAsia="Calibri" w:hAnsi="Garamond" w:cs="Times New Roman"/>
          <w:sz w:val="24"/>
          <w:szCs w:val="24"/>
          <w:lang w:eastAsia="en-US" w:bidi="sq-AL"/>
        </w:rPr>
        <w:fldChar w:fldCharType="begin"/>
      </w:r>
      <w:r w:rsidRPr="00622884">
        <w:rPr>
          <w:rFonts w:ascii="Garamond" w:eastAsia="Calibri" w:hAnsi="Garamond" w:cs="Times New Roman"/>
          <w:sz w:val="24"/>
          <w:szCs w:val="24"/>
          <w:lang w:eastAsia="en-US" w:bidi="sq-AL"/>
        </w:rPr>
        <w:instrText xml:space="preserve"> REF _Ref210992988  \* MERGEFORMAT </w:instrText>
      </w:r>
      <w:r w:rsidRPr="00622884">
        <w:rPr>
          <w:rFonts w:ascii="Garamond" w:eastAsia="Calibri" w:hAnsi="Garamond" w:cs="Times New Roman"/>
          <w:sz w:val="24"/>
          <w:szCs w:val="24"/>
          <w:lang w:eastAsia="en-US" w:bidi="sq-AL"/>
        </w:rPr>
        <w:fldChar w:fldCharType="separate"/>
      </w:r>
      <w:r w:rsidRPr="00622884">
        <w:rPr>
          <w:rFonts w:ascii="Garamond" w:eastAsia="Calibri" w:hAnsi="Garamond" w:cs="Times New Roman"/>
          <w:sz w:val="24"/>
          <w:szCs w:val="24"/>
          <w:lang w:eastAsia="en-US" w:bidi="sq-AL"/>
        </w:rPr>
        <w:t>figurën 20</w:t>
      </w:r>
      <w:r w:rsidRPr="00622884">
        <w:rPr>
          <w:rFonts w:ascii="Garamond" w:eastAsia="Calibri" w:hAnsi="Garamond" w:cs="Times New Roman"/>
          <w:sz w:val="24"/>
          <w:szCs w:val="24"/>
          <w:lang w:eastAsia="en-US" w:bidi="sq-AL"/>
        </w:rPr>
        <w:fldChar w:fldCharType="end"/>
      </w:r>
      <w:r w:rsidRPr="00622884">
        <w:rPr>
          <w:rFonts w:ascii="Garamond" w:eastAsia="Calibri" w:hAnsi="Garamond" w:cs="Times New Roman"/>
          <w:sz w:val="24"/>
          <w:szCs w:val="24"/>
          <w:lang w:eastAsia="en-US" w:bidi="sq-AL"/>
        </w:rPr>
        <w:t>, më poshtë:</w:t>
      </w:r>
    </w:p>
    <w:p w14:paraId="281376EB" w14:textId="77777777" w:rsidR="00622884" w:rsidRPr="00622884" w:rsidRDefault="00622884" w:rsidP="00622884">
      <w:pPr>
        <w:spacing w:after="0" w:line="240" w:lineRule="auto"/>
        <w:ind w:firstLine="284"/>
        <w:rPr>
          <w:rFonts w:ascii="Garamond" w:eastAsia="SimSun" w:hAnsi="Garamond" w:cs="Calibri Light"/>
          <w:sz w:val="24"/>
          <w:szCs w:val="24"/>
          <w:lang w:eastAsia="en-US"/>
        </w:rPr>
      </w:pPr>
      <w:r w:rsidRPr="00622884">
        <w:rPr>
          <w:rFonts w:ascii="Garamond" w:eastAsia="Calibri" w:hAnsi="Garamond" w:cs="Times New Roman"/>
          <w:sz w:val="24"/>
          <w:szCs w:val="24"/>
          <w:lang w:eastAsia="en-US" w:bidi="sq-AL"/>
        </w:rPr>
        <w:t>-</w:t>
      </w:r>
      <w:r w:rsidRPr="00622884">
        <w:rPr>
          <w:rFonts w:ascii="Garamond" w:eastAsia="Calibri" w:hAnsi="Garamond" w:cs="Times New Roman"/>
          <w:b/>
          <w:sz w:val="24"/>
          <w:szCs w:val="24"/>
          <w:lang w:eastAsia="en-US" w:bidi="sq-AL"/>
        </w:rPr>
        <w:t xml:space="preserve"> Subjektet përgjegjëse për veprimet për përshtatje:</w:t>
      </w:r>
      <w:r w:rsidRPr="00622884">
        <w:rPr>
          <w:rFonts w:ascii="Garamond" w:eastAsia="Calibri" w:hAnsi="Garamond" w:cs="Times New Roman"/>
          <w:sz w:val="24"/>
          <w:szCs w:val="24"/>
          <w:lang w:eastAsia="en-US" w:bidi="sq-AL"/>
        </w:rPr>
        <w:t xml:space="preserve"> Këtu përfshihen ministritë qeveritare, agjencitë dhe sipas rastit autoritetet bashkiake përgjegjëse për udhëheqjen e zbatimit të masave dhe veprimtarive për përshtatje specifike për sektorin. Këto subjekte janë të ngarkuara me ekzekutimin dhe monitorimin e veprimeve në fushat e tyre përkatëse të kompetencës, duke siguruar një qasje të integruar, shumësektoriale dhe koherente lidhur me përshtatjen ndaj klimës. Për veprime të caktuara të drejtuara në nivel vendor, bashkitë do të veprojnë si subjekte kryesore zbatuese në koordinim me homologët kombëtarë;</w:t>
      </w:r>
    </w:p>
    <w:p w14:paraId="0DC5DAFC" w14:textId="77777777" w:rsidR="00622884" w:rsidRPr="00622884" w:rsidRDefault="00622884" w:rsidP="00622884">
      <w:pPr>
        <w:spacing w:after="0" w:line="240" w:lineRule="auto"/>
        <w:ind w:firstLine="284"/>
        <w:rPr>
          <w:rFonts w:ascii="Garamond" w:eastAsia="SimSun" w:hAnsi="Garamond" w:cs="Calibri Light"/>
          <w:sz w:val="24"/>
          <w:szCs w:val="24"/>
          <w:lang w:eastAsia="en-US"/>
        </w:rPr>
      </w:pPr>
      <w:r w:rsidRPr="00622884">
        <w:rPr>
          <w:rFonts w:ascii="Garamond" w:eastAsia="Calibri" w:hAnsi="Garamond" w:cs="Times New Roman"/>
          <w:sz w:val="24"/>
          <w:szCs w:val="24"/>
          <w:lang w:eastAsia="en-US" w:bidi="sq-AL"/>
        </w:rPr>
        <w:t>-</w:t>
      </w:r>
      <w:r w:rsidRPr="00622884">
        <w:rPr>
          <w:rFonts w:ascii="Garamond" w:eastAsia="Calibri" w:hAnsi="Garamond" w:cs="Times New Roman"/>
          <w:b/>
          <w:sz w:val="24"/>
          <w:szCs w:val="24"/>
          <w:lang w:eastAsia="en-US" w:bidi="sq-AL"/>
        </w:rPr>
        <w:t xml:space="preserve"> Organe qeveritare të lidhura:</w:t>
      </w:r>
      <w:r w:rsidRPr="00622884">
        <w:rPr>
          <w:rFonts w:ascii="Garamond" w:eastAsia="Calibri" w:hAnsi="Garamond" w:cs="Times New Roman"/>
          <w:sz w:val="24"/>
          <w:szCs w:val="24"/>
          <w:lang w:eastAsia="en-US" w:bidi="sq-AL"/>
        </w:rPr>
        <w:t xml:space="preserve"> Këto janë institucione, mandatet e të cilave lidhen me masën/veprimtarinë e përshtatjes dhe të cilat mbështesin zbatimin e tyre duke ofruar kontribut teknik, harmonizim të politikave ose burime operacionale. Këto mund të përfshijnë ministri të tjera, agjenci kombëtare ose institucione publike që kontribuojnë në zbatimin e komponentëve specifikë të masës së përshtatjes ose ndihmojnë në sigurimin e qëndrueshmërisë ndërsektoriale;</w:t>
      </w:r>
    </w:p>
    <w:p w14:paraId="7A6E9F34" w14:textId="77777777" w:rsidR="00622884" w:rsidRPr="00622884" w:rsidRDefault="00622884" w:rsidP="00622884">
      <w:pPr>
        <w:spacing w:after="0" w:line="240" w:lineRule="auto"/>
        <w:ind w:firstLine="284"/>
        <w:rPr>
          <w:rFonts w:ascii="Garamond" w:eastAsia="SimSun" w:hAnsi="Garamond" w:cs="Calibri Light"/>
          <w:sz w:val="24"/>
          <w:szCs w:val="24"/>
          <w:lang w:eastAsia="en-US"/>
        </w:rPr>
      </w:pPr>
      <w:r w:rsidRPr="00622884">
        <w:rPr>
          <w:rFonts w:ascii="Garamond" w:eastAsia="Calibri" w:hAnsi="Garamond" w:cs="Times New Roman"/>
          <w:sz w:val="24"/>
          <w:szCs w:val="24"/>
          <w:lang w:eastAsia="en-US" w:bidi="sq-AL"/>
        </w:rPr>
        <w:t>-</w:t>
      </w:r>
      <w:r w:rsidRPr="00622884">
        <w:rPr>
          <w:rFonts w:ascii="Garamond" w:eastAsia="Calibri" w:hAnsi="Garamond" w:cs="Times New Roman"/>
          <w:b/>
          <w:sz w:val="24"/>
          <w:szCs w:val="24"/>
          <w:lang w:eastAsia="en-US" w:bidi="sq-AL"/>
        </w:rPr>
        <w:t xml:space="preserve"> Partnerë të tjerë kyç:</w:t>
      </w:r>
      <w:r w:rsidRPr="00622884">
        <w:rPr>
          <w:rFonts w:ascii="Garamond" w:eastAsia="Calibri" w:hAnsi="Garamond" w:cs="Times New Roman"/>
          <w:sz w:val="24"/>
          <w:szCs w:val="24"/>
          <w:lang w:eastAsia="en-US" w:bidi="sq-AL"/>
        </w:rPr>
        <w:t xml:space="preserve"> Kjo kategori përfshin aktorë joqeveritarë, si sektori privat, organizatat e shoqërisë civile, akademia, organizatat me bazë komunitare (OBK), media dhe komunitetet vendase. Këto palë interesi kontribuojnë përmes ekspertizës teknike, kërkimit, mbulimit dhe mobilizimit të komunitetit. Gjithashtu, luajnë rol thelbësor në gjenerimin dhe ndarjen e të dhënave për monitorimin dhe vlerësimin e progresit të përshtatjes. Pjesëmarrja e tyre siguron që strategjitë e përshtatjes të jenë gjithëpërfshirëse, të orientuara nga shkenca dhe të bazuara në realitetet vendase.</w:t>
      </w:r>
    </w:p>
    <w:p w14:paraId="00DE8DCC" w14:textId="77777777" w:rsidR="00622884" w:rsidRPr="00622884" w:rsidRDefault="00622884" w:rsidP="00622884">
      <w:pPr>
        <w:spacing w:after="0" w:line="240" w:lineRule="auto"/>
        <w:ind w:left="360"/>
        <w:rPr>
          <w:rFonts w:ascii="Garamond" w:eastAsia="SimSun" w:hAnsi="Garamond" w:cs="Calibri Light"/>
          <w:sz w:val="24"/>
          <w:szCs w:val="24"/>
          <w:lang w:eastAsia="en-US"/>
        </w:rPr>
      </w:pPr>
    </w:p>
    <w:p w14:paraId="74F280FB" w14:textId="77777777" w:rsidR="00622884" w:rsidRPr="00622884" w:rsidRDefault="00622884" w:rsidP="00622884">
      <w:pPr>
        <w:keepNext/>
        <w:spacing w:after="0" w:line="240" w:lineRule="auto"/>
        <w:jc w:val="center"/>
        <w:rPr>
          <w:rFonts w:ascii="Garamond" w:eastAsia="Calibri" w:hAnsi="Garamond" w:cs="Calibri Light"/>
          <w:sz w:val="24"/>
          <w:szCs w:val="24"/>
          <w:lang w:eastAsia="en-US"/>
        </w:rPr>
      </w:pPr>
      <w:r w:rsidRPr="00622884">
        <w:rPr>
          <w:rFonts w:ascii="Garamond" w:eastAsia="Calibri" w:hAnsi="Garamond" w:cs="Times New Roman"/>
          <w:noProof/>
          <w:sz w:val="24"/>
          <w:szCs w:val="24"/>
          <w:lang w:eastAsia="sq-AL"/>
        </w:rPr>
        <w:lastRenderedPageBreak/>
        <w:drawing>
          <wp:inline distT="0" distB="0" distL="0" distR="0" wp14:anchorId="1AB9B0CD" wp14:editId="60C070DA">
            <wp:extent cx="4758190" cy="1811655"/>
            <wp:effectExtent l="0" t="0" r="0" b="0"/>
            <wp:docPr id="36" name="Picture 36"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9" descr="Texto&#10;&#10;El contenido generado por IA puede ser incorrecto."/>
                    <pic:cNvPicPr>
                      <a:picLocks noChangeAspect="1" noChangeArrowheads="1"/>
                    </pic:cNvPicPr>
                  </pic:nvPicPr>
                  <pic:blipFill rotWithShape="1">
                    <a:blip r:embed="rId96" cstate="print">
                      <a:extLst>
                        <a:ext uri="{28A0092B-C50C-407E-A947-70E740481C1C}">
                          <a14:useLocalDpi xmlns:a14="http://schemas.microsoft.com/office/drawing/2010/main" val="0"/>
                        </a:ext>
                      </a:extLst>
                    </a:blip>
                    <a:srcRect l="6079" r="3896" b="19048"/>
                    <a:stretch/>
                  </pic:blipFill>
                  <pic:spPr bwMode="auto">
                    <a:xfrm>
                      <a:off x="0" y="0"/>
                      <a:ext cx="4768485" cy="1815575"/>
                    </a:xfrm>
                    <a:prstGeom prst="rect">
                      <a:avLst/>
                    </a:prstGeom>
                    <a:noFill/>
                    <a:ln>
                      <a:noFill/>
                    </a:ln>
                    <a:extLst>
                      <a:ext uri="{53640926-AAD7-44D8-BBD7-CCE9431645EC}">
                        <a14:shadowObscured xmlns:a14="http://schemas.microsoft.com/office/drawing/2010/main"/>
                      </a:ext>
                    </a:extLst>
                  </pic:spPr>
                </pic:pic>
              </a:graphicData>
            </a:graphic>
          </wp:inline>
        </w:drawing>
      </w:r>
    </w:p>
    <w:p w14:paraId="164B0E08" w14:textId="77777777" w:rsidR="00622884" w:rsidRPr="00622884" w:rsidRDefault="00622884" w:rsidP="00622884">
      <w:pPr>
        <w:spacing w:after="0" w:line="240" w:lineRule="auto"/>
        <w:ind w:firstLine="284"/>
        <w:jc w:val="center"/>
        <w:rPr>
          <w:rFonts w:ascii="Garamond" w:eastAsia="Calibri" w:hAnsi="Garamond" w:cs="Times New Roman"/>
          <w:i/>
          <w:iCs/>
          <w:sz w:val="20"/>
          <w:szCs w:val="20"/>
          <w:highlight w:val="yellow"/>
          <w:lang w:eastAsia="en-US"/>
        </w:rPr>
      </w:pPr>
      <w:bookmarkStart w:id="282" w:name="_Toc213936092"/>
      <w:r w:rsidRPr="00622884">
        <w:rPr>
          <w:rFonts w:ascii="Garamond" w:eastAsia="Calibri" w:hAnsi="Garamond" w:cs="Times New Roman"/>
          <w:i/>
          <w:sz w:val="20"/>
          <w:szCs w:val="20"/>
          <w:lang w:eastAsia="en-US" w:bidi="sq-AL"/>
        </w:rPr>
        <w:t>Figura 20. Marrëveshjet institucionale për planin e zbatimit</w:t>
      </w:r>
      <w:r w:rsidRPr="00622884">
        <w:rPr>
          <w:rFonts w:ascii="Garamond" w:eastAsia="Calibri" w:hAnsi="Garamond" w:cs="Times New Roman"/>
          <w:i/>
          <w:sz w:val="20"/>
          <w:szCs w:val="20"/>
          <w:vertAlign w:val="superscript"/>
          <w:lang w:eastAsia="en-US" w:bidi="sq-AL"/>
        </w:rPr>
        <w:footnoteReference w:id="216"/>
      </w:r>
      <w:r w:rsidRPr="00622884">
        <w:rPr>
          <w:rFonts w:ascii="Garamond" w:eastAsia="Calibri" w:hAnsi="Garamond" w:cs="Times New Roman"/>
          <w:i/>
          <w:sz w:val="20"/>
          <w:szCs w:val="20"/>
          <w:lang w:eastAsia="en-US" w:bidi="sq-AL"/>
        </w:rPr>
        <w:t>.</w:t>
      </w:r>
      <w:bookmarkEnd w:id="282"/>
    </w:p>
    <w:p w14:paraId="5865F6B0" w14:textId="77777777" w:rsidR="00622884" w:rsidRPr="00622884" w:rsidRDefault="00622884" w:rsidP="00622884">
      <w:pPr>
        <w:spacing w:after="0" w:line="240" w:lineRule="auto"/>
        <w:ind w:firstLine="284"/>
        <w:rPr>
          <w:rFonts w:ascii="Garamond" w:eastAsia="Calibri" w:hAnsi="Garamond" w:cs="Times New Roman"/>
          <w:sz w:val="12"/>
          <w:szCs w:val="24"/>
          <w:lang w:eastAsia="en-US" w:bidi="sq-AL"/>
        </w:rPr>
      </w:pPr>
    </w:p>
    <w:p w14:paraId="5AB5971A" w14:textId="77777777" w:rsidR="00622884" w:rsidRPr="00622884" w:rsidRDefault="00622884" w:rsidP="00622884">
      <w:pPr>
        <w:spacing w:after="0" w:line="240" w:lineRule="auto"/>
        <w:ind w:firstLine="284"/>
        <w:rPr>
          <w:rFonts w:ascii="Garamond" w:eastAsia="SimSun" w:hAnsi="Garamond" w:cs="Calibri Light"/>
          <w:sz w:val="24"/>
          <w:szCs w:val="24"/>
          <w:lang w:eastAsia="en-US"/>
        </w:rPr>
      </w:pPr>
      <w:r w:rsidRPr="00622884">
        <w:rPr>
          <w:rFonts w:ascii="Garamond" w:eastAsia="Calibri" w:hAnsi="Garamond" w:cs="Times New Roman"/>
          <w:sz w:val="24"/>
          <w:szCs w:val="24"/>
          <w:lang w:eastAsia="en-US" w:bidi="sq-AL"/>
        </w:rPr>
        <w:t xml:space="preserve">Shihni </w:t>
      </w:r>
      <w:r w:rsidRPr="00622884">
        <w:rPr>
          <w:rFonts w:ascii="Garamond" w:eastAsia="Calibri" w:hAnsi="Garamond" w:cs="Times New Roman"/>
          <w:sz w:val="24"/>
          <w:szCs w:val="24"/>
          <w:lang w:eastAsia="en-US" w:bidi="sq-AL"/>
        </w:rPr>
        <w:fldChar w:fldCharType="begin"/>
      </w:r>
      <w:r w:rsidRPr="00622884">
        <w:rPr>
          <w:rFonts w:ascii="Garamond" w:eastAsia="Calibri" w:hAnsi="Garamond" w:cs="Times New Roman"/>
          <w:sz w:val="24"/>
          <w:szCs w:val="24"/>
          <w:lang w:eastAsia="en-US" w:bidi="sq-AL"/>
        </w:rPr>
        <w:instrText xml:space="preserve"> REF _Ref210993046  \* MERGEFORMAT </w:instrText>
      </w:r>
      <w:r w:rsidRPr="00622884">
        <w:rPr>
          <w:rFonts w:ascii="Garamond" w:eastAsia="Calibri" w:hAnsi="Garamond" w:cs="Times New Roman"/>
          <w:sz w:val="24"/>
          <w:szCs w:val="24"/>
          <w:lang w:eastAsia="en-US" w:bidi="sq-AL"/>
        </w:rPr>
        <w:fldChar w:fldCharType="separate"/>
      </w:r>
      <w:r w:rsidRPr="00622884">
        <w:rPr>
          <w:rFonts w:ascii="Garamond" w:eastAsia="Calibri" w:hAnsi="Garamond" w:cs="Times New Roman"/>
          <w:sz w:val="24"/>
          <w:szCs w:val="24"/>
          <w:lang w:eastAsia="en-US" w:bidi="sq-AL"/>
        </w:rPr>
        <w:t>tabelën 11</w:t>
      </w:r>
      <w:r w:rsidRPr="00622884">
        <w:rPr>
          <w:rFonts w:ascii="Garamond" w:eastAsia="Calibri" w:hAnsi="Garamond" w:cs="Times New Roman"/>
          <w:sz w:val="24"/>
          <w:szCs w:val="24"/>
          <w:lang w:eastAsia="en-US" w:bidi="sq-AL"/>
        </w:rPr>
        <w:fldChar w:fldCharType="end"/>
      </w:r>
      <w:r w:rsidRPr="00622884">
        <w:rPr>
          <w:rFonts w:ascii="Garamond" w:eastAsia="Calibri" w:hAnsi="Garamond" w:cs="Times New Roman"/>
          <w:sz w:val="24"/>
          <w:szCs w:val="24"/>
          <w:lang w:eastAsia="en-US" w:bidi="sq-AL"/>
        </w:rPr>
        <w:t xml:space="preserve">, më poshtë, për institucionet kryesore përgjegjëse për masat e përshtatjes, ndërsa informacionin e mëtejshëm mbi institucionet kryesore dhe mbështetëse të caktuara për secilin veprim përshtatjeje mund ta gjeni në </w:t>
      </w:r>
      <w:r w:rsidRPr="00622884">
        <w:rPr>
          <w:rFonts w:ascii="Garamond" w:eastAsia="Calibri" w:hAnsi="Garamond" w:cs="Times New Roman"/>
          <w:b/>
          <w:sz w:val="24"/>
          <w:szCs w:val="24"/>
          <w:lang w:eastAsia="en-US" w:bidi="sq-AL"/>
        </w:rPr>
        <w:t>skedat e detajuara informuese</w:t>
      </w:r>
      <w:r w:rsidRPr="00622884">
        <w:rPr>
          <w:rFonts w:ascii="Garamond" w:eastAsia="Calibri" w:hAnsi="Garamond" w:cs="Times New Roman"/>
          <w:sz w:val="24"/>
          <w:szCs w:val="24"/>
          <w:lang w:eastAsia="en-US" w:bidi="sq-AL"/>
        </w:rPr>
        <w:t xml:space="preserve"> të përshtatjes të paraqitura në një dokument të veçantë.</w:t>
      </w:r>
    </w:p>
    <w:p w14:paraId="0372A022" w14:textId="77777777" w:rsidR="00622884" w:rsidRPr="00622884" w:rsidRDefault="00622884" w:rsidP="00622884">
      <w:pPr>
        <w:keepNext/>
        <w:keepLines/>
        <w:spacing w:after="0" w:line="240" w:lineRule="auto"/>
        <w:ind w:left="284"/>
        <w:outlineLvl w:val="1"/>
        <w:rPr>
          <w:rFonts w:ascii="Garamond" w:eastAsia="MS Mincho" w:hAnsi="Garamond" w:cs="Times New Roman"/>
          <w:b/>
          <w:bCs/>
          <w:caps/>
          <w:sz w:val="24"/>
          <w:szCs w:val="24"/>
          <w:lang w:eastAsia="es-ES"/>
        </w:rPr>
      </w:pPr>
      <w:bookmarkStart w:id="283" w:name="_Toc213936240"/>
      <w:r w:rsidRPr="00622884">
        <w:rPr>
          <w:rFonts w:ascii="Garamond" w:eastAsia="MS Mincho" w:hAnsi="Garamond" w:cs="Times New Roman"/>
          <w:b/>
          <w:bCs/>
          <w:caps/>
          <w:sz w:val="24"/>
          <w:szCs w:val="24"/>
          <w:lang w:eastAsia="es-ES" w:bidi="sq-AL"/>
        </w:rPr>
        <w:t xml:space="preserve">6.3 </w:t>
      </w:r>
      <w:r w:rsidRPr="00622884">
        <w:rPr>
          <w:rFonts w:ascii="Garamond" w:eastAsia="MS Mincho" w:hAnsi="Garamond" w:cs="Times New Roman"/>
          <w:b/>
          <w:bCs/>
          <w:sz w:val="24"/>
          <w:szCs w:val="24"/>
          <w:lang w:eastAsia="es-ES" w:bidi="sq-AL"/>
        </w:rPr>
        <w:t>Afati për zbatimin</w:t>
      </w:r>
      <w:bookmarkEnd w:id="283"/>
      <w:r w:rsidRPr="00622884">
        <w:rPr>
          <w:rFonts w:ascii="Garamond" w:eastAsia="MS Mincho" w:hAnsi="Garamond" w:cs="Times New Roman"/>
          <w:b/>
          <w:bCs/>
          <w:sz w:val="24"/>
          <w:szCs w:val="24"/>
          <w:lang w:eastAsia="es-ES" w:bidi="sq-AL"/>
        </w:rPr>
        <w:t xml:space="preserve"> </w:t>
      </w:r>
    </w:p>
    <w:p w14:paraId="5F75EA1A" w14:textId="77777777" w:rsidR="00622884" w:rsidRPr="00622884" w:rsidRDefault="00622884" w:rsidP="00622884">
      <w:pPr>
        <w:spacing w:after="0" w:line="240" w:lineRule="auto"/>
        <w:ind w:firstLine="284"/>
        <w:rPr>
          <w:rFonts w:ascii="Garamond" w:eastAsia="SimSun" w:hAnsi="Garamond" w:cs="Calibri Light"/>
          <w:sz w:val="24"/>
          <w:szCs w:val="24"/>
          <w:lang w:eastAsia="en-US"/>
        </w:rPr>
      </w:pPr>
      <w:r w:rsidRPr="00622884">
        <w:rPr>
          <w:rFonts w:ascii="Garamond" w:eastAsia="Calibri" w:hAnsi="Garamond" w:cs="Times New Roman"/>
          <w:sz w:val="24"/>
          <w:szCs w:val="24"/>
          <w:lang w:eastAsia="en-US" w:bidi="sq-AL"/>
        </w:rPr>
        <w:t xml:space="preserve">Afati i propozuar për planin e zbatimit mbulon periudhën midis viteve 2026 dhe 2036 për të siguruar një qasje gjithëpërfshirëse dhe strategjike për masat e përshtatjes ndaj ndryshimeve klimatike, që synojnë rritjen e aftësive ripërtëritëse. Ky afat i zgjatur ofron kohë të mjaftueshme për ngritjen e kapaciteteve, zhvillimin e infrastrukturës, integrimin e politikave dhe monitorimin dhe vlerësimin e vazhdueshëm për të vlerësuar progresin dhe për të bërë rregullimet e nevojshme. </w:t>
      </w:r>
    </w:p>
    <w:p w14:paraId="49A2D8A9" w14:textId="77777777" w:rsidR="00622884" w:rsidRPr="00622884" w:rsidRDefault="00622884" w:rsidP="00622884">
      <w:pPr>
        <w:spacing w:after="0" w:line="240" w:lineRule="auto"/>
        <w:ind w:firstLine="284"/>
        <w:rPr>
          <w:rFonts w:ascii="Garamond" w:eastAsia="SimSun" w:hAnsi="Garamond" w:cs="Calibri Light"/>
          <w:sz w:val="24"/>
          <w:szCs w:val="24"/>
          <w:lang w:eastAsia="en-US"/>
        </w:rPr>
      </w:pPr>
      <w:r w:rsidRPr="00622884">
        <w:rPr>
          <w:rFonts w:ascii="Garamond" w:eastAsia="Calibri" w:hAnsi="Garamond" w:cs="Times New Roman"/>
          <w:b/>
          <w:sz w:val="24"/>
          <w:szCs w:val="24"/>
          <w:lang w:eastAsia="en-US" w:bidi="sq-AL"/>
        </w:rPr>
        <w:t>Viti i fillimit të zbatimit</w:t>
      </w:r>
      <w:r w:rsidRPr="00622884">
        <w:rPr>
          <w:rFonts w:ascii="Garamond" w:eastAsia="Calibri" w:hAnsi="Garamond" w:cs="Times New Roman"/>
          <w:sz w:val="24"/>
          <w:szCs w:val="24"/>
          <w:lang w:eastAsia="en-US" w:bidi="sq-AL"/>
        </w:rPr>
        <w:t xml:space="preserve"> për secilën masë përshtatjeje u përcaktua bazuar në analizën dhe gjykimin e ekspertëve, duke marrë parasysh kapacitetet institucionale dhe operacionale të vendit dhe politikat, strategjitë dhe veprimet sektoriale që janë vënë tashmë në zbatim. Kjo u plotësua nga niveli i përcaktuar i prioritetit dhe renditja e prioriteteve specifike për sektorin. Kjo qasje e kombinuar siguroi një afat kohor të shkallëzuar që rrit fizibilitetin, qëndrueshmërinë dhe koordinimin, siç përcaktohet përmes viteve të fillimit të propozuara për secilën masë të shpërndarë si më poshtë:</w:t>
      </w:r>
    </w:p>
    <w:p w14:paraId="075EB6D8" w14:textId="77777777" w:rsidR="00622884" w:rsidRPr="00622884" w:rsidRDefault="00622884" w:rsidP="00622884">
      <w:pPr>
        <w:tabs>
          <w:tab w:val="left" w:pos="5325"/>
        </w:tabs>
        <w:spacing w:after="0" w:line="240" w:lineRule="auto"/>
        <w:ind w:firstLine="284"/>
        <w:rPr>
          <w:rFonts w:ascii="Garamond" w:eastAsia="SimSun" w:hAnsi="Garamond" w:cs="Calibri Light"/>
          <w:sz w:val="24"/>
          <w:szCs w:val="24"/>
          <w:lang w:eastAsia="en-US"/>
        </w:rPr>
      </w:pPr>
      <w:r w:rsidRPr="00622884">
        <w:rPr>
          <w:rFonts w:ascii="Garamond" w:eastAsia="Calibri" w:hAnsi="Garamond" w:cs="Times New Roman"/>
          <w:sz w:val="24"/>
          <w:szCs w:val="24"/>
          <w:lang w:eastAsia="en-US" w:bidi="sq-AL"/>
        </w:rPr>
        <w:t>-</w:t>
      </w:r>
      <w:r w:rsidRPr="00622884">
        <w:rPr>
          <w:rFonts w:ascii="Garamond" w:eastAsia="Calibri" w:hAnsi="Garamond" w:cs="Times New Roman"/>
          <w:b/>
          <w:sz w:val="24"/>
          <w:szCs w:val="24"/>
          <w:lang w:eastAsia="en-US" w:bidi="sq-AL"/>
        </w:rPr>
        <w:t xml:space="preserve"> Masat afatshkurtra</w:t>
      </w:r>
      <w:r w:rsidRPr="00622884">
        <w:rPr>
          <w:rFonts w:ascii="Garamond" w:eastAsia="Calibri" w:hAnsi="Garamond" w:cs="Times New Roman"/>
          <w:sz w:val="24"/>
          <w:szCs w:val="24"/>
          <w:lang w:eastAsia="en-US" w:bidi="sq-AL"/>
        </w:rPr>
        <w:t xml:space="preserve"> do të</w:t>
      </w:r>
      <w:r w:rsidRPr="00622884">
        <w:rPr>
          <w:rFonts w:ascii="Garamond" w:eastAsia="Calibri" w:hAnsi="Garamond" w:cs="Times New Roman"/>
          <w:b/>
          <w:sz w:val="24"/>
          <w:szCs w:val="24"/>
          <w:lang w:eastAsia="en-US" w:bidi="sq-AL"/>
        </w:rPr>
        <w:t xml:space="preserve"> fillojnë</w:t>
      </w:r>
      <w:r w:rsidRPr="00622884">
        <w:rPr>
          <w:rFonts w:ascii="Garamond" w:eastAsia="Calibri" w:hAnsi="Garamond" w:cs="Times New Roman"/>
          <w:sz w:val="24"/>
          <w:szCs w:val="24"/>
          <w:lang w:eastAsia="en-US" w:bidi="sq-AL"/>
        </w:rPr>
        <w:t xml:space="preserve"> në një kohë </w:t>
      </w:r>
      <w:r w:rsidRPr="00622884">
        <w:rPr>
          <w:rFonts w:ascii="Garamond" w:eastAsia="Calibri" w:hAnsi="Garamond" w:cs="Times New Roman"/>
          <w:b/>
          <w:sz w:val="24"/>
          <w:szCs w:val="24"/>
          <w:lang w:eastAsia="en-US" w:bidi="sq-AL"/>
        </w:rPr>
        <w:t>ndërmjet viteve 2026 dhe 2028</w:t>
      </w:r>
      <w:r w:rsidRPr="00622884">
        <w:rPr>
          <w:rFonts w:ascii="Garamond" w:eastAsia="Calibri" w:hAnsi="Garamond" w:cs="Times New Roman"/>
          <w:sz w:val="24"/>
          <w:szCs w:val="24"/>
          <w:lang w:eastAsia="en-US" w:bidi="sq-AL"/>
        </w:rPr>
        <w:t xml:space="preserve">, duke pasur parasysh urgjencën e tyre ose periudhat e nevojshme më të gjata për zbatim; </w:t>
      </w:r>
    </w:p>
    <w:p w14:paraId="57994213" w14:textId="77777777" w:rsidR="00622884" w:rsidRPr="00622884" w:rsidRDefault="00622884" w:rsidP="00622884">
      <w:pPr>
        <w:tabs>
          <w:tab w:val="left" w:pos="5325"/>
        </w:tabs>
        <w:spacing w:after="0" w:line="240" w:lineRule="auto"/>
        <w:ind w:firstLine="284"/>
        <w:rPr>
          <w:rFonts w:ascii="Garamond" w:eastAsia="SimSun" w:hAnsi="Garamond" w:cs="Calibri Light"/>
          <w:sz w:val="24"/>
          <w:szCs w:val="24"/>
          <w:lang w:eastAsia="en-US"/>
        </w:rPr>
      </w:pPr>
      <w:r w:rsidRPr="00622884">
        <w:rPr>
          <w:rFonts w:ascii="Garamond" w:eastAsia="Calibri" w:hAnsi="Garamond" w:cs="Times New Roman"/>
          <w:sz w:val="24"/>
          <w:szCs w:val="24"/>
          <w:lang w:eastAsia="en-US" w:bidi="sq-AL"/>
        </w:rPr>
        <w:t>-</w:t>
      </w:r>
      <w:r w:rsidRPr="00622884">
        <w:rPr>
          <w:rFonts w:ascii="Garamond" w:eastAsia="Calibri" w:hAnsi="Garamond" w:cs="Times New Roman"/>
          <w:b/>
          <w:sz w:val="24"/>
          <w:szCs w:val="24"/>
          <w:lang w:eastAsia="en-US" w:bidi="sq-AL"/>
        </w:rPr>
        <w:t xml:space="preserve"> Masat afatmesme </w:t>
      </w:r>
      <w:r w:rsidRPr="00622884">
        <w:rPr>
          <w:rFonts w:ascii="Garamond" w:eastAsia="Calibri" w:hAnsi="Garamond" w:cs="Times New Roman"/>
          <w:sz w:val="24"/>
          <w:szCs w:val="24"/>
          <w:lang w:eastAsia="en-US" w:bidi="sq-AL"/>
        </w:rPr>
        <w:t>do të</w:t>
      </w:r>
      <w:r w:rsidRPr="00622884">
        <w:rPr>
          <w:rFonts w:ascii="Garamond" w:eastAsia="Calibri" w:hAnsi="Garamond" w:cs="Times New Roman"/>
          <w:b/>
          <w:sz w:val="24"/>
          <w:szCs w:val="24"/>
          <w:lang w:eastAsia="en-US" w:bidi="sq-AL"/>
        </w:rPr>
        <w:t xml:space="preserve"> fillojnë të zbatohen midis viteve 2029 dhe 2032; </w:t>
      </w:r>
    </w:p>
    <w:p w14:paraId="2D88C94A" w14:textId="77777777" w:rsidR="00622884" w:rsidRPr="00622884" w:rsidRDefault="00622884" w:rsidP="00622884">
      <w:pPr>
        <w:tabs>
          <w:tab w:val="left" w:pos="5325"/>
        </w:tabs>
        <w:spacing w:after="0" w:line="240" w:lineRule="auto"/>
        <w:ind w:firstLine="284"/>
        <w:rPr>
          <w:rFonts w:ascii="Garamond" w:eastAsia="SimSun" w:hAnsi="Garamond" w:cs="Calibri Light"/>
          <w:sz w:val="24"/>
          <w:szCs w:val="24"/>
          <w:lang w:eastAsia="en-US"/>
        </w:rPr>
      </w:pPr>
      <w:r w:rsidRPr="00622884">
        <w:rPr>
          <w:rFonts w:ascii="Garamond" w:eastAsia="Calibri" w:hAnsi="Garamond" w:cs="Times New Roman"/>
          <w:sz w:val="24"/>
          <w:szCs w:val="24"/>
          <w:lang w:eastAsia="en-US" w:bidi="sq-AL"/>
        </w:rPr>
        <w:t>-</w:t>
      </w:r>
      <w:r w:rsidRPr="00622884">
        <w:rPr>
          <w:rFonts w:ascii="Garamond" w:eastAsia="Calibri" w:hAnsi="Garamond" w:cs="Times New Roman"/>
          <w:b/>
          <w:sz w:val="24"/>
          <w:szCs w:val="24"/>
          <w:lang w:eastAsia="en-US" w:bidi="sq-AL"/>
        </w:rPr>
        <w:t xml:space="preserve"> Masat afatgjata</w:t>
      </w:r>
      <w:r w:rsidRPr="00622884">
        <w:rPr>
          <w:rFonts w:ascii="Garamond" w:eastAsia="Calibri" w:hAnsi="Garamond" w:cs="Times New Roman"/>
          <w:sz w:val="24"/>
          <w:szCs w:val="24"/>
          <w:lang w:eastAsia="en-US" w:bidi="sq-AL"/>
        </w:rPr>
        <w:t xml:space="preserve"> do të </w:t>
      </w:r>
      <w:r w:rsidRPr="00622884">
        <w:rPr>
          <w:rFonts w:ascii="Garamond" w:eastAsia="Calibri" w:hAnsi="Garamond" w:cs="Times New Roman"/>
          <w:b/>
          <w:sz w:val="24"/>
          <w:szCs w:val="24"/>
          <w:lang w:eastAsia="en-US" w:bidi="sq-AL"/>
        </w:rPr>
        <w:t>fillojnë</w:t>
      </w:r>
      <w:r w:rsidRPr="00622884">
        <w:rPr>
          <w:rFonts w:ascii="Garamond" w:eastAsia="Calibri" w:hAnsi="Garamond" w:cs="Times New Roman"/>
          <w:sz w:val="24"/>
          <w:szCs w:val="24"/>
          <w:lang w:eastAsia="en-US" w:bidi="sq-AL"/>
        </w:rPr>
        <w:t xml:space="preserve"> </w:t>
      </w:r>
      <w:r w:rsidRPr="00622884">
        <w:rPr>
          <w:rFonts w:ascii="Garamond" w:eastAsia="Calibri" w:hAnsi="Garamond" w:cs="Times New Roman"/>
          <w:b/>
          <w:sz w:val="24"/>
          <w:szCs w:val="24"/>
          <w:lang w:eastAsia="en-US" w:bidi="sq-AL"/>
        </w:rPr>
        <w:t>midis viteve 2033 dhe 2036</w:t>
      </w:r>
      <w:r w:rsidRPr="00622884">
        <w:rPr>
          <w:rFonts w:ascii="Garamond" w:eastAsia="Calibri" w:hAnsi="Garamond" w:cs="Times New Roman"/>
          <w:sz w:val="24"/>
          <w:szCs w:val="24"/>
          <w:lang w:eastAsia="en-US" w:bidi="sq-AL"/>
        </w:rPr>
        <w:t>, duke pasur parasysh kompleksitetin e tyre, sasinë më të madhe të fondeve të nevojshme ose kërkesën për studime të mëparshme përpara se të fillojë zbatimi.</w:t>
      </w:r>
    </w:p>
    <w:p w14:paraId="739EF56B" w14:textId="77777777" w:rsidR="00622884" w:rsidRPr="00622884" w:rsidRDefault="00622884" w:rsidP="00622884">
      <w:pPr>
        <w:spacing w:after="0" w:line="240" w:lineRule="auto"/>
        <w:ind w:firstLine="284"/>
        <w:rPr>
          <w:rFonts w:ascii="Garamond" w:eastAsia="SimSun" w:hAnsi="Garamond" w:cs="Calibri Light"/>
          <w:sz w:val="24"/>
          <w:szCs w:val="24"/>
          <w:lang w:eastAsia="en-US"/>
        </w:rPr>
      </w:pPr>
    </w:p>
    <w:p w14:paraId="343A0C66" w14:textId="77777777" w:rsidR="00622884" w:rsidRPr="00622884" w:rsidRDefault="00622884" w:rsidP="00622884">
      <w:pPr>
        <w:spacing w:after="0" w:line="240" w:lineRule="auto"/>
        <w:ind w:firstLine="284"/>
        <w:rPr>
          <w:rFonts w:ascii="Garamond" w:eastAsia="Calibri" w:hAnsi="Garamond" w:cs="Calibri Light"/>
          <w:sz w:val="24"/>
          <w:szCs w:val="24"/>
          <w:lang w:eastAsia="en-US"/>
        </w:rPr>
      </w:pPr>
      <w:r w:rsidRPr="00622884">
        <w:rPr>
          <w:rFonts w:ascii="Garamond" w:eastAsia="Calibri" w:hAnsi="Garamond" w:cs="Times New Roman"/>
          <w:noProof/>
          <w:sz w:val="24"/>
          <w:szCs w:val="24"/>
          <w:lang w:eastAsia="sq-AL"/>
        </w:rPr>
        <w:lastRenderedPageBreak/>
        <mc:AlternateContent>
          <mc:Choice Requires="wps">
            <w:drawing>
              <wp:anchor distT="0" distB="0" distL="114300" distR="114300" simplePos="0" relativeHeight="251660298" behindDoc="0" locked="0" layoutInCell="1" allowOverlap="1" wp14:anchorId="51B646DE" wp14:editId="58C98D29">
                <wp:simplePos x="0" y="0"/>
                <wp:positionH relativeFrom="margin">
                  <wp:posOffset>2732405</wp:posOffset>
                </wp:positionH>
                <wp:positionV relativeFrom="paragraph">
                  <wp:posOffset>453229</wp:posOffset>
                </wp:positionV>
                <wp:extent cx="267335" cy="4324985"/>
                <wp:effectExtent l="47625" t="0" r="46990" b="46990"/>
                <wp:wrapNone/>
                <wp:docPr id="39" name="Left Bracket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16200000">
                          <a:off x="0" y="0"/>
                          <a:ext cx="267335" cy="4324985"/>
                        </a:xfrm>
                        <a:prstGeom prst="leftBracket">
                          <a:avLst/>
                        </a:prstGeom>
                        <a:noFill/>
                        <a:ln w="76200" cap="flat" cmpd="sng" algn="ctr">
                          <a:solidFill>
                            <a:srgbClr val="C7E3D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273D92C"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Left Bracket 39" o:spid="_x0000_s1026" type="#_x0000_t85" style="position:absolute;margin-left:215.15pt;margin-top:35.7pt;width:21.05pt;height:340.55pt;rotation:-90;z-index:25166029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" adj="111" strokecolor="#c7e3d5" strokeweight="6pt">
                <v:stroke joinstyle="miter"/>
                <w10:wrap anchorx="margin"/>
              </v:shape>
            </w:pict>
          </mc:Fallback>
        </mc:AlternateContent>
      </w:r>
      <w:r w:rsidRPr="00622884">
        <w:rPr>
          <w:rFonts w:ascii="Garamond" w:eastAsia="Calibri" w:hAnsi="Garamond" w:cs="Times New Roman"/>
          <w:noProof/>
          <w:sz w:val="24"/>
          <w:szCs w:val="24"/>
          <w:lang w:eastAsia="sq-AL"/>
        </w:rPr>
        <w:drawing>
          <wp:inline distT="0" distB="0" distL="0" distR="0" wp14:anchorId="473947EB" wp14:editId="7B88DD08">
            <wp:extent cx="6107430" cy="2321055"/>
            <wp:effectExtent l="0" t="0" r="0" b="0"/>
            <wp:docPr id="655" name="Diagram 655"/>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7" r:lo="rId98" r:qs="rId99" r:cs="rId100"/>
              </a:graphicData>
            </a:graphic>
          </wp:inline>
        </w:drawing>
      </w:r>
    </w:p>
    <w:p w14:paraId="31FA68B7" w14:textId="77777777" w:rsidR="00622884" w:rsidRPr="00622884" w:rsidRDefault="00622884" w:rsidP="00622884">
      <w:pPr>
        <w:spacing w:after="0" w:line="240" w:lineRule="auto"/>
        <w:ind w:firstLine="284"/>
        <w:rPr>
          <w:rFonts w:ascii="Garamond" w:eastAsia="Calibri" w:hAnsi="Garamond" w:cs="Calibri Light"/>
          <w:sz w:val="24"/>
          <w:szCs w:val="24"/>
          <w:lang w:eastAsia="en-US"/>
        </w:rPr>
      </w:pPr>
      <w:r w:rsidRPr="00622884">
        <w:rPr>
          <w:rFonts w:ascii="Garamond" w:eastAsia="Calibri" w:hAnsi="Garamond" w:cs="Times New Roman"/>
          <w:noProof/>
          <w:sz w:val="24"/>
          <w:szCs w:val="24"/>
          <w:lang w:eastAsia="sq-AL"/>
        </w:rPr>
        <mc:AlternateContent>
          <mc:Choice Requires="wps">
            <w:drawing>
              <wp:anchor distT="0" distB="0" distL="114300" distR="114300" simplePos="0" relativeHeight="251661322" behindDoc="0" locked="0" layoutInCell="1" allowOverlap="1" wp14:anchorId="4C9473DE" wp14:editId="762DDE24">
                <wp:simplePos x="0" y="0"/>
                <wp:positionH relativeFrom="margin">
                  <wp:posOffset>819236</wp:posOffset>
                </wp:positionH>
                <wp:positionV relativeFrom="paragraph">
                  <wp:posOffset>96184</wp:posOffset>
                </wp:positionV>
                <wp:extent cx="4087495" cy="272214"/>
                <wp:effectExtent l="0" t="0" r="8255" b="0"/>
                <wp:wrapNone/>
                <wp:docPr id="38" name="Rectangle: Rounded Corners 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087495" cy="272214"/>
                        </a:xfrm>
                        <a:prstGeom prst="roundRect">
                          <a:avLst/>
                        </a:prstGeom>
                        <a:solidFill>
                          <a:srgbClr val="2B7579"/>
                        </a:solidFill>
                        <a:ln w="12700" cap="flat" cmpd="sng" algn="ctr">
                          <a:noFill/>
                          <a:prstDash val="solid"/>
                          <a:miter lim="800000"/>
                        </a:ln>
                        <a:effectLst/>
                      </wps:spPr>
                      <wps:txbx>
                        <w:txbxContent>
                          <w:p w14:paraId="268419D4" w14:textId="77777777" w:rsidR="00622884" w:rsidRPr="00944C37" w:rsidRDefault="00622884" w:rsidP="00622884">
                            <w:pPr>
                              <w:jc w:val="center"/>
                              <w:rPr>
                                <w:b/>
                                <w:bCs/>
                                <w:color w:val="FFFFFF"/>
                                <w:sz w:val="20"/>
                                <w:szCs w:val="20"/>
                              </w:rPr>
                            </w:pPr>
                            <w:r w:rsidRPr="00944C37">
                              <w:rPr>
                                <w:b/>
                                <w:color w:val="FFFFFF"/>
                                <w:sz w:val="20"/>
                                <w:szCs w:val="20"/>
                                <w:lang w:bidi="sq-AL"/>
                              </w:rPr>
                              <w:t xml:space="preserve">Vitet e vazhdimësisë (derisa të përfundojnë të gjitha masat)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C9473DE" id="Rectangle: Rounded Corners 38" o:spid="_x0000_s1028" style="position:absolute;left:0;text-align:left;margin-left:64.5pt;margin-top:7.55pt;width:321.85pt;height:21.45pt;z-index:25166132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" fillcolor="#2b7579" stroked="f" strokeweight="1pt">
                <v:stroke joinstyle="miter"/>
                <v:textbox>
                  <w:txbxContent>
                    <w:p w14:paraId="268419D4" w14:textId="77777777" w:rsidR="00622884" w:rsidRPr="00944C37" w:rsidRDefault="00622884" w:rsidP="00622884">
                      <w:pPr>
                        <w:jc w:val="center"/>
                        <w:rPr>
                          <w:b/>
                          <w:bCs/>
                          <w:color w:val="FFFFFF"/>
                          <w:sz w:val="20"/>
                          <w:szCs w:val="20"/>
                        </w:rPr>
                      </w:pPr>
                      <w:r w:rsidRPr="00944C37">
                        <w:rPr>
                          <w:b/>
                          <w:color w:val="FFFFFF"/>
                          <w:sz w:val="20"/>
                          <w:szCs w:val="20"/>
                          <w:lang w:bidi="sq-AL"/>
                        </w:rPr>
                        <w:t xml:space="preserve">Vitet e vazhdimësisë (derisa të përfundojnë të gjitha masat) </w:t>
                      </w:r>
                    </w:p>
                  </w:txbxContent>
                </v:textbox>
                <w10:wrap anchorx="margin"/>
              </v:roundrect>
            </w:pict>
          </mc:Fallback>
        </mc:AlternateContent>
      </w:r>
    </w:p>
    <w:p w14:paraId="6E900F24" w14:textId="77777777" w:rsidR="00622884" w:rsidRPr="00622884" w:rsidRDefault="00622884" w:rsidP="00622884">
      <w:pPr>
        <w:spacing w:after="0" w:line="240" w:lineRule="auto"/>
        <w:ind w:firstLine="284"/>
        <w:rPr>
          <w:rFonts w:ascii="Garamond" w:eastAsia="Calibri" w:hAnsi="Garamond" w:cs="Calibri Light"/>
          <w:sz w:val="24"/>
          <w:szCs w:val="24"/>
          <w:lang w:eastAsia="en-US"/>
        </w:rPr>
      </w:pPr>
    </w:p>
    <w:p w14:paraId="27A1D00A" w14:textId="77777777" w:rsidR="00622884" w:rsidRPr="00622884" w:rsidRDefault="00622884" w:rsidP="00622884">
      <w:pPr>
        <w:spacing w:after="0" w:line="240" w:lineRule="auto"/>
        <w:ind w:firstLine="284"/>
        <w:rPr>
          <w:rFonts w:ascii="Garamond" w:eastAsia="Calibri" w:hAnsi="Garamond" w:cs="Calibri Light"/>
          <w:sz w:val="24"/>
          <w:szCs w:val="24"/>
          <w:lang w:eastAsia="en-US"/>
        </w:rPr>
      </w:pPr>
      <w:r w:rsidRPr="00622884">
        <w:rPr>
          <w:rFonts w:ascii="Garamond" w:eastAsia="Calibri" w:hAnsi="Garamond" w:cs="Times New Roman"/>
          <w:noProof/>
          <w:sz w:val="24"/>
          <w:szCs w:val="24"/>
          <w:lang w:eastAsia="sq-AL"/>
        </w:rPr>
        <mc:AlternateContent>
          <mc:Choice Requires="wps">
            <w:drawing>
              <wp:anchor distT="0" distB="0" distL="114300" distR="114300" simplePos="0" relativeHeight="251662346" behindDoc="0" locked="0" layoutInCell="1" allowOverlap="1" wp14:anchorId="58B00AC1" wp14:editId="74997BBB">
                <wp:simplePos x="0" y="0"/>
                <wp:positionH relativeFrom="margin">
                  <wp:align>center</wp:align>
                </wp:positionH>
                <wp:positionV relativeFrom="paragraph">
                  <wp:posOffset>34638</wp:posOffset>
                </wp:positionV>
                <wp:extent cx="2900045" cy="340995"/>
                <wp:effectExtent l="0" t="0" r="0" b="1905"/>
                <wp:wrapNone/>
                <wp:docPr id="228" name="Text Box 2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00045" cy="340995"/>
                        </a:xfrm>
                        <a:prstGeom prst="rect">
                          <a:avLst/>
                        </a:prstGeom>
                        <a:noFill/>
                        <a:ln w="6350">
                          <a:noFill/>
                        </a:ln>
                      </wps:spPr>
                      <wps:txbx>
                        <w:txbxContent>
                          <w:p w14:paraId="34DFA984" w14:textId="77777777" w:rsidR="00622884" w:rsidRPr="00944C37" w:rsidRDefault="00622884" w:rsidP="00622884">
                            <w:pPr>
                              <w:jc w:val="center"/>
                              <w:rPr>
                                <w:b/>
                                <w:bCs/>
                                <w:color w:val="2B7579"/>
                                <w:sz w:val="20"/>
                                <w:szCs w:val="20"/>
                              </w:rPr>
                            </w:pPr>
                            <w:r w:rsidRPr="00944C37">
                              <w:rPr>
                                <w:b/>
                                <w:color w:val="2B7579"/>
                                <w:sz w:val="20"/>
                                <w:szCs w:val="20"/>
                                <w:lang w:bidi="sq-AL"/>
                              </w:rPr>
                              <w:t>2037-2042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58B00AC1" id="Text Box 228" o:spid="_x0000_s1029" type="#_x0000_t202" style="position:absolute;left:0;text-align:left;margin-left:0;margin-top:2.75pt;width:228.35pt;height:26.85pt;z-index:25166234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" filled="f" stroked="f" strokeweight=".5pt">
                <v:textbox>
                  <w:txbxContent>
                    <w:p w14:paraId="34DFA984" w14:textId="77777777" w:rsidR="00622884" w:rsidRPr="00944C37" w:rsidRDefault="00622884" w:rsidP="00622884">
                      <w:pPr>
                        <w:jc w:val="center"/>
                        <w:rPr>
                          <w:b/>
                          <w:bCs/>
                          <w:color w:val="2B7579"/>
                          <w:sz w:val="20"/>
                          <w:szCs w:val="20"/>
                        </w:rPr>
                      </w:pPr>
                      <w:r w:rsidRPr="00944C37">
                        <w:rPr>
                          <w:b/>
                          <w:color w:val="2B7579"/>
                          <w:sz w:val="20"/>
                          <w:szCs w:val="20"/>
                          <w:lang w:bidi="sq-AL"/>
                        </w:rPr>
                        <w:t>2037-2042</w:t>
                      </w:r>
                    </w:p>
                  </w:txbxContent>
                </v:textbox>
                <w10:wrap anchorx="margin"/>
              </v:shape>
            </w:pict>
          </mc:Fallback>
        </mc:AlternateContent>
      </w:r>
    </w:p>
    <w:p w14:paraId="05B6E222" w14:textId="77777777" w:rsidR="00622884" w:rsidRPr="00622884" w:rsidRDefault="00622884" w:rsidP="00622884">
      <w:pPr>
        <w:spacing w:after="0" w:line="240" w:lineRule="auto"/>
        <w:ind w:firstLine="284"/>
        <w:rPr>
          <w:rFonts w:ascii="Garamond" w:eastAsia="Calibri" w:hAnsi="Garamond" w:cs="Times New Roman"/>
          <w:sz w:val="24"/>
          <w:szCs w:val="24"/>
          <w:lang w:eastAsia="en-US" w:bidi="sq-AL"/>
        </w:rPr>
      </w:pPr>
    </w:p>
    <w:p w14:paraId="540DE54D" w14:textId="77777777" w:rsidR="00622884" w:rsidRPr="00622884" w:rsidRDefault="00622884" w:rsidP="00622884">
      <w:pPr>
        <w:spacing w:after="0" w:line="240" w:lineRule="auto"/>
        <w:ind w:firstLine="284"/>
        <w:rPr>
          <w:rFonts w:ascii="Garamond" w:eastAsia="Calibri" w:hAnsi="Garamond" w:cs="Times New Roman"/>
          <w:sz w:val="10"/>
          <w:szCs w:val="24"/>
          <w:lang w:eastAsia="en-US" w:bidi="sq-AL"/>
        </w:rPr>
      </w:pPr>
    </w:p>
    <w:p w14:paraId="3422A898" w14:textId="77777777" w:rsidR="00622884" w:rsidRPr="00622884" w:rsidRDefault="00622884" w:rsidP="00622884">
      <w:pPr>
        <w:spacing w:after="0" w:line="240" w:lineRule="auto"/>
        <w:ind w:firstLine="284"/>
        <w:jc w:val="center"/>
        <w:rPr>
          <w:rFonts w:ascii="Garamond" w:eastAsia="Calibri" w:hAnsi="Garamond" w:cs="Times New Roman"/>
          <w:i/>
          <w:sz w:val="20"/>
          <w:szCs w:val="20"/>
          <w:lang w:eastAsia="en-US" w:bidi="sq-AL"/>
        </w:rPr>
      </w:pPr>
      <w:r w:rsidRPr="00622884">
        <w:rPr>
          <w:rFonts w:ascii="Garamond" w:eastAsia="Calibri" w:hAnsi="Garamond" w:cs="Times New Roman"/>
          <w:i/>
          <w:sz w:val="20"/>
          <w:szCs w:val="20"/>
          <w:lang w:eastAsia="en-US" w:bidi="sq-AL"/>
        </w:rPr>
        <w:t>Figura 1. Periudhat e zbatimit.</w:t>
      </w:r>
    </w:p>
    <w:p w14:paraId="30AA9F18" w14:textId="77777777" w:rsidR="00622884" w:rsidRPr="00622884" w:rsidRDefault="00622884" w:rsidP="00622884">
      <w:pPr>
        <w:spacing w:after="0" w:line="240" w:lineRule="auto"/>
        <w:ind w:firstLine="284"/>
        <w:rPr>
          <w:rFonts w:ascii="Garamond" w:eastAsia="Calibri" w:hAnsi="Garamond" w:cs="Times New Roman"/>
          <w:sz w:val="10"/>
          <w:szCs w:val="24"/>
          <w:lang w:eastAsia="en-US" w:bidi="sq-AL"/>
        </w:rPr>
      </w:pPr>
    </w:p>
    <w:p w14:paraId="1CA62753" w14:textId="77777777" w:rsidR="00622884" w:rsidRPr="00622884" w:rsidRDefault="00622884" w:rsidP="00622884">
      <w:pPr>
        <w:spacing w:after="0" w:line="240" w:lineRule="auto"/>
        <w:ind w:firstLine="284"/>
        <w:rPr>
          <w:rFonts w:ascii="Garamond" w:eastAsia="SimSun" w:hAnsi="Garamond" w:cs="Calibri Light"/>
          <w:sz w:val="24"/>
          <w:szCs w:val="24"/>
          <w:lang w:eastAsia="en-US"/>
        </w:rPr>
      </w:pPr>
      <w:r w:rsidRPr="00622884">
        <w:rPr>
          <w:rFonts w:ascii="Garamond" w:eastAsia="Calibri" w:hAnsi="Garamond" w:cs="Times New Roman"/>
          <w:sz w:val="24"/>
          <w:szCs w:val="24"/>
          <w:lang w:eastAsia="en-US" w:bidi="sq-AL"/>
        </w:rPr>
        <w:t xml:space="preserve">Kohëzgjatja e </w:t>
      </w:r>
      <w:r w:rsidRPr="00622884">
        <w:rPr>
          <w:rFonts w:ascii="Garamond" w:eastAsia="Calibri" w:hAnsi="Garamond" w:cs="Times New Roman"/>
          <w:b/>
          <w:sz w:val="24"/>
          <w:szCs w:val="24"/>
          <w:lang w:eastAsia="en-US" w:bidi="sq-AL"/>
        </w:rPr>
        <w:t>periudhës së zbatimit për masat e përshtatjes</w:t>
      </w:r>
      <w:r w:rsidRPr="00622884">
        <w:rPr>
          <w:rFonts w:ascii="Garamond" w:eastAsia="Calibri" w:hAnsi="Garamond" w:cs="Times New Roman"/>
          <w:sz w:val="24"/>
          <w:szCs w:val="24"/>
          <w:lang w:eastAsia="en-US" w:bidi="sq-AL"/>
        </w:rPr>
        <w:t xml:space="preserve"> </w:t>
      </w:r>
      <w:r w:rsidRPr="00622884">
        <w:rPr>
          <w:rFonts w:ascii="Garamond" w:eastAsia="Calibri" w:hAnsi="Garamond" w:cs="Times New Roman"/>
          <w:b/>
          <w:sz w:val="24"/>
          <w:szCs w:val="24"/>
          <w:lang w:eastAsia="en-US" w:bidi="sq-AL"/>
        </w:rPr>
        <w:t>ndryshon</w:t>
      </w:r>
      <w:r w:rsidRPr="00622884">
        <w:rPr>
          <w:rFonts w:ascii="Garamond" w:eastAsia="Calibri" w:hAnsi="Garamond" w:cs="Times New Roman"/>
          <w:sz w:val="24"/>
          <w:szCs w:val="24"/>
          <w:lang w:eastAsia="en-US" w:bidi="sq-AL"/>
        </w:rPr>
        <w:t xml:space="preserve"> pasi varet nga veprimtaritë specifike të masës së përshtatjes, duke filluar nga </w:t>
      </w:r>
      <w:r w:rsidRPr="00622884">
        <w:rPr>
          <w:rFonts w:ascii="Garamond" w:eastAsia="Calibri" w:hAnsi="Garamond" w:cs="Times New Roman"/>
          <w:b/>
          <w:sz w:val="24"/>
          <w:szCs w:val="24"/>
          <w:lang w:eastAsia="en-US" w:bidi="sq-AL"/>
        </w:rPr>
        <w:t>1 vit deri në 10 vjet</w:t>
      </w:r>
      <w:r w:rsidRPr="00622884">
        <w:rPr>
          <w:rFonts w:ascii="Garamond" w:eastAsia="Calibri" w:hAnsi="Garamond" w:cs="Times New Roman"/>
          <w:sz w:val="24"/>
          <w:szCs w:val="24"/>
          <w:lang w:eastAsia="en-US" w:bidi="sq-AL"/>
        </w:rPr>
        <w:t xml:space="preserve">. </w:t>
      </w:r>
      <w:r w:rsidRPr="00622884">
        <w:rPr>
          <w:rFonts w:ascii="Garamond" w:eastAsia="Calibri" w:hAnsi="Garamond" w:cs="Times New Roman"/>
          <w:b/>
          <w:sz w:val="24"/>
          <w:szCs w:val="24"/>
          <w:lang w:eastAsia="en-US" w:bidi="sq-AL"/>
        </w:rPr>
        <w:t>Vitet e vazhdimësisë mbulojnë periudhën 2037</w:t>
      </w:r>
      <w:r w:rsidRPr="00622884">
        <w:rPr>
          <w:rFonts w:ascii="Garamond" w:eastAsia="Calibri" w:hAnsi="Garamond" w:cs="Times New Roman"/>
          <w:b/>
          <w:sz w:val="24"/>
          <w:szCs w:val="24"/>
          <w:lang w:eastAsia="en-US"/>
        </w:rPr>
        <w:t>–</w:t>
      </w:r>
      <w:r w:rsidRPr="00622884">
        <w:rPr>
          <w:rFonts w:ascii="Garamond" w:eastAsia="Calibri" w:hAnsi="Garamond" w:cs="Times New Roman"/>
          <w:b/>
          <w:sz w:val="24"/>
          <w:szCs w:val="24"/>
          <w:lang w:eastAsia="en-US" w:bidi="sq-AL"/>
        </w:rPr>
        <w:t>2042</w:t>
      </w:r>
      <w:r w:rsidRPr="00622884">
        <w:rPr>
          <w:rFonts w:ascii="Garamond" w:eastAsia="Calibri" w:hAnsi="Garamond" w:cs="Times New Roman"/>
          <w:sz w:val="24"/>
          <w:szCs w:val="24"/>
          <w:lang w:eastAsia="en-US" w:bidi="sq-AL"/>
        </w:rPr>
        <w:t xml:space="preserve"> dhe këto janë vitet </w:t>
      </w:r>
      <w:r w:rsidRPr="00622884">
        <w:rPr>
          <w:rFonts w:ascii="Garamond" w:eastAsia="Calibri" w:hAnsi="Garamond" w:cs="Times New Roman"/>
          <w:b/>
          <w:sz w:val="24"/>
          <w:szCs w:val="24"/>
          <w:lang w:eastAsia="en-US" w:bidi="sq-AL"/>
        </w:rPr>
        <w:t>deri në përfundimin e ekzekutimit të të gjitha masave</w:t>
      </w:r>
      <w:r w:rsidRPr="00622884">
        <w:rPr>
          <w:rFonts w:ascii="Garamond" w:eastAsia="Calibri" w:hAnsi="Garamond" w:cs="Times New Roman"/>
          <w:sz w:val="24"/>
          <w:szCs w:val="24"/>
          <w:lang w:eastAsia="en-US" w:bidi="sq-AL"/>
        </w:rPr>
        <w:t xml:space="preserve">, megjithatë, në këtë periudhë nuk do të fillojnë masa të reja. </w:t>
      </w:r>
    </w:p>
    <w:p w14:paraId="2D3F5932"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bidi="sq-AL"/>
        </w:rPr>
      </w:pPr>
      <w:r w:rsidRPr="00622884">
        <w:rPr>
          <w:rFonts w:ascii="Garamond" w:eastAsia="Calibri" w:hAnsi="Garamond" w:cs="Times New Roman"/>
          <w:sz w:val="24"/>
          <w:szCs w:val="24"/>
          <w:lang w:eastAsia="en-US" w:bidi="sq-AL"/>
        </w:rPr>
        <w:t>Plani i Zbatimit do të rishikohet në mesin e periudhës për rregullime të mundshme dhe do të vlerësohet drejt fundit për të përcaktuar një plan të ri zbatimi me masa vijuese dhe/ose të reja përshtatjeje</w:t>
      </w:r>
    </w:p>
    <w:p w14:paraId="724D95EC" w14:textId="77777777" w:rsidR="00622884" w:rsidRPr="00622884" w:rsidRDefault="00622884" w:rsidP="00622884">
      <w:pPr>
        <w:tabs>
          <w:tab w:val="left" w:pos="5325"/>
        </w:tabs>
        <w:spacing w:after="0" w:line="240" w:lineRule="auto"/>
        <w:ind w:firstLine="284"/>
        <w:rPr>
          <w:rFonts w:ascii="Garamond" w:eastAsia="Calibri" w:hAnsi="Garamond" w:cs="Times New Roman"/>
          <w:sz w:val="2"/>
          <w:szCs w:val="24"/>
          <w:lang w:eastAsia="en-US"/>
        </w:rPr>
      </w:pPr>
    </w:p>
    <w:p w14:paraId="257D78DF" w14:textId="77777777" w:rsidR="00622884" w:rsidRPr="00622884" w:rsidRDefault="00622884" w:rsidP="00622884">
      <w:pPr>
        <w:tabs>
          <w:tab w:val="left" w:pos="5325"/>
        </w:tabs>
        <w:spacing w:after="0" w:line="240" w:lineRule="auto"/>
        <w:ind w:firstLine="284"/>
        <w:rPr>
          <w:rFonts w:ascii="Garamond" w:eastAsia="Calibri" w:hAnsi="Garamond" w:cs="Times New Roman"/>
          <w:b/>
          <w:sz w:val="24"/>
          <w:szCs w:val="24"/>
          <w:lang w:eastAsia="en-US"/>
        </w:rPr>
      </w:pPr>
      <w:r w:rsidRPr="00622884">
        <w:rPr>
          <w:rFonts w:ascii="Garamond" w:eastAsia="Calibri" w:hAnsi="Garamond" w:cs="Times New Roman"/>
          <w:b/>
          <w:sz w:val="24"/>
          <w:szCs w:val="24"/>
          <w:lang w:eastAsia="en-US"/>
        </w:rPr>
        <w:t>Tabela 11: Koha dhe përgjegjësitë për planin e zbatimit</w:t>
      </w:r>
    </w:p>
    <w:tbl>
      <w:tblPr>
        <w:tblW w:w="5731" w:type="pct"/>
        <w:jc w:val="center"/>
        <w:tblBorders>
          <w:top w:val="single" w:sz="4" w:space="0" w:color="1D3C5A"/>
          <w:left w:val="single" w:sz="4" w:space="0" w:color="1D3C5A"/>
          <w:bottom w:val="single" w:sz="4" w:space="0" w:color="1D3C5A"/>
          <w:right w:val="single" w:sz="4" w:space="0" w:color="1D3C5A"/>
          <w:insideH w:val="single" w:sz="4" w:space="0" w:color="1D3C5A"/>
          <w:insideV w:val="single" w:sz="4" w:space="0" w:color="1D3C5A"/>
        </w:tblBorders>
        <w:tblLayout w:type="fixed"/>
        <w:tblLook w:val="04A0" w:firstRow="1" w:lastRow="0" w:firstColumn="1" w:lastColumn="0" w:noHBand="0" w:noVBand="1"/>
      </w:tblPr>
      <w:tblGrid>
        <w:gridCol w:w="523"/>
        <w:gridCol w:w="4138"/>
        <w:gridCol w:w="1085"/>
        <w:gridCol w:w="328"/>
        <w:gridCol w:w="281"/>
        <w:gridCol w:w="285"/>
        <w:gridCol w:w="281"/>
        <w:gridCol w:w="281"/>
        <w:gridCol w:w="283"/>
        <w:gridCol w:w="287"/>
        <w:gridCol w:w="283"/>
        <w:gridCol w:w="281"/>
        <w:gridCol w:w="281"/>
        <w:gridCol w:w="287"/>
        <w:gridCol w:w="281"/>
        <w:gridCol w:w="283"/>
        <w:gridCol w:w="281"/>
        <w:gridCol w:w="283"/>
        <w:gridCol w:w="281"/>
        <w:gridCol w:w="332"/>
      </w:tblGrid>
      <w:tr w:rsidR="00622884" w:rsidRPr="00622884" w14:paraId="0C6990E1" w14:textId="77777777" w:rsidTr="00622884">
        <w:trPr>
          <w:trHeight w:val="98"/>
          <w:tblHeader/>
          <w:jc w:val="center"/>
        </w:trPr>
        <w:tc>
          <w:tcPr>
            <w:tcW w:w="245" w:type="pct"/>
            <w:vMerge w:val="restart"/>
            <w:shd w:val="clear" w:color="auto" w:fill="215A5C"/>
            <w:vAlign w:val="center"/>
          </w:tcPr>
          <w:p w14:paraId="5992B97C" w14:textId="77777777" w:rsidR="00622884" w:rsidRPr="00622884" w:rsidRDefault="00622884" w:rsidP="00622884">
            <w:pPr>
              <w:spacing w:after="0" w:line="240" w:lineRule="auto"/>
              <w:jc w:val="center"/>
              <w:rPr>
                <w:rFonts w:ascii="Garamond" w:eastAsia="SimSun" w:hAnsi="Garamond" w:cs="Calibri Light"/>
                <w:b/>
                <w:bCs/>
                <w:sz w:val="12"/>
                <w:szCs w:val="12"/>
                <w:lang w:eastAsia="en-US"/>
              </w:rPr>
            </w:pPr>
            <w:r w:rsidRPr="00622884">
              <w:rPr>
                <w:rFonts w:ascii="Garamond" w:eastAsia="SimSun" w:hAnsi="Garamond" w:cs="Times New Roman"/>
                <w:b/>
                <w:sz w:val="12"/>
                <w:szCs w:val="12"/>
                <w:lang w:eastAsia="en-US" w:bidi="sq-AL"/>
              </w:rPr>
              <w:t>Nr.</w:t>
            </w:r>
          </w:p>
        </w:tc>
        <w:tc>
          <w:tcPr>
            <w:tcW w:w="1943" w:type="pct"/>
            <w:vMerge w:val="restart"/>
            <w:shd w:val="clear" w:color="auto" w:fill="215A5C"/>
            <w:vAlign w:val="center"/>
          </w:tcPr>
          <w:p w14:paraId="6CE2A5E8" w14:textId="77777777" w:rsidR="00622884" w:rsidRPr="00622884" w:rsidRDefault="00622884" w:rsidP="00622884">
            <w:pPr>
              <w:spacing w:after="0" w:line="240" w:lineRule="auto"/>
              <w:jc w:val="center"/>
              <w:rPr>
                <w:rFonts w:ascii="Garamond" w:eastAsia="SimSun" w:hAnsi="Garamond" w:cs="Calibri Light"/>
                <w:b/>
                <w:bCs/>
                <w:sz w:val="12"/>
                <w:szCs w:val="12"/>
                <w:lang w:eastAsia="en-US"/>
              </w:rPr>
            </w:pPr>
            <w:r w:rsidRPr="00622884">
              <w:rPr>
                <w:rFonts w:ascii="Garamond" w:eastAsia="SimSun" w:hAnsi="Garamond" w:cs="Times New Roman"/>
                <w:b/>
                <w:sz w:val="12"/>
                <w:szCs w:val="12"/>
                <w:lang w:eastAsia="en-US" w:bidi="sq-AL"/>
              </w:rPr>
              <w:t>Masat e përshtatjes</w:t>
            </w:r>
          </w:p>
        </w:tc>
        <w:tc>
          <w:tcPr>
            <w:tcW w:w="509" w:type="pct"/>
            <w:vMerge w:val="restart"/>
            <w:shd w:val="clear" w:color="auto" w:fill="215A5D"/>
            <w:vAlign w:val="center"/>
          </w:tcPr>
          <w:p w14:paraId="4E03A9A5" w14:textId="77777777" w:rsidR="00622884" w:rsidRPr="00622884" w:rsidRDefault="00622884" w:rsidP="00622884">
            <w:pPr>
              <w:spacing w:after="0" w:line="240" w:lineRule="auto"/>
              <w:jc w:val="center"/>
              <w:rPr>
                <w:rFonts w:ascii="Garamond" w:eastAsia="Times New Roman" w:hAnsi="Garamond" w:cs="Calibri Light"/>
                <w:b/>
                <w:bCs/>
                <w:sz w:val="12"/>
                <w:szCs w:val="12"/>
                <w:lang w:eastAsia="es-ES"/>
              </w:rPr>
            </w:pPr>
            <w:r w:rsidRPr="00622884">
              <w:rPr>
                <w:rFonts w:ascii="Garamond" w:eastAsia="SimSun" w:hAnsi="Garamond" w:cs="Times New Roman"/>
                <w:b/>
                <w:sz w:val="12"/>
                <w:szCs w:val="12"/>
                <w:lang w:eastAsia="en-US" w:bidi="sq-AL"/>
              </w:rPr>
              <w:t>Përgjegjësitë</w:t>
            </w:r>
          </w:p>
        </w:tc>
        <w:tc>
          <w:tcPr>
            <w:tcW w:w="1484" w:type="pct"/>
            <w:gridSpan w:val="11"/>
            <w:shd w:val="clear" w:color="auto" w:fill="215A5D"/>
            <w:vAlign w:val="center"/>
          </w:tcPr>
          <w:p w14:paraId="7D8FFC39" w14:textId="77777777" w:rsidR="00622884" w:rsidRPr="00622884" w:rsidRDefault="00622884" w:rsidP="00622884">
            <w:pPr>
              <w:spacing w:after="0" w:line="240" w:lineRule="auto"/>
              <w:jc w:val="center"/>
              <w:rPr>
                <w:rFonts w:ascii="Garamond" w:eastAsia="Times New Roman" w:hAnsi="Garamond" w:cs="Calibri Light"/>
                <w:b/>
                <w:bCs/>
                <w:sz w:val="12"/>
                <w:szCs w:val="12"/>
                <w:lang w:eastAsia="es-ES"/>
              </w:rPr>
            </w:pPr>
            <w:r w:rsidRPr="00622884">
              <w:rPr>
                <w:rFonts w:ascii="Garamond" w:eastAsia="SimSun" w:hAnsi="Garamond" w:cs="Times New Roman"/>
                <w:b/>
                <w:sz w:val="12"/>
                <w:szCs w:val="12"/>
                <w:lang w:eastAsia="en-US" w:bidi="sq-AL"/>
              </w:rPr>
              <w:t>Vitet e zbatimit</w:t>
            </w:r>
          </w:p>
        </w:tc>
        <w:tc>
          <w:tcPr>
            <w:tcW w:w="818" w:type="pct"/>
            <w:gridSpan w:val="6"/>
            <w:vMerge w:val="restart"/>
            <w:shd w:val="clear" w:color="auto" w:fill="4F6579"/>
            <w:vAlign w:val="center"/>
          </w:tcPr>
          <w:p w14:paraId="17CC1C62" w14:textId="77777777" w:rsidR="00622884" w:rsidRPr="00622884" w:rsidRDefault="00622884" w:rsidP="00622884">
            <w:pPr>
              <w:spacing w:after="0" w:line="240" w:lineRule="auto"/>
              <w:jc w:val="center"/>
              <w:rPr>
                <w:rFonts w:ascii="Garamond" w:eastAsia="Times New Roman" w:hAnsi="Garamond" w:cs="Calibri Light"/>
                <w:b/>
                <w:bCs/>
                <w:sz w:val="12"/>
                <w:szCs w:val="12"/>
                <w:lang w:eastAsia="es-ES"/>
              </w:rPr>
            </w:pPr>
            <w:r w:rsidRPr="00622884">
              <w:rPr>
                <w:rFonts w:ascii="Garamond" w:eastAsia="SimSun" w:hAnsi="Garamond" w:cs="Times New Roman"/>
                <w:b/>
                <w:sz w:val="12"/>
                <w:szCs w:val="12"/>
                <w:lang w:eastAsia="en-US" w:bidi="sq-AL"/>
              </w:rPr>
              <w:t>Vitet e vazhdimësisë</w:t>
            </w:r>
          </w:p>
        </w:tc>
      </w:tr>
      <w:tr w:rsidR="00622884" w:rsidRPr="00622884" w14:paraId="3FD30B19" w14:textId="77777777" w:rsidTr="00622884">
        <w:trPr>
          <w:trHeight w:val="98"/>
          <w:tblHeader/>
          <w:jc w:val="center"/>
        </w:trPr>
        <w:tc>
          <w:tcPr>
            <w:tcW w:w="245" w:type="pct"/>
            <w:vMerge/>
            <w:shd w:val="clear" w:color="auto" w:fill="215A5C"/>
            <w:vAlign w:val="center"/>
          </w:tcPr>
          <w:p w14:paraId="48E7C0D5" w14:textId="77777777" w:rsidR="00622884" w:rsidRPr="00622884" w:rsidRDefault="00622884" w:rsidP="00622884">
            <w:pPr>
              <w:spacing w:after="0" w:line="240" w:lineRule="auto"/>
              <w:jc w:val="center"/>
              <w:rPr>
                <w:rFonts w:ascii="Garamond" w:eastAsia="SimSun" w:hAnsi="Garamond" w:cs="Calibri Light"/>
                <w:b/>
                <w:bCs/>
                <w:sz w:val="12"/>
                <w:szCs w:val="12"/>
                <w:lang w:eastAsia="en-US"/>
              </w:rPr>
            </w:pPr>
          </w:p>
        </w:tc>
        <w:tc>
          <w:tcPr>
            <w:tcW w:w="1943" w:type="pct"/>
            <w:vMerge/>
            <w:shd w:val="clear" w:color="auto" w:fill="215A5C"/>
            <w:vAlign w:val="center"/>
          </w:tcPr>
          <w:p w14:paraId="7DDD94F3" w14:textId="77777777" w:rsidR="00622884" w:rsidRPr="00622884" w:rsidRDefault="00622884" w:rsidP="00622884">
            <w:pPr>
              <w:spacing w:after="0" w:line="240" w:lineRule="auto"/>
              <w:jc w:val="center"/>
              <w:rPr>
                <w:rFonts w:ascii="Garamond" w:eastAsia="SimSun" w:hAnsi="Garamond" w:cs="Calibri Light"/>
                <w:b/>
                <w:bCs/>
                <w:sz w:val="12"/>
                <w:szCs w:val="12"/>
                <w:lang w:eastAsia="en-US"/>
              </w:rPr>
            </w:pPr>
          </w:p>
        </w:tc>
        <w:tc>
          <w:tcPr>
            <w:tcW w:w="509" w:type="pct"/>
            <w:vMerge/>
            <w:shd w:val="clear" w:color="auto" w:fill="1E465B"/>
            <w:vAlign w:val="center"/>
          </w:tcPr>
          <w:p w14:paraId="38A82BDC" w14:textId="77777777" w:rsidR="00622884" w:rsidRPr="00622884" w:rsidRDefault="00622884" w:rsidP="00622884">
            <w:pPr>
              <w:spacing w:after="0" w:line="240" w:lineRule="auto"/>
              <w:jc w:val="center"/>
              <w:rPr>
                <w:rFonts w:ascii="Garamond" w:eastAsia="Times New Roman" w:hAnsi="Garamond" w:cs="Calibri Light"/>
                <w:b/>
                <w:bCs/>
                <w:sz w:val="12"/>
                <w:szCs w:val="12"/>
                <w:lang w:eastAsia="es-ES"/>
              </w:rPr>
            </w:pPr>
          </w:p>
        </w:tc>
        <w:tc>
          <w:tcPr>
            <w:tcW w:w="420" w:type="pct"/>
            <w:gridSpan w:val="3"/>
            <w:shd w:val="clear" w:color="auto" w:fill="1E465B"/>
            <w:vAlign w:val="center"/>
          </w:tcPr>
          <w:p w14:paraId="26A75AE2" w14:textId="77777777" w:rsidR="00622884" w:rsidRPr="00622884" w:rsidRDefault="00622884" w:rsidP="00622884">
            <w:pPr>
              <w:spacing w:after="0" w:line="240" w:lineRule="auto"/>
              <w:jc w:val="center"/>
              <w:rPr>
                <w:rFonts w:ascii="Garamond" w:eastAsia="Times New Roman" w:hAnsi="Garamond" w:cs="Calibri Light"/>
                <w:b/>
                <w:bCs/>
                <w:sz w:val="12"/>
                <w:szCs w:val="12"/>
                <w:lang w:eastAsia="es-ES"/>
              </w:rPr>
            </w:pPr>
            <w:r w:rsidRPr="00622884">
              <w:rPr>
                <w:rFonts w:ascii="Garamond" w:eastAsia="SimSun" w:hAnsi="Garamond" w:cs="Times New Roman"/>
                <w:b/>
                <w:sz w:val="12"/>
                <w:szCs w:val="12"/>
                <w:lang w:eastAsia="en-US" w:bidi="sq-AL"/>
              </w:rPr>
              <w:t>Fillimi i periudhës afatshkurtër</w:t>
            </w:r>
          </w:p>
        </w:tc>
        <w:tc>
          <w:tcPr>
            <w:tcW w:w="532" w:type="pct"/>
            <w:gridSpan w:val="4"/>
            <w:shd w:val="clear" w:color="auto" w:fill="7ABB9B"/>
            <w:vAlign w:val="center"/>
          </w:tcPr>
          <w:p w14:paraId="7D566045" w14:textId="77777777" w:rsidR="00622884" w:rsidRPr="00622884" w:rsidRDefault="00622884" w:rsidP="00622884">
            <w:pPr>
              <w:spacing w:after="0" w:line="240" w:lineRule="auto"/>
              <w:jc w:val="center"/>
              <w:rPr>
                <w:rFonts w:ascii="Garamond" w:eastAsia="Times New Roman" w:hAnsi="Garamond" w:cs="Calibri Light"/>
                <w:b/>
                <w:bCs/>
                <w:sz w:val="12"/>
                <w:szCs w:val="12"/>
                <w:lang w:eastAsia="es-ES"/>
              </w:rPr>
            </w:pPr>
            <w:r w:rsidRPr="00622884">
              <w:rPr>
                <w:rFonts w:ascii="Garamond" w:eastAsia="SimSun" w:hAnsi="Garamond" w:cs="Times New Roman"/>
                <w:b/>
                <w:sz w:val="12"/>
                <w:szCs w:val="12"/>
                <w:lang w:eastAsia="en-US" w:bidi="sq-AL"/>
              </w:rPr>
              <w:t>Fillimi i periudhës afatmesme</w:t>
            </w:r>
          </w:p>
        </w:tc>
        <w:tc>
          <w:tcPr>
            <w:tcW w:w="532" w:type="pct"/>
            <w:gridSpan w:val="4"/>
            <w:shd w:val="clear" w:color="auto" w:fill="2B7579"/>
            <w:vAlign w:val="center"/>
          </w:tcPr>
          <w:p w14:paraId="75B844E7" w14:textId="77777777" w:rsidR="00622884" w:rsidRPr="00622884" w:rsidRDefault="00622884" w:rsidP="00622884">
            <w:pPr>
              <w:spacing w:after="0" w:line="240" w:lineRule="auto"/>
              <w:jc w:val="center"/>
              <w:rPr>
                <w:rFonts w:ascii="Garamond" w:eastAsia="Times New Roman" w:hAnsi="Garamond" w:cs="Calibri Light"/>
                <w:b/>
                <w:bCs/>
                <w:sz w:val="12"/>
                <w:szCs w:val="12"/>
                <w:lang w:eastAsia="es-ES"/>
              </w:rPr>
            </w:pPr>
            <w:r w:rsidRPr="00622884">
              <w:rPr>
                <w:rFonts w:ascii="Garamond" w:eastAsia="SimSun" w:hAnsi="Garamond" w:cs="Times New Roman"/>
                <w:b/>
                <w:sz w:val="12"/>
                <w:szCs w:val="12"/>
                <w:lang w:eastAsia="en-US" w:bidi="sq-AL"/>
              </w:rPr>
              <w:t>Fillimi i periudhës afatgjatë</w:t>
            </w:r>
          </w:p>
        </w:tc>
        <w:tc>
          <w:tcPr>
            <w:tcW w:w="818" w:type="pct"/>
            <w:gridSpan w:val="6"/>
            <w:vMerge/>
            <w:shd w:val="clear" w:color="auto" w:fill="4F6579"/>
            <w:vAlign w:val="center"/>
          </w:tcPr>
          <w:p w14:paraId="39384C47" w14:textId="77777777" w:rsidR="00622884" w:rsidRPr="00622884" w:rsidRDefault="00622884" w:rsidP="00622884">
            <w:pPr>
              <w:spacing w:after="0" w:line="240" w:lineRule="auto"/>
              <w:jc w:val="center"/>
              <w:rPr>
                <w:rFonts w:ascii="Garamond" w:eastAsia="Times New Roman" w:hAnsi="Garamond" w:cs="Calibri Light"/>
                <w:b/>
                <w:bCs/>
                <w:sz w:val="12"/>
                <w:szCs w:val="12"/>
                <w:lang w:eastAsia="es-ES"/>
              </w:rPr>
            </w:pPr>
          </w:p>
        </w:tc>
      </w:tr>
      <w:tr w:rsidR="00622884" w:rsidRPr="00622884" w14:paraId="65D211D4" w14:textId="77777777" w:rsidTr="00622884">
        <w:trPr>
          <w:trHeight w:val="98"/>
          <w:tblHeader/>
          <w:jc w:val="center"/>
        </w:trPr>
        <w:tc>
          <w:tcPr>
            <w:tcW w:w="245" w:type="pct"/>
            <w:vMerge/>
            <w:shd w:val="clear" w:color="auto" w:fill="215A5C"/>
            <w:vAlign w:val="center"/>
          </w:tcPr>
          <w:p w14:paraId="1E5D869D" w14:textId="77777777" w:rsidR="00622884" w:rsidRPr="00622884" w:rsidRDefault="00622884" w:rsidP="00622884">
            <w:pPr>
              <w:spacing w:after="0" w:line="240" w:lineRule="auto"/>
              <w:jc w:val="center"/>
              <w:rPr>
                <w:rFonts w:ascii="Garamond" w:eastAsia="SimSun" w:hAnsi="Garamond" w:cs="Calibri Light"/>
                <w:b/>
                <w:bCs/>
                <w:sz w:val="12"/>
                <w:szCs w:val="12"/>
                <w:lang w:eastAsia="en-US"/>
              </w:rPr>
            </w:pPr>
          </w:p>
        </w:tc>
        <w:tc>
          <w:tcPr>
            <w:tcW w:w="1943" w:type="pct"/>
            <w:vMerge/>
            <w:shd w:val="clear" w:color="auto" w:fill="215A5C"/>
            <w:vAlign w:val="center"/>
          </w:tcPr>
          <w:p w14:paraId="05020849" w14:textId="77777777" w:rsidR="00622884" w:rsidRPr="00622884" w:rsidRDefault="00622884" w:rsidP="00622884">
            <w:pPr>
              <w:spacing w:after="0" w:line="240" w:lineRule="auto"/>
              <w:jc w:val="center"/>
              <w:rPr>
                <w:rFonts w:ascii="Garamond" w:eastAsia="SimSun" w:hAnsi="Garamond" w:cs="Calibri Light"/>
                <w:b/>
                <w:bCs/>
                <w:sz w:val="12"/>
                <w:szCs w:val="12"/>
                <w:lang w:eastAsia="en-US"/>
              </w:rPr>
            </w:pPr>
          </w:p>
        </w:tc>
        <w:tc>
          <w:tcPr>
            <w:tcW w:w="509" w:type="pct"/>
            <w:vMerge/>
            <w:shd w:val="clear" w:color="auto" w:fill="1E465B"/>
            <w:vAlign w:val="center"/>
          </w:tcPr>
          <w:p w14:paraId="3A04846E" w14:textId="77777777" w:rsidR="00622884" w:rsidRPr="00622884" w:rsidRDefault="00622884" w:rsidP="00622884">
            <w:pPr>
              <w:spacing w:after="0" w:line="240" w:lineRule="auto"/>
              <w:jc w:val="center"/>
              <w:rPr>
                <w:rFonts w:ascii="Garamond" w:eastAsia="Times New Roman" w:hAnsi="Garamond" w:cs="Calibri Light"/>
                <w:b/>
                <w:bCs/>
                <w:sz w:val="12"/>
                <w:szCs w:val="12"/>
                <w:lang w:eastAsia="es-ES"/>
              </w:rPr>
            </w:pPr>
          </w:p>
        </w:tc>
        <w:tc>
          <w:tcPr>
            <w:tcW w:w="154" w:type="pct"/>
            <w:shd w:val="clear" w:color="auto" w:fill="1E465B"/>
            <w:vAlign w:val="center"/>
          </w:tcPr>
          <w:p w14:paraId="5A59345F" w14:textId="77777777" w:rsidR="00622884" w:rsidRPr="00622884" w:rsidRDefault="00622884" w:rsidP="00622884">
            <w:pPr>
              <w:spacing w:after="0" w:line="240" w:lineRule="auto"/>
              <w:jc w:val="center"/>
              <w:rPr>
                <w:rFonts w:ascii="Garamond" w:eastAsia="Times New Roman" w:hAnsi="Garamond" w:cs="Calibri Light"/>
                <w:b/>
                <w:bCs/>
                <w:sz w:val="12"/>
                <w:szCs w:val="12"/>
                <w:lang w:eastAsia="es-ES"/>
              </w:rPr>
            </w:pPr>
            <w:r w:rsidRPr="00622884">
              <w:rPr>
                <w:rFonts w:ascii="Garamond" w:eastAsia="SimSun" w:hAnsi="Garamond" w:cs="Times New Roman"/>
                <w:b/>
                <w:sz w:val="12"/>
                <w:szCs w:val="12"/>
                <w:lang w:eastAsia="en-US" w:bidi="sq-AL"/>
              </w:rPr>
              <w:t>‘26</w:t>
            </w:r>
          </w:p>
        </w:tc>
        <w:tc>
          <w:tcPr>
            <w:tcW w:w="132" w:type="pct"/>
            <w:shd w:val="clear" w:color="auto" w:fill="1E465B"/>
            <w:vAlign w:val="center"/>
          </w:tcPr>
          <w:p w14:paraId="2B3AF422" w14:textId="77777777" w:rsidR="00622884" w:rsidRPr="00622884" w:rsidRDefault="00622884" w:rsidP="00622884">
            <w:pPr>
              <w:spacing w:after="0" w:line="240" w:lineRule="auto"/>
              <w:jc w:val="center"/>
              <w:rPr>
                <w:rFonts w:ascii="Garamond" w:eastAsia="Times New Roman" w:hAnsi="Garamond" w:cs="Calibri Light"/>
                <w:b/>
                <w:bCs/>
                <w:sz w:val="12"/>
                <w:szCs w:val="12"/>
                <w:lang w:eastAsia="es-ES"/>
              </w:rPr>
            </w:pPr>
            <w:r w:rsidRPr="00622884">
              <w:rPr>
                <w:rFonts w:ascii="Garamond" w:eastAsia="SimSun" w:hAnsi="Garamond" w:cs="Times New Roman"/>
                <w:b/>
                <w:sz w:val="12"/>
                <w:szCs w:val="12"/>
                <w:lang w:eastAsia="en-US" w:bidi="sq-AL"/>
              </w:rPr>
              <w:t>‘27</w:t>
            </w:r>
          </w:p>
        </w:tc>
        <w:tc>
          <w:tcPr>
            <w:tcW w:w="134" w:type="pct"/>
            <w:shd w:val="clear" w:color="auto" w:fill="1E465B"/>
            <w:vAlign w:val="center"/>
          </w:tcPr>
          <w:p w14:paraId="0FB48B1B" w14:textId="77777777" w:rsidR="00622884" w:rsidRPr="00622884" w:rsidRDefault="00622884" w:rsidP="00622884">
            <w:pPr>
              <w:spacing w:after="0" w:line="240" w:lineRule="auto"/>
              <w:jc w:val="center"/>
              <w:rPr>
                <w:rFonts w:ascii="Garamond" w:eastAsia="Times New Roman" w:hAnsi="Garamond" w:cs="Calibri Light"/>
                <w:b/>
                <w:bCs/>
                <w:sz w:val="12"/>
                <w:szCs w:val="12"/>
                <w:lang w:eastAsia="es-ES"/>
              </w:rPr>
            </w:pPr>
            <w:r w:rsidRPr="00622884">
              <w:rPr>
                <w:rFonts w:ascii="Garamond" w:eastAsia="SimSun" w:hAnsi="Garamond" w:cs="Times New Roman"/>
                <w:b/>
                <w:sz w:val="12"/>
                <w:szCs w:val="12"/>
                <w:lang w:eastAsia="en-US" w:bidi="sq-AL"/>
              </w:rPr>
              <w:t>‘28</w:t>
            </w:r>
          </w:p>
        </w:tc>
        <w:tc>
          <w:tcPr>
            <w:tcW w:w="132" w:type="pct"/>
            <w:shd w:val="clear" w:color="auto" w:fill="7ABB9B"/>
            <w:vAlign w:val="center"/>
          </w:tcPr>
          <w:p w14:paraId="1C493A9E" w14:textId="77777777" w:rsidR="00622884" w:rsidRPr="00622884" w:rsidRDefault="00622884" w:rsidP="00622884">
            <w:pPr>
              <w:spacing w:after="0" w:line="240" w:lineRule="auto"/>
              <w:jc w:val="center"/>
              <w:rPr>
                <w:rFonts w:ascii="Garamond" w:eastAsia="Times New Roman" w:hAnsi="Garamond" w:cs="Calibri Light"/>
                <w:b/>
                <w:bCs/>
                <w:sz w:val="12"/>
                <w:szCs w:val="12"/>
                <w:lang w:eastAsia="es-ES"/>
              </w:rPr>
            </w:pPr>
            <w:r w:rsidRPr="00622884">
              <w:rPr>
                <w:rFonts w:ascii="Garamond" w:eastAsia="SimSun" w:hAnsi="Garamond" w:cs="Times New Roman"/>
                <w:b/>
                <w:sz w:val="12"/>
                <w:szCs w:val="12"/>
                <w:lang w:eastAsia="en-US" w:bidi="sq-AL"/>
              </w:rPr>
              <w:t>‘29</w:t>
            </w:r>
          </w:p>
        </w:tc>
        <w:tc>
          <w:tcPr>
            <w:tcW w:w="132" w:type="pct"/>
            <w:shd w:val="clear" w:color="auto" w:fill="7ABB9B"/>
            <w:vAlign w:val="center"/>
          </w:tcPr>
          <w:p w14:paraId="405A6E87" w14:textId="77777777" w:rsidR="00622884" w:rsidRPr="00622884" w:rsidRDefault="00622884" w:rsidP="00622884">
            <w:pPr>
              <w:spacing w:after="0" w:line="240" w:lineRule="auto"/>
              <w:jc w:val="center"/>
              <w:rPr>
                <w:rFonts w:ascii="Garamond" w:eastAsia="Times New Roman" w:hAnsi="Garamond" w:cs="Calibri Light"/>
                <w:b/>
                <w:bCs/>
                <w:sz w:val="12"/>
                <w:szCs w:val="12"/>
                <w:lang w:eastAsia="es-ES"/>
              </w:rPr>
            </w:pPr>
            <w:r w:rsidRPr="00622884">
              <w:rPr>
                <w:rFonts w:ascii="Garamond" w:eastAsia="SimSun" w:hAnsi="Garamond" w:cs="Times New Roman"/>
                <w:b/>
                <w:sz w:val="12"/>
                <w:szCs w:val="12"/>
                <w:lang w:eastAsia="en-US" w:bidi="sq-AL"/>
              </w:rPr>
              <w:t>‘30</w:t>
            </w:r>
          </w:p>
        </w:tc>
        <w:tc>
          <w:tcPr>
            <w:tcW w:w="133" w:type="pct"/>
            <w:shd w:val="clear" w:color="auto" w:fill="7ABB9B"/>
            <w:vAlign w:val="center"/>
          </w:tcPr>
          <w:p w14:paraId="684F148C" w14:textId="77777777" w:rsidR="00622884" w:rsidRPr="00622884" w:rsidRDefault="00622884" w:rsidP="00622884">
            <w:pPr>
              <w:spacing w:after="0" w:line="240" w:lineRule="auto"/>
              <w:jc w:val="center"/>
              <w:rPr>
                <w:rFonts w:ascii="Garamond" w:eastAsia="Times New Roman" w:hAnsi="Garamond" w:cs="Calibri Light"/>
                <w:b/>
                <w:bCs/>
                <w:sz w:val="12"/>
                <w:szCs w:val="12"/>
                <w:lang w:eastAsia="es-ES"/>
              </w:rPr>
            </w:pPr>
            <w:r w:rsidRPr="00622884">
              <w:rPr>
                <w:rFonts w:ascii="Garamond" w:eastAsia="SimSun" w:hAnsi="Garamond" w:cs="Times New Roman"/>
                <w:b/>
                <w:sz w:val="12"/>
                <w:szCs w:val="12"/>
                <w:lang w:eastAsia="en-US" w:bidi="sq-AL"/>
              </w:rPr>
              <w:t>‘31</w:t>
            </w:r>
          </w:p>
        </w:tc>
        <w:tc>
          <w:tcPr>
            <w:tcW w:w="135" w:type="pct"/>
            <w:shd w:val="clear" w:color="auto" w:fill="7ABB9B"/>
            <w:vAlign w:val="center"/>
          </w:tcPr>
          <w:p w14:paraId="3CD42117" w14:textId="77777777" w:rsidR="00622884" w:rsidRPr="00622884" w:rsidRDefault="00622884" w:rsidP="00622884">
            <w:pPr>
              <w:spacing w:after="0" w:line="240" w:lineRule="auto"/>
              <w:jc w:val="center"/>
              <w:rPr>
                <w:rFonts w:ascii="Garamond" w:eastAsia="Times New Roman" w:hAnsi="Garamond" w:cs="Calibri Light"/>
                <w:b/>
                <w:bCs/>
                <w:sz w:val="12"/>
                <w:szCs w:val="12"/>
                <w:lang w:eastAsia="es-ES"/>
              </w:rPr>
            </w:pPr>
            <w:r w:rsidRPr="00622884">
              <w:rPr>
                <w:rFonts w:ascii="Garamond" w:eastAsia="SimSun" w:hAnsi="Garamond" w:cs="Times New Roman"/>
                <w:b/>
                <w:sz w:val="12"/>
                <w:szCs w:val="12"/>
                <w:lang w:eastAsia="en-US" w:bidi="sq-AL"/>
              </w:rPr>
              <w:t>‘32</w:t>
            </w:r>
          </w:p>
        </w:tc>
        <w:tc>
          <w:tcPr>
            <w:tcW w:w="133" w:type="pct"/>
            <w:shd w:val="clear" w:color="auto" w:fill="2B7579"/>
            <w:vAlign w:val="center"/>
          </w:tcPr>
          <w:p w14:paraId="31064E37" w14:textId="77777777" w:rsidR="00622884" w:rsidRPr="00622884" w:rsidRDefault="00622884" w:rsidP="00622884">
            <w:pPr>
              <w:spacing w:after="0" w:line="240" w:lineRule="auto"/>
              <w:jc w:val="center"/>
              <w:rPr>
                <w:rFonts w:ascii="Garamond" w:eastAsia="Times New Roman" w:hAnsi="Garamond" w:cs="Calibri Light"/>
                <w:b/>
                <w:bCs/>
                <w:sz w:val="12"/>
                <w:szCs w:val="12"/>
                <w:lang w:eastAsia="es-ES"/>
              </w:rPr>
            </w:pPr>
            <w:r w:rsidRPr="00622884">
              <w:rPr>
                <w:rFonts w:ascii="Garamond" w:eastAsia="SimSun" w:hAnsi="Garamond" w:cs="Times New Roman"/>
                <w:b/>
                <w:sz w:val="12"/>
                <w:szCs w:val="12"/>
                <w:lang w:eastAsia="en-US" w:bidi="sq-AL"/>
              </w:rPr>
              <w:t>‘33</w:t>
            </w:r>
          </w:p>
        </w:tc>
        <w:tc>
          <w:tcPr>
            <w:tcW w:w="132" w:type="pct"/>
            <w:shd w:val="clear" w:color="auto" w:fill="2B7579"/>
            <w:vAlign w:val="center"/>
          </w:tcPr>
          <w:p w14:paraId="59F36C2B" w14:textId="77777777" w:rsidR="00622884" w:rsidRPr="00622884" w:rsidRDefault="00622884" w:rsidP="00622884">
            <w:pPr>
              <w:spacing w:after="0" w:line="240" w:lineRule="auto"/>
              <w:jc w:val="center"/>
              <w:rPr>
                <w:rFonts w:ascii="Garamond" w:eastAsia="Times New Roman" w:hAnsi="Garamond" w:cs="Calibri Light"/>
                <w:b/>
                <w:bCs/>
                <w:sz w:val="12"/>
                <w:szCs w:val="12"/>
                <w:lang w:eastAsia="es-ES"/>
              </w:rPr>
            </w:pPr>
            <w:r w:rsidRPr="00622884">
              <w:rPr>
                <w:rFonts w:ascii="Garamond" w:eastAsia="SimSun" w:hAnsi="Garamond" w:cs="Times New Roman"/>
                <w:b/>
                <w:sz w:val="12"/>
                <w:szCs w:val="12"/>
                <w:lang w:eastAsia="en-US" w:bidi="sq-AL"/>
              </w:rPr>
              <w:t>‘34</w:t>
            </w:r>
          </w:p>
        </w:tc>
        <w:tc>
          <w:tcPr>
            <w:tcW w:w="132" w:type="pct"/>
            <w:shd w:val="clear" w:color="auto" w:fill="2B7579"/>
            <w:vAlign w:val="center"/>
          </w:tcPr>
          <w:p w14:paraId="6A89A5CE" w14:textId="77777777" w:rsidR="00622884" w:rsidRPr="00622884" w:rsidRDefault="00622884" w:rsidP="00622884">
            <w:pPr>
              <w:spacing w:after="0" w:line="240" w:lineRule="auto"/>
              <w:jc w:val="center"/>
              <w:rPr>
                <w:rFonts w:ascii="Garamond" w:eastAsia="Times New Roman" w:hAnsi="Garamond" w:cs="Calibri Light"/>
                <w:b/>
                <w:bCs/>
                <w:sz w:val="12"/>
                <w:szCs w:val="12"/>
                <w:lang w:eastAsia="es-ES"/>
              </w:rPr>
            </w:pPr>
            <w:r w:rsidRPr="00622884">
              <w:rPr>
                <w:rFonts w:ascii="Garamond" w:eastAsia="SimSun" w:hAnsi="Garamond" w:cs="Times New Roman"/>
                <w:b/>
                <w:sz w:val="12"/>
                <w:szCs w:val="12"/>
                <w:lang w:eastAsia="en-US" w:bidi="sq-AL"/>
              </w:rPr>
              <w:t>‘35</w:t>
            </w:r>
          </w:p>
        </w:tc>
        <w:tc>
          <w:tcPr>
            <w:tcW w:w="135" w:type="pct"/>
            <w:shd w:val="clear" w:color="auto" w:fill="2B7579"/>
            <w:vAlign w:val="center"/>
          </w:tcPr>
          <w:p w14:paraId="3DAAB72A" w14:textId="77777777" w:rsidR="00622884" w:rsidRPr="00622884" w:rsidRDefault="00622884" w:rsidP="00622884">
            <w:pPr>
              <w:spacing w:after="0" w:line="240" w:lineRule="auto"/>
              <w:jc w:val="center"/>
              <w:rPr>
                <w:rFonts w:ascii="Garamond" w:eastAsia="Times New Roman" w:hAnsi="Garamond" w:cs="Calibri Light"/>
                <w:b/>
                <w:bCs/>
                <w:sz w:val="12"/>
                <w:szCs w:val="12"/>
                <w:lang w:eastAsia="es-ES"/>
              </w:rPr>
            </w:pPr>
            <w:r w:rsidRPr="00622884">
              <w:rPr>
                <w:rFonts w:ascii="Garamond" w:eastAsia="SimSun" w:hAnsi="Garamond" w:cs="Times New Roman"/>
                <w:b/>
                <w:sz w:val="12"/>
                <w:szCs w:val="12"/>
                <w:lang w:eastAsia="en-US" w:bidi="sq-AL"/>
              </w:rPr>
              <w:t>‘36</w:t>
            </w:r>
          </w:p>
        </w:tc>
        <w:tc>
          <w:tcPr>
            <w:tcW w:w="132" w:type="pct"/>
            <w:shd w:val="clear" w:color="auto" w:fill="4F6579"/>
            <w:vAlign w:val="center"/>
          </w:tcPr>
          <w:p w14:paraId="59418C3D" w14:textId="77777777" w:rsidR="00622884" w:rsidRPr="00622884" w:rsidRDefault="00622884" w:rsidP="00622884">
            <w:pPr>
              <w:spacing w:after="0" w:line="240" w:lineRule="auto"/>
              <w:jc w:val="center"/>
              <w:rPr>
                <w:rFonts w:ascii="Garamond" w:eastAsia="Times New Roman" w:hAnsi="Garamond" w:cs="Calibri Light"/>
                <w:b/>
                <w:bCs/>
                <w:sz w:val="12"/>
                <w:szCs w:val="12"/>
                <w:lang w:eastAsia="es-ES"/>
              </w:rPr>
            </w:pPr>
            <w:r w:rsidRPr="00622884">
              <w:rPr>
                <w:rFonts w:ascii="Garamond" w:eastAsia="SimSun" w:hAnsi="Garamond" w:cs="Times New Roman"/>
                <w:b/>
                <w:sz w:val="12"/>
                <w:szCs w:val="12"/>
                <w:lang w:eastAsia="en-US" w:bidi="sq-AL"/>
              </w:rPr>
              <w:t>‘37</w:t>
            </w:r>
          </w:p>
        </w:tc>
        <w:tc>
          <w:tcPr>
            <w:tcW w:w="133" w:type="pct"/>
            <w:shd w:val="clear" w:color="auto" w:fill="4F6579"/>
            <w:vAlign w:val="center"/>
          </w:tcPr>
          <w:p w14:paraId="42ADF306" w14:textId="77777777" w:rsidR="00622884" w:rsidRPr="00622884" w:rsidRDefault="00622884" w:rsidP="00622884">
            <w:pPr>
              <w:spacing w:after="0" w:line="240" w:lineRule="auto"/>
              <w:jc w:val="center"/>
              <w:rPr>
                <w:rFonts w:ascii="Garamond" w:eastAsia="Times New Roman" w:hAnsi="Garamond" w:cs="Calibri Light"/>
                <w:b/>
                <w:bCs/>
                <w:sz w:val="12"/>
                <w:szCs w:val="12"/>
                <w:lang w:eastAsia="es-ES"/>
              </w:rPr>
            </w:pPr>
            <w:r w:rsidRPr="00622884">
              <w:rPr>
                <w:rFonts w:ascii="Garamond" w:eastAsia="SimSun" w:hAnsi="Garamond" w:cs="Times New Roman"/>
                <w:b/>
                <w:sz w:val="12"/>
                <w:szCs w:val="12"/>
                <w:lang w:eastAsia="en-US" w:bidi="sq-AL"/>
              </w:rPr>
              <w:t>‘38</w:t>
            </w:r>
          </w:p>
        </w:tc>
        <w:tc>
          <w:tcPr>
            <w:tcW w:w="132" w:type="pct"/>
            <w:shd w:val="clear" w:color="auto" w:fill="4F6579"/>
            <w:vAlign w:val="center"/>
          </w:tcPr>
          <w:p w14:paraId="2651187B" w14:textId="77777777" w:rsidR="00622884" w:rsidRPr="00622884" w:rsidRDefault="00622884" w:rsidP="00622884">
            <w:pPr>
              <w:spacing w:after="0" w:line="240" w:lineRule="auto"/>
              <w:jc w:val="center"/>
              <w:rPr>
                <w:rFonts w:ascii="Garamond" w:eastAsia="Times New Roman" w:hAnsi="Garamond" w:cs="Calibri Light"/>
                <w:b/>
                <w:bCs/>
                <w:sz w:val="12"/>
                <w:szCs w:val="12"/>
                <w:lang w:eastAsia="es-ES"/>
              </w:rPr>
            </w:pPr>
            <w:r w:rsidRPr="00622884">
              <w:rPr>
                <w:rFonts w:ascii="Garamond" w:eastAsia="SimSun" w:hAnsi="Garamond" w:cs="Times New Roman"/>
                <w:b/>
                <w:sz w:val="12"/>
                <w:szCs w:val="12"/>
                <w:lang w:eastAsia="en-US" w:bidi="sq-AL"/>
              </w:rPr>
              <w:t>‘39</w:t>
            </w:r>
          </w:p>
        </w:tc>
        <w:tc>
          <w:tcPr>
            <w:tcW w:w="133" w:type="pct"/>
            <w:shd w:val="clear" w:color="auto" w:fill="4F6579"/>
            <w:vAlign w:val="center"/>
          </w:tcPr>
          <w:p w14:paraId="1024DE5C" w14:textId="77777777" w:rsidR="00622884" w:rsidRPr="00622884" w:rsidRDefault="00622884" w:rsidP="00622884">
            <w:pPr>
              <w:spacing w:after="0" w:line="240" w:lineRule="auto"/>
              <w:jc w:val="center"/>
              <w:rPr>
                <w:rFonts w:ascii="Garamond" w:eastAsia="Times New Roman" w:hAnsi="Garamond" w:cs="Calibri Light"/>
                <w:b/>
                <w:bCs/>
                <w:sz w:val="12"/>
                <w:szCs w:val="12"/>
                <w:lang w:eastAsia="es-ES"/>
              </w:rPr>
            </w:pPr>
            <w:r w:rsidRPr="00622884">
              <w:rPr>
                <w:rFonts w:ascii="Garamond" w:eastAsia="SimSun" w:hAnsi="Garamond" w:cs="Times New Roman"/>
                <w:b/>
                <w:sz w:val="12"/>
                <w:szCs w:val="12"/>
                <w:lang w:eastAsia="en-US" w:bidi="sq-AL"/>
              </w:rPr>
              <w:t>‘40</w:t>
            </w:r>
          </w:p>
        </w:tc>
        <w:tc>
          <w:tcPr>
            <w:tcW w:w="132" w:type="pct"/>
            <w:shd w:val="clear" w:color="auto" w:fill="4F6579"/>
            <w:vAlign w:val="center"/>
          </w:tcPr>
          <w:p w14:paraId="71732152" w14:textId="77777777" w:rsidR="00622884" w:rsidRPr="00622884" w:rsidRDefault="00622884" w:rsidP="00622884">
            <w:pPr>
              <w:spacing w:after="0" w:line="240" w:lineRule="auto"/>
              <w:jc w:val="center"/>
              <w:rPr>
                <w:rFonts w:ascii="Garamond" w:eastAsia="Times New Roman" w:hAnsi="Garamond" w:cs="Calibri Light"/>
                <w:b/>
                <w:bCs/>
                <w:sz w:val="12"/>
                <w:szCs w:val="12"/>
                <w:lang w:eastAsia="es-ES"/>
              </w:rPr>
            </w:pPr>
            <w:r w:rsidRPr="00622884">
              <w:rPr>
                <w:rFonts w:ascii="Garamond" w:eastAsia="SimSun" w:hAnsi="Garamond" w:cs="Times New Roman"/>
                <w:b/>
                <w:sz w:val="12"/>
                <w:szCs w:val="12"/>
                <w:lang w:eastAsia="en-US" w:bidi="sq-AL"/>
              </w:rPr>
              <w:t>‘41</w:t>
            </w:r>
          </w:p>
        </w:tc>
        <w:tc>
          <w:tcPr>
            <w:tcW w:w="156" w:type="pct"/>
            <w:shd w:val="clear" w:color="auto" w:fill="4F6579"/>
          </w:tcPr>
          <w:p w14:paraId="68D245F1" w14:textId="77777777" w:rsidR="00622884" w:rsidRPr="00622884" w:rsidRDefault="00622884" w:rsidP="00622884">
            <w:pPr>
              <w:spacing w:after="0" w:line="240" w:lineRule="auto"/>
              <w:jc w:val="center"/>
              <w:rPr>
                <w:rFonts w:ascii="Garamond" w:eastAsia="Times New Roman" w:hAnsi="Garamond" w:cs="Calibri Light"/>
                <w:b/>
                <w:bCs/>
                <w:sz w:val="12"/>
                <w:szCs w:val="12"/>
                <w:lang w:eastAsia="es-ES"/>
              </w:rPr>
            </w:pPr>
            <w:r w:rsidRPr="00622884">
              <w:rPr>
                <w:rFonts w:ascii="Garamond" w:eastAsia="SimSun" w:hAnsi="Garamond" w:cs="Times New Roman"/>
                <w:b/>
                <w:sz w:val="12"/>
                <w:szCs w:val="12"/>
                <w:lang w:eastAsia="en-US" w:bidi="sq-AL"/>
              </w:rPr>
              <w:t>‘42</w:t>
            </w:r>
          </w:p>
        </w:tc>
      </w:tr>
      <w:tr w:rsidR="00622884" w:rsidRPr="00622884" w14:paraId="008D2153" w14:textId="77777777" w:rsidTr="00622884">
        <w:trPr>
          <w:trHeight w:val="174"/>
          <w:jc w:val="center"/>
        </w:trPr>
        <w:tc>
          <w:tcPr>
            <w:tcW w:w="245" w:type="pct"/>
            <w:vAlign w:val="center"/>
          </w:tcPr>
          <w:p w14:paraId="4702E5B4" w14:textId="77777777" w:rsidR="00622884" w:rsidRPr="00622884" w:rsidRDefault="00622884" w:rsidP="00622884">
            <w:pPr>
              <w:spacing w:after="0" w:line="240" w:lineRule="auto"/>
              <w:jc w:val="center"/>
              <w:rPr>
                <w:rFonts w:ascii="Garamond" w:eastAsia="SimSun" w:hAnsi="Garamond" w:cs="Calibri Light"/>
                <w:b/>
                <w:bCs/>
                <w:sz w:val="12"/>
                <w:szCs w:val="12"/>
                <w:lang w:eastAsia="en-US"/>
              </w:rPr>
            </w:pPr>
            <w:r w:rsidRPr="00622884">
              <w:rPr>
                <w:rFonts w:ascii="Garamond" w:eastAsia="SimSun" w:hAnsi="Garamond" w:cs="Times New Roman"/>
                <w:b/>
                <w:sz w:val="12"/>
                <w:szCs w:val="12"/>
                <w:lang w:eastAsia="en-US" w:bidi="sq-AL"/>
              </w:rPr>
              <w:t>1</w:t>
            </w:r>
          </w:p>
        </w:tc>
        <w:tc>
          <w:tcPr>
            <w:tcW w:w="1943" w:type="pct"/>
            <w:vAlign w:val="center"/>
          </w:tcPr>
          <w:p w14:paraId="5533159D" w14:textId="77777777" w:rsidR="00622884" w:rsidRPr="00622884" w:rsidRDefault="00622884" w:rsidP="00622884">
            <w:pPr>
              <w:spacing w:after="0" w:line="240" w:lineRule="auto"/>
              <w:jc w:val="left"/>
              <w:rPr>
                <w:rFonts w:ascii="Garamond" w:eastAsia="SimSun" w:hAnsi="Garamond" w:cs="Calibri Light"/>
                <w:b/>
                <w:bCs/>
                <w:sz w:val="12"/>
                <w:szCs w:val="12"/>
                <w:lang w:eastAsia="en-US"/>
              </w:rPr>
            </w:pPr>
            <w:r w:rsidRPr="00622884">
              <w:rPr>
                <w:rFonts w:ascii="Garamond" w:eastAsia="SimSun" w:hAnsi="Garamond" w:cs="Times New Roman"/>
                <w:sz w:val="12"/>
                <w:szCs w:val="12"/>
                <w:lang w:eastAsia="en-US" w:bidi="sq-AL"/>
              </w:rPr>
              <w:t>Forcimi i aftësive ripërtëritëse rajonale: Mbështetja e Udhërrëfyesit për Përshtatjen e Ballkanit Perëndimor</w:t>
            </w:r>
          </w:p>
        </w:tc>
        <w:tc>
          <w:tcPr>
            <w:tcW w:w="509" w:type="pct"/>
            <w:vAlign w:val="center"/>
          </w:tcPr>
          <w:p w14:paraId="23D0FF1B" w14:textId="77777777" w:rsidR="00622884" w:rsidRPr="00622884" w:rsidRDefault="00622884" w:rsidP="00622884">
            <w:pPr>
              <w:spacing w:after="0" w:line="240" w:lineRule="auto"/>
              <w:jc w:val="center"/>
              <w:rPr>
                <w:rFonts w:ascii="Garamond" w:eastAsia="SimSun" w:hAnsi="Garamond" w:cs="Calibri Light"/>
                <w:sz w:val="12"/>
                <w:szCs w:val="12"/>
                <w:lang w:eastAsia="en-US"/>
              </w:rPr>
            </w:pPr>
            <w:r w:rsidRPr="00622884">
              <w:rPr>
                <w:rFonts w:ascii="Garamond" w:eastAsia="SimSun" w:hAnsi="Garamond" w:cs="Times New Roman"/>
                <w:sz w:val="12"/>
                <w:szCs w:val="12"/>
                <w:lang w:eastAsia="en-US" w:bidi="sq-AL"/>
              </w:rPr>
              <w:t>MM, Bashkitë</w:t>
            </w:r>
          </w:p>
        </w:tc>
        <w:tc>
          <w:tcPr>
            <w:tcW w:w="154" w:type="pct"/>
            <w:shd w:val="clear" w:color="auto" w:fill="FFFFFF"/>
          </w:tcPr>
          <w:p w14:paraId="23D764D5"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shd w:val="clear" w:color="auto" w:fill="FFFFFF"/>
          </w:tcPr>
          <w:p w14:paraId="194417CC"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4" w:type="pct"/>
            <w:shd w:val="clear" w:color="auto" w:fill="C7E3D5"/>
          </w:tcPr>
          <w:p w14:paraId="6451AD79"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shd w:val="clear" w:color="auto" w:fill="C7E3D5"/>
          </w:tcPr>
          <w:p w14:paraId="2C78D5EC"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shd w:val="clear" w:color="auto" w:fill="C7E3D5"/>
          </w:tcPr>
          <w:p w14:paraId="32B385D8"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3" w:type="pct"/>
          </w:tcPr>
          <w:p w14:paraId="2C227168"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5" w:type="pct"/>
          </w:tcPr>
          <w:p w14:paraId="406576A0"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3" w:type="pct"/>
          </w:tcPr>
          <w:p w14:paraId="0F84BBC8"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7224B175"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04B8D27D"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5" w:type="pct"/>
          </w:tcPr>
          <w:p w14:paraId="416FB7FD"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75F22FB0"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3" w:type="pct"/>
          </w:tcPr>
          <w:p w14:paraId="671C576A"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45526DAD"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3" w:type="pct"/>
          </w:tcPr>
          <w:p w14:paraId="06465C78"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54561A2B"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56" w:type="pct"/>
          </w:tcPr>
          <w:p w14:paraId="0636D4C4"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r>
      <w:tr w:rsidR="00622884" w:rsidRPr="00622884" w14:paraId="6478A12B" w14:textId="77777777" w:rsidTr="00622884">
        <w:trPr>
          <w:trHeight w:val="86"/>
          <w:jc w:val="center"/>
        </w:trPr>
        <w:tc>
          <w:tcPr>
            <w:tcW w:w="245" w:type="pct"/>
            <w:vAlign w:val="center"/>
          </w:tcPr>
          <w:p w14:paraId="41441085" w14:textId="77777777" w:rsidR="00622884" w:rsidRPr="00622884" w:rsidRDefault="00622884" w:rsidP="00622884">
            <w:pPr>
              <w:spacing w:after="0" w:line="240" w:lineRule="auto"/>
              <w:jc w:val="center"/>
              <w:rPr>
                <w:rFonts w:ascii="Garamond" w:eastAsia="SimSun" w:hAnsi="Garamond" w:cs="Calibri Light"/>
                <w:b/>
                <w:bCs/>
                <w:sz w:val="12"/>
                <w:szCs w:val="12"/>
                <w:lang w:eastAsia="en-US"/>
              </w:rPr>
            </w:pPr>
            <w:r w:rsidRPr="00622884">
              <w:rPr>
                <w:rFonts w:ascii="Garamond" w:eastAsia="SimSun" w:hAnsi="Garamond" w:cs="Times New Roman"/>
                <w:b/>
                <w:sz w:val="12"/>
                <w:szCs w:val="12"/>
                <w:lang w:eastAsia="en-US" w:bidi="sq-AL"/>
              </w:rPr>
              <w:t>2</w:t>
            </w:r>
          </w:p>
        </w:tc>
        <w:tc>
          <w:tcPr>
            <w:tcW w:w="1943" w:type="pct"/>
            <w:vAlign w:val="center"/>
          </w:tcPr>
          <w:p w14:paraId="6B3A8DF7" w14:textId="77777777" w:rsidR="00622884" w:rsidRPr="00622884" w:rsidRDefault="00622884" w:rsidP="00622884">
            <w:pPr>
              <w:spacing w:after="0" w:line="240" w:lineRule="auto"/>
              <w:jc w:val="left"/>
              <w:rPr>
                <w:rFonts w:ascii="Garamond" w:eastAsia="SimSun" w:hAnsi="Garamond" w:cs="Calibri Light"/>
                <w:b/>
                <w:bCs/>
                <w:sz w:val="12"/>
                <w:szCs w:val="12"/>
                <w:u w:val="single"/>
                <w:lang w:eastAsia="en-US"/>
              </w:rPr>
            </w:pPr>
            <w:r w:rsidRPr="00622884">
              <w:rPr>
                <w:rFonts w:ascii="Garamond" w:eastAsia="SimSun" w:hAnsi="Garamond" w:cs="Times New Roman"/>
                <w:sz w:val="12"/>
                <w:szCs w:val="12"/>
                <w:lang w:eastAsia="en-US" w:bidi="sq-AL"/>
              </w:rPr>
              <w:t>Optimizimi i koordinimit të klimës: Forcimi i kornizës së GNPKN-së</w:t>
            </w:r>
          </w:p>
        </w:tc>
        <w:tc>
          <w:tcPr>
            <w:tcW w:w="509" w:type="pct"/>
            <w:vAlign w:val="center"/>
          </w:tcPr>
          <w:p w14:paraId="40652541" w14:textId="77777777" w:rsidR="00622884" w:rsidRPr="00622884" w:rsidRDefault="00622884" w:rsidP="00622884">
            <w:pPr>
              <w:spacing w:after="0" w:line="240" w:lineRule="auto"/>
              <w:jc w:val="center"/>
              <w:rPr>
                <w:rFonts w:ascii="Garamond" w:eastAsia="SimSun" w:hAnsi="Garamond" w:cs="Calibri Light"/>
                <w:sz w:val="12"/>
                <w:szCs w:val="12"/>
                <w:u w:val="single"/>
                <w:lang w:eastAsia="en-US"/>
              </w:rPr>
            </w:pPr>
            <w:r w:rsidRPr="00622884">
              <w:rPr>
                <w:rFonts w:ascii="Garamond" w:eastAsia="SimSun" w:hAnsi="Garamond" w:cs="Times New Roman"/>
                <w:sz w:val="12"/>
                <w:szCs w:val="12"/>
                <w:lang w:eastAsia="en-US" w:bidi="sq-AL"/>
              </w:rPr>
              <w:t>MM, Bashkitë</w:t>
            </w:r>
          </w:p>
        </w:tc>
        <w:tc>
          <w:tcPr>
            <w:tcW w:w="154" w:type="pct"/>
            <w:shd w:val="clear" w:color="auto" w:fill="FFFFFF"/>
          </w:tcPr>
          <w:p w14:paraId="03531771"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shd w:val="clear" w:color="auto" w:fill="C7E3D5"/>
          </w:tcPr>
          <w:p w14:paraId="25B701F3"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4" w:type="pct"/>
            <w:shd w:val="clear" w:color="auto" w:fill="C7E3D5"/>
          </w:tcPr>
          <w:p w14:paraId="78D28E15"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shd w:val="clear" w:color="auto" w:fill="FFFFFF"/>
          </w:tcPr>
          <w:p w14:paraId="40A1C56C"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shd w:val="clear" w:color="auto" w:fill="FFFFFF"/>
          </w:tcPr>
          <w:p w14:paraId="191F9B93"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3" w:type="pct"/>
            <w:shd w:val="clear" w:color="auto" w:fill="FFFFFF"/>
          </w:tcPr>
          <w:p w14:paraId="6CA019FC"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5" w:type="pct"/>
          </w:tcPr>
          <w:p w14:paraId="5511D29B"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3" w:type="pct"/>
          </w:tcPr>
          <w:p w14:paraId="27C95A1A"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72927075"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76F1309C"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5" w:type="pct"/>
          </w:tcPr>
          <w:p w14:paraId="1DE2D778"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2270E7BE"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3" w:type="pct"/>
          </w:tcPr>
          <w:p w14:paraId="607732FF"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57EC4BB5"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3" w:type="pct"/>
          </w:tcPr>
          <w:p w14:paraId="1F214E40"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5BC3AB84"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56" w:type="pct"/>
          </w:tcPr>
          <w:p w14:paraId="7C97BE9E"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r>
      <w:tr w:rsidR="00622884" w:rsidRPr="00622884" w14:paraId="17F43594" w14:textId="77777777" w:rsidTr="00622884">
        <w:trPr>
          <w:trHeight w:val="344"/>
          <w:jc w:val="center"/>
        </w:trPr>
        <w:tc>
          <w:tcPr>
            <w:tcW w:w="245" w:type="pct"/>
            <w:vAlign w:val="center"/>
          </w:tcPr>
          <w:p w14:paraId="02CBCC83" w14:textId="77777777" w:rsidR="00622884" w:rsidRPr="00622884" w:rsidRDefault="00622884" w:rsidP="00622884">
            <w:pPr>
              <w:spacing w:after="0" w:line="240" w:lineRule="auto"/>
              <w:jc w:val="center"/>
              <w:rPr>
                <w:rFonts w:ascii="Garamond" w:eastAsia="SimSun" w:hAnsi="Garamond" w:cs="Calibri Light"/>
                <w:b/>
                <w:bCs/>
                <w:sz w:val="12"/>
                <w:szCs w:val="12"/>
                <w:lang w:eastAsia="en-US"/>
              </w:rPr>
            </w:pPr>
            <w:r w:rsidRPr="00622884">
              <w:rPr>
                <w:rFonts w:ascii="Garamond" w:eastAsia="SimSun" w:hAnsi="Garamond" w:cs="Times New Roman"/>
                <w:b/>
                <w:sz w:val="12"/>
                <w:szCs w:val="12"/>
                <w:lang w:eastAsia="en-US" w:bidi="sq-AL"/>
              </w:rPr>
              <w:t>3</w:t>
            </w:r>
          </w:p>
        </w:tc>
        <w:tc>
          <w:tcPr>
            <w:tcW w:w="1943" w:type="pct"/>
            <w:vAlign w:val="center"/>
          </w:tcPr>
          <w:p w14:paraId="5F71618E" w14:textId="77777777" w:rsidR="00622884" w:rsidRPr="00622884" w:rsidRDefault="00622884" w:rsidP="00622884">
            <w:pPr>
              <w:spacing w:after="0" w:line="240" w:lineRule="auto"/>
              <w:jc w:val="left"/>
              <w:rPr>
                <w:rFonts w:ascii="Garamond" w:eastAsia="SimSun" w:hAnsi="Garamond" w:cs="Calibri Light"/>
                <w:b/>
                <w:bCs/>
                <w:sz w:val="12"/>
                <w:szCs w:val="12"/>
                <w:u w:val="single"/>
                <w:lang w:eastAsia="en-US"/>
              </w:rPr>
            </w:pPr>
            <w:r w:rsidRPr="00622884">
              <w:rPr>
                <w:rFonts w:ascii="Garamond" w:eastAsia="SimSun" w:hAnsi="Garamond" w:cs="Times New Roman"/>
                <w:sz w:val="12"/>
                <w:szCs w:val="12"/>
                <w:lang w:eastAsia="en-US" w:bidi="sq-AL"/>
              </w:rPr>
              <w:t>Rritja e kapaciteteve për përshtatje: Mbështetja për grupin teknik të ndryshimeve klimatike dhe krijimi dhe forcimi i kapaciteteve të Grupit Drejtues</w:t>
            </w:r>
          </w:p>
        </w:tc>
        <w:tc>
          <w:tcPr>
            <w:tcW w:w="509" w:type="pct"/>
            <w:vAlign w:val="center"/>
          </w:tcPr>
          <w:p w14:paraId="1BB8659F" w14:textId="77777777" w:rsidR="00622884" w:rsidRPr="00622884" w:rsidRDefault="00622884" w:rsidP="00622884">
            <w:pPr>
              <w:spacing w:after="0" w:line="240" w:lineRule="auto"/>
              <w:jc w:val="center"/>
              <w:rPr>
                <w:rFonts w:ascii="Garamond" w:eastAsia="SimSun" w:hAnsi="Garamond" w:cs="Calibri Light"/>
                <w:sz w:val="12"/>
                <w:szCs w:val="12"/>
                <w:u w:val="single"/>
                <w:lang w:eastAsia="en-US"/>
              </w:rPr>
            </w:pPr>
            <w:r w:rsidRPr="00622884">
              <w:rPr>
                <w:rFonts w:ascii="Garamond" w:eastAsia="SimSun" w:hAnsi="Garamond" w:cs="Times New Roman"/>
                <w:sz w:val="12"/>
                <w:szCs w:val="12"/>
                <w:lang w:eastAsia="en-US" w:bidi="sq-AL"/>
              </w:rPr>
              <w:t>MM, Bashkitë</w:t>
            </w:r>
          </w:p>
        </w:tc>
        <w:tc>
          <w:tcPr>
            <w:tcW w:w="154" w:type="pct"/>
            <w:shd w:val="clear" w:color="auto" w:fill="FFFFFF"/>
          </w:tcPr>
          <w:p w14:paraId="0C1F57DC"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shd w:val="clear" w:color="auto" w:fill="C7E3D5"/>
          </w:tcPr>
          <w:p w14:paraId="297A5742"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4" w:type="pct"/>
            <w:shd w:val="clear" w:color="auto" w:fill="C7E3D5"/>
          </w:tcPr>
          <w:p w14:paraId="55724BA1"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shd w:val="clear" w:color="auto" w:fill="C7E3D5"/>
          </w:tcPr>
          <w:p w14:paraId="1CCC325D"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shd w:val="clear" w:color="auto" w:fill="FFFFFF"/>
          </w:tcPr>
          <w:p w14:paraId="60B4C937"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3" w:type="pct"/>
            <w:shd w:val="clear" w:color="auto" w:fill="FFFFFF"/>
          </w:tcPr>
          <w:p w14:paraId="12981C00"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5" w:type="pct"/>
          </w:tcPr>
          <w:p w14:paraId="7076D761"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3" w:type="pct"/>
          </w:tcPr>
          <w:p w14:paraId="1A31AAF6"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7E78699E"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6C78D2D3"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5" w:type="pct"/>
          </w:tcPr>
          <w:p w14:paraId="723CCF60"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21EC9747"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3" w:type="pct"/>
          </w:tcPr>
          <w:p w14:paraId="0C744CF2"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64B8A4B2"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3" w:type="pct"/>
          </w:tcPr>
          <w:p w14:paraId="1A933721"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1CB6A723"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56" w:type="pct"/>
          </w:tcPr>
          <w:p w14:paraId="26369B65"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r>
      <w:tr w:rsidR="00622884" w:rsidRPr="00622884" w14:paraId="4E4C4F2C" w14:textId="77777777" w:rsidTr="00622884">
        <w:trPr>
          <w:trHeight w:val="50"/>
          <w:jc w:val="center"/>
        </w:trPr>
        <w:tc>
          <w:tcPr>
            <w:tcW w:w="245" w:type="pct"/>
            <w:vAlign w:val="center"/>
          </w:tcPr>
          <w:p w14:paraId="0EB837F9" w14:textId="77777777" w:rsidR="00622884" w:rsidRPr="00622884" w:rsidRDefault="00622884" w:rsidP="00622884">
            <w:pPr>
              <w:spacing w:after="0" w:line="240" w:lineRule="auto"/>
              <w:jc w:val="center"/>
              <w:rPr>
                <w:rFonts w:ascii="Garamond" w:eastAsia="SimSun" w:hAnsi="Garamond" w:cs="Calibri Light"/>
                <w:b/>
                <w:bCs/>
                <w:sz w:val="12"/>
                <w:szCs w:val="12"/>
                <w:lang w:eastAsia="en-US"/>
              </w:rPr>
            </w:pPr>
            <w:r w:rsidRPr="00622884">
              <w:rPr>
                <w:rFonts w:ascii="Garamond" w:eastAsia="SimSun" w:hAnsi="Garamond" w:cs="Times New Roman"/>
                <w:b/>
                <w:sz w:val="12"/>
                <w:szCs w:val="12"/>
                <w:lang w:eastAsia="en-US" w:bidi="sq-AL"/>
              </w:rPr>
              <w:t>4</w:t>
            </w:r>
          </w:p>
        </w:tc>
        <w:tc>
          <w:tcPr>
            <w:tcW w:w="1943" w:type="pct"/>
            <w:vAlign w:val="center"/>
          </w:tcPr>
          <w:p w14:paraId="4C4810B1" w14:textId="77777777" w:rsidR="00622884" w:rsidRPr="00622884" w:rsidRDefault="00622884" w:rsidP="00622884">
            <w:pPr>
              <w:spacing w:after="0" w:line="240" w:lineRule="auto"/>
              <w:jc w:val="left"/>
              <w:rPr>
                <w:rFonts w:ascii="Garamond" w:eastAsia="SimSun" w:hAnsi="Garamond" w:cs="Calibri Light"/>
                <w:b/>
                <w:bCs/>
                <w:sz w:val="12"/>
                <w:szCs w:val="12"/>
                <w:u w:val="single"/>
                <w:lang w:eastAsia="en-US"/>
              </w:rPr>
            </w:pPr>
            <w:r w:rsidRPr="00622884">
              <w:rPr>
                <w:rFonts w:ascii="Garamond" w:eastAsia="SimSun" w:hAnsi="Garamond" w:cs="Times New Roman"/>
                <w:sz w:val="12"/>
                <w:szCs w:val="12"/>
                <w:lang w:eastAsia="en-US" w:bidi="sq-AL"/>
              </w:rPr>
              <w:t>Rritja e aftësive ripërtëritëse ndaj klimës përmes sistemeve të përmirësuara të të dhënave</w:t>
            </w:r>
          </w:p>
        </w:tc>
        <w:tc>
          <w:tcPr>
            <w:tcW w:w="509" w:type="pct"/>
            <w:vAlign w:val="center"/>
          </w:tcPr>
          <w:p w14:paraId="03B529DA" w14:textId="77777777" w:rsidR="00622884" w:rsidRPr="00622884" w:rsidRDefault="00622884" w:rsidP="00622884">
            <w:pPr>
              <w:spacing w:after="0" w:line="240" w:lineRule="auto"/>
              <w:jc w:val="center"/>
              <w:rPr>
                <w:rFonts w:ascii="Garamond" w:eastAsia="SimSun" w:hAnsi="Garamond" w:cs="Calibri Light"/>
                <w:sz w:val="12"/>
                <w:szCs w:val="12"/>
                <w:u w:val="single"/>
                <w:lang w:eastAsia="en-US"/>
              </w:rPr>
            </w:pPr>
            <w:r w:rsidRPr="00622884">
              <w:rPr>
                <w:rFonts w:ascii="Garamond" w:eastAsia="SimSun" w:hAnsi="Garamond" w:cs="Times New Roman"/>
                <w:sz w:val="12"/>
                <w:szCs w:val="12"/>
                <w:lang w:eastAsia="en-US" w:bidi="sq-AL"/>
              </w:rPr>
              <w:t>MM</w:t>
            </w:r>
          </w:p>
        </w:tc>
        <w:tc>
          <w:tcPr>
            <w:tcW w:w="154" w:type="pct"/>
            <w:shd w:val="clear" w:color="auto" w:fill="FFFFFF"/>
          </w:tcPr>
          <w:p w14:paraId="5813319D"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shd w:val="clear" w:color="auto" w:fill="FFFFFF"/>
          </w:tcPr>
          <w:p w14:paraId="73632E52"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4" w:type="pct"/>
            <w:shd w:val="clear" w:color="auto" w:fill="C7E3D5"/>
          </w:tcPr>
          <w:p w14:paraId="3EF4FB45"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shd w:val="clear" w:color="auto" w:fill="C7E3D5"/>
          </w:tcPr>
          <w:p w14:paraId="57586D17"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shd w:val="clear" w:color="auto" w:fill="C7E3D5"/>
          </w:tcPr>
          <w:p w14:paraId="765E0230"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3" w:type="pct"/>
          </w:tcPr>
          <w:p w14:paraId="0F86EECA"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5" w:type="pct"/>
          </w:tcPr>
          <w:p w14:paraId="46837EE5"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3" w:type="pct"/>
          </w:tcPr>
          <w:p w14:paraId="3DA7E3EB"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6CDF8835"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5679514A"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5" w:type="pct"/>
          </w:tcPr>
          <w:p w14:paraId="07305D6D"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657CD465"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3" w:type="pct"/>
          </w:tcPr>
          <w:p w14:paraId="00ED1092"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21A15768"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3" w:type="pct"/>
          </w:tcPr>
          <w:p w14:paraId="45A2E442"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151B9527"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56" w:type="pct"/>
          </w:tcPr>
          <w:p w14:paraId="5E35BACE"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r>
      <w:tr w:rsidR="00622884" w:rsidRPr="00622884" w14:paraId="2B19D0A6" w14:textId="77777777" w:rsidTr="00622884">
        <w:trPr>
          <w:trHeight w:val="185"/>
          <w:jc w:val="center"/>
        </w:trPr>
        <w:tc>
          <w:tcPr>
            <w:tcW w:w="245" w:type="pct"/>
            <w:vAlign w:val="center"/>
          </w:tcPr>
          <w:p w14:paraId="608618C2" w14:textId="77777777" w:rsidR="00622884" w:rsidRPr="00622884" w:rsidRDefault="00622884" w:rsidP="00622884">
            <w:pPr>
              <w:spacing w:after="0" w:line="240" w:lineRule="auto"/>
              <w:jc w:val="center"/>
              <w:rPr>
                <w:rFonts w:ascii="Garamond" w:eastAsia="SimSun" w:hAnsi="Garamond" w:cs="Calibri Light"/>
                <w:b/>
                <w:bCs/>
                <w:sz w:val="12"/>
                <w:szCs w:val="12"/>
                <w:lang w:eastAsia="en-US"/>
              </w:rPr>
            </w:pPr>
            <w:r w:rsidRPr="00622884">
              <w:rPr>
                <w:rFonts w:ascii="Garamond" w:eastAsia="SimSun" w:hAnsi="Garamond" w:cs="Times New Roman"/>
                <w:b/>
                <w:sz w:val="12"/>
                <w:szCs w:val="12"/>
                <w:lang w:eastAsia="en-US" w:bidi="sq-AL"/>
              </w:rPr>
              <w:t>5</w:t>
            </w:r>
          </w:p>
        </w:tc>
        <w:tc>
          <w:tcPr>
            <w:tcW w:w="1943" w:type="pct"/>
            <w:vAlign w:val="center"/>
          </w:tcPr>
          <w:p w14:paraId="1370B926" w14:textId="77777777" w:rsidR="00622884" w:rsidRPr="00622884" w:rsidRDefault="00622884" w:rsidP="00622884">
            <w:pPr>
              <w:spacing w:after="0" w:line="240" w:lineRule="auto"/>
              <w:jc w:val="left"/>
              <w:rPr>
                <w:rFonts w:ascii="Garamond" w:eastAsia="SimSun" w:hAnsi="Garamond" w:cs="Calibri Light"/>
                <w:b/>
                <w:bCs/>
                <w:sz w:val="12"/>
                <w:szCs w:val="12"/>
                <w:u w:val="single"/>
                <w:lang w:eastAsia="en-US"/>
              </w:rPr>
            </w:pPr>
            <w:r w:rsidRPr="00622884">
              <w:rPr>
                <w:rFonts w:ascii="Garamond" w:eastAsia="SimSun" w:hAnsi="Garamond" w:cs="Times New Roman"/>
                <w:sz w:val="12"/>
                <w:szCs w:val="12"/>
                <w:lang w:eastAsia="en-US" w:bidi="sq-AL"/>
              </w:rPr>
              <w:t>Zgjidhje të bazuara në natyrë dhe skema zhvilluesish për fitim neto të biodiversitetit</w:t>
            </w:r>
          </w:p>
        </w:tc>
        <w:tc>
          <w:tcPr>
            <w:tcW w:w="509" w:type="pct"/>
            <w:vAlign w:val="center"/>
          </w:tcPr>
          <w:p w14:paraId="667BA525" w14:textId="77777777" w:rsidR="00622884" w:rsidRPr="00622884" w:rsidRDefault="00622884" w:rsidP="00622884">
            <w:pPr>
              <w:spacing w:after="0" w:line="240" w:lineRule="auto"/>
              <w:jc w:val="center"/>
              <w:rPr>
                <w:rFonts w:ascii="Garamond" w:eastAsia="SimSun" w:hAnsi="Garamond" w:cs="Calibri Light"/>
                <w:sz w:val="12"/>
                <w:szCs w:val="12"/>
                <w:u w:val="single"/>
                <w:lang w:eastAsia="en-US"/>
              </w:rPr>
            </w:pPr>
            <w:r w:rsidRPr="00622884">
              <w:rPr>
                <w:rFonts w:ascii="Garamond" w:eastAsia="SimSun" w:hAnsi="Garamond" w:cs="Times New Roman"/>
                <w:sz w:val="12"/>
                <w:szCs w:val="12"/>
                <w:lang w:eastAsia="en-US" w:bidi="sq-AL"/>
              </w:rPr>
              <w:t>MM, Bashkitë</w:t>
            </w:r>
          </w:p>
        </w:tc>
        <w:tc>
          <w:tcPr>
            <w:tcW w:w="154" w:type="pct"/>
          </w:tcPr>
          <w:p w14:paraId="307B5B14"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0761D18E"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4" w:type="pct"/>
          </w:tcPr>
          <w:p w14:paraId="4EB0EC68"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shd w:val="clear" w:color="auto" w:fill="C7E3D5"/>
          </w:tcPr>
          <w:p w14:paraId="746A37FB"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shd w:val="clear" w:color="auto" w:fill="C7E3D5"/>
          </w:tcPr>
          <w:p w14:paraId="29F28F19"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3" w:type="pct"/>
            <w:shd w:val="clear" w:color="auto" w:fill="C7E3D5"/>
          </w:tcPr>
          <w:p w14:paraId="59686FBF"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5" w:type="pct"/>
            <w:shd w:val="clear" w:color="auto" w:fill="C7E3D5"/>
          </w:tcPr>
          <w:p w14:paraId="1693DF09"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3" w:type="pct"/>
            <w:shd w:val="clear" w:color="auto" w:fill="C7E3D5"/>
          </w:tcPr>
          <w:p w14:paraId="41E01E48"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shd w:val="clear" w:color="auto" w:fill="C7E3D5"/>
          </w:tcPr>
          <w:p w14:paraId="4DF68AF8"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063E2BA2"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5" w:type="pct"/>
          </w:tcPr>
          <w:p w14:paraId="1A1C89AC"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53DA3837"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3" w:type="pct"/>
          </w:tcPr>
          <w:p w14:paraId="75AB80AD"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4F745FDD"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3" w:type="pct"/>
          </w:tcPr>
          <w:p w14:paraId="3E8E743B"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7A0DD831"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56" w:type="pct"/>
          </w:tcPr>
          <w:p w14:paraId="002BCB10"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r>
      <w:tr w:rsidR="00622884" w:rsidRPr="00622884" w14:paraId="7E95D26C" w14:textId="77777777" w:rsidTr="00622884">
        <w:trPr>
          <w:trHeight w:val="179"/>
          <w:jc w:val="center"/>
        </w:trPr>
        <w:tc>
          <w:tcPr>
            <w:tcW w:w="245" w:type="pct"/>
            <w:vAlign w:val="center"/>
          </w:tcPr>
          <w:p w14:paraId="18662DC0" w14:textId="77777777" w:rsidR="00622884" w:rsidRPr="00622884" w:rsidRDefault="00622884" w:rsidP="00622884">
            <w:pPr>
              <w:spacing w:after="0" w:line="240" w:lineRule="auto"/>
              <w:jc w:val="center"/>
              <w:rPr>
                <w:rFonts w:ascii="Garamond" w:eastAsia="SimSun" w:hAnsi="Garamond" w:cs="Calibri Light"/>
                <w:b/>
                <w:bCs/>
                <w:sz w:val="12"/>
                <w:szCs w:val="12"/>
                <w:lang w:eastAsia="en-US"/>
              </w:rPr>
            </w:pPr>
            <w:r w:rsidRPr="00622884">
              <w:rPr>
                <w:rFonts w:ascii="Garamond" w:eastAsia="SimSun" w:hAnsi="Garamond" w:cs="Times New Roman"/>
                <w:b/>
                <w:sz w:val="12"/>
                <w:szCs w:val="12"/>
                <w:lang w:eastAsia="en-US" w:bidi="sq-AL"/>
              </w:rPr>
              <w:t>6</w:t>
            </w:r>
          </w:p>
        </w:tc>
        <w:tc>
          <w:tcPr>
            <w:tcW w:w="1943" w:type="pct"/>
            <w:vAlign w:val="center"/>
          </w:tcPr>
          <w:p w14:paraId="22F5DE84" w14:textId="77777777" w:rsidR="00622884" w:rsidRPr="00622884" w:rsidRDefault="00622884" w:rsidP="00622884">
            <w:pPr>
              <w:spacing w:after="0" w:line="240" w:lineRule="auto"/>
              <w:jc w:val="left"/>
              <w:rPr>
                <w:rFonts w:ascii="Garamond" w:eastAsia="SimSun" w:hAnsi="Garamond" w:cs="Calibri Light"/>
                <w:b/>
                <w:bCs/>
                <w:sz w:val="12"/>
                <w:szCs w:val="12"/>
                <w:u w:val="single"/>
                <w:lang w:eastAsia="en-US"/>
              </w:rPr>
            </w:pPr>
            <w:r w:rsidRPr="00622884">
              <w:rPr>
                <w:rFonts w:ascii="Garamond" w:eastAsia="SimSun" w:hAnsi="Garamond" w:cs="Times New Roman"/>
                <w:sz w:val="12"/>
                <w:szCs w:val="12"/>
                <w:lang w:eastAsia="en-US" w:bidi="sq-AL"/>
              </w:rPr>
              <w:t>Nxitja e ndërgjegjësimit për aftësitë ripërtëritëse ndaj ndryshimeve klimatike dhe trajnimi për përshtatje dhe zbutje</w:t>
            </w:r>
          </w:p>
        </w:tc>
        <w:tc>
          <w:tcPr>
            <w:tcW w:w="509" w:type="pct"/>
            <w:vAlign w:val="center"/>
          </w:tcPr>
          <w:p w14:paraId="4D663788" w14:textId="77777777" w:rsidR="00622884" w:rsidRPr="00622884" w:rsidRDefault="00622884" w:rsidP="00622884">
            <w:pPr>
              <w:spacing w:after="0" w:line="240" w:lineRule="auto"/>
              <w:jc w:val="center"/>
              <w:rPr>
                <w:rFonts w:ascii="Garamond" w:eastAsia="SimSun" w:hAnsi="Garamond" w:cs="Calibri Light"/>
                <w:sz w:val="12"/>
                <w:szCs w:val="12"/>
                <w:u w:val="single"/>
                <w:lang w:eastAsia="en-US"/>
              </w:rPr>
            </w:pPr>
            <w:r w:rsidRPr="00622884">
              <w:rPr>
                <w:rFonts w:ascii="Garamond" w:eastAsia="SimSun" w:hAnsi="Garamond" w:cs="Times New Roman"/>
                <w:sz w:val="12"/>
                <w:szCs w:val="12"/>
                <w:lang w:eastAsia="en-US" w:bidi="sq-AL"/>
              </w:rPr>
              <w:t>MAS, ASPA</w:t>
            </w:r>
          </w:p>
        </w:tc>
        <w:tc>
          <w:tcPr>
            <w:tcW w:w="154" w:type="pct"/>
          </w:tcPr>
          <w:p w14:paraId="656D447B"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shd w:val="clear" w:color="auto" w:fill="C7E3D5"/>
          </w:tcPr>
          <w:p w14:paraId="2BE907FD"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4" w:type="pct"/>
            <w:shd w:val="clear" w:color="auto" w:fill="C7E3D5"/>
          </w:tcPr>
          <w:p w14:paraId="25E43E91"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shd w:val="clear" w:color="auto" w:fill="C7E3D5"/>
          </w:tcPr>
          <w:p w14:paraId="4041095B"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shd w:val="clear" w:color="auto" w:fill="C7E3D5"/>
          </w:tcPr>
          <w:p w14:paraId="1A10C93E"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3" w:type="pct"/>
          </w:tcPr>
          <w:p w14:paraId="1105198E"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5" w:type="pct"/>
          </w:tcPr>
          <w:p w14:paraId="0BB221C0"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3" w:type="pct"/>
          </w:tcPr>
          <w:p w14:paraId="4BC568F7"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6F5897A1"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34BDFBC4"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5" w:type="pct"/>
          </w:tcPr>
          <w:p w14:paraId="777066D7"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2E2641BD"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3" w:type="pct"/>
          </w:tcPr>
          <w:p w14:paraId="0CB4BE6A"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0CF99851"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3" w:type="pct"/>
          </w:tcPr>
          <w:p w14:paraId="5E550A8E"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7F82CD16"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56" w:type="pct"/>
          </w:tcPr>
          <w:p w14:paraId="5802CD96"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r>
      <w:tr w:rsidR="00622884" w:rsidRPr="00622884" w14:paraId="2F63C1DC" w14:textId="77777777" w:rsidTr="00622884">
        <w:trPr>
          <w:trHeight w:val="139"/>
          <w:jc w:val="center"/>
        </w:trPr>
        <w:tc>
          <w:tcPr>
            <w:tcW w:w="245" w:type="pct"/>
            <w:vAlign w:val="center"/>
          </w:tcPr>
          <w:p w14:paraId="54B67EC1" w14:textId="77777777" w:rsidR="00622884" w:rsidRPr="00622884" w:rsidRDefault="00622884" w:rsidP="00622884">
            <w:pPr>
              <w:spacing w:after="0" w:line="240" w:lineRule="auto"/>
              <w:jc w:val="center"/>
              <w:rPr>
                <w:rFonts w:ascii="Garamond" w:eastAsia="SimSun" w:hAnsi="Garamond" w:cs="Calibri Light"/>
                <w:b/>
                <w:bCs/>
                <w:sz w:val="12"/>
                <w:szCs w:val="12"/>
                <w:lang w:eastAsia="en-US"/>
              </w:rPr>
            </w:pPr>
            <w:r w:rsidRPr="00622884">
              <w:rPr>
                <w:rFonts w:ascii="Garamond" w:eastAsia="SimSun" w:hAnsi="Garamond" w:cs="Times New Roman"/>
                <w:b/>
                <w:sz w:val="12"/>
                <w:szCs w:val="12"/>
                <w:lang w:eastAsia="en-US" w:bidi="sq-AL"/>
              </w:rPr>
              <w:t>7</w:t>
            </w:r>
          </w:p>
        </w:tc>
        <w:tc>
          <w:tcPr>
            <w:tcW w:w="1943" w:type="pct"/>
            <w:vAlign w:val="center"/>
          </w:tcPr>
          <w:p w14:paraId="7829A653" w14:textId="77777777" w:rsidR="00622884" w:rsidRPr="00622884" w:rsidRDefault="00622884" w:rsidP="00622884">
            <w:pPr>
              <w:spacing w:after="0" w:line="240" w:lineRule="auto"/>
              <w:jc w:val="left"/>
              <w:rPr>
                <w:rFonts w:ascii="Garamond" w:eastAsia="SimSun" w:hAnsi="Garamond" w:cs="Calibri Light"/>
                <w:b/>
                <w:bCs/>
                <w:sz w:val="12"/>
                <w:szCs w:val="12"/>
                <w:u w:val="single"/>
                <w:lang w:eastAsia="en-US"/>
              </w:rPr>
            </w:pPr>
            <w:r w:rsidRPr="00622884">
              <w:rPr>
                <w:rFonts w:ascii="Garamond" w:eastAsia="SimSun" w:hAnsi="Garamond" w:cs="Times New Roman"/>
                <w:sz w:val="12"/>
                <w:szCs w:val="12"/>
                <w:lang w:eastAsia="en-US" w:bidi="sq-AL"/>
              </w:rPr>
              <w:t xml:space="preserve">Mekanizmat novatorë të financimit për klimën: Pilotimi i strategjive të financimit të qëndrueshëm </w:t>
            </w:r>
          </w:p>
        </w:tc>
        <w:tc>
          <w:tcPr>
            <w:tcW w:w="509" w:type="pct"/>
            <w:vAlign w:val="center"/>
          </w:tcPr>
          <w:p w14:paraId="70DEB3CA" w14:textId="77777777" w:rsidR="00622884" w:rsidRPr="00622884" w:rsidRDefault="00622884" w:rsidP="00622884">
            <w:pPr>
              <w:spacing w:after="0" w:line="240" w:lineRule="auto"/>
              <w:jc w:val="center"/>
              <w:rPr>
                <w:rFonts w:ascii="Garamond" w:eastAsia="SimSun" w:hAnsi="Garamond" w:cs="Calibri Light"/>
                <w:sz w:val="12"/>
                <w:szCs w:val="12"/>
                <w:lang w:eastAsia="en-US"/>
              </w:rPr>
            </w:pPr>
            <w:r w:rsidRPr="00622884">
              <w:rPr>
                <w:rFonts w:ascii="Garamond" w:eastAsia="SimSun" w:hAnsi="Garamond" w:cs="Times New Roman"/>
                <w:sz w:val="12"/>
                <w:szCs w:val="12"/>
                <w:lang w:eastAsia="en-US" w:bidi="sq-AL"/>
              </w:rPr>
              <w:t>MF, Bashkitë</w:t>
            </w:r>
          </w:p>
        </w:tc>
        <w:tc>
          <w:tcPr>
            <w:tcW w:w="154" w:type="pct"/>
          </w:tcPr>
          <w:p w14:paraId="2AA42D1E"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77639E8E"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4" w:type="pct"/>
            <w:shd w:val="clear" w:color="auto" w:fill="C7E3D5"/>
          </w:tcPr>
          <w:p w14:paraId="43C69271"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shd w:val="clear" w:color="auto" w:fill="C7E3D5"/>
          </w:tcPr>
          <w:p w14:paraId="33ECBF69"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shd w:val="clear" w:color="auto" w:fill="C7E3D5"/>
          </w:tcPr>
          <w:p w14:paraId="1C77E821"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3" w:type="pct"/>
            <w:shd w:val="clear" w:color="auto" w:fill="C7E3D5"/>
          </w:tcPr>
          <w:p w14:paraId="3F10EA51"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5" w:type="pct"/>
          </w:tcPr>
          <w:p w14:paraId="06FA0556"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3" w:type="pct"/>
          </w:tcPr>
          <w:p w14:paraId="40AB7AE6"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0D96AE69"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68ADB85A"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5" w:type="pct"/>
          </w:tcPr>
          <w:p w14:paraId="6B86361A"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16D66262"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3" w:type="pct"/>
          </w:tcPr>
          <w:p w14:paraId="39890279"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5830B0A0"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3" w:type="pct"/>
          </w:tcPr>
          <w:p w14:paraId="5EF4CDB4"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70845B96"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56" w:type="pct"/>
          </w:tcPr>
          <w:p w14:paraId="20BA8A99"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r>
      <w:tr w:rsidR="00622884" w:rsidRPr="00622884" w14:paraId="6414DE5D" w14:textId="77777777" w:rsidTr="00622884">
        <w:trPr>
          <w:trHeight w:val="101"/>
          <w:jc w:val="center"/>
        </w:trPr>
        <w:tc>
          <w:tcPr>
            <w:tcW w:w="245" w:type="pct"/>
            <w:vAlign w:val="center"/>
          </w:tcPr>
          <w:p w14:paraId="2110EA31" w14:textId="77777777" w:rsidR="00622884" w:rsidRPr="00622884" w:rsidRDefault="00622884" w:rsidP="00622884">
            <w:pPr>
              <w:spacing w:after="0" w:line="240" w:lineRule="auto"/>
              <w:jc w:val="center"/>
              <w:rPr>
                <w:rFonts w:ascii="Garamond" w:eastAsia="SimSun" w:hAnsi="Garamond" w:cs="Calibri Light"/>
                <w:b/>
                <w:bCs/>
                <w:sz w:val="12"/>
                <w:szCs w:val="12"/>
                <w:lang w:eastAsia="en-US"/>
              </w:rPr>
            </w:pPr>
            <w:r w:rsidRPr="00622884">
              <w:rPr>
                <w:rFonts w:ascii="Garamond" w:eastAsia="SimSun" w:hAnsi="Garamond" w:cs="Times New Roman"/>
                <w:b/>
                <w:sz w:val="12"/>
                <w:szCs w:val="12"/>
                <w:lang w:eastAsia="en-US" w:bidi="sq-AL"/>
              </w:rPr>
              <w:t>8</w:t>
            </w:r>
          </w:p>
        </w:tc>
        <w:tc>
          <w:tcPr>
            <w:tcW w:w="1943" w:type="pct"/>
            <w:vAlign w:val="center"/>
          </w:tcPr>
          <w:p w14:paraId="20F52867" w14:textId="77777777" w:rsidR="00622884" w:rsidRPr="00622884" w:rsidRDefault="00622884" w:rsidP="00622884">
            <w:pPr>
              <w:spacing w:after="0" w:line="240" w:lineRule="auto"/>
              <w:jc w:val="left"/>
              <w:rPr>
                <w:rFonts w:ascii="Garamond" w:eastAsia="SimSun" w:hAnsi="Garamond" w:cs="Calibri Light"/>
                <w:b/>
                <w:bCs/>
                <w:sz w:val="12"/>
                <w:szCs w:val="12"/>
                <w:u w:val="single"/>
                <w:lang w:eastAsia="en-US"/>
              </w:rPr>
            </w:pPr>
            <w:r w:rsidRPr="00622884">
              <w:rPr>
                <w:rFonts w:ascii="Garamond" w:eastAsia="SimSun" w:hAnsi="Garamond" w:cs="Times New Roman"/>
                <w:sz w:val="12"/>
                <w:szCs w:val="12"/>
                <w:lang w:eastAsia="en-US" w:bidi="sq-AL"/>
              </w:rPr>
              <w:t>Pilotimi i vlerësimeve të menaxhimit të riskut për bizneset me aftësi ripërtëritëse ndaj ndryshimeve klimatike</w:t>
            </w:r>
          </w:p>
        </w:tc>
        <w:tc>
          <w:tcPr>
            <w:tcW w:w="509" w:type="pct"/>
            <w:vAlign w:val="center"/>
          </w:tcPr>
          <w:p w14:paraId="781BBFA5" w14:textId="77777777" w:rsidR="00622884" w:rsidRPr="00622884" w:rsidRDefault="00622884" w:rsidP="00622884">
            <w:pPr>
              <w:spacing w:after="0" w:line="240" w:lineRule="auto"/>
              <w:jc w:val="center"/>
              <w:rPr>
                <w:rFonts w:ascii="Garamond" w:eastAsia="SimSun" w:hAnsi="Garamond" w:cs="Calibri Light"/>
                <w:sz w:val="12"/>
                <w:szCs w:val="12"/>
                <w:u w:val="single"/>
                <w:lang w:eastAsia="en-US"/>
              </w:rPr>
            </w:pPr>
            <w:r w:rsidRPr="00622884">
              <w:rPr>
                <w:rFonts w:ascii="Garamond" w:eastAsia="SimSun" w:hAnsi="Garamond" w:cs="Times New Roman"/>
                <w:sz w:val="12"/>
                <w:szCs w:val="12"/>
                <w:lang w:eastAsia="en-US" w:bidi="sq-AL"/>
              </w:rPr>
              <w:t>MEKI</w:t>
            </w:r>
          </w:p>
        </w:tc>
        <w:tc>
          <w:tcPr>
            <w:tcW w:w="154" w:type="pct"/>
          </w:tcPr>
          <w:p w14:paraId="5B94210A"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5CC45F76"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4" w:type="pct"/>
            <w:shd w:val="clear" w:color="auto" w:fill="C7E3D5"/>
          </w:tcPr>
          <w:p w14:paraId="748F221B"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shd w:val="clear" w:color="auto" w:fill="C7E3D5"/>
          </w:tcPr>
          <w:p w14:paraId="321C69C2"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shd w:val="clear" w:color="auto" w:fill="C7E3D5"/>
          </w:tcPr>
          <w:p w14:paraId="07120C60"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3" w:type="pct"/>
          </w:tcPr>
          <w:p w14:paraId="5A716AA2"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5" w:type="pct"/>
          </w:tcPr>
          <w:p w14:paraId="4C14A5B0"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3" w:type="pct"/>
          </w:tcPr>
          <w:p w14:paraId="4F252CCD"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60348279"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597E392B"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5" w:type="pct"/>
          </w:tcPr>
          <w:p w14:paraId="5A63FEF6"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49390320"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3" w:type="pct"/>
          </w:tcPr>
          <w:p w14:paraId="2B39C1B6"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61C929D9"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3" w:type="pct"/>
          </w:tcPr>
          <w:p w14:paraId="7D5755A7"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1A7DD01F"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56" w:type="pct"/>
          </w:tcPr>
          <w:p w14:paraId="67A5F0D4"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r>
      <w:tr w:rsidR="00622884" w:rsidRPr="00622884" w14:paraId="7ABEC270" w14:textId="77777777" w:rsidTr="00622884">
        <w:trPr>
          <w:trHeight w:val="56"/>
          <w:jc w:val="center"/>
        </w:trPr>
        <w:tc>
          <w:tcPr>
            <w:tcW w:w="245" w:type="pct"/>
            <w:vAlign w:val="center"/>
          </w:tcPr>
          <w:p w14:paraId="0FA37E77" w14:textId="77777777" w:rsidR="00622884" w:rsidRPr="00622884" w:rsidRDefault="00622884" w:rsidP="00622884">
            <w:pPr>
              <w:spacing w:after="0" w:line="240" w:lineRule="auto"/>
              <w:jc w:val="center"/>
              <w:rPr>
                <w:rFonts w:ascii="Garamond" w:eastAsia="SimSun" w:hAnsi="Garamond" w:cs="Calibri Light"/>
                <w:b/>
                <w:bCs/>
                <w:sz w:val="12"/>
                <w:szCs w:val="12"/>
                <w:lang w:eastAsia="en-US"/>
              </w:rPr>
            </w:pPr>
            <w:r w:rsidRPr="00622884">
              <w:rPr>
                <w:rFonts w:ascii="Garamond" w:eastAsia="SimSun" w:hAnsi="Garamond" w:cs="Times New Roman"/>
                <w:b/>
                <w:sz w:val="12"/>
                <w:szCs w:val="12"/>
                <w:lang w:eastAsia="en-US" w:bidi="sq-AL"/>
              </w:rPr>
              <w:t>9</w:t>
            </w:r>
          </w:p>
        </w:tc>
        <w:tc>
          <w:tcPr>
            <w:tcW w:w="1943" w:type="pct"/>
            <w:vAlign w:val="center"/>
          </w:tcPr>
          <w:p w14:paraId="0E374532" w14:textId="77777777" w:rsidR="00622884" w:rsidRPr="00622884" w:rsidRDefault="00622884" w:rsidP="00622884">
            <w:pPr>
              <w:spacing w:after="0" w:line="240" w:lineRule="auto"/>
              <w:jc w:val="left"/>
              <w:rPr>
                <w:rFonts w:ascii="Garamond" w:eastAsia="SimSun" w:hAnsi="Garamond" w:cs="Calibri Light"/>
                <w:b/>
                <w:bCs/>
                <w:sz w:val="12"/>
                <w:szCs w:val="12"/>
                <w:u w:val="single"/>
                <w:lang w:eastAsia="en-US"/>
              </w:rPr>
            </w:pPr>
            <w:r w:rsidRPr="00622884">
              <w:rPr>
                <w:rFonts w:ascii="Garamond" w:eastAsia="SimSun" w:hAnsi="Garamond" w:cs="Times New Roman"/>
                <w:sz w:val="12"/>
                <w:szCs w:val="12"/>
                <w:lang w:eastAsia="en-US" w:bidi="sq-AL"/>
              </w:rPr>
              <w:t>Promovimi i përshtatjes klimatike me ndjeshmëri gjinore: Trajnimi i palëve të interesit, krijimi i instrumenteve gjithëpërfshirëse dhe forcimi i kapaciteteve institucionale në sektorin shëndetësor</w:t>
            </w:r>
          </w:p>
        </w:tc>
        <w:tc>
          <w:tcPr>
            <w:tcW w:w="509" w:type="pct"/>
            <w:vAlign w:val="center"/>
          </w:tcPr>
          <w:p w14:paraId="796637D9" w14:textId="77777777" w:rsidR="00622884" w:rsidRPr="00622884" w:rsidRDefault="00622884" w:rsidP="00622884">
            <w:pPr>
              <w:spacing w:after="0" w:line="240" w:lineRule="auto"/>
              <w:jc w:val="center"/>
              <w:rPr>
                <w:rFonts w:ascii="Garamond" w:eastAsia="SimSun" w:hAnsi="Garamond" w:cs="Calibri Light"/>
                <w:sz w:val="12"/>
                <w:szCs w:val="12"/>
                <w:u w:val="single"/>
                <w:lang w:eastAsia="en-US"/>
              </w:rPr>
            </w:pPr>
            <w:r w:rsidRPr="00622884">
              <w:rPr>
                <w:rFonts w:ascii="Garamond" w:eastAsia="SimSun" w:hAnsi="Garamond" w:cs="Times New Roman"/>
                <w:sz w:val="12"/>
                <w:szCs w:val="12"/>
                <w:lang w:eastAsia="en-US" w:bidi="sq-AL"/>
              </w:rPr>
              <w:t>MSHMS, ASPA</w:t>
            </w:r>
          </w:p>
        </w:tc>
        <w:tc>
          <w:tcPr>
            <w:tcW w:w="154" w:type="pct"/>
          </w:tcPr>
          <w:p w14:paraId="617971DF"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0B12638A"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4" w:type="pct"/>
          </w:tcPr>
          <w:p w14:paraId="5B814B58"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0A34613D"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shd w:val="clear" w:color="auto" w:fill="C7E3D5"/>
          </w:tcPr>
          <w:p w14:paraId="168314B7"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3" w:type="pct"/>
            <w:shd w:val="clear" w:color="auto" w:fill="C7E3D5"/>
          </w:tcPr>
          <w:p w14:paraId="3DBE62C2"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5" w:type="pct"/>
          </w:tcPr>
          <w:p w14:paraId="4BDF81BF"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3" w:type="pct"/>
          </w:tcPr>
          <w:p w14:paraId="58814AFC"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73269423"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2A0E06D1"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5" w:type="pct"/>
          </w:tcPr>
          <w:p w14:paraId="77283C64"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5DA1B892"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3" w:type="pct"/>
          </w:tcPr>
          <w:p w14:paraId="203296C7"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4FCF0CAF"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3" w:type="pct"/>
          </w:tcPr>
          <w:p w14:paraId="55267ED9"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40DD2C8A"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56" w:type="pct"/>
          </w:tcPr>
          <w:p w14:paraId="00027E95"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r>
      <w:tr w:rsidR="00622884" w:rsidRPr="00622884" w14:paraId="1075118E" w14:textId="77777777" w:rsidTr="00622884">
        <w:trPr>
          <w:trHeight w:val="64"/>
          <w:jc w:val="center"/>
        </w:trPr>
        <w:tc>
          <w:tcPr>
            <w:tcW w:w="245" w:type="pct"/>
            <w:vAlign w:val="center"/>
          </w:tcPr>
          <w:p w14:paraId="03363841" w14:textId="77777777" w:rsidR="00622884" w:rsidRPr="00622884" w:rsidRDefault="00622884" w:rsidP="00622884">
            <w:pPr>
              <w:spacing w:after="0" w:line="240" w:lineRule="auto"/>
              <w:jc w:val="center"/>
              <w:rPr>
                <w:rFonts w:ascii="Garamond" w:eastAsia="SimSun" w:hAnsi="Garamond" w:cs="Calibri Light"/>
                <w:b/>
                <w:bCs/>
                <w:sz w:val="12"/>
                <w:szCs w:val="12"/>
                <w:lang w:eastAsia="en-US"/>
              </w:rPr>
            </w:pPr>
            <w:r w:rsidRPr="00622884">
              <w:rPr>
                <w:rFonts w:ascii="Garamond" w:eastAsia="SimSun" w:hAnsi="Garamond" w:cs="Times New Roman"/>
                <w:b/>
                <w:sz w:val="12"/>
                <w:szCs w:val="12"/>
                <w:lang w:eastAsia="en-US" w:bidi="sq-AL"/>
              </w:rPr>
              <w:t>10</w:t>
            </w:r>
          </w:p>
        </w:tc>
        <w:tc>
          <w:tcPr>
            <w:tcW w:w="1943" w:type="pct"/>
            <w:vAlign w:val="center"/>
          </w:tcPr>
          <w:p w14:paraId="5218D6BA" w14:textId="77777777" w:rsidR="00622884" w:rsidRPr="00622884" w:rsidRDefault="00622884" w:rsidP="00622884">
            <w:pPr>
              <w:spacing w:after="0" w:line="240" w:lineRule="auto"/>
              <w:jc w:val="left"/>
              <w:rPr>
                <w:rFonts w:ascii="Garamond" w:eastAsia="SimSun" w:hAnsi="Garamond" w:cs="Calibri Light"/>
                <w:b/>
                <w:bCs/>
                <w:sz w:val="12"/>
                <w:szCs w:val="12"/>
                <w:u w:val="single"/>
                <w:lang w:eastAsia="en-US"/>
              </w:rPr>
            </w:pPr>
            <w:r w:rsidRPr="00622884">
              <w:rPr>
                <w:rFonts w:ascii="Garamond" w:eastAsia="SimSun" w:hAnsi="Garamond" w:cs="Times New Roman"/>
                <w:sz w:val="12"/>
                <w:szCs w:val="12"/>
                <w:lang w:eastAsia="en-US" w:bidi="sq-AL"/>
              </w:rPr>
              <w:t>Edukimi i komuniteteve: Përshtatja dhe rritja e ndërgjegjësimit për fatkeqësitë</w:t>
            </w:r>
          </w:p>
        </w:tc>
        <w:tc>
          <w:tcPr>
            <w:tcW w:w="509" w:type="pct"/>
            <w:vAlign w:val="center"/>
          </w:tcPr>
          <w:p w14:paraId="1DF2717F" w14:textId="77777777" w:rsidR="00622884" w:rsidRPr="00622884" w:rsidRDefault="00622884" w:rsidP="00622884">
            <w:pPr>
              <w:spacing w:after="0" w:line="240" w:lineRule="auto"/>
              <w:jc w:val="center"/>
              <w:rPr>
                <w:rFonts w:ascii="Garamond" w:eastAsia="SimSun" w:hAnsi="Garamond" w:cs="Calibri Light"/>
                <w:sz w:val="12"/>
                <w:szCs w:val="12"/>
                <w:lang w:eastAsia="en-US"/>
              </w:rPr>
            </w:pPr>
            <w:r w:rsidRPr="00622884">
              <w:rPr>
                <w:rFonts w:ascii="Garamond" w:eastAsia="SimSun" w:hAnsi="Garamond" w:cs="Times New Roman"/>
                <w:sz w:val="12"/>
                <w:szCs w:val="12"/>
                <w:lang w:eastAsia="en-US" w:bidi="sq-AL"/>
              </w:rPr>
              <w:t>MAS</w:t>
            </w:r>
          </w:p>
        </w:tc>
        <w:tc>
          <w:tcPr>
            <w:tcW w:w="154" w:type="pct"/>
          </w:tcPr>
          <w:p w14:paraId="78F8CA08"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7B6B9E3F"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4" w:type="pct"/>
          </w:tcPr>
          <w:p w14:paraId="6AA2D523"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03D7A278"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shd w:val="clear" w:color="auto" w:fill="C7E3D5"/>
          </w:tcPr>
          <w:p w14:paraId="028087A6"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3" w:type="pct"/>
            <w:shd w:val="clear" w:color="auto" w:fill="C7E3D5"/>
          </w:tcPr>
          <w:p w14:paraId="17E0ABAC"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5" w:type="pct"/>
            <w:shd w:val="clear" w:color="auto" w:fill="C7E3D5"/>
          </w:tcPr>
          <w:p w14:paraId="21269A17"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3" w:type="pct"/>
            <w:shd w:val="clear" w:color="auto" w:fill="C7E3D5"/>
          </w:tcPr>
          <w:p w14:paraId="60F21C1A"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432CF0AE"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2E1A17E2"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5" w:type="pct"/>
          </w:tcPr>
          <w:p w14:paraId="3A12F652"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04806AA1"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3" w:type="pct"/>
          </w:tcPr>
          <w:p w14:paraId="4D8756DD"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5C1C34D9"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3" w:type="pct"/>
          </w:tcPr>
          <w:p w14:paraId="41245D7F"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2B23A3DC"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56" w:type="pct"/>
          </w:tcPr>
          <w:p w14:paraId="1151F6C8"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r>
      <w:tr w:rsidR="00622884" w:rsidRPr="00622884" w14:paraId="6B8962DB" w14:textId="77777777" w:rsidTr="00622884">
        <w:trPr>
          <w:trHeight w:val="99"/>
          <w:jc w:val="center"/>
        </w:trPr>
        <w:tc>
          <w:tcPr>
            <w:tcW w:w="245" w:type="pct"/>
            <w:vAlign w:val="center"/>
          </w:tcPr>
          <w:p w14:paraId="762F1F38" w14:textId="77777777" w:rsidR="00622884" w:rsidRPr="00622884" w:rsidRDefault="00622884" w:rsidP="00622884">
            <w:pPr>
              <w:spacing w:after="0" w:line="240" w:lineRule="auto"/>
              <w:jc w:val="center"/>
              <w:rPr>
                <w:rFonts w:ascii="Garamond" w:eastAsia="SimSun" w:hAnsi="Garamond" w:cs="Calibri Light"/>
                <w:b/>
                <w:bCs/>
                <w:sz w:val="12"/>
                <w:szCs w:val="12"/>
                <w:lang w:eastAsia="en-US"/>
              </w:rPr>
            </w:pPr>
            <w:r w:rsidRPr="00622884">
              <w:rPr>
                <w:rFonts w:ascii="Garamond" w:eastAsia="SimSun" w:hAnsi="Garamond" w:cs="Times New Roman"/>
                <w:b/>
                <w:sz w:val="12"/>
                <w:szCs w:val="12"/>
                <w:lang w:eastAsia="en-US" w:bidi="sq-AL"/>
              </w:rPr>
              <w:t>11</w:t>
            </w:r>
          </w:p>
        </w:tc>
        <w:tc>
          <w:tcPr>
            <w:tcW w:w="1943" w:type="pct"/>
            <w:vAlign w:val="center"/>
          </w:tcPr>
          <w:p w14:paraId="08CD8EC0" w14:textId="77777777" w:rsidR="00622884" w:rsidRPr="00622884" w:rsidRDefault="00622884" w:rsidP="00622884">
            <w:pPr>
              <w:spacing w:after="0" w:line="240" w:lineRule="auto"/>
              <w:jc w:val="left"/>
              <w:rPr>
                <w:rFonts w:ascii="Garamond" w:eastAsia="SimSun" w:hAnsi="Garamond" w:cs="Calibri Light"/>
                <w:b/>
                <w:bCs/>
                <w:sz w:val="12"/>
                <w:szCs w:val="12"/>
                <w:u w:val="single"/>
                <w:lang w:eastAsia="en-US"/>
              </w:rPr>
            </w:pPr>
            <w:r w:rsidRPr="00622884">
              <w:rPr>
                <w:rFonts w:ascii="Garamond" w:eastAsia="SimSun" w:hAnsi="Garamond" w:cs="Times New Roman"/>
                <w:sz w:val="12"/>
                <w:szCs w:val="12"/>
                <w:lang w:eastAsia="en-US" w:bidi="sq-AL"/>
              </w:rPr>
              <w:t>Fuqizimi i fermerëve: mbështetja financiare për infrastrukturën me aftësi ripërtëritëse ndaj ndryshimeve klimatike</w:t>
            </w:r>
          </w:p>
        </w:tc>
        <w:tc>
          <w:tcPr>
            <w:tcW w:w="509" w:type="pct"/>
            <w:vAlign w:val="center"/>
          </w:tcPr>
          <w:p w14:paraId="50EA0256" w14:textId="77777777" w:rsidR="00622884" w:rsidRPr="00622884" w:rsidRDefault="00622884" w:rsidP="00622884">
            <w:pPr>
              <w:spacing w:after="0" w:line="240" w:lineRule="auto"/>
              <w:jc w:val="center"/>
              <w:rPr>
                <w:rFonts w:ascii="Garamond" w:eastAsia="SimSun" w:hAnsi="Garamond" w:cs="Calibri Light"/>
                <w:sz w:val="12"/>
                <w:szCs w:val="12"/>
                <w:lang w:eastAsia="en-US"/>
              </w:rPr>
            </w:pPr>
            <w:r w:rsidRPr="00622884">
              <w:rPr>
                <w:rFonts w:ascii="Garamond" w:eastAsia="SimSun" w:hAnsi="Garamond" w:cs="Times New Roman"/>
                <w:sz w:val="12"/>
                <w:szCs w:val="12"/>
                <w:lang w:eastAsia="en-US" w:bidi="sq-AL"/>
              </w:rPr>
              <w:t>MBZHR</w:t>
            </w:r>
          </w:p>
        </w:tc>
        <w:tc>
          <w:tcPr>
            <w:tcW w:w="154" w:type="pct"/>
          </w:tcPr>
          <w:p w14:paraId="3C688BFD"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11CF2E39"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4" w:type="pct"/>
            <w:shd w:val="clear" w:color="auto" w:fill="C7E3D5"/>
          </w:tcPr>
          <w:p w14:paraId="542CF4DB"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shd w:val="clear" w:color="auto" w:fill="C7E3D5"/>
          </w:tcPr>
          <w:p w14:paraId="5BBA5F95"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shd w:val="clear" w:color="auto" w:fill="C7E3D5"/>
          </w:tcPr>
          <w:p w14:paraId="17F1B1CB"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3" w:type="pct"/>
            <w:shd w:val="clear" w:color="auto" w:fill="C7E3D5"/>
          </w:tcPr>
          <w:p w14:paraId="2E3E8A58"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5" w:type="pct"/>
            <w:shd w:val="clear" w:color="auto" w:fill="C7E3D5"/>
          </w:tcPr>
          <w:p w14:paraId="304E2464"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3" w:type="pct"/>
            <w:shd w:val="clear" w:color="auto" w:fill="C7E3D5"/>
          </w:tcPr>
          <w:p w14:paraId="40D6E2AD"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shd w:val="clear" w:color="auto" w:fill="C7E3D5"/>
          </w:tcPr>
          <w:p w14:paraId="0EC2D23B"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shd w:val="clear" w:color="auto" w:fill="C7E3D5"/>
          </w:tcPr>
          <w:p w14:paraId="6307CA91"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5" w:type="pct"/>
            <w:shd w:val="clear" w:color="auto" w:fill="C7E3D5"/>
          </w:tcPr>
          <w:p w14:paraId="3CF3122A"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shd w:val="clear" w:color="auto" w:fill="C7E3D5"/>
          </w:tcPr>
          <w:p w14:paraId="540CA7E7"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3" w:type="pct"/>
          </w:tcPr>
          <w:p w14:paraId="0492302C"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774EC6FF"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3" w:type="pct"/>
          </w:tcPr>
          <w:p w14:paraId="24351BA0"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24718DB0"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56" w:type="pct"/>
          </w:tcPr>
          <w:p w14:paraId="33555422"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r>
      <w:tr w:rsidR="00622884" w:rsidRPr="00622884" w14:paraId="4B71153F" w14:textId="77777777" w:rsidTr="00622884">
        <w:trPr>
          <w:trHeight w:val="92"/>
          <w:jc w:val="center"/>
        </w:trPr>
        <w:tc>
          <w:tcPr>
            <w:tcW w:w="245" w:type="pct"/>
            <w:vAlign w:val="center"/>
          </w:tcPr>
          <w:p w14:paraId="10A268D8" w14:textId="77777777" w:rsidR="00622884" w:rsidRPr="00622884" w:rsidRDefault="00622884" w:rsidP="00622884">
            <w:pPr>
              <w:spacing w:after="0" w:line="240" w:lineRule="auto"/>
              <w:jc w:val="center"/>
              <w:rPr>
                <w:rFonts w:ascii="Garamond" w:eastAsia="SimSun" w:hAnsi="Garamond" w:cs="Calibri Light"/>
                <w:b/>
                <w:bCs/>
                <w:sz w:val="12"/>
                <w:szCs w:val="12"/>
                <w:lang w:eastAsia="en-US"/>
              </w:rPr>
            </w:pPr>
            <w:r w:rsidRPr="00622884">
              <w:rPr>
                <w:rFonts w:ascii="Garamond" w:eastAsia="SimSun" w:hAnsi="Garamond" w:cs="Times New Roman"/>
                <w:b/>
                <w:sz w:val="12"/>
                <w:szCs w:val="12"/>
                <w:lang w:eastAsia="en-US" w:bidi="sq-AL"/>
              </w:rPr>
              <w:t>12</w:t>
            </w:r>
          </w:p>
        </w:tc>
        <w:tc>
          <w:tcPr>
            <w:tcW w:w="1943" w:type="pct"/>
            <w:vAlign w:val="center"/>
          </w:tcPr>
          <w:p w14:paraId="419CCE8E" w14:textId="77777777" w:rsidR="00622884" w:rsidRPr="00622884" w:rsidRDefault="00622884" w:rsidP="00622884">
            <w:pPr>
              <w:spacing w:after="0" w:line="240" w:lineRule="auto"/>
              <w:jc w:val="left"/>
              <w:rPr>
                <w:rFonts w:ascii="Garamond" w:eastAsia="SimSun" w:hAnsi="Garamond" w:cs="Calibri Light"/>
                <w:b/>
                <w:bCs/>
                <w:sz w:val="12"/>
                <w:szCs w:val="12"/>
                <w:u w:val="single"/>
                <w:lang w:eastAsia="en-US"/>
              </w:rPr>
            </w:pPr>
            <w:r w:rsidRPr="00622884">
              <w:rPr>
                <w:rFonts w:ascii="Garamond" w:eastAsia="SimSun" w:hAnsi="Garamond" w:cs="Times New Roman"/>
                <w:sz w:val="12"/>
                <w:szCs w:val="12"/>
                <w:lang w:eastAsia="en-US" w:bidi="sq-AL"/>
              </w:rPr>
              <w:t>Mbrojtja e fermerëve: Programet e kompensimit dhe ndihmës për rimëkëmbjen nga fatkeqësitë</w:t>
            </w:r>
          </w:p>
        </w:tc>
        <w:tc>
          <w:tcPr>
            <w:tcW w:w="509" w:type="pct"/>
            <w:vAlign w:val="center"/>
          </w:tcPr>
          <w:p w14:paraId="37ACFE3F" w14:textId="77777777" w:rsidR="00622884" w:rsidRPr="00622884" w:rsidRDefault="00622884" w:rsidP="00622884">
            <w:pPr>
              <w:spacing w:after="0" w:line="240" w:lineRule="auto"/>
              <w:jc w:val="center"/>
              <w:rPr>
                <w:rFonts w:ascii="Garamond" w:eastAsia="SimSun" w:hAnsi="Garamond" w:cs="Calibri Light"/>
                <w:sz w:val="12"/>
                <w:szCs w:val="12"/>
                <w:lang w:eastAsia="en-US"/>
              </w:rPr>
            </w:pPr>
            <w:r w:rsidRPr="00622884">
              <w:rPr>
                <w:rFonts w:ascii="Garamond" w:eastAsia="SimSun" w:hAnsi="Garamond" w:cs="Times New Roman"/>
                <w:sz w:val="12"/>
                <w:szCs w:val="12"/>
                <w:lang w:eastAsia="en-US" w:bidi="sq-AL"/>
              </w:rPr>
              <w:t>MBZHR</w:t>
            </w:r>
          </w:p>
        </w:tc>
        <w:tc>
          <w:tcPr>
            <w:tcW w:w="154" w:type="pct"/>
          </w:tcPr>
          <w:p w14:paraId="02A27681"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shd w:val="clear" w:color="auto" w:fill="FFFFFF"/>
          </w:tcPr>
          <w:p w14:paraId="2DA8EE82"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4" w:type="pct"/>
            <w:shd w:val="clear" w:color="auto" w:fill="FFFFFF"/>
          </w:tcPr>
          <w:p w14:paraId="44D2BB2F"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shd w:val="clear" w:color="auto" w:fill="C7E3D5"/>
          </w:tcPr>
          <w:p w14:paraId="6363CF44"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shd w:val="clear" w:color="auto" w:fill="C7E3D5"/>
          </w:tcPr>
          <w:p w14:paraId="071351B4"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3" w:type="pct"/>
            <w:shd w:val="clear" w:color="auto" w:fill="C7E3D5"/>
          </w:tcPr>
          <w:p w14:paraId="0B320C62"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5" w:type="pct"/>
            <w:shd w:val="clear" w:color="auto" w:fill="C7E3D5"/>
          </w:tcPr>
          <w:p w14:paraId="1A11C29A"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3" w:type="pct"/>
            <w:shd w:val="clear" w:color="auto" w:fill="C7E3D5"/>
          </w:tcPr>
          <w:p w14:paraId="36634DDC"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shd w:val="clear" w:color="auto" w:fill="C7E3D5"/>
          </w:tcPr>
          <w:p w14:paraId="1AAEC871"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shd w:val="clear" w:color="auto" w:fill="C7E3D5"/>
          </w:tcPr>
          <w:p w14:paraId="3E4C5085"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5" w:type="pct"/>
            <w:shd w:val="clear" w:color="auto" w:fill="C7E3D5"/>
          </w:tcPr>
          <w:p w14:paraId="10B9E45F"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shd w:val="clear" w:color="auto" w:fill="C7E3D5"/>
          </w:tcPr>
          <w:p w14:paraId="467AD31F"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3" w:type="pct"/>
            <w:shd w:val="clear" w:color="auto" w:fill="C7E3D5"/>
          </w:tcPr>
          <w:p w14:paraId="71023875"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shd w:val="clear" w:color="auto" w:fill="FFFFFF"/>
          </w:tcPr>
          <w:p w14:paraId="7D3CC56E"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3" w:type="pct"/>
            <w:shd w:val="clear" w:color="auto" w:fill="FFFFFF"/>
          </w:tcPr>
          <w:p w14:paraId="1F6F0094"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shd w:val="clear" w:color="auto" w:fill="FFFFFF"/>
          </w:tcPr>
          <w:p w14:paraId="0075EBBC"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56" w:type="pct"/>
            <w:shd w:val="clear" w:color="auto" w:fill="FFFFFF"/>
          </w:tcPr>
          <w:p w14:paraId="46E14717"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r>
      <w:tr w:rsidR="00622884" w:rsidRPr="00622884" w14:paraId="24B423D8" w14:textId="77777777" w:rsidTr="00622884">
        <w:trPr>
          <w:trHeight w:val="97"/>
          <w:jc w:val="center"/>
        </w:trPr>
        <w:tc>
          <w:tcPr>
            <w:tcW w:w="245" w:type="pct"/>
            <w:vAlign w:val="center"/>
          </w:tcPr>
          <w:p w14:paraId="4C48F9A9" w14:textId="77777777" w:rsidR="00622884" w:rsidRPr="00622884" w:rsidRDefault="00622884" w:rsidP="00622884">
            <w:pPr>
              <w:spacing w:after="0" w:line="240" w:lineRule="auto"/>
              <w:jc w:val="center"/>
              <w:rPr>
                <w:rFonts w:ascii="Garamond" w:eastAsia="SimSun" w:hAnsi="Garamond" w:cs="Calibri Light"/>
                <w:b/>
                <w:bCs/>
                <w:sz w:val="12"/>
                <w:szCs w:val="12"/>
                <w:lang w:eastAsia="en-US"/>
              </w:rPr>
            </w:pPr>
            <w:r w:rsidRPr="00622884">
              <w:rPr>
                <w:rFonts w:ascii="Garamond" w:eastAsia="SimSun" w:hAnsi="Garamond" w:cs="Times New Roman"/>
                <w:b/>
                <w:sz w:val="12"/>
                <w:szCs w:val="12"/>
                <w:lang w:eastAsia="en-US" w:bidi="sq-AL"/>
              </w:rPr>
              <w:t>13</w:t>
            </w:r>
          </w:p>
        </w:tc>
        <w:tc>
          <w:tcPr>
            <w:tcW w:w="1943" w:type="pct"/>
            <w:vAlign w:val="center"/>
          </w:tcPr>
          <w:p w14:paraId="269EB830" w14:textId="77777777" w:rsidR="00622884" w:rsidRPr="00622884" w:rsidRDefault="00622884" w:rsidP="00622884">
            <w:pPr>
              <w:spacing w:after="0" w:line="240" w:lineRule="auto"/>
              <w:jc w:val="left"/>
              <w:rPr>
                <w:rFonts w:ascii="Garamond" w:eastAsia="SimSun" w:hAnsi="Garamond" w:cs="Calibri Light"/>
                <w:b/>
                <w:bCs/>
                <w:sz w:val="12"/>
                <w:szCs w:val="12"/>
                <w:u w:val="single"/>
                <w:lang w:eastAsia="en-US"/>
              </w:rPr>
            </w:pPr>
            <w:r w:rsidRPr="00622884">
              <w:rPr>
                <w:rFonts w:ascii="Garamond" w:eastAsia="SimSun" w:hAnsi="Garamond" w:cs="Times New Roman"/>
                <w:sz w:val="12"/>
                <w:szCs w:val="12"/>
                <w:lang w:eastAsia="en-US" w:bidi="sq-AL"/>
              </w:rPr>
              <w:t>Plani i veprimit për llojet invazive në kushtet e ndryshueshme klimatike</w:t>
            </w:r>
          </w:p>
        </w:tc>
        <w:tc>
          <w:tcPr>
            <w:tcW w:w="509" w:type="pct"/>
            <w:vAlign w:val="center"/>
          </w:tcPr>
          <w:p w14:paraId="320CE394" w14:textId="77777777" w:rsidR="00622884" w:rsidRPr="00622884" w:rsidRDefault="00622884" w:rsidP="00622884">
            <w:pPr>
              <w:spacing w:after="0" w:line="240" w:lineRule="auto"/>
              <w:jc w:val="center"/>
              <w:rPr>
                <w:rFonts w:ascii="Garamond" w:eastAsia="SimSun" w:hAnsi="Garamond" w:cs="Calibri Light"/>
                <w:sz w:val="12"/>
                <w:szCs w:val="12"/>
                <w:lang w:eastAsia="en-US"/>
              </w:rPr>
            </w:pPr>
            <w:r w:rsidRPr="00622884">
              <w:rPr>
                <w:rFonts w:ascii="Garamond" w:eastAsia="SimSun" w:hAnsi="Garamond" w:cs="Times New Roman"/>
                <w:sz w:val="12"/>
                <w:szCs w:val="12"/>
                <w:lang w:eastAsia="en-US" w:bidi="sq-AL"/>
              </w:rPr>
              <w:t>MBZHR</w:t>
            </w:r>
          </w:p>
        </w:tc>
        <w:tc>
          <w:tcPr>
            <w:tcW w:w="154" w:type="pct"/>
          </w:tcPr>
          <w:p w14:paraId="33836BF3"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53D1122F"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4" w:type="pct"/>
          </w:tcPr>
          <w:p w14:paraId="16B364CD"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7B2ECA23"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shd w:val="clear" w:color="auto" w:fill="C7E3D5"/>
          </w:tcPr>
          <w:p w14:paraId="4D0D8D5C"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3" w:type="pct"/>
            <w:shd w:val="clear" w:color="auto" w:fill="C7E3D5"/>
          </w:tcPr>
          <w:p w14:paraId="1BF4EAF3"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5" w:type="pct"/>
            <w:shd w:val="clear" w:color="auto" w:fill="C7E3D5"/>
          </w:tcPr>
          <w:p w14:paraId="1DE62EAB"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3" w:type="pct"/>
          </w:tcPr>
          <w:p w14:paraId="2299070D"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63B048A6"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7CDFFAB8"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5" w:type="pct"/>
          </w:tcPr>
          <w:p w14:paraId="37A24CB2"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68651936"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3" w:type="pct"/>
          </w:tcPr>
          <w:p w14:paraId="09851093"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50D996B7"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3" w:type="pct"/>
          </w:tcPr>
          <w:p w14:paraId="4677D6FA"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7E7F0F41"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56" w:type="pct"/>
          </w:tcPr>
          <w:p w14:paraId="6B793A08"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r>
      <w:tr w:rsidR="00622884" w:rsidRPr="00622884" w14:paraId="7C220BE8" w14:textId="77777777" w:rsidTr="00622884">
        <w:trPr>
          <w:trHeight w:val="56"/>
          <w:jc w:val="center"/>
        </w:trPr>
        <w:tc>
          <w:tcPr>
            <w:tcW w:w="245" w:type="pct"/>
            <w:vAlign w:val="center"/>
          </w:tcPr>
          <w:p w14:paraId="2DCFCE57" w14:textId="77777777" w:rsidR="00622884" w:rsidRPr="00622884" w:rsidRDefault="00622884" w:rsidP="00622884">
            <w:pPr>
              <w:spacing w:after="0" w:line="240" w:lineRule="auto"/>
              <w:jc w:val="center"/>
              <w:rPr>
                <w:rFonts w:ascii="Garamond" w:eastAsia="SimSun" w:hAnsi="Garamond" w:cs="Calibri Light"/>
                <w:b/>
                <w:bCs/>
                <w:sz w:val="12"/>
                <w:szCs w:val="12"/>
                <w:lang w:eastAsia="en-US"/>
              </w:rPr>
            </w:pPr>
            <w:r w:rsidRPr="00622884">
              <w:rPr>
                <w:rFonts w:ascii="Garamond" w:eastAsia="SimSun" w:hAnsi="Garamond" w:cs="Times New Roman"/>
                <w:b/>
                <w:sz w:val="12"/>
                <w:szCs w:val="12"/>
                <w:lang w:eastAsia="en-US" w:bidi="sq-AL"/>
              </w:rPr>
              <w:t>14</w:t>
            </w:r>
          </w:p>
        </w:tc>
        <w:tc>
          <w:tcPr>
            <w:tcW w:w="1943" w:type="pct"/>
            <w:vAlign w:val="center"/>
          </w:tcPr>
          <w:p w14:paraId="182BB447" w14:textId="77777777" w:rsidR="00622884" w:rsidRPr="00622884" w:rsidRDefault="00622884" w:rsidP="00622884">
            <w:pPr>
              <w:spacing w:after="0" w:line="240" w:lineRule="auto"/>
              <w:jc w:val="left"/>
              <w:rPr>
                <w:rFonts w:ascii="Garamond" w:eastAsia="SimSun" w:hAnsi="Garamond" w:cs="Calibri Light"/>
                <w:b/>
                <w:bCs/>
                <w:sz w:val="12"/>
                <w:szCs w:val="12"/>
                <w:u w:val="single"/>
                <w:lang w:eastAsia="en-US"/>
              </w:rPr>
            </w:pPr>
            <w:r w:rsidRPr="00622884">
              <w:rPr>
                <w:rFonts w:ascii="Garamond" w:eastAsia="SimSun" w:hAnsi="Garamond" w:cs="Times New Roman"/>
                <w:sz w:val="12"/>
                <w:szCs w:val="12"/>
                <w:lang w:eastAsia="en-US" w:bidi="sq-AL"/>
              </w:rPr>
              <w:t>Forcimi i mbrojtjes nga përmbytjet: Restaurimi i brigjeve të lumenjve dhe zgjerimi i fushave aluvionale përgjatë lumenjve kryesorë të Shqipërisë</w:t>
            </w:r>
          </w:p>
        </w:tc>
        <w:tc>
          <w:tcPr>
            <w:tcW w:w="509" w:type="pct"/>
            <w:vAlign w:val="center"/>
          </w:tcPr>
          <w:p w14:paraId="5FAFC502" w14:textId="77777777" w:rsidR="00622884" w:rsidRPr="00622884" w:rsidRDefault="00622884" w:rsidP="00622884">
            <w:pPr>
              <w:spacing w:after="0" w:line="240" w:lineRule="auto"/>
              <w:jc w:val="center"/>
              <w:rPr>
                <w:rFonts w:ascii="Garamond" w:eastAsia="SimSun" w:hAnsi="Garamond" w:cs="Calibri Light"/>
                <w:sz w:val="12"/>
                <w:szCs w:val="12"/>
                <w:u w:val="single"/>
                <w:lang w:eastAsia="en-US"/>
              </w:rPr>
            </w:pPr>
            <w:r w:rsidRPr="00622884">
              <w:rPr>
                <w:rFonts w:ascii="Garamond" w:eastAsia="SimSun" w:hAnsi="Garamond" w:cs="Times New Roman"/>
                <w:sz w:val="12"/>
                <w:szCs w:val="12"/>
                <w:lang w:eastAsia="en-US" w:bidi="sq-AL"/>
              </w:rPr>
              <w:t>MBZHR, Bashkitë</w:t>
            </w:r>
          </w:p>
        </w:tc>
        <w:tc>
          <w:tcPr>
            <w:tcW w:w="154" w:type="pct"/>
            <w:shd w:val="clear" w:color="auto" w:fill="C7E3D5"/>
          </w:tcPr>
          <w:p w14:paraId="7525C6EC"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shd w:val="clear" w:color="auto" w:fill="C7E3D5"/>
          </w:tcPr>
          <w:p w14:paraId="454D4CD6"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4" w:type="pct"/>
            <w:shd w:val="clear" w:color="auto" w:fill="C7E3D5"/>
          </w:tcPr>
          <w:p w14:paraId="41898662"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shd w:val="clear" w:color="auto" w:fill="C7E3D5"/>
          </w:tcPr>
          <w:p w14:paraId="53F532DE"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shd w:val="clear" w:color="auto" w:fill="C7E3D5"/>
          </w:tcPr>
          <w:p w14:paraId="00AD639E"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3" w:type="pct"/>
            <w:shd w:val="clear" w:color="auto" w:fill="C7E3D5"/>
          </w:tcPr>
          <w:p w14:paraId="16D34645"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5" w:type="pct"/>
          </w:tcPr>
          <w:p w14:paraId="423B7C71"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3" w:type="pct"/>
          </w:tcPr>
          <w:p w14:paraId="7F21C2F1"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4D408F70"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40CB8724"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5" w:type="pct"/>
          </w:tcPr>
          <w:p w14:paraId="5B0C468B"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00FB33DE"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3" w:type="pct"/>
          </w:tcPr>
          <w:p w14:paraId="4001784E"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13712C12"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3" w:type="pct"/>
          </w:tcPr>
          <w:p w14:paraId="77B46469"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5E7D00FC"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56" w:type="pct"/>
          </w:tcPr>
          <w:p w14:paraId="7C9BB2AA"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r>
      <w:tr w:rsidR="00622884" w:rsidRPr="00622884" w14:paraId="4E06709E" w14:textId="77777777" w:rsidTr="00622884">
        <w:trPr>
          <w:trHeight w:val="229"/>
          <w:jc w:val="center"/>
        </w:trPr>
        <w:tc>
          <w:tcPr>
            <w:tcW w:w="245" w:type="pct"/>
            <w:vAlign w:val="center"/>
          </w:tcPr>
          <w:p w14:paraId="412FAFB4" w14:textId="77777777" w:rsidR="00622884" w:rsidRPr="00622884" w:rsidRDefault="00622884" w:rsidP="00622884">
            <w:pPr>
              <w:spacing w:after="0" w:line="240" w:lineRule="auto"/>
              <w:jc w:val="center"/>
              <w:rPr>
                <w:rFonts w:ascii="Garamond" w:eastAsia="SimSun" w:hAnsi="Garamond" w:cs="Calibri Light"/>
                <w:b/>
                <w:bCs/>
                <w:sz w:val="12"/>
                <w:szCs w:val="12"/>
                <w:lang w:eastAsia="en-US"/>
              </w:rPr>
            </w:pPr>
            <w:r w:rsidRPr="00622884">
              <w:rPr>
                <w:rFonts w:ascii="Garamond" w:eastAsia="SimSun" w:hAnsi="Garamond" w:cs="Times New Roman"/>
                <w:b/>
                <w:sz w:val="12"/>
                <w:szCs w:val="12"/>
                <w:lang w:eastAsia="en-US" w:bidi="sq-AL"/>
              </w:rPr>
              <w:t>15</w:t>
            </w:r>
          </w:p>
        </w:tc>
        <w:tc>
          <w:tcPr>
            <w:tcW w:w="1943" w:type="pct"/>
            <w:vAlign w:val="center"/>
          </w:tcPr>
          <w:p w14:paraId="5D745FEF" w14:textId="77777777" w:rsidR="00622884" w:rsidRPr="00622884" w:rsidRDefault="00622884" w:rsidP="00622884">
            <w:pPr>
              <w:spacing w:after="0" w:line="240" w:lineRule="auto"/>
              <w:jc w:val="left"/>
              <w:rPr>
                <w:rFonts w:ascii="Garamond" w:eastAsia="SimSun" w:hAnsi="Garamond" w:cs="Calibri Light"/>
                <w:b/>
                <w:bCs/>
                <w:sz w:val="12"/>
                <w:szCs w:val="12"/>
                <w:u w:val="single"/>
                <w:lang w:eastAsia="en-US"/>
              </w:rPr>
            </w:pPr>
            <w:r w:rsidRPr="00622884">
              <w:rPr>
                <w:rFonts w:ascii="Garamond" w:eastAsia="SimSun" w:hAnsi="Garamond" w:cs="Times New Roman"/>
                <w:sz w:val="12"/>
                <w:szCs w:val="12"/>
                <w:lang w:eastAsia="en-US" w:bidi="sq-AL"/>
              </w:rPr>
              <w:t>Zbatimi i krijimit të habitatit dhe zgjidhjeve të bazuara në natyrë për të luftuar erozionin e tokës</w:t>
            </w:r>
          </w:p>
        </w:tc>
        <w:tc>
          <w:tcPr>
            <w:tcW w:w="509" w:type="pct"/>
            <w:vAlign w:val="center"/>
          </w:tcPr>
          <w:p w14:paraId="549141F8" w14:textId="77777777" w:rsidR="00622884" w:rsidRPr="00622884" w:rsidRDefault="00622884" w:rsidP="00622884">
            <w:pPr>
              <w:spacing w:after="0" w:line="240" w:lineRule="auto"/>
              <w:jc w:val="center"/>
              <w:rPr>
                <w:rFonts w:ascii="Garamond" w:eastAsia="SimSun" w:hAnsi="Garamond" w:cs="Calibri Light"/>
                <w:sz w:val="12"/>
                <w:szCs w:val="12"/>
                <w:u w:val="single"/>
                <w:lang w:eastAsia="en-US"/>
              </w:rPr>
            </w:pPr>
            <w:r w:rsidRPr="00622884">
              <w:rPr>
                <w:rFonts w:ascii="Garamond" w:eastAsia="SimSun" w:hAnsi="Garamond" w:cs="Times New Roman"/>
                <w:sz w:val="12"/>
                <w:szCs w:val="12"/>
                <w:lang w:eastAsia="en-US" w:bidi="sq-AL"/>
              </w:rPr>
              <w:t>MBZHR, Bashkitë</w:t>
            </w:r>
          </w:p>
        </w:tc>
        <w:tc>
          <w:tcPr>
            <w:tcW w:w="154" w:type="pct"/>
          </w:tcPr>
          <w:p w14:paraId="639CA161"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0AE801B9"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4" w:type="pct"/>
            <w:shd w:val="clear" w:color="auto" w:fill="C7E3D5"/>
          </w:tcPr>
          <w:p w14:paraId="0196D6E0"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shd w:val="clear" w:color="auto" w:fill="C7E3D5"/>
          </w:tcPr>
          <w:p w14:paraId="12BDF97D"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shd w:val="clear" w:color="auto" w:fill="C7E3D5"/>
          </w:tcPr>
          <w:p w14:paraId="1D18E709"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3" w:type="pct"/>
            <w:shd w:val="clear" w:color="auto" w:fill="C7E3D5"/>
          </w:tcPr>
          <w:p w14:paraId="5F641334"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5" w:type="pct"/>
            <w:shd w:val="clear" w:color="auto" w:fill="C7E3D5"/>
          </w:tcPr>
          <w:p w14:paraId="1D41ACAA"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3" w:type="pct"/>
            <w:shd w:val="clear" w:color="auto" w:fill="C7E3D5"/>
          </w:tcPr>
          <w:p w14:paraId="7B89ADCD"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6BDD8C94"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2D66F464"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5" w:type="pct"/>
          </w:tcPr>
          <w:p w14:paraId="61BA6616"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46EB37F4"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3" w:type="pct"/>
          </w:tcPr>
          <w:p w14:paraId="48CE5CF0"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2FD0401A"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3" w:type="pct"/>
          </w:tcPr>
          <w:p w14:paraId="6337E1E9"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71E297E2"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56" w:type="pct"/>
          </w:tcPr>
          <w:p w14:paraId="1CE9BD0E"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r>
      <w:tr w:rsidR="00622884" w:rsidRPr="00622884" w14:paraId="6ADDB39F" w14:textId="77777777" w:rsidTr="00622884">
        <w:trPr>
          <w:trHeight w:val="285"/>
          <w:jc w:val="center"/>
        </w:trPr>
        <w:tc>
          <w:tcPr>
            <w:tcW w:w="245" w:type="pct"/>
            <w:vAlign w:val="center"/>
          </w:tcPr>
          <w:p w14:paraId="681B2F85" w14:textId="77777777" w:rsidR="00622884" w:rsidRPr="00622884" w:rsidRDefault="00622884" w:rsidP="00622884">
            <w:pPr>
              <w:spacing w:after="0" w:line="240" w:lineRule="auto"/>
              <w:jc w:val="center"/>
              <w:rPr>
                <w:rFonts w:ascii="Garamond" w:eastAsia="SimSun" w:hAnsi="Garamond" w:cs="Calibri Light"/>
                <w:b/>
                <w:bCs/>
                <w:sz w:val="12"/>
                <w:szCs w:val="12"/>
                <w:lang w:eastAsia="en-US"/>
              </w:rPr>
            </w:pPr>
            <w:r w:rsidRPr="00622884">
              <w:rPr>
                <w:rFonts w:ascii="Garamond" w:eastAsia="SimSun" w:hAnsi="Garamond" w:cs="Times New Roman"/>
                <w:b/>
                <w:sz w:val="12"/>
                <w:szCs w:val="12"/>
                <w:lang w:eastAsia="en-US" w:bidi="sq-AL"/>
              </w:rPr>
              <w:t>16</w:t>
            </w:r>
          </w:p>
        </w:tc>
        <w:tc>
          <w:tcPr>
            <w:tcW w:w="1943" w:type="pct"/>
            <w:vAlign w:val="center"/>
          </w:tcPr>
          <w:p w14:paraId="75FADE26" w14:textId="77777777" w:rsidR="00622884" w:rsidRPr="00622884" w:rsidRDefault="00622884" w:rsidP="00622884">
            <w:pPr>
              <w:spacing w:after="0" w:line="240" w:lineRule="auto"/>
              <w:jc w:val="left"/>
              <w:rPr>
                <w:rFonts w:ascii="Garamond" w:eastAsia="SimSun" w:hAnsi="Garamond" w:cs="Calibri Light"/>
                <w:b/>
                <w:bCs/>
                <w:sz w:val="12"/>
                <w:szCs w:val="12"/>
                <w:u w:val="single"/>
                <w:lang w:eastAsia="en-US"/>
              </w:rPr>
            </w:pPr>
            <w:r w:rsidRPr="00622884">
              <w:rPr>
                <w:rFonts w:ascii="Garamond" w:eastAsia="SimSun" w:hAnsi="Garamond" w:cs="Times New Roman"/>
                <w:sz w:val="12"/>
                <w:szCs w:val="12"/>
                <w:lang w:eastAsia="en-US" w:bidi="sq-AL"/>
              </w:rPr>
              <w:t xml:space="preserve">Rritja e kapaciteteve të IGEO-s për monitorimin bregdetar dhe ofrimin e të dhënave mbi ndryshimet dhe risqet mjedisore </w:t>
            </w:r>
          </w:p>
        </w:tc>
        <w:tc>
          <w:tcPr>
            <w:tcW w:w="509" w:type="pct"/>
            <w:vAlign w:val="center"/>
          </w:tcPr>
          <w:p w14:paraId="34295A08" w14:textId="77777777" w:rsidR="00622884" w:rsidRPr="00622884" w:rsidRDefault="00622884" w:rsidP="00622884">
            <w:pPr>
              <w:spacing w:after="0" w:line="240" w:lineRule="auto"/>
              <w:jc w:val="center"/>
              <w:rPr>
                <w:rFonts w:ascii="Garamond" w:eastAsia="SimSun" w:hAnsi="Garamond" w:cs="Calibri Light"/>
                <w:sz w:val="12"/>
                <w:szCs w:val="12"/>
                <w:lang w:eastAsia="en-US"/>
              </w:rPr>
            </w:pPr>
            <w:r w:rsidRPr="00622884">
              <w:rPr>
                <w:rFonts w:ascii="Garamond" w:eastAsia="SimSun" w:hAnsi="Garamond" w:cs="Times New Roman"/>
                <w:sz w:val="12"/>
                <w:szCs w:val="12"/>
                <w:lang w:eastAsia="en-US" w:bidi="sq-AL"/>
              </w:rPr>
              <w:t>MBZHR</w:t>
            </w:r>
          </w:p>
          <w:p w14:paraId="316FB30F" w14:textId="77777777" w:rsidR="00622884" w:rsidRPr="00622884" w:rsidRDefault="00622884" w:rsidP="00622884">
            <w:pPr>
              <w:spacing w:after="0" w:line="240" w:lineRule="auto"/>
              <w:jc w:val="center"/>
              <w:rPr>
                <w:rFonts w:ascii="Garamond" w:eastAsia="SimSun" w:hAnsi="Garamond" w:cs="Calibri Light"/>
                <w:sz w:val="12"/>
                <w:szCs w:val="12"/>
                <w:u w:val="single"/>
                <w:lang w:eastAsia="en-US"/>
              </w:rPr>
            </w:pPr>
          </w:p>
        </w:tc>
        <w:tc>
          <w:tcPr>
            <w:tcW w:w="154" w:type="pct"/>
          </w:tcPr>
          <w:p w14:paraId="25350B3C"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7EFCCCE4"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4" w:type="pct"/>
            <w:shd w:val="clear" w:color="auto" w:fill="C7E3D5"/>
          </w:tcPr>
          <w:p w14:paraId="434D4DB3"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shd w:val="clear" w:color="auto" w:fill="C7E3D5"/>
          </w:tcPr>
          <w:p w14:paraId="07AAA412"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38650A6D"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3" w:type="pct"/>
          </w:tcPr>
          <w:p w14:paraId="174DC0CE"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5" w:type="pct"/>
          </w:tcPr>
          <w:p w14:paraId="1CEA6412"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3" w:type="pct"/>
          </w:tcPr>
          <w:p w14:paraId="670DDA15"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197445C7"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1CA59739"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5" w:type="pct"/>
          </w:tcPr>
          <w:p w14:paraId="17A71477"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7FC8D9E4"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3" w:type="pct"/>
          </w:tcPr>
          <w:p w14:paraId="575BF6AA"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7E12B4E4"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3" w:type="pct"/>
          </w:tcPr>
          <w:p w14:paraId="2EB28691"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11E12658"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56" w:type="pct"/>
          </w:tcPr>
          <w:p w14:paraId="0588C441"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r>
      <w:tr w:rsidR="00622884" w:rsidRPr="00622884" w14:paraId="613117BE" w14:textId="77777777" w:rsidTr="00622884">
        <w:trPr>
          <w:trHeight w:val="135"/>
          <w:jc w:val="center"/>
        </w:trPr>
        <w:tc>
          <w:tcPr>
            <w:tcW w:w="245" w:type="pct"/>
            <w:vAlign w:val="center"/>
          </w:tcPr>
          <w:p w14:paraId="5640DBF0" w14:textId="77777777" w:rsidR="00622884" w:rsidRPr="00622884" w:rsidRDefault="00622884" w:rsidP="00622884">
            <w:pPr>
              <w:spacing w:after="0" w:line="240" w:lineRule="auto"/>
              <w:jc w:val="center"/>
              <w:rPr>
                <w:rFonts w:ascii="Garamond" w:eastAsia="SimSun" w:hAnsi="Garamond" w:cs="Calibri Light"/>
                <w:b/>
                <w:bCs/>
                <w:sz w:val="12"/>
                <w:szCs w:val="12"/>
                <w:lang w:eastAsia="en-US"/>
              </w:rPr>
            </w:pPr>
            <w:r w:rsidRPr="00622884">
              <w:rPr>
                <w:rFonts w:ascii="Garamond" w:eastAsia="SimSun" w:hAnsi="Garamond" w:cs="Times New Roman"/>
                <w:b/>
                <w:sz w:val="12"/>
                <w:szCs w:val="12"/>
                <w:lang w:eastAsia="en-US" w:bidi="sq-AL"/>
              </w:rPr>
              <w:t>17</w:t>
            </w:r>
          </w:p>
        </w:tc>
        <w:tc>
          <w:tcPr>
            <w:tcW w:w="1943" w:type="pct"/>
            <w:vAlign w:val="center"/>
          </w:tcPr>
          <w:p w14:paraId="114265B9" w14:textId="77777777" w:rsidR="00622884" w:rsidRPr="00622884" w:rsidRDefault="00622884" w:rsidP="00622884">
            <w:pPr>
              <w:spacing w:after="0" w:line="240" w:lineRule="auto"/>
              <w:jc w:val="left"/>
              <w:rPr>
                <w:rFonts w:ascii="Garamond" w:eastAsia="SimSun" w:hAnsi="Garamond" w:cs="Calibri Light"/>
                <w:b/>
                <w:bCs/>
                <w:sz w:val="12"/>
                <w:szCs w:val="12"/>
                <w:u w:val="single"/>
                <w:lang w:eastAsia="en-US"/>
              </w:rPr>
            </w:pPr>
            <w:r w:rsidRPr="00622884">
              <w:rPr>
                <w:rFonts w:ascii="Garamond" w:eastAsia="SimSun" w:hAnsi="Garamond" w:cs="Times New Roman"/>
                <w:sz w:val="12"/>
                <w:szCs w:val="12"/>
                <w:lang w:eastAsia="en-US" w:bidi="sq-AL"/>
              </w:rPr>
              <w:t>Zgjerimi dhe modernizimi i sistemeve të ujitjes për përmirësimin e aftësive ripërtëritëse në bujqësi</w:t>
            </w:r>
          </w:p>
        </w:tc>
        <w:tc>
          <w:tcPr>
            <w:tcW w:w="509" w:type="pct"/>
            <w:vAlign w:val="center"/>
          </w:tcPr>
          <w:p w14:paraId="3B453463" w14:textId="77777777" w:rsidR="00622884" w:rsidRPr="00622884" w:rsidRDefault="00622884" w:rsidP="00622884">
            <w:pPr>
              <w:spacing w:after="0" w:line="240" w:lineRule="auto"/>
              <w:jc w:val="center"/>
              <w:rPr>
                <w:rFonts w:ascii="Garamond" w:eastAsia="SimSun" w:hAnsi="Garamond" w:cs="Calibri Light"/>
                <w:sz w:val="12"/>
                <w:szCs w:val="12"/>
                <w:u w:val="single"/>
                <w:lang w:eastAsia="en-US"/>
              </w:rPr>
            </w:pPr>
            <w:r w:rsidRPr="00622884">
              <w:rPr>
                <w:rFonts w:ascii="Garamond" w:eastAsia="SimSun" w:hAnsi="Garamond" w:cs="Times New Roman"/>
                <w:sz w:val="12"/>
                <w:szCs w:val="12"/>
                <w:lang w:eastAsia="en-US" w:bidi="sq-AL"/>
              </w:rPr>
              <w:t>MBZHR, Bashkitë</w:t>
            </w:r>
          </w:p>
        </w:tc>
        <w:tc>
          <w:tcPr>
            <w:tcW w:w="154" w:type="pct"/>
          </w:tcPr>
          <w:p w14:paraId="68F78D0F"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shd w:val="clear" w:color="auto" w:fill="C7E3D5"/>
          </w:tcPr>
          <w:p w14:paraId="7BEB6325"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4" w:type="pct"/>
            <w:shd w:val="clear" w:color="auto" w:fill="C7E3D5"/>
          </w:tcPr>
          <w:p w14:paraId="10477576"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shd w:val="clear" w:color="auto" w:fill="C7E3D5"/>
          </w:tcPr>
          <w:p w14:paraId="2071DC74"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shd w:val="clear" w:color="auto" w:fill="C7E3D5"/>
          </w:tcPr>
          <w:p w14:paraId="4B23048A"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3" w:type="pct"/>
            <w:shd w:val="clear" w:color="auto" w:fill="C7E3D5"/>
          </w:tcPr>
          <w:p w14:paraId="1971F707"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5" w:type="pct"/>
            <w:shd w:val="clear" w:color="auto" w:fill="C7E3D5"/>
          </w:tcPr>
          <w:p w14:paraId="441E99AA"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3" w:type="pct"/>
          </w:tcPr>
          <w:p w14:paraId="64F9EB98"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62D00214"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60ECADA1"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5" w:type="pct"/>
          </w:tcPr>
          <w:p w14:paraId="72CDD6B2"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5DB2695E"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3" w:type="pct"/>
          </w:tcPr>
          <w:p w14:paraId="20811AFC"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13F4F53D"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3" w:type="pct"/>
          </w:tcPr>
          <w:p w14:paraId="3770E7C6"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01785CC4"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56" w:type="pct"/>
          </w:tcPr>
          <w:p w14:paraId="018B89C6"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r>
      <w:tr w:rsidR="00622884" w:rsidRPr="00622884" w14:paraId="50C91E5D" w14:textId="77777777" w:rsidTr="00622884">
        <w:trPr>
          <w:trHeight w:val="126"/>
          <w:jc w:val="center"/>
        </w:trPr>
        <w:tc>
          <w:tcPr>
            <w:tcW w:w="245" w:type="pct"/>
            <w:vAlign w:val="center"/>
          </w:tcPr>
          <w:p w14:paraId="3368BCCF" w14:textId="77777777" w:rsidR="00622884" w:rsidRPr="00622884" w:rsidRDefault="00622884" w:rsidP="00622884">
            <w:pPr>
              <w:spacing w:after="0" w:line="240" w:lineRule="auto"/>
              <w:jc w:val="center"/>
              <w:rPr>
                <w:rFonts w:ascii="Garamond" w:eastAsia="SimSun" w:hAnsi="Garamond" w:cs="Calibri Light"/>
                <w:b/>
                <w:bCs/>
                <w:sz w:val="12"/>
                <w:szCs w:val="12"/>
                <w:lang w:eastAsia="en-US"/>
              </w:rPr>
            </w:pPr>
            <w:r w:rsidRPr="00622884">
              <w:rPr>
                <w:rFonts w:ascii="Garamond" w:eastAsia="SimSun" w:hAnsi="Garamond" w:cs="Times New Roman"/>
                <w:b/>
                <w:sz w:val="12"/>
                <w:szCs w:val="12"/>
                <w:lang w:eastAsia="en-US" w:bidi="sq-AL"/>
              </w:rPr>
              <w:t>18</w:t>
            </w:r>
          </w:p>
        </w:tc>
        <w:tc>
          <w:tcPr>
            <w:tcW w:w="1943" w:type="pct"/>
            <w:vAlign w:val="center"/>
          </w:tcPr>
          <w:p w14:paraId="54202831" w14:textId="77777777" w:rsidR="00622884" w:rsidRPr="00622884" w:rsidRDefault="00622884" w:rsidP="00622884">
            <w:pPr>
              <w:spacing w:after="0" w:line="240" w:lineRule="auto"/>
              <w:jc w:val="left"/>
              <w:rPr>
                <w:rFonts w:ascii="Garamond" w:eastAsia="SimSun" w:hAnsi="Garamond" w:cs="Calibri Light"/>
                <w:b/>
                <w:bCs/>
                <w:sz w:val="12"/>
                <w:szCs w:val="12"/>
                <w:u w:val="single"/>
                <w:lang w:eastAsia="en-US"/>
              </w:rPr>
            </w:pPr>
            <w:r w:rsidRPr="00622884">
              <w:rPr>
                <w:rFonts w:ascii="Garamond" w:eastAsia="SimSun" w:hAnsi="Garamond" w:cs="Times New Roman"/>
                <w:sz w:val="12"/>
                <w:szCs w:val="12"/>
                <w:lang w:eastAsia="en-US" w:bidi="sq-AL"/>
              </w:rPr>
              <w:t>Siguria e qëndrueshme e ujit përmes Infrastrukturës së mbledhjes së ujit të shiut</w:t>
            </w:r>
          </w:p>
        </w:tc>
        <w:tc>
          <w:tcPr>
            <w:tcW w:w="509" w:type="pct"/>
            <w:vAlign w:val="center"/>
          </w:tcPr>
          <w:p w14:paraId="70B2B537" w14:textId="77777777" w:rsidR="00622884" w:rsidRPr="00622884" w:rsidRDefault="00622884" w:rsidP="00622884">
            <w:pPr>
              <w:spacing w:after="0" w:line="240" w:lineRule="auto"/>
              <w:jc w:val="center"/>
              <w:rPr>
                <w:rFonts w:ascii="Garamond" w:eastAsia="SimSun" w:hAnsi="Garamond" w:cs="Calibri Light"/>
                <w:sz w:val="12"/>
                <w:szCs w:val="12"/>
                <w:u w:val="single"/>
                <w:lang w:eastAsia="en-US"/>
              </w:rPr>
            </w:pPr>
            <w:r w:rsidRPr="00622884">
              <w:rPr>
                <w:rFonts w:ascii="Garamond" w:eastAsia="SimSun" w:hAnsi="Garamond" w:cs="Times New Roman"/>
                <w:sz w:val="12"/>
                <w:szCs w:val="12"/>
                <w:lang w:eastAsia="en-US" w:bidi="sq-AL"/>
              </w:rPr>
              <w:t>MBZHR, Bashkitë</w:t>
            </w:r>
          </w:p>
        </w:tc>
        <w:tc>
          <w:tcPr>
            <w:tcW w:w="154" w:type="pct"/>
          </w:tcPr>
          <w:p w14:paraId="12DF01E2"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shd w:val="clear" w:color="auto" w:fill="C7E3D5"/>
          </w:tcPr>
          <w:p w14:paraId="1057FB2B"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4" w:type="pct"/>
            <w:shd w:val="clear" w:color="auto" w:fill="C7E3D5"/>
          </w:tcPr>
          <w:p w14:paraId="1A4B5FB7"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shd w:val="clear" w:color="auto" w:fill="C7E3D5"/>
          </w:tcPr>
          <w:p w14:paraId="58A3A0B5"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shd w:val="clear" w:color="auto" w:fill="C7E3D5"/>
          </w:tcPr>
          <w:p w14:paraId="1859268F"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3" w:type="pct"/>
            <w:shd w:val="clear" w:color="auto" w:fill="C7E3D5"/>
          </w:tcPr>
          <w:p w14:paraId="2F28F785"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5" w:type="pct"/>
            <w:shd w:val="clear" w:color="auto" w:fill="C7E3D5"/>
          </w:tcPr>
          <w:p w14:paraId="51AC6C4D"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3" w:type="pct"/>
          </w:tcPr>
          <w:p w14:paraId="5EC3AEA5"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140FE6A1"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410F7D8A"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5" w:type="pct"/>
          </w:tcPr>
          <w:p w14:paraId="0A4FE2D0"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35BD0A93"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3" w:type="pct"/>
          </w:tcPr>
          <w:p w14:paraId="304B680B"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57E34224"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3" w:type="pct"/>
          </w:tcPr>
          <w:p w14:paraId="446D383E"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2D138235"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56" w:type="pct"/>
          </w:tcPr>
          <w:p w14:paraId="6077035E"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r>
      <w:tr w:rsidR="00622884" w:rsidRPr="00622884" w14:paraId="7A86990D" w14:textId="77777777" w:rsidTr="00622884">
        <w:trPr>
          <w:trHeight w:val="64"/>
          <w:jc w:val="center"/>
        </w:trPr>
        <w:tc>
          <w:tcPr>
            <w:tcW w:w="245" w:type="pct"/>
            <w:vAlign w:val="center"/>
          </w:tcPr>
          <w:p w14:paraId="4E9EC13B" w14:textId="77777777" w:rsidR="00622884" w:rsidRPr="00622884" w:rsidRDefault="00622884" w:rsidP="00622884">
            <w:pPr>
              <w:spacing w:after="0" w:line="240" w:lineRule="auto"/>
              <w:jc w:val="center"/>
              <w:rPr>
                <w:rFonts w:ascii="Garamond" w:eastAsia="SimSun" w:hAnsi="Garamond" w:cs="Calibri Light"/>
                <w:b/>
                <w:bCs/>
                <w:sz w:val="12"/>
                <w:szCs w:val="12"/>
                <w:lang w:eastAsia="en-US"/>
              </w:rPr>
            </w:pPr>
            <w:r w:rsidRPr="00622884">
              <w:rPr>
                <w:rFonts w:ascii="Garamond" w:eastAsia="SimSun" w:hAnsi="Garamond" w:cs="Times New Roman"/>
                <w:b/>
                <w:sz w:val="12"/>
                <w:szCs w:val="12"/>
                <w:lang w:eastAsia="en-US" w:bidi="sq-AL"/>
              </w:rPr>
              <w:t>19</w:t>
            </w:r>
          </w:p>
        </w:tc>
        <w:tc>
          <w:tcPr>
            <w:tcW w:w="1943" w:type="pct"/>
            <w:vAlign w:val="center"/>
          </w:tcPr>
          <w:p w14:paraId="3B67E068" w14:textId="77777777" w:rsidR="00622884" w:rsidRPr="00622884" w:rsidRDefault="00622884" w:rsidP="00622884">
            <w:pPr>
              <w:spacing w:after="0" w:line="240" w:lineRule="auto"/>
              <w:jc w:val="left"/>
              <w:rPr>
                <w:rFonts w:ascii="Garamond" w:eastAsia="SimSun" w:hAnsi="Garamond" w:cs="Calibri Light"/>
                <w:b/>
                <w:bCs/>
                <w:sz w:val="12"/>
                <w:szCs w:val="12"/>
                <w:u w:val="single"/>
                <w:lang w:eastAsia="en-US"/>
              </w:rPr>
            </w:pPr>
            <w:r w:rsidRPr="00622884">
              <w:rPr>
                <w:rFonts w:ascii="Garamond" w:eastAsia="SimSun" w:hAnsi="Garamond" w:cs="Times New Roman"/>
                <w:sz w:val="12"/>
                <w:szCs w:val="12"/>
                <w:lang w:eastAsia="en-US" w:bidi="sq-AL"/>
              </w:rPr>
              <w:t>Rritja e efikasitetit të pylltarisë nëpërmjet pajtueshmërisë rregullatore të BE-së</w:t>
            </w:r>
          </w:p>
        </w:tc>
        <w:tc>
          <w:tcPr>
            <w:tcW w:w="509" w:type="pct"/>
            <w:vAlign w:val="center"/>
          </w:tcPr>
          <w:p w14:paraId="1B18C5CF" w14:textId="77777777" w:rsidR="00622884" w:rsidRPr="00622884" w:rsidRDefault="00622884" w:rsidP="00622884">
            <w:pPr>
              <w:spacing w:after="0" w:line="240" w:lineRule="auto"/>
              <w:jc w:val="center"/>
              <w:rPr>
                <w:rFonts w:ascii="Garamond" w:eastAsia="SimSun" w:hAnsi="Garamond" w:cs="Calibri Light"/>
                <w:sz w:val="12"/>
                <w:szCs w:val="12"/>
                <w:u w:val="single"/>
                <w:lang w:eastAsia="en-US"/>
              </w:rPr>
            </w:pPr>
            <w:r w:rsidRPr="00622884">
              <w:rPr>
                <w:rFonts w:ascii="Garamond" w:eastAsia="SimSun" w:hAnsi="Garamond" w:cs="Times New Roman"/>
                <w:sz w:val="12"/>
                <w:szCs w:val="12"/>
                <w:lang w:eastAsia="en-US" w:bidi="sq-AL"/>
              </w:rPr>
              <w:t>MTM</w:t>
            </w:r>
          </w:p>
        </w:tc>
        <w:tc>
          <w:tcPr>
            <w:tcW w:w="154" w:type="pct"/>
            <w:shd w:val="clear" w:color="auto" w:fill="C7E3D5"/>
          </w:tcPr>
          <w:p w14:paraId="20694961"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shd w:val="clear" w:color="auto" w:fill="C7E3D5"/>
          </w:tcPr>
          <w:p w14:paraId="0230C40A"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4" w:type="pct"/>
            <w:shd w:val="clear" w:color="auto" w:fill="C7E3D5"/>
          </w:tcPr>
          <w:p w14:paraId="23DD7725"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shd w:val="clear" w:color="auto" w:fill="C7E3D5"/>
          </w:tcPr>
          <w:p w14:paraId="0230932D"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shd w:val="clear" w:color="auto" w:fill="C7E3D5"/>
          </w:tcPr>
          <w:p w14:paraId="1C8AC977"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3" w:type="pct"/>
            <w:shd w:val="clear" w:color="auto" w:fill="C7E3D5"/>
          </w:tcPr>
          <w:p w14:paraId="135FA2D7"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5" w:type="pct"/>
          </w:tcPr>
          <w:p w14:paraId="56F6DCF5"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3" w:type="pct"/>
          </w:tcPr>
          <w:p w14:paraId="57878E73"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0670BDC1"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2E2C3EC6"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5" w:type="pct"/>
          </w:tcPr>
          <w:p w14:paraId="72710B77"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75D1D6C1"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3" w:type="pct"/>
          </w:tcPr>
          <w:p w14:paraId="0E289424"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45C7DD74"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3" w:type="pct"/>
          </w:tcPr>
          <w:p w14:paraId="1F8783B5"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2CD4850E"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56" w:type="pct"/>
          </w:tcPr>
          <w:p w14:paraId="70013CCE"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r>
      <w:tr w:rsidR="00622884" w:rsidRPr="00622884" w14:paraId="601BABCA" w14:textId="77777777" w:rsidTr="00622884">
        <w:trPr>
          <w:trHeight w:val="187"/>
          <w:jc w:val="center"/>
        </w:trPr>
        <w:tc>
          <w:tcPr>
            <w:tcW w:w="245" w:type="pct"/>
            <w:vAlign w:val="center"/>
          </w:tcPr>
          <w:p w14:paraId="18AA8F6C" w14:textId="77777777" w:rsidR="00622884" w:rsidRPr="00622884" w:rsidRDefault="00622884" w:rsidP="00622884">
            <w:pPr>
              <w:spacing w:after="0" w:line="240" w:lineRule="auto"/>
              <w:jc w:val="center"/>
              <w:rPr>
                <w:rFonts w:ascii="Garamond" w:eastAsia="SimSun" w:hAnsi="Garamond" w:cs="Calibri Light"/>
                <w:b/>
                <w:bCs/>
                <w:sz w:val="12"/>
                <w:szCs w:val="12"/>
                <w:lang w:eastAsia="en-US"/>
              </w:rPr>
            </w:pPr>
            <w:r w:rsidRPr="00622884">
              <w:rPr>
                <w:rFonts w:ascii="Garamond" w:eastAsia="SimSun" w:hAnsi="Garamond" w:cs="Times New Roman"/>
                <w:b/>
                <w:sz w:val="12"/>
                <w:szCs w:val="12"/>
                <w:lang w:eastAsia="en-US" w:bidi="sq-AL"/>
              </w:rPr>
              <w:t>20</w:t>
            </w:r>
          </w:p>
        </w:tc>
        <w:tc>
          <w:tcPr>
            <w:tcW w:w="1943" w:type="pct"/>
            <w:vAlign w:val="center"/>
          </w:tcPr>
          <w:p w14:paraId="624CD3E9" w14:textId="77777777" w:rsidR="00622884" w:rsidRPr="00622884" w:rsidRDefault="00622884" w:rsidP="00622884">
            <w:pPr>
              <w:spacing w:after="0" w:line="240" w:lineRule="auto"/>
              <w:jc w:val="left"/>
              <w:rPr>
                <w:rFonts w:ascii="Garamond" w:eastAsia="SimSun" w:hAnsi="Garamond" w:cs="Calibri Light"/>
                <w:b/>
                <w:bCs/>
                <w:sz w:val="12"/>
                <w:szCs w:val="12"/>
                <w:u w:val="single"/>
                <w:lang w:eastAsia="en-US"/>
              </w:rPr>
            </w:pPr>
            <w:r w:rsidRPr="00622884">
              <w:rPr>
                <w:rFonts w:ascii="Garamond" w:eastAsia="SimSun" w:hAnsi="Garamond" w:cs="Times New Roman"/>
                <w:sz w:val="12"/>
                <w:szCs w:val="12"/>
                <w:lang w:eastAsia="en-US" w:bidi="sq-AL"/>
              </w:rPr>
              <w:t>Promovimi i pylltarisë së qëndrueshme: Fondi i pyllëzimit dhe nismat e prokurimit të gjelbër</w:t>
            </w:r>
          </w:p>
        </w:tc>
        <w:tc>
          <w:tcPr>
            <w:tcW w:w="509" w:type="pct"/>
            <w:vAlign w:val="center"/>
          </w:tcPr>
          <w:p w14:paraId="386A7BE5" w14:textId="77777777" w:rsidR="00622884" w:rsidRPr="00622884" w:rsidRDefault="00622884" w:rsidP="00622884">
            <w:pPr>
              <w:spacing w:after="0" w:line="240" w:lineRule="auto"/>
              <w:jc w:val="center"/>
              <w:rPr>
                <w:rFonts w:ascii="Garamond" w:eastAsia="SimSun" w:hAnsi="Garamond" w:cs="Calibri Light"/>
                <w:sz w:val="12"/>
                <w:szCs w:val="12"/>
                <w:u w:val="single"/>
                <w:lang w:eastAsia="en-US"/>
              </w:rPr>
            </w:pPr>
            <w:r w:rsidRPr="00622884">
              <w:rPr>
                <w:rFonts w:ascii="Garamond" w:eastAsia="SimSun" w:hAnsi="Garamond" w:cs="Times New Roman"/>
                <w:sz w:val="12"/>
                <w:szCs w:val="12"/>
                <w:lang w:eastAsia="en-US" w:bidi="sq-AL"/>
              </w:rPr>
              <w:t>MTM</w:t>
            </w:r>
          </w:p>
        </w:tc>
        <w:tc>
          <w:tcPr>
            <w:tcW w:w="154" w:type="pct"/>
          </w:tcPr>
          <w:p w14:paraId="681FC965"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267E134A"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4" w:type="pct"/>
            <w:shd w:val="clear" w:color="auto" w:fill="C7E3D5"/>
          </w:tcPr>
          <w:p w14:paraId="4DB6D16D"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shd w:val="clear" w:color="auto" w:fill="C7E3D5"/>
          </w:tcPr>
          <w:p w14:paraId="798D30BD"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shd w:val="clear" w:color="auto" w:fill="C7E3D5"/>
          </w:tcPr>
          <w:p w14:paraId="3893C350"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3" w:type="pct"/>
            <w:shd w:val="clear" w:color="auto" w:fill="C7E3D5"/>
          </w:tcPr>
          <w:p w14:paraId="17B8A942"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5" w:type="pct"/>
          </w:tcPr>
          <w:p w14:paraId="2242109C"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3" w:type="pct"/>
          </w:tcPr>
          <w:p w14:paraId="5B83FD06"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718EAC8A"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097E106A"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5" w:type="pct"/>
          </w:tcPr>
          <w:p w14:paraId="444863BC"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28270A1A"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3" w:type="pct"/>
          </w:tcPr>
          <w:p w14:paraId="7CBB4303"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3706B371"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3" w:type="pct"/>
          </w:tcPr>
          <w:p w14:paraId="171EB884"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109957DA"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56" w:type="pct"/>
          </w:tcPr>
          <w:p w14:paraId="65CC0D00"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r>
      <w:tr w:rsidR="00622884" w:rsidRPr="00622884" w14:paraId="343BE298" w14:textId="77777777" w:rsidTr="00622884">
        <w:trPr>
          <w:trHeight w:val="56"/>
          <w:jc w:val="center"/>
        </w:trPr>
        <w:tc>
          <w:tcPr>
            <w:tcW w:w="245" w:type="pct"/>
            <w:vAlign w:val="center"/>
          </w:tcPr>
          <w:p w14:paraId="209A48B7" w14:textId="77777777" w:rsidR="00622884" w:rsidRPr="00622884" w:rsidRDefault="00622884" w:rsidP="00622884">
            <w:pPr>
              <w:spacing w:after="0" w:line="240" w:lineRule="auto"/>
              <w:jc w:val="center"/>
              <w:rPr>
                <w:rFonts w:ascii="Garamond" w:eastAsia="SimSun" w:hAnsi="Garamond" w:cs="Calibri Light"/>
                <w:b/>
                <w:bCs/>
                <w:sz w:val="12"/>
                <w:szCs w:val="12"/>
                <w:lang w:eastAsia="en-US"/>
              </w:rPr>
            </w:pPr>
            <w:r w:rsidRPr="00622884">
              <w:rPr>
                <w:rFonts w:ascii="Garamond" w:eastAsia="SimSun" w:hAnsi="Garamond" w:cs="Times New Roman"/>
                <w:b/>
                <w:sz w:val="12"/>
                <w:szCs w:val="12"/>
                <w:lang w:eastAsia="en-US" w:bidi="sq-AL"/>
              </w:rPr>
              <w:lastRenderedPageBreak/>
              <w:t>21</w:t>
            </w:r>
          </w:p>
        </w:tc>
        <w:tc>
          <w:tcPr>
            <w:tcW w:w="1943" w:type="pct"/>
            <w:vAlign w:val="center"/>
          </w:tcPr>
          <w:p w14:paraId="59E45046" w14:textId="77777777" w:rsidR="00622884" w:rsidRPr="00622884" w:rsidRDefault="00622884" w:rsidP="00622884">
            <w:pPr>
              <w:spacing w:after="0" w:line="240" w:lineRule="auto"/>
              <w:jc w:val="left"/>
              <w:rPr>
                <w:rFonts w:ascii="Garamond" w:eastAsia="SimSun" w:hAnsi="Garamond" w:cs="Calibri Light"/>
                <w:b/>
                <w:bCs/>
                <w:sz w:val="12"/>
                <w:szCs w:val="12"/>
                <w:u w:val="single"/>
                <w:lang w:eastAsia="en-US"/>
              </w:rPr>
            </w:pPr>
            <w:r w:rsidRPr="00622884">
              <w:rPr>
                <w:rFonts w:ascii="Garamond" w:eastAsia="SimSun" w:hAnsi="Garamond" w:cs="Times New Roman"/>
                <w:sz w:val="12"/>
                <w:szCs w:val="12"/>
                <w:lang w:eastAsia="en-US" w:bidi="sq-AL"/>
              </w:rPr>
              <w:t xml:space="preserve">Rijetëzimi i tokave të dëmtuara: Integrimi i ZBN-së dhe PBE-së me praktikat e agropylltarisë </w:t>
            </w:r>
          </w:p>
        </w:tc>
        <w:tc>
          <w:tcPr>
            <w:tcW w:w="509" w:type="pct"/>
            <w:vAlign w:val="center"/>
          </w:tcPr>
          <w:p w14:paraId="26E86553" w14:textId="77777777" w:rsidR="00622884" w:rsidRPr="00622884" w:rsidRDefault="00622884" w:rsidP="00622884">
            <w:pPr>
              <w:spacing w:after="0" w:line="240" w:lineRule="auto"/>
              <w:jc w:val="center"/>
              <w:rPr>
                <w:rFonts w:ascii="Garamond" w:eastAsia="SimSun" w:hAnsi="Garamond" w:cs="Calibri Light"/>
                <w:sz w:val="12"/>
                <w:szCs w:val="12"/>
                <w:u w:val="single"/>
                <w:lang w:eastAsia="en-US"/>
              </w:rPr>
            </w:pPr>
            <w:r w:rsidRPr="00622884">
              <w:rPr>
                <w:rFonts w:ascii="Garamond" w:eastAsia="SimSun" w:hAnsi="Garamond" w:cs="Times New Roman"/>
                <w:sz w:val="12"/>
                <w:szCs w:val="12"/>
                <w:lang w:eastAsia="en-US" w:bidi="sq-AL"/>
              </w:rPr>
              <w:t>MM, Bashkitë</w:t>
            </w:r>
          </w:p>
        </w:tc>
        <w:tc>
          <w:tcPr>
            <w:tcW w:w="154" w:type="pct"/>
            <w:shd w:val="clear" w:color="auto" w:fill="C7E3D5"/>
          </w:tcPr>
          <w:p w14:paraId="3C83D71A"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shd w:val="clear" w:color="auto" w:fill="C7E3D5"/>
          </w:tcPr>
          <w:p w14:paraId="28DFD1E5"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4" w:type="pct"/>
            <w:shd w:val="clear" w:color="auto" w:fill="C7E3D5"/>
          </w:tcPr>
          <w:p w14:paraId="2D8402AD"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shd w:val="clear" w:color="auto" w:fill="C7E3D5"/>
          </w:tcPr>
          <w:p w14:paraId="3C678170"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shd w:val="clear" w:color="auto" w:fill="C7E3D5"/>
          </w:tcPr>
          <w:p w14:paraId="69DD7050"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3" w:type="pct"/>
            <w:shd w:val="clear" w:color="auto" w:fill="C7E3D5"/>
          </w:tcPr>
          <w:p w14:paraId="6F2AA9F7"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5" w:type="pct"/>
          </w:tcPr>
          <w:p w14:paraId="52C76111"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3" w:type="pct"/>
          </w:tcPr>
          <w:p w14:paraId="45E3983A"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4753B4BF"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7149EEC2"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5" w:type="pct"/>
          </w:tcPr>
          <w:p w14:paraId="3C596D7B"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4DC9DBD4"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3" w:type="pct"/>
          </w:tcPr>
          <w:p w14:paraId="54032D2E"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18E91D66"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3" w:type="pct"/>
          </w:tcPr>
          <w:p w14:paraId="421983CF"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67E2670D"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56" w:type="pct"/>
          </w:tcPr>
          <w:p w14:paraId="7398492B"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r>
      <w:tr w:rsidR="00622884" w:rsidRPr="00622884" w14:paraId="682C130E" w14:textId="77777777" w:rsidTr="00622884">
        <w:trPr>
          <w:trHeight w:val="56"/>
          <w:jc w:val="center"/>
        </w:trPr>
        <w:tc>
          <w:tcPr>
            <w:tcW w:w="245" w:type="pct"/>
            <w:vAlign w:val="center"/>
          </w:tcPr>
          <w:p w14:paraId="7870B150" w14:textId="77777777" w:rsidR="00622884" w:rsidRPr="00622884" w:rsidRDefault="00622884" w:rsidP="00622884">
            <w:pPr>
              <w:spacing w:after="0" w:line="240" w:lineRule="auto"/>
              <w:jc w:val="center"/>
              <w:rPr>
                <w:rFonts w:ascii="Garamond" w:eastAsia="SimSun" w:hAnsi="Garamond" w:cs="Calibri Light"/>
                <w:b/>
                <w:bCs/>
                <w:sz w:val="12"/>
                <w:szCs w:val="12"/>
                <w:lang w:eastAsia="en-US"/>
              </w:rPr>
            </w:pPr>
            <w:r w:rsidRPr="00622884">
              <w:rPr>
                <w:rFonts w:ascii="Garamond" w:eastAsia="SimSun" w:hAnsi="Garamond" w:cs="Times New Roman"/>
                <w:b/>
                <w:sz w:val="12"/>
                <w:szCs w:val="12"/>
                <w:lang w:eastAsia="en-US" w:bidi="sq-AL"/>
              </w:rPr>
              <w:t>22</w:t>
            </w:r>
          </w:p>
        </w:tc>
        <w:tc>
          <w:tcPr>
            <w:tcW w:w="1943" w:type="pct"/>
            <w:vAlign w:val="center"/>
          </w:tcPr>
          <w:p w14:paraId="164F50F0" w14:textId="77777777" w:rsidR="00622884" w:rsidRPr="00622884" w:rsidRDefault="00622884" w:rsidP="00622884">
            <w:pPr>
              <w:spacing w:after="0" w:line="240" w:lineRule="auto"/>
              <w:jc w:val="left"/>
              <w:rPr>
                <w:rFonts w:ascii="Garamond" w:eastAsia="SimSun" w:hAnsi="Garamond" w:cs="Calibri Light"/>
                <w:b/>
                <w:bCs/>
                <w:sz w:val="12"/>
                <w:szCs w:val="12"/>
                <w:u w:val="single"/>
                <w:lang w:eastAsia="en-US"/>
              </w:rPr>
            </w:pPr>
            <w:r w:rsidRPr="00622884">
              <w:rPr>
                <w:rFonts w:ascii="Garamond" w:eastAsia="SimSun" w:hAnsi="Garamond" w:cs="Times New Roman"/>
                <w:sz w:val="12"/>
                <w:szCs w:val="12"/>
                <w:lang w:eastAsia="en-US" w:bidi="sq-AL"/>
              </w:rPr>
              <w:t>Forcimi i mbrojtjes së pyjeve dhe kullotave: Investime në kapacitetet njerëzore dhe burimet e zjarrfikësve</w:t>
            </w:r>
          </w:p>
        </w:tc>
        <w:tc>
          <w:tcPr>
            <w:tcW w:w="509" w:type="pct"/>
            <w:vAlign w:val="center"/>
          </w:tcPr>
          <w:p w14:paraId="7BE0B8DD" w14:textId="77777777" w:rsidR="00622884" w:rsidRPr="00622884" w:rsidRDefault="00622884" w:rsidP="00622884">
            <w:pPr>
              <w:spacing w:after="0" w:line="240" w:lineRule="auto"/>
              <w:jc w:val="center"/>
              <w:rPr>
                <w:rFonts w:ascii="Garamond" w:eastAsia="SimSun" w:hAnsi="Garamond" w:cs="Calibri Light"/>
                <w:sz w:val="12"/>
                <w:szCs w:val="12"/>
                <w:u w:val="single"/>
                <w:lang w:eastAsia="en-US"/>
              </w:rPr>
            </w:pPr>
            <w:r w:rsidRPr="00622884">
              <w:rPr>
                <w:rFonts w:ascii="Garamond" w:eastAsia="SimSun" w:hAnsi="Garamond" w:cs="Times New Roman"/>
                <w:sz w:val="12"/>
                <w:szCs w:val="12"/>
                <w:lang w:eastAsia="en-US" w:bidi="sq-AL"/>
              </w:rPr>
              <w:t>MM, Bashkitë</w:t>
            </w:r>
          </w:p>
        </w:tc>
        <w:tc>
          <w:tcPr>
            <w:tcW w:w="154" w:type="pct"/>
          </w:tcPr>
          <w:p w14:paraId="7720E088"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4352B120"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4" w:type="pct"/>
            <w:shd w:val="clear" w:color="auto" w:fill="C7E3D5"/>
          </w:tcPr>
          <w:p w14:paraId="5661EBDF"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shd w:val="clear" w:color="auto" w:fill="C7E3D5"/>
          </w:tcPr>
          <w:p w14:paraId="05A29C49"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shd w:val="clear" w:color="auto" w:fill="C7E3D5"/>
          </w:tcPr>
          <w:p w14:paraId="4A5260EE"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3" w:type="pct"/>
            <w:shd w:val="clear" w:color="auto" w:fill="C7E3D5"/>
          </w:tcPr>
          <w:p w14:paraId="555D5E14"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5" w:type="pct"/>
          </w:tcPr>
          <w:p w14:paraId="79EF1A60"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3" w:type="pct"/>
          </w:tcPr>
          <w:p w14:paraId="64D3D167"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2D15586D"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26EE18AD"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5" w:type="pct"/>
          </w:tcPr>
          <w:p w14:paraId="17357ED7"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7A4FB759"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3" w:type="pct"/>
          </w:tcPr>
          <w:p w14:paraId="5F39C8D7"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46DAD585"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3" w:type="pct"/>
          </w:tcPr>
          <w:p w14:paraId="543E1AFE"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6D9E6DA5"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56" w:type="pct"/>
          </w:tcPr>
          <w:p w14:paraId="71E137F1"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r>
      <w:tr w:rsidR="00622884" w:rsidRPr="00622884" w14:paraId="58E58951" w14:textId="77777777" w:rsidTr="00622884">
        <w:trPr>
          <w:trHeight w:val="201"/>
          <w:jc w:val="center"/>
        </w:trPr>
        <w:tc>
          <w:tcPr>
            <w:tcW w:w="245" w:type="pct"/>
            <w:vAlign w:val="center"/>
          </w:tcPr>
          <w:p w14:paraId="7DE3FFAF" w14:textId="77777777" w:rsidR="00622884" w:rsidRPr="00622884" w:rsidRDefault="00622884" w:rsidP="00622884">
            <w:pPr>
              <w:spacing w:after="0" w:line="240" w:lineRule="auto"/>
              <w:jc w:val="center"/>
              <w:rPr>
                <w:rFonts w:ascii="Garamond" w:eastAsia="SimSun" w:hAnsi="Garamond" w:cs="Calibri Light"/>
                <w:b/>
                <w:bCs/>
                <w:sz w:val="12"/>
                <w:szCs w:val="12"/>
                <w:lang w:eastAsia="en-US"/>
              </w:rPr>
            </w:pPr>
            <w:r w:rsidRPr="00622884">
              <w:rPr>
                <w:rFonts w:ascii="Garamond" w:eastAsia="SimSun" w:hAnsi="Garamond" w:cs="Times New Roman"/>
                <w:b/>
                <w:sz w:val="12"/>
                <w:szCs w:val="12"/>
                <w:lang w:eastAsia="en-US" w:bidi="sq-AL"/>
              </w:rPr>
              <w:t>23</w:t>
            </w:r>
          </w:p>
        </w:tc>
        <w:tc>
          <w:tcPr>
            <w:tcW w:w="1943" w:type="pct"/>
            <w:vAlign w:val="center"/>
          </w:tcPr>
          <w:p w14:paraId="2ED4E997" w14:textId="77777777" w:rsidR="00622884" w:rsidRPr="00622884" w:rsidRDefault="00622884" w:rsidP="00622884">
            <w:pPr>
              <w:spacing w:after="0" w:line="240" w:lineRule="auto"/>
              <w:jc w:val="left"/>
              <w:rPr>
                <w:rFonts w:ascii="Garamond" w:eastAsia="SimSun" w:hAnsi="Garamond" w:cs="Calibri Light"/>
                <w:b/>
                <w:bCs/>
                <w:sz w:val="12"/>
                <w:szCs w:val="12"/>
                <w:u w:val="single"/>
                <w:lang w:eastAsia="en-US"/>
              </w:rPr>
            </w:pPr>
            <w:r w:rsidRPr="00622884">
              <w:rPr>
                <w:rFonts w:ascii="Garamond" w:eastAsia="SimSun" w:hAnsi="Garamond" w:cs="Times New Roman"/>
                <w:sz w:val="12"/>
                <w:szCs w:val="12"/>
                <w:lang w:eastAsia="en-US" w:bidi="sq-AL"/>
              </w:rPr>
              <w:t>Mbështetja e pyllëzimit: Vendosja e fidanishteve rajonale për llojet rezistente ndaj thatësirës</w:t>
            </w:r>
          </w:p>
        </w:tc>
        <w:tc>
          <w:tcPr>
            <w:tcW w:w="509" w:type="pct"/>
            <w:vAlign w:val="center"/>
          </w:tcPr>
          <w:p w14:paraId="39121A00" w14:textId="77777777" w:rsidR="00622884" w:rsidRPr="00622884" w:rsidRDefault="00622884" w:rsidP="00622884">
            <w:pPr>
              <w:spacing w:after="0" w:line="240" w:lineRule="auto"/>
              <w:jc w:val="center"/>
              <w:rPr>
                <w:rFonts w:ascii="Garamond" w:eastAsia="SimSun" w:hAnsi="Garamond" w:cs="Calibri Light"/>
                <w:sz w:val="12"/>
                <w:szCs w:val="12"/>
                <w:u w:val="single"/>
                <w:lang w:eastAsia="en-US"/>
              </w:rPr>
            </w:pPr>
            <w:r w:rsidRPr="00622884">
              <w:rPr>
                <w:rFonts w:ascii="Garamond" w:eastAsia="SimSun" w:hAnsi="Garamond" w:cs="Times New Roman"/>
                <w:sz w:val="12"/>
                <w:szCs w:val="12"/>
                <w:lang w:eastAsia="en-US" w:bidi="sq-AL"/>
              </w:rPr>
              <w:t>MM, Bashkitë</w:t>
            </w:r>
          </w:p>
        </w:tc>
        <w:tc>
          <w:tcPr>
            <w:tcW w:w="154" w:type="pct"/>
            <w:shd w:val="clear" w:color="auto" w:fill="C7E3D5"/>
          </w:tcPr>
          <w:p w14:paraId="067C4B2B"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shd w:val="clear" w:color="auto" w:fill="C7E3D5"/>
          </w:tcPr>
          <w:p w14:paraId="695C69F0"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4" w:type="pct"/>
            <w:shd w:val="clear" w:color="auto" w:fill="C7E3D5"/>
          </w:tcPr>
          <w:p w14:paraId="19591AAB"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shd w:val="clear" w:color="auto" w:fill="C7E3D5"/>
          </w:tcPr>
          <w:p w14:paraId="0A60DCFA"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shd w:val="clear" w:color="auto" w:fill="C7E3D5"/>
          </w:tcPr>
          <w:p w14:paraId="410A27E8"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3" w:type="pct"/>
            <w:shd w:val="clear" w:color="auto" w:fill="C7E3D5"/>
          </w:tcPr>
          <w:p w14:paraId="3DA9B4E4"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5" w:type="pct"/>
            <w:shd w:val="clear" w:color="auto" w:fill="C7E3D5"/>
          </w:tcPr>
          <w:p w14:paraId="328D5EDA"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3" w:type="pct"/>
            <w:shd w:val="clear" w:color="auto" w:fill="C7E3D5"/>
          </w:tcPr>
          <w:p w14:paraId="747CAABB"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shd w:val="clear" w:color="auto" w:fill="C7E3D5"/>
          </w:tcPr>
          <w:p w14:paraId="6DAECA75"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shd w:val="clear" w:color="auto" w:fill="C7E3D5"/>
          </w:tcPr>
          <w:p w14:paraId="6599D487"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5" w:type="pct"/>
          </w:tcPr>
          <w:p w14:paraId="597B19C8"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6298E638"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3" w:type="pct"/>
          </w:tcPr>
          <w:p w14:paraId="1EC4E702"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02DF0A74"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3" w:type="pct"/>
          </w:tcPr>
          <w:p w14:paraId="41A0A5A2"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4AFF191C"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56" w:type="pct"/>
          </w:tcPr>
          <w:p w14:paraId="37732F2C"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r>
      <w:tr w:rsidR="00622884" w:rsidRPr="00622884" w14:paraId="0D43EAB6" w14:textId="77777777" w:rsidTr="00622884">
        <w:trPr>
          <w:trHeight w:val="193"/>
          <w:jc w:val="center"/>
        </w:trPr>
        <w:tc>
          <w:tcPr>
            <w:tcW w:w="245" w:type="pct"/>
            <w:vAlign w:val="center"/>
          </w:tcPr>
          <w:p w14:paraId="78D1DC90" w14:textId="77777777" w:rsidR="00622884" w:rsidRPr="00622884" w:rsidRDefault="00622884" w:rsidP="00622884">
            <w:pPr>
              <w:spacing w:after="0" w:line="240" w:lineRule="auto"/>
              <w:jc w:val="center"/>
              <w:rPr>
                <w:rFonts w:ascii="Garamond" w:eastAsia="SimSun" w:hAnsi="Garamond" w:cs="Calibri Light"/>
                <w:b/>
                <w:bCs/>
                <w:sz w:val="12"/>
                <w:szCs w:val="12"/>
                <w:lang w:eastAsia="en-US"/>
              </w:rPr>
            </w:pPr>
            <w:r w:rsidRPr="00622884">
              <w:rPr>
                <w:rFonts w:ascii="Garamond" w:eastAsia="SimSun" w:hAnsi="Garamond" w:cs="Times New Roman"/>
                <w:b/>
                <w:sz w:val="12"/>
                <w:szCs w:val="12"/>
                <w:lang w:eastAsia="en-US" w:bidi="sq-AL"/>
              </w:rPr>
              <w:t>24</w:t>
            </w:r>
          </w:p>
        </w:tc>
        <w:tc>
          <w:tcPr>
            <w:tcW w:w="1943" w:type="pct"/>
            <w:vAlign w:val="center"/>
          </w:tcPr>
          <w:p w14:paraId="26076EFC" w14:textId="77777777" w:rsidR="00622884" w:rsidRPr="00622884" w:rsidRDefault="00622884" w:rsidP="00622884">
            <w:pPr>
              <w:spacing w:after="0" w:line="240" w:lineRule="auto"/>
              <w:jc w:val="left"/>
              <w:rPr>
                <w:rFonts w:ascii="Garamond" w:eastAsia="SimSun" w:hAnsi="Garamond" w:cs="Calibri Light"/>
                <w:b/>
                <w:bCs/>
                <w:sz w:val="12"/>
                <w:szCs w:val="12"/>
                <w:u w:val="single"/>
                <w:lang w:eastAsia="en-US"/>
              </w:rPr>
            </w:pPr>
            <w:r w:rsidRPr="00622884">
              <w:rPr>
                <w:rFonts w:ascii="Garamond" w:eastAsia="SimSun" w:hAnsi="Garamond" w:cs="Times New Roman"/>
                <w:sz w:val="12"/>
                <w:szCs w:val="12"/>
                <w:lang w:eastAsia="en-US" w:bidi="sq-AL"/>
              </w:rPr>
              <w:t xml:space="preserve"> Mbështetja e migrimit të specieve të rralla dhe endemike të pyjeve në lartësi më të mëdha</w:t>
            </w:r>
          </w:p>
        </w:tc>
        <w:tc>
          <w:tcPr>
            <w:tcW w:w="509" w:type="pct"/>
            <w:vAlign w:val="center"/>
          </w:tcPr>
          <w:p w14:paraId="063977F7" w14:textId="77777777" w:rsidR="00622884" w:rsidRPr="00622884" w:rsidRDefault="00622884" w:rsidP="00622884">
            <w:pPr>
              <w:spacing w:after="0" w:line="240" w:lineRule="auto"/>
              <w:jc w:val="center"/>
              <w:rPr>
                <w:rFonts w:ascii="Garamond" w:eastAsia="SimSun" w:hAnsi="Garamond" w:cs="Calibri Light"/>
                <w:sz w:val="12"/>
                <w:szCs w:val="12"/>
                <w:u w:val="single"/>
                <w:lang w:eastAsia="en-US"/>
              </w:rPr>
            </w:pPr>
            <w:r w:rsidRPr="00622884">
              <w:rPr>
                <w:rFonts w:ascii="Garamond" w:eastAsia="SimSun" w:hAnsi="Garamond" w:cs="Times New Roman"/>
                <w:sz w:val="12"/>
                <w:szCs w:val="12"/>
                <w:lang w:eastAsia="en-US" w:bidi="sq-AL"/>
              </w:rPr>
              <w:t>MM, Bashkitë</w:t>
            </w:r>
          </w:p>
        </w:tc>
        <w:tc>
          <w:tcPr>
            <w:tcW w:w="154" w:type="pct"/>
          </w:tcPr>
          <w:p w14:paraId="65BBFDF8"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780AF89E"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4" w:type="pct"/>
            <w:shd w:val="clear" w:color="auto" w:fill="C7E3D5"/>
          </w:tcPr>
          <w:p w14:paraId="57F0CA52"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shd w:val="clear" w:color="auto" w:fill="C7E3D5"/>
          </w:tcPr>
          <w:p w14:paraId="4B8E8E9E"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shd w:val="clear" w:color="auto" w:fill="C7E3D5"/>
          </w:tcPr>
          <w:p w14:paraId="370233A4"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3" w:type="pct"/>
            <w:shd w:val="clear" w:color="auto" w:fill="C7E3D5"/>
          </w:tcPr>
          <w:p w14:paraId="6A83F829"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5" w:type="pct"/>
            <w:shd w:val="clear" w:color="auto" w:fill="C7E3D5"/>
          </w:tcPr>
          <w:p w14:paraId="63D43813"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3" w:type="pct"/>
            <w:shd w:val="clear" w:color="auto" w:fill="C7E3D5"/>
          </w:tcPr>
          <w:p w14:paraId="5F78226B"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1ECD43D5"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43AFF781"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5" w:type="pct"/>
          </w:tcPr>
          <w:p w14:paraId="50B6E162"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12F15E6C"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3" w:type="pct"/>
          </w:tcPr>
          <w:p w14:paraId="50C00556"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7199A59B"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3" w:type="pct"/>
          </w:tcPr>
          <w:p w14:paraId="2E7324B2"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12537E09"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56" w:type="pct"/>
          </w:tcPr>
          <w:p w14:paraId="2816C9AE"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r>
      <w:tr w:rsidR="00622884" w:rsidRPr="00622884" w14:paraId="086AED44" w14:textId="77777777" w:rsidTr="00622884">
        <w:trPr>
          <w:trHeight w:val="341"/>
          <w:jc w:val="center"/>
        </w:trPr>
        <w:tc>
          <w:tcPr>
            <w:tcW w:w="245" w:type="pct"/>
            <w:vAlign w:val="center"/>
          </w:tcPr>
          <w:p w14:paraId="018FFB13" w14:textId="77777777" w:rsidR="00622884" w:rsidRPr="00622884" w:rsidRDefault="00622884" w:rsidP="00622884">
            <w:pPr>
              <w:spacing w:after="0" w:line="240" w:lineRule="auto"/>
              <w:jc w:val="center"/>
              <w:rPr>
                <w:rFonts w:ascii="Garamond" w:eastAsia="SimSun" w:hAnsi="Garamond" w:cs="Calibri Light"/>
                <w:b/>
                <w:bCs/>
                <w:sz w:val="12"/>
                <w:szCs w:val="12"/>
                <w:lang w:eastAsia="en-US"/>
              </w:rPr>
            </w:pPr>
            <w:r w:rsidRPr="00622884">
              <w:rPr>
                <w:rFonts w:ascii="Garamond" w:eastAsia="SimSun" w:hAnsi="Garamond" w:cs="Times New Roman"/>
                <w:b/>
                <w:sz w:val="12"/>
                <w:szCs w:val="12"/>
                <w:lang w:eastAsia="en-US" w:bidi="sq-AL"/>
              </w:rPr>
              <w:t>25</w:t>
            </w:r>
          </w:p>
        </w:tc>
        <w:tc>
          <w:tcPr>
            <w:tcW w:w="1943" w:type="pct"/>
            <w:vAlign w:val="center"/>
          </w:tcPr>
          <w:p w14:paraId="0B9FA8CD" w14:textId="77777777" w:rsidR="00622884" w:rsidRPr="00622884" w:rsidRDefault="00622884" w:rsidP="00622884">
            <w:pPr>
              <w:spacing w:after="0" w:line="240" w:lineRule="auto"/>
              <w:jc w:val="left"/>
              <w:rPr>
                <w:rFonts w:ascii="Garamond" w:eastAsia="SimSun" w:hAnsi="Garamond" w:cs="Calibri Light"/>
                <w:b/>
                <w:bCs/>
                <w:sz w:val="12"/>
                <w:szCs w:val="12"/>
                <w:u w:val="single"/>
                <w:lang w:eastAsia="en-US"/>
              </w:rPr>
            </w:pPr>
            <w:r w:rsidRPr="00622884">
              <w:rPr>
                <w:rFonts w:ascii="Garamond" w:eastAsia="SimSun" w:hAnsi="Garamond" w:cs="Times New Roman"/>
                <w:sz w:val="12"/>
                <w:szCs w:val="12"/>
                <w:lang w:eastAsia="en-US" w:bidi="sq-AL"/>
              </w:rPr>
              <w:t>Restaurimi i ekosistemeve jetësore: Mbrojtja dhe rigjenerimi i brezave të gjelbër bregdetarë dhe lumorë dhe ekosistemeve mbrojtëse</w:t>
            </w:r>
          </w:p>
        </w:tc>
        <w:tc>
          <w:tcPr>
            <w:tcW w:w="509" w:type="pct"/>
            <w:vAlign w:val="center"/>
          </w:tcPr>
          <w:p w14:paraId="071B69FD" w14:textId="77777777" w:rsidR="00622884" w:rsidRPr="00622884" w:rsidRDefault="00622884" w:rsidP="00622884">
            <w:pPr>
              <w:spacing w:after="0" w:line="240" w:lineRule="auto"/>
              <w:jc w:val="center"/>
              <w:rPr>
                <w:rFonts w:ascii="Garamond" w:eastAsia="SimSun" w:hAnsi="Garamond" w:cs="Calibri Light"/>
                <w:sz w:val="12"/>
                <w:szCs w:val="12"/>
                <w:u w:val="single"/>
                <w:lang w:eastAsia="en-US"/>
              </w:rPr>
            </w:pPr>
            <w:r w:rsidRPr="00622884">
              <w:rPr>
                <w:rFonts w:ascii="Garamond" w:eastAsia="SimSun" w:hAnsi="Garamond" w:cs="Times New Roman"/>
                <w:sz w:val="12"/>
                <w:szCs w:val="12"/>
                <w:lang w:eastAsia="en-US" w:bidi="sq-AL"/>
              </w:rPr>
              <w:t>MM, Bashkitë</w:t>
            </w:r>
          </w:p>
        </w:tc>
        <w:tc>
          <w:tcPr>
            <w:tcW w:w="154" w:type="pct"/>
            <w:shd w:val="clear" w:color="auto" w:fill="C7E3D5"/>
          </w:tcPr>
          <w:p w14:paraId="41BDBFA7"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shd w:val="clear" w:color="auto" w:fill="C7E3D5"/>
          </w:tcPr>
          <w:p w14:paraId="276E365C"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4" w:type="pct"/>
            <w:shd w:val="clear" w:color="auto" w:fill="C7E3D5"/>
          </w:tcPr>
          <w:p w14:paraId="4A282A8F"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shd w:val="clear" w:color="auto" w:fill="C7E3D5"/>
          </w:tcPr>
          <w:p w14:paraId="01F58034"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shd w:val="clear" w:color="auto" w:fill="C7E3D5"/>
          </w:tcPr>
          <w:p w14:paraId="4243EC9C"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3" w:type="pct"/>
            <w:shd w:val="clear" w:color="auto" w:fill="C7E3D5"/>
          </w:tcPr>
          <w:p w14:paraId="42D8EC79"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5" w:type="pct"/>
          </w:tcPr>
          <w:p w14:paraId="16F4B999"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3" w:type="pct"/>
          </w:tcPr>
          <w:p w14:paraId="4580DBAD"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7B78656B"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54D7B773"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5" w:type="pct"/>
          </w:tcPr>
          <w:p w14:paraId="72A5A119"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5722329E"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3" w:type="pct"/>
          </w:tcPr>
          <w:p w14:paraId="55FCBF06"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5C392B09"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3" w:type="pct"/>
          </w:tcPr>
          <w:p w14:paraId="1834DAA7"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3EB4FF1A"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56" w:type="pct"/>
          </w:tcPr>
          <w:p w14:paraId="40AB5865"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r>
      <w:tr w:rsidR="00622884" w:rsidRPr="00622884" w14:paraId="005C3C70" w14:textId="77777777" w:rsidTr="00622884">
        <w:trPr>
          <w:trHeight w:val="64"/>
          <w:jc w:val="center"/>
        </w:trPr>
        <w:tc>
          <w:tcPr>
            <w:tcW w:w="245" w:type="pct"/>
            <w:vAlign w:val="center"/>
          </w:tcPr>
          <w:p w14:paraId="091D03A0" w14:textId="77777777" w:rsidR="00622884" w:rsidRPr="00622884" w:rsidRDefault="00622884" w:rsidP="00622884">
            <w:pPr>
              <w:spacing w:after="0" w:line="240" w:lineRule="auto"/>
              <w:jc w:val="center"/>
              <w:rPr>
                <w:rFonts w:ascii="Garamond" w:eastAsia="SimSun" w:hAnsi="Garamond" w:cs="Calibri Light"/>
                <w:b/>
                <w:bCs/>
                <w:sz w:val="12"/>
                <w:szCs w:val="12"/>
                <w:lang w:eastAsia="en-US"/>
              </w:rPr>
            </w:pPr>
            <w:r w:rsidRPr="00622884">
              <w:rPr>
                <w:rFonts w:ascii="Garamond" w:eastAsia="SimSun" w:hAnsi="Garamond" w:cs="Times New Roman"/>
                <w:b/>
                <w:sz w:val="12"/>
                <w:szCs w:val="12"/>
                <w:lang w:eastAsia="en-US" w:bidi="sq-AL"/>
              </w:rPr>
              <w:t>26</w:t>
            </w:r>
          </w:p>
        </w:tc>
        <w:tc>
          <w:tcPr>
            <w:tcW w:w="1943" w:type="pct"/>
            <w:vAlign w:val="center"/>
          </w:tcPr>
          <w:p w14:paraId="3920D443" w14:textId="77777777" w:rsidR="00622884" w:rsidRPr="00622884" w:rsidRDefault="00622884" w:rsidP="00622884">
            <w:pPr>
              <w:spacing w:after="0" w:line="240" w:lineRule="auto"/>
              <w:jc w:val="left"/>
              <w:rPr>
                <w:rFonts w:ascii="Garamond" w:eastAsia="SimSun" w:hAnsi="Garamond" w:cs="Calibri Light"/>
                <w:b/>
                <w:bCs/>
                <w:sz w:val="12"/>
                <w:szCs w:val="12"/>
                <w:u w:val="single"/>
                <w:lang w:eastAsia="en-US"/>
              </w:rPr>
            </w:pPr>
            <w:r w:rsidRPr="00622884">
              <w:rPr>
                <w:rFonts w:ascii="Garamond" w:eastAsia="SimSun" w:hAnsi="Garamond" w:cs="Times New Roman"/>
                <w:sz w:val="12"/>
                <w:szCs w:val="12"/>
                <w:lang w:eastAsia="en-US" w:bidi="sq-AL"/>
              </w:rPr>
              <w:t>Financimi i qëndrueshëm përmes pagesës për shërbimet e ekosistemit (PSHE)</w:t>
            </w:r>
          </w:p>
        </w:tc>
        <w:tc>
          <w:tcPr>
            <w:tcW w:w="509" w:type="pct"/>
            <w:vAlign w:val="center"/>
          </w:tcPr>
          <w:p w14:paraId="3B7BDE97" w14:textId="77777777" w:rsidR="00622884" w:rsidRPr="00622884" w:rsidRDefault="00622884" w:rsidP="00622884">
            <w:pPr>
              <w:spacing w:after="0" w:line="240" w:lineRule="auto"/>
              <w:jc w:val="center"/>
              <w:rPr>
                <w:rFonts w:ascii="Garamond" w:eastAsia="SimSun" w:hAnsi="Garamond" w:cs="Calibri Light"/>
                <w:sz w:val="12"/>
                <w:szCs w:val="12"/>
                <w:u w:val="single"/>
                <w:lang w:eastAsia="en-US"/>
              </w:rPr>
            </w:pPr>
            <w:r w:rsidRPr="00622884">
              <w:rPr>
                <w:rFonts w:ascii="Garamond" w:eastAsia="SimSun" w:hAnsi="Garamond" w:cs="Times New Roman"/>
                <w:sz w:val="12"/>
                <w:szCs w:val="12"/>
                <w:lang w:eastAsia="en-US" w:bidi="sq-AL"/>
              </w:rPr>
              <w:t>MBZHR</w:t>
            </w:r>
          </w:p>
        </w:tc>
        <w:tc>
          <w:tcPr>
            <w:tcW w:w="154" w:type="pct"/>
          </w:tcPr>
          <w:p w14:paraId="1A170EF0"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01A4DCFE"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4" w:type="pct"/>
          </w:tcPr>
          <w:p w14:paraId="2CBE9A8C"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273BAF06"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37B64712"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3" w:type="pct"/>
          </w:tcPr>
          <w:p w14:paraId="66D13D1D"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5" w:type="pct"/>
          </w:tcPr>
          <w:p w14:paraId="04227348"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3" w:type="pct"/>
            <w:shd w:val="clear" w:color="auto" w:fill="C7E3D5"/>
          </w:tcPr>
          <w:p w14:paraId="38AD3A4B"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shd w:val="clear" w:color="auto" w:fill="C7E3D5"/>
          </w:tcPr>
          <w:p w14:paraId="68A21E5E"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shd w:val="clear" w:color="auto" w:fill="C7E3D5"/>
          </w:tcPr>
          <w:p w14:paraId="2E73F529"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5" w:type="pct"/>
            <w:shd w:val="clear" w:color="auto" w:fill="C7E3D5"/>
          </w:tcPr>
          <w:p w14:paraId="3190E6C9"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shd w:val="clear" w:color="auto" w:fill="C7E3D5"/>
          </w:tcPr>
          <w:p w14:paraId="1EF26C09"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3" w:type="pct"/>
            <w:shd w:val="clear" w:color="auto" w:fill="C7E3D5"/>
          </w:tcPr>
          <w:p w14:paraId="552765E4"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637CC6C0"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3" w:type="pct"/>
          </w:tcPr>
          <w:p w14:paraId="44E1954F"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1D29BE36"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56" w:type="pct"/>
          </w:tcPr>
          <w:p w14:paraId="6572CE2B"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r>
      <w:tr w:rsidR="00622884" w:rsidRPr="00622884" w14:paraId="0CDF4797" w14:textId="77777777" w:rsidTr="00622884">
        <w:trPr>
          <w:trHeight w:val="56"/>
          <w:jc w:val="center"/>
        </w:trPr>
        <w:tc>
          <w:tcPr>
            <w:tcW w:w="245" w:type="pct"/>
            <w:vAlign w:val="center"/>
          </w:tcPr>
          <w:p w14:paraId="6D874EFB" w14:textId="77777777" w:rsidR="00622884" w:rsidRPr="00622884" w:rsidRDefault="00622884" w:rsidP="00622884">
            <w:pPr>
              <w:spacing w:after="0" w:line="240" w:lineRule="auto"/>
              <w:jc w:val="center"/>
              <w:rPr>
                <w:rFonts w:ascii="Garamond" w:eastAsia="SimSun" w:hAnsi="Garamond" w:cs="Calibri Light"/>
                <w:b/>
                <w:bCs/>
                <w:sz w:val="12"/>
                <w:szCs w:val="12"/>
                <w:lang w:eastAsia="en-US"/>
              </w:rPr>
            </w:pPr>
            <w:r w:rsidRPr="00622884">
              <w:rPr>
                <w:rFonts w:ascii="Garamond" w:eastAsia="SimSun" w:hAnsi="Garamond" w:cs="Times New Roman"/>
                <w:b/>
                <w:sz w:val="12"/>
                <w:szCs w:val="12"/>
                <w:lang w:eastAsia="en-US" w:bidi="sq-AL"/>
              </w:rPr>
              <w:t>27</w:t>
            </w:r>
          </w:p>
        </w:tc>
        <w:tc>
          <w:tcPr>
            <w:tcW w:w="1943" w:type="pct"/>
            <w:vAlign w:val="center"/>
          </w:tcPr>
          <w:p w14:paraId="7AEDD929" w14:textId="77777777" w:rsidR="00622884" w:rsidRPr="00622884" w:rsidRDefault="00622884" w:rsidP="00622884">
            <w:pPr>
              <w:spacing w:after="0" w:line="240" w:lineRule="auto"/>
              <w:jc w:val="left"/>
              <w:rPr>
                <w:rFonts w:ascii="Garamond" w:eastAsia="SimSun" w:hAnsi="Garamond" w:cs="Calibri Light"/>
                <w:b/>
                <w:bCs/>
                <w:sz w:val="12"/>
                <w:szCs w:val="12"/>
                <w:u w:val="single"/>
                <w:lang w:eastAsia="en-US"/>
              </w:rPr>
            </w:pPr>
            <w:r w:rsidRPr="00622884">
              <w:rPr>
                <w:rFonts w:ascii="Garamond" w:eastAsia="SimSun" w:hAnsi="Garamond" w:cs="Times New Roman"/>
                <w:sz w:val="12"/>
                <w:szCs w:val="12"/>
                <w:lang w:eastAsia="en-US" w:bidi="sq-AL"/>
              </w:rPr>
              <w:t>Restaurimi dhe aftësitë ripërtëritëse të ekosistemit të integruar: Trajtimi i erozionit të tokës në rajonet kryesore</w:t>
            </w:r>
          </w:p>
        </w:tc>
        <w:tc>
          <w:tcPr>
            <w:tcW w:w="509" w:type="pct"/>
            <w:vAlign w:val="center"/>
          </w:tcPr>
          <w:p w14:paraId="11B0EA5D" w14:textId="77777777" w:rsidR="00622884" w:rsidRPr="00622884" w:rsidRDefault="00622884" w:rsidP="00622884">
            <w:pPr>
              <w:spacing w:after="0" w:line="240" w:lineRule="auto"/>
              <w:jc w:val="center"/>
              <w:rPr>
                <w:rFonts w:ascii="Garamond" w:eastAsia="SimSun" w:hAnsi="Garamond" w:cs="Calibri Light"/>
                <w:sz w:val="12"/>
                <w:szCs w:val="12"/>
                <w:u w:val="single"/>
                <w:lang w:eastAsia="en-US"/>
              </w:rPr>
            </w:pPr>
            <w:r w:rsidRPr="00622884">
              <w:rPr>
                <w:rFonts w:ascii="Garamond" w:eastAsia="SimSun" w:hAnsi="Garamond" w:cs="Times New Roman"/>
                <w:sz w:val="12"/>
                <w:szCs w:val="12"/>
                <w:lang w:eastAsia="en-US" w:bidi="sq-AL"/>
              </w:rPr>
              <w:t>MM, Bashkitë</w:t>
            </w:r>
          </w:p>
        </w:tc>
        <w:tc>
          <w:tcPr>
            <w:tcW w:w="154" w:type="pct"/>
          </w:tcPr>
          <w:p w14:paraId="4B1BBDFD"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02546257"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4" w:type="pct"/>
          </w:tcPr>
          <w:p w14:paraId="7A4D4565"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016C30D4"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2E99E63F"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3" w:type="pct"/>
          </w:tcPr>
          <w:p w14:paraId="6122BF53"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5" w:type="pct"/>
          </w:tcPr>
          <w:p w14:paraId="0D12C097"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3" w:type="pct"/>
            <w:shd w:val="clear" w:color="auto" w:fill="C7E3D5"/>
          </w:tcPr>
          <w:p w14:paraId="23730C2B"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shd w:val="clear" w:color="auto" w:fill="C7E3D5"/>
          </w:tcPr>
          <w:p w14:paraId="0FA680A7"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shd w:val="clear" w:color="auto" w:fill="C7E3D5"/>
          </w:tcPr>
          <w:p w14:paraId="01A22E89"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5" w:type="pct"/>
            <w:shd w:val="clear" w:color="auto" w:fill="C7E3D5"/>
          </w:tcPr>
          <w:p w14:paraId="45DFE329"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shd w:val="clear" w:color="auto" w:fill="C7E3D5"/>
          </w:tcPr>
          <w:p w14:paraId="391A67E0"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3" w:type="pct"/>
            <w:shd w:val="clear" w:color="auto" w:fill="C7E3D5"/>
          </w:tcPr>
          <w:p w14:paraId="450FC25C"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shd w:val="clear" w:color="auto" w:fill="C7E3D5"/>
          </w:tcPr>
          <w:p w14:paraId="08A00FED"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3" w:type="pct"/>
            <w:shd w:val="clear" w:color="auto" w:fill="C7E3D5"/>
          </w:tcPr>
          <w:p w14:paraId="7F8FBC07"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shd w:val="clear" w:color="auto" w:fill="C7E3D5"/>
          </w:tcPr>
          <w:p w14:paraId="482D5CF1"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56" w:type="pct"/>
            <w:shd w:val="clear" w:color="auto" w:fill="C7E3D5"/>
          </w:tcPr>
          <w:p w14:paraId="0F5361E5"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r>
      <w:tr w:rsidR="00622884" w:rsidRPr="00622884" w14:paraId="32D2E32D" w14:textId="77777777" w:rsidTr="00622884">
        <w:trPr>
          <w:trHeight w:val="56"/>
          <w:jc w:val="center"/>
        </w:trPr>
        <w:tc>
          <w:tcPr>
            <w:tcW w:w="245" w:type="pct"/>
            <w:vAlign w:val="center"/>
          </w:tcPr>
          <w:p w14:paraId="6CCA2493" w14:textId="77777777" w:rsidR="00622884" w:rsidRPr="00622884" w:rsidRDefault="00622884" w:rsidP="00622884">
            <w:pPr>
              <w:spacing w:after="0" w:line="240" w:lineRule="auto"/>
              <w:jc w:val="center"/>
              <w:rPr>
                <w:rFonts w:ascii="Garamond" w:eastAsia="SimSun" w:hAnsi="Garamond" w:cs="Calibri Light"/>
                <w:b/>
                <w:bCs/>
                <w:sz w:val="12"/>
                <w:szCs w:val="12"/>
                <w:lang w:eastAsia="en-US"/>
              </w:rPr>
            </w:pPr>
            <w:r w:rsidRPr="00622884">
              <w:rPr>
                <w:rFonts w:ascii="Garamond" w:eastAsia="SimSun" w:hAnsi="Garamond" w:cs="Times New Roman"/>
                <w:b/>
                <w:sz w:val="12"/>
                <w:szCs w:val="12"/>
                <w:lang w:eastAsia="en-US" w:bidi="sq-AL"/>
              </w:rPr>
              <w:t>28</w:t>
            </w:r>
          </w:p>
        </w:tc>
        <w:tc>
          <w:tcPr>
            <w:tcW w:w="1943" w:type="pct"/>
            <w:vAlign w:val="center"/>
          </w:tcPr>
          <w:p w14:paraId="21EA0880" w14:textId="77777777" w:rsidR="00622884" w:rsidRPr="00622884" w:rsidRDefault="00622884" w:rsidP="00622884">
            <w:pPr>
              <w:spacing w:after="0" w:line="240" w:lineRule="auto"/>
              <w:jc w:val="left"/>
              <w:rPr>
                <w:rFonts w:ascii="Garamond" w:eastAsia="SimSun" w:hAnsi="Garamond" w:cs="Calibri Light"/>
                <w:b/>
                <w:bCs/>
                <w:sz w:val="12"/>
                <w:szCs w:val="12"/>
                <w:u w:val="single"/>
                <w:lang w:eastAsia="en-US"/>
              </w:rPr>
            </w:pPr>
            <w:r w:rsidRPr="00622884">
              <w:rPr>
                <w:rFonts w:ascii="Garamond" w:eastAsia="SimSun" w:hAnsi="Garamond" w:cs="Times New Roman"/>
                <w:sz w:val="12"/>
                <w:szCs w:val="12"/>
                <w:lang w:eastAsia="en-US" w:bidi="sq-AL"/>
              </w:rPr>
              <w:t>Lufta kundër erozionit dhe përmbytjeve: Restaurimi strategjik i habitateve dhe ripyllëzimi në rajonet kryesore të Shqipërisë</w:t>
            </w:r>
          </w:p>
        </w:tc>
        <w:tc>
          <w:tcPr>
            <w:tcW w:w="509" w:type="pct"/>
            <w:vAlign w:val="center"/>
          </w:tcPr>
          <w:p w14:paraId="2A54DBF6" w14:textId="77777777" w:rsidR="00622884" w:rsidRPr="00622884" w:rsidRDefault="00622884" w:rsidP="00622884">
            <w:pPr>
              <w:spacing w:after="0" w:line="240" w:lineRule="auto"/>
              <w:jc w:val="center"/>
              <w:rPr>
                <w:rFonts w:ascii="Garamond" w:eastAsia="SimSun" w:hAnsi="Garamond" w:cs="Calibri Light"/>
                <w:sz w:val="12"/>
                <w:szCs w:val="12"/>
                <w:u w:val="single"/>
                <w:lang w:eastAsia="en-US"/>
              </w:rPr>
            </w:pPr>
            <w:r w:rsidRPr="00622884">
              <w:rPr>
                <w:rFonts w:ascii="Garamond" w:eastAsia="SimSun" w:hAnsi="Garamond" w:cs="Times New Roman"/>
                <w:sz w:val="12"/>
                <w:szCs w:val="12"/>
                <w:lang w:eastAsia="en-US" w:bidi="sq-AL"/>
              </w:rPr>
              <w:t>MM, Bashkitë</w:t>
            </w:r>
          </w:p>
        </w:tc>
        <w:tc>
          <w:tcPr>
            <w:tcW w:w="154" w:type="pct"/>
            <w:shd w:val="clear" w:color="auto" w:fill="C7E3D5"/>
          </w:tcPr>
          <w:p w14:paraId="14872E75"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shd w:val="clear" w:color="auto" w:fill="C7E3D5"/>
          </w:tcPr>
          <w:p w14:paraId="210DF9ED"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4" w:type="pct"/>
            <w:shd w:val="clear" w:color="auto" w:fill="C7E3D5"/>
          </w:tcPr>
          <w:p w14:paraId="3039AE26"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shd w:val="clear" w:color="auto" w:fill="C7E3D5"/>
          </w:tcPr>
          <w:p w14:paraId="2FDAB25C"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shd w:val="clear" w:color="auto" w:fill="C7E3D5"/>
          </w:tcPr>
          <w:p w14:paraId="73F942FE"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3" w:type="pct"/>
            <w:shd w:val="clear" w:color="auto" w:fill="C7E3D5"/>
          </w:tcPr>
          <w:p w14:paraId="3C8C06BB"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5" w:type="pct"/>
            <w:shd w:val="clear" w:color="auto" w:fill="C7E3D5"/>
          </w:tcPr>
          <w:p w14:paraId="62EB0288"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3" w:type="pct"/>
            <w:shd w:val="clear" w:color="auto" w:fill="C7E3D5"/>
          </w:tcPr>
          <w:p w14:paraId="6CCD09FF"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11057FBD"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1B023221"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5" w:type="pct"/>
          </w:tcPr>
          <w:p w14:paraId="3E49E5DE"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3404533C"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3" w:type="pct"/>
          </w:tcPr>
          <w:p w14:paraId="24F9F99E"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24E9ED8E"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3" w:type="pct"/>
          </w:tcPr>
          <w:p w14:paraId="3D4B1B2E"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055E8F34"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56" w:type="pct"/>
          </w:tcPr>
          <w:p w14:paraId="17A8690D"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r>
      <w:tr w:rsidR="00622884" w:rsidRPr="00622884" w14:paraId="75259DA0" w14:textId="77777777" w:rsidTr="00622884">
        <w:trPr>
          <w:trHeight w:val="249"/>
          <w:jc w:val="center"/>
        </w:trPr>
        <w:tc>
          <w:tcPr>
            <w:tcW w:w="245" w:type="pct"/>
            <w:vAlign w:val="center"/>
          </w:tcPr>
          <w:p w14:paraId="5F620BD0" w14:textId="77777777" w:rsidR="00622884" w:rsidRPr="00622884" w:rsidRDefault="00622884" w:rsidP="00622884">
            <w:pPr>
              <w:spacing w:after="0" w:line="240" w:lineRule="auto"/>
              <w:jc w:val="center"/>
              <w:rPr>
                <w:rFonts w:ascii="Garamond" w:eastAsia="SimSun" w:hAnsi="Garamond" w:cs="Calibri Light"/>
                <w:b/>
                <w:bCs/>
                <w:sz w:val="12"/>
                <w:szCs w:val="12"/>
                <w:lang w:eastAsia="en-US"/>
              </w:rPr>
            </w:pPr>
            <w:r w:rsidRPr="00622884">
              <w:rPr>
                <w:rFonts w:ascii="Garamond" w:eastAsia="SimSun" w:hAnsi="Garamond" w:cs="Times New Roman"/>
                <w:b/>
                <w:sz w:val="12"/>
                <w:szCs w:val="12"/>
                <w:lang w:eastAsia="en-US" w:bidi="sq-AL"/>
              </w:rPr>
              <w:t>29</w:t>
            </w:r>
          </w:p>
        </w:tc>
        <w:tc>
          <w:tcPr>
            <w:tcW w:w="1943" w:type="pct"/>
            <w:vAlign w:val="center"/>
          </w:tcPr>
          <w:p w14:paraId="4F6C1BEE" w14:textId="77777777" w:rsidR="00622884" w:rsidRPr="00622884" w:rsidRDefault="00622884" w:rsidP="00622884">
            <w:pPr>
              <w:spacing w:after="0" w:line="240" w:lineRule="auto"/>
              <w:jc w:val="left"/>
              <w:rPr>
                <w:rFonts w:ascii="Garamond" w:eastAsia="SimSun" w:hAnsi="Garamond" w:cs="Calibri Light"/>
                <w:b/>
                <w:bCs/>
                <w:sz w:val="12"/>
                <w:szCs w:val="12"/>
                <w:u w:val="single"/>
                <w:lang w:eastAsia="en-US"/>
              </w:rPr>
            </w:pPr>
            <w:r w:rsidRPr="00622884">
              <w:rPr>
                <w:rFonts w:ascii="Garamond" w:eastAsia="SimSun" w:hAnsi="Garamond" w:cs="Times New Roman"/>
                <w:sz w:val="12"/>
                <w:szCs w:val="12"/>
                <w:lang w:eastAsia="en-US" w:bidi="sq-AL"/>
              </w:rPr>
              <w:t>Menaxhimi i qëndrueshëm i peizazhit: Përmirësimi i cilësisë së ujit dhe biodiversitetit në liqenin e Viroit në Gjirokastër</w:t>
            </w:r>
          </w:p>
        </w:tc>
        <w:tc>
          <w:tcPr>
            <w:tcW w:w="509" w:type="pct"/>
            <w:vAlign w:val="center"/>
          </w:tcPr>
          <w:p w14:paraId="01784C7C" w14:textId="77777777" w:rsidR="00622884" w:rsidRPr="00622884" w:rsidRDefault="00622884" w:rsidP="00622884">
            <w:pPr>
              <w:spacing w:after="0" w:line="240" w:lineRule="auto"/>
              <w:jc w:val="center"/>
              <w:rPr>
                <w:rFonts w:ascii="Garamond" w:eastAsia="SimSun" w:hAnsi="Garamond" w:cs="Calibri Light"/>
                <w:sz w:val="12"/>
                <w:szCs w:val="12"/>
                <w:u w:val="single"/>
                <w:lang w:eastAsia="en-US"/>
              </w:rPr>
            </w:pPr>
            <w:r w:rsidRPr="00622884">
              <w:rPr>
                <w:rFonts w:ascii="Garamond" w:eastAsia="SimSun" w:hAnsi="Garamond" w:cs="Times New Roman"/>
                <w:sz w:val="12"/>
                <w:szCs w:val="12"/>
                <w:lang w:eastAsia="en-US" w:bidi="sq-AL"/>
              </w:rPr>
              <w:t>MM, Bashkitë</w:t>
            </w:r>
          </w:p>
        </w:tc>
        <w:tc>
          <w:tcPr>
            <w:tcW w:w="154" w:type="pct"/>
          </w:tcPr>
          <w:p w14:paraId="7F1AEE69"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47392948"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4" w:type="pct"/>
          </w:tcPr>
          <w:p w14:paraId="76F18D30"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2BC26911"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5C458A1D"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3" w:type="pct"/>
          </w:tcPr>
          <w:p w14:paraId="72D06BAD"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5" w:type="pct"/>
          </w:tcPr>
          <w:p w14:paraId="40BFB054"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3" w:type="pct"/>
            <w:shd w:val="clear" w:color="auto" w:fill="C7E3D5"/>
          </w:tcPr>
          <w:p w14:paraId="14DC5053"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shd w:val="clear" w:color="auto" w:fill="C7E3D5"/>
          </w:tcPr>
          <w:p w14:paraId="63023068"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shd w:val="clear" w:color="auto" w:fill="C7E3D5"/>
          </w:tcPr>
          <w:p w14:paraId="6607DEB8"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5" w:type="pct"/>
          </w:tcPr>
          <w:p w14:paraId="56F829FC"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096F8D08"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3" w:type="pct"/>
          </w:tcPr>
          <w:p w14:paraId="17820F46"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7390C013"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3" w:type="pct"/>
          </w:tcPr>
          <w:p w14:paraId="13259C54"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24EB0D12"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56" w:type="pct"/>
          </w:tcPr>
          <w:p w14:paraId="68613B1C"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r>
      <w:tr w:rsidR="00622884" w:rsidRPr="00622884" w14:paraId="0D058AF6" w14:textId="77777777" w:rsidTr="00622884">
        <w:trPr>
          <w:trHeight w:val="113"/>
          <w:jc w:val="center"/>
        </w:trPr>
        <w:tc>
          <w:tcPr>
            <w:tcW w:w="245" w:type="pct"/>
            <w:vAlign w:val="center"/>
          </w:tcPr>
          <w:p w14:paraId="3F1CF803" w14:textId="77777777" w:rsidR="00622884" w:rsidRPr="00622884" w:rsidRDefault="00622884" w:rsidP="00622884">
            <w:pPr>
              <w:spacing w:after="0" w:line="240" w:lineRule="auto"/>
              <w:jc w:val="center"/>
              <w:rPr>
                <w:rFonts w:ascii="Garamond" w:eastAsia="SimSun" w:hAnsi="Garamond" w:cs="Calibri Light"/>
                <w:b/>
                <w:bCs/>
                <w:sz w:val="12"/>
                <w:szCs w:val="12"/>
                <w:lang w:eastAsia="en-US"/>
              </w:rPr>
            </w:pPr>
            <w:r w:rsidRPr="00622884">
              <w:rPr>
                <w:rFonts w:ascii="Garamond" w:eastAsia="SimSun" w:hAnsi="Garamond" w:cs="Times New Roman"/>
                <w:b/>
                <w:sz w:val="12"/>
                <w:szCs w:val="12"/>
                <w:lang w:eastAsia="en-US" w:bidi="sq-AL"/>
              </w:rPr>
              <w:t>30</w:t>
            </w:r>
          </w:p>
        </w:tc>
        <w:tc>
          <w:tcPr>
            <w:tcW w:w="1943" w:type="pct"/>
            <w:vAlign w:val="center"/>
          </w:tcPr>
          <w:p w14:paraId="556372B7" w14:textId="77777777" w:rsidR="00622884" w:rsidRPr="00622884" w:rsidRDefault="00622884" w:rsidP="00622884">
            <w:pPr>
              <w:spacing w:after="0" w:line="240" w:lineRule="auto"/>
              <w:jc w:val="left"/>
              <w:rPr>
                <w:rFonts w:ascii="Garamond" w:eastAsia="SimSun" w:hAnsi="Garamond" w:cs="Calibri Light"/>
                <w:b/>
                <w:bCs/>
                <w:sz w:val="12"/>
                <w:szCs w:val="12"/>
                <w:u w:val="single"/>
                <w:lang w:eastAsia="en-US"/>
              </w:rPr>
            </w:pPr>
            <w:r w:rsidRPr="00622884">
              <w:rPr>
                <w:rFonts w:ascii="Garamond" w:eastAsia="SimSun" w:hAnsi="Garamond" w:cs="Times New Roman"/>
                <w:sz w:val="12"/>
                <w:szCs w:val="12"/>
                <w:lang w:eastAsia="en-US" w:bidi="sq-AL"/>
              </w:rPr>
              <w:t>Rritja e aftësive ripërtëritëse ndaj ndryshimeve klimatike në parqet kombëtare dhe zonat e mbrojtura</w:t>
            </w:r>
          </w:p>
        </w:tc>
        <w:tc>
          <w:tcPr>
            <w:tcW w:w="509" w:type="pct"/>
            <w:vAlign w:val="center"/>
          </w:tcPr>
          <w:p w14:paraId="6334B856" w14:textId="77777777" w:rsidR="00622884" w:rsidRPr="00622884" w:rsidRDefault="00622884" w:rsidP="00622884">
            <w:pPr>
              <w:spacing w:after="0" w:line="240" w:lineRule="auto"/>
              <w:jc w:val="center"/>
              <w:rPr>
                <w:rFonts w:ascii="Garamond" w:eastAsia="SimSun" w:hAnsi="Garamond" w:cs="Calibri Light"/>
                <w:sz w:val="12"/>
                <w:szCs w:val="12"/>
                <w:lang w:eastAsia="en-US"/>
              </w:rPr>
            </w:pPr>
            <w:r w:rsidRPr="00622884">
              <w:rPr>
                <w:rFonts w:ascii="Garamond" w:eastAsia="SimSun" w:hAnsi="Garamond" w:cs="Times New Roman"/>
                <w:sz w:val="12"/>
                <w:szCs w:val="12"/>
                <w:lang w:eastAsia="en-US" w:bidi="sq-AL"/>
              </w:rPr>
              <w:t>AKZM, Bashkitë</w:t>
            </w:r>
          </w:p>
        </w:tc>
        <w:tc>
          <w:tcPr>
            <w:tcW w:w="154" w:type="pct"/>
          </w:tcPr>
          <w:p w14:paraId="78909D9F"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5EFBC98E"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4" w:type="pct"/>
          </w:tcPr>
          <w:p w14:paraId="7C7042E5"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79C3441F"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5319600F"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3" w:type="pct"/>
          </w:tcPr>
          <w:p w14:paraId="0F86F09A"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5" w:type="pct"/>
            <w:shd w:val="clear" w:color="auto" w:fill="C7E3D5"/>
          </w:tcPr>
          <w:p w14:paraId="46C8EC8E"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3" w:type="pct"/>
            <w:shd w:val="clear" w:color="auto" w:fill="C7E3D5"/>
          </w:tcPr>
          <w:p w14:paraId="2527EEA9"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shd w:val="clear" w:color="auto" w:fill="C7E3D5"/>
          </w:tcPr>
          <w:p w14:paraId="07FB9287"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shd w:val="clear" w:color="auto" w:fill="C7E3D5"/>
          </w:tcPr>
          <w:p w14:paraId="5931034F"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5" w:type="pct"/>
            <w:shd w:val="clear" w:color="auto" w:fill="C7E3D5"/>
          </w:tcPr>
          <w:p w14:paraId="4858C55D"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shd w:val="clear" w:color="auto" w:fill="C7E3D5"/>
          </w:tcPr>
          <w:p w14:paraId="10986E8F"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3" w:type="pct"/>
            <w:shd w:val="clear" w:color="auto" w:fill="C7E3D5"/>
          </w:tcPr>
          <w:p w14:paraId="42D61B65"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shd w:val="clear" w:color="auto" w:fill="C7E3D5"/>
          </w:tcPr>
          <w:p w14:paraId="2AE5DB6B"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3" w:type="pct"/>
          </w:tcPr>
          <w:p w14:paraId="4F1F56A9"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004C737B"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56" w:type="pct"/>
          </w:tcPr>
          <w:p w14:paraId="0FF6E03F"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r>
      <w:tr w:rsidR="00622884" w:rsidRPr="00622884" w14:paraId="0F0DA638" w14:textId="77777777" w:rsidTr="00622884">
        <w:trPr>
          <w:trHeight w:val="321"/>
          <w:jc w:val="center"/>
        </w:trPr>
        <w:tc>
          <w:tcPr>
            <w:tcW w:w="245" w:type="pct"/>
            <w:vAlign w:val="center"/>
          </w:tcPr>
          <w:p w14:paraId="28B0B872" w14:textId="77777777" w:rsidR="00622884" w:rsidRPr="00622884" w:rsidRDefault="00622884" w:rsidP="00622884">
            <w:pPr>
              <w:spacing w:after="0" w:line="240" w:lineRule="auto"/>
              <w:jc w:val="center"/>
              <w:rPr>
                <w:rFonts w:ascii="Garamond" w:eastAsia="SimSun" w:hAnsi="Garamond" w:cs="Calibri Light"/>
                <w:b/>
                <w:bCs/>
                <w:sz w:val="12"/>
                <w:szCs w:val="12"/>
                <w:lang w:eastAsia="en-US"/>
              </w:rPr>
            </w:pPr>
            <w:r w:rsidRPr="00622884">
              <w:rPr>
                <w:rFonts w:ascii="Garamond" w:eastAsia="SimSun" w:hAnsi="Garamond" w:cs="Times New Roman"/>
                <w:b/>
                <w:sz w:val="12"/>
                <w:szCs w:val="12"/>
                <w:lang w:eastAsia="en-US" w:bidi="sq-AL"/>
              </w:rPr>
              <w:t>31</w:t>
            </w:r>
          </w:p>
        </w:tc>
        <w:tc>
          <w:tcPr>
            <w:tcW w:w="1943" w:type="pct"/>
            <w:vAlign w:val="center"/>
          </w:tcPr>
          <w:p w14:paraId="1EA0B87A" w14:textId="77777777" w:rsidR="00622884" w:rsidRPr="00622884" w:rsidRDefault="00622884" w:rsidP="00622884">
            <w:pPr>
              <w:spacing w:after="0" w:line="240" w:lineRule="auto"/>
              <w:jc w:val="left"/>
              <w:rPr>
                <w:rFonts w:ascii="Garamond" w:eastAsia="SimSun" w:hAnsi="Garamond" w:cs="Calibri Light"/>
                <w:b/>
                <w:bCs/>
                <w:sz w:val="12"/>
                <w:szCs w:val="12"/>
                <w:u w:val="single"/>
                <w:lang w:eastAsia="en-US"/>
              </w:rPr>
            </w:pPr>
            <w:r w:rsidRPr="00622884">
              <w:rPr>
                <w:rFonts w:ascii="Garamond" w:eastAsia="SimSun" w:hAnsi="Garamond" w:cs="Times New Roman"/>
                <w:sz w:val="12"/>
                <w:szCs w:val="12"/>
                <w:lang w:eastAsia="en-US" w:bidi="sq-AL"/>
              </w:rPr>
              <w:t>Restaurimi i shtresave pyjore për të mbrojtur kulturat në Vlorë</w:t>
            </w:r>
          </w:p>
        </w:tc>
        <w:tc>
          <w:tcPr>
            <w:tcW w:w="509" w:type="pct"/>
            <w:vAlign w:val="center"/>
          </w:tcPr>
          <w:p w14:paraId="16D1DBD1" w14:textId="77777777" w:rsidR="00622884" w:rsidRPr="00622884" w:rsidRDefault="00622884" w:rsidP="00622884">
            <w:pPr>
              <w:spacing w:after="0" w:line="240" w:lineRule="auto"/>
              <w:jc w:val="center"/>
              <w:rPr>
                <w:rFonts w:ascii="Garamond" w:eastAsia="SimSun" w:hAnsi="Garamond" w:cs="Calibri Light"/>
                <w:sz w:val="12"/>
                <w:szCs w:val="12"/>
                <w:lang w:eastAsia="en-US"/>
              </w:rPr>
            </w:pPr>
            <w:r w:rsidRPr="00622884">
              <w:rPr>
                <w:rFonts w:ascii="Garamond" w:eastAsia="SimSun" w:hAnsi="Garamond" w:cs="Times New Roman"/>
                <w:sz w:val="12"/>
                <w:szCs w:val="12"/>
                <w:lang w:eastAsia="en-US" w:bidi="sq-AL"/>
              </w:rPr>
              <w:t>MBZHR, Bashkitë</w:t>
            </w:r>
          </w:p>
        </w:tc>
        <w:tc>
          <w:tcPr>
            <w:tcW w:w="154" w:type="pct"/>
          </w:tcPr>
          <w:p w14:paraId="0BEA9CF2"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4293B659"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4" w:type="pct"/>
          </w:tcPr>
          <w:p w14:paraId="37C74448"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shd w:val="clear" w:color="auto" w:fill="C7E3D5"/>
          </w:tcPr>
          <w:p w14:paraId="729350B9"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shd w:val="clear" w:color="auto" w:fill="C7E3D5"/>
          </w:tcPr>
          <w:p w14:paraId="188CCFDB"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3" w:type="pct"/>
            <w:shd w:val="clear" w:color="auto" w:fill="C7E3D5"/>
          </w:tcPr>
          <w:p w14:paraId="6D0EC7C4"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5" w:type="pct"/>
            <w:shd w:val="clear" w:color="auto" w:fill="C7E3D5"/>
          </w:tcPr>
          <w:p w14:paraId="6B12A7C8"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3" w:type="pct"/>
            <w:shd w:val="clear" w:color="auto" w:fill="C7E3D5"/>
          </w:tcPr>
          <w:p w14:paraId="45BB8DFB"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shd w:val="clear" w:color="auto" w:fill="C7E3D5"/>
          </w:tcPr>
          <w:p w14:paraId="4742A66F"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shd w:val="clear" w:color="auto" w:fill="C7E3D5"/>
          </w:tcPr>
          <w:p w14:paraId="62F7B867"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5" w:type="pct"/>
          </w:tcPr>
          <w:p w14:paraId="546A3D94"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0AC941C4"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3" w:type="pct"/>
          </w:tcPr>
          <w:p w14:paraId="65ECBE5D"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464FDE89"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3" w:type="pct"/>
          </w:tcPr>
          <w:p w14:paraId="01190511"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37E401BE"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56" w:type="pct"/>
          </w:tcPr>
          <w:p w14:paraId="4123A214"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r>
      <w:tr w:rsidR="00622884" w:rsidRPr="00622884" w14:paraId="50E9B5ED" w14:textId="77777777" w:rsidTr="00622884">
        <w:trPr>
          <w:trHeight w:val="215"/>
          <w:jc w:val="center"/>
        </w:trPr>
        <w:tc>
          <w:tcPr>
            <w:tcW w:w="245" w:type="pct"/>
            <w:vAlign w:val="center"/>
          </w:tcPr>
          <w:p w14:paraId="19AE7ABA" w14:textId="77777777" w:rsidR="00622884" w:rsidRPr="00622884" w:rsidRDefault="00622884" w:rsidP="00622884">
            <w:pPr>
              <w:spacing w:after="0" w:line="240" w:lineRule="auto"/>
              <w:jc w:val="center"/>
              <w:rPr>
                <w:rFonts w:ascii="Garamond" w:eastAsia="SimSun" w:hAnsi="Garamond" w:cs="Calibri Light"/>
                <w:b/>
                <w:bCs/>
                <w:sz w:val="12"/>
                <w:szCs w:val="12"/>
                <w:lang w:eastAsia="en-US"/>
              </w:rPr>
            </w:pPr>
            <w:r w:rsidRPr="00622884">
              <w:rPr>
                <w:rFonts w:ascii="Garamond" w:eastAsia="SimSun" w:hAnsi="Garamond" w:cs="Times New Roman"/>
                <w:b/>
                <w:sz w:val="12"/>
                <w:szCs w:val="12"/>
                <w:lang w:eastAsia="en-US" w:bidi="sq-AL"/>
              </w:rPr>
              <w:t>32</w:t>
            </w:r>
          </w:p>
        </w:tc>
        <w:tc>
          <w:tcPr>
            <w:tcW w:w="1943" w:type="pct"/>
            <w:vAlign w:val="center"/>
          </w:tcPr>
          <w:p w14:paraId="55A6F6E1" w14:textId="77777777" w:rsidR="00622884" w:rsidRPr="00622884" w:rsidRDefault="00622884" w:rsidP="00622884">
            <w:pPr>
              <w:spacing w:after="0" w:line="240" w:lineRule="auto"/>
              <w:jc w:val="left"/>
              <w:rPr>
                <w:rFonts w:ascii="Garamond" w:eastAsia="SimSun" w:hAnsi="Garamond" w:cs="Calibri Light"/>
                <w:b/>
                <w:bCs/>
                <w:sz w:val="12"/>
                <w:szCs w:val="12"/>
                <w:u w:val="single"/>
                <w:lang w:eastAsia="en-US"/>
              </w:rPr>
            </w:pPr>
            <w:r w:rsidRPr="00622884">
              <w:rPr>
                <w:rFonts w:ascii="Garamond" w:eastAsia="SimSun" w:hAnsi="Garamond" w:cs="Times New Roman"/>
                <w:sz w:val="12"/>
                <w:szCs w:val="12"/>
                <w:lang w:eastAsia="en-US" w:bidi="sq-AL"/>
              </w:rPr>
              <w:t>Planifikimi hapësinor strategjik për turizmin: Ridrejtimi i zhvillimit nga zonat me risk të lart</w:t>
            </w:r>
          </w:p>
        </w:tc>
        <w:tc>
          <w:tcPr>
            <w:tcW w:w="509" w:type="pct"/>
            <w:vAlign w:val="center"/>
          </w:tcPr>
          <w:p w14:paraId="0159F041" w14:textId="77777777" w:rsidR="00622884" w:rsidRPr="00622884" w:rsidRDefault="00622884" w:rsidP="00622884">
            <w:pPr>
              <w:spacing w:after="0" w:line="240" w:lineRule="auto"/>
              <w:jc w:val="center"/>
              <w:rPr>
                <w:rFonts w:ascii="Garamond" w:eastAsia="SimSun" w:hAnsi="Garamond" w:cs="Calibri Light"/>
                <w:sz w:val="12"/>
                <w:szCs w:val="12"/>
                <w:u w:val="single"/>
                <w:lang w:eastAsia="en-US"/>
              </w:rPr>
            </w:pPr>
            <w:r w:rsidRPr="00622884">
              <w:rPr>
                <w:rFonts w:ascii="Garamond" w:eastAsia="SimSun" w:hAnsi="Garamond" w:cs="Times New Roman"/>
                <w:sz w:val="12"/>
                <w:szCs w:val="12"/>
                <w:lang w:eastAsia="en-US" w:bidi="sq-AL"/>
              </w:rPr>
              <w:t>MM, MTKS</w:t>
            </w:r>
          </w:p>
        </w:tc>
        <w:tc>
          <w:tcPr>
            <w:tcW w:w="154" w:type="pct"/>
            <w:shd w:val="clear" w:color="auto" w:fill="C7E3D5"/>
          </w:tcPr>
          <w:p w14:paraId="7262B145"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shd w:val="clear" w:color="auto" w:fill="C7E3D5"/>
          </w:tcPr>
          <w:p w14:paraId="4F37A518"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4" w:type="pct"/>
          </w:tcPr>
          <w:p w14:paraId="24C566DB"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4407B0EE"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761B7E56"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3" w:type="pct"/>
          </w:tcPr>
          <w:p w14:paraId="17CAAE51"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5" w:type="pct"/>
          </w:tcPr>
          <w:p w14:paraId="558E23AE"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3" w:type="pct"/>
          </w:tcPr>
          <w:p w14:paraId="48FBA446"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78D9F801"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5D0C31C0"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5" w:type="pct"/>
          </w:tcPr>
          <w:p w14:paraId="37DD8877"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48C8FE6B"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3" w:type="pct"/>
          </w:tcPr>
          <w:p w14:paraId="61D529C2"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49AFDDFA"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3" w:type="pct"/>
          </w:tcPr>
          <w:p w14:paraId="7AE3AC3D"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0B5399FF"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56" w:type="pct"/>
          </w:tcPr>
          <w:p w14:paraId="21478C9A"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r>
      <w:tr w:rsidR="00622884" w:rsidRPr="00622884" w14:paraId="5FC59EF9" w14:textId="77777777" w:rsidTr="00622884">
        <w:trPr>
          <w:trHeight w:val="289"/>
          <w:jc w:val="center"/>
        </w:trPr>
        <w:tc>
          <w:tcPr>
            <w:tcW w:w="245" w:type="pct"/>
            <w:vAlign w:val="center"/>
          </w:tcPr>
          <w:p w14:paraId="30F537F7" w14:textId="77777777" w:rsidR="00622884" w:rsidRPr="00622884" w:rsidRDefault="00622884" w:rsidP="00622884">
            <w:pPr>
              <w:spacing w:after="0" w:line="240" w:lineRule="auto"/>
              <w:jc w:val="center"/>
              <w:rPr>
                <w:rFonts w:ascii="Garamond" w:eastAsia="SimSun" w:hAnsi="Garamond" w:cs="Calibri Light"/>
                <w:b/>
                <w:bCs/>
                <w:sz w:val="12"/>
                <w:szCs w:val="12"/>
                <w:lang w:eastAsia="en-US"/>
              </w:rPr>
            </w:pPr>
            <w:r w:rsidRPr="00622884">
              <w:rPr>
                <w:rFonts w:ascii="Garamond" w:eastAsia="SimSun" w:hAnsi="Garamond" w:cs="Times New Roman"/>
                <w:b/>
                <w:sz w:val="12"/>
                <w:szCs w:val="12"/>
                <w:lang w:eastAsia="en-US" w:bidi="sq-AL"/>
              </w:rPr>
              <w:t>33</w:t>
            </w:r>
          </w:p>
        </w:tc>
        <w:tc>
          <w:tcPr>
            <w:tcW w:w="1943" w:type="pct"/>
            <w:vAlign w:val="center"/>
          </w:tcPr>
          <w:p w14:paraId="4A70C3AA" w14:textId="77777777" w:rsidR="00622884" w:rsidRPr="00622884" w:rsidRDefault="00622884" w:rsidP="00622884">
            <w:pPr>
              <w:spacing w:after="0" w:line="240" w:lineRule="auto"/>
              <w:jc w:val="left"/>
              <w:rPr>
                <w:rFonts w:ascii="Garamond" w:eastAsia="SimSun" w:hAnsi="Garamond" w:cs="Calibri Light"/>
                <w:b/>
                <w:bCs/>
                <w:sz w:val="12"/>
                <w:szCs w:val="12"/>
                <w:u w:val="single"/>
                <w:lang w:eastAsia="en-US"/>
              </w:rPr>
            </w:pPr>
            <w:r w:rsidRPr="00622884">
              <w:rPr>
                <w:rFonts w:ascii="Garamond" w:eastAsia="SimSun" w:hAnsi="Garamond" w:cs="Times New Roman"/>
                <w:sz w:val="12"/>
                <w:szCs w:val="12"/>
                <w:lang w:eastAsia="en-US" w:bidi="sq-AL"/>
              </w:rPr>
              <w:t>Mbrojtja e infrastrukturës turistike dhe trashëgimisë kulturore nga ndryshimet klimatike: Paketat e incentivave për mbrojtjen e infrastrukturës së sektorit të turizmit dhe trashëgimisë kulturore nga ndryshimet klimatike</w:t>
            </w:r>
          </w:p>
        </w:tc>
        <w:tc>
          <w:tcPr>
            <w:tcW w:w="509" w:type="pct"/>
            <w:vAlign w:val="center"/>
          </w:tcPr>
          <w:p w14:paraId="630F2ECA" w14:textId="77777777" w:rsidR="00622884" w:rsidRPr="00622884" w:rsidRDefault="00622884" w:rsidP="00622884">
            <w:pPr>
              <w:spacing w:after="0" w:line="240" w:lineRule="auto"/>
              <w:jc w:val="center"/>
              <w:rPr>
                <w:rFonts w:ascii="Garamond" w:eastAsia="SimSun" w:hAnsi="Garamond" w:cs="Calibri Light"/>
                <w:sz w:val="12"/>
                <w:szCs w:val="12"/>
                <w:u w:val="single"/>
                <w:lang w:eastAsia="en-US"/>
              </w:rPr>
            </w:pPr>
            <w:r w:rsidRPr="00622884">
              <w:rPr>
                <w:rFonts w:ascii="Garamond" w:eastAsia="SimSun" w:hAnsi="Garamond" w:cs="Times New Roman"/>
                <w:sz w:val="12"/>
                <w:szCs w:val="12"/>
                <w:lang w:eastAsia="en-US" w:bidi="sq-AL"/>
              </w:rPr>
              <w:t>MM, MTKS</w:t>
            </w:r>
          </w:p>
        </w:tc>
        <w:tc>
          <w:tcPr>
            <w:tcW w:w="154" w:type="pct"/>
          </w:tcPr>
          <w:p w14:paraId="5882FA03"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33BE1DE2"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4" w:type="pct"/>
          </w:tcPr>
          <w:p w14:paraId="1F8D23F2"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04A8C147"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shd w:val="clear" w:color="auto" w:fill="C7E3D5"/>
          </w:tcPr>
          <w:p w14:paraId="590B6369"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3" w:type="pct"/>
            <w:shd w:val="clear" w:color="auto" w:fill="C7E3D5"/>
          </w:tcPr>
          <w:p w14:paraId="24F189D7"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5" w:type="pct"/>
            <w:shd w:val="clear" w:color="auto" w:fill="C7E3D5"/>
          </w:tcPr>
          <w:p w14:paraId="6141B6A6"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3" w:type="pct"/>
          </w:tcPr>
          <w:p w14:paraId="3108EB54"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3E38B402"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205E76F0"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5" w:type="pct"/>
          </w:tcPr>
          <w:p w14:paraId="6305903B"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677B065E"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3" w:type="pct"/>
          </w:tcPr>
          <w:p w14:paraId="75B0234E"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01475B67"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3" w:type="pct"/>
          </w:tcPr>
          <w:p w14:paraId="298A3FD5"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37BF97D0"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56" w:type="pct"/>
          </w:tcPr>
          <w:p w14:paraId="4C2FC5D7"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r>
      <w:tr w:rsidR="00622884" w:rsidRPr="00622884" w14:paraId="5F127A2D" w14:textId="77777777" w:rsidTr="00622884">
        <w:trPr>
          <w:trHeight w:val="155"/>
          <w:jc w:val="center"/>
        </w:trPr>
        <w:tc>
          <w:tcPr>
            <w:tcW w:w="245" w:type="pct"/>
            <w:vAlign w:val="center"/>
          </w:tcPr>
          <w:p w14:paraId="3B709671" w14:textId="77777777" w:rsidR="00622884" w:rsidRPr="00622884" w:rsidRDefault="00622884" w:rsidP="00622884">
            <w:pPr>
              <w:spacing w:after="0" w:line="240" w:lineRule="auto"/>
              <w:jc w:val="center"/>
              <w:rPr>
                <w:rFonts w:ascii="Garamond" w:eastAsia="SimSun" w:hAnsi="Garamond" w:cs="Calibri Light"/>
                <w:b/>
                <w:bCs/>
                <w:sz w:val="12"/>
                <w:szCs w:val="12"/>
                <w:lang w:eastAsia="en-US"/>
              </w:rPr>
            </w:pPr>
            <w:r w:rsidRPr="00622884">
              <w:rPr>
                <w:rFonts w:ascii="Garamond" w:eastAsia="SimSun" w:hAnsi="Garamond" w:cs="Times New Roman"/>
                <w:b/>
                <w:sz w:val="12"/>
                <w:szCs w:val="12"/>
                <w:lang w:eastAsia="en-US" w:bidi="sq-AL"/>
              </w:rPr>
              <w:t>34</w:t>
            </w:r>
          </w:p>
        </w:tc>
        <w:tc>
          <w:tcPr>
            <w:tcW w:w="1943" w:type="pct"/>
            <w:vAlign w:val="center"/>
          </w:tcPr>
          <w:p w14:paraId="69483AAD" w14:textId="77777777" w:rsidR="00622884" w:rsidRPr="00622884" w:rsidRDefault="00622884" w:rsidP="00622884">
            <w:pPr>
              <w:spacing w:after="0" w:line="240" w:lineRule="auto"/>
              <w:jc w:val="left"/>
              <w:rPr>
                <w:rFonts w:ascii="Garamond" w:eastAsia="SimSun" w:hAnsi="Garamond" w:cs="Calibri Light"/>
                <w:b/>
                <w:bCs/>
                <w:sz w:val="12"/>
                <w:szCs w:val="12"/>
                <w:u w:val="single"/>
                <w:lang w:eastAsia="en-US"/>
              </w:rPr>
            </w:pPr>
            <w:r w:rsidRPr="00622884">
              <w:rPr>
                <w:rFonts w:ascii="Garamond" w:eastAsia="SimSun" w:hAnsi="Garamond" w:cs="Times New Roman"/>
                <w:sz w:val="12"/>
                <w:szCs w:val="12"/>
                <w:lang w:eastAsia="en-US" w:bidi="sq-AL"/>
              </w:rPr>
              <w:t>Planifikimi strategjik për qëndrueshmërinë bregdetare: Zonat buferike dhe përshtatja e barrierave detare</w:t>
            </w:r>
          </w:p>
        </w:tc>
        <w:tc>
          <w:tcPr>
            <w:tcW w:w="509" w:type="pct"/>
            <w:vAlign w:val="center"/>
          </w:tcPr>
          <w:p w14:paraId="12FFDF95" w14:textId="77777777" w:rsidR="00622884" w:rsidRPr="00622884" w:rsidRDefault="00622884" w:rsidP="00622884">
            <w:pPr>
              <w:spacing w:after="0" w:line="240" w:lineRule="auto"/>
              <w:jc w:val="center"/>
              <w:rPr>
                <w:rFonts w:ascii="Garamond" w:eastAsia="SimSun" w:hAnsi="Garamond" w:cs="Calibri Light"/>
                <w:sz w:val="12"/>
                <w:szCs w:val="12"/>
                <w:lang w:eastAsia="en-US"/>
              </w:rPr>
            </w:pPr>
            <w:r w:rsidRPr="00622884">
              <w:rPr>
                <w:rFonts w:ascii="Garamond" w:eastAsia="SimSun" w:hAnsi="Garamond" w:cs="Times New Roman"/>
                <w:sz w:val="12"/>
                <w:szCs w:val="12"/>
                <w:lang w:eastAsia="en-US" w:bidi="sq-AL"/>
              </w:rPr>
              <w:t>MM, MTKS, Bashkitë</w:t>
            </w:r>
          </w:p>
        </w:tc>
        <w:tc>
          <w:tcPr>
            <w:tcW w:w="154" w:type="pct"/>
          </w:tcPr>
          <w:p w14:paraId="7D311DB5"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604DAD00"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4" w:type="pct"/>
          </w:tcPr>
          <w:p w14:paraId="1EF2C9C5"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shd w:val="clear" w:color="auto" w:fill="C7E3D5"/>
          </w:tcPr>
          <w:p w14:paraId="63334C34"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shd w:val="clear" w:color="auto" w:fill="C7E3D5"/>
          </w:tcPr>
          <w:p w14:paraId="41FF453A"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3" w:type="pct"/>
            <w:shd w:val="clear" w:color="auto" w:fill="C7E3D5"/>
          </w:tcPr>
          <w:p w14:paraId="790F8FD8"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5" w:type="pct"/>
          </w:tcPr>
          <w:p w14:paraId="650E4023"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3" w:type="pct"/>
          </w:tcPr>
          <w:p w14:paraId="6EBF637E"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3F58BE60"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4A8C4E67"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5" w:type="pct"/>
          </w:tcPr>
          <w:p w14:paraId="03A8A3FB"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77A7907F"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3" w:type="pct"/>
          </w:tcPr>
          <w:p w14:paraId="725F60CE"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5011A4AA"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3" w:type="pct"/>
          </w:tcPr>
          <w:p w14:paraId="4FE6E1E7"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67753415"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56" w:type="pct"/>
          </w:tcPr>
          <w:p w14:paraId="165BE951"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r>
      <w:tr w:rsidR="00622884" w:rsidRPr="00622884" w14:paraId="28A63051" w14:textId="77777777" w:rsidTr="00622884">
        <w:trPr>
          <w:trHeight w:val="380"/>
          <w:jc w:val="center"/>
        </w:trPr>
        <w:tc>
          <w:tcPr>
            <w:tcW w:w="245" w:type="pct"/>
            <w:vAlign w:val="center"/>
          </w:tcPr>
          <w:p w14:paraId="62E60190" w14:textId="77777777" w:rsidR="00622884" w:rsidRPr="00622884" w:rsidRDefault="00622884" w:rsidP="00622884">
            <w:pPr>
              <w:spacing w:after="0" w:line="240" w:lineRule="auto"/>
              <w:jc w:val="center"/>
              <w:rPr>
                <w:rFonts w:ascii="Garamond" w:eastAsia="SimSun" w:hAnsi="Garamond" w:cs="Calibri Light"/>
                <w:b/>
                <w:bCs/>
                <w:sz w:val="12"/>
                <w:szCs w:val="12"/>
                <w:lang w:eastAsia="en-US"/>
              </w:rPr>
            </w:pPr>
            <w:r w:rsidRPr="00622884">
              <w:rPr>
                <w:rFonts w:ascii="Garamond" w:eastAsia="SimSun" w:hAnsi="Garamond" w:cs="Times New Roman"/>
                <w:b/>
                <w:sz w:val="12"/>
                <w:szCs w:val="12"/>
                <w:lang w:eastAsia="en-US" w:bidi="sq-AL"/>
              </w:rPr>
              <w:t>35</w:t>
            </w:r>
          </w:p>
        </w:tc>
        <w:tc>
          <w:tcPr>
            <w:tcW w:w="1943" w:type="pct"/>
            <w:vAlign w:val="center"/>
          </w:tcPr>
          <w:p w14:paraId="2CD6DCC3" w14:textId="77777777" w:rsidR="00622884" w:rsidRPr="00622884" w:rsidRDefault="00622884" w:rsidP="00622884">
            <w:pPr>
              <w:spacing w:after="0" w:line="240" w:lineRule="auto"/>
              <w:jc w:val="left"/>
              <w:rPr>
                <w:rFonts w:ascii="Garamond" w:eastAsia="SimSun" w:hAnsi="Garamond" w:cs="Calibri Light"/>
                <w:b/>
                <w:bCs/>
                <w:sz w:val="12"/>
                <w:szCs w:val="12"/>
                <w:u w:val="single"/>
                <w:lang w:eastAsia="en-US"/>
              </w:rPr>
            </w:pPr>
            <w:r w:rsidRPr="00622884">
              <w:rPr>
                <w:rFonts w:ascii="Garamond" w:eastAsia="SimSun" w:hAnsi="Garamond" w:cs="Times New Roman"/>
                <w:sz w:val="12"/>
                <w:szCs w:val="12"/>
                <w:lang w:eastAsia="en-US" w:bidi="sq-AL"/>
              </w:rPr>
              <w:t>Mbrojtja e gjirit të Vlorës: Ruajtja e habitateve të posidonias dhe trashëgimisë kulturore nënujore nga ndikimet klimatike</w:t>
            </w:r>
          </w:p>
        </w:tc>
        <w:tc>
          <w:tcPr>
            <w:tcW w:w="509" w:type="pct"/>
            <w:vAlign w:val="center"/>
          </w:tcPr>
          <w:p w14:paraId="49DFEA73" w14:textId="77777777" w:rsidR="00622884" w:rsidRPr="00622884" w:rsidRDefault="00622884" w:rsidP="00622884">
            <w:pPr>
              <w:spacing w:after="0" w:line="240" w:lineRule="auto"/>
              <w:jc w:val="center"/>
              <w:rPr>
                <w:rFonts w:ascii="Garamond" w:eastAsia="SimSun" w:hAnsi="Garamond" w:cs="Calibri Light"/>
                <w:sz w:val="12"/>
                <w:szCs w:val="12"/>
                <w:lang w:eastAsia="en-US"/>
              </w:rPr>
            </w:pPr>
            <w:r w:rsidRPr="00622884">
              <w:rPr>
                <w:rFonts w:ascii="Garamond" w:eastAsia="SimSun" w:hAnsi="Garamond" w:cs="Times New Roman"/>
                <w:sz w:val="12"/>
                <w:szCs w:val="12"/>
                <w:lang w:eastAsia="en-US" w:bidi="sq-AL"/>
              </w:rPr>
              <w:t>MTM, MTKS, Bashkitë</w:t>
            </w:r>
          </w:p>
        </w:tc>
        <w:tc>
          <w:tcPr>
            <w:tcW w:w="154" w:type="pct"/>
          </w:tcPr>
          <w:p w14:paraId="2E320DCD"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51484B03"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4" w:type="pct"/>
          </w:tcPr>
          <w:p w14:paraId="5D728E40"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0EC81721"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2D2BF35A"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3" w:type="pct"/>
          </w:tcPr>
          <w:p w14:paraId="0A239D8A"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5" w:type="pct"/>
          </w:tcPr>
          <w:p w14:paraId="135F6272"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3" w:type="pct"/>
          </w:tcPr>
          <w:p w14:paraId="4D506271"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shd w:val="clear" w:color="auto" w:fill="C7E3D5"/>
          </w:tcPr>
          <w:p w14:paraId="1FDD5747"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shd w:val="clear" w:color="auto" w:fill="C7E3D5"/>
          </w:tcPr>
          <w:p w14:paraId="096A0A8D"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5" w:type="pct"/>
            <w:shd w:val="clear" w:color="auto" w:fill="C7E3D5"/>
          </w:tcPr>
          <w:p w14:paraId="442368D6"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shd w:val="clear" w:color="auto" w:fill="C7E3D5"/>
          </w:tcPr>
          <w:p w14:paraId="1D79BAA0"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3" w:type="pct"/>
          </w:tcPr>
          <w:p w14:paraId="61F960A4"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36FD6F96"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3" w:type="pct"/>
          </w:tcPr>
          <w:p w14:paraId="33AE9892"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4C1FF307"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56" w:type="pct"/>
          </w:tcPr>
          <w:p w14:paraId="00BB3328"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r>
      <w:tr w:rsidR="00622884" w:rsidRPr="00622884" w14:paraId="752722F2" w14:textId="77777777" w:rsidTr="00622884">
        <w:trPr>
          <w:trHeight w:val="229"/>
          <w:jc w:val="center"/>
        </w:trPr>
        <w:tc>
          <w:tcPr>
            <w:tcW w:w="245" w:type="pct"/>
            <w:vAlign w:val="center"/>
          </w:tcPr>
          <w:p w14:paraId="0A986268" w14:textId="77777777" w:rsidR="00622884" w:rsidRPr="00622884" w:rsidRDefault="00622884" w:rsidP="00622884">
            <w:pPr>
              <w:spacing w:after="0" w:line="240" w:lineRule="auto"/>
              <w:jc w:val="center"/>
              <w:rPr>
                <w:rFonts w:ascii="Garamond" w:eastAsia="SimSun" w:hAnsi="Garamond" w:cs="Calibri Light"/>
                <w:b/>
                <w:bCs/>
                <w:sz w:val="12"/>
                <w:szCs w:val="12"/>
                <w:lang w:eastAsia="en-US"/>
              </w:rPr>
            </w:pPr>
            <w:r w:rsidRPr="00622884">
              <w:rPr>
                <w:rFonts w:ascii="Garamond" w:eastAsia="SimSun" w:hAnsi="Garamond" w:cs="Times New Roman"/>
                <w:b/>
                <w:sz w:val="12"/>
                <w:szCs w:val="12"/>
                <w:lang w:eastAsia="en-US" w:bidi="sq-AL"/>
              </w:rPr>
              <w:t>36</w:t>
            </w:r>
          </w:p>
        </w:tc>
        <w:tc>
          <w:tcPr>
            <w:tcW w:w="1943" w:type="pct"/>
            <w:vAlign w:val="center"/>
          </w:tcPr>
          <w:p w14:paraId="1303D9A2" w14:textId="77777777" w:rsidR="00622884" w:rsidRPr="00622884" w:rsidRDefault="00622884" w:rsidP="00622884">
            <w:pPr>
              <w:spacing w:after="0" w:line="240" w:lineRule="auto"/>
              <w:jc w:val="left"/>
              <w:rPr>
                <w:rFonts w:ascii="Garamond" w:eastAsia="SimSun" w:hAnsi="Garamond" w:cs="Calibri Light"/>
                <w:b/>
                <w:bCs/>
                <w:sz w:val="12"/>
                <w:szCs w:val="12"/>
                <w:u w:val="single"/>
                <w:lang w:eastAsia="en-US"/>
              </w:rPr>
            </w:pPr>
            <w:r w:rsidRPr="00622884">
              <w:rPr>
                <w:rFonts w:ascii="Garamond" w:eastAsia="SimSun" w:hAnsi="Garamond" w:cs="Times New Roman"/>
                <w:sz w:val="12"/>
                <w:szCs w:val="12"/>
                <w:lang w:eastAsia="en-US" w:bidi="sq-AL"/>
              </w:rPr>
              <w:t xml:space="preserve">Forcimi i kuadrit politik dhe rregullator për turizmin e qëndrueshëm: Rishikimi i politikave dhe përmirësimi rregullator </w:t>
            </w:r>
          </w:p>
        </w:tc>
        <w:tc>
          <w:tcPr>
            <w:tcW w:w="509" w:type="pct"/>
            <w:vAlign w:val="center"/>
          </w:tcPr>
          <w:p w14:paraId="15C0CD45" w14:textId="77777777" w:rsidR="00622884" w:rsidRPr="00622884" w:rsidRDefault="00622884" w:rsidP="00622884">
            <w:pPr>
              <w:spacing w:after="0" w:line="240" w:lineRule="auto"/>
              <w:jc w:val="center"/>
              <w:rPr>
                <w:rFonts w:ascii="Garamond" w:eastAsia="SimSun" w:hAnsi="Garamond" w:cs="Calibri Light"/>
                <w:sz w:val="12"/>
                <w:szCs w:val="12"/>
                <w:u w:val="single"/>
                <w:lang w:eastAsia="en-US"/>
              </w:rPr>
            </w:pPr>
            <w:r w:rsidRPr="00622884">
              <w:rPr>
                <w:rFonts w:ascii="Garamond" w:eastAsia="SimSun" w:hAnsi="Garamond" w:cs="Times New Roman"/>
                <w:sz w:val="12"/>
                <w:szCs w:val="12"/>
                <w:lang w:eastAsia="en-US" w:bidi="sq-AL"/>
              </w:rPr>
              <w:t>MM, MTKS</w:t>
            </w:r>
          </w:p>
        </w:tc>
        <w:tc>
          <w:tcPr>
            <w:tcW w:w="154" w:type="pct"/>
          </w:tcPr>
          <w:p w14:paraId="208F8EBF"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3E63F9D6"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4" w:type="pct"/>
            <w:shd w:val="clear" w:color="auto" w:fill="C7E3D5"/>
          </w:tcPr>
          <w:p w14:paraId="1C744AAB"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shd w:val="clear" w:color="auto" w:fill="C7E3D5"/>
          </w:tcPr>
          <w:p w14:paraId="34613BAB"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shd w:val="clear" w:color="auto" w:fill="C7E3D5"/>
          </w:tcPr>
          <w:p w14:paraId="113AD5C8"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3" w:type="pct"/>
            <w:shd w:val="clear" w:color="auto" w:fill="C7E3D5"/>
          </w:tcPr>
          <w:p w14:paraId="19281826"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5" w:type="pct"/>
          </w:tcPr>
          <w:p w14:paraId="32333003"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3" w:type="pct"/>
          </w:tcPr>
          <w:p w14:paraId="70C5C47E"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6E101B12"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7AEB60C5"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5" w:type="pct"/>
          </w:tcPr>
          <w:p w14:paraId="32EC60AD"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3145911C"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3" w:type="pct"/>
          </w:tcPr>
          <w:p w14:paraId="54DCA4DB"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2FAD3C8D"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3" w:type="pct"/>
          </w:tcPr>
          <w:p w14:paraId="23F8C2A5"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194FEA1E"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56" w:type="pct"/>
          </w:tcPr>
          <w:p w14:paraId="29D540E4"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r>
      <w:tr w:rsidR="00622884" w:rsidRPr="00622884" w14:paraId="0C23CC81" w14:textId="77777777" w:rsidTr="00622884">
        <w:trPr>
          <w:trHeight w:val="56"/>
          <w:jc w:val="center"/>
        </w:trPr>
        <w:tc>
          <w:tcPr>
            <w:tcW w:w="245" w:type="pct"/>
            <w:vAlign w:val="center"/>
          </w:tcPr>
          <w:p w14:paraId="79749FFD" w14:textId="77777777" w:rsidR="00622884" w:rsidRPr="00622884" w:rsidRDefault="00622884" w:rsidP="00622884">
            <w:pPr>
              <w:spacing w:after="0" w:line="240" w:lineRule="auto"/>
              <w:jc w:val="center"/>
              <w:rPr>
                <w:rFonts w:ascii="Garamond" w:eastAsia="SimSun" w:hAnsi="Garamond" w:cs="Calibri Light"/>
                <w:b/>
                <w:bCs/>
                <w:sz w:val="12"/>
                <w:szCs w:val="12"/>
                <w:lang w:eastAsia="en-US"/>
              </w:rPr>
            </w:pPr>
            <w:r w:rsidRPr="00622884">
              <w:rPr>
                <w:rFonts w:ascii="Garamond" w:eastAsia="SimSun" w:hAnsi="Garamond" w:cs="Times New Roman"/>
                <w:b/>
                <w:sz w:val="12"/>
                <w:szCs w:val="12"/>
                <w:lang w:eastAsia="en-US" w:bidi="sq-AL"/>
              </w:rPr>
              <w:t>37</w:t>
            </w:r>
          </w:p>
        </w:tc>
        <w:tc>
          <w:tcPr>
            <w:tcW w:w="1943" w:type="pct"/>
            <w:vAlign w:val="center"/>
          </w:tcPr>
          <w:p w14:paraId="0A2A9357" w14:textId="77777777" w:rsidR="00622884" w:rsidRPr="00622884" w:rsidRDefault="00622884" w:rsidP="00622884">
            <w:pPr>
              <w:spacing w:after="0" w:line="240" w:lineRule="auto"/>
              <w:jc w:val="left"/>
              <w:rPr>
                <w:rFonts w:ascii="Garamond" w:eastAsia="SimSun" w:hAnsi="Garamond" w:cs="Calibri Light"/>
                <w:b/>
                <w:bCs/>
                <w:sz w:val="12"/>
                <w:szCs w:val="12"/>
                <w:u w:val="single"/>
                <w:lang w:eastAsia="en-US"/>
              </w:rPr>
            </w:pPr>
            <w:r w:rsidRPr="00622884">
              <w:rPr>
                <w:rFonts w:ascii="Garamond" w:eastAsia="SimSun" w:hAnsi="Garamond" w:cs="Times New Roman"/>
                <w:sz w:val="12"/>
                <w:szCs w:val="12"/>
                <w:lang w:eastAsia="en-US" w:bidi="sq-AL"/>
              </w:rPr>
              <w:t>Integrimi i të dhënave klimatike për turizëm të qëndrueshëm: Udhëzimet për menaxhimin e qëndrueshëm të biznesit dhe raportimin kombëtar</w:t>
            </w:r>
          </w:p>
        </w:tc>
        <w:tc>
          <w:tcPr>
            <w:tcW w:w="509" w:type="pct"/>
            <w:vAlign w:val="center"/>
          </w:tcPr>
          <w:p w14:paraId="1E632FC6" w14:textId="77777777" w:rsidR="00622884" w:rsidRPr="00622884" w:rsidRDefault="00622884" w:rsidP="00622884">
            <w:pPr>
              <w:spacing w:after="0" w:line="240" w:lineRule="auto"/>
              <w:jc w:val="center"/>
              <w:rPr>
                <w:rFonts w:ascii="Garamond" w:eastAsia="SimSun" w:hAnsi="Garamond" w:cs="Calibri Light"/>
                <w:sz w:val="12"/>
                <w:szCs w:val="12"/>
                <w:u w:val="single"/>
                <w:lang w:eastAsia="en-US"/>
              </w:rPr>
            </w:pPr>
            <w:r w:rsidRPr="00622884">
              <w:rPr>
                <w:rFonts w:ascii="Garamond" w:eastAsia="SimSun" w:hAnsi="Garamond" w:cs="Times New Roman"/>
                <w:sz w:val="12"/>
                <w:szCs w:val="12"/>
                <w:lang w:eastAsia="en-US" w:bidi="sq-AL"/>
              </w:rPr>
              <w:t xml:space="preserve">MM, MTKS </w:t>
            </w:r>
          </w:p>
        </w:tc>
        <w:tc>
          <w:tcPr>
            <w:tcW w:w="154" w:type="pct"/>
            <w:shd w:val="clear" w:color="auto" w:fill="C7E3D5"/>
          </w:tcPr>
          <w:p w14:paraId="5E2C7720"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shd w:val="clear" w:color="auto" w:fill="C7E3D5"/>
          </w:tcPr>
          <w:p w14:paraId="6AE2E94E"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4" w:type="pct"/>
            <w:shd w:val="clear" w:color="auto" w:fill="C7E3D5"/>
          </w:tcPr>
          <w:p w14:paraId="1E1D37A5"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61EC7467"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473A8DDA"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3" w:type="pct"/>
          </w:tcPr>
          <w:p w14:paraId="2C60B665"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5" w:type="pct"/>
          </w:tcPr>
          <w:p w14:paraId="1541FE23"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3" w:type="pct"/>
          </w:tcPr>
          <w:p w14:paraId="1FBF3618"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058B0519"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414F4368"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5" w:type="pct"/>
          </w:tcPr>
          <w:p w14:paraId="18D9D6E2"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7815575E"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3" w:type="pct"/>
          </w:tcPr>
          <w:p w14:paraId="65C5A4FC"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6A5750DB"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3" w:type="pct"/>
          </w:tcPr>
          <w:p w14:paraId="32C5BE52"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672324AE"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56" w:type="pct"/>
          </w:tcPr>
          <w:p w14:paraId="4A431FB2"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r>
      <w:tr w:rsidR="00622884" w:rsidRPr="00622884" w14:paraId="12331EE2" w14:textId="77777777" w:rsidTr="00622884">
        <w:trPr>
          <w:trHeight w:val="86"/>
          <w:jc w:val="center"/>
        </w:trPr>
        <w:tc>
          <w:tcPr>
            <w:tcW w:w="245" w:type="pct"/>
            <w:vAlign w:val="center"/>
          </w:tcPr>
          <w:p w14:paraId="5469265C" w14:textId="77777777" w:rsidR="00622884" w:rsidRPr="00622884" w:rsidRDefault="00622884" w:rsidP="00622884">
            <w:pPr>
              <w:spacing w:after="0" w:line="240" w:lineRule="auto"/>
              <w:jc w:val="center"/>
              <w:rPr>
                <w:rFonts w:ascii="Garamond" w:eastAsia="SimSun" w:hAnsi="Garamond" w:cs="Calibri Light"/>
                <w:b/>
                <w:bCs/>
                <w:sz w:val="12"/>
                <w:szCs w:val="12"/>
                <w:lang w:eastAsia="en-US"/>
              </w:rPr>
            </w:pPr>
            <w:r w:rsidRPr="00622884">
              <w:rPr>
                <w:rFonts w:ascii="Garamond" w:eastAsia="SimSun" w:hAnsi="Garamond" w:cs="Times New Roman"/>
                <w:b/>
                <w:sz w:val="12"/>
                <w:szCs w:val="12"/>
                <w:lang w:eastAsia="en-US" w:bidi="sq-AL"/>
              </w:rPr>
              <w:t>38</w:t>
            </w:r>
          </w:p>
        </w:tc>
        <w:tc>
          <w:tcPr>
            <w:tcW w:w="1943" w:type="pct"/>
            <w:vAlign w:val="center"/>
          </w:tcPr>
          <w:p w14:paraId="60F18BC9" w14:textId="77777777" w:rsidR="00622884" w:rsidRPr="00622884" w:rsidRDefault="00622884" w:rsidP="00622884">
            <w:pPr>
              <w:spacing w:after="0" w:line="240" w:lineRule="auto"/>
              <w:jc w:val="left"/>
              <w:rPr>
                <w:rFonts w:ascii="Garamond" w:eastAsia="SimSun" w:hAnsi="Garamond" w:cs="Calibri Light"/>
                <w:b/>
                <w:bCs/>
                <w:sz w:val="12"/>
                <w:szCs w:val="12"/>
                <w:u w:val="single"/>
                <w:lang w:eastAsia="en-US"/>
              </w:rPr>
            </w:pPr>
            <w:r w:rsidRPr="00622884">
              <w:rPr>
                <w:rFonts w:ascii="Garamond" w:eastAsia="SimSun" w:hAnsi="Garamond" w:cs="Times New Roman"/>
                <w:sz w:val="12"/>
                <w:szCs w:val="12"/>
                <w:lang w:eastAsia="en-US" w:bidi="sq-AL"/>
              </w:rPr>
              <w:t>Mbrojtja e infrastrukturës turistike nga ndryshimet klimatike: Projektime përshtatëse për zbutjen e risqeve klimatike</w:t>
            </w:r>
          </w:p>
        </w:tc>
        <w:tc>
          <w:tcPr>
            <w:tcW w:w="509" w:type="pct"/>
            <w:vAlign w:val="center"/>
          </w:tcPr>
          <w:p w14:paraId="2D8C7B3B" w14:textId="77777777" w:rsidR="00622884" w:rsidRPr="00622884" w:rsidRDefault="00622884" w:rsidP="00622884">
            <w:pPr>
              <w:spacing w:after="0" w:line="240" w:lineRule="auto"/>
              <w:jc w:val="center"/>
              <w:rPr>
                <w:rFonts w:ascii="Garamond" w:eastAsia="SimSun" w:hAnsi="Garamond" w:cs="Calibri Light"/>
                <w:sz w:val="12"/>
                <w:szCs w:val="12"/>
                <w:u w:val="single"/>
                <w:lang w:eastAsia="en-US"/>
              </w:rPr>
            </w:pPr>
            <w:r w:rsidRPr="00622884">
              <w:rPr>
                <w:rFonts w:ascii="Garamond" w:eastAsia="SimSun" w:hAnsi="Garamond" w:cs="Times New Roman"/>
                <w:sz w:val="12"/>
                <w:szCs w:val="12"/>
                <w:lang w:eastAsia="en-US" w:bidi="sq-AL"/>
              </w:rPr>
              <w:t>MM, MTKS</w:t>
            </w:r>
          </w:p>
        </w:tc>
        <w:tc>
          <w:tcPr>
            <w:tcW w:w="154" w:type="pct"/>
          </w:tcPr>
          <w:p w14:paraId="01605EC7"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shd w:val="clear" w:color="auto" w:fill="C7E3D5"/>
          </w:tcPr>
          <w:p w14:paraId="6920B1B0"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4" w:type="pct"/>
            <w:shd w:val="clear" w:color="auto" w:fill="C7E3D5"/>
          </w:tcPr>
          <w:p w14:paraId="264D8C06"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shd w:val="clear" w:color="auto" w:fill="C7E3D5"/>
          </w:tcPr>
          <w:p w14:paraId="08019461"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shd w:val="clear" w:color="auto" w:fill="C7E3D5"/>
          </w:tcPr>
          <w:p w14:paraId="3FA60AAE"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3" w:type="pct"/>
            <w:shd w:val="clear" w:color="auto" w:fill="C7E3D5"/>
          </w:tcPr>
          <w:p w14:paraId="5FF48CF3"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5" w:type="pct"/>
            <w:shd w:val="clear" w:color="auto" w:fill="C7E3D5"/>
          </w:tcPr>
          <w:p w14:paraId="43D03B04"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3" w:type="pct"/>
            <w:shd w:val="clear" w:color="auto" w:fill="C7E3D5"/>
          </w:tcPr>
          <w:p w14:paraId="2674E225"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shd w:val="clear" w:color="auto" w:fill="C7E3D5"/>
          </w:tcPr>
          <w:p w14:paraId="6D14692D"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shd w:val="clear" w:color="auto" w:fill="C7E3D5"/>
          </w:tcPr>
          <w:p w14:paraId="4313C4FB"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5" w:type="pct"/>
            <w:shd w:val="clear" w:color="auto" w:fill="C7E3D5"/>
          </w:tcPr>
          <w:p w14:paraId="68789EBB"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766E6C0F"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3" w:type="pct"/>
          </w:tcPr>
          <w:p w14:paraId="05346C85"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4733E18A"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3" w:type="pct"/>
          </w:tcPr>
          <w:p w14:paraId="2C603FF4"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03823ECC"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56" w:type="pct"/>
          </w:tcPr>
          <w:p w14:paraId="36AFD2B4"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r>
      <w:tr w:rsidR="00622884" w:rsidRPr="00622884" w14:paraId="167950B8" w14:textId="77777777" w:rsidTr="00622884">
        <w:trPr>
          <w:trHeight w:val="375"/>
          <w:jc w:val="center"/>
        </w:trPr>
        <w:tc>
          <w:tcPr>
            <w:tcW w:w="245" w:type="pct"/>
            <w:vAlign w:val="center"/>
          </w:tcPr>
          <w:p w14:paraId="4E346F42" w14:textId="77777777" w:rsidR="00622884" w:rsidRPr="00622884" w:rsidRDefault="00622884" w:rsidP="00622884">
            <w:pPr>
              <w:spacing w:after="0" w:line="240" w:lineRule="auto"/>
              <w:jc w:val="center"/>
              <w:rPr>
                <w:rFonts w:ascii="Garamond" w:eastAsia="SimSun" w:hAnsi="Garamond" w:cs="Calibri Light"/>
                <w:b/>
                <w:bCs/>
                <w:sz w:val="12"/>
                <w:szCs w:val="12"/>
                <w:lang w:eastAsia="en-US"/>
              </w:rPr>
            </w:pPr>
            <w:r w:rsidRPr="00622884">
              <w:rPr>
                <w:rFonts w:ascii="Garamond" w:eastAsia="SimSun" w:hAnsi="Garamond" w:cs="Times New Roman"/>
                <w:b/>
                <w:sz w:val="12"/>
                <w:szCs w:val="12"/>
                <w:lang w:eastAsia="en-US" w:bidi="sq-AL"/>
              </w:rPr>
              <w:t>39</w:t>
            </w:r>
          </w:p>
        </w:tc>
        <w:tc>
          <w:tcPr>
            <w:tcW w:w="1943" w:type="pct"/>
            <w:vAlign w:val="center"/>
          </w:tcPr>
          <w:p w14:paraId="4C9D28CB" w14:textId="77777777" w:rsidR="00622884" w:rsidRPr="00622884" w:rsidRDefault="00622884" w:rsidP="00622884">
            <w:pPr>
              <w:spacing w:after="0" w:line="240" w:lineRule="auto"/>
              <w:jc w:val="left"/>
              <w:rPr>
                <w:rFonts w:ascii="Garamond" w:eastAsia="SimSun" w:hAnsi="Garamond" w:cs="Calibri Light"/>
                <w:b/>
                <w:bCs/>
                <w:sz w:val="12"/>
                <w:szCs w:val="12"/>
                <w:u w:val="single"/>
                <w:lang w:eastAsia="en-US"/>
              </w:rPr>
            </w:pPr>
            <w:r w:rsidRPr="00622884">
              <w:rPr>
                <w:rFonts w:ascii="Garamond" w:eastAsia="SimSun" w:hAnsi="Garamond" w:cs="Times New Roman"/>
                <w:sz w:val="12"/>
                <w:szCs w:val="12"/>
                <w:lang w:eastAsia="en-US" w:bidi="sq-AL"/>
              </w:rPr>
              <w:t>Mbrojtja e zonave bregdetare: Rregullore të integruara, planifikim dhe menaxhim për aftësitë ripërtëritëse ndaj ndryshimeve klimatike dhe zhvillimin e qëndrueshëm</w:t>
            </w:r>
          </w:p>
        </w:tc>
        <w:tc>
          <w:tcPr>
            <w:tcW w:w="509" w:type="pct"/>
            <w:vAlign w:val="center"/>
          </w:tcPr>
          <w:p w14:paraId="4432CA37" w14:textId="77777777" w:rsidR="00622884" w:rsidRPr="00622884" w:rsidRDefault="00622884" w:rsidP="00622884">
            <w:pPr>
              <w:spacing w:after="0" w:line="240" w:lineRule="auto"/>
              <w:jc w:val="center"/>
              <w:rPr>
                <w:rFonts w:ascii="Garamond" w:eastAsia="SimSun" w:hAnsi="Garamond" w:cs="Calibri Light"/>
                <w:sz w:val="12"/>
                <w:szCs w:val="12"/>
                <w:u w:val="single"/>
                <w:lang w:eastAsia="en-US"/>
              </w:rPr>
            </w:pPr>
            <w:r w:rsidRPr="00622884">
              <w:rPr>
                <w:rFonts w:ascii="Garamond" w:eastAsia="SimSun" w:hAnsi="Garamond" w:cs="Times New Roman"/>
                <w:sz w:val="12"/>
                <w:szCs w:val="12"/>
                <w:lang w:eastAsia="en-US" w:bidi="sq-AL"/>
              </w:rPr>
              <w:t>MM, MTKS</w:t>
            </w:r>
          </w:p>
        </w:tc>
        <w:tc>
          <w:tcPr>
            <w:tcW w:w="154" w:type="pct"/>
          </w:tcPr>
          <w:p w14:paraId="6B846AFB"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52091891"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4" w:type="pct"/>
          </w:tcPr>
          <w:p w14:paraId="42005668"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shd w:val="clear" w:color="auto" w:fill="C7E3D5"/>
          </w:tcPr>
          <w:p w14:paraId="21FFA48E"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shd w:val="clear" w:color="auto" w:fill="C7E3D5"/>
          </w:tcPr>
          <w:p w14:paraId="6758AE14"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3" w:type="pct"/>
            <w:shd w:val="clear" w:color="auto" w:fill="C7E3D5"/>
          </w:tcPr>
          <w:p w14:paraId="501B34F1"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5" w:type="pct"/>
            <w:shd w:val="clear" w:color="auto" w:fill="C7E3D5"/>
          </w:tcPr>
          <w:p w14:paraId="3ECAEF2C"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3" w:type="pct"/>
            <w:shd w:val="clear" w:color="auto" w:fill="C7E3D5"/>
          </w:tcPr>
          <w:p w14:paraId="0A463ADD"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434CD586"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75A85A15"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5" w:type="pct"/>
          </w:tcPr>
          <w:p w14:paraId="5694C0C1"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23B37FF6"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3" w:type="pct"/>
          </w:tcPr>
          <w:p w14:paraId="3840BDA9"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26B8C633"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3" w:type="pct"/>
          </w:tcPr>
          <w:p w14:paraId="19986926"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07068963"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56" w:type="pct"/>
          </w:tcPr>
          <w:p w14:paraId="20D13F62"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r>
      <w:tr w:rsidR="00622884" w:rsidRPr="00622884" w14:paraId="5D299C67" w14:textId="77777777" w:rsidTr="00622884">
        <w:trPr>
          <w:trHeight w:val="239"/>
          <w:jc w:val="center"/>
        </w:trPr>
        <w:tc>
          <w:tcPr>
            <w:tcW w:w="245" w:type="pct"/>
            <w:vAlign w:val="center"/>
          </w:tcPr>
          <w:p w14:paraId="471A6C93" w14:textId="77777777" w:rsidR="00622884" w:rsidRPr="00622884" w:rsidRDefault="00622884" w:rsidP="00622884">
            <w:pPr>
              <w:spacing w:after="0" w:line="240" w:lineRule="auto"/>
              <w:jc w:val="center"/>
              <w:rPr>
                <w:rFonts w:ascii="Garamond" w:eastAsia="SimSun" w:hAnsi="Garamond" w:cs="Calibri Light"/>
                <w:b/>
                <w:bCs/>
                <w:sz w:val="12"/>
                <w:szCs w:val="12"/>
                <w:lang w:eastAsia="en-US"/>
              </w:rPr>
            </w:pPr>
            <w:r w:rsidRPr="00622884">
              <w:rPr>
                <w:rFonts w:ascii="Garamond" w:eastAsia="SimSun" w:hAnsi="Garamond" w:cs="Times New Roman"/>
                <w:b/>
                <w:sz w:val="12"/>
                <w:szCs w:val="12"/>
                <w:lang w:eastAsia="en-US" w:bidi="sq-AL"/>
              </w:rPr>
              <w:t>40</w:t>
            </w:r>
          </w:p>
        </w:tc>
        <w:tc>
          <w:tcPr>
            <w:tcW w:w="1943" w:type="pct"/>
            <w:vAlign w:val="center"/>
          </w:tcPr>
          <w:p w14:paraId="5BC4130D" w14:textId="77777777" w:rsidR="00622884" w:rsidRPr="00622884" w:rsidRDefault="00622884" w:rsidP="00622884">
            <w:pPr>
              <w:spacing w:after="0" w:line="240" w:lineRule="auto"/>
              <w:jc w:val="left"/>
              <w:rPr>
                <w:rFonts w:ascii="Garamond" w:eastAsia="SimSun" w:hAnsi="Garamond" w:cs="Calibri Light"/>
                <w:b/>
                <w:bCs/>
                <w:sz w:val="12"/>
                <w:szCs w:val="12"/>
                <w:u w:val="single"/>
                <w:lang w:eastAsia="en-US"/>
              </w:rPr>
            </w:pPr>
            <w:r w:rsidRPr="00622884">
              <w:rPr>
                <w:rFonts w:ascii="Garamond" w:eastAsia="SimSun" w:hAnsi="Garamond" w:cs="Times New Roman"/>
                <w:sz w:val="12"/>
                <w:szCs w:val="12"/>
                <w:lang w:eastAsia="en-US" w:bidi="sq-AL"/>
              </w:rPr>
              <w:t>Ngritja e kapaciteteve me aftësi ripërtëritëse ndaj ndryshimeve klimatike: Trajnimi i operatorëve turistikë për praktikat e qëndrueshme dhe strategjitë e përshtatjes</w:t>
            </w:r>
          </w:p>
        </w:tc>
        <w:tc>
          <w:tcPr>
            <w:tcW w:w="509" w:type="pct"/>
            <w:vAlign w:val="center"/>
          </w:tcPr>
          <w:p w14:paraId="0C1BB6C9" w14:textId="77777777" w:rsidR="00622884" w:rsidRPr="00622884" w:rsidRDefault="00622884" w:rsidP="00622884">
            <w:pPr>
              <w:spacing w:after="0" w:line="240" w:lineRule="auto"/>
              <w:jc w:val="center"/>
              <w:rPr>
                <w:rFonts w:ascii="Garamond" w:eastAsia="SimSun" w:hAnsi="Garamond" w:cs="Calibri Light"/>
                <w:sz w:val="12"/>
                <w:szCs w:val="12"/>
                <w:u w:val="single"/>
                <w:lang w:eastAsia="en-US"/>
              </w:rPr>
            </w:pPr>
            <w:r w:rsidRPr="00622884">
              <w:rPr>
                <w:rFonts w:ascii="Garamond" w:eastAsia="SimSun" w:hAnsi="Garamond" w:cs="Times New Roman"/>
                <w:sz w:val="12"/>
                <w:szCs w:val="12"/>
                <w:lang w:eastAsia="en-US" w:bidi="sq-AL"/>
              </w:rPr>
              <w:t>MM, MTKS</w:t>
            </w:r>
          </w:p>
        </w:tc>
        <w:tc>
          <w:tcPr>
            <w:tcW w:w="154" w:type="pct"/>
          </w:tcPr>
          <w:p w14:paraId="1E40076D"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shd w:val="clear" w:color="auto" w:fill="C7E3D5"/>
          </w:tcPr>
          <w:p w14:paraId="1969A23D"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4" w:type="pct"/>
            <w:shd w:val="clear" w:color="auto" w:fill="C7E3D5"/>
          </w:tcPr>
          <w:p w14:paraId="0481B623"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7F350420"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2FEC2E4C"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3" w:type="pct"/>
          </w:tcPr>
          <w:p w14:paraId="12B8D807"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5" w:type="pct"/>
          </w:tcPr>
          <w:p w14:paraId="584443C8"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3" w:type="pct"/>
          </w:tcPr>
          <w:p w14:paraId="4DE9352F"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06AA2AA3"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49326B88"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5" w:type="pct"/>
          </w:tcPr>
          <w:p w14:paraId="2E5422B7"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6CC485F1"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3" w:type="pct"/>
          </w:tcPr>
          <w:p w14:paraId="4A5368FC"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7CEF5DE4"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3" w:type="pct"/>
          </w:tcPr>
          <w:p w14:paraId="05F1E593"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2C00E1B0"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56" w:type="pct"/>
          </w:tcPr>
          <w:p w14:paraId="38DEFA00"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r>
      <w:tr w:rsidR="00622884" w:rsidRPr="00622884" w14:paraId="369DCA20" w14:textId="77777777" w:rsidTr="00622884">
        <w:trPr>
          <w:trHeight w:val="205"/>
          <w:jc w:val="center"/>
        </w:trPr>
        <w:tc>
          <w:tcPr>
            <w:tcW w:w="245" w:type="pct"/>
            <w:vAlign w:val="center"/>
          </w:tcPr>
          <w:p w14:paraId="2062036C" w14:textId="77777777" w:rsidR="00622884" w:rsidRPr="00622884" w:rsidRDefault="00622884" w:rsidP="00622884">
            <w:pPr>
              <w:spacing w:after="0" w:line="240" w:lineRule="auto"/>
              <w:jc w:val="center"/>
              <w:rPr>
                <w:rFonts w:ascii="Garamond" w:eastAsia="SimSun" w:hAnsi="Garamond" w:cs="Calibri Light"/>
                <w:b/>
                <w:bCs/>
                <w:sz w:val="12"/>
                <w:szCs w:val="12"/>
                <w:lang w:eastAsia="en-US"/>
              </w:rPr>
            </w:pPr>
            <w:r w:rsidRPr="00622884">
              <w:rPr>
                <w:rFonts w:ascii="Garamond" w:eastAsia="SimSun" w:hAnsi="Garamond" w:cs="Times New Roman"/>
                <w:b/>
                <w:sz w:val="12"/>
                <w:szCs w:val="12"/>
                <w:lang w:eastAsia="en-US" w:bidi="sq-AL"/>
              </w:rPr>
              <w:t>41</w:t>
            </w:r>
          </w:p>
        </w:tc>
        <w:tc>
          <w:tcPr>
            <w:tcW w:w="1943" w:type="pct"/>
            <w:vAlign w:val="center"/>
          </w:tcPr>
          <w:p w14:paraId="6B29FE34" w14:textId="77777777" w:rsidR="00622884" w:rsidRPr="00622884" w:rsidRDefault="00622884" w:rsidP="00622884">
            <w:pPr>
              <w:spacing w:after="0" w:line="240" w:lineRule="auto"/>
              <w:jc w:val="left"/>
              <w:rPr>
                <w:rFonts w:ascii="Garamond" w:eastAsia="SimSun" w:hAnsi="Garamond" w:cs="Calibri Light"/>
                <w:b/>
                <w:bCs/>
                <w:sz w:val="12"/>
                <w:szCs w:val="12"/>
                <w:u w:val="single"/>
                <w:lang w:eastAsia="en-US"/>
              </w:rPr>
            </w:pPr>
            <w:r w:rsidRPr="00622884">
              <w:rPr>
                <w:rFonts w:ascii="Garamond" w:eastAsia="SimSun" w:hAnsi="Garamond" w:cs="Times New Roman"/>
                <w:sz w:val="12"/>
                <w:szCs w:val="12"/>
                <w:lang w:eastAsia="en-US" w:bidi="sq-AL"/>
              </w:rPr>
              <w:t>Qendrat digjitale për turizmin me aftësi ripërtëritëse ndaj ndryshimeve klimatike: Ndarja e njohurive dhe praktikave më të mira</w:t>
            </w:r>
          </w:p>
        </w:tc>
        <w:tc>
          <w:tcPr>
            <w:tcW w:w="509" w:type="pct"/>
            <w:vAlign w:val="center"/>
          </w:tcPr>
          <w:p w14:paraId="450A0508" w14:textId="77777777" w:rsidR="00622884" w:rsidRPr="00622884" w:rsidRDefault="00622884" w:rsidP="00622884">
            <w:pPr>
              <w:spacing w:after="0" w:line="240" w:lineRule="auto"/>
              <w:jc w:val="center"/>
              <w:rPr>
                <w:rFonts w:ascii="Garamond" w:eastAsia="SimSun" w:hAnsi="Garamond" w:cs="Calibri Light"/>
                <w:sz w:val="12"/>
                <w:szCs w:val="12"/>
                <w:u w:val="single"/>
                <w:lang w:eastAsia="en-US"/>
              </w:rPr>
            </w:pPr>
            <w:r w:rsidRPr="00622884">
              <w:rPr>
                <w:rFonts w:ascii="Garamond" w:eastAsia="SimSun" w:hAnsi="Garamond" w:cs="Times New Roman"/>
                <w:sz w:val="12"/>
                <w:szCs w:val="12"/>
                <w:lang w:eastAsia="en-US" w:bidi="sq-AL"/>
              </w:rPr>
              <w:t>MM, MTKS</w:t>
            </w:r>
          </w:p>
        </w:tc>
        <w:tc>
          <w:tcPr>
            <w:tcW w:w="154" w:type="pct"/>
          </w:tcPr>
          <w:p w14:paraId="2C6FCC5D"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shd w:val="clear" w:color="auto" w:fill="C7E3D5"/>
          </w:tcPr>
          <w:p w14:paraId="57FFD810"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4" w:type="pct"/>
            <w:shd w:val="clear" w:color="auto" w:fill="C7E3D5"/>
          </w:tcPr>
          <w:p w14:paraId="0D10B435"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54DE194A"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677D0306"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3" w:type="pct"/>
          </w:tcPr>
          <w:p w14:paraId="41E9E089"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5" w:type="pct"/>
          </w:tcPr>
          <w:p w14:paraId="4457BC10"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3" w:type="pct"/>
          </w:tcPr>
          <w:p w14:paraId="74D698E9"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67B52072"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2AAAB4B8"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5" w:type="pct"/>
          </w:tcPr>
          <w:p w14:paraId="71E3C19F"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4987D53E"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3" w:type="pct"/>
          </w:tcPr>
          <w:p w14:paraId="7B0C7553"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27FDEE22"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3" w:type="pct"/>
          </w:tcPr>
          <w:p w14:paraId="53A5674A"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0B787307"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56" w:type="pct"/>
          </w:tcPr>
          <w:p w14:paraId="26E191A9"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r>
      <w:tr w:rsidR="00622884" w:rsidRPr="00622884" w14:paraId="19B4648D" w14:textId="77777777" w:rsidTr="00622884">
        <w:trPr>
          <w:trHeight w:val="287"/>
          <w:jc w:val="center"/>
        </w:trPr>
        <w:tc>
          <w:tcPr>
            <w:tcW w:w="245" w:type="pct"/>
            <w:vAlign w:val="center"/>
          </w:tcPr>
          <w:p w14:paraId="5E5FFD46" w14:textId="77777777" w:rsidR="00622884" w:rsidRPr="00622884" w:rsidRDefault="00622884" w:rsidP="00622884">
            <w:pPr>
              <w:spacing w:after="0" w:line="240" w:lineRule="auto"/>
              <w:jc w:val="center"/>
              <w:rPr>
                <w:rFonts w:ascii="Garamond" w:eastAsia="SimSun" w:hAnsi="Garamond" w:cs="Calibri Light"/>
                <w:b/>
                <w:bCs/>
                <w:sz w:val="12"/>
                <w:szCs w:val="12"/>
                <w:lang w:eastAsia="en-US"/>
              </w:rPr>
            </w:pPr>
            <w:r w:rsidRPr="00622884">
              <w:rPr>
                <w:rFonts w:ascii="Garamond" w:eastAsia="SimSun" w:hAnsi="Garamond" w:cs="Times New Roman"/>
                <w:b/>
                <w:sz w:val="12"/>
                <w:szCs w:val="12"/>
                <w:lang w:eastAsia="en-US" w:bidi="sq-AL"/>
              </w:rPr>
              <w:t>42</w:t>
            </w:r>
          </w:p>
        </w:tc>
        <w:tc>
          <w:tcPr>
            <w:tcW w:w="1943" w:type="pct"/>
            <w:vAlign w:val="center"/>
          </w:tcPr>
          <w:p w14:paraId="2384437E" w14:textId="77777777" w:rsidR="00622884" w:rsidRPr="00622884" w:rsidRDefault="00622884" w:rsidP="00622884">
            <w:pPr>
              <w:spacing w:after="0" w:line="240" w:lineRule="auto"/>
              <w:jc w:val="left"/>
              <w:rPr>
                <w:rFonts w:ascii="Garamond" w:eastAsia="SimSun" w:hAnsi="Garamond" w:cs="Calibri Light"/>
                <w:b/>
                <w:bCs/>
                <w:sz w:val="12"/>
                <w:szCs w:val="12"/>
                <w:u w:val="single"/>
                <w:lang w:eastAsia="en-US"/>
              </w:rPr>
            </w:pPr>
            <w:r w:rsidRPr="00622884">
              <w:rPr>
                <w:rFonts w:ascii="Garamond" w:eastAsia="SimSun" w:hAnsi="Garamond" w:cs="Times New Roman"/>
                <w:sz w:val="12"/>
                <w:szCs w:val="12"/>
                <w:lang w:eastAsia="en-US" w:bidi="sq-AL"/>
              </w:rPr>
              <w:t>Mbrojtja e pasurive turistike dhe trashëgimisë kulturore: Zbatimi i rregulloreve për pasuritë turistike dhe kulturore dhe restaurimi i ekosistemeve për zhvillim të qëndrueshëm</w:t>
            </w:r>
          </w:p>
        </w:tc>
        <w:tc>
          <w:tcPr>
            <w:tcW w:w="509" w:type="pct"/>
            <w:vAlign w:val="center"/>
          </w:tcPr>
          <w:p w14:paraId="241E032E" w14:textId="77777777" w:rsidR="00622884" w:rsidRPr="00622884" w:rsidRDefault="00622884" w:rsidP="00622884">
            <w:pPr>
              <w:spacing w:after="0" w:line="240" w:lineRule="auto"/>
              <w:jc w:val="center"/>
              <w:rPr>
                <w:rFonts w:ascii="Garamond" w:eastAsia="SimSun" w:hAnsi="Garamond" w:cs="Calibri Light"/>
                <w:sz w:val="12"/>
                <w:szCs w:val="12"/>
                <w:u w:val="single"/>
                <w:lang w:eastAsia="en-US"/>
              </w:rPr>
            </w:pPr>
            <w:r w:rsidRPr="00622884">
              <w:rPr>
                <w:rFonts w:ascii="Garamond" w:eastAsia="SimSun" w:hAnsi="Garamond" w:cs="Times New Roman"/>
                <w:sz w:val="12"/>
                <w:szCs w:val="12"/>
                <w:lang w:eastAsia="en-US" w:bidi="sq-AL"/>
              </w:rPr>
              <w:t>MM, MTKS</w:t>
            </w:r>
          </w:p>
        </w:tc>
        <w:tc>
          <w:tcPr>
            <w:tcW w:w="154" w:type="pct"/>
          </w:tcPr>
          <w:p w14:paraId="2E6CBD59"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1CA8DDAB"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4" w:type="pct"/>
            <w:shd w:val="clear" w:color="auto" w:fill="C7E3D5"/>
          </w:tcPr>
          <w:p w14:paraId="154CB6E6"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shd w:val="clear" w:color="auto" w:fill="C7E3D5"/>
          </w:tcPr>
          <w:p w14:paraId="3B115DDC"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shd w:val="clear" w:color="auto" w:fill="C7E3D5"/>
          </w:tcPr>
          <w:p w14:paraId="244AA5A1"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3" w:type="pct"/>
            <w:shd w:val="clear" w:color="auto" w:fill="C7E3D5"/>
          </w:tcPr>
          <w:p w14:paraId="5EC0C9C2"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5" w:type="pct"/>
          </w:tcPr>
          <w:p w14:paraId="25090121"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3" w:type="pct"/>
          </w:tcPr>
          <w:p w14:paraId="657D06CF"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087B1968"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758A54F7"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5" w:type="pct"/>
          </w:tcPr>
          <w:p w14:paraId="56EA6BAF"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7A31FE66"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3" w:type="pct"/>
          </w:tcPr>
          <w:p w14:paraId="6AF9897C"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021C52C3"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3" w:type="pct"/>
          </w:tcPr>
          <w:p w14:paraId="139FA7EF"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6EFA2BEE"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56" w:type="pct"/>
          </w:tcPr>
          <w:p w14:paraId="0E742B78"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r>
      <w:tr w:rsidR="00622884" w:rsidRPr="00622884" w14:paraId="1E18C3F2" w14:textId="77777777" w:rsidTr="00622884">
        <w:trPr>
          <w:trHeight w:val="195"/>
          <w:jc w:val="center"/>
        </w:trPr>
        <w:tc>
          <w:tcPr>
            <w:tcW w:w="245" w:type="pct"/>
            <w:vAlign w:val="center"/>
          </w:tcPr>
          <w:p w14:paraId="3882336A" w14:textId="77777777" w:rsidR="00622884" w:rsidRPr="00622884" w:rsidRDefault="00622884" w:rsidP="00622884">
            <w:pPr>
              <w:spacing w:after="0" w:line="240" w:lineRule="auto"/>
              <w:jc w:val="center"/>
              <w:rPr>
                <w:rFonts w:ascii="Garamond" w:eastAsia="SimSun" w:hAnsi="Garamond" w:cs="Calibri Light"/>
                <w:b/>
                <w:bCs/>
                <w:sz w:val="12"/>
                <w:szCs w:val="12"/>
                <w:lang w:eastAsia="en-US"/>
              </w:rPr>
            </w:pPr>
            <w:r w:rsidRPr="00622884">
              <w:rPr>
                <w:rFonts w:ascii="Garamond" w:eastAsia="SimSun" w:hAnsi="Garamond" w:cs="Times New Roman"/>
                <w:b/>
                <w:sz w:val="12"/>
                <w:szCs w:val="12"/>
                <w:lang w:eastAsia="en-US" w:bidi="sq-AL"/>
              </w:rPr>
              <w:t>43</w:t>
            </w:r>
          </w:p>
        </w:tc>
        <w:tc>
          <w:tcPr>
            <w:tcW w:w="1943" w:type="pct"/>
            <w:vAlign w:val="center"/>
          </w:tcPr>
          <w:p w14:paraId="75FB3A34" w14:textId="77777777" w:rsidR="00622884" w:rsidRPr="00622884" w:rsidRDefault="00622884" w:rsidP="00622884">
            <w:pPr>
              <w:spacing w:after="0" w:line="240" w:lineRule="auto"/>
              <w:jc w:val="left"/>
              <w:rPr>
                <w:rFonts w:ascii="Garamond" w:eastAsia="SimSun" w:hAnsi="Garamond" w:cs="Calibri Light"/>
                <w:b/>
                <w:bCs/>
                <w:sz w:val="12"/>
                <w:szCs w:val="12"/>
                <w:lang w:eastAsia="en-US"/>
              </w:rPr>
            </w:pPr>
            <w:r w:rsidRPr="00622884">
              <w:rPr>
                <w:rFonts w:ascii="Garamond" w:eastAsia="SimSun" w:hAnsi="Garamond" w:cs="Times New Roman"/>
                <w:sz w:val="12"/>
                <w:szCs w:val="12"/>
                <w:lang w:eastAsia="en-US" w:bidi="sq-AL"/>
              </w:rPr>
              <w:t>Planifikimi detar dhe territorial për aftësitë ripërtëritëse ndaj ndryshimeve klimatike: Përgatitja për rritjen e nivelit të detit dhe mjediset në ndryshim</w:t>
            </w:r>
          </w:p>
        </w:tc>
        <w:tc>
          <w:tcPr>
            <w:tcW w:w="509" w:type="pct"/>
            <w:vAlign w:val="center"/>
          </w:tcPr>
          <w:p w14:paraId="41F4CEC8" w14:textId="77777777" w:rsidR="00622884" w:rsidRPr="00622884" w:rsidRDefault="00622884" w:rsidP="00622884">
            <w:pPr>
              <w:spacing w:after="0" w:line="240" w:lineRule="auto"/>
              <w:jc w:val="center"/>
              <w:rPr>
                <w:rFonts w:ascii="Garamond" w:eastAsia="SimSun" w:hAnsi="Garamond" w:cs="Calibri Light"/>
                <w:sz w:val="12"/>
                <w:szCs w:val="12"/>
                <w:lang w:eastAsia="en-US"/>
              </w:rPr>
            </w:pPr>
            <w:r w:rsidRPr="00622884">
              <w:rPr>
                <w:rFonts w:ascii="Garamond" w:eastAsia="SimSun" w:hAnsi="Garamond" w:cs="Times New Roman"/>
                <w:sz w:val="12"/>
                <w:szCs w:val="12"/>
                <w:lang w:eastAsia="en-US" w:bidi="sq-AL"/>
              </w:rPr>
              <w:t>MIE</w:t>
            </w:r>
          </w:p>
          <w:p w14:paraId="67ADAC17" w14:textId="77777777" w:rsidR="00622884" w:rsidRPr="00622884" w:rsidRDefault="00622884" w:rsidP="00622884">
            <w:pPr>
              <w:spacing w:after="0" w:line="240" w:lineRule="auto"/>
              <w:jc w:val="center"/>
              <w:rPr>
                <w:rFonts w:ascii="Garamond" w:eastAsia="SimSun" w:hAnsi="Garamond" w:cs="Calibri Light"/>
                <w:sz w:val="12"/>
                <w:szCs w:val="12"/>
                <w:u w:val="single"/>
                <w:lang w:eastAsia="en-US"/>
              </w:rPr>
            </w:pPr>
          </w:p>
        </w:tc>
        <w:tc>
          <w:tcPr>
            <w:tcW w:w="154" w:type="pct"/>
          </w:tcPr>
          <w:p w14:paraId="0CAFDB9B"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51887657"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4" w:type="pct"/>
          </w:tcPr>
          <w:p w14:paraId="7B30C7CF"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196E5919"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395CC22A"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3" w:type="pct"/>
            <w:shd w:val="clear" w:color="auto" w:fill="C7E3D5"/>
          </w:tcPr>
          <w:p w14:paraId="369193EF"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5" w:type="pct"/>
            <w:shd w:val="clear" w:color="auto" w:fill="C7E3D5"/>
          </w:tcPr>
          <w:p w14:paraId="09E50707"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3" w:type="pct"/>
            <w:shd w:val="clear" w:color="auto" w:fill="C7E3D5"/>
          </w:tcPr>
          <w:p w14:paraId="324B4ACC"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0D8130E1"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303CE721"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5" w:type="pct"/>
          </w:tcPr>
          <w:p w14:paraId="2B7BAA17"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42390AAC"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3" w:type="pct"/>
          </w:tcPr>
          <w:p w14:paraId="215B4BEB"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467C2B45"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3" w:type="pct"/>
          </w:tcPr>
          <w:p w14:paraId="2494D90C"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7D57792C"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56" w:type="pct"/>
          </w:tcPr>
          <w:p w14:paraId="1FD088B1"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r>
      <w:tr w:rsidR="00622884" w:rsidRPr="00622884" w14:paraId="40C56EDB" w14:textId="77777777" w:rsidTr="00622884">
        <w:trPr>
          <w:trHeight w:val="241"/>
          <w:jc w:val="center"/>
        </w:trPr>
        <w:tc>
          <w:tcPr>
            <w:tcW w:w="245" w:type="pct"/>
            <w:vAlign w:val="center"/>
          </w:tcPr>
          <w:p w14:paraId="3721E5FE" w14:textId="77777777" w:rsidR="00622884" w:rsidRPr="00622884" w:rsidRDefault="00622884" w:rsidP="00622884">
            <w:pPr>
              <w:spacing w:after="0" w:line="240" w:lineRule="auto"/>
              <w:jc w:val="center"/>
              <w:rPr>
                <w:rFonts w:ascii="Garamond" w:eastAsia="SimSun" w:hAnsi="Garamond" w:cs="Calibri Light"/>
                <w:b/>
                <w:bCs/>
                <w:sz w:val="12"/>
                <w:szCs w:val="12"/>
                <w:lang w:eastAsia="en-US"/>
              </w:rPr>
            </w:pPr>
            <w:r w:rsidRPr="00622884">
              <w:rPr>
                <w:rFonts w:ascii="Garamond" w:eastAsia="SimSun" w:hAnsi="Garamond" w:cs="Times New Roman"/>
                <w:b/>
                <w:sz w:val="12"/>
                <w:szCs w:val="12"/>
                <w:lang w:eastAsia="en-US" w:bidi="sq-AL"/>
              </w:rPr>
              <w:t>44</w:t>
            </w:r>
          </w:p>
        </w:tc>
        <w:tc>
          <w:tcPr>
            <w:tcW w:w="1943" w:type="pct"/>
            <w:vAlign w:val="center"/>
          </w:tcPr>
          <w:p w14:paraId="2A811B44" w14:textId="77777777" w:rsidR="00622884" w:rsidRPr="00622884" w:rsidRDefault="00622884" w:rsidP="00622884">
            <w:pPr>
              <w:spacing w:after="0" w:line="240" w:lineRule="auto"/>
              <w:jc w:val="left"/>
              <w:rPr>
                <w:rFonts w:ascii="Garamond" w:eastAsia="SimSun" w:hAnsi="Garamond" w:cs="Calibri Light"/>
                <w:b/>
                <w:bCs/>
                <w:sz w:val="12"/>
                <w:szCs w:val="12"/>
                <w:lang w:eastAsia="en-US"/>
              </w:rPr>
            </w:pPr>
            <w:r w:rsidRPr="00622884">
              <w:rPr>
                <w:rFonts w:ascii="Garamond" w:eastAsia="SimSun" w:hAnsi="Garamond" w:cs="Times New Roman"/>
                <w:sz w:val="12"/>
                <w:szCs w:val="12"/>
                <w:lang w:eastAsia="en-US" w:bidi="sq-AL"/>
              </w:rPr>
              <w:t xml:space="preserve">Planifikimi hapësinor strategjik për uljen e riskut: Ridrejtimi i zhvillimeve dhe menaxhimi i risqeve nga përmbytjet nga ujërat sipërfaqësore </w:t>
            </w:r>
          </w:p>
        </w:tc>
        <w:tc>
          <w:tcPr>
            <w:tcW w:w="509" w:type="pct"/>
            <w:vAlign w:val="center"/>
          </w:tcPr>
          <w:p w14:paraId="35FFB8F3" w14:textId="77777777" w:rsidR="00622884" w:rsidRPr="00622884" w:rsidRDefault="00622884" w:rsidP="00622884">
            <w:pPr>
              <w:spacing w:after="0" w:line="240" w:lineRule="auto"/>
              <w:jc w:val="center"/>
              <w:rPr>
                <w:rFonts w:ascii="Garamond" w:eastAsia="SimSun" w:hAnsi="Garamond" w:cs="Calibri Light"/>
                <w:sz w:val="12"/>
                <w:szCs w:val="12"/>
                <w:u w:val="single"/>
                <w:lang w:eastAsia="en-US"/>
              </w:rPr>
            </w:pPr>
            <w:r w:rsidRPr="00622884">
              <w:rPr>
                <w:rFonts w:ascii="Garamond" w:eastAsia="SimSun" w:hAnsi="Garamond" w:cs="Times New Roman"/>
                <w:sz w:val="12"/>
                <w:szCs w:val="12"/>
                <w:lang w:eastAsia="en-US" w:bidi="sq-AL"/>
              </w:rPr>
              <w:t>MIE</w:t>
            </w:r>
          </w:p>
        </w:tc>
        <w:tc>
          <w:tcPr>
            <w:tcW w:w="154" w:type="pct"/>
          </w:tcPr>
          <w:p w14:paraId="2E67136D"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43610B92"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4" w:type="pct"/>
            <w:shd w:val="clear" w:color="auto" w:fill="C7E3D5"/>
          </w:tcPr>
          <w:p w14:paraId="7D05CB1C"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shd w:val="clear" w:color="auto" w:fill="C7E3D5"/>
          </w:tcPr>
          <w:p w14:paraId="624DE0AA"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shd w:val="clear" w:color="auto" w:fill="C7E3D5"/>
          </w:tcPr>
          <w:p w14:paraId="60B0BE63"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3" w:type="pct"/>
            <w:shd w:val="clear" w:color="auto" w:fill="C7E3D5"/>
          </w:tcPr>
          <w:p w14:paraId="7784B3A1"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5" w:type="pct"/>
            <w:shd w:val="clear" w:color="auto" w:fill="C7E3D5"/>
          </w:tcPr>
          <w:p w14:paraId="38EC1542"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3" w:type="pct"/>
            <w:shd w:val="clear" w:color="auto" w:fill="C7E3D5"/>
          </w:tcPr>
          <w:p w14:paraId="53F862DC"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7AF5829C"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37A0A211"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5" w:type="pct"/>
          </w:tcPr>
          <w:p w14:paraId="287648B5"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5CD01C1F"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3" w:type="pct"/>
          </w:tcPr>
          <w:p w14:paraId="36D3BF55"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745FF332"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3" w:type="pct"/>
          </w:tcPr>
          <w:p w14:paraId="2001C4C5"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7EE679ED"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56" w:type="pct"/>
          </w:tcPr>
          <w:p w14:paraId="6AE07A6C"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r>
      <w:tr w:rsidR="00622884" w:rsidRPr="00622884" w14:paraId="72F70F1F" w14:textId="77777777" w:rsidTr="00622884">
        <w:trPr>
          <w:trHeight w:val="193"/>
          <w:jc w:val="center"/>
        </w:trPr>
        <w:tc>
          <w:tcPr>
            <w:tcW w:w="245" w:type="pct"/>
            <w:vAlign w:val="center"/>
          </w:tcPr>
          <w:p w14:paraId="713A9781" w14:textId="77777777" w:rsidR="00622884" w:rsidRPr="00622884" w:rsidRDefault="00622884" w:rsidP="00622884">
            <w:pPr>
              <w:spacing w:after="0" w:line="240" w:lineRule="auto"/>
              <w:jc w:val="center"/>
              <w:rPr>
                <w:rFonts w:ascii="Garamond" w:eastAsia="SimSun" w:hAnsi="Garamond" w:cs="Calibri Light"/>
                <w:b/>
                <w:bCs/>
                <w:sz w:val="12"/>
                <w:szCs w:val="12"/>
                <w:lang w:eastAsia="en-US"/>
              </w:rPr>
            </w:pPr>
            <w:r w:rsidRPr="00622884">
              <w:rPr>
                <w:rFonts w:ascii="Garamond" w:eastAsia="SimSun" w:hAnsi="Garamond" w:cs="Times New Roman"/>
                <w:b/>
                <w:sz w:val="12"/>
                <w:szCs w:val="12"/>
                <w:lang w:eastAsia="en-US" w:bidi="sq-AL"/>
              </w:rPr>
              <w:t>45</w:t>
            </w:r>
          </w:p>
        </w:tc>
        <w:tc>
          <w:tcPr>
            <w:tcW w:w="1943" w:type="pct"/>
            <w:vAlign w:val="center"/>
          </w:tcPr>
          <w:p w14:paraId="6FD328CC" w14:textId="77777777" w:rsidR="00622884" w:rsidRPr="00622884" w:rsidRDefault="00622884" w:rsidP="00622884">
            <w:pPr>
              <w:spacing w:after="0" w:line="240" w:lineRule="auto"/>
              <w:jc w:val="left"/>
              <w:rPr>
                <w:rFonts w:ascii="Garamond" w:eastAsia="SimSun" w:hAnsi="Garamond" w:cs="Calibri Light"/>
                <w:b/>
                <w:bCs/>
                <w:sz w:val="12"/>
                <w:szCs w:val="12"/>
                <w:lang w:eastAsia="en-US"/>
              </w:rPr>
            </w:pPr>
            <w:r w:rsidRPr="00622884">
              <w:rPr>
                <w:rFonts w:ascii="Garamond" w:eastAsia="SimSun" w:hAnsi="Garamond" w:cs="Times New Roman"/>
                <w:sz w:val="12"/>
                <w:szCs w:val="12"/>
                <w:lang w:eastAsia="en-US" w:bidi="sq-AL"/>
              </w:rPr>
              <w:t>Skemat e incentivave për të rritur aftësitë ripërtëritëse të ndërtesave ndaj temperaturave ekstreme</w:t>
            </w:r>
          </w:p>
        </w:tc>
        <w:tc>
          <w:tcPr>
            <w:tcW w:w="509" w:type="pct"/>
            <w:vAlign w:val="center"/>
          </w:tcPr>
          <w:p w14:paraId="12D0FA8C" w14:textId="77777777" w:rsidR="00622884" w:rsidRPr="00622884" w:rsidRDefault="00622884" w:rsidP="00622884">
            <w:pPr>
              <w:spacing w:after="0" w:line="240" w:lineRule="auto"/>
              <w:jc w:val="center"/>
              <w:rPr>
                <w:rFonts w:ascii="Garamond" w:eastAsia="SimSun" w:hAnsi="Garamond" w:cs="Calibri Light"/>
                <w:sz w:val="12"/>
                <w:szCs w:val="12"/>
                <w:u w:val="single"/>
                <w:lang w:eastAsia="en-US"/>
              </w:rPr>
            </w:pPr>
            <w:r w:rsidRPr="00622884">
              <w:rPr>
                <w:rFonts w:ascii="Garamond" w:eastAsia="SimSun" w:hAnsi="Garamond" w:cs="Times New Roman"/>
                <w:sz w:val="12"/>
                <w:szCs w:val="12"/>
                <w:lang w:eastAsia="en-US" w:bidi="sq-AL"/>
              </w:rPr>
              <w:t>MIE</w:t>
            </w:r>
          </w:p>
        </w:tc>
        <w:tc>
          <w:tcPr>
            <w:tcW w:w="154" w:type="pct"/>
          </w:tcPr>
          <w:p w14:paraId="762877A4"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0982C3EB"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4" w:type="pct"/>
          </w:tcPr>
          <w:p w14:paraId="78A2D33A"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198E5581"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0472EC0A"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3" w:type="pct"/>
          </w:tcPr>
          <w:p w14:paraId="47D5FB9F"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5" w:type="pct"/>
          </w:tcPr>
          <w:p w14:paraId="7722E13E"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3" w:type="pct"/>
            <w:shd w:val="clear" w:color="auto" w:fill="C7E3D5"/>
          </w:tcPr>
          <w:p w14:paraId="1028099A"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shd w:val="clear" w:color="auto" w:fill="C7E3D5"/>
          </w:tcPr>
          <w:p w14:paraId="6B051902"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shd w:val="clear" w:color="auto" w:fill="C7E3D5"/>
          </w:tcPr>
          <w:p w14:paraId="3D9D472E"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5" w:type="pct"/>
            <w:shd w:val="clear" w:color="auto" w:fill="C7E3D5"/>
          </w:tcPr>
          <w:p w14:paraId="55C08773"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shd w:val="clear" w:color="auto" w:fill="C7E3D5"/>
          </w:tcPr>
          <w:p w14:paraId="56193B84"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3" w:type="pct"/>
            <w:shd w:val="clear" w:color="auto" w:fill="C7E3D5"/>
          </w:tcPr>
          <w:p w14:paraId="210D10A5"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shd w:val="clear" w:color="auto" w:fill="C7E3D5"/>
          </w:tcPr>
          <w:p w14:paraId="0D444DAE"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3" w:type="pct"/>
            <w:shd w:val="clear" w:color="auto" w:fill="C7E3D5"/>
          </w:tcPr>
          <w:p w14:paraId="1064C77C"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shd w:val="clear" w:color="auto" w:fill="C7E3D5"/>
          </w:tcPr>
          <w:p w14:paraId="0545872A"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56" w:type="pct"/>
            <w:shd w:val="clear" w:color="auto" w:fill="C7E3D5"/>
          </w:tcPr>
          <w:p w14:paraId="575F02B0"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r>
      <w:tr w:rsidR="00622884" w:rsidRPr="00622884" w14:paraId="22E0D1D7" w14:textId="77777777" w:rsidTr="00622884">
        <w:trPr>
          <w:trHeight w:val="163"/>
          <w:jc w:val="center"/>
        </w:trPr>
        <w:tc>
          <w:tcPr>
            <w:tcW w:w="245" w:type="pct"/>
            <w:vAlign w:val="center"/>
          </w:tcPr>
          <w:p w14:paraId="0B0C1BC4" w14:textId="77777777" w:rsidR="00622884" w:rsidRPr="00622884" w:rsidRDefault="00622884" w:rsidP="00622884">
            <w:pPr>
              <w:spacing w:after="0" w:line="240" w:lineRule="auto"/>
              <w:jc w:val="center"/>
              <w:rPr>
                <w:rFonts w:ascii="Garamond" w:eastAsia="SimSun" w:hAnsi="Garamond" w:cs="Calibri Light"/>
                <w:b/>
                <w:bCs/>
                <w:sz w:val="12"/>
                <w:szCs w:val="12"/>
                <w:lang w:eastAsia="en-US"/>
              </w:rPr>
            </w:pPr>
            <w:r w:rsidRPr="00622884">
              <w:rPr>
                <w:rFonts w:ascii="Garamond" w:eastAsia="SimSun" w:hAnsi="Garamond" w:cs="Times New Roman"/>
                <w:b/>
                <w:sz w:val="12"/>
                <w:szCs w:val="12"/>
                <w:lang w:eastAsia="en-US" w:bidi="sq-AL"/>
              </w:rPr>
              <w:t>46</w:t>
            </w:r>
          </w:p>
        </w:tc>
        <w:tc>
          <w:tcPr>
            <w:tcW w:w="1943" w:type="pct"/>
            <w:vAlign w:val="center"/>
          </w:tcPr>
          <w:p w14:paraId="6A91D949" w14:textId="77777777" w:rsidR="00622884" w:rsidRPr="00622884" w:rsidRDefault="00622884" w:rsidP="00622884">
            <w:pPr>
              <w:spacing w:after="0" w:line="240" w:lineRule="auto"/>
              <w:jc w:val="left"/>
              <w:rPr>
                <w:rFonts w:ascii="Garamond" w:eastAsia="SimSun" w:hAnsi="Garamond" w:cs="Calibri Light"/>
                <w:b/>
                <w:bCs/>
                <w:sz w:val="12"/>
                <w:szCs w:val="12"/>
                <w:lang w:eastAsia="en-US"/>
              </w:rPr>
            </w:pPr>
            <w:r w:rsidRPr="00622884">
              <w:rPr>
                <w:rFonts w:ascii="Garamond" w:eastAsia="SimSun" w:hAnsi="Garamond" w:cs="Times New Roman"/>
                <w:sz w:val="12"/>
                <w:szCs w:val="12"/>
                <w:lang w:eastAsia="en-US" w:bidi="sq-AL"/>
              </w:rPr>
              <w:t>Integrimi i hapësirave të gjelbra në zhvillimin e infrastrukturës publike përmes PPGJ-së</w:t>
            </w:r>
          </w:p>
        </w:tc>
        <w:tc>
          <w:tcPr>
            <w:tcW w:w="509" w:type="pct"/>
            <w:vAlign w:val="center"/>
          </w:tcPr>
          <w:p w14:paraId="7849B05D" w14:textId="77777777" w:rsidR="00622884" w:rsidRPr="00622884" w:rsidRDefault="00622884" w:rsidP="00622884">
            <w:pPr>
              <w:spacing w:after="0" w:line="240" w:lineRule="auto"/>
              <w:jc w:val="center"/>
              <w:rPr>
                <w:rFonts w:ascii="Garamond" w:eastAsia="SimSun" w:hAnsi="Garamond" w:cs="Calibri Light"/>
                <w:sz w:val="12"/>
                <w:szCs w:val="12"/>
                <w:lang w:eastAsia="en-US"/>
              </w:rPr>
            </w:pPr>
            <w:r w:rsidRPr="00622884">
              <w:rPr>
                <w:rFonts w:ascii="Garamond" w:eastAsia="SimSun" w:hAnsi="Garamond" w:cs="Times New Roman"/>
                <w:sz w:val="12"/>
                <w:szCs w:val="12"/>
                <w:lang w:eastAsia="en-US" w:bidi="sq-AL"/>
              </w:rPr>
              <w:t>MIE</w:t>
            </w:r>
          </w:p>
        </w:tc>
        <w:tc>
          <w:tcPr>
            <w:tcW w:w="154" w:type="pct"/>
          </w:tcPr>
          <w:p w14:paraId="3DFFE0BD"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1C5D7D5E"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4" w:type="pct"/>
          </w:tcPr>
          <w:p w14:paraId="499F364C"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7BF2CF75"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shd w:val="clear" w:color="auto" w:fill="C7E3D5"/>
          </w:tcPr>
          <w:p w14:paraId="2D0DB125"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3" w:type="pct"/>
            <w:shd w:val="clear" w:color="auto" w:fill="C7E3D5"/>
          </w:tcPr>
          <w:p w14:paraId="015192D1"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5" w:type="pct"/>
            <w:shd w:val="clear" w:color="auto" w:fill="C7E3D5"/>
          </w:tcPr>
          <w:p w14:paraId="3179FC25"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3" w:type="pct"/>
          </w:tcPr>
          <w:p w14:paraId="2FCAF554"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18326D59"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6199B8A6"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5" w:type="pct"/>
          </w:tcPr>
          <w:p w14:paraId="614D9B2C"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7946C77D"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3" w:type="pct"/>
          </w:tcPr>
          <w:p w14:paraId="2B6004D1"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1DA589E3"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3" w:type="pct"/>
          </w:tcPr>
          <w:p w14:paraId="72A799A3"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22BDE9B1"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56" w:type="pct"/>
          </w:tcPr>
          <w:p w14:paraId="6ABAFF4B"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r>
      <w:tr w:rsidR="00622884" w:rsidRPr="00622884" w14:paraId="65115F41" w14:textId="77777777" w:rsidTr="00622884">
        <w:trPr>
          <w:trHeight w:val="191"/>
          <w:jc w:val="center"/>
        </w:trPr>
        <w:tc>
          <w:tcPr>
            <w:tcW w:w="245" w:type="pct"/>
            <w:vAlign w:val="center"/>
          </w:tcPr>
          <w:p w14:paraId="25DEE6AB" w14:textId="77777777" w:rsidR="00622884" w:rsidRPr="00622884" w:rsidRDefault="00622884" w:rsidP="00622884">
            <w:pPr>
              <w:spacing w:after="0" w:line="240" w:lineRule="auto"/>
              <w:jc w:val="center"/>
              <w:rPr>
                <w:rFonts w:ascii="Garamond" w:eastAsia="SimSun" w:hAnsi="Garamond" w:cs="Calibri Light"/>
                <w:b/>
                <w:bCs/>
                <w:sz w:val="12"/>
                <w:szCs w:val="12"/>
                <w:lang w:eastAsia="en-US"/>
              </w:rPr>
            </w:pPr>
            <w:r w:rsidRPr="00622884">
              <w:rPr>
                <w:rFonts w:ascii="Garamond" w:eastAsia="SimSun" w:hAnsi="Garamond" w:cs="Times New Roman"/>
                <w:b/>
                <w:sz w:val="12"/>
                <w:szCs w:val="12"/>
                <w:lang w:eastAsia="en-US" w:bidi="sq-AL"/>
              </w:rPr>
              <w:t>47</w:t>
            </w:r>
          </w:p>
        </w:tc>
        <w:tc>
          <w:tcPr>
            <w:tcW w:w="1943" w:type="pct"/>
            <w:vAlign w:val="center"/>
          </w:tcPr>
          <w:p w14:paraId="7344057C" w14:textId="77777777" w:rsidR="00622884" w:rsidRPr="00622884" w:rsidRDefault="00622884" w:rsidP="00622884">
            <w:pPr>
              <w:spacing w:after="0" w:line="240" w:lineRule="auto"/>
              <w:jc w:val="left"/>
              <w:rPr>
                <w:rFonts w:ascii="Garamond" w:eastAsia="SimSun" w:hAnsi="Garamond" w:cs="Calibri Light"/>
                <w:b/>
                <w:bCs/>
                <w:sz w:val="12"/>
                <w:szCs w:val="12"/>
                <w:lang w:eastAsia="en-US"/>
              </w:rPr>
            </w:pPr>
            <w:r w:rsidRPr="00622884">
              <w:rPr>
                <w:rFonts w:ascii="Garamond" w:eastAsia="SimSun" w:hAnsi="Garamond" w:cs="Times New Roman"/>
                <w:sz w:val="12"/>
                <w:szCs w:val="12"/>
                <w:lang w:eastAsia="en-US" w:bidi="sq-AL"/>
              </w:rPr>
              <w:t xml:space="preserve">Restaurimi i korridoreve të gjelbra: Nismat për ripyllëzim dhe gjelbërim urban </w:t>
            </w:r>
          </w:p>
        </w:tc>
        <w:tc>
          <w:tcPr>
            <w:tcW w:w="509" w:type="pct"/>
            <w:vAlign w:val="center"/>
          </w:tcPr>
          <w:p w14:paraId="13935E4F" w14:textId="77777777" w:rsidR="00622884" w:rsidRPr="00622884" w:rsidRDefault="00622884" w:rsidP="00622884">
            <w:pPr>
              <w:spacing w:after="0" w:line="240" w:lineRule="auto"/>
              <w:jc w:val="center"/>
              <w:rPr>
                <w:rFonts w:ascii="Garamond" w:eastAsia="SimSun" w:hAnsi="Garamond" w:cs="Calibri Light"/>
                <w:sz w:val="12"/>
                <w:szCs w:val="12"/>
                <w:u w:val="single"/>
                <w:lang w:eastAsia="en-US"/>
              </w:rPr>
            </w:pPr>
            <w:r w:rsidRPr="00622884">
              <w:rPr>
                <w:rFonts w:ascii="Garamond" w:eastAsia="SimSun" w:hAnsi="Garamond" w:cs="Times New Roman"/>
                <w:sz w:val="12"/>
                <w:szCs w:val="12"/>
                <w:lang w:eastAsia="en-US" w:bidi="sq-AL"/>
              </w:rPr>
              <w:t>MM, Bashkitë</w:t>
            </w:r>
          </w:p>
        </w:tc>
        <w:tc>
          <w:tcPr>
            <w:tcW w:w="154" w:type="pct"/>
          </w:tcPr>
          <w:p w14:paraId="1795C4B5"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67A81C95"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4" w:type="pct"/>
          </w:tcPr>
          <w:p w14:paraId="375D6F40"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shd w:val="clear" w:color="auto" w:fill="C7E3D5"/>
          </w:tcPr>
          <w:p w14:paraId="1681AC0A"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shd w:val="clear" w:color="auto" w:fill="C7E3D5"/>
          </w:tcPr>
          <w:p w14:paraId="07B1C18B"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3" w:type="pct"/>
            <w:shd w:val="clear" w:color="auto" w:fill="C7E3D5"/>
          </w:tcPr>
          <w:p w14:paraId="495AB708"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5" w:type="pct"/>
            <w:shd w:val="clear" w:color="auto" w:fill="C7E3D5"/>
          </w:tcPr>
          <w:p w14:paraId="382C76F6"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3" w:type="pct"/>
            <w:shd w:val="clear" w:color="auto" w:fill="C7E3D5"/>
          </w:tcPr>
          <w:p w14:paraId="1CDC9908"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shd w:val="clear" w:color="auto" w:fill="C7E3D5"/>
          </w:tcPr>
          <w:p w14:paraId="55E77D54"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2CBFECEA"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5" w:type="pct"/>
          </w:tcPr>
          <w:p w14:paraId="59F087FA"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7B9D59C8"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3" w:type="pct"/>
          </w:tcPr>
          <w:p w14:paraId="5E8A574C"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7C43F25F"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3" w:type="pct"/>
          </w:tcPr>
          <w:p w14:paraId="55B618B4"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45DE8456"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56" w:type="pct"/>
          </w:tcPr>
          <w:p w14:paraId="0487B402"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r>
      <w:tr w:rsidR="00622884" w:rsidRPr="00622884" w14:paraId="3314B661" w14:textId="77777777" w:rsidTr="00622884">
        <w:trPr>
          <w:trHeight w:val="251"/>
          <w:jc w:val="center"/>
        </w:trPr>
        <w:tc>
          <w:tcPr>
            <w:tcW w:w="245" w:type="pct"/>
            <w:vAlign w:val="center"/>
          </w:tcPr>
          <w:p w14:paraId="66803919" w14:textId="77777777" w:rsidR="00622884" w:rsidRPr="00622884" w:rsidRDefault="00622884" w:rsidP="00622884">
            <w:pPr>
              <w:spacing w:after="0" w:line="240" w:lineRule="auto"/>
              <w:jc w:val="center"/>
              <w:rPr>
                <w:rFonts w:ascii="Garamond" w:eastAsia="SimSun" w:hAnsi="Garamond" w:cs="Calibri Light"/>
                <w:b/>
                <w:bCs/>
                <w:sz w:val="12"/>
                <w:szCs w:val="12"/>
                <w:lang w:eastAsia="en-US"/>
              </w:rPr>
            </w:pPr>
            <w:r w:rsidRPr="00622884">
              <w:rPr>
                <w:rFonts w:ascii="Garamond" w:eastAsia="SimSun" w:hAnsi="Garamond" w:cs="Times New Roman"/>
                <w:b/>
                <w:sz w:val="12"/>
                <w:szCs w:val="12"/>
                <w:lang w:eastAsia="en-US" w:bidi="sq-AL"/>
              </w:rPr>
              <w:t>48</w:t>
            </w:r>
          </w:p>
        </w:tc>
        <w:tc>
          <w:tcPr>
            <w:tcW w:w="1943" w:type="pct"/>
            <w:vAlign w:val="center"/>
          </w:tcPr>
          <w:p w14:paraId="601B50EB" w14:textId="77777777" w:rsidR="00622884" w:rsidRPr="00622884" w:rsidRDefault="00622884" w:rsidP="00622884">
            <w:pPr>
              <w:spacing w:after="0" w:line="240" w:lineRule="auto"/>
              <w:jc w:val="left"/>
              <w:rPr>
                <w:rFonts w:ascii="Garamond" w:eastAsia="SimSun" w:hAnsi="Garamond" w:cs="Calibri Light"/>
                <w:b/>
                <w:bCs/>
                <w:sz w:val="12"/>
                <w:szCs w:val="12"/>
                <w:lang w:eastAsia="en-US"/>
              </w:rPr>
            </w:pPr>
            <w:r w:rsidRPr="00622884">
              <w:rPr>
                <w:rFonts w:ascii="Garamond" w:eastAsia="SimSun" w:hAnsi="Garamond" w:cs="Times New Roman"/>
                <w:sz w:val="12"/>
                <w:szCs w:val="12"/>
                <w:lang w:eastAsia="en-US" w:bidi="sq-AL"/>
              </w:rPr>
              <w:t>Vlerësimi i riskut klimatik për Durrësin, Elbasanin, Fierin dhe më gjerë: Krijimi i një harte gjithëpërfshirëse të cenueshmërisë</w:t>
            </w:r>
          </w:p>
        </w:tc>
        <w:tc>
          <w:tcPr>
            <w:tcW w:w="509" w:type="pct"/>
            <w:vAlign w:val="center"/>
          </w:tcPr>
          <w:p w14:paraId="12FC233C" w14:textId="77777777" w:rsidR="00622884" w:rsidRPr="00622884" w:rsidRDefault="00622884" w:rsidP="00622884">
            <w:pPr>
              <w:spacing w:after="0" w:line="240" w:lineRule="auto"/>
              <w:jc w:val="center"/>
              <w:rPr>
                <w:rFonts w:ascii="Garamond" w:eastAsia="SimSun" w:hAnsi="Garamond" w:cs="Calibri Light"/>
                <w:sz w:val="12"/>
                <w:szCs w:val="12"/>
                <w:lang w:eastAsia="en-US"/>
              </w:rPr>
            </w:pPr>
            <w:r w:rsidRPr="00622884">
              <w:rPr>
                <w:rFonts w:ascii="Garamond" w:eastAsia="SimSun" w:hAnsi="Garamond" w:cs="Times New Roman"/>
                <w:sz w:val="12"/>
                <w:szCs w:val="12"/>
                <w:lang w:eastAsia="en-US" w:bidi="sq-AL"/>
              </w:rPr>
              <w:t>MIE, Bashkitë</w:t>
            </w:r>
          </w:p>
        </w:tc>
        <w:tc>
          <w:tcPr>
            <w:tcW w:w="154" w:type="pct"/>
          </w:tcPr>
          <w:p w14:paraId="6DE082CB"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5906A952"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4" w:type="pct"/>
            <w:shd w:val="clear" w:color="auto" w:fill="C7E3D5"/>
          </w:tcPr>
          <w:p w14:paraId="6F9A8720"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shd w:val="clear" w:color="auto" w:fill="C7E3D5"/>
          </w:tcPr>
          <w:p w14:paraId="163EDCC0"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shd w:val="clear" w:color="auto" w:fill="C7E3D5"/>
          </w:tcPr>
          <w:p w14:paraId="04A76AA0"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3" w:type="pct"/>
            <w:shd w:val="clear" w:color="auto" w:fill="C7E3D5"/>
          </w:tcPr>
          <w:p w14:paraId="25B22A6F"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5" w:type="pct"/>
          </w:tcPr>
          <w:p w14:paraId="3F12A18B"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3" w:type="pct"/>
          </w:tcPr>
          <w:p w14:paraId="48CC1455"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5834DB9E"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7EDA14F6"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5" w:type="pct"/>
          </w:tcPr>
          <w:p w14:paraId="0F631609"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675103B3"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3" w:type="pct"/>
          </w:tcPr>
          <w:p w14:paraId="2A07DF38"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0B0B1E1F"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3" w:type="pct"/>
          </w:tcPr>
          <w:p w14:paraId="448F3645"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4521D8F2"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56" w:type="pct"/>
          </w:tcPr>
          <w:p w14:paraId="3E8C9AA0"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r>
      <w:tr w:rsidR="00622884" w:rsidRPr="00622884" w14:paraId="78A4E72C" w14:textId="77777777" w:rsidTr="00622884">
        <w:trPr>
          <w:trHeight w:val="116"/>
          <w:jc w:val="center"/>
        </w:trPr>
        <w:tc>
          <w:tcPr>
            <w:tcW w:w="245" w:type="pct"/>
            <w:vAlign w:val="center"/>
          </w:tcPr>
          <w:p w14:paraId="3CA5814D" w14:textId="77777777" w:rsidR="00622884" w:rsidRPr="00622884" w:rsidRDefault="00622884" w:rsidP="00622884">
            <w:pPr>
              <w:spacing w:after="0" w:line="240" w:lineRule="auto"/>
              <w:jc w:val="center"/>
              <w:rPr>
                <w:rFonts w:ascii="Garamond" w:eastAsia="SimSun" w:hAnsi="Garamond" w:cs="Calibri Light"/>
                <w:b/>
                <w:bCs/>
                <w:sz w:val="12"/>
                <w:szCs w:val="12"/>
                <w:lang w:eastAsia="en-US"/>
              </w:rPr>
            </w:pPr>
            <w:r w:rsidRPr="00622884">
              <w:rPr>
                <w:rFonts w:ascii="Garamond" w:eastAsia="SimSun" w:hAnsi="Garamond" w:cs="Times New Roman"/>
                <w:b/>
                <w:sz w:val="12"/>
                <w:szCs w:val="12"/>
                <w:lang w:eastAsia="en-US" w:bidi="sq-AL"/>
              </w:rPr>
              <w:t>49</w:t>
            </w:r>
          </w:p>
        </w:tc>
        <w:tc>
          <w:tcPr>
            <w:tcW w:w="1943" w:type="pct"/>
            <w:vAlign w:val="center"/>
          </w:tcPr>
          <w:p w14:paraId="345E4D8D" w14:textId="77777777" w:rsidR="00622884" w:rsidRPr="00622884" w:rsidRDefault="00622884" w:rsidP="00622884">
            <w:pPr>
              <w:spacing w:after="0" w:line="240" w:lineRule="auto"/>
              <w:jc w:val="left"/>
              <w:rPr>
                <w:rFonts w:ascii="Garamond" w:eastAsia="SimSun" w:hAnsi="Garamond" w:cs="Calibri Light"/>
                <w:b/>
                <w:bCs/>
                <w:sz w:val="12"/>
                <w:szCs w:val="12"/>
                <w:lang w:eastAsia="en-US"/>
              </w:rPr>
            </w:pPr>
            <w:r w:rsidRPr="00622884">
              <w:rPr>
                <w:rFonts w:ascii="Garamond" w:eastAsia="SimSun" w:hAnsi="Garamond" w:cs="Times New Roman"/>
                <w:sz w:val="12"/>
                <w:szCs w:val="12"/>
                <w:lang w:eastAsia="en-US" w:bidi="sq-AL"/>
              </w:rPr>
              <w:t>Planet e emergjencës për raste përmbytjesh</w:t>
            </w:r>
          </w:p>
        </w:tc>
        <w:tc>
          <w:tcPr>
            <w:tcW w:w="509" w:type="pct"/>
            <w:vAlign w:val="center"/>
          </w:tcPr>
          <w:p w14:paraId="20D1E740" w14:textId="77777777" w:rsidR="00622884" w:rsidRPr="00622884" w:rsidRDefault="00622884" w:rsidP="00622884">
            <w:pPr>
              <w:spacing w:after="0" w:line="240" w:lineRule="auto"/>
              <w:jc w:val="center"/>
              <w:rPr>
                <w:rFonts w:ascii="Garamond" w:eastAsia="SimSun" w:hAnsi="Garamond" w:cs="Calibri Light"/>
                <w:sz w:val="12"/>
                <w:szCs w:val="12"/>
                <w:lang w:eastAsia="en-US"/>
              </w:rPr>
            </w:pPr>
            <w:r w:rsidRPr="00622884">
              <w:rPr>
                <w:rFonts w:ascii="Garamond" w:eastAsia="SimSun" w:hAnsi="Garamond" w:cs="Times New Roman"/>
                <w:sz w:val="12"/>
                <w:szCs w:val="12"/>
                <w:lang w:eastAsia="en-US" w:bidi="sq-AL"/>
              </w:rPr>
              <w:t>MIE, Bashkitë</w:t>
            </w:r>
          </w:p>
        </w:tc>
        <w:tc>
          <w:tcPr>
            <w:tcW w:w="154" w:type="pct"/>
          </w:tcPr>
          <w:p w14:paraId="2FA1519A"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shd w:val="clear" w:color="auto" w:fill="C7E3D5"/>
          </w:tcPr>
          <w:p w14:paraId="5AC44222"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4" w:type="pct"/>
            <w:shd w:val="clear" w:color="auto" w:fill="C7E3D5"/>
          </w:tcPr>
          <w:p w14:paraId="3629ED3E"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shd w:val="clear" w:color="auto" w:fill="C7E3D5"/>
          </w:tcPr>
          <w:p w14:paraId="017F23AB"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shd w:val="clear" w:color="auto" w:fill="C7E3D5"/>
          </w:tcPr>
          <w:p w14:paraId="0587F6D2"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3" w:type="pct"/>
          </w:tcPr>
          <w:p w14:paraId="4C148366"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5" w:type="pct"/>
          </w:tcPr>
          <w:p w14:paraId="4A01AC5D"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3" w:type="pct"/>
          </w:tcPr>
          <w:p w14:paraId="3D3E513D"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1ABF68C1"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3C22748D"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5" w:type="pct"/>
          </w:tcPr>
          <w:p w14:paraId="10DE2728"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3590EC85"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3" w:type="pct"/>
          </w:tcPr>
          <w:p w14:paraId="13CE6CA2"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712A2CCF"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3" w:type="pct"/>
          </w:tcPr>
          <w:p w14:paraId="7A05F69C"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51D2B0C9"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56" w:type="pct"/>
          </w:tcPr>
          <w:p w14:paraId="1AD50170"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r>
      <w:tr w:rsidR="00622884" w:rsidRPr="00622884" w14:paraId="33F44540" w14:textId="77777777" w:rsidTr="00622884">
        <w:trPr>
          <w:trHeight w:val="189"/>
          <w:jc w:val="center"/>
        </w:trPr>
        <w:tc>
          <w:tcPr>
            <w:tcW w:w="245" w:type="pct"/>
            <w:vAlign w:val="center"/>
          </w:tcPr>
          <w:p w14:paraId="694579BE" w14:textId="77777777" w:rsidR="00622884" w:rsidRPr="00622884" w:rsidRDefault="00622884" w:rsidP="00622884">
            <w:pPr>
              <w:spacing w:after="0" w:line="240" w:lineRule="auto"/>
              <w:jc w:val="center"/>
              <w:rPr>
                <w:rFonts w:ascii="Garamond" w:eastAsia="SimSun" w:hAnsi="Garamond" w:cs="Calibri Light"/>
                <w:b/>
                <w:bCs/>
                <w:sz w:val="12"/>
                <w:szCs w:val="12"/>
                <w:lang w:eastAsia="en-US"/>
              </w:rPr>
            </w:pPr>
            <w:r w:rsidRPr="00622884">
              <w:rPr>
                <w:rFonts w:ascii="Garamond" w:eastAsia="SimSun" w:hAnsi="Garamond" w:cs="Times New Roman"/>
                <w:b/>
                <w:sz w:val="12"/>
                <w:szCs w:val="12"/>
                <w:lang w:eastAsia="en-US" w:bidi="sq-AL"/>
              </w:rPr>
              <w:t>50</w:t>
            </w:r>
          </w:p>
        </w:tc>
        <w:tc>
          <w:tcPr>
            <w:tcW w:w="1943" w:type="pct"/>
            <w:vAlign w:val="center"/>
          </w:tcPr>
          <w:p w14:paraId="295C6A7B" w14:textId="77777777" w:rsidR="00622884" w:rsidRPr="00622884" w:rsidRDefault="00622884" w:rsidP="00622884">
            <w:pPr>
              <w:spacing w:after="0" w:line="240" w:lineRule="auto"/>
              <w:jc w:val="left"/>
              <w:rPr>
                <w:rFonts w:ascii="Garamond" w:eastAsia="SimSun" w:hAnsi="Garamond" w:cs="Calibri Light"/>
                <w:b/>
                <w:bCs/>
                <w:sz w:val="12"/>
                <w:szCs w:val="12"/>
                <w:lang w:eastAsia="en-US"/>
              </w:rPr>
            </w:pPr>
            <w:r w:rsidRPr="00622884">
              <w:rPr>
                <w:rFonts w:ascii="Garamond" w:eastAsia="SimSun" w:hAnsi="Garamond" w:cs="Times New Roman"/>
                <w:sz w:val="12"/>
                <w:szCs w:val="12"/>
                <w:lang w:eastAsia="en-US" w:bidi="sq-AL"/>
              </w:rPr>
              <w:t xml:space="preserve">Rritja e aftësive ripërtëritëse urbane: Vlerësimi i hapësirave të gjelbra dhe zgjidhjeve të qëndrueshme të kullimit </w:t>
            </w:r>
          </w:p>
        </w:tc>
        <w:tc>
          <w:tcPr>
            <w:tcW w:w="509" w:type="pct"/>
            <w:vAlign w:val="center"/>
          </w:tcPr>
          <w:p w14:paraId="596DBF35" w14:textId="77777777" w:rsidR="00622884" w:rsidRPr="00622884" w:rsidRDefault="00622884" w:rsidP="00622884">
            <w:pPr>
              <w:spacing w:after="0" w:line="240" w:lineRule="auto"/>
              <w:jc w:val="center"/>
              <w:rPr>
                <w:rFonts w:ascii="Garamond" w:eastAsia="SimSun" w:hAnsi="Garamond" w:cs="Calibri Light"/>
                <w:sz w:val="12"/>
                <w:szCs w:val="12"/>
                <w:u w:val="single"/>
                <w:lang w:eastAsia="en-US"/>
              </w:rPr>
            </w:pPr>
            <w:r w:rsidRPr="00622884">
              <w:rPr>
                <w:rFonts w:ascii="Garamond" w:eastAsia="SimSun" w:hAnsi="Garamond" w:cs="Times New Roman"/>
                <w:sz w:val="12"/>
                <w:szCs w:val="12"/>
                <w:lang w:eastAsia="en-US" w:bidi="sq-AL"/>
              </w:rPr>
              <w:t>MIE, Bashkitë</w:t>
            </w:r>
          </w:p>
        </w:tc>
        <w:tc>
          <w:tcPr>
            <w:tcW w:w="154" w:type="pct"/>
            <w:shd w:val="clear" w:color="auto" w:fill="C7E3D5"/>
          </w:tcPr>
          <w:p w14:paraId="624D3BE1"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shd w:val="clear" w:color="auto" w:fill="C7E3D5"/>
          </w:tcPr>
          <w:p w14:paraId="47FF0898"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4" w:type="pct"/>
            <w:shd w:val="clear" w:color="auto" w:fill="C7E3D5"/>
          </w:tcPr>
          <w:p w14:paraId="1DF9919A"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shd w:val="clear" w:color="auto" w:fill="C7E3D5"/>
          </w:tcPr>
          <w:p w14:paraId="0A538762"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shd w:val="clear" w:color="auto" w:fill="C7E3D5"/>
          </w:tcPr>
          <w:p w14:paraId="417D6430"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3" w:type="pct"/>
            <w:shd w:val="clear" w:color="auto" w:fill="C7E3D5"/>
          </w:tcPr>
          <w:p w14:paraId="02795803"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5" w:type="pct"/>
            <w:shd w:val="clear" w:color="auto" w:fill="C7E3D5"/>
          </w:tcPr>
          <w:p w14:paraId="04322503"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3" w:type="pct"/>
            <w:shd w:val="clear" w:color="auto" w:fill="C7E3D5"/>
          </w:tcPr>
          <w:p w14:paraId="12C2A73B"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50964350"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2FA12A32"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5" w:type="pct"/>
          </w:tcPr>
          <w:p w14:paraId="54DC7EF4"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29FF38B9"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3" w:type="pct"/>
          </w:tcPr>
          <w:p w14:paraId="3F2FE221"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2B02EC6C"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3" w:type="pct"/>
          </w:tcPr>
          <w:p w14:paraId="2A34BC4F"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4428EAB5"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56" w:type="pct"/>
          </w:tcPr>
          <w:p w14:paraId="70C0EA95"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r>
      <w:tr w:rsidR="00622884" w:rsidRPr="00622884" w14:paraId="726547D3" w14:textId="77777777" w:rsidTr="00622884">
        <w:trPr>
          <w:trHeight w:val="64"/>
          <w:jc w:val="center"/>
        </w:trPr>
        <w:tc>
          <w:tcPr>
            <w:tcW w:w="245" w:type="pct"/>
            <w:vAlign w:val="center"/>
          </w:tcPr>
          <w:p w14:paraId="3D116A1D" w14:textId="77777777" w:rsidR="00622884" w:rsidRPr="00622884" w:rsidRDefault="00622884" w:rsidP="00622884">
            <w:pPr>
              <w:spacing w:after="0" w:line="240" w:lineRule="auto"/>
              <w:jc w:val="center"/>
              <w:rPr>
                <w:rFonts w:ascii="Garamond" w:eastAsia="SimSun" w:hAnsi="Garamond" w:cs="Calibri Light"/>
                <w:b/>
                <w:bCs/>
                <w:sz w:val="12"/>
                <w:szCs w:val="12"/>
                <w:lang w:eastAsia="en-US"/>
              </w:rPr>
            </w:pPr>
            <w:r w:rsidRPr="00622884">
              <w:rPr>
                <w:rFonts w:ascii="Garamond" w:eastAsia="SimSun" w:hAnsi="Garamond" w:cs="Times New Roman"/>
                <w:b/>
                <w:sz w:val="12"/>
                <w:szCs w:val="12"/>
                <w:lang w:eastAsia="en-US" w:bidi="sq-AL"/>
              </w:rPr>
              <w:t>51</w:t>
            </w:r>
          </w:p>
        </w:tc>
        <w:tc>
          <w:tcPr>
            <w:tcW w:w="1943" w:type="pct"/>
            <w:vAlign w:val="center"/>
          </w:tcPr>
          <w:p w14:paraId="6020A769" w14:textId="77777777" w:rsidR="00622884" w:rsidRPr="00622884" w:rsidRDefault="00622884" w:rsidP="00622884">
            <w:pPr>
              <w:spacing w:after="0" w:line="240" w:lineRule="auto"/>
              <w:jc w:val="left"/>
              <w:rPr>
                <w:rFonts w:ascii="Garamond" w:eastAsia="SimSun" w:hAnsi="Garamond" w:cs="Calibri Light"/>
                <w:b/>
                <w:bCs/>
                <w:sz w:val="12"/>
                <w:szCs w:val="12"/>
                <w:lang w:eastAsia="en-US"/>
              </w:rPr>
            </w:pPr>
            <w:r w:rsidRPr="00622884">
              <w:rPr>
                <w:rFonts w:ascii="Garamond" w:eastAsia="SimSun" w:hAnsi="Garamond" w:cs="Times New Roman"/>
                <w:sz w:val="12"/>
                <w:szCs w:val="12"/>
                <w:lang w:eastAsia="en-US" w:bidi="sq-AL"/>
              </w:rPr>
              <w:t>Projektim i qëndrueshëm urban: Ruajtja dhe restaurimi i zonave të përshkueshme dhe të infiltrimit</w:t>
            </w:r>
          </w:p>
        </w:tc>
        <w:tc>
          <w:tcPr>
            <w:tcW w:w="509" w:type="pct"/>
            <w:vAlign w:val="center"/>
          </w:tcPr>
          <w:p w14:paraId="5FC34EEB" w14:textId="77777777" w:rsidR="00622884" w:rsidRPr="00622884" w:rsidRDefault="00622884" w:rsidP="00622884">
            <w:pPr>
              <w:spacing w:after="0" w:line="240" w:lineRule="auto"/>
              <w:jc w:val="center"/>
              <w:rPr>
                <w:rFonts w:ascii="Garamond" w:eastAsia="SimSun" w:hAnsi="Garamond" w:cs="Calibri Light"/>
                <w:sz w:val="12"/>
                <w:szCs w:val="12"/>
                <w:lang w:eastAsia="en-US"/>
              </w:rPr>
            </w:pPr>
            <w:r w:rsidRPr="00622884">
              <w:rPr>
                <w:rFonts w:ascii="Garamond" w:eastAsia="SimSun" w:hAnsi="Garamond" w:cs="Times New Roman"/>
                <w:sz w:val="12"/>
                <w:szCs w:val="12"/>
                <w:lang w:eastAsia="en-US" w:bidi="sq-AL"/>
              </w:rPr>
              <w:t>MIE, Bashkitë</w:t>
            </w:r>
          </w:p>
        </w:tc>
        <w:tc>
          <w:tcPr>
            <w:tcW w:w="154" w:type="pct"/>
          </w:tcPr>
          <w:p w14:paraId="62B77D2A"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34498E66"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4" w:type="pct"/>
          </w:tcPr>
          <w:p w14:paraId="04E8A63E"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6C3E3B10"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2A6CCAE7"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3" w:type="pct"/>
          </w:tcPr>
          <w:p w14:paraId="2AB0BD96"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5" w:type="pct"/>
          </w:tcPr>
          <w:p w14:paraId="5965E9C6"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3" w:type="pct"/>
          </w:tcPr>
          <w:p w14:paraId="35C6394E"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10914027"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shd w:val="clear" w:color="auto" w:fill="C7E3D5"/>
          </w:tcPr>
          <w:p w14:paraId="2F56D157"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5" w:type="pct"/>
            <w:shd w:val="clear" w:color="auto" w:fill="C7E3D5"/>
          </w:tcPr>
          <w:p w14:paraId="30A9C0C9"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shd w:val="clear" w:color="auto" w:fill="C7E3D5"/>
          </w:tcPr>
          <w:p w14:paraId="7B55B21D"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3" w:type="pct"/>
            <w:shd w:val="clear" w:color="auto" w:fill="C7E3D5"/>
          </w:tcPr>
          <w:p w14:paraId="219EED3C"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shd w:val="clear" w:color="auto" w:fill="C7E3D5"/>
          </w:tcPr>
          <w:p w14:paraId="68FFE372"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3" w:type="pct"/>
          </w:tcPr>
          <w:p w14:paraId="3BC585A6"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23A5071A"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56" w:type="pct"/>
          </w:tcPr>
          <w:p w14:paraId="0D0E231A"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r>
      <w:tr w:rsidR="00622884" w:rsidRPr="00622884" w14:paraId="64BED0FD" w14:textId="77777777" w:rsidTr="00622884">
        <w:trPr>
          <w:trHeight w:val="315"/>
          <w:jc w:val="center"/>
        </w:trPr>
        <w:tc>
          <w:tcPr>
            <w:tcW w:w="245" w:type="pct"/>
            <w:vAlign w:val="center"/>
          </w:tcPr>
          <w:p w14:paraId="32817060" w14:textId="77777777" w:rsidR="00622884" w:rsidRPr="00622884" w:rsidRDefault="00622884" w:rsidP="00622884">
            <w:pPr>
              <w:spacing w:after="0" w:line="240" w:lineRule="auto"/>
              <w:jc w:val="center"/>
              <w:rPr>
                <w:rFonts w:ascii="Garamond" w:eastAsia="SimSun" w:hAnsi="Garamond" w:cs="Calibri Light"/>
                <w:b/>
                <w:bCs/>
                <w:sz w:val="12"/>
                <w:szCs w:val="12"/>
                <w:lang w:eastAsia="en-US"/>
              </w:rPr>
            </w:pPr>
            <w:r w:rsidRPr="00622884">
              <w:rPr>
                <w:rFonts w:ascii="Garamond" w:eastAsia="SimSun" w:hAnsi="Garamond" w:cs="Times New Roman"/>
                <w:b/>
                <w:sz w:val="12"/>
                <w:szCs w:val="12"/>
                <w:lang w:eastAsia="en-US" w:bidi="sq-AL"/>
              </w:rPr>
              <w:t>52</w:t>
            </w:r>
          </w:p>
        </w:tc>
        <w:tc>
          <w:tcPr>
            <w:tcW w:w="1943" w:type="pct"/>
            <w:vAlign w:val="center"/>
          </w:tcPr>
          <w:p w14:paraId="2AC0DD21" w14:textId="77777777" w:rsidR="00622884" w:rsidRPr="00622884" w:rsidRDefault="00622884" w:rsidP="00622884">
            <w:pPr>
              <w:spacing w:after="0" w:line="240" w:lineRule="auto"/>
              <w:jc w:val="left"/>
              <w:rPr>
                <w:rFonts w:ascii="Garamond" w:eastAsia="SimSun" w:hAnsi="Garamond" w:cs="Calibri Light"/>
                <w:b/>
                <w:bCs/>
                <w:sz w:val="12"/>
                <w:szCs w:val="12"/>
                <w:lang w:eastAsia="en-US"/>
              </w:rPr>
            </w:pPr>
            <w:r w:rsidRPr="00622884">
              <w:rPr>
                <w:rFonts w:ascii="Garamond" w:eastAsia="SimSun" w:hAnsi="Garamond" w:cs="Times New Roman"/>
                <w:sz w:val="12"/>
                <w:szCs w:val="12"/>
                <w:lang w:eastAsia="en-US" w:bidi="sq-AL"/>
              </w:rPr>
              <w:t>Mbrojtja e infrastrukturës energjetike nga erërat e forta: Rehabilitimi i nënstacioneve dhe linjave të transmetimit</w:t>
            </w:r>
          </w:p>
        </w:tc>
        <w:tc>
          <w:tcPr>
            <w:tcW w:w="509" w:type="pct"/>
            <w:vAlign w:val="center"/>
          </w:tcPr>
          <w:p w14:paraId="43F0150D" w14:textId="77777777" w:rsidR="00622884" w:rsidRPr="00622884" w:rsidRDefault="00622884" w:rsidP="00622884">
            <w:pPr>
              <w:spacing w:after="0" w:line="240" w:lineRule="auto"/>
              <w:jc w:val="center"/>
              <w:rPr>
                <w:rFonts w:ascii="Garamond" w:eastAsia="SimSun" w:hAnsi="Garamond" w:cs="Calibri Light"/>
                <w:sz w:val="12"/>
                <w:szCs w:val="12"/>
                <w:u w:val="single"/>
                <w:lang w:eastAsia="en-US"/>
              </w:rPr>
            </w:pPr>
            <w:r w:rsidRPr="00622884">
              <w:rPr>
                <w:rFonts w:ascii="Garamond" w:eastAsia="SimSun" w:hAnsi="Garamond" w:cs="Times New Roman"/>
                <w:sz w:val="12"/>
                <w:szCs w:val="12"/>
                <w:lang w:eastAsia="en-US" w:bidi="sq-AL"/>
              </w:rPr>
              <w:t>Operatori i Sistemit të Transmetimit në Shqipëri</w:t>
            </w:r>
          </w:p>
        </w:tc>
        <w:tc>
          <w:tcPr>
            <w:tcW w:w="154" w:type="pct"/>
          </w:tcPr>
          <w:p w14:paraId="6C647A4C"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65B4A8FF"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4" w:type="pct"/>
          </w:tcPr>
          <w:p w14:paraId="5EC43459"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281921E2"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6735B5FD"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3" w:type="pct"/>
            <w:shd w:val="clear" w:color="auto" w:fill="C7E3D5"/>
          </w:tcPr>
          <w:p w14:paraId="1293916A"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5" w:type="pct"/>
            <w:shd w:val="clear" w:color="auto" w:fill="C7E3D5"/>
          </w:tcPr>
          <w:p w14:paraId="423E5591"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3" w:type="pct"/>
            <w:shd w:val="clear" w:color="auto" w:fill="C7E3D5"/>
          </w:tcPr>
          <w:p w14:paraId="6C656F25"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shd w:val="clear" w:color="auto" w:fill="C7E3D5"/>
          </w:tcPr>
          <w:p w14:paraId="0A65C59F"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shd w:val="clear" w:color="auto" w:fill="C7E3D5"/>
          </w:tcPr>
          <w:p w14:paraId="7D5B1CE1"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5" w:type="pct"/>
            <w:shd w:val="clear" w:color="auto" w:fill="C7E3D5"/>
          </w:tcPr>
          <w:p w14:paraId="2B6FE5D1"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7ED042FC"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3" w:type="pct"/>
          </w:tcPr>
          <w:p w14:paraId="16A6C95E"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1787CC87"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3" w:type="pct"/>
          </w:tcPr>
          <w:p w14:paraId="4FBE256B"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4CAE538F"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56" w:type="pct"/>
          </w:tcPr>
          <w:p w14:paraId="56C87F0C"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r>
      <w:tr w:rsidR="00622884" w:rsidRPr="00622884" w14:paraId="0F340429" w14:textId="77777777" w:rsidTr="00622884">
        <w:trPr>
          <w:trHeight w:val="179"/>
          <w:jc w:val="center"/>
        </w:trPr>
        <w:tc>
          <w:tcPr>
            <w:tcW w:w="245" w:type="pct"/>
            <w:vAlign w:val="center"/>
          </w:tcPr>
          <w:p w14:paraId="07646DC1" w14:textId="77777777" w:rsidR="00622884" w:rsidRPr="00622884" w:rsidRDefault="00622884" w:rsidP="00622884">
            <w:pPr>
              <w:spacing w:after="0" w:line="240" w:lineRule="auto"/>
              <w:jc w:val="center"/>
              <w:rPr>
                <w:rFonts w:ascii="Garamond" w:eastAsia="SimSun" w:hAnsi="Garamond" w:cs="Calibri Light"/>
                <w:b/>
                <w:bCs/>
                <w:sz w:val="12"/>
                <w:szCs w:val="12"/>
                <w:lang w:eastAsia="en-US"/>
              </w:rPr>
            </w:pPr>
            <w:r w:rsidRPr="00622884">
              <w:rPr>
                <w:rFonts w:ascii="Garamond" w:eastAsia="SimSun" w:hAnsi="Garamond" w:cs="Times New Roman"/>
                <w:b/>
                <w:sz w:val="12"/>
                <w:szCs w:val="12"/>
                <w:lang w:eastAsia="en-US" w:bidi="sq-AL"/>
              </w:rPr>
              <w:t>53</w:t>
            </w:r>
          </w:p>
        </w:tc>
        <w:tc>
          <w:tcPr>
            <w:tcW w:w="1943" w:type="pct"/>
            <w:vAlign w:val="center"/>
          </w:tcPr>
          <w:p w14:paraId="32D3318C" w14:textId="77777777" w:rsidR="00622884" w:rsidRPr="00622884" w:rsidRDefault="00622884" w:rsidP="00622884">
            <w:pPr>
              <w:spacing w:after="0" w:line="240" w:lineRule="auto"/>
              <w:jc w:val="left"/>
              <w:rPr>
                <w:rFonts w:ascii="Garamond" w:eastAsia="SimSun" w:hAnsi="Garamond" w:cs="Calibri Light"/>
                <w:b/>
                <w:bCs/>
                <w:sz w:val="12"/>
                <w:szCs w:val="12"/>
                <w:lang w:eastAsia="en-US"/>
              </w:rPr>
            </w:pPr>
            <w:r w:rsidRPr="00622884">
              <w:rPr>
                <w:rFonts w:ascii="Garamond" w:eastAsia="SimSun" w:hAnsi="Garamond" w:cs="Times New Roman"/>
                <w:sz w:val="12"/>
                <w:szCs w:val="12"/>
                <w:lang w:eastAsia="en-US" w:bidi="sq-AL"/>
              </w:rPr>
              <w:t>Rritja e efikasitetit të ndërtesave: Certifikatat e Performancës së Energjisë dhe standardet e qëndrueshmërisë</w:t>
            </w:r>
          </w:p>
        </w:tc>
        <w:tc>
          <w:tcPr>
            <w:tcW w:w="509" w:type="pct"/>
            <w:vAlign w:val="center"/>
          </w:tcPr>
          <w:p w14:paraId="6B2096AE" w14:textId="77777777" w:rsidR="00622884" w:rsidRPr="00622884" w:rsidRDefault="00622884" w:rsidP="00622884">
            <w:pPr>
              <w:spacing w:after="0" w:line="240" w:lineRule="auto"/>
              <w:jc w:val="center"/>
              <w:rPr>
                <w:rFonts w:ascii="Garamond" w:eastAsia="SimSun" w:hAnsi="Garamond" w:cs="Calibri Light"/>
                <w:sz w:val="12"/>
                <w:szCs w:val="12"/>
                <w:u w:val="single"/>
                <w:lang w:eastAsia="en-US"/>
              </w:rPr>
            </w:pPr>
            <w:r w:rsidRPr="00622884">
              <w:rPr>
                <w:rFonts w:ascii="Garamond" w:eastAsia="SimSun" w:hAnsi="Garamond" w:cs="Times New Roman"/>
                <w:sz w:val="12"/>
                <w:szCs w:val="12"/>
                <w:lang w:eastAsia="en-US" w:bidi="sq-AL"/>
              </w:rPr>
              <w:t>MIE</w:t>
            </w:r>
          </w:p>
        </w:tc>
        <w:tc>
          <w:tcPr>
            <w:tcW w:w="154" w:type="pct"/>
          </w:tcPr>
          <w:p w14:paraId="5C4194B5"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5AF2DB90"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4" w:type="pct"/>
          </w:tcPr>
          <w:p w14:paraId="31DE0E29"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2ED2157C"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4C8F00AD"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3" w:type="pct"/>
            <w:shd w:val="clear" w:color="auto" w:fill="C7E3D5"/>
          </w:tcPr>
          <w:p w14:paraId="2519C364"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5" w:type="pct"/>
            <w:shd w:val="clear" w:color="auto" w:fill="C7E3D5"/>
          </w:tcPr>
          <w:p w14:paraId="6869A54C"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3" w:type="pct"/>
            <w:shd w:val="clear" w:color="auto" w:fill="C7E3D5"/>
          </w:tcPr>
          <w:p w14:paraId="37F749DF"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shd w:val="clear" w:color="auto" w:fill="C7E3D5"/>
          </w:tcPr>
          <w:p w14:paraId="24D9D41E"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shd w:val="clear" w:color="auto" w:fill="C7E3D5"/>
          </w:tcPr>
          <w:p w14:paraId="53AB5026"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5" w:type="pct"/>
          </w:tcPr>
          <w:p w14:paraId="6E2EA60E"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0EA568A4"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3" w:type="pct"/>
          </w:tcPr>
          <w:p w14:paraId="7AAC114C"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362099E1"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3" w:type="pct"/>
          </w:tcPr>
          <w:p w14:paraId="1BBC1D97"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1AC7DCF6"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56" w:type="pct"/>
          </w:tcPr>
          <w:p w14:paraId="00747834"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r>
      <w:tr w:rsidR="00622884" w:rsidRPr="00622884" w14:paraId="18C3DC25" w14:textId="77777777" w:rsidTr="00622884">
        <w:trPr>
          <w:trHeight w:val="171"/>
          <w:jc w:val="center"/>
        </w:trPr>
        <w:tc>
          <w:tcPr>
            <w:tcW w:w="245" w:type="pct"/>
            <w:vAlign w:val="center"/>
          </w:tcPr>
          <w:p w14:paraId="5990653F" w14:textId="77777777" w:rsidR="00622884" w:rsidRPr="00622884" w:rsidRDefault="00622884" w:rsidP="00622884">
            <w:pPr>
              <w:spacing w:after="0" w:line="240" w:lineRule="auto"/>
              <w:jc w:val="center"/>
              <w:rPr>
                <w:rFonts w:ascii="Garamond" w:eastAsia="SimSun" w:hAnsi="Garamond" w:cs="Calibri Light"/>
                <w:b/>
                <w:bCs/>
                <w:sz w:val="12"/>
                <w:szCs w:val="12"/>
                <w:lang w:eastAsia="en-US"/>
              </w:rPr>
            </w:pPr>
            <w:r w:rsidRPr="00622884">
              <w:rPr>
                <w:rFonts w:ascii="Garamond" w:eastAsia="SimSun" w:hAnsi="Garamond" w:cs="Times New Roman"/>
                <w:b/>
                <w:sz w:val="12"/>
                <w:szCs w:val="12"/>
                <w:lang w:eastAsia="en-US" w:bidi="sq-AL"/>
              </w:rPr>
              <w:t>54</w:t>
            </w:r>
          </w:p>
        </w:tc>
        <w:tc>
          <w:tcPr>
            <w:tcW w:w="1943" w:type="pct"/>
            <w:vAlign w:val="center"/>
          </w:tcPr>
          <w:p w14:paraId="13890AC0" w14:textId="77777777" w:rsidR="00622884" w:rsidRPr="00622884" w:rsidRDefault="00622884" w:rsidP="00622884">
            <w:pPr>
              <w:spacing w:after="0" w:line="240" w:lineRule="auto"/>
              <w:jc w:val="left"/>
              <w:rPr>
                <w:rFonts w:ascii="Garamond" w:eastAsia="SimSun" w:hAnsi="Garamond" w:cs="Calibri Light"/>
                <w:b/>
                <w:bCs/>
                <w:sz w:val="12"/>
                <w:szCs w:val="12"/>
                <w:lang w:eastAsia="en-US"/>
              </w:rPr>
            </w:pPr>
            <w:r w:rsidRPr="00622884">
              <w:rPr>
                <w:rFonts w:ascii="Garamond" w:eastAsia="SimSun" w:hAnsi="Garamond" w:cs="Times New Roman"/>
                <w:sz w:val="12"/>
                <w:szCs w:val="12"/>
                <w:lang w:eastAsia="en-US" w:bidi="sq-AL"/>
              </w:rPr>
              <w:t>Eksplorimi i potencialit të sektorit të energjisë: Studime për menaxhimin e kërkesës dhe ruajtjen e energjisë</w:t>
            </w:r>
          </w:p>
        </w:tc>
        <w:tc>
          <w:tcPr>
            <w:tcW w:w="509" w:type="pct"/>
            <w:vAlign w:val="center"/>
          </w:tcPr>
          <w:p w14:paraId="0B6E3647" w14:textId="77777777" w:rsidR="00622884" w:rsidRPr="00622884" w:rsidRDefault="00622884" w:rsidP="00622884">
            <w:pPr>
              <w:spacing w:after="0" w:line="240" w:lineRule="auto"/>
              <w:jc w:val="center"/>
              <w:rPr>
                <w:rFonts w:ascii="Garamond" w:eastAsia="SimSun" w:hAnsi="Garamond" w:cs="Calibri Light"/>
                <w:sz w:val="12"/>
                <w:szCs w:val="12"/>
                <w:u w:val="single"/>
                <w:lang w:eastAsia="en-US"/>
              </w:rPr>
            </w:pPr>
            <w:r w:rsidRPr="00622884">
              <w:rPr>
                <w:rFonts w:ascii="Garamond" w:eastAsia="SimSun" w:hAnsi="Garamond" w:cs="Times New Roman"/>
                <w:sz w:val="12"/>
                <w:szCs w:val="12"/>
                <w:lang w:eastAsia="en-US" w:bidi="sq-AL"/>
              </w:rPr>
              <w:t>MIE</w:t>
            </w:r>
          </w:p>
        </w:tc>
        <w:tc>
          <w:tcPr>
            <w:tcW w:w="154" w:type="pct"/>
          </w:tcPr>
          <w:p w14:paraId="1E25030F"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0CF311F2"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4" w:type="pct"/>
          </w:tcPr>
          <w:p w14:paraId="64042CEE"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shd w:val="clear" w:color="auto" w:fill="C7E3D5"/>
          </w:tcPr>
          <w:p w14:paraId="0F3C9343"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shd w:val="clear" w:color="auto" w:fill="C7E3D5"/>
          </w:tcPr>
          <w:p w14:paraId="21EA1AED"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3" w:type="pct"/>
            <w:shd w:val="clear" w:color="auto" w:fill="C7E3D5"/>
          </w:tcPr>
          <w:p w14:paraId="2D17C8AC"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5" w:type="pct"/>
          </w:tcPr>
          <w:p w14:paraId="047A2868"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3" w:type="pct"/>
          </w:tcPr>
          <w:p w14:paraId="5D6CE0EA"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34FD679F"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787D06D7"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5" w:type="pct"/>
          </w:tcPr>
          <w:p w14:paraId="6F7C5C44"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10EC87C7"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3" w:type="pct"/>
          </w:tcPr>
          <w:p w14:paraId="5D21A67F"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6EFD41BB"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3" w:type="pct"/>
          </w:tcPr>
          <w:p w14:paraId="04CF9CD9"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2BC0D254"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56" w:type="pct"/>
          </w:tcPr>
          <w:p w14:paraId="1F519B69"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r>
      <w:tr w:rsidR="00622884" w:rsidRPr="00622884" w14:paraId="10C4C36E" w14:textId="77777777" w:rsidTr="00622884">
        <w:trPr>
          <w:trHeight w:val="97"/>
          <w:jc w:val="center"/>
        </w:trPr>
        <w:tc>
          <w:tcPr>
            <w:tcW w:w="245" w:type="pct"/>
            <w:vAlign w:val="center"/>
          </w:tcPr>
          <w:p w14:paraId="2CE1387B" w14:textId="77777777" w:rsidR="00622884" w:rsidRPr="00622884" w:rsidRDefault="00622884" w:rsidP="00622884">
            <w:pPr>
              <w:spacing w:after="0" w:line="240" w:lineRule="auto"/>
              <w:jc w:val="center"/>
              <w:rPr>
                <w:rFonts w:ascii="Garamond" w:eastAsia="SimSun" w:hAnsi="Garamond" w:cs="Calibri Light"/>
                <w:b/>
                <w:bCs/>
                <w:sz w:val="12"/>
                <w:szCs w:val="12"/>
                <w:lang w:eastAsia="en-US"/>
              </w:rPr>
            </w:pPr>
            <w:r w:rsidRPr="00622884">
              <w:rPr>
                <w:rFonts w:ascii="Garamond" w:eastAsia="SimSun" w:hAnsi="Garamond" w:cs="Times New Roman"/>
                <w:b/>
                <w:sz w:val="12"/>
                <w:szCs w:val="12"/>
                <w:lang w:eastAsia="en-US" w:bidi="sq-AL"/>
              </w:rPr>
              <w:t>55</w:t>
            </w:r>
          </w:p>
        </w:tc>
        <w:tc>
          <w:tcPr>
            <w:tcW w:w="1943" w:type="pct"/>
            <w:vAlign w:val="center"/>
          </w:tcPr>
          <w:p w14:paraId="574093A2" w14:textId="77777777" w:rsidR="00622884" w:rsidRPr="00622884" w:rsidRDefault="00622884" w:rsidP="00622884">
            <w:pPr>
              <w:spacing w:after="0" w:line="240" w:lineRule="auto"/>
              <w:jc w:val="left"/>
              <w:rPr>
                <w:rFonts w:ascii="Garamond" w:eastAsia="SimSun" w:hAnsi="Garamond" w:cs="Calibri Light"/>
                <w:b/>
                <w:bCs/>
                <w:sz w:val="12"/>
                <w:szCs w:val="12"/>
                <w:lang w:eastAsia="en-US"/>
              </w:rPr>
            </w:pPr>
            <w:r w:rsidRPr="00622884">
              <w:rPr>
                <w:rFonts w:ascii="Garamond" w:eastAsia="SimSun" w:hAnsi="Garamond" w:cs="Times New Roman"/>
                <w:sz w:val="12"/>
                <w:szCs w:val="12"/>
                <w:lang w:eastAsia="en-US" w:bidi="sq-AL"/>
              </w:rPr>
              <w:t>Mbrojtja e infrastrukturës energjetike: Monitorimi i zonave të emergjencës dhe riskut</w:t>
            </w:r>
          </w:p>
        </w:tc>
        <w:tc>
          <w:tcPr>
            <w:tcW w:w="509" w:type="pct"/>
            <w:vAlign w:val="center"/>
          </w:tcPr>
          <w:p w14:paraId="636C9C98" w14:textId="77777777" w:rsidR="00622884" w:rsidRPr="00622884" w:rsidRDefault="00622884" w:rsidP="00622884">
            <w:pPr>
              <w:spacing w:after="0" w:line="240" w:lineRule="auto"/>
              <w:jc w:val="center"/>
              <w:rPr>
                <w:rFonts w:ascii="Garamond" w:eastAsia="SimSun" w:hAnsi="Garamond" w:cs="Calibri Light"/>
                <w:sz w:val="12"/>
                <w:szCs w:val="12"/>
                <w:u w:val="single"/>
                <w:lang w:eastAsia="en-US"/>
              </w:rPr>
            </w:pPr>
            <w:r w:rsidRPr="00622884">
              <w:rPr>
                <w:rFonts w:ascii="Garamond" w:eastAsia="SimSun" w:hAnsi="Garamond" w:cs="Times New Roman"/>
                <w:sz w:val="12"/>
                <w:szCs w:val="12"/>
                <w:lang w:eastAsia="en-US" w:bidi="sq-AL"/>
              </w:rPr>
              <w:t>MIE</w:t>
            </w:r>
          </w:p>
        </w:tc>
        <w:tc>
          <w:tcPr>
            <w:tcW w:w="154" w:type="pct"/>
          </w:tcPr>
          <w:p w14:paraId="58C05EE4"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67052B57"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4" w:type="pct"/>
            <w:shd w:val="clear" w:color="auto" w:fill="C7E3D5"/>
          </w:tcPr>
          <w:p w14:paraId="4C5C92A1"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shd w:val="clear" w:color="auto" w:fill="C7E3D5"/>
          </w:tcPr>
          <w:p w14:paraId="16720528"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shd w:val="clear" w:color="auto" w:fill="C7E3D5"/>
          </w:tcPr>
          <w:p w14:paraId="2F3C7AC4"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3" w:type="pct"/>
            <w:shd w:val="clear" w:color="auto" w:fill="C7E3D5"/>
          </w:tcPr>
          <w:p w14:paraId="3E3E83A0"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5" w:type="pct"/>
          </w:tcPr>
          <w:p w14:paraId="7F4C6378"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3" w:type="pct"/>
          </w:tcPr>
          <w:p w14:paraId="3090E456"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419486E4"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7A07B5E3"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5" w:type="pct"/>
          </w:tcPr>
          <w:p w14:paraId="14D9B63C"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7F30DD81"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3" w:type="pct"/>
          </w:tcPr>
          <w:p w14:paraId="10AEA988"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17AA9010"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3" w:type="pct"/>
          </w:tcPr>
          <w:p w14:paraId="05657E7F"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21B288F5"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56" w:type="pct"/>
          </w:tcPr>
          <w:p w14:paraId="593CE908"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r>
      <w:tr w:rsidR="00622884" w:rsidRPr="00622884" w14:paraId="659DCE03" w14:textId="77777777" w:rsidTr="00622884">
        <w:trPr>
          <w:trHeight w:val="310"/>
          <w:jc w:val="center"/>
        </w:trPr>
        <w:tc>
          <w:tcPr>
            <w:tcW w:w="245" w:type="pct"/>
            <w:vAlign w:val="center"/>
          </w:tcPr>
          <w:p w14:paraId="678A1F89" w14:textId="77777777" w:rsidR="00622884" w:rsidRPr="00622884" w:rsidRDefault="00622884" w:rsidP="00622884">
            <w:pPr>
              <w:spacing w:after="0" w:line="240" w:lineRule="auto"/>
              <w:jc w:val="center"/>
              <w:rPr>
                <w:rFonts w:ascii="Garamond" w:eastAsia="SimSun" w:hAnsi="Garamond" w:cs="Calibri Light"/>
                <w:b/>
                <w:bCs/>
                <w:sz w:val="12"/>
                <w:szCs w:val="12"/>
                <w:lang w:eastAsia="en-US"/>
              </w:rPr>
            </w:pPr>
            <w:r w:rsidRPr="00622884">
              <w:rPr>
                <w:rFonts w:ascii="Garamond" w:eastAsia="SimSun" w:hAnsi="Garamond" w:cs="Times New Roman"/>
                <w:b/>
                <w:sz w:val="12"/>
                <w:szCs w:val="12"/>
                <w:lang w:eastAsia="en-US" w:bidi="sq-AL"/>
              </w:rPr>
              <w:t>56</w:t>
            </w:r>
          </w:p>
        </w:tc>
        <w:tc>
          <w:tcPr>
            <w:tcW w:w="1943" w:type="pct"/>
            <w:vAlign w:val="center"/>
          </w:tcPr>
          <w:p w14:paraId="38E8BD09" w14:textId="77777777" w:rsidR="00622884" w:rsidRPr="00622884" w:rsidRDefault="00622884" w:rsidP="00622884">
            <w:pPr>
              <w:spacing w:after="0" w:line="240" w:lineRule="auto"/>
              <w:jc w:val="left"/>
              <w:rPr>
                <w:rFonts w:ascii="Garamond" w:eastAsia="SimSun" w:hAnsi="Garamond" w:cs="Calibri Light"/>
                <w:b/>
                <w:bCs/>
                <w:sz w:val="12"/>
                <w:szCs w:val="12"/>
                <w:lang w:eastAsia="en-US"/>
              </w:rPr>
            </w:pPr>
            <w:r w:rsidRPr="00622884">
              <w:rPr>
                <w:rFonts w:ascii="Garamond" w:eastAsia="SimSun" w:hAnsi="Garamond" w:cs="Times New Roman"/>
                <w:sz w:val="12"/>
                <w:szCs w:val="12"/>
                <w:lang w:eastAsia="en-US" w:bidi="sq-AL"/>
              </w:rPr>
              <w:t xml:space="preserve">Rritja e aftësive ripërtëritëse ndaj valës së të nxehtit përmes vendosjes efikase të teknologjisë së kondicionimit të ajrit dhe strehimeve për mbrojtje ndaj ndryshimeve klimatike </w:t>
            </w:r>
          </w:p>
        </w:tc>
        <w:tc>
          <w:tcPr>
            <w:tcW w:w="509" w:type="pct"/>
            <w:vAlign w:val="center"/>
          </w:tcPr>
          <w:p w14:paraId="53A8DC2F" w14:textId="77777777" w:rsidR="00622884" w:rsidRPr="00622884" w:rsidRDefault="00622884" w:rsidP="00622884">
            <w:pPr>
              <w:spacing w:after="0" w:line="240" w:lineRule="auto"/>
              <w:jc w:val="center"/>
              <w:rPr>
                <w:rFonts w:ascii="Garamond" w:eastAsia="SimSun" w:hAnsi="Garamond" w:cs="Calibri Light"/>
                <w:sz w:val="12"/>
                <w:szCs w:val="12"/>
                <w:u w:val="single"/>
                <w:lang w:eastAsia="en-US"/>
              </w:rPr>
            </w:pPr>
            <w:r w:rsidRPr="00622884">
              <w:rPr>
                <w:rFonts w:ascii="Garamond" w:eastAsia="SimSun" w:hAnsi="Garamond" w:cs="Times New Roman"/>
                <w:sz w:val="12"/>
                <w:szCs w:val="12"/>
                <w:lang w:eastAsia="en-US" w:bidi="sq-AL"/>
              </w:rPr>
              <w:t>MIE, Bashkitë</w:t>
            </w:r>
          </w:p>
        </w:tc>
        <w:tc>
          <w:tcPr>
            <w:tcW w:w="154" w:type="pct"/>
          </w:tcPr>
          <w:p w14:paraId="1013CFB8"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631474BF"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4" w:type="pct"/>
          </w:tcPr>
          <w:p w14:paraId="22CFB85A"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15E01CEE"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51C28DD5"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3" w:type="pct"/>
          </w:tcPr>
          <w:p w14:paraId="2FC80723"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5" w:type="pct"/>
          </w:tcPr>
          <w:p w14:paraId="27C68CA1"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3" w:type="pct"/>
          </w:tcPr>
          <w:p w14:paraId="070DB7D6"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34523AD3"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51A77F54"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5" w:type="pct"/>
            <w:shd w:val="clear" w:color="auto" w:fill="C7E3D5"/>
          </w:tcPr>
          <w:p w14:paraId="21CC88B8"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shd w:val="clear" w:color="auto" w:fill="C7E3D5"/>
          </w:tcPr>
          <w:p w14:paraId="3EA5AE18"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3" w:type="pct"/>
            <w:shd w:val="clear" w:color="auto" w:fill="C7E3D5"/>
          </w:tcPr>
          <w:p w14:paraId="7514B1D9"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shd w:val="clear" w:color="auto" w:fill="C7E3D5"/>
          </w:tcPr>
          <w:p w14:paraId="35F7B796"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3" w:type="pct"/>
            <w:shd w:val="clear" w:color="auto" w:fill="C7E3D5"/>
          </w:tcPr>
          <w:p w14:paraId="7B4AC2BD"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7E1DD746"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56" w:type="pct"/>
          </w:tcPr>
          <w:p w14:paraId="59D89A21"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r>
      <w:tr w:rsidR="00622884" w:rsidRPr="00622884" w14:paraId="4D43B19E" w14:textId="77777777" w:rsidTr="00622884">
        <w:trPr>
          <w:trHeight w:val="119"/>
          <w:jc w:val="center"/>
        </w:trPr>
        <w:tc>
          <w:tcPr>
            <w:tcW w:w="245" w:type="pct"/>
            <w:vAlign w:val="center"/>
          </w:tcPr>
          <w:p w14:paraId="71F523C0" w14:textId="77777777" w:rsidR="00622884" w:rsidRPr="00622884" w:rsidRDefault="00622884" w:rsidP="00622884">
            <w:pPr>
              <w:spacing w:after="0" w:line="240" w:lineRule="auto"/>
              <w:jc w:val="center"/>
              <w:rPr>
                <w:rFonts w:ascii="Garamond" w:eastAsia="SimSun" w:hAnsi="Garamond" w:cs="Calibri Light"/>
                <w:b/>
                <w:bCs/>
                <w:sz w:val="12"/>
                <w:szCs w:val="12"/>
                <w:lang w:eastAsia="en-US"/>
              </w:rPr>
            </w:pPr>
            <w:r w:rsidRPr="00622884">
              <w:rPr>
                <w:rFonts w:ascii="Garamond" w:eastAsia="SimSun" w:hAnsi="Garamond" w:cs="Times New Roman"/>
                <w:b/>
                <w:sz w:val="12"/>
                <w:szCs w:val="12"/>
                <w:lang w:eastAsia="en-US" w:bidi="sq-AL"/>
              </w:rPr>
              <w:t>57</w:t>
            </w:r>
          </w:p>
        </w:tc>
        <w:tc>
          <w:tcPr>
            <w:tcW w:w="1943" w:type="pct"/>
            <w:vAlign w:val="center"/>
          </w:tcPr>
          <w:p w14:paraId="646974B5" w14:textId="77777777" w:rsidR="00622884" w:rsidRPr="00622884" w:rsidRDefault="00622884" w:rsidP="00622884">
            <w:pPr>
              <w:spacing w:after="0" w:line="240" w:lineRule="auto"/>
              <w:jc w:val="left"/>
              <w:rPr>
                <w:rFonts w:ascii="Garamond" w:eastAsia="SimSun" w:hAnsi="Garamond" w:cs="Calibri Light"/>
                <w:b/>
                <w:bCs/>
                <w:sz w:val="12"/>
                <w:szCs w:val="12"/>
                <w:lang w:eastAsia="en-US"/>
              </w:rPr>
            </w:pPr>
            <w:r w:rsidRPr="00622884">
              <w:rPr>
                <w:rFonts w:ascii="Garamond" w:eastAsia="SimSun" w:hAnsi="Garamond" w:cs="Times New Roman"/>
                <w:sz w:val="12"/>
                <w:szCs w:val="12"/>
                <w:lang w:eastAsia="en-US" w:bidi="sq-AL"/>
              </w:rPr>
              <w:t>Optimizimi i energjisë së rinovueshme për sisteme me aftësi ripërtëritëse: Investime në inovacionin e rrjetit dhe magazinimin</w:t>
            </w:r>
          </w:p>
        </w:tc>
        <w:tc>
          <w:tcPr>
            <w:tcW w:w="509" w:type="pct"/>
            <w:vAlign w:val="center"/>
          </w:tcPr>
          <w:p w14:paraId="3CAF3C9D" w14:textId="77777777" w:rsidR="00622884" w:rsidRPr="00622884" w:rsidRDefault="00622884" w:rsidP="00622884">
            <w:pPr>
              <w:spacing w:after="0" w:line="240" w:lineRule="auto"/>
              <w:jc w:val="center"/>
              <w:rPr>
                <w:rFonts w:ascii="Garamond" w:eastAsia="SimSun" w:hAnsi="Garamond" w:cs="Calibri Light"/>
                <w:sz w:val="12"/>
                <w:szCs w:val="12"/>
                <w:u w:val="single"/>
                <w:lang w:eastAsia="en-US"/>
              </w:rPr>
            </w:pPr>
            <w:r w:rsidRPr="00622884">
              <w:rPr>
                <w:rFonts w:ascii="Garamond" w:eastAsia="SimSun" w:hAnsi="Garamond" w:cs="Times New Roman"/>
                <w:sz w:val="12"/>
                <w:szCs w:val="12"/>
                <w:lang w:eastAsia="en-US" w:bidi="sq-AL"/>
              </w:rPr>
              <w:t>MIE</w:t>
            </w:r>
          </w:p>
        </w:tc>
        <w:tc>
          <w:tcPr>
            <w:tcW w:w="154" w:type="pct"/>
          </w:tcPr>
          <w:p w14:paraId="29B52C5A"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26733FF4"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4" w:type="pct"/>
          </w:tcPr>
          <w:p w14:paraId="2E694384"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174FEA8F"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6FE62DFD"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3" w:type="pct"/>
          </w:tcPr>
          <w:p w14:paraId="6C7F2C08"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5" w:type="pct"/>
          </w:tcPr>
          <w:p w14:paraId="65C9291D"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3" w:type="pct"/>
            <w:shd w:val="clear" w:color="auto" w:fill="C7E3D5"/>
          </w:tcPr>
          <w:p w14:paraId="713B2143"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shd w:val="clear" w:color="auto" w:fill="C7E3D5"/>
          </w:tcPr>
          <w:p w14:paraId="0477FE7B"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shd w:val="clear" w:color="auto" w:fill="C7E3D5"/>
          </w:tcPr>
          <w:p w14:paraId="0A6A60F8"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5" w:type="pct"/>
            <w:shd w:val="clear" w:color="auto" w:fill="C7E3D5"/>
          </w:tcPr>
          <w:p w14:paraId="2E16CAFC"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shd w:val="clear" w:color="auto" w:fill="C7E3D5"/>
          </w:tcPr>
          <w:p w14:paraId="3B75E490"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3" w:type="pct"/>
            <w:shd w:val="clear" w:color="auto" w:fill="C7E3D5"/>
          </w:tcPr>
          <w:p w14:paraId="34CE38F0"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shd w:val="clear" w:color="auto" w:fill="C7E3D5"/>
          </w:tcPr>
          <w:p w14:paraId="666B13BF"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3" w:type="pct"/>
            <w:shd w:val="clear" w:color="auto" w:fill="C7E3D5"/>
          </w:tcPr>
          <w:p w14:paraId="34E167F2"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shd w:val="clear" w:color="auto" w:fill="C7E3D5"/>
          </w:tcPr>
          <w:p w14:paraId="465D756C"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56" w:type="pct"/>
            <w:shd w:val="clear" w:color="auto" w:fill="C7E3D5"/>
          </w:tcPr>
          <w:p w14:paraId="0A6E8728"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r>
      <w:tr w:rsidR="00622884" w:rsidRPr="00622884" w14:paraId="22427D48" w14:textId="77777777" w:rsidTr="00622884">
        <w:trPr>
          <w:trHeight w:val="56"/>
          <w:jc w:val="center"/>
        </w:trPr>
        <w:tc>
          <w:tcPr>
            <w:tcW w:w="245" w:type="pct"/>
            <w:vAlign w:val="center"/>
          </w:tcPr>
          <w:p w14:paraId="3901DB0F" w14:textId="77777777" w:rsidR="00622884" w:rsidRPr="00622884" w:rsidRDefault="00622884" w:rsidP="00622884">
            <w:pPr>
              <w:spacing w:after="0" w:line="240" w:lineRule="auto"/>
              <w:jc w:val="center"/>
              <w:rPr>
                <w:rFonts w:ascii="Garamond" w:eastAsia="SimSun" w:hAnsi="Garamond" w:cs="Calibri Light"/>
                <w:b/>
                <w:bCs/>
                <w:sz w:val="12"/>
                <w:szCs w:val="12"/>
                <w:lang w:eastAsia="en-US"/>
              </w:rPr>
            </w:pPr>
            <w:r w:rsidRPr="00622884">
              <w:rPr>
                <w:rFonts w:ascii="Garamond" w:eastAsia="SimSun" w:hAnsi="Garamond" w:cs="Times New Roman"/>
                <w:b/>
                <w:sz w:val="12"/>
                <w:szCs w:val="12"/>
                <w:lang w:eastAsia="en-US" w:bidi="sq-AL"/>
              </w:rPr>
              <w:t>58</w:t>
            </w:r>
          </w:p>
        </w:tc>
        <w:tc>
          <w:tcPr>
            <w:tcW w:w="1943" w:type="pct"/>
            <w:vAlign w:val="center"/>
          </w:tcPr>
          <w:p w14:paraId="173D8E11" w14:textId="77777777" w:rsidR="00622884" w:rsidRPr="00622884" w:rsidRDefault="00622884" w:rsidP="00622884">
            <w:pPr>
              <w:spacing w:after="0" w:line="240" w:lineRule="auto"/>
              <w:jc w:val="left"/>
              <w:rPr>
                <w:rFonts w:ascii="Garamond" w:eastAsia="SimSun" w:hAnsi="Garamond" w:cs="Calibri Light"/>
                <w:b/>
                <w:bCs/>
                <w:sz w:val="12"/>
                <w:szCs w:val="12"/>
                <w:lang w:eastAsia="en-US"/>
              </w:rPr>
            </w:pPr>
            <w:r w:rsidRPr="00622884">
              <w:rPr>
                <w:rFonts w:ascii="Garamond" w:eastAsia="SimSun" w:hAnsi="Garamond" w:cs="Times New Roman"/>
                <w:sz w:val="12"/>
                <w:szCs w:val="12"/>
                <w:lang w:eastAsia="en-US" w:bidi="sq-AL"/>
              </w:rPr>
              <w:t>Promovimi i barazisë gjinore në sektorin e energjisë: Trajnimi dhe mbështetja e grave në projektet për ER-në</w:t>
            </w:r>
          </w:p>
        </w:tc>
        <w:tc>
          <w:tcPr>
            <w:tcW w:w="509" w:type="pct"/>
            <w:vAlign w:val="center"/>
          </w:tcPr>
          <w:p w14:paraId="2F7FDDD2" w14:textId="77777777" w:rsidR="00622884" w:rsidRPr="00622884" w:rsidRDefault="00622884" w:rsidP="00622884">
            <w:pPr>
              <w:spacing w:after="0" w:line="240" w:lineRule="auto"/>
              <w:jc w:val="center"/>
              <w:rPr>
                <w:rFonts w:ascii="Garamond" w:eastAsia="SimSun" w:hAnsi="Garamond" w:cs="Calibri Light"/>
                <w:sz w:val="12"/>
                <w:szCs w:val="12"/>
                <w:u w:val="single"/>
                <w:lang w:eastAsia="en-US"/>
              </w:rPr>
            </w:pPr>
            <w:r w:rsidRPr="00622884">
              <w:rPr>
                <w:rFonts w:ascii="Garamond" w:eastAsia="SimSun" w:hAnsi="Garamond" w:cs="Times New Roman"/>
                <w:sz w:val="12"/>
                <w:szCs w:val="12"/>
                <w:lang w:eastAsia="en-US" w:bidi="sq-AL"/>
              </w:rPr>
              <w:t>MIE</w:t>
            </w:r>
          </w:p>
        </w:tc>
        <w:tc>
          <w:tcPr>
            <w:tcW w:w="154" w:type="pct"/>
          </w:tcPr>
          <w:p w14:paraId="576D8B3E"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shd w:val="clear" w:color="auto" w:fill="C7E3D5"/>
          </w:tcPr>
          <w:p w14:paraId="2083AE14"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4" w:type="pct"/>
            <w:shd w:val="clear" w:color="auto" w:fill="C7E3D5"/>
          </w:tcPr>
          <w:p w14:paraId="76BA05F6"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shd w:val="clear" w:color="auto" w:fill="C7E3D5"/>
          </w:tcPr>
          <w:p w14:paraId="5983A042"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shd w:val="clear" w:color="auto" w:fill="C7E3D5"/>
          </w:tcPr>
          <w:p w14:paraId="29A7E16A"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3" w:type="pct"/>
            <w:shd w:val="clear" w:color="auto" w:fill="C7E3D5"/>
          </w:tcPr>
          <w:p w14:paraId="287F6664"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5" w:type="pct"/>
          </w:tcPr>
          <w:p w14:paraId="3A87DDB9"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3" w:type="pct"/>
          </w:tcPr>
          <w:p w14:paraId="0951E26B"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2567DF0A"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1CE45701"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5" w:type="pct"/>
          </w:tcPr>
          <w:p w14:paraId="7EEA8911"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06994ADD"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3" w:type="pct"/>
          </w:tcPr>
          <w:p w14:paraId="41D9B329"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57BB128C"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3" w:type="pct"/>
          </w:tcPr>
          <w:p w14:paraId="3EC358DB"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673494C9"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56" w:type="pct"/>
          </w:tcPr>
          <w:p w14:paraId="673CCAF1"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r>
      <w:tr w:rsidR="00622884" w:rsidRPr="00622884" w14:paraId="622C85C4" w14:textId="77777777" w:rsidTr="00622884">
        <w:trPr>
          <w:trHeight w:val="185"/>
          <w:jc w:val="center"/>
        </w:trPr>
        <w:tc>
          <w:tcPr>
            <w:tcW w:w="245" w:type="pct"/>
            <w:vAlign w:val="center"/>
          </w:tcPr>
          <w:p w14:paraId="6BCD050D" w14:textId="77777777" w:rsidR="00622884" w:rsidRPr="00622884" w:rsidRDefault="00622884" w:rsidP="00622884">
            <w:pPr>
              <w:spacing w:after="0" w:line="240" w:lineRule="auto"/>
              <w:jc w:val="center"/>
              <w:rPr>
                <w:rFonts w:ascii="Garamond" w:eastAsia="SimSun" w:hAnsi="Garamond" w:cs="Calibri Light"/>
                <w:b/>
                <w:bCs/>
                <w:sz w:val="12"/>
                <w:szCs w:val="12"/>
                <w:lang w:eastAsia="en-US"/>
              </w:rPr>
            </w:pPr>
            <w:r w:rsidRPr="00622884">
              <w:rPr>
                <w:rFonts w:ascii="Garamond" w:eastAsia="SimSun" w:hAnsi="Garamond" w:cs="Times New Roman"/>
                <w:b/>
                <w:sz w:val="12"/>
                <w:szCs w:val="12"/>
                <w:lang w:eastAsia="en-US" w:bidi="sq-AL"/>
              </w:rPr>
              <w:t>59</w:t>
            </w:r>
          </w:p>
        </w:tc>
        <w:tc>
          <w:tcPr>
            <w:tcW w:w="1943" w:type="pct"/>
            <w:vAlign w:val="center"/>
          </w:tcPr>
          <w:p w14:paraId="3347B205" w14:textId="77777777" w:rsidR="00622884" w:rsidRPr="00622884" w:rsidRDefault="00622884" w:rsidP="00622884">
            <w:pPr>
              <w:spacing w:after="0" w:line="240" w:lineRule="auto"/>
              <w:jc w:val="left"/>
              <w:rPr>
                <w:rFonts w:ascii="Garamond" w:eastAsia="SimSun" w:hAnsi="Garamond" w:cs="Calibri Light"/>
                <w:b/>
                <w:bCs/>
                <w:sz w:val="12"/>
                <w:szCs w:val="12"/>
                <w:lang w:eastAsia="en-US"/>
              </w:rPr>
            </w:pPr>
            <w:r w:rsidRPr="00622884">
              <w:rPr>
                <w:rFonts w:ascii="Garamond" w:eastAsia="SimSun" w:hAnsi="Garamond" w:cs="Times New Roman"/>
                <w:sz w:val="12"/>
                <w:szCs w:val="12"/>
                <w:lang w:eastAsia="en-US" w:bidi="sq-AL"/>
              </w:rPr>
              <w:t>Përmirësimi i aftësive ripërtëritëse në sistemet e energjisë hidroelektrike Operacione të optimizuara dhe infrastrukturë e përforcuar</w:t>
            </w:r>
          </w:p>
        </w:tc>
        <w:tc>
          <w:tcPr>
            <w:tcW w:w="509" w:type="pct"/>
            <w:vAlign w:val="center"/>
          </w:tcPr>
          <w:p w14:paraId="60852BAD" w14:textId="77777777" w:rsidR="00622884" w:rsidRPr="00622884" w:rsidRDefault="00622884" w:rsidP="00622884">
            <w:pPr>
              <w:spacing w:after="0" w:line="240" w:lineRule="auto"/>
              <w:jc w:val="center"/>
              <w:rPr>
                <w:rFonts w:ascii="Garamond" w:eastAsia="SimSun" w:hAnsi="Garamond" w:cs="Calibri Light"/>
                <w:sz w:val="12"/>
                <w:szCs w:val="12"/>
                <w:u w:val="single"/>
                <w:lang w:eastAsia="en-US"/>
              </w:rPr>
            </w:pPr>
            <w:r w:rsidRPr="00622884">
              <w:rPr>
                <w:rFonts w:ascii="Garamond" w:eastAsia="SimSun" w:hAnsi="Garamond" w:cs="Times New Roman"/>
                <w:sz w:val="12"/>
                <w:szCs w:val="12"/>
                <w:lang w:eastAsia="en-US" w:bidi="sq-AL"/>
              </w:rPr>
              <w:t>MIE</w:t>
            </w:r>
          </w:p>
        </w:tc>
        <w:tc>
          <w:tcPr>
            <w:tcW w:w="154" w:type="pct"/>
          </w:tcPr>
          <w:p w14:paraId="6FE97F16"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6BBD56C4"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4" w:type="pct"/>
            <w:shd w:val="clear" w:color="auto" w:fill="C7E3D5"/>
          </w:tcPr>
          <w:p w14:paraId="59B68D12"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shd w:val="clear" w:color="auto" w:fill="C7E3D5"/>
          </w:tcPr>
          <w:p w14:paraId="4B4ECCB8"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shd w:val="clear" w:color="auto" w:fill="C7E3D5"/>
          </w:tcPr>
          <w:p w14:paraId="29109F3D"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3" w:type="pct"/>
            <w:shd w:val="clear" w:color="auto" w:fill="C7E3D5"/>
          </w:tcPr>
          <w:p w14:paraId="7DB9AC51"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5" w:type="pct"/>
            <w:shd w:val="clear" w:color="auto" w:fill="C7E3D5"/>
          </w:tcPr>
          <w:p w14:paraId="5714925D"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3" w:type="pct"/>
            <w:shd w:val="clear" w:color="auto" w:fill="C7E3D5"/>
          </w:tcPr>
          <w:p w14:paraId="4B3FEC33"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6E554860"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58C681A3"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5" w:type="pct"/>
          </w:tcPr>
          <w:p w14:paraId="5268204F"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7FAC4538"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3" w:type="pct"/>
          </w:tcPr>
          <w:p w14:paraId="0EE88356"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090335D0"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3" w:type="pct"/>
          </w:tcPr>
          <w:p w14:paraId="5B342F8C"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7C10F688"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56" w:type="pct"/>
          </w:tcPr>
          <w:p w14:paraId="31CEB618"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r>
      <w:tr w:rsidR="00622884" w:rsidRPr="00622884" w14:paraId="7F573332" w14:textId="77777777" w:rsidTr="00622884">
        <w:trPr>
          <w:trHeight w:val="20"/>
          <w:jc w:val="center"/>
        </w:trPr>
        <w:tc>
          <w:tcPr>
            <w:tcW w:w="245" w:type="pct"/>
            <w:vAlign w:val="center"/>
          </w:tcPr>
          <w:p w14:paraId="6114A23E" w14:textId="77777777" w:rsidR="00622884" w:rsidRPr="00622884" w:rsidRDefault="00622884" w:rsidP="00622884">
            <w:pPr>
              <w:spacing w:after="0" w:line="240" w:lineRule="auto"/>
              <w:jc w:val="center"/>
              <w:rPr>
                <w:rFonts w:ascii="Garamond" w:eastAsia="SimSun" w:hAnsi="Garamond" w:cs="Calibri Light"/>
                <w:b/>
                <w:bCs/>
                <w:sz w:val="12"/>
                <w:szCs w:val="12"/>
                <w:lang w:eastAsia="en-US"/>
              </w:rPr>
            </w:pPr>
            <w:r w:rsidRPr="00622884">
              <w:rPr>
                <w:rFonts w:ascii="Garamond" w:eastAsia="SimSun" w:hAnsi="Garamond" w:cs="Times New Roman"/>
                <w:b/>
                <w:sz w:val="12"/>
                <w:szCs w:val="12"/>
                <w:lang w:eastAsia="en-US" w:bidi="sq-AL"/>
              </w:rPr>
              <w:t>60</w:t>
            </w:r>
          </w:p>
        </w:tc>
        <w:tc>
          <w:tcPr>
            <w:tcW w:w="1943" w:type="pct"/>
            <w:vAlign w:val="center"/>
          </w:tcPr>
          <w:p w14:paraId="6FA10FE5" w14:textId="77777777" w:rsidR="00622884" w:rsidRPr="00622884" w:rsidRDefault="00622884" w:rsidP="00622884">
            <w:pPr>
              <w:spacing w:after="0" w:line="240" w:lineRule="auto"/>
              <w:jc w:val="left"/>
              <w:rPr>
                <w:rFonts w:ascii="Garamond" w:eastAsia="SimSun" w:hAnsi="Garamond" w:cs="Calibri Light"/>
                <w:b/>
                <w:bCs/>
                <w:sz w:val="12"/>
                <w:szCs w:val="12"/>
                <w:lang w:eastAsia="en-US"/>
              </w:rPr>
            </w:pPr>
            <w:r w:rsidRPr="00622884">
              <w:rPr>
                <w:rFonts w:ascii="Garamond" w:eastAsia="SimSun" w:hAnsi="Garamond" w:cs="Times New Roman"/>
                <w:sz w:val="12"/>
                <w:szCs w:val="12"/>
                <w:lang w:eastAsia="en-US" w:bidi="sq-AL"/>
              </w:rPr>
              <w:t>Analiza e rregullt e cenueshmërisë dhe riskut dhe përcaktimi i masave për përmirësimin e aftësive ripërtëritëse për infrastrukturën rrugore</w:t>
            </w:r>
          </w:p>
        </w:tc>
        <w:tc>
          <w:tcPr>
            <w:tcW w:w="509" w:type="pct"/>
            <w:vAlign w:val="center"/>
          </w:tcPr>
          <w:p w14:paraId="10EBA933" w14:textId="77777777" w:rsidR="00622884" w:rsidRPr="00622884" w:rsidRDefault="00622884" w:rsidP="00622884">
            <w:pPr>
              <w:spacing w:after="0" w:line="240" w:lineRule="auto"/>
              <w:jc w:val="center"/>
              <w:rPr>
                <w:rFonts w:ascii="Garamond" w:eastAsia="SimSun" w:hAnsi="Garamond" w:cs="Calibri Light"/>
                <w:sz w:val="12"/>
                <w:szCs w:val="12"/>
                <w:lang w:eastAsia="en-US"/>
              </w:rPr>
            </w:pPr>
            <w:r w:rsidRPr="00622884">
              <w:rPr>
                <w:rFonts w:ascii="Garamond" w:eastAsia="SimSun" w:hAnsi="Garamond" w:cs="Times New Roman"/>
                <w:sz w:val="12"/>
                <w:szCs w:val="12"/>
                <w:lang w:eastAsia="en-US" w:bidi="sq-AL"/>
              </w:rPr>
              <w:t>MIE – Infrastruktura e transportit, Bashkitë</w:t>
            </w:r>
          </w:p>
        </w:tc>
        <w:tc>
          <w:tcPr>
            <w:tcW w:w="154" w:type="pct"/>
          </w:tcPr>
          <w:p w14:paraId="3BC6B74F"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51732ADD"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4" w:type="pct"/>
            <w:shd w:val="clear" w:color="auto" w:fill="C7E3D5"/>
          </w:tcPr>
          <w:p w14:paraId="4A403FF8"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shd w:val="clear" w:color="auto" w:fill="C7E3D5"/>
          </w:tcPr>
          <w:p w14:paraId="1DE2E536"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shd w:val="clear" w:color="auto" w:fill="C7E3D5"/>
          </w:tcPr>
          <w:p w14:paraId="24801379"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3" w:type="pct"/>
            <w:shd w:val="clear" w:color="auto" w:fill="C7E3D5"/>
          </w:tcPr>
          <w:p w14:paraId="6077CE0A"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5" w:type="pct"/>
            <w:shd w:val="clear" w:color="auto" w:fill="C7E3D5"/>
          </w:tcPr>
          <w:p w14:paraId="6F28419A"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3" w:type="pct"/>
            <w:shd w:val="clear" w:color="auto" w:fill="C7E3D5"/>
          </w:tcPr>
          <w:p w14:paraId="7669A754"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4E45416B"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51EB821B"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5" w:type="pct"/>
          </w:tcPr>
          <w:p w14:paraId="52EB36A6"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249C6D47"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3" w:type="pct"/>
          </w:tcPr>
          <w:p w14:paraId="2018F0A5"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77D4B817"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3" w:type="pct"/>
          </w:tcPr>
          <w:p w14:paraId="36A73581"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47BC661D"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56" w:type="pct"/>
          </w:tcPr>
          <w:p w14:paraId="21A62E9E"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r>
      <w:tr w:rsidR="00622884" w:rsidRPr="00622884" w14:paraId="2B6CB605" w14:textId="77777777" w:rsidTr="00622884">
        <w:trPr>
          <w:trHeight w:val="20"/>
          <w:jc w:val="center"/>
        </w:trPr>
        <w:tc>
          <w:tcPr>
            <w:tcW w:w="245" w:type="pct"/>
            <w:vAlign w:val="center"/>
          </w:tcPr>
          <w:p w14:paraId="4F53F029" w14:textId="77777777" w:rsidR="00622884" w:rsidRPr="00622884" w:rsidRDefault="00622884" w:rsidP="00622884">
            <w:pPr>
              <w:spacing w:after="0" w:line="240" w:lineRule="auto"/>
              <w:jc w:val="center"/>
              <w:rPr>
                <w:rFonts w:ascii="Garamond" w:eastAsia="SimSun" w:hAnsi="Garamond" w:cs="Calibri Light"/>
                <w:b/>
                <w:bCs/>
                <w:sz w:val="12"/>
                <w:szCs w:val="12"/>
                <w:lang w:eastAsia="en-US"/>
              </w:rPr>
            </w:pPr>
            <w:r w:rsidRPr="00622884">
              <w:rPr>
                <w:rFonts w:ascii="Garamond" w:eastAsia="SimSun" w:hAnsi="Garamond" w:cs="Times New Roman"/>
                <w:b/>
                <w:sz w:val="12"/>
                <w:szCs w:val="12"/>
                <w:lang w:eastAsia="en-US" w:bidi="sq-AL"/>
              </w:rPr>
              <w:t>61</w:t>
            </w:r>
          </w:p>
        </w:tc>
        <w:tc>
          <w:tcPr>
            <w:tcW w:w="1943" w:type="pct"/>
            <w:vAlign w:val="center"/>
          </w:tcPr>
          <w:p w14:paraId="62313D6B" w14:textId="77777777" w:rsidR="00622884" w:rsidRPr="00622884" w:rsidRDefault="00622884" w:rsidP="00622884">
            <w:pPr>
              <w:spacing w:after="0" w:line="240" w:lineRule="auto"/>
              <w:jc w:val="left"/>
              <w:rPr>
                <w:rFonts w:ascii="Garamond" w:eastAsia="SimSun" w:hAnsi="Garamond" w:cs="Calibri Light"/>
                <w:b/>
                <w:bCs/>
                <w:sz w:val="12"/>
                <w:szCs w:val="12"/>
                <w:lang w:eastAsia="en-US"/>
              </w:rPr>
            </w:pPr>
            <w:r w:rsidRPr="00622884">
              <w:rPr>
                <w:rFonts w:ascii="Garamond" w:eastAsia="SimSun" w:hAnsi="Garamond" w:cs="Times New Roman"/>
                <w:sz w:val="12"/>
                <w:szCs w:val="12"/>
                <w:lang w:eastAsia="en-US" w:bidi="sq-AL"/>
              </w:rPr>
              <w:t>Studimet gjeologjike për rrugët e qëndrueshme: Zgjidhje bioinxhinierike për të ulur risqet nga erozioni dhe përmbytje</w:t>
            </w:r>
          </w:p>
        </w:tc>
        <w:tc>
          <w:tcPr>
            <w:tcW w:w="509" w:type="pct"/>
            <w:vAlign w:val="center"/>
          </w:tcPr>
          <w:p w14:paraId="160E1AA0" w14:textId="77777777" w:rsidR="00622884" w:rsidRPr="00622884" w:rsidRDefault="00622884" w:rsidP="00622884">
            <w:pPr>
              <w:spacing w:after="0" w:line="240" w:lineRule="auto"/>
              <w:jc w:val="center"/>
              <w:rPr>
                <w:rFonts w:ascii="Garamond" w:eastAsia="SimSun" w:hAnsi="Garamond" w:cs="Calibri Light"/>
                <w:sz w:val="12"/>
                <w:szCs w:val="12"/>
                <w:u w:val="single"/>
                <w:lang w:eastAsia="en-US"/>
              </w:rPr>
            </w:pPr>
            <w:r w:rsidRPr="00622884">
              <w:rPr>
                <w:rFonts w:ascii="Garamond" w:eastAsia="SimSun" w:hAnsi="Garamond" w:cs="Times New Roman"/>
                <w:sz w:val="12"/>
                <w:szCs w:val="12"/>
                <w:lang w:eastAsia="en-US" w:bidi="sq-AL"/>
              </w:rPr>
              <w:t xml:space="preserve">MIE – Infrastruktura e transportit, </w:t>
            </w:r>
            <w:r w:rsidRPr="00622884">
              <w:rPr>
                <w:rFonts w:ascii="Garamond" w:eastAsia="SimSun" w:hAnsi="Garamond" w:cs="Times New Roman"/>
                <w:sz w:val="12"/>
                <w:szCs w:val="12"/>
                <w:lang w:eastAsia="en-US" w:bidi="sq-AL"/>
              </w:rPr>
              <w:lastRenderedPageBreak/>
              <w:t>Bashkitë</w:t>
            </w:r>
          </w:p>
        </w:tc>
        <w:tc>
          <w:tcPr>
            <w:tcW w:w="154" w:type="pct"/>
          </w:tcPr>
          <w:p w14:paraId="36201D0E"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09076D05"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4" w:type="pct"/>
          </w:tcPr>
          <w:p w14:paraId="7CEDFE80"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514982B7"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shd w:val="clear" w:color="auto" w:fill="C7E3D5"/>
          </w:tcPr>
          <w:p w14:paraId="0C287708"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3" w:type="pct"/>
            <w:shd w:val="clear" w:color="auto" w:fill="C7E3D5"/>
          </w:tcPr>
          <w:p w14:paraId="076B2B80"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5" w:type="pct"/>
            <w:shd w:val="clear" w:color="auto" w:fill="C7E3D5"/>
          </w:tcPr>
          <w:p w14:paraId="35708CD1"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3" w:type="pct"/>
            <w:shd w:val="clear" w:color="auto" w:fill="C7E3D5"/>
          </w:tcPr>
          <w:p w14:paraId="39D6F40F"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shd w:val="clear" w:color="auto" w:fill="C7E3D5"/>
          </w:tcPr>
          <w:p w14:paraId="065DBDE4"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shd w:val="clear" w:color="auto" w:fill="C7E3D5"/>
          </w:tcPr>
          <w:p w14:paraId="554A9085"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5" w:type="pct"/>
          </w:tcPr>
          <w:p w14:paraId="28971D1A"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48443FAB"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3" w:type="pct"/>
          </w:tcPr>
          <w:p w14:paraId="7D4B590F"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4EA4A1C3"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3" w:type="pct"/>
          </w:tcPr>
          <w:p w14:paraId="1CDEA5DC"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248DB19B"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56" w:type="pct"/>
          </w:tcPr>
          <w:p w14:paraId="6AE34220"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r>
      <w:tr w:rsidR="00622884" w:rsidRPr="00622884" w14:paraId="0053BC62" w14:textId="77777777" w:rsidTr="00622884">
        <w:trPr>
          <w:trHeight w:val="20"/>
          <w:jc w:val="center"/>
        </w:trPr>
        <w:tc>
          <w:tcPr>
            <w:tcW w:w="245" w:type="pct"/>
            <w:vAlign w:val="center"/>
          </w:tcPr>
          <w:p w14:paraId="048FA2FB" w14:textId="77777777" w:rsidR="00622884" w:rsidRPr="00622884" w:rsidRDefault="00622884" w:rsidP="00622884">
            <w:pPr>
              <w:spacing w:after="0" w:line="240" w:lineRule="auto"/>
              <w:jc w:val="center"/>
              <w:rPr>
                <w:rFonts w:ascii="Garamond" w:eastAsia="SimSun" w:hAnsi="Garamond" w:cs="Calibri Light"/>
                <w:b/>
                <w:bCs/>
                <w:sz w:val="12"/>
                <w:szCs w:val="12"/>
                <w:lang w:eastAsia="en-US"/>
              </w:rPr>
            </w:pPr>
            <w:r w:rsidRPr="00622884">
              <w:rPr>
                <w:rFonts w:ascii="Garamond" w:eastAsia="SimSun" w:hAnsi="Garamond" w:cs="Times New Roman"/>
                <w:b/>
                <w:sz w:val="12"/>
                <w:szCs w:val="12"/>
                <w:lang w:eastAsia="en-US" w:bidi="sq-AL"/>
              </w:rPr>
              <w:t>62</w:t>
            </w:r>
          </w:p>
        </w:tc>
        <w:tc>
          <w:tcPr>
            <w:tcW w:w="1943" w:type="pct"/>
            <w:vAlign w:val="center"/>
          </w:tcPr>
          <w:p w14:paraId="156C1D66" w14:textId="77777777" w:rsidR="00622884" w:rsidRPr="00622884" w:rsidRDefault="00622884" w:rsidP="00622884">
            <w:pPr>
              <w:spacing w:after="0" w:line="240" w:lineRule="auto"/>
              <w:jc w:val="left"/>
              <w:rPr>
                <w:rFonts w:ascii="Garamond" w:eastAsia="SimSun" w:hAnsi="Garamond" w:cs="Calibri Light"/>
                <w:b/>
                <w:bCs/>
                <w:sz w:val="12"/>
                <w:szCs w:val="12"/>
                <w:lang w:eastAsia="en-US"/>
              </w:rPr>
            </w:pPr>
            <w:r w:rsidRPr="00622884">
              <w:rPr>
                <w:rFonts w:ascii="Garamond" w:eastAsia="SimSun" w:hAnsi="Garamond" w:cs="Times New Roman"/>
                <w:sz w:val="12"/>
                <w:szCs w:val="12"/>
                <w:lang w:eastAsia="en-US" w:bidi="sq-AL"/>
              </w:rPr>
              <w:t xml:space="preserve">Promovimi i lëvizshmërisë urbane të qëndrueshme dhe me aftësi ripërtëritëse ndaj ndryshimeve klimatike: hartimi dhe rishikimi i planeve të lëvizshmërisë urbane </w:t>
            </w:r>
          </w:p>
        </w:tc>
        <w:tc>
          <w:tcPr>
            <w:tcW w:w="509" w:type="pct"/>
            <w:vAlign w:val="center"/>
          </w:tcPr>
          <w:p w14:paraId="6FB09DF4" w14:textId="77777777" w:rsidR="00622884" w:rsidRPr="00622884" w:rsidRDefault="00622884" w:rsidP="00622884">
            <w:pPr>
              <w:spacing w:after="0" w:line="240" w:lineRule="auto"/>
              <w:jc w:val="center"/>
              <w:rPr>
                <w:rFonts w:ascii="Garamond" w:eastAsia="SimSun" w:hAnsi="Garamond" w:cs="Calibri Light"/>
                <w:sz w:val="12"/>
                <w:szCs w:val="12"/>
                <w:u w:val="single"/>
                <w:lang w:eastAsia="en-US"/>
              </w:rPr>
            </w:pPr>
            <w:r w:rsidRPr="00622884">
              <w:rPr>
                <w:rFonts w:ascii="Garamond" w:eastAsia="SimSun" w:hAnsi="Garamond" w:cs="Times New Roman"/>
                <w:sz w:val="12"/>
                <w:szCs w:val="12"/>
                <w:lang w:eastAsia="en-US" w:bidi="sq-AL"/>
              </w:rPr>
              <w:t>MIE – Infrastruktura e transportit, Bashkitë</w:t>
            </w:r>
          </w:p>
        </w:tc>
        <w:tc>
          <w:tcPr>
            <w:tcW w:w="154" w:type="pct"/>
          </w:tcPr>
          <w:p w14:paraId="65A899EA"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shd w:val="clear" w:color="auto" w:fill="FFFFFF"/>
          </w:tcPr>
          <w:p w14:paraId="1025A504"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4" w:type="pct"/>
            <w:shd w:val="clear" w:color="auto" w:fill="FFFFFF"/>
          </w:tcPr>
          <w:p w14:paraId="0F38395D"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shd w:val="clear" w:color="auto" w:fill="FFFFFF"/>
          </w:tcPr>
          <w:p w14:paraId="7AFD4D05"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shd w:val="clear" w:color="auto" w:fill="FFFFFF"/>
          </w:tcPr>
          <w:p w14:paraId="6280A769"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3" w:type="pct"/>
            <w:shd w:val="clear" w:color="auto" w:fill="FFFFFF"/>
          </w:tcPr>
          <w:p w14:paraId="7CA344E0"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5" w:type="pct"/>
          </w:tcPr>
          <w:p w14:paraId="1E964E7F"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3" w:type="pct"/>
          </w:tcPr>
          <w:p w14:paraId="074E2134"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shd w:val="clear" w:color="auto" w:fill="C7E3D5"/>
          </w:tcPr>
          <w:p w14:paraId="5B5C6ACE"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shd w:val="clear" w:color="auto" w:fill="C7E3D5"/>
          </w:tcPr>
          <w:p w14:paraId="037A5368"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5" w:type="pct"/>
            <w:shd w:val="clear" w:color="auto" w:fill="C7E3D5"/>
          </w:tcPr>
          <w:p w14:paraId="06DE65D9"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shd w:val="clear" w:color="auto" w:fill="C7E3D5"/>
          </w:tcPr>
          <w:p w14:paraId="1CF5D7A1"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3" w:type="pct"/>
          </w:tcPr>
          <w:p w14:paraId="1E5DEBE5"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142F70B5"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3" w:type="pct"/>
          </w:tcPr>
          <w:p w14:paraId="7B039249"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5310061C"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56" w:type="pct"/>
          </w:tcPr>
          <w:p w14:paraId="28C7494C"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r>
      <w:tr w:rsidR="00622884" w:rsidRPr="00622884" w14:paraId="1F86C5FA" w14:textId="77777777" w:rsidTr="00622884">
        <w:trPr>
          <w:trHeight w:val="20"/>
          <w:jc w:val="center"/>
        </w:trPr>
        <w:tc>
          <w:tcPr>
            <w:tcW w:w="245" w:type="pct"/>
            <w:vAlign w:val="center"/>
          </w:tcPr>
          <w:p w14:paraId="276EB1ED" w14:textId="77777777" w:rsidR="00622884" w:rsidRPr="00622884" w:rsidRDefault="00622884" w:rsidP="00622884">
            <w:pPr>
              <w:spacing w:after="0" w:line="240" w:lineRule="auto"/>
              <w:jc w:val="center"/>
              <w:rPr>
                <w:rFonts w:ascii="Garamond" w:eastAsia="SimSun" w:hAnsi="Garamond" w:cs="Calibri Light"/>
                <w:b/>
                <w:bCs/>
                <w:sz w:val="12"/>
                <w:szCs w:val="12"/>
                <w:lang w:eastAsia="en-US"/>
              </w:rPr>
            </w:pPr>
            <w:r w:rsidRPr="00622884">
              <w:rPr>
                <w:rFonts w:ascii="Garamond" w:eastAsia="SimSun" w:hAnsi="Garamond" w:cs="Times New Roman"/>
                <w:b/>
                <w:sz w:val="12"/>
                <w:szCs w:val="12"/>
                <w:lang w:eastAsia="en-US" w:bidi="sq-AL"/>
              </w:rPr>
              <w:t>63</w:t>
            </w:r>
          </w:p>
        </w:tc>
        <w:tc>
          <w:tcPr>
            <w:tcW w:w="1943" w:type="pct"/>
            <w:vAlign w:val="center"/>
          </w:tcPr>
          <w:p w14:paraId="5CAC9F06" w14:textId="77777777" w:rsidR="00622884" w:rsidRPr="00622884" w:rsidRDefault="00622884" w:rsidP="00622884">
            <w:pPr>
              <w:spacing w:after="0" w:line="240" w:lineRule="auto"/>
              <w:jc w:val="left"/>
              <w:rPr>
                <w:rFonts w:ascii="Garamond" w:eastAsia="SimSun" w:hAnsi="Garamond" w:cs="Calibri Light"/>
                <w:b/>
                <w:bCs/>
                <w:sz w:val="12"/>
                <w:szCs w:val="12"/>
                <w:lang w:eastAsia="en-US"/>
              </w:rPr>
            </w:pPr>
            <w:r w:rsidRPr="00622884">
              <w:rPr>
                <w:rFonts w:ascii="Garamond" w:eastAsia="SimSun" w:hAnsi="Garamond" w:cs="Times New Roman"/>
                <w:sz w:val="12"/>
                <w:szCs w:val="12"/>
                <w:lang w:eastAsia="en-US" w:bidi="sq-AL"/>
              </w:rPr>
              <w:t>Përshtatja e infrastrukturës kritike të transportit: Vlerësimi i avancuar i riskut dhe zgjidhje të projektimit me aftësi ripërtëritëse</w:t>
            </w:r>
          </w:p>
        </w:tc>
        <w:tc>
          <w:tcPr>
            <w:tcW w:w="509" w:type="pct"/>
            <w:vAlign w:val="center"/>
          </w:tcPr>
          <w:p w14:paraId="655D8DCE" w14:textId="77777777" w:rsidR="00622884" w:rsidRPr="00622884" w:rsidRDefault="00622884" w:rsidP="00622884">
            <w:pPr>
              <w:spacing w:after="0" w:line="240" w:lineRule="auto"/>
              <w:jc w:val="center"/>
              <w:rPr>
                <w:rFonts w:ascii="Garamond" w:eastAsia="SimSun" w:hAnsi="Garamond" w:cs="Calibri Light"/>
                <w:sz w:val="12"/>
                <w:szCs w:val="12"/>
                <w:u w:val="single"/>
                <w:lang w:eastAsia="en-US"/>
              </w:rPr>
            </w:pPr>
            <w:r w:rsidRPr="00622884">
              <w:rPr>
                <w:rFonts w:ascii="Garamond" w:eastAsia="SimSun" w:hAnsi="Garamond" w:cs="Times New Roman"/>
                <w:sz w:val="12"/>
                <w:szCs w:val="12"/>
                <w:lang w:eastAsia="en-US" w:bidi="sq-AL"/>
              </w:rPr>
              <w:t>MIE – Infrastruktura e transportit, Bashkitë</w:t>
            </w:r>
          </w:p>
        </w:tc>
        <w:tc>
          <w:tcPr>
            <w:tcW w:w="154" w:type="pct"/>
          </w:tcPr>
          <w:p w14:paraId="511615DD"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5751AD0E"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4" w:type="pct"/>
            <w:shd w:val="clear" w:color="auto" w:fill="C7E3D5"/>
          </w:tcPr>
          <w:p w14:paraId="7368CFE5"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shd w:val="clear" w:color="auto" w:fill="C7E3D5"/>
          </w:tcPr>
          <w:p w14:paraId="16FC6DEB"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6D118F3C"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3" w:type="pct"/>
          </w:tcPr>
          <w:p w14:paraId="55B0D9D8"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5" w:type="pct"/>
          </w:tcPr>
          <w:p w14:paraId="7CA226C8"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3" w:type="pct"/>
          </w:tcPr>
          <w:p w14:paraId="73B6B566"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4359F5E0"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6D3A7AE6"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5" w:type="pct"/>
          </w:tcPr>
          <w:p w14:paraId="7789B24D"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788A31C6"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3" w:type="pct"/>
          </w:tcPr>
          <w:p w14:paraId="68A4783B"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08A560A7"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3" w:type="pct"/>
          </w:tcPr>
          <w:p w14:paraId="4B79ABC0"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15BED0B9"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56" w:type="pct"/>
          </w:tcPr>
          <w:p w14:paraId="545A193B"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r>
      <w:tr w:rsidR="00622884" w:rsidRPr="00622884" w14:paraId="0C91C698" w14:textId="77777777" w:rsidTr="00622884">
        <w:trPr>
          <w:trHeight w:val="20"/>
          <w:jc w:val="center"/>
        </w:trPr>
        <w:tc>
          <w:tcPr>
            <w:tcW w:w="245" w:type="pct"/>
            <w:vAlign w:val="center"/>
          </w:tcPr>
          <w:p w14:paraId="1065BD9F" w14:textId="77777777" w:rsidR="00622884" w:rsidRPr="00622884" w:rsidRDefault="00622884" w:rsidP="00622884">
            <w:pPr>
              <w:spacing w:after="0" w:line="240" w:lineRule="auto"/>
              <w:jc w:val="center"/>
              <w:rPr>
                <w:rFonts w:ascii="Garamond" w:eastAsia="SimSun" w:hAnsi="Garamond" w:cs="Calibri Light"/>
                <w:b/>
                <w:bCs/>
                <w:sz w:val="12"/>
                <w:szCs w:val="12"/>
                <w:lang w:eastAsia="en-US"/>
              </w:rPr>
            </w:pPr>
            <w:r w:rsidRPr="00622884">
              <w:rPr>
                <w:rFonts w:ascii="Garamond" w:eastAsia="SimSun" w:hAnsi="Garamond" w:cs="Times New Roman"/>
                <w:b/>
                <w:sz w:val="12"/>
                <w:szCs w:val="12"/>
                <w:lang w:eastAsia="en-US" w:bidi="sq-AL"/>
              </w:rPr>
              <w:t>64</w:t>
            </w:r>
          </w:p>
        </w:tc>
        <w:tc>
          <w:tcPr>
            <w:tcW w:w="1943" w:type="pct"/>
            <w:vAlign w:val="center"/>
          </w:tcPr>
          <w:p w14:paraId="2A284046" w14:textId="77777777" w:rsidR="00622884" w:rsidRPr="00622884" w:rsidRDefault="00622884" w:rsidP="00622884">
            <w:pPr>
              <w:spacing w:after="0" w:line="240" w:lineRule="auto"/>
              <w:jc w:val="left"/>
              <w:rPr>
                <w:rFonts w:ascii="Garamond" w:eastAsia="SimSun" w:hAnsi="Garamond" w:cs="Calibri Light"/>
                <w:b/>
                <w:bCs/>
                <w:sz w:val="12"/>
                <w:szCs w:val="12"/>
                <w:lang w:eastAsia="en-US"/>
              </w:rPr>
            </w:pPr>
            <w:r w:rsidRPr="00622884">
              <w:rPr>
                <w:rFonts w:ascii="Garamond" w:eastAsia="SimSun" w:hAnsi="Garamond" w:cs="Times New Roman"/>
                <w:sz w:val="12"/>
                <w:szCs w:val="12"/>
                <w:lang w:eastAsia="en-US" w:bidi="sq-AL"/>
              </w:rPr>
              <w:t>Integrimi i zgjidhjeve të bazuara në natyrë dhe përshtatjes së bazuar në mjedis për aftësitë ripërtëritëse të sektorit të transportit: Përmirësimi i infrastrukturës përmes përshtatjes së bazuar në natyrë dhe ekosisteme</w:t>
            </w:r>
          </w:p>
        </w:tc>
        <w:tc>
          <w:tcPr>
            <w:tcW w:w="509" w:type="pct"/>
            <w:vAlign w:val="center"/>
          </w:tcPr>
          <w:p w14:paraId="65368A28" w14:textId="77777777" w:rsidR="00622884" w:rsidRPr="00622884" w:rsidRDefault="00622884" w:rsidP="00622884">
            <w:pPr>
              <w:spacing w:after="0" w:line="240" w:lineRule="auto"/>
              <w:jc w:val="center"/>
              <w:rPr>
                <w:rFonts w:ascii="Garamond" w:eastAsia="SimSun" w:hAnsi="Garamond" w:cs="Calibri Light"/>
                <w:sz w:val="12"/>
                <w:szCs w:val="12"/>
                <w:u w:val="single"/>
                <w:lang w:eastAsia="en-US"/>
              </w:rPr>
            </w:pPr>
            <w:r w:rsidRPr="00622884">
              <w:rPr>
                <w:rFonts w:ascii="Garamond" w:eastAsia="SimSun" w:hAnsi="Garamond" w:cs="Times New Roman"/>
                <w:sz w:val="12"/>
                <w:szCs w:val="12"/>
                <w:lang w:eastAsia="en-US" w:bidi="sq-AL"/>
              </w:rPr>
              <w:t>MIE – Infrastruktura e transportit, Bashkitë</w:t>
            </w:r>
          </w:p>
        </w:tc>
        <w:tc>
          <w:tcPr>
            <w:tcW w:w="154" w:type="pct"/>
          </w:tcPr>
          <w:p w14:paraId="785EFA5E"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6EB7E02E"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4" w:type="pct"/>
          </w:tcPr>
          <w:p w14:paraId="1F20449E"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33F51746"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5C8AA2E8"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3" w:type="pct"/>
            <w:shd w:val="clear" w:color="auto" w:fill="C7E3D5"/>
          </w:tcPr>
          <w:p w14:paraId="4D988D40"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5" w:type="pct"/>
            <w:shd w:val="clear" w:color="auto" w:fill="C7E3D5"/>
          </w:tcPr>
          <w:p w14:paraId="706FAA76"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3" w:type="pct"/>
            <w:shd w:val="clear" w:color="auto" w:fill="C7E3D5"/>
          </w:tcPr>
          <w:p w14:paraId="06EB6562"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shd w:val="clear" w:color="auto" w:fill="C7E3D5"/>
          </w:tcPr>
          <w:p w14:paraId="0F9D2577"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shd w:val="clear" w:color="auto" w:fill="C7E3D5"/>
          </w:tcPr>
          <w:p w14:paraId="1AB2F6F0"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5" w:type="pct"/>
          </w:tcPr>
          <w:p w14:paraId="5EB80B36"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5592EF08"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3" w:type="pct"/>
          </w:tcPr>
          <w:p w14:paraId="00E8ECA3"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02CADDD2"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3" w:type="pct"/>
          </w:tcPr>
          <w:p w14:paraId="3BAC6209"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5F39C0B4"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56" w:type="pct"/>
          </w:tcPr>
          <w:p w14:paraId="45A2AB48"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r>
      <w:tr w:rsidR="00622884" w:rsidRPr="00622884" w14:paraId="0379D592" w14:textId="77777777" w:rsidTr="00622884">
        <w:trPr>
          <w:trHeight w:val="20"/>
          <w:jc w:val="center"/>
        </w:trPr>
        <w:tc>
          <w:tcPr>
            <w:tcW w:w="245" w:type="pct"/>
            <w:vAlign w:val="center"/>
          </w:tcPr>
          <w:p w14:paraId="4F7C7C1A" w14:textId="77777777" w:rsidR="00622884" w:rsidRPr="00622884" w:rsidRDefault="00622884" w:rsidP="00622884">
            <w:pPr>
              <w:spacing w:after="0" w:line="240" w:lineRule="auto"/>
              <w:jc w:val="center"/>
              <w:rPr>
                <w:rFonts w:ascii="Garamond" w:eastAsia="SimSun" w:hAnsi="Garamond" w:cs="Calibri Light"/>
                <w:b/>
                <w:bCs/>
                <w:sz w:val="12"/>
                <w:szCs w:val="12"/>
                <w:lang w:eastAsia="en-US"/>
              </w:rPr>
            </w:pPr>
            <w:r w:rsidRPr="00622884">
              <w:rPr>
                <w:rFonts w:ascii="Garamond" w:eastAsia="SimSun" w:hAnsi="Garamond" w:cs="Times New Roman"/>
                <w:b/>
                <w:sz w:val="12"/>
                <w:szCs w:val="12"/>
                <w:lang w:eastAsia="en-US" w:bidi="sq-AL"/>
              </w:rPr>
              <w:t>65</w:t>
            </w:r>
          </w:p>
        </w:tc>
        <w:tc>
          <w:tcPr>
            <w:tcW w:w="1943" w:type="pct"/>
            <w:vAlign w:val="center"/>
          </w:tcPr>
          <w:p w14:paraId="75B1C4D6" w14:textId="77777777" w:rsidR="00622884" w:rsidRPr="00622884" w:rsidRDefault="00622884" w:rsidP="00622884">
            <w:pPr>
              <w:spacing w:after="0" w:line="240" w:lineRule="auto"/>
              <w:jc w:val="left"/>
              <w:rPr>
                <w:rFonts w:ascii="Garamond" w:eastAsia="SimSun" w:hAnsi="Garamond" w:cs="Calibri Light"/>
                <w:b/>
                <w:bCs/>
                <w:sz w:val="12"/>
                <w:szCs w:val="12"/>
                <w:lang w:eastAsia="en-US"/>
              </w:rPr>
            </w:pPr>
            <w:r w:rsidRPr="00622884">
              <w:rPr>
                <w:rFonts w:ascii="Garamond" w:eastAsia="SimSun" w:hAnsi="Garamond" w:cs="Times New Roman"/>
                <w:sz w:val="12"/>
                <w:szCs w:val="12"/>
                <w:lang w:eastAsia="en-US" w:bidi="sq-AL"/>
              </w:rPr>
              <w:t>Politikat e transportit për aftësi ripërtëritëse ndaj ndryshimeve klimatike: Përfshirja e përshtatjes ndaj klimës në kuadrin rregullator</w:t>
            </w:r>
          </w:p>
        </w:tc>
        <w:tc>
          <w:tcPr>
            <w:tcW w:w="509" w:type="pct"/>
            <w:vAlign w:val="center"/>
          </w:tcPr>
          <w:p w14:paraId="3FD94C50" w14:textId="77777777" w:rsidR="00622884" w:rsidRPr="00622884" w:rsidRDefault="00622884" w:rsidP="00622884">
            <w:pPr>
              <w:spacing w:after="0" w:line="240" w:lineRule="auto"/>
              <w:jc w:val="center"/>
              <w:rPr>
                <w:rFonts w:ascii="Garamond" w:eastAsia="SimSun" w:hAnsi="Garamond" w:cs="Calibri Light"/>
                <w:sz w:val="12"/>
                <w:szCs w:val="12"/>
                <w:u w:val="single"/>
                <w:lang w:eastAsia="en-US"/>
              </w:rPr>
            </w:pPr>
            <w:r w:rsidRPr="00622884">
              <w:rPr>
                <w:rFonts w:ascii="Garamond" w:eastAsia="SimSun" w:hAnsi="Garamond" w:cs="Times New Roman"/>
                <w:sz w:val="12"/>
                <w:szCs w:val="12"/>
                <w:lang w:eastAsia="en-US" w:bidi="sq-AL"/>
              </w:rPr>
              <w:t>MIE – Infrastruktura e transportit, Bashkitë</w:t>
            </w:r>
          </w:p>
        </w:tc>
        <w:tc>
          <w:tcPr>
            <w:tcW w:w="154" w:type="pct"/>
          </w:tcPr>
          <w:p w14:paraId="0E517B99"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shd w:val="clear" w:color="auto" w:fill="C7E3D5"/>
          </w:tcPr>
          <w:p w14:paraId="66FF4A96"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4" w:type="pct"/>
            <w:shd w:val="clear" w:color="auto" w:fill="C7E3D5"/>
          </w:tcPr>
          <w:p w14:paraId="6ADD4A8F"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shd w:val="clear" w:color="auto" w:fill="C7E3D5"/>
          </w:tcPr>
          <w:p w14:paraId="468249A2"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0F4FA518"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3" w:type="pct"/>
          </w:tcPr>
          <w:p w14:paraId="7D7D4A01"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5" w:type="pct"/>
          </w:tcPr>
          <w:p w14:paraId="4A8D02B9"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3" w:type="pct"/>
          </w:tcPr>
          <w:p w14:paraId="1EAE3E83"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1DA0F01F"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4228A882"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5" w:type="pct"/>
          </w:tcPr>
          <w:p w14:paraId="2CD55580"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0F3DD3EA"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3" w:type="pct"/>
          </w:tcPr>
          <w:p w14:paraId="51F76544"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1AF4B075"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3" w:type="pct"/>
          </w:tcPr>
          <w:p w14:paraId="3822284F"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11713432"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56" w:type="pct"/>
          </w:tcPr>
          <w:p w14:paraId="3EEC1F4E"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r>
      <w:tr w:rsidR="00622884" w:rsidRPr="00622884" w14:paraId="7D497117" w14:textId="77777777" w:rsidTr="00622884">
        <w:trPr>
          <w:trHeight w:val="20"/>
          <w:jc w:val="center"/>
        </w:trPr>
        <w:tc>
          <w:tcPr>
            <w:tcW w:w="245" w:type="pct"/>
            <w:vAlign w:val="center"/>
          </w:tcPr>
          <w:p w14:paraId="7402FA88" w14:textId="77777777" w:rsidR="00622884" w:rsidRPr="00622884" w:rsidRDefault="00622884" w:rsidP="00622884">
            <w:pPr>
              <w:spacing w:after="0" w:line="240" w:lineRule="auto"/>
              <w:jc w:val="center"/>
              <w:rPr>
                <w:rFonts w:ascii="Garamond" w:eastAsia="SimSun" w:hAnsi="Garamond" w:cs="Calibri Light"/>
                <w:b/>
                <w:bCs/>
                <w:sz w:val="12"/>
                <w:szCs w:val="12"/>
                <w:lang w:eastAsia="en-US"/>
              </w:rPr>
            </w:pPr>
            <w:r w:rsidRPr="00622884">
              <w:rPr>
                <w:rFonts w:ascii="Garamond" w:eastAsia="SimSun" w:hAnsi="Garamond" w:cs="Times New Roman"/>
                <w:b/>
                <w:sz w:val="12"/>
                <w:szCs w:val="12"/>
                <w:lang w:eastAsia="en-US" w:bidi="sq-AL"/>
              </w:rPr>
              <w:t>66</w:t>
            </w:r>
          </w:p>
        </w:tc>
        <w:tc>
          <w:tcPr>
            <w:tcW w:w="1943" w:type="pct"/>
            <w:vAlign w:val="center"/>
          </w:tcPr>
          <w:p w14:paraId="315231F6" w14:textId="77777777" w:rsidR="00622884" w:rsidRPr="00622884" w:rsidRDefault="00622884" w:rsidP="00622884">
            <w:pPr>
              <w:spacing w:after="0" w:line="240" w:lineRule="auto"/>
              <w:jc w:val="left"/>
              <w:rPr>
                <w:rFonts w:ascii="Garamond" w:eastAsia="SimSun" w:hAnsi="Garamond" w:cs="Calibri Light"/>
                <w:b/>
                <w:bCs/>
                <w:sz w:val="12"/>
                <w:szCs w:val="12"/>
                <w:lang w:eastAsia="en-US"/>
              </w:rPr>
            </w:pPr>
            <w:r w:rsidRPr="00622884">
              <w:rPr>
                <w:rFonts w:ascii="Garamond" w:eastAsia="SimSun" w:hAnsi="Garamond" w:cs="Times New Roman"/>
                <w:sz w:val="12"/>
                <w:szCs w:val="12"/>
                <w:lang w:eastAsia="en-US" w:bidi="sq-AL"/>
              </w:rPr>
              <w:t>Partneritete novatore për transport të qëndrueshëm: Financimi për infrastrukturën e transportit me aftësi ripërtëritëse ndaj klimës</w:t>
            </w:r>
          </w:p>
        </w:tc>
        <w:tc>
          <w:tcPr>
            <w:tcW w:w="509" w:type="pct"/>
            <w:vAlign w:val="center"/>
          </w:tcPr>
          <w:p w14:paraId="39537C44" w14:textId="77777777" w:rsidR="00622884" w:rsidRPr="00622884" w:rsidRDefault="00622884" w:rsidP="00622884">
            <w:pPr>
              <w:spacing w:after="0" w:line="240" w:lineRule="auto"/>
              <w:jc w:val="center"/>
              <w:rPr>
                <w:rFonts w:ascii="Garamond" w:eastAsia="SimSun" w:hAnsi="Garamond" w:cs="Calibri Light"/>
                <w:sz w:val="12"/>
                <w:szCs w:val="12"/>
                <w:u w:val="single"/>
                <w:lang w:eastAsia="en-US"/>
              </w:rPr>
            </w:pPr>
            <w:r w:rsidRPr="00622884">
              <w:rPr>
                <w:rFonts w:ascii="Garamond" w:eastAsia="SimSun" w:hAnsi="Garamond" w:cs="Times New Roman"/>
                <w:sz w:val="12"/>
                <w:szCs w:val="12"/>
                <w:lang w:eastAsia="en-US" w:bidi="sq-AL"/>
              </w:rPr>
              <w:t>MIE – Infrastruktura e transportit</w:t>
            </w:r>
          </w:p>
        </w:tc>
        <w:tc>
          <w:tcPr>
            <w:tcW w:w="154" w:type="pct"/>
          </w:tcPr>
          <w:p w14:paraId="52D304A2"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0465A315"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4" w:type="pct"/>
          </w:tcPr>
          <w:p w14:paraId="4A2E0324"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623B63DA"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1B7291FE"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3" w:type="pct"/>
          </w:tcPr>
          <w:p w14:paraId="1557710D"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5" w:type="pct"/>
          </w:tcPr>
          <w:p w14:paraId="5698C6E7"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3" w:type="pct"/>
          </w:tcPr>
          <w:p w14:paraId="3E137B30"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0C69B02A"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4D97F8EC"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5" w:type="pct"/>
            <w:shd w:val="clear" w:color="auto" w:fill="C7E3D5"/>
          </w:tcPr>
          <w:p w14:paraId="5A356261"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shd w:val="clear" w:color="auto" w:fill="C7E3D5"/>
          </w:tcPr>
          <w:p w14:paraId="4D0C0B9D"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3" w:type="pct"/>
            <w:shd w:val="clear" w:color="auto" w:fill="C7E3D5"/>
          </w:tcPr>
          <w:p w14:paraId="622660D9"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shd w:val="clear" w:color="auto" w:fill="C7E3D5"/>
          </w:tcPr>
          <w:p w14:paraId="755E445D"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3" w:type="pct"/>
            <w:shd w:val="clear" w:color="auto" w:fill="C7E3D5"/>
          </w:tcPr>
          <w:p w14:paraId="3C719454"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32" w:type="pct"/>
          </w:tcPr>
          <w:p w14:paraId="6C542DC2"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c>
          <w:tcPr>
            <w:tcW w:w="156" w:type="pct"/>
          </w:tcPr>
          <w:p w14:paraId="746C641C" w14:textId="77777777" w:rsidR="00622884" w:rsidRPr="00622884" w:rsidRDefault="00622884" w:rsidP="00622884">
            <w:pPr>
              <w:spacing w:after="0" w:line="240" w:lineRule="auto"/>
              <w:rPr>
                <w:rFonts w:ascii="Garamond" w:eastAsia="SimSun" w:hAnsi="Garamond" w:cs="Calibri Light"/>
                <w:sz w:val="12"/>
                <w:szCs w:val="12"/>
                <w:u w:val="single"/>
                <w:lang w:eastAsia="en-US"/>
              </w:rPr>
            </w:pPr>
          </w:p>
        </w:tc>
      </w:tr>
    </w:tbl>
    <w:p w14:paraId="0584875B"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p>
    <w:p w14:paraId="4849553F" w14:textId="77777777" w:rsidR="00622884" w:rsidRPr="00622884" w:rsidRDefault="00622884" w:rsidP="00622884">
      <w:pPr>
        <w:keepNext/>
        <w:keepLines/>
        <w:spacing w:after="0" w:line="240" w:lineRule="auto"/>
        <w:ind w:firstLine="284"/>
        <w:outlineLvl w:val="1"/>
        <w:rPr>
          <w:rFonts w:ascii="Garamond" w:eastAsia="MS Mincho" w:hAnsi="Garamond" w:cs="Times New Roman"/>
          <w:b/>
          <w:bCs/>
          <w:caps/>
          <w:sz w:val="24"/>
          <w:szCs w:val="24"/>
          <w:lang w:eastAsia="es-ES"/>
        </w:rPr>
      </w:pPr>
      <w:bookmarkStart w:id="284" w:name="_Toc213936241"/>
      <w:r w:rsidRPr="00622884">
        <w:rPr>
          <w:rFonts w:ascii="Garamond" w:eastAsia="MS Mincho" w:hAnsi="Garamond" w:cs="Times New Roman"/>
          <w:b/>
          <w:bCs/>
          <w:caps/>
          <w:sz w:val="24"/>
          <w:szCs w:val="24"/>
          <w:lang w:eastAsia="es-ES" w:bidi="sq-AL"/>
        </w:rPr>
        <w:t xml:space="preserve">6.4 </w:t>
      </w:r>
      <w:r w:rsidRPr="00622884">
        <w:rPr>
          <w:rFonts w:ascii="Garamond" w:eastAsia="MS Mincho" w:hAnsi="Garamond" w:cs="Times New Roman"/>
          <w:b/>
          <w:bCs/>
          <w:sz w:val="24"/>
          <w:szCs w:val="24"/>
          <w:lang w:eastAsia="es-ES" w:bidi="sq-AL"/>
        </w:rPr>
        <w:t>Kostot e parashikuara për planin e zbatimit</w:t>
      </w:r>
      <w:bookmarkEnd w:id="284"/>
    </w:p>
    <w:p w14:paraId="40582BA7" w14:textId="77777777" w:rsidR="00622884" w:rsidRPr="00622884" w:rsidRDefault="00622884" w:rsidP="00622884">
      <w:pPr>
        <w:spacing w:after="0" w:line="240" w:lineRule="auto"/>
        <w:ind w:firstLine="284"/>
        <w:rPr>
          <w:rFonts w:ascii="Garamond" w:eastAsia="Calibri" w:hAnsi="Garamond" w:cs="Times New Roman"/>
          <w:sz w:val="24"/>
          <w:szCs w:val="24"/>
          <w:lang w:eastAsia="en-US" w:bidi="sq-AL"/>
        </w:rPr>
      </w:pPr>
      <w:r w:rsidRPr="00622884">
        <w:rPr>
          <w:rFonts w:ascii="Garamond" w:eastAsia="Calibri" w:hAnsi="Garamond" w:cs="Times New Roman"/>
          <w:sz w:val="24"/>
          <w:szCs w:val="24"/>
          <w:lang w:eastAsia="en-US" w:bidi="sq-AL"/>
        </w:rPr>
        <w:t xml:space="preserve">Në total, do të nevojiten rreth 9.8 miliardë dollarë amerikanë për zbatimin e 66 ndërhyrjeve për përshtatje, siç përcaktohet përmes analizës së detajuar të kostos (shihni </w:t>
      </w:r>
      <w:r w:rsidRPr="00622884">
        <w:rPr>
          <w:rFonts w:ascii="Garamond" w:eastAsia="Calibri" w:hAnsi="Garamond" w:cs="Times New Roman"/>
          <w:sz w:val="24"/>
          <w:szCs w:val="24"/>
          <w:lang w:eastAsia="en-US" w:bidi="sq-AL"/>
        </w:rPr>
        <w:fldChar w:fldCharType="begin"/>
      </w:r>
      <w:r w:rsidRPr="00622884">
        <w:rPr>
          <w:rFonts w:ascii="Garamond" w:eastAsia="Calibri" w:hAnsi="Garamond" w:cs="Times New Roman"/>
          <w:sz w:val="24"/>
          <w:szCs w:val="24"/>
          <w:lang w:eastAsia="en-US" w:bidi="sq-AL"/>
        </w:rPr>
        <w:instrText xml:space="preserve"> REF _Ref210993998  \* MERGEFORMAT </w:instrText>
      </w:r>
      <w:r w:rsidRPr="00622884">
        <w:rPr>
          <w:rFonts w:ascii="Garamond" w:eastAsia="Calibri" w:hAnsi="Garamond" w:cs="Times New Roman"/>
          <w:sz w:val="24"/>
          <w:szCs w:val="24"/>
          <w:lang w:eastAsia="en-US" w:bidi="sq-AL"/>
        </w:rPr>
        <w:fldChar w:fldCharType="separate"/>
      </w:r>
      <w:r w:rsidRPr="00622884">
        <w:rPr>
          <w:rFonts w:ascii="Garamond" w:eastAsia="Calibri" w:hAnsi="Garamond" w:cs="Times New Roman"/>
          <w:sz w:val="24"/>
          <w:szCs w:val="24"/>
          <w:lang w:eastAsia="en-US" w:bidi="sq-AL"/>
        </w:rPr>
        <w:t>tabela 10</w:t>
      </w:r>
      <w:r w:rsidRPr="00622884">
        <w:rPr>
          <w:rFonts w:ascii="Garamond" w:eastAsia="Calibri" w:hAnsi="Garamond" w:cs="Times New Roman"/>
          <w:sz w:val="24"/>
          <w:szCs w:val="24"/>
          <w:lang w:eastAsia="en-US" w:bidi="sq-AL"/>
        </w:rPr>
        <w:fldChar w:fldCharType="end"/>
      </w:r>
      <w:r w:rsidRPr="00622884">
        <w:rPr>
          <w:rFonts w:ascii="Garamond" w:eastAsia="Calibri" w:hAnsi="Garamond" w:cs="Times New Roman"/>
          <w:sz w:val="24"/>
          <w:szCs w:val="24"/>
          <w:lang w:eastAsia="en-US" w:bidi="sq-AL"/>
        </w:rPr>
        <w:t xml:space="preserve"> më sipër për koston e përllogaritur për çdo masë). Këto kosto janë shpërndarë midis masave ndërsektoriale dhe sektoriale të planifikuara në këtë plan zbatimi të NAP-it, siç paraqitet në tabelën më poshtë, në rend zbritës të kostos:</w:t>
      </w:r>
    </w:p>
    <w:p w14:paraId="118F7060" w14:textId="77777777" w:rsidR="00622884" w:rsidRPr="00622884" w:rsidRDefault="00622884" w:rsidP="00622884">
      <w:pPr>
        <w:spacing w:after="0" w:line="240" w:lineRule="auto"/>
        <w:ind w:firstLine="284"/>
        <w:rPr>
          <w:rFonts w:ascii="Garamond" w:eastAsia="SimSun" w:hAnsi="Garamond" w:cs="Calibri Light"/>
          <w:sz w:val="6"/>
          <w:szCs w:val="24"/>
          <w:lang w:eastAsia="en-US"/>
        </w:rPr>
      </w:pPr>
    </w:p>
    <w:p w14:paraId="46D6CA06" w14:textId="77777777" w:rsidR="00622884" w:rsidRPr="00622884" w:rsidRDefault="00622884" w:rsidP="00622884">
      <w:pPr>
        <w:spacing w:after="0" w:line="240" w:lineRule="auto"/>
        <w:ind w:firstLine="284"/>
        <w:rPr>
          <w:rFonts w:ascii="Garamond" w:eastAsia="SimSun" w:hAnsi="Garamond" w:cs="Times New Roman"/>
          <w:b/>
          <w:bCs/>
          <w:iCs/>
          <w:sz w:val="24"/>
          <w:szCs w:val="24"/>
          <w:lang w:eastAsia="en-US"/>
        </w:rPr>
      </w:pPr>
      <w:r w:rsidRPr="00622884">
        <w:rPr>
          <w:rFonts w:ascii="Garamond" w:eastAsia="Calibri" w:hAnsi="Garamond" w:cs="Times New Roman"/>
          <w:i/>
          <w:sz w:val="24"/>
          <w:szCs w:val="24"/>
          <w:lang w:eastAsia="en-US" w:bidi="sq-AL"/>
        </w:rPr>
        <w:t xml:space="preserve"> </w:t>
      </w:r>
      <w:r w:rsidRPr="00622884">
        <w:rPr>
          <w:rFonts w:ascii="Garamond" w:eastAsia="Calibri" w:hAnsi="Garamond" w:cs="Times New Roman"/>
          <w:b/>
          <w:sz w:val="24"/>
          <w:szCs w:val="24"/>
          <w:lang w:eastAsia="en-US" w:bidi="sq-AL"/>
        </w:rPr>
        <w:t>Tabela 12: Totali i masave dhe kostove për sektor.</w:t>
      </w:r>
    </w:p>
    <w:tbl>
      <w:tblPr>
        <w:tblW w:w="0" w:type="auto"/>
        <w:tblBorders>
          <w:top w:val="single" w:sz="4" w:space="0" w:color="1D3C5A"/>
          <w:left w:val="single" w:sz="4" w:space="0" w:color="1D3C5A"/>
          <w:bottom w:val="single" w:sz="4" w:space="0" w:color="1D3C5A"/>
          <w:right w:val="single" w:sz="4" w:space="0" w:color="1D3C5A"/>
          <w:insideH w:val="single" w:sz="4" w:space="0" w:color="1D3C5A"/>
          <w:insideV w:val="single" w:sz="4" w:space="0" w:color="1D3C5A"/>
        </w:tblBorders>
        <w:tblLook w:val="04A0" w:firstRow="1" w:lastRow="0" w:firstColumn="1" w:lastColumn="0" w:noHBand="0" w:noVBand="1"/>
      </w:tblPr>
      <w:tblGrid>
        <w:gridCol w:w="2405"/>
        <w:gridCol w:w="1416"/>
        <w:gridCol w:w="1273"/>
        <w:gridCol w:w="1984"/>
        <w:gridCol w:w="1982"/>
      </w:tblGrid>
      <w:tr w:rsidR="00622884" w:rsidRPr="00622884" w14:paraId="6BB04E9A" w14:textId="77777777" w:rsidTr="00622884">
        <w:tc>
          <w:tcPr>
            <w:tcW w:w="2405" w:type="dxa"/>
            <w:shd w:val="clear" w:color="auto" w:fill="215A5C"/>
            <w:vAlign w:val="center"/>
          </w:tcPr>
          <w:p w14:paraId="39111608" w14:textId="77777777" w:rsidR="00622884" w:rsidRPr="00622884" w:rsidRDefault="00622884" w:rsidP="00622884">
            <w:pPr>
              <w:spacing w:after="0" w:line="240" w:lineRule="auto"/>
              <w:ind w:firstLine="284"/>
              <w:jc w:val="center"/>
              <w:rPr>
                <w:rFonts w:ascii="Garamond" w:eastAsia="Calibri Light" w:hAnsi="Garamond" w:cs="Calibri Light"/>
                <w:b/>
                <w:bCs/>
                <w:sz w:val="18"/>
                <w:szCs w:val="18"/>
                <w:lang w:eastAsia="en-US"/>
              </w:rPr>
            </w:pPr>
            <w:r w:rsidRPr="00622884">
              <w:rPr>
                <w:rFonts w:ascii="Garamond" w:eastAsia="Calibri" w:hAnsi="Garamond" w:cs="Times New Roman"/>
                <w:b/>
                <w:sz w:val="18"/>
                <w:szCs w:val="18"/>
                <w:lang w:eastAsia="en-US" w:bidi="sq-AL"/>
              </w:rPr>
              <w:t>Sektori</w:t>
            </w:r>
          </w:p>
        </w:tc>
        <w:tc>
          <w:tcPr>
            <w:tcW w:w="1416" w:type="dxa"/>
            <w:shd w:val="clear" w:color="auto" w:fill="215A5C"/>
            <w:vAlign w:val="center"/>
          </w:tcPr>
          <w:p w14:paraId="5F87002E" w14:textId="77777777" w:rsidR="00622884" w:rsidRPr="00622884" w:rsidRDefault="00622884" w:rsidP="00622884">
            <w:pPr>
              <w:spacing w:after="0" w:line="240" w:lineRule="auto"/>
              <w:jc w:val="center"/>
              <w:rPr>
                <w:rFonts w:ascii="Garamond" w:eastAsia="Calibri Light" w:hAnsi="Garamond" w:cs="Calibri Light"/>
                <w:b/>
                <w:bCs/>
                <w:sz w:val="18"/>
                <w:szCs w:val="18"/>
                <w:lang w:eastAsia="en-US"/>
              </w:rPr>
            </w:pPr>
            <w:r w:rsidRPr="00622884">
              <w:rPr>
                <w:rFonts w:ascii="Garamond" w:eastAsia="Calibri" w:hAnsi="Garamond" w:cs="Times New Roman"/>
                <w:b/>
                <w:sz w:val="18"/>
                <w:szCs w:val="18"/>
                <w:lang w:eastAsia="en-US" w:bidi="sq-AL"/>
              </w:rPr>
              <w:t>Nr. i masave</w:t>
            </w:r>
          </w:p>
        </w:tc>
        <w:tc>
          <w:tcPr>
            <w:tcW w:w="1273" w:type="dxa"/>
            <w:shd w:val="clear" w:color="auto" w:fill="215A5C"/>
            <w:vAlign w:val="center"/>
          </w:tcPr>
          <w:p w14:paraId="591EC54B" w14:textId="77777777" w:rsidR="00622884" w:rsidRPr="00622884" w:rsidRDefault="00622884" w:rsidP="00622884">
            <w:pPr>
              <w:spacing w:after="0" w:line="240" w:lineRule="auto"/>
              <w:jc w:val="center"/>
              <w:rPr>
                <w:rFonts w:ascii="Garamond" w:eastAsia="Calibri Light" w:hAnsi="Garamond" w:cs="Calibri Light"/>
                <w:b/>
                <w:bCs/>
                <w:sz w:val="18"/>
                <w:szCs w:val="18"/>
                <w:lang w:eastAsia="en-US"/>
              </w:rPr>
            </w:pPr>
            <w:r w:rsidRPr="00622884">
              <w:rPr>
                <w:rFonts w:ascii="Garamond" w:eastAsia="Calibri" w:hAnsi="Garamond" w:cs="Times New Roman"/>
                <w:b/>
                <w:sz w:val="18"/>
                <w:szCs w:val="18"/>
                <w:lang w:eastAsia="en-US" w:bidi="sq-AL"/>
              </w:rPr>
              <w:t>% e masave</w:t>
            </w:r>
          </w:p>
        </w:tc>
        <w:tc>
          <w:tcPr>
            <w:tcW w:w="1984" w:type="dxa"/>
            <w:shd w:val="clear" w:color="auto" w:fill="215A5C"/>
            <w:vAlign w:val="center"/>
          </w:tcPr>
          <w:p w14:paraId="0C83AD42" w14:textId="77777777" w:rsidR="00622884" w:rsidRPr="00622884" w:rsidRDefault="00622884" w:rsidP="00622884">
            <w:pPr>
              <w:spacing w:after="0" w:line="240" w:lineRule="auto"/>
              <w:jc w:val="center"/>
              <w:rPr>
                <w:rFonts w:ascii="Garamond" w:eastAsia="Calibri Light" w:hAnsi="Garamond" w:cs="Calibri Light"/>
                <w:b/>
                <w:bCs/>
                <w:sz w:val="18"/>
                <w:szCs w:val="18"/>
                <w:lang w:eastAsia="en-US"/>
              </w:rPr>
            </w:pPr>
            <w:r w:rsidRPr="00622884">
              <w:rPr>
                <w:rFonts w:ascii="Garamond" w:eastAsia="Calibri" w:hAnsi="Garamond" w:cs="Times New Roman"/>
                <w:b/>
                <w:sz w:val="18"/>
                <w:szCs w:val="18"/>
                <w:lang w:eastAsia="en-US" w:bidi="sq-AL"/>
              </w:rPr>
              <w:t>Kostoja (dollarë amerikanë)</w:t>
            </w:r>
          </w:p>
        </w:tc>
        <w:tc>
          <w:tcPr>
            <w:tcW w:w="1982" w:type="dxa"/>
            <w:shd w:val="clear" w:color="auto" w:fill="215A5C"/>
            <w:vAlign w:val="center"/>
          </w:tcPr>
          <w:p w14:paraId="329A7CBE" w14:textId="77777777" w:rsidR="00622884" w:rsidRPr="00622884" w:rsidRDefault="00622884" w:rsidP="00622884">
            <w:pPr>
              <w:spacing w:after="0" w:line="240" w:lineRule="auto"/>
              <w:jc w:val="center"/>
              <w:rPr>
                <w:rFonts w:ascii="Garamond" w:eastAsia="Calibri Light" w:hAnsi="Garamond" w:cs="Calibri Light"/>
                <w:b/>
                <w:bCs/>
                <w:sz w:val="18"/>
                <w:szCs w:val="18"/>
                <w:lang w:eastAsia="en-US"/>
              </w:rPr>
            </w:pPr>
            <w:r w:rsidRPr="00622884">
              <w:rPr>
                <w:rFonts w:ascii="Garamond" w:eastAsia="Calibri" w:hAnsi="Garamond" w:cs="Times New Roman"/>
                <w:b/>
                <w:sz w:val="18"/>
                <w:szCs w:val="18"/>
                <w:lang w:eastAsia="en-US" w:bidi="sq-AL"/>
              </w:rPr>
              <w:t>% e kostos</w:t>
            </w:r>
          </w:p>
        </w:tc>
      </w:tr>
      <w:tr w:rsidR="00622884" w:rsidRPr="00622884" w14:paraId="13FDB18E" w14:textId="77777777" w:rsidTr="00622884">
        <w:tc>
          <w:tcPr>
            <w:tcW w:w="2405" w:type="dxa"/>
          </w:tcPr>
          <w:p w14:paraId="65C45205" w14:textId="77777777" w:rsidR="00622884" w:rsidRPr="00622884" w:rsidRDefault="00622884" w:rsidP="00622884">
            <w:pPr>
              <w:spacing w:after="0" w:line="240" w:lineRule="auto"/>
              <w:ind w:firstLine="284"/>
              <w:rPr>
                <w:rFonts w:ascii="Garamond" w:eastAsia="Calibri Light" w:hAnsi="Garamond" w:cs="Calibri Light"/>
                <w:sz w:val="18"/>
                <w:szCs w:val="18"/>
                <w:lang w:eastAsia="en-US"/>
              </w:rPr>
            </w:pPr>
            <w:r w:rsidRPr="00622884">
              <w:rPr>
                <w:rFonts w:ascii="Garamond" w:eastAsia="Calibri" w:hAnsi="Garamond" w:cs="Times New Roman"/>
                <w:sz w:val="18"/>
                <w:szCs w:val="18"/>
                <w:lang w:eastAsia="en-US" w:bidi="sq-AL"/>
              </w:rPr>
              <w:t>Zhvillimi urban</w:t>
            </w:r>
          </w:p>
        </w:tc>
        <w:tc>
          <w:tcPr>
            <w:tcW w:w="1416" w:type="dxa"/>
          </w:tcPr>
          <w:p w14:paraId="378B6F32" w14:textId="77777777" w:rsidR="00622884" w:rsidRPr="00622884" w:rsidRDefault="00622884" w:rsidP="00622884">
            <w:pPr>
              <w:spacing w:after="0" w:line="240" w:lineRule="auto"/>
              <w:ind w:firstLine="284"/>
              <w:jc w:val="center"/>
              <w:rPr>
                <w:rFonts w:ascii="Garamond" w:eastAsia="Calibri Light" w:hAnsi="Garamond" w:cs="Calibri Light"/>
                <w:sz w:val="18"/>
                <w:szCs w:val="18"/>
                <w:lang w:eastAsia="en-US"/>
              </w:rPr>
            </w:pPr>
            <w:r w:rsidRPr="00622884">
              <w:rPr>
                <w:rFonts w:ascii="Garamond" w:eastAsia="Calibri" w:hAnsi="Garamond" w:cs="Times New Roman"/>
                <w:sz w:val="18"/>
                <w:szCs w:val="18"/>
                <w:lang w:eastAsia="en-US" w:bidi="sq-AL"/>
              </w:rPr>
              <w:t>9</w:t>
            </w:r>
          </w:p>
        </w:tc>
        <w:tc>
          <w:tcPr>
            <w:tcW w:w="1273" w:type="dxa"/>
          </w:tcPr>
          <w:p w14:paraId="7B35A1C9" w14:textId="77777777" w:rsidR="00622884" w:rsidRPr="00622884" w:rsidRDefault="00622884" w:rsidP="00622884">
            <w:pPr>
              <w:spacing w:after="0" w:line="240" w:lineRule="auto"/>
              <w:ind w:firstLine="284"/>
              <w:jc w:val="center"/>
              <w:rPr>
                <w:rFonts w:ascii="Garamond" w:eastAsia="Calibri Light" w:hAnsi="Garamond" w:cs="Calibri Light"/>
                <w:sz w:val="18"/>
                <w:szCs w:val="18"/>
                <w:lang w:eastAsia="en-US"/>
              </w:rPr>
            </w:pPr>
            <w:r w:rsidRPr="00622884">
              <w:rPr>
                <w:rFonts w:ascii="Garamond" w:eastAsia="Calibri" w:hAnsi="Garamond" w:cs="Times New Roman"/>
                <w:sz w:val="18"/>
                <w:szCs w:val="18"/>
                <w:lang w:eastAsia="en-US" w:bidi="sq-AL"/>
              </w:rPr>
              <w:t>13%</w:t>
            </w:r>
          </w:p>
        </w:tc>
        <w:tc>
          <w:tcPr>
            <w:tcW w:w="1984" w:type="dxa"/>
          </w:tcPr>
          <w:p w14:paraId="538C86F1" w14:textId="77777777" w:rsidR="00622884" w:rsidRPr="00622884" w:rsidRDefault="00622884" w:rsidP="00622884">
            <w:pPr>
              <w:spacing w:after="0" w:line="240" w:lineRule="auto"/>
              <w:ind w:firstLine="284"/>
              <w:jc w:val="center"/>
              <w:rPr>
                <w:rFonts w:ascii="Garamond" w:eastAsia="Calibri Light" w:hAnsi="Garamond" w:cs="Calibri Light"/>
                <w:sz w:val="18"/>
                <w:szCs w:val="18"/>
                <w:lang w:eastAsia="en-US"/>
              </w:rPr>
            </w:pPr>
            <w:r w:rsidRPr="00622884">
              <w:rPr>
                <w:rFonts w:ascii="Garamond" w:eastAsia="Calibri" w:hAnsi="Garamond" w:cs="Times New Roman"/>
                <w:sz w:val="18"/>
                <w:szCs w:val="18"/>
                <w:lang w:eastAsia="en-US" w:bidi="sq-AL"/>
              </w:rPr>
              <w:t>2.723.161.544</w:t>
            </w:r>
          </w:p>
        </w:tc>
        <w:tc>
          <w:tcPr>
            <w:tcW w:w="1982" w:type="dxa"/>
          </w:tcPr>
          <w:p w14:paraId="5121AD2E" w14:textId="77777777" w:rsidR="00622884" w:rsidRPr="00622884" w:rsidRDefault="00622884" w:rsidP="00622884">
            <w:pPr>
              <w:spacing w:after="0" w:line="240" w:lineRule="auto"/>
              <w:ind w:firstLine="284"/>
              <w:jc w:val="center"/>
              <w:rPr>
                <w:rFonts w:ascii="Garamond" w:eastAsia="Calibri Light" w:hAnsi="Garamond" w:cs="Calibri Light"/>
                <w:sz w:val="18"/>
                <w:szCs w:val="18"/>
                <w:lang w:eastAsia="en-US"/>
              </w:rPr>
            </w:pPr>
            <w:r w:rsidRPr="00622884">
              <w:rPr>
                <w:rFonts w:ascii="Garamond" w:eastAsia="Calibri" w:hAnsi="Garamond" w:cs="Times New Roman"/>
                <w:sz w:val="18"/>
                <w:szCs w:val="18"/>
                <w:lang w:eastAsia="en-US" w:bidi="sq-AL"/>
              </w:rPr>
              <w:t>28%</w:t>
            </w:r>
          </w:p>
        </w:tc>
      </w:tr>
      <w:tr w:rsidR="00622884" w:rsidRPr="00622884" w14:paraId="181ADA9D" w14:textId="77777777" w:rsidTr="00622884">
        <w:tc>
          <w:tcPr>
            <w:tcW w:w="2405" w:type="dxa"/>
          </w:tcPr>
          <w:p w14:paraId="06914106" w14:textId="77777777" w:rsidR="00622884" w:rsidRPr="00622884" w:rsidRDefault="00622884" w:rsidP="00622884">
            <w:pPr>
              <w:spacing w:after="0" w:line="240" w:lineRule="auto"/>
              <w:ind w:firstLine="284"/>
              <w:rPr>
                <w:rFonts w:ascii="Garamond" w:eastAsia="Calibri Light" w:hAnsi="Garamond" w:cs="Calibri Light"/>
                <w:sz w:val="18"/>
                <w:szCs w:val="18"/>
                <w:lang w:eastAsia="en-US"/>
              </w:rPr>
            </w:pPr>
            <w:r w:rsidRPr="00622884">
              <w:rPr>
                <w:rFonts w:ascii="Garamond" w:eastAsia="Calibri" w:hAnsi="Garamond" w:cs="Times New Roman"/>
                <w:sz w:val="18"/>
                <w:szCs w:val="18"/>
                <w:lang w:eastAsia="en-US" w:bidi="sq-AL"/>
              </w:rPr>
              <w:t>Pylltari</w:t>
            </w:r>
          </w:p>
        </w:tc>
        <w:tc>
          <w:tcPr>
            <w:tcW w:w="1416" w:type="dxa"/>
          </w:tcPr>
          <w:p w14:paraId="0D782BA5" w14:textId="77777777" w:rsidR="00622884" w:rsidRPr="00622884" w:rsidRDefault="00622884" w:rsidP="00622884">
            <w:pPr>
              <w:spacing w:after="0" w:line="240" w:lineRule="auto"/>
              <w:ind w:firstLine="284"/>
              <w:jc w:val="center"/>
              <w:rPr>
                <w:rFonts w:ascii="Garamond" w:eastAsia="Calibri Light" w:hAnsi="Garamond" w:cs="Calibri Light"/>
                <w:sz w:val="18"/>
                <w:szCs w:val="18"/>
                <w:lang w:eastAsia="en-US"/>
              </w:rPr>
            </w:pPr>
            <w:r w:rsidRPr="00622884">
              <w:rPr>
                <w:rFonts w:ascii="Garamond" w:eastAsia="Calibri" w:hAnsi="Garamond" w:cs="Times New Roman"/>
                <w:sz w:val="18"/>
                <w:szCs w:val="18"/>
                <w:lang w:eastAsia="en-US" w:bidi="sq-AL"/>
              </w:rPr>
              <w:t>13</w:t>
            </w:r>
          </w:p>
        </w:tc>
        <w:tc>
          <w:tcPr>
            <w:tcW w:w="1273" w:type="dxa"/>
          </w:tcPr>
          <w:p w14:paraId="562F0FB7" w14:textId="77777777" w:rsidR="00622884" w:rsidRPr="00622884" w:rsidRDefault="00622884" w:rsidP="00622884">
            <w:pPr>
              <w:spacing w:after="0" w:line="240" w:lineRule="auto"/>
              <w:ind w:firstLine="284"/>
              <w:jc w:val="center"/>
              <w:rPr>
                <w:rFonts w:ascii="Garamond" w:eastAsia="Calibri Light" w:hAnsi="Garamond" w:cs="Calibri Light"/>
                <w:sz w:val="18"/>
                <w:szCs w:val="18"/>
                <w:lang w:eastAsia="en-US"/>
              </w:rPr>
            </w:pPr>
            <w:r w:rsidRPr="00622884">
              <w:rPr>
                <w:rFonts w:ascii="Garamond" w:eastAsia="Calibri" w:hAnsi="Garamond" w:cs="Times New Roman"/>
                <w:sz w:val="18"/>
                <w:szCs w:val="18"/>
                <w:lang w:eastAsia="en-US" w:bidi="sq-AL"/>
              </w:rPr>
              <w:t>20%</w:t>
            </w:r>
          </w:p>
        </w:tc>
        <w:tc>
          <w:tcPr>
            <w:tcW w:w="1984" w:type="dxa"/>
          </w:tcPr>
          <w:p w14:paraId="667AB0DA" w14:textId="77777777" w:rsidR="00622884" w:rsidRPr="00622884" w:rsidRDefault="00622884" w:rsidP="00622884">
            <w:pPr>
              <w:spacing w:after="0" w:line="240" w:lineRule="auto"/>
              <w:ind w:firstLine="284"/>
              <w:jc w:val="center"/>
              <w:rPr>
                <w:rFonts w:ascii="Garamond" w:eastAsia="Calibri Light" w:hAnsi="Garamond" w:cs="Calibri Light"/>
                <w:sz w:val="18"/>
                <w:szCs w:val="18"/>
                <w:lang w:eastAsia="en-US"/>
              </w:rPr>
            </w:pPr>
            <w:r w:rsidRPr="00622884">
              <w:rPr>
                <w:rFonts w:ascii="Garamond" w:eastAsia="Calibri" w:hAnsi="Garamond" w:cs="Times New Roman"/>
                <w:sz w:val="18"/>
                <w:szCs w:val="18"/>
                <w:lang w:eastAsia="en-US" w:bidi="sq-AL"/>
              </w:rPr>
              <w:t>2.134.799.556</w:t>
            </w:r>
          </w:p>
        </w:tc>
        <w:tc>
          <w:tcPr>
            <w:tcW w:w="1982" w:type="dxa"/>
          </w:tcPr>
          <w:p w14:paraId="0BDF7F14" w14:textId="77777777" w:rsidR="00622884" w:rsidRPr="00622884" w:rsidRDefault="00622884" w:rsidP="00622884">
            <w:pPr>
              <w:spacing w:after="0" w:line="240" w:lineRule="auto"/>
              <w:ind w:firstLine="284"/>
              <w:jc w:val="center"/>
              <w:rPr>
                <w:rFonts w:ascii="Garamond" w:eastAsia="Calibri Light" w:hAnsi="Garamond" w:cs="Calibri Light"/>
                <w:sz w:val="18"/>
                <w:szCs w:val="18"/>
                <w:lang w:eastAsia="en-US"/>
              </w:rPr>
            </w:pPr>
            <w:r w:rsidRPr="00622884">
              <w:rPr>
                <w:rFonts w:ascii="Garamond" w:eastAsia="Calibri" w:hAnsi="Garamond" w:cs="Times New Roman"/>
                <w:sz w:val="18"/>
                <w:szCs w:val="18"/>
                <w:lang w:eastAsia="en-US" w:bidi="sq-AL"/>
              </w:rPr>
              <w:t>21%</w:t>
            </w:r>
          </w:p>
        </w:tc>
      </w:tr>
      <w:tr w:rsidR="00622884" w:rsidRPr="00622884" w14:paraId="081711D8" w14:textId="77777777" w:rsidTr="00622884">
        <w:tc>
          <w:tcPr>
            <w:tcW w:w="2405" w:type="dxa"/>
          </w:tcPr>
          <w:p w14:paraId="5941834A" w14:textId="77777777" w:rsidR="00622884" w:rsidRPr="00622884" w:rsidRDefault="00622884" w:rsidP="00622884">
            <w:pPr>
              <w:spacing w:after="0" w:line="240" w:lineRule="auto"/>
              <w:ind w:firstLine="284"/>
              <w:rPr>
                <w:rFonts w:ascii="Garamond" w:eastAsia="Calibri Light" w:hAnsi="Garamond" w:cs="Calibri Light"/>
                <w:sz w:val="18"/>
                <w:szCs w:val="18"/>
                <w:lang w:eastAsia="en-US"/>
              </w:rPr>
            </w:pPr>
            <w:r w:rsidRPr="00622884">
              <w:rPr>
                <w:rFonts w:ascii="Garamond" w:eastAsia="Calibri" w:hAnsi="Garamond" w:cs="Times New Roman"/>
                <w:sz w:val="18"/>
                <w:szCs w:val="18"/>
                <w:lang w:eastAsia="en-US" w:bidi="sq-AL"/>
              </w:rPr>
              <w:t>Transporti</w:t>
            </w:r>
          </w:p>
        </w:tc>
        <w:tc>
          <w:tcPr>
            <w:tcW w:w="1416" w:type="dxa"/>
          </w:tcPr>
          <w:p w14:paraId="415687F2" w14:textId="77777777" w:rsidR="00622884" w:rsidRPr="00622884" w:rsidRDefault="00622884" w:rsidP="00622884">
            <w:pPr>
              <w:spacing w:after="0" w:line="240" w:lineRule="auto"/>
              <w:ind w:firstLine="284"/>
              <w:jc w:val="center"/>
              <w:rPr>
                <w:rFonts w:ascii="Garamond" w:eastAsia="Calibri Light" w:hAnsi="Garamond" w:cs="Calibri Light"/>
                <w:sz w:val="18"/>
                <w:szCs w:val="18"/>
                <w:lang w:eastAsia="en-US"/>
              </w:rPr>
            </w:pPr>
            <w:r w:rsidRPr="00622884">
              <w:rPr>
                <w:rFonts w:ascii="Garamond" w:eastAsia="Calibri" w:hAnsi="Garamond" w:cs="Times New Roman"/>
                <w:sz w:val="18"/>
                <w:szCs w:val="18"/>
                <w:lang w:eastAsia="en-US" w:bidi="sq-AL"/>
              </w:rPr>
              <w:t>7</w:t>
            </w:r>
          </w:p>
        </w:tc>
        <w:tc>
          <w:tcPr>
            <w:tcW w:w="1273" w:type="dxa"/>
          </w:tcPr>
          <w:p w14:paraId="2FAA357E" w14:textId="77777777" w:rsidR="00622884" w:rsidRPr="00622884" w:rsidRDefault="00622884" w:rsidP="00622884">
            <w:pPr>
              <w:spacing w:after="0" w:line="240" w:lineRule="auto"/>
              <w:ind w:firstLine="284"/>
              <w:jc w:val="center"/>
              <w:rPr>
                <w:rFonts w:ascii="Garamond" w:eastAsia="Calibri Light" w:hAnsi="Garamond" w:cs="Calibri Light"/>
                <w:sz w:val="18"/>
                <w:szCs w:val="18"/>
                <w:lang w:eastAsia="en-US"/>
              </w:rPr>
            </w:pPr>
            <w:r w:rsidRPr="00622884">
              <w:rPr>
                <w:rFonts w:ascii="Garamond" w:eastAsia="Calibri" w:hAnsi="Garamond" w:cs="Times New Roman"/>
                <w:sz w:val="18"/>
                <w:szCs w:val="18"/>
                <w:lang w:eastAsia="en-US" w:bidi="sq-AL"/>
              </w:rPr>
              <w:t>11%</w:t>
            </w:r>
          </w:p>
        </w:tc>
        <w:tc>
          <w:tcPr>
            <w:tcW w:w="1984" w:type="dxa"/>
          </w:tcPr>
          <w:p w14:paraId="2FD2EFCD" w14:textId="77777777" w:rsidR="00622884" w:rsidRPr="00622884" w:rsidRDefault="00622884" w:rsidP="00622884">
            <w:pPr>
              <w:spacing w:after="0" w:line="240" w:lineRule="auto"/>
              <w:ind w:firstLine="284"/>
              <w:jc w:val="center"/>
              <w:rPr>
                <w:rFonts w:ascii="Garamond" w:eastAsia="Calibri Light" w:hAnsi="Garamond" w:cs="Calibri Light"/>
                <w:sz w:val="18"/>
                <w:szCs w:val="18"/>
                <w:lang w:eastAsia="en-US"/>
              </w:rPr>
            </w:pPr>
            <w:r w:rsidRPr="00622884">
              <w:rPr>
                <w:rFonts w:ascii="Garamond" w:eastAsia="Calibri" w:hAnsi="Garamond" w:cs="Times New Roman"/>
                <w:sz w:val="18"/>
                <w:szCs w:val="18"/>
                <w:lang w:eastAsia="en-US" w:bidi="sq-AL"/>
              </w:rPr>
              <w:t>2.038.835.000</w:t>
            </w:r>
          </w:p>
        </w:tc>
        <w:tc>
          <w:tcPr>
            <w:tcW w:w="1982" w:type="dxa"/>
          </w:tcPr>
          <w:p w14:paraId="4A465AD2" w14:textId="77777777" w:rsidR="00622884" w:rsidRPr="00622884" w:rsidRDefault="00622884" w:rsidP="00622884">
            <w:pPr>
              <w:spacing w:after="0" w:line="240" w:lineRule="auto"/>
              <w:ind w:firstLine="284"/>
              <w:jc w:val="center"/>
              <w:rPr>
                <w:rFonts w:ascii="Garamond" w:eastAsia="Calibri Light" w:hAnsi="Garamond" w:cs="Calibri Light"/>
                <w:sz w:val="18"/>
                <w:szCs w:val="18"/>
                <w:lang w:eastAsia="en-US"/>
              </w:rPr>
            </w:pPr>
            <w:r w:rsidRPr="00622884">
              <w:rPr>
                <w:rFonts w:ascii="Garamond" w:eastAsia="Calibri" w:hAnsi="Garamond" w:cs="Times New Roman"/>
                <w:sz w:val="18"/>
                <w:szCs w:val="18"/>
                <w:lang w:eastAsia="en-US" w:bidi="sq-AL"/>
              </w:rPr>
              <w:t>21%</w:t>
            </w:r>
          </w:p>
        </w:tc>
      </w:tr>
      <w:tr w:rsidR="00622884" w:rsidRPr="00622884" w14:paraId="16679BBD" w14:textId="77777777" w:rsidTr="00622884">
        <w:tc>
          <w:tcPr>
            <w:tcW w:w="2405" w:type="dxa"/>
          </w:tcPr>
          <w:p w14:paraId="78143FFE" w14:textId="77777777" w:rsidR="00622884" w:rsidRPr="00622884" w:rsidRDefault="00622884" w:rsidP="00622884">
            <w:pPr>
              <w:spacing w:after="0" w:line="240" w:lineRule="auto"/>
              <w:ind w:firstLine="284"/>
              <w:rPr>
                <w:rFonts w:ascii="Garamond" w:eastAsia="Calibri Light" w:hAnsi="Garamond" w:cs="Calibri Light"/>
                <w:sz w:val="18"/>
                <w:szCs w:val="18"/>
                <w:lang w:eastAsia="en-US"/>
              </w:rPr>
            </w:pPr>
            <w:r w:rsidRPr="00622884">
              <w:rPr>
                <w:rFonts w:ascii="Garamond" w:eastAsia="Calibri" w:hAnsi="Garamond" w:cs="Times New Roman"/>
                <w:sz w:val="18"/>
                <w:szCs w:val="18"/>
                <w:lang w:eastAsia="en-US" w:bidi="sq-AL"/>
              </w:rPr>
              <w:t>Energjia</w:t>
            </w:r>
          </w:p>
        </w:tc>
        <w:tc>
          <w:tcPr>
            <w:tcW w:w="1416" w:type="dxa"/>
          </w:tcPr>
          <w:p w14:paraId="3BE7D9C7" w14:textId="77777777" w:rsidR="00622884" w:rsidRPr="00622884" w:rsidRDefault="00622884" w:rsidP="00622884">
            <w:pPr>
              <w:spacing w:after="0" w:line="240" w:lineRule="auto"/>
              <w:ind w:firstLine="284"/>
              <w:jc w:val="center"/>
              <w:rPr>
                <w:rFonts w:ascii="Garamond" w:eastAsia="Calibri Light" w:hAnsi="Garamond" w:cs="Calibri Light"/>
                <w:sz w:val="18"/>
                <w:szCs w:val="18"/>
                <w:lang w:eastAsia="en-US"/>
              </w:rPr>
            </w:pPr>
            <w:r w:rsidRPr="00622884">
              <w:rPr>
                <w:rFonts w:ascii="Garamond" w:eastAsia="Calibri" w:hAnsi="Garamond" w:cs="Times New Roman"/>
                <w:sz w:val="18"/>
                <w:szCs w:val="18"/>
                <w:lang w:eastAsia="en-US" w:bidi="sq-AL"/>
              </w:rPr>
              <w:t>8</w:t>
            </w:r>
          </w:p>
        </w:tc>
        <w:tc>
          <w:tcPr>
            <w:tcW w:w="1273" w:type="dxa"/>
          </w:tcPr>
          <w:p w14:paraId="489A6D5A" w14:textId="77777777" w:rsidR="00622884" w:rsidRPr="00622884" w:rsidRDefault="00622884" w:rsidP="00622884">
            <w:pPr>
              <w:spacing w:after="0" w:line="240" w:lineRule="auto"/>
              <w:ind w:firstLine="284"/>
              <w:jc w:val="center"/>
              <w:rPr>
                <w:rFonts w:ascii="Garamond" w:eastAsia="Calibri Light" w:hAnsi="Garamond" w:cs="Calibri Light"/>
                <w:sz w:val="18"/>
                <w:szCs w:val="18"/>
                <w:lang w:eastAsia="en-US"/>
              </w:rPr>
            </w:pPr>
            <w:r w:rsidRPr="00622884">
              <w:rPr>
                <w:rFonts w:ascii="Garamond" w:eastAsia="Calibri" w:hAnsi="Garamond" w:cs="Times New Roman"/>
                <w:sz w:val="18"/>
                <w:szCs w:val="18"/>
                <w:lang w:eastAsia="en-US" w:bidi="sq-AL"/>
              </w:rPr>
              <w:t>12%</w:t>
            </w:r>
          </w:p>
        </w:tc>
        <w:tc>
          <w:tcPr>
            <w:tcW w:w="1984" w:type="dxa"/>
          </w:tcPr>
          <w:p w14:paraId="6761E92A" w14:textId="77777777" w:rsidR="00622884" w:rsidRPr="00622884" w:rsidRDefault="00622884" w:rsidP="00622884">
            <w:pPr>
              <w:spacing w:after="0" w:line="240" w:lineRule="auto"/>
              <w:ind w:firstLine="284"/>
              <w:jc w:val="center"/>
              <w:rPr>
                <w:rFonts w:ascii="Garamond" w:eastAsia="Calibri Light" w:hAnsi="Garamond" w:cs="Calibri Light"/>
                <w:sz w:val="18"/>
                <w:szCs w:val="18"/>
                <w:lang w:eastAsia="en-US"/>
              </w:rPr>
            </w:pPr>
            <w:r w:rsidRPr="00622884">
              <w:rPr>
                <w:rFonts w:ascii="Garamond" w:eastAsia="Calibri" w:hAnsi="Garamond" w:cs="Times New Roman"/>
                <w:sz w:val="18"/>
                <w:szCs w:val="18"/>
                <w:lang w:eastAsia="en-US" w:bidi="sq-AL"/>
              </w:rPr>
              <w:t>1.960.573.000</w:t>
            </w:r>
          </w:p>
        </w:tc>
        <w:tc>
          <w:tcPr>
            <w:tcW w:w="1982" w:type="dxa"/>
          </w:tcPr>
          <w:p w14:paraId="323AD76F" w14:textId="77777777" w:rsidR="00622884" w:rsidRPr="00622884" w:rsidRDefault="00622884" w:rsidP="00622884">
            <w:pPr>
              <w:spacing w:after="0" w:line="240" w:lineRule="auto"/>
              <w:ind w:firstLine="284"/>
              <w:jc w:val="center"/>
              <w:rPr>
                <w:rFonts w:ascii="Garamond" w:eastAsia="Calibri Light" w:hAnsi="Garamond" w:cs="Calibri Light"/>
                <w:sz w:val="18"/>
                <w:szCs w:val="18"/>
                <w:lang w:eastAsia="en-US"/>
              </w:rPr>
            </w:pPr>
            <w:r w:rsidRPr="00622884">
              <w:rPr>
                <w:rFonts w:ascii="Garamond" w:eastAsia="Calibri" w:hAnsi="Garamond" w:cs="Times New Roman"/>
                <w:sz w:val="18"/>
                <w:szCs w:val="18"/>
                <w:lang w:eastAsia="en-US" w:bidi="sq-AL"/>
              </w:rPr>
              <w:t>20%</w:t>
            </w:r>
          </w:p>
        </w:tc>
      </w:tr>
      <w:tr w:rsidR="00622884" w:rsidRPr="00622884" w14:paraId="5B86B4C5" w14:textId="77777777" w:rsidTr="00622884">
        <w:tc>
          <w:tcPr>
            <w:tcW w:w="2405" w:type="dxa"/>
          </w:tcPr>
          <w:p w14:paraId="1FCE500B" w14:textId="77777777" w:rsidR="00622884" w:rsidRPr="00622884" w:rsidRDefault="00622884" w:rsidP="00622884">
            <w:pPr>
              <w:spacing w:after="0" w:line="240" w:lineRule="auto"/>
              <w:ind w:firstLine="284"/>
              <w:rPr>
                <w:rFonts w:ascii="Garamond" w:eastAsia="Calibri Light" w:hAnsi="Garamond" w:cs="Calibri Light"/>
                <w:sz w:val="18"/>
                <w:szCs w:val="18"/>
                <w:lang w:eastAsia="en-US"/>
              </w:rPr>
            </w:pPr>
            <w:r w:rsidRPr="00622884">
              <w:rPr>
                <w:rFonts w:ascii="Garamond" w:eastAsia="Calibri" w:hAnsi="Garamond" w:cs="Times New Roman"/>
                <w:sz w:val="18"/>
                <w:szCs w:val="18"/>
                <w:lang w:eastAsia="en-US" w:bidi="sq-AL"/>
              </w:rPr>
              <w:t>Bujqësia</w:t>
            </w:r>
          </w:p>
        </w:tc>
        <w:tc>
          <w:tcPr>
            <w:tcW w:w="1416" w:type="dxa"/>
          </w:tcPr>
          <w:p w14:paraId="48E17A2E" w14:textId="77777777" w:rsidR="00622884" w:rsidRPr="00622884" w:rsidRDefault="00622884" w:rsidP="00622884">
            <w:pPr>
              <w:spacing w:after="0" w:line="240" w:lineRule="auto"/>
              <w:ind w:firstLine="284"/>
              <w:jc w:val="center"/>
              <w:rPr>
                <w:rFonts w:ascii="Garamond" w:eastAsia="Calibri Light" w:hAnsi="Garamond" w:cs="Calibri Light"/>
                <w:sz w:val="18"/>
                <w:szCs w:val="18"/>
                <w:lang w:eastAsia="en-US"/>
              </w:rPr>
            </w:pPr>
            <w:r w:rsidRPr="00622884">
              <w:rPr>
                <w:rFonts w:ascii="Garamond" w:eastAsia="Calibri" w:hAnsi="Garamond" w:cs="Times New Roman"/>
                <w:sz w:val="18"/>
                <w:szCs w:val="18"/>
                <w:lang w:eastAsia="en-US" w:bidi="sq-AL"/>
              </w:rPr>
              <w:t>9</w:t>
            </w:r>
          </w:p>
        </w:tc>
        <w:tc>
          <w:tcPr>
            <w:tcW w:w="1273" w:type="dxa"/>
          </w:tcPr>
          <w:p w14:paraId="0D191BCB" w14:textId="77777777" w:rsidR="00622884" w:rsidRPr="00622884" w:rsidRDefault="00622884" w:rsidP="00622884">
            <w:pPr>
              <w:spacing w:after="0" w:line="240" w:lineRule="auto"/>
              <w:ind w:firstLine="284"/>
              <w:jc w:val="center"/>
              <w:rPr>
                <w:rFonts w:ascii="Garamond" w:eastAsia="Calibri Light" w:hAnsi="Garamond" w:cs="Calibri Light"/>
                <w:sz w:val="18"/>
                <w:szCs w:val="18"/>
                <w:lang w:eastAsia="en-US"/>
              </w:rPr>
            </w:pPr>
            <w:r w:rsidRPr="00622884">
              <w:rPr>
                <w:rFonts w:ascii="Garamond" w:eastAsia="Calibri" w:hAnsi="Garamond" w:cs="Times New Roman"/>
                <w:sz w:val="18"/>
                <w:szCs w:val="18"/>
                <w:lang w:eastAsia="en-US" w:bidi="sq-AL"/>
              </w:rPr>
              <w:t>13%</w:t>
            </w:r>
          </w:p>
        </w:tc>
        <w:tc>
          <w:tcPr>
            <w:tcW w:w="1984" w:type="dxa"/>
          </w:tcPr>
          <w:p w14:paraId="174BEF80" w14:textId="77777777" w:rsidR="00622884" w:rsidRPr="00622884" w:rsidRDefault="00622884" w:rsidP="00622884">
            <w:pPr>
              <w:spacing w:after="0" w:line="240" w:lineRule="auto"/>
              <w:ind w:firstLine="284"/>
              <w:jc w:val="center"/>
              <w:rPr>
                <w:rFonts w:ascii="Garamond" w:eastAsia="Calibri Light" w:hAnsi="Garamond" w:cs="Calibri Light"/>
                <w:sz w:val="18"/>
                <w:szCs w:val="18"/>
                <w:lang w:eastAsia="en-US"/>
              </w:rPr>
            </w:pPr>
            <w:r w:rsidRPr="00622884">
              <w:rPr>
                <w:rFonts w:ascii="Garamond" w:eastAsia="Calibri" w:hAnsi="Garamond" w:cs="Times New Roman"/>
                <w:sz w:val="18"/>
                <w:szCs w:val="18"/>
                <w:lang w:eastAsia="en-US" w:bidi="sq-AL"/>
              </w:rPr>
              <w:t>678.114.861</w:t>
            </w:r>
          </w:p>
        </w:tc>
        <w:tc>
          <w:tcPr>
            <w:tcW w:w="1982" w:type="dxa"/>
          </w:tcPr>
          <w:p w14:paraId="572FB02E" w14:textId="77777777" w:rsidR="00622884" w:rsidRPr="00622884" w:rsidRDefault="00622884" w:rsidP="00622884">
            <w:pPr>
              <w:spacing w:after="0" w:line="240" w:lineRule="auto"/>
              <w:ind w:firstLine="284"/>
              <w:jc w:val="center"/>
              <w:rPr>
                <w:rFonts w:ascii="Garamond" w:eastAsia="Calibri Light" w:hAnsi="Garamond" w:cs="Calibri Light"/>
                <w:sz w:val="18"/>
                <w:szCs w:val="18"/>
                <w:lang w:eastAsia="en-US"/>
              </w:rPr>
            </w:pPr>
            <w:r w:rsidRPr="00622884">
              <w:rPr>
                <w:rFonts w:ascii="Garamond" w:eastAsia="Calibri" w:hAnsi="Garamond" w:cs="Times New Roman"/>
                <w:sz w:val="18"/>
                <w:szCs w:val="18"/>
                <w:lang w:eastAsia="en-US" w:bidi="sq-AL"/>
              </w:rPr>
              <w:t>7%</w:t>
            </w:r>
          </w:p>
        </w:tc>
      </w:tr>
      <w:tr w:rsidR="00622884" w:rsidRPr="00622884" w14:paraId="7CC7F0E8" w14:textId="77777777" w:rsidTr="00622884">
        <w:tc>
          <w:tcPr>
            <w:tcW w:w="2405" w:type="dxa"/>
          </w:tcPr>
          <w:p w14:paraId="59D1BE29" w14:textId="77777777" w:rsidR="00622884" w:rsidRPr="00622884" w:rsidRDefault="00622884" w:rsidP="00622884">
            <w:pPr>
              <w:spacing w:after="0" w:line="240" w:lineRule="auto"/>
              <w:ind w:firstLine="284"/>
              <w:rPr>
                <w:rFonts w:ascii="Garamond" w:eastAsia="Calibri Light" w:hAnsi="Garamond" w:cs="Calibri Light"/>
                <w:sz w:val="18"/>
                <w:szCs w:val="18"/>
                <w:lang w:eastAsia="en-US"/>
              </w:rPr>
            </w:pPr>
            <w:r w:rsidRPr="00622884">
              <w:rPr>
                <w:rFonts w:ascii="Garamond" w:eastAsia="Calibri" w:hAnsi="Garamond" w:cs="Times New Roman"/>
                <w:sz w:val="18"/>
                <w:szCs w:val="18"/>
                <w:lang w:eastAsia="en-US" w:bidi="sq-AL"/>
              </w:rPr>
              <w:t>Ndërsektoriale</w:t>
            </w:r>
          </w:p>
        </w:tc>
        <w:tc>
          <w:tcPr>
            <w:tcW w:w="1416" w:type="dxa"/>
          </w:tcPr>
          <w:p w14:paraId="5E790781" w14:textId="77777777" w:rsidR="00622884" w:rsidRPr="00622884" w:rsidRDefault="00622884" w:rsidP="00622884">
            <w:pPr>
              <w:spacing w:after="0" w:line="240" w:lineRule="auto"/>
              <w:ind w:firstLine="284"/>
              <w:jc w:val="center"/>
              <w:rPr>
                <w:rFonts w:ascii="Garamond" w:eastAsia="Calibri Light" w:hAnsi="Garamond" w:cs="Calibri Light"/>
                <w:sz w:val="18"/>
                <w:szCs w:val="18"/>
                <w:lang w:eastAsia="en-US"/>
              </w:rPr>
            </w:pPr>
            <w:r w:rsidRPr="00622884">
              <w:rPr>
                <w:rFonts w:ascii="Garamond" w:eastAsia="Calibri" w:hAnsi="Garamond" w:cs="Times New Roman"/>
                <w:sz w:val="18"/>
                <w:szCs w:val="18"/>
                <w:lang w:eastAsia="en-US" w:bidi="sq-AL"/>
              </w:rPr>
              <w:t>10</w:t>
            </w:r>
          </w:p>
        </w:tc>
        <w:tc>
          <w:tcPr>
            <w:tcW w:w="1273" w:type="dxa"/>
          </w:tcPr>
          <w:p w14:paraId="6421CD2F" w14:textId="77777777" w:rsidR="00622884" w:rsidRPr="00622884" w:rsidRDefault="00622884" w:rsidP="00622884">
            <w:pPr>
              <w:spacing w:after="0" w:line="240" w:lineRule="auto"/>
              <w:ind w:firstLine="284"/>
              <w:jc w:val="center"/>
              <w:rPr>
                <w:rFonts w:ascii="Garamond" w:eastAsia="Calibri Light" w:hAnsi="Garamond" w:cs="Calibri Light"/>
                <w:sz w:val="18"/>
                <w:szCs w:val="18"/>
                <w:lang w:eastAsia="en-US"/>
              </w:rPr>
            </w:pPr>
            <w:r w:rsidRPr="00622884">
              <w:rPr>
                <w:rFonts w:ascii="Garamond" w:eastAsia="Calibri" w:hAnsi="Garamond" w:cs="Times New Roman"/>
                <w:sz w:val="18"/>
                <w:szCs w:val="18"/>
                <w:lang w:eastAsia="en-US" w:bidi="sq-AL"/>
              </w:rPr>
              <w:t>15%</w:t>
            </w:r>
          </w:p>
        </w:tc>
        <w:tc>
          <w:tcPr>
            <w:tcW w:w="1984" w:type="dxa"/>
          </w:tcPr>
          <w:p w14:paraId="7FC95E6F" w14:textId="77777777" w:rsidR="00622884" w:rsidRPr="00622884" w:rsidRDefault="00622884" w:rsidP="00622884">
            <w:pPr>
              <w:spacing w:after="0" w:line="240" w:lineRule="auto"/>
              <w:ind w:firstLine="284"/>
              <w:jc w:val="center"/>
              <w:rPr>
                <w:rFonts w:ascii="Garamond" w:eastAsia="Calibri Light" w:hAnsi="Garamond" w:cs="Calibri Light"/>
                <w:sz w:val="18"/>
                <w:szCs w:val="18"/>
                <w:lang w:eastAsia="en-US"/>
              </w:rPr>
            </w:pPr>
            <w:r w:rsidRPr="00622884">
              <w:rPr>
                <w:rFonts w:ascii="Garamond" w:eastAsia="Calibri" w:hAnsi="Garamond" w:cs="Times New Roman"/>
                <w:sz w:val="18"/>
                <w:szCs w:val="18"/>
                <w:lang w:eastAsia="en-US" w:bidi="sq-AL"/>
              </w:rPr>
              <w:t>256.721.396</w:t>
            </w:r>
          </w:p>
        </w:tc>
        <w:tc>
          <w:tcPr>
            <w:tcW w:w="1982" w:type="dxa"/>
          </w:tcPr>
          <w:p w14:paraId="6B38CAC6" w14:textId="77777777" w:rsidR="00622884" w:rsidRPr="00622884" w:rsidRDefault="00622884" w:rsidP="00622884">
            <w:pPr>
              <w:spacing w:after="0" w:line="240" w:lineRule="auto"/>
              <w:ind w:firstLine="284"/>
              <w:jc w:val="center"/>
              <w:rPr>
                <w:rFonts w:ascii="Garamond" w:eastAsia="Calibri Light" w:hAnsi="Garamond" w:cs="Calibri Light"/>
                <w:sz w:val="18"/>
                <w:szCs w:val="18"/>
                <w:lang w:eastAsia="en-US"/>
              </w:rPr>
            </w:pPr>
            <w:r w:rsidRPr="00622884">
              <w:rPr>
                <w:rFonts w:ascii="Garamond" w:eastAsia="Calibri" w:hAnsi="Garamond" w:cs="Times New Roman"/>
                <w:sz w:val="18"/>
                <w:szCs w:val="18"/>
                <w:lang w:eastAsia="en-US" w:bidi="sq-AL"/>
              </w:rPr>
              <w:t>2%</w:t>
            </w:r>
          </w:p>
        </w:tc>
      </w:tr>
      <w:tr w:rsidR="00622884" w:rsidRPr="00622884" w14:paraId="23EC679B" w14:textId="77777777" w:rsidTr="00622884">
        <w:tc>
          <w:tcPr>
            <w:tcW w:w="2405" w:type="dxa"/>
          </w:tcPr>
          <w:p w14:paraId="1D71F28A" w14:textId="77777777" w:rsidR="00622884" w:rsidRPr="00622884" w:rsidRDefault="00622884" w:rsidP="00622884">
            <w:pPr>
              <w:spacing w:after="0" w:line="240" w:lineRule="auto"/>
              <w:ind w:firstLine="284"/>
              <w:rPr>
                <w:rFonts w:ascii="Garamond" w:eastAsia="Calibri Light" w:hAnsi="Garamond" w:cs="Calibri Light"/>
                <w:sz w:val="18"/>
                <w:szCs w:val="18"/>
                <w:lang w:eastAsia="en-US"/>
              </w:rPr>
            </w:pPr>
            <w:r w:rsidRPr="00622884">
              <w:rPr>
                <w:rFonts w:ascii="Garamond" w:eastAsia="Calibri" w:hAnsi="Garamond" w:cs="Times New Roman"/>
                <w:sz w:val="18"/>
                <w:szCs w:val="18"/>
                <w:lang w:eastAsia="en-US" w:bidi="sq-AL"/>
              </w:rPr>
              <w:t>Turizmi</w:t>
            </w:r>
          </w:p>
        </w:tc>
        <w:tc>
          <w:tcPr>
            <w:tcW w:w="1416" w:type="dxa"/>
          </w:tcPr>
          <w:p w14:paraId="37724E28" w14:textId="77777777" w:rsidR="00622884" w:rsidRPr="00622884" w:rsidRDefault="00622884" w:rsidP="00622884">
            <w:pPr>
              <w:spacing w:after="0" w:line="240" w:lineRule="auto"/>
              <w:ind w:firstLine="284"/>
              <w:jc w:val="center"/>
              <w:rPr>
                <w:rFonts w:ascii="Garamond" w:eastAsia="Calibri Light" w:hAnsi="Garamond" w:cs="Calibri Light"/>
                <w:sz w:val="18"/>
                <w:szCs w:val="18"/>
                <w:lang w:eastAsia="en-US"/>
              </w:rPr>
            </w:pPr>
            <w:r w:rsidRPr="00622884">
              <w:rPr>
                <w:rFonts w:ascii="Garamond" w:eastAsia="Calibri" w:hAnsi="Garamond" w:cs="Times New Roman"/>
                <w:sz w:val="18"/>
                <w:szCs w:val="18"/>
                <w:lang w:eastAsia="en-US" w:bidi="sq-AL"/>
              </w:rPr>
              <w:t>11</w:t>
            </w:r>
          </w:p>
        </w:tc>
        <w:tc>
          <w:tcPr>
            <w:tcW w:w="1273" w:type="dxa"/>
          </w:tcPr>
          <w:p w14:paraId="372D2CF3" w14:textId="77777777" w:rsidR="00622884" w:rsidRPr="00622884" w:rsidRDefault="00622884" w:rsidP="00622884">
            <w:pPr>
              <w:spacing w:after="0" w:line="240" w:lineRule="auto"/>
              <w:ind w:firstLine="284"/>
              <w:jc w:val="center"/>
              <w:rPr>
                <w:rFonts w:ascii="Garamond" w:eastAsia="Calibri Light" w:hAnsi="Garamond" w:cs="Calibri Light"/>
                <w:sz w:val="18"/>
                <w:szCs w:val="18"/>
                <w:lang w:eastAsia="en-US"/>
              </w:rPr>
            </w:pPr>
            <w:r w:rsidRPr="00622884">
              <w:rPr>
                <w:rFonts w:ascii="Garamond" w:eastAsia="Calibri" w:hAnsi="Garamond" w:cs="Times New Roman"/>
                <w:sz w:val="18"/>
                <w:szCs w:val="18"/>
                <w:lang w:eastAsia="en-US" w:bidi="sq-AL"/>
              </w:rPr>
              <w:t>16%</w:t>
            </w:r>
          </w:p>
        </w:tc>
        <w:tc>
          <w:tcPr>
            <w:tcW w:w="1984" w:type="dxa"/>
          </w:tcPr>
          <w:p w14:paraId="5B2226A4" w14:textId="77777777" w:rsidR="00622884" w:rsidRPr="00622884" w:rsidRDefault="00622884" w:rsidP="00622884">
            <w:pPr>
              <w:spacing w:after="0" w:line="240" w:lineRule="auto"/>
              <w:ind w:firstLine="284"/>
              <w:jc w:val="center"/>
              <w:rPr>
                <w:rFonts w:ascii="Garamond" w:eastAsia="Calibri Light" w:hAnsi="Garamond" w:cs="Calibri Light"/>
                <w:sz w:val="18"/>
                <w:szCs w:val="18"/>
                <w:lang w:eastAsia="en-US"/>
              </w:rPr>
            </w:pPr>
            <w:r w:rsidRPr="00622884">
              <w:rPr>
                <w:rFonts w:ascii="Garamond" w:eastAsia="Calibri" w:hAnsi="Garamond" w:cs="Times New Roman"/>
                <w:sz w:val="18"/>
                <w:szCs w:val="18"/>
                <w:lang w:eastAsia="en-US" w:bidi="sq-AL"/>
              </w:rPr>
              <w:t>8.491.619</w:t>
            </w:r>
          </w:p>
        </w:tc>
        <w:tc>
          <w:tcPr>
            <w:tcW w:w="1982" w:type="dxa"/>
          </w:tcPr>
          <w:p w14:paraId="48313C8A" w14:textId="77777777" w:rsidR="00622884" w:rsidRPr="00622884" w:rsidRDefault="00622884" w:rsidP="00622884">
            <w:pPr>
              <w:spacing w:after="0" w:line="240" w:lineRule="auto"/>
              <w:ind w:firstLine="284"/>
              <w:jc w:val="center"/>
              <w:rPr>
                <w:rFonts w:ascii="Garamond" w:eastAsia="Calibri Light" w:hAnsi="Garamond" w:cs="Calibri Light"/>
                <w:sz w:val="18"/>
                <w:szCs w:val="18"/>
                <w:lang w:eastAsia="en-US"/>
              </w:rPr>
            </w:pPr>
            <w:r w:rsidRPr="00622884">
              <w:rPr>
                <w:rFonts w:ascii="Garamond" w:eastAsia="Calibri" w:hAnsi="Garamond" w:cs="Times New Roman"/>
                <w:sz w:val="18"/>
                <w:szCs w:val="18"/>
                <w:lang w:eastAsia="en-US" w:bidi="sq-AL"/>
              </w:rPr>
              <w:t>1%</w:t>
            </w:r>
          </w:p>
        </w:tc>
      </w:tr>
      <w:tr w:rsidR="00622884" w:rsidRPr="00622884" w14:paraId="35BE13E7" w14:textId="77777777" w:rsidTr="00622884">
        <w:tc>
          <w:tcPr>
            <w:tcW w:w="2405" w:type="dxa"/>
          </w:tcPr>
          <w:p w14:paraId="3F4F673F" w14:textId="77777777" w:rsidR="00622884" w:rsidRPr="00622884" w:rsidRDefault="00622884" w:rsidP="00622884">
            <w:pPr>
              <w:spacing w:after="0" w:line="240" w:lineRule="auto"/>
              <w:ind w:firstLine="284"/>
              <w:rPr>
                <w:rFonts w:ascii="Garamond" w:eastAsia="Calibri Light" w:hAnsi="Garamond" w:cs="Calibri Light"/>
                <w:b/>
                <w:bCs/>
                <w:sz w:val="18"/>
                <w:szCs w:val="18"/>
                <w:lang w:eastAsia="en-US"/>
              </w:rPr>
            </w:pPr>
            <w:r w:rsidRPr="00622884">
              <w:rPr>
                <w:rFonts w:ascii="Garamond" w:eastAsia="Calibri" w:hAnsi="Garamond" w:cs="Times New Roman"/>
                <w:b/>
                <w:sz w:val="18"/>
                <w:szCs w:val="18"/>
                <w:lang w:eastAsia="en-US" w:bidi="sq-AL"/>
              </w:rPr>
              <w:t>GJITHSEJ</w:t>
            </w:r>
          </w:p>
        </w:tc>
        <w:tc>
          <w:tcPr>
            <w:tcW w:w="1416" w:type="dxa"/>
          </w:tcPr>
          <w:p w14:paraId="6438AFBB" w14:textId="77777777" w:rsidR="00622884" w:rsidRPr="00622884" w:rsidRDefault="00622884" w:rsidP="00622884">
            <w:pPr>
              <w:spacing w:after="0" w:line="240" w:lineRule="auto"/>
              <w:ind w:firstLine="284"/>
              <w:jc w:val="center"/>
              <w:rPr>
                <w:rFonts w:ascii="Garamond" w:eastAsia="Calibri Light" w:hAnsi="Garamond" w:cs="Calibri Light"/>
                <w:b/>
                <w:bCs/>
                <w:sz w:val="18"/>
                <w:szCs w:val="18"/>
                <w:lang w:eastAsia="en-US"/>
              </w:rPr>
            </w:pPr>
            <w:r w:rsidRPr="00622884">
              <w:rPr>
                <w:rFonts w:ascii="Garamond" w:eastAsia="Calibri" w:hAnsi="Garamond" w:cs="Times New Roman"/>
                <w:b/>
                <w:sz w:val="18"/>
                <w:szCs w:val="18"/>
                <w:lang w:eastAsia="en-US" w:bidi="sq-AL"/>
              </w:rPr>
              <w:t>66</w:t>
            </w:r>
          </w:p>
        </w:tc>
        <w:tc>
          <w:tcPr>
            <w:tcW w:w="1273" w:type="dxa"/>
          </w:tcPr>
          <w:p w14:paraId="6DBA7C96" w14:textId="77777777" w:rsidR="00622884" w:rsidRPr="00622884" w:rsidRDefault="00622884" w:rsidP="00622884">
            <w:pPr>
              <w:spacing w:after="0" w:line="240" w:lineRule="auto"/>
              <w:ind w:firstLine="284"/>
              <w:jc w:val="center"/>
              <w:rPr>
                <w:rFonts w:ascii="Garamond" w:eastAsia="Calibri Light" w:hAnsi="Garamond" w:cs="Calibri Light"/>
                <w:b/>
                <w:bCs/>
                <w:sz w:val="18"/>
                <w:szCs w:val="18"/>
                <w:lang w:eastAsia="en-US"/>
              </w:rPr>
            </w:pPr>
            <w:r w:rsidRPr="00622884">
              <w:rPr>
                <w:rFonts w:ascii="Garamond" w:eastAsia="Calibri" w:hAnsi="Garamond" w:cs="Times New Roman"/>
                <w:b/>
                <w:sz w:val="18"/>
                <w:szCs w:val="18"/>
                <w:lang w:eastAsia="en-US" w:bidi="sq-AL"/>
              </w:rPr>
              <w:t>100</w:t>
            </w:r>
          </w:p>
        </w:tc>
        <w:tc>
          <w:tcPr>
            <w:tcW w:w="1984" w:type="dxa"/>
          </w:tcPr>
          <w:p w14:paraId="264A76A9" w14:textId="77777777" w:rsidR="00622884" w:rsidRPr="00622884" w:rsidRDefault="00622884" w:rsidP="00622884">
            <w:pPr>
              <w:spacing w:after="0" w:line="240" w:lineRule="auto"/>
              <w:ind w:firstLine="284"/>
              <w:jc w:val="center"/>
              <w:rPr>
                <w:rFonts w:ascii="Garamond" w:eastAsia="Calibri Light" w:hAnsi="Garamond" w:cs="Calibri Light"/>
                <w:b/>
                <w:bCs/>
                <w:sz w:val="18"/>
                <w:szCs w:val="18"/>
                <w:lang w:eastAsia="en-US"/>
              </w:rPr>
            </w:pPr>
            <w:r w:rsidRPr="00622884">
              <w:rPr>
                <w:rFonts w:ascii="Garamond" w:eastAsia="Calibri" w:hAnsi="Garamond" w:cs="Times New Roman"/>
                <w:b/>
                <w:sz w:val="18"/>
                <w:szCs w:val="18"/>
                <w:lang w:eastAsia="en-US" w:bidi="sq-AL"/>
              </w:rPr>
              <w:t>9.800.696.976</w:t>
            </w:r>
          </w:p>
        </w:tc>
        <w:tc>
          <w:tcPr>
            <w:tcW w:w="1982" w:type="dxa"/>
          </w:tcPr>
          <w:p w14:paraId="11B70817" w14:textId="77777777" w:rsidR="00622884" w:rsidRPr="00622884" w:rsidRDefault="00622884" w:rsidP="00622884">
            <w:pPr>
              <w:spacing w:after="0" w:line="240" w:lineRule="auto"/>
              <w:ind w:firstLine="284"/>
              <w:jc w:val="center"/>
              <w:rPr>
                <w:rFonts w:ascii="Garamond" w:eastAsia="Calibri Light" w:hAnsi="Garamond" w:cs="Calibri Light"/>
                <w:b/>
                <w:bCs/>
                <w:sz w:val="18"/>
                <w:szCs w:val="18"/>
                <w:lang w:eastAsia="en-US"/>
              </w:rPr>
            </w:pPr>
            <w:r w:rsidRPr="00622884">
              <w:rPr>
                <w:rFonts w:ascii="Garamond" w:eastAsia="Calibri" w:hAnsi="Garamond" w:cs="Times New Roman"/>
                <w:b/>
                <w:sz w:val="18"/>
                <w:szCs w:val="18"/>
                <w:lang w:eastAsia="en-US" w:bidi="sq-AL"/>
              </w:rPr>
              <w:t>100</w:t>
            </w:r>
          </w:p>
        </w:tc>
      </w:tr>
    </w:tbl>
    <w:p w14:paraId="580E4B93" w14:textId="77777777" w:rsidR="00622884" w:rsidRPr="00622884" w:rsidRDefault="00622884" w:rsidP="00622884">
      <w:pPr>
        <w:spacing w:after="0" w:line="240" w:lineRule="auto"/>
        <w:ind w:firstLine="284"/>
        <w:rPr>
          <w:rFonts w:ascii="Garamond" w:eastAsia="Calibri" w:hAnsi="Garamond" w:cs="Times New Roman"/>
          <w:sz w:val="24"/>
          <w:szCs w:val="24"/>
          <w:lang w:eastAsia="en-US" w:bidi="sq-AL"/>
        </w:rPr>
      </w:pPr>
    </w:p>
    <w:p w14:paraId="37762B42" w14:textId="77777777" w:rsidR="00622884" w:rsidRPr="00622884" w:rsidRDefault="00622884" w:rsidP="00622884">
      <w:pPr>
        <w:spacing w:after="0" w:line="240" w:lineRule="auto"/>
        <w:ind w:firstLine="284"/>
        <w:rPr>
          <w:rFonts w:ascii="Garamond" w:eastAsia="SimSun" w:hAnsi="Garamond" w:cs="Calibri Light"/>
          <w:sz w:val="24"/>
          <w:szCs w:val="24"/>
          <w:lang w:eastAsia="en-US"/>
        </w:rPr>
      </w:pPr>
      <w:r w:rsidRPr="00622884">
        <w:rPr>
          <w:rFonts w:ascii="Garamond" w:eastAsia="Calibri" w:hAnsi="Garamond" w:cs="Times New Roman"/>
          <w:sz w:val="24"/>
          <w:szCs w:val="24"/>
          <w:lang w:eastAsia="en-US" w:bidi="sq-AL"/>
        </w:rPr>
        <w:t xml:space="preserve">Nga </w:t>
      </w:r>
      <w:r w:rsidRPr="00622884">
        <w:rPr>
          <w:rFonts w:ascii="Garamond" w:eastAsia="Calibri" w:hAnsi="Garamond" w:cs="Times New Roman"/>
          <w:sz w:val="24"/>
          <w:szCs w:val="24"/>
          <w:lang w:eastAsia="en-US" w:bidi="sq-AL"/>
        </w:rPr>
        <w:fldChar w:fldCharType="begin"/>
      </w:r>
      <w:r w:rsidRPr="00622884">
        <w:rPr>
          <w:rFonts w:ascii="Garamond" w:eastAsia="Calibri" w:hAnsi="Garamond" w:cs="Times New Roman"/>
          <w:sz w:val="24"/>
          <w:szCs w:val="24"/>
          <w:lang w:eastAsia="en-US" w:bidi="sq-AL"/>
        </w:rPr>
        <w:instrText xml:space="preserve"> REF _Ref210993998  \* MERGEFORMAT </w:instrText>
      </w:r>
      <w:r w:rsidRPr="00622884">
        <w:rPr>
          <w:rFonts w:ascii="Garamond" w:eastAsia="Calibri" w:hAnsi="Garamond" w:cs="Times New Roman"/>
          <w:sz w:val="24"/>
          <w:szCs w:val="24"/>
          <w:lang w:eastAsia="en-US" w:bidi="sq-AL"/>
        </w:rPr>
        <w:fldChar w:fldCharType="separate"/>
      </w:r>
      <w:r w:rsidRPr="00622884">
        <w:rPr>
          <w:rFonts w:ascii="Garamond" w:eastAsia="Calibri" w:hAnsi="Garamond" w:cs="Times New Roman"/>
          <w:sz w:val="24"/>
          <w:szCs w:val="24"/>
          <w:lang w:eastAsia="en-US" w:bidi="sq-AL"/>
        </w:rPr>
        <w:t>tabela 10</w:t>
      </w:r>
      <w:r w:rsidRPr="00622884">
        <w:rPr>
          <w:rFonts w:ascii="Garamond" w:eastAsia="Calibri" w:hAnsi="Garamond" w:cs="Times New Roman"/>
          <w:sz w:val="24"/>
          <w:szCs w:val="24"/>
          <w:lang w:eastAsia="en-US" w:bidi="sq-AL"/>
        </w:rPr>
        <w:fldChar w:fldCharType="end"/>
      </w:r>
      <w:r w:rsidRPr="00622884">
        <w:rPr>
          <w:rFonts w:ascii="Garamond" w:eastAsia="Calibri" w:hAnsi="Garamond" w:cs="Times New Roman"/>
          <w:sz w:val="24"/>
          <w:szCs w:val="24"/>
          <w:lang w:eastAsia="en-US" w:bidi="sq-AL"/>
        </w:rPr>
        <w:t xml:space="preserve"> mund të shohim se zhvillimi urban ka koston më të lartë të përllogaritur (me 9 masa), i ndjekur nga pylltaria (13 masa) dhe transporti (7 masa), ndërsa turizmi ka koston më të ulët të përllogaritur me 11 masa. </w:t>
      </w:r>
    </w:p>
    <w:p w14:paraId="4B66492F" w14:textId="77777777" w:rsidR="00622884" w:rsidRPr="00622884" w:rsidRDefault="00622884" w:rsidP="00622884">
      <w:pPr>
        <w:spacing w:after="0" w:line="240" w:lineRule="auto"/>
        <w:ind w:firstLine="284"/>
        <w:rPr>
          <w:rFonts w:ascii="Garamond" w:eastAsia="SimSun" w:hAnsi="Garamond" w:cs="Calibri Light"/>
          <w:sz w:val="24"/>
          <w:szCs w:val="24"/>
          <w:lang w:eastAsia="en-US"/>
        </w:rPr>
      </w:pPr>
      <w:r w:rsidRPr="00622884">
        <w:rPr>
          <w:rFonts w:ascii="Garamond" w:eastAsia="Calibri" w:hAnsi="Garamond" w:cs="Times New Roman"/>
          <w:sz w:val="24"/>
          <w:szCs w:val="24"/>
          <w:lang w:eastAsia="en-US" w:bidi="sq-AL"/>
        </w:rPr>
        <w:t xml:space="preserve">Gjatë përllogaritjes së kostos së përgjithshme për secilin lloj ndërhyrjeje (shihni </w:t>
      </w:r>
      <w:r w:rsidRPr="00622884">
        <w:rPr>
          <w:rFonts w:ascii="Garamond" w:eastAsia="Calibri" w:hAnsi="Garamond" w:cs="Times New Roman"/>
          <w:sz w:val="24"/>
          <w:szCs w:val="24"/>
          <w:lang w:eastAsia="en-US" w:bidi="sq-AL"/>
        </w:rPr>
        <w:fldChar w:fldCharType="begin"/>
      </w:r>
      <w:r w:rsidRPr="00622884">
        <w:rPr>
          <w:rFonts w:ascii="Garamond" w:eastAsia="Calibri" w:hAnsi="Garamond" w:cs="Times New Roman"/>
          <w:sz w:val="24"/>
          <w:szCs w:val="24"/>
          <w:lang w:eastAsia="en-US" w:bidi="sq-AL"/>
        </w:rPr>
        <w:instrText xml:space="preserve"> REF _Ref210987857  \* MERGEFORMAT </w:instrText>
      </w:r>
      <w:r w:rsidRPr="00622884">
        <w:rPr>
          <w:rFonts w:ascii="Garamond" w:eastAsia="Calibri" w:hAnsi="Garamond" w:cs="Times New Roman"/>
          <w:sz w:val="24"/>
          <w:szCs w:val="24"/>
          <w:lang w:eastAsia="en-US" w:bidi="sq-AL"/>
        </w:rPr>
        <w:fldChar w:fldCharType="separate"/>
      </w:r>
      <w:r w:rsidRPr="00622884">
        <w:rPr>
          <w:rFonts w:ascii="Garamond" w:eastAsia="Calibri" w:hAnsi="Garamond" w:cs="Times New Roman"/>
          <w:sz w:val="24"/>
          <w:szCs w:val="24"/>
          <w:lang w:eastAsia="en-US" w:bidi="sq-AL"/>
        </w:rPr>
        <w:t>tabela 13</w:t>
      </w:r>
      <w:r w:rsidRPr="00622884">
        <w:rPr>
          <w:rFonts w:ascii="Garamond" w:eastAsia="Calibri" w:hAnsi="Garamond" w:cs="Times New Roman"/>
          <w:sz w:val="24"/>
          <w:szCs w:val="24"/>
          <w:lang w:eastAsia="en-US" w:bidi="sq-AL"/>
        </w:rPr>
        <w:fldChar w:fldCharType="end"/>
      </w:r>
      <w:r w:rsidRPr="00622884">
        <w:rPr>
          <w:rFonts w:ascii="Garamond" w:eastAsia="Calibri" w:hAnsi="Garamond" w:cs="Times New Roman"/>
          <w:sz w:val="24"/>
          <w:szCs w:val="24"/>
          <w:lang w:eastAsia="en-US" w:bidi="sq-AL"/>
        </w:rPr>
        <w:t>), mund të vihet re se ndërhyrjet “e gjelbra” përbëjnë pjesën më të madhe të kostove të NAP-it (45%) me 15 masa. Kjo thekson rëndësinë që u jepet qasjeve me zgjidhje të bazuara në natyrë për të trajtuar cenueshmëritë në vend. Megjithatë, masat “gri” të ndërhyrjes kanë më shumë kosto, pasi vetëm për 6 masa nevojitet 23% e buxhetit të përgjithshëm të NAP-it dhe janë të përqendruara specifikisht në sektorët e energjisë (mbrojtja e infrastrukturës nga ndryshimet klimatike) dhe bujqësisë (përforcimi i infrastrukturës bujqësore dhe të kullimit)</w:t>
      </w:r>
      <w:r w:rsidRPr="00622884">
        <w:rPr>
          <w:rFonts w:ascii="Garamond" w:eastAsia="Calibri" w:hAnsi="Garamond" w:cs="Times New Roman"/>
          <w:sz w:val="24"/>
          <w:szCs w:val="24"/>
          <w:vertAlign w:val="superscript"/>
          <w:lang w:eastAsia="en-US" w:bidi="sq-AL"/>
        </w:rPr>
        <w:footnoteReference w:id="217"/>
      </w:r>
      <w:r w:rsidRPr="00622884">
        <w:rPr>
          <w:rFonts w:ascii="Garamond" w:eastAsia="Calibri" w:hAnsi="Garamond" w:cs="Times New Roman"/>
          <w:sz w:val="24"/>
          <w:szCs w:val="24"/>
          <w:lang w:eastAsia="en-US" w:bidi="sq-AL"/>
        </w:rPr>
        <w:t>. Në fund, për ndërhyrjet “e buta” u nevojit rreth 32% e kostove totale, por paraqesin numrin më të lartë të masave: 45, gjë që tregon se normalisht ky lloj ndërhyrjesh kërkon më pak burime, të përqendruara në veprime të tilla si forcimi i kapaciteteve, krijimi i një kuadri të fortë politikash dhe rregullator, ose krijimi i mekanizmave të rinj të koordinimit.</w:t>
      </w:r>
    </w:p>
    <w:p w14:paraId="2E12717B" w14:textId="77777777" w:rsidR="00622884" w:rsidRPr="00622884" w:rsidRDefault="00622884" w:rsidP="00622884">
      <w:pPr>
        <w:spacing w:after="0" w:line="240" w:lineRule="auto"/>
        <w:ind w:firstLine="284"/>
        <w:jc w:val="right"/>
        <w:rPr>
          <w:rFonts w:ascii="Garamond" w:eastAsia="Calibri" w:hAnsi="Garamond" w:cs="Times New Roman"/>
          <w:i/>
          <w:sz w:val="10"/>
          <w:szCs w:val="24"/>
          <w:lang w:eastAsia="en-US" w:bidi="sq-AL"/>
        </w:rPr>
      </w:pPr>
      <w:bookmarkStart w:id="285" w:name="_Ref210987857"/>
      <w:bookmarkStart w:id="286" w:name="_Toc213936114"/>
    </w:p>
    <w:bookmarkEnd w:id="285"/>
    <w:bookmarkEnd w:id="286"/>
    <w:p w14:paraId="14985A9F" w14:textId="77777777" w:rsidR="00622884" w:rsidRPr="00622884" w:rsidRDefault="00622884" w:rsidP="00622884">
      <w:pPr>
        <w:spacing w:after="0" w:line="240" w:lineRule="auto"/>
        <w:ind w:firstLine="284"/>
        <w:rPr>
          <w:rFonts w:ascii="Garamond" w:eastAsia="Calibri" w:hAnsi="Garamond" w:cs="Times New Roman"/>
          <w:b/>
          <w:iCs/>
          <w:sz w:val="24"/>
          <w:szCs w:val="24"/>
          <w:lang w:eastAsia="en-US"/>
        </w:rPr>
      </w:pPr>
      <w:r w:rsidRPr="00622884">
        <w:rPr>
          <w:rFonts w:ascii="Garamond" w:eastAsia="Calibri" w:hAnsi="Garamond" w:cs="Times New Roman"/>
          <w:b/>
          <w:iCs/>
          <w:sz w:val="24"/>
          <w:szCs w:val="24"/>
          <w:lang w:eastAsia="en-US"/>
        </w:rPr>
        <w:t>Tabela 13: Nevojat e vlerësuara për buxhet sipas llojit të ndërhyrjes.</w:t>
      </w:r>
    </w:p>
    <w:p w14:paraId="33D93E8F" w14:textId="77777777" w:rsidR="00622884" w:rsidRPr="00622884" w:rsidRDefault="00622884" w:rsidP="00622884">
      <w:pPr>
        <w:spacing w:after="0" w:line="240" w:lineRule="auto"/>
        <w:ind w:firstLine="284"/>
        <w:rPr>
          <w:rFonts w:ascii="Garamond" w:eastAsia="Calibri" w:hAnsi="Garamond" w:cs="Times New Roman"/>
          <w:i/>
          <w:iCs/>
          <w:sz w:val="10"/>
          <w:szCs w:val="24"/>
          <w:lang w:eastAsia="en-US"/>
        </w:rPr>
      </w:pPr>
    </w:p>
    <w:tbl>
      <w:tblPr>
        <w:tblW w:w="5001" w:type="pct"/>
        <w:tblLayout w:type="fixed"/>
        <w:tblLook w:val="04A0" w:firstRow="1" w:lastRow="0" w:firstColumn="1" w:lastColumn="0" w:noHBand="0" w:noVBand="1"/>
      </w:tblPr>
      <w:tblGrid>
        <w:gridCol w:w="2288"/>
        <w:gridCol w:w="2211"/>
        <w:gridCol w:w="1451"/>
        <w:gridCol w:w="1743"/>
        <w:gridCol w:w="1596"/>
      </w:tblGrid>
      <w:tr w:rsidR="00622884" w:rsidRPr="00622884" w14:paraId="35FD85AC" w14:textId="77777777" w:rsidTr="00622884">
        <w:trPr>
          <w:trHeight w:val="270"/>
        </w:trPr>
        <w:tc>
          <w:tcPr>
            <w:tcW w:w="1232" w:type="pct"/>
            <w:tcBorders>
              <w:top w:val="nil"/>
              <w:left w:val="nil"/>
              <w:bottom w:val="nil"/>
              <w:right w:val="nil"/>
            </w:tcBorders>
            <w:noWrap/>
            <w:vAlign w:val="center"/>
            <w:hideMark/>
          </w:tcPr>
          <w:p w14:paraId="3041C1A7" w14:textId="77777777" w:rsidR="00622884" w:rsidRPr="00622884" w:rsidRDefault="00622884" w:rsidP="00622884">
            <w:pPr>
              <w:spacing w:after="0" w:line="240" w:lineRule="auto"/>
              <w:jc w:val="center"/>
              <w:rPr>
                <w:rFonts w:ascii="Garamond" w:eastAsia="SimSun" w:hAnsi="Garamond" w:cs="Calibri Light"/>
                <w:b/>
                <w:bCs/>
                <w:sz w:val="20"/>
                <w:szCs w:val="24"/>
                <w:lang w:eastAsia="en-GB"/>
              </w:rPr>
            </w:pPr>
            <w:r w:rsidRPr="00622884">
              <w:rPr>
                <w:rFonts w:ascii="Garamond" w:eastAsia="Calibri" w:hAnsi="Garamond" w:cs="Times New Roman"/>
                <w:b/>
                <w:sz w:val="20"/>
                <w:szCs w:val="24"/>
                <w:lang w:eastAsia="en-US" w:bidi="sq-AL"/>
              </w:rPr>
              <w:t>Lloji i ndërhyrjes</w:t>
            </w:r>
          </w:p>
        </w:tc>
        <w:tc>
          <w:tcPr>
            <w:tcW w:w="1190" w:type="pct"/>
            <w:tcBorders>
              <w:top w:val="nil"/>
              <w:left w:val="nil"/>
              <w:bottom w:val="nil"/>
              <w:right w:val="nil"/>
            </w:tcBorders>
            <w:noWrap/>
            <w:vAlign w:val="center"/>
            <w:hideMark/>
          </w:tcPr>
          <w:p w14:paraId="65AEE501" w14:textId="77777777" w:rsidR="00622884" w:rsidRPr="00622884" w:rsidRDefault="00622884" w:rsidP="00622884">
            <w:pPr>
              <w:spacing w:after="0" w:line="240" w:lineRule="auto"/>
              <w:jc w:val="center"/>
              <w:rPr>
                <w:rFonts w:ascii="Garamond" w:eastAsia="SimSun" w:hAnsi="Garamond" w:cs="Calibri Light"/>
                <w:b/>
                <w:bCs/>
                <w:sz w:val="20"/>
                <w:szCs w:val="24"/>
                <w:lang w:eastAsia="en-US"/>
              </w:rPr>
            </w:pPr>
            <w:r w:rsidRPr="00622884">
              <w:rPr>
                <w:rFonts w:ascii="Garamond" w:eastAsia="Calibri" w:hAnsi="Garamond" w:cs="Times New Roman"/>
                <w:b/>
                <w:sz w:val="20"/>
                <w:szCs w:val="24"/>
                <w:lang w:eastAsia="en-US" w:bidi="sq-AL"/>
              </w:rPr>
              <w:t>Kostot e përllogaritura (dollarë amerikanë)</w:t>
            </w:r>
          </w:p>
        </w:tc>
        <w:tc>
          <w:tcPr>
            <w:tcW w:w="781" w:type="pct"/>
            <w:tcBorders>
              <w:top w:val="nil"/>
              <w:left w:val="nil"/>
              <w:bottom w:val="nil"/>
              <w:right w:val="nil"/>
            </w:tcBorders>
          </w:tcPr>
          <w:p w14:paraId="01944031" w14:textId="77777777" w:rsidR="00622884" w:rsidRPr="00622884" w:rsidRDefault="00622884" w:rsidP="00622884">
            <w:pPr>
              <w:spacing w:after="0" w:line="240" w:lineRule="auto"/>
              <w:jc w:val="center"/>
              <w:rPr>
                <w:rFonts w:ascii="Garamond" w:eastAsia="SimSun" w:hAnsi="Garamond" w:cs="Calibri Light"/>
                <w:b/>
                <w:bCs/>
                <w:sz w:val="20"/>
                <w:szCs w:val="24"/>
                <w:lang w:eastAsia="en-US"/>
              </w:rPr>
            </w:pPr>
            <w:r w:rsidRPr="00622884">
              <w:rPr>
                <w:rFonts w:ascii="Garamond" w:eastAsia="Calibri" w:hAnsi="Garamond" w:cs="Times New Roman"/>
                <w:b/>
                <w:sz w:val="20"/>
                <w:szCs w:val="24"/>
                <w:lang w:eastAsia="en-US" w:bidi="sq-AL"/>
              </w:rPr>
              <w:t>Kostot e përllogaritura (%)</w:t>
            </w:r>
          </w:p>
        </w:tc>
        <w:tc>
          <w:tcPr>
            <w:tcW w:w="938" w:type="pct"/>
            <w:tcBorders>
              <w:top w:val="nil"/>
              <w:left w:val="nil"/>
              <w:bottom w:val="nil"/>
              <w:right w:val="nil"/>
            </w:tcBorders>
            <w:vAlign w:val="center"/>
            <w:hideMark/>
          </w:tcPr>
          <w:p w14:paraId="2F6F4FB3" w14:textId="77777777" w:rsidR="00622884" w:rsidRPr="00622884" w:rsidRDefault="00622884" w:rsidP="00622884">
            <w:pPr>
              <w:spacing w:after="0" w:line="240" w:lineRule="auto"/>
              <w:jc w:val="center"/>
              <w:rPr>
                <w:rFonts w:ascii="Garamond" w:eastAsia="SimSun" w:hAnsi="Garamond" w:cs="Calibri Light"/>
                <w:b/>
                <w:bCs/>
                <w:sz w:val="20"/>
                <w:szCs w:val="24"/>
                <w:lang w:eastAsia="en-US"/>
              </w:rPr>
            </w:pPr>
            <w:r w:rsidRPr="00622884">
              <w:rPr>
                <w:rFonts w:ascii="Garamond" w:eastAsia="Calibri" w:hAnsi="Garamond" w:cs="Times New Roman"/>
                <w:b/>
                <w:sz w:val="20"/>
                <w:szCs w:val="24"/>
                <w:lang w:eastAsia="en-US" w:bidi="sq-AL"/>
              </w:rPr>
              <w:t>Nr. i masave të përshtatjes</w:t>
            </w:r>
          </w:p>
        </w:tc>
        <w:tc>
          <w:tcPr>
            <w:tcW w:w="859" w:type="pct"/>
            <w:tcBorders>
              <w:top w:val="nil"/>
              <w:left w:val="nil"/>
              <w:bottom w:val="nil"/>
              <w:right w:val="nil"/>
            </w:tcBorders>
          </w:tcPr>
          <w:p w14:paraId="5C514CD6" w14:textId="77777777" w:rsidR="00622884" w:rsidRPr="00622884" w:rsidRDefault="00622884" w:rsidP="00622884">
            <w:pPr>
              <w:spacing w:after="0" w:line="240" w:lineRule="auto"/>
              <w:jc w:val="center"/>
              <w:rPr>
                <w:rFonts w:ascii="Garamond" w:eastAsia="SimSun" w:hAnsi="Garamond" w:cs="Calibri Light"/>
                <w:b/>
                <w:bCs/>
                <w:sz w:val="20"/>
                <w:szCs w:val="24"/>
                <w:lang w:eastAsia="en-US"/>
              </w:rPr>
            </w:pPr>
            <w:r w:rsidRPr="00622884">
              <w:rPr>
                <w:rFonts w:ascii="Garamond" w:eastAsia="Calibri" w:hAnsi="Garamond" w:cs="Times New Roman"/>
                <w:b/>
                <w:sz w:val="20"/>
                <w:szCs w:val="24"/>
                <w:lang w:eastAsia="en-US" w:bidi="sq-AL"/>
              </w:rPr>
              <w:t>Masat e përshtatjes (%)</w:t>
            </w:r>
          </w:p>
        </w:tc>
      </w:tr>
      <w:tr w:rsidR="00622884" w:rsidRPr="00622884" w14:paraId="35631068" w14:textId="77777777" w:rsidTr="00622884">
        <w:trPr>
          <w:trHeight w:val="20"/>
        </w:trPr>
        <w:tc>
          <w:tcPr>
            <w:tcW w:w="1232" w:type="pct"/>
            <w:tcBorders>
              <w:top w:val="nil"/>
              <w:left w:val="nil"/>
              <w:bottom w:val="nil"/>
              <w:right w:val="nil"/>
            </w:tcBorders>
            <w:shd w:val="clear" w:color="000000" w:fill="FFFFFF"/>
            <w:noWrap/>
            <w:vAlign w:val="center"/>
          </w:tcPr>
          <w:p w14:paraId="59FDE40F" w14:textId="77777777" w:rsidR="00622884" w:rsidRPr="00622884" w:rsidRDefault="00622884" w:rsidP="00622884">
            <w:pPr>
              <w:spacing w:after="0" w:line="240" w:lineRule="auto"/>
              <w:jc w:val="center"/>
              <w:rPr>
                <w:rFonts w:ascii="Garamond" w:eastAsia="SimSun" w:hAnsi="Garamond" w:cs="Calibri Light"/>
                <w:sz w:val="20"/>
                <w:szCs w:val="24"/>
                <w:lang w:eastAsia="en-US"/>
              </w:rPr>
            </w:pPr>
            <w:r w:rsidRPr="00622884">
              <w:rPr>
                <w:rFonts w:ascii="Garamond" w:eastAsia="Calibri" w:hAnsi="Garamond" w:cs="Times New Roman"/>
                <w:sz w:val="20"/>
                <w:szCs w:val="24"/>
                <w:lang w:eastAsia="en-US" w:bidi="sq-AL"/>
              </w:rPr>
              <w:t>Ndërhyrja e gjelbër</w:t>
            </w:r>
          </w:p>
        </w:tc>
        <w:tc>
          <w:tcPr>
            <w:tcW w:w="1190" w:type="pct"/>
            <w:tcBorders>
              <w:top w:val="nil"/>
              <w:left w:val="nil"/>
              <w:bottom w:val="nil"/>
              <w:right w:val="nil"/>
            </w:tcBorders>
            <w:shd w:val="clear" w:color="000000" w:fill="FFFFFF"/>
            <w:vAlign w:val="center"/>
          </w:tcPr>
          <w:p w14:paraId="7C2305B6" w14:textId="77777777" w:rsidR="00622884" w:rsidRPr="00622884" w:rsidRDefault="00622884" w:rsidP="00622884">
            <w:pPr>
              <w:spacing w:after="0" w:line="240" w:lineRule="auto"/>
              <w:jc w:val="center"/>
              <w:rPr>
                <w:rFonts w:ascii="Garamond" w:eastAsia="SimSun" w:hAnsi="Garamond" w:cs="Calibri Light"/>
                <w:sz w:val="20"/>
                <w:szCs w:val="24"/>
                <w:lang w:eastAsia="en-US"/>
              </w:rPr>
            </w:pPr>
            <w:r w:rsidRPr="00622884">
              <w:rPr>
                <w:rFonts w:ascii="Garamond" w:eastAsia="Calibri" w:hAnsi="Garamond" w:cs="Times New Roman"/>
                <w:sz w:val="20"/>
                <w:szCs w:val="24"/>
                <w:lang w:eastAsia="en-US" w:bidi="sq-AL"/>
              </w:rPr>
              <w:t>4.410.400.115</w:t>
            </w:r>
          </w:p>
        </w:tc>
        <w:tc>
          <w:tcPr>
            <w:tcW w:w="781" w:type="pct"/>
            <w:tcBorders>
              <w:top w:val="nil"/>
              <w:left w:val="nil"/>
              <w:bottom w:val="nil"/>
              <w:right w:val="nil"/>
            </w:tcBorders>
          </w:tcPr>
          <w:p w14:paraId="669F1764" w14:textId="77777777" w:rsidR="00622884" w:rsidRPr="00622884" w:rsidRDefault="00622884" w:rsidP="00622884">
            <w:pPr>
              <w:spacing w:after="0" w:line="240" w:lineRule="auto"/>
              <w:jc w:val="center"/>
              <w:rPr>
                <w:rFonts w:ascii="Garamond" w:eastAsia="SimSun" w:hAnsi="Garamond" w:cs="Calibri Light"/>
                <w:sz w:val="20"/>
                <w:szCs w:val="24"/>
                <w:lang w:eastAsia="en-US"/>
              </w:rPr>
            </w:pPr>
            <w:r w:rsidRPr="00622884">
              <w:rPr>
                <w:rFonts w:ascii="Garamond" w:eastAsia="Calibri" w:hAnsi="Garamond" w:cs="Times New Roman"/>
                <w:sz w:val="20"/>
                <w:szCs w:val="24"/>
                <w:lang w:eastAsia="en-US" w:bidi="sq-AL"/>
              </w:rPr>
              <w:t>45%</w:t>
            </w:r>
          </w:p>
        </w:tc>
        <w:tc>
          <w:tcPr>
            <w:tcW w:w="938" w:type="pct"/>
            <w:tcBorders>
              <w:top w:val="nil"/>
              <w:left w:val="nil"/>
              <w:bottom w:val="nil"/>
              <w:right w:val="nil"/>
            </w:tcBorders>
            <w:noWrap/>
            <w:vAlign w:val="center"/>
          </w:tcPr>
          <w:p w14:paraId="00515656" w14:textId="77777777" w:rsidR="00622884" w:rsidRPr="00622884" w:rsidRDefault="00622884" w:rsidP="00622884">
            <w:pPr>
              <w:spacing w:after="0" w:line="240" w:lineRule="auto"/>
              <w:jc w:val="center"/>
              <w:rPr>
                <w:rFonts w:ascii="Garamond" w:eastAsia="SimSun" w:hAnsi="Garamond" w:cs="Calibri Light"/>
                <w:sz w:val="20"/>
                <w:szCs w:val="24"/>
                <w:lang w:eastAsia="en-US"/>
              </w:rPr>
            </w:pPr>
            <w:r w:rsidRPr="00622884">
              <w:rPr>
                <w:rFonts w:ascii="Garamond" w:eastAsia="Calibri" w:hAnsi="Garamond" w:cs="Times New Roman"/>
                <w:sz w:val="20"/>
                <w:szCs w:val="24"/>
                <w:lang w:eastAsia="en-US" w:bidi="sq-AL"/>
              </w:rPr>
              <w:t>15</w:t>
            </w:r>
          </w:p>
        </w:tc>
        <w:tc>
          <w:tcPr>
            <w:tcW w:w="859" w:type="pct"/>
            <w:tcBorders>
              <w:top w:val="nil"/>
              <w:left w:val="nil"/>
              <w:bottom w:val="nil"/>
              <w:right w:val="nil"/>
            </w:tcBorders>
          </w:tcPr>
          <w:p w14:paraId="4B69D026" w14:textId="77777777" w:rsidR="00622884" w:rsidRPr="00622884" w:rsidRDefault="00622884" w:rsidP="00622884">
            <w:pPr>
              <w:spacing w:after="0" w:line="240" w:lineRule="auto"/>
              <w:jc w:val="center"/>
              <w:rPr>
                <w:rFonts w:ascii="Garamond" w:eastAsia="SimSun" w:hAnsi="Garamond" w:cs="Calibri Light"/>
                <w:sz w:val="20"/>
                <w:szCs w:val="24"/>
                <w:lang w:eastAsia="en-US"/>
              </w:rPr>
            </w:pPr>
            <w:r w:rsidRPr="00622884">
              <w:rPr>
                <w:rFonts w:ascii="Garamond" w:eastAsia="Calibri" w:hAnsi="Garamond" w:cs="Times New Roman"/>
                <w:sz w:val="20"/>
                <w:szCs w:val="24"/>
                <w:lang w:eastAsia="en-US" w:bidi="sq-AL"/>
              </w:rPr>
              <w:t>23%</w:t>
            </w:r>
          </w:p>
        </w:tc>
      </w:tr>
      <w:tr w:rsidR="00622884" w:rsidRPr="00622884" w14:paraId="70396239" w14:textId="77777777" w:rsidTr="00622884">
        <w:trPr>
          <w:trHeight w:val="20"/>
        </w:trPr>
        <w:tc>
          <w:tcPr>
            <w:tcW w:w="1232" w:type="pct"/>
            <w:tcBorders>
              <w:top w:val="nil"/>
              <w:left w:val="nil"/>
              <w:bottom w:val="nil"/>
              <w:right w:val="nil"/>
            </w:tcBorders>
            <w:shd w:val="clear" w:color="000000" w:fill="FFFFFF"/>
            <w:noWrap/>
            <w:vAlign w:val="center"/>
            <w:hideMark/>
          </w:tcPr>
          <w:p w14:paraId="34793C66" w14:textId="77777777" w:rsidR="00622884" w:rsidRPr="00622884" w:rsidRDefault="00622884" w:rsidP="00622884">
            <w:pPr>
              <w:spacing w:after="0" w:line="240" w:lineRule="auto"/>
              <w:jc w:val="center"/>
              <w:rPr>
                <w:rFonts w:ascii="Garamond" w:eastAsia="SimSun" w:hAnsi="Garamond" w:cs="Calibri Light"/>
                <w:sz w:val="20"/>
                <w:szCs w:val="24"/>
                <w:lang w:eastAsia="en-US"/>
              </w:rPr>
            </w:pPr>
            <w:r w:rsidRPr="00622884">
              <w:rPr>
                <w:rFonts w:ascii="Garamond" w:eastAsia="Calibri" w:hAnsi="Garamond" w:cs="Times New Roman"/>
                <w:sz w:val="20"/>
                <w:szCs w:val="24"/>
                <w:lang w:eastAsia="en-US" w:bidi="sq-AL"/>
              </w:rPr>
              <w:t>Ndërhyrje e butë</w:t>
            </w:r>
          </w:p>
        </w:tc>
        <w:tc>
          <w:tcPr>
            <w:tcW w:w="1190" w:type="pct"/>
            <w:tcBorders>
              <w:top w:val="nil"/>
              <w:left w:val="nil"/>
              <w:bottom w:val="nil"/>
              <w:right w:val="nil"/>
            </w:tcBorders>
            <w:shd w:val="clear" w:color="000000" w:fill="FFFFFF"/>
            <w:vAlign w:val="center"/>
            <w:hideMark/>
          </w:tcPr>
          <w:p w14:paraId="2A0EEDFF" w14:textId="77777777" w:rsidR="00622884" w:rsidRPr="00622884" w:rsidRDefault="00622884" w:rsidP="00622884">
            <w:pPr>
              <w:spacing w:after="0" w:line="240" w:lineRule="auto"/>
              <w:jc w:val="center"/>
              <w:rPr>
                <w:rFonts w:ascii="Garamond" w:eastAsia="SimSun" w:hAnsi="Garamond" w:cs="Calibri Light"/>
                <w:sz w:val="20"/>
                <w:szCs w:val="24"/>
                <w:lang w:eastAsia="en-US"/>
              </w:rPr>
            </w:pPr>
            <w:r w:rsidRPr="00622884">
              <w:rPr>
                <w:rFonts w:ascii="Garamond" w:eastAsia="Calibri" w:hAnsi="Garamond" w:cs="Times New Roman"/>
                <w:sz w:val="20"/>
                <w:szCs w:val="24"/>
                <w:lang w:eastAsia="en-US" w:bidi="sq-AL"/>
              </w:rPr>
              <w:t>3.152.953.700</w:t>
            </w:r>
          </w:p>
        </w:tc>
        <w:tc>
          <w:tcPr>
            <w:tcW w:w="781" w:type="pct"/>
            <w:tcBorders>
              <w:top w:val="nil"/>
              <w:left w:val="nil"/>
              <w:bottom w:val="nil"/>
              <w:right w:val="nil"/>
            </w:tcBorders>
          </w:tcPr>
          <w:p w14:paraId="19CD1A6B" w14:textId="77777777" w:rsidR="00622884" w:rsidRPr="00622884" w:rsidRDefault="00622884" w:rsidP="00622884">
            <w:pPr>
              <w:spacing w:after="0" w:line="240" w:lineRule="auto"/>
              <w:jc w:val="center"/>
              <w:rPr>
                <w:rFonts w:ascii="Garamond" w:eastAsia="SimSun" w:hAnsi="Garamond" w:cs="Calibri Light"/>
                <w:sz w:val="20"/>
                <w:szCs w:val="24"/>
                <w:lang w:eastAsia="en-US"/>
              </w:rPr>
            </w:pPr>
            <w:r w:rsidRPr="00622884">
              <w:rPr>
                <w:rFonts w:ascii="Garamond" w:eastAsia="Calibri" w:hAnsi="Garamond" w:cs="Times New Roman"/>
                <w:sz w:val="20"/>
                <w:szCs w:val="24"/>
                <w:lang w:eastAsia="en-US" w:bidi="sq-AL"/>
              </w:rPr>
              <w:t>32%</w:t>
            </w:r>
          </w:p>
        </w:tc>
        <w:tc>
          <w:tcPr>
            <w:tcW w:w="938" w:type="pct"/>
            <w:tcBorders>
              <w:top w:val="nil"/>
              <w:left w:val="nil"/>
              <w:bottom w:val="nil"/>
              <w:right w:val="nil"/>
            </w:tcBorders>
            <w:noWrap/>
            <w:vAlign w:val="center"/>
            <w:hideMark/>
          </w:tcPr>
          <w:p w14:paraId="6C7B38FC" w14:textId="77777777" w:rsidR="00622884" w:rsidRPr="00622884" w:rsidRDefault="00622884" w:rsidP="00622884">
            <w:pPr>
              <w:spacing w:after="0" w:line="240" w:lineRule="auto"/>
              <w:jc w:val="center"/>
              <w:rPr>
                <w:rFonts w:ascii="Garamond" w:eastAsia="SimSun" w:hAnsi="Garamond" w:cs="Calibri Light"/>
                <w:sz w:val="20"/>
                <w:szCs w:val="24"/>
                <w:lang w:eastAsia="en-US"/>
              </w:rPr>
            </w:pPr>
            <w:r w:rsidRPr="00622884">
              <w:rPr>
                <w:rFonts w:ascii="Garamond" w:eastAsia="Calibri" w:hAnsi="Garamond" w:cs="Times New Roman"/>
                <w:sz w:val="20"/>
                <w:szCs w:val="24"/>
                <w:lang w:eastAsia="en-US" w:bidi="sq-AL"/>
              </w:rPr>
              <w:t>45</w:t>
            </w:r>
          </w:p>
        </w:tc>
        <w:tc>
          <w:tcPr>
            <w:tcW w:w="859" w:type="pct"/>
            <w:tcBorders>
              <w:top w:val="nil"/>
              <w:left w:val="nil"/>
              <w:bottom w:val="nil"/>
              <w:right w:val="nil"/>
            </w:tcBorders>
          </w:tcPr>
          <w:p w14:paraId="4E460BA4" w14:textId="77777777" w:rsidR="00622884" w:rsidRPr="00622884" w:rsidRDefault="00622884" w:rsidP="00622884">
            <w:pPr>
              <w:spacing w:after="0" w:line="240" w:lineRule="auto"/>
              <w:jc w:val="center"/>
              <w:rPr>
                <w:rFonts w:ascii="Garamond" w:eastAsia="SimSun" w:hAnsi="Garamond" w:cs="Calibri Light"/>
                <w:sz w:val="20"/>
                <w:szCs w:val="24"/>
                <w:lang w:eastAsia="en-US"/>
              </w:rPr>
            </w:pPr>
            <w:r w:rsidRPr="00622884">
              <w:rPr>
                <w:rFonts w:ascii="Garamond" w:eastAsia="Calibri" w:hAnsi="Garamond" w:cs="Times New Roman"/>
                <w:sz w:val="20"/>
                <w:szCs w:val="24"/>
                <w:lang w:eastAsia="en-US" w:bidi="sq-AL"/>
              </w:rPr>
              <w:t>68%</w:t>
            </w:r>
          </w:p>
        </w:tc>
      </w:tr>
      <w:tr w:rsidR="00622884" w:rsidRPr="00622884" w14:paraId="0B58286E" w14:textId="77777777" w:rsidTr="00622884">
        <w:trPr>
          <w:trHeight w:val="20"/>
        </w:trPr>
        <w:tc>
          <w:tcPr>
            <w:tcW w:w="1232" w:type="pct"/>
            <w:tcBorders>
              <w:top w:val="nil"/>
              <w:left w:val="nil"/>
              <w:bottom w:val="single" w:sz="4" w:space="0" w:color="1D3C5A"/>
              <w:right w:val="nil"/>
            </w:tcBorders>
            <w:noWrap/>
            <w:vAlign w:val="center"/>
            <w:hideMark/>
          </w:tcPr>
          <w:p w14:paraId="647A2821" w14:textId="77777777" w:rsidR="00622884" w:rsidRPr="00622884" w:rsidRDefault="00622884" w:rsidP="00622884">
            <w:pPr>
              <w:spacing w:after="0" w:line="240" w:lineRule="auto"/>
              <w:jc w:val="center"/>
              <w:rPr>
                <w:rFonts w:ascii="Garamond" w:eastAsia="SimSun" w:hAnsi="Garamond" w:cs="Calibri Light"/>
                <w:sz w:val="20"/>
                <w:szCs w:val="24"/>
                <w:lang w:eastAsia="en-US"/>
              </w:rPr>
            </w:pPr>
            <w:r w:rsidRPr="00622884">
              <w:rPr>
                <w:rFonts w:ascii="Garamond" w:eastAsia="Calibri" w:hAnsi="Garamond" w:cs="Times New Roman"/>
                <w:sz w:val="20"/>
                <w:szCs w:val="24"/>
                <w:lang w:eastAsia="en-US" w:bidi="sq-AL"/>
              </w:rPr>
              <w:t>Ndërhyrje gri</w:t>
            </w:r>
          </w:p>
        </w:tc>
        <w:tc>
          <w:tcPr>
            <w:tcW w:w="1190" w:type="pct"/>
            <w:tcBorders>
              <w:top w:val="nil"/>
              <w:left w:val="nil"/>
              <w:bottom w:val="single" w:sz="4" w:space="0" w:color="1D3C5A"/>
              <w:right w:val="nil"/>
            </w:tcBorders>
            <w:vAlign w:val="center"/>
            <w:hideMark/>
          </w:tcPr>
          <w:p w14:paraId="3D626AE8" w14:textId="77777777" w:rsidR="00622884" w:rsidRPr="00622884" w:rsidRDefault="00622884" w:rsidP="00622884">
            <w:pPr>
              <w:spacing w:after="0" w:line="240" w:lineRule="auto"/>
              <w:jc w:val="center"/>
              <w:rPr>
                <w:rFonts w:ascii="Garamond" w:eastAsia="SimSun" w:hAnsi="Garamond" w:cs="Calibri Light"/>
                <w:sz w:val="20"/>
                <w:szCs w:val="24"/>
                <w:lang w:eastAsia="en-US"/>
              </w:rPr>
            </w:pPr>
            <w:r w:rsidRPr="00622884">
              <w:rPr>
                <w:rFonts w:ascii="Garamond" w:eastAsia="Calibri" w:hAnsi="Garamond" w:cs="Times New Roman"/>
                <w:sz w:val="20"/>
                <w:szCs w:val="24"/>
                <w:lang w:eastAsia="en-US" w:bidi="sq-AL"/>
              </w:rPr>
              <w:t>2.237.343.161</w:t>
            </w:r>
          </w:p>
        </w:tc>
        <w:tc>
          <w:tcPr>
            <w:tcW w:w="781" w:type="pct"/>
            <w:tcBorders>
              <w:top w:val="nil"/>
              <w:left w:val="nil"/>
              <w:bottom w:val="single" w:sz="4" w:space="0" w:color="1D3C5A"/>
              <w:right w:val="nil"/>
            </w:tcBorders>
          </w:tcPr>
          <w:p w14:paraId="03AC15DC" w14:textId="77777777" w:rsidR="00622884" w:rsidRPr="00622884" w:rsidRDefault="00622884" w:rsidP="00622884">
            <w:pPr>
              <w:spacing w:after="0" w:line="240" w:lineRule="auto"/>
              <w:jc w:val="center"/>
              <w:rPr>
                <w:rFonts w:ascii="Garamond" w:eastAsia="SimSun" w:hAnsi="Garamond" w:cs="Calibri Light"/>
                <w:sz w:val="20"/>
                <w:szCs w:val="24"/>
                <w:lang w:eastAsia="en-US"/>
              </w:rPr>
            </w:pPr>
            <w:r w:rsidRPr="00622884">
              <w:rPr>
                <w:rFonts w:ascii="Garamond" w:eastAsia="Calibri" w:hAnsi="Garamond" w:cs="Times New Roman"/>
                <w:sz w:val="20"/>
                <w:szCs w:val="24"/>
                <w:lang w:eastAsia="en-US" w:bidi="sq-AL"/>
              </w:rPr>
              <w:t>23%</w:t>
            </w:r>
          </w:p>
        </w:tc>
        <w:tc>
          <w:tcPr>
            <w:tcW w:w="938" w:type="pct"/>
            <w:tcBorders>
              <w:top w:val="nil"/>
              <w:left w:val="nil"/>
              <w:bottom w:val="single" w:sz="4" w:space="0" w:color="1D3C5A"/>
              <w:right w:val="nil"/>
            </w:tcBorders>
            <w:noWrap/>
            <w:vAlign w:val="center"/>
            <w:hideMark/>
          </w:tcPr>
          <w:p w14:paraId="7BCF48A6" w14:textId="77777777" w:rsidR="00622884" w:rsidRPr="00622884" w:rsidRDefault="00622884" w:rsidP="00622884">
            <w:pPr>
              <w:spacing w:after="0" w:line="240" w:lineRule="auto"/>
              <w:jc w:val="center"/>
              <w:rPr>
                <w:rFonts w:ascii="Garamond" w:eastAsia="SimSun" w:hAnsi="Garamond" w:cs="Calibri Light"/>
                <w:sz w:val="20"/>
                <w:szCs w:val="24"/>
                <w:lang w:eastAsia="en-US"/>
              </w:rPr>
            </w:pPr>
            <w:r w:rsidRPr="00622884">
              <w:rPr>
                <w:rFonts w:ascii="Garamond" w:eastAsia="Calibri" w:hAnsi="Garamond" w:cs="Times New Roman"/>
                <w:sz w:val="20"/>
                <w:szCs w:val="24"/>
                <w:lang w:eastAsia="en-US" w:bidi="sq-AL"/>
              </w:rPr>
              <w:t>6</w:t>
            </w:r>
          </w:p>
        </w:tc>
        <w:tc>
          <w:tcPr>
            <w:tcW w:w="859" w:type="pct"/>
            <w:tcBorders>
              <w:top w:val="nil"/>
              <w:left w:val="nil"/>
              <w:bottom w:val="single" w:sz="4" w:space="0" w:color="1D3C5A"/>
              <w:right w:val="nil"/>
            </w:tcBorders>
          </w:tcPr>
          <w:p w14:paraId="5A22FD31" w14:textId="77777777" w:rsidR="00622884" w:rsidRPr="00622884" w:rsidRDefault="00622884" w:rsidP="00622884">
            <w:pPr>
              <w:spacing w:after="0" w:line="240" w:lineRule="auto"/>
              <w:jc w:val="center"/>
              <w:rPr>
                <w:rFonts w:ascii="Garamond" w:eastAsia="SimSun" w:hAnsi="Garamond" w:cs="Calibri Light"/>
                <w:sz w:val="20"/>
                <w:szCs w:val="24"/>
                <w:lang w:eastAsia="en-US"/>
              </w:rPr>
            </w:pPr>
            <w:r w:rsidRPr="00622884">
              <w:rPr>
                <w:rFonts w:ascii="Garamond" w:eastAsia="Calibri" w:hAnsi="Garamond" w:cs="Times New Roman"/>
                <w:sz w:val="20"/>
                <w:szCs w:val="24"/>
                <w:lang w:eastAsia="en-US" w:bidi="sq-AL"/>
              </w:rPr>
              <w:t>9%</w:t>
            </w:r>
          </w:p>
        </w:tc>
      </w:tr>
      <w:tr w:rsidR="00622884" w:rsidRPr="00622884" w14:paraId="5B30FEAE" w14:textId="77777777" w:rsidTr="00622884">
        <w:trPr>
          <w:trHeight w:val="20"/>
        </w:trPr>
        <w:tc>
          <w:tcPr>
            <w:tcW w:w="1232" w:type="pct"/>
            <w:tcBorders>
              <w:top w:val="single" w:sz="4" w:space="0" w:color="1D3C5A"/>
              <w:left w:val="nil"/>
              <w:bottom w:val="nil"/>
              <w:right w:val="nil"/>
            </w:tcBorders>
            <w:noWrap/>
            <w:vAlign w:val="center"/>
            <w:hideMark/>
          </w:tcPr>
          <w:p w14:paraId="5013BF74" w14:textId="77777777" w:rsidR="00622884" w:rsidRPr="00622884" w:rsidRDefault="00622884" w:rsidP="00622884">
            <w:pPr>
              <w:spacing w:after="0" w:line="240" w:lineRule="auto"/>
              <w:jc w:val="center"/>
              <w:rPr>
                <w:rFonts w:ascii="Garamond" w:eastAsia="SimSun" w:hAnsi="Garamond" w:cs="Calibri Light"/>
                <w:b/>
                <w:bCs/>
                <w:sz w:val="20"/>
                <w:szCs w:val="24"/>
                <w:lang w:eastAsia="en-US"/>
              </w:rPr>
            </w:pPr>
            <w:r w:rsidRPr="00622884">
              <w:rPr>
                <w:rFonts w:ascii="Garamond" w:eastAsia="Calibri" w:hAnsi="Garamond" w:cs="Times New Roman"/>
                <w:b/>
                <w:sz w:val="20"/>
                <w:szCs w:val="24"/>
                <w:lang w:eastAsia="en-US" w:bidi="sq-AL"/>
              </w:rPr>
              <w:t>Totali i përllogaritur</w:t>
            </w:r>
          </w:p>
        </w:tc>
        <w:tc>
          <w:tcPr>
            <w:tcW w:w="1190" w:type="pct"/>
            <w:tcBorders>
              <w:top w:val="single" w:sz="4" w:space="0" w:color="1D3C5A"/>
              <w:left w:val="nil"/>
              <w:bottom w:val="nil"/>
              <w:right w:val="nil"/>
            </w:tcBorders>
            <w:vAlign w:val="center"/>
            <w:hideMark/>
          </w:tcPr>
          <w:p w14:paraId="20A4A786" w14:textId="77777777" w:rsidR="00622884" w:rsidRPr="00622884" w:rsidRDefault="00622884" w:rsidP="00622884">
            <w:pPr>
              <w:spacing w:after="0" w:line="240" w:lineRule="auto"/>
              <w:jc w:val="center"/>
              <w:rPr>
                <w:rFonts w:ascii="Garamond" w:eastAsia="SimSun" w:hAnsi="Garamond" w:cs="Calibri Light"/>
                <w:b/>
                <w:bCs/>
                <w:sz w:val="20"/>
                <w:szCs w:val="24"/>
                <w:lang w:eastAsia="en-US"/>
              </w:rPr>
            </w:pPr>
            <w:r w:rsidRPr="00622884">
              <w:rPr>
                <w:rFonts w:ascii="Garamond" w:eastAsia="Calibri" w:hAnsi="Garamond" w:cs="Times New Roman"/>
                <w:b/>
                <w:sz w:val="20"/>
                <w:szCs w:val="24"/>
                <w:lang w:eastAsia="en-US" w:bidi="sq-AL"/>
              </w:rPr>
              <w:t>9.800.696.976</w:t>
            </w:r>
          </w:p>
        </w:tc>
        <w:tc>
          <w:tcPr>
            <w:tcW w:w="781" w:type="pct"/>
            <w:tcBorders>
              <w:top w:val="single" w:sz="4" w:space="0" w:color="1D3C5A"/>
              <w:left w:val="nil"/>
              <w:bottom w:val="nil"/>
              <w:right w:val="nil"/>
            </w:tcBorders>
          </w:tcPr>
          <w:p w14:paraId="67BB861C" w14:textId="77777777" w:rsidR="00622884" w:rsidRPr="00622884" w:rsidRDefault="00622884" w:rsidP="00622884">
            <w:pPr>
              <w:spacing w:after="0" w:line="240" w:lineRule="auto"/>
              <w:jc w:val="center"/>
              <w:rPr>
                <w:rFonts w:ascii="Garamond" w:eastAsia="SimSun" w:hAnsi="Garamond" w:cs="Calibri Light"/>
                <w:b/>
                <w:bCs/>
                <w:sz w:val="20"/>
                <w:szCs w:val="24"/>
                <w:lang w:eastAsia="en-US"/>
              </w:rPr>
            </w:pPr>
            <w:r w:rsidRPr="00622884">
              <w:rPr>
                <w:rFonts w:ascii="Garamond" w:eastAsia="Calibri" w:hAnsi="Garamond" w:cs="Times New Roman"/>
                <w:b/>
                <w:sz w:val="20"/>
                <w:szCs w:val="24"/>
                <w:lang w:eastAsia="en-US" w:bidi="sq-AL"/>
              </w:rPr>
              <w:t>100%</w:t>
            </w:r>
          </w:p>
        </w:tc>
        <w:tc>
          <w:tcPr>
            <w:tcW w:w="938" w:type="pct"/>
            <w:tcBorders>
              <w:top w:val="single" w:sz="4" w:space="0" w:color="1D3C5A"/>
              <w:left w:val="nil"/>
              <w:bottom w:val="nil"/>
              <w:right w:val="nil"/>
            </w:tcBorders>
            <w:noWrap/>
            <w:vAlign w:val="center"/>
            <w:hideMark/>
          </w:tcPr>
          <w:p w14:paraId="2014D67C" w14:textId="77777777" w:rsidR="00622884" w:rsidRPr="00622884" w:rsidRDefault="00622884" w:rsidP="00622884">
            <w:pPr>
              <w:spacing w:after="0" w:line="240" w:lineRule="auto"/>
              <w:jc w:val="center"/>
              <w:rPr>
                <w:rFonts w:ascii="Garamond" w:eastAsia="SimSun" w:hAnsi="Garamond" w:cs="Calibri Light"/>
                <w:b/>
                <w:bCs/>
                <w:sz w:val="20"/>
                <w:szCs w:val="24"/>
                <w:lang w:eastAsia="en-US"/>
              </w:rPr>
            </w:pPr>
            <w:r w:rsidRPr="00622884">
              <w:rPr>
                <w:rFonts w:ascii="Garamond" w:eastAsia="Calibri" w:hAnsi="Garamond" w:cs="Times New Roman"/>
                <w:b/>
                <w:sz w:val="20"/>
                <w:szCs w:val="24"/>
                <w:lang w:eastAsia="en-US" w:bidi="sq-AL"/>
              </w:rPr>
              <w:t>66</w:t>
            </w:r>
          </w:p>
        </w:tc>
        <w:tc>
          <w:tcPr>
            <w:tcW w:w="859" w:type="pct"/>
            <w:tcBorders>
              <w:top w:val="single" w:sz="4" w:space="0" w:color="1D3C5A"/>
              <w:left w:val="nil"/>
              <w:bottom w:val="nil"/>
              <w:right w:val="nil"/>
            </w:tcBorders>
          </w:tcPr>
          <w:p w14:paraId="5A75259E" w14:textId="77777777" w:rsidR="00622884" w:rsidRPr="00622884" w:rsidRDefault="00622884" w:rsidP="00622884">
            <w:pPr>
              <w:spacing w:after="0" w:line="240" w:lineRule="auto"/>
              <w:jc w:val="center"/>
              <w:rPr>
                <w:rFonts w:ascii="Garamond" w:eastAsia="SimSun" w:hAnsi="Garamond" w:cs="Calibri Light"/>
                <w:b/>
                <w:bCs/>
                <w:sz w:val="20"/>
                <w:szCs w:val="24"/>
                <w:lang w:eastAsia="en-US"/>
              </w:rPr>
            </w:pPr>
            <w:r w:rsidRPr="00622884">
              <w:rPr>
                <w:rFonts w:ascii="Garamond" w:eastAsia="Calibri" w:hAnsi="Garamond" w:cs="Times New Roman"/>
                <w:b/>
                <w:sz w:val="20"/>
                <w:szCs w:val="24"/>
                <w:lang w:eastAsia="en-US" w:bidi="sq-AL"/>
              </w:rPr>
              <w:t>100%</w:t>
            </w:r>
          </w:p>
        </w:tc>
      </w:tr>
    </w:tbl>
    <w:p w14:paraId="01A742B7" w14:textId="77777777" w:rsidR="00622884" w:rsidRPr="00622884" w:rsidRDefault="00622884" w:rsidP="00622884">
      <w:pPr>
        <w:spacing w:after="0" w:line="240" w:lineRule="auto"/>
        <w:ind w:firstLine="284"/>
        <w:jc w:val="right"/>
        <w:rPr>
          <w:rFonts w:ascii="Garamond" w:eastAsia="Calibri Light" w:hAnsi="Garamond" w:cs="Times New Roman"/>
          <w:i/>
          <w:iCs/>
          <w:sz w:val="24"/>
          <w:szCs w:val="24"/>
          <w:lang w:eastAsia="en-US"/>
        </w:rPr>
      </w:pPr>
    </w:p>
    <w:p w14:paraId="08B7105E" w14:textId="77777777" w:rsidR="00622884" w:rsidRPr="00622884" w:rsidRDefault="00622884" w:rsidP="00622884">
      <w:pPr>
        <w:spacing w:after="0" w:line="240" w:lineRule="auto"/>
        <w:ind w:firstLine="284"/>
        <w:rPr>
          <w:rFonts w:ascii="Garamond" w:eastAsia="Calibri" w:hAnsi="Garamond" w:cs="Times New Roman"/>
          <w:sz w:val="24"/>
          <w:szCs w:val="24"/>
          <w:lang w:eastAsia="en-US" w:bidi="sq-AL"/>
        </w:rPr>
      </w:pPr>
      <w:r w:rsidRPr="00622884">
        <w:rPr>
          <w:rFonts w:ascii="Garamond" w:eastAsia="Calibri" w:hAnsi="Garamond" w:cs="Times New Roman"/>
          <w:sz w:val="24"/>
          <w:szCs w:val="24"/>
          <w:lang w:eastAsia="en-US" w:bidi="sq-AL"/>
        </w:rPr>
        <w:t>Sa i përket kohës, pra kohës së fillimit të zbatimit të masës së përshtatjes, angazhimet buxhetore dhe shpenzimet aktuale buxhetore janë siç tregohen në tabelën më poshtë:</w:t>
      </w:r>
    </w:p>
    <w:p w14:paraId="71FBAE3A" w14:textId="77777777" w:rsidR="00622884" w:rsidRPr="00622884" w:rsidRDefault="00622884" w:rsidP="00622884">
      <w:pPr>
        <w:spacing w:after="0" w:line="240" w:lineRule="auto"/>
        <w:ind w:firstLine="284"/>
        <w:rPr>
          <w:rFonts w:ascii="Garamond" w:eastAsia="SimSun" w:hAnsi="Garamond" w:cs="Calibri Light"/>
          <w:sz w:val="8"/>
          <w:szCs w:val="24"/>
          <w:lang w:eastAsia="en-US"/>
        </w:rPr>
      </w:pPr>
    </w:p>
    <w:p w14:paraId="5F57E8BB" w14:textId="77777777" w:rsidR="00622884" w:rsidRPr="00622884" w:rsidRDefault="00622884" w:rsidP="00622884">
      <w:pPr>
        <w:spacing w:after="0" w:line="240" w:lineRule="auto"/>
        <w:ind w:firstLine="284"/>
        <w:jc w:val="left"/>
        <w:rPr>
          <w:rFonts w:ascii="Garamond" w:eastAsia="SimSun" w:hAnsi="Garamond" w:cs="Calibri Light"/>
          <w:b/>
          <w:bCs/>
          <w:iCs/>
          <w:sz w:val="24"/>
          <w:szCs w:val="24"/>
          <w:lang w:eastAsia="en-US"/>
        </w:rPr>
      </w:pPr>
      <w:bookmarkStart w:id="287" w:name="_Ref210988174"/>
      <w:bookmarkStart w:id="288" w:name="_Toc213936115"/>
      <w:r w:rsidRPr="00622884">
        <w:rPr>
          <w:rFonts w:ascii="Garamond" w:eastAsia="Calibri" w:hAnsi="Garamond" w:cs="Times New Roman"/>
          <w:b/>
          <w:sz w:val="24"/>
          <w:szCs w:val="24"/>
          <w:lang w:eastAsia="en-US" w:bidi="sq-AL"/>
        </w:rPr>
        <w:t xml:space="preserve">Tabela </w:t>
      </w:r>
      <w:r w:rsidRPr="00622884">
        <w:rPr>
          <w:rFonts w:ascii="Garamond" w:eastAsia="Calibri" w:hAnsi="Garamond" w:cs="Times New Roman"/>
          <w:b/>
          <w:sz w:val="24"/>
          <w:szCs w:val="24"/>
          <w:lang w:eastAsia="en-US" w:bidi="sq-AL"/>
        </w:rPr>
        <w:fldChar w:fldCharType="begin"/>
      </w:r>
      <w:r w:rsidRPr="00622884">
        <w:rPr>
          <w:rFonts w:ascii="Garamond" w:eastAsia="Calibri" w:hAnsi="Garamond" w:cs="Times New Roman"/>
          <w:b/>
          <w:sz w:val="24"/>
          <w:szCs w:val="24"/>
          <w:lang w:eastAsia="en-US" w:bidi="sq-AL"/>
        </w:rPr>
        <w:instrText xml:space="preserve"> SEQ Tabla \* ARABIC </w:instrText>
      </w:r>
      <w:r w:rsidRPr="00622884">
        <w:rPr>
          <w:rFonts w:ascii="Garamond" w:eastAsia="Calibri" w:hAnsi="Garamond" w:cs="Times New Roman"/>
          <w:b/>
          <w:sz w:val="24"/>
          <w:szCs w:val="24"/>
          <w:lang w:eastAsia="en-US" w:bidi="sq-AL"/>
        </w:rPr>
        <w:fldChar w:fldCharType="separate"/>
      </w:r>
      <w:r w:rsidRPr="00622884">
        <w:rPr>
          <w:rFonts w:ascii="Garamond" w:eastAsia="Calibri" w:hAnsi="Garamond" w:cs="Times New Roman"/>
          <w:b/>
          <w:sz w:val="24"/>
          <w:szCs w:val="24"/>
          <w:lang w:eastAsia="en-US" w:bidi="sq-AL"/>
        </w:rPr>
        <w:t>14</w:t>
      </w:r>
      <w:r w:rsidRPr="00622884">
        <w:rPr>
          <w:rFonts w:ascii="Garamond" w:eastAsia="Calibri" w:hAnsi="Garamond" w:cs="Times New Roman"/>
          <w:b/>
          <w:sz w:val="24"/>
          <w:szCs w:val="24"/>
          <w:lang w:eastAsia="en-US" w:bidi="sq-AL"/>
        </w:rPr>
        <w:fldChar w:fldCharType="end"/>
      </w:r>
      <w:bookmarkEnd w:id="287"/>
      <w:r w:rsidRPr="00622884">
        <w:rPr>
          <w:rFonts w:ascii="Garamond" w:eastAsia="Calibri" w:hAnsi="Garamond" w:cs="Times New Roman"/>
          <w:b/>
          <w:sz w:val="24"/>
          <w:szCs w:val="24"/>
          <w:lang w:eastAsia="en-US" w:bidi="sq-AL"/>
        </w:rPr>
        <w:t>: Buxheti i përllogaritur sipas afatit.</w:t>
      </w:r>
      <w:bookmarkEnd w:id="288"/>
    </w:p>
    <w:tbl>
      <w:tblPr>
        <w:tblW w:w="5000" w:type="pct"/>
        <w:tblCellMar>
          <w:left w:w="0" w:type="dxa"/>
          <w:right w:w="0" w:type="dxa"/>
        </w:tblCellMar>
        <w:tblLook w:val="04A0" w:firstRow="1" w:lastRow="0" w:firstColumn="1" w:lastColumn="0" w:noHBand="0" w:noVBand="1"/>
      </w:tblPr>
      <w:tblGrid>
        <w:gridCol w:w="2032"/>
        <w:gridCol w:w="2294"/>
        <w:gridCol w:w="1020"/>
        <w:gridCol w:w="2931"/>
        <w:gridCol w:w="1010"/>
      </w:tblGrid>
      <w:tr w:rsidR="00622884" w:rsidRPr="00622884" w14:paraId="371828D9" w14:textId="77777777" w:rsidTr="00622884">
        <w:trPr>
          <w:trHeight w:val="136"/>
        </w:trPr>
        <w:tc>
          <w:tcPr>
            <w:tcW w:w="1094" w:type="pct"/>
            <w:vMerge w:val="restart"/>
            <w:tcBorders>
              <w:top w:val="single" w:sz="8" w:space="0" w:color="FFFFFF"/>
              <w:left w:val="single" w:sz="8" w:space="0" w:color="FFFFFF"/>
              <w:bottom w:val="single" w:sz="24" w:space="0" w:color="FFFFFF"/>
              <w:right w:val="single" w:sz="8" w:space="0" w:color="FFFFFF"/>
            </w:tcBorders>
            <w:shd w:val="clear" w:color="auto" w:fill="215A5C"/>
            <w:tcMar>
              <w:top w:w="15" w:type="dxa"/>
              <w:left w:w="108" w:type="dxa"/>
              <w:bottom w:w="0" w:type="dxa"/>
              <w:right w:w="108" w:type="dxa"/>
            </w:tcMar>
            <w:vAlign w:val="center"/>
            <w:hideMark/>
          </w:tcPr>
          <w:p w14:paraId="4A8847B1" w14:textId="77777777" w:rsidR="00622884" w:rsidRPr="00622884" w:rsidRDefault="00622884" w:rsidP="00622884">
            <w:pPr>
              <w:spacing w:after="0" w:line="240" w:lineRule="auto"/>
              <w:jc w:val="center"/>
              <w:rPr>
                <w:rFonts w:ascii="Garamond" w:eastAsia="Calibri" w:hAnsi="Garamond" w:cs="Calibri Light"/>
                <w:sz w:val="16"/>
                <w:szCs w:val="16"/>
                <w:lang w:eastAsia="en-US"/>
              </w:rPr>
            </w:pPr>
            <w:r w:rsidRPr="00622884">
              <w:rPr>
                <w:rFonts w:ascii="Garamond" w:eastAsia="Calibri" w:hAnsi="Garamond" w:cs="Times New Roman"/>
                <w:b/>
                <w:sz w:val="16"/>
                <w:szCs w:val="16"/>
                <w:lang w:eastAsia="en-US" w:bidi="sq-AL"/>
              </w:rPr>
              <w:t>Periudha kohore</w:t>
            </w:r>
          </w:p>
        </w:tc>
        <w:tc>
          <w:tcPr>
            <w:tcW w:w="1784" w:type="pct"/>
            <w:gridSpan w:val="2"/>
            <w:tcBorders>
              <w:top w:val="single" w:sz="8" w:space="0" w:color="FFFFFF"/>
              <w:left w:val="single" w:sz="8" w:space="0" w:color="FFFFFF"/>
              <w:bottom w:val="single" w:sz="24" w:space="0" w:color="FFFFFF"/>
              <w:right w:val="single" w:sz="8" w:space="0" w:color="FFFFFF"/>
            </w:tcBorders>
            <w:shd w:val="clear" w:color="auto" w:fill="215A5C"/>
            <w:tcMar>
              <w:top w:w="15" w:type="dxa"/>
              <w:left w:w="108" w:type="dxa"/>
              <w:bottom w:w="0" w:type="dxa"/>
              <w:right w:w="108" w:type="dxa"/>
            </w:tcMar>
            <w:vAlign w:val="center"/>
            <w:hideMark/>
          </w:tcPr>
          <w:p w14:paraId="69333182" w14:textId="77777777" w:rsidR="00622884" w:rsidRPr="00622884" w:rsidRDefault="00622884" w:rsidP="00622884">
            <w:pPr>
              <w:spacing w:after="0" w:line="240" w:lineRule="auto"/>
              <w:jc w:val="center"/>
              <w:rPr>
                <w:rFonts w:ascii="Garamond" w:eastAsia="Calibri" w:hAnsi="Garamond" w:cs="Calibri Light"/>
                <w:sz w:val="16"/>
                <w:szCs w:val="16"/>
                <w:lang w:eastAsia="en-US"/>
              </w:rPr>
            </w:pPr>
            <w:r w:rsidRPr="00622884">
              <w:rPr>
                <w:rFonts w:ascii="Garamond" w:eastAsia="Calibri" w:hAnsi="Garamond" w:cs="Times New Roman"/>
                <w:b/>
                <w:sz w:val="16"/>
                <w:szCs w:val="16"/>
                <w:lang w:eastAsia="en-US" w:bidi="sq-AL"/>
              </w:rPr>
              <w:t>Planifikimi/angazhimet e buxhetit</w:t>
            </w:r>
          </w:p>
        </w:tc>
        <w:tc>
          <w:tcPr>
            <w:tcW w:w="2122" w:type="pct"/>
            <w:gridSpan w:val="2"/>
            <w:tcBorders>
              <w:top w:val="single" w:sz="8" w:space="0" w:color="FFFFFF"/>
              <w:left w:val="single" w:sz="8" w:space="0" w:color="FFFFFF"/>
              <w:bottom w:val="single" w:sz="24" w:space="0" w:color="FFFFFF"/>
              <w:right w:val="single" w:sz="8" w:space="0" w:color="FFFFFF"/>
            </w:tcBorders>
            <w:shd w:val="clear" w:color="auto" w:fill="16745A"/>
            <w:tcMar>
              <w:top w:w="15" w:type="dxa"/>
              <w:left w:w="108" w:type="dxa"/>
              <w:bottom w:w="0" w:type="dxa"/>
              <w:right w:w="108" w:type="dxa"/>
            </w:tcMar>
            <w:vAlign w:val="center"/>
            <w:hideMark/>
          </w:tcPr>
          <w:p w14:paraId="6BFF2AC1" w14:textId="77777777" w:rsidR="00622884" w:rsidRPr="00622884" w:rsidRDefault="00622884" w:rsidP="00622884">
            <w:pPr>
              <w:spacing w:after="0" w:line="240" w:lineRule="auto"/>
              <w:jc w:val="center"/>
              <w:rPr>
                <w:rFonts w:ascii="Garamond" w:eastAsia="Calibri" w:hAnsi="Garamond" w:cs="Calibri Light"/>
                <w:b/>
                <w:bCs/>
                <w:sz w:val="16"/>
                <w:szCs w:val="16"/>
                <w:lang w:eastAsia="en-US"/>
              </w:rPr>
            </w:pPr>
            <w:r w:rsidRPr="00622884">
              <w:rPr>
                <w:rFonts w:ascii="Garamond" w:eastAsia="Calibri" w:hAnsi="Garamond" w:cs="Times New Roman"/>
                <w:b/>
                <w:sz w:val="16"/>
                <w:szCs w:val="16"/>
                <w:lang w:eastAsia="en-US" w:bidi="sq-AL"/>
              </w:rPr>
              <w:t>Propozimi për përllogaritjen vjetore të buxhetit (disbursimet)</w:t>
            </w:r>
          </w:p>
        </w:tc>
      </w:tr>
      <w:tr w:rsidR="00622884" w:rsidRPr="00622884" w14:paraId="056840FB" w14:textId="77777777" w:rsidTr="00622884">
        <w:tc>
          <w:tcPr>
            <w:tcW w:w="1094" w:type="pct"/>
            <w:vMerge/>
            <w:tcBorders>
              <w:top w:val="single" w:sz="8" w:space="0" w:color="FFFFFF"/>
              <w:left w:val="single" w:sz="8" w:space="0" w:color="FFFFFF"/>
              <w:bottom w:val="single" w:sz="24" w:space="0" w:color="FFFFFF"/>
              <w:right w:val="single" w:sz="8" w:space="0" w:color="FFFFFF"/>
            </w:tcBorders>
            <w:vAlign w:val="center"/>
            <w:hideMark/>
          </w:tcPr>
          <w:p w14:paraId="34E3D4B0" w14:textId="77777777" w:rsidR="00622884" w:rsidRPr="00622884" w:rsidRDefault="00622884" w:rsidP="00622884">
            <w:pPr>
              <w:spacing w:after="0" w:line="240" w:lineRule="auto"/>
              <w:jc w:val="center"/>
              <w:rPr>
                <w:rFonts w:ascii="Garamond" w:eastAsia="Calibri" w:hAnsi="Garamond" w:cs="Calibri Light"/>
                <w:sz w:val="16"/>
                <w:szCs w:val="16"/>
                <w:lang w:eastAsia="en-US"/>
              </w:rPr>
            </w:pPr>
          </w:p>
        </w:tc>
        <w:tc>
          <w:tcPr>
            <w:tcW w:w="1235" w:type="pct"/>
            <w:tcBorders>
              <w:top w:val="single" w:sz="24" w:space="0" w:color="FFFFFF"/>
              <w:left w:val="single" w:sz="8" w:space="0" w:color="FFFFFF"/>
              <w:bottom w:val="single" w:sz="8" w:space="0" w:color="FFFFFF"/>
              <w:right w:val="single" w:sz="8" w:space="0" w:color="FFFFFF"/>
            </w:tcBorders>
            <w:shd w:val="clear" w:color="auto" w:fill="215A5C"/>
            <w:tcMar>
              <w:top w:w="15" w:type="dxa"/>
              <w:left w:w="108" w:type="dxa"/>
              <w:bottom w:w="0" w:type="dxa"/>
              <w:right w:w="108" w:type="dxa"/>
            </w:tcMar>
            <w:vAlign w:val="center"/>
            <w:hideMark/>
          </w:tcPr>
          <w:p w14:paraId="23634532" w14:textId="77777777" w:rsidR="00622884" w:rsidRPr="00622884" w:rsidRDefault="00622884" w:rsidP="00622884">
            <w:pPr>
              <w:spacing w:after="0" w:line="240" w:lineRule="auto"/>
              <w:jc w:val="center"/>
              <w:rPr>
                <w:rFonts w:ascii="Garamond" w:eastAsia="Calibri" w:hAnsi="Garamond" w:cs="Calibri Light"/>
                <w:sz w:val="16"/>
                <w:szCs w:val="16"/>
                <w:lang w:eastAsia="en-US"/>
              </w:rPr>
            </w:pPr>
            <w:r w:rsidRPr="00622884">
              <w:rPr>
                <w:rFonts w:ascii="Garamond" w:eastAsia="Calibri" w:hAnsi="Garamond" w:cs="Times New Roman"/>
                <w:b/>
                <w:sz w:val="16"/>
                <w:szCs w:val="16"/>
                <w:lang w:eastAsia="en-US" w:bidi="sq-AL"/>
              </w:rPr>
              <w:t>Buxheti i përllogaritur për datën e fillimit të masës (dollarë amerikanë)</w:t>
            </w:r>
          </w:p>
        </w:tc>
        <w:tc>
          <w:tcPr>
            <w:tcW w:w="549" w:type="pct"/>
            <w:tcBorders>
              <w:top w:val="single" w:sz="24" w:space="0" w:color="FFFFFF"/>
              <w:left w:val="single" w:sz="8" w:space="0" w:color="FFFFFF"/>
              <w:bottom w:val="single" w:sz="8" w:space="0" w:color="FFFFFF"/>
              <w:right w:val="single" w:sz="8" w:space="0" w:color="FFFFFF"/>
            </w:tcBorders>
            <w:shd w:val="clear" w:color="auto" w:fill="215A5C"/>
            <w:tcMar>
              <w:top w:w="15" w:type="dxa"/>
              <w:left w:w="108" w:type="dxa"/>
              <w:bottom w:w="0" w:type="dxa"/>
              <w:right w:w="108" w:type="dxa"/>
            </w:tcMar>
            <w:vAlign w:val="center"/>
            <w:hideMark/>
          </w:tcPr>
          <w:p w14:paraId="3262602A" w14:textId="77777777" w:rsidR="00622884" w:rsidRPr="00622884" w:rsidRDefault="00622884" w:rsidP="00622884">
            <w:pPr>
              <w:spacing w:after="0" w:line="240" w:lineRule="auto"/>
              <w:jc w:val="center"/>
              <w:rPr>
                <w:rFonts w:ascii="Garamond" w:eastAsia="Calibri" w:hAnsi="Garamond" w:cs="Calibri Light"/>
                <w:sz w:val="16"/>
                <w:szCs w:val="16"/>
                <w:lang w:eastAsia="en-US"/>
              </w:rPr>
            </w:pPr>
            <w:r w:rsidRPr="00622884">
              <w:rPr>
                <w:rFonts w:ascii="Garamond" w:eastAsia="Calibri" w:hAnsi="Garamond" w:cs="Times New Roman"/>
                <w:b/>
                <w:sz w:val="16"/>
                <w:szCs w:val="16"/>
                <w:lang w:eastAsia="en-US" w:bidi="sq-AL"/>
              </w:rPr>
              <w:t>Numri i masave</w:t>
            </w:r>
          </w:p>
        </w:tc>
        <w:tc>
          <w:tcPr>
            <w:tcW w:w="1578" w:type="pct"/>
            <w:tcBorders>
              <w:top w:val="single" w:sz="24" w:space="0" w:color="FFFFFF"/>
              <w:left w:val="single" w:sz="8" w:space="0" w:color="FFFFFF"/>
              <w:bottom w:val="single" w:sz="8" w:space="0" w:color="FFFFFF"/>
              <w:right w:val="single" w:sz="8" w:space="0" w:color="FFFFFF"/>
            </w:tcBorders>
            <w:shd w:val="clear" w:color="auto" w:fill="16745A"/>
            <w:tcMar>
              <w:top w:w="15" w:type="dxa"/>
              <w:left w:w="108" w:type="dxa"/>
              <w:bottom w:w="0" w:type="dxa"/>
              <w:right w:w="108" w:type="dxa"/>
            </w:tcMar>
            <w:vAlign w:val="center"/>
            <w:hideMark/>
          </w:tcPr>
          <w:p w14:paraId="030FEC4D" w14:textId="77777777" w:rsidR="00622884" w:rsidRPr="00622884" w:rsidRDefault="00622884" w:rsidP="00622884">
            <w:pPr>
              <w:spacing w:after="0" w:line="240" w:lineRule="auto"/>
              <w:jc w:val="center"/>
              <w:rPr>
                <w:rFonts w:ascii="Garamond" w:eastAsia="Calibri" w:hAnsi="Garamond" w:cs="Times New Roman"/>
                <w:b/>
                <w:sz w:val="16"/>
                <w:szCs w:val="16"/>
                <w:lang w:eastAsia="en-US" w:bidi="sq-AL"/>
              </w:rPr>
            </w:pPr>
            <w:r w:rsidRPr="00622884">
              <w:rPr>
                <w:rFonts w:ascii="Garamond" w:eastAsia="Calibri" w:hAnsi="Garamond" w:cs="Times New Roman"/>
                <w:b/>
                <w:sz w:val="16"/>
                <w:szCs w:val="16"/>
                <w:lang w:eastAsia="en-US" w:bidi="sq-AL"/>
              </w:rPr>
              <w:t xml:space="preserve">Disbursimet e përllogaritura </w:t>
            </w:r>
          </w:p>
          <w:p w14:paraId="14E8EC90" w14:textId="77777777" w:rsidR="00622884" w:rsidRPr="00622884" w:rsidRDefault="00622884" w:rsidP="00622884">
            <w:pPr>
              <w:spacing w:after="0" w:line="240" w:lineRule="auto"/>
              <w:jc w:val="center"/>
              <w:rPr>
                <w:rFonts w:ascii="Garamond" w:eastAsia="Calibri" w:hAnsi="Garamond" w:cs="Calibri Light"/>
                <w:sz w:val="16"/>
                <w:szCs w:val="16"/>
                <w:lang w:eastAsia="en-US"/>
              </w:rPr>
            </w:pPr>
            <w:r w:rsidRPr="00622884">
              <w:rPr>
                <w:rFonts w:ascii="Garamond" w:eastAsia="Calibri" w:hAnsi="Garamond" w:cs="Times New Roman"/>
                <w:b/>
                <w:sz w:val="16"/>
                <w:szCs w:val="16"/>
                <w:lang w:eastAsia="en-US" w:bidi="sq-AL"/>
              </w:rPr>
              <w:t>(dollarë amerikan)</w:t>
            </w:r>
          </w:p>
        </w:tc>
        <w:tc>
          <w:tcPr>
            <w:tcW w:w="544" w:type="pct"/>
            <w:tcBorders>
              <w:top w:val="single" w:sz="24" w:space="0" w:color="FFFFFF"/>
              <w:left w:val="single" w:sz="8" w:space="0" w:color="FFFFFF"/>
              <w:bottom w:val="single" w:sz="8" w:space="0" w:color="FFFFFF"/>
              <w:right w:val="single" w:sz="8" w:space="0" w:color="FFFFFF"/>
            </w:tcBorders>
            <w:shd w:val="clear" w:color="auto" w:fill="16745A"/>
            <w:vAlign w:val="center"/>
          </w:tcPr>
          <w:p w14:paraId="46C818B2" w14:textId="77777777" w:rsidR="00622884" w:rsidRPr="00622884" w:rsidRDefault="00622884" w:rsidP="00622884">
            <w:pPr>
              <w:spacing w:after="0" w:line="240" w:lineRule="auto"/>
              <w:jc w:val="center"/>
              <w:rPr>
                <w:rFonts w:ascii="Garamond" w:eastAsia="Calibri" w:hAnsi="Garamond" w:cs="Calibri Light"/>
                <w:b/>
                <w:bCs/>
                <w:sz w:val="16"/>
                <w:szCs w:val="16"/>
                <w:lang w:eastAsia="en-US"/>
              </w:rPr>
            </w:pPr>
            <w:r w:rsidRPr="00622884">
              <w:rPr>
                <w:rFonts w:ascii="Garamond" w:eastAsia="Calibri" w:hAnsi="Garamond" w:cs="Times New Roman"/>
                <w:b/>
                <w:sz w:val="16"/>
                <w:szCs w:val="16"/>
                <w:lang w:eastAsia="en-US" w:bidi="sq-AL"/>
              </w:rPr>
              <w:t>% e buxhetit të përgjithshëm</w:t>
            </w:r>
          </w:p>
        </w:tc>
      </w:tr>
      <w:tr w:rsidR="00622884" w:rsidRPr="00622884" w14:paraId="0D4F4766" w14:textId="77777777" w:rsidTr="00622884">
        <w:trPr>
          <w:trHeight w:val="180"/>
        </w:trPr>
        <w:tc>
          <w:tcPr>
            <w:tcW w:w="1094" w:type="pct"/>
            <w:tcBorders>
              <w:top w:val="single" w:sz="24" w:space="0" w:color="FFFFFF"/>
              <w:left w:val="single" w:sz="8" w:space="0" w:color="FFFFFF"/>
              <w:bottom w:val="single" w:sz="8" w:space="0" w:color="FFFFFF"/>
              <w:right w:val="single" w:sz="8" w:space="0" w:color="FFFFFF"/>
            </w:tcBorders>
            <w:shd w:val="clear" w:color="auto" w:fill="215A5C"/>
            <w:tcMar>
              <w:top w:w="15" w:type="dxa"/>
              <w:left w:w="108" w:type="dxa"/>
              <w:bottom w:w="0" w:type="dxa"/>
              <w:right w:w="108" w:type="dxa"/>
            </w:tcMar>
            <w:vAlign w:val="center"/>
            <w:hideMark/>
          </w:tcPr>
          <w:p w14:paraId="0B918845" w14:textId="77777777" w:rsidR="00622884" w:rsidRPr="00622884" w:rsidRDefault="00622884" w:rsidP="00622884">
            <w:pPr>
              <w:spacing w:after="0" w:line="240" w:lineRule="auto"/>
              <w:jc w:val="center"/>
              <w:rPr>
                <w:rFonts w:ascii="Garamond" w:eastAsia="Calibri" w:hAnsi="Garamond" w:cs="Calibri Light"/>
                <w:sz w:val="16"/>
                <w:szCs w:val="16"/>
                <w:lang w:eastAsia="en-US"/>
              </w:rPr>
            </w:pPr>
            <w:r w:rsidRPr="00622884">
              <w:rPr>
                <w:rFonts w:ascii="Garamond" w:eastAsia="Calibri" w:hAnsi="Garamond" w:cs="Times New Roman"/>
                <w:b/>
                <w:sz w:val="16"/>
                <w:szCs w:val="16"/>
                <w:lang w:eastAsia="en-US" w:bidi="sq-AL"/>
              </w:rPr>
              <w:t>Afatgjatë (2033</w:t>
            </w:r>
            <w:r w:rsidRPr="00622884">
              <w:rPr>
                <w:rFonts w:ascii="Garamond" w:eastAsia="Calibri" w:hAnsi="Garamond" w:cs="Times New Roman"/>
                <w:sz w:val="16"/>
                <w:szCs w:val="16"/>
                <w:lang w:eastAsia="en-US"/>
              </w:rPr>
              <w:t>–</w:t>
            </w:r>
            <w:r w:rsidRPr="00622884">
              <w:rPr>
                <w:rFonts w:ascii="Garamond" w:eastAsia="Calibri" w:hAnsi="Garamond" w:cs="Times New Roman"/>
                <w:b/>
                <w:sz w:val="16"/>
                <w:szCs w:val="16"/>
                <w:lang w:eastAsia="en-US" w:bidi="sq-AL"/>
              </w:rPr>
              <w:t>2036)</w:t>
            </w:r>
          </w:p>
        </w:tc>
        <w:tc>
          <w:tcPr>
            <w:tcW w:w="1235" w:type="pct"/>
            <w:tcBorders>
              <w:top w:val="single" w:sz="8" w:space="0" w:color="FFFFFF"/>
              <w:left w:val="single" w:sz="8" w:space="0" w:color="FFFFFF"/>
              <w:bottom w:val="single" w:sz="8" w:space="0" w:color="FFFFFF"/>
              <w:right w:val="single" w:sz="8" w:space="0" w:color="FFFFFF"/>
            </w:tcBorders>
            <w:shd w:val="clear" w:color="auto" w:fill="E0F4F4"/>
            <w:tcMar>
              <w:top w:w="15" w:type="dxa"/>
              <w:left w:w="108" w:type="dxa"/>
              <w:bottom w:w="0" w:type="dxa"/>
              <w:right w:w="108" w:type="dxa"/>
            </w:tcMar>
            <w:vAlign w:val="center"/>
            <w:hideMark/>
          </w:tcPr>
          <w:p w14:paraId="6925838C" w14:textId="77777777" w:rsidR="00622884" w:rsidRPr="00622884" w:rsidRDefault="00622884" w:rsidP="00622884">
            <w:pPr>
              <w:spacing w:after="0" w:line="240" w:lineRule="auto"/>
              <w:jc w:val="center"/>
              <w:rPr>
                <w:rFonts w:ascii="Garamond" w:eastAsia="Calibri" w:hAnsi="Garamond" w:cs="Calibri Light"/>
                <w:sz w:val="16"/>
                <w:szCs w:val="16"/>
                <w:lang w:eastAsia="en-US"/>
              </w:rPr>
            </w:pPr>
            <w:r w:rsidRPr="00622884">
              <w:rPr>
                <w:rFonts w:ascii="Garamond" w:eastAsia="Calibri" w:hAnsi="Garamond" w:cs="Times New Roman"/>
                <w:sz w:val="16"/>
                <w:szCs w:val="16"/>
                <w:lang w:eastAsia="en-US" w:bidi="sq-AL"/>
              </w:rPr>
              <w:t>3.017.008.804</w:t>
            </w:r>
          </w:p>
        </w:tc>
        <w:tc>
          <w:tcPr>
            <w:tcW w:w="549" w:type="pct"/>
            <w:tcBorders>
              <w:top w:val="single" w:sz="8" w:space="0" w:color="FFFFFF"/>
              <w:left w:val="single" w:sz="8" w:space="0" w:color="FFFFFF"/>
              <w:bottom w:val="single" w:sz="8" w:space="0" w:color="FFFFFF"/>
              <w:right w:val="single" w:sz="8" w:space="0" w:color="FFFFFF"/>
            </w:tcBorders>
            <w:shd w:val="clear" w:color="auto" w:fill="E0F4F4"/>
            <w:tcMar>
              <w:top w:w="15" w:type="dxa"/>
              <w:left w:w="108" w:type="dxa"/>
              <w:bottom w:w="0" w:type="dxa"/>
              <w:right w:w="108" w:type="dxa"/>
            </w:tcMar>
            <w:vAlign w:val="center"/>
            <w:hideMark/>
          </w:tcPr>
          <w:p w14:paraId="5F3492CF" w14:textId="77777777" w:rsidR="00622884" w:rsidRPr="00622884" w:rsidRDefault="00622884" w:rsidP="00622884">
            <w:pPr>
              <w:spacing w:after="0" w:line="240" w:lineRule="auto"/>
              <w:jc w:val="center"/>
              <w:rPr>
                <w:rFonts w:ascii="Garamond" w:eastAsia="Calibri" w:hAnsi="Garamond" w:cs="Calibri Light"/>
                <w:sz w:val="16"/>
                <w:szCs w:val="16"/>
                <w:lang w:eastAsia="en-US"/>
              </w:rPr>
            </w:pPr>
            <w:r w:rsidRPr="00622884">
              <w:rPr>
                <w:rFonts w:ascii="Garamond" w:eastAsia="Calibri" w:hAnsi="Garamond" w:cs="Times New Roman"/>
                <w:sz w:val="16"/>
                <w:szCs w:val="16"/>
                <w:lang w:eastAsia="en-US" w:bidi="sq-AL"/>
              </w:rPr>
              <w:t>10</w:t>
            </w:r>
          </w:p>
        </w:tc>
        <w:tc>
          <w:tcPr>
            <w:tcW w:w="1578" w:type="pct"/>
            <w:tcBorders>
              <w:top w:val="single" w:sz="8" w:space="0" w:color="FFFFFF"/>
              <w:left w:val="single" w:sz="8" w:space="0" w:color="FFFFFF"/>
              <w:bottom w:val="single" w:sz="8" w:space="0" w:color="FFFFFF"/>
              <w:right w:val="single" w:sz="8" w:space="0" w:color="FFFFFF"/>
            </w:tcBorders>
            <w:shd w:val="clear" w:color="auto" w:fill="E0F4F4"/>
            <w:tcMar>
              <w:top w:w="15" w:type="dxa"/>
              <w:left w:w="15" w:type="dxa"/>
              <w:bottom w:w="0" w:type="dxa"/>
              <w:right w:w="15" w:type="dxa"/>
            </w:tcMar>
            <w:vAlign w:val="center"/>
            <w:hideMark/>
          </w:tcPr>
          <w:p w14:paraId="7EF10030" w14:textId="77777777" w:rsidR="00622884" w:rsidRPr="00622884" w:rsidRDefault="00622884" w:rsidP="00622884">
            <w:pPr>
              <w:spacing w:after="0" w:line="240" w:lineRule="auto"/>
              <w:jc w:val="center"/>
              <w:rPr>
                <w:rFonts w:ascii="Garamond" w:eastAsia="Calibri" w:hAnsi="Garamond" w:cs="Times New Roman"/>
                <w:sz w:val="16"/>
                <w:szCs w:val="16"/>
                <w:lang w:eastAsia="en-US" w:bidi="sq-AL"/>
              </w:rPr>
            </w:pPr>
            <w:r w:rsidRPr="00622884">
              <w:rPr>
                <w:rFonts w:ascii="Garamond" w:eastAsia="Calibri" w:hAnsi="Garamond" w:cs="Times New Roman"/>
                <w:sz w:val="16"/>
                <w:szCs w:val="16"/>
                <w:lang w:eastAsia="en-US" w:bidi="sq-AL"/>
              </w:rPr>
              <w:t xml:space="preserve">6,649,179,967 </w:t>
            </w:r>
          </w:p>
          <w:p w14:paraId="7EA12E57" w14:textId="77777777" w:rsidR="00622884" w:rsidRPr="00622884" w:rsidRDefault="00622884" w:rsidP="00622884">
            <w:pPr>
              <w:spacing w:after="0" w:line="240" w:lineRule="auto"/>
              <w:jc w:val="center"/>
              <w:rPr>
                <w:rFonts w:ascii="Garamond" w:eastAsia="Calibri" w:hAnsi="Garamond" w:cs="Calibri Light"/>
                <w:sz w:val="16"/>
                <w:szCs w:val="16"/>
                <w:lang w:eastAsia="en-US"/>
              </w:rPr>
            </w:pPr>
            <w:r w:rsidRPr="00622884">
              <w:rPr>
                <w:rFonts w:ascii="Garamond" w:eastAsia="Calibri" w:hAnsi="Garamond" w:cs="Times New Roman"/>
                <w:sz w:val="16"/>
                <w:szCs w:val="16"/>
                <w:lang w:eastAsia="en-US" w:bidi="sq-AL"/>
              </w:rPr>
              <w:t>(disbursimet përfundojnë në vitin 2042)</w:t>
            </w:r>
          </w:p>
        </w:tc>
        <w:tc>
          <w:tcPr>
            <w:tcW w:w="544" w:type="pct"/>
            <w:tcBorders>
              <w:top w:val="single" w:sz="8" w:space="0" w:color="FFFFFF"/>
              <w:left w:val="single" w:sz="8" w:space="0" w:color="FFFFFF"/>
              <w:bottom w:val="single" w:sz="8" w:space="0" w:color="FFFFFF"/>
              <w:right w:val="single" w:sz="8" w:space="0" w:color="FFFFFF"/>
            </w:tcBorders>
            <w:shd w:val="clear" w:color="auto" w:fill="E0F4F4"/>
            <w:vAlign w:val="center"/>
          </w:tcPr>
          <w:p w14:paraId="087BB805" w14:textId="77777777" w:rsidR="00622884" w:rsidRPr="00622884" w:rsidRDefault="00622884" w:rsidP="00622884">
            <w:pPr>
              <w:spacing w:after="0" w:line="240" w:lineRule="auto"/>
              <w:jc w:val="center"/>
              <w:rPr>
                <w:rFonts w:ascii="Garamond" w:eastAsia="Calibri" w:hAnsi="Garamond" w:cs="Calibri Light"/>
                <w:sz w:val="16"/>
                <w:szCs w:val="16"/>
                <w:lang w:eastAsia="en-US"/>
              </w:rPr>
            </w:pPr>
            <w:r w:rsidRPr="00622884">
              <w:rPr>
                <w:rFonts w:ascii="Garamond" w:eastAsia="Calibri" w:hAnsi="Garamond" w:cs="Times New Roman"/>
                <w:sz w:val="16"/>
                <w:szCs w:val="16"/>
                <w:lang w:eastAsia="en-US" w:bidi="sq-AL"/>
              </w:rPr>
              <w:t>68%</w:t>
            </w:r>
          </w:p>
        </w:tc>
      </w:tr>
      <w:tr w:rsidR="00622884" w:rsidRPr="00622884" w14:paraId="47812A69" w14:textId="77777777" w:rsidTr="00622884">
        <w:trPr>
          <w:trHeight w:val="82"/>
        </w:trPr>
        <w:tc>
          <w:tcPr>
            <w:tcW w:w="1094" w:type="pct"/>
            <w:tcBorders>
              <w:top w:val="single" w:sz="8" w:space="0" w:color="FFFFFF"/>
              <w:left w:val="single" w:sz="8" w:space="0" w:color="FFFFFF"/>
              <w:bottom w:val="single" w:sz="8" w:space="0" w:color="FFFFFF"/>
              <w:right w:val="single" w:sz="8" w:space="0" w:color="FFFFFF"/>
            </w:tcBorders>
            <w:shd w:val="clear" w:color="auto" w:fill="215A5C"/>
            <w:tcMar>
              <w:top w:w="15" w:type="dxa"/>
              <w:left w:w="108" w:type="dxa"/>
              <w:bottom w:w="0" w:type="dxa"/>
              <w:right w:w="108" w:type="dxa"/>
            </w:tcMar>
            <w:vAlign w:val="center"/>
            <w:hideMark/>
          </w:tcPr>
          <w:p w14:paraId="3572D4A5" w14:textId="77777777" w:rsidR="00622884" w:rsidRPr="00622884" w:rsidRDefault="00622884" w:rsidP="00622884">
            <w:pPr>
              <w:spacing w:after="0" w:line="240" w:lineRule="auto"/>
              <w:jc w:val="center"/>
              <w:rPr>
                <w:rFonts w:ascii="Garamond" w:eastAsia="Calibri" w:hAnsi="Garamond" w:cs="Calibri Light"/>
                <w:sz w:val="16"/>
                <w:szCs w:val="16"/>
                <w:lang w:eastAsia="en-US"/>
              </w:rPr>
            </w:pPr>
            <w:r w:rsidRPr="00622884">
              <w:rPr>
                <w:rFonts w:ascii="Garamond" w:eastAsia="Calibri" w:hAnsi="Garamond" w:cs="Times New Roman"/>
                <w:b/>
                <w:sz w:val="16"/>
                <w:szCs w:val="16"/>
                <w:lang w:eastAsia="en-US" w:bidi="sq-AL"/>
              </w:rPr>
              <w:t>Afatmesme (2029</w:t>
            </w:r>
            <w:r w:rsidRPr="00622884">
              <w:rPr>
                <w:rFonts w:ascii="Garamond" w:eastAsia="Calibri" w:hAnsi="Garamond" w:cs="Times New Roman"/>
                <w:sz w:val="16"/>
                <w:szCs w:val="16"/>
                <w:lang w:eastAsia="en-US"/>
              </w:rPr>
              <w:t>–</w:t>
            </w:r>
            <w:r w:rsidRPr="00622884">
              <w:rPr>
                <w:rFonts w:ascii="Garamond" w:eastAsia="Calibri" w:hAnsi="Garamond" w:cs="Times New Roman"/>
                <w:b/>
                <w:sz w:val="16"/>
                <w:szCs w:val="16"/>
                <w:lang w:eastAsia="en-US" w:bidi="sq-AL"/>
              </w:rPr>
              <w:t>2032)</w:t>
            </w:r>
          </w:p>
        </w:tc>
        <w:tc>
          <w:tcPr>
            <w:tcW w:w="1235" w:type="pct"/>
            <w:tcBorders>
              <w:top w:val="single" w:sz="8" w:space="0" w:color="FFFFFF"/>
              <w:left w:val="single" w:sz="8" w:space="0" w:color="FFFFFF"/>
              <w:bottom w:val="single" w:sz="8" w:space="0" w:color="FFFFFF"/>
              <w:right w:val="single" w:sz="8" w:space="0" w:color="FFFFFF"/>
            </w:tcBorders>
            <w:shd w:val="clear" w:color="auto" w:fill="FFFFFF"/>
            <w:tcMar>
              <w:top w:w="15" w:type="dxa"/>
              <w:left w:w="108" w:type="dxa"/>
              <w:bottom w:w="0" w:type="dxa"/>
              <w:right w:w="108" w:type="dxa"/>
            </w:tcMar>
            <w:vAlign w:val="center"/>
            <w:hideMark/>
          </w:tcPr>
          <w:p w14:paraId="11548773" w14:textId="77777777" w:rsidR="00622884" w:rsidRPr="00622884" w:rsidRDefault="00622884" w:rsidP="00622884">
            <w:pPr>
              <w:spacing w:after="0" w:line="240" w:lineRule="auto"/>
              <w:jc w:val="center"/>
              <w:rPr>
                <w:rFonts w:ascii="Garamond" w:eastAsia="Calibri" w:hAnsi="Garamond" w:cs="Calibri Light"/>
                <w:sz w:val="16"/>
                <w:szCs w:val="16"/>
                <w:lang w:eastAsia="en-US"/>
              </w:rPr>
            </w:pPr>
            <w:r w:rsidRPr="00622884">
              <w:rPr>
                <w:rFonts w:ascii="Garamond" w:eastAsia="Calibri" w:hAnsi="Garamond" w:cs="Times New Roman"/>
                <w:sz w:val="16"/>
                <w:szCs w:val="16"/>
                <w:lang w:eastAsia="en-US" w:bidi="sq-AL"/>
              </w:rPr>
              <w:t>3.637.373.692</w:t>
            </w:r>
          </w:p>
        </w:tc>
        <w:tc>
          <w:tcPr>
            <w:tcW w:w="549" w:type="pct"/>
            <w:tcBorders>
              <w:top w:val="single" w:sz="8" w:space="0" w:color="FFFFFF"/>
              <w:left w:val="single" w:sz="8" w:space="0" w:color="FFFFFF"/>
              <w:bottom w:val="single" w:sz="8" w:space="0" w:color="FFFFFF"/>
              <w:right w:val="single" w:sz="8" w:space="0" w:color="FFFFFF"/>
            </w:tcBorders>
            <w:shd w:val="clear" w:color="auto" w:fill="FFFFFF"/>
            <w:tcMar>
              <w:top w:w="15" w:type="dxa"/>
              <w:left w:w="108" w:type="dxa"/>
              <w:bottom w:w="0" w:type="dxa"/>
              <w:right w:w="108" w:type="dxa"/>
            </w:tcMar>
            <w:vAlign w:val="center"/>
            <w:hideMark/>
          </w:tcPr>
          <w:p w14:paraId="72DD0185" w14:textId="77777777" w:rsidR="00622884" w:rsidRPr="00622884" w:rsidRDefault="00622884" w:rsidP="00622884">
            <w:pPr>
              <w:spacing w:after="0" w:line="240" w:lineRule="auto"/>
              <w:jc w:val="center"/>
              <w:rPr>
                <w:rFonts w:ascii="Garamond" w:eastAsia="Calibri" w:hAnsi="Garamond" w:cs="Calibri Light"/>
                <w:sz w:val="16"/>
                <w:szCs w:val="16"/>
                <w:lang w:eastAsia="en-US"/>
              </w:rPr>
            </w:pPr>
            <w:r w:rsidRPr="00622884">
              <w:rPr>
                <w:rFonts w:ascii="Garamond" w:eastAsia="Calibri" w:hAnsi="Garamond" w:cs="Times New Roman"/>
                <w:sz w:val="16"/>
                <w:szCs w:val="16"/>
                <w:lang w:eastAsia="en-US" w:bidi="sq-AL"/>
              </w:rPr>
              <w:t>18</w:t>
            </w:r>
          </w:p>
        </w:tc>
        <w:tc>
          <w:tcPr>
            <w:tcW w:w="1578" w:type="pct"/>
            <w:tcBorders>
              <w:top w:val="single" w:sz="8" w:space="0" w:color="FFFFFF"/>
              <w:left w:val="single" w:sz="8" w:space="0" w:color="FFFFFF"/>
              <w:bottom w:val="single" w:sz="8" w:space="0" w:color="FFFFFF"/>
              <w:right w:val="single" w:sz="8" w:space="0" w:color="FFFFFF"/>
            </w:tcBorders>
            <w:shd w:val="clear" w:color="auto" w:fill="FFFFFF"/>
            <w:tcMar>
              <w:top w:w="15" w:type="dxa"/>
              <w:left w:w="108" w:type="dxa"/>
              <w:bottom w:w="0" w:type="dxa"/>
              <w:right w:w="108" w:type="dxa"/>
            </w:tcMar>
            <w:vAlign w:val="center"/>
            <w:hideMark/>
          </w:tcPr>
          <w:p w14:paraId="239034BE" w14:textId="77777777" w:rsidR="00622884" w:rsidRPr="00622884" w:rsidRDefault="00622884" w:rsidP="00622884">
            <w:pPr>
              <w:spacing w:after="0" w:line="240" w:lineRule="auto"/>
              <w:jc w:val="center"/>
              <w:rPr>
                <w:rFonts w:ascii="Garamond" w:eastAsia="Calibri" w:hAnsi="Garamond" w:cs="Calibri Light"/>
                <w:sz w:val="16"/>
                <w:szCs w:val="16"/>
                <w:lang w:eastAsia="en-US"/>
              </w:rPr>
            </w:pPr>
            <w:r w:rsidRPr="00622884">
              <w:rPr>
                <w:rFonts w:ascii="Garamond" w:eastAsia="Calibri" w:hAnsi="Garamond" w:cs="Times New Roman"/>
                <w:sz w:val="16"/>
                <w:szCs w:val="16"/>
                <w:lang w:eastAsia="en-US" w:bidi="sq-AL"/>
              </w:rPr>
              <w:t>2.609.730.508</w:t>
            </w:r>
          </w:p>
        </w:tc>
        <w:tc>
          <w:tcPr>
            <w:tcW w:w="544" w:type="pct"/>
            <w:tcBorders>
              <w:top w:val="single" w:sz="8" w:space="0" w:color="FFFFFF"/>
              <w:left w:val="single" w:sz="8" w:space="0" w:color="FFFFFF"/>
              <w:bottom w:val="single" w:sz="8" w:space="0" w:color="FFFFFF"/>
              <w:right w:val="single" w:sz="8" w:space="0" w:color="FFFFFF"/>
            </w:tcBorders>
            <w:shd w:val="clear" w:color="auto" w:fill="FFFFFF"/>
            <w:vAlign w:val="center"/>
          </w:tcPr>
          <w:p w14:paraId="6E442660" w14:textId="77777777" w:rsidR="00622884" w:rsidRPr="00622884" w:rsidRDefault="00622884" w:rsidP="00622884">
            <w:pPr>
              <w:spacing w:after="0" w:line="240" w:lineRule="auto"/>
              <w:jc w:val="center"/>
              <w:rPr>
                <w:rFonts w:ascii="Garamond" w:eastAsia="Calibri" w:hAnsi="Garamond" w:cs="Calibri Light"/>
                <w:sz w:val="16"/>
                <w:szCs w:val="16"/>
                <w:lang w:eastAsia="en-US"/>
              </w:rPr>
            </w:pPr>
            <w:r w:rsidRPr="00622884">
              <w:rPr>
                <w:rFonts w:ascii="Garamond" w:eastAsia="Calibri" w:hAnsi="Garamond" w:cs="Times New Roman"/>
                <w:sz w:val="16"/>
                <w:szCs w:val="16"/>
                <w:lang w:eastAsia="en-US" w:bidi="sq-AL"/>
              </w:rPr>
              <w:t>27%</w:t>
            </w:r>
          </w:p>
        </w:tc>
      </w:tr>
      <w:tr w:rsidR="00622884" w:rsidRPr="00622884" w14:paraId="554ACB44" w14:textId="77777777" w:rsidTr="00622884">
        <w:tc>
          <w:tcPr>
            <w:tcW w:w="1094" w:type="pct"/>
            <w:tcBorders>
              <w:top w:val="single" w:sz="8" w:space="0" w:color="FFFFFF"/>
              <w:left w:val="single" w:sz="8" w:space="0" w:color="FFFFFF"/>
              <w:bottom w:val="single" w:sz="8" w:space="0" w:color="FFFFFF"/>
              <w:right w:val="single" w:sz="8" w:space="0" w:color="FFFFFF"/>
            </w:tcBorders>
            <w:shd w:val="clear" w:color="auto" w:fill="215A5C"/>
            <w:tcMar>
              <w:top w:w="15" w:type="dxa"/>
              <w:left w:w="108" w:type="dxa"/>
              <w:bottom w:w="0" w:type="dxa"/>
              <w:right w:w="108" w:type="dxa"/>
            </w:tcMar>
            <w:vAlign w:val="center"/>
            <w:hideMark/>
          </w:tcPr>
          <w:p w14:paraId="4144C999" w14:textId="77777777" w:rsidR="00622884" w:rsidRPr="00622884" w:rsidRDefault="00622884" w:rsidP="00622884">
            <w:pPr>
              <w:spacing w:after="0" w:line="240" w:lineRule="auto"/>
              <w:jc w:val="center"/>
              <w:rPr>
                <w:rFonts w:ascii="Garamond" w:eastAsia="Calibri" w:hAnsi="Garamond" w:cs="Calibri Light"/>
                <w:sz w:val="16"/>
                <w:szCs w:val="16"/>
                <w:lang w:eastAsia="en-US"/>
              </w:rPr>
            </w:pPr>
            <w:r w:rsidRPr="00622884">
              <w:rPr>
                <w:rFonts w:ascii="Garamond" w:eastAsia="Calibri" w:hAnsi="Garamond" w:cs="Times New Roman"/>
                <w:b/>
                <w:sz w:val="16"/>
                <w:szCs w:val="16"/>
                <w:lang w:eastAsia="en-US" w:bidi="sq-AL"/>
              </w:rPr>
              <w:t>Afatshkurtër (2026</w:t>
            </w:r>
            <w:r w:rsidRPr="00622884">
              <w:rPr>
                <w:rFonts w:ascii="Garamond" w:eastAsia="Calibri" w:hAnsi="Garamond" w:cs="Times New Roman"/>
                <w:sz w:val="16"/>
                <w:szCs w:val="16"/>
                <w:lang w:eastAsia="en-US"/>
              </w:rPr>
              <w:t>–</w:t>
            </w:r>
            <w:r w:rsidRPr="00622884">
              <w:rPr>
                <w:rFonts w:ascii="Garamond" w:eastAsia="Calibri" w:hAnsi="Garamond" w:cs="Times New Roman"/>
                <w:b/>
                <w:sz w:val="16"/>
                <w:szCs w:val="16"/>
                <w:lang w:eastAsia="en-US" w:bidi="sq-AL"/>
              </w:rPr>
              <w:t>2028)</w:t>
            </w:r>
          </w:p>
        </w:tc>
        <w:tc>
          <w:tcPr>
            <w:tcW w:w="1235" w:type="pct"/>
            <w:tcBorders>
              <w:top w:val="single" w:sz="8" w:space="0" w:color="FFFFFF"/>
              <w:left w:val="single" w:sz="8" w:space="0" w:color="FFFFFF"/>
              <w:bottom w:val="single" w:sz="8" w:space="0" w:color="FFFFFF"/>
              <w:right w:val="single" w:sz="8" w:space="0" w:color="FFFFFF"/>
            </w:tcBorders>
            <w:shd w:val="clear" w:color="auto" w:fill="E0F4F4"/>
            <w:tcMar>
              <w:top w:w="15" w:type="dxa"/>
              <w:left w:w="108" w:type="dxa"/>
              <w:bottom w:w="0" w:type="dxa"/>
              <w:right w:w="108" w:type="dxa"/>
            </w:tcMar>
            <w:vAlign w:val="center"/>
            <w:hideMark/>
          </w:tcPr>
          <w:p w14:paraId="06F6C90E" w14:textId="77777777" w:rsidR="00622884" w:rsidRPr="00622884" w:rsidRDefault="00622884" w:rsidP="00622884">
            <w:pPr>
              <w:spacing w:after="0" w:line="240" w:lineRule="auto"/>
              <w:jc w:val="center"/>
              <w:rPr>
                <w:rFonts w:ascii="Garamond" w:eastAsia="Calibri" w:hAnsi="Garamond" w:cs="Calibri Light"/>
                <w:sz w:val="16"/>
                <w:szCs w:val="16"/>
                <w:lang w:eastAsia="en-US"/>
              </w:rPr>
            </w:pPr>
            <w:r w:rsidRPr="00622884">
              <w:rPr>
                <w:rFonts w:ascii="Garamond" w:eastAsia="Calibri" w:hAnsi="Garamond" w:cs="Times New Roman"/>
                <w:sz w:val="16"/>
                <w:szCs w:val="16"/>
                <w:lang w:eastAsia="en-US" w:bidi="sq-AL"/>
              </w:rPr>
              <w:t>3.146.314.481</w:t>
            </w:r>
          </w:p>
        </w:tc>
        <w:tc>
          <w:tcPr>
            <w:tcW w:w="549" w:type="pct"/>
            <w:tcBorders>
              <w:top w:val="single" w:sz="8" w:space="0" w:color="FFFFFF"/>
              <w:left w:val="single" w:sz="8" w:space="0" w:color="FFFFFF"/>
              <w:bottom w:val="single" w:sz="8" w:space="0" w:color="FFFFFF"/>
              <w:right w:val="single" w:sz="8" w:space="0" w:color="FFFFFF"/>
            </w:tcBorders>
            <w:shd w:val="clear" w:color="auto" w:fill="E0F4F4"/>
            <w:tcMar>
              <w:top w:w="15" w:type="dxa"/>
              <w:left w:w="108" w:type="dxa"/>
              <w:bottom w:w="0" w:type="dxa"/>
              <w:right w:w="108" w:type="dxa"/>
            </w:tcMar>
            <w:vAlign w:val="center"/>
            <w:hideMark/>
          </w:tcPr>
          <w:p w14:paraId="448BC2BA" w14:textId="77777777" w:rsidR="00622884" w:rsidRPr="00622884" w:rsidRDefault="00622884" w:rsidP="00622884">
            <w:pPr>
              <w:spacing w:after="0" w:line="240" w:lineRule="auto"/>
              <w:jc w:val="center"/>
              <w:rPr>
                <w:rFonts w:ascii="Garamond" w:eastAsia="Calibri" w:hAnsi="Garamond" w:cs="Calibri Light"/>
                <w:sz w:val="16"/>
                <w:szCs w:val="16"/>
                <w:lang w:eastAsia="en-US"/>
              </w:rPr>
            </w:pPr>
            <w:r w:rsidRPr="00622884">
              <w:rPr>
                <w:rFonts w:ascii="Garamond" w:eastAsia="Calibri" w:hAnsi="Garamond" w:cs="Times New Roman"/>
                <w:sz w:val="16"/>
                <w:szCs w:val="16"/>
                <w:lang w:eastAsia="en-US" w:bidi="sq-AL"/>
              </w:rPr>
              <w:t>38</w:t>
            </w:r>
          </w:p>
        </w:tc>
        <w:tc>
          <w:tcPr>
            <w:tcW w:w="1578" w:type="pct"/>
            <w:tcBorders>
              <w:top w:val="single" w:sz="8" w:space="0" w:color="FFFFFF"/>
              <w:left w:val="single" w:sz="8" w:space="0" w:color="FFFFFF"/>
              <w:bottom w:val="single" w:sz="8" w:space="0" w:color="FFFFFF"/>
              <w:right w:val="single" w:sz="8" w:space="0" w:color="FFFFFF"/>
            </w:tcBorders>
            <w:shd w:val="clear" w:color="auto" w:fill="E0F4F4"/>
            <w:tcMar>
              <w:top w:w="15" w:type="dxa"/>
              <w:left w:w="108" w:type="dxa"/>
              <w:bottom w:w="0" w:type="dxa"/>
              <w:right w:w="108" w:type="dxa"/>
            </w:tcMar>
            <w:vAlign w:val="center"/>
            <w:hideMark/>
          </w:tcPr>
          <w:p w14:paraId="40BA2C97" w14:textId="77777777" w:rsidR="00622884" w:rsidRPr="00622884" w:rsidRDefault="00622884" w:rsidP="00622884">
            <w:pPr>
              <w:spacing w:after="0" w:line="240" w:lineRule="auto"/>
              <w:jc w:val="center"/>
              <w:rPr>
                <w:rFonts w:ascii="Garamond" w:eastAsia="Calibri" w:hAnsi="Garamond" w:cs="Calibri Light"/>
                <w:sz w:val="16"/>
                <w:szCs w:val="16"/>
                <w:lang w:eastAsia="en-US"/>
              </w:rPr>
            </w:pPr>
            <w:r w:rsidRPr="00622884">
              <w:rPr>
                <w:rFonts w:ascii="Garamond" w:eastAsia="Calibri" w:hAnsi="Garamond" w:cs="Times New Roman"/>
                <w:sz w:val="16"/>
                <w:szCs w:val="16"/>
                <w:lang w:eastAsia="en-US" w:bidi="sq-AL"/>
              </w:rPr>
              <w:t>541.786.502</w:t>
            </w:r>
          </w:p>
        </w:tc>
        <w:tc>
          <w:tcPr>
            <w:tcW w:w="544" w:type="pct"/>
            <w:tcBorders>
              <w:top w:val="single" w:sz="8" w:space="0" w:color="FFFFFF"/>
              <w:left w:val="single" w:sz="8" w:space="0" w:color="FFFFFF"/>
              <w:bottom w:val="single" w:sz="8" w:space="0" w:color="FFFFFF"/>
              <w:right w:val="single" w:sz="8" w:space="0" w:color="FFFFFF"/>
            </w:tcBorders>
            <w:shd w:val="clear" w:color="auto" w:fill="E0F4F4"/>
            <w:vAlign w:val="center"/>
          </w:tcPr>
          <w:p w14:paraId="414D8096" w14:textId="77777777" w:rsidR="00622884" w:rsidRPr="00622884" w:rsidRDefault="00622884" w:rsidP="00622884">
            <w:pPr>
              <w:spacing w:after="0" w:line="240" w:lineRule="auto"/>
              <w:jc w:val="center"/>
              <w:rPr>
                <w:rFonts w:ascii="Garamond" w:eastAsia="Calibri" w:hAnsi="Garamond" w:cs="Calibri Light"/>
                <w:sz w:val="16"/>
                <w:szCs w:val="16"/>
                <w:lang w:eastAsia="en-US"/>
              </w:rPr>
            </w:pPr>
            <w:r w:rsidRPr="00622884">
              <w:rPr>
                <w:rFonts w:ascii="Garamond" w:eastAsia="Calibri" w:hAnsi="Garamond" w:cs="Times New Roman"/>
                <w:sz w:val="16"/>
                <w:szCs w:val="16"/>
                <w:lang w:eastAsia="en-US" w:bidi="sq-AL"/>
              </w:rPr>
              <w:t>6%</w:t>
            </w:r>
          </w:p>
        </w:tc>
      </w:tr>
      <w:tr w:rsidR="00622884" w:rsidRPr="00622884" w14:paraId="2DB8CE12" w14:textId="77777777" w:rsidTr="00622884">
        <w:trPr>
          <w:trHeight w:val="28"/>
        </w:trPr>
        <w:tc>
          <w:tcPr>
            <w:tcW w:w="1094" w:type="pct"/>
            <w:tcBorders>
              <w:top w:val="single" w:sz="8" w:space="0" w:color="FFFFFF"/>
              <w:left w:val="single" w:sz="8" w:space="0" w:color="FFFFFF"/>
              <w:bottom w:val="single" w:sz="8" w:space="0" w:color="FFFFFF"/>
              <w:right w:val="single" w:sz="8" w:space="0" w:color="FFFFFF"/>
            </w:tcBorders>
            <w:shd w:val="clear" w:color="auto" w:fill="215A5C"/>
            <w:tcMar>
              <w:top w:w="15" w:type="dxa"/>
              <w:left w:w="108" w:type="dxa"/>
              <w:bottom w:w="0" w:type="dxa"/>
              <w:right w:w="108" w:type="dxa"/>
            </w:tcMar>
            <w:vAlign w:val="center"/>
            <w:hideMark/>
          </w:tcPr>
          <w:p w14:paraId="3164C233" w14:textId="77777777" w:rsidR="00622884" w:rsidRPr="00622884" w:rsidRDefault="00622884" w:rsidP="00622884">
            <w:pPr>
              <w:spacing w:after="0" w:line="240" w:lineRule="auto"/>
              <w:jc w:val="center"/>
              <w:rPr>
                <w:rFonts w:ascii="Garamond" w:eastAsia="Calibri" w:hAnsi="Garamond" w:cs="Calibri Light"/>
                <w:sz w:val="16"/>
                <w:szCs w:val="16"/>
                <w:lang w:eastAsia="en-US"/>
              </w:rPr>
            </w:pPr>
            <w:r w:rsidRPr="00622884">
              <w:rPr>
                <w:rFonts w:ascii="Garamond" w:eastAsia="Calibri" w:hAnsi="Garamond" w:cs="Times New Roman"/>
                <w:b/>
                <w:sz w:val="16"/>
                <w:szCs w:val="16"/>
                <w:lang w:eastAsia="en-US" w:bidi="sq-AL"/>
              </w:rPr>
              <w:t>Totali i përllogaritur</w:t>
            </w:r>
          </w:p>
        </w:tc>
        <w:tc>
          <w:tcPr>
            <w:tcW w:w="1235" w:type="pct"/>
            <w:tcBorders>
              <w:top w:val="single" w:sz="8" w:space="0" w:color="FFFFFF"/>
              <w:left w:val="single" w:sz="8" w:space="0" w:color="FFFFFF"/>
              <w:bottom w:val="single" w:sz="8" w:space="0" w:color="FFFFFF"/>
              <w:right w:val="single" w:sz="8" w:space="0" w:color="FFFFFF"/>
            </w:tcBorders>
            <w:shd w:val="clear" w:color="auto" w:fill="FFFFFF"/>
            <w:tcMar>
              <w:top w:w="15" w:type="dxa"/>
              <w:left w:w="108" w:type="dxa"/>
              <w:bottom w:w="0" w:type="dxa"/>
              <w:right w:w="108" w:type="dxa"/>
            </w:tcMar>
            <w:vAlign w:val="center"/>
            <w:hideMark/>
          </w:tcPr>
          <w:p w14:paraId="017AF7D9" w14:textId="77777777" w:rsidR="00622884" w:rsidRPr="00622884" w:rsidRDefault="00622884" w:rsidP="00622884">
            <w:pPr>
              <w:spacing w:after="0" w:line="240" w:lineRule="auto"/>
              <w:jc w:val="center"/>
              <w:rPr>
                <w:rFonts w:ascii="Garamond" w:eastAsia="Calibri" w:hAnsi="Garamond" w:cs="Calibri Light"/>
                <w:b/>
                <w:bCs/>
                <w:sz w:val="16"/>
                <w:szCs w:val="16"/>
                <w:lang w:eastAsia="en-US"/>
              </w:rPr>
            </w:pPr>
            <w:r w:rsidRPr="00622884">
              <w:rPr>
                <w:rFonts w:ascii="Garamond" w:eastAsia="Calibri" w:hAnsi="Garamond" w:cs="Times New Roman"/>
                <w:b/>
                <w:sz w:val="16"/>
                <w:szCs w:val="16"/>
                <w:lang w:eastAsia="en-US" w:bidi="sq-AL"/>
              </w:rPr>
              <w:t>9.800.696.977</w:t>
            </w:r>
          </w:p>
        </w:tc>
        <w:tc>
          <w:tcPr>
            <w:tcW w:w="549" w:type="pct"/>
            <w:tcBorders>
              <w:top w:val="single" w:sz="8" w:space="0" w:color="FFFFFF"/>
              <w:left w:val="single" w:sz="8" w:space="0" w:color="FFFFFF"/>
              <w:bottom w:val="single" w:sz="8" w:space="0" w:color="FFFFFF"/>
              <w:right w:val="single" w:sz="8" w:space="0" w:color="FFFFFF"/>
            </w:tcBorders>
            <w:shd w:val="clear" w:color="auto" w:fill="FFFFFF"/>
            <w:tcMar>
              <w:top w:w="15" w:type="dxa"/>
              <w:left w:w="108" w:type="dxa"/>
              <w:bottom w:w="0" w:type="dxa"/>
              <w:right w:w="108" w:type="dxa"/>
            </w:tcMar>
            <w:vAlign w:val="center"/>
            <w:hideMark/>
          </w:tcPr>
          <w:p w14:paraId="6582E0B9" w14:textId="77777777" w:rsidR="00622884" w:rsidRPr="00622884" w:rsidRDefault="00622884" w:rsidP="00622884">
            <w:pPr>
              <w:spacing w:after="0" w:line="240" w:lineRule="auto"/>
              <w:jc w:val="center"/>
              <w:rPr>
                <w:rFonts w:ascii="Garamond" w:eastAsia="Calibri" w:hAnsi="Garamond" w:cs="Calibri Light"/>
                <w:b/>
                <w:bCs/>
                <w:sz w:val="16"/>
                <w:szCs w:val="16"/>
                <w:lang w:eastAsia="en-US"/>
              </w:rPr>
            </w:pPr>
            <w:r w:rsidRPr="00622884">
              <w:rPr>
                <w:rFonts w:ascii="Garamond" w:eastAsia="Calibri" w:hAnsi="Garamond" w:cs="Times New Roman"/>
                <w:b/>
                <w:sz w:val="16"/>
                <w:szCs w:val="16"/>
                <w:lang w:eastAsia="en-US" w:bidi="sq-AL"/>
              </w:rPr>
              <w:t>66</w:t>
            </w:r>
          </w:p>
        </w:tc>
        <w:tc>
          <w:tcPr>
            <w:tcW w:w="1578" w:type="pct"/>
            <w:tcBorders>
              <w:top w:val="single" w:sz="8" w:space="0" w:color="FFFFFF"/>
              <w:left w:val="single" w:sz="8" w:space="0" w:color="FFFFFF"/>
              <w:bottom w:val="single" w:sz="8" w:space="0" w:color="FFFFFF"/>
              <w:right w:val="single" w:sz="8" w:space="0" w:color="FFFFFF"/>
            </w:tcBorders>
            <w:shd w:val="clear" w:color="auto" w:fill="FFFFFF"/>
            <w:tcMar>
              <w:top w:w="15" w:type="dxa"/>
              <w:left w:w="108" w:type="dxa"/>
              <w:bottom w:w="0" w:type="dxa"/>
              <w:right w:w="108" w:type="dxa"/>
            </w:tcMar>
            <w:vAlign w:val="center"/>
            <w:hideMark/>
          </w:tcPr>
          <w:p w14:paraId="68F40F71" w14:textId="77777777" w:rsidR="00622884" w:rsidRPr="00622884" w:rsidRDefault="00622884" w:rsidP="00622884">
            <w:pPr>
              <w:spacing w:after="0" w:line="240" w:lineRule="auto"/>
              <w:jc w:val="center"/>
              <w:rPr>
                <w:rFonts w:ascii="Garamond" w:eastAsia="Calibri" w:hAnsi="Garamond" w:cs="Calibri Light"/>
                <w:b/>
                <w:bCs/>
                <w:sz w:val="16"/>
                <w:szCs w:val="16"/>
                <w:lang w:eastAsia="en-US"/>
              </w:rPr>
            </w:pPr>
            <w:r w:rsidRPr="00622884">
              <w:rPr>
                <w:rFonts w:ascii="Garamond" w:eastAsia="Calibri" w:hAnsi="Garamond" w:cs="Times New Roman"/>
                <w:b/>
                <w:sz w:val="16"/>
                <w:szCs w:val="16"/>
                <w:lang w:eastAsia="en-US" w:bidi="sq-AL"/>
              </w:rPr>
              <w:t>9.800.696.977</w:t>
            </w:r>
          </w:p>
        </w:tc>
        <w:tc>
          <w:tcPr>
            <w:tcW w:w="544" w:type="pct"/>
            <w:tcBorders>
              <w:top w:val="single" w:sz="8" w:space="0" w:color="FFFFFF"/>
              <w:left w:val="single" w:sz="8" w:space="0" w:color="FFFFFF"/>
              <w:bottom w:val="single" w:sz="8" w:space="0" w:color="FFFFFF"/>
              <w:right w:val="single" w:sz="8" w:space="0" w:color="FFFFFF"/>
            </w:tcBorders>
            <w:shd w:val="clear" w:color="auto" w:fill="FFFFFF"/>
            <w:vAlign w:val="center"/>
          </w:tcPr>
          <w:p w14:paraId="76015F7A" w14:textId="77777777" w:rsidR="00622884" w:rsidRPr="00622884" w:rsidRDefault="00622884" w:rsidP="00622884">
            <w:pPr>
              <w:spacing w:after="0" w:line="240" w:lineRule="auto"/>
              <w:jc w:val="center"/>
              <w:rPr>
                <w:rFonts w:ascii="Garamond" w:eastAsia="Calibri" w:hAnsi="Garamond" w:cs="Calibri Light"/>
                <w:b/>
                <w:bCs/>
                <w:sz w:val="16"/>
                <w:szCs w:val="16"/>
                <w:lang w:eastAsia="en-US"/>
              </w:rPr>
            </w:pPr>
            <w:r w:rsidRPr="00622884">
              <w:rPr>
                <w:rFonts w:ascii="Garamond" w:eastAsia="Calibri" w:hAnsi="Garamond" w:cs="Times New Roman"/>
                <w:b/>
                <w:sz w:val="16"/>
                <w:szCs w:val="16"/>
                <w:lang w:eastAsia="en-US" w:bidi="sq-AL"/>
              </w:rPr>
              <w:t>100%</w:t>
            </w:r>
          </w:p>
        </w:tc>
      </w:tr>
    </w:tbl>
    <w:p w14:paraId="25C66108" w14:textId="77777777" w:rsidR="00622884" w:rsidRPr="00622884" w:rsidRDefault="00622884" w:rsidP="00622884">
      <w:pPr>
        <w:spacing w:after="0" w:line="240" w:lineRule="auto"/>
        <w:ind w:firstLine="284"/>
        <w:rPr>
          <w:rFonts w:ascii="Garamond" w:eastAsia="Calibri" w:hAnsi="Garamond" w:cs="Times New Roman"/>
          <w:sz w:val="24"/>
          <w:szCs w:val="24"/>
          <w:lang w:eastAsia="en-US" w:bidi="sq-AL"/>
        </w:rPr>
      </w:pPr>
    </w:p>
    <w:p w14:paraId="4685373D" w14:textId="77777777" w:rsidR="00622884" w:rsidRPr="00622884" w:rsidRDefault="00622884" w:rsidP="00622884">
      <w:pPr>
        <w:spacing w:after="0" w:line="240" w:lineRule="auto"/>
        <w:ind w:firstLine="284"/>
        <w:rPr>
          <w:rFonts w:ascii="Garamond" w:eastAsia="SimSun" w:hAnsi="Garamond" w:cs="Calibri Light"/>
          <w:sz w:val="24"/>
          <w:szCs w:val="24"/>
          <w:lang w:eastAsia="en-US"/>
        </w:rPr>
      </w:pPr>
      <w:r w:rsidRPr="00622884">
        <w:rPr>
          <w:rFonts w:ascii="Garamond" w:eastAsia="Calibri" w:hAnsi="Garamond" w:cs="Times New Roman"/>
          <w:sz w:val="24"/>
          <w:szCs w:val="24"/>
          <w:lang w:eastAsia="en-US" w:bidi="sq-AL"/>
        </w:rPr>
        <w:t>Tabela 14 paraqet ndarjet e përllogaritura të buxhetit dhe shpenzimet aktuale për periudhën 2026–2036. Ndonëse angazhimet buxhetore janë shpërndarë në mënyrë të barabartë përgjatë periudhës dhjetëvjeçare të planit, shumica e veprimeve afatshkurtra (2026–2028) fillojnë herët sepse ato përfshijnë “masa të buta”, ndërhyrje që janë më të lehta për t’u përgatitur, janë më pak të kushtueshme dhe ndihmojnë në uljen e shpejtë të cenueshmërisë në të gjithë sektorët.</w:t>
      </w:r>
    </w:p>
    <w:p w14:paraId="7FA4F600" w14:textId="77777777" w:rsidR="00622884" w:rsidRPr="00622884" w:rsidRDefault="00622884" w:rsidP="00622884">
      <w:pPr>
        <w:spacing w:after="0" w:line="240" w:lineRule="auto"/>
        <w:ind w:firstLine="284"/>
        <w:rPr>
          <w:rFonts w:ascii="Garamond" w:eastAsia="SimSun" w:hAnsi="Garamond" w:cs="Calibri Light"/>
          <w:sz w:val="24"/>
          <w:szCs w:val="24"/>
          <w:lang w:eastAsia="en-US"/>
        </w:rPr>
      </w:pPr>
      <w:r w:rsidRPr="00622884">
        <w:rPr>
          <w:rFonts w:ascii="Garamond" w:eastAsia="Calibri" w:hAnsi="Garamond" w:cs="Times New Roman"/>
          <w:sz w:val="24"/>
          <w:szCs w:val="24"/>
          <w:lang w:eastAsia="en-US" w:bidi="sq-AL"/>
        </w:rPr>
        <w:t xml:space="preserve">Ndërsa </w:t>
      </w:r>
      <w:r w:rsidRPr="00622884">
        <w:rPr>
          <w:rFonts w:ascii="Garamond" w:eastAsia="Calibri" w:hAnsi="Garamond" w:cs="Times New Roman"/>
          <w:b/>
          <w:sz w:val="24"/>
          <w:szCs w:val="24"/>
          <w:lang w:eastAsia="en-US" w:bidi="sq-AL"/>
        </w:rPr>
        <w:t>projektet “e gjelbra” dhe “gri” të infrastrukturës</w:t>
      </w:r>
      <w:r w:rsidRPr="00622884">
        <w:rPr>
          <w:rFonts w:ascii="Garamond" w:eastAsia="Calibri" w:hAnsi="Garamond" w:cs="Times New Roman"/>
          <w:sz w:val="24"/>
          <w:szCs w:val="24"/>
          <w:lang w:eastAsia="en-US" w:bidi="sq-AL"/>
        </w:rPr>
        <w:t xml:space="preserve"> në përgjithësi fillojnë më vonë (janë afatmesme dhe afatgjata) për shkak të përgatitjes së tyre më të gjatë dhe nevojave më të larta për burime.</w:t>
      </w:r>
    </w:p>
    <w:p w14:paraId="767E4BD8" w14:textId="77777777" w:rsidR="00622884" w:rsidRPr="00622884" w:rsidRDefault="00622884" w:rsidP="00622884">
      <w:pPr>
        <w:spacing w:after="0" w:line="240" w:lineRule="auto"/>
        <w:ind w:firstLine="284"/>
        <w:rPr>
          <w:rFonts w:ascii="Garamond" w:eastAsia="SimSun" w:hAnsi="Garamond" w:cs="Calibri Light"/>
          <w:sz w:val="24"/>
          <w:szCs w:val="24"/>
          <w:lang w:eastAsia="en-US"/>
        </w:rPr>
      </w:pPr>
      <w:r w:rsidRPr="00622884">
        <w:rPr>
          <w:rFonts w:ascii="Garamond" w:eastAsia="Calibri" w:hAnsi="Garamond" w:cs="Times New Roman"/>
          <w:sz w:val="24"/>
          <w:szCs w:val="24"/>
          <w:lang w:eastAsia="en-US" w:bidi="sq-AL"/>
        </w:rPr>
        <w:t>Gjithashtu, në tabelë merret parasysh koha e shpërndarjes së buxhetit, e cila mund të shtrihet përtej periudhës zyrtare të Planit, pasi shumë masa zgjasin nga 2 deri në 10 vjet. Për shembull, për një projekt që fillon në vitin 2028 dhe zgjat dhjetë vjet fondet miratohen herët, por disbursimet shpërndahen nga periudha e hershme, e mesme dhe e vonë, deri në vitin 2042, kur pritet të përfundojnë projektet përfundimtare. Pas vitit 2036, nuk fillon asnjë masë e re dhe ky është fundi i ciklit të planifikimit.</w:t>
      </w:r>
    </w:p>
    <w:p w14:paraId="66308265" w14:textId="77777777" w:rsidR="00622884" w:rsidRPr="00622884" w:rsidRDefault="00622884" w:rsidP="00622884">
      <w:pPr>
        <w:spacing w:after="0" w:line="240" w:lineRule="auto"/>
        <w:ind w:firstLine="284"/>
        <w:rPr>
          <w:rFonts w:ascii="Garamond" w:eastAsia="SimSun" w:hAnsi="Garamond" w:cs="Calibri Light"/>
          <w:sz w:val="24"/>
          <w:szCs w:val="24"/>
          <w:lang w:eastAsia="en-US"/>
        </w:rPr>
      </w:pPr>
      <w:r w:rsidRPr="00622884">
        <w:rPr>
          <w:rFonts w:ascii="Garamond" w:eastAsia="Calibri" w:hAnsi="Garamond" w:cs="Times New Roman"/>
          <w:sz w:val="24"/>
          <w:szCs w:val="24"/>
          <w:lang w:eastAsia="en-US" w:bidi="sq-AL"/>
        </w:rPr>
        <w:t xml:space="preserve">Sa i përket totalit të </w:t>
      </w:r>
      <w:r w:rsidRPr="00622884">
        <w:rPr>
          <w:rFonts w:ascii="Garamond" w:eastAsia="Calibri" w:hAnsi="Garamond" w:cs="Times New Roman"/>
          <w:b/>
          <w:sz w:val="24"/>
          <w:szCs w:val="24"/>
          <w:lang w:eastAsia="en-US" w:bidi="sq-AL"/>
        </w:rPr>
        <w:t>disbursimeve</w:t>
      </w:r>
      <w:r w:rsidRPr="00622884">
        <w:rPr>
          <w:rFonts w:ascii="Garamond" w:eastAsia="Calibri" w:hAnsi="Garamond" w:cs="Times New Roman"/>
          <w:sz w:val="24"/>
          <w:szCs w:val="24"/>
          <w:lang w:eastAsia="en-US" w:bidi="sq-AL"/>
        </w:rPr>
        <w:t>, ato shpërndahen në kohë si më poshtë:</w:t>
      </w:r>
    </w:p>
    <w:p w14:paraId="6E07504E" w14:textId="77777777" w:rsidR="00622884" w:rsidRPr="00622884" w:rsidRDefault="00622884" w:rsidP="00622884">
      <w:pPr>
        <w:tabs>
          <w:tab w:val="left" w:pos="5325"/>
        </w:tabs>
        <w:spacing w:after="0" w:line="240" w:lineRule="auto"/>
        <w:ind w:firstLine="284"/>
        <w:rPr>
          <w:rFonts w:ascii="Garamond" w:eastAsia="SimSun" w:hAnsi="Garamond" w:cs="Calibri Light"/>
          <w:sz w:val="24"/>
          <w:szCs w:val="24"/>
          <w:lang w:eastAsia="en-US"/>
        </w:rPr>
      </w:pPr>
      <w:r w:rsidRPr="00622884">
        <w:rPr>
          <w:rFonts w:ascii="Garamond" w:eastAsia="Calibri" w:hAnsi="Garamond" w:cs="Times New Roman"/>
          <w:sz w:val="24"/>
          <w:szCs w:val="24"/>
          <w:lang w:eastAsia="en-US" w:bidi="sq-AL"/>
        </w:rPr>
        <w:t>-</w:t>
      </w:r>
      <w:r w:rsidRPr="00622884">
        <w:rPr>
          <w:rFonts w:ascii="Garamond" w:eastAsia="Calibri" w:hAnsi="Garamond" w:cs="Times New Roman"/>
          <w:b/>
          <w:sz w:val="24"/>
          <w:szCs w:val="24"/>
          <w:lang w:eastAsia="en-US" w:bidi="sq-AL"/>
        </w:rPr>
        <w:t xml:space="preserve"> Periudha afatgjatë: 68% e fondeve të përgjithshme</w:t>
      </w:r>
      <w:r w:rsidRPr="00622884">
        <w:rPr>
          <w:rFonts w:ascii="Garamond" w:eastAsia="Calibri" w:hAnsi="Garamond" w:cs="Times New Roman"/>
          <w:sz w:val="24"/>
          <w:szCs w:val="24"/>
          <w:lang w:eastAsia="en-US" w:bidi="sq-AL"/>
        </w:rPr>
        <w:t xml:space="preserve"> (≈ 6.65 miliardë dollarë amerikanë), që mbulojnë projekte që kanë filluar ose që vijojnë në këtë fazë;</w:t>
      </w:r>
    </w:p>
    <w:p w14:paraId="29A0A497" w14:textId="77777777" w:rsidR="00622884" w:rsidRPr="00622884" w:rsidRDefault="00622884" w:rsidP="00622884">
      <w:pPr>
        <w:tabs>
          <w:tab w:val="left" w:pos="5325"/>
        </w:tabs>
        <w:spacing w:after="0" w:line="240" w:lineRule="auto"/>
        <w:ind w:firstLine="284"/>
        <w:rPr>
          <w:rFonts w:ascii="Garamond" w:eastAsia="SimSun" w:hAnsi="Garamond" w:cs="Calibri Light"/>
          <w:sz w:val="24"/>
          <w:szCs w:val="24"/>
          <w:lang w:eastAsia="en-US"/>
        </w:rPr>
      </w:pPr>
      <w:r w:rsidRPr="00622884">
        <w:rPr>
          <w:rFonts w:ascii="Garamond" w:eastAsia="Calibri" w:hAnsi="Garamond" w:cs="Times New Roman"/>
          <w:sz w:val="24"/>
          <w:szCs w:val="24"/>
          <w:lang w:eastAsia="en-US" w:bidi="sq-AL"/>
        </w:rPr>
        <w:t>-</w:t>
      </w:r>
      <w:r w:rsidRPr="00622884">
        <w:rPr>
          <w:rFonts w:ascii="Garamond" w:eastAsia="Calibri" w:hAnsi="Garamond" w:cs="Times New Roman"/>
          <w:b/>
          <w:sz w:val="24"/>
          <w:szCs w:val="24"/>
          <w:lang w:eastAsia="en-US" w:bidi="sq-AL"/>
        </w:rPr>
        <w:t xml:space="preserve"> Periudha afatmesme: 27% e fondeve të përgjithshme (≈ 2.61 miliardë dollarë amerikanë)</w:t>
      </w:r>
      <w:r w:rsidRPr="00622884">
        <w:rPr>
          <w:rFonts w:ascii="Garamond" w:eastAsia="Calibri" w:hAnsi="Garamond" w:cs="Times New Roman"/>
          <w:sz w:val="24"/>
          <w:szCs w:val="24"/>
          <w:lang w:eastAsia="en-US" w:bidi="sq-AL"/>
        </w:rPr>
        <w:t>, duke mbështetur shkallëzimin e përpjekjeve të përshtatjes;</w:t>
      </w:r>
    </w:p>
    <w:p w14:paraId="12D71032" w14:textId="77777777" w:rsidR="00622884" w:rsidRPr="00622884" w:rsidRDefault="00622884" w:rsidP="00622884">
      <w:pPr>
        <w:tabs>
          <w:tab w:val="left" w:pos="5325"/>
        </w:tabs>
        <w:spacing w:after="0" w:line="240" w:lineRule="auto"/>
        <w:ind w:firstLine="284"/>
        <w:rPr>
          <w:rFonts w:ascii="Garamond" w:eastAsia="SimSun" w:hAnsi="Garamond" w:cs="Calibri Light"/>
          <w:sz w:val="24"/>
          <w:szCs w:val="24"/>
          <w:lang w:eastAsia="en-US"/>
        </w:rPr>
      </w:pPr>
      <w:r w:rsidRPr="00622884">
        <w:rPr>
          <w:rFonts w:ascii="Garamond" w:eastAsia="Calibri" w:hAnsi="Garamond" w:cs="Times New Roman"/>
          <w:sz w:val="24"/>
          <w:szCs w:val="24"/>
          <w:lang w:eastAsia="en-US" w:bidi="sq-AL"/>
        </w:rPr>
        <w:t>-</w:t>
      </w:r>
      <w:r w:rsidRPr="00622884">
        <w:rPr>
          <w:rFonts w:ascii="Garamond" w:eastAsia="Calibri" w:hAnsi="Garamond" w:cs="Times New Roman"/>
          <w:b/>
          <w:sz w:val="24"/>
          <w:szCs w:val="24"/>
          <w:lang w:eastAsia="en-US" w:bidi="sq-AL"/>
        </w:rPr>
        <w:t xml:space="preserve"> Periudha afatshkurtër: 6% e fondeve të përgjithshme (≈ 541.79 milionë dollarë amerikanë)</w:t>
      </w:r>
      <w:r w:rsidRPr="00622884">
        <w:rPr>
          <w:rFonts w:ascii="Garamond" w:eastAsia="Calibri" w:hAnsi="Garamond" w:cs="Times New Roman"/>
          <w:sz w:val="24"/>
          <w:szCs w:val="24"/>
          <w:lang w:eastAsia="en-US" w:bidi="sq-AL"/>
        </w:rPr>
        <w:t>, duke paraqitur një fillim me faza të përqendruar në veprime të shpejta dhe themelore.</w:t>
      </w:r>
    </w:p>
    <w:p w14:paraId="5F9511BF" w14:textId="77777777" w:rsidR="00622884" w:rsidRPr="00622884" w:rsidRDefault="00622884" w:rsidP="00622884">
      <w:pPr>
        <w:spacing w:after="0" w:line="240" w:lineRule="auto"/>
        <w:ind w:firstLine="284"/>
        <w:rPr>
          <w:rFonts w:ascii="Garamond" w:eastAsia="SimSun" w:hAnsi="Garamond" w:cs="Calibri Light"/>
          <w:sz w:val="24"/>
          <w:szCs w:val="24"/>
          <w:lang w:eastAsia="en-US"/>
        </w:rPr>
      </w:pPr>
      <w:r w:rsidRPr="00622884">
        <w:rPr>
          <w:rFonts w:ascii="Garamond" w:eastAsia="Calibri" w:hAnsi="Garamond" w:cs="Times New Roman"/>
          <w:sz w:val="24"/>
          <w:szCs w:val="24"/>
          <w:lang w:eastAsia="en-US" w:bidi="sq-AL"/>
        </w:rPr>
        <w:t>Në përgjithësi, strategjia buxhetore ndjek një qasje graduale dhe me faza, duke u dhënë përparësi masave të buta të ngutshme, ndërkohë që siguron investime të qëndrueshme në nisma më të mëdha dhe afatgjata të përshtatjes.</w:t>
      </w:r>
    </w:p>
    <w:p w14:paraId="74D6C671" w14:textId="77777777" w:rsidR="00622884" w:rsidRPr="00622884" w:rsidRDefault="00622884" w:rsidP="00622884">
      <w:pPr>
        <w:spacing w:after="0" w:line="240" w:lineRule="auto"/>
        <w:ind w:firstLine="284"/>
        <w:rPr>
          <w:rFonts w:ascii="Garamond" w:eastAsia="SimSun" w:hAnsi="Garamond" w:cs="Calibri Light"/>
          <w:sz w:val="24"/>
          <w:szCs w:val="24"/>
          <w:lang w:eastAsia="en-US"/>
        </w:rPr>
      </w:pPr>
      <w:r w:rsidRPr="00622884">
        <w:rPr>
          <w:rFonts w:ascii="Garamond" w:eastAsia="Calibri" w:hAnsi="Garamond" w:cs="Times New Roman"/>
          <w:sz w:val="24"/>
          <w:szCs w:val="24"/>
          <w:lang w:eastAsia="en-US" w:bidi="sq-AL"/>
        </w:rPr>
        <w:t>Kapitulli 9 ofron më shumë detaje mbi nevojat përkatëse financiare dhe qasjet e përshtatshme të financimit. Informacione të mëtejshme mbi analizën e kostos janë të disponueshme në dokumentin e veçantë të planit të zbatimit.</w:t>
      </w:r>
    </w:p>
    <w:p w14:paraId="6E87D921" w14:textId="77777777" w:rsidR="00622884" w:rsidRPr="00622884" w:rsidRDefault="00622884" w:rsidP="00622884">
      <w:pPr>
        <w:keepNext/>
        <w:keepLines/>
        <w:spacing w:after="0" w:line="240" w:lineRule="auto"/>
        <w:ind w:firstLine="284"/>
        <w:outlineLvl w:val="0"/>
        <w:rPr>
          <w:rFonts w:ascii="Garamond" w:eastAsia="Times New Roman" w:hAnsi="Garamond" w:cs="Averta ExtraBold"/>
          <w:bCs/>
          <w:kern w:val="2"/>
          <w:sz w:val="24"/>
          <w:szCs w:val="24"/>
          <w:lang w:eastAsia="en-US"/>
        </w:rPr>
      </w:pPr>
      <w:bookmarkStart w:id="289" w:name="_Ref210985733"/>
      <w:bookmarkStart w:id="290" w:name="_Toc213936242"/>
      <w:r w:rsidRPr="00622884">
        <w:rPr>
          <w:rFonts w:ascii="Garamond" w:eastAsia="Yu Gothic Light" w:hAnsi="Garamond" w:cs="Averta ExtraBold"/>
          <w:bCs/>
          <w:kern w:val="2"/>
          <w:sz w:val="24"/>
          <w:szCs w:val="24"/>
          <w:lang w:eastAsia="en-US" w:bidi="sq-AL"/>
        </w:rPr>
        <w:lastRenderedPageBreak/>
        <w:t>7. INTEGRIMI I PERSPEKTIVËS GJINORE</w:t>
      </w:r>
      <w:bookmarkEnd w:id="289"/>
      <w:bookmarkEnd w:id="290"/>
      <w:r w:rsidRPr="00622884">
        <w:rPr>
          <w:rFonts w:ascii="Garamond" w:eastAsia="Yu Gothic Light" w:hAnsi="Garamond" w:cs="Averta ExtraBold"/>
          <w:bCs/>
          <w:kern w:val="2"/>
          <w:sz w:val="24"/>
          <w:szCs w:val="24"/>
          <w:lang w:eastAsia="en-US" w:bidi="sq-AL"/>
        </w:rPr>
        <w:t xml:space="preserve"> </w:t>
      </w:r>
    </w:p>
    <w:p w14:paraId="6CA1BF65" w14:textId="77777777" w:rsidR="00622884" w:rsidRPr="00622884" w:rsidRDefault="00622884" w:rsidP="00622884">
      <w:pPr>
        <w:spacing w:after="0" w:line="240" w:lineRule="auto"/>
        <w:ind w:firstLine="284"/>
        <w:rPr>
          <w:rFonts w:ascii="Garamond" w:eastAsia="SimSun" w:hAnsi="Garamond" w:cs="Calibri Light"/>
          <w:b/>
          <w:bCs/>
          <w:sz w:val="24"/>
          <w:szCs w:val="24"/>
          <w:lang w:eastAsia="en-US" w:bidi="dv-MV"/>
        </w:rPr>
      </w:pPr>
      <w:r w:rsidRPr="00622884">
        <w:rPr>
          <w:rFonts w:ascii="Garamond" w:eastAsia="Calibri" w:hAnsi="Garamond" w:cs="Times New Roman"/>
          <w:sz w:val="24"/>
          <w:szCs w:val="24"/>
          <w:lang w:eastAsia="en-US" w:bidi="sq-AL"/>
        </w:rPr>
        <w:t xml:space="preserve">Përgjegjshmëria gjinore është parim thelbësor i proceseve të NAP-it, siç theksohet edhe nga UNFCCC-ja. Marrëveshja e Parisit pranon shprehimisht se veprimet e përshtatjes duhet të jenë të përgjigjshme gjinore, ndërsa Kuadri i Objektivit Global për Përshtatjen (GGA) kërkon Plane Kombëtare të Përshtatjes të udhëhequra nga vendi, të përgjigjshme gjinore, me pjesëmarrje dhe transparente deri në vitin 2030. Integrimi i perspektivës gjinore në NAP është thelbësor, pasi gratë dhe burrat i përjetojnë ndryshe ndikimet e ndryshimeve klimatike për shkak të pabarazive ekzistuese sociale, ekonomike dhe kulturore. PNNK-ja mbështet faktin se ndryshimet në kapacitetet e përshtatjes midis burrave dhe grave vijnë nga pabarazitë e ndërlikuara sociale, mjedisore, ekonomike dhe kulturore. Kjo gjë është thelbësore për zhvillimin dhe zbatimin e veprimeve të përshtatjes ndaj klimës, që janë vërtet të efektshme dhe gjithëpërfshirëse. Veprimet që nuk i marrin parasysh këto aspekte gjinore rrezikojnë të jenë joefektive dhe mund të përkeqësojnë pabarazitë ekzistuese. </w:t>
      </w:r>
      <w:r w:rsidRPr="00622884">
        <w:rPr>
          <w:rFonts w:ascii="Garamond" w:eastAsia="Calibri" w:hAnsi="Garamond" w:cs="Times New Roman"/>
          <w:b/>
          <w:sz w:val="24"/>
          <w:szCs w:val="24"/>
          <w:lang w:eastAsia="en-US" w:bidi="sq-AL"/>
        </w:rPr>
        <w:t xml:space="preserve">Në thelb, miratimi i një qasjeje të përgjigjshme gjinore për përshtatjen ndaj klimës nuk është vetëm çështje barazie dhe drejtësie sociale, por është me rëndësi edhe për arritjen e rezultateve të qëndrueshme dhe me aftësi ripërtëritëse përballë një klime në ndryshim. </w:t>
      </w:r>
    </w:p>
    <w:p w14:paraId="14388200" w14:textId="77777777" w:rsidR="00622884" w:rsidRPr="00622884" w:rsidRDefault="00622884" w:rsidP="00622884">
      <w:pPr>
        <w:spacing w:after="0" w:line="240" w:lineRule="auto"/>
        <w:ind w:firstLine="284"/>
        <w:rPr>
          <w:rFonts w:ascii="Garamond" w:eastAsia="SimSun" w:hAnsi="Garamond" w:cs="Calibri Light"/>
          <w:sz w:val="24"/>
          <w:szCs w:val="24"/>
          <w:lang w:eastAsia="en-US"/>
        </w:rPr>
      </w:pPr>
      <w:r w:rsidRPr="00622884">
        <w:rPr>
          <w:rFonts w:ascii="Garamond" w:eastAsia="Calibri" w:hAnsi="Garamond" w:cs="Times New Roman"/>
          <w:sz w:val="24"/>
          <w:szCs w:val="24"/>
          <w:lang w:eastAsia="en-US" w:bidi="sq-AL"/>
        </w:rPr>
        <w:t>Procesi i NAP-it në Shqipëri përdori një qasje të strukturuar dhe me faza ndaj integrimit të perspektivës gjinore. Një Plan Veprimi për Barazinë Gjinore (PVBGJ)</w:t>
      </w:r>
      <w:r w:rsidRPr="00622884">
        <w:rPr>
          <w:rFonts w:ascii="Garamond" w:eastAsia="Calibri" w:hAnsi="Garamond" w:cs="Times New Roman"/>
          <w:sz w:val="24"/>
          <w:szCs w:val="24"/>
          <w:vertAlign w:val="superscript"/>
          <w:lang w:eastAsia="en-US" w:bidi="sq-AL"/>
        </w:rPr>
        <w:footnoteReference w:id="218"/>
      </w:r>
      <w:r w:rsidRPr="00622884">
        <w:rPr>
          <w:rFonts w:ascii="Garamond" w:eastAsia="Calibri" w:hAnsi="Garamond" w:cs="Times New Roman"/>
          <w:sz w:val="24"/>
          <w:szCs w:val="24"/>
          <w:lang w:eastAsia="en-US" w:bidi="sq-AL"/>
        </w:rPr>
        <w:t xml:space="preserve"> u hartua nëpërmjet konsultimit me ekspertë, duke siguruar që nevojat dhe perspektivat e grave do të integroheshin gjatë gjithë procesit. PVBGJ-ja trajton aspektet gjinore të ndryshimeve klimatike në pesë sektorët prioritarë dhe ofron një kuadër gjithëpërfshirës për integrimin e konsideratave gjinore në përpjekjet për përshtatje ndaj klimës, duke pranuar se ndikimet e ndryshimeve klimatike i prekin ndryshe gratë dhe burrat. Nga analiza e kryer u identifikuan mangësi të konsiderueshme në aspektin gjinor në të gjithë sektorët, ku gratë përballen me sfida të pabarabarta sa i përket qasjes në burime, pjesëmarrjes në proceset e vendimmarrjes dhe përmirësimit të aftësive ripërtëritëse ndaj ndikimeve klimatike. </w:t>
      </w:r>
    </w:p>
    <w:p w14:paraId="56DFFAA9" w14:textId="77777777" w:rsidR="00622884" w:rsidRPr="00622884" w:rsidRDefault="00622884" w:rsidP="00622884">
      <w:pPr>
        <w:spacing w:after="0" w:line="240" w:lineRule="auto"/>
        <w:ind w:firstLine="284"/>
        <w:rPr>
          <w:rFonts w:ascii="Garamond" w:eastAsia="SimSun" w:hAnsi="Garamond" w:cs="Calibri Light"/>
          <w:sz w:val="24"/>
          <w:szCs w:val="24"/>
          <w:lang w:eastAsia="en-US"/>
        </w:rPr>
      </w:pPr>
      <w:r w:rsidRPr="00622884">
        <w:rPr>
          <w:rFonts w:ascii="Garamond" w:eastAsia="Calibri" w:hAnsi="Garamond" w:cs="Times New Roman"/>
          <w:sz w:val="24"/>
          <w:szCs w:val="24"/>
          <w:lang w:eastAsia="en-US" w:bidi="sq-AL"/>
        </w:rPr>
        <w:t>Objektivat e PVBGJ-së për NAP-in janë:</w:t>
      </w:r>
    </w:p>
    <w:p w14:paraId="69A01C3B" w14:textId="77777777" w:rsidR="00622884" w:rsidRPr="00622884" w:rsidRDefault="00622884" w:rsidP="00622884">
      <w:pPr>
        <w:tabs>
          <w:tab w:val="left" w:pos="5325"/>
        </w:tabs>
        <w:spacing w:after="0" w:line="240" w:lineRule="auto"/>
        <w:ind w:firstLine="284"/>
        <w:rPr>
          <w:rFonts w:ascii="Garamond" w:eastAsia="SimSun" w:hAnsi="Garamond" w:cs="Calibri Light"/>
          <w:sz w:val="24"/>
          <w:szCs w:val="24"/>
          <w:lang w:eastAsia="en-US"/>
        </w:rPr>
      </w:pPr>
      <w:r w:rsidRPr="00622884">
        <w:rPr>
          <w:rFonts w:ascii="Garamond" w:eastAsia="Calibri" w:hAnsi="Garamond" w:cs="Times New Roman"/>
          <w:sz w:val="24"/>
          <w:szCs w:val="24"/>
          <w:lang w:eastAsia="en-US" w:bidi="sq-AL"/>
        </w:rPr>
        <w:t>1. Promovimi i barazisë gjinore dhe fuqizimi i grave në kontekstin e përshtatjes ndaj ndryshimeve klimatike në pesë sektorë prioritarë;</w:t>
      </w:r>
    </w:p>
    <w:p w14:paraId="3E67E06C" w14:textId="77777777" w:rsidR="00622884" w:rsidRPr="00622884" w:rsidRDefault="00622884" w:rsidP="00622884">
      <w:pPr>
        <w:tabs>
          <w:tab w:val="left" w:pos="5325"/>
        </w:tabs>
        <w:spacing w:after="0" w:line="240" w:lineRule="auto"/>
        <w:ind w:firstLine="284"/>
        <w:rPr>
          <w:rFonts w:ascii="Garamond" w:eastAsia="SimSun" w:hAnsi="Garamond" w:cs="Calibri Light"/>
          <w:sz w:val="24"/>
          <w:szCs w:val="24"/>
          <w:lang w:eastAsia="en-US"/>
        </w:rPr>
      </w:pPr>
      <w:r w:rsidRPr="00622884">
        <w:rPr>
          <w:rFonts w:ascii="Garamond" w:eastAsia="Calibri" w:hAnsi="Garamond" w:cs="Times New Roman"/>
          <w:sz w:val="24"/>
          <w:szCs w:val="24"/>
          <w:lang w:eastAsia="en-US" w:bidi="sq-AL"/>
        </w:rPr>
        <w:t>2. Ofrimi i një kuadri gjithëpërfshirës për planifikimin, zbatimin dhe monitorimin e nismave të përgjigjshme gjinore për përshtatjen;</w:t>
      </w:r>
    </w:p>
    <w:p w14:paraId="321952AC" w14:textId="77777777" w:rsidR="00622884" w:rsidRPr="00622884" w:rsidRDefault="00622884" w:rsidP="00622884">
      <w:pPr>
        <w:tabs>
          <w:tab w:val="left" w:pos="5325"/>
        </w:tabs>
        <w:spacing w:after="0" w:line="240" w:lineRule="auto"/>
        <w:ind w:firstLine="284"/>
        <w:rPr>
          <w:rFonts w:ascii="Garamond" w:eastAsia="SimSun" w:hAnsi="Garamond" w:cs="Calibri Light"/>
          <w:sz w:val="24"/>
          <w:szCs w:val="24"/>
          <w:lang w:eastAsia="en-US"/>
        </w:rPr>
      </w:pPr>
      <w:r w:rsidRPr="00622884">
        <w:rPr>
          <w:rFonts w:ascii="Garamond" w:eastAsia="Calibri" w:hAnsi="Garamond" w:cs="Times New Roman"/>
          <w:sz w:val="24"/>
          <w:szCs w:val="24"/>
          <w:lang w:eastAsia="en-US" w:bidi="sq-AL"/>
        </w:rPr>
        <w:t>3. Identifikimi dhe adresimi i pabarazive gjinore specifike për sektorin dhe cenueshmërive diferenciale në përshtatjen ndaj ndryshimeve klimatike;</w:t>
      </w:r>
    </w:p>
    <w:p w14:paraId="1085563F" w14:textId="77777777" w:rsidR="00622884" w:rsidRPr="00622884" w:rsidRDefault="00622884" w:rsidP="00622884">
      <w:pPr>
        <w:tabs>
          <w:tab w:val="left" w:pos="5325"/>
        </w:tabs>
        <w:spacing w:after="0" w:line="240" w:lineRule="auto"/>
        <w:ind w:firstLine="284"/>
        <w:rPr>
          <w:rFonts w:ascii="Garamond" w:eastAsia="SimSun" w:hAnsi="Garamond" w:cs="Calibri Light"/>
          <w:sz w:val="24"/>
          <w:szCs w:val="24"/>
          <w:lang w:eastAsia="en-US"/>
        </w:rPr>
      </w:pPr>
      <w:r w:rsidRPr="00622884">
        <w:rPr>
          <w:rFonts w:ascii="Garamond" w:eastAsia="Calibri" w:hAnsi="Garamond" w:cs="Times New Roman"/>
          <w:sz w:val="24"/>
          <w:szCs w:val="24"/>
          <w:lang w:eastAsia="en-US" w:bidi="sq-AL"/>
        </w:rPr>
        <w:t>4. Përafrimi i përpjekjeve të Shqipërisë për përshtatjen ndaj ndryshimeve klimatike me praktikat më të mira ndërkombëtare për integrimin e perspektivës gjinore.</w:t>
      </w:r>
    </w:p>
    <w:p w14:paraId="664A667B" w14:textId="77777777" w:rsidR="00622884" w:rsidRPr="00622884" w:rsidRDefault="00622884" w:rsidP="00622884">
      <w:pPr>
        <w:tabs>
          <w:tab w:val="left" w:pos="5325"/>
        </w:tabs>
        <w:spacing w:after="0" w:line="240" w:lineRule="auto"/>
        <w:ind w:firstLine="284"/>
        <w:rPr>
          <w:rFonts w:ascii="Garamond" w:eastAsia="SimSun" w:hAnsi="Garamond" w:cs="Calibri Light"/>
          <w:sz w:val="24"/>
          <w:szCs w:val="24"/>
          <w:lang w:eastAsia="en-US"/>
        </w:rPr>
      </w:pPr>
      <w:r w:rsidRPr="00622884">
        <w:rPr>
          <w:rFonts w:ascii="Garamond" w:eastAsia="Calibri" w:hAnsi="Garamond" w:cs="Times New Roman"/>
          <w:sz w:val="24"/>
          <w:szCs w:val="24"/>
          <w:lang w:eastAsia="en-US" w:bidi="sq-AL"/>
        </w:rPr>
        <w:t xml:space="preserve">Zbatimi i PVBGJ-së si pjesë e NAP-it në Shqipëri do të krijojë strategji më gjithëpërfshirëse, të efektshme dhe të barabarta për përshtatjen ndaj klimës, që adresojnë nevojat dhe cenueshmëritë specifike si të grave, ashtu edhe të burrave. Kjo qasje jo vetëm që përmirëson aftësitë ripërtëritëse të vendit ndaj ndryshimeve klimatike, por kontribuon edhe në qëllimet më të gjera të barazisë gjinore dhe zhvillimit të qëndrueshëm. </w:t>
      </w:r>
    </w:p>
    <w:p w14:paraId="4F4A7458" w14:textId="77777777" w:rsidR="00622884" w:rsidRPr="00622884" w:rsidRDefault="00622884" w:rsidP="00622884">
      <w:pPr>
        <w:spacing w:after="0" w:line="240" w:lineRule="auto"/>
        <w:ind w:firstLine="284"/>
        <w:rPr>
          <w:rFonts w:ascii="Garamond" w:eastAsia="SimSun" w:hAnsi="Garamond" w:cs="Calibri Light"/>
          <w:sz w:val="24"/>
          <w:szCs w:val="24"/>
          <w:lang w:eastAsia="en-US" w:bidi="dv-MV"/>
        </w:rPr>
      </w:pPr>
      <w:r w:rsidRPr="00622884">
        <w:rPr>
          <w:rFonts w:ascii="Garamond" w:eastAsia="Calibri" w:hAnsi="Garamond" w:cs="Times New Roman"/>
          <w:sz w:val="24"/>
          <w:szCs w:val="24"/>
          <w:lang w:eastAsia="en-US" w:bidi="sq-AL"/>
        </w:rPr>
        <w:t xml:space="preserve">PVBGJ-ja është e bashkërenduar me një sërë strategjish kombëtare kryesore dhe angazhimesh ndërkombëtare, duke përfshirë Strategjinë Kombëtare për Barazinë Gjinore (SKBGJ 2021–2030), strategjitë e posaçme për sektorët, Marrëveshjen e Parisit dhe Objektivat e Zhvillimit të Qëndrueshëm, dhe mbështet zbatimin e tyre. PVBGJ-ja është një dokument në zhvillim, që u nënshtrohet rishikimit dhe përditësimeve të rregullta ndërkohë që edhe NAP-i evoluon. Ajo </w:t>
      </w:r>
      <w:r w:rsidRPr="00622884">
        <w:rPr>
          <w:rFonts w:ascii="Garamond" w:eastAsia="Calibri" w:hAnsi="Garamond" w:cs="Times New Roman"/>
          <w:sz w:val="24"/>
          <w:szCs w:val="24"/>
          <w:lang w:eastAsia="en-US" w:bidi="sq-AL"/>
        </w:rPr>
        <w:lastRenderedPageBreak/>
        <w:t>përfshin rekomandime për objektiva dhe tregues specifikë gjinorë për të lehtësuar monitorimin dhe vlerësimin e përgjigjshmërisë gjinore në zbatimin e NAP-it.</w:t>
      </w:r>
    </w:p>
    <w:p w14:paraId="765E30E0" w14:textId="77777777" w:rsidR="00622884" w:rsidRPr="00622884" w:rsidRDefault="00622884" w:rsidP="00622884">
      <w:pPr>
        <w:keepNext/>
        <w:keepLines/>
        <w:spacing w:after="0" w:line="240" w:lineRule="auto"/>
        <w:ind w:left="284"/>
        <w:outlineLvl w:val="1"/>
        <w:rPr>
          <w:rFonts w:ascii="Garamond" w:eastAsia="MS Mincho" w:hAnsi="Garamond" w:cs="Times New Roman"/>
          <w:b/>
          <w:bCs/>
          <w:caps/>
          <w:sz w:val="24"/>
          <w:szCs w:val="24"/>
          <w:lang w:eastAsia="es-ES"/>
        </w:rPr>
      </w:pPr>
      <w:bookmarkStart w:id="291" w:name="_Toc213936243"/>
      <w:r w:rsidRPr="00622884">
        <w:rPr>
          <w:rFonts w:ascii="Garamond" w:eastAsia="MS Mincho" w:hAnsi="Garamond" w:cs="Times New Roman"/>
          <w:b/>
          <w:bCs/>
          <w:caps/>
          <w:sz w:val="24"/>
          <w:szCs w:val="24"/>
          <w:lang w:eastAsia="es-ES" w:bidi="sq-AL"/>
        </w:rPr>
        <w:t xml:space="preserve">7.1 </w:t>
      </w:r>
      <w:r w:rsidRPr="00622884">
        <w:rPr>
          <w:rFonts w:ascii="Garamond" w:eastAsia="MS Mincho" w:hAnsi="Garamond" w:cs="Times New Roman"/>
          <w:b/>
          <w:bCs/>
          <w:sz w:val="24"/>
          <w:szCs w:val="24"/>
          <w:lang w:eastAsia="es-ES" w:bidi="sq-AL"/>
        </w:rPr>
        <w:t xml:space="preserve">Sfidat e barazisë gjinore në të gjithë sektorët e </w:t>
      </w:r>
      <w:r w:rsidRPr="00622884">
        <w:rPr>
          <w:rFonts w:ascii="Garamond" w:eastAsia="MS Mincho" w:hAnsi="Garamond" w:cs="Times New Roman"/>
          <w:b/>
          <w:bCs/>
          <w:caps/>
          <w:sz w:val="24"/>
          <w:szCs w:val="24"/>
          <w:lang w:eastAsia="es-ES" w:bidi="sq-AL"/>
        </w:rPr>
        <w:t>NAP-</w:t>
      </w:r>
      <w:r w:rsidRPr="00622884">
        <w:rPr>
          <w:rFonts w:ascii="Garamond" w:eastAsia="MS Mincho" w:hAnsi="Garamond" w:cs="Times New Roman"/>
          <w:b/>
          <w:bCs/>
          <w:sz w:val="24"/>
          <w:szCs w:val="24"/>
          <w:lang w:eastAsia="es-ES" w:bidi="sq-AL"/>
        </w:rPr>
        <w:t>it</w:t>
      </w:r>
      <w:bookmarkEnd w:id="291"/>
    </w:p>
    <w:p w14:paraId="16860A92" w14:textId="77777777" w:rsidR="00622884" w:rsidRPr="00622884" w:rsidRDefault="00622884" w:rsidP="00622884">
      <w:pPr>
        <w:spacing w:after="0" w:line="240" w:lineRule="auto"/>
        <w:ind w:firstLine="284"/>
        <w:rPr>
          <w:rFonts w:ascii="Garamond" w:eastAsia="SimSun" w:hAnsi="Garamond" w:cs="Calibri Light"/>
          <w:sz w:val="24"/>
          <w:szCs w:val="24"/>
          <w:lang w:eastAsia="en-US"/>
        </w:rPr>
      </w:pPr>
      <w:r w:rsidRPr="00622884">
        <w:rPr>
          <w:rFonts w:ascii="Garamond" w:eastAsia="Calibri" w:hAnsi="Garamond" w:cs="Times New Roman"/>
          <w:sz w:val="24"/>
          <w:szCs w:val="24"/>
          <w:lang w:eastAsia="en-US" w:bidi="sq-AL"/>
        </w:rPr>
        <w:t xml:space="preserve">Nga analiza e kryer u identifikuan mangësi të konsiderueshme në aspektin gjinor në të gjithë sektorët, ku gratë përballen me sfida të pabarabarta sa i përket qasjes në burime, pjesëmarrjes në proceset e vendimmarrjes dhe përmirësimit të aftësive ripërtëritëse ndaj ndikimeve klimatike. </w:t>
      </w:r>
    </w:p>
    <w:p w14:paraId="2F504CFF" w14:textId="77777777" w:rsidR="00622884" w:rsidRPr="00622884" w:rsidRDefault="00622884" w:rsidP="00622884">
      <w:pPr>
        <w:spacing w:after="0" w:line="240" w:lineRule="auto"/>
        <w:ind w:firstLine="284"/>
        <w:rPr>
          <w:rFonts w:ascii="Garamond" w:eastAsia="SimSun" w:hAnsi="Garamond" w:cs="Calibri Light"/>
          <w:sz w:val="24"/>
          <w:szCs w:val="24"/>
          <w:lang w:eastAsia="en-US"/>
        </w:rPr>
      </w:pPr>
      <w:r w:rsidRPr="00622884">
        <w:rPr>
          <w:rFonts w:ascii="Garamond" w:eastAsia="Calibri" w:hAnsi="Garamond" w:cs="Times New Roman"/>
          <w:sz w:val="24"/>
          <w:szCs w:val="24"/>
          <w:lang w:eastAsia="en-US" w:bidi="sq-AL"/>
        </w:rPr>
        <w:t xml:space="preserve">Në </w:t>
      </w:r>
      <w:r w:rsidRPr="00622884">
        <w:rPr>
          <w:rFonts w:ascii="Garamond" w:eastAsia="Calibri" w:hAnsi="Garamond" w:cs="Times New Roman"/>
          <w:b/>
          <w:sz w:val="24"/>
          <w:szCs w:val="24"/>
          <w:lang w:eastAsia="en-US" w:bidi="sq-AL"/>
        </w:rPr>
        <w:t>sektorin e bujqësisë</w:t>
      </w:r>
      <w:r w:rsidRPr="00622884">
        <w:rPr>
          <w:rFonts w:ascii="Garamond" w:eastAsia="Calibri" w:hAnsi="Garamond" w:cs="Times New Roman"/>
          <w:sz w:val="24"/>
          <w:szCs w:val="24"/>
          <w:lang w:eastAsia="en-US" w:bidi="sq-AL"/>
        </w:rPr>
        <w:t>, që kontribuon me 18.6% në PBB-në e Shqipërisë, janë punësuar 440.872 persona (33.9% e punësimit të përgjithshëm), ku gratë përbëjnë 54.4% (239.775 punonjës) krahasuar me burrat me 45.6% (201.097 punonjës). Sektori përballet me cenueshmëri specifike klimatike, duke përfshirë përmbytjet, thatësirat, regjimet e parregullta të reshjeve, rënien e prodhimtarisë së kulturave dhe rritjen e shpërthimeve të dëmtuesve. Gratë preken në veçanti për shkak të përfshirjes së tyre në detyra të ndjeshme ndaj klimës, si bujqësia në shkallë të vogël dhe përpunimi pas korrjes. Gratë përballen me sfida sistemike, duke përfshirë qasjen e kufizuar në dokumentet e pronësisë për tokën, qasjen e kufizuar në hua bujqësore për shkak të mungesës së kolateralit, pjesëmarrjen e ulët të grave në shërbimet e ekstensionit bujqësor (vetëm 8%) dhe pjesëmarrjen e ulët në arsimin profesional bujqësor (16%). Edhe pse përbëjnë shumicën e punonjësve në bujqësi, kontributet e grave kryesisht nuk njihen dhe nënvlerësohen, ku vetëm 10.8% e fermerëve të regjistruar zyrtarisht janë gra (afërsisht 25.896 gra fermere nga totali i të regjistruarve). Efektiviteti në rënie i skemave kombëtare të mbështetjes për gratë (nga 22% në vitin 2018 në 16% në vitin 2023, që përfaqëson një rënie nga afërsisht 52.750 në 38.364 përfituese) i përkeqëson më tej këto probleme.</w:t>
      </w:r>
    </w:p>
    <w:p w14:paraId="36A690D4" w14:textId="77777777" w:rsidR="00622884" w:rsidRPr="00622884" w:rsidRDefault="00622884" w:rsidP="00622884">
      <w:pPr>
        <w:spacing w:after="0" w:line="240" w:lineRule="auto"/>
        <w:ind w:firstLine="284"/>
        <w:rPr>
          <w:rFonts w:ascii="Garamond" w:eastAsia="SimSun" w:hAnsi="Garamond" w:cs="Calibri Light"/>
          <w:sz w:val="24"/>
          <w:szCs w:val="24"/>
          <w:lang w:eastAsia="en-US"/>
        </w:rPr>
      </w:pPr>
      <w:r w:rsidRPr="00622884">
        <w:rPr>
          <w:rFonts w:ascii="Garamond" w:eastAsia="Calibri" w:hAnsi="Garamond" w:cs="Times New Roman"/>
          <w:sz w:val="24"/>
          <w:szCs w:val="24"/>
          <w:lang w:eastAsia="en-US" w:bidi="sq-AL"/>
        </w:rPr>
        <w:t xml:space="preserve">Në </w:t>
      </w:r>
      <w:r w:rsidRPr="00622884">
        <w:rPr>
          <w:rFonts w:ascii="Garamond" w:eastAsia="Calibri" w:hAnsi="Garamond" w:cs="Times New Roman"/>
          <w:b/>
          <w:sz w:val="24"/>
          <w:szCs w:val="24"/>
          <w:lang w:eastAsia="en-US" w:bidi="sq-AL"/>
        </w:rPr>
        <w:t>sektori i turizmit</w:t>
      </w:r>
      <w:r w:rsidRPr="00622884">
        <w:rPr>
          <w:rFonts w:ascii="Garamond" w:eastAsia="Calibri" w:hAnsi="Garamond" w:cs="Times New Roman"/>
          <w:sz w:val="24"/>
          <w:szCs w:val="24"/>
          <w:lang w:eastAsia="en-US" w:bidi="sq-AL"/>
        </w:rPr>
        <w:t xml:space="preserve"> janë punësuar 42.698 persona sipas Strategjisë Kombëtare të Turizmit 2024-2030. Ndonëse të dhënat gjinore specifike për turizmin nuk janë të disponueshme në strategji, të dhënat e INSTAT-it për vitin 2022 tregojnë se kategoria më e gjerë e “Tregtisë, Transportit, Akomodimit dhe Ushqimit dhe Shërbimeve të Biznesit dhe Administratës”, punëson 22.5% të fuqisë punëtore femërore në nivel kombëtar dhe 30.9% të fuqisë punëtore mashkullore. Gratë janë më të prekura nga ndryshimet klimatike në këtë sektor, sepse puna e tyre është përqendruar në pozicionet më të cenueshme nga klima, puna sezonale, punësimi informal dhe rolet e orientuara drejt shërbimeve. Gjatë ngjarjeve ekstreme të motit ose ndryshime në regjimet e turizmit, punonjëset gra janë shpesh të parat që humbasin të ardhurat ose punësimin për shkak të statusit të tyre të pasigurt të punësimit dhe qasjes së kufizuar në mundësi alternative ekonomike. Sfidat specifike me të cilat përballen përfshijnë mbizotërimin në punësimin sezonal dhe informal pa siguri në punë, nënpërfaqësimin në rolet drejtuese dhe vendimmarrëse ku formulohen strategjitë e përshtatjes, qasjen e kufizuar në pozicione menaxheriale, më pak mundësi për zhvillim profesional, përgjegjësitë tradicionale të kujdesit familjar, pengesat për sipërmarrjen në turizmin e qëndrueshëm dhe mungesën e të dhënave specifike për gjininë në sektorin e turizmit për hartimin efektiv të politikave. </w:t>
      </w:r>
    </w:p>
    <w:p w14:paraId="2F0EE5B7" w14:textId="77777777" w:rsidR="00622884" w:rsidRPr="00622884" w:rsidRDefault="00622884" w:rsidP="00622884">
      <w:pPr>
        <w:spacing w:after="0" w:line="240" w:lineRule="auto"/>
        <w:ind w:firstLine="284"/>
        <w:rPr>
          <w:rFonts w:ascii="Garamond" w:eastAsia="SimSun" w:hAnsi="Garamond" w:cs="Calibri Light"/>
          <w:sz w:val="24"/>
          <w:szCs w:val="24"/>
          <w:lang w:eastAsia="en-US"/>
        </w:rPr>
      </w:pPr>
      <w:r w:rsidRPr="00622884">
        <w:rPr>
          <w:rFonts w:ascii="Garamond" w:eastAsia="Calibri" w:hAnsi="Garamond" w:cs="Times New Roman"/>
          <w:b/>
          <w:sz w:val="24"/>
          <w:szCs w:val="24"/>
          <w:lang w:eastAsia="en-US" w:bidi="sq-AL"/>
        </w:rPr>
        <w:t>Zhvillimi urban</w:t>
      </w:r>
      <w:r w:rsidRPr="00622884">
        <w:rPr>
          <w:rFonts w:ascii="Garamond" w:eastAsia="Calibri" w:hAnsi="Garamond" w:cs="Times New Roman"/>
          <w:sz w:val="24"/>
          <w:szCs w:val="24"/>
          <w:lang w:eastAsia="en-US" w:bidi="sq-AL"/>
        </w:rPr>
        <w:t xml:space="preserve"> tregon pabarazi të konsiderueshme gjinore, me sektorin e ndërtimit që punëson 98.179 punonjës, ku burrat përbëjnë 96,3% (94.593 punonjës) krahasuar me gratë me vetëm 3,7% (3.586 punëtorë). Sektori përballet me sfida specifike, përfshirë përkeqësimin e cilësisë së ajrit nga emetimet bujqësore dhe industriale, ndotjen nga plehrat e azotit që ndikojnë si në cilësinë e ujit, ashtu edhe të ajrit, si dhe ndikimet e teknikave të prerjes dhe djegies së drurëve. Gratë përballen me sfida të pabarabarta, përfshirë infrastrukturën e papërshtatshme, veçanërisht në zonat periferike ku 63% e grave raportojnë kanalizime të pamjaftueshme, zë të kufizuar në proceset e planifikimit urban, shqetësime për sigurinë në hapësirat publike, përgjegjësi të rritura të kujdesit (duke u rritur nga 75% në 79% gjatë krizave, duke prekur rreth 23.908 gra të tjera), nënpërfaqësim në rolet vendimmarrëse dhe qasje të kufizuar në burime në ekonomitë informale urbane.</w:t>
      </w:r>
    </w:p>
    <w:p w14:paraId="698F6902" w14:textId="77777777" w:rsidR="00622884" w:rsidRPr="00622884" w:rsidRDefault="00622884" w:rsidP="00622884">
      <w:pPr>
        <w:spacing w:after="0" w:line="240" w:lineRule="auto"/>
        <w:ind w:firstLine="284"/>
        <w:rPr>
          <w:rFonts w:ascii="Garamond" w:eastAsia="SimSun" w:hAnsi="Garamond" w:cs="Calibri Light"/>
          <w:sz w:val="24"/>
          <w:szCs w:val="24"/>
          <w:lang w:eastAsia="en-US"/>
        </w:rPr>
      </w:pPr>
      <w:r w:rsidRPr="00622884">
        <w:rPr>
          <w:rFonts w:ascii="Garamond" w:eastAsia="Calibri" w:hAnsi="Garamond" w:cs="Times New Roman"/>
          <w:b/>
          <w:sz w:val="24"/>
          <w:szCs w:val="24"/>
          <w:lang w:eastAsia="en-US" w:bidi="sq-AL"/>
        </w:rPr>
        <w:t>Sektori i energjisë</w:t>
      </w:r>
      <w:r w:rsidRPr="00622884">
        <w:rPr>
          <w:rFonts w:ascii="Garamond" w:eastAsia="Calibri" w:hAnsi="Garamond" w:cs="Times New Roman"/>
          <w:sz w:val="24"/>
          <w:szCs w:val="24"/>
          <w:lang w:eastAsia="en-US" w:bidi="sq-AL"/>
        </w:rPr>
        <w:t xml:space="preserve"> ka 35.508 punonjës, me pabarazi të konsiderueshme gjinore ku burrat përbëjnë 84,9% (30.129 punëtorë) krahasuar me gratë me 15,1% (5.379 punëtorë). Gratë </w:t>
      </w:r>
      <w:r w:rsidRPr="00622884">
        <w:rPr>
          <w:rFonts w:ascii="Garamond" w:eastAsia="Calibri" w:hAnsi="Garamond" w:cs="Times New Roman"/>
          <w:sz w:val="24"/>
          <w:szCs w:val="24"/>
          <w:lang w:eastAsia="en-US" w:bidi="sq-AL"/>
        </w:rPr>
        <w:lastRenderedPageBreak/>
        <w:t>përballen me ndikime të pabarabarta për shkak të rolit të tyre kryesor në menaxhimin e energjisë në familje, pavarësisht ndikimit të kufizuar mbi politikat e energjisë. Varfëria energjetike prek veçanërisht familjet me kryefamiljare gra, me kostot e shërbimeve që konsumojnë deri në 17% të shpenzimeve të tyre. Sfidat strukturore të sektorit përfshijnë: një hendek gjinor në paga prej 8,2%, mungesën e të dhënave të ndara sipas gjinisë nga Enti Rregullator i Energjisë në Shqipëri (ERE) dhe nënpërfaqësimin e grave në pozicione teknike dhe drejtuese. Mbështetja prej 98% e sektorit te energjia hidroelektrike e thekson ndjeshmërinë ndaj klimës, duke ndikuar veçanërisht në qasjen në energji dhe përballueshmërinë për familjet me kryefamiljare gra dhe familjet me një prind të vetëm. Kjo ndërthurje e varfërisë energjetike, cenueshmërisë klimatike dhe pabarazisë gjinore krijon sfida të ndërlikuara për kapacitetet e përshtatjes.</w:t>
      </w:r>
    </w:p>
    <w:p w14:paraId="3DBC4F2A" w14:textId="77777777" w:rsidR="00622884" w:rsidRPr="00622884" w:rsidRDefault="00622884" w:rsidP="00622884">
      <w:pPr>
        <w:spacing w:after="0" w:line="240" w:lineRule="auto"/>
        <w:ind w:firstLine="284"/>
        <w:rPr>
          <w:rFonts w:ascii="Garamond" w:eastAsia="SimSun" w:hAnsi="Garamond" w:cs="Calibri Light"/>
          <w:sz w:val="24"/>
          <w:szCs w:val="24"/>
          <w:lang w:eastAsia="en-US"/>
        </w:rPr>
      </w:pPr>
      <w:r w:rsidRPr="00622884">
        <w:rPr>
          <w:rFonts w:ascii="Garamond" w:eastAsia="Calibri" w:hAnsi="Garamond" w:cs="Times New Roman"/>
          <w:b/>
          <w:sz w:val="24"/>
          <w:szCs w:val="24"/>
          <w:lang w:eastAsia="en-US" w:bidi="sq-AL"/>
        </w:rPr>
        <w:t xml:space="preserve">Sektori i transportit </w:t>
      </w:r>
      <w:r w:rsidRPr="00622884">
        <w:rPr>
          <w:rFonts w:ascii="Garamond" w:eastAsia="Calibri" w:hAnsi="Garamond" w:cs="Times New Roman"/>
          <w:sz w:val="24"/>
          <w:szCs w:val="24"/>
          <w:lang w:eastAsia="en-US" w:bidi="sq-AL"/>
        </w:rPr>
        <w:t>tregon pabarazi të theksuara gjinore, ku burrat përfaqësojnë 91,9% dhe gratë 8,1% të fuqisë punëtore. Cenueshmëria e grave ndaj ndikimeve klimatike rritet nga përdorimi mbizotërues i transportit publik (60%). Sfidat specifike gjinore përfshijnë opsione të kufizuara të transportit rural që ndikojnë në qasjen në shërbimet thelbësore dhe rritje të cenueshmërisë nga ngjarjet ekstreme të motit për shkak të varësisë nga transporti publik. Nënpërfaqësimi i grave në pozicione vendimmarrëse i përkeqëson këto cenueshmëri duke kufizuar zhvillimin e infrastrukturës së përgjigjshme gjinore dhe planifikimin e përshtatjes. Strategjitë e sektorit për aftësitë ripërtëritëse ndaj ndryshimeve klimatike kërkojnë vëmendje të veçantë ndaj modeleve të lëvizshmërisë së grave dhe kërkesave të sigurisë, veçanërisht gjatë ngjarjeve ekstreme të motit.</w:t>
      </w:r>
    </w:p>
    <w:p w14:paraId="7C35C523" w14:textId="77777777" w:rsidR="00622884" w:rsidRPr="00622884" w:rsidRDefault="00622884" w:rsidP="00622884">
      <w:pPr>
        <w:keepNext/>
        <w:keepLines/>
        <w:spacing w:after="0" w:line="240" w:lineRule="auto"/>
        <w:ind w:firstLine="284"/>
        <w:outlineLvl w:val="1"/>
        <w:rPr>
          <w:rFonts w:ascii="Garamond" w:eastAsia="MS Mincho" w:hAnsi="Garamond" w:cs="Times New Roman"/>
          <w:b/>
          <w:bCs/>
          <w:caps/>
          <w:sz w:val="24"/>
          <w:szCs w:val="24"/>
          <w:lang w:eastAsia="es-ES"/>
        </w:rPr>
      </w:pPr>
      <w:bookmarkStart w:id="292" w:name="_Toc213936244"/>
      <w:r w:rsidRPr="00622884">
        <w:rPr>
          <w:rFonts w:ascii="Garamond" w:eastAsia="MS Mincho" w:hAnsi="Garamond" w:cs="Times New Roman"/>
          <w:b/>
          <w:bCs/>
          <w:caps/>
          <w:sz w:val="24"/>
          <w:szCs w:val="24"/>
          <w:lang w:eastAsia="es-ES" w:bidi="sq-AL"/>
        </w:rPr>
        <w:t xml:space="preserve">7.2 </w:t>
      </w:r>
      <w:r w:rsidRPr="00622884">
        <w:rPr>
          <w:rFonts w:ascii="Garamond" w:eastAsia="MS Mincho" w:hAnsi="Garamond" w:cs="Times New Roman"/>
          <w:b/>
          <w:bCs/>
          <w:sz w:val="24"/>
          <w:szCs w:val="24"/>
          <w:lang w:eastAsia="es-ES" w:bidi="sq-AL"/>
        </w:rPr>
        <w:t>Veprimet për barazinë gjinore</w:t>
      </w:r>
      <w:bookmarkEnd w:id="292"/>
    </w:p>
    <w:p w14:paraId="35D8C979" w14:textId="77777777" w:rsidR="00622884" w:rsidRPr="00622884" w:rsidRDefault="00622884" w:rsidP="00622884">
      <w:pPr>
        <w:spacing w:after="0" w:line="240" w:lineRule="auto"/>
        <w:ind w:firstLine="284"/>
        <w:rPr>
          <w:rFonts w:ascii="Garamond" w:eastAsia="Open Sans Light" w:hAnsi="Garamond" w:cs="Calibri Light"/>
          <w:sz w:val="24"/>
          <w:szCs w:val="24"/>
          <w:lang w:eastAsia="en-US"/>
        </w:rPr>
      </w:pPr>
      <w:r w:rsidRPr="00622884">
        <w:rPr>
          <w:rFonts w:ascii="Garamond" w:eastAsia="Calibri" w:hAnsi="Garamond" w:cs="Times New Roman"/>
          <w:sz w:val="24"/>
          <w:szCs w:val="24"/>
          <w:lang w:eastAsia="en-US" w:bidi="sq-AL"/>
        </w:rPr>
        <w:t>Për secilin sektor, Plani i Veprimit për Barazinë Gjinore plotëson listën e 66 masave të përshtatjes të prioritizuara për NAP-in, duke përfshirë rekomandime dhe konsiderata specifike për të përfshirë elementet gjinore në hartimin dhe zbatimin e NAP-it. Kjo qasje siguron se:</w:t>
      </w:r>
    </w:p>
    <w:p w14:paraId="58B6073D" w14:textId="77777777" w:rsidR="00622884" w:rsidRPr="00622884" w:rsidRDefault="00622884" w:rsidP="00622884">
      <w:pPr>
        <w:tabs>
          <w:tab w:val="left" w:pos="5325"/>
        </w:tabs>
        <w:spacing w:after="0" w:line="240" w:lineRule="auto"/>
        <w:ind w:firstLine="284"/>
        <w:rPr>
          <w:rFonts w:ascii="Garamond" w:eastAsia="Open Sans Light" w:hAnsi="Garamond" w:cs="Calibri Light"/>
          <w:sz w:val="24"/>
          <w:szCs w:val="24"/>
          <w:lang w:eastAsia="en-US"/>
        </w:rPr>
      </w:pPr>
      <w:r w:rsidRPr="00622884">
        <w:rPr>
          <w:rFonts w:ascii="Garamond" w:eastAsia="Calibri" w:hAnsi="Garamond" w:cs="Times New Roman"/>
          <w:sz w:val="24"/>
          <w:szCs w:val="24"/>
          <w:lang w:eastAsia="en-US" w:bidi="sq-AL"/>
        </w:rPr>
        <w:t>- Konsideratat gjinore janë përfshirë në kuadrin parësor të përshtatjes ndaj klimës në Shqipëri.</w:t>
      </w:r>
    </w:p>
    <w:p w14:paraId="5A4098A8" w14:textId="77777777" w:rsidR="00622884" w:rsidRPr="00622884" w:rsidRDefault="00622884" w:rsidP="00622884">
      <w:pPr>
        <w:tabs>
          <w:tab w:val="left" w:pos="5325"/>
        </w:tabs>
        <w:spacing w:after="0" w:line="240" w:lineRule="auto"/>
        <w:ind w:firstLine="284"/>
        <w:rPr>
          <w:rFonts w:ascii="Garamond" w:eastAsia="Open Sans Light" w:hAnsi="Garamond" w:cs="Calibri Light"/>
          <w:sz w:val="24"/>
          <w:szCs w:val="24"/>
          <w:lang w:eastAsia="en-US"/>
        </w:rPr>
      </w:pPr>
      <w:r w:rsidRPr="00622884">
        <w:rPr>
          <w:rFonts w:ascii="Garamond" w:eastAsia="Calibri" w:hAnsi="Garamond" w:cs="Times New Roman"/>
          <w:sz w:val="24"/>
          <w:szCs w:val="24"/>
          <w:lang w:eastAsia="en-US" w:bidi="sq-AL"/>
        </w:rPr>
        <w:t xml:space="preserve">- Zbatimi mbetet në përputhje me prioritetet e përgjithshme kombëtare të përshtatjes. </w:t>
      </w:r>
    </w:p>
    <w:p w14:paraId="7B2D5BA4" w14:textId="77777777" w:rsidR="00622884" w:rsidRPr="00622884" w:rsidRDefault="00622884" w:rsidP="00622884">
      <w:pPr>
        <w:tabs>
          <w:tab w:val="left" w:pos="5325"/>
        </w:tabs>
        <w:spacing w:after="0" w:line="240" w:lineRule="auto"/>
        <w:ind w:firstLine="284"/>
        <w:rPr>
          <w:rFonts w:ascii="Garamond" w:eastAsia="Open Sans Light" w:hAnsi="Garamond" w:cs="Calibri Light"/>
          <w:sz w:val="24"/>
          <w:szCs w:val="24"/>
          <w:lang w:eastAsia="en-US"/>
        </w:rPr>
      </w:pPr>
      <w:r w:rsidRPr="00622884">
        <w:rPr>
          <w:rFonts w:ascii="Garamond" w:eastAsia="Calibri" w:hAnsi="Garamond" w:cs="Times New Roman"/>
          <w:sz w:val="24"/>
          <w:szCs w:val="24"/>
          <w:lang w:eastAsia="en-US" w:bidi="sq-AL"/>
        </w:rPr>
        <w:t>- Burimet përdoren në mënyrë efikase duke u mbështetur në veprimet e planifikuara ekzistuese.</w:t>
      </w:r>
    </w:p>
    <w:p w14:paraId="16219106" w14:textId="77777777" w:rsidR="00622884" w:rsidRPr="00622884" w:rsidRDefault="00622884" w:rsidP="00622884">
      <w:pPr>
        <w:tabs>
          <w:tab w:val="left" w:pos="5325"/>
        </w:tabs>
        <w:spacing w:after="0" w:line="240" w:lineRule="auto"/>
        <w:ind w:firstLine="284"/>
        <w:rPr>
          <w:rFonts w:ascii="Garamond" w:eastAsia="Open Sans Light" w:hAnsi="Garamond" w:cs="Calibri Light"/>
          <w:sz w:val="24"/>
          <w:szCs w:val="24"/>
          <w:lang w:eastAsia="en-US"/>
        </w:rPr>
      </w:pPr>
      <w:r w:rsidRPr="00622884">
        <w:rPr>
          <w:rFonts w:ascii="Garamond" w:eastAsia="Calibri" w:hAnsi="Garamond" w:cs="Times New Roman"/>
          <w:sz w:val="24"/>
          <w:szCs w:val="24"/>
          <w:lang w:eastAsia="en-US" w:bidi="sq-AL"/>
        </w:rPr>
        <w:t>Veprimi i përgjigjshëm gjinor për të plotësuar masat e përshtatjes të NAP-it synon të:</w:t>
      </w:r>
    </w:p>
    <w:p w14:paraId="20C56321" w14:textId="77777777" w:rsidR="00622884" w:rsidRPr="00622884" w:rsidRDefault="00622884" w:rsidP="00622884">
      <w:pPr>
        <w:tabs>
          <w:tab w:val="left" w:pos="5325"/>
        </w:tabs>
        <w:spacing w:after="0" w:line="240" w:lineRule="auto"/>
        <w:ind w:firstLine="284"/>
        <w:rPr>
          <w:rFonts w:ascii="Garamond" w:eastAsia="Open Sans Light" w:hAnsi="Garamond" w:cs="Calibri Light"/>
          <w:sz w:val="24"/>
          <w:szCs w:val="24"/>
          <w:lang w:eastAsia="en-US"/>
        </w:rPr>
      </w:pPr>
      <w:r w:rsidRPr="00622884">
        <w:rPr>
          <w:rFonts w:ascii="Garamond" w:eastAsia="Calibri" w:hAnsi="Garamond" w:cs="Times New Roman"/>
          <w:sz w:val="24"/>
          <w:szCs w:val="24"/>
          <w:lang w:eastAsia="en-US" w:bidi="sq-AL"/>
        </w:rPr>
        <w:t>- Rrisë pjesëmarrjen e grave në proceset e vendimmarrjes që lidhen me përshtatjen ndaj klimës.</w:t>
      </w:r>
    </w:p>
    <w:p w14:paraId="4F78BB8F" w14:textId="77777777" w:rsidR="00622884" w:rsidRPr="00622884" w:rsidRDefault="00622884" w:rsidP="00622884">
      <w:pPr>
        <w:tabs>
          <w:tab w:val="left" w:pos="5325"/>
        </w:tabs>
        <w:spacing w:after="0" w:line="240" w:lineRule="auto"/>
        <w:ind w:firstLine="284"/>
        <w:rPr>
          <w:rFonts w:ascii="Garamond" w:eastAsia="Open Sans Light" w:hAnsi="Garamond" w:cs="Calibri Light"/>
          <w:sz w:val="24"/>
          <w:szCs w:val="24"/>
          <w:lang w:eastAsia="en-US"/>
        </w:rPr>
      </w:pPr>
      <w:r w:rsidRPr="00622884">
        <w:rPr>
          <w:rFonts w:ascii="Garamond" w:eastAsia="Calibri" w:hAnsi="Garamond" w:cs="Times New Roman"/>
          <w:sz w:val="24"/>
          <w:szCs w:val="24"/>
          <w:lang w:eastAsia="en-US" w:bidi="sq-AL"/>
        </w:rPr>
        <w:t>- Shtojë qasjen e grave në burime, teknologji dhe informacion të nevojshëm për aftësi ripërtëritëse ndaj klimës.</w:t>
      </w:r>
    </w:p>
    <w:p w14:paraId="65C03D3B" w14:textId="77777777" w:rsidR="00622884" w:rsidRPr="00622884" w:rsidRDefault="00622884" w:rsidP="00622884">
      <w:pPr>
        <w:tabs>
          <w:tab w:val="left" w:pos="5325"/>
        </w:tabs>
        <w:spacing w:after="0" w:line="240" w:lineRule="auto"/>
        <w:ind w:firstLine="284"/>
        <w:rPr>
          <w:rFonts w:ascii="Garamond" w:eastAsia="Open Sans Light" w:hAnsi="Garamond" w:cs="Calibri Light"/>
          <w:sz w:val="24"/>
          <w:szCs w:val="24"/>
          <w:lang w:eastAsia="en-US"/>
        </w:rPr>
      </w:pPr>
      <w:r w:rsidRPr="00622884">
        <w:rPr>
          <w:rFonts w:ascii="Garamond" w:eastAsia="Calibri" w:hAnsi="Garamond" w:cs="Times New Roman"/>
          <w:sz w:val="24"/>
          <w:szCs w:val="24"/>
          <w:lang w:eastAsia="en-US" w:bidi="sq-AL"/>
        </w:rPr>
        <w:t>- Adresojë cenueshmëritë specifike gjinore ndaj ndikimeve klimatike.</w:t>
      </w:r>
    </w:p>
    <w:p w14:paraId="1AF9E9EF" w14:textId="77777777" w:rsidR="00622884" w:rsidRPr="00622884" w:rsidRDefault="00622884" w:rsidP="00622884">
      <w:pPr>
        <w:tabs>
          <w:tab w:val="left" w:pos="5325"/>
        </w:tabs>
        <w:spacing w:after="0" w:line="240" w:lineRule="auto"/>
        <w:ind w:firstLine="284"/>
        <w:rPr>
          <w:rFonts w:ascii="Garamond" w:eastAsia="Open Sans Light" w:hAnsi="Garamond" w:cs="Calibri Light"/>
          <w:sz w:val="24"/>
          <w:szCs w:val="24"/>
          <w:lang w:eastAsia="en-US"/>
        </w:rPr>
      </w:pPr>
      <w:r w:rsidRPr="00622884">
        <w:rPr>
          <w:rFonts w:ascii="Garamond" w:eastAsia="Calibri" w:hAnsi="Garamond" w:cs="Times New Roman"/>
          <w:sz w:val="24"/>
          <w:szCs w:val="24"/>
          <w:lang w:eastAsia="en-US" w:bidi="sq-AL"/>
        </w:rPr>
        <w:t xml:space="preserve">- Promovojë lidershipin e grave në nismat për aftësi ripërtëritëse ndaj klimës. </w:t>
      </w:r>
    </w:p>
    <w:p w14:paraId="00904614" w14:textId="77777777" w:rsidR="00622884" w:rsidRPr="00622884" w:rsidRDefault="00622884" w:rsidP="00622884">
      <w:pPr>
        <w:tabs>
          <w:tab w:val="left" w:pos="5325"/>
        </w:tabs>
        <w:spacing w:after="0" w:line="240" w:lineRule="auto"/>
        <w:ind w:firstLine="284"/>
        <w:rPr>
          <w:rFonts w:ascii="Garamond" w:eastAsia="Open Sans Light" w:hAnsi="Garamond" w:cs="Calibri Light"/>
          <w:sz w:val="24"/>
          <w:szCs w:val="24"/>
          <w:lang w:eastAsia="en-US"/>
        </w:rPr>
      </w:pPr>
      <w:r w:rsidRPr="00622884">
        <w:rPr>
          <w:rFonts w:ascii="Garamond" w:eastAsia="Calibri" w:hAnsi="Garamond" w:cs="Times New Roman"/>
          <w:sz w:val="24"/>
          <w:szCs w:val="24"/>
          <w:lang w:eastAsia="en-US" w:bidi="sq-AL"/>
        </w:rPr>
        <w:t>- Sigurojë që përfitimet e përshtatjes të shpërndahen në mënyrë të barabartë.</w:t>
      </w:r>
    </w:p>
    <w:p w14:paraId="39DD0EFC" w14:textId="77777777" w:rsidR="00622884" w:rsidRPr="00622884" w:rsidRDefault="00622884" w:rsidP="00622884">
      <w:pPr>
        <w:spacing w:after="0" w:line="240" w:lineRule="auto"/>
        <w:ind w:firstLine="284"/>
        <w:rPr>
          <w:rFonts w:ascii="Garamond" w:eastAsia="Open Sans Light" w:hAnsi="Garamond" w:cs="Calibri Light"/>
          <w:sz w:val="24"/>
          <w:szCs w:val="24"/>
          <w:lang w:eastAsia="en-US"/>
        </w:rPr>
      </w:pPr>
      <w:r w:rsidRPr="00622884">
        <w:rPr>
          <w:rFonts w:ascii="Garamond" w:eastAsia="Calibri" w:hAnsi="Garamond" w:cs="Times New Roman"/>
          <w:sz w:val="24"/>
          <w:szCs w:val="24"/>
          <w:lang w:eastAsia="en-US" w:bidi="sq-AL"/>
        </w:rPr>
        <w:t xml:space="preserve">PVBGJ-ja përshkruan masa </w:t>
      </w:r>
      <w:r w:rsidRPr="00622884">
        <w:rPr>
          <w:rFonts w:ascii="Garamond" w:eastAsia="Calibri" w:hAnsi="Garamond" w:cs="Times New Roman"/>
          <w:b/>
          <w:sz w:val="24"/>
          <w:szCs w:val="24"/>
          <w:lang w:eastAsia="en-US" w:bidi="sq-AL"/>
        </w:rPr>
        <w:t>ndërsektoriale</w:t>
      </w:r>
      <w:r w:rsidRPr="00622884">
        <w:rPr>
          <w:rFonts w:ascii="Garamond" w:eastAsia="Calibri" w:hAnsi="Garamond" w:cs="Times New Roman"/>
          <w:sz w:val="24"/>
          <w:szCs w:val="24"/>
          <w:lang w:eastAsia="en-US" w:bidi="sq-AL"/>
        </w:rPr>
        <w:t xml:space="preserve"> gjinore që shtrihen në të gjitha fushat e përshtatjes. Këto masa krijojnë kushtet e nevojshme për zbatim efektiv dhe gjithëpërfshirës, </w:t>
      </w:r>
      <w:r w:rsidRPr="00622884">
        <w:rPr>
          <w:rFonts w:ascii="Times New Roman" w:eastAsia="Calibri" w:hAnsi="Times New Roman" w:cs="Times New Roman"/>
          <w:sz w:val="24"/>
          <w:szCs w:val="24"/>
          <w:lang w:eastAsia="en-US" w:bidi="sq-AL"/>
        </w:rPr>
        <w:t>​​</w:t>
      </w:r>
      <w:r w:rsidRPr="00622884">
        <w:rPr>
          <w:rFonts w:ascii="Garamond" w:eastAsia="Calibri" w:hAnsi="Garamond" w:cs="Times New Roman"/>
          <w:sz w:val="24"/>
          <w:szCs w:val="24"/>
          <w:lang w:eastAsia="en-US" w:bidi="sq-AL"/>
        </w:rPr>
        <w:t>duke siguruar q</w:t>
      </w:r>
      <w:r w:rsidRPr="00622884">
        <w:rPr>
          <w:rFonts w:ascii="Garamond" w:eastAsia="Calibri" w:hAnsi="Garamond" w:cs="Garamond"/>
          <w:sz w:val="24"/>
          <w:szCs w:val="24"/>
          <w:lang w:eastAsia="en-US" w:bidi="sq-AL"/>
        </w:rPr>
        <w:t>ë</w:t>
      </w:r>
      <w:r w:rsidRPr="00622884">
        <w:rPr>
          <w:rFonts w:ascii="Garamond" w:eastAsia="Calibri" w:hAnsi="Garamond" w:cs="Times New Roman"/>
          <w:sz w:val="24"/>
          <w:szCs w:val="24"/>
          <w:lang w:eastAsia="en-US" w:bidi="sq-AL"/>
        </w:rPr>
        <w:t xml:space="preserve"> barazia gjinore t</w:t>
      </w:r>
      <w:r w:rsidRPr="00622884">
        <w:rPr>
          <w:rFonts w:ascii="Garamond" w:eastAsia="Calibri" w:hAnsi="Garamond" w:cs="Garamond"/>
          <w:sz w:val="24"/>
          <w:szCs w:val="24"/>
          <w:lang w:eastAsia="en-US" w:bidi="sq-AL"/>
        </w:rPr>
        <w:t>ë</w:t>
      </w:r>
      <w:r w:rsidRPr="00622884">
        <w:rPr>
          <w:rFonts w:ascii="Garamond" w:eastAsia="Calibri" w:hAnsi="Garamond" w:cs="Times New Roman"/>
          <w:sz w:val="24"/>
          <w:szCs w:val="24"/>
          <w:lang w:eastAsia="en-US" w:bidi="sq-AL"/>
        </w:rPr>
        <w:t xml:space="preserve"> jet</w:t>
      </w:r>
      <w:r w:rsidRPr="00622884">
        <w:rPr>
          <w:rFonts w:ascii="Garamond" w:eastAsia="Calibri" w:hAnsi="Garamond" w:cs="Garamond"/>
          <w:sz w:val="24"/>
          <w:szCs w:val="24"/>
          <w:lang w:eastAsia="en-US" w:bidi="sq-AL"/>
        </w:rPr>
        <w:t>ë</w:t>
      </w:r>
      <w:r w:rsidRPr="00622884">
        <w:rPr>
          <w:rFonts w:ascii="Garamond" w:eastAsia="Calibri" w:hAnsi="Garamond" w:cs="Times New Roman"/>
          <w:sz w:val="24"/>
          <w:szCs w:val="24"/>
          <w:lang w:eastAsia="en-US" w:bidi="sq-AL"/>
        </w:rPr>
        <w:t xml:space="preserve"> e integruar vazhdimisht n</w:t>
      </w:r>
      <w:r w:rsidRPr="00622884">
        <w:rPr>
          <w:rFonts w:ascii="Garamond" w:eastAsia="Calibri" w:hAnsi="Garamond" w:cs="Garamond"/>
          <w:sz w:val="24"/>
          <w:szCs w:val="24"/>
          <w:lang w:eastAsia="en-US" w:bidi="sq-AL"/>
        </w:rPr>
        <w:t>ë</w:t>
      </w:r>
      <w:r w:rsidRPr="00622884">
        <w:rPr>
          <w:rFonts w:ascii="Garamond" w:eastAsia="Calibri" w:hAnsi="Garamond" w:cs="Times New Roman"/>
          <w:sz w:val="24"/>
          <w:szCs w:val="24"/>
          <w:lang w:eastAsia="en-US" w:bidi="sq-AL"/>
        </w:rPr>
        <w:t xml:space="preserve"> qeverisje, ngritje kapacitetesh, mbledhjen e t</w:t>
      </w:r>
      <w:r w:rsidRPr="00622884">
        <w:rPr>
          <w:rFonts w:ascii="Garamond" w:eastAsia="Calibri" w:hAnsi="Garamond" w:cs="Garamond"/>
          <w:sz w:val="24"/>
          <w:szCs w:val="24"/>
          <w:lang w:eastAsia="en-US" w:bidi="sq-AL"/>
        </w:rPr>
        <w:t>ë</w:t>
      </w:r>
      <w:r w:rsidRPr="00622884">
        <w:rPr>
          <w:rFonts w:ascii="Garamond" w:eastAsia="Calibri" w:hAnsi="Garamond" w:cs="Times New Roman"/>
          <w:sz w:val="24"/>
          <w:szCs w:val="24"/>
          <w:lang w:eastAsia="en-US" w:bidi="sq-AL"/>
        </w:rPr>
        <w:t xml:space="preserve"> dh</w:t>
      </w:r>
      <w:r w:rsidRPr="00622884">
        <w:rPr>
          <w:rFonts w:ascii="Garamond" w:eastAsia="Calibri" w:hAnsi="Garamond" w:cs="Garamond"/>
          <w:sz w:val="24"/>
          <w:szCs w:val="24"/>
          <w:lang w:eastAsia="en-US" w:bidi="sq-AL"/>
        </w:rPr>
        <w:t>ë</w:t>
      </w:r>
      <w:r w:rsidRPr="00622884">
        <w:rPr>
          <w:rFonts w:ascii="Garamond" w:eastAsia="Calibri" w:hAnsi="Garamond" w:cs="Times New Roman"/>
          <w:sz w:val="24"/>
          <w:szCs w:val="24"/>
          <w:lang w:eastAsia="en-US" w:bidi="sq-AL"/>
        </w:rPr>
        <w:t>nave, financa dhe menaxhim t</w:t>
      </w:r>
      <w:r w:rsidRPr="00622884">
        <w:rPr>
          <w:rFonts w:ascii="Garamond" w:eastAsia="Calibri" w:hAnsi="Garamond" w:cs="Garamond"/>
          <w:sz w:val="24"/>
          <w:szCs w:val="24"/>
          <w:lang w:eastAsia="en-US" w:bidi="sq-AL"/>
        </w:rPr>
        <w:t>ë</w:t>
      </w:r>
      <w:r w:rsidRPr="00622884">
        <w:rPr>
          <w:rFonts w:ascii="Garamond" w:eastAsia="Calibri" w:hAnsi="Garamond" w:cs="Times New Roman"/>
          <w:sz w:val="24"/>
          <w:szCs w:val="24"/>
          <w:lang w:eastAsia="en-US" w:bidi="sq-AL"/>
        </w:rPr>
        <w:t xml:space="preserve"> riskut nga fatkeq</w:t>
      </w:r>
      <w:r w:rsidRPr="00622884">
        <w:rPr>
          <w:rFonts w:ascii="Garamond" w:eastAsia="Calibri" w:hAnsi="Garamond" w:cs="Garamond"/>
          <w:sz w:val="24"/>
          <w:szCs w:val="24"/>
          <w:lang w:eastAsia="en-US" w:bidi="sq-AL"/>
        </w:rPr>
        <w:t>ë</w:t>
      </w:r>
      <w:r w:rsidRPr="00622884">
        <w:rPr>
          <w:rFonts w:ascii="Garamond" w:eastAsia="Calibri" w:hAnsi="Garamond" w:cs="Times New Roman"/>
          <w:sz w:val="24"/>
          <w:szCs w:val="24"/>
          <w:lang w:eastAsia="en-US" w:bidi="sq-AL"/>
        </w:rPr>
        <w:t>sit</w:t>
      </w:r>
      <w:r w:rsidRPr="00622884">
        <w:rPr>
          <w:rFonts w:ascii="Garamond" w:eastAsia="Calibri" w:hAnsi="Garamond" w:cs="Garamond"/>
          <w:sz w:val="24"/>
          <w:szCs w:val="24"/>
          <w:lang w:eastAsia="en-US" w:bidi="sq-AL"/>
        </w:rPr>
        <w:t>ë</w:t>
      </w:r>
      <w:r w:rsidRPr="00622884">
        <w:rPr>
          <w:rFonts w:ascii="Garamond" w:eastAsia="Calibri" w:hAnsi="Garamond" w:cs="Times New Roman"/>
          <w:sz w:val="24"/>
          <w:szCs w:val="24"/>
          <w:lang w:eastAsia="en-US" w:bidi="sq-AL"/>
        </w:rPr>
        <w:t>. K</w:t>
      </w:r>
      <w:r w:rsidRPr="00622884">
        <w:rPr>
          <w:rFonts w:ascii="Garamond" w:eastAsia="Calibri" w:hAnsi="Garamond" w:cs="Garamond"/>
          <w:sz w:val="24"/>
          <w:szCs w:val="24"/>
          <w:lang w:eastAsia="en-US" w:bidi="sq-AL"/>
        </w:rPr>
        <w:t>ë</w:t>
      </w:r>
      <w:r w:rsidRPr="00622884">
        <w:rPr>
          <w:rFonts w:ascii="Garamond" w:eastAsia="Calibri" w:hAnsi="Garamond" w:cs="Times New Roman"/>
          <w:sz w:val="24"/>
          <w:szCs w:val="24"/>
          <w:lang w:eastAsia="en-US" w:bidi="sq-AL"/>
        </w:rPr>
        <w:t>t</w:t>
      </w:r>
      <w:r w:rsidRPr="00622884">
        <w:rPr>
          <w:rFonts w:ascii="Garamond" w:eastAsia="Calibri" w:hAnsi="Garamond" w:cs="Garamond"/>
          <w:sz w:val="24"/>
          <w:szCs w:val="24"/>
          <w:lang w:eastAsia="en-US" w:bidi="sq-AL"/>
        </w:rPr>
        <w:t>ë</w:t>
      </w:r>
      <w:r w:rsidRPr="00622884">
        <w:rPr>
          <w:rFonts w:ascii="Garamond" w:eastAsia="Calibri" w:hAnsi="Garamond" w:cs="Times New Roman"/>
          <w:sz w:val="24"/>
          <w:szCs w:val="24"/>
          <w:lang w:eastAsia="en-US" w:bidi="sq-AL"/>
        </w:rPr>
        <w:t xml:space="preserve"> qasje ndërsektoriale e paraqesin prioritetet e mëposhtme:</w:t>
      </w:r>
    </w:p>
    <w:p w14:paraId="7094A958" w14:textId="77777777" w:rsidR="00622884" w:rsidRPr="00622884" w:rsidRDefault="00622884" w:rsidP="00622884">
      <w:pPr>
        <w:tabs>
          <w:tab w:val="left" w:pos="5325"/>
        </w:tabs>
        <w:spacing w:after="0" w:line="240" w:lineRule="auto"/>
        <w:ind w:firstLine="284"/>
        <w:rPr>
          <w:rFonts w:ascii="Garamond" w:eastAsia="Open Sans Light" w:hAnsi="Garamond" w:cs="Calibri Light"/>
          <w:sz w:val="24"/>
          <w:szCs w:val="24"/>
          <w:lang w:eastAsia="en-US"/>
        </w:rPr>
      </w:pPr>
      <w:r w:rsidRPr="00622884">
        <w:rPr>
          <w:rFonts w:ascii="Garamond" w:eastAsia="Calibri" w:hAnsi="Garamond" w:cs="Times New Roman"/>
          <w:sz w:val="24"/>
          <w:szCs w:val="24"/>
          <w:lang w:eastAsia="en-US" w:bidi="sq-AL"/>
        </w:rPr>
        <w:t>-</w:t>
      </w:r>
      <w:r w:rsidRPr="00622884">
        <w:rPr>
          <w:rFonts w:ascii="Garamond" w:eastAsia="Calibri" w:hAnsi="Garamond" w:cs="Times New Roman"/>
          <w:b/>
          <w:sz w:val="24"/>
          <w:szCs w:val="24"/>
          <w:lang w:eastAsia="en-US" w:bidi="sq-AL"/>
        </w:rPr>
        <w:t xml:space="preserve"> Qeverisja gjithëpërfshirëse:</w:t>
      </w:r>
      <w:r w:rsidRPr="00622884">
        <w:rPr>
          <w:rFonts w:ascii="Garamond" w:eastAsia="Calibri" w:hAnsi="Garamond" w:cs="Times New Roman"/>
          <w:sz w:val="24"/>
          <w:szCs w:val="24"/>
          <w:lang w:eastAsia="en-US" w:bidi="sq-AL"/>
        </w:rPr>
        <w:t xml:space="preserve"> Të garantohet </w:t>
      </w:r>
      <w:r w:rsidRPr="00622884">
        <w:rPr>
          <w:rFonts w:ascii="Garamond" w:eastAsia="Calibri" w:hAnsi="Garamond" w:cs="Times New Roman"/>
          <w:b/>
          <w:sz w:val="24"/>
          <w:szCs w:val="24"/>
          <w:lang w:eastAsia="en-US" w:bidi="sq-AL"/>
        </w:rPr>
        <w:t>përfaqësimi i balancuar i grave dhe burrave</w:t>
      </w:r>
      <w:r w:rsidRPr="00622884">
        <w:rPr>
          <w:rFonts w:ascii="Garamond" w:eastAsia="Calibri" w:hAnsi="Garamond" w:cs="Times New Roman"/>
          <w:sz w:val="24"/>
          <w:szCs w:val="24"/>
          <w:lang w:eastAsia="en-US" w:bidi="sq-AL"/>
        </w:rPr>
        <w:t xml:space="preserve"> në Grupin Ndërministror të Punës për Ndryshimet Klimatike (GNPNK) dhe në të gjitha Grupet sektoriale Teknike të Punës (GTP). Të caktohen </w:t>
      </w:r>
      <w:r w:rsidRPr="00622884">
        <w:rPr>
          <w:rFonts w:ascii="Garamond" w:eastAsia="Calibri" w:hAnsi="Garamond" w:cs="Times New Roman"/>
          <w:b/>
          <w:sz w:val="24"/>
          <w:szCs w:val="24"/>
          <w:lang w:eastAsia="en-US" w:bidi="sq-AL"/>
        </w:rPr>
        <w:t>pika fokale për çështjet gjinore</w:t>
      </w:r>
      <w:r w:rsidRPr="00622884">
        <w:rPr>
          <w:rFonts w:ascii="Garamond" w:eastAsia="Calibri" w:hAnsi="Garamond" w:cs="Times New Roman"/>
          <w:sz w:val="24"/>
          <w:szCs w:val="24"/>
          <w:lang w:eastAsia="en-US" w:bidi="sq-AL"/>
        </w:rPr>
        <w:t xml:space="preserve"> në ministritë dhe agjencitë kryesore për të këshilluar dhe monitoruar barazinë gjinore në veprimet e përshtatjes;</w:t>
      </w:r>
    </w:p>
    <w:p w14:paraId="12318B6F" w14:textId="77777777" w:rsidR="00622884" w:rsidRPr="00622884" w:rsidRDefault="00622884" w:rsidP="00622884">
      <w:pPr>
        <w:tabs>
          <w:tab w:val="left" w:pos="5325"/>
        </w:tabs>
        <w:spacing w:after="0" w:line="240" w:lineRule="auto"/>
        <w:ind w:firstLine="284"/>
        <w:rPr>
          <w:rFonts w:ascii="Garamond" w:eastAsia="Open Sans Light" w:hAnsi="Garamond" w:cs="Calibri Light"/>
          <w:sz w:val="24"/>
          <w:szCs w:val="24"/>
          <w:lang w:eastAsia="en-US"/>
        </w:rPr>
      </w:pPr>
      <w:r w:rsidRPr="00622884">
        <w:rPr>
          <w:rFonts w:ascii="Garamond" w:eastAsia="Calibri" w:hAnsi="Garamond" w:cs="Times New Roman"/>
          <w:sz w:val="24"/>
          <w:szCs w:val="24"/>
          <w:lang w:eastAsia="en-US" w:bidi="sq-AL"/>
        </w:rPr>
        <w:t>-</w:t>
      </w:r>
      <w:r w:rsidRPr="00622884">
        <w:rPr>
          <w:rFonts w:ascii="Garamond" w:eastAsia="Calibri" w:hAnsi="Garamond" w:cs="Times New Roman"/>
          <w:b/>
          <w:sz w:val="24"/>
          <w:szCs w:val="24"/>
          <w:lang w:eastAsia="en-US" w:bidi="sq-AL"/>
        </w:rPr>
        <w:t xml:space="preserve"> Zhvillimi i kapaciteteve:</w:t>
      </w:r>
      <w:r w:rsidRPr="00622884">
        <w:rPr>
          <w:rFonts w:ascii="Garamond" w:eastAsia="Calibri" w:hAnsi="Garamond" w:cs="Times New Roman"/>
          <w:sz w:val="24"/>
          <w:szCs w:val="24"/>
          <w:lang w:eastAsia="en-US" w:bidi="sq-AL"/>
        </w:rPr>
        <w:t xml:space="preserve"> Të ofrohen </w:t>
      </w:r>
      <w:r w:rsidRPr="00622884">
        <w:rPr>
          <w:rFonts w:ascii="Garamond" w:eastAsia="Calibri" w:hAnsi="Garamond" w:cs="Times New Roman"/>
          <w:b/>
          <w:sz w:val="24"/>
          <w:szCs w:val="24"/>
          <w:lang w:eastAsia="en-US" w:bidi="sq-AL"/>
        </w:rPr>
        <w:t>trajnime mbi gjininë dhe klimën</w:t>
      </w:r>
      <w:r w:rsidRPr="00622884">
        <w:rPr>
          <w:rFonts w:ascii="Garamond" w:eastAsia="Calibri" w:hAnsi="Garamond" w:cs="Times New Roman"/>
          <w:sz w:val="24"/>
          <w:szCs w:val="24"/>
          <w:lang w:eastAsia="en-US" w:bidi="sq-AL"/>
        </w:rPr>
        <w:t xml:space="preserve"> për politikëbërësit, planifikuesit dhe zbatuesit në nivel kombëtar dhe vendor. Të forcohet aftësia e institucioneve për të zbatuar </w:t>
      </w:r>
      <w:r w:rsidRPr="00622884">
        <w:rPr>
          <w:rFonts w:ascii="Garamond" w:eastAsia="Calibri" w:hAnsi="Garamond" w:cs="Times New Roman"/>
          <w:b/>
          <w:sz w:val="24"/>
          <w:szCs w:val="24"/>
          <w:lang w:eastAsia="en-US" w:bidi="sq-AL"/>
        </w:rPr>
        <w:t>analizën gjinore, buxhetimin e përgjigjshëm gjinor dhe hartimin gjithëpërfshirës të projekteve;</w:t>
      </w:r>
    </w:p>
    <w:p w14:paraId="11BEDB8C" w14:textId="77777777" w:rsidR="00622884" w:rsidRPr="00622884" w:rsidRDefault="00622884" w:rsidP="00622884">
      <w:pPr>
        <w:tabs>
          <w:tab w:val="left" w:pos="5325"/>
        </w:tabs>
        <w:spacing w:after="0" w:line="240" w:lineRule="auto"/>
        <w:ind w:firstLine="284"/>
        <w:rPr>
          <w:rFonts w:ascii="Garamond" w:eastAsia="Open Sans Light" w:hAnsi="Garamond" w:cs="Calibri Light"/>
          <w:sz w:val="24"/>
          <w:szCs w:val="24"/>
          <w:lang w:eastAsia="en-US"/>
        </w:rPr>
      </w:pPr>
      <w:r w:rsidRPr="00622884">
        <w:rPr>
          <w:rFonts w:ascii="Garamond" w:eastAsia="Calibri" w:hAnsi="Garamond" w:cs="Times New Roman"/>
          <w:sz w:val="24"/>
          <w:szCs w:val="24"/>
          <w:lang w:eastAsia="en-US" w:bidi="sq-AL"/>
        </w:rPr>
        <w:lastRenderedPageBreak/>
        <w:t>-</w:t>
      </w:r>
      <w:r w:rsidRPr="00622884">
        <w:rPr>
          <w:rFonts w:ascii="Garamond" w:eastAsia="Calibri" w:hAnsi="Garamond" w:cs="Times New Roman"/>
          <w:b/>
          <w:sz w:val="24"/>
          <w:szCs w:val="24"/>
          <w:lang w:eastAsia="en-US" w:bidi="sq-AL"/>
        </w:rPr>
        <w:t xml:space="preserve"> Planifikimi i përgjigjshëm gjinor dhe MVN-ja:</w:t>
      </w:r>
      <w:r w:rsidRPr="00622884">
        <w:rPr>
          <w:rFonts w:ascii="Garamond" w:eastAsia="Calibri" w:hAnsi="Garamond" w:cs="Times New Roman"/>
          <w:sz w:val="24"/>
          <w:szCs w:val="24"/>
          <w:lang w:eastAsia="en-US" w:bidi="sq-AL"/>
        </w:rPr>
        <w:t xml:space="preserve"> Të zbatohet sistematikisht </w:t>
      </w:r>
      <w:r w:rsidRPr="00622884">
        <w:rPr>
          <w:rFonts w:ascii="Garamond" w:eastAsia="Calibri" w:hAnsi="Garamond" w:cs="Times New Roman"/>
          <w:b/>
          <w:sz w:val="24"/>
          <w:szCs w:val="24"/>
          <w:lang w:eastAsia="en-US" w:bidi="sq-AL"/>
        </w:rPr>
        <w:t>analiza gjinore</w:t>
      </w:r>
      <w:r w:rsidRPr="00622884">
        <w:rPr>
          <w:rFonts w:ascii="Garamond" w:eastAsia="Calibri" w:hAnsi="Garamond" w:cs="Times New Roman"/>
          <w:sz w:val="24"/>
          <w:szCs w:val="24"/>
          <w:lang w:eastAsia="en-US" w:bidi="sq-AL"/>
        </w:rPr>
        <w:t xml:space="preserve"> në të gjitha ciklet e planifikimit të përshtatjes dhe të projektit. Të përdoren </w:t>
      </w:r>
      <w:r w:rsidRPr="00622884">
        <w:rPr>
          <w:rFonts w:ascii="Garamond" w:eastAsia="Calibri" w:hAnsi="Garamond" w:cs="Times New Roman"/>
          <w:b/>
          <w:sz w:val="24"/>
          <w:szCs w:val="24"/>
          <w:lang w:eastAsia="en-US" w:bidi="sq-AL"/>
        </w:rPr>
        <w:t>tregues të ndarë sipas seksit</w:t>
      </w:r>
      <w:r w:rsidRPr="00622884">
        <w:rPr>
          <w:rFonts w:ascii="Garamond" w:eastAsia="Calibri" w:hAnsi="Garamond" w:cs="Times New Roman"/>
          <w:sz w:val="24"/>
          <w:szCs w:val="24"/>
          <w:lang w:eastAsia="en-US" w:bidi="sq-AL"/>
        </w:rPr>
        <w:t xml:space="preserve"> në sistemin e Monitorimit, Vlerësimit dhe të Nxënit (MVN), të gjurmohen pjesëmarrja dhe përfitimet e grave dhe burrave, dhe të sigurohet </w:t>
      </w:r>
      <w:r w:rsidRPr="00622884">
        <w:rPr>
          <w:rFonts w:ascii="Garamond" w:eastAsia="Calibri" w:hAnsi="Garamond" w:cs="Times New Roman"/>
          <w:b/>
          <w:sz w:val="24"/>
          <w:szCs w:val="24"/>
          <w:lang w:eastAsia="en-US" w:bidi="sq-AL"/>
        </w:rPr>
        <w:t>buxhetim i përgjigjshëm ndaj gjinisë</w:t>
      </w:r>
      <w:r w:rsidRPr="00622884">
        <w:rPr>
          <w:rFonts w:ascii="Garamond" w:eastAsia="Calibri" w:hAnsi="Garamond" w:cs="Times New Roman"/>
          <w:sz w:val="24"/>
          <w:szCs w:val="24"/>
          <w:lang w:eastAsia="en-US" w:bidi="sq-AL"/>
        </w:rPr>
        <w:t>;</w:t>
      </w:r>
    </w:p>
    <w:p w14:paraId="61F94281" w14:textId="77777777" w:rsidR="00622884" w:rsidRPr="00622884" w:rsidRDefault="00622884" w:rsidP="00622884">
      <w:pPr>
        <w:tabs>
          <w:tab w:val="left" w:pos="5325"/>
        </w:tabs>
        <w:spacing w:after="0" w:line="240" w:lineRule="auto"/>
        <w:ind w:firstLine="284"/>
        <w:rPr>
          <w:rFonts w:ascii="Garamond" w:eastAsia="Open Sans Light" w:hAnsi="Garamond" w:cs="Calibri Light"/>
          <w:sz w:val="24"/>
          <w:szCs w:val="24"/>
          <w:lang w:eastAsia="en-US"/>
        </w:rPr>
      </w:pPr>
      <w:r w:rsidRPr="00622884">
        <w:rPr>
          <w:rFonts w:ascii="Garamond" w:eastAsia="Calibri" w:hAnsi="Garamond" w:cs="Times New Roman"/>
          <w:sz w:val="24"/>
          <w:szCs w:val="24"/>
          <w:lang w:eastAsia="en-US" w:bidi="sq-AL"/>
        </w:rPr>
        <w:t>-</w:t>
      </w:r>
      <w:r w:rsidRPr="00622884">
        <w:rPr>
          <w:rFonts w:ascii="Garamond" w:eastAsia="Calibri" w:hAnsi="Garamond" w:cs="Times New Roman"/>
          <w:b/>
          <w:sz w:val="24"/>
          <w:szCs w:val="24"/>
          <w:lang w:eastAsia="en-US" w:bidi="sq-AL"/>
        </w:rPr>
        <w:t xml:space="preserve"> Qasje e barabartë në financa dhe burime:</w:t>
      </w:r>
      <w:r w:rsidRPr="00622884">
        <w:rPr>
          <w:rFonts w:ascii="Garamond" w:eastAsia="Calibri" w:hAnsi="Garamond" w:cs="Times New Roman"/>
          <w:sz w:val="24"/>
          <w:szCs w:val="24"/>
          <w:lang w:eastAsia="en-US" w:bidi="sq-AL"/>
        </w:rPr>
        <w:t xml:space="preserve"> Të hartohen </w:t>
      </w:r>
      <w:r w:rsidRPr="00622884">
        <w:rPr>
          <w:rFonts w:ascii="Garamond" w:eastAsia="Calibri" w:hAnsi="Garamond" w:cs="Times New Roman"/>
          <w:b/>
          <w:sz w:val="24"/>
          <w:szCs w:val="24"/>
          <w:lang w:eastAsia="en-US" w:bidi="sq-AL"/>
        </w:rPr>
        <w:t>mekanizma financimi për përshtatje</w:t>
      </w:r>
      <w:r w:rsidRPr="00622884">
        <w:rPr>
          <w:rFonts w:ascii="Garamond" w:eastAsia="Calibri" w:hAnsi="Garamond" w:cs="Times New Roman"/>
          <w:sz w:val="24"/>
          <w:szCs w:val="24"/>
          <w:lang w:eastAsia="en-US" w:bidi="sq-AL"/>
        </w:rPr>
        <w:t xml:space="preserve"> (grante, garanci, hua me interes të ulët) për të mbuluar </w:t>
      </w:r>
      <w:r w:rsidRPr="00622884">
        <w:rPr>
          <w:rFonts w:ascii="Garamond" w:eastAsia="Calibri" w:hAnsi="Garamond" w:cs="Times New Roman"/>
          <w:b/>
          <w:sz w:val="24"/>
          <w:szCs w:val="24"/>
          <w:lang w:eastAsia="en-US" w:bidi="sq-AL"/>
        </w:rPr>
        <w:t>NMVM-të e drejtuara nga gratë, gratë fermere dhe organizatat e grave</w:t>
      </w:r>
      <w:r w:rsidRPr="00622884">
        <w:rPr>
          <w:rFonts w:ascii="Garamond" w:eastAsia="Calibri" w:hAnsi="Garamond" w:cs="Times New Roman"/>
          <w:sz w:val="24"/>
          <w:szCs w:val="24"/>
          <w:lang w:eastAsia="en-US" w:bidi="sq-AL"/>
        </w:rPr>
        <w:t>. Të promovohet qasja e grave në titujt e pronësisë për tokën, asetet prodhuese dhe shërbimet këshillimore për të mundësuar rolin e tyre aktiv në përshtatje;</w:t>
      </w:r>
    </w:p>
    <w:p w14:paraId="327934FE" w14:textId="77777777" w:rsidR="00622884" w:rsidRPr="00622884" w:rsidRDefault="00622884" w:rsidP="00622884">
      <w:pPr>
        <w:tabs>
          <w:tab w:val="left" w:pos="5325"/>
        </w:tabs>
        <w:spacing w:after="0" w:line="240" w:lineRule="auto"/>
        <w:ind w:firstLine="284"/>
        <w:rPr>
          <w:rFonts w:ascii="Garamond" w:eastAsia="Open Sans Light" w:hAnsi="Garamond" w:cs="Calibri Light"/>
          <w:sz w:val="24"/>
          <w:szCs w:val="24"/>
          <w:lang w:eastAsia="en-US"/>
        </w:rPr>
      </w:pPr>
      <w:r w:rsidRPr="00622884">
        <w:rPr>
          <w:rFonts w:ascii="Garamond" w:eastAsia="Calibri" w:hAnsi="Garamond" w:cs="Times New Roman"/>
          <w:sz w:val="24"/>
          <w:szCs w:val="24"/>
          <w:lang w:eastAsia="en-US" w:bidi="sq-AL"/>
        </w:rPr>
        <w:t>-</w:t>
      </w:r>
      <w:r w:rsidRPr="00622884">
        <w:rPr>
          <w:rFonts w:ascii="Garamond" w:eastAsia="Calibri" w:hAnsi="Garamond" w:cs="Times New Roman"/>
          <w:b/>
          <w:sz w:val="24"/>
          <w:szCs w:val="24"/>
          <w:lang w:eastAsia="en-US" w:bidi="sq-AL"/>
        </w:rPr>
        <w:t xml:space="preserve"> Pjesëmarrje domethënëse e shoqërisë civile:</w:t>
      </w:r>
      <w:r w:rsidRPr="00622884">
        <w:rPr>
          <w:rFonts w:ascii="Garamond" w:eastAsia="Calibri" w:hAnsi="Garamond" w:cs="Times New Roman"/>
          <w:sz w:val="24"/>
          <w:szCs w:val="24"/>
          <w:lang w:eastAsia="en-US" w:bidi="sq-AL"/>
        </w:rPr>
        <w:t xml:space="preserve"> Të përfshihen </w:t>
      </w:r>
      <w:r w:rsidRPr="00622884">
        <w:rPr>
          <w:rFonts w:ascii="Garamond" w:eastAsia="Calibri" w:hAnsi="Garamond" w:cs="Times New Roman"/>
          <w:b/>
          <w:sz w:val="24"/>
          <w:szCs w:val="24"/>
          <w:lang w:eastAsia="en-US" w:bidi="sq-AL"/>
        </w:rPr>
        <w:t>organizatat e grave, grupet rinore dhe OSHC-të vendore</w:t>
      </w:r>
      <w:r w:rsidRPr="00622884">
        <w:rPr>
          <w:rFonts w:ascii="Garamond" w:eastAsia="Calibri" w:hAnsi="Garamond" w:cs="Times New Roman"/>
          <w:sz w:val="24"/>
          <w:szCs w:val="24"/>
          <w:lang w:eastAsia="en-US" w:bidi="sq-AL"/>
        </w:rPr>
        <w:t xml:space="preserve"> në konsultime, hartimin e projekteve dhe monitorim. Të lehtësohen </w:t>
      </w:r>
      <w:r w:rsidRPr="00622884">
        <w:rPr>
          <w:rFonts w:ascii="Garamond" w:eastAsia="Calibri" w:hAnsi="Garamond" w:cs="Times New Roman"/>
          <w:b/>
          <w:sz w:val="24"/>
          <w:szCs w:val="24"/>
          <w:lang w:eastAsia="en-US" w:bidi="sq-AL"/>
        </w:rPr>
        <w:t>nismat e përshtatjes të udhëhequra nga komuniteti</w:t>
      </w:r>
      <w:r w:rsidRPr="00622884">
        <w:rPr>
          <w:rFonts w:ascii="Garamond" w:eastAsia="Calibri" w:hAnsi="Garamond" w:cs="Times New Roman"/>
          <w:sz w:val="24"/>
          <w:szCs w:val="24"/>
          <w:lang w:eastAsia="en-US" w:bidi="sq-AL"/>
        </w:rPr>
        <w:t>, ku si gratë, ashtu edhe burrat mund të udhëheqin dhe të përfitojnë;</w:t>
      </w:r>
    </w:p>
    <w:p w14:paraId="6EF2BDDA" w14:textId="77777777" w:rsidR="00622884" w:rsidRPr="00622884" w:rsidRDefault="00622884" w:rsidP="00622884">
      <w:pPr>
        <w:tabs>
          <w:tab w:val="left" w:pos="5325"/>
        </w:tabs>
        <w:spacing w:after="0" w:line="240" w:lineRule="auto"/>
        <w:ind w:firstLine="284"/>
        <w:rPr>
          <w:rFonts w:ascii="Garamond" w:eastAsia="Open Sans Light" w:hAnsi="Garamond" w:cs="Calibri Light"/>
          <w:sz w:val="24"/>
          <w:szCs w:val="24"/>
          <w:lang w:eastAsia="en-US"/>
        </w:rPr>
      </w:pPr>
      <w:r w:rsidRPr="00622884">
        <w:rPr>
          <w:rFonts w:ascii="Garamond" w:eastAsia="Calibri" w:hAnsi="Garamond" w:cs="Times New Roman"/>
          <w:sz w:val="24"/>
          <w:szCs w:val="24"/>
          <w:lang w:eastAsia="en-US" w:bidi="sq-AL"/>
        </w:rPr>
        <w:t>-</w:t>
      </w:r>
      <w:r w:rsidRPr="00622884">
        <w:rPr>
          <w:rFonts w:ascii="Garamond" w:eastAsia="Calibri" w:hAnsi="Garamond" w:cs="Times New Roman"/>
          <w:b/>
          <w:sz w:val="24"/>
          <w:szCs w:val="24"/>
          <w:lang w:eastAsia="en-US" w:bidi="sq-AL"/>
        </w:rPr>
        <w:t xml:space="preserve"> Menaxhimi me ndjeshmëri gjinore i riskut nga fatkeqësitë:</w:t>
      </w:r>
      <w:r w:rsidRPr="00622884">
        <w:rPr>
          <w:rFonts w:ascii="Garamond" w:eastAsia="Calibri" w:hAnsi="Garamond" w:cs="Times New Roman"/>
          <w:sz w:val="24"/>
          <w:szCs w:val="24"/>
          <w:lang w:eastAsia="en-US" w:bidi="sq-AL"/>
        </w:rPr>
        <w:t xml:space="preserve"> Të integrohen </w:t>
      </w:r>
      <w:r w:rsidRPr="00622884">
        <w:rPr>
          <w:rFonts w:ascii="Garamond" w:eastAsia="Calibri" w:hAnsi="Garamond" w:cs="Times New Roman"/>
          <w:b/>
          <w:sz w:val="24"/>
          <w:szCs w:val="24"/>
          <w:lang w:eastAsia="en-US" w:bidi="sq-AL"/>
        </w:rPr>
        <w:t>sisteme paralajmërimi të hershme që i arrijnë te</w:t>
      </w:r>
      <w:r w:rsidRPr="00622884">
        <w:rPr>
          <w:rFonts w:ascii="Garamond" w:eastAsia="Calibri" w:hAnsi="Garamond" w:cs="Times New Roman"/>
          <w:sz w:val="24"/>
          <w:szCs w:val="24"/>
          <w:lang w:eastAsia="en-US" w:bidi="sq-AL"/>
        </w:rPr>
        <w:t xml:space="preserve"> </w:t>
      </w:r>
      <w:r w:rsidRPr="00622884">
        <w:rPr>
          <w:rFonts w:ascii="Garamond" w:eastAsia="Calibri" w:hAnsi="Garamond" w:cs="Times New Roman"/>
          <w:b/>
          <w:sz w:val="24"/>
          <w:szCs w:val="24"/>
          <w:lang w:eastAsia="en-US" w:bidi="sq-AL"/>
        </w:rPr>
        <w:t>gratë dhe burrat në mënyrë të barabartë</w:t>
      </w:r>
      <w:r w:rsidRPr="00622884">
        <w:rPr>
          <w:rFonts w:ascii="Garamond" w:eastAsia="Calibri" w:hAnsi="Garamond" w:cs="Times New Roman"/>
          <w:sz w:val="24"/>
          <w:szCs w:val="24"/>
          <w:lang w:eastAsia="en-US" w:bidi="sq-AL"/>
        </w:rPr>
        <w:t xml:space="preserve">, të sigurohen </w:t>
      </w:r>
      <w:r w:rsidRPr="00622884">
        <w:rPr>
          <w:rFonts w:ascii="Garamond" w:eastAsia="Calibri" w:hAnsi="Garamond" w:cs="Times New Roman"/>
          <w:b/>
          <w:sz w:val="24"/>
          <w:szCs w:val="24"/>
          <w:lang w:eastAsia="en-US" w:bidi="sq-AL"/>
        </w:rPr>
        <w:t>evakuimi dhe strehimi i sigurt</w:t>
      </w:r>
      <w:r w:rsidRPr="00622884">
        <w:rPr>
          <w:rFonts w:ascii="Garamond" w:eastAsia="Calibri" w:hAnsi="Garamond" w:cs="Times New Roman"/>
          <w:sz w:val="24"/>
          <w:szCs w:val="24"/>
          <w:lang w:eastAsia="en-US" w:bidi="sq-AL"/>
        </w:rPr>
        <w:t xml:space="preserve">, si dhe të integrohet </w:t>
      </w:r>
      <w:r w:rsidRPr="00622884">
        <w:rPr>
          <w:rFonts w:ascii="Garamond" w:eastAsia="Calibri" w:hAnsi="Garamond" w:cs="Times New Roman"/>
          <w:b/>
          <w:sz w:val="24"/>
          <w:szCs w:val="24"/>
          <w:lang w:eastAsia="en-US" w:bidi="sq-AL"/>
        </w:rPr>
        <w:t>mbrojtja nga dhuna me bazë gjinore (DHBGJ)</w:t>
      </w:r>
      <w:r w:rsidRPr="00622884">
        <w:rPr>
          <w:rFonts w:ascii="Garamond" w:eastAsia="Calibri" w:hAnsi="Garamond" w:cs="Times New Roman"/>
          <w:sz w:val="24"/>
          <w:szCs w:val="24"/>
          <w:lang w:eastAsia="en-US" w:bidi="sq-AL"/>
        </w:rPr>
        <w:t xml:space="preserve"> në përgatitjen dhe reagimin ndaj fatkeqësive;</w:t>
      </w:r>
    </w:p>
    <w:p w14:paraId="716A3C45" w14:textId="77777777" w:rsidR="00622884" w:rsidRPr="00622884" w:rsidRDefault="00622884" w:rsidP="00622884">
      <w:pPr>
        <w:tabs>
          <w:tab w:val="left" w:pos="5325"/>
        </w:tabs>
        <w:spacing w:after="0" w:line="240" w:lineRule="auto"/>
        <w:ind w:firstLine="284"/>
        <w:rPr>
          <w:rFonts w:ascii="Garamond" w:eastAsia="Open Sans Light" w:hAnsi="Garamond" w:cs="Calibri Light"/>
          <w:sz w:val="24"/>
          <w:szCs w:val="24"/>
          <w:lang w:eastAsia="en-US"/>
        </w:rPr>
      </w:pPr>
      <w:r w:rsidRPr="00622884">
        <w:rPr>
          <w:rFonts w:ascii="Garamond" w:eastAsia="Calibri" w:hAnsi="Garamond" w:cs="Times New Roman"/>
          <w:sz w:val="24"/>
          <w:szCs w:val="24"/>
          <w:lang w:eastAsia="en-US" w:bidi="sq-AL"/>
        </w:rPr>
        <w:t>-</w:t>
      </w:r>
      <w:r w:rsidRPr="00622884">
        <w:rPr>
          <w:rFonts w:ascii="Garamond" w:eastAsia="Calibri" w:hAnsi="Garamond" w:cs="Times New Roman"/>
          <w:b/>
          <w:sz w:val="24"/>
          <w:szCs w:val="24"/>
          <w:lang w:eastAsia="en-US" w:bidi="sq-AL"/>
        </w:rPr>
        <w:t xml:space="preserve"> Njohuri dhe të dhëna:</w:t>
      </w:r>
      <w:r w:rsidRPr="00622884">
        <w:rPr>
          <w:rFonts w:ascii="Garamond" w:eastAsia="Calibri" w:hAnsi="Garamond" w:cs="Times New Roman"/>
          <w:sz w:val="24"/>
          <w:szCs w:val="24"/>
          <w:lang w:eastAsia="en-US" w:bidi="sq-AL"/>
        </w:rPr>
        <w:t xml:space="preserve"> Të organizohen </w:t>
      </w:r>
      <w:r w:rsidRPr="00622884">
        <w:rPr>
          <w:rFonts w:ascii="Garamond" w:eastAsia="Calibri" w:hAnsi="Garamond" w:cs="Times New Roman"/>
          <w:b/>
          <w:sz w:val="24"/>
          <w:szCs w:val="24"/>
          <w:lang w:eastAsia="en-US" w:bidi="sq-AL"/>
        </w:rPr>
        <w:t>mbledhja</w:t>
      </w:r>
      <w:r w:rsidRPr="00622884">
        <w:rPr>
          <w:rFonts w:ascii="Garamond" w:eastAsia="Calibri" w:hAnsi="Garamond" w:cs="Times New Roman"/>
          <w:sz w:val="24"/>
          <w:szCs w:val="24"/>
          <w:lang w:eastAsia="en-US" w:bidi="sq-AL"/>
        </w:rPr>
        <w:t xml:space="preserve">, </w:t>
      </w:r>
      <w:r w:rsidRPr="00622884">
        <w:rPr>
          <w:rFonts w:ascii="Garamond" w:eastAsia="Calibri" w:hAnsi="Garamond" w:cs="Times New Roman"/>
          <w:b/>
          <w:sz w:val="24"/>
          <w:szCs w:val="24"/>
          <w:lang w:eastAsia="en-US" w:bidi="sq-AL"/>
        </w:rPr>
        <w:t>analiza dhe publikimi i të</w:t>
      </w:r>
      <w:r w:rsidRPr="00622884">
        <w:rPr>
          <w:rFonts w:ascii="Garamond" w:eastAsia="Calibri" w:hAnsi="Garamond" w:cs="Times New Roman"/>
          <w:sz w:val="24"/>
          <w:szCs w:val="24"/>
          <w:lang w:eastAsia="en-US" w:bidi="sq-AL"/>
        </w:rPr>
        <w:t xml:space="preserve"> </w:t>
      </w:r>
      <w:r w:rsidRPr="00622884">
        <w:rPr>
          <w:rFonts w:ascii="Garamond" w:eastAsia="Calibri" w:hAnsi="Garamond" w:cs="Times New Roman"/>
          <w:b/>
          <w:sz w:val="24"/>
          <w:szCs w:val="24"/>
          <w:lang w:eastAsia="en-US" w:bidi="sq-AL"/>
        </w:rPr>
        <w:t>dhënave të ndara sipas seksit dhe moshës</w:t>
      </w:r>
      <w:r w:rsidRPr="00622884">
        <w:rPr>
          <w:rFonts w:ascii="Garamond" w:eastAsia="Calibri" w:hAnsi="Garamond" w:cs="Times New Roman"/>
          <w:sz w:val="24"/>
          <w:szCs w:val="24"/>
          <w:lang w:eastAsia="en-US" w:bidi="sq-AL"/>
        </w:rPr>
        <w:t xml:space="preserve"> në vlerësimet e riskut klimatik, raportet e monitorimit dhe vlerësimet e politikave. Të mbështetet kërkimi mbi </w:t>
      </w:r>
      <w:r w:rsidRPr="00622884">
        <w:rPr>
          <w:rFonts w:ascii="Garamond" w:eastAsia="Calibri" w:hAnsi="Garamond" w:cs="Times New Roman"/>
          <w:b/>
          <w:sz w:val="24"/>
          <w:szCs w:val="24"/>
          <w:lang w:eastAsia="en-US" w:bidi="sq-AL"/>
        </w:rPr>
        <w:t>aspektet</w:t>
      </w:r>
      <w:r w:rsidRPr="00622884">
        <w:rPr>
          <w:rFonts w:ascii="Garamond" w:eastAsia="Calibri" w:hAnsi="Garamond" w:cs="Times New Roman"/>
          <w:sz w:val="24"/>
          <w:szCs w:val="24"/>
          <w:lang w:eastAsia="en-US" w:bidi="sq-AL"/>
        </w:rPr>
        <w:t xml:space="preserve"> </w:t>
      </w:r>
      <w:r w:rsidRPr="00622884">
        <w:rPr>
          <w:rFonts w:ascii="Garamond" w:eastAsia="Calibri" w:hAnsi="Garamond" w:cs="Times New Roman"/>
          <w:b/>
          <w:sz w:val="24"/>
          <w:szCs w:val="24"/>
          <w:lang w:eastAsia="en-US" w:bidi="sq-AL"/>
        </w:rPr>
        <w:t>gjinore të cenueshmërisë dhe aftësive ripërtëritëse ndaj klimës</w:t>
      </w:r>
      <w:r w:rsidRPr="00622884">
        <w:rPr>
          <w:rFonts w:ascii="Garamond" w:eastAsia="Calibri" w:hAnsi="Garamond" w:cs="Times New Roman"/>
          <w:sz w:val="24"/>
          <w:szCs w:val="24"/>
          <w:lang w:eastAsia="en-US" w:bidi="sq-AL"/>
        </w:rPr>
        <w:t>.</w:t>
      </w:r>
    </w:p>
    <w:p w14:paraId="13970873"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bidi="sq-AL"/>
        </w:rPr>
      </w:pPr>
      <w:r w:rsidRPr="00622884">
        <w:rPr>
          <w:rFonts w:ascii="Garamond" w:eastAsia="Calibri" w:hAnsi="Garamond" w:cs="Times New Roman"/>
          <w:sz w:val="24"/>
          <w:szCs w:val="24"/>
          <w:lang w:eastAsia="en-US" w:bidi="sq-AL"/>
        </w:rPr>
        <w:t>Përveç kësaj, përfshihen masa specifike për sektorin për të përkthyer konsideratat gjinore në ndërhyrje konkrete në të gjitha fushat prioritare të përshtatjes në Shqipëri:</w:t>
      </w:r>
    </w:p>
    <w:p w14:paraId="242BCE1D"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p>
    <w:p w14:paraId="3F8EFA10" w14:textId="77777777" w:rsidR="00622884" w:rsidRPr="00622884" w:rsidRDefault="00622884" w:rsidP="00622884">
      <w:pPr>
        <w:tabs>
          <w:tab w:val="left" w:pos="5325"/>
        </w:tabs>
        <w:spacing w:after="0" w:line="240" w:lineRule="auto"/>
        <w:ind w:firstLine="284"/>
        <w:rPr>
          <w:rFonts w:ascii="Calibri Light" w:eastAsia="Open Sans Light" w:hAnsi="Calibri Light" w:cs="Calibri Light"/>
          <w:b/>
          <w:bCs/>
          <w:sz w:val="24"/>
          <w:szCs w:val="24"/>
          <w:lang w:eastAsia="en-US"/>
        </w:rPr>
      </w:pPr>
      <w:r w:rsidRPr="00622884">
        <w:rPr>
          <w:rFonts w:ascii="Garamond" w:eastAsia="Calibri" w:hAnsi="Garamond" w:cs="Times New Roman"/>
          <w:b/>
          <w:sz w:val="24"/>
          <w:szCs w:val="24"/>
          <w:lang w:eastAsia="en-US" w:bidi="sq-AL"/>
        </w:rPr>
        <w:t>Ndërsektorial</w:t>
      </w:r>
    </w:p>
    <w:tbl>
      <w:tblPr>
        <w:tblW w:w="5583" w:type="pct"/>
        <w:tblInd w:w="-714" w:type="dxa"/>
        <w:tblBorders>
          <w:top w:val="single" w:sz="4" w:space="0" w:color="1D3C5A"/>
          <w:left w:val="single" w:sz="4" w:space="0" w:color="1D3C5A"/>
          <w:bottom w:val="single" w:sz="4" w:space="0" w:color="1D3C5A"/>
          <w:right w:val="single" w:sz="4" w:space="0" w:color="1D3C5A"/>
          <w:insideH w:val="single" w:sz="4" w:space="0" w:color="1D3C5A"/>
          <w:insideV w:val="single" w:sz="4" w:space="0" w:color="1D3C5A"/>
        </w:tblBorders>
        <w:tblLook w:val="04A0" w:firstRow="1" w:lastRow="0" w:firstColumn="1" w:lastColumn="0" w:noHBand="0" w:noVBand="1"/>
      </w:tblPr>
      <w:tblGrid>
        <w:gridCol w:w="448"/>
        <w:gridCol w:w="1638"/>
        <w:gridCol w:w="1385"/>
        <w:gridCol w:w="2093"/>
        <w:gridCol w:w="1273"/>
        <w:gridCol w:w="1791"/>
        <w:gridCol w:w="1742"/>
      </w:tblGrid>
      <w:tr w:rsidR="00622884" w:rsidRPr="00622884" w14:paraId="02ED1B3B" w14:textId="77777777" w:rsidTr="00622884">
        <w:trPr>
          <w:trHeight w:val="20"/>
          <w:tblHeader/>
        </w:trPr>
        <w:tc>
          <w:tcPr>
            <w:tcW w:w="163" w:type="pct"/>
            <w:shd w:val="clear" w:color="auto" w:fill="215A5C"/>
            <w:vAlign w:val="center"/>
          </w:tcPr>
          <w:p w14:paraId="6B1C153F" w14:textId="77777777" w:rsidR="00622884" w:rsidRPr="00622884" w:rsidRDefault="00622884" w:rsidP="00622884">
            <w:pPr>
              <w:shd w:val="clear" w:color="auto" w:fill="215A5C"/>
              <w:spacing w:after="0" w:line="240" w:lineRule="auto"/>
              <w:jc w:val="center"/>
              <w:rPr>
                <w:rFonts w:ascii="Garamond" w:eastAsia="SimSun" w:hAnsi="Garamond" w:cs="Calibri Light"/>
                <w:b/>
                <w:bCs/>
                <w:sz w:val="16"/>
                <w:szCs w:val="18"/>
                <w:lang w:eastAsia="es-ES"/>
              </w:rPr>
            </w:pPr>
            <w:r w:rsidRPr="00622884">
              <w:rPr>
                <w:rFonts w:ascii="Garamond" w:eastAsia="Times New Roman" w:hAnsi="Garamond" w:cs="Times New Roman"/>
                <w:b/>
                <w:sz w:val="16"/>
                <w:szCs w:val="24"/>
                <w:lang w:eastAsia="es-ES" w:bidi="sq-AL"/>
              </w:rPr>
              <w:t>Nr.</w:t>
            </w:r>
          </w:p>
        </w:tc>
        <w:tc>
          <w:tcPr>
            <w:tcW w:w="818" w:type="pct"/>
            <w:shd w:val="clear" w:color="auto" w:fill="215A5C"/>
            <w:vAlign w:val="center"/>
          </w:tcPr>
          <w:p w14:paraId="2F67FF22" w14:textId="77777777" w:rsidR="00622884" w:rsidRPr="00622884" w:rsidRDefault="00622884" w:rsidP="00622884">
            <w:pPr>
              <w:shd w:val="clear" w:color="auto" w:fill="215A5C"/>
              <w:spacing w:after="0" w:line="240" w:lineRule="auto"/>
              <w:jc w:val="center"/>
              <w:rPr>
                <w:rFonts w:ascii="Garamond" w:eastAsia="SimSun" w:hAnsi="Garamond" w:cs="Calibri Light"/>
                <w:b/>
                <w:bCs/>
                <w:sz w:val="16"/>
                <w:szCs w:val="18"/>
                <w:lang w:eastAsia="es-ES"/>
              </w:rPr>
            </w:pPr>
            <w:r w:rsidRPr="00622884">
              <w:rPr>
                <w:rFonts w:ascii="Garamond" w:eastAsia="Times New Roman" w:hAnsi="Garamond" w:cs="Times New Roman"/>
                <w:b/>
                <w:sz w:val="16"/>
                <w:szCs w:val="24"/>
                <w:lang w:eastAsia="es-ES" w:bidi="sq-AL"/>
              </w:rPr>
              <w:t>Veprimi për barazinë gjinore</w:t>
            </w:r>
          </w:p>
        </w:tc>
        <w:tc>
          <w:tcPr>
            <w:tcW w:w="696" w:type="pct"/>
            <w:shd w:val="clear" w:color="auto" w:fill="215A5C"/>
            <w:vAlign w:val="center"/>
          </w:tcPr>
          <w:p w14:paraId="43B38EE6" w14:textId="77777777" w:rsidR="00622884" w:rsidRPr="00622884" w:rsidRDefault="00622884" w:rsidP="00622884">
            <w:pPr>
              <w:shd w:val="clear" w:color="auto" w:fill="215A5C"/>
              <w:spacing w:after="0" w:line="240" w:lineRule="auto"/>
              <w:jc w:val="center"/>
              <w:rPr>
                <w:rFonts w:ascii="Garamond" w:eastAsia="SimSun" w:hAnsi="Garamond" w:cs="Calibri Light"/>
                <w:b/>
                <w:bCs/>
                <w:sz w:val="16"/>
                <w:szCs w:val="18"/>
                <w:lang w:eastAsia="es-ES"/>
              </w:rPr>
            </w:pPr>
            <w:r w:rsidRPr="00622884">
              <w:rPr>
                <w:rFonts w:ascii="Garamond" w:eastAsia="Times New Roman" w:hAnsi="Garamond" w:cs="Times New Roman"/>
                <w:b/>
                <w:sz w:val="16"/>
                <w:szCs w:val="24"/>
                <w:lang w:eastAsia="es-ES" w:bidi="sq-AL"/>
              </w:rPr>
              <w:t>Sfida e trajtuar</w:t>
            </w:r>
          </w:p>
        </w:tc>
        <w:tc>
          <w:tcPr>
            <w:tcW w:w="921" w:type="pct"/>
            <w:shd w:val="clear" w:color="auto" w:fill="215A5C"/>
            <w:vAlign w:val="center"/>
          </w:tcPr>
          <w:p w14:paraId="5A7DD556" w14:textId="77777777" w:rsidR="00622884" w:rsidRPr="00622884" w:rsidRDefault="00622884" w:rsidP="00622884">
            <w:pPr>
              <w:shd w:val="clear" w:color="auto" w:fill="215A5C"/>
              <w:spacing w:after="0" w:line="240" w:lineRule="auto"/>
              <w:jc w:val="center"/>
              <w:rPr>
                <w:rFonts w:ascii="Garamond" w:eastAsia="SimSun" w:hAnsi="Garamond" w:cs="Calibri Light"/>
                <w:b/>
                <w:bCs/>
                <w:sz w:val="16"/>
                <w:szCs w:val="18"/>
                <w:lang w:eastAsia="es-ES"/>
              </w:rPr>
            </w:pPr>
            <w:r w:rsidRPr="00622884">
              <w:rPr>
                <w:rFonts w:ascii="Garamond" w:eastAsia="Times New Roman" w:hAnsi="Garamond" w:cs="Times New Roman"/>
                <w:b/>
                <w:sz w:val="16"/>
                <w:szCs w:val="24"/>
                <w:lang w:eastAsia="es-ES" w:bidi="sq-AL"/>
              </w:rPr>
              <w:t>Përshkrimi</w:t>
            </w:r>
          </w:p>
        </w:tc>
        <w:tc>
          <w:tcPr>
            <w:tcW w:w="642" w:type="pct"/>
            <w:shd w:val="clear" w:color="auto" w:fill="215A5C"/>
            <w:vAlign w:val="center"/>
          </w:tcPr>
          <w:p w14:paraId="286E1E88" w14:textId="77777777" w:rsidR="00622884" w:rsidRPr="00622884" w:rsidRDefault="00622884" w:rsidP="00622884">
            <w:pPr>
              <w:shd w:val="clear" w:color="auto" w:fill="215A5C"/>
              <w:spacing w:after="0" w:line="240" w:lineRule="auto"/>
              <w:jc w:val="center"/>
              <w:rPr>
                <w:rFonts w:ascii="Garamond" w:eastAsia="SimSun" w:hAnsi="Garamond" w:cs="Calibri Light"/>
                <w:b/>
                <w:bCs/>
                <w:sz w:val="16"/>
                <w:szCs w:val="18"/>
                <w:lang w:eastAsia="es-ES"/>
              </w:rPr>
            </w:pPr>
            <w:r w:rsidRPr="00622884">
              <w:rPr>
                <w:rFonts w:ascii="Garamond" w:eastAsia="Times New Roman" w:hAnsi="Garamond" w:cs="Times New Roman"/>
                <w:b/>
                <w:sz w:val="16"/>
                <w:szCs w:val="24"/>
                <w:lang w:eastAsia="es-ES" w:bidi="sq-AL"/>
              </w:rPr>
              <w:t>Përfituesit</w:t>
            </w:r>
          </w:p>
        </w:tc>
        <w:tc>
          <w:tcPr>
            <w:tcW w:w="892" w:type="pct"/>
            <w:shd w:val="clear" w:color="auto" w:fill="215A5C"/>
            <w:vAlign w:val="center"/>
          </w:tcPr>
          <w:p w14:paraId="23961C87" w14:textId="77777777" w:rsidR="00622884" w:rsidRPr="00622884" w:rsidRDefault="00622884" w:rsidP="00622884">
            <w:pPr>
              <w:shd w:val="clear" w:color="auto" w:fill="215A5C"/>
              <w:spacing w:after="0" w:line="240" w:lineRule="auto"/>
              <w:jc w:val="center"/>
              <w:rPr>
                <w:rFonts w:ascii="Garamond" w:eastAsia="SimSun" w:hAnsi="Garamond" w:cs="Calibri Light"/>
                <w:b/>
                <w:bCs/>
                <w:sz w:val="16"/>
                <w:szCs w:val="18"/>
                <w:lang w:eastAsia="es-ES"/>
              </w:rPr>
            </w:pPr>
            <w:r w:rsidRPr="00622884">
              <w:rPr>
                <w:rFonts w:ascii="Garamond" w:eastAsia="Times New Roman" w:hAnsi="Garamond" w:cs="Times New Roman"/>
                <w:b/>
                <w:sz w:val="16"/>
                <w:szCs w:val="24"/>
                <w:lang w:eastAsia="es-ES" w:bidi="sq-AL"/>
              </w:rPr>
              <w:t>Treguesit</w:t>
            </w:r>
          </w:p>
        </w:tc>
        <w:tc>
          <w:tcPr>
            <w:tcW w:w="868" w:type="pct"/>
            <w:shd w:val="clear" w:color="auto" w:fill="215A5C"/>
            <w:vAlign w:val="center"/>
          </w:tcPr>
          <w:p w14:paraId="50D127B5" w14:textId="77777777" w:rsidR="00622884" w:rsidRPr="00622884" w:rsidRDefault="00622884" w:rsidP="00622884">
            <w:pPr>
              <w:shd w:val="clear" w:color="auto" w:fill="215A5C"/>
              <w:spacing w:after="0" w:line="240" w:lineRule="auto"/>
              <w:jc w:val="center"/>
              <w:rPr>
                <w:rFonts w:ascii="Garamond" w:eastAsia="SimSun" w:hAnsi="Garamond" w:cs="Calibri Light"/>
                <w:b/>
                <w:bCs/>
                <w:sz w:val="16"/>
                <w:szCs w:val="18"/>
                <w:lang w:eastAsia="es-ES"/>
              </w:rPr>
            </w:pPr>
            <w:r w:rsidRPr="00622884">
              <w:rPr>
                <w:rFonts w:ascii="Garamond" w:eastAsia="Times New Roman" w:hAnsi="Garamond" w:cs="Times New Roman"/>
                <w:b/>
                <w:sz w:val="16"/>
                <w:szCs w:val="24"/>
                <w:lang w:eastAsia="es-ES" w:bidi="sq-AL"/>
              </w:rPr>
              <w:t>Kontributi specifik në masat e NAP-it</w:t>
            </w:r>
          </w:p>
        </w:tc>
      </w:tr>
      <w:tr w:rsidR="00622884" w:rsidRPr="00622884" w14:paraId="6A2D0F91" w14:textId="77777777" w:rsidTr="00622884">
        <w:trPr>
          <w:trHeight w:val="20"/>
        </w:trPr>
        <w:tc>
          <w:tcPr>
            <w:tcW w:w="163" w:type="pct"/>
            <w:vAlign w:val="center"/>
          </w:tcPr>
          <w:p w14:paraId="5D3A5D0E" w14:textId="77777777" w:rsidR="00622884" w:rsidRPr="00622884" w:rsidRDefault="00622884" w:rsidP="00622884">
            <w:pPr>
              <w:spacing w:after="0" w:line="240" w:lineRule="auto"/>
              <w:jc w:val="center"/>
              <w:rPr>
                <w:rFonts w:ascii="Garamond" w:eastAsia="Calibri" w:hAnsi="Garamond" w:cs="Calibri Light"/>
                <w:b/>
                <w:bCs/>
                <w:sz w:val="16"/>
                <w:szCs w:val="18"/>
                <w:lang w:eastAsia="es-ES"/>
              </w:rPr>
            </w:pPr>
            <w:r w:rsidRPr="00622884">
              <w:rPr>
                <w:rFonts w:ascii="Garamond" w:eastAsia="Times New Roman" w:hAnsi="Garamond" w:cs="Times New Roman"/>
                <w:b/>
                <w:sz w:val="16"/>
                <w:szCs w:val="24"/>
                <w:lang w:eastAsia="es-ES" w:bidi="sq-AL"/>
              </w:rPr>
              <w:t>1</w:t>
            </w:r>
          </w:p>
        </w:tc>
        <w:tc>
          <w:tcPr>
            <w:tcW w:w="818" w:type="pct"/>
            <w:vAlign w:val="center"/>
          </w:tcPr>
          <w:p w14:paraId="2310CBE4" w14:textId="77777777" w:rsidR="00622884" w:rsidRPr="00622884" w:rsidRDefault="00622884" w:rsidP="00622884">
            <w:pPr>
              <w:spacing w:after="0" w:line="240" w:lineRule="auto"/>
              <w:jc w:val="center"/>
              <w:rPr>
                <w:rFonts w:ascii="Garamond" w:eastAsia="Calibri" w:hAnsi="Garamond" w:cs="Calibri Light"/>
                <w:sz w:val="16"/>
                <w:szCs w:val="18"/>
                <w:lang w:eastAsia="es-ES"/>
              </w:rPr>
            </w:pPr>
            <w:r w:rsidRPr="00622884">
              <w:rPr>
                <w:rFonts w:ascii="Garamond" w:eastAsia="Times New Roman" w:hAnsi="Garamond" w:cs="Times New Roman"/>
                <w:sz w:val="16"/>
                <w:szCs w:val="24"/>
                <w:lang w:eastAsia="es-ES" w:bidi="sq-AL"/>
              </w:rPr>
              <w:t>Institucionalizimi i gjinisë në qeverisjen dhe raportimin e NAP-it (GNPNK dhe Grupet Teknike sektoriale të Punës)</w:t>
            </w:r>
          </w:p>
        </w:tc>
        <w:tc>
          <w:tcPr>
            <w:tcW w:w="696" w:type="pct"/>
            <w:vAlign w:val="center"/>
          </w:tcPr>
          <w:p w14:paraId="566AA03A" w14:textId="77777777" w:rsidR="00622884" w:rsidRPr="00622884" w:rsidRDefault="00622884" w:rsidP="00622884">
            <w:pPr>
              <w:spacing w:after="0" w:line="240" w:lineRule="auto"/>
              <w:rPr>
                <w:rFonts w:ascii="Garamond" w:eastAsia="Calibri" w:hAnsi="Garamond" w:cs="Calibri Light"/>
                <w:sz w:val="16"/>
                <w:szCs w:val="18"/>
                <w:lang w:eastAsia="es-ES"/>
              </w:rPr>
            </w:pPr>
            <w:r w:rsidRPr="00622884">
              <w:rPr>
                <w:rFonts w:ascii="Garamond" w:eastAsia="Times New Roman" w:hAnsi="Garamond" w:cs="Times New Roman"/>
                <w:sz w:val="16"/>
                <w:szCs w:val="24"/>
                <w:lang w:eastAsia="es-ES" w:bidi="sq-AL"/>
              </w:rPr>
              <w:t>Nënpërfaqësimi i grave në organet vendimmarrëse; rrjedha e kufizuar e të dhënave të ndara sipas gjinisë dhe seksit</w:t>
            </w:r>
          </w:p>
        </w:tc>
        <w:tc>
          <w:tcPr>
            <w:tcW w:w="921" w:type="pct"/>
            <w:vAlign w:val="center"/>
          </w:tcPr>
          <w:p w14:paraId="5391A5F7" w14:textId="77777777" w:rsidR="00622884" w:rsidRPr="00622884" w:rsidRDefault="00622884" w:rsidP="00622884">
            <w:pPr>
              <w:spacing w:after="0" w:line="240" w:lineRule="auto"/>
              <w:rPr>
                <w:rFonts w:ascii="Garamond" w:eastAsia="Calibri" w:hAnsi="Garamond" w:cs="Calibri Light"/>
                <w:sz w:val="16"/>
                <w:szCs w:val="18"/>
                <w:lang w:eastAsia="es-ES"/>
              </w:rPr>
            </w:pPr>
            <w:r w:rsidRPr="00622884">
              <w:rPr>
                <w:rFonts w:ascii="Garamond" w:eastAsia="Times New Roman" w:hAnsi="Garamond" w:cs="Times New Roman"/>
                <w:sz w:val="16"/>
                <w:szCs w:val="24"/>
                <w:lang w:eastAsia="es-ES" w:bidi="sq-AL"/>
              </w:rPr>
              <w:t>Përditësimi i TR-së; kërkesa për ndarjen sipas seksit/moshës/cenueshmërisë në raportet sektoriale; rishikimi vjetor për barazinë gjinore</w:t>
            </w:r>
          </w:p>
        </w:tc>
        <w:tc>
          <w:tcPr>
            <w:tcW w:w="642" w:type="pct"/>
            <w:vAlign w:val="center"/>
          </w:tcPr>
          <w:p w14:paraId="1598C6DB" w14:textId="77777777" w:rsidR="00622884" w:rsidRPr="00622884" w:rsidRDefault="00622884" w:rsidP="00622884">
            <w:pPr>
              <w:spacing w:after="0" w:line="240" w:lineRule="auto"/>
              <w:rPr>
                <w:rFonts w:ascii="Garamond" w:eastAsia="Calibri" w:hAnsi="Garamond" w:cs="Calibri Light"/>
                <w:sz w:val="16"/>
                <w:szCs w:val="18"/>
                <w:lang w:eastAsia="es-ES"/>
              </w:rPr>
            </w:pPr>
            <w:r w:rsidRPr="00622884">
              <w:rPr>
                <w:rFonts w:ascii="Garamond" w:eastAsia="Times New Roman" w:hAnsi="Garamond" w:cs="Times New Roman"/>
                <w:sz w:val="16"/>
                <w:szCs w:val="24"/>
                <w:lang w:eastAsia="es-ES" w:bidi="sq-AL"/>
              </w:rPr>
              <w:t>Gratë në institucione, stafi bashkiak, pikat kombëtare fokale për çështjet gjinore, OSHC-të e udhëhequra nga gratë</w:t>
            </w:r>
          </w:p>
        </w:tc>
        <w:tc>
          <w:tcPr>
            <w:tcW w:w="892" w:type="pct"/>
            <w:vAlign w:val="center"/>
          </w:tcPr>
          <w:p w14:paraId="21117609" w14:textId="77777777" w:rsidR="00622884" w:rsidRPr="00622884" w:rsidRDefault="00622884" w:rsidP="00622884">
            <w:pPr>
              <w:spacing w:after="0" w:line="240" w:lineRule="auto"/>
              <w:rPr>
                <w:rFonts w:ascii="Garamond" w:eastAsia="Calibri" w:hAnsi="Garamond" w:cs="Calibri Light"/>
                <w:sz w:val="16"/>
                <w:szCs w:val="18"/>
                <w:lang w:eastAsia="es-ES"/>
              </w:rPr>
            </w:pPr>
            <w:r w:rsidRPr="00622884">
              <w:rPr>
                <w:rFonts w:ascii="Garamond" w:eastAsia="Times New Roman" w:hAnsi="Garamond" w:cs="Times New Roman"/>
                <w:sz w:val="16"/>
                <w:szCs w:val="24"/>
                <w:lang w:eastAsia="es-ES" w:bidi="sq-AL"/>
              </w:rPr>
              <w:t># takime të GNPNK-së/GTP-së me agjendë gjinore; % e raporteve sektoriale me të dhëna të ndara sipas seksit; përqindja e masave që raportojnë rezultate me diferenca gjinore</w:t>
            </w:r>
          </w:p>
        </w:tc>
        <w:tc>
          <w:tcPr>
            <w:tcW w:w="868" w:type="pct"/>
            <w:vAlign w:val="center"/>
          </w:tcPr>
          <w:p w14:paraId="35E9ECC5" w14:textId="77777777" w:rsidR="00622884" w:rsidRPr="00622884" w:rsidRDefault="00622884" w:rsidP="00622884">
            <w:pPr>
              <w:spacing w:after="0" w:line="240" w:lineRule="auto"/>
              <w:rPr>
                <w:rFonts w:ascii="Garamond" w:eastAsia="Calibri" w:hAnsi="Garamond" w:cs="Calibri Light"/>
                <w:sz w:val="16"/>
                <w:szCs w:val="18"/>
                <w:lang w:eastAsia="es-ES"/>
              </w:rPr>
            </w:pPr>
            <w:r w:rsidRPr="00622884">
              <w:rPr>
                <w:rFonts w:ascii="Garamond" w:eastAsia="Times New Roman" w:hAnsi="Garamond" w:cs="Times New Roman"/>
                <w:sz w:val="16"/>
                <w:szCs w:val="24"/>
                <w:lang w:eastAsia="es-ES" w:bidi="sq-AL"/>
              </w:rPr>
              <w:t>M2 – Optimizimi i koordinimit klimatik (Forcimi i kuadrit të GNPNK-së)</w:t>
            </w:r>
          </w:p>
        </w:tc>
      </w:tr>
      <w:tr w:rsidR="00622884" w:rsidRPr="00622884" w14:paraId="669C9B82" w14:textId="77777777" w:rsidTr="00622884">
        <w:trPr>
          <w:trHeight w:val="20"/>
        </w:trPr>
        <w:tc>
          <w:tcPr>
            <w:tcW w:w="163" w:type="pct"/>
            <w:vAlign w:val="center"/>
          </w:tcPr>
          <w:p w14:paraId="5DBB0AE3" w14:textId="77777777" w:rsidR="00622884" w:rsidRPr="00622884" w:rsidRDefault="00622884" w:rsidP="00622884">
            <w:pPr>
              <w:spacing w:after="0" w:line="240" w:lineRule="auto"/>
              <w:jc w:val="center"/>
              <w:rPr>
                <w:rFonts w:ascii="Garamond" w:eastAsia="Calibri" w:hAnsi="Garamond" w:cs="Calibri Light"/>
                <w:b/>
                <w:bCs/>
                <w:sz w:val="16"/>
                <w:szCs w:val="18"/>
                <w:lang w:eastAsia="es-ES"/>
              </w:rPr>
            </w:pPr>
            <w:r w:rsidRPr="00622884">
              <w:rPr>
                <w:rFonts w:ascii="Garamond" w:eastAsia="Times New Roman" w:hAnsi="Garamond" w:cs="Times New Roman"/>
                <w:b/>
                <w:sz w:val="16"/>
                <w:szCs w:val="24"/>
                <w:lang w:eastAsia="es-ES" w:bidi="sq-AL"/>
              </w:rPr>
              <w:t>2</w:t>
            </w:r>
          </w:p>
        </w:tc>
        <w:tc>
          <w:tcPr>
            <w:tcW w:w="818" w:type="pct"/>
            <w:vAlign w:val="center"/>
          </w:tcPr>
          <w:p w14:paraId="6B9D7ECE" w14:textId="77777777" w:rsidR="00622884" w:rsidRPr="00622884" w:rsidRDefault="00622884" w:rsidP="00622884">
            <w:pPr>
              <w:spacing w:after="0" w:line="240" w:lineRule="auto"/>
              <w:jc w:val="center"/>
              <w:rPr>
                <w:rFonts w:ascii="Garamond" w:eastAsia="Calibri" w:hAnsi="Garamond" w:cs="Calibri Light"/>
                <w:sz w:val="16"/>
                <w:szCs w:val="18"/>
                <w:lang w:eastAsia="es-ES"/>
              </w:rPr>
            </w:pPr>
            <w:r w:rsidRPr="00622884">
              <w:rPr>
                <w:rFonts w:ascii="Garamond" w:eastAsia="Times New Roman" w:hAnsi="Garamond" w:cs="Times New Roman"/>
                <w:sz w:val="16"/>
                <w:szCs w:val="24"/>
                <w:lang w:eastAsia="es-ES" w:bidi="sq-AL"/>
              </w:rPr>
              <w:t>Protokolli kombëtar i përgjigjshëm gjinori i monitorimit dhe vlerësimit të përshtatjes</w:t>
            </w:r>
          </w:p>
        </w:tc>
        <w:tc>
          <w:tcPr>
            <w:tcW w:w="696" w:type="pct"/>
            <w:vAlign w:val="center"/>
          </w:tcPr>
          <w:p w14:paraId="14168499" w14:textId="77777777" w:rsidR="00622884" w:rsidRPr="00622884" w:rsidRDefault="00622884" w:rsidP="00622884">
            <w:pPr>
              <w:spacing w:after="0" w:line="240" w:lineRule="auto"/>
              <w:rPr>
                <w:rFonts w:ascii="Garamond" w:eastAsia="Calibri" w:hAnsi="Garamond" w:cs="Calibri Light"/>
                <w:sz w:val="16"/>
                <w:szCs w:val="18"/>
                <w:lang w:eastAsia="es-ES"/>
              </w:rPr>
            </w:pPr>
            <w:r w:rsidRPr="00622884">
              <w:rPr>
                <w:rFonts w:ascii="Garamond" w:eastAsia="Times New Roman" w:hAnsi="Garamond" w:cs="Times New Roman"/>
                <w:sz w:val="16"/>
                <w:szCs w:val="24"/>
                <w:lang w:eastAsia="es-ES" w:bidi="sq-AL"/>
              </w:rPr>
              <w:t>Tregues të fragmentuar; ndarje jokonsistente gjinore</w:t>
            </w:r>
          </w:p>
        </w:tc>
        <w:tc>
          <w:tcPr>
            <w:tcW w:w="921" w:type="pct"/>
            <w:vAlign w:val="center"/>
          </w:tcPr>
          <w:p w14:paraId="3EE99A74" w14:textId="77777777" w:rsidR="00622884" w:rsidRPr="00622884" w:rsidRDefault="00622884" w:rsidP="00622884">
            <w:pPr>
              <w:spacing w:after="0" w:line="240" w:lineRule="auto"/>
              <w:rPr>
                <w:rFonts w:ascii="Garamond" w:eastAsia="Calibri" w:hAnsi="Garamond" w:cs="Calibri Light"/>
                <w:sz w:val="16"/>
                <w:szCs w:val="18"/>
                <w:lang w:eastAsia="es-ES"/>
              </w:rPr>
            </w:pPr>
            <w:r w:rsidRPr="00622884">
              <w:rPr>
                <w:rFonts w:ascii="Garamond" w:eastAsia="Times New Roman" w:hAnsi="Garamond" w:cs="Times New Roman"/>
                <w:sz w:val="16"/>
                <w:szCs w:val="24"/>
                <w:lang w:eastAsia="es-ES" w:bidi="sq-AL"/>
              </w:rPr>
              <w:t>Hartimi i fletëve të referencës për protokollet dhe treguesit; integrimi i SK-së/KC-së dhe verifikimit</w:t>
            </w:r>
          </w:p>
        </w:tc>
        <w:tc>
          <w:tcPr>
            <w:tcW w:w="642" w:type="pct"/>
            <w:vAlign w:val="center"/>
          </w:tcPr>
          <w:p w14:paraId="22D728D0" w14:textId="77777777" w:rsidR="00622884" w:rsidRPr="00622884" w:rsidRDefault="00622884" w:rsidP="00622884">
            <w:pPr>
              <w:spacing w:after="0" w:line="240" w:lineRule="auto"/>
              <w:rPr>
                <w:rFonts w:ascii="Garamond" w:eastAsia="Calibri" w:hAnsi="Garamond" w:cs="Calibri Light"/>
                <w:sz w:val="16"/>
                <w:szCs w:val="18"/>
                <w:lang w:eastAsia="es-ES"/>
              </w:rPr>
            </w:pPr>
            <w:r w:rsidRPr="00622884">
              <w:rPr>
                <w:rFonts w:ascii="Garamond" w:eastAsia="Times New Roman" w:hAnsi="Garamond" w:cs="Times New Roman"/>
                <w:sz w:val="16"/>
                <w:szCs w:val="24"/>
                <w:lang w:eastAsia="es-ES" w:bidi="sq-AL"/>
              </w:rPr>
              <w:t>Gratë në institucione, pikat fokale gjinore, OSHC-të kombëtare</w:t>
            </w:r>
          </w:p>
        </w:tc>
        <w:tc>
          <w:tcPr>
            <w:tcW w:w="892" w:type="pct"/>
            <w:vAlign w:val="center"/>
          </w:tcPr>
          <w:p w14:paraId="334570C8" w14:textId="77777777" w:rsidR="00622884" w:rsidRPr="00622884" w:rsidRDefault="00622884" w:rsidP="00622884">
            <w:pPr>
              <w:spacing w:after="0" w:line="240" w:lineRule="auto"/>
              <w:rPr>
                <w:rFonts w:ascii="Garamond" w:eastAsia="Calibri" w:hAnsi="Garamond" w:cs="Calibri Light"/>
                <w:sz w:val="16"/>
                <w:szCs w:val="18"/>
                <w:lang w:eastAsia="es-ES"/>
              </w:rPr>
            </w:pPr>
            <w:r w:rsidRPr="00622884">
              <w:rPr>
                <w:rFonts w:ascii="Garamond" w:eastAsia="Times New Roman" w:hAnsi="Garamond" w:cs="Times New Roman"/>
                <w:sz w:val="16"/>
                <w:szCs w:val="24"/>
                <w:lang w:eastAsia="es-ES" w:bidi="sq-AL"/>
              </w:rPr>
              <w:t># tregues me ndarje sipas seksit/moshës; # fleta reference të plotësuara për treguesit; % e masave sektoriale me tregues të përgjigjshëm gjinorë</w:t>
            </w:r>
          </w:p>
        </w:tc>
        <w:tc>
          <w:tcPr>
            <w:tcW w:w="868" w:type="pct"/>
            <w:vAlign w:val="center"/>
          </w:tcPr>
          <w:p w14:paraId="0A046B7F" w14:textId="77777777" w:rsidR="00622884" w:rsidRPr="00622884" w:rsidRDefault="00622884" w:rsidP="00622884">
            <w:pPr>
              <w:spacing w:after="0" w:line="240" w:lineRule="auto"/>
              <w:rPr>
                <w:rFonts w:ascii="Garamond" w:eastAsia="Calibri" w:hAnsi="Garamond" w:cs="Calibri Light"/>
                <w:sz w:val="16"/>
                <w:szCs w:val="18"/>
                <w:lang w:eastAsia="es-ES"/>
              </w:rPr>
            </w:pPr>
            <w:r w:rsidRPr="00622884">
              <w:rPr>
                <w:rFonts w:ascii="Garamond" w:eastAsia="Times New Roman" w:hAnsi="Garamond" w:cs="Times New Roman"/>
                <w:sz w:val="16"/>
                <w:szCs w:val="24"/>
                <w:lang w:eastAsia="es-ES" w:bidi="sq-AL"/>
              </w:rPr>
              <w:t>M9 - Promovimi i monitorimit dhe trajnimit me ndjeshmëri gjinore për përshtatjen klimatike</w:t>
            </w:r>
          </w:p>
        </w:tc>
      </w:tr>
      <w:tr w:rsidR="00622884" w:rsidRPr="00622884" w14:paraId="00EC3EBE" w14:textId="77777777" w:rsidTr="00622884">
        <w:trPr>
          <w:trHeight w:val="20"/>
        </w:trPr>
        <w:tc>
          <w:tcPr>
            <w:tcW w:w="163" w:type="pct"/>
            <w:vAlign w:val="center"/>
          </w:tcPr>
          <w:p w14:paraId="2106C928" w14:textId="77777777" w:rsidR="00622884" w:rsidRPr="00622884" w:rsidRDefault="00622884" w:rsidP="00622884">
            <w:pPr>
              <w:spacing w:after="0" w:line="240" w:lineRule="auto"/>
              <w:jc w:val="center"/>
              <w:rPr>
                <w:rFonts w:ascii="Garamond" w:eastAsia="Calibri" w:hAnsi="Garamond" w:cs="Calibri Light"/>
                <w:b/>
                <w:bCs/>
                <w:sz w:val="16"/>
                <w:szCs w:val="18"/>
                <w:lang w:eastAsia="es-ES"/>
              </w:rPr>
            </w:pPr>
            <w:r w:rsidRPr="00622884">
              <w:rPr>
                <w:rFonts w:ascii="Garamond" w:eastAsia="Times New Roman" w:hAnsi="Garamond" w:cs="Times New Roman"/>
                <w:b/>
                <w:sz w:val="16"/>
                <w:szCs w:val="24"/>
                <w:lang w:eastAsia="es-ES" w:bidi="sq-AL"/>
              </w:rPr>
              <w:t>3</w:t>
            </w:r>
          </w:p>
        </w:tc>
        <w:tc>
          <w:tcPr>
            <w:tcW w:w="818" w:type="pct"/>
            <w:vAlign w:val="center"/>
          </w:tcPr>
          <w:p w14:paraId="1C5FD1D5" w14:textId="77777777" w:rsidR="00622884" w:rsidRPr="00622884" w:rsidRDefault="00622884" w:rsidP="00622884">
            <w:pPr>
              <w:spacing w:after="0" w:line="240" w:lineRule="auto"/>
              <w:jc w:val="center"/>
              <w:rPr>
                <w:rFonts w:ascii="Garamond" w:eastAsia="Calibri" w:hAnsi="Garamond" w:cs="Calibri Light"/>
                <w:sz w:val="16"/>
                <w:szCs w:val="18"/>
                <w:lang w:eastAsia="es-ES"/>
              </w:rPr>
            </w:pPr>
            <w:r w:rsidRPr="00622884">
              <w:rPr>
                <w:rFonts w:ascii="Garamond" w:eastAsia="Times New Roman" w:hAnsi="Garamond" w:cs="Times New Roman"/>
                <w:sz w:val="16"/>
                <w:szCs w:val="24"/>
                <w:lang w:eastAsia="es-ES" w:bidi="sq-AL"/>
              </w:rPr>
              <w:t>Mundësi për qasje në financimin të përgjigjshëm gjinor për ndryshimet klimatike</w:t>
            </w:r>
          </w:p>
        </w:tc>
        <w:tc>
          <w:tcPr>
            <w:tcW w:w="696" w:type="pct"/>
            <w:vAlign w:val="center"/>
          </w:tcPr>
          <w:p w14:paraId="2301AB1A" w14:textId="77777777" w:rsidR="00622884" w:rsidRPr="00622884" w:rsidRDefault="00622884" w:rsidP="00622884">
            <w:pPr>
              <w:spacing w:after="0" w:line="240" w:lineRule="auto"/>
              <w:rPr>
                <w:rFonts w:ascii="Garamond" w:eastAsia="Calibri" w:hAnsi="Garamond" w:cs="Calibri Light"/>
                <w:sz w:val="16"/>
                <w:szCs w:val="18"/>
                <w:lang w:eastAsia="es-ES"/>
              </w:rPr>
            </w:pPr>
            <w:r w:rsidRPr="00622884">
              <w:rPr>
                <w:rFonts w:ascii="Garamond" w:eastAsia="Times New Roman" w:hAnsi="Garamond" w:cs="Times New Roman"/>
                <w:sz w:val="16"/>
                <w:szCs w:val="24"/>
                <w:lang w:eastAsia="es-ES" w:bidi="sq-AL"/>
              </w:rPr>
              <w:t>Qasje e kufizuar në financimin për përshtatje për NMVM-të dhe OSHC-të e drejtuara nga gratë</w:t>
            </w:r>
          </w:p>
        </w:tc>
        <w:tc>
          <w:tcPr>
            <w:tcW w:w="921" w:type="pct"/>
            <w:vAlign w:val="center"/>
          </w:tcPr>
          <w:p w14:paraId="120DCC4E" w14:textId="77777777" w:rsidR="00622884" w:rsidRPr="00622884" w:rsidRDefault="00622884" w:rsidP="00622884">
            <w:pPr>
              <w:spacing w:after="0" w:line="240" w:lineRule="auto"/>
              <w:rPr>
                <w:rFonts w:ascii="Garamond" w:eastAsia="Calibri" w:hAnsi="Garamond" w:cs="Calibri Light"/>
                <w:sz w:val="16"/>
                <w:szCs w:val="18"/>
                <w:lang w:eastAsia="es-ES"/>
              </w:rPr>
            </w:pPr>
            <w:r w:rsidRPr="00622884">
              <w:rPr>
                <w:rFonts w:ascii="Garamond" w:eastAsia="Times New Roman" w:hAnsi="Garamond" w:cs="Times New Roman"/>
                <w:sz w:val="16"/>
                <w:szCs w:val="24"/>
                <w:lang w:eastAsia="es-ES" w:bidi="sq-AL"/>
              </w:rPr>
              <w:t>Grante/garanci të vogla për projektet pilot të përshtatjes</w:t>
            </w:r>
          </w:p>
        </w:tc>
        <w:tc>
          <w:tcPr>
            <w:tcW w:w="642" w:type="pct"/>
            <w:vAlign w:val="center"/>
          </w:tcPr>
          <w:p w14:paraId="3663873B" w14:textId="77777777" w:rsidR="00622884" w:rsidRPr="00622884" w:rsidRDefault="00622884" w:rsidP="00622884">
            <w:pPr>
              <w:spacing w:after="0" w:line="240" w:lineRule="auto"/>
              <w:rPr>
                <w:rFonts w:ascii="Garamond" w:eastAsia="Calibri" w:hAnsi="Garamond" w:cs="Calibri Light"/>
                <w:sz w:val="16"/>
                <w:szCs w:val="18"/>
                <w:lang w:eastAsia="es-ES"/>
              </w:rPr>
            </w:pPr>
            <w:r w:rsidRPr="00622884">
              <w:rPr>
                <w:rFonts w:ascii="Garamond" w:eastAsia="Times New Roman" w:hAnsi="Garamond" w:cs="Times New Roman"/>
                <w:sz w:val="16"/>
                <w:szCs w:val="24"/>
                <w:lang w:eastAsia="es-ES" w:bidi="sq-AL"/>
              </w:rPr>
              <w:t>NMVM-të në pronësi të grave, gratë sipërmarrëse, grupet e grave në zonat rurale, familjet në nevojë, OSHC-të e drejtuara nga gratë</w:t>
            </w:r>
          </w:p>
        </w:tc>
        <w:tc>
          <w:tcPr>
            <w:tcW w:w="892" w:type="pct"/>
            <w:vAlign w:val="center"/>
          </w:tcPr>
          <w:p w14:paraId="2347B36F" w14:textId="77777777" w:rsidR="00622884" w:rsidRPr="00622884" w:rsidRDefault="00622884" w:rsidP="00622884">
            <w:pPr>
              <w:spacing w:after="0" w:line="240" w:lineRule="auto"/>
              <w:rPr>
                <w:rFonts w:ascii="Garamond" w:eastAsia="Calibri" w:hAnsi="Garamond" w:cs="Calibri Light"/>
                <w:sz w:val="16"/>
                <w:szCs w:val="18"/>
                <w:lang w:eastAsia="es-ES"/>
              </w:rPr>
            </w:pPr>
            <w:r w:rsidRPr="00622884">
              <w:rPr>
                <w:rFonts w:ascii="Garamond" w:eastAsia="Times New Roman" w:hAnsi="Garamond" w:cs="Times New Roman"/>
                <w:sz w:val="16"/>
                <w:szCs w:val="24"/>
                <w:lang w:eastAsia="es-ES" w:bidi="sq-AL"/>
              </w:rPr>
              <w:t># i organizatave të financuara të drejtuara nga gratë; % e portofolit që shkon për projekte të udhëhequra nga gratë; % e projekteve të mbështetura për më shumë se 24 muaj</w:t>
            </w:r>
          </w:p>
        </w:tc>
        <w:tc>
          <w:tcPr>
            <w:tcW w:w="868" w:type="pct"/>
            <w:vAlign w:val="center"/>
          </w:tcPr>
          <w:p w14:paraId="10BB6A5D" w14:textId="77777777" w:rsidR="00622884" w:rsidRPr="00622884" w:rsidRDefault="00622884" w:rsidP="00622884">
            <w:pPr>
              <w:spacing w:after="0" w:line="240" w:lineRule="auto"/>
              <w:rPr>
                <w:rFonts w:ascii="Garamond" w:eastAsia="Calibri" w:hAnsi="Garamond" w:cs="Calibri Light"/>
                <w:sz w:val="16"/>
                <w:szCs w:val="18"/>
                <w:lang w:eastAsia="es-ES"/>
              </w:rPr>
            </w:pPr>
            <w:r w:rsidRPr="00622884">
              <w:rPr>
                <w:rFonts w:ascii="Garamond" w:eastAsia="Times New Roman" w:hAnsi="Garamond" w:cs="Times New Roman"/>
                <w:sz w:val="16"/>
                <w:szCs w:val="24"/>
                <w:lang w:eastAsia="es-ES" w:bidi="sq-AL"/>
              </w:rPr>
              <w:t>M7 - Mekanizmat novatorë të financimit për klimën</w:t>
            </w:r>
          </w:p>
        </w:tc>
      </w:tr>
      <w:tr w:rsidR="00622884" w:rsidRPr="00622884" w14:paraId="59EB385E" w14:textId="77777777" w:rsidTr="00622884">
        <w:trPr>
          <w:trHeight w:val="20"/>
        </w:trPr>
        <w:tc>
          <w:tcPr>
            <w:tcW w:w="163" w:type="pct"/>
            <w:vAlign w:val="center"/>
          </w:tcPr>
          <w:p w14:paraId="022FA10C" w14:textId="77777777" w:rsidR="00622884" w:rsidRPr="00622884" w:rsidRDefault="00622884" w:rsidP="00622884">
            <w:pPr>
              <w:spacing w:after="0" w:line="240" w:lineRule="auto"/>
              <w:jc w:val="center"/>
              <w:rPr>
                <w:rFonts w:ascii="Garamond" w:eastAsia="Calibri" w:hAnsi="Garamond" w:cs="Calibri Light"/>
                <w:b/>
                <w:bCs/>
                <w:sz w:val="16"/>
                <w:szCs w:val="18"/>
                <w:lang w:eastAsia="es-ES"/>
              </w:rPr>
            </w:pPr>
            <w:r w:rsidRPr="00622884">
              <w:rPr>
                <w:rFonts w:ascii="Garamond" w:eastAsia="Times New Roman" w:hAnsi="Garamond" w:cs="Times New Roman"/>
                <w:b/>
                <w:sz w:val="16"/>
                <w:szCs w:val="24"/>
                <w:lang w:eastAsia="es-ES" w:bidi="sq-AL"/>
              </w:rPr>
              <w:t>4</w:t>
            </w:r>
          </w:p>
        </w:tc>
        <w:tc>
          <w:tcPr>
            <w:tcW w:w="818" w:type="pct"/>
            <w:vAlign w:val="center"/>
          </w:tcPr>
          <w:p w14:paraId="7841E84E" w14:textId="77777777" w:rsidR="00622884" w:rsidRPr="00622884" w:rsidRDefault="00622884" w:rsidP="00622884">
            <w:pPr>
              <w:spacing w:after="0" w:line="240" w:lineRule="auto"/>
              <w:jc w:val="center"/>
              <w:rPr>
                <w:rFonts w:ascii="Garamond" w:eastAsia="Calibri" w:hAnsi="Garamond" w:cs="Calibri Light"/>
                <w:sz w:val="16"/>
                <w:szCs w:val="18"/>
                <w:lang w:eastAsia="es-ES"/>
              </w:rPr>
            </w:pPr>
            <w:r w:rsidRPr="00622884">
              <w:rPr>
                <w:rFonts w:ascii="Garamond" w:eastAsia="Times New Roman" w:hAnsi="Garamond" w:cs="Times New Roman"/>
                <w:sz w:val="16"/>
                <w:szCs w:val="24"/>
                <w:lang w:eastAsia="es-ES" w:bidi="sq-AL"/>
              </w:rPr>
              <w:t>Protokolle MRF-je dhe emergjence me ndjeshmëri gjinore</w:t>
            </w:r>
          </w:p>
          <w:p w14:paraId="1379DE5A" w14:textId="77777777" w:rsidR="00622884" w:rsidRPr="00622884" w:rsidRDefault="00622884" w:rsidP="00622884">
            <w:pPr>
              <w:spacing w:after="0" w:line="240" w:lineRule="auto"/>
              <w:jc w:val="center"/>
              <w:rPr>
                <w:rFonts w:ascii="Garamond" w:eastAsia="Calibri" w:hAnsi="Garamond" w:cs="Calibri Light"/>
                <w:sz w:val="16"/>
                <w:szCs w:val="18"/>
                <w:lang w:eastAsia="es-ES"/>
              </w:rPr>
            </w:pPr>
          </w:p>
        </w:tc>
        <w:tc>
          <w:tcPr>
            <w:tcW w:w="696" w:type="pct"/>
            <w:vAlign w:val="center"/>
          </w:tcPr>
          <w:p w14:paraId="4553DE1D" w14:textId="77777777" w:rsidR="00622884" w:rsidRPr="00622884" w:rsidRDefault="00622884" w:rsidP="00622884">
            <w:pPr>
              <w:spacing w:after="0" w:line="240" w:lineRule="auto"/>
              <w:rPr>
                <w:rFonts w:ascii="Garamond" w:eastAsia="Calibri" w:hAnsi="Garamond" w:cs="Calibri Light"/>
                <w:sz w:val="16"/>
                <w:szCs w:val="18"/>
                <w:lang w:eastAsia="es-ES"/>
              </w:rPr>
            </w:pPr>
            <w:r w:rsidRPr="00622884">
              <w:rPr>
                <w:rFonts w:ascii="Garamond" w:eastAsia="Times New Roman" w:hAnsi="Garamond" w:cs="Times New Roman"/>
                <w:sz w:val="16"/>
                <w:szCs w:val="24"/>
                <w:lang w:eastAsia="es-ES" w:bidi="sq-AL"/>
              </w:rPr>
              <w:t>Ndikime disproporcionale te gratë në raste fatkeqësish; DHBGJ dhe risqet e sigurisë</w:t>
            </w:r>
          </w:p>
          <w:p w14:paraId="3D7CD9F3" w14:textId="77777777" w:rsidR="00622884" w:rsidRPr="00622884" w:rsidRDefault="00622884" w:rsidP="00622884">
            <w:pPr>
              <w:spacing w:after="0" w:line="240" w:lineRule="auto"/>
              <w:rPr>
                <w:rFonts w:ascii="Garamond" w:eastAsia="Calibri" w:hAnsi="Garamond" w:cs="Calibri Light"/>
                <w:sz w:val="16"/>
                <w:szCs w:val="18"/>
                <w:lang w:eastAsia="es-ES"/>
              </w:rPr>
            </w:pPr>
          </w:p>
        </w:tc>
        <w:tc>
          <w:tcPr>
            <w:tcW w:w="921" w:type="pct"/>
            <w:vAlign w:val="center"/>
          </w:tcPr>
          <w:p w14:paraId="79C209D4" w14:textId="77777777" w:rsidR="00622884" w:rsidRPr="00622884" w:rsidRDefault="00622884" w:rsidP="00622884">
            <w:pPr>
              <w:spacing w:after="0" w:line="240" w:lineRule="auto"/>
              <w:rPr>
                <w:rFonts w:ascii="Garamond" w:eastAsia="Calibri" w:hAnsi="Garamond" w:cs="Calibri Light"/>
                <w:sz w:val="16"/>
                <w:szCs w:val="18"/>
                <w:lang w:eastAsia="es-ES"/>
              </w:rPr>
            </w:pPr>
            <w:r w:rsidRPr="00622884">
              <w:rPr>
                <w:rFonts w:ascii="Garamond" w:eastAsia="Times New Roman" w:hAnsi="Garamond" w:cs="Times New Roman"/>
                <w:sz w:val="16"/>
                <w:szCs w:val="24"/>
                <w:lang w:eastAsia="es-ES" w:bidi="sq-AL"/>
              </w:rPr>
              <w:t>Standardizimi i komunikimeve të riskut, strehët e sigurta, sistemet e ankesave dhe referimeve</w:t>
            </w:r>
          </w:p>
          <w:p w14:paraId="23FFFFF4" w14:textId="77777777" w:rsidR="00622884" w:rsidRPr="00622884" w:rsidRDefault="00622884" w:rsidP="00622884">
            <w:pPr>
              <w:spacing w:after="0" w:line="240" w:lineRule="auto"/>
              <w:rPr>
                <w:rFonts w:ascii="Garamond" w:eastAsia="Calibri" w:hAnsi="Garamond" w:cs="Calibri Light"/>
                <w:sz w:val="16"/>
                <w:szCs w:val="18"/>
                <w:lang w:eastAsia="es-ES"/>
              </w:rPr>
            </w:pPr>
          </w:p>
        </w:tc>
        <w:tc>
          <w:tcPr>
            <w:tcW w:w="642" w:type="pct"/>
            <w:vAlign w:val="center"/>
          </w:tcPr>
          <w:p w14:paraId="2F0B09E2" w14:textId="77777777" w:rsidR="00622884" w:rsidRPr="00622884" w:rsidRDefault="00622884" w:rsidP="00622884">
            <w:pPr>
              <w:spacing w:after="0" w:line="240" w:lineRule="auto"/>
              <w:rPr>
                <w:rFonts w:ascii="Garamond" w:eastAsia="Calibri" w:hAnsi="Garamond" w:cs="Calibri Light"/>
                <w:sz w:val="16"/>
                <w:szCs w:val="18"/>
                <w:lang w:eastAsia="es-ES"/>
              </w:rPr>
            </w:pPr>
            <w:r w:rsidRPr="00622884">
              <w:rPr>
                <w:rFonts w:ascii="Garamond" w:eastAsia="Times New Roman" w:hAnsi="Garamond" w:cs="Times New Roman"/>
                <w:sz w:val="16"/>
                <w:szCs w:val="24"/>
                <w:lang w:eastAsia="es-ES" w:bidi="sq-AL"/>
              </w:rPr>
              <w:t>Familje me kryefamiljare gra, punonjëse informale gra, gra dhe vajza të cenueshme, grupe vendase grash</w:t>
            </w:r>
          </w:p>
        </w:tc>
        <w:tc>
          <w:tcPr>
            <w:tcW w:w="892" w:type="pct"/>
            <w:vAlign w:val="center"/>
          </w:tcPr>
          <w:p w14:paraId="5586FF90" w14:textId="77777777" w:rsidR="00622884" w:rsidRPr="00622884" w:rsidRDefault="00622884" w:rsidP="00622884">
            <w:pPr>
              <w:spacing w:after="0" w:line="240" w:lineRule="auto"/>
              <w:rPr>
                <w:rFonts w:ascii="Garamond" w:eastAsia="Calibri" w:hAnsi="Garamond" w:cs="Calibri Light"/>
                <w:sz w:val="16"/>
                <w:szCs w:val="18"/>
                <w:lang w:eastAsia="es-ES"/>
              </w:rPr>
            </w:pPr>
            <w:r w:rsidRPr="00622884">
              <w:rPr>
                <w:rFonts w:ascii="Garamond" w:eastAsia="Times New Roman" w:hAnsi="Garamond" w:cs="Times New Roman"/>
                <w:sz w:val="16"/>
                <w:szCs w:val="24"/>
                <w:lang w:eastAsia="es-ES" w:bidi="sq-AL"/>
              </w:rPr>
              <w:t># bashki që miratojnë protokollin; # strehë që përmbushin standardet gjinore; % e grave që raportojnë qasje të sigurt gjatë emergjencave</w:t>
            </w:r>
          </w:p>
          <w:p w14:paraId="370716B2" w14:textId="77777777" w:rsidR="00622884" w:rsidRPr="00622884" w:rsidRDefault="00622884" w:rsidP="00622884">
            <w:pPr>
              <w:spacing w:after="0" w:line="240" w:lineRule="auto"/>
              <w:rPr>
                <w:rFonts w:ascii="Garamond" w:eastAsia="Calibri" w:hAnsi="Garamond" w:cs="Calibri Light"/>
                <w:sz w:val="16"/>
                <w:szCs w:val="18"/>
                <w:lang w:eastAsia="es-ES"/>
              </w:rPr>
            </w:pPr>
          </w:p>
        </w:tc>
        <w:tc>
          <w:tcPr>
            <w:tcW w:w="868" w:type="pct"/>
            <w:vAlign w:val="center"/>
          </w:tcPr>
          <w:p w14:paraId="25FE8D46" w14:textId="77777777" w:rsidR="00622884" w:rsidRPr="00622884" w:rsidRDefault="00622884" w:rsidP="00622884">
            <w:pPr>
              <w:spacing w:after="0" w:line="240" w:lineRule="auto"/>
              <w:rPr>
                <w:rFonts w:ascii="Garamond" w:eastAsia="Calibri" w:hAnsi="Garamond" w:cs="Calibri Light"/>
                <w:sz w:val="16"/>
                <w:szCs w:val="18"/>
                <w:lang w:eastAsia="es-ES"/>
              </w:rPr>
            </w:pPr>
            <w:r w:rsidRPr="00622884">
              <w:rPr>
                <w:rFonts w:ascii="Garamond" w:eastAsia="Times New Roman" w:hAnsi="Garamond" w:cs="Times New Roman"/>
                <w:sz w:val="16"/>
                <w:szCs w:val="24"/>
                <w:lang w:eastAsia="es-ES" w:bidi="sq-AL"/>
              </w:rPr>
              <w:t>M10 – Edukimi i komuniteteve dhe forcimi i ndërgjegjësimit për menaxhimin e riskut nga fatkeqësitë</w:t>
            </w:r>
          </w:p>
          <w:p w14:paraId="317E6B68" w14:textId="77777777" w:rsidR="00622884" w:rsidRPr="00622884" w:rsidRDefault="00622884" w:rsidP="00622884">
            <w:pPr>
              <w:spacing w:after="0" w:line="240" w:lineRule="auto"/>
              <w:rPr>
                <w:rFonts w:ascii="Garamond" w:eastAsia="Calibri" w:hAnsi="Garamond" w:cs="Calibri Light"/>
                <w:sz w:val="16"/>
                <w:szCs w:val="18"/>
                <w:lang w:eastAsia="es-ES"/>
              </w:rPr>
            </w:pPr>
          </w:p>
        </w:tc>
      </w:tr>
    </w:tbl>
    <w:p w14:paraId="2FDE41D8" w14:textId="77777777" w:rsidR="00622884" w:rsidRPr="00622884" w:rsidRDefault="00622884" w:rsidP="00622884">
      <w:pPr>
        <w:tabs>
          <w:tab w:val="left" w:pos="5325"/>
        </w:tabs>
        <w:spacing w:after="0" w:line="240" w:lineRule="auto"/>
        <w:ind w:firstLine="284"/>
        <w:rPr>
          <w:rFonts w:ascii="Garamond" w:eastAsia="Calibri" w:hAnsi="Garamond" w:cs="Times New Roman"/>
          <w:b/>
          <w:sz w:val="24"/>
          <w:szCs w:val="24"/>
          <w:lang w:eastAsia="en-US"/>
        </w:rPr>
      </w:pPr>
    </w:p>
    <w:p w14:paraId="7C90D12F" w14:textId="77777777" w:rsidR="00622884" w:rsidRPr="00622884" w:rsidRDefault="00622884" w:rsidP="00622884">
      <w:pPr>
        <w:tabs>
          <w:tab w:val="left" w:pos="5325"/>
        </w:tabs>
        <w:spacing w:after="0" w:line="240" w:lineRule="auto"/>
        <w:ind w:firstLine="284"/>
        <w:rPr>
          <w:rFonts w:ascii="Garamond" w:eastAsia="Calibri" w:hAnsi="Garamond" w:cs="Times New Roman"/>
          <w:b/>
          <w:sz w:val="24"/>
          <w:szCs w:val="24"/>
          <w:lang w:eastAsia="en-US" w:bidi="sq-AL"/>
        </w:rPr>
      </w:pPr>
    </w:p>
    <w:p w14:paraId="5AB5F07C" w14:textId="77777777" w:rsidR="00622884" w:rsidRPr="00622884" w:rsidRDefault="00622884" w:rsidP="00622884">
      <w:pPr>
        <w:tabs>
          <w:tab w:val="left" w:pos="5325"/>
        </w:tabs>
        <w:spacing w:after="0" w:line="240" w:lineRule="auto"/>
        <w:ind w:firstLine="284"/>
        <w:rPr>
          <w:rFonts w:ascii="Garamond" w:eastAsia="Calibri" w:hAnsi="Garamond" w:cs="Times New Roman"/>
          <w:b/>
          <w:sz w:val="24"/>
          <w:szCs w:val="24"/>
          <w:lang w:eastAsia="en-US" w:bidi="sq-AL"/>
        </w:rPr>
      </w:pPr>
    </w:p>
    <w:p w14:paraId="10D79AFE" w14:textId="77777777" w:rsidR="00622884" w:rsidRPr="00622884" w:rsidRDefault="00622884" w:rsidP="00622884">
      <w:pPr>
        <w:tabs>
          <w:tab w:val="left" w:pos="5325"/>
        </w:tabs>
        <w:spacing w:after="0" w:line="240" w:lineRule="auto"/>
        <w:ind w:firstLine="284"/>
        <w:rPr>
          <w:rFonts w:ascii="Garamond" w:eastAsia="Open Sans Light" w:hAnsi="Garamond" w:cs="Calibri Light"/>
          <w:b/>
          <w:bCs/>
          <w:sz w:val="24"/>
          <w:szCs w:val="24"/>
          <w:lang w:eastAsia="en-US"/>
        </w:rPr>
      </w:pPr>
      <w:r w:rsidRPr="00622884">
        <w:rPr>
          <w:rFonts w:ascii="Garamond" w:eastAsia="Calibri" w:hAnsi="Garamond" w:cs="Times New Roman"/>
          <w:b/>
          <w:sz w:val="24"/>
          <w:szCs w:val="24"/>
          <w:lang w:eastAsia="en-US" w:bidi="sq-AL"/>
        </w:rPr>
        <w:t>Bujqësia dhe pylltaria</w:t>
      </w:r>
    </w:p>
    <w:tbl>
      <w:tblPr>
        <w:tblW w:w="5583" w:type="pct"/>
        <w:tblInd w:w="-714" w:type="dxa"/>
        <w:tblBorders>
          <w:top w:val="single" w:sz="4" w:space="0" w:color="1D3C5A"/>
          <w:left w:val="single" w:sz="4" w:space="0" w:color="1D3C5A"/>
          <w:bottom w:val="single" w:sz="4" w:space="0" w:color="1D3C5A"/>
          <w:right w:val="single" w:sz="4" w:space="0" w:color="1D3C5A"/>
          <w:insideH w:val="single" w:sz="4" w:space="0" w:color="1D3C5A"/>
          <w:insideV w:val="single" w:sz="4" w:space="0" w:color="1D3C5A"/>
        </w:tblBorders>
        <w:tblLook w:val="04A0" w:firstRow="1" w:lastRow="0" w:firstColumn="1" w:lastColumn="0" w:noHBand="0" w:noVBand="1"/>
      </w:tblPr>
      <w:tblGrid>
        <w:gridCol w:w="448"/>
        <w:gridCol w:w="1678"/>
        <w:gridCol w:w="1425"/>
        <w:gridCol w:w="1891"/>
        <w:gridCol w:w="1314"/>
        <w:gridCol w:w="1832"/>
        <w:gridCol w:w="1782"/>
      </w:tblGrid>
      <w:tr w:rsidR="00622884" w:rsidRPr="00622884" w14:paraId="3AC18BB3" w14:textId="77777777" w:rsidTr="00622884">
        <w:trPr>
          <w:trHeight w:val="20"/>
          <w:tblHeader/>
        </w:trPr>
        <w:tc>
          <w:tcPr>
            <w:tcW w:w="163" w:type="pct"/>
            <w:shd w:val="clear" w:color="auto" w:fill="215A5C"/>
            <w:vAlign w:val="center"/>
          </w:tcPr>
          <w:p w14:paraId="3A61C2DD" w14:textId="77777777" w:rsidR="00622884" w:rsidRPr="00622884" w:rsidRDefault="00622884" w:rsidP="00622884">
            <w:pPr>
              <w:shd w:val="clear" w:color="auto" w:fill="215A5C"/>
              <w:spacing w:after="0" w:line="240" w:lineRule="auto"/>
              <w:jc w:val="center"/>
              <w:rPr>
                <w:rFonts w:ascii="Garamond" w:eastAsia="SimSun" w:hAnsi="Garamond" w:cs="Calibri Light"/>
                <w:b/>
                <w:bCs/>
                <w:sz w:val="16"/>
                <w:szCs w:val="18"/>
                <w:lang w:eastAsia="es-ES"/>
              </w:rPr>
            </w:pPr>
            <w:r w:rsidRPr="00622884">
              <w:rPr>
                <w:rFonts w:ascii="Garamond" w:eastAsia="Times New Roman" w:hAnsi="Garamond" w:cs="Times New Roman"/>
                <w:b/>
                <w:sz w:val="16"/>
                <w:szCs w:val="24"/>
                <w:lang w:eastAsia="es-ES" w:bidi="sq-AL"/>
              </w:rPr>
              <w:t>Nr.</w:t>
            </w:r>
          </w:p>
        </w:tc>
        <w:tc>
          <w:tcPr>
            <w:tcW w:w="818" w:type="pct"/>
            <w:shd w:val="clear" w:color="auto" w:fill="215A5C"/>
            <w:vAlign w:val="center"/>
          </w:tcPr>
          <w:p w14:paraId="537D61CA" w14:textId="77777777" w:rsidR="00622884" w:rsidRPr="00622884" w:rsidRDefault="00622884" w:rsidP="00622884">
            <w:pPr>
              <w:shd w:val="clear" w:color="auto" w:fill="215A5C"/>
              <w:spacing w:after="0" w:line="240" w:lineRule="auto"/>
              <w:jc w:val="center"/>
              <w:rPr>
                <w:rFonts w:ascii="Garamond" w:eastAsia="SimSun" w:hAnsi="Garamond" w:cs="Calibri Light"/>
                <w:b/>
                <w:bCs/>
                <w:sz w:val="16"/>
                <w:szCs w:val="18"/>
                <w:lang w:eastAsia="es-ES"/>
              </w:rPr>
            </w:pPr>
            <w:r w:rsidRPr="00622884">
              <w:rPr>
                <w:rFonts w:ascii="Garamond" w:eastAsia="Times New Roman" w:hAnsi="Garamond" w:cs="Times New Roman"/>
                <w:b/>
                <w:sz w:val="16"/>
                <w:szCs w:val="24"/>
                <w:lang w:eastAsia="es-ES" w:bidi="sq-AL"/>
              </w:rPr>
              <w:t>Veprimi</w:t>
            </w:r>
          </w:p>
        </w:tc>
        <w:tc>
          <w:tcPr>
            <w:tcW w:w="696" w:type="pct"/>
            <w:shd w:val="clear" w:color="auto" w:fill="215A5C"/>
            <w:vAlign w:val="center"/>
          </w:tcPr>
          <w:p w14:paraId="0C1D637E" w14:textId="77777777" w:rsidR="00622884" w:rsidRPr="00622884" w:rsidRDefault="00622884" w:rsidP="00622884">
            <w:pPr>
              <w:shd w:val="clear" w:color="auto" w:fill="215A5C"/>
              <w:spacing w:after="0" w:line="240" w:lineRule="auto"/>
              <w:jc w:val="center"/>
              <w:rPr>
                <w:rFonts w:ascii="Garamond" w:eastAsia="SimSun" w:hAnsi="Garamond" w:cs="Calibri Light"/>
                <w:b/>
                <w:bCs/>
                <w:sz w:val="16"/>
                <w:szCs w:val="18"/>
                <w:lang w:eastAsia="es-ES"/>
              </w:rPr>
            </w:pPr>
            <w:r w:rsidRPr="00622884">
              <w:rPr>
                <w:rFonts w:ascii="Garamond" w:eastAsia="Times New Roman" w:hAnsi="Garamond" w:cs="Times New Roman"/>
                <w:b/>
                <w:sz w:val="16"/>
                <w:szCs w:val="24"/>
                <w:lang w:eastAsia="es-ES" w:bidi="sq-AL"/>
              </w:rPr>
              <w:t>Sfida e trajtuar</w:t>
            </w:r>
          </w:p>
        </w:tc>
        <w:tc>
          <w:tcPr>
            <w:tcW w:w="921" w:type="pct"/>
            <w:shd w:val="clear" w:color="auto" w:fill="215A5C"/>
            <w:vAlign w:val="center"/>
          </w:tcPr>
          <w:p w14:paraId="5E7E9BD5" w14:textId="77777777" w:rsidR="00622884" w:rsidRPr="00622884" w:rsidRDefault="00622884" w:rsidP="00622884">
            <w:pPr>
              <w:shd w:val="clear" w:color="auto" w:fill="215A5C"/>
              <w:spacing w:after="0" w:line="240" w:lineRule="auto"/>
              <w:jc w:val="center"/>
              <w:rPr>
                <w:rFonts w:ascii="Garamond" w:eastAsia="SimSun" w:hAnsi="Garamond" w:cs="Calibri Light"/>
                <w:b/>
                <w:bCs/>
                <w:sz w:val="16"/>
                <w:szCs w:val="18"/>
                <w:lang w:eastAsia="es-ES"/>
              </w:rPr>
            </w:pPr>
            <w:r w:rsidRPr="00622884">
              <w:rPr>
                <w:rFonts w:ascii="Garamond" w:eastAsia="Times New Roman" w:hAnsi="Garamond" w:cs="Times New Roman"/>
                <w:b/>
                <w:sz w:val="16"/>
                <w:szCs w:val="24"/>
                <w:lang w:eastAsia="es-ES" w:bidi="sq-AL"/>
              </w:rPr>
              <w:t>Përshkrimi</w:t>
            </w:r>
          </w:p>
        </w:tc>
        <w:tc>
          <w:tcPr>
            <w:tcW w:w="642" w:type="pct"/>
            <w:shd w:val="clear" w:color="auto" w:fill="215A5C"/>
            <w:vAlign w:val="center"/>
          </w:tcPr>
          <w:p w14:paraId="3A2D2A06" w14:textId="77777777" w:rsidR="00622884" w:rsidRPr="00622884" w:rsidRDefault="00622884" w:rsidP="00622884">
            <w:pPr>
              <w:shd w:val="clear" w:color="auto" w:fill="215A5C"/>
              <w:spacing w:after="0" w:line="240" w:lineRule="auto"/>
              <w:jc w:val="center"/>
              <w:rPr>
                <w:rFonts w:ascii="Garamond" w:eastAsia="SimSun" w:hAnsi="Garamond" w:cs="Calibri Light"/>
                <w:b/>
                <w:bCs/>
                <w:sz w:val="16"/>
                <w:szCs w:val="18"/>
                <w:lang w:eastAsia="es-ES"/>
              </w:rPr>
            </w:pPr>
            <w:r w:rsidRPr="00622884">
              <w:rPr>
                <w:rFonts w:ascii="Garamond" w:eastAsia="Times New Roman" w:hAnsi="Garamond" w:cs="Times New Roman"/>
                <w:b/>
                <w:sz w:val="16"/>
                <w:szCs w:val="24"/>
                <w:lang w:eastAsia="es-ES" w:bidi="sq-AL"/>
              </w:rPr>
              <w:t>Përfituesit</w:t>
            </w:r>
          </w:p>
        </w:tc>
        <w:tc>
          <w:tcPr>
            <w:tcW w:w="892" w:type="pct"/>
            <w:shd w:val="clear" w:color="auto" w:fill="215A5C"/>
            <w:vAlign w:val="center"/>
          </w:tcPr>
          <w:p w14:paraId="71B1F461" w14:textId="77777777" w:rsidR="00622884" w:rsidRPr="00622884" w:rsidRDefault="00622884" w:rsidP="00622884">
            <w:pPr>
              <w:shd w:val="clear" w:color="auto" w:fill="215A5C"/>
              <w:spacing w:after="0" w:line="240" w:lineRule="auto"/>
              <w:jc w:val="center"/>
              <w:rPr>
                <w:rFonts w:ascii="Garamond" w:eastAsia="SimSun" w:hAnsi="Garamond" w:cs="Calibri Light"/>
                <w:b/>
                <w:bCs/>
                <w:sz w:val="16"/>
                <w:szCs w:val="18"/>
                <w:lang w:eastAsia="es-ES"/>
              </w:rPr>
            </w:pPr>
            <w:r w:rsidRPr="00622884">
              <w:rPr>
                <w:rFonts w:ascii="Garamond" w:eastAsia="Times New Roman" w:hAnsi="Garamond" w:cs="Times New Roman"/>
                <w:b/>
                <w:sz w:val="16"/>
                <w:szCs w:val="24"/>
                <w:lang w:eastAsia="es-ES" w:bidi="sq-AL"/>
              </w:rPr>
              <w:t>Treguesit</w:t>
            </w:r>
          </w:p>
        </w:tc>
        <w:tc>
          <w:tcPr>
            <w:tcW w:w="868" w:type="pct"/>
            <w:shd w:val="clear" w:color="auto" w:fill="215A5C"/>
            <w:vAlign w:val="center"/>
          </w:tcPr>
          <w:p w14:paraId="52F92306" w14:textId="77777777" w:rsidR="00622884" w:rsidRPr="00622884" w:rsidRDefault="00622884" w:rsidP="00622884">
            <w:pPr>
              <w:shd w:val="clear" w:color="auto" w:fill="215A5C"/>
              <w:spacing w:after="0" w:line="240" w:lineRule="auto"/>
              <w:jc w:val="center"/>
              <w:rPr>
                <w:rFonts w:ascii="Garamond" w:eastAsia="SimSun" w:hAnsi="Garamond" w:cs="Calibri Light"/>
                <w:b/>
                <w:bCs/>
                <w:sz w:val="16"/>
                <w:szCs w:val="18"/>
                <w:lang w:eastAsia="es-ES"/>
              </w:rPr>
            </w:pPr>
            <w:r w:rsidRPr="00622884">
              <w:rPr>
                <w:rFonts w:ascii="Garamond" w:eastAsia="Times New Roman" w:hAnsi="Garamond" w:cs="Times New Roman"/>
                <w:b/>
                <w:sz w:val="16"/>
                <w:szCs w:val="24"/>
                <w:lang w:eastAsia="es-ES" w:bidi="sq-AL"/>
              </w:rPr>
              <w:t>Kontributi specifik në masat e NAP-it</w:t>
            </w:r>
          </w:p>
        </w:tc>
      </w:tr>
      <w:tr w:rsidR="00622884" w:rsidRPr="00622884" w14:paraId="288C7F52" w14:textId="77777777" w:rsidTr="00622884">
        <w:trPr>
          <w:trHeight w:val="20"/>
        </w:trPr>
        <w:tc>
          <w:tcPr>
            <w:tcW w:w="163" w:type="pct"/>
            <w:vAlign w:val="center"/>
          </w:tcPr>
          <w:p w14:paraId="2E1928CC" w14:textId="77777777" w:rsidR="00622884" w:rsidRPr="00622884" w:rsidRDefault="00622884" w:rsidP="00622884">
            <w:pPr>
              <w:spacing w:after="0" w:line="240" w:lineRule="auto"/>
              <w:jc w:val="center"/>
              <w:rPr>
                <w:rFonts w:ascii="Garamond" w:eastAsia="Calibri" w:hAnsi="Garamond" w:cs="Calibri Light"/>
                <w:b/>
                <w:bCs/>
                <w:sz w:val="16"/>
                <w:szCs w:val="18"/>
                <w:lang w:eastAsia="es-ES"/>
              </w:rPr>
            </w:pPr>
            <w:r w:rsidRPr="00622884">
              <w:rPr>
                <w:rFonts w:ascii="Garamond" w:eastAsia="Times New Roman" w:hAnsi="Garamond" w:cs="Times New Roman"/>
                <w:b/>
                <w:sz w:val="16"/>
                <w:szCs w:val="24"/>
                <w:lang w:eastAsia="es-ES" w:bidi="sq-AL"/>
              </w:rPr>
              <w:t>1</w:t>
            </w:r>
          </w:p>
        </w:tc>
        <w:tc>
          <w:tcPr>
            <w:tcW w:w="818" w:type="pct"/>
            <w:vAlign w:val="center"/>
          </w:tcPr>
          <w:p w14:paraId="163EDAA0" w14:textId="77777777" w:rsidR="00622884" w:rsidRPr="00622884" w:rsidRDefault="00622884" w:rsidP="00622884">
            <w:pPr>
              <w:spacing w:after="0" w:line="240" w:lineRule="auto"/>
              <w:jc w:val="center"/>
              <w:rPr>
                <w:rFonts w:ascii="Garamond" w:eastAsia="Calibri" w:hAnsi="Garamond" w:cs="Calibri Light"/>
                <w:sz w:val="16"/>
                <w:szCs w:val="18"/>
                <w:lang w:eastAsia="es-ES"/>
              </w:rPr>
            </w:pPr>
            <w:r w:rsidRPr="00622884">
              <w:rPr>
                <w:rFonts w:ascii="Garamond" w:eastAsia="Times New Roman" w:hAnsi="Garamond" w:cs="Times New Roman"/>
                <w:sz w:val="16"/>
                <w:szCs w:val="24"/>
                <w:lang w:eastAsia="es-ES" w:bidi="sq-AL"/>
              </w:rPr>
              <w:t>Qasje e barabartë në tokë, hua dhe shërbime ekstensioni</w:t>
            </w:r>
          </w:p>
        </w:tc>
        <w:tc>
          <w:tcPr>
            <w:tcW w:w="696" w:type="pct"/>
            <w:vAlign w:val="center"/>
          </w:tcPr>
          <w:p w14:paraId="0455EEAA" w14:textId="77777777" w:rsidR="00622884" w:rsidRPr="00622884" w:rsidRDefault="00622884" w:rsidP="00622884">
            <w:pPr>
              <w:spacing w:after="0" w:line="240" w:lineRule="auto"/>
              <w:jc w:val="center"/>
              <w:rPr>
                <w:rFonts w:ascii="Garamond" w:eastAsia="Calibri" w:hAnsi="Garamond" w:cs="Calibri Light"/>
                <w:sz w:val="16"/>
                <w:szCs w:val="18"/>
                <w:lang w:eastAsia="es-ES"/>
              </w:rPr>
            </w:pPr>
            <w:r w:rsidRPr="00622884">
              <w:rPr>
                <w:rFonts w:ascii="Garamond" w:eastAsia="Times New Roman" w:hAnsi="Garamond" w:cs="Times New Roman"/>
                <w:sz w:val="16"/>
                <w:szCs w:val="24"/>
                <w:lang w:eastAsia="es-ES" w:bidi="sq-AL"/>
              </w:rPr>
              <w:t>Pronësi e kufizuar e tokës dhe hua bujqësore; shtrirje e ulët e shërbimeve të ekstensionit për gratë</w:t>
            </w:r>
          </w:p>
        </w:tc>
        <w:tc>
          <w:tcPr>
            <w:tcW w:w="921" w:type="pct"/>
            <w:vAlign w:val="center"/>
          </w:tcPr>
          <w:p w14:paraId="6FB1AE9F" w14:textId="77777777" w:rsidR="00622884" w:rsidRPr="00622884" w:rsidRDefault="00622884" w:rsidP="00622884">
            <w:pPr>
              <w:spacing w:after="0" w:line="240" w:lineRule="auto"/>
              <w:jc w:val="center"/>
              <w:rPr>
                <w:rFonts w:ascii="Garamond" w:eastAsia="Calibri" w:hAnsi="Garamond" w:cs="Calibri Light"/>
                <w:sz w:val="16"/>
                <w:szCs w:val="18"/>
                <w:lang w:eastAsia="es-ES"/>
              </w:rPr>
            </w:pPr>
            <w:r w:rsidRPr="00622884">
              <w:rPr>
                <w:rFonts w:ascii="Garamond" w:eastAsia="Times New Roman" w:hAnsi="Garamond" w:cs="Times New Roman"/>
                <w:sz w:val="16"/>
                <w:szCs w:val="24"/>
                <w:lang w:eastAsia="es-ES" w:bidi="sq-AL"/>
              </w:rPr>
              <w:t>Ndihmë ligjore për titujt e pronësisë; agrofinancimi i përshtatur sipas gjinisë; objektivi prej 40% për shërbime ekstensioni për gratë</w:t>
            </w:r>
          </w:p>
        </w:tc>
        <w:tc>
          <w:tcPr>
            <w:tcW w:w="642" w:type="pct"/>
            <w:vAlign w:val="center"/>
          </w:tcPr>
          <w:p w14:paraId="0E84F2D1" w14:textId="77777777" w:rsidR="00622884" w:rsidRPr="00622884" w:rsidRDefault="00622884" w:rsidP="00622884">
            <w:pPr>
              <w:spacing w:after="0" w:line="240" w:lineRule="auto"/>
              <w:jc w:val="center"/>
              <w:rPr>
                <w:rFonts w:ascii="Garamond" w:eastAsia="Calibri" w:hAnsi="Garamond" w:cs="Calibri Light"/>
                <w:sz w:val="16"/>
                <w:szCs w:val="18"/>
                <w:lang w:eastAsia="es-ES"/>
              </w:rPr>
            </w:pPr>
            <w:r w:rsidRPr="00622884">
              <w:rPr>
                <w:rFonts w:ascii="Garamond" w:eastAsia="Times New Roman" w:hAnsi="Garamond" w:cs="Times New Roman"/>
                <w:sz w:val="16"/>
                <w:szCs w:val="24"/>
                <w:lang w:eastAsia="es-ES" w:bidi="sq-AL"/>
              </w:rPr>
              <w:t>Gratë fermere dhe gratë në zona rurale; NMVM-të bujqësore në pronësi të grave</w:t>
            </w:r>
          </w:p>
        </w:tc>
        <w:tc>
          <w:tcPr>
            <w:tcW w:w="892" w:type="pct"/>
            <w:vAlign w:val="center"/>
          </w:tcPr>
          <w:p w14:paraId="1D63E284" w14:textId="77777777" w:rsidR="00622884" w:rsidRPr="00622884" w:rsidRDefault="00622884" w:rsidP="00622884">
            <w:pPr>
              <w:spacing w:after="0" w:line="240" w:lineRule="auto"/>
              <w:jc w:val="center"/>
              <w:rPr>
                <w:rFonts w:ascii="Garamond" w:eastAsia="Calibri" w:hAnsi="Garamond" w:cs="Calibri Light"/>
                <w:sz w:val="16"/>
                <w:szCs w:val="18"/>
                <w:lang w:eastAsia="es-ES"/>
              </w:rPr>
            </w:pPr>
            <w:r w:rsidRPr="00622884">
              <w:rPr>
                <w:rFonts w:ascii="Garamond" w:eastAsia="Times New Roman" w:hAnsi="Garamond" w:cs="Times New Roman"/>
                <w:sz w:val="16"/>
                <w:szCs w:val="24"/>
                <w:lang w:eastAsia="es-ES" w:bidi="sq-AL"/>
              </w:rPr>
              <w:t># gra me tituj pronësie mbi tokën; # gra që përfitojnë nga huat bujqësore të personalizuara; % e grave në shërbimet e ekstensionit; % që miratojnë praktikat e BMK-së</w:t>
            </w:r>
          </w:p>
        </w:tc>
        <w:tc>
          <w:tcPr>
            <w:tcW w:w="868" w:type="pct"/>
            <w:vAlign w:val="center"/>
          </w:tcPr>
          <w:p w14:paraId="1BF5AA56" w14:textId="77777777" w:rsidR="00622884" w:rsidRPr="00622884" w:rsidRDefault="00622884" w:rsidP="00622884">
            <w:pPr>
              <w:spacing w:after="0" w:line="240" w:lineRule="auto"/>
              <w:jc w:val="center"/>
              <w:rPr>
                <w:rFonts w:ascii="Garamond" w:eastAsia="Calibri" w:hAnsi="Garamond" w:cs="Calibri Light"/>
                <w:sz w:val="16"/>
                <w:szCs w:val="18"/>
                <w:lang w:eastAsia="es-ES"/>
              </w:rPr>
            </w:pPr>
            <w:r w:rsidRPr="00622884">
              <w:rPr>
                <w:rFonts w:ascii="Garamond" w:eastAsia="Times New Roman" w:hAnsi="Garamond" w:cs="Times New Roman"/>
                <w:sz w:val="16"/>
                <w:szCs w:val="24"/>
                <w:lang w:eastAsia="es-ES" w:bidi="sq-AL"/>
              </w:rPr>
              <w:t>M11 dhe M12 – Mbështetja e fermerëve dhe rimëkëmbja nga fatkeqësitë;</w:t>
            </w:r>
          </w:p>
          <w:p w14:paraId="3A946A8D" w14:textId="77777777" w:rsidR="00622884" w:rsidRPr="00622884" w:rsidRDefault="00622884" w:rsidP="00622884">
            <w:pPr>
              <w:spacing w:after="0" w:line="240" w:lineRule="auto"/>
              <w:jc w:val="center"/>
              <w:rPr>
                <w:rFonts w:ascii="Garamond" w:eastAsia="Calibri" w:hAnsi="Garamond" w:cs="Calibri Light"/>
                <w:sz w:val="16"/>
                <w:szCs w:val="18"/>
                <w:lang w:eastAsia="es-ES"/>
              </w:rPr>
            </w:pPr>
            <w:r w:rsidRPr="00622884">
              <w:rPr>
                <w:rFonts w:ascii="Garamond" w:eastAsia="Times New Roman" w:hAnsi="Garamond" w:cs="Times New Roman"/>
                <w:sz w:val="16"/>
                <w:szCs w:val="24"/>
                <w:lang w:eastAsia="es-ES" w:bidi="sq-AL"/>
              </w:rPr>
              <w:t>M17 – Zgjerimi dhe modernizimi i sistemit të ujitjes;</w:t>
            </w:r>
          </w:p>
          <w:p w14:paraId="6AC87DBC" w14:textId="77777777" w:rsidR="00622884" w:rsidRPr="00622884" w:rsidRDefault="00622884" w:rsidP="00622884">
            <w:pPr>
              <w:spacing w:after="0" w:line="240" w:lineRule="auto"/>
              <w:jc w:val="center"/>
              <w:rPr>
                <w:rFonts w:ascii="Garamond" w:eastAsia="Calibri" w:hAnsi="Garamond" w:cs="Calibri Light"/>
                <w:sz w:val="16"/>
                <w:szCs w:val="18"/>
                <w:lang w:eastAsia="es-ES"/>
              </w:rPr>
            </w:pPr>
            <w:r w:rsidRPr="00622884">
              <w:rPr>
                <w:rFonts w:ascii="Garamond" w:eastAsia="Times New Roman" w:hAnsi="Garamond" w:cs="Times New Roman"/>
                <w:sz w:val="16"/>
                <w:szCs w:val="24"/>
                <w:lang w:eastAsia="es-ES" w:bidi="sq-AL"/>
              </w:rPr>
              <w:t>M15 - Zbatimi i krijimit të habitatit dhe ZBN-ve për të luftuar erozionin e tokës</w:t>
            </w:r>
          </w:p>
        </w:tc>
      </w:tr>
      <w:tr w:rsidR="00622884" w:rsidRPr="00622884" w14:paraId="2C5F9A36" w14:textId="77777777" w:rsidTr="00622884">
        <w:trPr>
          <w:trHeight w:val="20"/>
        </w:trPr>
        <w:tc>
          <w:tcPr>
            <w:tcW w:w="163" w:type="pct"/>
            <w:vAlign w:val="center"/>
          </w:tcPr>
          <w:p w14:paraId="30FD4787" w14:textId="77777777" w:rsidR="00622884" w:rsidRPr="00622884" w:rsidRDefault="00622884" w:rsidP="00622884">
            <w:pPr>
              <w:spacing w:after="0" w:line="240" w:lineRule="auto"/>
              <w:jc w:val="center"/>
              <w:rPr>
                <w:rFonts w:ascii="Garamond" w:eastAsia="Calibri" w:hAnsi="Garamond" w:cs="Calibri Light"/>
                <w:b/>
                <w:bCs/>
                <w:sz w:val="16"/>
                <w:szCs w:val="18"/>
                <w:lang w:eastAsia="es-ES"/>
              </w:rPr>
            </w:pPr>
            <w:r w:rsidRPr="00622884">
              <w:rPr>
                <w:rFonts w:ascii="Garamond" w:eastAsia="Times New Roman" w:hAnsi="Garamond" w:cs="Times New Roman"/>
                <w:b/>
                <w:sz w:val="16"/>
                <w:szCs w:val="24"/>
                <w:lang w:eastAsia="es-ES" w:bidi="sq-AL"/>
              </w:rPr>
              <w:t>2</w:t>
            </w:r>
          </w:p>
        </w:tc>
        <w:tc>
          <w:tcPr>
            <w:tcW w:w="818" w:type="pct"/>
            <w:vAlign w:val="center"/>
          </w:tcPr>
          <w:p w14:paraId="7FADDE9B" w14:textId="77777777" w:rsidR="00622884" w:rsidRPr="00622884" w:rsidRDefault="00622884" w:rsidP="00622884">
            <w:pPr>
              <w:spacing w:after="0" w:line="240" w:lineRule="auto"/>
              <w:jc w:val="center"/>
              <w:rPr>
                <w:rFonts w:ascii="Garamond" w:eastAsia="Calibri" w:hAnsi="Garamond" w:cs="Calibri Light"/>
                <w:sz w:val="16"/>
                <w:szCs w:val="18"/>
                <w:lang w:eastAsia="es-ES"/>
              </w:rPr>
            </w:pPr>
            <w:r w:rsidRPr="00622884">
              <w:rPr>
                <w:rFonts w:ascii="Garamond" w:eastAsia="Times New Roman" w:hAnsi="Garamond" w:cs="Times New Roman"/>
                <w:sz w:val="16"/>
                <w:szCs w:val="24"/>
                <w:lang w:eastAsia="es-ES" w:bidi="sq-AL"/>
              </w:rPr>
              <w:t>Bursa dhe AFPT i sigurt për bujqësi inteligjente ndaj klimës që siguron pjesëmarrjen e grave</w:t>
            </w:r>
          </w:p>
        </w:tc>
        <w:tc>
          <w:tcPr>
            <w:tcW w:w="696" w:type="pct"/>
            <w:vAlign w:val="center"/>
          </w:tcPr>
          <w:p w14:paraId="4C41D4F9" w14:textId="77777777" w:rsidR="00622884" w:rsidRPr="00622884" w:rsidRDefault="00622884" w:rsidP="00622884">
            <w:pPr>
              <w:spacing w:after="0" w:line="240" w:lineRule="auto"/>
              <w:jc w:val="center"/>
              <w:rPr>
                <w:rFonts w:ascii="Garamond" w:eastAsia="Calibri" w:hAnsi="Garamond" w:cs="Calibri Light"/>
                <w:sz w:val="16"/>
                <w:szCs w:val="18"/>
                <w:lang w:eastAsia="es-ES"/>
              </w:rPr>
            </w:pPr>
            <w:r w:rsidRPr="00622884">
              <w:rPr>
                <w:rFonts w:ascii="Garamond" w:eastAsia="Times New Roman" w:hAnsi="Garamond" w:cs="Times New Roman"/>
                <w:sz w:val="16"/>
                <w:szCs w:val="24"/>
                <w:lang w:eastAsia="es-ES" w:bidi="sq-AL"/>
              </w:rPr>
              <w:t>Nënpërfaqësimi i vajzave dhe të rejave në trajnimin bujqësor</w:t>
            </w:r>
          </w:p>
        </w:tc>
        <w:tc>
          <w:tcPr>
            <w:tcW w:w="921" w:type="pct"/>
            <w:vAlign w:val="center"/>
          </w:tcPr>
          <w:p w14:paraId="14942741" w14:textId="77777777" w:rsidR="00622884" w:rsidRPr="00622884" w:rsidRDefault="00622884" w:rsidP="00622884">
            <w:pPr>
              <w:spacing w:after="0" w:line="240" w:lineRule="auto"/>
              <w:jc w:val="center"/>
              <w:rPr>
                <w:rFonts w:ascii="Garamond" w:eastAsia="Calibri" w:hAnsi="Garamond" w:cs="Calibri Light"/>
                <w:sz w:val="16"/>
                <w:szCs w:val="18"/>
                <w:lang w:eastAsia="es-ES"/>
              </w:rPr>
            </w:pPr>
            <w:r w:rsidRPr="00622884">
              <w:rPr>
                <w:rFonts w:ascii="Garamond" w:eastAsia="Times New Roman" w:hAnsi="Garamond" w:cs="Times New Roman"/>
                <w:sz w:val="16"/>
                <w:szCs w:val="24"/>
                <w:lang w:eastAsia="es-ES" w:bidi="sq-AL"/>
              </w:rPr>
              <w:t>Bursa studimi; mjedise të sigurta mësimore; kurrikula inteligjente ndaj klimës</w:t>
            </w:r>
          </w:p>
        </w:tc>
        <w:tc>
          <w:tcPr>
            <w:tcW w:w="642" w:type="pct"/>
            <w:vAlign w:val="center"/>
          </w:tcPr>
          <w:p w14:paraId="12B2B771" w14:textId="77777777" w:rsidR="00622884" w:rsidRPr="00622884" w:rsidRDefault="00622884" w:rsidP="00622884">
            <w:pPr>
              <w:spacing w:after="0" w:line="240" w:lineRule="auto"/>
              <w:jc w:val="center"/>
              <w:rPr>
                <w:rFonts w:ascii="Garamond" w:eastAsia="Calibri" w:hAnsi="Garamond" w:cs="Calibri Light"/>
                <w:sz w:val="16"/>
                <w:szCs w:val="18"/>
                <w:lang w:eastAsia="es-ES"/>
              </w:rPr>
            </w:pPr>
            <w:r w:rsidRPr="00622884">
              <w:rPr>
                <w:rFonts w:ascii="Garamond" w:eastAsia="Times New Roman" w:hAnsi="Garamond" w:cs="Times New Roman"/>
                <w:sz w:val="16"/>
                <w:szCs w:val="24"/>
                <w:lang w:eastAsia="es-ES" w:bidi="sq-AL"/>
              </w:rPr>
              <w:t>Vajzat dhe të rejat në AFPT bujqësore dhe universitete</w:t>
            </w:r>
          </w:p>
        </w:tc>
        <w:tc>
          <w:tcPr>
            <w:tcW w:w="892" w:type="pct"/>
            <w:vAlign w:val="center"/>
          </w:tcPr>
          <w:p w14:paraId="6D3420D2" w14:textId="77777777" w:rsidR="00622884" w:rsidRPr="00622884" w:rsidRDefault="00622884" w:rsidP="00622884">
            <w:pPr>
              <w:spacing w:after="0" w:line="240" w:lineRule="auto"/>
              <w:jc w:val="center"/>
              <w:rPr>
                <w:rFonts w:ascii="Garamond" w:eastAsia="Calibri" w:hAnsi="Garamond" w:cs="Calibri Light"/>
                <w:sz w:val="16"/>
                <w:szCs w:val="18"/>
                <w:lang w:eastAsia="es-ES"/>
              </w:rPr>
            </w:pPr>
            <w:r w:rsidRPr="00622884">
              <w:rPr>
                <w:rFonts w:ascii="Garamond" w:eastAsia="Times New Roman" w:hAnsi="Garamond" w:cs="Times New Roman"/>
                <w:sz w:val="16"/>
                <w:szCs w:val="24"/>
                <w:lang w:eastAsia="es-ES" w:bidi="sq-AL"/>
              </w:rPr>
              <w:t># bursa të dhëna për vajzat; % e të diplomuarave femra në programet e BMK-së; % e të diplomuarave të punësuara në vende pune inteligjente për klimën</w:t>
            </w:r>
          </w:p>
        </w:tc>
        <w:tc>
          <w:tcPr>
            <w:tcW w:w="868" w:type="pct"/>
            <w:vAlign w:val="center"/>
          </w:tcPr>
          <w:p w14:paraId="03DC1007" w14:textId="77777777" w:rsidR="00622884" w:rsidRPr="00622884" w:rsidRDefault="00622884" w:rsidP="00622884">
            <w:pPr>
              <w:spacing w:after="0" w:line="240" w:lineRule="auto"/>
              <w:jc w:val="center"/>
              <w:rPr>
                <w:rFonts w:ascii="Garamond" w:eastAsia="Calibri" w:hAnsi="Garamond" w:cs="Calibri Light"/>
                <w:sz w:val="16"/>
                <w:szCs w:val="18"/>
                <w:lang w:eastAsia="es-ES"/>
              </w:rPr>
            </w:pPr>
            <w:r w:rsidRPr="00622884">
              <w:rPr>
                <w:rFonts w:ascii="Garamond" w:eastAsia="Times New Roman" w:hAnsi="Garamond" w:cs="Times New Roman"/>
                <w:sz w:val="16"/>
                <w:szCs w:val="24"/>
                <w:lang w:eastAsia="es-ES" w:bidi="sq-AL"/>
              </w:rPr>
              <w:t>M17 – Zgjerimi dhe modernizimi i sistemit të ujitjes (elementi i ngritjes së kapaciteteve)</w:t>
            </w:r>
          </w:p>
        </w:tc>
      </w:tr>
      <w:tr w:rsidR="00622884" w:rsidRPr="00622884" w14:paraId="15BFA414" w14:textId="77777777" w:rsidTr="00622884">
        <w:trPr>
          <w:trHeight w:val="20"/>
        </w:trPr>
        <w:tc>
          <w:tcPr>
            <w:tcW w:w="163" w:type="pct"/>
            <w:vAlign w:val="center"/>
          </w:tcPr>
          <w:p w14:paraId="6AABCFE6" w14:textId="77777777" w:rsidR="00622884" w:rsidRPr="00622884" w:rsidRDefault="00622884" w:rsidP="00622884">
            <w:pPr>
              <w:spacing w:after="0" w:line="240" w:lineRule="auto"/>
              <w:jc w:val="center"/>
              <w:rPr>
                <w:rFonts w:ascii="Garamond" w:eastAsia="Calibri" w:hAnsi="Garamond" w:cs="Calibri Light"/>
                <w:b/>
                <w:bCs/>
                <w:sz w:val="16"/>
                <w:szCs w:val="18"/>
                <w:lang w:eastAsia="es-ES"/>
              </w:rPr>
            </w:pPr>
            <w:r w:rsidRPr="00622884">
              <w:rPr>
                <w:rFonts w:ascii="Garamond" w:eastAsia="Times New Roman" w:hAnsi="Garamond" w:cs="Times New Roman"/>
                <w:b/>
                <w:sz w:val="16"/>
                <w:szCs w:val="24"/>
                <w:lang w:eastAsia="es-ES" w:bidi="sq-AL"/>
              </w:rPr>
              <w:t>3</w:t>
            </w:r>
          </w:p>
        </w:tc>
        <w:tc>
          <w:tcPr>
            <w:tcW w:w="818" w:type="pct"/>
            <w:vAlign w:val="center"/>
          </w:tcPr>
          <w:p w14:paraId="5C5392EE" w14:textId="77777777" w:rsidR="00622884" w:rsidRPr="00622884" w:rsidRDefault="00622884" w:rsidP="00622884">
            <w:pPr>
              <w:spacing w:after="0" w:line="240" w:lineRule="auto"/>
              <w:jc w:val="center"/>
              <w:rPr>
                <w:rFonts w:ascii="Garamond" w:eastAsia="Calibri" w:hAnsi="Garamond" w:cs="Calibri Light"/>
                <w:sz w:val="16"/>
                <w:szCs w:val="18"/>
                <w:lang w:eastAsia="es-ES"/>
              </w:rPr>
            </w:pPr>
            <w:r w:rsidRPr="00622884">
              <w:rPr>
                <w:rFonts w:ascii="Garamond" w:eastAsia="Times New Roman" w:hAnsi="Garamond" w:cs="Times New Roman"/>
                <w:sz w:val="16"/>
                <w:szCs w:val="24"/>
                <w:lang w:eastAsia="es-ES" w:bidi="sq-AL"/>
              </w:rPr>
              <w:t>Grupet e prodhuesve dhe kooperativat e udhëhequra nga gratë për ZBN</w:t>
            </w:r>
          </w:p>
        </w:tc>
        <w:tc>
          <w:tcPr>
            <w:tcW w:w="696" w:type="pct"/>
            <w:vAlign w:val="center"/>
          </w:tcPr>
          <w:p w14:paraId="0D388F47" w14:textId="77777777" w:rsidR="00622884" w:rsidRPr="00622884" w:rsidRDefault="00622884" w:rsidP="00622884">
            <w:pPr>
              <w:spacing w:after="0" w:line="240" w:lineRule="auto"/>
              <w:jc w:val="center"/>
              <w:rPr>
                <w:rFonts w:ascii="Garamond" w:eastAsia="Calibri" w:hAnsi="Garamond" w:cs="Calibri Light"/>
                <w:sz w:val="16"/>
                <w:szCs w:val="18"/>
                <w:lang w:eastAsia="es-ES"/>
              </w:rPr>
            </w:pPr>
            <w:r w:rsidRPr="00622884">
              <w:rPr>
                <w:rFonts w:ascii="Garamond" w:eastAsia="Times New Roman" w:hAnsi="Garamond" w:cs="Times New Roman"/>
                <w:sz w:val="16"/>
                <w:szCs w:val="24"/>
                <w:lang w:eastAsia="es-ES" w:bidi="sq-AL"/>
              </w:rPr>
              <w:t>Përjashtimi nga lidershipi dhe tregjet</w:t>
            </w:r>
          </w:p>
        </w:tc>
        <w:tc>
          <w:tcPr>
            <w:tcW w:w="921" w:type="pct"/>
            <w:vAlign w:val="center"/>
          </w:tcPr>
          <w:p w14:paraId="4DDD4FF6" w14:textId="77777777" w:rsidR="00622884" w:rsidRPr="00622884" w:rsidRDefault="00622884" w:rsidP="00622884">
            <w:pPr>
              <w:spacing w:after="0" w:line="240" w:lineRule="auto"/>
              <w:jc w:val="center"/>
              <w:rPr>
                <w:rFonts w:ascii="Garamond" w:eastAsia="Calibri" w:hAnsi="Garamond" w:cs="Calibri Light"/>
                <w:sz w:val="16"/>
                <w:szCs w:val="18"/>
                <w:lang w:eastAsia="es-ES"/>
              </w:rPr>
            </w:pPr>
            <w:r w:rsidRPr="00622884">
              <w:rPr>
                <w:rFonts w:ascii="Garamond" w:eastAsia="Times New Roman" w:hAnsi="Garamond" w:cs="Times New Roman"/>
                <w:sz w:val="16"/>
                <w:szCs w:val="24"/>
                <w:lang w:eastAsia="es-ES" w:bidi="sq-AL"/>
              </w:rPr>
              <w:t>Mbështetja e kooperativave të drejtuara nga gratë; lidhja me ujitjen, farat rezistente ndaj thatësirës dhe shërbimet hidrometeorologjike.</w:t>
            </w:r>
          </w:p>
        </w:tc>
        <w:tc>
          <w:tcPr>
            <w:tcW w:w="642" w:type="pct"/>
            <w:vAlign w:val="center"/>
          </w:tcPr>
          <w:p w14:paraId="3E5180E9" w14:textId="77777777" w:rsidR="00622884" w:rsidRPr="00622884" w:rsidRDefault="00622884" w:rsidP="00622884">
            <w:pPr>
              <w:spacing w:after="0" w:line="240" w:lineRule="auto"/>
              <w:jc w:val="center"/>
              <w:rPr>
                <w:rFonts w:ascii="Garamond" w:eastAsia="Calibri" w:hAnsi="Garamond" w:cs="Calibri Light"/>
                <w:sz w:val="16"/>
                <w:szCs w:val="18"/>
                <w:lang w:eastAsia="es-ES"/>
              </w:rPr>
            </w:pPr>
            <w:r w:rsidRPr="00622884">
              <w:rPr>
                <w:rFonts w:ascii="Garamond" w:eastAsia="Times New Roman" w:hAnsi="Garamond" w:cs="Times New Roman"/>
                <w:sz w:val="16"/>
                <w:szCs w:val="24"/>
                <w:lang w:eastAsia="es-ES" w:bidi="sq-AL"/>
              </w:rPr>
              <w:t>Gratë fermere, gratë sipërmarrëse në bujqësi, gratë në OSHC-të vendore</w:t>
            </w:r>
          </w:p>
        </w:tc>
        <w:tc>
          <w:tcPr>
            <w:tcW w:w="892" w:type="pct"/>
            <w:vAlign w:val="center"/>
          </w:tcPr>
          <w:p w14:paraId="57CB3DBD" w14:textId="77777777" w:rsidR="00622884" w:rsidRPr="00622884" w:rsidRDefault="00622884" w:rsidP="00622884">
            <w:pPr>
              <w:spacing w:after="0" w:line="240" w:lineRule="auto"/>
              <w:jc w:val="center"/>
              <w:rPr>
                <w:rFonts w:ascii="Garamond" w:eastAsia="Calibri" w:hAnsi="Garamond" w:cs="Calibri Light"/>
                <w:sz w:val="16"/>
                <w:szCs w:val="18"/>
                <w:lang w:eastAsia="es-ES"/>
              </w:rPr>
            </w:pPr>
            <w:r w:rsidRPr="00622884">
              <w:rPr>
                <w:rFonts w:ascii="Garamond" w:eastAsia="Times New Roman" w:hAnsi="Garamond" w:cs="Times New Roman"/>
                <w:sz w:val="16"/>
                <w:szCs w:val="24"/>
                <w:lang w:eastAsia="es-ES" w:bidi="sq-AL"/>
              </w:rPr>
              <w:t># kooperativa të drejtuara nga gratë; % e grave në pozicione drejtuese; ndryshimi i rendimentit në parcelat e menaxhuara nga gratë</w:t>
            </w:r>
          </w:p>
        </w:tc>
        <w:tc>
          <w:tcPr>
            <w:tcW w:w="868" w:type="pct"/>
            <w:vAlign w:val="center"/>
          </w:tcPr>
          <w:p w14:paraId="2B0C665C" w14:textId="77777777" w:rsidR="00622884" w:rsidRPr="00622884" w:rsidRDefault="00622884" w:rsidP="00622884">
            <w:pPr>
              <w:spacing w:after="0" w:line="240" w:lineRule="auto"/>
              <w:jc w:val="center"/>
              <w:rPr>
                <w:rFonts w:ascii="Garamond" w:eastAsia="Calibri" w:hAnsi="Garamond" w:cs="Calibri Light"/>
                <w:sz w:val="16"/>
                <w:szCs w:val="18"/>
                <w:lang w:eastAsia="es-ES"/>
              </w:rPr>
            </w:pPr>
            <w:r w:rsidRPr="00622884">
              <w:rPr>
                <w:rFonts w:ascii="Garamond" w:eastAsia="Times New Roman" w:hAnsi="Garamond" w:cs="Times New Roman"/>
                <w:sz w:val="16"/>
                <w:szCs w:val="24"/>
                <w:lang w:eastAsia="es-ES" w:bidi="sq-AL"/>
              </w:rPr>
              <w:t>M14 – Mbrojtje nga përmbytjet (brigjet e lumenjve/fushat aluvionale); M15 – Zgjidhje të bazuara në natyrë kundër erozionit</w:t>
            </w:r>
          </w:p>
        </w:tc>
      </w:tr>
      <w:tr w:rsidR="00622884" w:rsidRPr="00622884" w14:paraId="1F02CDDE" w14:textId="77777777" w:rsidTr="00622884">
        <w:trPr>
          <w:trHeight w:val="20"/>
        </w:trPr>
        <w:tc>
          <w:tcPr>
            <w:tcW w:w="163" w:type="pct"/>
            <w:vAlign w:val="center"/>
          </w:tcPr>
          <w:p w14:paraId="74063FC5" w14:textId="77777777" w:rsidR="00622884" w:rsidRPr="00622884" w:rsidRDefault="00622884" w:rsidP="00622884">
            <w:pPr>
              <w:spacing w:after="0" w:line="240" w:lineRule="auto"/>
              <w:jc w:val="center"/>
              <w:rPr>
                <w:rFonts w:ascii="Garamond" w:eastAsia="Calibri" w:hAnsi="Garamond" w:cs="Calibri Light"/>
                <w:b/>
                <w:bCs/>
                <w:sz w:val="16"/>
                <w:szCs w:val="18"/>
                <w:lang w:eastAsia="es-ES"/>
              </w:rPr>
            </w:pPr>
            <w:r w:rsidRPr="00622884">
              <w:rPr>
                <w:rFonts w:ascii="Garamond" w:eastAsia="Times New Roman" w:hAnsi="Garamond" w:cs="Times New Roman"/>
                <w:b/>
                <w:sz w:val="16"/>
                <w:szCs w:val="24"/>
                <w:lang w:eastAsia="es-ES" w:bidi="sq-AL"/>
              </w:rPr>
              <w:t>4</w:t>
            </w:r>
          </w:p>
        </w:tc>
        <w:tc>
          <w:tcPr>
            <w:tcW w:w="818" w:type="pct"/>
            <w:vAlign w:val="center"/>
          </w:tcPr>
          <w:p w14:paraId="2EC964B9" w14:textId="77777777" w:rsidR="00622884" w:rsidRPr="00622884" w:rsidRDefault="00622884" w:rsidP="00622884">
            <w:pPr>
              <w:spacing w:after="0" w:line="240" w:lineRule="auto"/>
              <w:jc w:val="center"/>
              <w:rPr>
                <w:rFonts w:ascii="Garamond" w:eastAsia="Calibri" w:hAnsi="Garamond" w:cs="Calibri Light"/>
                <w:sz w:val="16"/>
                <w:szCs w:val="18"/>
                <w:lang w:eastAsia="es-ES"/>
              </w:rPr>
            </w:pPr>
            <w:r w:rsidRPr="00622884">
              <w:rPr>
                <w:rFonts w:ascii="Garamond" w:eastAsia="Times New Roman" w:hAnsi="Garamond" w:cs="Times New Roman"/>
                <w:sz w:val="16"/>
                <w:szCs w:val="24"/>
                <w:lang w:eastAsia="es-ES" w:bidi="sq-AL"/>
              </w:rPr>
              <w:t>Punë të orientuara drejt gjinisë në fidanishtet pyjore dhe pyllëzime</w:t>
            </w:r>
          </w:p>
        </w:tc>
        <w:tc>
          <w:tcPr>
            <w:tcW w:w="696" w:type="pct"/>
            <w:vAlign w:val="center"/>
          </w:tcPr>
          <w:p w14:paraId="7F29E64B" w14:textId="77777777" w:rsidR="00622884" w:rsidRPr="00622884" w:rsidRDefault="00622884" w:rsidP="00622884">
            <w:pPr>
              <w:spacing w:after="0" w:line="240" w:lineRule="auto"/>
              <w:jc w:val="center"/>
              <w:rPr>
                <w:rFonts w:ascii="Garamond" w:eastAsia="Calibri" w:hAnsi="Garamond" w:cs="Calibri Light"/>
                <w:sz w:val="16"/>
                <w:szCs w:val="18"/>
                <w:lang w:eastAsia="es-ES"/>
              </w:rPr>
            </w:pPr>
            <w:r w:rsidRPr="00622884">
              <w:rPr>
                <w:rFonts w:ascii="Garamond" w:eastAsia="Times New Roman" w:hAnsi="Garamond" w:cs="Times New Roman"/>
                <w:sz w:val="16"/>
                <w:szCs w:val="24"/>
                <w:lang w:eastAsia="es-ES" w:bidi="sq-AL"/>
              </w:rPr>
              <w:t>Pjesëmarrje e ulët e grave në zinxhirët e vlerave të pylltarisë</w:t>
            </w:r>
          </w:p>
        </w:tc>
        <w:tc>
          <w:tcPr>
            <w:tcW w:w="921" w:type="pct"/>
            <w:vAlign w:val="center"/>
          </w:tcPr>
          <w:p w14:paraId="0574CA54" w14:textId="77777777" w:rsidR="00622884" w:rsidRPr="00622884" w:rsidRDefault="00622884" w:rsidP="00622884">
            <w:pPr>
              <w:spacing w:after="0" w:line="240" w:lineRule="auto"/>
              <w:jc w:val="center"/>
              <w:rPr>
                <w:rFonts w:ascii="Garamond" w:eastAsia="Calibri" w:hAnsi="Garamond" w:cs="Calibri Light"/>
                <w:sz w:val="16"/>
                <w:szCs w:val="18"/>
                <w:lang w:eastAsia="es-ES"/>
              </w:rPr>
            </w:pPr>
            <w:r w:rsidRPr="00622884">
              <w:rPr>
                <w:rFonts w:ascii="Garamond" w:eastAsia="Times New Roman" w:hAnsi="Garamond" w:cs="Times New Roman"/>
                <w:sz w:val="16"/>
                <w:szCs w:val="24"/>
                <w:lang w:eastAsia="es-ES" w:bidi="sq-AL"/>
              </w:rPr>
              <w:t>Vendosja e kuotave dhe orare fleksible për gratë në fidanishte; trajnim për lidership</w:t>
            </w:r>
          </w:p>
        </w:tc>
        <w:tc>
          <w:tcPr>
            <w:tcW w:w="642" w:type="pct"/>
            <w:vAlign w:val="center"/>
          </w:tcPr>
          <w:p w14:paraId="6C82AE63" w14:textId="77777777" w:rsidR="00622884" w:rsidRPr="00622884" w:rsidRDefault="00622884" w:rsidP="00622884">
            <w:pPr>
              <w:spacing w:after="0" w:line="240" w:lineRule="auto"/>
              <w:jc w:val="center"/>
              <w:rPr>
                <w:rFonts w:ascii="Garamond" w:eastAsia="Calibri" w:hAnsi="Garamond" w:cs="Calibri Light"/>
                <w:sz w:val="16"/>
                <w:szCs w:val="18"/>
                <w:lang w:eastAsia="es-ES"/>
              </w:rPr>
            </w:pPr>
            <w:r w:rsidRPr="00622884">
              <w:rPr>
                <w:rFonts w:ascii="Garamond" w:eastAsia="Times New Roman" w:hAnsi="Garamond" w:cs="Times New Roman"/>
                <w:sz w:val="16"/>
                <w:szCs w:val="24"/>
                <w:lang w:eastAsia="es-ES" w:bidi="sq-AL"/>
              </w:rPr>
              <w:t>Gratë në zonat rurale, NMVM-të në pronësi të grave, gratë që punojnë në pylltari</w:t>
            </w:r>
          </w:p>
        </w:tc>
        <w:tc>
          <w:tcPr>
            <w:tcW w:w="892" w:type="pct"/>
            <w:vAlign w:val="center"/>
          </w:tcPr>
          <w:p w14:paraId="6C68FCCE" w14:textId="77777777" w:rsidR="00622884" w:rsidRPr="00622884" w:rsidRDefault="00622884" w:rsidP="00622884">
            <w:pPr>
              <w:spacing w:after="0" w:line="240" w:lineRule="auto"/>
              <w:jc w:val="center"/>
              <w:rPr>
                <w:rFonts w:ascii="Garamond" w:eastAsia="Calibri" w:hAnsi="Garamond" w:cs="Calibri Light"/>
                <w:sz w:val="16"/>
                <w:szCs w:val="18"/>
                <w:lang w:eastAsia="es-ES"/>
              </w:rPr>
            </w:pPr>
            <w:r w:rsidRPr="00622884">
              <w:rPr>
                <w:rFonts w:ascii="Garamond" w:eastAsia="Times New Roman" w:hAnsi="Garamond" w:cs="Times New Roman"/>
                <w:sz w:val="16"/>
                <w:szCs w:val="24"/>
                <w:lang w:eastAsia="es-ES" w:bidi="sq-AL"/>
              </w:rPr>
              <w:t># gra të trajnuara/të punësuara; % e grave në menaxhimin e fidanishteve; shkalla e mbijetesës së fidanëve 12–24 milionë</w:t>
            </w:r>
          </w:p>
        </w:tc>
        <w:tc>
          <w:tcPr>
            <w:tcW w:w="868" w:type="pct"/>
            <w:vAlign w:val="center"/>
          </w:tcPr>
          <w:p w14:paraId="12B759F5" w14:textId="77777777" w:rsidR="00622884" w:rsidRPr="00622884" w:rsidRDefault="00622884" w:rsidP="00622884">
            <w:pPr>
              <w:spacing w:after="0" w:line="240" w:lineRule="auto"/>
              <w:jc w:val="center"/>
              <w:rPr>
                <w:rFonts w:ascii="Garamond" w:eastAsia="Calibri" w:hAnsi="Garamond" w:cs="Calibri Light"/>
                <w:sz w:val="16"/>
                <w:szCs w:val="18"/>
                <w:lang w:eastAsia="es-ES"/>
              </w:rPr>
            </w:pPr>
            <w:r w:rsidRPr="00622884">
              <w:rPr>
                <w:rFonts w:ascii="Garamond" w:eastAsia="Times New Roman" w:hAnsi="Garamond" w:cs="Times New Roman"/>
                <w:sz w:val="16"/>
                <w:szCs w:val="24"/>
                <w:lang w:eastAsia="es-ES" w:bidi="sq-AL"/>
              </w:rPr>
              <w:t xml:space="preserve">M23–M31 – Masat Pyjore (Fidanishte rajonale për llojet e pemëve vendase rezistente ndaj thatësirës, </w:t>
            </w:r>
            <w:r w:rsidRPr="00622884">
              <w:rPr>
                <w:rFonts w:ascii="Times New Roman" w:eastAsia="Times New Roman" w:hAnsi="Times New Roman" w:cs="Times New Roman"/>
                <w:sz w:val="16"/>
                <w:szCs w:val="24"/>
                <w:lang w:eastAsia="es-ES" w:bidi="sq-AL"/>
              </w:rPr>
              <w:t>​​</w:t>
            </w:r>
            <w:r w:rsidRPr="00622884">
              <w:rPr>
                <w:rFonts w:ascii="Garamond" w:eastAsia="Times New Roman" w:hAnsi="Garamond" w:cs="Times New Roman"/>
                <w:sz w:val="16"/>
                <w:szCs w:val="24"/>
                <w:lang w:eastAsia="es-ES" w:bidi="sq-AL"/>
              </w:rPr>
              <w:t>migrimi i asistuar i specieve, zonat buferike dhe restaurimi)</w:t>
            </w:r>
          </w:p>
        </w:tc>
      </w:tr>
    </w:tbl>
    <w:p w14:paraId="49A08A86" w14:textId="77777777" w:rsidR="00622884" w:rsidRPr="00622884" w:rsidRDefault="00622884" w:rsidP="00622884">
      <w:pPr>
        <w:tabs>
          <w:tab w:val="left" w:pos="5325"/>
        </w:tabs>
        <w:spacing w:after="0" w:line="240" w:lineRule="auto"/>
        <w:ind w:firstLine="284"/>
        <w:rPr>
          <w:rFonts w:ascii="Garamond" w:eastAsia="Calibri" w:hAnsi="Garamond" w:cs="Times New Roman"/>
          <w:b/>
          <w:sz w:val="24"/>
          <w:szCs w:val="24"/>
          <w:lang w:eastAsia="en-US" w:bidi="sq-AL"/>
        </w:rPr>
      </w:pPr>
    </w:p>
    <w:p w14:paraId="2EEF1E75" w14:textId="77777777" w:rsidR="00622884" w:rsidRPr="00622884" w:rsidRDefault="00622884" w:rsidP="00622884">
      <w:pPr>
        <w:tabs>
          <w:tab w:val="left" w:pos="5325"/>
        </w:tabs>
        <w:spacing w:after="0" w:line="240" w:lineRule="auto"/>
        <w:ind w:firstLine="284"/>
        <w:rPr>
          <w:rFonts w:ascii="Garamond" w:eastAsia="Open Sans Light" w:hAnsi="Garamond" w:cs="Calibri Light"/>
          <w:b/>
          <w:bCs/>
          <w:sz w:val="24"/>
          <w:szCs w:val="24"/>
          <w:lang w:eastAsia="en-US"/>
        </w:rPr>
      </w:pPr>
      <w:r w:rsidRPr="00622884">
        <w:rPr>
          <w:rFonts w:ascii="Garamond" w:eastAsia="Calibri" w:hAnsi="Garamond" w:cs="Times New Roman"/>
          <w:b/>
          <w:sz w:val="24"/>
          <w:szCs w:val="24"/>
          <w:lang w:eastAsia="en-US" w:bidi="sq-AL"/>
        </w:rPr>
        <w:t>Turizmi</w:t>
      </w:r>
    </w:p>
    <w:tbl>
      <w:tblPr>
        <w:tblW w:w="5583" w:type="pct"/>
        <w:tblInd w:w="-714" w:type="dxa"/>
        <w:tblBorders>
          <w:top w:val="single" w:sz="4" w:space="0" w:color="1D3C5A"/>
          <w:left w:val="single" w:sz="4" w:space="0" w:color="1D3C5A"/>
          <w:bottom w:val="single" w:sz="4" w:space="0" w:color="1D3C5A"/>
          <w:right w:val="single" w:sz="4" w:space="0" w:color="1D3C5A"/>
          <w:insideH w:val="single" w:sz="4" w:space="0" w:color="1D3C5A"/>
          <w:insideV w:val="single" w:sz="4" w:space="0" w:color="1D3C5A"/>
        </w:tblBorders>
        <w:tblLook w:val="04A0" w:firstRow="1" w:lastRow="0" w:firstColumn="1" w:lastColumn="0" w:noHBand="0" w:noVBand="1"/>
      </w:tblPr>
      <w:tblGrid>
        <w:gridCol w:w="448"/>
        <w:gridCol w:w="1648"/>
        <w:gridCol w:w="1473"/>
        <w:gridCol w:w="1870"/>
        <w:gridCol w:w="1327"/>
        <w:gridCol w:w="1829"/>
        <w:gridCol w:w="1775"/>
      </w:tblGrid>
      <w:tr w:rsidR="00622884" w:rsidRPr="00622884" w14:paraId="35133669" w14:textId="77777777" w:rsidTr="00622884">
        <w:trPr>
          <w:trHeight w:val="620"/>
          <w:tblHeader/>
        </w:trPr>
        <w:tc>
          <w:tcPr>
            <w:tcW w:w="178" w:type="pct"/>
            <w:shd w:val="clear" w:color="auto" w:fill="215A5C"/>
            <w:vAlign w:val="center"/>
          </w:tcPr>
          <w:p w14:paraId="267037EF" w14:textId="77777777" w:rsidR="00622884" w:rsidRPr="00622884" w:rsidRDefault="00622884" w:rsidP="00622884">
            <w:pPr>
              <w:shd w:val="clear" w:color="auto" w:fill="215A5C"/>
              <w:spacing w:after="0" w:line="240" w:lineRule="auto"/>
              <w:jc w:val="center"/>
              <w:rPr>
                <w:rFonts w:ascii="Garamond" w:eastAsia="SimSun" w:hAnsi="Garamond" w:cs="Calibri Light"/>
                <w:b/>
                <w:bCs/>
                <w:sz w:val="16"/>
                <w:szCs w:val="18"/>
                <w:lang w:eastAsia="es-ES"/>
              </w:rPr>
            </w:pPr>
            <w:r w:rsidRPr="00622884">
              <w:rPr>
                <w:rFonts w:ascii="Garamond" w:eastAsia="Times New Roman" w:hAnsi="Garamond" w:cs="Times New Roman"/>
                <w:b/>
                <w:sz w:val="16"/>
                <w:szCs w:val="24"/>
                <w:lang w:eastAsia="es-ES" w:bidi="sq-AL"/>
              </w:rPr>
              <w:t>Nr.</w:t>
            </w:r>
          </w:p>
        </w:tc>
        <w:tc>
          <w:tcPr>
            <w:tcW w:w="803" w:type="pct"/>
            <w:shd w:val="clear" w:color="auto" w:fill="215A5C"/>
            <w:vAlign w:val="center"/>
          </w:tcPr>
          <w:p w14:paraId="3A1EA5F7" w14:textId="77777777" w:rsidR="00622884" w:rsidRPr="00622884" w:rsidRDefault="00622884" w:rsidP="00622884">
            <w:pPr>
              <w:shd w:val="clear" w:color="auto" w:fill="215A5C"/>
              <w:spacing w:after="0" w:line="240" w:lineRule="auto"/>
              <w:jc w:val="center"/>
              <w:rPr>
                <w:rFonts w:ascii="Garamond" w:eastAsia="SimSun" w:hAnsi="Garamond" w:cs="Calibri Light"/>
                <w:b/>
                <w:bCs/>
                <w:sz w:val="16"/>
                <w:szCs w:val="18"/>
                <w:lang w:eastAsia="es-ES"/>
              </w:rPr>
            </w:pPr>
            <w:r w:rsidRPr="00622884">
              <w:rPr>
                <w:rFonts w:ascii="Garamond" w:eastAsia="Times New Roman" w:hAnsi="Garamond" w:cs="Times New Roman"/>
                <w:b/>
                <w:sz w:val="16"/>
                <w:szCs w:val="24"/>
                <w:lang w:eastAsia="es-ES" w:bidi="sq-AL"/>
              </w:rPr>
              <w:t>Veprimi</w:t>
            </w:r>
          </w:p>
        </w:tc>
        <w:tc>
          <w:tcPr>
            <w:tcW w:w="707" w:type="pct"/>
            <w:shd w:val="clear" w:color="auto" w:fill="215A5C"/>
            <w:vAlign w:val="center"/>
          </w:tcPr>
          <w:p w14:paraId="44D1BBEA" w14:textId="77777777" w:rsidR="00622884" w:rsidRPr="00622884" w:rsidRDefault="00622884" w:rsidP="00622884">
            <w:pPr>
              <w:shd w:val="clear" w:color="auto" w:fill="215A5C"/>
              <w:spacing w:after="0" w:line="240" w:lineRule="auto"/>
              <w:jc w:val="center"/>
              <w:rPr>
                <w:rFonts w:ascii="Garamond" w:eastAsia="SimSun" w:hAnsi="Garamond" w:cs="Calibri Light"/>
                <w:b/>
                <w:bCs/>
                <w:sz w:val="16"/>
                <w:szCs w:val="18"/>
                <w:lang w:eastAsia="es-ES"/>
              </w:rPr>
            </w:pPr>
            <w:r w:rsidRPr="00622884">
              <w:rPr>
                <w:rFonts w:ascii="Garamond" w:eastAsia="Times New Roman" w:hAnsi="Garamond" w:cs="Times New Roman"/>
                <w:b/>
                <w:sz w:val="16"/>
                <w:szCs w:val="24"/>
                <w:lang w:eastAsia="es-ES" w:bidi="sq-AL"/>
              </w:rPr>
              <w:t>Sfida e trajtuar</w:t>
            </w:r>
          </w:p>
        </w:tc>
        <w:tc>
          <w:tcPr>
            <w:tcW w:w="910" w:type="pct"/>
            <w:shd w:val="clear" w:color="auto" w:fill="215A5C"/>
            <w:vAlign w:val="center"/>
          </w:tcPr>
          <w:p w14:paraId="3D22C8EA" w14:textId="77777777" w:rsidR="00622884" w:rsidRPr="00622884" w:rsidRDefault="00622884" w:rsidP="00622884">
            <w:pPr>
              <w:shd w:val="clear" w:color="auto" w:fill="215A5C"/>
              <w:spacing w:after="0" w:line="240" w:lineRule="auto"/>
              <w:jc w:val="center"/>
              <w:rPr>
                <w:rFonts w:ascii="Garamond" w:eastAsia="SimSun" w:hAnsi="Garamond" w:cs="Calibri Light"/>
                <w:b/>
                <w:bCs/>
                <w:sz w:val="16"/>
                <w:szCs w:val="18"/>
                <w:lang w:eastAsia="es-ES"/>
              </w:rPr>
            </w:pPr>
            <w:r w:rsidRPr="00622884">
              <w:rPr>
                <w:rFonts w:ascii="Garamond" w:eastAsia="Times New Roman" w:hAnsi="Garamond" w:cs="Times New Roman"/>
                <w:b/>
                <w:sz w:val="16"/>
                <w:szCs w:val="24"/>
                <w:lang w:eastAsia="es-ES" w:bidi="sq-AL"/>
              </w:rPr>
              <w:t>Përshkrimi</w:t>
            </w:r>
          </w:p>
        </w:tc>
        <w:tc>
          <w:tcPr>
            <w:tcW w:w="648" w:type="pct"/>
            <w:shd w:val="clear" w:color="auto" w:fill="215A5C"/>
            <w:vAlign w:val="center"/>
          </w:tcPr>
          <w:p w14:paraId="7A8288BA" w14:textId="77777777" w:rsidR="00622884" w:rsidRPr="00622884" w:rsidRDefault="00622884" w:rsidP="00622884">
            <w:pPr>
              <w:shd w:val="clear" w:color="auto" w:fill="215A5C"/>
              <w:spacing w:after="0" w:line="240" w:lineRule="auto"/>
              <w:jc w:val="center"/>
              <w:rPr>
                <w:rFonts w:ascii="Garamond" w:eastAsia="SimSun" w:hAnsi="Garamond" w:cs="Calibri Light"/>
                <w:b/>
                <w:bCs/>
                <w:sz w:val="16"/>
                <w:szCs w:val="18"/>
                <w:lang w:eastAsia="es-ES"/>
              </w:rPr>
            </w:pPr>
            <w:r w:rsidRPr="00622884">
              <w:rPr>
                <w:rFonts w:ascii="Garamond" w:eastAsia="Times New Roman" w:hAnsi="Garamond" w:cs="Times New Roman"/>
                <w:b/>
                <w:sz w:val="16"/>
                <w:szCs w:val="24"/>
                <w:lang w:eastAsia="es-ES" w:bidi="sq-AL"/>
              </w:rPr>
              <w:t>Përfituesit</w:t>
            </w:r>
          </w:p>
        </w:tc>
        <w:tc>
          <w:tcPr>
            <w:tcW w:w="890" w:type="pct"/>
            <w:shd w:val="clear" w:color="auto" w:fill="215A5C"/>
            <w:vAlign w:val="center"/>
          </w:tcPr>
          <w:p w14:paraId="7CC451F6" w14:textId="77777777" w:rsidR="00622884" w:rsidRPr="00622884" w:rsidRDefault="00622884" w:rsidP="00622884">
            <w:pPr>
              <w:shd w:val="clear" w:color="auto" w:fill="215A5C"/>
              <w:spacing w:after="0" w:line="240" w:lineRule="auto"/>
              <w:jc w:val="center"/>
              <w:rPr>
                <w:rFonts w:ascii="Garamond" w:eastAsia="SimSun" w:hAnsi="Garamond" w:cs="Calibri Light"/>
                <w:b/>
                <w:bCs/>
                <w:sz w:val="16"/>
                <w:szCs w:val="18"/>
                <w:lang w:eastAsia="es-ES"/>
              </w:rPr>
            </w:pPr>
            <w:r w:rsidRPr="00622884">
              <w:rPr>
                <w:rFonts w:ascii="Garamond" w:eastAsia="Times New Roman" w:hAnsi="Garamond" w:cs="Times New Roman"/>
                <w:b/>
                <w:sz w:val="16"/>
                <w:szCs w:val="24"/>
                <w:lang w:eastAsia="es-ES" w:bidi="sq-AL"/>
              </w:rPr>
              <w:t>Treguesit</w:t>
            </w:r>
          </w:p>
        </w:tc>
        <w:tc>
          <w:tcPr>
            <w:tcW w:w="864" w:type="pct"/>
            <w:shd w:val="clear" w:color="auto" w:fill="215A5C"/>
            <w:vAlign w:val="center"/>
          </w:tcPr>
          <w:p w14:paraId="12893717" w14:textId="77777777" w:rsidR="00622884" w:rsidRPr="00622884" w:rsidRDefault="00622884" w:rsidP="00622884">
            <w:pPr>
              <w:shd w:val="clear" w:color="auto" w:fill="215A5C"/>
              <w:spacing w:after="0" w:line="240" w:lineRule="auto"/>
              <w:jc w:val="center"/>
              <w:rPr>
                <w:rFonts w:ascii="Garamond" w:eastAsia="SimSun" w:hAnsi="Garamond" w:cs="Calibri Light"/>
                <w:b/>
                <w:bCs/>
                <w:sz w:val="16"/>
                <w:szCs w:val="18"/>
                <w:lang w:eastAsia="es-ES"/>
              </w:rPr>
            </w:pPr>
            <w:r w:rsidRPr="00622884">
              <w:rPr>
                <w:rFonts w:ascii="Garamond" w:eastAsia="Times New Roman" w:hAnsi="Garamond" w:cs="Times New Roman"/>
                <w:b/>
                <w:sz w:val="16"/>
                <w:szCs w:val="24"/>
                <w:lang w:eastAsia="es-ES" w:bidi="sq-AL"/>
              </w:rPr>
              <w:t>Kontributi specifik në masat e NAP-it</w:t>
            </w:r>
          </w:p>
        </w:tc>
      </w:tr>
      <w:tr w:rsidR="00622884" w:rsidRPr="00622884" w14:paraId="1055A829" w14:textId="77777777" w:rsidTr="00622884">
        <w:tc>
          <w:tcPr>
            <w:tcW w:w="178" w:type="pct"/>
            <w:vAlign w:val="center"/>
          </w:tcPr>
          <w:p w14:paraId="3D1B37CE" w14:textId="77777777" w:rsidR="00622884" w:rsidRPr="00622884" w:rsidRDefault="00622884" w:rsidP="00622884">
            <w:pPr>
              <w:spacing w:after="0" w:line="240" w:lineRule="auto"/>
              <w:jc w:val="center"/>
              <w:rPr>
                <w:rFonts w:ascii="Garamond" w:eastAsia="Calibri" w:hAnsi="Garamond" w:cs="Calibri Light"/>
                <w:b/>
                <w:bCs/>
                <w:sz w:val="16"/>
                <w:szCs w:val="18"/>
                <w:lang w:eastAsia="es-ES"/>
              </w:rPr>
            </w:pPr>
            <w:r w:rsidRPr="00622884">
              <w:rPr>
                <w:rFonts w:ascii="Garamond" w:eastAsia="Times New Roman" w:hAnsi="Garamond" w:cs="Times New Roman"/>
                <w:b/>
                <w:sz w:val="16"/>
                <w:szCs w:val="24"/>
                <w:lang w:eastAsia="es-ES" w:bidi="sq-AL"/>
              </w:rPr>
              <w:t>1</w:t>
            </w:r>
          </w:p>
        </w:tc>
        <w:tc>
          <w:tcPr>
            <w:tcW w:w="803" w:type="pct"/>
            <w:vAlign w:val="center"/>
          </w:tcPr>
          <w:p w14:paraId="5838B59F" w14:textId="77777777" w:rsidR="00622884" w:rsidRPr="00622884" w:rsidRDefault="00622884" w:rsidP="00622884">
            <w:pPr>
              <w:spacing w:after="0" w:line="240" w:lineRule="auto"/>
              <w:jc w:val="center"/>
              <w:rPr>
                <w:rFonts w:ascii="Garamond" w:eastAsia="Calibri" w:hAnsi="Garamond" w:cs="Calibri Light"/>
                <w:sz w:val="16"/>
                <w:szCs w:val="18"/>
                <w:lang w:eastAsia="es-ES"/>
              </w:rPr>
            </w:pPr>
            <w:r w:rsidRPr="00622884">
              <w:rPr>
                <w:rFonts w:ascii="Garamond" w:eastAsia="Times New Roman" w:hAnsi="Garamond" w:cs="Times New Roman"/>
                <w:sz w:val="16"/>
                <w:szCs w:val="24"/>
                <w:lang w:eastAsia="es-ES" w:bidi="sq-AL"/>
              </w:rPr>
              <w:t>Planifikimi hapësinor i riskut klimatik me këndvështrim gjinor</w:t>
            </w:r>
          </w:p>
        </w:tc>
        <w:tc>
          <w:tcPr>
            <w:tcW w:w="707" w:type="pct"/>
            <w:vAlign w:val="center"/>
          </w:tcPr>
          <w:p w14:paraId="129C8229" w14:textId="77777777" w:rsidR="00622884" w:rsidRPr="00622884" w:rsidRDefault="00622884" w:rsidP="00622884">
            <w:pPr>
              <w:spacing w:after="0" w:line="240" w:lineRule="auto"/>
              <w:jc w:val="center"/>
              <w:rPr>
                <w:rFonts w:ascii="Garamond" w:eastAsia="Calibri" w:hAnsi="Garamond" w:cs="Calibri Light"/>
                <w:sz w:val="16"/>
                <w:szCs w:val="18"/>
                <w:lang w:eastAsia="es-ES"/>
              </w:rPr>
            </w:pPr>
            <w:r w:rsidRPr="00622884">
              <w:rPr>
                <w:rFonts w:ascii="Garamond" w:eastAsia="Times New Roman" w:hAnsi="Garamond" w:cs="Times New Roman"/>
                <w:sz w:val="16"/>
                <w:szCs w:val="24"/>
                <w:lang w:eastAsia="es-ES" w:bidi="sq-AL"/>
              </w:rPr>
              <w:t>Gratë e caktuara në punë bregdetare/sezonale me risk të lartë; përfaqësim i pamjaftueshëm në planifikim</w:t>
            </w:r>
          </w:p>
        </w:tc>
        <w:tc>
          <w:tcPr>
            <w:tcW w:w="910" w:type="pct"/>
            <w:vAlign w:val="center"/>
          </w:tcPr>
          <w:p w14:paraId="193A19DE" w14:textId="77777777" w:rsidR="00622884" w:rsidRPr="00622884" w:rsidRDefault="00622884" w:rsidP="00622884">
            <w:pPr>
              <w:spacing w:after="0" w:line="240" w:lineRule="auto"/>
              <w:jc w:val="center"/>
              <w:rPr>
                <w:rFonts w:ascii="Garamond" w:eastAsia="Calibri" w:hAnsi="Garamond" w:cs="Calibri Light"/>
                <w:sz w:val="16"/>
                <w:szCs w:val="18"/>
                <w:lang w:eastAsia="es-ES"/>
              </w:rPr>
            </w:pPr>
            <w:r w:rsidRPr="00622884">
              <w:rPr>
                <w:rFonts w:ascii="Garamond" w:eastAsia="Times New Roman" w:hAnsi="Garamond" w:cs="Times New Roman"/>
                <w:sz w:val="16"/>
                <w:szCs w:val="24"/>
                <w:lang w:eastAsia="es-ES" w:bidi="sq-AL"/>
              </w:rPr>
              <w:t>Integrimi i të dhënave të riskut dhe gjinisë; ridrejtimi i aseteve të reja nga zonat e riskut; kërkesa për pjesëmarrjen e grave</w:t>
            </w:r>
          </w:p>
        </w:tc>
        <w:tc>
          <w:tcPr>
            <w:tcW w:w="648" w:type="pct"/>
            <w:vAlign w:val="center"/>
          </w:tcPr>
          <w:p w14:paraId="64FF0B40" w14:textId="77777777" w:rsidR="00622884" w:rsidRPr="00622884" w:rsidRDefault="00622884" w:rsidP="00622884">
            <w:pPr>
              <w:spacing w:after="0" w:line="240" w:lineRule="auto"/>
              <w:jc w:val="center"/>
              <w:rPr>
                <w:rFonts w:ascii="Garamond" w:eastAsia="Calibri" w:hAnsi="Garamond" w:cs="Calibri Light"/>
                <w:sz w:val="16"/>
                <w:szCs w:val="18"/>
                <w:lang w:eastAsia="es-ES"/>
              </w:rPr>
            </w:pPr>
            <w:r w:rsidRPr="00622884">
              <w:rPr>
                <w:rFonts w:ascii="Garamond" w:eastAsia="Times New Roman" w:hAnsi="Garamond" w:cs="Times New Roman"/>
                <w:sz w:val="16"/>
                <w:szCs w:val="24"/>
                <w:lang w:eastAsia="es-ES" w:bidi="sq-AL"/>
              </w:rPr>
              <w:t>Punonjëse gra në turizëm, sipërmarrëse gra, planifikuese vendore dhe OSHC</w:t>
            </w:r>
          </w:p>
        </w:tc>
        <w:tc>
          <w:tcPr>
            <w:tcW w:w="890" w:type="pct"/>
            <w:vAlign w:val="center"/>
          </w:tcPr>
          <w:p w14:paraId="275F7988" w14:textId="77777777" w:rsidR="00622884" w:rsidRPr="00622884" w:rsidRDefault="00622884" w:rsidP="00622884">
            <w:pPr>
              <w:spacing w:after="0" w:line="240" w:lineRule="auto"/>
              <w:jc w:val="center"/>
              <w:rPr>
                <w:rFonts w:ascii="Garamond" w:eastAsia="Calibri" w:hAnsi="Garamond" w:cs="Calibri Light"/>
                <w:sz w:val="16"/>
                <w:szCs w:val="18"/>
                <w:lang w:eastAsia="es-ES"/>
              </w:rPr>
            </w:pPr>
            <w:r w:rsidRPr="00622884">
              <w:rPr>
                <w:rFonts w:ascii="Garamond" w:eastAsia="Times New Roman" w:hAnsi="Garamond" w:cs="Times New Roman"/>
                <w:sz w:val="16"/>
                <w:szCs w:val="24"/>
                <w:lang w:eastAsia="es-ES" w:bidi="sq-AL"/>
              </w:rPr>
              <w:t># plane bashkiake që marrin parasysh gjininë; # leje me klauzola përshtatjeje dhe sigurie; % e grave që raportojnë qasje më të sigurt</w:t>
            </w:r>
          </w:p>
        </w:tc>
        <w:tc>
          <w:tcPr>
            <w:tcW w:w="864" w:type="pct"/>
            <w:vAlign w:val="center"/>
          </w:tcPr>
          <w:p w14:paraId="14C623BC" w14:textId="77777777" w:rsidR="00622884" w:rsidRPr="00622884" w:rsidRDefault="00622884" w:rsidP="00622884">
            <w:pPr>
              <w:spacing w:after="0" w:line="240" w:lineRule="auto"/>
              <w:jc w:val="center"/>
              <w:rPr>
                <w:rFonts w:ascii="Garamond" w:eastAsia="Calibri" w:hAnsi="Garamond" w:cs="Calibri Light"/>
                <w:sz w:val="16"/>
                <w:szCs w:val="18"/>
                <w:lang w:eastAsia="es-ES"/>
              </w:rPr>
            </w:pPr>
            <w:r w:rsidRPr="00622884">
              <w:rPr>
                <w:rFonts w:ascii="Garamond" w:eastAsia="Times New Roman" w:hAnsi="Garamond" w:cs="Times New Roman"/>
                <w:sz w:val="16"/>
                <w:szCs w:val="24"/>
                <w:lang w:eastAsia="es-ES" w:bidi="sq-AL"/>
              </w:rPr>
              <w:t>M32 - Planifikimi hapësinor strategjik për turizmin:</w:t>
            </w:r>
          </w:p>
        </w:tc>
      </w:tr>
      <w:tr w:rsidR="00622884" w:rsidRPr="00622884" w14:paraId="1DA1D1A7" w14:textId="77777777" w:rsidTr="00622884">
        <w:tc>
          <w:tcPr>
            <w:tcW w:w="178" w:type="pct"/>
            <w:vAlign w:val="center"/>
          </w:tcPr>
          <w:p w14:paraId="4120DD99" w14:textId="77777777" w:rsidR="00622884" w:rsidRPr="00622884" w:rsidRDefault="00622884" w:rsidP="00622884">
            <w:pPr>
              <w:spacing w:after="0" w:line="240" w:lineRule="auto"/>
              <w:jc w:val="center"/>
              <w:rPr>
                <w:rFonts w:ascii="Garamond" w:eastAsia="Calibri" w:hAnsi="Garamond" w:cs="Calibri Light"/>
                <w:b/>
                <w:bCs/>
                <w:sz w:val="16"/>
                <w:szCs w:val="18"/>
                <w:lang w:eastAsia="es-ES"/>
              </w:rPr>
            </w:pPr>
            <w:r w:rsidRPr="00622884">
              <w:rPr>
                <w:rFonts w:ascii="Garamond" w:eastAsia="Times New Roman" w:hAnsi="Garamond" w:cs="Times New Roman"/>
                <w:b/>
                <w:sz w:val="16"/>
                <w:szCs w:val="24"/>
                <w:lang w:eastAsia="es-ES" w:bidi="sq-AL"/>
              </w:rPr>
              <w:t>2</w:t>
            </w:r>
          </w:p>
        </w:tc>
        <w:tc>
          <w:tcPr>
            <w:tcW w:w="803" w:type="pct"/>
            <w:vAlign w:val="center"/>
          </w:tcPr>
          <w:p w14:paraId="24E212F8" w14:textId="77777777" w:rsidR="00622884" w:rsidRPr="00622884" w:rsidRDefault="00622884" w:rsidP="00622884">
            <w:pPr>
              <w:spacing w:after="0" w:line="240" w:lineRule="auto"/>
              <w:jc w:val="center"/>
              <w:rPr>
                <w:rFonts w:ascii="Garamond" w:eastAsia="Calibri" w:hAnsi="Garamond" w:cs="Calibri Light"/>
                <w:sz w:val="16"/>
                <w:szCs w:val="18"/>
                <w:lang w:eastAsia="es-ES"/>
              </w:rPr>
            </w:pPr>
            <w:r w:rsidRPr="00622884">
              <w:rPr>
                <w:rFonts w:ascii="Garamond" w:eastAsia="Times New Roman" w:hAnsi="Garamond" w:cs="Times New Roman"/>
                <w:sz w:val="16"/>
                <w:szCs w:val="24"/>
                <w:lang w:eastAsia="es-ES" w:bidi="sq-AL"/>
              </w:rPr>
              <w:t>Stimuj të dedikuar për mbrojtjen nga ndryshimet klimatike të NMVM-ve të drejtuara nga gratë</w:t>
            </w:r>
          </w:p>
        </w:tc>
        <w:tc>
          <w:tcPr>
            <w:tcW w:w="707" w:type="pct"/>
            <w:vAlign w:val="center"/>
          </w:tcPr>
          <w:p w14:paraId="0FFE8C83" w14:textId="77777777" w:rsidR="00622884" w:rsidRPr="00622884" w:rsidRDefault="00622884" w:rsidP="00622884">
            <w:pPr>
              <w:spacing w:after="0" w:line="240" w:lineRule="auto"/>
              <w:jc w:val="center"/>
              <w:rPr>
                <w:rFonts w:ascii="Garamond" w:eastAsia="Calibri" w:hAnsi="Garamond" w:cs="Calibri Light"/>
                <w:sz w:val="16"/>
                <w:szCs w:val="18"/>
                <w:lang w:eastAsia="es-ES"/>
              </w:rPr>
            </w:pPr>
            <w:r w:rsidRPr="00622884">
              <w:rPr>
                <w:rFonts w:ascii="Garamond" w:eastAsia="Times New Roman" w:hAnsi="Garamond" w:cs="Times New Roman"/>
                <w:sz w:val="16"/>
                <w:szCs w:val="24"/>
                <w:lang w:eastAsia="es-ES" w:bidi="sq-AL"/>
              </w:rPr>
              <w:t>Mangësitë në financa dhe të dhëna për bizneset turistike të grave</w:t>
            </w:r>
          </w:p>
        </w:tc>
        <w:tc>
          <w:tcPr>
            <w:tcW w:w="910" w:type="pct"/>
            <w:vAlign w:val="center"/>
          </w:tcPr>
          <w:p w14:paraId="33613DF4" w14:textId="77777777" w:rsidR="00622884" w:rsidRPr="00622884" w:rsidRDefault="00622884" w:rsidP="00622884">
            <w:pPr>
              <w:spacing w:after="0" w:line="240" w:lineRule="auto"/>
              <w:jc w:val="center"/>
              <w:rPr>
                <w:rFonts w:ascii="Garamond" w:eastAsia="Calibri" w:hAnsi="Garamond" w:cs="Calibri Light"/>
                <w:sz w:val="16"/>
                <w:szCs w:val="18"/>
                <w:lang w:eastAsia="es-ES"/>
              </w:rPr>
            </w:pPr>
            <w:r w:rsidRPr="00622884">
              <w:rPr>
                <w:rFonts w:ascii="Garamond" w:eastAsia="Times New Roman" w:hAnsi="Garamond" w:cs="Times New Roman"/>
                <w:sz w:val="16"/>
                <w:szCs w:val="24"/>
                <w:lang w:eastAsia="es-ES" w:bidi="sq-AL"/>
              </w:rPr>
              <w:t>Grante/hua për hijesim, kullim, eficiencë të ujit; kritere të qasjes gjinore</w:t>
            </w:r>
          </w:p>
        </w:tc>
        <w:tc>
          <w:tcPr>
            <w:tcW w:w="648" w:type="pct"/>
            <w:vAlign w:val="center"/>
          </w:tcPr>
          <w:p w14:paraId="3492949B" w14:textId="77777777" w:rsidR="00622884" w:rsidRPr="00622884" w:rsidRDefault="00622884" w:rsidP="00622884">
            <w:pPr>
              <w:spacing w:after="0" w:line="240" w:lineRule="auto"/>
              <w:jc w:val="center"/>
              <w:rPr>
                <w:rFonts w:ascii="Garamond" w:eastAsia="Calibri" w:hAnsi="Garamond" w:cs="Calibri Light"/>
                <w:sz w:val="16"/>
                <w:szCs w:val="18"/>
                <w:lang w:eastAsia="es-ES"/>
              </w:rPr>
            </w:pPr>
            <w:r w:rsidRPr="00622884">
              <w:rPr>
                <w:rFonts w:ascii="Garamond" w:eastAsia="Times New Roman" w:hAnsi="Garamond" w:cs="Times New Roman"/>
                <w:sz w:val="16"/>
                <w:szCs w:val="24"/>
                <w:lang w:eastAsia="es-ES" w:bidi="sq-AL"/>
              </w:rPr>
              <w:t>NMVM-të e turizmit në pronësi të grave; punonjëset sezonale gra</w:t>
            </w:r>
          </w:p>
        </w:tc>
        <w:tc>
          <w:tcPr>
            <w:tcW w:w="890" w:type="pct"/>
            <w:vAlign w:val="center"/>
          </w:tcPr>
          <w:p w14:paraId="765BC56A" w14:textId="77777777" w:rsidR="00622884" w:rsidRPr="00622884" w:rsidRDefault="00622884" w:rsidP="00622884">
            <w:pPr>
              <w:spacing w:after="0" w:line="240" w:lineRule="auto"/>
              <w:jc w:val="center"/>
              <w:rPr>
                <w:rFonts w:ascii="Garamond" w:eastAsia="Calibri" w:hAnsi="Garamond" w:cs="Calibri Light"/>
                <w:sz w:val="16"/>
                <w:szCs w:val="18"/>
                <w:lang w:eastAsia="es-ES"/>
              </w:rPr>
            </w:pPr>
            <w:r w:rsidRPr="00622884">
              <w:rPr>
                <w:rFonts w:ascii="Garamond" w:eastAsia="Times New Roman" w:hAnsi="Garamond" w:cs="Times New Roman"/>
                <w:sz w:val="16"/>
                <w:szCs w:val="24"/>
                <w:lang w:eastAsia="es-ES" w:bidi="sq-AL"/>
              </w:rPr>
              <w:t># i NMVM-ve të drejtuara nga gratë, të përmirësuara; % e objekteve që përmbushin listën e kontrollit të mbrojtjes nga ndryshimet klimatike; vijimësia e të ardhurave pas ngjarjeve klimatike</w:t>
            </w:r>
          </w:p>
        </w:tc>
        <w:tc>
          <w:tcPr>
            <w:tcW w:w="864" w:type="pct"/>
            <w:vAlign w:val="center"/>
          </w:tcPr>
          <w:p w14:paraId="39B15BCF" w14:textId="77777777" w:rsidR="00622884" w:rsidRPr="00622884" w:rsidRDefault="00622884" w:rsidP="00622884">
            <w:pPr>
              <w:spacing w:after="0" w:line="240" w:lineRule="auto"/>
              <w:jc w:val="center"/>
              <w:rPr>
                <w:rFonts w:ascii="Garamond" w:eastAsia="Calibri" w:hAnsi="Garamond" w:cs="Calibri Light"/>
                <w:sz w:val="16"/>
                <w:szCs w:val="18"/>
                <w:lang w:eastAsia="es-ES"/>
              </w:rPr>
            </w:pPr>
            <w:r w:rsidRPr="00622884">
              <w:rPr>
                <w:rFonts w:ascii="Garamond" w:eastAsia="Times New Roman" w:hAnsi="Garamond" w:cs="Times New Roman"/>
                <w:sz w:val="16"/>
                <w:szCs w:val="24"/>
                <w:lang w:eastAsia="es-ES" w:bidi="sq-AL"/>
              </w:rPr>
              <w:t>M33 – Incentiva për mbrojtje nga ndryshimet klimatike;</w:t>
            </w:r>
          </w:p>
          <w:p w14:paraId="641BE80B" w14:textId="77777777" w:rsidR="00622884" w:rsidRPr="00622884" w:rsidRDefault="00622884" w:rsidP="00622884">
            <w:pPr>
              <w:spacing w:after="0" w:line="240" w:lineRule="auto"/>
              <w:jc w:val="center"/>
              <w:rPr>
                <w:rFonts w:ascii="Garamond" w:eastAsia="Calibri" w:hAnsi="Garamond" w:cs="Calibri Light"/>
                <w:sz w:val="16"/>
                <w:szCs w:val="18"/>
                <w:lang w:eastAsia="es-ES"/>
              </w:rPr>
            </w:pPr>
            <w:r w:rsidRPr="00622884">
              <w:rPr>
                <w:rFonts w:ascii="Garamond" w:eastAsia="Times New Roman" w:hAnsi="Garamond" w:cs="Times New Roman"/>
                <w:sz w:val="16"/>
                <w:szCs w:val="24"/>
                <w:lang w:eastAsia="es-ES" w:bidi="sq-AL"/>
              </w:rPr>
              <w:t>M36 - Forcimi i kuadrit politik dhe rregullator për turizmin e qëndrueshëm</w:t>
            </w:r>
          </w:p>
        </w:tc>
      </w:tr>
      <w:tr w:rsidR="00622884" w:rsidRPr="00622884" w14:paraId="2AEF9A73" w14:textId="77777777" w:rsidTr="00622884">
        <w:tc>
          <w:tcPr>
            <w:tcW w:w="178" w:type="pct"/>
            <w:vAlign w:val="center"/>
          </w:tcPr>
          <w:p w14:paraId="63F4BD78" w14:textId="77777777" w:rsidR="00622884" w:rsidRPr="00622884" w:rsidRDefault="00622884" w:rsidP="00622884">
            <w:pPr>
              <w:spacing w:after="0" w:line="240" w:lineRule="auto"/>
              <w:jc w:val="center"/>
              <w:rPr>
                <w:rFonts w:ascii="Garamond" w:eastAsia="Calibri" w:hAnsi="Garamond" w:cs="Calibri Light"/>
                <w:b/>
                <w:bCs/>
                <w:sz w:val="16"/>
                <w:szCs w:val="18"/>
                <w:lang w:eastAsia="es-ES"/>
              </w:rPr>
            </w:pPr>
            <w:r w:rsidRPr="00622884">
              <w:rPr>
                <w:rFonts w:ascii="Garamond" w:eastAsia="Times New Roman" w:hAnsi="Garamond" w:cs="Times New Roman"/>
                <w:b/>
                <w:sz w:val="16"/>
                <w:szCs w:val="24"/>
                <w:lang w:eastAsia="es-ES" w:bidi="sq-AL"/>
              </w:rPr>
              <w:t>3</w:t>
            </w:r>
          </w:p>
        </w:tc>
        <w:tc>
          <w:tcPr>
            <w:tcW w:w="803" w:type="pct"/>
            <w:vAlign w:val="center"/>
          </w:tcPr>
          <w:p w14:paraId="3F15A193" w14:textId="77777777" w:rsidR="00622884" w:rsidRPr="00622884" w:rsidRDefault="00622884" w:rsidP="00622884">
            <w:pPr>
              <w:spacing w:after="0" w:line="240" w:lineRule="auto"/>
              <w:jc w:val="center"/>
              <w:rPr>
                <w:rFonts w:ascii="Garamond" w:eastAsia="Calibri" w:hAnsi="Garamond" w:cs="Calibri Light"/>
                <w:sz w:val="16"/>
                <w:szCs w:val="18"/>
                <w:lang w:eastAsia="es-ES"/>
              </w:rPr>
            </w:pPr>
            <w:r w:rsidRPr="00622884">
              <w:rPr>
                <w:rFonts w:ascii="Garamond" w:eastAsia="Times New Roman" w:hAnsi="Garamond" w:cs="Times New Roman"/>
                <w:sz w:val="16"/>
                <w:szCs w:val="24"/>
                <w:lang w:eastAsia="es-ES" w:bidi="sq-AL"/>
              </w:rPr>
              <w:t>Veprime të bazuara në të dhëna: trajnime dhe qendra digjitale për gratë</w:t>
            </w:r>
          </w:p>
        </w:tc>
        <w:tc>
          <w:tcPr>
            <w:tcW w:w="707" w:type="pct"/>
            <w:vAlign w:val="center"/>
          </w:tcPr>
          <w:p w14:paraId="3BE45D58" w14:textId="77777777" w:rsidR="00622884" w:rsidRPr="00622884" w:rsidRDefault="00622884" w:rsidP="00622884">
            <w:pPr>
              <w:spacing w:after="0" w:line="240" w:lineRule="auto"/>
              <w:jc w:val="center"/>
              <w:rPr>
                <w:rFonts w:ascii="Garamond" w:eastAsia="Calibri" w:hAnsi="Garamond" w:cs="Calibri Light"/>
                <w:sz w:val="16"/>
                <w:szCs w:val="18"/>
                <w:lang w:eastAsia="es-ES"/>
              </w:rPr>
            </w:pPr>
            <w:r w:rsidRPr="00622884">
              <w:rPr>
                <w:rFonts w:ascii="Garamond" w:eastAsia="Times New Roman" w:hAnsi="Garamond" w:cs="Times New Roman"/>
                <w:sz w:val="16"/>
                <w:szCs w:val="24"/>
                <w:lang w:eastAsia="es-ES" w:bidi="sq-AL"/>
              </w:rPr>
              <w:t>Pak gra në menaxhim; qasje e kufizuar në të dhëna klimatike/mentorim</w:t>
            </w:r>
          </w:p>
        </w:tc>
        <w:tc>
          <w:tcPr>
            <w:tcW w:w="910" w:type="pct"/>
            <w:vAlign w:val="center"/>
          </w:tcPr>
          <w:p w14:paraId="42DDC3BF" w14:textId="77777777" w:rsidR="00622884" w:rsidRPr="00622884" w:rsidRDefault="00622884" w:rsidP="00622884">
            <w:pPr>
              <w:spacing w:after="0" w:line="240" w:lineRule="auto"/>
              <w:jc w:val="center"/>
              <w:rPr>
                <w:rFonts w:ascii="Garamond" w:eastAsia="Calibri" w:hAnsi="Garamond" w:cs="Calibri Light"/>
                <w:sz w:val="16"/>
                <w:szCs w:val="18"/>
                <w:lang w:eastAsia="es-ES"/>
              </w:rPr>
            </w:pPr>
            <w:r w:rsidRPr="00622884">
              <w:rPr>
                <w:rFonts w:ascii="Garamond" w:eastAsia="Times New Roman" w:hAnsi="Garamond" w:cs="Times New Roman"/>
                <w:sz w:val="16"/>
                <w:szCs w:val="24"/>
                <w:lang w:eastAsia="es-ES" w:bidi="sq-AL"/>
              </w:rPr>
              <w:t>Udhëzime praktike, rrjete të mësimit elektronik dhe mentorimit për gratë</w:t>
            </w:r>
          </w:p>
        </w:tc>
        <w:tc>
          <w:tcPr>
            <w:tcW w:w="648" w:type="pct"/>
            <w:vAlign w:val="center"/>
          </w:tcPr>
          <w:p w14:paraId="50AB5ADD" w14:textId="77777777" w:rsidR="00622884" w:rsidRPr="00622884" w:rsidRDefault="00622884" w:rsidP="00622884">
            <w:pPr>
              <w:spacing w:after="0" w:line="240" w:lineRule="auto"/>
              <w:jc w:val="center"/>
              <w:rPr>
                <w:rFonts w:ascii="Garamond" w:eastAsia="Calibri" w:hAnsi="Garamond" w:cs="Calibri Light"/>
                <w:sz w:val="16"/>
                <w:szCs w:val="18"/>
                <w:lang w:eastAsia="es-ES"/>
              </w:rPr>
            </w:pPr>
            <w:r w:rsidRPr="00622884">
              <w:rPr>
                <w:rFonts w:ascii="Garamond" w:eastAsia="Times New Roman" w:hAnsi="Garamond" w:cs="Times New Roman"/>
                <w:sz w:val="16"/>
                <w:szCs w:val="24"/>
                <w:lang w:eastAsia="es-ES" w:bidi="sq-AL"/>
              </w:rPr>
              <w:t>Gra sipërmarrëse, staf me femra në turizëm, menaxhere gra</w:t>
            </w:r>
          </w:p>
        </w:tc>
        <w:tc>
          <w:tcPr>
            <w:tcW w:w="890" w:type="pct"/>
            <w:vAlign w:val="center"/>
          </w:tcPr>
          <w:p w14:paraId="58C9C060" w14:textId="77777777" w:rsidR="00622884" w:rsidRPr="00622884" w:rsidRDefault="00622884" w:rsidP="00622884">
            <w:pPr>
              <w:spacing w:after="0" w:line="240" w:lineRule="auto"/>
              <w:jc w:val="center"/>
              <w:rPr>
                <w:rFonts w:ascii="Garamond" w:eastAsia="Calibri" w:hAnsi="Garamond" w:cs="Calibri Light"/>
                <w:sz w:val="16"/>
                <w:szCs w:val="18"/>
                <w:lang w:eastAsia="es-ES"/>
              </w:rPr>
            </w:pPr>
            <w:r w:rsidRPr="00622884">
              <w:rPr>
                <w:rFonts w:ascii="Garamond" w:eastAsia="Times New Roman" w:hAnsi="Garamond" w:cs="Times New Roman"/>
                <w:sz w:val="16"/>
                <w:szCs w:val="24"/>
                <w:lang w:eastAsia="es-ES" w:bidi="sq-AL"/>
              </w:rPr>
              <w:t># gra të trajnuara/të mentoruara; % e grave në role menaxheriale; moduli i të dhënave klimatike të turizmit është funksional</w:t>
            </w:r>
          </w:p>
        </w:tc>
        <w:tc>
          <w:tcPr>
            <w:tcW w:w="864" w:type="pct"/>
            <w:vAlign w:val="center"/>
          </w:tcPr>
          <w:p w14:paraId="4EE618E3" w14:textId="77777777" w:rsidR="00622884" w:rsidRPr="00622884" w:rsidRDefault="00622884" w:rsidP="00622884">
            <w:pPr>
              <w:spacing w:after="0" w:line="240" w:lineRule="auto"/>
              <w:jc w:val="center"/>
              <w:rPr>
                <w:rFonts w:ascii="Garamond" w:eastAsia="Calibri" w:hAnsi="Garamond" w:cs="Calibri Light"/>
                <w:sz w:val="16"/>
                <w:szCs w:val="18"/>
                <w:lang w:eastAsia="es-ES"/>
              </w:rPr>
            </w:pPr>
            <w:r w:rsidRPr="00622884">
              <w:rPr>
                <w:rFonts w:ascii="Garamond" w:eastAsia="Times New Roman" w:hAnsi="Garamond" w:cs="Times New Roman"/>
                <w:sz w:val="16"/>
                <w:szCs w:val="24"/>
                <w:lang w:eastAsia="es-ES" w:bidi="sq-AL"/>
              </w:rPr>
              <w:t>M37 – Integrimi i të dhënave klimatike;</w:t>
            </w:r>
          </w:p>
          <w:p w14:paraId="6C559986" w14:textId="77777777" w:rsidR="00622884" w:rsidRPr="00622884" w:rsidRDefault="00622884" w:rsidP="00622884">
            <w:pPr>
              <w:spacing w:after="0" w:line="240" w:lineRule="auto"/>
              <w:jc w:val="center"/>
              <w:rPr>
                <w:rFonts w:ascii="Garamond" w:eastAsia="Calibri" w:hAnsi="Garamond" w:cs="Calibri Light"/>
                <w:sz w:val="16"/>
                <w:szCs w:val="18"/>
                <w:lang w:eastAsia="es-ES"/>
              </w:rPr>
            </w:pPr>
            <w:r w:rsidRPr="00622884">
              <w:rPr>
                <w:rFonts w:ascii="Garamond" w:eastAsia="Times New Roman" w:hAnsi="Garamond" w:cs="Times New Roman"/>
                <w:sz w:val="16"/>
                <w:szCs w:val="24"/>
                <w:lang w:eastAsia="es-ES" w:bidi="sq-AL"/>
              </w:rPr>
              <w:t>M40 - Ngritja e kapaciteteve të operatorëve me aftësi ripërtëritëse ndaj ndryshimeve klimatike</w:t>
            </w:r>
          </w:p>
        </w:tc>
      </w:tr>
    </w:tbl>
    <w:p w14:paraId="4504EF7D" w14:textId="77777777" w:rsidR="00622884" w:rsidRPr="00622884" w:rsidRDefault="00622884" w:rsidP="00622884">
      <w:pPr>
        <w:tabs>
          <w:tab w:val="left" w:pos="5325"/>
        </w:tabs>
        <w:spacing w:after="0" w:line="240" w:lineRule="auto"/>
        <w:ind w:firstLine="284"/>
        <w:rPr>
          <w:rFonts w:ascii="Garamond" w:eastAsia="Calibri" w:hAnsi="Garamond" w:cs="Times New Roman"/>
          <w:b/>
          <w:sz w:val="24"/>
          <w:szCs w:val="24"/>
          <w:lang w:eastAsia="en-US" w:bidi="sq-AL"/>
        </w:rPr>
      </w:pPr>
    </w:p>
    <w:p w14:paraId="696473B6" w14:textId="77777777" w:rsidR="00622884" w:rsidRPr="00622884" w:rsidRDefault="00622884" w:rsidP="00622884">
      <w:pPr>
        <w:tabs>
          <w:tab w:val="left" w:pos="5325"/>
        </w:tabs>
        <w:spacing w:after="0" w:line="240" w:lineRule="auto"/>
        <w:ind w:firstLine="284"/>
        <w:rPr>
          <w:rFonts w:ascii="Garamond" w:eastAsia="Calibri" w:hAnsi="Garamond" w:cs="Times New Roman"/>
          <w:b/>
          <w:sz w:val="24"/>
          <w:szCs w:val="24"/>
          <w:lang w:eastAsia="en-US" w:bidi="sq-AL"/>
        </w:rPr>
      </w:pPr>
    </w:p>
    <w:p w14:paraId="4DB7FD22" w14:textId="77777777" w:rsidR="00622884" w:rsidRPr="00622884" w:rsidRDefault="00622884" w:rsidP="00622884">
      <w:pPr>
        <w:tabs>
          <w:tab w:val="left" w:pos="5325"/>
        </w:tabs>
        <w:spacing w:after="0" w:line="240" w:lineRule="auto"/>
        <w:ind w:firstLine="284"/>
        <w:rPr>
          <w:rFonts w:ascii="Garamond" w:eastAsia="Calibri" w:hAnsi="Garamond" w:cs="Times New Roman"/>
          <w:b/>
          <w:sz w:val="24"/>
          <w:szCs w:val="24"/>
          <w:lang w:eastAsia="en-US" w:bidi="sq-AL"/>
        </w:rPr>
      </w:pPr>
    </w:p>
    <w:p w14:paraId="2676F066" w14:textId="77777777" w:rsidR="00622884" w:rsidRPr="00622884" w:rsidRDefault="00622884" w:rsidP="00622884">
      <w:pPr>
        <w:tabs>
          <w:tab w:val="left" w:pos="5325"/>
        </w:tabs>
        <w:spacing w:after="0" w:line="240" w:lineRule="auto"/>
        <w:ind w:firstLine="284"/>
        <w:rPr>
          <w:rFonts w:ascii="Garamond" w:eastAsia="Calibri" w:hAnsi="Garamond" w:cs="Times New Roman"/>
          <w:b/>
          <w:sz w:val="24"/>
          <w:szCs w:val="24"/>
          <w:lang w:eastAsia="en-US" w:bidi="sq-AL"/>
        </w:rPr>
      </w:pPr>
    </w:p>
    <w:p w14:paraId="3BF133E0" w14:textId="77777777" w:rsidR="00622884" w:rsidRPr="00622884" w:rsidRDefault="00622884" w:rsidP="00622884">
      <w:pPr>
        <w:tabs>
          <w:tab w:val="left" w:pos="5325"/>
        </w:tabs>
        <w:spacing w:after="0" w:line="240" w:lineRule="auto"/>
        <w:ind w:firstLine="284"/>
        <w:rPr>
          <w:rFonts w:ascii="Garamond" w:eastAsia="Open Sans Light" w:hAnsi="Garamond" w:cs="Calibri Light"/>
          <w:b/>
          <w:bCs/>
          <w:sz w:val="24"/>
          <w:szCs w:val="24"/>
          <w:lang w:eastAsia="en-US"/>
        </w:rPr>
      </w:pPr>
      <w:r w:rsidRPr="00622884">
        <w:rPr>
          <w:rFonts w:ascii="Garamond" w:eastAsia="Calibri" w:hAnsi="Garamond" w:cs="Times New Roman"/>
          <w:b/>
          <w:sz w:val="24"/>
          <w:szCs w:val="24"/>
          <w:lang w:eastAsia="en-US" w:bidi="sq-AL"/>
        </w:rPr>
        <w:t>Zhvillimi urban</w:t>
      </w:r>
    </w:p>
    <w:tbl>
      <w:tblPr>
        <w:tblW w:w="5583" w:type="pct"/>
        <w:tblInd w:w="-714" w:type="dxa"/>
        <w:tblBorders>
          <w:top w:val="single" w:sz="4" w:space="0" w:color="1D3C5A"/>
          <w:left w:val="single" w:sz="4" w:space="0" w:color="1D3C5A"/>
          <w:bottom w:val="single" w:sz="4" w:space="0" w:color="1D3C5A"/>
          <w:right w:val="single" w:sz="4" w:space="0" w:color="1D3C5A"/>
          <w:insideH w:val="single" w:sz="4" w:space="0" w:color="1D3C5A"/>
          <w:insideV w:val="single" w:sz="4" w:space="0" w:color="1D3C5A"/>
        </w:tblBorders>
        <w:tblLook w:val="04A0" w:firstRow="1" w:lastRow="0" w:firstColumn="1" w:lastColumn="0" w:noHBand="0" w:noVBand="1"/>
      </w:tblPr>
      <w:tblGrid>
        <w:gridCol w:w="448"/>
        <w:gridCol w:w="1678"/>
        <w:gridCol w:w="1425"/>
        <w:gridCol w:w="1891"/>
        <w:gridCol w:w="1314"/>
        <w:gridCol w:w="1832"/>
        <w:gridCol w:w="1782"/>
      </w:tblGrid>
      <w:tr w:rsidR="00622884" w:rsidRPr="00622884" w14:paraId="65255E03" w14:textId="77777777" w:rsidTr="00622884">
        <w:trPr>
          <w:trHeight w:val="419"/>
          <w:tblHeader/>
        </w:trPr>
        <w:tc>
          <w:tcPr>
            <w:tcW w:w="163" w:type="pct"/>
            <w:shd w:val="clear" w:color="auto" w:fill="215A5C"/>
            <w:vAlign w:val="center"/>
          </w:tcPr>
          <w:p w14:paraId="2F5FE268" w14:textId="77777777" w:rsidR="00622884" w:rsidRPr="00622884" w:rsidRDefault="00622884" w:rsidP="00622884">
            <w:pPr>
              <w:shd w:val="clear" w:color="auto" w:fill="215A5C"/>
              <w:spacing w:after="0" w:line="240" w:lineRule="auto"/>
              <w:jc w:val="center"/>
              <w:rPr>
                <w:rFonts w:ascii="Garamond" w:eastAsia="SimSun" w:hAnsi="Garamond" w:cs="Calibri Light"/>
                <w:b/>
                <w:bCs/>
                <w:sz w:val="16"/>
                <w:szCs w:val="18"/>
                <w:lang w:eastAsia="es-ES"/>
              </w:rPr>
            </w:pPr>
            <w:r w:rsidRPr="00622884">
              <w:rPr>
                <w:rFonts w:ascii="Garamond" w:eastAsia="Times New Roman" w:hAnsi="Garamond" w:cs="Times New Roman"/>
                <w:b/>
                <w:sz w:val="16"/>
                <w:szCs w:val="24"/>
                <w:lang w:eastAsia="es-ES" w:bidi="sq-AL"/>
              </w:rPr>
              <w:t>Nr.</w:t>
            </w:r>
          </w:p>
        </w:tc>
        <w:tc>
          <w:tcPr>
            <w:tcW w:w="818" w:type="pct"/>
            <w:shd w:val="clear" w:color="auto" w:fill="215A5C"/>
            <w:vAlign w:val="center"/>
          </w:tcPr>
          <w:p w14:paraId="0C7D74F2" w14:textId="77777777" w:rsidR="00622884" w:rsidRPr="00622884" w:rsidRDefault="00622884" w:rsidP="00622884">
            <w:pPr>
              <w:shd w:val="clear" w:color="auto" w:fill="215A5C"/>
              <w:spacing w:after="0" w:line="240" w:lineRule="auto"/>
              <w:jc w:val="center"/>
              <w:rPr>
                <w:rFonts w:ascii="Garamond" w:eastAsia="SimSun" w:hAnsi="Garamond" w:cs="Calibri Light"/>
                <w:b/>
                <w:bCs/>
                <w:sz w:val="16"/>
                <w:szCs w:val="18"/>
                <w:lang w:eastAsia="es-ES"/>
              </w:rPr>
            </w:pPr>
            <w:r w:rsidRPr="00622884">
              <w:rPr>
                <w:rFonts w:ascii="Garamond" w:eastAsia="Times New Roman" w:hAnsi="Garamond" w:cs="Times New Roman"/>
                <w:b/>
                <w:sz w:val="16"/>
                <w:szCs w:val="24"/>
                <w:lang w:eastAsia="es-ES" w:bidi="sq-AL"/>
              </w:rPr>
              <w:t>Veprimi</w:t>
            </w:r>
          </w:p>
        </w:tc>
        <w:tc>
          <w:tcPr>
            <w:tcW w:w="696" w:type="pct"/>
            <w:shd w:val="clear" w:color="auto" w:fill="215A5C"/>
            <w:vAlign w:val="center"/>
          </w:tcPr>
          <w:p w14:paraId="43FC0E21" w14:textId="77777777" w:rsidR="00622884" w:rsidRPr="00622884" w:rsidRDefault="00622884" w:rsidP="00622884">
            <w:pPr>
              <w:shd w:val="clear" w:color="auto" w:fill="215A5C"/>
              <w:spacing w:after="0" w:line="240" w:lineRule="auto"/>
              <w:jc w:val="center"/>
              <w:rPr>
                <w:rFonts w:ascii="Garamond" w:eastAsia="SimSun" w:hAnsi="Garamond" w:cs="Calibri Light"/>
                <w:b/>
                <w:bCs/>
                <w:sz w:val="16"/>
                <w:szCs w:val="18"/>
                <w:lang w:eastAsia="es-ES"/>
              </w:rPr>
            </w:pPr>
            <w:r w:rsidRPr="00622884">
              <w:rPr>
                <w:rFonts w:ascii="Garamond" w:eastAsia="Times New Roman" w:hAnsi="Garamond" w:cs="Times New Roman"/>
                <w:b/>
                <w:sz w:val="16"/>
                <w:szCs w:val="24"/>
                <w:lang w:eastAsia="es-ES" w:bidi="sq-AL"/>
              </w:rPr>
              <w:t>Sfida e trajtuar</w:t>
            </w:r>
          </w:p>
        </w:tc>
        <w:tc>
          <w:tcPr>
            <w:tcW w:w="921" w:type="pct"/>
            <w:shd w:val="clear" w:color="auto" w:fill="215A5C"/>
            <w:vAlign w:val="center"/>
          </w:tcPr>
          <w:p w14:paraId="37B6D3E4" w14:textId="77777777" w:rsidR="00622884" w:rsidRPr="00622884" w:rsidRDefault="00622884" w:rsidP="00622884">
            <w:pPr>
              <w:shd w:val="clear" w:color="auto" w:fill="215A5C"/>
              <w:spacing w:after="0" w:line="240" w:lineRule="auto"/>
              <w:jc w:val="center"/>
              <w:rPr>
                <w:rFonts w:ascii="Garamond" w:eastAsia="SimSun" w:hAnsi="Garamond" w:cs="Calibri Light"/>
                <w:b/>
                <w:bCs/>
                <w:sz w:val="16"/>
                <w:szCs w:val="18"/>
                <w:lang w:eastAsia="es-ES"/>
              </w:rPr>
            </w:pPr>
            <w:r w:rsidRPr="00622884">
              <w:rPr>
                <w:rFonts w:ascii="Garamond" w:eastAsia="Times New Roman" w:hAnsi="Garamond" w:cs="Times New Roman"/>
                <w:b/>
                <w:sz w:val="16"/>
                <w:szCs w:val="24"/>
                <w:lang w:eastAsia="es-ES" w:bidi="sq-AL"/>
              </w:rPr>
              <w:t>Përshkrimi</w:t>
            </w:r>
          </w:p>
        </w:tc>
        <w:tc>
          <w:tcPr>
            <w:tcW w:w="642" w:type="pct"/>
            <w:shd w:val="clear" w:color="auto" w:fill="215A5C"/>
            <w:vAlign w:val="center"/>
          </w:tcPr>
          <w:p w14:paraId="7BEBABBD" w14:textId="77777777" w:rsidR="00622884" w:rsidRPr="00622884" w:rsidRDefault="00622884" w:rsidP="00622884">
            <w:pPr>
              <w:shd w:val="clear" w:color="auto" w:fill="215A5C"/>
              <w:spacing w:after="0" w:line="240" w:lineRule="auto"/>
              <w:jc w:val="center"/>
              <w:rPr>
                <w:rFonts w:ascii="Garamond" w:eastAsia="SimSun" w:hAnsi="Garamond" w:cs="Calibri Light"/>
                <w:b/>
                <w:bCs/>
                <w:sz w:val="16"/>
                <w:szCs w:val="18"/>
                <w:lang w:eastAsia="es-ES"/>
              </w:rPr>
            </w:pPr>
            <w:r w:rsidRPr="00622884">
              <w:rPr>
                <w:rFonts w:ascii="Garamond" w:eastAsia="Times New Roman" w:hAnsi="Garamond" w:cs="Times New Roman"/>
                <w:b/>
                <w:sz w:val="16"/>
                <w:szCs w:val="24"/>
                <w:lang w:eastAsia="es-ES" w:bidi="sq-AL"/>
              </w:rPr>
              <w:t xml:space="preserve">Përfituesit </w:t>
            </w:r>
          </w:p>
        </w:tc>
        <w:tc>
          <w:tcPr>
            <w:tcW w:w="892" w:type="pct"/>
            <w:shd w:val="clear" w:color="auto" w:fill="215A5C"/>
            <w:vAlign w:val="center"/>
          </w:tcPr>
          <w:p w14:paraId="1B2870AB" w14:textId="77777777" w:rsidR="00622884" w:rsidRPr="00622884" w:rsidRDefault="00622884" w:rsidP="00622884">
            <w:pPr>
              <w:shd w:val="clear" w:color="auto" w:fill="215A5C"/>
              <w:spacing w:after="0" w:line="240" w:lineRule="auto"/>
              <w:jc w:val="center"/>
              <w:rPr>
                <w:rFonts w:ascii="Garamond" w:eastAsia="SimSun" w:hAnsi="Garamond" w:cs="Calibri Light"/>
                <w:b/>
                <w:bCs/>
                <w:sz w:val="16"/>
                <w:szCs w:val="18"/>
                <w:lang w:eastAsia="es-ES"/>
              </w:rPr>
            </w:pPr>
            <w:r w:rsidRPr="00622884">
              <w:rPr>
                <w:rFonts w:ascii="Garamond" w:eastAsia="Times New Roman" w:hAnsi="Garamond" w:cs="Times New Roman"/>
                <w:b/>
                <w:sz w:val="16"/>
                <w:szCs w:val="24"/>
                <w:lang w:eastAsia="es-ES" w:bidi="sq-AL"/>
              </w:rPr>
              <w:t>Treguesit</w:t>
            </w:r>
          </w:p>
        </w:tc>
        <w:tc>
          <w:tcPr>
            <w:tcW w:w="868" w:type="pct"/>
            <w:shd w:val="clear" w:color="auto" w:fill="215A5C"/>
            <w:vAlign w:val="center"/>
          </w:tcPr>
          <w:p w14:paraId="7976FF19" w14:textId="77777777" w:rsidR="00622884" w:rsidRPr="00622884" w:rsidRDefault="00622884" w:rsidP="00622884">
            <w:pPr>
              <w:shd w:val="clear" w:color="auto" w:fill="215A5C"/>
              <w:spacing w:after="0" w:line="240" w:lineRule="auto"/>
              <w:jc w:val="center"/>
              <w:rPr>
                <w:rFonts w:ascii="Garamond" w:eastAsia="SimSun" w:hAnsi="Garamond" w:cs="Calibri Light"/>
                <w:b/>
                <w:bCs/>
                <w:sz w:val="16"/>
                <w:szCs w:val="18"/>
                <w:lang w:eastAsia="es-ES"/>
              </w:rPr>
            </w:pPr>
            <w:r w:rsidRPr="00622884">
              <w:rPr>
                <w:rFonts w:ascii="Garamond" w:eastAsia="Times New Roman" w:hAnsi="Garamond" w:cs="Times New Roman"/>
                <w:b/>
                <w:sz w:val="16"/>
                <w:szCs w:val="24"/>
                <w:lang w:eastAsia="es-ES" w:bidi="sq-AL"/>
              </w:rPr>
              <w:t>Kontributi specifik në masat e NAP-it</w:t>
            </w:r>
          </w:p>
        </w:tc>
      </w:tr>
      <w:tr w:rsidR="00622884" w:rsidRPr="00622884" w14:paraId="6CE4AD60" w14:textId="77777777" w:rsidTr="00622884">
        <w:tc>
          <w:tcPr>
            <w:tcW w:w="163" w:type="pct"/>
            <w:vAlign w:val="center"/>
          </w:tcPr>
          <w:p w14:paraId="659483B6" w14:textId="77777777" w:rsidR="00622884" w:rsidRPr="00622884" w:rsidRDefault="00622884" w:rsidP="00622884">
            <w:pPr>
              <w:spacing w:after="0" w:line="240" w:lineRule="auto"/>
              <w:jc w:val="center"/>
              <w:rPr>
                <w:rFonts w:ascii="Garamond" w:eastAsia="Calibri" w:hAnsi="Garamond" w:cs="Calibri Light"/>
                <w:b/>
                <w:bCs/>
                <w:sz w:val="16"/>
                <w:szCs w:val="18"/>
                <w:lang w:eastAsia="es-ES"/>
              </w:rPr>
            </w:pPr>
            <w:r w:rsidRPr="00622884">
              <w:rPr>
                <w:rFonts w:ascii="Garamond" w:eastAsia="Times New Roman" w:hAnsi="Garamond" w:cs="Times New Roman"/>
                <w:b/>
                <w:sz w:val="16"/>
                <w:szCs w:val="24"/>
                <w:lang w:eastAsia="es-ES" w:bidi="sq-AL"/>
              </w:rPr>
              <w:t>1</w:t>
            </w:r>
          </w:p>
        </w:tc>
        <w:tc>
          <w:tcPr>
            <w:tcW w:w="818" w:type="pct"/>
            <w:vAlign w:val="center"/>
          </w:tcPr>
          <w:p w14:paraId="0D8DC92B" w14:textId="77777777" w:rsidR="00622884" w:rsidRPr="00622884" w:rsidRDefault="00622884" w:rsidP="00622884">
            <w:pPr>
              <w:spacing w:after="0" w:line="240" w:lineRule="auto"/>
              <w:jc w:val="center"/>
              <w:rPr>
                <w:rFonts w:ascii="Garamond" w:eastAsia="Calibri" w:hAnsi="Garamond" w:cs="Calibri Light"/>
                <w:sz w:val="16"/>
                <w:szCs w:val="18"/>
                <w:lang w:eastAsia="es-ES"/>
              </w:rPr>
            </w:pPr>
            <w:r w:rsidRPr="00622884">
              <w:rPr>
                <w:rFonts w:ascii="Garamond" w:eastAsia="Times New Roman" w:hAnsi="Garamond" w:cs="Times New Roman"/>
                <w:sz w:val="16"/>
                <w:szCs w:val="24"/>
                <w:lang w:eastAsia="es-ES" w:bidi="sq-AL"/>
              </w:rPr>
              <w:t>Hapësira publike të sigurta ndaj të nxehtit dhe me ndjeshmëri gjinore</w:t>
            </w:r>
          </w:p>
        </w:tc>
        <w:tc>
          <w:tcPr>
            <w:tcW w:w="696" w:type="pct"/>
            <w:vAlign w:val="center"/>
          </w:tcPr>
          <w:p w14:paraId="136B2741" w14:textId="77777777" w:rsidR="00622884" w:rsidRPr="00622884" w:rsidRDefault="00622884" w:rsidP="00622884">
            <w:pPr>
              <w:spacing w:after="0" w:line="240" w:lineRule="auto"/>
              <w:jc w:val="center"/>
              <w:rPr>
                <w:rFonts w:ascii="Garamond" w:eastAsia="Calibri" w:hAnsi="Garamond" w:cs="Calibri Light"/>
                <w:sz w:val="16"/>
                <w:szCs w:val="18"/>
                <w:lang w:eastAsia="es-ES"/>
              </w:rPr>
            </w:pPr>
            <w:r w:rsidRPr="00622884">
              <w:rPr>
                <w:rFonts w:ascii="Garamond" w:eastAsia="Times New Roman" w:hAnsi="Garamond" w:cs="Times New Roman"/>
                <w:sz w:val="16"/>
                <w:szCs w:val="24"/>
                <w:lang w:eastAsia="es-ES" w:bidi="sq-AL"/>
              </w:rPr>
              <w:t>Stresi nga i nxehti; shqetësimet për sigurinë; role të rënda kujdesi</w:t>
            </w:r>
          </w:p>
        </w:tc>
        <w:tc>
          <w:tcPr>
            <w:tcW w:w="921" w:type="pct"/>
            <w:vAlign w:val="center"/>
          </w:tcPr>
          <w:p w14:paraId="10CD97AC" w14:textId="77777777" w:rsidR="00622884" w:rsidRPr="00622884" w:rsidRDefault="00622884" w:rsidP="00622884">
            <w:pPr>
              <w:spacing w:after="0" w:line="240" w:lineRule="auto"/>
              <w:jc w:val="center"/>
              <w:rPr>
                <w:rFonts w:ascii="Garamond" w:eastAsia="Calibri" w:hAnsi="Garamond" w:cs="Calibri Light"/>
                <w:sz w:val="16"/>
                <w:szCs w:val="18"/>
                <w:lang w:eastAsia="es-ES"/>
              </w:rPr>
            </w:pPr>
            <w:r w:rsidRPr="00622884">
              <w:rPr>
                <w:rFonts w:ascii="Garamond" w:eastAsia="Times New Roman" w:hAnsi="Garamond" w:cs="Times New Roman"/>
                <w:sz w:val="16"/>
                <w:szCs w:val="24"/>
                <w:lang w:eastAsia="es-ES" w:bidi="sq-AL"/>
              </w:rPr>
              <w:t>Pemë/hije, dhoma ftohjeje, ndriçim/kanalizime të sigurta</w:t>
            </w:r>
          </w:p>
        </w:tc>
        <w:tc>
          <w:tcPr>
            <w:tcW w:w="642" w:type="pct"/>
            <w:vAlign w:val="center"/>
          </w:tcPr>
          <w:p w14:paraId="3A4057A9" w14:textId="77777777" w:rsidR="00622884" w:rsidRPr="00622884" w:rsidRDefault="00622884" w:rsidP="00622884">
            <w:pPr>
              <w:spacing w:after="0" w:line="240" w:lineRule="auto"/>
              <w:jc w:val="center"/>
              <w:rPr>
                <w:rFonts w:ascii="Garamond" w:eastAsia="Calibri" w:hAnsi="Garamond" w:cs="Calibri Light"/>
                <w:sz w:val="16"/>
                <w:szCs w:val="18"/>
                <w:lang w:eastAsia="es-ES"/>
              </w:rPr>
            </w:pPr>
            <w:r w:rsidRPr="00622884">
              <w:rPr>
                <w:rFonts w:ascii="Garamond" w:eastAsia="Times New Roman" w:hAnsi="Garamond" w:cs="Times New Roman"/>
                <w:sz w:val="16"/>
                <w:szCs w:val="24"/>
                <w:lang w:eastAsia="es-ES" w:bidi="sq-AL"/>
              </w:rPr>
              <w:t>Familje me kryefamiljare gra dhe familje të cenueshme; pika fokale për gratë në bashki</w:t>
            </w:r>
          </w:p>
        </w:tc>
        <w:tc>
          <w:tcPr>
            <w:tcW w:w="892" w:type="pct"/>
            <w:vAlign w:val="center"/>
          </w:tcPr>
          <w:p w14:paraId="516FAE62" w14:textId="77777777" w:rsidR="00622884" w:rsidRPr="00622884" w:rsidRDefault="00622884" w:rsidP="00622884">
            <w:pPr>
              <w:spacing w:after="0" w:line="240" w:lineRule="auto"/>
              <w:jc w:val="center"/>
              <w:rPr>
                <w:rFonts w:ascii="Garamond" w:eastAsia="Calibri" w:hAnsi="Garamond" w:cs="Calibri Light"/>
                <w:sz w:val="16"/>
                <w:szCs w:val="18"/>
                <w:lang w:eastAsia="es-ES"/>
              </w:rPr>
            </w:pPr>
            <w:r w:rsidRPr="00622884">
              <w:rPr>
                <w:rFonts w:ascii="Garamond" w:eastAsia="Times New Roman" w:hAnsi="Garamond" w:cs="Times New Roman"/>
                <w:sz w:val="16"/>
                <w:szCs w:val="24"/>
                <w:lang w:eastAsia="es-ES" w:bidi="sq-AL"/>
              </w:rPr>
              <w:t># hapësira të përshtatura; % e grave që raportojnë rehati/siguri të shtuar; ulje e incidenteve të lidhura me të nxehtin</w:t>
            </w:r>
          </w:p>
        </w:tc>
        <w:tc>
          <w:tcPr>
            <w:tcW w:w="868" w:type="pct"/>
            <w:vAlign w:val="center"/>
          </w:tcPr>
          <w:p w14:paraId="4481C416" w14:textId="77777777" w:rsidR="00622884" w:rsidRPr="00622884" w:rsidRDefault="00622884" w:rsidP="00622884">
            <w:pPr>
              <w:spacing w:after="0" w:line="240" w:lineRule="auto"/>
              <w:jc w:val="center"/>
              <w:rPr>
                <w:rFonts w:ascii="Garamond" w:eastAsia="Calibri" w:hAnsi="Garamond" w:cs="Calibri Light"/>
                <w:sz w:val="16"/>
                <w:szCs w:val="18"/>
                <w:lang w:eastAsia="es-ES"/>
              </w:rPr>
            </w:pPr>
            <w:r w:rsidRPr="00622884">
              <w:rPr>
                <w:rFonts w:ascii="Garamond" w:eastAsia="Times New Roman" w:hAnsi="Garamond" w:cs="Times New Roman"/>
                <w:sz w:val="16"/>
                <w:szCs w:val="24"/>
                <w:lang w:eastAsia="es-ES" w:bidi="sq-AL"/>
              </w:rPr>
              <w:t>M46 - Integrimi i hapësirave të gjelbra në zhvillimin e infrastrukturës publike përmes prokurimit publik të gjelbër</w:t>
            </w:r>
          </w:p>
          <w:p w14:paraId="414C5BB4" w14:textId="77777777" w:rsidR="00622884" w:rsidRPr="00622884" w:rsidRDefault="00622884" w:rsidP="00622884">
            <w:pPr>
              <w:spacing w:after="0" w:line="240" w:lineRule="auto"/>
              <w:jc w:val="center"/>
              <w:rPr>
                <w:rFonts w:ascii="Garamond" w:eastAsia="Calibri" w:hAnsi="Garamond" w:cs="Calibri Light"/>
                <w:sz w:val="16"/>
                <w:szCs w:val="18"/>
                <w:lang w:eastAsia="es-ES"/>
              </w:rPr>
            </w:pPr>
            <w:r w:rsidRPr="00622884">
              <w:rPr>
                <w:rFonts w:ascii="Garamond" w:eastAsia="Times New Roman" w:hAnsi="Garamond" w:cs="Times New Roman"/>
                <w:sz w:val="16"/>
                <w:szCs w:val="24"/>
                <w:lang w:eastAsia="es-ES" w:bidi="sq-AL"/>
              </w:rPr>
              <w:t>M47 - Restaurimet e korridoreve të gjelbra: nisma për ripyllëzim dhe gjelbërim urban</w:t>
            </w:r>
          </w:p>
          <w:p w14:paraId="2966EED2" w14:textId="77777777" w:rsidR="00622884" w:rsidRPr="00622884" w:rsidRDefault="00622884" w:rsidP="00622884">
            <w:pPr>
              <w:spacing w:after="0" w:line="240" w:lineRule="auto"/>
              <w:jc w:val="center"/>
              <w:rPr>
                <w:rFonts w:ascii="Garamond" w:eastAsia="Calibri" w:hAnsi="Garamond" w:cs="Calibri Light"/>
                <w:sz w:val="16"/>
                <w:szCs w:val="18"/>
                <w:lang w:eastAsia="es-ES"/>
              </w:rPr>
            </w:pPr>
            <w:r w:rsidRPr="00622884">
              <w:rPr>
                <w:rFonts w:ascii="Garamond" w:eastAsia="Times New Roman" w:hAnsi="Garamond" w:cs="Times New Roman"/>
                <w:sz w:val="16"/>
                <w:szCs w:val="24"/>
                <w:lang w:eastAsia="es-ES" w:bidi="sq-AL"/>
              </w:rPr>
              <w:t>M50 - Rritja e aftësive ripërtëritëse urbane: vlerësimi i hapësirave të gjelbra dhe zgjidhjeve të qëndrueshme të kullimit</w:t>
            </w:r>
          </w:p>
        </w:tc>
      </w:tr>
      <w:tr w:rsidR="00622884" w:rsidRPr="00622884" w14:paraId="160C28B8" w14:textId="77777777" w:rsidTr="00622884">
        <w:tc>
          <w:tcPr>
            <w:tcW w:w="163" w:type="pct"/>
            <w:vAlign w:val="center"/>
          </w:tcPr>
          <w:p w14:paraId="1BDC39D5" w14:textId="77777777" w:rsidR="00622884" w:rsidRPr="00622884" w:rsidRDefault="00622884" w:rsidP="00622884">
            <w:pPr>
              <w:spacing w:after="0" w:line="240" w:lineRule="auto"/>
              <w:jc w:val="center"/>
              <w:rPr>
                <w:rFonts w:ascii="Garamond" w:eastAsia="Calibri" w:hAnsi="Garamond" w:cs="Calibri Light"/>
                <w:b/>
                <w:bCs/>
                <w:sz w:val="16"/>
                <w:szCs w:val="18"/>
                <w:lang w:eastAsia="es-ES"/>
              </w:rPr>
            </w:pPr>
            <w:r w:rsidRPr="00622884">
              <w:rPr>
                <w:rFonts w:ascii="Garamond" w:eastAsia="Times New Roman" w:hAnsi="Garamond" w:cs="Times New Roman"/>
                <w:b/>
                <w:sz w:val="16"/>
                <w:szCs w:val="24"/>
                <w:lang w:eastAsia="es-ES" w:bidi="sq-AL"/>
              </w:rPr>
              <w:t>2</w:t>
            </w:r>
          </w:p>
        </w:tc>
        <w:tc>
          <w:tcPr>
            <w:tcW w:w="818" w:type="pct"/>
            <w:vAlign w:val="center"/>
          </w:tcPr>
          <w:p w14:paraId="6AA360E4" w14:textId="77777777" w:rsidR="00622884" w:rsidRPr="00622884" w:rsidRDefault="00622884" w:rsidP="00622884">
            <w:pPr>
              <w:spacing w:after="0" w:line="240" w:lineRule="auto"/>
              <w:jc w:val="center"/>
              <w:rPr>
                <w:rFonts w:ascii="Garamond" w:eastAsia="Calibri" w:hAnsi="Garamond" w:cs="Calibri Light"/>
                <w:sz w:val="16"/>
                <w:szCs w:val="18"/>
                <w:lang w:eastAsia="es-ES"/>
              </w:rPr>
            </w:pPr>
            <w:r w:rsidRPr="00622884">
              <w:rPr>
                <w:rFonts w:ascii="Garamond" w:eastAsia="Times New Roman" w:hAnsi="Garamond" w:cs="Times New Roman"/>
                <w:sz w:val="16"/>
                <w:szCs w:val="24"/>
                <w:lang w:eastAsia="es-ES" w:bidi="sq-AL"/>
              </w:rPr>
              <w:t>Menaxhimi gjithëpërfshirës i riskut nga përmbytjet në komunitet</w:t>
            </w:r>
          </w:p>
        </w:tc>
        <w:tc>
          <w:tcPr>
            <w:tcW w:w="696" w:type="pct"/>
            <w:vAlign w:val="center"/>
          </w:tcPr>
          <w:p w14:paraId="18C8F3BB" w14:textId="77777777" w:rsidR="00622884" w:rsidRPr="00622884" w:rsidRDefault="00622884" w:rsidP="00622884">
            <w:pPr>
              <w:spacing w:after="0" w:line="240" w:lineRule="auto"/>
              <w:jc w:val="center"/>
              <w:rPr>
                <w:rFonts w:ascii="Garamond" w:eastAsia="Calibri" w:hAnsi="Garamond" w:cs="Calibri Light"/>
                <w:sz w:val="16"/>
                <w:szCs w:val="18"/>
                <w:lang w:eastAsia="es-ES"/>
              </w:rPr>
            </w:pPr>
            <w:r w:rsidRPr="00622884">
              <w:rPr>
                <w:rFonts w:ascii="Garamond" w:eastAsia="Times New Roman" w:hAnsi="Garamond" w:cs="Times New Roman"/>
                <w:sz w:val="16"/>
                <w:szCs w:val="24"/>
                <w:lang w:eastAsia="es-ES" w:bidi="sq-AL"/>
              </w:rPr>
              <w:t>Familjet me kryefamiljare femra janë shumë të ekspozuara</w:t>
            </w:r>
          </w:p>
        </w:tc>
        <w:tc>
          <w:tcPr>
            <w:tcW w:w="921" w:type="pct"/>
            <w:vAlign w:val="center"/>
          </w:tcPr>
          <w:p w14:paraId="703B0BCC" w14:textId="77777777" w:rsidR="00622884" w:rsidRPr="00622884" w:rsidRDefault="00622884" w:rsidP="00622884">
            <w:pPr>
              <w:spacing w:after="0" w:line="240" w:lineRule="auto"/>
              <w:jc w:val="center"/>
              <w:rPr>
                <w:rFonts w:ascii="Garamond" w:eastAsia="Calibri" w:hAnsi="Garamond" w:cs="Calibri Light"/>
                <w:sz w:val="16"/>
                <w:szCs w:val="18"/>
                <w:lang w:eastAsia="es-ES"/>
              </w:rPr>
            </w:pPr>
            <w:r w:rsidRPr="00622884">
              <w:rPr>
                <w:rFonts w:ascii="Garamond" w:eastAsia="Times New Roman" w:hAnsi="Garamond" w:cs="Times New Roman"/>
                <w:sz w:val="16"/>
                <w:szCs w:val="24"/>
                <w:lang w:eastAsia="es-ES" w:bidi="sq-AL"/>
              </w:rPr>
              <w:t>Grupe të udhëhequra nga gratë për përgatitje, simulime, kujdes për ligatinat/brigjet e lumenjve</w:t>
            </w:r>
          </w:p>
        </w:tc>
        <w:tc>
          <w:tcPr>
            <w:tcW w:w="642" w:type="pct"/>
            <w:vAlign w:val="center"/>
          </w:tcPr>
          <w:p w14:paraId="24407A29" w14:textId="77777777" w:rsidR="00622884" w:rsidRPr="00622884" w:rsidRDefault="00622884" w:rsidP="00622884">
            <w:pPr>
              <w:spacing w:after="0" w:line="240" w:lineRule="auto"/>
              <w:jc w:val="center"/>
              <w:rPr>
                <w:rFonts w:ascii="Garamond" w:eastAsia="Calibri" w:hAnsi="Garamond" w:cs="Calibri Light"/>
                <w:sz w:val="16"/>
                <w:szCs w:val="18"/>
                <w:lang w:eastAsia="es-ES"/>
              </w:rPr>
            </w:pPr>
            <w:r w:rsidRPr="00622884">
              <w:rPr>
                <w:rFonts w:ascii="Garamond" w:eastAsia="Times New Roman" w:hAnsi="Garamond" w:cs="Times New Roman"/>
                <w:sz w:val="16"/>
                <w:szCs w:val="24"/>
                <w:lang w:eastAsia="es-ES" w:bidi="sq-AL"/>
              </w:rPr>
              <w:t>Familje me kryefamiljare gra dhe familje të cenueshme; shoqata vendore të grave</w:t>
            </w:r>
          </w:p>
        </w:tc>
        <w:tc>
          <w:tcPr>
            <w:tcW w:w="892" w:type="pct"/>
            <w:vAlign w:val="center"/>
          </w:tcPr>
          <w:p w14:paraId="589B43D8" w14:textId="77777777" w:rsidR="00622884" w:rsidRPr="00622884" w:rsidRDefault="00622884" w:rsidP="00622884">
            <w:pPr>
              <w:spacing w:after="0" w:line="240" w:lineRule="auto"/>
              <w:jc w:val="center"/>
              <w:rPr>
                <w:rFonts w:ascii="Garamond" w:eastAsia="Calibri" w:hAnsi="Garamond" w:cs="Calibri Light"/>
                <w:sz w:val="16"/>
                <w:szCs w:val="18"/>
                <w:lang w:eastAsia="es-ES"/>
              </w:rPr>
            </w:pPr>
            <w:r w:rsidRPr="00622884">
              <w:rPr>
                <w:rFonts w:ascii="Garamond" w:eastAsia="Times New Roman" w:hAnsi="Garamond" w:cs="Times New Roman"/>
                <w:sz w:val="16"/>
                <w:szCs w:val="24"/>
                <w:lang w:eastAsia="es-ES" w:bidi="sq-AL"/>
              </w:rPr>
              <w:t># komunitete të prekura; % e grave në simulime; reduktim i kohës së evakuimit (sipas gjinisë)</w:t>
            </w:r>
          </w:p>
        </w:tc>
        <w:tc>
          <w:tcPr>
            <w:tcW w:w="868" w:type="pct"/>
            <w:vAlign w:val="center"/>
          </w:tcPr>
          <w:p w14:paraId="5786A436" w14:textId="77777777" w:rsidR="00622884" w:rsidRPr="00622884" w:rsidRDefault="00622884" w:rsidP="00622884">
            <w:pPr>
              <w:spacing w:after="0" w:line="240" w:lineRule="auto"/>
              <w:jc w:val="center"/>
              <w:rPr>
                <w:rFonts w:ascii="Garamond" w:eastAsia="Calibri" w:hAnsi="Garamond" w:cs="Calibri Light"/>
                <w:sz w:val="16"/>
                <w:szCs w:val="18"/>
                <w:lang w:eastAsia="es-ES"/>
              </w:rPr>
            </w:pPr>
            <w:r w:rsidRPr="00622884">
              <w:rPr>
                <w:rFonts w:ascii="Garamond" w:eastAsia="Times New Roman" w:hAnsi="Garamond" w:cs="Times New Roman"/>
                <w:sz w:val="16"/>
                <w:szCs w:val="24"/>
                <w:lang w:eastAsia="es-ES" w:bidi="sq-AL"/>
              </w:rPr>
              <w:t>M49- Planet e emergjencës në raste përmbytjesh</w:t>
            </w:r>
          </w:p>
          <w:p w14:paraId="6356974A" w14:textId="77777777" w:rsidR="00622884" w:rsidRPr="00622884" w:rsidRDefault="00622884" w:rsidP="00622884">
            <w:pPr>
              <w:spacing w:after="0" w:line="240" w:lineRule="auto"/>
              <w:jc w:val="center"/>
              <w:rPr>
                <w:rFonts w:ascii="Garamond" w:eastAsia="Calibri" w:hAnsi="Garamond" w:cs="Calibri Light"/>
                <w:sz w:val="16"/>
                <w:szCs w:val="18"/>
                <w:lang w:eastAsia="es-ES"/>
              </w:rPr>
            </w:pPr>
            <w:r w:rsidRPr="00622884">
              <w:rPr>
                <w:rFonts w:ascii="Garamond" w:eastAsia="Times New Roman" w:hAnsi="Garamond" w:cs="Times New Roman"/>
                <w:sz w:val="16"/>
                <w:szCs w:val="24"/>
                <w:lang w:eastAsia="es-ES" w:bidi="sq-AL"/>
              </w:rPr>
              <w:t>M50 - Rritja e aftësive ripërtëritëse urbane: vlerësimi i hapësirave të gjelbra dhe zgjidhjeve të qëndrueshme të kullimit</w:t>
            </w:r>
          </w:p>
          <w:p w14:paraId="0BF6CC66" w14:textId="77777777" w:rsidR="00622884" w:rsidRPr="00622884" w:rsidRDefault="00622884" w:rsidP="00622884">
            <w:pPr>
              <w:spacing w:after="0" w:line="240" w:lineRule="auto"/>
              <w:jc w:val="center"/>
              <w:rPr>
                <w:rFonts w:ascii="Garamond" w:eastAsia="Calibri" w:hAnsi="Garamond" w:cs="Calibri Light"/>
                <w:sz w:val="16"/>
                <w:szCs w:val="18"/>
                <w:lang w:eastAsia="es-ES"/>
              </w:rPr>
            </w:pPr>
            <w:r w:rsidRPr="00622884">
              <w:rPr>
                <w:rFonts w:ascii="Garamond" w:eastAsia="Times New Roman" w:hAnsi="Garamond" w:cs="Times New Roman"/>
                <w:sz w:val="16"/>
                <w:szCs w:val="24"/>
                <w:lang w:eastAsia="es-ES" w:bidi="sq-AL"/>
              </w:rPr>
              <w:t>M51 - Projektim i qëndrueshëm urban: ruajtja dhe restaurimi i zonave të përshkueshme dhe të infiltrimit</w:t>
            </w:r>
          </w:p>
        </w:tc>
      </w:tr>
      <w:tr w:rsidR="00622884" w:rsidRPr="00622884" w14:paraId="56691931" w14:textId="77777777" w:rsidTr="00622884">
        <w:tc>
          <w:tcPr>
            <w:tcW w:w="163" w:type="pct"/>
            <w:vAlign w:val="center"/>
          </w:tcPr>
          <w:p w14:paraId="6B82CF24" w14:textId="77777777" w:rsidR="00622884" w:rsidRPr="00622884" w:rsidRDefault="00622884" w:rsidP="00622884">
            <w:pPr>
              <w:spacing w:after="0" w:line="240" w:lineRule="auto"/>
              <w:jc w:val="center"/>
              <w:rPr>
                <w:rFonts w:ascii="Garamond" w:eastAsia="Calibri" w:hAnsi="Garamond" w:cs="Calibri Light"/>
                <w:b/>
                <w:bCs/>
                <w:sz w:val="16"/>
                <w:szCs w:val="18"/>
                <w:lang w:eastAsia="es-ES"/>
              </w:rPr>
            </w:pPr>
            <w:r w:rsidRPr="00622884">
              <w:rPr>
                <w:rFonts w:ascii="Garamond" w:eastAsia="Times New Roman" w:hAnsi="Garamond" w:cs="Times New Roman"/>
                <w:b/>
                <w:sz w:val="16"/>
                <w:szCs w:val="24"/>
                <w:lang w:eastAsia="es-ES" w:bidi="sq-AL"/>
              </w:rPr>
              <w:t>3</w:t>
            </w:r>
          </w:p>
        </w:tc>
        <w:tc>
          <w:tcPr>
            <w:tcW w:w="818" w:type="pct"/>
            <w:vAlign w:val="center"/>
          </w:tcPr>
          <w:p w14:paraId="1451900B" w14:textId="77777777" w:rsidR="00622884" w:rsidRPr="00622884" w:rsidRDefault="00622884" w:rsidP="00622884">
            <w:pPr>
              <w:spacing w:after="0" w:line="240" w:lineRule="auto"/>
              <w:jc w:val="center"/>
              <w:rPr>
                <w:rFonts w:ascii="Garamond" w:eastAsia="Calibri" w:hAnsi="Garamond" w:cs="Calibri Light"/>
                <w:sz w:val="16"/>
                <w:szCs w:val="18"/>
                <w:lang w:eastAsia="es-ES"/>
              </w:rPr>
            </w:pPr>
            <w:r w:rsidRPr="00622884">
              <w:rPr>
                <w:rFonts w:ascii="Garamond" w:eastAsia="Times New Roman" w:hAnsi="Garamond" w:cs="Times New Roman"/>
                <w:sz w:val="16"/>
                <w:szCs w:val="24"/>
                <w:lang w:eastAsia="es-ES" w:bidi="sq-AL"/>
              </w:rPr>
              <w:t>Gratë në planifikimin e përshtatjes së qytetit</w:t>
            </w:r>
          </w:p>
        </w:tc>
        <w:tc>
          <w:tcPr>
            <w:tcW w:w="696" w:type="pct"/>
            <w:vAlign w:val="center"/>
          </w:tcPr>
          <w:p w14:paraId="180FA222" w14:textId="77777777" w:rsidR="00622884" w:rsidRPr="00622884" w:rsidRDefault="00622884" w:rsidP="00622884">
            <w:pPr>
              <w:spacing w:after="0" w:line="240" w:lineRule="auto"/>
              <w:jc w:val="center"/>
              <w:rPr>
                <w:rFonts w:ascii="Garamond" w:eastAsia="Calibri" w:hAnsi="Garamond" w:cs="Calibri Light"/>
                <w:sz w:val="16"/>
                <w:szCs w:val="18"/>
                <w:lang w:eastAsia="es-ES"/>
              </w:rPr>
            </w:pPr>
            <w:r w:rsidRPr="00622884">
              <w:rPr>
                <w:rFonts w:ascii="Garamond" w:eastAsia="Times New Roman" w:hAnsi="Garamond" w:cs="Times New Roman"/>
                <w:sz w:val="16"/>
                <w:szCs w:val="24"/>
                <w:lang w:eastAsia="es-ES" w:bidi="sq-AL"/>
              </w:rPr>
              <w:t>Nënpërfaqësim në planifikimin vendor</w:t>
            </w:r>
          </w:p>
        </w:tc>
        <w:tc>
          <w:tcPr>
            <w:tcW w:w="921" w:type="pct"/>
            <w:vAlign w:val="center"/>
          </w:tcPr>
          <w:p w14:paraId="2ACBA54E" w14:textId="77777777" w:rsidR="00622884" w:rsidRPr="00622884" w:rsidRDefault="00622884" w:rsidP="00622884">
            <w:pPr>
              <w:spacing w:after="0" w:line="240" w:lineRule="auto"/>
              <w:jc w:val="center"/>
              <w:rPr>
                <w:rFonts w:ascii="Garamond" w:eastAsia="Calibri" w:hAnsi="Garamond" w:cs="Calibri Light"/>
                <w:sz w:val="16"/>
                <w:szCs w:val="18"/>
                <w:lang w:eastAsia="es-ES"/>
              </w:rPr>
            </w:pPr>
            <w:r w:rsidRPr="00622884">
              <w:rPr>
                <w:rFonts w:ascii="Garamond" w:eastAsia="Times New Roman" w:hAnsi="Garamond" w:cs="Times New Roman"/>
                <w:sz w:val="16"/>
                <w:szCs w:val="24"/>
                <w:lang w:eastAsia="es-ES" w:bidi="sq-AL"/>
              </w:rPr>
              <w:t>Vende të rezervuara dhe mentorim për gratë dhe OSHC-të</w:t>
            </w:r>
          </w:p>
        </w:tc>
        <w:tc>
          <w:tcPr>
            <w:tcW w:w="642" w:type="pct"/>
            <w:vAlign w:val="center"/>
          </w:tcPr>
          <w:p w14:paraId="61916897" w14:textId="77777777" w:rsidR="00622884" w:rsidRPr="00622884" w:rsidRDefault="00622884" w:rsidP="00622884">
            <w:pPr>
              <w:spacing w:after="0" w:line="240" w:lineRule="auto"/>
              <w:jc w:val="center"/>
              <w:rPr>
                <w:rFonts w:ascii="Garamond" w:eastAsia="Calibri" w:hAnsi="Garamond" w:cs="Calibri Light"/>
                <w:sz w:val="16"/>
                <w:szCs w:val="18"/>
                <w:lang w:eastAsia="es-ES"/>
              </w:rPr>
            </w:pPr>
            <w:r w:rsidRPr="00622884">
              <w:rPr>
                <w:rFonts w:ascii="Garamond" w:eastAsia="Times New Roman" w:hAnsi="Garamond" w:cs="Times New Roman"/>
                <w:sz w:val="16"/>
                <w:szCs w:val="24"/>
                <w:lang w:eastAsia="es-ES" w:bidi="sq-AL"/>
              </w:rPr>
              <w:t>Stafi bashkiak gra; OSHC-të e drejtuara nga gratë</w:t>
            </w:r>
          </w:p>
        </w:tc>
        <w:tc>
          <w:tcPr>
            <w:tcW w:w="892" w:type="pct"/>
            <w:vAlign w:val="center"/>
          </w:tcPr>
          <w:p w14:paraId="22665F18" w14:textId="77777777" w:rsidR="00622884" w:rsidRPr="00622884" w:rsidRDefault="00622884" w:rsidP="00622884">
            <w:pPr>
              <w:spacing w:after="0" w:line="240" w:lineRule="auto"/>
              <w:jc w:val="center"/>
              <w:rPr>
                <w:rFonts w:ascii="Garamond" w:eastAsia="Calibri" w:hAnsi="Garamond" w:cs="Calibri Light"/>
                <w:sz w:val="16"/>
                <w:szCs w:val="18"/>
                <w:lang w:eastAsia="es-ES"/>
              </w:rPr>
            </w:pPr>
            <w:r w:rsidRPr="00622884">
              <w:rPr>
                <w:rFonts w:ascii="Garamond" w:eastAsia="Times New Roman" w:hAnsi="Garamond" w:cs="Times New Roman"/>
                <w:sz w:val="16"/>
                <w:szCs w:val="24"/>
                <w:lang w:eastAsia="es-ES" w:bidi="sq-AL"/>
              </w:rPr>
              <w:t>Politika e kuotave e miratuar; % e takimeve planifikuese me ≥40% gra; # plane që pasqyrojnë nevojat e grave</w:t>
            </w:r>
          </w:p>
        </w:tc>
        <w:tc>
          <w:tcPr>
            <w:tcW w:w="868" w:type="pct"/>
            <w:vAlign w:val="center"/>
          </w:tcPr>
          <w:p w14:paraId="4C5AE752" w14:textId="77777777" w:rsidR="00622884" w:rsidRPr="00622884" w:rsidRDefault="00622884" w:rsidP="00622884">
            <w:pPr>
              <w:spacing w:after="0" w:line="240" w:lineRule="auto"/>
              <w:jc w:val="center"/>
              <w:rPr>
                <w:rFonts w:ascii="Garamond" w:eastAsia="Calibri" w:hAnsi="Garamond" w:cs="Calibri Light"/>
                <w:sz w:val="16"/>
                <w:szCs w:val="18"/>
                <w:lang w:eastAsia="es-ES"/>
              </w:rPr>
            </w:pPr>
            <w:r w:rsidRPr="00622884">
              <w:rPr>
                <w:rFonts w:ascii="Garamond" w:eastAsia="Times New Roman" w:hAnsi="Garamond" w:cs="Times New Roman"/>
                <w:sz w:val="16"/>
                <w:szCs w:val="24"/>
                <w:lang w:eastAsia="es-ES" w:bidi="sq-AL"/>
              </w:rPr>
              <w:t>Ndërsektoriale</w:t>
            </w:r>
          </w:p>
        </w:tc>
      </w:tr>
      <w:tr w:rsidR="00622884" w:rsidRPr="00622884" w14:paraId="72D4B052" w14:textId="77777777" w:rsidTr="00622884">
        <w:tc>
          <w:tcPr>
            <w:tcW w:w="163" w:type="pct"/>
            <w:vAlign w:val="center"/>
          </w:tcPr>
          <w:p w14:paraId="18F855EE" w14:textId="77777777" w:rsidR="00622884" w:rsidRPr="00622884" w:rsidRDefault="00622884" w:rsidP="00622884">
            <w:pPr>
              <w:spacing w:after="0" w:line="240" w:lineRule="auto"/>
              <w:jc w:val="center"/>
              <w:rPr>
                <w:rFonts w:ascii="Garamond" w:eastAsia="Calibri" w:hAnsi="Garamond" w:cs="Calibri Light"/>
                <w:b/>
                <w:bCs/>
                <w:sz w:val="16"/>
                <w:szCs w:val="18"/>
                <w:lang w:eastAsia="es-ES"/>
              </w:rPr>
            </w:pPr>
            <w:r w:rsidRPr="00622884">
              <w:rPr>
                <w:rFonts w:ascii="Garamond" w:eastAsia="Times New Roman" w:hAnsi="Garamond" w:cs="Times New Roman"/>
                <w:b/>
                <w:sz w:val="16"/>
                <w:szCs w:val="24"/>
                <w:lang w:eastAsia="es-ES" w:bidi="sq-AL"/>
              </w:rPr>
              <w:t>4</w:t>
            </w:r>
          </w:p>
        </w:tc>
        <w:tc>
          <w:tcPr>
            <w:tcW w:w="818" w:type="pct"/>
            <w:vAlign w:val="center"/>
          </w:tcPr>
          <w:p w14:paraId="0A0538DF" w14:textId="77777777" w:rsidR="00622884" w:rsidRPr="00622884" w:rsidRDefault="00622884" w:rsidP="00622884">
            <w:pPr>
              <w:spacing w:after="0" w:line="240" w:lineRule="auto"/>
              <w:jc w:val="center"/>
              <w:rPr>
                <w:rFonts w:ascii="Garamond" w:eastAsia="Calibri" w:hAnsi="Garamond" w:cs="Calibri Light"/>
                <w:sz w:val="16"/>
                <w:szCs w:val="18"/>
                <w:lang w:eastAsia="es-ES"/>
              </w:rPr>
            </w:pPr>
            <w:r w:rsidRPr="00622884">
              <w:rPr>
                <w:rFonts w:ascii="Garamond" w:eastAsia="Times New Roman" w:hAnsi="Garamond" w:cs="Times New Roman"/>
                <w:sz w:val="16"/>
                <w:szCs w:val="24"/>
                <w:lang w:eastAsia="es-ES" w:bidi="sq-AL"/>
              </w:rPr>
              <w:t>Mbështetje për strehim të qëndrueshëm për gratë</w:t>
            </w:r>
          </w:p>
        </w:tc>
        <w:tc>
          <w:tcPr>
            <w:tcW w:w="696" w:type="pct"/>
            <w:vAlign w:val="center"/>
          </w:tcPr>
          <w:p w14:paraId="05637957" w14:textId="77777777" w:rsidR="00622884" w:rsidRPr="00622884" w:rsidRDefault="00622884" w:rsidP="00622884">
            <w:pPr>
              <w:spacing w:after="0" w:line="240" w:lineRule="auto"/>
              <w:jc w:val="center"/>
              <w:rPr>
                <w:rFonts w:ascii="Garamond" w:eastAsia="Calibri" w:hAnsi="Garamond" w:cs="Calibri Light"/>
                <w:sz w:val="16"/>
                <w:szCs w:val="18"/>
                <w:lang w:eastAsia="es-ES"/>
              </w:rPr>
            </w:pPr>
            <w:r w:rsidRPr="00622884">
              <w:rPr>
                <w:rFonts w:ascii="Garamond" w:eastAsia="Times New Roman" w:hAnsi="Garamond" w:cs="Times New Roman"/>
                <w:sz w:val="16"/>
                <w:szCs w:val="24"/>
                <w:lang w:eastAsia="es-ES" w:bidi="sq-AL"/>
              </w:rPr>
              <w:t>Cenueshmëria e familjeve me kryefamiljare femra dhe të ardhura të ulëta</w:t>
            </w:r>
          </w:p>
        </w:tc>
        <w:tc>
          <w:tcPr>
            <w:tcW w:w="921" w:type="pct"/>
            <w:vAlign w:val="center"/>
          </w:tcPr>
          <w:p w14:paraId="5432A62B" w14:textId="77777777" w:rsidR="00622884" w:rsidRPr="00622884" w:rsidRDefault="00622884" w:rsidP="00622884">
            <w:pPr>
              <w:spacing w:after="0" w:line="240" w:lineRule="auto"/>
              <w:jc w:val="center"/>
              <w:rPr>
                <w:rFonts w:ascii="Garamond" w:eastAsia="Calibri" w:hAnsi="Garamond" w:cs="Calibri Light"/>
                <w:sz w:val="16"/>
                <w:szCs w:val="18"/>
                <w:lang w:eastAsia="es-ES"/>
              </w:rPr>
            </w:pPr>
            <w:r w:rsidRPr="00622884">
              <w:rPr>
                <w:rFonts w:ascii="Garamond" w:eastAsia="Times New Roman" w:hAnsi="Garamond" w:cs="Times New Roman"/>
                <w:sz w:val="16"/>
                <w:szCs w:val="24"/>
                <w:lang w:eastAsia="es-ES" w:bidi="sq-AL"/>
              </w:rPr>
              <w:t>Grante/kuponë për hidroizolim, ventilim, mbrojtje nga përmbytjet</w:t>
            </w:r>
          </w:p>
        </w:tc>
        <w:tc>
          <w:tcPr>
            <w:tcW w:w="642" w:type="pct"/>
            <w:vAlign w:val="center"/>
          </w:tcPr>
          <w:p w14:paraId="361D95DD" w14:textId="77777777" w:rsidR="00622884" w:rsidRPr="00622884" w:rsidRDefault="00622884" w:rsidP="00622884">
            <w:pPr>
              <w:spacing w:after="0" w:line="240" w:lineRule="auto"/>
              <w:jc w:val="center"/>
              <w:rPr>
                <w:rFonts w:ascii="Garamond" w:eastAsia="Calibri" w:hAnsi="Garamond" w:cs="Calibri Light"/>
                <w:sz w:val="16"/>
                <w:szCs w:val="18"/>
                <w:lang w:eastAsia="es-ES"/>
              </w:rPr>
            </w:pPr>
            <w:r w:rsidRPr="00622884">
              <w:rPr>
                <w:rFonts w:ascii="Garamond" w:eastAsia="Times New Roman" w:hAnsi="Garamond" w:cs="Times New Roman"/>
                <w:sz w:val="16"/>
                <w:szCs w:val="24"/>
                <w:lang w:eastAsia="es-ES" w:bidi="sq-AL"/>
              </w:rPr>
              <w:t>Familje me kryefamiljare femra dhe me të ardhura të ulëta</w:t>
            </w:r>
          </w:p>
        </w:tc>
        <w:tc>
          <w:tcPr>
            <w:tcW w:w="892" w:type="pct"/>
            <w:vAlign w:val="center"/>
          </w:tcPr>
          <w:p w14:paraId="280B1BC0" w14:textId="77777777" w:rsidR="00622884" w:rsidRPr="00622884" w:rsidRDefault="00622884" w:rsidP="00622884">
            <w:pPr>
              <w:spacing w:after="0" w:line="240" w:lineRule="auto"/>
              <w:jc w:val="center"/>
              <w:rPr>
                <w:rFonts w:ascii="Garamond" w:eastAsia="Calibri" w:hAnsi="Garamond" w:cs="Calibri Light"/>
                <w:sz w:val="16"/>
                <w:szCs w:val="18"/>
                <w:lang w:eastAsia="es-ES"/>
              </w:rPr>
            </w:pPr>
            <w:r w:rsidRPr="00622884">
              <w:rPr>
                <w:rFonts w:ascii="Garamond" w:eastAsia="Times New Roman" w:hAnsi="Garamond" w:cs="Times New Roman"/>
                <w:sz w:val="16"/>
                <w:szCs w:val="24"/>
                <w:lang w:eastAsia="es-ES" w:bidi="sq-AL"/>
              </w:rPr>
              <w:t># familje të mbështetura me kryefamiljare femra; % ulje e humbjeve; rritja e aftësive ripërtëritëse ndaj përmbytjeve/përmirësimi i energjisë</w:t>
            </w:r>
          </w:p>
        </w:tc>
        <w:tc>
          <w:tcPr>
            <w:tcW w:w="868" w:type="pct"/>
            <w:vAlign w:val="center"/>
          </w:tcPr>
          <w:p w14:paraId="4D344DC5" w14:textId="77777777" w:rsidR="00622884" w:rsidRPr="00622884" w:rsidRDefault="00622884" w:rsidP="00622884">
            <w:pPr>
              <w:spacing w:after="0" w:line="240" w:lineRule="auto"/>
              <w:jc w:val="center"/>
              <w:rPr>
                <w:rFonts w:ascii="Garamond" w:eastAsia="Calibri" w:hAnsi="Garamond" w:cs="Calibri Light"/>
                <w:sz w:val="16"/>
                <w:szCs w:val="18"/>
                <w:lang w:eastAsia="es-ES"/>
              </w:rPr>
            </w:pPr>
            <w:r w:rsidRPr="00622884">
              <w:rPr>
                <w:rFonts w:ascii="Garamond" w:eastAsia="Times New Roman" w:hAnsi="Garamond" w:cs="Times New Roman"/>
                <w:sz w:val="16"/>
                <w:szCs w:val="24"/>
                <w:lang w:eastAsia="es-ES" w:bidi="sq-AL"/>
              </w:rPr>
              <w:t>M45 - Skemat e incentivave për të rritur aftësitë ripërtëritëse të ndërtesave ndaj temperaturave ekstreme</w:t>
            </w:r>
          </w:p>
          <w:p w14:paraId="6A98612B" w14:textId="77777777" w:rsidR="00622884" w:rsidRPr="00622884" w:rsidRDefault="00622884" w:rsidP="00622884">
            <w:pPr>
              <w:spacing w:after="0" w:line="240" w:lineRule="auto"/>
              <w:jc w:val="center"/>
              <w:rPr>
                <w:rFonts w:ascii="Garamond" w:eastAsia="Calibri" w:hAnsi="Garamond" w:cs="Calibri Light"/>
                <w:sz w:val="16"/>
                <w:szCs w:val="18"/>
                <w:lang w:eastAsia="es-ES"/>
              </w:rPr>
            </w:pPr>
            <w:r w:rsidRPr="00622884">
              <w:rPr>
                <w:rFonts w:ascii="Garamond" w:eastAsia="Times New Roman" w:hAnsi="Garamond" w:cs="Times New Roman"/>
                <w:sz w:val="16"/>
                <w:szCs w:val="24"/>
                <w:lang w:eastAsia="es-ES" w:bidi="sq-AL"/>
              </w:rPr>
              <w:t>M48 - Vlerësimi i riskut klimatik për Durrësin, Elbasanin, Fierin dhe më gjerë: Krijimi i një harte gjithëpërfshirëse të cenueshmërisë</w:t>
            </w:r>
          </w:p>
        </w:tc>
      </w:tr>
    </w:tbl>
    <w:p w14:paraId="647D23BC"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bidi="sq-AL"/>
        </w:rPr>
      </w:pPr>
    </w:p>
    <w:p w14:paraId="2FD0DD82" w14:textId="77777777" w:rsidR="00622884" w:rsidRPr="00622884" w:rsidRDefault="00622884" w:rsidP="00622884">
      <w:pPr>
        <w:tabs>
          <w:tab w:val="left" w:pos="5325"/>
        </w:tabs>
        <w:spacing w:after="0" w:line="240" w:lineRule="auto"/>
        <w:ind w:firstLine="284"/>
        <w:rPr>
          <w:rFonts w:ascii="Garamond" w:eastAsia="Open Sans Light" w:hAnsi="Garamond" w:cs="Calibri Light"/>
          <w:b/>
          <w:bCs/>
          <w:sz w:val="24"/>
          <w:szCs w:val="24"/>
          <w:lang w:eastAsia="en-US"/>
        </w:rPr>
      </w:pPr>
      <w:r w:rsidRPr="00622884">
        <w:rPr>
          <w:rFonts w:ascii="Garamond" w:eastAsia="Calibri" w:hAnsi="Garamond" w:cs="Times New Roman"/>
          <w:b/>
          <w:sz w:val="24"/>
          <w:szCs w:val="24"/>
          <w:lang w:eastAsia="en-US" w:bidi="sq-AL"/>
        </w:rPr>
        <w:t>Energjia</w:t>
      </w:r>
    </w:p>
    <w:tbl>
      <w:tblPr>
        <w:tblW w:w="5583" w:type="pct"/>
        <w:tblInd w:w="-714" w:type="dxa"/>
        <w:tblBorders>
          <w:top w:val="single" w:sz="4" w:space="0" w:color="1D3C5A"/>
          <w:left w:val="single" w:sz="4" w:space="0" w:color="1D3C5A"/>
          <w:bottom w:val="single" w:sz="4" w:space="0" w:color="1D3C5A"/>
          <w:right w:val="single" w:sz="4" w:space="0" w:color="1D3C5A"/>
          <w:insideH w:val="single" w:sz="4" w:space="0" w:color="1D3C5A"/>
          <w:insideV w:val="single" w:sz="4" w:space="0" w:color="1D3C5A"/>
        </w:tblBorders>
        <w:tblLook w:val="04A0" w:firstRow="1" w:lastRow="0" w:firstColumn="1" w:lastColumn="0" w:noHBand="0" w:noVBand="1"/>
      </w:tblPr>
      <w:tblGrid>
        <w:gridCol w:w="448"/>
        <w:gridCol w:w="1678"/>
        <w:gridCol w:w="1425"/>
        <w:gridCol w:w="1891"/>
        <w:gridCol w:w="1314"/>
        <w:gridCol w:w="1832"/>
        <w:gridCol w:w="1782"/>
      </w:tblGrid>
      <w:tr w:rsidR="00622884" w:rsidRPr="00622884" w14:paraId="03420AC0" w14:textId="77777777" w:rsidTr="00622884">
        <w:trPr>
          <w:trHeight w:val="138"/>
          <w:tblHeader/>
        </w:trPr>
        <w:tc>
          <w:tcPr>
            <w:tcW w:w="163" w:type="pct"/>
            <w:shd w:val="clear" w:color="auto" w:fill="215A5C"/>
            <w:vAlign w:val="center"/>
          </w:tcPr>
          <w:p w14:paraId="7ACE8184" w14:textId="77777777" w:rsidR="00622884" w:rsidRPr="00622884" w:rsidRDefault="00622884" w:rsidP="00622884">
            <w:pPr>
              <w:shd w:val="clear" w:color="auto" w:fill="215A5C"/>
              <w:spacing w:after="0" w:line="240" w:lineRule="auto"/>
              <w:jc w:val="center"/>
              <w:rPr>
                <w:rFonts w:ascii="Garamond" w:eastAsia="SimSun" w:hAnsi="Garamond" w:cs="Calibri Light"/>
                <w:b/>
                <w:bCs/>
                <w:sz w:val="16"/>
                <w:szCs w:val="18"/>
                <w:lang w:eastAsia="es-ES"/>
              </w:rPr>
            </w:pPr>
            <w:r w:rsidRPr="00622884">
              <w:rPr>
                <w:rFonts w:ascii="Garamond" w:eastAsia="Times New Roman" w:hAnsi="Garamond" w:cs="Times New Roman"/>
                <w:b/>
                <w:sz w:val="16"/>
                <w:szCs w:val="24"/>
                <w:lang w:eastAsia="es-ES" w:bidi="sq-AL"/>
              </w:rPr>
              <w:t>Nr.</w:t>
            </w:r>
          </w:p>
        </w:tc>
        <w:tc>
          <w:tcPr>
            <w:tcW w:w="818" w:type="pct"/>
            <w:shd w:val="clear" w:color="auto" w:fill="215A5C"/>
            <w:vAlign w:val="center"/>
          </w:tcPr>
          <w:p w14:paraId="5F4B951F" w14:textId="77777777" w:rsidR="00622884" w:rsidRPr="00622884" w:rsidRDefault="00622884" w:rsidP="00622884">
            <w:pPr>
              <w:shd w:val="clear" w:color="auto" w:fill="215A5C"/>
              <w:spacing w:after="0" w:line="240" w:lineRule="auto"/>
              <w:jc w:val="center"/>
              <w:rPr>
                <w:rFonts w:ascii="Garamond" w:eastAsia="SimSun" w:hAnsi="Garamond" w:cs="Calibri Light"/>
                <w:b/>
                <w:bCs/>
                <w:sz w:val="16"/>
                <w:szCs w:val="18"/>
                <w:lang w:eastAsia="es-ES"/>
              </w:rPr>
            </w:pPr>
            <w:r w:rsidRPr="00622884">
              <w:rPr>
                <w:rFonts w:ascii="Garamond" w:eastAsia="Times New Roman" w:hAnsi="Garamond" w:cs="Times New Roman"/>
                <w:b/>
                <w:sz w:val="16"/>
                <w:szCs w:val="24"/>
                <w:lang w:eastAsia="es-ES" w:bidi="sq-AL"/>
              </w:rPr>
              <w:t>Veprimi</w:t>
            </w:r>
          </w:p>
        </w:tc>
        <w:tc>
          <w:tcPr>
            <w:tcW w:w="696" w:type="pct"/>
            <w:shd w:val="clear" w:color="auto" w:fill="215A5C"/>
            <w:vAlign w:val="center"/>
          </w:tcPr>
          <w:p w14:paraId="71A49CF3" w14:textId="77777777" w:rsidR="00622884" w:rsidRPr="00622884" w:rsidRDefault="00622884" w:rsidP="00622884">
            <w:pPr>
              <w:shd w:val="clear" w:color="auto" w:fill="215A5C"/>
              <w:spacing w:after="0" w:line="240" w:lineRule="auto"/>
              <w:jc w:val="center"/>
              <w:rPr>
                <w:rFonts w:ascii="Garamond" w:eastAsia="SimSun" w:hAnsi="Garamond" w:cs="Calibri Light"/>
                <w:b/>
                <w:bCs/>
                <w:sz w:val="16"/>
                <w:szCs w:val="18"/>
                <w:lang w:eastAsia="es-ES"/>
              </w:rPr>
            </w:pPr>
            <w:r w:rsidRPr="00622884">
              <w:rPr>
                <w:rFonts w:ascii="Garamond" w:eastAsia="Times New Roman" w:hAnsi="Garamond" w:cs="Times New Roman"/>
                <w:b/>
                <w:sz w:val="16"/>
                <w:szCs w:val="24"/>
                <w:lang w:eastAsia="es-ES" w:bidi="sq-AL"/>
              </w:rPr>
              <w:t>Sfida e trajtuar</w:t>
            </w:r>
          </w:p>
        </w:tc>
        <w:tc>
          <w:tcPr>
            <w:tcW w:w="921" w:type="pct"/>
            <w:shd w:val="clear" w:color="auto" w:fill="215A5C"/>
            <w:vAlign w:val="center"/>
          </w:tcPr>
          <w:p w14:paraId="53261C8C" w14:textId="77777777" w:rsidR="00622884" w:rsidRPr="00622884" w:rsidRDefault="00622884" w:rsidP="00622884">
            <w:pPr>
              <w:shd w:val="clear" w:color="auto" w:fill="215A5C"/>
              <w:spacing w:after="0" w:line="240" w:lineRule="auto"/>
              <w:jc w:val="center"/>
              <w:rPr>
                <w:rFonts w:ascii="Garamond" w:eastAsia="SimSun" w:hAnsi="Garamond" w:cs="Calibri Light"/>
                <w:b/>
                <w:bCs/>
                <w:sz w:val="16"/>
                <w:szCs w:val="18"/>
                <w:lang w:eastAsia="es-ES"/>
              </w:rPr>
            </w:pPr>
            <w:r w:rsidRPr="00622884">
              <w:rPr>
                <w:rFonts w:ascii="Garamond" w:eastAsia="Times New Roman" w:hAnsi="Garamond" w:cs="Times New Roman"/>
                <w:b/>
                <w:sz w:val="16"/>
                <w:szCs w:val="24"/>
                <w:lang w:eastAsia="es-ES" w:bidi="sq-AL"/>
              </w:rPr>
              <w:t>Përshkrimi</w:t>
            </w:r>
          </w:p>
        </w:tc>
        <w:tc>
          <w:tcPr>
            <w:tcW w:w="642" w:type="pct"/>
            <w:shd w:val="clear" w:color="auto" w:fill="215A5C"/>
            <w:vAlign w:val="center"/>
          </w:tcPr>
          <w:p w14:paraId="782213E0" w14:textId="77777777" w:rsidR="00622884" w:rsidRPr="00622884" w:rsidRDefault="00622884" w:rsidP="00622884">
            <w:pPr>
              <w:shd w:val="clear" w:color="auto" w:fill="215A5C"/>
              <w:spacing w:after="0" w:line="240" w:lineRule="auto"/>
              <w:jc w:val="center"/>
              <w:rPr>
                <w:rFonts w:ascii="Garamond" w:eastAsia="SimSun" w:hAnsi="Garamond" w:cs="Calibri Light"/>
                <w:b/>
                <w:bCs/>
                <w:sz w:val="16"/>
                <w:szCs w:val="18"/>
                <w:lang w:eastAsia="es-ES"/>
              </w:rPr>
            </w:pPr>
            <w:r w:rsidRPr="00622884">
              <w:rPr>
                <w:rFonts w:ascii="Garamond" w:eastAsia="Times New Roman" w:hAnsi="Garamond" w:cs="Times New Roman"/>
                <w:b/>
                <w:sz w:val="16"/>
                <w:szCs w:val="24"/>
                <w:lang w:eastAsia="es-ES" w:bidi="sq-AL"/>
              </w:rPr>
              <w:t>Përfituesit</w:t>
            </w:r>
          </w:p>
        </w:tc>
        <w:tc>
          <w:tcPr>
            <w:tcW w:w="892" w:type="pct"/>
            <w:shd w:val="clear" w:color="auto" w:fill="215A5C"/>
            <w:vAlign w:val="center"/>
          </w:tcPr>
          <w:p w14:paraId="4E618397" w14:textId="77777777" w:rsidR="00622884" w:rsidRPr="00622884" w:rsidRDefault="00622884" w:rsidP="00622884">
            <w:pPr>
              <w:shd w:val="clear" w:color="auto" w:fill="215A5C"/>
              <w:spacing w:after="0" w:line="240" w:lineRule="auto"/>
              <w:jc w:val="center"/>
              <w:rPr>
                <w:rFonts w:ascii="Garamond" w:eastAsia="SimSun" w:hAnsi="Garamond" w:cs="Calibri Light"/>
                <w:b/>
                <w:bCs/>
                <w:sz w:val="16"/>
                <w:szCs w:val="18"/>
                <w:lang w:eastAsia="es-ES"/>
              </w:rPr>
            </w:pPr>
            <w:r w:rsidRPr="00622884">
              <w:rPr>
                <w:rFonts w:ascii="Garamond" w:eastAsia="Times New Roman" w:hAnsi="Garamond" w:cs="Times New Roman"/>
                <w:b/>
                <w:sz w:val="16"/>
                <w:szCs w:val="24"/>
                <w:lang w:eastAsia="es-ES" w:bidi="sq-AL"/>
              </w:rPr>
              <w:t>Treguesit</w:t>
            </w:r>
          </w:p>
        </w:tc>
        <w:tc>
          <w:tcPr>
            <w:tcW w:w="868" w:type="pct"/>
            <w:shd w:val="clear" w:color="auto" w:fill="215A5C"/>
            <w:vAlign w:val="center"/>
          </w:tcPr>
          <w:p w14:paraId="0E022494" w14:textId="77777777" w:rsidR="00622884" w:rsidRPr="00622884" w:rsidRDefault="00622884" w:rsidP="00622884">
            <w:pPr>
              <w:shd w:val="clear" w:color="auto" w:fill="215A5C"/>
              <w:spacing w:after="0" w:line="240" w:lineRule="auto"/>
              <w:jc w:val="center"/>
              <w:rPr>
                <w:rFonts w:ascii="Garamond" w:eastAsia="SimSun" w:hAnsi="Garamond" w:cs="Calibri Light"/>
                <w:b/>
                <w:bCs/>
                <w:sz w:val="16"/>
                <w:szCs w:val="18"/>
                <w:lang w:eastAsia="es-ES"/>
              </w:rPr>
            </w:pPr>
            <w:r w:rsidRPr="00622884">
              <w:rPr>
                <w:rFonts w:ascii="Garamond" w:eastAsia="Times New Roman" w:hAnsi="Garamond" w:cs="Times New Roman"/>
                <w:b/>
                <w:sz w:val="16"/>
                <w:szCs w:val="24"/>
                <w:lang w:eastAsia="es-ES" w:bidi="sq-AL"/>
              </w:rPr>
              <w:t>Kontributi specifik në masat e NAP-it</w:t>
            </w:r>
          </w:p>
        </w:tc>
      </w:tr>
      <w:tr w:rsidR="00622884" w:rsidRPr="00622884" w14:paraId="08C82CAD" w14:textId="77777777" w:rsidTr="00622884">
        <w:tc>
          <w:tcPr>
            <w:tcW w:w="163" w:type="pct"/>
            <w:vAlign w:val="center"/>
          </w:tcPr>
          <w:p w14:paraId="17A31815" w14:textId="77777777" w:rsidR="00622884" w:rsidRPr="00622884" w:rsidRDefault="00622884" w:rsidP="00622884">
            <w:pPr>
              <w:spacing w:after="0" w:line="240" w:lineRule="auto"/>
              <w:jc w:val="center"/>
              <w:rPr>
                <w:rFonts w:ascii="Garamond" w:eastAsia="Calibri" w:hAnsi="Garamond" w:cs="Calibri Light"/>
                <w:b/>
                <w:bCs/>
                <w:sz w:val="16"/>
                <w:szCs w:val="18"/>
                <w:lang w:eastAsia="es-ES"/>
              </w:rPr>
            </w:pPr>
            <w:r w:rsidRPr="00622884">
              <w:rPr>
                <w:rFonts w:ascii="Garamond" w:eastAsia="Times New Roman" w:hAnsi="Garamond" w:cs="Times New Roman"/>
                <w:b/>
                <w:sz w:val="16"/>
                <w:szCs w:val="24"/>
                <w:lang w:eastAsia="es-ES" w:bidi="sq-AL"/>
              </w:rPr>
              <w:t>1</w:t>
            </w:r>
          </w:p>
        </w:tc>
        <w:tc>
          <w:tcPr>
            <w:tcW w:w="818" w:type="pct"/>
            <w:vAlign w:val="center"/>
          </w:tcPr>
          <w:p w14:paraId="66DF972D" w14:textId="77777777" w:rsidR="00622884" w:rsidRPr="00622884" w:rsidRDefault="00622884" w:rsidP="00622884">
            <w:pPr>
              <w:spacing w:after="0" w:line="240" w:lineRule="auto"/>
              <w:jc w:val="center"/>
              <w:rPr>
                <w:rFonts w:ascii="Garamond" w:eastAsia="Calibri" w:hAnsi="Garamond" w:cs="Calibri Light"/>
                <w:sz w:val="16"/>
                <w:szCs w:val="18"/>
                <w:lang w:eastAsia="es-ES"/>
              </w:rPr>
            </w:pPr>
            <w:r w:rsidRPr="00622884">
              <w:rPr>
                <w:rFonts w:ascii="Garamond" w:eastAsia="Times New Roman" w:hAnsi="Garamond" w:cs="Times New Roman"/>
                <w:sz w:val="16"/>
                <w:szCs w:val="24"/>
                <w:lang w:eastAsia="es-ES" w:bidi="sq-AL"/>
              </w:rPr>
              <w:t>Lehtësim i synuar i varfërisë energjetike për gratë</w:t>
            </w:r>
          </w:p>
        </w:tc>
        <w:tc>
          <w:tcPr>
            <w:tcW w:w="696" w:type="pct"/>
            <w:vAlign w:val="center"/>
          </w:tcPr>
          <w:p w14:paraId="2AB77702" w14:textId="77777777" w:rsidR="00622884" w:rsidRPr="00622884" w:rsidRDefault="00622884" w:rsidP="00622884">
            <w:pPr>
              <w:spacing w:after="0" w:line="240" w:lineRule="auto"/>
              <w:jc w:val="center"/>
              <w:rPr>
                <w:rFonts w:ascii="Garamond" w:eastAsia="Calibri" w:hAnsi="Garamond" w:cs="Calibri Light"/>
                <w:sz w:val="16"/>
                <w:szCs w:val="18"/>
                <w:lang w:eastAsia="es-ES"/>
              </w:rPr>
            </w:pPr>
            <w:r w:rsidRPr="00622884">
              <w:rPr>
                <w:rFonts w:ascii="Garamond" w:eastAsia="Times New Roman" w:hAnsi="Garamond" w:cs="Times New Roman"/>
                <w:sz w:val="16"/>
                <w:szCs w:val="24"/>
                <w:lang w:eastAsia="es-ES" w:bidi="sq-AL"/>
              </w:rPr>
              <w:t>Varfëria energjetike në familjet me kryefamiljare gra</w:t>
            </w:r>
          </w:p>
        </w:tc>
        <w:tc>
          <w:tcPr>
            <w:tcW w:w="921" w:type="pct"/>
            <w:vAlign w:val="center"/>
          </w:tcPr>
          <w:p w14:paraId="5B5D6383" w14:textId="77777777" w:rsidR="00622884" w:rsidRPr="00622884" w:rsidRDefault="00622884" w:rsidP="00622884">
            <w:pPr>
              <w:spacing w:after="0" w:line="240" w:lineRule="auto"/>
              <w:jc w:val="center"/>
              <w:rPr>
                <w:rFonts w:ascii="Garamond" w:eastAsia="Calibri" w:hAnsi="Garamond" w:cs="Calibri Light"/>
                <w:sz w:val="16"/>
                <w:szCs w:val="18"/>
                <w:lang w:eastAsia="es-ES"/>
              </w:rPr>
            </w:pPr>
            <w:r w:rsidRPr="00622884">
              <w:rPr>
                <w:rFonts w:ascii="Garamond" w:eastAsia="Times New Roman" w:hAnsi="Garamond" w:cs="Times New Roman"/>
                <w:sz w:val="16"/>
                <w:szCs w:val="24"/>
                <w:lang w:eastAsia="es-ES" w:bidi="sq-AL"/>
              </w:rPr>
              <w:t>Lehtësim tarifash dhe pajisje efikase</w:t>
            </w:r>
          </w:p>
        </w:tc>
        <w:tc>
          <w:tcPr>
            <w:tcW w:w="642" w:type="pct"/>
            <w:vAlign w:val="center"/>
          </w:tcPr>
          <w:p w14:paraId="28BF85FD" w14:textId="77777777" w:rsidR="00622884" w:rsidRPr="00622884" w:rsidRDefault="00622884" w:rsidP="00622884">
            <w:pPr>
              <w:spacing w:after="0" w:line="240" w:lineRule="auto"/>
              <w:jc w:val="center"/>
              <w:rPr>
                <w:rFonts w:ascii="Garamond" w:eastAsia="Calibri" w:hAnsi="Garamond" w:cs="Calibri Light"/>
                <w:sz w:val="16"/>
                <w:szCs w:val="18"/>
                <w:lang w:eastAsia="es-ES"/>
              </w:rPr>
            </w:pPr>
            <w:r w:rsidRPr="00622884">
              <w:rPr>
                <w:rFonts w:ascii="Garamond" w:eastAsia="Times New Roman" w:hAnsi="Garamond" w:cs="Times New Roman"/>
                <w:sz w:val="16"/>
                <w:szCs w:val="24"/>
                <w:lang w:eastAsia="es-ES" w:bidi="sq-AL"/>
              </w:rPr>
              <w:t>Familje me kryefamiljare femra dhe me të ardhura të ulëta</w:t>
            </w:r>
          </w:p>
        </w:tc>
        <w:tc>
          <w:tcPr>
            <w:tcW w:w="892" w:type="pct"/>
            <w:vAlign w:val="center"/>
          </w:tcPr>
          <w:p w14:paraId="5683F5E1" w14:textId="77777777" w:rsidR="00622884" w:rsidRPr="00622884" w:rsidRDefault="00622884" w:rsidP="00622884">
            <w:pPr>
              <w:spacing w:after="0" w:line="240" w:lineRule="auto"/>
              <w:jc w:val="center"/>
              <w:rPr>
                <w:rFonts w:ascii="Garamond" w:eastAsia="Calibri" w:hAnsi="Garamond" w:cs="Calibri Light"/>
                <w:sz w:val="16"/>
                <w:szCs w:val="18"/>
                <w:lang w:eastAsia="es-ES"/>
              </w:rPr>
            </w:pPr>
            <w:r w:rsidRPr="00622884">
              <w:rPr>
                <w:rFonts w:ascii="Garamond" w:eastAsia="Times New Roman" w:hAnsi="Garamond" w:cs="Times New Roman"/>
                <w:sz w:val="16"/>
                <w:szCs w:val="24"/>
                <w:lang w:eastAsia="es-ES" w:bidi="sq-AL"/>
              </w:rPr>
              <w:t># familje të mbështetura; % ulje e ngarkesës së energjisë</w:t>
            </w:r>
          </w:p>
        </w:tc>
        <w:tc>
          <w:tcPr>
            <w:tcW w:w="868" w:type="pct"/>
            <w:vAlign w:val="center"/>
          </w:tcPr>
          <w:p w14:paraId="1F7C90B5" w14:textId="77777777" w:rsidR="00622884" w:rsidRPr="00622884" w:rsidRDefault="00622884" w:rsidP="00622884">
            <w:pPr>
              <w:spacing w:after="0" w:line="240" w:lineRule="auto"/>
              <w:jc w:val="center"/>
              <w:rPr>
                <w:rFonts w:ascii="Garamond" w:eastAsia="Calibri" w:hAnsi="Garamond" w:cs="Calibri Light"/>
                <w:sz w:val="16"/>
                <w:szCs w:val="18"/>
                <w:lang w:eastAsia="es-ES"/>
              </w:rPr>
            </w:pPr>
            <w:r w:rsidRPr="00622884">
              <w:rPr>
                <w:rFonts w:ascii="Garamond" w:eastAsia="Times New Roman" w:hAnsi="Garamond" w:cs="Times New Roman"/>
                <w:sz w:val="16"/>
                <w:szCs w:val="24"/>
                <w:lang w:eastAsia="es-ES" w:bidi="sq-AL"/>
              </w:rPr>
              <w:t>Ndërsektoriale</w:t>
            </w:r>
          </w:p>
        </w:tc>
      </w:tr>
      <w:tr w:rsidR="00622884" w:rsidRPr="00622884" w14:paraId="26C11557" w14:textId="77777777" w:rsidTr="00622884">
        <w:tc>
          <w:tcPr>
            <w:tcW w:w="163" w:type="pct"/>
            <w:vAlign w:val="center"/>
          </w:tcPr>
          <w:p w14:paraId="02668FD1" w14:textId="77777777" w:rsidR="00622884" w:rsidRPr="00622884" w:rsidRDefault="00622884" w:rsidP="00622884">
            <w:pPr>
              <w:spacing w:after="0" w:line="240" w:lineRule="auto"/>
              <w:jc w:val="center"/>
              <w:rPr>
                <w:rFonts w:ascii="Garamond" w:eastAsia="Calibri" w:hAnsi="Garamond" w:cs="Calibri Light"/>
                <w:b/>
                <w:bCs/>
                <w:sz w:val="16"/>
                <w:szCs w:val="18"/>
                <w:lang w:eastAsia="es-ES"/>
              </w:rPr>
            </w:pPr>
            <w:r w:rsidRPr="00622884">
              <w:rPr>
                <w:rFonts w:ascii="Garamond" w:eastAsia="Times New Roman" w:hAnsi="Garamond" w:cs="Times New Roman"/>
                <w:b/>
                <w:sz w:val="16"/>
                <w:szCs w:val="24"/>
                <w:lang w:eastAsia="es-ES" w:bidi="sq-AL"/>
              </w:rPr>
              <w:t>2</w:t>
            </w:r>
          </w:p>
        </w:tc>
        <w:tc>
          <w:tcPr>
            <w:tcW w:w="818" w:type="pct"/>
            <w:vAlign w:val="center"/>
          </w:tcPr>
          <w:p w14:paraId="33A7E36C" w14:textId="77777777" w:rsidR="00622884" w:rsidRPr="00622884" w:rsidRDefault="00622884" w:rsidP="00622884">
            <w:pPr>
              <w:spacing w:after="0" w:line="240" w:lineRule="auto"/>
              <w:jc w:val="center"/>
              <w:rPr>
                <w:rFonts w:ascii="Garamond" w:eastAsia="Calibri" w:hAnsi="Garamond" w:cs="Calibri Light"/>
                <w:sz w:val="16"/>
                <w:szCs w:val="18"/>
                <w:lang w:eastAsia="es-ES"/>
              </w:rPr>
            </w:pPr>
            <w:r w:rsidRPr="00622884">
              <w:rPr>
                <w:rFonts w:ascii="Garamond" w:eastAsia="Times New Roman" w:hAnsi="Garamond" w:cs="Times New Roman"/>
                <w:sz w:val="16"/>
                <w:szCs w:val="24"/>
                <w:lang w:eastAsia="es-ES" w:bidi="sq-AL"/>
              </w:rPr>
              <w:t>Trajnimi dhe punësimi i grave në OM-të e burimeve të rinovueshme</w:t>
            </w:r>
          </w:p>
        </w:tc>
        <w:tc>
          <w:tcPr>
            <w:tcW w:w="696" w:type="pct"/>
            <w:vAlign w:val="center"/>
          </w:tcPr>
          <w:p w14:paraId="4ACC7D4E" w14:textId="77777777" w:rsidR="00622884" w:rsidRPr="00622884" w:rsidRDefault="00622884" w:rsidP="00622884">
            <w:pPr>
              <w:spacing w:after="0" w:line="240" w:lineRule="auto"/>
              <w:jc w:val="center"/>
              <w:rPr>
                <w:rFonts w:ascii="Garamond" w:eastAsia="Calibri" w:hAnsi="Garamond" w:cs="Calibri Light"/>
                <w:sz w:val="16"/>
                <w:szCs w:val="18"/>
                <w:lang w:eastAsia="es-ES"/>
              </w:rPr>
            </w:pPr>
            <w:r w:rsidRPr="00622884">
              <w:rPr>
                <w:rFonts w:ascii="Garamond" w:eastAsia="Times New Roman" w:hAnsi="Garamond" w:cs="Times New Roman"/>
                <w:sz w:val="16"/>
                <w:szCs w:val="24"/>
                <w:lang w:eastAsia="es-ES" w:bidi="sq-AL"/>
              </w:rPr>
              <w:t>Pjesëmarrje e ulët e grave në punët teknike të energjisë</w:t>
            </w:r>
          </w:p>
        </w:tc>
        <w:tc>
          <w:tcPr>
            <w:tcW w:w="921" w:type="pct"/>
            <w:vAlign w:val="center"/>
          </w:tcPr>
          <w:p w14:paraId="21EFE65D" w14:textId="77777777" w:rsidR="00622884" w:rsidRPr="00622884" w:rsidRDefault="00622884" w:rsidP="00622884">
            <w:pPr>
              <w:spacing w:after="0" w:line="240" w:lineRule="auto"/>
              <w:jc w:val="center"/>
              <w:rPr>
                <w:rFonts w:ascii="Garamond" w:eastAsia="Calibri" w:hAnsi="Garamond" w:cs="Calibri Light"/>
                <w:sz w:val="16"/>
                <w:szCs w:val="18"/>
                <w:lang w:eastAsia="es-ES"/>
              </w:rPr>
            </w:pPr>
            <w:r w:rsidRPr="00622884">
              <w:rPr>
                <w:rFonts w:ascii="Garamond" w:eastAsia="Times New Roman" w:hAnsi="Garamond" w:cs="Times New Roman"/>
                <w:sz w:val="16"/>
                <w:szCs w:val="24"/>
                <w:lang w:eastAsia="es-ES" w:bidi="sq-AL"/>
              </w:rPr>
              <w:t>Kurse dhe praktika profesionale të shkurtra me shërbime/BRE</w:t>
            </w:r>
          </w:p>
        </w:tc>
        <w:tc>
          <w:tcPr>
            <w:tcW w:w="642" w:type="pct"/>
            <w:vAlign w:val="center"/>
          </w:tcPr>
          <w:p w14:paraId="0B654D23" w14:textId="77777777" w:rsidR="00622884" w:rsidRPr="00622884" w:rsidRDefault="00622884" w:rsidP="00622884">
            <w:pPr>
              <w:spacing w:after="0" w:line="240" w:lineRule="auto"/>
              <w:jc w:val="center"/>
              <w:rPr>
                <w:rFonts w:ascii="Garamond" w:eastAsia="Calibri" w:hAnsi="Garamond" w:cs="Calibri Light"/>
                <w:sz w:val="16"/>
                <w:szCs w:val="18"/>
                <w:lang w:eastAsia="es-ES"/>
              </w:rPr>
            </w:pPr>
            <w:r w:rsidRPr="00622884">
              <w:rPr>
                <w:rFonts w:ascii="Garamond" w:eastAsia="Times New Roman" w:hAnsi="Garamond" w:cs="Times New Roman"/>
                <w:sz w:val="16"/>
                <w:szCs w:val="24"/>
                <w:lang w:eastAsia="es-ES" w:bidi="sq-AL"/>
              </w:rPr>
              <w:t>Vajzat dhe të rejat në STEM/AFPT; profesioniste gra</w:t>
            </w:r>
          </w:p>
        </w:tc>
        <w:tc>
          <w:tcPr>
            <w:tcW w:w="892" w:type="pct"/>
            <w:vAlign w:val="center"/>
          </w:tcPr>
          <w:p w14:paraId="484CF8E7" w14:textId="77777777" w:rsidR="00622884" w:rsidRPr="00622884" w:rsidRDefault="00622884" w:rsidP="00622884">
            <w:pPr>
              <w:spacing w:after="0" w:line="240" w:lineRule="auto"/>
              <w:jc w:val="center"/>
              <w:rPr>
                <w:rFonts w:ascii="Garamond" w:eastAsia="Calibri" w:hAnsi="Garamond" w:cs="Calibri Light"/>
                <w:sz w:val="16"/>
                <w:szCs w:val="18"/>
                <w:lang w:eastAsia="es-ES"/>
              </w:rPr>
            </w:pPr>
            <w:r w:rsidRPr="00622884">
              <w:rPr>
                <w:rFonts w:ascii="Garamond" w:eastAsia="Times New Roman" w:hAnsi="Garamond" w:cs="Times New Roman"/>
                <w:sz w:val="16"/>
                <w:szCs w:val="24"/>
                <w:lang w:eastAsia="es-ES" w:bidi="sq-AL"/>
              </w:rPr>
              <w:t># gra të trajnuara; % e grave në vende pune në OM; mbajtja në punë ≥12 muaj</w:t>
            </w:r>
          </w:p>
        </w:tc>
        <w:tc>
          <w:tcPr>
            <w:tcW w:w="868" w:type="pct"/>
            <w:vAlign w:val="center"/>
          </w:tcPr>
          <w:p w14:paraId="4BF590CE" w14:textId="77777777" w:rsidR="00622884" w:rsidRPr="00622884" w:rsidRDefault="00622884" w:rsidP="00622884">
            <w:pPr>
              <w:spacing w:after="0" w:line="240" w:lineRule="auto"/>
              <w:jc w:val="center"/>
              <w:rPr>
                <w:rFonts w:ascii="Garamond" w:eastAsia="Calibri" w:hAnsi="Garamond" w:cs="Calibri Light"/>
                <w:sz w:val="16"/>
                <w:szCs w:val="18"/>
                <w:lang w:eastAsia="es-ES"/>
              </w:rPr>
            </w:pPr>
            <w:r w:rsidRPr="00622884">
              <w:rPr>
                <w:rFonts w:ascii="Garamond" w:eastAsia="Times New Roman" w:hAnsi="Garamond" w:cs="Times New Roman"/>
                <w:sz w:val="16"/>
                <w:szCs w:val="24"/>
                <w:lang w:eastAsia="es-ES" w:bidi="sq-AL"/>
              </w:rPr>
              <w:t>Ndërsektoriale</w:t>
            </w:r>
          </w:p>
        </w:tc>
      </w:tr>
      <w:tr w:rsidR="00622884" w:rsidRPr="00622884" w14:paraId="12358867" w14:textId="77777777" w:rsidTr="00622884">
        <w:tc>
          <w:tcPr>
            <w:tcW w:w="163" w:type="pct"/>
            <w:vAlign w:val="center"/>
          </w:tcPr>
          <w:p w14:paraId="585C70AA" w14:textId="77777777" w:rsidR="00622884" w:rsidRPr="00622884" w:rsidRDefault="00622884" w:rsidP="00622884">
            <w:pPr>
              <w:spacing w:after="0" w:line="240" w:lineRule="auto"/>
              <w:jc w:val="center"/>
              <w:rPr>
                <w:rFonts w:ascii="Garamond" w:eastAsia="Calibri" w:hAnsi="Garamond" w:cs="Calibri Light"/>
                <w:b/>
                <w:bCs/>
                <w:sz w:val="16"/>
                <w:szCs w:val="18"/>
                <w:lang w:eastAsia="es-ES"/>
              </w:rPr>
            </w:pPr>
            <w:r w:rsidRPr="00622884">
              <w:rPr>
                <w:rFonts w:ascii="Garamond" w:eastAsia="Times New Roman" w:hAnsi="Garamond" w:cs="Times New Roman"/>
                <w:b/>
                <w:sz w:val="16"/>
                <w:szCs w:val="24"/>
                <w:lang w:eastAsia="es-ES" w:bidi="sq-AL"/>
              </w:rPr>
              <w:t>3</w:t>
            </w:r>
          </w:p>
        </w:tc>
        <w:tc>
          <w:tcPr>
            <w:tcW w:w="818" w:type="pct"/>
            <w:vAlign w:val="center"/>
          </w:tcPr>
          <w:p w14:paraId="6D5AFD3A" w14:textId="77777777" w:rsidR="00622884" w:rsidRPr="00622884" w:rsidRDefault="00622884" w:rsidP="00622884">
            <w:pPr>
              <w:spacing w:after="0" w:line="240" w:lineRule="auto"/>
              <w:jc w:val="center"/>
              <w:rPr>
                <w:rFonts w:ascii="Garamond" w:eastAsia="Calibri" w:hAnsi="Garamond" w:cs="Calibri Light"/>
                <w:sz w:val="16"/>
                <w:szCs w:val="18"/>
                <w:lang w:eastAsia="es-ES"/>
              </w:rPr>
            </w:pPr>
            <w:r w:rsidRPr="00622884">
              <w:rPr>
                <w:rFonts w:ascii="Garamond" w:eastAsia="Times New Roman" w:hAnsi="Garamond" w:cs="Times New Roman"/>
                <w:sz w:val="16"/>
                <w:szCs w:val="24"/>
                <w:lang w:eastAsia="es-ES" w:bidi="sq-AL"/>
              </w:rPr>
              <w:t>Financim për PV dhe EE për NMVM-të e grave</w:t>
            </w:r>
          </w:p>
        </w:tc>
        <w:tc>
          <w:tcPr>
            <w:tcW w:w="696" w:type="pct"/>
            <w:vAlign w:val="center"/>
          </w:tcPr>
          <w:p w14:paraId="56B1813F" w14:textId="77777777" w:rsidR="00622884" w:rsidRPr="00622884" w:rsidRDefault="00622884" w:rsidP="00622884">
            <w:pPr>
              <w:spacing w:after="0" w:line="240" w:lineRule="auto"/>
              <w:jc w:val="center"/>
              <w:rPr>
                <w:rFonts w:ascii="Garamond" w:eastAsia="Calibri" w:hAnsi="Garamond" w:cs="Calibri Light"/>
                <w:sz w:val="16"/>
                <w:szCs w:val="18"/>
                <w:lang w:eastAsia="es-ES"/>
              </w:rPr>
            </w:pPr>
            <w:r w:rsidRPr="00622884">
              <w:rPr>
                <w:rFonts w:ascii="Garamond" w:eastAsia="Times New Roman" w:hAnsi="Garamond" w:cs="Times New Roman"/>
                <w:sz w:val="16"/>
                <w:szCs w:val="24"/>
                <w:lang w:eastAsia="es-ES" w:bidi="sq-AL"/>
              </w:rPr>
              <w:t>Kapital i kufizuar për investimet në energji të udhëhequra nga gratë</w:t>
            </w:r>
          </w:p>
        </w:tc>
        <w:tc>
          <w:tcPr>
            <w:tcW w:w="921" w:type="pct"/>
            <w:vAlign w:val="center"/>
          </w:tcPr>
          <w:p w14:paraId="72B82C5E" w14:textId="77777777" w:rsidR="00622884" w:rsidRPr="00622884" w:rsidRDefault="00622884" w:rsidP="00622884">
            <w:pPr>
              <w:spacing w:after="0" w:line="240" w:lineRule="auto"/>
              <w:jc w:val="center"/>
              <w:rPr>
                <w:rFonts w:ascii="Garamond" w:eastAsia="Calibri" w:hAnsi="Garamond" w:cs="Calibri Light"/>
                <w:sz w:val="16"/>
                <w:szCs w:val="18"/>
                <w:lang w:eastAsia="es-ES"/>
              </w:rPr>
            </w:pPr>
            <w:r w:rsidRPr="00622884">
              <w:rPr>
                <w:rFonts w:ascii="Garamond" w:eastAsia="Times New Roman" w:hAnsi="Garamond" w:cs="Times New Roman"/>
                <w:sz w:val="16"/>
                <w:szCs w:val="24"/>
                <w:lang w:eastAsia="es-ES" w:bidi="sq-AL"/>
              </w:rPr>
              <w:t>Grante/hua dhe AT për PV dhe EE</w:t>
            </w:r>
          </w:p>
        </w:tc>
        <w:tc>
          <w:tcPr>
            <w:tcW w:w="642" w:type="pct"/>
            <w:vAlign w:val="center"/>
          </w:tcPr>
          <w:p w14:paraId="1E8B143A" w14:textId="77777777" w:rsidR="00622884" w:rsidRPr="00622884" w:rsidRDefault="00622884" w:rsidP="00622884">
            <w:pPr>
              <w:spacing w:after="0" w:line="240" w:lineRule="auto"/>
              <w:jc w:val="center"/>
              <w:rPr>
                <w:rFonts w:ascii="Garamond" w:eastAsia="Calibri" w:hAnsi="Garamond" w:cs="Calibri Light"/>
                <w:sz w:val="16"/>
                <w:szCs w:val="18"/>
                <w:lang w:eastAsia="es-ES"/>
              </w:rPr>
            </w:pPr>
            <w:r w:rsidRPr="00622884">
              <w:rPr>
                <w:rFonts w:ascii="Garamond" w:eastAsia="Times New Roman" w:hAnsi="Garamond" w:cs="Times New Roman"/>
                <w:sz w:val="16"/>
                <w:szCs w:val="24"/>
                <w:lang w:eastAsia="es-ES" w:bidi="sq-AL"/>
              </w:rPr>
              <w:t>NMVM-të në pronësi të grave</w:t>
            </w:r>
          </w:p>
        </w:tc>
        <w:tc>
          <w:tcPr>
            <w:tcW w:w="892" w:type="pct"/>
            <w:vAlign w:val="center"/>
          </w:tcPr>
          <w:p w14:paraId="5893B522" w14:textId="77777777" w:rsidR="00622884" w:rsidRPr="00622884" w:rsidRDefault="00622884" w:rsidP="00622884">
            <w:pPr>
              <w:spacing w:after="0" w:line="240" w:lineRule="auto"/>
              <w:jc w:val="center"/>
              <w:rPr>
                <w:rFonts w:ascii="Garamond" w:eastAsia="Calibri" w:hAnsi="Garamond" w:cs="Calibri Light"/>
                <w:sz w:val="16"/>
                <w:szCs w:val="18"/>
                <w:lang w:eastAsia="es-ES"/>
              </w:rPr>
            </w:pPr>
            <w:r w:rsidRPr="00622884">
              <w:rPr>
                <w:rFonts w:ascii="Garamond" w:eastAsia="Times New Roman" w:hAnsi="Garamond" w:cs="Times New Roman"/>
                <w:sz w:val="16"/>
                <w:szCs w:val="24"/>
                <w:lang w:eastAsia="es-ES" w:bidi="sq-AL"/>
              </w:rPr>
              <w:t># NMVM të drejtuara nga gratë që përdorin PV/EE; % ulje e kostos së energjisë; vijimësi gjatë goditjeve</w:t>
            </w:r>
          </w:p>
        </w:tc>
        <w:tc>
          <w:tcPr>
            <w:tcW w:w="868" w:type="pct"/>
            <w:vAlign w:val="center"/>
          </w:tcPr>
          <w:p w14:paraId="3598BECE" w14:textId="77777777" w:rsidR="00622884" w:rsidRPr="00622884" w:rsidRDefault="00622884" w:rsidP="00622884">
            <w:pPr>
              <w:spacing w:after="0" w:line="240" w:lineRule="auto"/>
              <w:jc w:val="center"/>
              <w:rPr>
                <w:rFonts w:ascii="Garamond" w:eastAsia="Calibri" w:hAnsi="Garamond" w:cs="Calibri Light"/>
                <w:sz w:val="16"/>
                <w:szCs w:val="18"/>
                <w:lang w:eastAsia="es-ES"/>
              </w:rPr>
            </w:pPr>
            <w:r w:rsidRPr="00622884">
              <w:rPr>
                <w:rFonts w:ascii="Garamond" w:eastAsia="Times New Roman" w:hAnsi="Garamond" w:cs="Times New Roman"/>
                <w:sz w:val="16"/>
                <w:szCs w:val="24"/>
                <w:lang w:eastAsia="es-ES" w:bidi="sq-AL"/>
              </w:rPr>
              <w:t>M56 - Rritja e aftësive ripërtëritëse ndaj valës së të nxehtit përmes vendosjes efikase të teknologjisë së kondicionimit të ajrit dhe strehimeve për mbrojtje ndaj ndryshimeve klimatike</w:t>
            </w:r>
          </w:p>
          <w:p w14:paraId="3FDCBC6D" w14:textId="77777777" w:rsidR="00622884" w:rsidRPr="00622884" w:rsidRDefault="00622884" w:rsidP="00622884">
            <w:pPr>
              <w:spacing w:after="0" w:line="240" w:lineRule="auto"/>
              <w:jc w:val="center"/>
              <w:rPr>
                <w:rFonts w:ascii="Garamond" w:eastAsia="Calibri" w:hAnsi="Garamond" w:cs="Calibri Light"/>
                <w:sz w:val="16"/>
                <w:szCs w:val="18"/>
                <w:lang w:eastAsia="es-ES"/>
              </w:rPr>
            </w:pPr>
            <w:r w:rsidRPr="00622884">
              <w:rPr>
                <w:rFonts w:ascii="Garamond" w:eastAsia="Times New Roman" w:hAnsi="Garamond" w:cs="Times New Roman"/>
                <w:sz w:val="16"/>
                <w:szCs w:val="24"/>
                <w:lang w:eastAsia="es-ES" w:bidi="sq-AL"/>
              </w:rPr>
              <w:t xml:space="preserve">M58 - Optimizimi i energjisë së rinovueshme </w:t>
            </w:r>
            <w:r w:rsidRPr="00622884">
              <w:rPr>
                <w:rFonts w:ascii="Garamond" w:eastAsia="Times New Roman" w:hAnsi="Garamond" w:cs="Times New Roman"/>
                <w:sz w:val="16"/>
                <w:szCs w:val="24"/>
                <w:lang w:eastAsia="es-ES" w:bidi="sq-AL"/>
              </w:rPr>
              <w:lastRenderedPageBreak/>
              <w:t>për sisteme me aftësi ripërtëritëse: Investime në inovacionin e rrjetit dhe magazinimin</w:t>
            </w:r>
          </w:p>
        </w:tc>
      </w:tr>
      <w:tr w:rsidR="00622884" w:rsidRPr="00622884" w14:paraId="792C0841" w14:textId="77777777" w:rsidTr="00622884">
        <w:tc>
          <w:tcPr>
            <w:tcW w:w="163" w:type="pct"/>
            <w:vAlign w:val="center"/>
          </w:tcPr>
          <w:p w14:paraId="2ABE92FD" w14:textId="77777777" w:rsidR="00622884" w:rsidRPr="00622884" w:rsidRDefault="00622884" w:rsidP="00622884">
            <w:pPr>
              <w:spacing w:after="0" w:line="240" w:lineRule="auto"/>
              <w:jc w:val="center"/>
              <w:rPr>
                <w:rFonts w:ascii="Garamond" w:eastAsia="Calibri" w:hAnsi="Garamond" w:cs="Calibri Light"/>
                <w:b/>
                <w:bCs/>
                <w:sz w:val="16"/>
                <w:szCs w:val="18"/>
                <w:lang w:eastAsia="es-ES"/>
              </w:rPr>
            </w:pPr>
            <w:r w:rsidRPr="00622884">
              <w:rPr>
                <w:rFonts w:ascii="Garamond" w:eastAsia="Times New Roman" w:hAnsi="Garamond" w:cs="Times New Roman"/>
                <w:b/>
                <w:sz w:val="16"/>
                <w:szCs w:val="24"/>
                <w:lang w:eastAsia="es-ES" w:bidi="sq-AL"/>
              </w:rPr>
              <w:lastRenderedPageBreak/>
              <w:t>4</w:t>
            </w:r>
          </w:p>
        </w:tc>
        <w:tc>
          <w:tcPr>
            <w:tcW w:w="818" w:type="pct"/>
            <w:vAlign w:val="center"/>
          </w:tcPr>
          <w:p w14:paraId="6C19B6E5" w14:textId="77777777" w:rsidR="00622884" w:rsidRPr="00622884" w:rsidRDefault="00622884" w:rsidP="00622884">
            <w:pPr>
              <w:spacing w:after="0" w:line="240" w:lineRule="auto"/>
              <w:jc w:val="center"/>
              <w:rPr>
                <w:rFonts w:ascii="Garamond" w:eastAsia="Calibri" w:hAnsi="Garamond" w:cs="Calibri Light"/>
                <w:sz w:val="16"/>
                <w:szCs w:val="18"/>
                <w:lang w:eastAsia="es-ES"/>
              </w:rPr>
            </w:pPr>
            <w:r w:rsidRPr="00622884">
              <w:rPr>
                <w:rFonts w:ascii="Garamond" w:eastAsia="Times New Roman" w:hAnsi="Garamond" w:cs="Times New Roman"/>
                <w:sz w:val="16"/>
                <w:szCs w:val="24"/>
                <w:lang w:eastAsia="es-ES" w:bidi="sq-AL"/>
              </w:rPr>
              <w:t>Të dhëna të detyrueshme të energjisë të ndara sipas seksit</w:t>
            </w:r>
          </w:p>
        </w:tc>
        <w:tc>
          <w:tcPr>
            <w:tcW w:w="696" w:type="pct"/>
            <w:vAlign w:val="center"/>
          </w:tcPr>
          <w:p w14:paraId="318A57DE" w14:textId="77777777" w:rsidR="00622884" w:rsidRPr="00622884" w:rsidRDefault="00622884" w:rsidP="00622884">
            <w:pPr>
              <w:spacing w:after="0" w:line="240" w:lineRule="auto"/>
              <w:jc w:val="center"/>
              <w:rPr>
                <w:rFonts w:ascii="Garamond" w:eastAsia="Calibri" w:hAnsi="Garamond" w:cs="Calibri Light"/>
                <w:sz w:val="16"/>
                <w:szCs w:val="18"/>
                <w:lang w:eastAsia="es-ES"/>
              </w:rPr>
            </w:pPr>
            <w:r w:rsidRPr="00622884">
              <w:rPr>
                <w:rFonts w:ascii="Garamond" w:eastAsia="Times New Roman" w:hAnsi="Garamond" w:cs="Times New Roman"/>
                <w:sz w:val="16"/>
                <w:szCs w:val="24"/>
                <w:lang w:eastAsia="es-ES" w:bidi="sq-AL"/>
              </w:rPr>
              <w:t>Mungesa e të dhënave të energjisë sipas gjinisë</w:t>
            </w:r>
          </w:p>
        </w:tc>
        <w:tc>
          <w:tcPr>
            <w:tcW w:w="921" w:type="pct"/>
            <w:vAlign w:val="center"/>
          </w:tcPr>
          <w:p w14:paraId="2359B00C" w14:textId="77777777" w:rsidR="00622884" w:rsidRPr="00622884" w:rsidRDefault="00622884" w:rsidP="00622884">
            <w:pPr>
              <w:spacing w:after="0" w:line="240" w:lineRule="auto"/>
              <w:jc w:val="center"/>
              <w:rPr>
                <w:rFonts w:ascii="Garamond" w:eastAsia="Calibri" w:hAnsi="Garamond" w:cs="Calibri Light"/>
                <w:sz w:val="16"/>
                <w:szCs w:val="18"/>
                <w:lang w:eastAsia="es-ES"/>
              </w:rPr>
            </w:pPr>
            <w:r w:rsidRPr="00622884">
              <w:rPr>
                <w:rFonts w:ascii="Garamond" w:eastAsia="Times New Roman" w:hAnsi="Garamond" w:cs="Times New Roman"/>
                <w:sz w:val="16"/>
                <w:szCs w:val="24"/>
                <w:lang w:eastAsia="es-ES" w:bidi="sq-AL"/>
              </w:rPr>
              <w:t>Kërkesa nga shoqëritë dhe ERE për të publikuar të dhëna gjinore</w:t>
            </w:r>
          </w:p>
        </w:tc>
        <w:tc>
          <w:tcPr>
            <w:tcW w:w="642" w:type="pct"/>
            <w:vAlign w:val="center"/>
          </w:tcPr>
          <w:p w14:paraId="42C39261" w14:textId="77777777" w:rsidR="00622884" w:rsidRPr="00622884" w:rsidRDefault="00622884" w:rsidP="00622884">
            <w:pPr>
              <w:spacing w:after="0" w:line="240" w:lineRule="auto"/>
              <w:jc w:val="center"/>
              <w:rPr>
                <w:rFonts w:ascii="Garamond" w:eastAsia="Calibri" w:hAnsi="Garamond" w:cs="Calibri Light"/>
                <w:sz w:val="16"/>
                <w:szCs w:val="18"/>
                <w:lang w:eastAsia="es-ES"/>
              </w:rPr>
            </w:pPr>
            <w:r w:rsidRPr="00622884">
              <w:rPr>
                <w:rFonts w:ascii="Garamond" w:eastAsia="Times New Roman" w:hAnsi="Garamond" w:cs="Times New Roman"/>
                <w:sz w:val="16"/>
                <w:szCs w:val="24"/>
                <w:lang w:eastAsia="es-ES" w:bidi="sq-AL"/>
              </w:rPr>
              <w:t>Gratë në institucione, analiste gjinore, OSHC-të</w:t>
            </w:r>
          </w:p>
        </w:tc>
        <w:tc>
          <w:tcPr>
            <w:tcW w:w="892" w:type="pct"/>
            <w:vAlign w:val="center"/>
          </w:tcPr>
          <w:p w14:paraId="63D35ACB" w14:textId="77777777" w:rsidR="00622884" w:rsidRPr="00622884" w:rsidRDefault="00622884" w:rsidP="00622884">
            <w:pPr>
              <w:spacing w:after="0" w:line="240" w:lineRule="auto"/>
              <w:jc w:val="center"/>
              <w:rPr>
                <w:rFonts w:ascii="Garamond" w:eastAsia="Calibri" w:hAnsi="Garamond" w:cs="Calibri Light"/>
                <w:sz w:val="16"/>
                <w:szCs w:val="18"/>
                <w:lang w:eastAsia="es-ES"/>
              </w:rPr>
            </w:pPr>
            <w:r w:rsidRPr="00622884">
              <w:rPr>
                <w:rFonts w:ascii="Garamond" w:eastAsia="Times New Roman" w:hAnsi="Garamond" w:cs="Times New Roman"/>
                <w:sz w:val="16"/>
                <w:szCs w:val="24"/>
                <w:lang w:eastAsia="es-ES" w:bidi="sq-AL"/>
              </w:rPr>
              <w:t>Lëshimi i autorizimit për raportim; # grupe të dhënash të publikuara; # politika të informuara</w:t>
            </w:r>
          </w:p>
        </w:tc>
        <w:tc>
          <w:tcPr>
            <w:tcW w:w="868" w:type="pct"/>
            <w:vAlign w:val="center"/>
          </w:tcPr>
          <w:p w14:paraId="3E4F097E" w14:textId="77777777" w:rsidR="00622884" w:rsidRPr="00622884" w:rsidRDefault="00622884" w:rsidP="00622884">
            <w:pPr>
              <w:spacing w:after="0" w:line="240" w:lineRule="auto"/>
              <w:jc w:val="center"/>
              <w:rPr>
                <w:rFonts w:ascii="Garamond" w:eastAsia="Calibri" w:hAnsi="Garamond" w:cs="Calibri Light"/>
                <w:sz w:val="16"/>
                <w:szCs w:val="18"/>
                <w:lang w:eastAsia="es-ES"/>
              </w:rPr>
            </w:pPr>
            <w:r w:rsidRPr="00622884">
              <w:rPr>
                <w:rFonts w:ascii="Garamond" w:eastAsia="Times New Roman" w:hAnsi="Garamond" w:cs="Times New Roman"/>
                <w:sz w:val="16"/>
                <w:szCs w:val="24"/>
                <w:lang w:eastAsia="es-ES" w:bidi="sq-AL"/>
              </w:rPr>
              <w:t>Ndërsektoriale</w:t>
            </w:r>
          </w:p>
        </w:tc>
      </w:tr>
    </w:tbl>
    <w:p w14:paraId="29458B84" w14:textId="77777777" w:rsidR="00622884" w:rsidRPr="00622884" w:rsidRDefault="00622884" w:rsidP="00622884">
      <w:pPr>
        <w:tabs>
          <w:tab w:val="left" w:pos="5325"/>
        </w:tabs>
        <w:spacing w:after="0" w:line="240" w:lineRule="auto"/>
        <w:ind w:firstLine="284"/>
        <w:rPr>
          <w:rFonts w:ascii="Garamond" w:eastAsia="Calibri" w:hAnsi="Garamond" w:cs="Times New Roman"/>
          <w:b/>
          <w:sz w:val="24"/>
          <w:szCs w:val="24"/>
          <w:lang w:eastAsia="en-US" w:bidi="sq-AL"/>
        </w:rPr>
      </w:pPr>
    </w:p>
    <w:p w14:paraId="6C0621FD" w14:textId="77777777" w:rsidR="00622884" w:rsidRPr="00622884" w:rsidRDefault="00622884" w:rsidP="00622884">
      <w:pPr>
        <w:tabs>
          <w:tab w:val="left" w:pos="5325"/>
        </w:tabs>
        <w:spacing w:after="0" w:line="240" w:lineRule="auto"/>
        <w:ind w:firstLine="284"/>
        <w:rPr>
          <w:rFonts w:ascii="Garamond" w:eastAsia="Open Sans Light" w:hAnsi="Garamond" w:cs="Calibri Light"/>
          <w:b/>
          <w:bCs/>
          <w:sz w:val="24"/>
          <w:szCs w:val="24"/>
          <w:lang w:eastAsia="en-US"/>
        </w:rPr>
      </w:pPr>
      <w:r w:rsidRPr="00622884">
        <w:rPr>
          <w:rFonts w:ascii="Garamond" w:eastAsia="Calibri" w:hAnsi="Garamond" w:cs="Times New Roman"/>
          <w:b/>
          <w:sz w:val="24"/>
          <w:szCs w:val="24"/>
          <w:lang w:eastAsia="en-US" w:bidi="sq-AL"/>
        </w:rPr>
        <w:t>Transporti</w:t>
      </w:r>
    </w:p>
    <w:tbl>
      <w:tblPr>
        <w:tblW w:w="5583" w:type="pct"/>
        <w:tblInd w:w="-714" w:type="dxa"/>
        <w:tblBorders>
          <w:top w:val="single" w:sz="4" w:space="0" w:color="1D3C5A"/>
          <w:left w:val="single" w:sz="4" w:space="0" w:color="1D3C5A"/>
          <w:bottom w:val="single" w:sz="4" w:space="0" w:color="1D3C5A"/>
          <w:right w:val="single" w:sz="4" w:space="0" w:color="1D3C5A"/>
          <w:insideH w:val="single" w:sz="4" w:space="0" w:color="1D3C5A"/>
          <w:insideV w:val="single" w:sz="4" w:space="0" w:color="1D3C5A"/>
        </w:tblBorders>
        <w:tblLook w:val="04A0" w:firstRow="1" w:lastRow="0" w:firstColumn="1" w:lastColumn="0" w:noHBand="0" w:noVBand="1"/>
      </w:tblPr>
      <w:tblGrid>
        <w:gridCol w:w="448"/>
        <w:gridCol w:w="1643"/>
        <w:gridCol w:w="1495"/>
        <w:gridCol w:w="1865"/>
        <w:gridCol w:w="1323"/>
        <w:gridCol w:w="1825"/>
        <w:gridCol w:w="1771"/>
      </w:tblGrid>
      <w:tr w:rsidR="00622884" w:rsidRPr="00622884" w14:paraId="11A9881C" w14:textId="77777777" w:rsidTr="00622884">
        <w:trPr>
          <w:trHeight w:val="254"/>
          <w:tblHeader/>
        </w:trPr>
        <w:tc>
          <w:tcPr>
            <w:tcW w:w="178" w:type="pct"/>
            <w:shd w:val="clear" w:color="auto" w:fill="215A5C"/>
            <w:vAlign w:val="center"/>
          </w:tcPr>
          <w:p w14:paraId="4252DB59" w14:textId="77777777" w:rsidR="00622884" w:rsidRPr="00622884" w:rsidRDefault="00622884" w:rsidP="00622884">
            <w:pPr>
              <w:shd w:val="clear" w:color="auto" w:fill="215A5C"/>
              <w:spacing w:after="0" w:line="240" w:lineRule="auto"/>
              <w:jc w:val="center"/>
              <w:rPr>
                <w:rFonts w:ascii="Garamond" w:eastAsia="SimSun" w:hAnsi="Garamond" w:cs="Calibri Light"/>
                <w:b/>
                <w:bCs/>
                <w:sz w:val="16"/>
                <w:szCs w:val="18"/>
                <w:lang w:eastAsia="es-ES"/>
              </w:rPr>
            </w:pPr>
            <w:r w:rsidRPr="00622884">
              <w:rPr>
                <w:rFonts w:ascii="Garamond" w:eastAsia="Times New Roman" w:hAnsi="Garamond" w:cs="Times New Roman"/>
                <w:b/>
                <w:sz w:val="16"/>
                <w:szCs w:val="24"/>
                <w:lang w:eastAsia="es-ES" w:bidi="sq-AL"/>
              </w:rPr>
              <w:t>Nr.</w:t>
            </w:r>
          </w:p>
        </w:tc>
        <w:tc>
          <w:tcPr>
            <w:tcW w:w="803" w:type="pct"/>
            <w:shd w:val="clear" w:color="auto" w:fill="215A5C"/>
            <w:vAlign w:val="center"/>
          </w:tcPr>
          <w:p w14:paraId="7FB5C9A8" w14:textId="77777777" w:rsidR="00622884" w:rsidRPr="00622884" w:rsidRDefault="00622884" w:rsidP="00622884">
            <w:pPr>
              <w:shd w:val="clear" w:color="auto" w:fill="215A5C"/>
              <w:spacing w:after="0" w:line="240" w:lineRule="auto"/>
              <w:jc w:val="center"/>
              <w:rPr>
                <w:rFonts w:ascii="Garamond" w:eastAsia="SimSun" w:hAnsi="Garamond" w:cs="Calibri Light"/>
                <w:b/>
                <w:bCs/>
                <w:sz w:val="16"/>
                <w:szCs w:val="18"/>
                <w:lang w:eastAsia="es-ES"/>
              </w:rPr>
            </w:pPr>
            <w:r w:rsidRPr="00622884">
              <w:rPr>
                <w:rFonts w:ascii="Garamond" w:eastAsia="Times New Roman" w:hAnsi="Garamond" w:cs="Times New Roman"/>
                <w:b/>
                <w:sz w:val="16"/>
                <w:szCs w:val="24"/>
                <w:lang w:eastAsia="es-ES" w:bidi="sq-AL"/>
              </w:rPr>
              <w:t>Veprimi</w:t>
            </w:r>
          </w:p>
        </w:tc>
        <w:tc>
          <w:tcPr>
            <w:tcW w:w="707" w:type="pct"/>
            <w:shd w:val="clear" w:color="auto" w:fill="215A5C"/>
            <w:vAlign w:val="center"/>
          </w:tcPr>
          <w:p w14:paraId="7C063A8C" w14:textId="77777777" w:rsidR="00622884" w:rsidRPr="00622884" w:rsidRDefault="00622884" w:rsidP="00622884">
            <w:pPr>
              <w:shd w:val="clear" w:color="auto" w:fill="215A5C"/>
              <w:spacing w:after="0" w:line="240" w:lineRule="auto"/>
              <w:jc w:val="center"/>
              <w:rPr>
                <w:rFonts w:ascii="Garamond" w:eastAsia="SimSun" w:hAnsi="Garamond" w:cs="Calibri Light"/>
                <w:b/>
                <w:bCs/>
                <w:sz w:val="16"/>
                <w:szCs w:val="18"/>
                <w:lang w:eastAsia="es-ES"/>
              </w:rPr>
            </w:pPr>
            <w:r w:rsidRPr="00622884">
              <w:rPr>
                <w:rFonts w:ascii="Garamond" w:eastAsia="Times New Roman" w:hAnsi="Garamond" w:cs="Times New Roman"/>
                <w:b/>
                <w:sz w:val="16"/>
                <w:szCs w:val="24"/>
                <w:lang w:eastAsia="es-ES" w:bidi="sq-AL"/>
              </w:rPr>
              <w:t>Sfida e trajtuar</w:t>
            </w:r>
          </w:p>
        </w:tc>
        <w:tc>
          <w:tcPr>
            <w:tcW w:w="910" w:type="pct"/>
            <w:shd w:val="clear" w:color="auto" w:fill="215A5C"/>
            <w:vAlign w:val="center"/>
          </w:tcPr>
          <w:p w14:paraId="16010B44" w14:textId="77777777" w:rsidR="00622884" w:rsidRPr="00622884" w:rsidRDefault="00622884" w:rsidP="00622884">
            <w:pPr>
              <w:shd w:val="clear" w:color="auto" w:fill="215A5C"/>
              <w:spacing w:after="0" w:line="240" w:lineRule="auto"/>
              <w:jc w:val="center"/>
              <w:rPr>
                <w:rFonts w:ascii="Garamond" w:eastAsia="SimSun" w:hAnsi="Garamond" w:cs="Calibri Light"/>
                <w:b/>
                <w:bCs/>
                <w:sz w:val="16"/>
                <w:szCs w:val="18"/>
                <w:lang w:eastAsia="es-ES"/>
              </w:rPr>
            </w:pPr>
            <w:r w:rsidRPr="00622884">
              <w:rPr>
                <w:rFonts w:ascii="Garamond" w:eastAsia="Times New Roman" w:hAnsi="Garamond" w:cs="Times New Roman"/>
                <w:b/>
                <w:sz w:val="16"/>
                <w:szCs w:val="24"/>
                <w:lang w:eastAsia="es-ES" w:bidi="sq-AL"/>
              </w:rPr>
              <w:t>Përshkrimi</w:t>
            </w:r>
          </w:p>
        </w:tc>
        <w:tc>
          <w:tcPr>
            <w:tcW w:w="648" w:type="pct"/>
            <w:shd w:val="clear" w:color="auto" w:fill="215A5C"/>
            <w:vAlign w:val="center"/>
          </w:tcPr>
          <w:p w14:paraId="4119F3AA" w14:textId="77777777" w:rsidR="00622884" w:rsidRPr="00622884" w:rsidRDefault="00622884" w:rsidP="00622884">
            <w:pPr>
              <w:shd w:val="clear" w:color="auto" w:fill="215A5C"/>
              <w:spacing w:after="0" w:line="240" w:lineRule="auto"/>
              <w:jc w:val="center"/>
              <w:rPr>
                <w:rFonts w:ascii="Garamond" w:eastAsia="SimSun" w:hAnsi="Garamond" w:cs="Calibri Light"/>
                <w:b/>
                <w:bCs/>
                <w:sz w:val="16"/>
                <w:szCs w:val="18"/>
                <w:lang w:eastAsia="es-ES"/>
              </w:rPr>
            </w:pPr>
            <w:r w:rsidRPr="00622884">
              <w:rPr>
                <w:rFonts w:ascii="Garamond" w:eastAsia="Times New Roman" w:hAnsi="Garamond" w:cs="Times New Roman"/>
                <w:b/>
                <w:sz w:val="16"/>
                <w:szCs w:val="24"/>
                <w:lang w:eastAsia="es-ES" w:bidi="sq-AL"/>
              </w:rPr>
              <w:t>Përfituesit</w:t>
            </w:r>
          </w:p>
        </w:tc>
        <w:tc>
          <w:tcPr>
            <w:tcW w:w="890" w:type="pct"/>
            <w:shd w:val="clear" w:color="auto" w:fill="215A5C"/>
            <w:vAlign w:val="center"/>
          </w:tcPr>
          <w:p w14:paraId="1BA590EF" w14:textId="77777777" w:rsidR="00622884" w:rsidRPr="00622884" w:rsidRDefault="00622884" w:rsidP="00622884">
            <w:pPr>
              <w:shd w:val="clear" w:color="auto" w:fill="215A5C"/>
              <w:spacing w:after="0" w:line="240" w:lineRule="auto"/>
              <w:jc w:val="center"/>
              <w:rPr>
                <w:rFonts w:ascii="Garamond" w:eastAsia="SimSun" w:hAnsi="Garamond" w:cs="Calibri Light"/>
                <w:b/>
                <w:bCs/>
                <w:sz w:val="16"/>
                <w:szCs w:val="18"/>
                <w:lang w:eastAsia="es-ES"/>
              </w:rPr>
            </w:pPr>
            <w:r w:rsidRPr="00622884">
              <w:rPr>
                <w:rFonts w:ascii="Garamond" w:eastAsia="Times New Roman" w:hAnsi="Garamond" w:cs="Times New Roman"/>
                <w:b/>
                <w:sz w:val="16"/>
                <w:szCs w:val="24"/>
                <w:lang w:eastAsia="es-ES" w:bidi="sq-AL"/>
              </w:rPr>
              <w:t>Treguesit</w:t>
            </w:r>
          </w:p>
        </w:tc>
        <w:tc>
          <w:tcPr>
            <w:tcW w:w="864" w:type="pct"/>
            <w:shd w:val="clear" w:color="auto" w:fill="215A5C"/>
            <w:vAlign w:val="center"/>
          </w:tcPr>
          <w:p w14:paraId="39B5E1F0" w14:textId="77777777" w:rsidR="00622884" w:rsidRPr="00622884" w:rsidRDefault="00622884" w:rsidP="00622884">
            <w:pPr>
              <w:shd w:val="clear" w:color="auto" w:fill="215A5C"/>
              <w:spacing w:after="0" w:line="240" w:lineRule="auto"/>
              <w:jc w:val="center"/>
              <w:rPr>
                <w:rFonts w:ascii="Garamond" w:eastAsia="SimSun" w:hAnsi="Garamond" w:cs="Calibri Light"/>
                <w:b/>
                <w:bCs/>
                <w:sz w:val="16"/>
                <w:szCs w:val="18"/>
                <w:lang w:eastAsia="es-ES"/>
              </w:rPr>
            </w:pPr>
            <w:r w:rsidRPr="00622884">
              <w:rPr>
                <w:rFonts w:ascii="Garamond" w:eastAsia="Times New Roman" w:hAnsi="Garamond" w:cs="Times New Roman"/>
                <w:b/>
                <w:sz w:val="16"/>
                <w:szCs w:val="24"/>
                <w:lang w:eastAsia="es-ES" w:bidi="sq-AL"/>
              </w:rPr>
              <w:t>Kontributi specifik në masat e NAP-it</w:t>
            </w:r>
          </w:p>
        </w:tc>
      </w:tr>
      <w:tr w:rsidR="00622884" w:rsidRPr="00622884" w14:paraId="54E7EC51" w14:textId="77777777" w:rsidTr="00622884">
        <w:tc>
          <w:tcPr>
            <w:tcW w:w="178" w:type="pct"/>
            <w:vAlign w:val="center"/>
          </w:tcPr>
          <w:p w14:paraId="2FD75E6F" w14:textId="77777777" w:rsidR="00622884" w:rsidRPr="00622884" w:rsidRDefault="00622884" w:rsidP="00622884">
            <w:pPr>
              <w:spacing w:after="0" w:line="240" w:lineRule="auto"/>
              <w:jc w:val="center"/>
              <w:rPr>
                <w:rFonts w:ascii="Garamond" w:eastAsia="Calibri" w:hAnsi="Garamond" w:cs="Calibri Light"/>
                <w:b/>
                <w:bCs/>
                <w:sz w:val="16"/>
                <w:szCs w:val="18"/>
                <w:lang w:eastAsia="es-ES"/>
              </w:rPr>
            </w:pPr>
            <w:r w:rsidRPr="00622884">
              <w:rPr>
                <w:rFonts w:ascii="Garamond" w:eastAsia="Times New Roman" w:hAnsi="Garamond" w:cs="Times New Roman"/>
                <w:b/>
                <w:sz w:val="16"/>
                <w:szCs w:val="24"/>
                <w:lang w:eastAsia="es-ES" w:bidi="sq-AL"/>
              </w:rPr>
              <w:t>1</w:t>
            </w:r>
          </w:p>
        </w:tc>
        <w:tc>
          <w:tcPr>
            <w:tcW w:w="803" w:type="pct"/>
            <w:vAlign w:val="center"/>
          </w:tcPr>
          <w:p w14:paraId="744E8E01" w14:textId="77777777" w:rsidR="00622884" w:rsidRPr="00622884" w:rsidRDefault="00622884" w:rsidP="00622884">
            <w:pPr>
              <w:spacing w:after="0" w:line="240" w:lineRule="auto"/>
              <w:jc w:val="center"/>
              <w:rPr>
                <w:rFonts w:ascii="Garamond" w:eastAsia="Calibri" w:hAnsi="Garamond" w:cs="Calibri Light"/>
                <w:sz w:val="16"/>
                <w:szCs w:val="18"/>
                <w:lang w:eastAsia="es-ES"/>
              </w:rPr>
            </w:pPr>
            <w:r w:rsidRPr="00622884">
              <w:rPr>
                <w:rFonts w:ascii="Garamond" w:eastAsia="Times New Roman" w:hAnsi="Garamond" w:cs="Times New Roman"/>
                <w:sz w:val="16"/>
                <w:szCs w:val="24"/>
                <w:lang w:eastAsia="es-ES" w:bidi="sq-AL"/>
              </w:rPr>
              <w:t>Transport publik i sigurt ndaj klimës për gratë</w:t>
            </w:r>
          </w:p>
        </w:tc>
        <w:tc>
          <w:tcPr>
            <w:tcW w:w="707" w:type="pct"/>
            <w:vAlign w:val="center"/>
          </w:tcPr>
          <w:p w14:paraId="04AAB9B9" w14:textId="77777777" w:rsidR="00622884" w:rsidRPr="00622884" w:rsidRDefault="00622884" w:rsidP="00622884">
            <w:pPr>
              <w:spacing w:after="0" w:line="240" w:lineRule="auto"/>
              <w:jc w:val="center"/>
              <w:rPr>
                <w:rFonts w:ascii="Garamond" w:eastAsia="Calibri" w:hAnsi="Garamond" w:cs="Calibri Light"/>
                <w:sz w:val="16"/>
                <w:szCs w:val="18"/>
                <w:lang w:eastAsia="es-ES"/>
              </w:rPr>
            </w:pPr>
            <w:r w:rsidRPr="00622884">
              <w:rPr>
                <w:rFonts w:ascii="Garamond" w:eastAsia="Times New Roman" w:hAnsi="Garamond" w:cs="Times New Roman"/>
                <w:sz w:val="16"/>
                <w:szCs w:val="24"/>
                <w:lang w:eastAsia="es-ES" w:bidi="sq-AL"/>
              </w:rPr>
              <w:t>Shqetësime për sigurinë, ekspozimi ndaj të nxehtit/përmbytjeve</w:t>
            </w:r>
          </w:p>
        </w:tc>
        <w:tc>
          <w:tcPr>
            <w:tcW w:w="910" w:type="pct"/>
            <w:vAlign w:val="center"/>
          </w:tcPr>
          <w:p w14:paraId="24A39D57" w14:textId="77777777" w:rsidR="00622884" w:rsidRPr="00622884" w:rsidRDefault="00622884" w:rsidP="00622884">
            <w:pPr>
              <w:spacing w:after="0" w:line="240" w:lineRule="auto"/>
              <w:jc w:val="center"/>
              <w:rPr>
                <w:rFonts w:ascii="Garamond" w:eastAsia="Calibri" w:hAnsi="Garamond" w:cs="Calibri Light"/>
                <w:sz w:val="16"/>
                <w:szCs w:val="18"/>
                <w:lang w:eastAsia="es-ES"/>
              </w:rPr>
            </w:pPr>
            <w:r w:rsidRPr="00622884">
              <w:rPr>
                <w:rFonts w:ascii="Garamond" w:eastAsia="Times New Roman" w:hAnsi="Garamond" w:cs="Times New Roman"/>
                <w:sz w:val="16"/>
                <w:szCs w:val="24"/>
                <w:lang w:eastAsia="es-ES" w:bidi="sq-AL"/>
              </w:rPr>
              <w:t>Hijesim, ndriçim, butona emergjence; rrugë emergjence</w:t>
            </w:r>
          </w:p>
        </w:tc>
        <w:tc>
          <w:tcPr>
            <w:tcW w:w="648" w:type="pct"/>
            <w:vAlign w:val="center"/>
          </w:tcPr>
          <w:p w14:paraId="33D7CFBF" w14:textId="77777777" w:rsidR="00622884" w:rsidRPr="00622884" w:rsidRDefault="00622884" w:rsidP="00622884">
            <w:pPr>
              <w:spacing w:after="0" w:line="240" w:lineRule="auto"/>
              <w:jc w:val="center"/>
              <w:rPr>
                <w:rFonts w:ascii="Garamond" w:eastAsia="Calibri" w:hAnsi="Garamond" w:cs="Calibri Light"/>
                <w:sz w:val="16"/>
                <w:szCs w:val="18"/>
                <w:lang w:eastAsia="es-ES"/>
              </w:rPr>
            </w:pPr>
            <w:r w:rsidRPr="00622884">
              <w:rPr>
                <w:rFonts w:ascii="Garamond" w:eastAsia="Times New Roman" w:hAnsi="Garamond" w:cs="Times New Roman"/>
                <w:sz w:val="16"/>
                <w:szCs w:val="24"/>
                <w:lang w:eastAsia="es-ES" w:bidi="sq-AL"/>
              </w:rPr>
              <w:t>Punonjëset gra që mbështeten në transportin publik; udhëtaret femra të cenueshme</w:t>
            </w:r>
          </w:p>
        </w:tc>
        <w:tc>
          <w:tcPr>
            <w:tcW w:w="890" w:type="pct"/>
            <w:vAlign w:val="center"/>
          </w:tcPr>
          <w:p w14:paraId="7949B49D" w14:textId="77777777" w:rsidR="00622884" w:rsidRPr="00622884" w:rsidRDefault="00622884" w:rsidP="00622884">
            <w:pPr>
              <w:spacing w:after="0" w:line="240" w:lineRule="auto"/>
              <w:jc w:val="center"/>
              <w:rPr>
                <w:rFonts w:ascii="Garamond" w:eastAsia="Calibri" w:hAnsi="Garamond" w:cs="Calibri Light"/>
                <w:sz w:val="16"/>
                <w:szCs w:val="18"/>
                <w:lang w:eastAsia="es-ES"/>
              </w:rPr>
            </w:pPr>
            <w:r w:rsidRPr="00622884">
              <w:rPr>
                <w:rFonts w:ascii="Garamond" w:eastAsia="Times New Roman" w:hAnsi="Garamond" w:cs="Times New Roman"/>
                <w:sz w:val="16"/>
                <w:szCs w:val="24"/>
                <w:lang w:eastAsia="es-ES" w:bidi="sq-AL"/>
              </w:rPr>
              <w:t># qendra transporti të rimodeluara; % e grave që raportojnë qasje më të sigurt; reduktim i kohës së udhëtimit gjatë risqeve</w:t>
            </w:r>
          </w:p>
        </w:tc>
        <w:tc>
          <w:tcPr>
            <w:tcW w:w="864" w:type="pct"/>
            <w:vAlign w:val="center"/>
          </w:tcPr>
          <w:p w14:paraId="1BA2F043" w14:textId="77777777" w:rsidR="00622884" w:rsidRPr="00622884" w:rsidRDefault="00622884" w:rsidP="00622884">
            <w:pPr>
              <w:spacing w:after="0" w:line="240" w:lineRule="auto"/>
              <w:jc w:val="center"/>
              <w:rPr>
                <w:rFonts w:ascii="Garamond" w:eastAsia="Calibri" w:hAnsi="Garamond" w:cs="Calibri Light"/>
                <w:sz w:val="16"/>
                <w:szCs w:val="18"/>
                <w:lang w:eastAsia="es-ES"/>
              </w:rPr>
            </w:pPr>
            <w:r w:rsidRPr="00622884">
              <w:rPr>
                <w:rFonts w:ascii="Garamond" w:eastAsia="Times New Roman" w:hAnsi="Garamond" w:cs="Times New Roman"/>
                <w:sz w:val="16"/>
                <w:szCs w:val="24"/>
                <w:lang w:eastAsia="es-ES" w:bidi="sq-AL"/>
              </w:rPr>
              <w:t>Ndërsektoriale</w:t>
            </w:r>
          </w:p>
        </w:tc>
      </w:tr>
      <w:tr w:rsidR="00622884" w:rsidRPr="00622884" w14:paraId="76838CB0" w14:textId="77777777" w:rsidTr="00622884">
        <w:tc>
          <w:tcPr>
            <w:tcW w:w="178" w:type="pct"/>
            <w:vAlign w:val="center"/>
          </w:tcPr>
          <w:p w14:paraId="6061BF2F" w14:textId="77777777" w:rsidR="00622884" w:rsidRPr="00622884" w:rsidRDefault="00622884" w:rsidP="00622884">
            <w:pPr>
              <w:spacing w:after="0" w:line="240" w:lineRule="auto"/>
              <w:jc w:val="center"/>
              <w:rPr>
                <w:rFonts w:ascii="Garamond" w:eastAsia="Calibri" w:hAnsi="Garamond" w:cs="Calibri Light"/>
                <w:b/>
                <w:bCs/>
                <w:sz w:val="16"/>
                <w:szCs w:val="18"/>
                <w:lang w:eastAsia="es-ES"/>
              </w:rPr>
            </w:pPr>
            <w:r w:rsidRPr="00622884">
              <w:rPr>
                <w:rFonts w:ascii="Garamond" w:eastAsia="Times New Roman" w:hAnsi="Garamond" w:cs="Times New Roman"/>
                <w:b/>
                <w:sz w:val="16"/>
                <w:szCs w:val="24"/>
                <w:lang w:eastAsia="es-ES" w:bidi="sq-AL"/>
              </w:rPr>
              <w:t>2</w:t>
            </w:r>
          </w:p>
        </w:tc>
        <w:tc>
          <w:tcPr>
            <w:tcW w:w="803" w:type="pct"/>
            <w:vAlign w:val="center"/>
          </w:tcPr>
          <w:p w14:paraId="20F04D29" w14:textId="77777777" w:rsidR="00622884" w:rsidRPr="00622884" w:rsidRDefault="00622884" w:rsidP="00622884">
            <w:pPr>
              <w:spacing w:after="0" w:line="240" w:lineRule="auto"/>
              <w:jc w:val="center"/>
              <w:rPr>
                <w:rFonts w:ascii="Garamond" w:eastAsia="Calibri" w:hAnsi="Garamond" w:cs="Calibri Light"/>
                <w:sz w:val="16"/>
                <w:szCs w:val="18"/>
                <w:lang w:eastAsia="es-ES"/>
              </w:rPr>
            </w:pPr>
            <w:r w:rsidRPr="00622884">
              <w:rPr>
                <w:rFonts w:ascii="Garamond" w:eastAsia="Times New Roman" w:hAnsi="Garamond" w:cs="Times New Roman"/>
                <w:sz w:val="16"/>
                <w:szCs w:val="24"/>
                <w:lang w:eastAsia="es-ES" w:bidi="sq-AL"/>
              </w:rPr>
              <w:t>Gratë në planifikimin dhe operacionet e transportit</w:t>
            </w:r>
          </w:p>
        </w:tc>
        <w:tc>
          <w:tcPr>
            <w:tcW w:w="707" w:type="pct"/>
            <w:vAlign w:val="center"/>
          </w:tcPr>
          <w:p w14:paraId="3DCCE4A1" w14:textId="77777777" w:rsidR="00622884" w:rsidRPr="00622884" w:rsidRDefault="00622884" w:rsidP="00622884">
            <w:pPr>
              <w:spacing w:after="0" w:line="240" w:lineRule="auto"/>
              <w:jc w:val="center"/>
              <w:rPr>
                <w:rFonts w:ascii="Garamond" w:eastAsia="Calibri" w:hAnsi="Garamond" w:cs="Calibri Light"/>
                <w:sz w:val="16"/>
                <w:szCs w:val="18"/>
                <w:lang w:eastAsia="es-ES"/>
              </w:rPr>
            </w:pPr>
            <w:r w:rsidRPr="00622884">
              <w:rPr>
                <w:rFonts w:ascii="Garamond" w:eastAsia="Times New Roman" w:hAnsi="Garamond" w:cs="Times New Roman"/>
                <w:sz w:val="16"/>
                <w:szCs w:val="24"/>
                <w:lang w:eastAsia="es-ES" w:bidi="sq-AL"/>
              </w:rPr>
              <w:t>Nënpërfaqësim në bordet sektoriale</w:t>
            </w:r>
          </w:p>
        </w:tc>
        <w:tc>
          <w:tcPr>
            <w:tcW w:w="910" w:type="pct"/>
            <w:vAlign w:val="center"/>
          </w:tcPr>
          <w:p w14:paraId="786BB9F2" w14:textId="77777777" w:rsidR="00622884" w:rsidRPr="00622884" w:rsidRDefault="00622884" w:rsidP="00622884">
            <w:pPr>
              <w:spacing w:after="0" w:line="240" w:lineRule="auto"/>
              <w:jc w:val="center"/>
              <w:rPr>
                <w:rFonts w:ascii="Garamond" w:eastAsia="Calibri" w:hAnsi="Garamond" w:cs="Calibri Light"/>
                <w:sz w:val="16"/>
                <w:szCs w:val="18"/>
                <w:lang w:eastAsia="es-ES"/>
              </w:rPr>
            </w:pPr>
            <w:r w:rsidRPr="00622884">
              <w:rPr>
                <w:rFonts w:ascii="Garamond" w:eastAsia="Times New Roman" w:hAnsi="Garamond" w:cs="Times New Roman"/>
                <w:sz w:val="16"/>
                <w:szCs w:val="24"/>
                <w:lang w:eastAsia="es-ES" w:bidi="sq-AL"/>
              </w:rPr>
              <w:t>Kuota dhe mentorim për gratë në planifikim dhe operacione</w:t>
            </w:r>
          </w:p>
        </w:tc>
        <w:tc>
          <w:tcPr>
            <w:tcW w:w="648" w:type="pct"/>
            <w:vAlign w:val="center"/>
          </w:tcPr>
          <w:p w14:paraId="57C9615D" w14:textId="77777777" w:rsidR="00622884" w:rsidRPr="00622884" w:rsidRDefault="00622884" w:rsidP="00622884">
            <w:pPr>
              <w:spacing w:after="0" w:line="240" w:lineRule="auto"/>
              <w:jc w:val="center"/>
              <w:rPr>
                <w:rFonts w:ascii="Garamond" w:eastAsia="Calibri" w:hAnsi="Garamond" w:cs="Calibri Light"/>
                <w:sz w:val="16"/>
                <w:szCs w:val="18"/>
                <w:lang w:eastAsia="es-ES"/>
              </w:rPr>
            </w:pPr>
            <w:r w:rsidRPr="00622884">
              <w:rPr>
                <w:rFonts w:ascii="Garamond" w:eastAsia="Times New Roman" w:hAnsi="Garamond" w:cs="Times New Roman"/>
                <w:sz w:val="16"/>
                <w:szCs w:val="24"/>
                <w:lang w:eastAsia="es-ES" w:bidi="sq-AL"/>
              </w:rPr>
              <w:t>Planifikueset gra, stafi bashkiak, OSHC-të</w:t>
            </w:r>
          </w:p>
        </w:tc>
        <w:tc>
          <w:tcPr>
            <w:tcW w:w="890" w:type="pct"/>
            <w:vAlign w:val="center"/>
          </w:tcPr>
          <w:p w14:paraId="63A90EB7" w14:textId="77777777" w:rsidR="00622884" w:rsidRPr="00622884" w:rsidRDefault="00622884" w:rsidP="00622884">
            <w:pPr>
              <w:spacing w:after="0" w:line="240" w:lineRule="auto"/>
              <w:jc w:val="center"/>
              <w:rPr>
                <w:rFonts w:ascii="Garamond" w:eastAsia="Calibri" w:hAnsi="Garamond" w:cs="Calibri Light"/>
                <w:sz w:val="16"/>
                <w:szCs w:val="18"/>
                <w:lang w:eastAsia="es-ES"/>
              </w:rPr>
            </w:pPr>
            <w:r w:rsidRPr="00622884">
              <w:rPr>
                <w:rFonts w:ascii="Garamond" w:eastAsia="Times New Roman" w:hAnsi="Garamond" w:cs="Times New Roman"/>
                <w:sz w:val="16"/>
                <w:szCs w:val="24"/>
                <w:lang w:eastAsia="es-ES" w:bidi="sq-AL"/>
              </w:rPr>
              <w:t># gratë në komisione; % e planeve me analizë të lëvizshmërisë gjinore</w:t>
            </w:r>
          </w:p>
        </w:tc>
        <w:tc>
          <w:tcPr>
            <w:tcW w:w="864" w:type="pct"/>
            <w:vAlign w:val="center"/>
          </w:tcPr>
          <w:p w14:paraId="67A66BD4" w14:textId="77777777" w:rsidR="00622884" w:rsidRPr="00622884" w:rsidRDefault="00622884" w:rsidP="00622884">
            <w:pPr>
              <w:spacing w:after="0" w:line="240" w:lineRule="auto"/>
              <w:jc w:val="center"/>
              <w:rPr>
                <w:rFonts w:ascii="Garamond" w:eastAsia="Calibri" w:hAnsi="Garamond" w:cs="Calibri Light"/>
                <w:sz w:val="16"/>
                <w:szCs w:val="18"/>
                <w:lang w:eastAsia="es-ES"/>
              </w:rPr>
            </w:pPr>
            <w:r w:rsidRPr="00622884">
              <w:rPr>
                <w:rFonts w:ascii="Garamond" w:eastAsia="Times New Roman" w:hAnsi="Garamond" w:cs="Times New Roman"/>
                <w:sz w:val="16"/>
                <w:szCs w:val="24"/>
                <w:lang w:eastAsia="es-ES" w:bidi="sq-AL"/>
              </w:rPr>
              <w:t>Ndërsektoriale</w:t>
            </w:r>
          </w:p>
        </w:tc>
      </w:tr>
      <w:tr w:rsidR="00622884" w:rsidRPr="00622884" w14:paraId="17786E12" w14:textId="77777777" w:rsidTr="00622884">
        <w:tc>
          <w:tcPr>
            <w:tcW w:w="178" w:type="pct"/>
            <w:vAlign w:val="center"/>
          </w:tcPr>
          <w:p w14:paraId="2FB932A0" w14:textId="77777777" w:rsidR="00622884" w:rsidRPr="00622884" w:rsidRDefault="00622884" w:rsidP="00622884">
            <w:pPr>
              <w:spacing w:after="0" w:line="240" w:lineRule="auto"/>
              <w:jc w:val="center"/>
              <w:rPr>
                <w:rFonts w:ascii="Garamond" w:eastAsia="Calibri" w:hAnsi="Garamond" w:cs="Calibri Light"/>
                <w:b/>
                <w:bCs/>
                <w:sz w:val="16"/>
                <w:szCs w:val="18"/>
                <w:lang w:eastAsia="es-ES"/>
              </w:rPr>
            </w:pPr>
            <w:r w:rsidRPr="00622884">
              <w:rPr>
                <w:rFonts w:ascii="Garamond" w:eastAsia="Times New Roman" w:hAnsi="Garamond" w:cs="Times New Roman"/>
                <w:b/>
                <w:sz w:val="16"/>
                <w:szCs w:val="24"/>
                <w:lang w:eastAsia="es-ES" w:bidi="sq-AL"/>
              </w:rPr>
              <w:t>3</w:t>
            </w:r>
          </w:p>
        </w:tc>
        <w:tc>
          <w:tcPr>
            <w:tcW w:w="803" w:type="pct"/>
            <w:vAlign w:val="center"/>
          </w:tcPr>
          <w:p w14:paraId="6ED7F32C" w14:textId="77777777" w:rsidR="00622884" w:rsidRPr="00622884" w:rsidRDefault="00622884" w:rsidP="00622884">
            <w:pPr>
              <w:spacing w:after="0" w:line="240" w:lineRule="auto"/>
              <w:jc w:val="center"/>
              <w:rPr>
                <w:rFonts w:ascii="Garamond" w:eastAsia="Calibri" w:hAnsi="Garamond" w:cs="Calibri Light"/>
                <w:sz w:val="16"/>
                <w:szCs w:val="18"/>
                <w:lang w:eastAsia="es-ES"/>
              </w:rPr>
            </w:pPr>
            <w:r w:rsidRPr="00622884">
              <w:rPr>
                <w:rFonts w:ascii="Garamond" w:eastAsia="Times New Roman" w:hAnsi="Garamond" w:cs="Times New Roman"/>
                <w:sz w:val="16"/>
                <w:szCs w:val="24"/>
                <w:lang w:eastAsia="es-ES" w:bidi="sq-AL"/>
              </w:rPr>
              <w:t>Projektet pilot të lëvizshmërisë dhe qasjes së grave në zonat rurale</w:t>
            </w:r>
          </w:p>
        </w:tc>
        <w:tc>
          <w:tcPr>
            <w:tcW w:w="707" w:type="pct"/>
            <w:vAlign w:val="center"/>
          </w:tcPr>
          <w:p w14:paraId="6D98D106" w14:textId="77777777" w:rsidR="00622884" w:rsidRPr="00622884" w:rsidRDefault="00622884" w:rsidP="00622884">
            <w:pPr>
              <w:spacing w:after="0" w:line="240" w:lineRule="auto"/>
              <w:jc w:val="center"/>
              <w:rPr>
                <w:rFonts w:ascii="Garamond" w:eastAsia="Calibri" w:hAnsi="Garamond" w:cs="Calibri Light"/>
                <w:sz w:val="16"/>
                <w:szCs w:val="18"/>
                <w:lang w:eastAsia="es-ES"/>
              </w:rPr>
            </w:pPr>
            <w:r w:rsidRPr="00622884">
              <w:rPr>
                <w:rFonts w:ascii="Garamond" w:eastAsia="Times New Roman" w:hAnsi="Garamond" w:cs="Times New Roman"/>
                <w:sz w:val="16"/>
                <w:szCs w:val="24"/>
                <w:lang w:eastAsia="es-ES" w:bidi="sq-AL"/>
              </w:rPr>
              <w:t>Mundësi të kufizuara të transportit rural</w:t>
            </w:r>
          </w:p>
        </w:tc>
        <w:tc>
          <w:tcPr>
            <w:tcW w:w="910" w:type="pct"/>
            <w:vAlign w:val="center"/>
          </w:tcPr>
          <w:p w14:paraId="1A97BEB4" w14:textId="77777777" w:rsidR="00622884" w:rsidRPr="00622884" w:rsidRDefault="00622884" w:rsidP="00622884">
            <w:pPr>
              <w:spacing w:after="0" w:line="240" w:lineRule="auto"/>
              <w:jc w:val="center"/>
              <w:rPr>
                <w:rFonts w:ascii="Garamond" w:eastAsia="Calibri" w:hAnsi="Garamond" w:cs="Calibri Light"/>
                <w:sz w:val="16"/>
                <w:szCs w:val="18"/>
                <w:lang w:eastAsia="es-ES"/>
              </w:rPr>
            </w:pPr>
            <w:r w:rsidRPr="00622884">
              <w:rPr>
                <w:rFonts w:ascii="Garamond" w:eastAsia="Times New Roman" w:hAnsi="Garamond" w:cs="Times New Roman"/>
                <w:sz w:val="16"/>
                <w:szCs w:val="24"/>
                <w:lang w:eastAsia="es-ES" w:bidi="sq-AL"/>
              </w:rPr>
              <w:t>Shërbime që i përgjigjen kërkesës, ecje/çiklizëm i sigurt drejt shërbimeve dhe tregjeve</w:t>
            </w:r>
          </w:p>
        </w:tc>
        <w:tc>
          <w:tcPr>
            <w:tcW w:w="648" w:type="pct"/>
            <w:vAlign w:val="center"/>
          </w:tcPr>
          <w:p w14:paraId="4A7BCC0B" w14:textId="77777777" w:rsidR="00622884" w:rsidRPr="00622884" w:rsidRDefault="00622884" w:rsidP="00622884">
            <w:pPr>
              <w:spacing w:after="0" w:line="240" w:lineRule="auto"/>
              <w:jc w:val="center"/>
              <w:rPr>
                <w:rFonts w:ascii="Garamond" w:eastAsia="Calibri" w:hAnsi="Garamond" w:cs="Calibri Light"/>
                <w:sz w:val="16"/>
                <w:szCs w:val="18"/>
                <w:lang w:eastAsia="es-ES"/>
              </w:rPr>
            </w:pPr>
            <w:r w:rsidRPr="00622884">
              <w:rPr>
                <w:rFonts w:ascii="Garamond" w:eastAsia="Times New Roman" w:hAnsi="Garamond" w:cs="Times New Roman"/>
                <w:sz w:val="16"/>
                <w:szCs w:val="24"/>
                <w:lang w:eastAsia="es-ES" w:bidi="sq-AL"/>
              </w:rPr>
              <w:t>Gratë në zonat rurale, gratë dhe vajzat e cenueshme</w:t>
            </w:r>
          </w:p>
        </w:tc>
        <w:tc>
          <w:tcPr>
            <w:tcW w:w="890" w:type="pct"/>
            <w:vAlign w:val="center"/>
          </w:tcPr>
          <w:p w14:paraId="0A4F94DF" w14:textId="77777777" w:rsidR="00622884" w:rsidRPr="00622884" w:rsidRDefault="00622884" w:rsidP="00622884">
            <w:pPr>
              <w:spacing w:after="0" w:line="240" w:lineRule="auto"/>
              <w:jc w:val="center"/>
              <w:rPr>
                <w:rFonts w:ascii="Garamond" w:eastAsia="Calibri" w:hAnsi="Garamond" w:cs="Calibri Light"/>
                <w:sz w:val="16"/>
                <w:szCs w:val="18"/>
                <w:lang w:eastAsia="es-ES"/>
              </w:rPr>
            </w:pPr>
            <w:r w:rsidRPr="00622884">
              <w:rPr>
                <w:rFonts w:ascii="Garamond" w:eastAsia="Times New Roman" w:hAnsi="Garamond" w:cs="Times New Roman"/>
                <w:sz w:val="16"/>
                <w:szCs w:val="24"/>
                <w:lang w:eastAsia="es-ES" w:bidi="sq-AL"/>
              </w:rPr>
              <w:t># programe pilot të vëna në zbatim; # udhëtime thelbësore për gratë; kohë e kursyer.</w:t>
            </w:r>
          </w:p>
        </w:tc>
        <w:tc>
          <w:tcPr>
            <w:tcW w:w="864" w:type="pct"/>
            <w:vAlign w:val="center"/>
          </w:tcPr>
          <w:p w14:paraId="2A0EDE71" w14:textId="77777777" w:rsidR="00622884" w:rsidRPr="00622884" w:rsidRDefault="00622884" w:rsidP="00622884">
            <w:pPr>
              <w:spacing w:after="0" w:line="240" w:lineRule="auto"/>
              <w:jc w:val="center"/>
              <w:rPr>
                <w:rFonts w:ascii="Garamond" w:eastAsia="Calibri" w:hAnsi="Garamond" w:cs="Calibri Light"/>
                <w:sz w:val="16"/>
                <w:szCs w:val="18"/>
                <w:lang w:eastAsia="es-ES"/>
              </w:rPr>
            </w:pPr>
            <w:r w:rsidRPr="00622884">
              <w:rPr>
                <w:rFonts w:ascii="Garamond" w:eastAsia="Times New Roman" w:hAnsi="Garamond" w:cs="Times New Roman"/>
                <w:sz w:val="16"/>
                <w:szCs w:val="24"/>
                <w:lang w:eastAsia="es-ES" w:bidi="sq-AL"/>
              </w:rPr>
              <w:t>Ndërsektoriale</w:t>
            </w:r>
          </w:p>
        </w:tc>
      </w:tr>
      <w:tr w:rsidR="00622884" w:rsidRPr="00622884" w14:paraId="5E814852" w14:textId="77777777" w:rsidTr="00622884">
        <w:tc>
          <w:tcPr>
            <w:tcW w:w="178" w:type="pct"/>
            <w:vAlign w:val="center"/>
          </w:tcPr>
          <w:p w14:paraId="022353ED" w14:textId="77777777" w:rsidR="00622884" w:rsidRPr="00622884" w:rsidRDefault="00622884" w:rsidP="00622884">
            <w:pPr>
              <w:spacing w:after="0" w:line="240" w:lineRule="auto"/>
              <w:jc w:val="center"/>
              <w:rPr>
                <w:rFonts w:ascii="Garamond" w:eastAsia="Calibri" w:hAnsi="Garamond" w:cs="Calibri Light"/>
                <w:b/>
                <w:bCs/>
                <w:sz w:val="16"/>
                <w:szCs w:val="18"/>
                <w:lang w:eastAsia="es-ES"/>
              </w:rPr>
            </w:pPr>
            <w:r w:rsidRPr="00622884">
              <w:rPr>
                <w:rFonts w:ascii="Garamond" w:eastAsia="Times New Roman" w:hAnsi="Garamond" w:cs="Times New Roman"/>
                <w:b/>
                <w:sz w:val="16"/>
                <w:szCs w:val="24"/>
                <w:lang w:eastAsia="es-ES" w:bidi="sq-AL"/>
              </w:rPr>
              <w:t>4</w:t>
            </w:r>
          </w:p>
        </w:tc>
        <w:tc>
          <w:tcPr>
            <w:tcW w:w="803" w:type="pct"/>
            <w:vAlign w:val="center"/>
          </w:tcPr>
          <w:p w14:paraId="20576518" w14:textId="77777777" w:rsidR="00622884" w:rsidRPr="00622884" w:rsidRDefault="00622884" w:rsidP="00622884">
            <w:pPr>
              <w:spacing w:after="0" w:line="240" w:lineRule="auto"/>
              <w:jc w:val="center"/>
              <w:rPr>
                <w:rFonts w:ascii="Garamond" w:eastAsia="Calibri" w:hAnsi="Garamond" w:cs="Calibri Light"/>
                <w:sz w:val="16"/>
                <w:szCs w:val="18"/>
                <w:lang w:eastAsia="es-ES"/>
              </w:rPr>
            </w:pPr>
            <w:r w:rsidRPr="00622884">
              <w:rPr>
                <w:rFonts w:ascii="Garamond" w:eastAsia="Times New Roman" w:hAnsi="Garamond" w:cs="Times New Roman"/>
                <w:sz w:val="16"/>
                <w:szCs w:val="24"/>
                <w:lang w:eastAsia="es-ES" w:bidi="sq-AL"/>
              </w:rPr>
              <w:t>Financim klimatik i i përgjigjshëm gjinor për transportin</w:t>
            </w:r>
          </w:p>
        </w:tc>
        <w:tc>
          <w:tcPr>
            <w:tcW w:w="707" w:type="pct"/>
            <w:vAlign w:val="center"/>
          </w:tcPr>
          <w:p w14:paraId="53CE13D3" w14:textId="77777777" w:rsidR="00622884" w:rsidRPr="00622884" w:rsidRDefault="00622884" w:rsidP="00622884">
            <w:pPr>
              <w:spacing w:after="0" w:line="240" w:lineRule="auto"/>
              <w:jc w:val="center"/>
              <w:rPr>
                <w:rFonts w:ascii="Garamond" w:eastAsia="Calibri" w:hAnsi="Garamond" w:cs="Calibri Light"/>
                <w:sz w:val="16"/>
                <w:szCs w:val="18"/>
                <w:lang w:eastAsia="es-ES"/>
              </w:rPr>
            </w:pPr>
            <w:r w:rsidRPr="00622884">
              <w:rPr>
                <w:rFonts w:ascii="Garamond" w:eastAsia="Times New Roman" w:hAnsi="Garamond" w:cs="Times New Roman"/>
                <w:sz w:val="16"/>
                <w:szCs w:val="24"/>
                <w:lang w:eastAsia="es-ES" w:bidi="sq-AL"/>
              </w:rPr>
              <w:t>Mangësi në financim për transport me aftësi ripërtëritëse në dobi të grave</w:t>
            </w:r>
          </w:p>
        </w:tc>
        <w:tc>
          <w:tcPr>
            <w:tcW w:w="910" w:type="pct"/>
            <w:vAlign w:val="center"/>
          </w:tcPr>
          <w:p w14:paraId="23DB68C9" w14:textId="77777777" w:rsidR="00622884" w:rsidRPr="00622884" w:rsidRDefault="00622884" w:rsidP="00622884">
            <w:pPr>
              <w:spacing w:after="0" w:line="240" w:lineRule="auto"/>
              <w:jc w:val="center"/>
              <w:rPr>
                <w:rFonts w:ascii="Garamond" w:eastAsia="Calibri" w:hAnsi="Garamond" w:cs="Calibri Light"/>
                <w:sz w:val="16"/>
                <w:szCs w:val="18"/>
                <w:lang w:eastAsia="es-ES"/>
              </w:rPr>
            </w:pPr>
            <w:r w:rsidRPr="00622884">
              <w:rPr>
                <w:rFonts w:ascii="Garamond" w:eastAsia="Times New Roman" w:hAnsi="Garamond" w:cs="Times New Roman"/>
                <w:sz w:val="16"/>
                <w:szCs w:val="24"/>
                <w:lang w:eastAsia="es-ES" w:bidi="sq-AL"/>
              </w:rPr>
              <w:t>PPP/instrumente financimi për të përmirësuar asetet në mënyrë të paanshme</w:t>
            </w:r>
          </w:p>
        </w:tc>
        <w:tc>
          <w:tcPr>
            <w:tcW w:w="648" w:type="pct"/>
            <w:vAlign w:val="center"/>
          </w:tcPr>
          <w:p w14:paraId="334FA669" w14:textId="77777777" w:rsidR="00622884" w:rsidRPr="00622884" w:rsidRDefault="00622884" w:rsidP="00622884">
            <w:pPr>
              <w:spacing w:after="0" w:line="240" w:lineRule="auto"/>
              <w:jc w:val="center"/>
              <w:rPr>
                <w:rFonts w:ascii="Garamond" w:eastAsia="Calibri" w:hAnsi="Garamond" w:cs="Calibri Light"/>
                <w:sz w:val="16"/>
                <w:szCs w:val="18"/>
                <w:lang w:eastAsia="es-ES"/>
              </w:rPr>
            </w:pPr>
            <w:r w:rsidRPr="00622884">
              <w:rPr>
                <w:rFonts w:ascii="Garamond" w:eastAsia="Times New Roman" w:hAnsi="Garamond" w:cs="Times New Roman"/>
                <w:sz w:val="16"/>
                <w:szCs w:val="24"/>
                <w:lang w:eastAsia="es-ES" w:bidi="sq-AL"/>
              </w:rPr>
              <w:t>Përdorueset gra, udhëtaret e pambrojtura, sipërmarrëset gra</w:t>
            </w:r>
          </w:p>
        </w:tc>
        <w:tc>
          <w:tcPr>
            <w:tcW w:w="890" w:type="pct"/>
            <w:vAlign w:val="center"/>
          </w:tcPr>
          <w:p w14:paraId="11AFD740" w14:textId="77777777" w:rsidR="00622884" w:rsidRPr="00622884" w:rsidRDefault="00622884" w:rsidP="00622884">
            <w:pPr>
              <w:spacing w:after="0" w:line="240" w:lineRule="auto"/>
              <w:jc w:val="center"/>
              <w:rPr>
                <w:rFonts w:ascii="Garamond" w:eastAsia="Calibri" w:hAnsi="Garamond" w:cs="Calibri Light"/>
                <w:sz w:val="16"/>
                <w:szCs w:val="18"/>
                <w:lang w:eastAsia="es-ES"/>
              </w:rPr>
            </w:pPr>
            <w:r w:rsidRPr="00622884">
              <w:rPr>
                <w:rFonts w:ascii="Garamond" w:eastAsia="Times New Roman" w:hAnsi="Garamond" w:cs="Times New Roman"/>
                <w:sz w:val="16"/>
                <w:szCs w:val="24"/>
                <w:lang w:eastAsia="es-ES" w:bidi="sq-AL"/>
              </w:rPr>
              <w:t># instrumente të projektuara; kapital privat i mobilizuar; % e projekteve që përdorin teknologji me ndikim të ulët</w:t>
            </w:r>
          </w:p>
        </w:tc>
        <w:tc>
          <w:tcPr>
            <w:tcW w:w="864" w:type="pct"/>
            <w:vAlign w:val="center"/>
          </w:tcPr>
          <w:p w14:paraId="21E16235" w14:textId="77777777" w:rsidR="00622884" w:rsidRPr="00622884" w:rsidRDefault="00622884" w:rsidP="00622884">
            <w:pPr>
              <w:spacing w:after="0" w:line="240" w:lineRule="auto"/>
              <w:jc w:val="center"/>
              <w:rPr>
                <w:rFonts w:ascii="Garamond" w:eastAsia="Calibri" w:hAnsi="Garamond" w:cs="Calibri Light"/>
                <w:sz w:val="16"/>
                <w:szCs w:val="18"/>
                <w:lang w:eastAsia="es-ES"/>
              </w:rPr>
            </w:pPr>
            <w:r w:rsidRPr="00622884">
              <w:rPr>
                <w:rFonts w:ascii="Garamond" w:eastAsia="Times New Roman" w:hAnsi="Garamond" w:cs="Times New Roman"/>
                <w:sz w:val="16"/>
                <w:szCs w:val="24"/>
                <w:lang w:eastAsia="es-ES" w:bidi="sq-AL"/>
              </w:rPr>
              <w:t>M66 - Partneritete novatore për transport të qëndrueshëm</w:t>
            </w:r>
          </w:p>
        </w:tc>
      </w:tr>
    </w:tbl>
    <w:p w14:paraId="20C04D0E" w14:textId="77777777" w:rsidR="00622884" w:rsidRPr="00622884" w:rsidRDefault="00622884" w:rsidP="00622884">
      <w:pPr>
        <w:tabs>
          <w:tab w:val="left" w:pos="5325"/>
        </w:tabs>
        <w:spacing w:after="0" w:line="240" w:lineRule="auto"/>
        <w:ind w:firstLine="284"/>
        <w:rPr>
          <w:rFonts w:ascii="Garamond" w:eastAsia="Calibri" w:hAnsi="Garamond" w:cs="Times New Roman"/>
          <w:b/>
          <w:sz w:val="24"/>
          <w:szCs w:val="24"/>
          <w:lang w:eastAsia="en-US"/>
        </w:rPr>
      </w:pPr>
    </w:p>
    <w:p w14:paraId="0C58CEB5" w14:textId="77777777" w:rsidR="00622884" w:rsidRPr="00622884" w:rsidRDefault="00622884" w:rsidP="00622884">
      <w:pPr>
        <w:keepNext/>
        <w:keepLines/>
        <w:spacing w:after="0" w:line="240" w:lineRule="auto"/>
        <w:ind w:firstLine="284"/>
        <w:outlineLvl w:val="0"/>
        <w:rPr>
          <w:rFonts w:ascii="Garamond" w:eastAsia="Times New Roman" w:hAnsi="Garamond" w:cs="Averta ExtraBold"/>
          <w:bCs/>
          <w:kern w:val="2"/>
          <w:sz w:val="24"/>
          <w:szCs w:val="24"/>
          <w:lang w:eastAsia="en-US"/>
        </w:rPr>
      </w:pPr>
      <w:bookmarkStart w:id="293" w:name="_Toc213936245"/>
      <w:r w:rsidRPr="00622884">
        <w:rPr>
          <w:rFonts w:ascii="Garamond" w:eastAsia="Yu Gothic Light" w:hAnsi="Garamond" w:cs="Averta ExtraBold"/>
          <w:bCs/>
          <w:kern w:val="2"/>
          <w:sz w:val="24"/>
          <w:szCs w:val="24"/>
          <w:lang w:eastAsia="en-US" w:bidi="sq-AL"/>
        </w:rPr>
        <w:t>8. KOMUNIKIMI DHE ANGAZHIMI I PALËVE TË INTERESIT</w:t>
      </w:r>
      <w:bookmarkEnd w:id="293"/>
      <w:r w:rsidRPr="00622884">
        <w:rPr>
          <w:rFonts w:ascii="Garamond" w:eastAsia="Yu Gothic Light" w:hAnsi="Garamond" w:cs="Averta ExtraBold"/>
          <w:bCs/>
          <w:kern w:val="2"/>
          <w:sz w:val="24"/>
          <w:szCs w:val="24"/>
          <w:lang w:eastAsia="en-US" w:bidi="sq-AL"/>
        </w:rPr>
        <w:t xml:space="preserve"> </w:t>
      </w:r>
    </w:p>
    <w:p w14:paraId="45FEA735" w14:textId="77777777" w:rsidR="00622884" w:rsidRPr="00622884" w:rsidRDefault="00622884" w:rsidP="00622884">
      <w:pPr>
        <w:spacing w:after="0" w:line="240" w:lineRule="auto"/>
        <w:ind w:firstLine="284"/>
        <w:rPr>
          <w:rFonts w:ascii="Garamond" w:eastAsia="SimSun" w:hAnsi="Garamond" w:cs="Calibri Light"/>
          <w:sz w:val="24"/>
          <w:szCs w:val="24"/>
          <w:lang w:eastAsia="en-US"/>
        </w:rPr>
      </w:pPr>
      <w:r w:rsidRPr="00622884">
        <w:rPr>
          <w:rFonts w:ascii="Garamond" w:eastAsia="Calibri" w:hAnsi="Garamond" w:cs="Times New Roman"/>
          <w:b/>
          <w:sz w:val="24"/>
          <w:szCs w:val="24"/>
          <w:lang w:eastAsia="en-US" w:bidi="sq-AL"/>
        </w:rPr>
        <w:t>Angazhimi proaktiv i palëve të interesit në përshtatjen ndaj ndryshimeve klimatike është thelbësor për ta kthyer përshtatjen në prioritet kombëtare, për të siguruar mbështetjen dhe për të nxitur vendime dhe veprime kolektive për të arritur aftësi ripërtëritëse afatgjata.</w:t>
      </w:r>
      <w:r w:rsidRPr="00622884">
        <w:rPr>
          <w:rFonts w:ascii="Garamond" w:eastAsia="Calibri" w:hAnsi="Garamond" w:cs="Times New Roman"/>
          <w:sz w:val="24"/>
          <w:szCs w:val="24"/>
          <w:lang w:eastAsia="en-US" w:bidi="sq-AL"/>
        </w:rPr>
        <w:t xml:space="preserve"> Në këtë drejtim, angazhimi me palët kryesore të interesit dhe komunikimi i mesazheve të duhura në lidhje me përshtatjen ndaj ndryshimeve klimatike luan rol kyç për zbatimin me sukses të NAP-it. Për këtë qëllim, si pjesë e procesit të NAP-it, u hartua me kujdes një Plan Komunikimi dhe Angazhimi të Palëve të Interesit (PKAPI) për të forcuar kapacitetet e palëve të interesit me mjete specifike për sektorin, udhëzues komuniteti për udhëheqësit vendorë dhe burime edukative për të ndërtuar njohuri rreth klimës tek të rinjtë. Përmes komunikimit të synuar dhe gjithëpërfshirës, synohet shnd</w:t>
      </w:r>
      <w:r w:rsidRPr="00622884">
        <w:rPr>
          <w:rFonts w:ascii="Garamond" w:eastAsia="Calibri" w:hAnsi="Garamond" w:cs="Garamond"/>
          <w:sz w:val="24"/>
          <w:szCs w:val="24"/>
          <w:lang w:eastAsia="en-US" w:bidi="sq-AL"/>
        </w:rPr>
        <w:t>ë</w:t>
      </w:r>
      <w:r w:rsidRPr="00622884">
        <w:rPr>
          <w:rFonts w:ascii="Garamond" w:eastAsia="Calibri" w:hAnsi="Garamond" w:cs="Times New Roman"/>
          <w:sz w:val="24"/>
          <w:szCs w:val="24"/>
          <w:lang w:eastAsia="en-US" w:bidi="sq-AL"/>
        </w:rPr>
        <w:t>rrimi i p</w:t>
      </w:r>
      <w:r w:rsidRPr="00622884">
        <w:rPr>
          <w:rFonts w:ascii="Garamond" w:eastAsia="Calibri" w:hAnsi="Garamond" w:cs="Garamond"/>
          <w:sz w:val="24"/>
          <w:szCs w:val="24"/>
          <w:lang w:eastAsia="en-US" w:bidi="sq-AL"/>
        </w:rPr>
        <w:t>ë</w:t>
      </w:r>
      <w:r w:rsidRPr="00622884">
        <w:rPr>
          <w:rFonts w:ascii="Garamond" w:eastAsia="Calibri" w:hAnsi="Garamond" w:cs="Times New Roman"/>
          <w:sz w:val="24"/>
          <w:szCs w:val="24"/>
          <w:lang w:eastAsia="en-US" w:bidi="sq-AL"/>
        </w:rPr>
        <w:t>rshtatjes ndaj klim</w:t>
      </w:r>
      <w:r w:rsidRPr="00622884">
        <w:rPr>
          <w:rFonts w:ascii="Garamond" w:eastAsia="Calibri" w:hAnsi="Garamond" w:cs="Garamond"/>
          <w:sz w:val="24"/>
          <w:szCs w:val="24"/>
          <w:lang w:eastAsia="en-US" w:bidi="sq-AL"/>
        </w:rPr>
        <w:t>ë</w:t>
      </w:r>
      <w:r w:rsidRPr="00622884">
        <w:rPr>
          <w:rFonts w:ascii="Garamond" w:eastAsia="Calibri" w:hAnsi="Garamond" w:cs="Times New Roman"/>
          <w:sz w:val="24"/>
          <w:szCs w:val="24"/>
          <w:lang w:eastAsia="en-US" w:bidi="sq-AL"/>
        </w:rPr>
        <w:t>s nga nj</w:t>
      </w:r>
      <w:r w:rsidRPr="00622884">
        <w:rPr>
          <w:rFonts w:ascii="Garamond" w:eastAsia="Calibri" w:hAnsi="Garamond" w:cs="Garamond"/>
          <w:sz w:val="24"/>
          <w:szCs w:val="24"/>
          <w:lang w:eastAsia="en-US" w:bidi="sq-AL"/>
        </w:rPr>
        <w:t>ë</w:t>
      </w:r>
      <w:r w:rsidRPr="00622884">
        <w:rPr>
          <w:rFonts w:ascii="Garamond" w:eastAsia="Calibri" w:hAnsi="Garamond" w:cs="Times New Roman"/>
          <w:sz w:val="24"/>
          <w:szCs w:val="24"/>
          <w:lang w:eastAsia="en-US" w:bidi="sq-AL"/>
        </w:rPr>
        <w:t xml:space="preserve"> kuad</w:t>
      </w:r>
      <w:r w:rsidRPr="00622884">
        <w:rPr>
          <w:rFonts w:ascii="Garamond" w:eastAsia="Calibri" w:hAnsi="Garamond" w:cs="Garamond"/>
          <w:sz w:val="24"/>
          <w:szCs w:val="24"/>
          <w:lang w:eastAsia="en-US" w:bidi="sq-AL"/>
        </w:rPr>
        <w:t>ë</w:t>
      </w:r>
      <w:r w:rsidRPr="00622884">
        <w:rPr>
          <w:rFonts w:ascii="Garamond" w:eastAsia="Calibri" w:hAnsi="Garamond" w:cs="Times New Roman"/>
          <w:sz w:val="24"/>
          <w:szCs w:val="24"/>
          <w:lang w:eastAsia="en-US" w:bidi="sq-AL"/>
        </w:rPr>
        <w:t>r politikash n</w:t>
      </w:r>
      <w:r w:rsidRPr="00622884">
        <w:rPr>
          <w:rFonts w:ascii="Garamond" w:eastAsia="Calibri" w:hAnsi="Garamond" w:cs="Garamond"/>
          <w:sz w:val="24"/>
          <w:szCs w:val="24"/>
          <w:lang w:eastAsia="en-US" w:bidi="sq-AL"/>
        </w:rPr>
        <w:t>ë</w:t>
      </w:r>
      <w:r w:rsidRPr="00622884">
        <w:rPr>
          <w:rFonts w:ascii="Garamond" w:eastAsia="Calibri" w:hAnsi="Garamond" w:cs="Times New Roman"/>
          <w:sz w:val="24"/>
          <w:szCs w:val="24"/>
          <w:lang w:eastAsia="en-US" w:bidi="sq-AL"/>
        </w:rPr>
        <w:t xml:space="preserve"> nj</w:t>
      </w:r>
      <w:r w:rsidRPr="00622884">
        <w:rPr>
          <w:rFonts w:ascii="Garamond" w:eastAsia="Calibri" w:hAnsi="Garamond" w:cs="Garamond"/>
          <w:sz w:val="24"/>
          <w:szCs w:val="24"/>
          <w:lang w:eastAsia="en-US" w:bidi="sq-AL"/>
        </w:rPr>
        <w:t>ë</w:t>
      </w:r>
      <w:r w:rsidRPr="00622884">
        <w:rPr>
          <w:rFonts w:ascii="Garamond" w:eastAsia="Calibri" w:hAnsi="Garamond" w:cs="Times New Roman"/>
          <w:sz w:val="24"/>
          <w:szCs w:val="24"/>
          <w:lang w:eastAsia="en-US" w:bidi="sq-AL"/>
        </w:rPr>
        <w:t xml:space="preserve"> l</w:t>
      </w:r>
      <w:r w:rsidRPr="00622884">
        <w:rPr>
          <w:rFonts w:ascii="Garamond" w:eastAsia="Calibri" w:hAnsi="Garamond" w:cs="Garamond"/>
          <w:sz w:val="24"/>
          <w:szCs w:val="24"/>
          <w:lang w:eastAsia="en-US" w:bidi="sq-AL"/>
        </w:rPr>
        <w:t>ë</w:t>
      </w:r>
      <w:r w:rsidRPr="00622884">
        <w:rPr>
          <w:rFonts w:ascii="Garamond" w:eastAsia="Calibri" w:hAnsi="Garamond" w:cs="Times New Roman"/>
          <w:sz w:val="24"/>
          <w:szCs w:val="24"/>
          <w:lang w:eastAsia="en-US" w:bidi="sq-AL"/>
        </w:rPr>
        <w:t>vizje t</w:t>
      </w:r>
      <w:r w:rsidRPr="00622884">
        <w:rPr>
          <w:rFonts w:ascii="Garamond" w:eastAsia="Calibri" w:hAnsi="Garamond" w:cs="Garamond"/>
          <w:sz w:val="24"/>
          <w:szCs w:val="24"/>
          <w:lang w:eastAsia="en-US" w:bidi="sq-AL"/>
        </w:rPr>
        <w:t>ë</w:t>
      </w:r>
      <w:r w:rsidRPr="00622884">
        <w:rPr>
          <w:rFonts w:ascii="Garamond" w:eastAsia="Calibri" w:hAnsi="Garamond" w:cs="Times New Roman"/>
          <w:sz w:val="24"/>
          <w:szCs w:val="24"/>
          <w:lang w:eastAsia="en-US" w:bidi="sq-AL"/>
        </w:rPr>
        <w:t xml:space="preserve"> pranueshme nga pal</w:t>
      </w:r>
      <w:r w:rsidRPr="00622884">
        <w:rPr>
          <w:rFonts w:ascii="Garamond" w:eastAsia="Calibri" w:hAnsi="Garamond" w:cs="Garamond"/>
          <w:sz w:val="24"/>
          <w:szCs w:val="24"/>
          <w:lang w:eastAsia="en-US" w:bidi="sq-AL"/>
        </w:rPr>
        <w:t>ë</w:t>
      </w:r>
      <w:r w:rsidRPr="00622884">
        <w:rPr>
          <w:rFonts w:ascii="Garamond" w:eastAsia="Calibri" w:hAnsi="Garamond" w:cs="Times New Roman"/>
          <w:sz w:val="24"/>
          <w:szCs w:val="24"/>
          <w:lang w:eastAsia="en-US" w:bidi="sq-AL"/>
        </w:rPr>
        <w:t>t e interesit n</w:t>
      </w:r>
      <w:r w:rsidRPr="00622884">
        <w:rPr>
          <w:rFonts w:ascii="Garamond" w:eastAsia="Calibri" w:hAnsi="Garamond" w:cs="Garamond"/>
          <w:sz w:val="24"/>
          <w:szCs w:val="24"/>
          <w:lang w:eastAsia="en-US" w:bidi="sq-AL"/>
        </w:rPr>
        <w:t>ë</w:t>
      </w:r>
      <w:r w:rsidRPr="00622884">
        <w:rPr>
          <w:rFonts w:ascii="Garamond" w:eastAsia="Calibri" w:hAnsi="Garamond" w:cs="Times New Roman"/>
          <w:sz w:val="24"/>
          <w:szCs w:val="24"/>
          <w:lang w:eastAsia="en-US" w:bidi="sq-AL"/>
        </w:rPr>
        <w:t xml:space="preserve"> t</w:t>
      </w:r>
      <w:r w:rsidRPr="00622884">
        <w:rPr>
          <w:rFonts w:ascii="Garamond" w:eastAsia="Calibri" w:hAnsi="Garamond" w:cs="Garamond"/>
          <w:sz w:val="24"/>
          <w:szCs w:val="24"/>
          <w:lang w:eastAsia="en-US" w:bidi="sq-AL"/>
        </w:rPr>
        <w:t>ë</w:t>
      </w:r>
      <w:r w:rsidRPr="00622884">
        <w:rPr>
          <w:rFonts w:ascii="Garamond" w:eastAsia="Calibri" w:hAnsi="Garamond" w:cs="Times New Roman"/>
          <w:sz w:val="24"/>
          <w:szCs w:val="24"/>
          <w:lang w:eastAsia="en-US" w:bidi="sq-AL"/>
        </w:rPr>
        <w:t xml:space="preserve"> gjitha nivelet e shoq</w:t>
      </w:r>
      <w:r w:rsidRPr="00622884">
        <w:rPr>
          <w:rFonts w:ascii="Garamond" w:eastAsia="Calibri" w:hAnsi="Garamond" w:cs="Garamond"/>
          <w:sz w:val="24"/>
          <w:szCs w:val="24"/>
          <w:lang w:eastAsia="en-US" w:bidi="sq-AL"/>
        </w:rPr>
        <w:t>ë</w:t>
      </w:r>
      <w:r w:rsidRPr="00622884">
        <w:rPr>
          <w:rFonts w:ascii="Garamond" w:eastAsia="Calibri" w:hAnsi="Garamond" w:cs="Times New Roman"/>
          <w:sz w:val="24"/>
          <w:szCs w:val="24"/>
          <w:lang w:eastAsia="en-US" w:bidi="sq-AL"/>
        </w:rPr>
        <w:t>ris</w:t>
      </w:r>
      <w:r w:rsidRPr="00622884">
        <w:rPr>
          <w:rFonts w:ascii="Garamond" w:eastAsia="Calibri" w:hAnsi="Garamond" w:cs="Garamond"/>
          <w:sz w:val="24"/>
          <w:szCs w:val="24"/>
          <w:lang w:eastAsia="en-US" w:bidi="sq-AL"/>
        </w:rPr>
        <w:t>ë</w:t>
      </w:r>
      <w:r w:rsidRPr="00622884">
        <w:rPr>
          <w:rFonts w:ascii="Garamond" w:eastAsia="Calibri" w:hAnsi="Garamond" w:cs="Times New Roman"/>
          <w:sz w:val="24"/>
          <w:szCs w:val="24"/>
          <w:lang w:eastAsia="en-US" w:bidi="sq-AL"/>
        </w:rPr>
        <w:t>, politik</w:t>
      </w:r>
      <w:r w:rsidRPr="00622884">
        <w:rPr>
          <w:rFonts w:ascii="Garamond" w:eastAsia="Calibri" w:hAnsi="Garamond" w:cs="Garamond"/>
          <w:sz w:val="24"/>
          <w:szCs w:val="24"/>
          <w:lang w:eastAsia="en-US" w:bidi="sq-AL"/>
        </w:rPr>
        <w:t>ë</w:t>
      </w:r>
      <w:r w:rsidRPr="00622884">
        <w:rPr>
          <w:rFonts w:ascii="Garamond" w:eastAsia="Calibri" w:hAnsi="Garamond" w:cs="Times New Roman"/>
          <w:sz w:val="24"/>
          <w:szCs w:val="24"/>
          <w:lang w:eastAsia="en-US" w:bidi="sq-AL"/>
        </w:rPr>
        <w:t>b</w:t>
      </w:r>
      <w:r w:rsidRPr="00622884">
        <w:rPr>
          <w:rFonts w:ascii="Garamond" w:eastAsia="Calibri" w:hAnsi="Garamond" w:cs="Garamond"/>
          <w:sz w:val="24"/>
          <w:szCs w:val="24"/>
          <w:lang w:eastAsia="en-US" w:bidi="sq-AL"/>
        </w:rPr>
        <w:t>ë</w:t>
      </w:r>
      <w:r w:rsidRPr="00622884">
        <w:rPr>
          <w:rFonts w:ascii="Garamond" w:eastAsia="Calibri" w:hAnsi="Garamond" w:cs="Times New Roman"/>
          <w:sz w:val="24"/>
          <w:szCs w:val="24"/>
          <w:lang w:eastAsia="en-US" w:bidi="sq-AL"/>
        </w:rPr>
        <w:t>r</w:t>
      </w:r>
      <w:r w:rsidRPr="00622884">
        <w:rPr>
          <w:rFonts w:ascii="Garamond" w:eastAsia="Calibri" w:hAnsi="Garamond" w:cs="Garamond"/>
          <w:sz w:val="24"/>
          <w:szCs w:val="24"/>
          <w:lang w:eastAsia="en-US" w:bidi="sq-AL"/>
        </w:rPr>
        <w:t>ë</w:t>
      </w:r>
      <w:r w:rsidRPr="00622884">
        <w:rPr>
          <w:rFonts w:ascii="Garamond" w:eastAsia="Calibri" w:hAnsi="Garamond" w:cs="Times New Roman"/>
          <w:sz w:val="24"/>
          <w:szCs w:val="24"/>
          <w:lang w:eastAsia="en-US" w:bidi="sq-AL"/>
        </w:rPr>
        <w:t xml:space="preserve">sit, institucionet qeveritare, sektori privat, komunitetet vendase, akademia, media, organizatat e shoqërisë civile (OSHC-të) dhe partnerët ndërkombëtarë. </w:t>
      </w:r>
    </w:p>
    <w:p w14:paraId="55617199" w14:textId="77777777" w:rsidR="00622884" w:rsidRPr="00622884" w:rsidRDefault="00622884" w:rsidP="00622884">
      <w:pPr>
        <w:spacing w:after="0" w:line="240" w:lineRule="auto"/>
        <w:ind w:firstLine="284"/>
        <w:rPr>
          <w:rFonts w:ascii="Garamond" w:eastAsia="SimSun" w:hAnsi="Garamond" w:cs="Calibri Light"/>
          <w:sz w:val="24"/>
          <w:szCs w:val="24"/>
          <w:lang w:eastAsia="en-US"/>
        </w:rPr>
      </w:pPr>
      <w:r w:rsidRPr="00622884">
        <w:rPr>
          <w:rFonts w:ascii="Garamond" w:eastAsia="Calibri" w:hAnsi="Garamond" w:cs="Times New Roman"/>
          <w:sz w:val="24"/>
          <w:szCs w:val="24"/>
          <w:lang w:eastAsia="en-US" w:bidi="sq-AL"/>
        </w:rPr>
        <w:t xml:space="preserve">Duke njohur rëndësinë e përfshirjes, </w:t>
      </w:r>
      <w:r w:rsidRPr="00622884">
        <w:rPr>
          <w:rFonts w:ascii="Garamond" w:eastAsia="Calibri" w:hAnsi="Garamond" w:cs="Times New Roman"/>
          <w:b/>
          <w:sz w:val="24"/>
          <w:szCs w:val="24"/>
          <w:lang w:eastAsia="en-US" w:bidi="sq-AL"/>
        </w:rPr>
        <w:t>PKAPI thekson angazhimin e grupeve të cenueshme, grave dhe të rinjve si pjesëmarrës aktivë në proceset e përshtatjes ndaj klimës.</w:t>
      </w:r>
      <w:r w:rsidRPr="00622884">
        <w:rPr>
          <w:rFonts w:ascii="Garamond" w:eastAsia="Calibri" w:hAnsi="Garamond" w:cs="Times New Roman"/>
          <w:sz w:val="24"/>
          <w:szCs w:val="24"/>
          <w:lang w:eastAsia="en-US" w:bidi="sq-AL"/>
        </w:rPr>
        <w:t xml:space="preserve"> Gjithashtu integron nisma për të fuqizuar fëmijët në moshë shkollore, si fushata të udhëhequra nga nxënësit, </w:t>
      </w:r>
      <w:r w:rsidRPr="00622884">
        <w:rPr>
          <w:rFonts w:ascii="Garamond" w:eastAsia="Calibri" w:hAnsi="Garamond" w:cs="Times New Roman"/>
          <w:i/>
          <w:sz w:val="24"/>
          <w:szCs w:val="24"/>
          <w:lang w:eastAsia="en-US" w:bidi="sq-AL"/>
        </w:rPr>
        <w:t>workshop</w:t>
      </w:r>
      <w:r w:rsidRPr="00622884">
        <w:rPr>
          <w:rFonts w:ascii="Garamond" w:eastAsia="Calibri" w:hAnsi="Garamond" w:cs="Times New Roman"/>
          <w:sz w:val="24"/>
          <w:szCs w:val="24"/>
          <w:lang w:eastAsia="en-US" w:bidi="sq-AL"/>
        </w:rPr>
        <w:t xml:space="preserve">-e dhe projekte ndërvepruese që inkurajojnë praktikat inteligjente ndaj klimës, si mbjellja e pemëve, kursimi i energjisë dhe riciklimi. Përmes nxitjes së angazhimit të të rinjve, strategjia synon të ndërtojë një brez të ri që do të çojë përpara përpjekjet për përshtatje. Mjetet ndërvepruese si </w:t>
      </w:r>
      <w:r w:rsidRPr="00622884">
        <w:rPr>
          <w:rFonts w:ascii="Garamond" w:eastAsia="Calibri" w:hAnsi="Garamond" w:cs="Times New Roman"/>
          <w:i/>
          <w:sz w:val="24"/>
          <w:szCs w:val="24"/>
          <w:lang w:eastAsia="en-US" w:bidi="sq-AL"/>
        </w:rPr>
        <w:t>workshop</w:t>
      </w:r>
      <w:r w:rsidRPr="00622884">
        <w:rPr>
          <w:rFonts w:ascii="Garamond" w:eastAsia="Calibri" w:hAnsi="Garamond" w:cs="Times New Roman"/>
          <w:sz w:val="24"/>
          <w:szCs w:val="24"/>
          <w:lang w:eastAsia="en-US" w:bidi="sq-AL"/>
        </w:rPr>
        <w:t xml:space="preserve">-et virtuale, platformat e rrëfimit të historive dhe anketat online do të thellojnë angazhimin dhe do të mbledhin vlerësime. </w:t>
      </w:r>
    </w:p>
    <w:p w14:paraId="164FD027" w14:textId="77777777" w:rsidR="00622884" w:rsidRPr="00622884" w:rsidRDefault="00622884" w:rsidP="00622884">
      <w:pPr>
        <w:keepNext/>
        <w:keepLines/>
        <w:spacing w:after="0" w:line="240" w:lineRule="auto"/>
        <w:ind w:left="284"/>
        <w:outlineLvl w:val="1"/>
        <w:rPr>
          <w:rFonts w:ascii="Garamond" w:eastAsia="MS Mincho" w:hAnsi="Garamond" w:cs="Times New Roman"/>
          <w:b/>
          <w:bCs/>
          <w:caps/>
          <w:sz w:val="24"/>
          <w:szCs w:val="24"/>
          <w:lang w:eastAsia="es-ES"/>
        </w:rPr>
      </w:pPr>
      <w:bookmarkStart w:id="294" w:name="_Toc213936246"/>
      <w:r w:rsidRPr="00622884">
        <w:rPr>
          <w:rFonts w:ascii="Garamond" w:eastAsia="MS Mincho" w:hAnsi="Garamond" w:cs="Times New Roman"/>
          <w:b/>
          <w:bCs/>
          <w:caps/>
          <w:sz w:val="24"/>
          <w:szCs w:val="24"/>
          <w:lang w:eastAsia="es-ES" w:bidi="sq-AL"/>
        </w:rPr>
        <w:t xml:space="preserve">8.1 </w:t>
      </w:r>
      <w:r w:rsidRPr="00622884">
        <w:rPr>
          <w:rFonts w:ascii="Garamond" w:eastAsia="MS Mincho" w:hAnsi="Garamond" w:cs="Times New Roman"/>
          <w:b/>
          <w:bCs/>
          <w:sz w:val="24"/>
          <w:szCs w:val="24"/>
          <w:lang w:eastAsia="es-ES" w:bidi="sq-AL"/>
        </w:rPr>
        <w:t>Objektivat kryesorë të komunikimit dhe angazhimit</w:t>
      </w:r>
      <w:bookmarkEnd w:id="294"/>
    </w:p>
    <w:p w14:paraId="0EF12C48" w14:textId="77777777" w:rsidR="00622884" w:rsidRPr="00622884" w:rsidRDefault="00622884" w:rsidP="00622884">
      <w:pPr>
        <w:spacing w:after="0" w:line="240" w:lineRule="auto"/>
        <w:ind w:firstLine="284"/>
        <w:rPr>
          <w:rFonts w:ascii="Garamond" w:eastAsia="SimSun" w:hAnsi="Garamond" w:cs="Calibri Light"/>
          <w:sz w:val="24"/>
          <w:szCs w:val="24"/>
          <w:lang w:eastAsia="en-US"/>
        </w:rPr>
      </w:pPr>
      <w:r w:rsidRPr="00622884">
        <w:rPr>
          <w:rFonts w:ascii="Garamond" w:eastAsia="Calibri" w:hAnsi="Garamond" w:cs="Times New Roman"/>
          <w:sz w:val="24"/>
          <w:szCs w:val="24"/>
          <w:lang w:eastAsia="en-US" w:bidi="sq-AL"/>
        </w:rPr>
        <w:t>Qëllimi kryesor për planin e angazhimit të palëve të interesit është:</w:t>
      </w:r>
    </w:p>
    <w:tbl>
      <w:tblPr>
        <w:tblW w:w="8926" w:type="dxa"/>
        <w:tblBorders>
          <w:top w:val="single" w:sz="4" w:space="0" w:color="1D3C5A"/>
          <w:left w:val="single" w:sz="4" w:space="0" w:color="1D3C5A"/>
          <w:bottom w:val="single" w:sz="4" w:space="0" w:color="1D3C5A"/>
          <w:right w:val="single" w:sz="4" w:space="0" w:color="1D3C5A"/>
          <w:insideH w:val="single" w:sz="4" w:space="0" w:color="1D3C5A"/>
          <w:insideV w:val="single" w:sz="4" w:space="0" w:color="1D3C5A"/>
        </w:tblBorders>
        <w:shd w:val="clear" w:color="auto" w:fill="D6F2E9"/>
        <w:tblLook w:val="04A0" w:firstRow="1" w:lastRow="0" w:firstColumn="1" w:lastColumn="0" w:noHBand="0" w:noVBand="1"/>
      </w:tblPr>
      <w:tblGrid>
        <w:gridCol w:w="8926"/>
      </w:tblGrid>
      <w:tr w:rsidR="00622884" w:rsidRPr="00622884" w14:paraId="0CB6E628" w14:textId="77777777" w:rsidTr="00622884">
        <w:trPr>
          <w:trHeight w:val="454"/>
        </w:trPr>
        <w:tc>
          <w:tcPr>
            <w:tcW w:w="8926" w:type="dxa"/>
            <w:tcBorders>
              <w:top w:val="single" w:sz="4" w:space="0" w:color="1D3C5A"/>
              <w:left w:val="single" w:sz="4" w:space="0" w:color="1D3C5A"/>
              <w:bottom w:val="single" w:sz="4" w:space="0" w:color="1D3C5A"/>
              <w:right w:val="single" w:sz="4" w:space="0" w:color="1D3C5A"/>
            </w:tcBorders>
            <w:shd w:val="clear" w:color="auto" w:fill="D6F2E9"/>
            <w:hideMark/>
          </w:tcPr>
          <w:p w14:paraId="553C7DE7" w14:textId="77777777" w:rsidR="00622884" w:rsidRPr="00622884" w:rsidRDefault="00622884" w:rsidP="00622884">
            <w:pPr>
              <w:spacing w:after="0" w:line="240" w:lineRule="auto"/>
              <w:rPr>
                <w:rFonts w:ascii="Garamond" w:eastAsia="SimSun" w:hAnsi="Garamond" w:cs="Calibri Light"/>
                <w:b/>
                <w:bCs/>
                <w:sz w:val="20"/>
                <w:szCs w:val="20"/>
                <w:lang w:eastAsia="en-US"/>
              </w:rPr>
            </w:pPr>
            <w:r w:rsidRPr="00622884">
              <w:rPr>
                <w:rFonts w:ascii="Garamond" w:eastAsia="Calibri" w:hAnsi="Garamond" w:cs="Times New Roman"/>
                <w:b/>
                <w:sz w:val="20"/>
                <w:szCs w:val="20"/>
                <w:lang w:eastAsia="en-US" w:bidi="sq-AL"/>
              </w:rPr>
              <w:t xml:space="preserve">Të pozicionohet përshtatja ndaj klimës si prioritet kombëtar në Shqipëri nëpërmjet shfrytëzimit të komunikimit strategjik si një mjet për angazhimin e palëve të interesit, nxitjen e veprimit kolektiv dhe </w:t>
            </w:r>
            <w:r w:rsidRPr="00622884">
              <w:rPr>
                <w:rFonts w:ascii="Garamond" w:eastAsia="Calibri" w:hAnsi="Garamond" w:cs="Times New Roman"/>
                <w:b/>
                <w:sz w:val="20"/>
                <w:szCs w:val="20"/>
                <w:lang w:eastAsia="en-US" w:bidi="sq-AL"/>
              </w:rPr>
              <w:lastRenderedPageBreak/>
              <w:t>përmirësimin e aftësisë ripërtëritëse afatgjatë në të gjithë sektorët kyç të ekonomisë.</w:t>
            </w:r>
          </w:p>
        </w:tc>
      </w:tr>
    </w:tbl>
    <w:p w14:paraId="5FA83AD6" w14:textId="77777777" w:rsidR="00622884" w:rsidRPr="00622884" w:rsidRDefault="00622884" w:rsidP="00622884">
      <w:pPr>
        <w:spacing w:after="0" w:line="240" w:lineRule="auto"/>
        <w:ind w:firstLine="284"/>
        <w:rPr>
          <w:rFonts w:ascii="Garamond" w:eastAsia="SimSun" w:hAnsi="Garamond" w:cs="Calibri Light"/>
          <w:sz w:val="24"/>
          <w:szCs w:val="24"/>
          <w:lang w:eastAsia="en-US"/>
        </w:rPr>
      </w:pPr>
      <w:r w:rsidRPr="00622884">
        <w:rPr>
          <w:rFonts w:ascii="Garamond" w:eastAsia="Calibri" w:hAnsi="Garamond" w:cs="Times New Roman"/>
          <w:sz w:val="24"/>
          <w:szCs w:val="24"/>
          <w:lang w:eastAsia="en-US" w:bidi="sq-AL"/>
        </w:rPr>
        <w:lastRenderedPageBreak/>
        <w:t>Ky qëllim materializohet në pesë objektiva që do të udhëheqin të gjitha veprimtaritë e komunikimit dhe angazhimit të palëve të interesit të NAP-it:</w:t>
      </w:r>
    </w:p>
    <w:p w14:paraId="53E60752" w14:textId="77777777" w:rsidR="00622884" w:rsidRPr="00622884" w:rsidRDefault="00622884" w:rsidP="00622884">
      <w:pPr>
        <w:spacing w:after="0" w:line="240" w:lineRule="auto"/>
        <w:ind w:firstLine="284"/>
        <w:rPr>
          <w:rFonts w:ascii="Garamond" w:eastAsia="Calibri" w:hAnsi="Garamond" w:cs="Times New Roman"/>
          <w:b/>
          <w:sz w:val="24"/>
          <w:szCs w:val="24"/>
          <w:lang w:eastAsia="en-US" w:bidi="sq-AL"/>
        </w:rPr>
      </w:pPr>
      <w:r w:rsidRPr="00622884">
        <w:rPr>
          <w:rFonts w:ascii="Garamond" w:eastAsia="Calibri" w:hAnsi="Garamond" w:cs="Times New Roman"/>
          <w:b/>
          <w:sz w:val="24"/>
          <w:szCs w:val="24"/>
          <w:lang w:eastAsia="en-US" w:bidi="sq-AL"/>
        </w:rPr>
        <w:t>1. Rritja e ndërgjegjësimit për klimën</w:t>
      </w:r>
    </w:p>
    <w:p w14:paraId="3AB3BDFD" w14:textId="77777777" w:rsidR="00622884" w:rsidRPr="00622884" w:rsidRDefault="00622884" w:rsidP="00622884">
      <w:pPr>
        <w:spacing w:after="0" w:line="240" w:lineRule="auto"/>
        <w:ind w:firstLine="284"/>
        <w:rPr>
          <w:rFonts w:ascii="Garamond" w:eastAsia="Calibri" w:hAnsi="Garamond" w:cs="Times New Roman"/>
          <w:sz w:val="24"/>
          <w:szCs w:val="24"/>
          <w:lang w:eastAsia="en-US" w:bidi="sq-AL"/>
        </w:rPr>
      </w:pPr>
      <w:r w:rsidRPr="00622884">
        <w:rPr>
          <w:rFonts w:ascii="Garamond" w:eastAsia="Calibri" w:hAnsi="Garamond" w:cs="Times New Roman"/>
          <w:sz w:val="24"/>
          <w:szCs w:val="24"/>
          <w:lang w:eastAsia="en-US" w:bidi="sq-AL"/>
        </w:rPr>
        <w:t>Ky objektiv thekson rritjen e ndërgjegjësimit kombëtar për risqet klimatike dhe masat e përshtatjes përmes mesazheve të synuara, fushatave digjitale dhe shtrirjes së aktiviteteve në komunitet. Veprimtaritë do të paraqesin risqet klimatike, do të shfaqin praktikat e suksesshme të përshtatjes dhe do të luftojnë keqinformimin, duke siguruar që publiku i gjerë të njohë rëndësinë e përshtatjes për zhvillimin me aftësi ripërtëritëse ndaj ndryshimeve klimatike në Shqipëri.</w:t>
      </w:r>
    </w:p>
    <w:p w14:paraId="1C8C6DA7" w14:textId="77777777" w:rsidR="00622884" w:rsidRPr="00622884" w:rsidRDefault="00622884" w:rsidP="00622884">
      <w:pPr>
        <w:spacing w:after="0" w:line="240" w:lineRule="auto"/>
        <w:ind w:firstLine="284"/>
        <w:rPr>
          <w:rFonts w:ascii="Garamond" w:eastAsia="Calibri" w:hAnsi="Garamond" w:cs="Times New Roman"/>
          <w:b/>
          <w:sz w:val="24"/>
          <w:szCs w:val="24"/>
          <w:lang w:eastAsia="en-US" w:bidi="sq-AL"/>
        </w:rPr>
      </w:pPr>
      <w:r w:rsidRPr="00622884">
        <w:rPr>
          <w:rFonts w:ascii="Garamond" w:eastAsia="Calibri" w:hAnsi="Garamond" w:cs="Times New Roman"/>
          <w:b/>
          <w:sz w:val="24"/>
          <w:szCs w:val="24"/>
          <w:lang w:eastAsia="en-US" w:bidi="sq-AL"/>
        </w:rPr>
        <w:t>2. Forcimi i koordinimit institucional</w:t>
      </w:r>
    </w:p>
    <w:p w14:paraId="525751DE" w14:textId="77777777" w:rsidR="00622884" w:rsidRPr="00622884" w:rsidRDefault="00622884" w:rsidP="00622884">
      <w:pPr>
        <w:spacing w:after="0" w:line="240" w:lineRule="auto"/>
        <w:ind w:firstLine="284"/>
        <w:rPr>
          <w:rFonts w:ascii="Garamond" w:eastAsia="Calibri" w:hAnsi="Garamond" w:cs="Times New Roman"/>
          <w:sz w:val="24"/>
          <w:szCs w:val="24"/>
          <w:lang w:eastAsia="en-US" w:bidi="sq-AL"/>
        </w:rPr>
      </w:pPr>
      <w:r w:rsidRPr="00622884">
        <w:rPr>
          <w:rFonts w:ascii="Garamond" w:eastAsia="Calibri" w:hAnsi="Garamond" w:cs="Times New Roman"/>
          <w:sz w:val="24"/>
          <w:szCs w:val="24"/>
          <w:lang w:eastAsia="en-US" w:bidi="sq-AL"/>
        </w:rPr>
        <w:t xml:space="preserve">Ky objektiv përqendrohet në krijimin e partneriteteve dhe koordinimit midis institucioneve dhe sektorëve për të siguruar që ministritë, bashkitë dhe agjencitë teknike të kenë njohuritë dhe burimet e nevojshme për të integruar përshtatjen në vendimmarrje. Veprimtaritë do të përfshijnë </w:t>
      </w:r>
      <w:r w:rsidRPr="00622884">
        <w:rPr>
          <w:rFonts w:ascii="Garamond" w:eastAsia="Calibri" w:hAnsi="Garamond" w:cs="Times New Roman"/>
          <w:i/>
          <w:sz w:val="24"/>
          <w:szCs w:val="24"/>
          <w:lang w:eastAsia="en-US" w:bidi="sq-AL"/>
        </w:rPr>
        <w:t>workshop</w:t>
      </w:r>
      <w:r w:rsidRPr="00622884">
        <w:rPr>
          <w:rFonts w:ascii="Garamond" w:eastAsia="Calibri" w:hAnsi="Garamond" w:cs="Times New Roman"/>
          <w:sz w:val="24"/>
          <w:szCs w:val="24"/>
          <w:lang w:eastAsia="en-US" w:bidi="sq-AL"/>
        </w:rPr>
        <w:t>-e, seanca trajnimi dhe konsultime me ekspertë, duke siguruar që vendimmarrësit dhe palët e interesit të kenë qasje në njohuri të besueshme dhe të bashkëpunojnë në mënyrë të efektshme për prioritetet e përshtatjes.</w:t>
      </w:r>
    </w:p>
    <w:p w14:paraId="7AECA64F" w14:textId="77777777" w:rsidR="00622884" w:rsidRPr="00622884" w:rsidRDefault="00622884" w:rsidP="00622884">
      <w:pPr>
        <w:spacing w:after="0" w:line="240" w:lineRule="auto"/>
        <w:ind w:firstLine="284"/>
        <w:rPr>
          <w:rFonts w:ascii="Garamond" w:eastAsia="Calibri" w:hAnsi="Garamond" w:cs="Times New Roman"/>
          <w:b/>
          <w:sz w:val="24"/>
          <w:szCs w:val="24"/>
          <w:lang w:eastAsia="en-US" w:bidi="sq-AL"/>
        </w:rPr>
      </w:pPr>
      <w:r w:rsidRPr="00622884">
        <w:rPr>
          <w:rFonts w:ascii="Garamond" w:eastAsia="Calibri" w:hAnsi="Garamond" w:cs="Times New Roman"/>
          <w:b/>
          <w:sz w:val="24"/>
          <w:szCs w:val="24"/>
          <w:lang w:eastAsia="en-US" w:bidi="sq-AL"/>
        </w:rPr>
        <w:t>3. Integrimi i përshtatjes ndaj ndryshimeve klimatike në narrativat e politikave</w:t>
      </w:r>
    </w:p>
    <w:p w14:paraId="63B51DC8" w14:textId="77777777" w:rsidR="00622884" w:rsidRPr="00622884" w:rsidRDefault="00622884" w:rsidP="00622884">
      <w:pPr>
        <w:spacing w:after="0" w:line="240" w:lineRule="auto"/>
        <w:ind w:firstLine="284"/>
        <w:rPr>
          <w:rFonts w:ascii="Garamond" w:eastAsia="Calibri" w:hAnsi="Garamond" w:cs="Times New Roman"/>
          <w:sz w:val="24"/>
          <w:szCs w:val="24"/>
          <w:lang w:eastAsia="en-US" w:bidi="sq-AL"/>
        </w:rPr>
      </w:pPr>
      <w:r w:rsidRPr="00622884">
        <w:rPr>
          <w:rFonts w:ascii="Garamond" w:eastAsia="Calibri" w:hAnsi="Garamond" w:cs="Times New Roman"/>
          <w:sz w:val="24"/>
          <w:szCs w:val="24"/>
          <w:lang w:eastAsia="en-US" w:bidi="sq-AL"/>
        </w:rPr>
        <w:t>Ky objektiv siguron që politikëbërësit të mbështeten me instrumente komunikimi (të tilla si përmbledhje politikash, dialogë dhe mjete të synuara për advokim), që përfshijnë përshtatjen në planet kombëtare dhe vendore të zhvillimit. Duke lidhur përshtatjen me përfitimet ekonomike dhe sociale, PKAPI-i do të nxisë angazhim më të fortë politik dhe integrimin e prioriteteve klimatike në politika dhe plane.</w:t>
      </w:r>
    </w:p>
    <w:p w14:paraId="36446FE0" w14:textId="77777777" w:rsidR="00622884" w:rsidRPr="00622884" w:rsidRDefault="00622884" w:rsidP="00622884">
      <w:pPr>
        <w:spacing w:after="0" w:line="240" w:lineRule="auto"/>
        <w:ind w:firstLine="284"/>
        <w:rPr>
          <w:rFonts w:ascii="Garamond" w:eastAsia="Calibri" w:hAnsi="Garamond" w:cs="Times New Roman"/>
          <w:b/>
          <w:sz w:val="24"/>
          <w:szCs w:val="24"/>
          <w:lang w:eastAsia="en-US" w:bidi="sq-AL"/>
        </w:rPr>
      </w:pPr>
      <w:r w:rsidRPr="00622884">
        <w:rPr>
          <w:rFonts w:ascii="Garamond" w:eastAsia="Calibri" w:hAnsi="Garamond" w:cs="Times New Roman"/>
          <w:b/>
          <w:sz w:val="24"/>
          <w:szCs w:val="24"/>
          <w:lang w:eastAsia="en-US" w:bidi="sq-AL"/>
        </w:rPr>
        <w:t>4. Fuqizimi i zërave të cenueshëm</w:t>
      </w:r>
    </w:p>
    <w:p w14:paraId="7A84C5A1" w14:textId="77777777" w:rsidR="00622884" w:rsidRPr="00622884" w:rsidRDefault="00622884" w:rsidP="00622884">
      <w:pPr>
        <w:spacing w:after="0" w:line="240" w:lineRule="auto"/>
        <w:ind w:firstLine="284"/>
        <w:rPr>
          <w:rFonts w:ascii="Garamond" w:eastAsia="Calibri" w:hAnsi="Garamond" w:cs="Times New Roman"/>
          <w:sz w:val="24"/>
          <w:szCs w:val="24"/>
          <w:lang w:eastAsia="en-US" w:bidi="sq-AL"/>
        </w:rPr>
      </w:pPr>
      <w:r w:rsidRPr="00622884">
        <w:rPr>
          <w:rFonts w:ascii="Garamond" w:eastAsia="Calibri" w:hAnsi="Garamond" w:cs="Times New Roman"/>
          <w:sz w:val="24"/>
          <w:szCs w:val="24"/>
          <w:lang w:eastAsia="en-US" w:bidi="sq-AL"/>
        </w:rPr>
        <w:t xml:space="preserve">Ky objektiv promovon përfshirjen duke krijuar mundësi angazhimi në planifikimin e përshtatjes dhe vendimmarrje për grupet e cenueshme. Veprimtaritë do të përfshijnë </w:t>
      </w:r>
      <w:r w:rsidRPr="00622884">
        <w:rPr>
          <w:rFonts w:ascii="Garamond" w:eastAsia="Calibri" w:hAnsi="Garamond" w:cs="Times New Roman"/>
          <w:i/>
          <w:sz w:val="24"/>
          <w:szCs w:val="24"/>
          <w:lang w:eastAsia="en-US" w:bidi="sq-AL"/>
        </w:rPr>
        <w:t>workshop</w:t>
      </w:r>
      <w:r w:rsidRPr="00622884">
        <w:rPr>
          <w:rFonts w:ascii="Garamond" w:eastAsia="Calibri" w:hAnsi="Garamond" w:cs="Times New Roman"/>
          <w:sz w:val="24"/>
          <w:szCs w:val="24"/>
          <w:lang w:eastAsia="en-US" w:bidi="sq-AL"/>
        </w:rPr>
        <w:t>-e të synuara, materiale edukative të përshtatura dhe nisma shkollore, duke u mundësuar grave, të rinjve dhe komuniteteve të margjinalizuara të formësojnë agjendën e Shqipërisë për aftësitë ripërtëritëse ndaj ndryshimeve klimatike.</w:t>
      </w:r>
    </w:p>
    <w:p w14:paraId="529EA8D9" w14:textId="77777777" w:rsidR="00622884" w:rsidRPr="00622884" w:rsidRDefault="00622884" w:rsidP="00622884">
      <w:pPr>
        <w:spacing w:after="0" w:line="240" w:lineRule="auto"/>
        <w:ind w:firstLine="284"/>
        <w:rPr>
          <w:rFonts w:ascii="Garamond" w:eastAsia="Calibri" w:hAnsi="Garamond" w:cs="Times New Roman"/>
          <w:b/>
          <w:sz w:val="24"/>
          <w:szCs w:val="24"/>
          <w:lang w:eastAsia="en-US" w:bidi="sq-AL"/>
        </w:rPr>
      </w:pPr>
      <w:r w:rsidRPr="00622884">
        <w:rPr>
          <w:rFonts w:ascii="Garamond" w:eastAsia="Calibri" w:hAnsi="Garamond" w:cs="Times New Roman"/>
          <w:b/>
          <w:sz w:val="24"/>
          <w:szCs w:val="24"/>
          <w:lang w:eastAsia="en-US" w:bidi="sq-AL"/>
        </w:rPr>
        <w:t>5. Vazhdimi i angazhimit dhe dialogut</w:t>
      </w:r>
    </w:p>
    <w:p w14:paraId="2BC0744F" w14:textId="77777777" w:rsidR="00622884" w:rsidRPr="00622884" w:rsidRDefault="00622884" w:rsidP="00622884">
      <w:pPr>
        <w:spacing w:after="0" w:line="240" w:lineRule="auto"/>
        <w:ind w:firstLine="284"/>
        <w:rPr>
          <w:rFonts w:ascii="Garamond" w:eastAsia="Calibri" w:hAnsi="Garamond" w:cs="Times New Roman"/>
          <w:sz w:val="24"/>
          <w:szCs w:val="24"/>
          <w:lang w:eastAsia="en-US" w:bidi="sq-AL"/>
        </w:rPr>
      </w:pPr>
      <w:r w:rsidRPr="00622884">
        <w:rPr>
          <w:rFonts w:ascii="Garamond" w:eastAsia="Calibri" w:hAnsi="Garamond" w:cs="Times New Roman"/>
          <w:sz w:val="24"/>
          <w:szCs w:val="24"/>
          <w:lang w:eastAsia="en-US" w:bidi="sq-AL"/>
        </w:rPr>
        <w:t>Ky objektiv thekson rëndësinë e vazhdimit të angazhimit me kalimin e kohës. Aktivitetet do të përqendrohen në paraqitjen e arritjeve lidhur me përshtatjen, krijimin e platformave ndërvepruese për ndarjen e njohurive dhe vlerësimet e vazhdueshme, si dhe promovimin e bashkëpunimit me sektorin privat për të siguruar burime dhe për të nxitur veprime të vazhdueshme.</w:t>
      </w:r>
    </w:p>
    <w:p w14:paraId="113ACE9F" w14:textId="77777777" w:rsidR="00622884" w:rsidRPr="00622884" w:rsidRDefault="00622884" w:rsidP="00622884">
      <w:pPr>
        <w:spacing w:after="0" w:line="240" w:lineRule="auto"/>
        <w:ind w:firstLine="284"/>
        <w:rPr>
          <w:rFonts w:ascii="Garamond" w:eastAsia="SimSun" w:hAnsi="Garamond" w:cs="Calibri Light"/>
          <w:b/>
          <w:sz w:val="24"/>
          <w:szCs w:val="24"/>
          <w:lang w:eastAsia="en-US"/>
        </w:rPr>
      </w:pPr>
      <w:r w:rsidRPr="00622884">
        <w:rPr>
          <w:rFonts w:ascii="Garamond" w:eastAsia="Calibri" w:hAnsi="Garamond" w:cs="Times New Roman"/>
          <w:b/>
          <w:sz w:val="24"/>
          <w:szCs w:val="24"/>
          <w:lang w:eastAsia="en-US" w:bidi="sq-AL"/>
        </w:rPr>
        <w:t>Parimet udhëzuese</w:t>
      </w:r>
    </w:p>
    <w:p w14:paraId="18156E06" w14:textId="77777777" w:rsidR="00622884" w:rsidRPr="00622884" w:rsidRDefault="00622884" w:rsidP="00622884">
      <w:pPr>
        <w:spacing w:after="0" w:line="240" w:lineRule="auto"/>
        <w:ind w:firstLine="284"/>
        <w:rPr>
          <w:rFonts w:ascii="Garamond" w:eastAsia="SimSun" w:hAnsi="Garamond" w:cs="Calibri Light"/>
          <w:sz w:val="24"/>
          <w:szCs w:val="24"/>
          <w:lang w:eastAsia="en-US"/>
        </w:rPr>
      </w:pPr>
      <w:r w:rsidRPr="00622884">
        <w:rPr>
          <w:rFonts w:ascii="Garamond" w:eastAsia="Calibri" w:hAnsi="Garamond" w:cs="Times New Roman"/>
          <w:sz w:val="24"/>
          <w:szCs w:val="24"/>
          <w:lang w:eastAsia="en-US" w:bidi="sq-AL"/>
        </w:rPr>
        <w:t>Të gjitha veprimtaritë e komunikimit dhe angazhimit në NAP do të udhëhiqen nga parimet e mëposhtme udhëzuese:</w:t>
      </w:r>
    </w:p>
    <w:p w14:paraId="092AA1DE" w14:textId="77777777" w:rsidR="00622884" w:rsidRPr="00622884" w:rsidRDefault="00622884" w:rsidP="00622884">
      <w:pPr>
        <w:tabs>
          <w:tab w:val="left" w:pos="5325"/>
        </w:tabs>
        <w:spacing w:after="0" w:line="240" w:lineRule="auto"/>
        <w:ind w:firstLine="284"/>
        <w:rPr>
          <w:rFonts w:ascii="Garamond" w:eastAsia="SimSun" w:hAnsi="Garamond" w:cs="Calibri Light"/>
          <w:sz w:val="24"/>
          <w:szCs w:val="24"/>
          <w:lang w:eastAsia="en-US"/>
        </w:rPr>
      </w:pPr>
      <w:r w:rsidRPr="00622884">
        <w:rPr>
          <w:rFonts w:ascii="Garamond" w:eastAsia="Calibri" w:hAnsi="Garamond" w:cs="Times New Roman"/>
          <w:sz w:val="24"/>
          <w:szCs w:val="24"/>
          <w:lang w:eastAsia="en-US" w:bidi="sq-AL"/>
        </w:rPr>
        <w:t>-</w:t>
      </w:r>
      <w:r w:rsidRPr="00622884">
        <w:rPr>
          <w:rFonts w:ascii="Garamond" w:eastAsia="Calibri" w:hAnsi="Garamond" w:cs="Times New Roman"/>
          <w:b/>
          <w:sz w:val="24"/>
          <w:szCs w:val="24"/>
          <w:lang w:eastAsia="en-US" w:bidi="sq-AL"/>
        </w:rPr>
        <w:t xml:space="preserve"> Shpërndarja e mesazheve të bazuara në shkencë:</w:t>
      </w:r>
      <w:r w:rsidRPr="00622884">
        <w:rPr>
          <w:rFonts w:ascii="Garamond" w:eastAsia="Calibri" w:hAnsi="Garamond" w:cs="Times New Roman"/>
          <w:sz w:val="24"/>
          <w:szCs w:val="24"/>
          <w:lang w:eastAsia="en-US" w:bidi="sq-AL"/>
        </w:rPr>
        <w:t xml:space="preserve"> Sigurimi që komunikimi për përshtatjen të bazohet në të dhënat klimatike, vlerësimet e riskut dhe studimet sektoriale, siç përshkruhet në NAP;</w:t>
      </w:r>
    </w:p>
    <w:p w14:paraId="43907247" w14:textId="77777777" w:rsidR="00622884" w:rsidRPr="00622884" w:rsidRDefault="00622884" w:rsidP="00622884">
      <w:pPr>
        <w:tabs>
          <w:tab w:val="left" w:pos="5325"/>
        </w:tabs>
        <w:spacing w:after="0" w:line="240" w:lineRule="auto"/>
        <w:ind w:firstLine="284"/>
        <w:rPr>
          <w:rFonts w:ascii="Garamond" w:eastAsia="SimSun" w:hAnsi="Garamond" w:cs="Calibri Light"/>
          <w:sz w:val="24"/>
          <w:szCs w:val="24"/>
          <w:lang w:eastAsia="en-US"/>
        </w:rPr>
      </w:pPr>
      <w:r w:rsidRPr="00622884">
        <w:rPr>
          <w:rFonts w:ascii="Garamond" w:eastAsia="Calibri" w:hAnsi="Garamond" w:cs="Times New Roman"/>
          <w:sz w:val="24"/>
          <w:szCs w:val="24"/>
          <w:lang w:eastAsia="en-US" w:bidi="sq-AL"/>
        </w:rPr>
        <w:t>-</w:t>
      </w:r>
      <w:r w:rsidRPr="00622884">
        <w:rPr>
          <w:rFonts w:ascii="Garamond" w:eastAsia="Calibri" w:hAnsi="Garamond" w:cs="Times New Roman"/>
          <w:b/>
          <w:sz w:val="24"/>
          <w:szCs w:val="24"/>
          <w:lang w:eastAsia="en-US" w:bidi="sq-AL"/>
        </w:rPr>
        <w:t xml:space="preserve"> Angazhimi i shumë palëve të interesit:</w:t>
      </w:r>
      <w:r w:rsidRPr="00622884">
        <w:rPr>
          <w:rFonts w:ascii="Garamond" w:eastAsia="Calibri" w:hAnsi="Garamond" w:cs="Times New Roman"/>
          <w:sz w:val="24"/>
          <w:szCs w:val="24"/>
          <w:lang w:eastAsia="en-US" w:bidi="sq-AL"/>
        </w:rPr>
        <w:t xml:space="preserve"> Forcimi i bashkëpunimit midis qeverisë, sektorit privat, shoqërisë civile dhe partnerëve ndërkombëtarë për të përshpejtuar përshtatjen;</w:t>
      </w:r>
    </w:p>
    <w:p w14:paraId="177CE337" w14:textId="77777777" w:rsidR="00622884" w:rsidRPr="00622884" w:rsidRDefault="00622884" w:rsidP="00622884">
      <w:pPr>
        <w:tabs>
          <w:tab w:val="left" w:pos="5325"/>
        </w:tabs>
        <w:spacing w:after="0" w:line="240" w:lineRule="auto"/>
        <w:ind w:firstLine="284"/>
        <w:rPr>
          <w:rFonts w:ascii="Garamond" w:eastAsia="SimSun" w:hAnsi="Garamond" w:cs="Calibri Light"/>
          <w:sz w:val="24"/>
          <w:szCs w:val="24"/>
          <w:lang w:eastAsia="en-US"/>
        </w:rPr>
      </w:pPr>
      <w:r w:rsidRPr="00622884">
        <w:rPr>
          <w:rFonts w:ascii="Garamond" w:eastAsia="Calibri" w:hAnsi="Garamond" w:cs="Times New Roman"/>
          <w:sz w:val="24"/>
          <w:szCs w:val="24"/>
          <w:lang w:eastAsia="en-US" w:bidi="sq-AL"/>
        </w:rPr>
        <w:t>-</w:t>
      </w:r>
      <w:r w:rsidRPr="00622884">
        <w:rPr>
          <w:rFonts w:ascii="Garamond" w:eastAsia="Calibri" w:hAnsi="Garamond" w:cs="Times New Roman"/>
          <w:b/>
          <w:sz w:val="24"/>
          <w:szCs w:val="24"/>
          <w:lang w:eastAsia="en-US" w:bidi="sq-AL"/>
        </w:rPr>
        <w:t xml:space="preserve"> Lokalizimi i strategjive:</w:t>
      </w:r>
      <w:r w:rsidRPr="00622884">
        <w:rPr>
          <w:rFonts w:ascii="Garamond" w:eastAsia="Calibri" w:hAnsi="Garamond" w:cs="Times New Roman"/>
          <w:sz w:val="24"/>
          <w:szCs w:val="24"/>
          <w:lang w:eastAsia="en-US" w:bidi="sq-AL"/>
        </w:rPr>
        <w:t xml:space="preserve"> Sigurimi që PVP-të komunikohen dhe zbatohen në mënyrë të efektshme në nivel bashkiak;</w:t>
      </w:r>
    </w:p>
    <w:p w14:paraId="2D256B28" w14:textId="77777777" w:rsidR="00622884" w:rsidRPr="00622884" w:rsidRDefault="00622884" w:rsidP="00622884">
      <w:pPr>
        <w:tabs>
          <w:tab w:val="left" w:pos="5325"/>
        </w:tabs>
        <w:spacing w:after="0" w:line="240" w:lineRule="auto"/>
        <w:ind w:firstLine="284"/>
        <w:rPr>
          <w:rFonts w:ascii="Garamond" w:eastAsia="SimSun" w:hAnsi="Garamond" w:cs="Calibri Light"/>
          <w:sz w:val="24"/>
          <w:szCs w:val="24"/>
          <w:lang w:eastAsia="en-US"/>
        </w:rPr>
      </w:pPr>
      <w:r w:rsidRPr="00622884">
        <w:rPr>
          <w:rFonts w:ascii="Garamond" w:eastAsia="Calibri" w:hAnsi="Garamond" w:cs="Times New Roman"/>
          <w:sz w:val="24"/>
          <w:szCs w:val="24"/>
          <w:lang w:eastAsia="en-US" w:bidi="sq-AL"/>
        </w:rPr>
        <w:t>-</w:t>
      </w:r>
      <w:r w:rsidRPr="00622884">
        <w:rPr>
          <w:rFonts w:ascii="Garamond" w:eastAsia="Calibri" w:hAnsi="Garamond" w:cs="Times New Roman"/>
          <w:b/>
          <w:sz w:val="24"/>
          <w:szCs w:val="24"/>
          <w:lang w:eastAsia="en-US" w:bidi="sq-AL"/>
        </w:rPr>
        <w:t xml:space="preserve"> Përfshirja dhe barazia:</w:t>
      </w:r>
      <w:r w:rsidRPr="00622884">
        <w:rPr>
          <w:rFonts w:ascii="Garamond" w:eastAsia="Calibri" w:hAnsi="Garamond" w:cs="Times New Roman"/>
          <w:sz w:val="24"/>
          <w:szCs w:val="24"/>
          <w:lang w:eastAsia="en-US" w:bidi="sq-AL"/>
        </w:rPr>
        <w:t xml:space="preserve"> Prioritizimi i qasjeve të përgjigjshme gjinore dhe i vendimmarrjes me pjesëmarrje për të përforcuar zërat e grave, të rinjve dhe komuniteteve të margjinalizuara;</w:t>
      </w:r>
    </w:p>
    <w:p w14:paraId="0F8C9D86" w14:textId="77777777" w:rsidR="00622884" w:rsidRPr="00622884" w:rsidRDefault="00622884" w:rsidP="00622884">
      <w:pPr>
        <w:tabs>
          <w:tab w:val="left" w:pos="5325"/>
        </w:tabs>
        <w:spacing w:after="0" w:line="240" w:lineRule="auto"/>
        <w:ind w:firstLine="284"/>
        <w:rPr>
          <w:rFonts w:ascii="Garamond" w:eastAsia="SimSun" w:hAnsi="Garamond" w:cs="Calibri Light"/>
          <w:sz w:val="24"/>
          <w:szCs w:val="24"/>
          <w:lang w:eastAsia="en-US"/>
        </w:rPr>
      </w:pPr>
      <w:r w:rsidRPr="00622884">
        <w:rPr>
          <w:rFonts w:ascii="Garamond" w:eastAsia="Calibri" w:hAnsi="Garamond" w:cs="Times New Roman"/>
          <w:sz w:val="24"/>
          <w:szCs w:val="24"/>
          <w:lang w:eastAsia="en-US" w:bidi="sq-AL"/>
        </w:rPr>
        <w:t>-</w:t>
      </w:r>
      <w:r w:rsidRPr="00622884">
        <w:rPr>
          <w:rFonts w:ascii="Garamond" w:eastAsia="Calibri" w:hAnsi="Garamond" w:cs="Times New Roman"/>
          <w:b/>
          <w:sz w:val="24"/>
          <w:szCs w:val="24"/>
          <w:lang w:eastAsia="en-US" w:bidi="sq-AL"/>
        </w:rPr>
        <w:t xml:space="preserve"> Transparenca dhe llogaridhënia:</w:t>
      </w:r>
      <w:r w:rsidRPr="00622884">
        <w:rPr>
          <w:rFonts w:ascii="Garamond" w:eastAsia="Calibri" w:hAnsi="Garamond" w:cs="Times New Roman"/>
          <w:sz w:val="24"/>
          <w:szCs w:val="24"/>
          <w:lang w:eastAsia="en-US" w:bidi="sq-AL"/>
        </w:rPr>
        <w:t xml:space="preserve"> Vendosja e mekanizmave të qartë monitorues për të ndjekur ecurinë e NAP-it, angazhimin publik dhe ndikimin në komunikim.</w:t>
      </w:r>
    </w:p>
    <w:p w14:paraId="2083D5CE" w14:textId="77777777" w:rsidR="00622884" w:rsidRPr="00622884" w:rsidRDefault="00622884" w:rsidP="00622884">
      <w:pPr>
        <w:keepNext/>
        <w:keepLines/>
        <w:spacing w:after="0" w:line="240" w:lineRule="auto"/>
        <w:ind w:firstLine="284"/>
        <w:outlineLvl w:val="1"/>
        <w:rPr>
          <w:rFonts w:ascii="Garamond" w:eastAsia="MS Mincho" w:hAnsi="Garamond" w:cs="Times New Roman"/>
          <w:b/>
          <w:bCs/>
          <w:caps/>
          <w:sz w:val="24"/>
          <w:szCs w:val="24"/>
          <w:lang w:eastAsia="es-ES"/>
        </w:rPr>
      </w:pPr>
      <w:bookmarkStart w:id="295" w:name="_Toc213936247"/>
      <w:r w:rsidRPr="00622884">
        <w:rPr>
          <w:rFonts w:ascii="Garamond" w:eastAsia="MS Mincho" w:hAnsi="Garamond" w:cs="Times New Roman"/>
          <w:b/>
          <w:bCs/>
          <w:caps/>
          <w:sz w:val="24"/>
          <w:szCs w:val="24"/>
          <w:lang w:eastAsia="es-ES" w:bidi="sq-AL"/>
        </w:rPr>
        <w:t xml:space="preserve">8.2 </w:t>
      </w:r>
      <w:r w:rsidRPr="00622884">
        <w:rPr>
          <w:rFonts w:ascii="Garamond" w:eastAsia="MS Mincho" w:hAnsi="Garamond" w:cs="Times New Roman"/>
          <w:b/>
          <w:bCs/>
          <w:sz w:val="24"/>
          <w:szCs w:val="24"/>
          <w:lang w:eastAsia="es-ES" w:bidi="sq-AL"/>
        </w:rPr>
        <w:t>Audiencat kryesore</w:t>
      </w:r>
      <w:bookmarkEnd w:id="295"/>
    </w:p>
    <w:p w14:paraId="7CADF52E" w14:textId="77777777" w:rsidR="00622884" w:rsidRPr="00622884" w:rsidRDefault="00622884" w:rsidP="00622884">
      <w:pPr>
        <w:spacing w:after="0" w:line="240" w:lineRule="auto"/>
        <w:ind w:firstLine="284"/>
        <w:rPr>
          <w:rFonts w:ascii="Garamond" w:eastAsia="SimSun" w:hAnsi="Garamond" w:cs="Calibri Light"/>
          <w:sz w:val="24"/>
          <w:szCs w:val="24"/>
          <w:lang w:eastAsia="en-US"/>
        </w:rPr>
      </w:pPr>
      <w:r w:rsidRPr="00622884">
        <w:rPr>
          <w:rFonts w:ascii="Garamond" w:eastAsia="Calibri" w:hAnsi="Garamond" w:cs="Times New Roman"/>
          <w:sz w:val="24"/>
          <w:szCs w:val="24"/>
          <w:lang w:eastAsia="en-US" w:bidi="sq-AL"/>
        </w:rPr>
        <w:t>Grupet e synuara të audiencës për PKAPI-në ndahen si më poshtë:</w:t>
      </w:r>
    </w:p>
    <w:p w14:paraId="38A3F281" w14:textId="77777777" w:rsidR="00622884" w:rsidRPr="00622884" w:rsidRDefault="00622884" w:rsidP="00622884">
      <w:pPr>
        <w:tabs>
          <w:tab w:val="left" w:pos="5325"/>
        </w:tabs>
        <w:spacing w:after="0" w:line="240" w:lineRule="auto"/>
        <w:ind w:firstLine="284"/>
        <w:rPr>
          <w:rFonts w:ascii="Garamond" w:eastAsia="SimSun" w:hAnsi="Garamond" w:cs="Calibri Light"/>
          <w:sz w:val="24"/>
          <w:szCs w:val="24"/>
          <w:lang w:eastAsia="en-US"/>
        </w:rPr>
      </w:pPr>
      <w:r w:rsidRPr="00622884">
        <w:rPr>
          <w:rFonts w:ascii="Garamond" w:eastAsia="Calibri" w:hAnsi="Garamond" w:cs="Times New Roman"/>
          <w:sz w:val="24"/>
          <w:szCs w:val="24"/>
          <w:lang w:eastAsia="en-US" w:bidi="sq-AL"/>
        </w:rPr>
        <w:lastRenderedPageBreak/>
        <w:t>-</w:t>
      </w:r>
      <w:r w:rsidRPr="00622884">
        <w:rPr>
          <w:rFonts w:ascii="Garamond" w:eastAsia="Calibri" w:hAnsi="Garamond" w:cs="Times New Roman"/>
          <w:b/>
          <w:sz w:val="24"/>
          <w:szCs w:val="24"/>
          <w:lang w:eastAsia="en-US" w:bidi="sq-AL"/>
        </w:rPr>
        <w:t xml:space="preserve"> Institucionet qeveritare</w:t>
      </w:r>
      <w:r w:rsidRPr="00622884">
        <w:rPr>
          <w:rFonts w:ascii="Garamond" w:eastAsia="Calibri" w:hAnsi="Garamond" w:cs="Times New Roman"/>
          <w:sz w:val="24"/>
          <w:szCs w:val="24"/>
          <w:lang w:eastAsia="en-US" w:bidi="sq-AL"/>
        </w:rPr>
        <w:t xml:space="preserve"> udhëheqin zbatimin e NAP-it të Shqipërisë duke integruar përshtatjen në politikat sektoriale dhe duke siguruar koherencë ndërmjet veprimeve kombëtare dhe vendore. Ministria e Mjedisit, së bashku me ministritë kryesore të linjës dhe bashkitë, koordinon planifikimin dhe financimin, ndërsa qeveritë vendore i përshtatin masat sipas risqeve rajonale. Këto veprime mbështeten përmes një strategjie komunikimi me anë të dokumenteve të shkurtra të politikave, ngritjes së kapaciteteve dhe raporteve të progresit;</w:t>
      </w:r>
    </w:p>
    <w:p w14:paraId="049AFE08" w14:textId="77777777" w:rsidR="00622884" w:rsidRPr="00622884" w:rsidRDefault="00622884" w:rsidP="00622884">
      <w:pPr>
        <w:tabs>
          <w:tab w:val="left" w:pos="5325"/>
        </w:tabs>
        <w:spacing w:after="0" w:line="240" w:lineRule="auto"/>
        <w:ind w:firstLine="284"/>
        <w:rPr>
          <w:rFonts w:ascii="Garamond" w:eastAsia="SimSun" w:hAnsi="Garamond" w:cs="Calibri Light"/>
          <w:sz w:val="24"/>
          <w:szCs w:val="24"/>
          <w:lang w:eastAsia="en-US"/>
        </w:rPr>
      </w:pPr>
      <w:r w:rsidRPr="00622884">
        <w:rPr>
          <w:rFonts w:ascii="Garamond" w:eastAsia="Calibri" w:hAnsi="Garamond" w:cs="Times New Roman"/>
          <w:sz w:val="24"/>
          <w:szCs w:val="24"/>
          <w:lang w:eastAsia="en-US" w:bidi="sq-AL"/>
        </w:rPr>
        <w:t>-</w:t>
      </w:r>
      <w:r w:rsidRPr="00622884">
        <w:rPr>
          <w:rFonts w:ascii="Garamond" w:eastAsia="Calibri" w:hAnsi="Garamond" w:cs="Times New Roman"/>
          <w:b/>
          <w:sz w:val="24"/>
          <w:szCs w:val="24"/>
          <w:lang w:eastAsia="en-US" w:bidi="sq-AL"/>
        </w:rPr>
        <w:t xml:space="preserve"> Sektori privat </w:t>
      </w:r>
      <w:r w:rsidRPr="00622884">
        <w:rPr>
          <w:rFonts w:ascii="Garamond" w:eastAsia="Calibri" w:hAnsi="Garamond" w:cs="Times New Roman"/>
          <w:sz w:val="24"/>
          <w:szCs w:val="24"/>
          <w:lang w:eastAsia="en-US" w:bidi="sq-AL"/>
        </w:rPr>
        <w:t>luan rol thelbësor përmes investimeve në teknologjinë inteligjente për klimën dhe PPP-të, të udhëhequra nga fushata ndërgjegjësimi, forume dhe udhërrëfyes investimesh që paraqesin përfitimet ekonomike të përshtatjes;</w:t>
      </w:r>
    </w:p>
    <w:p w14:paraId="4910311A" w14:textId="77777777" w:rsidR="00622884" w:rsidRPr="00622884" w:rsidRDefault="00622884" w:rsidP="00622884">
      <w:pPr>
        <w:tabs>
          <w:tab w:val="left" w:pos="5325"/>
        </w:tabs>
        <w:spacing w:after="0" w:line="240" w:lineRule="auto"/>
        <w:ind w:firstLine="284"/>
        <w:rPr>
          <w:rFonts w:ascii="Garamond" w:eastAsia="SimSun" w:hAnsi="Garamond" w:cs="Calibri Light"/>
          <w:sz w:val="24"/>
          <w:szCs w:val="24"/>
          <w:lang w:eastAsia="en-US"/>
        </w:rPr>
      </w:pPr>
      <w:r w:rsidRPr="00622884">
        <w:rPr>
          <w:rFonts w:ascii="Garamond" w:eastAsia="Calibri" w:hAnsi="Garamond" w:cs="Times New Roman"/>
          <w:sz w:val="24"/>
          <w:szCs w:val="24"/>
          <w:lang w:eastAsia="en-US" w:bidi="sq-AL"/>
        </w:rPr>
        <w:t>-</w:t>
      </w:r>
      <w:r w:rsidRPr="00622884">
        <w:rPr>
          <w:rFonts w:ascii="Garamond" w:eastAsia="Calibri" w:hAnsi="Garamond" w:cs="Times New Roman"/>
          <w:b/>
          <w:sz w:val="24"/>
          <w:szCs w:val="24"/>
          <w:lang w:eastAsia="en-US" w:bidi="sq-AL"/>
        </w:rPr>
        <w:t xml:space="preserve"> Shoqëria civile</w:t>
      </w:r>
      <w:r w:rsidRPr="00622884">
        <w:rPr>
          <w:rFonts w:ascii="Garamond" w:eastAsia="Calibri" w:hAnsi="Garamond" w:cs="Times New Roman"/>
          <w:sz w:val="24"/>
          <w:szCs w:val="24"/>
          <w:lang w:eastAsia="en-US" w:bidi="sq-AL"/>
        </w:rPr>
        <w:t xml:space="preserve"> siguron përfshirjen dhe angazhimin e komunitetit, mbështetur nga mjetet, platformat me pjesëmarrje dhe partneritetet mediatike; </w:t>
      </w:r>
    </w:p>
    <w:p w14:paraId="0D389521" w14:textId="77777777" w:rsidR="00622884" w:rsidRPr="00622884" w:rsidRDefault="00622884" w:rsidP="00622884">
      <w:pPr>
        <w:tabs>
          <w:tab w:val="left" w:pos="5325"/>
        </w:tabs>
        <w:spacing w:after="0" w:line="240" w:lineRule="auto"/>
        <w:ind w:firstLine="284"/>
        <w:rPr>
          <w:rFonts w:ascii="Garamond" w:eastAsia="SimSun" w:hAnsi="Garamond" w:cs="Calibri Light"/>
          <w:sz w:val="24"/>
          <w:szCs w:val="24"/>
          <w:lang w:eastAsia="en-US"/>
        </w:rPr>
      </w:pPr>
      <w:r w:rsidRPr="00622884">
        <w:rPr>
          <w:rFonts w:ascii="Garamond" w:eastAsia="Calibri" w:hAnsi="Garamond" w:cs="Times New Roman"/>
          <w:sz w:val="24"/>
          <w:szCs w:val="24"/>
          <w:lang w:eastAsia="en-US" w:bidi="sq-AL"/>
        </w:rPr>
        <w:t xml:space="preserve">- </w:t>
      </w:r>
      <w:r w:rsidRPr="00622884">
        <w:rPr>
          <w:rFonts w:ascii="Garamond" w:eastAsia="Calibri" w:hAnsi="Garamond" w:cs="Times New Roman"/>
          <w:b/>
          <w:sz w:val="24"/>
          <w:szCs w:val="24"/>
          <w:lang w:eastAsia="en-US" w:bidi="sq-AL"/>
        </w:rPr>
        <w:t>Akademia</w:t>
      </w:r>
      <w:r w:rsidRPr="00622884">
        <w:rPr>
          <w:rFonts w:ascii="Garamond" w:eastAsia="Calibri" w:hAnsi="Garamond" w:cs="Times New Roman"/>
          <w:sz w:val="24"/>
          <w:szCs w:val="24"/>
          <w:lang w:eastAsia="en-US" w:bidi="sq-AL"/>
        </w:rPr>
        <w:t xml:space="preserve"> ofron të dhëna dhe kërkime për të orientuar vendimet e bazuara në evidenca, me përpjekje me anë të të cilave synohet që gjetjet të jenë më të arritshme përmes ndarjes së njohurive dhe dialogut mbi politikat; </w:t>
      </w:r>
    </w:p>
    <w:p w14:paraId="4EBDCEEE" w14:textId="77777777" w:rsidR="00622884" w:rsidRPr="00622884" w:rsidRDefault="00622884" w:rsidP="00622884">
      <w:pPr>
        <w:tabs>
          <w:tab w:val="left" w:pos="5325"/>
        </w:tabs>
        <w:spacing w:after="0" w:line="240" w:lineRule="auto"/>
        <w:ind w:firstLine="284"/>
        <w:rPr>
          <w:rFonts w:ascii="Garamond" w:eastAsia="SimSun" w:hAnsi="Garamond" w:cs="Calibri Light"/>
          <w:sz w:val="24"/>
          <w:szCs w:val="24"/>
          <w:lang w:eastAsia="en-US"/>
        </w:rPr>
      </w:pPr>
      <w:r w:rsidRPr="00622884">
        <w:rPr>
          <w:rFonts w:ascii="Garamond" w:eastAsia="Calibri" w:hAnsi="Garamond" w:cs="Times New Roman"/>
          <w:sz w:val="24"/>
          <w:szCs w:val="24"/>
          <w:lang w:eastAsia="en-US" w:bidi="sq-AL"/>
        </w:rPr>
        <w:t>-</w:t>
      </w:r>
      <w:r w:rsidRPr="00622884">
        <w:rPr>
          <w:rFonts w:ascii="Garamond" w:eastAsia="Calibri" w:hAnsi="Garamond" w:cs="Times New Roman"/>
          <w:b/>
          <w:sz w:val="24"/>
          <w:szCs w:val="24"/>
          <w:lang w:eastAsia="en-US" w:bidi="sq-AL"/>
        </w:rPr>
        <w:t xml:space="preserve"> Mediat</w:t>
      </w:r>
      <w:r w:rsidRPr="00622884">
        <w:rPr>
          <w:rFonts w:ascii="Garamond" w:eastAsia="Calibri" w:hAnsi="Garamond" w:cs="Times New Roman"/>
          <w:sz w:val="24"/>
          <w:szCs w:val="24"/>
          <w:lang w:eastAsia="en-US" w:bidi="sq-AL"/>
        </w:rPr>
        <w:t xml:space="preserve"> mbështesin ndërgjegjësimin dhe llogaridhënien publike nëpërmjet trajnimeve, rrëfimit të historive dhe fushatave për aftësitë ripërtëritëse ndaj klimës; </w:t>
      </w:r>
    </w:p>
    <w:p w14:paraId="62B86649" w14:textId="77777777" w:rsidR="00622884" w:rsidRPr="00622884" w:rsidRDefault="00622884" w:rsidP="00622884">
      <w:pPr>
        <w:tabs>
          <w:tab w:val="left" w:pos="5325"/>
        </w:tabs>
        <w:spacing w:after="0" w:line="240" w:lineRule="auto"/>
        <w:ind w:firstLine="284"/>
        <w:rPr>
          <w:rFonts w:ascii="Garamond" w:eastAsia="SimSun" w:hAnsi="Garamond" w:cs="Calibri Light"/>
          <w:sz w:val="24"/>
          <w:szCs w:val="24"/>
          <w:lang w:eastAsia="en-US"/>
        </w:rPr>
      </w:pPr>
      <w:r w:rsidRPr="00622884">
        <w:rPr>
          <w:rFonts w:ascii="Garamond" w:eastAsia="Calibri" w:hAnsi="Garamond" w:cs="Times New Roman"/>
          <w:sz w:val="24"/>
          <w:szCs w:val="24"/>
          <w:lang w:eastAsia="en-US" w:bidi="sq-AL"/>
        </w:rPr>
        <w:t>-</w:t>
      </w:r>
      <w:r w:rsidRPr="00622884">
        <w:rPr>
          <w:rFonts w:ascii="Garamond" w:eastAsia="Calibri" w:hAnsi="Garamond" w:cs="Times New Roman"/>
          <w:b/>
          <w:sz w:val="24"/>
          <w:szCs w:val="24"/>
          <w:lang w:eastAsia="en-US" w:bidi="sq-AL"/>
        </w:rPr>
        <w:t xml:space="preserve"> Partnerët ndërkombëtarë</w:t>
      </w:r>
      <w:r w:rsidRPr="00622884">
        <w:rPr>
          <w:rFonts w:ascii="Garamond" w:eastAsia="Calibri" w:hAnsi="Garamond" w:cs="Times New Roman"/>
          <w:sz w:val="24"/>
          <w:szCs w:val="24"/>
          <w:lang w:eastAsia="en-US" w:bidi="sq-AL"/>
        </w:rPr>
        <w:t>, përfshirë GCF-në, UNDP-në dhe donatorët dypalësh, ofrojnë financim dhe mbështetje teknike, me bashkëpunim të vazhdueshëm të ruajtur përmes raportimit të progresit dhe dialogut të nivelit të lartë.</w:t>
      </w:r>
    </w:p>
    <w:p w14:paraId="5738F8F4"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bidi="sq-AL"/>
        </w:rPr>
      </w:pPr>
      <w:r w:rsidRPr="00622884">
        <w:rPr>
          <w:rFonts w:ascii="Garamond" w:eastAsia="Calibri" w:hAnsi="Garamond" w:cs="Times New Roman"/>
          <w:sz w:val="24"/>
          <w:szCs w:val="24"/>
          <w:lang w:eastAsia="en-US" w:bidi="sq-AL"/>
        </w:rPr>
        <w:t xml:space="preserve">Gjithashtu, përshtatja ndaj klimës në Shqipëri duhet t’u japë përparësi grupeve të cenueshme dhe të margjinalizuara, si gratë, popullatat rurale dhe komunitetet me të ardhura të ulëta, të cilat përballen me risqet më të mëdha klimatike. Përfshirja e tyre aktive siguron që përpjekjet për përshtatje të jenë të drejta, të përshtatshme për kontekstin vendor dhe të qëndrueshme, duke u mbështetur te njohuritë e vlefshme të komunitetit. NAP-i thekson komunikimin gjithëpërfshirës përmes formateve të qasshmërisë si gjuhët vendase, materialet vizuale dhe radioja e komunitetit për të nxitur pjesëmarrjen, veçanërisht në zonat rurale. Metodat pjesëmarrëse, si </w:t>
      </w:r>
      <w:r w:rsidRPr="00622884">
        <w:rPr>
          <w:rFonts w:ascii="Garamond" w:eastAsia="Calibri" w:hAnsi="Garamond" w:cs="Times New Roman"/>
          <w:i/>
          <w:sz w:val="24"/>
          <w:szCs w:val="24"/>
          <w:lang w:eastAsia="en-US" w:bidi="sq-AL"/>
        </w:rPr>
        <w:t>workshop</w:t>
      </w:r>
      <w:r w:rsidRPr="00622884">
        <w:rPr>
          <w:rFonts w:ascii="Garamond" w:eastAsia="Calibri" w:hAnsi="Garamond" w:cs="Times New Roman"/>
          <w:sz w:val="24"/>
          <w:szCs w:val="24"/>
          <w:lang w:eastAsia="en-US" w:bidi="sq-AL"/>
        </w:rPr>
        <w:t>-et dhe fokus grupet, krijojnë hapësira q</w:t>
      </w:r>
      <w:r w:rsidRPr="00622884">
        <w:rPr>
          <w:rFonts w:ascii="Garamond" w:eastAsia="Calibri" w:hAnsi="Garamond" w:cs="Garamond"/>
          <w:sz w:val="24"/>
          <w:szCs w:val="24"/>
          <w:lang w:eastAsia="en-US" w:bidi="sq-AL"/>
        </w:rPr>
        <w:t>ë</w:t>
      </w:r>
      <w:r w:rsidRPr="00622884">
        <w:rPr>
          <w:rFonts w:ascii="Garamond" w:eastAsia="Calibri" w:hAnsi="Garamond" w:cs="Times New Roman"/>
          <w:sz w:val="24"/>
          <w:szCs w:val="24"/>
          <w:lang w:eastAsia="en-US" w:bidi="sq-AL"/>
        </w:rPr>
        <w:t xml:space="preserve"> k</w:t>
      </w:r>
      <w:r w:rsidRPr="00622884">
        <w:rPr>
          <w:rFonts w:ascii="Garamond" w:eastAsia="Calibri" w:hAnsi="Garamond" w:cs="Garamond"/>
          <w:sz w:val="24"/>
          <w:szCs w:val="24"/>
          <w:lang w:eastAsia="en-US" w:bidi="sq-AL"/>
        </w:rPr>
        <w:t>ë</w:t>
      </w:r>
      <w:r w:rsidRPr="00622884">
        <w:rPr>
          <w:rFonts w:ascii="Garamond" w:eastAsia="Calibri" w:hAnsi="Garamond" w:cs="Times New Roman"/>
          <w:sz w:val="24"/>
          <w:szCs w:val="24"/>
          <w:lang w:eastAsia="en-US" w:bidi="sq-AL"/>
        </w:rPr>
        <w:t>to grupe t</w:t>
      </w:r>
      <w:r w:rsidRPr="00622884">
        <w:rPr>
          <w:rFonts w:ascii="Garamond" w:eastAsia="Calibri" w:hAnsi="Garamond" w:cs="Garamond"/>
          <w:sz w:val="24"/>
          <w:szCs w:val="24"/>
          <w:lang w:eastAsia="en-US" w:bidi="sq-AL"/>
        </w:rPr>
        <w:t>ë</w:t>
      </w:r>
      <w:r w:rsidRPr="00622884">
        <w:rPr>
          <w:rFonts w:ascii="Garamond" w:eastAsia="Calibri" w:hAnsi="Garamond" w:cs="Times New Roman"/>
          <w:sz w:val="24"/>
          <w:szCs w:val="24"/>
          <w:lang w:eastAsia="en-US" w:bidi="sq-AL"/>
        </w:rPr>
        <w:t xml:space="preserve"> form</w:t>
      </w:r>
      <w:r w:rsidRPr="00622884">
        <w:rPr>
          <w:rFonts w:ascii="Garamond" w:eastAsia="Calibri" w:hAnsi="Garamond" w:cs="Garamond"/>
          <w:sz w:val="24"/>
          <w:szCs w:val="24"/>
          <w:lang w:eastAsia="en-US" w:bidi="sq-AL"/>
        </w:rPr>
        <w:t>ë</w:t>
      </w:r>
      <w:r w:rsidRPr="00622884">
        <w:rPr>
          <w:rFonts w:ascii="Garamond" w:eastAsia="Calibri" w:hAnsi="Garamond" w:cs="Times New Roman"/>
          <w:sz w:val="24"/>
          <w:szCs w:val="24"/>
          <w:lang w:eastAsia="en-US" w:bidi="sq-AL"/>
        </w:rPr>
        <w:t>sojn</w:t>
      </w:r>
      <w:r w:rsidRPr="00622884">
        <w:rPr>
          <w:rFonts w:ascii="Garamond" w:eastAsia="Calibri" w:hAnsi="Garamond" w:cs="Garamond"/>
          <w:sz w:val="24"/>
          <w:szCs w:val="24"/>
          <w:lang w:eastAsia="en-US" w:bidi="sq-AL"/>
        </w:rPr>
        <w:t>ë</w:t>
      </w:r>
      <w:r w:rsidRPr="00622884">
        <w:rPr>
          <w:rFonts w:ascii="Garamond" w:eastAsia="Calibri" w:hAnsi="Garamond" w:cs="Times New Roman"/>
          <w:sz w:val="24"/>
          <w:szCs w:val="24"/>
          <w:lang w:eastAsia="en-US" w:bidi="sq-AL"/>
        </w:rPr>
        <w:t xml:space="preserve"> vendimet p</w:t>
      </w:r>
      <w:r w:rsidRPr="00622884">
        <w:rPr>
          <w:rFonts w:ascii="Garamond" w:eastAsia="Calibri" w:hAnsi="Garamond" w:cs="Garamond"/>
          <w:sz w:val="24"/>
          <w:szCs w:val="24"/>
          <w:lang w:eastAsia="en-US" w:bidi="sq-AL"/>
        </w:rPr>
        <w:t>ë</w:t>
      </w:r>
      <w:r w:rsidRPr="00622884">
        <w:rPr>
          <w:rFonts w:ascii="Garamond" w:eastAsia="Calibri" w:hAnsi="Garamond" w:cs="Times New Roman"/>
          <w:sz w:val="24"/>
          <w:szCs w:val="24"/>
          <w:lang w:eastAsia="en-US" w:bidi="sq-AL"/>
        </w:rPr>
        <w:t>r p</w:t>
      </w:r>
      <w:r w:rsidRPr="00622884">
        <w:rPr>
          <w:rFonts w:ascii="Garamond" w:eastAsia="Calibri" w:hAnsi="Garamond" w:cs="Garamond"/>
          <w:sz w:val="24"/>
          <w:szCs w:val="24"/>
          <w:lang w:eastAsia="en-US" w:bidi="sq-AL"/>
        </w:rPr>
        <w:t>ë</w:t>
      </w:r>
      <w:r w:rsidRPr="00622884">
        <w:rPr>
          <w:rFonts w:ascii="Garamond" w:eastAsia="Calibri" w:hAnsi="Garamond" w:cs="Times New Roman"/>
          <w:sz w:val="24"/>
          <w:szCs w:val="24"/>
          <w:lang w:eastAsia="en-US" w:bidi="sq-AL"/>
        </w:rPr>
        <w:t>rshtatje. Adresimi i barrierave si transporti dhe qasshm</w:t>
      </w:r>
      <w:r w:rsidRPr="00622884">
        <w:rPr>
          <w:rFonts w:ascii="Garamond" w:eastAsia="Calibri" w:hAnsi="Garamond" w:cs="Garamond"/>
          <w:sz w:val="24"/>
          <w:szCs w:val="24"/>
          <w:lang w:eastAsia="en-US" w:bidi="sq-AL"/>
        </w:rPr>
        <w:t>ë</w:t>
      </w:r>
      <w:r w:rsidRPr="00622884">
        <w:rPr>
          <w:rFonts w:ascii="Garamond" w:eastAsia="Calibri" w:hAnsi="Garamond" w:cs="Times New Roman"/>
          <w:sz w:val="24"/>
          <w:szCs w:val="24"/>
          <w:lang w:eastAsia="en-US" w:bidi="sq-AL"/>
        </w:rPr>
        <w:t>ria, si dhe promovimi i angazhimit me ndjeshm</w:t>
      </w:r>
      <w:r w:rsidRPr="00622884">
        <w:rPr>
          <w:rFonts w:ascii="Garamond" w:eastAsia="Calibri" w:hAnsi="Garamond" w:cs="Garamond"/>
          <w:sz w:val="24"/>
          <w:szCs w:val="24"/>
          <w:lang w:eastAsia="en-US" w:bidi="sq-AL"/>
        </w:rPr>
        <w:t>ë</w:t>
      </w:r>
      <w:r w:rsidRPr="00622884">
        <w:rPr>
          <w:rFonts w:ascii="Garamond" w:eastAsia="Calibri" w:hAnsi="Garamond" w:cs="Times New Roman"/>
          <w:sz w:val="24"/>
          <w:szCs w:val="24"/>
          <w:lang w:eastAsia="en-US" w:bidi="sq-AL"/>
        </w:rPr>
        <w:t>ri gjinore dhe t</w:t>
      </w:r>
      <w:r w:rsidRPr="00622884">
        <w:rPr>
          <w:rFonts w:ascii="Garamond" w:eastAsia="Calibri" w:hAnsi="Garamond" w:cs="Garamond"/>
          <w:sz w:val="24"/>
          <w:szCs w:val="24"/>
          <w:lang w:eastAsia="en-US" w:bidi="sq-AL"/>
        </w:rPr>
        <w:t>ë</w:t>
      </w:r>
      <w:r w:rsidRPr="00622884">
        <w:rPr>
          <w:rFonts w:ascii="Garamond" w:eastAsia="Calibri" w:hAnsi="Garamond" w:cs="Times New Roman"/>
          <w:sz w:val="24"/>
          <w:szCs w:val="24"/>
          <w:lang w:eastAsia="en-US" w:bidi="sq-AL"/>
        </w:rPr>
        <w:t xml:space="preserve"> p</w:t>
      </w:r>
      <w:r w:rsidRPr="00622884">
        <w:rPr>
          <w:rFonts w:ascii="Garamond" w:eastAsia="Calibri" w:hAnsi="Garamond" w:cs="Garamond"/>
          <w:sz w:val="24"/>
          <w:szCs w:val="24"/>
          <w:lang w:eastAsia="en-US" w:bidi="sq-AL"/>
        </w:rPr>
        <w:t>ë</w:t>
      </w:r>
      <w:r w:rsidRPr="00622884">
        <w:rPr>
          <w:rFonts w:ascii="Garamond" w:eastAsia="Calibri" w:hAnsi="Garamond" w:cs="Times New Roman"/>
          <w:sz w:val="24"/>
          <w:szCs w:val="24"/>
          <w:lang w:eastAsia="en-US" w:bidi="sq-AL"/>
        </w:rPr>
        <w:t>rshtatsh</w:t>
      </w:r>
      <w:r w:rsidRPr="00622884">
        <w:rPr>
          <w:rFonts w:ascii="Garamond" w:eastAsia="Calibri" w:hAnsi="Garamond" w:cs="Garamond"/>
          <w:sz w:val="24"/>
          <w:szCs w:val="24"/>
          <w:lang w:eastAsia="en-US" w:bidi="sq-AL"/>
        </w:rPr>
        <w:t>ë</w:t>
      </w:r>
      <w:r w:rsidRPr="00622884">
        <w:rPr>
          <w:rFonts w:ascii="Garamond" w:eastAsia="Calibri" w:hAnsi="Garamond" w:cs="Times New Roman"/>
          <w:sz w:val="24"/>
          <w:szCs w:val="24"/>
          <w:lang w:eastAsia="en-US" w:bidi="sq-AL"/>
        </w:rPr>
        <w:t>m n</w:t>
      </w:r>
      <w:r w:rsidRPr="00622884">
        <w:rPr>
          <w:rFonts w:ascii="Garamond" w:eastAsia="Calibri" w:hAnsi="Garamond" w:cs="Garamond"/>
          <w:sz w:val="24"/>
          <w:szCs w:val="24"/>
          <w:lang w:eastAsia="en-US" w:bidi="sq-AL"/>
        </w:rPr>
        <w:t>ë</w:t>
      </w:r>
      <w:r w:rsidRPr="00622884">
        <w:rPr>
          <w:rFonts w:ascii="Garamond" w:eastAsia="Calibri" w:hAnsi="Garamond" w:cs="Times New Roman"/>
          <w:sz w:val="24"/>
          <w:szCs w:val="24"/>
          <w:lang w:eastAsia="en-US" w:bidi="sq-AL"/>
        </w:rPr>
        <w:t xml:space="preserve"> aspektin kulturor, i fuqizon më tej komunitetet për të marrë pjesë në përmirësimin e aftësive ripërtëritëse ndaj klimës.</w:t>
      </w:r>
    </w:p>
    <w:p w14:paraId="3FB37AD6" w14:textId="77777777" w:rsidR="00622884" w:rsidRPr="00622884" w:rsidRDefault="00622884" w:rsidP="00622884">
      <w:pPr>
        <w:tabs>
          <w:tab w:val="left" w:pos="5325"/>
        </w:tabs>
        <w:spacing w:after="0" w:line="240" w:lineRule="auto"/>
        <w:ind w:firstLine="284"/>
        <w:rPr>
          <w:rFonts w:ascii="Garamond" w:eastAsia="Calibri" w:hAnsi="Garamond" w:cs="Times New Roman"/>
          <w:b/>
          <w:sz w:val="24"/>
          <w:szCs w:val="24"/>
          <w:lang w:eastAsia="en-US"/>
        </w:rPr>
      </w:pPr>
      <w:r w:rsidRPr="00622884">
        <w:rPr>
          <w:rFonts w:ascii="Garamond" w:eastAsia="Calibri" w:hAnsi="Garamond" w:cs="Times New Roman"/>
          <w:b/>
          <w:sz w:val="24"/>
          <w:szCs w:val="24"/>
          <w:lang w:eastAsia="en-US"/>
        </w:rPr>
        <w:t>8.3 Mesazhet kryesore të komunikimit për NAP-in</w:t>
      </w:r>
    </w:p>
    <w:p w14:paraId="637C478B"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r w:rsidRPr="00622884">
        <w:rPr>
          <w:rFonts w:ascii="Garamond" w:eastAsia="Calibri" w:hAnsi="Garamond" w:cs="Times New Roman"/>
          <w:sz w:val="24"/>
          <w:szCs w:val="24"/>
          <w:lang w:eastAsia="en-US"/>
        </w:rPr>
        <w:t>Objektivat, parimet udhëzuese dhe audiencat e synuara ndihmuan në hartimin e mesazheve kryesore që duhet të përcillen për të komunikuar siç duhet NAP-in. Këto janë përmbledhur në tabelat më poshtë, duke paraqitur si fillim mesazhet kryesore për NAP-in në vija të përgjithshme dhe më pas mesazhet kyç për sektorët kryesorë prioritarë të përshtatjes. Të dyja tabelat përfshijnë edhe audiencën e synuar për secilin mesazh, dhe mënyrën se si ato lidhen me secilin prej pesë objektivave kryesorë të komunikimit dhe angazhimit:</w:t>
      </w:r>
    </w:p>
    <w:p w14:paraId="31D19D9A" w14:textId="77777777" w:rsidR="00622884" w:rsidRPr="00622884" w:rsidRDefault="00622884" w:rsidP="00622884">
      <w:pPr>
        <w:tabs>
          <w:tab w:val="left" w:pos="5325"/>
        </w:tabs>
        <w:spacing w:after="0" w:line="240" w:lineRule="auto"/>
        <w:rPr>
          <w:rFonts w:ascii="Garamond" w:eastAsia="Calibri" w:hAnsi="Garamond" w:cs="Times New Roman"/>
          <w:sz w:val="8"/>
          <w:szCs w:val="24"/>
          <w:lang w:eastAsia="en-US"/>
        </w:rPr>
      </w:pPr>
    </w:p>
    <w:p w14:paraId="5197EB52" w14:textId="77777777" w:rsidR="00622884" w:rsidRPr="00622884" w:rsidRDefault="00622884" w:rsidP="00622884">
      <w:pPr>
        <w:tabs>
          <w:tab w:val="left" w:pos="5325"/>
        </w:tabs>
        <w:spacing w:after="0" w:line="240" w:lineRule="auto"/>
        <w:ind w:firstLine="284"/>
        <w:rPr>
          <w:rFonts w:ascii="Garamond" w:eastAsia="Calibri" w:hAnsi="Garamond" w:cs="Times New Roman"/>
          <w:b/>
          <w:sz w:val="24"/>
          <w:szCs w:val="24"/>
          <w:lang w:eastAsia="en-US"/>
        </w:rPr>
      </w:pPr>
      <w:r w:rsidRPr="00622884">
        <w:rPr>
          <w:rFonts w:ascii="Garamond" w:eastAsia="Calibri" w:hAnsi="Garamond" w:cs="Times New Roman"/>
          <w:b/>
          <w:sz w:val="24"/>
          <w:szCs w:val="24"/>
          <w:lang w:eastAsia="en-US"/>
        </w:rPr>
        <w:t>Tabela 15: Objektivat e komunikimit të NAP-it.</w:t>
      </w:r>
    </w:p>
    <w:tbl>
      <w:tblPr>
        <w:tblW w:w="5437" w:type="pct"/>
        <w:tblInd w:w="-431" w:type="dxa"/>
        <w:tblBorders>
          <w:top w:val="single" w:sz="4" w:space="0" w:color="1D3C5A"/>
          <w:left w:val="single" w:sz="4" w:space="0" w:color="1D3C5A"/>
          <w:bottom w:val="single" w:sz="4" w:space="0" w:color="1D3C5A"/>
          <w:right w:val="single" w:sz="4" w:space="0" w:color="1D3C5A"/>
          <w:insideH w:val="single" w:sz="4" w:space="0" w:color="1D3C5A"/>
          <w:insideV w:val="single" w:sz="4" w:space="0" w:color="1D3C5A"/>
        </w:tblBorders>
        <w:tblLook w:val="04A0" w:firstRow="1" w:lastRow="0" w:firstColumn="1" w:lastColumn="0" w:noHBand="0" w:noVBand="1"/>
      </w:tblPr>
      <w:tblGrid>
        <w:gridCol w:w="1271"/>
        <w:gridCol w:w="1165"/>
        <w:gridCol w:w="6072"/>
        <w:gridCol w:w="1591"/>
      </w:tblGrid>
      <w:tr w:rsidR="00622884" w:rsidRPr="00622884" w14:paraId="6F33B13D" w14:textId="77777777" w:rsidTr="00622884">
        <w:tc>
          <w:tcPr>
            <w:tcW w:w="468" w:type="pct"/>
            <w:tcBorders>
              <w:top w:val="single" w:sz="4" w:space="0" w:color="1D3C5A"/>
              <w:left w:val="single" w:sz="4" w:space="0" w:color="1D3C5A"/>
              <w:bottom w:val="single" w:sz="4" w:space="0" w:color="1D3C5A"/>
              <w:right w:val="single" w:sz="4" w:space="0" w:color="1D3C5A"/>
            </w:tcBorders>
            <w:shd w:val="clear" w:color="auto" w:fill="215A5C"/>
            <w:vAlign w:val="center"/>
            <w:hideMark/>
          </w:tcPr>
          <w:p w14:paraId="4C2B827A" w14:textId="77777777" w:rsidR="00622884" w:rsidRPr="00622884" w:rsidRDefault="00622884" w:rsidP="00622884">
            <w:pPr>
              <w:spacing w:after="0" w:line="240" w:lineRule="auto"/>
              <w:jc w:val="center"/>
              <w:rPr>
                <w:rFonts w:ascii="Garamond" w:eastAsia="Calibri" w:hAnsi="Garamond" w:cs="Calibri Light"/>
                <w:b/>
                <w:bCs/>
                <w:sz w:val="16"/>
                <w:szCs w:val="20"/>
                <w:lang w:eastAsia="en-US"/>
              </w:rPr>
            </w:pPr>
            <w:r w:rsidRPr="00622884">
              <w:rPr>
                <w:rFonts w:ascii="Garamond" w:eastAsia="Calibri" w:hAnsi="Garamond" w:cs="Times New Roman"/>
                <w:b/>
                <w:sz w:val="16"/>
                <w:lang w:eastAsia="en-US" w:bidi="sq-AL"/>
              </w:rPr>
              <w:t>Objektivi i komunikimit</w:t>
            </w:r>
          </w:p>
        </w:tc>
        <w:tc>
          <w:tcPr>
            <w:tcW w:w="607" w:type="pct"/>
            <w:tcBorders>
              <w:top w:val="single" w:sz="4" w:space="0" w:color="1D3C5A"/>
              <w:left w:val="single" w:sz="4" w:space="0" w:color="1D3C5A"/>
              <w:bottom w:val="single" w:sz="4" w:space="0" w:color="1D3C5A"/>
              <w:right w:val="single" w:sz="4" w:space="0" w:color="1D3C5A"/>
            </w:tcBorders>
            <w:shd w:val="clear" w:color="auto" w:fill="215A5C"/>
            <w:vAlign w:val="center"/>
            <w:hideMark/>
          </w:tcPr>
          <w:p w14:paraId="3C396C6B" w14:textId="77777777" w:rsidR="00622884" w:rsidRPr="00622884" w:rsidRDefault="00622884" w:rsidP="00622884">
            <w:pPr>
              <w:spacing w:after="0" w:line="240" w:lineRule="auto"/>
              <w:jc w:val="center"/>
              <w:rPr>
                <w:rFonts w:ascii="Garamond" w:eastAsia="Calibri" w:hAnsi="Garamond" w:cs="Calibri Light"/>
                <w:b/>
                <w:bCs/>
                <w:sz w:val="16"/>
                <w:szCs w:val="20"/>
                <w:lang w:eastAsia="en-US"/>
              </w:rPr>
            </w:pPr>
          </w:p>
          <w:p w14:paraId="02012682" w14:textId="77777777" w:rsidR="00622884" w:rsidRPr="00622884" w:rsidRDefault="00622884" w:rsidP="00622884">
            <w:pPr>
              <w:spacing w:after="0" w:line="240" w:lineRule="auto"/>
              <w:jc w:val="center"/>
              <w:rPr>
                <w:rFonts w:ascii="Garamond" w:eastAsia="Calibri" w:hAnsi="Garamond" w:cs="Calibri Light"/>
                <w:b/>
                <w:bCs/>
                <w:sz w:val="16"/>
                <w:szCs w:val="20"/>
                <w:lang w:eastAsia="en-US"/>
              </w:rPr>
            </w:pPr>
            <w:r w:rsidRPr="00622884">
              <w:rPr>
                <w:rFonts w:ascii="Garamond" w:eastAsia="Calibri" w:hAnsi="Garamond" w:cs="Times New Roman"/>
                <w:b/>
                <w:sz w:val="16"/>
                <w:lang w:eastAsia="en-US" w:bidi="sq-AL"/>
              </w:rPr>
              <w:t>Fushat e fokusit të komunikimit</w:t>
            </w:r>
          </w:p>
        </w:tc>
        <w:tc>
          <w:tcPr>
            <w:tcW w:w="3084" w:type="pct"/>
            <w:tcBorders>
              <w:top w:val="single" w:sz="4" w:space="0" w:color="1D3C5A"/>
              <w:left w:val="single" w:sz="4" w:space="0" w:color="1D3C5A"/>
              <w:bottom w:val="single" w:sz="4" w:space="0" w:color="1D3C5A"/>
              <w:right w:val="single" w:sz="4" w:space="0" w:color="1D3C5A"/>
            </w:tcBorders>
            <w:shd w:val="clear" w:color="auto" w:fill="215A5C"/>
            <w:vAlign w:val="center"/>
            <w:hideMark/>
          </w:tcPr>
          <w:p w14:paraId="012EF058" w14:textId="77777777" w:rsidR="00622884" w:rsidRPr="00622884" w:rsidRDefault="00622884" w:rsidP="00622884">
            <w:pPr>
              <w:spacing w:after="0" w:line="240" w:lineRule="auto"/>
              <w:jc w:val="center"/>
              <w:rPr>
                <w:rFonts w:ascii="Garamond" w:eastAsia="Calibri" w:hAnsi="Garamond" w:cs="Calibri Light"/>
                <w:b/>
                <w:bCs/>
                <w:sz w:val="16"/>
                <w:szCs w:val="20"/>
                <w:lang w:eastAsia="en-US"/>
              </w:rPr>
            </w:pPr>
            <w:r w:rsidRPr="00622884">
              <w:rPr>
                <w:rFonts w:ascii="Garamond" w:eastAsia="Calibri" w:hAnsi="Garamond" w:cs="Times New Roman"/>
                <w:b/>
                <w:sz w:val="16"/>
                <w:lang w:eastAsia="en-US" w:bidi="sq-AL"/>
              </w:rPr>
              <w:t>Mesazhet kryesore</w:t>
            </w:r>
          </w:p>
        </w:tc>
        <w:tc>
          <w:tcPr>
            <w:tcW w:w="841" w:type="pct"/>
            <w:tcBorders>
              <w:top w:val="single" w:sz="4" w:space="0" w:color="1D3C5A"/>
              <w:left w:val="single" w:sz="4" w:space="0" w:color="1D3C5A"/>
              <w:bottom w:val="single" w:sz="4" w:space="0" w:color="1D3C5A"/>
              <w:right w:val="single" w:sz="4" w:space="0" w:color="1D3C5A"/>
            </w:tcBorders>
            <w:shd w:val="clear" w:color="auto" w:fill="215A5C"/>
            <w:vAlign w:val="center"/>
            <w:hideMark/>
          </w:tcPr>
          <w:p w14:paraId="00C70C68" w14:textId="77777777" w:rsidR="00622884" w:rsidRPr="00622884" w:rsidRDefault="00622884" w:rsidP="00622884">
            <w:pPr>
              <w:spacing w:after="0" w:line="240" w:lineRule="auto"/>
              <w:jc w:val="center"/>
              <w:rPr>
                <w:rFonts w:ascii="Garamond" w:eastAsia="Calibri" w:hAnsi="Garamond" w:cs="Calibri Light"/>
                <w:b/>
                <w:bCs/>
                <w:sz w:val="16"/>
                <w:szCs w:val="20"/>
                <w:lang w:eastAsia="en-US"/>
              </w:rPr>
            </w:pPr>
            <w:r w:rsidRPr="00622884">
              <w:rPr>
                <w:rFonts w:ascii="Garamond" w:eastAsia="Calibri" w:hAnsi="Garamond" w:cs="Times New Roman"/>
                <w:b/>
                <w:sz w:val="16"/>
                <w:lang w:eastAsia="en-US" w:bidi="sq-AL"/>
              </w:rPr>
              <w:t>Audienca e synuar</w:t>
            </w:r>
          </w:p>
        </w:tc>
      </w:tr>
      <w:tr w:rsidR="00622884" w:rsidRPr="00622884" w14:paraId="7620D7BC" w14:textId="77777777" w:rsidTr="00622884">
        <w:tc>
          <w:tcPr>
            <w:tcW w:w="468" w:type="pct"/>
            <w:tcBorders>
              <w:top w:val="single" w:sz="4" w:space="0" w:color="1D3C5A"/>
              <w:left w:val="single" w:sz="4" w:space="0" w:color="1D3C5A"/>
              <w:bottom w:val="single" w:sz="4" w:space="0" w:color="1D3C5A"/>
              <w:right w:val="single" w:sz="4" w:space="0" w:color="1D3C5A"/>
            </w:tcBorders>
            <w:vAlign w:val="center"/>
            <w:hideMark/>
          </w:tcPr>
          <w:p w14:paraId="2D235878" w14:textId="77777777" w:rsidR="00622884" w:rsidRPr="00622884" w:rsidRDefault="00622884" w:rsidP="00622884">
            <w:pPr>
              <w:spacing w:after="0" w:line="240" w:lineRule="auto"/>
              <w:jc w:val="left"/>
              <w:rPr>
                <w:rFonts w:ascii="Garamond" w:eastAsia="Calibri" w:hAnsi="Garamond" w:cs="Calibri Light"/>
                <w:b/>
                <w:bCs/>
                <w:sz w:val="16"/>
                <w:szCs w:val="20"/>
                <w:lang w:eastAsia="en-US"/>
              </w:rPr>
            </w:pPr>
            <w:r w:rsidRPr="00622884">
              <w:rPr>
                <w:rFonts w:ascii="Garamond" w:eastAsia="Calibri" w:hAnsi="Garamond" w:cs="Times New Roman"/>
                <w:b/>
                <w:sz w:val="16"/>
                <w:lang w:eastAsia="en-US" w:bidi="sq-AL"/>
              </w:rPr>
              <w:t>Objektivi 1: Rritja e ndërgjegjësimit për klimën</w:t>
            </w:r>
          </w:p>
        </w:tc>
        <w:tc>
          <w:tcPr>
            <w:tcW w:w="607" w:type="pct"/>
            <w:tcBorders>
              <w:top w:val="single" w:sz="4" w:space="0" w:color="1D3C5A"/>
              <w:left w:val="single" w:sz="4" w:space="0" w:color="1D3C5A"/>
              <w:bottom w:val="single" w:sz="4" w:space="0" w:color="1D3C5A"/>
              <w:right w:val="single" w:sz="4" w:space="0" w:color="1D3C5A"/>
            </w:tcBorders>
            <w:vAlign w:val="center"/>
            <w:hideMark/>
          </w:tcPr>
          <w:p w14:paraId="4005C172" w14:textId="77777777" w:rsidR="00622884" w:rsidRPr="00622884" w:rsidRDefault="00622884" w:rsidP="00622884">
            <w:pPr>
              <w:spacing w:after="0" w:line="240" w:lineRule="auto"/>
              <w:jc w:val="left"/>
              <w:rPr>
                <w:rFonts w:ascii="Garamond" w:eastAsia="Calibri" w:hAnsi="Garamond" w:cs="Calibri Light"/>
                <w:sz w:val="16"/>
                <w:szCs w:val="20"/>
                <w:lang w:eastAsia="en-US"/>
              </w:rPr>
            </w:pPr>
            <w:r w:rsidRPr="00622884">
              <w:rPr>
                <w:rFonts w:ascii="Garamond" w:eastAsia="Calibri" w:hAnsi="Garamond" w:cs="Times New Roman"/>
                <w:sz w:val="16"/>
                <w:lang w:eastAsia="en-US" w:bidi="sq-AL"/>
              </w:rPr>
              <w:t>Përshtatja ndaj klimës si nxitës i rritjes ekonomike të qëndrueshme</w:t>
            </w:r>
          </w:p>
        </w:tc>
        <w:tc>
          <w:tcPr>
            <w:tcW w:w="3084" w:type="pct"/>
            <w:tcBorders>
              <w:top w:val="single" w:sz="4" w:space="0" w:color="1D3C5A"/>
              <w:left w:val="single" w:sz="4" w:space="0" w:color="1D3C5A"/>
              <w:bottom w:val="single" w:sz="4" w:space="0" w:color="1D3C5A"/>
              <w:right w:val="single" w:sz="4" w:space="0" w:color="1D3C5A"/>
            </w:tcBorders>
            <w:vAlign w:val="center"/>
            <w:hideMark/>
          </w:tcPr>
          <w:p w14:paraId="37DB01B0" w14:textId="77777777" w:rsidR="00622884" w:rsidRPr="00622884" w:rsidRDefault="00622884" w:rsidP="00622884">
            <w:pPr>
              <w:spacing w:after="0" w:line="240" w:lineRule="auto"/>
              <w:jc w:val="left"/>
              <w:rPr>
                <w:rFonts w:ascii="Garamond" w:eastAsia="Calibri" w:hAnsi="Garamond" w:cs="Calibri Light"/>
                <w:i/>
                <w:iCs/>
                <w:sz w:val="16"/>
                <w:szCs w:val="20"/>
                <w:lang w:eastAsia="en-US"/>
              </w:rPr>
            </w:pPr>
            <w:r w:rsidRPr="00622884">
              <w:rPr>
                <w:rFonts w:ascii="Garamond" w:eastAsia="Calibri" w:hAnsi="Garamond" w:cs="Times New Roman"/>
                <w:i/>
                <w:sz w:val="16"/>
                <w:lang w:eastAsia="en-US" w:bidi="sq-AL"/>
              </w:rPr>
              <w:t>- Përshtatja ndaj klimës është thelbësore për mbrojtjen e jetesës, stabilitetin ekonomik dhe trashëgiminë natyrore të Shqipërisë.</w:t>
            </w:r>
            <w:r w:rsidRPr="00622884">
              <w:rPr>
                <w:rFonts w:ascii="Garamond" w:eastAsia="Calibri" w:hAnsi="Garamond" w:cs="Times New Roman"/>
                <w:i/>
                <w:sz w:val="16"/>
                <w:lang w:eastAsia="en-US" w:bidi="sq-AL"/>
              </w:rPr>
              <w:br/>
              <w:t>- Investimi në përshtatje sot siguron një të ardhme të qëndrueshme për brezat e ardhshëm.</w:t>
            </w:r>
            <w:r w:rsidRPr="00622884">
              <w:rPr>
                <w:rFonts w:ascii="Garamond" w:eastAsia="Calibri" w:hAnsi="Garamond" w:cs="Times New Roman"/>
                <w:i/>
                <w:sz w:val="16"/>
                <w:lang w:eastAsia="en-US" w:bidi="sq-AL"/>
              </w:rPr>
              <w:br/>
              <w:t>- Çdo sektor dhe komunitet luan një rol; veprimet vendore përmirësojnë aftësitë ripërtëritëse kombëtare.</w:t>
            </w:r>
          </w:p>
          <w:p w14:paraId="67DC9D85" w14:textId="77777777" w:rsidR="00622884" w:rsidRPr="00622884" w:rsidRDefault="00622884" w:rsidP="00622884">
            <w:pPr>
              <w:spacing w:after="0" w:line="240" w:lineRule="auto"/>
              <w:jc w:val="left"/>
              <w:rPr>
                <w:rFonts w:ascii="Garamond" w:eastAsia="Calibri" w:hAnsi="Garamond" w:cs="Calibri Light"/>
                <w:i/>
                <w:iCs/>
                <w:sz w:val="16"/>
                <w:szCs w:val="20"/>
                <w:lang w:eastAsia="en-US"/>
              </w:rPr>
            </w:pPr>
            <w:r w:rsidRPr="00622884">
              <w:rPr>
                <w:rFonts w:ascii="Garamond" w:eastAsia="Calibri" w:hAnsi="Garamond" w:cs="Times New Roman"/>
                <w:i/>
                <w:sz w:val="16"/>
                <w:lang w:eastAsia="en-US" w:bidi="sq-AL"/>
              </w:rPr>
              <w:t>- Politikat më të forta të përshtatjes në pesë sektorët prioritarë rrisin konkurrueshmërinë, sigurojnë financim për klimën dhe krijojnë vende pune të gjelbra.</w:t>
            </w:r>
          </w:p>
          <w:p w14:paraId="1593D654" w14:textId="77777777" w:rsidR="00622884" w:rsidRPr="00622884" w:rsidRDefault="00622884" w:rsidP="00622884">
            <w:pPr>
              <w:spacing w:after="0" w:line="240" w:lineRule="auto"/>
              <w:jc w:val="left"/>
              <w:rPr>
                <w:rFonts w:ascii="Garamond" w:eastAsia="Calibri" w:hAnsi="Garamond" w:cs="Calibri Light"/>
                <w:i/>
                <w:iCs/>
                <w:sz w:val="16"/>
                <w:szCs w:val="20"/>
                <w:lang w:eastAsia="en-US"/>
              </w:rPr>
            </w:pPr>
            <w:r w:rsidRPr="00622884">
              <w:rPr>
                <w:rFonts w:ascii="Garamond" w:eastAsia="Calibri" w:hAnsi="Garamond" w:cs="Times New Roman"/>
                <w:i/>
                <w:sz w:val="16"/>
                <w:lang w:eastAsia="en-US" w:bidi="sq-AL"/>
              </w:rPr>
              <w:t>Shndërrimi i përshtatjes në prioritet kombëtar siguron që Shqipëria të përmbushë angazhimet e saj në Marrëveshjen e Parisit dhe OZHQ-të.</w:t>
            </w:r>
          </w:p>
        </w:tc>
        <w:tc>
          <w:tcPr>
            <w:tcW w:w="841" w:type="pct"/>
            <w:tcBorders>
              <w:top w:val="single" w:sz="4" w:space="0" w:color="1D3C5A"/>
              <w:left w:val="single" w:sz="4" w:space="0" w:color="1D3C5A"/>
              <w:bottom w:val="single" w:sz="4" w:space="0" w:color="1D3C5A"/>
              <w:right w:val="single" w:sz="4" w:space="0" w:color="1D3C5A"/>
            </w:tcBorders>
            <w:vAlign w:val="center"/>
            <w:hideMark/>
          </w:tcPr>
          <w:p w14:paraId="63921447" w14:textId="77777777" w:rsidR="00622884" w:rsidRPr="00622884" w:rsidRDefault="00622884" w:rsidP="00622884">
            <w:pPr>
              <w:spacing w:after="0" w:line="240" w:lineRule="auto"/>
              <w:jc w:val="left"/>
              <w:rPr>
                <w:rFonts w:ascii="Garamond" w:eastAsia="Calibri" w:hAnsi="Garamond" w:cs="Calibri Light"/>
                <w:sz w:val="16"/>
                <w:szCs w:val="20"/>
                <w:lang w:eastAsia="en-US"/>
              </w:rPr>
            </w:pPr>
            <w:r w:rsidRPr="00622884">
              <w:rPr>
                <w:rFonts w:ascii="Garamond" w:eastAsia="Calibri" w:hAnsi="Garamond" w:cs="Times New Roman"/>
                <w:sz w:val="16"/>
                <w:lang w:eastAsia="en-US" w:bidi="sq-AL"/>
              </w:rPr>
              <w:t>Publiku i gjerë, komunitetet vendase dhe të rinjtë, bizneset dhe organizatat e shoqërisë civile.</w:t>
            </w:r>
          </w:p>
        </w:tc>
      </w:tr>
      <w:tr w:rsidR="00622884" w:rsidRPr="00622884" w14:paraId="30D794FE" w14:textId="77777777" w:rsidTr="00622884">
        <w:tc>
          <w:tcPr>
            <w:tcW w:w="468" w:type="pct"/>
            <w:tcBorders>
              <w:top w:val="single" w:sz="4" w:space="0" w:color="1D3C5A"/>
              <w:left w:val="single" w:sz="4" w:space="0" w:color="1D3C5A"/>
              <w:bottom w:val="single" w:sz="4" w:space="0" w:color="1D3C5A"/>
              <w:right w:val="single" w:sz="4" w:space="0" w:color="1D3C5A"/>
            </w:tcBorders>
            <w:vAlign w:val="center"/>
            <w:hideMark/>
          </w:tcPr>
          <w:p w14:paraId="65012F5F" w14:textId="77777777" w:rsidR="00622884" w:rsidRPr="00622884" w:rsidRDefault="00622884" w:rsidP="00622884">
            <w:pPr>
              <w:spacing w:after="0" w:line="240" w:lineRule="auto"/>
              <w:jc w:val="left"/>
              <w:rPr>
                <w:rFonts w:ascii="Garamond" w:eastAsia="Calibri" w:hAnsi="Garamond" w:cs="Calibri Light"/>
                <w:b/>
                <w:bCs/>
                <w:sz w:val="16"/>
                <w:szCs w:val="20"/>
                <w:lang w:eastAsia="en-US"/>
              </w:rPr>
            </w:pPr>
            <w:r w:rsidRPr="00622884">
              <w:rPr>
                <w:rFonts w:ascii="Garamond" w:eastAsia="Calibri" w:hAnsi="Garamond" w:cs="Times New Roman"/>
                <w:b/>
                <w:sz w:val="16"/>
                <w:lang w:eastAsia="en-US" w:bidi="sq-AL"/>
              </w:rPr>
              <w:t>Objektivi 2: Forcimi i koordinimit institucional</w:t>
            </w:r>
          </w:p>
        </w:tc>
        <w:tc>
          <w:tcPr>
            <w:tcW w:w="607" w:type="pct"/>
            <w:tcBorders>
              <w:top w:val="single" w:sz="4" w:space="0" w:color="1D3C5A"/>
              <w:left w:val="single" w:sz="4" w:space="0" w:color="1D3C5A"/>
              <w:bottom w:val="single" w:sz="4" w:space="0" w:color="1D3C5A"/>
              <w:right w:val="single" w:sz="4" w:space="0" w:color="1D3C5A"/>
            </w:tcBorders>
            <w:vAlign w:val="center"/>
            <w:hideMark/>
          </w:tcPr>
          <w:p w14:paraId="798334E3" w14:textId="77777777" w:rsidR="00622884" w:rsidRPr="00622884" w:rsidRDefault="00622884" w:rsidP="00622884">
            <w:pPr>
              <w:spacing w:after="0" w:line="240" w:lineRule="auto"/>
              <w:jc w:val="left"/>
              <w:rPr>
                <w:rFonts w:ascii="Garamond" w:eastAsia="Calibri" w:hAnsi="Garamond" w:cs="Calibri Light"/>
                <w:sz w:val="16"/>
                <w:szCs w:val="20"/>
                <w:lang w:eastAsia="en-US"/>
              </w:rPr>
            </w:pPr>
            <w:r w:rsidRPr="00622884">
              <w:rPr>
                <w:rFonts w:ascii="Garamond" w:eastAsia="Calibri" w:hAnsi="Garamond" w:cs="Times New Roman"/>
                <w:sz w:val="16"/>
                <w:lang w:eastAsia="en-US" w:bidi="sq-AL"/>
              </w:rPr>
              <w:t xml:space="preserve">Veprime bashkëpunimi për një të ardhme me aftësi </w:t>
            </w:r>
            <w:r w:rsidRPr="00622884">
              <w:rPr>
                <w:rFonts w:ascii="Garamond" w:eastAsia="Calibri" w:hAnsi="Garamond" w:cs="Times New Roman"/>
                <w:sz w:val="16"/>
                <w:lang w:eastAsia="en-US" w:bidi="sq-AL"/>
              </w:rPr>
              <w:lastRenderedPageBreak/>
              <w:t>ripërtëritëse ndaj klimës</w:t>
            </w:r>
          </w:p>
        </w:tc>
        <w:tc>
          <w:tcPr>
            <w:tcW w:w="3084" w:type="pct"/>
            <w:tcBorders>
              <w:top w:val="single" w:sz="4" w:space="0" w:color="1D3C5A"/>
              <w:left w:val="single" w:sz="4" w:space="0" w:color="1D3C5A"/>
              <w:bottom w:val="single" w:sz="4" w:space="0" w:color="1D3C5A"/>
              <w:right w:val="single" w:sz="4" w:space="0" w:color="1D3C5A"/>
            </w:tcBorders>
            <w:vAlign w:val="center"/>
            <w:hideMark/>
          </w:tcPr>
          <w:p w14:paraId="3990DF74" w14:textId="77777777" w:rsidR="00622884" w:rsidRPr="00622884" w:rsidRDefault="00622884" w:rsidP="00622884">
            <w:pPr>
              <w:spacing w:after="0" w:line="240" w:lineRule="auto"/>
              <w:jc w:val="left"/>
              <w:rPr>
                <w:rFonts w:ascii="Garamond" w:eastAsia="Calibri" w:hAnsi="Garamond" w:cs="Calibri Light"/>
                <w:i/>
                <w:iCs/>
                <w:sz w:val="16"/>
                <w:szCs w:val="20"/>
                <w:lang w:eastAsia="en-US"/>
              </w:rPr>
            </w:pPr>
            <w:r w:rsidRPr="00622884">
              <w:rPr>
                <w:rFonts w:ascii="Garamond" w:eastAsia="Calibri" w:hAnsi="Garamond" w:cs="Times New Roman"/>
                <w:i/>
                <w:sz w:val="16"/>
                <w:lang w:eastAsia="en-US" w:bidi="sq-AL"/>
              </w:rPr>
              <w:lastRenderedPageBreak/>
              <w:t>- Përshtatja është e suksesshme kur të gjitha institucionet, sektori privat, akademia dhe komunitetet punojnë së bashku.</w:t>
            </w:r>
          </w:p>
          <w:p w14:paraId="05D929B4" w14:textId="77777777" w:rsidR="00622884" w:rsidRPr="00622884" w:rsidRDefault="00622884" w:rsidP="00622884">
            <w:pPr>
              <w:spacing w:after="0" w:line="240" w:lineRule="auto"/>
              <w:jc w:val="left"/>
              <w:rPr>
                <w:rFonts w:ascii="Garamond" w:eastAsia="Calibri" w:hAnsi="Garamond" w:cs="Calibri Light"/>
                <w:i/>
                <w:iCs/>
                <w:sz w:val="16"/>
                <w:szCs w:val="20"/>
                <w:lang w:eastAsia="en-US"/>
              </w:rPr>
            </w:pPr>
            <w:r w:rsidRPr="00622884">
              <w:rPr>
                <w:rFonts w:ascii="Garamond" w:eastAsia="Calibri" w:hAnsi="Garamond" w:cs="Times New Roman"/>
                <w:i/>
                <w:sz w:val="16"/>
                <w:lang w:eastAsia="en-US" w:bidi="sq-AL"/>
              </w:rPr>
              <w:t>- Partneritetet në bujqësi, energji, turizëm, transport dhe planifikim urban sigurojnë që veprimet e përshtatjes të jenë të qëndrueshme dhe të efektshme.</w:t>
            </w:r>
            <w:r w:rsidRPr="00622884">
              <w:rPr>
                <w:rFonts w:ascii="Garamond" w:eastAsia="Calibri" w:hAnsi="Garamond" w:cs="Times New Roman"/>
                <w:i/>
                <w:sz w:val="16"/>
                <w:lang w:eastAsia="en-US" w:bidi="sq-AL"/>
              </w:rPr>
              <w:br/>
              <w:t>- Partneritetet publike-private (PPP) shfrytëzojnë inovacionin dhe financimin për zgjidhjet për përshtatje.</w:t>
            </w:r>
            <w:r w:rsidRPr="00622884">
              <w:rPr>
                <w:rFonts w:ascii="Garamond" w:eastAsia="Calibri" w:hAnsi="Garamond" w:cs="Times New Roman"/>
                <w:i/>
                <w:sz w:val="16"/>
                <w:lang w:eastAsia="en-US" w:bidi="sq-AL"/>
              </w:rPr>
              <w:br/>
            </w:r>
            <w:r w:rsidRPr="00622884">
              <w:rPr>
                <w:rFonts w:ascii="Garamond" w:eastAsia="Calibri" w:hAnsi="Garamond" w:cs="Times New Roman"/>
                <w:i/>
                <w:sz w:val="16"/>
                <w:lang w:eastAsia="en-US" w:bidi="sq-AL"/>
              </w:rPr>
              <w:lastRenderedPageBreak/>
              <w:t>- Bujqësia inteligjente në lidhje me klimën rrit sigurinë ushqimore dhe krijon qëndrueshmëri në pune, veçanërisht për gratë në zonat rurale.</w:t>
            </w:r>
            <w:r w:rsidRPr="00622884">
              <w:rPr>
                <w:rFonts w:ascii="Garamond" w:eastAsia="Calibri" w:hAnsi="Garamond" w:cs="Times New Roman"/>
                <w:i/>
                <w:sz w:val="16"/>
                <w:lang w:eastAsia="en-US" w:bidi="sq-AL"/>
              </w:rPr>
              <w:br/>
              <w:t>- Infrastruktura e energjisë, transportit dhe turizmit siguron rritje dhe qëndrueshmëri afatgjatë.</w:t>
            </w:r>
            <w:r w:rsidRPr="00622884">
              <w:rPr>
                <w:rFonts w:ascii="Garamond" w:eastAsia="Calibri" w:hAnsi="Garamond" w:cs="Times New Roman"/>
                <w:i/>
                <w:sz w:val="16"/>
                <w:lang w:eastAsia="en-US" w:bidi="sq-AL"/>
              </w:rPr>
              <w:br/>
              <w:t>- Diversifikimi drejt energjisë së rinovueshme rrit sigurinë afatgjatë të energjisë, duke reduktuar gjurmën e karbonit të Shqipërisë.</w:t>
            </w:r>
            <w:r w:rsidRPr="00622884">
              <w:rPr>
                <w:rFonts w:ascii="Garamond" w:eastAsia="Calibri" w:hAnsi="Garamond" w:cs="Times New Roman"/>
                <w:i/>
                <w:sz w:val="16"/>
                <w:lang w:eastAsia="en-US" w:bidi="sq-AL"/>
              </w:rPr>
              <w:br/>
              <w:t>- Bashkëpunimi dhe shkëmbimi i njohurive harmonizojnë burimet dhe novacionin për një Shqipëri inteligjente ndaj klimës.</w:t>
            </w:r>
          </w:p>
          <w:p w14:paraId="77219995" w14:textId="77777777" w:rsidR="00622884" w:rsidRPr="00622884" w:rsidRDefault="00622884" w:rsidP="00622884">
            <w:pPr>
              <w:spacing w:after="0" w:line="240" w:lineRule="auto"/>
              <w:jc w:val="left"/>
              <w:rPr>
                <w:rFonts w:ascii="Garamond" w:eastAsia="Calibri" w:hAnsi="Garamond" w:cs="Calibri Light"/>
                <w:i/>
                <w:iCs/>
                <w:sz w:val="16"/>
                <w:szCs w:val="20"/>
                <w:lang w:eastAsia="en-US"/>
              </w:rPr>
            </w:pPr>
            <w:r w:rsidRPr="00622884">
              <w:rPr>
                <w:rFonts w:ascii="Garamond" w:eastAsia="Calibri" w:hAnsi="Garamond" w:cs="Times New Roman"/>
                <w:i/>
                <w:sz w:val="16"/>
                <w:lang w:eastAsia="en-US" w:bidi="sq-AL"/>
              </w:rPr>
              <w:t>- Sektori privat luan rol vendimtar në financimin e zgjidhjeve të përshtatjes.</w:t>
            </w:r>
          </w:p>
        </w:tc>
        <w:tc>
          <w:tcPr>
            <w:tcW w:w="841" w:type="pct"/>
            <w:tcBorders>
              <w:top w:val="single" w:sz="4" w:space="0" w:color="1D3C5A"/>
              <w:left w:val="single" w:sz="4" w:space="0" w:color="1D3C5A"/>
              <w:bottom w:val="single" w:sz="4" w:space="0" w:color="1D3C5A"/>
              <w:right w:val="single" w:sz="4" w:space="0" w:color="1D3C5A"/>
            </w:tcBorders>
            <w:vAlign w:val="center"/>
            <w:hideMark/>
          </w:tcPr>
          <w:p w14:paraId="5F0DD600" w14:textId="77777777" w:rsidR="00622884" w:rsidRPr="00622884" w:rsidRDefault="00622884" w:rsidP="00622884">
            <w:pPr>
              <w:spacing w:after="0" w:line="240" w:lineRule="auto"/>
              <w:jc w:val="left"/>
              <w:rPr>
                <w:rFonts w:ascii="Garamond" w:eastAsia="Calibri" w:hAnsi="Garamond" w:cs="Calibri Light"/>
                <w:sz w:val="16"/>
                <w:szCs w:val="20"/>
                <w:lang w:eastAsia="en-US"/>
              </w:rPr>
            </w:pPr>
            <w:r w:rsidRPr="00622884">
              <w:rPr>
                <w:rFonts w:ascii="Garamond" w:eastAsia="Calibri" w:hAnsi="Garamond" w:cs="Times New Roman"/>
                <w:sz w:val="16"/>
                <w:lang w:eastAsia="en-US" w:bidi="sq-AL"/>
              </w:rPr>
              <w:lastRenderedPageBreak/>
              <w:t xml:space="preserve">Politikëbërësit kombëtarë dhe vendorë, autoritetet bashkiake, udhëheqësit e sektorit </w:t>
            </w:r>
            <w:r w:rsidRPr="00622884">
              <w:rPr>
                <w:rFonts w:ascii="Garamond" w:eastAsia="Calibri" w:hAnsi="Garamond" w:cs="Times New Roman"/>
                <w:sz w:val="16"/>
                <w:lang w:eastAsia="en-US" w:bidi="sq-AL"/>
              </w:rPr>
              <w:lastRenderedPageBreak/>
              <w:t>privat, akademia.</w:t>
            </w:r>
          </w:p>
        </w:tc>
      </w:tr>
      <w:tr w:rsidR="00622884" w:rsidRPr="00622884" w14:paraId="7161F78D" w14:textId="77777777" w:rsidTr="00622884">
        <w:tc>
          <w:tcPr>
            <w:tcW w:w="468" w:type="pct"/>
            <w:tcBorders>
              <w:top w:val="single" w:sz="4" w:space="0" w:color="1D3C5A"/>
              <w:left w:val="single" w:sz="4" w:space="0" w:color="1D3C5A"/>
              <w:bottom w:val="single" w:sz="4" w:space="0" w:color="1D3C5A"/>
              <w:right w:val="single" w:sz="4" w:space="0" w:color="1D3C5A"/>
            </w:tcBorders>
            <w:vAlign w:val="center"/>
            <w:hideMark/>
          </w:tcPr>
          <w:p w14:paraId="597BA9B1" w14:textId="77777777" w:rsidR="00622884" w:rsidRPr="00622884" w:rsidRDefault="00622884" w:rsidP="00622884">
            <w:pPr>
              <w:spacing w:after="0" w:line="240" w:lineRule="auto"/>
              <w:jc w:val="left"/>
              <w:rPr>
                <w:rFonts w:ascii="Garamond" w:eastAsia="Calibri" w:hAnsi="Garamond" w:cs="Calibri Light"/>
                <w:b/>
                <w:bCs/>
                <w:sz w:val="16"/>
                <w:szCs w:val="20"/>
                <w:lang w:eastAsia="en-US"/>
              </w:rPr>
            </w:pPr>
            <w:r w:rsidRPr="00622884">
              <w:rPr>
                <w:rFonts w:ascii="Garamond" w:eastAsia="Calibri" w:hAnsi="Garamond" w:cs="Times New Roman"/>
                <w:b/>
                <w:sz w:val="16"/>
                <w:lang w:eastAsia="en-US" w:bidi="sq-AL"/>
              </w:rPr>
              <w:lastRenderedPageBreak/>
              <w:t>Objektivi 3: Integrimi i përshtatjes ndaj ndryshimeve klimatike në narrativat e politikave</w:t>
            </w:r>
          </w:p>
        </w:tc>
        <w:tc>
          <w:tcPr>
            <w:tcW w:w="607" w:type="pct"/>
            <w:tcBorders>
              <w:top w:val="single" w:sz="4" w:space="0" w:color="1D3C5A"/>
              <w:left w:val="single" w:sz="4" w:space="0" w:color="1D3C5A"/>
              <w:bottom w:val="single" w:sz="4" w:space="0" w:color="1D3C5A"/>
              <w:right w:val="single" w:sz="4" w:space="0" w:color="1D3C5A"/>
            </w:tcBorders>
            <w:vAlign w:val="center"/>
            <w:hideMark/>
          </w:tcPr>
          <w:p w14:paraId="7829C7D6" w14:textId="77777777" w:rsidR="00622884" w:rsidRPr="00622884" w:rsidRDefault="00622884" w:rsidP="00622884">
            <w:pPr>
              <w:spacing w:after="0" w:line="240" w:lineRule="auto"/>
              <w:jc w:val="left"/>
              <w:rPr>
                <w:rFonts w:ascii="Garamond" w:eastAsia="Calibri" w:hAnsi="Garamond" w:cs="Calibri Light"/>
                <w:sz w:val="16"/>
                <w:szCs w:val="20"/>
                <w:lang w:eastAsia="en-US"/>
              </w:rPr>
            </w:pPr>
            <w:r w:rsidRPr="00622884">
              <w:rPr>
                <w:rFonts w:ascii="Garamond" w:eastAsia="Calibri" w:hAnsi="Garamond" w:cs="Times New Roman"/>
                <w:sz w:val="16"/>
                <w:lang w:eastAsia="en-US" w:bidi="sq-AL"/>
              </w:rPr>
              <w:t>Përfshirja e përshtatjes ndaj klimës në kuadrot e qeverisjes dhe politikave</w:t>
            </w:r>
          </w:p>
        </w:tc>
        <w:tc>
          <w:tcPr>
            <w:tcW w:w="3084" w:type="pct"/>
            <w:tcBorders>
              <w:top w:val="single" w:sz="4" w:space="0" w:color="1D3C5A"/>
              <w:left w:val="single" w:sz="4" w:space="0" w:color="1D3C5A"/>
              <w:bottom w:val="single" w:sz="4" w:space="0" w:color="1D3C5A"/>
              <w:right w:val="single" w:sz="4" w:space="0" w:color="1D3C5A"/>
            </w:tcBorders>
            <w:vAlign w:val="center"/>
            <w:hideMark/>
          </w:tcPr>
          <w:p w14:paraId="75E44317" w14:textId="77777777" w:rsidR="00622884" w:rsidRPr="00622884" w:rsidRDefault="00622884" w:rsidP="00622884">
            <w:pPr>
              <w:spacing w:after="0" w:line="240" w:lineRule="auto"/>
              <w:jc w:val="left"/>
              <w:rPr>
                <w:rFonts w:ascii="Garamond" w:eastAsia="Calibri" w:hAnsi="Garamond" w:cs="Calibri Light"/>
                <w:i/>
                <w:iCs/>
                <w:sz w:val="16"/>
                <w:szCs w:val="20"/>
                <w:lang w:eastAsia="en-US"/>
              </w:rPr>
            </w:pPr>
            <w:r w:rsidRPr="00622884">
              <w:rPr>
                <w:rFonts w:ascii="Garamond" w:eastAsia="Calibri" w:hAnsi="Garamond" w:cs="Times New Roman"/>
                <w:i/>
                <w:sz w:val="16"/>
                <w:lang w:eastAsia="en-US" w:bidi="sq-AL"/>
              </w:rPr>
              <w:t>- Integrimi i përshtatjes në politikat kombëtare dhe bashkiake siguron zhvillim të qëndrueshëm.</w:t>
            </w:r>
          </w:p>
          <w:p w14:paraId="50EECE5A" w14:textId="77777777" w:rsidR="00622884" w:rsidRPr="00622884" w:rsidRDefault="00622884" w:rsidP="00622884">
            <w:pPr>
              <w:spacing w:after="0" w:line="240" w:lineRule="auto"/>
              <w:jc w:val="left"/>
              <w:rPr>
                <w:rFonts w:ascii="Garamond" w:eastAsia="Calibri" w:hAnsi="Garamond" w:cs="Calibri Light"/>
                <w:i/>
                <w:iCs/>
                <w:sz w:val="16"/>
                <w:szCs w:val="20"/>
                <w:lang w:eastAsia="en-US"/>
              </w:rPr>
            </w:pPr>
            <w:r w:rsidRPr="00622884">
              <w:rPr>
                <w:rFonts w:ascii="Garamond" w:eastAsia="Calibri" w:hAnsi="Garamond" w:cs="Times New Roman"/>
                <w:i/>
                <w:sz w:val="16"/>
                <w:lang w:eastAsia="en-US" w:bidi="sq-AL"/>
              </w:rPr>
              <w:t>- Përshtatja ndaj klimës është investim, jo kosto, përmes së cilës garantohet siguria ekonomike e Shqipërisë.</w:t>
            </w:r>
          </w:p>
          <w:p w14:paraId="746F3C6B" w14:textId="77777777" w:rsidR="00622884" w:rsidRPr="00622884" w:rsidRDefault="00622884" w:rsidP="00622884">
            <w:pPr>
              <w:spacing w:after="0" w:line="240" w:lineRule="auto"/>
              <w:jc w:val="left"/>
              <w:rPr>
                <w:rFonts w:ascii="Garamond" w:eastAsia="Calibri" w:hAnsi="Garamond" w:cs="Calibri Light"/>
                <w:i/>
                <w:iCs/>
                <w:sz w:val="16"/>
                <w:szCs w:val="20"/>
                <w:lang w:eastAsia="en-US"/>
              </w:rPr>
            </w:pPr>
            <w:r w:rsidRPr="00622884">
              <w:rPr>
                <w:rFonts w:ascii="Garamond" w:eastAsia="Calibri" w:hAnsi="Garamond" w:cs="Times New Roman"/>
                <w:i/>
                <w:sz w:val="16"/>
                <w:lang w:eastAsia="en-US" w:bidi="sq-AL"/>
              </w:rPr>
              <w:t>- Risqet klimatike duhet të merren parasysh në të gjitha vendimet e planifikimit dhe financimit.</w:t>
            </w:r>
          </w:p>
          <w:p w14:paraId="6A6DBA06" w14:textId="77777777" w:rsidR="00622884" w:rsidRPr="00622884" w:rsidRDefault="00622884" w:rsidP="00622884">
            <w:pPr>
              <w:spacing w:after="0" w:line="240" w:lineRule="auto"/>
              <w:jc w:val="left"/>
              <w:rPr>
                <w:rFonts w:ascii="Garamond" w:eastAsia="Calibri" w:hAnsi="Garamond" w:cs="Calibri Light"/>
                <w:i/>
                <w:iCs/>
                <w:sz w:val="16"/>
                <w:szCs w:val="20"/>
                <w:lang w:eastAsia="en-US"/>
              </w:rPr>
            </w:pPr>
            <w:r w:rsidRPr="00622884">
              <w:rPr>
                <w:rFonts w:ascii="Garamond" w:eastAsia="Calibri" w:hAnsi="Garamond" w:cs="Times New Roman"/>
                <w:i/>
                <w:sz w:val="16"/>
                <w:lang w:eastAsia="en-US" w:bidi="sq-AL"/>
              </w:rPr>
              <w:t xml:space="preserve">- Vendimet e sotme politike formësojnë aftësitë ripërtëritëse të Shqipërisë së nesërme. </w:t>
            </w:r>
          </w:p>
          <w:p w14:paraId="0E865A6A" w14:textId="77777777" w:rsidR="00622884" w:rsidRPr="00622884" w:rsidRDefault="00622884" w:rsidP="00622884">
            <w:pPr>
              <w:spacing w:after="0" w:line="240" w:lineRule="auto"/>
              <w:jc w:val="left"/>
              <w:rPr>
                <w:rFonts w:ascii="Garamond" w:eastAsia="Calibri" w:hAnsi="Garamond" w:cs="Calibri Light"/>
                <w:i/>
                <w:iCs/>
                <w:sz w:val="16"/>
                <w:szCs w:val="20"/>
                <w:lang w:eastAsia="en-US"/>
              </w:rPr>
            </w:pPr>
            <w:r w:rsidRPr="00622884">
              <w:rPr>
                <w:rFonts w:ascii="Garamond" w:eastAsia="Calibri" w:hAnsi="Garamond" w:cs="Times New Roman"/>
                <w:i/>
                <w:sz w:val="16"/>
                <w:lang w:eastAsia="en-US" w:bidi="sq-AL"/>
              </w:rPr>
              <w:t>- Politikëbërësit luajnë rol vendimtar në sigurimin e financimit për klimën dhe bashkëpunimit ndërkombëtar.</w:t>
            </w:r>
            <w:r w:rsidRPr="00622884">
              <w:rPr>
                <w:rFonts w:ascii="Garamond" w:eastAsia="Calibri" w:hAnsi="Garamond" w:cs="Times New Roman"/>
                <w:i/>
                <w:sz w:val="16"/>
                <w:lang w:eastAsia="en-US" w:bidi="sq-AL"/>
              </w:rPr>
              <w:br/>
              <w:t>- Udhëheqja e fortë dhe vendimet transparente nxisin politika të qëndrueshme dhe sigurojnë financim ndërkombëtar.</w:t>
            </w:r>
            <w:r w:rsidRPr="00622884">
              <w:rPr>
                <w:rFonts w:ascii="Garamond" w:eastAsia="Calibri" w:hAnsi="Garamond" w:cs="Times New Roman"/>
                <w:i/>
                <w:sz w:val="16"/>
                <w:lang w:eastAsia="en-US" w:bidi="sq-AL"/>
              </w:rPr>
              <w:br/>
              <w:t>- Përshtatja është investim në sigurinë ekonomike, jepini përparësi në vendimet tuaja.</w:t>
            </w:r>
            <w:r w:rsidRPr="00622884">
              <w:rPr>
                <w:rFonts w:ascii="Garamond" w:eastAsia="Calibri" w:hAnsi="Garamond" w:cs="Times New Roman"/>
                <w:i/>
                <w:sz w:val="16"/>
                <w:lang w:eastAsia="en-US" w:bidi="sq-AL"/>
              </w:rPr>
              <w:br/>
              <w:t>- Udhëheqja e fortë nxit politika të qëndrueshme. Bëhuni zëri që mbështet të ardhmen klimatike të Shqipërisë.</w:t>
            </w:r>
          </w:p>
        </w:tc>
        <w:tc>
          <w:tcPr>
            <w:tcW w:w="841" w:type="pct"/>
            <w:tcBorders>
              <w:top w:val="single" w:sz="4" w:space="0" w:color="1D3C5A"/>
              <w:left w:val="single" w:sz="4" w:space="0" w:color="1D3C5A"/>
              <w:bottom w:val="single" w:sz="4" w:space="0" w:color="1D3C5A"/>
              <w:right w:val="single" w:sz="4" w:space="0" w:color="1D3C5A"/>
            </w:tcBorders>
            <w:vAlign w:val="center"/>
            <w:hideMark/>
          </w:tcPr>
          <w:p w14:paraId="53474D01" w14:textId="77777777" w:rsidR="00622884" w:rsidRPr="00622884" w:rsidRDefault="00622884" w:rsidP="00622884">
            <w:pPr>
              <w:spacing w:after="0" w:line="240" w:lineRule="auto"/>
              <w:jc w:val="left"/>
              <w:rPr>
                <w:rFonts w:ascii="Garamond" w:eastAsia="Calibri" w:hAnsi="Garamond" w:cs="Calibri Light"/>
                <w:sz w:val="16"/>
                <w:szCs w:val="20"/>
                <w:lang w:eastAsia="en-US"/>
              </w:rPr>
            </w:pPr>
            <w:r w:rsidRPr="00622884">
              <w:rPr>
                <w:rFonts w:ascii="Garamond" w:eastAsia="Calibri" w:hAnsi="Garamond" w:cs="Times New Roman"/>
                <w:sz w:val="16"/>
                <w:lang w:eastAsia="en-US" w:bidi="sq-AL"/>
              </w:rPr>
              <w:t>Politikëbërës kombëtarë dhe vendorë, udhëheqës të komunitetit me ndikim dhe donatorë. Gazetarët dhe mediat.</w:t>
            </w:r>
          </w:p>
        </w:tc>
      </w:tr>
      <w:tr w:rsidR="00622884" w:rsidRPr="00622884" w14:paraId="5D87CE5D" w14:textId="77777777" w:rsidTr="00622884">
        <w:tc>
          <w:tcPr>
            <w:tcW w:w="468" w:type="pct"/>
            <w:tcBorders>
              <w:top w:val="single" w:sz="4" w:space="0" w:color="1D3C5A"/>
              <w:left w:val="single" w:sz="4" w:space="0" w:color="1D3C5A"/>
              <w:bottom w:val="single" w:sz="4" w:space="0" w:color="1D3C5A"/>
              <w:right w:val="single" w:sz="4" w:space="0" w:color="1D3C5A"/>
            </w:tcBorders>
            <w:vAlign w:val="center"/>
            <w:hideMark/>
          </w:tcPr>
          <w:p w14:paraId="5662D468" w14:textId="77777777" w:rsidR="00622884" w:rsidRPr="00622884" w:rsidRDefault="00622884" w:rsidP="00622884">
            <w:pPr>
              <w:spacing w:after="0" w:line="240" w:lineRule="auto"/>
              <w:jc w:val="left"/>
              <w:rPr>
                <w:rFonts w:ascii="Garamond" w:eastAsia="Calibri" w:hAnsi="Garamond" w:cs="Calibri Light"/>
                <w:b/>
                <w:bCs/>
                <w:sz w:val="16"/>
                <w:szCs w:val="20"/>
                <w:lang w:eastAsia="en-US"/>
              </w:rPr>
            </w:pPr>
            <w:r w:rsidRPr="00622884">
              <w:rPr>
                <w:rFonts w:ascii="Garamond" w:eastAsia="Calibri" w:hAnsi="Garamond" w:cs="Times New Roman"/>
                <w:b/>
                <w:sz w:val="16"/>
                <w:lang w:eastAsia="en-US" w:bidi="sq-AL"/>
              </w:rPr>
              <w:t>Objektivi 4: Fuqizimi i zërave të cenueshëm</w:t>
            </w:r>
          </w:p>
        </w:tc>
        <w:tc>
          <w:tcPr>
            <w:tcW w:w="607" w:type="pct"/>
            <w:tcBorders>
              <w:top w:val="single" w:sz="4" w:space="0" w:color="1D3C5A"/>
              <w:left w:val="single" w:sz="4" w:space="0" w:color="1D3C5A"/>
              <w:bottom w:val="single" w:sz="4" w:space="0" w:color="1D3C5A"/>
              <w:right w:val="single" w:sz="4" w:space="0" w:color="1D3C5A"/>
            </w:tcBorders>
            <w:vAlign w:val="center"/>
            <w:hideMark/>
          </w:tcPr>
          <w:p w14:paraId="287B811C" w14:textId="77777777" w:rsidR="00622884" w:rsidRPr="00622884" w:rsidRDefault="00622884" w:rsidP="00622884">
            <w:pPr>
              <w:spacing w:after="0" w:line="240" w:lineRule="auto"/>
              <w:jc w:val="left"/>
              <w:rPr>
                <w:rFonts w:ascii="Garamond" w:eastAsia="Calibri" w:hAnsi="Garamond" w:cs="Calibri Light"/>
                <w:sz w:val="16"/>
                <w:szCs w:val="20"/>
                <w:lang w:eastAsia="en-US"/>
              </w:rPr>
            </w:pPr>
            <w:r w:rsidRPr="00622884">
              <w:rPr>
                <w:rFonts w:ascii="Garamond" w:eastAsia="Calibri" w:hAnsi="Garamond" w:cs="Times New Roman"/>
                <w:sz w:val="16"/>
                <w:lang w:eastAsia="en-US" w:bidi="sq-AL"/>
              </w:rPr>
              <w:t>Veprim gjithëpërfshirës për klimën: Askush të mos mbetet pas</w:t>
            </w:r>
          </w:p>
        </w:tc>
        <w:tc>
          <w:tcPr>
            <w:tcW w:w="3084" w:type="pct"/>
            <w:tcBorders>
              <w:top w:val="single" w:sz="4" w:space="0" w:color="1D3C5A"/>
              <w:left w:val="single" w:sz="4" w:space="0" w:color="1D3C5A"/>
              <w:bottom w:val="single" w:sz="4" w:space="0" w:color="1D3C5A"/>
              <w:right w:val="single" w:sz="4" w:space="0" w:color="1D3C5A"/>
            </w:tcBorders>
            <w:vAlign w:val="center"/>
            <w:hideMark/>
          </w:tcPr>
          <w:p w14:paraId="2514D528" w14:textId="77777777" w:rsidR="00622884" w:rsidRPr="00622884" w:rsidRDefault="00622884" w:rsidP="00622884">
            <w:pPr>
              <w:spacing w:after="0" w:line="240" w:lineRule="auto"/>
              <w:jc w:val="left"/>
              <w:rPr>
                <w:rFonts w:ascii="Garamond" w:eastAsia="Calibri" w:hAnsi="Garamond" w:cs="Calibri Light"/>
                <w:i/>
                <w:iCs/>
                <w:sz w:val="16"/>
                <w:szCs w:val="20"/>
                <w:lang w:eastAsia="en-US"/>
              </w:rPr>
            </w:pPr>
            <w:r w:rsidRPr="00622884">
              <w:rPr>
                <w:rFonts w:ascii="Garamond" w:eastAsia="Calibri" w:hAnsi="Garamond" w:cs="Times New Roman"/>
                <w:i/>
                <w:sz w:val="16"/>
                <w:lang w:eastAsia="en-US" w:bidi="sq-AL"/>
              </w:rPr>
              <w:t>- Ndryshimi i klimës na prek të gjithëve, por grupet e cenueshme mbajnë barrën më të madhe. Përshtatja duhet të sigurojë që askush të mos mbetet pas.</w:t>
            </w:r>
          </w:p>
          <w:p w14:paraId="2B422C09" w14:textId="77777777" w:rsidR="00622884" w:rsidRPr="00622884" w:rsidRDefault="00622884" w:rsidP="00622884">
            <w:pPr>
              <w:spacing w:after="0" w:line="240" w:lineRule="auto"/>
              <w:jc w:val="left"/>
              <w:rPr>
                <w:rFonts w:ascii="Garamond" w:eastAsia="Calibri" w:hAnsi="Garamond" w:cs="Calibri Light"/>
                <w:i/>
                <w:iCs/>
                <w:sz w:val="16"/>
                <w:szCs w:val="20"/>
                <w:lang w:eastAsia="en-US"/>
              </w:rPr>
            </w:pPr>
            <w:r w:rsidRPr="00622884">
              <w:rPr>
                <w:rFonts w:ascii="Garamond" w:eastAsia="Calibri" w:hAnsi="Garamond" w:cs="Times New Roman"/>
                <w:i/>
                <w:sz w:val="16"/>
                <w:lang w:eastAsia="en-US" w:bidi="sq-AL"/>
              </w:rPr>
              <w:t xml:space="preserve">- Zgjidhjet e bazuara në komunitet, të drejtuara në nivel vendor, e bëjnë përshtatjen të efektshme dhe të qëndrueshme. </w:t>
            </w:r>
          </w:p>
          <w:p w14:paraId="24A01A35" w14:textId="77777777" w:rsidR="00622884" w:rsidRPr="00622884" w:rsidRDefault="00622884" w:rsidP="00622884">
            <w:pPr>
              <w:spacing w:after="0" w:line="240" w:lineRule="auto"/>
              <w:jc w:val="left"/>
              <w:rPr>
                <w:rFonts w:ascii="Garamond" w:eastAsia="Calibri" w:hAnsi="Garamond" w:cs="Calibri Light"/>
                <w:i/>
                <w:iCs/>
                <w:sz w:val="16"/>
                <w:szCs w:val="20"/>
                <w:lang w:eastAsia="en-US"/>
              </w:rPr>
            </w:pPr>
            <w:r w:rsidRPr="00622884">
              <w:rPr>
                <w:rFonts w:ascii="Garamond" w:eastAsia="Calibri" w:hAnsi="Garamond" w:cs="Times New Roman"/>
                <w:i/>
                <w:sz w:val="16"/>
                <w:lang w:eastAsia="en-US" w:bidi="sq-AL"/>
              </w:rPr>
              <w:t>- Investimi në përshtatje përmirëson jetesën, mbron popullatat e cenueshme dhe përmirëson aftësitë ripërtëritëse sociale.</w:t>
            </w:r>
            <w:r w:rsidRPr="00622884">
              <w:rPr>
                <w:rFonts w:ascii="Garamond" w:eastAsia="Calibri" w:hAnsi="Garamond" w:cs="Times New Roman"/>
                <w:i/>
                <w:sz w:val="16"/>
                <w:lang w:eastAsia="en-US" w:bidi="sq-AL"/>
              </w:rPr>
              <w:br/>
              <w:t>- Gratë, të rinjtë dhe komunitetet e margjinalizuara duhet të jenë pjesë aktive e vendimmarrjes për klimën.</w:t>
            </w:r>
            <w:r w:rsidRPr="00622884">
              <w:rPr>
                <w:rFonts w:ascii="Garamond" w:eastAsia="Calibri" w:hAnsi="Garamond" w:cs="Times New Roman"/>
                <w:i/>
                <w:sz w:val="16"/>
                <w:lang w:eastAsia="en-US" w:bidi="sq-AL"/>
              </w:rPr>
              <w:br/>
              <w:t>- Përshtatja gjithëpërfshirëse siguron barazi, pjesëmarrje dhe përfitime të ndërsjella për të gjithë.</w:t>
            </w:r>
          </w:p>
        </w:tc>
        <w:tc>
          <w:tcPr>
            <w:tcW w:w="841" w:type="pct"/>
            <w:tcBorders>
              <w:top w:val="single" w:sz="4" w:space="0" w:color="1D3C5A"/>
              <w:left w:val="single" w:sz="4" w:space="0" w:color="1D3C5A"/>
              <w:bottom w:val="single" w:sz="4" w:space="0" w:color="1D3C5A"/>
              <w:right w:val="single" w:sz="4" w:space="0" w:color="1D3C5A"/>
            </w:tcBorders>
            <w:vAlign w:val="center"/>
            <w:hideMark/>
          </w:tcPr>
          <w:p w14:paraId="2D1A1AED" w14:textId="77777777" w:rsidR="00622884" w:rsidRPr="00622884" w:rsidRDefault="00622884" w:rsidP="00622884">
            <w:pPr>
              <w:spacing w:after="0" w:line="240" w:lineRule="auto"/>
              <w:jc w:val="left"/>
              <w:rPr>
                <w:rFonts w:ascii="Garamond" w:eastAsia="Calibri" w:hAnsi="Garamond" w:cs="Calibri Light"/>
                <w:sz w:val="16"/>
                <w:szCs w:val="20"/>
                <w:lang w:eastAsia="en-US"/>
              </w:rPr>
            </w:pPr>
            <w:r w:rsidRPr="00622884">
              <w:rPr>
                <w:rFonts w:ascii="Garamond" w:eastAsia="Calibri" w:hAnsi="Garamond" w:cs="Times New Roman"/>
                <w:sz w:val="16"/>
                <w:lang w:eastAsia="en-US" w:bidi="sq-AL"/>
              </w:rPr>
              <w:t>Gratë, të rinjtë, popullatat rurale dhe komunitetet e margjinalizuara. Organizatat e shoqërisë civile që punojnë për përfshirjen sociale.</w:t>
            </w:r>
          </w:p>
        </w:tc>
      </w:tr>
      <w:tr w:rsidR="00622884" w:rsidRPr="00622884" w14:paraId="32B8309C" w14:textId="77777777" w:rsidTr="00622884">
        <w:tc>
          <w:tcPr>
            <w:tcW w:w="468" w:type="pct"/>
            <w:tcBorders>
              <w:top w:val="single" w:sz="4" w:space="0" w:color="1D3C5A"/>
              <w:left w:val="single" w:sz="4" w:space="0" w:color="1D3C5A"/>
              <w:bottom w:val="single" w:sz="4" w:space="0" w:color="1D3C5A"/>
              <w:right w:val="single" w:sz="4" w:space="0" w:color="1D3C5A"/>
            </w:tcBorders>
            <w:vAlign w:val="center"/>
            <w:hideMark/>
          </w:tcPr>
          <w:p w14:paraId="3E049E93" w14:textId="77777777" w:rsidR="00622884" w:rsidRPr="00622884" w:rsidRDefault="00622884" w:rsidP="00622884">
            <w:pPr>
              <w:spacing w:after="0" w:line="240" w:lineRule="auto"/>
              <w:jc w:val="left"/>
              <w:rPr>
                <w:rFonts w:ascii="Garamond" w:eastAsia="Calibri" w:hAnsi="Garamond" w:cs="Calibri Light"/>
                <w:b/>
                <w:bCs/>
                <w:sz w:val="16"/>
                <w:szCs w:val="20"/>
                <w:lang w:eastAsia="en-US"/>
              </w:rPr>
            </w:pPr>
            <w:r w:rsidRPr="00622884">
              <w:rPr>
                <w:rFonts w:ascii="Garamond" w:eastAsia="Calibri" w:hAnsi="Garamond" w:cs="Times New Roman"/>
                <w:b/>
                <w:sz w:val="16"/>
                <w:lang w:eastAsia="en-US" w:bidi="sq-AL"/>
              </w:rPr>
              <w:t>Objektivi 5: Vazhdimi i angazhimit dhe dialogut</w:t>
            </w:r>
          </w:p>
        </w:tc>
        <w:tc>
          <w:tcPr>
            <w:tcW w:w="607" w:type="pct"/>
            <w:tcBorders>
              <w:top w:val="single" w:sz="4" w:space="0" w:color="1D3C5A"/>
              <w:left w:val="single" w:sz="4" w:space="0" w:color="1D3C5A"/>
              <w:bottom w:val="single" w:sz="4" w:space="0" w:color="1D3C5A"/>
              <w:right w:val="single" w:sz="4" w:space="0" w:color="1D3C5A"/>
            </w:tcBorders>
            <w:vAlign w:val="center"/>
            <w:hideMark/>
          </w:tcPr>
          <w:p w14:paraId="5244509B" w14:textId="77777777" w:rsidR="00622884" w:rsidRPr="00622884" w:rsidRDefault="00622884" w:rsidP="00622884">
            <w:pPr>
              <w:spacing w:after="0" w:line="240" w:lineRule="auto"/>
              <w:jc w:val="left"/>
              <w:rPr>
                <w:rFonts w:ascii="Garamond" w:eastAsia="Calibri" w:hAnsi="Garamond" w:cs="Calibri Light"/>
                <w:sz w:val="16"/>
                <w:szCs w:val="20"/>
                <w:lang w:eastAsia="en-US"/>
              </w:rPr>
            </w:pPr>
            <w:r w:rsidRPr="00622884">
              <w:rPr>
                <w:rFonts w:ascii="Garamond" w:eastAsia="Calibri" w:hAnsi="Garamond" w:cs="Times New Roman"/>
                <w:sz w:val="16"/>
                <w:lang w:eastAsia="en-US" w:bidi="sq-AL"/>
              </w:rPr>
              <w:t>Përshtatja ndaj klimës si përpjekje kolektive dhe e vazhdueshme</w:t>
            </w:r>
          </w:p>
        </w:tc>
        <w:tc>
          <w:tcPr>
            <w:tcW w:w="3084" w:type="pct"/>
            <w:tcBorders>
              <w:top w:val="single" w:sz="4" w:space="0" w:color="1D3C5A"/>
              <w:left w:val="single" w:sz="4" w:space="0" w:color="1D3C5A"/>
              <w:bottom w:val="single" w:sz="4" w:space="0" w:color="1D3C5A"/>
              <w:right w:val="single" w:sz="4" w:space="0" w:color="1D3C5A"/>
            </w:tcBorders>
            <w:vAlign w:val="center"/>
            <w:hideMark/>
          </w:tcPr>
          <w:p w14:paraId="21D53708" w14:textId="77777777" w:rsidR="00622884" w:rsidRPr="00622884" w:rsidRDefault="00622884" w:rsidP="00622884">
            <w:pPr>
              <w:spacing w:after="0" w:line="240" w:lineRule="auto"/>
              <w:jc w:val="left"/>
              <w:rPr>
                <w:rFonts w:ascii="Garamond" w:eastAsia="Calibri" w:hAnsi="Garamond" w:cs="Calibri Light"/>
                <w:i/>
                <w:iCs/>
                <w:sz w:val="16"/>
                <w:szCs w:val="20"/>
                <w:lang w:eastAsia="en-US"/>
              </w:rPr>
            </w:pPr>
            <w:r w:rsidRPr="00622884">
              <w:rPr>
                <w:rFonts w:ascii="Garamond" w:eastAsia="Calibri" w:hAnsi="Garamond" w:cs="Times New Roman"/>
                <w:i/>
                <w:sz w:val="16"/>
                <w:lang w:eastAsia="en-US" w:bidi="sq-AL"/>
              </w:rPr>
              <w:t>- Përshtatja është një proces i vazhdueshëm që kërkon udhëheqje dhe bashkëpunim të qëndrueshëm.</w:t>
            </w:r>
          </w:p>
          <w:p w14:paraId="0BACF6E4" w14:textId="77777777" w:rsidR="00622884" w:rsidRPr="00622884" w:rsidRDefault="00622884" w:rsidP="00622884">
            <w:pPr>
              <w:spacing w:after="0" w:line="240" w:lineRule="auto"/>
              <w:jc w:val="left"/>
              <w:rPr>
                <w:rFonts w:ascii="Garamond" w:eastAsia="Calibri" w:hAnsi="Garamond" w:cs="Calibri Light"/>
                <w:i/>
                <w:iCs/>
                <w:sz w:val="16"/>
                <w:szCs w:val="20"/>
                <w:lang w:eastAsia="en-US"/>
              </w:rPr>
            </w:pPr>
            <w:r w:rsidRPr="00622884">
              <w:rPr>
                <w:rFonts w:ascii="Garamond" w:eastAsia="Calibri" w:hAnsi="Garamond" w:cs="Times New Roman"/>
                <w:i/>
                <w:sz w:val="16"/>
                <w:lang w:eastAsia="en-US" w:bidi="sq-AL"/>
              </w:rPr>
              <w:t>- Historitë e suksesit nga PVP-të demonstrojnë ndikimin e përpjekjeve të përshtatjes dhe nxisin replikimin.</w:t>
            </w:r>
          </w:p>
          <w:p w14:paraId="05883929" w14:textId="77777777" w:rsidR="00622884" w:rsidRPr="00622884" w:rsidRDefault="00622884" w:rsidP="00622884">
            <w:pPr>
              <w:spacing w:after="0" w:line="240" w:lineRule="auto"/>
              <w:jc w:val="left"/>
              <w:rPr>
                <w:rFonts w:ascii="Garamond" w:eastAsia="Calibri" w:hAnsi="Garamond" w:cs="Calibri Light"/>
                <w:i/>
                <w:iCs/>
                <w:sz w:val="16"/>
                <w:szCs w:val="20"/>
                <w:lang w:eastAsia="en-US"/>
              </w:rPr>
            </w:pPr>
            <w:r w:rsidRPr="00622884">
              <w:rPr>
                <w:rFonts w:ascii="Garamond" w:eastAsia="Calibri" w:hAnsi="Garamond" w:cs="Times New Roman"/>
                <w:i/>
                <w:sz w:val="16"/>
                <w:lang w:eastAsia="en-US" w:bidi="sq-AL"/>
              </w:rPr>
              <w:t>- Shqipëria po ndërton një të ardhme me aftësi ripërtëritëse; historitë tona të suksesit tregojnë rrugën për të ecur përpara.</w:t>
            </w:r>
            <w:r w:rsidRPr="00622884">
              <w:rPr>
                <w:rFonts w:ascii="Garamond" w:eastAsia="Calibri" w:hAnsi="Garamond" w:cs="Times New Roman"/>
                <w:i/>
                <w:sz w:val="16"/>
                <w:lang w:eastAsia="en-US" w:bidi="sq-AL"/>
              </w:rPr>
              <w:br/>
              <w:t>- Platformat e bashkëpunimit dhe ndarjes së njohurive, si dhe mjetet e komunikimit, mbështesin angazhimin afatgjatë.</w:t>
            </w:r>
            <w:r w:rsidRPr="00622884">
              <w:rPr>
                <w:rFonts w:ascii="Garamond" w:eastAsia="Calibri" w:hAnsi="Garamond" w:cs="Times New Roman"/>
                <w:i/>
                <w:sz w:val="16"/>
                <w:lang w:eastAsia="en-US" w:bidi="sq-AL"/>
              </w:rPr>
              <w:br/>
              <w:t>- Shfaqja e progresit frymëzon të tjerët; së bashku, mund t’i shkallëzojmë këto suksese për një ndikim më të madh.</w:t>
            </w:r>
          </w:p>
          <w:p w14:paraId="56059370" w14:textId="77777777" w:rsidR="00622884" w:rsidRPr="00622884" w:rsidRDefault="00622884" w:rsidP="00622884">
            <w:pPr>
              <w:spacing w:after="0" w:line="240" w:lineRule="auto"/>
              <w:jc w:val="left"/>
              <w:rPr>
                <w:rFonts w:ascii="Garamond" w:eastAsia="Calibri" w:hAnsi="Garamond" w:cs="Calibri Light"/>
                <w:i/>
                <w:iCs/>
                <w:sz w:val="16"/>
                <w:szCs w:val="20"/>
                <w:lang w:eastAsia="en-US"/>
              </w:rPr>
            </w:pPr>
            <w:r w:rsidRPr="00622884">
              <w:rPr>
                <w:rFonts w:ascii="Garamond" w:eastAsia="Calibri" w:hAnsi="Garamond" w:cs="Times New Roman"/>
                <w:i/>
                <w:sz w:val="16"/>
                <w:lang w:eastAsia="en-US" w:bidi="sq-AL"/>
              </w:rPr>
              <w:t>- Përfshirja e sektorit privat është thelbësore për të zgjeruar dhe financuar zgjidhje me aftësi ripërtëritëse</w:t>
            </w:r>
          </w:p>
        </w:tc>
        <w:tc>
          <w:tcPr>
            <w:tcW w:w="841" w:type="pct"/>
            <w:tcBorders>
              <w:top w:val="single" w:sz="4" w:space="0" w:color="1D3C5A"/>
              <w:left w:val="single" w:sz="4" w:space="0" w:color="1D3C5A"/>
              <w:bottom w:val="single" w:sz="4" w:space="0" w:color="1D3C5A"/>
              <w:right w:val="single" w:sz="4" w:space="0" w:color="1D3C5A"/>
            </w:tcBorders>
            <w:vAlign w:val="center"/>
            <w:hideMark/>
          </w:tcPr>
          <w:p w14:paraId="2EF61CB6" w14:textId="77777777" w:rsidR="00622884" w:rsidRPr="00622884" w:rsidRDefault="00622884" w:rsidP="00622884">
            <w:pPr>
              <w:spacing w:after="0" w:line="240" w:lineRule="auto"/>
              <w:jc w:val="left"/>
              <w:rPr>
                <w:rFonts w:ascii="Garamond" w:eastAsia="Calibri" w:hAnsi="Garamond" w:cs="Calibri Light"/>
                <w:sz w:val="16"/>
                <w:szCs w:val="20"/>
                <w:lang w:eastAsia="en-US"/>
              </w:rPr>
            </w:pPr>
            <w:r w:rsidRPr="00622884">
              <w:rPr>
                <w:rFonts w:ascii="Garamond" w:eastAsia="Calibri" w:hAnsi="Garamond" w:cs="Times New Roman"/>
                <w:sz w:val="16"/>
                <w:lang w:eastAsia="en-US" w:bidi="sq-AL"/>
              </w:rPr>
              <w:t>Qeveritë kombëtare dhe bashkiake dhe aktorët e sektorit privat. Mediat dhe institucionet arsimore për të vazhduar ndërgjegjësimin publik.</w:t>
            </w:r>
          </w:p>
        </w:tc>
      </w:tr>
    </w:tbl>
    <w:p w14:paraId="5F2D96E1" w14:textId="77777777" w:rsidR="00622884" w:rsidRPr="00622884" w:rsidRDefault="00622884" w:rsidP="00622884">
      <w:pPr>
        <w:tabs>
          <w:tab w:val="left" w:pos="5325"/>
        </w:tabs>
        <w:spacing w:after="0" w:line="240" w:lineRule="auto"/>
        <w:ind w:firstLine="284"/>
        <w:rPr>
          <w:rFonts w:ascii="Garamond" w:eastAsia="Calibri" w:hAnsi="Garamond" w:cs="Times New Roman"/>
          <w:sz w:val="12"/>
          <w:szCs w:val="24"/>
          <w:lang w:eastAsia="en-US"/>
        </w:rPr>
      </w:pPr>
    </w:p>
    <w:p w14:paraId="73021724" w14:textId="77777777" w:rsidR="00622884" w:rsidRPr="00622884" w:rsidRDefault="00622884" w:rsidP="00622884">
      <w:pPr>
        <w:tabs>
          <w:tab w:val="left" w:pos="5325"/>
        </w:tabs>
        <w:spacing w:after="0" w:line="240" w:lineRule="auto"/>
        <w:ind w:firstLine="284"/>
        <w:rPr>
          <w:rFonts w:ascii="Garamond" w:eastAsia="Calibri" w:hAnsi="Garamond" w:cs="Times New Roman"/>
          <w:b/>
          <w:sz w:val="24"/>
          <w:szCs w:val="24"/>
          <w:lang w:eastAsia="en-US"/>
        </w:rPr>
      </w:pPr>
      <w:r w:rsidRPr="00622884">
        <w:rPr>
          <w:rFonts w:ascii="Garamond" w:eastAsia="Calibri" w:hAnsi="Garamond" w:cs="Times New Roman"/>
          <w:b/>
          <w:sz w:val="24"/>
          <w:szCs w:val="24"/>
          <w:lang w:eastAsia="en-US"/>
        </w:rPr>
        <w:t>Tabela 16: Mesazhet e komunikimit të NAP-it.</w:t>
      </w:r>
    </w:p>
    <w:tbl>
      <w:tblPr>
        <w:tblW w:w="5437" w:type="pct"/>
        <w:tblInd w:w="-431" w:type="dxa"/>
        <w:tblBorders>
          <w:top w:val="single" w:sz="4" w:space="0" w:color="1D3C5A"/>
          <w:left w:val="single" w:sz="4" w:space="0" w:color="1D3C5A"/>
          <w:bottom w:val="single" w:sz="4" w:space="0" w:color="1D3C5A"/>
          <w:right w:val="single" w:sz="4" w:space="0" w:color="1D3C5A"/>
          <w:insideH w:val="single" w:sz="4" w:space="0" w:color="1D3C5A"/>
          <w:insideV w:val="single" w:sz="4" w:space="0" w:color="1D3C5A"/>
        </w:tblBorders>
        <w:tblLook w:val="04A0" w:firstRow="1" w:lastRow="0" w:firstColumn="1" w:lastColumn="0" w:noHBand="0" w:noVBand="1"/>
      </w:tblPr>
      <w:tblGrid>
        <w:gridCol w:w="943"/>
        <w:gridCol w:w="1228"/>
        <w:gridCol w:w="3292"/>
        <w:gridCol w:w="1616"/>
        <w:gridCol w:w="1323"/>
        <w:gridCol w:w="1697"/>
      </w:tblGrid>
      <w:tr w:rsidR="00622884" w:rsidRPr="00622884" w14:paraId="4F7FA830" w14:textId="77777777" w:rsidTr="00622884">
        <w:tc>
          <w:tcPr>
            <w:tcW w:w="467" w:type="pct"/>
            <w:tcBorders>
              <w:top w:val="single" w:sz="4" w:space="0" w:color="1D3C5A"/>
              <w:left w:val="single" w:sz="4" w:space="0" w:color="1D3C5A"/>
              <w:bottom w:val="single" w:sz="4" w:space="0" w:color="1D3C5A"/>
              <w:right w:val="single" w:sz="4" w:space="0" w:color="1D3C5A"/>
            </w:tcBorders>
            <w:shd w:val="clear" w:color="auto" w:fill="215A5C"/>
            <w:vAlign w:val="center"/>
            <w:hideMark/>
          </w:tcPr>
          <w:p w14:paraId="323EC560" w14:textId="77777777" w:rsidR="00622884" w:rsidRPr="00622884" w:rsidRDefault="00622884" w:rsidP="00622884">
            <w:pPr>
              <w:spacing w:after="0" w:line="240" w:lineRule="auto"/>
              <w:jc w:val="center"/>
              <w:rPr>
                <w:rFonts w:ascii="Garamond" w:eastAsia="Calibri" w:hAnsi="Garamond" w:cs="Calibri Light"/>
                <w:b/>
                <w:bCs/>
                <w:sz w:val="16"/>
                <w:szCs w:val="16"/>
                <w:lang w:eastAsia="en-US"/>
              </w:rPr>
            </w:pPr>
            <w:bookmarkStart w:id="296" w:name="_Hlk190726821"/>
            <w:r w:rsidRPr="00622884">
              <w:rPr>
                <w:rFonts w:ascii="Garamond" w:eastAsia="Calibri" w:hAnsi="Garamond" w:cs="Times New Roman"/>
                <w:b/>
                <w:sz w:val="16"/>
                <w:szCs w:val="16"/>
                <w:lang w:eastAsia="en-US" w:bidi="sq-AL"/>
              </w:rPr>
              <w:t>Sektori</w:t>
            </w:r>
          </w:p>
        </w:tc>
        <w:tc>
          <w:tcPr>
            <w:tcW w:w="608" w:type="pct"/>
            <w:tcBorders>
              <w:top w:val="single" w:sz="4" w:space="0" w:color="1D3C5A"/>
              <w:left w:val="single" w:sz="4" w:space="0" w:color="1D3C5A"/>
              <w:bottom w:val="single" w:sz="4" w:space="0" w:color="1D3C5A"/>
              <w:right w:val="single" w:sz="4" w:space="0" w:color="1D3C5A"/>
            </w:tcBorders>
            <w:shd w:val="clear" w:color="auto" w:fill="215A5C"/>
            <w:vAlign w:val="center"/>
            <w:hideMark/>
          </w:tcPr>
          <w:p w14:paraId="2D26D31C" w14:textId="77777777" w:rsidR="00622884" w:rsidRPr="00622884" w:rsidRDefault="00622884" w:rsidP="00622884">
            <w:pPr>
              <w:spacing w:after="0" w:line="240" w:lineRule="auto"/>
              <w:jc w:val="center"/>
              <w:rPr>
                <w:rFonts w:ascii="Garamond" w:eastAsia="Calibri" w:hAnsi="Garamond" w:cs="Calibri Light"/>
                <w:b/>
                <w:bCs/>
                <w:sz w:val="16"/>
                <w:szCs w:val="16"/>
                <w:lang w:eastAsia="en-US"/>
              </w:rPr>
            </w:pPr>
            <w:r w:rsidRPr="00622884">
              <w:rPr>
                <w:rFonts w:ascii="Garamond" w:eastAsia="Calibri" w:hAnsi="Garamond" w:cs="Times New Roman"/>
                <w:b/>
                <w:sz w:val="16"/>
                <w:szCs w:val="16"/>
                <w:lang w:eastAsia="en-US" w:bidi="sq-AL"/>
              </w:rPr>
              <w:t>Prioritetet e përshtatjes të NAP-it</w:t>
            </w:r>
          </w:p>
        </w:tc>
        <w:tc>
          <w:tcPr>
            <w:tcW w:w="1630" w:type="pct"/>
            <w:tcBorders>
              <w:top w:val="single" w:sz="4" w:space="0" w:color="1D3C5A"/>
              <w:left w:val="single" w:sz="4" w:space="0" w:color="1D3C5A"/>
              <w:bottom w:val="single" w:sz="4" w:space="0" w:color="1D3C5A"/>
              <w:right w:val="single" w:sz="4" w:space="0" w:color="1D3C5A"/>
            </w:tcBorders>
            <w:shd w:val="clear" w:color="auto" w:fill="215A5C"/>
            <w:vAlign w:val="center"/>
            <w:hideMark/>
          </w:tcPr>
          <w:p w14:paraId="457DADD7" w14:textId="77777777" w:rsidR="00622884" w:rsidRPr="00622884" w:rsidRDefault="00622884" w:rsidP="00622884">
            <w:pPr>
              <w:spacing w:after="0" w:line="240" w:lineRule="auto"/>
              <w:jc w:val="center"/>
              <w:rPr>
                <w:rFonts w:ascii="Garamond" w:eastAsia="Calibri" w:hAnsi="Garamond" w:cs="Calibri Light"/>
                <w:b/>
                <w:bCs/>
                <w:sz w:val="16"/>
                <w:szCs w:val="16"/>
                <w:lang w:eastAsia="en-US"/>
              </w:rPr>
            </w:pPr>
            <w:r w:rsidRPr="00622884">
              <w:rPr>
                <w:rFonts w:ascii="Garamond" w:eastAsia="Calibri" w:hAnsi="Garamond" w:cs="Times New Roman"/>
                <w:b/>
                <w:sz w:val="16"/>
                <w:szCs w:val="16"/>
                <w:lang w:eastAsia="en-US" w:bidi="sq-AL"/>
              </w:rPr>
              <w:t>Mesazhet kryesore</w:t>
            </w:r>
          </w:p>
        </w:tc>
        <w:tc>
          <w:tcPr>
            <w:tcW w:w="800" w:type="pct"/>
            <w:tcBorders>
              <w:top w:val="single" w:sz="4" w:space="0" w:color="1D3C5A"/>
              <w:left w:val="single" w:sz="4" w:space="0" w:color="1D3C5A"/>
              <w:bottom w:val="single" w:sz="4" w:space="0" w:color="1D3C5A"/>
              <w:right w:val="single" w:sz="4" w:space="0" w:color="1D3C5A"/>
            </w:tcBorders>
            <w:shd w:val="clear" w:color="auto" w:fill="215A5C"/>
            <w:vAlign w:val="center"/>
            <w:hideMark/>
          </w:tcPr>
          <w:p w14:paraId="0182F4B0" w14:textId="77777777" w:rsidR="00622884" w:rsidRPr="00622884" w:rsidRDefault="00622884" w:rsidP="00622884">
            <w:pPr>
              <w:spacing w:after="0" w:line="240" w:lineRule="auto"/>
              <w:jc w:val="center"/>
              <w:rPr>
                <w:rFonts w:ascii="Garamond" w:eastAsia="Calibri" w:hAnsi="Garamond" w:cs="Calibri Light"/>
                <w:b/>
                <w:bCs/>
                <w:sz w:val="16"/>
                <w:szCs w:val="16"/>
                <w:lang w:eastAsia="en-US"/>
              </w:rPr>
            </w:pPr>
            <w:r w:rsidRPr="00622884">
              <w:rPr>
                <w:rFonts w:ascii="Garamond" w:eastAsia="Calibri" w:hAnsi="Garamond" w:cs="Times New Roman"/>
                <w:b/>
                <w:sz w:val="16"/>
                <w:szCs w:val="16"/>
                <w:lang w:eastAsia="en-US" w:bidi="sq-AL"/>
              </w:rPr>
              <w:t>Përfitimet</w:t>
            </w:r>
          </w:p>
        </w:tc>
        <w:tc>
          <w:tcPr>
            <w:tcW w:w="655" w:type="pct"/>
            <w:tcBorders>
              <w:top w:val="single" w:sz="4" w:space="0" w:color="1D3C5A"/>
              <w:left w:val="single" w:sz="4" w:space="0" w:color="1D3C5A"/>
              <w:bottom w:val="single" w:sz="4" w:space="0" w:color="1D3C5A"/>
              <w:right w:val="single" w:sz="4" w:space="0" w:color="1D3C5A"/>
            </w:tcBorders>
            <w:shd w:val="clear" w:color="auto" w:fill="215A5C"/>
            <w:vAlign w:val="center"/>
            <w:hideMark/>
          </w:tcPr>
          <w:p w14:paraId="17F1C6C7" w14:textId="77777777" w:rsidR="00622884" w:rsidRPr="00622884" w:rsidRDefault="00622884" w:rsidP="00622884">
            <w:pPr>
              <w:spacing w:after="0" w:line="240" w:lineRule="auto"/>
              <w:jc w:val="center"/>
              <w:rPr>
                <w:rFonts w:ascii="Garamond" w:eastAsia="Calibri" w:hAnsi="Garamond" w:cs="Calibri Light"/>
                <w:b/>
                <w:bCs/>
                <w:sz w:val="16"/>
                <w:szCs w:val="16"/>
                <w:lang w:eastAsia="en-US"/>
              </w:rPr>
            </w:pPr>
            <w:r w:rsidRPr="00622884">
              <w:rPr>
                <w:rFonts w:ascii="Garamond" w:eastAsia="Calibri" w:hAnsi="Garamond" w:cs="Times New Roman"/>
                <w:b/>
                <w:sz w:val="16"/>
                <w:szCs w:val="16"/>
                <w:lang w:eastAsia="en-US" w:bidi="sq-AL"/>
              </w:rPr>
              <w:t>Përputhja me angazhimet</w:t>
            </w:r>
          </w:p>
        </w:tc>
        <w:tc>
          <w:tcPr>
            <w:tcW w:w="840" w:type="pct"/>
            <w:tcBorders>
              <w:top w:val="single" w:sz="4" w:space="0" w:color="1D3C5A"/>
              <w:left w:val="single" w:sz="4" w:space="0" w:color="1D3C5A"/>
              <w:bottom w:val="single" w:sz="4" w:space="0" w:color="1D3C5A"/>
              <w:right w:val="single" w:sz="4" w:space="0" w:color="1D3C5A"/>
            </w:tcBorders>
            <w:shd w:val="clear" w:color="auto" w:fill="215A5C"/>
            <w:vAlign w:val="center"/>
            <w:hideMark/>
          </w:tcPr>
          <w:p w14:paraId="316374AC" w14:textId="77777777" w:rsidR="00622884" w:rsidRPr="00622884" w:rsidRDefault="00622884" w:rsidP="00622884">
            <w:pPr>
              <w:spacing w:after="0" w:line="240" w:lineRule="auto"/>
              <w:jc w:val="center"/>
              <w:rPr>
                <w:rFonts w:ascii="Garamond" w:eastAsia="Calibri" w:hAnsi="Garamond" w:cs="Calibri Light"/>
                <w:b/>
                <w:bCs/>
                <w:sz w:val="16"/>
                <w:szCs w:val="16"/>
                <w:lang w:eastAsia="en-US"/>
              </w:rPr>
            </w:pPr>
            <w:r w:rsidRPr="00622884">
              <w:rPr>
                <w:rFonts w:ascii="Garamond" w:eastAsia="Calibri" w:hAnsi="Garamond" w:cs="Times New Roman"/>
                <w:b/>
                <w:sz w:val="16"/>
                <w:szCs w:val="16"/>
                <w:lang w:eastAsia="en-US" w:bidi="sq-AL"/>
              </w:rPr>
              <w:t>Audienca e synuar</w:t>
            </w:r>
          </w:p>
        </w:tc>
      </w:tr>
      <w:tr w:rsidR="00622884" w:rsidRPr="00622884" w14:paraId="6A333624" w14:textId="77777777" w:rsidTr="00622884">
        <w:tc>
          <w:tcPr>
            <w:tcW w:w="467" w:type="pct"/>
            <w:tcBorders>
              <w:top w:val="single" w:sz="4" w:space="0" w:color="1D3C5A"/>
              <w:left w:val="single" w:sz="4" w:space="0" w:color="1D3C5A"/>
              <w:bottom w:val="single" w:sz="4" w:space="0" w:color="1D3C5A"/>
              <w:right w:val="single" w:sz="4" w:space="0" w:color="1D3C5A"/>
            </w:tcBorders>
            <w:vAlign w:val="center"/>
            <w:hideMark/>
          </w:tcPr>
          <w:p w14:paraId="6F641662" w14:textId="77777777" w:rsidR="00622884" w:rsidRPr="00622884" w:rsidRDefault="00622884" w:rsidP="00622884">
            <w:pPr>
              <w:spacing w:after="0" w:line="240" w:lineRule="auto"/>
              <w:jc w:val="left"/>
              <w:rPr>
                <w:rFonts w:ascii="Garamond" w:eastAsia="Calibri" w:hAnsi="Garamond" w:cs="Calibri Light"/>
                <w:b/>
                <w:bCs/>
                <w:sz w:val="16"/>
                <w:szCs w:val="16"/>
                <w:lang w:eastAsia="en-US"/>
              </w:rPr>
            </w:pPr>
            <w:r w:rsidRPr="00622884">
              <w:rPr>
                <w:rFonts w:ascii="Garamond" w:eastAsia="Calibri" w:hAnsi="Garamond" w:cs="Times New Roman"/>
                <w:b/>
                <w:sz w:val="16"/>
                <w:szCs w:val="16"/>
                <w:lang w:eastAsia="en-US" w:bidi="sq-AL"/>
              </w:rPr>
              <w:t>Bujqësia dhe pylltaria</w:t>
            </w:r>
          </w:p>
        </w:tc>
        <w:tc>
          <w:tcPr>
            <w:tcW w:w="608" w:type="pct"/>
            <w:tcBorders>
              <w:top w:val="single" w:sz="4" w:space="0" w:color="1D3C5A"/>
              <w:left w:val="single" w:sz="4" w:space="0" w:color="1D3C5A"/>
              <w:bottom w:val="single" w:sz="4" w:space="0" w:color="1D3C5A"/>
              <w:right w:val="single" w:sz="4" w:space="0" w:color="1D3C5A"/>
            </w:tcBorders>
            <w:vAlign w:val="center"/>
            <w:hideMark/>
          </w:tcPr>
          <w:p w14:paraId="6DBBA722" w14:textId="77777777" w:rsidR="00622884" w:rsidRPr="00622884" w:rsidRDefault="00622884" w:rsidP="00622884">
            <w:pPr>
              <w:spacing w:after="0" w:line="240" w:lineRule="auto"/>
              <w:jc w:val="left"/>
              <w:rPr>
                <w:rFonts w:ascii="Garamond" w:eastAsia="Calibri" w:hAnsi="Garamond" w:cs="Calibri Light"/>
                <w:sz w:val="16"/>
                <w:szCs w:val="16"/>
                <w:lang w:eastAsia="en-US"/>
              </w:rPr>
            </w:pPr>
            <w:r w:rsidRPr="00622884">
              <w:rPr>
                <w:rFonts w:ascii="Garamond" w:eastAsia="Calibri" w:hAnsi="Garamond" w:cs="Times New Roman"/>
                <w:sz w:val="16"/>
                <w:szCs w:val="16"/>
                <w:lang w:eastAsia="en-US" w:bidi="sq-AL"/>
              </w:rPr>
              <w:t>Bujqësi inteligjente ndaj klimës dhe ujitje efikase</w:t>
            </w:r>
          </w:p>
        </w:tc>
        <w:tc>
          <w:tcPr>
            <w:tcW w:w="1630" w:type="pct"/>
            <w:tcBorders>
              <w:top w:val="single" w:sz="4" w:space="0" w:color="1D3C5A"/>
              <w:left w:val="single" w:sz="4" w:space="0" w:color="1D3C5A"/>
              <w:bottom w:val="single" w:sz="4" w:space="0" w:color="1D3C5A"/>
              <w:right w:val="single" w:sz="4" w:space="0" w:color="1D3C5A"/>
            </w:tcBorders>
            <w:vAlign w:val="center"/>
            <w:hideMark/>
          </w:tcPr>
          <w:p w14:paraId="5307B52B" w14:textId="77777777" w:rsidR="00622884" w:rsidRPr="00622884" w:rsidRDefault="00622884" w:rsidP="00622884">
            <w:pPr>
              <w:spacing w:after="0" w:line="240" w:lineRule="auto"/>
              <w:ind w:left="-54"/>
              <w:contextualSpacing/>
              <w:rPr>
                <w:rFonts w:ascii="Garamond" w:eastAsia="Calibri" w:hAnsi="Garamond" w:cs="Calibri Light"/>
                <w:sz w:val="16"/>
                <w:szCs w:val="16"/>
                <w:lang w:eastAsia="en-US"/>
              </w:rPr>
            </w:pPr>
            <w:r w:rsidRPr="00622884">
              <w:rPr>
                <w:rFonts w:ascii="Garamond" w:eastAsia="Calibri" w:hAnsi="Garamond" w:cs="Times New Roman"/>
                <w:sz w:val="16"/>
                <w:szCs w:val="16"/>
                <w:lang w:eastAsia="en-US" w:bidi="sq-AL"/>
              </w:rPr>
              <w:t>Bujqësi inteligjente ndaj klimës dhe ujitje efikase</w:t>
            </w:r>
            <w:r w:rsidRPr="00622884">
              <w:rPr>
                <w:rFonts w:ascii="Garamond" w:eastAsia="Calibri" w:hAnsi="Garamond" w:cs="Times New Roman"/>
                <w:sz w:val="16"/>
                <w:szCs w:val="16"/>
                <w:lang w:eastAsia="en-US" w:bidi="sq-AL"/>
              </w:rPr>
              <w:br/>
              <w:t>-Përshtatja ul risqet e thatësirave dhe përmbytjeve, duke siguruar kultura të qëndrueshme për familjet shqiptare.</w:t>
            </w:r>
          </w:p>
          <w:p w14:paraId="69BE0929" w14:textId="77777777" w:rsidR="00622884" w:rsidRPr="00622884" w:rsidRDefault="00622884" w:rsidP="00622884">
            <w:pPr>
              <w:spacing w:after="0" w:line="240" w:lineRule="auto"/>
              <w:ind w:left="-54"/>
              <w:contextualSpacing/>
              <w:rPr>
                <w:rFonts w:ascii="Garamond" w:eastAsia="Calibri" w:hAnsi="Garamond" w:cs="Calibri Light"/>
                <w:sz w:val="16"/>
                <w:szCs w:val="16"/>
                <w:lang w:eastAsia="en-US"/>
              </w:rPr>
            </w:pPr>
            <w:r w:rsidRPr="00622884">
              <w:rPr>
                <w:rFonts w:ascii="Garamond" w:eastAsia="Calibri" w:hAnsi="Garamond" w:cs="Times New Roman"/>
                <w:sz w:val="16"/>
                <w:szCs w:val="16"/>
                <w:lang w:eastAsia="en-US" w:bidi="sq-AL"/>
              </w:rPr>
              <w:t>Ujitja efikase dhe ruajtja e dherave mbrojnë ekonominë bujqësore në Shqipëri.</w:t>
            </w:r>
          </w:p>
          <w:p w14:paraId="3A72623B" w14:textId="77777777" w:rsidR="00622884" w:rsidRPr="00622884" w:rsidRDefault="00622884" w:rsidP="00622884">
            <w:pPr>
              <w:spacing w:after="0" w:line="240" w:lineRule="auto"/>
              <w:ind w:left="-54"/>
              <w:contextualSpacing/>
              <w:rPr>
                <w:rFonts w:ascii="Garamond" w:eastAsia="Calibri" w:hAnsi="Garamond" w:cs="Calibri Light"/>
                <w:sz w:val="16"/>
                <w:szCs w:val="16"/>
                <w:lang w:eastAsia="en-US"/>
              </w:rPr>
            </w:pPr>
            <w:r w:rsidRPr="00622884">
              <w:rPr>
                <w:rFonts w:ascii="Garamond" w:eastAsia="Calibri" w:hAnsi="Garamond" w:cs="Times New Roman"/>
                <w:sz w:val="16"/>
                <w:szCs w:val="16"/>
                <w:lang w:eastAsia="en-US" w:bidi="sq-AL"/>
              </w:rPr>
              <w:t>Ujitja me eficiencë të lartë uji përmirëson aftësitë ripërtëritëse për fermerët.</w:t>
            </w:r>
          </w:p>
          <w:p w14:paraId="512F4055" w14:textId="77777777" w:rsidR="00622884" w:rsidRPr="00622884" w:rsidRDefault="00622884" w:rsidP="00622884">
            <w:pPr>
              <w:spacing w:after="0" w:line="240" w:lineRule="auto"/>
              <w:ind w:left="-54"/>
              <w:contextualSpacing/>
              <w:rPr>
                <w:rFonts w:ascii="Garamond" w:eastAsia="Calibri" w:hAnsi="Garamond" w:cs="Calibri Light"/>
                <w:sz w:val="16"/>
                <w:szCs w:val="16"/>
                <w:lang w:eastAsia="en-US"/>
              </w:rPr>
            </w:pPr>
            <w:r w:rsidRPr="00622884">
              <w:rPr>
                <w:rFonts w:ascii="Garamond" w:eastAsia="Calibri" w:hAnsi="Garamond" w:cs="Times New Roman"/>
                <w:sz w:val="16"/>
                <w:szCs w:val="16"/>
                <w:lang w:eastAsia="en-US" w:bidi="sq-AL"/>
              </w:rPr>
              <w:t>Investimi në kultura me aftësi ripërtëritëse ndaj klimës forcon jetesën rurale dhe qëndrueshmërinë afatgjatë.</w:t>
            </w:r>
          </w:p>
          <w:p w14:paraId="1CC3E0FC" w14:textId="77777777" w:rsidR="00622884" w:rsidRPr="00622884" w:rsidRDefault="00622884" w:rsidP="00622884">
            <w:pPr>
              <w:spacing w:after="0" w:line="240" w:lineRule="auto"/>
              <w:ind w:left="-54"/>
              <w:contextualSpacing/>
              <w:rPr>
                <w:rFonts w:ascii="Garamond" w:eastAsia="Calibri" w:hAnsi="Garamond" w:cs="Calibri Light"/>
                <w:sz w:val="16"/>
                <w:szCs w:val="16"/>
                <w:lang w:eastAsia="en-US"/>
              </w:rPr>
            </w:pPr>
            <w:r w:rsidRPr="00622884">
              <w:rPr>
                <w:rFonts w:ascii="Garamond" w:eastAsia="Calibri" w:hAnsi="Garamond" w:cs="Times New Roman"/>
                <w:sz w:val="16"/>
                <w:szCs w:val="16"/>
                <w:lang w:eastAsia="en-US" w:bidi="sq-AL"/>
              </w:rPr>
              <w:t>Fuqizimi i grave dhe fermerëve të vegjël për përshtatjen siguron mirëqenien e komunitetit.</w:t>
            </w:r>
          </w:p>
          <w:p w14:paraId="219AF0CD" w14:textId="77777777" w:rsidR="00622884" w:rsidRPr="00622884" w:rsidRDefault="00622884" w:rsidP="00622884">
            <w:pPr>
              <w:spacing w:after="0" w:line="240" w:lineRule="auto"/>
              <w:ind w:left="-54"/>
              <w:contextualSpacing/>
              <w:rPr>
                <w:rFonts w:ascii="Garamond" w:eastAsia="Calibri" w:hAnsi="Garamond" w:cs="Calibri Light"/>
                <w:sz w:val="16"/>
                <w:szCs w:val="16"/>
                <w:lang w:eastAsia="en-US"/>
              </w:rPr>
            </w:pPr>
            <w:r w:rsidRPr="00622884">
              <w:rPr>
                <w:rFonts w:ascii="Garamond" w:eastAsia="Calibri" w:hAnsi="Garamond" w:cs="Calibri Light"/>
                <w:sz w:val="16"/>
                <w:szCs w:val="16"/>
                <w:lang w:eastAsia="en-US"/>
              </w:rPr>
              <w:t>Për pylltarinë: menaxhimi i zjarreve në peizazh forcon përshtatjen klimatike duke lidhur parandalimin, gatishmërinë dhe restaurimin pas zjarrit me mbrojtjen e pyjeve, kullotave, biodiversitetit dhe mjeteve të jetesës rurale.</w:t>
            </w:r>
          </w:p>
        </w:tc>
        <w:tc>
          <w:tcPr>
            <w:tcW w:w="800" w:type="pct"/>
            <w:tcBorders>
              <w:top w:val="single" w:sz="4" w:space="0" w:color="1D3C5A"/>
              <w:left w:val="single" w:sz="4" w:space="0" w:color="1D3C5A"/>
              <w:bottom w:val="single" w:sz="4" w:space="0" w:color="1D3C5A"/>
              <w:right w:val="single" w:sz="4" w:space="0" w:color="1D3C5A"/>
            </w:tcBorders>
            <w:vAlign w:val="center"/>
            <w:hideMark/>
          </w:tcPr>
          <w:p w14:paraId="5014A65D" w14:textId="77777777" w:rsidR="00622884" w:rsidRPr="00622884" w:rsidRDefault="00622884" w:rsidP="00622884">
            <w:pPr>
              <w:spacing w:after="0" w:line="240" w:lineRule="auto"/>
              <w:jc w:val="left"/>
              <w:rPr>
                <w:rFonts w:ascii="Garamond" w:eastAsia="Calibri" w:hAnsi="Garamond" w:cs="Calibri Light"/>
                <w:sz w:val="16"/>
                <w:szCs w:val="16"/>
                <w:lang w:eastAsia="en-US"/>
              </w:rPr>
            </w:pPr>
            <w:r w:rsidRPr="00622884">
              <w:rPr>
                <w:rFonts w:ascii="Garamond" w:eastAsia="Calibri" w:hAnsi="Garamond" w:cs="Times New Roman"/>
                <w:sz w:val="16"/>
                <w:szCs w:val="16"/>
                <w:lang w:eastAsia="en-US" w:bidi="sq-AL"/>
              </w:rPr>
              <w:t>- Mbron sigurinë ushqimore dhe ekonomitë rurale.</w:t>
            </w:r>
          </w:p>
          <w:p w14:paraId="433F18F9" w14:textId="77777777" w:rsidR="00622884" w:rsidRPr="00622884" w:rsidRDefault="00622884" w:rsidP="00622884">
            <w:pPr>
              <w:spacing w:after="0" w:line="240" w:lineRule="auto"/>
              <w:jc w:val="left"/>
              <w:rPr>
                <w:rFonts w:ascii="Garamond" w:eastAsia="Calibri" w:hAnsi="Garamond" w:cs="Calibri Light"/>
                <w:sz w:val="16"/>
                <w:szCs w:val="16"/>
                <w:lang w:eastAsia="en-US"/>
              </w:rPr>
            </w:pPr>
            <w:r w:rsidRPr="00622884">
              <w:rPr>
                <w:rFonts w:ascii="Garamond" w:eastAsia="Calibri" w:hAnsi="Garamond" w:cs="Times New Roman"/>
                <w:sz w:val="16"/>
                <w:szCs w:val="16"/>
                <w:lang w:eastAsia="en-US" w:bidi="sq-AL"/>
              </w:rPr>
              <w:br/>
              <w:t>- Ul risqet nga thatësirat dhe moti ekstrem.</w:t>
            </w:r>
          </w:p>
          <w:p w14:paraId="66ADE478" w14:textId="77777777" w:rsidR="00622884" w:rsidRPr="00622884" w:rsidRDefault="00622884" w:rsidP="00622884">
            <w:pPr>
              <w:spacing w:after="0" w:line="240" w:lineRule="auto"/>
              <w:jc w:val="left"/>
              <w:rPr>
                <w:rFonts w:ascii="Garamond" w:eastAsia="Calibri" w:hAnsi="Garamond" w:cs="Times New Roman"/>
                <w:sz w:val="16"/>
                <w:szCs w:val="16"/>
                <w:lang w:eastAsia="en-US" w:bidi="sq-AL"/>
              </w:rPr>
            </w:pPr>
            <w:r w:rsidRPr="00622884">
              <w:rPr>
                <w:rFonts w:ascii="Garamond" w:eastAsia="Calibri" w:hAnsi="Garamond" w:cs="Times New Roman"/>
                <w:sz w:val="16"/>
                <w:szCs w:val="16"/>
                <w:lang w:eastAsia="en-US" w:bidi="sq-AL"/>
              </w:rPr>
              <w:br/>
              <w:t>- Mbështet fermerët e vegjël, veçanërisht gratë.</w:t>
            </w:r>
          </w:p>
          <w:p w14:paraId="3822AB88" w14:textId="77777777" w:rsidR="00622884" w:rsidRPr="00622884" w:rsidRDefault="00622884" w:rsidP="00622884">
            <w:pPr>
              <w:spacing w:after="0" w:line="240" w:lineRule="auto"/>
              <w:jc w:val="left"/>
              <w:rPr>
                <w:rFonts w:ascii="Garamond" w:eastAsia="Calibri" w:hAnsi="Garamond" w:cs="Times New Roman"/>
                <w:sz w:val="16"/>
                <w:szCs w:val="16"/>
                <w:lang w:eastAsia="en-US" w:bidi="sq-AL"/>
              </w:rPr>
            </w:pPr>
          </w:p>
          <w:p w14:paraId="251B5560" w14:textId="77777777" w:rsidR="00622884" w:rsidRPr="00622884" w:rsidRDefault="00622884" w:rsidP="00622884">
            <w:pPr>
              <w:spacing w:after="0" w:line="240" w:lineRule="auto"/>
              <w:jc w:val="left"/>
              <w:rPr>
                <w:rFonts w:ascii="Garamond" w:eastAsia="Calibri" w:hAnsi="Garamond" w:cs="Times New Roman"/>
                <w:sz w:val="16"/>
                <w:szCs w:val="16"/>
                <w:lang w:eastAsia="en-US" w:bidi="sq-AL"/>
              </w:rPr>
            </w:pPr>
            <w:r w:rsidRPr="00622884">
              <w:rPr>
                <w:rFonts w:ascii="Garamond" w:eastAsia="Calibri" w:hAnsi="Garamond" w:cs="Times New Roman"/>
                <w:sz w:val="16"/>
                <w:szCs w:val="16"/>
                <w:lang w:eastAsia="en-US" w:bidi="sq-AL"/>
              </w:rPr>
              <w:t>- Zvogëlon riskun nga zjarret në pyje dhe kullota përmes parandalimit dhe menaxhimit të peizazhit.</w:t>
            </w:r>
          </w:p>
          <w:p w14:paraId="24A71CF7" w14:textId="77777777" w:rsidR="00622884" w:rsidRPr="00622884" w:rsidRDefault="00622884" w:rsidP="00622884">
            <w:pPr>
              <w:spacing w:after="0" w:line="240" w:lineRule="auto"/>
              <w:jc w:val="left"/>
              <w:rPr>
                <w:rFonts w:ascii="Garamond" w:eastAsia="Calibri" w:hAnsi="Garamond" w:cs="Times New Roman"/>
                <w:sz w:val="16"/>
                <w:szCs w:val="16"/>
                <w:lang w:eastAsia="en-US" w:bidi="sq-AL"/>
              </w:rPr>
            </w:pPr>
          </w:p>
          <w:p w14:paraId="3A0F0872" w14:textId="77777777" w:rsidR="00622884" w:rsidRPr="00622884" w:rsidRDefault="00622884" w:rsidP="00622884">
            <w:pPr>
              <w:spacing w:after="0" w:line="240" w:lineRule="auto"/>
              <w:jc w:val="left"/>
              <w:rPr>
                <w:rFonts w:ascii="Garamond" w:eastAsia="Calibri" w:hAnsi="Garamond" w:cs="Times New Roman"/>
                <w:sz w:val="16"/>
                <w:szCs w:val="16"/>
                <w:lang w:eastAsia="en-US" w:bidi="sq-AL"/>
              </w:rPr>
            </w:pPr>
            <w:r w:rsidRPr="00622884">
              <w:rPr>
                <w:rFonts w:ascii="Garamond" w:eastAsia="Calibri" w:hAnsi="Garamond" w:cs="Times New Roman"/>
                <w:sz w:val="16"/>
                <w:szCs w:val="16"/>
                <w:lang w:eastAsia="en-US" w:bidi="sq-AL"/>
              </w:rPr>
              <w:t>- Forcon sigurinë dhe gatishmërinë e komuniteteve rurale, zonave të mbrojtura dhe strukturave vendore përballë zjarreve.</w:t>
            </w:r>
          </w:p>
          <w:p w14:paraId="6DC3D9A6" w14:textId="77777777" w:rsidR="00622884" w:rsidRPr="00622884" w:rsidRDefault="00622884" w:rsidP="00622884">
            <w:pPr>
              <w:spacing w:after="0" w:line="240" w:lineRule="auto"/>
              <w:jc w:val="left"/>
              <w:rPr>
                <w:rFonts w:ascii="Garamond" w:eastAsia="Calibri" w:hAnsi="Garamond" w:cs="Times New Roman"/>
                <w:sz w:val="16"/>
                <w:szCs w:val="16"/>
                <w:lang w:eastAsia="en-US" w:bidi="sq-AL"/>
              </w:rPr>
            </w:pPr>
          </w:p>
          <w:p w14:paraId="0D81A626" w14:textId="77777777" w:rsidR="00622884" w:rsidRPr="00622884" w:rsidRDefault="00622884" w:rsidP="00622884">
            <w:pPr>
              <w:spacing w:after="0" w:line="240" w:lineRule="auto"/>
              <w:jc w:val="left"/>
              <w:rPr>
                <w:rFonts w:ascii="Garamond" w:eastAsia="Calibri" w:hAnsi="Garamond" w:cs="Calibri Light"/>
                <w:sz w:val="16"/>
                <w:szCs w:val="16"/>
                <w:lang w:eastAsia="en-US"/>
              </w:rPr>
            </w:pPr>
            <w:r w:rsidRPr="00622884">
              <w:rPr>
                <w:rFonts w:ascii="Garamond" w:eastAsia="Calibri" w:hAnsi="Garamond" w:cs="Times New Roman"/>
                <w:sz w:val="16"/>
                <w:szCs w:val="16"/>
                <w:lang w:eastAsia="en-US" w:bidi="sq-AL"/>
              </w:rPr>
              <w:t>- Mbështet restaurimin ekologjik pas zjarrit dhe ruajtjen e shërbimeve kryesore të ekosistemit.</w:t>
            </w:r>
          </w:p>
        </w:tc>
        <w:tc>
          <w:tcPr>
            <w:tcW w:w="655" w:type="pct"/>
            <w:tcBorders>
              <w:top w:val="single" w:sz="4" w:space="0" w:color="1D3C5A"/>
              <w:left w:val="single" w:sz="4" w:space="0" w:color="1D3C5A"/>
              <w:bottom w:val="single" w:sz="4" w:space="0" w:color="1D3C5A"/>
              <w:right w:val="single" w:sz="4" w:space="0" w:color="1D3C5A"/>
            </w:tcBorders>
            <w:vAlign w:val="center"/>
          </w:tcPr>
          <w:p w14:paraId="41CFC88F" w14:textId="77777777" w:rsidR="00622884" w:rsidRPr="00622884" w:rsidRDefault="00622884" w:rsidP="00622884">
            <w:pPr>
              <w:spacing w:after="0" w:line="240" w:lineRule="auto"/>
              <w:jc w:val="left"/>
              <w:rPr>
                <w:rFonts w:ascii="Garamond" w:eastAsia="Calibri" w:hAnsi="Garamond" w:cs="Calibri Light"/>
                <w:sz w:val="16"/>
                <w:szCs w:val="16"/>
                <w:lang w:eastAsia="en-US"/>
              </w:rPr>
            </w:pPr>
            <w:r w:rsidRPr="00622884">
              <w:rPr>
                <w:rFonts w:ascii="Garamond" w:eastAsia="Calibri" w:hAnsi="Garamond" w:cs="Times New Roman"/>
                <w:sz w:val="16"/>
                <w:szCs w:val="16"/>
                <w:lang w:eastAsia="en-US" w:bidi="sq-AL"/>
              </w:rPr>
              <w:t>- OZHQ 2 – (Zero uri)</w:t>
            </w:r>
          </w:p>
          <w:p w14:paraId="5B4DFE19" w14:textId="77777777" w:rsidR="00622884" w:rsidRPr="00622884" w:rsidRDefault="00622884" w:rsidP="00622884">
            <w:pPr>
              <w:spacing w:after="0" w:line="240" w:lineRule="auto"/>
              <w:jc w:val="left"/>
              <w:rPr>
                <w:rFonts w:ascii="Garamond" w:eastAsia="Calibri" w:hAnsi="Garamond" w:cs="Calibri Light"/>
                <w:sz w:val="16"/>
                <w:szCs w:val="16"/>
                <w:lang w:eastAsia="en-US"/>
              </w:rPr>
            </w:pPr>
            <w:r w:rsidRPr="00622884">
              <w:rPr>
                <w:rFonts w:ascii="Garamond" w:eastAsia="Calibri" w:hAnsi="Garamond" w:cs="Times New Roman"/>
                <w:sz w:val="16"/>
                <w:szCs w:val="16"/>
                <w:lang w:eastAsia="en-US" w:bidi="sq-AL"/>
              </w:rPr>
              <w:br/>
              <w:t>- Angazhimet e Shqipërisë sipas Marrëveshjes së Parisit.</w:t>
            </w:r>
          </w:p>
          <w:p w14:paraId="5A19F15A" w14:textId="77777777" w:rsidR="00622884" w:rsidRPr="00622884" w:rsidRDefault="00622884" w:rsidP="00622884">
            <w:pPr>
              <w:spacing w:after="0" w:line="240" w:lineRule="auto"/>
              <w:jc w:val="left"/>
              <w:rPr>
                <w:rFonts w:ascii="Garamond" w:eastAsia="Calibri" w:hAnsi="Garamond" w:cs="Calibri Light"/>
                <w:sz w:val="16"/>
                <w:szCs w:val="16"/>
                <w:lang w:eastAsia="en-US"/>
              </w:rPr>
            </w:pPr>
          </w:p>
          <w:p w14:paraId="304CF598" w14:textId="77777777" w:rsidR="00622884" w:rsidRPr="00622884" w:rsidRDefault="00622884" w:rsidP="00622884">
            <w:pPr>
              <w:spacing w:after="0" w:line="240" w:lineRule="auto"/>
              <w:jc w:val="left"/>
              <w:rPr>
                <w:rFonts w:ascii="Garamond" w:eastAsia="Calibri" w:hAnsi="Garamond" w:cs="Calibri Light"/>
                <w:sz w:val="16"/>
                <w:szCs w:val="16"/>
                <w:lang w:eastAsia="en-US"/>
              </w:rPr>
            </w:pPr>
            <w:r w:rsidRPr="00622884">
              <w:rPr>
                <w:rFonts w:ascii="Garamond" w:eastAsia="Calibri" w:hAnsi="Garamond" w:cs="Times New Roman"/>
                <w:sz w:val="16"/>
                <w:szCs w:val="16"/>
                <w:lang w:eastAsia="en-US" w:bidi="sq-AL"/>
              </w:rPr>
              <w:t>- Strategjia Kombëtare për Bujqësinë dhe Zhvillimin Rural.</w:t>
            </w:r>
          </w:p>
        </w:tc>
        <w:tc>
          <w:tcPr>
            <w:tcW w:w="840" w:type="pct"/>
            <w:tcBorders>
              <w:top w:val="single" w:sz="4" w:space="0" w:color="1D3C5A"/>
              <w:left w:val="single" w:sz="4" w:space="0" w:color="1D3C5A"/>
              <w:bottom w:val="single" w:sz="4" w:space="0" w:color="1D3C5A"/>
              <w:right w:val="single" w:sz="4" w:space="0" w:color="1D3C5A"/>
            </w:tcBorders>
            <w:vAlign w:val="center"/>
            <w:hideMark/>
          </w:tcPr>
          <w:p w14:paraId="13769147" w14:textId="77777777" w:rsidR="00622884" w:rsidRPr="00622884" w:rsidRDefault="00622884" w:rsidP="00622884">
            <w:pPr>
              <w:spacing w:after="0" w:line="240" w:lineRule="auto"/>
              <w:jc w:val="left"/>
              <w:rPr>
                <w:rFonts w:ascii="Garamond" w:eastAsia="Calibri" w:hAnsi="Garamond" w:cs="Calibri Light"/>
                <w:sz w:val="16"/>
                <w:szCs w:val="16"/>
                <w:lang w:eastAsia="en-US"/>
              </w:rPr>
            </w:pPr>
            <w:r w:rsidRPr="00622884">
              <w:rPr>
                <w:rFonts w:ascii="Garamond" w:eastAsia="Calibri" w:hAnsi="Garamond" w:cs="Times New Roman"/>
                <w:sz w:val="16"/>
                <w:szCs w:val="16"/>
                <w:lang w:eastAsia="en-US" w:bidi="sq-AL"/>
              </w:rPr>
              <w:t>Fermerët, kooperativat rurale, agrobizneset, politikëbërësit bujqësorë,</w:t>
            </w:r>
          </w:p>
          <w:p w14:paraId="46B00817" w14:textId="77777777" w:rsidR="00622884" w:rsidRPr="00622884" w:rsidRDefault="00622884" w:rsidP="00622884">
            <w:pPr>
              <w:spacing w:after="0" w:line="240" w:lineRule="auto"/>
              <w:jc w:val="left"/>
              <w:rPr>
                <w:rFonts w:ascii="Garamond" w:eastAsia="Calibri" w:hAnsi="Garamond" w:cs="Calibri Light"/>
                <w:sz w:val="16"/>
                <w:szCs w:val="16"/>
                <w:lang w:eastAsia="en-US"/>
              </w:rPr>
            </w:pPr>
            <w:r w:rsidRPr="00622884">
              <w:rPr>
                <w:rFonts w:ascii="Garamond" w:eastAsia="Calibri" w:hAnsi="Garamond" w:cs="Times New Roman"/>
                <w:sz w:val="16"/>
                <w:szCs w:val="16"/>
                <w:lang w:eastAsia="en-US"/>
              </w:rPr>
              <w:t xml:space="preserve"> </w:t>
            </w:r>
            <w:r w:rsidRPr="00622884">
              <w:rPr>
                <w:rFonts w:ascii="Garamond" w:eastAsia="Calibri" w:hAnsi="Garamond" w:cs="Times New Roman"/>
                <w:sz w:val="16"/>
                <w:szCs w:val="16"/>
                <w:lang w:eastAsia="en-US" w:bidi="sq-AL"/>
              </w:rPr>
              <w:t>Institucione, institute apo njësi të veçanta të kërkimit shkencor.</w:t>
            </w:r>
          </w:p>
        </w:tc>
      </w:tr>
      <w:tr w:rsidR="00622884" w:rsidRPr="00622884" w14:paraId="4C64483E" w14:textId="77777777" w:rsidTr="00622884">
        <w:tc>
          <w:tcPr>
            <w:tcW w:w="467" w:type="pct"/>
            <w:tcBorders>
              <w:top w:val="single" w:sz="4" w:space="0" w:color="1D3C5A"/>
              <w:left w:val="single" w:sz="4" w:space="0" w:color="1D3C5A"/>
              <w:bottom w:val="single" w:sz="4" w:space="0" w:color="1D3C5A"/>
              <w:right w:val="single" w:sz="4" w:space="0" w:color="1D3C5A"/>
            </w:tcBorders>
            <w:vAlign w:val="center"/>
            <w:hideMark/>
          </w:tcPr>
          <w:p w14:paraId="49B0F079" w14:textId="77777777" w:rsidR="00622884" w:rsidRPr="00622884" w:rsidRDefault="00622884" w:rsidP="00622884">
            <w:pPr>
              <w:spacing w:after="0" w:line="240" w:lineRule="auto"/>
              <w:jc w:val="left"/>
              <w:rPr>
                <w:rFonts w:ascii="Garamond" w:eastAsia="Calibri" w:hAnsi="Garamond" w:cs="Calibri Light"/>
                <w:b/>
                <w:bCs/>
                <w:sz w:val="16"/>
                <w:szCs w:val="16"/>
                <w:lang w:eastAsia="en-US"/>
              </w:rPr>
            </w:pPr>
            <w:r w:rsidRPr="00622884">
              <w:rPr>
                <w:rFonts w:ascii="Garamond" w:eastAsia="Calibri" w:hAnsi="Garamond" w:cs="Times New Roman"/>
                <w:b/>
                <w:sz w:val="16"/>
                <w:szCs w:val="16"/>
                <w:lang w:eastAsia="en-US" w:bidi="sq-AL"/>
              </w:rPr>
              <w:t>Energjia</w:t>
            </w:r>
          </w:p>
        </w:tc>
        <w:tc>
          <w:tcPr>
            <w:tcW w:w="608" w:type="pct"/>
            <w:tcBorders>
              <w:top w:val="single" w:sz="4" w:space="0" w:color="1D3C5A"/>
              <w:left w:val="single" w:sz="4" w:space="0" w:color="1D3C5A"/>
              <w:bottom w:val="single" w:sz="4" w:space="0" w:color="1D3C5A"/>
              <w:right w:val="single" w:sz="4" w:space="0" w:color="1D3C5A"/>
            </w:tcBorders>
            <w:vAlign w:val="center"/>
            <w:hideMark/>
          </w:tcPr>
          <w:p w14:paraId="2406334A" w14:textId="77777777" w:rsidR="00622884" w:rsidRPr="00622884" w:rsidRDefault="00622884" w:rsidP="00622884">
            <w:pPr>
              <w:spacing w:after="0" w:line="240" w:lineRule="auto"/>
              <w:jc w:val="left"/>
              <w:rPr>
                <w:rFonts w:ascii="Garamond" w:eastAsia="Calibri" w:hAnsi="Garamond" w:cs="Calibri Light"/>
                <w:sz w:val="16"/>
                <w:szCs w:val="16"/>
                <w:lang w:eastAsia="en-US"/>
              </w:rPr>
            </w:pPr>
            <w:r w:rsidRPr="00622884">
              <w:rPr>
                <w:rFonts w:ascii="Garamond" w:eastAsia="Calibri" w:hAnsi="Garamond" w:cs="Times New Roman"/>
                <w:sz w:val="16"/>
                <w:szCs w:val="16"/>
                <w:lang w:eastAsia="en-US" w:bidi="sq-AL"/>
              </w:rPr>
              <w:t xml:space="preserve">Diversifikimi i burimeve të energjisë dhe </w:t>
            </w:r>
            <w:r w:rsidRPr="00622884">
              <w:rPr>
                <w:rFonts w:ascii="Garamond" w:eastAsia="Calibri" w:hAnsi="Garamond" w:cs="Times New Roman"/>
                <w:sz w:val="16"/>
                <w:szCs w:val="16"/>
                <w:lang w:eastAsia="en-US" w:bidi="sq-AL"/>
              </w:rPr>
              <w:lastRenderedPageBreak/>
              <w:t>rritja e efikasitetit</w:t>
            </w:r>
          </w:p>
        </w:tc>
        <w:tc>
          <w:tcPr>
            <w:tcW w:w="1630" w:type="pct"/>
            <w:tcBorders>
              <w:top w:val="single" w:sz="4" w:space="0" w:color="1D3C5A"/>
              <w:left w:val="single" w:sz="4" w:space="0" w:color="1D3C5A"/>
              <w:bottom w:val="single" w:sz="4" w:space="0" w:color="1D3C5A"/>
              <w:right w:val="single" w:sz="4" w:space="0" w:color="1D3C5A"/>
            </w:tcBorders>
            <w:vAlign w:val="center"/>
            <w:hideMark/>
          </w:tcPr>
          <w:p w14:paraId="1CEA75DA" w14:textId="77777777" w:rsidR="00622884" w:rsidRPr="00622884" w:rsidRDefault="00622884" w:rsidP="00622884">
            <w:pPr>
              <w:spacing w:after="0" w:line="240" w:lineRule="auto"/>
              <w:ind w:left="-54"/>
              <w:contextualSpacing/>
              <w:rPr>
                <w:rFonts w:ascii="Garamond" w:eastAsia="Calibri" w:hAnsi="Garamond" w:cs="Calibri Light"/>
                <w:sz w:val="16"/>
                <w:szCs w:val="16"/>
                <w:lang w:eastAsia="en-US"/>
              </w:rPr>
            </w:pPr>
            <w:r w:rsidRPr="00622884">
              <w:rPr>
                <w:rFonts w:ascii="Garamond" w:eastAsia="Calibri" w:hAnsi="Garamond" w:cs="Times New Roman"/>
                <w:sz w:val="16"/>
                <w:szCs w:val="16"/>
                <w:lang w:eastAsia="en-US" w:bidi="sq-AL"/>
              </w:rPr>
              <w:lastRenderedPageBreak/>
              <w:t>-Nuk mjafton vetëm energjia hidroelektrike për të përballuar nevojat e ardhshme energjetike të Shqipërisë; diversifikimi është thelbësor.</w:t>
            </w:r>
          </w:p>
          <w:p w14:paraId="69B7E91C" w14:textId="77777777" w:rsidR="00622884" w:rsidRPr="00622884" w:rsidRDefault="00622884" w:rsidP="00622884">
            <w:pPr>
              <w:spacing w:after="0" w:line="240" w:lineRule="auto"/>
              <w:ind w:left="-54"/>
              <w:contextualSpacing/>
              <w:rPr>
                <w:rFonts w:ascii="Garamond" w:eastAsia="Calibri" w:hAnsi="Garamond" w:cs="Calibri Light"/>
                <w:sz w:val="16"/>
                <w:szCs w:val="16"/>
                <w:lang w:eastAsia="en-US"/>
              </w:rPr>
            </w:pPr>
            <w:r w:rsidRPr="00622884">
              <w:rPr>
                <w:rFonts w:ascii="Garamond" w:eastAsia="Calibri" w:hAnsi="Garamond" w:cs="Times New Roman"/>
                <w:sz w:val="16"/>
                <w:szCs w:val="16"/>
                <w:lang w:eastAsia="en-US" w:bidi="sq-AL"/>
              </w:rPr>
              <w:lastRenderedPageBreak/>
              <w:t>-Energjia e rinovueshme nxit rritje të qëndrueshme dhe vende pune të gjelbra.</w:t>
            </w:r>
          </w:p>
          <w:p w14:paraId="4F76CADC" w14:textId="77777777" w:rsidR="00622884" w:rsidRPr="00622884" w:rsidRDefault="00622884" w:rsidP="00622884">
            <w:pPr>
              <w:spacing w:after="0" w:line="240" w:lineRule="auto"/>
              <w:ind w:left="-54"/>
              <w:contextualSpacing/>
              <w:rPr>
                <w:rFonts w:ascii="Garamond" w:eastAsia="Calibri" w:hAnsi="Garamond" w:cs="Calibri Light"/>
                <w:sz w:val="16"/>
                <w:szCs w:val="16"/>
                <w:lang w:eastAsia="en-US"/>
              </w:rPr>
            </w:pPr>
            <w:r w:rsidRPr="00622884">
              <w:rPr>
                <w:rFonts w:ascii="Garamond" w:eastAsia="Calibri" w:hAnsi="Garamond" w:cs="Times New Roman"/>
                <w:sz w:val="16"/>
                <w:szCs w:val="16"/>
                <w:lang w:eastAsia="en-US" w:bidi="sq-AL"/>
              </w:rPr>
              <w:t>Investimet në energjinë diellore dhe të erës pakësojnë shkarkimet dhe rrisin sigurinë energjetike.</w:t>
            </w:r>
          </w:p>
          <w:p w14:paraId="1B514526" w14:textId="77777777" w:rsidR="00622884" w:rsidRPr="00622884" w:rsidRDefault="00622884" w:rsidP="00622884">
            <w:pPr>
              <w:spacing w:after="0" w:line="240" w:lineRule="auto"/>
              <w:ind w:left="-54"/>
              <w:contextualSpacing/>
              <w:rPr>
                <w:rFonts w:ascii="Garamond" w:eastAsia="Calibri" w:hAnsi="Garamond" w:cs="Calibri Light"/>
                <w:sz w:val="16"/>
                <w:szCs w:val="16"/>
                <w:lang w:eastAsia="en-US"/>
              </w:rPr>
            </w:pPr>
            <w:r w:rsidRPr="00622884">
              <w:rPr>
                <w:rFonts w:ascii="Garamond" w:eastAsia="Calibri" w:hAnsi="Garamond" w:cs="Times New Roman"/>
                <w:sz w:val="16"/>
                <w:szCs w:val="16"/>
                <w:lang w:eastAsia="en-US" w:bidi="sq-AL"/>
              </w:rPr>
              <w:t>-Eficienca e energjisë forcon aftësitë ripërtëritëse: veprimet e vogla sot sigurojnë stabilitet nesër.</w:t>
            </w:r>
          </w:p>
          <w:p w14:paraId="17D67383" w14:textId="77777777" w:rsidR="00622884" w:rsidRPr="00622884" w:rsidRDefault="00622884" w:rsidP="00622884">
            <w:pPr>
              <w:spacing w:after="0" w:line="240" w:lineRule="auto"/>
              <w:ind w:left="-54"/>
              <w:contextualSpacing/>
              <w:rPr>
                <w:rFonts w:ascii="Garamond" w:eastAsia="Calibri" w:hAnsi="Garamond" w:cs="Calibri Light"/>
                <w:sz w:val="16"/>
                <w:szCs w:val="16"/>
                <w:lang w:eastAsia="en-US"/>
              </w:rPr>
            </w:pPr>
            <w:r w:rsidRPr="00622884">
              <w:rPr>
                <w:rFonts w:ascii="Garamond" w:eastAsia="Calibri" w:hAnsi="Garamond" w:cs="Times New Roman"/>
                <w:sz w:val="16"/>
                <w:szCs w:val="16"/>
                <w:lang w:eastAsia="en-US" w:bidi="sq-AL"/>
              </w:rPr>
              <w:t>-Diversifikimi ul cenueshmërinë nga thatësira dhe goditjet klimatike.</w:t>
            </w:r>
          </w:p>
        </w:tc>
        <w:tc>
          <w:tcPr>
            <w:tcW w:w="800" w:type="pct"/>
            <w:tcBorders>
              <w:top w:val="single" w:sz="4" w:space="0" w:color="1D3C5A"/>
              <w:left w:val="single" w:sz="4" w:space="0" w:color="1D3C5A"/>
              <w:bottom w:val="single" w:sz="4" w:space="0" w:color="1D3C5A"/>
              <w:right w:val="single" w:sz="4" w:space="0" w:color="1D3C5A"/>
            </w:tcBorders>
            <w:vAlign w:val="center"/>
            <w:hideMark/>
          </w:tcPr>
          <w:p w14:paraId="191A1E9E" w14:textId="77777777" w:rsidR="00622884" w:rsidRPr="00622884" w:rsidRDefault="00622884" w:rsidP="00622884">
            <w:pPr>
              <w:spacing w:after="0" w:line="240" w:lineRule="auto"/>
              <w:jc w:val="left"/>
              <w:rPr>
                <w:rFonts w:ascii="Garamond" w:eastAsia="Calibri" w:hAnsi="Garamond" w:cs="Calibri Light"/>
                <w:sz w:val="16"/>
                <w:szCs w:val="16"/>
                <w:lang w:eastAsia="en-US"/>
              </w:rPr>
            </w:pPr>
            <w:r w:rsidRPr="00622884">
              <w:rPr>
                <w:rFonts w:ascii="Garamond" w:eastAsia="Calibri" w:hAnsi="Garamond" w:cs="Times New Roman"/>
                <w:sz w:val="16"/>
                <w:szCs w:val="16"/>
                <w:lang w:eastAsia="en-US" w:bidi="sq-AL"/>
              </w:rPr>
              <w:lastRenderedPageBreak/>
              <w:t>- Mundëson sigurinë e energjisë afatgjatë.</w:t>
            </w:r>
          </w:p>
          <w:p w14:paraId="1A154574" w14:textId="77777777" w:rsidR="00622884" w:rsidRPr="00622884" w:rsidRDefault="00622884" w:rsidP="00622884">
            <w:pPr>
              <w:spacing w:after="0" w:line="240" w:lineRule="auto"/>
              <w:jc w:val="left"/>
              <w:rPr>
                <w:rFonts w:ascii="Garamond" w:eastAsia="Calibri" w:hAnsi="Garamond" w:cs="Calibri Light"/>
                <w:sz w:val="16"/>
                <w:szCs w:val="16"/>
                <w:lang w:eastAsia="en-US"/>
              </w:rPr>
            </w:pPr>
            <w:r w:rsidRPr="00622884">
              <w:rPr>
                <w:rFonts w:ascii="Garamond" w:eastAsia="Calibri" w:hAnsi="Garamond" w:cs="Times New Roman"/>
                <w:sz w:val="16"/>
                <w:szCs w:val="16"/>
                <w:lang w:eastAsia="en-US" w:bidi="sq-AL"/>
              </w:rPr>
              <w:br/>
            </w:r>
            <w:r w:rsidRPr="00622884">
              <w:rPr>
                <w:rFonts w:ascii="Garamond" w:eastAsia="Calibri" w:hAnsi="Garamond" w:cs="Times New Roman"/>
                <w:sz w:val="16"/>
                <w:szCs w:val="16"/>
                <w:lang w:eastAsia="en-US" w:bidi="sq-AL"/>
              </w:rPr>
              <w:lastRenderedPageBreak/>
              <w:t>- Ul varësinë nga energjia hidroelektrike dhe cenueshmërinë nga thatësirat.</w:t>
            </w:r>
          </w:p>
          <w:p w14:paraId="3D163381" w14:textId="77777777" w:rsidR="00622884" w:rsidRPr="00622884" w:rsidRDefault="00622884" w:rsidP="00622884">
            <w:pPr>
              <w:spacing w:after="0" w:line="240" w:lineRule="auto"/>
              <w:jc w:val="left"/>
              <w:rPr>
                <w:rFonts w:ascii="Garamond" w:eastAsia="Calibri" w:hAnsi="Garamond" w:cs="Calibri Light"/>
                <w:sz w:val="16"/>
                <w:szCs w:val="16"/>
                <w:lang w:eastAsia="en-US"/>
              </w:rPr>
            </w:pPr>
            <w:r w:rsidRPr="00622884">
              <w:rPr>
                <w:rFonts w:ascii="Garamond" w:eastAsia="Calibri" w:hAnsi="Garamond" w:cs="Times New Roman"/>
                <w:sz w:val="16"/>
                <w:szCs w:val="16"/>
                <w:lang w:eastAsia="en-US" w:bidi="sq-AL"/>
              </w:rPr>
              <w:br/>
              <w:t>- Krijon vende pune të gjelbra dhe mbështet rritjen me karbon të ulët.</w:t>
            </w:r>
          </w:p>
        </w:tc>
        <w:tc>
          <w:tcPr>
            <w:tcW w:w="655" w:type="pct"/>
            <w:tcBorders>
              <w:top w:val="single" w:sz="4" w:space="0" w:color="1D3C5A"/>
              <w:left w:val="single" w:sz="4" w:space="0" w:color="1D3C5A"/>
              <w:bottom w:val="single" w:sz="4" w:space="0" w:color="1D3C5A"/>
              <w:right w:val="single" w:sz="4" w:space="0" w:color="1D3C5A"/>
            </w:tcBorders>
            <w:vAlign w:val="center"/>
          </w:tcPr>
          <w:p w14:paraId="17C2B6D4" w14:textId="77777777" w:rsidR="00622884" w:rsidRPr="00622884" w:rsidRDefault="00622884" w:rsidP="00622884">
            <w:pPr>
              <w:spacing w:after="0" w:line="240" w:lineRule="auto"/>
              <w:jc w:val="left"/>
              <w:rPr>
                <w:rFonts w:ascii="Garamond" w:eastAsia="Calibri" w:hAnsi="Garamond" w:cs="Calibri Light"/>
                <w:sz w:val="16"/>
                <w:szCs w:val="16"/>
                <w:lang w:eastAsia="en-US"/>
              </w:rPr>
            </w:pPr>
            <w:r w:rsidRPr="00622884">
              <w:rPr>
                <w:rFonts w:ascii="Garamond" w:eastAsia="Calibri" w:hAnsi="Garamond" w:cs="Times New Roman"/>
                <w:sz w:val="16"/>
                <w:szCs w:val="16"/>
                <w:lang w:eastAsia="en-US" w:bidi="sq-AL"/>
              </w:rPr>
              <w:lastRenderedPageBreak/>
              <w:t xml:space="preserve">- OZHQ 7 (Energji e përballueshme </w:t>
            </w:r>
            <w:r w:rsidRPr="00622884">
              <w:rPr>
                <w:rFonts w:ascii="Garamond" w:eastAsia="Calibri" w:hAnsi="Garamond" w:cs="Times New Roman"/>
                <w:sz w:val="16"/>
                <w:szCs w:val="16"/>
                <w:lang w:eastAsia="en-US" w:bidi="sq-AL"/>
              </w:rPr>
              <w:lastRenderedPageBreak/>
              <w:t>dhe e pastër)</w:t>
            </w:r>
          </w:p>
          <w:p w14:paraId="23ECAA20" w14:textId="77777777" w:rsidR="00622884" w:rsidRPr="00622884" w:rsidRDefault="00622884" w:rsidP="00622884">
            <w:pPr>
              <w:spacing w:after="0" w:line="240" w:lineRule="auto"/>
              <w:jc w:val="left"/>
              <w:rPr>
                <w:rFonts w:ascii="Garamond" w:eastAsia="Calibri" w:hAnsi="Garamond" w:cs="Calibri Light"/>
                <w:sz w:val="16"/>
                <w:szCs w:val="16"/>
                <w:lang w:eastAsia="en-US"/>
              </w:rPr>
            </w:pPr>
            <w:r w:rsidRPr="00622884">
              <w:rPr>
                <w:rFonts w:ascii="Garamond" w:eastAsia="Calibri" w:hAnsi="Garamond" w:cs="Times New Roman"/>
                <w:sz w:val="16"/>
                <w:szCs w:val="16"/>
                <w:lang w:eastAsia="en-US" w:bidi="sq-AL"/>
              </w:rPr>
              <w:br/>
              <w:t>- Strategjia Kombëtare për energjinë e rinovueshme.</w:t>
            </w:r>
          </w:p>
          <w:p w14:paraId="49474F90" w14:textId="77777777" w:rsidR="00622884" w:rsidRPr="00622884" w:rsidRDefault="00622884" w:rsidP="00622884">
            <w:pPr>
              <w:spacing w:after="0" w:line="240" w:lineRule="auto"/>
              <w:jc w:val="left"/>
              <w:rPr>
                <w:rFonts w:ascii="Garamond" w:eastAsia="Calibri" w:hAnsi="Garamond" w:cs="Calibri Light"/>
                <w:sz w:val="16"/>
                <w:szCs w:val="16"/>
                <w:lang w:eastAsia="en-US"/>
              </w:rPr>
            </w:pPr>
          </w:p>
          <w:p w14:paraId="4FC41B28" w14:textId="77777777" w:rsidR="00622884" w:rsidRPr="00622884" w:rsidRDefault="00622884" w:rsidP="00622884">
            <w:pPr>
              <w:spacing w:after="0" w:line="240" w:lineRule="auto"/>
              <w:jc w:val="left"/>
              <w:rPr>
                <w:rFonts w:ascii="Garamond" w:eastAsia="Calibri" w:hAnsi="Garamond" w:cs="Calibri Light"/>
                <w:sz w:val="16"/>
                <w:szCs w:val="16"/>
                <w:lang w:eastAsia="en-US"/>
              </w:rPr>
            </w:pPr>
            <w:r w:rsidRPr="00622884">
              <w:rPr>
                <w:rFonts w:ascii="Garamond" w:eastAsia="Calibri" w:hAnsi="Garamond" w:cs="Times New Roman"/>
                <w:sz w:val="16"/>
                <w:szCs w:val="16"/>
                <w:lang w:eastAsia="en-US" w:bidi="sq-AL"/>
              </w:rPr>
              <w:t>- Objektivat e UNFCCC-së dhe objektivat për aderimin në BE për ndryshimet klimatike.</w:t>
            </w:r>
          </w:p>
        </w:tc>
        <w:tc>
          <w:tcPr>
            <w:tcW w:w="840" w:type="pct"/>
            <w:tcBorders>
              <w:top w:val="single" w:sz="4" w:space="0" w:color="1D3C5A"/>
              <w:left w:val="single" w:sz="4" w:space="0" w:color="1D3C5A"/>
              <w:bottom w:val="single" w:sz="4" w:space="0" w:color="1D3C5A"/>
              <w:right w:val="single" w:sz="4" w:space="0" w:color="1D3C5A"/>
            </w:tcBorders>
            <w:vAlign w:val="center"/>
            <w:hideMark/>
          </w:tcPr>
          <w:p w14:paraId="3152B130" w14:textId="77777777" w:rsidR="00622884" w:rsidRPr="00622884" w:rsidRDefault="00622884" w:rsidP="00622884">
            <w:pPr>
              <w:spacing w:after="0" w:line="240" w:lineRule="auto"/>
              <w:jc w:val="left"/>
              <w:rPr>
                <w:rFonts w:ascii="Garamond" w:eastAsia="Calibri" w:hAnsi="Garamond" w:cs="Calibri Light"/>
                <w:sz w:val="16"/>
                <w:szCs w:val="16"/>
                <w:lang w:eastAsia="en-US"/>
              </w:rPr>
            </w:pPr>
            <w:r w:rsidRPr="00622884">
              <w:rPr>
                <w:rFonts w:ascii="Garamond" w:eastAsia="Calibri" w:hAnsi="Garamond" w:cs="Times New Roman"/>
                <w:sz w:val="16"/>
                <w:szCs w:val="16"/>
                <w:lang w:eastAsia="en-US" w:bidi="sq-AL"/>
              </w:rPr>
              <w:lastRenderedPageBreak/>
              <w:t xml:space="preserve">Politikëbërësit për energjinë, shoqëritë e shërbimeve, </w:t>
            </w:r>
            <w:r w:rsidRPr="00622884">
              <w:rPr>
                <w:rFonts w:ascii="Garamond" w:eastAsia="Calibri" w:hAnsi="Garamond" w:cs="Times New Roman"/>
                <w:sz w:val="16"/>
                <w:szCs w:val="16"/>
                <w:lang w:eastAsia="en-US" w:bidi="sq-AL"/>
              </w:rPr>
              <w:lastRenderedPageBreak/>
              <w:t>investitorët e energjisë së rinovueshme, bizneset, institucionet financiare.</w:t>
            </w:r>
          </w:p>
        </w:tc>
      </w:tr>
      <w:tr w:rsidR="00622884" w:rsidRPr="00622884" w14:paraId="3D3F8D08" w14:textId="77777777" w:rsidTr="00622884">
        <w:tc>
          <w:tcPr>
            <w:tcW w:w="467" w:type="pct"/>
            <w:tcBorders>
              <w:top w:val="single" w:sz="4" w:space="0" w:color="1D3C5A"/>
              <w:left w:val="single" w:sz="4" w:space="0" w:color="1D3C5A"/>
              <w:bottom w:val="single" w:sz="4" w:space="0" w:color="1D3C5A"/>
              <w:right w:val="single" w:sz="4" w:space="0" w:color="1D3C5A"/>
            </w:tcBorders>
            <w:vAlign w:val="center"/>
            <w:hideMark/>
          </w:tcPr>
          <w:p w14:paraId="3E344924" w14:textId="77777777" w:rsidR="00622884" w:rsidRPr="00622884" w:rsidRDefault="00622884" w:rsidP="00622884">
            <w:pPr>
              <w:spacing w:after="0" w:line="240" w:lineRule="auto"/>
              <w:jc w:val="left"/>
              <w:rPr>
                <w:rFonts w:ascii="Garamond" w:eastAsia="Calibri" w:hAnsi="Garamond" w:cs="Calibri Light"/>
                <w:b/>
                <w:bCs/>
                <w:sz w:val="16"/>
                <w:szCs w:val="16"/>
                <w:lang w:eastAsia="en-US"/>
              </w:rPr>
            </w:pPr>
            <w:r w:rsidRPr="00622884">
              <w:rPr>
                <w:rFonts w:ascii="Garamond" w:eastAsia="Calibri" w:hAnsi="Garamond" w:cs="Times New Roman"/>
                <w:b/>
                <w:sz w:val="16"/>
                <w:szCs w:val="16"/>
                <w:lang w:eastAsia="en-US" w:bidi="sq-AL"/>
              </w:rPr>
              <w:lastRenderedPageBreak/>
              <w:t>Turizmi</w:t>
            </w:r>
          </w:p>
        </w:tc>
        <w:tc>
          <w:tcPr>
            <w:tcW w:w="608" w:type="pct"/>
            <w:tcBorders>
              <w:top w:val="single" w:sz="4" w:space="0" w:color="1D3C5A"/>
              <w:left w:val="single" w:sz="4" w:space="0" w:color="1D3C5A"/>
              <w:bottom w:val="single" w:sz="4" w:space="0" w:color="1D3C5A"/>
              <w:right w:val="single" w:sz="4" w:space="0" w:color="1D3C5A"/>
            </w:tcBorders>
            <w:vAlign w:val="center"/>
            <w:hideMark/>
          </w:tcPr>
          <w:p w14:paraId="76E6C304" w14:textId="77777777" w:rsidR="00622884" w:rsidRPr="00622884" w:rsidRDefault="00622884" w:rsidP="00622884">
            <w:pPr>
              <w:spacing w:after="0" w:line="240" w:lineRule="auto"/>
              <w:jc w:val="left"/>
              <w:rPr>
                <w:rFonts w:ascii="Garamond" w:eastAsia="Calibri" w:hAnsi="Garamond" w:cs="Calibri Light"/>
                <w:sz w:val="16"/>
                <w:szCs w:val="16"/>
                <w:lang w:eastAsia="en-US"/>
              </w:rPr>
            </w:pPr>
            <w:r w:rsidRPr="00622884">
              <w:rPr>
                <w:rFonts w:ascii="Garamond" w:eastAsia="Calibri" w:hAnsi="Garamond" w:cs="Times New Roman"/>
                <w:sz w:val="16"/>
                <w:szCs w:val="16"/>
                <w:lang w:eastAsia="en-US" w:bidi="sq-AL"/>
              </w:rPr>
              <w:t>Infrastrukturë me aftësi ripërtëritëse ndaj klimës dhe nisma të qëndrueshme të ekoturizmit</w:t>
            </w:r>
          </w:p>
        </w:tc>
        <w:tc>
          <w:tcPr>
            <w:tcW w:w="1630" w:type="pct"/>
            <w:tcBorders>
              <w:top w:val="single" w:sz="4" w:space="0" w:color="1D3C5A"/>
              <w:left w:val="single" w:sz="4" w:space="0" w:color="1D3C5A"/>
              <w:bottom w:val="single" w:sz="4" w:space="0" w:color="1D3C5A"/>
              <w:right w:val="single" w:sz="4" w:space="0" w:color="1D3C5A"/>
            </w:tcBorders>
            <w:vAlign w:val="center"/>
            <w:hideMark/>
          </w:tcPr>
          <w:p w14:paraId="0DD46199" w14:textId="77777777" w:rsidR="00622884" w:rsidRPr="00622884" w:rsidRDefault="00622884" w:rsidP="00622884">
            <w:pPr>
              <w:spacing w:after="0" w:line="240" w:lineRule="auto"/>
              <w:ind w:left="-54"/>
              <w:contextualSpacing/>
              <w:rPr>
                <w:rFonts w:ascii="Garamond" w:eastAsia="Calibri" w:hAnsi="Garamond" w:cs="Calibri Light"/>
                <w:sz w:val="16"/>
                <w:szCs w:val="16"/>
                <w:lang w:eastAsia="en-US"/>
              </w:rPr>
            </w:pPr>
            <w:r w:rsidRPr="00622884">
              <w:rPr>
                <w:rFonts w:ascii="Garamond" w:eastAsia="Calibri" w:hAnsi="Garamond" w:cs="Times New Roman"/>
                <w:sz w:val="16"/>
                <w:szCs w:val="16"/>
                <w:lang w:eastAsia="en-US" w:bidi="sq-AL"/>
              </w:rPr>
              <w:t>- Përshtatja mbron ekosistemet dhe asetet turistike të Shqipërisë.</w:t>
            </w:r>
          </w:p>
          <w:p w14:paraId="27B0E8D9" w14:textId="77777777" w:rsidR="00622884" w:rsidRPr="00622884" w:rsidRDefault="00622884" w:rsidP="00622884">
            <w:pPr>
              <w:spacing w:after="0" w:line="240" w:lineRule="auto"/>
              <w:ind w:left="-54"/>
              <w:contextualSpacing/>
              <w:rPr>
                <w:rFonts w:ascii="Garamond" w:eastAsia="Calibri" w:hAnsi="Garamond" w:cs="Calibri Light"/>
                <w:sz w:val="16"/>
                <w:szCs w:val="16"/>
                <w:lang w:eastAsia="en-US"/>
              </w:rPr>
            </w:pPr>
            <w:r w:rsidRPr="00622884">
              <w:rPr>
                <w:rFonts w:ascii="Garamond" w:eastAsia="Calibri" w:hAnsi="Garamond" w:cs="Times New Roman"/>
                <w:sz w:val="16"/>
                <w:szCs w:val="16"/>
                <w:lang w:eastAsia="en-US" w:bidi="sq-AL"/>
              </w:rPr>
              <w:t>- Restaurimi dhe ripyllëzimi i bregdetit mbrojnë destinacionet kryesore të Shqipërisë.</w:t>
            </w:r>
          </w:p>
          <w:p w14:paraId="48E1A47F" w14:textId="77777777" w:rsidR="00622884" w:rsidRPr="00622884" w:rsidRDefault="00622884" w:rsidP="00622884">
            <w:pPr>
              <w:spacing w:after="0" w:line="240" w:lineRule="auto"/>
              <w:ind w:left="-54"/>
              <w:contextualSpacing/>
              <w:rPr>
                <w:rFonts w:ascii="Garamond" w:eastAsia="Calibri" w:hAnsi="Garamond" w:cs="Calibri Light"/>
                <w:sz w:val="16"/>
                <w:szCs w:val="16"/>
                <w:lang w:eastAsia="en-US"/>
              </w:rPr>
            </w:pPr>
            <w:r w:rsidRPr="00622884">
              <w:rPr>
                <w:rFonts w:ascii="Garamond" w:eastAsia="Calibri" w:hAnsi="Garamond" w:cs="Times New Roman"/>
                <w:sz w:val="16"/>
                <w:szCs w:val="16"/>
                <w:lang w:eastAsia="en-US" w:bidi="sq-AL"/>
              </w:rPr>
              <w:t>- Ekoturizmi ruan trashëgiminë natyrore teksa krijon edhe vende pune.</w:t>
            </w:r>
          </w:p>
          <w:p w14:paraId="137089E9" w14:textId="77777777" w:rsidR="00622884" w:rsidRPr="00622884" w:rsidRDefault="00622884" w:rsidP="00622884">
            <w:pPr>
              <w:spacing w:after="0" w:line="240" w:lineRule="auto"/>
              <w:ind w:left="-54"/>
              <w:contextualSpacing/>
              <w:rPr>
                <w:rFonts w:ascii="Garamond" w:eastAsia="Calibri" w:hAnsi="Garamond" w:cs="Calibri Light"/>
                <w:sz w:val="16"/>
                <w:szCs w:val="16"/>
                <w:lang w:eastAsia="en-US"/>
              </w:rPr>
            </w:pPr>
            <w:r w:rsidRPr="00622884">
              <w:rPr>
                <w:rFonts w:ascii="Garamond" w:eastAsia="Calibri" w:hAnsi="Garamond" w:cs="Times New Roman"/>
                <w:sz w:val="16"/>
                <w:szCs w:val="16"/>
                <w:lang w:eastAsia="en-US" w:bidi="sq-AL"/>
              </w:rPr>
              <w:t>- Turizmi inteligjent ndaj klimës rrit reputacionin botëror të Shqipërisë si destinacion i qëndrueshëm.</w:t>
            </w:r>
          </w:p>
          <w:p w14:paraId="5F676717" w14:textId="77777777" w:rsidR="00622884" w:rsidRPr="00622884" w:rsidRDefault="00622884" w:rsidP="00622884">
            <w:pPr>
              <w:spacing w:after="0" w:line="240" w:lineRule="auto"/>
              <w:ind w:left="-54"/>
              <w:contextualSpacing/>
              <w:rPr>
                <w:rFonts w:ascii="Garamond" w:eastAsia="Calibri" w:hAnsi="Garamond" w:cs="Calibri Light"/>
                <w:sz w:val="16"/>
                <w:szCs w:val="16"/>
                <w:lang w:eastAsia="en-US"/>
              </w:rPr>
            </w:pPr>
            <w:r w:rsidRPr="00622884">
              <w:rPr>
                <w:rFonts w:ascii="Garamond" w:eastAsia="Calibri" w:hAnsi="Garamond" w:cs="Times New Roman"/>
                <w:sz w:val="16"/>
                <w:szCs w:val="16"/>
                <w:lang w:eastAsia="en-US" w:bidi="sq-AL"/>
              </w:rPr>
              <w:t>- Turizmi i qëndrueshëm siguron rritje dhe konkurrueshmëri afatgjatë të komunitetit.</w:t>
            </w:r>
          </w:p>
          <w:p w14:paraId="1CEAC715" w14:textId="77777777" w:rsidR="00622884" w:rsidRPr="00622884" w:rsidRDefault="00622884" w:rsidP="00622884">
            <w:pPr>
              <w:spacing w:after="0" w:line="240" w:lineRule="auto"/>
              <w:ind w:left="-54"/>
              <w:contextualSpacing/>
              <w:rPr>
                <w:rFonts w:ascii="Garamond" w:eastAsia="Calibri" w:hAnsi="Garamond" w:cs="Calibri Light"/>
                <w:sz w:val="16"/>
                <w:szCs w:val="16"/>
                <w:lang w:eastAsia="en-US"/>
              </w:rPr>
            </w:pPr>
            <w:r w:rsidRPr="00622884">
              <w:rPr>
                <w:rFonts w:ascii="Garamond" w:eastAsia="Calibri" w:hAnsi="Garamond" w:cs="Times New Roman"/>
                <w:sz w:val="16"/>
                <w:szCs w:val="16"/>
                <w:lang w:eastAsia="en-US" w:bidi="sq-AL"/>
              </w:rPr>
              <w:t>- Turizmi inteligjent ndaj klimës rrit reputacionin botëror të Shqipërisë si destinacion kryesor të ekoturizmit.</w:t>
            </w:r>
          </w:p>
        </w:tc>
        <w:tc>
          <w:tcPr>
            <w:tcW w:w="800" w:type="pct"/>
            <w:tcBorders>
              <w:top w:val="single" w:sz="4" w:space="0" w:color="1D3C5A"/>
              <w:left w:val="single" w:sz="4" w:space="0" w:color="1D3C5A"/>
              <w:bottom w:val="single" w:sz="4" w:space="0" w:color="1D3C5A"/>
              <w:right w:val="single" w:sz="4" w:space="0" w:color="1D3C5A"/>
            </w:tcBorders>
            <w:vAlign w:val="center"/>
          </w:tcPr>
          <w:p w14:paraId="75E42F6A" w14:textId="77777777" w:rsidR="00622884" w:rsidRPr="00622884" w:rsidRDefault="00622884" w:rsidP="00622884">
            <w:pPr>
              <w:spacing w:after="0" w:line="240" w:lineRule="auto"/>
              <w:jc w:val="left"/>
              <w:rPr>
                <w:rFonts w:ascii="Garamond" w:eastAsia="Calibri" w:hAnsi="Garamond" w:cs="Calibri Light"/>
                <w:sz w:val="16"/>
                <w:szCs w:val="16"/>
                <w:lang w:eastAsia="en-US"/>
              </w:rPr>
            </w:pPr>
            <w:r w:rsidRPr="00622884">
              <w:rPr>
                <w:rFonts w:ascii="Garamond" w:eastAsia="Calibri" w:hAnsi="Garamond" w:cs="Times New Roman"/>
                <w:sz w:val="16"/>
                <w:szCs w:val="16"/>
                <w:lang w:eastAsia="en-US" w:bidi="sq-AL"/>
              </w:rPr>
              <w:t>- Mbron zonat bregdetare dhe malore.</w:t>
            </w:r>
          </w:p>
          <w:p w14:paraId="4DFBFDF4" w14:textId="77777777" w:rsidR="00622884" w:rsidRPr="00622884" w:rsidRDefault="00622884" w:rsidP="00622884">
            <w:pPr>
              <w:spacing w:after="0" w:line="240" w:lineRule="auto"/>
              <w:jc w:val="left"/>
              <w:rPr>
                <w:rFonts w:ascii="Garamond" w:eastAsia="Calibri" w:hAnsi="Garamond" w:cs="Calibri Light"/>
                <w:sz w:val="16"/>
                <w:szCs w:val="16"/>
                <w:lang w:eastAsia="en-US"/>
              </w:rPr>
            </w:pPr>
            <w:r w:rsidRPr="00622884">
              <w:rPr>
                <w:rFonts w:ascii="Garamond" w:eastAsia="Calibri" w:hAnsi="Garamond" w:cs="Times New Roman"/>
                <w:sz w:val="16"/>
                <w:szCs w:val="16"/>
                <w:lang w:eastAsia="en-US" w:bidi="sq-AL"/>
              </w:rPr>
              <w:br/>
              <w:t>- Forcon ekonomitë vendore dhe vendet e punës.</w:t>
            </w:r>
          </w:p>
          <w:p w14:paraId="574A4AA3" w14:textId="77777777" w:rsidR="00622884" w:rsidRPr="00622884" w:rsidRDefault="00622884" w:rsidP="00622884">
            <w:pPr>
              <w:spacing w:after="0" w:line="240" w:lineRule="auto"/>
              <w:jc w:val="left"/>
              <w:rPr>
                <w:rFonts w:ascii="Garamond" w:eastAsia="Calibri" w:hAnsi="Garamond" w:cs="Calibri Light"/>
                <w:sz w:val="16"/>
                <w:szCs w:val="16"/>
                <w:lang w:eastAsia="en-US"/>
              </w:rPr>
            </w:pPr>
          </w:p>
          <w:p w14:paraId="581E369D" w14:textId="77777777" w:rsidR="00622884" w:rsidRPr="00622884" w:rsidRDefault="00622884" w:rsidP="00622884">
            <w:pPr>
              <w:spacing w:after="0" w:line="240" w:lineRule="auto"/>
              <w:jc w:val="left"/>
              <w:rPr>
                <w:rFonts w:ascii="Garamond" w:eastAsia="Calibri" w:hAnsi="Garamond" w:cs="Calibri Light"/>
                <w:sz w:val="16"/>
                <w:szCs w:val="16"/>
                <w:lang w:eastAsia="en-US"/>
              </w:rPr>
            </w:pPr>
            <w:r w:rsidRPr="00622884">
              <w:rPr>
                <w:rFonts w:ascii="Garamond" w:eastAsia="Calibri" w:hAnsi="Garamond" w:cs="Times New Roman"/>
                <w:sz w:val="16"/>
                <w:szCs w:val="16"/>
                <w:lang w:eastAsia="en-US" w:bidi="sq-AL"/>
              </w:rPr>
              <w:t>- Përmirëson profilin e turizmit të qëndrueshëm të Shqipërisë.</w:t>
            </w:r>
          </w:p>
        </w:tc>
        <w:tc>
          <w:tcPr>
            <w:tcW w:w="655" w:type="pct"/>
            <w:tcBorders>
              <w:top w:val="single" w:sz="4" w:space="0" w:color="1D3C5A"/>
              <w:left w:val="single" w:sz="4" w:space="0" w:color="1D3C5A"/>
              <w:bottom w:val="single" w:sz="4" w:space="0" w:color="1D3C5A"/>
              <w:right w:val="single" w:sz="4" w:space="0" w:color="1D3C5A"/>
            </w:tcBorders>
            <w:vAlign w:val="center"/>
            <w:hideMark/>
          </w:tcPr>
          <w:p w14:paraId="1A22185A" w14:textId="77777777" w:rsidR="00622884" w:rsidRPr="00622884" w:rsidRDefault="00622884" w:rsidP="00622884">
            <w:pPr>
              <w:spacing w:after="0" w:line="240" w:lineRule="auto"/>
              <w:jc w:val="left"/>
              <w:rPr>
                <w:rFonts w:ascii="Garamond" w:eastAsia="Calibri" w:hAnsi="Garamond" w:cs="Calibri Light"/>
                <w:sz w:val="16"/>
                <w:szCs w:val="16"/>
                <w:lang w:eastAsia="en-US"/>
              </w:rPr>
            </w:pPr>
            <w:r w:rsidRPr="00622884">
              <w:rPr>
                <w:rFonts w:ascii="Garamond" w:eastAsia="Calibri" w:hAnsi="Garamond" w:cs="Times New Roman"/>
                <w:sz w:val="16"/>
                <w:szCs w:val="16"/>
                <w:lang w:eastAsia="en-US" w:bidi="sq-AL"/>
              </w:rPr>
              <w:t>- OZHQ 8 (Punë dinjitoze dhe rritje ekonomike)</w:t>
            </w:r>
          </w:p>
          <w:p w14:paraId="290CFD14" w14:textId="77777777" w:rsidR="00622884" w:rsidRPr="00622884" w:rsidRDefault="00622884" w:rsidP="00622884">
            <w:pPr>
              <w:spacing w:after="0" w:line="240" w:lineRule="auto"/>
              <w:jc w:val="left"/>
              <w:rPr>
                <w:rFonts w:ascii="Garamond" w:eastAsia="Calibri" w:hAnsi="Garamond" w:cs="Calibri Light"/>
                <w:sz w:val="16"/>
                <w:szCs w:val="16"/>
                <w:lang w:eastAsia="en-US"/>
              </w:rPr>
            </w:pPr>
            <w:r w:rsidRPr="00622884">
              <w:rPr>
                <w:rFonts w:ascii="Garamond" w:eastAsia="Calibri" w:hAnsi="Garamond" w:cs="Times New Roman"/>
                <w:sz w:val="16"/>
                <w:szCs w:val="16"/>
                <w:lang w:eastAsia="en-US" w:bidi="sq-AL"/>
              </w:rPr>
              <w:br/>
              <w:t>- Strategjia Kombëtare për Turizëm të Qëndrueshëm.</w:t>
            </w:r>
          </w:p>
          <w:p w14:paraId="7255AD92" w14:textId="77777777" w:rsidR="00622884" w:rsidRPr="00622884" w:rsidRDefault="00622884" w:rsidP="00622884">
            <w:pPr>
              <w:spacing w:after="0" w:line="240" w:lineRule="auto"/>
              <w:jc w:val="left"/>
              <w:rPr>
                <w:rFonts w:ascii="Garamond" w:eastAsia="Calibri" w:hAnsi="Garamond" w:cs="Calibri Light"/>
                <w:sz w:val="16"/>
                <w:szCs w:val="16"/>
                <w:lang w:eastAsia="en-US"/>
              </w:rPr>
            </w:pPr>
            <w:r w:rsidRPr="00622884">
              <w:rPr>
                <w:rFonts w:ascii="Garamond" w:eastAsia="Calibri" w:hAnsi="Garamond" w:cs="Times New Roman"/>
                <w:sz w:val="16"/>
                <w:szCs w:val="16"/>
                <w:lang w:eastAsia="en-US" w:bidi="sq-AL"/>
              </w:rPr>
              <w:br/>
              <w:t>- Angazhime rajonale për turizëm miqësor me klimën.</w:t>
            </w:r>
          </w:p>
        </w:tc>
        <w:tc>
          <w:tcPr>
            <w:tcW w:w="840" w:type="pct"/>
            <w:tcBorders>
              <w:top w:val="single" w:sz="4" w:space="0" w:color="1D3C5A"/>
              <w:left w:val="single" w:sz="4" w:space="0" w:color="1D3C5A"/>
              <w:bottom w:val="single" w:sz="4" w:space="0" w:color="1D3C5A"/>
              <w:right w:val="single" w:sz="4" w:space="0" w:color="1D3C5A"/>
            </w:tcBorders>
            <w:vAlign w:val="center"/>
            <w:hideMark/>
          </w:tcPr>
          <w:p w14:paraId="5BF0BAEA" w14:textId="77777777" w:rsidR="00622884" w:rsidRPr="00622884" w:rsidRDefault="00622884" w:rsidP="00622884">
            <w:pPr>
              <w:spacing w:after="0" w:line="240" w:lineRule="auto"/>
              <w:jc w:val="left"/>
              <w:rPr>
                <w:rFonts w:ascii="Garamond" w:eastAsia="Calibri" w:hAnsi="Garamond" w:cs="Calibri Light"/>
                <w:sz w:val="16"/>
                <w:szCs w:val="16"/>
                <w:lang w:eastAsia="en-US"/>
              </w:rPr>
            </w:pPr>
            <w:r w:rsidRPr="00622884">
              <w:rPr>
                <w:rFonts w:ascii="Garamond" w:eastAsia="Calibri" w:hAnsi="Garamond" w:cs="Times New Roman"/>
                <w:sz w:val="16"/>
                <w:szCs w:val="16"/>
                <w:lang w:eastAsia="en-US" w:bidi="sq-AL"/>
              </w:rPr>
              <w:t>Operatorët turistikë, pronarët e hoteleve, qeveritë vendore, agjencitë ndërkombëtare të turizmit</w:t>
            </w:r>
          </w:p>
        </w:tc>
      </w:tr>
      <w:tr w:rsidR="00622884" w:rsidRPr="00622884" w14:paraId="34AB5913" w14:textId="77777777" w:rsidTr="00622884">
        <w:tc>
          <w:tcPr>
            <w:tcW w:w="467" w:type="pct"/>
            <w:tcBorders>
              <w:top w:val="single" w:sz="4" w:space="0" w:color="1D3C5A"/>
              <w:left w:val="single" w:sz="4" w:space="0" w:color="1D3C5A"/>
              <w:bottom w:val="single" w:sz="4" w:space="0" w:color="1D3C5A"/>
              <w:right w:val="single" w:sz="4" w:space="0" w:color="1D3C5A"/>
            </w:tcBorders>
            <w:vAlign w:val="center"/>
            <w:hideMark/>
          </w:tcPr>
          <w:p w14:paraId="4A124692" w14:textId="77777777" w:rsidR="00622884" w:rsidRPr="00622884" w:rsidRDefault="00622884" w:rsidP="00622884">
            <w:pPr>
              <w:spacing w:after="0" w:line="240" w:lineRule="auto"/>
              <w:jc w:val="left"/>
              <w:rPr>
                <w:rFonts w:ascii="Garamond" w:eastAsia="Calibri" w:hAnsi="Garamond" w:cs="Calibri Light"/>
                <w:b/>
                <w:bCs/>
                <w:sz w:val="16"/>
                <w:szCs w:val="16"/>
                <w:lang w:eastAsia="en-US"/>
              </w:rPr>
            </w:pPr>
            <w:r w:rsidRPr="00622884">
              <w:rPr>
                <w:rFonts w:ascii="Garamond" w:eastAsia="Calibri" w:hAnsi="Garamond" w:cs="Times New Roman"/>
                <w:b/>
                <w:sz w:val="16"/>
                <w:szCs w:val="16"/>
                <w:lang w:eastAsia="en-US" w:bidi="sq-AL"/>
              </w:rPr>
              <w:t>Transporti</w:t>
            </w:r>
          </w:p>
        </w:tc>
        <w:tc>
          <w:tcPr>
            <w:tcW w:w="608" w:type="pct"/>
            <w:tcBorders>
              <w:top w:val="single" w:sz="4" w:space="0" w:color="1D3C5A"/>
              <w:left w:val="single" w:sz="4" w:space="0" w:color="1D3C5A"/>
              <w:bottom w:val="single" w:sz="4" w:space="0" w:color="1D3C5A"/>
              <w:right w:val="single" w:sz="4" w:space="0" w:color="1D3C5A"/>
            </w:tcBorders>
            <w:vAlign w:val="center"/>
          </w:tcPr>
          <w:p w14:paraId="3A2A20A3" w14:textId="77777777" w:rsidR="00622884" w:rsidRPr="00622884" w:rsidRDefault="00622884" w:rsidP="00622884">
            <w:pPr>
              <w:spacing w:after="0" w:line="240" w:lineRule="auto"/>
              <w:jc w:val="left"/>
              <w:rPr>
                <w:rFonts w:ascii="Garamond" w:eastAsia="Calibri" w:hAnsi="Garamond" w:cs="Calibri Light"/>
                <w:vanish/>
                <w:sz w:val="16"/>
                <w:szCs w:val="16"/>
                <w:lang w:eastAsia="en-US"/>
              </w:rPr>
            </w:pPr>
          </w:p>
          <w:p w14:paraId="7D32DFA2" w14:textId="77777777" w:rsidR="00622884" w:rsidRPr="00622884" w:rsidRDefault="00622884" w:rsidP="00622884">
            <w:pPr>
              <w:spacing w:after="0" w:line="240" w:lineRule="auto"/>
              <w:jc w:val="left"/>
              <w:rPr>
                <w:rFonts w:ascii="Garamond" w:eastAsia="Calibri" w:hAnsi="Garamond" w:cs="Calibri Light"/>
                <w:sz w:val="16"/>
                <w:szCs w:val="16"/>
                <w:lang w:eastAsia="en-US"/>
              </w:rPr>
            </w:pPr>
            <w:r w:rsidRPr="00622884">
              <w:rPr>
                <w:rFonts w:ascii="Garamond" w:eastAsia="Calibri" w:hAnsi="Garamond" w:cs="Times New Roman"/>
                <w:sz w:val="16"/>
                <w:szCs w:val="16"/>
                <w:lang w:eastAsia="en-US" w:bidi="sq-AL"/>
              </w:rPr>
              <w:t>Mbrojtja e infrastruktura kritike të transportit nga ndryshimet klimatike dhe promovimi i lëvizshmërisë së qëndrueshme urbane</w:t>
            </w:r>
          </w:p>
        </w:tc>
        <w:tc>
          <w:tcPr>
            <w:tcW w:w="1630" w:type="pct"/>
            <w:tcBorders>
              <w:top w:val="single" w:sz="4" w:space="0" w:color="1D3C5A"/>
              <w:left w:val="single" w:sz="4" w:space="0" w:color="1D3C5A"/>
              <w:bottom w:val="single" w:sz="4" w:space="0" w:color="1D3C5A"/>
              <w:right w:val="single" w:sz="4" w:space="0" w:color="1D3C5A"/>
            </w:tcBorders>
            <w:vAlign w:val="center"/>
            <w:hideMark/>
          </w:tcPr>
          <w:p w14:paraId="23BA4290" w14:textId="77777777" w:rsidR="00622884" w:rsidRPr="00622884" w:rsidRDefault="00622884" w:rsidP="00622884">
            <w:pPr>
              <w:spacing w:after="0" w:line="240" w:lineRule="auto"/>
              <w:ind w:left="-54"/>
              <w:contextualSpacing/>
              <w:rPr>
                <w:rFonts w:ascii="Garamond" w:eastAsia="Calibri" w:hAnsi="Garamond" w:cs="Calibri Light"/>
                <w:sz w:val="16"/>
                <w:szCs w:val="16"/>
                <w:lang w:eastAsia="en-US"/>
              </w:rPr>
            </w:pPr>
            <w:r w:rsidRPr="00622884">
              <w:rPr>
                <w:rFonts w:ascii="Garamond" w:eastAsia="Calibri" w:hAnsi="Garamond" w:cs="Times New Roman"/>
                <w:sz w:val="16"/>
                <w:szCs w:val="16"/>
                <w:lang w:eastAsia="en-US" w:bidi="sq-AL"/>
              </w:rPr>
              <w:t>- Transporti me aftësi ripërtëritëse e mban Shqipërinë të lidhur dhe pakëson ndërprerjet.</w:t>
            </w:r>
          </w:p>
          <w:p w14:paraId="3B9859C4" w14:textId="77777777" w:rsidR="00622884" w:rsidRPr="00622884" w:rsidRDefault="00622884" w:rsidP="00622884">
            <w:pPr>
              <w:spacing w:after="0" w:line="240" w:lineRule="auto"/>
              <w:contextualSpacing/>
              <w:rPr>
                <w:rFonts w:ascii="Garamond" w:eastAsia="Calibri" w:hAnsi="Garamond" w:cs="Calibri Light"/>
                <w:sz w:val="16"/>
                <w:szCs w:val="16"/>
                <w:lang w:eastAsia="en-US"/>
              </w:rPr>
            </w:pPr>
            <w:r w:rsidRPr="00622884">
              <w:rPr>
                <w:rFonts w:ascii="Garamond" w:eastAsia="Calibri" w:hAnsi="Garamond" w:cs="Times New Roman"/>
                <w:sz w:val="16"/>
                <w:szCs w:val="16"/>
                <w:lang w:eastAsia="en-US" w:bidi="sq-AL"/>
              </w:rPr>
              <w:t>- Rrugët dhe urat rezistente ndaj përmbytjeve dhe të nxehtit mbrojnë jetesën dhe tregtinë.</w:t>
            </w:r>
          </w:p>
          <w:p w14:paraId="5EB88AAB" w14:textId="77777777" w:rsidR="00622884" w:rsidRPr="00622884" w:rsidRDefault="00622884" w:rsidP="00622884">
            <w:pPr>
              <w:spacing w:after="0" w:line="240" w:lineRule="auto"/>
              <w:ind w:left="-54"/>
              <w:contextualSpacing/>
              <w:rPr>
                <w:rFonts w:ascii="Garamond" w:eastAsia="Calibri" w:hAnsi="Garamond" w:cs="Calibri Light"/>
                <w:sz w:val="16"/>
                <w:szCs w:val="16"/>
                <w:lang w:eastAsia="en-US"/>
              </w:rPr>
            </w:pPr>
            <w:r w:rsidRPr="00622884">
              <w:rPr>
                <w:rFonts w:ascii="Garamond" w:eastAsia="Calibri" w:hAnsi="Garamond" w:cs="Times New Roman"/>
                <w:sz w:val="16"/>
                <w:szCs w:val="16"/>
                <w:lang w:eastAsia="en-US" w:bidi="sq-AL"/>
              </w:rPr>
              <w:t>- Infrastruktura e qëndrueshme ul kostot afatgjata të riparimit.</w:t>
            </w:r>
          </w:p>
          <w:p w14:paraId="68ACB37C" w14:textId="77777777" w:rsidR="00622884" w:rsidRPr="00622884" w:rsidRDefault="00622884" w:rsidP="00622884">
            <w:pPr>
              <w:spacing w:after="0" w:line="240" w:lineRule="auto"/>
              <w:ind w:left="-54"/>
              <w:contextualSpacing/>
              <w:rPr>
                <w:rFonts w:ascii="Garamond" w:eastAsia="Calibri" w:hAnsi="Garamond" w:cs="Calibri Light"/>
                <w:sz w:val="16"/>
                <w:szCs w:val="16"/>
                <w:lang w:eastAsia="en-US"/>
              </w:rPr>
            </w:pPr>
            <w:r w:rsidRPr="00622884">
              <w:rPr>
                <w:rFonts w:ascii="Garamond" w:eastAsia="Calibri" w:hAnsi="Garamond" w:cs="Times New Roman"/>
                <w:sz w:val="16"/>
                <w:szCs w:val="16"/>
                <w:lang w:eastAsia="en-US" w:bidi="sq-AL"/>
              </w:rPr>
              <w:t>- Transporti i qëndrueshëm urban pakëson shkarkimet dhe përmirëson lëvizshmërinë për të gjithë qytetarët.</w:t>
            </w:r>
          </w:p>
          <w:p w14:paraId="446E956E" w14:textId="77777777" w:rsidR="00622884" w:rsidRPr="00622884" w:rsidRDefault="00622884" w:rsidP="00622884">
            <w:pPr>
              <w:spacing w:after="0" w:line="240" w:lineRule="auto"/>
              <w:ind w:left="-54"/>
              <w:contextualSpacing/>
              <w:rPr>
                <w:rFonts w:ascii="Garamond" w:eastAsia="Calibri" w:hAnsi="Garamond" w:cs="Calibri Light"/>
                <w:sz w:val="16"/>
                <w:szCs w:val="16"/>
                <w:lang w:eastAsia="en-US"/>
              </w:rPr>
            </w:pPr>
            <w:r w:rsidRPr="00622884">
              <w:rPr>
                <w:rFonts w:ascii="Garamond" w:eastAsia="Calibri" w:hAnsi="Garamond" w:cs="Times New Roman"/>
                <w:sz w:val="16"/>
                <w:szCs w:val="16"/>
                <w:lang w:eastAsia="en-US" w:bidi="sq-AL"/>
              </w:rPr>
              <w:t>- Investimet inteligjente ndaj klimës në sistemet e transportit mbështesin rritjen ekonomike dhe integrimin në BE.</w:t>
            </w:r>
          </w:p>
        </w:tc>
        <w:tc>
          <w:tcPr>
            <w:tcW w:w="800" w:type="pct"/>
            <w:tcBorders>
              <w:top w:val="single" w:sz="4" w:space="0" w:color="1D3C5A"/>
              <w:left w:val="single" w:sz="4" w:space="0" w:color="1D3C5A"/>
              <w:bottom w:val="single" w:sz="4" w:space="0" w:color="1D3C5A"/>
              <w:right w:val="single" w:sz="4" w:space="0" w:color="1D3C5A"/>
            </w:tcBorders>
            <w:vAlign w:val="center"/>
          </w:tcPr>
          <w:p w14:paraId="616780B0" w14:textId="77777777" w:rsidR="00622884" w:rsidRPr="00622884" w:rsidRDefault="00622884" w:rsidP="00622884">
            <w:pPr>
              <w:spacing w:after="0" w:line="240" w:lineRule="auto"/>
              <w:jc w:val="left"/>
              <w:rPr>
                <w:rFonts w:ascii="Garamond" w:eastAsia="Calibri" w:hAnsi="Garamond" w:cs="Calibri Light"/>
                <w:sz w:val="16"/>
                <w:szCs w:val="16"/>
                <w:lang w:eastAsia="en-US"/>
              </w:rPr>
            </w:pPr>
            <w:r w:rsidRPr="00622884">
              <w:rPr>
                <w:rFonts w:ascii="Garamond" w:eastAsia="Calibri" w:hAnsi="Garamond" w:cs="Times New Roman"/>
                <w:sz w:val="16"/>
                <w:szCs w:val="16"/>
                <w:lang w:eastAsia="en-US" w:bidi="sq-AL"/>
              </w:rPr>
              <w:t>- Siguron qasje të besueshme në mallra, shërbime dhe tregje.</w:t>
            </w:r>
          </w:p>
          <w:p w14:paraId="5AC0D712" w14:textId="77777777" w:rsidR="00622884" w:rsidRPr="00622884" w:rsidRDefault="00622884" w:rsidP="00622884">
            <w:pPr>
              <w:spacing w:after="0" w:line="240" w:lineRule="auto"/>
              <w:jc w:val="left"/>
              <w:rPr>
                <w:rFonts w:ascii="Garamond" w:eastAsia="Calibri" w:hAnsi="Garamond" w:cs="Calibri Light"/>
                <w:sz w:val="16"/>
                <w:szCs w:val="16"/>
                <w:lang w:eastAsia="en-US"/>
              </w:rPr>
            </w:pPr>
            <w:r w:rsidRPr="00622884">
              <w:rPr>
                <w:rFonts w:ascii="Garamond" w:eastAsia="Calibri" w:hAnsi="Garamond" w:cs="Times New Roman"/>
                <w:sz w:val="16"/>
                <w:szCs w:val="16"/>
                <w:lang w:eastAsia="en-US" w:bidi="sq-AL"/>
              </w:rPr>
              <w:br/>
              <w:t>- Ul kostot e riparimit me kalimin e kohës.</w:t>
            </w:r>
          </w:p>
          <w:p w14:paraId="3307C666" w14:textId="77777777" w:rsidR="00622884" w:rsidRPr="00622884" w:rsidRDefault="00622884" w:rsidP="00622884">
            <w:pPr>
              <w:spacing w:after="0" w:line="240" w:lineRule="auto"/>
              <w:jc w:val="left"/>
              <w:rPr>
                <w:rFonts w:ascii="Garamond" w:eastAsia="Calibri" w:hAnsi="Garamond" w:cs="Calibri Light"/>
                <w:sz w:val="16"/>
                <w:szCs w:val="16"/>
                <w:lang w:eastAsia="en-US"/>
              </w:rPr>
            </w:pPr>
          </w:p>
          <w:p w14:paraId="4C53105E" w14:textId="77777777" w:rsidR="00622884" w:rsidRPr="00622884" w:rsidRDefault="00622884" w:rsidP="00622884">
            <w:pPr>
              <w:spacing w:after="0" w:line="240" w:lineRule="auto"/>
              <w:jc w:val="left"/>
              <w:rPr>
                <w:rFonts w:ascii="Garamond" w:eastAsia="Calibri" w:hAnsi="Garamond" w:cs="Calibri Light"/>
                <w:sz w:val="16"/>
                <w:szCs w:val="16"/>
                <w:lang w:eastAsia="en-US"/>
              </w:rPr>
            </w:pPr>
            <w:r w:rsidRPr="00622884">
              <w:rPr>
                <w:rFonts w:ascii="Garamond" w:eastAsia="Calibri" w:hAnsi="Garamond" w:cs="Times New Roman"/>
                <w:sz w:val="16"/>
                <w:szCs w:val="16"/>
                <w:lang w:eastAsia="en-US" w:bidi="sq-AL"/>
              </w:rPr>
              <w:t>- Përmirëson lidhjen dhe sigurinë.</w:t>
            </w:r>
          </w:p>
        </w:tc>
        <w:tc>
          <w:tcPr>
            <w:tcW w:w="655" w:type="pct"/>
            <w:tcBorders>
              <w:top w:val="single" w:sz="4" w:space="0" w:color="1D3C5A"/>
              <w:left w:val="single" w:sz="4" w:space="0" w:color="1D3C5A"/>
              <w:bottom w:val="single" w:sz="4" w:space="0" w:color="1D3C5A"/>
              <w:right w:val="single" w:sz="4" w:space="0" w:color="1D3C5A"/>
            </w:tcBorders>
            <w:vAlign w:val="center"/>
            <w:hideMark/>
          </w:tcPr>
          <w:p w14:paraId="29A7D3C5" w14:textId="77777777" w:rsidR="00622884" w:rsidRPr="00622884" w:rsidRDefault="00622884" w:rsidP="00622884">
            <w:pPr>
              <w:spacing w:after="0" w:line="240" w:lineRule="auto"/>
              <w:jc w:val="left"/>
              <w:rPr>
                <w:rFonts w:ascii="Garamond" w:eastAsia="Calibri" w:hAnsi="Garamond" w:cs="Calibri Light"/>
                <w:sz w:val="16"/>
                <w:szCs w:val="16"/>
                <w:lang w:eastAsia="en-US"/>
              </w:rPr>
            </w:pPr>
            <w:r w:rsidRPr="00622884">
              <w:rPr>
                <w:rFonts w:ascii="Garamond" w:eastAsia="Calibri" w:hAnsi="Garamond" w:cs="Times New Roman"/>
                <w:sz w:val="16"/>
                <w:szCs w:val="16"/>
                <w:lang w:eastAsia="en-US" w:bidi="sq-AL"/>
              </w:rPr>
              <w:t>- OZHQ 9 (Industri, novacion dhe infrastrukturë)</w:t>
            </w:r>
          </w:p>
          <w:p w14:paraId="2673FC71" w14:textId="77777777" w:rsidR="00622884" w:rsidRPr="00622884" w:rsidRDefault="00622884" w:rsidP="00622884">
            <w:pPr>
              <w:spacing w:after="0" w:line="240" w:lineRule="auto"/>
              <w:jc w:val="left"/>
              <w:rPr>
                <w:rFonts w:ascii="Garamond" w:eastAsia="Calibri" w:hAnsi="Garamond" w:cs="Calibri Light"/>
                <w:sz w:val="16"/>
                <w:szCs w:val="16"/>
                <w:lang w:eastAsia="en-US"/>
              </w:rPr>
            </w:pPr>
            <w:r w:rsidRPr="00622884">
              <w:rPr>
                <w:rFonts w:ascii="Garamond" w:eastAsia="Calibri" w:hAnsi="Garamond" w:cs="Times New Roman"/>
                <w:sz w:val="16"/>
                <w:szCs w:val="16"/>
                <w:lang w:eastAsia="en-US" w:bidi="sq-AL"/>
              </w:rPr>
              <w:br/>
              <w:t>- Mbështet objektivat afatgjatë të përshtatjes të Shqipërisë.</w:t>
            </w:r>
          </w:p>
        </w:tc>
        <w:tc>
          <w:tcPr>
            <w:tcW w:w="840" w:type="pct"/>
            <w:tcBorders>
              <w:top w:val="single" w:sz="4" w:space="0" w:color="1D3C5A"/>
              <w:left w:val="single" w:sz="4" w:space="0" w:color="1D3C5A"/>
              <w:bottom w:val="single" w:sz="4" w:space="0" w:color="1D3C5A"/>
              <w:right w:val="single" w:sz="4" w:space="0" w:color="1D3C5A"/>
            </w:tcBorders>
            <w:vAlign w:val="center"/>
            <w:hideMark/>
          </w:tcPr>
          <w:p w14:paraId="4AA846A7" w14:textId="77777777" w:rsidR="00622884" w:rsidRPr="00622884" w:rsidRDefault="00622884" w:rsidP="00622884">
            <w:pPr>
              <w:spacing w:after="0" w:line="240" w:lineRule="auto"/>
              <w:jc w:val="left"/>
              <w:rPr>
                <w:rFonts w:ascii="Garamond" w:eastAsia="Calibri" w:hAnsi="Garamond" w:cs="Calibri Light"/>
                <w:sz w:val="16"/>
                <w:szCs w:val="16"/>
                <w:lang w:eastAsia="en-US"/>
              </w:rPr>
            </w:pPr>
            <w:r w:rsidRPr="00622884">
              <w:rPr>
                <w:rFonts w:ascii="Garamond" w:eastAsia="Calibri" w:hAnsi="Garamond" w:cs="Times New Roman"/>
                <w:sz w:val="16"/>
                <w:szCs w:val="16"/>
                <w:lang w:eastAsia="en-US" w:bidi="sq-AL"/>
              </w:rPr>
              <w:t>Planifikues të transportit, inxhinierë bashkiakë, zhvillues të infrastrukturës, politikëbërës</w:t>
            </w:r>
          </w:p>
        </w:tc>
      </w:tr>
      <w:tr w:rsidR="00622884" w:rsidRPr="00622884" w14:paraId="303CC7B8" w14:textId="77777777" w:rsidTr="00622884">
        <w:tc>
          <w:tcPr>
            <w:tcW w:w="467" w:type="pct"/>
            <w:tcBorders>
              <w:top w:val="single" w:sz="4" w:space="0" w:color="1D3C5A"/>
              <w:left w:val="single" w:sz="4" w:space="0" w:color="1D3C5A"/>
              <w:bottom w:val="single" w:sz="4" w:space="0" w:color="1D3C5A"/>
              <w:right w:val="single" w:sz="4" w:space="0" w:color="1D3C5A"/>
            </w:tcBorders>
            <w:vAlign w:val="center"/>
            <w:hideMark/>
          </w:tcPr>
          <w:p w14:paraId="2C84F0AA" w14:textId="77777777" w:rsidR="00622884" w:rsidRPr="00622884" w:rsidRDefault="00622884" w:rsidP="00622884">
            <w:pPr>
              <w:spacing w:after="0" w:line="240" w:lineRule="auto"/>
              <w:jc w:val="left"/>
              <w:rPr>
                <w:rFonts w:ascii="Garamond" w:eastAsia="Calibri" w:hAnsi="Garamond" w:cs="Calibri Light"/>
                <w:b/>
                <w:bCs/>
                <w:sz w:val="16"/>
                <w:szCs w:val="16"/>
                <w:lang w:eastAsia="en-US"/>
              </w:rPr>
            </w:pPr>
            <w:r w:rsidRPr="00622884">
              <w:rPr>
                <w:rFonts w:ascii="Garamond" w:eastAsia="Calibri" w:hAnsi="Garamond" w:cs="Times New Roman"/>
                <w:b/>
                <w:sz w:val="16"/>
                <w:szCs w:val="16"/>
                <w:lang w:eastAsia="en-US" w:bidi="sq-AL"/>
              </w:rPr>
              <w:t>Zhvillimi urban</w:t>
            </w:r>
          </w:p>
        </w:tc>
        <w:tc>
          <w:tcPr>
            <w:tcW w:w="608" w:type="pct"/>
            <w:tcBorders>
              <w:top w:val="single" w:sz="4" w:space="0" w:color="1D3C5A"/>
              <w:left w:val="single" w:sz="4" w:space="0" w:color="1D3C5A"/>
              <w:bottom w:val="single" w:sz="4" w:space="0" w:color="1D3C5A"/>
              <w:right w:val="single" w:sz="4" w:space="0" w:color="1D3C5A"/>
            </w:tcBorders>
            <w:vAlign w:val="center"/>
            <w:hideMark/>
          </w:tcPr>
          <w:p w14:paraId="03117D88" w14:textId="77777777" w:rsidR="00622884" w:rsidRPr="00622884" w:rsidRDefault="00622884" w:rsidP="00622884">
            <w:pPr>
              <w:spacing w:after="0" w:line="240" w:lineRule="auto"/>
              <w:jc w:val="left"/>
              <w:rPr>
                <w:rFonts w:ascii="Garamond" w:eastAsia="Calibri" w:hAnsi="Garamond" w:cs="Calibri Light"/>
                <w:sz w:val="16"/>
                <w:szCs w:val="16"/>
                <w:lang w:eastAsia="en-US"/>
              </w:rPr>
            </w:pPr>
            <w:r w:rsidRPr="00622884">
              <w:rPr>
                <w:rFonts w:ascii="Garamond" w:eastAsia="Calibri" w:hAnsi="Garamond" w:cs="Times New Roman"/>
                <w:sz w:val="16"/>
                <w:szCs w:val="16"/>
                <w:lang w:eastAsia="en-US" w:bidi="sq-AL"/>
              </w:rPr>
              <w:t>Infrastruktura e gjelbër, menaxhimi i riskut nga përmbytjet dhe planifikimi urban inteligjent ndaj klimës</w:t>
            </w:r>
          </w:p>
        </w:tc>
        <w:tc>
          <w:tcPr>
            <w:tcW w:w="1630" w:type="pct"/>
            <w:tcBorders>
              <w:top w:val="single" w:sz="4" w:space="0" w:color="1D3C5A"/>
              <w:left w:val="single" w:sz="4" w:space="0" w:color="1D3C5A"/>
              <w:bottom w:val="single" w:sz="4" w:space="0" w:color="1D3C5A"/>
              <w:right w:val="single" w:sz="4" w:space="0" w:color="1D3C5A"/>
            </w:tcBorders>
            <w:vAlign w:val="center"/>
            <w:hideMark/>
          </w:tcPr>
          <w:p w14:paraId="510980BB" w14:textId="77777777" w:rsidR="00622884" w:rsidRPr="00622884" w:rsidRDefault="00622884" w:rsidP="00622884">
            <w:pPr>
              <w:spacing w:after="0" w:line="240" w:lineRule="auto"/>
              <w:ind w:left="-54"/>
              <w:contextualSpacing/>
              <w:rPr>
                <w:rFonts w:ascii="Garamond" w:eastAsia="Calibri" w:hAnsi="Garamond" w:cs="Calibri Light"/>
                <w:sz w:val="16"/>
                <w:szCs w:val="16"/>
                <w:lang w:eastAsia="en-US"/>
              </w:rPr>
            </w:pPr>
            <w:r w:rsidRPr="00622884">
              <w:rPr>
                <w:rFonts w:ascii="Garamond" w:eastAsia="Calibri" w:hAnsi="Garamond" w:cs="Times New Roman"/>
                <w:sz w:val="16"/>
                <w:szCs w:val="16"/>
                <w:lang w:eastAsia="en-US" w:bidi="sq-AL"/>
              </w:rPr>
              <w:t>- Qytetet e gjelbra përmirësojnë cilësinë e ajrit, qëndrueshmërinë dhe cilësinë e jetës.</w:t>
            </w:r>
          </w:p>
          <w:p w14:paraId="749C53DC" w14:textId="77777777" w:rsidR="00622884" w:rsidRPr="00622884" w:rsidRDefault="00622884" w:rsidP="00622884">
            <w:pPr>
              <w:spacing w:after="0" w:line="240" w:lineRule="auto"/>
              <w:ind w:left="-54"/>
              <w:contextualSpacing/>
              <w:rPr>
                <w:rFonts w:ascii="Garamond" w:eastAsia="Calibri" w:hAnsi="Garamond" w:cs="Calibri Light"/>
                <w:sz w:val="16"/>
                <w:szCs w:val="16"/>
                <w:lang w:eastAsia="en-US"/>
              </w:rPr>
            </w:pPr>
            <w:r w:rsidRPr="00622884">
              <w:rPr>
                <w:rFonts w:ascii="Garamond" w:eastAsia="Calibri" w:hAnsi="Garamond" w:cs="Times New Roman"/>
                <w:sz w:val="16"/>
                <w:szCs w:val="16"/>
                <w:lang w:eastAsia="en-US" w:bidi="sq-AL"/>
              </w:rPr>
              <w:t>- Planifikimi inteligjent ndaj klimës ul risqet nga përmbytjet dhe i nxehti.</w:t>
            </w:r>
          </w:p>
          <w:p w14:paraId="2C4A0C2B" w14:textId="77777777" w:rsidR="00622884" w:rsidRPr="00622884" w:rsidRDefault="00622884" w:rsidP="00622884">
            <w:pPr>
              <w:spacing w:after="0" w:line="240" w:lineRule="auto"/>
              <w:ind w:left="-54"/>
              <w:contextualSpacing/>
              <w:rPr>
                <w:rFonts w:ascii="Garamond" w:eastAsia="Calibri" w:hAnsi="Garamond" w:cs="Calibri Light"/>
                <w:sz w:val="16"/>
                <w:szCs w:val="16"/>
                <w:lang w:eastAsia="en-US"/>
              </w:rPr>
            </w:pPr>
            <w:r w:rsidRPr="00622884">
              <w:rPr>
                <w:rFonts w:ascii="Garamond" w:eastAsia="Calibri" w:hAnsi="Garamond" w:cs="Times New Roman"/>
                <w:sz w:val="16"/>
                <w:szCs w:val="16"/>
                <w:lang w:eastAsia="en-US" w:bidi="sq-AL"/>
              </w:rPr>
              <w:t>- Përshtatja e udhëhequr nga komuniteti nxit rritjen dhe përgatitjen gjithëpërfshirëse.</w:t>
            </w:r>
          </w:p>
          <w:p w14:paraId="2FC1A12B" w14:textId="77777777" w:rsidR="00622884" w:rsidRPr="00622884" w:rsidRDefault="00622884" w:rsidP="00622884">
            <w:pPr>
              <w:spacing w:after="0" w:line="240" w:lineRule="auto"/>
              <w:ind w:left="-54"/>
              <w:contextualSpacing/>
              <w:rPr>
                <w:rFonts w:ascii="Garamond" w:eastAsia="Calibri" w:hAnsi="Garamond" w:cs="Calibri Light"/>
                <w:sz w:val="16"/>
                <w:szCs w:val="16"/>
                <w:lang w:eastAsia="en-US"/>
              </w:rPr>
            </w:pPr>
            <w:r w:rsidRPr="00622884">
              <w:rPr>
                <w:rFonts w:ascii="Garamond" w:eastAsia="Calibri" w:hAnsi="Garamond" w:cs="Times New Roman"/>
                <w:sz w:val="16"/>
                <w:szCs w:val="16"/>
                <w:lang w:eastAsia="en-US" w:bidi="sq-AL"/>
              </w:rPr>
              <w:t>Menaxhimi i përmbytjeve në zonat urbane mbron shtëpitë, bizneset dhe infrastrukturën kritike.</w:t>
            </w:r>
          </w:p>
        </w:tc>
        <w:tc>
          <w:tcPr>
            <w:tcW w:w="800" w:type="pct"/>
            <w:tcBorders>
              <w:top w:val="single" w:sz="4" w:space="0" w:color="1D3C5A"/>
              <w:left w:val="single" w:sz="4" w:space="0" w:color="1D3C5A"/>
              <w:bottom w:val="single" w:sz="4" w:space="0" w:color="1D3C5A"/>
              <w:right w:val="single" w:sz="4" w:space="0" w:color="1D3C5A"/>
            </w:tcBorders>
            <w:vAlign w:val="center"/>
          </w:tcPr>
          <w:p w14:paraId="3250B667" w14:textId="77777777" w:rsidR="00622884" w:rsidRPr="00622884" w:rsidRDefault="00622884" w:rsidP="00622884">
            <w:pPr>
              <w:spacing w:after="0" w:line="240" w:lineRule="auto"/>
              <w:jc w:val="left"/>
              <w:rPr>
                <w:rFonts w:ascii="Garamond" w:eastAsia="Calibri" w:hAnsi="Garamond" w:cs="Calibri Light"/>
                <w:sz w:val="16"/>
                <w:szCs w:val="16"/>
                <w:lang w:eastAsia="en-US"/>
              </w:rPr>
            </w:pPr>
            <w:r w:rsidRPr="00622884">
              <w:rPr>
                <w:rFonts w:ascii="Garamond" w:eastAsia="Calibri" w:hAnsi="Garamond" w:cs="Times New Roman"/>
                <w:sz w:val="16"/>
                <w:szCs w:val="16"/>
                <w:lang w:eastAsia="en-US" w:bidi="sq-AL"/>
              </w:rPr>
              <w:t>- Zvogëlon zonat e të nxehtit urban dhe risqet klimatike.</w:t>
            </w:r>
          </w:p>
          <w:p w14:paraId="5D7267B5" w14:textId="77777777" w:rsidR="00622884" w:rsidRPr="00622884" w:rsidRDefault="00622884" w:rsidP="00622884">
            <w:pPr>
              <w:spacing w:after="0" w:line="240" w:lineRule="auto"/>
              <w:jc w:val="left"/>
              <w:rPr>
                <w:rFonts w:ascii="Garamond" w:eastAsia="Calibri" w:hAnsi="Garamond" w:cs="Calibri Light"/>
                <w:sz w:val="16"/>
                <w:szCs w:val="16"/>
                <w:lang w:eastAsia="en-US"/>
              </w:rPr>
            </w:pPr>
            <w:r w:rsidRPr="00622884">
              <w:rPr>
                <w:rFonts w:ascii="Garamond" w:eastAsia="Calibri" w:hAnsi="Garamond" w:cs="Times New Roman"/>
                <w:sz w:val="16"/>
                <w:szCs w:val="16"/>
                <w:lang w:eastAsia="en-US" w:bidi="sq-AL"/>
              </w:rPr>
              <w:br/>
              <w:t>- Mbron banesat dhe infrastrukturën.</w:t>
            </w:r>
          </w:p>
          <w:p w14:paraId="09015FE0" w14:textId="77777777" w:rsidR="00622884" w:rsidRPr="00622884" w:rsidRDefault="00622884" w:rsidP="00622884">
            <w:pPr>
              <w:spacing w:after="0" w:line="240" w:lineRule="auto"/>
              <w:jc w:val="left"/>
              <w:rPr>
                <w:rFonts w:ascii="Garamond" w:eastAsia="Calibri" w:hAnsi="Garamond" w:cs="Calibri Light"/>
                <w:sz w:val="16"/>
                <w:szCs w:val="16"/>
                <w:lang w:eastAsia="en-US"/>
              </w:rPr>
            </w:pPr>
          </w:p>
          <w:p w14:paraId="14C7D50B" w14:textId="77777777" w:rsidR="00622884" w:rsidRPr="00622884" w:rsidRDefault="00622884" w:rsidP="00622884">
            <w:pPr>
              <w:spacing w:after="0" w:line="240" w:lineRule="auto"/>
              <w:jc w:val="left"/>
              <w:rPr>
                <w:rFonts w:ascii="Garamond" w:eastAsia="Calibri" w:hAnsi="Garamond" w:cs="Calibri Light"/>
                <w:sz w:val="16"/>
                <w:szCs w:val="16"/>
                <w:lang w:eastAsia="en-US"/>
              </w:rPr>
            </w:pPr>
            <w:r w:rsidRPr="00622884">
              <w:rPr>
                <w:rFonts w:ascii="Garamond" w:eastAsia="Calibri" w:hAnsi="Garamond" w:cs="Times New Roman"/>
                <w:sz w:val="16"/>
                <w:szCs w:val="16"/>
                <w:lang w:eastAsia="en-US" w:bidi="sq-AL"/>
              </w:rPr>
              <w:t>- Përmirëson aftësitë ripërtëritëse të komunitetit dhe gatishmërinë ndaj fatkeqësive.</w:t>
            </w:r>
          </w:p>
        </w:tc>
        <w:tc>
          <w:tcPr>
            <w:tcW w:w="655" w:type="pct"/>
            <w:tcBorders>
              <w:top w:val="single" w:sz="4" w:space="0" w:color="1D3C5A"/>
              <w:left w:val="single" w:sz="4" w:space="0" w:color="1D3C5A"/>
              <w:bottom w:val="single" w:sz="4" w:space="0" w:color="1D3C5A"/>
              <w:right w:val="single" w:sz="4" w:space="0" w:color="1D3C5A"/>
            </w:tcBorders>
            <w:vAlign w:val="center"/>
          </w:tcPr>
          <w:p w14:paraId="5144B11B" w14:textId="77777777" w:rsidR="00622884" w:rsidRPr="00622884" w:rsidRDefault="00622884" w:rsidP="00622884">
            <w:pPr>
              <w:spacing w:after="0" w:line="240" w:lineRule="auto"/>
              <w:jc w:val="left"/>
              <w:rPr>
                <w:rFonts w:ascii="Garamond" w:eastAsia="Calibri" w:hAnsi="Garamond" w:cs="Calibri Light"/>
                <w:sz w:val="16"/>
                <w:szCs w:val="16"/>
                <w:lang w:eastAsia="en-US"/>
              </w:rPr>
            </w:pPr>
            <w:r w:rsidRPr="00622884">
              <w:rPr>
                <w:rFonts w:ascii="Garamond" w:eastAsia="Calibri" w:hAnsi="Garamond" w:cs="Times New Roman"/>
                <w:sz w:val="16"/>
                <w:szCs w:val="16"/>
                <w:lang w:eastAsia="en-US" w:bidi="sq-AL"/>
              </w:rPr>
              <w:t>- OZHQ 11 (Qytete dhe komunitete të qëndrueshme).</w:t>
            </w:r>
          </w:p>
          <w:p w14:paraId="534B35CB" w14:textId="77777777" w:rsidR="00622884" w:rsidRPr="00622884" w:rsidRDefault="00622884" w:rsidP="00622884">
            <w:pPr>
              <w:spacing w:after="0" w:line="240" w:lineRule="auto"/>
              <w:jc w:val="left"/>
              <w:rPr>
                <w:rFonts w:ascii="Garamond" w:eastAsia="Calibri" w:hAnsi="Garamond" w:cs="Calibri Light"/>
                <w:sz w:val="16"/>
                <w:szCs w:val="16"/>
                <w:lang w:eastAsia="en-US"/>
              </w:rPr>
            </w:pPr>
            <w:r w:rsidRPr="00622884">
              <w:rPr>
                <w:rFonts w:ascii="Garamond" w:eastAsia="Calibri" w:hAnsi="Garamond" w:cs="Times New Roman"/>
                <w:sz w:val="16"/>
                <w:szCs w:val="16"/>
                <w:lang w:eastAsia="en-US" w:bidi="sq-AL"/>
              </w:rPr>
              <w:br/>
              <w:t>- Strategjia Kombëtare për Ndryshimet Klimatike.</w:t>
            </w:r>
          </w:p>
          <w:p w14:paraId="075B968C" w14:textId="77777777" w:rsidR="00622884" w:rsidRPr="00622884" w:rsidRDefault="00622884" w:rsidP="00622884">
            <w:pPr>
              <w:spacing w:after="0" w:line="240" w:lineRule="auto"/>
              <w:jc w:val="left"/>
              <w:rPr>
                <w:rFonts w:ascii="Garamond" w:eastAsia="Calibri" w:hAnsi="Garamond" w:cs="Calibri Light"/>
                <w:sz w:val="16"/>
                <w:szCs w:val="16"/>
                <w:lang w:eastAsia="en-US"/>
              </w:rPr>
            </w:pPr>
          </w:p>
          <w:p w14:paraId="5FAB3E9E" w14:textId="77777777" w:rsidR="00622884" w:rsidRPr="00622884" w:rsidRDefault="00622884" w:rsidP="00622884">
            <w:pPr>
              <w:spacing w:after="0" w:line="240" w:lineRule="auto"/>
              <w:jc w:val="left"/>
              <w:rPr>
                <w:rFonts w:ascii="Garamond" w:eastAsia="Calibri" w:hAnsi="Garamond" w:cs="Calibri Light"/>
                <w:sz w:val="16"/>
                <w:szCs w:val="16"/>
                <w:lang w:eastAsia="en-US"/>
              </w:rPr>
            </w:pPr>
            <w:r w:rsidRPr="00622884">
              <w:rPr>
                <w:rFonts w:ascii="Garamond" w:eastAsia="Calibri" w:hAnsi="Garamond" w:cs="Times New Roman"/>
                <w:sz w:val="16"/>
                <w:szCs w:val="16"/>
                <w:lang w:eastAsia="en-US" w:bidi="sq-AL"/>
              </w:rPr>
              <w:t>- Udhëzimet e BE-së për aftësitë ripërtëritëse urbane.</w:t>
            </w:r>
          </w:p>
        </w:tc>
        <w:tc>
          <w:tcPr>
            <w:tcW w:w="840" w:type="pct"/>
            <w:tcBorders>
              <w:top w:val="single" w:sz="4" w:space="0" w:color="1D3C5A"/>
              <w:left w:val="single" w:sz="4" w:space="0" w:color="1D3C5A"/>
              <w:bottom w:val="single" w:sz="4" w:space="0" w:color="1D3C5A"/>
              <w:right w:val="single" w:sz="4" w:space="0" w:color="1D3C5A"/>
            </w:tcBorders>
            <w:vAlign w:val="center"/>
            <w:hideMark/>
          </w:tcPr>
          <w:p w14:paraId="478E115C" w14:textId="77777777" w:rsidR="00622884" w:rsidRPr="00622884" w:rsidRDefault="00622884" w:rsidP="00622884">
            <w:pPr>
              <w:spacing w:after="0" w:line="240" w:lineRule="auto"/>
              <w:jc w:val="left"/>
              <w:rPr>
                <w:rFonts w:ascii="Garamond" w:eastAsia="Calibri" w:hAnsi="Garamond" w:cs="Calibri Light"/>
                <w:sz w:val="16"/>
                <w:szCs w:val="16"/>
                <w:lang w:eastAsia="en-US"/>
              </w:rPr>
            </w:pPr>
            <w:r w:rsidRPr="00622884">
              <w:rPr>
                <w:rFonts w:ascii="Garamond" w:eastAsia="Calibri" w:hAnsi="Garamond" w:cs="Times New Roman"/>
                <w:sz w:val="16"/>
                <w:szCs w:val="16"/>
                <w:lang w:eastAsia="en-US" w:bidi="sq-AL"/>
              </w:rPr>
              <w:t>Planifikues urbanë, arkitektë, udhëheqës bashkiakë, politikëbërës për strehimin, zhvillues privatë.</w:t>
            </w:r>
          </w:p>
        </w:tc>
        <w:bookmarkEnd w:id="296"/>
      </w:tr>
    </w:tbl>
    <w:p w14:paraId="26C6BAC2"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p>
    <w:p w14:paraId="30F760F2" w14:textId="77777777" w:rsidR="00622884" w:rsidRPr="00622884" w:rsidRDefault="00622884" w:rsidP="00622884">
      <w:pPr>
        <w:tabs>
          <w:tab w:val="left" w:pos="5325"/>
        </w:tabs>
        <w:spacing w:after="0" w:line="240" w:lineRule="auto"/>
        <w:ind w:firstLine="284"/>
        <w:rPr>
          <w:rFonts w:ascii="Garamond" w:eastAsia="Calibri" w:hAnsi="Garamond" w:cs="Times New Roman"/>
          <w:b/>
          <w:sz w:val="24"/>
          <w:szCs w:val="24"/>
          <w:lang w:eastAsia="en-US"/>
        </w:rPr>
      </w:pPr>
      <w:r w:rsidRPr="00622884">
        <w:rPr>
          <w:rFonts w:ascii="Garamond" w:eastAsia="Calibri" w:hAnsi="Garamond" w:cs="Times New Roman"/>
          <w:b/>
          <w:sz w:val="24"/>
          <w:szCs w:val="24"/>
          <w:lang w:eastAsia="en-US"/>
        </w:rPr>
        <w:t>8.4 Plani i veprimit për komunikim dhe angazhim të palëve të interesit</w:t>
      </w:r>
    </w:p>
    <w:p w14:paraId="1D4EEDCC"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r w:rsidRPr="00622884">
        <w:rPr>
          <w:rFonts w:ascii="Garamond" w:eastAsia="Calibri" w:hAnsi="Garamond" w:cs="Times New Roman"/>
          <w:sz w:val="24"/>
          <w:szCs w:val="24"/>
          <w:lang w:eastAsia="en-US"/>
        </w:rPr>
        <w:t>Mesazhet janë përfshirë në PKAPI-në e NAP-it, të cilat përmblidhen në tabelën 17:</w:t>
      </w:r>
    </w:p>
    <w:p w14:paraId="78056254" w14:textId="77777777" w:rsidR="00622884" w:rsidRPr="00622884" w:rsidRDefault="00622884" w:rsidP="00622884">
      <w:pPr>
        <w:tabs>
          <w:tab w:val="left" w:pos="5325"/>
        </w:tabs>
        <w:spacing w:after="0" w:line="240" w:lineRule="auto"/>
        <w:ind w:firstLine="284"/>
        <w:rPr>
          <w:rFonts w:ascii="Garamond" w:eastAsia="Calibri" w:hAnsi="Garamond" w:cs="Times New Roman"/>
          <w:sz w:val="8"/>
          <w:szCs w:val="24"/>
          <w:lang w:eastAsia="en-US"/>
        </w:rPr>
      </w:pPr>
    </w:p>
    <w:p w14:paraId="019A2BB4" w14:textId="77777777" w:rsidR="00622884" w:rsidRPr="00622884" w:rsidRDefault="00622884" w:rsidP="00622884">
      <w:pPr>
        <w:tabs>
          <w:tab w:val="left" w:pos="5325"/>
        </w:tabs>
        <w:spacing w:after="0" w:line="240" w:lineRule="auto"/>
        <w:ind w:firstLine="284"/>
        <w:rPr>
          <w:rFonts w:ascii="Garamond" w:eastAsia="Calibri" w:hAnsi="Garamond" w:cs="Times New Roman"/>
          <w:b/>
          <w:sz w:val="24"/>
          <w:szCs w:val="24"/>
          <w:lang w:eastAsia="en-US"/>
        </w:rPr>
      </w:pPr>
      <w:r w:rsidRPr="00622884">
        <w:rPr>
          <w:rFonts w:ascii="Garamond" w:eastAsia="Calibri" w:hAnsi="Garamond" w:cs="Times New Roman"/>
          <w:b/>
          <w:sz w:val="24"/>
          <w:szCs w:val="24"/>
          <w:lang w:eastAsia="en-US"/>
        </w:rPr>
        <w:t>Tabela 17: Plani i komunikimit dhe angazhimit të palëve të interesit.</w:t>
      </w:r>
    </w:p>
    <w:tbl>
      <w:tblPr>
        <w:tblW w:w="5539" w:type="pct"/>
        <w:jc w:val="center"/>
        <w:tblBorders>
          <w:top w:val="single" w:sz="4" w:space="0" w:color="1D3C5A"/>
          <w:left w:val="single" w:sz="4" w:space="0" w:color="1D3C5A"/>
          <w:bottom w:val="single" w:sz="4" w:space="0" w:color="1D3C5A"/>
          <w:right w:val="single" w:sz="4" w:space="0" w:color="1D3C5A"/>
          <w:insideH w:val="single" w:sz="4" w:space="0" w:color="1D3C5A"/>
          <w:insideV w:val="single" w:sz="4" w:space="0" w:color="1D3C5A"/>
        </w:tblBorders>
        <w:tblLook w:val="04A0" w:firstRow="1" w:lastRow="0" w:firstColumn="1" w:lastColumn="0" w:noHBand="0" w:noVBand="1"/>
      </w:tblPr>
      <w:tblGrid>
        <w:gridCol w:w="1998"/>
        <w:gridCol w:w="1889"/>
        <w:gridCol w:w="1401"/>
        <w:gridCol w:w="936"/>
        <w:gridCol w:w="1235"/>
        <w:gridCol w:w="1278"/>
        <w:gridCol w:w="1551"/>
      </w:tblGrid>
      <w:tr w:rsidR="00622884" w:rsidRPr="00622884" w14:paraId="6B3C11DD" w14:textId="77777777" w:rsidTr="00622884">
        <w:trPr>
          <w:jc w:val="center"/>
        </w:trPr>
        <w:tc>
          <w:tcPr>
            <w:tcW w:w="971" w:type="pct"/>
            <w:tcBorders>
              <w:top w:val="single" w:sz="4" w:space="0" w:color="1D3C5A"/>
              <w:left w:val="single" w:sz="4" w:space="0" w:color="1D3C5A"/>
              <w:bottom w:val="single" w:sz="4" w:space="0" w:color="1D3C5A"/>
              <w:right w:val="single" w:sz="4" w:space="0" w:color="1D3C5A"/>
            </w:tcBorders>
            <w:shd w:val="clear" w:color="auto" w:fill="215A5C"/>
            <w:vAlign w:val="center"/>
            <w:hideMark/>
          </w:tcPr>
          <w:p w14:paraId="128B3D2F" w14:textId="77777777" w:rsidR="00622884" w:rsidRPr="00622884" w:rsidRDefault="00622884" w:rsidP="00622884">
            <w:pPr>
              <w:spacing w:after="0" w:line="240" w:lineRule="auto"/>
              <w:jc w:val="left"/>
              <w:rPr>
                <w:rFonts w:ascii="Garamond" w:eastAsia="Calibri" w:hAnsi="Garamond" w:cs="Calibri Light"/>
                <w:b/>
                <w:bCs/>
                <w:sz w:val="16"/>
                <w:szCs w:val="16"/>
                <w:lang w:eastAsia="es-ES"/>
              </w:rPr>
            </w:pPr>
            <w:r w:rsidRPr="00622884">
              <w:rPr>
                <w:rFonts w:ascii="Garamond" w:eastAsia="Calibri" w:hAnsi="Garamond" w:cs="Times New Roman"/>
                <w:b/>
                <w:sz w:val="16"/>
                <w:szCs w:val="16"/>
                <w:lang w:eastAsia="en-US" w:bidi="sq-AL"/>
              </w:rPr>
              <w:t>Veprimtaritë</w:t>
            </w:r>
          </w:p>
        </w:tc>
        <w:tc>
          <w:tcPr>
            <w:tcW w:w="918" w:type="pct"/>
            <w:tcBorders>
              <w:top w:val="single" w:sz="4" w:space="0" w:color="1D3C5A"/>
              <w:left w:val="single" w:sz="4" w:space="0" w:color="1D3C5A"/>
              <w:bottom w:val="single" w:sz="4" w:space="0" w:color="1D3C5A"/>
              <w:right w:val="single" w:sz="4" w:space="0" w:color="1D3C5A"/>
            </w:tcBorders>
            <w:shd w:val="clear" w:color="auto" w:fill="215A5C"/>
            <w:vAlign w:val="center"/>
            <w:hideMark/>
          </w:tcPr>
          <w:p w14:paraId="02B6EEAC" w14:textId="77777777" w:rsidR="00622884" w:rsidRPr="00622884" w:rsidRDefault="00622884" w:rsidP="00622884">
            <w:pPr>
              <w:spacing w:after="0" w:line="240" w:lineRule="auto"/>
              <w:jc w:val="left"/>
              <w:rPr>
                <w:rFonts w:ascii="Garamond" w:eastAsia="Calibri" w:hAnsi="Garamond" w:cs="Calibri Light"/>
                <w:b/>
                <w:bCs/>
                <w:sz w:val="16"/>
                <w:szCs w:val="16"/>
                <w:lang w:eastAsia="es-ES"/>
              </w:rPr>
            </w:pPr>
            <w:r w:rsidRPr="00622884">
              <w:rPr>
                <w:rFonts w:ascii="Garamond" w:eastAsia="Calibri" w:hAnsi="Garamond" w:cs="Times New Roman"/>
                <w:b/>
                <w:sz w:val="16"/>
                <w:szCs w:val="16"/>
                <w:lang w:eastAsia="en-US" w:bidi="sq-AL"/>
              </w:rPr>
              <w:t>Treguesit</w:t>
            </w:r>
          </w:p>
        </w:tc>
        <w:tc>
          <w:tcPr>
            <w:tcW w:w="681" w:type="pct"/>
            <w:tcBorders>
              <w:top w:val="single" w:sz="4" w:space="0" w:color="1D3C5A"/>
              <w:left w:val="single" w:sz="4" w:space="0" w:color="1D3C5A"/>
              <w:bottom w:val="single" w:sz="4" w:space="0" w:color="1D3C5A"/>
              <w:right w:val="single" w:sz="4" w:space="0" w:color="1D3C5A"/>
            </w:tcBorders>
            <w:shd w:val="clear" w:color="auto" w:fill="215A5C"/>
            <w:vAlign w:val="center"/>
            <w:hideMark/>
          </w:tcPr>
          <w:p w14:paraId="3EEEFD1C" w14:textId="77777777" w:rsidR="00622884" w:rsidRPr="00622884" w:rsidRDefault="00622884" w:rsidP="00622884">
            <w:pPr>
              <w:spacing w:after="0" w:line="240" w:lineRule="auto"/>
              <w:jc w:val="left"/>
              <w:rPr>
                <w:rFonts w:ascii="Garamond" w:eastAsia="Calibri" w:hAnsi="Garamond" w:cs="Calibri Light"/>
                <w:b/>
                <w:bCs/>
                <w:sz w:val="16"/>
                <w:szCs w:val="16"/>
                <w:lang w:eastAsia="es-ES"/>
              </w:rPr>
            </w:pPr>
            <w:r w:rsidRPr="00622884">
              <w:rPr>
                <w:rFonts w:ascii="Garamond" w:eastAsia="Calibri" w:hAnsi="Garamond" w:cs="Times New Roman"/>
                <w:b/>
                <w:sz w:val="16"/>
                <w:szCs w:val="16"/>
                <w:lang w:eastAsia="en-US" w:bidi="sq-AL"/>
              </w:rPr>
              <w:t>Synimi</w:t>
            </w:r>
          </w:p>
        </w:tc>
        <w:tc>
          <w:tcPr>
            <w:tcW w:w="455" w:type="pct"/>
            <w:tcBorders>
              <w:top w:val="single" w:sz="4" w:space="0" w:color="1D3C5A"/>
              <w:left w:val="single" w:sz="4" w:space="0" w:color="1D3C5A"/>
              <w:bottom w:val="single" w:sz="4" w:space="0" w:color="1D3C5A"/>
              <w:right w:val="single" w:sz="4" w:space="0" w:color="1D3C5A"/>
            </w:tcBorders>
            <w:shd w:val="clear" w:color="auto" w:fill="215A5C"/>
            <w:vAlign w:val="center"/>
            <w:hideMark/>
          </w:tcPr>
          <w:p w14:paraId="7170FB58" w14:textId="77777777" w:rsidR="00622884" w:rsidRPr="00622884" w:rsidRDefault="00622884" w:rsidP="00622884">
            <w:pPr>
              <w:spacing w:after="0" w:line="240" w:lineRule="auto"/>
              <w:jc w:val="left"/>
              <w:rPr>
                <w:rFonts w:ascii="Garamond" w:eastAsia="Calibri" w:hAnsi="Garamond" w:cs="Calibri Light"/>
                <w:b/>
                <w:bCs/>
                <w:sz w:val="16"/>
                <w:szCs w:val="16"/>
                <w:lang w:eastAsia="es-ES"/>
              </w:rPr>
            </w:pPr>
            <w:r w:rsidRPr="00622884">
              <w:rPr>
                <w:rFonts w:ascii="Garamond" w:eastAsia="Calibri" w:hAnsi="Garamond" w:cs="Times New Roman"/>
                <w:b/>
                <w:sz w:val="16"/>
                <w:szCs w:val="16"/>
                <w:lang w:eastAsia="en-US" w:bidi="sq-AL"/>
              </w:rPr>
              <w:t>Periudha kohore</w:t>
            </w:r>
          </w:p>
        </w:tc>
        <w:tc>
          <w:tcPr>
            <w:tcW w:w="600" w:type="pct"/>
            <w:tcBorders>
              <w:top w:val="single" w:sz="4" w:space="0" w:color="1D3C5A"/>
              <w:left w:val="single" w:sz="4" w:space="0" w:color="1D3C5A"/>
              <w:bottom w:val="single" w:sz="4" w:space="0" w:color="1D3C5A"/>
              <w:right w:val="single" w:sz="4" w:space="0" w:color="1D3C5A"/>
            </w:tcBorders>
            <w:shd w:val="clear" w:color="auto" w:fill="215A5C"/>
            <w:vAlign w:val="center"/>
            <w:hideMark/>
          </w:tcPr>
          <w:p w14:paraId="166741CD" w14:textId="77777777" w:rsidR="00622884" w:rsidRPr="00622884" w:rsidRDefault="00622884" w:rsidP="00622884">
            <w:pPr>
              <w:spacing w:after="0" w:line="240" w:lineRule="auto"/>
              <w:jc w:val="left"/>
              <w:rPr>
                <w:rFonts w:ascii="Garamond" w:eastAsia="Calibri" w:hAnsi="Garamond" w:cs="Calibri Light"/>
                <w:b/>
                <w:bCs/>
                <w:sz w:val="16"/>
                <w:szCs w:val="16"/>
                <w:lang w:eastAsia="es-ES"/>
              </w:rPr>
            </w:pPr>
            <w:r w:rsidRPr="00622884">
              <w:rPr>
                <w:rFonts w:ascii="Garamond" w:eastAsia="Calibri" w:hAnsi="Garamond" w:cs="Times New Roman"/>
                <w:b/>
                <w:sz w:val="16"/>
                <w:szCs w:val="16"/>
                <w:lang w:eastAsia="en-US" w:bidi="sq-AL"/>
              </w:rPr>
              <w:t>Palët përgjegjëse</w:t>
            </w:r>
          </w:p>
        </w:tc>
        <w:tc>
          <w:tcPr>
            <w:tcW w:w="621" w:type="pct"/>
            <w:tcBorders>
              <w:top w:val="single" w:sz="4" w:space="0" w:color="1D3C5A"/>
              <w:left w:val="single" w:sz="4" w:space="0" w:color="1D3C5A"/>
              <w:bottom w:val="single" w:sz="4" w:space="0" w:color="1D3C5A"/>
              <w:right w:val="single" w:sz="4" w:space="0" w:color="1D3C5A"/>
            </w:tcBorders>
            <w:shd w:val="clear" w:color="auto" w:fill="215A5C"/>
            <w:vAlign w:val="center"/>
            <w:hideMark/>
          </w:tcPr>
          <w:p w14:paraId="12541F6E" w14:textId="77777777" w:rsidR="00622884" w:rsidRPr="00622884" w:rsidRDefault="00622884" w:rsidP="00622884">
            <w:pPr>
              <w:spacing w:after="0" w:line="240" w:lineRule="auto"/>
              <w:jc w:val="left"/>
              <w:rPr>
                <w:rFonts w:ascii="Garamond" w:eastAsia="Calibri" w:hAnsi="Garamond" w:cs="Calibri Light"/>
                <w:b/>
                <w:bCs/>
                <w:sz w:val="16"/>
                <w:szCs w:val="16"/>
                <w:lang w:eastAsia="es-ES"/>
              </w:rPr>
            </w:pPr>
            <w:r w:rsidRPr="00622884">
              <w:rPr>
                <w:rFonts w:ascii="Garamond" w:eastAsia="Calibri" w:hAnsi="Garamond" w:cs="Times New Roman"/>
                <w:b/>
                <w:sz w:val="16"/>
                <w:szCs w:val="16"/>
                <w:lang w:eastAsia="en-US" w:bidi="sq-AL"/>
              </w:rPr>
              <w:t>Buxheti tregues (dollarë amerikanë)</w:t>
            </w:r>
            <w:r w:rsidRPr="00622884">
              <w:rPr>
                <w:rFonts w:ascii="Garamond" w:eastAsia="Calibri" w:hAnsi="Garamond" w:cs="Times New Roman"/>
                <w:b/>
                <w:sz w:val="16"/>
                <w:szCs w:val="16"/>
                <w:vertAlign w:val="superscript"/>
                <w:lang w:eastAsia="en-US" w:bidi="sq-AL"/>
              </w:rPr>
              <w:footnoteReference w:id="219"/>
            </w:r>
          </w:p>
        </w:tc>
        <w:tc>
          <w:tcPr>
            <w:tcW w:w="754" w:type="pct"/>
            <w:tcBorders>
              <w:top w:val="single" w:sz="4" w:space="0" w:color="1D3C5A"/>
              <w:left w:val="single" w:sz="4" w:space="0" w:color="1D3C5A"/>
              <w:bottom w:val="single" w:sz="4" w:space="0" w:color="1D3C5A"/>
              <w:right w:val="single" w:sz="4" w:space="0" w:color="1D3C5A"/>
            </w:tcBorders>
            <w:shd w:val="clear" w:color="auto" w:fill="215A5C"/>
            <w:vAlign w:val="center"/>
            <w:hideMark/>
          </w:tcPr>
          <w:p w14:paraId="40467D27" w14:textId="77777777" w:rsidR="00622884" w:rsidRPr="00622884" w:rsidRDefault="00622884" w:rsidP="00622884">
            <w:pPr>
              <w:spacing w:after="0" w:line="240" w:lineRule="auto"/>
              <w:jc w:val="left"/>
              <w:rPr>
                <w:rFonts w:ascii="Garamond" w:eastAsia="Calibri" w:hAnsi="Garamond" w:cs="Calibri Light"/>
                <w:b/>
                <w:bCs/>
                <w:sz w:val="16"/>
                <w:szCs w:val="16"/>
                <w:lang w:eastAsia="es-ES"/>
              </w:rPr>
            </w:pPr>
            <w:r w:rsidRPr="00622884">
              <w:rPr>
                <w:rFonts w:ascii="Garamond" w:eastAsia="Calibri" w:hAnsi="Garamond" w:cs="Times New Roman"/>
                <w:b/>
                <w:sz w:val="16"/>
                <w:szCs w:val="16"/>
                <w:lang w:eastAsia="en-US" w:bidi="sq-AL"/>
              </w:rPr>
              <w:t>Potenciali i ndikimit në komunikim</w:t>
            </w:r>
          </w:p>
        </w:tc>
      </w:tr>
      <w:tr w:rsidR="00622884" w:rsidRPr="00622884" w14:paraId="0AE5C4C9" w14:textId="77777777" w:rsidTr="00622884">
        <w:trPr>
          <w:jc w:val="center"/>
        </w:trPr>
        <w:tc>
          <w:tcPr>
            <w:tcW w:w="5000" w:type="pct"/>
            <w:gridSpan w:val="7"/>
            <w:tcBorders>
              <w:top w:val="single" w:sz="4" w:space="0" w:color="1D3C5A"/>
              <w:left w:val="single" w:sz="4" w:space="0" w:color="1D3C5A"/>
              <w:bottom w:val="single" w:sz="4" w:space="0" w:color="1D3C5A"/>
              <w:right w:val="single" w:sz="4" w:space="0" w:color="1D3C5A"/>
            </w:tcBorders>
            <w:shd w:val="clear" w:color="auto" w:fill="D6F2E9"/>
            <w:vAlign w:val="center"/>
            <w:hideMark/>
          </w:tcPr>
          <w:p w14:paraId="7A863D2C" w14:textId="77777777" w:rsidR="00622884" w:rsidRPr="00622884" w:rsidRDefault="00622884" w:rsidP="00622884">
            <w:pPr>
              <w:spacing w:after="0" w:line="240" w:lineRule="auto"/>
              <w:jc w:val="left"/>
              <w:rPr>
                <w:rFonts w:ascii="Garamond" w:eastAsia="Calibri" w:hAnsi="Garamond" w:cs="Calibri Light"/>
                <w:b/>
                <w:bCs/>
                <w:sz w:val="16"/>
                <w:szCs w:val="16"/>
                <w:lang w:eastAsia="es-ES"/>
              </w:rPr>
            </w:pPr>
            <w:r w:rsidRPr="00622884">
              <w:rPr>
                <w:rFonts w:ascii="Garamond" w:eastAsia="Calibri" w:hAnsi="Garamond" w:cs="Times New Roman"/>
                <w:b/>
                <w:sz w:val="16"/>
                <w:szCs w:val="16"/>
                <w:lang w:eastAsia="en-US" w:bidi="sq-AL"/>
              </w:rPr>
              <w:t>Objektivi 1: Rritja e ndërgjegjësimit për klimën</w:t>
            </w:r>
          </w:p>
        </w:tc>
      </w:tr>
      <w:tr w:rsidR="00622884" w:rsidRPr="00622884" w14:paraId="515EDD3C" w14:textId="77777777" w:rsidTr="00622884">
        <w:trPr>
          <w:jc w:val="center"/>
        </w:trPr>
        <w:tc>
          <w:tcPr>
            <w:tcW w:w="971" w:type="pct"/>
            <w:tcBorders>
              <w:top w:val="single" w:sz="4" w:space="0" w:color="1D3C5A"/>
              <w:left w:val="single" w:sz="4" w:space="0" w:color="1D3C5A"/>
              <w:bottom w:val="single" w:sz="4" w:space="0" w:color="1D3C5A"/>
              <w:right w:val="single" w:sz="4" w:space="0" w:color="1D3C5A"/>
            </w:tcBorders>
            <w:vAlign w:val="center"/>
            <w:hideMark/>
          </w:tcPr>
          <w:p w14:paraId="2BBB19FA" w14:textId="77777777" w:rsidR="00622884" w:rsidRPr="00622884" w:rsidRDefault="00622884" w:rsidP="00622884">
            <w:pPr>
              <w:spacing w:after="0" w:line="240" w:lineRule="auto"/>
              <w:jc w:val="left"/>
              <w:rPr>
                <w:rFonts w:ascii="Garamond" w:eastAsia="Calibri" w:hAnsi="Garamond" w:cs="Calibri Light"/>
                <w:sz w:val="16"/>
                <w:szCs w:val="16"/>
                <w:lang w:eastAsia="es-ES"/>
              </w:rPr>
            </w:pPr>
            <w:r w:rsidRPr="00622884">
              <w:rPr>
                <w:rFonts w:ascii="Garamond" w:eastAsia="Calibri" w:hAnsi="Garamond" w:cs="Times New Roman"/>
                <w:sz w:val="16"/>
                <w:szCs w:val="16"/>
                <w:lang w:eastAsia="en-US" w:bidi="sq-AL"/>
              </w:rPr>
              <w:t xml:space="preserve">Të zhvillohen fushata multimediale specifike për sektorin (TV, radio dhe media sociale) duke u </w:t>
            </w:r>
            <w:r w:rsidRPr="00622884">
              <w:rPr>
                <w:rFonts w:ascii="Garamond" w:eastAsia="Calibri" w:hAnsi="Garamond" w:cs="Times New Roman"/>
                <w:sz w:val="16"/>
                <w:szCs w:val="16"/>
                <w:lang w:eastAsia="en-US" w:bidi="sq-AL"/>
              </w:rPr>
              <w:lastRenderedPageBreak/>
              <w:t>përqendruar në përshtatjen ndaj klimës në pesë fusha zhvillimi,</w:t>
            </w:r>
            <w:r w:rsidRPr="00622884">
              <w:rPr>
                <w:rFonts w:ascii="Garamond" w:eastAsia="Calibri" w:hAnsi="Garamond" w:cs="Times New Roman"/>
                <w:sz w:val="16"/>
                <w:szCs w:val="16"/>
                <w:lang w:eastAsia="en-US"/>
              </w:rPr>
              <w:t xml:space="preserve"> </w:t>
            </w:r>
            <w:r w:rsidRPr="00622884">
              <w:rPr>
                <w:rFonts w:ascii="Garamond" w:eastAsia="Calibri" w:hAnsi="Garamond" w:cs="Times New Roman"/>
                <w:sz w:val="16"/>
                <w:szCs w:val="16"/>
                <w:lang w:eastAsia="en-US" w:bidi="sq-AL"/>
              </w:rPr>
              <w:t>përfshirë materiale edukative të përshtatshme për moshën për shkollat fillore dhe të mesme, si dhe organizimin e aktiviteteve komunitare të ndërgjegjësimit</w:t>
            </w:r>
          </w:p>
        </w:tc>
        <w:tc>
          <w:tcPr>
            <w:tcW w:w="918" w:type="pct"/>
            <w:tcBorders>
              <w:top w:val="single" w:sz="4" w:space="0" w:color="1D3C5A"/>
              <w:left w:val="single" w:sz="4" w:space="0" w:color="1D3C5A"/>
              <w:bottom w:val="single" w:sz="4" w:space="0" w:color="1D3C5A"/>
              <w:right w:val="single" w:sz="4" w:space="0" w:color="1D3C5A"/>
            </w:tcBorders>
            <w:vAlign w:val="center"/>
          </w:tcPr>
          <w:p w14:paraId="43E0662F" w14:textId="77777777" w:rsidR="00622884" w:rsidRPr="00622884" w:rsidRDefault="00622884" w:rsidP="00622884">
            <w:pPr>
              <w:spacing w:after="0" w:line="240" w:lineRule="auto"/>
              <w:jc w:val="left"/>
              <w:rPr>
                <w:rFonts w:ascii="Garamond" w:eastAsia="Calibri" w:hAnsi="Garamond" w:cs="Calibri Light"/>
                <w:sz w:val="16"/>
                <w:szCs w:val="16"/>
                <w:lang w:eastAsia="es-ES"/>
              </w:rPr>
            </w:pPr>
            <w:r w:rsidRPr="00622884">
              <w:rPr>
                <w:rFonts w:ascii="Garamond" w:eastAsia="Calibri" w:hAnsi="Garamond" w:cs="Times New Roman"/>
                <w:sz w:val="16"/>
                <w:szCs w:val="16"/>
                <w:lang w:eastAsia="en-US" w:bidi="sq-AL"/>
              </w:rPr>
              <w:lastRenderedPageBreak/>
              <w:t>Numri i fushatave</w:t>
            </w:r>
          </w:p>
          <w:p w14:paraId="12BCF52A" w14:textId="77777777" w:rsidR="00622884" w:rsidRPr="00622884" w:rsidRDefault="00622884" w:rsidP="00622884">
            <w:pPr>
              <w:spacing w:after="0" w:line="240" w:lineRule="auto"/>
              <w:jc w:val="left"/>
              <w:rPr>
                <w:rFonts w:ascii="Garamond" w:eastAsia="Calibri" w:hAnsi="Garamond" w:cs="Calibri Light"/>
                <w:sz w:val="16"/>
                <w:szCs w:val="16"/>
                <w:lang w:eastAsia="es-ES"/>
              </w:rPr>
            </w:pPr>
          </w:p>
          <w:p w14:paraId="761608CC" w14:textId="77777777" w:rsidR="00622884" w:rsidRPr="00622884" w:rsidRDefault="00622884" w:rsidP="00622884">
            <w:pPr>
              <w:spacing w:after="0" w:line="240" w:lineRule="auto"/>
              <w:jc w:val="left"/>
              <w:rPr>
                <w:rFonts w:ascii="Garamond" w:eastAsia="Calibri" w:hAnsi="Garamond" w:cs="Calibri Light"/>
                <w:sz w:val="16"/>
                <w:szCs w:val="16"/>
                <w:lang w:eastAsia="es-ES"/>
              </w:rPr>
            </w:pPr>
            <w:r w:rsidRPr="00622884">
              <w:rPr>
                <w:rFonts w:ascii="Garamond" w:eastAsia="Calibri" w:hAnsi="Garamond" w:cs="Times New Roman"/>
                <w:sz w:val="16"/>
                <w:szCs w:val="16"/>
                <w:lang w:eastAsia="en-US" w:bidi="sq-AL"/>
              </w:rPr>
              <w:t>Numri i audiencave të arritura</w:t>
            </w:r>
          </w:p>
        </w:tc>
        <w:tc>
          <w:tcPr>
            <w:tcW w:w="681" w:type="pct"/>
            <w:tcBorders>
              <w:top w:val="single" w:sz="4" w:space="0" w:color="1D3C5A"/>
              <w:left w:val="single" w:sz="4" w:space="0" w:color="1D3C5A"/>
              <w:bottom w:val="single" w:sz="4" w:space="0" w:color="1D3C5A"/>
              <w:right w:val="single" w:sz="4" w:space="0" w:color="1D3C5A"/>
            </w:tcBorders>
            <w:vAlign w:val="center"/>
          </w:tcPr>
          <w:p w14:paraId="465C7152" w14:textId="77777777" w:rsidR="00622884" w:rsidRPr="00622884" w:rsidRDefault="00622884" w:rsidP="00622884">
            <w:pPr>
              <w:spacing w:after="0" w:line="240" w:lineRule="auto"/>
              <w:jc w:val="left"/>
              <w:rPr>
                <w:rFonts w:ascii="Garamond" w:eastAsia="Calibri" w:hAnsi="Garamond" w:cs="Calibri Light"/>
                <w:sz w:val="16"/>
                <w:szCs w:val="16"/>
                <w:lang w:eastAsia="es-ES"/>
              </w:rPr>
            </w:pPr>
            <w:r w:rsidRPr="00622884">
              <w:rPr>
                <w:rFonts w:ascii="Garamond" w:eastAsia="Calibri" w:hAnsi="Garamond" w:cs="Times New Roman"/>
                <w:sz w:val="16"/>
                <w:szCs w:val="16"/>
                <w:lang w:eastAsia="en-US" w:bidi="sq-AL"/>
              </w:rPr>
              <w:t>6 fushata</w:t>
            </w:r>
          </w:p>
          <w:p w14:paraId="63743054" w14:textId="77777777" w:rsidR="00622884" w:rsidRPr="00622884" w:rsidRDefault="00622884" w:rsidP="00622884">
            <w:pPr>
              <w:spacing w:after="0" w:line="240" w:lineRule="auto"/>
              <w:jc w:val="left"/>
              <w:rPr>
                <w:rFonts w:ascii="Garamond" w:eastAsia="Calibri" w:hAnsi="Garamond" w:cs="Calibri Light"/>
                <w:sz w:val="16"/>
                <w:szCs w:val="16"/>
                <w:lang w:eastAsia="es-ES"/>
              </w:rPr>
            </w:pPr>
            <w:r w:rsidRPr="00622884">
              <w:rPr>
                <w:rFonts w:ascii="Garamond" w:eastAsia="Calibri" w:hAnsi="Garamond" w:cs="Times New Roman"/>
                <w:sz w:val="16"/>
                <w:szCs w:val="16"/>
                <w:lang w:eastAsia="en-US" w:bidi="sq-AL"/>
              </w:rPr>
              <w:t xml:space="preserve">(5 për secilin sektor dhe një e përgjithshme) </w:t>
            </w:r>
          </w:p>
          <w:p w14:paraId="7B6EE2AD" w14:textId="77777777" w:rsidR="00622884" w:rsidRPr="00622884" w:rsidRDefault="00622884" w:rsidP="00622884">
            <w:pPr>
              <w:spacing w:after="0" w:line="240" w:lineRule="auto"/>
              <w:jc w:val="left"/>
              <w:rPr>
                <w:rFonts w:ascii="Garamond" w:eastAsia="Calibri" w:hAnsi="Garamond" w:cs="Calibri Light"/>
                <w:sz w:val="16"/>
                <w:szCs w:val="16"/>
                <w:lang w:eastAsia="es-ES"/>
              </w:rPr>
            </w:pPr>
          </w:p>
          <w:p w14:paraId="67FAF0B8" w14:textId="77777777" w:rsidR="00622884" w:rsidRPr="00622884" w:rsidRDefault="00622884" w:rsidP="00622884">
            <w:pPr>
              <w:spacing w:after="0" w:line="240" w:lineRule="auto"/>
              <w:jc w:val="left"/>
              <w:rPr>
                <w:rFonts w:ascii="Garamond" w:eastAsia="Calibri" w:hAnsi="Garamond" w:cs="Calibri Light"/>
                <w:sz w:val="16"/>
                <w:szCs w:val="16"/>
                <w:lang w:eastAsia="es-ES"/>
              </w:rPr>
            </w:pPr>
            <w:r w:rsidRPr="00622884">
              <w:rPr>
                <w:rFonts w:ascii="Garamond" w:eastAsia="Calibri" w:hAnsi="Garamond" w:cs="Times New Roman"/>
                <w:sz w:val="16"/>
                <w:szCs w:val="16"/>
                <w:lang w:eastAsia="en-US" w:bidi="sq-AL"/>
              </w:rPr>
              <w:t>1.000.000 shikime/dëgjues</w:t>
            </w:r>
          </w:p>
        </w:tc>
        <w:tc>
          <w:tcPr>
            <w:tcW w:w="455" w:type="pct"/>
            <w:tcBorders>
              <w:top w:val="single" w:sz="4" w:space="0" w:color="1D3C5A"/>
              <w:left w:val="single" w:sz="4" w:space="0" w:color="1D3C5A"/>
              <w:bottom w:val="single" w:sz="4" w:space="0" w:color="1D3C5A"/>
              <w:right w:val="single" w:sz="4" w:space="0" w:color="1D3C5A"/>
            </w:tcBorders>
            <w:vAlign w:val="center"/>
            <w:hideMark/>
          </w:tcPr>
          <w:p w14:paraId="20F1B603" w14:textId="77777777" w:rsidR="00622884" w:rsidRPr="00622884" w:rsidRDefault="00622884" w:rsidP="00622884">
            <w:pPr>
              <w:spacing w:after="0" w:line="240" w:lineRule="auto"/>
              <w:jc w:val="left"/>
              <w:rPr>
                <w:rFonts w:ascii="Garamond" w:eastAsia="Calibri" w:hAnsi="Garamond" w:cs="Calibri Light"/>
                <w:sz w:val="16"/>
                <w:szCs w:val="16"/>
                <w:lang w:eastAsia="es-ES"/>
              </w:rPr>
            </w:pPr>
            <w:r w:rsidRPr="00622884">
              <w:rPr>
                <w:rFonts w:ascii="Garamond" w:eastAsia="Calibri" w:hAnsi="Garamond" w:cs="Times New Roman"/>
                <w:sz w:val="16"/>
                <w:szCs w:val="16"/>
                <w:lang w:eastAsia="en-US" w:bidi="sq-AL"/>
              </w:rPr>
              <w:lastRenderedPageBreak/>
              <w:t>Janar 2026 – dhjetor 2028</w:t>
            </w:r>
          </w:p>
        </w:tc>
        <w:tc>
          <w:tcPr>
            <w:tcW w:w="600" w:type="pct"/>
            <w:tcBorders>
              <w:top w:val="single" w:sz="4" w:space="0" w:color="1D3C5A"/>
              <w:left w:val="single" w:sz="4" w:space="0" w:color="1D3C5A"/>
              <w:bottom w:val="single" w:sz="4" w:space="0" w:color="1D3C5A"/>
              <w:right w:val="single" w:sz="4" w:space="0" w:color="1D3C5A"/>
            </w:tcBorders>
            <w:vAlign w:val="center"/>
            <w:hideMark/>
          </w:tcPr>
          <w:p w14:paraId="73E04B88" w14:textId="77777777" w:rsidR="00622884" w:rsidRPr="00622884" w:rsidRDefault="00622884" w:rsidP="00622884">
            <w:pPr>
              <w:spacing w:after="0" w:line="240" w:lineRule="auto"/>
              <w:jc w:val="left"/>
              <w:rPr>
                <w:rFonts w:ascii="Garamond" w:eastAsia="Calibri" w:hAnsi="Garamond" w:cs="Calibri Light"/>
                <w:sz w:val="16"/>
                <w:szCs w:val="16"/>
                <w:lang w:eastAsia="es-ES"/>
              </w:rPr>
            </w:pPr>
            <w:r w:rsidRPr="00622884">
              <w:rPr>
                <w:rFonts w:ascii="Garamond" w:eastAsia="Calibri" w:hAnsi="Garamond" w:cs="Times New Roman"/>
                <w:sz w:val="16"/>
                <w:szCs w:val="16"/>
                <w:lang w:eastAsia="en-US" w:bidi="sq-AL"/>
              </w:rPr>
              <w:t xml:space="preserve">Ekipi i NAP-it dhe ekspertët e komunikimit dhe shoqëritë </w:t>
            </w:r>
            <w:r w:rsidRPr="00622884">
              <w:rPr>
                <w:rFonts w:ascii="Garamond" w:eastAsia="Calibri" w:hAnsi="Garamond" w:cs="Times New Roman"/>
                <w:sz w:val="16"/>
                <w:szCs w:val="16"/>
                <w:lang w:eastAsia="en-US" w:bidi="sq-AL"/>
              </w:rPr>
              <w:lastRenderedPageBreak/>
              <w:t>mediatike</w:t>
            </w:r>
          </w:p>
        </w:tc>
        <w:tc>
          <w:tcPr>
            <w:tcW w:w="621" w:type="pct"/>
            <w:tcBorders>
              <w:top w:val="single" w:sz="4" w:space="0" w:color="1D3C5A"/>
              <w:left w:val="single" w:sz="4" w:space="0" w:color="1D3C5A"/>
              <w:bottom w:val="single" w:sz="4" w:space="0" w:color="1D3C5A"/>
              <w:right w:val="single" w:sz="4" w:space="0" w:color="1D3C5A"/>
            </w:tcBorders>
            <w:vAlign w:val="center"/>
            <w:hideMark/>
          </w:tcPr>
          <w:p w14:paraId="7EBE9451" w14:textId="77777777" w:rsidR="00622884" w:rsidRPr="00622884" w:rsidRDefault="00622884" w:rsidP="00622884">
            <w:pPr>
              <w:spacing w:after="0" w:line="240" w:lineRule="auto"/>
              <w:jc w:val="left"/>
              <w:rPr>
                <w:rFonts w:ascii="Garamond" w:eastAsia="Calibri" w:hAnsi="Garamond" w:cs="Calibri Light"/>
                <w:sz w:val="16"/>
                <w:szCs w:val="16"/>
                <w:lang w:eastAsia="es-ES"/>
              </w:rPr>
            </w:pPr>
            <w:r w:rsidRPr="00622884">
              <w:rPr>
                <w:rFonts w:ascii="Garamond" w:eastAsia="Calibri" w:hAnsi="Garamond" w:cs="Times New Roman"/>
                <w:sz w:val="16"/>
                <w:szCs w:val="16"/>
                <w:lang w:eastAsia="en-US" w:bidi="sq-AL"/>
              </w:rPr>
              <w:lastRenderedPageBreak/>
              <w:t>500.000</w:t>
            </w:r>
          </w:p>
        </w:tc>
        <w:tc>
          <w:tcPr>
            <w:tcW w:w="754" w:type="pct"/>
            <w:tcBorders>
              <w:top w:val="single" w:sz="4" w:space="0" w:color="1D3C5A"/>
              <w:left w:val="single" w:sz="4" w:space="0" w:color="1D3C5A"/>
              <w:bottom w:val="single" w:sz="4" w:space="0" w:color="1D3C5A"/>
              <w:right w:val="single" w:sz="4" w:space="0" w:color="1D3C5A"/>
            </w:tcBorders>
            <w:vAlign w:val="center"/>
            <w:hideMark/>
          </w:tcPr>
          <w:p w14:paraId="704CE7A0" w14:textId="77777777" w:rsidR="00622884" w:rsidRPr="00622884" w:rsidRDefault="00622884" w:rsidP="00622884">
            <w:pPr>
              <w:spacing w:after="0" w:line="240" w:lineRule="auto"/>
              <w:jc w:val="left"/>
              <w:rPr>
                <w:rFonts w:ascii="Garamond" w:eastAsia="Calibri" w:hAnsi="Garamond" w:cs="Calibri Light"/>
                <w:sz w:val="16"/>
                <w:szCs w:val="16"/>
                <w:lang w:eastAsia="es-ES"/>
              </w:rPr>
            </w:pPr>
            <w:r w:rsidRPr="00622884">
              <w:rPr>
                <w:rFonts w:ascii="Garamond" w:eastAsia="Calibri" w:hAnsi="Garamond" w:cs="Times New Roman"/>
                <w:sz w:val="16"/>
                <w:szCs w:val="16"/>
                <w:lang w:eastAsia="en-US" w:bidi="sq-AL"/>
              </w:rPr>
              <w:t xml:space="preserve">Ndërgjegjësim mbarëkombëtar, i përshtatur me sfidat dhe mundësit </w:t>
            </w:r>
            <w:r w:rsidRPr="00622884">
              <w:rPr>
                <w:rFonts w:ascii="Garamond" w:eastAsia="Calibri" w:hAnsi="Garamond" w:cs="Times New Roman"/>
                <w:sz w:val="16"/>
                <w:szCs w:val="16"/>
                <w:lang w:eastAsia="en-US" w:bidi="sq-AL"/>
              </w:rPr>
              <w:lastRenderedPageBreak/>
              <w:t>specifike të sektorit, duke nxitur angazhim në të gjithë Shqipërinë</w:t>
            </w:r>
          </w:p>
        </w:tc>
      </w:tr>
      <w:tr w:rsidR="00622884" w:rsidRPr="00622884" w14:paraId="508CB022" w14:textId="77777777" w:rsidTr="00622884">
        <w:trPr>
          <w:jc w:val="center"/>
        </w:trPr>
        <w:tc>
          <w:tcPr>
            <w:tcW w:w="971" w:type="pct"/>
            <w:tcBorders>
              <w:top w:val="single" w:sz="4" w:space="0" w:color="1D3C5A"/>
              <w:left w:val="single" w:sz="4" w:space="0" w:color="1D3C5A"/>
              <w:bottom w:val="single" w:sz="4" w:space="0" w:color="1D3C5A"/>
              <w:right w:val="single" w:sz="4" w:space="0" w:color="1D3C5A"/>
            </w:tcBorders>
            <w:vAlign w:val="center"/>
            <w:hideMark/>
          </w:tcPr>
          <w:p w14:paraId="3F5A273B" w14:textId="77777777" w:rsidR="00622884" w:rsidRPr="00622884" w:rsidRDefault="00622884" w:rsidP="00622884">
            <w:pPr>
              <w:spacing w:after="0" w:line="240" w:lineRule="auto"/>
              <w:jc w:val="left"/>
              <w:rPr>
                <w:rFonts w:ascii="Garamond" w:eastAsia="Calibri" w:hAnsi="Garamond" w:cs="Calibri Light"/>
                <w:sz w:val="16"/>
                <w:szCs w:val="16"/>
                <w:lang w:eastAsia="es-ES"/>
              </w:rPr>
            </w:pPr>
            <w:r w:rsidRPr="00622884">
              <w:rPr>
                <w:rFonts w:ascii="Garamond" w:eastAsia="Calibri" w:hAnsi="Garamond" w:cs="Times New Roman"/>
                <w:sz w:val="16"/>
                <w:szCs w:val="16"/>
                <w:lang w:eastAsia="en-US" w:bidi="sq-AL"/>
              </w:rPr>
              <w:lastRenderedPageBreak/>
              <w:t>Të krijohen mjete vizuale (p.sh., infografikë, postera, video) që tregojnë histori suksesi vendase për përshtatjen ndaj ndryshimeve klimatike në të pesë sektorët kryesorë, duke synuar audiencat më të reja.</w:t>
            </w:r>
          </w:p>
        </w:tc>
        <w:tc>
          <w:tcPr>
            <w:tcW w:w="918" w:type="pct"/>
            <w:tcBorders>
              <w:top w:val="single" w:sz="4" w:space="0" w:color="1D3C5A"/>
              <w:left w:val="single" w:sz="4" w:space="0" w:color="1D3C5A"/>
              <w:bottom w:val="single" w:sz="4" w:space="0" w:color="1D3C5A"/>
              <w:right w:val="single" w:sz="4" w:space="0" w:color="1D3C5A"/>
            </w:tcBorders>
            <w:vAlign w:val="center"/>
            <w:hideMark/>
          </w:tcPr>
          <w:p w14:paraId="009FD383" w14:textId="77777777" w:rsidR="00622884" w:rsidRPr="00622884" w:rsidRDefault="00622884" w:rsidP="00622884">
            <w:pPr>
              <w:spacing w:after="0" w:line="240" w:lineRule="auto"/>
              <w:jc w:val="left"/>
              <w:rPr>
                <w:rFonts w:ascii="Garamond" w:eastAsia="Calibri" w:hAnsi="Garamond" w:cs="Calibri Light"/>
                <w:sz w:val="16"/>
                <w:szCs w:val="16"/>
                <w:lang w:eastAsia="es-ES"/>
              </w:rPr>
            </w:pPr>
            <w:r w:rsidRPr="00622884">
              <w:rPr>
                <w:rFonts w:ascii="Garamond" w:eastAsia="Calibri" w:hAnsi="Garamond" w:cs="Times New Roman"/>
                <w:sz w:val="16"/>
                <w:szCs w:val="16"/>
                <w:lang w:eastAsia="en-US" w:bidi="sq-AL"/>
              </w:rPr>
              <w:t>Numri i materialeve të krijuara dhe të shpërndara për secilin sektor kyç</w:t>
            </w:r>
          </w:p>
        </w:tc>
        <w:tc>
          <w:tcPr>
            <w:tcW w:w="681" w:type="pct"/>
            <w:tcBorders>
              <w:top w:val="single" w:sz="4" w:space="0" w:color="1D3C5A"/>
              <w:left w:val="single" w:sz="4" w:space="0" w:color="1D3C5A"/>
              <w:bottom w:val="single" w:sz="4" w:space="0" w:color="1D3C5A"/>
              <w:right w:val="single" w:sz="4" w:space="0" w:color="1D3C5A"/>
            </w:tcBorders>
            <w:vAlign w:val="center"/>
            <w:hideMark/>
          </w:tcPr>
          <w:p w14:paraId="0E81EA3C" w14:textId="77777777" w:rsidR="00622884" w:rsidRPr="00622884" w:rsidRDefault="00622884" w:rsidP="00622884">
            <w:pPr>
              <w:spacing w:after="0" w:line="240" w:lineRule="auto"/>
              <w:jc w:val="left"/>
              <w:rPr>
                <w:rFonts w:ascii="Garamond" w:eastAsia="Calibri" w:hAnsi="Garamond" w:cs="Calibri Light"/>
                <w:sz w:val="16"/>
                <w:szCs w:val="16"/>
                <w:lang w:eastAsia="es-ES"/>
              </w:rPr>
            </w:pPr>
            <w:r w:rsidRPr="00622884">
              <w:rPr>
                <w:rFonts w:ascii="Garamond" w:eastAsia="Calibri" w:hAnsi="Garamond" w:cs="Times New Roman"/>
                <w:sz w:val="16"/>
                <w:szCs w:val="16"/>
                <w:lang w:eastAsia="en-US" w:bidi="sq-AL"/>
              </w:rPr>
              <w:t>5.000 materiale të shpërndara</w:t>
            </w:r>
          </w:p>
        </w:tc>
        <w:tc>
          <w:tcPr>
            <w:tcW w:w="455" w:type="pct"/>
            <w:tcBorders>
              <w:top w:val="single" w:sz="4" w:space="0" w:color="1D3C5A"/>
              <w:left w:val="single" w:sz="4" w:space="0" w:color="1D3C5A"/>
              <w:bottom w:val="single" w:sz="4" w:space="0" w:color="1D3C5A"/>
              <w:right w:val="single" w:sz="4" w:space="0" w:color="1D3C5A"/>
            </w:tcBorders>
            <w:vAlign w:val="center"/>
            <w:hideMark/>
          </w:tcPr>
          <w:p w14:paraId="2903C8A1" w14:textId="77777777" w:rsidR="00622884" w:rsidRPr="00622884" w:rsidRDefault="00622884" w:rsidP="00622884">
            <w:pPr>
              <w:spacing w:after="0" w:line="240" w:lineRule="auto"/>
              <w:jc w:val="left"/>
              <w:rPr>
                <w:rFonts w:ascii="Garamond" w:eastAsia="Calibri" w:hAnsi="Garamond" w:cs="Calibri Light"/>
                <w:sz w:val="16"/>
                <w:szCs w:val="16"/>
                <w:lang w:eastAsia="es-ES"/>
              </w:rPr>
            </w:pPr>
            <w:r w:rsidRPr="00622884">
              <w:rPr>
                <w:rFonts w:ascii="Garamond" w:eastAsia="Calibri" w:hAnsi="Garamond" w:cs="Times New Roman"/>
                <w:sz w:val="16"/>
                <w:szCs w:val="16"/>
                <w:lang w:eastAsia="en-US" w:bidi="sq-AL"/>
              </w:rPr>
              <w:t>Maj 2027</w:t>
            </w:r>
          </w:p>
        </w:tc>
        <w:tc>
          <w:tcPr>
            <w:tcW w:w="600" w:type="pct"/>
            <w:tcBorders>
              <w:top w:val="single" w:sz="4" w:space="0" w:color="1D3C5A"/>
              <w:left w:val="single" w:sz="4" w:space="0" w:color="1D3C5A"/>
              <w:bottom w:val="single" w:sz="4" w:space="0" w:color="1D3C5A"/>
              <w:right w:val="single" w:sz="4" w:space="0" w:color="1D3C5A"/>
            </w:tcBorders>
            <w:vAlign w:val="center"/>
            <w:hideMark/>
          </w:tcPr>
          <w:p w14:paraId="11349CC0" w14:textId="77777777" w:rsidR="00622884" w:rsidRPr="00622884" w:rsidRDefault="00622884" w:rsidP="00622884">
            <w:pPr>
              <w:spacing w:after="0" w:line="240" w:lineRule="auto"/>
              <w:jc w:val="left"/>
              <w:rPr>
                <w:rFonts w:ascii="Garamond" w:eastAsia="Calibri" w:hAnsi="Garamond" w:cs="Calibri Light"/>
                <w:sz w:val="16"/>
                <w:szCs w:val="16"/>
                <w:lang w:eastAsia="es-ES"/>
              </w:rPr>
            </w:pPr>
            <w:r w:rsidRPr="00622884">
              <w:rPr>
                <w:rFonts w:ascii="Garamond" w:eastAsia="Calibri" w:hAnsi="Garamond" w:cs="Times New Roman"/>
                <w:sz w:val="16"/>
                <w:szCs w:val="16"/>
                <w:lang w:eastAsia="en-US" w:bidi="sq-AL"/>
              </w:rPr>
              <w:t>Të gjitha palët kyç të interesit</w:t>
            </w:r>
          </w:p>
        </w:tc>
        <w:tc>
          <w:tcPr>
            <w:tcW w:w="621" w:type="pct"/>
            <w:tcBorders>
              <w:top w:val="single" w:sz="4" w:space="0" w:color="1D3C5A"/>
              <w:left w:val="single" w:sz="4" w:space="0" w:color="1D3C5A"/>
              <w:bottom w:val="single" w:sz="4" w:space="0" w:color="1D3C5A"/>
              <w:right w:val="single" w:sz="4" w:space="0" w:color="1D3C5A"/>
            </w:tcBorders>
            <w:vAlign w:val="center"/>
            <w:hideMark/>
          </w:tcPr>
          <w:p w14:paraId="2A6E1BD3" w14:textId="77777777" w:rsidR="00622884" w:rsidRPr="00622884" w:rsidRDefault="00622884" w:rsidP="00622884">
            <w:pPr>
              <w:spacing w:after="0" w:line="240" w:lineRule="auto"/>
              <w:jc w:val="left"/>
              <w:rPr>
                <w:rFonts w:ascii="Garamond" w:eastAsia="Calibri" w:hAnsi="Garamond" w:cs="Calibri Light"/>
                <w:sz w:val="16"/>
                <w:szCs w:val="16"/>
                <w:lang w:eastAsia="es-ES"/>
              </w:rPr>
            </w:pPr>
            <w:r w:rsidRPr="00622884">
              <w:rPr>
                <w:rFonts w:ascii="Garamond" w:eastAsia="Calibri" w:hAnsi="Garamond" w:cs="Times New Roman"/>
                <w:sz w:val="16"/>
                <w:szCs w:val="16"/>
                <w:lang w:eastAsia="en-US" w:bidi="sq-AL"/>
              </w:rPr>
              <w:t>70.000</w:t>
            </w:r>
          </w:p>
        </w:tc>
        <w:tc>
          <w:tcPr>
            <w:tcW w:w="754" w:type="pct"/>
            <w:tcBorders>
              <w:top w:val="single" w:sz="4" w:space="0" w:color="1D3C5A"/>
              <w:left w:val="single" w:sz="4" w:space="0" w:color="1D3C5A"/>
              <w:bottom w:val="single" w:sz="4" w:space="0" w:color="1D3C5A"/>
              <w:right w:val="single" w:sz="4" w:space="0" w:color="1D3C5A"/>
            </w:tcBorders>
            <w:vAlign w:val="center"/>
            <w:hideMark/>
          </w:tcPr>
          <w:p w14:paraId="5D2E33F9" w14:textId="77777777" w:rsidR="00622884" w:rsidRPr="00622884" w:rsidRDefault="00622884" w:rsidP="00622884">
            <w:pPr>
              <w:spacing w:after="0" w:line="240" w:lineRule="auto"/>
              <w:jc w:val="left"/>
              <w:rPr>
                <w:rFonts w:ascii="Garamond" w:eastAsia="Calibri" w:hAnsi="Garamond" w:cs="Calibri Light"/>
                <w:sz w:val="16"/>
                <w:szCs w:val="16"/>
                <w:lang w:eastAsia="es-ES"/>
              </w:rPr>
            </w:pPr>
            <w:r w:rsidRPr="00622884">
              <w:rPr>
                <w:rFonts w:ascii="Garamond" w:eastAsia="Calibri" w:hAnsi="Garamond" w:cs="Times New Roman"/>
                <w:sz w:val="16"/>
                <w:szCs w:val="16"/>
                <w:lang w:eastAsia="en-US" w:bidi="sq-AL"/>
              </w:rPr>
              <w:t>Të kuptuarit e zgjeruar të praktikave të suksesshme të përshtatjes, duke nxitur replikimin dhe mbështetjen</w:t>
            </w:r>
          </w:p>
        </w:tc>
      </w:tr>
      <w:tr w:rsidR="00622884" w:rsidRPr="00622884" w14:paraId="66C8837E" w14:textId="77777777" w:rsidTr="00622884">
        <w:trPr>
          <w:jc w:val="center"/>
        </w:trPr>
        <w:tc>
          <w:tcPr>
            <w:tcW w:w="971" w:type="pct"/>
            <w:tcBorders>
              <w:top w:val="single" w:sz="4" w:space="0" w:color="1D3C5A"/>
              <w:left w:val="single" w:sz="4" w:space="0" w:color="1D3C5A"/>
              <w:bottom w:val="single" w:sz="4" w:space="0" w:color="1D3C5A"/>
              <w:right w:val="single" w:sz="4" w:space="0" w:color="1D3C5A"/>
            </w:tcBorders>
            <w:vAlign w:val="center"/>
            <w:hideMark/>
          </w:tcPr>
          <w:p w14:paraId="404DF440" w14:textId="77777777" w:rsidR="00622884" w:rsidRPr="00622884" w:rsidRDefault="00622884" w:rsidP="00622884">
            <w:pPr>
              <w:spacing w:after="0" w:line="240" w:lineRule="auto"/>
              <w:jc w:val="left"/>
              <w:rPr>
                <w:rFonts w:ascii="Garamond" w:eastAsia="Calibri" w:hAnsi="Garamond" w:cs="Calibri Light"/>
                <w:sz w:val="16"/>
                <w:szCs w:val="16"/>
                <w:lang w:eastAsia="es-ES"/>
              </w:rPr>
            </w:pPr>
            <w:r w:rsidRPr="00622884">
              <w:rPr>
                <w:rFonts w:ascii="Garamond" w:eastAsia="Calibri" w:hAnsi="Garamond" w:cs="Times New Roman"/>
                <w:sz w:val="16"/>
                <w:szCs w:val="16"/>
                <w:lang w:eastAsia="en-US" w:bidi="sq-AL"/>
              </w:rPr>
              <w:t>Të lehtësohen vizitat në terren me gazetarët në rajonet më të prekura nga ndryshimet klimatike, duke u mundësuar të dëshmojnë drejtpërdrejt ndikimin e ndryshimeve klimatike dhe ta lidhin atë me politikat më të gjera të përshtatjes.</w:t>
            </w:r>
          </w:p>
        </w:tc>
        <w:tc>
          <w:tcPr>
            <w:tcW w:w="918" w:type="pct"/>
            <w:tcBorders>
              <w:top w:val="single" w:sz="4" w:space="0" w:color="1D3C5A"/>
              <w:left w:val="single" w:sz="4" w:space="0" w:color="1D3C5A"/>
              <w:bottom w:val="single" w:sz="4" w:space="0" w:color="1D3C5A"/>
              <w:right w:val="single" w:sz="4" w:space="0" w:color="1D3C5A"/>
            </w:tcBorders>
            <w:vAlign w:val="center"/>
          </w:tcPr>
          <w:p w14:paraId="09A0044F" w14:textId="77777777" w:rsidR="00622884" w:rsidRPr="00622884" w:rsidRDefault="00622884" w:rsidP="00622884">
            <w:pPr>
              <w:spacing w:after="0" w:line="240" w:lineRule="auto"/>
              <w:jc w:val="left"/>
              <w:rPr>
                <w:rFonts w:ascii="Garamond" w:eastAsia="Calibri" w:hAnsi="Garamond" w:cs="Calibri Light"/>
                <w:sz w:val="16"/>
                <w:szCs w:val="16"/>
                <w:lang w:eastAsia="es-ES"/>
              </w:rPr>
            </w:pPr>
            <w:r w:rsidRPr="00622884">
              <w:rPr>
                <w:rFonts w:ascii="Garamond" w:eastAsia="Calibri" w:hAnsi="Garamond" w:cs="Times New Roman"/>
                <w:sz w:val="16"/>
                <w:szCs w:val="16"/>
                <w:lang w:eastAsia="en-US" w:bidi="sq-AL"/>
              </w:rPr>
              <w:t>Numri i vizitave në terren</w:t>
            </w:r>
          </w:p>
          <w:p w14:paraId="5AD201FF" w14:textId="77777777" w:rsidR="00622884" w:rsidRPr="00622884" w:rsidRDefault="00622884" w:rsidP="00622884">
            <w:pPr>
              <w:spacing w:after="0" w:line="240" w:lineRule="auto"/>
              <w:jc w:val="left"/>
              <w:rPr>
                <w:rFonts w:ascii="Garamond" w:eastAsia="Calibri" w:hAnsi="Garamond" w:cs="Calibri Light"/>
                <w:sz w:val="16"/>
                <w:szCs w:val="16"/>
                <w:lang w:eastAsia="es-ES"/>
              </w:rPr>
            </w:pPr>
          </w:p>
          <w:p w14:paraId="45A36F6D" w14:textId="77777777" w:rsidR="00622884" w:rsidRPr="00622884" w:rsidRDefault="00622884" w:rsidP="00622884">
            <w:pPr>
              <w:spacing w:after="0" w:line="240" w:lineRule="auto"/>
              <w:jc w:val="left"/>
              <w:rPr>
                <w:rFonts w:ascii="Garamond" w:eastAsia="Calibri" w:hAnsi="Garamond" w:cs="Calibri Light"/>
                <w:sz w:val="16"/>
                <w:szCs w:val="16"/>
                <w:lang w:eastAsia="es-ES"/>
              </w:rPr>
            </w:pPr>
            <w:r w:rsidRPr="00622884">
              <w:rPr>
                <w:rFonts w:ascii="Garamond" w:eastAsia="Calibri" w:hAnsi="Garamond" w:cs="Times New Roman"/>
                <w:sz w:val="16"/>
                <w:szCs w:val="16"/>
                <w:lang w:eastAsia="en-US" w:bidi="sq-AL"/>
              </w:rPr>
              <w:t>Numri i gazetarëve pjesëmarrës</w:t>
            </w:r>
          </w:p>
        </w:tc>
        <w:tc>
          <w:tcPr>
            <w:tcW w:w="681" w:type="pct"/>
            <w:tcBorders>
              <w:top w:val="single" w:sz="4" w:space="0" w:color="1D3C5A"/>
              <w:left w:val="single" w:sz="4" w:space="0" w:color="1D3C5A"/>
              <w:bottom w:val="single" w:sz="4" w:space="0" w:color="1D3C5A"/>
              <w:right w:val="single" w:sz="4" w:space="0" w:color="1D3C5A"/>
            </w:tcBorders>
            <w:vAlign w:val="center"/>
          </w:tcPr>
          <w:p w14:paraId="29F66FA2" w14:textId="77777777" w:rsidR="00622884" w:rsidRPr="00622884" w:rsidRDefault="00622884" w:rsidP="00622884">
            <w:pPr>
              <w:spacing w:after="0" w:line="240" w:lineRule="auto"/>
              <w:jc w:val="left"/>
              <w:rPr>
                <w:rFonts w:ascii="Garamond" w:eastAsia="Calibri" w:hAnsi="Garamond" w:cs="Calibri Light"/>
                <w:sz w:val="16"/>
                <w:szCs w:val="16"/>
                <w:lang w:eastAsia="es-ES"/>
              </w:rPr>
            </w:pPr>
            <w:r w:rsidRPr="00622884">
              <w:rPr>
                <w:rFonts w:ascii="Garamond" w:eastAsia="Calibri" w:hAnsi="Garamond" w:cs="Times New Roman"/>
                <w:sz w:val="16"/>
                <w:szCs w:val="16"/>
                <w:lang w:eastAsia="en-US" w:bidi="sq-AL"/>
              </w:rPr>
              <w:t>3 vizita në terren</w:t>
            </w:r>
          </w:p>
          <w:p w14:paraId="6E2554D1" w14:textId="77777777" w:rsidR="00622884" w:rsidRPr="00622884" w:rsidRDefault="00622884" w:rsidP="00622884">
            <w:pPr>
              <w:spacing w:after="0" w:line="240" w:lineRule="auto"/>
              <w:jc w:val="left"/>
              <w:rPr>
                <w:rFonts w:ascii="Garamond" w:eastAsia="Calibri" w:hAnsi="Garamond" w:cs="Calibri Light"/>
                <w:sz w:val="16"/>
                <w:szCs w:val="16"/>
                <w:lang w:eastAsia="es-ES"/>
              </w:rPr>
            </w:pPr>
          </w:p>
          <w:p w14:paraId="2933D442" w14:textId="77777777" w:rsidR="00622884" w:rsidRPr="00622884" w:rsidRDefault="00622884" w:rsidP="00622884">
            <w:pPr>
              <w:spacing w:after="0" w:line="240" w:lineRule="auto"/>
              <w:jc w:val="left"/>
              <w:rPr>
                <w:rFonts w:ascii="Garamond" w:eastAsia="Calibri" w:hAnsi="Garamond" w:cs="Calibri Light"/>
                <w:sz w:val="16"/>
                <w:szCs w:val="16"/>
                <w:lang w:eastAsia="es-ES"/>
              </w:rPr>
            </w:pPr>
            <w:r w:rsidRPr="00622884">
              <w:rPr>
                <w:rFonts w:ascii="Garamond" w:eastAsia="Calibri" w:hAnsi="Garamond" w:cs="Times New Roman"/>
                <w:sz w:val="16"/>
                <w:szCs w:val="16"/>
                <w:lang w:eastAsia="en-US" w:bidi="sq-AL"/>
              </w:rPr>
              <w:t>30 gazetarë të angazhuar</w:t>
            </w:r>
          </w:p>
        </w:tc>
        <w:tc>
          <w:tcPr>
            <w:tcW w:w="455" w:type="pct"/>
            <w:tcBorders>
              <w:top w:val="single" w:sz="4" w:space="0" w:color="1D3C5A"/>
              <w:left w:val="single" w:sz="4" w:space="0" w:color="1D3C5A"/>
              <w:bottom w:val="single" w:sz="4" w:space="0" w:color="1D3C5A"/>
              <w:right w:val="single" w:sz="4" w:space="0" w:color="1D3C5A"/>
            </w:tcBorders>
            <w:vAlign w:val="center"/>
            <w:hideMark/>
          </w:tcPr>
          <w:p w14:paraId="4462A50B" w14:textId="77777777" w:rsidR="00622884" w:rsidRPr="00622884" w:rsidRDefault="00622884" w:rsidP="00622884">
            <w:pPr>
              <w:spacing w:after="0" w:line="240" w:lineRule="auto"/>
              <w:jc w:val="left"/>
              <w:rPr>
                <w:rFonts w:ascii="Garamond" w:eastAsia="Calibri" w:hAnsi="Garamond" w:cs="Calibri Light"/>
                <w:sz w:val="16"/>
                <w:szCs w:val="16"/>
                <w:lang w:eastAsia="es-ES"/>
              </w:rPr>
            </w:pPr>
            <w:r w:rsidRPr="00622884">
              <w:rPr>
                <w:rFonts w:ascii="Garamond" w:eastAsia="Calibri" w:hAnsi="Garamond" w:cs="Times New Roman"/>
                <w:sz w:val="16"/>
                <w:szCs w:val="16"/>
                <w:lang w:eastAsia="en-US" w:bidi="sq-AL"/>
              </w:rPr>
              <w:t>Qershor 2026 – dhjetor 2027</w:t>
            </w:r>
          </w:p>
        </w:tc>
        <w:tc>
          <w:tcPr>
            <w:tcW w:w="600" w:type="pct"/>
            <w:tcBorders>
              <w:top w:val="single" w:sz="4" w:space="0" w:color="1D3C5A"/>
              <w:left w:val="single" w:sz="4" w:space="0" w:color="1D3C5A"/>
              <w:bottom w:val="single" w:sz="4" w:space="0" w:color="1D3C5A"/>
              <w:right w:val="single" w:sz="4" w:space="0" w:color="1D3C5A"/>
            </w:tcBorders>
            <w:vAlign w:val="center"/>
            <w:hideMark/>
          </w:tcPr>
          <w:p w14:paraId="17627243" w14:textId="77777777" w:rsidR="00622884" w:rsidRPr="00622884" w:rsidRDefault="00622884" w:rsidP="00622884">
            <w:pPr>
              <w:spacing w:after="0" w:line="240" w:lineRule="auto"/>
              <w:jc w:val="left"/>
              <w:rPr>
                <w:rFonts w:ascii="Garamond" w:eastAsia="Calibri" w:hAnsi="Garamond" w:cs="Calibri Light"/>
                <w:sz w:val="16"/>
                <w:szCs w:val="16"/>
                <w:lang w:eastAsia="es-ES"/>
              </w:rPr>
            </w:pPr>
            <w:r w:rsidRPr="00622884">
              <w:rPr>
                <w:rFonts w:ascii="Garamond" w:eastAsia="Calibri" w:hAnsi="Garamond" w:cs="Times New Roman"/>
                <w:sz w:val="16"/>
                <w:szCs w:val="16"/>
                <w:lang w:eastAsia="en-US" w:bidi="sq-AL"/>
              </w:rPr>
              <w:t>Gazetarët</w:t>
            </w:r>
          </w:p>
          <w:p w14:paraId="36C630F5" w14:textId="77777777" w:rsidR="00622884" w:rsidRPr="00622884" w:rsidRDefault="00622884" w:rsidP="00622884">
            <w:pPr>
              <w:spacing w:after="0" w:line="240" w:lineRule="auto"/>
              <w:jc w:val="left"/>
              <w:rPr>
                <w:rFonts w:ascii="Garamond" w:eastAsia="Calibri" w:hAnsi="Garamond" w:cs="Calibri Light"/>
                <w:sz w:val="16"/>
                <w:szCs w:val="16"/>
                <w:lang w:eastAsia="es-ES"/>
              </w:rPr>
            </w:pPr>
            <w:r w:rsidRPr="00622884">
              <w:rPr>
                <w:rFonts w:ascii="Garamond" w:eastAsia="Calibri" w:hAnsi="Garamond" w:cs="Times New Roman"/>
                <w:sz w:val="16"/>
                <w:szCs w:val="16"/>
                <w:lang w:eastAsia="en-US" w:bidi="sq-AL"/>
              </w:rPr>
              <w:t>Shoqatat e medias; ekspertët e klimës.</w:t>
            </w:r>
          </w:p>
        </w:tc>
        <w:tc>
          <w:tcPr>
            <w:tcW w:w="621" w:type="pct"/>
            <w:tcBorders>
              <w:top w:val="single" w:sz="4" w:space="0" w:color="1D3C5A"/>
              <w:left w:val="single" w:sz="4" w:space="0" w:color="1D3C5A"/>
              <w:bottom w:val="single" w:sz="4" w:space="0" w:color="1D3C5A"/>
              <w:right w:val="single" w:sz="4" w:space="0" w:color="1D3C5A"/>
            </w:tcBorders>
            <w:vAlign w:val="center"/>
            <w:hideMark/>
          </w:tcPr>
          <w:p w14:paraId="6C50FED1" w14:textId="77777777" w:rsidR="00622884" w:rsidRPr="00622884" w:rsidRDefault="00622884" w:rsidP="00622884">
            <w:pPr>
              <w:spacing w:after="0" w:line="240" w:lineRule="auto"/>
              <w:jc w:val="left"/>
              <w:rPr>
                <w:rFonts w:ascii="Garamond" w:eastAsia="Calibri" w:hAnsi="Garamond" w:cs="Calibri Light"/>
                <w:sz w:val="16"/>
                <w:szCs w:val="16"/>
                <w:lang w:eastAsia="es-ES"/>
              </w:rPr>
            </w:pPr>
            <w:r w:rsidRPr="00622884">
              <w:rPr>
                <w:rFonts w:ascii="Garamond" w:eastAsia="Calibri" w:hAnsi="Garamond" w:cs="Times New Roman"/>
                <w:sz w:val="16"/>
                <w:szCs w:val="16"/>
                <w:lang w:eastAsia="en-US" w:bidi="sq-AL"/>
              </w:rPr>
              <w:t>80.000</w:t>
            </w:r>
          </w:p>
        </w:tc>
        <w:tc>
          <w:tcPr>
            <w:tcW w:w="754" w:type="pct"/>
            <w:tcBorders>
              <w:top w:val="single" w:sz="4" w:space="0" w:color="1D3C5A"/>
              <w:left w:val="single" w:sz="4" w:space="0" w:color="1D3C5A"/>
              <w:bottom w:val="single" w:sz="4" w:space="0" w:color="1D3C5A"/>
              <w:right w:val="single" w:sz="4" w:space="0" w:color="1D3C5A"/>
            </w:tcBorders>
            <w:vAlign w:val="center"/>
            <w:hideMark/>
          </w:tcPr>
          <w:p w14:paraId="7A4C93A1" w14:textId="77777777" w:rsidR="00622884" w:rsidRPr="00622884" w:rsidRDefault="00622884" w:rsidP="00622884">
            <w:pPr>
              <w:spacing w:after="0" w:line="240" w:lineRule="auto"/>
              <w:jc w:val="left"/>
              <w:rPr>
                <w:rFonts w:ascii="Garamond" w:eastAsia="Calibri" w:hAnsi="Garamond" w:cs="Calibri Light"/>
                <w:sz w:val="16"/>
                <w:szCs w:val="16"/>
                <w:lang w:eastAsia="es-ES"/>
              </w:rPr>
            </w:pPr>
            <w:r w:rsidRPr="00622884">
              <w:rPr>
                <w:rFonts w:ascii="Garamond" w:eastAsia="Calibri" w:hAnsi="Garamond" w:cs="Times New Roman"/>
                <w:sz w:val="16"/>
                <w:szCs w:val="16"/>
                <w:lang w:eastAsia="en-US" w:bidi="sq-AL"/>
              </w:rPr>
              <w:t>Raportim i përforcuar për klimën, me shtim të historive investigative mbi sfidat dhe përgjigjet e përshtatjes.</w:t>
            </w:r>
          </w:p>
        </w:tc>
      </w:tr>
      <w:tr w:rsidR="00622884" w:rsidRPr="00622884" w14:paraId="1454FB4D" w14:textId="77777777" w:rsidTr="00622884">
        <w:trPr>
          <w:jc w:val="center"/>
        </w:trPr>
        <w:tc>
          <w:tcPr>
            <w:tcW w:w="971" w:type="pct"/>
            <w:tcBorders>
              <w:top w:val="single" w:sz="4" w:space="0" w:color="1D3C5A"/>
              <w:left w:val="single" w:sz="4" w:space="0" w:color="1D3C5A"/>
              <w:bottom w:val="single" w:sz="4" w:space="0" w:color="1D3C5A"/>
              <w:right w:val="single" w:sz="4" w:space="0" w:color="1D3C5A"/>
            </w:tcBorders>
            <w:vAlign w:val="center"/>
            <w:hideMark/>
          </w:tcPr>
          <w:p w14:paraId="35696A4A" w14:textId="77777777" w:rsidR="00622884" w:rsidRPr="00622884" w:rsidRDefault="00622884" w:rsidP="00622884">
            <w:pPr>
              <w:spacing w:after="0" w:line="240" w:lineRule="auto"/>
              <w:jc w:val="left"/>
              <w:rPr>
                <w:rFonts w:ascii="Garamond" w:eastAsia="Calibri" w:hAnsi="Garamond" w:cs="Calibri Light"/>
                <w:sz w:val="16"/>
                <w:szCs w:val="16"/>
                <w:lang w:eastAsia="es-ES"/>
              </w:rPr>
            </w:pPr>
            <w:r w:rsidRPr="00622884">
              <w:rPr>
                <w:rFonts w:ascii="Garamond" w:eastAsia="Calibri" w:hAnsi="Garamond" w:cs="Times New Roman"/>
                <w:sz w:val="16"/>
                <w:szCs w:val="16"/>
                <w:lang w:eastAsia="en-US" w:bidi="sq-AL"/>
              </w:rPr>
              <w:t>Të krijohen përmbajtje mediatike të bazuara në fakte që sfidojnë drejtpërdrejt keqinformimin me evidenca shkencore, duke përfshirë nismat e verifikimit të fakteve në fushatat mediatike.</w:t>
            </w:r>
          </w:p>
        </w:tc>
        <w:tc>
          <w:tcPr>
            <w:tcW w:w="918" w:type="pct"/>
            <w:tcBorders>
              <w:top w:val="single" w:sz="4" w:space="0" w:color="1D3C5A"/>
              <w:left w:val="single" w:sz="4" w:space="0" w:color="1D3C5A"/>
              <w:bottom w:val="single" w:sz="4" w:space="0" w:color="1D3C5A"/>
              <w:right w:val="single" w:sz="4" w:space="0" w:color="1D3C5A"/>
            </w:tcBorders>
            <w:vAlign w:val="center"/>
          </w:tcPr>
          <w:p w14:paraId="281F79D8" w14:textId="77777777" w:rsidR="00622884" w:rsidRPr="00622884" w:rsidRDefault="00622884" w:rsidP="00622884">
            <w:pPr>
              <w:spacing w:after="0" w:line="240" w:lineRule="auto"/>
              <w:jc w:val="left"/>
              <w:rPr>
                <w:rFonts w:ascii="Garamond" w:eastAsia="Calibri" w:hAnsi="Garamond" w:cs="Calibri Light"/>
                <w:sz w:val="16"/>
                <w:szCs w:val="16"/>
                <w:lang w:eastAsia="es-ES"/>
              </w:rPr>
            </w:pPr>
            <w:r w:rsidRPr="00622884">
              <w:rPr>
                <w:rFonts w:ascii="Garamond" w:eastAsia="Calibri" w:hAnsi="Garamond" w:cs="Times New Roman"/>
                <w:sz w:val="16"/>
                <w:szCs w:val="16"/>
                <w:lang w:eastAsia="en-US" w:bidi="sq-AL"/>
              </w:rPr>
              <w:t>Numri i artikujve që hedhin poshtë faktet dhe nismat për verifikimin e fakteve</w:t>
            </w:r>
          </w:p>
          <w:p w14:paraId="5A920897" w14:textId="77777777" w:rsidR="00622884" w:rsidRPr="00622884" w:rsidRDefault="00622884" w:rsidP="00622884">
            <w:pPr>
              <w:spacing w:after="0" w:line="240" w:lineRule="auto"/>
              <w:jc w:val="left"/>
              <w:rPr>
                <w:rFonts w:ascii="Garamond" w:eastAsia="Calibri" w:hAnsi="Garamond" w:cs="Calibri Light"/>
                <w:sz w:val="16"/>
                <w:szCs w:val="16"/>
                <w:lang w:eastAsia="es-ES"/>
              </w:rPr>
            </w:pPr>
          </w:p>
          <w:p w14:paraId="2F6080BE" w14:textId="77777777" w:rsidR="00622884" w:rsidRPr="00622884" w:rsidRDefault="00622884" w:rsidP="00622884">
            <w:pPr>
              <w:spacing w:after="0" w:line="240" w:lineRule="auto"/>
              <w:jc w:val="left"/>
              <w:rPr>
                <w:rFonts w:ascii="Garamond" w:eastAsia="Calibri" w:hAnsi="Garamond" w:cs="Calibri Light"/>
                <w:sz w:val="16"/>
                <w:szCs w:val="16"/>
                <w:lang w:eastAsia="es-ES"/>
              </w:rPr>
            </w:pPr>
            <w:r w:rsidRPr="00622884">
              <w:rPr>
                <w:rFonts w:ascii="Garamond" w:eastAsia="Calibri" w:hAnsi="Garamond" w:cs="Times New Roman"/>
                <w:sz w:val="16"/>
                <w:szCs w:val="16"/>
                <w:lang w:eastAsia="en-US" w:bidi="sq-AL"/>
              </w:rPr>
              <w:t>Numri i mediave të angazhuara</w:t>
            </w:r>
          </w:p>
        </w:tc>
        <w:tc>
          <w:tcPr>
            <w:tcW w:w="681" w:type="pct"/>
            <w:tcBorders>
              <w:top w:val="single" w:sz="4" w:space="0" w:color="1D3C5A"/>
              <w:left w:val="single" w:sz="4" w:space="0" w:color="1D3C5A"/>
              <w:bottom w:val="single" w:sz="4" w:space="0" w:color="1D3C5A"/>
              <w:right w:val="single" w:sz="4" w:space="0" w:color="1D3C5A"/>
            </w:tcBorders>
            <w:vAlign w:val="center"/>
          </w:tcPr>
          <w:p w14:paraId="2437C47A" w14:textId="77777777" w:rsidR="00622884" w:rsidRPr="00622884" w:rsidRDefault="00622884" w:rsidP="00622884">
            <w:pPr>
              <w:spacing w:after="0" w:line="240" w:lineRule="auto"/>
              <w:jc w:val="left"/>
              <w:rPr>
                <w:rFonts w:ascii="Garamond" w:eastAsia="Calibri" w:hAnsi="Garamond" w:cs="Calibri Light"/>
                <w:sz w:val="16"/>
                <w:szCs w:val="16"/>
                <w:lang w:eastAsia="es-ES"/>
              </w:rPr>
            </w:pPr>
            <w:r w:rsidRPr="00622884">
              <w:rPr>
                <w:rFonts w:ascii="Garamond" w:eastAsia="Calibri" w:hAnsi="Garamond" w:cs="Times New Roman"/>
                <w:sz w:val="16"/>
                <w:szCs w:val="16"/>
                <w:lang w:eastAsia="en-US" w:bidi="sq-AL"/>
              </w:rPr>
              <w:t>10 artikuj të publikuar për verifikimin e hollësishëm të fakteve</w:t>
            </w:r>
          </w:p>
          <w:p w14:paraId="0A7952CB" w14:textId="77777777" w:rsidR="00622884" w:rsidRPr="00622884" w:rsidRDefault="00622884" w:rsidP="00622884">
            <w:pPr>
              <w:spacing w:after="0" w:line="240" w:lineRule="auto"/>
              <w:jc w:val="left"/>
              <w:rPr>
                <w:rFonts w:ascii="Garamond" w:eastAsia="Calibri" w:hAnsi="Garamond" w:cs="Calibri Light"/>
                <w:sz w:val="16"/>
                <w:szCs w:val="16"/>
                <w:lang w:eastAsia="es-ES"/>
              </w:rPr>
            </w:pPr>
          </w:p>
          <w:p w14:paraId="6B69DA62" w14:textId="77777777" w:rsidR="00622884" w:rsidRPr="00622884" w:rsidRDefault="00622884" w:rsidP="00622884">
            <w:pPr>
              <w:spacing w:after="0" w:line="240" w:lineRule="auto"/>
              <w:jc w:val="left"/>
              <w:rPr>
                <w:rFonts w:ascii="Garamond" w:eastAsia="Calibri" w:hAnsi="Garamond" w:cs="Calibri Light"/>
                <w:sz w:val="16"/>
                <w:szCs w:val="16"/>
                <w:lang w:eastAsia="es-ES"/>
              </w:rPr>
            </w:pPr>
            <w:r w:rsidRPr="00622884">
              <w:rPr>
                <w:rFonts w:ascii="Garamond" w:eastAsia="Calibri" w:hAnsi="Garamond" w:cs="Times New Roman"/>
                <w:sz w:val="16"/>
                <w:szCs w:val="16"/>
                <w:lang w:eastAsia="en-US" w:bidi="sq-AL"/>
              </w:rPr>
              <w:t>5 media kryesore të përfshira</w:t>
            </w:r>
          </w:p>
        </w:tc>
        <w:tc>
          <w:tcPr>
            <w:tcW w:w="455" w:type="pct"/>
            <w:tcBorders>
              <w:top w:val="single" w:sz="4" w:space="0" w:color="1D3C5A"/>
              <w:left w:val="single" w:sz="4" w:space="0" w:color="1D3C5A"/>
              <w:bottom w:val="single" w:sz="4" w:space="0" w:color="1D3C5A"/>
              <w:right w:val="single" w:sz="4" w:space="0" w:color="1D3C5A"/>
            </w:tcBorders>
            <w:vAlign w:val="center"/>
            <w:hideMark/>
          </w:tcPr>
          <w:p w14:paraId="56EBDAFC" w14:textId="77777777" w:rsidR="00622884" w:rsidRPr="00622884" w:rsidRDefault="00622884" w:rsidP="00622884">
            <w:pPr>
              <w:spacing w:after="0" w:line="240" w:lineRule="auto"/>
              <w:jc w:val="left"/>
              <w:rPr>
                <w:rFonts w:ascii="Garamond" w:eastAsia="Calibri" w:hAnsi="Garamond" w:cs="Calibri Light"/>
                <w:sz w:val="16"/>
                <w:szCs w:val="16"/>
                <w:lang w:eastAsia="es-ES"/>
              </w:rPr>
            </w:pPr>
            <w:r w:rsidRPr="00622884">
              <w:rPr>
                <w:rFonts w:ascii="Garamond" w:eastAsia="Calibri" w:hAnsi="Garamond" w:cs="Times New Roman"/>
                <w:sz w:val="16"/>
                <w:szCs w:val="16"/>
                <w:lang w:eastAsia="en-US" w:bidi="sq-AL"/>
              </w:rPr>
              <w:t>Janar 2026 – dhjetor 2028</w:t>
            </w:r>
          </w:p>
        </w:tc>
        <w:tc>
          <w:tcPr>
            <w:tcW w:w="600" w:type="pct"/>
            <w:tcBorders>
              <w:top w:val="single" w:sz="4" w:space="0" w:color="1D3C5A"/>
              <w:left w:val="single" w:sz="4" w:space="0" w:color="1D3C5A"/>
              <w:bottom w:val="single" w:sz="4" w:space="0" w:color="1D3C5A"/>
              <w:right w:val="single" w:sz="4" w:space="0" w:color="1D3C5A"/>
            </w:tcBorders>
            <w:vAlign w:val="center"/>
            <w:hideMark/>
          </w:tcPr>
          <w:p w14:paraId="313CD947" w14:textId="77777777" w:rsidR="00622884" w:rsidRPr="00622884" w:rsidRDefault="00622884" w:rsidP="00622884">
            <w:pPr>
              <w:spacing w:after="0" w:line="240" w:lineRule="auto"/>
              <w:jc w:val="left"/>
              <w:rPr>
                <w:rFonts w:ascii="Garamond" w:eastAsia="Calibri" w:hAnsi="Garamond" w:cs="Calibri Light"/>
                <w:sz w:val="16"/>
                <w:szCs w:val="16"/>
                <w:lang w:eastAsia="es-ES"/>
              </w:rPr>
            </w:pPr>
            <w:r w:rsidRPr="00622884">
              <w:rPr>
                <w:rFonts w:ascii="Garamond" w:eastAsia="Calibri" w:hAnsi="Garamond" w:cs="Times New Roman"/>
                <w:sz w:val="16"/>
                <w:szCs w:val="16"/>
                <w:lang w:eastAsia="en-US" w:bidi="sq-AL"/>
              </w:rPr>
              <w:t>Gazetarët investigativë; Ekipi i Komunikimit; Institucionet Shkencore.</w:t>
            </w:r>
          </w:p>
        </w:tc>
        <w:tc>
          <w:tcPr>
            <w:tcW w:w="621" w:type="pct"/>
            <w:tcBorders>
              <w:top w:val="single" w:sz="4" w:space="0" w:color="1D3C5A"/>
              <w:left w:val="single" w:sz="4" w:space="0" w:color="1D3C5A"/>
              <w:bottom w:val="single" w:sz="4" w:space="0" w:color="1D3C5A"/>
              <w:right w:val="single" w:sz="4" w:space="0" w:color="1D3C5A"/>
            </w:tcBorders>
            <w:vAlign w:val="center"/>
            <w:hideMark/>
          </w:tcPr>
          <w:p w14:paraId="06684992" w14:textId="77777777" w:rsidR="00622884" w:rsidRPr="00622884" w:rsidRDefault="00622884" w:rsidP="00622884">
            <w:pPr>
              <w:spacing w:after="0" w:line="240" w:lineRule="auto"/>
              <w:jc w:val="left"/>
              <w:rPr>
                <w:rFonts w:ascii="Garamond" w:eastAsia="Calibri" w:hAnsi="Garamond" w:cs="Calibri Light"/>
                <w:sz w:val="16"/>
                <w:szCs w:val="16"/>
                <w:lang w:eastAsia="es-ES"/>
              </w:rPr>
            </w:pPr>
            <w:r w:rsidRPr="00622884">
              <w:rPr>
                <w:rFonts w:ascii="Garamond" w:eastAsia="Calibri" w:hAnsi="Garamond" w:cs="Times New Roman"/>
                <w:sz w:val="16"/>
                <w:szCs w:val="16"/>
                <w:lang w:eastAsia="en-US" w:bidi="sq-AL"/>
              </w:rPr>
              <w:t>90.000</w:t>
            </w:r>
          </w:p>
        </w:tc>
        <w:tc>
          <w:tcPr>
            <w:tcW w:w="754" w:type="pct"/>
            <w:tcBorders>
              <w:top w:val="single" w:sz="4" w:space="0" w:color="1D3C5A"/>
              <w:left w:val="single" w:sz="4" w:space="0" w:color="1D3C5A"/>
              <w:bottom w:val="single" w:sz="4" w:space="0" w:color="1D3C5A"/>
              <w:right w:val="single" w:sz="4" w:space="0" w:color="1D3C5A"/>
            </w:tcBorders>
            <w:vAlign w:val="center"/>
            <w:hideMark/>
          </w:tcPr>
          <w:p w14:paraId="69DB122B" w14:textId="77777777" w:rsidR="00622884" w:rsidRPr="00622884" w:rsidRDefault="00622884" w:rsidP="00622884">
            <w:pPr>
              <w:spacing w:after="0" w:line="240" w:lineRule="auto"/>
              <w:jc w:val="left"/>
              <w:rPr>
                <w:rFonts w:ascii="Garamond" w:eastAsia="Calibri" w:hAnsi="Garamond" w:cs="Calibri Light"/>
                <w:sz w:val="16"/>
                <w:szCs w:val="16"/>
                <w:lang w:eastAsia="es-ES"/>
              </w:rPr>
            </w:pPr>
            <w:r w:rsidRPr="00622884">
              <w:rPr>
                <w:rFonts w:ascii="Garamond" w:eastAsia="Calibri" w:hAnsi="Garamond" w:cs="Times New Roman"/>
                <w:sz w:val="16"/>
                <w:szCs w:val="16"/>
                <w:lang w:eastAsia="en-US" w:bidi="sq-AL"/>
              </w:rPr>
              <w:t>Ulje e numrit të keqinformatave rreth klimës, rritja e besueshmërisë së lajmeve që lidhen me klimën.</w:t>
            </w:r>
          </w:p>
        </w:tc>
      </w:tr>
      <w:tr w:rsidR="00622884" w:rsidRPr="00622884" w14:paraId="79A24545" w14:textId="77777777" w:rsidTr="00622884">
        <w:trPr>
          <w:jc w:val="center"/>
        </w:trPr>
        <w:tc>
          <w:tcPr>
            <w:tcW w:w="971" w:type="pct"/>
            <w:tcBorders>
              <w:top w:val="single" w:sz="4" w:space="0" w:color="1D3C5A"/>
              <w:left w:val="single" w:sz="4" w:space="0" w:color="1D3C5A"/>
              <w:bottom w:val="single" w:sz="4" w:space="0" w:color="1D3C5A"/>
              <w:right w:val="single" w:sz="4" w:space="0" w:color="1D3C5A"/>
            </w:tcBorders>
            <w:vAlign w:val="center"/>
            <w:hideMark/>
          </w:tcPr>
          <w:p w14:paraId="1B39803B" w14:textId="77777777" w:rsidR="00622884" w:rsidRPr="00622884" w:rsidRDefault="00622884" w:rsidP="00622884">
            <w:pPr>
              <w:spacing w:after="0" w:line="240" w:lineRule="auto"/>
              <w:jc w:val="left"/>
              <w:rPr>
                <w:rFonts w:ascii="Garamond" w:eastAsia="Calibri" w:hAnsi="Garamond" w:cs="Calibri Light"/>
                <w:sz w:val="16"/>
                <w:szCs w:val="16"/>
                <w:lang w:eastAsia="es-ES"/>
              </w:rPr>
            </w:pPr>
            <w:r w:rsidRPr="00622884">
              <w:rPr>
                <w:rFonts w:ascii="Garamond" w:eastAsia="Calibri" w:hAnsi="Garamond" w:cs="Times New Roman"/>
                <w:sz w:val="16"/>
                <w:szCs w:val="16"/>
                <w:lang w:eastAsia="en-US" w:bidi="sq-AL"/>
              </w:rPr>
              <w:t>Të promovohet gazetaria investigative klimatike, ku gazetarët pyesin në mënyrë aktive politikëbërësit dhe kërkojnë llogaridhënie mbi angazhimet për përshtatje.</w:t>
            </w:r>
          </w:p>
        </w:tc>
        <w:tc>
          <w:tcPr>
            <w:tcW w:w="918" w:type="pct"/>
            <w:tcBorders>
              <w:top w:val="single" w:sz="4" w:space="0" w:color="1D3C5A"/>
              <w:left w:val="single" w:sz="4" w:space="0" w:color="1D3C5A"/>
              <w:bottom w:val="single" w:sz="4" w:space="0" w:color="1D3C5A"/>
              <w:right w:val="single" w:sz="4" w:space="0" w:color="1D3C5A"/>
            </w:tcBorders>
            <w:vAlign w:val="center"/>
          </w:tcPr>
          <w:p w14:paraId="07F92750" w14:textId="77777777" w:rsidR="00622884" w:rsidRPr="00622884" w:rsidRDefault="00622884" w:rsidP="00622884">
            <w:pPr>
              <w:spacing w:after="0" w:line="240" w:lineRule="auto"/>
              <w:jc w:val="left"/>
              <w:rPr>
                <w:rFonts w:ascii="Garamond" w:eastAsia="Calibri" w:hAnsi="Garamond" w:cs="Calibri Light"/>
                <w:sz w:val="16"/>
                <w:szCs w:val="16"/>
                <w:lang w:eastAsia="es-ES"/>
              </w:rPr>
            </w:pPr>
            <w:r w:rsidRPr="00622884">
              <w:rPr>
                <w:rFonts w:ascii="Garamond" w:eastAsia="Calibri" w:hAnsi="Garamond" w:cs="Times New Roman"/>
                <w:sz w:val="16"/>
                <w:szCs w:val="16"/>
                <w:lang w:eastAsia="en-US" w:bidi="sq-AL"/>
              </w:rPr>
              <w:t>Numri i historive investigative të publikuara</w:t>
            </w:r>
          </w:p>
          <w:p w14:paraId="7C65CD4C" w14:textId="77777777" w:rsidR="00622884" w:rsidRPr="00622884" w:rsidRDefault="00622884" w:rsidP="00622884">
            <w:pPr>
              <w:spacing w:after="0" w:line="240" w:lineRule="auto"/>
              <w:jc w:val="left"/>
              <w:rPr>
                <w:rFonts w:ascii="Garamond" w:eastAsia="Calibri" w:hAnsi="Garamond" w:cs="Calibri Light"/>
                <w:sz w:val="16"/>
                <w:szCs w:val="16"/>
                <w:lang w:eastAsia="es-ES"/>
              </w:rPr>
            </w:pPr>
          </w:p>
          <w:p w14:paraId="6881E760" w14:textId="77777777" w:rsidR="00622884" w:rsidRPr="00622884" w:rsidRDefault="00622884" w:rsidP="00622884">
            <w:pPr>
              <w:spacing w:after="0" w:line="240" w:lineRule="auto"/>
              <w:jc w:val="left"/>
              <w:rPr>
                <w:rFonts w:ascii="Garamond" w:eastAsia="Calibri" w:hAnsi="Garamond" w:cs="Calibri Light"/>
                <w:sz w:val="16"/>
                <w:szCs w:val="16"/>
                <w:lang w:eastAsia="es-ES"/>
              </w:rPr>
            </w:pPr>
            <w:r w:rsidRPr="00622884">
              <w:rPr>
                <w:rFonts w:ascii="Garamond" w:eastAsia="Calibri" w:hAnsi="Garamond" w:cs="Times New Roman"/>
                <w:sz w:val="16"/>
                <w:szCs w:val="16"/>
                <w:lang w:eastAsia="en-US" w:bidi="sq-AL"/>
              </w:rPr>
              <w:t>Numri i seancave të trajnimit për gazetarët</w:t>
            </w:r>
          </w:p>
        </w:tc>
        <w:tc>
          <w:tcPr>
            <w:tcW w:w="681" w:type="pct"/>
            <w:tcBorders>
              <w:top w:val="single" w:sz="4" w:space="0" w:color="1D3C5A"/>
              <w:left w:val="single" w:sz="4" w:space="0" w:color="1D3C5A"/>
              <w:bottom w:val="single" w:sz="4" w:space="0" w:color="1D3C5A"/>
              <w:right w:val="single" w:sz="4" w:space="0" w:color="1D3C5A"/>
            </w:tcBorders>
            <w:vAlign w:val="center"/>
          </w:tcPr>
          <w:p w14:paraId="5A963700" w14:textId="77777777" w:rsidR="00622884" w:rsidRPr="00622884" w:rsidRDefault="00622884" w:rsidP="00622884">
            <w:pPr>
              <w:spacing w:after="0" w:line="240" w:lineRule="auto"/>
              <w:jc w:val="left"/>
              <w:rPr>
                <w:rFonts w:ascii="Garamond" w:eastAsia="Calibri" w:hAnsi="Garamond" w:cs="Calibri Light"/>
                <w:sz w:val="16"/>
                <w:szCs w:val="16"/>
                <w:lang w:eastAsia="es-ES"/>
              </w:rPr>
            </w:pPr>
            <w:r w:rsidRPr="00622884">
              <w:rPr>
                <w:rFonts w:ascii="Garamond" w:eastAsia="Calibri" w:hAnsi="Garamond" w:cs="Times New Roman"/>
                <w:sz w:val="16"/>
                <w:szCs w:val="16"/>
                <w:lang w:eastAsia="en-US" w:bidi="sq-AL"/>
              </w:rPr>
              <w:t>8 raporte invstigative të publikuara</w:t>
            </w:r>
          </w:p>
          <w:p w14:paraId="4FC8CEC5" w14:textId="77777777" w:rsidR="00622884" w:rsidRPr="00622884" w:rsidRDefault="00622884" w:rsidP="00622884">
            <w:pPr>
              <w:spacing w:after="0" w:line="240" w:lineRule="auto"/>
              <w:jc w:val="left"/>
              <w:rPr>
                <w:rFonts w:ascii="Garamond" w:eastAsia="Calibri" w:hAnsi="Garamond" w:cs="Calibri Light"/>
                <w:sz w:val="16"/>
                <w:szCs w:val="16"/>
                <w:lang w:eastAsia="es-ES"/>
              </w:rPr>
            </w:pPr>
          </w:p>
          <w:p w14:paraId="65B13840" w14:textId="77777777" w:rsidR="00622884" w:rsidRPr="00622884" w:rsidRDefault="00622884" w:rsidP="00622884">
            <w:pPr>
              <w:spacing w:after="0" w:line="240" w:lineRule="auto"/>
              <w:jc w:val="left"/>
              <w:rPr>
                <w:rFonts w:ascii="Garamond" w:eastAsia="Calibri" w:hAnsi="Garamond" w:cs="Calibri Light"/>
                <w:sz w:val="16"/>
                <w:szCs w:val="16"/>
                <w:lang w:eastAsia="es-ES"/>
              </w:rPr>
            </w:pPr>
            <w:r w:rsidRPr="00622884">
              <w:rPr>
                <w:rFonts w:ascii="Garamond" w:eastAsia="Calibri" w:hAnsi="Garamond" w:cs="Times New Roman"/>
                <w:sz w:val="16"/>
                <w:szCs w:val="16"/>
                <w:lang w:eastAsia="en-US" w:bidi="sq-AL"/>
              </w:rPr>
              <w:t>4 seanca trajnimi</w:t>
            </w:r>
          </w:p>
        </w:tc>
        <w:tc>
          <w:tcPr>
            <w:tcW w:w="455" w:type="pct"/>
            <w:tcBorders>
              <w:top w:val="single" w:sz="4" w:space="0" w:color="1D3C5A"/>
              <w:left w:val="single" w:sz="4" w:space="0" w:color="1D3C5A"/>
              <w:bottom w:val="single" w:sz="4" w:space="0" w:color="1D3C5A"/>
              <w:right w:val="single" w:sz="4" w:space="0" w:color="1D3C5A"/>
            </w:tcBorders>
            <w:vAlign w:val="center"/>
          </w:tcPr>
          <w:p w14:paraId="5AC7E38A" w14:textId="77777777" w:rsidR="00622884" w:rsidRPr="00622884" w:rsidRDefault="00622884" w:rsidP="00622884">
            <w:pPr>
              <w:spacing w:after="0" w:line="240" w:lineRule="auto"/>
              <w:jc w:val="left"/>
              <w:rPr>
                <w:rFonts w:ascii="Garamond" w:eastAsia="Calibri" w:hAnsi="Garamond" w:cs="Calibri Light"/>
                <w:sz w:val="16"/>
                <w:szCs w:val="16"/>
                <w:lang w:eastAsia="es-ES"/>
              </w:rPr>
            </w:pPr>
            <w:r w:rsidRPr="00622884">
              <w:rPr>
                <w:rFonts w:ascii="Garamond" w:eastAsia="Calibri" w:hAnsi="Garamond" w:cs="Times New Roman"/>
                <w:sz w:val="16"/>
                <w:szCs w:val="16"/>
                <w:lang w:eastAsia="en-US" w:bidi="sq-AL"/>
              </w:rPr>
              <w:t>Qershor 2026 – dhjetor 2028</w:t>
            </w:r>
          </w:p>
          <w:p w14:paraId="4170FB60" w14:textId="77777777" w:rsidR="00622884" w:rsidRPr="00622884" w:rsidRDefault="00622884" w:rsidP="00622884">
            <w:pPr>
              <w:spacing w:after="0" w:line="240" w:lineRule="auto"/>
              <w:jc w:val="left"/>
              <w:rPr>
                <w:rFonts w:ascii="Garamond" w:eastAsia="Calibri" w:hAnsi="Garamond" w:cs="Calibri Light"/>
                <w:sz w:val="16"/>
                <w:szCs w:val="16"/>
                <w:lang w:eastAsia="es-ES"/>
              </w:rPr>
            </w:pPr>
          </w:p>
        </w:tc>
        <w:tc>
          <w:tcPr>
            <w:tcW w:w="600" w:type="pct"/>
            <w:tcBorders>
              <w:top w:val="single" w:sz="4" w:space="0" w:color="1D3C5A"/>
              <w:left w:val="single" w:sz="4" w:space="0" w:color="1D3C5A"/>
              <w:bottom w:val="single" w:sz="4" w:space="0" w:color="1D3C5A"/>
              <w:right w:val="single" w:sz="4" w:space="0" w:color="1D3C5A"/>
            </w:tcBorders>
            <w:vAlign w:val="center"/>
            <w:hideMark/>
          </w:tcPr>
          <w:p w14:paraId="26686E57" w14:textId="77777777" w:rsidR="00622884" w:rsidRPr="00622884" w:rsidRDefault="00622884" w:rsidP="00622884">
            <w:pPr>
              <w:spacing w:after="0" w:line="240" w:lineRule="auto"/>
              <w:jc w:val="left"/>
              <w:rPr>
                <w:rFonts w:ascii="Garamond" w:eastAsia="Calibri" w:hAnsi="Garamond" w:cs="Calibri Light"/>
                <w:sz w:val="16"/>
                <w:szCs w:val="16"/>
                <w:lang w:eastAsia="es-ES"/>
              </w:rPr>
            </w:pPr>
            <w:r w:rsidRPr="00622884">
              <w:rPr>
                <w:rFonts w:ascii="Garamond" w:eastAsia="Calibri" w:hAnsi="Garamond" w:cs="Times New Roman"/>
                <w:sz w:val="16"/>
                <w:szCs w:val="16"/>
                <w:lang w:eastAsia="en-US" w:bidi="sq-AL"/>
              </w:rPr>
              <w:t>Institucionet e Trajnimit të Gazetarëve.</w:t>
            </w:r>
          </w:p>
        </w:tc>
        <w:tc>
          <w:tcPr>
            <w:tcW w:w="621" w:type="pct"/>
            <w:tcBorders>
              <w:top w:val="single" w:sz="4" w:space="0" w:color="1D3C5A"/>
              <w:left w:val="single" w:sz="4" w:space="0" w:color="1D3C5A"/>
              <w:bottom w:val="single" w:sz="4" w:space="0" w:color="1D3C5A"/>
              <w:right w:val="single" w:sz="4" w:space="0" w:color="1D3C5A"/>
            </w:tcBorders>
            <w:vAlign w:val="center"/>
            <w:hideMark/>
          </w:tcPr>
          <w:p w14:paraId="0F5DB8A1" w14:textId="77777777" w:rsidR="00622884" w:rsidRPr="00622884" w:rsidRDefault="00622884" w:rsidP="00622884">
            <w:pPr>
              <w:spacing w:after="0" w:line="240" w:lineRule="auto"/>
              <w:jc w:val="left"/>
              <w:rPr>
                <w:rFonts w:ascii="Garamond" w:eastAsia="Calibri" w:hAnsi="Garamond" w:cs="Calibri Light"/>
                <w:sz w:val="16"/>
                <w:szCs w:val="16"/>
                <w:lang w:eastAsia="es-ES"/>
              </w:rPr>
            </w:pPr>
            <w:r w:rsidRPr="00622884">
              <w:rPr>
                <w:rFonts w:ascii="Garamond" w:eastAsia="Calibri" w:hAnsi="Garamond" w:cs="Times New Roman"/>
                <w:sz w:val="16"/>
                <w:szCs w:val="16"/>
                <w:lang w:eastAsia="en-US" w:bidi="sq-AL"/>
              </w:rPr>
              <w:t>150.000</w:t>
            </w:r>
          </w:p>
        </w:tc>
        <w:tc>
          <w:tcPr>
            <w:tcW w:w="754" w:type="pct"/>
            <w:tcBorders>
              <w:top w:val="single" w:sz="4" w:space="0" w:color="1D3C5A"/>
              <w:left w:val="single" w:sz="4" w:space="0" w:color="1D3C5A"/>
              <w:bottom w:val="single" w:sz="4" w:space="0" w:color="1D3C5A"/>
              <w:right w:val="single" w:sz="4" w:space="0" w:color="1D3C5A"/>
            </w:tcBorders>
            <w:vAlign w:val="center"/>
            <w:hideMark/>
          </w:tcPr>
          <w:p w14:paraId="1980B4BC" w14:textId="77777777" w:rsidR="00622884" w:rsidRPr="00622884" w:rsidRDefault="00622884" w:rsidP="00622884">
            <w:pPr>
              <w:spacing w:after="0" w:line="240" w:lineRule="auto"/>
              <w:jc w:val="left"/>
              <w:rPr>
                <w:rFonts w:ascii="Garamond" w:eastAsia="Calibri" w:hAnsi="Garamond" w:cs="Calibri Light"/>
                <w:sz w:val="16"/>
                <w:szCs w:val="16"/>
                <w:lang w:eastAsia="es-ES"/>
              </w:rPr>
            </w:pPr>
            <w:r w:rsidRPr="00622884">
              <w:rPr>
                <w:rFonts w:ascii="Garamond" w:eastAsia="Calibri" w:hAnsi="Garamond" w:cs="Times New Roman"/>
                <w:sz w:val="16"/>
                <w:szCs w:val="16"/>
                <w:lang w:eastAsia="en-US" w:bidi="sq-AL"/>
              </w:rPr>
              <w:t>Forcim i pavarësisë së medias në raportimin për klimën, duke sjellë diskutim publik më të informuar.</w:t>
            </w:r>
          </w:p>
        </w:tc>
      </w:tr>
      <w:tr w:rsidR="00622884" w:rsidRPr="00622884" w14:paraId="2E7F374D" w14:textId="77777777" w:rsidTr="00622884">
        <w:trPr>
          <w:jc w:val="center"/>
        </w:trPr>
        <w:tc>
          <w:tcPr>
            <w:tcW w:w="5000" w:type="pct"/>
            <w:gridSpan w:val="7"/>
            <w:tcBorders>
              <w:top w:val="single" w:sz="4" w:space="0" w:color="1D3C5A"/>
              <w:left w:val="single" w:sz="4" w:space="0" w:color="1D3C5A"/>
              <w:bottom w:val="single" w:sz="4" w:space="0" w:color="1D3C5A"/>
              <w:right w:val="single" w:sz="4" w:space="0" w:color="1D3C5A"/>
            </w:tcBorders>
            <w:shd w:val="clear" w:color="auto" w:fill="D6F2E9"/>
            <w:vAlign w:val="center"/>
            <w:hideMark/>
          </w:tcPr>
          <w:p w14:paraId="61485203" w14:textId="77777777" w:rsidR="00622884" w:rsidRPr="00622884" w:rsidRDefault="00622884" w:rsidP="00622884">
            <w:pPr>
              <w:spacing w:after="0" w:line="240" w:lineRule="auto"/>
              <w:jc w:val="left"/>
              <w:rPr>
                <w:rFonts w:ascii="Garamond" w:eastAsia="Calibri" w:hAnsi="Garamond" w:cs="Calibri Light"/>
                <w:b/>
                <w:bCs/>
                <w:sz w:val="16"/>
                <w:szCs w:val="16"/>
                <w:lang w:eastAsia="es-ES"/>
              </w:rPr>
            </w:pPr>
            <w:r w:rsidRPr="00622884">
              <w:rPr>
                <w:rFonts w:ascii="Garamond" w:eastAsia="Calibri" w:hAnsi="Garamond" w:cs="Times New Roman"/>
                <w:b/>
                <w:sz w:val="16"/>
                <w:szCs w:val="16"/>
                <w:lang w:eastAsia="en-US" w:bidi="sq-AL"/>
              </w:rPr>
              <w:t>Objektivi 2: Forcimi i koordinimit institucional</w:t>
            </w:r>
          </w:p>
        </w:tc>
      </w:tr>
      <w:tr w:rsidR="00622884" w:rsidRPr="00622884" w14:paraId="224C165B" w14:textId="77777777" w:rsidTr="00622884">
        <w:trPr>
          <w:jc w:val="center"/>
        </w:trPr>
        <w:tc>
          <w:tcPr>
            <w:tcW w:w="971" w:type="pct"/>
            <w:tcBorders>
              <w:top w:val="single" w:sz="4" w:space="0" w:color="1D3C5A"/>
              <w:left w:val="single" w:sz="4" w:space="0" w:color="1D3C5A"/>
              <w:bottom w:val="single" w:sz="4" w:space="0" w:color="1D3C5A"/>
              <w:right w:val="single" w:sz="4" w:space="0" w:color="1D3C5A"/>
            </w:tcBorders>
            <w:vAlign w:val="center"/>
            <w:hideMark/>
          </w:tcPr>
          <w:p w14:paraId="61794243" w14:textId="77777777" w:rsidR="00622884" w:rsidRPr="00622884" w:rsidRDefault="00622884" w:rsidP="00622884">
            <w:pPr>
              <w:spacing w:after="0" w:line="240" w:lineRule="auto"/>
              <w:jc w:val="left"/>
              <w:rPr>
                <w:rFonts w:ascii="Garamond" w:eastAsia="Calibri" w:hAnsi="Garamond" w:cs="Calibri Light"/>
                <w:sz w:val="16"/>
                <w:szCs w:val="16"/>
                <w:lang w:eastAsia="es-ES"/>
              </w:rPr>
            </w:pPr>
            <w:r w:rsidRPr="00622884">
              <w:rPr>
                <w:rFonts w:ascii="Garamond" w:eastAsia="Calibri" w:hAnsi="Garamond" w:cs="Times New Roman"/>
                <w:sz w:val="16"/>
                <w:szCs w:val="16"/>
                <w:lang w:eastAsia="en-US" w:bidi="sq-AL"/>
              </w:rPr>
              <w:t xml:space="preserve">Të zhvillohen </w:t>
            </w:r>
            <w:r w:rsidRPr="00622884">
              <w:rPr>
                <w:rFonts w:ascii="Garamond" w:eastAsia="Calibri" w:hAnsi="Garamond" w:cs="Times New Roman"/>
                <w:i/>
                <w:sz w:val="16"/>
                <w:szCs w:val="16"/>
                <w:lang w:eastAsia="en-US" w:bidi="sq-AL"/>
              </w:rPr>
              <w:t>workshop</w:t>
            </w:r>
            <w:r w:rsidRPr="00622884">
              <w:rPr>
                <w:rFonts w:ascii="Garamond" w:eastAsia="Calibri" w:hAnsi="Garamond" w:cs="Times New Roman"/>
                <w:sz w:val="16"/>
                <w:szCs w:val="16"/>
                <w:lang w:eastAsia="en-US" w:bidi="sq-AL"/>
              </w:rPr>
              <w:t>-e, trajnime dhe takime shumësektoriale me palët e interesit për bujqësinë, energjinë, transportin dhe turizmin për të përcaktuar rolet e tyre në strategjitë e përshtatjes.</w:t>
            </w:r>
          </w:p>
        </w:tc>
        <w:tc>
          <w:tcPr>
            <w:tcW w:w="918" w:type="pct"/>
            <w:tcBorders>
              <w:top w:val="single" w:sz="4" w:space="0" w:color="1D3C5A"/>
              <w:left w:val="single" w:sz="4" w:space="0" w:color="1D3C5A"/>
              <w:bottom w:val="single" w:sz="4" w:space="0" w:color="1D3C5A"/>
              <w:right w:val="single" w:sz="4" w:space="0" w:color="1D3C5A"/>
            </w:tcBorders>
            <w:vAlign w:val="center"/>
          </w:tcPr>
          <w:p w14:paraId="03EFF483" w14:textId="77777777" w:rsidR="00622884" w:rsidRPr="00622884" w:rsidRDefault="00622884" w:rsidP="00622884">
            <w:pPr>
              <w:spacing w:after="0" w:line="240" w:lineRule="auto"/>
              <w:jc w:val="left"/>
              <w:rPr>
                <w:rFonts w:ascii="Garamond" w:eastAsia="Calibri" w:hAnsi="Garamond" w:cs="Calibri Light"/>
                <w:sz w:val="16"/>
                <w:szCs w:val="16"/>
                <w:lang w:eastAsia="es-ES"/>
              </w:rPr>
            </w:pPr>
            <w:r w:rsidRPr="00622884">
              <w:rPr>
                <w:rFonts w:ascii="Garamond" w:eastAsia="Calibri" w:hAnsi="Garamond" w:cs="Times New Roman"/>
                <w:sz w:val="16"/>
                <w:szCs w:val="16"/>
                <w:lang w:eastAsia="en-US" w:bidi="sq-AL"/>
              </w:rPr>
              <w:t xml:space="preserve">Numri i </w:t>
            </w:r>
            <w:r w:rsidRPr="00622884">
              <w:rPr>
                <w:rFonts w:ascii="Garamond" w:eastAsia="Calibri" w:hAnsi="Garamond" w:cs="Times New Roman"/>
                <w:i/>
                <w:sz w:val="16"/>
                <w:szCs w:val="16"/>
                <w:lang w:eastAsia="en-US" w:bidi="sq-AL"/>
              </w:rPr>
              <w:t>workshop</w:t>
            </w:r>
            <w:r w:rsidRPr="00622884">
              <w:rPr>
                <w:rFonts w:ascii="Garamond" w:eastAsia="Calibri" w:hAnsi="Garamond" w:cs="Times New Roman"/>
                <w:sz w:val="16"/>
                <w:szCs w:val="16"/>
                <w:lang w:eastAsia="en-US" w:bidi="sq-AL"/>
              </w:rPr>
              <w:t xml:space="preserve">-eve, trajnimeve etj., sipas sektorit </w:t>
            </w:r>
          </w:p>
          <w:p w14:paraId="2783F5D8" w14:textId="77777777" w:rsidR="00622884" w:rsidRPr="00622884" w:rsidRDefault="00622884" w:rsidP="00622884">
            <w:pPr>
              <w:spacing w:after="0" w:line="240" w:lineRule="auto"/>
              <w:jc w:val="left"/>
              <w:rPr>
                <w:rFonts w:ascii="Garamond" w:eastAsia="Calibri" w:hAnsi="Garamond" w:cs="Calibri Light"/>
                <w:sz w:val="16"/>
                <w:szCs w:val="16"/>
                <w:lang w:eastAsia="es-ES"/>
              </w:rPr>
            </w:pPr>
          </w:p>
          <w:p w14:paraId="0C7B3869" w14:textId="77777777" w:rsidR="00622884" w:rsidRPr="00622884" w:rsidRDefault="00622884" w:rsidP="00622884">
            <w:pPr>
              <w:spacing w:after="0" w:line="240" w:lineRule="auto"/>
              <w:jc w:val="left"/>
              <w:rPr>
                <w:rFonts w:ascii="Garamond" w:eastAsia="Calibri" w:hAnsi="Garamond" w:cs="Calibri Light"/>
                <w:sz w:val="16"/>
                <w:szCs w:val="16"/>
                <w:lang w:eastAsia="es-ES"/>
              </w:rPr>
            </w:pPr>
            <w:r w:rsidRPr="00622884">
              <w:rPr>
                <w:rFonts w:ascii="Garamond" w:eastAsia="Calibri" w:hAnsi="Garamond" w:cs="Times New Roman"/>
                <w:sz w:val="16"/>
                <w:szCs w:val="16"/>
                <w:lang w:eastAsia="en-US" w:bidi="sq-AL"/>
              </w:rPr>
              <w:t xml:space="preserve">Numri </w:t>
            </w:r>
          </w:p>
          <w:p w14:paraId="6E2FDEEC" w14:textId="77777777" w:rsidR="00622884" w:rsidRPr="00622884" w:rsidRDefault="00622884" w:rsidP="00622884">
            <w:pPr>
              <w:spacing w:after="0" w:line="240" w:lineRule="auto"/>
              <w:jc w:val="left"/>
              <w:rPr>
                <w:rFonts w:ascii="Garamond" w:eastAsia="Calibri" w:hAnsi="Garamond" w:cs="Calibri Light"/>
                <w:sz w:val="16"/>
                <w:szCs w:val="16"/>
                <w:lang w:eastAsia="es-ES"/>
              </w:rPr>
            </w:pPr>
            <w:r w:rsidRPr="00622884">
              <w:rPr>
                <w:rFonts w:ascii="Garamond" w:eastAsia="Calibri" w:hAnsi="Garamond" w:cs="Times New Roman"/>
                <w:sz w:val="16"/>
                <w:szCs w:val="16"/>
                <w:lang w:eastAsia="en-US" w:bidi="sq-AL"/>
              </w:rPr>
              <w:t>i pjesëmarrësve</w:t>
            </w:r>
          </w:p>
        </w:tc>
        <w:tc>
          <w:tcPr>
            <w:tcW w:w="681" w:type="pct"/>
            <w:tcBorders>
              <w:top w:val="single" w:sz="4" w:space="0" w:color="1D3C5A"/>
              <w:left w:val="single" w:sz="4" w:space="0" w:color="1D3C5A"/>
              <w:bottom w:val="single" w:sz="4" w:space="0" w:color="1D3C5A"/>
              <w:right w:val="single" w:sz="4" w:space="0" w:color="1D3C5A"/>
            </w:tcBorders>
            <w:vAlign w:val="center"/>
          </w:tcPr>
          <w:p w14:paraId="3D87E837" w14:textId="77777777" w:rsidR="00622884" w:rsidRPr="00622884" w:rsidRDefault="00622884" w:rsidP="00622884">
            <w:pPr>
              <w:spacing w:after="0" w:line="240" w:lineRule="auto"/>
              <w:jc w:val="left"/>
              <w:rPr>
                <w:rFonts w:ascii="Garamond" w:eastAsia="Calibri" w:hAnsi="Garamond" w:cs="Calibri Light"/>
                <w:sz w:val="16"/>
                <w:szCs w:val="16"/>
                <w:lang w:eastAsia="es-ES"/>
              </w:rPr>
            </w:pPr>
            <w:r w:rsidRPr="00622884">
              <w:rPr>
                <w:rFonts w:ascii="Garamond" w:eastAsia="Calibri" w:hAnsi="Garamond" w:cs="Times New Roman"/>
                <w:sz w:val="16"/>
                <w:szCs w:val="16"/>
                <w:lang w:eastAsia="en-US" w:bidi="sq-AL"/>
              </w:rPr>
              <w:t xml:space="preserve">25 </w:t>
            </w:r>
            <w:r w:rsidRPr="00622884">
              <w:rPr>
                <w:rFonts w:ascii="Garamond" w:eastAsia="Calibri" w:hAnsi="Garamond" w:cs="Times New Roman"/>
                <w:i/>
                <w:sz w:val="16"/>
                <w:szCs w:val="16"/>
                <w:lang w:eastAsia="en-US" w:bidi="sq-AL"/>
              </w:rPr>
              <w:t>workshop</w:t>
            </w:r>
            <w:r w:rsidRPr="00622884">
              <w:rPr>
                <w:rFonts w:ascii="Garamond" w:eastAsia="Calibri" w:hAnsi="Garamond" w:cs="Times New Roman"/>
                <w:sz w:val="16"/>
                <w:szCs w:val="16"/>
                <w:lang w:eastAsia="en-US" w:bidi="sq-AL"/>
              </w:rPr>
              <w:t>-e, takime trajnimi etj.</w:t>
            </w:r>
          </w:p>
          <w:p w14:paraId="21E44FC9" w14:textId="77777777" w:rsidR="00622884" w:rsidRPr="00622884" w:rsidRDefault="00622884" w:rsidP="00622884">
            <w:pPr>
              <w:spacing w:after="0" w:line="240" w:lineRule="auto"/>
              <w:jc w:val="left"/>
              <w:rPr>
                <w:rFonts w:ascii="Garamond" w:eastAsia="Calibri" w:hAnsi="Garamond" w:cs="Calibri Light"/>
                <w:sz w:val="16"/>
                <w:szCs w:val="16"/>
                <w:lang w:eastAsia="es-ES"/>
              </w:rPr>
            </w:pPr>
          </w:p>
          <w:p w14:paraId="4ED5A8A3" w14:textId="77777777" w:rsidR="00622884" w:rsidRPr="00622884" w:rsidRDefault="00622884" w:rsidP="00622884">
            <w:pPr>
              <w:spacing w:after="0" w:line="240" w:lineRule="auto"/>
              <w:jc w:val="left"/>
              <w:rPr>
                <w:rFonts w:ascii="Garamond" w:eastAsia="Calibri" w:hAnsi="Garamond" w:cs="Calibri Light"/>
                <w:sz w:val="16"/>
                <w:szCs w:val="16"/>
                <w:lang w:eastAsia="es-ES"/>
              </w:rPr>
            </w:pPr>
            <w:r w:rsidRPr="00622884">
              <w:rPr>
                <w:rFonts w:ascii="Garamond" w:eastAsia="Calibri" w:hAnsi="Garamond" w:cs="Times New Roman"/>
                <w:sz w:val="16"/>
                <w:szCs w:val="16"/>
                <w:lang w:eastAsia="en-US" w:bidi="sq-AL"/>
              </w:rPr>
              <w:t>600 pjesëmarrës</w:t>
            </w:r>
          </w:p>
        </w:tc>
        <w:tc>
          <w:tcPr>
            <w:tcW w:w="455" w:type="pct"/>
            <w:tcBorders>
              <w:top w:val="single" w:sz="4" w:space="0" w:color="1D3C5A"/>
              <w:left w:val="single" w:sz="4" w:space="0" w:color="1D3C5A"/>
              <w:bottom w:val="single" w:sz="4" w:space="0" w:color="1D3C5A"/>
              <w:right w:val="single" w:sz="4" w:space="0" w:color="1D3C5A"/>
            </w:tcBorders>
            <w:vAlign w:val="center"/>
            <w:hideMark/>
          </w:tcPr>
          <w:p w14:paraId="75B34E27" w14:textId="77777777" w:rsidR="00622884" w:rsidRPr="00622884" w:rsidRDefault="00622884" w:rsidP="00622884">
            <w:pPr>
              <w:spacing w:after="0" w:line="240" w:lineRule="auto"/>
              <w:jc w:val="left"/>
              <w:rPr>
                <w:rFonts w:ascii="Garamond" w:eastAsia="Calibri" w:hAnsi="Garamond" w:cs="Calibri Light"/>
                <w:sz w:val="16"/>
                <w:szCs w:val="16"/>
                <w:lang w:eastAsia="es-ES"/>
              </w:rPr>
            </w:pPr>
            <w:r w:rsidRPr="00622884">
              <w:rPr>
                <w:rFonts w:ascii="Garamond" w:eastAsia="Calibri" w:hAnsi="Garamond" w:cs="Times New Roman"/>
                <w:sz w:val="16"/>
                <w:szCs w:val="16"/>
                <w:lang w:eastAsia="en-US" w:bidi="sq-AL"/>
              </w:rPr>
              <w:t>Qershor 2026 – qershor 2028</w:t>
            </w:r>
          </w:p>
        </w:tc>
        <w:tc>
          <w:tcPr>
            <w:tcW w:w="600" w:type="pct"/>
            <w:tcBorders>
              <w:top w:val="single" w:sz="4" w:space="0" w:color="1D3C5A"/>
              <w:left w:val="single" w:sz="4" w:space="0" w:color="1D3C5A"/>
              <w:bottom w:val="single" w:sz="4" w:space="0" w:color="1D3C5A"/>
              <w:right w:val="single" w:sz="4" w:space="0" w:color="1D3C5A"/>
            </w:tcBorders>
            <w:vAlign w:val="center"/>
            <w:hideMark/>
          </w:tcPr>
          <w:p w14:paraId="7ACA1F4E" w14:textId="77777777" w:rsidR="00622884" w:rsidRPr="00622884" w:rsidRDefault="00622884" w:rsidP="00622884">
            <w:pPr>
              <w:spacing w:after="0" w:line="240" w:lineRule="auto"/>
              <w:jc w:val="left"/>
              <w:rPr>
                <w:rFonts w:ascii="Garamond" w:eastAsia="Calibri" w:hAnsi="Garamond" w:cs="Calibri Light"/>
                <w:sz w:val="16"/>
                <w:szCs w:val="16"/>
                <w:lang w:eastAsia="es-ES"/>
              </w:rPr>
            </w:pPr>
            <w:r w:rsidRPr="00622884">
              <w:rPr>
                <w:rFonts w:ascii="Garamond" w:eastAsia="Calibri" w:hAnsi="Garamond" w:cs="Times New Roman"/>
                <w:sz w:val="16"/>
                <w:szCs w:val="16"/>
                <w:lang w:eastAsia="en-US" w:bidi="sq-AL"/>
              </w:rPr>
              <w:t>Ministritë Sektoriale; Partnerët e Sektorit Privat</w:t>
            </w:r>
          </w:p>
        </w:tc>
        <w:tc>
          <w:tcPr>
            <w:tcW w:w="621" w:type="pct"/>
            <w:tcBorders>
              <w:top w:val="single" w:sz="4" w:space="0" w:color="1D3C5A"/>
              <w:left w:val="single" w:sz="4" w:space="0" w:color="1D3C5A"/>
              <w:bottom w:val="single" w:sz="4" w:space="0" w:color="1D3C5A"/>
              <w:right w:val="single" w:sz="4" w:space="0" w:color="1D3C5A"/>
            </w:tcBorders>
            <w:vAlign w:val="center"/>
            <w:hideMark/>
          </w:tcPr>
          <w:p w14:paraId="371FFE54" w14:textId="77777777" w:rsidR="00622884" w:rsidRPr="00622884" w:rsidRDefault="00622884" w:rsidP="00622884">
            <w:pPr>
              <w:spacing w:after="0" w:line="240" w:lineRule="auto"/>
              <w:jc w:val="left"/>
              <w:rPr>
                <w:rFonts w:ascii="Garamond" w:eastAsia="Calibri" w:hAnsi="Garamond" w:cs="Calibri Light"/>
                <w:sz w:val="16"/>
                <w:szCs w:val="16"/>
                <w:lang w:eastAsia="es-ES"/>
              </w:rPr>
            </w:pPr>
            <w:r w:rsidRPr="00622884">
              <w:rPr>
                <w:rFonts w:ascii="Garamond" w:eastAsia="Calibri" w:hAnsi="Garamond" w:cs="Times New Roman"/>
                <w:sz w:val="16"/>
                <w:szCs w:val="16"/>
                <w:lang w:eastAsia="en-US" w:bidi="sq-AL"/>
              </w:rPr>
              <w:t>200.000</w:t>
            </w:r>
          </w:p>
        </w:tc>
        <w:tc>
          <w:tcPr>
            <w:tcW w:w="754" w:type="pct"/>
            <w:tcBorders>
              <w:top w:val="single" w:sz="4" w:space="0" w:color="1D3C5A"/>
              <w:left w:val="single" w:sz="4" w:space="0" w:color="1D3C5A"/>
              <w:bottom w:val="single" w:sz="4" w:space="0" w:color="1D3C5A"/>
              <w:right w:val="single" w:sz="4" w:space="0" w:color="1D3C5A"/>
            </w:tcBorders>
            <w:vAlign w:val="center"/>
            <w:hideMark/>
          </w:tcPr>
          <w:p w14:paraId="616CB441" w14:textId="77777777" w:rsidR="00622884" w:rsidRPr="00622884" w:rsidRDefault="00622884" w:rsidP="00622884">
            <w:pPr>
              <w:spacing w:after="0" w:line="240" w:lineRule="auto"/>
              <w:jc w:val="left"/>
              <w:rPr>
                <w:rFonts w:ascii="Garamond" w:eastAsia="Calibri" w:hAnsi="Garamond" w:cs="Calibri Light"/>
                <w:sz w:val="16"/>
                <w:szCs w:val="16"/>
                <w:lang w:eastAsia="es-ES"/>
              </w:rPr>
            </w:pPr>
            <w:r w:rsidRPr="00622884">
              <w:rPr>
                <w:rFonts w:ascii="Garamond" w:eastAsia="Calibri" w:hAnsi="Garamond" w:cs="Times New Roman"/>
                <w:sz w:val="16"/>
                <w:szCs w:val="16"/>
                <w:lang w:eastAsia="en-US" w:bidi="sq-AL"/>
              </w:rPr>
              <w:t>Të kuptuarit më të qartë të roleve, gjë që sjell strategji përshtatjeje më kohezive përfshirëse.</w:t>
            </w:r>
          </w:p>
        </w:tc>
      </w:tr>
      <w:tr w:rsidR="00622884" w:rsidRPr="00622884" w14:paraId="43A3EB9D" w14:textId="77777777" w:rsidTr="00622884">
        <w:trPr>
          <w:jc w:val="center"/>
        </w:trPr>
        <w:tc>
          <w:tcPr>
            <w:tcW w:w="971" w:type="pct"/>
            <w:tcBorders>
              <w:top w:val="single" w:sz="4" w:space="0" w:color="1D3C5A"/>
              <w:left w:val="single" w:sz="4" w:space="0" w:color="1D3C5A"/>
              <w:bottom w:val="single" w:sz="4" w:space="0" w:color="1D3C5A"/>
              <w:right w:val="single" w:sz="4" w:space="0" w:color="1D3C5A"/>
            </w:tcBorders>
            <w:vAlign w:val="center"/>
            <w:hideMark/>
          </w:tcPr>
          <w:p w14:paraId="5C025462" w14:textId="77777777" w:rsidR="00622884" w:rsidRPr="00622884" w:rsidRDefault="00622884" w:rsidP="00622884">
            <w:pPr>
              <w:spacing w:after="0" w:line="240" w:lineRule="auto"/>
              <w:jc w:val="left"/>
              <w:rPr>
                <w:rFonts w:ascii="Garamond" w:eastAsia="Calibri" w:hAnsi="Garamond" w:cs="Calibri Light"/>
                <w:sz w:val="16"/>
                <w:szCs w:val="16"/>
                <w:lang w:eastAsia="es-ES"/>
              </w:rPr>
            </w:pPr>
            <w:r w:rsidRPr="00622884">
              <w:rPr>
                <w:rFonts w:ascii="Garamond" w:eastAsia="Calibri" w:hAnsi="Garamond" w:cs="Times New Roman"/>
                <w:sz w:val="16"/>
                <w:szCs w:val="16"/>
                <w:lang w:eastAsia="en-US" w:bidi="sq-AL"/>
              </w:rPr>
              <w:t>Të krijohet një grup i posaçëm ekspertësh për klimën, duke u siguruar që gazetarët dhe politikëbërësit të kenë qasje të drejtpërdrejtë në informacion të besueshëm për raportim dhe vendimmarrje të bazuar në evidenca.</w:t>
            </w:r>
          </w:p>
        </w:tc>
        <w:tc>
          <w:tcPr>
            <w:tcW w:w="918" w:type="pct"/>
            <w:tcBorders>
              <w:top w:val="single" w:sz="4" w:space="0" w:color="1D3C5A"/>
              <w:left w:val="single" w:sz="4" w:space="0" w:color="1D3C5A"/>
              <w:bottom w:val="single" w:sz="4" w:space="0" w:color="1D3C5A"/>
              <w:right w:val="single" w:sz="4" w:space="0" w:color="1D3C5A"/>
            </w:tcBorders>
            <w:vAlign w:val="center"/>
          </w:tcPr>
          <w:p w14:paraId="606C1DB3" w14:textId="77777777" w:rsidR="00622884" w:rsidRPr="00622884" w:rsidRDefault="00622884" w:rsidP="00622884">
            <w:pPr>
              <w:spacing w:after="0" w:line="240" w:lineRule="auto"/>
              <w:jc w:val="left"/>
              <w:rPr>
                <w:rFonts w:ascii="Garamond" w:eastAsia="Calibri" w:hAnsi="Garamond" w:cs="Calibri Light"/>
                <w:sz w:val="16"/>
                <w:szCs w:val="16"/>
                <w:lang w:eastAsia="es-ES"/>
              </w:rPr>
            </w:pPr>
            <w:r w:rsidRPr="00622884">
              <w:rPr>
                <w:rFonts w:ascii="Garamond" w:eastAsia="Calibri" w:hAnsi="Garamond" w:cs="Times New Roman"/>
                <w:sz w:val="16"/>
                <w:szCs w:val="16"/>
                <w:lang w:eastAsia="en-US" w:bidi="sq-AL"/>
              </w:rPr>
              <w:t>Numri i profileve të ekspertëve të disponueshëm</w:t>
            </w:r>
          </w:p>
          <w:p w14:paraId="2EBC3DA9" w14:textId="77777777" w:rsidR="00622884" w:rsidRPr="00622884" w:rsidRDefault="00622884" w:rsidP="00622884">
            <w:pPr>
              <w:spacing w:after="0" w:line="240" w:lineRule="auto"/>
              <w:jc w:val="left"/>
              <w:rPr>
                <w:rFonts w:ascii="Garamond" w:eastAsia="Calibri" w:hAnsi="Garamond" w:cs="Calibri Light"/>
                <w:sz w:val="16"/>
                <w:szCs w:val="16"/>
                <w:lang w:eastAsia="es-ES"/>
              </w:rPr>
            </w:pPr>
          </w:p>
          <w:p w14:paraId="069649E0" w14:textId="77777777" w:rsidR="00622884" w:rsidRPr="00622884" w:rsidRDefault="00622884" w:rsidP="00622884">
            <w:pPr>
              <w:spacing w:after="0" w:line="240" w:lineRule="auto"/>
              <w:jc w:val="left"/>
              <w:rPr>
                <w:rFonts w:ascii="Garamond" w:eastAsia="Calibri" w:hAnsi="Garamond" w:cs="Calibri Light"/>
                <w:sz w:val="16"/>
                <w:szCs w:val="16"/>
                <w:lang w:eastAsia="es-ES"/>
              </w:rPr>
            </w:pPr>
            <w:r w:rsidRPr="00622884">
              <w:rPr>
                <w:rFonts w:ascii="Garamond" w:eastAsia="Calibri" w:hAnsi="Garamond" w:cs="Times New Roman"/>
                <w:sz w:val="16"/>
                <w:szCs w:val="16"/>
                <w:lang w:eastAsia="en-US" w:bidi="sq-AL"/>
              </w:rPr>
              <w:t>Numri i konsultimeve me ekspertë</w:t>
            </w:r>
          </w:p>
        </w:tc>
        <w:tc>
          <w:tcPr>
            <w:tcW w:w="681" w:type="pct"/>
            <w:tcBorders>
              <w:top w:val="single" w:sz="4" w:space="0" w:color="1D3C5A"/>
              <w:left w:val="single" w:sz="4" w:space="0" w:color="1D3C5A"/>
              <w:bottom w:val="single" w:sz="4" w:space="0" w:color="1D3C5A"/>
              <w:right w:val="single" w:sz="4" w:space="0" w:color="1D3C5A"/>
            </w:tcBorders>
            <w:vAlign w:val="center"/>
          </w:tcPr>
          <w:p w14:paraId="4E9CC2CF" w14:textId="77777777" w:rsidR="00622884" w:rsidRPr="00622884" w:rsidRDefault="00622884" w:rsidP="00622884">
            <w:pPr>
              <w:spacing w:after="0" w:line="240" w:lineRule="auto"/>
              <w:jc w:val="left"/>
              <w:rPr>
                <w:rFonts w:ascii="Garamond" w:eastAsia="Calibri" w:hAnsi="Garamond" w:cs="Calibri Light"/>
                <w:sz w:val="16"/>
                <w:szCs w:val="16"/>
                <w:lang w:eastAsia="es-ES"/>
              </w:rPr>
            </w:pPr>
            <w:r w:rsidRPr="00622884">
              <w:rPr>
                <w:rFonts w:ascii="Garamond" w:eastAsia="Calibri" w:hAnsi="Garamond" w:cs="Times New Roman"/>
                <w:sz w:val="16"/>
                <w:szCs w:val="16"/>
                <w:lang w:eastAsia="en-US" w:bidi="sq-AL"/>
              </w:rPr>
              <w:t>1 grup ekspertësh i krijuar</w:t>
            </w:r>
          </w:p>
          <w:p w14:paraId="6EEA4E05" w14:textId="77777777" w:rsidR="00622884" w:rsidRPr="00622884" w:rsidRDefault="00622884" w:rsidP="00622884">
            <w:pPr>
              <w:spacing w:after="0" w:line="240" w:lineRule="auto"/>
              <w:jc w:val="left"/>
              <w:rPr>
                <w:rFonts w:ascii="Garamond" w:eastAsia="Calibri" w:hAnsi="Garamond" w:cs="Calibri Light"/>
                <w:sz w:val="16"/>
                <w:szCs w:val="16"/>
                <w:lang w:eastAsia="es-ES"/>
              </w:rPr>
            </w:pPr>
          </w:p>
          <w:p w14:paraId="2DC01951" w14:textId="77777777" w:rsidR="00622884" w:rsidRPr="00622884" w:rsidRDefault="00622884" w:rsidP="00622884">
            <w:pPr>
              <w:spacing w:after="0" w:line="240" w:lineRule="auto"/>
              <w:jc w:val="left"/>
              <w:rPr>
                <w:rFonts w:ascii="Garamond" w:eastAsia="Calibri" w:hAnsi="Garamond" w:cs="Calibri Light"/>
                <w:sz w:val="16"/>
                <w:szCs w:val="16"/>
                <w:lang w:eastAsia="es-ES"/>
              </w:rPr>
            </w:pPr>
            <w:r w:rsidRPr="00622884">
              <w:rPr>
                <w:rFonts w:ascii="Garamond" w:eastAsia="Calibri" w:hAnsi="Garamond" w:cs="Times New Roman"/>
                <w:sz w:val="16"/>
                <w:szCs w:val="16"/>
                <w:lang w:eastAsia="en-US" w:bidi="sq-AL"/>
              </w:rPr>
              <w:t>50 konsulta të ofruara</w:t>
            </w:r>
          </w:p>
        </w:tc>
        <w:tc>
          <w:tcPr>
            <w:tcW w:w="455" w:type="pct"/>
            <w:tcBorders>
              <w:top w:val="single" w:sz="4" w:space="0" w:color="1D3C5A"/>
              <w:left w:val="single" w:sz="4" w:space="0" w:color="1D3C5A"/>
              <w:bottom w:val="single" w:sz="4" w:space="0" w:color="1D3C5A"/>
              <w:right w:val="single" w:sz="4" w:space="0" w:color="1D3C5A"/>
            </w:tcBorders>
            <w:vAlign w:val="center"/>
          </w:tcPr>
          <w:p w14:paraId="3D9809E0" w14:textId="77777777" w:rsidR="00622884" w:rsidRPr="00622884" w:rsidRDefault="00622884" w:rsidP="00622884">
            <w:pPr>
              <w:spacing w:after="0" w:line="240" w:lineRule="auto"/>
              <w:jc w:val="left"/>
              <w:rPr>
                <w:rFonts w:ascii="Garamond" w:eastAsia="Calibri" w:hAnsi="Garamond" w:cs="Calibri Light"/>
                <w:sz w:val="16"/>
                <w:szCs w:val="16"/>
                <w:lang w:eastAsia="es-ES"/>
              </w:rPr>
            </w:pPr>
            <w:r w:rsidRPr="00622884">
              <w:rPr>
                <w:rFonts w:ascii="Garamond" w:eastAsia="Calibri" w:hAnsi="Garamond" w:cs="Times New Roman"/>
                <w:sz w:val="16"/>
                <w:szCs w:val="16"/>
                <w:lang w:eastAsia="en-US" w:bidi="sq-AL"/>
              </w:rPr>
              <w:t>Janar 2026 – dhjetor 2027</w:t>
            </w:r>
          </w:p>
          <w:p w14:paraId="0CBF9ADD" w14:textId="77777777" w:rsidR="00622884" w:rsidRPr="00622884" w:rsidRDefault="00622884" w:rsidP="00622884">
            <w:pPr>
              <w:spacing w:after="0" w:line="240" w:lineRule="auto"/>
              <w:jc w:val="left"/>
              <w:rPr>
                <w:rFonts w:ascii="Garamond" w:eastAsia="Calibri" w:hAnsi="Garamond" w:cs="Calibri Light"/>
                <w:sz w:val="16"/>
                <w:szCs w:val="16"/>
                <w:lang w:eastAsia="es-ES"/>
              </w:rPr>
            </w:pPr>
          </w:p>
        </w:tc>
        <w:tc>
          <w:tcPr>
            <w:tcW w:w="600" w:type="pct"/>
            <w:tcBorders>
              <w:top w:val="single" w:sz="4" w:space="0" w:color="1D3C5A"/>
              <w:left w:val="single" w:sz="4" w:space="0" w:color="1D3C5A"/>
              <w:bottom w:val="single" w:sz="4" w:space="0" w:color="1D3C5A"/>
              <w:right w:val="single" w:sz="4" w:space="0" w:color="1D3C5A"/>
            </w:tcBorders>
            <w:vAlign w:val="center"/>
          </w:tcPr>
          <w:p w14:paraId="2DA4C483" w14:textId="77777777" w:rsidR="00622884" w:rsidRPr="00622884" w:rsidRDefault="00622884" w:rsidP="00622884">
            <w:pPr>
              <w:spacing w:after="0" w:line="240" w:lineRule="auto"/>
              <w:jc w:val="left"/>
              <w:rPr>
                <w:rFonts w:ascii="Garamond" w:eastAsia="Calibri" w:hAnsi="Garamond" w:cs="Times New Roman"/>
                <w:sz w:val="16"/>
                <w:szCs w:val="16"/>
                <w:lang w:eastAsia="en-US" w:bidi="sq-AL"/>
              </w:rPr>
            </w:pPr>
            <w:r w:rsidRPr="00622884">
              <w:rPr>
                <w:rFonts w:ascii="Garamond" w:eastAsia="Calibri" w:hAnsi="Garamond" w:cs="Times New Roman"/>
                <w:sz w:val="16"/>
                <w:szCs w:val="16"/>
                <w:lang w:eastAsia="en-US" w:bidi="sq-AL"/>
              </w:rPr>
              <w:t>Ekspertë të sektorëve</w:t>
            </w:r>
          </w:p>
          <w:p w14:paraId="2513A038" w14:textId="77777777" w:rsidR="00622884" w:rsidRPr="00622884" w:rsidRDefault="00622884" w:rsidP="00622884">
            <w:pPr>
              <w:spacing w:after="0" w:line="240" w:lineRule="auto"/>
              <w:jc w:val="left"/>
              <w:rPr>
                <w:rFonts w:ascii="Garamond" w:eastAsia="Calibri" w:hAnsi="Garamond" w:cs="Calibri Light"/>
                <w:sz w:val="16"/>
                <w:szCs w:val="16"/>
                <w:lang w:eastAsia="es-ES"/>
              </w:rPr>
            </w:pPr>
            <w:r w:rsidRPr="00622884">
              <w:rPr>
                <w:rFonts w:ascii="Garamond" w:eastAsia="Calibri" w:hAnsi="Garamond" w:cs="Times New Roman"/>
                <w:sz w:val="16"/>
                <w:szCs w:val="16"/>
                <w:lang w:eastAsia="en-US" w:bidi="sq-AL"/>
              </w:rPr>
              <w:t xml:space="preserve">UNDP </w:t>
            </w:r>
          </w:p>
          <w:p w14:paraId="7CF65AE2" w14:textId="77777777" w:rsidR="00622884" w:rsidRPr="00622884" w:rsidRDefault="00622884" w:rsidP="00622884">
            <w:pPr>
              <w:spacing w:after="0" w:line="240" w:lineRule="auto"/>
              <w:jc w:val="left"/>
              <w:rPr>
                <w:rFonts w:ascii="Garamond" w:eastAsia="Calibri" w:hAnsi="Garamond" w:cs="Calibri Light"/>
                <w:sz w:val="16"/>
                <w:szCs w:val="16"/>
                <w:lang w:eastAsia="es-ES"/>
              </w:rPr>
            </w:pPr>
            <w:r w:rsidRPr="00622884">
              <w:rPr>
                <w:rFonts w:ascii="Garamond" w:eastAsia="Calibri" w:hAnsi="Garamond" w:cs="Times New Roman"/>
                <w:sz w:val="16"/>
                <w:szCs w:val="16"/>
                <w:lang w:eastAsia="en-US" w:bidi="sq-AL"/>
              </w:rPr>
              <w:t>Gazetarët</w:t>
            </w:r>
          </w:p>
          <w:p w14:paraId="12098871" w14:textId="77777777" w:rsidR="00622884" w:rsidRPr="00622884" w:rsidRDefault="00622884" w:rsidP="00622884">
            <w:pPr>
              <w:spacing w:after="0" w:line="240" w:lineRule="auto"/>
              <w:jc w:val="left"/>
              <w:rPr>
                <w:rFonts w:ascii="Garamond" w:eastAsia="Calibri" w:hAnsi="Garamond" w:cs="Calibri Light"/>
                <w:sz w:val="16"/>
                <w:szCs w:val="16"/>
                <w:lang w:eastAsia="es-ES"/>
              </w:rPr>
            </w:pPr>
          </w:p>
        </w:tc>
        <w:tc>
          <w:tcPr>
            <w:tcW w:w="621" w:type="pct"/>
            <w:tcBorders>
              <w:top w:val="single" w:sz="4" w:space="0" w:color="1D3C5A"/>
              <w:left w:val="single" w:sz="4" w:space="0" w:color="1D3C5A"/>
              <w:bottom w:val="single" w:sz="4" w:space="0" w:color="1D3C5A"/>
              <w:right w:val="single" w:sz="4" w:space="0" w:color="1D3C5A"/>
            </w:tcBorders>
            <w:vAlign w:val="center"/>
            <w:hideMark/>
          </w:tcPr>
          <w:p w14:paraId="12C3FFBD" w14:textId="77777777" w:rsidR="00622884" w:rsidRPr="00622884" w:rsidRDefault="00622884" w:rsidP="00622884">
            <w:pPr>
              <w:spacing w:after="0" w:line="240" w:lineRule="auto"/>
              <w:jc w:val="left"/>
              <w:rPr>
                <w:rFonts w:ascii="Garamond" w:eastAsia="Calibri" w:hAnsi="Garamond" w:cs="Calibri Light"/>
                <w:sz w:val="16"/>
                <w:szCs w:val="16"/>
                <w:lang w:eastAsia="es-ES"/>
              </w:rPr>
            </w:pPr>
            <w:r w:rsidRPr="00622884">
              <w:rPr>
                <w:rFonts w:ascii="Garamond" w:eastAsia="Calibri" w:hAnsi="Garamond" w:cs="Times New Roman"/>
                <w:sz w:val="16"/>
                <w:szCs w:val="16"/>
                <w:lang w:eastAsia="en-US" w:bidi="sq-AL"/>
              </w:rPr>
              <w:t>75.000</w:t>
            </w:r>
          </w:p>
        </w:tc>
        <w:tc>
          <w:tcPr>
            <w:tcW w:w="754" w:type="pct"/>
            <w:tcBorders>
              <w:top w:val="single" w:sz="4" w:space="0" w:color="1D3C5A"/>
              <w:left w:val="single" w:sz="4" w:space="0" w:color="1D3C5A"/>
              <w:bottom w:val="single" w:sz="4" w:space="0" w:color="1D3C5A"/>
              <w:right w:val="single" w:sz="4" w:space="0" w:color="1D3C5A"/>
            </w:tcBorders>
            <w:vAlign w:val="center"/>
            <w:hideMark/>
          </w:tcPr>
          <w:p w14:paraId="0436C157" w14:textId="77777777" w:rsidR="00622884" w:rsidRPr="00622884" w:rsidRDefault="00622884" w:rsidP="00622884">
            <w:pPr>
              <w:spacing w:after="0" w:line="240" w:lineRule="auto"/>
              <w:jc w:val="left"/>
              <w:rPr>
                <w:rFonts w:ascii="Garamond" w:eastAsia="Calibri" w:hAnsi="Garamond" w:cs="Calibri Light"/>
                <w:sz w:val="16"/>
                <w:szCs w:val="16"/>
                <w:lang w:eastAsia="es-ES"/>
              </w:rPr>
            </w:pPr>
            <w:r w:rsidRPr="00622884">
              <w:rPr>
                <w:rFonts w:ascii="Garamond" w:eastAsia="Calibri" w:hAnsi="Garamond" w:cs="Times New Roman"/>
                <w:sz w:val="16"/>
                <w:szCs w:val="16"/>
                <w:lang w:eastAsia="en-US" w:bidi="sq-AL"/>
              </w:rPr>
              <w:t>Cilësi e përmirësuar e diskutimit për ndryshimet klimatike në media dhe politikëbërje.</w:t>
            </w:r>
          </w:p>
        </w:tc>
      </w:tr>
      <w:tr w:rsidR="00622884" w:rsidRPr="00622884" w14:paraId="2CC7AD4C" w14:textId="77777777" w:rsidTr="00622884">
        <w:trPr>
          <w:jc w:val="center"/>
        </w:trPr>
        <w:tc>
          <w:tcPr>
            <w:tcW w:w="971" w:type="pct"/>
            <w:tcBorders>
              <w:top w:val="single" w:sz="4" w:space="0" w:color="1D3C5A"/>
              <w:left w:val="single" w:sz="4" w:space="0" w:color="1D3C5A"/>
              <w:bottom w:val="single" w:sz="4" w:space="0" w:color="1D3C5A"/>
              <w:right w:val="single" w:sz="4" w:space="0" w:color="1D3C5A"/>
            </w:tcBorders>
            <w:vAlign w:val="center"/>
            <w:hideMark/>
          </w:tcPr>
          <w:p w14:paraId="0292CB0B" w14:textId="77777777" w:rsidR="00622884" w:rsidRPr="00622884" w:rsidRDefault="00622884" w:rsidP="00622884">
            <w:pPr>
              <w:spacing w:after="0" w:line="240" w:lineRule="auto"/>
              <w:jc w:val="left"/>
              <w:rPr>
                <w:rFonts w:ascii="Garamond" w:eastAsia="Calibri" w:hAnsi="Garamond" w:cs="Calibri Light"/>
                <w:sz w:val="16"/>
                <w:szCs w:val="16"/>
                <w:lang w:eastAsia="es-ES"/>
              </w:rPr>
            </w:pPr>
            <w:r w:rsidRPr="00622884">
              <w:rPr>
                <w:rFonts w:ascii="Garamond" w:eastAsia="Calibri" w:hAnsi="Garamond" w:cs="Times New Roman"/>
                <w:sz w:val="16"/>
                <w:szCs w:val="16"/>
                <w:lang w:eastAsia="en-US" w:bidi="sq-AL"/>
              </w:rPr>
              <w:t>Të sigurohet bashkëpunim më i gjerë midis gazetarëve dhe punonjës kërkimor-shkencor të klimës, për t’i bërë të dhënat e ndërlikuara më të arritshme për publikun.</w:t>
            </w:r>
          </w:p>
        </w:tc>
        <w:tc>
          <w:tcPr>
            <w:tcW w:w="918" w:type="pct"/>
            <w:tcBorders>
              <w:top w:val="single" w:sz="4" w:space="0" w:color="1D3C5A"/>
              <w:left w:val="single" w:sz="4" w:space="0" w:color="1D3C5A"/>
              <w:bottom w:val="single" w:sz="4" w:space="0" w:color="1D3C5A"/>
              <w:right w:val="single" w:sz="4" w:space="0" w:color="1D3C5A"/>
            </w:tcBorders>
            <w:vAlign w:val="center"/>
          </w:tcPr>
          <w:p w14:paraId="548412C7" w14:textId="77777777" w:rsidR="00622884" w:rsidRPr="00622884" w:rsidRDefault="00622884" w:rsidP="00622884">
            <w:pPr>
              <w:spacing w:after="0" w:line="240" w:lineRule="auto"/>
              <w:jc w:val="left"/>
              <w:rPr>
                <w:rFonts w:ascii="Garamond" w:eastAsia="Calibri" w:hAnsi="Garamond" w:cs="Calibri Light"/>
                <w:sz w:val="16"/>
                <w:szCs w:val="16"/>
                <w:lang w:eastAsia="es-ES"/>
              </w:rPr>
            </w:pPr>
            <w:r w:rsidRPr="00622884">
              <w:rPr>
                <w:rFonts w:ascii="Garamond" w:eastAsia="Calibri" w:hAnsi="Garamond" w:cs="Times New Roman"/>
                <w:sz w:val="16"/>
                <w:szCs w:val="16"/>
                <w:lang w:eastAsia="en-US" w:bidi="sq-AL"/>
              </w:rPr>
              <w:t>Numri i bashkëpunimeve</w:t>
            </w:r>
          </w:p>
          <w:p w14:paraId="69D13575" w14:textId="77777777" w:rsidR="00622884" w:rsidRPr="00622884" w:rsidRDefault="00622884" w:rsidP="00622884">
            <w:pPr>
              <w:spacing w:after="0" w:line="240" w:lineRule="auto"/>
              <w:jc w:val="left"/>
              <w:rPr>
                <w:rFonts w:ascii="Garamond" w:eastAsia="Calibri" w:hAnsi="Garamond" w:cs="Calibri Light"/>
                <w:sz w:val="16"/>
                <w:szCs w:val="16"/>
                <w:lang w:eastAsia="es-ES"/>
              </w:rPr>
            </w:pPr>
          </w:p>
          <w:p w14:paraId="19FCC031" w14:textId="77777777" w:rsidR="00622884" w:rsidRPr="00622884" w:rsidRDefault="00622884" w:rsidP="00622884">
            <w:pPr>
              <w:spacing w:after="0" w:line="240" w:lineRule="auto"/>
              <w:jc w:val="left"/>
              <w:rPr>
                <w:rFonts w:ascii="Garamond" w:eastAsia="Calibri" w:hAnsi="Garamond" w:cs="Calibri Light"/>
                <w:sz w:val="16"/>
                <w:szCs w:val="16"/>
                <w:lang w:eastAsia="es-ES"/>
              </w:rPr>
            </w:pPr>
            <w:r w:rsidRPr="00622884">
              <w:rPr>
                <w:rFonts w:ascii="Garamond" w:eastAsia="Calibri" w:hAnsi="Garamond" w:cs="Times New Roman"/>
                <w:sz w:val="16"/>
                <w:szCs w:val="16"/>
                <w:lang w:eastAsia="en-US" w:bidi="sq-AL"/>
              </w:rPr>
              <w:t>Numri i raporteve të thjeshtuara të publikuara për klimën</w:t>
            </w:r>
          </w:p>
        </w:tc>
        <w:tc>
          <w:tcPr>
            <w:tcW w:w="681" w:type="pct"/>
            <w:tcBorders>
              <w:top w:val="single" w:sz="4" w:space="0" w:color="1D3C5A"/>
              <w:left w:val="single" w:sz="4" w:space="0" w:color="1D3C5A"/>
              <w:bottom w:val="single" w:sz="4" w:space="0" w:color="1D3C5A"/>
              <w:right w:val="single" w:sz="4" w:space="0" w:color="1D3C5A"/>
            </w:tcBorders>
            <w:vAlign w:val="center"/>
          </w:tcPr>
          <w:p w14:paraId="1065E6DA" w14:textId="77777777" w:rsidR="00622884" w:rsidRPr="00622884" w:rsidRDefault="00622884" w:rsidP="00622884">
            <w:pPr>
              <w:spacing w:after="0" w:line="240" w:lineRule="auto"/>
              <w:jc w:val="left"/>
              <w:rPr>
                <w:rFonts w:ascii="Garamond" w:eastAsia="Calibri" w:hAnsi="Garamond" w:cs="Calibri Light"/>
                <w:sz w:val="16"/>
                <w:szCs w:val="16"/>
                <w:lang w:eastAsia="es-ES"/>
              </w:rPr>
            </w:pPr>
            <w:r w:rsidRPr="00622884">
              <w:rPr>
                <w:rFonts w:ascii="Garamond" w:eastAsia="Calibri" w:hAnsi="Garamond" w:cs="Times New Roman"/>
                <w:sz w:val="16"/>
                <w:szCs w:val="16"/>
                <w:lang w:eastAsia="en-US" w:bidi="sq-AL"/>
              </w:rPr>
              <w:t xml:space="preserve">5 </w:t>
            </w:r>
            <w:r w:rsidRPr="00622884">
              <w:rPr>
                <w:rFonts w:ascii="Garamond" w:eastAsia="Calibri" w:hAnsi="Garamond" w:cs="Times New Roman"/>
                <w:i/>
                <w:sz w:val="16"/>
                <w:szCs w:val="16"/>
                <w:lang w:eastAsia="en-US" w:bidi="sq-AL"/>
              </w:rPr>
              <w:t>workshop</w:t>
            </w:r>
            <w:r w:rsidRPr="00622884">
              <w:rPr>
                <w:rFonts w:ascii="Garamond" w:eastAsia="Calibri" w:hAnsi="Garamond" w:cs="Times New Roman"/>
                <w:sz w:val="16"/>
                <w:szCs w:val="16"/>
                <w:lang w:eastAsia="en-US" w:bidi="sq-AL"/>
              </w:rPr>
              <w:t>-e me gazetarë ekspertë</w:t>
            </w:r>
          </w:p>
          <w:p w14:paraId="305604E0" w14:textId="77777777" w:rsidR="00622884" w:rsidRPr="00622884" w:rsidRDefault="00622884" w:rsidP="00622884">
            <w:pPr>
              <w:spacing w:after="0" w:line="240" w:lineRule="auto"/>
              <w:jc w:val="left"/>
              <w:rPr>
                <w:rFonts w:ascii="Garamond" w:eastAsia="Calibri" w:hAnsi="Garamond" w:cs="Calibri Light"/>
                <w:sz w:val="16"/>
                <w:szCs w:val="16"/>
                <w:lang w:eastAsia="es-ES"/>
              </w:rPr>
            </w:pPr>
          </w:p>
          <w:p w14:paraId="6F05CA62" w14:textId="77777777" w:rsidR="00622884" w:rsidRPr="00622884" w:rsidRDefault="00622884" w:rsidP="00622884">
            <w:pPr>
              <w:spacing w:after="0" w:line="240" w:lineRule="auto"/>
              <w:jc w:val="left"/>
              <w:rPr>
                <w:rFonts w:ascii="Garamond" w:eastAsia="Calibri" w:hAnsi="Garamond" w:cs="Calibri Light"/>
                <w:sz w:val="16"/>
                <w:szCs w:val="16"/>
                <w:lang w:eastAsia="es-ES"/>
              </w:rPr>
            </w:pPr>
            <w:r w:rsidRPr="00622884">
              <w:rPr>
                <w:rFonts w:ascii="Garamond" w:eastAsia="Calibri" w:hAnsi="Garamond" w:cs="Times New Roman"/>
                <w:sz w:val="16"/>
                <w:szCs w:val="16"/>
                <w:lang w:eastAsia="en-US" w:bidi="sq-AL"/>
              </w:rPr>
              <w:t>10 raporte të publikuara për klimën</w:t>
            </w:r>
          </w:p>
        </w:tc>
        <w:tc>
          <w:tcPr>
            <w:tcW w:w="455" w:type="pct"/>
            <w:tcBorders>
              <w:top w:val="single" w:sz="4" w:space="0" w:color="1D3C5A"/>
              <w:left w:val="single" w:sz="4" w:space="0" w:color="1D3C5A"/>
              <w:bottom w:val="single" w:sz="4" w:space="0" w:color="1D3C5A"/>
              <w:right w:val="single" w:sz="4" w:space="0" w:color="1D3C5A"/>
            </w:tcBorders>
            <w:vAlign w:val="center"/>
            <w:hideMark/>
          </w:tcPr>
          <w:p w14:paraId="4C31F69B" w14:textId="77777777" w:rsidR="00622884" w:rsidRPr="00622884" w:rsidRDefault="00622884" w:rsidP="00622884">
            <w:pPr>
              <w:spacing w:after="0" w:line="240" w:lineRule="auto"/>
              <w:jc w:val="left"/>
              <w:rPr>
                <w:rFonts w:ascii="Garamond" w:eastAsia="Calibri" w:hAnsi="Garamond" w:cs="Calibri Light"/>
                <w:sz w:val="16"/>
                <w:szCs w:val="16"/>
                <w:lang w:eastAsia="es-ES"/>
              </w:rPr>
            </w:pPr>
            <w:r w:rsidRPr="00622884">
              <w:rPr>
                <w:rFonts w:ascii="Garamond" w:eastAsia="Calibri" w:hAnsi="Garamond" w:cs="Times New Roman"/>
                <w:sz w:val="16"/>
                <w:szCs w:val="16"/>
                <w:lang w:eastAsia="en-US" w:bidi="sq-AL"/>
              </w:rPr>
              <w:t>Prill 2026 – dhjetor 2028</w:t>
            </w:r>
          </w:p>
        </w:tc>
        <w:tc>
          <w:tcPr>
            <w:tcW w:w="600" w:type="pct"/>
            <w:tcBorders>
              <w:top w:val="single" w:sz="4" w:space="0" w:color="1D3C5A"/>
              <w:left w:val="single" w:sz="4" w:space="0" w:color="1D3C5A"/>
              <w:bottom w:val="single" w:sz="4" w:space="0" w:color="1D3C5A"/>
              <w:right w:val="single" w:sz="4" w:space="0" w:color="1D3C5A"/>
            </w:tcBorders>
            <w:vAlign w:val="center"/>
            <w:hideMark/>
          </w:tcPr>
          <w:p w14:paraId="33CE6C74" w14:textId="77777777" w:rsidR="00622884" w:rsidRPr="00622884" w:rsidRDefault="00622884" w:rsidP="00622884">
            <w:pPr>
              <w:spacing w:after="0" w:line="240" w:lineRule="auto"/>
              <w:jc w:val="left"/>
              <w:rPr>
                <w:rFonts w:ascii="Garamond" w:eastAsia="Calibri" w:hAnsi="Garamond" w:cs="Calibri Light"/>
                <w:sz w:val="16"/>
                <w:szCs w:val="16"/>
                <w:lang w:eastAsia="es-ES"/>
              </w:rPr>
            </w:pPr>
            <w:r w:rsidRPr="00622884">
              <w:rPr>
                <w:rFonts w:ascii="Garamond" w:eastAsia="Calibri" w:hAnsi="Garamond" w:cs="Times New Roman"/>
                <w:sz w:val="16"/>
                <w:szCs w:val="16"/>
                <w:lang w:eastAsia="en-US" w:bidi="sq-AL"/>
              </w:rPr>
              <w:t>Institucionet kërkimore për klimën</w:t>
            </w:r>
          </w:p>
          <w:p w14:paraId="1123774F" w14:textId="77777777" w:rsidR="00622884" w:rsidRPr="00622884" w:rsidRDefault="00622884" w:rsidP="00622884">
            <w:pPr>
              <w:spacing w:after="0" w:line="240" w:lineRule="auto"/>
              <w:jc w:val="left"/>
              <w:rPr>
                <w:rFonts w:ascii="Garamond" w:eastAsia="Calibri" w:hAnsi="Garamond" w:cs="Calibri Light"/>
                <w:sz w:val="16"/>
                <w:szCs w:val="16"/>
                <w:lang w:eastAsia="es-ES"/>
              </w:rPr>
            </w:pPr>
            <w:r w:rsidRPr="00622884">
              <w:rPr>
                <w:rFonts w:ascii="Garamond" w:eastAsia="Calibri" w:hAnsi="Garamond" w:cs="Times New Roman"/>
                <w:sz w:val="16"/>
                <w:szCs w:val="16"/>
                <w:lang w:eastAsia="en-US" w:bidi="sq-AL"/>
              </w:rPr>
              <w:t>Gazetarët</w:t>
            </w:r>
          </w:p>
          <w:p w14:paraId="18A4CB06" w14:textId="77777777" w:rsidR="00622884" w:rsidRPr="00622884" w:rsidRDefault="00622884" w:rsidP="00622884">
            <w:pPr>
              <w:spacing w:after="0" w:line="240" w:lineRule="auto"/>
              <w:jc w:val="left"/>
              <w:rPr>
                <w:rFonts w:ascii="Garamond" w:eastAsia="Calibri" w:hAnsi="Garamond" w:cs="Calibri Light"/>
                <w:sz w:val="16"/>
                <w:szCs w:val="16"/>
                <w:lang w:eastAsia="es-ES"/>
              </w:rPr>
            </w:pPr>
            <w:r w:rsidRPr="00622884">
              <w:rPr>
                <w:rFonts w:ascii="Garamond" w:eastAsia="Calibri" w:hAnsi="Garamond" w:cs="Times New Roman"/>
                <w:sz w:val="16"/>
                <w:szCs w:val="16"/>
                <w:lang w:eastAsia="en-US" w:bidi="sq-AL"/>
              </w:rPr>
              <w:t>UNDP</w:t>
            </w:r>
          </w:p>
        </w:tc>
        <w:tc>
          <w:tcPr>
            <w:tcW w:w="621" w:type="pct"/>
            <w:tcBorders>
              <w:top w:val="single" w:sz="4" w:space="0" w:color="1D3C5A"/>
              <w:left w:val="single" w:sz="4" w:space="0" w:color="1D3C5A"/>
              <w:bottom w:val="single" w:sz="4" w:space="0" w:color="1D3C5A"/>
              <w:right w:val="single" w:sz="4" w:space="0" w:color="1D3C5A"/>
            </w:tcBorders>
            <w:vAlign w:val="center"/>
            <w:hideMark/>
          </w:tcPr>
          <w:p w14:paraId="050D56F0" w14:textId="77777777" w:rsidR="00622884" w:rsidRPr="00622884" w:rsidRDefault="00622884" w:rsidP="00622884">
            <w:pPr>
              <w:spacing w:after="0" w:line="240" w:lineRule="auto"/>
              <w:jc w:val="left"/>
              <w:rPr>
                <w:rFonts w:ascii="Garamond" w:eastAsia="Calibri" w:hAnsi="Garamond" w:cs="Calibri Light"/>
                <w:sz w:val="16"/>
                <w:szCs w:val="16"/>
                <w:lang w:eastAsia="es-ES"/>
              </w:rPr>
            </w:pPr>
            <w:r w:rsidRPr="00622884">
              <w:rPr>
                <w:rFonts w:ascii="Garamond" w:eastAsia="Calibri" w:hAnsi="Garamond" w:cs="Times New Roman"/>
                <w:sz w:val="16"/>
                <w:szCs w:val="16"/>
                <w:lang w:eastAsia="en-US" w:bidi="sq-AL"/>
              </w:rPr>
              <w:t>100.000</w:t>
            </w:r>
          </w:p>
        </w:tc>
        <w:tc>
          <w:tcPr>
            <w:tcW w:w="754" w:type="pct"/>
            <w:tcBorders>
              <w:top w:val="single" w:sz="4" w:space="0" w:color="1D3C5A"/>
              <w:left w:val="single" w:sz="4" w:space="0" w:color="1D3C5A"/>
              <w:bottom w:val="single" w:sz="4" w:space="0" w:color="1D3C5A"/>
              <w:right w:val="single" w:sz="4" w:space="0" w:color="1D3C5A"/>
            </w:tcBorders>
            <w:vAlign w:val="center"/>
            <w:hideMark/>
          </w:tcPr>
          <w:p w14:paraId="6BCCD9AD" w14:textId="77777777" w:rsidR="00622884" w:rsidRPr="00622884" w:rsidRDefault="00622884" w:rsidP="00622884">
            <w:pPr>
              <w:spacing w:after="0" w:line="240" w:lineRule="auto"/>
              <w:jc w:val="left"/>
              <w:rPr>
                <w:rFonts w:ascii="Garamond" w:eastAsia="Calibri" w:hAnsi="Garamond" w:cs="Calibri Light"/>
                <w:sz w:val="16"/>
                <w:szCs w:val="16"/>
                <w:lang w:eastAsia="es-ES"/>
              </w:rPr>
            </w:pPr>
            <w:r w:rsidRPr="00622884">
              <w:rPr>
                <w:rFonts w:ascii="Garamond" w:eastAsia="Calibri" w:hAnsi="Garamond" w:cs="Times New Roman"/>
                <w:sz w:val="16"/>
                <w:szCs w:val="16"/>
                <w:lang w:eastAsia="en-US" w:bidi="sq-AL"/>
              </w:rPr>
              <w:t>Rritje e saktësisë shkencore në lajmet për klimën dhe materialet për ndërgjegjësimin publik.</w:t>
            </w:r>
          </w:p>
        </w:tc>
      </w:tr>
      <w:tr w:rsidR="00622884" w:rsidRPr="00622884" w14:paraId="67141A6C" w14:textId="77777777" w:rsidTr="00622884">
        <w:trPr>
          <w:jc w:val="center"/>
        </w:trPr>
        <w:tc>
          <w:tcPr>
            <w:tcW w:w="971" w:type="pct"/>
            <w:tcBorders>
              <w:top w:val="single" w:sz="4" w:space="0" w:color="1D3C5A"/>
              <w:left w:val="single" w:sz="4" w:space="0" w:color="1D3C5A"/>
              <w:bottom w:val="single" w:sz="4" w:space="0" w:color="1D3C5A"/>
              <w:right w:val="single" w:sz="4" w:space="0" w:color="1D3C5A"/>
            </w:tcBorders>
            <w:vAlign w:val="center"/>
            <w:hideMark/>
          </w:tcPr>
          <w:p w14:paraId="0350025F" w14:textId="77777777" w:rsidR="00622884" w:rsidRPr="00622884" w:rsidRDefault="00622884" w:rsidP="00622884">
            <w:pPr>
              <w:spacing w:after="0" w:line="240" w:lineRule="auto"/>
              <w:jc w:val="left"/>
              <w:rPr>
                <w:rFonts w:ascii="Garamond" w:eastAsia="Calibri" w:hAnsi="Garamond" w:cs="Calibri Light"/>
                <w:sz w:val="16"/>
                <w:szCs w:val="16"/>
                <w:lang w:eastAsia="es-ES"/>
              </w:rPr>
            </w:pPr>
            <w:r w:rsidRPr="00622884">
              <w:rPr>
                <w:rFonts w:ascii="Garamond" w:eastAsia="Calibri" w:hAnsi="Garamond" w:cs="Times New Roman"/>
                <w:sz w:val="16"/>
                <w:szCs w:val="16"/>
                <w:lang w:eastAsia="en-US" w:bidi="sq-AL"/>
              </w:rPr>
              <w:t>Të organizohen programe trajnimi për gazetarët me ekspertë të klimës për të ofruar njohuri të specializuara mbi strategjitë e përshtatjes, kuadrot e politikave dhe interpretimin e të dhënave.</w:t>
            </w:r>
          </w:p>
        </w:tc>
        <w:tc>
          <w:tcPr>
            <w:tcW w:w="918" w:type="pct"/>
            <w:tcBorders>
              <w:top w:val="single" w:sz="4" w:space="0" w:color="1D3C5A"/>
              <w:left w:val="single" w:sz="4" w:space="0" w:color="1D3C5A"/>
              <w:bottom w:val="single" w:sz="4" w:space="0" w:color="1D3C5A"/>
              <w:right w:val="single" w:sz="4" w:space="0" w:color="1D3C5A"/>
            </w:tcBorders>
            <w:vAlign w:val="center"/>
          </w:tcPr>
          <w:p w14:paraId="2F77AE1C" w14:textId="77777777" w:rsidR="00622884" w:rsidRPr="00622884" w:rsidRDefault="00622884" w:rsidP="00622884">
            <w:pPr>
              <w:spacing w:after="0" w:line="240" w:lineRule="auto"/>
              <w:jc w:val="left"/>
              <w:rPr>
                <w:rFonts w:ascii="Garamond" w:eastAsia="Calibri" w:hAnsi="Garamond" w:cs="Calibri Light"/>
                <w:sz w:val="16"/>
                <w:szCs w:val="16"/>
                <w:lang w:eastAsia="es-ES"/>
              </w:rPr>
            </w:pPr>
            <w:r w:rsidRPr="00622884">
              <w:rPr>
                <w:rFonts w:ascii="Garamond" w:eastAsia="Calibri" w:hAnsi="Garamond" w:cs="Times New Roman"/>
                <w:sz w:val="16"/>
                <w:szCs w:val="16"/>
                <w:lang w:eastAsia="en-US" w:bidi="sq-AL"/>
              </w:rPr>
              <w:t>Numri i programeve të trajnimit</w:t>
            </w:r>
          </w:p>
          <w:p w14:paraId="1D5F3979" w14:textId="77777777" w:rsidR="00622884" w:rsidRPr="00622884" w:rsidRDefault="00622884" w:rsidP="00622884">
            <w:pPr>
              <w:spacing w:after="0" w:line="240" w:lineRule="auto"/>
              <w:jc w:val="left"/>
              <w:rPr>
                <w:rFonts w:ascii="Garamond" w:eastAsia="Calibri" w:hAnsi="Garamond" w:cs="Calibri Light"/>
                <w:sz w:val="16"/>
                <w:szCs w:val="16"/>
                <w:lang w:eastAsia="es-ES"/>
              </w:rPr>
            </w:pPr>
          </w:p>
          <w:p w14:paraId="692CA481" w14:textId="77777777" w:rsidR="00622884" w:rsidRPr="00622884" w:rsidRDefault="00622884" w:rsidP="00622884">
            <w:pPr>
              <w:spacing w:after="0" w:line="240" w:lineRule="auto"/>
              <w:jc w:val="left"/>
              <w:rPr>
                <w:rFonts w:ascii="Garamond" w:eastAsia="Calibri" w:hAnsi="Garamond" w:cs="Calibri Light"/>
                <w:sz w:val="16"/>
                <w:szCs w:val="16"/>
                <w:lang w:eastAsia="es-ES"/>
              </w:rPr>
            </w:pPr>
            <w:r w:rsidRPr="00622884">
              <w:rPr>
                <w:rFonts w:ascii="Garamond" w:eastAsia="Calibri" w:hAnsi="Garamond" w:cs="Times New Roman"/>
                <w:sz w:val="16"/>
                <w:szCs w:val="16"/>
                <w:lang w:eastAsia="en-US" w:bidi="sq-AL"/>
              </w:rPr>
              <w:t>Numri i gazetarëve të trajnuar</w:t>
            </w:r>
          </w:p>
        </w:tc>
        <w:tc>
          <w:tcPr>
            <w:tcW w:w="681" w:type="pct"/>
            <w:tcBorders>
              <w:top w:val="single" w:sz="4" w:space="0" w:color="1D3C5A"/>
              <w:left w:val="single" w:sz="4" w:space="0" w:color="1D3C5A"/>
              <w:bottom w:val="single" w:sz="4" w:space="0" w:color="1D3C5A"/>
              <w:right w:val="single" w:sz="4" w:space="0" w:color="1D3C5A"/>
            </w:tcBorders>
            <w:vAlign w:val="center"/>
          </w:tcPr>
          <w:p w14:paraId="70AFE8FD" w14:textId="77777777" w:rsidR="00622884" w:rsidRPr="00622884" w:rsidRDefault="00622884" w:rsidP="00622884">
            <w:pPr>
              <w:spacing w:after="0" w:line="240" w:lineRule="auto"/>
              <w:jc w:val="left"/>
              <w:rPr>
                <w:rFonts w:ascii="Garamond" w:eastAsia="Calibri" w:hAnsi="Garamond" w:cs="Calibri Light"/>
                <w:sz w:val="16"/>
                <w:szCs w:val="16"/>
                <w:lang w:eastAsia="es-ES"/>
              </w:rPr>
            </w:pPr>
            <w:r w:rsidRPr="00622884">
              <w:rPr>
                <w:rFonts w:ascii="Garamond" w:eastAsia="Calibri" w:hAnsi="Garamond" w:cs="Times New Roman"/>
                <w:sz w:val="16"/>
                <w:szCs w:val="16"/>
                <w:lang w:eastAsia="en-US" w:bidi="sq-AL"/>
              </w:rPr>
              <w:t>4 programe</w:t>
            </w:r>
          </w:p>
          <w:p w14:paraId="278A22FB" w14:textId="77777777" w:rsidR="00622884" w:rsidRPr="00622884" w:rsidRDefault="00622884" w:rsidP="00622884">
            <w:pPr>
              <w:spacing w:after="0" w:line="240" w:lineRule="auto"/>
              <w:jc w:val="left"/>
              <w:rPr>
                <w:rFonts w:ascii="Garamond" w:eastAsia="Calibri" w:hAnsi="Garamond" w:cs="Calibri Light"/>
                <w:sz w:val="16"/>
                <w:szCs w:val="16"/>
                <w:lang w:eastAsia="es-ES"/>
              </w:rPr>
            </w:pPr>
          </w:p>
          <w:p w14:paraId="796CAE67" w14:textId="77777777" w:rsidR="00622884" w:rsidRPr="00622884" w:rsidRDefault="00622884" w:rsidP="00622884">
            <w:pPr>
              <w:spacing w:after="0" w:line="240" w:lineRule="auto"/>
              <w:jc w:val="left"/>
              <w:rPr>
                <w:rFonts w:ascii="Garamond" w:eastAsia="Calibri" w:hAnsi="Garamond" w:cs="Calibri Light"/>
                <w:sz w:val="16"/>
                <w:szCs w:val="16"/>
                <w:lang w:eastAsia="es-ES"/>
              </w:rPr>
            </w:pPr>
            <w:r w:rsidRPr="00622884">
              <w:rPr>
                <w:rFonts w:ascii="Garamond" w:eastAsia="Calibri" w:hAnsi="Garamond" w:cs="Times New Roman"/>
                <w:sz w:val="16"/>
                <w:szCs w:val="16"/>
                <w:lang w:eastAsia="en-US" w:bidi="sq-AL"/>
              </w:rPr>
              <w:t>80 gazetarë të trajnuar</w:t>
            </w:r>
          </w:p>
        </w:tc>
        <w:tc>
          <w:tcPr>
            <w:tcW w:w="455" w:type="pct"/>
            <w:tcBorders>
              <w:top w:val="single" w:sz="4" w:space="0" w:color="1D3C5A"/>
              <w:left w:val="single" w:sz="4" w:space="0" w:color="1D3C5A"/>
              <w:bottom w:val="single" w:sz="4" w:space="0" w:color="1D3C5A"/>
              <w:right w:val="single" w:sz="4" w:space="0" w:color="1D3C5A"/>
            </w:tcBorders>
            <w:vAlign w:val="center"/>
            <w:hideMark/>
          </w:tcPr>
          <w:p w14:paraId="596BA099" w14:textId="77777777" w:rsidR="00622884" w:rsidRPr="00622884" w:rsidRDefault="00622884" w:rsidP="00622884">
            <w:pPr>
              <w:spacing w:after="0" w:line="240" w:lineRule="auto"/>
              <w:jc w:val="left"/>
              <w:rPr>
                <w:rFonts w:ascii="Garamond" w:eastAsia="Calibri" w:hAnsi="Garamond" w:cs="Calibri Light"/>
                <w:sz w:val="16"/>
                <w:szCs w:val="16"/>
                <w:lang w:eastAsia="es-ES"/>
              </w:rPr>
            </w:pPr>
            <w:r w:rsidRPr="00622884">
              <w:rPr>
                <w:rFonts w:ascii="Garamond" w:eastAsia="Calibri" w:hAnsi="Garamond" w:cs="Times New Roman"/>
                <w:sz w:val="16"/>
                <w:szCs w:val="16"/>
                <w:lang w:eastAsia="en-US" w:bidi="sq-AL"/>
              </w:rPr>
              <w:t>Janar 2026 – dhjetor 2028</w:t>
            </w:r>
          </w:p>
        </w:tc>
        <w:tc>
          <w:tcPr>
            <w:tcW w:w="600" w:type="pct"/>
            <w:tcBorders>
              <w:top w:val="single" w:sz="4" w:space="0" w:color="1D3C5A"/>
              <w:left w:val="single" w:sz="4" w:space="0" w:color="1D3C5A"/>
              <w:bottom w:val="single" w:sz="4" w:space="0" w:color="1D3C5A"/>
              <w:right w:val="single" w:sz="4" w:space="0" w:color="1D3C5A"/>
            </w:tcBorders>
            <w:vAlign w:val="center"/>
            <w:hideMark/>
          </w:tcPr>
          <w:p w14:paraId="10FCFF1A" w14:textId="77777777" w:rsidR="00622884" w:rsidRPr="00622884" w:rsidRDefault="00622884" w:rsidP="00622884">
            <w:pPr>
              <w:spacing w:after="0" w:line="240" w:lineRule="auto"/>
              <w:jc w:val="left"/>
              <w:rPr>
                <w:rFonts w:ascii="Garamond" w:eastAsia="Calibri" w:hAnsi="Garamond" w:cs="Calibri Light"/>
                <w:sz w:val="16"/>
                <w:szCs w:val="16"/>
                <w:lang w:eastAsia="es-ES"/>
              </w:rPr>
            </w:pPr>
            <w:r w:rsidRPr="00622884">
              <w:rPr>
                <w:rFonts w:ascii="Garamond" w:eastAsia="Calibri" w:hAnsi="Garamond" w:cs="Times New Roman"/>
                <w:sz w:val="16"/>
                <w:szCs w:val="16"/>
                <w:lang w:eastAsia="en-US" w:bidi="sq-AL"/>
              </w:rPr>
              <w:t xml:space="preserve">Gazetar </w:t>
            </w:r>
          </w:p>
          <w:p w14:paraId="54D3430A" w14:textId="77777777" w:rsidR="00622884" w:rsidRPr="00622884" w:rsidRDefault="00622884" w:rsidP="00622884">
            <w:pPr>
              <w:spacing w:after="0" w:line="240" w:lineRule="auto"/>
              <w:jc w:val="left"/>
              <w:rPr>
                <w:rFonts w:ascii="Garamond" w:eastAsia="Calibri" w:hAnsi="Garamond" w:cs="Calibri Light"/>
                <w:sz w:val="16"/>
                <w:szCs w:val="16"/>
                <w:lang w:eastAsia="es-ES"/>
              </w:rPr>
            </w:pPr>
            <w:r w:rsidRPr="00622884">
              <w:rPr>
                <w:rFonts w:ascii="Garamond" w:eastAsia="Calibri" w:hAnsi="Garamond" w:cs="Times New Roman"/>
                <w:sz w:val="16"/>
                <w:szCs w:val="16"/>
                <w:lang w:eastAsia="en-US" w:bidi="sq-AL"/>
              </w:rPr>
              <w:t>UNDP</w:t>
            </w:r>
          </w:p>
          <w:p w14:paraId="47BFB21F" w14:textId="77777777" w:rsidR="00622884" w:rsidRPr="00622884" w:rsidRDefault="00622884" w:rsidP="00622884">
            <w:pPr>
              <w:spacing w:after="0" w:line="240" w:lineRule="auto"/>
              <w:jc w:val="left"/>
              <w:rPr>
                <w:rFonts w:ascii="Garamond" w:eastAsia="Calibri" w:hAnsi="Garamond" w:cs="Calibri Light"/>
                <w:sz w:val="16"/>
                <w:szCs w:val="16"/>
                <w:lang w:eastAsia="es-ES"/>
              </w:rPr>
            </w:pPr>
            <w:r w:rsidRPr="00622884">
              <w:rPr>
                <w:rFonts w:ascii="Garamond" w:eastAsia="Calibri" w:hAnsi="Garamond" w:cs="Times New Roman"/>
                <w:sz w:val="16"/>
                <w:szCs w:val="16"/>
                <w:lang w:eastAsia="en-US" w:bidi="sq-AL"/>
              </w:rPr>
              <w:t>Institucione trajnimi; ekspertë të klimës.</w:t>
            </w:r>
          </w:p>
        </w:tc>
        <w:tc>
          <w:tcPr>
            <w:tcW w:w="621" w:type="pct"/>
            <w:tcBorders>
              <w:top w:val="single" w:sz="4" w:space="0" w:color="1D3C5A"/>
              <w:left w:val="single" w:sz="4" w:space="0" w:color="1D3C5A"/>
              <w:bottom w:val="single" w:sz="4" w:space="0" w:color="1D3C5A"/>
              <w:right w:val="single" w:sz="4" w:space="0" w:color="1D3C5A"/>
            </w:tcBorders>
            <w:vAlign w:val="center"/>
            <w:hideMark/>
          </w:tcPr>
          <w:p w14:paraId="202120C9" w14:textId="77777777" w:rsidR="00622884" w:rsidRPr="00622884" w:rsidRDefault="00622884" w:rsidP="00622884">
            <w:pPr>
              <w:spacing w:after="0" w:line="240" w:lineRule="auto"/>
              <w:jc w:val="left"/>
              <w:rPr>
                <w:rFonts w:ascii="Garamond" w:eastAsia="Calibri" w:hAnsi="Garamond" w:cs="Calibri Light"/>
                <w:sz w:val="16"/>
                <w:szCs w:val="16"/>
                <w:lang w:eastAsia="es-ES"/>
              </w:rPr>
            </w:pPr>
            <w:r w:rsidRPr="00622884">
              <w:rPr>
                <w:rFonts w:ascii="Garamond" w:eastAsia="Calibri" w:hAnsi="Garamond" w:cs="Times New Roman"/>
                <w:sz w:val="16"/>
                <w:szCs w:val="16"/>
                <w:lang w:eastAsia="en-US" w:bidi="sq-AL"/>
              </w:rPr>
              <w:t>180.000</w:t>
            </w:r>
          </w:p>
        </w:tc>
        <w:tc>
          <w:tcPr>
            <w:tcW w:w="754" w:type="pct"/>
            <w:tcBorders>
              <w:top w:val="single" w:sz="4" w:space="0" w:color="1D3C5A"/>
              <w:left w:val="single" w:sz="4" w:space="0" w:color="1D3C5A"/>
              <w:bottom w:val="single" w:sz="4" w:space="0" w:color="1D3C5A"/>
              <w:right w:val="single" w:sz="4" w:space="0" w:color="1D3C5A"/>
            </w:tcBorders>
            <w:vAlign w:val="center"/>
            <w:hideMark/>
          </w:tcPr>
          <w:p w14:paraId="31F38A79" w14:textId="77777777" w:rsidR="00622884" w:rsidRPr="00622884" w:rsidRDefault="00622884" w:rsidP="00622884">
            <w:pPr>
              <w:spacing w:after="0" w:line="240" w:lineRule="auto"/>
              <w:jc w:val="left"/>
              <w:rPr>
                <w:rFonts w:ascii="Garamond" w:eastAsia="Calibri" w:hAnsi="Garamond" w:cs="Calibri Light"/>
                <w:sz w:val="16"/>
                <w:szCs w:val="16"/>
                <w:lang w:eastAsia="es-ES"/>
              </w:rPr>
            </w:pPr>
            <w:r w:rsidRPr="00622884">
              <w:rPr>
                <w:rFonts w:ascii="Garamond" w:eastAsia="Calibri" w:hAnsi="Garamond" w:cs="Times New Roman"/>
                <w:sz w:val="16"/>
                <w:szCs w:val="16"/>
                <w:lang w:eastAsia="en-US" w:bidi="sq-AL"/>
              </w:rPr>
              <w:t>Kapacitet i forcuar për gazetari klimatike me cilësi të lartë.</w:t>
            </w:r>
          </w:p>
        </w:tc>
      </w:tr>
      <w:tr w:rsidR="00622884" w:rsidRPr="00622884" w14:paraId="4228C4E8" w14:textId="77777777" w:rsidTr="00622884">
        <w:trPr>
          <w:jc w:val="center"/>
        </w:trPr>
        <w:tc>
          <w:tcPr>
            <w:tcW w:w="971" w:type="pct"/>
            <w:tcBorders>
              <w:top w:val="single" w:sz="4" w:space="0" w:color="1D3C5A"/>
              <w:left w:val="single" w:sz="4" w:space="0" w:color="1D3C5A"/>
              <w:bottom w:val="single" w:sz="4" w:space="0" w:color="1D3C5A"/>
              <w:right w:val="single" w:sz="4" w:space="0" w:color="1D3C5A"/>
            </w:tcBorders>
            <w:vAlign w:val="center"/>
            <w:hideMark/>
          </w:tcPr>
          <w:p w14:paraId="0946929B" w14:textId="77777777" w:rsidR="00622884" w:rsidRPr="00622884" w:rsidRDefault="00622884" w:rsidP="00622884">
            <w:pPr>
              <w:spacing w:after="0" w:line="240" w:lineRule="auto"/>
              <w:jc w:val="left"/>
              <w:rPr>
                <w:rFonts w:ascii="Garamond" w:eastAsia="Calibri" w:hAnsi="Garamond" w:cs="Calibri Light"/>
                <w:sz w:val="16"/>
                <w:szCs w:val="16"/>
                <w:lang w:eastAsia="es-ES"/>
              </w:rPr>
            </w:pPr>
            <w:r w:rsidRPr="00622884">
              <w:rPr>
                <w:rFonts w:ascii="Garamond" w:eastAsia="Calibri" w:hAnsi="Garamond" w:cs="Times New Roman"/>
                <w:sz w:val="16"/>
                <w:szCs w:val="16"/>
                <w:lang w:eastAsia="en-US" w:bidi="sq-AL"/>
              </w:rPr>
              <w:lastRenderedPageBreak/>
              <w:t>Të publikohen instrumente mbi praktikat inteligjente ndaj klimës për bujqësinë dhe turizmin, si dhe infrastrukturën e gjelbër për zhvillimin urban.</w:t>
            </w:r>
          </w:p>
        </w:tc>
        <w:tc>
          <w:tcPr>
            <w:tcW w:w="918" w:type="pct"/>
            <w:tcBorders>
              <w:top w:val="single" w:sz="4" w:space="0" w:color="1D3C5A"/>
              <w:left w:val="single" w:sz="4" w:space="0" w:color="1D3C5A"/>
              <w:bottom w:val="single" w:sz="4" w:space="0" w:color="1D3C5A"/>
              <w:right w:val="single" w:sz="4" w:space="0" w:color="1D3C5A"/>
            </w:tcBorders>
            <w:vAlign w:val="center"/>
            <w:hideMark/>
          </w:tcPr>
          <w:p w14:paraId="7372F0F7" w14:textId="77777777" w:rsidR="00622884" w:rsidRPr="00622884" w:rsidRDefault="00622884" w:rsidP="00622884">
            <w:pPr>
              <w:spacing w:after="0" w:line="240" w:lineRule="auto"/>
              <w:jc w:val="left"/>
              <w:rPr>
                <w:rFonts w:ascii="Garamond" w:eastAsia="Calibri" w:hAnsi="Garamond" w:cs="Calibri Light"/>
                <w:sz w:val="16"/>
                <w:szCs w:val="16"/>
                <w:lang w:eastAsia="es-ES"/>
              </w:rPr>
            </w:pPr>
            <w:r w:rsidRPr="00622884">
              <w:rPr>
                <w:rFonts w:ascii="Garamond" w:eastAsia="Calibri" w:hAnsi="Garamond" w:cs="Times New Roman"/>
                <w:sz w:val="16"/>
                <w:szCs w:val="16"/>
                <w:lang w:eastAsia="en-US" w:bidi="sq-AL"/>
              </w:rPr>
              <w:t>Numri i instrumenteve të shpërndara/shkarkuara</w:t>
            </w:r>
          </w:p>
        </w:tc>
        <w:tc>
          <w:tcPr>
            <w:tcW w:w="681" w:type="pct"/>
            <w:tcBorders>
              <w:top w:val="single" w:sz="4" w:space="0" w:color="1D3C5A"/>
              <w:left w:val="single" w:sz="4" w:space="0" w:color="1D3C5A"/>
              <w:bottom w:val="single" w:sz="4" w:space="0" w:color="1D3C5A"/>
              <w:right w:val="single" w:sz="4" w:space="0" w:color="1D3C5A"/>
            </w:tcBorders>
            <w:vAlign w:val="center"/>
          </w:tcPr>
          <w:p w14:paraId="1B931776" w14:textId="77777777" w:rsidR="00622884" w:rsidRPr="00622884" w:rsidRDefault="00622884" w:rsidP="00622884">
            <w:pPr>
              <w:spacing w:after="0" w:line="240" w:lineRule="auto"/>
              <w:jc w:val="left"/>
              <w:rPr>
                <w:rFonts w:ascii="Garamond" w:eastAsia="Calibri" w:hAnsi="Garamond" w:cs="Calibri Light"/>
                <w:sz w:val="16"/>
                <w:szCs w:val="16"/>
                <w:lang w:eastAsia="es-ES"/>
              </w:rPr>
            </w:pPr>
            <w:r w:rsidRPr="00622884">
              <w:rPr>
                <w:rFonts w:ascii="Garamond" w:eastAsia="Calibri" w:hAnsi="Garamond" w:cs="Times New Roman"/>
                <w:sz w:val="16"/>
                <w:szCs w:val="16"/>
                <w:lang w:eastAsia="en-US" w:bidi="sq-AL"/>
              </w:rPr>
              <w:t>5000 kopje</w:t>
            </w:r>
          </w:p>
          <w:p w14:paraId="74F7DAB6" w14:textId="77777777" w:rsidR="00622884" w:rsidRPr="00622884" w:rsidRDefault="00622884" w:rsidP="00622884">
            <w:pPr>
              <w:spacing w:after="0" w:line="240" w:lineRule="auto"/>
              <w:jc w:val="left"/>
              <w:rPr>
                <w:rFonts w:ascii="Garamond" w:eastAsia="Calibri" w:hAnsi="Garamond" w:cs="Calibri Light"/>
                <w:sz w:val="16"/>
                <w:szCs w:val="16"/>
                <w:lang w:eastAsia="es-ES"/>
              </w:rPr>
            </w:pPr>
          </w:p>
          <w:p w14:paraId="638E77F1" w14:textId="77777777" w:rsidR="00622884" w:rsidRPr="00622884" w:rsidRDefault="00622884" w:rsidP="00622884">
            <w:pPr>
              <w:spacing w:after="0" w:line="240" w:lineRule="auto"/>
              <w:jc w:val="left"/>
              <w:rPr>
                <w:rFonts w:ascii="Garamond" w:eastAsia="Calibri" w:hAnsi="Garamond" w:cs="Calibri Light"/>
                <w:sz w:val="16"/>
                <w:szCs w:val="16"/>
                <w:lang w:eastAsia="es-ES"/>
              </w:rPr>
            </w:pPr>
            <w:r w:rsidRPr="00622884">
              <w:rPr>
                <w:rFonts w:ascii="Garamond" w:eastAsia="Calibri" w:hAnsi="Garamond" w:cs="Times New Roman"/>
                <w:sz w:val="16"/>
                <w:szCs w:val="16"/>
                <w:lang w:eastAsia="en-US" w:bidi="sq-AL"/>
              </w:rPr>
              <w:t>3000 shkarkime</w:t>
            </w:r>
          </w:p>
        </w:tc>
        <w:tc>
          <w:tcPr>
            <w:tcW w:w="455" w:type="pct"/>
            <w:tcBorders>
              <w:top w:val="single" w:sz="4" w:space="0" w:color="1D3C5A"/>
              <w:left w:val="single" w:sz="4" w:space="0" w:color="1D3C5A"/>
              <w:bottom w:val="single" w:sz="4" w:space="0" w:color="1D3C5A"/>
              <w:right w:val="single" w:sz="4" w:space="0" w:color="1D3C5A"/>
            </w:tcBorders>
            <w:vAlign w:val="center"/>
            <w:hideMark/>
          </w:tcPr>
          <w:p w14:paraId="6B9C5441" w14:textId="77777777" w:rsidR="00622884" w:rsidRPr="00622884" w:rsidRDefault="00622884" w:rsidP="00622884">
            <w:pPr>
              <w:spacing w:after="0" w:line="240" w:lineRule="auto"/>
              <w:jc w:val="left"/>
              <w:rPr>
                <w:rFonts w:ascii="Garamond" w:eastAsia="Calibri" w:hAnsi="Garamond" w:cs="Calibri Light"/>
                <w:sz w:val="16"/>
                <w:szCs w:val="16"/>
                <w:lang w:eastAsia="es-ES"/>
              </w:rPr>
            </w:pPr>
            <w:r w:rsidRPr="00622884">
              <w:rPr>
                <w:rFonts w:ascii="Garamond" w:eastAsia="Calibri" w:hAnsi="Garamond" w:cs="Times New Roman"/>
                <w:sz w:val="16"/>
                <w:szCs w:val="16"/>
                <w:lang w:eastAsia="en-US" w:bidi="sq-AL"/>
              </w:rPr>
              <w:t>Shkurt 2027</w:t>
            </w:r>
          </w:p>
        </w:tc>
        <w:tc>
          <w:tcPr>
            <w:tcW w:w="600" w:type="pct"/>
            <w:tcBorders>
              <w:top w:val="single" w:sz="4" w:space="0" w:color="1D3C5A"/>
              <w:left w:val="single" w:sz="4" w:space="0" w:color="1D3C5A"/>
              <w:bottom w:val="single" w:sz="4" w:space="0" w:color="1D3C5A"/>
              <w:right w:val="single" w:sz="4" w:space="0" w:color="1D3C5A"/>
            </w:tcBorders>
            <w:vAlign w:val="center"/>
            <w:hideMark/>
          </w:tcPr>
          <w:p w14:paraId="67593D8B" w14:textId="77777777" w:rsidR="00622884" w:rsidRPr="00622884" w:rsidRDefault="00622884" w:rsidP="00622884">
            <w:pPr>
              <w:spacing w:after="0" w:line="240" w:lineRule="auto"/>
              <w:jc w:val="left"/>
              <w:rPr>
                <w:rFonts w:ascii="Garamond" w:eastAsia="Calibri" w:hAnsi="Garamond" w:cs="Calibri Light"/>
                <w:sz w:val="16"/>
                <w:szCs w:val="16"/>
                <w:lang w:eastAsia="es-ES"/>
              </w:rPr>
            </w:pPr>
            <w:r w:rsidRPr="00622884">
              <w:rPr>
                <w:rFonts w:ascii="Garamond" w:eastAsia="Calibri" w:hAnsi="Garamond" w:cs="Times New Roman"/>
                <w:sz w:val="16"/>
                <w:szCs w:val="16"/>
                <w:lang w:eastAsia="en-US" w:bidi="sq-AL"/>
              </w:rPr>
              <w:t>Ekspertë të sektorit; Ekipi i komunikimit</w:t>
            </w:r>
          </w:p>
        </w:tc>
        <w:tc>
          <w:tcPr>
            <w:tcW w:w="621" w:type="pct"/>
            <w:tcBorders>
              <w:top w:val="single" w:sz="4" w:space="0" w:color="1D3C5A"/>
              <w:left w:val="single" w:sz="4" w:space="0" w:color="1D3C5A"/>
              <w:bottom w:val="single" w:sz="4" w:space="0" w:color="1D3C5A"/>
              <w:right w:val="single" w:sz="4" w:space="0" w:color="1D3C5A"/>
            </w:tcBorders>
            <w:vAlign w:val="center"/>
            <w:hideMark/>
          </w:tcPr>
          <w:p w14:paraId="659AE81E" w14:textId="77777777" w:rsidR="00622884" w:rsidRPr="00622884" w:rsidRDefault="00622884" w:rsidP="00622884">
            <w:pPr>
              <w:spacing w:after="0" w:line="240" w:lineRule="auto"/>
              <w:jc w:val="left"/>
              <w:rPr>
                <w:rFonts w:ascii="Garamond" w:eastAsia="Calibri" w:hAnsi="Garamond" w:cs="Calibri Light"/>
                <w:sz w:val="16"/>
                <w:szCs w:val="16"/>
                <w:lang w:eastAsia="es-ES"/>
              </w:rPr>
            </w:pPr>
            <w:r w:rsidRPr="00622884">
              <w:rPr>
                <w:rFonts w:ascii="Garamond" w:eastAsia="Calibri" w:hAnsi="Garamond" w:cs="Times New Roman"/>
                <w:sz w:val="16"/>
                <w:szCs w:val="16"/>
                <w:lang w:eastAsia="en-US" w:bidi="sq-AL"/>
              </w:rPr>
              <w:t>100.000</w:t>
            </w:r>
          </w:p>
        </w:tc>
        <w:tc>
          <w:tcPr>
            <w:tcW w:w="754" w:type="pct"/>
            <w:tcBorders>
              <w:top w:val="single" w:sz="4" w:space="0" w:color="1D3C5A"/>
              <w:left w:val="single" w:sz="4" w:space="0" w:color="1D3C5A"/>
              <w:bottom w:val="single" w:sz="4" w:space="0" w:color="1D3C5A"/>
              <w:right w:val="single" w:sz="4" w:space="0" w:color="1D3C5A"/>
            </w:tcBorders>
            <w:vAlign w:val="center"/>
            <w:hideMark/>
          </w:tcPr>
          <w:p w14:paraId="02C7B2F3" w14:textId="77777777" w:rsidR="00622884" w:rsidRPr="00622884" w:rsidRDefault="00622884" w:rsidP="00622884">
            <w:pPr>
              <w:spacing w:after="0" w:line="240" w:lineRule="auto"/>
              <w:jc w:val="left"/>
              <w:rPr>
                <w:rFonts w:ascii="Garamond" w:eastAsia="Calibri" w:hAnsi="Garamond" w:cs="Calibri Light"/>
                <w:sz w:val="16"/>
                <w:szCs w:val="16"/>
                <w:lang w:eastAsia="es-ES"/>
              </w:rPr>
            </w:pPr>
            <w:r w:rsidRPr="00622884">
              <w:rPr>
                <w:rFonts w:ascii="Garamond" w:eastAsia="Calibri" w:hAnsi="Garamond" w:cs="Times New Roman"/>
                <w:sz w:val="16"/>
                <w:szCs w:val="16"/>
                <w:lang w:eastAsia="en-US" w:bidi="sq-AL"/>
              </w:rPr>
              <w:t>Udhëzime praktike për palët e interesit, duke nxitur miratimin e masave të përshtatjes.</w:t>
            </w:r>
          </w:p>
        </w:tc>
      </w:tr>
      <w:tr w:rsidR="00622884" w:rsidRPr="00622884" w14:paraId="52DE3F91" w14:textId="77777777" w:rsidTr="00622884">
        <w:trPr>
          <w:jc w:val="center"/>
        </w:trPr>
        <w:tc>
          <w:tcPr>
            <w:tcW w:w="5000" w:type="pct"/>
            <w:gridSpan w:val="7"/>
            <w:tcBorders>
              <w:top w:val="single" w:sz="4" w:space="0" w:color="1D3C5A"/>
              <w:left w:val="single" w:sz="4" w:space="0" w:color="1D3C5A"/>
              <w:bottom w:val="single" w:sz="4" w:space="0" w:color="1D3C5A"/>
              <w:right w:val="single" w:sz="4" w:space="0" w:color="1D3C5A"/>
            </w:tcBorders>
            <w:shd w:val="clear" w:color="auto" w:fill="D6F2E9"/>
            <w:vAlign w:val="center"/>
            <w:hideMark/>
          </w:tcPr>
          <w:p w14:paraId="3116CDB4" w14:textId="77777777" w:rsidR="00622884" w:rsidRPr="00622884" w:rsidRDefault="00622884" w:rsidP="00622884">
            <w:pPr>
              <w:spacing w:after="0" w:line="240" w:lineRule="auto"/>
              <w:jc w:val="left"/>
              <w:rPr>
                <w:rFonts w:ascii="Garamond" w:eastAsia="Calibri" w:hAnsi="Garamond" w:cs="Calibri Light"/>
                <w:b/>
                <w:bCs/>
                <w:sz w:val="16"/>
                <w:szCs w:val="16"/>
                <w:lang w:eastAsia="es-ES"/>
              </w:rPr>
            </w:pPr>
            <w:r w:rsidRPr="00622884">
              <w:rPr>
                <w:rFonts w:ascii="Garamond" w:eastAsia="Calibri" w:hAnsi="Garamond" w:cs="Times New Roman"/>
                <w:b/>
                <w:sz w:val="16"/>
                <w:szCs w:val="16"/>
                <w:lang w:eastAsia="en-US" w:bidi="sq-AL"/>
              </w:rPr>
              <w:t>Objektivi 3: Integrimi i përshtatjes ndaj ndryshimeve klimatike në narrativat e politikave</w:t>
            </w:r>
          </w:p>
        </w:tc>
      </w:tr>
      <w:tr w:rsidR="00622884" w:rsidRPr="00622884" w14:paraId="6B4ECDFF" w14:textId="77777777" w:rsidTr="00622884">
        <w:trPr>
          <w:jc w:val="center"/>
        </w:trPr>
        <w:tc>
          <w:tcPr>
            <w:tcW w:w="971" w:type="pct"/>
            <w:tcBorders>
              <w:top w:val="single" w:sz="4" w:space="0" w:color="1D3C5A"/>
              <w:left w:val="single" w:sz="4" w:space="0" w:color="1D3C5A"/>
              <w:bottom w:val="single" w:sz="4" w:space="0" w:color="1D3C5A"/>
              <w:right w:val="single" w:sz="4" w:space="0" w:color="1D3C5A"/>
            </w:tcBorders>
            <w:vAlign w:val="center"/>
            <w:hideMark/>
          </w:tcPr>
          <w:p w14:paraId="33397AF6" w14:textId="77777777" w:rsidR="00622884" w:rsidRPr="00622884" w:rsidRDefault="00622884" w:rsidP="00622884">
            <w:pPr>
              <w:spacing w:after="0" w:line="240" w:lineRule="auto"/>
              <w:jc w:val="left"/>
              <w:rPr>
                <w:rFonts w:ascii="Garamond" w:eastAsia="Calibri" w:hAnsi="Garamond" w:cs="Calibri Light"/>
                <w:sz w:val="16"/>
                <w:szCs w:val="16"/>
                <w:lang w:eastAsia="es-ES"/>
              </w:rPr>
            </w:pPr>
            <w:r w:rsidRPr="00622884">
              <w:rPr>
                <w:rFonts w:ascii="Garamond" w:eastAsia="Calibri" w:hAnsi="Garamond" w:cs="Times New Roman"/>
                <w:sz w:val="16"/>
                <w:szCs w:val="16"/>
                <w:lang w:eastAsia="en-US" w:bidi="sq-AL"/>
              </w:rPr>
              <w:t>Të hartohen dokumente politikash që theksojnë përfitimet ekonomike nga energjia e rinovueshme, sistemet me aftësi ripërtëritëse dhe hapësirat e gjelbra urbane.</w:t>
            </w:r>
          </w:p>
        </w:tc>
        <w:tc>
          <w:tcPr>
            <w:tcW w:w="918" w:type="pct"/>
            <w:tcBorders>
              <w:top w:val="single" w:sz="4" w:space="0" w:color="1D3C5A"/>
              <w:left w:val="single" w:sz="4" w:space="0" w:color="1D3C5A"/>
              <w:bottom w:val="single" w:sz="4" w:space="0" w:color="1D3C5A"/>
              <w:right w:val="single" w:sz="4" w:space="0" w:color="1D3C5A"/>
            </w:tcBorders>
            <w:vAlign w:val="center"/>
          </w:tcPr>
          <w:p w14:paraId="3F2F0EAD" w14:textId="77777777" w:rsidR="00622884" w:rsidRPr="00622884" w:rsidRDefault="00622884" w:rsidP="00622884">
            <w:pPr>
              <w:spacing w:after="0" w:line="240" w:lineRule="auto"/>
              <w:jc w:val="left"/>
              <w:rPr>
                <w:rFonts w:ascii="Garamond" w:eastAsia="Calibri" w:hAnsi="Garamond" w:cs="Calibri Light"/>
                <w:sz w:val="16"/>
                <w:szCs w:val="16"/>
                <w:lang w:eastAsia="es-ES"/>
              </w:rPr>
            </w:pPr>
            <w:r w:rsidRPr="00622884">
              <w:rPr>
                <w:rFonts w:ascii="Garamond" w:eastAsia="Calibri" w:hAnsi="Garamond" w:cs="Times New Roman"/>
                <w:sz w:val="16"/>
                <w:szCs w:val="16"/>
                <w:lang w:eastAsia="en-US" w:bidi="sq-AL"/>
              </w:rPr>
              <w:t>Numri i përmbledhjeve të shpërndara të politikave</w:t>
            </w:r>
          </w:p>
          <w:p w14:paraId="0B52DE7D" w14:textId="77777777" w:rsidR="00622884" w:rsidRPr="00622884" w:rsidRDefault="00622884" w:rsidP="00622884">
            <w:pPr>
              <w:spacing w:after="0" w:line="240" w:lineRule="auto"/>
              <w:jc w:val="left"/>
              <w:rPr>
                <w:rFonts w:ascii="Garamond" w:eastAsia="Calibri" w:hAnsi="Garamond" w:cs="Calibri Light"/>
                <w:sz w:val="16"/>
                <w:szCs w:val="16"/>
                <w:lang w:eastAsia="es-ES"/>
              </w:rPr>
            </w:pPr>
          </w:p>
          <w:p w14:paraId="052E1A82" w14:textId="77777777" w:rsidR="00622884" w:rsidRPr="00622884" w:rsidRDefault="00622884" w:rsidP="00622884">
            <w:pPr>
              <w:spacing w:after="0" w:line="240" w:lineRule="auto"/>
              <w:jc w:val="left"/>
              <w:rPr>
                <w:rFonts w:ascii="Garamond" w:eastAsia="Calibri" w:hAnsi="Garamond" w:cs="Calibri Light"/>
                <w:sz w:val="16"/>
                <w:szCs w:val="16"/>
                <w:lang w:eastAsia="es-ES"/>
              </w:rPr>
            </w:pPr>
            <w:r w:rsidRPr="00622884">
              <w:rPr>
                <w:rFonts w:ascii="Garamond" w:eastAsia="Calibri" w:hAnsi="Garamond" w:cs="Times New Roman"/>
                <w:sz w:val="16"/>
                <w:szCs w:val="16"/>
                <w:lang w:eastAsia="en-US" w:bidi="sq-AL"/>
              </w:rPr>
              <w:t>Vlerësimet e politikëbërësve</w:t>
            </w:r>
          </w:p>
        </w:tc>
        <w:tc>
          <w:tcPr>
            <w:tcW w:w="681" w:type="pct"/>
            <w:tcBorders>
              <w:top w:val="single" w:sz="4" w:space="0" w:color="1D3C5A"/>
              <w:left w:val="single" w:sz="4" w:space="0" w:color="1D3C5A"/>
              <w:bottom w:val="single" w:sz="4" w:space="0" w:color="1D3C5A"/>
              <w:right w:val="single" w:sz="4" w:space="0" w:color="1D3C5A"/>
            </w:tcBorders>
            <w:vAlign w:val="center"/>
            <w:hideMark/>
          </w:tcPr>
          <w:p w14:paraId="54BBB070" w14:textId="77777777" w:rsidR="00622884" w:rsidRPr="00622884" w:rsidRDefault="00622884" w:rsidP="00622884">
            <w:pPr>
              <w:spacing w:after="0" w:line="240" w:lineRule="auto"/>
              <w:jc w:val="left"/>
              <w:rPr>
                <w:rFonts w:ascii="Garamond" w:eastAsia="Calibri" w:hAnsi="Garamond" w:cs="Calibri Light"/>
                <w:sz w:val="16"/>
                <w:szCs w:val="16"/>
                <w:lang w:eastAsia="es-ES"/>
              </w:rPr>
            </w:pPr>
            <w:r w:rsidRPr="00622884">
              <w:rPr>
                <w:rFonts w:ascii="Garamond" w:eastAsia="Calibri" w:hAnsi="Garamond" w:cs="Times New Roman"/>
                <w:sz w:val="16"/>
                <w:szCs w:val="16"/>
                <w:lang w:eastAsia="en-US" w:bidi="sq-AL"/>
              </w:rPr>
              <w:t>5 dokumente të shkurtra të ndara me 150 politikëbërës</w:t>
            </w:r>
          </w:p>
        </w:tc>
        <w:tc>
          <w:tcPr>
            <w:tcW w:w="455" w:type="pct"/>
            <w:tcBorders>
              <w:top w:val="single" w:sz="4" w:space="0" w:color="1D3C5A"/>
              <w:left w:val="single" w:sz="4" w:space="0" w:color="1D3C5A"/>
              <w:bottom w:val="single" w:sz="4" w:space="0" w:color="1D3C5A"/>
              <w:right w:val="single" w:sz="4" w:space="0" w:color="1D3C5A"/>
            </w:tcBorders>
            <w:vAlign w:val="center"/>
            <w:hideMark/>
          </w:tcPr>
          <w:p w14:paraId="3F6C8FE8" w14:textId="77777777" w:rsidR="00622884" w:rsidRPr="00622884" w:rsidRDefault="00622884" w:rsidP="00622884">
            <w:pPr>
              <w:spacing w:after="0" w:line="240" w:lineRule="auto"/>
              <w:jc w:val="left"/>
              <w:rPr>
                <w:rFonts w:ascii="Garamond" w:eastAsia="Calibri" w:hAnsi="Garamond" w:cs="Calibri Light"/>
                <w:sz w:val="16"/>
                <w:szCs w:val="16"/>
                <w:lang w:eastAsia="es-ES"/>
              </w:rPr>
            </w:pPr>
            <w:r w:rsidRPr="00622884">
              <w:rPr>
                <w:rFonts w:ascii="Garamond" w:eastAsia="Calibri" w:hAnsi="Garamond" w:cs="Times New Roman"/>
                <w:sz w:val="16"/>
                <w:szCs w:val="16"/>
                <w:lang w:eastAsia="en-US" w:bidi="sq-AL"/>
              </w:rPr>
              <w:t>Shkurt 2027 – dhjetor 2027</w:t>
            </w:r>
          </w:p>
        </w:tc>
        <w:tc>
          <w:tcPr>
            <w:tcW w:w="600" w:type="pct"/>
            <w:tcBorders>
              <w:top w:val="single" w:sz="4" w:space="0" w:color="1D3C5A"/>
              <w:left w:val="single" w:sz="4" w:space="0" w:color="1D3C5A"/>
              <w:bottom w:val="single" w:sz="4" w:space="0" w:color="1D3C5A"/>
              <w:right w:val="single" w:sz="4" w:space="0" w:color="1D3C5A"/>
            </w:tcBorders>
            <w:vAlign w:val="center"/>
            <w:hideMark/>
          </w:tcPr>
          <w:p w14:paraId="42D97B3E" w14:textId="77777777" w:rsidR="00622884" w:rsidRPr="00622884" w:rsidRDefault="00622884" w:rsidP="00622884">
            <w:pPr>
              <w:spacing w:after="0" w:line="240" w:lineRule="auto"/>
              <w:jc w:val="left"/>
              <w:rPr>
                <w:rFonts w:ascii="Garamond" w:eastAsia="Calibri" w:hAnsi="Garamond" w:cs="Calibri Light"/>
                <w:sz w:val="16"/>
                <w:szCs w:val="16"/>
                <w:lang w:eastAsia="es-ES"/>
              </w:rPr>
            </w:pPr>
            <w:r w:rsidRPr="00622884">
              <w:rPr>
                <w:rFonts w:ascii="Garamond" w:eastAsia="Calibri" w:hAnsi="Garamond" w:cs="Times New Roman"/>
                <w:sz w:val="16"/>
                <w:szCs w:val="16"/>
                <w:lang w:eastAsia="en-US" w:bidi="sq-AL"/>
              </w:rPr>
              <w:t>Ministria e Financave; Ministritë Sektoriale</w:t>
            </w:r>
          </w:p>
        </w:tc>
        <w:tc>
          <w:tcPr>
            <w:tcW w:w="621" w:type="pct"/>
            <w:tcBorders>
              <w:top w:val="single" w:sz="4" w:space="0" w:color="1D3C5A"/>
              <w:left w:val="single" w:sz="4" w:space="0" w:color="1D3C5A"/>
              <w:bottom w:val="single" w:sz="4" w:space="0" w:color="1D3C5A"/>
              <w:right w:val="single" w:sz="4" w:space="0" w:color="1D3C5A"/>
            </w:tcBorders>
            <w:vAlign w:val="center"/>
            <w:hideMark/>
          </w:tcPr>
          <w:p w14:paraId="2C59C9B3" w14:textId="77777777" w:rsidR="00622884" w:rsidRPr="00622884" w:rsidRDefault="00622884" w:rsidP="00622884">
            <w:pPr>
              <w:spacing w:after="0" w:line="240" w:lineRule="auto"/>
              <w:jc w:val="left"/>
              <w:rPr>
                <w:rFonts w:ascii="Garamond" w:eastAsia="Calibri" w:hAnsi="Garamond" w:cs="Calibri Light"/>
                <w:sz w:val="16"/>
                <w:szCs w:val="16"/>
                <w:lang w:eastAsia="es-ES"/>
              </w:rPr>
            </w:pPr>
            <w:r w:rsidRPr="00622884">
              <w:rPr>
                <w:rFonts w:ascii="Garamond" w:eastAsia="Calibri" w:hAnsi="Garamond" w:cs="Times New Roman"/>
                <w:sz w:val="16"/>
                <w:szCs w:val="16"/>
                <w:lang w:eastAsia="en-US" w:bidi="sq-AL"/>
              </w:rPr>
              <w:t>150.000</w:t>
            </w:r>
          </w:p>
        </w:tc>
        <w:tc>
          <w:tcPr>
            <w:tcW w:w="754" w:type="pct"/>
            <w:tcBorders>
              <w:top w:val="single" w:sz="4" w:space="0" w:color="1D3C5A"/>
              <w:left w:val="single" w:sz="4" w:space="0" w:color="1D3C5A"/>
              <w:bottom w:val="single" w:sz="4" w:space="0" w:color="1D3C5A"/>
              <w:right w:val="single" w:sz="4" w:space="0" w:color="1D3C5A"/>
            </w:tcBorders>
            <w:vAlign w:val="center"/>
            <w:hideMark/>
          </w:tcPr>
          <w:p w14:paraId="0B9B9925" w14:textId="77777777" w:rsidR="00622884" w:rsidRPr="00622884" w:rsidRDefault="00622884" w:rsidP="00622884">
            <w:pPr>
              <w:spacing w:after="0" w:line="240" w:lineRule="auto"/>
              <w:jc w:val="left"/>
              <w:rPr>
                <w:rFonts w:ascii="Garamond" w:eastAsia="Calibri" w:hAnsi="Garamond" w:cs="Calibri Light"/>
                <w:sz w:val="16"/>
                <w:szCs w:val="16"/>
                <w:lang w:eastAsia="es-ES"/>
              </w:rPr>
            </w:pPr>
            <w:r w:rsidRPr="00622884">
              <w:rPr>
                <w:rFonts w:ascii="Garamond" w:eastAsia="Calibri" w:hAnsi="Garamond" w:cs="Times New Roman"/>
                <w:sz w:val="16"/>
                <w:szCs w:val="16"/>
                <w:lang w:eastAsia="en-US" w:bidi="sq-AL"/>
              </w:rPr>
              <w:t>Angazhim më i fortë politik për integrimin e përshtatjes në politikat kombëtare.</w:t>
            </w:r>
          </w:p>
        </w:tc>
      </w:tr>
      <w:tr w:rsidR="00622884" w:rsidRPr="00622884" w14:paraId="763A65DF" w14:textId="77777777" w:rsidTr="00622884">
        <w:trPr>
          <w:jc w:val="center"/>
        </w:trPr>
        <w:tc>
          <w:tcPr>
            <w:tcW w:w="971" w:type="pct"/>
            <w:tcBorders>
              <w:top w:val="single" w:sz="4" w:space="0" w:color="1D3C5A"/>
              <w:left w:val="single" w:sz="4" w:space="0" w:color="1D3C5A"/>
              <w:bottom w:val="single" w:sz="4" w:space="0" w:color="1D3C5A"/>
              <w:right w:val="single" w:sz="4" w:space="0" w:color="1D3C5A"/>
            </w:tcBorders>
            <w:vAlign w:val="center"/>
            <w:hideMark/>
          </w:tcPr>
          <w:p w14:paraId="49419A42" w14:textId="77777777" w:rsidR="00622884" w:rsidRPr="00622884" w:rsidRDefault="00622884" w:rsidP="00622884">
            <w:pPr>
              <w:spacing w:after="0" w:line="240" w:lineRule="auto"/>
              <w:jc w:val="left"/>
              <w:rPr>
                <w:rFonts w:ascii="Garamond" w:eastAsia="Calibri" w:hAnsi="Garamond" w:cs="Calibri Light"/>
                <w:sz w:val="16"/>
                <w:szCs w:val="16"/>
                <w:lang w:eastAsia="es-ES"/>
              </w:rPr>
            </w:pPr>
            <w:r w:rsidRPr="00622884">
              <w:rPr>
                <w:rFonts w:ascii="Garamond" w:eastAsia="Calibri" w:hAnsi="Garamond" w:cs="Times New Roman"/>
                <w:sz w:val="16"/>
                <w:szCs w:val="16"/>
                <w:lang w:eastAsia="en-US" w:bidi="sq-AL"/>
              </w:rPr>
              <w:t>Të organizohen dialogë mbi politikat e nivelit të lartë me palët kryesore të interesit në sektorët e bujqësisë, energjisë dhe transportit.</w:t>
            </w:r>
          </w:p>
        </w:tc>
        <w:tc>
          <w:tcPr>
            <w:tcW w:w="918" w:type="pct"/>
            <w:tcBorders>
              <w:top w:val="single" w:sz="4" w:space="0" w:color="1D3C5A"/>
              <w:left w:val="single" w:sz="4" w:space="0" w:color="1D3C5A"/>
              <w:bottom w:val="single" w:sz="4" w:space="0" w:color="1D3C5A"/>
              <w:right w:val="single" w:sz="4" w:space="0" w:color="1D3C5A"/>
            </w:tcBorders>
            <w:vAlign w:val="center"/>
          </w:tcPr>
          <w:p w14:paraId="74C7C218" w14:textId="77777777" w:rsidR="00622884" w:rsidRPr="00622884" w:rsidRDefault="00622884" w:rsidP="00622884">
            <w:pPr>
              <w:spacing w:after="0" w:line="240" w:lineRule="auto"/>
              <w:jc w:val="left"/>
              <w:rPr>
                <w:rFonts w:ascii="Garamond" w:eastAsia="Calibri" w:hAnsi="Garamond" w:cs="Calibri Light"/>
                <w:sz w:val="16"/>
                <w:szCs w:val="16"/>
                <w:lang w:eastAsia="es-ES"/>
              </w:rPr>
            </w:pPr>
            <w:r w:rsidRPr="00622884">
              <w:rPr>
                <w:rFonts w:ascii="Garamond" w:eastAsia="Calibri" w:hAnsi="Garamond" w:cs="Times New Roman"/>
                <w:sz w:val="16"/>
                <w:szCs w:val="16"/>
                <w:lang w:eastAsia="en-US" w:bidi="sq-AL"/>
              </w:rPr>
              <w:t>Numri i dialogëve të mbajtur</w:t>
            </w:r>
          </w:p>
          <w:p w14:paraId="2E6E170B" w14:textId="77777777" w:rsidR="00622884" w:rsidRPr="00622884" w:rsidRDefault="00622884" w:rsidP="00622884">
            <w:pPr>
              <w:spacing w:after="0" w:line="240" w:lineRule="auto"/>
              <w:jc w:val="left"/>
              <w:rPr>
                <w:rFonts w:ascii="Garamond" w:eastAsia="Calibri" w:hAnsi="Garamond" w:cs="Calibri Light"/>
                <w:sz w:val="16"/>
                <w:szCs w:val="16"/>
                <w:lang w:eastAsia="es-ES"/>
              </w:rPr>
            </w:pPr>
          </w:p>
          <w:p w14:paraId="5076D271" w14:textId="77777777" w:rsidR="00622884" w:rsidRPr="00622884" w:rsidRDefault="00622884" w:rsidP="00622884">
            <w:pPr>
              <w:spacing w:after="0" w:line="240" w:lineRule="auto"/>
              <w:jc w:val="left"/>
              <w:rPr>
                <w:rFonts w:ascii="Garamond" w:eastAsia="Calibri" w:hAnsi="Garamond" w:cs="Calibri Light"/>
                <w:sz w:val="16"/>
                <w:szCs w:val="16"/>
                <w:lang w:eastAsia="es-ES"/>
              </w:rPr>
            </w:pPr>
            <w:r w:rsidRPr="00622884">
              <w:rPr>
                <w:rFonts w:ascii="Garamond" w:eastAsia="Calibri" w:hAnsi="Garamond" w:cs="Times New Roman"/>
                <w:sz w:val="16"/>
                <w:szCs w:val="16"/>
                <w:lang w:eastAsia="en-US" w:bidi="sq-AL"/>
              </w:rPr>
              <w:t>Rezultatet e politikave</w:t>
            </w:r>
          </w:p>
        </w:tc>
        <w:tc>
          <w:tcPr>
            <w:tcW w:w="681" w:type="pct"/>
            <w:tcBorders>
              <w:top w:val="single" w:sz="4" w:space="0" w:color="1D3C5A"/>
              <w:left w:val="single" w:sz="4" w:space="0" w:color="1D3C5A"/>
              <w:bottom w:val="single" w:sz="4" w:space="0" w:color="1D3C5A"/>
              <w:right w:val="single" w:sz="4" w:space="0" w:color="1D3C5A"/>
            </w:tcBorders>
            <w:vAlign w:val="center"/>
          </w:tcPr>
          <w:p w14:paraId="797423E5" w14:textId="77777777" w:rsidR="00622884" w:rsidRPr="00622884" w:rsidRDefault="00622884" w:rsidP="00622884">
            <w:pPr>
              <w:spacing w:after="0" w:line="240" w:lineRule="auto"/>
              <w:jc w:val="left"/>
              <w:rPr>
                <w:rFonts w:ascii="Garamond" w:eastAsia="Calibri" w:hAnsi="Garamond" w:cs="Calibri Light"/>
                <w:sz w:val="16"/>
                <w:szCs w:val="16"/>
                <w:lang w:eastAsia="es-ES"/>
              </w:rPr>
            </w:pPr>
            <w:r w:rsidRPr="00622884">
              <w:rPr>
                <w:rFonts w:ascii="Garamond" w:eastAsia="Calibri" w:hAnsi="Garamond" w:cs="Times New Roman"/>
                <w:sz w:val="16"/>
                <w:szCs w:val="16"/>
                <w:lang w:eastAsia="en-US" w:bidi="sq-AL"/>
              </w:rPr>
              <w:t>5 dialogë</w:t>
            </w:r>
          </w:p>
          <w:p w14:paraId="77920924" w14:textId="77777777" w:rsidR="00622884" w:rsidRPr="00622884" w:rsidRDefault="00622884" w:rsidP="00622884">
            <w:pPr>
              <w:spacing w:after="0" w:line="240" w:lineRule="auto"/>
              <w:jc w:val="left"/>
              <w:rPr>
                <w:rFonts w:ascii="Garamond" w:eastAsia="Calibri" w:hAnsi="Garamond" w:cs="Calibri Light"/>
                <w:sz w:val="16"/>
                <w:szCs w:val="16"/>
                <w:lang w:eastAsia="es-ES"/>
              </w:rPr>
            </w:pPr>
          </w:p>
          <w:p w14:paraId="38759B25" w14:textId="77777777" w:rsidR="00622884" w:rsidRPr="00622884" w:rsidRDefault="00622884" w:rsidP="00622884">
            <w:pPr>
              <w:spacing w:after="0" w:line="240" w:lineRule="auto"/>
              <w:jc w:val="left"/>
              <w:rPr>
                <w:rFonts w:ascii="Garamond" w:eastAsia="Calibri" w:hAnsi="Garamond" w:cs="Calibri Light"/>
                <w:sz w:val="16"/>
                <w:szCs w:val="16"/>
                <w:lang w:eastAsia="es-ES"/>
              </w:rPr>
            </w:pPr>
            <w:r w:rsidRPr="00622884">
              <w:rPr>
                <w:rFonts w:ascii="Garamond" w:eastAsia="Calibri" w:hAnsi="Garamond" w:cs="Times New Roman"/>
                <w:sz w:val="16"/>
                <w:szCs w:val="16"/>
                <w:lang w:eastAsia="en-US" w:bidi="sq-AL"/>
              </w:rPr>
              <w:t>Rekomandimet e politikave të miratuara</w:t>
            </w:r>
          </w:p>
        </w:tc>
        <w:tc>
          <w:tcPr>
            <w:tcW w:w="455" w:type="pct"/>
            <w:tcBorders>
              <w:top w:val="single" w:sz="4" w:space="0" w:color="1D3C5A"/>
              <w:left w:val="single" w:sz="4" w:space="0" w:color="1D3C5A"/>
              <w:bottom w:val="single" w:sz="4" w:space="0" w:color="1D3C5A"/>
              <w:right w:val="single" w:sz="4" w:space="0" w:color="1D3C5A"/>
            </w:tcBorders>
            <w:vAlign w:val="center"/>
            <w:hideMark/>
          </w:tcPr>
          <w:p w14:paraId="12CDB808" w14:textId="77777777" w:rsidR="00622884" w:rsidRPr="00622884" w:rsidRDefault="00622884" w:rsidP="00622884">
            <w:pPr>
              <w:spacing w:after="0" w:line="240" w:lineRule="auto"/>
              <w:jc w:val="left"/>
              <w:rPr>
                <w:rFonts w:ascii="Garamond" w:eastAsia="Calibri" w:hAnsi="Garamond" w:cs="Calibri Light"/>
                <w:sz w:val="16"/>
                <w:szCs w:val="16"/>
                <w:lang w:eastAsia="es-ES"/>
              </w:rPr>
            </w:pPr>
            <w:r w:rsidRPr="00622884">
              <w:rPr>
                <w:rFonts w:ascii="Garamond" w:eastAsia="Calibri" w:hAnsi="Garamond" w:cs="Times New Roman"/>
                <w:sz w:val="16"/>
                <w:szCs w:val="16"/>
                <w:lang w:eastAsia="en-US" w:bidi="sq-AL"/>
              </w:rPr>
              <w:t>Shtator 2027</w:t>
            </w:r>
          </w:p>
        </w:tc>
        <w:tc>
          <w:tcPr>
            <w:tcW w:w="600" w:type="pct"/>
            <w:tcBorders>
              <w:top w:val="single" w:sz="4" w:space="0" w:color="1D3C5A"/>
              <w:left w:val="single" w:sz="4" w:space="0" w:color="1D3C5A"/>
              <w:bottom w:val="single" w:sz="4" w:space="0" w:color="1D3C5A"/>
              <w:right w:val="single" w:sz="4" w:space="0" w:color="1D3C5A"/>
            </w:tcBorders>
            <w:vAlign w:val="center"/>
            <w:hideMark/>
          </w:tcPr>
          <w:p w14:paraId="7919B95C" w14:textId="77777777" w:rsidR="00622884" w:rsidRPr="00622884" w:rsidRDefault="00622884" w:rsidP="00622884">
            <w:pPr>
              <w:spacing w:after="0" w:line="240" w:lineRule="auto"/>
              <w:jc w:val="left"/>
              <w:rPr>
                <w:rFonts w:ascii="Garamond" w:eastAsia="Calibri" w:hAnsi="Garamond" w:cs="Calibri Light"/>
                <w:sz w:val="16"/>
                <w:szCs w:val="16"/>
                <w:lang w:eastAsia="es-ES"/>
              </w:rPr>
            </w:pPr>
            <w:r w:rsidRPr="00622884">
              <w:rPr>
                <w:rFonts w:ascii="Garamond" w:eastAsia="Calibri" w:hAnsi="Garamond" w:cs="Times New Roman"/>
                <w:sz w:val="16"/>
                <w:szCs w:val="16"/>
                <w:lang w:eastAsia="en-US" w:bidi="sq-AL"/>
              </w:rPr>
              <w:t>Ministritë e Sektorit; specialistët e advokimit</w:t>
            </w:r>
          </w:p>
        </w:tc>
        <w:tc>
          <w:tcPr>
            <w:tcW w:w="621" w:type="pct"/>
            <w:tcBorders>
              <w:top w:val="single" w:sz="4" w:space="0" w:color="1D3C5A"/>
              <w:left w:val="single" w:sz="4" w:space="0" w:color="1D3C5A"/>
              <w:bottom w:val="single" w:sz="4" w:space="0" w:color="1D3C5A"/>
              <w:right w:val="single" w:sz="4" w:space="0" w:color="1D3C5A"/>
            </w:tcBorders>
            <w:vAlign w:val="center"/>
            <w:hideMark/>
          </w:tcPr>
          <w:p w14:paraId="6AE8EFF0" w14:textId="77777777" w:rsidR="00622884" w:rsidRPr="00622884" w:rsidRDefault="00622884" w:rsidP="00622884">
            <w:pPr>
              <w:spacing w:after="0" w:line="240" w:lineRule="auto"/>
              <w:jc w:val="left"/>
              <w:rPr>
                <w:rFonts w:ascii="Garamond" w:eastAsia="Calibri" w:hAnsi="Garamond" w:cs="Calibri Light"/>
                <w:sz w:val="16"/>
                <w:szCs w:val="16"/>
                <w:lang w:eastAsia="es-ES"/>
              </w:rPr>
            </w:pPr>
            <w:r w:rsidRPr="00622884">
              <w:rPr>
                <w:rFonts w:ascii="Garamond" w:eastAsia="Calibri" w:hAnsi="Garamond" w:cs="Times New Roman"/>
                <w:sz w:val="16"/>
                <w:szCs w:val="16"/>
                <w:lang w:eastAsia="en-US" w:bidi="sq-AL"/>
              </w:rPr>
              <w:t>100.000</w:t>
            </w:r>
          </w:p>
        </w:tc>
        <w:tc>
          <w:tcPr>
            <w:tcW w:w="754" w:type="pct"/>
            <w:tcBorders>
              <w:top w:val="single" w:sz="4" w:space="0" w:color="1D3C5A"/>
              <w:left w:val="single" w:sz="4" w:space="0" w:color="1D3C5A"/>
              <w:bottom w:val="single" w:sz="4" w:space="0" w:color="1D3C5A"/>
              <w:right w:val="single" w:sz="4" w:space="0" w:color="1D3C5A"/>
            </w:tcBorders>
            <w:vAlign w:val="center"/>
            <w:hideMark/>
          </w:tcPr>
          <w:p w14:paraId="0549AB39" w14:textId="77777777" w:rsidR="00622884" w:rsidRPr="00622884" w:rsidRDefault="00622884" w:rsidP="00622884">
            <w:pPr>
              <w:spacing w:after="0" w:line="240" w:lineRule="auto"/>
              <w:jc w:val="left"/>
              <w:rPr>
                <w:rFonts w:ascii="Garamond" w:eastAsia="Calibri" w:hAnsi="Garamond" w:cs="Calibri Light"/>
                <w:sz w:val="16"/>
                <w:szCs w:val="16"/>
                <w:lang w:eastAsia="es-ES"/>
              </w:rPr>
            </w:pPr>
            <w:r w:rsidRPr="00622884">
              <w:rPr>
                <w:rFonts w:ascii="Garamond" w:eastAsia="Calibri" w:hAnsi="Garamond" w:cs="Times New Roman"/>
                <w:sz w:val="16"/>
                <w:szCs w:val="16"/>
                <w:lang w:eastAsia="en-US" w:bidi="sq-AL"/>
              </w:rPr>
              <w:t>Harmonizim i përshpejtuar i politikave me prioritetet e përshtatjes.</w:t>
            </w:r>
          </w:p>
        </w:tc>
      </w:tr>
      <w:tr w:rsidR="00622884" w:rsidRPr="00622884" w14:paraId="296C653F" w14:textId="77777777" w:rsidTr="00622884">
        <w:trPr>
          <w:jc w:val="center"/>
        </w:trPr>
        <w:tc>
          <w:tcPr>
            <w:tcW w:w="5000" w:type="pct"/>
            <w:gridSpan w:val="7"/>
            <w:tcBorders>
              <w:top w:val="single" w:sz="4" w:space="0" w:color="1D3C5A"/>
              <w:left w:val="single" w:sz="4" w:space="0" w:color="1D3C5A"/>
              <w:bottom w:val="single" w:sz="4" w:space="0" w:color="1D3C5A"/>
              <w:right w:val="single" w:sz="4" w:space="0" w:color="1D3C5A"/>
            </w:tcBorders>
            <w:shd w:val="clear" w:color="auto" w:fill="D6F2E9"/>
            <w:vAlign w:val="center"/>
            <w:hideMark/>
          </w:tcPr>
          <w:p w14:paraId="396316BF" w14:textId="77777777" w:rsidR="00622884" w:rsidRPr="00622884" w:rsidRDefault="00622884" w:rsidP="00622884">
            <w:pPr>
              <w:spacing w:after="0" w:line="240" w:lineRule="auto"/>
              <w:jc w:val="left"/>
              <w:rPr>
                <w:rFonts w:ascii="Garamond" w:eastAsia="Calibri" w:hAnsi="Garamond" w:cs="Calibri Light"/>
                <w:b/>
                <w:bCs/>
                <w:sz w:val="16"/>
                <w:szCs w:val="16"/>
                <w:lang w:eastAsia="es-ES"/>
              </w:rPr>
            </w:pPr>
            <w:r w:rsidRPr="00622884">
              <w:rPr>
                <w:rFonts w:ascii="Garamond" w:eastAsia="Calibri" w:hAnsi="Garamond" w:cs="Times New Roman"/>
                <w:b/>
                <w:sz w:val="16"/>
                <w:szCs w:val="16"/>
                <w:lang w:eastAsia="en-US" w:bidi="sq-AL"/>
              </w:rPr>
              <w:t>Objektivi 4: Fuqizimi i zërave të cenueshëm</w:t>
            </w:r>
          </w:p>
        </w:tc>
      </w:tr>
      <w:tr w:rsidR="00622884" w:rsidRPr="00622884" w14:paraId="3736F334" w14:textId="77777777" w:rsidTr="00622884">
        <w:trPr>
          <w:jc w:val="center"/>
        </w:trPr>
        <w:tc>
          <w:tcPr>
            <w:tcW w:w="971" w:type="pct"/>
            <w:tcBorders>
              <w:top w:val="single" w:sz="4" w:space="0" w:color="1D3C5A"/>
              <w:left w:val="single" w:sz="4" w:space="0" w:color="1D3C5A"/>
              <w:bottom w:val="single" w:sz="4" w:space="0" w:color="1D3C5A"/>
              <w:right w:val="single" w:sz="4" w:space="0" w:color="1D3C5A"/>
            </w:tcBorders>
            <w:vAlign w:val="center"/>
            <w:hideMark/>
          </w:tcPr>
          <w:p w14:paraId="3E74DCC8" w14:textId="77777777" w:rsidR="00622884" w:rsidRPr="00622884" w:rsidRDefault="00622884" w:rsidP="00622884">
            <w:pPr>
              <w:spacing w:after="0" w:line="240" w:lineRule="auto"/>
              <w:jc w:val="left"/>
              <w:rPr>
                <w:rFonts w:ascii="Garamond" w:eastAsia="Calibri" w:hAnsi="Garamond" w:cs="Calibri Light"/>
                <w:sz w:val="16"/>
                <w:szCs w:val="16"/>
                <w:lang w:eastAsia="es-ES"/>
              </w:rPr>
            </w:pPr>
            <w:r w:rsidRPr="00622884">
              <w:rPr>
                <w:rFonts w:ascii="Garamond" w:eastAsia="Calibri" w:hAnsi="Garamond" w:cs="Times New Roman"/>
                <w:sz w:val="16"/>
                <w:szCs w:val="16"/>
                <w:lang w:eastAsia="en-US" w:bidi="sq-AL"/>
              </w:rPr>
              <w:t xml:space="preserve">Të lehtësohen </w:t>
            </w:r>
            <w:r w:rsidRPr="00622884">
              <w:rPr>
                <w:rFonts w:ascii="Garamond" w:eastAsia="Calibri" w:hAnsi="Garamond" w:cs="Times New Roman"/>
                <w:i/>
                <w:sz w:val="16"/>
                <w:szCs w:val="16"/>
                <w:lang w:eastAsia="en-US" w:bidi="sq-AL"/>
              </w:rPr>
              <w:t>workshop</w:t>
            </w:r>
            <w:r w:rsidRPr="00622884">
              <w:rPr>
                <w:rFonts w:ascii="Garamond" w:eastAsia="Calibri" w:hAnsi="Garamond" w:cs="Times New Roman"/>
                <w:sz w:val="16"/>
                <w:szCs w:val="16"/>
                <w:lang w:eastAsia="en-US" w:bidi="sq-AL"/>
              </w:rPr>
              <w:t>-e, takime, trajnime etj., të synuara për gratë dhe të rinjtë mbi bujqësinë inteligjente ndaj klimës, eficiencën e energjisë dhe turizmin e qëndrueshëm.</w:t>
            </w:r>
          </w:p>
        </w:tc>
        <w:tc>
          <w:tcPr>
            <w:tcW w:w="918" w:type="pct"/>
            <w:tcBorders>
              <w:top w:val="single" w:sz="4" w:space="0" w:color="1D3C5A"/>
              <w:left w:val="single" w:sz="4" w:space="0" w:color="1D3C5A"/>
              <w:bottom w:val="single" w:sz="4" w:space="0" w:color="1D3C5A"/>
              <w:right w:val="single" w:sz="4" w:space="0" w:color="1D3C5A"/>
            </w:tcBorders>
            <w:vAlign w:val="center"/>
          </w:tcPr>
          <w:p w14:paraId="2446B5A8" w14:textId="77777777" w:rsidR="00622884" w:rsidRPr="00622884" w:rsidRDefault="00622884" w:rsidP="00622884">
            <w:pPr>
              <w:spacing w:after="0" w:line="240" w:lineRule="auto"/>
              <w:jc w:val="left"/>
              <w:rPr>
                <w:rFonts w:ascii="Garamond" w:eastAsia="Calibri" w:hAnsi="Garamond" w:cs="Calibri Light"/>
                <w:sz w:val="16"/>
                <w:szCs w:val="16"/>
                <w:lang w:eastAsia="es-ES"/>
              </w:rPr>
            </w:pPr>
            <w:r w:rsidRPr="00622884">
              <w:rPr>
                <w:rFonts w:ascii="Garamond" w:eastAsia="Calibri" w:hAnsi="Garamond" w:cs="Times New Roman"/>
                <w:sz w:val="16"/>
                <w:szCs w:val="16"/>
                <w:lang w:eastAsia="en-US" w:bidi="sq-AL"/>
              </w:rPr>
              <w:t xml:space="preserve">Numri i </w:t>
            </w:r>
            <w:r w:rsidRPr="00622884">
              <w:rPr>
                <w:rFonts w:ascii="Garamond" w:eastAsia="Calibri" w:hAnsi="Garamond" w:cs="Times New Roman"/>
                <w:i/>
                <w:sz w:val="16"/>
                <w:szCs w:val="16"/>
                <w:lang w:eastAsia="en-US" w:bidi="sq-AL"/>
              </w:rPr>
              <w:t>workshop</w:t>
            </w:r>
            <w:r w:rsidRPr="00622884">
              <w:rPr>
                <w:rFonts w:ascii="Garamond" w:eastAsia="Calibri" w:hAnsi="Garamond" w:cs="Times New Roman"/>
                <w:sz w:val="16"/>
                <w:szCs w:val="16"/>
                <w:lang w:eastAsia="en-US" w:bidi="sq-AL"/>
              </w:rPr>
              <w:t>-eve</w:t>
            </w:r>
          </w:p>
          <w:p w14:paraId="47B3AF12" w14:textId="77777777" w:rsidR="00622884" w:rsidRPr="00622884" w:rsidRDefault="00622884" w:rsidP="00622884">
            <w:pPr>
              <w:spacing w:after="0" w:line="240" w:lineRule="auto"/>
              <w:jc w:val="left"/>
              <w:rPr>
                <w:rFonts w:ascii="Garamond" w:eastAsia="Calibri" w:hAnsi="Garamond" w:cs="Calibri Light"/>
                <w:sz w:val="16"/>
                <w:szCs w:val="16"/>
                <w:lang w:eastAsia="es-ES"/>
              </w:rPr>
            </w:pPr>
          </w:p>
          <w:p w14:paraId="5350127D" w14:textId="77777777" w:rsidR="00622884" w:rsidRPr="00622884" w:rsidRDefault="00622884" w:rsidP="00622884">
            <w:pPr>
              <w:spacing w:after="0" w:line="240" w:lineRule="auto"/>
              <w:jc w:val="left"/>
              <w:rPr>
                <w:rFonts w:ascii="Garamond" w:eastAsia="Calibri" w:hAnsi="Garamond" w:cs="Calibri Light"/>
                <w:sz w:val="16"/>
                <w:szCs w:val="16"/>
                <w:lang w:eastAsia="es-ES"/>
              </w:rPr>
            </w:pPr>
            <w:r w:rsidRPr="00622884">
              <w:rPr>
                <w:rFonts w:ascii="Garamond" w:eastAsia="Calibri" w:hAnsi="Garamond" w:cs="Times New Roman"/>
                <w:sz w:val="16"/>
                <w:szCs w:val="16"/>
                <w:lang w:eastAsia="en-US" w:bidi="sq-AL"/>
              </w:rPr>
              <w:t>Numri i pjesëmarrësve</w:t>
            </w:r>
          </w:p>
        </w:tc>
        <w:tc>
          <w:tcPr>
            <w:tcW w:w="681" w:type="pct"/>
            <w:tcBorders>
              <w:top w:val="single" w:sz="4" w:space="0" w:color="1D3C5A"/>
              <w:left w:val="single" w:sz="4" w:space="0" w:color="1D3C5A"/>
              <w:bottom w:val="single" w:sz="4" w:space="0" w:color="1D3C5A"/>
              <w:right w:val="single" w:sz="4" w:space="0" w:color="1D3C5A"/>
            </w:tcBorders>
            <w:vAlign w:val="center"/>
          </w:tcPr>
          <w:p w14:paraId="41E23428" w14:textId="77777777" w:rsidR="00622884" w:rsidRPr="00622884" w:rsidRDefault="00622884" w:rsidP="00622884">
            <w:pPr>
              <w:spacing w:after="0" w:line="240" w:lineRule="auto"/>
              <w:jc w:val="left"/>
              <w:rPr>
                <w:rFonts w:ascii="Garamond" w:eastAsia="Calibri" w:hAnsi="Garamond" w:cs="Calibri Light"/>
                <w:sz w:val="16"/>
                <w:szCs w:val="16"/>
                <w:lang w:eastAsia="es-ES"/>
              </w:rPr>
            </w:pPr>
            <w:r w:rsidRPr="00622884">
              <w:rPr>
                <w:rFonts w:ascii="Garamond" w:eastAsia="Calibri" w:hAnsi="Garamond" w:cs="Times New Roman"/>
                <w:sz w:val="16"/>
                <w:szCs w:val="16"/>
                <w:lang w:eastAsia="en-US" w:bidi="sq-AL"/>
              </w:rPr>
              <w:t xml:space="preserve">15 </w:t>
            </w:r>
            <w:r w:rsidRPr="00622884">
              <w:rPr>
                <w:rFonts w:ascii="Garamond" w:eastAsia="Calibri" w:hAnsi="Garamond" w:cs="Times New Roman"/>
                <w:i/>
                <w:sz w:val="16"/>
                <w:szCs w:val="16"/>
                <w:lang w:eastAsia="en-US" w:bidi="sq-AL"/>
              </w:rPr>
              <w:t>workshop</w:t>
            </w:r>
            <w:r w:rsidRPr="00622884">
              <w:rPr>
                <w:rFonts w:ascii="Garamond" w:eastAsia="Calibri" w:hAnsi="Garamond" w:cs="Times New Roman"/>
                <w:sz w:val="16"/>
                <w:szCs w:val="16"/>
                <w:lang w:eastAsia="en-US" w:bidi="sq-AL"/>
              </w:rPr>
              <w:t>-e, takime, aktivitete</w:t>
            </w:r>
          </w:p>
          <w:p w14:paraId="1DF7A7D8" w14:textId="77777777" w:rsidR="00622884" w:rsidRPr="00622884" w:rsidRDefault="00622884" w:rsidP="00622884">
            <w:pPr>
              <w:spacing w:after="0" w:line="240" w:lineRule="auto"/>
              <w:jc w:val="left"/>
              <w:rPr>
                <w:rFonts w:ascii="Garamond" w:eastAsia="Calibri" w:hAnsi="Garamond" w:cs="Calibri Light"/>
                <w:sz w:val="16"/>
                <w:szCs w:val="16"/>
                <w:lang w:eastAsia="es-ES"/>
              </w:rPr>
            </w:pPr>
          </w:p>
          <w:p w14:paraId="40EEBD9E" w14:textId="77777777" w:rsidR="00622884" w:rsidRPr="00622884" w:rsidRDefault="00622884" w:rsidP="00622884">
            <w:pPr>
              <w:spacing w:after="0" w:line="240" w:lineRule="auto"/>
              <w:jc w:val="left"/>
              <w:rPr>
                <w:rFonts w:ascii="Garamond" w:eastAsia="Calibri" w:hAnsi="Garamond" w:cs="Calibri Light"/>
                <w:sz w:val="16"/>
                <w:szCs w:val="16"/>
                <w:lang w:eastAsia="es-ES"/>
              </w:rPr>
            </w:pPr>
            <w:r w:rsidRPr="00622884">
              <w:rPr>
                <w:rFonts w:ascii="Garamond" w:eastAsia="Calibri" w:hAnsi="Garamond" w:cs="Times New Roman"/>
                <w:sz w:val="16"/>
                <w:szCs w:val="16"/>
                <w:lang w:eastAsia="en-US" w:bidi="sq-AL"/>
              </w:rPr>
              <w:t>300 pjesëmarrës</w:t>
            </w:r>
          </w:p>
        </w:tc>
        <w:tc>
          <w:tcPr>
            <w:tcW w:w="455" w:type="pct"/>
            <w:tcBorders>
              <w:top w:val="single" w:sz="4" w:space="0" w:color="1D3C5A"/>
              <w:left w:val="single" w:sz="4" w:space="0" w:color="1D3C5A"/>
              <w:bottom w:val="single" w:sz="4" w:space="0" w:color="1D3C5A"/>
              <w:right w:val="single" w:sz="4" w:space="0" w:color="1D3C5A"/>
            </w:tcBorders>
            <w:vAlign w:val="center"/>
            <w:hideMark/>
          </w:tcPr>
          <w:p w14:paraId="21ED406D" w14:textId="77777777" w:rsidR="00622884" w:rsidRPr="00622884" w:rsidRDefault="00622884" w:rsidP="00622884">
            <w:pPr>
              <w:spacing w:after="0" w:line="240" w:lineRule="auto"/>
              <w:jc w:val="left"/>
              <w:rPr>
                <w:rFonts w:ascii="Garamond" w:eastAsia="Calibri" w:hAnsi="Garamond" w:cs="Calibri Light"/>
                <w:sz w:val="16"/>
                <w:szCs w:val="16"/>
                <w:lang w:eastAsia="es-ES"/>
              </w:rPr>
            </w:pPr>
            <w:r w:rsidRPr="00622884">
              <w:rPr>
                <w:rFonts w:ascii="Garamond" w:eastAsia="Calibri" w:hAnsi="Garamond" w:cs="Times New Roman"/>
                <w:sz w:val="16"/>
                <w:szCs w:val="16"/>
                <w:lang w:eastAsia="en-US" w:bidi="sq-AL"/>
              </w:rPr>
              <w:t>Janar 2027 – dhjetor 2027</w:t>
            </w:r>
          </w:p>
        </w:tc>
        <w:tc>
          <w:tcPr>
            <w:tcW w:w="600" w:type="pct"/>
            <w:tcBorders>
              <w:top w:val="single" w:sz="4" w:space="0" w:color="1D3C5A"/>
              <w:left w:val="single" w:sz="4" w:space="0" w:color="1D3C5A"/>
              <w:bottom w:val="single" w:sz="4" w:space="0" w:color="1D3C5A"/>
              <w:right w:val="single" w:sz="4" w:space="0" w:color="1D3C5A"/>
            </w:tcBorders>
            <w:vAlign w:val="center"/>
            <w:hideMark/>
          </w:tcPr>
          <w:p w14:paraId="25CD49E6" w14:textId="77777777" w:rsidR="00622884" w:rsidRPr="00622884" w:rsidRDefault="00622884" w:rsidP="00622884">
            <w:pPr>
              <w:spacing w:after="0" w:line="240" w:lineRule="auto"/>
              <w:jc w:val="left"/>
              <w:rPr>
                <w:rFonts w:ascii="Garamond" w:eastAsia="Calibri" w:hAnsi="Garamond" w:cs="Calibri Light"/>
                <w:sz w:val="16"/>
                <w:szCs w:val="16"/>
                <w:lang w:eastAsia="es-ES"/>
              </w:rPr>
            </w:pPr>
            <w:r w:rsidRPr="00622884">
              <w:rPr>
                <w:rFonts w:ascii="Garamond" w:eastAsia="Calibri" w:hAnsi="Garamond" w:cs="Times New Roman"/>
                <w:sz w:val="16"/>
                <w:szCs w:val="16"/>
                <w:lang w:eastAsia="en-US" w:bidi="sq-AL"/>
              </w:rPr>
              <w:t>Grupet e grave; udhëheqësit e komuniteteve</w:t>
            </w:r>
          </w:p>
        </w:tc>
        <w:tc>
          <w:tcPr>
            <w:tcW w:w="621" w:type="pct"/>
            <w:tcBorders>
              <w:top w:val="single" w:sz="4" w:space="0" w:color="1D3C5A"/>
              <w:left w:val="single" w:sz="4" w:space="0" w:color="1D3C5A"/>
              <w:bottom w:val="single" w:sz="4" w:space="0" w:color="1D3C5A"/>
              <w:right w:val="single" w:sz="4" w:space="0" w:color="1D3C5A"/>
            </w:tcBorders>
            <w:vAlign w:val="center"/>
            <w:hideMark/>
          </w:tcPr>
          <w:p w14:paraId="4F98CE27" w14:textId="77777777" w:rsidR="00622884" w:rsidRPr="00622884" w:rsidRDefault="00622884" w:rsidP="00622884">
            <w:pPr>
              <w:spacing w:after="0" w:line="240" w:lineRule="auto"/>
              <w:jc w:val="left"/>
              <w:rPr>
                <w:rFonts w:ascii="Garamond" w:eastAsia="Calibri" w:hAnsi="Garamond" w:cs="Calibri Light"/>
                <w:sz w:val="16"/>
                <w:szCs w:val="16"/>
                <w:lang w:eastAsia="es-ES"/>
              </w:rPr>
            </w:pPr>
            <w:r w:rsidRPr="00622884">
              <w:rPr>
                <w:rFonts w:ascii="Garamond" w:eastAsia="Calibri" w:hAnsi="Garamond" w:cs="Times New Roman"/>
                <w:sz w:val="16"/>
                <w:szCs w:val="16"/>
                <w:lang w:eastAsia="en-US" w:bidi="sq-AL"/>
              </w:rPr>
              <w:t>75.000</w:t>
            </w:r>
          </w:p>
        </w:tc>
        <w:tc>
          <w:tcPr>
            <w:tcW w:w="754" w:type="pct"/>
            <w:tcBorders>
              <w:top w:val="single" w:sz="4" w:space="0" w:color="1D3C5A"/>
              <w:left w:val="single" w:sz="4" w:space="0" w:color="1D3C5A"/>
              <w:bottom w:val="single" w:sz="4" w:space="0" w:color="1D3C5A"/>
              <w:right w:val="single" w:sz="4" w:space="0" w:color="1D3C5A"/>
            </w:tcBorders>
            <w:vAlign w:val="center"/>
            <w:hideMark/>
          </w:tcPr>
          <w:p w14:paraId="34298097" w14:textId="77777777" w:rsidR="00622884" w:rsidRPr="00622884" w:rsidRDefault="00622884" w:rsidP="00622884">
            <w:pPr>
              <w:spacing w:after="0" w:line="240" w:lineRule="auto"/>
              <w:jc w:val="left"/>
              <w:rPr>
                <w:rFonts w:ascii="Garamond" w:eastAsia="Calibri" w:hAnsi="Garamond" w:cs="Calibri Light"/>
                <w:sz w:val="16"/>
                <w:szCs w:val="16"/>
                <w:lang w:eastAsia="es-ES"/>
              </w:rPr>
            </w:pPr>
            <w:r w:rsidRPr="00622884">
              <w:rPr>
                <w:rFonts w:ascii="Garamond" w:eastAsia="Calibri" w:hAnsi="Garamond" w:cs="Times New Roman"/>
                <w:sz w:val="16"/>
                <w:szCs w:val="16"/>
                <w:lang w:eastAsia="en-US" w:bidi="sq-AL"/>
              </w:rPr>
              <w:t>Pjesëmarrje e fuqizuar e grupeve të cenueshme në proceset e përshtatjes.</w:t>
            </w:r>
          </w:p>
        </w:tc>
      </w:tr>
      <w:tr w:rsidR="00622884" w:rsidRPr="00622884" w14:paraId="1B678826" w14:textId="77777777" w:rsidTr="00622884">
        <w:trPr>
          <w:jc w:val="center"/>
        </w:trPr>
        <w:tc>
          <w:tcPr>
            <w:tcW w:w="971" w:type="pct"/>
            <w:tcBorders>
              <w:top w:val="single" w:sz="4" w:space="0" w:color="1D3C5A"/>
              <w:left w:val="single" w:sz="4" w:space="0" w:color="1D3C5A"/>
              <w:bottom w:val="single" w:sz="4" w:space="0" w:color="1D3C5A"/>
              <w:right w:val="single" w:sz="4" w:space="0" w:color="1D3C5A"/>
            </w:tcBorders>
            <w:vAlign w:val="center"/>
            <w:hideMark/>
          </w:tcPr>
          <w:p w14:paraId="521CDD45" w14:textId="77777777" w:rsidR="00622884" w:rsidRPr="00622884" w:rsidRDefault="00622884" w:rsidP="00622884">
            <w:pPr>
              <w:spacing w:after="0" w:line="240" w:lineRule="auto"/>
              <w:jc w:val="left"/>
              <w:rPr>
                <w:rFonts w:ascii="Garamond" w:eastAsia="Calibri" w:hAnsi="Garamond" w:cs="Calibri Light"/>
                <w:sz w:val="16"/>
                <w:szCs w:val="16"/>
                <w:lang w:eastAsia="es-ES"/>
              </w:rPr>
            </w:pPr>
            <w:r w:rsidRPr="00622884">
              <w:rPr>
                <w:rFonts w:ascii="Garamond" w:eastAsia="Calibri" w:hAnsi="Garamond" w:cs="Times New Roman"/>
                <w:sz w:val="16"/>
                <w:szCs w:val="16"/>
                <w:lang w:eastAsia="en-US" w:bidi="sq-AL"/>
              </w:rPr>
              <w:t>Të krijohen dhe të shpërndahen materiale edukative të përshtatura për komunitetet dhe shkollat në zonat urbane dhe rurale, me fokus në angazhimin e të rinjve në proceset e përshtatjes. Kjo do të realizohet përmes përmirësimit të sistemeve të të dhënave, duke shfrytëzuar një mundësi të rëndësishme për forcimin e përdorimit të të dhënave klimatike të ndara sipas moshës dhe të ndjeshme ndaj fëmijëve.</w:t>
            </w:r>
          </w:p>
        </w:tc>
        <w:tc>
          <w:tcPr>
            <w:tcW w:w="918" w:type="pct"/>
            <w:tcBorders>
              <w:top w:val="single" w:sz="4" w:space="0" w:color="1D3C5A"/>
              <w:left w:val="single" w:sz="4" w:space="0" w:color="1D3C5A"/>
              <w:bottom w:val="single" w:sz="4" w:space="0" w:color="1D3C5A"/>
              <w:right w:val="single" w:sz="4" w:space="0" w:color="1D3C5A"/>
            </w:tcBorders>
            <w:vAlign w:val="center"/>
          </w:tcPr>
          <w:p w14:paraId="38616F91" w14:textId="77777777" w:rsidR="00622884" w:rsidRPr="00622884" w:rsidRDefault="00622884" w:rsidP="00622884">
            <w:pPr>
              <w:spacing w:after="0" w:line="240" w:lineRule="auto"/>
              <w:jc w:val="left"/>
              <w:rPr>
                <w:rFonts w:ascii="Garamond" w:eastAsia="Calibri" w:hAnsi="Garamond" w:cs="Calibri Light"/>
                <w:sz w:val="16"/>
                <w:szCs w:val="16"/>
                <w:lang w:eastAsia="es-ES"/>
              </w:rPr>
            </w:pPr>
            <w:r w:rsidRPr="00622884">
              <w:rPr>
                <w:rFonts w:ascii="Garamond" w:eastAsia="Calibri" w:hAnsi="Garamond" w:cs="Times New Roman"/>
                <w:sz w:val="16"/>
                <w:szCs w:val="16"/>
                <w:lang w:eastAsia="en-US" w:bidi="sq-AL"/>
              </w:rPr>
              <w:t>Numri i materialeve të shpërndara</w:t>
            </w:r>
          </w:p>
          <w:p w14:paraId="0D01DCCE" w14:textId="77777777" w:rsidR="00622884" w:rsidRPr="00622884" w:rsidRDefault="00622884" w:rsidP="00622884">
            <w:pPr>
              <w:spacing w:after="0" w:line="240" w:lineRule="auto"/>
              <w:jc w:val="left"/>
              <w:rPr>
                <w:rFonts w:ascii="Garamond" w:eastAsia="Calibri" w:hAnsi="Garamond" w:cs="Calibri Light"/>
                <w:sz w:val="16"/>
                <w:szCs w:val="16"/>
                <w:lang w:eastAsia="es-ES"/>
              </w:rPr>
            </w:pPr>
          </w:p>
          <w:p w14:paraId="1B80771F" w14:textId="77777777" w:rsidR="00622884" w:rsidRPr="00622884" w:rsidRDefault="00622884" w:rsidP="00622884">
            <w:pPr>
              <w:spacing w:after="0" w:line="240" w:lineRule="auto"/>
              <w:jc w:val="left"/>
              <w:rPr>
                <w:rFonts w:ascii="Garamond" w:eastAsia="Calibri" w:hAnsi="Garamond" w:cs="Calibri Light"/>
                <w:sz w:val="16"/>
                <w:szCs w:val="16"/>
                <w:lang w:eastAsia="es-ES"/>
              </w:rPr>
            </w:pPr>
            <w:r w:rsidRPr="00622884">
              <w:rPr>
                <w:rFonts w:ascii="Garamond" w:eastAsia="Calibri" w:hAnsi="Garamond" w:cs="Times New Roman"/>
                <w:sz w:val="16"/>
                <w:szCs w:val="16"/>
                <w:lang w:eastAsia="en-US" w:bidi="sq-AL"/>
              </w:rPr>
              <w:t>Shkalla e angazhimit të shkollës dhe komunitetit</w:t>
            </w:r>
          </w:p>
        </w:tc>
        <w:tc>
          <w:tcPr>
            <w:tcW w:w="681" w:type="pct"/>
            <w:tcBorders>
              <w:top w:val="single" w:sz="4" w:space="0" w:color="1D3C5A"/>
              <w:left w:val="single" w:sz="4" w:space="0" w:color="1D3C5A"/>
              <w:bottom w:val="single" w:sz="4" w:space="0" w:color="1D3C5A"/>
              <w:right w:val="single" w:sz="4" w:space="0" w:color="1D3C5A"/>
            </w:tcBorders>
            <w:vAlign w:val="center"/>
          </w:tcPr>
          <w:p w14:paraId="2A66A127" w14:textId="77777777" w:rsidR="00622884" w:rsidRPr="00622884" w:rsidRDefault="00622884" w:rsidP="00622884">
            <w:pPr>
              <w:spacing w:after="0" w:line="240" w:lineRule="auto"/>
              <w:jc w:val="left"/>
              <w:rPr>
                <w:rFonts w:ascii="Garamond" w:eastAsia="Calibri" w:hAnsi="Garamond" w:cs="Calibri Light"/>
                <w:sz w:val="16"/>
                <w:szCs w:val="16"/>
                <w:lang w:eastAsia="es-ES"/>
              </w:rPr>
            </w:pPr>
            <w:r w:rsidRPr="00622884">
              <w:rPr>
                <w:rFonts w:ascii="Garamond" w:eastAsia="Calibri" w:hAnsi="Garamond" w:cs="Times New Roman"/>
                <w:sz w:val="16"/>
                <w:szCs w:val="16"/>
                <w:lang w:eastAsia="en-US" w:bidi="sq-AL"/>
              </w:rPr>
              <w:t>10.000 kopje</w:t>
            </w:r>
          </w:p>
          <w:p w14:paraId="3E41142F" w14:textId="77777777" w:rsidR="00622884" w:rsidRPr="00622884" w:rsidRDefault="00622884" w:rsidP="00622884">
            <w:pPr>
              <w:spacing w:after="0" w:line="240" w:lineRule="auto"/>
              <w:jc w:val="left"/>
              <w:rPr>
                <w:rFonts w:ascii="Garamond" w:eastAsia="Calibri" w:hAnsi="Garamond" w:cs="Calibri Light"/>
                <w:sz w:val="16"/>
                <w:szCs w:val="16"/>
                <w:lang w:eastAsia="es-ES"/>
              </w:rPr>
            </w:pPr>
          </w:p>
          <w:p w14:paraId="61B01FB2" w14:textId="77777777" w:rsidR="00622884" w:rsidRPr="00622884" w:rsidRDefault="00622884" w:rsidP="00622884">
            <w:pPr>
              <w:spacing w:after="0" w:line="240" w:lineRule="auto"/>
              <w:jc w:val="left"/>
              <w:rPr>
                <w:rFonts w:ascii="Garamond" w:eastAsia="Calibri" w:hAnsi="Garamond" w:cs="Calibri Light"/>
                <w:sz w:val="16"/>
                <w:szCs w:val="16"/>
                <w:lang w:eastAsia="es-ES"/>
              </w:rPr>
            </w:pPr>
            <w:r w:rsidRPr="00622884">
              <w:rPr>
                <w:rFonts w:ascii="Garamond" w:eastAsia="Calibri" w:hAnsi="Garamond" w:cs="Times New Roman"/>
                <w:sz w:val="16"/>
                <w:szCs w:val="16"/>
                <w:lang w:eastAsia="en-US" w:bidi="sq-AL"/>
              </w:rPr>
              <w:t>200 shkolla</w:t>
            </w:r>
          </w:p>
        </w:tc>
        <w:tc>
          <w:tcPr>
            <w:tcW w:w="455" w:type="pct"/>
            <w:tcBorders>
              <w:top w:val="single" w:sz="4" w:space="0" w:color="1D3C5A"/>
              <w:left w:val="single" w:sz="4" w:space="0" w:color="1D3C5A"/>
              <w:bottom w:val="single" w:sz="4" w:space="0" w:color="1D3C5A"/>
              <w:right w:val="single" w:sz="4" w:space="0" w:color="1D3C5A"/>
            </w:tcBorders>
            <w:vAlign w:val="center"/>
            <w:hideMark/>
          </w:tcPr>
          <w:p w14:paraId="3CBCDA96" w14:textId="77777777" w:rsidR="00622884" w:rsidRPr="00622884" w:rsidRDefault="00622884" w:rsidP="00622884">
            <w:pPr>
              <w:spacing w:after="0" w:line="240" w:lineRule="auto"/>
              <w:jc w:val="left"/>
              <w:rPr>
                <w:rFonts w:ascii="Garamond" w:eastAsia="Calibri" w:hAnsi="Garamond" w:cs="Calibri Light"/>
                <w:sz w:val="16"/>
                <w:szCs w:val="16"/>
                <w:lang w:eastAsia="es-ES"/>
              </w:rPr>
            </w:pPr>
            <w:r w:rsidRPr="00622884">
              <w:rPr>
                <w:rFonts w:ascii="Garamond" w:eastAsia="Calibri" w:hAnsi="Garamond" w:cs="Times New Roman"/>
                <w:sz w:val="16"/>
                <w:szCs w:val="16"/>
                <w:lang w:eastAsia="en-US" w:bidi="sq-AL"/>
              </w:rPr>
              <w:t>Nëntor 2027</w:t>
            </w:r>
          </w:p>
        </w:tc>
        <w:tc>
          <w:tcPr>
            <w:tcW w:w="600" w:type="pct"/>
            <w:tcBorders>
              <w:top w:val="single" w:sz="4" w:space="0" w:color="1D3C5A"/>
              <w:left w:val="single" w:sz="4" w:space="0" w:color="1D3C5A"/>
              <w:bottom w:val="single" w:sz="4" w:space="0" w:color="1D3C5A"/>
              <w:right w:val="single" w:sz="4" w:space="0" w:color="1D3C5A"/>
            </w:tcBorders>
            <w:vAlign w:val="center"/>
            <w:hideMark/>
          </w:tcPr>
          <w:p w14:paraId="341A8E0D" w14:textId="77777777" w:rsidR="00622884" w:rsidRPr="00622884" w:rsidRDefault="00622884" w:rsidP="00622884">
            <w:pPr>
              <w:spacing w:after="0" w:line="240" w:lineRule="auto"/>
              <w:jc w:val="left"/>
              <w:rPr>
                <w:rFonts w:ascii="Garamond" w:eastAsia="Calibri" w:hAnsi="Garamond" w:cs="Calibri Light"/>
                <w:sz w:val="16"/>
                <w:szCs w:val="16"/>
                <w:lang w:eastAsia="es-ES"/>
              </w:rPr>
            </w:pPr>
            <w:r w:rsidRPr="00622884">
              <w:rPr>
                <w:rFonts w:ascii="Garamond" w:eastAsia="Calibri" w:hAnsi="Garamond" w:cs="Times New Roman"/>
                <w:sz w:val="16"/>
                <w:szCs w:val="16"/>
                <w:lang w:eastAsia="en-US" w:bidi="sq-AL"/>
              </w:rPr>
              <w:t>Ministria e Arsimit; OJQ-të</w:t>
            </w:r>
          </w:p>
        </w:tc>
        <w:tc>
          <w:tcPr>
            <w:tcW w:w="621" w:type="pct"/>
            <w:tcBorders>
              <w:top w:val="single" w:sz="4" w:space="0" w:color="1D3C5A"/>
              <w:left w:val="single" w:sz="4" w:space="0" w:color="1D3C5A"/>
              <w:bottom w:val="single" w:sz="4" w:space="0" w:color="1D3C5A"/>
              <w:right w:val="single" w:sz="4" w:space="0" w:color="1D3C5A"/>
            </w:tcBorders>
            <w:vAlign w:val="center"/>
            <w:hideMark/>
          </w:tcPr>
          <w:p w14:paraId="79C84F3A" w14:textId="77777777" w:rsidR="00622884" w:rsidRPr="00622884" w:rsidRDefault="00622884" w:rsidP="00622884">
            <w:pPr>
              <w:spacing w:after="0" w:line="240" w:lineRule="auto"/>
              <w:jc w:val="left"/>
              <w:rPr>
                <w:rFonts w:ascii="Garamond" w:eastAsia="Calibri" w:hAnsi="Garamond" w:cs="Calibri Light"/>
                <w:sz w:val="16"/>
                <w:szCs w:val="16"/>
                <w:lang w:eastAsia="es-ES"/>
              </w:rPr>
            </w:pPr>
            <w:r w:rsidRPr="00622884">
              <w:rPr>
                <w:rFonts w:ascii="Garamond" w:eastAsia="Calibri" w:hAnsi="Garamond" w:cs="Times New Roman"/>
                <w:sz w:val="16"/>
                <w:szCs w:val="16"/>
                <w:lang w:eastAsia="en-US" w:bidi="sq-AL"/>
              </w:rPr>
              <w:t>100.000</w:t>
            </w:r>
          </w:p>
        </w:tc>
        <w:tc>
          <w:tcPr>
            <w:tcW w:w="754" w:type="pct"/>
            <w:tcBorders>
              <w:top w:val="single" w:sz="4" w:space="0" w:color="1D3C5A"/>
              <w:left w:val="single" w:sz="4" w:space="0" w:color="1D3C5A"/>
              <w:bottom w:val="single" w:sz="4" w:space="0" w:color="1D3C5A"/>
              <w:right w:val="single" w:sz="4" w:space="0" w:color="1D3C5A"/>
            </w:tcBorders>
            <w:vAlign w:val="center"/>
            <w:hideMark/>
          </w:tcPr>
          <w:p w14:paraId="1494615A" w14:textId="77777777" w:rsidR="00622884" w:rsidRPr="00622884" w:rsidRDefault="00622884" w:rsidP="00622884">
            <w:pPr>
              <w:spacing w:after="0" w:line="240" w:lineRule="auto"/>
              <w:jc w:val="left"/>
              <w:rPr>
                <w:rFonts w:ascii="Garamond" w:eastAsia="Calibri" w:hAnsi="Garamond" w:cs="Calibri Light"/>
                <w:sz w:val="16"/>
                <w:szCs w:val="16"/>
                <w:lang w:eastAsia="es-ES"/>
              </w:rPr>
            </w:pPr>
            <w:r w:rsidRPr="00622884">
              <w:rPr>
                <w:rFonts w:ascii="Garamond" w:eastAsia="Calibri" w:hAnsi="Garamond" w:cs="Times New Roman"/>
                <w:sz w:val="16"/>
                <w:szCs w:val="16"/>
                <w:lang w:eastAsia="en-US" w:bidi="sq-AL"/>
              </w:rPr>
              <w:t>Angazhimi i nxitur nga të rinjtë siguron ndryshime afatgjata të sjelljes në aftësitë ripërtëritëse ndaj klimës.</w:t>
            </w:r>
          </w:p>
        </w:tc>
      </w:tr>
      <w:tr w:rsidR="00622884" w:rsidRPr="00622884" w14:paraId="0FC4CB2F" w14:textId="77777777" w:rsidTr="00622884">
        <w:trPr>
          <w:jc w:val="center"/>
        </w:trPr>
        <w:tc>
          <w:tcPr>
            <w:tcW w:w="971" w:type="pct"/>
            <w:tcBorders>
              <w:top w:val="single" w:sz="4" w:space="0" w:color="1D3C5A"/>
              <w:left w:val="single" w:sz="4" w:space="0" w:color="1D3C5A"/>
              <w:bottom w:val="single" w:sz="4" w:space="0" w:color="1D3C5A"/>
              <w:right w:val="single" w:sz="4" w:space="0" w:color="1D3C5A"/>
            </w:tcBorders>
            <w:vAlign w:val="center"/>
            <w:hideMark/>
          </w:tcPr>
          <w:p w14:paraId="6DDED419" w14:textId="77777777" w:rsidR="00622884" w:rsidRPr="00622884" w:rsidRDefault="00622884" w:rsidP="00622884">
            <w:pPr>
              <w:spacing w:after="0" w:line="240" w:lineRule="auto"/>
              <w:jc w:val="left"/>
              <w:rPr>
                <w:rFonts w:ascii="Garamond" w:eastAsia="Calibri" w:hAnsi="Garamond" w:cs="Calibri Light"/>
                <w:sz w:val="16"/>
                <w:szCs w:val="16"/>
                <w:lang w:eastAsia="es-ES"/>
              </w:rPr>
            </w:pPr>
            <w:r w:rsidRPr="00622884">
              <w:rPr>
                <w:rFonts w:ascii="Garamond" w:eastAsia="Calibri" w:hAnsi="Garamond" w:cs="Times New Roman"/>
                <w:sz w:val="16"/>
                <w:szCs w:val="16"/>
                <w:lang w:eastAsia="en-US" w:bidi="sq-AL"/>
              </w:rPr>
              <w:t>Të forcohen programet e njohurive, veçanërisht në shkolla, përfshirë zhvillimin e moduleve të synuara të trajnimit, për t’i ndihmuar brezat e rinj të vlerësojnë në mënyrë kritike informacionin mbi klimën.</w:t>
            </w:r>
          </w:p>
        </w:tc>
        <w:tc>
          <w:tcPr>
            <w:tcW w:w="918" w:type="pct"/>
            <w:tcBorders>
              <w:top w:val="single" w:sz="4" w:space="0" w:color="1D3C5A"/>
              <w:left w:val="single" w:sz="4" w:space="0" w:color="1D3C5A"/>
              <w:bottom w:val="single" w:sz="4" w:space="0" w:color="1D3C5A"/>
              <w:right w:val="single" w:sz="4" w:space="0" w:color="1D3C5A"/>
            </w:tcBorders>
            <w:vAlign w:val="center"/>
          </w:tcPr>
          <w:p w14:paraId="187BA910" w14:textId="77777777" w:rsidR="00622884" w:rsidRPr="00622884" w:rsidRDefault="00622884" w:rsidP="00622884">
            <w:pPr>
              <w:spacing w:after="0" w:line="240" w:lineRule="auto"/>
              <w:jc w:val="left"/>
              <w:rPr>
                <w:rFonts w:ascii="Garamond" w:eastAsia="Calibri" w:hAnsi="Garamond" w:cs="Calibri Light"/>
                <w:sz w:val="16"/>
                <w:szCs w:val="16"/>
                <w:lang w:eastAsia="es-ES"/>
              </w:rPr>
            </w:pPr>
            <w:r w:rsidRPr="00622884">
              <w:rPr>
                <w:rFonts w:ascii="Garamond" w:eastAsia="Calibri" w:hAnsi="Garamond" w:cs="Times New Roman"/>
                <w:sz w:val="16"/>
                <w:szCs w:val="16"/>
                <w:lang w:eastAsia="en-US" w:bidi="sq-AL"/>
              </w:rPr>
              <w:t>Numri i shkollave të angazhuara</w:t>
            </w:r>
          </w:p>
          <w:p w14:paraId="5B118687" w14:textId="77777777" w:rsidR="00622884" w:rsidRPr="00622884" w:rsidRDefault="00622884" w:rsidP="00622884">
            <w:pPr>
              <w:spacing w:after="0" w:line="240" w:lineRule="auto"/>
              <w:jc w:val="left"/>
              <w:rPr>
                <w:rFonts w:ascii="Garamond" w:eastAsia="Calibri" w:hAnsi="Garamond" w:cs="Calibri Light"/>
                <w:sz w:val="16"/>
                <w:szCs w:val="16"/>
                <w:lang w:eastAsia="es-ES"/>
              </w:rPr>
            </w:pPr>
          </w:p>
          <w:p w14:paraId="4A62E054" w14:textId="77777777" w:rsidR="00622884" w:rsidRPr="00622884" w:rsidRDefault="00622884" w:rsidP="00622884">
            <w:pPr>
              <w:spacing w:after="0" w:line="240" w:lineRule="auto"/>
              <w:jc w:val="left"/>
              <w:rPr>
                <w:rFonts w:ascii="Garamond" w:eastAsia="Calibri" w:hAnsi="Garamond" w:cs="Calibri Light"/>
                <w:sz w:val="16"/>
                <w:szCs w:val="16"/>
                <w:lang w:eastAsia="es-ES"/>
              </w:rPr>
            </w:pPr>
            <w:r w:rsidRPr="00622884">
              <w:rPr>
                <w:rFonts w:ascii="Garamond" w:eastAsia="Calibri" w:hAnsi="Garamond" w:cs="Times New Roman"/>
                <w:sz w:val="16"/>
                <w:szCs w:val="16"/>
                <w:lang w:eastAsia="en-US" w:bidi="sq-AL"/>
              </w:rPr>
              <w:t>Numri i seancave të ndërgjegjësimit</w:t>
            </w:r>
          </w:p>
        </w:tc>
        <w:tc>
          <w:tcPr>
            <w:tcW w:w="681" w:type="pct"/>
            <w:tcBorders>
              <w:top w:val="single" w:sz="4" w:space="0" w:color="1D3C5A"/>
              <w:left w:val="single" w:sz="4" w:space="0" w:color="1D3C5A"/>
              <w:bottom w:val="single" w:sz="4" w:space="0" w:color="1D3C5A"/>
              <w:right w:val="single" w:sz="4" w:space="0" w:color="1D3C5A"/>
            </w:tcBorders>
            <w:vAlign w:val="center"/>
          </w:tcPr>
          <w:p w14:paraId="4E44D6F3" w14:textId="77777777" w:rsidR="00622884" w:rsidRPr="00622884" w:rsidRDefault="00622884" w:rsidP="00622884">
            <w:pPr>
              <w:spacing w:after="0" w:line="240" w:lineRule="auto"/>
              <w:jc w:val="left"/>
              <w:rPr>
                <w:rFonts w:ascii="Garamond" w:eastAsia="Calibri" w:hAnsi="Garamond" w:cs="Calibri Light"/>
                <w:sz w:val="16"/>
                <w:szCs w:val="16"/>
                <w:lang w:eastAsia="es-ES"/>
              </w:rPr>
            </w:pPr>
            <w:r w:rsidRPr="00622884">
              <w:rPr>
                <w:rFonts w:ascii="Garamond" w:eastAsia="Calibri" w:hAnsi="Garamond" w:cs="Times New Roman"/>
                <w:sz w:val="16"/>
                <w:szCs w:val="16"/>
                <w:lang w:eastAsia="en-US" w:bidi="sq-AL"/>
              </w:rPr>
              <w:t>100 shkolla</w:t>
            </w:r>
          </w:p>
          <w:p w14:paraId="41F6F95A" w14:textId="77777777" w:rsidR="00622884" w:rsidRPr="00622884" w:rsidRDefault="00622884" w:rsidP="00622884">
            <w:pPr>
              <w:spacing w:after="0" w:line="240" w:lineRule="auto"/>
              <w:jc w:val="left"/>
              <w:rPr>
                <w:rFonts w:ascii="Garamond" w:eastAsia="Calibri" w:hAnsi="Garamond" w:cs="Calibri Light"/>
                <w:sz w:val="16"/>
                <w:szCs w:val="16"/>
                <w:lang w:eastAsia="es-ES"/>
              </w:rPr>
            </w:pPr>
          </w:p>
          <w:p w14:paraId="3AC8B9B4" w14:textId="77777777" w:rsidR="00622884" w:rsidRPr="00622884" w:rsidRDefault="00622884" w:rsidP="00622884">
            <w:pPr>
              <w:spacing w:after="0" w:line="240" w:lineRule="auto"/>
              <w:jc w:val="left"/>
              <w:rPr>
                <w:rFonts w:ascii="Garamond" w:eastAsia="Calibri" w:hAnsi="Garamond" w:cs="Calibri Light"/>
                <w:sz w:val="16"/>
                <w:szCs w:val="16"/>
                <w:lang w:eastAsia="es-ES"/>
              </w:rPr>
            </w:pPr>
            <w:r w:rsidRPr="00622884">
              <w:rPr>
                <w:rFonts w:ascii="Garamond" w:eastAsia="Calibri" w:hAnsi="Garamond" w:cs="Times New Roman"/>
                <w:sz w:val="16"/>
                <w:szCs w:val="16"/>
                <w:lang w:eastAsia="en-US" w:bidi="sq-AL"/>
              </w:rPr>
              <w:t>20 seanca ndërgjegjësimi</w:t>
            </w:r>
          </w:p>
        </w:tc>
        <w:tc>
          <w:tcPr>
            <w:tcW w:w="455" w:type="pct"/>
            <w:tcBorders>
              <w:top w:val="single" w:sz="4" w:space="0" w:color="1D3C5A"/>
              <w:left w:val="single" w:sz="4" w:space="0" w:color="1D3C5A"/>
              <w:bottom w:val="single" w:sz="4" w:space="0" w:color="1D3C5A"/>
              <w:right w:val="single" w:sz="4" w:space="0" w:color="1D3C5A"/>
            </w:tcBorders>
            <w:vAlign w:val="center"/>
            <w:hideMark/>
          </w:tcPr>
          <w:p w14:paraId="4188F739" w14:textId="77777777" w:rsidR="00622884" w:rsidRPr="00622884" w:rsidRDefault="00622884" w:rsidP="00622884">
            <w:pPr>
              <w:spacing w:after="0" w:line="240" w:lineRule="auto"/>
              <w:jc w:val="left"/>
              <w:rPr>
                <w:rFonts w:ascii="Garamond" w:eastAsia="Calibri" w:hAnsi="Garamond" w:cs="Calibri Light"/>
                <w:sz w:val="16"/>
                <w:szCs w:val="16"/>
                <w:lang w:eastAsia="es-ES"/>
              </w:rPr>
            </w:pPr>
            <w:r w:rsidRPr="00622884">
              <w:rPr>
                <w:rFonts w:ascii="Garamond" w:eastAsia="Calibri" w:hAnsi="Garamond" w:cs="Times New Roman"/>
                <w:sz w:val="16"/>
                <w:szCs w:val="16"/>
                <w:lang w:eastAsia="en-US" w:bidi="sq-AL"/>
              </w:rPr>
              <w:t>Shtator 2026 – dhjetor 2028</w:t>
            </w:r>
          </w:p>
        </w:tc>
        <w:tc>
          <w:tcPr>
            <w:tcW w:w="600" w:type="pct"/>
            <w:tcBorders>
              <w:top w:val="single" w:sz="4" w:space="0" w:color="1D3C5A"/>
              <w:left w:val="single" w:sz="4" w:space="0" w:color="1D3C5A"/>
              <w:bottom w:val="single" w:sz="4" w:space="0" w:color="1D3C5A"/>
              <w:right w:val="single" w:sz="4" w:space="0" w:color="1D3C5A"/>
            </w:tcBorders>
            <w:vAlign w:val="center"/>
            <w:hideMark/>
          </w:tcPr>
          <w:p w14:paraId="3E810E76" w14:textId="77777777" w:rsidR="00622884" w:rsidRPr="00622884" w:rsidRDefault="00622884" w:rsidP="00622884">
            <w:pPr>
              <w:spacing w:after="0" w:line="240" w:lineRule="auto"/>
              <w:jc w:val="left"/>
              <w:rPr>
                <w:rFonts w:ascii="Garamond" w:eastAsia="Calibri" w:hAnsi="Garamond" w:cs="Calibri Light"/>
                <w:sz w:val="16"/>
                <w:szCs w:val="16"/>
                <w:lang w:eastAsia="es-ES"/>
              </w:rPr>
            </w:pPr>
            <w:r w:rsidRPr="00622884">
              <w:rPr>
                <w:rFonts w:ascii="Garamond" w:eastAsia="Calibri" w:hAnsi="Garamond" w:cs="Times New Roman"/>
                <w:sz w:val="16"/>
                <w:szCs w:val="16"/>
                <w:lang w:eastAsia="en-US" w:bidi="sq-AL"/>
              </w:rPr>
              <w:t>Ministria e Arsimit; OJQ-të</w:t>
            </w:r>
          </w:p>
        </w:tc>
        <w:tc>
          <w:tcPr>
            <w:tcW w:w="621" w:type="pct"/>
            <w:tcBorders>
              <w:top w:val="single" w:sz="4" w:space="0" w:color="1D3C5A"/>
              <w:left w:val="single" w:sz="4" w:space="0" w:color="1D3C5A"/>
              <w:bottom w:val="single" w:sz="4" w:space="0" w:color="1D3C5A"/>
              <w:right w:val="single" w:sz="4" w:space="0" w:color="1D3C5A"/>
            </w:tcBorders>
            <w:vAlign w:val="center"/>
            <w:hideMark/>
          </w:tcPr>
          <w:p w14:paraId="7814AD04" w14:textId="77777777" w:rsidR="00622884" w:rsidRPr="00622884" w:rsidRDefault="00622884" w:rsidP="00622884">
            <w:pPr>
              <w:spacing w:after="0" w:line="240" w:lineRule="auto"/>
              <w:jc w:val="left"/>
              <w:rPr>
                <w:rFonts w:ascii="Garamond" w:eastAsia="Calibri" w:hAnsi="Garamond" w:cs="Calibri Light"/>
                <w:sz w:val="16"/>
                <w:szCs w:val="16"/>
                <w:lang w:eastAsia="es-ES"/>
              </w:rPr>
            </w:pPr>
            <w:r w:rsidRPr="00622884">
              <w:rPr>
                <w:rFonts w:ascii="Garamond" w:eastAsia="Calibri" w:hAnsi="Garamond" w:cs="Times New Roman"/>
                <w:sz w:val="16"/>
                <w:szCs w:val="16"/>
                <w:lang w:eastAsia="en-US" w:bidi="sq-AL"/>
              </w:rPr>
              <w:t>100.000</w:t>
            </w:r>
          </w:p>
        </w:tc>
        <w:tc>
          <w:tcPr>
            <w:tcW w:w="754" w:type="pct"/>
            <w:tcBorders>
              <w:top w:val="single" w:sz="4" w:space="0" w:color="1D3C5A"/>
              <w:left w:val="single" w:sz="4" w:space="0" w:color="1D3C5A"/>
              <w:bottom w:val="single" w:sz="4" w:space="0" w:color="1D3C5A"/>
              <w:right w:val="single" w:sz="4" w:space="0" w:color="1D3C5A"/>
            </w:tcBorders>
            <w:vAlign w:val="center"/>
            <w:hideMark/>
          </w:tcPr>
          <w:p w14:paraId="4C3E5EB9" w14:textId="77777777" w:rsidR="00622884" w:rsidRPr="00622884" w:rsidRDefault="00622884" w:rsidP="00622884">
            <w:pPr>
              <w:spacing w:after="0" w:line="240" w:lineRule="auto"/>
              <w:jc w:val="left"/>
              <w:rPr>
                <w:rFonts w:ascii="Garamond" w:eastAsia="Calibri" w:hAnsi="Garamond" w:cs="Calibri Light"/>
                <w:sz w:val="16"/>
                <w:szCs w:val="16"/>
                <w:lang w:eastAsia="es-ES"/>
              </w:rPr>
            </w:pPr>
            <w:r w:rsidRPr="00622884">
              <w:rPr>
                <w:rFonts w:ascii="Garamond" w:eastAsia="Calibri" w:hAnsi="Garamond" w:cs="Times New Roman"/>
                <w:sz w:val="16"/>
                <w:szCs w:val="16"/>
                <w:lang w:eastAsia="en-US" w:bidi="sq-AL"/>
              </w:rPr>
              <w:t>Përmirësim i qëndrueshmërisë së të rinjve ndaj keqinformimit mbi klimën.</w:t>
            </w:r>
          </w:p>
        </w:tc>
      </w:tr>
      <w:tr w:rsidR="00622884" w:rsidRPr="00622884" w14:paraId="7E6BCCD5" w14:textId="77777777" w:rsidTr="00622884">
        <w:trPr>
          <w:jc w:val="center"/>
        </w:trPr>
        <w:tc>
          <w:tcPr>
            <w:tcW w:w="5000" w:type="pct"/>
            <w:gridSpan w:val="7"/>
            <w:tcBorders>
              <w:top w:val="single" w:sz="4" w:space="0" w:color="1D3C5A"/>
              <w:left w:val="single" w:sz="4" w:space="0" w:color="1D3C5A"/>
              <w:bottom w:val="single" w:sz="4" w:space="0" w:color="1D3C5A"/>
              <w:right w:val="single" w:sz="4" w:space="0" w:color="1D3C5A"/>
            </w:tcBorders>
            <w:shd w:val="clear" w:color="auto" w:fill="D6F2E9"/>
            <w:vAlign w:val="center"/>
            <w:hideMark/>
          </w:tcPr>
          <w:p w14:paraId="0BB373BD" w14:textId="77777777" w:rsidR="00622884" w:rsidRPr="00622884" w:rsidRDefault="00622884" w:rsidP="00622884">
            <w:pPr>
              <w:spacing w:after="0" w:line="240" w:lineRule="auto"/>
              <w:jc w:val="left"/>
              <w:rPr>
                <w:rFonts w:ascii="Garamond" w:eastAsia="Calibri" w:hAnsi="Garamond" w:cs="Calibri Light"/>
                <w:b/>
                <w:bCs/>
                <w:sz w:val="16"/>
                <w:szCs w:val="16"/>
                <w:lang w:eastAsia="es-ES"/>
              </w:rPr>
            </w:pPr>
            <w:r w:rsidRPr="00622884">
              <w:rPr>
                <w:rFonts w:ascii="Garamond" w:eastAsia="Calibri" w:hAnsi="Garamond" w:cs="Times New Roman"/>
                <w:b/>
                <w:sz w:val="16"/>
                <w:szCs w:val="16"/>
                <w:lang w:eastAsia="en-US" w:bidi="sq-AL"/>
              </w:rPr>
              <w:t>Objektivi 5: Vazhdimi i angazhimit dhe dialogut</w:t>
            </w:r>
          </w:p>
        </w:tc>
      </w:tr>
      <w:tr w:rsidR="00622884" w:rsidRPr="00622884" w14:paraId="493DF5E2" w14:textId="77777777" w:rsidTr="00622884">
        <w:trPr>
          <w:jc w:val="center"/>
        </w:trPr>
        <w:tc>
          <w:tcPr>
            <w:tcW w:w="971" w:type="pct"/>
            <w:tcBorders>
              <w:top w:val="single" w:sz="4" w:space="0" w:color="1D3C5A"/>
              <w:left w:val="single" w:sz="4" w:space="0" w:color="1D3C5A"/>
              <w:bottom w:val="single" w:sz="4" w:space="0" w:color="1D3C5A"/>
              <w:right w:val="single" w:sz="4" w:space="0" w:color="1D3C5A"/>
            </w:tcBorders>
            <w:vAlign w:val="center"/>
            <w:hideMark/>
          </w:tcPr>
          <w:p w14:paraId="089E09E8" w14:textId="77777777" w:rsidR="00622884" w:rsidRPr="00622884" w:rsidRDefault="00622884" w:rsidP="00622884">
            <w:pPr>
              <w:spacing w:after="0" w:line="240" w:lineRule="auto"/>
              <w:jc w:val="left"/>
              <w:rPr>
                <w:rFonts w:ascii="Garamond" w:eastAsia="Calibri" w:hAnsi="Garamond" w:cs="Calibri Light"/>
                <w:sz w:val="16"/>
                <w:szCs w:val="16"/>
                <w:lang w:eastAsia="es-ES"/>
              </w:rPr>
            </w:pPr>
            <w:r w:rsidRPr="00622884">
              <w:rPr>
                <w:rFonts w:ascii="Garamond" w:eastAsia="Calibri" w:hAnsi="Garamond" w:cs="Times New Roman"/>
                <w:sz w:val="16"/>
                <w:szCs w:val="16"/>
                <w:lang w:eastAsia="en-US" w:bidi="sq-AL"/>
              </w:rPr>
              <w:t>Të theksohen arritjet e përshtatjes përmes blogjeve, videove dhe buletineve që shfaqin përpjekjet në të pestë sektorët.</w:t>
            </w:r>
          </w:p>
        </w:tc>
        <w:tc>
          <w:tcPr>
            <w:tcW w:w="918" w:type="pct"/>
            <w:tcBorders>
              <w:top w:val="single" w:sz="4" w:space="0" w:color="1D3C5A"/>
              <w:left w:val="single" w:sz="4" w:space="0" w:color="1D3C5A"/>
              <w:bottom w:val="single" w:sz="4" w:space="0" w:color="1D3C5A"/>
              <w:right w:val="single" w:sz="4" w:space="0" w:color="1D3C5A"/>
            </w:tcBorders>
            <w:vAlign w:val="center"/>
          </w:tcPr>
          <w:p w14:paraId="31EECCF1" w14:textId="77777777" w:rsidR="00622884" w:rsidRPr="00622884" w:rsidRDefault="00622884" w:rsidP="00622884">
            <w:pPr>
              <w:spacing w:after="0" w:line="240" w:lineRule="auto"/>
              <w:jc w:val="left"/>
              <w:rPr>
                <w:rFonts w:ascii="Garamond" w:eastAsia="Calibri" w:hAnsi="Garamond" w:cs="Calibri Light"/>
                <w:sz w:val="16"/>
                <w:szCs w:val="16"/>
                <w:lang w:eastAsia="es-ES"/>
              </w:rPr>
            </w:pPr>
            <w:r w:rsidRPr="00622884">
              <w:rPr>
                <w:rFonts w:ascii="Garamond" w:eastAsia="Calibri" w:hAnsi="Garamond" w:cs="Times New Roman"/>
                <w:sz w:val="16"/>
                <w:szCs w:val="16"/>
                <w:lang w:eastAsia="en-US" w:bidi="sq-AL"/>
              </w:rPr>
              <w:t>Numri i historive të ndara të suksesit</w:t>
            </w:r>
          </w:p>
          <w:p w14:paraId="31391437" w14:textId="77777777" w:rsidR="00622884" w:rsidRPr="00622884" w:rsidRDefault="00622884" w:rsidP="00622884">
            <w:pPr>
              <w:spacing w:after="0" w:line="240" w:lineRule="auto"/>
              <w:jc w:val="left"/>
              <w:rPr>
                <w:rFonts w:ascii="Garamond" w:eastAsia="Calibri" w:hAnsi="Garamond" w:cs="Calibri Light"/>
                <w:sz w:val="16"/>
                <w:szCs w:val="16"/>
                <w:lang w:eastAsia="es-ES"/>
              </w:rPr>
            </w:pPr>
          </w:p>
          <w:p w14:paraId="75C95393" w14:textId="77777777" w:rsidR="00622884" w:rsidRPr="00622884" w:rsidRDefault="00622884" w:rsidP="00622884">
            <w:pPr>
              <w:spacing w:after="0" w:line="240" w:lineRule="auto"/>
              <w:jc w:val="left"/>
              <w:rPr>
                <w:rFonts w:ascii="Garamond" w:eastAsia="Calibri" w:hAnsi="Garamond" w:cs="Calibri Light"/>
                <w:sz w:val="16"/>
                <w:szCs w:val="16"/>
                <w:lang w:eastAsia="es-ES"/>
              </w:rPr>
            </w:pPr>
            <w:r w:rsidRPr="00622884">
              <w:rPr>
                <w:rFonts w:ascii="Garamond" w:eastAsia="Calibri" w:hAnsi="Garamond" w:cs="Times New Roman"/>
                <w:sz w:val="16"/>
                <w:szCs w:val="16"/>
                <w:lang w:eastAsia="en-US" w:bidi="sq-AL"/>
              </w:rPr>
              <w:t>Metrikat e angazhimit</w:t>
            </w:r>
          </w:p>
        </w:tc>
        <w:tc>
          <w:tcPr>
            <w:tcW w:w="681" w:type="pct"/>
            <w:tcBorders>
              <w:top w:val="single" w:sz="4" w:space="0" w:color="1D3C5A"/>
              <w:left w:val="single" w:sz="4" w:space="0" w:color="1D3C5A"/>
              <w:bottom w:val="single" w:sz="4" w:space="0" w:color="1D3C5A"/>
              <w:right w:val="single" w:sz="4" w:space="0" w:color="1D3C5A"/>
            </w:tcBorders>
            <w:vAlign w:val="center"/>
          </w:tcPr>
          <w:p w14:paraId="47982730" w14:textId="77777777" w:rsidR="00622884" w:rsidRPr="00622884" w:rsidRDefault="00622884" w:rsidP="00622884">
            <w:pPr>
              <w:spacing w:after="0" w:line="240" w:lineRule="auto"/>
              <w:jc w:val="left"/>
              <w:rPr>
                <w:rFonts w:ascii="Garamond" w:eastAsia="Calibri" w:hAnsi="Garamond" w:cs="Calibri Light"/>
                <w:sz w:val="16"/>
                <w:szCs w:val="16"/>
                <w:lang w:eastAsia="es-ES"/>
              </w:rPr>
            </w:pPr>
            <w:r w:rsidRPr="00622884">
              <w:rPr>
                <w:rFonts w:ascii="Garamond" w:eastAsia="Calibri" w:hAnsi="Garamond" w:cs="Times New Roman"/>
                <w:sz w:val="16"/>
                <w:szCs w:val="16"/>
                <w:lang w:eastAsia="en-US" w:bidi="sq-AL"/>
              </w:rPr>
              <w:t>15 histori suksesi</w:t>
            </w:r>
          </w:p>
          <w:p w14:paraId="33242EC9" w14:textId="77777777" w:rsidR="00622884" w:rsidRPr="00622884" w:rsidRDefault="00622884" w:rsidP="00622884">
            <w:pPr>
              <w:spacing w:after="0" w:line="240" w:lineRule="auto"/>
              <w:jc w:val="left"/>
              <w:rPr>
                <w:rFonts w:ascii="Garamond" w:eastAsia="Calibri" w:hAnsi="Garamond" w:cs="Calibri Light"/>
                <w:sz w:val="16"/>
                <w:szCs w:val="16"/>
                <w:lang w:eastAsia="es-ES"/>
              </w:rPr>
            </w:pPr>
          </w:p>
          <w:p w14:paraId="0E23A067" w14:textId="77777777" w:rsidR="00622884" w:rsidRPr="00622884" w:rsidRDefault="00622884" w:rsidP="00622884">
            <w:pPr>
              <w:spacing w:after="0" w:line="240" w:lineRule="auto"/>
              <w:jc w:val="left"/>
              <w:rPr>
                <w:rFonts w:ascii="Garamond" w:eastAsia="Calibri" w:hAnsi="Garamond" w:cs="Calibri Light"/>
                <w:sz w:val="16"/>
                <w:szCs w:val="16"/>
                <w:lang w:eastAsia="es-ES"/>
              </w:rPr>
            </w:pPr>
            <w:r w:rsidRPr="00622884">
              <w:rPr>
                <w:rFonts w:ascii="Garamond" w:eastAsia="Calibri" w:hAnsi="Garamond" w:cs="Times New Roman"/>
                <w:sz w:val="16"/>
                <w:szCs w:val="16"/>
                <w:lang w:eastAsia="en-US" w:bidi="sq-AL"/>
              </w:rPr>
              <w:t>1.000.000 shikime</w:t>
            </w:r>
          </w:p>
        </w:tc>
        <w:tc>
          <w:tcPr>
            <w:tcW w:w="455" w:type="pct"/>
            <w:tcBorders>
              <w:top w:val="single" w:sz="4" w:space="0" w:color="1D3C5A"/>
              <w:left w:val="single" w:sz="4" w:space="0" w:color="1D3C5A"/>
              <w:bottom w:val="single" w:sz="4" w:space="0" w:color="1D3C5A"/>
              <w:right w:val="single" w:sz="4" w:space="0" w:color="1D3C5A"/>
            </w:tcBorders>
            <w:vAlign w:val="center"/>
            <w:hideMark/>
          </w:tcPr>
          <w:p w14:paraId="07CD388F" w14:textId="77777777" w:rsidR="00622884" w:rsidRPr="00622884" w:rsidRDefault="00622884" w:rsidP="00622884">
            <w:pPr>
              <w:spacing w:after="0" w:line="240" w:lineRule="auto"/>
              <w:jc w:val="left"/>
              <w:rPr>
                <w:rFonts w:ascii="Garamond" w:eastAsia="Calibri" w:hAnsi="Garamond" w:cs="Calibri Light"/>
                <w:sz w:val="16"/>
                <w:szCs w:val="16"/>
                <w:lang w:eastAsia="es-ES"/>
              </w:rPr>
            </w:pPr>
            <w:r w:rsidRPr="00622884">
              <w:rPr>
                <w:rFonts w:ascii="Garamond" w:eastAsia="Calibri" w:hAnsi="Garamond" w:cs="Times New Roman"/>
                <w:sz w:val="16"/>
                <w:szCs w:val="16"/>
                <w:lang w:eastAsia="en-US" w:bidi="sq-AL"/>
              </w:rPr>
              <w:t>Janar 2028 – dhjetor 2028</w:t>
            </w:r>
          </w:p>
        </w:tc>
        <w:tc>
          <w:tcPr>
            <w:tcW w:w="600" w:type="pct"/>
            <w:tcBorders>
              <w:top w:val="single" w:sz="4" w:space="0" w:color="1D3C5A"/>
              <w:left w:val="single" w:sz="4" w:space="0" w:color="1D3C5A"/>
              <w:bottom w:val="single" w:sz="4" w:space="0" w:color="1D3C5A"/>
              <w:right w:val="single" w:sz="4" w:space="0" w:color="1D3C5A"/>
            </w:tcBorders>
            <w:vAlign w:val="center"/>
            <w:hideMark/>
          </w:tcPr>
          <w:p w14:paraId="66FF6EB5" w14:textId="77777777" w:rsidR="00622884" w:rsidRPr="00622884" w:rsidRDefault="00622884" w:rsidP="00622884">
            <w:pPr>
              <w:spacing w:after="0" w:line="240" w:lineRule="auto"/>
              <w:jc w:val="left"/>
              <w:rPr>
                <w:rFonts w:ascii="Garamond" w:eastAsia="Calibri" w:hAnsi="Garamond" w:cs="Calibri Light"/>
                <w:sz w:val="16"/>
                <w:szCs w:val="16"/>
                <w:lang w:eastAsia="es-ES"/>
              </w:rPr>
            </w:pPr>
            <w:r w:rsidRPr="00622884">
              <w:rPr>
                <w:rFonts w:ascii="Garamond" w:eastAsia="Calibri" w:hAnsi="Garamond" w:cs="Times New Roman"/>
                <w:sz w:val="16"/>
                <w:szCs w:val="16"/>
                <w:lang w:eastAsia="en-US" w:bidi="sq-AL"/>
              </w:rPr>
              <w:t>Ekipi i komunikimit; udhëheqësit vendorë të projekteve</w:t>
            </w:r>
          </w:p>
        </w:tc>
        <w:tc>
          <w:tcPr>
            <w:tcW w:w="621" w:type="pct"/>
            <w:tcBorders>
              <w:top w:val="single" w:sz="4" w:space="0" w:color="1D3C5A"/>
              <w:left w:val="single" w:sz="4" w:space="0" w:color="1D3C5A"/>
              <w:bottom w:val="single" w:sz="4" w:space="0" w:color="1D3C5A"/>
              <w:right w:val="single" w:sz="4" w:space="0" w:color="1D3C5A"/>
            </w:tcBorders>
            <w:vAlign w:val="center"/>
            <w:hideMark/>
          </w:tcPr>
          <w:p w14:paraId="70470EC3" w14:textId="77777777" w:rsidR="00622884" w:rsidRPr="00622884" w:rsidRDefault="00622884" w:rsidP="00622884">
            <w:pPr>
              <w:spacing w:after="0" w:line="240" w:lineRule="auto"/>
              <w:jc w:val="left"/>
              <w:rPr>
                <w:rFonts w:ascii="Garamond" w:eastAsia="Calibri" w:hAnsi="Garamond" w:cs="Calibri Light"/>
                <w:sz w:val="16"/>
                <w:szCs w:val="16"/>
                <w:lang w:eastAsia="es-ES"/>
              </w:rPr>
            </w:pPr>
            <w:r w:rsidRPr="00622884">
              <w:rPr>
                <w:rFonts w:ascii="Garamond" w:eastAsia="Calibri" w:hAnsi="Garamond" w:cs="Times New Roman"/>
                <w:sz w:val="16"/>
                <w:szCs w:val="16"/>
                <w:lang w:eastAsia="en-US" w:bidi="sq-AL"/>
              </w:rPr>
              <w:t>100.000</w:t>
            </w:r>
          </w:p>
        </w:tc>
        <w:tc>
          <w:tcPr>
            <w:tcW w:w="754" w:type="pct"/>
            <w:tcBorders>
              <w:top w:val="single" w:sz="4" w:space="0" w:color="1D3C5A"/>
              <w:left w:val="single" w:sz="4" w:space="0" w:color="1D3C5A"/>
              <w:bottom w:val="single" w:sz="4" w:space="0" w:color="1D3C5A"/>
              <w:right w:val="single" w:sz="4" w:space="0" w:color="1D3C5A"/>
            </w:tcBorders>
            <w:vAlign w:val="center"/>
            <w:hideMark/>
          </w:tcPr>
          <w:p w14:paraId="710E3617" w14:textId="77777777" w:rsidR="00622884" w:rsidRPr="00622884" w:rsidRDefault="00622884" w:rsidP="00622884">
            <w:pPr>
              <w:spacing w:after="0" w:line="240" w:lineRule="auto"/>
              <w:jc w:val="left"/>
              <w:rPr>
                <w:rFonts w:ascii="Garamond" w:eastAsia="Calibri" w:hAnsi="Garamond" w:cs="Calibri Light"/>
                <w:sz w:val="16"/>
                <w:szCs w:val="16"/>
                <w:lang w:eastAsia="es-ES"/>
              </w:rPr>
            </w:pPr>
            <w:r w:rsidRPr="00622884">
              <w:rPr>
                <w:rFonts w:ascii="Garamond" w:eastAsia="Calibri" w:hAnsi="Garamond" w:cs="Times New Roman"/>
                <w:sz w:val="16"/>
                <w:szCs w:val="16"/>
                <w:lang w:eastAsia="en-US" w:bidi="sq-AL"/>
              </w:rPr>
              <w:t>Ecuri e qëndrueshme dhe rritje e investimeve në praktikat e suksesshme të përshtatjes.</w:t>
            </w:r>
          </w:p>
        </w:tc>
      </w:tr>
      <w:tr w:rsidR="00622884" w:rsidRPr="00622884" w14:paraId="604F38ED" w14:textId="77777777" w:rsidTr="00622884">
        <w:trPr>
          <w:jc w:val="center"/>
        </w:trPr>
        <w:tc>
          <w:tcPr>
            <w:tcW w:w="971" w:type="pct"/>
            <w:tcBorders>
              <w:top w:val="single" w:sz="4" w:space="0" w:color="1D3C5A"/>
              <w:left w:val="single" w:sz="4" w:space="0" w:color="1D3C5A"/>
              <w:bottom w:val="single" w:sz="4" w:space="0" w:color="1D3C5A"/>
              <w:right w:val="single" w:sz="4" w:space="0" w:color="1D3C5A"/>
            </w:tcBorders>
            <w:vAlign w:val="center"/>
            <w:hideMark/>
          </w:tcPr>
          <w:p w14:paraId="690EBDBC" w14:textId="77777777" w:rsidR="00622884" w:rsidRPr="00622884" w:rsidRDefault="00622884" w:rsidP="00622884">
            <w:pPr>
              <w:spacing w:after="0" w:line="240" w:lineRule="auto"/>
              <w:jc w:val="left"/>
              <w:rPr>
                <w:rFonts w:ascii="Garamond" w:eastAsia="Calibri" w:hAnsi="Garamond" w:cs="Calibri Light"/>
                <w:sz w:val="16"/>
                <w:szCs w:val="16"/>
                <w:lang w:eastAsia="es-ES"/>
              </w:rPr>
            </w:pPr>
            <w:r w:rsidRPr="00622884">
              <w:rPr>
                <w:rFonts w:ascii="Garamond" w:eastAsia="Calibri" w:hAnsi="Garamond" w:cs="Times New Roman"/>
                <w:sz w:val="16"/>
                <w:szCs w:val="16"/>
                <w:lang w:eastAsia="en-US" w:bidi="sq-AL"/>
              </w:rPr>
              <w:t>Të vihet në funksion një platformë digjitale për të monitoruar ecurinë e përshtatjes dhe për të angazhuar palët e interesit me përditësime dhe mundësi për vlerësime.</w:t>
            </w:r>
          </w:p>
        </w:tc>
        <w:tc>
          <w:tcPr>
            <w:tcW w:w="918" w:type="pct"/>
            <w:tcBorders>
              <w:top w:val="single" w:sz="4" w:space="0" w:color="1D3C5A"/>
              <w:left w:val="single" w:sz="4" w:space="0" w:color="1D3C5A"/>
              <w:bottom w:val="single" w:sz="4" w:space="0" w:color="1D3C5A"/>
              <w:right w:val="single" w:sz="4" w:space="0" w:color="1D3C5A"/>
            </w:tcBorders>
            <w:vAlign w:val="center"/>
          </w:tcPr>
          <w:p w14:paraId="7591BEF1" w14:textId="77777777" w:rsidR="00622884" w:rsidRPr="00622884" w:rsidRDefault="00622884" w:rsidP="00622884">
            <w:pPr>
              <w:spacing w:after="0" w:line="240" w:lineRule="auto"/>
              <w:jc w:val="left"/>
              <w:rPr>
                <w:rFonts w:ascii="Garamond" w:eastAsia="Calibri" w:hAnsi="Garamond" w:cs="Calibri Light"/>
                <w:sz w:val="16"/>
                <w:szCs w:val="16"/>
                <w:lang w:eastAsia="es-ES"/>
              </w:rPr>
            </w:pPr>
            <w:r w:rsidRPr="00622884">
              <w:rPr>
                <w:rFonts w:ascii="Garamond" w:eastAsia="Calibri" w:hAnsi="Garamond" w:cs="Times New Roman"/>
                <w:sz w:val="16"/>
                <w:szCs w:val="16"/>
                <w:lang w:eastAsia="en-US" w:bidi="sq-AL"/>
              </w:rPr>
              <w:t>Vënia në funksion e platformës</w:t>
            </w:r>
          </w:p>
          <w:p w14:paraId="73572819" w14:textId="77777777" w:rsidR="00622884" w:rsidRPr="00622884" w:rsidRDefault="00622884" w:rsidP="00622884">
            <w:pPr>
              <w:spacing w:after="0" w:line="240" w:lineRule="auto"/>
              <w:jc w:val="left"/>
              <w:rPr>
                <w:rFonts w:ascii="Garamond" w:eastAsia="Calibri" w:hAnsi="Garamond" w:cs="Calibri Light"/>
                <w:sz w:val="16"/>
                <w:szCs w:val="16"/>
                <w:lang w:eastAsia="es-ES"/>
              </w:rPr>
            </w:pPr>
          </w:p>
          <w:p w14:paraId="71AA2D5B" w14:textId="77777777" w:rsidR="00622884" w:rsidRPr="00622884" w:rsidRDefault="00622884" w:rsidP="00622884">
            <w:pPr>
              <w:spacing w:after="0" w:line="240" w:lineRule="auto"/>
              <w:jc w:val="left"/>
              <w:rPr>
                <w:rFonts w:ascii="Garamond" w:eastAsia="Calibri" w:hAnsi="Garamond" w:cs="Calibri Light"/>
                <w:sz w:val="16"/>
                <w:szCs w:val="16"/>
                <w:lang w:eastAsia="es-ES"/>
              </w:rPr>
            </w:pPr>
            <w:r w:rsidRPr="00622884">
              <w:rPr>
                <w:rFonts w:ascii="Garamond" w:eastAsia="Calibri" w:hAnsi="Garamond" w:cs="Times New Roman"/>
                <w:sz w:val="16"/>
                <w:szCs w:val="16"/>
                <w:lang w:eastAsia="en-US" w:bidi="sq-AL"/>
              </w:rPr>
              <w:t>Përdorues aktivë</w:t>
            </w:r>
          </w:p>
          <w:p w14:paraId="289AFA04" w14:textId="77777777" w:rsidR="00622884" w:rsidRPr="00622884" w:rsidRDefault="00622884" w:rsidP="00622884">
            <w:pPr>
              <w:spacing w:after="0" w:line="240" w:lineRule="auto"/>
              <w:jc w:val="left"/>
              <w:rPr>
                <w:rFonts w:ascii="Garamond" w:eastAsia="Calibri" w:hAnsi="Garamond" w:cs="Calibri Light"/>
                <w:sz w:val="16"/>
                <w:szCs w:val="16"/>
                <w:lang w:eastAsia="es-ES"/>
              </w:rPr>
            </w:pPr>
          </w:p>
          <w:p w14:paraId="5C762BF7" w14:textId="77777777" w:rsidR="00622884" w:rsidRPr="00622884" w:rsidRDefault="00622884" w:rsidP="00622884">
            <w:pPr>
              <w:spacing w:after="0" w:line="240" w:lineRule="auto"/>
              <w:jc w:val="left"/>
              <w:rPr>
                <w:rFonts w:ascii="Garamond" w:eastAsia="Calibri" w:hAnsi="Garamond" w:cs="Calibri Light"/>
                <w:sz w:val="16"/>
                <w:szCs w:val="16"/>
                <w:lang w:eastAsia="es-ES"/>
              </w:rPr>
            </w:pPr>
            <w:r w:rsidRPr="00622884">
              <w:rPr>
                <w:rFonts w:ascii="Garamond" w:eastAsia="Calibri" w:hAnsi="Garamond" w:cs="Times New Roman"/>
                <w:sz w:val="16"/>
                <w:szCs w:val="16"/>
                <w:lang w:eastAsia="en-US" w:bidi="sq-AL"/>
              </w:rPr>
              <w:t>Dhënia e vlerësimeve</w:t>
            </w:r>
          </w:p>
        </w:tc>
        <w:tc>
          <w:tcPr>
            <w:tcW w:w="681" w:type="pct"/>
            <w:tcBorders>
              <w:top w:val="single" w:sz="4" w:space="0" w:color="1D3C5A"/>
              <w:left w:val="single" w:sz="4" w:space="0" w:color="1D3C5A"/>
              <w:bottom w:val="single" w:sz="4" w:space="0" w:color="1D3C5A"/>
              <w:right w:val="single" w:sz="4" w:space="0" w:color="1D3C5A"/>
            </w:tcBorders>
            <w:vAlign w:val="center"/>
          </w:tcPr>
          <w:p w14:paraId="3C818BA1" w14:textId="77777777" w:rsidR="00622884" w:rsidRPr="00622884" w:rsidRDefault="00622884" w:rsidP="00622884">
            <w:pPr>
              <w:spacing w:after="0" w:line="240" w:lineRule="auto"/>
              <w:jc w:val="left"/>
              <w:rPr>
                <w:rFonts w:ascii="Garamond" w:eastAsia="Calibri" w:hAnsi="Garamond" w:cs="Calibri Light"/>
                <w:sz w:val="16"/>
                <w:szCs w:val="16"/>
                <w:lang w:eastAsia="es-ES"/>
              </w:rPr>
            </w:pPr>
            <w:r w:rsidRPr="00622884">
              <w:rPr>
                <w:rFonts w:ascii="Garamond" w:eastAsia="Calibri" w:hAnsi="Garamond" w:cs="Times New Roman"/>
                <w:sz w:val="16"/>
                <w:szCs w:val="16"/>
                <w:lang w:eastAsia="en-US" w:bidi="sq-AL"/>
              </w:rPr>
              <w:t>1 platformë</w:t>
            </w:r>
          </w:p>
          <w:p w14:paraId="50D684B7" w14:textId="77777777" w:rsidR="00622884" w:rsidRPr="00622884" w:rsidRDefault="00622884" w:rsidP="00622884">
            <w:pPr>
              <w:spacing w:after="0" w:line="240" w:lineRule="auto"/>
              <w:jc w:val="left"/>
              <w:rPr>
                <w:rFonts w:ascii="Garamond" w:eastAsia="Calibri" w:hAnsi="Garamond" w:cs="Calibri Light"/>
                <w:sz w:val="16"/>
                <w:szCs w:val="16"/>
                <w:lang w:eastAsia="es-ES"/>
              </w:rPr>
            </w:pPr>
          </w:p>
          <w:p w14:paraId="50AE4987" w14:textId="77777777" w:rsidR="00622884" w:rsidRPr="00622884" w:rsidRDefault="00622884" w:rsidP="00622884">
            <w:pPr>
              <w:spacing w:after="0" w:line="240" w:lineRule="auto"/>
              <w:jc w:val="left"/>
              <w:rPr>
                <w:rFonts w:ascii="Garamond" w:eastAsia="Calibri" w:hAnsi="Garamond" w:cs="Calibri Light"/>
                <w:sz w:val="16"/>
                <w:szCs w:val="16"/>
                <w:lang w:eastAsia="es-ES"/>
              </w:rPr>
            </w:pPr>
            <w:r w:rsidRPr="00622884">
              <w:rPr>
                <w:rFonts w:ascii="Garamond" w:eastAsia="Calibri" w:hAnsi="Garamond" w:cs="Times New Roman"/>
                <w:sz w:val="16"/>
                <w:szCs w:val="16"/>
                <w:lang w:eastAsia="en-US" w:bidi="sq-AL"/>
              </w:rPr>
              <w:t>5.000 përdorues aktivë</w:t>
            </w:r>
          </w:p>
        </w:tc>
        <w:tc>
          <w:tcPr>
            <w:tcW w:w="455" w:type="pct"/>
            <w:tcBorders>
              <w:top w:val="single" w:sz="4" w:space="0" w:color="1D3C5A"/>
              <w:left w:val="single" w:sz="4" w:space="0" w:color="1D3C5A"/>
              <w:bottom w:val="single" w:sz="4" w:space="0" w:color="1D3C5A"/>
              <w:right w:val="single" w:sz="4" w:space="0" w:color="1D3C5A"/>
            </w:tcBorders>
            <w:vAlign w:val="center"/>
            <w:hideMark/>
          </w:tcPr>
          <w:p w14:paraId="4947B335" w14:textId="77777777" w:rsidR="00622884" w:rsidRPr="00622884" w:rsidRDefault="00622884" w:rsidP="00622884">
            <w:pPr>
              <w:spacing w:after="0" w:line="240" w:lineRule="auto"/>
              <w:jc w:val="left"/>
              <w:rPr>
                <w:rFonts w:ascii="Garamond" w:eastAsia="Calibri" w:hAnsi="Garamond" w:cs="Calibri Light"/>
                <w:sz w:val="16"/>
                <w:szCs w:val="16"/>
                <w:lang w:eastAsia="es-ES"/>
              </w:rPr>
            </w:pPr>
            <w:r w:rsidRPr="00622884">
              <w:rPr>
                <w:rFonts w:ascii="Garamond" w:eastAsia="Calibri" w:hAnsi="Garamond" w:cs="Times New Roman"/>
                <w:sz w:val="16"/>
                <w:szCs w:val="16"/>
                <w:lang w:eastAsia="en-US" w:bidi="sq-AL"/>
              </w:rPr>
              <w:t>Tetor 2027 – mars 2028</w:t>
            </w:r>
          </w:p>
        </w:tc>
        <w:tc>
          <w:tcPr>
            <w:tcW w:w="600" w:type="pct"/>
            <w:tcBorders>
              <w:top w:val="single" w:sz="4" w:space="0" w:color="1D3C5A"/>
              <w:left w:val="single" w:sz="4" w:space="0" w:color="1D3C5A"/>
              <w:bottom w:val="single" w:sz="4" w:space="0" w:color="1D3C5A"/>
              <w:right w:val="single" w:sz="4" w:space="0" w:color="1D3C5A"/>
            </w:tcBorders>
            <w:vAlign w:val="center"/>
            <w:hideMark/>
          </w:tcPr>
          <w:p w14:paraId="5EB2D90F" w14:textId="77777777" w:rsidR="00622884" w:rsidRPr="00622884" w:rsidRDefault="00622884" w:rsidP="00622884">
            <w:pPr>
              <w:spacing w:after="0" w:line="240" w:lineRule="auto"/>
              <w:jc w:val="left"/>
              <w:rPr>
                <w:rFonts w:ascii="Garamond" w:eastAsia="Calibri" w:hAnsi="Garamond" w:cs="Calibri Light"/>
                <w:sz w:val="16"/>
                <w:szCs w:val="16"/>
                <w:lang w:eastAsia="es-ES"/>
              </w:rPr>
            </w:pPr>
            <w:r w:rsidRPr="00622884">
              <w:rPr>
                <w:rFonts w:ascii="Garamond" w:eastAsia="Calibri" w:hAnsi="Garamond" w:cs="Times New Roman"/>
                <w:sz w:val="16"/>
                <w:szCs w:val="16"/>
                <w:lang w:eastAsia="en-US" w:bidi="sq-AL"/>
              </w:rPr>
              <w:t>Ekipi i TI-së; ekipi i komunikimit</w:t>
            </w:r>
          </w:p>
        </w:tc>
        <w:tc>
          <w:tcPr>
            <w:tcW w:w="621" w:type="pct"/>
            <w:tcBorders>
              <w:top w:val="single" w:sz="4" w:space="0" w:color="1D3C5A"/>
              <w:left w:val="single" w:sz="4" w:space="0" w:color="1D3C5A"/>
              <w:bottom w:val="single" w:sz="4" w:space="0" w:color="1D3C5A"/>
              <w:right w:val="single" w:sz="4" w:space="0" w:color="1D3C5A"/>
            </w:tcBorders>
            <w:vAlign w:val="center"/>
            <w:hideMark/>
          </w:tcPr>
          <w:p w14:paraId="0E3E085E" w14:textId="77777777" w:rsidR="00622884" w:rsidRPr="00622884" w:rsidRDefault="00622884" w:rsidP="00622884">
            <w:pPr>
              <w:spacing w:after="0" w:line="240" w:lineRule="auto"/>
              <w:jc w:val="left"/>
              <w:rPr>
                <w:rFonts w:ascii="Garamond" w:eastAsia="Calibri" w:hAnsi="Garamond" w:cs="Calibri Light"/>
                <w:sz w:val="16"/>
                <w:szCs w:val="16"/>
                <w:lang w:eastAsia="es-ES"/>
              </w:rPr>
            </w:pPr>
            <w:r w:rsidRPr="00622884">
              <w:rPr>
                <w:rFonts w:ascii="Garamond" w:eastAsia="Calibri" w:hAnsi="Garamond" w:cs="Times New Roman"/>
                <w:sz w:val="16"/>
                <w:szCs w:val="16"/>
                <w:lang w:eastAsia="en-US" w:bidi="sq-AL"/>
              </w:rPr>
              <w:t>60.000</w:t>
            </w:r>
          </w:p>
        </w:tc>
        <w:tc>
          <w:tcPr>
            <w:tcW w:w="754" w:type="pct"/>
            <w:tcBorders>
              <w:top w:val="single" w:sz="4" w:space="0" w:color="1D3C5A"/>
              <w:left w:val="single" w:sz="4" w:space="0" w:color="1D3C5A"/>
              <w:bottom w:val="single" w:sz="4" w:space="0" w:color="1D3C5A"/>
              <w:right w:val="single" w:sz="4" w:space="0" w:color="1D3C5A"/>
            </w:tcBorders>
            <w:vAlign w:val="center"/>
            <w:hideMark/>
          </w:tcPr>
          <w:p w14:paraId="7CD3B18C" w14:textId="77777777" w:rsidR="00622884" w:rsidRPr="00622884" w:rsidRDefault="00622884" w:rsidP="00622884">
            <w:pPr>
              <w:spacing w:after="0" w:line="240" w:lineRule="auto"/>
              <w:jc w:val="left"/>
              <w:rPr>
                <w:rFonts w:ascii="Garamond" w:eastAsia="Calibri" w:hAnsi="Garamond" w:cs="Calibri Light"/>
                <w:sz w:val="16"/>
                <w:szCs w:val="16"/>
                <w:lang w:eastAsia="es-ES"/>
              </w:rPr>
            </w:pPr>
            <w:r w:rsidRPr="00622884">
              <w:rPr>
                <w:rFonts w:ascii="Garamond" w:eastAsia="Calibri" w:hAnsi="Garamond" w:cs="Times New Roman"/>
                <w:sz w:val="16"/>
                <w:szCs w:val="16"/>
                <w:lang w:eastAsia="en-US" w:bidi="sq-AL"/>
              </w:rPr>
              <w:t>Angazhimi i vazhdueshëm nxit transparencën dhe planifikimin bashkëpunues për përshtatje.</w:t>
            </w:r>
          </w:p>
        </w:tc>
      </w:tr>
    </w:tbl>
    <w:p w14:paraId="5A47B9AF"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p>
    <w:p w14:paraId="0CAB4366" w14:textId="77777777" w:rsidR="00622884" w:rsidRPr="00622884" w:rsidRDefault="00622884" w:rsidP="00622884">
      <w:pPr>
        <w:keepNext/>
        <w:keepLines/>
        <w:spacing w:after="0" w:line="240" w:lineRule="auto"/>
        <w:ind w:firstLine="284"/>
        <w:outlineLvl w:val="0"/>
        <w:rPr>
          <w:rFonts w:ascii="Garamond" w:eastAsia="Times New Roman" w:hAnsi="Garamond" w:cs="Averta ExtraBold"/>
          <w:bCs/>
          <w:kern w:val="2"/>
          <w:sz w:val="24"/>
          <w:szCs w:val="24"/>
          <w:lang w:eastAsia="en-US"/>
        </w:rPr>
      </w:pPr>
      <w:bookmarkStart w:id="297" w:name="_Ref210988231"/>
      <w:bookmarkStart w:id="298" w:name="_Toc213936250"/>
      <w:r w:rsidRPr="00622884">
        <w:rPr>
          <w:rFonts w:ascii="Garamond" w:eastAsia="Yu Gothic Light" w:hAnsi="Garamond" w:cs="Averta ExtraBold"/>
          <w:bCs/>
          <w:kern w:val="2"/>
          <w:sz w:val="24"/>
          <w:szCs w:val="24"/>
          <w:lang w:eastAsia="en-US" w:bidi="sq-AL"/>
        </w:rPr>
        <w:lastRenderedPageBreak/>
        <w:t>9. FINANCIMI I NAP-it</w:t>
      </w:r>
      <w:bookmarkEnd w:id="297"/>
      <w:bookmarkEnd w:id="298"/>
      <w:r w:rsidRPr="00622884">
        <w:rPr>
          <w:rFonts w:ascii="Garamond" w:eastAsia="Yu Gothic Light" w:hAnsi="Garamond" w:cs="Averta ExtraBold"/>
          <w:bCs/>
          <w:kern w:val="2"/>
          <w:sz w:val="24"/>
          <w:szCs w:val="24"/>
          <w:lang w:eastAsia="en-US" w:bidi="sq-AL"/>
        </w:rPr>
        <w:t xml:space="preserve"> </w:t>
      </w:r>
    </w:p>
    <w:p w14:paraId="214544D9" w14:textId="77777777" w:rsidR="00622884" w:rsidRPr="00622884" w:rsidRDefault="00622884" w:rsidP="00622884">
      <w:pPr>
        <w:spacing w:after="0" w:line="240" w:lineRule="auto"/>
        <w:ind w:firstLine="284"/>
        <w:rPr>
          <w:rFonts w:ascii="Garamond" w:eastAsia="SimSun" w:hAnsi="Garamond" w:cs="Calibri Light"/>
          <w:sz w:val="24"/>
          <w:szCs w:val="24"/>
          <w:lang w:eastAsia="en-US"/>
        </w:rPr>
      </w:pPr>
      <w:r w:rsidRPr="00622884">
        <w:rPr>
          <w:rFonts w:ascii="Garamond" w:eastAsia="SimSun" w:hAnsi="Garamond" w:cs="Calibri Light"/>
          <w:sz w:val="24"/>
          <w:szCs w:val="24"/>
          <w:lang w:eastAsia="en-US" w:bidi="sq-AL"/>
        </w:rPr>
        <w:t>Kostot e përgjithshme për planifikimin e NAP-it 2026</w:t>
      </w:r>
      <w:r w:rsidRPr="00622884">
        <w:rPr>
          <w:rFonts w:ascii="Garamond" w:eastAsia="SimSun" w:hAnsi="Garamond" w:cs="Times New Roman"/>
          <w:color w:val="1D3C5A"/>
          <w:sz w:val="24"/>
          <w:szCs w:val="24"/>
          <w:lang w:eastAsia="en-US"/>
        </w:rPr>
        <w:t>–</w:t>
      </w:r>
      <w:r w:rsidRPr="00622884">
        <w:rPr>
          <w:rFonts w:ascii="Garamond" w:eastAsia="SimSun" w:hAnsi="Garamond" w:cs="Calibri Light"/>
          <w:sz w:val="24"/>
          <w:szCs w:val="24"/>
          <w:lang w:eastAsia="en-US" w:bidi="sq-AL"/>
        </w:rPr>
        <w:t>2036 arrijnë në 9.8 miliardë dollarë amerikanë, si paraqitet në Planin e Zbatimit për veprimet e prioritarizuara</w:t>
      </w:r>
      <w:r w:rsidRPr="00622884">
        <w:rPr>
          <w:rFonts w:ascii="Garamond" w:eastAsia="SimSun" w:hAnsi="Garamond" w:cs="Calibri Light"/>
          <w:sz w:val="24"/>
          <w:szCs w:val="24"/>
          <w:vertAlign w:val="superscript"/>
          <w:lang w:eastAsia="en-US" w:bidi="sq-AL"/>
        </w:rPr>
        <w:footnoteReference w:id="220"/>
      </w:r>
      <w:r w:rsidRPr="00622884">
        <w:rPr>
          <w:rFonts w:ascii="Garamond" w:eastAsia="SimSun" w:hAnsi="Garamond" w:cs="Calibri Light"/>
          <w:sz w:val="24"/>
          <w:szCs w:val="24"/>
          <w:lang w:eastAsia="en-US" w:bidi="sq-AL"/>
        </w:rPr>
        <w:t>, i cili përfshin koston e veprimeve të përshtatjes dhe të veprimeve të integruara të perspektivës gjinore dhe të komunikimit.</w:t>
      </w:r>
    </w:p>
    <w:p w14:paraId="796EF36C" w14:textId="77777777" w:rsidR="00622884" w:rsidRPr="00622884" w:rsidRDefault="00622884" w:rsidP="00622884">
      <w:pPr>
        <w:spacing w:after="0" w:line="240" w:lineRule="auto"/>
        <w:ind w:firstLine="284"/>
        <w:rPr>
          <w:rFonts w:ascii="Garamond" w:eastAsia="SimSun" w:hAnsi="Garamond" w:cs="Calibri Light"/>
          <w:sz w:val="24"/>
          <w:szCs w:val="24"/>
          <w:lang w:eastAsia="en-US"/>
        </w:rPr>
      </w:pPr>
      <w:r w:rsidRPr="00622884">
        <w:rPr>
          <w:rFonts w:ascii="Garamond" w:eastAsia="SimSun" w:hAnsi="Garamond" w:cs="Calibri Light"/>
          <w:sz w:val="24"/>
          <w:szCs w:val="24"/>
          <w:lang w:eastAsia="en-US" w:bidi="sq-AL"/>
        </w:rPr>
        <w:t xml:space="preserve">Financimi i kësaj shume të konsiderueshme kërkon planifikim të plotë dhe identifikim të burimeve dhe instrumenteve të përshtatshme të financimit të brendshëm dhe të jashtëm. Për të adresuar këtë çështje, është hartuar një </w:t>
      </w:r>
      <w:r w:rsidRPr="00622884">
        <w:rPr>
          <w:rFonts w:ascii="Garamond" w:eastAsia="SimSun" w:hAnsi="Garamond" w:cs="Calibri Light"/>
          <w:b/>
          <w:sz w:val="24"/>
          <w:szCs w:val="24"/>
          <w:lang w:eastAsia="en-US" w:bidi="sq-AL"/>
        </w:rPr>
        <w:t>strategji financimi</w:t>
      </w:r>
      <w:r w:rsidRPr="00622884">
        <w:rPr>
          <w:rFonts w:ascii="Garamond" w:eastAsia="SimSun" w:hAnsi="Garamond" w:cs="Calibri Light"/>
          <w:sz w:val="24"/>
          <w:szCs w:val="24"/>
          <w:lang w:eastAsia="en-US" w:bidi="sq-AL"/>
        </w:rPr>
        <w:t>, për të cilën është kryer një analizë e detajuar e nevojave dhe boshllëqeve në financim, duke identifikuar qasjet strategjike për të mobilizuar financat, duke marrë parasysh ciklet dhe opsionet e planifikimit të buxhetit kombëtar.</w:t>
      </w:r>
    </w:p>
    <w:p w14:paraId="307D7816" w14:textId="77777777" w:rsidR="00622884" w:rsidRPr="00622884" w:rsidRDefault="00622884" w:rsidP="00622884">
      <w:pPr>
        <w:spacing w:after="0" w:line="240" w:lineRule="auto"/>
        <w:ind w:firstLine="284"/>
        <w:rPr>
          <w:rFonts w:ascii="Garamond" w:eastAsia="SimSun" w:hAnsi="Garamond" w:cs="Calibri Light"/>
          <w:sz w:val="24"/>
          <w:szCs w:val="24"/>
          <w:lang w:eastAsia="en-US"/>
        </w:rPr>
      </w:pPr>
      <w:r w:rsidRPr="00622884">
        <w:rPr>
          <w:rFonts w:ascii="Garamond" w:eastAsia="SimSun" w:hAnsi="Garamond" w:cs="Calibri Light"/>
          <w:sz w:val="24"/>
          <w:szCs w:val="24"/>
          <w:lang w:eastAsia="en-US" w:bidi="sq-AL"/>
        </w:rPr>
        <w:t>Kjo Strategji Financimi e NAP-it do të sigurojë mobilizimin dhe alokimin efektiv të burimeve financiare të mjaftueshme dhe të qëndrueshme për zbatimin e prioriteteve të përshtatjes të Shqipërisë dhe ofron sa më poshtë:</w:t>
      </w:r>
    </w:p>
    <w:p w14:paraId="5874B597"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r w:rsidRPr="00622884">
        <w:rPr>
          <w:rFonts w:ascii="Garamond" w:eastAsia="Calibri" w:hAnsi="Garamond" w:cs="Times New Roman"/>
          <w:sz w:val="24"/>
          <w:szCs w:val="24"/>
          <w:lang w:eastAsia="en-US" w:bidi="sq-AL"/>
        </w:rPr>
        <w:t>1. Analizë të boshllëqeve në financim, duke krahasuar kostot e përgjithshme të pritshme dhe nevojat e parashikuara të disbursimit në raport me buxhetet e disponueshme, duke treguar se aktualisht ka një hendek të përgjithshëm prej rreth 93% të nevojave të financimit dhe ky hendek ndryshon sipas sektorit;</w:t>
      </w:r>
    </w:p>
    <w:p w14:paraId="10673448"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r w:rsidRPr="00622884">
        <w:rPr>
          <w:rFonts w:ascii="Garamond" w:eastAsia="Calibri" w:hAnsi="Garamond" w:cs="Times New Roman"/>
          <w:sz w:val="24"/>
          <w:szCs w:val="24"/>
          <w:lang w:eastAsia="en-US" w:bidi="sq-AL"/>
        </w:rPr>
        <w:t>2. Identifikim të pengesave kryesore për arritjen e objektivit të buxhetit, siç janë pengesat ekonomike dhe angazhimi i fragmentuar i donatorëve, pjesëmarrja e ulët e sektorit privat në financimin për përshtatje ose nevoja për reforma të caktuara politike; së bashku me mekanizmat mundësues trajtimin e tyre;</w:t>
      </w:r>
    </w:p>
    <w:p w14:paraId="624D5A23"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r w:rsidRPr="00622884">
        <w:rPr>
          <w:rFonts w:ascii="Garamond" w:eastAsia="Calibri" w:hAnsi="Garamond" w:cs="Times New Roman"/>
          <w:sz w:val="24"/>
          <w:szCs w:val="24"/>
          <w:lang w:eastAsia="en-US" w:bidi="sq-AL"/>
        </w:rPr>
        <w:t>3. Qasje strategjike për të mobilizuar financimin vendas, ndërkombëtar, publik, privat dhe të përzier për klimën;</w:t>
      </w:r>
    </w:p>
    <w:p w14:paraId="4C87E275"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r w:rsidRPr="00622884">
        <w:rPr>
          <w:rFonts w:ascii="Garamond" w:eastAsia="Calibri" w:hAnsi="Garamond" w:cs="Times New Roman"/>
          <w:sz w:val="24"/>
          <w:szCs w:val="24"/>
          <w:lang w:eastAsia="en-US" w:bidi="sq-AL"/>
        </w:rPr>
        <w:t>4. Qasje të propozuar për të prioritizuar investimet dhe zbatim gradual gjatë gjithë dekadës së ardhshme;</w:t>
      </w:r>
    </w:p>
    <w:p w14:paraId="14077201"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r w:rsidRPr="00622884">
        <w:rPr>
          <w:rFonts w:ascii="Garamond" w:eastAsia="Calibri" w:hAnsi="Garamond" w:cs="Times New Roman"/>
          <w:sz w:val="24"/>
          <w:szCs w:val="24"/>
          <w:lang w:eastAsia="en-US" w:bidi="sq-AL"/>
        </w:rPr>
        <w:t>5. Plan financimi për të mobilizuar dhe menaxhuar burimet e financimit të nevojshme për harmonizimin e nevojave të identifikuara me burimet më të përshtatshme të financimit.</w:t>
      </w:r>
    </w:p>
    <w:p w14:paraId="7CAD5F7C" w14:textId="77777777" w:rsidR="00622884" w:rsidRPr="00622884" w:rsidRDefault="00622884" w:rsidP="00622884">
      <w:pPr>
        <w:spacing w:after="0" w:line="240" w:lineRule="auto"/>
        <w:ind w:firstLine="284"/>
        <w:rPr>
          <w:rFonts w:ascii="Garamond" w:eastAsia="SimSun" w:hAnsi="Garamond" w:cs="Calibri Light"/>
          <w:sz w:val="24"/>
          <w:szCs w:val="24"/>
          <w:lang w:eastAsia="en-US"/>
        </w:rPr>
      </w:pPr>
      <w:r w:rsidRPr="00622884">
        <w:rPr>
          <w:rFonts w:ascii="Garamond" w:eastAsia="SimSun" w:hAnsi="Garamond" w:cs="Calibri Light"/>
          <w:sz w:val="24"/>
          <w:szCs w:val="24"/>
          <w:lang w:eastAsia="en-US" w:bidi="sq-AL"/>
        </w:rPr>
        <w:t>Këto elemente kyçe të strategjisë së financimit përmblidhen më poshtë dhe paraqiten më hollësisht në dokumentin e veçantë: Strategjia e Financimit të NAP-it.</w:t>
      </w:r>
    </w:p>
    <w:p w14:paraId="2235110F" w14:textId="77777777" w:rsidR="00622884" w:rsidRPr="00622884" w:rsidRDefault="00622884" w:rsidP="00622884">
      <w:pPr>
        <w:keepNext/>
        <w:keepLines/>
        <w:spacing w:after="0" w:line="240" w:lineRule="auto"/>
        <w:ind w:firstLine="284"/>
        <w:outlineLvl w:val="1"/>
        <w:rPr>
          <w:rFonts w:ascii="Garamond" w:eastAsia="MS Mincho" w:hAnsi="Garamond" w:cs="Times New Roman"/>
          <w:b/>
          <w:bCs/>
          <w:caps/>
          <w:sz w:val="24"/>
          <w:szCs w:val="24"/>
          <w:lang w:eastAsia="es-ES"/>
        </w:rPr>
      </w:pPr>
      <w:bookmarkStart w:id="299" w:name="_Toc213936251"/>
      <w:r w:rsidRPr="00622884">
        <w:rPr>
          <w:rFonts w:ascii="Garamond" w:eastAsia="MS Mincho" w:hAnsi="Garamond" w:cs="Times New Roman"/>
          <w:b/>
          <w:bCs/>
          <w:caps/>
          <w:sz w:val="24"/>
          <w:szCs w:val="24"/>
          <w:lang w:eastAsia="es-ES" w:bidi="sq-AL"/>
        </w:rPr>
        <w:t xml:space="preserve">9.1 </w:t>
      </w:r>
      <w:r w:rsidRPr="00622884">
        <w:rPr>
          <w:rFonts w:ascii="Garamond" w:eastAsia="MS Mincho" w:hAnsi="Garamond" w:cs="Times New Roman"/>
          <w:b/>
          <w:bCs/>
          <w:sz w:val="24"/>
          <w:szCs w:val="24"/>
          <w:lang w:eastAsia="es-ES" w:bidi="sq-AL"/>
        </w:rPr>
        <w:t>Nevojat për financim për përshtatje</w:t>
      </w:r>
      <w:bookmarkEnd w:id="299"/>
    </w:p>
    <w:p w14:paraId="68DC2D69" w14:textId="77777777" w:rsidR="00622884" w:rsidRPr="00622884" w:rsidRDefault="00622884" w:rsidP="00622884">
      <w:pPr>
        <w:spacing w:after="0" w:line="240" w:lineRule="auto"/>
        <w:ind w:firstLine="284"/>
        <w:rPr>
          <w:rFonts w:ascii="Garamond" w:eastAsia="SimSun" w:hAnsi="Garamond" w:cs="Calibri Light"/>
          <w:sz w:val="24"/>
          <w:szCs w:val="24"/>
          <w:lang w:eastAsia="en-US"/>
        </w:rPr>
      </w:pPr>
      <w:r w:rsidRPr="00622884">
        <w:rPr>
          <w:rFonts w:ascii="Garamond" w:eastAsia="SimSun" w:hAnsi="Garamond" w:cs="Calibri Light"/>
          <w:sz w:val="24"/>
          <w:szCs w:val="24"/>
          <w:lang w:eastAsia="en-US" w:bidi="sq-AL"/>
        </w:rPr>
        <w:t xml:space="preserve">Në përgjithësi, nevojat e Shqipërisë për përshtatje janë të konsiderueshme, me një shumë të përllogaritur prej 9.8 miliardë dollarësh amerikanë të nevojshëm për të financuar 66 masat prioritare të përshtatjes sipas Planit të Zbatimit të NAP-it 2026–2036, prandaj lind nevoja për një Strategji Financiare që siguron mobilizimin dhe të alokimin efektiv të burimeve financiare të mjaftueshme dhe të qëndrueshme për zbatimin e prioriteteve të përshtatjes të Shqipërisë. </w:t>
      </w:r>
    </w:p>
    <w:p w14:paraId="61C7017D" w14:textId="77777777" w:rsidR="00622884" w:rsidRPr="00622884" w:rsidRDefault="00622884" w:rsidP="00622884">
      <w:pPr>
        <w:spacing w:after="0" w:line="240" w:lineRule="auto"/>
        <w:ind w:firstLine="284"/>
        <w:rPr>
          <w:rFonts w:ascii="Garamond" w:eastAsia="SimSun" w:hAnsi="Garamond" w:cs="Calibri Light"/>
          <w:sz w:val="24"/>
          <w:szCs w:val="24"/>
          <w:lang w:eastAsia="en-US"/>
        </w:rPr>
      </w:pPr>
      <w:r w:rsidRPr="00622884">
        <w:rPr>
          <w:rFonts w:ascii="Garamond" w:eastAsia="SimSun" w:hAnsi="Garamond" w:cs="Calibri Light"/>
          <w:b/>
          <w:sz w:val="24"/>
          <w:szCs w:val="24"/>
          <w:lang w:eastAsia="en-US" w:bidi="sq-AL"/>
        </w:rPr>
        <w:t>Nevojat për financim për përshtatje janë më të mëdha në sektorin e zhvillimit urban dhe infrastrukturës</w:t>
      </w:r>
      <w:r w:rsidRPr="00622884">
        <w:rPr>
          <w:rFonts w:ascii="Garamond" w:eastAsia="SimSun" w:hAnsi="Garamond" w:cs="Calibri Light"/>
          <w:sz w:val="24"/>
          <w:szCs w:val="24"/>
          <w:lang w:eastAsia="en-US" w:bidi="sq-AL"/>
        </w:rPr>
        <w:t xml:space="preserve"> (~2.7 miliardë dollarë amerikanë), </w:t>
      </w:r>
      <w:r w:rsidRPr="00622884">
        <w:rPr>
          <w:rFonts w:ascii="Garamond" w:eastAsia="SimSun" w:hAnsi="Garamond" w:cs="Calibri Light"/>
          <w:b/>
          <w:sz w:val="24"/>
          <w:szCs w:val="24"/>
          <w:lang w:eastAsia="en-US" w:bidi="sq-AL"/>
        </w:rPr>
        <w:t>e ndjekur nga pylltaria</w:t>
      </w:r>
      <w:r w:rsidRPr="00622884">
        <w:rPr>
          <w:rFonts w:ascii="Garamond" w:eastAsia="SimSun" w:hAnsi="Garamond" w:cs="Calibri Light"/>
          <w:sz w:val="24"/>
          <w:szCs w:val="24"/>
          <w:lang w:eastAsia="en-US" w:bidi="sq-AL"/>
        </w:rPr>
        <w:t xml:space="preserve"> (~2.1 miliardë dollarë amerikanë), </w:t>
      </w:r>
      <w:r w:rsidRPr="00622884">
        <w:rPr>
          <w:rFonts w:ascii="Garamond" w:eastAsia="SimSun" w:hAnsi="Garamond" w:cs="Calibri Light"/>
          <w:b/>
          <w:sz w:val="24"/>
          <w:szCs w:val="24"/>
          <w:lang w:eastAsia="en-US" w:bidi="sq-AL"/>
        </w:rPr>
        <w:t>transporti</w:t>
      </w:r>
      <w:r w:rsidRPr="00622884">
        <w:rPr>
          <w:rFonts w:ascii="Garamond" w:eastAsia="SimSun" w:hAnsi="Garamond" w:cs="Calibri Light"/>
          <w:sz w:val="24"/>
          <w:szCs w:val="24"/>
          <w:lang w:eastAsia="en-US" w:bidi="sq-AL"/>
        </w:rPr>
        <w:t xml:space="preserve"> (~2.03 miliardë dollarë amerikanë) </w:t>
      </w:r>
      <w:r w:rsidRPr="00622884">
        <w:rPr>
          <w:rFonts w:ascii="Garamond" w:eastAsia="SimSun" w:hAnsi="Garamond" w:cs="Calibri Light"/>
          <w:b/>
          <w:sz w:val="24"/>
          <w:szCs w:val="24"/>
          <w:lang w:eastAsia="en-US" w:bidi="sq-AL"/>
        </w:rPr>
        <w:t>dhe energjia</w:t>
      </w:r>
      <w:r w:rsidRPr="00622884">
        <w:rPr>
          <w:rFonts w:ascii="Garamond" w:eastAsia="SimSun" w:hAnsi="Garamond" w:cs="Calibri Light"/>
          <w:sz w:val="24"/>
          <w:szCs w:val="24"/>
          <w:lang w:eastAsia="en-US" w:bidi="sq-AL"/>
        </w:rPr>
        <w:t xml:space="preserve"> (~1.96 miliardë dollarë amerikanë). Nevojat e sektorit të bujqësisë për përshtatje janë më të moderuara (~0.6–0.7 miliardë dollarë amerikanë), ndërsa buxhetet e turizmit dhe ato ndërsektoriale përbëjnë një pjesë të vogël të kostos së përgjithshme të NAP-it (përkatësisht ~0.8 miliardë dollarë amerikanë dhe ~0.3 miliardë dollarë amerikanë). </w:t>
      </w:r>
    </w:p>
    <w:p w14:paraId="2A910B47" w14:textId="77777777" w:rsidR="00622884" w:rsidRPr="00622884" w:rsidRDefault="00622884" w:rsidP="00622884">
      <w:pPr>
        <w:spacing w:after="0" w:line="240" w:lineRule="auto"/>
        <w:ind w:firstLine="284"/>
        <w:rPr>
          <w:rFonts w:ascii="Garamond" w:eastAsia="SimSun" w:hAnsi="Garamond" w:cs="Calibri Light"/>
          <w:sz w:val="24"/>
          <w:szCs w:val="24"/>
          <w:lang w:eastAsia="en-US" w:bidi="sq-AL"/>
        </w:rPr>
      </w:pPr>
      <w:r w:rsidRPr="00622884">
        <w:rPr>
          <w:rFonts w:ascii="Garamond" w:eastAsia="SimSun" w:hAnsi="Garamond" w:cs="Calibri Light"/>
          <w:sz w:val="24"/>
          <w:szCs w:val="24"/>
          <w:lang w:eastAsia="en-US" w:bidi="sq-AL"/>
        </w:rPr>
        <w:t>Nëse këto alokime përllogariten në plan vjetor dhe krahasohen me PBB-në aktuale të Shqipërisë (e përllogaritur në 28.37 miliardë dollarë amerikanë në vitin 2025), shpenzimet afatshkurtra (2026–2028) ato korrespondojnë me një mesatare prej afërsisht 180.6 milionë dollarësh amerikanë në vit, duke përfaqësuar rreth 0.6% të PBB-së (</w:t>
      </w:r>
      <w:r w:rsidRPr="00622884">
        <w:rPr>
          <w:rFonts w:ascii="Garamond" w:eastAsia="SimSun" w:hAnsi="Garamond" w:cs="Calibri Light"/>
          <w:sz w:val="24"/>
          <w:szCs w:val="24"/>
          <w:lang w:eastAsia="en-US" w:bidi="sq-AL"/>
        </w:rPr>
        <w:fldChar w:fldCharType="begin"/>
      </w:r>
      <w:r w:rsidRPr="00622884">
        <w:rPr>
          <w:rFonts w:ascii="Garamond" w:eastAsia="SimSun" w:hAnsi="Garamond" w:cs="Calibri Light"/>
          <w:sz w:val="24"/>
          <w:szCs w:val="24"/>
          <w:lang w:eastAsia="en-US" w:bidi="sq-AL"/>
        </w:rPr>
        <w:instrText xml:space="preserve"> REF _Ref210989306  \* MERGEFORMAT </w:instrText>
      </w:r>
      <w:r w:rsidRPr="00622884">
        <w:rPr>
          <w:rFonts w:ascii="Garamond" w:eastAsia="SimSun" w:hAnsi="Garamond" w:cs="Calibri Light"/>
          <w:sz w:val="24"/>
          <w:szCs w:val="24"/>
          <w:lang w:eastAsia="en-US" w:bidi="sq-AL"/>
        </w:rPr>
        <w:fldChar w:fldCharType="separate"/>
      </w:r>
      <w:r w:rsidRPr="00622884">
        <w:rPr>
          <w:rFonts w:ascii="Garamond" w:eastAsia="SimSun" w:hAnsi="Garamond" w:cs="Calibri Light"/>
          <w:sz w:val="24"/>
          <w:szCs w:val="24"/>
          <w:lang w:eastAsia="en-US" w:bidi="sq-AL"/>
        </w:rPr>
        <w:t>Tabela 18</w:t>
      </w:r>
      <w:r w:rsidRPr="00622884">
        <w:rPr>
          <w:rFonts w:ascii="Garamond" w:eastAsia="SimSun" w:hAnsi="Garamond" w:cs="Calibri Light"/>
          <w:sz w:val="24"/>
          <w:szCs w:val="24"/>
          <w:lang w:eastAsia="en-US" w:bidi="sq-AL"/>
        </w:rPr>
        <w:fldChar w:fldCharType="end"/>
      </w:r>
      <w:r w:rsidRPr="00622884">
        <w:rPr>
          <w:rFonts w:ascii="Garamond" w:eastAsia="SimSun" w:hAnsi="Garamond" w:cs="Calibri Light"/>
          <w:sz w:val="24"/>
          <w:szCs w:val="24"/>
          <w:lang w:eastAsia="en-US" w:bidi="sq-AL"/>
        </w:rPr>
        <w:t xml:space="preserve">). Për periudhën </w:t>
      </w:r>
      <w:r w:rsidRPr="00622884">
        <w:rPr>
          <w:rFonts w:ascii="Garamond" w:eastAsia="SimSun" w:hAnsi="Garamond" w:cs="Calibri Light"/>
          <w:sz w:val="24"/>
          <w:szCs w:val="24"/>
          <w:lang w:eastAsia="en-US" w:bidi="sq-AL"/>
        </w:rPr>
        <w:lastRenderedPageBreak/>
        <w:t>afatmesme (2029–2032), investimi mesatar vjetor prej 652.4 milionë dollarësh amerikanë korrespondon me afërsisht 2.3% të PBB-së. Gjatë periudhës afatgjatë (2033–2042), investimi mesatar vjetor do të arrijë afërsisht 664.9 milionë dollarë amerikanë, që është i barabartë me rreth 2.3% të PBB-së së vitit 2025. Megjithatë, nëse ekonomia e Shqipërisë rritet me një ritëm të qëndrueshëm prej 3.5% në vit, PBB-ja do të rritet në afërsisht 39.5 miliardë dollarë amerikanë deri në vitin 2036 dhe do të arrijë në gati 48.9 miliardë dollarë amerikanë deri në vitin 2042. Në këtë skenar, disbursimi vjetor i përshtatjes prej 576.5 milionë dollarësh amerikanë në vit gjatë 17 viteve (2026–2042) do të përfaqësonte rreth 1.18% të PBB-së së parashikuar për vitin 2042, duke treguar se rritja e PBB-së ka të ngjarë të ndihmojë në lehtësimin e barrës fiskale vjetore relative</w:t>
      </w:r>
      <w:r w:rsidRPr="00622884">
        <w:rPr>
          <w:rFonts w:ascii="Garamond" w:eastAsia="SimSun" w:hAnsi="Garamond" w:cs="Calibri Light"/>
          <w:sz w:val="24"/>
          <w:szCs w:val="24"/>
          <w:vertAlign w:val="superscript"/>
          <w:lang w:eastAsia="en-US" w:bidi="sq-AL"/>
        </w:rPr>
        <w:footnoteReference w:id="221"/>
      </w:r>
      <w:r w:rsidRPr="00622884">
        <w:rPr>
          <w:rFonts w:ascii="Garamond" w:eastAsia="SimSun" w:hAnsi="Garamond" w:cs="Calibri Light"/>
          <w:sz w:val="24"/>
          <w:szCs w:val="24"/>
          <w:lang w:eastAsia="en-US" w:bidi="sq-AL"/>
        </w:rPr>
        <w:t>.</w:t>
      </w:r>
    </w:p>
    <w:p w14:paraId="196A67BB" w14:textId="77777777" w:rsidR="00622884" w:rsidRPr="00622884" w:rsidRDefault="00622884" w:rsidP="00622884">
      <w:pPr>
        <w:spacing w:after="0" w:line="240" w:lineRule="auto"/>
        <w:ind w:firstLine="284"/>
        <w:rPr>
          <w:rFonts w:ascii="Garamond" w:eastAsia="SimSun" w:hAnsi="Garamond" w:cs="Calibri Light"/>
          <w:sz w:val="24"/>
          <w:szCs w:val="24"/>
          <w:lang w:eastAsia="en-US"/>
        </w:rPr>
      </w:pPr>
      <w:r w:rsidRPr="00622884">
        <w:rPr>
          <w:rFonts w:ascii="Garamond" w:eastAsia="SimSun" w:hAnsi="Garamond" w:cs="Calibri Light"/>
          <w:sz w:val="24"/>
          <w:szCs w:val="24"/>
          <w:lang w:eastAsia="en-US"/>
        </w:rPr>
        <w:t>Analiza e tabelës së kostimit parashikon shpërndarjen e kostove për periudhën 2026–2030, e cila përkon me fazën fillestare të zbatimit të Planit Kombëtar të Përshtatjes. Buxheti total i kërkuar për këtë periudhë arrin në 167,898,414,878 lekë, duke reflektuar nevojat e konsiderueshme për financimin e masave prioritare të përshtatjes ndaj ndryshimeve klimatike. Nga kjo shumë, 2,745,951,869 lekë përbëjnë kosto korrente, ndërsa pjesa dërrmuese, 142,890,893,485 lekë, lidhet me kosto kapitale, çka tregon një orientim të fortë drejt investimeve konkrete dhe ndërhyrjeve në terren.</w:t>
      </w:r>
    </w:p>
    <w:p w14:paraId="221A289C" w14:textId="77777777" w:rsidR="00622884" w:rsidRPr="00622884" w:rsidRDefault="00622884" w:rsidP="00622884">
      <w:pPr>
        <w:spacing w:after="0" w:line="240" w:lineRule="auto"/>
        <w:ind w:firstLine="284"/>
        <w:rPr>
          <w:rFonts w:ascii="Garamond" w:eastAsia="SimSun" w:hAnsi="Garamond" w:cs="Calibri Light"/>
          <w:sz w:val="24"/>
          <w:szCs w:val="24"/>
          <w:lang w:eastAsia="en-US"/>
        </w:rPr>
      </w:pPr>
      <w:r w:rsidRPr="00622884">
        <w:rPr>
          <w:rFonts w:ascii="Garamond" w:eastAsia="SimSun" w:hAnsi="Garamond" w:cs="Calibri Light"/>
          <w:sz w:val="24"/>
          <w:szCs w:val="24"/>
          <w:lang w:eastAsia="en-US"/>
        </w:rPr>
        <w:t>Në aspektin e burimeve financiare, tabela reflekton një kombinim të financimit të brendshëm dhe atij të huaj. Për periudhën 2026–2028, bazuar në Programin Buxhetor Afatmesëm (PBA) të institucioneve, parashikohet një financim prej 5,501,789,981 lekë nga buxheti i shtetit dhe 8,207,168,883 lekë nga financimi i huaj. Ndërkohë, për vitet 2029–2030 parashikohet një rritje e ndjeshme e mbështetjes financiare, ku 5,694,668,552 lekë pritet të mbulohen nga PBA dhe 129,981,164,051 lekë nga financimi i huaj, duke reflektuar nevojën për investime më të mëdha në fazat e avancuara të zbatimit të planit.</w:t>
      </w:r>
    </w:p>
    <w:p w14:paraId="60949A93" w14:textId="77777777" w:rsidR="00622884" w:rsidRPr="00622884" w:rsidRDefault="00622884" w:rsidP="00622884">
      <w:pPr>
        <w:spacing w:after="0" w:line="240" w:lineRule="auto"/>
        <w:ind w:firstLine="284"/>
        <w:rPr>
          <w:rFonts w:ascii="Garamond" w:eastAsia="SimSun" w:hAnsi="Garamond" w:cs="Calibri Light"/>
          <w:sz w:val="24"/>
          <w:szCs w:val="24"/>
          <w:lang w:eastAsia="en-US"/>
        </w:rPr>
      </w:pPr>
      <w:r w:rsidRPr="00622884">
        <w:rPr>
          <w:rFonts w:ascii="Garamond" w:eastAsia="SimSun" w:hAnsi="Garamond" w:cs="Calibri Light"/>
          <w:sz w:val="24"/>
          <w:szCs w:val="24"/>
          <w:lang w:eastAsia="en-US"/>
        </w:rPr>
        <w:t>Në total, burimet e sigurta të identifikuara arrijnë në 143,883,001,486 lekë, ndërsa diferenca midis nevojave totale dhe financimit të siguruar përbën një hendek financiar prej 24,015,413,392 lekë, ose rreth 16.69% të kostos totale. Ky hendek, megjithëse relativisht i moderuar në raport me volumin e përgjithshëm të investimeve, thekson nevojën për mobilizimin e burimeve shtesë financiare, përfshirë rritjen e aksesit në fondet ndërkombëtare për klimën, forcimin e bashkëpunimit me partnerët e zhvillimit dhe eksplorimin e mekanizmave inovativë të financimit.</w:t>
      </w:r>
    </w:p>
    <w:p w14:paraId="3FFAD231" w14:textId="77777777" w:rsidR="00622884" w:rsidRPr="00622884" w:rsidRDefault="00622884" w:rsidP="00622884">
      <w:pPr>
        <w:spacing w:after="0" w:line="240" w:lineRule="auto"/>
        <w:ind w:firstLine="284"/>
        <w:rPr>
          <w:rFonts w:ascii="Garamond" w:eastAsia="SimSun" w:hAnsi="Garamond" w:cs="Calibri Light"/>
          <w:sz w:val="24"/>
          <w:szCs w:val="24"/>
          <w:lang w:eastAsia="en-US"/>
        </w:rPr>
      </w:pPr>
      <w:r w:rsidRPr="00622884">
        <w:rPr>
          <w:rFonts w:ascii="Garamond" w:eastAsia="SimSun" w:hAnsi="Garamond" w:cs="Calibri Light"/>
          <w:sz w:val="24"/>
          <w:szCs w:val="24"/>
          <w:lang w:eastAsia="en-US"/>
        </w:rPr>
        <w:t>Ndërkohë, është e rëndësishme të theksohet se, edhe pse kostoja totale e strategjisë është referuar në rreth 9.8 miliardë lekë, kjo vlerë i referohet një horizonti kohor më të gjerë që shtrihet deri në vitin 2042. Edhe pse strategjia parashikon masa për periudhën 2026–2036, një pjesë e masave të saj kanë një natyrë afatgjatë dhe vijojnë të zbatohen edhe pas vitit 2036, duke reflektuar kompleksitetin dhe vazhdimësinë e ndërhyrjeve të nevojshme për përshtatjen ndaj ndryshimeve klimatike.</w:t>
      </w:r>
    </w:p>
    <w:p w14:paraId="145E8502" w14:textId="77777777" w:rsidR="00622884" w:rsidRPr="00622884" w:rsidRDefault="00622884" w:rsidP="00622884">
      <w:pPr>
        <w:spacing w:after="0" w:line="240" w:lineRule="auto"/>
        <w:ind w:firstLine="284"/>
        <w:rPr>
          <w:rFonts w:ascii="Garamond" w:eastAsia="SimSun" w:hAnsi="Garamond" w:cs="Calibri Light"/>
          <w:sz w:val="6"/>
          <w:szCs w:val="24"/>
          <w:lang w:eastAsia="en-US"/>
        </w:rPr>
      </w:pPr>
    </w:p>
    <w:p w14:paraId="09216417" w14:textId="77777777" w:rsidR="00622884" w:rsidRPr="00622884" w:rsidRDefault="00622884" w:rsidP="00622884">
      <w:pPr>
        <w:spacing w:after="0" w:line="240" w:lineRule="auto"/>
        <w:ind w:firstLine="284"/>
        <w:rPr>
          <w:rFonts w:ascii="Garamond" w:eastAsia="SimSun" w:hAnsi="Garamond" w:cs="Calibri Light"/>
          <w:b/>
          <w:sz w:val="24"/>
          <w:szCs w:val="24"/>
          <w:lang w:eastAsia="en-US"/>
        </w:rPr>
      </w:pPr>
      <w:r w:rsidRPr="00622884">
        <w:rPr>
          <w:rFonts w:ascii="Garamond" w:eastAsia="SimSun" w:hAnsi="Garamond" w:cs="Calibri Light"/>
          <w:b/>
          <w:sz w:val="24"/>
          <w:szCs w:val="24"/>
          <w:lang w:eastAsia="en-US"/>
        </w:rPr>
        <w:t>Tabela 18: Investimi i parashikuar për periudhën 2026</w:t>
      </w:r>
      <w:r w:rsidRPr="00622884">
        <w:rPr>
          <w:rFonts w:ascii="Garamond" w:eastAsia="SimSun" w:hAnsi="Garamond" w:cs="Times New Roman"/>
          <w:b/>
          <w:color w:val="1D3C5A"/>
          <w:sz w:val="24"/>
          <w:szCs w:val="24"/>
          <w:lang w:eastAsia="en-US"/>
        </w:rPr>
        <w:t>–</w:t>
      </w:r>
      <w:r w:rsidRPr="00622884">
        <w:rPr>
          <w:rFonts w:ascii="Garamond" w:eastAsia="SimSun" w:hAnsi="Garamond" w:cs="Calibri Light"/>
          <w:b/>
          <w:sz w:val="24"/>
          <w:szCs w:val="24"/>
          <w:lang w:eastAsia="en-US"/>
        </w:rPr>
        <w:t>2042.</w:t>
      </w:r>
    </w:p>
    <w:tbl>
      <w:tblPr>
        <w:tblW w:w="5000" w:type="pct"/>
        <w:jc w:val="center"/>
        <w:tblBorders>
          <w:top w:val="single" w:sz="4" w:space="0" w:color="1D3C5A"/>
          <w:left w:val="single" w:sz="4" w:space="0" w:color="1D3C5A"/>
          <w:bottom w:val="single" w:sz="4" w:space="0" w:color="1D3C5A"/>
          <w:right w:val="single" w:sz="4" w:space="0" w:color="1D3C5A"/>
          <w:insideH w:val="single" w:sz="4" w:space="0" w:color="1D3C5A"/>
          <w:insideV w:val="single" w:sz="4" w:space="0" w:color="1D3C5A"/>
        </w:tblBorders>
        <w:tblLook w:val="04A0" w:firstRow="1" w:lastRow="0" w:firstColumn="1" w:lastColumn="0" w:noHBand="0" w:noVBand="1"/>
      </w:tblPr>
      <w:tblGrid>
        <w:gridCol w:w="1316"/>
        <w:gridCol w:w="3891"/>
        <w:gridCol w:w="2543"/>
        <w:gridCol w:w="1537"/>
      </w:tblGrid>
      <w:tr w:rsidR="00622884" w:rsidRPr="00622884" w14:paraId="6A7F5D3F" w14:textId="77777777" w:rsidTr="00622884">
        <w:trPr>
          <w:trHeight w:val="300"/>
          <w:jc w:val="center"/>
        </w:trPr>
        <w:tc>
          <w:tcPr>
            <w:tcW w:w="731" w:type="pct"/>
            <w:shd w:val="clear" w:color="auto" w:fill="215A5C"/>
            <w:noWrap/>
            <w:vAlign w:val="center"/>
            <w:hideMark/>
          </w:tcPr>
          <w:p w14:paraId="610968F8" w14:textId="77777777" w:rsidR="00622884" w:rsidRPr="00622884" w:rsidRDefault="00622884" w:rsidP="00622884">
            <w:pPr>
              <w:spacing w:after="0" w:line="240" w:lineRule="auto"/>
              <w:jc w:val="center"/>
              <w:rPr>
                <w:rFonts w:ascii="Garamond" w:eastAsia="Times New Roman" w:hAnsi="Garamond" w:cs="Calibri Light"/>
                <w:b/>
                <w:bCs/>
                <w:sz w:val="16"/>
                <w:szCs w:val="16"/>
                <w:lang w:eastAsia="sq-AL"/>
              </w:rPr>
            </w:pPr>
            <w:r w:rsidRPr="00622884">
              <w:rPr>
                <w:rFonts w:ascii="Garamond" w:eastAsia="Calibri" w:hAnsi="Garamond" w:cs="Times New Roman"/>
                <w:b/>
                <w:sz w:val="16"/>
                <w:szCs w:val="16"/>
                <w:lang w:eastAsia="en-US" w:bidi="sq-AL"/>
              </w:rPr>
              <w:t>Periudha</w:t>
            </w:r>
          </w:p>
        </w:tc>
        <w:tc>
          <w:tcPr>
            <w:tcW w:w="1919" w:type="pct"/>
            <w:shd w:val="clear" w:color="auto" w:fill="215A5C"/>
            <w:noWrap/>
            <w:vAlign w:val="center"/>
            <w:hideMark/>
          </w:tcPr>
          <w:p w14:paraId="410CEF26" w14:textId="77777777" w:rsidR="00622884" w:rsidRPr="00622884" w:rsidRDefault="00622884" w:rsidP="00622884">
            <w:pPr>
              <w:spacing w:after="0" w:line="240" w:lineRule="auto"/>
              <w:jc w:val="center"/>
              <w:rPr>
                <w:rFonts w:ascii="Garamond" w:eastAsia="Times New Roman" w:hAnsi="Garamond" w:cs="Calibri Light"/>
                <w:b/>
                <w:bCs/>
                <w:sz w:val="16"/>
                <w:szCs w:val="16"/>
                <w:lang w:eastAsia="sq-AL"/>
              </w:rPr>
            </w:pPr>
            <w:r w:rsidRPr="00622884">
              <w:rPr>
                <w:rFonts w:ascii="Garamond" w:eastAsia="Calibri" w:hAnsi="Garamond" w:cs="Times New Roman"/>
                <w:b/>
                <w:sz w:val="16"/>
                <w:szCs w:val="16"/>
                <w:lang w:eastAsia="en-US" w:bidi="sq-AL"/>
              </w:rPr>
              <w:t>Disbursimi i parashikuar vjetor (në dollarë amerikanë)</w:t>
            </w:r>
          </w:p>
        </w:tc>
        <w:tc>
          <w:tcPr>
            <w:tcW w:w="1297" w:type="pct"/>
            <w:shd w:val="clear" w:color="auto" w:fill="215A5C"/>
            <w:noWrap/>
            <w:vAlign w:val="center"/>
            <w:hideMark/>
          </w:tcPr>
          <w:p w14:paraId="283F64B7" w14:textId="77777777" w:rsidR="00622884" w:rsidRPr="00622884" w:rsidRDefault="00622884" w:rsidP="00622884">
            <w:pPr>
              <w:spacing w:after="0" w:line="240" w:lineRule="auto"/>
              <w:jc w:val="center"/>
              <w:rPr>
                <w:rFonts w:ascii="Garamond" w:eastAsia="Times New Roman" w:hAnsi="Garamond" w:cs="Calibri Light"/>
                <w:b/>
                <w:bCs/>
                <w:sz w:val="16"/>
                <w:szCs w:val="16"/>
                <w:lang w:eastAsia="sq-AL"/>
              </w:rPr>
            </w:pPr>
            <w:r w:rsidRPr="00622884">
              <w:rPr>
                <w:rFonts w:ascii="Garamond" w:eastAsia="Calibri" w:hAnsi="Garamond" w:cs="Times New Roman"/>
                <w:b/>
                <w:sz w:val="16"/>
                <w:szCs w:val="16"/>
                <w:lang w:eastAsia="en-US" w:bidi="sq-AL"/>
              </w:rPr>
              <w:t>Totali (milionë dollarë amerikanë)</w:t>
            </w:r>
          </w:p>
        </w:tc>
        <w:tc>
          <w:tcPr>
            <w:tcW w:w="1053" w:type="pct"/>
            <w:shd w:val="clear" w:color="auto" w:fill="215A5C"/>
            <w:noWrap/>
            <w:vAlign w:val="center"/>
            <w:hideMark/>
          </w:tcPr>
          <w:p w14:paraId="23078724" w14:textId="77777777" w:rsidR="00622884" w:rsidRPr="00622884" w:rsidRDefault="00622884" w:rsidP="00622884">
            <w:pPr>
              <w:spacing w:after="0" w:line="240" w:lineRule="auto"/>
              <w:jc w:val="center"/>
              <w:rPr>
                <w:rFonts w:ascii="Garamond" w:eastAsia="Calibri" w:hAnsi="Garamond" w:cs="Times New Roman"/>
                <w:b/>
                <w:sz w:val="16"/>
                <w:szCs w:val="16"/>
                <w:lang w:eastAsia="en-US" w:bidi="sq-AL"/>
              </w:rPr>
            </w:pPr>
            <w:r w:rsidRPr="00622884">
              <w:rPr>
                <w:rFonts w:ascii="Garamond" w:eastAsia="Calibri" w:hAnsi="Garamond" w:cs="Times New Roman"/>
                <w:b/>
                <w:sz w:val="16"/>
                <w:szCs w:val="16"/>
                <w:lang w:eastAsia="en-US" w:bidi="sq-AL"/>
              </w:rPr>
              <w:t xml:space="preserve">% e PBB-së </w:t>
            </w:r>
          </w:p>
          <w:p w14:paraId="72D82E91" w14:textId="77777777" w:rsidR="00622884" w:rsidRPr="00622884" w:rsidRDefault="00622884" w:rsidP="00622884">
            <w:pPr>
              <w:spacing w:after="0" w:line="240" w:lineRule="auto"/>
              <w:jc w:val="center"/>
              <w:rPr>
                <w:rFonts w:ascii="Garamond" w:eastAsia="Times New Roman" w:hAnsi="Garamond" w:cs="Calibri Light"/>
                <w:b/>
                <w:bCs/>
                <w:sz w:val="16"/>
                <w:szCs w:val="16"/>
                <w:lang w:eastAsia="sq-AL"/>
              </w:rPr>
            </w:pPr>
            <w:r w:rsidRPr="00622884">
              <w:rPr>
                <w:rFonts w:ascii="Garamond" w:eastAsia="Calibri" w:hAnsi="Garamond" w:cs="Times New Roman"/>
                <w:b/>
                <w:sz w:val="16"/>
                <w:szCs w:val="16"/>
                <w:lang w:eastAsia="en-US" w:bidi="sq-AL"/>
              </w:rPr>
              <w:t>(në vitin 2025)</w:t>
            </w:r>
          </w:p>
        </w:tc>
      </w:tr>
      <w:tr w:rsidR="00622884" w:rsidRPr="00622884" w14:paraId="54230F30" w14:textId="77777777" w:rsidTr="00622884">
        <w:trPr>
          <w:trHeight w:val="300"/>
          <w:jc w:val="center"/>
        </w:trPr>
        <w:tc>
          <w:tcPr>
            <w:tcW w:w="731" w:type="pct"/>
            <w:noWrap/>
            <w:vAlign w:val="bottom"/>
            <w:hideMark/>
          </w:tcPr>
          <w:p w14:paraId="33291B5F" w14:textId="77777777" w:rsidR="00622884" w:rsidRPr="00622884" w:rsidRDefault="00622884" w:rsidP="00622884">
            <w:pPr>
              <w:spacing w:after="0" w:line="240" w:lineRule="auto"/>
              <w:jc w:val="center"/>
              <w:rPr>
                <w:rFonts w:ascii="Garamond" w:eastAsia="Times New Roman" w:hAnsi="Garamond" w:cs="Calibri Light"/>
                <w:sz w:val="16"/>
                <w:szCs w:val="16"/>
                <w:lang w:eastAsia="sq-AL"/>
              </w:rPr>
            </w:pPr>
            <w:r w:rsidRPr="00622884">
              <w:rPr>
                <w:rFonts w:ascii="Garamond" w:eastAsia="Calibri" w:hAnsi="Garamond" w:cs="Times New Roman"/>
                <w:sz w:val="16"/>
                <w:szCs w:val="16"/>
                <w:lang w:eastAsia="en-US" w:bidi="sq-AL"/>
              </w:rPr>
              <w:t>2026–2028</w:t>
            </w:r>
          </w:p>
        </w:tc>
        <w:tc>
          <w:tcPr>
            <w:tcW w:w="1919" w:type="pct"/>
            <w:noWrap/>
            <w:vAlign w:val="bottom"/>
            <w:hideMark/>
          </w:tcPr>
          <w:p w14:paraId="4B0BCB0D" w14:textId="77777777" w:rsidR="00622884" w:rsidRPr="00622884" w:rsidRDefault="00622884" w:rsidP="00622884">
            <w:pPr>
              <w:spacing w:after="0" w:line="240" w:lineRule="auto"/>
              <w:jc w:val="center"/>
              <w:rPr>
                <w:rFonts w:ascii="Garamond" w:eastAsia="Times New Roman" w:hAnsi="Garamond" w:cs="Calibri Light"/>
                <w:sz w:val="16"/>
                <w:szCs w:val="16"/>
                <w:lang w:eastAsia="sq-AL"/>
              </w:rPr>
            </w:pPr>
            <w:r w:rsidRPr="00622884">
              <w:rPr>
                <w:rFonts w:ascii="Garamond" w:eastAsia="Calibri" w:hAnsi="Garamond" w:cs="Times New Roman"/>
                <w:sz w:val="16"/>
                <w:szCs w:val="16"/>
                <w:lang w:eastAsia="en-US" w:bidi="sq-AL"/>
              </w:rPr>
              <w:t>180.6</w:t>
            </w:r>
          </w:p>
        </w:tc>
        <w:tc>
          <w:tcPr>
            <w:tcW w:w="1297" w:type="pct"/>
            <w:noWrap/>
            <w:vAlign w:val="bottom"/>
            <w:hideMark/>
          </w:tcPr>
          <w:p w14:paraId="1E798CC3" w14:textId="77777777" w:rsidR="00622884" w:rsidRPr="00622884" w:rsidRDefault="00622884" w:rsidP="00622884">
            <w:pPr>
              <w:spacing w:after="0" w:line="240" w:lineRule="auto"/>
              <w:jc w:val="center"/>
              <w:rPr>
                <w:rFonts w:ascii="Garamond" w:eastAsia="Times New Roman" w:hAnsi="Garamond" w:cs="Calibri Light"/>
                <w:sz w:val="16"/>
                <w:szCs w:val="16"/>
                <w:lang w:eastAsia="sq-AL"/>
              </w:rPr>
            </w:pPr>
            <w:r w:rsidRPr="00622884">
              <w:rPr>
                <w:rFonts w:ascii="Garamond" w:eastAsia="Calibri" w:hAnsi="Garamond" w:cs="Times New Roman"/>
                <w:sz w:val="16"/>
                <w:szCs w:val="16"/>
                <w:lang w:eastAsia="en-US" w:bidi="sq-AL"/>
              </w:rPr>
              <w:t>542</w:t>
            </w:r>
          </w:p>
        </w:tc>
        <w:tc>
          <w:tcPr>
            <w:tcW w:w="1053" w:type="pct"/>
            <w:noWrap/>
            <w:vAlign w:val="bottom"/>
            <w:hideMark/>
          </w:tcPr>
          <w:p w14:paraId="3819E2EA" w14:textId="77777777" w:rsidR="00622884" w:rsidRPr="00622884" w:rsidRDefault="00622884" w:rsidP="00622884">
            <w:pPr>
              <w:spacing w:after="0" w:line="240" w:lineRule="auto"/>
              <w:jc w:val="center"/>
              <w:rPr>
                <w:rFonts w:ascii="Garamond" w:eastAsia="Times New Roman" w:hAnsi="Garamond" w:cs="Calibri Light"/>
                <w:sz w:val="16"/>
                <w:szCs w:val="16"/>
                <w:lang w:eastAsia="sq-AL"/>
              </w:rPr>
            </w:pPr>
            <w:r w:rsidRPr="00622884">
              <w:rPr>
                <w:rFonts w:ascii="Garamond" w:eastAsia="Calibri" w:hAnsi="Garamond" w:cs="Times New Roman"/>
                <w:sz w:val="16"/>
                <w:szCs w:val="16"/>
                <w:lang w:eastAsia="en-US" w:bidi="sq-AL"/>
              </w:rPr>
              <w:t>0.6</w:t>
            </w:r>
          </w:p>
        </w:tc>
      </w:tr>
      <w:tr w:rsidR="00622884" w:rsidRPr="00622884" w14:paraId="64F4DEFC" w14:textId="77777777" w:rsidTr="00622884">
        <w:trPr>
          <w:trHeight w:val="300"/>
          <w:jc w:val="center"/>
        </w:trPr>
        <w:tc>
          <w:tcPr>
            <w:tcW w:w="731" w:type="pct"/>
            <w:noWrap/>
            <w:vAlign w:val="bottom"/>
            <w:hideMark/>
          </w:tcPr>
          <w:p w14:paraId="600A78A8" w14:textId="77777777" w:rsidR="00622884" w:rsidRPr="00622884" w:rsidRDefault="00622884" w:rsidP="00622884">
            <w:pPr>
              <w:spacing w:after="0" w:line="240" w:lineRule="auto"/>
              <w:jc w:val="center"/>
              <w:rPr>
                <w:rFonts w:ascii="Garamond" w:eastAsia="Times New Roman" w:hAnsi="Garamond" w:cs="Calibri Light"/>
                <w:sz w:val="16"/>
                <w:szCs w:val="16"/>
                <w:lang w:eastAsia="sq-AL"/>
              </w:rPr>
            </w:pPr>
            <w:r w:rsidRPr="00622884">
              <w:rPr>
                <w:rFonts w:ascii="Garamond" w:eastAsia="Calibri" w:hAnsi="Garamond" w:cs="Times New Roman"/>
                <w:sz w:val="16"/>
                <w:szCs w:val="16"/>
                <w:lang w:eastAsia="en-US" w:bidi="sq-AL"/>
              </w:rPr>
              <w:t>2029–2032</w:t>
            </w:r>
          </w:p>
        </w:tc>
        <w:tc>
          <w:tcPr>
            <w:tcW w:w="1919" w:type="pct"/>
            <w:noWrap/>
            <w:vAlign w:val="bottom"/>
            <w:hideMark/>
          </w:tcPr>
          <w:p w14:paraId="0CC3A52B" w14:textId="77777777" w:rsidR="00622884" w:rsidRPr="00622884" w:rsidRDefault="00622884" w:rsidP="00622884">
            <w:pPr>
              <w:spacing w:after="0" w:line="240" w:lineRule="auto"/>
              <w:jc w:val="center"/>
              <w:rPr>
                <w:rFonts w:ascii="Garamond" w:eastAsia="Times New Roman" w:hAnsi="Garamond" w:cs="Calibri Light"/>
                <w:sz w:val="16"/>
                <w:szCs w:val="16"/>
                <w:lang w:eastAsia="sq-AL"/>
              </w:rPr>
            </w:pPr>
            <w:r w:rsidRPr="00622884">
              <w:rPr>
                <w:rFonts w:ascii="Garamond" w:eastAsia="Calibri" w:hAnsi="Garamond" w:cs="Times New Roman"/>
                <w:sz w:val="16"/>
                <w:szCs w:val="16"/>
                <w:lang w:eastAsia="en-US" w:bidi="sq-AL"/>
              </w:rPr>
              <w:t>652.4</w:t>
            </w:r>
          </w:p>
        </w:tc>
        <w:tc>
          <w:tcPr>
            <w:tcW w:w="1297" w:type="pct"/>
            <w:noWrap/>
            <w:vAlign w:val="bottom"/>
            <w:hideMark/>
          </w:tcPr>
          <w:p w14:paraId="48A417D2" w14:textId="77777777" w:rsidR="00622884" w:rsidRPr="00622884" w:rsidRDefault="00622884" w:rsidP="00622884">
            <w:pPr>
              <w:spacing w:after="0" w:line="240" w:lineRule="auto"/>
              <w:jc w:val="center"/>
              <w:rPr>
                <w:rFonts w:ascii="Garamond" w:eastAsia="Times New Roman" w:hAnsi="Garamond" w:cs="Calibri Light"/>
                <w:sz w:val="16"/>
                <w:szCs w:val="16"/>
                <w:lang w:eastAsia="sq-AL"/>
              </w:rPr>
            </w:pPr>
            <w:r w:rsidRPr="00622884">
              <w:rPr>
                <w:rFonts w:ascii="Garamond" w:eastAsia="Calibri" w:hAnsi="Garamond" w:cs="Times New Roman"/>
                <w:sz w:val="16"/>
                <w:szCs w:val="16"/>
                <w:lang w:eastAsia="en-US" w:bidi="sq-AL"/>
              </w:rPr>
              <w:t>2610</w:t>
            </w:r>
          </w:p>
        </w:tc>
        <w:tc>
          <w:tcPr>
            <w:tcW w:w="1053" w:type="pct"/>
            <w:noWrap/>
            <w:vAlign w:val="bottom"/>
            <w:hideMark/>
          </w:tcPr>
          <w:p w14:paraId="5A32ABC7" w14:textId="77777777" w:rsidR="00622884" w:rsidRPr="00622884" w:rsidRDefault="00622884" w:rsidP="00622884">
            <w:pPr>
              <w:spacing w:after="0" w:line="240" w:lineRule="auto"/>
              <w:jc w:val="center"/>
              <w:rPr>
                <w:rFonts w:ascii="Garamond" w:eastAsia="Times New Roman" w:hAnsi="Garamond" w:cs="Calibri Light"/>
                <w:sz w:val="16"/>
                <w:szCs w:val="16"/>
                <w:lang w:eastAsia="sq-AL"/>
              </w:rPr>
            </w:pPr>
            <w:r w:rsidRPr="00622884">
              <w:rPr>
                <w:rFonts w:ascii="Garamond" w:eastAsia="Calibri" w:hAnsi="Garamond" w:cs="Times New Roman"/>
                <w:sz w:val="16"/>
                <w:szCs w:val="16"/>
                <w:lang w:eastAsia="en-US" w:bidi="sq-AL"/>
              </w:rPr>
              <w:t>2.3</w:t>
            </w:r>
          </w:p>
        </w:tc>
      </w:tr>
      <w:tr w:rsidR="00622884" w:rsidRPr="00622884" w14:paraId="3E203DB0" w14:textId="77777777" w:rsidTr="00622884">
        <w:trPr>
          <w:trHeight w:val="300"/>
          <w:jc w:val="center"/>
        </w:trPr>
        <w:tc>
          <w:tcPr>
            <w:tcW w:w="731" w:type="pct"/>
            <w:noWrap/>
            <w:vAlign w:val="bottom"/>
            <w:hideMark/>
          </w:tcPr>
          <w:p w14:paraId="211B66C1" w14:textId="77777777" w:rsidR="00622884" w:rsidRPr="00622884" w:rsidRDefault="00622884" w:rsidP="00622884">
            <w:pPr>
              <w:spacing w:after="0" w:line="240" w:lineRule="auto"/>
              <w:jc w:val="center"/>
              <w:rPr>
                <w:rFonts w:ascii="Garamond" w:eastAsia="Times New Roman" w:hAnsi="Garamond" w:cs="Calibri Light"/>
                <w:sz w:val="16"/>
                <w:szCs w:val="16"/>
                <w:lang w:eastAsia="sq-AL"/>
              </w:rPr>
            </w:pPr>
            <w:r w:rsidRPr="00622884">
              <w:rPr>
                <w:rFonts w:ascii="Garamond" w:eastAsia="Calibri" w:hAnsi="Garamond" w:cs="Times New Roman"/>
                <w:sz w:val="16"/>
                <w:szCs w:val="16"/>
                <w:lang w:eastAsia="en-US" w:bidi="sq-AL"/>
              </w:rPr>
              <w:t>2033–2042</w:t>
            </w:r>
          </w:p>
        </w:tc>
        <w:tc>
          <w:tcPr>
            <w:tcW w:w="1919" w:type="pct"/>
            <w:noWrap/>
            <w:vAlign w:val="bottom"/>
            <w:hideMark/>
          </w:tcPr>
          <w:p w14:paraId="3341C199" w14:textId="77777777" w:rsidR="00622884" w:rsidRPr="00622884" w:rsidRDefault="00622884" w:rsidP="00622884">
            <w:pPr>
              <w:spacing w:after="0" w:line="240" w:lineRule="auto"/>
              <w:jc w:val="center"/>
              <w:rPr>
                <w:rFonts w:ascii="Garamond" w:eastAsia="Times New Roman" w:hAnsi="Garamond" w:cs="Calibri Light"/>
                <w:sz w:val="16"/>
                <w:szCs w:val="16"/>
                <w:lang w:eastAsia="sq-AL"/>
              </w:rPr>
            </w:pPr>
            <w:r w:rsidRPr="00622884">
              <w:rPr>
                <w:rFonts w:ascii="Garamond" w:eastAsia="Calibri" w:hAnsi="Garamond" w:cs="Times New Roman"/>
                <w:sz w:val="16"/>
                <w:szCs w:val="16"/>
                <w:lang w:eastAsia="en-US" w:bidi="sq-AL"/>
              </w:rPr>
              <w:t>664.9</w:t>
            </w:r>
          </w:p>
        </w:tc>
        <w:tc>
          <w:tcPr>
            <w:tcW w:w="1297" w:type="pct"/>
            <w:noWrap/>
            <w:vAlign w:val="bottom"/>
            <w:hideMark/>
          </w:tcPr>
          <w:p w14:paraId="7CACC8FE" w14:textId="77777777" w:rsidR="00622884" w:rsidRPr="00622884" w:rsidRDefault="00622884" w:rsidP="00622884">
            <w:pPr>
              <w:spacing w:after="0" w:line="240" w:lineRule="auto"/>
              <w:jc w:val="center"/>
              <w:rPr>
                <w:rFonts w:ascii="Garamond" w:eastAsia="Times New Roman" w:hAnsi="Garamond" w:cs="Calibri Light"/>
                <w:sz w:val="16"/>
                <w:szCs w:val="16"/>
                <w:lang w:eastAsia="sq-AL"/>
              </w:rPr>
            </w:pPr>
            <w:r w:rsidRPr="00622884">
              <w:rPr>
                <w:rFonts w:ascii="Garamond" w:eastAsia="Calibri" w:hAnsi="Garamond" w:cs="Times New Roman"/>
                <w:sz w:val="16"/>
                <w:szCs w:val="16"/>
                <w:lang w:eastAsia="en-US" w:bidi="sq-AL"/>
              </w:rPr>
              <w:t>6649</w:t>
            </w:r>
          </w:p>
        </w:tc>
        <w:tc>
          <w:tcPr>
            <w:tcW w:w="1053" w:type="pct"/>
            <w:noWrap/>
            <w:vAlign w:val="bottom"/>
            <w:hideMark/>
          </w:tcPr>
          <w:p w14:paraId="0BA7C43E" w14:textId="77777777" w:rsidR="00622884" w:rsidRPr="00622884" w:rsidRDefault="00622884" w:rsidP="00622884">
            <w:pPr>
              <w:spacing w:after="0" w:line="240" w:lineRule="auto"/>
              <w:jc w:val="center"/>
              <w:rPr>
                <w:rFonts w:ascii="Garamond" w:eastAsia="Times New Roman" w:hAnsi="Garamond" w:cs="Calibri Light"/>
                <w:sz w:val="16"/>
                <w:szCs w:val="16"/>
                <w:lang w:eastAsia="sq-AL"/>
              </w:rPr>
            </w:pPr>
            <w:r w:rsidRPr="00622884">
              <w:rPr>
                <w:rFonts w:ascii="Garamond" w:eastAsia="Calibri" w:hAnsi="Garamond" w:cs="Times New Roman"/>
                <w:sz w:val="16"/>
                <w:szCs w:val="16"/>
                <w:lang w:eastAsia="en-US" w:bidi="sq-AL"/>
              </w:rPr>
              <w:t>2.3</w:t>
            </w:r>
          </w:p>
        </w:tc>
      </w:tr>
      <w:tr w:rsidR="00622884" w:rsidRPr="00622884" w14:paraId="0E796E4E" w14:textId="77777777" w:rsidTr="00622884">
        <w:trPr>
          <w:trHeight w:val="300"/>
          <w:jc w:val="center"/>
        </w:trPr>
        <w:tc>
          <w:tcPr>
            <w:tcW w:w="731" w:type="pct"/>
            <w:vAlign w:val="center"/>
            <w:hideMark/>
          </w:tcPr>
          <w:p w14:paraId="75EB677E" w14:textId="77777777" w:rsidR="00622884" w:rsidRPr="00622884" w:rsidRDefault="00622884" w:rsidP="00622884">
            <w:pPr>
              <w:spacing w:after="0" w:line="240" w:lineRule="auto"/>
              <w:jc w:val="center"/>
              <w:rPr>
                <w:rFonts w:ascii="Garamond" w:eastAsia="Times New Roman" w:hAnsi="Garamond" w:cs="Calibri Light"/>
                <w:b/>
                <w:bCs/>
                <w:sz w:val="16"/>
                <w:szCs w:val="16"/>
                <w:lang w:eastAsia="sq-AL"/>
              </w:rPr>
            </w:pPr>
            <w:r w:rsidRPr="00622884">
              <w:rPr>
                <w:rFonts w:ascii="Garamond" w:eastAsia="Calibri" w:hAnsi="Garamond" w:cs="Times New Roman"/>
                <w:b/>
                <w:sz w:val="16"/>
                <w:szCs w:val="16"/>
                <w:lang w:eastAsia="en-US" w:bidi="sq-AL"/>
              </w:rPr>
              <w:t>Mesatarja/totali</w:t>
            </w:r>
          </w:p>
        </w:tc>
        <w:tc>
          <w:tcPr>
            <w:tcW w:w="1919" w:type="pct"/>
            <w:vAlign w:val="center"/>
            <w:hideMark/>
          </w:tcPr>
          <w:p w14:paraId="62EE55D1" w14:textId="77777777" w:rsidR="00622884" w:rsidRPr="00622884" w:rsidRDefault="00622884" w:rsidP="00622884">
            <w:pPr>
              <w:spacing w:after="0" w:line="240" w:lineRule="auto"/>
              <w:jc w:val="center"/>
              <w:rPr>
                <w:rFonts w:ascii="Garamond" w:eastAsia="Times New Roman" w:hAnsi="Garamond" w:cs="Calibri Light"/>
                <w:b/>
                <w:bCs/>
                <w:sz w:val="16"/>
                <w:szCs w:val="16"/>
                <w:lang w:eastAsia="sq-AL"/>
              </w:rPr>
            </w:pPr>
            <w:r w:rsidRPr="00622884">
              <w:rPr>
                <w:rFonts w:ascii="Garamond" w:eastAsia="Calibri" w:hAnsi="Garamond" w:cs="Times New Roman"/>
                <w:b/>
                <w:sz w:val="16"/>
                <w:szCs w:val="16"/>
                <w:lang w:eastAsia="en-US" w:bidi="sq-AL"/>
              </w:rPr>
              <w:t>576.5</w:t>
            </w:r>
          </w:p>
        </w:tc>
        <w:tc>
          <w:tcPr>
            <w:tcW w:w="1297" w:type="pct"/>
            <w:vAlign w:val="center"/>
            <w:hideMark/>
          </w:tcPr>
          <w:p w14:paraId="6C5F154E" w14:textId="77777777" w:rsidR="00622884" w:rsidRPr="00622884" w:rsidRDefault="00622884" w:rsidP="00622884">
            <w:pPr>
              <w:spacing w:after="0" w:line="240" w:lineRule="auto"/>
              <w:jc w:val="center"/>
              <w:rPr>
                <w:rFonts w:ascii="Garamond" w:eastAsia="Times New Roman" w:hAnsi="Garamond" w:cs="Calibri Light"/>
                <w:b/>
                <w:bCs/>
                <w:sz w:val="16"/>
                <w:szCs w:val="16"/>
                <w:lang w:eastAsia="sq-AL"/>
              </w:rPr>
            </w:pPr>
            <w:r w:rsidRPr="00622884">
              <w:rPr>
                <w:rFonts w:ascii="Garamond" w:eastAsia="Calibri" w:hAnsi="Garamond" w:cs="Times New Roman"/>
                <w:b/>
                <w:sz w:val="16"/>
                <w:szCs w:val="16"/>
                <w:lang w:eastAsia="en-US" w:bidi="sq-AL"/>
              </w:rPr>
              <w:t>9800</w:t>
            </w:r>
          </w:p>
        </w:tc>
        <w:tc>
          <w:tcPr>
            <w:tcW w:w="1053" w:type="pct"/>
            <w:noWrap/>
            <w:vAlign w:val="bottom"/>
            <w:hideMark/>
          </w:tcPr>
          <w:p w14:paraId="16C13E22" w14:textId="77777777" w:rsidR="00622884" w:rsidRPr="00622884" w:rsidRDefault="00622884" w:rsidP="00622884">
            <w:pPr>
              <w:spacing w:after="0" w:line="240" w:lineRule="auto"/>
              <w:jc w:val="center"/>
              <w:rPr>
                <w:rFonts w:ascii="Garamond" w:eastAsia="Times New Roman" w:hAnsi="Garamond" w:cs="Calibri Light"/>
                <w:b/>
                <w:bCs/>
                <w:sz w:val="16"/>
                <w:szCs w:val="16"/>
                <w:lang w:eastAsia="sq-AL"/>
              </w:rPr>
            </w:pPr>
          </w:p>
        </w:tc>
      </w:tr>
    </w:tbl>
    <w:p w14:paraId="6389528B" w14:textId="77777777" w:rsidR="00622884" w:rsidRPr="00622884" w:rsidRDefault="00622884" w:rsidP="00622884">
      <w:pPr>
        <w:spacing w:after="0" w:line="240" w:lineRule="auto"/>
        <w:ind w:firstLine="284"/>
        <w:rPr>
          <w:rFonts w:ascii="Garamond" w:eastAsia="SimSun" w:hAnsi="Garamond" w:cs="Calibri Light"/>
          <w:sz w:val="24"/>
          <w:szCs w:val="24"/>
          <w:lang w:eastAsia="en-US"/>
        </w:rPr>
      </w:pPr>
      <w:r w:rsidRPr="00622884">
        <w:rPr>
          <w:rFonts w:ascii="Garamond" w:eastAsia="SimSun" w:hAnsi="Garamond" w:cs="Calibri Light"/>
          <w:sz w:val="24"/>
          <w:szCs w:val="24"/>
          <w:lang w:eastAsia="en-US" w:bidi="sq-AL"/>
        </w:rPr>
        <w:t xml:space="preserve">Pavarësisht shumës së nevojshme, ky nivel investimi konsiderohet i realizueshëm fiskalisht, veçanërisht nëse mbështetet nga financimi koncesionar, alokimet buxhetore me faza dhe integrimi i plotë në kuadrot kombëtarë të investimeve publike. Ndonëse këto shuma mund të jenë frikësuese, </w:t>
      </w:r>
      <w:r w:rsidRPr="00622884">
        <w:rPr>
          <w:rFonts w:ascii="Garamond" w:eastAsia="SimSun" w:hAnsi="Garamond" w:cs="Calibri Light"/>
          <w:b/>
          <w:sz w:val="24"/>
          <w:szCs w:val="24"/>
          <w:lang w:eastAsia="en-US" w:bidi="sq-AL"/>
        </w:rPr>
        <w:t xml:space="preserve">kostoja e mosveprimit do të ishte më e lartë, pasi dëmtimet e rënda prej </w:t>
      </w:r>
      <w:r w:rsidRPr="00622884">
        <w:rPr>
          <w:rFonts w:ascii="Garamond" w:eastAsia="SimSun" w:hAnsi="Garamond" w:cs="Calibri Light"/>
          <w:b/>
          <w:sz w:val="24"/>
          <w:szCs w:val="24"/>
          <w:lang w:eastAsia="en-US" w:bidi="sq-AL"/>
        </w:rPr>
        <w:lastRenderedPageBreak/>
        <w:t>klimës mund të zhbëjnë vite të tëra zhvillimi</w:t>
      </w:r>
      <w:r w:rsidRPr="00622884">
        <w:rPr>
          <w:rFonts w:ascii="Garamond" w:eastAsia="SimSun" w:hAnsi="Garamond" w:cs="Calibri Light"/>
          <w:sz w:val="24"/>
          <w:szCs w:val="24"/>
          <w:lang w:eastAsia="en-US" w:bidi="sq-AL"/>
        </w:rPr>
        <w:t>.</w:t>
      </w:r>
      <w:r w:rsidRPr="00622884">
        <w:rPr>
          <w:rFonts w:ascii="Garamond" w:eastAsia="SimSun" w:hAnsi="Garamond" w:cs="Calibri Light"/>
          <w:b/>
          <w:sz w:val="24"/>
          <w:szCs w:val="24"/>
          <w:lang w:eastAsia="en-US" w:bidi="sq-AL"/>
        </w:rPr>
        <w:t xml:space="preserve"> Investimi në aftësi ripërtëritëse është në thelbësor për investimin në ruajtjen e qëndrueshmërisë dhe rritjes ekonomike dhe do të sjellë një kthim të konsiderueshëm në të gjithë sektorët prioritarë ku duhet të investohet më shumë</w:t>
      </w:r>
      <w:r w:rsidRPr="00622884">
        <w:rPr>
          <w:rFonts w:ascii="Garamond" w:eastAsia="SimSun" w:hAnsi="Garamond" w:cs="Calibri Light"/>
          <w:sz w:val="24"/>
          <w:szCs w:val="24"/>
          <w:lang w:eastAsia="en-US" w:bidi="sq-AL"/>
        </w:rPr>
        <w:t>,</w:t>
      </w:r>
      <w:r w:rsidRPr="00622884">
        <w:rPr>
          <w:rFonts w:ascii="Garamond" w:eastAsia="SimSun" w:hAnsi="Garamond" w:cs="Calibri Light"/>
          <w:b/>
          <w:sz w:val="24"/>
          <w:szCs w:val="24"/>
          <w:lang w:eastAsia="en-US" w:bidi="sq-AL"/>
        </w:rPr>
        <w:t xml:space="preserve"> </w:t>
      </w:r>
      <w:r w:rsidRPr="00622884">
        <w:rPr>
          <w:rFonts w:ascii="Garamond" w:eastAsia="SimSun" w:hAnsi="Garamond" w:cs="Calibri Light"/>
          <w:sz w:val="24"/>
          <w:szCs w:val="24"/>
          <w:lang w:eastAsia="en-US" w:bidi="sq-AL"/>
        </w:rPr>
        <w:t>pra, bujqësi, energji, transport dhe zhvillim urban, nëpërmjet humbjeve të shmangura (të përllogaritura në më shumë se 17 miliardë dollarë amerikanë pa asnjë veprim), potencialit ekonomik të</w:t>
      </w:r>
      <w:r w:rsidRPr="00622884">
        <w:rPr>
          <w:rFonts w:ascii="Garamond" w:eastAsia="SimSun" w:hAnsi="Garamond" w:cs="Calibri Light"/>
          <w:b/>
          <w:sz w:val="24"/>
          <w:szCs w:val="24"/>
          <w:lang w:eastAsia="en-US" w:bidi="sq-AL"/>
        </w:rPr>
        <w:t xml:space="preserve"> </w:t>
      </w:r>
      <w:r w:rsidRPr="00622884">
        <w:rPr>
          <w:rFonts w:ascii="Garamond" w:eastAsia="SimSun" w:hAnsi="Garamond" w:cs="Calibri Light"/>
          <w:sz w:val="24"/>
          <w:szCs w:val="24"/>
          <w:lang w:eastAsia="en-US" w:bidi="sq-AL"/>
        </w:rPr>
        <w:t>përshpejtuar (5.3 miliardë dollarë amerikanë) dhe përfitimeve të shtuara sociale dhe mjedisore (2.5 miliardë dollarë amerikanë). Kjo barazohet me një ndikim të përgjithshëm prej gati 24.8 miliardë dollarësh amerikanë në një shpenzim prej 9.8 miliardë dollarësh amerikanë, pra, një raport përfitim-kosto prej afërsisht 2,5.</w:t>
      </w:r>
    </w:p>
    <w:p w14:paraId="26307EC8" w14:textId="77777777" w:rsidR="00622884" w:rsidRPr="00622884" w:rsidRDefault="00622884" w:rsidP="00622884">
      <w:pPr>
        <w:keepNext/>
        <w:keepLines/>
        <w:spacing w:after="0" w:line="240" w:lineRule="auto"/>
        <w:ind w:firstLine="284"/>
        <w:outlineLvl w:val="1"/>
        <w:rPr>
          <w:rFonts w:ascii="Garamond" w:eastAsia="MS Mincho" w:hAnsi="Garamond" w:cs="Times New Roman"/>
          <w:b/>
          <w:bCs/>
          <w:caps/>
          <w:sz w:val="24"/>
          <w:szCs w:val="24"/>
          <w:lang w:eastAsia="es-ES"/>
        </w:rPr>
      </w:pPr>
      <w:bookmarkStart w:id="300" w:name="_Toc213936252"/>
      <w:r w:rsidRPr="00622884">
        <w:rPr>
          <w:rFonts w:ascii="Garamond" w:eastAsia="MS Mincho" w:hAnsi="Garamond" w:cs="Times New Roman"/>
          <w:b/>
          <w:bCs/>
          <w:caps/>
          <w:sz w:val="24"/>
          <w:szCs w:val="24"/>
          <w:lang w:eastAsia="es-ES" w:bidi="sq-AL"/>
        </w:rPr>
        <w:t xml:space="preserve">9.2 </w:t>
      </w:r>
      <w:r w:rsidRPr="00622884">
        <w:rPr>
          <w:rFonts w:ascii="Garamond" w:eastAsia="MS Mincho" w:hAnsi="Garamond" w:cs="Times New Roman"/>
          <w:b/>
          <w:bCs/>
          <w:sz w:val="24"/>
          <w:szCs w:val="24"/>
          <w:lang w:eastAsia="es-ES" w:bidi="sq-AL"/>
        </w:rPr>
        <w:t>Angazhimet ekzistuese dhe boshllëqet në financim</w:t>
      </w:r>
      <w:bookmarkEnd w:id="300"/>
    </w:p>
    <w:p w14:paraId="2D7C81CB" w14:textId="77777777" w:rsidR="00622884" w:rsidRPr="00622884" w:rsidRDefault="00622884" w:rsidP="00622884">
      <w:pPr>
        <w:spacing w:after="0" w:line="240" w:lineRule="auto"/>
        <w:ind w:firstLine="284"/>
        <w:rPr>
          <w:rFonts w:ascii="Garamond" w:eastAsia="SimSun" w:hAnsi="Garamond" w:cs="Calibri Light"/>
          <w:sz w:val="24"/>
          <w:szCs w:val="24"/>
          <w:lang w:eastAsia="en-US"/>
        </w:rPr>
      </w:pPr>
      <w:r w:rsidRPr="00622884">
        <w:rPr>
          <w:rFonts w:ascii="Garamond" w:eastAsia="SimSun" w:hAnsi="Garamond" w:cs="Calibri Light"/>
          <w:b/>
          <w:sz w:val="24"/>
          <w:szCs w:val="24"/>
          <w:lang w:eastAsia="en-US" w:bidi="sq-AL"/>
        </w:rPr>
        <w:t>Pavarësisht përpjekjeve më të fundit për të nxitur financimin për përshtatje, financimi ekzistues është goxha i pamjaftueshëm për të përmbushur nevojat e identifikuara për financimin për përshtatje.</w:t>
      </w:r>
      <w:r w:rsidRPr="00622884">
        <w:rPr>
          <w:rFonts w:ascii="Garamond" w:eastAsia="SimSun" w:hAnsi="Garamond" w:cs="Calibri Light"/>
          <w:sz w:val="24"/>
          <w:szCs w:val="24"/>
          <w:lang w:eastAsia="en-US" w:bidi="sq-AL"/>
        </w:rPr>
        <w:t xml:space="preserve"> Qeveria Shqiptare ka caktuar afërsisht 310 milionë dollarë amerikanë për veprime për përshtatje në të gjithë sektorët në Programin e saj Buxhetor Afatmesëm (PBA) 2025</w:t>
      </w:r>
      <w:r w:rsidRPr="00622884">
        <w:rPr>
          <w:rFonts w:ascii="Garamond" w:eastAsia="SimSun" w:hAnsi="Garamond" w:cs="Times New Roman"/>
          <w:color w:val="1D3C5A"/>
          <w:sz w:val="24"/>
          <w:szCs w:val="24"/>
          <w:lang w:eastAsia="en-US"/>
        </w:rPr>
        <w:t>–</w:t>
      </w:r>
      <w:r w:rsidRPr="00622884">
        <w:rPr>
          <w:rFonts w:ascii="Garamond" w:eastAsia="SimSun" w:hAnsi="Garamond" w:cs="Calibri Light"/>
          <w:sz w:val="24"/>
          <w:szCs w:val="24"/>
          <w:lang w:eastAsia="en-US" w:bidi="sq-AL"/>
        </w:rPr>
        <w:t xml:space="preserve">2027 dhe strategjitë kombëtare sektoriale, ku përqindjet më të mëdha shkojnë për pylltarinë (194 milionë dollarë amerikanë) dhe bujqësinë (80 milionë dollarë amerikanë). Partnerët ndërkombëtarë, përfshirë BE-në, Bankën Botërore, Fondin e Gjelbër për Klimën (FGJK) dhe të tjerë, po mbështesin përshtatjen përmes granteve dhe huave, por jo në shkallën e kërkuar. </w:t>
      </w:r>
    </w:p>
    <w:p w14:paraId="1C8C18FF" w14:textId="77777777" w:rsidR="00622884" w:rsidRPr="00622884" w:rsidRDefault="00622884" w:rsidP="00622884">
      <w:pPr>
        <w:spacing w:after="0" w:line="240" w:lineRule="auto"/>
        <w:ind w:firstLine="284"/>
        <w:rPr>
          <w:rFonts w:ascii="Garamond" w:eastAsia="SimSun" w:hAnsi="Garamond" w:cs="Calibri Light"/>
          <w:sz w:val="24"/>
          <w:szCs w:val="24"/>
          <w:lang w:eastAsia="en-US"/>
        </w:rPr>
      </w:pPr>
      <w:r w:rsidRPr="00622884">
        <w:rPr>
          <w:rFonts w:ascii="Garamond" w:eastAsia="SimSun" w:hAnsi="Garamond" w:cs="Calibri Light"/>
          <w:sz w:val="24"/>
          <w:szCs w:val="24"/>
          <w:lang w:eastAsia="en-US" w:bidi="sq-AL"/>
        </w:rPr>
        <w:fldChar w:fldCharType="begin"/>
      </w:r>
      <w:r w:rsidRPr="00622884">
        <w:rPr>
          <w:rFonts w:ascii="Garamond" w:eastAsia="SimSun" w:hAnsi="Garamond" w:cs="Calibri Light"/>
          <w:sz w:val="24"/>
          <w:szCs w:val="24"/>
          <w:lang w:eastAsia="en-US" w:bidi="sq-AL"/>
        </w:rPr>
        <w:instrText xml:space="preserve"> REF _Ref210994153  \* MERGEFORMAT </w:instrText>
      </w:r>
      <w:r w:rsidRPr="00622884">
        <w:rPr>
          <w:rFonts w:ascii="Garamond" w:eastAsia="SimSun" w:hAnsi="Garamond" w:cs="Calibri Light"/>
          <w:sz w:val="24"/>
          <w:szCs w:val="24"/>
          <w:lang w:eastAsia="en-US" w:bidi="sq-AL"/>
        </w:rPr>
        <w:fldChar w:fldCharType="separate"/>
      </w:r>
      <w:r w:rsidRPr="00622884">
        <w:rPr>
          <w:rFonts w:ascii="Garamond" w:eastAsia="SimSun" w:hAnsi="Garamond" w:cs="Calibri Light"/>
          <w:sz w:val="24"/>
          <w:szCs w:val="24"/>
          <w:lang w:eastAsia="en-US" w:bidi="sq-AL"/>
        </w:rPr>
        <w:t>Tabela 19</w:t>
      </w:r>
      <w:r w:rsidRPr="00622884">
        <w:rPr>
          <w:rFonts w:ascii="Garamond" w:eastAsia="SimSun" w:hAnsi="Garamond" w:cs="Calibri Light"/>
          <w:sz w:val="24"/>
          <w:szCs w:val="24"/>
          <w:lang w:eastAsia="en-US" w:bidi="sq-AL"/>
        </w:rPr>
        <w:fldChar w:fldCharType="end"/>
      </w:r>
      <w:r w:rsidRPr="00622884">
        <w:rPr>
          <w:rFonts w:ascii="Garamond" w:eastAsia="SimSun" w:hAnsi="Garamond" w:cs="Calibri Light"/>
          <w:sz w:val="24"/>
          <w:szCs w:val="24"/>
          <w:lang w:eastAsia="en-US" w:bidi="sq-AL"/>
        </w:rPr>
        <w:t xml:space="preserve"> më poshtë përmbledh nevojat për investime në përshtatje sipas sektorit, fondet e përgjithshme të angazhuara ose të alokuara tashmë nga fondet publike (2025–2027), si dhe fondet nga burimet ndërkombëtare. Gjithashtu, ai thekson mangësitë e mbetura të financimit që duhen adresuar.</w:t>
      </w:r>
    </w:p>
    <w:p w14:paraId="45A7B6B8" w14:textId="77777777" w:rsidR="00622884" w:rsidRPr="00622884" w:rsidRDefault="00622884" w:rsidP="00622884">
      <w:pPr>
        <w:spacing w:after="0" w:line="240" w:lineRule="auto"/>
        <w:ind w:firstLine="284"/>
        <w:rPr>
          <w:rFonts w:ascii="Garamond" w:eastAsia="Aptos" w:hAnsi="Garamond" w:cs="Arial"/>
          <w:iCs/>
          <w:sz w:val="2"/>
          <w:szCs w:val="24"/>
          <w:lang w:eastAsia="en-US" w:bidi="sq-AL"/>
        </w:rPr>
      </w:pPr>
      <w:bookmarkStart w:id="301" w:name="_Ref210994153"/>
      <w:bookmarkStart w:id="302" w:name="_Toc213936120"/>
    </w:p>
    <w:bookmarkEnd w:id="301"/>
    <w:p w14:paraId="4E1980A4" w14:textId="77777777" w:rsidR="00622884" w:rsidRPr="00622884" w:rsidRDefault="00622884" w:rsidP="00622884">
      <w:pPr>
        <w:spacing w:after="0" w:line="240" w:lineRule="auto"/>
        <w:ind w:firstLine="284"/>
        <w:rPr>
          <w:rFonts w:ascii="Garamond" w:eastAsia="Aptos" w:hAnsi="Garamond" w:cs="Arial"/>
          <w:b/>
          <w:i/>
          <w:iCs/>
          <w:sz w:val="24"/>
          <w:szCs w:val="24"/>
          <w:lang w:eastAsia="en-US"/>
        </w:rPr>
      </w:pPr>
      <w:r w:rsidRPr="00622884">
        <w:rPr>
          <w:rFonts w:ascii="Garamond" w:eastAsia="Aptos" w:hAnsi="Garamond" w:cs="Arial"/>
          <w:b/>
          <w:iCs/>
          <w:sz w:val="24"/>
          <w:szCs w:val="24"/>
          <w:lang w:eastAsia="en-US" w:bidi="sq-AL"/>
        </w:rPr>
        <w:t>Tabela 19: Nevojat e parashikuara për financim për përshtatje, financimi aktual dhe boshllëqet sipas sektorit</w:t>
      </w:r>
      <w:r w:rsidRPr="00622884">
        <w:rPr>
          <w:rFonts w:ascii="Garamond" w:eastAsia="Aptos" w:hAnsi="Garamond" w:cs="Arial"/>
          <w:b/>
          <w:i/>
          <w:iCs/>
          <w:sz w:val="24"/>
          <w:szCs w:val="24"/>
          <w:vertAlign w:val="superscript"/>
          <w:lang w:eastAsia="en-US" w:bidi="sq-AL"/>
        </w:rPr>
        <w:footnoteReference w:id="222"/>
      </w:r>
      <w:r w:rsidRPr="00622884">
        <w:rPr>
          <w:rFonts w:ascii="Garamond" w:eastAsia="Aptos" w:hAnsi="Garamond" w:cs="Arial"/>
          <w:b/>
          <w:i/>
          <w:iCs/>
          <w:sz w:val="24"/>
          <w:szCs w:val="24"/>
          <w:lang w:eastAsia="en-US" w:bidi="sq-AL"/>
        </w:rPr>
        <w:t>.</w:t>
      </w:r>
      <w:bookmarkEnd w:id="302"/>
    </w:p>
    <w:tbl>
      <w:tblPr>
        <w:tblW w:w="10066"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8"/>
        <w:gridCol w:w="1559"/>
        <w:gridCol w:w="1559"/>
        <w:gridCol w:w="1560"/>
        <w:gridCol w:w="1417"/>
        <w:gridCol w:w="1559"/>
        <w:gridCol w:w="994"/>
      </w:tblGrid>
      <w:tr w:rsidR="00622884" w:rsidRPr="00622884" w14:paraId="40555B93" w14:textId="77777777" w:rsidTr="00622884">
        <w:trPr>
          <w:trHeight w:val="692"/>
        </w:trPr>
        <w:tc>
          <w:tcPr>
            <w:tcW w:w="1418" w:type="dxa"/>
            <w:shd w:val="clear" w:color="auto" w:fill="215A5C"/>
            <w:vAlign w:val="center"/>
            <w:hideMark/>
          </w:tcPr>
          <w:p w14:paraId="4368FE93" w14:textId="77777777" w:rsidR="00622884" w:rsidRPr="00622884" w:rsidRDefault="00622884" w:rsidP="00622884">
            <w:pPr>
              <w:spacing w:after="0" w:line="240" w:lineRule="auto"/>
              <w:jc w:val="center"/>
              <w:rPr>
                <w:rFonts w:ascii="Garamond" w:eastAsia="Calibri" w:hAnsi="Garamond" w:cs="Calibri Light"/>
                <w:b/>
                <w:bCs/>
                <w:sz w:val="12"/>
                <w:szCs w:val="12"/>
                <w:lang w:eastAsia="en-US"/>
              </w:rPr>
            </w:pPr>
            <w:r w:rsidRPr="00622884">
              <w:rPr>
                <w:rFonts w:ascii="Garamond" w:eastAsia="Calibri" w:hAnsi="Garamond" w:cs="Times New Roman"/>
                <w:b/>
                <w:sz w:val="12"/>
                <w:szCs w:val="12"/>
                <w:lang w:eastAsia="en-US" w:bidi="sq-AL"/>
              </w:rPr>
              <w:t>Sektori</w:t>
            </w:r>
          </w:p>
        </w:tc>
        <w:tc>
          <w:tcPr>
            <w:tcW w:w="1559" w:type="dxa"/>
            <w:shd w:val="clear" w:color="auto" w:fill="215A5C"/>
            <w:vAlign w:val="center"/>
            <w:hideMark/>
          </w:tcPr>
          <w:p w14:paraId="2DFB35EE" w14:textId="77777777" w:rsidR="00622884" w:rsidRPr="00622884" w:rsidRDefault="00622884" w:rsidP="00622884">
            <w:pPr>
              <w:spacing w:after="0" w:line="240" w:lineRule="auto"/>
              <w:jc w:val="center"/>
              <w:rPr>
                <w:rFonts w:ascii="Garamond" w:eastAsia="Calibri" w:hAnsi="Garamond" w:cs="Calibri Light"/>
                <w:b/>
                <w:bCs/>
                <w:sz w:val="12"/>
                <w:szCs w:val="12"/>
                <w:lang w:eastAsia="en-US"/>
              </w:rPr>
            </w:pPr>
            <w:r w:rsidRPr="00622884">
              <w:rPr>
                <w:rFonts w:ascii="Garamond" w:eastAsia="Calibri" w:hAnsi="Garamond" w:cs="Times New Roman"/>
                <w:b/>
                <w:sz w:val="12"/>
                <w:szCs w:val="12"/>
                <w:lang w:eastAsia="en-US" w:bidi="sq-AL"/>
              </w:rPr>
              <w:t>Kostoja e përllogaritur (dollarë amerikanë)</w:t>
            </w:r>
          </w:p>
        </w:tc>
        <w:tc>
          <w:tcPr>
            <w:tcW w:w="1559" w:type="dxa"/>
            <w:shd w:val="clear" w:color="auto" w:fill="215A5C"/>
            <w:vAlign w:val="center"/>
          </w:tcPr>
          <w:p w14:paraId="1950ADDA" w14:textId="77777777" w:rsidR="00622884" w:rsidRPr="00622884" w:rsidRDefault="00622884" w:rsidP="00622884">
            <w:pPr>
              <w:spacing w:after="0" w:line="240" w:lineRule="auto"/>
              <w:jc w:val="center"/>
              <w:rPr>
                <w:rFonts w:ascii="Garamond" w:eastAsia="Calibri" w:hAnsi="Garamond" w:cs="Calibri Light"/>
                <w:b/>
                <w:bCs/>
                <w:sz w:val="12"/>
                <w:szCs w:val="12"/>
                <w:lang w:eastAsia="en-US"/>
              </w:rPr>
            </w:pPr>
            <w:r w:rsidRPr="00622884">
              <w:rPr>
                <w:rFonts w:ascii="Garamond" w:eastAsia="Calibri" w:hAnsi="Garamond" w:cs="Times New Roman"/>
                <w:b/>
                <w:sz w:val="12"/>
                <w:szCs w:val="12"/>
                <w:lang w:eastAsia="en-US" w:bidi="sq-AL"/>
              </w:rPr>
              <w:t>Fondet publike kombëtare të angazhuara</w:t>
            </w:r>
            <w:r w:rsidRPr="00622884">
              <w:rPr>
                <w:rFonts w:ascii="Garamond" w:eastAsia="Calibri" w:hAnsi="Garamond" w:cs="Times New Roman"/>
                <w:b/>
                <w:sz w:val="12"/>
                <w:szCs w:val="12"/>
                <w:vertAlign w:val="superscript"/>
                <w:lang w:eastAsia="en-US" w:bidi="sq-AL"/>
              </w:rPr>
              <w:footnoteReference w:id="223"/>
            </w:r>
          </w:p>
        </w:tc>
        <w:tc>
          <w:tcPr>
            <w:tcW w:w="1560" w:type="dxa"/>
            <w:shd w:val="clear" w:color="auto" w:fill="215A5C"/>
            <w:vAlign w:val="center"/>
          </w:tcPr>
          <w:p w14:paraId="472A3520" w14:textId="77777777" w:rsidR="00622884" w:rsidRPr="00622884" w:rsidRDefault="00622884" w:rsidP="00622884">
            <w:pPr>
              <w:spacing w:after="0" w:line="240" w:lineRule="auto"/>
              <w:jc w:val="center"/>
              <w:rPr>
                <w:rFonts w:ascii="Garamond" w:eastAsia="Calibri" w:hAnsi="Garamond" w:cs="Calibri Light"/>
                <w:b/>
                <w:bCs/>
                <w:sz w:val="12"/>
                <w:szCs w:val="12"/>
                <w:lang w:eastAsia="en-US"/>
              </w:rPr>
            </w:pPr>
            <w:r w:rsidRPr="00622884">
              <w:rPr>
                <w:rFonts w:ascii="Garamond" w:eastAsia="Calibri" w:hAnsi="Garamond" w:cs="Times New Roman"/>
                <w:b/>
                <w:sz w:val="12"/>
                <w:szCs w:val="12"/>
                <w:lang w:eastAsia="en-US" w:bidi="sq-AL"/>
              </w:rPr>
              <w:t>Fondet ndërkombëtare</w:t>
            </w:r>
            <w:r w:rsidRPr="00622884">
              <w:rPr>
                <w:rFonts w:ascii="Garamond" w:eastAsia="Calibri" w:hAnsi="Garamond" w:cs="Times New Roman"/>
                <w:b/>
                <w:sz w:val="12"/>
                <w:szCs w:val="12"/>
                <w:vertAlign w:val="superscript"/>
                <w:lang w:eastAsia="en-US" w:bidi="sq-AL"/>
              </w:rPr>
              <w:footnoteReference w:id="224"/>
            </w:r>
          </w:p>
        </w:tc>
        <w:tc>
          <w:tcPr>
            <w:tcW w:w="1417" w:type="dxa"/>
            <w:shd w:val="clear" w:color="auto" w:fill="215A5C"/>
            <w:vAlign w:val="center"/>
          </w:tcPr>
          <w:p w14:paraId="3944D78E" w14:textId="77777777" w:rsidR="00622884" w:rsidRPr="00622884" w:rsidRDefault="00622884" w:rsidP="00622884">
            <w:pPr>
              <w:spacing w:after="0" w:line="240" w:lineRule="auto"/>
              <w:jc w:val="center"/>
              <w:rPr>
                <w:rFonts w:ascii="Garamond" w:eastAsia="Calibri" w:hAnsi="Garamond" w:cs="Calibri Light"/>
                <w:b/>
                <w:bCs/>
                <w:sz w:val="12"/>
                <w:szCs w:val="12"/>
                <w:lang w:eastAsia="en-US"/>
              </w:rPr>
            </w:pPr>
            <w:r w:rsidRPr="00622884">
              <w:rPr>
                <w:rFonts w:ascii="Garamond" w:eastAsia="Calibri" w:hAnsi="Garamond" w:cs="Times New Roman"/>
                <w:b/>
                <w:sz w:val="12"/>
                <w:szCs w:val="12"/>
                <w:lang w:eastAsia="en-US" w:bidi="sq-AL"/>
              </w:rPr>
              <w:t>Fondet aktuale të angazhuara</w:t>
            </w:r>
          </w:p>
        </w:tc>
        <w:tc>
          <w:tcPr>
            <w:tcW w:w="1559" w:type="dxa"/>
            <w:shd w:val="clear" w:color="auto" w:fill="215A5C"/>
            <w:vAlign w:val="center"/>
            <w:hideMark/>
          </w:tcPr>
          <w:p w14:paraId="210E2EA4" w14:textId="77777777" w:rsidR="00622884" w:rsidRPr="00622884" w:rsidRDefault="00622884" w:rsidP="00622884">
            <w:pPr>
              <w:spacing w:after="0" w:line="240" w:lineRule="auto"/>
              <w:jc w:val="center"/>
              <w:rPr>
                <w:rFonts w:ascii="Garamond" w:eastAsia="Calibri" w:hAnsi="Garamond" w:cs="Calibri Light"/>
                <w:b/>
                <w:bCs/>
                <w:sz w:val="12"/>
                <w:szCs w:val="12"/>
                <w:lang w:eastAsia="en-US"/>
              </w:rPr>
            </w:pPr>
            <w:r w:rsidRPr="00622884">
              <w:rPr>
                <w:rFonts w:ascii="Garamond" w:eastAsia="Calibri" w:hAnsi="Garamond" w:cs="Times New Roman"/>
                <w:b/>
                <w:sz w:val="12"/>
                <w:szCs w:val="12"/>
                <w:lang w:eastAsia="en-US" w:bidi="sq-AL"/>
              </w:rPr>
              <w:t>Hendeku gjatë periudhës totale në dollarë amerikanë</w:t>
            </w:r>
          </w:p>
        </w:tc>
        <w:tc>
          <w:tcPr>
            <w:tcW w:w="994" w:type="dxa"/>
            <w:shd w:val="clear" w:color="auto" w:fill="215A5C"/>
            <w:vAlign w:val="center"/>
            <w:hideMark/>
          </w:tcPr>
          <w:p w14:paraId="38200B11" w14:textId="77777777" w:rsidR="00622884" w:rsidRPr="00622884" w:rsidRDefault="00622884" w:rsidP="00622884">
            <w:pPr>
              <w:spacing w:after="0" w:line="240" w:lineRule="auto"/>
              <w:jc w:val="center"/>
              <w:rPr>
                <w:rFonts w:ascii="Garamond" w:eastAsia="Calibri" w:hAnsi="Garamond" w:cs="Calibri Light"/>
                <w:b/>
                <w:bCs/>
                <w:sz w:val="12"/>
                <w:szCs w:val="12"/>
                <w:lang w:eastAsia="en-US"/>
              </w:rPr>
            </w:pPr>
            <w:r w:rsidRPr="00622884">
              <w:rPr>
                <w:rFonts w:ascii="Garamond" w:eastAsia="Calibri" w:hAnsi="Garamond" w:cs="Times New Roman"/>
                <w:b/>
                <w:sz w:val="12"/>
                <w:szCs w:val="12"/>
                <w:lang w:eastAsia="en-US" w:bidi="sq-AL"/>
              </w:rPr>
              <w:t>% e hendekut gjatë periudhës totale</w:t>
            </w:r>
          </w:p>
        </w:tc>
      </w:tr>
      <w:tr w:rsidR="00622884" w:rsidRPr="00622884" w14:paraId="0DA59191" w14:textId="77777777" w:rsidTr="00622884">
        <w:trPr>
          <w:trHeight w:val="269"/>
        </w:trPr>
        <w:tc>
          <w:tcPr>
            <w:tcW w:w="1418" w:type="dxa"/>
            <w:vAlign w:val="center"/>
            <w:hideMark/>
          </w:tcPr>
          <w:p w14:paraId="25A6EC6C" w14:textId="77777777" w:rsidR="00622884" w:rsidRPr="00622884" w:rsidRDefault="00622884" w:rsidP="00622884">
            <w:pPr>
              <w:spacing w:after="0" w:line="240" w:lineRule="auto"/>
              <w:jc w:val="left"/>
              <w:rPr>
                <w:rFonts w:ascii="Garamond" w:eastAsia="Calibri" w:hAnsi="Garamond" w:cs="Calibri Light"/>
                <w:b/>
                <w:bCs/>
                <w:sz w:val="12"/>
                <w:szCs w:val="12"/>
                <w:lang w:eastAsia="en-US"/>
              </w:rPr>
            </w:pPr>
            <w:r w:rsidRPr="00622884">
              <w:rPr>
                <w:rFonts w:ascii="Garamond" w:eastAsia="Calibri" w:hAnsi="Garamond" w:cs="Times New Roman"/>
                <w:b/>
                <w:sz w:val="12"/>
                <w:szCs w:val="12"/>
                <w:lang w:eastAsia="en-US" w:bidi="sq-AL"/>
              </w:rPr>
              <w:t>Bujqësia</w:t>
            </w:r>
          </w:p>
        </w:tc>
        <w:tc>
          <w:tcPr>
            <w:tcW w:w="1559" w:type="dxa"/>
            <w:vAlign w:val="center"/>
            <w:hideMark/>
          </w:tcPr>
          <w:p w14:paraId="0FC8B2CB" w14:textId="77777777" w:rsidR="00622884" w:rsidRPr="00622884" w:rsidRDefault="00622884" w:rsidP="00622884">
            <w:pPr>
              <w:spacing w:after="0" w:line="240" w:lineRule="auto"/>
              <w:jc w:val="center"/>
              <w:rPr>
                <w:rFonts w:ascii="Garamond" w:eastAsia="Calibri" w:hAnsi="Garamond" w:cs="Calibri Light"/>
                <w:sz w:val="12"/>
                <w:szCs w:val="12"/>
                <w:lang w:eastAsia="en-US"/>
              </w:rPr>
            </w:pPr>
            <w:r w:rsidRPr="00622884">
              <w:rPr>
                <w:rFonts w:ascii="Garamond" w:eastAsia="Calibri" w:hAnsi="Garamond" w:cs="Times New Roman"/>
                <w:sz w:val="12"/>
                <w:szCs w:val="12"/>
                <w:lang w:eastAsia="en-US" w:bidi="sq-AL"/>
              </w:rPr>
              <w:t>678.114.861</w:t>
            </w:r>
          </w:p>
        </w:tc>
        <w:tc>
          <w:tcPr>
            <w:tcW w:w="1559" w:type="dxa"/>
            <w:vAlign w:val="center"/>
          </w:tcPr>
          <w:p w14:paraId="217FDB22" w14:textId="77777777" w:rsidR="00622884" w:rsidRPr="00622884" w:rsidRDefault="00622884" w:rsidP="00622884">
            <w:pPr>
              <w:spacing w:after="0" w:line="240" w:lineRule="auto"/>
              <w:jc w:val="center"/>
              <w:rPr>
                <w:rFonts w:ascii="Garamond" w:eastAsia="Calibri" w:hAnsi="Garamond" w:cs="Calibri Light"/>
                <w:sz w:val="12"/>
                <w:szCs w:val="12"/>
                <w:lang w:eastAsia="en-US"/>
              </w:rPr>
            </w:pPr>
            <w:r w:rsidRPr="00622884">
              <w:rPr>
                <w:rFonts w:ascii="Garamond" w:eastAsia="Calibri" w:hAnsi="Garamond" w:cs="Times New Roman"/>
                <w:sz w:val="12"/>
                <w:szCs w:val="12"/>
                <w:lang w:eastAsia="en-US" w:bidi="sq-AL"/>
              </w:rPr>
              <w:t>~80 milionë dollarë amerikanë</w:t>
            </w:r>
          </w:p>
        </w:tc>
        <w:tc>
          <w:tcPr>
            <w:tcW w:w="1560" w:type="dxa"/>
            <w:vAlign w:val="center"/>
          </w:tcPr>
          <w:p w14:paraId="41066278" w14:textId="77777777" w:rsidR="00622884" w:rsidRPr="00622884" w:rsidRDefault="00622884" w:rsidP="00622884">
            <w:pPr>
              <w:spacing w:after="0" w:line="240" w:lineRule="auto"/>
              <w:jc w:val="center"/>
              <w:rPr>
                <w:rFonts w:ascii="Garamond" w:eastAsia="Calibri" w:hAnsi="Garamond" w:cs="Calibri Light"/>
                <w:sz w:val="12"/>
                <w:szCs w:val="12"/>
                <w:lang w:eastAsia="en-US"/>
              </w:rPr>
            </w:pPr>
            <w:r w:rsidRPr="00622884">
              <w:rPr>
                <w:rFonts w:ascii="Garamond" w:eastAsia="Calibri" w:hAnsi="Garamond" w:cs="Times New Roman"/>
                <w:sz w:val="12"/>
                <w:szCs w:val="12"/>
                <w:lang w:eastAsia="en-US" w:bidi="sq-AL"/>
              </w:rPr>
              <w:t>~68 milionë dollarë amerikanë</w:t>
            </w:r>
          </w:p>
        </w:tc>
        <w:tc>
          <w:tcPr>
            <w:tcW w:w="1417" w:type="dxa"/>
            <w:vAlign w:val="center"/>
          </w:tcPr>
          <w:p w14:paraId="2CFC7B7F" w14:textId="77777777" w:rsidR="00622884" w:rsidRPr="00622884" w:rsidRDefault="00622884" w:rsidP="00622884">
            <w:pPr>
              <w:spacing w:after="0" w:line="240" w:lineRule="auto"/>
              <w:jc w:val="center"/>
              <w:rPr>
                <w:rFonts w:ascii="Garamond" w:eastAsia="Calibri" w:hAnsi="Garamond" w:cs="Calibri Light"/>
                <w:sz w:val="12"/>
                <w:szCs w:val="12"/>
                <w:lang w:eastAsia="en-US"/>
              </w:rPr>
            </w:pPr>
            <w:r w:rsidRPr="00622884">
              <w:rPr>
                <w:rFonts w:ascii="Garamond" w:eastAsia="Calibri" w:hAnsi="Garamond" w:cs="Times New Roman"/>
                <w:sz w:val="12"/>
                <w:szCs w:val="12"/>
                <w:lang w:eastAsia="en-US" w:bidi="sq-AL"/>
              </w:rPr>
              <w:t>~148 milionë</w:t>
            </w:r>
          </w:p>
        </w:tc>
        <w:tc>
          <w:tcPr>
            <w:tcW w:w="1559" w:type="dxa"/>
            <w:shd w:val="clear" w:color="auto" w:fill="C7EAEB"/>
            <w:vAlign w:val="center"/>
            <w:hideMark/>
          </w:tcPr>
          <w:p w14:paraId="6D1A922C" w14:textId="77777777" w:rsidR="00622884" w:rsidRPr="00622884" w:rsidRDefault="00622884" w:rsidP="00622884">
            <w:pPr>
              <w:spacing w:after="0" w:line="240" w:lineRule="auto"/>
              <w:jc w:val="center"/>
              <w:rPr>
                <w:rFonts w:ascii="Garamond" w:eastAsia="Calibri" w:hAnsi="Garamond" w:cs="Calibri Light"/>
                <w:sz w:val="12"/>
                <w:szCs w:val="12"/>
                <w:lang w:eastAsia="en-US"/>
              </w:rPr>
            </w:pPr>
            <w:r w:rsidRPr="00622884">
              <w:rPr>
                <w:rFonts w:ascii="Garamond" w:eastAsia="Calibri" w:hAnsi="Garamond" w:cs="Times New Roman"/>
                <w:sz w:val="12"/>
                <w:szCs w:val="12"/>
                <w:lang w:eastAsia="en-US" w:bidi="sq-AL"/>
              </w:rPr>
              <w:t>529 milionë</w:t>
            </w:r>
          </w:p>
        </w:tc>
        <w:tc>
          <w:tcPr>
            <w:tcW w:w="994" w:type="dxa"/>
            <w:shd w:val="clear" w:color="auto" w:fill="C7EAEB"/>
            <w:vAlign w:val="center"/>
            <w:hideMark/>
          </w:tcPr>
          <w:p w14:paraId="2F66966D" w14:textId="77777777" w:rsidR="00622884" w:rsidRPr="00622884" w:rsidRDefault="00622884" w:rsidP="00622884">
            <w:pPr>
              <w:spacing w:after="0" w:line="240" w:lineRule="auto"/>
              <w:jc w:val="center"/>
              <w:rPr>
                <w:rFonts w:ascii="Garamond" w:eastAsia="Calibri" w:hAnsi="Garamond" w:cs="Calibri Light"/>
                <w:sz w:val="12"/>
                <w:szCs w:val="12"/>
                <w:lang w:eastAsia="en-US"/>
              </w:rPr>
            </w:pPr>
            <w:r w:rsidRPr="00622884">
              <w:rPr>
                <w:rFonts w:ascii="Garamond" w:eastAsia="Calibri" w:hAnsi="Garamond" w:cs="Times New Roman"/>
                <w:sz w:val="12"/>
                <w:szCs w:val="12"/>
                <w:lang w:eastAsia="en-US" w:bidi="sq-AL"/>
              </w:rPr>
              <w:t>78</w:t>
            </w:r>
          </w:p>
        </w:tc>
      </w:tr>
      <w:tr w:rsidR="00622884" w:rsidRPr="00622884" w14:paraId="45D1BB46" w14:textId="77777777" w:rsidTr="00622884">
        <w:trPr>
          <w:trHeight w:val="20"/>
        </w:trPr>
        <w:tc>
          <w:tcPr>
            <w:tcW w:w="1418" w:type="dxa"/>
            <w:vAlign w:val="center"/>
            <w:hideMark/>
          </w:tcPr>
          <w:p w14:paraId="23CE2378" w14:textId="77777777" w:rsidR="00622884" w:rsidRPr="00622884" w:rsidRDefault="00622884" w:rsidP="00622884">
            <w:pPr>
              <w:spacing w:after="0" w:line="240" w:lineRule="auto"/>
              <w:jc w:val="left"/>
              <w:rPr>
                <w:rFonts w:ascii="Garamond" w:eastAsia="Calibri" w:hAnsi="Garamond" w:cs="Calibri Light"/>
                <w:b/>
                <w:bCs/>
                <w:sz w:val="12"/>
                <w:szCs w:val="12"/>
                <w:lang w:eastAsia="en-US"/>
              </w:rPr>
            </w:pPr>
            <w:r w:rsidRPr="00622884">
              <w:rPr>
                <w:rFonts w:ascii="Garamond" w:eastAsia="Calibri" w:hAnsi="Garamond" w:cs="Times New Roman"/>
                <w:b/>
                <w:sz w:val="12"/>
                <w:szCs w:val="12"/>
                <w:lang w:eastAsia="en-US" w:bidi="sq-AL"/>
              </w:rPr>
              <w:t>Pylltari</w:t>
            </w:r>
          </w:p>
        </w:tc>
        <w:tc>
          <w:tcPr>
            <w:tcW w:w="1559" w:type="dxa"/>
            <w:vAlign w:val="center"/>
            <w:hideMark/>
          </w:tcPr>
          <w:p w14:paraId="36338A7C" w14:textId="77777777" w:rsidR="00622884" w:rsidRPr="00622884" w:rsidRDefault="00622884" w:rsidP="00622884">
            <w:pPr>
              <w:spacing w:after="0" w:line="240" w:lineRule="auto"/>
              <w:jc w:val="center"/>
              <w:rPr>
                <w:rFonts w:ascii="Garamond" w:eastAsia="Calibri" w:hAnsi="Garamond" w:cs="Calibri Light"/>
                <w:sz w:val="12"/>
                <w:szCs w:val="12"/>
                <w:lang w:eastAsia="en-US"/>
              </w:rPr>
            </w:pPr>
            <w:r w:rsidRPr="00622884">
              <w:rPr>
                <w:rFonts w:ascii="Garamond" w:eastAsia="Calibri" w:hAnsi="Garamond" w:cs="Times New Roman"/>
                <w:sz w:val="12"/>
                <w:szCs w:val="12"/>
                <w:lang w:eastAsia="en-US" w:bidi="sq-AL"/>
              </w:rPr>
              <w:t>2.134.799.556</w:t>
            </w:r>
          </w:p>
        </w:tc>
        <w:tc>
          <w:tcPr>
            <w:tcW w:w="1559" w:type="dxa"/>
            <w:vAlign w:val="center"/>
          </w:tcPr>
          <w:p w14:paraId="7254935B" w14:textId="77777777" w:rsidR="00622884" w:rsidRPr="00622884" w:rsidRDefault="00622884" w:rsidP="00622884">
            <w:pPr>
              <w:spacing w:after="0" w:line="240" w:lineRule="auto"/>
              <w:jc w:val="center"/>
              <w:rPr>
                <w:rFonts w:ascii="Garamond" w:eastAsia="Calibri" w:hAnsi="Garamond" w:cs="Calibri Light"/>
                <w:sz w:val="12"/>
                <w:szCs w:val="12"/>
                <w:lang w:eastAsia="en-US"/>
              </w:rPr>
            </w:pPr>
            <w:r w:rsidRPr="00622884">
              <w:rPr>
                <w:rFonts w:ascii="Garamond" w:eastAsia="Calibri" w:hAnsi="Garamond" w:cs="Times New Roman"/>
                <w:sz w:val="12"/>
                <w:szCs w:val="12"/>
                <w:lang w:eastAsia="en-US" w:bidi="sq-AL"/>
              </w:rPr>
              <w:t>~193 milionë dollarë amerikanë</w:t>
            </w:r>
          </w:p>
        </w:tc>
        <w:tc>
          <w:tcPr>
            <w:tcW w:w="1560" w:type="dxa"/>
            <w:vAlign w:val="center"/>
          </w:tcPr>
          <w:p w14:paraId="31A601DF" w14:textId="77777777" w:rsidR="00622884" w:rsidRPr="00622884" w:rsidRDefault="00622884" w:rsidP="00622884">
            <w:pPr>
              <w:spacing w:after="0" w:line="240" w:lineRule="auto"/>
              <w:jc w:val="center"/>
              <w:rPr>
                <w:rFonts w:ascii="Garamond" w:eastAsia="Calibri" w:hAnsi="Garamond" w:cs="Calibri Light"/>
                <w:sz w:val="12"/>
                <w:szCs w:val="12"/>
                <w:lang w:eastAsia="en-US"/>
              </w:rPr>
            </w:pPr>
            <w:r w:rsidRPr="00622884">
              <w:rPr>
                <w:rFonts w:ascii="Garamond" w:eastAsia="Calibri" w:hAnsi="Garamond" w:cs="Times New Roman"/>
                <w:sz w:val="12"/>
                <w:szCs w:val="12"/>
                <w:lang w:eastAsia="en-US" w:bidi="sq-AL"/>
              </w:rPr>
              <w:t>~7 milionë dollarë amerikanë</w:t>
            </w:r>
          </w:p>
        </w:tc>
        <w:tc>
          <w:tcPr>
            <w:tcW w:w="1417" w:type="dxa"/>
            <w:vAlign w:val="center"/>
          </w:tcPr>
          <w:p w14:paraId="48A28C92" w14:textId="77777777" w:rsidR="00622884" w:rsidRPr="00622884" w:rsidRDefault="00622884" w:rsidP="00622884">
            <w:pPr>
              <w:spacing w:after="0" w:line="240" w:lineRule="auto"/>
              <w:jc w:val="center"/>
              <w:rPr>
                <w:rFonts w:ascii="Garamond" w:eastAsia="Calibri" w:hAnsi="Garamond" w:cs="Calibri Light"/>
                <w:sz w:val="12"/>
                <w:szCs w:val="12"/>
                <w:lang w:eastAsia="en-US"/>
              </w:rPr>
            </w:pPr>
            <w:r w:rsidRPr="00622884">
              <w:rPr>
                <w:rFonts w:ascii="Garamond" w:eastAsia="Calibri" w:hAnsi="Garamond" w:cs="Times New Roman"/>
                <w:sz w:val="12"/>
                <w:szCs w:val="12"/>
                <w:lang w:eastAsia="en-US" w:bidi="sq-AL"/>
              </w:rPr>
              <w:t>~200 milionë</w:t>
            </w:r>
          </w:p>
        </w:tc>
        <w:tc>
          <w:tcPr>
            <w:tcW w:w="1559" w:type="dxa"/>
            <w:shd w:val="clear" w:color="auto" w:fill="C7EAEB"/>
            <w:vAlign w:val="center"/>
            <w:hideMark/>
          </w:tcPr>
          <w:p w14:paraId="1EF79E99" w14:textId="77777777" w:rsidR="00622884" w:rsidRPr="00622884" w:rsidRDefault="00622884" w:rsidP="00622884">
            <w:pPr>
              <w:spacing w:after="0" w:line="240" w:lineRule="auto"/>
              <w:jc w:val="center"/>
              <w:rPr>
                <w:rFonts w:ascii="Garamond" w:eastAsia="Calibri" w:hAnsi="Garamond" w:cs="Calibri Light"/>
                <w:sz w:val="12"/>
                <w:szCs w:val="12"/>
                <w:lang w:eastAsia="en-US"/>
              </w:rPr>
            </w:pPr>
            <w:r w:rsidRPr="00622884">
              <w:rPr>
                <w:rFonts w:ascii="Garamond" w:eastAsia="Calibri" w:hAnsi="Garamond" w:cs="Times New Roman"/>
                <w:sz w:val="12"/>
                <w:szCs w:val="12"/>
                <w:lang w:eastAsia="en-US" w:bidi="sq-AL"/>
              </w:rPr>
              <w:t>1.933 milionë</w:t>
            </w:r>
          </w:p>
        </w:tc>
        <w:tc>
          <w:tcPr>
            <w:tcW w:w="994" w:type="dxa"/>
            <w:shd w:val="clear" w:color="auto" w:fill="C7EAEB"/>
            <w:vAlign w:val="center"/>
            <w:hideMark/>
          </w:tcPr>
          <w:p w14:paraId="1C8C1A18" w14:textId="77777777" w:rsidR="00622884" w:rsidRPr="00622884" w:rsidRDefault="00622884" w:rsidP="00622884">
            <w:pPr>
              <w:spacing w:after="0" w:line="240" w:lineRule="auto"/>
              <w:jc w:val="center"/>
              <w:rPr>
                <w:rFonts w:ascii="Garamond" w:eastAsia="Calibri" w:hAnsi="Garamond" w:cs="Calibri Light"/>
                <w:sz w:val="12"/>
                <w:szCs w:val="12"/>
                <w:lang w:eastAsia="en-US"/>
              </w:rPr>
            </w:pPr>
            <w:r w:rsidRPr="00622884">
              <w:rPr>
                <w:rFonts w:ascii="Garamond" w:eastAsia="Calibri" w:hAnsi="Garamond" w:cs="Times New Roman"/>
                <w:sz w:val="12"/>
                <w:szCs w:val="12"/>
                <w:lang w:eastAsia="en-US" w:bidi="sq-AL"/>
              </w:rPr>
              <w:t>91</w:t>
            </w:r>
          </w:p>
        </w:tc>
      </w:tr>
      <w:tr w:rsidR="00622884" w:rsidRPr="00622884" w14:paraId="46AE4F7F" w14:textId="77777777" w:rsidTr="00622884">
        <w:trPr>
          <w:trHeight w:val="20"/>
        </w:trPr>
        <w:tc>
          <w:tcPr>
            <w:tcW w:w="1418" w:type="dxa"/>
            <w:vAlign w:val="center"/>
            <w:hideMark/>
          </w:tcPr>
          <w:p w14:paraId="1A0A3AE2" w14:textId="77777777" w:rsidR="00622884" w:rsidRPr="00622884" w:rsidRDefault="00622884" w:rsidP="00622884">
            <w:pPr>
              <w:spacing w:after="0" w:line="240" w:lineRule="auto"/>
              <w:jc w:val="left"/>
              <w:rPr>
                <w:rFonts w:ascii="Garamond" w:eastAsia="Calibri" w:hAnsi="Garamond" w:cs="Calibri Light"/>
                <w:b/>
                <w:bCs/>
                <w:sz w:val="12"/>
                <w:szCs w:val="12"/>
                <w:lang w:eastAsia="en-US"/>
              </w:rPr>
            </w:pPr>
            <w:r w:rsidRPr="00622884">
              <w:rPr>
                <w:rFonts w:ascii="Garamond" w:eastAsia="Calibri" w:hAnsi="Garamond" w:cs="Times New Roman"/>
                <w:b/>
                <w:sz w:val="12"/>
                <w:szCs w:val="12"/>
                <w:lang w:eastAsia="en-US" w:bidi="sq-AL"/>
              </w:rPr>
              <w:t>Zhvillimi urban</w:t>
            </w:r>
          </w:p>
        </w:tc>
        <w:tc>
          <w:tcPr>
            <w:tcW w:w="1559" w:type="dxa"/>
            <w:vAlign w:val="center"/>
            <w:hideMark/>
          </w:tcPr>
          <w:p w14:paraId="1581AA66" w14:textId="77777777" w:rsidR="00622884" w:rsidRPr="00622884" w:rsidRDefault="00622884" w:rsidP="00622884">
            <w:pPr>
              <w:spacing w:after="0" w:line="240" w:lineRule="auto"/>
              <w:jc w:val="center"/>
              <w:rPr>
                <w:rFonts w:ascii="Garamond" w:eastAsia="Calibri" w:hAnsi="Garamond" w:cs="Calibri Light"/>
                <w:sz w:val="12"/>
                <w:szCs w:val="12"/>
                <w:lang w:eastAsia="en-US"/>
              </w:rPr>
            </w:pPr>
            <w:r w:rsidRPr="00622884">
              <w:rPr>
                <w:rFonts w:ascii="Garamond" w:eastAsia="Calibri" w:hAnsi="Garamond" w:cs="Times New Roman"/>
                <w:sz w:val="12"/>
                <w:szCs w:val="12"/>
                <w:lang w:eastAsia="en-US" w:bidi="sq-AL"/>
              </w:rPr>
              <w:t>2.723.161.544</w:t>
            </w:r>
          </w:p>
        </w:tc>
        <w:tc>
          <w:tcPr>
            <w:tcW w:w="1559" w:type="dxa"/>
            <w:vAlign w:val="center"/>
          </w:tcPr>
          <w:p w14:paraId="2A72CAAC" w14:textId="77777777" w:rsidR="00622884" w:rsidRPr="00622884" w:rsidRDefault="00622884" w:rsidP="00622884">
            <w:pPr>
              <w:spacing w:after="0" w:line="240" w:lineRule="auto"/>
              <w:jc w:val="center"/>
              <w:rPr>
                <w:rFonts w:ascii="Garamond" w:eastAsia="Calibri" w:hAnsi="Garamond" w:cs="Calibri Light"/>
                <w:sz w:val="12"/>
                <w:szCs w:val="12"/>
                <w:lang w:eastAsia="en-US"/>
              </w:rPr>
            </w:pPr>
            <w:r w:rsidRPr="00622884">
              <w:rPr>
                <w:rFonts w:ascii="Garamond" w:eastAsia="Calibri" w:hAnsi="Garamond" w:cs="Times New Roman"/>
                <w:sz w:val="12"/>
                <w:szCs w:val="12"/>
                <w:lang w:eastAsia="en-US" w:bidi="sq-AL"/>
              </w:rPr>
              <w:t>~4 milionë dollarë amerikanë</w:t>
            </w:r>
          </w:p>
        </w:tc>
        <w:tc>
          <w:tcPr>
            <w:tcW w:w="1560" w:type="dxa"/>
            <w:vAlign w:val="center"/>
          </w:tcPr>
          <w:p w14:paraId="10D5E421" w14:textId="77777777" w:rsidR="00622884" w:rsidRPr="00622884" w:rsidRDefault="00622884" w:rsidP="00622884">
            <w:pPr>
              <w:spacing w:after="0" w:line="240" w:lineRule="auto"/>
              <w:jc w:val="center"/>
              <w:rPr>
                <w:rFonts w:ascii="Garamond" w:eastAsia="Calibri" w:hAnsi="Garamond" w:cs="Calibri Light"/>
                <w:sz w:val="12"/>
                <w:szCs w:val="12"/>
                <w:lang w:eastAsia="en-US"/>
              </w:rPr>
            </w:pPr>
            <w:r w:rsidRPr="00622884">
              <w:rPr>
                <w:rFonts w:ascii="Garamond" w:eastAsia="Calibri" w:hAnsi="Garamond" w:cs="Times New Roman"/>
                <w:sz w:val="12"/>
                <w:szCs w:val="12"/>
                <w:lang w:eastAsia="en-US" w:bidi="sq-AL"/>
              </w:rPr>
              <w:t>~23.5 milionë dollarë amerikanë</w:t>
            </w:r>
          </w:p>
        </w:tc>
        <w:tc>
          <w:tcPr>
            <w:tcW w:w="1417" w:type="dxa"/>
            <w:vAlign w:val="center"/>
          </w:tcPr>
          <w:p w14:paraId="789D8FF0" w14:textId="77777777" w:rsidR="00622884" w:rsidRPr="00622884" w:rsidRDefault="00622884" w:rsidP="00622884">
            <w:pPr>
              <w:spacing w:after="0" w:line="240" w:lineRule="auto"/>
              <w:jc w:val="center"/>
              <w:rPr>
                <w:rFonts w:ascii="Garamond" w:eastAsia="Calibri" w:hAnsi="Garamond" w:cs="Calibri Light"/>
                <w:sz w:val="12"/>
                <w:szCs w:val="12"/>
                <w:lang w:eastAsia="en-US"/>
              </w:rPr>
            </w:pPr>
            <w:r w:rsidRPr="00622884">
              <w:rPr>
                <w:rFonts w:ascii="Garamond" w:eastAsia="Calibri" w:hAnsi="Garamond" w:cs="Times New Roman"/>
                <w:sz w:val="12"/>
                <w:szCs w:val="12"/>
                <w:lang w:eastAsia="en-US" w:bidi="sq-AL"/>
              </w:rPr>
              <w:t>~27.5 milionë</w:t>
            </w:r>
          </w:p>
        </w:tc>
        <w:tc>
          <w:tcPr>
            <w:tcW w:w="1559" w:type="dxa"/>
            <w:shd w:val="clear" w:color="auto" w:fill="C7EAEB"/>
            <w:vAlign w:val="center"/>
            <w:hideMark/>
          </w:tcPr>
          <w:p w14:paraId="4FA7F51B" w14:textId="77777777" w:rsidR="00622884" w:rsidRPr="00622884" w:rsidRDefault="00622884" w:rsidP="00622884">
            <w:pPr>
              <w:spacing w:after="0" w:line="240" w:lineRule="auto"/>
              <w:jc w:val="center"/>
              <w:rPr>
                <w:rFonts w:ascii="Garamond" w:eastAsia="Calibri" w:hAnsi="Garamond" w:cs="Calibri Light"/>
                <w:sz w:val="12"/>
                <w:szCs w:val="12"/>
                <w:lang w:eastAsia="en-US"/>
              </w:rPr>
            </w:pPr>
            <w:r w:rsidRPr="00622884">
              <w:rPr>
                <w:rFonts w:ascii="Garamond" w:eastAsia="Calibri" w:hAnsi="Garamond" w:cs="Times New Roman"/>
                <w:sz w:val="12"/>
                <w:szCs w:val="12"/>
                <w:lang w:eastAsia="en-US" w:bidi="sq-AL"/>
              </w:rPr>
              <w:t>2.695 milionë</w:t>
            </w:r>
          </w:p>
        </w:tc>
        <w:tc>
          <w:tcPr>
            <w:tcW w:w="994" w:type="dxa"/>
            <w:shd w:val="clear" w:color="auto" w:fill="C7EAEB"/>
            <w:vAlign w:val="center"/>
            <w:hideMark/>
          </w:tcPr>
          <w:p w14:paraId="7972DDA7" w14:textId="77777777" w:rsidR="00622884" w:rsidRPr="00622884" w:rsidRDefault="00622884" w:rsidP="00622884">
            <w:pPr>
              <w:spacing w:after="0" w:line="240" w:lineRule="auto"/>
              <w:jc w:val="center"/>
              <w:rPr>
                <w:rFonts w:ascii="Garamond" w:eastAsia="Calibri" w:hAnsi="Garamond" w:cs="Calibri Light"/>
                <w:sz w:val="12"/>
                <w:szCs w:val="12"/>
                <w:lang w:eastAsia="en-US"/>
              </w:rPr>
            </w:pPr>
            <w:r w:rsidRPr="00622884">
              <w:rPr>
                <w:rFonts w:ascii="Garamond" w:eastAsia="Calibri" w:hAnsi="Garamond" w:cs="Times New Roman"/>
                <w:sz w:val="12"/>
                <w:szCs w:val="12"/>
                <w:lang w:eastAsia="en-US" w:bidi="sq-AL"/>
              </w:rPr>
              <w:t>99</w:t>
            </w:r>
          </w:p>
        </w:tc>
      </w:tr>
      <w:tr w:rsidR="00622884" w:rsidRPr="00622884" w14:paraId="56E50487" w14:textId="77777777" w:rsidTr="00622884">
        <w:trPr>
          <w:trHeight w:val="20"/>
        </w:trPr>
        <w:tc>
          <w:tcPr>
            <w:tcW w:w="1418" w:type="dxa"/>
            <w:vAlign w:val="center"/>
            <w:hideMark/>
          </w:tcPr>
          <w:p w14:paraId="282C907B" w14:textId="77777777" w:rsidR="00622884" w:rsidRPr="00622884" w:rsidRDefault="00622884" w:rsidP="00622884">
            <w:pPr>
              <w:spacing w:after="0" w:line="240" w:lineRule="auto"/>
              <w:jc w:val="left"/>
              <w:rPr>
                <w:rFonts w:ascii="Garamond" w:eastAsia="Calibri" w:hAnsi="Garamond" w:cs="Calibri Light"/>
                <w:b/>
                <w:bCs/>
                <w:sz w:val="12"/>
                <w:szCs w:val="12"/>
                <w:lang w:eastAsia="en-US"/>
              </w:rPr>
            </w:pPr>
            <w:r w:rsidRPr="00622884">
              <w:rPr>
                <w:rFonts w:ascii="Garamond" w:eastAsia="Calibri" w:hAnsi="Garamond" w:cs="Times New Roman"/>
                <w:b/>
                <w:sz w:val="12"/>
                <w:szCs w:val="12"/>
                <w:lang w:eastAsia="en-US" w:bidi="sq-AL"/>
              </w:rPr>
              <w:t>Turizmi</w:t>
            </w:r>
          </w:p>
        </w:tc>
        <w:tc>
          <w:tcPr>
            <w:tcW w:w="1559" w:type="dxa"/>
            <w:vAlign w:val="center"/>
            <w:hideMark/>
          </w:tcPr>
          <w:p w14:paraId="50AF9440" w14:textId="77777777" w:rsidR="00622884" w:rsidRPr="00622884" w:rsidRDefault="00622884" w:rsidP="00622884">
            <w:pPr>
              <w:spacing w:after="0" w:line="240" w:lineRule="auto"/>
              <w:jc w:val="center"/>
              <w:rPr>
                <w:rFonts w:ascii="Garamond" w:eastAsia="Calibri" w:hAnsi="Garamond" w:cs="Calibri Light"/>
                <w:sz w:val="12"/>
                <w:szCs w:val="12"/>
                <w:lang w:eastAsia="en-US"/>
              </w:rPr>
            </w:pPr>
            <w:r w:rsidRPr="00622884">
              <w:rPr>
                <w:rFonts w:ascii="Garamond" w:eastAsia="Calibri" w:hAnsi="Garamond" w:cs="Times New Roman"/>
                <w:sz w:val="12"/>
                <w:szCs w:val="12"/>
                <w:lang w:eastAsia="en-US" w:bidi="sq-AL"/>
              </w:rPr>
              <w:t>8.491.619</w:t>
            </w:r>
          </w:p>
        </w:tc>
        <w:tc>
          <w:tcPr>
            <w:tcW w:w="1559" w:type="dxa"/>
            <w:vAlign w:val="center"/>
          </w:tcPr>
          <w:p w14:paraId="7AD745B8" w14:textId="77777777" w:rsidR="00622884" w:rsidRPr="00622884" w:rsidRDefault="00622884" w:rsidP="00622884">
            <w:pPr>
              <w:spacing w:after="0" w:line="240" w:lineRule="auto"/>
              <w:jc w:val="center"/>
              <w:rPr>
                <w:rFonts w:ascii="Garamond" w:eastAsia="Calibri" w:hAnsi="Garamond" w:cs="Calibri Light"/>
                <w:sz w:val="12"/>
                <w:szCs w:val="12"/>
                <w:lang w:eastAsia="en-US"/>
              </w:rPr>
            </w:pPr>
            <w:r w:rsidRPr="00622884">
              <w:rPr>
                <w:rFonts w:ascii="Garamond" w:eastAsia="Calibri" w:hAnsi="Garamond" w:cs="Times New Roman"/>
                <w:sz w:val="12"/>
                <w:szCs w:val="12"/>
                <w:lang w:eastAsia="en-US" w:bidi="sq-AL"/>
              </w:rPr>
              <w:t>~1 milion dollarë amerikanë</w:t>
            </w:r>
          </w:p>
        </w:tc>
        <w:tc>
          <w:tcPr>
            <w:tcW w:w="1560" w:type="dxa"/>
            <w:vAlign w:val="center"/>
          </w:tcPr>
          <w:p w14:paraId="2F9AA851" w14:textId="77777777" w:rsidR="00622884" w:rsidRPr="00622884" w:rsidRDefault="00622884" w:rsidP="00622884">
            <w:pPr>
              <w:spacing w:after="0" w:line="240" w:lineRule="auto"/>
              <w:jc w:val="center"/>
              <w:rPr>
                <w:rFonts w:ascii="Garamond" w:eastAsia="Calibri" w:hAnsi="Garamond" w:cs="Calibri Light"/>
                <w:sz w:val="12"/>
                <w:szCs w:val="12"/>
                <w:lang w:eastAsia="en-US"/>
              </w:rPr>
            </w:pPr>
            <w:r w:rsidRPr="00622884">
              <w:rPr>
                <w:rFonts w:ascii="Garamond" w:eastAsia="Calibri" w:hAnsi="Garamond" w:cs="Times New Roman"/>
                <w:sz w:val="12"/>
                <w:szCs w:val="12"/>
                <w:lang w:eastAsia="en-US" w:bidi="sq-AL"/>
              </w:rPr>
              <w:t>~13 milionë dollarë amerikanë</w:t>
            </w:r>
          </w:p>
        </w:tc>
        <w:tc>
          <w:tcPr>
            <w:tcW w:w="1417" w:type="dxa"/>
            <w:vAlign w:val="center"/>
          </w:tcPr>
          <w:p w14:paraId="5B380AA9" w14:textId="77777777" w:rsidR="00622884" w:rsidRPr="00622884" w:rsidRDefault="00622884" w:rsidP="00622884">
            <w:pPr>
              <w:spacing w:after="0" w:line="240" w:lineRule="auto"/>
              <w:jc w:val="center"/>
              <w:rPr>
                <w:rFonts w:ascii="Garamond" w:eastAsia="Calibri" w:hAnsi="Garamond" w:cs="Calibri Light"/>
                <w:sz w:val="12"/>
                <w:szCs w:val="12"/>
                <w:lang w:eastAsia="en-US"/>
              </w:rPr>
            </w:pPr>
            <w:r w:rsidRPr="00622884">
              <w:rPr>
                <w:rFonts w:ascii="Garamond" w:eastAsia="Calibri" w:hAnsi="Garamond" w:cs="Times New Roman"/>
                <w:sz w:val="12"/>
                <w:szCs w:val="12"/>
                <w:lang w:eastAsia="en-US" w:bidi="sq-AL"/>
              </w:rPr>
              <w:t>~14 milionë</w:t>
            </w:r>
          </w:p>
        </w:tc>
        <w:tc>
          <w:tcPr>
            <w:tcW w:w="1559" w:type="dxa"/>
            <w:shd w:val="clear" w:color="auto" w:fill="C7EAEB"/>
            <w:vAlign w:val="center"/>
            <w:hideMark/>
          </w:tcPr>
          <w:p w14:paraId="0FFDCA11" w14:textId="77777777" w:rsidR="00622884" w:rsidRPr="00622884" w:rsidRDefault="00622884" w:rsidP="00622884">
            <w:pPr>
              <w:spacing w:after="0" w:line="240" w:lineRule="auto"/>
              <w:jc w:val="center"/>
              <w:rPr>
                <w:rFonts w:ascii="Garamond" w:eastAsia="Calibri" w:hAnsi="Garamond" w:cs="Calibri Light"/>
                <w:sz w:val="12"/>
                <w:szCs w:val="12"/>
                <w:lang w:eastAsia="en-US"/>
              </w:rPr>
            </w:pPr>
            <w:r w:rsidRPr="00622884">
              <w:rPr>
                <w:rFonts w:ascii="Garamond" w:eastAsia="Calibri" w:hAnsi="Garamond" w:cs="Times New Roman"/>
                <w:sz w:val="12"/>
                <w:szCs w:val="12"/>
                <w:lang w:eastAsia="en-US" w:bidi="sq-AL"/>
              </w:rPr>
              <w:t>0</w:t>
            </w:r>
          </w:p>
        </w:tc>
        <w:tc>
          <w:tcPr>
            <w:tcW w:w="994" w:type="dxa"/>
            <w:shd w:val="clear" w:color="auto" w:fill="C7EAEB"/>
            <w:vAlign w:val="center"/>
            <w:hideMark/>
          </w:tcPr>
          <w:p w14:paraId="163DAB65" w14:textId="77777777" w:rsidR="00622884" w:rsidRPr="00622884" w:rsidRDefault="00622884" w:rsidP="00622884">
            <w:pPr>
              <w:spacing w:after="0" w:line="240" w:lineRule="auto"/>
              <w:jc w:val="center"/>
              <w:rPr>
                <w:rFonts w:ascii="Garamond" w:eastAsia="Calibri" w:hAnsi="Garamond" w:cs="Calibri Light"/>
                <w:sz w:val="12"/>
                <w:szCs w:val="12"/>
                <w:lang w:eastAsia="en-US"/>
              </w:rPr>
            </w:pPr>
            <w:r w:rsidRPr="00622884">
              <w:rPr>
                <w:rFonts w:ascii="Garamond" w:eastAsia="Calibri" w:hAnsi="Garamond" w:cs="Times New Roman"/>
                <w:sz w:val="12"/>
                <w:szCs w:val="12"/>
                <w:lang w:eastAsia="en-US" w:bidi="sq-AL"/>
              </w:rPr>
              <w:t>0</w:t>
            </w:r>
          </w:p>
        </w:tc>
      </w:tr>
      <w:tr w:rsidR="00622884" w:rsidRPr="00622884" w14:paraId="364200C4" w14:textId="77777777" w:rsidTr="00622884">
        <w:trPr>
          <w:trHeight w:val="20"/>
        </w:trPr>
        <w:tc>
          <w:tcPr>
            <w:tcW w:w="1418" w:type="dxa"/>
            <w:vAlign w:val="center"/>
            <w:hideMark/>
          </w:tcPr>
          <w:p w14:paraId="2AEB89C8" w14:textId="77777777" w:rsidR="00622884" w:rsidRPr="00622884" w:rsidRDefault="00622884" w:rsidP="00622884">
            <w:pPr>
              <w:spacing w:after="0" w:line="240" w:lineRule="auto"/>
              <w:jc w:val="left"/>
              <w:rPr>
                <w:rFonts w:ascii="Garamond" w:eastAsia="Calibri" w:hAnsi="Garamond" w:cs="Calibri Light"/>
                <w:b/>
                <w:bCs/>
                <w:sz w:val="12"/>
                <w:szCs w:val="12"/>
                <w:lang w:eastAsia="en-US"/>
              </w:rPr>
            </w:pPr>
            <w:r w:rsidRPr="00622884">
              <w:rPr>
                <w:rFonts w:ascii="Garamond" w:eastAsia="Calibri" w:hAnsi="Garamond" w:cs="Times New Roman"/>
                <w:b/>
                <w:sz w:val="12"/>
                <w:szCs w:val="12"/>
                <w:lang w:eastAsia="en-US" w:bidi="sq-AL"/>
              </w:rPr>
              <w:t>Energjia</w:t>
            </w:r>
          </w:p>
        </w:tc>
        <w:tc>
          <w:tcPr>
            <w:tcW w:w="1559" w:type="dxa"/>
            <w:vAlign w:val="center"/>
            <w:hideMark/>
          </w:tcPr>
          <w:p w14:paraId="29119639" w14:textId="77777777" w:rsidR="00622884" w:rsidRPr="00622884" w:rsidRDefault="00622884" w:rsidP="00622884">
            <w:pPr>
              <w:spacing w:after="0" w:line="240" w:lineRule="auto"/>
              <w:jc w:val="center"/>
              <w:rPr>
                <w:rFonts w:ascii="Garamond" w:eastAsia="Calibri" w:hAnsi="Garamond" w:cs="Calibri Light"/>
                <w:sz w:val="12"/>
                <w:szCs w:val="12"/>
                <w:lang w:eastAsia="en-US"/>
              </w:rPr>
            </w:pPr>
            <w:r w:rsidRPr="00622884">
              <w:rPr>
                <w:rFonts w:ascii="Garamond" w:eastAsia="Calibri" w:hAnsi="Garamond" w:cs="Times New Roman"/>
                <w:sz w:val="12"/>
                <w:szCs w:val="12"/>
                <w:lang w:eastAsia="en-US" w:bidi="sq-AL"/>
              </w:rPr>
              <w:t>1.960.573.000</w:t>
            </w:r>
          </w:p>
        </w:tc>
        <w:tc>
          <w:tcPr>
            <w:tcW w:w="1559" w:type="dxa"/>
            <w:vAlign w:val="center"/>
          </w:tcPr>
          <w:p w14:paraId="22BCD702" w14:textId="77777777" w:rsidR="00622884" w:rsidRPr="00622884" w:rsidRDefault="00622884" w:rsidP="00622884">
            <w:pPr>
              <w:spacing w:after="0" w:line="240" w:lineRule="auto"/>
              <w:jc w:val="center"/>
              <w:rPr>
                <w:rFonts w:ascii="Garamond" w:eastAsia="Calibri" w:hAnsi="Garamond" w:cs="Calibri Light"/>
                <w:sz w:val="12"/>
                <w:szCs w:val="12"/>
                <w:lang w:eastAsia="en-US"/>
              </w:rPr>
            </w:pPr>
            <w:r w:rsidRPr="00622884">
              <w:rPr>
                <w:rFonts w:ascii="Garamond" w:eastAsia="Calibri" w:hAnsi="Garamond" w:cs="Times New Roman"/>
                <w:sz w:val="12"/>
                <w:szCs w:val="12"/>
                <w:lang w:eastAsia="en-US" w:bidi="sq-AL"/>
              </w:rPr>
              <w:t>~22 milionë dollarë amerikanë</w:t>
            </w:r>
          </w:p>
        </w:tc>
        <w:tc>
          <w:tcPr>
            <w:tcW w:w="1560" w:type="dxa"/>
            <w:vAlign w:val="center"/>
          </w:tcPr>
          <w:p w14:paraId="41913A73" w14:textId="77777777" w:rsidR="00622884" w:rsidRPr="00622884" w:rsidRDefault="00622884" w:rsidP="00622884">
            <w:pPr>
              <w:spacing w:after="0" w:line="240" w:lineRule="auto"/>
              <w:jc w:val="center"/>
              <w:rPr>
                <w:rFonts w:ascii="Garamond" w:eastAsia="Calibri" w:hAnsi="Garamond" w:cs="Calibri Light"/>
                <w:sz w:val="12"/>
                <w:szCs w:val="12"/>
                <w:lang w:eastAsia="en-US"/>
              </w:rPr>
            </w:pPr>
            <w:r w:rsidRPr="00622884">
              <w:rPr>
                <w:rFonts w:ascii="Garamond" w:eastAsia="Calibri" w:hAnsi="Garamond" w:cs="Times New Roman"/>
                <w:sz w:val="12"/>
                <w:szCs w:val="12"/>
                <w:lang w:eastAsia="en-US" w:bidi="sq-AL"/>
              </w:rPr>
              <w:t>~275 milionë dollarë amerikanë</w:t>
            </w:r>
          </w:p>
        </w:tc>
        <w:tc>
          <w:tcPr>
            <w:tcW w:w="1417" w:type="dxa"/>
            <w:vAlign w:val="center"/>
          </w:tcPr>
          <w:p w14:paraId="7B7C15A1" w14:textId="77777777" w:rsidR="00622884" w:rsidRPr="00622884" w:rsidRDefault="00622884" w:rsidP="00622884">
            <w:pPr>
              <w:spacing w:after="0" w:line="240" w:lineRule="auto"/>
              <w:jc w:val="center"/>
              <w:rPr>
                <w:rFonts w:ascii="Garamond" w:eastAsia="Calibri" w:hAnsi="Garamond" w:cs="Calibri Light"/>
                <w:sz w:val="12"/>
                <w:szCs w:val="12"/>
                <w:lang w:eastAsia="en-US"/>
              </w:rPr>
            </w:pPr>
            <w:r w:rsidRPr="00622884">
              <w:rPr>
                <w:rFonts w:ascii="Garamond" w:eastAsia="Calibri" w:hAnsi="Garamond" w:cs="Times New Roman"/>
                <w:sz w:val="12"/>
                <w:szCs w:val="12"/>
                <w:lang w:eastAsia="en-US" w:bidi="sq-AL"/>
              </w:rPr>
              <w:t>~297 milionë</w:t>
            </w:r>
          </w:p>
        </w:tc>
        <w:tc>
          <w:tcPr>
            <w:tcW w:w="1559" w:type="dxa"/>
            <w:shd w:val="clear" w:color="auto" w:fill="C7EAEB"/>
            <w:vAlign w:val="center"/>
            <w:hideMark/>
          </w:tcPr>
          <w:p w14:paraId="6256C91B" w14:textId="77777777" w:rsidR="00622884" w:rsidRPr="00622884" w:rsidRDefault="00622884" w:rsidP="00622884">
            <w:pPr>
              <w:spacing w:after="0" w:line="240" w:lineRule="auto"/>
              <w:jc w:val="center"/>
              <w:rPr>
                <w:rFonts w:ascii="Garamond" w:eastAsia="Calibri" w:hAnsi="Garamond" w:cs="Calibri Light"/>
                <w:sz w:val="12"/>
                <w:szCs w:val="12"/>
                <w:lang w:eastAsia="en-US"/>
              </w:rPr>
            </w:pPr>
            <w:r w:rsidRPr="00622884">
              <w:rPr>
                <w:rFonts w:ascii="Garamond" w:eastAsia="Calibri" w:hAnsi="Garamond" w:cs="Times New Roman"/>
                <w:sz w:val="12"/>
                <w:szCs w:val="12"/>
                <w:lang w:eastAsia="en-US" w:bidi="sq-AL"/>
              </w:rPr>
              <w:t>1.663 milionë</w:t>
            </w:r>
          </w:p>
        </w:tc>
        <w:tc>
          <w:tcPr>
            <w:tcW w:w="994" w:type="dxa"/>
            <w:shd w:val="clear" w:color="auto" w:fill="C7EAEB"/>
            <w:vAlign w:val="center"/>
            <w:hideMark/>
          </w:tcPr>
          <w:p w14:paraId="366E0852" w14:textId="77777777" w:rsidR="00622884" w:rsidRPr="00622884" w:rsidRDefault="00622884" w:rsidP="00622884">
            <w:pPr>
              <w:spacing w:after="0" w:line="240" w:lineRule="auto"/>
              <w:jc w:val="center"/>
              <w:rPr>
                <w:rFonts w:ascii="Garamond" w:eastAsia="Calibri" w:hAnsi="Garamond" w:cs="Calibri Light"/>
                <w:sz w:val="12"/>
                <w:szCs w:val="12"/>
                <w:lang w:eastAsia="en-US"/>
              </w:rPr>
            </w:pPr>
            <w:r w:rsidRPr="00622884">
              <w:rPr>
                <w:rFonts w:ascii="Garamond" w:eastAsia="Calibri" w:hAnsi="Garamond" w:cs="Times New Roman"/>
                <w:sz w:val="12"/>
                <w:szCs w:val="12"/>
                <w:lang w:eastAsia="en-US" w:bidi="sq-AL"/>
              </w:rPr>
              <w:t>85</w:t>
            </w:r>
          </w:p>
        </w:tc>
      </w:tr>
      <w:tr w:rsidR="00622884" w:rsidRPr="00622884" w14:paraId="04BEC3FF" w14:textId="77777777" w:rsidTr="00622884">
        <w:trPr>
          <w:trHeight w:val="20"/>
        </w:trPr>
        <w:tc>
          <w:tcPr>
            <w:tcW w:w="1418" w:type="dxa"/>
            <w:vAlign w:val="center"/>
            <w:hideMark/>
          </w:tcPr>
          <w:p w14:paraId="1D2423EA" w14:textId="77777777" w:rsidR="00622884" w:rsidRPr="00622884" w:rsidRDefault="00622884" w:rsidP="00622884">
            <w:pPr>
              <w:spacing w:after="0" w:line="240" w:lineRule="auto"/>
              <w:jc w:val="left"/>
              <w:rPr>
                <w:rFonts w:ascii="Garamond" w:eastAsia="Calibri" w:hAnsi="Garamond" w:cs="Calibri Light"/>
                <w:b/>
                <w:bCs/>
                <w:sz w:val="12"/>
                <w:szCs w:val="12"/>
                <w:lang w:eastAsia="en-US"/>
              </w:rPr>
            </w:pPr>
            <w:r w:rsidRPr="00622884">
              <w:rPr>
                <w:rFonts w:ascii="Garamond" w:eastAsia="Calibri" w:hAnsi="Garamond" w:cs="Times New Roman"/>
                <w:b/>
                <w:sz w:val="12"/>
                <w:szCs w:val="12"/>
                <w:lang w:eastAsia="en-US" w:bidi="sq-AL"/>
              </w:rPr>
              <w:t>Transporti</w:t>
            </w:r>
          </w:p>
        </w:tc>
        <w:tc>
          <w:tcPr>
            <w:tcW w:w="1559" w:type="dxa"/>
            <w:vAlign w:val="center"/>
            <w:hideMark/>
          </w:tcPr>
          <w:p w14:paraId="0E829124" w14:textId="77777777" w:rsidR="00622884" w:rsidRPr="00622884" w:rsidRDefault="00622884" w:rsidP="00622884">
            <w:pPr>
              <w:spacing w:after="0" w:line="240" w:lineRule="auto"/>
              <w:jc w:val="center"/>
              <w:rPr>
                <w:rFonts w:ascii="Garamond" w:eastAsia="Calibri" w:hAnsi="Garamond" w:cs="Calibri Light"/>
                <w:sz w:val="12"/>
                <w:szCs w:val="12"/>
                <w:lang w:eastAsia="en-US"/>
              </w:rPr>
            </w:pPr>
            <w:r w:rsidRPr="00622884">
              <w:rPr>
                <w:rFonts w:ascii="Garamond" w:eastAsia="Calibri" w:hAnsi="Garamond" w:cs="Times New Roman"/>
                <w:sz w:val="12"/>
                <w:szCs w:val="12"/>
                <w:lang w:eastAsia="en-US" w:bidi="sq-AL"/>
              </w:rPr>
              <w:t>2.038.835.000</w:t>
            </w:r>
          </w:p>
        </w:tc>
        <w:tc>
          <w:tcPr>
            <w:tcW w:w="1559" w:type="dxa"/>
            <w:vAlign w:val="center"/>
          </w:tcPr>
          <w:p w14:paraId="4206D058" w14:textId="77777777" w:rsidR="00622884" w:rsidRPr="00622884" w:rsidRDefault="00622884" w:rsidP="00622884">
            <w:pPr>
              <w:spacing w:after="0" w:line="240" w:lineRule="auto"/>
              <w:jc w:val="center"/>
              <w:rPr>
                <w:rFonts w:ascii="Garamond" w:eastAsia="Calibri" w:hAnsi="Garamond" w:cs="Calibri Light"/>
                <w:sz w:val="12"/>
                <w:szCs w:val="12"/>
                <w:lang w:eastAsia="en-US"/>
              </w:rPr>
            </w:pPr>
            <w:r w:rsidRPr="00622884">
              <w:rPr>
                <w:rFonts w:ascii="Garamond" w:eastAsia="Calibri" w:hAnsi="Garamond" w:cs="Times New Roman"/>
                <w:sz w:val="12"/>
                <w:szCs w:val="12"/>
                <w:lang w:eastAsia="en-US" w:bidi="sq-AL"/>
              </w:rPr>
              <w:t>~1 milion dollarë amerikanë</w:t>
            </w:r>
          </w:p>
        </w:tc>
        <w:tc>
          <w:tcPr>
            <w:tcW w:w="1560" w:type="dxa"/>
            <w:vAlign w:val="center"/>
          </w:tcPr>
          <w:p w14:paraId="1A7397A3" w14:textId="77777777" w:rsidR="00622884" w:rsidRPr="00622884" w:rsidRDefault="00622884" w:rsidP="00622884">
            <w:pPr>
              <w:spacing w:after="0" w:line="240" w:lineRule="auto"/>
              <w:jc w:val="center"/>
              <w:rPr>
                <w:rFonts w:ascii="Garamond" w:eastAsia="Calibri" w:hAnsi="Garamond" w:cs="Calibri Light"/>
                <w:sz w:val="12"/>
                <w:szCs w:val="12"/>
                <w:lang w:eastAsia="en-US"/>
              </w:rPr>
            </w:pPr>
            <w:r w:rsidRPr="00622884">
              <w:rPr>
                <w:rFonts w:ascii="Garamond" w:eastAsia="Calibri" w:hAnsi="Garamond" w:cs="Times New Roman"/>
                <w:sz w:val="12"/>
                <w:szCs w:val="12"/>
                <w:lang w:eastAsia="en-US" w:bidi="sq-AL"/>
              </w:rPr>
              <w:t>~2,5 milionë dollarë amerikanë</w:t>
            </w:r>
          </w:p>
        </w:tc>
        <w:tc>
          <w:tcPr>
            <w:tcW w:w="1417" w:type="dxa"/>
            <w:vAlign w:val="center"/>
          </w:tcPr>
          <w:p w14:paraId="5F8D0F9F" w14:textId="77777777" w:rsidR="00622884" w:rsidRPr="00622884" w:rsidRDefault="00622884" w:rsidP="00622884">
            <w:pPr>
              <w:spacing w:after="0" w:line="240" w:lineRule="auto"/>
              <w:jc w:val="center"/>
              <w:rPr>
                <w:rFonts w:ascii="Garamond" w:eastAsia="Calibri" w:hAnsi="Garamond" w:cs="Calibri Light"/>
                <w:sz w:val="12"/>
                <w:szCs w:val="12"/>
                <w:lang w:eastAsia="en-US"/>
              </w:rPr>
            </w:pPr>
            <w:r w:rsidRPr="00622884">
              <w:rPr>
                <w:rFonts w:ascii="Garamond" w:eastAsia="Calibri" w:hAnsi="Garamond" w:cs="Times New Roman"/>
                <w:sz w:val="12"/>
                <w:szCs w:val="12"/>
                <w:lang w:eastAsia="en-US" w:bidi="sq-AL"/>
              </w:rPr>
              <w:t>~3.5 milionë</w:t>
            </w:r>
          </w:p>
        </w:tc>
        <w:tc>
          <w:tcPr>
            <w:tcW w:w="1559" w:type="dxa"/>
            <w:shd w:val="clear" w:color="auto" w:fill="C7EAEB"/>
            <w:vAlign w:val="center"/>
            <w:hideMark/>
          </w:tcPr>
          <w:p w14:paraId="419D2492" w14:textId="77777777" w:rsidR="00622884" w:rsidRPr="00622884" w:rsidRDefault="00622884" w:rsidP="00622884">
            <w:pPr>
              <w:spacing w:after="0" w:line="240" w:lineRule="auto"/>
              <w:jc w:val="center"/>
              <w:rPr>
                <w:rFonts w:ascii="Garamond" w:eastAsia="Calibri" w:hAnsi="Garamond" w:cs="Calibri Light"/>
                <w:sz w:val="12"/>
                <w:szCs w:val="12"/>
                <w:lang w:eastAsia="en-US"/>
              </w:rPr>
            </w:pPr>
            <w:r w:rsidRPr="00622884">
              <w:rPr>
                <w:rFonts w:ascii="Garamond" w:eastAsia="Calibri" w:hAnsi="Garamond" w:cs="Times New Roman"/>
                <w:sz w:val="12"/>
                <w:szCs w:val="12"/>
                <w:lang w:eastAsia="en-US" w:bidi="sq-AL"/>
              </w:rPr>
              <w:t>2.035 milionë</w:t>
            </w:r>
          </w:p>
        </w:tc>
        <w:tc>
          <w:tcPr>
            <w:tcW w:w="994" w:type="dxa"/>
            <w:shd w:val="clear" w:color="auto" w:fill="C7EAEB"/>
            <w:vAlign w:val="center"/>
            <w:hideMark/>
          </w:tcPr>
          <w:p w14:paraId="4490DEC3" w14:textId="77777777" w:rsidR="00622884" w:rsidRPr="00622884" w:rsidRDefault="00622884" w:rsidP="00622884">
            <w:pPr>
              <w:spacing w:after="0" w:line="240" w:lineRule="auto"/>
              <w:jc w:val="center"/>
              <w:rPr>
                <w:rFonts w:ascii="Garamond" w:eastAsia="Calibri" w:hAnsi="Garamond" w:cs="Calibri Light"/>
                <w:sz w:val="12"/>
                <w:szCs w:val="12"/>
                <w:lang w:eastAsia="en-US"/>
              </w:rPr>
            </w:pPr>
            <w:r w:rsidRPr="00622884">
              <w:rPr>
                <w:rFonts w:ascii="Garamond" w:eastAsia="Calibri" w:hAnsi="Garamond" w:cs="Times New Roman"/>
                <w:sz w:val="12"/>
                <w:szCs w:val="12"/>
                <w:lang w:eastAsia="en-US" w:bidi="sq-AL"/>
              </w:rPr>
              <w:t>100</w:t>
            </w:r>
          </w:p>
        </w:tc>
      </w:tr>
      <w:tr w:rsidR="00622884" w:rsidRPr="00622884" w14:paraId="7B194553" w14:textId="77777777" w:rsidTr="00622884">
        <w:trPr>
          <w:trHeight w:val="278"/>
        </w:trPr>
        <w:tc>
          <w:tcPr>
            <w:tcW w:w="1418" w:type="dxa"/>
            <w:vAlign w:val="center"/>
            <w:hideMark/>
          </w:tcPr>
          <w:p w14:paraId="2571C95B" w14:textId="77777777" w:rsidR="00622884" w:rsidRPr="00622884" w:rsidRDefault="00622884" w:rsidP="00622884">
            <w:pPr>
              <w:spacing w:after="0" w:line="240" w:lineRule="auto"/>
              <w:jc w:val="left"/>
              <w:rPr>
                <w:rFonts w:ascii="Garamond" w:eastAsia="Calibri" w:hAnsi="Garamond" w:cs="Calibri Light"/>
                <w:b/>
                <w:bCs/>
                <w:sz w:val="12"/>
                <w:szCs w:val="12"/>
                <w:lang w:eastAsia="en-US"/>
              </w:rPr>
            </w:pPr>
            <w:r w:rsidRPr="00622884">
              <w:rPr>
                <w:rFonts w:ascii="Garamond" w:eastAsia="Calibri" w:hAnsi="Garamond" w:cs="Times New Roman"/>
                <w:b/>
                <w:sz w:val="12"/>
                <w:szCs w:val="12"/>
                <w:lang w:eastAsia="en-US" w:bidi="sq-AL"/>
              </w:rPr>
              <w:t>Ndërsektorial</w:t>
            </w:r>
          </w:p>
        </w:tc>
        <w:tc>
          <w:tcPr>
            <w:tcW w:w="1559" w:type="dxa"/>
            <w:vAlign w:val="center"/>
            <w:hideMark/>
          </w:tcPr>
          <w:p w14:paraId="194678FC" w14:textId="77777777" w:rsidR="00622884" w:rsidRPr="00622884" w:rsidRDefault="00622884" w:rsidP="00622884">
            <w:pPr>
              <w:spacing w:after="0" w:line="240" w:lineRule="auto"/>
              <w:jc w:val="center"/>
              <w:rPr>
                <w:rFonts w:ascii="Garamond" w:eastAsia="Calibri" w:hAnsi="Garamond" w:cs="Calibri Light"/>
                <w:sz w:val="12"/>
                <w:szCs w:val="12"/>
                <w:lang w:eastAsia="en-US"/>
              </w:rPr>
            </w:pPr>
            <w:r w:rsidRPr="00622884">
              <w:rPr>
                <w:rFonts w:ascii="Garamond" w:eastAsia="Calibri" w:hAnsi="Garamond" w:cs="Times New Roman"/>
                <w:sz w:val="12"/>
                <w:szCs w:val="12"/>
                <w:lang w:eastAsia="en-US" w:bidi="sq-AL"/>
              </w:rPr>
              <w:t>256.721.396</w:t>
            </w:r>
          </w:p>
        </w:tc>
        <w:tc>
          <w:tcPr>
            <w:tcW w:w="1559" w:type="dxa"/>
            <w:vAlign w:val="center"/>
          </w:tcPr>
          <w:p w14:paraId="3F9C159E" w14:textId="77777777" w:rsidR="00622884" w:rsidRPr="00622884" w:rsidRDefault="00622884" w:rsidP="00622884">
            <w:pPr>
              <w:spacing w:after="0" w:line="240" w:lineRule="auto"/>
              <w:jc w:val="center"/>
              <w:rPr>
                <w:rFonts w:ascii="Garamond" w:eastAsia="Calibri" w:hAnsi="Garamond" w:cs="Calibri Light"/>
                <w:sz w:val="12"/>
                <w:szCs w:val="12"/>
                <w:lang w:eastAsia="en-US"/>
              </w:rPr>
            </w:pPr>
            <w:r w:rsidRPr="00622884">
              <w:rPr>
                <w:rFonts w:ascii="Garamond" w:eastAsia="Calibri" w:hAnsi="Garamond" w:cs="Times New Roman"/>
                <w:sz w:val="12"/>
                <w:szCs w:val="12"/>
                <w:lang w:eastAsia="en-US" w:bidi="sq-AL"/>
              </w:rPr>
              <w:t>2.7 milionë dollarë amerikanë</w:t>
            </w:r>
          </w:p>
        </w:tc>
        <w:tc>
          <w:tcPr>
            <w:tcW w:w="1560" w:type="dxa"/>
            <w:vAlign w:val="center"/>
          </w:tcPr>
          <w:p w14:paraId="61F61F78" w14:textId="77777777" w:rsidR="00622884" w:rsidRPr="00622884" w:rsidRDefault="00622884" w:rsidP="00622884">
            <w:pPr>
              <w:spacing w:after="0" w:line="240" w:lineRule="auto"/>
              <w:jc w:val="center"/>
              <w:rPr>
                <w:rFonts w:ascii="Garamond" w:eastAsia="Calibri" w:hAnsi="Garamond" w:cs="Calibri Light"/>
                <w:sz w:val="12"/>
                <w:szCs w:val="12"/>
                <w:lang w:eastAsia="en-US"/>
              </w:rPr>
            </w:pPr>
            <w:r w:rsidRPr="00622884">
              <w:rPr>
                <w:rFonts w:ascii="Garamond" w:eastAsia="Calibri" w:hAnsi="Garamond" w:cs="Times New Roman"/>
                <w:sz w:val="12"/>
                <w:szCs w:val="12"/>
                <w:lang w:eastAsia="en-US" w:bidi="sq-AL"/>
              </w:rPr>
              <w:t>4 milionë dollarë amerikanë</w:t>
            </w:r>
          </w:p>
        </w:tc>
        <w:tc>
          <w:tcPr>
            <w:tcW w:w="1417" w:type="dxa"/>
            <w:vAlign w:val="center"/>
          </w:tcPr>
          <w:p w14:paraId="3A222CF7" w14:textId="77777777" w:rsidR="00622884" w:rsidRPr="00622884" w:rsidRDefault="00622884" w:rsidP="00622884">
            <w:pPr>
              <w:spacing w:after="0" w:line="240" w:lineRule="auto"/>
              <w:jc w:val="center"/>
              <w:rPr>
                <w:rFonts w:ascii="Garamond" w:eastAsia="Calibri" w:hAnsi="Garamond" w:cs="Calibri Light"/>
                <w:sz w:val="12"/>
                <w:szCs w:val="12"/>
                <w:lang w:eastAsia="en-US"/>
              </w:rPr>
            </w:pPr>
            <w:r w:rsidRPr="00622884">
              <w:rPr>
                <w:rFonts w:ascii="Garamond" w:eastAsia="Calibri" w:hAnsi="Garamond" w:cs="Times New Roman"/>
                <w:sz w:val="12"/>
                <w:szCs w:val="12"/>
                <w:lang w:eastAsia="en-US" w:bidi="sq-AL"/>
              </w:rPr>
              <w:t>~6.7 milionë</w:t>
            </w:r>
          </w:p>
        </w:tc>
        <w:tc>
          <w:tcPr>
            <w:tcW w:w="1559" w:type="dxa"/>
            <w:shd w:val="clear" w:color="auto" w:fill="C7EAEB"/>
            <w:vAlign w:val="center"/>
            <w:hideMark/>
          </w:tcPr>
          <w:p w14:paraId="4C23C88F" w14:textId="77777777" w:rsidR="00622884" w:rsidRPr="00622884" w:rsidRDefault="00622884" w:rsidP="00622884">
            <w:pPr>
              <w:spacing w:after="0" w:line="240" w:lineRule="auto"/>
              <w:jc w:val="center"/>
              <w:rPr>
                <w:rFonts w:ascii="Garamond" w:eastAsia="Calibri" w:hAnsi="Garamond" w:cs="Calibri Light"/>
                <w:sz w:val="12"/>
                <w:szCs w:val="12"/>
                <w:lang w:eastAsia="en-US"/>
              </w:rPr>
            </w:pPr>
            <w:r w:rsidRPr="00622884">
              <w:rPr>
                <w:rFonts w:ascii="Garamond" w:eastAsia="Calibri" w:hAnsi="Garamond" w:cs="Times New Roman"/>
                <w:sz w:val="12"/>
                <w:szCs w:val="12"/>
                <w:lang w:eastAsia="en-US" w:bidi="sq-AL"/>
              </w:rPr>
              <w:t>249 milionë</w:t>
            </w:r>
          </w:p>
        </w:tc>
        <w:tc>
          <w:tcPr>
            <w:tcW w:w="994" w:type="dxa"/>
            <w:shd w:val="clear" w:color="auto" w:fill="C7EAEB"/>
            <w:vAlign w:val="center"/>
            <w:hideMark/>
          </w:tcPr>
          <w:p w14:paraId="13D20512" w14:textId="77777777" w:rsidR="00622884" w:rsidRPr="00622884" w:rsidRDefault="00622884" w:rsidP="00622884">
            <w:pPr>
              <w:spacing w:after="0" w:line="240" w:lineRule="auto"/>
              <w:jc w:val="center"/>
              <w:rPr>
                <w:rFonts w:ascii="Garamond" w:eastAsia="Calibri" w:hAnsi="Garamond" w:cs="Calibri Light"/>
                <w:sz w:val="12"/>
                <w:szCs w:val="12"/>
                <w:lang w:eastAsia="en-US"/>
              </w:rPr>
            </w:pPr>
            <w:r w:rsidRPr="00622884">
              <w:rPr>
                <w:rFonts w:ascii="Garamond" w:eastAsia="Calibri" w:hAnsi="Garamond" w:cs="Times New Roman"/>
                <w:sz w:val="12"/>
                <w:szCs w:val="12"/>
                <w:lang w:eastAsia="en-US" w:bidi="sq-AL"/>
              </w:rPr>
              <w:t>97</w:t>
            </w:r>
          </w:p>
        </w:tc>
      </w:tr>
      <w:tr w:rsidR="00622884" w:rsidRPr="00622884" w14:paraId="634E80E8" w14:textId="77777777" w:rsidTr="00622884">
        <w:trPr>
          <w:trHeight w:val="20"/>
        </w:trPr>
        <w:tc>
          <w:tcPr>
            <w:tcW w:w="1418" w:type="dxa"/>
            <w:vAlign w:val="center"/>
            <w:hideMark/>
          </w:tcPr>
          <w:p w14:paraId="13856D6D" w14:textId="77777777" w:rsidR="00622884" w:rsidRPr="00622884" w:rsidRDefault="00622884" w:rsidP="00622884">
            <w:pPr>
              <w:spacing w:after="0" w:line="240" w:lineRule="auto"/>
              <w:jc w:val="left"/>
              <w:rPr>
                <w:rFonts w:ascii="Garamond" w:eastAsia="Calibri" w:hAnsi="Garamond" w:cs="Calibri Light"/>
                <w:b/>
                <w:bCs/>
                <w:sz w:val="12"/>
                <w:szCs w:val="12"/>
                <w:lang w:eastAsia="en-US"/>
              </w:rPr>
            </w:pPr>
            <w:r w:rsidRPr="00622884">
              <w:rPr>
                <w:rFonts w:ascii="Garamond" w:eastAsia="Calibri" w:hAnsi="Garamond" w:cs="Times New Roman"/>
                <w:b/>
                <w:sz w:val="12"/>
                <w:szCs w:val="12"/>
                <w:lang w:eastAsia="en-US" w:bidi="sq-AL"/>
              </w:rPr>
              <w:t>Gjithsej</w:t>
            </w:r>
          </w:p>
        </w:tc>
        <w:tc>
          <w:tcPr>
            <w:tcW w:w="1559" w:type="dxa"/>
            <w:vAlign w:val="center"/>
            <w:hideMark/>
          </w:tcPr>
          <w:p w14:paraId="00C3B436" w14:textId="77777777" w:rsidR="00622884" w:rsidRPr="00622884" w:rsidRDefault="00622884" w:rsidP="00622884">
            <w:pPr>
              <w:spacing w:after="0" w:line="240" w:lineRule="auto"/>
              <w:jc w:val="center"/>
              <w:rPr>
                <w:rFonts w:ascii="Garamond" w:eastAsia="Calibri" w:hAnsi="Garamond" w:cs="Calibri Light"/>
                <w:b/>
                <w:bCs/>
                <w:sz w:val="12"/>
                <w:szCs w:val="12"/>
                <w:lang w:eastAsia="en-US"/>
              </w:rPr>
            </w:pPr>
            <w:r w:rsidRPr="00622884">
              <w:rPr>
                <w:rFonts w:ascii="Garamond" w:eastAsia="Calibri" w:hAnsi="Garamond" w:cs="Times New Roman"/>
                <w:b/>
                <w:sz w:val="12"/>
                <w:szCs w:val="12"/>
                <w:lang w:eastAsia="en-US" w:bidi="sq-AL"/>
              </w:rPr>
              <w:t>9.800.696.976</w:t>
            </w:r>
          </w:p>
        </w:tc>
        <w:tc>
          <w:tcPr>
            <w:tcW w:w="1559" w:type="dxa"/>
            <w:shd w:val="clear" w:color="auto" w:fill="FFFFFF"/>
            <w:vAlign w:val="center"/>
          </w:tcPr>
          <w:p w14:paraId="6EE52546" w14:textId="77777777" w:rsidR="00622884" w:rsidRPr="00622884" w:rsidRDefault="00622884" w:rsidP="00622884">
            <w:pPr>
              <w:spacing w:after="0" w:line="240" w:lineRule="auto"/>
              <w:jc w:val="center"/>
              <w:rPr>
                <w:rFonts w:ascii="Garamond" w:eastAsia="Calibri" w:hAnsi="Garamond" w:cs="Calibri Light"/>
                <w:b/>
                <w:bCs/>
                <w:sz w:val="12"/>
                <w:szCs w:val="12"/>
                <w:lang w:eastAsia="en-US"/>
              </w:rPr>
            </w:pPr>
            <w:r w:rsidRPr="00622884">
              <w:rPr>
                <w:rFonts w:ascii="Garamond" w:eastAsia="Calibri" w:hAnsi="Garamond" w:cs="Times New Roman"/>
                <w:b/>
                <w:sz w:val="12"/>
                <w:szCs w:val="12"/>
                <w:lang w:eastAsia="en-US" w:bidi="sq-AL"/>
              </w:rPr>
              <w:t>306 milionë dollarë amerikanë</w:t>
            </w:r>
          </w:p>
        </w:tc>
        <w:tc>
          <w:tcPr>
            <w:tcW w:w="1560" w:type="dxa"/>
            <w:shd w:val="clear" w:color="auto" w:fill="FFFFFF"/>
            <w:vAlign w:val="center"/>
          </w:tcPr>
          <w:p w14:paraId="67D3EE55" w14:textId="77777777" w:rsidR="00622884" w:rsidRPr="00622884" w:rsidRDefault="00622884" w:rsidP="00622884">
            <w:pPr>
              <w:spacing w:after="0" w:line="240" w:lineRule="auto"/>
              <w:jc w:val="center"/>
              <w:rPr>
                <w:rFonts w:ascii="Garamond" w:eastAsia="Calibri" w:hAnsi="Garamond" w:cs="Calibri Light"/>
                <w:b/>
                <w:bCs/>
                <w:sz w:val="12"/>
                <w:szCs w:val="12"/>
                <w:lang w:eastAsia="en-US"/>
              </w:rPr>
            </w:pPr>
            <w:r w:rsidRPr="00622884">
              <w:rPr>
                <w:rFonts w:ascii="Garamond" w:eastAsia="Calibri" w:hAnsi="Garamond" w:cs="Times New Roman"/>
                <w:b/>
                <w:sz w:val="12"/>
                <w:szCs w:val="12"/>
                <w:lang w:eastAsia="en-US" w:bidi="sq-AL"/>
              </w:rPr>
              <w:t>393 milionë dollarë amerikanë</w:t>
            </w:r>
          </w:p>
        </w:tc>
        <w:tc>
          <w:tcPr>
            <w:tcW w:w="1417" w:type="dxa"/>
            <w:vAlign w:val="center"/>
          </w:tcPr>
          <w:p w14:paraId="486B1AA8" w14:textId="77777777" w:rsidR="00622884" w:rsidRPr="00622884" w:rsidRDefault="00622884" w:rsidP="00622884">
            <w:pPr>
              <w:spacing w:after="0" w:line="240" w:lineRule="auto"/>
              <w:jc w:val="center"/>
              <w:rPr>
                <w:rFonts w:ascii="Garamond" w:eastAsia="Calibri" w:hAnsi="Garamond" w:cs="Calibri Light"/>
                <w:b/>
                <w:bCs/>
                <w:sz w:val="12"/>
                <w:szCs w:val="12"/>
                <w:lang w:eastAsia="en-US"/>
              </w:rPr>
            </w:pPr>
            <w:r w:rsidRPr="00622884">
              <w:rPr>
                <w:rFonts w:ascii="Garamond" w:eastAsia="Calibri" w:hAnsi="Garamond" w:cs="Times New Roman"/>
                <w:b/>
                <w:sz w:val="12"/>
                <w:szCs w:val="12"/>
                <w:lang w:eastAsia="en-US" w:bidi="sq-AL"/>
              </w:rPr>
              <w:t>699 milionë dollarë amerikanë</w:t>
            </w:r>
          </w:p>
        </w:tc>
        <w:tc>
          <w:tcPr>
            <w:tcW w:w="1559" w:type="dxa"/>
            <w:shd w:val="clear" w:color="auto" w:fill="C7EAEB"/>
            <w:vAlign w:val="center"/>
            <w:hideMark/>
          </w:tcPr>
          <w:p w14:paraId="4FEA6876" w14:textId="77777777" w:rsidR="00622884" w:rsidRPr="00622884" w:rsidRDefault="00622884" w:rsidP="00622884">
            <w:pPr>
              <w:spacing w:after="0" w:line="240" w:lineRule="auto"/>
              <w:jc w:val="center"/>
              <w:rPr>
                <w:rFonts w:ascii="Garamond" w:eastAsia="Calibri" w:hAnsi="Garamond" w:cs="Calibri Light"/>
                <w:b/>
                <w:bCs/>
                <w:sz w:val="12"/>
                <w:szCs w:val="12"/>
                <w:lang w:eastAsia="en-US"/>
              </w:rPr>
            </w:pPr>
            <w:r w:rsidRPr="00622884">
              <w:rPr>
                <w:rFonts w:ascii="Garamond" w:eastAsia="Calibri" w:hAnsi="Garamond" w:cs="Times New Roman"/>
                <w:b/>
                <w:sz w:val="12"/>
                <w:szCs w:val="12"/>
                <w:lang w:eastAsia="en-US" w:bidi="sq-AL"/>
              </w:rPr>
              <w:t>9.107 milionë dollarë amerikanë</w:t>
            </w:r>
          </w:p>
        </w:tc>
        <w:tc>
          <w:tcPr>
            <w:tcW w:w="994" w:type="dxa"/>
            <w:shd w:val="clear" w:color="auto" w:fill="C7EAEB"/>
            <w:vAlign w:val="center"/>
            <w:hideMark/>
          </w:tcPr>
          <w:p w14:paraId="6EB65101" w14:textId="77777777" w:rsidR="00622884" w:rsidRPr="00622884" w:rsidRDefault="00622884" w:rsidP="00622884">
            <w:pPr>
              <w:spacing w:after="0" w:line="240" w:lineRule="auto"/>
              <w:jc w:val="center"/>
              <w:rPr>
                <w:rFonts w:ascii="Garamond" w:eastAsia="Calibri" w:hAnsi="Garamond" w:cs="Calibri Light"/>
                <w:b/>
                <w:bCs/>
                <w:sz w:val="12"/>
                <w:szCs w:val="12"/>
                <w:lang w:eastAsia="en-US"/>
              </w:rPr>
            </w:pPr>
            <w:r w:rsidRPr="00622884">
              <w:rPr>
                <w:rFonts w:ascii="Garamond" w:eastAsia="Calibri" w:hAnsi="Garamond" w:cs="Times New Roman"/>
                <w:b/>
                <w:sz w:val="12"/>
                <w:szCs w:val="12"/>
                <w:lang w:eastAsia="en-US" w:bidi="sq-AL"/>
              </w:rPr>
              <w:t>93</w:t>
            </w:r>
          </w:p>
        </w:tc>
      </w:tr>
    </w:tbl>
    <w:p w14:paraId="55B433B3" w14:textId="77777777" w:rsidR="00622884" w:rsidRPr="00622884" w:rsidRDefault="00622884" w:rsidP="00622884">
      <w:pPr>
        <w:spacing w:after="0" w:line="240" w:lineRule="auto"/>
        <w:ind w:firstLine="284"/>
        <w:jc w:val="left"/>
        <w:rPr>
          <w:rFonts w:ascii="Garamond" w:eastAsia="Calibri" w:hAnsi="Garamond" w:cs="Calibri Light"/>
          <w:sz w:val="24"/>
          <w:szCs w:val="24"/>
          <w:lang w:eastAsia="en-US"/>
        </w:rPr>
      </w:pPr>
    </w:p>
    <w:p w14:paraId="7D3037AF" w14:textId="77777777" w:rsidR="00622884" w:rsidRPr="00622884" w:rsidRDefault="00622884" w:rsidP="00622884">
      <w:pPr>
        <w:spacing w:after="0" w:line="240" w:lineRule="auto"/>
        <w:ind w:firstLine="284"/>
        <w:rPr>
          <w:rFonts w:ascii="Garamond" w:eastAsia="SimSun" w:hAnsi="Garamond" w:cs="Calibri Light"/>
          <w:sz w:val="24"/>
          <w:szCs w:val="24"/>
          <w:lang w:eastAsia="en-US"/>
        </w:rPr>
      </w:pPr>
      <w:r w:rsidRPr="00622884">
        <w:rPr>
          <w:rFonts w:ascii="Garamond" w:eastAsia="SimSun" w:hAnsi="Garamond" w:cs="Calibri Light"/>
          <w:b/>
          <w:sz w:val="24"/>
          <w:szCs w:val="24"/>
          <w:lang w:eastAsia="en-US" w:bidi="sq-AL"/>
        </w:rPr>
        <w:t>Më sipër ilustrohet se Shqipëria përballet me boshllëqe të konsiderueshme në financim në shumicën e sektorëve, me një hendek kritik prej 93%.</w:t>
      </w:r>
      <w:r w:rsidRPr="00622884">
        <w:rPr>
          <w:rFonts w:ascii="Garamond" w:eastAsia="SimSun" w:hAnsi="Garamond" w:cs="Calibri Light"/>
          <w:sz w:val="24"/>
          <w:szCs w:val="24"/>
          <w:lang w:eastAsia="en-US" w:bidi="sq-AL"/>
        </w:rPr>
        <w:t xml:space="preserve"> Vetëm 7% e fondeve të nevojshme është angazhuar përmes Programit Buxhetor Afatmesëm (PBA) 2025–2027. Me përjashtim të turizmit i cili nuk tregon asnjë boshllëk, boshllëqet në financim janë të larta në të gjithë sektorët e tjerë, ku për pylltarinë, zhvillimin urban dhe sektorët ndërsektorialë janë identifikuar nivele hendeku mbi 90% dhe madje gati 100% (transporti). Këto mungesa tregojnë se do të duhet financim i konsiderueshëm për të mbështetur nevojat e financimit për përshtatje në këtë NAP. </w:t>
      </w:r>
    </w:p>
    <w:p w14:paraId="3DD536BA" w14:textId="77777777" w:rsidR="00622884" w:rsidRPr="00622884" w:rsidRDefault="00622884" w:rsidP="00622884">
      <w:pPr>
        <w:keepNext/>
        <w:keepLines/>
        <w:spacing w:after="0" w:line="240" w:lineRule="auto"/>
        <w:ind w:firstLine="284"/>
        <w:outlineLvl w:val="1"/>
        <w:rPr>
          <w:rFonts w:ascii="Garamond" w:eastAsia="MS Mincho" w:hAnsi="Garamond" w:cs="Times New Roman"/>
          <w:b/>
          <w:bCs/>
          <w:caps/>
          <w:sz w:val="24"/>
          <w:szCs w:val="24"/>
          <w:lang w:eastAsia="es-ES"/>
        </w:rPr>
      </w:pPr>
      <w:bookmarkStart w:id="303" w:name="_Toc213936253"/>
      <w:r w:rsidRPr="00622884">
        <w:rPr>
          <w:rFonts w:ascii="Garamond" w:eastAsia="MS Mincho" w:hAnsi="Garamond" w:cs="Times New Roman"/>
          <w:b/>
          <w:bCs/>
          <w:caps/>
          <w:sz w:val="24"/>
          <w:szCs w:val="24"/>
          <w:lang w:eastAsia="es-ES" w:bidi="sq-AL"/>
        </w:rPr>
        <w:lastRenderedPageBreak/>
        <w:t xml:space="preserve">9.3 </w:t>
      </w:r>
      <w:r w:rsidRPr="00622884">
        <w:rPr>
          <w:rFonts w:ascii="Garamond" w:eastAsia="MS Mincho" w:hAnsi="Garamond" w:cs="Times New Roman"/>
          <w:b/>
          <w:bCs/>
          <w:sz w:val="24"/>
          <w:szCs w:val="24"/>
          <w:lang w:eastAsia="es-ES" w:bidi="sq-AL"/>
        </w:rPr>
        <w:t>Pengesat për të kapërcyer hendekun e financimit për përshtatje</w:t>
      </w:r>
      <w:bookmarkEnd w:id="303"/>
    </w:p>
    <w:p w14:paraId="37A144AE" w14:textId="77777777" w:rsidR="00622884" w:rsidRPr="00622884" w:rsidRDefault="00622884" w:rsidP="00622884">
      <w:pPr>
        <w:spacing w:after="0" w:line="240" w:lineRule="auto"/>
        <w:ind w:firstLine="284"/>
        <w:rPr>
          <w:rFonts w:ascii="Garamond" w:eastAsia="SimSun" w:hAnsi="Garamond" w:cs="Calibri Light"/>
          <w:sz w:val="24"/>
          <w:szCs w:val="24"/>
          <w:lang w:eastAsia="en-US"/>
        </w:rPr>
      </w:pPr>
      <w:r w:rsidRPr="00622884">
        <w:rPr>
          <w:rFonts w:ascii="Garamond" w:eastAsia="SimSun" w:hAnsi="Garamond" w:cs="Calibri Light"/>
          <w:sz w:val="24"/>
          <w:szCs w:val="24"/>
          <w:lang w:eastAsia="en-US" w:bidi="sq-AL"/>
        </w:rPr>
        <w:t>Kuadri i financimit për përshtatje në Shqipëri përballet me një sërë pengesash për shpërndarjen e fondeve për përshtatjen në shkallë të gjerë:</w:t>
      </w:r>
    </w:p>
    <w:p w14:paraId="40D48926" w14:textId="77777777" w:rsidR="00622884" w:rsidRPr="00622884" w:rsidRDefault="00622884" w:rsidP="00622884">
      <w:pPr>
        <w:spacing w:after="0" w:line="240" w:lineRule="auto"/>
        <w:ind w:firstLine="284"/>
        <w:rPr>
          <w:rFonts w:ascii="Garamond" w:eastAsia="SimSun" w:hAnsi="Garamond" w:cs="Calibri Light"/>
          <w:b/>
          <w:bCs/>
          <w:sz w:val="24"/>
          <w:szCs w:val="24"/>
          <w:lang w:eastAsia="en-US"/>
        </w:rPr>
      </w:pPr>
      <w:r w:rsidRPr="00622884">
        <w:rPr>
          <w:rFonts w:ascii="Garamond" w:eastAsia="SimSun" w:hAnsi="Garamond" w:cs="Calibri Light"/>
          <w:b/>
          <w:sz w:val="24"/>
          <w:szCs w:val="24"/>
          <w:lang w:eastAsia="en-US" w:bidi="sq-AL"/>
        </w:rPr>
        <w:t>1. Pengesat ekonomike dhe angazhimi i fragmentuar i donatorëve</w:t>
      </w:r>
    </w:p>
    <w:p w14:paraId="349E4AA7"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r w:rsidRPr="00622884">
        <w:rPr>
          <w:rFonts w:ascii="Garamond" w:eastAsia="Calibri" w:hAnsi="Garamond" w:cs="Times New Roman"/>
          <w:sz w:val="24"/>
          <w:szCs w:val="24"/>
          <w:lang w:eastAsia="en-US" w:bidi="sq-AL"/>
        </w:rPr>
        <w:t>- Kosto të larta fillestare të masave kryesore (p.sh., ujitja, mbrojtja e bregdetit) në tregjet e kapitalit të pazhvilluara dhe mungesa e lëshimit të obligacioneve të gjelbra.</w:t>
      </w:r>
    </w:p>
    <w:p w14:paraId="37A2A5F6"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r w:rsidRPr="00622884">
        <w:rPr>
          <w:rFonts w:ascii="Garamond" w:eastAsia="Calibri" w:hAnsi="Garamond" w:cs="Times New Roman"/>
          <w:sz w:val="24"/>
          <w:szCs w:val="24"/>
          <w:lang w:eastAsia="en-US" w:bidi="sq-AL"/>
        </w:rPr>
        <w:t>- Qasje e kufizuar në instrumentet e zbutjes së riskut, me një treg të përforcuar sigurimi që është shumë i nevojshëm, veçanërisht për komunitetet rurale.</w:t>
      </w:r>
    </w:p>
    <w:p w14:paraId="75C5982B"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r w:rsidRPr="00622884">
        <w:rPr>
          <w:rFonts w:ascii="Garamond" w:eastAsia="Calibri" w:hAnsi="Garamond" w:cs="Times New Roman"/>
          <w:sz w:val="24"/>
          <w:szCs w:val="24"/>
          <w:lang w:eastAsia="en-US" w:bidi="sq-AL"/>
        </w:rPr>
        <w:t>- Peizazhi i fragmentuar i donatorëve shkakton dublikim dhe boshllëqe, ku përshtatja ndaj turizmit është veçanërisht e nënfinancuar.</w:t>
      </w:r>
    </w:p>
    <w:p w14:paraId="386BA69A"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r w:rsidRPr="00622884">
        <w:rPr>
          <w:rFonts w:ascii="Garamond" w:eastAsia="Calibri" w:hAnsi="Garamond" w:cs="Times New Roman"/>
          <w:sz w:val="24"/>
          <w:szCs w:val="24"/>
          <w:lang w:eastAsia="en-US" w:bidi="sq-AL"/>
        </w:rPr>
        <w:t>- Të dhënat e pamjaftueshme të fizibilitetit dhe kthimet e paqarta ulin interesin për financim koncesionar ose nga MDB-ja për projektet e përshtatjes.</w:t>
      </w:r>
    </w:p>
    <w:p w14:paraId="14E33AE3" w14:textId="77777777" w:rsidR="00622884" w:rsidRPr="00622884" w:rsidRDefault="00622884" w:rsidP="00622884">
      <w:pPr>
        <w:spacing w:after="0" w:line="240" w:lineRule="auto"/>
        <w:ind w:firstLine="284"/>
        <w:rPr>
          <w:rFonts w:ascii="Garamond" w:eastAsia="SimSun" w:hAnsi="Garamond" w:cs="Calibri Light"/>
          <w:b/>
          <w:bCs/>
          <w:sz w:val="24"/>
          <w:szCs w:val="24"/>
          <w:lang w:eastAsia="en-US"/>
        </w:rPr>
      </w:pPr>
      <w:r w:rsidRPr="00622884">
        <w:rPr>
          <w:rFonts w:ascii="Garamond" w:eastAsia="SimSun" w:hAnsi="Garamond" w:cs="Calibri Light"/>
          <w:b/>
          <w:sz w:val="24"/>
          <w:szCs w:val="24"/>
          <w:lang w:eastAsia="en-US" w:bidi="sq-AL"/>
        </w:rPr>
        <w:t>2. Sfidat specifike për sektorët</w:t>
      </w:r>
    </w:p>
    <w:p w14:paraId="6C56E13E"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r w:rsidRPr="00622884">
        <w:rPr>
          <w:rFonts w:ascii="Garamond" w:eastAsia="Calibri" w:hAnsi="Garamond" w:cs="Times New Roman"/>
          <w:sz w:val="24"/>
          <w:szCs w:val="24"/>
          <w:lang w:eastAsia="en-US" w:bidi="sq-AL"/>
        </w:rPr>
        <w:t>- Energjia: Varësia e madhe nga energjia hidroelektrike dhe mungesa e magazinimit e ekspozojnë sektorin ndaj thatësirës; rregulloret e paqarta pengojnë investimet private.</w:t>
      </w:r>
    </w:p>
    <w:p w14:paraId="5C0BEC00"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r w:rsidRPr="00622884">
        <w:rPr>
          <w:rFonts w:ascii="Garamond" w:eastAsia="Calibri" w:hAnsi="Garamond" w:cs="Times New Roman"/>
          <w:sz w:val="24"/>
          <w:szCs w:val="24"/>
          <w:lang w:eastAsia="en-US" w:bidi="sq-AL"/>
        </w:rPr>
        <w:t>- Transporti: Dëmet e shpeshta nga përmbytjet dhe mungesa e standardeve të qëndrueshmërisë në tendera pengojnë mbrojtjen nga ndryshimet klimatike.</w:t>
      </w:r>
    </w:p>
    <w:p w14:paraId="5069AC2B"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r w:rsidRPr="00622884">
        <w:rPr>
          <w:rFonts w:ascii="Garamond" w:eastAsia="Calibri" w:hAnsi="Garamond" w:cs="Times New Roman"/>
          <w:sz w:val="24"/>
          <w:szCs w:val="24"/>
          <w:lang w:eastAsia="en-US" w:bidi="sq-AL"/>
        </w:rPr>
        <w:t>- Bujqësia dhe pylltaria: Fermave të vogla nuk u ofrohet kredi dhe sigurim, duke kufizuar përvetësimin e praktikave inteligjente për klimën; gjithashtu, nevojiten stimuj të rinj për mirëmbajtjen dhe ripyllëzimin e zonave pyjore për të financuar përshtatjen në sektor.</w:t>
      </w:r>
    </w:p>
    <w:p w14:paraId="00FEC43E"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r w:rsidRPr="00622884">
        <w:rPr>
          <w:rFonts w:ascii="Garamond" w:eastAsia="Calibri" w:hAnsi="Garamond" w:cs="Times New Roman"/>
          <w:sz w:val="24"/>
          <w:szCs w:val="24"/>
          <w:lang w:eastAsia="en-US" w:bidi="sq-AL"/>
        </w:rPr>
        <w:t>- Turizmi: Shumë i ekspozuar ndaj erozionit dhe ndryshimeve të motit; pak mjete financiare ose PPP për turizëm me aftësi ripërtëritëse.</w:t>
      </w:r>
    </w:p>
    <w:p w14:paraId="48BB311A"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r w:rsidRPr="00622884">
        <w:rPr>
          <w:rFonts w:ascii="Garamond" w:eastAsia="Calibri" w:hAnsi="Garamond" w:cs="Times New Roman"/>
          <w:sz w:val="24"/>
          <w:szCs w:val="24"/>
          <w:lang w:eastAsia="en-US" w:bidi="sq-AL"/>
        </w:rPr>
        <w:t>- Urban: Urbanizimi i shpejtë dhe zbatimi i papërshtatshëm i kodeve vonojnë infrastrukturën e gjelbër dhe me aftësi ripërtëritëse.</w:t>
      </w:r>
    </w:p>
    <w:p w14:paraId="50577D39" w14:textId="77777777" w:rsidR="00622884" w:rsidRPr="00622884" w:rsidRDefault="00622884" w:rsidP="00622884">
      <w:pPr>
        <w:spacing w:after="0" w:line="240" w:lineRule="auto"/>
        <w:ind w:firstLine="284"/>
        <w:rPr>
          <w:rFonts w:ascii="Garamond" w:eastAsia="SimSun" w:hAnsi="Garamond" w:cs="Calibri Light"/>
          <w:b/>
          <w:bCs/>
          <w:sz w:val="24"/>
          <w:szCs w:val="24"/>
          <w:lang w:eastAsia="en-US"/>
        </w:rPr>
      </w:pPr>
      <w:r w:rsidRPr="00622884">
        <w:rPr>
          <w:rFonts w:ascii="Garamond" w:eastAsia="SimSun" w:hAnsi="Garamond" w:cs="Calibri Light"/>
          <w:b/>
          <w:sz w:val="24"/>
          <w:szCs w:val="24"/>
          <w:lang w:eastAsia="en-US" w:bidi="sq-AL"/>
        </w:rPr>
        <w:t>3. Mangësitë në përgatitjen dhe koordinimin e projektit</w:t>
      </w:r>
    </w:p>
    <w:p w14:paraId="476BE3A6"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r w:rsidRPr="00622884">
        <w:rPr>
          <w:rFonts w:ascii="Garamond" w:eastAsia="Calibri" w:hAnsi="Garamond" w:cs="Times New Roman"/>
          <w:sz w:val="24"/>
          <w:szCs w:val="24"/>
          <w:lang w:eastAsia="en-US" w:bidi="sq-AL"/>
        </w:rPr>
        <w:t>- Pak projekte “që mund të financohen” me studime të plota fizibiliteti kufizojnë qasjen në fonde të mëdha.</w:t>
      </w:r>
    </w:p>
    <w:p w14:paraId="11093F62"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r w:rsidRPr="00622884">
        <w:rPr>
          <w:rFonts w:ascii="Garamond" w:eastAsia="Calibri" w:hAnsi="Garamond" w:cs="Times New Roman"/>
          <w:sz w:val="24"/>
          <w:szCs w:val="24"/>
          <w:lang w:eastAsia="en-US" w:bidi="sq-AL"/>
        </w:rPr>
        <w:t>- Mungesa e një organi koordinues institucional ose sekretariati nën drejtimin e GNPNK-së shkakton mbivendosje të donatorëve.</w:t>
      </w:r>
    </w:p>
    <w:p w14:paraId="2AD1518B"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r w:rsidRPr="00622884">
        <w:rPr>
          <w:rFonts w:ascii="Garamond" w:eastAsia="Calibri" w:hAnsi="Garamond" w:cs="Times New Roman"/>
          <w:sz w:val="24"/>
          <w:szCs w:val="24"/>
          <w:lang w:eastAsia="en-US" w:bidi="sq-AL"/>
        </w:rPr>
        <w:t>- Nuk ka një sistem të unifikuar të gjurmimit të financimit për klimën për të monitoruar, raportuar ose harmonizuar shpenzimet për përshtatjen.</w:t>
      </w:r>
    </w:p>
    <w:p w14:paraId="3B320B27" w14:textId="77777777" w:rsidR="00622884" w:rsidRPr="00622884" w:rsidRDefault="00622884" w:rsidP="00622884">
      <w:pPr>
        <w:spacing w:after="0" w:line="240" w:lineRule="auto"/>
        <w:ind w:firstLine="284"/>
        <w:rPr>
          <w:rFonts w:ascii="Garamond" w:eastAsia="SimSun" w:hAnsi="Garamond" w:cs="Calibri Light"/>
          <w:sz w:val="24"/>
          <w:szCs w:val="24"/>
          <w:lang w:eastAsia="en-US"/>
        </w:rPr>
      </w:pPr>
      <w:r w:rsidRPr="00622884">
        <w:rPr>
          <w:rFonts w:ascii="Garamond" w:eastAsia="SimSun" w:hAnsi="Garamond" w:cs="Calibri Light"/>
          <w:b/>
          <w:sz w:val="24"/>
          <w:szCs w:val="24"/>
          <w:lang w:eastAsia="en-US" w:bidi="sq-AL"/>
        </w:rPr>
        <w:t>4. Pjesëmarrje e ulët e sektorit privat</w:t>
      </w:r>
    </w:p>
    <w:p w14:paraId="09E29FDA"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r w:rsidRPr="00622884">
        <w:rPr>
          <w:rFonts w:ascii="Garamond" w:eastAsia="Calibri" w:hAnsi="Garamond" w:cs="Times New Roman"/>
          <w:sz w:val="24"/>
          <w:szCs w:val="24"/>
          <w:lang w:eastAsia="en-US" w:bidi="sq-AL"/>
        </w:rPr>
        <w:t>- Investime minimale private në përshtatje (përbën 5% të fondeve kombëtare për përshtatjen) për shkak të mungesës së mjeteve për uljen e riskut, incentivave fiskale dhe qartësisë rregullatore.</w:t>
      </w:r>
    </w:p>
    <w:p w14:paraId="561B2903"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r w:rsidRPr="00622884">
        <w:rPr>
          <w:rFonts w:ascii="Garamond" w:eastAsia="Calibri" w:hAnsi="Garamond" w:cs="Times New Roman"/>
          <w:sz w:val="24"/>
          <w:szCs w:val="24"/>
          <w:lang w:eastAsia="en-US" w:bidi="sq-AL"/>
        </w:rPr>
        <w:t>- Ekosistemi i financimit të gjelbër është ende në fazat e hershme: Nuk ka obligacione ose produkte sigurimi për klimën dhe ka programe pilot të kufizuara të huadhënies ESG të udhëhequra vetëm nga disa banka.</w:t>
      </w:r>
    </w:p>
    <w:p w14:paraId="6B01487B"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r w:rsidRPr="00622884">
        <w:rPr>
          <w:rFonts w:ascii="Garamond" w:eastAsia="Calibri" w:hAnsi="Garamond" w:cs="Times New Roman"/>
          <w:sz w:val="24"/>
          <w:szCs w:val="24"/>
          <w:lang w:eastAsia="en-US" w:bidi="sq-AL"/>
        </w:rPr>
        <w:t>- Hapat e hershëm përfshijnë financimin e kombinuar në kuadër të programeve rrugore dhe projektet pilot të PPP-së.</w:t>
      </w:r>
    </w:p>
    <w:p w14:paraId="2B468235" w14:textId="77777777" w:rsidR="00622884" w:rsidRPr="00622884" w:rsidRDefault="00622884" w:rsidP="00622884">
      <w:pPr>
        <w:spacing w:after="0" w:line="240" w:lineRule="auto"/>
        <w:ind w:firstLine="284"/>
        <w:rPr>
          <w:rFonts w:ascii="Garamond" w:eastAsia="SimSun" w:hAnsi="Garamond" w:cs="Calibri Light"/>
          <w:sz w:val="24"/>
          <w:szCs w:val="24"/>
          <w:lang w:eastAsia="en-US"/>
        </w:rPr>
      </w:pPr>
      <w:r w:rsidRPr="00622884">
        <w:rPr>
          <w:rFonts w:ascii="Garamond" w:eastAsia="SimSun" w:hAnsi="Garamond" w:cs="Calibri Light"/>
          <w:b/>
          <w:sz w:val="24"/>
          <w:szCs w:val="24"/>
          <w:lang w:eastAsia="en-US" w:bidi="sq-AL"/>
        </w:rPr>
        <w:t>5. Kufizime institucionale, rregullatore, të tregut dhe të kapaciteteve</w:t>
      </w:r>
    </w:p>
    <w:p w14:paraId="4AFDF7E8"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r w:rsidRPr="00622884">
        <w:rPr>
          <w:rFonts w:ascii="Garamond" w:eastAsia="Calibri" w:hAnsi="Garamond" w:cs="Times New Roman"/>
          <w:sz w:val="24"/>
          <w:szCs w:val="24"/>
          <w:lang w:eastAsia="en-US" w:bidi="sq-AL"/>
        </w:rPr>
        <w:t>- Legjislacioni dytësor i vonuar dhe tarifat e paharmonizuara dekurajojnë PPP-të në sektorin e ujit dhe infrastrukturës.</w:t>
      </w:r>
    </w:p>
    <w:p w14:paraId="0C1C5228"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r w:rsidRPr="00622884">
        <w:rPr>
          <w:rFonts w:ascii="Garamond" w:eastAsia="Calibri" w:hAnsi="Garamond" w:cs="Times New Roman"/>
          <w:sz w:val="24"/>
          <w:szCs w:val="24"/>
          <w:lang w:eastAsia="en-US" w:bidi="sq-AL"/>
        </w:rPr>
        <w:t>- Nuk ka fonde kombëtare për klimën apo sisteme efektive të etiketimit të buxhetit për të kanalizuar financimin.</w:t>
      </w:r>
    </w:p>
    <w:p w14:paraId="358877F6"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r w:rsidRPr="00622884">
        <w:rPr>
          <w:rFonts w:ascii="Garamond" w:eastAsia="Calibri" w:hAnsi="Garamond" w:cs="Times New Roman"/>
          <w:sz w:val="24"/>
          <w:szCs w:val="24"/>
          <w:lang w:eastAsia="en-US" w:bidi="sq-AL"/>
        </w:rPr>
        <w:t>- Fokus i kufizuar në barazi; rajonet malore si Kukësi dhe Dibra mbeten të pafinancuara pavarësisht cenueshmërisë së lartë.</w:t>
      </w:r>
    </w:p>
    <w:p w14:paraId="4F6EF162" w14:textId="77777777" w:rsidR="00622884" w:rsidRPr="00622884" w:rsidRDefault="00622884" w:rsidP="00622884">
      <w:pPr>
        <w:spacing w:after="0" w:line="240" w:lineRule="auto"/>
        <w:ind w:firstLine="284"/>
        <w:rPr>
          <w:rFonts w:ascii="Garamond" w:eastAsia="SimSun" w:hAnsi="Garamond" w:cs="Calibri Light"/>
          <w:b/>
          <w:bCs/>
          <w:sz w:val="24"/>
          <w:szCs w:val="24"/>
          <w:lang w:eastAsia="en-US"/>
        </w:rPr>
      </w:pPr>
      <w:r w:rsidRPr="00622884">
        <w:rPr>
          <w:rFonts w:ascii="Garamond" w:eastAsia="SimSun" w:hAnsi="Garamond" w:cs="Calibri Light"/>
          <w:b/>
          <w:sz w:val="24"/>
          <w:szCs w:val="24"/>
          <w:lang w:eastAsia="en-US" w:bidi="sq-AL"/>
        </w:rPr>
        <w:t>6. Reformat rregullatore dhe të politikave</w:t>
      </w:r>
    </w:p>
    <w:p w14:paraId="6E2F0E59"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r w:rsidRPr="00622884">
        <w:rPr>
          <w:rFonts w:ascii="Garamond" w:eastAsia="Calibri" w:hAnsi="Garamond" w:cs="Times New Roman"/>
          <w:sz w:val="24"/>
          <w:szCs w:val="24"/>
          <w:lang w:eastAsia="en-US" w:bidi="sq-AL"/>
        </w:rPr>
        <w:t>- Rritja e alokimit të buxhetit të brendshëm dhe përshpejtimi i një Fondi Kombëtar të Përshtatjes do të përmirësonte stabilitetin e financimit.</w:t>
      </w:r>
    </w:p>
    <w:p w14:paraId="1E464CB1"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r w:rsidRPr="00622884">
        <w:rPr>
          <w:rFonts w:ascii="Garamond" w:eastAsia="Calibri" w:hAnsi="Garamond" w:cs="Times New Roman"/>
          <w:sz w:val="24"/>
          <w:szCs w:val="24"/>
          <w:lang w:eastAsia="en-US" w:bidi="sq-AL"/>
        </w:rPr>
        <w:lastRenderedPageBreak/>
        <w:t>- Angazhimi proaktiv me mekanizmat e BE-së dhe WBIF-së mund të nxisë projekte më të mëdha në shkallë rajonale.</w:t>
      </w:r>
    </w:p>
    <w:p w14:paraId="09F8EC8F"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r w:rsidRPr="00622884">
        <w:rPr>
          <w:rFonts w:ascii="Garamond" w:eastAsia="Calibri" w:hAnsi="Garamond" w:cs="Times New Roman"/>
          <w:sz w:val="24"/>
          <w:szCs w:val="24"/>
          <w:lang w:eastAsia="en-US" w:bidi="sq-AL"/>
        </w:rPr>
        <w:t>- Ngritja e sistemeve të fuqishme të monitorimit dhe vlerësimit do të tregonte ndikim dhe do të siguronte fonde të mëtejshme.</w:t>
      </w:r>
    </w:p>
    <w:p w14:paraId="2D97DDA7" w14:textId="77777777" w:rsidR="00622884" w:rsidRPr="00622884" w:rsidRDefault="00622884" w:rsidP="00622884">
      <w:pPr>
        <w:spacing w:after="0" w:line="240" w:lineRule="auto"/>
        <w:ind w:firstLine="284"/>
        <w:rPr>
          <w:rFonts w:ascii="Garamond" w:eastAsia="SimSun" w:hAnsi="Garamond" w:cs="Calibri Light"/>
          <w:b/>
          <w:bCs/>
          <w:sz w:val="24"/>
          <w:szCs w:val="24"/>
          <w:lang w:eastAsia="en-US"/>
        </w:rPr>
      </w:pPr>
      <w:r w:rsidRPr="00622884">
        <w:rPr>
          <w:rFonts w:ascii="Garamond" w:eastAsia="SimSun" w:hAnsi="Garamond" w:cs="Calibri Light"/>
          <w:b/>
          <w:sz w:val="24"/>
          <w:szCs w:val="24"/>
          <w:lang w:eastAsia="en-US" w:bidi="sq-AL"/>
        </w:rPr>
        <w:t>7. Sfida të tjera</w:t>
      </w:r>
    </w:p>
    <w:p w14:paraId="361F0FE2"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r w:rsidRPr="00622884">
        <w:rPr>
          <w:rFonts w:ascii="Garamond" w:eastAsia="Calibri" w:hAnsi="Garamond" w:cs="Times New Roman"/>
          <w:sz w:val="24"/>
          <w:szCs w:val="24"/>
          <w:lang w:eastAsia="en-US" w:bidi="sq-AL"/>
        </w:rPr>
        <w:t>- Pasiguria klimatike mund të shkaktojë nënvlerësim të madh të kostove të përshtatjes (p.sh., mbrojtja e nivelit të detit në Durrës).</w:t>
      </w:r>
    </w:p>
    <w:p w14:paraId="60B11E20"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r w:rsidRPr="00622884">
        <w:rPr>
          <w:rFonts w:ascii="Garamond" w:eastAsia="Calibri" w:hAnsi="Garamond" w:cs="Times New Roman"/>
          <w:sz w:val="24"/>
          <w:szCs w:val="24"/>
          <w:lang w:eastAsia="en-US" w:bidi="sq-AL"/>
        </w:rPr>
        <w:t>- Sistemet e dobëta të MRV-së dhe mungesa e treguesve të standardizuar pengojnë vlerësimin e efektivitetit të përshtatjes dhe justifikimin e investimeve.</w:t>
      </w:r>
    </w:p>
    <w:p w14:paraId="05DDA757" w14:textId="77777777" w:rsidR="00622884" w:rsidRPr="00622884" w:rsidRDefault="00622884" w:rsidP="00622884">
      <w:pPr>
        <w:keepNext/>
        <w:keepLines/>
        <w:spacing w:after="0" w:line="240" w:lineRule="auto"/>
        <w:ind w:firstLine="284"/>
        <w:outlineLvl w:val="1"/>
        <w:rPr>
          <w:rFonts w:ascii="Garamond" w:eastAsia="MS Mincho" w:hAnsi="Garamond" w:cs="Times New Roman"/>
          <w:b/>
          <w:bCs/>
          <w:caps/>
          <w:sz w:val="24"/>
          <w:szCs w:val="24"/>
          <w:lang w:eastAsia="es-ES"/>
        </w:rPr>
      </w:pPr>
      <w:bookmarkStart w:id="304" w:name="_Toc213936254"/>
      <w:r w:rsidRPr="00622884">
        <w:rPr>
          <w:rFonts w:ascii="Garamond" w:eastAsia="MS Mincho" w:hAnsi="Garamond" w:cs="Times New Roman"/>
          <w:b/>
          <w:bCs/>
          <w:caps/>
          <w:sz w:val="24"/>
          <w:szCs w:val="24"/>
          <w:lang w:eastAsia="es-ES" w:bidi="sq-AL"/>
        </w:rPr>
        <w:t xml:space="preserve">9.4 </w:t>
      </w:r>
      <w:r w:rsidRPr="00622884">
        <w:rPr>
          <w:rFonts w:ascii="Garamond" w:eastAsia="MS Mincho" w:hAnsi="Garamond" w:cs="Times New Roman"/>
          <w:b/>
          <w:bCs/>
          <w:sz w:val="24"/>
          <w:szCs w:val="24"/>
          <w:lang w:eastAsia="es-ES" w:bidi="sq-AL"/>
        </w:rPr>
        <w:t>Mekanizmat mundësues për të kapërcyer hendekun e financimit të përshtatjes</w:t>
      </w:r>
      <w:bookmarkEnd w:id="304"/>
    </w:p>
    <w:p w14:paraId="236975CC" w14:textId="77777777" w:rsidR="00622884" w:rsidRPr="00622884" w:rsidRDefault="00622884" w:rsidP="00622884">
      <w:pPr>
        <w:spacing w:after="0" w:line="240" w:lineRule="auto"/>
        <w:ind w:firstLine="284"/>
        <w:rPr>
          <w:rFonts w:ascii="Garamond" w:eastAsia="SimSun" w:hAnsi="Garamond" w:cs="Calibri Light"/>
          <w:sz w:val="24"/>
          <w:szCs w:val="24"/>
          <w:lang w:eastAsia="en-US"/>
        </w:rPr>
      </w:pPr>
      <w:r w:rsidRPr="00622884">
        <w:rPr>
          <w:rFonts w:ascii="Garamond" w:eastAsia="SimSun" w:hAnsi="Garamond" w:cs="Calibri Light"/>
          <w:sz w:val="24"/>
          <w:szCs w:val="24"/>
          <w:lang w:eastAsia="en-US" w:bidi="sq-AL"/>
        </w:rPr>
        <w:t>Për të lehtësuar qasjen në financim, mund të përdoren një sërë mekanizmash mundësues në vend:</w:t>
      </w:r>
    </w:p>
    <w:p w14:paraId="1FD8C7A3"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r w:rsidRPr="00622884">
        <w:rPr>
          <w:rFonts w:ascii="Garamond" w:eastAsia="Calibri" w:hAnsi="Garamond" w:cs="Times New Roman"/>
          <w:sz w:val="24"/>
          <w:szCs w:val="24"/>
          <w:lang w:eastAsia="en-US" w:bidi="sq-AL"/>
        </w:rPr>
        <w:t>-</w:t>
      </w:r>
      <w:r w:rsidRPr="00622884">
        <w:rPr>
          <w:rFonts w:ascii="Garamond" w:eastAsia="Calibri" w:hAnsi="Garamond" w:cs="Times New Roman"/>
          <w:b/>
          <w:sz w:val="24"/>
          <w:szCs w:val="24"/>
          <w:lang w:eastAsia="en-US" w:bidi="sq-AL"/>
        </w:rPr>
        <w:t xml:space="preserve"> Struktura të përziera financimi. </w:t>
      </w:r>
      <w:r w:rsidRPr="00622884">
        <w:rPr>
          <w:rFonts w:ascii="Garamond" w:eastAsia="Calibri" w:hAnsi="Garamond" w:cs="Times New Roman"/>
          <w:sz w:val="24"/>
          <w:szCs w:val="24"/>
          <w:lang w:eastAsia="en-US" w:bidi="sq-AL"/>
        </w:rPr>
        <w:t>Strategjia e Financimit të Përshtatjes e Shqipërisë varet nga përshkallëzimi i financimit të përzier, duke kombinuar kapitalin koncesionar dhe atë tregtar për të ulur riskun e investimeve private, duke përfshirë disa instrumente dhe projekte pilot të zbatueshme, si garancitë dhe lehtësirat e ndarjes së riskut; Fondi i Gjelbër për Rritje (FGJRR) dhe një projekt pilot i obligacioneve të përshtatjes së turizmit, të cilat janë në diskutim e sipër;</w:t>
      </w:r>
    </w:p>
    <w:p w14:paraId="5A6F785A"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r w:rsidRPr="00622884">
        <w:rPr>
          <w:rFonts w:ascii="Garamond" w:eastAsia="Calibri" w:hAnsi="Garamond" w:cs="Times New Roman"/>
          <w:sz w:val="24"/>
          <w:szCs w:val="24"/>
          <w:lang w:eastAsia="en-US" w:bidi="sq-AL"/>
        </w:rPr>
        <w:t>-</w:t>
      </w:r>
      <w:r w:rsidRPr="00622884">
        <w:rPr>
          <w:rFonts w:ascii="Garamond" w:eastAsia="Calibri" w:hAnsi="Garamond" w:cs="Times New Roman"/>
          <w:b/>
          <w:sz w:val="24"/>
          <w:szCs w:val="24"/>
          <w:lang w:eastAsia="en-US" w:bidi="sq-AL"/>
        </w:rPr>
        <w:t xml:space="preserve"> Integrimi i përshtatjes në financimin e zhvillimit. </w:t>
      </w:r>
      <w:r w:rsidRPr="00622884">
        <w:rPr>
          <w:rFonts w:ascii="Garamond" w:eastAsia="Calibri" w:hAnsi="Garamond" w:cs="Times New Roman"/>
          <w:sz w:val="24"/>
          <w:szCs w:val="24"/>
          <w:lang w:eastAsia="en-US" w:bidi="sq-AL"/>
        </w:rPr>
        <w:t>Strategjia e përshtatjes e Shqipërisë përqendrohet në integrimin e aftësive ripërtëritëse ndaj klimës në të gjitha financimet e zhvillimit, duke siguruar që infrastruktura e re të mbrohet nga ndryshimet klimatike. Partnerët ndërkombëtarë si BEI-ja dhe WBIF-ja kërkojnë shqyrtimin e riskut klimatik, me projekte pilot të suksesshme në Shkodër dhe Tiranë që demonstrojnë fizibilitetin. Kështu, Plani i Zbatimit identifikon mundësitë e bashkëfinancimit, si shfrytëzimi i fondeve të FGJK-së për projekte të mbështetura nga BE-ja, dhe prioritizon 66 masa me kosto efektive që përbëjnë interes për donatorët dhe investitorët. Megjithatë, rritja e financimit kërkon mundësimin e reformave, finalizimin e etiketimit të buxhetit për klimën, vendosjen e çmimeve të karbonit dhe harmonizimin e tarifave për të tërhequr PPP-të. Zbatimi i legjislacionit për përdorimin e tokës, sistemet e përmirësuara të të dhënave dhe kapaciteti i zgjeruar teknik dhe institucional janë gjithashtu thelbësore. Së fundi, nxitja e bashkëpunimit midis qeverisë, sektorit privat dhe komuniteteve është me rëndësi për zhvillimin e një tregu funksional për zgjidhje të bazuara në natyrë që mbështesin aftësitë ripërtëritëse afatgjata ndaj klimës dhe rritjen e qëndrueshme.</w:t>
      </w:r>
    </w:p>
    <w:p w14:paraId="0169011F" w14:textId="77777777" w:rsidR="00622884" w:rsidRPr="00622884" w:rsidRDefault="00622884" w:rsidP="00622884">
      <w:pPr>
        <w:keepNext/>
        <w:keepLines/>
        <w:spacing w:after="0" w:line="240" w:lineRule="auto"/>
        <w:ind w:firstLine="284"/>
        <w:outlineLvl w:val="1"/>
        <w:rPr>
          <w:rFonts w:ascii="Garamond" w:eastAsia="MS Mincho" w:hAnsi="Garamond" w:cs="Times New Roman"/>
          <w:b/>
          <w:bCs/>
          <w:caps/>
          <w:sz w:val="24"/>
          <w:szCs w:val="24"/>
          <w:lang w:eastAsia="es-ES"/>
        </w:rPr>
      </w:pPr>
      <w:bookmarkStart w:id="305" w:name="_Toc213936255"/>
      <w:r w:rsidRPr="00622884">
        <w:rPr>
          <w:rFonts w:ascii="Garamond" w:eastAsia="MS Mincho" w:hAnsi="Garamond" w:cs="Times New Roman"/>
          <w:b/>
          <w:bCs/>
          <w:caps/>
          <w:sz w:val="24"/>
          <w:szCs w:val="24"/>
          <w:lang w:eastAsia="es-ES" w:bidi="sq-AL"/>
        </w:rPr>
        <w:t xml:space="preserve">9.5 </w:t>
      </w:r>
      <w:r w:rsidRPr="00622884">
        <w:rPr>
          <w:rFonts w:ascii="Garamond" w:eastAsia="MS Mincho" w:hAnsi="Garamond" w:cs="Times New Roman"/>
          <w:b/>
          <w:bCs/>
          <w:sz w:val="24"/>
          <w:szCs w:val="24"/>
          <w:lang w:eastAsia="es-ES" w:bidi="sq-AL"/>
        </w:rPr>
        <w:t>Qasje strategjike</w:t>
      </w:r>
      <w:bookmarkEnd w:id="305"/>
    </w:p>
    <w:p w14:paraId="345CAF5F" w14:textId="77777777" w:rsidR="00622884" w:rsidRPr="00622884" w:rsidRDefault="00622884" w:rsidP="00622884">
      <w:pPr>
        <w:spacing w:after="0" w:line="240" w:lineRule="auto"/>
        <w:ind w:firstLine="284"/>
        <w:rPr>
          <w:rFonts w:ascii="Garamond" w:eastAsia="SimSun" w:hAnsi="Garamond" w:cs="Calibri Light"/>
          <w:b/>
          <w:bCs/>
          <w:sz w:val="24"/>
          <w:szCs w:val="24"/>
          <w:lang w:eastAsia="en-US"/>
        </w:rPr>
      </w:pPr>
      <w:r w:rsidRPr="00622884">
        <w:rPr>
          <w:rFonts w:ascii="Garamond" w:eastAsia="SimSun" w:hAnsi="Garamond" w:cs="Calibri Light"/>
          <w:sz w:val="24"/>
          <w:szCs w:val="24"/>
          <w:lang w:eastAsia="en-US" w:bidi="sq-AL"/>
        </w:rPr>
        <w:t>Mobilizimi efektiv i burimeve dhe financimi i prioriteteve të përshtatjes të Shqipërisë do të kërkojë një strategji shumëplanëshe, që kombinon mobilizimin e burimeve vendase, qasjen e përmirësuar në financimin ndërkombëtar për ndryshimet klimatike, angazhimin më të madh me sektorin privat dhe zhvillimin e instrumenteve financiare novatore, si dhe masat ndërsektoriale që rrisin kapacitetin përshtatës të vendit</w:t>
      </w:r>
      <w:r w:rsidRPr="00622884">
        <w:rPr>
          <w:rFonts w:ascii="Garamond" w:eastAsia="SimSun" w:hAnsi="Garamond" w:cs="Calibri Light"/>
          <w:sz w:val="24"/>
          <w:szCs w:val="24"/>
          <w:vertAlign w:val="superscript"/>
          <w:lang w:eastAsia="en-US" w:bidi="sq-AL"/>
        </w:rPr>
        <w:footnoteReference w:id="225"/>
      </w:r>
      <w:r w:rsidRPr="00622884">
        <w:rPr>
          <w:rFonts w:ascii="Garamond" w:eastAsia="SimSun" w:hAnsi="Garamond" w:cs="Calibri Light"/>
          <w:sz w:val="24"/>
          <w:szCs w:val="24"/>
          <w:lang w:eastAsia="en-US" w:bidi="sq-AL"/>
        </w:rPr>
        <w:t>.</w:t>
      </w:r>
    </w:p>
    <w:p w14:paraId="62C09053" w14:textId="77777777" w:rsidR="00622884" w:rsidRPr="00622884" w:rsidRDefault="00622884" w:rsidP="00622884">
      <w:pPr>
        <w:keepNext/>
        <w:spacing w:after="0" w:line="240" w:lineRule="auto"/>
        <w:ind w:firstLine="284"/>
        <w:mirrorIndents/>
        <w:rPr>
          <w:rFonts w:ascii="Garamond" w:eastAsia="Calibri Light" w:hAnsi="Garamond" w:cs="Calibri Light"/>
          <w:b/>
          <w:bCs/>
          <w:iCs/>
          <w:sz w:val="24"/>
          <w:szCs w:val="24"/>
          <w:lang w:eastAsia="en-US"/>
        </w:rPr>
      </w:pPr>
      <w:r w:rsidRPr="00622884">
        <w:rPr>
          <w:rFonts w:ascii="Garamond" w:eastAsia="Calibri Light" w:hAnsi="Garamond" w:cs="Calibri Light"/>
          <w:b/>
          <w:bCs/>
          <w:iCs/>
          <w:sz w:val="24"/>
          <w:szCs w:val="24"/>
          <w:lang w:eastAsia="en-US" w:bidi="sq-AL"/>
        </w:rPr>
        <w:t>Mobilizimi i burimeve vendase</w:t>
      </w:r>
    </w:p>
    <w:p w14:paraId="106DAA11" w14:textId="77777777" w:rsidR="00622884" w:rsidRPr="00622884" w:rsidRDefault="00622884" w:rsidP="00622884">
      <w:pPr>
        <w:spacing w:after="0" w:line="240" w:lineRule="auto"/>
        <w:ind w:firstLine="284"/>
        <w:rPr>
          <w:rFonts w:ascii="Garamond" w:eastAsia="SimSun" w:hAnsi="Garamond" w:cs="Calibri Light"/>
          <w:sz w:val="24"/>
          <w:szCs w:val="24"/>
          <w:lang w:eastAsia="en-US"/>
        </w:rPr>
      </w:pPr>
      <w:r w:rsidRPr="00622884">
        <w:rPr>
          <w:rFonts w:ascii="Garamond" w:eastAsia="SimSun" w:hAnsi="Garamond" w:cs="Calibri Light"/>
          <w:sz w:val="24"/>
          <w:szCs w:val="24"/>
          <w:lang w:eastAsia="en-US" w:bidi="sq-AL"/>
        </w:rPr>
        <w:t xml:space="preserve">Forcimi i </w:t>
      </w:r>
      <w:r w:rsidRPr="00622884">
        <w:rPr>
          <w:rFonts w:ascii="Garamond" w:eastAsia="SimSun" w:hAnsi="Garamond" w:cs="Calibri Light"/>
          <w:b/>
          <w:sz w:val="24"/>
          <w:szCs w:val="24"/>
          <w:lang w:eastAsia="en-US" w:bidi="sq-AL"/>
        </w:rPr>
        <w:t>kontributeve vendase</w:t>
      </w:r>
      <w:r w:rsidRPr="00622884">
        <w:rPr>
          <w:rFonts w:ascii="Garamond" w:eastAsia="SimSun" w:hAnsi="Garamond" w:cs="Calibri Light"/>
          <w:sz w:val="24"/>
          <w:szCs w:val="24"/>
          <w:lang w:eastAsia="en-US" w:bidi="sq-AL"/>
        </w:rPr>
        <w:t xml:space="preserve"> është thelbësor për shfrytëzimin e fondeve ndërkombëtare dhe sigurimin e qëndrueshmërisë. Kjo mund të bëhet përmes:</w:t>
      </w:r>
    </w:p>
    <w:p w14:paraId="5A220B2B"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r w:rsidRPr="00622884">
        <w:rPr>
          <w:rFonts w:ascii="Garamond" w:eastAsia="Calibri" w:hAnsi="Garamond" w:cs="Times New Roman"/>
          <w:sz w:val="24"/>
          <w:szCs w:val="24"/>
          <w:lang w:eastAsia="en-US" w:bidi="sq-AL"/>
        </w:rPr>
        <w:t>-</w:t>
      </w:r>
      <w:r w:rsidRPr="00622884">
        <w:rPr>
          <w:rFonts w:ascii="Garamond" w:eastAsia="Calibri" w:hAnsi="Garamond" w:cs="Times New Roman"/>
          <w:b/>
          <w:sz w:val="24"/>
          <w:szCs w:val="24"/>
          <w:lang w:eastAsia="en-US" w:bidi="sq-AL"/>
        </w:rPr>
        <w:t xml:space="preserve"> Shtimit të fondeve nga buxheti i shtetit</w:t>
      </w:r>
      <w:r w:rsidRPr="00622884">
        <w:rPr>
          <w:rFonts w:ascii="Garamond" w:eastAsia="Calibri" w:hAnsi="Garamond" w:cs="Times New Roman"/>
          <w:sz w:val="24"/>
          <w:szCs w:val="24"/>
          <w:lang w:eastAsia="en-US" w:bidi="sq-AL"/>
        </w:rPr>
        <w:t>, ku Shqipëria që do të angazhohet për mobilizimin e të paktën 20% të nevojave të përgjithshme për financim nga burimet vendase deri në vitin 2030;</w:t>
      </w:r>
    </w:p>
    <w:p w14:paraId="671344EA"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r w:rsidRPr="00622884">
        <w:rPr>
          <w:rFonts w:ascii="Garamond" w:eastAsia="Calibri" w:hAnsi="Garamond" w:cs="Times New Roman"/>
          <w:sz w:val="24"/>
          <w:szCs w:val="24"/>
          <w:lang w:eastAsia="en-US" w:bidi="sq-AL"/>
        </w:rPr>
        <w:t>- Demonstrimit nga ana e ministrive se si alokimet e Programit Buxhetor Afatmesëm (PBA) mbështesin NAP-in dhe komponentët e përshtatjes së KKP-së së saj;</w:t>
      </w:r>
    </w:p>
    <w:p w14:paraId="6947AC1B"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r w:rsidRPr="00622884">
        <w:rPr>
          <w:rFonts w:ascii="Garamond" w:eastAsia="Calibri" w:hAnsi="Garamond" w:cs="Times New Roman"/>
          <w:sz w:val="24"/>
          <w:szCs w:val="24"/>
          <w:lang w:eastAsia="en-US" w:bidi="sq-AL"/>
        </w:rPr>
        <w:lastRenderedPageBreak/>
        <w:t>- Prezantimit të një sistemi të Etiketimit të Buxhetit për Klimën (EBK) për të gjurmuar shpenzimet për përshtatje (aktualisht në zhvillim e sipër);</w:t>
      </w:r>
    </w:p>
    <w:p w14:paraId="7DA2859C"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r w:rsidRPr="00622884">
        <w:rPr>
          <w:rFonts w:ascii="Garamond" w:eastAsia="Calibri" w:hAnsi="Garamond" w:cs="Times New Roman"/>
          <w:sz w:val="24"/>
          <w:szCs w:val="24"/>
          <w:lang w:eastAsia="en-US" w:bidi="sq-AL"/>
        </w:rPr>
        <w:t>- Krijimit të një instrumenti për shqyrtimin e buxhetimit të gjelbër, ku çdo zë në buxhetin kombëtar klasifikohet sipas rëndësisë së tij për shpenzimet e përshtatjes ndaj ndryshimeve klimatike (e lartë-mesatare-e ulët);</w:t>
      </w:r>
    </w:p>
    <w:p w14:paraId="5EECB0E6"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r w:rsidRPr="00622884">
        <w:rPr>
          <w:rFonts w:ascii="Garamond" w:eastAsia="Calibri" w:hAnsi="Garamond" w:cs="Times New Roman"/>
          <w:sz w:val="24"/>
          <w:szCs w:val="24"/>
          <w:lang w:eastAsia="en-US" w:bidi="sq-AL"/>
        </w:rPr>
        <w:t xml:space="preserve">- Përshtatjes së instrumenteve financiar me objektivat klimatikë (p.sh., tatimet, taksat dhe subvencionet); </w:t>
      </w:r>
    </w:p>
    <w:p w14:paraId="394B51E1"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r w:rsidRPr="00622884">
        <w:rPr>
          <w:rFonts w:ascii="Garamond" w:eastAsia="Calibri" w:hAnsi="Garamond" w:cs="Times New Roman"/>
          <w:sz w:val="24"/>
          <w:szCs w:val="24"/>
          <w:lang w:eastAsia="en-US" w:bidi="sq-AL"/>
        </w:rPr>
        <w:t>- Përfshirjes nga Kontrolli i Shtetit e shpenzimeve të etiketuara si përshtatje në ciklin e tij vjetor të kontrollit;</w:t>
      </w:r>
    </w:p>
    <w:p w14:paraId="1990F4EA"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r w:rsidRPr="00622884">
        <w:rPr>
          <w:rFonts w:ascii="Garamond" w:eastAsia="Calibri" w:hAnsi="Garamond" w:cs="Times New Roman"/>
          <w:sz w:val="24"/>
          <w:szCs w:val="24"/>
          <w:lang w:eastAsia="en-US" w:bidi="sq-AL"/>
        </w:rPr>
        <w:t>- Mobilizimit të buxheteve bashkiake për të financuar ndërhyrje të vogla vendore për përshtatje;</w:t>
      </w:r>
    </w:p>
    <w:p w14:paraId="6910761E"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r w:rsidRPr="00622884">
        <w:rPr>
          <w:rFonts w:ascii="Garamond" w:eastAsia="Calibri" w:hAnsi="Garamond" w:cs="Times New Roman"/>
          <w:sz w:val="24"/>
          <w:szCs w:val="24"/>
          <w:lang w:eastAsia="en-US" w:bidi="sq-AL"/>
        </w:rPr>
        <w:t>- Krijimit të një Fondi Kombëtar për Klimën për të bashkuar burimet publike.</w:t>
      </w:r>
    </w:p>
    <w:p w14:paraId="3790572F" w14:textId="77777777" w:rsidR="00622884" w:rsidRPr="00622884" w:rsidRDefault="00622884" w:rsidP="00622884">
      <w:pPr>
        <w:tabs>
          <w:tab w:val="left" w:pos="5325"/>
        </w:tabs>
        <w:spacing w:after="0" w:line="240" w:lineRule="auto"/>
        <w:ind w:firstLine="284"/>
        <w:rPr>
          <w:rFonts w:ascii="Garamond" w:eastAsia="Calibri" w:hAnsi="Garamond" w:cs="Times New Roman"/>
          <w:bCs/>
          <w:sz w:val="24"/>
          <w:szCs w:val="24"/>
          <w:lang w:eastAsia="en-US"/>
        </w:rPr>
      </w:pPr>
      <w:r w:rsidRPr="00622884">
        <w:rPr>
          <w:rFonts w:ascii="Garamond" w:eastAsia="Calibri" w:hAnsi="Garamond" w:cs="Times New Roman"/>
          <w:sz w:val="24"/>
          <w:szCs w:val="24"/>
          <w:lang w:eastAsia="en-US" w:bidi="sq-AL"/>
        </w:rPr>
        <w:t>Rishikimit dhe korrigjimit të tarifave të shërbimeve, për të pasqyruar faktorët e jashtëm mjedisor dhe për të krijuar një mjedis më me interes për investimet private në infrastrukturën e lidhur me përshtatjen.</w:t>
      </w:r>
    </w:p>
    <w:p w14:paraId="376D6A56"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r w:rsidRPr="00622884">
        <w:rPr>
          <w:rFonts w:ascii="Garamond" w:eastAsia="Calibri" w:hAnsi="Garamond" w:cs="Times New Roman"/>
          <w:sz w:val="24"/>
          <w:szCs w:val="24"/>
          <w:lang w:eastAsia="en-US" w:bidi="sq-AL"/>
        </w:rPr>
        <w:t>- Monitorimit dhe shfrytëzimit të sukseseve, për të demonstruar përdorimin efikas të fondeve, gjë që mund të ndihmojë në mobilizimin e më shumë fondeve.</w:t>
      </w:r>
    </w:p>
    <w:p w14:paraId="7B952AEC"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r w:rsidRPr="00622884">
        <w:rPr>
          <w:rFonts w:ascii="Garamond" w:eastAsia="Calibri" w:hAnsi="Garamond" w:cs="Times New Roman"/>
          <w:sz w:val="24"/>
          <w:szCs w:val="24"/>
          <w:lang w:eastAsia="en-US"/>
        </w:rPr>
        <w:t>- Nxitjes së programeve kombëtare të financimit të kërkimit shkencor dhe inovacionit drejt projekteve që adresojnë prioritetet e përshtatjes klimatike në sektorët kryesorë të planit, me qëllim përmirësimin e bazës së të dhënave, zhvillimin e zgjidhjeve të bazuara në evidencë dhe mbështetjen e vendimmarrjes për rritjen e reziliencës deri në vitin 2050, në përputhje me kuadrin institucional dhe strategjitë kombëtare të kërkimit dhe inovacionit.</w:t>
      </w:r>
    </w:p>
    <w:p w14:paraId="249C9D17" w14:textId="77777777" w:rsidR="00622884" w:rsidRPr="00622884" w:rsidRDefault="00622884" w:rsidP="00622884">
      <w:pPr>
        <w:keepNext/>
        <w:spacing w:after="0" w:line="240" w:lineRule="auto"/>
        <w:ind w:firstLine="284"/>
        <w:mirrorIndents/>
        <w:rPr>
          <w:rFonts w:ascii="Garamond" w:eastAsia="Calibri Light" w:hAnsi="Garamond" w:cs="Calibri Light"/>
          <w:b/>
          <w:bCs/>
          <w:iCs/>
          <w:sz w:val="24"/>
          <w:szCs w:val="24"/>
          <w:lang w:eastAsia="en-US"/>
        </w:rPr>
      </w:pPr>
      <w:r w:rsidRPr="00622884">
        <w:rPr>
          <w:rFonts w:ascii="Garamond" w:eastAsia="Calibri Light" w:hAnsi="Garamond" w:cs="Calibri Light"/>
          <w:b/>
          <w:bCs/>
          <w:iCs/>
          <w:sz w:val="24"/>
          <w:szCs w:val="24"/>
          <w:lang w:eastAsia="en-US" w:bidi="sq-AL"/>
        </w:rPr>
        <w:t>Financimi ndërkombëtar për ndryshimet klimatike</w:t>
      </w:r>
    </w:p>
    <w:p w14:paraId="274350DA" w14:textId="77777777" w:rsidR="00622884" w:rsidRPr="00622884" w:rsidRDefault="00622884" w:rsidP="00622884">
      <w:pPr>
        <w:spacing w:after="0" w:line="240" w:lineRule="auto"/>
        <w:ind w:firstLine="284"/>
        <w:rPr>
          <w:rFonts w:ascii="Garamond" w:eastAsia="SimSun" w:hAnsi="Garamond" w:cs="Calibri Light"/>
          <w:sz w:val="24"/>
          <w:szCs w:val="24"/>
          <w:lang w:eastAsia="en-US"/>
        </w:rPr>
      </w:pPr>
      <w:r w:rsidRPr="00622884">
        <w:rPr>
          <w:rFonts w:ascii="Garamond" w:eastAsia="SimSun" w:hAnsi="Garamond" w:cs="Calibri Light"/>
          <w:sz w:val="24"/>
          <w:szCs w:val="24"/>
          <w:lang w:eastAsia="en-US" w:bidi="sq-AL"/>
        </w:rPr>
        <w:t>Qasja në financimin ndërkombëtar për ndryshimet klimatike mbetet thelbësore për mbylljen e hendekut të financimit për përshtatje në Shqipëri. Qeveria synon të forcojë partneritetet me fonde të mëdha, përfshirë Fondin për Klimën e Gjelbër (GCF), Fondin Global të Mjedisit (GEF), Fondin për Përshtatje (FP) dhe IPA III të BE-së, teksa përgatit një propozim kryesor për përshtatje shumësektoriale për dorëzimin në FGJK në vitin 2025. Ky propozim përputhet me Programin Kombëtar të FGJK-së për Vendin dhe prioritetet e kostos së Planit të Zbatimit, duke shfrytëzuar bashkëfinancimin vendas dhe dypalësh për të maksimizuar ndikimin.</w:t>
      </w:r>
    </w:p>
    <w:p w14:paraId="5C817856" w14:textId="77777777" w:rsidR="00622884" w:rsidRPr="00622884" w:rsidRDefault="00622884" w:rsidP="00622884">
      <w:pPr>
        <w:spacing w:after="0" w:line="240" w:lineRule="auto"/>
        <w:ind w:firstLine="284"/>
        <w:rPr>
          <w:rFonts w:ascii="Garamond" w:eastAsia="SimSun" w:hAnsi="Garamond" w:cs="Calibri Light"/>
          <w:sz w:val="24"/>
          <w:szCs w:val="24"/>
          <w:lang w:eastAsia="en-US"/>
        </w:rPr>
      </w:pPr>
      <w:r w:rsidRPr="00622884">
        <w:rPr>
          <w:rFonts w:ascii="Garamond" w:eastAsia="SimSun" w:hAnsi="Garamond" w:cs="Calibri Light"/>
          <w:sz w:val="24"/>
          <w:szCs w:val="24"/>
          <w:lang w:eastAsia="en-US" w:bidi="sq-AL"/>
        </w:rPr>
        <w:t>Për të përmirësuar koordinimin dhe efikasitetin, do të krijohet një mekanizëm i dedikuar për koordinimin e tubacionit në kuadër të Njësisë së Koordinimit të Financave për Klimën (CFCU) në Ministrinë e Mjedisit. Kjo do të përmirësojë përgatitjen e projektit, do të mbështesë propozimet shtesë të Gatishmërisë së FGJK-së dhe do të forcojë projektimin e instrumenteve financiare. Shqipëria do të thellojë edhe pjesëmarrjen në nisma rajonale, si Agjenda e Gjelbër për Ballkanin Perëndimor, dhe do të mobilizojë financim ndërkufitar përmes WBIF-së dhe Dritares së Përshtatjes së BEI-së.</w:t>
      </w:r>
    </w:p>
    <w:p w14:paraId="6DF25D78" w14:textId="77777777" w:rsidR="00622884" w:rsidRPr="00622884" w:rsidRDefault="00622884" w:rsidP="00622884">
      <w:pPr>
        <w:spacing w:after="0" w:line="240" w:lineRule="auto"/>
        <w:ind w:firstLine="284"/>
        <w:rPr>
          <w:rFonts w:ascii="Garamond" w:eastAsia="SimSun" w:hAnsi="Garamond" w:cs="Calibri Light"/>
          <w:sz w:val="24"/>
          <w:szCs w:val="24"/>
          <w:lang w:eastAsia="en-US"/>
        </w:rPr>
      </w:pPr>
      <w:r w:rsidRPr="00622884">
        <w:rPr>
          <w:rFonts w:ascii="Garamond" w:eastAsia="SimSun" w:hAnsi="Garamond" w:cs="Calibri Light"/>
          <w:sz w:val="24"/>
          <w:szCs w:val="24"/>
          <w:lang w:eastAsia="en-US" w:bidi="sq-AL"/>
        </w:rPr>
        <w:t>Burimet kryesore të financimit përfshijnë mbështetjen në shkallë të gjerë të FGJK-së për përshtatjen ndërsektoriale, grantet e GEF-së dhe FP-së për veprime të bazuara në ekosistem dhe në nivel komuniteti, si dhe financimin IPA III për mbrojtjen e infrastrukturës nga ndryshimet klimatike dhe reformat e politikave. Financimi plotësues nga MDB-të, agjencitë e OKB-së dhe donatorët dypalësh (p.sh., Gjermania, Zvicra, SHBA-ja) do të përmirësojë zbatimin. Së fundi, instrumentet novatore si shkëmbimet e borxhit për natyrën, duke shfrytëzuar kapitalin natyror të Shqipërisë, siç është lumi Vjosa, ofrojnë potencial të pashfrytëzuar për të financuar zgjidhje të bazuara në natyrë dhe për të forcuar aftësitë ripërtëritëse afatgjata ndaj klimës.</w:t>
      </w:r>
    </w:p>
    <w:p w14:paraId="05F8C9D2" w14:textId="77777777" w:rsidR="00622884" w:rsidRPr="00622884" w:rsidRDefault="00622884" w:rsidP="00622884">
      <w:pPr>
        <w:keepNext/>
        <w:spacing w:after="0" w:line="240" w:lineRule="auto"/>
        <w:ind w:firstLine="284"/>
        <w:mirrorIndents/>
        <w:rPr>
          <w:rFonts w:ascii="Garamond" w:eastAsia="Calibri Light" w:hAnsi="Garamond" w:cs="Calibri Light"/>
          <w:b/>
          <w:bCs/>
          <w:iCs/>
          <w:sz w:val="24"/>
          <w:szCs w:val="24"/>
          <w:lang w:eastAsia="en-US"/>
        </w:rPr>
      </w:pPr>
      <w:r w:rsidRPr="00622884">
        <w:rPr>
          <w:rFonts w:ascii="Garamond" w:eastAsia="Calibri Light" w:hAnsi="Garamond" w:cs="Calibri Light"/>
          <w:b/>
          <w:bCs/>
          <w:iCs/>
          <w:sz w:val="24"/>
          <w:szCs w:val="24"/>
          <w:lang w:eastAsia="en-US" w:bidi="sq-AL"/>
        </w:rPr>
        <w:t>Mobilizimi i kapitalit privat</w:t>
      </w:r>
    </w:p>
    <w:p w14:paraId="34632F44" w14:textId="77777777" w:rsidR="00622884" w:rsidRPr="00622884" w:rsidRDefault="00622884" w:rsidP="00622884">
      <w:pPr>
        <w:spacing w:after="0" w:line="240" w:lineRule="auto"/>
        <w:ind w:firstLine="284"/>
        <w:rPr>
          <w:rFonts w:ascii="Garamond" w:eastAsia="SimSun" w:hAnsi="Garamond" w:cs="Calibri Light"/>
          <w:sz w:val="24"/>
          <w:szCs w:val="24"/>
          <w:lang w:eastAsia="en-US"/>
        </w:rPr>
      </w:pPr>
      <w:r w:rsidRPr="00622884">
        <w:rPr>
          <w:rFonts w:ascii="Garamond" w:eastAsia="SimSun" w:hAnsi="Garamond" w:cs="Calibri Light"/>
          <w:sz w:val="24"/>
          <w:szCs w:val="24"/>
          <w:lang w:eastAsia="en-US" w:bidi="sq-AL"/>
        </w:rPr>
        <w:t xml:space="preserve">Sistemi financiar i Shqipërisë është shumë i përqendruar te bankat, ku ndërmarrjet, veçanërisht NVM-të, mbështeten kryesisht në financimin e borxhit nga bankat dhe institucionet e mikrofinancës. Tregjet e kapitalit mbeten të pazhvilluara, obligacionet e gjelbra praktikisht mungojnë dhe ndërmjetësit financiarë jobankarë janë të kufizuar, duke kufizuar qasjen në </w:t>
      </w:r>
      <w:r w:rsidRPr="00622884">
        <w:rPr>
          <w:rFonts w:ascii="Garamond" w:eastAsia="SimSun" w:hAnsi="Garamond" w:cs="Calibri Light"/>
          <w:sz w:val="24"/>
          <w:szCs w:val="24"/>
          <w:lang w:eastAsia="en-US" w:bidi="sq-AL"/>
        </w:rPr>
        <w:lastRenderedPageBreak/>
        <w:t>instrumente të ndryshme financimi. Zbulimi i dobët i korporatave mbi risqet klimatike dhe mungesa e një baze të dhënash të unifikuar mbi shkarkimet dhe performancën e investimeve pengojnë më tej flukset e qëndrueshme të investimeve. Kostot e larta fillestare dhe mekanizmat e pamjaftueshëm të ndarjes së riskut pengojnë pjesëmarrjen private në projektet e energjisë së rinovueshme, infrastrukturës dhe përshtatjes, ndërsa PPP-të mbeten të nënshfrytëzuara.</w:t>
      </w:r>
    </w:p>
    <w:p w14:paraId="5C192376" w14:textId="77777777" w:rsidR="00622884" w:rsidRPr="00622884" w:rsidRDefault="00622884" w:rsidP="00622884">
      <w:pPr>
        <w:spacing w:after="0" w:line="240" w:lineRule="auto"/>
        <w:ind w:firstLine="284"/>
        <w:rPr>
          <w:rFonts w:ascii="Garamond" w:eastAsia="SimSun" w:hAnsi="Garamond" w:cs="Calibri Light"/>
          <w:sz w:val="24"/>
          <w:szCs w:val="24"/>
          <w:lang w:eastAsia="en-US"/>
        </w:rPr>
      </w:pPr>
      <w:r w:rsidRPr="00622884">
        <w:rPr>
          <w:rFonts w:ascii="Garamond" w:eastAsia="SimSun" w:hAnsi="Garamond" w:cs="Calibri Light"/>
          <w:sz w:val="24"/>
          <w:szCs w:val="24"/>
          <w:lang w:eastAsia="en-US" w:bidi="sq-AL"/>
        </w:rPr>
        <w:t>Miratimi i standardeve ESG dhe të qëndrueshmërisë të harmonizuara me BE-në, siç janë Taksonomia e Financave të Qëndrueshme dhe CSRD-ja, është ende në fazat e hershme. Ndërgjegjësimi dhe kapaciteti teknik i kufizuar ndërmjet firmave i bëjnë bizneset shqiptare me më pak interes për investitorët e gjelbër dhe rrezikojnë t’i përjashtojnë ata nga tregjet e BE-së. Ndërkohë, bankat tregtare kanë qenë të ngadalta në zhvillimin e produkteve financiare të lidhura me klimën për shkak të ekspertizës së kufizuar dhe kuadrove të papërshtatshëm të vlerësimit të riskut klimatik.</w:t>
      </w:r>
    </w:p>
    <w:p w14:paraId="4B7244F3" w14:textId="77777777" w:rsidR="00622884" w:rsidRPr="00622884" w:rsidRDefault="00622884" w:rsidP="00622884">
      <w:pPr>
        <w:spacing w:after="0" w:line="240" w:lineRule="auto"/>
        <w:ind w:firstLine="284"/>
        <w:rPr>
          <w:rFonts w:ascii="Garamond" w:eastAsia="SimSun" w:hAnsi="Garamond" w:cs="Calibri Light"/>
          <w:sz w:val="24"/>
          <w:szCs w:val="24"/>
          <w:lang w:eastAsia="en-US"/>
        </w:rPr>
      </w:pPr>
      <w:r w:rsidRPr="00622884">
        <w:rPr>
          <w:rFonts w:ascii="Garamond" w:eastAsia="SimSun" w:hAnsi="Garamond" w:cs="Calibri Light"/>
          <w:sz w:val="24"/>
          <w:szCs w:val="24"/>
          <w:lang w:eastAsia="en-US" w:bidi="sq-AL"/>
        </w:rPr>
        <w:t>Për t’iu përgjigjur këtyre sfidave, Shqipëria po piloton modele të përziera financimi, si Fondi Adriatik për Aftësitë Ripërtëritëse, i cili kombinon grantet e FGJK-së, huat e BEI-së dhe kapitalin privat për të financuar projekte të ekoturizmit dhe agropylltarisë, duke arritur një raport 1:3 të përdorimit publik-privat. Shkallëzimi i kësaj qasjeje do të kërkojë mjete më të forta për zbutjen e riskut, financim koncesionar dhe qartësi rregullatore. Qeveria planifikon të zgjerojë mekanizmat e financimit të përzier dhe të PPP-ve, të lëshojë obligacione të gjelbra dhe me aftësi ripërtëritëse, të krijojë instrumente sigurimesh dhe risku nga katastrofat, si dhe të prezantojë incentiva financiare dhe linja huaje koncesionare. Mobilizimi i financave private do të jetë thelbësor për shkallëzimin e investimeve në përshtatje dhe përmirësimin e aftësive ripërtëritëse afatgjata ndaj klimës, për të cilat fushat kryesore të fokusit duhet të përfshijnë veprimet e mëposhtme:</w:t>
      </w:r>
    </w:p>
    <w:p w14:paraId="79CC0B5F" w14:textId="77777777" w:rsidR="00622884" w:rsidRPr="00622884" w:rsidRDefault="00622884" w:rsidP="00622884">
      <w:pPr>
        <w:tabs>
          <w:tab w:val="left" w:pos="5325"/>
        </w:tabs>
        <w:spacing w:after="0" w:line="240" w:lineRule="auto"/>
        <w:ind w:firstLine="284"/>
        <w:rPr>
          <w:rFonts w:ascii="Garamond" w:eastAsia="Calibri" w:hAnsi="Garamond" w:cs="Times New Roman"/>
          <w:bCs/>
          <w:sz w:val="24"/>
          <w:szCs w:val="24"/>
          <w:lang w:eastAsia="en-US"/>
        </w:rPr>
      </w:pPr>
      <w:r w:rsidRPr="00622884">
        <w:rPr>
          <w:rFonts w:ascii="Garamond" w:eastAsia="Calibri" w:hAnsi="Garamond" w:cs="Times New Roman"/>
          <w:sz w:val="24"/>
          <w:szCs w:val="24"/>
          <w:lang w:eastAsia="en-US" w:bidi="sq-AL"/>
        </w:rPr>
        <w:t>- Të zgjerohet përdorimi i Partneriteteve Publike-Private</w:t>
      </w:r>
      <w:r w:rsidRPr="00622884">
        <w:rPr>
          <w:rFonts w:ascii="Garamond" w:eastAsia="Calibri" w:hAnsi="Garamond" w:cs="Times New Roman"/>
          <w:sz w:val="24"/>
          <w:szCs w:val="24"/>
          <w:vertAlign w:val="superscript"/>
          <w:lang w:eastAsia="en-US" w:bidi="sq-AL"/>
        </w:rPr>
        <w:footnoteReference w:id="226"/>
      </w:r>
      <w:r w:rsidRPr="00622884">
        <w:rPr>
          <w:rFonts w:ascii="Garamond" w:eastAsia="Calibri" w:hAnsi="Garamond" w:cs="Times New Roman"/>
          <w:sz w:val="24"/>
          <w:szCs w:val="24"/>
          <w:lang w:eastAsia="en-US" w:bidi="sq-AL"/>
        </w:rPr>
        <w:t xml:space="preserve"> (PPP);</w:t>
      </w:r>
    </w:p>
    <w:p w14:paraId="23DD2756" w14:textId="77777777" w:rsidR="00622884" w:rsidRPr="00622884" w:rsidRDefault="00622884" w:rsidP="00622884">
      <w:pPr>
        <w:tabs>
          <w:tab w:val="left" w:pos="5325"/>
        </w:tabs>
        <w:spacing w:after="0" w:line="240" w:lineRule="auto"/>
        <w:ind w:firstLine="284"/>
        <w:rPr>
          <w:rFonts w:ascii="Garamond" w:eastAsia="Calibri" w:hAnsi="Garamond" w:cs="Times New Roman"/>
          <w:bCs/>
          <w:sz w:val="24"/>
          <w:szCs w:val="24"/>
          <w:lang w:eastAsia="en-US"/>
        </w:rPr>
      </w:pPr>
      <w:r w:rsidRPr="00622884">
        <w:rPr>
          <w:rFonts w:ascii="Garamond" w:eastAsia="Calibri" w:hAnsi="Garamond" w:cs="Times New Roman"/>
          <w:sz w:val="24"/>
          <w:szCs w:val="24"/>
          <w:lang w:eastAsia="en-US" w:bidi="sq-AL"/>
        </w:rPr>
        <w:t>- Të prezantohen obligacionet të gjelbra dhe klimatike</w:t>
      </w:r>
      <w:r w:rsidRPr="00622884">
        <w:rPr>
          <w:rFonts w:ascii="Garamond" w:eastAsia="Calibri" w:hAnsi="Garamond" w:cs="Times New Roman"/>
          <w:sz w:val="24"/>
          <w:szCs w:val="24"/>
          <w:vertAlign w:val="superscript"/>
          <w:lang w:eastAsia="en-US" w:bidi="sq-AL"/>
        </w:rPr>
        <w:footnoteReference w:id="227"/>
      </w:r>
      <w:r w:rsidRPr="00622884">
        <w:rPr>
          <w:rFonts w:ascii="Garamond" w:eastAsia="Calibri" w:hAnsi="Garamond" w:cs="Times New Roman"/>
          <w:sz w:val="24"/>
          <w:szCs w:val="24"/>
          <w:lang w:eastAsia="en-US" w:bidi="sq-AL"/>
        </w:rPr>
        <w:t>;</w:t>
      </w:r>
    </w:p>
    <w:p w14:paraId="763AD067" w14:textId="77777777" w:rsidR="00622884" w:rsidRPr="00622884" w:rsidRDefault="00622884" w:rsidP="00622884">
      <w:pPr>
        <w:tabs>
          <w:tab w:val="left" w:pos="5325"/>
        </w:tabs>
        <w:spacing w:after="0" w:line="240" w:lineRule="auto"/>
        <w:ind w:firstLine="284"/>
        <w:rPr>
          <w:rFonts w:ascii="Garamond" w:eastAsia="Calibri" w:hAnsi="Garamond" w:cs="Times New Roman"/>
          <w:bCs/>
          <w:sz w:val="24"/>
          <w:szCs w:val="24"/>
          <w:lang w:eastAsia="en-US"/>
        </w:rPr>
      </w:pPr>
      <w:r w:rsidRPr="00622884">
        <w:rPr>
          <w:rFonts w:ascii="Garamond" w:eastAsia="Calibri" w:hAnsi="Garamond" w:cs="Times New Roman"/>
          <w:sz w:val="24"/>
          <w:szCs w:val="24"/>
          <w:lang w:eastAsia="en-US" w:bidi="sq-AL"/>
        </w:rPr>
        <w:t>- Të pilotohen instrumentet e sigurimit</w:t>
      </w:r>
      <w:r w:rsidRPr="00622884">
        <w:rPr>
          <w:rFonts w:ascii="Garamond" w:eastAsia="Calibri" w:hAnsi="Garamond" w:cs="Times New Roman"/>
          <w:sz w:val="24"/>
          <w:szCs w:val="24"/>
          <w:vertAlign w:val="superscript"/>
          <w:lang w:eastAsia="en-US" w:bidi="sq-AL"/>
        </w:rPr>
        <w:footnoteReference w:id="228"/>
      </w:r>
      <w:r w:rsidRPr="00622884">
        <w:rPr>
          <w:rFonts w:ascii="Garamond" w:eastAsia="Calibri" w:hAnsi="Garamond" w:cs="Times New Roman"/>
          <w:sz w:val="24"/>
          <w:szCs w:val="24"/>
          <w:lang w:eastAsia="en-US" w:bidi="sq-AL"/>
        </w:rPr>
        <w:t>;</w:t>
      </w:r>
    </w:p>
    <w:p w14:paraId="4959E82B" w14:textId="77777777" w:rsidR="00622884" w:rsidRPr="00622884" w:rsidRDefault="00622884" w:rsidP="00622884">
      <w:pPr>
        <w:tabs>
          <w:tab w:val="left" w:pos="5325"/>
        </w:tabs>
        <w:spacing w:after="0" w:line="240" w:lineRule="auto"/>
        <w:ind w:firstLine="284"/>
        <w:rPr>
          <w:rFonts w:ascii="Garamond" w:eastAsia="Calibri" w:hAnsi="Garamond" w:cs="Times New Roman"/>
          <w:bCs/>
          <w:sz w:val="24"/>
          <w:szCs w:val="24"/>
          <w:lang w:eastAsia="en-US"/>
        </w:rPr>
      </w:pPr>
      <w:r w:rsidRPr="00622884">
        <w:rPr>
          <w:rFonts w:ascii="Garamond" w:eastAsia="Calibri" w:hAnsi="Garamond" w:cs="Times New Roman"/>
          <w:sz w:val="24"/>
          <w:szCs w:val="24"/>
          <w:lang w:eastAsia="en-US" w:bidi="sq-AL"/>
        </w:rPr>
        <w:t>- Të forcohet Përgjegjësia Sociale të Korporatave</w:t>
      </w:r>
      <w:r w:rsidRPr="00622884">
        <w:rPr>
          <w:rFonts w:ascii="Garamond" w:eastAsia="Calibri" w:hAnsi="Garamond" w:cs="Times New Roman"/>
          <w:sz w:val="24"/>
          <w:szCs w:val="24"/>
          <w:vertAlign w:val="superscript"/>
          <w:lang w:eastAsia="en-US" w:bidi="sq-AL"/>
        </w:rPr>
        <w:footnoteReference w:id="229"/>
      </w:r>
      <w:r w:rsidRPr="00622884">
        <w:rPr>
          <w:rFonts w:ascii="Garamond" w:eastAsia="Calibri" w:hAnsi="Garamond" w:cs="Times New Roman"/>
          <w:sz w:val="24"/>
          <w:szCs w:val="24"/>
          <w:lang w:eastAsia="en-US" w:bidi="sq-AL"/>
        </w:rPr>
        <w:t xml:space="preserve"> (PSK).</w:t>
      </w:r>
    </w:p>
    <w:p w14:paraId="192C9111" w14:textId="77777777" w:rsidR="00622884" w:rsidRPr="00622884" w:rsidRDefault="00622884" w:rsidP="00622884">
      <w:pPr>
        <w:keepNext/>
        <w:spacing w:after="0" w:line="240" w:lineRule="auto"/>
        <w:ind w:firstLine="284"/>
        <w:mirrorIndents/>
        <w:rPr>
          <w:rFonts w:ascii="Garamond" w:eastAsia="Calibri Light" w:hAnsi="Garamond" w:cs="Calibri Light"/>
          <w:b/>
          <w:bCs/>
          <w:iCs/>
          <w:sz w:val="24"/>
          <w:szCs w:val="24"/>
          <w:lang w:eastAsia="en-US"/>
        </w:rPr>
      </w:pPr>
      <w:r w:rsidRPr="00622884">
        <w:rPr>
          <w:rFonts w:ascii="Garamond" w:eastAsia="Calibri Light" w:hAnsi="Garamond" w:cs="Calibri Light"/>
          <w:b/>
          <w:bCs/>
          <w:iCs/>
          <w:sz w:val="24"/>
          <w:szCs w:val="24"/>
          <w:lang w:eastAsia="en-US" w:bidi="sq-AL"/>
        </w:rPr>
        <w:t>Instrumente novatore</w:t>
      </w:r>
    </w:p>
    <w:p w14:paraId="5DC5EBAD" w14:textId="77777777" w:rsidR="00622884" w:rsidRPr="00622884" w:rsidRDefault="00622884" w:rsidP="00622884">
      <w:pPr>
        <w:spacing w:after="0" w:line="240" w:lineRule="auto"/>
        <w:ind w:firstLine="284"/>
        <w:rPr>
          <w:rFonts w:ascii="Garamond" w:eastAsia="SimSun" w:hAnsi="Garamond" w:cs="Calibri Light"/>
          <w:bCs/>
          <w:sz w:val="24"/>
          <w:szCs w:val="24"/>
          <w:lang w:eastAsia="en-US"/>
        </w:rPr>
      </w:pPr>
      <w:r w:rsidRPr="00622884">
        <w:rPr>
          <w:rFonts w:ascii="Garamond" w:eastAsia="SimSun" w:hAnsi="Garamond" w:cs="Calibri Light"/>
          <w:sz w:val="24"/>
          <w:szCs w:val="24"/>
          <w:lang w:eastAsia="en-US" w:bidi="sq-AL"/>
        </w:rPr>
        <w:t>Shqipëria po zbaton instrumente novatore financimi për të zgjeruar portofolin e saj të financimit për përshtatje dhe për të rritur qëndrueshmërinë fiskale. Një studim fizibiliteti për obligacionin e parë të gjelbër të vendit është planifikuar për vitin 2026, duke u bazuar në përvojat rajonale nga Serbia dhe Maqedonia e Veriut. Në bujqësi dhe zgjidhje të bazuara në natyrë, projektet pilot të financimit të klimës të bazuara në rezultate do të lidhin disbursimet me rezultate të matshme, të tilla si restaurimi i ekosistemit ose rendimentet e përmirësuara nën stresin klimatik. Shqipëria po angazhohet edhe në krijimin e një strukture rajonale të sigurimit të riskut klimatik (SECRIF) për të ofruar mbulim kundër ngjarjeve ekstreme të motit për qeveritë, bashkitë, fermerët dhe NVM-të. Këto nisma synojnë të diversifikojnë burimet e financimit, të mobilizojnë investimet private dhe të forcojnë menaxhimin e riskut klimatik. Suksesi i tyre do të varet nga koordinimi i fortë institucional, mbështetja e vazhdueshme e donatorëve dhe reformat rregullatore për të tërhequr kapital në shkallë të gjerë përmes mekanizmave si platformat e bashkëinvestimit dhe marrëveshjet e financimit të përzier.</w:t>
      </w:r>
    </w:p>
    <w:p w14:paraId="0CEF3606" w14:textId="77777777" w:rsidR="00622884" w:rsidRPr="00622884" w:rsidRDefault="00622884" w:rsidP="00622884">
      <w:pPr>
        <w:keepNext/>
        <w:keepLines/>
        <w:spacing w:after="0" w:line="240" w:lineRule="auto"/>
        <w:ind w:firstLine="284"/>
        <w:outlineLvl w:val="1"/>
        <w:rPr>
          <w:rFonts w:ascii="Garamond" w:eastAsia="MS Mincho" w:hAnsi="Garamond" w:cs="Times New Roman"/>
          <w:b/>
          <w:bCs/>
          <w:caps/>
          <w:sz w:val="24"/>
          <w:szCs w:val="24"/>
          <w:lang w:eastAsia="es-ES"/>
        </w:rPr>
      </w:pPr>
      <w:bookmarkStart w:id="306" w:name="_Toc213936256"/>
      <w:r w:rsidRPr="00622884">
        <w:rPr>
          <w:rFonts w:ascii="Garamond" w:eastAsia="MS Mincho" w:hAnsi="Garamond" w:cs="Times New Roman"/>
          <w:b/>
          <w:bCs/>
          <w:caps/>
          <w:sz w:val="24"/>
          <w:szCs w:val="24"/>
          <w:lang w:eastAsia="es-ES" w:bidi="sq-AL"/>
        </w:rPr>
        <w:lastRenderedPageBreak/>
        <w:t xml:space="preserve">9.6 </w:t>
      </w:r>
      <w:r w:rsidRPr="00622884">
        <w:rPr>
          <w:rFonts w:ascii="Garamond" w:eastAsia="MS Mincho" w:hAnsi="Garamond" w:cs="Times New Roman"/>
          <w:b/>
          <w:bCs/>
          <w:sz w:val="24"/>
          <w:szCs w:val="24"/>
          <w:lang w:eastAsia="es-ES" w:bidi="sq-AL"/>
        </w:rPr>
        <w:t xml:space="preserve">Afati dhe zbatimi i propozuar për strategjinë e financimit të </w:t>
      </w:r>
      <w:r w:rsidRPr="00622884">
        <w:rPr>
          <w:rFonts w:ascii="Garamond" w:eastAsia="MS Mincho" w:hAnsi="Garamond" w:cs="Times New Roman"/>
          <w:b/>
          <w:bCs/>
          <w:caps/>
          <w:sz w:val="24"/>
          <w:szCs w:val="24"/>
          <w:lang w:eastAsia="es-ES" w:bidi="sq-AL"/>
        </w:rPr>
        <w:t>NAP-</w:t>
      </w:r>
      <w:r w:rsidRPr="00622884">
        <w:rPr>
          <w:rFonts w:ascii="Garamond" w:eastAsia="MS Mincho" w:hAnsi="Garamond" w:cs="Times New Roman"/>
          <w:b/>
          <w:bCs/>
          <w:sz w:val="24"/>
          <w:szCs w:val="24"/>
          <w:lang w:eastAsia="es-ES" w:bidi="sq-AL"/>
        </w:rPr>
        <w:t>it</w:t>
      </w:r>
      <w:bookmarkEnd w:id="306"/>
    </w:p>
    <w:p w14:paraId="4FF8466A" w14:textId="77777777" w:rsidR="00622884" w:rsidRPr="00622884" w:rsidRDefault="00622884" w:rsidP="00622884">
      <w:pPr>
        <w:spacing w:after="0" w:line="240" w:lineRule="auto"/>
        <w:ind w:firstLine="284"/>
        <w:rPr>
          <w:rFonts w:ascii="Garamond" w:eastAsia="SimSun" w:hAnsi="Garamond" w:cs="Calibri Light"/>
          <w:sz w:val="24"/>
          <w:szCs w:val="24"/>
          <w:lang w:eastAsia="en-US"/>
        </w:rPr>
      </w:pPr>
      <w:r w:rsidRPr="00622884">
        <w:rPr>
          <w:rFonts w:ascii="Garamond" w:eastAsia="SimSun" w:hAnsi="Garamond" w:cs="Calibri Light"/>
          <w:sz w:val="24"/>
          <w:szCs w:val="24"/>
          <w:lang w:eastAsia="en-US" w:bidi="sq-AL"/>
        </w:rPr>
        <w:t>Financimi i NAP-it kërkon një qasje të mirëmenduar dhe të ndarë në faza për të shfrytëzuar burimet e disponueshme, duke siguruar njëkohësisht fonde shtesë. Qasja e propozuar për periudhën afatshkurtër, afatmesme dhe afatgjatë të NAP-it strukturohet, si më poshtë:</w:t>
      </w:r>
    </w:p>
    <w:p w14:paraId="02B2403B" w14:textId="77777777" w:rsidR="00622884" w:rsidRPr="00622884" w:rsidRDefault="00622884" w:rsidP="00622884">
      <w:pPr>
        <w:tabs>
          <w:tab w:val="left" w:pos="5325"/>
        </w:tabs>
        <w:spacing w:after="0" w:line="240" w:lineRule="auto"/>
        <w:ind w:firstLine="284"/>
        <w:rPr>
          <w:rFonts w:ascii="Garamond" w:eastAsia="Calibri" w:hAnsi="Garamond" w:cs="Times New Roman"/>
          <w:b/>
          <w:sz w:val="24"/>
          <w:szCs w:val="24"/>
          <w:lang w:eastAsia="en-US"/>
        </w:rPr>
      </w:pPr>
      <w:r w:rsidRPr="00622884">
        <w:rPr>
          <w:rFonts w:ascii="Garamond" w:eastAsia="Calibri" w:hAnsi="Garamond" w:cs="Times New Roman"/>
          <w:b/>
          <w:sz w:val="24"/>
          <w:szCs w:val="24"/>
          <w:lang w:eastAsia="en-US" w:bidi="sq-AL"/>
        </w:rPr>
        <w:t>Afatshkurtër (2026</w:t>
      </w:r>
      <w:r w:rsidRPr="00622884">
        <w:rPr>
          <w:rFonts w:ascii="Garamond" w:eastAsia="Calibri" w:hAnsi="Garamond" w:cs="Times New Roman"/>
          <w:b/>
          <w:sz w:val="24"/>
          <w:szCs w:val="24"/>
          <w:lang w:eastAsia="en-US"/>
        </w:rPr>
        <w:t>–</w:t>
      </w:r>
      <w:r w:rsidRPr="00622884">
        <w:rPr>
          <w:rFonts w:ascii="Garamond" w:eastAsia="Calibri" w:hAnsi="Garamond" w:cs="Times New Roman"/>
          <w:b/>
          <w:sz w:val="24"/>
          <w:szCs w:val="24"/>
          <w:lang w:eastAsia="en-US" w:bidi="sq-AL"/>
        </w:rPr>
        <w:t>2028)</w:t>
      </w:r>
    </w:p>
    <w:p w14:paraId="0B56C43F"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r w:rsidRPr="00622884">
        <w:rPr>
          <w:rFonts w:ascii="Garamond" w:eastAsia="Calibri" w:hAnsi="Garamond" w:cs="Times New Roman"/>
          <w:sz w:val="24"/>
          <w:szCs w:val="24"/>
          <w:lang w:eastAsia="en-US" w:bidi="sq-AL"/>
        </w:rPr>
        <w:t xml:space="preserve">Një total prej 56% e masave të përshtatjes në Planin e Zbatimit janë në kategorinë e fillimit të periudhës afatshkurtër, duke pasqyruar rolin e tyre themelor në mundësimin e përparimit më të gjerë të përshtatjes, veçanërisht për masat “e buta” që kërkojnë më pak përgatitje (p.sh., ato të përqendruara në koordinim dhe komunikim). Kostoja e menjëhershme afatshkurtër “e butë”, me fokus në krijimin e kushteve lehtësuese, funksionalizimin e fondit të përshtatjes, sigurimin e fondeve fillestare të FGJK-dhe të donatorëve për projektet “e gatshme”, ngritjen e kapaciteteve institucionale dhe integrimin e përshtatjes në buxhetet vjetore, është rreth 219 milionë dollarë amerikanë. Gjatë kësaj periudhe, Shqipëria ka disa burime në dispozicion. Alokimet kombëtare ofrojnë një bazë për shpenzimet për vendin (~160 milionë dollarë amerikanë gjatë viteve 2026–2028 në të gjithë sektorët) dhe gjatë kësaj periudhe disa projekte donatorësh do të disbursojnë, duke arritur potencialisht në një total prej ~37 milionë dollarësh amerikanë shtesë. Disa nga masat e hershme me fitim të shpejtë janë mbuluar tashmë: për shembull, hartimi i planeve dhe rregulloreve (ICZM turistike, planet urbane) financohen përmes granteve qeveritare ose granteve të vogla. Megjithatë, projektet me kapital intensiv në pylltari, urbanizim dhe transport mbeten kryesisht të pafinancuara në planin afatshkurtër, gjë që nënkupton potencialisht pak progres fizik në këto aspekte deri në vitin 2028 përtej studimeve dhe projekteve pilot. </w:t>
      </w:r>
    </w:p>
    <w:p w14:paraId="1AB349D5" w14:textId="77777777" w:rsidR="00622884" w:rsidRPr="00622884" w:rsidRDefault="00622884" w:rsidP="00622884">
      <w:pPr>
        <w:tabs>
          <w:tab w:val="left" w:pos="5325"/>
        </w:tabs>
        <w:spacing w:after="0" w:line="240" w:lineRule="auto"/>
        <w:ind w:firstLine="284"/>
        <w:rPr>
          <w:rFonts w:ascii="Garamond" w:eastAsia="Calibri" w:hAnsi="Garamond" w:cs="Times New Roman"/>
          <w:b/>
          <w:sz w:val="24"/>
          <w:szCs w:val="24"/>
          <w:lang w:eastAsia="en-US"/>
        </w:rPr>
      </w:pPr>
      <w:r w:rsidRPr="00622884">
        <w:rPr>
          <w:rFonts w:ascii="Garamond" w:eastAsia="Calibri" w:hAnsi="Garamond" w:cs="Times New Roman"/>
          <w:b/>
          <w:sz w:val="24"/>
          <w:szCs w:val="24"/>
          <w:lang w:eastAsia="en-US" w:bidi="sq-AL"/>
        </w:rPr>
        <w:t>Afatmesme (2029–2032)</w:t>
      </w:r>
    </w:p>
    <w:p w14:paraId="6B24298A"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r w:rsidRPr="00622884">
        <w:rPr>
          <w:rFonts w:ascii="Garamond" w:eastAsia="Calibri" w:hAnsi="Garamond" w:cs="Times New Roman"/>
          <w:sz w:val="24"/>
          <w:szCs w:val="24"/>
          <w:lang w:eastAsia="en-US" w:bidi="sq-AL"/>
        </w:rPr>
        <w:t>Kjo periudhë është kritike, pasi shumë investime në përshtatje duhet të arrijnë kulmin. Nëse të gjitha projektet e planifikuara realizohen, aspekti i financimit në vitet 2029–2032 mund të përmirësohet, duke mbledhur potencialisht 500–600 milionë dollarë amerikanë shtesë. Sektorë si bujqësia mund të mbyllin pjesën më të madhe të hendekut të tyre deri në vitin 2030 nëse zbatohen projektet e planifikuara. Nevojat e turizmit mund të përmbushen kryesisht edhe nëpërmjet integrimit në projekte të tjera. Por urbanizmi, pylltaria, energjia dhe transporti mund të mbartin hendeqe të mbetura deri në vitin 2032, të zgjatura më tej deri në vitin 2036. Problemi është se Shqipëria rrezikon të lërë shumë risqe klimatike pa u adresuar, duke shkaktuar potencialisht humbje ekonomike dhe njerëzore që i tejkalojnë shumë kostot e investimit.</w:t>
      </w:r>
    </w:p>
    <w:p w14:paraId="655A746D" w14:textId="77777777" w:rsidR="00622884" w:rsidRPr="00622884" w:rsidRDefault="00622884" w:rsidP="00622884">
      <w:pPr>
        <w:tabs>
          <w:tab w:val="left" w:pos="5325"/>
        </w:tabs>
        <w:spacing w:after="0" w:line="240" w:lineRule="auto"/>
        <w:ind w:firstLine="284"/>
        <w:rPr>
          <w:rFonts w:ascii="Garamond" w:eastAsia="Calibri" w:hAnsi="Garamond" w:cs="Times New Roman"/>
          <w:b/>
          <w:sz w:val="24"/>
          <w:szCs w:val="24"/>
          <w:lang w:eastAsia="en-US"/>
        </w:rPr>
      </w:pPr>
      <w:r w:rsidRPr="00622884">
        <w:rPr>
          <w:rFonts w:ascii="Garamond" w:eastAsia="Calibri" w:hAnsi="Garamond" w:cs="Times New Roman"/>
          <w:b/>
          <w:sz w:val="24"/>
          <w:szCs w:val="24"/>
          <w:lang w:eastAsia="en-US" w:bidi="sq-AL"/>
        </w:rPr>
        <w:t>Afatgjatë (2033–2050)</w:t>
      </w:r>
    </w:p>
    <w:p w14:paraId="5A31615F"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r w:rsidRPr="00622884">
        <w:rPr>
          <w:rFonts w:ascii="Garamond" w:eastAsia="Calibri" w:hAnsi="Garamond" w:cs="Times New Roman"/>
          <w:sz w:val="24"/>
          <w:szCs w:val="24"/>
          <w:lang w:eastAsia="en-US" w:bidi="sq-AL"/>
        </w:rPr>
        <w:t>Rreth 11% e masave janë planifikuar me një fillim afatgjatë, duke theksuar nevojën për të filluar shumicën e aktiviteteve pa vonesë. Në planin afatgjatë (2033</w:t>
      </w:r>
      <w:r w:rsidRPr="00622884">
        <w:rPr>
          <w:rFonts w:ascii="Garamond" w:eastAsia="Calibri" w:hAnsi="Garamond" w:cs="Times New Roman"/>
          <w:sz w:val="24"/>
          <w:szCs w:val="24"/>
          <w:lang w:eastAsia="en-US"/>
        </w:rPr>
        <w:t>–</w:t>
      </w:r>
      <w:r w:rsidRPr="00622884">
        <w:rPr>
          <w:rFonts w:ascii="Garamond" w:eastAsia="Calibri" w:hAnsi="Garamond" w:cs="Times New Roman"/>
          <w:sz w:val="24"/>
          <w:szCs w:val="24"/>
          <w:lang w:eastAsia="en-US" w:bidi="sq-AL"/>
        </w:rPr>
        <w:t>2050) duhet të trajtohet jo vetëm pjesa e mbetur e planit, por edhe të arrihet përshtatje me kushtet në ndryshim. Nëse deri në vitin 2032 Shqipëria arrin të mobilizojë ~25% të fondeve të nevojshme, ~60% e mbetur (afërsisht 5.3 miliardë dollarë amerikanë) bëhet hendek afatgjatë. Në planin afatgjatë, strategjia parashikon flukse të qëndrueshme financimi me alokim më të madh të buxhetit të brendshëm dhe mekanizma të vetëmjaftueshëm. Investimi proaktiv tani mund të zvogëlojë kostot e ardhshme. Nëse nuk bëhet një materializim, deri në vitin 2050, Shqipëria mund të përballet me dëme të konsiderueshme vjetore klimatike prej qindra milionash, të cilat do ta rëndojnë ekonominë.</w:t>
      </w:r>
    </w:p>
    <w:p w14:paraId="3371694E"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r w:rsidRPr="00622884">
        <w:rPr>
          <w:rFonts w:ascii="Garamond" w:eastAsia="Calibri" w:hAnsi="Garamond" w:cs="Times New Roman"/>
          <w:sz w:val="24"/>
          <w:szCs w:val="24"/>
          <w:lang w:eastAsia="en-US" w:bidi="sq-AL"/>
        </w:rPr>
        <w:t>Më poshtë përshkruhet renditja e strategjisë së financimit për nevojat:</w:t>
      </w:r>
    </w:p>
    <w:p w14:paraId="20E1AF7A"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r w:rsidRPr="00622884">
        <w:rPr>
          <w:rFonts w:ascii="Garamond" w:eastAsia="Calibri" w:hAnsi="Garamond" w:cs="Times New Roman"/>
          <w:b/>
          <w:sz w:val="24"/>
          <w:szCs w:val="24"/>
          <w:lang w:eastAsia="en-US" w:bidi="sq-AL"/>
        </w:rPr>
        <w:t xml:space="preserve">- 2025/2026 – Përgatitja dhe pilotimet e hershme. </w:t>
      </w:r>
      <w:r w:rsidRPr="00622884">
        <w:rPr>
          <w:rFonts w:ascii="Garamond" w:eastAsia="Calibri" w:hAnsi="Garamond" w:cs="Times New Roman"/>
          <w:sz w:val="24"/>
          <w:szCs w:val="24"/>
          <w:lang w:eastAsia="en-US" w:bidi="sq-AL"/>
        </w:rPr>
        <w:t>Një riprogramim i vetëm prej 30 milionë dollarësh amerikanë nga linjat e PBA-së të nënshfrytëzuara është ndarë për dhjetë projekte pilot “me kosto të ulët dhe ndikim të lartë” dhe për hartimin e propozimeve të plota të FGJK-së/IPA-s së BE-së;</w:t>
      </w:r>
    </w:p>
    <w:p w14:paraId="0D15A281"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r w:rsidRPr="00622884">
        <w:rPr>
          <w:rFonts w:ascii="Garamond" w:eastAsia="Calibri" w:hAnsi="Garamond" w:cs="Times New Roman"/>
          <w:b/>
          <w:sz w:val="24"/>
          <w:szCs w:val="24"/>
          <w:lang w:eastAsia="en-US" w:bidi="sq-AL"/>
        </w:rPr>
        <w:t xml:space="preserve">- 2026–2028 – Zbatimi afatshkurtër. </w:t>
      </w:r>
      <w:r w:rsidRPr="00622884">
        <w:rPr>
          <w:rFonts w:ascii="Garamond" w:eastAsia="Calibri" w:hAnsi="Garamond" w:cs="Times New Roman"/>
          <w:sz w:val="24"/>
          <w:szCs w:val="24"/>
          <w:lang w:eastAsia="en-US" w:bidi="sq-AL"/>
        </w:rPr>
        <w:t xml:space="preserve">Grupi i parë i 24 masave prioritare, në vitin 2026: 50 milionë dollarë amerikanë; 2027: 75 milionë dollarë amerikanë; 2027: Obligacion i gjelbër prej 100 </w:t>
      </w:r>
      <w:r w:rsidRPr="00622884">
        <w:rPr>
          <w:rFonts w:ascii="Garamond" w:eastAsia="Calibri" w:hAnsi="Garamond" w:cs="Times New Roman"/>
          <w:sz w:val="24"/>
          <w:szCs w:val="24"/>
          <w:lang w:eastAsia="en-US" w:bidi="sq-AL"/>
        </w:rPr>
        <w:lastRenderedPageBreak/>
        <w:t>milionë dollarësh amerikanë; 2028 – Shkallëzimi i financimit të përzier (në total 200 milionë dollarë amerikanë);</w:t>
      </w:r>
    </w:p>
    <w:p w14:paraId="1207F7C6"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r w:rsidRPr="00622884">
        <w:rPr>
          <w:rFonts w:ascii="Garamond" w:eastAsia="Calibri" w:hAnsi="Garamond" w:cs="Times New Roman"/>
          <w:b/>
          <w:sz w:val="24"/>
          <w:szCs w:val="24"/>
          <w:lang w:eastAsia="en-US" w:bidi="sq-AL"/>
        </w:rPr>
        <w:t xml:space="preserve">- 2029–2030 – Hua dhe grante dypalëshe. </w:t>
      </w:r>
      <w:r w:rsidRPr="00622884">
        <w:rPr>
          <w:rFonts w:ascii="Garamond" w:eastAsia="Calibri" w:hAnsi="Garamond" w:cs="Times New Roman"/>
          <w:sz w:val="24"/>
          <w:szCs w:val="24"/>
          <w:lang w:eastAsia="en-US" w:bidi="sq-AL"/>
        </w:rPr>
        <w:t>200 milionë dollarë amerikanë në hua koncesionare të BEI-së për Fazën e 2-të të aftësive ripërtëritëse në transport dhe energji; 150 milionë dollarë amerikanë në financim të Bankës Botërore për investime në bujqësi të bazuara në ekosistem dhe në aftësitë ripërtëritëse të bashkisë; 100 milionë dollarë amerikanë në grante dypalëshe (KfW, JICA, donatorë nordikë) për të mbështetur asistencën teknike dhe gatishmërinë ndërsektoriale. Deri në fund të vitit 2030, pesëdhjetë nga gjashtë masat do të jenë financuar plotësisht dhe do të jenë vënë në zbatim, me disbursime kumulative që arrijnë afërsisht 600 milionë dollarë amerikanë, rreth 75% të paketës afatshkurtër prej 800 milionë dollarësh amerikanë;</w:t>
      </w:r>
    </w:p>
    <w:p w14:paraId="56B9104A"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r w:rsidRPr="00622884">
        <w:rPr>
          <w:rFonts w:ascii="Garamond" w:eastAsia="Calibri" w:hAnsi="Garamond" w:cs="Times New Roman"/>
          <w:b/>
          <w:sz w:val="24"/>
          <w:szCs w:val="24"/>
          <w:lang w:eastAsia="en-US" w:bidi="sq-AL"/>
        </w:rPr>
        <w:t xml:space="preserve">- 2031–2033 – Institucionalizimi dhe punimet kryesore kapitale. </w:t>
      </w:r>
      <w:r w:rsidRPr="00622884">
        <w:rPr>
          <w:rFonts w:ascii="Garamond" w:eastAsia="Calibri" w:hAnsi="Garamond" w:cs="Times New Roman"/>
          <w:sz w:val="24"/>
          <w:szCs w:val="24"/>
          <w:lang w:eastAsia="en-US" w:bidi="sq-AL"/>
        </w:rPr>
        <w:t>Lëshimi i obligacioneve të gjelbra të dyta prej 200 milionë dollarësh forcon tregjet e brendshme të kapitalit dhe mbështet digat rajonale të ruajtjes së ujit dhe kontrollit të përmbytjeve; 300 milionë dollarë bashkëfinancim me hua fleksible nga BEI/Banka Botërore financojnë korridoret kryesore të gjelbra urbane dhe ndërtimin e digave.</w:t>
      </w:r>
    </w:p>
    <w:p w14:paraId="14B2CAEA" w14:textId="77777777" w:rsidR="00622884" w:rsidRPr="00622884" w:rsidRDefault="00622884" w:rsidP="00622884">
      <w:pPr>
        <w:tabs>
          <w:tab w:val="left" w:pos="5325"/>
        </w:tabs>
        <w:spacing w:after="0" w:line="240" w:lineRule="auto"/>
        <w:ind w:firstLine="284"/>
        <w:rPr>
          <w:rFonts w:ascii="Garamond" w:eastAsia="Calibri" w:hAnsi="Garamond" w:cs="Times New Roman"/>
          <w:b/>
          <w:bCs/>
          <w:sz w:val="24"/>
          <w:szCs w:val="24"/>
          <w:lang w:eastAsia="en-US"/>
        </w:rPr>
      </w:pPr>
      <w:r w:rsidRPr="00622884">
        <w:rPr>
          <w:rFonts w:ascii="Garamond" w:eastAsia="Calibri" w:hAnsi="Garamond" w:cs="Times New Roman"/>
          <w:b/>
          <w:sz w:val="24"/>
          <w:szCs w:val="24"/>
          <w:lang w:eastAsia="en-US" w:bidi="sq-AL"/>
        </w:rPr>
        <w:t>- 2034–2035 – Integrimi dhe qëndrueshmëria.</w:t>
      </w:r>
    </w:p>
    <w:p w14:paraId="2A1F394B" w14:textId="77777777" w:rsidR="00622884" w:rsidRPr="00622884" w:rsidRDefault="00622884" w:rsidP="00622884">
      <w:pPr>
        <w:tabs>
          <w:tab w:val="left" w:pos="5325"/>
        </w:tabs>
        <w:spacing w:after="0" w:line="240" w:lineRule="auto"/>
        <w:ind w:firstLine="284"/>
        <w:rPr>
          <w:rFonts w:ascii="Garamond" w:eastAsia="Calibri" w:hAnsi="Garamond" w:cs="Times New Roman"/>
          <w:b/>
          <w:sz w:val="24"/>
          <w:szCs w:val="24"/>
          <w:lang w:eastAsia="en-US"/>
        </w:rPr>
      </w:pPr>
      <w:r w:rsidRPr="00622884">
        <w:rPr>
          <w:rFonts w:ascii="Garamond" w:eastAsia="Calibri" w:hAnsi="Garamond" w:cs="Times New Roman"/>
          <w:b/>
          <w:sz w:val="24"/>
          <w:szCs w:val="24"/>
          <w:lang w:eastAsia="en-US" w:bidi="sq-AL"/>
        </w:rPr>
        <w:t>Plani i detajuar i financimit (2026–2028)</w:t>
      </w:r>
    </w:p>
    <w:p w14:paraId="0AE5B443"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bidi="sq-AL"/>
        </w:rPr>
      </w:pPr>
      <w:r w:rsidRPr="00622884">
        <w:rPr>
          <w:rFonts w:ascii="Garamond" w:eastAsia="Calibri" w:hAnsi="Garamond" w:cs="Times New Roman"/>
          <w:sz w:val="24"/>
          <w:szCs w:val="24"/>
          <w:lang w:eastAsia="en-US" w:bidi="sq-AL"/>
        </w:rPr>
        <w:t xml:space="preserve">Plani prioritar afatshkurtër synon të përshtatë nevojat e identifikuara për investime me burimet më të përshtatshme të financimit, kombëtare, ndërkombëtare, publike dhe private, duke adresuar njëkohësisht pengesat kryesore dhe boshllëqet e kapaciteteve institucionale që mund të pengojnë zbatimin efektiv. Gjithashtu, shihni më poshtë për një përmbledhje, </w:t>
      </w:r>
      <w:r w:rsidRPr="00622884">
        <w:rPr>
          <w:rFonts w:ascii="Garamond" w:eastAsia="Calibri" w:hAnsi="Garamond" w:cs="Times New Roman"/>
          <w:sz w:val="24"/>
          <w:szCs w:val="24"/>
          <w:lang w:eastAsia="en-US" w:bidi="sq-AL"/>
        </w:rPr>
        <w:fldChar w:fldCharType="begin"/>
      </w:r>
      <w:r w:rsidRPr="00622884">
        <w:rPr>
          <w:rFonts w:ascii="Garamond" w:eastAsia="Calibri" w:hAnsi="Garamond" w:cs="Times New Roman"/>
          <w:sz w:val="24"/>
          <w:szCs w:val="24"/>
          <w:lang w:eastAsia="en-US" w:bidi="sq-AL"/>
        </w:rPr>
        <w:instrText xml:space="preserve"> REF _Ref210994200  \* MERGEFORMAT </w:instrText>
      </w:r>
      <w:r w:rsidRPr="00622884">
        <w:rPr>
          <w:rFonts w:ascii="Garamond" w:eastAsia="Calibri" w:hAnsi="Garamond" w:cs="Times New Roman"/>
          <w:sz w:val="24"/>
          <w:szCs w:val="24"/>
          <w:lang w:eastAsia="en-US" w:bidi="sq-AL"/>
        </w:rPr>
        <w:fldChar w:fldCharType="separate"/>
      </w:r>
      <w:r w:rsidRPr="00622884">
        <w:rPr>
          <w:rFonts w:ascii="Garamond" w:eastAsia="Calibri" w:hAnsi="Garamond" w:cs="Times New Roman"/>
          <w:sz w:val="24"/>
          <w:szCs w:val="24"/>
          <w:lang w:eastAsia="en-US" w:bidi="sq-AL"/>
        </w:rPr>
        <w:t>tabelën 20</w:t>
      </w:r>
      <w:r w:rsidRPr="00622884">
        <w:rPr>
          <w:rFonts w:ascii="Garamond" w:eastAsia="Calibri" w:hAnsi="Garamond" w:cs="Times New Roman"/>
          <w:sz w:val="24"/>
          <w:szCs w:val="24"/>
          <w:lang w:eastAsia="en-US" w:bidi="sq-AL"/>
        </w:rPr>
        <w:fldChar w:fldCharType="end"/>
      </w:r>
      <w:r w:rsidRPr="00622884">
        <w:rPr>
          <w:rFonts w:ascii="Garamond" w:eastAsia="Calibri" w:hAnsi="Garamond" w:cs="Times New Roman"/>
          <w:sz w:val="24"/>
          <w:szCs w:val="24"/>
          <w:lang w:eastAsia="en-US" w:bidi="sq-AL"/>
        </w:rPr>
        <w:t xml:space="preserve"> dhe dokumentin e strategjisë së financimit të NAP-it.</w:t>
      </w:r>
    </w:p>
    <w:p w14:paraId="294122CB" w14:textId="77777777" w:rsidR="00622884" w:rsidRPr="00622884" w:rsidRDefault="00622884" w:rsidP="00622884">
      <w:pPr>
        <w:tabs>
          <w:tab w:val="left" w:pos="5325"/>
        </w:tabs>
        <w:spacing w:after="0" w:line="240" w:lineRule="auto"/>
        <w:ind w:firstLine="284"/>
        <w:rPr>
          <w:rFonts w:ascii="Garamond" w:eastAsia="Calibri" w:hAnsi="Garamond" w:cs="Times New Roman"/>
          <w:sz w:val="6"/>
          <w:szCs w:val="24"/>
          <w:lang w:eastAsia="en-US"/>
        </w:rPr>
      </w:pPr>
    </w:p>
    <w:p w14:paraId="42E07EEB" w14:textId="77777777" w:rsidR="00622884" w:rsidRPr="00622884" w:rsidRDefault="00622884" w:rsidP="00622884">
      <w:pPr>
        <w:tabs>
          <w:tab w:val="left" w:pos="5325"/>
        </w:tabs>
        <w:spacing w:after="0" w:line="240" w:lineRule="auto"/>
        <w:ind w:firstLine="284"/>
        <w:rPr>
          <w:rFonts w:ascii="Garamond" w:eastAsia="Calibri" w:hAnsi="Garamond" w:cs="Times New Roman"/>
          <w:b/>
          <w:sz w:val="24"/>
          <w:szCs w:val="24"/>
          <w:lang w:eastAsia="en-US"/>
        </w:rPr>
      </w:pPr>
      <w:r w:rsidRPr="00622884">
        <w:rPr>
          <w:rFonts w:ascii="Garamond" w:eastAsia="Calibri" w:hAnsi="Garamond" w:cs="Times New Roman"/>
          <w:b/>
          <w:sz w:val="24"/>
          <w:szCs w:val="24"/>
          <w:lang w:eastAsia="en-US"/>
        </w:rPr>
        <w:t>Tabela 20: Plani i detajuar i financimit 2025–2028.</w:t>
      </w:r>
    </w:p>
    <w:tbl>
      <w:tblPr>
        <w:tblW w:w="5655" w:type="pct"/>
        <w:jc w:val="center"/>
        <w:tblBorders>
          <w:top w:val="single" w:sz="4" w:space="0" w:color="1D3C5A"/>
          <w:left w:val="single" w:sz="4" w:space="0" w:color="1D3C5A"/>
          <w:bottom w:val="single" w:sz="4" w:space="0" w:color="1D3C5A"/>
          <w:right w:val="single" w:sz="4" w:space="0" w:color="1D3C5A"/>
          <w:insideH w:val="single" w:sz="4" w:space="0" w:color="1D3C5A"/>
          <w:insideV w:val="single" w:sz="4" w:space="0" w:color="1D3C5A"/>
        </w:tblBorders>
        <w:tblLayout w:type="fixed"/>
        <w:tblLook w:val="04A0" w:firstRow="1" w:lastRow="0" w:firstColumn="1" w:lastColumn="0" w:noHBand="0" w:noVBand="1"/>
      </w:tblPr>
      <w:tblGrid>
        <w:gridCol w:w="1038"/>
        <w:gridCol w:w="1031"/>
        <w:gridCol w:w="920"/>
        <w:gridCol w:w="828"/>
        <w:gridCol w:w="1242"/>
        <w:gridCol w:w="920"/>
        <w:gridCol w:w="964"/>
        <w:gridCol w:w="1141"/>
        <w:gridCol w:w="1002"/>
        <w:gridCol w:w="1418"/>
      </w:tblGrid>
      <w:tr w:rsidR="00622884" w:rsidRPr="00622884" w14:paraId="6361FF12" w14:textId="77777777" w:rsidTr="00622884">
        <w:trPr>
          <w:trHeight w:val="387"/>
          <w:jc w:val="center"/>
        </w:trPr>
        <w:tc>
          <w:tcPr>
            <w:tcW w:w="494" w:type="pct"/>
            <w:tcBorders>
              <w:top w:val="single" w:sz="4" w:space="0" w:color="70AD47"/>
              <w:left w:val="single" w:sz="4" w:space="0" w:color="70AD47"/>
              <w:bottom w:val="single" w:sz="4" w:space="0" w:color="70AD47"/>
              <w:right w:val="nil"/>
            </w:tcBorders>
            <w:shd w:val="clear" w:color="auto" w:fill="215A5C"/>
            <w:vAlign w:val="center"/>
            <w:hideMark/>
          </w:tcPr>
          <w:p w14:paraId="3971C78D" w14:textId="77777777" w:rsidR="00622884" w:rsidRPr="00622884" w:rsidRDefault="00622884" w:rsidP="00622884">
            <w:pPr>
              <w:spacing w:after="0" w:line="240" w:lineRule="auto"/>
              <w:jc w:val="center"/>
              <w:rPr>
                <w:rFonts w:ascii="Garamond" w:eastAsia="Times New Roman" w:hAnsi="Garamond" w:cs="Calibri Light"/>
                <w:b/>
                <w:bCs/>
                <w:sz w:val="12"/>
                <w:szCs w:val="12"/>
                <w:lang w:eastAsia="zh-CN"/>
              </w:rPr>
            </w:pPr>
            <w:r w:rsidRPr="00622884">
              <w:rPr>
                <w:rFonts w:ascii="Garamond" w:eastAsia="Calibri Light" w:hAnsi="Garamond" w:cs="Times New Roman"/>
                <w:b/>
                <w:bCs/>
                <w:sz w:val="12"/>
                <w:szCs w:val="12"/>
                <w:lang w:eastAsia="en-US" w:bidi="sq-AL"/>
              </w:rPr>
              <w:t>Sektorët</w:t>
            </w:r>
          </w:p>
        </w:tc>
        <w:tc>
          <w:tcPr>
            <w:tcW w:w="491" w:type="pct"/>
            <w:tcBorders>
              <w:top w:val="single" w:sz="4" w:space="0" w:color="70AD47"/>
              <w:left w:val="nil"/>
              <w:bottom w:val="single" w:sz="4" w:space="0" w:color="70AD47"/>
              <w:right w:val="nil"/>
            </w:tcBorders>
            <w:shd w:val="clear" w:color="auto" w:fill="215A5C"/>
            <w:vAlign w:val="center"/>
            <w:hideMark/>
          </w:tcPr>
          <w:p w14:paraId="5D013F51" w14:textId="77777777" w:rsidR="00622884" w:rsidRPr="00622884" w:rsidRDefault="00622884" w:rsidP="00622884">
            <w:pPr>
              <w:spacing w:after="0" w:line="240" w:lineRule="auto"/>
              <w:jc w:val="center"/>
              <w:rPr>
                <w:rFonts w:ascii="Garamond" w:eastAsia="Times New Roman" w:hAnsi="Garamond" w:cs="Calibri Light"/>
                <w:b/>
                <w:bCs/>
                <w:sz w:val="12"/>
                <w:szCs w:val="12"/>
                <w:lang w:eastAsia="zh-CN"/>
              </w:rPr>
            </w:pPr>
            <w:r w:rsidRPr="00622884">
              <w:rPr>
                <w:rFonts w:ascii="Garamond" w:eastAsia="Calibri Light" w:hAnsi="Garamond" w:cs="Times New Roman"/>
                <w:b/>
                <w:bCs/>
                <w:sz w:val="12"/>
                <w:szCs w:val="12"/>
                <w:lang w:eastAsia="en-US" w:bidi="sq-AL"/>
              </w:rPr>
              <w:t>Burimet kryesore të financimit</w:t>
            </w:r>
          </w:p>
        </w:tc>
        <w:tc>
          <w:tcPr>
            <w:tcW w:w="438" w:type="pct"/>
            <w:tcBorders>
              <w:top w:val="single" w:sz="4" w:space="0" w:color="70AD47"/>
              <w:left w:val="nil"/>
              <w:bottom w:val="single" w:sz="4" w:space="0" w:color="70AD47"/>
              <w:right w:val="nil"/>
            </w:tcBorders>
            <w:shd w:val="clear" w:color="auto" w:fill="215A5C"/>
            <w:vAlign w:val="center"/>
            <w:hideMark/>
          </w:tcPr>
          <w:p w14:paraId="13E6F120" w14:textId="77777777" w:rsidR="00622884" w:rsidRPr="00622884" w:rsidRDefault="00622884" w:rsidP="00622884">
            <w:pPr>
              <w:spacing w:after="0" w:line="240" w:lineRule="auto"/>
              <w:jc w:val="center"/>
              <w:rPr>
                <w:rFonts w:ascii="Garamond" w:eastAsia="Times New Roman" w:hAnsi="Garamond" w:cs="Calibri Light"/>
                <w:b/>
                <w:bCs/>
                <w:sz w:val="12"/>
                <w:szCs w:val="12"/>
                <w:lang w:eastAsia="zh-CN"/>
              </w:rPr>
            </w:pPr>
            <w:r w:rsidRPr="00622884">
              <w:rPr>
                <w:rFonts w:ascii="Garamond" w:eastAsia="Calibri Light" w:hAnsi="Garamond" w:cs="Times New Roman"/>
                <w:b/>
                <w:bCs/>
                <w:sz w:val="12"/>
                <w:szCs w:val="12"/>
                <w:lang w:eastAsia="en-US" w:bidi="sq-AL"/>
              </w:rPr>
              <w:t xml:space="preserve">Vëllimi i përllogaritur (dollarë amerikanë) </w:t>
            </w:r>
          </w:p>
        </w:tc>
        <w:tc>
          <w:tcPr>
            <w:tcW w:w="394" w:type="pct"/>
            <w:tcBorders>
              <w:top w:val="single" w:sz="4" w:space="0" w:color="70AD47"/>
              <w:left w:val="nil"/>
              <w:bottom w:val="single" w:sz="4" w:space="0" w:color="70AD47"/>
              <w:right w:val="nil"/>
            </w:tcBorders>
            <w:shd w:val="clear" w:color="auto" w:fill="215A5C"/>
            <w:vAlign w:val="center"/>
            <w:hideMark/>
          </w:tcPr>
          <w:p w14:paraId="1DBD2547" w14:textId="77777777" w:rsidR="00622884" w:rsidRPr="00622884" w:rsidRDefault="00622884" w:rsidP="00622884">
            <w:pPr>
              <w:spacing w:after="0" w:line="240" w:lineRule="auto"/>
              <w:jc w:val="center"/>
              <w:rPr>
                <w:rFonts w:ascii="Garamond" w:eastAsia="Times New Roman" w:hAnsi="Garamond" w:cs="Calibri Light"/>
                <w:b/>
                <w:bCs/>
                <w:sz w:val="12"/>
                <w:szCs w:val="12"/>
                <w:lang w:eastAsia="zh-CN"/>
              </w:rPr>
            </w:pPr>
            <w:r w:rsidRPr="00622884">
              <w:rPr>
                <w:rFonts w:ascii="Garamond" w:eastAsia="Calibri Light" w:hAnsi="Garamond" w:cs="Times New Roman"/>
                <w:b/>
                <w:bCs/>
                <w:sz w:val="12"/>
                <w:szCs w:val="12"/>
                <w:lang w:eastAsia="en-US" w:bidi="sq-AL"/>
              </w:rPr>
              <w:t>Angazhimi kombëtar</w:t>
            </w:r>
          </w:p>
        </w:tc>
        <w:tc>
          <w:tcPr>
            <w:tcW w:w="591" w:type="pct"/>
            <w:tcBorders>
              <w:top w:val="single" w:sz="4" w:space="0" w:color="70AD47"/>
              <w:left w:val="nil"/>
              <w:bottom w:val="single" w:sz="4" w:space="0" w:color="70AD47"/>
              <w:right w:val="nil"/>
            </w:tcBorders>
            <w:shd w:val="clear" w:color="auto" w:fill="215A5C"/>
            <w:vAlign w:val="center"/>
            <w:hideMark/>
          </w:tcPr>
          <w:p w14:paraId="7C4BE7A9" w14:textId="77777777" w:rsidR="00622884" w:rsidRPr="00622884" w:rsidRDefault="00622884" w:rsidP="00622884">
            <w:pPr>
              <w:spacing w:after="0" w:line="240" w:lineRule="auto"/>
              <w:jc w:val="center"/>
              <w:rPr>
                <w:rFonts w:ascii="Garamond" w:eastAsia="Times New Roman" w:hAnsi="Garamond" w:cs="Calibri Light"/>
                <w:b/>
                <w:bCs/>
                <w:sz w:val="12"/>
                <w:szCs w:val="12"/>
                <w:lang w:eastAsia="zh-CN"/>
              </w:rPr>
            </w:pPr>
            <w:r w:rsidRPr="00622884">
              <w:rPr>
                <w:rFonts w:ascii="Garamond" w:eastAsia="Calibri Light" w:hAnsi="Garamond" w:cs="Times New Roman"/>
                <w:b/>
                <w:bCs/>
                <w:sz w:val="12"/>
                <w:szCs w:val="12"/>
                <w:lang w:eastAsia="en-US" w:bidi="sq-AL"/>
              </w:rPr>
              <w:t>Angazhim ndërkombëtar</w:t>
            </w:r>
          </w:p>
        </w:tc>
        <w:tc>
          <w:tcPr>
            <w:tcW w:w="438" w:type="pct"/>
            <w:tcBorders>
              <w:top w:val="single" w:sz="4" w:space="0" w:color="70AD47"/>
              <w:left w:val="nil"/>
              <w:bottom w:val="single" w:sz="4" w:space="0" w:color="70AD47"/>
              <w:right w:val="nil"/>
            </w:tcBorders>
            <w:shd w:val="clear" w:color="auto" w:fill="215A5C"/>
            <w:vAlign w:val="center"/>
            <w:hideMark/>
          </w:tcPr>
          <w:p w14:paraId="07033A8E" w14:textId="77777777" w:rsidR="00622884" w:rsidRPr="00622884" w:rsidRDefault="00622884" w:rsidP="00622884">
            <w:pPr>
              <w:spacing w:after="0" w:line="240" w:lineRule="auto"/>
              <w:jc w:val="center"/>
              <w:rPr>
                <w:rFonts w:ascii="Garamond" w:eastAsia="Times New Roman" w:hAnsi="Garamond" w:cs="Calibri Light"/>
                <w:b/>
                <w:bCs/>
                <w:sz w:val="12"/>
                <w:szCs w:val="12"/>
                <w:lang w:eastAsia="zh-CN"/>
              </w:rPr>
            </w:pPr>
            <w:r w:rsidRPr="00622884">
              <w:rPr>
                <w:rFonts w:ascii="Garamond" w:eastAsia="Calibri Light" w:hAnsi="Garamond" w:cs="Times New Roman"/>
                <w:b/>
                <w:bCs/>
                <w:sz w:val="12"/>
                <w:szCs w:val="12"/>
                <w:lang w:eastAsia="en-US" w:bidi="sq-AL"/>
              </w:rPr>
              <w:t>Hendeku</w:t>
            </w:r>
          </w:p>
        </w:tc>
        <w:tc>
          <w:tcPr>
            <w:tcW w:w="459" w:type="pct"/>
            <w:tcBorders>
              <w:top w:val="single" w:sz="4" w:space="0" w:color="70AD47"/>
              <w:left w:val="nil"/>
              <w:bottom w:val="single" w:sz="4" w:space="0" w:color="70AD47"/>
              <w:right w:val="nil"/>
            </w:tcBorders>
            <w:shd w:val="clear" w:color="auto" w:fill="215A5C"/>
            <w:vAlign w:val="center"/>
            <w:hideMark/>
          </w:tcPr>
          <w:p w14:paraId="21EA0C51" w14:textId="77777777" w:rsidR="00622884" w:rsidRPr="00622884" w:rsidRDefault="00622884" w:rsidP="00622884">
            <w:pPr>
              <w:spacing w:after="0" w:line="240" w:lineRule="auto"/>
              <w:jc w:val="center"/>
              <w:rPr>
                <w:rFonts w:ascii="Garamond" w:eastAsia="Times New Roman" w:hAnsi="Garamond" w:cs="Calibri Light"/>
                <w:b/>
                <w:bCs/>
                <w:sz w:val="12"/>
                <w:szCs w:val="12"/>
                <w:lang w:eastAsia="zh-CN"/>
              </w:rPr>
            </w:pPr>
            <w:r w:rsidRPr="00622884">
              <w:rPr>
                <w:rFonts w:ascii="Garamond" w:eastAsia="Calibri Light" w:hAnsi="Garamond" w:cs="Times New Roman"/>
                <w:b/>
                <w:bCs/>
                <w:sz w:val="12"/>
                <w:szCs w:val="12"/>
                <w:lang w:eastAsia="en-US" w:bidi="sq-AL"/>
              </w:rPr>
              <w:t>Periudha kohore</w:t>
            </w:r>
          </w:p>
        </w:tc>
        <w:tc>
          <w:tcPr>
            <w:tcW w:w="543" w:type="pct"/>
            <w:tcBorders>
              <w:top w:val="single" w:sz="4" w:space="0" w:color="70AD47"/>
              <w:left w:val="nil"/>
              <w:bottom w:val="single" w:sz="4" w:space="0" w:color="70AD47"/>
              <w:right w:val="nil"/>
            </w:tcBorders>
            <w:shd w:val="clear" w:color="auto" w:fill="215A5C"/>
            <w:vAlign w:val="center"/>
            <w:hideMark/>
          </w:tcPr>
          <w:p w14:paraId="2AE731C7" w14:textId="77777777" w:rsidR="00622884" w:rsidRPr="00622884" w:rsidRDefault="00622884" w:rsidP="00622884">
            <w:pPr>
              <w:spacing w:after="0" w:line="240" w:lineRule="auto"/>
              <w:jc w:val="center"/>
              <w:rPr>
                <w:rFonts w:ascii="Garamond" w:eastAsia="Times New Roman" w:hAnsi="Garamond" w:cs="Calibri Light"/>
                <w:b/>
                <w:bCs/>
                <w:sz w:val="12"/>
                <w:szCs w:val="12"/>
                <w:lang w:eastAsia="zh-CN"/>
              </w:rPr>
            </w:pPr>
            <w:r w:rsidRPr="00622884">
              <w:rPr>
                <w:rFonts w:ascii="Garamond" w:eastAsia="Calibri Light" w:hAnsi="Garamond" w:cs="Times New Roman"/>
                <w:b/>
                <w:bCs/>
                <w:sz w:val="12"/>
                <w:szCs w:val="12"/>
                <w:lang w:eastAsia="en-US" w:bidi="sq-AL"/>
              </w:rPr>
              <w:t>Gatishmëria për propozim</w:t>
            </w:r>
          </w:p>
        </w:tc>
        <w:tc>
          <w:tcPr>
            <w:tcW w:w="477" w:type="pct"/>
            <w:tcBorders>
              <w:top w:val="single" w:sz="4" w:space="0" w:color="70AD47"/>
              <w:left w:val="nil"/>
              <w:bottom w:val="single" w:sz="4" w:space="0" w:color="70AD47"/>
              <w:right w:val="nil"/>
            </w:tcBorders>
            <w:shd w:val="clear" w:color="auto" w:fill="215A5C"/>
            <w:vAlign w:val="center"/>
            <w:hideMark/>
          </w:tcPr>
          <w:p w14:paraId="026D7B89" w14:textId="77777777" w:rsidR="00622884" w:rsidRPr="00622884" w:rsidRDefault="00622884" w:rsidP="00622884">
            <w:pPr>
              <w:spacing w:after="0" w:line="240" w:lineRule="auto"/>
              <w:jc w:val="center"/>
              <w:rPr>
                <w:rFonts w:ascii="Garamond" w:eastAsia="Times New Roman" w:hAnsi="Garamond" w:cs="Calibri Light"/>
                <w:b/>
                <w:bCs/>
                <w:sz w:val="12"/>
                <w:szCs w:val="12"/>
                <w:lang w:eastAsia="zh-CN"/>
              </w:rPr>
            </w:pPr>
            <w:r w:rsidRPr="00622884">
              <w:rPr>
                <w:rFonts w:ascii="Garamond" w:eastAsia="Calibri Light" w:hAnsi="Garamond" w:cs="Times New Roman"/>
                <w:b/>
                <w:bCs/>
                <w:sz w:val="12"/>
                <w:szCs w:val="12"/>
                <w:lang w:eastAsia="en-US" w:bidi="sq-AL"/>
              </w:rPr>
              <w:t>Institucionet kryesore</w:t>
            </w:r>
          </w:p>
        </w:tc>
        <w:tc>
          <w:tcPr>
            <w:tcW w:w="676" w:type="pct"/>
            <w:tcBorders>
              <w:top w:val="single" w:sz="4" w:space="0" w:color="70AD47"/>
              <w:left w:val="nil"/>
              <w:bottom w:val="single" w:sz="4" w:space="0" w:color="70AD47"/>
              <w:right w:val="single" w:sz="4" w:space="0" w:color="70AD47"/>
            </w:tcBorders>
            <w:shd w:val="clear" w:color="auto" w:fill="215A5C"/>
            <w:vAlign w:val="center"/>
            <w:hideMark/>
          </w:tcPr>
          <w:p w14:paraId="3D28DAE3" w14:textId="77777777" w:rsidR="00622884" w:rsidRPr="00622884" w:rsidRDefault="00622884" w:rsidP="00622884">
            <w:pPr>
              <w:spacing w:after="0" w:line="240" w:lineRule="auto"/>
              <w:jc w:val="center"/>
              <w:rPr>
                <w:rFonts w:ascii="Garamond" w:eastAsia="Times New Roman" w:hAnsi="Garamond" w:cs="Calibri Light"/>
                <w:b/>
                <w:bCs/>
                <w:sz w:val="12"/>
                <w:szCs w:val="12"/>
                <w:lang w:eastAsia="zh-CN"/>
              </w:rPr>
            </w:pPr>
            <w:r w:rsidRPr="00622884">
              <w:rPr>
                <w:rFonts w:ascii="Garamond" w:eastAsia="Calibri Light" w:hAnsi="Garamond" w:cs="Times New Roman"/>
                <w:b/>
                <w:bCs/>
                <w:sz w:val="12"/>
                <w:szCs w:val="12"/>
                <w:lang w:eastAsia="en-US" w:bidi="sq-AL"/>
              </w:rPr>
              <w:t>Modaliteti i bashkëfinancimit / përputhja e donatorëve</w:t>
            </w:r>
          </w:p>
        </w:tc>
      </w:tr>
      <w:tr w:rsidR="00622884" w:rsidRPr="00622884" w14:paraId="03E396BF" w14:textId="77777777" w:rsidTr="00622884">
        <w:trPr>
          <w:trHeight w:val="637"/>
          <w:jc w:val="center"/>
        </w:trPr>
        <w:tc>
          <w:tcPr>
            <w:tcW w:w="494" w:type="pct"/>
            <w:shd w:val="clear" w:color="auto" w:fill="FFFFFF"/>
            <w:vAlign w:val="center"/>
            <w:hideMark/>
          </w:tcPr>
          <w:p w14:paraId="418346C2" w14:textId="77777777" w:rsidR="00622884" w:rsidRPr="00622884" w:rsidRDefault="00622884" w:rsidP="00622884">
            <w:pPr>
              <w:shd w:val="clear" w:color="auto" w:fill="FFFFFF"/>
              <w:spacing w:after="0" w:line="240" w:lineRule="auto"/>
              <w:jc w:val="left"/>
              <w:rPr>
                <w:rFonts w:ascii="Garamond" w:eastAsia="Times New Roman" w:hAnsi="Garamond" w:cs="Calibri Light"/>
                <w:b/>
                <w:bCs/>
                <w:sz w:val="12"/>
                <w:szCs w:val="12"/>
                <w:lang w:eastAsia="zh-CN"/>
              </w:rPr>
            </w:pPr>
            <w:r w:rsidRPr="00622884">
              <w:rPr>
                <w:rFonts w:ascii="Garamond" w:eastAsia="Calibri Light" w:hAnsi="Garamond" w:cs="Times New Roman"/>
                <w:b/>
                <w:bCs/>
                <w:sz w:val="12"/>
                <w:szCs w:val="12"/>
                <w:lang w:eastAsia="en-US" w:bidi="sq-AL"/>
              </w:rPr>
              <w:t>Ndërsektoriale</w:t>
            </w:r>
          </w:p>
        </w:tc>
        <w:tc>
          <w:tcPr>
            <w:tcW w:w="491" w:type="pct"/>
            <w:shd w:val="clear" w:color="auto" w:fill="FFFFFF"/>
            <w:vAlign w:val="center"/>
            <w:hideMark/>
          </w:tcPr>
          <w:p w14:paraId="643E458F" w14:textId="77777777" w:rsidR="00622884" w:rsidRPr="00622884" w:rsidRDefault="00622884" w:rsidP="00622884">
            <w:pPr>
              <w:shd w:val="clear" w:color="auto" w:fill="FFFFFF"/>
              <w:spacing w:after="0" w:line="240" w:lineRule="auto"/>
              <w:jc w:val="left"/>
              <w:rPr>
                <w:rFonts w:ascii="Garamond" w:eastAsia="Times New Roman" w:hAnsi="Garamond" w:cs="Calibri Light"/>
                <w:sz w:val="12"/>
                <w:szCs w:val="12"/>
                <w:lang w:eastAsia="zh-CN"/>
              </w:rPr>
            </w:pPr>
            <w:r w:rsidRPr="00622884">
              <w:rPr>
                <w:rFonts w:ascii="Garamond" w:eastAsia="Calibri Light" w:hAnsi="Garamond" w:cs="Times New Roman"/>
                <w:sz w:val="12"/>
                <w:szCs w:val="12"/>
                <w:lang w:eastAsia="en-US" w:bidi="sq-AL"/>
              </w:rPr>
              <w:t>FGJK-ja; buxheti i Ministrisë së Financave; grante teknike dypalëshe</w:t>
            </w:r>
          </w:p>
        </w:tc>
        <w:tc>
          <w:tcPr>
            <w:tcW w:w="438" w:type="pct"/>
            <w:shd w:val="clear" w:color="auto" w:fill="FFFFFF"/>
            <w:vAlign w:val="center"/>
            <w:hideMark/>
          </w:tcPr>
          <w:p w14:paraId="43FF6AEC" w14:textId="77777777" w:rsidR="00622884" w:rsidRPr="00622884" w:rsidRDefault="00622884" w:rsidP="00622884">
            <w:pPr>
              <w:shd w:val="clear" w:color="auto" w:fill="FFFFFF"/>
              <w:spacing w:after="0" w:line="240" w:lineRule="auto"/>
              <w:jc w:val="left"/>
              <w:rPr>
                <w:rFonts w:ascii="Garamond" w:eastAsia="Times New Roman" w:hAnsi="Garamond" w:cs="Calibri Light"/>
                <w:sz w:val="12"/>
                <w:szCs w:val="12"/>
                <w:lang w:eastAsia="zh-CN"/>
              </w:rPr>
            </w:pPr>
            <w:r w:rsidRPr="00622884">
              <w:rPr>
                <w:rFonts w:ascii="Garamond" w:eastAsia="Calibri Light" w:hAnsi="Garamond" w:cs="Times New Roman"/>
                <w:sz w:val="12"/>
                <w:szCs w:val="12"/>
                <w:lang w:eastAsia="en-US" w:bidi="sq-AL"/>
              </w:rPr>
              <w:t>256.721.396</w:t>
            </w:r>
          </w:p>
        </w:tc>
        <w:tc>
          <w:tcPr>
            <w:tcW w:w="394" w:type="pct"/>
            <w:shd w:val="clear" w:color="auto" w:fill="FFFFFF"/>
            <w:vAlign w:val="center"/>
            <w:hideMark/>
          </w:tcPr>
          <w:p w14:paraId="38B5AFC2" w14:textId="77777777" w:rsidR="00622884" w:rsidRPr="00622884" w:rsidRDefault="00622884" w:rsidP="00622884">
            <w:pPr>
              <w:shd w:val="clear" w:color="auto" w:fill="FFFFFF"/>
              <w:spacing w:after="0" w:line="240" w:lineRule="auto"/>
              <w:jc w:val="left"/>
              <w:rPr>
                <w:rFonts w:ascii="Garamond" w:eastAsia="Times New Roman" w:hAnsi="Garamond" w:cs="Calibri Light"/>
                <w:sz w:val="12"/>
                <w:szCs w:val="12"/>
                <w:lang w:eastAsia="zh-CN"/>
              </w:rPr>
            </w:pPr>
            <w:r w:rsidRPr="00622884">
              <w:rPr>
                <w:rFonts w:ascii="Garamond" w:eastAsia="Calibri Light" w:hAnsi="Garamond" w:cs="Times New Roman"/>
                <w:sz w:val="12"/>
                <w:szCs w:val="12"/>
                <w:lang w:eastAsia="en-US" w:bidi="sq-AL"/>
              </w:rPr>
              <w:t>6.705.576</w:t>
            </w:r>
          </w:p>
        </w:tc>
        <w:tc>
          <w:tcPr>
            <w:tcW w:w="591" w:type="pct"/>
            <w:shd w:val="clear" w:color="auto" w:fill="FFFFFF"/>
            <w:vAlign w:val="center"/>
            <w:hideMark/>
          </w:tcPr>
          <w:p w14:paraId="2D247F04" w14:textId="77777777" w:rsidR="00622884" w:rsidRPr="00622884" w:rsidRDefault="00622884" w:rsidP="00622884">
            <w:pPr>
              <w:shd w:val="clear" w:color="auto" w:fill="FFFFFF"/>
              <w:spacing w:after="0" w:line="240" w:lineRule="auto"/>
              <w:jc w:val="left"/>
              <w:rPr>
                <w:rFonts w:ascii="Garamond" w:eastAsia="Times New Roman" w:hAnsi="Garamond" w:cs="Calibri Light"/>
                <w:sz w:val="12"/>
                <w:szCs w:val="12"/>
                <w:lang w:eastAsia="zh-CN"/>
              </w:rPr>
            </w:pPr>
            <w:r w:rsidRPr="00622884">
              <w:rPr>
                <w:rFonts w:ascii="Garamond" w:eastAsia="Calibri Light" w:hAnsi="Garamond" w:cs="Times New Roman"/>
                <w:sz w:val="12"/>
                <w:szCs w:val="12"/>
                <w:lang w:eastAsia="en-US" w:bidi="sq-AL"/>
              </w:rPr>
              <w:t>35.000</w:t>
            </w:r>
          </w:p>
        </w:tc>
        <w:tc>
          <w:tcPr>
            <w:tcW w:w="438" w:type="pct"/>
            <w:shd w:val="clear" w:color="auto" w:fill="FFFFFF"/>
            <w:vAlign w:val="center"/>
            <w:hideMark/>
          </w:tcPr>
          <w:p w14:paraId="6C29989D" w14:textId="77777777" w:rsidR="00622884" w:rsidRPr="00622884" w:rsidRDefault="00622884" w:rsidP="00622884">
            <w:pPr>
              <w:shd w:val="clear" w:color="auto" w:fill="FFFFFF"/>
              <w:spacing w:after="0" w:line="240" w:lineRule="auto"/>
              <w:jc w:val="left"/>
              <w:rPr>
                <w:rFonts w:ascii="Garamond" w:eastAsia="Times New Roman" w:hAnsi="Garamond" w:cs="Calibri Light"/>
                <w:sz w:val="12"/>
                <w:szCs w:val="12"/>
                <w:lang w:eastAsia="zh-CN"/>
              </w:rPr>
            </w:pPr>
            <w:r w:rsidRPr="00622884">
              <w:rPr>
                <w:rFonts w:ascii="Garamond" w:eastAsia="Calibri Light" w:hAnsi="Garamond" w:cs="Times New Roman"/>
                <w:sz w:val="12"/>
                <w:szCs w:val="12"/>
                <w:lang w:eastAsia="en-US" w:bidi="sq-AL"/>
              </w:rPr>
              <w:t>249.980.820</w:t>
            </w:r>
          </w:p>
        </w:tc>
        <w:tc>
          <w:tcPr>
            <w:tcW w:w="459" w:type="pct"/>
            <w:shd w:val="clear" w:color="auto" w:fill="FFFFFF"/>
            <w:vAlign w:val="center"/>
            <w:hideMark/>
          </w:tcPr>
          <w:p w14:paraId="12D0A8E9" w14:textId="77777777" w:rsidR="00622884" w:rsidRPr="00622884" w:rsidRDefault="00622884" w:rsidP="00622884">
            <w:pPr>
              <w:shd w:val="clear" w:color="auto" w:fill="FFFFFF"/>
              <w:spacing w:after="0" w:line="240" w:lineRule="auto"/>
              <w:jc w:val="left"/>
              <w:rPr>
                <w:rFonts w:ascii="Garamond" w:eastAsia="Times New Roman" w:hAnsi="Garamond" w:cs="Calibri Light"/>
                <w:sz w:val="12"/>
                <w:szCs w:val="12"/>
                <w:lang w:eastAsia="zh-CN"/>
              </w:rPr>
            </w:pPr>
            <w:r w:rsidRPr="00622884">
              <w:rPr>
                <w:rFonts w:ascii="Garamond" w:eastAsia="Calibri Light" w:hAnsi="Garamond" w:cs="Times New Roman"/>
                <w:sz w:val="12"/>
                <w:szCs w:val="12"/>
                <w:lang w:eastAsia="en-US" w:bidi="sq-AL"/>
              </w:rPr>
              <w:t>2025–2035</w:t>
            </w:r>
          </w:p>
        </w:tc>
        <w:tc>
          <w:tcPr>
            <w:tcW w:w="543" w:type="pct"/>
            <w:shd w:val="clear" w:color="auto" w:fill="FFFFFF"/>
            <w:vAlign w:val="center"/>
            <w:hideMark/>
          </w:tcPr>
          <w:p w14:paraId="69ECBF72" w14:textId="77777777" w:rsidR="00622884" w:rsidRPr="00622884" w:rsidRDefault="00622884" w:rsidP="00622884">
            <w:pPr>
              <w:shd w:val="clear" w:color="auto" w:fill="FFFFFF"/>
              <w:spacing w:after="0" w:line="240" w:lineRule="auto"/>
              <w:jc w:val="left"/>
              <w:rPr>
                <w:rFonts w:ascii="Garamond" w:eastAsia="Times New Roman" w:hAnsi="Garamond" w:cs="Calibri Light"/>
                <w:sz w:val="12"/>
                <w:szCs w:val="12"/>
                <w:lang w:eastAsia="zh-CN"/>
              </w:rPr>
            </w:pPr>
            <w:r w:rsidRPr="00622884">
              <w:rPr>
                <w:rFonts w:ascii="Garamond" w:eastAsia="Calibri Light" w:hAnsi="Garamond" w:cs="Times New Roman"/>
                <w:sz w:val="12"/>
                <w:szCs w:val="12"/>
                <w:lang w:eastAsia="en-US" w:bidi="sq-AL"/>
              </w:rPr>
              <w:t>Tremujori i dytë i vitit 2025 (dokument koncepti i FGJK-së)</w:t>
            </w:r>
          </w:p>
        </w:tc>
        <w:tc>
          <w:tcPr>
            <w:tcW w:w="477" w:type="pct"/>
            <w:shd w:val="clear" w:color="auto" w:fill="FFFFFF"/>
            <w:vAlign w:val="center"/>
            <w:hideMark/>
          </w:tcPr>
          <w:p w14:paraId="3A795939" w14:textId="77777777" w:rsidR="00622884" w:rsidRPr="00622884" w:rsidRDefault="00622884" w:rsidP="00622884">
            <w:pPr>
              <w:shd w:val="clear" w:color="auto" w:fill="FFFFFF"/>
              <w:spacing w:after="0" w:line="240" w:lineRule="auto"/>
              <w:jc w:val="left"/>
              <w:rPr>
                <w:rFonts w:ascii="Garamond" w:eastAsia="Times New Roman" w:hAnsi="Garamond" w:cs="Calibri Light"/>
                <w:sz w:val="12"/>
                <w:szCs w:val="12"/>
                <w:lang w:eastAsia="zh-CN"/>
              </w:rPr>
            </w:pPr>
            <w:r w:rsidRPr="00622884">
              <w:rPr>
                <w:rFonts w:ascii="Garamond" w:eastAsia="Calibri Light" w:hAnsi="Garamond" w:cs="Times New Roman"/>
                <w:sz w:val="12"/>
                <w:szCs w:val="12"/>
                <w:lang w:eastAsia="en-US" w:bidi="sq-AL"/>
              </w:rPr>
              <w:t>Ministria e Financave; MTM; NDA</w:t>
            </w:r>
          </w:p>
        </w:tc>
        <w:tc>
          <w:tcPr>
            <w:tcW w:w="676" w:type="pct"/>
            <w:shd w:val="clear" w:color="auto" w:fill="FFFFFF"/>
            <w:vAlign w:val="center"/>
            <w:hideMark/>
          </w:tcPr>
          <w:p w14:paraId="5C60AD42" w14:textId="77777777" w:rsidR="00622884" w:rsidRPr="00622884" w:rsidRDefault="00622884" w:rsidP="00622884">
            <w:pPr>
              <w:shd w:val="clear" w:color="auto" w:fill="FFFFFF"/>
              <w:spacing w:after="0" w:line="240" w:lineRule="auto"/>
              <w:jc w:val="left"/>
              <w:rPr>
                <w:rFonts w:ascii="Garamond" w:eastAsia="Times New Roman" w:hAnsi="Garamond" w:cs="Calibri Light"/>
                <w:sz w:val="12"/>
                <w:szCs w:val="12"/>
                <w:lang w:eastAsia="zh-CN"/>
              </w:rPr>
            </w:pPr>
            <w:r w:rsidRPr="00622884">
              <w:rPr>
                <w:rFonts w:ascii="Garamond" w:eastAsia="Calibri Light" w:hAnsi="Garamond" w:cs="Times New Roman"/>
                <w:sz w:val="12"/>
                <w:szCs w:val="12"/>
                <w:lang w:eastAsia="en-US" w:bidi="sq-AL"/>
              </w:rPr>
              <w:t>30% etiketim kombëtar; grantet e FGJK-së; mbështetja teknike e UNDP-së</w:t>
            </w:r>
          </w:p>
        </w:tc>
      </w:tr>
      <w:tr w:rsidR="00622884" w:rsidRPr="00622884" w14:paraId="5D255505" w14:textId="77777777" w:rsidTr="00622884">
        <w:trPr>
          <w:trHeight w:val="352"/>
          <w:jc w:val="center"/>
        </w:trPr>
        <w:tc>
          <w:tcPr>
            <w:tcW w:w="494" w:type="pct"/>
            <w:shd w:val="clear" w:color="auto" w:fill="FFFFFF"/>
            <w:vAlign w:val="center"/>
            <w:hideMark/>
          </w:tcPr>
          <w:p w14:paraId="4D1AC1BA" w14:textId="77777777" w:rsidR="00622884" w:rsidRPr="00622884" w:rsidRDefault="00622884" w:rsidP="00622884">
            <w:pPr>
              <w:shd w:val="clear" w:color="auto" w:fill="FFFFFF"/>
              <w:spacing w:after="0" w:line="240" w:lineRule="auto"/>
              <w:jc w:val="left"/>
              <w:rPr>
                <w:rFonts w:ascii="Garamond" w:eastAsia="Times New Roman" w:hAnsi="Garamond" w:cs="Calibri Light"/>
                <w:b/>
                <w:bCs/>
                <w:sz w:val="12"/>
                <w:szCs w:val="12"/>
                <w:lang w:eastAsia="zh-CN"/>
              </w:rPr>
            </w:pPr>
            <w:r w:rsidRPr="00622884">
              <w:rPr>
                <w:rFonts w:ascii="Garamond" w:eastAsia="Calibri Light" w:hAnsi="Garamond" w:cs="Times New Roman"/>
                <w:b/>
                <w:bCs/>
                <w:sz w:val="12"/>
                <w:szCs w:val="12"/>
                <w:lang w:eastAsia="en-US" w:bidi="sq-AL"/>
              </w:rPr>
              <w:t>Bujqësia</w:t>
            </w:r>
          </w:p>
        </w:tc>
        <w:tc>
          <w:tcPr>
            <w:tcW w:w="491" w:type="pct"/>
            <w:shd w:val="clear" w:color="auto" w:fill="FFFFFF"/>
            <w:vAlign w:val="center"/>
            <w:hideMark/>
          </w:tcPr>
          <w:p w14:paraId="1686DA15" w14:textId="77777777" w:rsidR="00622884" w:rsidRPr="00622884" w:rsidRDefault="00622884" w:rsidP="00622884">
            <w:pPr>
              <w:shd w:val="clear" w:color="auto" w:fill="FFFFFF"/>
              <w:spacing w:after="0" w:line="240" w:lineRule="auto"/>
              <w:jc w:val="left"/>
              <w:rPr>
                <w:rFonts w:ascii="Garamond" w:eastAsia="Times New Roman" w:hAnsi="Garamond" w:cs="Calibri Light"/>
                <w:sz w:val="12"/>
                <w:szCs w:val="12"/>
                <w:lang w:eastAsia="zh-CN"/>
              </w:rPr>
            </w:pPr>
            <w:r w:rsidRPr="00622884">
              <w:rPr>
                <w:rFonts w:ascii="Garamond" w:eastAsia="Calibri Light" w:hAnsi="Garamond" w:cs="Times New Roman"/>
                <w:sz w:val="12"/>
                <w:szCs w:val="12"/>
                <w:lang w:eastAsia="en-US" w:bidi="sq-AL"/>
              </w:rPr>
              <w:t>FGJK-ja; buxheti i FM-së; IFAD; IPARD-i i BE-së</w:t>
            </w:r>
          </w:p>
        </w:tc>
        <w:tc>
          <w:tcPr>
            <w:tcW w:w="438" w:type="pct"/>
            <w:shd w:val="clear" w:color="auto" w:fill="FFFFFF"/>
            <w:vAlign w:val="center"/>
            <w:hideMark/>
          </w:tcPr>
          <w:p w14:paraId="4E69257B" w14:textId="77777777" w:rsidR="00622884" w:rsidRPr="00622884" w:rsidRDefault="00622884" w:rsidP="00622884">
            <w:pPr>
              <w:shd w:val="clear" w:color="auto" w:fill="FFFFFF"/>
              <w:spacing w:after="0" w:line="240" w:lineRule="auto"/>
              <w:jc w:val="left"/>
              <w:rPr>
                <w:rFonts w:ascii="Garamond" w:eastAsia="Times New Roman" w:hAnsi="Garamond" w:cs="Calibri Light"/>
                <w:sz w:val="12"/>
                <w:szCs w:val="12"/>
                <w:lang w:eastAsia="zh-CN"/>
              </w:rPr>
            </w:pPr>
            <w:r w:rsidRPr="00622884">
              <w:rPr>
                <w:rFonts w:ascii="Garamond" w:eastAsia="Calibri Light" w:hAnsi="Garamond" w:cs="Times New Roman"/>
                <w:sz w:val="12"/>
                <w:szCs w:val="12"/>
                <w:lang w:eastAsia="en-US" w:bidi="sq-AL"/>
              </w:rPr>
              <w:t>678.114.861</w:t>
            </w:r>
          </w:p>
        </w:tc>
        <w:tc>
          <w:tcPr>
            <w:tcW w:w="394" w:type="pct"/>
            <w:shd w:val="clear" w:color="auto" w:fill="FFFFFF"/>
            <w:vAlign w:val="center"/>
            <w:hideMark/>
          </w:tcPr>
          <w:p w14:paraId="32CFAEF5" w14:textId="77777777" w:rsidR="00622884" w:rsidRPr="00622884" w:rsidRDefault="00622884" w:rsidP="00622884">
            <w:pPr>
              <w:shd w:val="clear" w:color="auto" w:fill="FFFFFF"/>
              <w:spacing w:after="0" w:line="240" w:lineRule="auto"/>
              <w:jc w:val="left"/>
              <w:rPr>
                <w:rFonts w:ascii="Garamond" w:eastAsia="Times New Roman" w:hAnsi="Garamond" w:cs="Calibri Light"/>
                <w:sz w:val="12"/>
                <w:szCs w:val="12"/>
                <w:lang w:eastAsia="zh-CN"/>
              </w:rPr>
            </w:pPr>
            <w:r w:rsidRPr="00622884">
              <w:rPr>
                <w:rFonts w:ascii="Garamond" w:eastAsia="Calibri Light" w:hAnsi="Garamond" w:cs="Times New Roman"/>
                <w:sz w:val="12"/>
                <w:szCs w:val="12"/>
                <w:lang w:eastAsia="en-US" w:bidi="sq-AL"/>
              </w:rPr>
              <w:t>97.740.426</w:t>
            </w:r>
          </w:p>
        </w:tc>
        <w:tc>
          <w:tcPr>
            <w:tcW w:w="591" w:type="pct"/>
            <w:shd w:val="clear" w:color="auto" w:fill="FFFFFF"/>
            <w:vAlign w:val="center"/>
            <w:hideMark/>
          </w:tcPr>
          <w:p w14:paraId="6477CD96" w14:textId="77777777" w:rsidR="00622884" w:rsidRPr="00622884" w:rsidRDefault="00622884" w:rsidP="00622884">
            <w:pPr>
              <w:shd w:val="clear" w:color="auto" w:fill="FFFFFF"/>
              <w:spacing w:after="0" w:line="240" w:lineRule="auto"/>
              <w:jc w:val="left"/>
              <w:rPr>
                <w:rFonts w:ascii="Garamond" w:eastAsia="Times New Roman" w:hAnsi="Garamond" w:cs="Calibri Light"/>
                <w:sz w:val="12"/>
                <w:szCs w:val="12"/>
                <w:lang w:eastAsia="zh-CN"/>
              </w:rPr>
            </w:pPr>
            <w:r w:rsidRPr="00622884">
              <w:rPr>
                <w:rFonts w:ascii="Garamond" w:eastAsia="Calibri Light" w:hAnsi="Garamond" w:cs="Times New Roman"/>
                <w:sz w:val="12"/>
                <w:szCs w:val="12"/>
                <w:lang w:eastAsia="en-US" w:bidi="sq-AL"/>
              </w:rPr>
              <w:t>51.037.406</w:t>
            </w:r>
          </w:p>
        </w:tc>
        <w:tc>
          <w:tcPr>
            <w:tcW w:w="438" w:type="pct"/>
            <w:shd w:val="clear" w:color="auto" w:fill="FFFFFF"/>
            <w:vAlign w:val="center"/>
            <w:hideMark/>
          </w:tcPr>
          <w:p w14:paraId="6316D280" w14:textId="77777777" w:rsidR="00622884" w:rsidRPr="00622884" w:rsidRDefault="00622884" w:rsidP="00622884">
            <w:pPr>
              <w:shd w:val="clear" w:color="auto" w:fill="FFFFFF"/>
              <w:spacing w:after="0" w:line="240" w:lineRule="auto"/>
              <w:jc w:val="left"/>
              <w:rPr>
                <w:rFonts w:ascii="Garamond" w:eastAsia="Times New Roman" w:hAnsi="Garamond" w:cs="Calibri Light"/>
                <w:sz w:val="12"/>
                <w:szCs w:val="12"/>
                <w:lang w:eastAsia="zh-CN"/>
              </w:rPr>
            </w:pPr>
            <w:r w:rsidRPr="00622884">
              <w:rPr>
                <w:rFonts w:ascii="Garamond" w:eastAsia="Calibri Light" w:hAnsi="Garamond" w:cs="Times New Roman"/>
                <w:sz w:val="12"/>
                <w:szCs w:val="12"/>
                <w:lang w:eastAsia="en-US" w:bidi="sq-AL"/>
              </w:rPr>
              <w:t>529.337.029</w:t>
            </w:r>
          </w:p>
        </w:tc>
        <w:tc>
          <w:tcPr>
            <w:tcW w:w="459" w:type="pct"/>
            <w:shd w:val="clear" w:color="auto" w:fill="FFFFFF"/>
            <w:vAlign w:val="center"/>
            <w:hideMark/>
          </w:tcPr>
          <w:p w14:paraId="7D965EA0" w14:textId="77777777" w:rsidR="00622884" w:rsidRPr="00622884" w:rsidRDefault="00622884" w:rsidP="00622884">
            <w:pPr>
              <w:shd w:val="clear" w:color="auto" w:fill="FFFFFF"/>
              <w:spacing w:after="0" w:line="240" w:lineRule="auto"/>
              <w:jc w:val="left"/>
              <w:rPr>
                <w:rFonts w:ascii="Garamond" w:eastAsia="Times New Roman" w:hAnsi="Garamond" w:cs="Calibri Light"/>
                <w:sz w:val="12"/>
                <w:szCs w:val="12"/>
                <w:lang w:eastAsia="zh-CN"/>
              </w:rPr>
            </w:pPr>
            <w:r w:rsidRPr="00622884">
              <w:rPr>
                <w:rFonts w:ascii="Garamond" w:eastAsia="Calibri Light" w:hAnsi="Garamond" w:cs="Times New Roman"/>
                <w:sz w:val="12"/>
                <w:szCs w:val="12"/>
                <w:lang w:eastAsia="en-US" w:bidi="sq-AL"/>
              </w:rPr>
              <w:t>2025–2029</w:t>
            </w:r>
          </w:p>
        </w:tc>
        <w:tc>
          <w:tcPr>
            <w:tcW w:w="543" w:type="pct"/>
            <w:shd w:val="clear" w:color="auto" w:fill="FFFFFF"/>
            <w:vAlign w:val="center"/>
            <w:hideMark/>
          </w:tcPr>
          <w:p w14:paraId="0CB91012" w14:textId="77777777" w:rsidR="00622884" w:rsidRPr="00622884" w:rsidRDefault="00622884" w:rsidP="00622884">
            <w:pPr>
              <w:shd w:val="clear" w:color="auto" w:fill="FFFFFF"/>
              <w:spacing w:after="0" w:line="240" w:lineRule="auto"/>
              <w:jc w:val="left"/>
              <w:rPr>
                <w:rFonts w:ascii="Garamond" w:eastAsia="Times New Roman" w:hAnsi="Garamond" w:cs="Calibri Light"/>
                <w:sz w:val="12"/>
                <w:szCs w:val="12"/>
                <w:lang w:eastAsia="zh-CN"/>
              </w:rPr>
            </w:pPr>
            <w:r w:rsidRPr="00622884">
              <w:rPr>
                <w:rFonts w:ascii="Garamond" w:eastAsia="Calibri Light" w:hAnsi="Garamond" w:cs="Times New Roman"/>
                <w:sz w:val="12"/>
                <w:szCs w:val="12"/>
                <w:lang w:eastAsia="en-US" w:bidi="sq-AL"/>
              </w:rPr>
              <w:t>Tremujori i tretë i vitit 2025 (propozimi i plotë i FGJK-së)</w:t>
            </w:r>
          </w:p>
        </w:tc>
        <w:tc>
          <w:tcPr>
            <w:tcW w:w="477" w:type="pct"/>
            <w:shd w:val="clear" w:color="auto" w:fill="FFFFFF"/>
            <w:vAlign w:val="center"/>
            <w:hideMark/>
          </w:tcPr>
          <w:p w14:paraId="32AA4467" w14:textId="77777777" w:rsidR="00622884" w:rsidRPr="00622884" w:rsidRDefault="00622884" w:rsidP="00622884">
            <w:pPr>
              <w:shd w:val="clear" w:color="auto" w:fill="FFFFFF"/>
              <w:spacing w:after="0" w:line="240" w:lineRule="auto"/>
              <w:jc w:val="left"/>
              <w:rPr>
                <w:rFonts w:ascii="Garamond" w:eastAsia="Times New Roman" w:hAnsi="Garamond" w:cs="Calibri Light"/>
                <w:sz w:val="12"/>
                <w:szCs w:val="12"/>
                <w:lang w:eastAsia="zh-CN"/>
              </w:rPr>
            </w:pPr>
            <w:r w:rsidRPr="00622884">
              <w:rPr>
                <w:rFonts w:ascii="Garamond" w:eastAsia="Calibri Light" w:hAnsi="Garamond" w:cs="Times New Roman"/>
                <w:sz w:val="12"/>
                <w:szCs w:val="12"/>
                <w:lang w:eastAsia="en-US" w:bidi="sq-AL"/>
              </w:rPr>
              <w:t>Ministria e Bujqësisë; MTM; NDA</w:t>
            </w:r>
          </w:p>
        </w:tc>
        <w:tc>
          <w:tcPr>
            <w:tcW w:w="676" w:type="pct"/>
            <w:shd w:val="clear" w:color="auto" w:fill="FFFFFF"/>
            <w:vAlign w:val="center"/>
            <w:hideMark/>
          </w:tcPr>
          <w:p w14:paraId="490EF04B" w14:textId="77777777" w:rsidR="00622884" w:rsidRPr="00622884" w:rsidRDefault="00622884" w:rsidP="00622884">
            <w:pPr>
              <w:shd w:val="clear" w:color="auto" w:fill="FFFFFF"/>
              <w:spacing w:after="0" w:line="240" w:lineRule="auto"/>
              <w:jc w:val="left"/>
              <w:rPr>
                <w:rFonts w:ascii="Garamond" w:eastAsia="Times New Roman" w:hAnsi="Garamond" w:cs="Calibri Light"/>
                <w:sz w:val="12"/>
                <w:szCs w:val="12"/>
                <w:lang w:eastAsia="zh-CN"/>
              </w:rPr>
            </w:pPr>
            <w:r w:rsidRPr="00622884">
              <w:rPr>
                <w:rFonts w:ascii="Garamond" w:eastAsia="Calibri Light" w:hAnsi="Garamond" w:cs="Times New Roman"/>
                <w:sz w:val="12"/>
                <w:szCs w:val="12"/>
                <w:lang w:eastAsia="en-US" w:bidi="sq-AL"/>
              </w:rPr>
              <w:t>30% e buxhetit kombëtar; në përputhje me linjat e IPARD-it dhe IFAD-it të BE-së</w:t>
            </w:r>
          </w:p>
        </w:tc>
      </w:tr>
      <w:tr w:rsidR="00622884" w:rsidRPr="00622884" w14:paraId="70BE193E" w14:textId="77777777" w:rsidTr="00622884">
        <w:trPr>
          <w:trHeight w:val="488"/>
          <w:jc w:val="center"/>
        </w:trPr>
        <w:tc>
          <w:tcPr>
            <w:tcW w:w="494" w:type="pct"/>
            <w:shd w:val="clear" w:color="auto" w:fill="FFFFFF"/>
            <w:vAlign w:val="center"/>
            <w:hideMark/>
          </w:tcPr>
          <w:p w14:paraId="7C3B909B" w14:textId="77777777" w:rsidR="00622884" w:rsidRPr="00622884" w:rsidRDefault="00622884" w:rsidP="00622884">
            <w:pPr>
              <w:shd w:val="clear" w:color="auto" w:fill="FFFFFF"/>
              <w:spacing w:after="0" w:line="240" w:lineRule="auto"/>
              <w:jc w:val="left"/>
              <w:rPr>
                <w:rFonts w:ascii="Garamond" w:eastAsia="Times New Roman" w:hAnsi="Garamond" w:cs="Calibri Light"/>
                <w:b/>
                <w:bCs/>
                <w:sz w:val="12"/>
                <w:szCs w:val="12"/>
                <w:lang w:eastAsia="zh-CN"/>
              </w:rPr>
            </w:pPr>
            <w:r w:rsidRPr="00622884">
              <w:rPr>
                <w:rFonts w:ascii="Garamond" w:eastAsia="Calibri Light" w:hAnsi="Garamond" w:cs="Times New Roman"/>
                <w:b/>
                <w:bCs/>
                <w:sz w:val="12"/>
                <w:szCs w:val="12"/>
                <w:lang w:eastAsia="en-US" w:bidi="sq-AL"/>
              </w:rPr>
              <w:t>Pylltari</w:t>
            </w:r>
          </w:p>
        </w:tc>
        <w:tc>
          <w:tcPr>
            <w:tcW w:w="491" w:type="pct"/>
            <w:shd w:val="clear" w:color="auto" w:fill="FFFFFF"/>
            <w:vAlign w:val="center"/>
            <w:hideMark/>
          </w:tcPr>
          <w:p w14:paraId="14278AD0" w14:textId="77777777" w:rsidR="00622884" w:rsidRPr="00622884" w:rsidRDefault="00622884" w:rsidP="00622884">
            <w:pPr>
              <w:shd w:val="clear" w:color="auto" w:fill="FFFFFF"/>
              <w:spacing w:after="0" w:line="240" w:lineRule="auto"/>
              <w:jc w:val="left"/>
              <w:rPr>
                <w:rFonts w:ascii="Garamond" w:eastAsia="Times New Roman" w:hAnsi="Garamond" w:cs="Calibri Light"/>
                <w:sz w:val="12"/>
                <w:szCs w:val="12"/>
                <w:lang w:eastAsia="zh-CN"/>
              </w:rPr>
            </w:pPr>
            <w:r w:rsidRPr="00622884">
              <w:rPr>
                <w:rFonts w:ascii="Garamond" w:eastAsia="Calibri Light" w:hAnsi="Garamond" w:cs="Times New Roman"/>
                <w:sz w:val="12"/>
                <w:szCs w:val="12"/>
                <w:lang w:eastAsia="en-US" w:bidi="sq-AL"/>
              </w:rPr>
              <w:t>Banka Botërore (BNRZH); FGJK-ja; grantet dypalëshe</w:t>
            </w:r>
          </w:p>
        </w:tc>
        <w:tc>
          <w:tcPr>
            <w:tcW w:w="438" w:type="pct"/>
            <w:shd w:val="clear" w:color="auto" w:fill="FFFFFF"/>
            <w:vAlign w:val="center"/>
            <w:hideMark/>
          </w:tcPr>
          <w:p w14:paraId="4C0514D2" w14:textId="77777777" w:rsidR="00622884" w:rsidRPr="00622884" w:rsidRDefault="00622884" w:rsidP="00622884">
            <w:pPr>
              <w:shd w:val="clear" w:color="auto" w:fill="FFFFFF"/>
              <w:spacing w:after="0" w:line="240" w:lineRule="auto"/>
              <w:jc w:val="left"/>
              <w:rPr>
                <w:rFonts w:ascii="Garamond" w:eastAsia="Times New Roman" w:hAnsi="Garamond" w:cs="Calibri Light"/>
                <w:sz w:val="12"/>
                <w:szCs w:val="12"/>
                <w:lang w:eastAsia="zh-CN"/>
              </w:rPr>
            </w:pPr>
            <w:r w:rsidRPr="00622884">
              <w:rPr>
                <w:rFonts w:ascii="Garamond" w:eastAsia="Calibri Light" w:hAnsi="Garamond" w:cs="Times New Roman"/>
                <w:sz w:val="12"/>
                <w:szCs w:val="12"/>
                <w:lang w:eastAsia="en-US" w:bidi="sq-AL"/>
              </w:rPr>
              <w:t>2.134.799.557</w:t>
            </w:r>
          </w:p>
        </w:tc>
        <w:tc>
          <w:tcPr>
            <w:tcW w:w="394" w:type="pct"/>
            <w:shd w:val="clear" w:color="auto" w:fill="FFFFFF"/>
            <w:vAlign w:val="center"/>
            <w:hideMark/>
          </w:tcPr>
          <w:p w14:paraId="79FC8C29" w14:textId="77777777" w:rsidR="00622884" w:rsidRPr="00622884" w:rsidRDefault="00622884" w:rsidP="00622884">
            <w:pPr>
              <w:shd w:val="clear" w:color="auto" w:fill="FFFFFF"/>
              <w:spacing w:after="0" w:line="240" w:lineRule="auto"/>
              <w:jc w:val="left"/>
              <w:rPr>
                <w:rFonts w:ascii="Garamond" w:eastAsia="Times New Roman" w:hAnsi="Garamond" w:cs="Calibri Light"/>
                <w:sz w:val="12"/>
                <w:szCs w:val="12"/>
                <w:lang w:eastAsia="zh-CN"/>
              </w:rPr>
            </w:pPr>
            <w:r w:rsidRPr="00622884">
              <w:rPr>
                <w:rFonts w:ascii="Garamond" w:eastAsia="Calibri Light" w:hAnsi="Garamond" w:cs="Times New Roman"/>
                <w:sz w:val="12"/>
                <w:szCs w:val="12"/>
                <w:lang w:eastAsia="en-US" w:bidi="sq-AL"/>
              </w:rPr>
              <w:t>193.912.596</w:t>
            </w:r>
          </w:p>
        </w:tc>
        <w:tc>
          <w:tcPr>
            <w:tcW w:w="591" w:type="pct"/>
            <w:shd w:val="clear" w:color="auto" w:fill="FFFFFF"/>
            <w:vAlign w:val="center"/>
            <w:hideMark/>
          </w:tcPr>
          <w:p w14:paraId="6899F2DC" w14:textId="77777777" w:rsidR="00622884" w:rsidRPr="00622884" w:rsidRDefault="00622884" w:rsidP="00622884">
            <w:pPr>
              <w:shd w:val="clear" w:color="auto" w:fill="FFFFFF"/>
              <w:spacing w:after="0" w:line="240" w:lineRule="auto"/>
              <w:jc w:val="left"/>
              <w:rPr>
                <w:rFonts w:ascii="Garamond" w:eastAsia="Times New Roman" w:hAnsi="Garamond" w:cs="Calibri Light"/>
                <w:sz w:val="12"/>
                <w:szCs w:val="12"/>
                <w:lang w:eastAsia="zh-CN"/>
              </w:rPr>
            </w:pPr>
            <w:r w:rsidRPr="00622884">
              <w:rPr>
                <w:rFonts w:ascii="Garamond" w:eastAsia="Calibri Light" w:hAnsi="Garamond" w:cs="Times New Roman"/>
                <w:sz w:val="12"/>
                <w:szCs w:val="12"/>
                <w:lang w:eastAsia="en-US" w:bidi="sq-AL"/>
              </w:rPr>
              <w:t>6.924.050</w:t>
            </w:r>
          </w:p>
        </w:tc>
        <w:tc>
          <w:tcPr>
            <w:tcW w:w="438" w:type="pct"/>
            <w:shd w:val="clear" w:color="auto" w:fill="FFFFFF"/>
            <w:vAlign w:val="center"/>
            <w:hideMark/>
          </w:tcPr>
          <w:p w14:paraId="7506C666" w14:textId="77777777" w:rsidR="00622884" w:rsidRPr="00622884" w:rsidRDefault="00622884" w:rsidP="00622884">
            <w:pPr>
              <w:shd w:val="clear" w:color="auto" w:fill="FFFFFF"/>
              <w:spacing w:after="0" w:line="240" w:lineRule="auto"/>
              <w:jc w:val="left"/>
              <w:rPr>
                <w:rFonts w:ascii="Garamond" w:eastAsia="Times New Roman" w:hAnsi="Garamond" w:cs="Calibri Light"/>
                <w:sz w:val="12"/>
                <w:szCs w:val="12"/>
                <w:lang w:eastAsia="zh-CN"/>
              </w:rPr>
            </w:pPr>
            <w:r w:rsidRPr="00622884">
              <w:rPr>
                <w:rFonts w:ascii="Garamond" w:eastAsia="Calibri Light" w:hAnsi="Garamond" w:cs="Times New Roman"/>
                <w:sz w:val="12"/>
                <w:szCs w:val="12"/>
                <w:lang w:eastAsia="en-US" w:bidi="sq-AL"/>
              </w:rPr>
              <w:t>1.933.962.911</w:t>
            </w:r>
          </w:p>
        </w:tc>
        <w:tc>
          <w:tcPr>
            <w:tcW w:w="459" w:type="pct"/>
            <w:shd w:val="clear" w:color="auto" w:fill="FFFFFF"/>
            <w:vAlign w:val="center"/>
            <w:hideMark/>
          </w:tcPr>
          <w:p w14:paraId="1FF62726" w14:textId="77777777" w:rsidR="00622884" w:rsidRPr="00622884" w:rsidRDefault="00622884" w:rsidP="00622884">
            <w:pPr>
              <w:shd w:val="clear" w:color="auto" w:fill="FFFFFF"/>
              <w:spacing w:after="0" w:line="240" w:lineRule="auto"/>
              <w:jc w:val="left"/>
              <w:rPr>
                <w:rFonts w:ascii="Garamond" w:eastAsia="Times New Roman" w:hAnsi="Garamond" w:cs="Calibri Light"/>
                <w:sz w:val="12"/>
                <w:szCs w:val="12"/>
                <w:lang w:eastAsia="zh-CN"/>
              </w:rPr>
            </w:pPr>
            <w:r w:rsidRPr="00622884">
              <w:rPr>
                <w:rFonts w:ascii="Garamond" w:eastAsia="Calibri Light" w:hAnsi="Garamond" w:cs="Times New Roman"/>
                <w:sz w:val="12"/>
                <w:szCs w:val="12"/>
                <w:lang w:eastAsia="en-US" w:bidi="sq-AL"/>
              </w:rPr>
              <w:t>2026–2028</w:t>
            </w:r>
          </w:p>
        </w:tc>
        <w:tc>
          <w:tcPr>
            <w:tcW w:w="543" w:type="pct"/>
            <w:shd w:val="clear" w:color="auto" w:fill="FFFFFF"/>
            <w:vAlign w:val="center"/>
            <w:hideMark/>
          </w:tcPr>
          <w:p w14:paraId="4148AC74" w14:textId="77777777" w:rsidR="00622884" w:rsidRPr="00622884" w:rsidRDefault="00622884" w:rsidP="00622884">
            <w:pPr>
              <w:shd w:val="clear" w:color="auto" w:fill="FFFFFF"/>
              <w:spacing w:after="0" w:line="240" w:lineRule="auto"/>
              <w:jc w:val="left"/>
              <w:rPr>
                <w:rFonts w:ascii="Garamond" w:eastAsia="Times New Roman" w:hAnsi="Garamond" w:cs="Calibri Light"/>
                <w:sz w:val="12"/>
                <w:szCs w:val="12"/>
                <w:lang w:eastAsia="zh-CN"/>
              </w:rPr>
            </w:pPr>
            <w:r w:rsidRPr="00622884">
              <w:rPr>
                <w:rFonts w:ascii="Garamond" w:eastAsia="Calibri Light" w:hAnsi="Garamond" w:cs="Times New Roman"/>
                <w:sz w:val="12"/>
                <w:szCs w:val="12"/>
                <w:lang w:eastAsia="en-US" w:bidi="sq-AL"/>
              </w:rPr>
              <w:t>Tremujori i katërt i vitit 2025 (koncepti i BNRZH-së)</w:t>
            </w:r>
          </w:p>
        </w:tc>
        <w:tc>
          <w:tcPr>
            <w:tcW w:w="477" w:type="pct"/>
            <w:shd w:val="clear" w:color="auto" w:fill="FFFFFF"/>
            <w:vAlign w:val="center"/>
            <w:hideMark/>
          </w:tcPr>
          <w:p w14:paraId="1C0CBB34" w14:textId="77777777" w:rsidR="00622884" w:rsidRPr="00622884" w:rsidRDefault="00622884" w:rsidP="00622884">
            <w:pPr>
              <w:shd w:val="clear" w:color="auto" w:fill="FFFFFF"/>
              <w:spacing w:after="0" w:line="240" w:lineRule="auto"/>
              <w:jc w:val="left"/>
              <w:rPr>
                <w:rFonts w:ascii="Garamond" w:eastAsia="Times New Roman" w:hAnsi="Garamond" w:cs="Calibri Light"/>
                <w:sz w:val="12"/>
                <w:szCs w:val="12"/>
                <w:lang w:eastAsia="zh-CN"/>
              </w:rPr>
            </w:pPr>
            <w:r w:rsidRPr="00622884">
              <w:rPr>
                <w:rFonts w:ascii="Garamond" w:eastAsia="Calibri Light" w:hAnsi="Garamond" w:cs="Times New Roman"/>
                <w:sz w:val="12"/>
                <w:szCs w:val="12"/>
                <w:lang w:eastAsia="en-US" w:bidi="sq-AL"/>
              </w:rPr>
              <w:t>Ministria e Mjedisit, MF</w:t>
            </w:r>
          </w:p>
        </w:tc>
        <w:tc>
          <w:tcPr>
            <w:tcW w:w="676" w:type="pct"/>
            <w:shd w:val="clear" w:color="auto" w:fill="FFFFFF"/>
            <w:vAlign w:val="center"/>
            <w:hideMark/>
          </w:tcPr>
          <w:p w14:paraId="2F76844C" w14:textId="77777777" w:rsidR="00622884" w:rsidRPr="00622884" w:rsidRDefault="00622884" w:rsidP="00622884">
            <w:pPr>
              <w:shd w:val="clear" w:color="auto" w:fill="FFFFFF"/>
              <w:spacing w:after="0" w:line="240" w:lineRule="auto"/>
              <w:jc w:val="left"/>
              <w:rPr>
                <w:rFonts w:ascii="Garamond" w:eastAsia="Times New Roman" w:hAnsi="Garamond" w:cs="Calibri Light"/>
                <w:sz w:val="12"/>
                <w:szCs w:val="12"/>
                <w:lang w:eastAsia="zh-CN"/>
              </w:rPr>
            </w:pPr>
            <w:r w:rsidRPr="00622884">
              <w:rPr>
                <w:rFonts w:ascii="Garamond" w:eastAsia="Calibri Light" w:hAnsi="Garamond" w:cs="Times New Roman"/>
                <w:sz w:val="12"/>
                <w:szCs w:val="12"/>
                <w:lang w:eastAsia="en-US" w:bidi="sq-AL"/>
              </w:rPr>
              <w:t>Hua e kombinuar nga BNRZH-ja + 25% bashkëfinancim nga bashkitë</w:t>
            </w:r>
          </w:p>
        </w:tc>
      </w:tr>
      <w:tr w:rsidR="00622884" w:rsidRPr="00622884" w14:paraId="35423D44" w14:textId="77777777" w:rsidTr="00622884">
        <w:trPr>
          <w:trHeight w:val="671"/>
          <w:jc w:val="center"/>
        </w:trPr>
        <w:tc>
          <w:tcPr>
            <w:tcW w:w="494" w:type="pct"/>
            <w:shd w:val="clear" w:color="auto" w:fill="FFFFFF"/>
            <w:vAlign w:val="center"/>
            <w:hideMark/>
          </w:tcPr>
          <w:p w14:paraId="47DB6439" w14:textId="77777777" w:rsidR="00622884" w:rsidRPr="00622884" w:rsidRDefault="00622884" w:rsidP="00622884">
            <w:pPr>
              <w:shd w:val="clear" w:color="auto" w:fill="FFFFFF"/>
              <w:spacing w:after="0" w:line="240" w:lineRule="auto"/>
              <w:jc w:val="left"/>
              <w:rPr>
                <w:rFonts w:ascii="Garamond" w:eastAsia="Times New Roman" w:hAnsi="Garamond" w:cs="Calibri Light"/>
                <w:b/>
                <w:bCs/>
                <w:sz w:val="12"/>
                <w:szCs w:val="12"/>
                <w:lang w:eastAsia="zh-CN"/>
              </w:rPr>
            </w:pPr>
            <w:r w:rsidRPr="00622884">
              <w:rPr>
                <w:rFonts w:ascii="Garamond" w:eastAsia="Calibri Light" w:hAnsi="Garamond" w:cs="Times New Roman"/>
                <w:b/>
                <w:bCs/>
                <w:sz w:val="12"/>
                <w:szCs w:val="12"/>
                <w:lang w:eastAsia="en-US" w:bidi="sq-AL"/>
              </w:rPr>
              <w:t>Turizmi</w:t>
            </w:r>
          </w:p>
        </w:tc>
        <w:tc>
          <w:tcPr>
            <w:tcW w:w="491" w:type="pct"/>
            <w:shd w:val="clear" w:color="auto" w:fill="FFFFFF"/>
            <w:vAlign w:val="center"/>
            <w:hideMark/>
          </w:tcPr>
          <w:p w14:paraId="46A0AC8F" w14:textId="77777777" w:rsidR="00622884" w:rsidRPr="00622884" w:rsidRDefault="00622884" w:rsidP="00622884">
            <w:pPr>
              <w:shd w:val="clear" w:color="auto" w:fill="FFFFFF"/>
              <w:spacing w:after="0" w:line="240" w:lineRule="auto"/>
              <w:jc w:val="left"/>
              <w:rPr>
                <w:rFonts w:ascii="Garamond" w:eastAsia="Times New Roman" w:hAnsi="Garamond" w:cs="Calibri Light"/>
                <w:sz w:val="12"/>
                <w:szCs w:val="12"/>
                <w:lang w:eastAsia="zh-CN"/>
              </w:rPr>
            </w:pPr>
            <w:r w:rsidRPr="00622884">
              <w:rPr>
                <w:rFonts w:ascii="Garamond" w:eastAsia="Calibri Light" w:hAnsi="Garamond" w:cs="Times New Roman"/>
                <w:sz w:val="12"/>
                <w:szCs w:val="12"/>
                <w:lang w:eastAsia="en-US" w:bidi="sq-AL"/>
              </w:rPr>
              <w:t>IPA III e BE-së; BERZH-i; PPP-të e sektorit privat</w:t>
            </w:r>
          </w:p>
        </w:tc>
        <w:tc>
          <w:tcPr>
            <w:tcW w:w="438" w:type="pct"/>
            <w:shd w:val="clear" w:color="auto" w:fill="FFFFFF"/>
            <w:vAlign w:val="center"/>
            <w:hideMark/>
          </w:tcPr>
          <w:p w14:paraId="1D08B93A" w14:textId="77777777" w:rsidR="00622884" w:rsidRPr="00622884" w:rsidRDefault="00622884" w:rsidP="00622884">
            <w:pPr>
              <w:shd w:val="clear" w:color="auto" w:fill="FFFFFF"/>
              <w:spacing w:after="0" w:line="240" w:lineRule="auto"/>
              <w:jc w:val="left"/>
              <w:rPr>
                <w:rFonts w:ascii="Garamond" w:eastAsia="Times New Roman" w:hAnsi="Garamond" w:cs="Calibri Light"/>
                <w:sz w:val="12"/>
                <w:szCs w:val="12"/>
                <w:lang w:eastAsia="zh-CN"/>
              </w:rPr>
            </w:pPr>
            <w:r w:rsidRPr="00622884">
              <w:rPr>
                <w:rFonts w:ascii="Garamond" w:eastAsia="Calibri Light" w:hAnsi="Garamond" w:cs="Times New Roman"/>
                <w:sz w:val="12"/>
                <w:szCs w:val="12"/>
                <w:lang w:eastAsia="en-US" w:bidi="sq-AL"/>
              </w:rPr>
              <w:t>8.491.619</w:t>
            </w:r>
          </w:p>
        </w:tc>
        <w:tc>
          <w:tcPr>
            <w:tcW w:w="394" w:type="pct"/>
            <w:shd w:val="clear" w:color="auto" w:fill="FFFFFF"/>
            <w:vAlign w:val="center"/>
            <w:hideMark/>
          </w:tcPr>
          <w:p w14:paraId="72B6A049" w14:textId="77777777" w:rsidR="00622884" w:rsidRPr="00622884" w:rsidRDefault="00622884" w:rsidP="00622884">
            <w:pPr>
              <w:shd w:val="clear" w:color="auto" w:fill="FFFFFF"/>
              <w:spacing w:after="0" w:line="240" w:lineRule="auto"/>
              <w:jc w:val="left"/>
              <w:rPr>
                <w:rFonts w:ascii="Garamond" w:eastAsia="Times New Roman" w:hAnsi="Garamond" w:cs="Calibri Light"/>
                <w:sz w:val="12"/>
                <w:szCs w:val="12"/>
                <w:lang w:eastAsia="zh-CN"/>
              </w:rPr>
            </w:pPr>
            <w:r w:rsidRPr="00622884">
              <w:rPr>
                <w:rFonts w:ascii="Garamond" w:eastAsia="Calibri Light" w:hAnsi="Garamond" w:cs="Times New Roman"/>
                <w:sz w:val="12"/>
                <w:szCs w:val="12"/>
                <w:lang w:eastAsia="en-US" w:bidi="sq-AL"/>
              </w:rPr>
              <w:t>4.346.901</w:t>
            </w:r>
          </w:p>
        </w:tc>
        <w:tc>
          <w:tcPr>
            <w:tcW w:w="591" w:type="pct"/>
            <w:shd w:val="clear" w:color="auto" w:fill="FFFFFF"/>
            <w:vAlign w:val="center"/>
            <w:hideMark/>
          </w:tcPr>
          <w:p w14:paraId="633015E4" w14:textId="77777777" w:rsidR="00622884" w:rsidRPr="00622884" w:rsidRDefault="00622884" w:rsidP="00622884">
            <w:pPr>
              <w:shd w:val="clear" w:color="auto" w:fill="FFFFFF"/>
              <w:spacing w:after="0" w:line="240" w:lineRule="auto"/>
              <w:jc w:val="left"/>
              <w:rPr>
                <w:rFonts w:ascii="Garamond" w:eastAsia="Times New Roman" w:hAnsi="Garamond" w:cs="Calibri Light"/>
                <w:sz w:val="12"/>
                <w:szCs w:val="12"/>
                <w:lang w:eastAsia="zh-CN"/>
              </w:rPr>
            </w:pPr>
            <w:r w:rsidRPr="00622884">
              <w:rPr>
                <w:rFonts w:ascii="Garamond" w:eastAsia="Calibri Light" w:hAnsi="Garamond" w:cs="Times New Roman"/>
                <w:sz w:val="12"/>
                <w:szCs w:val="12"/>
                <w:lang w:eastAsia="en-US" w:bidi="sq-AL"/>
              </w:rPr>
              <w:t>10.285.819</w:t>
            </w:r>
          </w:p>
        </w:tc>
        <w:tc>
          <w:tcPr>
            <w:tcW w:w="438" w:type="pct"/>
            <w:shd w:val="clear" w:color="auto" w:fill="FFFFFF"/>
            <w:vAlign w:val="center"/>
            <w:hideMark/>
          </w:tcPr>
          <w:p w14:paraId="46C4B1F5" w14:textId="77777777" w:rsidR="00622884" w:rsidRPr="00622884" w:rsidRDefault="00622884" w:rsidP="00622884">
            <w:pPr>
              <w:shd w:val="clear" w:color="auto" w:fill="FFFFFF"/>
              <w:spacing w:after="0" w:line="240" w:lineRule="auto"/>
              <w:jc w:val="left"/>
              <w:rPr>
                <w:rFonts w:ascii="Garamond" w:eastAsia="Times New Roman" w:hAnsi="Garamond" w:cs="Calibri Light"/>
                <w:sz w:val="12"/>
                <w:szCs w:val="12"/>
                <w:lang w:eastAsia="zh-CN"/>
              </w:rPr>
            </w:pPr>
            <w:r w:rsidRPr="00622884">
              <w:rPr>
                <w:rFonts w:ascii="Garamond" w:eastAsia="Calibri Light" w:hAnsi="Garamond" w:cs="Times New Roman"/>
                <w:sz w:val="12"/>
                <w:szCs w:val="12"/>
                <w:lang w:eastAsia="en-US" w:bidi="sq-AL"/>
              </w:rPr>
              <w:t>0</w:t>
            </w:r>
          </w:p>
        </w:tc>
        <w:tc>
          <w:tcPr>
            <w:tcW w:w="459" w:type="pct"/>
            <w:shd w:val="clear" w:color="auto" w:fill="FFFFFF"/>
            <w:vAlign w:val="center"/>
            <w:hideMark/>
          </w:tcPr>
          <w:p w14:paraId="02EBCD96" w14:textId="77777777" w:rsidR="00622884" w:rsidRPr="00622884" w:rsidRDefault="00622884" w:rsidP="00622884">
            <w:pPr>
              <w:shd w:val="clear" w:color="auto" w:fill="FFFFFF"/>
              <w:spacing w:after="0" w:line="240" w:lineRule="auto"/>
              <w:jc w:val="left"/>
              <w:rPr>
                <w:rFonts w:ascii="Garamond" w:eastAsia="Times New Roman" w:hAnsi="Garamond" w:cs="Calibri Light"/>
                <w:sz w:val="12"/>
                <w:szCs w:val="12"/>
                <w:lang w:eastAsia="zh-CN"/>
              </w:rPr>
            </w:pPr>
            <w:r w:rsidRPr="00622884">
              <w:rPr>
                <w:rFonts w:ascii="Garamond" w:eastAsia="Calibri Light" w:hAnsi="Garamond" w:cs="Times New Roman"/>
                <w:sz w:val="12"/>
                <w:szCs w:val="12"/>
                <w:lang w:eastAsia="en-US" w:bidi="sq-AL"/>
              </w:rPr>
              <w:t>2026–2029</w:t>
            </w:r>
          </w:p>
        </w:tc>
        <w:tc>
          <w:tcPr>
            <w:tcW w:w="543" w:type="pct"/>
            <w:shd w:val="clear" w:color="auto" w:fill="FFFFFF"/>
            <w:vAlign w:val="center"/>
            <w:hideMark/>
          </w:tcPr>
          <w:p w14:paraId="2B3AB535" w14:textId="77777777" w:rsidR="00622884" w:rsidRPr="00622884" w:rsidRDefault="00622884" w:rsidP="00622884">
            <w:pPr>
              <w:shd w:val="clear" w:color="auto" w:fill="FFFFFF"/>
              <w:spacing w:after="0" w:line="240" w:lineRule="auto"/>
              <w:jc w:val="left"/>
              <w:rPr>
                <w:rFonts w:ascii="Garamond" w:eastAsia="Times New Roman" w:hAnsi="Garamond" w:cs="Calibri Light"/>
                <w:sz w:val="12"/>
                <w:szCs w:val="12"/>
                <w:lang w:eastAsia="zh-CN"/>
              </w:rPr>
            </w:pPr>
            <w:r w:rsidRPr="00622884">
              <w:rPr>
                <w:rFonts w:ascii="Garamond" w:eastAsia="Calibri Light" w:hAnsi="Garamond" w:cs="Times New Roman"/>
                <w:sz w:val="12"/>
                <w:szCs w:val="12"/>
                <w:lang w:eastAsia="en-US" w:bidi="sq-AL"/>
              </w:rPr>
              <w:t>Tremujori i katërt i vitit 2025 (gazsjellësi i IPA-s së BE-së)</w:t>
            </w:r>
          </w:p>
        </w:tc>
        <w:tc>
          <w:tcPr>
            <w:tcW w:w="477" w:type="pct"/>
            <w:shd w:val="clear" w:color="auto" w:fill="FFFFFF"/>
            <w:vAlign w:val="center"/>
            <w:hideMark/>
          </w:tcPr>
          <w:p w14:paraId="06467133" w14:textId="77777777" w:rsidR="00622884" w:rsidRPr="00622884" w:rsidRDefault="00622884" w:rsidP="00622884">
            <w:pPr>
              <w:shd w:val="clear" w:color="auto" w:fill="FFFFFF"/>
              <w:spacing w:after="0" w:line="240" w:lineRule="auto"/>
              <w:jc w:val="left"/>
              <w:rPr>
                <w:rFonts w:ascii="Garamond" w:eastAsia="Times New Roman" w:hAnsi="Garamond" w:cs="Calibri Light"/>
                <w:sz w:val="12"/>
                <w:szCs w:val="12"/>
                <w:lang w:eastAsia="zh-CN"/>
              </w:rPr>
            </w:pPr>
            <w:r w:rsidRPr="00622884">
              <w:rPr>
                <w:rFonts w:ascii="Garamond" w:eastAsia="Calibri Light" w:hAnsi="Garamond" w:cs="Times New Roman"/>
                <w:sz w:val="12"/>
                <w:szCs w:val="12"/>
                <w:lang w:eastAsia="en-US" w:bidi="sq-AL"/>
              </w:rPr>
              <w:t>Ministria e Turizmit, Kulturës dhe Sportit; NDA; Autoritetet vendore</w:t>
            </w:r>
          </w:p>
        </w:tc>
        <w:tc>
          <w:tcPr>
            <w:tcW w:w="676" w:type="pct"/>
            <w:shd w:val="clear" w:color="auto" w:fill="FFFFFF"/>
            <w:vAlign w:val="center"/>
            <w:hideMark/>
          </w:tcPr>
          <w:p w14:paraId="57716BD2" w14:textId="77777777" w:rsidR="00622884" w:rsidRPr="00622884" w:rsidRDefault="00622884" w:rsidP="00622884">
            <w:pPr>
              <w:shd w:val="clear" w:color="auto" w:fill="FFFFFF"/>
              <w:spacing w:after="0" w:line="240" w:lineRule="auto"/>
              <w:jc w:val="left"/>
              <w:rPr>
                <w:rFonts w:ascii="Garamond" w:eastAsia="Times New Roman" w:hAnsi="Garamond" w:cs="Calibri Light"/>
                <w:sz w:val="12"/>
                <w:szCs w:val="12"/>
                <w:lang w:eastAsia="zh-CN"/>
              </w:rPr>
            </w:pPr>
            <w:r w:rsidRPr="00622884">
              <w:rPr>
                <w:rFonts w:ascii="Garamond" w:eastAsia="Calibri Light" w:hAnsi="Garamond" w:cs="Times New Roman"/>
                <w:sz w:val="12"/>
                <w:szCs w:val="12"/>
                <w:lang w:eastAsia="en-US" w:bidi="sq-AL"/>
              </w:rPr>
              <w:t>PPP-të me operatorët turistikë; bashkëfinancim nëpërmjet Programit të BE-së për Turizmin</w:t>
            </w:r>
          </w:p>
        </w:tc>
      </w:tr>
      <w:tr w:rsidR="00622884" w:rsidRPr="00622884" w14:paraId="7A0DAF68" w14:textId="77777777" w:rsidTr="00622884">
        <w:trPr>
          <w:trHeight w:val="1095"/>
          <w:jc w:val="center"/>
        </w:trPr>
        <w:tc>
          <w:tcPr>
            <w:tcW w:w="494" w:type="pct"/>
            <w:shd w:val="clear" w:color="auto" w:fill="FFFFFF"/>
            <w:vAlign w:val="center"/>
            <w:hideMark/>
          </w:tcPr>
          <w:p w14:paraId="49353BB6" w14:textId="77777777" w:rsidR="00622884" w:rsidRPr="00622884" w:rsidRDefault="00622884" w:rsidP="00622884">
            <w:pPr>
              <w:shd w:val="clear" w:color="auto" w:fill="FFFFFF"/>
              <w:spacing w:after="0" w:line="240" w:lineRule="auto"/>
              <w:jc w:val="left"/>
              <w:rPr>
                <w:rFonts w:ascii="Garamond" w:eastAsia="Times New Roman" w:hAnsi="Garamond" w:cs="Calibri Light"/>
                <w:b/>
                <w:bCs/>
                <w:sz w:val="12"/>
                <w:szCs w:val="12"/>
                <w:lang w:eastAsia="zh-CN"/>
              </w:rPr>
            </w:pPr>
            <w:r w:rsidRPr="00622884">
              <w:rPr>
                <w:rFonts w:ascii="Garamond" w:eastAsia="Calibri Light" w:hAnsi="Garamond" w:cs="Times New Roman"/>
                <w:b/>
                <w:bCs/>
                <w:sz w:val="12"/>
                <w:szCs w:val="12"/>
                <w:lang w:eastAsia="en-US" w:bidi="sq-AL"/>
              </w:rPr>
              <w:t>Zhvillimi urban</w:t>
            </w:r>
          </w:p>
        </w:tc>
        <w:tc>
          <w:tcPr>
            <w:tcW w:w="491" w:type="pct"/>
            <w:shd w:val="clear" w:color="auto" w:fill="FFFFFF"/>
            <w:vAlign w:val="center"/>
            <w:hideMark/>
          </w:tcPr>
          <w:p w14:paraId="1A407F13" w14:textId="77777777" w:rsidR="00622884" w:rsidRPr="00622884" w:rsidRDefault="00622884" w:rsidP="00622884">
            <w:pPr>
              <w:shd w:val="clear" w:color="auto" w:fill="FFFFFF"/>
              <w:spacing w:after="0" w:line="240" w:lineRule="auto"/>
              <w:jc w:val="left"/>
              <w:rPr>
                <w:rFonts w:ascii="Garamond" w:eastAsia="Times New Roman" w:hAnsi="Garamond" w:cs="Calibri Light"/>
                <w:sz w:val="12"/>
                <w:szCs w:val="12"/>
                <w:lang w:eastAsia="zh-CN"/>
              </w:rPr>
            </w:pPr>
            <w:r w:rsidRPr="00622884">
              <w:rPr>
                <w:rFonts w:ascii="Garamond" w:eastAsia="Calibri Light" w:hAnsi="Garamond" w:cs="Times New Roman"/>
                <w:sz w:val="12"/>
                <w:szCs w:val="12"/>
                <w:lang w:eastAsia="en-US" w:bidi="sq-AL"/>
              </w:rPr>
              <w:t>Banka Botërore (IDA); FGJK-ja; buxhetet bashkiake</w:t>
            </w:r>
          </w:p>
        </w:tc>
        <w:tc>
          <w:tcPr>
            <w:tcW w:w="438" w:type="pct"/>
            <w:shd w:val="clear" w:color="auto" w:fill="FFFFFF"/>
            <w:vAlign w:val="center"/>
            <w:hideMark/>
          </w:tcPr>
          <w:p w14:paraId="3757BA18" w14:textId="77777777" w:rsidR="00622884" w:rsidRPr="00622884" w:rsidRDefault="00622884" w:rsidP="00622884">
            <w:pPr>
              <w:shd w:val="clear" w:color="auto" w:fill="FFFFFF"/>
              <w:spacing w:after="0" w:line="240" w:lineRule="auto"/>
              <w:jc w:val="left"/>
              <w:rPr>
                <w:rFonts w:ascii="Garamond" w:eastAsia="Times New Roman" w:hAnsi="Garamond" w:cs="Calibri Light"/>
                <w:sz w:val="12"/>
                <w:szCs w:val="12"/>
                <w:lang w:eastAsia="zh-CN"/>
              </w:rPr>
            </w:pPr>
            <w:r w:rsidRPr="00622884">
              <w:rPr>
                <w:rFonts w:ascii="Garamond" w:eastAsia="Calibri Light" w:hAnsi="Garamond" w:cs="Times New Roman"/>
                <w:sz w:val="12"/>
                <w:szCs w:val="12"/>
                <w:lang w:eastAsia="en-US" w:bidi="sq-AL"/>
              </w:rPr>
              <w:t>2.723.161.544</w:t>
            </w:r>
          </w:p>
        </w:tc>
        <w:tc>
          <w:tcPr>
            <w:tcW w:w="394" w:type="pct"/>
            <w:shd w:val="clear" w:color="auto" w:fill="FFFFFF"/>
            <w:vAlign w:val="center"/>
            <w:hideMark/>
          </w:tcPr>
          <w:p w14:paraId="3B8AFB6B" w14:textId="77777777" w:rsidR="00622884" w:rsidRPr="00622884" w:rsidRDefault="00622884" w:rsidP="00622884">
            <w:pPr>
              <w:shd w:val="clear" w:color="auto" w:fill="FFFFFF"/>
              <w:spacing w:after="0" w:line="240" w:lineRule="auto"/>
              <w:jc w:val="left"/>
              <w:rPr>
                <w:rFonts w:ascii="Garamond" w:eastAsia="Times New Roman" w:hAnsi="Garamond" w:cs="Calibri Light"/>
                <w:sz w:val="12"/>
                <w:szCs w:val="12"/>
                <w:lang w:eastAsia="zh-CN"/>
              </w:rPr>
            </w:pPr>
            <w:r w:rsidRPr="00622884">
              <w:rPr>
                <w:rFonts w:ascii="Garamond" w:eastAsia="Calibri Light" w:hAnsi="Garamond" w:cs="Times New Roman"/>
                <w:sz w:val="12"/>
                <w:szCs w:val="12"/>
                <w:lang w:eastAsia="en-US" w:bidi="sq-AL"/>
              </w:rPr>
              <w:t>4.060.192</w:t>
            </w:r>
          </w:p>
        </w:tc>
        <w:tc>
          <w:tcPr>
            <w:tcW w:w="591" w:type="pct"/>
            <w:shd w:val="clear" w:color="auto" w:fill="FFFFFF"/>
            <w:vAlign w:val="center"/>
            <w:hideMark/>
          </w:tcPr>
          <w:p w14:paraId="5DDC0366" w14:textId="77777777" w:rsidR="00622884" w:rsidRPr="00622884" w:rsidRDefault="00622884" w:rsidP="00622884">
            <w:pPr>
              <w:shd w:val="clear" w:color="auto" w:fill="FFFFFF"/>
              <w:spacing w:after="0" w:line="240" w:lineRule="auto"/>
              <w:jc w:val="left"/>
              <w:rPr>
                <w:rFonts w:ascii="Garamond" w:eastAsia="Times New Roman" w:hAnsi="Garamond" w:cs="Calibri Light"/>
                <w:sz w:val="12"/>
                <w:szCs w:val="12"/>
                <w:lang w:eastAsia="zh-CN"/>
              </w:rPr>
            </w:pPr>
            <w:r w:rsidRPr="00622884">
              <w:rPr>
                <w:rFonts w:ascii="Garamond" w:eastAsia="Calibri Light" w:hAnsi="Garamond" w:cs="Times New Roman"/>
                <w:sz w:val="12"/>
                <w:szCs w:val="12"/>
                <w:lang w:eastAsia="en-US" w:bidi="sq-AL"/>
              </w:rPr>
              <w:t>23.491.259</w:t>
            </w:r>
          </w:p>
        </w:tc>
        <w:tc>
          <w:tcPr>
            <w:tcW w:w="438" w:type="pct"/>
            <w:shd w:val="clear" w:color="auto" w:fill="FFFFFF"/>
            <w:vAlign w:val="center"/>
            <w:hideMark/>
          </w:tcPr>
          <w:p w14:paraId="5C7B3D7D" w14:textId="77777777" w:rsidR="00622884" w:rsidRPr="00622884" w:rsidRDefault="00622884" w:rsidP="00622884">
            <w:pPr>
              <w:shd w:val="clear" w:color="auto" w:fill="FFFFFF"/>
              <w:spacing w:after="0" w:line="240" w:lineRule="auto"/>
              <w:jc w:val="left"/>
              <w:rPr>
                <w:rFonts w:ascii="Garamond" w:eastAsia="Times New Roman" w:hAnsi="Garamond" w:cs="Calibri Light"/>
                <w:sz w:val="12"/>
                <w:szCs w:val="12"/>
                <w:lang w:eastAsia="zh-CN"/>
              </w:rPr>
            </w:pPr>
            <w:r w:rsidRPr="00622884">
              <w:rPr>
                <w:rFonts w:ascii="Garamond" w:eastAsia="Calibri Light" w:hAnsi="Garamond" w:cs="Times New Roman"/>
                <w:sz w:val="12"/>
                <w:szCs w:val="12"/>
                <w:lang w:eastAsia="en-US" w:bidi="sq-AL"/>
              </w:rPr>
              <w:t>2.695.610.093</w:t>
            </w:r>
          </w:p>
        </w:tc>
        <w:tc>
          <w:tcPr>
            <w:tcW w:w="459" w:type="pct"/>
            <w:shd w:val="clear" w:color="auto" w:fill="FFFFFF"/>
            <w:vAlign w:val="center"/>
            <w:hideMark/>
          </w:tcPr>
          <w:p w14:paraId="7EF2D1A7" w14:textId="77777777" w:rsidR="00622884" w:rsidRPr="00622884" w:rsidRDefault="00622884" w:rsidP="00622884">
            <w:pPr>
              <w:shd w:val="clear" w:color="auto" w:fill="FFFFFF"/>
              <w:spacing w:after="0" w:line="240" w:lineRule="auto"/>
              <w:jc w:val="left"/>
              <w:rPr>
                <w:rFonts w:ascii="Garamond" w:eastAsia="Times New Roman" w:hAnsi="Garamond" w:cs="Calibri Light"/>
                <w:sz w:val="12"/>
                <w:szCs w:val="12"/>
                <w:lang w:eastAsia="zh-CN"/>
              </w:rPr>
            </w:pPr>
            <w:r w:rsidRPr="00622884">
              <w:rPr>
                <w:rFonts w:ascii="Garamond" w:eastAsia="Calibri Light" w:hAnsi="Garamond" w:cs="Times New Roman"/>
                <w:sz w:val="12"/>
                <w:szCs w:val="12"/>
                <w:lang w:eastAsia="en-US" w:bidi="sq-AL"/>
              </w:rPr>
              <w:t>2026–2030</w:t>
            </w:r>
          </w:p>
        </w:tc>
        <w:tc>
          <w:tcPr>
            <w:tcW w:w="543" w:type="pct"/>
            <w:shd w:val="clear" w:color="auto" w:fill="FFFFFF"/>
            <w:vAlign w:val="center"/>
            <w:hideMark/>
          </w:tcPr>
          <w:p w14:paraId="4461ED6D" w14:textId="77777777" w:rsidR="00622884" w:rsidRPr="00622884" w:rsidRDefault="00622884" w:rsidP="00622884">
            <w:pPr>
              <w:shd w:val="clear" w:color="auto" w:fill="FFFFFF"/>
              <w:spacing w:after="0" w:line="240" w:lineRule="auto"/>
              <w:jc w:val="left"/>
              <w:rPr>
                <w:rFonts w:ascii="Garamond" w:eastAsia="Times New Roman" w:hAnsi="Garamond" w:cs="Calibri Light"/>
                <w:sz w:val="12"/>
                <w:szCs w:val="12"/>
                <w:lang w:eastAsia="zh-CN"/>
              </w:rPr>
            </w:pPr>
            <w:r w:rsidRPr="00622884">
              <w:rPr>
                <w:rFonts w:ascii="Garamond" w:eastAsia="Calibri Light" w:hAnsi="Garamond" w:cs="Times New Roman"/>
                <w:sz w:val="12"/>
                <w:szCs w:val="12"/>
                <w:lang w:eastAsia="en-US" w:bidi="sq-AL"/>
              </w:rPr>
              <w:t>Tremujori i parë i vitit 2026 (dokument koncepti i IDA-s)</w:t>
            </w:r>
          </w:p>
        </w:tc>
        <w:tc>
          <w:tcPr>
            <w:tcW w:w="477" w:type="pct"/>
            <w:shd w:val="clear" w:color="auto" w:fill="FFFFFF"/>
            <w:vAlign w:val="center"/>
            <w:hideMark/>
          </w:tcPr>
          <w:p w14:paraId="7BDE4EE1" w14:textId="77777777" w:rsidR="00622884" w:rsidRPr="00622884" w:rsidRDefault="00622884" w:rsidP="00622884">
            <w:pPr>
              <w:shd w:val="clear" w:color="auto" w:fill="FFFFFF"/>
              <w:spacing w:after="0" w:line="240" w:lineRule="auto"/>
              <w:jc w:val="left"/>
              <w:rPr>
                <w:rFonts w:ascii="Garamond" w:eastAsia="Times New Roman" w:hAnsi="Garamond" w:cs="Calibri Light"/>
                <w:sz w:val="12"/>
                <w:szCs w:val="12"/>
                <w:lang w:eastAsia="zh-CN"/>
              </w:rPr>
            </w:pPr>
            <w:r w:rsidRPr="00622884">
              <w:rPr>
                <w:rFonts w:ascii="Garamond" w:eastAsia="Calibri Light" w:hAnsi="Garamond" w:cs="Times New Roman"/>
                <w:sz w:val="12"/>
                <w:szCs w:val="12"/>
                <w:lang w:eastAsia="en-US" w:bidi="sq-AL"/>
              </w:rPr>
              <w:t>Ministria e Infrastrukturës; MTM; Bashkitë</w:t>
            </w:r>
          </w:p>
        </w:tc>
        <w:tc>
          <w:tcPr>
            <w:tcW w:w="676" w:type="pct"/>
            <w:shd w:val="clear" w:color="auto" w:fill="FFFFFF"/>
            <w:vAlign w:val="center"/>
            <w:hideMark/>
          </w:tcPr>
          <w:p w14:paraId="1A84F73D" w14:textId="77777777" w:rsidR="00622884" w:rsidRPr="00622884" w:rsidRDefault="00622884" w:rsidP="00622884">
            <w:pPr>
              <w:shd w:val="clear" w:color="auto" w:fill="FFFFFF"/>
              <w:spacing w:after="0" w:line="240" w:lineRule="auto"/>
              <w:ind w:right="120"/>
              <w:jc w:val="left"/>
              <w:rPr>
                <w:rFonts w:ascii="Garamond" w:eastAsia="Times New Roman" w:hAnsi="Garamond" w:cs="Calibri Light"/>
                <w:sz w:val="12"/>
                <w:szCs w:val="12"/>
                <w:lang w:eastAsia="zh-CN"/>
              </w:rPr>
            </w:pPr>
            <w:r w:rsidRPr="00622884">
              <w:rPr>
                <w:rFonts w:ascii="Garamond" w:eastAsia="Calibri Light" w:hAnsi="Garamond" w:cs="Times New Roman"/>
                <w:sz w:val="12"/>
                <w:szCs w:val="12"/>
                <w:lang w:eastAsia="en-US" w:bidi="sq-AL"/>
              </w:rPr>
              <w:t>25% e buxhetit bashkiak; hua koncesionare të MDB-s; grantet e IFC-së</w:t>
            </w:r>
          </w:p>
        </w:tc>
      </w:tr>
      <w:tr w:rsidR="00622884" w:rsidRPr="00622884" w14:paraId="2EF480C4" w14:textId="77777777" w:rsidTr="00622884">
        <w:trPr>
          <w:trHeight w:val="201"/>
          <w:jc w:val="center"/>
        </w:trPr>
        <w:tc>
          <w:tcPr>
            <w:tcW w:w="494" w:type="pct"/>
            <w:shd w:val="clear" w:color="auto" w:fill="FFFFFF"/>
            <w:vAlign w:val="center"/>
            <w:hideMark/>
          </w:tcPr>
          <w:p w14:paraId="7A0F1739" w14:textId="77777777" w:rsidR="00622884" w:rsidRPr="00622884" w:rsidRDefault="00622884" w:rsidP="00622884">
            <w:pPr>
              <w:shd w:val="clear" w:color="auto" w:fill="FFFFFF"/>
              <w:spacing w:after="0" w:line="240" w:lineRule="auto"/>
              <w:jc w:val="left"/>
              <w:rPr>
                <w:rFonts w:ascii="Garamond" w:eastAsia="Times New Roman" w:hAnsi="Garamond" w:cs="Calibri Light"/>
                <w:b/>
                <w:bCs/>
                <w:sz w:val="12"/>
                <w:szCs w:val="12"/>
                <w:lang w:eastAsia="zh-CN"/>
              </w:rPr>
            </w:pPr>
            <w:r w:rsidRPr="00622884">
              <w:rPr>
                <w:rFonts w:ascii="Garamond" w:eastAsia="Calibri Light" w:hAnsi="Garamond" w:cs="Times New Roman"/>
                <w:b/>
                <w:bCs/>
                <w:sz w:val="12"/>
                <w:szCs w:val="12"/>
                <w:lang w:eastAsia="en-US" w:bidi="sq-AL"/>
              </w:rPr>
              <w:t>Energjia</w:t>
            </w:r>
          </w:p>
        </w:tc>
        <w:tc>
          <w:tcPr>
            <w:tcW w:w="491" w:type="pct"/>
            <w:shd w:val="clear" w:color="auto" w:fill="FFFFFF"/>
            <w:vAlign w:val="center"/>
            <w:hideMark/>
          </w:tcPr>
          <w:p w14:paraId="2FFADC05" w14:textId="77777777" w:rsidR="00622884" w:rsidRPr="00622884" w:rsidRDefault="00622884" w:rsidP="00622884">
            <w:pPr>
              <w:shd w:val="clear" w:color="auto" w:fill="FFFFFF"/>
              <w:spacing w:after="0" w:line="240" w:lineRule="auto"/>
              <w:jc w:val="left"/>
              <w:rPr>
                <w:rFonts w:ascii="Garamond" w:eastAsia="Times New Roman" w:hAnsi="Garamond" w:cs="Calibri Light"/>
                <w:sz w:val="12"/>
                <w:szCs w:val="12"/>
                <w:lang w:eastAsia="zh-CN"/>
              </w:rPr>
            </w:pPr>
            <w:r w:rsidRPr="00622884">
              <w:rPr>
                <w:rFonts w:ascii="Garamond" w:eastAsia="Calibri Light" w:hAnsi="Garamond" w:cs="Times New Roman"/>
                <w:sz w:val="12"/>
                <w:szCs w:val="12"/>
                <w:lang w:eastAsia="en-US" w:bidi="sq-AL"/>
              </w:rPr>
              <w:t>BEI; Banka Botërore (BNRZH); IFC-ja</w:t>
            </w:r>
          </w:p>
        </w:tc>
        <w:tc>
          <w:tcPr>
            <w:tcW w:w="438" w:type="pct"/>
            <w:shd w:val="clear" w:color="auto" w:fill="FFFFFF"/>
            <w:vAlign w:val="center"/>
            <w:hideMark/>
          </w:tcPr>
          <w:p w14:paraId="45D77E76" w14:textId="77777777" w:rsidR="00622884" w:rsidRPr="00622884" w:rsidRDefault="00622884" w:rsidP="00622884">
            <w:pPr>
              <w:shd w:val="clear" w:color="auto" w:fill="FFFFFF"/>
              <w:spacing w:after="0" w:line="240" w:lineRule="auto"/>
              <w:jc w:val="left"/>
              <w:rPr>
                <w:rFonts w:ascii="Garamond" w:eastAsia="Times New Roman" w:hAnsi="Garamond" w:cs="Calibri Light"/>
                <w:sz w:val="12"/>
                <w:szCs w:val="12"/>
                <w:lang w:eastAsia="zh-CN"/>
              </w:rPr>
            </w:pPr>
            <w:r w:rsidRPr="00622884">
              <w:rPr>
                <w:rFonts w:ascii="Garamond" w:eastAsia="Calibri Light" w:hAnsi="Garamond" w:cs="Times New Roman"/>
                <w:sz w:val="12"/>
                <w:szCs w:val="12"/>
                <w:lang w:eastAsia="en-US" w:bidi="sq-AL"/>
              </w:rPr>
              <w:t>1.960.573.000</w:t>
            </w:r>
          </w:p>
        </w:tc>
        <w:tc>
          <w:tcPr>
            <w:tcW w:w="394" w:type="pct"/>
            <w:shd w:val="clear" w:color="auto" w:fill="FFFFFF"/>
            <w:vAlign w:val="center"/>
            <w:hideMark/>
          </w:tcPr>
          <w:p w14:paraId="771B5C1E" w14:textId="77777777" w:rsidR="00622884" w:rsidRPr="00622884" w:rsidRDefault="00622884" w:rsidP="00622884">
            <w:pPr>
              <w:shd w:val="clear" w:color="auto" w:fill="FFFFFF"/>
              <w:spacing w:after="0" w:line="240" w:lineRule="auto"/>
              <w:jc w:val="left"/>
              <w:rPr>
                <w:rFonts w:ascii="Garamond" w:eastAsia="Times New Roman" w:hAnsi="Garamond" w:cs="Calibri Light"/>
                <w:sz w:val="12"/>
                <w:szCs w:val="12"/>
                <w:lang w:eastAsia="zh-CN"/>
              </w:rPr>
            </w:pPr>
            <w:r w:rsidRPr="00622884">
              <w:rPr>
                <w:rFonts w:ascii="Garamond" w:eastAsia="Calibri Light" w:hAnsi="Garamond" w:cs="Times New Roman"/>
                <w:sz w:val="12"/>
                <w:szCs w:val="12"/>
                <w:lang w:eastAsia="en-US" w:bidi="sq-AL"/>
              </w:rPr>
              <w:t>224.477.993</w:t>
            </w:r>
          </w:p>
        </w:tc>
        <w:tc>
          <w:tcPr>
            <w:tcW w:w="591" w:type="pct"/>
            <w:shd w:val="clear" w:color="auto" w:fill="FFFFFF"/>
            <w:vAlign w:val="center"/>
            <w:hideMark/>
          </w:tcPr>
          <w:p w14:paraId="6FA9D046" w14:textId="77777777" w:rsidR="00622884" w:rsidRPr="00622884" w:rsidRDefault="00622884" w:rsidP="00622884">
            <w:pPr>
              <w:shd w:val="clear" w:color="auto" w:fill="FFFFFF"/>
              <w:spacing w:after="0" w:line="240" w:lineRule="auto"/>
              <w:jc w:val="left"/>
              <w:rPr>
                <w:rFonts w:ascii="Garamond" w:eastAsia="Times New Roman" w:hAnsi="Garamond" w:cs="Calibri Light"/>
                <w:sz w:val="12"/>
                <w:szCs w:val="12"/>
                <w:lang w:eastAsia="zh-CN"/>
              </w:rPr>
            </w:pPr>
            <w:r w:rsidRPr="00622884">
              <w:rPr>
                <w:rFonts w:ascii="Garamond" w:eastAsia="Calibri Light" w:hAnsi="Garamond" w:cs="Times New Roman"/>
                <w:sz w:val="12"/>
                <w:szCs w:val="12"/>
                <w:lang w:eastAsia="en-US" w:bidi="sq-AL"/>
              </w:rPr>
              <w:t>72.482.385</w:t>
            </w:r>
          </w:p>
        </w:tc>
        <w:tc>
          <w:tcPr>
            <w:tcW w:w="438" w:type="pct"/>
            <w:shd w:val="clear" w:color="auto" w:fill="FFFFFF"/>
            <w:vAlign w:val="center"/>
            <w:hideMark/>
          </w:tcPr>
          <w:p w14:paraId="60A8047D" w14:textId="77777777" w:rsidR="00622884" w:rsidRPr="00622884" w:rsidRDefault="00622884" w:rsidP="00622884">
            <w:pPr>
              <w:shd w:val="clear" w:color="auto" w:fill="FFFFFF"/>
              <w:spacing w:after="0" w:line="240" w:lineRule="auto"/>
              <w:jc w:val="left"/>
              <w:rPr>
                <w:rFonts w:ascii="Garamond" w:eastAsia="Times New Roman" w:hAnsi="Garamond" w:cs="Calibri Light"/>
                <w:sz w:val="12"/>
                <w:szCs w:val="12"/>
                <w:lang w:eastAsia="zh-CN"/>
              </w:rPr>
            </w:pPr>
            <w:r w:rsidRPr="00622884">
              <w:rPr>
                <w:rFonts w:ascii="Garamond" w:eastAsia="Calibri Light" w:hAnsi="Garamond" w:cs="Times New Roman"/>
                <w:sz w:val="12"/>
                <w:szCs w:val="12"/>
                <w:lang w:eastAsia="en-US" w:bidi="sq-AL"/>
              </w:rPr>
              <w:t>1.663.612.622</w:t>
            </w:r>
          </w:p>
        </w:tc>
        <w:tc>
          <w:tcPr>
            <w:tcW w:w="459" w:type="pct"/>
            <w:shd w:val="clear" w:color="auto" w:fill="FFFFFF"/>
            <w:vAlign w:val="center"/>
            <w:hideMark/>
          </w:tcPr>
          <w:p w14:paraId="28C12161" w14:textId="77777777" w:rsidR="00622884" w:rsidRPr="00622884" w:rsidRDefault="00622884" w:rsidP="00622884">
            <w:pPr>
              <w:shd w:val="clear" w:color="auto" w:fill="FFFFFF"/>
              <w:spacing w:after="0" w:line="240" w:lineRule="auto"/>
              <w:jc w:val="left"/>
              <w:rPr>
                <w:rFonts w:ascii="Garamond" w:eastAsia="Times New Roman" w:hAnsi="Garamond" w:cs="Calibri Light"/>
                <w:sz w:val="12"/>
                <w:szCs w:val="12"/>
                <w:lang w:eastAsia="zh-CN"/>
              </w:rPr>
            </w:pPr>
            <w:r w:rsidRPr="00622884">
              <w:rPr>
                <w:rFonts w:ascii="Garamond" w:eastAsia="Calibri Light" w:hAnsi="Garamond" w:cs="Times New Roman"/>
                <w:sz w:val="12"/>
                <w:szCs w:val="12"/>
                <w:lang w:eastAsia="en-US" w:bidi="sq-AL"/>
              </w:rPr>
              <w:t>2027–2031</w:t>
            </w:r>
          </w:p>
        </w:tc>
        <w:tc>
          <w:tcPr>
            <w:tcW w:w="543" w:type="pct"/>
            <w:shd w:val="clear" w:color="auto" w:fill="FFFFFF"/>
            <w:vAlign w:val="center"/>
            <w:hideMark/>
          </w:tcPr>
          <w:p w14:paraId="142A4448" w14:textId="77777777" w:rsidR="00622884" w:rsidRPr="00622884" w:rsidRDefault="00622884" w:rsidP="00622884">
            <w:pPr>
              <w:shd w:val="clear" w:color="auto" w:fill="FFFFFF"/>
              <w:spacing w:after="0" w:line="240" w:lineRule="auto"/>
              <w:jc w:val="left"/>
              <w:rPr>
                <w:rFonts w:ascii="Garamond" w:eastAsia="Times New Roman" w:hAnsi="Garamond" w:cs="Calibri Light"/>
                <w:sz w:val="12"/>
                <w:szCs w:val="12"/>
                <w:lang w:eastAsia="zh-CN"/>
              </w:rPr>
            </w:pPr>
            <w:r w:rsidRPr="00622884">
              <w:rPr>
                <w:rFonts w:ascii="Garamond" w:eastAsia="Calibri Light" w:hAnsi="Garamond" w:cs="Times New Roman"/>
                <w:sz w:val="12"/>
                <w:szCs w:val="12"/>
                <w:lang w:eastAsia="en-US" w:bidi="sq-AL"/>
              </w:rPr>
              <w:t>Tremujori i dytë i vitit 2026 (Shprehje interesi nga BEI)</w:t>
            </w:r>
          </w:p>
        </w:tc>
        <w:tc>
          <w:tcPr>
            <w:tcW w:w="477" w:type="pct"/>
            <w:shd w:val="clear" w:color="auto" w:fill="FFFFFF"/>
            <w:vAlign w:val="center"/>
            <w:hideMark/>
          </w:tcPr>
          <w:p w14:paraId="348A40EB" w14:textId="77777777" w:rsidR="00622884" w:rsidRPr="00622884" w:rsidRDefault="00622884" w:rsidP="00622884">
            <w:pPr>
              <w:shd w:val="clear" w:color="auto" w:fill="FFFFFF"/>
              <w:spacing w:after="0" w:line="240" w:lineRule="auto"/>
              <w:jc w:val="left"/>
              <w:rPr>
                <w:rFonts w:ascii="Garamond" w:eastAsia="Times New Roman" w:hAnsi="Garamond" w:cs="Calibri Light"/>
                <w:sz w:val="12"/>
                <w:szCs w:val="12"/>
                <w:lang w:eastAsia="zh-CN"/>
              </w:rPr>
            </w:pPr>
            <w:r w:rsidRPr="00622884">
              <w:rPr>
                <w:rFonts w:ascii="Garamond" w:eastAsia="Calibri Light" w:hAnsi="Garamond" w:cs="Times New Roman"/>
                <w:sz w:val="12"/>
                <w:szCs w:val="12"/>
                <w:lang w:eastAsia="en-US" w:bidi="sq-AL"/>
              </w:rPr>
              <w:t>Ministria e Infrastrukturës dhe Energjisë; NDA</w:t>
            </w:r>
          </w:p>
        </w:tc>
        <w:tc>
          <w:tcPr>
            <w:tcW w:w="676" w:type="pct"/>
            <w:shd w:val="clear" w:color="auto" w:fill="FFFFFF"/>
            <w:vAlign w:val="center"/>
            <w:hideMark/>
          </w:tcPr>
          <w:p w14:paraId="36E94B24" w14:textId="77777777" w:rsidR="00622884" w:rsidRPr="00622884" w:rsidRDefault="00622884" w:rsidP="00622884">
            <w:pPr>
              <w:shd w:val="clear" w:color="auto" w:fill="FFFFFF"/>
              <w:spacing w:after="0" w:line="240" w:lineRule="auto"/>
              <w:jc w:val="left"/>
              <w:rPr>
                <w:rFonts w:ascii="Garamond" w:eastAsia="Times New Roman" w:hAnsi="Garamond" w:cs="Calibri Light"/>
                <w:sz w:val="12"/>
                <w:szCs w:val="12"/>
                <w:lang w:eastAsia="zh-CN"/>
              </w:rPr>
            </w:pPr>
            <w:r w:rsidRPr="00622884">
              <w:rPr>
                <w:rFonts w:ascii="Garamond" w:eastAsia="Calibri Light" w:hAnsi="Garamond" w:cs="Times New Roman"/>
                <w:sz w:val="12"/>
                <w:szCs w:val="12"/>
                <w:lang w:eastAsia="en-US" w:bidi="sq-AL"/>
              </w:rPr>
              <w:t>Kuadrot e PPP-ve; garancitë e KE-së; 20% kapital privat</w:t>
            </w:r>
          </w:p>
        </w:tc>
      </w:tr>
      <w:tr w:rsidR="00622884" w:rsidRPr="00622884" w14:paraId="36F13F2C" w14:textId="77777777" w:rsidTr="00622884">
        <w:trPr>
          <w:trHeight w:val="446"/>
          <w:jc w:val="center"/>
        </w:trPr>
        <w:tc>
          <w:tcPr>
            <w:tcW w:w="494" w:type="pct"/>
            <w:shd w:val="clear" w:color="auto" w:fill="FFFFFF"/>
            <w:vAlign w:val="center"/>
            <w:hideMark/>
          </w:tcPr>
          <w:p w14:paraId="74FCAD20" w14:textId="77777777" w:rsidR="00622884" w:rsidRPr="00622884" w:rsidRDefault="00622884" w:rsidP="00622884">
            <w:pPr>
              <w:shd w:val="clear" w:color="auto" w:fill="FFFFFF"/>
              <w:spacing w:after="0" w:line="240" w:lineRule="auto"/>
              <w:jc w:val="left"/>
              <w:rPr>
                <w:rFonts w:ascii="Garamond" w:eastAsia="Times New Roman" w:hAnsi="Garamond" w:cs="Calibri Light"/>
                <w:b/>
                <w:bCs/>
                <w:sz w:val="12"/>
                <w:szCs w:val="12"/>
                <w:lang w:eastAsia="zh-CN"/>
              </w:rPr>
            </w:pPr>
            <w:r w:rsidRPr="00622884">
              <w:rPr>
                <w:rFonts w:ascii="Garamond" w:eastAsia="Calibri Light" w:hAnsi="Garamond" w:cs="Times New Roman"/>
                <w:b/>
                <w:bCs/>
                <w:sz w:val="12"/>
                <w:szCs w:val="12"/>
                <w:lang w:eastAsia="en-US" w:bidi="sq-AL"/>
              </w:rPr>
              <w:t>Transporti</w:t>
            </w:r>
          </w:p>
        </w:tc>
        <w:tc>
          <w:tcPr>
            <w:tcW w:w="491" w:type="pct"/>
            <w:shd w:val="clear" w:color="auto" w:fill="FFFFFF"/>
            <w:vAlign w:val="center"/>
            <w:hideMark/>
          </w:tcPr>
          <w:p w14:paraId="1C8AA13C" w14:textId="77777777" w:rsidR="00622884" w:rsidRPr="00622884" w:rsidRDefault="00622884" w:rsidP="00622884">
            <w:pPr>
              <w:shd w:val="clear" w:color="auto" w:fill="FFFFFF"/>
              <w:spacing w:after="0" w:line="240" w:lineRule="auto"/>
              <w:jc w:val="left"/>
              <w:rPr>
                <w:rFonts w:ascii="Garamond" w:eastAsia="Times New Roman" w:hAnsi="Garamond" w:cs="Calibri Light"/>
                <w:sz w:val="12"/>
                <w:szCs w:val="12"/>
                <w:lang w:eastAsia="zh-CN"/>
              </w:rPr>
            </w:pPr>
            <w:r w:rsidRPr="00622884">
              <w:rPr>
                <w:rFonts w:ascii="Garamond" w:eastAsia="Calibri Light" w:hAnsi="Garamond" w:cs="Times New Roman"/>
                <w:sz w:val="12"/>
                <w:szCs w:val="12"/>
                <w:lang w:eastAsia="en-US" w:bidi="sq-AL"/>
              </w:rPr>
              <w:t>BEI; BERZH; buxheti kombëtar</w:t>
            </w:r>
          </w:p>
        </w:tc>
        <w:tc>
          <w:tcPr>
            <w:tcW w:w="438" w:type="pct"/>
            <w:shd w:val="clear" w:color="auto" w:fill="FFFFFF"/>
            <w:vAlign w:val="center"/>
            <w:hideMark/>
          </w:tcPr>
          <w:p w14:paraId="0D5830F9" w14:textId="77777777" w:rsidR="00622884" w:rsidRPr="00622884" w:rsidRDefault="00622884" w:rsidP="00622884">
            <w:pPr>
              <w:shd w:val="clear" w:color="auto" w:fill="FFFFFF"/>
              <w:spacing w:after="0" w:line="240" w:lineRule="auto"/>
              <w:jc w:val="left"/>
              <w:rPr>
                <w:rFonts w:ascii="Garamond" w:eastAsia="Times New Roman" w:hAnsi="Garamond" w:cs="Calibri Light"/>
                <w:sz w:val="12"/>
                <w:szCs w:val="12"/>
                <w:lang w:eastAsia="zh-CN"/>
              </w:rPr>
            </w:pPr>
            <w:r w:rsidRPr="00622884">
              <w:rPr>
                <w:rFonts w:ascii="Garamond" w:eastAsia="Calibri Light" w:hAnsi="Garamond" w:cs="Times New Roman"/>
                <w:sz w:val="12"/>
                <w:szCs w:val="12"/>
                <w:lang w:eastAsia="en-US" w:bidi="sq-AL"/>
              </w:rPr>
              <w:t>2.038.835.000</w:t>
            </w:r>
          </w:p>
        </w:tc>
        <w:tc>
          <w:tcPr>
            <w:tcW w:w="394" w:type="pct"/>
            <w:shd w:val="clear" w:color="auto" w:fill="FFFFFF"/>
            <w:vAlign w:val="center"/>
            <w:hideMark/>
          </w:tcPr>
          <w:p w14:paraId="0B5B8073" w14:textId="77777777" w:rsidR="00622884" w:rsidRPr="00622884" w:rsidRDefault="00622884" w:rsidP="00622884">
            <w:pPr>
              <w:shd w:val="clear" w:color="auto" w:fill="FFFFFF"/>
              <w:spacing w:after="0" w:line="240" w:lineRule="auto"/>
              <w:jc w:val="left"/>
              <w:rPr>
                <w:rFonts w:ascii="Garamond" w:eastAsia="Times New Roman" w:hAnsi="Garamond" w:cs="Calibri Light"/>
                <w:sz w:val="12"/>
                <w:szCs w:val="12"/>
                <w:lang w:eastAsia="zh-CN"/>
              </w:rPr>
            </w:pPr>
            <w:r w:rsidRPr="00622884">
              <w:rPr>
                <w:rFonts w:ascii="Garamond" w:eastAsia="Calibri Light" w:hAnsi="Garamond" w:cs="Times New Roman"/>
                <w:sz w:val="12"/>
                <w:szCs w:val="12"/>
                <w:lang w:eastAsia="en-US" w:bidi="sq-AL"/>
              </w:rPr>
              <w:t>1.228.960</w:t>
            </w:r>
          </w:p>
        </w:tc>
        <w:tc>
          <w:tcPr>
            <w:tcW w:w="591" w:type="pct"/>
            <w:shd w:val="clear" w:color="auto" w:fill="FFFFFF"/>
            <w:vAlign w:val="center"/>
            <w:hideMark/>
          </w:tcPr>
          <w:p w14:paraId="505B73E6" w14:textId="77777777" w:rsidR="00622884" w:rsidRPr="00622884" w:rsidRDefault="00622884" w:rsidP="00622884">
            <w:pPr>
              <w:shd w:val="clear" w:color="auto" w:fill="FFFFFF"/>
              <w:spacing w:after="0" w:line="240" w:lineRule="auto"/>
              <w:jc w:val="left"/>
              <w:rPr>
                <w:rFonts w:ascii="Garamond" w:eastAsia="Times New Roman" w:hAnsi="Garamond" w:cs="Calibri Light"/>
                <w:sz w:val="12"/>
                <w:szCs w:val="12"/>
                <w:lang w:eastAsia="zh-CN"/>
              </w:rPr>
            </w:pPr>
            <w:r w:rsidRPr="00622884">
              <w:rPr>
                <w:rFonts w:ascii="Garamond" w:eastAsia="Calibri Light" w:hAnsi="Garamond" w:cs="Times New Roman"/>
                <w:sz w:val="12"/>
                <w:szCs w:val="12"/>
                <w:lang w:eastAsia="en-US" w:bidi="sq-AL"/>
              </w:rPr>
              <w:t>2.455.520</w:t>
            </w:r>
          </w:p>
        </w:tc>
        <w:tc>
          <w:tcPr>
            <w:tcW w:w="438" w:type="pct"/>
            <w:shd w:val="clear" w:color="auto" w:fill="FFFFFF"/>
            <w:vAlign w:val="center"/>
            <w:hideMark/>
          </w:tcPr>
          <w:p w14:paraId="5F7A1A44" w14:textId="77777777" w:rsidR="00622884" w:rsidRPr="00622884" w:rsidRDefault="00622884" w:rsidP="00622884">
            <w:pPr>
              <w:shd w:val="clear" w:color="auto" w:fill="FFFFFF"/>
              <w:spacing w:after="0" w:line="240" w:lineRule="auto"/>
              <w:jc w:val="left"/>
              <w:rPr>
                <w:rFonts w:ascii="Garamond" w:eastAsia="Times New Roman" w:hAnsi="Garamond" w:cs="Calibri Light"/>
                <w:sz w:val="12"/>
                <w:szCs w:val="12"/>
                <w:lang w:eastAsia="zh-CN"/>
              </w:rPr>
            </w:pPr>
            <w:r w:rsidRPr="00622884">
              <w:rPr>
                <w:rFonts w:ascii="Garamond" w:eastAsia="Calibri Light" w:hAnsi="Garamond" w:cs="Times New Roman"/>
                <w:sz w:val="12"/>
                <w:szCs w:val="12"/>
                <w:lang w:eastAsia="en-US" w:bidi="sq-AL"/>
              </w:rPr>
              <w:t>2.035.150.520</w:t>
            </w:r>
          </w:p>
        </w:tc>
        <w:tc>
          <w:tcPr>
            <w:tcW w:w="459" w:type="pct"/>
            <w:shd w:val="clear" w:color="auto" w:fill="FFFFFF"/>
            <w:vAlign w:val="center"/>
            <w:hideMark/>
          </w:tcPr>
          <w:p w14:paraId="6A4E8921" w14:textId="77777777" w:rsidR="00622884" w:rsidRPr="00622884" w:rsidRDefault="00622884" w:rsidP="00622884">
            <w:pPr>
              <w:shd w:val="clear" w:color="auto" w:fill="FFFFFF"/>
              <w:spacing w:after="0" w:line="240" w:lineRule="auto"/>
              <w:jc w:val="left"/>
              <w:rPr>
                <w:rFonts w:ascii="Garamond" w:eastAsia="Times New Roman" w:hAnsi="Garamond" w:cs="Calibri Light"/>
                <w:sz w:val="12"/>
                <w:szCs w:val="12"/>
                <w:lang w:eastAsia="zh-CN"/>
              </w:rPr>
            </w:pPr>
            <w:r w:rsidRPr="00622884">
              <w:rPr>
                <w:rFonts w:ascii="Garamond" w:eastAsia="Calibri Light" w:hAnsi="Garamond" w:cs="Times New Roman"/>
                <w:sz w:val="12"/>
                <w:szCs w:val="12"/>
                <w:lang w:eastAsia="en-US" w:bidi="sq-AL"/>
              </w:rPr>
              <w:t>2027–2032</w:t>
            </w:r>
          </w:p>
        </w:tc>
        <w:tc>
          <w:tcPr>
            <w:tcW w:w="543" w:type="pct"/>
            <w:shd w:val="clear" w:color="auto" w:fill="FFFFFF"/>
            <w:vAlign w:val="center"/>
            <w:hideMark/>
          </w:tcPr>
          <w:p w14:paraId="61EF9C70" w14:textId="77777777" w:rsidR="00622884" w:rsidRPr="00622884" w:rsidRDefault="00622884" w:rsidP="00622884">
            <w:pPr>
              <w:shd w:val="clear" w:color="auto" w:fill="FFFFFF"/>
              <w:spacing w:after="0" w:line="240" w:lineRule="auto"/>
              <w:jc w:val="left"/>
              <w:rPr>
                <w:rFonts w:ascii="Garamond" w:eastAsia="Times New Roman" w:hAnsi="Garamond" w:cs="Calibri Light"/>
                <w:sz w:val="12"/>
                <w:szCs w:val="12"/>
                <w:lang w:eastAsia="zh-CN"/>
              </w:rPr>
            </w:pPr>
            <w:r w:rsidRPr="00622884">
              <w:rPr>
                <w:rFonts w:ascii="Garamond" w:eastAsia="Calibri Light" w:hAnsi="Garamond" w:cs="Times New Roman"/>
                <w:sz w:val="12"/>
                <w:szCs w:val="12"/>
                <w:lang w:eastAsia="en-US" w:bidi="sq-AL"/>
              </w:rPr>
              <w:t>Tremujori i tretë i vitit 2026 (Misioni i vëzhgimit i BERZH-it)</w:t>
            </w:r>
          </w:p>
        </w:tc>
        <w:tc>
          <w:tcPr>
            <w:tcW w:w="477" w:type="pct"/>
            <w:shd w:val="clear" w:color="auto" w:fill="FFFFFF"/>
            <w:vAlign w:val="center"/>
            <w:hideMark/>
          </w:tcPr>
          <w:p w14:paraId="405172A4" w14:textId="77777777" w:rsidR="00622884" w:rsidRPr="00622884" w:rsidRDefault="00622884" w:rsidP="00622884">
            <w:pPr>
              <w:shd w:val="clear" w:color="auto" w:fill="FFFFFF"/>
              <w:spacing w:after="0" w:line="240" w:lineRule="auto"/>
              <w:jc w:val="left"/>
              <w:rPr>
                <w:rFonts w:ascii="Garamond" w:eastAsia="Times New Roman" w:hAnsi="Garamond" w:cs="Calibri Light"/>
                <w:sz w:val="12"/>
                <w:szCs w:val="12"/>
                <w:lang w:eastAsia="zh-CN"/>
              </w:rPr>
            </w:pPr>
            <w:r w:rsidRPr="00622884">
              <w:rPr>
                <w:rFonts w:ascii="Garamond" w:eastAsia="Calibri Light" w:hAnsi="Garamond" w:cs="Times New Roman"/>
                <w:sz w:val="12"/>
                <w:szCs w:val="12"/>
                <w:lang w:eastAsia="en-US" w:bidi="sq-AL"/>
              </w:rPr>
              <w:t>Ministria e Infrastrukturës; MF; Bashkitë</w:t>
            </w:r>
          </w:p>
        </w:tc>
        <w:tc>
          <w:tcPr>
            <w:tcW w:w="676" w:type="pct"/>
            <w:shd w:val="clear" w:color="auto" w:fill="FFFFFF"/>
            <w:vAlign w:val="center"/>
            <w:hideMark/>
          </w:tcPr>
          <w:p w14:paraId="0FA7E462" w14:textId="77777777" w:rsidR="00622884" w:rsidRPr="00622884" w:rsidRDefault="00622884" w:rsidP="00622884">
            <w:pPr>
              <w:shd w:val="clear" w:color="auto" w:fill="FFFFFF"/>
              <w:spacing w:after="0" w:line="240" w:lineRule="auto"/>
              <w:jc w:val="left"/>
              <w:rPr>
                <w:rFonts w:ascii="Garamond" w:eastAsia="Times New Roman" w:hAnsi="Garamond" w:cs="Calibri Light"/>
                <w:sz w:val="12"/>
                <w:szCs w:val="12"/>
                <w:lang w:eastAsia="zh-CN"/>
              </w:rPr>
            </w:pPr>
            <w:r w:rsidRPr="00622884">
              <w:rPr>
                <w:rFonts w:ascii="Garamond" w:eastAsia="Calibri Light" w:hAnsi="Garamond" w:cs="Times New Roman"/>
                <w:sz w:val="12"/>
                <w:szCs w:val="12"/>
                <w:lang w:eastAsia="en-US" w:bidi="sq-AL"/>
              </w:rPr>
              <w:t>Huat koncesionare të MDB-së; fondet kombëtare të përputhjes</w:t>
            </w:r>
          </w:p>
        </w:tc>
      </w:tr>
    </w:tbl>
    <w:p w14:paraId="60113DF8"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p>
    <w:p w14:paraId="10833BC6"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r w:rsidRPr="00622884">
        <w:rPr>
          <w:rFonts w:ascii="Garamond" w:eastAsia="Calibri" w:hAnsi="Garamond" w:cs="Times New Roman"/>
          <w:sz w:val="24"/>
          <w:szCs w:val="24"/>
          <w:lang w:eastAsia="en-US"/>
        </w:rPr>
        <w:t xml:space="preserve">Strategjia e Financimit të NAP-it shënon hap vendimtar drejt krijimit të një të ardhmeje me aftësi ripërtëritëse ndaj klimës, duke ofruar një plan të qartë për të mobilizuar miliardat e nevojshme për përshtatje, duke kombinuar burimet ndërkombëtare, vendase dhe private përmes mjeteve praktike dhe novatore të financimit. Strategjia përputhet me objektivat e integrimit në BE dhe praktikat më të mira ndërkombëtare, duke theksuar partneritete të forta midis qeverisë, </w:t>
      </w:r>
      <w:r w:rsidRPr="00622884">
        <w:rPr>
          <w:rFonts w:ascii="Garamond" w:eastAsia="Calibri" w:hAnsi="Garamond" w:cs="Times New Roman"/>
          <w:sz w:val="24"/>
          <w:szCs w:val="24"/>
          <w:lang w:eastAsia="en-US"/>
        </w:rPr>
        <w:lastRenderedPageBreak/>
        <w:t>partnerëve të zhvillimit, sektorit privat dhe shoqërisë civile. Suksesi do të varet nga angazhimi i qëndrueshëm politik, koordinimi efektiv dhe ngritja e vazhdueshme e kapaciteteve. Teksa sfidat vijojnë, si për shembull, sigurimi i investimeve private, përmbushja e kritereve të donatorëve dhe forcimi i përdorimit efektiv të fondeve, përfitimet e përshtatjes së hershme dhe proaktive i tejkalojnë kostot e mosveprimit. Duke e përkthyer këtë strategji në investime konkrete në infrastrukturë me aftësi ripërtëritëse, bujqësi inteligjente ndaj klimës dhe mbrojtje të ekosistemit, Shqipëria mund të mbrojë ekonominë dhe komunitetet e saj, duke zbuluar njëkohësisht mundësi të reja për rritje të qëndrueshme. Me zbatimin në proces, përfshirë propozimin e FGJK-së dhe etiketimin e buxhetit për klimën deri në vitin 2025, Shqipëria është e gatshme të bëhet model rajonal për financimin për aftësitë ripërtëritëse ndaj klimës përmes largpamësisë, bashkëpunimit dhe veprimit.</w:t>
      </w:r>
    </w:p>
    <w:p w14:paraId="1598C4E4" w14:textId="77777777" w:rsidR="00622884" w:rsidRPr="00622884" w:rsidRDefault="00622884" w:rsidP="00622884">
      <w:pPr>
        <w:keepNext/>
        <w:keepLines/>
        <w:spacing w:after="0" w:line="240" w:lineRule="auto"/>
        <w:ind w:firstLine="284"/>
        <w:outlineLvl w:val="0"/>
        <w:rPr>
          <w:rFonts w:ascii="Garamond" w:eastAsia="Times New Roman" w:hAnsi="Garamond" w:cs="Averta ExtraBold"/>
          <w:bCs/>
          <w:kern w:val="2"/>
          <w:sz w:val="24"/>
          <w:szCs w:val="24"/>
          <w:lang w:eastAsia="en-US"/>
        </w:rPr>
      </w:pPr>
      <w:bookmarkStart w:id="307" w:name="_Toc213936257"/>
      <w:bookmarkStart w:id="308" w:name="_Hlk232419923"/>
      <w:r w:rsidRPr="00622884">
        <w:rPr>
          <w:rFonts w:ascii="Garamond" w:eastAsia="Yu Gothic Light" w:hAnsi="Garamond" w:cs="Averta ExtraBold"/>
          <w:bCs/>
          <w:kern w:val="2"/>
          <w:sz w:val="24"/>
          <w:szCs w:val="24"/>
          <w:lang w:eastAsia="en-US" w:bidi="sq-AL"/>
        </w:rPr>
        <w:t>10. MONITORIMI, VLERËSIMI DHE TË NXËNIT</w:t>
      </w:r>
      <w:bookmarkEnd w:id="307"/>
      <w:r w:rsidRPr="00622884">
        <w:rPr>
          <w:rFonts w:ascii="Garamond" w:eastAsia="Yu Gothic Light" w:hAnsi="Garamond" w:cs="Averta ExtraBold"/>
          <w:bCs/>
          <w:kern w:val="2"/>
          <w:sz w:val="24"/>
          <w:szCs w:val="24"/>
          <w:lang w:eastAsia="en-US" w:bidi="sq-AL"/>
        </w:rPr>
        <w:t xml:space="preserve"> </w:t>
      </w:r>
    </w:p>
    <w:p w14:paraId="20C62DE1" w14:textId="77777777" w:rsidR="00622884" w:rsidRPr="00622884" w:rsidRDefault="00622884" w:rsidP="00622884">
      <w:pPr>
        <w:spacing w:after="0" w:line="240" w:lineRule="auto"/>
        <w:ind w:firstLine="284"/>
        <w:rPr>
          <w:rFonts w:ascii="Garamond" w:eastAsia="SimSun" w:hAnsi="Garamond" w:cs="Calibri Light"/>
          <w:sz w:val="24"/>
          <w:szCs w:val="24"/>
          <w:lang w:eastAsia="en-US"/>
        </w:rPr>
      </w:pPr>
      <w:r w:rsidRPr="00622884">
        <w:rPr>
          <w:rFonts w:ascii="Garamond" w:eastAsia="Times New Roman" w:hAnsi="Garamond" w:cs="Times New Roman"/>
          <w:sz w:val="24"/>
          <w:szCs w:val="24"/>
          <w:lang w:eastAsia="en-GB" w:bidi="sq-AL"/>
        </w:rPr>
        <w:t xml:space="preserve">Zbatimi efektiv i Planit Kombëtar të Përshtatjes të Shqipërisë kërkon një sistem për të ndjekur progresin, për të vlerësuar efektivitetin dhe për të nxitur të nxënit e vazhdueshëm. Për këtë qëllim, u hartua një dokument kuadër i brendshëm i </w:t>
      </w:r>
      <w:r w:rsidRPr="00622884">
        <w:rPr>
          <w:rFonts w:ascii="Garamond" w:eastAsia="Times New Roman" w:hAnsi="Garamond" w:cs="Times New Roman"/>
          <w:b/>
          <w:sz w:val="24"/>
          <w:szCs w:val="24"/>
          <w:lang w:eastAsia="en-GB" w:bidi="sq-AL"/>
        </w:rPr>
        <w:t>monitorimit, vlerësimit dhe të nxënit (MVN)</w:t>
      </w:r>
      <w:r w:rsidRPr="00622884">
        <w:rPr>
          <w:rFonts w:ascii="Garamond" w:eastAsia="Times New Roman" w:hAnsi="Garamond" w:cs="Times New Roman"/>
          <w:sz w:val="24"/>
          <w:szCs w:val="24"/>
          <w:lang w:eastAsia="en-GB" w:bidi="sq-AL"/>
        </w:rPr>
        <w:t xml:space="preserve"> për të vënë në funksion një sistem gjithëpërfshirës dhe të integruar në përputhje me kuadrin ligjor dhe politik të Shqipërisë dhe të udhëhequr nga dispozitat e Vendimit të Këshillit të Ministrave (VKM) nr. 889/2022.</w:t>
      </w:r>
    </w:p>
    <w:p w14:paraId="6DDADC6A" w14:textId="77777777" w:rsidR="00622884" w:rsidRPr="00622884" w:rsidRDefault="00622884" w:rsidP="00622884">
      <w:pPr>
        <w:spacing w:after="0" w:line="240" w:lineRule="auto"/>
        <w:ind w:firstLine="284"/>
        <w:rPr>
          <w:rFonts w:ascii="Garamond" w:eastAsia="SimSun" w:hAnsi="Garamond" w:cs="Calibri Light"/>
          <w:sz w:val="24"/>
          <w:szCs w:val="24"/>
          <w:lang w:eastAsia="en-US"/>
        </w:rPr>
      </w:pPr>
      <w:r w:rsidRPr="00622884">
        <w:rPr>
          <w:rFonts w:ascii="Garamond" w:eastAsia="SimSun" w:hAnsi="Garamond" w:cs="Calibri Light"/>
          <w:sz w:val="24"/>
          <w:szCs w:val="24"/>
          <w:lang w:eastAsia="en-US" w:bidi="sq-AL"/>
        </w:rPr>
        <w:t xml:space="preserve">Në këtë kuadër, vendimi i Këshillit të Ministrave nr. 889/2022 përcakton zyrtarisht kuadrin e Shqipërisë për monitorimin dhe raportimin për klimën, duke përcaktuar themelet institucionale dhe procedurale për funksionalizimin e sistemit MVN. Ai specifikon se: </w:t>
      </w:r>
    </w:p>
    <w:p w14:paraId="0046B9E2"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r w:rsidRPr="00622884">
        <w:rPr>
          <w:rFonts w:ascii="Garamond" w:eastAsia="Calibri" w:hAnsi="Garamond" w:cs="Times New Roman"/>
          <w:sz w:val="24"/>
          <w:szCs w:val="24"/>
          <w:lang w:eastAsia="en-US" w:bidi="sq-AL"/>
        </w:rPr>
        <w:t>1. Monitorimi i masave kombëtare të përshtatjes përfshin mbledhjen sistematike të informacionit nga institucionet përgjegjëse për të gjurmuar ecurinë e veprimeve të përshtatjes dhe arritjen e objektivave të përshtatjes të përcaktuara në NAP.</w:t>
      </w:r>
    </w:p>
    <w:p w14:paraId="3455D1D1"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r w:rsidRPr="00622884">
        <w:rPr>
          <w:rFonts w:ascii="Garamond" w:eastAsia="Calibri" w:hAnsi="Garamond" w:cs="Times New Roman"/>
          <w:sz w:val="24"/>
          <w:szCs w:val="24"/>
          <w:lang w:eastAsia="en-US" w:bidi="sq-AL"/>
        </w:rPr>
        <w:t>2. Monitorimi përfshin mbledhjen e të dhënave nga institucionet që operojnë në sektorët e prekur nga ndryshimet klimatike, duke përfshirë ujin, bujqësinë, turizmin, biodiversitetin, pylltarinë, energjinë, transportin, infrastrukturën dhe zhvillimin urban.</w:t>
      </w:r>
    </w:p>
    <w:p w14:paraId="5B5F1A0A"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r w:rsidRPr="00622884">
        <w:rPr>
          <w:rFonts w:ascii="Garamond" w:eastAsia="Calibri" w:hAnsi="Garamond" w:cs="Times New Roman"/>
          <w:sz w:val="24"/>
          <w:szCs w:val="24"/>
          <w:lang w:eastAsia="en-US" w:bidi="sq-AL"/>
        </w:rPr>
        <w:t>3. Vlerësimi i veprimeve të përshtatjes përqendrohet në përcaktimin e efektivitetit, ndikimit, efikasitetit dhe qëndrueshmërisë së tyre, si dhe në masën në të cilën janë arritur objektivat specifikë të përshtatjes.</w:t>
      </w:r>
    </w:p>
    <w:p w14:paraId="6A76D50F" w14:textId="77777777" w:rsidR="00622884" w:rsidRPr="00622884" w:rsidRDefault="00622884" w:rsidP="00622884">
      <w:pPr>
        <w:spacing w:after="0" w:line="240" w:lineRule="auto"/>
        <w:ind w:firstLine="284"/>
        <w:rPr>
          <w:rFonts w:ascii="Garamond" w:eastAsia="SimSun" w:hAnsi="Garamond" w:cs="Calibri Light"/>
          <w:sz w:val="24"/>
          <w:szCs w:val="24"/>
          <w:lang w:eastAsia="en-US"/>
        </w:rPr>
      </w:pPr>
      <w:r w:rsidRPr="00622884">
        <w:rPr>
          <w:rFonts w:ascii="Garamond" w:eastAsia="SimSun" w:hAnsi="Garamond" w:cs="Calibri Light"/>
          <w:sz w:val="24"/>
          <w:szCs w:val="24"/>
          <w:lang w:eastAsia="en-US" w:bidi="sq-AL"/>
        </w:rPr>
        <w:t xml:space="preserve">Gjithashtu, VKM-ja nr. 889/2022, urdhëron një qasje të strukturuar për mbledhjen dhe raportimin e të dhënave. Ministria e Mjedisit do të jetë organi qendror për koordinimin e Monitorimit dhe Vlerësimit, mbikëqyrjen e të dhënave dhe raportimin te strukturat kombëtare dhe ndërkombëtare (p.sh.: UNFCCC-ja, BE-ja. Ministritë e linjës dhe Njësitë e Qeverisjes Vendore (NJQV) duhet t’i vënë në dispozicion Agjencisë Kombëtare të Mjedisit (AKM) të dhëna mbi masat e përshtatjes çdo vit (deri më 31 mars), duke ndjekur formatet e VKM-së. Pikat e Fokale Sektoriale nga ministritë përkatëse të sektorit, në bashkëpunim me njësitë e tyre përkatëse statistikore, mbledhin dhe raportojnë të dhëna monitorimi specifike për sektorin në MM/AKM, bazuar në rolet dhe përgjegjësitë e tyre. Pastaj AKM-ja verifikon dhe përpunon raportet dhe të dhënat e marra sipas metodologjisë së MV-së të miratuar nga ministri. </w:t>
      </w:r>
    </w:p>
    <w:p w14:paraId="6BD8A213" w14:textId="77777777" w:rsidR="00622884" w:rsidRPr="00622884" w:rsidRDefault="00622884" w:rsidP="00622884">
      <w:pPr>
        <w:spacing w:after="0" w:line="240" w:lineRule="auto"/>
        <w:ind w:firstLine="284"/>
        <w:rPr>
          <w:rFonts w:ascii="Garamond" w:eastAsia="SimSun" w:hAnsi="Garamond" w:cs="Calibri Light"/>
          <w:sz w:val="24"/>
          <w:szCs w:val="24"/>
          <w:lang w:eastAsia="en-US"/>
        </w:rPr>
      </w:pPr>
      <w:r w:rsidRPr="00622884">
        <w:rPr>
          <w:rFonts w:ascii="Garamond" w:eastAsia="SimSun" w:hAnsi="Garamond" w:cs="Calibri Light"/>
          <w:sz w:val="24"/>
          <w:szCs w:val="24"/>
          <w:lang w:eastAsia="en-US" w:bidi="sq-AL"/>
        </w:rPr>
        <w:t>Instituti i Gjeoshkencave (IGJEUM) dhe institucione të tjera kërkimore sigurojnë informacione të lidhura me klimën, zhvillojnë studime dhe mbështesin zhvillimin e metodologjive dhe instrumenteve teknike në sistemin MRV (Matja, Raportimi dhe Verifikimi) për ndryshimin e klimës. Instituti i Statistikave (INSTAT) siguron të dhëna socio-ekonomike mbi popullsinë dhe të dhëna të tjera përkatëse. Edhe sektori privat mund të paraqesë të dhëna dhe të kontribuojë në MV nëpërmjet angazhimit në nismat e përshtatjes. GPPNK në kuadër të GNPNK koordinon mbledhjen, shqyrtimin dhe dorëzimin e këtyre raporteve. Po ashtu, sistemi i MV i NAP-it mbështet përputhshmërinë e Shqipërisë me detyrimet e saj ndërkombëtare dhe rajonale të raportimit, p.sh. ndaj UNFCCC-së (veçanërisht raportet dyvjeçare të transparencës, komunikimet e përshtatjes dhe komunikimet kombëtare), si dhe ndaj Sekretariatit të Komunitetit të Energjisë.</w:t>
      </w:r>
    </w:p>
    <w:p w14:paraId="70CE95E1" w14:textId="77777777" w:rsidR="00622884" w:rsidRPr="00622884" w:rsidRDefault="00622884" w:rsidP="00622884">
      <w:pPr>
        <w:spacing w:after="0" w:line="240" w:lineRule="auto"/>
        <w:ind w:firstLine="284"/>
        <w:rPr>
          <w:rFonts w:ascii="Garamond" w:eastAsia="SimSun" w:hAnsi="Garamond" w:cs="Calibri Light"/>
          <w:sz w:val="24"/>
          <w:szCs w:val="24"/>
          <w:lang w:eastAsia="en-US"/>
        </w:rPr>
      </w:pPr>
      <w:r w:rsidRPr="00622884">
        <w:rPr>
          <w:rFonts w:ascii="Garamond" w:eastAsia="SimSun" w:hAnsi="Garamond" w:cs="Calibri Light"/>
          <w:sz w:val="24"/>
          <w:szCs w:val="24"/>
          <w:lang w:eastAsia="en-US" w:bidi="sq-AL"/>
        </w:rPr>
        <w:lastRenderedPageBreak/>
        <w:t xml:space="preserve">Në vijim të VKM-së dhe konsideratave të mësipërme, ky kuadër i Monitorimit, Vlerësimit dhe të Nxënit (MVN) është zhvilluar përmes një procesi më të gjerë konsultimi. Zbatimi i sistemit MVN në NAP do të: </w:t>
      </w:r>
    </w:p>
    <w:p w14:paraId="4058D6FE"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r w:rsidRPr="00622884">
        <w:rPr>
          <w:rFonts w:ascii="Garamond" w:eastAsia="Calibri" w:hAnsi="Garamond" w:cs="Times New Roman"/>
          <w:sz w:val="24"/>
          <w:szCs w:val="24"/>
          <w:lang w:eastAsia="en-US" w:bidi="sq-AL"/>
        </w:rPr>
        <w:t xml:space="preserve">- Mbështesë transparencën dhe llogaridhënien përmes ndarjes së rezultateve me palët e interesit dhe publikun, duke rritur ndërgjegjësimin dhe njohuritë. </w:t>
      </w:r>
    </w:p>
    <w:p w14:paraId="2B3CAAA9"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r w:rsidRPr="00622884">
        <w:rPr>
          <w:rFonts w:ascii="Garamond" w:eastAsia="Calibri" w:hAnsi="Garamond" w:cs="Times New Roman"/>
          <w:sz w:val="24"/>
          <w:szCs w:val="24"/>
          <w:lang w:eastAsia="en-US" w:bidi="sq-AL"/>
        </w:rPr>
        <w:t>- Garantojë ndjekjen gjithëpërfshirëse të progresit, duke trajtuar kështu nevojat e grupeve të ndryshme të popullsisë dhe rajoneve të ndryshme.</w:t>
      </w:r>
    </w:p>
    <w:p w14:paraId="516BEDCF"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r w:rsidRPr="00622884">
        <w:rPr>
          <w:rFonts w:ascii="Garamond" w:eastAsia="Calibri" w:hAnsi="Garamond" w:cs="Times New Roman"/>
          <w:sz w:val="24"/>
          <w:szCs w:val="24"/>
          <w:lang w:eastAsia="en-US" w:bidi="sq-AL"/>
        </w:rPr>
        <w:t xml:space="preserve">- Promovojë bashkëpunimin, koordinimin dhe ndarjen e njohurive ndërsektoriale. </w:t>
      </w:r>
    </w:p>
    <w:p w14:paraId="348F04ED"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r w:rsidRPr="00622884">
        <w:rPr>
          <w:rFonts w:ascii="Garamond" w:eastAsia="Calibri" w:hAnsi="Garamond" w:cs="Times New Roman"/>
          <w:sz w:val="24"/>
          <w:szCs w:val="24"/>
          <w:lang w:eastAsia="en-US" w:bidi="sq-AL"/>
        </w:rPr>
        <w:t>- Përmirësojë eficiencën e burimeve duke përdorur të dhënat dhe instrumentet ekzistuese, si dhe duke forcuar argumentin për përshkallëzimin e qasjeve të suksesshme.</w:t>
      </w:r>
    </w:p>
    <w:p w14:paraId="6DBCD30F"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r w:rsidRPr="00622884">
        <w:rPr>
          <w:rFonts w:ascii="Garamond" w:eastAsia="Calibri" w:hAnsi="Garamond" w:cs="Times New Roman"/>
          <w:sz w:val="24"/>
          <w:szCs w:val="24"/>
          <w:lang w:eastAsia="en-US" w:bidi="sq-AL"/>
        </w:rPr>
        <w:t>- Nxisë të nxënit.</w:t>
      </w:r>
    </w:p>
    <w:p w14:paraId="7FF9D3EA"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zh-CN"/>
        </w:rPr>
      </w:pPr>
      <w:r w:rsidRPr="00622884">
        <w:rPr>
          <w:rFonts w:ascii="Garamond" w:eastAsia="Calibri" w:hAnsi="Garamond" w:cs="Times New Roman"/>
          <w:sz w:val="24"/>
          <w:szCs w:val="24"/>
          <w:lang w:eastAsia="en-US" w:bidi="sq-AL"/>
        </w:rPr>
        <w:t xml:space="preserve">- Kontribuojë në përmbushjen e detyrimeve të Shqipërisë sipas kornizave të BE-së dhe atyre ndërkombëtare. </w:t>
      </w:r>
    </w:p>
    <w:p w14:paraId="2E43C6BF" w14:textId="77777777" w:rsidR="00622884" w:rsidRPr="00622884" w:rsidRDefault="00622884" w:rsidP="00622884">
      <w:pPr>
        <w:keepNext/>
        <w:keepLines/>
        <w:spacing w:after="0" w:line="240" w:lineRule="auto"/>
        <w:ind w:firstLine="284"/>
        <w:outlineLvl w:val="1"/>
        <w:rPr>
          <w:rFonts w:ascii="Garamond" w:eastAsia="MS Mincho" w:hAnsi="Garamond" w:cs="Times New Roman"/>
          <w:b/>
          <w:bCs/>
          <w:caps/>
          <w:sz w:val="24"/>
          <w:szCs w:val="24"/>
          <w:lang w:eastAsia="es-ES"/>
        </w:rPr>
      </w:pPr>
      <w:bookmarkStart w:id="309" w:name="_Toc213936258"/>
      <w:r w:rsidRPr="00622884">
        <w:rPr>
          <w:rFonts w:ascii="Garamond" w:eastAsia="MS Mincho" w:hAnsi="Garamond" w:cs="Times New Roman"/>
          <w:b/>
          <w:bCs/>
          <w:caps/>
          <w:sz w:val="24"/>
          <w:szCs w:val="24"/>
          <w:lang w:eastAsia="es-ES" w:bidi="sq-AL"/>
        </w:rPr>
        <w:t xml:space="preserve">10.1 </w:t>
      </w:r>
      <w:r w:rsidRPr="00622884">
        <w:rPr>
          <w:rFonts w:ascii="Garamond" w:eastAsia="MS Mincho" w:hAnsi="Garamond" w:cs="Times New Roman"/>
          <w:b/>
          <w:bCs/>
          <w:sz w:val="24"/>
          <w:szCs w:val="24"/>
          <w:lang w:eastAsia="es-ES" w:bidi="sq-AL"/>
        </w:rPr>
        <w:t>Kuadri i rezultateve</w:t>
      </w:r>
      <w:bookmarkEnd w:id="309"/>
    </w:p>
    <w:p w14:paraId="792C6846" w14:textId="77777777" w:rsidR="00622884" w:rsidRPr="00622884" w:rsidRDefault="00622884" w:rsidP="00622884">
      <w:pPr>
        <w:spacing w:after="0" w:line="240" w:lineRule="auto"/>
        <w:ind w:firstLine="284"/>
        <w:rPr>
          <w:rFonts w:ascii="Garamond" w:eastAsia="SimSun" w:hAnsi="Garamond" w:cs="Calibri Light"/>
          <w:sz w:val="24"/>
          <w:szCs w:val="24"/>
          <w:lang w:eastAsia="en-US" w:bidi="sq-AL"/>
        </w:rPr>
      </w:pPr>
      <w:r w:rsidRPr="00622884">
        <w:rPr>
          <w:rFonts w:ascii="Garamond" w:eastAsia="SimSun" w:hAnsi="Garamond" w:cs="Calibri Light"/>
          <w:sz w:val="24"/>
          <w:szCs w:val="24"/>
          <w:lang w:eastAsia="en-US" w:bidi="sq-AL"/>
        </w:rPr>
        <w:t xml:space="preserve">Kuadri i zhvilluar nga MVN e NAP-it përbëhet nga Kuadri i rezultateve, i cili paraqet se si masat e NAP-it do t’i bëjnë sektorët prioritarë më të qëndrueshëm dhe me aftësi ripërtëritëse, të mbështetur nga zbatimi i masave ndërsektoriale që do të forcojnë kapacitetin përshtatës në të gjithë këta sektorë. Kjo, në fund, do të çojë drejt përmbushjes së objektivit të NAP-it, që është: “Shqipëria e aftë të përshtatet ndaj ndryshimeve klimatike përmes reduktimit të cenueshmërisë, rritjes së qëndrueshmërisë dhe forcimit të kapacitetit përshtatës”, në përputhje me objektivat kryesore të UNFCCC, Objektivin Global për Përshtatjen (OGP) dhe Strategjinë Evropiane për Përshtatjen ndaj Klimës. Kjo, me kalimin e kohës, duhet të çojë drejt Objektivit Kombëtar të Përshtatjes, që është: “Një Shqipëri me aftësi ripërtëritëse e përshtatur ndaj ndryshimeve klimatike”, që do të mbështesë vizionin e përgjithshëm e: “Një Shqipërie dinamike, të sigurt, të begatë dhe të qëndrueshme, që është e lidhur ngushtë me Evropën”, siç është përshtatur nga SKZHIE. Shikoni </w:t>
      </w:r>
      <w:r w:rsidRPr="00622884">
        <w:rPr>
          <w:rFonts w:ascii="Garamond" w:eastAsia="SimSun" w:hAnsi="Garamond" w:cs="Calibri Light"/>
          <w:sz w:val="24"/>
          <w:szCs w:val="24"/>
          <w:highlight w:val="yellow"/>
          <w:lang w:eastAsia="en-US" w:bidi="sq-AL"/>
        </w:rPr>
        <w:fldChar w:fldCharType="begin"/>
      </w:r>
      <w:r w:rsidRPr="00622884">
        <w:rPr>
          <w:rFonts w:ascii="Garamond" w:eastAsia="SimSun" w:hAnsi="Garamond" w:cs="Calibri Light"/>
          <w:sz w:val="24"/>
          <w:szCs w:val="24"/>
          <w:lang w:eastAsia="en-US" w:bidi="sq-AL"/>
        </w:rPr>
        <w:instrText xml:space="preserve"> REF _Ref209094696 \h </w:instrText>
      </w:r>
      <w:r w:rsidRPr="00622884">
        <w:rPr>
          <w:rFonts w:ascii="Garamond" w:eastAsia="SimSun" w:hAnsi="Garamond" w:cs="Calibri Light"/>
          <w:sz w:val="24"/>
          <w:szCs w:val="24"/>
          <w:highlight w:val="yellow"/>
          <w:lang w:eastAsia="en-US" w:bidi="sq-AL"/>
        </w:rPr>
        <w:instrText xml:space="preserve"> \* MERGEFORMAT </w:instrText>
      </w:r>
      <w:r w:rsidRPr="00622884">
        <w:rPr>
          <w:rFonts w:ascii="Garamond" w:eastAsia="SimSun" w:hAnsi="Garamond" w:cs="Calibri Light"/>
          <w:sz w:val="24"/>
          <w:szCs w:val="24"/>
          <w:highlight w:val="yellow"/>
          <w:lang w:eastAsia="en-US" w:bidi="sq-AL"/>
        </w:rPr>
      </w:r>
      <w:r w:rsidRPr="00622884">
        <w:rPr>
          <w:rFonts w:ascii="Garamond" w:eastAsia="SimSun" w:hAnsi="Garamond" w:cs="Calibri Light"/>
          <w:sz w:val="24"/>
          <w:szCs w:val="24"/>
          <w:highlight w:val="yellow"/>
          <w:lang w:eastAsia="en-US" w:bidi="sq-AL"/>
        </w:rPr>
        <w:fldChar w:fldCharType="separate"/>
      </w:r>
      <w:r w:rsidRPr="00622884">
        <w:rPr>
          <w:rFonts w:ascii="Garamond" w:eastAsia="SimSun" w:hAnsi="Garamond" w:cs="Calibri Light"/>
          <w:color w:val="1D3C5A"/>
          <w:sz w:val="24"/>
          <w:szCs w:val="24"/>
          <w:lang w:eastAsia="en-US" w:bidi="sq-AL"/>
        </w:rPr>
        <w:t xml:space="preserve"> figurën </w:t>
      </w:r>
      <w:r w:rsidRPr="00622884">
        <w:rPr>
          <w:rFonts w:ascii="Garamond" w:eastAsia="SimSun" w:hAnsi="Garamond" w:cs="Calibri Light"/>
          <w:sz w:val="24"/>
          <w:szCs w:val="24"/>
          <w:lang w:eastAsia="en-US" w:bidi="sq-AL"/>
        </w:rPr>
        <w:t>21</w:t>
      </w:r>
      <w:r w:rsidRPr="00622884">
        <w:rPr>
          <w:rFonts w:ascii="Garamond" w:eastAsia="SimSun" w:hAnsi="Garamond" w:cs="Calibri Light"/>
          <w:sz w:val="24"/>
          <w:szCs w:val="24"/>
          <w:highlight w:val="yellow"/>
          <w:lang w:eastAsia="en-US" w:bidi="sq-AL"/>
        </w:rPr>
        <w:fldChar w:fldCharType="end"/>
      </w:r>
      <w:r w:rsidRPr="00622884">
        <w:rPr>
          <w:rFonts w:ascii="Garamond" w:eastAsia="SimSun" w:hAnsi="Garamond" w:cs="Calibri Light"/>
          <w:sz w:val="24"/>
          <w:szCs w:val="24"/>
          <w:lang w:eastAsia="en-US" w:bidi="sq-AL"/>
        </w:rPr>
        <w:t>, më poshtë:</w:t>
      </w:r>
    </w:p>
    <w:p w14:paraId="37A92BEF" w14:textId="77777777" w:rsidR="00622884" w:rsidRPr="00622884" w:rsidRDefault="00622884" w:rsidP="00622884">
      <w:pPr>
        <w:keepNext/>
        <w:spacing w:after="0" w:line="240" w:lineRule="auto"/>
        <w:ind w:firstLine="113"/>
        <w:jc w:val="center"/>
        <w:rPr>
          <w:rFonts w:ascii="Garamond" w:eastAsia="Calibri" w:hAnsi="Garamond" w:cs="Calibri Light"/>
          <w:sz w:val="24"/>
          <w:szCs w:val="24"/>
          <w:lang w:eastAsia="en-US"/>
        </w:rPr>
      </w:pPr>
      <w:r w:rsidRPr="00622884">
        <w:rPr>
          <w:rFonts w:ascii="Garamond" w:eastAsia="Calibri" w:hAnsi="Garamond" w:cs="Times New Roman"/>
          <w:noProof/>
          <w:sz w:val="24"/>
          <w:szCs w:val="24"/>
          <w:lang w:eastAsia="sq-AL"/>
        </w:rPr>
        <w:drawing>
          <wp:inline distT="0" distB="0" distL="0" distR="0" wp14:anchorId="3F2CAB2C" wp14:editId="2FAF82BD">
            <wp:extent cx="5217458" cy="2105660"/>
            <wp:effectExtent l="19050" t="19050" r="21590" b="27940"/>
            <wp:docPr id="41" name="Picture 41" descr="Afbeelding met tekst, Lettertype, schermopname, Parallel&#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descr="Afbeelding met tekst, Lettertype, schermopname, Parallel&#10;&#10;Door AI gegenereerde inhoud is mogelijk onjuist."/>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5254973" cy="2120800"/>
                    </a:xfrm>
                    <a:prstGeom prst="rect">
                      <a:avLst/>
                    </a:prstGeom>
                    <a:noFill/>
                    <a:ln w="9525" cmpd="sng">
                      <a:solidFill>
                        <a:srgbClr val="156082"/>
                      </a:solidFill>
                      <a:miter lim="800000"/>
                      <a:headEnd/>
                      <a:tailEnd/>
                    </a:ln>
                    <a:effectLst/>
                  </pic:spPr>
                </pic:pic>
              </a:graphicData>
            </a:graphic>
          </wp:inline>
        </w:drawing>
      </w:r>
    </w:p>
    <w:p w14:paraId="700735E1" w14:textId="77777777" w:rsidR="00622884" w:rsidRPr="00622884" w:rsidRDefault="00622884" w:rsidP="00622884">
      <w:pPr>
        <w:spacing w:after="0" w:line="240" w:lineRule="auto"/>
        <w:ind w:firstLine="113"/>
        <w:jc w:val="center"/>
        <w:rPr>
          <w:rFonts w:ascii="Garamond" w:eastAsia="SimSun" w:hAnsi="Garamond" w:cs="Calibri Light"/>
          <w:i/>
          <w:sz w:val="20"/>
          <w:szCs w:val="20"/>
          <w:lang w:eastAsia="en-US" w:bidi="sq-AL"/>
        </w:rPr>
      </w:pPr>
      <w:r w:rsidRPr="00622884">
        <w:rPr>
          <w:rFonts w:ascii="Garamond" w:eastAsia="SimSun" w:hAnsi="Garamond" w:cs="Calibri Light"/>
          <w:i/>
          <w:sz w:val="20"/>
          <w:szCs w:val="20"/>
          <w:lang w:eastAsia="en-US" w:bidi="sq-AL"/>
        </w:rPr>
        <w:t>Figura 21: Kuadri i rezultateve të NAP-it.</w:t>
      </w:r>
    </w:p>
    <w:p w14:paraId="5FAAF292" w14:textId="77777777" w:rsidR="00622884" w:rsidRPr="00622884" w:rsidRDefault="00622884" w:rsidP="00622884">
      <w:pPr>
        <w:spacing w:after="0" w:line="240" w:lineRule="auto"/>
        <w:ind w:firstLine="113"/>
        <w:rPr>
          <w:rFonts w:ascii="Garamond" w:eastAsia="SimSun" w:hAnsi="Garamond" w:cs="Calibri Light"/>
          <w:sz w:val="2"/>
          <w:szCs w:val="24"/>
          <w:lang w:eastAsia="en-US" w:bidi="sq-AL"/>
        </w:rPr>
      </w:pPr>
    </w:p>
    <w:p w14:paraId="3C28B25E"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r w:rsidRPr="00622884">
        <w:rPr>
          <w:rFonts w:ascii="Garamond" w:eastAsia="Calibri" w:hAnsi="Garamond" w:cs="Times New Roman"/>
          <w:sz w:val="24"/>
          <w:szCs w:val="24"/>
          <w:lang w:eastAsia="en-US" w:bidi="sq-AL"/>
        </w:rPr>
        <w:t xml:space="preserve">Kuadri i rezultateve i mësipërm i referohet masave të zbatimit të NAP-it, të përmendura në </w:t>
      </w:r>
      <w:r w:rsidRPr="00622884">
        <w:rPr>
          <w:rFonts w:ascii="Garamond" w:eastAsia="Calibri" w:hAnsi="Garamond" w:cs="Times New Roman"/>
          <w:sz w:val="24"/>
          <w:szCs w:val="24"/>
          <w:lang w:eastAsia="en-US" w:bidi="sq-AL"/>
        </w:rPr>
        <w:fldChar w:fldCharType="begin"/>
      </w:r>
      <w:r w:rsidRPr="00622884">
        <w:rPr>
          <w:rFonts w:ascii="Garamond" w:eastAsia="Calibri" w:hAnsi="Garamond" w:cs="Times New Roman"/>
          <w:sz w:val="24"/>
          <w:szCs w:val="24"/>
          <w:lang w:eastAsia="en-US" w:bidi="sq-AL"/>
        </w:rPr>
        <w:instrText xml:space="preserve"> REF _Ref210993998  \* MERGEFORMAT </w:instrText>
      </w:r>
      <w:r w:rsidRPr="00622884">
        <w:rPr>
          <w:rFonts w:ascii="Garamond" w:eastAsia="Calibri" w:hAnsi="Garamond" w:cs="Times New Roman"/>
          <w:sz w:val="24"/>
          <w:szCs w:val="24"/>
          <w:lang w:eastAsia="en-US" w:bidi="sq-AL"/>
        </w:rPr>
        <w:fldChar w:fldCharType="separate"/>
      </w:r>
      <w:r w:rsidRPr="00622884">
        <w:rPr>
          <w:rFonts w:ascii="Garamond" w:eastAsia="Calibri" w:hAnsi="Garamond" w:cs="Times New Roman"/>
          <w:sz w:val="24"/>
          <w:szCs w:val="24"/>
          <w:lang w:eastAsia="en-US" w:bidi="sq-AL"/>
        </w:rPr>
        <w:t>tabelën 10</w:t>
      </w:r>
      <w:r w:rsidRPr="00622884">
        <w:rPr>
          <w:rFonts w:ascii="Garamond" w:eastAsia="Calibri" w:hAnsi="Garamond" w:cs="Times New Roman"/>
          <w:sz w:val="24"/>
          <w:szCs w:val="24"/>
          <w:lang w:eastAsia="en-US" w:bidi="sq-AL"/>
        </w:rPr>
        <w:fldChar w:fldCharType="end"/>
      </w:r>
      <w:r w:rsidRPr="00622884">
        <w:rPr>
          <w:rFonts w:ascii="Garamond" w:eastAsia="Calibri" w:hAnsi="Garamond" w:cs="Times New Roman"/>
          <w:sz w:val="24"/>
          <w:szCs w:val="24"/>
          <w:lang w:eastAsia="en-US" w:bidi="sq-AL"/>
        </w:rPr>
        <w:t xml:space="preserve"> në dhe të detajuara më tej në </w:t>
      </w:r>
      <w:r w:rsidRPr="00622884">
        <w:rPr>
          <w:rFonts w:ascii="Garamond" w:eastAsia="Calibri" w:hAnsi="Garamond" w:cs="Times New Roman"/>
          <w:b/>
          <w:sz w:val="24"/>
          <w:szCs w:val="24"/>
          <w:lang w:eastAsia="en-US" w:bidi="sq-AL"/>
        </w:rPr>
        <w:t>aneksin</w:t>
      </w:r>
      <w:r w:rsidRPr="00622884">
        <w:rPr>
          <w:rFonts w:ascii="Garamond" w:eastAsia="Calibri" w:hAnsi="Garamond" w:cs="Times New Roman"/>
          <w:sz w:val="24"/>
          <w:szCs w:val="24"/>
          <w:lang w:eastAsia="en-US" w:bidi="sq-AL"/>
        </w:rPr>
        <w:t xml:space="preserve"> </w:t>
      </w:r>
      <w:r w:rsidRPr="00622884">
        <w:rPr>
          <w:rFonts w:ascii="Garamond" w:eastAsia="Calibri" w:hAnsi="Garamond" w:cs="Times New Roman"/>
          <w:b/>
          <w:sz w:val="24"/>
          <w:szCs w:val="24"/>
          <w:lang w:eastAsia="en-US" w:bidi="sq-AL"/>
        </w:rPr>
        <w:t xml:space="preserve">III, </w:t>
      </w:r>
      <w:r w:rsidRPr="00622884">
        <w:rPr>
          <w:rFonts w:ascii="Garamond" w:eastAsia="Calibri" w:hAnsi="Garamond" w:cs="Times New Roman"/>
          <w:sz w:val="24"/>
          <w:szCs w:val="24"/>
          <w:lang w:eastAsia="en-US" w:bidi="sq-AL"/>
        </w:rPr>
        <w:t>ku janë detajuar veprimtaritë dhe treguesit.</w:t>
      </w:r>
    </w:p>
    <w:p w14:paraId="004F8623" w14:textId="77777777" w:rsidR="00622884" w:rsidRPr="00622884" w:rsidRDefault="00622884" w:rsidP="00622884">
      <w:pPr>
        <w:tabs>
          <w:tab w:val="left" w:pos="5325"/>
        </w:tabs>
        <w:spacing w:after="0" w:line="240" w:lineRule="auto"/>
        <w:ind w:firstLine="284"/>
        <w:rPr>
          <w:rFonts w:ascii="Garamond" w:eastAsia="Calibri" w:hAnsi="Garamond" w:cs="Times New Roman"/>
          <w:b/>
          <w:sz w:val="24"/>
          <w:szCs w:val="24"/>
          <w:lang w:eastAsia="en-US"/>
        </w:rPr>
      </w:pPr>
      <w:bookmarkStart w:id="310" w:name="_Toc213936259"/>
      <w:r w:rsidRPr="00622884">
        <w:rPr>
          <w:rFonts w:ascii="Garamond" w:eastAsia="Calibri" w:hAnsi="Garamond" w:cs="Times New Roman"/>
          <w:b/>
          <w:sz w:val="24"/>
          <w:szCs w:val="24"/>
          <w:lang w:eastAsia="en-US" w:bidi="sq-AL"/>
        </w:rPr>
        <w:t>10.2 Komponenti i monitorimit</w:t>
      </w:r>
      <w:bookmarkEnd w:id="310"/>
      <w:r w:rsidRPr="00622884">
        <w:rPr>
          <w:rFonts w:ascii="Garamond" w:eastAsia="Calibri" w:hAnsi="Garamond" w:cs="Times New Roman"/>
          <w:b/>
          <w:sz w:val="24"/>
          <w:szCs w:val="24"/>
          <w:lang w:eastAsia="en-US" w:bidi="sq-AL"/>
        </w:rPr>
        <w:t xml:space="preserve"> </w:t>
      </w:r>
    </w:p>
    <w:p w14:paraId="05D992DB"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r w:rsidRPr="00622884">
        <w:rPr>
          <w:rFonts w:ascii="Garamond" w:eastAsia="Calibri" w:hAnsi="Garamond" w:cs="Times New Roman"/>
          <w:sz w:val="24"/>
          <w:szCs w:val="24"/>
          <w:lang w:eastAsia="en-US" w:bidi="sq-AL"/>
        </w:rPr>
        <w:t>Komponenti i monitorimit i MVN-së ndjek progresin e zbatimit të NAP-it përmes një sistemi të strukturuar treguesish. Sistemi MVN përdor tregues cilësorë dhe sasiorë që ndjekin progresin për:</w:t>
      </w:r>
    </w:p>
    <w:p w14:paraId="06E3A07F"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r w:rsidRPr="00622884">
        <w:rPr>
          <w:rFonts w:ascii="Garamond" w:eastAsia="Calibri" w:hAnsi="Garamond" w:cs="Times New Roman"/>
          <w:sz w:val="24"/>
          <w:szCs w:val="24"/>
          <w:lang w:eastAsia="en-US" w:bidi="sq-AL"/>
        </w:rPr>
        <w:t>1. Forcimin e aftësive ripërtëritëse (2 tregues), reduktimin e cenueshmërisë (2) dhe përmirësimin e kapacitetit përshtatës (5) në nivel kombëtar (shihni kuadrin e rezultateve më sipër);</w:t>
      </w:r>
    </w:p>
    <w:p w14:paraId="6590EE2E"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r w:rsidRPr="00622884">
        <w:rPr>
          <w:rFonts w:ascii="Garamond" w:eastAsia="Calibri" w:hAnsi="Garamond" w:cs="Times New Roman"/>
          <w:sz w:val="24"/>
          <w:szCs w:val="24"/>
          <w:lang w:eastAsia="en-US" w:bidi="sq-AL"/>
        </w:rPr>
        <w:t>2. Rezultatet e përshtatjes sektoriale (25 tregues, shihni kuadrin e rezultateve më sipër);</w:t>
      </w:r>
    </w:p>
    <w:p w14:paraId="040E3DA8"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r w:rsidRPr="00622884">
        <w:rPr>
          <w:rFonts w:ascii="Garamond" w:eastAsia="Calibri" w:hAnsi="Garamond" w:cs="Times New Roman"/>
          <w:sz w:val="24"/>
          <w:szCs w:val="24"/>
          <w:lang w:eastAsia="en-US" w:bidi="sq-AL"/>
        </w:rPr>
        <w:lastRenderedPageBreak/>
        <w:t xml:space="preserve">3. Zbatimi i masave individuale të përshtatjes (165 tregues, shihni kuadrin e rezultateve më sipër dhe aneksin IV: Plani i Veprimit, që propozon treguesit për 66 masat). </w:t>
      </w:r>
    </w:p>
    <w:p w14:paraId="31601738" w14:textId="77777777" w:rsidR="00622884" w:rsidRPr="00622884" w:rsidRDefault="00622884" w:rsidP="00622884">
      <w:pPr>
        <w:spacing w:after="0" w:line="240" w:lineRule="auto"/>
        <w:ind w:firstLine="113"/>
        <w:rPr>
          <w:rFonts w:ascii="Garamond" w:eastAsia="SimSun" w:hAnsi="Garamond" w:cs="Calibri Light"/>
          <w:sz w:val="24"/>
          <w:szCs w:val="24"/>
          <w:lang w:eastAsia="en-US"/>
        </w:rPr>
      </w:pPr>
      <w:r w:rsidRPr="00622884">
        <w:rPr>
          <w:rFonts w:ascii="Garamond" w:eastAsia="SimSun" w:hAnsi="Garamond" w:cs="Calibri Light"/>
          <w:sz w:val="24"/>
          <w:szCs w:val="24"/>
          <w:lang w:eastAsia="en-US" w:bidi="sq-AL"/>
        </w:rPr>
        <w:t>Përveç treguesve të performancës, është zhvilluar një grup plotësues treguesish të procesit për të monitoruar përparimin në aspektin institucional, rregullator, financiar dhe të koordinimit në kuadër të NAP-it. Këta tregues nuk masin rezultatet direkte ose ndikimet e masave të përshtatjes, por monitorojnë ngritjen dhe forcimin e sistemeve dhe mjedisit mundësues që kërkohet për një përshtatje të qëndrueshme dhe të efektshme të kuadrit të NAP-it të dytë. Treguesit e përzgjedhur bazohen në praktikat më të mira nga kornizat e konsoliduara (GIZ, TAMD, OECD) dhe janë përshtatur sipas strukturës së qeverisjes në Shqipëri dhe nevojave të zbatimit të NAP-it.</w:t>
      </w:r>
      <w:bookmarkEnd w:id="308"/>
    </w:p>
    <w:p w14:paraId="4E679A3B" w14:textId="77777777" w:rsidR="00622884" w:rsidRPr="00622884" w:rsidRDefault="00622884" w:rsidP="00622884">
      <w:pPr>
        <w:tabs>
          <w:tab w:val="left" w:pos="5325"/>
        </w:tabs>
        <w:spacing w:after="0" w:line="240" w:lineRule="auto"/>
        <w:ind w:firstLine="284"/>
        <w:rPr>
          <w:rFonts w:ascii="Garamond" w:eastAsia="Calibri" w:hAnsi="Garamond" w:cs="Times New Roman"/>
          <w:b/>
          <w:sz w:val="24"/>
          <w:szCs w:val="24"/>
          <w:lang w:eastAsia="en-US"/>
        </w:rPr>
      </w:pPr>
      <w:r w:rsidRPr="00622884">
        <w:rPr>
          <w:rFonts w:ascii="Garamond" w:eastAsia="Calibri" w:hAnsi="Garamond" w:cs="Times New Roman"/>
          <w:b/>
          <w:sz w:val="24"/>
          <w:szCs w:val="24"/>
          <w:lang w:eastAsia="en-US"/>
        </w:rPr>
        <w:t>Tabela 21: Treguesit e procesit të NAP-it:</w:t>
      </w:r>
    </w:p>
    <w:tbl>
      <w:tblPr>
        <w:tblpPr w:leftFromText="141" w:rightFromText="141" w:vertAnchor="text" w:horzAnchor="margin" w:tblpXSpec="center" w:tblpY="-59"/>
        <w:tblOverlap w:val="never"/>
        <w:tblW w:w="5317" w:type="pct"/>
        <w:tblBorders>
          <w:top w:val="single" w:sz="4" w:space="0" w:color="1D3C5A"/>
          <w:left w:val="single" w:sz="4" w:space="0" w:color="1D3C5A"/>
          <w:bottom w:val="single" w:sz="4" w:space="0" w:color="1D3C5A"/>
          <w:right w:val="single" w:sz="4" w:space="0" w:color="1D3C5A"/>
          <w:insideH w:val="single" w:sz="4" w:space="0" w:color="1D3C5A"/>
          <w:insideV w:val="single" w:sz="4" w:space="0" w:color="1D3C5A"/>
        </w:tblBorders>
        <w:tblCellMar>
          <w:left w:w="70" w:type="dxa"/>
          <w:right w:w="70" w:type="dxa"/>
        </w:tblCellMar>
        <w:tblLook w:val="04A0" w:firstRow="1" w:lastRow="0" w:firstColumn="1" w:lastColumn="0" w:noHBand="0" w:noVBand="1"/>
      </w:tblPr>
      <w:tblGrid>
        <w:gridCol w:w="960"/>
        <w:gridCol w:w="839"/>
        <w:gridCol w:w="1247"/>
        <w:gridCol w:w="849"/>
        <w:gridCol w:w="1254"/>
        <w:gridCol w:w="697"/>
        <w:gridCol w:w="822"/>
        <w:gridCol w:w="812"/>
        <w:gridCol w:w="2315"/>
      </w:tblGrid>
      <w:tr w:rsidR="00622884" w:rsidRPr="00622884" w14:paraId="6FB46D57" w14:textId="77777777" w:rsidTr="00622884">
        <w:trPr>
          <w:trHeight w:val="20"/>
          <w:tblHeader/>
        </w:trPr>
        <w:tc>
          <w:tcPr>
            <w:tcW w:w="395" w:type="pct"/>
            <w:shd w:val="clear" w:color="auto" w:fill="215A5C"/>
            <w:vAlign w:val="center"/>
            <w:hideMark/>
          </w:tcPr>
          <w:p w14:paraId="7794AFEF" w14:textId="77777777" w:rsidR="00622884" w:rsidRPr="00622884" w:rsidRDefault="00622884" w:rsidP="00622884">
            <w:pPr>
              <w:spacing w:after="0" w:line="240" w:lineRule="auto"/>
              <w:jc w:val="center"/>
              <w:rPr>
                <w:rFonts w:ascii="Garamond" w:eastAsia="SimSun" w:hAnsi="Garamond" w:cs="Calibri Light"/>
                <w:b/>
                <w:bCs/>
                <w:sz w:val="12"/>
                <w:szCs w:val="12"/>
                <w:lang w:eastAsia="en-US"/>
              </w:rPr>
            </w:pPr>
            <w:bookmarkStart w:id="311" w:name="_Ref203129061"/>
            <w:r w:rsidRPr="00622884">
              <w:rPr>
                <w:rFonts w:ascii="Garamond" w:eastAsia="SimSun" w:hAnsi="Garamond" w:cs="Calibri Light"/>
                <w:b/>
                <w:sz w:val="12"/>
                <w:szCs w:val="12"/>
                <w:lang w:eastAsia="en-US" w:bidi="sq-AL"/>
              </w:rPr>
              <w:t>Emërtimi i treguesit</w:t>
            </w:r>
          </w:p>
        </w:tc>
        <w:tc>
          <w:tcPr>
            <w:tcW w:w="505" w:type="pct"/>
            <w:shd w:val="clear" w:color="auto" w:fill="215A5C"/>
            <w:vAlign w:val="center"/>
            <w:hideMark/>
          </w:tcPr>
          <w:p w14:paraId="1E2E503F" w14:textId="77777777" w:rsidR="00622884" w:rsidRPr="00622884" w:rsidRDefault="00622884" w:rsidP="00622884">
            <w:pPr>
              <w:spacing w:after="0" w:line="240" w:lineRule="auto"/>
              <w:jc w:val="center"/>
              <w:rPr>
                <w:rFonts w:ascii="Garamond" w:eastAsia="SimSun" w:hAnsi="Garamond" w:cs="Calibri Light"/>
                <w:b/>
                <w:bCs/>
                <w:sz w:val="12"/>
                <w:szCs w:val="12"/>
                <w:lang w:eastAsia="en-US"/>
              </w:rPr>
            </w:pPr>
            <w:r w:rsidRPr="00622884">
              <w:rPr>
                <w:rFonts w:ascii="Garamond" w:eastAsia="SimSun" w:hAnsi="Garamond" w:cs="Calibri Light"/>
                <w:b/>
                <w:sz w:val="12"/>
                <w:szCs w:val="12"/>
                <w:lang w:eastAsia="en-US" w:bidi="sq-AL"/>
              </w:rPr>
              <w:t>Niveli</w:t>
            </w:r>
          </w:p>
        </w:tc>
        <w:tc>
          <w:tcPr>
            <w:tcW w:w="480" w:type="pct"/>
            <w:shd w:val="clear" w:color="auto" w:fill="215A5C"/>
            <w:vAlign w:val="center"/>
            <w:hideMark/>
          </w:tcPr>
          <w:p w14:paraId="71C9546E" w14:textId="77777777" w:rsidR="00622884" w:rsidRPr="00622884" w:rsidRDefault="00622884" w:rsidP="00622884">
            <w:pPr>
              <w:spacing w:after="0" w:line="240" w:lineRule="auto"/>
              <w:jc w:val="center"/>
              <w:rPr>
                <w:rFonts w:ascii="Garamond" w:eastAsia="SimSun" w:hAnsi="Garamond" w:cs="Calibri Light"/>
                <w:b/>
                <w:bCs/>
                <w:sz w:val="12"/>
                <w:szCs w:val="12"/>
                <w:lang w:eastAsia="en-US"/>
              </w:rPr>
            </w:pPr>
            <w:r w:rsidRPr="00622884">
              <w:rPr>
                <w:rFonts w:ascii="Garamond" w:eastAsia="SimSun" w:hAnsi="Garamond" w:cs="Calibri Light"/>
                <w:b/>
                <w:sz w:val="12"/>
                <w:szCs w:val="12"/>
                <w:lang w:eastAsia="en-US" w:bidi="sq-AL"/>
              </w:rPr>
              <w:t>Njësia matëse</w:t>
            </w:r>
          </w:p>
        </w:tc>
        <w:tc>
          <w:tcPr>
            <w:tcW w:w="429" w:type="pct"/>
            <w:shd w:val="clear" w:color="auto" w:fill="215A5C"/>
            <w:vAlign w:val="center"/>
            <w:hideMark/>
          </w:tcPr>
          <w:p w14:paraId="53B8EE1B" w14:textId="77777777" w:rsidR="00622884" w:rsidRPr="00622884" w:rsidRDefault="00622884" w:rsidP="00622884">
            <w:pPr>
              <w:spacing w:after="0" w:line="240" w:lineRule="auto"/>
              <w:jc w:val="center"/>
              <w:rPr>
                <w:rFonts w:ascii="Garamond" w:eastAsia="SimSun" w:hAnsi="Garamond" w:cs="Calibri Light"/>
                <w:b/>
                <w:bCs/>
                <w:sz w:val="12"/>
                <w:szCs w:val="12"/>
                <w:lang w:eastAsia="en-US"/>
              </w:rPr>
            </w:pPr>
            <w:r w:rsidRPr="00622884">
              <w:rPr>
                <w:rFonts w:ascii="Garamond" w:eastAsia="SimSun" w:hAnsi="Garamond" w:cs="Calibri Light"/>
                <w:b/>
                <w:sz w:val="12"/>
                <w:szCs w:val="12"/>
                <w:lang w:eastAsia="en-US" w:bidi="sq-AL"/>
              </w:rPr>
              <w:t>Institucionet përgjegjëse</w:t>
            </w:r>
          </w:p>
        </w:tc>
        <w:tc>
          <w:tcPr>
            <w:tcW w:w="524" w:type="pct"/>
            <w:shd w:val="clear" w:color="auto" w:fill="215A5C"/>
            <w:vAlign w:val="center"/>
            <w:hideMark/>
          </w:tcPr>
          <w:p w14:paraId="78935C3E" w14:textId="77777777" w:rsidR="00622884" w:rsidRPr="00622884" w:rsidRDefault="00622884" w:rsidP="00622884">
            <w:pPr>
              <w:spacing w:after="0" w:line="240" w:lineRule="auto"/>
              <w:jc w:val="center"/>
              <w:rPr>
                <w:rFonts w:ascii="Garamond" w:eastAsia="SimSun" w:hAnsi="Garamond" w:cs="Calibri Light"/>
                <w:b/>
                <w:bCs/>
                <w:sz w:val="12"/>
                <w:szCs w:val="12"/>
                <w:lang w:eastAsia="en-US"/>
              </w:rPr>
            </w:pPr>
            <w:r w:rsidRPr="00622884">
              <w:rPr>
                <w:rFonts w:ascii="Garamond" w:eastAsia="SimSun" w:hAnsi="Garamond" w:cs="Calibri Light"/>
                <w:b/>
                <w:sz w:val="12"/>
                <w:szCs w:val="12"/>
                <w:lang w:eastAsia="en-US" w:bidi="sq-AL"/>
              </w:rPr>
              <w:t>Objektivi specifik i lidhur me treguesin</w:t>
            </w:r>
          </w:p>
        </w:tc>
        <w:tc>
          <w:tcPr>
            <w:tcW w:w="333" w:type="pct"/>
            <w:shd w:val="clear" w:color="auto" w:fill="215A5C"/>
            <w:vAlign w:val="center"/>
            <w:hideMark/>
          </w:tcPr>
          <w:p w14:paraId="4846BFF1" w14:textId="77777777" w:rsidR="00622884" w:rsidRPr="00622884" w:rsidRDefault="00622884" w:rsidP="00622884">
            <w:pPr>
              <w:spacing w:after="0" w:line="240" w:lineRule="auto"/>
              <w:jc w:val="center"/>
              <w:rPr>
                <w:rFonts w:ascii="Garamond" w:eastAsia="SimSun" w:hAnsi="Garamond" w:cs="Calibri Light"/>
                <w:b/>
                <w:bCs/>
                <w:sz w:val="12"/>
                <w:szCs w:val="12"/>
                <w:lang w:eastAsia="en-US"/>
              </w:rPr>
            </w:pPr>
            <w:r w:rsidRPr="00622884">
              <w:rPr>
                <w:rFonts w:ascii="Garamond" w:eastAsia="SimSun" w:hAnsi="Garamond" w:cs="Calibri Light"/>
                <w:b/>
                <w:sz w:val="12"/>
                <w:szCs w:val="12"/>
                <w:lang w:eastAsia="en-US" w:bidi="sq-AL"/>
              </w:rPr>
              <w:t>Klasifikimi i treguesve</w:t>
            </w:r>
          </w:p>
        </w:tc>
        <w:tc>
          <w:tcPr>
            <w:tcW w:w="429" w:type="pct"/>
            <w:shd w:val="clear" w:color="auto" w:fill="215A5C"/>
            <w:vAlign w:val="center"/>
            <w:hideMark/>
          </w:tcPr>
          <w:p w14:paraId="5D3E5F7C" w14:textId="77777777" w:rsidR="00622884" w:rsidRPr="00622884" w:rsidRDefault="00622884" w:rsidP="00622884">
            <w:pPr>
              <w:spacing w:after="0" w:line="240" w:lineRule="auto"/>
              <w:jc w:val="center"/>
              <w:rPr>
                <w:rFonts w:ascii="Garamond" w:eastAsia="SimSun" w:hAnsi="Garamond" w:cs="Calibri Light"/>
                <w:b/>
                <w:bCs/>
                <w:sz w:val="12"/>
                <w:szCs w:val="12"/>
                <w:lang w:eastAsia="en-US"/>
              </w:rPr>
            </w:pPr>
            <w:r w:rsidRPr="00622884">
              <w:rPr>
                <w:rFonts w:ascii="Garamond" w:eastAsia="SimSun" w:hAnsi="Garamond" w:cs="Calibri Light"/>
                <w:b/>
                <w:sz w:val="12"/>
                <w:szCs w:val="12"/>
                <w:lang w:eastAsia="en-US" w:bidi="sq-AL"/>
              </w:rPr>
              <w:t>Burimi i të dhënave për monitorimin e ecurisë së treguesit</w:t>
            </w:r>
          </w:p>
        </w:tc>
        <w:tc>
          <w:tcPr>
            <w:tcW w:w="476" w:type="pct"/>
            <w:shd w:val="clear" w:color="auto" w:fill="215A5C"/>
            <w:vAlign w:val="center"/>
            <w:hideMark/>
          </w:tcPr>
          <w:p w14:paraId="3CE1F735" w14:textId="77777777" w:rsidR="00622884" w:rsidRPr="00622884" w:rsidRDefault="00622884" w:rsidP="00622884">
            <w:pPr>
              <w:spacing w:after="0" w:line="240" w:lineRule="auto"/>
              <w:jc w:val="center"/>
              <w:rPr>
                <w:rFonts w:ascii="Garamond" w:eastAsia="SimSun" w:hAnsi="Garamond" w:cs="Calibri Light"/>
                <w:b/>
                <w:bCs/>
                <w:sz w:val="12"/>
                <w:szCs w:val="12"/>
                <w:lang w:eastAsia="en-US"/>
              </w:rPr>
            </w:pPr>
            <w:r w:rsidRPr="00622884">
              <w:rPr>
                <w:rFonts w:ascii="Garamond" w:eastAsia="SimSun" w:hAnsi="Garamond" w:cs="Calibri Light"/>
                <w:b/>
                <w:sz w:val="12"/>
                <w:szCs w:val="12"/>
                <w:lang w:eastAsia="en-US" w:bidi="sq-AL"/>
              </w:rPr>
              <w:t>Institucioni përgjegjës për mbledhjen e të dhënave</w:t>
            </w:r>
          </w:p>
        </w:tc>
        <w:tc>
          <w:tcPr>
            <w:tcW w:w="1429" w:type="pct"/>
            <w:shd w:val="clear" w:color="auto" w:fill="215A5C"/>
            <w:vAlign w:val="center"/>
            <w:hideMark/>
          </w:tcPr>
          <w:p w14:paraId="43D579F4" w14:textId="77777777" w:rsidR="00622884" w:rsidRPr="00622884" w:rsidRDefault="00622884" w:rsidP="00622884">
            <w:pPr>
              <w:spacing w:after="0" w:line="240" w:lineRule="auto"/>
              <w:jc w:val="center"/>
              <w:rPr>
                <w:rFonts w:ascii="Garamond" w:eastAsia="SimSun" w:hAnsi="Garamond" w:cs="Calibri Light"/>
                <w:b/>
                <w:bCs/>
                <w:sz w:val="12"/>
                <w:szCs w:val="12"/>
                <w:lang w:eastAsia="en-US"/>
              </w:rPr>
            </w:pPr>
            <w:r w:rsidRPr="00622884">
              <w:rPr>
                <w:rFonts w:ascii="Garamond" w:eastAsia="SimSun" w:hAnsi="Garamond" w:cs="Calibri Light"/>
                <w:b/>
                <w:sz w:val="12"/>
                <w:szCs w:val="12"/>
                <w:lang w:eastAsia="en-US" w:bidi="sq-AL"/>
              </w:rPr>
              <w:t>Përshkrimi / Metodologjia</w:t>
            </w:r>
          </w:p>
        </w:tc>
      </w:tr>
      <w:tr w:rsidR="00622884" w:rsidRPr="00622884" w14:paraId="39D01A25" w14:textId="77777777" w:rsidTr="00622884">
        <w:trPr>
          <w:trHeight w:val="876"/>
        </w:trPr>
        <w:tc>
          <w:tcPr>
            <w:tcW w:w="395" w:type="pct"/>
            <w:vAlign w:val="center"/>
            <w:hideMark/>
          </w:tcPr>
          <w:p w14:paraId="77D38B6D" w14:textId="77777777" w:rsidR="00622884" w:rsidRPr="00622884" w:rsidRDefault="00622884" w:rsidP="00622884">
            <w:pPr>
              <w:spacing w:after="0" w:line="240" w:lineRule="auto"/>
              <w:jc w:val="left"/>
              <w:rPr>
                <w:rFonts w:ascii="Garamond" w:eastAsia="SimSun" w:hAnsi="Garamond" w:cs="Calibri Light"/>
                <w:sz w:val="12"/>
                <w:szCs w:val="12"/>
                <w:lang w:eastAsia="en-US"/>
              </w:rPr>
            </w:pPr>
            <w:bookmarkStart w:id="312" w:name="RANGE!C2:C9"/>
            <w:r w:rsidRPr="00622884">
              <w:rPr>
                <w:rFonts w:ascii="Garamond" w:eastAsia="SimSun" w:hAnsi="Garamond" w:cs="Calibri Light"/>
                <w:sz w:val="12"/>
                <w:szCs w:val="12"/>
                <w:lang w:eastAsia="en-US" w:bidi="sq-AL"/>
              </w:rPr>
              <w:t>Funksionaliteti i GNPNK-së</w:t>
            </w:r>
            <w:bookmarkEnd w:id="312"/>
          </w:p>
        </w:tc>
        <w:tc>
          <w:tcPr>
            <w:tcW w:w="505" w:type="pct"/>
            <w:vAlign w:val="center"/>
            <w:hideMark/>
          </w:tcPr>
          <w:p w14:paraId="0998D94D" w14:textId="77777777" w:rsidR="00622884" w:rsidRPr="00622884" w:rsidRDefault="00622884" w:rsidP="00622884">
            <w:pPr>
              <w:spacing w:after="0" w:line="240" w:lineRule="auto"/>
              <w:jc w:val="left"/>
              <w:rPr>
                <w:rFonts w:ascii="Garamond" w:eastAsia="SimSun" w:hAnsi="Garamond" w:cs="Calibri Light"/>
                <w:sz w:val="12"/>
                <w:szCs w:val="12"/>
                <w:lang w:eastAsia="en-US"/>
              </w:rPr>
            </w:pPr>
            <w:r w:rsidRPr="00622884">
              <w:rPr>
                <w:rFonts w:ascii="Garamond" w:eastAsia="SimSun" w:hAnsi="Garamond" w:cs="Calibri Light"/>
                <w:sz w:val="12"/>
                <w:szCs w:val="12"/>
                <w:lang w:eastAsia="en-US" w:bidi="sq-AL"/>
              </w:rPr>
              <w:t>Kombëtar</w:t>
            </w:r>
          </w:p>
        </w:tc>
        <w:tc>
          <w:tcPr>
            <w:tcW w:w="480" w:type="pct"/>
            <w:vAlign w:val="center"/>
            <w:hideMark/>
          </w:tcPr>
          <w:p w14:paraId="47D50676" w14:textId="77777777" w:rsidR="00622884" w:rsidRPr="00622884" w:rsidRDefault="00622884" w:rsidP="00622884">
            <w:pPr>
              <w:spacing w:after="0" w:line="240" w:lineRule="auto"/>
              <w:jc w:val="left"/>
              <w:rPr>
                <w:rFonts w:ascii="Garamond" w:eastAsia="SimSun" w:hAnsi="Garamond" w:cs="Calibri Light"/>
                <w:sz w:val="12"/>
                <w:szCs w:val="12"/>
                <w:lang w:eastAsia="en-US"/>
              </w:rPr>
            </w:pPr>
            <w:r w:rsidRPr="00622884">
              <w:rPr>
                <w:rFonts w:ascii="Garamond" w:eastAsia="SimSun" w:hAnsi="Garamond" w:cs="Calibri Light"/>
                <w:sz w:val="12"/>
                <w:szCs w:val="12"/>
                <w:lang w:eastAsia="en-US" w:bidi="sq-AL"/>
              </w:rPr>
              <w:t>Përqindja e takimeve formale të mbajtura me pjesëmarrjen e të paktën 80% të institucioneve anëtare</w:t>
            </w:r>
          </w:p>
        </w:tc>
        <w:tc>
          <w:tcPr>
            <w:tcW w:w="429" w:type="pct"/>
            <w:vAlign w:val="center"/>
            <w:hideMark/>
          </w:tcPr>
          <w:p w14:paraId="5265AC24" w14:textId="77777777" w:rsidR="00622884" w:rsidRPr="00622884" w:rsidRDefault="00622884" w:rsidP="00622884">
            <w:pPr>
              <w:spacing w:after="0" w:line="240" w:lineRule="auto"/>
              <w:jc w:val="left"/>
              <w:rPr>
                <w:rFonts w:ascii="Garamond" w:eastAsia="SimSun" w:hAnsi="Garamond" w:cs="Calibri Light"/>
                <w:sz w:val="12"/>
                <w:szCs w:val="12"/>
                <w:lang w:eastAsia="en-US"/>
              </w:rPr>
            </w:pPr>
            <w:r w:rsidRPr="00622884">
              <w:rPr>
                <w:rFonts w:ascii="Garamond" w:eastAsia="SimSun" w:hAnsi="Garamond" w:cs="Calibri Light"/>
                <w:sz w:val="12"/>
                <w:szCs w:val="12"/>
                <w:lang w:eastAsia="en-US" w:bidi="sq-AL"/>
              </w:rPr>
              <w:t>Ministria e Mjedisit, Sekretariati i GNPNK-së</w:t>
            </w:r>
          </w:p>
        </w:tc>
        <w:tc>
          <w:tcPr>
            <w:tcW w:w="524" w:type="pct"/>
            <w:vAlign w:val="center"/>
            <w:hideMark/>
          </w:tcPr>
          <w:p w14:paraId="2189C1AA" w14:textId="77777777" w:rsidR="00622884" w:rsidRPr="00622884" w:rsidRDefault="00622884" w:rsidP="00622884">
            <w:pPr>
              <w:spacing w:after="0" w:line="240" w:lineRule="auto"/>
              <w:jc w:val="left"/>
              <w:rPr>
                <w:rFonts w:ascii="Garamond" w:eastAsia="SimSun" w:hAnsi="Garamond" w:cs="Calibri Light"/>
                <w:sz w:val="12"/>
                <w:szCs w:val="12"/>
                <w:lang w:eastAsia="en-US"/>
              </w:rPr>
            </w:pPr>
            <w:r w:rsidRPr="00622884">
              <w:rPr>
                <w:rFonts w:ascii="Garamond" w:eastAsia="SimSun" w:hAnsi="Garamond" w:cs="Calibri Light"/>
                <w:sz w:val="12"/>
                <w:szCs w:val="12"/>
                <w:lang w:eastAsia="en-US" w:bidi="sq-AL"/>
              </w:rPr>
              <w:t>Sigurimi i efektshmërisë operacionale të Grupit Ndërministror të Punës për Ndryshimet Klimatike (GNPNK)</w:t>
            </w:r>
          </w:p>
        </w:tc>
        <w:tc>
          <w:tcPr>
            <w:tcW w:w="333" w:type="pct"/>
            <w:vAlign w:val="center"/>
            <w:hideMark/>
          </w:tcPr>
          <w:p w14:paraId="3CD74F67" w14:textId="77777777" w:rsidR="00622884" w:rsidRPr="00622884" w:rsidRDefault="00622884" w:rsidP="00622884">
            <w:pPr>
              <w:spacing w:after="0" w:line="240" w:lineRule="auto"/>
              <w:jc w:val="left"/>
              <w:rPr>
                <w:rFonts w:ascii="Garamond" w:eastAsia="SimSun" w:hAnsi="Garamond" w:cs="Calibri Light"/>
                <w:sz w:val="12"/>
                <w:szCs w:val="12"/>
                <w:lang w:eastAsia="en-US"/>
              </w:rPr>
            </w:pPr>
            <w:r w:rsidRPr="00622884">
              <w:rPr>
                <w:rFonts w:ascii="Garamond" w:eastAsia="SimSun" w:hAnsi="Garamond" w:cs="Calibri Light"/>
                <w:sz w:val="12"/>
                <w:szCs w:val="12"/>
                <w:lang w:eastAsia="en-US" w:bidi="sq-AL"/>
              </w:rPr>
              <w:t>Vlerësimi sasior</w:t>
            </w:r>
          </w:p>
        </w:tc>
        <w:tc>
          <w:tcPr>
            <w:tcW w:w="429" w:type="pct"/>
            <w:vAlign w:val="center"/>
            <w:hideMark/>
          </w:tcPr>
          <w:p w14:paraId="2B0E088C" w14:textId="77777777" w:rsidR="00622884" w:rsidRPr="00622884" w:rsidRDefault="00622884" w:rsidP="00622884">
            <w:pPr>
              <w:spacing w:after="0" w:line="240" w:lineRule="auto"/>
              <w:jc w:val="left"/>
              <w:rPr>
                <w:rFonts w:ascii="Garamond" w:eastAsia="SimSun" w:hAnsi="Garamond" w:cs="Calibri Light"/>
                <w:sz w:val="12"/>
                <w:szCs w:val="12"/>
                <w:lang w:eastAsia="en-US"/>
              </w:rPr>
            </w:pPr>
            <w:r w:rsidRPr="00622884">
              <w:rPr>
                <w:rFonts w:ascii="Garamond" w:eastAsia="SimSun" w:hAnsi="Garamond" w:cs="Calibri Light"/>
                <w:sz w:val="12"/>
                <w:szCs w:val="12"/>
                <w:lang w:eastAsia="en-US" w:bidi="sq-AL"/>
              </w:rPr>
              <w:t>Procesverbalet e takimeve të GNPNK-së, listat e pjesëmarrjes, raportet e sekretariatit</w:t>
            </w:r>
          </w:p>
        </w:tc>
        <w:tc>
          <w:tcPr>
            <w:tcW w:w="476" w:type="pct"/>
            <w:vAlign w:val="center"/>
            <w:hideMark/>
          </w:tcPr>
          <w:p w14:paraId="546AAC70" w14:textId="77777777" w:rsidR="00622884" w:rsidRPr="00622884" w:rsidRDefault="00622884" w:rsidP="00622884">
            <w:pPr>
              <w:spacing w:after="0" w:line="240" w:lineRule="auto"/>
              <w:jc w:val="left"/>
              <w:rPr>
                <w:rFonts w:ascii="Garamond" w:eastAsia="SimSun" w:hAnsi="Garamond" w:cs="Calibri Light"/>
                <w:sz w:val="12"/>
                <w:szCs w:val="12"/>
                <w:lang w:eastAsia="en-US"/>
              </w:rPr>
            </w:pPr>
            <w:r w:rsidRPr="00622884">
              <w:rPr>
                <w:rFonts w:ascii="Garamond" w:eastAsia="SimSun" w:hAnsi="Garamond" w:cs="Calibri Light"/>
                <w:sz w:val="12"/>
                <w:szCs w:val="12"/>
                <w:lang w:eastAsia="en-US" w:bidi="sq-AL"/>
              </w:rPr>
              <w:t>Sekretariati i GNPNK-së, MM</w:t>
            </w:r>
          </w:p>
        </w:tc>
        <w:tc>
          <w:tcPr>
            <w:tcW w:w="1429" w:type="pct"/>
            <w:vAlign w:val="center"/>
            <w:hideMark/>
          </w:tcPr>
          <w:p w14:paraId="1B662CC4" w14:textId="77777777" w:rsidR="00622884" w:rsidRPr="00622884" w:rsidRDefault="00622884" w:rsidP="00622884">
            <w:pPr>
              <w:spacing w:after="0" w:line="240" w:lineRule="auto"/>
              <w:jc w:val="left"/>
              <w:rPr>
                <w:rFonts w:ascii="Garamond" w:eastAsia="SimSun" w:hAnsi="Garamond" w:cs="Calibri Light"/>
                <w:sz w:val="12"/>
                <w:szCs w:val="12"/>
                <w:lang w:eastAsia="en-US"/>
              </w:rPr>
            </w:pPr>
            <w:r w:rsidRPr="00622884">
              <w:rPr>
                <w:rFonts w:ascii="Garamond" w:eastAsia="SimSun" w:hAnsi="Garamond" w:cs="Calibri Light"/>
                <w:sz w:val="12"/>
                <w:szCs w:val="12"/>
                <w:lang w:eastAsia="en-US" w:bidi="sq-AL"/>
              </w:rPr>
              <w:t>Mat rregullsinë dhe gjithëpërfshirjen në takimet formale të GNPNK-së. Fokusohet në shpeshtësinë e takimeve dhe nëse është arritur kuorumi (80% e institucioneve anëtare).</w:t>
            </w:r>
          </w:p>
        </w:tc>
      </w:tr>
      <w:tr w:rsidR="00622884" w:rsidRPr="00622884" w14:paraId="37F52D90" w14:textId="77777777" w:rsidTr="00622884">
        <w:trPr>
          <w:trHeight w:val="20"/>
        </w:trPr>
        <w:tc>
          <w:tcPr>
            <w:tcW w:w="395" w:type="pct"/>
            <w:vAlign w:val="center"/>
            <w:hideMark/>
          </w:tcPr>
          <w:p w14:paraId="7F87C718" w14:textId="77777777" w:rsidR="00622884" w:rsidRPr="00622884" w:rsidRDefault="00622884" w:rsidP="00622884">
            <w:pPr>
              <w:spacing w:after="0" w:line="240" w:lineRule="auto"/>
              <w:jc w:val="left"/>
              <w:rPr>
                <w:rFonts w:ascii="Garamond" w:eastAsia="SimSun" w:hAnsi="Garamond" w:cs="Calibri Light"/>
                <w:sz w:val="12"/>
                <w:szCs w:val="12"/>
                <w:lang w:eastAsia="en-US"/>
              </w:rPr>
            </w:pPr>
            <w:r w:rsidRPr="00622884">
              <w:rPr>
                <w:rFonts w:ascii="Garamond" w:eastAsia="SimSun" w:hAnsi="Garamond" w:cs="Calibri Light"/>
                <w:sz w:val="12"/>
                <w:szCs w:val="12"/>
                <w:lang w:eastAsia="en-US" w:bidi="sq-AL"/>
              </w:rPr>
              <w:t>Shkalla e zbatimit të masave të përshtatjes</w:t>
            </w:r>
          </w:p>
        </w:tc>
        <w:tc>
          <w:tcPr>
            <w:tcW w:w="505" w:type="pct"/>
            <w:vAlign w:val="center"/>
            <w:hideMark/>
          </w:tcPr>
          <w:p w14:paraId="16EDD2C4" w14:textId="77777777" w:rsidR="00622884" w:rsidRPr="00622884" w:rsidRDefault="00622884" w:rsidP="00622884">
            <w:pPr>
              <w:spacing w:after="0" w:line="240" w:lineRule="auto"/>
              <w:jc w:val="left"/>
              <w:rPr>
                <w:rFonts w:ascii="Garamond" w:eastAsia="SimSun" w:hAnsi="Garamond" w:cs="Calibri Light"/>
                <w:sz w:val="12"/>
                <w:szCs w:val="12"/>
                <w:lang w:eastAsia="en-US"/>
              </w:rPr>
            </w:pPr>
            <w:r w:rsidRPr="00622884">
              <w:rPr>
                <w:rFonts w:ascii="Garamond" w:eastAsia="SimSun" w:hAnsi="Garamond" w:cs="Calibri Light"/>
                <w:sz w:val="12"/>
                <w:szCs w:val="12"/>
                <w:lang w:eastAsia="en-US" w:bidi="sq-AL"/>
              </w:rPr>
              <w:t>Kombëtare / Nënkombëtare</w:t>
            </w:r>
          </w:p>
        </w:tc>
        <w:tc>
          <w:tcPr>
            <w:tcW w:w="480" w:type="pct"/>
            <w:vAlign w:val="center"/>
            <w:hideMark/>
          </w:tcPr>
          <w:p w14:paraId="3CBB642C" w14:textId="77777777" w:rsidR="00622884" w:rsidRPr="00622884" w:rsidRDefault="00622884" w:rsidP="00622884">
            <w:pPr>
              <w:spacing w:after="0" w:line="240" w:lineRule="auto"/>
              <w:jc w:val="left"/>
              <w:rPr>
                <w:rFonts w:ascii="Garamond" w:eastAsia="SimSun" w:hAnsi="Garamond" w:cs="Calibri Light"/>
                <w:sz w:val="12"/>
                <w:szCs w:val="12"/>
                <w:lang w:eastAsia="en-US"/>
              </w:rPr>
            </w:pPr>
            <w:r w:rsidRPr="00622884">
              <w:rPr>
                <w:rFonts w:ascii="Garamond" w:eastAsia="SimSun" w:hAnsi="Garamond" w:cs="Calibri Light"/>
                <w:sz w:val="12"/>
                <w:szCs w:val="12"/>
                <w:lang w:eastAsia="en-US" w:bidi="sq-AL"/>
              </w:rPr>
              <w:t>Përqindja e masave të përshtatjes me prioritet sipas NAP-it, të planifikuara për zbatim gjatë vitit.</w:t>
            </w:r>
          </w:p>
        </w:tc>
        <w:tc>
          <w:tcPr>
            <w:tcW w:w="429" w:type="pct"/>
            <w:vAlign w:val="center"/>
            <w:hideMark/>
          </w:tcPr>
          <w:p w14:paraId="7BFEC3F2" w14:textId="77777777" w:rsidR="00622884" w:rsidRPr="00622884" w:rsidRDefault="00622884" w:rsidP="00622884">
            <w:pPr>
              <w:spacing w:after="0" w:line="240" w:lineRule="auto"/>
              <w:jc w:val="left"/>
              <w:rPr>
                <w:rFonts w:ascii="Garamond" w:eastAsia="SimSun" w:hAnsi="Garamond" w:cs="Calibri Light"/>
                <w:sz w:val="12"/>
                <w:szCs w:val="12"/>
                <w:lang w:eastAsia="en-US"/>
              </w:rPr>
            </w:pPr>
            <w:r w:rsidRPr="00622884">
              <w:rPr>
                <w:rFonts w:ascii="Garamond" w:eastAsia="SimSun" w:hAnsi="Garamond" w:cs="Calibri Light"/>
                <w:sz w:val="12"/>
                <w:szCs w:val="12"/>
                <w:lang w:eastAsia="en-US" w:bidi="sq-AL"/>
              </w:rPr>
              <w:t>MM, Njësitë e Qeverisjes Vendore (NJQV), Pikat Fokale Rajonale të Klimës</w:t>
            </w:r>
          </w:p>
        </w:tc>
        <w:tc>
          <w:tcPr>
            <w:tcW w:w="524" w:type="pct"/>
            <w:vAlign w:val="center"/>
            <w:hideMark/>
          </w:tcPr>
          <w:p w14:paraId="77B0248E" w14:textId="77777777" w:rsidR="00622884" w:rsidRPr="00622884" w:rsidRDefault="00622884" w:rsidP="00622884">
            <w:pPr>
              <w:spacing w:after="0" w:line="240" w:lineRule="auto"/>
              <w:jc w:val="left"/>
              <w:rPr>
                <w:rFonts w:ascii="Garamond" w:eastAsia="SimSun" w:hAnsi="Garamond" w:cs="Calibri Light"/>
                <w:sz w:val="12"/>
                <w:szCs w:val="12"/>
                <w:lang w:eastAsia="en-US"/>
              </w:rPr>
            </w:pPr>
            <w:r w:rsidRPr="00622884">
              <w:rPr>
                <w:rFonts w:ascii="Garamond" w:eastAsia="SimSun" w:hAnsi="Garamond" w:cs="Calibri Light"/>
                <w:sz w:val="12"/>
                <w:szCs w:val="12"/>
                <w:lang w:eastAsia="en-US" w:bidi="sq-AL"/>
              </w:rPr>
              <w:t>Monitorimi i përparimit vjetor të zbatimit të masave të përshtatjes me prioritet sipas NAP-it, si në nivel kombëtar ashtu edhe në nivel nënkombëtar.</w:t>
            </w:r>
          </w:p>
        </w:tc>
        <w:tc>
          <w:tcPr>
            <w:tcW w:w="333" w:type="pct"/>
            <w:vAlign w:val="center"/>
            <w:hideMark/>
          </w:tcPr>
          <w:p w14:paraId="3B774F5A" w14:textId="77777777" w:rsidR="00622884" w:rsidRPr="00622884" w:rsidRDefault="00622884" w:rsidP="00622884">
            <w:pPr>
              <w:spacing w:after="0" w:line="240" w:lineRule="auto"/>
              <w:jc w:val="left"/>
              <w:rPr>
                <w:rFonts w:ascii="Garamond" w:eastAsia="SimSun" w:hAnsi="Garamond" w:cs="Calibri Light"/>
                <w:sz w:val="12"/>
                <w:szCs w:val="12"/>
                <w:lang w:eastAsia="en-US"/>
              </w:rPr>
            </w:pPr>
            <w:r w:rsidRPr="00622884">
              <w:rPr>
                <w:rFonts w:ascii="Garamond" w:eastAsia="SimSun" w:hAnsi="Garamond" w:cs="Calibri Light"/>
                <w:sz w:val="12"/>
                <w:szCs w:val="12"/>
                <w:lang w:eastAsia="en-US" w:bidi="sq-AL"/>
              </w:rPr>
              <w:t>Vlerësimi sasior</w:t>
            </w:r>
          </w:p>
        </w:tc>
        <w:tc>
          <w:tcPr>
            <w:tcW w:w="429" w:type="pct"/>
            <w:vAlign w:val="center"/>
            <w:hideMark/>
          </w:tcPr>
          <w:p w14:paraId="6B2BFB98" w14:textId="77777777" w:rsidR="00622884" w:rsidRPr="00622884" w:rsidRDefault="00622884" w:rsidP="00622884">
            <w:pPr>
              <w:spacing w:after="0" w:line="240" w:lineRule="auto"/>
              <w:jc w:val="left"/>
              <w:rPr>
                <w:rFonts w:ascii="Garamond" w:eastAsia="SimSun" w:hAnsi="Garamond" w:cs="Calibri Light"/>
                <w:sz w:val="12"/>
                <w:szCs w:val="12"/>
                <w:lang w:eastAsia="en-US"/>
              </w:rPr>
            </w:pPr>
            <w:r w:rsidRPr="00622884">
              <w:rPr>
                <w:rFonts w:ascii="Garamond" w:eastAsia="SimSun" w:hAnsi="Garamond" w:cs="Calibri Light"/>
                <w:sz w:val="12"/>
                <w:szCs w:val="12"/>
                <w:lang w:eastAsia="en-US" w:bidi="sq-AL"/>
              </w:rPr>
              <w:t>Raportet vjetore të progresit nga MTM dhe NJQV-të</w:t>
            </w:r>
          </w:p>
        </w:tc>
        <w:tc>
          <w:tcPr>
            <w:tcW w:w="476" w:type="pct"/>
            <w:vAlign w:val="center"/>
            <w:hideMark/>
          </w:tcPr>
          <w:p w14:paraId="115FF680" w14:textId="77777777" w:rsidR="00622884" w:rsidRPr="00622884" w:rsidRDefault="00622884" w:rsidP="00622884">
            <w:pPr>
              <w:spacing w:after="0" w:line="240" w:lineRule="auto"/>
              <w:jc w:val="left"/>
              <w:rPr>
                <w:rFonts w:ascii="Garamond" w:eastAsia="SimSun" w:hAnsi="Garamond" w:cs="Calibri Light"/>
                <w:sz w:val="12"/>
                <w:szCs w:val="12"/>
                <w:lang w:eastAsia="en-US"/>
              </w:rPr>
            </w:pPr>
            <w:r w:rsidRPr="00622884">
              <w:rPr>
                <w:rFonts w:ascii="Garamond" w:eastAsia="SimSun" w:hAnsi="Garamond" w:cs="Calibri Light"/>
                <w:sz w:val="12"/>
                <w:szCs w:val="12"/>
                <w:lang w:eastAsia="en-US" w:bidi="sq-AL"/>
              </w:rPr>
              <w:t>MM, NJQV-të, Pikat Fokale Rajonale të Klimës</w:t>
            </w:r>
          </w:p>
        </w:tc>
        <w:tc>
          <w:tcPr>
            <w:tcW w:w="1429" w:type="pct"/>
            <w:vAlign w:val="center"/>
            <w:hideMark/>
          </w:tcPr>
          <w:p w14:paraId="29803EC7" w14:textId="77777777" w:rsidR="00622884" w:rsidRPr="00622884" w:rsidRDefault="00622884" w:rsidP="00622884">
            <w:pPr>
              <w:spacing w:after="0" w:line="240" w:lineRule="auto"/>
              <w:jc w:val="left"/>
              <w:rPr>
                <w:rFonts w:ascii="Garamond" w:eastAsia="SimSun" w:hAnsi="Garamond" w:cs="Calibri Light"/>
                <w:sz w:val="12"/>
                <w:szCs w:val="12"/>
                <w:lang w:eastAsia="en-US"/>
              </w:rPr>
            </w:pPr>
            <w:r w:rsidRPr="00622884">
              <w:rPr>
                <w:rFonts w:ascii="Garamond" w:eastAsia="SimSun" w:hAnsi="Garamond" w:cs="Calibri Light"/>
                <w:sz w:val="12"/>
                <w:szCs w:val="12"/>
                <w:lang w:eastAsia="en-US" w:bidi="sq-AL"/>
              </w:rPr>
              <w:t>Llogarit përqindjen e masave afatshkurtra prioritare të përshtatjes (siç përcaktohen në Planin e Zbatimit të NAP-it) që janë zbatuar në mënyrë të efektshme brenda afatit të planifikuar.</w:t>
            </w:r>
          </w:p>
        </w:tc>
      </w:tr>
      <w:tr w:rsidR="00622884" w:rsidRPr="00622884" w14:paraId="49BEEB68" w14:textId="77777777" w:rsidTr="00622884">
        <w:trPr>
          <w:trHeight w:val="20"/>
        </w:trPr>
        <w:tc>
          <w:tcPr>
            <w:tcW w:w="395" w:type="pct"/>
            <w:vAlign w:val="center"/>
            <w:hideMark/>
          </w:tcPr>
          <w:p w14:paraId="53E1BBE9" w14:textId="77777777" w:rsidR="00622884" w:rsidRPr="00622884" w:rsidRDefault="00622884" w:rsidP="00622884">
            <w:pPr>
              <w:spacing w:after="0" w:line="240" w:lineRule="auto"/>
              <w:jc w:val="left"/>
              <w:rPr>
                <w:rFonts w:ascii="Garamond" w:eastAsia="SimSun" w:hAnsi="Garamond" w:cs="Calibri Light"/>
                <w:sz w:val="12"/>
                <w:szCs w:val="12"/>
                <w:lang w:eastAsia="en-US"/>
              </w:rPr>
            </w:pPr>
            <w:r w:rsidRPr="00622884">
              <w:rPr>
                <w:rFonts w:ascii="Garamond" w:eastAsia="SimSun" w:hAnsi="Garamond" w:cs="Calibri Light"/>
                <w:sz w:val="12"/>
                <w:szCs w:val="12"/>
                <w:lang w:eastAsia="en-US" w:bidi="sq-AL"/>
              </w:rPr>
              <w:t>Integrimi i përshtatjes në kuadrot sektoriale dhe kombëtare të politikave</w:t>
            </w:r>
          </w:p>
        </w:tc>
        <w:tc>
          <w:tcPr>
            <w:tcW w:w="505" w:type="pct"/>
            <w:vAlign w:val="center"/>
            <w:hideMark/>
          </w:tcPr>
          <w:p w14:paraId="15F2C83E" w14:textId="77777777" w:rsidR="00622884" w:rsidRPr="00622884" w:rsidRDefault="00622884" w:rsidP="00622884">
            <w:pPr>
              <w:spacing w:after="0" w:line="240" w:lineRule="auto"/>
              <w:jc w:val="left"/>
              <w:rPr>
                <w:rFonts w:ascii="Garamond" w:eastAsia="SimSun" w:hAnsi="Garamond" w:cs="Calibri Light"/>
                <w:sz w:val="12"/>
                <w:szCs w:val="12"/>
                <w:lang w:eastAsia="en-US"/>
              </w:rPr>
            </w:pPr>
            <w:r w:rsidRPr="00622884">
              <w:rPr>
                <w:rFonts w:ascii="Garamond" w:eastAsia="SimSun" w:hAnsi="Garamond" w:cs="Calibri Light"/>
                <w:sz w:val="12"/>
                <w:szCs w:val="12"/>
                <w:lang w:eastAsia="en-US" w:bidi="sq-AL"/>
              </w:rPr>
              <w:t>Kombëtare / Sektoriale</w:t>
            </w:r>
          </w:p>
        </w:tc>
        <w:tc>
          <w:tcPr>
            <w:tcW w:w="480" w:type="pct"/>
            <w:vAlign w:val="center"/>
            <w:hideMark/>
          </w:tcPr>
          <w:p w14:paraId="1DF8A9E6" w14:textId="77777777" w:rsidR="00622884" w:rsidRPr="00622884" w:rsidRDefault="00622884" w:rsidP="00622884">
            <w:pPr>
              <w:spacing w:after="0" w:line="240" w:lineRule="auto"/>
              <w:jc w:val="left"/>
              <w:rPr>
                <w:rFonts w:ascii="Garamond" w:eastAsia="SimSun" w:hAnsi="Garamond" w:cs="Calibri Light"/>
                <w:sz w:val="12"/>
                <w:szCs w:val="12"/>
                <w:lang w:eastAsia="en-US"/>
              </w:rPr>
            </w:pPr>
            <w:r w:rsidRPr="00622884">
              <w:rPr>
                <w:rFonts w:ascii="Garamond" w:eastAsia="SimSun" w:hAnsi="Garamond" w:cs="Calibri Light"/>
                <w:sz w:val="12"/>
                <w:szCs w:val="12"/>
                <w:lang w:eastAsia="en-US" w:bidi="sq-AL"/>
              </w:rPr>
              <w:t>Përqindja e dokumenteve të miratuara të politikave që integrojnë masat e përshtatjes ndaj klimës të lidhura me NAP-in.</w:t>
            </w:r>
          </w:p>
        </w:tc>
        <w:tc>
          <w:tcPr>
            <w:tcW w:w="429" w:type="pct"/>
            <w:vAlign w:val="center"/>
            <w:hideMark/>
          </w:tcPr>
          <w:p w14:paraId="679A98F2" w14:textId="77777777" w:rsidR="00622884" w:rsidRPr="00622884" w:rsidRDefault="00622884" w:rsidP="00622884">
            <w:pPr>
              <w:spacing w:after="0" w:line="240" w:lineRule="auto"/>
              <w:jc w:val="left"/>
              <w:rPr>
                <w:rFonts w:ascii="Garamond" w:eastAsia="SimSun" w:hAnsi="Garamond" w:cs="Calibri Light"/>
                <w:sz w:val="12"/>
                <w:szCs w:val="12"/>
                <w:lang w:eastAsia="en-US"/>
              </w:rPr>
            </w:pPr>
            <w:r w:rsidRPr="00622884">
              <w:rPr>
                <w:rFonts w:ascii="Garamond" w:eastAsia="SimSun" w:hAnsi="Garamond" w:cs="Calibri Light"/>
                <w:sz w:val="12"/>
                <w:szCs w:val="12"/>
                <w:lang w:eastAsia="en-US" w:bidi="sq-AL"/>
              </w:rPr>
              <w:t>MM, Ministritë e linjës:</w:t>
            </w:r>
          </w:p>
        </w:tc>
        <w:tc>
          <w:tcPr>
            <w:tcW w:w="524" w:type="pct"/>
            <w:vAlign w:val="center"/>
            <w:hideMark/>
          </w:tcPr>
          <w:p w14:paraId="30EA6531" w14:textId="77777777" w:rsidR="00622884" w:rsidRPr="00622884" w:rsidRDefault="00622884" w:rsidP="00622884">
            <w:pPr>
              <w:spacing w:after="0" w:line="240" w:lineRule="auto"/>
              <w:jc w:val="left"/>
              <w:rPr>
                <w:rFonts w:ascii="Garamond" w:eastAsia="SimSun" w:hAnsi="Garamond" w:cs="Calibri Light"/>
                <w:sz w:val="12"/>
                <w:szCs w:val="12"/>
                <w:lang w:eastAsia="en-US"/>
              </w:rPr>
            </w:pPr>
            <w:r w:rsidRPr="00622884">
              <w:rPr>
                <w:rFonts w:ascii="Garamond" w:eastAsia="SimSun" w:hAnsi="Garamond" w:cs="Calibri Light"/>
                <w:sz w:val="12"/>
                <w:szCs w:val="12"/>
                <w:lang w:eastAsia="en-US" w:bidi="sq-AL"/>
              </w:rPr>
              <w:t>Vlerësimi i shkallës të integrimit të objektivave të përshtatjes ndaj klimës në instrumentet e reja ose të rishikuara të politikave</w:t>
            </w:r>
          </w:p>
        </w:tc>
        <w:tc>
          <w:tcPr>
            <w:tcW w:w="333" w:type="pct"/>
            <w:vAlign w:val="center"/>
            <w:hideMark/>
          </w:tcPr>
          <w:p w14:paraId="2B38C425" w14:textId="77777777" w:rsidR="00622884" w:rsidRPr="00622884" w:rsidRDefault="00622884" w:rsidP="00622884">
            <w:pPr>
              <w:spacing w:after="0" w:line="240" w:lineRule="auto"/>
              <w:jc w:val="left"/>
              <w:rPr>
                <w:rFonts w:ascii="Garamond" w:eastAsia="SimSun" w:hAnsi="Garamond" w:cs="Calibri Light"/>
                <w:sz w:val="12"/>
                <w:szCs w:val="12"/>
                <w:lang w:eastAsia="en-US"/>
              </w:rPr>
            </w:pPr>
            <w:r w:rsidRPr="00622884">
              <w:rPr>
                <w:rFonts w:ascii="Garamond" w:eastAsia="SimSun" w:hAnsi="Garamond" w:cs="Calibri Light"/>
                <w:sz w:val="12"/>
                <w:szCs w:val="12"/>
                <w:lang w:eastAsia="en-US" w:bidi="sq-AL"/>
              </w:rPr>
              <w:t>Vlerësimi sasior</w:t>
            </w:r>
          </w:p>
        </w:tc>
        <w:tc>
          <w:tcPr>
            <w:tcW w:w="429" w:type="pct"/>
            <w:vAlign w:val="center"/>
            <w:hideMark/>
          </w:tcPr>
          <w:p w14:paraId="3BC993E3" w14:textId="77777777" w:rsidR="00622884" w:rsidRPr="00622884" w:rsidRDefault="00622884" w:rsidP="00622884">
            <w:pPr>
              <w:spacing w:after="0" w:line="240" w:lineRule="auto"/>
              <w:jc w:val="left"/>
              <w:rPr>
                <w:rFonts w:ascii="Garamond" w:eastAsia="SimSun" w:hAnsi="Garamond" w:cs="Calibri Light"/>
                <w:sz w:val="12"/>
                <w:szCs w:val="12"/>
                <w:lang w:eastAsia="en-US"/>
              </w:rPr>
            </w:pPr>
            <w:r w:rsidRPr="00622884">
              <w:rPr>
                <w:rFonts w:ascii="Garamond" w:eastAsia="SimSun" w:hAnsi="Garamond" w:cs="Calibri Light"/>
                <w:sz w:val="12"/>
                <w:szCs w:val="12"/>
                <w:lang w:eastAsia="en-US" w:bidi="sq-AL"/>
              </w:rPr>
              <w:t>Dokumente zyrtare të politikave, botime ministrore, raporte monitorimi të MTM/NAP-it.</w:t>
            </w:r>
          </w:p>
        </w:tc>
        <w:tc>
          <w:tcPr>
            <w:tcW w:w="476" w:type="pct"/>
            <w:vAlign w:val="center"/>
            <w:hideMark/>
          </w:tcPr>
          <w:p w14:paraId="3F3B3A24" w14:textId="77777777" w:rsidR="00622884" w:rsidRPr="00622884" w:rsidRDefault="00622884" w:rsidP="00622884">
            <w:pPr>
              <w:spacing w:after="0" w:line="240" w:lineRule="auto"/>
              <w:jc w:val="left"/>
              <w:rPr>
                <w:rFonts w:ascii="Garamond" w:eastAsia="SimSun" w:hAnsi="Garamond" w:cs="Calibri Light"/>
                <w:sz w:val="12"/>
                <w:szCs w:val="12"/>
                <w:lang w:eastAsia="en-US"/>
              </w:rPr>
            </w:pPr>
            <w:r w:rsidRPr="00622884">
              <w:rPr>
                <w:rFonts w:ascii="Garamond" w:eastAsia="SimSun" w:hAnsi="Garamond" w:cs="Calibri Light"/>
                <w:sz w:val="12"/>
                <w:szCs w:val="12"/>
                <w:lang w:eastAsia="en-US" w:bidi="sq-AL"/>
              </w:rPr>
              <w:t>MM, Drejtoria e Ndryshimeve Klimatike dhe Politikave Mjedisore, Pikat fokale për klimën në ministritë e linjës</w:t>
            </w:r>
          </w:p>
        </w:tc>
        <w:tc>
          <w:tcPr>
            <w:tcW w:w="1429" w:type="pct"/>
            <w:vAlign w:val="center"/>
            <w:hideMark/>
          </w:tcPr>
          <w:p w14:paraId="5E324647" w14:textId="77777777" w:rsidR="00622884" w:rsidRPr="00622884" w:rsidRDefault="00622884" w:rsidP="00622884">
            <w:pPr>
              <w:spacing w:after="0" w:line="240" w:lineRule="auto"/>
              <w:jc w:val="left"/>
              <w:rPr>
                <w:rFonts w:ascii="Garamond" w:eastAsia="SimSun" w:hAnsi="Garamond" w:cs="Calibri Light"/>
                <w:sz w:val="12"/>
                <w:szCs w:val="12"/>
                <w:lang w:eastAsia="en-US"/>
              </w:rPr>
            </w:pPr>
            <w:r w:rsidRPr="00622884">
              <w:rPr>
                <w:rFonts w:ascii="Garamond" w:eastAsia="SimSun" w:hAnsi="Garamond" w:cs="Calibri Light"/>
                <w:sz w:val="12"/>
                <w:szCs w:val="12"/>
                <w:lang w:eastAsia="en-US" w:bidi="sq-AL"/>
              </w:rPr>
              <w:t>Rishikimi i të gjitha dokumenteve të politikave të miratuara në nivel kombëtar dhe sektorial gjatë një periudhe dyvjeçare, për të identifikuar nëse integrojnë qartazi masat për përshtatjen ndaj klimës, që përputhen me prioritetet e NAP-it.</w:t>
            </w:r>
          </w:p>
        </w:tc>
      </w:tr>
      <w:tr w:rsidR="00622884" w:rsidRPr="00622884" w14:paraId="1632AB44" w14:textId="77777777" w:rsidTr="00622884">
        <w:trPr>
          <w:trHeight w:val="20"/>
        </w:trPr>
        <w:tc>
          <w:tcPr>
            <w:tcW w:w="395" w:type="pct"/>
            <w:vAlign w:val="center"/>
            <w:hideMark/>
          </w:tcPr>
          <w:p w14:paraId="3C59D7E9" w14:textId="77777777" w:rsidR="00622884" w:rsidRPr="00622884" w:rsidRDefault="00622884" w:rsidP="00622884">
            <w:pPr>
              <w:spacing w:after="0" w:line="240" w:lineRule="auto"/>
              <w:jc w:val="left"/>
              <w:rPr>
                <w:rFonts w:ascii="Garamond" w:eastAsia="SimSun" w:hAnsi="Garamond" w:cs="Calibri Light"/>
                <w:sz w:val="12"/>
                <w:szCs w:val="12"/>
                <w:lang w:eastAsia="en-US"/>
              </w:rPr>
            </w:pPr>
            <w:r w:rsidRPr="00622884">
              <w:rPr>
                <w:rFonts w:ascii="Garamond" w:eastAsia="SimSun" w:hAnsi="Garamond" w:cs="Calibri Light"/>
                <w:sz w:val="12"/>
                <w:szCs w:val="12"/>
                <w:lang w:eastAsia="en-US" w:bidi="sq-AL"/>
              </w:rPr>
              <w:t>Disponueshmëria dhe aksesushmëria në financimin e përshtatjes</w:t>
            </w:r>
          </w:p>
        </w:tc>
        <w:tc>
          <w:tcPr>
            <w:tcW w:w="505" w:type="pct"/>
            <w:vAlign w:val="center"/>
            <w:hideMark/>
          </w:tcPr>
          <w:p w14:paraId="5DBCEB65" w14:textId="77777777" w:rsidR="00622884" w:rsidRPr="00622884" w:rsidRDefault="00622884" w:rsidP="00622884">
            <w:pPr>
              <w:spacing w:after="0" w:line="240" w:lineRule="auto"/>
              <w:jc w:val="left"/>
              <w:rPr>
                <w:rFonts w:ascii="Garamond" w:eastAsia="SimSun" w:hAnsi="Garamond" w:cs="Calibri Light"/>
                <w:sz w:val="12"/>
                <w:szCs w:val="12"/>
                <w:lang w:eastAsia="en-US"/>
              </w:rPr>
            </w:pPr>
            <w:r w:rsidRPr="00622884">
              <w:rPr>
                <w:rFonts w:ascii="Garamond" w:eastAsia="SimSun" w:hAnsi="Garamond" w:cs="Calibri Light"/>
                <w:sz w:val="12"/>
                <w:szCs w:val="12"/>
                <w:lang w:eastAsia="en-US" w:bidi="sq-AL"/>
              </w:rPr>
              <w:t>Ndërsektoriale</w:t>
            </w:r>
          </w:p>
        </w:tc>
        <w:tc>
          <w:tcPr>
            <w:tcW w:w="480" w:type="pct"/>
            <w:vAlign w:val="center"/>
            <w:hideMark/>
          </w:tcPr>
          <w:p w14:paraId="339F7528" w14:textId="77777777" w:rsidR="00622884" w:rsidRPr="00622884" w:rsidRDefault="00622884" w:rsidP="00622884">
            <w:pPr>
              <w:spacing w:after="0" w:line="240" w:lineRule="auto"/>
              <w:jc w:val="left"/>
              <w:rPr>
                <w:rFonts w:ascii="Garamond" w:eastAsia="SimSun" w:hAnsi="Garamond" w:cs="Calibri Light"/>
                <w:sz w:val="12"/>
                <w:szCs w:val="12"/>
                <w:lang w:eastAsia="en-US"/>
              </w:rPr>
            </w:pPr>
            <w:r w:rsidRPr="00622884">
              <w:rPr>
                <w:rFonts w:ascii="Garamond" w:eastAsia="SimSun" w:hAnsi="Garamond" w:cs="Calibri Light"/>
                <w:sz w:val="12"/>
                <w:szCs w:val="12"/>
                <w:lang w:eastAsia="en-US" w:bidi="sq-AL"/>
              </w:rPr>
              <w:t>(a) Dollarë amerikanë të alokuar dhe të shpërndarë çdo vit; (b) % e fondeve të shpërndarë në nivelet nënkombëtare/vendore</w:t>
            </w:r>
          </w:p>
        </w:tc>
        <w:tc>
          <w:tcPr>
            <w:tcW w:w="429" w:type="pct"/>
            <w:vAlign w:val="center"/>
            <w:hideMark/>
          </w:tcPr>
          <w:p w14:paraId="075E55DA" w14:textId="77777777" w:rsidR="00622884" w:rsidRPr="00622884" w:rsidRDefault="00622884" w:rsidP="00622884">
            <w:pPr>
              <w:spacing w:after="0" w:line="240" w:lineRule="auto"/>
              <w:jc w:val="left"/>
              <w:rPr>
                <w:rFonts w:ascii="Garamond" w:eastAsia="SimSun" w:hAnsi="Garamond" w:cs="Calibri Light"/>
                <w:sz w:val="12"/>
                <w:szCs w:val="12"/>
                <w:lang w:eastAsia="en-US"/>
              </w:rPr>
            </w:pPr>
            <w:r w:rsidRPr="00622884">
              <w:rPr>
                <w:rFonts w:ascii="Garamond" w:eastAsia="SimSun" w:hAnsi="Garamond" w:cs="Calibri Light"/>
                <w:sz w:val="12"/>
                <w:szCs w:val="12"/>
                <w:lang w:eastAsia="en-US" w:bidi="sq-AL"/>
              </w:rPr>
              <w:t>MM</w:t>
            </w:r>
          </w:p>
        </w:tc>
        <w:tc>
          <w:tcPr>
            <w:tcW w:w="524" w:type="pct"/>
            <w:vAlign w:val="center"/>
            <w:hideMark/>
          </w:tcPr>
          <w:p w14:paraId="49104943" w14:textId="77777777" w:rsidR="00622884" w:rsidRPr="00622884" w:rsidRDefault="00622884" w:rsidP="00622884">
            <w:pPr>
              <w:spacing w:after="0" w:line="240" w:lineRule="auto"/>
              <w:jc w:val="left"/>
              <w:rPr>
                <w:rFonts w:ascii="Garamond" w:eastAsia="SimSun" w:hAnsi="Garamond" w:cs="Calibri Light"/>
                <w:sz w:val="12"/>
                <w:szCs w:val="12"/>
                <w:lang w:eastAsia="en-US"/>
              </w:rPr>
            </w:pPr>
            <w:r w:rsidRPr="00622884">
              <w:rPr>
                <w:rFonts w:ascii="Garamond" w:eastAsia="SimSun" w:hAnsi="Garamond" w:cs="Calibri Light"/>
                <w:sz w:val="12"/>
                <w:szCs w:val="12"/>
                <w:lang w:eastAsia="en-US" w:bidi="sq-AL"/>
              </w:rPr>
              <w:t>Monitorimi i disponueshmërisë së fondeve për përshtatje dhe shkallën në të cilën fondet arrijnë aktorët e decentralizuar/vendorë.</w:t>
            </w:r>
          </w:p>
        </w:tc>
        <w:tc>
          <w:tcPr>
            <w:tcW w:w="333" w:type="pct"/>
            <w:vAlign w:val="center"/>
            <w:hideMark/>
          </w:tcPr>
          <w:p w14:paraId="10D76A9B" w14:textId="77777777" w:rsidR="00622884" w:rsidRPr="00622884" w:rsidRDefault="00622884" w:rsidP="00622884">
            <w:pPr>
              <w:spacing w:after="0" w:line="240" w:lineRule="auto"/>
              <w:jc w:val="left"/>
              <w:rPr>
                <w:rFonts w:ascii="Garamond" w:eastAsia="SimSun" w:hAnsi="Garamond" w:cs="Calibri Light"/>
                <w:sz w:val="12"/>
                <w:szCs w:val="12"/>
                <w:lang w:eastAsia="en-US"/>
              </w:rPr>
            </w:pPr>
            <w:r w:rsidRPr="00622884">
              <w:rPr>
                <w:rFonts w:ascii="Garamond" w:eastAsia="SimSun" w:hAnsi="Garamond" w:cs="Calibri Light"/>
                <w:sz w:val="12"/>
                <w:szCs w:val="12"/>
                <w:lang w:eastAsia="en-US" w:bidi="sq-AL"/>
              </w:rPr>
              <w:t>Vlerësimi sasior</w:t>
            </w:r>
          </w:p>
        </w:tc>
        <w:tc>
          <w:tcPr>
            <w:tcW w:w="429" w:type="pct"/>
            <w:vAlign w:val="center"/>
            <w:hideMark/>
          </w:tcPr>
          <w:p w14:paraId="332178ED" w14:textId="77777777" w:rsidR="00622884" w:rsidRPr="00622884" w:rsidRDefault="00622884" w:rsidP="00622884">
            <w:pPr>
              <w:spacing w:after="0" w:line="240" w:lineRule="auto"/>
              <w:jc w:val="left"/>
              <w:rPr>
                <w:rFonts w:ascii="Garamond" w:eastAsia="SimSun" w:hAnsi="Garamond" w:cs="Calibri Light"/>
                <w:sz w:val="12"/>
                <w:szCs w:val="12"/>
                <w:lang w:eastAsia="en-US"/>
              </w:rPr>
            </w:pPr>
            <w:r w:rsidRPr="00622884">
              <w:rPr>
                <w:rFonts w:ascii="Garamond" w:eastAsia="SimSun" w:hAnsi="Garamond" w:cs="Calibri Light"/>
                <w:sz w:val="12"/>
                <w:szCs w:val="12"/>
                <w:lang w:eastAsia="en-US" w:bidi="sq-AL"/>
              </w:rPr>
              <w:t>Raportet e buxhetit kombëtar, të dhënat e shpërndarjes së donatorëve, mjetet e ndjekjes së financave klimatike të MF/MTM.</w:t>
            </w:r>
          </w:p>
        </w:tc>
        <w:tc>
          <w:tcPr>
            <w:tcW w:w="476" w:type="pct"/>
            <w:vAlign w:val="center"/>
            <w:hideMark/>
          </w:tcPr>
          <w:p w14:paraId="2628F3EA" w14:textId="77777777" w:rsidR="00622884" w:rsidRPr="00622884" w:rsidRDefault="00622884" w:rsidP="00622884">
            <w:pPr>
              <w:spacing w:after="0" w:line="240" w:lineRule="auto"/>
              <w:jc w:val="left"/>
              <w:rPr>
                <w:rFonts w:ascii="Garamond" w:eastAsia="SimSun" w:hAnsi="Garamond" w:cs="Calibri Light"/>
                <w:sz w:val="12"/>
                <w:szCs w:val="12"/>
                <w:lang w:eastAsia="en-US"/>
              </w:rPr>
            </w:pPr>
            <w:r w:rsidRPr="00622884">
              <w:rPr>
                <w:rFonts w:ascii="Garamond" w:eastAsia="SimSun" w:hAnsi="Garamond" w:cs="Calibri Light"/>
                <w:sz w:val="12"/>
                <w:szCs w:val="12"/>
                <w:lang w:eastAsia="en-US" w:bidi="sq-AL"/>
              </w:rPr>
              <w:t xml:space="preserve">Ministria e Financave </w:t>
            </w:r>
            <w:r w:rsidRPr="00622884">
              <w:rPr>
                <w:rFonts w:ascii="Garamond" w:eastAsia="SimSun" w:hAnsi="Garamond" w:cs="Calibri Light"/>
                <w:sz w:val="12"/>
                <w:szCs w:val="12"/>
                <w:lang w:eastAsia="en-US" w:bidi="sq-AL"/>
              </w:rPr>
              <w:br/>
              <w:t>MM</w:t>
            </w:r>
          </w:p>
        </w:tc>
        <w:tc>
          <w:tcPr>
            <w:tcW w:w="1429" w:type="pct"/>
            <w:vAlign w:val="center"/>
            <w:hideMark/>
          </w:tcPr>
          <w:p w14:paraId="0C222D5B" w14:textId="77777777" w:rsidR="00622884" w:rsidRPr="00622884" w:rsidRDefault="00622884" w:rsidP="00622884">
            <w:pPr>
              <w:spacing w:after="0" w:line="240" w:lineRule="auto"/>
              <w:jc w:val="left"/>
              <w:rPr>
                <w:rFonts w:ascii="Garamond" w:eastAsia="SimSun" w:hAnsi="Garamond" w:cs="Calibri Light"/>
                <w:sz w:val="12"/>
                <w:szCs w:val="12"/>
                <w:lang w:eastAsia="en-US"/>
              </w:rPr>
            </w:pPr>
            <w:r w:rsidRPr="00622884">
              <w:rPr>
                <w:rFonts w:ascii="Garamond" w:eastAsia="SimSun" w:hAnsi="Garamond" w:cs="Calibri Light"/>
                <w:sz w:val="12"/>
                <w:szCs w:val="12"/>
                <w:lang w:eastAsia="en-US" w:bidi="sq-AL"/>
              </w:rPr>
              <w:t>Gjurmimi i të gjithë financimeve (kombëtare dhe ndërkombëtare) të alokuara dhe të shpërndara për veprimet e përshtatjes të lidhura me NAP-in për çdo vit. Një komponent i dytë ndjek pjesën e këtij financimi që është përfituar në nivel nënkombëtar/vendor.</w:t>
            </w:r>
          </w:p>
        </w:tc>
      </w:tr>
      <w:tr w:rsidR="00622884" w:rsidRPr="00622884" w14:paraId="703BED91" w14:textId="77777777" w:rsidTr="00622884">
        <w:trPr>
          <w:trHeight w:val="20"/>
        </w:trPr>
        <w:tc>
          <w:tcPr>
            <w:tcW w:w="395" w:type="pct"/>
            <w:vAlign w:val="center"/>
            <w:hideMark/>
          </w:tcPr>
          <w:p w14:paraId="30E113D0" w14:textId="77777777" w:rsidR="00622884" w:rsidRPr="00622884" w:rsidRDefault="00622884" w:rsidP="00622884">
            <w:pPr>
              <w:spacing w:after="0" w:line="240" w:lineRule="auto"/>
              <w:jc w:val="left"/>
              <w:rPr>
                <w:rFonts w:ascii="Garamond" w:eastAsia="SimSun" w:hAnsi="Garamond" w:cs="Calibri Light"/>
                <w:sz w:val="12"/>
                <w:szCs w:val="12"/>
                <w:lang w:eastAsia="en-US"/>
              </w:rPr>
            </w:pPr>
            <w:r w:rsidRPr="00622884">
              <w:rPr>
                <w:rFonts w:ascii="Garamond" w:eastAsia="SimSun" w:hAnsi="Garamond" w:cs="Calibri Light"/>
                <w:sz w:val="12"/>
                <w:szCs w:val="12"/>
                <w:lang w:eastAsia="en-US" w:bidi="sq-AL"/>
              </w:rPr>
              <w:t>Angazhimi i palëve të interesit në procesin e NAP-it</w:t>
            </w:r>
          </w:p>
        </w:tc>
        <w:tc>
          <w:tcPr>
            <w:tcW w:w="505" w:type="pct"/>
            <w:vAlign w:val="center"/>
            <w:hideMark/>
          </w:tcPr>
          <w:p w14:paraId="45C1F0AC" w14:textId="77777777" w:rsidR="00622884" w:rsidRPr="00622884" w:rsidRDefault="00622884" w:rsidP="00622884">
            <w:pPr>
              <w:spacing w:after="0" w:line="240" w:lineRule="auto"/>
              <w:jc w:val="left"/>
              <w:rPr>
                <w:rFonts w:ascii="Garamond" w:eastAsia="SimSun" w:hAnsi="Garamond" w:cs="Calibri Light"/>
                <w:sz w:val="12"/>
                <w:szCs w:val="12"/>
                <w:lang w:eastAsia="en-US"/>
              </w:rPr>
            </w:pPr>
            <w:r w:rsidRPr="00622884">
              <w:rPr>
                <w:rFonts w:ascii="Garamond" w:eastAsia="SimSun" w:hAnsi="Garamond" w:cs="Calibri Light"/>
                <w:sz w:val="12"/>
                <w:szCs w:val="12"/>
                <w:lang w:eastAsia="en-US" w:bidi="sq-AL"/>
              </w:rPr>
              <w:t>Niveli bashkiak / kombëtar</w:t>
            </w:r>
          </w:p>
        </w:tc>
        <w:tc>
          <w:tcPr>
            <w:tcW w:w="480" w:type="pct"/>
            <w:vAlign w:val="center"/>
            <w:hideMark/>
          </w:tcPr>
          <w:p w14:paraId="3C3AD5B8" w14:textId="77777777" w:rsidR="00622884" w:rsidRPr="00622884" w:rsidRDefault="00622884" w:rsidP="00622884">
            <w:pPr>
              <w:spacing w:after="0" w:line="240" w:lineRule="auto"/>
              <w:jc w:val="left"/>
              <w:rPr>
                <w:rFonts w:ascii="Garamond" w:eastAsia="SimSun" w:hAnsi="Garamond" w:cs="Calibri Light"/>
                <w:sz w:val="12"/>
                <w:szCs w:val="12"/>
                <w:lang w:eastAsia="en-US"/>
              </w:rPr>
            </w:pPr>
            <w:r w:rsidRPr="00622884">
              <w:rPr>
                <w:rFonts w:ascii="Garamond" w:eastAsia="SimSun" w:hAnsi="Garamond" w:cs="Calibri Light"/>
                <w:sz w:val="12"/>
                <w:szCs w:val="12"/>
                <w:lang w:eastAsia="en-US" w:bidi="sq-AL"/>
              </w:rPr>
              <w:t xml:space="preserve">Numri i instrumenteve të pilotuara për angazhimin e palëve të interesit </w:t>
            </w:r>
          </w:p>
        </w:tc>
        <w:tc>
          <w:tcPr>
            <w:tcW w:w="429" w:type="pct"/>
            <w:vAlign w:val="center"/>
            <w:hideMark/>
          </w:tcPr>
          <w:p w14:paraId="3825C883" w14:textId="77777777" w:rsidR="00622884" w:rsidRPr="00622884" w:rsidRDefault="00622884" w:rsidP="00622884">
            <w:pPr>
              <w:spacing w:after="0" w:line="240" w:lineRule="auto"/>
              <w:jc w:val="left"/>
              <w:rPr>
                <w:rFonts w:ascii="Garamond" w:eastAsia="SimSun" w:hAnsi="Garamond" w:cs="Calibri Light"/>
                <w:sz w:val="12"/>
                <w:szCs w:val="12"/>
                <w:lang w:eastAsia="en-US"/>
              </w:rPr>
            </w:pPr>
            <w:r w:rsidRPr="00622884">
              <w:rPr>
                <w:rFonts w:ascii="Garamond" w:eastAsia="SimSun" w:hAnsi="Garamond" w:cs="Calibri Light"/>
                <w:sz w:val="12"/>
                <w:szCs w:val="12"/>
                <w:lang w:eastAsia="en-US" w:bidi="sq-AL"/>
              </w:rPr>
              <w:t>MM, NJQV-të, Organizata të shoqërisë civile (OSHC)</w:t>
            </w:r>
          </w:p>
        </w:tc>
        <w:tc>
          <w:tcPr>
            <w:tcW w:w="524" w:type="pct"/>
            <w:vAlign w:val="center"/>
            <w:hideMark/>
          </w:tcPr>
          <w:p w14:paraId="1C8A2D2C" w14:textId="77777777" w:rsidR="00622884" w:rsidRPr="00622884" w:rsidRDefault="00622884" w:rsidP="00622884">
            <w:pPr>
              <w:spacing w:after="0" w:line="240" w:lineRule="auto"/>
              <w:jc w:val="left"/>
              <w:rPr>
                <w:rFonts w:ascii="Garamond" w:eastAsia="SimSun" w:hAnsi="Garamond" w:cs="Calibri Light"/>
                <w:sz w:val="12"/>
                <w:szCs w:val="12"/>
                <w:lang w:eastAsia="en-US"/>
              </w:rPr>
            </w:pPr>
            <w:r w:rsidRPr="00622884">
              <w:rPr>
                <w:rFonts w:ascii="Garamond" w:eastAsia="SimSun" w:hAnsi="Garamond" w:cs="Calibri Light"/>
                <w:sz w:val="12"/>
                <w:szCs w:val="12"/>
                <w:lang w:eastAsia="en-US" w:bidi="sq-AL"/>
              </w:rPr>
              <w:t>Sigurimi që konsultimet me palët e shumta të interesit dhe instrumentet pjesëmarrëse të integrohen dhe funksionojnë në të gjitha nivelet gjatë zbatimit të NAP-it</w:t>
            </w:r>
          </w:p>
        </w:tc>
        <w:tc>
          <w:tcPr>
            <w:tcW w:w="333" w:type="pct"/>
            <w:vAlign w:val="center"/>
            <w:hideMark/>
          </w:tcPr>
          <w:p w14:paraId="7BF3B3D1" w14:textId="77777777" w:rsidR="00622884" w:rsidRPr="00622884" w:rsidRDefault="00622884" w:rsidP="00622884">
            <w:pPr>
              <w:spacing w:after="0" w:line="240" w:lineRule="auto"/>
              <w:jc w:val="left"/>
              <w:rPr>
                <w:rFonts w:ascii="Garamond" w:eastAsia="SimSun" w:hAnsi="Garamond" w:cs="Calibri Light"/>
                <w:sz w:val="12"/>
                <w:szCs w:val="12"/>
                <w:lang w:eastAsia="en-US"/>
              </w:rPr>
            </w:pPr>
            <w:r w:rsidRPr="00622884">
              <w:rPr>
                <w:rFonts w:ascii="Garamond" w:eastAsia="SimSun" w:hAnsi="Garamond" w:cs="Calibri Light"/>
                <w:sz w:val="12"/>
                <w:szCs w:val="12"/>
                <w:lang w:eastAsia="en-US" w:bidi="sq-AL"/>
              </w:rPr>
              <w:t>Vlerësimi sasior</w:t>
            </w:r>
          </w:p>
        </w:tc>
        <w:tc>
          <w:tcPr>
            <w:tcW w:w="429" w:type="pct"/>
            <w:vAlign w:val="center"/>
            <w:hideMark/>
          </w:tcPr>
          <w:p w14:paraId="4F465A07" w14:textId="77777777" w:rsidR="00622884" w:rsidRPr="00622884" w:rsidRDefault="00622884" w:rsidP="00622884">
            <w:pPr>
              <w:spacing w:after="0" w:line="240" w:lineRule="auto"/>
              <w:jc w:val="left"/>
              <w:rPr>
                <w:rFonts w:ascii="Garamond" w:eastAsia="SimSun" w:hAnsi="Garamond" w:cs="Calibri Light"/>
                <w:sz w:val="12"/>
                <w:szCs w:val="12"/>
                <w:lang w:eastAsia="en-US"/>
              </w:rPr>
            </w:pPr>
            <w:r w:rsidRPr="00622884">
              <w:rPr>
                <w:rFonts w:ascii="Garamond" w:eastAsia="SimSun" w:hAnsi="Garamond" w:cs="Calibri Light"/>
                <w:sz w:val="12"/>
                <w:szCs w:val="12"/>
                <w:lang w:eastAsia="en-US" w:bidi="sq-AL"/>
              </w:rPr>
              <w:t>Të dhënat e angazhimit të palëve të interesit të MTM-së, raportet nga NJQV-të dhe OSHC-të</w:t>
            </w:r>
          </w:p>
        </w:tc>
        <w:tc>
          <w:tcPr>
            <w:tcW w:w="476" w:type="pct"/>
            <w:vAlign w:val="center"/>
            <w:hideMark/>
          </w:tcPr>
          <w:p w14:paraId="58F8972F" w14:textId="77777777" w:rsidR="00622884" w:rsidRPr="00622884" w:rsidRDefault="00622884" w:rsidP="00622884">
            <w:pPr>
              <w:spacing w:after="0" w:line="240" w:lineRule="auto"/>
              <w:jc w:val="left"/>
              <w:rPr>
                <w:rFonts w:ascii="Garamond" w:eastAsia="SimSun" w:hAnsi="Garamond" w:cs="Calibri Light"/>
                <w:sz w:val="12"/>
                <w:szCs w:val="12"/>
                <w:lang w:eastAsia="en-US"/>
              </w:rPr>
            </w:pPr>
            <w:r w:rsidRPr="00622884">
              <w:rPr>
                <w:rFonts w:ascii="Garamond" w:eastAsia="SimSun" w:hAnsi="Garamond" w:cs="Calibri Light"/>
                <w:sz w:val="12"/>
                <w:szCs w:val="12"/>
                <w:lang w:eastAsia="en-US" w:bidi="sq-AL"/>
              </w:rPr>
              <w:t>Të dhënat e angazhimit të palëve të interesit të MM-së, raportet nga NJQV-të dhe OSHC-të</w:t>
            </w:r>
          </w:p>
        </w:tc>
        <w:tc>
          <w:tcPr>
            <w:tcW w:w="1429" w:type="pct"/>
            <w:vAlign w:val="center"/>
            <w:hideMark/>
          </w:tcPr>
          <w:p w14:paraId="53CCBB57" w14:textId="77777777" w:rsidR="00622884" w:rsidRPr="00622884" w:rsidRDefault="00622884" w:rsidP="00622884">
            <w:pPr>
              <w:spacing w:after="0" w:line="240" w:lineRule="auto"/>
              <w:jc w:val="left"/>
              <w:rPr>
                <w:rFonts w:ascii="Garamond" w:eastAsia="SimSun" w:hAnsi="Garamond" w:cs="Calibri Light"/>
                <w:sz w:val="12"/>
                <w:szCs w:val="12"/>
                <w:lang w:eastAsia="en-US"/>
              </w:rPr>
            </w:pPr>
            <w:r w:rsidRPr="00622884">
              <w:rPr>
                <w:rFonts w:ascii="Garamond" w:eastAsia="SimSun" w:hAnsi="Garamond" w:cs="Calibri Light"/>
                <w:sz w:val="12"/>
                <w:szCs w:val="12"/>
                <w:lang w:eastAsia="en-US" w:bidi="sq-AL"/>
              </w:rPr>
              <w:t xml:space="preserve">Matja e numrit të mekanizmave të angazhimit të palëve të interesit të pilotuar formalisht gjatë vitit të raportimit si pjesë e procesit të zbatimit të NAP-it. Instrumentet mund të përfshijnë </w:t>
            </w:r>
            <w:r w:rsidRPr="00622884">
              <w:rPr>
                <w:rFonts w:ascii="Garamond" w:eastAsia="SimSun" w:hAnsi="Garamond" w:cs="Calibri Light"/>
                <w:i/>
                <w:sz w:val="12"/>
                <w:szCs w:val="12"/>
                <w:lang w:eastAsia="en-US" w:bidi="sq-AL"/>
              </w:rPr>
              <w:t>workshop</w:t>
            </w:r>
            <w:r w:rsidRPr="00622884">
              <w:rPr>
                <w:rFonts w:ascii="Garamond" w:eastAsia="SimSun" w:hAnsi="Garamond" w:cs="Calibri Light"/>
                <w:sz w:val="12"/>
                <w:szCs w:val="12"/>
                <w:lang w:eastAsia="en-US" w:bidi="sq-AL"/>
              </w:rPr>
              <w:t>-e, konsultime vendore, nisma shkencore qytetare, ose platforma të reagimit digjital.</w:t>
            </w:r>
          </w:p>
        </w:tc>
      </w:tr>
      <w:tr w:rsidR="00622884" w:rsidRPr="00622884" w14:paraId="6AC78199" w14:textId="77777777" w:rsidTr="00622884">
        <w:trPr>
          <w:trHeight w:val="20"/>
        </w:trPr>
        <w:tc>
          <w:tcPr>
            <w:tcW w:w="395" w:type="pct"/>
            <w:vAlign w:val="center"/>
            <w:hideMark/>
          </w:tcPr>
          <w:p w14:paraId="4615C245" w14:textId="77777777" w:rsidR="00622884" w:rsidRPr="00622884" w:rsidRDefault="00622884" w:rsidP="00622884">
            <w:pPr>
              <w:spacing w:after="0" w:line="240" w:lineRule="auto"/>
              <w:jc w:val="left"/>
              <w:rPr>
                <w:rFonts w:ascii="Garamond" w:eastAsia="SimSun" w:hAnsi="Garamond" w:cs="Calibri Light"/>
                <w:sz w:val="12"/>
                <w:szCs w:val="12"/>
                <w:lang w:eastAsia="en-US"/>
              </w:rPr>
            </w:pPr>
            <w:r w:rsidRPr="00622884">
              <w:rPr>
                <w:rFonts w:ascii="Garamond" w:eastAsia="SimSun" w:hAnsi="Garamond" w:cs="Calibri Light"/>
                <w:sz w:val="12"/>
                <w:szCs w:val="12"/>
                <w:lang w:eastAsia="en-US" w:bidi="sq-AL"/>
              </w:rPr>
              <w:t>Numri i zyrtarëve të trajnuar në planifikimin e përshtatjes dhe MRV</w:t>
            </w:r>
          </w:p>
        </w:tc>
        <w:tc>
          <w:tcPr>
            <w:tcW w:w="505" w:type="pct"/>
            <w:vAlign w:val="center"/>
            <w:hideMark/>
          </w:tcPr>
          <w:p w14:paraId="4BCAAECD" w14:textId="77777777" w:rsidR="00622884" w:rsidRPr="00622884" w:rsidRDefault="00622884" w:rsidP="00622884">
            <w:pPr>
              <w:spacing w:after="0" w:line="240" w:lineRule="auto"/>
              <w:jc w:val="left"/>
              <w:rPr>
                <w:rFonts w:ascii="Garamond" w:eastAsia="SimSun" w:hAnsi="Garamond" w:cs="Calibri Light"/>
                <w:sz w:val="12"/>
                <w:szCs w:val="12"/>
                <w:lang w:eastAsia="en-US"/>
              </w:rPr>
            </w:pPr>
            <w:r w:rsidRPr="00622884">
              <w:rPr>
                <w:rFonts w:ascii="Garamond" w:eastAsia="SimSun" w:hAnsi="Garamond" w:cs="Calibri Light"/>
                <w:sz w:val="12"/>
                <w:szCs w:val="12"/>
                <w:lang w:eastAsia="en-US" w:bidi="sq-AL"/>
              </w:rPr>
              <w:t>Kombëtare / Nënkombëtare</w:t>
            </w:r>
          </w:p>
        </w:tc>
        <w:tc>
          <w:tcPr>
            <w:tcW w:w="480" w:type="pct"/>
            <w:vAlign w:val="center"/>
            <w:hideMark/>
          </w:tcPr>
          <w:p w14:paraId="39A0D13B" w14:textId="77777777" w:rsidR="00622884" w:rsidRPr="00622884" w:rsidRDefault="00622884" w:rsidP="00622884">
            <w:pPr>
              <w:spacing w:after="0" w:line="240" w:lineRule="auto"/>
              <w:jc w:val="left"/>
              <w:rPr>
                <w:rFonts w:ascii="Garamond" w:eastAsia="SimSun" w:hAnsi="Garamond" w:cs="Calibri Light"/>
                <w:sz w:val="12"/>
                <w:szCs w:val="12"/>
                <w:lang w:eastAsia="en-US"/>
              </w:rPr>
            </w:pPr>
            <w:r w:rsidRPr="00622884">
              <w:rPr>
                <w:rFonts w:ascii="Garamond" w:eastAsia="SimSun" w:hAnsi="Garamond" w:cs="Calibri Light"/>
                <w:sz w:val="12"/>
                <w:szCs w:val="12"/>
                <w:lang w:eastAsia="en-US" w:bidi="sq-AL"/>
              </w:rPr>
              <w:t>Numri i individëve</w:t>
            </w:r>
          </w:p>
        </w:tc>
        <w:tc>
          <w:tcPr>
            <w:tcW w:w="429" w:type="pct"/>
            <w:vAlign w:val="center"/>
            <w:hideMark/>
          </w:tcPr>
          <w:p w14:paraId="69878758" w14:textId="77777777" w:rsidR="00622884" w:rsidRPr="00622884" w:rsidRDefault="00622884" w:rsidP="00622884">
            <w:pPr>
              <w:spacing w:after="0" w:line="240" w:lineRule="auto"/>
              <w:jc w:val="left"/>
              <w:rPr>
                <w:rFonts w:ascii="Garamond" w:eastAsia="SimSun" w:hAnsi="Garamond" w:cs="Calibri Light"/>
                <w:sz w:val="12"/>
                <w:szCs w:val="12"/>
                <w:lang w:eastAsia="en-US"/>
              </w:rPr>
            </w:pPr>
            <w:r w:rsidRPr="00622884">
              <w:rPr>
                <w:rFonts w:ascii="Garamond" w:eastAsia="SimSun" w:hAnsi="Garamond" w:cs="Calibri Light"/>
                <w:sz w:val="12"/>
                <w:szCs w:val="12"/>
                <w:lang w:eastAsia="en-US" w:bidi="sq-AL"/>
              </w:rPr>
              <w:t>MM</w:t>
            </w:r>
          </w:p>
        </w:tc>
        <w:tc>
          <w:tcPr>
            <w:tcW w:w="524" w:type="pct"/>
            <w:vAlign w:val="center"/>
            <w:hideMark/>
          </w:tcPr>
          <w:p w14:paraId="0F601CAE" w14:textId="77777777" w:rsidR="00622884" w:rsidRPr="00622884" w:rsidRDefault="00622884" w:rsidP="00622884">
            <w:pPr>
              <w:spacing w:after="0" w:line="240" w:lineRule="auto"/>
              <w:jc w:val="left"/>
              <w:rPr>
                <w:rFonts w:ascii="Garamond" w:eastAsia="SimSun" w:hAnsi="Garamond" w:cs="Calibri Light"/>
                <w:sz w:val="12"/>
                <w:szCs w:val="12"/>
                <w:lang w:eastAsia="en-US"/>
              </w:rPr>
            </w:pPr>
            <w:r w:rsidRPr="00622884">
              <w:rPr>
                <w:rFonts w:ascii="Garamond" w:eastAsia="SimSun" w:hAnsi="Garamond" w:cs="Calibri Light"/>
                <w:sz w:val="12"/>
                <w:szCs w:val="12"/>
                <w:lang w:eastAsia="en-US" w:bidi="sq-AL"/>
              </w:rPr>
              <w:t>Garantimi që stafi përkatës në të gjithë sektorët dhe nivelet të pajiset me njohuritë për të integruar përshtatjen në proceset e planifikimit dhe MRV.</w:t>
            </w:r>
          </w:p>
        </w:tc>
        <w:tc>
          <w:tcPr>
            <w:tcW w:w="333" w:type="pct"/>
            <w:vAlign w:val="center"/>
            <w:hideMark/>
          </w:tcPr>
          <w:p w14:paraId="7538ED4A" w14:textId="77777777" w:rsidR="00622884" w:rsidRPr="00622884" w:rsidRDefault="00622884" w:rsidP="00622884">
            <w:pPr>
              <w:spacing w:after="0" w:line="240" w:lineRule="auto"/>
              <w:jc w:val="left"/>
              <w:rPr>
                <w:rFonts w:ascii="Garamond" w:eastAsia="SimSun" w:hAnsi="Garamond" w:cs="Calibri Light"/>
                <w:sz w:val="12"/>
                <w:szCs w:val="12"/>
                <w:lang w:eastAsia="en-US"/>
              </w:rPr>
            </w:pPr>
            <w:r w:rsidRPr="00622884">
              <w:rPr>
                <w:rFonts w:ascii="Garamond" w:eastAsia="SimSun" w:hAnsi="Garamond" w:cs="Calibri Light"/>
                <w:sz w:val="12"/>
                <w:szCs w:val="12"/>
                <w:lang w:eastAsia="en-US" w:bidi="sq-AL"/>
              </w:rPr>
              <w:t>Vlerësimi sasior</w:t>
            </w:r>
          </w:p>
        </w:tc>
        <w:tc>
          <w:tcPr>
            <w:tcW w:w="429" w:type="pct"/>
            <w:vAlign w:val="center"/>
            <w:hideMark/>
          </w:tcPr>
          <w:p w14:paraId="23F424EC" w14:textId="77777777" w:rsidR="00622884" w:rsidRPr="00622884" w:rsidRDefault="00622884" w:rsidP="00622884">
            <w:pPr>
              <w:spacing w:after="0" w:line="240" w:lineRule="auto"/>
              <w:jc w:val="left"/>
              <w:rPr>
                <w:rFonts w:ascii="Garamond" w:eastAsia="SimSun" w:hAnsi="Garamond" w:cs="Calibri Light"/>
                <w:sz w:val="12"/>
                <w:szCs w:val="12"/>
                <w:lang w:eastAsia="en-US"/>
              </w:rPr>
            </w:pPr>
            <w:r w:rsidRPr="00622884">
              <w:rPr>
                <w:rFonts w:ascii="Garamond" w:eastAsia="SimSun" w:hAnsi="Garamond" w:cs="Calibri Light"/>
                <w:sz w:val="12"/>
                <w:szCs w:val="12"/>
                <w:lang w:eastAsia="en-US" w:bidi="sq-AL"/>
              </w:rPr>
              <w:t>Raportet e trajnimit, regjistrimi i pjesëmarrjes, të dhënat institucionale të MV-së.</w:t>
            </w:r>
          </w:p>
        </w:tc>
        <w:tc>
          <w:tcPr>
            <w:tcW w:w="476" w:type="pct"/>
            <w:vAlign w:val="center"/>
            <w:hideMark/>
          </w:tcPr>
          <w:p w14:paraId="68394115" w14:textId="77777777" w:rsidR="00622884" w:rsidRPr="00622884" w:rsidRDefault="00622884" w:rsidP="00622884">
            <w:pPr>
              <w:spacing w:after="0" w:line="240" w:lineRule="auto"/>
              <w:jc w:val="left"/>
              <w:rPr>
                <w:rFonts w:ascii="Garamond" w:eastAsia="SimSun" w:hAnsi="Garamond" w:cs="Calibri Light"/>
                <w:sz w:val="12"/>
                <w:szCs w:val="12"/>
                <w:lang w:eastAsia="en-US"/>
              </w:rPr>
            </w:pPr>
            <w:r w:rsidRPr="00622884">
              <w:rPr>
                <w:rFonts w:ascii="Garamond" w:eastAsia="SimSun" w:hAnsi="Garamond" w:cs="Calibri Light"/>
                <w:sz w:val="12"/>
                <w:szCs w:val="12"/>
                <w:lang w:eastAsia="en-US" w:bidi="sq-AL"/>
              </w:rPr>
              <w:t>Departamenti për Ndryshimet Klimatike i MM-së</w:t>
            </w:r>
          </w:p>
        </w:tc>
        <w:tc>
          <w:tcPr>
            <w:tcW w:w="1429" w:type="pct"/>
            <w:vAlign w:val="center"/>
            <w:hideMark/>
          </w:tcPr>
          <w:p w14:paraId="7782AA2D" w14:textId="77777777" w:rsidR="00622884" w:rsidRPr="00622884" w:rsidRDefault="00622884" w:rsidP="00622884">
            <w:pPr>
              <w:spacing w:after="0" w:line="240" w:lineRule="auto"/>
              <w:jc w:val="left"/>
              <w:rPr>
                <w:rFonts w:ascii="Garamond" w:eastAsia="SimSun" w:hAnsi="Garamond" w:cs="Calibri Light"/>
                <w:sz w:val="12"/>
                <w:szCs w:val="12"/>
                <w:lang w:eastAsia="en-US"/>
              </w:rPr>
            </w:pPr>
            <w:r w:rsidRPr="00622884">
              <w:rPr>
                <w:rFonts w:ascii="Garamond" w:eastAsia="SimSun" w:hAnsi="Garamond" w:cs="Calibri Light"/>
                <w:sz w:val="12"/>
                <w:szCs w:val="12"/>
                <w:lang w:eastAsia="en-US" w:bidi="sq-AL"/>
              </w:rPr>
              <w:t>Ky tregues përcakton numrin e individëve unikë të trajnuar çdo vit në tema të lidhura me planifikimin e përshtatjes dhe/ose MRV-së. Pjesëmarrësit duhet të kenë përfunduar të paktën 75% të seancave të trajnimit dhe të kenë marrë një certifikatë</w:t>
            </w:r>
          </w:p>
        </w:tc>
      </w:tr>
      <w:tr w:rsidR="00622884" w:rsidRPr="00622884" w14:paraId="388C38A1" w14:textId="77777777" w:rsidTr="00622884">
        <w:trPr>
          <w:trHeight w:val="20"/>
        </w:trPr>
        <w:tc>
          <w:tcPr>
            <w:tcW w:w="395" w:type="pct"/>
            <w:vAlign w:val="center"/>
            <w:hideMark/>
          </w:tcPr>
          <w:p w14:paraId="02C3B12A" w14:textId="77777777" w:rsidR="00622884" w:rsidRPr="00622884" w:rsidRDefault="00622884" w:rsidP="00622884">
            <w:pPr>
              <w:spacing w:after="0" w:line="240" w:lineRule="auto"/>
              <w:jc w:val="left"/>
              <w:rPr>
                <w:rFonts w:ascii="Garamond" w:eastAsia="SimSun" w:hAnsi="Garamond" w:cs="Calibri Light"/>
                <w:b/>
                <w:bCs/>
                <w:sz w:val="12"/>
                <w:szCs w:val="12"/>
                <w:lang w:eastAsia="en-US"/>
              </w:rPr>
            </w:pPr>
            <w:r w:rsidRPr="00622884">
              <w:rPr>
                <w:rFonts w:ascii="Garamond" w:eastAsia="SimSun" w:hAnsi="Garamond" w:cs="Calibri Light"/>
                <w:sz w:val="12"/>
                <w:szCs w:val="12"/>
                <w:lang w:eastAsia="en-US" w:bidi="sq-AL"/>
              </w:rPr>
              <w:t>Disponueshmëria e vlerësimeve të përditësuara të riskut klimatik</w:t>
            </w:r>
          </w:p>
        </w:tc>
        <w:tc>
          <w:tcPr>
            <w:tcW w:w="505" w:type="pct"/>
            <w:vAlign w:val="center"/>
            <w:hideMark/>
          </w:tcPr>
          <w:p w14:paraId="28703EFF" w14:textId="77777777" w:rsidR="00622884" w:rsidRPr="00622884" w:rsidRDefault="00622884" w:rsidP="00622884">
            <w:pPr>
              <w:spacing w:after="0" w:line="240" w:lineRule="auto"/>
              <w:jc w:val="left"/>
              <w:rPr>
                <w:rFonts w:ascii="Garamond" w:eastAsia="SimSun" w:hAnsi="Garamond" w:cs="Calibri Light"/>
                <w:sz w:val="12"/>
                <w:szCs w:val="12"/>
                <w:lang w:eastAsia="en-US"/>
              </w:rPr>
            </w:pPr>
            <w:r w:rsidRPr="00622884">
              <w:rPr>
                <w:rFonts w:ascii="Garamond" w:eastAsia="SimSun" w:hAnsi="Garamond" w:cs="Calibri Light"/>
                <w:sz w:val="12"/>
                <w:szCs w:val="12"/>
                <w:lang w:eastAsia="en-US" w:bidi="sq-AL"/>
              </w:rPr>
              <w:t>Sektoriale</w:t>
            </w:r>
          </w:p>
        </w:tc>
        <w:tc>
          <w:tcPr>
            <w:tcW w:w="480" w:type="pct"/>
            <w:vAlign w:val="center"/>
            <w:hideMark/>
          </w:tcPr>
          <w:p w14:paraId="752D92F4" w14:textId="77777777" w:rsidR="00622884" w:rsidRPr="00622884" w:rsidRDefault="00622884" w:rsidP="00622884">
            <w:pPr>
              <w:spacing w:after="0" w:line="240" w:lineRule="auto"/>
              <w:jc w:val="left"/>
              <w:rPr>
                <w:rFonts w:ascii="Garamond" w:eastAsia="SimSun" w:hAnsi="Garamond" w:cs="Calibri Light"/>
                <w:sz w:val="12"/>
                <w:szCs w:val="12"/>
                <w:lang w:eastAsia="en-US"/>
              </w:rPr>
            </w:pPr>
            <w:r w:rsidRPr="00622884">
              <w:rPr>
                <w:rFonts w:ascii="Garamond" w:eastAsia="SimSun" w:hAnsi="Garamond" w:cs="Calibri Light"/>
                <w:sz w:val="12"/>
                <w:szCs w:val="12"/>
                <w:lang w:eastAsia="en-US" w:bidi="sq-AL"/>
              </w:rPr>
              <w:t>Numri i vlerësimeve</w:t>
            </w:r>
          </w:p>
        </w:tc>
        <w:tc>
          <w:tcPr>
            <w:tcW w:w="429" w:type="pct"/>
            <w:vAlign w:val="center"/>
            <w:hideMark/>
          </w:tcPr>
          <w:p w14:paraId="706B9512" w14:textId="77777777" w:rsidR="00622884" w:rsidRPr="00622884" w:rsidRDefault="00622884" w:rsidP="00622884">
            <w:pPr>
              <w:spacing w:after="0" w:line="240" w:lineRule="auto"/>
              <w:jc w:val="left"/>
              <w:rPr>
                <w:rFonts w:ascii="Garamond" w:eastAsia="SimSun" w:hAnsi="Garamond" w:cs="Calibri Light"/>
                <w:sz w:val="12"/>
                <w:szCs w:val="12"/>
                <w:lang w:eastAsia="en-US"/>
              </w:rPr>
            </w:pPr>
            <w:r w:rsidRPr="00622884">
              <w:rPr>
                <w:rFonts w:ascii="Garamond" w:eastAsia="SimSun" w:hAnsi="Garamond" w:cs="Calibri Light"/>
                <w:sz w:val="12"/>
                <w:szCs w:val="12"/>
                <w:lang w:eastAsia="en-US" w:bidi="sq-AL"/>
              </w:rPr>
              <w:t>MM, Instituti i Gjeoshkencave (IGJEO)</w:t>
            </w:r>
          </w:p>
        </w:tc>
        <w:tc>
          <w:tcPr>
            <w:tcW w:w="524" w:type="pct"/>
            <w:vAlign w:val="center"/>
            <w:hideMark/>
          </w:tcPr>
          <w:p w14:paraId="6A42CC3F" w14:textId="77777777" w:rsidR="00622884" w:rsidRPr="00622884" w:rsidRDefault="00622884" w:rsidP="00622884">
            <w:pPr>
              <w:spacing w:after="0" w:line="240" w:lineRule="auto"/>
              <w:jc w:val="left"/>
              <w:rPr>
                <w:rFonts w:ascii="Garamond" w:eastAsia="SimSun" w:hAnsi="Garamond" w:cs="Calibri Light"/>
                <w:sz w:val="12"/>
                <w:szCs w:val="12"/>
                <w:lang w:eastAsia="en-US"/>
              </w:rPr>
            </w:pPr>
            <w:r w:rsidRPr="00622884">
              <w:rPr>
                <w:rFonts w:ascii="Garamond" w:eastAsia="SimSun" w:hAnsi="Garamond" w:cs="Calibri Light"/>
                <w:sz w:val="12"/>
                <w:szCs w:val="12"/>
                <w:lang w:eastAsia="en-US" w:bidi="sq-AL"/>
              </w:rPr>
              <w:t>Garantimi i disponueshmërisë së informacionit të përditësuar të riskut dhe cenueshmërisë klimatike në sektorët kyç për të informuar planifikimin e përshtatjes.</w:t>
            </w:r>
          </w:p>
        </w:tc>
        <w:tc>
          <w:tcPr>
            <w:tcW w:w="333" w:type="pct"/>
            <w:vAlign w:val="center"/>
            <w:hideMark/>
          </w:tcPr>
          <w:p w14:paraId="1FA27EB5" w14:textId="77777777" w:rsidR="00622884" w:rsidRPr="00622884" w:rsidRDefault="00622884" w:rsidP="00622884">
            <w:pPr>
              <w:spacing w:after="0" w:line="240" w:lineRule="auto"/>
              <w:jc w:val="left"/>
              <w:rPr>
                <w:rFonts w:ascii="Garamond" w:eastAsia="SimSun" w:hAnsi="Garamond" w:cs="Calibri Light"/>
                <w:sz w:val="12"/>
                <w:szCs w:val="12"/>
                <w:lang w:eastAsia="en-US"/>
              </w:rPr>
            </w:pPr>
            <w:r w:rsidRPr="00622884">
              <w:rPr>
                <w:rFonts w:ascii="Garamond" w:eastAsia="SimSun" w:hAnsi="Garamond" w:cs="Calibri Light"/>
                <w:sz w:val="12"/>
                <w:szCs w:val="12"/>
                <w:lang w:eastAsia="en-US" w:bidi="sq-AL"/>
              </w:rPr>
              <w:t>Vlerësimi sasior</w:t>
            </w:r>
          </w:p>
        </w:tc>
        <w:tc>
          <w:tcPr>
            <w:tcW w:w="429" w:type="pct"/>
            <w:vAlign w:val="center"/>
            <w:hideMark/>
          </w:tcPr>
          <w:p w14:paraId="37E395DC" w14:textId="77777777" w:rsidR="00622884" w:rsidRPr="00622884" w:rsidRDefault="00622884" w:rsidP="00622884">
            <w:pPr>
              <w:spacing w:after="0" w:line="240" w:lineRule="auto"/>
              <w:jc w:val="left"/>
              <w:rPr>
                <w:rFonts w:ascii="Garamond" w:eastAsia="SimSun" w:hAnsi="Garamond" w:cs="Calibri Light"/>
                <w:sz w:val="12"/>
                <w:szCs w:val="12"/>
                <w:lang w:eastAsia="en-US"/>
              </w:rPr>
            </w:pPr>
            <w:r w:rsidRPr="00622884">
              <w:rPr>
                <w:rFonts w:ascii="Garamond" w:eastAsia="SimSun" w:hAnsi="Garamond" w:cs="Calibri Light"/>
                <w:sz w:val="12"/>
                <w:szCs w:val="12"/>
                <w:lang w:eastAsia="en-US" w:bidi="sq-AL"/>
              </w:rPr>
              <w:t>Raportet e vlerësimit sektorial, botimet e IGJEO-s, arkivat e MM-së</w:t>
            </w:r>
          </w:p>
        </w:tc>
        <w:tc>
          <w:tcPr>
            <w:tcW w:w="476" w:type="pct"/>
            <w:vAlign w:val="center"/>
            <w:hideMark/>
          </w:tcPr>
          <w:p w14:paraId="30F8E3ED" w14:textId="77777777" w:rsidR="00622884" w:rsidRPr="00622884" w:rsidRDefault="00622884" w:rsidP="00622884">
            <w:pPr>
              <w:spacing w:after="0" w:line="240" w:lineRule="auto"/>
              <w:jc w:val="left"/>
              <w:rPr>
                <w:rFonts w:ascii="Garamond" w:eastAsia="SimSun" w:hAnsi="Garamond" w:cs="Calibri Light"/>
                <w:sz w:val="12"/>
                <w:szCs w:val="12"/>
                <w:lang w:eastAsia="en-US"/>
              </w:rPr>
            </w:pPr>
            <w:r w:rsidRPr="00622884">
              <w:rPr>
                <w:rFonts w:ascii="Garamond" w:eastAsia="SimSun" w:hAnsi="Garamond" w:cs="Calibri Light"/>
                <w:sz w:val="12"/>
                <w:szCs w:val="12"/>
                <w:lang w:eastAsia="en-US" w:bidi="sq-AL"/>
              </w:rPr>
              <w:t>IGJEO, Ministritë sektoriale, Departamenti për Ndryshimet Klimatike i MM-së</w:t>
            </w:r>
          </w:p>
        </w:tc>
        <w:tc>
          <w:tcPr>
            <w:tcW w:w="1429" w:type="pct"/>
            <w:vAlign w:val="center"/>
            <w:hideMark/>
          </w:tcPr>
          <w:p w14:paraId="574CCE1E" w14:textId="77777777" w:rsidR="00622884" w:rsidRPr="00622884" w:rsidRDefault="00622884" w:rsidP="00622884">
            <w:pPr>
              <w:spacing w:after="0" w:line="240" w:lineRule="auto"/>
              <w:jc w:val="left"/>
              <w:rPr>
                <w:rFonts w:ascii="Garamond" w:eastAsia="SimSun" w:hAnsi="Garamond" w:cs="Calibri Light"/>
                <w:sz w:val="12"/>
                <w:szCs w:val="12"/>
                <w:lang w:eastAsia="en-US"/>
              </w:rPr>
            </w:pPr>
            <w:r w:rsidRPr="00622884">
              <w:rPr>
                <w:rFonts w:ascii="Garamond" w:eastAsia="SimSun" w:hAnsi="Garamond" w:cs="Calibri Light"/>
                <w:sz w:val="12"/>
                <w:szCs w:val="12"/>
                <w:lang w:eastAsia="en-US" w:bidi="sq-AL"/>
              </w:rPr>
              <w:t>Ky tregues gjurmon numrin e vlerësimeve zyrtare të riskut dhe cenueshmërisë të përditësuara gjatë ciklit të raportimit dhe identifikon mbulimin e tyre në sektorë të ndryshëm.</w:t>
            </w:r>
          </w:p>
        </w:tc>
      </w:tr>
      <w:tr w:rsidR="00622884" w:rsidRPr="00622884" w14:paraId="6987D8FA" w14:textId="77777777" w:rsidTr="00622884">
        <w:trPr>
          <w:trHeight w:val="20"/>
        </w:trPr>
        <w:tc>
          <w:tcPr>
            <w:tcW w:w="395" w:type="pct"/>
            <w:vAlign w:val="center"/>
            <w:hideMark/>
          </w:tcPr>
          <w:p w14:paraId="76654942" w14:textId="77777777" w:rsidR="00622884" w:rsidRPr="00622884" w:rsidRDefault="00622884" w:rsidP="00622884">
            <w:pPr>
              <w:spacing w:after="0" w:line="240" w:lineRule="auto"/>
              <w:jc w:val="left"/>
              <w:rPr>
                <w:rFonts w:ascii="Garamond" w:eastAsia="SimSun" w:hAnsi="Garamond" w:cs="Calibri Light"/>
                <w:b/>
                <w:bCs/>
                <w:sz w:val="12"/>
                <w:szCs w:val="12"/>
                <w:lang w:eastAsia="en-US"/>
              </w:rPr>
            </w:pPr>
            <w:r w:rsidRPr="00622884">
              <w:rPr>
                <w:rFonts w:ascii="Garamond" w:eastAsia="SimSun" w:hAnsi="Garamond" w:cs="Calibri Light"/>
                <w:sz w:val="12"/>
                <w:szCs w:val="12"/>
                <w:lang w:eastAsia="en-US" w:bidi="sq-AL"/>
              </w:rPr>
              <w:t>Rishikime katërvjeçare të zbatimit të NAP-it</w:t>
            </w:r>
          </w:p>
        </w:tc>
        <w:tc>
          <w:tcPr>
            <w:tcW w:w="505" w:type="pct"/>
            <w:vAlign w:val="center"/>
            <w:hideMark/>
          </w:tcPr>
          <w:p w14:paraId="26B861D6" w14:textId="77777777" w:rsidR="00622884" w:rsidRPr="00622884" w:rsidRDefault="00622884" w:rsidP="00622884">
            <w:pPr>
              <w:spacing w:after="0" w:line="240" w:lineRule="auto"/>
              <w:jc w:val="left"/>
              <w:rPr>
                <w:rFonts w:ascii="Garamond" w:eastAsia="SimSun" w:hAnsi="Garamond" w:cs="Calibri Light"/>
                <w:sz w:val="12"/>
                <w:szCs w:val="12"/>
                <w:lang w:eastAsia="en-US"/>
              </w:rPr>
            </w:pPr>
            <w:r w:rsidRPr="00622884">
              <w:rPr>
                <w:rFonts w:ascii="Garamond" w:eastAsia="SimSun" w:hAnsi="Garamond" w:cs="Calibri Light"/>
                <w:sz w:val="12"/>
                <w:szCs w:val="12"/>
                <w:lang w:eastAsia="en-US" w:bidi="sq-AL"/>
              </w:rPr>
              <w:t>Kombëtar</w:t>
            </w:r>
          </w:p>
        </w:tc>
        <w:tc>
          <w:tcPr>
            <w:tcW w:w="480" w:type="pct"/>
            <w:vAlign w:val="center"/>
            <w:hideMark/>
          </w:tcPr>
          <w:p w14:paraId="0A8E2823" w14:textId="77777777" w:rsidR="00622884" w:rsidRPr="00622884" w:rsidRDefault="00622884" w:rsidP="00622884">
            <w:pPr>
              <w:spacing w:after="0" w:line="240" w:lineRule="auto"/>
              <w:jc w:val="left"/>
              <w:rPr>
                <w:rFonts w:ascii="Garamond" w:eastAsia="SimSun" w:hAnsi="Garamond" w:cs="Calibri Light"/>
                <w:sz w:val="12"/>
                <w:szCs w:val="12"/>
                <w:lang w:eastAsia="en-US"/>
              </w:rPr>
            </w:pPr>
            <w:r w:rsidRPr="00622884">
              <w:rPr>
                <w:rFonts w:ascii="Garamond" w:eastAsia="SimSun" w:hAnsi="Garamond" w:cs="Calibri Light"/>
                <w:sz w:val="12"/>
                <w:szCs w:val="12"/>
                <w:lang w:eastAsia="en-US" w:bidi="sq-AL"/>
              </w:rPr>
              <w:t>Po/Jo; Numri i vlerësimeve të zhvilluara; në rrugën e duhur / devijuar</w:t>
            </w:r>
          </w:p>
        </w:tc>
        <w:tc>
          <w:tcPr>
            <w:tcW w:w="429" w:type="pct"/>
            <w:vAlign w:val="center"/>
            <w:hideMark/>
          </w:tcPr>
          <w:p w14:paraId="0AA66E95" w14:textId="77777777" w:rsidR="00622884" w:rsidRPr="00622884" w:rsidRDefault="00622884" w:rsidP="00622884">
            <w:pPr>
              <w:spacing w:after="0" w:line="240" w:lineRule="auto"/>
              <w:jc w:val="left"/>
              <w:rPr>
                <w:rFonts w:ascii="Garamond" w:eastAsia="SimSun" w:hAnsi="Garamond" w:cs="Calibri Light"/>
                <w:sz w:val="12"/>
                <w:szCs w:val="12"/>
                <w:lang w:eastAsia="en-US"/>
              </w:rPr>
            </w:pPr>
            <w:r w:rsidRPr="00622884">
              <w:rPr>
                <w:rFonts w:ascii="Garamond" w:eastAsia="SimSun" w:hAnsi="Garamond" w:cs="Calibri Light"/>
                <w:sz w:val="12"/>
                <w:szCs w:val="12"/>
                <w:lang w:eastAsia="en-US" w:bidi="sq-AL"/>
              </w:rPr>
              <w:t>Grupi Ndërministror i Punës për Ndryshimet Klimatike (GNPNK)</w:t>
            </w:r>
          </w:p>
        </w:tc>
        <w:tc>
          <w:tcPr>
            <w:tcW w:w="524" w:type="pct"/>
            <w:vAlign w:val="center"/>
            <w:hideMark/>
          </w:tcPr>
          <w:p w14:paraId="2DECEF85" w14:textId="77777777" w:rsidR="00622884" w:rsidRPr="00622884" w:rsidRDefault="00622884" w:rsidP="00622884">
            <w:pPr>
              <w:spacing w:after="0" w:line="240" w:lineRule="auto"/>
              <w:jc w:val="left"/>
              <w:rPr>
                <w:rFonts w:ascii="Garamond" w:eastAsia="SimSun" w:hAnsi="Garamond" w:cs="Calibri Light"/>
                <w:sz w:val="12"/>
                <w:szCs w:val="12"/>
                <w:lang w:eastAsia="en-US"/>
              </w:rPr>
            </w:pPr>
            <w:r w:rsidRPr="00622884">
              <w:rPr>
                <w:rFonts w:ascii="Garamond" w:eastAsia="SimSun" w:hAnsi="Garamond" w:cs="Calibri Light"/>
                <w:sz w:val="12"/>
                <w:szCs w:val="12"/>
                <w:lang w:eastAsia="en-US" w:bidi="sq-AL"/>
              </w:rPr>
              <w:t>Garantimi i vlerësimit të rregullt dhe në kohë të progresit në zbatimin e masave të përshtatjes dhe trajtimi i pengesave.</w:t>
            </w:r>
          </w:p>
        </w:tc>
        <w:tc>
          <w:tcPr>
            <w:tcW w:w="333" w:type="pct"/>
            <w:vAlign w:val="center"/>
            <w:hideMark/>
          </w:tcPr>
          <w:p w14:paraId="75AD8D4A" w14:textId="77777777" w:rsidR="00622884" w:rsidRPr="00622884" w:rsidRDefault="00622884" w:rsidP="00622884">
            <w:pPr>
              <w:spacing w:after="0" w:line="240" w:lineRule="auto"/>
              <w:jc w:val="left"/>
              <w:rPr>
                <w:rFonts w:ascii="Garamond" w:eastAsia="SimSun" w:hAnsi="Garamond" w:cs="Calibri Light"/>
                <w:sz w:val="12"/>
                <w:szCs w:val="12"/>
                <w:lang w:eastAsia="en-US"/>
              </w:rPr>
            </w:pPr>
            <w:r w:rsidRPr="00622884">
              <w:rPr>
                <w:rFonts w:ascii="Garamond" w:eastAsia="SimSun" w:hAnsi="Garamond" w:cs="Calibri Light"/>
                <w:sz w:val="12"/>
                <w:szCs w:val="12"/>
                <w:lang w:eastAsia="en-US" w:bidi="sq-AL"/>
              </w:rPr>
              <w:t>Analiza cilësore, sasiore dhe të përbëra</w:t>
            </w:r>
          </w:p>
        </w:tc>
        <w:tc>
          <w:tcPr>
            <w:tcW w:w="429" w:type="pct"/>
            <w:vAlign w:val="center"/>
            <w:hideMark/>
          </w:tcPr>
          <w:p w14:paraId="1E125721" w14:textId="77777777" w:rsidR="00622884" w:rsidRPr="00622884" w:rsidRDefault="00622884" w:rsidP="00622884">
            <w:pPr>
              <w:spacing w:after="0" w:line="240" w:lineRule="auto"/>
              <w:jc w:val="left"/>
              <w:rPr>
                <w:rFonts w:ascii="Garamond" w:eastAsia="SimSun" w:hAnsi="Garamond" w:cs="Calibri Light"/>
                <w:sz w:val="12"/>
                <w:szCs w:val="12"/>
                <w:lang w:eastAsia="en-US"/>
              </w:rPr>
            </w:pPr>
            <w:r w:rsidRPr="00622884">
              <w:rPr>
                <w:rFonts w:ascii="Garamond" w:eastAsia="SimSun" w:hAnsi="Garamond" w:cs="Calibri Light"/>
                <w:sz w:val="12"/>
                <w:szCs w:val="12"/>
                <w:lang w:eastAsia="en-US" w:bidi="sq-AL"/>
              </w:rPr>
              <w:t>Raportet zyrtare të rishikimit të zbatimit të KPK-së, raportimi i brendshëm i MTM-së, procesverbalet e takimeve</w:t>
            </w:r>
          </w:p>
        </w:tc>
        <w:tc>
          <w:tcPr>
            <w:tcW w:w="476" w:type="pct"/>
            <w:vAlign w:val="center"/>
            <w:hideMark/>
          </w:tcPr>
          <w:p w14:paraId="40A56195" w14:textId="77777777" w:rsidR="00622884" w:rsidRPr="00622884" w:rsidRDefault="00622884" w:rsidP="00622884">
            <w:pPr>
              <w:spacing w:after="0" w:line="240" w:lineRule="auto"/>
              <w:jc w:val="left"/>
              <w:rPr>
                <w:rFonts w:ascii="Garamond" w:eastAsia="SimSun" w:hAnsi="Garamond" w:cs="Calibri Light"/>
                <w:sz w:val="12"/>
                <w:szCs w:val="12"/>
                <w:lang w:eastAsia="en-US"/>
              </w:rPr>
            </w:pPr>
            <w:r w:rsidRPr="00622884">
              <w:rPr>
                <w:rFonts w:ascii="Garamond" w:eastAsia="SimSun" w:hAnsi="Garamond" w:cs="Calibri Light"/>
                <w:sz w:val="12"/>
                <w:szCs w:val="12"/>
                <w:lang w:eastAsia="en-US" w:bidi="sq-AL"/>
              </w:rPr>
              <w:t>Grupi Ndërministror i Punës për Ndryshimet Klimatike (GNPNK)</w:t>
            </w:r>
          </w:p>
        </w:tc>
        <w:tc>
          <w:tcPr>
            <w:tcW w:w="1429" w:type="pct"/>
            <w:vAlign w:val="center"/>
            <w:hideMark/>
          </w:tcPr>
          <w:p w14:paraId="239D6DBE" w14:textId="77777777" w:rsidR="00622884" w:rsidRPr="00622884" w:rsidRDefault="00622884" w:rsidP="00622884">
            <w:pPr>
              <w:spacing w:after="0" w:line="240" w:lineRule="auto"/>
              <w:jc w:val="left"/>
              <w:rPr>
                <w:rFonts w:ascii="Garamond" w:eastAsia="SimSun" w:hAnsi="Garamond" w:cs="Calibri Light"/>
                <w:sz w:val="12"/>
                <w:szCs w:val="12"/>
                <w:lang w:eastAsia="en-US"/>
              </w:rPr>
            </w:pPr>
            <w:r w:rsidRPr="00622884">
              <w:rPr>
                <w:rFonts w:ascii="Garamond" w:eastAsia="SimSun" w:hAnsi="Garamond" w:cs="Calibri Light"/>
                <w:sz w:val="12"/>
                <w:szCs w:val="12"/>
                <w:lang w:eastAsia="en-US" w:bidi="sq-AL"/>
              </w:rPr>
              <w:t>Tregues i përbërë që ndjek (1) nëse rishikimi katërvjeçar është kryer (Po/Jo), (2) numrin total të rishikimeve të kryera sipas kalendarit, dhe (3) vetëvlerësimin cilësor të progresit (në rrugë e duhur / devijuar) të nxjerra nga gjetjet e rishikimit.</w:t>
            </w:r>
          </w:p>
        </w:tc>
      </w:tr>
      <w:bookmarkEnd w:id="311"/>
    </w:tbl>
    <w:p w14:paraId="1B9BEF8D" w14:textId="77777777" w:rsidR="00622884" w:rsidRPr="00622884" w:rsidRDefault="00622884" w:rsidP="00622884">
      <w:pPr>
        <w:tabs>
          <w:tab w:val="left" w:pos="5325"/>
        </w:tabs>
        <w:spacing w:after="0" w:line="240" w:lineRule="auto"/>
        <w:ind w:firstLine="284"/>
        <w:rPr>
          <w:rFonts w:ascii="Garamond" w:eastAsia="Calibri" w:hAnsi="Garamond" w:cs="Times New Roman"/>
          <w:sz w:val="12"/>
          <w:szCs w:val="12"/>
          <w:lang w:eastAsia="en-US"/>
        </w:rPr>
      </w:pPr>
    </w:p>
    <w:p w14:paraId="4841A9F2" w14:textId="77777777" w:rsidR="00622884" w:rsidRPr="00622884" w:rsidRDefault="00622884" w:rsidP="00622884">
      <w:pPr>
        <w:keepNext/>
        <w:keepLines/>
        <w:spacing w:after="0" w:line="240" w:lineRule="auto"/>
        <w:ind w:firstLine="284"/>
        <w:outlineLvl w:val="1"/>
        <w:rPr>
          <w:rFonts w:ascii="Garamond" w:eastAsia="MS Mincho" w:hAnsi="Garamond" w:cs="Times New Roman"/>
          <w:b/>
          <w:bCs/>
          <w:caps/>
          <w:color w:val="000000"/>
          <w:sz w:val="24"/>
          <w:szCs w:val="24"/>
          <w:lang w:eastAsia="es-ES"/>
        </w:rPr>
      </w:pPr>
      <w:bookmarkStart w:id="313" w:name="_Toc213936260"/>
      <w:r w:rsidRPr="00622884">
        <w:rPr>
          <w:rFonts w:ascii="Garamond" w:eastAsia="MS Mincho" w:hAnsi="Garamond" w:cs="Times New Roman"/>
          <w:b/>
          <w:bCs/>
          <w:caps/>
          <w:color w:val="000000"/>
          <w:sz w:val="24"/>
          <w:szCs w:val="24"/>
          <w:lang w:eastAsia="es-ES" w:bidi="sq-AL"/>
        </w:rPr>
        <w:lastRenderedPageBreak/>
        <w:t xml:space="preserve">10.3 </w:t>
      </w:r>
      <w:r w:rsidRPr="00622884">
        <w:rPr>
          <w:rFonts w:ascii="Garamond" w:eastAsia="MS Mincho" w:hAnsi="Garamond" w:cs="Times New Roman"/>
          <w:b/>
          <w:bCs/>
          <w:color w:val="000000"/>
          <w:sz w:val="24"/>
          <w:szCs w:val="24"/>
          <w:lang w:eastAsia="es-ES" w:bidi="sq-AL"/>
        </w:rPr>
        <w:t>Komponenti i vlerësimit</w:t>
      </w:r>
      <w:bookmarkEnd w:id="313"/>
      <w:r w:rsidRPr="00622884">
        <w:rPr>
          <w:rFonts w:ascii="Garamond" w:eastAsia="MS Mincho" w:hAnsi="Garamond" w:cs="Times New Roman"/>
          <w:b/>
          <w:bCs/>
          <w:color w:val="000000"/>
          <w:sz w:val="24"/>
          <w:szCs w:val="24"/>
          <w:lang w:eastAsia="es-ES" w:bidi="sq-AL"/>
        </w:rPr>
        <w:t xml:space="preserve"> </w:t>
      </w:r>
    </w:p>
    <w:p w14:paraId="1A218BD2" w14:textId="77777777" w:rsidR="00622884" w:rsidRPr="00622884" w:rsidRDefault="00622884" w:rsidP="00622884">
      <w:pPr>
        <w:spacing w:after="0" w:line="240" w:lineRule="auto"/>
        <w:ind w:firstLine="284"/>
        <w:rPr>
          <w:rFonts w:ascii="Garamond" w:eastAsia="Calibri" w:hAnsi="Garamond" w:cs="Times New Roman"/>
          <w:color w:val="000000"/>
          <w:sz w:val="24"/>
          <w:szCs w:val="24"/>
          <w:lang w:eastAsia="en-US"/>
        </w:rPr>
      </w:pPr>
      <w:r w:rsidRPr="00622884">
        <w:rPr>
          <w:rFonts w:ascii="Garamond" w:eastAsia="Calibri" w:hAnsi="Garamond" w:cs="Times New Roman"/>
          <w:color w:val="000000"/>
          <w:sz w:val="24"/>
          <w:szCs w:val="24"/>
          <w:lang w:eastAsia="en-US" w:bidi="sq-AL"/>
        </w:rPr>
        <w:t>Funksioni i vlerësimit i MVN-së ka për synim interpretojë të dhënat e përpunuara për të kuptuar se çfarë është arritur, çfarë mbetet për t’u përmirësuar dhe si kontribuojnë veprimet e përshtatjes në uljen e nivelit të cenueshmërisë dhe forcimin e aftësive ripërtëritëse me kalimin e kohës, nëpërmjet:</w:t>
      </w:r>
    </w:p>
    <w:p w14:paraId="13FDC824"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r w:rsidRPr="00622884">
        <w:rPr>
          <w:rFonts w:ascii="Garamond" w:eastAsia="Calibri" w:hAnsi="Garamond" w:cs="Times New Roman"/>
          <w:sz w:val="24"/>
          <w:szCs w:val="24"/>
          <w:lang w:eastAsia="en-US" w:bidi="sq-AL"/>
        </w:rPr>
        <w:t>-</w:t>
      </w:r>
      <w:r w:rsidRPr="00622884">
        <w:rPr>
          <w:rFonts w:ascii="Garamond" w:eastAsia="Calibri" w:hAnsi="Garamond" w:cs="Times New Roman"/>
          <w:b/>
          <w:sz w:val="24"/>
          <w:szCs w:val="24"/>
          <w:lang w:eastAsia="en-US" w:bidi="sq-AL"/>
        </w:rPr>
        <w:t xml:space="preserve"> Rezultateve të përshtatjes, </w:t>
      </w:r>
      <w:r w:rsidRPr="00622884">
        <w:rPr>
          <w:rFonts w:ascii="Garamond" w:eastAsia="Calibri" w:hAnsi="Garamond" w:cs="Times New Roman"/>
          <w:sz w:val="24"/>
          <w:szCs w:val="24"/>
          <w:lang w:eastAsia="en-US" w:bidi="sq-AL"/>
        </w:rPr>
        <w:t>përfshirë këtu ndryshimet në nivelin e cenueshmërisë, ekspozimin dhe kapacitet për përshtatje, si dhe forcimin e aftësive ripërtëritëse në nivel kombëtar dhe vendor; dhe</w:t>
      </w:r>
    </w:p>
    <w:p w14:paraId="09F3C02F"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r w:rsidRPr="00622884">
        <w:rPr>
          <w:rFonts w:ascii="Garamond" w:eastAsia="Calibri" w:hAnsi="Garamond" w:cs="Times New Roman"/>
          <w:sz w:val="24"/>
          <w:szCs w:val="24"/>
          <w:lang w:eastAsia="en-US" w:bidi="sq-AL"/>
        </w:rPr>
        <w:t>-</w:t>
      </w:r>
      <w:r w:rsidRPr="00622884">
        <w:rPr>
          <w:rFonts w:ascii="Garamond" w:eastAsia="Calibri" w:hAnsi="Garamond" w:cs="Times New Roman"/>
          <w:b/>
          <w:sz w:val="24"/>
          <w:szCs w:val="24"/>
          <w:lang w:eastAsia="en-US" w:bidi="sq-AL"/>
        </w:rPr>
        <w:t xml:space="preserve"> Performancës së procesit të NAP-it, </w:t>
      </w:r>
      <w:r w:rsidRPr="00622884">
        <w:rPr>
          <w:rFonts w:ascii="Garamond" w:eastAsia="Calibri" w:hAnsi="Garamond" w:cs="Times New Roman"/>
          <w:sz w:val="24"/>
          <w:szCs w:val="24"/>
          <w:lang w:eastAsia="en-US" w:bidi="sq-AL"/>
        </w:rPr>
        <w:t>duke përfshirë efektshmërinë e strukturave të qeverisjes, koordinimin ndërinstitucional, zbatimin në nivel sektorial dhe përafrimin me objektivat kombëtare dhe ndërkombëtare të përshtatjes.</w:t>
      </w:r>
    </w:p>
    <w:p w14:paraId="672079E7" w14:textId="77777777" w:rsidR="00622884" w:rsidRPr="00622884" w:rsidRDefault="00622884" w:rsidP="00622884">
      <w:pPr>
        <w:spacing w:after="0" w:line="240" w:lineRule="auto"/>
        <w:ind w:firstLine="284"/>
        <w:rPr>
          <w:rFonts w:ascii="Garamond" w:eastAsia="SimSun" w:hAnsi="Garamond" w:cs="Calibri Light"/>
          <w:color w:val="000000"/>
          <w:sz w:val="24"/>
          <w:szCs w:val="24"/>
          <w:lang w:eastAsia="en-US" w:bidi="sq-AL"/>
        </w:rPr>
      </w:pPr>
      <w:r w:rsidRPr="00622884">
        <w:rPr>
          <w:rFonts w:ascii="Garamond" w:eastAsia="SimSun" w:hAnsi="Garamond" w:cs="Calibri Light"/>
          <w:color w:val="000000"/>
          <w:sz w:val="24"/>
          <w:szCs w:val="24"/>
          <w:lang w:eastAsia="en-US" w:bidi="sq-AL"/>
        </w:rPr>
        <w:t xml:space="preserve">Shihni </w:t>
      </w:r>
      <w:r w:rsidRPr="00622884">
        <w:rPr>
          <w:rFonts w:ascii="Garamond" w:eastAsia="SimSun" w:hAnsi="Garamond" w:cs="Calibri Light"/>
          <w:color w:val="000000"/>
          <w:sz w:val="24"/>
          <w:szCs w:val="24"/>
          <w:lang w:eastAsia="en-US" w:bidi="sq-AL"/>
        </w:rPr>
        <w:fldChar w:fldCharType="begin"/>
      </w:r>
      <w:r w:rsidRPr="00622884">
        <w:rPr>
          <w:rFonts w:ascii="Garamond" w:eastAsia="SimSun" w:hAnsi="Garamond" w:cs="Calibri Light"/>
          <w:color w:val="000000"/>
          <w:sz w:val="24"/>
          <w:szCs w:val="24"/>
          <w:lang w:eastAsia="en-US" w:bidi="sq-AL"/>
        </w:rPr>
        <w:instrText xml:space="preserve"> REF _Ref209100659  \* MERGEFORMAT </w:instrText>
      </w:r>
      <w:r w:rsidRPr="00622884">
        <w:rPr>
          <w:rFonts w:ascii="Garamond" w:eastAsia="SimSun" w:hAnsi="Garamond" w:cs="Calibri Light"/>
          <w:color w:val="000000"/>
          <w:sz w:val="24"/>
          <w:szCs w:val="24"/>
          <w:lang w:eastAsia="en-US" w:bidi="sq-AL"/>
        </w:rPr>
        <w:fldChar w:fldCharType="separate"/>
      </w:r>
      <w:r w:rsidRPr="00622884">
        <w:rPr>
          <w:rFonts w:ascii="Garamond" w:eastAsia="SimSun" w:hAnsi="Garamond" w:cs="Calibri Light"/>
          <w:color w:val="000000"/>
          <w:sz w:val="24"/>
          <w:szCs w:val="24"/>
          <w:lang w:eastAsia="en-US" w:bidi="sq-AL"/>
        </w:rPr>
        <w:t>tabelën 22</w:t>
      </w:r>
      <w:r w:rsidRPr="00622884">
        <w:rPr>
          <w:rFonts w:ascii="Garamond" w:eastAsia="SimSun" w:hAnsi="Garamond" w:cs="Calibri Light"/>
          <w:color w:val="000000"/>
          <w:sz w:val="24"/>
          <w:szCs w:val="24"/>
          <w:lang w:eastAsia="en-US" w:bidi="sq-AL"/>
        </w:rPr>
        <w:fldChar w:fldCharType="end"/>
      </w:r>
      <w:r w:rsidRPr="00622884">
        <w:rPr>
          <w:rFonts w:ascii="Garamond" w:eastAsia="SimSun" w:hAnsi="Garamond" w:cs="Calibri Light"/>
          <w:color w:val="000000"/>
          <w:sz w:val="24"/>
          <w:szCs w:val="24"/>
          <w:lang w:eastAsia="en-US" w:bidi="sq-AL"/>
        </w:rPr>
        <w:t xml:space="preserve">, më poshtë, modalitetet dhe përgjegjësitë e vlerësimit: </w:t>
      </w:r>
    </w:p>
    <w:p w14:paraId="63F180E9" w14:textId="77777777" w:rsidR="00622884" w:rsidRPr="00622884" w:rsidRDefault="00622884" w:rsidP="00622884">
      <w:pPr>
        <w:spacing w:after="0" w:line="240" w:lineRule="auto"/>
        <w:ind w:firstLine="284"/>
        <w:rPr>
          <w:rFonts w:ascii="Garamond" w:eastAsia="SimSun" w:hAnsi="Garamond" w:cs="Calibri Light"/>
          <w:color w:val="000000"/>
          <w:sz w:val="24"/>
          <w:szCs w:val="24"/>
          <w:lang w:eastAsia="en-US"/>
        </w:rPr>
      </w:pPr>
    </w:p>
    <w:p w14:paraId="42EB5D5C" w14:textId="77777777" w:rsidR="00622884" w:rsidRPr="00622884" w:rsidRDefault="00622884" w:rsidP="00622884">
      <w:pPr>
        <w:spacing w:after="0" w:line="240" w:lineRule="auto"/>
        <w:ind w:firstLine="284"/>
        <w:rPr>
          <w:rFonts w:ascii="Garamond" w:eastAsia="SimSun" w:hAnsi="Garamond" w:cs="Calibri Light"/>
          <w:b/>
          <w:color w:val="000000"/>
          <w:sz w:val="24"/>
          <w:szCs w:val="24"/>
          <w:lang w:eastAsia="en-US"/>
        </w:rPr>
      </w:pPr>
      <w:r w:rsidRPr="00622884">
        <w:rPr>
          <w:rFonts w:ascii="Garamond" w:eastAsia="SimSun" w:hAnsi="Garamond" w:cs="Calibri Light"/>
          <w:b/>
          <w:color w:val="000000"/>
          <w:sz w:val="24"/>
          <w:szCs w:val="24"/>
          <w:lang w:eastAsia="en-US"/>
        </w:rPr>
        <w:t>Tabela 22: Modalitetet dhe përgjegjësitë e vlerësimit.</w:t>
      </w:r>
    </w:p>
    <w:tbl>
      <w:tblPr>
        <w:tblW w:w="0" w:type="auto"/>
        <w:tblInd w:w="-152" w:type="dxa"/>
        <w:tblBorders>
          <w:top w:val="single" w:sz="4" w:space="0" w:color="1D3C5A"/>
          <w:left w:val="single" w:sz="4" w:space="0" w:color="1D3C5A"/>
          <w:bottom w:val="single" w:sz="4" w:space="0" w:color="1D3C5A"/>
          <w:right w:val="single" w:sz="4" w:space="0" w:color="1D3C5A"/>
          <w:insideH w:val="single" w:sz="4" w:space="0" w:color="1D3C5A"/>
          <w:insideV w:val="single" w:sz="4" w:space="0" w:color="1D3C5A"/>
        </w:tblBorders>
        <w:tblLook w:val="04A0" w:firstRow="1" w:lastRow="0" w:firstColumn="1" w:lastColumn="0" w:noHBand="0" w:noVBand="1"/>
      </w:tblPr>
      <w:tblGrid>
        <w:gridCol w:w="1556"/>
        <w:gridCol w:w="1442"/>
        <w:gridCol w:w="2341"/>
        <w:gridCol w:w="1006"/>
        <w:gridCol w:w="1507"/>
        <w:gridCol w:w="1587"/>
      </w:tblGrid>
      <w:tr w:rsidR="00622884" w:rsidRPr="00622884" w14:paraId="51FC9BCF" w14:textId="77777777" w:rsidTr="00622884">
        <w:trPr>
          <w:trHeight w:val="256"/>
        </w:trPr>
        <w:tc>
          <w:tcPr>
            <w:tcW w:w="0" w:type="auto"/>
            <w:shd w:val="clear" w:color="auto" w:fill="215A5C"/>
            <w:vAlign w:val="center"/>
            <w:hideMark/>
          </w:tcPr>
          <w:p w14:paraId="5A696FC8" w14:textId="77777777" w:rsidR="00622884" w:rsidRPr="00622884" w:rsidRDefault="00622884" w:rsidP="00622884">
            <w:pPr>
              <w:spacing w:after="0" w:line="240" w:lineRule="auto"/>
              <w:jc w:val="center"/>
              <w:rPr>
                <w:rFonts w:ascii="Garamond" w:eastAsia="DengXian" w:hAnsi="Garamond" w:cs="Calibri Light"/>
                <w:b/>
                <w:bCs/>
                <w:sz w:val="12"/>
                <w:szCs w:val="12"/>
                <w:lang w:eastAsia="en-US"/>
              </w:rPr>
            </w:pPr>
            <w:r w:rsidRPr="00622884">
              <w:rPr>
                <w:rFonts w:ascii="Garamond" w:eastAsia="DengXian" w:hAnsi="Garamond" w:cs="Times New Roman"/>
                <w:b/>
                <w:sz w:val="12"/>
                <w:szCs w:val="12"/>
                <w:lang w:eastAsia="en-US" w:bidi="sq-AL"/>
              </w:rPr>
              <w:t>Mekanizmi</w:t>
            </w:r>
          </w:p>
        </w:tc>
        <w:tc>
          <w:tcPr>
            <w:tcW w:w="0" w:type="auto"/>
            <w:shd w:val="clear" w:color="auto" w:fill="215A5C"/>
            <w:vAlign w:val="center"/>
            <w:hideMark/>
          </w:tcPr>
          <w:p w14:paraId="19F231F0" w14:textId="77777777" w:rsidR="00622884" w:rsidRPr="00622884" w:rsidRDefault="00622884" w:rsidP="00622884">
            <w:pPr>
              <w:spacing w:after="0" w:line="240" w:lineRule="auto"/>
              <w:jc w:val="center"/>
              <w:rPr>
                <w:rFonts w:ascii="Garamond" w:eastAsia="DengXian" w:hAnsi="Garamond" w:cs="Calibri Light"/>
                <w:b/>
                <w:bCs/>
                <w:sz w:val="12"/>
                <w:szCs w:val="12"/>
                <w:lang w:eastAsia="en-US"/>
              </w:rPr>
            </w:pPr>
            <w:r w:rsidRPr="00622884">
              <w:rPr>
                <w:rFonts w:ascii="Garamond" w:eastAsia="DengXian" w:hAnsi="Garamond" w:cs="Times New Roman"/>
                <w:b/>
                <w:sz w:val="12"/>
                <w:szCs w:val="12"/>
                <w:lang w:eastAsia="en-US" w:bidi="sq-AL"/>
              </w:rPr>
              <w:t>Institucionet drejtuese</w:t>
            </w:r>
          </w:p>
        </w:tc>
        <w:tc>
          <w:tcPr>
            <w:tcW w:w="0" w:type="auto"/>
            <w:shd w:val="clear" w:color="auto" w:fill="215A5C"/>
            <w:vAlign w:val="center"/>
            <w:hideMark/>
          </w:tcPr>
          <w:p w14:paraId="7B727556" w14:textId="77777777" w:rsidR="00622884" w:rsidRPr="00622884" w:rsidRDefault="00622884" w:rsidP="00622884">
            <w:pPr>
              <w:spacing w:after="0" w:line="240" w:lineRule="auto"/>
              <w:jc w:val="center"/>
              <w:rPr>
                <w:rFonts w:ascii="Garamond" w:eastAsia="DengXian" w:hAnsi="Garamond" w:cs="Calibri Light"/>
                <w:b/>
                <w:bCs/>
                <w:sz w:val="12"/>
                <w:szCs w:val="12"/>
                <w:lang w:eastAsia="en-US"/>
              </w:rPr>
            </w:pPr>
            <w:r w:rsidRPr="00622884">
              <w:rPr>
                <w:rFonts w:ascii="Garamond" w:eastAsia="DengXian" w:hAnsi="Garamond" w:cs="Times New Roman"/>
                <w:b/>
                <w:sz w:val="12"/>
                <w:szCs w:val="12"/>
                <w:lang w:eastAsia="en-US" w:bidi="sq-AL"/>
              </w:rPr>
              <w:t>Qëllimi</w:t>
            </w:r>
          </w:p>
        </w:tc>
        <w:tc>
          <w:tcPr>
            <w:tcW w:w="0" w:type="auto"/>
            <w:shd w:val="clear" w:color="auto" w:fill="215A5C"/>
            <w:vAlign w:val="center"/>
            <w:hideMark/>
          </w:tcPr>
          <w:p w14:paraId="710C6A70" w14:textId="77777777" w:rsidR="00622884" w:rsidRPr="00622884" w:rsidRDefault="00622884" w:rsidP="00622884">
            <w:pPr>
              <w:spacing w:after="0" w:line="240" w:lineRule="auto"/>
              <w:jc w:val="center"/>
              <w:rPr>
                <w:rFonts w:ascii="Garamond" w:eastAsia="DengXian" w:hAnsi="Garamond" w:cs="Calibri Light"/>
                <w:b/>
                <w:bCs/>
                <w:sz w:val="12"/>
                <w:szCs w:val="12"/>
                <w:lang w:eastAsia="en-US"/>
              </w:rPr>
            </w:pPr>
            <w:r w:rsidRPr="00622884">
              <w:rPr>
                <w:rFonts w:ascii="Garamond" w:eastAsia="DengXian" w:hAnsi="Garamond" w:cs="Times New Roman"/>
                <w:b/>
                <w:sz w:val="12"/>
                <w:szCs w:val="12"/>
                <w:lang w:eastAsia="en-US" w:bidi="sq-AL"/>
              </w:rPr>
              <w:t>Frekuenca</w:t>
            </w:r>
          </w:p>
        </w:tc>
        <w:tc>
          <w:tcPr>
            <w:tcW w:w="0" w:type="auto"/>
            <w:shd w:val="clear" w:color="auto" w:fill="215A5C"/>
            <w:vAlign w:val="center"/>
            <w:hideMark/>
          </w:tcPr>
          <w:p w14:paraId="045C30D2" w14:textId="77777777" w:rsidR="00622884" w:rsidRPr="00622884" w:rsidRDefault="00622884" w:rsidP="00622884">
            <w:pPr>
              <w:spacing w:after="0" w:line="240" w:lineRule="auto"/>
              <w:jc w:val="center"/>
              <w:rPr>
                <w:rFonts w:ascii="Garamond" w:eastAsia="DengXian" w:hAnsi="Garamond" w:cs="Calibri Light"/>
                <w:b/>
                <w:bCs/>
                <w:sz w:val="12"/>
                <w:szCs w:val="12"/>
                <w:lang w:eastAsia="en-US"/>
              </w:rPr>
            </w:pPr>
            <w:r w:rsidRPr="00622884">
              <w:rPr>
                <w:rFonts w:ascii="Garamond" w:eastAsia="DengXian" w:hAnsi="Garamond" w:cs="Times New Roman"/>
                <w:b/>
                <w:sz w:val="12"/>
                <w:szCs w:val="12"/>
                <w:lang w:eastAsia="en-US" w:bidi="sq-AL"/>
              </w:rPr>
              <w:t>Produktet</w:t>
            </w:r>
          </w:p>
        </w:tc>
        <w:tc>
          <w:tcPr>
            <w:tcW w:w="0" w:type="auto"/>
            <w:shd w:val="clear" w:color="auto" w:fill="215A5C"/>
            <w:vAlign w:val="center"/>
            <w:hideMark/>
          </w:tcPr>
          <w:p w14:paraId="5FC98B94" w14:textId="77777777" w:rsidR="00622884" w:rsidRPr="00622884" w:rsidRDefault="00622884" w:rsidP="00622884">
            <w:pPr>
              <w:spacing w:after="0" w:line="240" w:lineRule="auto"/>
              <w:jc w:val="center"/>
              <w:rPr>
                <w:rFonts w:ascii="Garamond" w:eastAsia="DengXian" w:hAnsi="Garamond" w:cs="Calibri Light"/>
                <w:b/>
                <w:bCs/>
                <w:sz w:val="12"/>
                <w:szCs w:val="12"/>
                <w:lang w:eastAsia="en-US"/>
              </w:rPr>
            </w:pPr>
            <w:r w:rsidRPr="00622884">
              <w:rPr>
                <w:rFonts w:ascii="Garamond" w:eastAsia="DengXian" w:hAnsi="Garamond" w:cs="Times New Roman"/>
                <w:b/>
                <w:sz w:val="12"/>
                <w:szCs w:val="12"/>
                <w:lang w:eastAsia="en-US" w:bidi="sq-AL"/>
              </w:rPr>
              <w:t>Pjesëmarrësit</w:t>
            </w:r>
          </w:p>
        </w:tc>
      </w:tr>
      <w:tr w:rsidR="00622884" w:rsidRPr="00622884" w14:paraId="3B3DB494" w14:textId="77777777" w:rsidTr="00622884">
        <w:trPr>
          <w:trHeight w:val="440"/>
        </w:trPr>
        <w:tc>
          <w:tcPr>
            <w:tcW w:w="0" w:type="auto"/>
            <w:vAlign w:val="center"/>
            <w:hideMark/>
          </w:tcPr>
          <w:p w14:paraId="62F23561" w14:textId="77777777" w:rsidR="00622884" w:rsidRPr="00622884" w:rsidRDefault="00622884" w:rsidP="00622884">
            <w:pPr>
              <w:spacing w:after="0" w:line="240" w:lineRule="auto"/>
              <w:jc w:val="center"/>
              <w:rPr>
                <w:rFonts w:ascii="Garamond" w:eastAsia="DengXian" w:hAnsi="Garamond" w:cs="Calibri Light"/>
                <w:sz w:val="12"/>
                <w:szCs w:val="12"/>
                <w:lang w:eastAsia="en-US"/>
              </w:rPr>
            </w:pPr>
            <w:r w:rsidRPr="00622884">
              <w:rPr>
                <w:rFonts w:ascii="Garamond" w:eastAsia="DengXian" w:hAnsi="Garamond" w:cs="Times New Roman"/>
                <w:b/>
                <w:sz w:val="12"/>
                <w:szCs w:val="12"/>
                <w:lang w:eastAsia="en-US" w:bidi="sq-AL"/>
              </w:rPr>
              <w:t>1. Vlerësimi vjetor i performancës</w:t>
            </w:r>
          </w:p>
        </w:tc>
        <w:tc>
          <w:tcPr>
            <w:tcW w:w="0" w:type="auto"/>
            <w:vAlign w:val="center"/>
            <w:hideMark/>
          </w:tcPr>
          <w:p w14:paraId="00F6BAA3" w14:textId="77777777" w:rsidR="00622884" w:rsidRPr="00622884" w:rsidRDefault="00622884" w:rsidP="00622884">
            <w:pPr>
              <w:spacing w:after="0" w:line="240" w:lineRule="auto"/>
              <w:jc w:val="center"/>
              <w:rPr>
                <w:rFonts w:ascii="Garamond" w:eastAsia="DengXian" w:hAnsi="Garamond" w:cs="Calibri Light"/>
                <w:sz w:val="12"/>
                <w:szCs w:val="12"/>
                <w:lang w:eastAsia="en-US"/>
              </w:rPr>
            </w:pPr>
            <w:r w:rsidRPr="00622884">
              <w:rPr>
                <w:rFonts w:ascii="Garamond" w:eastAsia="DengXian" w:hAnsi="Garamond" w:cs="Times New Roman"/>
                <w:sz w:val="12"/>
                <w:szCs w:val="12"/>
                <w:lang w:eastAsia="en-US" w:bidi="sq-AL"/>
              </w:rPr>
              <w:t>MM, AKM</w:t>
            </w:r>
          </w:p>
        </w:tc>
        <w:tc>
          <w:tcPr>
            <w:tcW w:w="0" w:type="auto"/>
            <w:vAlign w:val="center"/>
            <w:hideMark/>
          </w:tcPr>
          <w:p w14:paraId="14629E03" w14:textId="77777777" w:rsidR="00622884" w:rsidRPr="00622884" w:rsidRDefault="00622884" w:rsidP="00622884">
            <w:pPr>
              <w:spacing w:after="0" w:line="240" w:lineRule="auto"/>
              <w:jc w:val="center"/>
              <w:rPr>
                <w:rFonts w:ascii="Garamond" w:eastAsia="DengXian" w:hAnsi="Garamond" w:cs="Calibri Light"/>
                <w:sz w:val="12"/>
                <w:szCs w:val="12"/>
                <w:lang w:eastAsia="en-US"/>
              </w:rPr>
            </w:pPr>
            <w:r w:rsidRPr="00622884">
              <w:rPr>
                <w:rFonts w:ascii="Garamond" w:eastAsia="DengXian" w:hAnsi="Garamond" w:cs="Times New Roman"/>
                <w:sz w:val="12"/>
                <w:szCs w:val="12"/>
                <w:lang w:eastAsia="en-US" w:bidi="sq-AL"/>
              </w:rPr>
              <w:t>Ndjekja e progresit drejt objektivave të NAP-it dhe PVP-së duke përdorur treguesit</w:t>
            </w:r>
          </w:p>
        </w:tc>
        <w:tc>
          <w:tcPr>
            <w:tcW w:w="0" w:type="auto"/>
            <w:vAlign w:val="center"/>
            <w:hideMark/>
          </w:tcPr>
          <w:p w14:paraId="2654A5AB" w14:textId="77777777" w:rsidR="00622884" w:rsidRPr="00622884" w:rsidRDefault="00622884" w:rsidP="00622884">
            <w:pPr>
              <w:spacing w:after="0" w:line="240" w:lineRule="auto"/>
              <w:jc w:val="center"/>
              <w:rPr>
                <w:rFonts w:ascii="Garamond" w:eastAsia="DengXian" w:hAnsi="Garamond" w:cs="Calibri Light"/>
                <w:sz w:val="12"/>
                <w:szCs w:val="12"/>
                <w:lang w:eastAsia="en-US"/>
              </w:rPr>
            </w:pPr>
            <w:r w:rsidRPr="00622884">
              <w:rPr>
                <w:rFonts w:ascii="Garamond" w:eastAsia="DengXian" w:hAnsi="Garamond" w:cs="Times New Roman"/>
                <w:b/>
                <w:sz w:val="12"/>
                <w:szCs w:val="12"/>
                <w:lang w:eastAsia="en-US" w:bidi="sq-AL"/>
              </w:rPr>
              <w:t>Çdo vit (deri më 31 mars)</w:t>
            </w:r>
          </w:p>
        </w:tc>
        <w:tc>
          <w:tcPr>
            <w:tcW w:w="0" w:type="auto"/>
            <w:vAlign w:val="center"/>
            <w:hideMark/>
          </w:tcPr>
          <w:p w14:paraId="18646887" w14:textId="77777777" w:rsidR="00622884" w:rsidRPr="00622884" w:rsidRDefault="00622884" w:rsidP="00622884">
            <w:pPr>
              <w:spacing w:after="0" w:line="240" w:lineRule="auto"/>
              <w:jc w:val="center"/>
              <w:rPr>
                <w:rFonts w:ascii="Garamond" w:eastAsia="DengXian" w:hAnsi="Garamond" w:cs="Calibri Light"/>
                <w:sz w:val="12"/>
                <w:szCs w:val="12"/>
                <w:lang w:eastAsia="en-US"/>
              </w:rPr>
            </w:pPr>
            <w:r w:rsidRPr="00622884">
              <w:rPr>
                <w:rFonts w:ascii="Garamond" w:eastAsia="DengXian" w:hAnsi="Garamond" w:cs="Times New Roman"/>
                <w:sz w:val="12"/>
                <w:szCs w:val="12"/>
                <w:lang w:eastAsia="en-US" w:bidi="sq-AL"/>
              </w:rPr>
              <w:t>Raport vjetor i sintezës; përditësime në panelin e treguesve</w:t>
            </w:r>
          </w:p>
        </w:tc>
        <w:tc>
          <w:tcPr>
            <w:tcW w:w="0" w:type="auto"/>
            <w:vAlign w:val="center"/>
            <w:hideMark/>
          </w:tcPr>
          <w:p w14:paraId="5F0AC53E" w14:textId="77777777" w:rsidR="00622884" w:rsidRPr="00622884" w:rsidRDefault="00622884" w:rsidP="00622884">
            <w:pPr>
              <w:spacing w:after="0" w:line="240" w:lineRule="auto"/>
              <w:jc w:val="center"/>
              <w:rPr>
                <w:rFonts w:ascii="Garamond" w:eastAsia="DengXian" w:hAnsi="Garamond" w:cs="Calibri Light"/>
                <w:sz w:val="12"/>
                <w:szCs w:val="12"/>
                <w:lang w:eastAsia="en-US"/>
              </w:rPr>
            </w:pPr>
            <w:r w:rsidRPr="00622884">
              <w:rPr>
                <w:rFonts w:ascii="Garamond" w:eastAsia="DengXian" w:hAnsi="Garamond" w:cs="Times New Roman"/>
                <w:sz w:val="12"/>
                <w:szCs w:val="12"/>
                <w:lang w:eastAsia="en-US" w:bidi="sq-AL"/>
              </w:rPr>
              <w:t>Ministritë sektoriale, bashkitë, AKM, INSTAT</w:t>
            </w:r>
          </w:p>
        </w:tc>
      </w:tr>
      <w:tr w:rsidR="00622884" w:rsidRPr="00622884" w14:paraId="3DDD897F" w14:textId="77777777" w:rsidTr="00622884">
        <w:trPr>
          <w:trHeight w:val="440"/>
        </w:trPr>
        <w:tc>
          <w:tcPr>
            <w:tcW w:w="0" w:type="auto"/>
            <w:vAlign w:val="center"/>
            <w:hideMark/>
          </w:tcPr>
          <w:p w14:paraId="494553DA" w14:textId="77777777" w:rsidR="00622884" w:rsidRPr="00622884" w:rsidRDefault="00622884" w:rsidP="00622884">
            <w:pPr>
              <w:spacing w:after="0" w:line="240" w:lineRule="auto"/>
              <w:jc w:val="center"/>
              <w:rPr>
                <w:rFonts w:ascii="Garamond" w:eastAsia="DengXian" w:hAnsi="Garamond" w:cs="Calibri Light"/>
                <w:sz w:val="12"/>
                <w:szCs w:val="12"/>
                <w:lang w:eastAsia="en-US"/>
              </w:rPr>
            </w:pPr>
            <w:r w:rsidRPr="00622884">
              <w:rPr>
                <w:rFonts w:ascii="Garamond" w:eastAsia="DengXian" w:hAnsi="Garamond" w:cs="Times New Roman"/>
                <w:b/>
                <w:sz w:val="12"/>
                <w:szCs w:val="12"/>
                <w:lang w:eastAsia="en-US" w:bidi="sq-AL"/>
              </w:rPr>
              <w:t>2. Vlerësim i pavarur dyvjeçar</w:t>
            </w:r>
          </w:p>
        </w:tc>
        <w:tc>
          <w:tcPr>
            <w:tcW w:w="0" w:type="auto"/>
            <w:vAlign w:val="center"/>
            <w:hideMark/>
          </w:tcPr>
          <w:p w14:paraId="03AEB3FB" w14:textId="77777777" w:rsidR="00622884" w:rsidRPr="00622884" w:rsidRDefault="00622884" w:rsidP="00622884">
            <w:pPr>
              <w:spacing w:after="0" w:line="240" w:lineRule="auto"/>
              <w:jc w:val="center"/>
              <w:rPr>
                <w:rFonts w:ascii="Garamond" w:eastAsia="DengXian" w:hAnsi="Garamond" w:cs="Calibri Light"/>
                <w:sz w:val="12"/>
                <w:szCs w:val="12"/>
                <w:lang w:eastAsia="en-US"/>
              </w:rPr>
            </w:pPr>
            <w:r w:rsidRPr="00622884">
              <w:rPr>
                <w:rFonts w:ascii="Garamond" w:eastAsia="DengXian" w:hAnsi="Garamond" w:cs="Times New Roman"/>
                <w:sz w:val="12"/>
                <w:szCs w:val="12"/>
                <w:lang w:eastAsia="en-US" w:bidi="sq-AL"/>
              </w:rPr>
              <w:t>Vlerësues i jashtëm i porositur nga MM-ja</w:t>
            </w:r>
          </w:p>
        </w:tc>
        <w:tc>
          <w:tcPr>
            <w:tcW w:w="0" w:type="auto"/>
            <w:vAlign w:val="center"/>
            <w:hideMark/>
          </w:tcPr>
          <w:p w14:paraId="603B593B" w14:textId="77777777" w:rsidR="00622884" w:rsidRPr="00622884" w:rsidRDefault="00622884" w:rsidP="00622884">
            <w:pPr>
              <w:spacing w:after="0" w:line="240" w:lineRule="auto"/>
              <w:jc w:val="center"/>
              <w:rPr>
                <w:rFonts w:ascii="Garamond" w:eastAsia="DengXian" w:hAnsi="Garamond" w:cs="Calibri Light"/>
                <w:sz w:val="12"/>
                <w:szCs w:val="12"/>
                <w:lang w:eastAsia="en-US"/>
              </w:rPr>
            </w:pPr>
            <w:r w:rsidRPr="00622884">
              <w:rPr>
                <w:rFonts w:ascii="Garamond" w:eastAsia="DengXian" w:hAnsi="Garamond" w:cs="Times New Roman"/>
                <w:sz w:val="12"/>
                <w:szCs w:val="12"/>
                <w:lang w:eastAsia="en-US" w:bidi="sq-AL"/>
              </w:rPr>
              <w:t xml:space="preserve">Vlerësimi i efektshmërisë, ndikimit, eficiencës dhe qëndrueshmërisë; informon KPT-në e UNFCCC-së </w:t>
            </w:r>
          </w:p>
        </w:tc>
        <w:tc>
          <w:tcPr>
            <w:tcW w:w="0" w:type="auto"/>
            <w:vAlign w:val="center"/>
            <w:hideMark/>
          </w:tcPr>
          <w:p w14:paraId="5FDB1D59" w14:textId="77777777" w:rsidR="00622884" w:rsidRPr="00622884" w:rsidRDefault="00622884" w:rsidP="00622884">
            <w:pPr>
              <w:spacing w:after="0" w:line="240" w:lineRule="auto"/>
              <w:jc w:val="center"/>
              <w:rPr>
                <w:rFonts w:ascii="Garamond" w:eastAsia="DengXian" w:hAnsi="Garamond" w:cs="Calibri Light"/>
                <w:sz w:val="12"/>
                <w:szCs w:val="12"/>
                <w:lang w:eastAsia="en-US"/>
              </w:rPr>
            </w:pPr>
            <w:r w:rsidRPr="00622884">
              <w:rPr>
                <w:rFonts w:ascii="Garamond" w:eastAsia="DengXian" w:hAnsi="Garamond" w:cs="Times New Roman"/>
                <w:b/>
                <w:sz w:val="12"/>
                <w:szCs w:val="12"/>
                <w:lang w:eastAsia="en-US" w:bidi="sq-AL"/>
              </w:rPr>
              <w:t>Çdo 2 vjet (deri më 15 maj)</w:t>
            </w:r>
          </w:p>
        </w:tc>
        <w:tc>
          <w:tcPr>
            <w:tcW w:w="0" w:type="auto"/>
            <w:vAlign w:val="center"/>
            <w:hideMark/>
          </w:tcPr>
          <w:p w14:paraId="7401D544" w14:textId="77777777" w:rsidR="00622884" w:rsidRPr="00622884" w:rsidRDefault="00622884" w:rsidP="00622884">
            <w:pPr>
              <w:spacing w:after="0" w:line="240" w:lineRule="auto"/>
              <w:jc w:val="center"/>
              <w:rPr>
                <w:rFonts w:ascii="Garamond" w:eastAsia="DengXian" w:hAnsi="Garamond" w:cs="Calibri Light"/>
                <w:sz w:val="12"/>
                <w:szCs w:val="12"/>
                <w:lang w:eastAsia="en-US"/>
              </w:rPr>
            </w:pPr>
            <w:r w:rsidRPr="00622884">
              <w:rPr>
                <w:rFonts w:ascii="Garamond" w:eastAsia="DengXian" w:hAnsi="Garamond" w:cs="Times New Roman"/>
                <w:sz w:val="12"/>
                <w:szCs w:val="12"/>
                <w:lang w:eastAsia="en-US" w:bidi="sq-AL"/>
              </w:rPr>
              <w:t>Raporti i vlerësimit të pavarur</w:t>
            </w:r>
          </w:p>
        </w:tc>
        <w:tc>
          <w:tcPr>
            <w:tcW w:w="0" w:type="auto"/>
            <w:vAlign w:val="center"/>
            <w:hideMark/>
          </w:tcPr>
          <w:p w14:paraId="055F8E2A" w14:textId="77777777" w:rsidR="00622884" w:rsidRPr="00622884" w:rsidRDefault="00622884" w:rsidP="00622884">
            <w:pPr>
              <w:spacing w:after="0" w:line="240" w:lineRule="auto"/>
              <w:jc w:val="center"/>
              <w:rPr>
                <w:rFonts w:ascii="Garamond" w:eastAsia="DengXian" w:hAnsi="Garamond" w:cs="Calibri Light"/>
                <w:sz w:val="12"/>
                <w:szCs w:val="12"/>
                <w:lang w:eastAsia="en-US"/>
              </w:rPr>
            </w:pPr>
            <w:r w:rsidRPr="00622884">
              <w:rPr>
                <w:rFonts w:ascii="Garamond" w:eastAsia="DengXian" w:hAnsi="Garamond" w:cs="Times New Roman"/>
                <w:sz w:val="12"/>
                <w:szCs w:val="12"/>
                <w:lang w:eastAsia="en-US" w:bidi="sq-AL"/>
              </w:rPr>
              <w:t>MM, AKM, GNPNK/GPPNK, ekspertë të jashtëm</w:t>
            </w:r>
          </w:p>
        </w:tc>
      </w:tr>
      <w:tr w:rsidR="00622884" w:rsidRPr="00622884" w14:paraId="5377C99A" w14:textId="77777777" w:rsidTr="00622884">
        <w:trPr>
          <w:trHeight w:val="530"/>
        </w:trPr>
        <w:tc>
          <w:tcPr>
            <w:tcW w:w="0" w:type="auto"/>
            <w:vAlign w:val="center"/>
            <w:hideMark/>
          </w:tcPr>
          <w:p w14:paraId="76F0955D" w14:textId="77777777" w:rsidR="00622884" w:rsidRPr="00622884" w:rsidRDefault="00622884" w:rsidP="00622884">
            <w:pPr>
              <w:spacing w:after="0" w:line="240" w:lineRule="auto"/>
              <w:jc w:val="center"/>
              <w:rPr>
                <w:rFonts w:ascii="Garamond" w:eastAsia="DengXian" w:hAnsi="Garamond" w:cs="Calibri Light"/>
                <w:sz w:val="12"/>
                <w:szCs w:val="12"/>
                <w:lang w:eastAsia="en-US"/>
              </w:rPr>
            </w:pPr>
            <w:r w:rsidRPr="00622884">
              <w:rPr>
                <w:rFonts w:ascii="Garamond" w:eastAsia="DengXian" w:hAnsi="Garamond" w:cs="Times New Roman"/>
                <w:b/>
                <w:sz w:val="12"/>
                <w:szCs w:val="12"/>
                <w:lang w:eastAsia="en-US" w:bidi="sq-AL"/>
              </w:rPr>
              <w:t xml:space="preserve">3. </w:t>
            </w:r>
            <w:r w:rsidRPr="00622884">
              <w:rPr>
                <w:rFonts w:ascii="Garamond" w:eastAsia="DengXian" w:hAnsi="Garamond" w:cs="Times New Roman"/>
                <w:b/>
                <w:i/>
                <w:sz w:val="12"/>
                <w:szCs w:val="12"/>
                <w:lang w:eastAsia="en-US" w:bidi="sq-AL"/>
              </w:rPr>
              <w:t>Workshop</w:t>
            </w:r>
            <w:r w:rsidRPr="00622884">
              <w:rPr>
                <w:rFonts w:ascii="Garamond" w:eastAsia="DengXian" w:hAnsi="Garamond" w:cs="Times New Roman"/>
                <w:b/>
                <w:sz w:val="12"/>
                <w:szCs w:val="12"/>
                <w:lang w:eastAsia="en-US" w:bidi="sq-AL"/>
              </w:rPr>
              <w:t>-e të vlerësimit sektorial</w:t>
            </w:r>
          </w:p>
        </w:tc>
        <w:tc>
          <w:tcPr>
            <w:tcW w:w="0" w:type="auto"/>
            <w:vAlign w:val="center"/>
            <w:hideMark/>
          </w:tcPr>
          <w:p w14:paraId="069F14E3" w14:textId="77777777" w:rsidR="00622884" w:rsidRPr="00622884" w:rsidRDefault="00622884" w:rsidP="00622884">
            <w:pPr>
              <w:spacing w:after="0" w:line="240" w:lineRule="auto"/>
              <w:jc w:val="center"/>
              <w:rPr>
                <w:rFonts w:ascii="Garamond" w:eastAsia="DengXian" w:hAnsi="Garamond" w:cs="Calibri Light"/>
                <w:sz w:val="12"/>
                <w:szCs w:val="12"/>
                <w:lang w:eastAsia="en-US"/>
              </w:rPr>
            </w:pPr>
            <w:r w:rsidRPr="00622884">
              <w:rPr>
                <w:rFonts w:ascii="Garamond" w:eastAsia="DengXian" w:hAnsi="Garamond" w:cs="Times New Roman"/>
                <w:sz w:val="12"/>
                <w:szCs w:val="12"/>
                <w:lang w:eastAsia="en-US" w:bidi="sq-AL"/>
              </w:rPr>
              <w:t>Ministritë sektoriale, GNPNK/GPPNK,</w:t>
            </w:r>
          </w:p>
        </w:tc>
        <w:tc>
          <w:tcPr>
            <w:tcW w:w="0" w:type="auto"/>
            <w:vAlign w:val="center"/>
            <w:hideMark/>
          </w:tcPr>
          <w:p w14:paraId="1FF104EF" w14:textId="77777777" w:rsidR="00622884" w:rsidRPr="00622884" w:rsidRDefault="00622884" w:rsidP="00622884">
            <w:pPr>
              <w:spacing w:after="0" w:line="240" w:lineRule="auto"/>
              <w:jc w:val="center"/>
              <w:rPr>
                <w:rFonts w:ascii="Garamond" w:eastAsia="DengXian" w:hAnsi="Garamond" w:cs="Calibri Light"/>
                <w:sz w:val="12"/>
                <w:szCs w:val="12"/>
                <w:lang w:eastAsia="en-US"/>
              </w:rPr>
            </w:pPr>
            <w:r w:rsidRPr="00622884">
              <w:rPr>
                <w:rFonts w:ascii="Garamond" w:eastAsia="DengXian" w:hAnsi="Garamond" w:cs="Times New Roman"/>
                <w:sz w:val="12"/>
                <w:szCs w:val="12"/>
                <w:lang w:eastAsia="en-US" w:bidi="sq-AL"/>
              </w:rPr>
              <w:t>Vlerësimi i progresit specifik për sektor, identifikimi i pengesave dhe propozimi i korrigjimeve të kursit të veprimit</w:t>
            </w:r>
          </w:p>
        </w:tc>
        <w:tc>
          <w:tcPr>
            <w:tcW w:w="0" w:type="auto"/>
            <w:vAlign w:val="center"/>
            <w:hideMark/>
          </w:tcPr>
          <w:p w14:paraId="7C570EB3" w14:textId="77777777" w:rsidR="00622884" w:rsidRPr="00622884" w:rsidRDefault="00622884" w:rsidP="00622884">
            <w:pPr>
              <w:spacing w:after="0" w:line="240" w:lineRule="auto"/>
              <w:jc w:val="center"/>
              <w:rPr>
                <w:rFonts w:ascii="Garamond" w:eastAsia="DengXian" w:hAnsi="Garamond" w:cs="Calibri Light"/>
                <w:sz w:val="12"/>
                <w:szCs w:val="12"/>
                <w:lang w:eastAsia="en-US"/>
              </w:rPr>
            </w:pPr>
            <w:r w:rsidRPr="00622884">
              <w:rPr>
                <w:rFonts w:ascii="Garamond" w:eastAsia="DengXian" w:hAnsi="Garamond" w:cs="Times New Roman"/>
                <w:b/>
                <w:sz w:val="12"/>
                <w:szCs w:val="12"/>
                <w:lang w:eastAsia="en-US" w:bidi="sq-AL"/>
              </w:rPr>
              <w:t>Çdo vit ose çdo dy vite</w:t>
            </w:r>
          </w:p>
        </w:tc>
        <w:tc>
          <w:tcPr>
            <w:tcW w:w="0" w:type="auto"/>
            <w:vAlign w:val="center"/>
            <w:hideMark/>
          </w:tcPr>
          <w:p w14:paraId="32DBECFA" w14:textId="77777777" w:rsidR="00622884" w:rsidRPr="00622884" w:rsidRDefault="00622884" w:rsidP="00622884">
            <w:pPr>
              <w:spacing w:after="0" w:line="240" w:lineRule="auto"/>
              <w:jc w:val="center"/>
              <w:rPr>
                <w:rFonts w:ascii="Garamond" w:eastAsia="DengXian" w:hAnsi="Garamond" w:cs="Calibri Light"/>
                <w:sz w:val="12"/>
                <w:szCs w:val="12"/>
                <w:lang w:eastAsia="en-US"/>
              </w:rPr>
            </w:pPr>
            <w:r w:rsidRPr="00622884">
              <w:rPr>
                <w:rFonts w:ascii="Garamond" w:eastAsia="DengXian" w:hAnsi="Garamond" w:cs="Times New Roman"/>
                <w:sz w:val="12"/>
                <w:szCs w:val="12"/>
                <w:lang w:eastAsia="en-US" w:bidi="sq-AL"/>
              </w:rPr>
              <w:t xml:space="preserve">Raportet e </w:t>
            </w:r>
            <w:r w:rsidRPr="00622884">
              <w:rPr>
                <w:rFonts w:ascii="Garamond" w:eastAsia="DengXian" w:hAnsi="Garamond" w:cs="Times New Roman"/>
                <w:i/>
                <w:sz w:val="12"/>
                <w:szCs w:val="12"/>
                <w:lang w:eastAsia="en-US" w:bidi="sq-AL"/>
              </w:rPr>
              <w:t>workshop</w:t>
            </w:r>
            <w:r w:rsidRPr="00622884">
              <w:rPr>
                <w:rFonts w:ascii="Garamond" w:eastAsia="DengXian" w:hAnsi="Garamond" w:cs="Times New Roman"/>
                <w:sz w:val="12"/>
                <w:szCs w:val="12"/>
                <w:lang w:eastAsia="en-US" w:bidi="sq-AL"/>
              </w:rPr>
              <w:t>-eve; planet e përditësuara të veprimit</w:t>
            </w:r>
          </w:p>
        </w:tc>
        <w:tc>
          <w:tcPr>
            <w:tcW w:w="0" w:type="auto"/>
            <w:vAlign w:val="center"/>
            <w:hideMark/>
          </w:tcPr>
          <w:p w14:paraId="3A1F07B7" w14:textId="77777777" w:rsidR="00622884" w:rsidRPr="00622884" w:rsidRDefault="00622884" w:rsidP="00622884">
            <w:pPr>
              <w:spacing w:after="0" w:line="240" w:lineRule="auto"/>
              <w:jc w:val="center"/>
              <w:rPr>
                <w:rFonts w:ascii="Garamond" w:eastAsia="DengXian" w:hAnsi="Garamond" w:cs="Calibri Light"/>
                <w:sz w:val="12"/>
                <w:szCs w:val="12"/>
                <w:lang w:eastAsia="en-US"/>
              </w:rPr>
            </w:pPr>
            <w:r w:rsidRPr="00622884">
              <w:rPr>
                <w:rFonts w:ascii="Garamond" w:eastAsia="DengXian" w:hAnsi="Garamond" w:cs="Times New Roman"/>
                <w:sz w:val="12"/>
                <w:szCs w:val="12"/>
                <w:lang w:eastAsia="en-US" w:bidi="sq-AL"/>
              </w:rPr>
              <w:t>Pikat fokale të sektorit, institute kërkimore</w:t>
            </w:r>
          </w:p>
        </w:tc>
      </w:tr>
      <w:tr w:rsidR="00622884" w:rsidRPr="00622884" w14:paraId="440E140E" w14:textId="77777777" w:rsidTr="00622884">
        <w:trPr>
          <w:trHeight w:val="440"/>
        </w:trPr>
        <w:tc>
          <w:tcPr>
            <w:tcW w:w="0" w:type="auto"/>
            <w:vAlign w:val="center"/>
            <w:hideMark/>
          </w:tcPr>
          <w:p w14:paraId="357DF5C8" w14:textId="77777777" w:rsidR="00622884" w:rsidRPr="00622884" w:rsidRDefault="00622884" w:rsidP="00622884">
            <w:pPr>
              <w:spacing w:after="0" w:line="240" w:lineRule="auto"/>
              <w:jc w:val="center"/>
              <w:rPr>
                <w:rFonts w:ascii="Garamond" w:eastAsia="DengXian" w:hAnsi="Garamond" w:cs="Calibri Light"/>
                <w:sz w:val="12"/>
                <w:szCs w:val="12"/>
                <w:lang w:eastAsia="en-US"/>
              </w:rPr>
            </w:pPr>
            <w:r w:rsidRPr="00622884">
              <w:rPr>
                <w:rFonts w:ascii="Garamond" w:eastAsia="DengXian" w:hAnsi="Garamond" w:cs="Times New Roman"/>
                <w:b/>
                <w:sz w:val="12"/>
                <w:szCs w:val="12"/>
                <w:lang w:eastAsia="en-US" w:bidi="sq-AL"/>
              </w:rPr>
              <w:t>4. Shqyrtimi i të nxënit në nivel vendor</w:t>
            </w:r>
          </w:p>
        </w:tc>
        <w:tc>
          <w:tcPr>
            <w:tcW w:w="0" w:type="auto"/>
            <w:vAlign w:val="center"/>
            <w:hideMark/>
          </w:tcPr>
          <w:p w14:paraId="3C4AD585" w14:textId="77777777" w:rsidR="00622884" w:rsidRPr="00622884" w:rsidRDefault="00622884" w:rsidP="00622884">
            <w:pPr>
              <w:spacing w:after="0" w:line="240" w:lineRule="auto"/>
              <w:jc w:val="center"/>
              <w:rPr>
                <w:rFonts w:ascii="Garamond" w:eastAsia="DengXian" w:hAnsi="Garamond" w:cs="Calibri Light"/>
                <w:sz w:val="12"/>
                <w:szCs w:val="12"/>
                <w:lang w:eastAsia="en-US"/>
              </w:rPr>
            </w:pPr>
            <w:r w:rsidRPr="00622884">
              <w:rPr>
                <w:rFonts w:ascii="Garamond" w:eastAsia="DengXian" w:hAnsi="Garamond" w:cs="Times New Roman"/>
                <w:sz w:val="12"/>
                <w:szCs w:val="12"/>
                <w:lang w:eastAsia="en-US" w:bidi="sq-AL"/>
              </w:rPr>
              <w:t>Pikat fokale të PVP-së / bashkitë</w:t>
            </w:r>
          </w:p>
        </w:tc>
        <w:tc>
          <w:tcPr>
            <w:tcW w:w="0" w:type="auto"/>
            <w:vAlign w:val="center"/>
            <w:hideMark/>
          </w:tcPr>
          <w:p w14:paraId="1DEE1D52" w14:textId="77777777" w:rsidR="00622884" w:rsidRPr="00622884" w:rsidRDefault="00622884" w:rsidP="00622884">
            <w:pPr>
              <w:spacing w:after="0" w:line="240" w:lineRule="auto"/>
              <w:jc w:val="center"/>
              <w:rPr>
                <w:rFonts w:ascii="Garamond" w:eastAsia="DengXian" w:hAnsi="Garamond" w:cs="Calibri Light"/>
                <w:sz w:val="12"/>
                <w:szCs w:val="12"/>
                <w:lang w:eastAsia="en-US"/>
              </w:rPr>
            </w:pPr>
            <w:r w:rsidRPr="00622884">
              <w:rPr>
                <w:rFonts w:ascii="Garamond" w:eastAsia="DengXian" w:hAnsi="Garamond" w:cs="Times New Roman"/>
                <w:sz w:val="12"/>
                <w:szCs w:val="12"/>
                <w:lang w:eastAsia="en-US" w:bidi="sq-AL"/>
              </w:rPr>
              <w:t>Reflektimi mbi zbatimin e PVP-së, mbledhja e reagimeve në nivel vendor, vlerësimi i efektshmërisë</w:t>
            </w:r>
          </w:p>
        </w:tc>
        <w:tc>
          <w:tcPr>
            <w:tcW w:w="0" w:type="auto"/>
            <w:vAlign w:val="center"/>
            <w:hideMark/>
          </w:tcPr>
          <w:p w14:paraId="52E789A3" w14:textId="77777777" w:rsidR="00622884" w:rsidRPr="00622884" w:rsidRDefault="00622884" w:rsidP="00622884">
            <w:pPr>
              <w:spacing w:after="0" w:line="240" w:lineRule="auto"/>
              <w:jc w:val="center"/>
              <w:rPr>
                <w:rFonts w:ascii="Garamond" w:eastAsia="DengXian" w:hAnsi="Garamond" w:cs="Calibri Light"/>
                <w:sz w:val="12"/>
                <w:szCs w:val="12"/>
                <w:lang w:eastAsia="en-US"/>
              </w:rPr>
            </w:pPr>
            <w:r w:rsidRPr="00622884">
              <w:rPr>
                <w:rFonts w:ascii="Garamond" w:eastAsia="DengXian" w:hAnsi="Garamond" w:cs="Times New Roman"/>
                <w:b/>
                <w:sz w:val="12"/>
                <w:szCs w:val="12"/>
                <w:lang w:eastAsia="en-US" w:bidi="sq-AL"/>
              </w:rPr>
              <w:t>Çdo vit</w:t>
            </w:r>
          </w:p>
        </w:tc>
        <w:tc>
          <w:tcPr>
            <w:tcW w:w="0" w:type="auto"/>
            <w:vAlign w:val="center"/>
            <w:hideMark/>
          </w:tcPr>
          <w:p w14:paraId="17980A8F" w14:textId="77777777" w:rsidR="00622884" w:rsidRPr="00622884" w:rsidRDefault="00622884" w:rsidP="00622884">
            <w:pPr>
              <w:spacing w:after="0" w:line="240" w:lineRule="auto"/>
              <w:jc w:val="center"/>
              <w:rPr>
                <w:rFonts w:ascii="Garamond" w:eastAsia="DengXian" w:hAnsi="Garamond" w:cs="Calibri Light"/>
                <w:sz w:val="12"/>
                <w:szCs w:val="12"/>
                <w:lang w:eastAsia="en-US"/>
              </w:rPr>
            </w:pPr>
            <w:r w:rsidRPr="00622884">
              <w:rPr>
                <w:rFonts w:ascii="Garamond" w:eastAsia="DengXian" w:hAnsi="Garamond" w:cs="Times New Roman"/>
                <w:sz w:val="12"/>
                <w:szCs w:val="12"/>
                <w:lang w:eastAsia="en-US" w:bidi="sq-AL"/>
              </w:rPr>
              <w:t>Raportet vendore të të nxënit</w:t>
            </w:r>
          </w:p>
        </w:tc>
        <w:tc>
          <w:tcPr>
            <w:tcW w:w="0" w:type="auto"/>
            <w:vAlign w:val="center"/>
            <w:hideMark/>
          </w:tcPr>
          <w:p w14:paraId="3ED9C958" w14:textId="77777777" w:rsidR="00622884" w:rsidRPr="00622884" w:rsidRDefault="00622884" w:rsidP="00622884">
            <w:pPr>
              <w:spacing w:after="0" w:line="240" w:lineRule="auto"/>
              <w:jc w:val="center"/>
              <w:rPr>
                <w:rFonts w:ascii="Garamond" w:eastAsia="DengXian" w:hAnsi="Garamond" w:cs="Calibri Light"/>
                <w:sz w:val="12"/>
                <w:szCs w:val="12"/>
                <w:lang w:eastAsia="en-US"/>
              </w:rPr>
            </w:pPr>
            <w:r w:rsidRPr="00622884">
              <w:rPr>
                <w:rFonts w:ascii="Garamond" w:eastAsia="DengXian" w:hAnsi="Garamond" w:cs="Times New Roman"/>
                <w:sz w:val="12"/>
                <w:szCs w:val="12"/>
                <w:lang w:eastAsia="en-US" w:bidi="sq-AL"/>
              </w:rPr>
              <w:t>Aktorët bashkiakë, komunitetet, OSHC-të vendore</w:t>
            </w:r>
          </w:p>
        </w:tc>
      </w:tr>
      <w:tr w:rsidR="00622884" w:rsidRPr="00622884" w14:paraId="3DA03928" w14:textId="77777777" w:rsidTr="00622884">
        <w:trPr>
          <w:trHeight w:val="440"/>
        </w:trPr>
        <w:tc>
          <w:tcPr>
            <w:tcW w:w="0" w:type="auto"/>
            <w:vAlign w:val="center"/>
            <w:hideMark/>
          </w:tcPr>
          <w:p w14:paraId="6B2423D1" w14:textId="77777777" w:rsidR="00622884" w:rsidRPr="00622884" w:rsidRDefault="00622884" w:rsidP="00622884">
            <w:pPr>
              <w:spacing w:after="0" w:line="240" w:lineRule="auto"/>
              <w:jc w:val="center"/>
              <w:rPr>
                <w:rFonts w:ascii="Garamond" w:eastAsia="DengXian" w:hAnsi="Garamond" w:cs="Calibri Light"/>
                <w:sz w:val="12"/>
                <w:szCs w:val="12"/>
                <w:lang w:eastAsia="en-US"/>
              </w:rPr>
            </w:pPr>
            <w:r w:rsidRPr="00622884">
              <w:rPr>
                <w:rFonts w:ascii="Garamond" w:eastAsia="DengXian" w:hAnsi="Garamond" w:cs="Times New Roman"/>
                <w:b/>
                <w:sz w:val="12"/>
                <w:szCs w:val="12"/>
                <w:lang w:eastAsia="en-US" w:bidi="sq-AL"/>
              </w:rPr>
              <w:t>5. Cikli i reagimeve për MVN-në / menaxhimi përshtatës</w:t>
            </w:r>
          </w:p>
        </w:tc>
        <w:tc>
          <w:tcPr>
            <w:tcW w:w="0" w:type="auto"/>
            <w:vAlign w:val="center"/>
            <w:hideMark/>
          </w:tcPr>
          <w:p w14:paraId="647EF4BF" w14:textId="77777777" w:rsidR="00622884" w:rsidRPr="00622884" w:rsidRDefault="00622884" w:rsidP="00622884">
            <w:pPr>
              <w:spacing w:after="0" w:line="240" w:lineRule="auto"/>
              <w:jc w:val="center"/>
              <w:rPr>
                <w:rFonts w:ascii="Garamond" w:eastAsia="DengXian" w:hAnsi="Garamond" w:cs="Calibri Light"/>
                <w:sz w:val="12"/>
                <w:szCs w:val="12"/>
                <w:lang w:eastAsia="en-US"/>
              </w:rPr>
            </w:pPr>
            <w:r w:rsidRPr="00622884">
              <w:rPr>
                <w:rFonts w:ascii="Garamond" w:eastAsia="DengXian" w:hAnsi="Garamond" w:cs="Times New Roman"/>
                <w:sz w:val="12"/>
                <w:szCs w:val="12"/>
                <w:lang w:eastAsia="en-US" w:bidi="sq-AL"/>
              </w:rPr>
              <w:t>MM, AKM, GNPNK</w:t>
            </w:r>
          </w:p>
        </w:tc>
        <w:tc>
          <w:tcPr>
            <w:tcW w:w="0" w:type="auto"/>
            <w:vAlign w:val="center"/>
            <w:hideMark/>
          </w:tcPr>
          <w:p w14:paraId="75802BE9" w14:textId="77777777" w:rsidR="00622884" w:rsidRPr="00622884" w:rsidRDefault="00622884" w:rsidP="00622884">
            <w:pPr>
              <w:spacing w:after="0" w:line="240" w:lineRule="auto"/>
              <w:jc w:val="center"/>
              <w:rPr>
                <w:rFonts w:ascii="Garamond" w:eastAsia="DengXian" w:hAnsi="Garamond" w:cs="Calibri Light"/>
                <w:sz w:val="12"/>
                <w:szCs w:val="12"/>
                <w:lang w:eastAsia="en-US"/>
              </w:rPr>
            </w:pPr>
            <w:r w:rsidRPr="00622884">
              <w:rPr>
                <w:rFonts w:ascii="Garamond" w:eastAsia="DengXian" w:hAnsi="Garamond" w:cs="Times New Roman"/>
                <w:sz w:val="12"/>
                <w:szCs w:val="12"/>
                <w:lang w:eastAsia="en-US" w:bidi="sq-AL"/>
              </w:rPr>
              <w:t>Përshtatja e politikave dhe planifikimit në bazë të gjetjeve të MVN-së</w:t>
            </w:r>
          </w:p>
        </w:tc>
        <w:tc>
          <w:tcPr>
            <w:tcW w:w="0" w:type="auto"/>
            <w:vAlign w:val="center"/>
            <w:hideMark/>
          </w:tcPr>
          <w:p w14:paraId="51217265" w14:textId="77777777" w:rsidR="00622884" w:rsidRPr="00622884" w:rsidRDefault="00622884" w:rsidP="00622884">
            <w:pPr>
              <w:spacing w:after="0" w:line="240" w:lineRule="auto"/>
              <w:jc w:val="center"/>
              <w:rPr>
                <w:rFonts w:ascii="Garamond" w:eastAsia="DengXian" w:hAnsi="Garamond" w:cs="Calibri Light"/>
                <w:sz w:val="12"/>
                <w:szCs w:val="12"/>
                <w:lang w:eastAsia="en-US"/>
              </w:rPr>
            </w:pPr>
            <w:r w:rsidRPr="00622884">
              <w:rPr>
                <w:rFonts w:ascii="Garamond" w:eastAsia="DengXian" w:hAnsi="Garamond" w:cs="Times New Roman"/>
                <w:b/>
                <w:sz w:val="12"/>
                <w:szCs w:val="12"/>
                <w:lang w:eastAsia="en-US" w:bidi="sq-AL"/>
              </w:rPr>
              <w:t>Në zbatim e sipër</w:t>
            </w:r>
          </w:p>
        </w:tc>
        <w:tc>
          <w:tcPr>
            <w:tcW w:w="0" w:type="auto"/>
            <w:vAlign w:val="center"/>
            <w:hideMark/>
          </w:tcPr>
          <w:p w14:paraId="0B2E6423" w14:textId="77777777" w:rsidR="00622884" w:rsidRPr="00622884" w:rsidRDefault="00622884" w:rsidP="00622884">
            <w:pPr>
              <w:spacing w:after="0" w:line="240" w:lineRule="auto"/>
              <w:jc w:val="center"/>
              <w:rPr>
                <w:rFonts w:ascii="Garamond" w:eastAsia="DengXian" w:hAnsi="Garamond" w:cs="Calibri Light"/>
                <w:sz w:val="12"/>
                <w:szCs w:val="12"/>
                <w:lang w:eastAsia="en-US"/>
              </w:rPr>
            </w:pPr>
            <w:r w:rsidRPr="00622884">
              <w:rPr>
                <w:rFonts w:ascii="Garamond" w:eastAsia="DengXian" w:hAnsi="Garamond" w:cs="Times New Roman"/>
                <w:sz w:val="12"/>
                <w:szCs w:val="12"/>
                <w:lang w:eastAsia="en-US" w:bidi="sq-AL"/>
              </w:rPr>
              <w:t>Masat e përditësuara të NAP/PVP, rishikimi i treguesve</w:t>
            </w:r>
          </w:p>
        </w:tc>
        <w:tc>
          <w:tcPr>
            <w:tcW w:w="0" w:type="auto"/>
            <w:vAlign w:val="center"/>
            <w:hideMark/>
          </w:tcPr>
          <w:p w14:paraId="0DC44538" w14:textId="77777777" w:rsidR="00622884" w:rsidRPr="00622884" w:rsidRDefault="00622884" w:rsidP="00622884">
            <w:pPr>
              <w:spacing w:after="0" w:line="240" w:lineRule="auto"/>
              <w:jc w:val="center"/>
              <w:rPr>
                <w:rFonts w:ascii="Garamond" w:eastAsia="DengXian" w:hAnsi="Garamond" w:cs="Calibri Light"/>
                <w:sz w:val="12"/>
                <w:szCs w:val="12"/>
                <w:lang w:eastAsia="en-US"/>
              </w:rPr>
            </w:pPr>
            <w:r w:rsidRPr="00622884">
              <w:rPr>
                <w:rFonts w:ascii="Garamond" w:eastAsia="DengXian" w:hAnsi="Garamond" w:cs="Times New Roman"/>
                <w:sz w:val="12"/>
                <w:szCs w:val="12"/>
                <w:lang w:eastAsia="en-US" w:bidi="sq-AL"/>
              </w:rPr>
              <w:t>Të gjithë organet raportuese, planifikuesit</w:t>
            </w:r>
          </w:p>
        </w:tc>
      </w:tr>
      <w:tr w:rsidR="00622884" w:rsidRPr="00622884" w14:paraId="3FE4A02A" w14:textId="77777777" w:rsidTr="00622884">
        <w:trPr>
          <w:trHeight w:val="350"/>
        </w:trPr>
        <w:tc>
          <w:tcPr>
            <w:tcW w:w="0" w:type="auto"/>
            <w:vAlign w:val="center"/>
            <w:hideMark/>
          </w:tcPr>
          <w:p w14:paraId="46BD75C5" w14:textId="77777777" w:rsidR="00622884" w:rsidRPr="00622884" w:rsidRDefault="00622884" w:rsidP="00622884">
            <w:pPr>
              <w:spacing w:after="0" w:line="240" w:lineRule="auto"/>
              <w:jc w:val="center"/>
              <w:rPr>
                <w:rFonts w:ascii="Garamond" w:eastAsia="DengXian" w:hAnsi="Garamond" w:cs="Calibri Light"/>
                <w:sz w:val="12"/>
                <w:szCs w:val="12"/>
                <w:lang w:eastAsia="en-US"/>
              </w:rPr>
            </w:pPr>
            <w:r w:rsidRPr="00622884">
              <w:rPr>
                <w:rFonts w:ascii="Garamond" w:eastAsia="DengXian" w:hAnsi="Garamond" w:cs="Times New Roman"/>
                <w:b/>
                <w:sz w:val="12"/>
                <w:szCs w:val="12"/>
                <w:lang w:eastAsia="en-US" w:bidi="sq-AL"/>
              </w:rPr>
              <w:t>6. Kuadri i treguesve MVN</w:t>
            </w:r>
          </w:p>
        </w:tc>
        <w:tc>
          <w:tcPr>
            <w:tcW w:w="0" w:type="auto"/>
            <w:vAlign w:val="center"/>
            <w:hideMark/>
          </w:tcPr>
          <w:p w14:paraId="6D5BCFEB" w14:textId="77777777" w:rsidR="00622884" w:rsidRPr="00622884" w:rsidRDefault="00622884" w:rsidP="00622884">
            <w:pPr>
              <w:spacing w:after="0" w:line="240" w:lineRule="auto"/>
              <w:jc w:val="center"/>
              <w:rPr>
                <w:rFonts w:ascii="Garamond" w:eastAsia="DengXian" w:hAnsi="Garamond" w:cs="Calibri Light"/>
                <w:sz w:val="12"/>
                <w:szCs w:val="12"/>
                <w:lang w:eastAsia="en-US"/>
              </w:rPr>
            </w:pPr>
            <w:r w:rsidRPr="00622884">
              <w:rPr>
                <w:rFonts w:ascii="Garamond" w:eastAsia="DengXian" w:hAnsi="Garamond" w:cs="Times New Roman"/>
                <w:sz w:val="12"/>
                <w:szCs w:val="12"/>
                <w:lang w:eastAsia="en-US" w:bidi="sq-AL"/>
              </w:rPr>
              <w:t>MM, AKM, INSTAT, Akademikët</w:t>
            </w:r>
          </w:p>
        </w:tc>
        <w:tc>
          <w:tcPr>
            <w:tcW w:w="0" w:type="auto"/>
            <w:vAlign w:val="center"/>
            <w:hideMark/>
          </w:tcPr>
          <w:p w14:paraId="764463E7" w14:textId="77777777" w:rsidR="00622884" w:rsidRPr="00622884" w:rsidRDefault="00622884" w:rsidP="00622884">
            <w:pPr>
              <w:spacing w:after="0" w:line="240" w:lineRule="auto"/>
              <w:jc w:val="center"/>
              <w:rPr>
                <w:rFonts w:ascii="Garamond" w:eastAsia="DengXian" w:hAnsi="Garamond" w:cs="Calibri Light"/>
                <w:sz w:val="12"/>
                <w:szCs w:val="12"/>
                <w:lang w:eastAsia="en-US"/>
              </w:rPr>
            </w:pPr>
            <w:r w:rsidRPr="00622884">
              <w:rPr>
                <w:rFonts w:ascii="Garamond" w:eastAsia="DengXian" w:hAnsi="Garamond" w:cs="Times New Roman"/>
                <w:sz w:val="12"/>
                <w:szCs w:val="12"/>
                <w:lang w:eastAsia="en-US" w:bidi="sq-AL"/>
              </w:rPr>
              <w:t>Garantimi që treguesit janë praktikë, të matshëm dhe në përputhje me objektivat</w:t>
            </w:r>
          </w:p>
        </w:tc>
        <w:tc>
          <w:tcPr>
            <w:tcW w:w="0" w:type="auto"/>
            <w:vAlign w:val="center"/>
            <w:hideMark/>
          </w:tcPr>
          <w:p w14:paraId="38B986BC" w14:textId="77777777" w:rsidR="00622884" w:rsidRPr="00622884" w:rsidRDefault="00622884" w:rsidP="00622884">
            <w:pPr>
              <w:spacing w:after="0" w:line="240" w:lineRule="auto"/>
              <w:jc w:val="center"/>
              <w:rPr>
                <w:rFonts w:ascii="Garamond" w:eastAsia="DengXian" w:hAnsi="Garamond" w:cs="Calibri Light"/>
                <w:sz w:val="12"/>
                <w:szCs w:val="12"/>
                <w:lang w:eastAsia="en-US"/>
              </w:rPr>
            </w:pPr>
            <w:r w:rsidRPr="00622884">
              <w:rPr>
                <w:rFonts w:ascii="Garamond" w:eastAsia="DengXian" w:hAnsi="Garamond" w:cs="Times New Roman"/>
                <w:b/>
                <w:sz w:val="12"/>
                <w:szCs w:val="12"/>
                <w:lang w:eastAsia="en-US" w:bidi="sq-AL"/>
              </w:rPr>
              <w:t>Rishikohet çdo dy vite</w:t>
            </w:r>
          </w:p>
        </w:tc>
        <w:tc>
          <w:tcPr>
            <w:tcW w:w="0" w:type="auto"/>
            <w:vAlign w:val="center"/>
            <w:hideMark/>
          </w:tcPr>
          <w:p w14:paraId="4072B0D7" w14:textId="77777777" w:rsidR="00622884" w:rsidRPr="00622884" w:rsidRDefault="00622884" w:rsidP="00622884">
            <w:pPr>
              <w:spacing w:after="0" w:line="240" w:lineRule="auto"/>
              <w:jc w:val="center"/>
              <w:rPr>
                <w:rFonts w:ascii="Garamond" w:eastAsia="DengXian" w:hAnsi="Garamond" w:cs="Calibri Light"/>
                <w:sz w:val="12"/>
                <w:szCs w:val="12"/>
                <w:lang w:eastAsia="en-US"/>
              </w:rPr>
            </w:pPr>
            <w:r w:rsidRPr="00622884">
              <w:rPr>
                <w:rFonts w:ascii="Garamond" w:eastAsia="DengXian" w:hAnsi="Garamond" w:cs="Times New Roman"/>
                <w:sz w:val="12"/>
                <w:szCs w:val="12"/>
                <w:lang w:eastAsia="en-US" w:bidi="sq-AL"/>
              </w:rPr>
              <w:t>Matriksa e treguesve MVN</w:t>
            </w:r>
          </w:p>
        </w:tc>
        <w:tc>
          <w:tcPr>
            <w:tcW w:w="0" w:type="auto"/>
            <w:vAlign w:val="center"/>
            <w:hideMark/>
          </w:tcPr>
          <w:p w14:paraId="0AF6FA15" w14:textId="77777777" w:rsidR="00622884" w:rsidRPr="00622884" w:rsidRDefault="00622884" w:rsidP="00622884">
            <w:pPr>
              <w:spacing w:after="0" w:line="240" w:lineRule="auto"/>
              <w:jc w:val="center"/>
              <w:rPr>
                <w:rFonts w:ascii="Garamond" w:eastAsia="DengXian" w:hAnsi="Garamond" w:cs="Calibri Light"/>
                <w:sz w:val="12"/>
                <w:szCs w:val="12"/>
                <w:lang w:eastAsia="en-US"/>
              </w:rPr>
            </w:pPr>
            <w:r w:rsidRPr="00622884">
              <w:rPr>
                <w:rFonts w:ascii="Garamond" w:eastAsia="DengXian" w:hAnsi="Garamond" w:cs="Times New Roman"/>
                <w:sz w:val="12"/>
                <w:szCs w:val="12"/>
                <w:lang w:eastAsia="en-US" w:bidi="sq-AL"/>
              </w:rPr>
              <w:t>Ekspertët teknikë, ofruesit e të dhënave</w:t>
            </w:r>
          </w:p>
        </w:tc>
      </w:tr>
      <w:tr w:rsidR="00622884" w:rsidRPr="00622884" w14:paraId="3A0EECD9" w14:textId="77777777" w:rsidTr="00622884">
        <w:trPr>
          <w:trHeight w:val="350"/>
        </w:trPr>
        <w:tc>
          <w:tcPr>
            <w:tcW w:w="0" w:type="auto"/>
            <w:vAlign w:val="center"/>
            <w:hideMark/>
          </w:tcPr>
          <w:p w14:paraId="40E14F5D" w14:textId="77777777" w:rsidR="00622884" w:rsidRPr="00622884" w:rsidRDefault="00622884" w:rsidP="00622884">
            <w:pPr>
              <w:spacing w:after="0" w:line="240" w:lineRule="auto"/>
              <w:jc w:val="center"/>
              <w:rPr>
                <w:rFonts w:ascii="Garamond" w:eastAsia="DengXian" w:hAnsi="Garamond" w:cs="Calibri Light"/>
                <w:sz w:val="12"/>
                <w:szCs w:val="12"/>
                <w:lang w:eastAsia="en-US"/>
              </w:rPr>
            </w:pPr>
            <w:r w:rsidRPr="00622884">
              <w:rPr>
                <w:rFonts w:ascii="Garamond" w:eastAsia="DengXian" w:hAnsi="Garamond" w:cs="Times New Roman"/>
                <w:b/>
                <w:sz w:val="12"/>
                <w:szCs w:val="12"/>
                <w:lang w:eastAsia="en-US" w:bidi="sq-AL"/>
              </w:rPr>
              <w:t>7. Platforma e shqyrtimit të palëve të interesit</w:t>
            </w:r>
          </w:p>
        </w:tc>
        <w:tc>
          <w:tcPr>
            <w:tcW w:w="0" w:type="auto"/>
            <w:vAlign w:val="center"/>
            <w:hideMark/>
          </w:tcPr>
          <w:p w14:paraId="1EAE700A" w14:textId="77777777" w:rsidR="00622884" w:rsidRPr="00622884" w:rsidRDefault="00622884" w:rsidP="00622884">
            <w:pPr>
              <w:spacing w:after="0" w:line="240" w:lineRule="auto"/>
              <w:jc w:val="center"/>
              <w:rPr>
                <w:rFonts w:ascii="Garamond" w:eastAsia="DengXian" w:hAnsi="Garamond" w:cs="Calibri Light"/>
                <w:sz w:val="12"/>
                <w:szCs w:val="12"/>
                <w:lang w:eastAsia="en-US"/>
              </w:rPr>
            </w:pPr>
            <w:r w:rsidRPr="00622884">
              <w:rPr>
                <w:rFonts w:ascii="Garamond" w:eastAsia="DengXian" w:hAnsi="Garamond" w:cs="Times New Roman"/>
                <w:sz w:val="12"/>
                <w:szCs w:val="12"/>
                <w:lang w:eastAsia="en-US" w:bidi="sq-AL"/>
              </w:rPr>
              <w:t>MM, OSHC, Akademikët</w:t>
            </w:r>
          </w:p>
        </w:tc>
        <w:tc>
          <w:tcPr>
            <w:tcW w:w="0" w:type="auto"/>
            <w:vAlign w:val="center"/>
            <w:hideMark/>
          </w:tcPr>
          <w:p w14:paraId="250CED87" w14:textId="77777777" w:rsidR="00622884" w:rsidRPr="00622884" w:rsidRDefault="00622884" w:rsidP="00622884">
            <w:pPr>
              <w:spacing w:after="0" w:line="240" w:lineRule="auto"/>
              <w:jc w:val="center"/>
              <w:rPr>
                <w:rFonts w:ascii="Garamond" w:eastAsia="DengXian" w:hAnsi="Garamond" w:cs="Calibri Light"/>
                <w:sz w:val="12"/>
                <w:szCs w:val="12"/>
                <w:lang w:eastAsia="en-US"/>
              </w:rPr>
            </w:pPr>
            <w:r w:rsidRPr="00622884">
              <w:rPr>
                <w:rFonts w:ascii="Garamond" w:eastAsia="DengXian" w:hAnsi="Garamond" w:cs="Times New Roman"/>
                <w:sz w:val="12"/>
                <w:szCs w:val="12"/>
                <w:lang w:eastAsia="en-US" w:bidi="sq-AL"/>
              </w:rPr>
              <w:t>Promovimi i transparencës, mbledhja e reagimeve, mbështetja e llogaridhënies</w:t>
            </w:r>
          </w:p>
        </w:tc>
        <w:tc>
          <w:tcPr>
            <w:tcW w:w="0" w:type="auto"/>
            <w:vAlign w:val="center"/>
            <w:hideMark/>
          </w:tcPr>
          <w:p w14:paraId="7C0108DD" w14:textId="77777777" w:rsidR="00622884" w:rsidRPr="00622884" w:rsidRDefault="00622884" w:rsidP="00622884">
            <w:pPr>
              <w:spacing w:after="0" w:line="240" w:lineRule="auto"/>
              <w:jc w:val="center"/>
              <w:rPr>
                <w:rFonts w:ascii="Garamond" w:eastAsia="DengXian" w:hAnsi="Garamond" w:cs="Calibri Light"/>
                <w:sz w:val="12"/>
                <w:szCs w:val="12"/>
                <w:lang w:eastAsia="en-US"/>
              </w:rPr>
            </w:pPr>
            <w:r w:rsidRPr="00622884">
              <w:rPr>
                <w:rFonts w:ascii="Garamond" w:eastAsia="DengXian" w:hAnsi="Garamond" w:cs="Times New Roman"/>
                <w:b/>
                <w:sz w:val="12"/>
                <w:szCs w:val="12"/>
                <w:lang w:eastAsia="en-US" w:bidi="sq-AL"/>
              </w:rPr>
              <w:t>Çdo vit</w:t>
            </w:r>
          </w:p>
        </w:tc>
        <w:tc>
          <w:tcPr>
            <w:tcW w:w="0" w:type="auto"/>
            <w:vAlign w:val="center"/>
            <w:hideMark/>
          </w:tcPr>
          <w:p w14:paraId="4EBE08A9" w14:textId="77777777" w:rsidR="00622884" w:rsidRPr="00622884" w:rsidRDefault="00622884" w:rsidP="00622884">
            <w:pPr>
              <w:spacing w:after="0" w:line="240" w:lineRule="auto"/>
              <w:jc w:val="center"/>
              <w:rPr>
                <w:rFonts w:ascii="Garamond" w:eastAsia="DengXian" w:hAnsi="Garamond" w:cs="Calibri Light"/>
                <w:sz w:val="12"/>
                <w:szCs w:val="12"/>
                <w:lang w:eastAsia="en-US"/>
              </w:rPr>
            </w:pPr>
            <w:r w:rsidRPr="00622884">
              <w:rPr>
                <w:rFonts w:ascii="Garamond" w:eastAsia="DengXian" w:hAnsi="Garamond" w:cs="Times New Roman"/>
                <w:sz w:val="12"/>
                <w:szCs w:val="12"/>
                <w:lang w:eastAsia="en-US" w:bidi="sq-AL"/>
              </w:rPr>
              <w:t>Raportet publike, paneli i treguesve, të dhënat nga palët e interesit</w:t>
            </w:r>
          </w:p>
        </w:tc>
        <w:tc>
          <w:tcPr>
            <w:tcW w:w="0" w:type="auto"/>
            <w:vAlign w:val="center"/>
            <w:hideMark/>
          </w:tcPr>
          <w:p w14:paraId="6B5F1754" w14:textId="77777777" w:rsidR="00622884" w:rsidRPr="00622884" w:rsidRDefault="00622884" w:rsidP="00622884">
            <w:pPr>
              <w:spacing w:after="0" w:line="240" w:lineRule="auto"/>
              <w:jc w:val="center"/>
              <w:rPr>
                <w:rFonts w:ascii="Garamond" w:eastAsia="DengXian" w:hAnsi="Garamond" w:cs="Calibri Light"/>
                <w:sz w:val="12"/>
                <w:szCs w:val="12"/>
                <w:lang w:eastAsia="en-US"/>
              </w:rPr>
            </w:pPr>
            <w:r w:rsidRPr="00622884">
              <w:rPr>
                <w:rFonts w:ascii="Garamond" w:eastAsia="DengXian" w:hAnsi="Garamond" w:cs="Times New Roman"/>
                <w:sz w:val="12"/>
                <w:szCs w:val="12"/>
                <w:lang w:eastAsia="en-US" w:bidi="sq-AL"/>
              </w:rPr>
              <w:t>Publiku i gjerë, sektori privat, akademikët, OSHC-të.</w:t>
            </w:r>
          </w:p>
        </w:tc>
      </w:tr>
    </w:tbl>
    <w:p w14:paraId="69A11A12" w14:textId="77777777" w:rsidR="00622884" w:rsidRPr="00622884" w:rsidRDefault="00622884" w:rsidP="00622884">
      <w:pPr>
        <w:keepNext/>
        <w:keepLines/>
        <w:spacing w:after="0" w:line="240" w:lineRule="auto"/>
        <w:ind w:firstLine="284"/>
        <w:outlineLvl w:val="1"/>
        <w:rPr>
          <w:rFonts w:ascii="Garamond" w:eastAsia="MS Mincho" w:hAnsi="Garamond" w:cs="Times New Roman"/>
          <w:b/>
          <w:bCs/>
          <w:caps/>
          <w:color w:val="25775E"/>
          <w:sz w:val="12"/>
          <w:szCs w:val="24"/>
          <w:lang w:eastAsia="es-ES" w:bidi="sq-AL"/>
        </w:rPr>
      </w:pPr>
      <w:bookmarkStart w:id="314" w:name="_Toc213936261"/>
    </w:p>
    <w:p w14:paraId="64720B30" w14:textId="77777777" w:rsidR="00622884" w:rsidRPr="00622884" w:rsidRDefault="00622884" w:rsidP="00622884">
      <w:pPr>
        <w:keepNext/>
        <w:keepLines/>
        <w:spacing w:after="0" w:line="240" w:lineRule="auto"/>
        <w:ind w:firstLine="284"/>
        <w:outlineLvl w:val="1"/>
        <w:rPr>
          <w:rFonts w:ascii="Garamond" w:eastAsia="MS Mincho" w:hAnsi="Garamond" w:cs="Times New Roman"/>
          <w:b/>
          <w:bCs/>
          <w:caps/>
          <w:color w:val="000000"/>
          <w:sz w:val="24"/>
          <w:szCs w:val="24"/>
          <w:lang w:eastAsia="es-ES"/>
        </w:rPr>
      </w:pPr>
      <w:r w:rsidRPr="00622884">
        <w:rPr>
          <w:rFonts w:ascii="Garamond" w:eastAsia="MS Mincho" w:hAnsi="Garamond" w:cs="Times New Roman"/>
          <w:b/>
          <w:bCs/>
          <w:caps/>
          <w:color w:val="000000"/>
          <w:sz w:val="24"/>
          <w:szCs w:val="24"/>
          <w:lang w:eastAsia="es-ES" w:bidi="sq-AL"/>
        </w:rPr>
        <w:t xml:space="preserve">10.4 </w:t>
      </w:r>
      <w:r w:rsidRPr="00622884">
        <w:rPr>
          <w:rFonts w:ascii="Garamond" w:eastAsia="MS Mincho" w:hAnsi="Garamond" w:cs="Times New Roman"/>
          <w:b/>
          <w:bCs/>
          <w:color w:val="000000"/>
          <w:sz w:val="24"/>
          <w:szCs w:val="24"/>
          <w:lang w:eastAsia="es-ES" w:bidi="sq-AL"/>
        </w:rPr>
        <w:t>Komponenti i të nxënit</w:t>
      </w:r>
      <w:bookmarkEnd w:id="314"/>
      <w:r w:rsidRPr="00622884">
        <w:rPr>
          <w:rFonts w:ascii="Garamond" w:eastAsia="MS Mincho" w:hAnsi="Garamond" w:cs="Times New Roman"/>
          <w:b/>
          <w:bCs/>
          <w:color w:val="000000"/>
          <w:sz w:val="24"/>
          <w:szCs w:val="24"/>
          <w:lang w:eastAsia="es-ES" w:bidi="sq-AL"/>
        </w:rPr>
        <w:t xml:space="preserve"> </w:t>
      </w:r>
    </w:p>
    <w:p w14:paraId="06242ACD" w14:textId="77777777" w:rsidR="00622884" w:rsidRPr="00622884" w:rsidRDefault="00622884" w:rsidP="00622884">
      <w:pPr>
        <w:spacing w:after="0" w:line="240" w:lineRule="auto"/>
        <w:ind w:firstLine="284"/>
        <w:rPr>
          <w:rFonts w:ascii="Garamond" w:eastAsia="SimSun" w:hAnsi="Garamond" w:cs="Calibri Light"/>
          <w:color w:val="000000"/>
          <w:sz w:val="24"/>
          <w:szCs w:val="24"/>
          <w:lang w:eastAsia="en-US"/>
        </w:rPr>
      </w:pPr>
      <w:r w:rsidRPr="00622884">
        <w:rPr>
          <w:rFonts w:ascii="Garamond" w:eastAsia="SimSun" w:hAnsi="Garamond" w:cs="Calibri Light"/>
          <w:color w:val="000000"/>
          <w:sz w:val="24"/>
          <w:szCs w:val="24"/>
          <w:lang w:eastAsia="en-US" w:bidi="sq-AL"/>
        </w:rPr>
        <w:t>Funksioni i të nxënit në sistemin MVN është hartuar për të:</w:t>
      </w:r>
    </w:p>
    <w:p w14:paraId="348A9F57"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r w:rsidRPr="00622884">
        <w:rPr>
          <w:rFonts w:ascii="Garamond" w:eastAsia="Calibri" w:hAnsi="Garamond" w:cs="Times New Roman"/>
          <w:sz w:val="24"/>
          <w:szCs w:val="24"/>
          <w:lang w:eastAsia="en-US" w:bidi="sq-AL"/>
        </w:rPr>
        <w:t>- Forcuar kujtesën institucionale duke identifikuar çfarë funksionon, çfarë jo dhe pse;</w:t>
      </w:r>
    </w:p>
    <w:p w14:paraId="450F8E2B"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r w:rsidRPr="00622884">
        <w:rPr>
          <w:rFonts w:ascii="Garamond" w:eastAsia="Calibri" w:hAnsi="Garamond" w:cs="Times New Roman"/>
          <w:sz w:val="24"/>
          <w:szCs w:val="24"/>
          <w:lang w:eastAsia="en-US" w:bidi="sq-AL"/>
        </w:rPr>
        <w:t>- Promovuar menaxhimin përshtatës duke integruar mësimet e nxjerra në planifikimin në zbatim e sipër dhe atë të ardhshëm;</w:t>
      </w:r>
    </w:p>
    <w:p w14:paraId="00CDDEFE"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r w:rsidRPr="00622884">
        <w:rPr>
          <w:rFonts w:ascii="Garamond" w:eastAsia="Calibri" w:hAnsi="Garamond" w:cs="Times New Roman"/>
          <w:sz w:val="24"/>
          <w:szCs w:val="24"/>
          <w:lang w:eastAsia="en-US" w:bidi="sq-AL"/>
        </w:rPr>
        <w:t>- Nxitur bashkëpunimin ndërsektorial dhe ndarjen e njohurive;</w:t>
      </w:r>
    </w:p>
    <w:p w14:paraId="74F061CE"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r w:rsidRPr="00622884">
        <w:rPr>
          <w:rFonts w:ascii="Garamond" w:eastAsia="Calibri" w:hAnsi="Garamond" w:cs="Times New Roman"/>
          <w:sz w:val="24"/>
          <w:szCs w:val="24"/>
          <w:lang w:eastAsia="en-US" w:bidi="sq-AL"/>
        </w:rPr>
        <w:t>- Ngritur kapacitetet në nivel kombëtar dhe vendor për zhvillimin e aftësive ripërtëritëse klimatike.</w:t>
      </w:r>
    </w:p>
    <w:p w14:paraId="44E50A22"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r w:rsidRPr="00622884">
        <w:rPr>
          <w:rFonts w:ascii="Garamond" w:eastAsia="Calibri" w:hAnsi="Garamond" w:cs="Times New Roman"/>
          <w:sz w:val="24"/>
          <w:szCs w:val="24"/>
          <w:lang w:eastAsia="en-US" w:bidi="sq-AL"/>
        </w:rPr>
        <w:t>Kjo do të institucionalizohet përmes mjeteve në vijim:</w:t>
      </w:r>
    </w:p>
    <w:p w14:paraId="21C287C1"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r w:rsidRPr="00622884">
        <w:rPr>
          <w:rFonts w:ascii="Garamond" w:eastAsia="Calibri" w:hAnsi="Garamond" w:cs="Times New Roman"/>
          <w:sz w:val="24"/>
          <w:szCs w:val="24"/>
          <w:lang w:eastAsia="en-US" w:bidi="sq-AL"/>
        </w:rPr>
        <w:t xml:space="preserve">- Platforma kombëtare për ndarjen e njohurive, e cila do të shërbejë si arkiv digjital për të informacionin rreth përshtatjes, praktikave të mira dhe mjeteve për mbështetjen e vendimeve. </w:t>
      </w:r>
    </w:p>
    <w:p w14:paraId="3EDEC2F1"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r w:rsidRPr="00622884">
        <w:rPr>
          <w:rFonts w:ascii="Garamond" w:eastAsia="Calibri" w:hAnsi="Garamond" w:cs="Times New Roman"/>
          <w:sz w:val="24"/>
          <w:szCs w:val="24"/>
          <w:lang w:eastAsia="en-US" w:bidi="sq-AL"/>
        </w:rPr>
        <w:t>- Ofrimit të mbështetjes për komunitetet e praktikës dhe grupet sektoriale të punës për të vazhduar dialogun midis cikleve të planifikimit dhe gjatë viteve të raportimit.</w:t>
      </w:r>
    </w:p>
    <w:p w14:paraId="02E96A80"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r w:rsidRPr="00622884">
        <w:rPr>
          <w:rFonts w:ascii="Garamond" w:eastAsia="Calibri" w:hAnsi="Garamond" w:cs="Times New Roman"/>
          <w:sz w:val="24"/>
          <w:szCs w:val="24"/>
          <w:lang w:eastAsia="en-US" w:bidi="sq-AL"/>
        </w:rPr>
        <w:t xml:space="preserve">- Vlerësimet e të nxënit në nivel vendor do të zhvillohen çdo vit nga pikat fokale të bashkive dhe PVP-së. </w:t>
      </w:r>
    </w:p>
    <w:p w14:paraId="4FA766E6"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r w:rsidRPr="00622884">
        <w:rPr>
          <w:rFonts w:ascii="Garamond" w:eastAsia="Calibri" w:hAnsi="Garamond" w:cs="Times New Roman"/>
          <w:sz w:val="24"/>
          <w:szCs w:val="24"/>
          <w:lang w:eastAsia="en-US" w:bidi="sq-AL"/>
        </w:rPr>
        <w:t xml:space="preserve">- Zhvillimit të </w:t>
      </w:r>
      <w:r w:rsidRPr="00622884">
        <w:rPr>
          <w:rFonts w:ascii="Garamond" w:eastAsia="Calibri" w:hAnsi="Garamond" w:cs="Times New Roman"/>
          <w:i/>
          <w:sz w:val="24"/>
          <w:szCs w:val="24"/>
          <w:lang w:eastAsia="en-US" w:bidi="sq-AL"/>
        </w:rPr>
        <w:t>workshop</w:t>
      </w:r>
      <w:r w:rsidRPr="00622884">
        <w:rPr>
          <w:rFonts w:ascii="Garamond" w:eastAsia="Calibri" w:hAnsi="Garamond" w:cs="Times New Roman"/>
          <w:sz w:val="24"/>
          <w:szCs w:val="24"/>
          <w:lang w:eastAsia="en-US" w:bidi="sq-AL"/>
        </w:rPr>
        <w:t xml:space="preserve">-eve për vlerësimin sektorial çdo vit ose çdo dy vite nga ministritë sektoriale, në koordinim me GNPNK-në dhe GPPNK-në. </w:t>
      </w:r>
    </w:p>
    <w:p w14:paraId="64235A73"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r w:rsidRPr="00622884">
        <w:rPr>
          <w:rFonts w:ascii="Garamond" w:eastAsia="Calibri" w:hAnsi="Garamond" w:cs="Times New Roman"/>
          <w:sz w:val="24"/>
          <w:szCs w:val="24"/>
          <w:lang w:eastAsia="en-US" w:bidi="sq-AL"/>
        </w:rPr>
        <w:t xml:space="preserve">- Platformave kombëtare të palëve të interesit, të drejtuara nga MM dhe GNPNK, të cilat do të bëjnë bashkë përfaqësues nga ministritë e linjës, akademikët, organizata të shoqërisë civile dhe sektori privat. </w:t>
      </w:r>
    </w:p>
    <w:p w14:paraId="3B51D6E7"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r w:rsidRPr="00622884">
        <w:rPr>
          <w:rFonts w:ascii="Garamond" w:eastAsia="Calibri" w:hAnsi="Garamond" w:cs="Times New Roman"/>
          <w:sz w:val="24"/>
          <w:szCs w:val="24"/>
          <w:lang w:eastAsia="en-US" w:bidi="sq-AL"/>
        </w:rPr>
        <w:t xml:space="preserve">- Produkte publike të dijes, si panele treguesish, përmbledhje të politikave, dhe raporte të sintezuara të të nxënit, për të siguruar që gjetjet e vlerësimit dhe mësimet e nxjerra të shpërndahen gjerësisht. </w:t>
      </w:r>
    </w:p>
    <w:p w14:paraId="4DAE2FB0"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r w:rsidRPr="00622884">
        <w:rPr>
          <w:rFonts w:ascii="Garamond" w:eastAsia="Calibri" w:hAnsi="Garamond" w:cs="Times New Roman"/>
          <w:sz w:val="24"/>
          <w:szCs w:val="24"/>
          <w:lang w:eastAsia="en-US" w:bidi="sq-AL"/>
        </w:rPr>
        <w:lastRenderedPageBreak/>
        <w:t xml:space="preserve">Gjetjet e nxjerra përmes sistemit MVN, përfshirë përfundimet e vlerësimit, rishikimet e të nxënit dhe reagimet e palëve të interesit, do të integrohen në mënyrë formale në iteracionin tjetër të ciklit të zbatimit të NAP-it, përmes: </w:t>
      </w:r>
    </w:p>
    <w:p w14:paraId="2E684FA0"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r w:rsidRPr="00622884">
        <w:rPr>
          <w:rFonts w:ascii="Garamond" w:eastAsia="Calibri" w:hAnsi="Garamond" w:cs="Times New Roman"/>
          <w:b/>
          <w:sz w:val="24"/>
          <w:szCs w:val="24"/>
          <w:lang w:eastAsia="en-US" w:bidi="sq-AL"/>
        </w:rPr>
        <w:t>- Rishikimit të masave të përshtatjes</w:t>
      </w:r>
      <w:r w:rsidRPr="00622884">
        <w:rPr>
          <w:rFonts w:ascii="Garamond" w:eastAsia="Calibri" w:hAnsi="Garamond" w:cs="Times New Roman"/>
          <w:sz w:val="24"/>
          <w:szCs w:val="24"/>
          <w:lang w:eastAsia="en-US" w:bidi="sq-AL"/>
        </w:rPr>
        <w:t>, veçanërisht atyre që shfaqin efektshmëri të kufizuar ose kërkojnë përshkallëzim.</w:t>
      </w:r>
    </w:p>
    <w:p w14:paraId="72C37B0C"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r w:rsidRPr="00622884">
        <w:rPr>
          <w:rFonts w:ascii="Garamond" w:eastAsia="Calibri" w:hAnsi="Garamond" w:cs="Times New Roman"/>
          <w:b/>
          <w:sz w:val="24"/>
          <w:szCs w:val="24"/>
          <w:lang w:eastAsia="en-US" w:bidi="sq-AL"/>
        </w:rPr>
        <w:t>- Rregullimit të treguesve</w:t>
      </w:r>
      <w:r w:rsidRPr="00622884">
        <w:rPr>
          <w:rFonts w:ascii="Garamond" w:eastAsia="Calibri" w:hAnsi="Garamond" w:cs="Times New Roman"/>
          <w:sz w:val="24"/>
          <w:szCs w:val="24"/>
          <w:lang w:eastAsia="en-US" w:bidi="sq-AL"/>
        </w:rPr>
        <w:t xml:space="preserve"> në kuadrin MVN për të pasqyruar më mirë risqet e reja, prioritetet dhe disponueshmërinë e të dhënave.</w:t>
      </w:r>
    </w:p>
    <w:p w14:paraId="505477F7"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r w:rsidRPr="00622884">
        <w:rPr>
          <w:rFonts w:ascii="Garamond" w:eastAsia="Calibri" w:hAnsi="Garamond" w:cs="Times New Roman"/>
          <w:b/>
          <w:sz w:val="24"/>
          <w:szCs w:val="24"/>
          <w:lang w:eastAsia="en-US" w:bidi="sq-AL"/>
        </w:rPr>
        <w:t xml:space="preserve">- Përmirësimit të koordinimit të mekanizmave, </w:t>
      </w:r>
      <w:r w:rsidRPr="00622884">
        <w:rPr>
          <w:rFonts w:ascii="Garamond" w:eastAsia="Calibri" w:hAnsi="Garamond" w:cs="Times New Roman"/>
          <w:sz w:val="24"/>
          <w:szCs w:val="24"/>
          <w:lang w:eastAsia="en-US" w:bidi="sq-AL"/>
        </w:rPr>
        <w:t>bazuar në vlerësimin e pengesave dhe mbivendosjes institucionale</w:t>
      </w:r>
    </w:p>
    <w:p w14:paraId="538B1B44"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r w:rsidRPr="00622884">
        <w:rPr>
          <w:rFonts w:ascii="Garamond" w:eastAsia="Calibri" w:hAnsi="Garamond" w:cs="Times New Roman"/>
          <w:sz w:val="24"/>
          <w:szCs w:val="24"/>
          <w:lang w:eastAsia="en-US"/>
        </w:rPr>
        <w:t>Ristrukturimit të përpjekjeve për ngritjen e kapaciteteve, duke përfshirë mbështetjen për qeveritë vendore dhe angazhimin ndërsektorial.</w:t>
      </w:r>
    </w:p>
    <w:p w14:paraId="1AA1E60F"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r w:rsidRPr="00622884">
        <w:rPr>
          <w:rFonts w:ascii="Garamond" w:eastAsia="Calibri" w:hAnsi="Garamond" w:cs="Times New Roman"/>
          <w:sz w:val="24"/>
          <w:szCs w:val="24"/>
          <w:lang w:eastAsia="en-US"/>
        </w:rPr>
        <w:t>Rezultatet e rishikimit të mesëm të NAP 2030 do të shërbejnë si udhërrëfyes për planifikimin katërvjeçar të ardhshëm të përshtatjes në Shqipëri dhe do të ndikojnë në zbatimin e mëtejshëm, duke kontribuar në përditësimin e Planit të Zbatimit të NAP-it dhe të komponentëve të sistemit MVN, përfshirë Matricën e Referencës së Treguesve dhe Fletët e Referencës së Treguesve.</w:t>
      </w:r>
    </w:p>
    <w:p w14:paraId="50038592"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r w:rsidRPr="00622884">
        <w:rPr>
          <w:rFonts w:ascii="Garamond" w:eastAsia="Calibri" w:hAnsi="Garamond" w:cs="Times New Roman"/>
          <w:sz w:val="24"/>
          <w:szCs w:val="24"/>
          <w:lang w:eastAsia="en-US"/>
        </w:rPr>
        <w:t xml:space="preserve">Zbatimi i sistemit MVN për NAP-in e Dytë të Shqipërisë do të ndjekë një qasje me faza, të renditura më poshtë: </w:t>
      </w:r>
    </w:p>
    <w:p w14:paraId="32280DC1"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r w:rsidRPr="00622884">
        <w:rPr>
          <w:rFonts w:ascii="Garamond" w:eastAsia="Calibri" w:hAnsi="Garamond" w:cs="Times New Roman"/>
          <w:sz w:val="24"/>
          <w:szCs w:val="24"/>
          <w:lang w:eastAsia="en-US"/>
        </w:rPr>
        <w:t>Faza 1: Organizimi institucional. Kjo fazë do të përqendrohet në krijimin dhe komunikimin e marrëveshjeve institucionale të nevojshme për të mbështetur kuadrin MVN të NAP-it.</w:t>
      </w:r>
    </w:p>
    <w:p w14:paraId="45A4652D"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r w:rsidRPr="00622884">
        <w:rPr>
          <w:rFonts w:ascii="Garamond" w:eastAsia="Calibri" w:hAnsi="Garamond" w:cs="Times New Roman"/>
          <w:sz w:val="24"/>
          <w:szCs w:val="24"/>
          <w:lang w:eastAsia="en-US"/>
        </w:rPr>
        <w:t>Faza 2: Ngritja e kapaciteteve për MVN-në: Ngritja e kapaciteteve të synuara do të kryhet për të pajisur palët e interesit me njohuritë dhe aftësitë e nevojshme për të zbatuar kuadrin MVN.</w:t>
      </w:r>
    </w:p>
    <w:p w14:paraId="4ECA54CD"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r w:rsidRPr="00622884">
        <w:rPr>
          <w:rFonts w:ascii="Garamond" w:eastAsia="Calibri" w:hAnsi="Garamond" w:cs="Times New Roman"/>
          <w:sz w:val="24"/>
          <w:szCs w:val="24"/>
          <w:lang w:eastAsia="en-US"/>
        </w:rPr>
        <w:t>Faza 3: Testimi pilot. Kuadri MVN do të jetë pjesë e testimit pilot për gjurmimin e progresit të zbatimit të NAP-it gjatë vitit 2026, vitit të parë të zbatimit të NAP-it. Mësimet e nxjerra gjatë kësaj faze do të dokumentohen për prezantime më të gjera.</w:t>
      </w:r>
    </w:p>
    <w:p w14:paraId="43241410"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r w:rsidRPr="00622884">
        <w:rPr>
          <w:rFonts w:ascii="Garamond" w:eastAsia="Calibri" w:hAnsi="Garamond" w:cs="Times New Roman"/>
          <w:sz w:val="24"/>
          <w:szCs w:val="24"/>
          <w:lang w:eastAsia="en-US"/>
        </w:rPr>
        <w:t xml:space="preserve">Faza 4: Operacionalizimi. Duke filluar nga viti 2027, kuadri MVN do të operacionalizohet plotësisht, ku do të përfshihet edhe validimin i treguesve dhe fletëve të referencës për të gjitha masat e mbetura të KPK-së. </w:t>
      </w:r>
    </w:p>
    <w:p w14:paraId="5A22909D"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highlight w:val="green"/>
          <w:lang w:eastAsia="en-US"/>
        </w:rPr>
      </w:pPr>
      <w:r w:rsidRPr="00622884">
        <w:rPr>
          <w:rFonts w:ascii="Garamond" w:eastAsia="Calibri" w:hAnsi="Garamond" w:cs="Times New Roman"/>
          <w:sz w:val="24"/>
          <w:szCs w:val="24"/>
          <w:lang w:eastAsia="en-US"/>
        </w:rPr>
        <w:t>Faza 5: Rishikimi dhe përsosja. Faza përfundimtare do të përqendrohet në vlerësimin e performancës së NAP-it në krahasim me kuadrin e rezultateve përkatëse, që do të zhvillohet nëpërmjet shqyrtimit afatmesëm të vitit 2030 dhe nëpërmjet një vlerësimi përfundimtar në vitin 2036.</w:t>
      </w:r>
    </w:p>
    <w:p w14:paraId="7B12B8F7" w14:textId="77777777" w:rsidR="00622884" w:rsidRPr="00622884" w:rsidRDefault="00622884" w:rsidP="00622884">
      <w:pPr>
        <w:tabs>
          <w:tab w:val="left" w:pos="5325"/>
        </w:tabs>
        <w:spacing w:after="0" w:line="240" w:lineRule="auto"/>
        <w:ind w:firstLine="284"/>
        <w:rPr>
          <w:rFonts w:ascii="Garamond" w:eastAsia="Calibri" w:hAnsi="Garamond" w:cs="Times New Roman"/>
          <w:color w:val="000000"/>
          <w:sz w:val="24"/>
          <w:szCs w:val="24"/>
          <w:lang w:eastAsia="en-US"/>
        </w:rPr>
      </w:pPr>
    </w:p>
    <w:p w14:paraId="184EC515" w14:textId="77777777" w:rsidR="00622884" w:rsidRPr="00622884" w:rsidRDefault="00622884" w:rsidP="00622884">
      <w:pPr>
        <w:keepNext/>
        <w:keepLines/>
        <w:spacing w:after="0" w:line="240" w:lineRule="auto"/>
        <w:ind w:firstLine="284"/>
        <w:outlineLvl w:val="0"/>
        <w:rPr>
          <w:rFonts w:ascii="Garamond" w:eastAsia="Aptos" w:hAnsi="Garamond" w:cs="Averta ExtraBold"/>
          <w:bCs/>
          <w:color w:val="000000"/>
          <w:kern w:val="2"/>
          <w:sz w:val="24"/>
          <w:szCs w:val="24"/>
          <w:lang w:eastAsia="en-US"/>
        </w:rPr>
      </w:pPr>
      <w:bookmarkStart w:id="315" w:name="_Toc213936262"/>
      <w:r w:rsidRPr="00622884">
        <w:rPr>
          <w:rFonts w:ascii="Garamond" w:eastAsia="Yu Gothic Light" w:hAnsi="Garamond" w:cs="Averta ExtraBold"/>
          <w:bCs/>
          <w:color w:val="000000"/>
          <w:kern w:val="2"/>
          <w:sz w:val="24"/>
          <w:szCs w:val="24"/>
          <w:lang w:eastAsia="en-US" w:bidi="sq-AL"/>
        </w:rPr>
        <w:t>LISTA E REFERENCAVE</w:t>
      </w:r>
      <w:bookmarkEnd w:id="315"/>
    </w:p>
    <w:p w14:paraId="20EB7918" w14:textId="77777777" w:rsidR="00622884" w:rsidRPr="00622884" w:rsidRDefault="00622884" w:rsidP="00622884">
      <w:pPr>
        <w:spacing w:after="0" w:line="240" w:lineRule="auto"/>
        <w:ind w:firstLine="284"/>
        <w:rPr>
          <w:rFonts w:ascii="Garamond" w:eastAsia="SimSun" w:hAnsi="Garamond" w:cs="Calibri Light"/>
          <w:color w:val="000000"/>
          <w:sz w:val="24"/>
          <w:szCs w:val="24"/>
          <w:lang w:eastAsia="en-US"/>
        </w:rPr>
      </w:pPr>
      <w:r w:rsidRPr="00622884">
        <w:rPr>
          <w:rFonts w:ascii="Garamond" w:eastAsia="SimSun" w:hAnsi="Garamond" w:cs="Calibri Light"/>
          <w:i/>
          <w:color w:val="000000"/>
          <w:sz w:val="24"/>
          <w:szCs w:val="24"/>
          <w:lang w:eastAsia="en-US" w:bidi="sq-AL"/>
        </w:rPr>
        <w:t>Adapting to Climate Change: A Planning Guide for State Coastal Managers</w:t>
      </w:r>
      <w:r w:rsidRPr="00622884">
        <w:rPr>
          <w:rFonts w:ascii="Garamond" w:eastAsia="SimSun" w:hAnsi="Garamond" w:cs="Calibri Light"/>
          <w:color w:val="000000"/>
          <w:sz w:val="24"/>
          <w:szCs w:val="24"/>
          <w:lang w:eastAsia="en-US" w:bidi="sq-AL"/>
        </w:rPr>
        <w:t xml:space="preserve"> (n.d.). [Përshtatja me ndryshimet klimatike: Një Udhëzues planifikimi për menaxherët shtetërorë të zonave bregdetare] (n.d). SHBA. </w:t>
      </w:r>
      <w:r w:rsidRPr="00622884">
        <w:rPr>
          <w:rFonts w:ascii="Garamond" w:eastAsia="SimSun" w:hAnsi="Garamond" w:cs="Calibri Light"/>
          <w:i/>
          <w:color w:val="000000"/>
          <w:sz w:val="24"/>
          <w:szCs w:val="24"/>
          <w:lang w:eastAsia="en-US" w:bidi="sq-AL"/>
        </w:rPr>
        <w:t>Climate Resilient Toolkit</w:t>
      </w:r>
      <w:r w:rsidRPr="00622884">
        <w:rPr>
          <w:rFonts w:ascii="Garamond" w:eastAsia="SimSun" w:hAnsi="Garamond" w:cs="Calibri Light"/>
          <w:color w:val="000000"/>
          <w:sz w:val="24"/>
          <w:szCs w:val="24"/>
          <w:lang w:eastAsia="en-US" w:bidi="sq-AL"/>
        </w:rPr>
        <w:t xml:space="preserve"> [Paketa e masave për aftësitë ripërtëritëse ndaj klimës].</w:t>
      </w:r>
    </w:p>
    <w:p w14:paraId="0491459F" w14:textId="77777777" w:rsidR="00622884" w:rsidRPr="00622884" w:rsidRDefault="00622884" w:rsidP="00622884">
      <w:pPr>
        <w:spacing w:after="0" w:line="240" w:lineRule="auto"/>
        <w:ind w:firstLine="284"/>
        <w:rPr>
          <w:rFonts w:ascii="Garamond" w:eastAsia="SimSun" w:hAnsi="Garamond" w:cs="Calibri Light"/>
          <w:color w:val="000000"/>
          <w:sz w:val="24"/>
          <w:szCs w:val="24"/>
          <w:lang w:eastAsia="en-US"/>
        </w:rPr>
      </w:pPr>
      <w:r w:rsidRPr="00622884">
        <w:rPr>
          <w:rFonts w:ascii="Garamond" w:eastAsia="SimSun" w:hAnsi="Garamond" w:cs="Calibri Light"/>
          <w:i/>
          <w:color w:val="000000"/>
          <w:sz w:val="24"/>
          <w:szCs w:val="24"/>
          <w:lang w:eastAsia="en-US" w:bidi="sq-AL"/>
        </w:rPr>
        <w:t>Adapting to Climate Change: CDP Guidance for UK Local Authorities</w:t>
      </w:r>
      <w:r w:rsidRPr="00622884">
        <w:rPr>
          <w:rFonts w:ascii="Garamond" w:eastAsia="SimSun" w:hAnsi="Garamond" w:cs="Calibri Light"/>
          <w:color w:val="000000"/>
          <w:sz w:val="24"/>
          <w:szCs w:val="24"/>
          <w:lang w:eastAsia="en-US" w:bidi="sq-AL"/>
        </w:rPr>
        <w:t>. [PËRSHTATJA ME NDRYSHIMET KLIMATIKE: Udhëzuesi i KMD-së për autoritetet vendore të MB-së] (2022). KMD.</w:t>
      </w:r>
    </w:p>
    <w:p w14:paraId="54288534" w14:textId="77777777" w:rsidR="00622884" w:rsidRPr="00622884" w:rsidRDefault="00622884" w:rsidP="00622884">
      <w:pPr>
        <w:spacing w:after="0" w:line="240" w:lineRule="auto"/>
        <w:ind w:firstLine="284"/>
        <w:rPr>
          <w:rFonts w:ascii="Garamond" w:eastAsia="SimSun" w:hAnsi="Garamond" w:cs="Calibri Light"/>
          <w:color w:val="000000"/>
          <w:sz w:val="24"/>
          <w:szCs w:val="24"/>
          <w:lang w:eastAsia="en-US"/>
        </w:rPr>
      </w:pPr>
      <w:r w:rsidRPr="00622884">
        <w:rPr>
          <w:rFonts w:ascii="Garamond" w:eastAsia="SimSun" w:hAnsi="Garamond" w:cs="Calibri Light"/>
          <w:color w:val="000000"/>
          <w:sz w:val="24"/>
          <w:szCs w:val="24"/>
          <w:lang w:eastAsia="en-US" w:bidi="sq-AL"/>
        </w:rPr>
        <w:t>Plani i përshtatjes i Mongolisë (2024–2030). Qeveria e Mongolisë.</w:t>
      </w:r>
    </w:p>
    <w:p w14:paraId="318B0EAF" w14:textId="77777777" w:rsidR="00622884" w:rsidRPr="00622884" w:rsidRDefault="00622884" w:rsidP="00622884">
      <w:pPr>
        <w:spacing w:after="0" w:line="240" w:lineRule="auto"/>
        <w:ind w:firstLine="284"/>
        <w:rPr>
          <w:rFonts w:ascii="Garamond" w:eastAsia="SimSun" w:hAnsi="Garamond" w:cs="Calibri Light"/>
          <w:color w:val="000000"/>
          <w:sz w:val="24"/>
          <w:szCs w:val="24"/>
          <w:lang w:eastAsia="en-US"/>
        </w:rPr>
      </w:pPr>
      <w:r w:rsidRPr="00622884">
        <w:rPr>
          <w:rFonts w:ascii="Garamond" w:eastAsia="SimSun" w:hAnsi="Garamond" w:cs="Calibri Light"/>
          <w:color w:val="000000"/>
          <w:sz w:val="24"/>
          <w:szCs w:val="24"/>
          <w:lang w:eastAsia="en-US" w:bidi="sq-AL"/>
        </w:rPr>
        <w:t>Komunikimi i tretë kombëtar i Shqipërisë 3. (2016). Qeveria e Shqipërisë.</w:t>
      </w:r>
    </w:p>
    <w:p w14:paraId="3EBF0D8A" w14:textId="77777777" w:rsidR="00622884" w:rsidRPr="00622884" w:rsidRDefault="00622884" w:rsidP="00622884">
      <w:pPr>
        <w:spacing w:after="0" w:line="240" w:lineRule="auto"/>
        <w:ind w:firstLine="284"/>
        <w:rPr>
          <w:rFonts w:ascii="Garamond" w:eastAsia="SimSun" w:hAnsi="Garamond" w:cs="Calibri Light"/>
          <w:color w:val="000000"/>
          <w:sz w:val="24"/>
          <w:szCs w:val="24"/>
          <w:lang w:eastAsia="en-US"/>
        </w:rPr>
      </w:pPr>
      <w:r w:rsidRPr="00622884">
        <w:rPr>
          <w:rFonts w:ascii="Garamond" w:eastAsia="SimSun" w:hAnsi="Garamond" w:cs="Calibri Light"/>
          <w:color w:val="000000"/>
          <w:sz w:val="24"/>
          <w:szCs w:val="24"/>
          <w:lang w:eastAsia="en-US" w:bidi="sq-AL"/>
        </w:rPr>
        <w:t>Komunikimi i katërt kombëtar i Shqipërisë 4. (2022). Qeveria e Shqipërisë.</w:t>
      </w:r>
    </w:p>
    <w:p w14:paraId="4277494A" w14:textId="77777777" w:rsidR="00622884" w:rsidRPr="00622884" w:rsidRDefault="00622884" w:rsidP="00622884">
      <w:pPr>
        <w:spacing w:after="0" w:line="240" w:lineRule="auto"/>
        <w:ind w:firstLine="284"/>
        <w:rPr>
          <w:rFonts w:ascii="Garamond" w:eastAsia="SimSun" w:hAnsi="Garamond" w:cs="Calibri Light"/>
          <w:color w:val="000000"/>
          <w:sz w:val="24"/>
          <w:szCs w:val="24"/>
          <w:lang w:eastAsia="en-US"/>
        </w:rPr>
      </w:pPr>
      <w:r w:rsidRPr="00622884">
        <w:rPr>
          <w:rFonts w:ascii="Garamond" w:eastAsia="SimSun" w:hAnsi="Garamond" w:cs="Calibri Light"/>
          <w:color w:val="000000"/>
          <w:sz w:val="24"/>
          <w:szCs w:val="24"/>
          <w:lang w:eastAsia="en-US" w:bidi="sq-AL"/>
        </w:rPr>
        <w:t>Kontributi Kombëtar Pikësynuar (KKP) i rishikuar për Shqipërinë. (2021). Qeveria e Shqipërisë</w:t>
      </w:r>
    </w:p>
    <w:p w14:paraId="754373C5" w14:textId="77777777" w:rsidR="00622884" w:rsidRPr="00622884" w:rsidRDefault="00622884" w:rsidP="00622884">
      <w:pPr>
        <w:spacing w:after="0" w:line="240" w:lineRule="auto"/>
        <w:ind w:firstLine="284"/>
        <w:rPr>
          <w:rFonts w:ascii="Garamond" w:eastAsia="SimSun" w:hAnsi="Garamond" w:cs="Calibri Light"/>
          <w:color w:val="000000"/>
          <w:sz w:val="24"/>
          <w:szCs w:val="24"/>
          <w:lang w:eastAsia="en-US"/>
        </w:rPr>
      </w:pPr>
      <w:r w:rsidRPr="00622884">
        <w:rPr>
          <w:rFonts w:ascii="Garamond" w:eastAsia="SimSun" w:hAnsi="Garamond" w:cs="Calibri Light"/>
          <w:color w:val="000000"/>
          <w:sz w:val="24"/>
          <w:szCs w:val="24"/>
          <w:lang w:eastAsia="en-US" w:bidi="sq-AL"/>
        </w:rPr>
        <w:t>Raporti i Parë Dyvjeçar i Shqipërisë. (korrik, 2021). Qeveria e Shqipërisë.</w:t>
      </w:r>
    </w:p>
    <w:p w14:paraId="37BD4F3E" w14:textId="77777777" w:rsidR="00622884" w:rsidRPr="00622884" w:rsidRDefault="00622884" w:rsidP="00622884">
      <w:pPr>
        <w:spacing w:after="0" w:line="240" w:lineRule="auto"/>
        <w:ind w:firstLine="284"/>
        <w:rPr>
          <w:rFonts w:ascii="Garamond" w:eastAsia="SimSun" w:hAnsi="Garamond" w:cs="Calibri Light"/>
          <w:color w:val="000000"/>
          <w:sz w:val="24"/>
          <w:szCs w:val="24"/>
          <w:lang w:eastAsia="en-US"/>
        </w:rPr>
      </w:pPr>
      <w:r w:rsidRPr="00622884">
        <w:rPr>
          <w:rFonts w:ascii="Garamond" w:eastAsia="SimSun" w:hAnsi="Garamond" w:cs="Calibri Light"/>
          <w:color w:val="000000"/>
          <w:sz w:val="24"/>
          <w:szCs w:val="24"/>
          <w:lang w:eastAsia="en-US" w:bidi="sq-AL"/>
        </w:rPr>
        <w:t>Plani Kombëtar i Përshtatjes i Shqipërisë: Raporti i parë i progresit (mars, 20230) Ministria e Turizmit dhe Mjedisit, Shqipëri, Rrjeti botëror i NAP-it.</w:t>
      </w:r>
    </w:p>
    <w:p w14:paraId="7495CEF8" w14:textId="77777777" w:rsidR="00622884" w:rsidRPr="00622884" w:rsidRDefault="00622884" w:rsidP="00622884">
      <w:pPr>
        <w:spacing w:after="0" w:line="240" w:lineRule="auto"/>
        <w:ind w:firstLine="284"/>
        <w:rPr>
          <w:rFonts w:ascii="Garamond" w:eastAsia="SimSun" w:hAnsi="Garamond" w:cs="Calibri Light"/>
          <w:color w:val="000000"/>
          <w:sz w:val="24"/>
          <w:szCs w:val="24"/>
          <w:lang w:eastAsia="en-US" w:bidi="sq-AL"/>
        </w:rPr>
      </w:pPr>
      <w:r w:rsidRPr="00622884">
        <w:rPr>
          <w:rFonts w:ascii="Garamond" w:eastAsia="SimSun" w:hAnsi="Garamond" w:cs="Calibri Light"/>
          <w:color w:val="000000"/>
          <w:sz w:val="24"/>
          <w:szCs w:val="24"/>
          <w:lang w:eastAsia="en-US" w:bidi="sq-AL"/>
        </w:rPr>
        <w:t xml:space="preserve">Baastel. (2024). </w:t>
      </w:r>
      <w:r w:rsidRPr="00622884">
        <w:rPr>
          <w:rFonts w:ascii="Garamond" w:eastAsia="SimSun" w:hAnsi="Garamond" w:cs="Calibri Light"/>
          <w:i/>
          <w:color w:val="000000"/>
          <w:sz w:val="24"/>
          <w:szCs w:val="24"/>
          <w:lang w:eastAsia="en-US" w:bidi="sq-AL"/>
        </w:rPr>
        <w:t>Climate Risk Assessment of the Agricultural Sector: Support to Filling Gaps in Climate Change Adaptation Data and Risk Analysis</w:t>
      </w:r>
      <w:r w:rsidRPr="00622884">
        <w:rPr>
          <w:rFonts w:ascii="Garamond" w:eastAsia="SimSun" w:hAnsi="Garamond" w:cs="Calibri Light"/>
          <w:color w:val="000000"/>
          <w:sz w:val="24"/>
          <w:szCs w:val="24"/>
          <w:lang w:eastAsia="en-US" w:bidi="sq-AL"/>
        </w:rPr>
        <w:t xml:space="preserve"> [Vlerësimi i riskut klimatik në sektorin e bujqësisë: </w:t>
      </w:r>
      <w:r w:rsidRPr="00622884">
        <w:rPr>
          <w:rFonts w:ascii="Garamond" w:eastAsia="SimSun" w:hAnsi="Garamond" w:cs="Calibri Light"/>
          <w:color w:val="000000"/>
          <w:sz w:val="24"/>
          <w:szCs w:val="24"/>
          <w:lang w:eastAsia="en-US" w:bidi="sq-AL"/>
        </w:rPr>
        <w:lastRenderedPageBreak/>
        <w:t>Mbështetje për plotësimin e mangësive në të dhënat dhe analizat e riskut të përshtatjes ndaj ndryshimeve klimatike** ].</w:t>
      </w:r>
    </w:p>
    <w:p w14:paraId="3231EAF1" w14:textId="77777777" w:rsidR="00622884" w:rsidRPr="00622884" w:rsidRDefault="00622884" w:rsidP="00622884">
      <w:pPr>
        <w:spacing w:after="0" w:line="240" w:lineRule="auto"/>
        <w:ind w:firstLine="284"/>
        <w:rPr>
          <w:rFonts w:ascii="Garamond" w:eastAsia="SimSun" w:hAnsi="Garamond" w:cs="Calibri Light"/>
          <w:color w:val="000000"/>
          <w:sz w:val="24"/>
          <w:szCs w:val="24"/>
          <w:lang w:eastAsia="en-US"/>
        </w:rPr>
      </w:pPr>
      <w:r w:rsidRPr="00622884">
        <w:rPr>
          <w:rFonts w:ascii="Garamond" w:eastAsia="SimSun" w:hAnsi="Garamond" w:cs="Calibri Light"/>
          <w:color w:val="000000"/>
          <w:sz w:val="24"/>
          <w:szCs w:val="24"/>
          <w:lang w:eastAsia="en-US" w:bidi="sq-AL"/>
        </w:rPr>
        <w:t>Baastel. (2024).</w:t>
      </w:r>
      <w:r w:rsidRPr="00622884">
        <w:rPr>
          <w:rFonts w:ascii="Garamond" w:eastAsia="SimSun" w:hAnsi="Garamond" w:cs="Calibri Light"/>
          <w:i/>
          <w:color w:val="000000"/>
          <w:sz w:val="24"/>
          <w:szCs w:val="24"/>
          <w:lang w:eastAsia="en-US" w:bidi="sq-AL"/>
        </w:rPr>
        <w:t>Climate Risk Assessment of the Energy Sector: Support to Filling Gaps in Climate Change Adaptation Data and Risk Analysis</w:t>
      </w:r>
      <w:r w:rsidRPr="00622884">
        <w:rPr>
          <w:rFonts w:ascii="Garamond" w:eastAsia="SimSun" w:hAnsi="Garamond" w:cs="Calibri Light"/>
          <w:color w:val="000000"/>
          <w:sz w:val="24"/>
          <w:szCs w:val="24"/>
          <w:lang w:eastAsia="en-US" w:bidi="sq-AL"/>
        </w:rPr>
        <w:t>. [Vlerësimi i riskut klimatik në sektorin e energjisë: Mbështetje për plotësimin e mangësive në të dhënat dhe analizat e riskut të përshtatjes ndaj ndryshimeve klimatike].</w:t>
      </w:r>
    </w:p>
    <w:p w14:paraId="400EFA4A" w14:textId="77777777" w:rsidR="00622884" w:rsidRPr="00622884" w:rsidRDefault="00622884" w:rsidP="00622884">
      <w:pPr>
        <w:spacing w:after="0" w:line="240" w:lineRule="auto"/>
        <w:ind w:firstLine="284"/>
        <w:rPr>
          <w:rFonts w:ascii="Garamond" w:eastAsia="SimSun" w:hAnsi="Garamond" w:cs="Calibri Light"/>
          <w:color w:val="000000"/>
          <w:sz w:val="24"/>
          <w:szCs w:val="24"/>
          <w:lang w:eastAsia="en-US"/>
        </w:rPr>
      </w:pPr>
      <w:r w:rsidRPr="00622884">
        <w:rPr>
          <w:rFonts w:ascii="Garamond" w:eastAsia="SimSun" w:hAnsi="Garamond" w:cs="Calibri Light"/>
          <w:color w:val="000000"/>
          <w:sz w:val="24"/>
          <w:szCs w:val="24"/>
          <w:lang w:eastAsia="en-US" w:bidi="sq-AL"/>
        </w:rPr>
        <w:t xml:space="preserve">Baastel. (2024). </w:t>
      </w:r>
      <w:r w:rsidRPr="00622884">
        <w:rPr>
          <w:rFonts w:ascii="Garamond" w:eastAsia="SimSun" w:hAnsi="Garamond" w:cs="Calibri Light"/>
          <w:i/>
          <w:color w:val="000000"/>
          <w:sz w:val="24"/>
          <w:szCs w:val="24"/>
          <w:lang w:eastAsia="en-US" w:bidi="sq-AL"/>
        </w:rPr>
        <w:t>Climate Risk Assessment of the Tourism Sector: Support to Filling Gaps in Climate Change Adaptation Data and Risk Analysis</w:t>
      </w:r>
      <w:r w:rsidRPr="00622884">
        <w:rPr>
          <w:rFonts w:ascii="Garamond" w:eastAsia="SimSun" w:hAnsi="Garamond" w:cs="Calibri Light"/>
          <w:color w:val="000000"/>
          <w:sz w:val="24"/>
          <w:szCs w:val="24"/>
          <w:lang w:eastAsia="en-US" w:bidi="sq-AL"/>
        </w:rPr>
        <w:t xml:space="preserve"> [Vlerësimi i riskut klimatik në sektorin e turizmit: Mbështetje për plotësimin e mangësive në të dhënat dhe analizat e riskut të përshtatjes ndaj ndryshimeve klimatike].</w:t>
      </w:r>
    </w:p>
    <w:p w14:paraId="19A4C173" w14:textId="77777777" w:rsidR="00622884" w:rsidRPr="00622884" w:rsidRDefault="00622884" w:rsidP="00622884">
      <w:pPr>
        <w:spacing w:after="0" w:line="240" w:lineRule="auto"/>
        <w:ind w:firstLine="284"/>
        <w:rPr>
          <w:rFonts w:ascii="Garamond" w:eastAsia="SimSun" w:hAnsi="Garamond" w:cs="Calibri Light"/>
          <w:color w:val="000000"/>
          <w:sz w:val="24"/>
          <w:szCs w:val="24"/>
          <w:lang w:eastAsia="en-US"/>
        </w:rPr>
      </w:pPr>
      <w:r w:rsidRPr="00622884">
        <w:rPr>
          <w:rFonts w:ascii="Garamond" w:eastAsia="SimSun" w:hAnsi="Garamond" w:cs="Calibri Light"/>
          <w:color w:val="000000"/>
          <w:sz w:val="24"/>
          <w:szCs w:val="24"/>
          <w:lang w:eastAsia="en-US" w:bidi="sq-AL"/>
        </w:rPr>
        <w:t xml:space="preserve">Baastel. (2024). </w:t>
      </w:r>
      <w:r w:rsidRPr="00622884">
        <w:rPr>
          <w:rFonts w:ascii="Garamond" w:eastAsia="SimSun" w:hAnsi="Garamond" w:cs="Calibri Light"/>
          <w:i/>
          <w:color w:val="000000"/>
          <w:sz w:val="24"/>
          <w:szCs w:val="24"/>
          <w:lang w:eastAsia="en-US" w:bidi="sq-AL"/>
        </w:rPr>
        <w:t>Climate Risk Assessment of the Transport Sector: Support to Filling Gaps in Climate Change Adaptation Data and Risk Analysis</w:t>
      </w:r>
      <w:r w:rsidRPr="00622884">
        <w:rPr>
          <w:rFonts w:ascii="Garamond" w:eastAsia="SimSun" w:hAnsi="Garamond" w:cs="Calibri Light"/>
          <w:color w:val="000000"/>
          <w:sz w:val="24"/>
          <w:szCs w:val="24"/>
          <w:lang w:eastAsia="en-US" w:bidi="sq-AL"/>
        </w:rPr>
        <w:t xml:space="preserve"> [Vlerësimi i riskut klimatik në sektorin e transportit: Mbështetje për plotësimin e mangësive në të dhënat dhe analizat e riskut të përshtatjes ndaj ndryshimeve klimatike].</w:t>
      </w:r>
    </w:p>
    <w:p w14:paraId="609E2713" w14:textId="77777777" w:rsidR="00622884" w:rsidRPr="00622884" w:rsidRDefault="00622884" w:rsidP="00622884">
      <w:pPr>
        <w:spacing w:after="0" w:line="240" w:lineRule="auto"/>
        <w:ind w:firstLine="284"/>
        <w:rPr>
          <w:rFonts w:ascii="Garamond" w:eastAsia="SimSun" w:hAnsi="Garamond" w:cs="Calibri Light"/>
          <w:color w:val="000000"/>
          <w:sz w:val="24"/>
          <w:szCs w:val="24"/>
          <w:lang w:eastAsia="en-US"/>
        </w:rPr>
      </w:pPr>
      <w:r w:rsidRPr="00622884">
        <w:rPr>
          <w:rFonts w:ascii="Garamond" w:eastAsia="SimSun" w:hAnsi="Garamond" w:cs="Calibri Light"/>
          <w:color w:val="000000"/>
          <w:sz w:val="24"/>
          <w:szCs w:val="24"/>
          <w:lang w:eastAsia="en-US" w:bidi="sq-AL"/>
        </w:rPr>
        <w:t xml:space="preserve">Baastel. (2024). </w:t>
      </w:r>
      <w:r w:rsidRPr="00622884">
        <w:rPr>
          <w:rFonts w:ascii="Garamond" w:eastAsia="SimSun" w:hAnsi="Garamond" w:cs="Calibri Light"/>
          <w:i/>
          <w:color w:val="000000"/>
          <w:sz w:val="24"/>
          <w:szCs w:val="24"/>
          <w:lang w:eastAsia="en-US" w:bidi="sq-AL"/>
        </w:rPr>
        <w:t>Climate Risk Assessment of Urban Development: Support to Filling Gaps in Climate Change Adaptation Data and Risk Analysis</w:t>
      </w:r>
      <w:r w:rsidRPr="00622884">
        <w:rPr>
          <w:rFonts w:ascii="Garamond" w:eastAsia="SimSun" w:hAnsi="Garamond" w:cs="Calibri Light"/>
          <w:color w:val="000000"/>
          <w:sz w:val="24"/>
          <w:szCs w:val="24"/>
          <w:lang w:eastAsia="en-US" w:bidi="sq-AL"/>
        </w:rPr>
        <w:t xml:space="preserve"> [Vlerësimi i riskut klimatik në sektorin e zhvillimit urban: Mbështetje për plotësimin e mangësive në të dhënat dhe analizat e riskut të përshtatjes ndaj ndryshimeve klimatike].</w:t>
      </w:r>
    </w:p>
    <w:p w14:paraId="2E4DFCFD" w14:textId="77777777" w:rsidR="00622884" w:rsidRPr="00622884" w:rsidRDefault="00622884" w:rsidP="00622884">
      <w:pPr>
        <w:spacing w:after="0" w:line="240" w:lineRule="auto"/>
        <w:ind w:firstLine="284"/>
        <w:rPr>
          <w:rFonts w:ascii="Garamond" w:eastAsia="SimSun" w:hAnsi="Garamond" w:cs="Calibri Light"/>
          <w:color w:val="000000"/>
          <w:sz w:val="24"/>
          <w:szCs w:val="24"/>
          <w:lang w:eastAsia="en-US"/>
        </w:rPr>
      </w:pPr>
      <w:r w:rsidRPr="00622884">
        <w:rPr>
          <w:rFonts w:ascii="Garamond" w:eastAsia="SimSun" w:hAnsi="Garamond" w:cs="Calibri Light"/>
          <w:color w:val="000000"/>
          <w:sz w:val="24"/>
          <w:szCs w:val="24"/>
          <w:lang w:eastAsia="en-US" w:bidi="sq-AL"/>
        </w:rPr>
        <w:t xml:space="preserve">Baastel. (2024). </w:t>
      </w:r>
      <w:r w:rsidRPr="00622884">
        <w:rPr>
          <w:rFonts w:ascii="Garamond" w:eastAsia="SimSun" w:hAnsi="Garamond" w:cs="Calibri Light"/>
          <w:i/>
          <w:color w:val="000000"/>
          <w:sz w:val="24"/>
          <w:szCs w:val="24"/>
          <w:lang w:eastAsia="en-US" w:bidi="sq-AL"/>
        </w:rPr>
        <w:t>Cross-Sectoral Risk Assessment</w:t>
      </w:r>
      <w:r w:rsidRPr="00622884">
        <w:rPr>
          <w:rFonts w:ascii="Garamond" w:eastAsia="SimSun" w:hAnsi="Garamond" w:cs="Calibri Light"/>
          <w:color w:val="000000"/>
          <w:sz w:val="24"/>
          <w:szCs w:val="24"/>
          <w:lang w:eastAsia="en-US" w:bidi="sq-AL"/>
        </w:rPr>
        <w:t xml:space="preserve"> [Vlerësimi i riskut ndër-sektorial].</w:t>
      </w:r>
    </w:p>
    <w:p w14:paraId="00EF3DC5" w14:textId="77777777" w:rsidR="00622884" w:rsidRPr="00622884" w:rsidRDefault="00622884" w:rsidP="00622884">
      <w:pPr>
        <w:spacing w:after="0" w:line="240" w:lineRule="auto"/>
        <w:ind w:firstLine="284"/>
        <w:rPr>
          <w:rFonts w:ascii="Garamond" w:eastAsia="SimSun" w:hAnsi="Garamond" w:cs="Calibri Light"/>
          <w:color w:val="000000"/>
          <w:sz w:val="24"/>
          <w:szCs w:val="24"/>
          <w:lang w:eastAsia="en-US"/>
        </w:rPr>
      </w:pPr>
      <w:r w:rsidRPr="00622884">
        <w:rPr>
          <w:rFonts w:ascii="Garamond" w:eastAsia="SimSun" w:hAnsi="Garamond" w:cs="Calibri Light"/>
          <w:color w:val="000000"/>
          <w:sz w:val="24"/>
          <w:szCs w:val="24"/>
          <w:lang w:eastAsia="en-US" w:bidi="sq-AL"/>
        </w:rPr>
        <w:t xml:space="preserve">Baastel. (2024). </w:t>
      </w:r>
      <w:r w:rsidRPr="00622884">
        <w:rPr>
          <w:rFonts w:ascii="Garamond" w:eastAsia="SimSun" w:hAnsi="Garamond" w:cs="Calibri Light"/>
          <w:i/>
          <w:color w:val="000000"/>
          <w:sz w:val="24"/>
          <w:szCs w:val="24"/>
          <w:lang w:eastAsia="en-US" w:bidi="sq-AL"/>
        </w:rPr>
        <w:t>Identification of Adaptation Measures [Identifikimi i masava të përshtatjes]. Albania National Adaptation Planning: Support to Filling Gaps in Climate Change Adaptation Data and Risk Analysis</w:t>
      </w:r>
      <w:r w:rsidRPr="00622884">
        <w:rPr>
          <w:rFonts w:ascii="Garamond" w:eastAsia="SimSun" w:hAnsi="Garamond" w:cs="Calibri Light"/>
          <w:color w:val="000000"/>
          <w:sz w:val="24"/>
          <w:szCs w:val="24"/>
          <w:lang w:eastAsia="en-US" w:bidi="sq-AL"/>
        </w:rPr>
        <w:t xml:space="preserve"> [Plani Kombëtar i Përshtatjes i Shqipërisë:Mbështetje për plotësimin e mangësive në të dhënat dhe analizat e riskut të përshtatjes ndaj ndryshimeve klimatike].</w:t>
      </w:r>
    </w:p>
    <w:p w14:paraId="75216975" w14:textId="77777777" w:rsidR="00622884" w:rsidRPr="00622884" w:rsidRDefault="00622884" w:rsidP="00622884">
      <w:pPr>
        <w:spacing w:after="0" w:line="240" w:lineRule="auto"/>
        <w:ind w:firstLine="284"/>
        <w:rPr>
          <w:rFonts w:ascii="Garamond" w:eastAsia="SimSun" w:hAnsi="Garamond" w:cs="Calibri Light"/>
          <w:color w:val="000000"/>
          <w:sz w:val="24"/>
          <w:szCs w:val="24"/>
          <w:lang w:eastAsia="en-US"/>
        </w:rPr>
      </w:pPr>
      <w:r w:rsidRPr="00622884">
        <w:rPr>
          <w:rFonts w:ascii="Garamond" w:eastAsia="SimSun" w:hAnsi="Garamond" w:cs="Calibri Light"/>
          <w:color w:val="000000"/>
          <w:sz w:val="24"/>
          <w:szCs w:val="24"/>
          <w:lang w:eastAsia="en-US" w:bidi="sq-AL"/>
        </w:rPr>
        <w:t xml:space="preserve">Baastel. (2024). Planet vendore të përshtatjes për tetë bashkitë: Durrës, Elbasan, Fier, Gjirokastër, Krujë, Kukës, Përmet dhe Vlorë. </w:t>
      </w:r>
    </w:p>
    <w:p w14:paraId="1DD7A4DE" w14:textId="77777777" w:rsidR="00622884" w:rsidRPr="00622884" w:rsidRDefault="00622884" w:rsidP="00622884">
      <w:pPr>
        <w:spacing w:after="0" w:line="240" w:lineRule="auto"/>
        <w:ind w:firstLine="284"/>
        <w:rPr>
          <w:rFonts w:ascii="Garamond" w:eastAsia="SimSun" w:hAnsi="Garamond" w:cs="Calibri Light"/>
          <w:color w:val="000000"/>
          <w:sz w:val="24"/>
          <w:szCs w:val="24"/>
          <w:lang w:eastAsia="en-US"/>
        </w:rPr>
      </w:pPr>
      <w:r w:rsidRPr="00622884">
        <w:rPr>
          <w:rFonts w:ascii="Garamond" w:eastAsia="SimSun" w:hAnsi="Garamond" w:cs="Calibri Light"/>
          <w:i/>
          <w:color w:val="000000"/>
          <w:sz w:val="24"/>
          <w:szCs w:val="24"/>
          <w:lang w:eastAsia="en-US" w:bidi="sq-AL"/>
        </w:rPr>
        <w:t>California Adaptation Planning Guide</w:t>
      </w:r>
      <w:r w:rsidRPr="00622884">
        <w:rPr>
          <w:rFonts w:ascii="Garamond" w:eastAsia="SimSun" w:hAnsi="Garamond" w:cs="Calibri Light"/>
          <w:color w:val="000000"/>
          <w:sz w:val="24"/>
          <w:szCs w:val="24"/>
          <w:lang w:eastAsia="en-US" w:bidi="sq-AL"/>
        </w:rPr>
        <w:t xml:space="preserve"> [Udhëzuesi i Planifikimit për Përshtatjen në Kaliforni]. (2020). Shteti i Kalifornisë.</w:t>
      </w:r>
    </w:p>
    <w:p w14:paraId="74DCA54C" w14:textId="77777777" w:rsidR="00622884" w:rsidRPr="00622884" w:rsidRDefault="00622884" w:rsidP="00622884">
      <w:pPr>
        <w:spacing w:after="0" w:line="240" w:lineRule="auto"/>
        <w:ind w:firstLine="284"/>
        <w:rPr>
          <w:rFonts w:ascii="Garamond" w:eastAsia="SimSun" w:hAnsi="Garamond" w:cs="Calibri Light"/>
          <w:color w:val="000000"/>
          <w:sz w:val="24"/>
          <w:szCs w:val="24"/>
          <w:lang w:eastAsia="en-US"/>
        </w:rPr>
      </w:pPr>
      <w:r w:rsidRPr="00622884">
        <w:rPr>
          <w:rFonts w:ascii="Garamond" w:eastAsia="SimSun" w:hAnsi="Garamond" w:cs="Calibri Light"/>
          <w:color w:val="000000"/>
          <w:sz w:val="24"/>
          <w:szCs w:val="24"/>
          <w:lang w:eastAsia="en-US" w:bidi="sq-AL"/>
        </w:rPr>
        <w:t xml:space="preserve">City of Tirana [Qyteti i Tiranës]. (2015). </w:t>
      </w:r>
      <w:r w:rsidRPr="00622884">
        <w:rPr>
          <w:rFonts w:ascii="Garamond" w:eastAsia="SimSun" w:hAnsi="Garamond" w:cs="Calibri Light"/>
          <w:i/>
          <w:color w:val="000000"/>
          <w:sz w:val="24"/>
          <w:szCs w:val="24"/>
          <w:lang w:eastAsia="en-US" w:bidi="sq-AL"/>
        </w:rPr>
        <w:t>Adapting Our City to a Changing Climate: Vulnerability Assessment and Adaptation Action Plan for Tirana</w:t>
      </w:r>
      <w:r w:rsidRPr="00622884">
        <w:rPr>
          <w:rFonts w:ascii="Garamond" w:eastAsia="SimSun" w:hAnsi="Garamond" w:cs="Calibri Light"/>
          <w:color w:val="000000"/>
          <w:sz w:val="24"/>
          <w:szCs w:val="24"/>
          <w:lang w:eastAsia="en-US" w:bidi="sq-AL"/>
        </w:rPr>
        <w:t xml:space="preserve"> [Përshtatja e qytetit tonë ndaj ndryshimeve klimaterike: Vlerësimi i cenueshmërisë dhe plani i veprimit për përshtatje për Tiranën].</w:t>
      </w:r>
    </w:p>
    <w:p w14:paraId="4FBE4DD8" w14:textId="77777777" w:rsidR="00622884" w:rsidRPr="00622884" w:rsidRDefault="00622884" w:rsidP="00622884">
      <w:pPr>
        <w:spacing w:after="0" w:line="240" w:lineRule="auto"/>
        <w:ind w:firstLine="284"/>
        <w:rPr>
          <w:rFonts w:ascii="Garamond" w:eastAsia="SimSun" w:hAnsi="Garamond" w:cs="Calibri Light"/>
          <w:color w:val="000000"/>
          <w:sz w:val="24"/>
          <w:szCs w:val="24"/>
          <w:lang w:eastAsia="en-US"/>
        </w:rPr>
      </w:pPr>
      <w:r w:rsidRPr="00622884">
        <w:rPr>
          <w:rFonts w:ascii="Garamond" w:eastAsia="SimSun" w:hAnsi="Garamond" w:cs="Calibri Light"/>
          <w:i/>
          <w:color w:val="000000"/>
          <w:sz w:val="24"/>
          <w:szCs w:val="24"/>
          <w:lang w:eastAsia="en-US" w:bidi="sq-AL"/>
        </w:rPr>
        <w:t>Climate and Socio-Economic Data Compiled and Analysed for the Agriculture Sector, Including Socio-Economic Indicator Modelling</w:t>
      </w:r>
      <w:r w:rsidRPr="00622884">
        <w:rPr>
          <w:rFonts w:ascii="Garamond" w:eastAsia="SimSun" w:hAnsi="Garamond" w:cs="Calibri Light"/>
          <w:color w:val="000000"/>
          <w:sz w:val="24"/>
          <w:szCs w:val="24"/>
          <w:lang w:eastAsia="en-US" w:bidi="sq-AL"/>
        </w:rPr>
        <w:t xml:space="preserve"> [Të dhënat klimatike dhe socio-ekonomike të mbledhura dhe të analizuara për sektorin bujqësor, duke përfshirë modelimin e treguesve socio-ekonomikë]. (n.d.). Paolo Bacca &amp; Narin Panariti. UNDP.</w:t>
      </w:r>
    </w:p>
    <w:p w14:paraId="52BD2D69" w14:textId="77777777" w:rsidR="00622884" w:rsidRPr="00622884" w:rsidRDefault="00622884" w:rsidP="00622884">
      <w:pPr>
        <w:spacing w:after="0" w:line="240" w:lineRule="auto"/>
        <w:ind w:firstLine="284"/>
        <w:rPr>
          <w:rFonts w:ascii="Garamond" w:eastAsia="SimSun" w:hAnsi="Garamond" w:cs="Calibri Light"/>
          <w:color w:val="000000"/>
          <w:sz w:val="24"/>
          <w:szCs w:val="24"/>
          <w:lang w:eastAsia="en-US"/>
        </w:rPr>
      </w:pPr>
      <w:r w:rsidRPr="00622884">
        <w:rPr>
          <w:rFonts w:ascii="Garamond" w:eastAsia="SimSun" w:hAnsi="Garamond" w:cs="Calibri Light"/>
          <w:i/>
          <w:color w:val="000000"/>
          <w:sz w:val="24"/>
          <w:szCs w:val="24"/>
          <w:lang w:eastAsia="en-US" w:bidi="sq-AL"/>
        </w:rPr>
        <w:t>Climate Change 2022: Impacts, Adaptation and Vulnerability</w:t>
      </w:r>
      <w:r w:rsidRPr="00622884">
        <w:rPr>
          <w:rFonts w:ascii="Garamond" w:eastAsia="SimSun" w:hAnsi="Garamond" w:cs="Calibri Light"/>
          <w:color w:val="000000"/>
          <w:sz w:val="24"/>
          <w:szCs w:val="24"/>
          <w:lang w:eastAsia="en-US" w:bidi="sq-AL"/>
        </w:rPr>
        <w:t xml:space="preserve"> [Ndryshimet klimatike 2022: Ndikimet, përshtatja dhe cenueshmëria]. (2022). Paneli ndërqeveritar për ndryshimet klimatike (PNNK). Raporti i gjashtë vlerësues, UNFCCC.</w:t>
      </w:r>
    </w:p>
    <w:p w14:paraId="3E83FC19" w14:textId="77777777" w:rsidR="00622884" w:rsidRPr="00622884" w:rsidRDefault="00622884" w:rsidP="00622884">
      <w:pPr>
        <w:spacing w:after="0" w:line="240" w:lineRule="auto"/>
        <w:ind w:firstLine="284"/>
        <w:rPr>
          <w:rFonts w:ascii="Garamond" w:eastAsia="SimSun" w:hAnsi="Garamond" w:cs="Calibri Light"/>
          <w:color w:val="000000"/>
          <w:sz w:val="24"/>
          <w:szCs w:val="24"/>
          <w:lang w:eastAsia="en-US"/>
        </w:rPr>
      </w:pPr>
      <w:r w:rsidRPr="00622884">
        <w:rPr>
          <w:rFonts w:ascii="Garamond" w:eastAsia="SimSun" w:hAnsi="Garamond" w:cs="Calibri Light"/>
          <w:i/>
          <w:color w:val="000000"/>
          <w:sz w:val="24"/>
          <w:szCs w:val="24"/>
          <w:lang w:eastAsia="en-US" w:bidi="sq-AL"/>
        </w:rPr>
        <w:t>Climate Change Adaptation and Resilience Planning: Programme Summary and Guide for Cities</w:t>
      </w:r>
      <w:r w:rsidRPr="00622884">
        <w:rPr>
          <w:rFonts w:ascii="Garamond" w:eastAsia="SimSun" w:hAnsi="Garamond" w:cs="Calibri Light"/>
          <w:color w:val="000000"/>
          <w:sz w:val="24"/>
          <w:szCs w:val="24"/>
          <w:lang w:eastAsia="en-US" w:bidi="sq-AL"/>
        </w:rPr>
        <w:t xml:space="preserve"> [Planifikimi i përshtatjes dhe qëndrueshmërisë ndaj ndryshimeve klimatike: Përmbledhje e programit dhe udhëzues për qytetet]. (2023), KMD.</w:t>
      </w:r>
    </w:p>
    <w:p w14:paraId="686B1496" w14:textId="77777777" w:rsidR="00622884" w:rsidRPr="00622884" w:rsidRDefault="00622884" w:rsidP="00622884">
      <w:pPr>
        <w:spacing w:after="0" w:line="240" w:lineRule="auto"/>
        <w:ind w:firstLine="284"/>
        <w:rPr>
          <w:rFonts w:ascii="Garamond" w:eastAsia="SimSun" w:hAnsi="Garamond" w:cs="Calibri Light"/>
          <w:color w:val="000000"/>
          <w:sz w:val="24"/>
          <w:szCs w:val="24"/>
          <w:lang w:eastAsia="en-US"/>
        </w:rPr>
      </w:pPr>
      <w:r w:rsidRPr="00622884">
        <w:rPr>
          <w:rFonts w:ascii="Garamond" w:eastAsia="SimSun" w:hAnsi="Garamond" w:cs="Calibri Light"/>
          <w:color w:val="000000"/>
          <w:sz w:val="24"/>
          <w:szCs w:val="24"/>
          <w:lang w:eastAsia="en-US" w:bidi="sq-AL"/>
        </w:rPr>
        <w:t>Strategjia për Ndryshimet Klimatike në Shqipëri 2020–2030: Monitorimi i Planit të Veprimit 2019–2021.(janar, 2022). Ministria e Turizmit dhe Mjedisit, Shqipëri.</w:t>
      </w:r>
    </w:p>
    <w:p w14:paraId="6F019F99" w14:textId="77777777" w:rsidR="00622884" w:rsidRPr="00622884" w:rsidRDefault="00622884" w:rsidP="00622884">
      <w:pPr>
        <w:spacing w:after="0" w:line="240" w:lineRule="auto"/>
        <w:ind w:firstLine="284"/>
        <w:rPr>
          <w:rFonts w:ascii="Garamond" w:eastAsia="SimSun" w:hAnsi="Garamond" w:cs="Calibri Light"/>
          <w:color w:val="000000"/>
          <w:sz w:val="24"/>
          <w:szCs w:val="24"/>
          <w:lang w:eastAsia="en-US"/>
        </w:rPr>
      </w:pPr>
      <w:r w:rsidRPr="00622884">
        <w:rPr>
          <w:rFonts w:ascii="Garamond" w:eastAsia="SimSun" w:hAnsi="Garamond" w:cs="Calibri Light"/>
          <w:i/>
          <w:color w:val="000000"/>
          <w:sz w:val="24"/>
          <w:szCs w:val="24"/>
          <w:lang w:eastAsia="en-US" w:bidi="sq-AL"/>
        </w:rPr>
        <w:t>Climate Risk Country Profile: Albania</w:t>
      </w:r>
      <w:r w:rsidRPr="00622884">
        <w:rPr>
          <w:rFonts w:ascii="Garamond" w:eastAsia="SimSun" w:hAnsi="Garamond" w:cs="Calibri Light"/>
          <w:color w:val="000000"/>
          <w:sz w:val="24"/>
          <w:szCs w:val="24"/>
          <w:lang w:eastAsia="en-US" w:bidi="sq-AL"/>
        </w:rPr>
        <w:t xml:space="preserve"> [Profili i riskut klimatik i vendit: Shqipëri]. (2021). Banka Botërore.</w:t>
      </w:r>
    </w:p>
    <w:p w14:paraId="2C549A02" w14:textId="77777777" w:rsidR="00622884" w:rsidRPr="00622884" w:rsidRDefault="00622884" w:rsidP="00622884">
      <w:pPr>
        <w:spacing w:after="0" w:line="240" w:lineRule="auto"/>
        <w:ind w:firstLine="284"/>
        <w:rPr>
          <w:rFonts w:ascii="Garamond" w:eastAsia="SimSun" w:hAnsi="Garamond" w:cs="Calibri Light"/>
          <w:color w:val="000000"/>
          <w:sz w:val="24"/>
          <w:szCs w:val="24"/>
          <w:lang w:eastAsia="en-US"/>
        </w:rPr>
      </w:pPr>
      <w:r w:rsidRPr="00622884">
        <w:rPr>
          <w:rFonts w:ascii="Garamond" w:eastAsia="SimSun" w:hAnsi="Garamond" w:cs="Calibri Light"/>
          <w:i/>
          <w:color w:val="000000"/>
          <w:sz w:val="24"/>
          <w:szCs w:val="24"/>
          <w:lang w:eastAsia="en-US" w:bidi="sq-AL"/>
        </w:rPr>
        <w:t>Commission Staff Working Document</w:t>
      </w:r>
      <w:r w:rsidRPr="00622884">
        <w:rPr>
          <w:rFonts w:ascii="Garamond" w:eastAsia="SimSun" w:hAnsi="Garamond" w:cs="Calibri Light"/>
          <w:color w:val="000000"/>
          <w:sz w:val="24"/>
          <w:szCs w:val="24"/>
          <w:lang w:eastAsia="en-US" w:bidi="sq-AL"/>
        </w:rPr>
        <w:t xml:space="preserve"> [Dokument Pune i Stafit të Komisionit]. (2023). </w:t>
      </w:r>
      <w:r w:rsidRPr="00622884">
        <w:rPr>
          <w:rFonts w:ascii="Garamond" w:eastAsia="SimSun" w:hAnsi="Garamond" w:cs="Calibri Light"/>
          <w:i/>
          <w:color w:val="000000"/>
          <w:sz w:val="24"/>
          <w:szCs w:val="24"/>
          <w:lang w:eastAsia="en-US" w:bidi="sq-AL"/>
        </w:rPr>
        <w:t xml:space="preserve">Albania 2023 Report: Communication on EU Enlargement Policy </w:t>
      </w:r>
      <w:r w:rsidRPr="00622884">
        <w:rPr>
          <w:rFonts w:ascii="Garamond" w:eastAsia="SimSun" w:hAnsi="Garamond" w:cs="Calibri Light"/>
          <w:color w:val="000000"/>
          <w:sz w:val="24"/>
          <w:szCs w:val="24"/>
          <w:lang w:eastAsia="en-US" w:bidi="sq-AL"/>
        </w:rPr>
        <w:t>[Raporti i Shqipërisë 2023: Komunikimi për politikat e zgjerimit të BE-së]. Komisioni Evropian.</w:t>
      </w:r>
    </w:p>
    <w:p w14:paraId="44A50815" w14:textId="77777777" w:rsidR="00622884" w:rsidRPr="00622884" w:rsidRDefault="00622884" w:rsidP="00622884">
      <w:pPr>
        <w:spacing w:after="0" w:line="240" w:lineRule="auto"/>
        <w:ind w:firstLine="284"/>
        <w:rPr>
          <w:rFonts w:ascii="Garamond" w:eastAsia="SimSun" w:hAnsi="Garamond" w:cs="Calibri Light"/>
          <w:color w:val="000000"/>
          <w:sz w:val="24"/>
          <w:szCs w:val="24"/>
          <w:lang w:eastAsia="en-US"/>
        </w:rPr>
      </w:pPr>
      <w:r w:rsidRPr="00622884">
        <w:rPr>
          <w:rFonts w:ascii="Garamond" w:eastAsia="SimSun" w:hAnsi="Garamond" w:cs="Calibri Light"/>
          <w:b/>
          <w:color w:val="000000"/>
          <w:sz w:val="24"/>
          <w:szCs w:val="24"/>
          <w:lang w:eastAsia="en-US" w:bidi="sq-AL"/>
        </w:rPr>
        <w:t>Cross-Sectoral Risk Assessment</w:t>
      </w:r>
      <w:r w:rsidRPr="00622884">
        <w:rPr>
          <w:rFonts w:ascii="Garamond" w:eastAsia="SimSun" w:hAnsi="Garamond" w:cs="Calibri Light"/>
          <w:color w:val="000000"/>
          <w:sz w:val="24"/>
          <w:szCs w:val="24"/>
          <w:lang w:eastAsia="en-US" w:bidi="sq-AL"/>
        </w:rPr>
        <w:t xml:space="preserve"> [Vlerësimi i riskut ndër-sektorial]. Baastel. (2024).</w:t>
      </w:r>
    </w:p>
    <w:p w14:paraId="0A33E0CE" w14:textId="77777777" w:rsidR="00622884" w:rsidRPr="00622884" w:rsidRDefault="00622884" w:rsidP="00622884">
      <w:pPr>
        <w:spacing w:after="0" w:line="240" w:lineRule="auto"/>
        <w:ind w:firstLine="284"/>
        <w:rPr>
          <w:rFonts w:ascii="Garamond" w:eastAsia="SimSun" w:hAnsi="Garamond" w:cs="Calibri Light"/>
          <w:color w:val="000000"/>
          <w:sz w:val="24"/>
          <w:szCs w:val="24"/>
          <w:lang w:eastAsia="en-US"/>
        </w:rPr>
      </w:pPr>
      <w:r w:rsidRPr="00622884">
        <w:rPr>
          <w:rFonts w:ascii="Garamond" w:eastAsia="SimSun" w:hAnsi="Garamond" w:cs="Calibri Light"/>
          <w:color w:val="000000"/>
          <w:sz w:val="24"/>
          <w:szCs w:val="24"/>
          <w:lang w:eastAsia="en-US" w:bidi="sq-AL"/>
        </w:rPr>
        <w:lastRenderedPageBreak/>
        <w:t xml:space="preserve">EU </w:t>
      </w:r>
      <w:r w:rsidRPr="00622884">
        <w:rPr>
          <w:rFonts w:ascii="Garamond" w:eastAsia="SimSun" w:hAnsi="Garamond" w:cs="Calibri Light"/>
          <w:i/>
          <w:color w:val="000000"/>
          <w:sz w:val="24"/>
          <w:szCs w:val="24"/>
          <w:lang w:eastAsia="en-US" w:bidi="sq-AL"/>
        </w:rPr>
        <w:t>Adaptation Strategy: Forging a Climate Resilient Europe – A New EU Adaptation Strategy</w:t>
      </w:r>
      <w:r w:rsidRPr="00622884">
        <w:rPr>
          <w:rFonts w:ascii="Garamond" w:eastAsia="SimSun" w:hAnsi="Garamond" w:cs="Calibri Light"/>
          <w:color w:val="000000"/>
          <w:sz w:val="24"/>
          <w:szCs w:val="24"/>
          <w:lang w:eastAsia="en-US" w:bidi="sq-AL"/>
        </w:rPr>
        <w:t>. (2021) [Strategjia e përshtatjes së BE-së: Ndërtimi i një Evrope të qëndrueshme ndaj klimës – një strategji e re e përshtatjes së BE-së]. Komisioni Evropian.</w:t>
      </w:r>
    </w:p>
    <w:p w14:paraId="0343E3C8" w14:textId="77777777" w:rsidR="00622884" w:rsidRPr="00622884" w:rsidRDefault="00622884" w:rsidP="00622884">
      <w:pPr>
        <w:spacing w:after="0" w:line="240" w:lineRule="auto"/>
        <w:ind w:firstLine="284"/>
        <w:rPr>
          <w:rFonts w:ascii="Garamond" w:eastAsia="SimSun" w:hAnsi="Garamond" w:cs="Calibri Light"/>
          <w:color w:val="000000"/>
          <w:sz w:val="24"/>
          <w:szCs w:val="24"/>
          <w:lang w:eastAsia="en-US"/>
        </w:rPr>
      </w:pPr>
      <w:r w:rsidRPr="00622884">
        <w:rPr>
          <w:rFonts w:ascii="Garamond" w:eastAsia="SimSun" w:hAnsi="Garamond" w:cs="Calibri Light"/>
          <w:i/>
          <w:color w:val="000000"/>
          <w:sz w:val="24"/>
          <w:szCs w:val="24"/>
          <w:lang w:eastAsia="en-US" w:bidi="sq-AL"/>
        </w:rPr>
        <w:t>European Climate Law</w:t>
      </w:r>
      <w:r w:rsidRPr="00622884">
        <w:rPr>
          <w:rFonts w:ascii="Garamond" w:eastAsia="SimSun" w:hAnsi="Garamond" w:cs="Calibri Light"/>
          <w:color w:val="000000"/>
          <w:sz w:val="24"/>
          <w:szCs w:val="24"/>
          <w:lang w:eastAsia="en-US" w:bidi="sq-AL"/>
        </w:rPr>
        <w:t xml:space="preserve"> [Ligji Evropian për Klimën] (2021). Bashkimi Evropian.</w:t>
      </w:r>
    </w:p>
    <w:p w14:paraId="5E8611D2" w14:textId="77777777" w:rsidR="00622884" w:rsidRPr="00622884" w:rsidRDefault="00622884" w:rsidP="00622884">
      <w:pPr>
        <w:spacing w:after="0" w:line="240" w:lineRule="auto"/>
        <w:ind w:firstLine="284"/>
        <w:rPr>
          <w:rFonts w:ascii="Garamond" w:eastAsia="SimSun" w:hAnsi="Garamond" w:cs="Calibri Light"/>
          <w:color w:val="000000"/>
          <w:sz w:val="24"/>
          <w:szCs w:val="24"/>
          <w:lang w:eastAsia="en-US"/>
        </w:rPr>
      </w:pPr>
      <w:r w:rsidRPr="00622884">
        <w:rPr>
          <w:rFonts w:ascii="Garamond" w:eastAsia="SimSun" w:hAnsi="Garamond" w:cs="Calibri Light"/>
          <w:i/>
          <w:color w:val="000000"/>
          <w:sz w:val="24"/>
          <w:szCs w:val="24"/>
          <w:lang w:eastAsia="en-US" w:bidi="sq-AL"/>
        </w:rPr>
        <w:t>European Climate Risk Assessment Report</w:t>
      </w:r>
      <w:r w:rsidRPr="00622884">
        <w:rPr>
          <w:rFonts w:ascii="Garamond" w:eastAsia="SimSun" w:hAnsi="Garamond" w:cs="Calibri Light"/>
          <w:color w:val="000000"/>
          <w:sz w:val="24"/>
          <w:szCs w:val="24"/>
          <w:lang w:eastAsia="en-US" w:bidi="sq-AL"/>
        </w:rPr>
        <w:t xml:space="preserve"> [Raporti evropian i vlerësimit të riskut klimatik]. (2024). Agjencia Evropiane e Mjedisit (AEM).</w:t>
      </w:r>
    </w:p>
    <w:p w14:paraId="58669EE6" w14:textId="77777777" w:rsidR="00622884" w:rsidRPr="00622884" w:rsidRDefault="00622884" w:rsidP="00622884">
      <w:pPr>
        <w:spacing w:after="0" w:line="240" w:lineRule="auto"/>
        <w:ind w:firstLine="284"/>
        <w:rPr>
          <w:rFonts w:ascii="Garamond" w:eastAsia="SimSun" w:hAnsi="Garamond" w:cs="Calibri Light"/>
          <w:color w:val="000000"/>
          <w:sz w:val="24"/>
          <w:szCs w:val="24"/>
          <w:lang w:eastAsia="en-US"/>
        </w:rPr>
      </w:pPr>
      <w:r w:rsidRPr="00622884">
        <w:rPr>
          <w:rFonts w:ascii="Garamond" w:eastAsia="SimSun" w:hAnsi="Garamond" w:cs="Calibri Light"/>
          <w:i/>
          <w:color w:val="000000"/>
          <w:sz w:val="24"/>
          <w:szCs w:val="24"/>
          <w:lang w:eastAsia="en-US" w:bidi="sq-AL"/>
        </w:rPr>
        <w:t>Forging a Climate Resilient Europe – The New EU Strategy on Adaptation to Climate Change</w:t>
      </w:r>
      <w:r w:rsidRPr="00622884">
        <w:rPr>
          <w:rFonts w:ascii="Garamond" w:eastAsia="SimSun" w:hAnsi="Garamond" w:cs="Calibri Light"/>
          <w:color w:val="000000"/>
          <w:sz w:val="24"/>
          <w:szCs w:val="24"/>
          <w:lang w:eastAsia="en-US" w:bidi="sq-AL"/>
        </w:rPr>
        <w:t xml:space="preserve"> [Ndërtimi i një Evrope të qëndrueshme ndaj klimës – strategjia e re e BE-së për përshtatjen ndaj ndryshimeve klimatike]. (2021). Komisioni Evropian.</w:t>
      </w:r>
    </w:p>
    <w:p w14:paraId="73EAC6D3" w14:textId="77777777" w:rsidR="00622884" w:rsidRPr="00622884" w:rsidRDefault="00622884" w:rsidP="00622884">
      <w:pPr>
        <w:spacing w:after="0" w:line="240" w:lineRule="auto"/>
        <w:ind w:firstLine="284"/>
        <w:rPr>
          <w:rFonts w:ascii="Garamond" w:eastAsia="SimSun" w:hAnsi="Garamond" w:cs="Calibri Light"/>
          <w:color w:val="000000"/>
          <w:sz w:val="24"/>
          <w:szCs w:val="24"/>
          <w:lang w:eastAsia="en-US"/>
        </w:rPr>
      </w:pPr>
      <w:r w:rsidRPr="00622884">
        <w:rPr>
          <w:rFonts w:ascii="Garamond" w:eastAsia="SimSun" w:hAnsi="Garamond" w:cs="Calibri Light"/>
          <w:i/>
          <w:color w:val="000000"/>
          <w:sz w:val="24"/>
          <w:szCs w:val="24"/>
          <w:lang w:eastAsia="en-US" w:bidi="sq-AL"/>
        </w:rPr>
        <w:t>Gap Analysis of IGEO: Contribution to Climate Services and the NAP</w:t>
      </w:r>
      <w:r w:rsidRPr="00622884">
        <w:rPr>
          <w:rFonts w:ascii="Garamond" w:eastAsia="SimSun" w:hAnsi="Garamond" w:cs="Calibri Light"/>
          <w:color w:val="000000"/>
          <w:sz w:val="24"/>
          <w:szCs w:val="24"/>
          <w:lang w:eastAsia="en-US" w:bidi="sq-AL"/>
        </w:rPr>
        <w:t xml:space="preserve"> [Analiza e mangësive e IGJEO: kontributi në shërbimet klimatike dhe NAP]. (n.d.) Narin Panariti &amp; Paolo Bacca. UNDP.</w:t>
      </w:r>
    </w:p>
    <w:p w14:paraId="10DA94BA" w14:textId="77777777" w:rsidR="00622884" w:rsidRPr="00622884" w:rsidRDefault="00622884" w:rsidP="00622884">
      <w:pPr>
        <w:spacing w:after="0" w:line="240" w:lineRule="auto"/>
        <w:ind w:firstLine="284"/>
        <w:rPr>
          <w:rFonts w:ascii="Garamond" w:eastAsia="SimSun" w:hAnsi="Garamond" w:cs="Calibri Light"/>
          <w:color w:val="000000"/>
          <w:sz w:val="24"/>
          <w:szCs w:val="24"/>
          <w:lang w:eastAsia="en-US"/>
        </w:rPr>
      </w:pPr>
      <w:r w:rsidRPr="00622884">
        <w:rPr>
          <w:rFonts w:ascii="Garamond" w:eastAsia="SimSun" w:hAnsi="Garamond" w:cs="Calibri Light"/>
          <w:i/>
          <w:color w:val="000000"/>
          <w:sz w:val="24"/>
          <w:szCs w:val="24"/>
          <w:lang w:eastAsia="en-US" w:bidi="sq-AL"/>
        </w:rPr>
        <w:t>Identification of Adaptation Measures</w:t>
      </w:r>
      <w:r w:rsidRPr="00622884">
        <w:rPr>
          <w:rFonts w:ascii="Garamond" w:eastAsia="SimSun" w:hAnsi="Garamond" w:cs="Calibri Light"/>
          <w:color w:val="000000"/>
          <w:sz w:val="24"/>
          <w:szCs w:val="24"/>
          <w:lang w:eastAsia="en-US" w:bidi="sq-AL"/>
        </w:rPr>
        <w:t xml:space="preserve"> [Identifikimi i masave të përshtatjes]. (2024). </w:t>
      </w:r>
      <w:r w:rsidRPr="00622884">
        <w:rPr>
          <w:rFonts w:ascii="Garamond" w:eastAsia="SimSun" w:hAnsi="Garamond" w:cs="Calibri Light"/>
          <w:i/>
          <w:color w:val="000000"/>
          <w:sz w:val="24"/>
          <w:szCs w:val="24"/>
          <w:lang w:eastAsia="en-US" w:bidi="sq-AL"/>
        </w:rPr>
        <w:t xml:space="preserve">Albania National Adaptation Planning: Support to Filling Gaps in Climate Change Adaptation Data and Risk Analysis </w:t>
      </w:r>
      <w:r w:rsidRPr="00622884">
        <w:rPr>
          <w:rFonts w:ascii="Garamond" w:eastAsia="SimSun" w:hAnsi="Garamond" w:cs="Calibri Light"/>
          <w:color w:val="000000"/>
          <w:sz w:val="24"/>
          <w:szCs w:val="24"/>
          <w:lang w:eastAsia="en-US" w:bidi="sq-AL"/>
        </w:rPr>
        <w:t>[Plani Kombëtar i Përshtatjes i Shqipërisë: Mbështetje për plotësimin e mangësive në të dhënat dhe analizat e riskut të përshtatjes ndaj ndryshimeve klimatike]. Baastel.</w:t>
      </w:r>
    </w:p>
    <w:p w14:paraId="2C8851A7" w14:textId="77777777" w:rsidR="00622884" w:rsidRPr="00622884" w:rsidRDefault="00622884" w:rsidP="00622884">
      <w:pPr>
        <w:spacing w:after="0" w:line="240" w:lineRule="auto"/>
        <w:ind w:firstLine="284"/>
        <w:rPr>
          <w:rFonts w:ascii="Garamond" w:eastAsia="SimSun" w:hAnsi="Garamond" w:cs="Calibri Light"/>
          <w:color w:val="000000"/>
          <w:sz w:val="24"/>
          <w:szCs w:val="24"/>
          <w:lang w:eastAsia="en-US"/>
        </w:rPr>
      </w:pPr>
      <w:r w:rsidRPr="00622884">
        <w:rPr>
          <w:rFonts w:ascii="Garamond" w:eastAsia="SimSun" w:hAnsi="Garamond" w:cs="Calibri Light"/>
          <w:color w:val="000000"/>
          <w:sz w:val="24"/>
          <w:szCs w:val="24"/>
          <w:lang w:eastAsia="en-US" w:bidi="sq-AL"/>
        </w:rPr>
        <w:t xml:space="preserve">Instituti për Promovimin e Zhvillimit Social Ekonomik (janar, 2023). </w:t>
      </w:r>
      <w:r w:rsidRPr="00622884">
        <w:rPr>
          <w:rFonts w:ascii="Garamond" w:eastAsia="SimSun" w:hAnsi="Garamond" w:cs="Calibri Light"/>
          <w:i/>
          <w:color w:val="000000"/>
          <w:sz w:val="24"/>
          <w:szCs w:val="24"/>
          <w:lang w:eastAsia="en-US" w:bidi="sq-AL"/>
        </w:rPr>
        <w:t xml:space="preserve">Report on National Capacity and Training Needs Assessment on Climate Change Adaptation </w:t>
      </w:r>
      <w:r w:rsidRPr="00622884">
        <w:rPr>
          <w:rFonts w:ascii="Garamond" w:eastAsia="SimSun" w:hAnsi="Garamond" w:cs="Calibri Light"/>
          <w:color w:val="000000"/>
          <w:sz w:val="24"/>
          <w:szCs w:val="24"/>
          <w:lang w:eastAsia="en-US" w:bidi="sq-AL"/>
        </w:rPr>
        <w:t>[Raporti për vlerësimin e kapaciteteve kombëtare dhe nevojave për trajnime në përshtatjen ndaj ndryshimeve klimatike](PNK).</w:t>
      </w:r>
    </w:p>
    <w:p w14:paraId="04B14259" w14:textId="77777777" w:rsidR="00622884" w:rsidRPr="00622884" w:rsidRDefault="00622884" w:rsidP="00622884">
      <w:pPr>
        <w:spacing w:after="0" w:line="240" w:lineRule="auto"/>
        <w:ind w:firstLine="284"/>
        <w:rPr>
          <w:rFonts w:ascii="Garamond" w:eastAsia="SimSun" w:hAnsi="Garamond" w:cs="Calibri Light"/>
          <w:color w:val="000000"/>
          <w:sz w:val="24"/>
          <w:szCs w:val="24"/>
          <w:lang w:eastAsia="en-US"/>
        </w:rPr>
      </w:pPr>
      <w:r w:rsidRPr="00622884">
        <w:rPr>
          <w:rFonts w:ascii="Garamond" w:eastAsia="SimSun" w:hAnsi="Garamond" w:cs="Calibri Light"/>
          <w:i/>
          <w:color w:val="000000"/>
          <w:sz w:val="24"/>
          <w:szCs w:val="24"/>
          <w:lang w:eastAsia="en-US" w:bidi="sq-AL"/>
        </w:rPr>
        <w:t>Inventory of Sectoral, Territorial, and International/Regional Adaptation Projects, and of NGO-Driven Adaptation Activities</w:t>
      </w:r>
      <w:r w:rsidRPr="00622884">
        <w:rPr>
          <w:rFonts w:ascii="Garamond" w:eastAsia="SimSun" w:hAnsi="Garamond" w:cs="Calibri Light"/>
          <w:color w:val="000000"/>
          <w:sz w:val="24"/>
          <w:szCs w:val="24"/>
          <w:lang w:eastAsia="en-US" w:bidi="sq-AL"/>
        </w:rPr>
        <w:t xml:space="preserve"> [Inventari i projekteve të përshtatjes sektoriale, territoriale dhe ndërkombëtare/rajonale, si dhe i veprimtarive të përshtatjes të drejtuara nga OJQ-të]. (n.d.). Paolo Bacca &amp; Narin Panariti. UNDP.</w:t>
      </w:r>
    </w:p>
    <w:p w14:paraId="1F4AF92C" w14:textId="77777777" w:rsidR="00622884" w:rsidRPr="00622884" w:rsidRDefault="00622884" w:rsidP="00622884">
      <w:pPr>
        <w:spacing w:after="0" w:line="240" w:lineRule="auto"/>
        <w:ind w:firstLine="284"/>
        <w:rPr>
          <w:rFonts w:ascii="Garamond" w:eastAsia="SimSun" w:hAnsi="Garamond" w:cs="Calibri Light"/>
          <w:color w:val="000000"/>
          <w:sz w:val="24"/>
          <w:szCs w:val="24"/>
          <w:lang w:eastAsia="en-US"/>
        </w:rPr>
      </w:pPr>
      <w:r w:rsidRPr="00622884">
        <w:rPr>
          <w:rFonts w:ascii="Garamond" w:eastAsia="SimSun" w:hAnsi="Garamond" w:cs="Calibri Light"/>
          <w:color w:val="000000"/>
          <w:sz w:val="24"/>
          <w:szCs w:val="24"/>
          <w:lang w:eastAsia="en-US" w:bidi="sq-AL"/>
        </w:rPr>
        <w:t>Gjetjet kyçe të Raportit 2023 për Shqipërinë (2023). Bashkimi Evropian.</w:t>
      </w:r>
    </w:p>
    <w:p w14:paraId="1A45C03D" w14:textId="77777777" w:rsidR="00622884" w:rsidRPr="00622884" w:rsidRDefault="00622884" w:rsidP="00622884">
      <w:pPr>
        <w:spacing w:after="0" w:line="240" w:lineRule="auto"/>
        <w:ind w:firstLine="284"/>
        <w:rPr>
          <w:rFonts w:ascii="Garamond" w:eastAsia="SimSun" w:hAnsi="Garamond" w:cs="Calibri Light"/>
          <w:color w:val="000000"/>
          <w:sz w:val="24"/>
          <w:szCs w:val="24"/>
          <w:lang w:eastAsia="en-US"/>
        </w:rPr>
      </w:pPr>
      <w:r w:rsidRPr="00622884">
        <w:rPr>
          <w:rFonts w:ascii="Garamond" w:eastAsia="SimSun" w:hAnsi="Garamond" w:cs="Calibri Light"/>
          <w:color w:val="000000"/>
          <w:sz w:val="24"/>
          <w:szCs w:val="24"/>
          <w:lang w:eastAsia="en-US" w:bidi="sq-AL"/>
        </w:rPr>
        <w:t>Ligji nr. 155/2020, “Për ndryshimet klimatike”, i ndryshuar. Republika e Shqipërisë.</w:t>
      </w:r>
    </w:p>
    <w:p w14:paraId="00ECA0EE" w14:textId="77777777" w:rsidR="00622884" w:rsidRPr="00622884" w:rsidRDefault="00622884" w:rsidP="00622884">
      <w:pPr>
        <w:spacing w:after="0" w:line="240" w:lineRule="auto"/>
        <w:ind w:firstLine="284"/>
        <w:rPr>
          <w:rFonts w:ascii="Garamond" w:eastAsia="SimSun" w:hAnsi="Garamond" w:cs="Calibri Light"/>
          <w:color w:val="000000"/>
          <w:sz w:val="24"/>
          <w:szCs w:val="24"/>
          <w:lang w:eastAsia="en-US"/>
        </w:rPr>
      </w:pPr>
      <w:r w:rsidRPr="00622884">
        <w:rPr>
          <w:rFonts w:ascii="Garamond" w:eastAsia="SimSun" w:hAnsi="Garamond" w:cs="Calibri Light"/>
          <w:color w:val="000000"/>
          <w:sz w:val="24"/>
          <w:szCs w:val="24"/>
          <w:lang w:eastAsia="en-US" w:bidi="sq-AL"/>
        </w:rPr>
        <w:t xml:space="preserve">Grupi i ekspertëve për vendet më pak të zhvilluara. (2012). </w:t>
      </w:r>
      <w:r w:rsidRPr="00622884">
        <w:rPr>
          <w:rFonts w:ascii="Garamond" w:eastAsia="SimSun" w:hAnsi="Garamond" w:cs="Calibri Light"/>
          <w:i/>
          <w:color w:val="000000"/>
          <w:sz w:val="24"/>
          <w:szCs w:val="24"/>
          <w:lang w:eastAsia="en-US" w:bidi="sq-AL"/>
        </w:rPr>
        <w:t>National Adaptation Plans: Technical Guidelines for the National Adaptation Plan Process</w:t>
      </w:r>
      <w:r w:rsidRPr="00622884">
        <w:rPr>
          <w:rFonts w:ascii="Garamond" w:eastAsia="SimSun" w:hAnsi="Garamond" w:cs="Calibri Light"/>
          <w:color w:val="000000"/>
          <w:sz w:val="24"/>
          <w:szCs w:val="24"/>
          <w:lang w:eastAsia="en-US" w:bidi="sq-AL"/>
        </w:rPr>
        <w:t xml:space="preserve"> [Planet kombëtare të përshtatjes: udhëzime teknike për procesin e planit kombëtar të përshtatjes]. Bonn, Gjermani: Sekretariati i UNFCCC.</w:t>
      </w:r>
    </w:p>
    <w:p w14:paraId="10E689DA" w14:textId="77777777" w:rsidR="00622884" w:rsidRPr="00622884" w:rsidRDefault="00622884" w:rsidP="00622884">
      <w:pPr>
        <w:spacing w:after="0" w:line="240" w:lineRule="auto"/>
        <w:ind w:firstLine="284"/>
        <w:rPr>
          <w:rFonts w:ascii="Garamond" w:eastAsia="SimSun" w:hAnsi="Garamond" w:cs="Calibri Light"/>
          <w:color w:val="000000"/>
          <w:sz w:val="24"/>
          <w:szCs w:val="24"/>
          <w:lang w:eastAsia="en-US"/>
        </w:rPr>
      </w:pPr>
      <w:r w:rsidRPr="00622884">
        <w:rPr>
          <w:rFonts w:ascii="Garamond" w:eastAsia="SimSun" w:hAnsi="Garamond" w:cs="Calibri Light"/>
          <w:color w:val="000000"/>
          <w:sz w:val="24"/>
          <w:szCs w:val="24"/>
          <w:lang w:eastAsia="en-US" w:bidi="sq-AL"/>
        </w:rPr>
        <w:t>Planet vendore të përshtatjes për tetë bashkitë: Durrës, Elbasan, Fier, Gjirokastër, Krujë, Kukës, Përmet dhe Vlorë. (2024). Baastel.</w:t>
      </w:r>
    </w:p>
    <w:p w14:paraId="77433D4B" w14:textId="77777777" w:rsidR="00622884" w:rsidRPr="00622884" w:rsidRDefault="00622884" w:rsidP="00622884">
      <w:pPr>
        <w:spacing w:after="0" w:line="240" w:lineRule="auto"/>
        <w:ind w:firstLine="284"/>
        <w:rPr>
          <w:rFonts w:ascii="Garamond" w:eastAsia="SimSun" w:hAnsi="Garamond" w:cs="Calibri Light"/>
          <w:color w:val="000000"/>
          <w:sz w:val="24"/>
          <w:szCs w:val="24"/>
          <w:lang w:eastAsia="en-US"/>
        </w:rPr>
      </w:pPr>
      <w:r w:rsidRPr="00622884">
        <w:rPr>
          <w:rFonts w:ascii="Garamond" w:eastAsia="SimSun" w:hAnsi="Garamond" w:cs="Calibri Light"/>
          <w:i/>
          <w:color w:val="000000"/>
          <w:sz w:val="24"/>
          <w:szCs w:val="24"/>
          <w:lang w:eastAsia="en-US" w:bidi="sq-AL"/>
        </w:rPr>
        <w:t>Moldova National Climate Change Adaptation Programme Until 2030</w:t>
      </w:r>
      <w:r w:rsidRPr="00622884">
        <w:rPr>
          <w:rFonts w:ascii="Garamond" w:eastAsia="SimSun" w:hAnsi="Garamond" w:cs="Calibri Light"/>
          <w:color w:val="000000"/>
          <w:sz w:val="24"/>
          <w:szCs w:val="24"/>
          <w:lang w:eastAsia="en-US" w:bidi="sq-AL"/>
        </w:rPr>
        <w:t xml:space="preserve"> [Programi kombëtar i Moldavisë për përshtatjen ndaj ndryshimeve klimatike deri në vitin 2030]. (2023). Qeveria e Moldavisë.</w:t>
      </w:r>
    </w:p>
    <w:p w14:paraId="69936E6D" w14:textId="77777777" w:rsidR="00622884" w:rsidRPr="00622884" w:rsidRDefault="00622884" w:rsidP="00622884">
      <w:pPr>
        <w:spacing w:after="0" w:line="240" w:lineRule="auto"/>
        <w:ind w:firstLine="284"/>
        <w:rPr>
          <w:rFonts w:ascii="Garamond" w:eastAsia="SimSun" w:hAnsi="Garamond" w:cs="Calibri Light"/>
          <w:color w:val="000000"/>
          <w:sz w:val="24"/>
          <w:szCs w:val="24"/>
          <w:lang w:eastAsia="en-US"/>
        </w:rPr>
      </w:pPr>
      <w:r w:rsidRPr="00622884">
        <w:rPr>
          <w:rFonts w:ascii="Garamond" w:eastAsia="SimSun" w:hAnsi="Garamond" w:cs="Calibri Light"/>
          <w:i/>
          <w:color w:val="000000"/>
          <w:sz w:val="24"/>
          <w:szCs w:val="24"/>
          <w:lang w:eastAsia="en-US" w:bidi="sq-AL"/>
        </w:rPr>
        <w:t>Municipalities Capacities and Training Needs Assessment on Climate Change Adaptation</w:t>
      </w:r>
      <w:r w:rsidRPr="00622884">
        <w:rPr>
          <w:rFonts w:ascii="Garamond" w:eastAsia="SimSun" w:hAnsi="Garamond" w:cs="Calibri Light"/>
          <w:color w:val="000000"/>
          <w:sz w:val="24"/>
          <w:szCs w:val="24"/>
          <w:lang w:eastAsia="en-US" w:bidi="sq-AL"/>
        </w:rPr>
        <w:t xml:space="preserve"> [Vlerësimi i kapaciteteve dhe nevojave për trajnime të bashkive në përshtatjen ndaj ndryshimeve klimatike]. (shkurt, 2023). Joël Ruet &amp; Ledina Gjiknuri. UNDP.</w:t>
      </w:r>
    </w:p>
    <w:p w14:paraId="58003DB6" w14:textId="77777777" w:rsidR="00622884" w:rsidRPr="00622884" w:rsidRDefault="00622884" w:rsidP="00622884">
      <w:pPr>
        <w:spacing w:after="0" w:line="240" w:lineRule="auto"/>
        <w:ind w:firstLine="284"/>
        <w:rPr>
          <w:rFonts w:ascii="Garamond" w:eastAsia="SimSun" w:hAnsi="Garamond" w:cs="Calibri Light"/>
          <w:color w:val="000000"/>
          <w:sz w:val="24"/>
          <w:szCs w:val="24"/>
          <w:lang w:eastAsia="en-US"/>
        </w:rPr>
      </w:pPr>
      <w:r w:rsidRPr="00622884">
        <w:rPr>
          <w:rFonts w:ascii="Garamond" w:eastAsia="SimSun" w:hAnsi="Garamond" w:cs="Calibri Light"/>
          <w:i/>
          <w:color w:val="000000"/>
          <w:sz w:val="24"/>
          <w:szCs w:val="24"/>
          <w:lang w:eastAsia="en-US" w:bidi="sq-AL"/>
        </w:rPr>
        <w:t>National Adaptation Planning (NAP) to Climate Change in Albania: Frameëork for the Country Process</w:t>
      </w:r>
      <w:r w:rsidRPr="00622884">
        <w:rPr>
          <w:rFonts w:ascii="Garamond" w:eastAsia="SimSun" w:hAnsi="Garamond" w:cs="Calibri Light"/>
          <w:color w:val="000000"/>
          <w:sz w:val="24"/>
          <w:szCs w:val="24"/>
          <w:lang w:eastAsia="en-US" w:bidi="sq-AL"/>
        </w:rPr>
        <w:t xml:space="preserve"> [Plani Kombëtar i Përshtatjes (NAP) ndaj ndryshimeve klimatike në Shqipëri: Kuadri për Procesin e Vendit]. (2019). Ministria e Turizmit dhe Mjedisit, Shqipëri</w:t>
      </w:r>
    </w:p>
    <w:p w14:paraId="1C4C6176" w14:textId="77777777" w:rsidR="00622884" w:rsidRPr="00622884" w:rsidRDefault="00622884" w:rsidP="00622884">
      <w:pPr>
        <w:spacing w:after="0" w:line="240" w:lineRule="auto"/>
        <w:ind w:firstLine="284"/>
        <w:rPr>
          <w:rFonts w:ascii="Garamond" w:eastAsia="SimSun" w:hAnsi="Garamond" w:cs="Calibri Light"/>
          <w:color w:val="000000"/>
          <w:sz w:val="24"/>
          <w:szCs w:val="24"/>
          <w:lang w:eastAsia="en-US"/>
        </w:rPr>
      </w:pPr>
      <w:r w:rsidRPr="00622884">
        <w:rPr>
          <w:rFonts w:ascii="Garamond" w:eastAsia="SimSun" w:hAnsi="Garamond" w:cs="Calibri Light"/>
          <w:color w:val="000000"/>
          <w:sz w:val="24"/>
          <w:szCs w:val="24"/>
          <w:lang w:eastAsia="en-US" w:bidi="sq-AL"/>
        </w:rPr>
        <w:t>Strategjia Kombëtare për Reduktimin e Riskut të Fatkeqësive 2023</w:t>
      </w:r>
      <w:r w:rsidRPr="00622884">
        <w:rPr>
          <w:rFonts w:ascii="Garamond" w:eastAsia="Calibri" w:hAnsi="Garamond" w:cs="Times New Roman"/>
          <w:sz w:val="24"/>
          <w:szCs w:val="24"/>
          <w:lang w:eastAsia="en-US"/>
        </w:rPr>
        <w:t>–</w:t>
      </w:r>
      <w:r w:rsidRPr="00622884">
        <w:rPr>
          <w:rFonts w:ascii="Garamond" w:eastAsia="SimSun" w:hAnsi="Garamond" w:cs="Calibri Light"/>
          <w:color w:val="000000"/>
          <w:sz w:val="24"/>
          <w:szCs w:val="24"/>
          <w:lang w:eastAsia="en-US" w:bidi="sq-AL"/>
        </w:rPr>
        <w:t>2030. (2023). Qeveria e Shqipërisë.</w:t>
      </w:r>
    </w:p>
    <w:p w14:paraId="3943A663" w14:textId="77777777" w:rsidR="00622884" w:rsidRPr="00622884" w:rsidRDefault="00622884" w:rsidP="00622884">
      <w:pPr>
        <w:spacing w:after="0" w:line="240" w:lineRule="auto"/>
        <w:ind w:firstLine="284"/>
        <w:rPr>
          <w:rFonts w:ascii="Garamond" w:eastAsia="SimSun" w:hAnsi="Garamond" w:cs="Calibri Light"/>
          <w:color w:val="000000"/>
          <w:sz w:val="24"/>
          <w:szCs w:val="24"/>
          <w:lang w:eastAsia="en-US"/>
        </w:rPr>
      </w:pPr>
      <w:r w:rsidRPr="00622884">
        <w:rPr>
          <w:rFonts w:ascii="Garamond" w:eastAsia="SimSun" w:hAnsi="Garamond" w:cs="Calibri Light"/>
          <w:color w:val="000000"/>
          <w:sz w:val="24"/>
          <w:szCs w:val="24"/>
          <w:lang w:eastAsia="en-US" w:bidi="sq-AL"/>
        </w:rPr>
        <w:t>Strategjia Kombëtare për Zhvillim dhe Integrim Evropian 2022</w:t>
      </w:r>
      <w:r w:rsidRPr="00622884">
        <w:rPr>
          <w:rFonts w:ascii="Garamond" w:eastAsia="Calibri" w:hAnsi="Garamond" w:cs="Times New Roman"/>
          <w:sz w:val="24"/>
          <w:szCs w:val="24"/>
          <w:lang w:eastAsia="en-US"/>
        </w:rPr>
        <w:t>–</w:t>
      </w:r>
      <w:r w:rsidRPr="00622884">
        <w:rPr>
          <w:rFonts w:ascii="Garamond" w:eastAsia="SimSun" w:hAnsi="Garamond" w:cs="Calibri Light"/>
          <w:color w:val="000000"/>
          <w:sz w:val="24"/>
          <w:szCs w:val="24"/>
          <w:lang w:eastAsia="en-US" w:bidi="sq-AL"/>
        </w:rPr>
        <w:t>2030. (2023). Qeveria e Shqipërisë.</w:t>
      </w:r>
    </w:p>
    <w:p w14:paraId="7352F87B" w14:textId="77777777" w:rsidR="00622884" w:rsidRPr="00622884" w:rsidRDefault="00622884" w:rsidP="00622884">
      <w:pPr>
        <w:spacing w:after="0" w:line="240" w:lineRule="auto"/>
        <w:ind w:firstLine="284"/>
        <w:rPr>
          <w:rFonts w:ascii="Garamond" w:eastAsia="SimSun" w:hAnsi="Garamond" w:cs="Calibri Light"/>
          <w:color w:val="000000"/>
          <w:sz w:val="24"/>
          <w:szCs w:val="24"/>
          <w:lang w:eastAsia="en-US"/>
        </w:rPr>
      </w:pPr>
      <w:r w:rsidRPr="00622884">
        <w:rPr>
          <w:rFonts w:ascii="Garamond" w:eastAsia="SimSun" w:hAnsi="Garamond" w:cs="Calibri Light"/>
          <w:color w:val="000000"/>
          <w:sz w:val="24"/>
          <w:szCs w:val="24"/>
          <w:lang w:eastAsia="en-US" w:bidi="sq-AL"/>
        </w:rPr>
        <w:t>Strategjia kombëtare për Zhvillim dhe Integrim 2015</w:t>
      </w:r>
      <w:r w:rsidRPr="00622884">
        <w:rPr>
          <w:rFonts w:ascii="Garamond" w:eastAsia="Calibri" w:hAnsi="Garamond" w:cs="Times New Roman"/>
          <w:sz w:val="24"/>
          <w:szCs w:val="24"/>
          <w:lang w:eastAsia="en-US"/>
        </w:rPr>
        <w:t>–</w:t>
      </w:r>
      <w:r w:rsidRPr="00622884">
        <w:rPr>
          <w:rFonts w:ascii="Garamond" w:eastAsia="SimSun" w:hAnsi="Garamond" w:cs="Calibri Light"/>
          <w:color w:val="000000"/>
          <w:sz w:val="24"/>
          <w:szCs w:val="24"/>
          <w:lang w:eastAsia="en-US" w:bidi="sq-AL"/>
        </w:rPr>
        <w:t>2020. (2015). Qeveria e Shqipërisë.</w:t>
      </w:r>
    </w:p>
    <w:p w14:paraId="511382B0" w14:textId="77777777" w:rsidR="00622884" w:rsidRPr="00622884" w:rsidRDefault="00622884" w:rsidP="00622884">
      <w:pPr>
        <w:spacing w:after="0" w:line="240" w:lineRule="auto"/>
        <w:ind w:firstLine="284"/>
        <w:rPr>
          <w:rFonts w:ascii="Garamond" w:eastAsia="SimSun" w:hAnsi="Garamond" w:cs="Calibri Light"/>
          <w:color w:val="000000"/>
          <w:sz w:val="24"/>
          <w:szCs w:val="24"/>
          <w:lang w:eastAsia="en-US"/>
        </w:rPr>
      </w:pPr>
      <w:r w:rsidRPr="00622884">
        <w:rPr>
          <w:rFonts w:ascii="Garamond" w:eastAsia="SimSun" w:hAnsi="Garamond" w:cs="Calibri Light"/>
          <w:i/>
          <w:color w:val="000000"/>
          <w:sz w:val="24"/>
          <w:szCs w:val="24"/>
          <w:lang w:eastAsia="en-US" w:bidi="sq-AL"/>
        </w:rPr>
        <w:t>Outcome of the First Global Stocktake: Draft Decision</w:t>
      </w:r>
      <w:r w:rsidRPr="00622884">
        <w:rPr>
          <w:rFonts w:ascii="Garamond" w:eastAsia="SimSun" w:hAnsi="Garamond" w:cs="Calibri Light"/>
          <w:color w:val="000000"/>
          <w:sz w:val="24"/>
          <w:szCs w:val="24"/>
          <w:lang w:eastAsia="en-US" w:bidi="sq-AL"/>
        </w:rPr>
        <w:t xml:space="preserve"> [Rezultati i vlerësimit të parë global: Projektvendimi] -/CMA.5. (2023). Konferenca e palëve që shërbeu si takimi i palëve për Marrëveshjen e Parisit. Emiratet e Bashkuara Arabe UNFCCC.</w:t>
      </w:r>
    </w:p>
    <w:p w14:paraId="74898B73" w14:textId="77777777" w:rsidR="00622884" w:rsidRPr="00622884" w:rsidRDefault="00622884" w:rsidP="00622884">
      <w:pPr>
        <w:spacing w:after="0" w:line="240" w:lineRule="auto"/>
        <w:ind w:firstLine="284"/>
        <w:rPr>
          <w:rFonts w:ascii="Garamond" w:eastAsia="SimSun" w:hAnsi="Garamond" w:cs="Calibri Light"/>
          <w:color w:val="000000"/>
          <w:sz w:val="24"/>
          <w:szCs w:val="24"/>
          <w:lang w:eastAsia="en-US"/>
        </w:rPr>
      </w:pPr>
      <w:r w:rsidRPr="00622884">
        <w:rPr>
          <w:rFonts w:ascii="Garamond" w:eastAsia="SimSun" w:hAnsi="Garamond" w:cs="Calibri Light"/>
          <w:color w:val="000000"/>
          <w:sz w:val="24"/>
          <w:szCs w:val="24"/>
          <w:lang w:eastAsia="en-US" w:bidi="sq-AL"/>
        </w:rPr>
        <w:t>Marrëveshja e Parisit. (2015). Konventa Kuadër e Kombeve të Bashkuara për Ndryshimet Klimatike (KKNK)</w:t>
      </w:r>
    </w:p>
    <w:p w14:paraId="5BB7C219" w14:textId="77777777" w:rsidR="00622884" w:rsidRPr="00622884" w:rsidRDefault="00622884" w:rsidP="00622884">
      <w:pPr>
        <w:spacing w:after="0" w:line="240" w:lineRule="auto"/>
        <w:ind w:firstLine="284"/>
        <w:rPr>
          <w:rFonts w:ascii="Garamond" w:eastAsia="SimSun" w:hAnsi="Garamond" w:cs="Calibri Light"/>
          <w:color w:val="000000"/>
          <w:sz w:val="24"/>
          <w:szCs w:val="24"/>
          <w:lang w:eastAsia="en-US"/>
        </w:rPr>
      </w:pPr>
      <w:r w:rsidRPr="00622884">
        <w:rPr>
          <w:rFonts w:ascii="Garamond" w:eastAsia="SimSun" w:hAnsi="Garamond" w:cs="Calibri Light"/>
          <w:color w:val="000000"/>
          <w:sz w:val="24"/>
          <w:szCs w:val="24"/>
          <w:lang w:eastAsia="en-US" w:bidi="sq-AL"/>
        </w:rPr>
        <w:lastRenderedPageBreak/>
        <w:t>P</w:t>
      </w:r>
      <w:r w:rsidRPr="00622884">
        <w:rPr>
          <w:rFonts w:ascii="Garamond" w:eastAsia="SimSun" w:hAnsi="Garamond" w:cs="Calibri Light"/>
          <w:i/>
          <w:color w:val="000000"/>
          <w:sz w:val="24"/>
          <w:szCs w:val="24"/>
          <w:lang w:eastAsia="en-US" w:bidi="sq-AL"/>
        </w:rPr>
        <w:t>lanning for Adaptation to Climate Change: Guidelines for Municipalities</w:t>
      </w:r>
      <w:r w:rsidRPr="00622884">
        <w:rPr>
          <w:rFonts w:ascii="Garamond" w:eastAsia="SimSun" w:hAnsi="Garamond" w:cs="Calibri Light"/>
          <w:color w:val="000000"/>
          <w:sz w:val="24"/>
          <w:szCs w:val="24"/>
          <w:lang w:eastAsia="en-US" w:bidi="sq-AL"/>
        </w:rPr>
        <w:t xml:space="preserve"> [Plani për përshtatjen ndaj ndryshimeve klimatike: Udhëzime për bashkitë]. (n.d.). BE/ACT.</w:t>
      </w:r>
    </w:p>
    <w:p w14:paraId="339E14B8" w14:textId="77777777" w:rsidR="00622884" w:rsidRPr="00622884" w:rsidRDefault="00622884" w:rsidP="00622884">
      <w:pPr>
        <w:spacing w:after="0" w:line="240" w:lineRule="auto"/>
        <w:ind w:firstLine="284"/>
        <w:rPr>
          <w:rFonts w:ascii="Garamond" w:eastAsia="SimSun" w:hAnsi="Garamond" w:cs="Calibri Light"/>
          <w:color w:val="000000"/>
          <w:sz w:val="24"/>
          <w:szCs w:val="24"/>
          <w:lang w:eastAsia="en-US"/>
        </w:rPr>
      </w:pPr>
      <w:r w:rsidRPr="00622884">
        <w:rPr>
          <w:rFonts w:ascii="Garamond" w:eastAsia="SimSun" w:hAnsi="Garamond" w:cs="Calibri Light"/>
          <w:i/>
          <w:color w:val="000000"/>
          <w:sz w:val="24"/>
          <w:szCs w:val="24"/>
          <w:lang w:eastAsia="en-US" w:bidi="sq-AL"/>
        </w:rPr>
        <w:t>Report on Socio-Economic Scenarios</w:t>
      </w:r>
      <w:r w:rsidRPr="00622884">
        <w:rPr>
          <w:rFonts w:ascii="Garamond" w:eastAsia="SimSun" w:hAnsi="Garamond" w:cs="Calibri Light"/>
          <w:color w:val="000000"/>
          <w:sz w:val="24"/>
          <w:szCs w:val="24"/>
          <w:lang w:eastAsia="en-US" w:bidi="sq-AL"/>
        </w:rPr>
        <w:t xml:space="preserve"> [Raport për skenarët socio-ekonomikë]. (2023). Elona Pojani. UNDP.</w:t>
      </w:r>
    </w:p>
    <w:p w14:paraId="528DB64D" w14:textId="77777777" w:rsidR="00622884" w:rsidRPr="00622884" w:rsidRDefault="00622884" w:rsidP="00622884">
      <w:pPr>
        <w:spacing w:after="0" w:line="240" w:lineRule="auto"/>
        <w:ind w:firstLine="284"/>
        <w:rPr>
          <w:rFonts w:ascii="Garamond" w:eastAsia="SimSun" w:hAnsi="Garamond" w:cs="Calibri Light"/>
          <w:color w:val="000000"/>
          <w:sz w:val="24"/>
          <w:szCs w:val="24"/>
          <w:lang w:eastAsia="en-US"/>
        </w:rPr>
      </w:pPr>
      <w:r w:rsidRPr="00622884">
        <w:rPr>
          <w:rFonts w:ascii="Garamond" w:eastAsia="SimSun" w:hAnsi="Garamond" w:cs="Calibri Light"/>
          <w:i/>
          <w:color w:val="000000"/>
          <w:sz w:val="24"/>
          <w:szCs w:val="24"/>
          <w:lang w:eastAsia="en-US" w:bidi="sq-AL"/>
        </w:rPr>
        <w:t>Sofia Declaration on the Green Agenda for the Western Balkans</w:t>
      </w:r>
      <w:r w:rsidRPr="00622884">
        <w:rPr>
          <w:rFonts w:ascii="Garamond" w:eastAsia="SimSun" w:hAnsi="Garamond" w:cs="Calibri Light"/>
          <w:color w:val="000000"/>
          <w:sz w:val="24"/>
          <w:szCs w:val="24"/>
          <w:lang w:eastAsia="en-US" w:bidi="sq-AL"/>
        </w:rPr>
        <w:t xml:space="preserve"> [Deklarata e Sofjes për Agjendën e Gjelbër për Ballkanin Perëndimor]. (2020). Bashkimi Evropian.</w:t>
      </w:r>
    </w:p>
    <w:p w14:paraId="2197918C" w14:textId="77777777" w:rsidR="00622884" w:rsidRPr="00622884" w:rsidRDefault="00622884" w:rsidP="00622884">
      <w:pPr>
        <w:spacing w:after="0" w:line="240" w:lineRule="auto"/>
        <w:ind w:firstLine="284"/>
        <w:rPr>
          <w:rFonts w:ascii="Garamond" w:eastAsia="SimSun" w:hAnsi="Garamond" w:cs="Calibri Light"/>
          <w:color w:val="000000"/>
          <w:sz w:val="24"/>
          <w:szCs w:val="24"/>
          <w:lang w:eastAsia="en-US"/>
        </w:rPr>
      </w:pPr>
      <w:r w:rsidRPr="00622884">
        <w:rPr>
          <w:rFonts w:ascii="Garamond" w:eastAsia="SimSun" w:hAnsi="Garamond" w:cs="Calibri Light"/>
          <w:i/>
          <w:color w:val="000000"/>
          <w:sz w:val="24"/>
          <w:szCs w:val="24"/>
          <w:lang w:eastAsia="en-US" w:bidi="sq-AL"/>
        </w:rPr>
        <w:t>Stocktaking Report for the NAP Process in Albania</w:t>
      </w:r>
      <w:r w:rsidRPr="00622884">
        <w:rPr>
          <w:rFonts w:ascii="Garamond" w:eastAsia="SimSun" w:hAnsi="Garamond" w:cs="Calibri Light"/>
          <w:color w:val="000000"/>
          <w:sz w:val="24"/>
          <w:szCs w:val="24"/>
          <w:lang w:eastAsia="en-US" w:bidi="sq-AL"/>
        </w:rPr>
        <w:t xml:space="preserve"> [Raporti i pasqyrimit për procesin e NAP-it në Shqipëri]. (dhjetor, 2022). Paolo Bacca, Narin Panariti, et al. UNDP.</w:t>
      </w:r>
    </w:p>
    <w:p w14:paraId="4EB77F13" w14:textId="77777777" w:rsidR="00622884" w:rsidRPr="00622884" w:rsidRDefault="00622884" w:rsidP="00622884">
      <w:pPr>
        <w:spacing w:after="0" w:line="240" w:lineRule="auto"/>
        <w:ind w:firstLine="284"/>
        <w:rPr>
          <w:rFonts w:ascii="Garamond" w:eastAsia="SimSun" w:hAnsi="Garamond" w:cs="Calibri Light"/>
          <w:color w:val="000000"/>
          <w:sz w:val="24"/>
          <w:szCs w:val="24"/>
          <w:lang w:eastAsia="en-US"/>
        </w:rPr>
      </w:pPr>
      <w:r w:rsidRPr="00622884">
        <w:rPr>
          <w:rFonts w:ascii="Garamond" w:eastAsia="SimSun" w:hAnsi="Garamond" w:cs="Calibri Light"/>
          <w:i/>
          <w:color w:val="000000"/>
          <w:sz w:val="24"/>
          <w:szCs w:val="24"/>
          <w:lang w:eastAsia="en-US" w:bidi="sq-AL"/>
        </w:rPr>
        <w:t>The</w:t>
      </w:r>
      <w:r w:rsidRPr="00622884">
        <w:rPr>
          <w:rFonts w:ascii="Garamond" w:eastAsia="SimSun" w:hAnsi="Garamond" w:cs="Calibri Light"/>
          <w:color w:val="000000"/>
          <w:sz w:val="24"/>
          <w:szCs w:val="24"/>
          <w:lang w:eastAsia="en-US" w:bidi="sq-AL"/>
        </w:rPr>
        <w:t xml:space="preserve"> </w:t>
      </w:r>
      <w:r w:rsidRPr="00622884">
        <w:rPr>
          <w:rFonts w:ascii="Garamond" w:eastAsia="SimSun" w:hAnsi="Garamond" w:cs="Calibri Light"/>
          <w:i/>
          <w:color w:val="000000"/>
          <w:sz w:val="24"/>
          <w:szCs w:val="24"/>
          <w:lang w:eastAsia="en-US" w:bidi="sq-AL"/>
        </w:rPr>
        <w:t>Adaptation Support Tool. (n.d.). Climate-ADAPT, European Environment Agency (EEA)</w:t>
      </w:r>
      <w:r w:rsidRPr="00622884">
        <w:rPr>
          <w:rFonts w:ascii="Garamond" w:eastAsia="SimSun" w:hAnsi="Garamond" w:cs="Calibri Light"/>
          <w:color w:val="000000"/>
          <w:sz w:val="24"/>
          <w:szCs w:val="24"/>
          <w:lang w:eastAsia="en-US" w:bidi="sq-AL"/>
        </w:rPr>
        <w:t xml:space="preserve"> [Instrumenti i mbështetjes për përshtatje. (n.d.). Climate-ADAPT, Agjencia Evropiane e Mjedisit (AEM)]. https://climate-adapt.eea.europa.eu/en/knowledge/tools/adaptation-support-tool.</w:t>
      </w:r>
    </w:p>
    <w:p w14:paraId="7092E639" w14:textId="77777777" w:rsidR="00622884" w:rsidRPr="00622884" w:rsidRDefault="00622884" w:rsidP="00622884">
      <w:pPr>
        <w:spacing w:after="0" w:line="240" w:lineRule="auto"/>
        <w:ind w:firstLine="284"/>
        <w:rPr>
          <w:rFonts w:ascii="Garamond" w:eastAsia="SimSun" w:hAnsi="Garamond" w:cs="Calibri Light"/>
          <w:color w:val="000000"/>
          <w:sz w:val="24"/>
          <w:szCs w:val="24"/>
          <w:lang w:eastAsia="en-US"/>
        </w:rPr>
      </w:pPr>
      <w:r w:rsidRPr="00622884">
        <w:rPr>
          <w:rFonts w:ascii="Garamond" w:eastAsia="SimSun" w:hAnsi="Garamond" w:cs="Calibri Light"/>
          <w:color w:val="000000"/>
          <w:sz w:val="24"/>
          <w:szCs w:val="24"/>
          <w:lang w:eastAsia="en-US" w:bidi="sq-AL"/>
        </w:rPr>
        <w:t xml:space="preserve">UNDP. (n.d.). </w:t>
      </w:r>
      <w:r w:rsidRPr="00622884">
        <w:rPr>
          <w:rFonts w:ascii="Garamond" w:eastAsia="SimSun" w:hAnsi="Garamond" w:cs="Calibri Light"/>
          <w:i/>
          <w:color w:val="000000"/>
          <w:sz w:val="24"/>
          <w:szCs w:val="24"/>
          <w:lang w:eastAsia="en-US" w:bidi="sq-AL"/>
        </w:rPr>
        <w:t>Prodoc: Advancing Albania’s Planning for Medium and Long-Term Adaptation Through the Development of a National Adaptation Planning (NAP) Process</w:t>
      </w:r>
      <w:r w:rsidRPr="00622884">
        <w:rPr>
          <w:rFonts w:ascii="Garamond" w:eastAsia="SimSun" w:hAnsi="Garamond" w:cs="Calibri Light"/>
          <w:color w:val="000000"/>
          <w:sz w:val="24"/>
          <w:szCs w:val="24"/>
          <w:lang w:eastAsia="en-US" w:bidi="sq-AL"/>
        </w:rPr>
        <w:t xml:space="preserve"> [Prodok: avancimi i planit të Shqipërisë për përshtatjen afatmesme dhe afatgjatë përmes zhvillimit të një procesi kombëtar të planifikimit të përshtatjes (NAP)].</w:t>
      </w:r>
    </w:p>
    <w:p w14:paraId="4E970F3E" w14:textId="77777777" w:rsidR="00622884" w:rsidRPr="00622884" w:rsidRDefault="00622884" w:rsidP="00622884">
      <w:pPr>
        <w:spacing w:after="0" w:line="240" w:lineRule="auto"/>
        <w:ind w:firstLine="284"/>
        <w:rPr>
          <w:rFonts w:ascii="Garamond" w:eastAsia="SimSun" w:hAnsi="Garamond" w:cs="Calibri Light"/>
          <w:color w:val="000000"/>
          <w:sz w:val="24"/>
          <w:szCs w:val="24"/>
          <w:lang w:eastAsia="en-US"/>
        </w:rPr>
      </w:pPr>
      <w:r w:rsidRPr="00622884">
        <w:rPr>
          <w:rFonts w:ascii="Garamond" w:eastAsia="SimSun" w:hAnsi="Garamond" w:cs="Calibri Light"/>
          <w:color w:val="000000"/>
          <w:sz w:val="24"/>
          <w:szCs w:val="24"/>
          <w:lang w:eastAsia="en-US" w:bidi="sq-AL"/>
        </w:rPr>
        <w:t xml:space="preserve">Programi për Mjedisin i Kombeve të Bashkuara. (2023). </w:t>
      </w:r>
      <w:r w:rsidRPr="00622884">
        <w:rPr>
          <w:rFonts w:ascii="Garamond" w:eastAsia="SimSun" w:hAnsi="Garamond" w:cs="Calibri Light"/>
          <w:i/>
          <w:color w:val="000000"/>
          <w:sz w:val="24"/>
          <w:szCs w:val="24"/>
          <w:lang w:eastAsia="en-US" w:bidi="sq-AL"/>
        </w:rPr>
        <w:t>Adaptation Gap Report 2023: Underfinanced. Underprepared. Inadequate Investment and Planning on Climate Adaptation Leaves World Exposed</w:t>
      </w:r>
      <w:r w:rsidRPr="00622884">
        <w:rPr>
          <w:rFonts w:ascii="Garamond" w:eastAsia="SimSun" w:hAnsi="Garamond" w:cs="Calibri Light"/>
          <w:color w:val="000000"/>
          <w:sz w:val="24"/>
          <w:szCs w:val="24"/>
          <w:lang w:eastAsia="en-US" w:bidi="sq-AL"/>
        </w:rPr>
        <w:t xml:space="preserve"> [Raporti i mangësive në përshtatje 2023: I nënfinancuar. I papërgatitur. Investimi dhe planifikimi i pamjaftueshëm në përshtatjen ndaj klimës e lënë botën të ekspozuar]. Nairobi.</w:t>
      </w:r>
    </w:p>
    <w:p w14:paraId="1430A527" w14:textId="77777777" w:rsidR="00622884" w:rsidRPr="00622884" w:rsidRDefault="00622884" w:rsidP="00622884">
      <w:pPr>
        <w:spacing w:after="0" w:line="240" w:lineRule="auto"/>
        <w:ind w:firstLine="284"/>
        <w:rPr>
          <w:rFonts w:ascii="Garamond" w:eastAsia="SimSun" w:hAnsi="Garamond" w:cs="Calibri Light"/>
          <w:color w:val="000000"/>
          <w:sz w:val="24"/>
          <w:szCs w:val="24"/>
          <w:lang w:eastAsia="en-US"/>
        </w:rPr>
      </w:pPr>
      <w:r w:rsidRPr="00622884">
        <w:rPr>
          <w:rFonts w:ascii="Garamond" w:eastAsia="SimSun" w:hAnsi="Garamond" w:cs="Calibri Light"/>
          <w:color w:val="000000"/>
          <w:sz w:val="24"/>
          <w:szCs w:val="24"/>
          <w:lang w:eastAsia="en-US" w:bidi="sq-AL"/>
        </w:rPr>
        <w:t xml:space="preserve">Programi për Mjedisin i Kombeve të Bashkuara. (2023). </w:t>
      </w:r>
      <w:r w:rsidRPr="00622884">
        <w:rPr>
          <w:rFonts w:ascii="Garamond" w:eastAsia="SimSun" w:hAnsi="Garamond" w:cs="Calibri Light"/>
          <w:i/>
          <w:color w:val="000000"/>
          <w:sz w:val="24"/>
          <w:szCs w:val="24"/>
          <w:lang w:eastAsia="en-US" w:bidi="sq-AL"/>
        </w:rPr>
        <w:t>National Adaptation Planning: Emerging Lessons Learned from UNEP Projects</w:t>
      </w:r>
      <w:r w:rsidRPr="00622884">
        <w:rPr>
          <w:rFonts w:ascii="Garamond" w:eastAsia="SimSun" w:hAnsi="Garamond" w:cs="Calibri Light"/>
          <w:color w:val="000000"/>
          <w:sz w:val="24"/>
          <w:szCs w:val="24"/>
          <w:lang w:eastAsia="en-US" w:bidi="sq-AL"/>
        </w:rPr>
        <w:t xml:space="preserve"> [Plani Kombëtar i Përshtatjes: Mësimet e nxjerra nga projektet e UNEP-it]. Nairobi.</w:t>
      </w:r>
    </w:p>
    <w:p w14:paraId="293C84AA" w14:textId="77777777" w:rsidR="00622884" w:rsidRPr="00622884" w:rsidRDefault="00622884" w:rsidP="00622884">
      <w:pPr>
        <w:spacing w:after="0" w:line="240" w:lineRule="auto"/>
        <w:ind w:firstLine="284"/>
        <w:rPr>
          <w:rFonts w:ascii="Garamond" w:eastAsia="SimSun" w:hAnsi="Garamond" w:cs="Calibri Light"/>
          <w:color w:val="000000"/>
          <w:sz w:val="24"/>
          <w:szCs w:val="24"/>
          <w:lang w:eastAsia="en-US" w:bidi="sq-AL"/>
        </w:rPr>
      </w:pPr>
      <w:r w:rsidRPr="00622884">
        <w:rPr>
          <w:rFonts w:ascii="Garamond" w:eastAsia="SimSun" w:hAnsi="Garamond" w:cs="Calibri Light"/>
          <w:color w:val="000000"/>
          <w:sz w:val="24"/>
          <w:szCs w:val="24"/>
          <w:lang w:eastAsia="en-US" w:bidi="sq-AL"/>
        </w:rPr>
        <w:t>Deklarata e Zagrebit. (6 maj 2020). Bashkimi Evropian.</w:t>
      </w:r>
    </w:p>
    <w:p w14:paraId="11BA29C7" w14:textId="77777777" w:rsidR="00622884" w:rsidRPr="00622884" w:rsidRDefault="00622884" w:rsidP="00622884">
      <w:pPr>
        <w:spacing w:after="0" w:line="240" w:lineRule="auto"/>
        <w:ind w:firstLine="284"/>
        <w:rPr>
          <w:rFonts w:ascii="Garamond" w:eastAsia="SimSun" w:hAnsi="Garamond" w:cs="Calibri Light"/>
          <w:color w:val="000000"/>
          <w:sz w:val="24"/>
          <w:szCs w:val="24"/>
          <w:lang w:eastAsia="en-US"/>
        </w:rPr>
      </w:pPr>
    </w:p>
    <w:p w14:paraId="2DE17DBA" w14:textId="77777777" w:rsidR="00622884" w:rsidRPr="00622884" w:rsidRDefault="00622884" w:rsidP="00622884">
      <w:pPr>
        <w:spacing w:after="0" w:line="240" w:lineRule="auto"/>
        <w:ind w:firstLine="284"/>
        <w:rPr>
          <w:rFonts w:ascii="Garamond" w:eastAsia="SimSun" w:hAnsi="Garamond" w:cs="Calibri Light"/>
          <w:color w:val="000000"/>
          <w:sz w:val="24"/>
          <w:szCs w:val="24"/>
          <w:lang w:eastAsia="en-US"/>
        </w:rPr>
      </w:pPr>
      <w:r w:rsidRPr="00622884">
        <w:rPr>
          <w:rFonts w:ascii="Garamond" w:eastAsia="SimSun" w:hAnsi="Garamond" w:cs="Calibri Light"/>
          <w:color w:val="000000"/>
          <w:sz w:val="24"/>
          <w:szCs w:val="24"/>
          <w:lang w:eastAsia="en-US"/>
        </w:rPr>
        <w:t>ANEKSET</w:t>
      </w:r>
    </w:p>
    <w:p w14:paraId="3EA11885" w14:textId="77777777" w:rsidR="00622884" w:rsidRPr="00622884" w:rsidRDefault="00622884" w:rsidP="00622884">
      <w:pPr>
        <w:spacing w:after="0" w:line="240" w:lineRule="auto"/>
        <w:ind w:firstLine="284"/>
        <w:jc w:val="center"/>
        <w:rPr>
          <w:rFonts w:ascii="Garamond" w:eastAsia="SimSun" w:hAnsi="Garamond" w:cs="Calibri Light"/>
          <w:color w:val="000000"/>
          <w:sz w:val="24"/>
          <w:szCs w:val="24"/>
          <w:lang w:eastAsia="en-US"/>
        </w:rPr>
      </w:pPr>
      <w:r w:rsidRPr="00622884">
        <w:rPr>
          <w:rFonts w:ascii="Garamond" w:eastAsia="SimSun" w:hAnsi="Garamond" w:cs="Calibri Light"/>
          <w:color w:val="000000"/>
          <w:sz w:val="24"/>
          <w:szCs w:val="24"/>
          <w:lang w:eastAsia="en-US"/>
        </w:rPr>
        <w:t>ANEKS I</w:t>
      </w:r>
    </w:p>
    <w:p w14:paraId="453678E3" w14:textId="77777777" w:rsidR="00622884" w:rsidRPr="00622884" w:rsidRDefault="00622884" w:rsidP="00622884">
      <w:pPr>
        <w:spacing w:after="0" w:line="240" w:lineRule="auto"/>
        <w:ind w:firstLine="284"/>
        <w:jc w:val="center"/>
        <w:rPr>
          <w:rFonts w:ascii="Garamond" w:eastAsia="SimSun" w:hAnsi="Garamond" w:cs="Calibri Light"/>
          <w:color w:val="000000"/>
          <w:sz w:val="24"/>
          <w:szCs w:val="24"/>
          <w:lang w:eastAsia="en-US"/>
        </w:rPr>
      </w:pPr>
      <w:r w:rsidRPr="00622884">
        <w:rPr>
          <w:rFonts w:ascii="Garamond" w:eastAsia="SimSun" w:hAnsi="Garamond" w:cs="Calibri Light"/>
          <w:color w:val="000000"/>
          <w:sz w:val="24"/>
          <w:szCs w:val="24"/>
          <w:lang w:eastAsia="en-US"/>
        </w:rPr>
        <w:t>PËRMBLEDHJE E KUADRIT RREGULLATOR DHE POLITIKAVE</w:t>
      </w:r>
    </w:p>
    <w:p w14:paraId="55C87CBF" w14:textId="77777777" w:rsidR="00622884" w:rsidRPr="00622884" w:rsidRDefault="00622884" w:rsidP="00622884">
      <w:pPr>
        <w:spacing w:after="0" w:line="240" w:lineRule="auto"/>
        <w:ind w:firstLine="284"/>
        <w:jc w:val="center"/>
        <w:rPr>
          <w:rFonts w:ascii="Garamond" w:eastAsia="SimSun" w:hAnsi="Garamond" w:cs="Calibri Light"/>
          <w:color w:val="000000"/>
          <w:sz w:val="24"/>
          <w:szCs w:val="24"/>
          <w:lang w:eastAsia="en-US"/>
        </w:rPr>
      </w:pPr>
    </w:p>
    <w:p w14:paraId="076694E4" w14:textId="77777777" w:rsidR="00622884" w:rsidRPr="00622884" w:rsidRDefault="00622884" w:rsidP="00622884">
      <w:pPr>
        <w:spacing w:after="0" w:line="240" w:lineRule="auto"/>
        <w:ind w:firstLine="284"/>
        <w:rPr>
          <w:rFonts w:ascii="Garamond" w:eastAsia="SimSun" w:hAnsi="Garamond" w:cs="Calibri Light"/>
          <w:color w:val="000000"/>
          <w:sz w:val="24"/>
          <w:szCs w:val="24"/>
          <w:lang w:eastAsia="en-US"/>
        </w:rPr>
      </w:pPr>
      <w:r w:rsidRPr="00622884">
        <w:rPr>
          <w:rFonts w:ascii="Garamond" w:eastAsia="SimSun" w:hAnsi="Garamond" w:cs="Calibri Light"/>
          <w:color w:val="000000"/>
          <w:sz w:val="24"/>
          <w:szCs w:val="24"/>
          <w:lang w:eastAsia="en-US"/>
        </w:rPr>
        <w:t xml:space="preserve">Përmbledhje e legjislacionit kryesor, politikave, planeve dhe strategjive, lidhur me veprimet klimatike: </w:t>
      </w:r>
    </w:p>
    <w:p w14:paraId="056A98B8" w14:textId="77777777" w:rsidR="00622884" w:rsidRPr="00622884" w:rsidRDefault="00622884" w:rsidP="00622884">
      <w:pPr>
        <w:spacing w:after="0" w:line="240" w:lineRule="auto"/>
        <w:ind w:firstLine="284"/>
        <w:rPr>
          <w:rFonts w:ascii="Garamond" w:eastAsia="SimSun" w:hAnsi="Garamond" w:cs="Calibri Light"/>
          <w:b/>
          <w:color w:val="000000"/>
          <w:sz w:val="24"/>
          <w:szCs w:val="24"/>
          <w:lang w:eastAsia="en-US"/>
        </w:rPr>
      </w:pPr>
      <w:r w:rsidRPr="00622884">
        <w:rPr>
          <w:rFonts w:ascii="Garamond" w:eastAsia="SimSun" w:hAnsi="Garamond" w:cs="Calibri Light"/>
          <w:b/>
          <w:color w:val="000000"/>
          <w:sz w:val="24"/>
          <w:szCs w:val="24"/>
          <w:lang w:eastAsia="en-US"/>
        </w:rPr>
        <w:t>Tabela 23: Kuadri Legjislativ dhe Rregullator.</w:t>
      </w:r>
    </w:p>
    <w:tbl>
      <w:tblPr>
        <w:tblW w:w="5549" w:type="pct"/>
        <w:jc w:val="center"/>
        <w:tblBorders>
          <w:top w:val="single" w:sz="12" w:space="0" w:color="FFFFFF"/>
          <w:bottom w:val="single" w:sz="12" w:space="0" w:color="FFFFFF"/>
          <w:insideH w:val="single" w:sz="12" w:space="0" w:color="FFFFFF"/>
        </w:tblBorders>
        <w:tblLayout w:type="fixed"/>
        <w:tblLook w:val="04A0" w:firstRow="1" w:lastRow="0" w:firstColumn="1" w:lastColumn="0" w:noHBand="0" w:noVBand="1"/>
      </w:tblPr>
      <w:tblGrid>
        <w:gridCol w:w="2468"/>
        <w:gridCol w:w="919"/>
        <w:gridCol w:w="6920"/>
      </w:tblGrid>
      <w:tr w:rsidR="00622884" w:rsidRPr="00622884" w14:paraId="64048325" w14:textId="77777777" w:rsidTr="00622884">
        <w:trPr>
          <w:trHeight w:val="283"/>
          <w:tblHeader/>
          <w:jc w:val="center"/>
        </w:trPr>
        <w:tc>
          <w:tcPr>
            <w:tcW w:w="1197" w:type="pct"/>
            <w:tcBorders>
              <w:bottom w:val="single" w:sz="4" w:space="0" w:color="7F7F7F"/>
            </w:tcBorders>
            <w:shd w:val="clear" w:color="auto" w:fill="215A5C"/>
            <w:noWrap/>
            <w:hideMark/>
          </w:tcPr>
          <w:p w14:paraId="65716C8F" w14:textId="77777777" w:rsidR="00622884" w:rsidRPr="00622884" w:rsidRDefault="00622884" w:rsidP="00622884">
            <w:pPr>
              <w:spacing w:after="0" w:line="240" w:lineRule="auto"/>
              <w:jc w:val="center"/>
              <w:rPr>
                <w:rFonts w:ascii="Garamond" w:eastAsia="Calibri" w:hAnsi="Garamond" w:cs="Calibri Light"/>
                <w:b/>
                <w:bCs/>
                <w:color w:val="FFFFFF"/>
                <w:sz w:val="12"/>
                <w:szCs w:val="12"/>
                <w:lang w:eastAsia="en-US"/>
              </w:rPr>
            </w:pPr>
            <w:r w:rsidRPr="00622884">
              <w:rPr>
                <w:rFonts w:ascii="Garamond" w:eastAsia="Calibri" w:hAnsi="Garamond" w:cs="Times New Roman"/>
                <w:b/>
                <w:bCs/>
                <w:color w:val="FFFFFF"/>
                <w:sz w:val="12"/>
                <w:szCs w:val="12"/>
                <w:lang w:eastAsia="en-US" w:bidi="sq-AL"/>
              </w:rPr>
              <w:t>Legjislacioni</w:t>
            </w:r>
          </w:p>
        </w:tc>
        <w:tc>
          <w:tcPr>
            <w:tcW w:w="446" w:type="pct"/>
            <w:tcBorders>
              <w:bottom w:val="single" w:sz="4" w:space="0" w:color="7F7F7F"/>
            </w:tcBorders>
            <w:shd w:val="clear" w:color="auto" w:fill="215A5C"/>
          </w:tcPr>
          <w:p w14:paraId="4B5EA01C" w14:textId="77777777" w:rsidR="00622884" w:rsidRPr="00622884" w:rsidRDefault="00622884" w:rsidP="00622884">
            <w:pPr>
              <w:spacing w:after="0" w:line="240" w:lineRule="auto"/>
              <w:jc w:val="center"/>
              <w:rPr>
                <w:rFonts w:ascii="Garamond" w:eastAsia="Calibri" w:hAnsi="Garamond" w:cs="Calibri Light"/>
                <w:b/>
                <w:bCs/>
                <w:color w:val="FFFFFF"/>
                <w:sz w:val="12"/>
                <w:szCs w:val="12"/>
                <w:lang w:eastAsia="en-US"/>
              </w:rPr>
            </w:pPr>
            <w:r w:rsidRPr="00622884">
              <w:rPr>
                <w:rFonts w:ascii="Garamond" w:eastAsia="Calibri" w:hAnsi="Garamond" w:cs="Times New Roman"/>
                <w:b/>
                <w:bCs/>
                <w:color w:val="FFFFFF"/>
                <w:sz w:val="12"/>
                <w:szCs w:val="12"/>
                <w:lang w:eastAsia="en-US" w:bidi="sq-AL"/>
              </w:rPr>
              <w:t>Viti</w:t>
            </w:r>
          </w:p>
        </w:tc>
        <w:tc>
          <w:tcPr>
            <w:tcW w:w="3357" w:type="pct"/>
            <w:tcBorders>
              <w:bottom w:val="single" w:sz="4" w:space="0" w:color="7F7F7F"/>
            </w:tcBorders>
            <w:shd w:val="clear" w:color="auto" w:fill="215A5C"/>
          </w:tcPr>
          <w:p w14:paraId="08313D2C" w14:textId="77777777" w:rsidR="00622884" w:rsidRPr="00622884" w:rsidRDefault="00622884" w:rsidP="00622884">
            <w:pPr>
              <w:spacing w:after="0" w:line="240" w:lineRule="auto"/>
              <w:jc w:val="center"/>
              <w:rPr>
                <w:rFonts w:ascii="Garamond" w:eastAsia="Calibri" w:hAnsi="Garamond" w:cs="Calibri Light"/>
                <w:b/>
                <w:bCs/>
                <w:color w:val="FFFFFF"/>
                <w:sz w:val="12"/>
                <w:szCs w:val="12"/>
                <w:lang w:eastAsia="en-US"/>
              </w:rPr>
            </w:pPr>
            <w:r w:rsidRPr="00622884">
              <w:rPr>
                <w:rFonts w:ascii="Garamond" w:eastAsia="Calibri" w:hAnsi="Garamond" w:cs="Times New Roman"/>
                <w:b/>
                <w:bCs/>
                <w:color w:val="FFFFFF"/>
                <w:sz w:val="12"/>
                <w:szCs w:val="12"/>
                <w:lang w:eastAsia="en-US" w:bidi="sq-AL"/>
              </w:rPr>
              <w:t>Përmbledhje</w:t>
            </w:r>
          </w:p>
        </w:tc>
      </w:tr>
      <w:tr w:rsidR="00622884" w:rsidRPr="00622884" w14:paraId="7FB7C15A" w14:textId="77777777" w:rsidTr="00622884">
        <w:trPr>
          <w:trHeight w:val="680"/>
          <w:jc w:val="center"/>
        </w:trPr>
        <w:tc>
          <w:tcPr>
            <w:tcW w:w="0" w:type="pct"/>
            <w:tcBorders>
              <w:top w:val="single" w:sz="4" w:space="0" w:color="7F7F7F"/>
              <w:bottom w:val="single" w:sz="4" w:space="0" w:color="7F7F7F"/>
            </w:tcBorders>
            <w:shd w:val="clear" w:color="auto" w:fill="E0F4F4"/>
            <w:noWrap/>
            <w:vAlign w:val="center"/>
            <w:hideMark/>
          </w:tcPr>
          <w:p w14:paraId="1C280B32" w14:textId="77777777" w:rsidR="00622884" w:rsidRPr="00622884" w:rsidRDefault="00622884" w:rsidP="00622884">
            <w:pPr>
              <w:spacing w:after="0" w:line="240" w:lineRule="auto"/>
              <w:jc w:val="left"/>
              <w:rPr>
                <w:rFonts w:ascii="Garamond" w:eastAsia="Calibri" w:hAnsi="Garamond" w:cs="Calibri Light"/>
                <w:b/>
                <w:bCs/>
                <w:color w:val="1D3C5A"/>
                <w:sz w:val="12"/>
                <w:szCs w:val="12"/>
                <w:lang w:eastAsia="en-US"/>
              </w:rPr>
            </w:pPr>
            <w:r w:rsidRPr="00622884">
              <w:rPr>
                <w:rFonts w:ascii="Garamond" w:eastAsia="Calibri" w:hAnsi="Garamond" w:cs="Times New Roman"/>
                <w:b/>
                <w:bCs/>
                <w:color w:val="1D3C5A"/>
                <w:sz w:val="12"/>
                <w:szCs w:val="12"/>
                <w:lang w:eastAsia="en-US" w:bidi="sq-AL"/>
              </w:rPr>
              <w:t>Ligji nr. 81/2017, “Për zonat e mbrojtura’’</w:t>
            </w:r>
          </w:p>
        </w:tc>
        <w:tc>
          <w:tcPr>
            <w:tcW w:w="0" w:type="pct"/>
            <w:tcBorders>
              <w:top w:val="single" w:sz="4" w:space="0" w:color="7F7F7F"/>
              <w:bottom w:val="single" w:sz="4" w:space="0" w:color="7F7F7F"/>
            </w:tcBorders>
            <w:shd w:val="clear" w:color="auto" w:fill="E0F4F4"/>
            <w:vAlign w:val="center"/>
          </w:tcPr>
          <w:p w14:paraId="47422E18" w14:textId="77777777" w:rsidR="00622884" w:rsidRPr="00622884" w:rsidRDefault="00622884" w:rsidP="00622884">
            <w:pPr>
              <w:spacing w:after="0" w:line="240" w:lineRule="auto"/>
              <w:jc w:val="center"/>
              <w:rPr>
                <w:rFonts w:ascii="Garamond" w:eastAsia="Calibri" w:hAnsi="Garamond" w:cs="Calibri Light"/>
                <w:b/>
                <w:bCs/>
                <w:color w:val="1D3C5A"/>
                <w:sz w:val="12"/>
                <w:szCs w:val="12"/>
                <w:lang w:eastAsia="en-US"/>
              </w:rPr>
            </w:pPr>
            <w:r w:rsidRPr="00622884">
              <w:rPr>
                <w:rFonts w:ascii="Garamond" w:eastAsia="Calibri" w:hAnsi="Garamond" w:cs="Times New Roman"/>
                <w:b/>
                <w:color w:val="1D3C5A"/>
                <w:sz w:val="12"/>
                <w:szCs w:val="12"/>
                <w:lang w:eastAsia="en-US" w:bidi="sq-AL"/>
              </w:rPr>
              <w:t>2017</w:t>
            </w:r>
          </w:p>
        </w:tc>
        <w:tc>
          <w:tcPr>
            <w:tcW w:w="0" w:type="pct"/>
            <w:tcBorders>
              <w:top w:val="single" w:sz="4" w:space="0" w:color="7F7F7F"/>
              <w:bottom w:val="single" w:sz="4" w:space="0" w:color="7F7F7F"/>
            </w:tcBorders>
            <w:shd w:val="clear" w:color="auto" w:fill="E0F4F4"/>
            <w:vAlign w:val="center"/>
          </w:tcPr>
          <w:p w14:paraId="50EF19A5" w14:textId="77777777" w:rsidR="00622884" w:rsidRPr="00622884" w:rsidRDefault="00622884" w:rsidP="00622884">
            <w:pPr>
              <w:spacing w:after="0" w:line="240" w:lineRule="auto"/>
              <w:jc w:val="left"/>
              <w:rPr>
                <w:rFonts w:ascii="Garamond" w:eastAsia="Calibri" w:hAnsi="Garamond" w:cs="Calibri Light"/>
                <w:color w:val="1D3C5A"/>
                <w:sz w:val="12"/>
                <w:szCs w:val="12"/>
                <w:highlight w:val="yellow"/>
                <w:lang w:eastAsia="en-US"/>
              </w:rPr>
            </w:pPr>
            <w:r w:rsidRPr="00622884">
              <w:rPr>
                <w:rFonts w:ascii="Garamond" w:eastAsia="Calibri" w:hAnsi="Garamond" w:cs="Times New Roman"/>
                <w:color w:val="1D3C5A"/>
                <w:sz w:val="12"/>
                <w:szCs w:val="12"/>
                <w:lang w:eastAsia="en-US" w:bidi="sq-AL"/>
              </w:rPr>
              <w:t>Përcakton rregulloret për ruajtjen, menaxhimin dhe përdorimin e qëndrueshëm të zonave të mbrojtura, duke forcuar mbrojtjen e biodiversitetit, restaurimin ekologjik dhe përputhshmërinë me standardet ndërkombëtare dhe të BE-së për mjedisin.</w:t>
            </w:r>
          </w:p>
        </w:tc>
      </w:tr>
      <w:tr w:rsidR="00622884" w:rsidRPr="00622884" w14:paraId="61CE56CA" w14:textId="77777777" w:rsidTr="00622884">
        <w:trPr>
          <w:trHeight w:val="680"/>
          <w:jc w:val="center"/>
        </w:trPr>
        <w:tc>
          <w:tcPr>
            <w:tcW w:w="0" w:type="pct"/>
            <w:noWrap/>
            <w:vAlign w:val="center"/>
            <w:hideMark/>
          </w:tcPr>
          <w:p w14:paraId="4781A7E9" w14:textId="77777777" w:rsidR="00622884" w:rsidRPr="00622884" w:rsidRDefault="00622884" w:rsidP="00622884">
            <w:pPr>
              <w:spacing w:after="0" w:line="240" w:lineRule="auto"/>
              <w:jc w:val="left"/>
              <w:rPr>
                <w:rFonts w:ascii="Garamond" w:eastAsia="Calibri" w:hAnsi="Garamond" w:cs="Calibri Light"/>
                <w:b/>
                <w:bCs/>
                <w:color w:val="1D3C5A"/>
                <w:sz w:val="12"/>
                <w:szCs w:val="12"/>
                <w:lang w:eastAsia="en-US"/>
              </w:rPr>
            </w:pPr>
            <w:r w:rsidRPr="00622884">
              <w:rPr>
                <w:rFonts w:ascii="Garamond" w:eastAsia="Calibri" w:hAnsi="Garamond" w:cs="Times New Roman"/>
                <w:b/>
                <w:bCs/>
                <w:color w:val="1D3C5A"/>
                <w:sz w:val="12"/>
                <w:szCs w:val="12"/>
                <w:lang w:eastAsia="en-US" w:bidi="sq-AL"/>
              </w:rPr>
              <w:t>Ligji nr.</w:t>
            </w:r>
            <w:r w:rsidRPr="00622884">
              <w:rPr>
                <w:rFonts w:ascii="Times New Roman" w:eastAsia="Calibri" w:hAnsi="Times New Roman" w:cs="Times New Roman"/>
                <w:b/>
                <w:bCs/>
                <w:color w:val="1D3C5A"/>
                <w:sz w:val="12"/>
                <w:szCs w:val="12"/>
                <w:lang w:eastAsia="en-US" w:bidi="sq-AL"/>
              </w:rPr>
              <w:t> </w:t>
            </w:r>
            <w:r w:rsidRPr="00622884">
              <w:rPr>
                <w:rFonts w:ascii="Garamond" w:eastAsia="Calibri" w:hAnsi="Garamond" w:cs="Times New Roman"/>
                <w:b/>
                <w:bCs/>
                <w:color w:val="1D3C5A"/>
                <w:sz w:val="12"/>
                <w:szCs w:val="12"/>
                <w:lang w:eastAsia="en-US" w:bidi="sq-AL"/>
              </w:rPr>
              <w:t xml:space="preserve">9867, </w:t>
            </w:r>
            <w:r w:rsidRPr="00622884">
              <w:rPr>
                <w:rFonts w:ascii="Garamond" w:eastAsia="Calibri" w:hAnsi="Garamond" w:cs="Garamond"/>
                <w:b/>
                <w:bCs/>
                <w:color w:val="1D3C5A"/>
                <w:sz w:val="12"/>
                <w:szCs w:val="12"/>
                <w:lang w:eastAsia="en-US" w:bidi="sq-AL"/>
              </w:rPr>
              <w:t>“</w:t>
            </w:r>
            <w:r w:rsidRPr="00622884">
              <w:rPr>
                <w:rFonts w:ascii="Garamond" w:eastAsia="Calibri" w:hAnsi="Garamond" w:cs="Times New Roman"/>
                <w:b/>
                <w:bCs/>
                <w:color w:val="1D3C5A"/>
                <w:sz w:val="12"/>
                <w:szCs w:val="12"/>
                <w:lang w:eastAsia="en-US" w:bidi="sq-AL"/>
              </w:rPr>
              <w:t>P</w:t>
            </w:r>
            <w:r w:rsidRPr="00622884">
              <w:rPr>
                <w:rFonts w:ascii="Garamond" w:eastAsia="Calibri" w:hAnsi="Garamond" w:cs="Garamond"/>
                <w:b/>
                <w:bCs/>
                <w:color w:val="1D3C5A"/>
                <w:sz w:val="12"/>
                <w:szCs w:val="12"/>
                <w:lang w:eastAsia="en-US" w:bidi="sq-AL"/>
              </w:rPr>
              <w:t>ë</w:t>
            </w:r>
            <w:r w:rsidRPr="00622884">
              <w:rPr>
                <w:rFonts w:ascii="Garamond" w:eastAsia="Calibri" w:hAnsi="Garamond" w:cs="Times New Roman"/>
                <w:b/>
                <w:bCs/>
                <w:color w:val="1D3C5A"/>
                <w:sz w:val="12"/>
                <w:szCs w:val="12"/>
                <w:lang w:eastAsia="en-US" w:bidi="sq-AL"/>
              </w:rPr>
              <w:t>r rregullat dhe procedurat q</w:t>
            </w:r>
            <w:r w:rsidRPr="00622884">
              <w:rPr>
                <w:rFonts w:ascii="Garamond" w:eastAsia="Calibri" w:hAnsi="Garamond" w:cs="Garamond"/>
                <w:b/>
                <w:bCs/>
                <w:color w:val="1D3C5A"/>
                <w:sz w:val="12"/>
                <w:szCs w:val="12"/>
                <w:lang w:eastAsia="en-US" w:bidi="sq-AL"/>
              </w:rPr>
              <w:t>ë</w:t>
            </w:r>
            <w:r w:rsidRPr="00622884">
              <w:rPr>
                <w:rFonts w:ascii="Garamond" w:eastAsia="Calibri" w:hAnsi="Garamond" w:cs="Times New Roman"/>
                <w:b/>
                <w:bCs/>
                <w:color w:val="1D3C5A"/>
                <w:sz w:val="12"/>
                <w:szCs w:val="12"/>
                <w:lang w:eastAsia="en-US" w:bidi="sq-AL"/>
              </w:rPr>
              <w:t xml:space="preserve"> rregullojn</w:t>
            </w:r>
            <w:r w:rsidRPr="00622884">
              <w:rPr>
                <w:rFonts w:ascii="Garamond" w:eastAsia="Calibri" w:hAnsi="Garamond" w:cs="Garamond"/>
                <w:b/>
                <w:bCs/>
                <w:color w:val="1D3C5A"/>
                <w:sz w:val="12"/>
                <w:szCs w:val="12"/>
                <w:lang w:eastAsia="en-US" w:bidi="sq-AL"/>
              </w:rPr>
              <w:t>ë</w:t>
            </w:r>
            <w:r w:rsidRPr="00622884">
              <w:rPr>
                <w:rFonts w:ascii="Garamond" w:eastAsia="Calibri" w:hAnsi="Garamond" w:cs="Times New Roman"/>
                <w:b/>
                <w:bCs/>
                <w:color w:val="1D3C5A"/>
                <w:sz w:val="12"/>
                <w:szCs w:val="12"/>
                <w:lang w:eastAsia="en-US" w:bidi="sq-AL"/>
              </w:rPr>
              <w:t xml:space="preserve"> tregtin</w:t>
            </w:r>
            <w:r w:rsidRPr="00622884">
              <w:rPr>
                <w:rFonts w:ascii="Garamond" w:eastAsia="Calibri" w:hAnsi="Garamond" w:cs="Garamond"/>
                <w:b/>
                <w:bCs/>
                <w:color w:val="1D3C5A"/>
                <w:sz w:val="12"/>
                <w:szCs w:val="12"/>
                <w:lang w:eastAsia="en-US" w:bidi="sq-AL"/>
              </w:rPr>
              <w:t>ë</w:t>
            </w:r>
            <w:r w:rsidRPr="00622884">
              <w:rPr>
                <w:rFonts w:ascii="Garamond" w:eastAsia="Calibri" w:hAnsi="Garamond" w:cs="Times New Roman"/>
                <w:b/>
                <w:bCs/>
                <w:color w:val="1D3C5A"/>
                <w:sz w:val="12"/>
                <w:szCs w:val="12"/>
                <w:lang w:eastAsia="en-US" w:bidi="sq-AL"/>
              </w:rPr>
              <w:t xml:space="preserve"> nd</w:t>
            </w:r>
            <w:r w:rsidRPr="00622884">
              <w:rPr>
                <w:rFonts w:ascii="Garamond" w:eastAsia="Calibri" w:hAnsi="Garamond" w:cs="Garamond"/>
                <w:b/>
                <w:bCs/>
                <w:color w:val="1D3C5A"/>
                <w:sz w:val="12"/>
                <w:szCs w:val="12"/>
                <w:lang w:eastAsia="en-US" w:bidi="sq-AL"/>
              </w:rPr>
              <w:t>ë</w:t>
            </w:r>
            <w:r w:rsidRPr="00622884">
              <w:rPr>
                <w:rFonts w:ascii="Garamond" w:eastAsia="Calibri" w:hAnsi="Garamond" w:cs="Times New Roman"/>
                <w:b/>
                <w:bCs/>
                <w:color w:val="1D3C5A"/>
                <w:sz w:val="12"/>
                <w:szCs w:val="12"/>
                <w:lang w:eastAsia="en-US" w:bidi="sq-AL"/>
              </w:rPr>
              <w:t>rkomb</w:t>
            </w:r>
            <w:r w:rsidRPr="00622884">
              <w:rPr>
                <w:rFonts w:ascii="Garamond" w:eastAsia="Calibri" w:hAnsi="Garamond" w:cs="Garamond"/>
                <w:b/>
                <w:bCs/>
                <w:color w:val="1D3C5A"/>
                <w:sz w:val="12"/>
                <w:szCs w:val="12"/>
                <w:lang w:eastAsia="en-US" w:bidi="sq-AL"/>
              </w:rPr>
              <w:t>ë</w:t>
            </w:r>
            <w:r w:rsidRPr="00622884">
              <w:rPr>
                <w:rFonts w:ascii="Garamond" w:eastAsia="Calibri" w:hAnsi="Garamond" w:cs="Times New Roman"/>
                <w:b/>
                <w:bCs/>
                <w:color w:val="1D3C5A"/>
                <w:sz w:val="12"/>
                <w:szCs w:val="12"/>
                <w:lang w:eastAsia="en-US" w:bidi="sq-AL"/>
              </w:rPr>
              <w:t>tare t</w:t>
            </w:r>
            <w:r w:rsidRPr="00622884">
              <w:rPr>
                <w:rFonts w:ascii="Garamond" w:eastAsia="Calibri" w:hAnsi="Garamond" w:cs="Garamond"/>
                <w:b/>
                <w:bCs/>
                <w:color w:val="1D3C5A"/>
                <w:sz w:val="12"/>
                <w:szCs w:val="12"/>
                <w:lang w:eastAsia="en-US" w:bidi="sq-AL"/>
              </w:rPr>
              <w:t>ë</w:t>
            </w:r>
            <w:r w:rsidRPr="00622884">
              <w:rPr>
                <w:rFonts w:ascii="Garamond" w:eastAsia="Calibri" w:hAnsi="Garamond" w:cs="Times New Roman"/>
                <w:b/>
                <w:bCs/>
                <w:color w:val="1D3C5A"/>
                <w:sz w:val="12"/>
                <w:szCs w:val="12"/>
                <w:lang w:eastAsia="en-US" w:bidi="sq-AL"/>
              </w:rPr>
              <w:t xml:space="preserve"> specieve t</w:t>
            </w:r>
            <w:r w:rsidRPr="00622884">
              <w:rPr>
                <w:rFonts w:ascii="Garamond" w:eastAsia="Calibri" w:hAnsi="Garamond" w:cs="Garamond"/>
                <w:b/>
                <w:bCs/>
                <w:color w:val="1D3C5A"/>
                <w:sz w:val="12"/>
                <w:szCs w:val="12"/>
                <w:lang w:eastAsia="en-US" w:bidi="sq-AL"/>
              </w:rPr>
              <w:t>ë</w:t>
            </w:r>
            <w:r w:rsidRPr="00622884">
              <w:rPr>
                <w:rFonts w:ascii="Garamond" w:eastAsia="Calibri" w:hAnsi="Garamond" w:cs="Times New Roman"/>
                <w:b/>
                <w:bCs/>
                <w:color w:val="1D3C5A"/>
                <w:sz w:val="12"/>
                <w:szCs w:val="12"/>
                <w:lang w:eastAsia="en-US" w:bidi="sq-AL"/>
              </w:rPr>
              <w:t xml:space="preserve"> egra t</w:t>
            </w:r>
            <w:r w:rsidRPr="00622884">
              <w:rPr>
                <w:rFonts w:ascii="Garamond" w:eastAsia="Calibri" w:hAnsi="Garamond" w:cs="Garamond"/>
                <w:b/>
                <w:bCs/>
                <w:color w:val="1D3C5A"/>
                <w:sz w:val="12"/>
                <w:szCs w:val="12"/>
                <w:lang w:eastAsia="en-US" w:bidi="sq-AL"/>
              </w:rPr>
              <w:t>ë</w:t>
            </w:r>
            <w:r w:rsidRPr="00622884">
              <w:rPr>
                <w:rFonts w:ascii="Garamond" w:eastAsia="Calibri" w:hAnsi="Garamond" w:cs="Times New Roman"/>
                <w:b/>
                <w:bCs/>
                <w:color w:val="1D3C5A"/>
                <w:sz w:val="12"/>
                <w:szCs w:val="12"/>
                <w:lang w:eastAsia="en-US" w:bidi="sq-AL"/>
              </w:rPr>
              <w:t xml:space="preserve"> flor</w:t>
            </w:r>
            <w:r w:rsidRPr="00622884">
              <w:rPr>
                <w:rFonts w:ascii="Garamond" w:eastAsia="Calibri" w:hAnsi="Garamond" w:cs="Garamond"/>
                <w:b/>
                <w:bCs/>
                <w:color w:val="1D3C5A"/>
                <w:sz w:val="12"/>
                <w:szCs w:val="12"/>
                <w:lang w:eastAsia="en-US" w:bidi="sq-AL"/>
              </w:rPr>
              <w:t>ë</w:t>
            </w:r>
            <w:r w:rsidRPr="00622884">
              <w:rPr>
                <w:rFonts w:ascii="Garamond" w:eastAsia="Calibri" w:hAnsi="Garamond" w:cs="Times New Roman"/>
                <w:b/>
                <w:bCs/>
                <w:color w:val="1D3C5A"/>
                <w:sz w:val="12"/>
                <w:szCs w:val="12"/>
                <w:lang w:eastAsia="en-US" w:bidi="sq-AL"/>
              </w:rPr>
              <w:t>s dhe faun</w:t>
            </w:r>
            <w:r w:rsidRPr="00622884">
              <w:rPr>
                <w:rFonts w:ascii="Garamond" w:eastAsia="Calibri" w:hAnsi="Garamond" w:cs="Garamond"/>
                <w:b/>
                <w:bCs/>
                <w:color w:val="1D3C5A"/>
                <w:sz w:val="12"/>
                <w:szCs w:val="12"/>
                <w:lang w:eastAsia="en-US" w:bidi="sq-AL"/>
              </w:rPr>
              <w:t>ë</w:t>
            </w:r>
            <w:r w:rsidRPr="00622884">
              <w:rPr>
                <w:rFonts w:ascii="Garamond" w:eastAsia="Calibri" w:hAnsi="Garamond" w:cs="Times New Roman"/>
                <w:b/>
                <w:bCs/>
                <w:color w:val="1D3C5A"/>
                <w:sz w:val="12"/>
                <w:szCs w:val="12"/>
                <w:lang w:eastAsia="en-US" w:bidi="sq-AL"/>
              </w:rPr>
              <w:t>s s</w:t>
            </w:r>
            <w:r w:rsidRPr="00622884">
              <w:rPr>
                <w:rFonts w:ascii="Garamond" w:eastAsia="Calibri" w:hAnsi="Garamond" w:cs="Garamond"/>
                <w:b/>
                <w:bCs/>
                <w:color w:val="1D3C5A"/>
                <w:sz w:val="12"/>
                <w:szCs w:val="12"/>
                <w:lang w:eastAsia="en-US" w:bidi="sq-AL"/>
              </w:rPr>
              <w:t>ë</w:t>
            </w:r>
            <w:r w:rsidRPr="00622884">
              <w:rPr>
                <w:rFonts w:ascii="Garamond" w:eastAsia="Calibri" w:hAnsi="Garamond" w:cs="Times New Roman"/>
                <w:b/>
                <w:bCs/>
                <w:color w:val="1D3C5A"/>
                <w:sz w:val="12"/>
                <w:szCs w:val="12"/>
                <w:lang w:eastAsia="en-US" w:bidi="sq-AL"/>
              </w:rPr>
              <w:t xml:space="preserve"> rrezikuara</w:t>
            </w:r>
            <w:r w:rsidRPr="00622884">
              <w:rPr>
                <w:rFonts w:ascii="Garamond" w:eastAsia="Calibri" w:hAnsi="Garamond" w:cs="Garamond"/>
                <w:b/>
                <w:bCs/>
                <w:color w:val="1D3C5A"/>
                <w:sz w:val="12"/>
                <w:szCs w:val="12"/>
                <w:lang w:eastAsia="en-US" w:bidi="sq-AL"/>
              </w:rPr>
              <w:t>”</w:t>
            </w:r>
            <w:r w:rsidRPr="00622884">
              <w:rPr>
                <w:rFonts w:ascii="Garamond" w:eastAsia="Calibri" w:hAnsi="Garamond" w:cs="Times New Roman"/>
                <w:b/>
                <w:bCs/>
                <w:color w:val="1D3C5A"/>
                <w:sz w:val="12"/>
                <w:szCs w:val="12"/>
                <w:lang w:eastAsia="en-US" w:bidi="sq-AL"/>
              </w:rPr>
              <w:t>.</w:t>
            </w:r>
          </w:p>
        </w:tc>
        <w:tc>
          <w:tcPr>
            <w:tcW w:w="0" w:type="pct"/>
            <w:vAlign w:val="center"/>
          </w:tcPr>
          <w:p w14:paraId="54136631" w14:textId="77777777" w:rsidR="00622884" w:rsidRPr="00622884" w:rsidRDefault="00622884" w:rsidP="00622884">
            <w:pPr>
              <w:spacing w:after="0" w:line="240" w:lineRule="auto"/>
              <w:jc w:val="center"/>
              <w:rPr>
                <w:rFonts w:ascii="Garamond" w:eastAsia="Calibri" w:hAnsi="Garamond" w:cs="Calibri Light"/>
                <w:b/>
                <w:bCs/>
                <w:color w:val="1D3C5A"/>
                <w:sz w:val="12"/>
                <w:szCs w:val="12"/>
                <w:lang w:eastAsia="en-US"/>
              </w:rPr>
            </w:pPr>
            <w:r w:rsidRPr="00622884">
              <w:rPr>
                <w:rFonts w:ascii="Garamond" w:eastAsia="Calibri" w:hAnsi="Garamond" w:cs="Times New Roman"/>
                <w:b/>
                <w:color w:val="1D3C5A"/>
                <w:sz w:val="12"/>
                <w:szCs w:val="12"/>
                <w:lang w:eastAsia="en-US" w:bidi="sq-AL"/>
              </w:rPr>
              <w:t>2008</w:t>
            </w:r>
          </w:p>
        </w:tc>
        <w:tc>
          <w:tcPr>
            <w:tcW w:w="0" w:type="pct"/>
            <w:vAlign w:val="center"/>
          </w:tcPr>
          <w:p w14:paraId="074449C2" w14:textId="77777777" w:rsidR="00622884" w:rsidRPr="00622884" w:rsidRDefault="00622884" w:rsidP="00622884">
            <w:pPr>
              <w:spacing w:after="0" w:line="240" w:lineRule="auto"/>
              <w:jc w:val="left"/>
              <w:rPr>
                <w:rFonts w:ascii="Garamond" w:eastAsia="Calibri" w:hAnsi="Garamond" w:cs="Calibri Light"/>
                <w:color w:val="1D3C5A"/>
                <w:sz w:val="12"/>
                <w:szCs w:val="12"/>
                <w:highlight w:val="yellow"/>
                <w:lang w:eastAsia="en-US"/>
              </w:rPr>
            </w:pPr>
            <w:r w:rsidRPr="00622884">
              <w:rPr>
                <w:rFonts w:ascii="Garamond" w:eastAsia="Calibri" w:hAnsi="Garamond" w:cs="Times New Roman"/>
                <w:color w:val="1D3C5A"/>
                <w:sz w:val="12"/>
                <w:szCs w:val="12"/>
                <w:lang w:eastAsia="en-US" w:bidi="sq-AL"/>
              </w:rPr>
              <w:t>Rregullon tregtinë ndërkombëtare të specieve të egra të florës dhe faunës të rrezikuara, duke siguruar përputhshmërinë me CITES, parandalimin e tregtisë së paligjshme, mbrojtjen e biodiversitetit dhe përafrimin me standardet e BE-së dhe ato ndërkombëtare për ruajtjen.</w:t>
            </w:r>
          </w:p>
        </w:tc>
      </w:tr>
      <w:tr w:rsidR="00622884" w:rsidRPr="00622884" w14:paraId="49AC9834" w14:textId="77777777" w:rsidTr="00622884">
        <w:trPr>
          <w:trHeight w:val="680"/>
          <w:jc w:val="center"/>
        </w:trPr>
        <w:tc>
          <w:tcPr>
            <w:tcW w:w="1197" w:type="pct"/>
            <w:tcBorders>
              <w:top w:val="single" w:sz="4" w:space="0" w:color="7F7F7F"/>
              <w:bottom w:val="single" w:sz="4" w:space="0" w:color="7F7F7F"/>
            </w:tcBorders>
            <w:shd w:val="clear" w:color="auto" w:fill="E0F4F4"/>
            <w:noWrap/>
            <w:vAlign w:val="center"/>
          </w:tcPr>
          <w:p w14:paraId="43E46FE1" w14:textId="77777777" w:rsidR="00622884" w:rsidRPr="00622884" w:rsidRDefault="00622884" w:rsidP="00622884">
            <w:pPr>
              <w:spacing w:after="0" w:line="240" w:lineRule="auto"/>
              <w:jc w:val="left"/>
              <w:rPr>
                <w:rFonts w:ascii="Garamond" w:eastAsia="Calibri" w:hAnsi="Garamond" w:cs="Calibri Light"/>
                <w:b/>
                <w:bCs/>
                <w:color w:val="1D3C5A"/>
                <w:sz w:val="12"/>
                <w:szCs w:val="12"/>
                <w:lang w:eastAsia="en-US"/>
              </w:rPr>
            </w:pPr>
            <w:r w:rsidRPr="00622884">
              <w:rPr>
                <w:rFonts w:ascii="Garamond" w:eastAsia="Calibri" w:hAnsi="Garamond" w:cs="Times New Roman"/>
                <w:b/>
                <w:bCs/>
                <w:color w:val="1D3C5A"/>
                <w:sz w:val="12"/>
                <w:szCs w:val="12"/>
                <w:lang w:eastAsia="en-US" w:bidi="sq-AL"/>
              </w:rPr>
              <w:t>Ligji nr. 9587, “Për mbrojtjen e biodiversitetit”</w:t>
            </w:r>
          </w:p>
        </w:tc>
        <w:tc>
          <w:tcPr>
            <w:tcW w:w="446" w:type="pct"/>
            <w:tcBorders>
              <w:top w:val="single" w:sz="4" w:space="0" w:color="7F7F7F"/>
              <w:bottom w:val="single" w:sz="4" w:space="0" w:color="7F7F7F"/>
            </w:tcBorders>
            <w:shd w:val="clear" w:color="auto" w:fill="E0F4F4"/>
            <w:vAlign w:val="center"/>
          </w:tcPr>
          <w:p w14:paraId="2DA4E52E" w14:textId="77777777" w:rsidR="00622884" w:rsidRPr="00622884" w:rsidRDefault="00622884" w:rsidP="00622884">
            <w:pPr>
              <w:spacing w:after="0" w:line="240" w:lineRule="auto"/>
              <w:jc w:val="center"/>
              <w:rPr>
                <w:rFonts w:ascii="Garamond" w:eastAsia="Calibri" w:hAnsi="Garamond" w:cs="Calibri Light"/>
                <w:b/>
                <w:bCs/>
                <w:color w:val="1D3C5A"/>
                <w:sz w:val="12"/>
                <w:szCs w:val="12"/>
                <w:lang w:eastAsia="en-US"/>
              </w:rPr>
            </w:pPr>
            <w:r w:rsidRPr="00622884">
              <w:rPr>
                <w:rFonts w:ascii="Garamond" w:eastAsia="Calibri" w:hAnsi="Garamond" w:cs="Times New Roman"/>
                <w:b/>
                <w:color w:val="1D3C5A"/>
                <w:sz w:val="12"/>
                <w:szCs w:val="12"/>
                <w:lang w:eastAsia="en-US" w:bidi="sq-AL"/>
              </w:rPr>
              <w:t>2006</w:t>
            </w:r>
          </w:p>
        </w:tc>
        <w:tc>
          <w:tcPr>
            <w:tcW w:w="3357" w:type="pct"/>
            <w:tcBorders>
              <w:top w:val="single" w:sz="4" w:space="0" w:color="7F7F7F"/>
              <w:bottom w:val="single" w:sz="4" w:space="0" w:color="7F7F7F"/>
            </w:tcBorders>
            <w:shd w:val="clear" w:color="auto" w:fill="E0F4F4"/>
            <w:vAlign w:val="center"/>
          </w:tcPr>
          <w:p w14:paraId="29F8D268" w14:textId="77777777" w:rsidR="00622884" w:rsidRPr="00622884" w:rsidRDefault="00622884" w:rsidP="00622884">
            <w:pPr>
              <w:spacing w:after="0" w:line="240" w:lineRule="auto"/>
              <w:jc w:val="left"/>
              <w:rPr>
                <w:rFonts w:ascii="Garamond" w:eastAsia="Calibri" w:hAnsi="Garamond" w:cs="Calibri Light"/>
                <w:color w:val="1D3C5A"/>
                <w:sz w:val="12"/>
                <w:szCs w:val="12"/>
                <w:highlight w:val="yellow"/>
                <w:lang w:eastAsia="en-US"/>
              </w:rPr>
            </w:pPr>
            <w:r w:rsidRPr="00622884">
              <w:rPr>
                <w:rFonts w:ascii="Garamond" w:eastAsia="Calibri" w:hAnsi="Garamond" w:cs="Times New Roman"/>
                <w:color w:val="1D3C5A"/>
                <w:sz w:val="12"/>
                <w:szCs w:val="12"/>
                <w:lang w:eastAsia="en-US" w:bidi="sq-AL"/>
              </w:rPr>
              <w:t>Përcakton masat për ruajtjen e ekosistemeve, specieve dhe burimeve gjenetike, parandalimin e humbjes së biodiversitetit, promovimin e përdorimit të qëndrueshëm dhe përafrimin me marrëveshjet mjedisore të BE-së dhe ato ndërkombëtare.</w:t>
            </w:r>
          </w:p>
        </w:tc>
      </w:tr>
      <w:tr w:rsidR="00622884" w:rsidRPr="00622884" w14:paraId="24327BCF" w14:textId="77777777" w:rsidTr="00622884">
        <w:trPr>
          <w:trHeight w:val="536"/>
          <w:jc w:val="center"/>
        </w:trPr>
        <w:tc>
          <w:tcPr>
            <w:tcW w:w="0" w:type="pct"/>
            <w:noWrap/>
            <w:vAlign w:val="center"/>
          </w:tcPr>
          <w:p w14:paraId="7D57D41C" w14:textId="77777777" w:rsidR="00622884" w:rsidRPr="00622884" w:rsidRDefault="00622884" w:rsidP="00622884">
            <w:pPr>
              <w:spacing w:after="0" w:line="240" w:lineRule="auto"/>
              <w:jc w:val="left"/>
              <w:rPr>
                <w:rFonts w:ascii="Garamond" w:eastAsia="Calibri" w:hAnsi="Garamond" w:cs="Calibri Light"/>
                <w:b/>
                <w:bCs/>
                <w:color w:val="1D3C5A"/>
                <w:sz w:val="12"/>
                <w:szCs w:val="12"/>
                <w:lang w:eastAsia="en-US"/>
              </w:rPr>
            </w:pPr>
            <w:r w:rsidRPr="00622884">
              <w:rPr>
                <w:rFonts w:ascii="Garamond" w:eastAsia="Calibri" w:hAnsi="Garamond" w:cs="Times New Roman"/>
                <w:b/>
                <w:bCs/>
                <w:color w:val="1D3C5A"/>
                <w:sz w:val="12"/>
                <w:szCs w:val="12"/>
                <w:lang w:eastAsia="en-US" w:bidi="sq-AL"/>
              </w:rPr>
              <w:t>Ligji nr.</w:t>
            </w:r>
            <w:r w:rsidRPr="00622884">
              <w:rPr>
                <w:rFonts w:ascii="Times New Roman" w:eastAsia="Calibri" w:hAnsi="Times New Roman" w:cs="Times New Roman"/>
                <w:b/>
                <w:bCs/>
                <w:color w:val="1D3C5A"/>
                <w:sz w:val="12"/>
                <w:szCs w:val="12"/>
                <w:lang w:eastAsia="en-US" w:bidi="sq-AL"/>
              </w:rPr>
              <w:t> </w:t>
            </w:r>
            <w:r w:rsidRPr="00622884">
              <w:rPr>
                <w:rFonts w:ascii="Garamond" w:eastAsia="Calibri" w:hAnsi="Garamond" w:cs="Times New Roman"/>
                <w:b/>
                <w:bCs/>
                <w:color w:val="1D3C5A"/>
                <w:sz w:val="12"/>
                <w:szCs w:val="12"/>
                <w:lang w:eastAsia="en-US" w:bidi="sq-AL"/>
              </w:rPr>
              <w:t xml:space="preserve">7/2017, </w:t>
            </w:r>
            <w:r w:rsidRPr="00622884">
              <w:rPr>
                <w:rFonts w:ascii="Garamond" w:eastAsia="Calibri" w:hAnsi="Garamond" w:cs="Garamond"/>
                <w:b/>
                <w:bCs/>
                <w:color w:val="1D3C5A"/>
                <w:sz w:val="12"/>
                <w:szCs w:val="12"/>
                <w:lang w:eastAsia="en-US" w:bidi="sq-AL"/>
              </w:rPr>
              <w:t>“</w:t>
            </w:r>
            <w:r w:rsidRPr="00622884">
              <w:rPr>
                <w:rFonts w:ascii="Garamond" w:eastAsia="Calibri" w:hAnsi="Garamond" w:cs="Times New Roman"/>
                <w:b/>
                <w:bCs/>
                <w:color w:val="1D3C5A"/>
                <w:sz w:val="12"/>
                <w:szCs w:val="12"/>
                <w:lang w:eastAsia="en-US" w:bidi="sq-AL"/>
              </w:rPr>
              <w:t>P</w:t>
            </w:r>
            <w:r w:rsidRPr="00622884">
              <w:rPr>
                <w:rFonts w:ascii="Garamond" w:eastAsia="Calibri" w:hAnsi="Garamond" w:cs="Garamond"/>
                <w:b/>
                <w:bCs/>
                <w:color w:val="1D3C5A"/>
                <w:sz w:val="12"/>
                <w:szCs w:val="12"/>
                <w:lang w:eastAsia="en-US" w:bidi="sq-AL"/>
              </w:rPr>
              <w:t>ë</w:t>
            </w:r>
            <w:r w:rsidRPr="00622884">
              <w:rPr>
                <w:rFonts w:ascii="Garamond" w:eastAsia="Calibri" w:hAnsi="Garamond" w:cs="Times New Roman"/>
                <w:b/>
                <w:bCs/>
                <w:color w:val="1D3C5A"/>
                <w:sz w:val="12"/>
                <w:szCs w:val="12"/>
                <w:lang w:eastAsia="en-US" w:bidi="sq-AL"/>
              </w:rPr>
              <w:t>r promovimin e p</w:t>
            </w:r>
            <w:r w:rsidRPr="00622884">
              <w:rPr>
                <w:rFonts w:ascii="Garamond" w:eastAsia="Calibri" w:hAnsi="Garamond" w:cs="Garamond"/>
                <w:b/>
                <w:bCs/>
                <w:color w:val="1D3C5A"/>
                <w:sz w:val="12"/>
                <w:szCs w:val="12"/>
                <w:lang w:eastAsia="en-US" w:bidi="sq-AL"/>
              </w:rPr>
              <w:t>ë</w:t>
            </w:r>
            <w:r w:rsidRPr="00622884">
              <w:rPr>
                <w:rFonts w:ascii="Garamond" w:eastAsia="Calibri" w:hAnsi="Garamond" w:cs="Times New Roman"/>
                <w:b/>
                <w:bCs/>
                <w:color w:val="1D3C5A"/>
                <w:sz w:val="12"/>
                <w:szCs w:val="12"/>
                <w:lang w:eastAsia="en-US" w:bidi="sq-AL"/>
              </w:rPr>
              <w:t>rdorimit t</w:t>
            </w:r>
            <w:r w:rsidRPr="00622884">
              <w:rPr>
                <w:rFonts w:ascii="Garamond" w:eastAsia="Calibri" w:hAnsi="Garamond" w:cs="Garamond"/>
                <w:b/>
                <w:bCs/>
                <w:color w:val="1D3C5A"/>
                <w:sz w:val="12"/>
                <w:szCs w:val="12"/>
                <w:lang w:eastAsia="en-US" w:bidi="sq-AL"/>
              </w:rPr>
              <w:t>ë</w:t>
            </w:r>
            <w:r w:rsidRPr="00622884">
              <w:rPr>
                <w:rFonts w:ascii="Garamond" w:eastAsia="Calibri" w:hAnsi="Garamond" w:cs="Times New Roman"/>
                <w:b/>
                <w:bCs/>
                <w:color w:val="1D3C5A"/>
                <w:sz w:val="12"/>
                <w:szCs w:val="12"/>
                <w:lang w:eastAsia="en-US" w:bidi="sq-AL"/>
              </w:rPr>
              <w:t xml:space="preserve"> energjis</w:t>
            </w:r>
            <w:r w:rsidRPr="00622884">
              <w:rPr>
                <w:rFonts w:ascii="Garamond" w:eastAsia="Calibri" w:hAnsi="Garamond" w:cs="Garamond"/>
                <w:b/>
                <w:bCs/>
                <w:color w:val="1D3C5A"/>
                <w:sz w:val="12"/>
                <w:szCs w:val="12"/>
                <w:lang w:eastAsia="en-US" w:bidi="sq-AL"/>
              </w:rPr>
              <w:t>ë</w:t>
            </w:r>
            <w:r w:rsidRPr="00622884">
              <w:rPr>
                <w:rFonts w:ascii="Garamond" w:eastAsia="Calibri" w:hAnsi="Garamond" w:cs="Times New Roman"/>
                <w:b/>
                <w:bCs/>
                <w:color w:val="1D3C5A"/>
                <w:sz w:val="12"/>
                <w:szCs w:val="12"/>
                <w:lang w:eastAsia="en-US" w:bidi="sq-AL"/>
              </w:rPr>
              <w:t xml:space="preserve"> nga burimet e rinovueshme</w:t>
            </w:r>
            <w:r w:rsidRPr="00622884">
              <w:rPr>
                <w:rFonts w:ascii="Garamond" w:eastAsia="Calibri" w:hAnsi="Garamond" w:cs="Garamond"/>
                <w:b/>
                <w:bCs/>
                <w:color w:val="1D3C5A"/>
                <w:sz w:val="12"/>
                <w:szCs w:val="12"/>
                <w:lang w:eastAsia="en-US" w:bidi="sq-AL"/>
              </w:rPr>
              <w:t>”</w:t>
            </w:r>
            <w:r w:rsidRPr="00622884">
              <w:rPr>
                <w:rFonts w:ascii="Garamond" w:eastAsia="Calibri" w:hAnsi="Garamond" w:cs="Times New Roman"/>
                <w:b/>
                <w:bCs/>
                <w:color w:val="1D3C5A"/>
                <w:sz w:val="12"/>
                <w:szCs w:val="12"/>
                <w:lang w:eastAsia="en-US" w:bidi="sq-AL"/>
              </w:rPr>
              <w:t>.</w:t>
            </w:r>
          </w:p>
        </w:tc>
        <w:tc>
          <w:tcPr>
            <w:tcW w:w="0" w:type="pct"/>
            <w:vAlign w:val="center"/>
          </w:tcPr>
          <w:p w14:paraId="2D71327B" w14:textId="77777777" w:rsidR="00622884" w:rsidRPr="00622884" w:rsidRDefault="00622884" w:rsidP="00622884">
            <w:pPr>
              <w:spacing w:after="0" w:line="240" w:lineRule="auto"/>
              <w:jc w:val="center"/>
              <w:rPr>
                <w:rFonts w:ascii="Garamond" w:eastAsia="Calibri" w:hAnsi="Garamond" w:cs="Calibri Light"/>
                <w:b/>
                <w:bCs/>
                <w:color w:val="1D3C5A"/>
                <w:sz w:val="12"/>
                <w:szCs w:val="12"/>
                <w:lang w:eastAsia="en-US"/>
              </w:rPr>
            </w:pPr>
            <w:r w:rsidRPr="00622884">
              <w:rPr>
                <w:rFonts w:ascii="Garamond" w:eastAsia="Calibri" w:hAnsi="Garamond" w:cs="Times New Roman"/>
                <w:b/>
                <w:color w:val="1D3C5A"/>
                <w:sz w:val="12"/>
                <w:szCs w:val="12"/>
                <w:lang w:eastAsia="en-US" w:bidi="sq-AL"/>
              </w:rPr>
              <w:t>2017</w:t>
            </w:r>
          </w:p>
        </w:tc>
        <w:tc>
          <w:tcPr>
            <w:tcW w:w="0" w:type="pct"/>
            <w:vAlign w:val="center"/>
          </w:tcPr>
          <w:p w14:paraId="6AAA5958" w14:textId="77777777" w:rsidR="00622884" w:rsidRPr="00622884" w:rsidRDefault="00622884" w:rsidP="00622884">
            <w:pPr>
              <w:spacing w:after="0" w:line="240" w:lineRule="auto"/>
              <w:jc w:val="left"/>
              <w:rPr>
                <w:rFonts w:ascii="Garamond" w:eastAsia="Calibri" w:hAnsi="Garamond" w:cs="Calibri Light"/>
                <w:color w:val="1D3C5A"/>
                <w:sz w:val="12"/>
                <w:szCs w:val="12"/>
                <w:highlight w:val="yellow"/>
                <w:lang w:eastAsia="en-US"/>
              </w:rPr>
            </w:pPr>
            <w:r w:rsidRPr="00622884">
              <w:rPr>
                <w:rFonts w:ascii="Garamond" w:eastAsia="Calibri" w:hAnsi="Garamond" w:cs="Times New Roman"/>
                <w:color w:val="1D3C5A"/>
                <w:sz w:val="12"/>
                <w:szCs w:val="12"/>
                <w:lang w:eastAsia="en-US" w:bidi="sq-AL"/>
              </w:rPr>
              <w:t>Promovon përdorimin e energjisë së rinovueshme, mbështet investimet në energji të pastër, përmirëson eficiencën energjetike dhe përafron me direktivat e BE-së për të siguruar një sistem energjetik të qëndrueshëm, me nivel të ulët karboni.</w:t>
            </w:r>
          </w:p>
        </w:tc>
      </w:tr>
      <w:tr w:rsidR="00622884" w:rsidRPr="00622884" w14:paraId="201E9293" w14:textId="77777777" w:rsidTr="00622884">
        <w:trPr>
          <w:trHeight w:val="680"/>
          <w:jc w:val="center"/>
        </w:trPr>
        <w:tc>
          <w:tcPr>
            <w:tcW w:w="1197" w:type="pct"/>
            <w:tcBorders>
              <w:top w:val="single" w:sz="4" w:space="0" w:color="7F7F7F"/>
              <w:bottom w:val="single" w:sz="4" w:space="0" w:color="7F7F7F"/>
            </w:tcBorders>
            <w:shd w:val="clear" w:color="auto" w:fill="E0F4F4"/>
            <w:noWrap/>
            <w:vAlign w:val="center"/>
          </w:tcPr>
          <w:p w14:paraId="3FC46AD3" w14:textId="77777777" w:rsidR="00622884" w:rsidRPr="00622884" w:rsidRDefault="00622884" w:rsidP="00622884">
            <w:pPr>
              <w:spacing w:after="0" w:line="240" w:lineRule="auto"/>
              <w:jc w:val="left"/>
              <w:rPr>
                <w:rFonts w:ascii="Garamond" w:eastAsia="Calibri" w:hAnsi="Garamond" w:cs="Calibri Light"/>
                <w:b/>
                <w:bCs/>
                <w:color w:val="1D3C5A"/>
                <w:sz w:val="12"/>
                <w:szCs w:val="12"/>
                <w:lang w:eastAsia="en-US"/>
              </w:rPr>
            </w:pPr>
            <w:r w:rsidRPr="00622884">
              <w:rPr>
                <w:rFonts w:ascii="Garamond" w:eastAsia="Calibri" w:hAnsi="Garamond" w:cs="Times New Roman"/>
                <w:b/>
                <w:bCs/>
                <w:color w:val="1D3C5A"/>
                <w:sz w:val="12"/>
                <w:szCs w:val="12"/>
                <w:lang w:eastAsia="en-US" w:bidi="sq-AL"/>
              </w:rPr>
              <w:t>Ligji nr.</w:t>
            </w:r>
            <w:r w:rsidRPr="00622884">
              <w:rPr>
                <w:rFonts w:ascii="Times New Roman" w:eastAsia="Calibri" w:hAnsi="Times New Roman" w:cs="Times New Roman"/>
                <w:b/>
                <w:bCs/>
                <w:color w:val="1D3C5A"/>
                <w:sz w:val="12"/>
                <w:szCs w:val="12"/>
                <w:lang w:eastAsia="en-US" w:bidi="sq-AL"/>
              </w:rPr>
              <w:t> </w:t>
            </w:r>
            <w:r w:rsidRPr="00622884">
              <w:rPr>
                <w:rFonts w:ascii="Garamond" w:eastAsia="Calibri" w:hAnsi="Garamond" w:cs="Times New Roman"/>
                <w:b/>
                <w:bCs/>
                <w:color w:val="1D3C5A"/>
                <w:sz w:val="12"/>
                <w:szCs w:val="12"/>
                <w:lang w:eastAsia="en-US" w:bidi="sq-AL"/>
              </w:rPr>
              <w:t xml:space="preserve">9876, </w:t>
            </w:r>
            <w:r w:rsidRPr="00622884">
              <w:rPr>
                <w:rFonts w:ascii="Garamond" w:eastAsia="Calibri" w:hAnsi="Garamond" w:cs="Garamond"/>
                <w:b/>
                <w:bCs/>
                <w:color w:val="1D3C5A"/>
                <w:sz w:val="12"/>
                <w:szCs w:val="12"/>
                <w:lang w:eastAsia="en-US" w:bidi="sq-AL"/>
              </w:rPr>
              <w:t>“</w:t>
            </w:r>
            <w:r w:rsidRPr="00622884">
              <w:rPr>
                <w:rFonts w:ascii="Garamond" w:eastAsia="Calibri" w:hAnsi="Garamond" w:cs="Times New Roman"/>
                <w:b/>
                <w:bCs/>
                <w:color w:val="1D3C5A"/>
                <w:sz w:val="12"/>
                <w:szCs w:val="12"/>
                <w:lang w:eastAsia="en-US" w:bidi="sq-AL"/>
              </w:rPr>
              <w:t>P</w:t>
            </w:r>
            <w:r w:rsidRPr="00622884">
              <w:rPr>
                <w:rFonts w:ascii="Garamond" w:eastAsia="Calibri" w:hAnsi="Garamond" w:cs="Garamond"/>
                <w:b/>
                <w:bCs/>
                <w:color w:val="1D3C5A"/>
                <w:sz w:val="12"/>
                <w:szCs w:val="12"/>
                <w:lang w:eastAsia="en-US" w:bidi="sq-AL"/>
              </w:rPr>
              <w:t>ë</w:t>
            </w:r>
            <w:r w:rsidRPr="00622884">
              <w:rPr>
                <w:rFonts w:ascii="Garamond" w:eastAsia="Calibri" w:hAnsi="Garamond" w:cs="Times New Roman"/>
                <w:b/>
                <w:bCs/>
                <w:color w:val="1D3C5A"/>
                <w:sz w:val="12"/>
                <w:szCs w:val="12"/>
                <w:lang w:eastAsia="en-US" w:bidi="sq-AL"/>
              </w:rPr>
              <w:t>r prodhimin, transportimin dhe tregtimin e biokarburanteve t</w:t>
            </w:r>
            <w:r w:rsidRPr="00622884">
              <w:rPr>
                <w:rFonts w:ascii="Garamond" w:eastAsia="Calibri" w:hAnsi="Garamond" w:cs="Garamond"/>
                <w:b/>
                <w:bCs/>
                <w:color w:val="1D3C5A"/>
                <w:sz w:val="12"/>
                <w:szCs w:val="12"/>
                <w:lang w:eastAsia="en-US" w:bidi="sq-AL"/>
              </w:rPr>
              <w:t>ë</w:t>
            </w:r>
            <w:r w:rsidRPr="00622884">
              <w:rPr>
                <w:rFonts w:ascii="Garamond" w:eastAsia="Calibri" w:hAnsi="Garamond" w:cs="Times New Roman"/>
                <w:b/>
                <w:bCs/>
                <w:color w:val="1D3C5A"/>
                <w:sz w:val="12"/>
                <w:szCs w:val="12"/>
                <w:lang w:eastAsia="en-US" w:bidi="sq-AL"/>
              </w:rPr>
              <w:t xml:space="preserve"> rinovueshme</w:t>
            </w:r>
            <w:r w:rsidRPr="00622884">
              <w:rPr>
                <w:rFonts w:ascii="Garamond" w:eastAsia="Calibri" w:hAnsi="Garamond" w:cs="Garamond"/>
                <w:b/>
                <w:bCs/>
                <w:color w:val="1D3C5A"/>
                <w:sz w:val="12"/>
                <w:szCs w:val="12"/>
                <w:lang w:eastAsia="en-US" w:bidi="sq-AL"/>
              </w:rPr>
              <w:t>”</w:t>
            </w:r>
          </w:p>
        </w:tc>
        <w:tc>
          <w:tcPr>
            <w:tcW w:w="446" w:type="pct"/>
            <w:tcBorders>
              <w:top w:val="single" w:sz="4" w:space="0" w:color="7F7F7F"/>
              <w:bottom w:val="single" w:sz="4" w:space="0" w:color="7F7F7F"/>
            </w:tcBorders>
            <w:shd w:val="clear" w:color="auto" w:fill="E0F4F4"/>
            <w:vAlign w:val="center"/>
          </w:tcPr>
          <w:p w14:paraId="6D42E416" w14:textId="77777777" w:rsidR="00622884" w:rsidRPr="00622884" w:rsidRDefault="00622884" w:rsidP="00622884">
            <w:pPr>
              <w:spacing w:after="0" w:line="240" w:lineRule="auto"/>
              <w:jc w:val="center"/>
              <w:rPr>
                <w:rFonts w:ascii="Garamond" w:eastAsia="Calibri" w:hAnsi="Garamond" w:cs="Calibri Light"/>
                <w:b/>
                <w:bCs/>
                <w:color w:val="1D3C5A"/>
                <w:sz w:val="12"/>
                <w:szCs w:val="12"/>
                <w:lang w:eastAsia="en-US"/>
              </w:rPr>
            </w:pPr>
            <w:r w:rsidRPr="00622884">
              <w:rPr>
                <w:rFonts w:ascii="Garamond" w:eastAsia="Calibri" w:hAnsi="Garamond" w:cs="Times New Roman"/>
                <w:b/>
                <w:color w:val="1D3C5A"/>
                <w:sz w:val="12"/>
                <w:szCs w:val="12"/>
                <w:lang w:eastAsia="en-US" w:bidi="sq-AL"/>
              </w:rPr>
              <w:t>2008</w:t>
            </w:r>
          </w:p>
        </w:tc>
        <w:tc>
          <w:tcPr>
            <w:tcW w:w="3357" w:type="pct"/>
            <w:tcBorders>
              <w:top w:val="single" w:sz="4" w:space="0" w:color="7F7F7F"/>
              <w:bottom w:val="single" w:sz="4" w:space="0" w:color="7F7F7F"/>
            </w:tcBorders>
            <w:shd w:val="clear" w:color="auto" w:fill="E0F4F4"/>
            <w:vAlign w:val="center"/>
          </w:tcPr>
          <w:p w14:paraId="3A350C1D" w14:textId="77777777" w:rsidR="00622884" w:rsidRPr="00622884" w:rsidRDefault="00622884" w:rsidP="00622884">
            <w:pPr>
              <w:spacing w:after="0" w:line="240" w:lineRule="auto"/>
              <w:jc w:val="left"/>
              <w:rPr>
                <w:rFonts w:ascii="Garamond" w:eastAsia="Calibri" w:hAnsi="Garamond" w:cs="Calibri Light"/>
                <w:color w:val="1D3C5A"/>
                <w:sz w:val="12"/>
                <w:szCs w:val="12"/>
                <w:highlight w:val="yellow"/>
                <w:lang w:eastAsia="en-US"/>
              </w:rPr>
            </w:pPr>
            <w:r w:rsidRPr="00622884">
              <w:rPr>
                <w:rFonts w:ascii="Garamond" w:eastAsia="Calibri" w:hAnsi="Garamond" w:cs="Times New Roman"/>
                <w:color w:val="1D3C5A"/>
                <w:sz w:val="12"/>
                <w:szCs w:val="12"/>
                <w:lang w:eastAsia="en-US" w:bidi="sq-AL"/>
              </w:rPr>
              <w:t>Rregullon prodhimin, transportimin dhe tregtimin e biokarburanteve të rinovueshme, duke promovuar energjinë e qëndrueshme, reduktuar varësinë nga lëndët djegëse, reduktuar shkarkimet dhe përafruar me standardet e BE-së për energjinë e rinovueshme dhe mjedisin.</w:t>
            </w:r>
          </w:p>
        </w:tc>
      </w:tr>
      <w:tr w:rsidR="00622884" w:rsidRPr="00622884" w14:paraId="13BE47BD" w14:textId="77777777" w:rsidTr="00622884">
        <w:trPr>
          <w:trHeight w:val="680"/>
          <w:jc w:val="center"/>
        </w:trPr>
        <w:tc>
          <w:tcPr>
            <w:tcW w:w="0" w:type="pct"/>
            <w:noWrap/>
            <w:vAlign w:val="center"/>
          </w:tcPr>
          <w:p w14:paraId="4FE9C34E" w14:textId="77777777" w:rsidR="00622884" w:rsidRPr="00622884" w:rsidRDefault="00622884" w:rsidP="00622884">
            <w:pPr>
              <w:spacing w:after="0" w:line="240" w:lineRule="auto"/>
              <w:jc w:val="left"/>
              <w:rPr>
                <w:rFonts w:ascii="Garamond" w:eastAsia="Calibri" w:hAnsi="Garamond" w:cs="Calibri Light"/>
                <w:b/>
                <w:bCs/>
                <w:color w:val="1D3C5A"/>
                <w:sz w:val="12"/>
                <w:szCs w:val="12"/>
                <w:lang w:eastAsia="en-US"/>
              </w:rPr>
            </w:pPr>
            <w:r w:rsidRPr="00622884">
              <w:rPr>
                <w:rFonts w:ascii="Garamond" w:eastAsia="Calibri" w:hAnsi="Garamond" w:cs="Times New Roman"/>
                <w:b/>
                <w:bCs/>
                <w:color w:val="1D3C5A"/>
                <w:sz w:val="12"/>
                <w:szCs w:val="12"/>
                <w:lang w:eastAsia="en-US" w:bidi="sq-AL"/>
              </w:rPr>
              <w:t>Ligji nr. 9244, “Për mbrojtjen e tokës bujqësore”</w:t>
            </w:r>
          </w:p>
        </w:tc>
        <w:tc>
          <w:tcPr>
            <w:tcW w:w="0" w:type="pct"/>
            <w:vAlign w:val="center"/>
          </w:tcPr>
          <w:p w14:paraId="55F66020" w14:textId="77777777" w:rsidR="00622884" w:rsidRPr="00622884" w:rsidRDefault="00622884" w:rsidP="00622884">
            <w:pPr>
              <w:spacing w:after="0" w:line="240" w:lineRule="auto"/>
              <w:jc w:val="center"/>
              <w:rPr>
                <w:rFonts w:ascii="Garamond" w:eastAsia="Calibri" w:hAnsi="Garamond" w:cs="Calibri Light"/>
                <w:b/>
                <w:bCs/>
                <w:color w:val="1D3C5A"/>
                <w:sz w:val="12"/>
                <w:szCs w:val="12"/>
                <w:lang w:eastAsia="en-US"/>
              </w:rPr>
            </w:pPr>
            <w:r w:rsidRPr="00622884">
              <w:rPr>
                <w:rFonts w:ascii="Garamond" w:eastAsia="Calibri" w:hAnsi="Garamond" w:cs="Times New Roman"/>
                <w:b/>
                <w:color w:val="1D3C5A"/>
                <w:sz w:val="12"/>
                <w:szCs w:val="12"/>
                <w:lang w:eastAsia="en-US" w:bidi="sq-AL"/>
              </w:rPr>
              <w:t>2004</w:t>
            </w:r>
          </w:p>
        </w:tc>
        <w:tc>
          <w:tcPr>
            <w:tcW w:w="0" w:type="pct"/>
            <w:vAlign w:val="center"/>
          </w:tcPr>
          <w:p w14:paraId="67D28ED4" w14:textId="77777777" w:rsidR="00622884" w:rsidRPr="00622884" w:rsidRDefault="00622884" w:rsidP="00622884">
            <w:pPr>
              <w:spacing w:after="0" w:line="240" w:lineRule="auto"/>
              <w:jc w:val="left"/>
              <w:rPr>
                <w:rFonts w:ascii="Garamond" w:eastAsia="Calibri" w:hAnsi="Garamond" w:cs="Calibri Light"/>
                <w:color w:val="1D3C5A"/>
                <w:sz w:val="12"/>
                <w:szCs w:val="12"/>
                <w:highlight w:val="yellow"/>
                <w:lang w:eastAsia="en-US"/>
              </w:rPr>
            </w:pPr>
            <w:r w:rsidRPr="00622884">
              <w:rPr>
                <w:rFonts w:ascii="Garamond" w:eastAsia="Calibri" w:hAnsi="Garamond" w:cs="Times New Roman"/>
                <w:color w:val="1D3C5A"/>
                <w:sz w:val="12"/>
                <w:szCs w:val="12"/>
                <w:lang w:eastAsia="en-US" w:bidi="sq-AL"/>
              </w:rPr>
              <w:t>Siguron përdorimin e qëndrueshëm të tokës, parandalon degradimin, rregullon konvertimin, promovon ruajtjen e tokës dhe përafron me politikat mjedisore dhe bujqësore për të mbrojtur sigurinë ushqimore dhe zhvillimin rural.</w:t>
            </w:r>
          </w:p>
        </w:tc>
      </w:tr>
      <w:tr w:rsidR="00622884" w:rsidRPr="00622884" w14:paraId="5D15937A" w14:textId="77777777" w:rsidTr="00622884">
        <w:trPr>
          <w:trHeight w:val="680"/>
          <w:jc w:val="center"/>
        </w:trPr>
        <w:tc>
          <w:tcPr>
            <w:tcW w:w="1197" w:type="pct"/>
            <w:tcBorders>
              <w:top w:val="single" w:sz="4" w:space="0" w:color="7F7F7F"/>
              <w:bottom w:val="single" w:sz="4" w:space="0" w:color="7F7F7F"/>
            </w:tcBorders>
            <w:shd w:val="clear" w:color="auto" w:fill="E0F4F4"/>
            <w:noWrap/>
            <w:vAlign w:val="center"/>
          </w:tcPr>
          <w:p w14:paraId="05D2E6A5" w14:textId="77777777" w:rsidR="00622884" w:rsidRPr="00622884" w:rsidRDefault="00622884" w:rsidP="00622884">
            <w:pPr>
              <w:spacing w:after="0" w:line="240" w:lineRule="auto"/>
              <w:jc w:val="left"/>
              <w:rPr>
                <w:rFonts w:ascii="Garamond" w:eastAsia="Calibri" w:hAnsi="Garamond" w:cs="Calibri Light"/>
                <w:b/>
                <w:bCs/>
                <w:color w:val="1D3C5A"/>
                <w:sz w:val="12"/>
                <w:szCs w:val="12"/>
                <w:lang w:eastAsia="en-US"/>
              </w:rPr>
            </w:pPr>
            <w:r w:rsidRPr="00622884">
              <w:rPr>
                <w:rFonts w:ascii="Garamond" w:eastAsia="Calibri" w:hAnsi="Garamond" w:cs="Times New Roman"/>
                <w:b/>
                <w:bCs/>
                <w:color w:val="1D3C5A"/>
                <w:sz w:val="12"/>
                <w:szCs w:val="12"/>
                <w:lang w:eastAsia="en-US" w:bidi="sq-AL"/>
              </w:rPr>
              <w:t>Ligji nr. 107/2014, “Për planifikimin dhe zhvillimin e territorit”</w:t>
            </w:r>
          </w:p>
        </w:tc>
        <w:tc>
          <w:tcPr>
            <w:tcW w:w="446" w:type="pct"/>
            <w:tcBorders>
              <w:top w:val="single" w:sz="4" w:space="0" w:color="7F7F7F"/>
              <w:bottom w:val="single" w:sz="4" w:space="0" w:color="7F7F7F"/>
            </w:tcBorders>
            <w:shd w:val="clear" w:color="auto" w:fill="E0F4F4"/>
            <w:vAlign w:val="center"/>
          </w:tcPr>
          <w:p w14:paraId="06E6F846" w14:textId="77777777" w:rsidR="00622884" w:rsidRPr="00622884" w:rsidRDefault="00622884" w:rsidP="00622884">
            <w:pPr>
              <w:spacing w:after="0" w:line="240" w:lineRule="auto"/>
              <w:jc w:val="center"/>
              <w:rPr>
                <w:rFonts w:ascii="Garamond" w:eastAsia="Calibri" w:hAnsi="Garamond" w:cs="Calibri Light"/>
                <w:b/>
                <w:bCs/>
                <w:color w:val="1D3C5A"/>
                <w:sz w:val="12"/>
                <w:szCs w:val="12"/>
                <w:lang w:eastAsia="en-US"/>
              </w:rPr>
            </w:pPr>
            <w:r w:rsidRPr="00622884">
              <w:rPr>
                <w:rFonts w:ascii="Garamond" w:eastAsia="Calibri" w:hAnsi="Garamond" w:cs="Times New Roman"/>
                <w:b/>
                <w:color w:val="1D3C5A"/>
                <w:sz w:val="12"/>
                <w:szCs w:val="12"/>
                <w:lang w:eastAsia="en-US" w:bidi="sq-AL"/>
              </w:rPr>
              <w:t>2014</w:t>
            </w:r>
          </w:p>
        </w:tc>
        <w:tc>
          <w:tcPr>
            <w:tcW w:w="3357" w:type="pct"/>
            <w:tcBorders>
              <w:top w:val="single" w:sz="4" w:space="0" w:color="7F7F7F"/>
              <w:bottom w:val="single" w:sz="4" w:space="0" w:color="7F7F7F"/>
            </w:tcBorders>
            <w:shd w:val="clear" w:color="auto" w:fill="E0F4F4"/>
            <w:vAlign w:val="center"/>
          </w:tcPr>
          <w:p w14:paraId="65CF4EF9" w14:textId="77777777" w:rsidR="00622884" w:rsidRPr="00622884" w:rsidRDefault="00622884" w:rsidP="00622884">
            <w:pPr>
              <w:spacing w:after="0" w:line="240" w:lineRule="auto"/>
              <w:jc w:val="left"/>
              <w:rPr>
                <w:rFonts w:ascii="Garamond" w:eastAsia="Calibri" w:hAnsi="Garamond" w:cs="Calibri Light"/>
                <w:color w:val="1D3C5A"/>
                <w:sz w:val="12"/>
                <w:szCs w:val="12"/>
                <w:lang w:eastAsia="en-US"/>
              </w:rPr>
            </w:pPr>
            <w:r w:rsidRPr="00622884">
              <w:rPr>
                <w:rFonts w:ascii="Garamond" w:eastAsia="Calibri" w:hAnsi="Garamond" w:cs="Times New Roman"/>
                <w:color w:val="1D3C5A"/>
                <w:sz w:val="12"/>
                <w:szCs w:val="12"/>
                <w:lang w:eastAsia="en-US" w:bidi="sq-AL"/>
              </w:rPr>
              <w:t>Rregullon përdorimin e tokës, planifikimin urban dhe zhvillimin e qëndrueshëm, duke siguruar mbrojtjen e mjedisit, aftësinë ripërtëritëse ndaj ndryshimeve klimatike dhe përafrimin me standardet e BE-së për planifikimin hapësinor.</w:t>
            </w:r>
          </w:p>
        </w:tc>
      </w:tr>
      <w:tr w:rsidR="00622884" w:rsidRPr="00622884" w14:paraId="35D7FF35" w14:textId="77777777" w:rsidTr="00622884">
        <w:trPr>
          <w:trHeight w:val="680"/>
          <w:jc w:val="center"/>
        </w:trPr>
        <w:tc>
          <w:tcPr>
            <w:tcW w:w="0" w:type="pct"/>
            <w:noWrap/>
            <w:vAlign w:val="center"/>
          </w:tcPr>
          <w:p w14:paraId="1FC7942D" w14:textId="77777777" w:rsidR="00622884" w:rsidRPr="00622884" w:rsidRDefault="00622884" w:rsidP="00622884">
            <w:pPr>
              <w:spacing w:after="0" w:line="240" w:lineRule="auto"/>
              <w:jc w:val="left"/>
              <w:rPr>
                <w:rFonts w:ascii="Garamond" w:eastAsia="Calibri" w:hAnsi="Garamond" w:cs="Calibri Light"/>
                <w:b/>
                <w:bCs/>
                <w:color w:val="1D3C5A"/>
                <w:sz w:val="12"/>
                <w:szCs w:val="12"/>
                <w:lang w:eastAsia="en-US"/>
              </w:rPr>
            </w:pPr>
            <w:r w:rsidRPr="00622884">
              <w:rPr>
                <w:rFonts w:ascii="Garamond" w:eastAsia="Calibri" w:hAnsi="Garamond" w:cs="Times New Roman"/>
                <w:b/>
                <w:bCs/>
                <w:color w:val="1D3C5A"/>
                <w:sz w:val="12"/>
                <w:szCs w:val="12"/>
                <w:lang w:eastAsia="en-US" w:bidi="sq-AL"/>
              </w:rPr>
              <w:lastRenderedPageBreak/>
              <w:t>Ligji nr. 57/2020, “Për pyjet”</w:t>
            </w:r>
          </w:p>
        </w:tc>
        <w:tc>
          <w:tcPr>
            <w:tcW w:w="0" w:type="pct"/>
            <w:vAlign w:val="center"/>
          </w:tcPr>
          <w:p w14:paraId="468C488E" w14:textId="77777777" w:rsidR="00622884" w:rsidRPr="00622884" w:rsidRDefault="00622884" w:rsidP="00622884">
            <w:pPr>
              <w:spacing w:after="0" w:line="240" w:lineRule="auto"/>
              <w:jc w:val="center"/>
              <w:rPr>
                <w:rFonts w:ascii="Garamond" w:eastAsia="Calibri" w:hAnsi="Garamond" w:cs="Calibri Light"/>
                <w:b/>
                <w:bCs/>
                <w:color w:val="1D3C5A"/>
                <w:sz w:val="12"/>
                <w:szCs w:val="12"/>
                <w:lang w:eastAsia="en-US"/>
              </w:rPr>
            </w:pPr>
            <w:r w:rsidRPr="00622884">
              <w:rPr>
                <w:rFonts w:ascii="Garamond" w:eastAsia="Calibri" w:hAnsi="Garamond" w:cs="Times New Roman"/>
                <w:b/>
                <w:color w:val="1D3C5A"/>
                <w:sz w:val="12"/>
                <w:szCs w:val="12"/>
                <w:lang w:eastAsia="en-US" w:bidi="sq-AL"/>
              </w:rPr>
              <w:t>2020</w:t>
            </w:r>
          </w:p>
        </w:tc>
        <w:tc>
          <w:tcPr>
            <w:tcW w:w="0" w:type="pct"/>
            <w:vAlign w:val="center"/>
          </w:tcPr>
          <w:p w14:paraId="0EC850FF" w14:textId="77777777" w:rsidR="00622884" w:rsidRPr="00622884" w:rsidRDefault="00622884" w:rsidP="00622884">
            <w:pPr>
              <w:spacing w:after="0" w:line="240" w:lineRule="auto"/>
              <w:jc w:val="left"/>
              <w:rPr>
                <w:rFonts w:ascii="Garamond" w:eastAsia="Calibri" w:hAnsi="Garamond" w:cs="Calibri Light"/>
                <w:color w:val="1D3C5A"/>
                <w:sz w:val="12"/>
                <w:szCs w:val="12"/>
                <w:lang w:eastAsia="en-US"/>
              </w:rPr>
            </w:pPr>
            <w:r w:rsidRPr="00622884">
              <w:rPr>
                <w:rFonts w:ascii="Garamond" w:eastAsia="Calibri" w:hAnsi="Garamond" w:cs="Times New Roman"/>
                <w:color w:val="1D3C5A"/>
                <w:sz w:val="12"/>
                <w:szCs w:val="12"/>
                <w:lang w:eastAsia="en-US" w:bidi="sq-AL"/>
              </w:rPr>
              <w:t>Promovon menaxhimin e qëndrueshëm të pyjeve, ruajtjen, pyllëzimin, mbrojtjen e biodiversitetit dhe qëndrueshmërinë klimatike, duke rregulluar përdorimin dhe qeverisjen e pyjeve, si dhe përafrimin me politikat mjedisore të BE-së.</w:t>
            </w:r>
          </w:p>
        </w:tc>
      </w:tr>
      <w:tr w:rsidR="00622884" w:rsidRPr="00622884" w14:paraId="48226077" w14:textId="77777777" w:rsidTr="00622884">
        <w:trPr>
          <w:trHeight w:val="680"/>
          <w:jc w:val="center"/>
        </w:trPr>
        <w:tc>
          <w:tcPr>
            <w:tcW w:w="1197" w:type="pct"/>
            <w:tcBorders>
              <w:top w:val="single" w:sz="4" w:space="0" w:color="7F7F7F"/>
              <w:bottom w:val="single" w:sz="4" w:space="0" w:color="7F7F7F"/>
            </w:tcBorders>
            <w:shd w:val="clear" w:color="auto" w:fill="E0F4F4"/>
            <w:noWrap/>
            <w:vAlign w:val="center"/>
          </w:tcPr>
          <w:p w14:paraId="3A66736A" w14:textId="77777777" w:rsidR="00622884" w:rsidRPr="00622884" w:rsidRDefault="00622884" w:rsidP="00622884">
            <w:pPr>
              <w:spacing w:after="0" w:line="240" w:lineRule="auto"/>
              <w:jc w:val="left"/>
              <w:rPr>
                <w:rFonts w:ascii="Garamond" w:eastAsia="Calibri" w:hAnsi="Garamond" w:cs="Calibri Light"/>
                <w:b/>
                <w:bCs/>
                <w:color w:val="1D3C5A"/>
                <w:sz w:val="12"/>
                <w:szCs w:val="12"/>
                <w:lang w:eastAsia="en-US"/>
              </w:rPr>
            </w:pPr>
            <w:r w:rsidRPr="00622884">
              <w:rPr>
                <w:rFonts w:ascii="Garamond" w:eastAsia="Calibri" w:hAnsi="Garamond" w:cs="Times New Roman"/>
                <w:b/>
                <w:bCs/>
                <w:color w:val="1D3C5A"/>
                <w:sz w:val="12"/>
                <w:szCs w:val="12"/>
                <w:lang w:eastAsia="en-US" w:bidi="sq-AL"/>
              </w:rPr>
              <w:t>Ligji nr. 103/2016, “Për akuakulturën”</w:t>
            </w:r>
          </w:p>
        </w:tc>
        <w:tc>
          <w:tcPr>
            <w:tcW w:w="446" w:type="pct"/>
            <w:tcBorders>
              <w:top w:val="single" w:sz="4" w:space="0" w:color="7F7F7F"/>
              <w:bottom w:val="single" w:sz="4" w:space="0" w:color="7F7F7F"/>
            </w:tcBorders>
            <w:shd w:val="clear" w:color="auto" w:fill="E0F4F4"/>
            <w:vAlign w:val="center"/>
          </w:tcPr>
          <w:p w14:paraId="07667736" w14:textId="77777777" w:rsidR="00622884" w:rsidRPr="00622884" w:rsidRDefault="00622884" w:rsidP="00622884">
            <w:pPr>
              <w:spacing w:after="0" w:line="240" w:lineRule="auto"/>
              <w:jc w:val="center"/>
              <w:rPr>
                <w:rFonts w:ascii="Garamond" w:eastAsia="Calibri" w:hAnsi="Garamond" w:cs="Calibri Light"/>
                <w:b/>
                <w:bCs/>
                <w:color w:val="1D3C5A"/>
                <w:sz w:val="12"/>
                <w:szCs w:val="12"/>
                <w:lang w:eastAsia="en-US"/>
              </w:rPr>
            </w:pPr>
            <w:r w:rsidRPr="00622884">
              <w:rPr>
                <w:rFonts w:ascii="Garamond" w:eastAsia="Calibri" w:hAnsi="Garamond" w:cs="Times New Roman"/>
                <w:b/>
                <w:color w:val="1D3C5A"/>
                <w:sz w:val="12"/>
                <w:szCs w:val="12"/>
                <w:lang w:eastAsia="en-US" w:bidi="sq-AL"/>
              </w:rPr>
              <w:t>2016</w:t>
            </w:r>
          </w:p>
        </w:tc>
        <w:tc>
          <w:tcPr>
            <w:tcW w:w="3357" w:type="pct"/>
            <w:tcBorders>
              <w:top w:val="single" w:sz="4" w:space="0" w:color="7F7F7F"/>
              <w:bottom w:val="single" w:sz="4" w:space="0" w:color="7F7F7F"/>
            </w:tcBorders>
            <w:shd w:val="clear" w:color="auto" w:fill="E0F4F4"/>
            <w:vAlign w:val="center"/>
          </w:tcPr>
          <w:p w14:paraId="00F813F5" w14:textId="77777777" w:rsidR="00622884" w:rsidRPr="00622884" w:rsidRDefault="00622884" w:rsidP="00622884">
            <w:pPr>
              <w:spacing w:after="0" w:line="240" w:lineRule="auto"/>
              <w:jc w:val="left"/>
              <w:rPr>
                <w:rFonts w:ascii="Garamond" w:eastAsia="Calibri" w:hAnsi="Garamond" w:cs="Calibri Light"/>
                <w:color w:val="1D3C5A"/>
                <w:sz w:val="12"/>
                <w:szCs w:val="12"/>
                <w:highlight w:val="yellow"/>
                <w:lang w:eastAsia="en-US"/>
              </w:rPr>
            </w:pPr>
            <w:r w:rsidRPr="00622884">
              <w:rPr>
                <w:rFonts w:ascii="Garamond" w:eastAsia="Calibri" w:hAnsi="Garamond" w:cs="Times New Roman"/>
                <w:color w:val="1D3C5A"/>
                <w:sz w:val="12"/>
                <w:szCs w:val="12"/>
                <w:lang w:eastAsia="en-US" w:bidi="sq-AL"/>
              </w:rPr>
              <w:t>Rregullon zhvillimin e qëndrueshëm të akuakulturës, duke siguruar mbrojtjen e mjedisit, menaxhimin e burimeve, sigurinë ushqimore dhe përafrimin me standardet e BE-së për të promovuar kultivimin e përgjegjshëm të peshqve dhe rritjen ekonomike.</w:t>
            </w:r>
          </w:p>
        </w:tc>
      </w:tr>
      <w:tr w:rsidR="00622884" w:rsidRPr="00622884" w14:paraId="5DBEDC2F" w14:textId="77777777" w:rsidTr="00622884">
        <w:trPr>
          <w:trHeight w:val="680"/>
          <w:jc w:val="center"/>
        </w:trPr>
        <w:tc>
          <w:tcPr>
            <w:tcW w:w="0" w:type="pct"/>
            <w:noWrap/>
            <w:vAlign w:val="center"/>
          </w:tcPr>
          <w:p w14:paraId="69DB937D" w14:textId="77777777" w:rsidR="00622884" w:rsidRPr="00622884" w:rsidRDefault="00622884" w:rsidP="00622884">
            <w:pPr>
              <w:spacing w:after="0" w:line="240" w:lineRule="auto"/>
              <w:jc w:val="left"/>
              <w:rPr>
                <w:rFonts w:ascii="Garamond" w:eastAsia="Calibri" w:hAnsi="Garamond" w:cs="Calibri Light"/>
                <w:b/>
                <w:bCs/>
                <w:color w:val="1D3C5A"/>
                <w:sz w:val="12"/>
                <w:szCs w:val="12"/>
                <w:lang w:eastAsia="en-US"/>
              </w:rPr>
            </w:pPr>
            <w:r w:rsidRPr="00622884">
              <w:rPr>
                <w:rFonts w:ascii="Garamond" w:eastAsia="Calibri" w:hAnsi="Garamond" w:cs="Times New Roman"/>
                <w:b/>
                <w:bCs/>
                <w:color w:val="1D3C5A"/>
                <w:sz w:val="12"/>
                <w:szCs w:val="12"/>
                <w:lang w:eastAsia="en-US" w:bidi="sq-AL"/>
              </w:rPr>
              <w:t>Ligji nr. 64/2012, “Për peshkimin”</w:t>
            </w:r>
          </w:p>
        </w:tc>
        <w:tc>
          <w:tcPr>
            <w:tcW w:w="0" w:type="pct"/>
            <w:vAlign w:val="center"/>
          </w:tcPr>
          <w:p w14:paraId="27B61B0C" w14:textId="77777777" w:rsidR="00622884" w:rsidRPr="00622884" w:rsidRDefault="00622884" w:rsidP="00622884">
            <w:pPr>
              <w:spacing w:after="0" w:line="240" w:lineRule="auto"/>
              <w:jc w:val="center"/>
              <w:rPr>
                <w:rFonts w:ascii="Garamond" w:eastAsia="Calibri" w:hAnsi="Garamond" w:cs="Calibri Light"/>
                <w:b/>
                <w:bCs/>
                <w:color w:val="1D3C5A"/>
                <w:sz w:val="12"/>
                <w:szCs w:val="12"/>
                <w:lang w:eastAsia="en-US"/>
              </w:rPr>
            </w:pPr>
            <w:r w:rsidRPr="00622884">
              <w:rPr>
                <w:rFonts w:ascii="Garamond" w:eastAsia="Calibri" w:hAnsi="Garamond" w:cs="Times New Roman"/>
                <w:b/>
                <w:color w:val="1D3C5A"/>
                <w:sz w:val="12"/>
                <w:szCs w:val="12"/>
                <w:lang w:eastAsia="en-US" w:bidi="sq-AL"/>
              </w:rPr>
              <w:t>2012</w:t>
            </w:r>
          </w:p>
        </w:tc>
        <w:tc>
          <w:tcPr>
            <w:tcW w:w="0" w:type="pct"/>
            <w:vAlign w:val="center"/>
          </w:tcPr>
          <w:p w14:paraId="10385FC6" w14:textId="77777777" w:rsidR="00622884" w:rsidRPr="00622884" w:rsidRDefault="00622884" w:rsidP="00622884">
            <w:pPr>
              <w:spacing w:after="0" w:line="240" w:lineRule="auto"/>
              <w:jc w:val="left"/>
              <w:rPr>
                <w:rFonts w:ascii="Garamond" w:eastAsia="Calibri" w:hAnsi="Garamond" w:cs="Calibri Light"/>
                <w:color w:val="1D3C5A"/>
                <w:sz w:val="12"/>
                <w:szCs w:val="12"/>
                <w:highlight w:val="yellow"/>
                <w:lang w:eastAsia="en-US"/>
              </w:rPr>
            </w:pPr>
            <w:r w:rsidRPr="00622884">
              <w:rPr>
                <w:rFonts w:ascii="Garamond" w:eastAsia="Calibri" w:hAnsi="Garamond" w:cs="Times New Roman"/>
                <w:color w:val="1D3C5A"/>
                <w:sz w:val="12"/>
                <w:szCs w:val="12"/>
                <w:lang w:eastAsia="en-US" w:bidi="sq-AL"/>
              </w:rPr>
              <w:t>Rregullon menaxhimin e qëndrueshëm të peshkimit, ruajtjen e burimeve detare, praktikat e përgjegjshme të peshkimit dhe përputhshmërinë me standardet e BE-së dhe ato ndërkombëtare për të mbrojtur ekosistemet ujore dhe për të mbështetur industrinë e peshkimit.</w:t>
            </w:r>
          </w:p>
        </w:tc>
      </w:tr>
      <w:tr w:rsidR="00622884" w:rsidRPr="00622884" w14:paraId="1122E9B9" w14:textId="77777777" w:rsidTr="00622884">
        <w:trPr>
          <w:trHeight w:val="680"/>
          <w:jc w:val="center"/>
        </w:trPr>
        <w:tc>
          <w:tcPr>
            <w:tcW w:w="1197" w:type="pct"/>
            <w:tcBorders>
              <w:top w:val="single" w:sz="4" w:space="0" w:color="7F7F7F"/>
              <w:bottom w:val="single" w:sz="4" w:space="0" w:color="7F7F7F"/>
            </w:tcBorders>
            <w:shd w:val="clear" w:color="auto" w:fill="E0F4F4"/>
            <w:noWrap/>
            <w:vAlign w:val="center"/>
          </w:tcPr>
          <w:p w14:paraId="7E11EC2F" w14:textId="77777777" w:rsidR="00622884" w:rsidRPr="00622884" w:rsidRDefault="00622884" w:rsidP="00622884">
            <w:pPr>
              <w:spacing w:after="0" w:line="240" w:lineRule="auto"/>
              <w:jc w:val="left"/>
              <w:rPr>
                <w:rFonts w:ascii="Garamond" w:eastAsia="Calibri" w:hAnsi="Garamond" w:cs="Calibri Light"/>
                <w:b/>
                <w:bCs/>
                <w:color w:val="1D3C5A"/>
                <w:sz w:val="12"/>
                <w:szCs w:val="12"/>
                <w:lang w:eastAsia="en-US"/>
              </w:rPr>
            </w:pPr>
            <w:r w:rsidRPr="00622884">
              <w:rPr>
                <w:rFonts w:ascii="Garamond" w:eastAsia="Calibri" w:hAnsi="Garamond" w:cs="Times New Roman"/>
                <w:b/>
                <w:bCs/>
                <w:color w:val="1D3C5A"/>
                <w:sz w:val="12"/>
                <w:szCs w:val="12"/>
                <w:lang w:eastAsia="en-US" w:bidi="sq-AL"/>
              </w:rPr>
              <w:t>Ligji nr. 10 431, datë 9.6.2011, “Për mbrojtjen e mjedisit”</w:t>
            </w:r>
          </w:p>
        </w:tc>
        <w:tc>
          <w:tcPr>
            <w:tcW w:w="446" w:type="pct"/>
            <w:tcBorders>
              <w:top w:val="single" w:sz="4" w:space="0" w:color="7F7F7F"/>
              <w:bottom w:val="single" w:sz="4" w:space="0" w:color="7F7F7F"/>
            </w:tcBorders>
            <w:shd w:val="clear" w:color="auto" w:fill="E0F4F4"/>
            <w:vAlign w:val="center"/>
          </w:tcPr>
          <w:p w14:paraId="109EC39C" w14:textId="77777777" w:rsidR="00622884" w:rsidRPr="00622884" w:rsidRDefault="00622884" w:rsidP="00622884">
            <w:pPr>
              <w:spacing w:after="0" w:line="240" w:lineRule="auto"/>
              <w:jc w:val="center"/>
              <w:rPr>
                <w:rFonts w:ascii="Garamond" w:eastAsia="Calibri" w:hAnsi="Garamond" w:cs="Calibri Light"/>
                <w:b/>
                <w:bCs/>
                <w:color w:val="1D3C5A"/>
                <w:sz w:val="12"/>
                <w:szCs w:val="12"/>
                <w:lang w:eastAsia="en-US"/>
              </w:rPr>
            </w:pPr>
            <w:r w:rsidRPr="00622884">
              <w:rPr>
                <w:rFonts w:ascii="Garamond" w:eastAsia="Calibri" w:hAnsi="Garamond" w:cs="Times New Roman"/>
                <w:b/>
                <w:color w:val="1D3C5A"/>
                <w:sz w:val="12"/>
                <w:szCs w:val="12"/>
                <w:lang w:eastAsia="en-US" w:bidi="sq-AL"/>
              </w:rPr>
              <w:t>2011</w:t>
            </w:r>
          </w:p>
        </w:tc>
        <w:tc>
          <w:tcPr>
            <w:tcW w:w="3357" w:type="pct"/>
            <w:tcBorders>
              <w:top w:val="single" w:sz="4" w:space="0" w:color="7F7F7F"/>
              <w:bottom w:val="single" w:sz="4" w:space="0" w:color="7F7F7F"/>
            </w:tcBorders>
            <w:shd w:val="clear" w:color="auto" w:fill="E0F4F4"/>
            <w:vAlign w:val="center"/>
          </w:tcPr>
          <w:p w14:paraId="35C2E6F4" w14:textId="77777777" w:rsidR="00622884" w:rsidRPr="00622884" w:rsidRDefault="00622884" w:rsidP="00622884">
            <w:pPr>
              <w:spacing w:after="0" w:line="240" w:lineRule="auto"/>
              <w:jc w:val="left"/>
              <w:rPr>
                <w:rFonts w:ascii="Garamond" w:eastAsia="Calibri" w:hAnsi="Garamond" w:cs="Calibri Light"/>
                <w:color w:val="1D3C5A"/>
                <w:sz w:val="12"/>
                <w:szCs w:val="12"/>
                <w:highlight w:val="yellow"/>
                <w:lang w:eastAsia="en-US"/>
              </w:rPr>
            </w:pPr>
            <w:r w:rsidRPr="00622884">
              <w:rPr>
                <w:rFonts w:ascii="Garamond" w:eastAsia="Calibri" w:hAnsi="Garamond" w:cs="Times New Roman"/>
                <w:color w:val="1D3C5A"/>
                <w:sz w:val="12"/>
                <w:szCs w:val="12"/>
                <w:lang w:eastAsia="en-US" w:bidi="sq-AL"/>
              </w:rPr>
              <w:t>Përcakton rregulloret për kontrollin e ndotjes, ruajtjen e biodiversitetit, përdorimin e qëndrueshëm të burimeve dhe vlerësimin e ndikimit në mjedis, duke u përafruar me standardet e BE-së për të promovuar qëndrueshmërinë ekologjike dhe qëndrueshmërinë ndaj ndryshimeve klimatike.</w:t>
            </w:r>
          </w:p>
        </w:tc>
      </w:tr>
      <w:tr w:rsidR="00622884" w:rsidRPr="00622884" w14:paraId="6AF4EC6C" w14:textId="77777777" w:rsidTr="00622884">
        <w:trPr>
          <w:trHeight w:val="680"/>
          <w:jc w:val="center"/>
        </w:trPr>
        <w:tc>
          <w:tcPr>
            <w:tcW w:w="0" w:type="pct"/>
            <w:noWrap/>
            <w:vAlign w:val="center"/>
          </w:tcPr>
          <w:p w14:paraId="036D11D6" w14:textId="77777777" w:rsidR="00622884" w:rsidRPr="00622884" w:rsidRDefault="00622884" w:rsidP="00622884">
            <w:pPr>
              <w:spacing w:after="0" w:line="240" w:lineRule="auto"/>
              <w:jc w:val="left"/>
              <w:rPr>
                <w:rFonts w:ascii="Garamond" w:eastAsia="Calibri" w:hAnsi="Garamond" w:cs="Calibri Light"/>
                <w:b/>
                <w:bCs/>
                <w:color w:val="1D3C5A"/>
                <w:sz w:val="12"/>
                <w:szCs w:val="12"/>
                <w:lang w:eastAsia="en-US"/>
              </w:rPr>
            </w:pPr>
            <w:r w:rsidRPr="00622884">
              <w:rPr>
                <w:rFonts w:ascii="Garamond" w:eastAsia="Calibri" w:hAnsi="Garamond" w:cs="Times New Roman"/>
                <w:b/>
                <w:bCs/>
                <w:color w:val="1D3C5A"/>
                <w:sz w:val="12"/>
                <w:szCs w:val="12"/>
                <w:lang w:eastAsia="en-US" w:bidi="sq-AL"/>
              </w:rPr>
              <w:t>Ligji nr. 155/2020, “Për ndryshimet klimatike”, i ndryshuar</w:t>
            </w:r>
          </w:p>
        </w:tc>
        <w:tc>
          <w:tcPr>
            <w:tcW w:w="0" w:type="pct"/>
            <w:vAlign w:val="center"/>
          </w:tcPr>
          <w:p w14:paraId="0A51F7FE" w14:textId="77777777" w:rsidR="00622884" w:rsidRPr="00622884" w:rsidRDefault="00622884" w:rsidP="00622884">
            <w:pPr>
              <w:spacing w:after="0" w:line="240" w:lineRule="auto"/>
              <w:jc w:val="center"/>
              <w:rPr>
                <w:rFonts w:ascii="Garamond" w:eastAsia="Calibri" w:hAnsi="Garamond" w:cs="Calibri Light"/>
                <w:b/>
                <w:bCs/>
                <w:color w:val="1D3C5A"/>
                <w:sz w:val="12"/>
                <w:szCs w:val="12"/>
                <w:lang w:eastAsia="en-US"/>
              </w:rPr>
            </w:pPr>
            <w:r w:rsidRPr="00622884">
              <w:rPr>
                <w:rFonts w:ascii="Garamond" w:eastAsia="Calibri" w:hAnsi="Garamond" w:cs="Times New Roman"/>
                <w:b/>
                <w:color w:val="1D3C5A"/>
                <w:sz w:val="12"/>
                <w:szCs w:val="12"/>
                <w:lang w:eastAsia="en-US" w:bidi="sq-AL"/>
              </w:rPr>
              <w:t>2025</w:t>
            </w:r>
          </w:p>
        </w:tc>
        <w:tc>
          <w:tcPr>
            <w:tcW w:w="0" w:type="pct"/>
            <w:vAlign w:val="center"/>
          </w:tcPr>
          <w:p w14:paraId="05A37610" w14:textId="77777777" w:rsidR="00622884" w:rsidRPr="00622884" w:rsidRDefault="00622884" w:rsidP="00622884">
            <w:pPr>
              <w:spacing w:after="0" w:line="240" w:lineRule="auto"/>
              <w:jc w:val="left"/>
              <w:rPr>
                <w:rFonts w:ascii="Garamond" w:eastAsia="Calibri" w:hAnsi="Garamond" w:cs="Calibri Light"/>
                <w:color w:val="1D3C5A"/>
                <w:sz w:val="12"/>
                <w:szCs w:val="12"/>
                <w:highlight w:val="yellow"/>
                <w:lang w:eastAsia="en-US"/>
              </w:rPr>
            </w:pPr>
            <w:r w:rsidRPr="00622884">
              <w:rPr>
                <w:rFonts w:ascii="Garamond" w:eastAsia="Calibri" w:hAnsi="Garamond" w:cs="Times New Roman"/>
                <w:color w:val="1D3C5A"/>
                <w:sz w:val="12"/>
                <w:szCs w:val="12"/>
                <w:lang w:eastAsia="en-US" w:bidi="sq-AL"/>
              </w:rPr>
              <w:t>Vendos kuadrin ligjor për zbutjen e shkarkimeve të gazeve serrë, përshtatjen ndaj ndikimeve të klimës, integrimin e politikave klimatike në të gjitha sektorët dhe përafrimin me detyrimet klimatike të BE-së dhe ato ndërkombëtare.</w:t>
            </w:r>
          </w:p>
        </w:tc>
      </w:tr>
      <w:tr w:rsidR="00622884" w:rsidRPr="00622884" w14:paraId="2D3D6580" w14:textId="77777777" w:rsidTr="00622884">
        <w:trPr>
          <w:trHeight w:val="680"/>
          <w:jc w:val="center"/>
        </w:trPr>
        <w:tc>
          <w:tcPr>
            <w:tcW w:w="1197" w:type="pct"/>
            <w:tcBorders>
              <w:top w:val="single" w:sz="4" w:space="0" w:color="7F7F7F"/>
              <w:bottom w:val="single" w:sz="4" w:space="0" w:color="7F7F7F"/>
            </w:tcBorders>
            <w:shd w:val="clear" w:color="auto" w:fill="E0F4F4"/>
            <w:noWrap/>
            <w:vAlign w:val="center"/>
          </w:tcPr>
          <w:p w14:paraId="511ED64E" w14:textId="77777777" w:rsidR="00622884" w:rsidRPr="00622884" w:rsidRDefault="00622884" w:rsidP="00622884">
            <w:pPr>
              <w:spacing w:after="0" w:line="240" w:lineRule="auto"/>
              <w:jc w:val="left"/>
              <w:rPr>
                <w:rFonts w:ascii="Garamond" w:eastAsia="Calibri" w:hAnsi="Garamond" w:cs="Calibri Light"/>
                <w:b/>
                <w:bCs/>
                <w:color w:val="1D3C5A"/>
                <w:sz w:val="12"/>
                <w:szCs w:val="12"/>
                <w:lang w:eastAsia="en-US"/>
              </w:rPr>
            </w:pPr>
            <w:r w:rsidRPr="00622884">
              <w:rPr>
                <w:rFonts w:ascii="Garamond" w:eastAsia="Calibri" w:hAnsi="Garamond" w:cs="Times New Roman"/>
                <w:b/>
                <w:bCs/>
                <w:color w:val="1D3C5A"/>
                <w:sz w:val="12"/>
                <w:szCs w:val="12"/>
                <w:lang w:eastAsia="en-US" w:bidi="sq-AL"/>
              </w:rPr>
              <w:t>Ligji nr. 9817, “Për bujqësinë dhe zhvillimin rural”</w:t>
            </w:r>
          </w:p>
        </w:tc>
        <w:tc>
          <w:tcPr>
            <w:tcW w:w="446" w:type="pct"/>
            <w:tcBorders>
              <w:top w:val="single" w:sz="4" w:space="0" w:color="7F7F7F"/>
              <w:bottom w:val="single" w:sz="4" w:space="0" w:color="7F7F7F"/>
            </w:tcBorders>
            <w:shd w:val="clear" w:color="auto" w:fill="E0F4F4"/>
            <w:vAlign w:val="center"/>
          </w:tcPr>
          <w:p w14:paraId="27105DE8" w14:textId="77777777" w:rsidR="00622884" w:rsidRPr="00622884" w:rsidRDefault="00622884" w:rsidP="00622884">
            <w:pPr>
              <w:spacing w:after="0" w:line="240" w:lineRule="auto"/>
              <w:jc w:val="center"/>
              <w:rPr>
                <w:rFonts w:ascii="Garamond" w:eastAsia="Calibri" w:hAnsi="Garamond" w:cs="Calibri Light"/>
                <w:b/>
                <w:bCs/>
                <w:color w:val="1D3C5A"/>
                <w:sz w:val="12"/>
                <w:szCs w:val="12"/>
                <w:lang w:eastAsia="en-US"/>
              </w:rPr>
            </w:pPr>
            <w:r w:rsidRPr="00622884">
              <w:rPr>
                <w:rFonts w:ascii="Garamond" w:eastAsia="Calibri" w:hAnsi="Garamond" w:cs="Times New Roman"/>
                <w:b/>
                <w:color w:val="1D3C5A"/>
                <w:sz w:val="12"/>
                <w:szCs w:val="12"/>
                <w:lang w:eastAsia="en-US" w:bidi="sq-AL"/>
              </w:rPr>
              <w:t>2007</w:t>
            </w:r>
          </w:p>
        </w:tc>
        <w:tc>
          <w:tcPr>
            <w:tcW w:w="3357" w:type="pct"/>
            <w:tcBorders>
              <w:top w:val="single" w:sz="4" w:space="0" w:color="7F7F7F"/>
              <w:bottom w:val="single" w:sz="4" w:space="0" w:color="7F7F7F"/>
            </w:tcBorders>
            <w:shd w:val="clear" w:color="auto" w:fill="E0F4F4"/>
            <w:vAlign w:val="center"/>
          </w:tcPr>
          <w:p w14:paraId="39EF5284" w14:textId="77777777" w:rsidR="00622884" w:rsidRPr="00622884" w:rsidRDefault="00622884" w:rsidP="00622884">
            <w:pPr>
              <w:spacing w:after="0" w:line="240" w:lineRule="auto"/>
              <w:jc w:val="left"/>
              <w:rPr>
                <w:rFonts w:ascii="Garamond" w:eastAsia="Calibri" w:hAnsi="Garamond" w:cs="Calibri Light"/>
                <w:color w:val="1D3C5A"/>
                <w:sz w:val="12"/>
                <w:szCs w:val="12"/>
                <w:highlight w:val="yellow"/>
                <w:lang w:eastAsia="en-US"/>
              </w:rPr>
            </w:pPr>
            <w:r w:rsidRPr="00622884">
              <w:rPr>
                <w:rFonts w:ascii="Garamond" w:eastAsia="Calibri" w:hAnsi="Garamond" w:cs="Times New Roman"/>
                <w:color w:val="1D3C5A"/>
                <w:sz w:val="12"/>
                <w:szCs w:val="12"/>
                <w:lang w:eastAsia="en-US" w:bidi="sq-AL"/>
              </w:rPr>
              <w:t>Nxit bujqësinë e qëndrueshme, zhvillimin ekonomik rural, sigurinë ushqimore, ruajtjen e burimeve natyrore dhe përafrimin me politikat e BE-së për të rritur konkurrueshmërinë dhe qëndrueshmërinë mjedisore në zonat rurale.</w:t>
            </w:r>
          </w:p>
        </w:tc>
      </w:tr>
    </w:tbl>
    <w:p w14:paraId="276BA748" w14:textId="77777777" w:rsidR="00622884" w:rsidRPr="00622884" w:rsidRDefault="00622884" w:rsidP="00622884">
      <w:pPr>
        <w:tabs>
          <w:tab w:val="left" w:pos="5325"/>
        </w:tabs>
        <w:spacing w:after="0" w:line="240" w:lineRule="auto"/>
        <w:ind w:firstLine="284"/>
        <w:rPr>
          <w:rFonts w:ascii="Garamond" w:eastAsia="Calibri" w:hAnsi="Garamond" w:cs="Times New Roman"/>
          <w:sz w:val="12"/>
          <w:szCs w:val="12"/>
          <w:lang w:eastAsia="en-US"/>
        </w:rPr>
      </w:pPr>
    </w:p>
    <w:p w14:paraId="67FD4F71" w14:textId="77777777" w:rsidR="00622884" w:rsidRPr="00622884" w:rsidRDefault="00622884" w:rsidP="00622884">
      <w:pPr>
        <w:tabs>
          <w:tab w:val="left" w:pos="5325"/>
        </w:tabs>
        <w:spacing w:after="0" w:line="240" w:lineRule="auto"/>
        <w:ind w:firstLine="284"/>
        <w:rPr>
          <w:rFonts w:ascii="Garamond" w:eastAsia="Calibri" w:hAnsi="Garamond" w:cs="Times New Roman"/>
          <w:b/>
          <w:sz w:val="20"/>
          <w:szCs w:val="20"/>
          <w:lang w:eastAsia="en-US"/>
        </w:rPr>
      </w:pPr>
      <w:r w:rsidRPr="00622884">
        <w:rPr>
          <w:rFonts w:ascii="Garamond" w:eastAsia="Calibri" w:hAnsi="Garamond" w:cs="Times New Roman"/>
          <w:b/>
          <w:sz w:val="20"/>
          <w:szCs w:val="20"/>
          <w:lang w:eastAsia="en-US"/>
        </w:rPr>
        <w:t>Tabela 24: Kuadri i politikave.</w:t>
      </w:r>
    </w:p>
    <w:tbl>
      <w:tblPr>
        <w:tblW w:w="5783" w:type="pct"/>
        <w:tblInd w:w="-709" w:type="dxa"/>
        <w:tblBorders>
          <w:top w:val="single" w:sz="12" w:space="0" w:color="FFFFFF"/>
          <w:bottom w:val="single" w:sz="12" w:space="0" w:color="FFFFFF"/>
          <w:insideH w:val="single" w:sz="12" w:space="0" w:color="FFFFFF"/>
        </w:tblBorders>
        <w:tblLayout w:type="fixed"/>
        <w:tblLook w:val="04A0" w:firstRow="1" w:lastRow="0" w:firstColumn="1" w:lastColumn="0" w:noHBand="0" w:noVBand="1"/>
      </w:tblPr>
      <w:tblGrid>
        <w:gridCol w:w="3581"/>
        <w:gridCol w:w="3580"/>
        <w:gridCol w:w="3580"/>
      </w:tblGrid>
      <w:tr w:rsidR="00622884" w:rsidRPr="00622884" w14:paraId="6012520A" w14:textId="77777777" w:rsidTr="00622884">
        <w:trPr>
          <w:trHeight w:val="283"/>
          <w:tblHeader/>
        </w:trPr>
        <w:tc>
          <w:tcPr>
            <w:tcW w:w="0" w:type="pct"/>
            <w:tcBorders>
              <w:bottom w:val="single" w:sz="4" w:space="0" w:color="7F7F7F"/>
            </w:tcBorders>
            <w:shd w:val="clear" w:color="auto" w:fill="215A5C"/>
            <w:noWrap/>
            <w:vAlign w:val="center"/>
            <w:hideMark/>
          </w:tcPr>
          <w:p w14:paraId="7BDD9D87" w14:textId="77777777" w:rsidR="00622884" w:rsidRPr="00622884" w:rsidRDefault="00622884" w:rsidP="00622884">
            <w:pPr>
              <w:spacing w:after="0" w:line="240" w:lineRule="auto"/>
              <w:jc w:val="center"/>
              <w:rPr>
                <w:rFonts w:ascii="Garamond" w:eastAsia="Calibri" w:hAnsi="Garamond" w:cs="Calibri Light"/>
                <w:b/>
                <w:bCs/>
                <w:color w:val="FFFFFF"/>
                <w:sz w:val="12"/>
                <w:szCs w:val="12"/>
                <w:lang w:eastAsia="en-US"/>
              </w:rPr>
            </w:pPr>
            <w:r w:rsidRPr="00622884">
              <w:rPr>
                <w:rFonts w:ascii="Garamond" w:eastAsia="Calibri" w:hAnsi="Garamond" w:cs="Times New Roman"/>
                <w:b/>
                <w:bCs/>
                <w:color w:val="FFFFFF"/>
                <w:sz w:val="12"/>
                <w:szCs w:val="12"/>
                <w:lang w:eastAsia="en-US" w:bidi="sq-AL"/>
              </w:rPr>
              <w:t>Politikat dhe planet</w:t>
            </w:r>
          </w:p>
        </w:tc>
        <w:tc>
          <w:tcPr>
            <w:tcW w:w="0" w:type="pct"/>
            <w:tcBorders>
              <w:bottom w:val="single" w:sz="4" w:space="0" w:color="7F7F7F"/>
            </w:tcBorders>
            <w:shd w:val="clear" w:color="auto" w:fill="215A5C"/>
            <w:vAlign w:val="center"/>
          </w:tcPr>
          <w:p w14:paraId="7FF1516E" w14:textId="77777777" w:rsidR="00622884" w:rsidRPr="00622884" w:rsidRDefault="00622884" w:rsidP="00622884">
            <w:pPr>
              <w:spacing w:after="0" w:line="240" w:lineRule="auto"/>
              <w:jc w:val="center"/>
              <w:rPr>
                <w:rFonts w:ascii="Garamond" w:eastAsia="Calibri" w:hAnsi="Garamond" w:cs="Calibri Light"/>
                <w:b/>
                <w:bCs/>
                <w:color w:val="FFFFFF"/>
                <w:sz w:val="12"/>
                <w:szCs w:val="12"/>
                <w:lang w:eastAsia="en-US"/>
              </w:rPr>
            </w:pPr>
            <w:r w:rsidRPr="00622884">
              <w:rPr>
                <w:rFonts w:ascii="Garamond" w:eastAsia="Calibri" w:hAnsi="Garamond" w:cs="Times New Roman"/>
                <w:b/>
                <w:bCs/>
                <w:color w:val="FFFFFF"/>
                <w:sz w:val="12"/>
                <w:szCs w:val="12"/>
                <w:lang w:eastAsia="en-US" w:bidi="sq-AL"/>
              </w:rPr>
              <w:t>Viti</w:t>
            </w:r>
          </w:p>
        </w:tc>
        <w:tc>
          <w:tcPr>
            <w:tcW w:w="0" w:type="pct"/>
            <w:tcBorders>
              <w:bottom w:val="single" w:sz="4" w:space="0" w:color="7F7F7F"/>
            </w:tcBorders>
            <w:shd w:val="clear" w:color="auto" w:fill="215A5C"/>
            <w:vAlign w:val="center"/>
          </w:tcPr>
          <w:p w14:paraId="67CDDFDF" w14:textId="77777777" w:rsidR="00622884" w:rsidRPr="00622884" w:rsidRDefault="00622884" w:rsidP="00622884">
            <w:pPr>
              <w:spacing w:after="0" w:line="240" w:lineRule="auto"/>
              <w:jc w:val="center"/>
              <w:rPr>
                <w:rFonts w:ascii="Garamond" w:eastAsia="Calibri" w:hAnsi="Garamond" w:cs="Calibri Light"/>
                <w:b/>
                <w:bCs/>
                <w:color w:val="FFFFFF"/>
                <w:sz w:val="12"/>
                <w:szCs w:val="12"/>
                <w:lang w:eastAsia="en-US"/>
              </w:rPr>
            </w:pPr>
            <w:r w:rsidRPr="00622884">
              <w:rPr>
                <w:rFonts w:ascii="Garamond" w:eastAsia="Calibri" w:hAnsi="Garamond" w:cs="Times New Roman"/>
                <w:b/>
                <w:bCs/>
                <w:color w:val="FFFFFF"/>
                <w:sz w:val="12"/>
                <w:szCs w:val="12"/>
                <w:lang w:eastAsia="en-US" w:bidi="sq-AL"/>
              </w:rPr>
              <w:t>Përmbledhje</w:t>
            </w:r>
          </w:p>
        </w:tc>
      </w:tr>
      <w:tr w:rsidR="00622884" w:rsidRPr="00622884" w14:paraId="47DC17DC" w14:textId="77777777" w:rsidTr="00622884">
        <w:trPr>
          <w:trHeight w:val="680"/>
        </w:trPr>
        <w:tc>
          <w:tcPr>
            <w:tcW w:w="0" w:type="pct"/>
            <w:tcBorders>
              <w:top w:val="single" w:sz="4" w:space="0" w:color="7F7F7F"/>
              <w:bottom w:val="single" w:sz="4" w:space="0" w:color="7F7F7F"/>
            </w:tcBorders>
            <w:shd w:val="clear" w:color="auto" w:fill="E0F4F4"/>
            <w:noWrap/>
            <w:vAlign w:val="center"/>
            <w:hideMark/>
          </w:tcPr>
          <w:p w14:paraId="39E23648" w14:textId="77777777" w:rsidR="00622884" w:rsidRPr="00622884" w:rsidRDefault="00622884" w:rsidP="00622884">
            <w:pPr>
              <w:spacing w:after="0" w:line="240" w:lineRule="auto"/>
              <w:jc w:val="left"/>
              <w:rPr>
                <w:rFonts w:ascii="Garamond" w:eastAsia="Calibri" w:hAnsi="Garamond" w:cs="Calibri Light"/>
                <w:b/>
                <w:bCs/>
                <w:color w:val="1D3C5A"/>
                <w:sz w:val="12"/>
                <w:szCs w:val="12"/>
                <w:highlight w:val="yellow"/>
                <w:lang w:eastAsia="en-US"/>
              </w:rPr>
            </w:pPr>
            <w:r w:rsidRPr="00622884">
              <w:rPr>
                <w:rFonts w:ascii="Garamond" w:eastAsia="Calibri" w:hAnsi="Garamond" w:cs="Times New Roman"/>
                <w:b/>
                <w:bCs/>
                <w:color w:val="1D3C5A"/>
                <w:sz w:val="12"/>
                <w:szCs w:val="12"/>
                <w:lang w:eastAsia="en-US" w:bidi="sq-AL"/>
              </w:rPr>
              <w:t>Strategjia për Bujqësinë, Zhvillimin Rural dhe Peshkimin 2021–2027</w:t>
            </w:r>
          </w:p>
        </w:tc>
        <w:tc>
          <w:tcPr>
            <w:tcW w:w="0" w:type="pct"/>
            <w:tcBorders>
              <w:top w:val="single" w:sz="4" w:space="0" w:color="7F7F7F"/>
              <w:bottom w:val="single" w:sz="4" w:space="0" w:color="7F7F7F"/>
            </w:tcBorders>
            <w:shd w:val="clear" w:color="auto" w:fill="E0F4F4"/>
            <w:vAlign w:val="center"/>
          </w:tcPr>
          <w:p w14:paraId="36492A2B" w14:textId="77777777" w:rsidR="00622884" w:rsidRPr="00622884" w:rsidRDefault="00622884" w:rsidP="00622884">
            <w:pPr>
              <w:spacing w:after="0" w:line="240" w:lineRule="auto"/>
              <w:jc w:val="center"/>
              <w:rPr>
                <w:rFonts w:ascii="Garamond" w:eastAsia="Calibri" w:hAnsi="Garamond" w:cs="Calibri Light"/>
                <w:b/>
                <w:bCs/>
                <w:color w:val="1D3C5A"/>
                <w:sz w:val="12"/>
                <w:szCs w:val="12"/>
                <w:highlight w:val="yellow"/>
                <w:lang w:eastAsia="en-US"/>
              </w:rPr>
            </w:pPr>
            <w:r w:rsidRPr="00622884">
              <w:rPr>
                <w:rFonts w:ascii="Garamond" w:eastAsia="Calibri" w:hAnsi="Garamond" w:cs="Times New Roman"/>
                <w:b/>
                <w:color w:val="1D3C5A"/>
                <w:sz w:val="12"/>
                <w:szCs w:val="12"/>
                <w:lang w:eastAsia="en-US" w:bidi="sq-AL"/>
              </w:rPr>
              <w:t>2022</w:t>
            </w:r>
          </w:p>
        </w:tc>
        <w:tc>
          <w:tcPr>
            <w:tcW w:w="0" w:type="pct"/>
            <w:tcBorders>
              <w:top w:val="single" w:sz="4" w:space="0" w:color="7F7F7F"/>
              <w:bottom w:val="single" w:sz="4" w:space="0" w:color="7F7F7F"/>
            </w:tcBorders>
            <w:shd w:val="clear" w:color="auto" w:fill="E0F4F4"/>
            <w:vAlign w:val="center"/>
          </w:tcPr>
          <w:p w14:paraId="2FE38E6F" w14:textId="77777777" w:rsidR="00622884" w:rsidRPr="00622884" w:rsidRDefault="00622884" w:rsidP="00622884">
            <w:pPr>
              <w:spacing w:after="0" w:line="240" w:lineRule="auto"/>
              <w:jc w:val="left"/>
              <w:rPr>
                <w:rFonts w:ascii="Garamond" w:eastAsia="Calibri" w:hAnsi="Garamond" w:cs="Calibri Light"/>
                <w:color w:val="1D3C5A"/>
                <w:sz w:val="12"/>
                <w:szCs w:val="12"/>
                <w:highlight w:val="yellow"/>
                <w:lang w:eastAsia="en-US"/>
              </w:rPr>
            </w:pPr>
            <w:r w:rsidRPr="00622884">
              <w:rPr>
                <w:rFonts w:ascii="Garamond" w:eastAsia="Calibri" w:hAnsi="Garamond" w:cs="Times New Roman"/>
                <w:color w:val="1D3C5A"/>
                <w:sz w:val="12"/>
                <w:szCs w:val="12"/>
                <w:lang w:eastAsia="en-US" w:bidi="sq-AL"/>
              </w:rPr>
              <w:t>Nxit menaxhimin e qëndrueshëm të burimeve, përshtatjen ndaj ndryshimeve klimatike, agropylltarinë, bujqësinë organike dhe qëndrueshmërinë e peshkimit, duke përmirësuar ekonomitë rurale, sigurinë ushqimore dhe përputhjen me politikat mjedisore të BE-së.</w:t>
            </w:r>
          </w:p>
        </w:tc>
      </w:tr>
      <w:tr w:rsidR="00622884" w:rsidRPr="00622884" w14:paraId="184DF909" w14:textId="77777777" w:rsidTr="00622884">
        <w:trPr>
          <w:trHeight w:val="680"/>
        </w:trPr>
        <w:tc>
          <w:tcPr>
            <w:tcW w:w="0" w:type="pct"/>
            <w:noWrap/>
            <w:vAlign w:val="center"/>
            <w:hideMark/>
          </w:tcPr>
          <w:p w14:paraId="618C1D19" w14:textId="77777777" w:rsidR="00622884" w:rsidRPr="00622884" w:rsidRDefault="00622884" w:rsidP="00622884">
            <w:pPr>
              <w:spacing w:after="0" w:line="240" w:lineRule="auto"/>
              <w:jc w:val="left"/>
              <w:rPr>
                <w:rFonts w:ascii="Garamond" w:eastAsia="Calibri" w:hAnsi="Garamond" w:cs="Calibri Light"/>
                <w:b/>
                <w:bCs/>
                <w:color w:val="1D3C5A"/>
                <w:sz w:val="12"/>
                <w:szCs w:val="12"/>
                <w:lang w:eastAsia="en-US"/>
              </w:rPr>
            </w:pPr>
            <w:r w:rsidRPr="00622884">
              <w:rPr>
                <w:rFonts w:ascii="Garamond" w:eastAsia="Calibri" w:hAnsi="Garamond" w:cs="Times New Roman"/>
                <w:b/>
                <w:bCs/>
                <w:color w:val="1D3C5A"/>
                <w:sz w:val="12"/>
                <w:szCs w:val="12"/>
                <w:lang w:eastAsia="en-US" w:bidi="sq-AL"/>
              </w:rPr>
              <w:t>Dokumenti i Politikës Pyjore 2030</w:t>
            </w:r>
          </w:p>
        </w:tc>
        <w:tc>
          <w:tcPr>
            <w:tcW w:w="0" w:type="pct"/>
            <w:vAlign w:val="center"/>
          </w:tcPr>
          <w:p w14:paraId="5745418A" w14:textId="77777777" w:rsidR="00622884" w:rsidRPr="00622884" w:rsidRDefault="00622884" w:rsidP="00622884">
            <w:pPr>
              <w:spacing w:after="0" w:line="240" w:lineRule="auto"/>
              <w:jc w:val="center"/>
              <w:rPr>
                <w:rFonts w:ascii="Garamond" w:eastAsia="Calibri" w:hAnsi="Garamond" w:cs="Calibri Light"/>
                <w:b/>
                <w:bCs/>
                <w:color w:val="1D3C5A"/>
                <w:sz w:val="12"/>
                <w:szCs w:val="12"/>
                <w:highlight w:val="yellow"/>
                <w:lang w:eastAsia="en-US"/>
              </w:rPr>
            </w:pPr>
            <w:r w:rsidRPr="00622884">
              <w:rPr>
                <w:rFonts w:ascii="Garamond" w:eastAsia="Calibri" w:hAnsi="Garamond" w:cs="Times New Roman"/>
                <w:b/>
                <w:color w:val="1D3C5A"/>
                <w:sz w:val="12"/>
                <w:szCs w:val="12"/>
                <w:lang w:eastAsia="en-US" w:bidi="sq-AL"/>
              </w:rPr>
              <w:t>2018</w:t>
            </w:r>
          </w:p>
        </w:tc>
        <w:tc>
          <w:tcPr>
            <w:tcW w:w="0" w:type="pct"/>
            <w:vAlign w:val="center"/>
          </w:tcPr>
          <w:p w14:paraId="16F035D5" w14:textId="77777777" w:rsidR="00622884" w:rsidRPr="00622884" w:rsidRDefault="00622884" w:rsidP="00622884">
            <w:pPr>
              <w:spacing w:after="0" w:line="240" w:lineRule="auto"/>
              <w:jc w:val="left"/>
              <w:rPr>
                <w:rFonts w:ascii="Garamond" w:eastAsia="Calibri" w:hAnsi="Garamond" w:cs="Calibri Light"/>
                <w:color w:val="1D3C5A"/>
                <w:sz w:val="12"/>
                <w:szCs w:val="12"/>
                <w:highlight w:val="yellow"/>
                <w:lang w:eastAsia="en-US"/>
              </w:rPr>
            </w:pPr>
            <w:r w:rsidRPr="00622884">
              <w:rPr>
                <w:rFonts w:ascii="Garamond" w:eastAsia="Calibri" w:hAnsi="Garamond" w:cs="Times New Roman"/>
                <w:color w:val="1D3C5A"/>
                <w:sz w:val="12"/>
                <w:szCs w:val="12"/>
                <w:lang w:eastAsia="en-US" w:bidi="sq-AL"/>
              </w:rPr>
              <w:t>Përqendrohet në menaxhimin e qëndrueshëm të pyjeve, pyllëzimin, përmirësimin e qeverisjes, qëndrueshmërinë ndaj klimës dhe ruajtjen e biodiversitetit, duke nxitur përfshirjen e komunitetit dhe të jetë në përputhje me politikat mjedisore dhe klimatike të BE-së.</w:t>
            </w:r>
          </w:p>
        </w:tc>
      </w:tr>
      <w:tr w:rsidR="00622884" w:rsidRPr="00622884" w14:paraId="70F3F08C" w14:textId="77777777" w:rsidTr="00622884">
        <w:trPr>
          <w:trHeight w:val="680"/>
        </w:trPr>
        <w:tc>
          <w:tcPr>
            <w:tcW w:w="0" w:type="pct"/>
            <w:tcBorders>
              <w:top w:val="single" w:sz="4" w:space="0" w:color="7F7F7F"/>
              <w:bottom w:val="single" w:sz="4" w:space="0" w:color="7F7F7F"/>
            </w:tcBorders>
            <w:shd w:val="clear" w:color="auto" w:fill="E0F4F4"/>
            <w:noWrap/>
            <w:vAlign w:val="center"/>
          </w:tcPr>
          <w:p w14:paraId="02577AC8" w14:textId="77777777" w:rsidR="00622884" w:rsidRPr="00622884" w:rsidRDefault="00622884" w:rsidP="00622884">
            <w:pPr>
              <w:spacing w:after="0" w:line="240" w:lineRule="auto"/>
              <w:jc w:val="left"/>
              <w:rPr>
                <w:rFonts w:ascii="Garamond" w:eastAsia="Calibri" w:hAnsi="Garamond" w:cs="Calibri Light"/>
                <w:b/>
                <w:bCs/>
                <w:color w:val="1D3C5A"/>
                <w:sz w:val="12"/>
                <w:szCs w:val="12"/>
                <w:lang w:eastAsia="en-US"/>
              </w:rPr>
            </w:pPr>
            <w:r w:rsidRPr="00622884">
              <w:rPr>
                <w:rFonts w:ascii="Garamond" w:eastAsia="Calibri" w:hAnsi="Garamond" w:cs="Times New Roman"/>
                <w:b/>
                <w:bCs/>
                <w:color w:val="1D3C5A"/>
                <w:sz w:val="12"/>
                <w:szCs w:val="12"/>
                <w:lang w:eastAsia="en-US" w:bidi="sq-AL"/>
              </w:rPr>
              <w:t>Plani Kombëtar për Energjinë dhe Klimën (PKEP)</w:t>
            </w:r>
          </w:p>
        </w:tc>
        <w:tc>
          <w:tcPr>
            <w:tcW w:w="0" w:type="pct"/>
            <w:tcBorders>
              <w:top w:val="single" w:sz="4" w:space="0" w:color="7F7F7F"/>
              <w:bottom w:val="single" w:sz="4" w:space="0" w:color="7F7F7F"/>
            </w:tcBorders>
            <w:shd w:val="clear" w:color="auto" w:fill="E0F4F4"/>
            <w:vAlign w:val="center"/>
          </w:tcPr>
          <w:p w14:paraId="710DFA15" w14:textId="77777777" w:rsidR="00622884" w:rsidRPr="00622884" w:rsidRDefault="00622884" w:rsidP="00622884">
            <w:pPr>
              <w:spacing w:after="0" w:line="240" w:lineRule="auto"/>
              <w:jc w:val="center"/>
              <w:rPr>
                <w:rFonts w:ascii="Garamond" w:eastAsia="Calibri" w:hAnsi="Garamond" w:cs="Calibri Light"/>
                <w:b/>
                <w:bCs/>
                <w:color w:val="1D3C5A"/>
                <w:sz w:val="12"/>
                <w:szCs w:val="12"/>
                <w:lang w:eastAsia="en-US"/>
              </w:rPr>
            </w:pPr>
            <w:r w:rsidRPr="00622884">
              <w:rPr>
                <w:rFonts w:ascii="Garamond" w:eastAsia="Calibri" w:hAnsi="Garamond" w:cs="Times New Roman"/>
                <w:b/>
                <w:color w:val="1D3C5A"/>
                <w:sz w:val="12"/>
                <w:szCs w:val="12"/>
                <w:lang w:eastAsia="en-US" w:bidi="sq-AL"/>
              </w:rPr>
              <w:t>2024</w:t>
            </w:r>
          </w:p>
        </w:tc>
        <w:tc>
          <w:tcPr>
            <w:tcW w:w="0" w:type="pct"/>
            <w:tcBorders>
              <w:top w:val="single" w:sz="4" w:space="0" w:color="7F7F7F"/>
              <w:bottom w:val="single" w:sz="4" w:space="0" w:color="7F7F7F"/>
            </w:tcBorders>
            <w:shd w:val="clear" w:color="auto" w:fill="E0F4F4"/>
            <w:vAlign w:val="center"/>
          </w:tcPr>
          <w:p w14:paraId="403FF702" w14:textId="77777777" w:rsidR="00622884" w:rsidRPr="00622884" w:rsidRDefault="00622884" w:rsidP="00622884">
            <w:pPr>
              <w:spacing w:after="0" w:line="240" w:lineRule="auto"/>
              <w:jc w:val="left"/>
              <w:rPr>
                <w:rFonts w:ascii="Garamond" w:eastAsia="Calibri" w:hAnsi="Garamond" w:cs="Calibri Light"/>
                <w:color w:val="1D3C5A"/>
                <w:sz w:val="12"/>
                <w:szCs w:val="12"/>
                <w:lang w:eastAsia="en-US"/>
              </w:rPr>
            </w:pPr>
            <w:r w:rsidRPr="00622884">
              <w:rPr>
                <w:rFonts w:ascii="Garamond" w:eastAsia="Calibri" w:hAnsi="Garamond" w:cs="Times New Roman"/>
                <w:color w:val="1D3C5A"/>
                <w:sz w:val="12"/>
                <w:szCs w:val="12"/>
                <w:lang w:eastAsia="en-US" w:bidi="sq-AL"/>
              </w:rPr>
              <w:t>Synon të reduktojë shkarkimet, të përmirësojë eficiencën e energjisë, të integrojë energjitë e rinovueshme dhe të jetë në përputhje me politikat klimatike të BE-së, duke siguruar një sistem energjetik të diversifikuar, të qëndrueshëm dhe me aftësi ripërtëritëse deri në vitin 2030.</w:t>
            </w:r>
          </w:p>
        </w:tc>
      </w:tr>
      <w:tr w:rsidR="00622884" w:rsidRPr="00622884" w14:paraId="1405E2A9" w14:textId="77777777" w:rsidTr="00622884">
        <w:trPr>
          <w:trHeight w:val="680"/>
        </w:trPr>
        <w:tc>
          <w:tcPr>
            <w:tcW w:w="0" w:type="pct"/>
            <w:noWrap/>
            <w:vAlign w:val="center"/>
          </w:tcPr>
          <w:p w14:paraId="59602F7B" w14:textId="77777777" w:rsidR="00622884" w:rsidRPr="00622884" w:rsidRDefault="00622884" w:rsidP="00622884">
            <w:pPr>
              <w:spacing w:after="0" w:line="240" w:lineRule="auto"/>
              <w:jc w:val="left"/>
              <w:rPr>
                <w:rFonts w:ascii="Garamond" w:eastAsia="Calibri" w:hAnsi="Garamond" w:cs="Calibri Light"/>
                <w:b/>
                <w:bCs/>
                <w:color w:val="1D3C5A"/>
                <w:sz w:val="12"/>
                <w:szCs w:val="12"/>
                <w:lang w:eastAsia="en-US"/>
              </w:rPr>
            </w:pPr>
            <w:r w:rsidRPr="00622884">
              <w:rPr>
                <w:rFonts w:ascii="Garamond" w:eastAsia="Calibri" w:hAnsi="Garamond" w:cs="Times New Roman"/>
                <w:b/>
                <w:bCs/>
                <w:color w:val="1D3C5A"/>
                <w:sz w:val="12"/>
                <w:szCs w:val="12"/>
                <w:lang w:eastAsia="en-US" w:bidi="sq-AL"/>
              </w:rPr>
              <w:t>Strategjia Kombëtare për Ndryshimet Klimatike</w:t>
            </w:r>
          </w:p>
        </w:tc>
        <w:tc>
          <w:tcPr>
            <w:tcW w:w="0" w:type="pct"/>
            <w:vAlign w:val="center"/>
          </w:tcPr>
          <w:p w14:paraId="5A0A6F01" w14:textId="77777777" w:rsidR="00622884" w:rsidRPr="00622884" w:rsidRDefault="00622884" w:rsidP="00622884">
            <w:pPr>
              <w:spacing w:after="0" w:line="240" w:lineRule="auto"/>
              <w:jc w:val="center"/>
              <w:rPr>
                <w:rFonts w:ascii="Garamond" w:eastAsia="Calibri" w:hAnsi="Garamond" w:cs="Calibri Light"/>
                <w:b/>
                <w:bCs/>
                <w:color w:val="1D3C5A"/>
                <w:sz w:val="12"/>
                <w:szCs w:val="12"/>
                <w:lang w:eastAsia="en-US"/>
              </w:rPr>
            </w:pPr>
            <w:r w:rsidRPr="00622884">
              <w:rPr>
                <w:rFonts w:ascii="Garamond" w:eastAsia="Calibri" w:hAnsi="Garamond" w:cs="Times New Roman"/>
                <w:b/>
                <w:color w:val="1D3C5A"/>
                <w:sz w:val="12"/>
                <w:szCs w:val="12"/>
                <w:lang w:eastAsia="en-US" w:bidi="sq-AL"/>
              </w:rPr>
              <w:t>2019</w:t>
            </w:r>
          </w:p>
        </w:tc>
        <w:tc>
          <w:tcPr>
            <w:tcW w:w="0" w:type="pct"/>
            <w:vAlign w:val="center"/>
          </w:tcPr>
          <w:p w14:paraId="5D5153BA" w14:textId="77777777" w:rsidR="00622884" w:rsidRPr="00622884" w:rsidRDefault="00622884" w:rsidP="00622884">
            <w:pPr>
              <w:spacing w:after="0" w:line="240" w:lineRule="auto"/>
              <w:jc w:val="left"/>
              <w:rPr>
                <w:rFonts w:ascii="Garamond" w:eastAsia="Calibri" w:hAnsi="Garamond" w:cs="Calibri Light"/>
                <w:color w:val="1D3C5A"/>
                <w:sz w:val="12"/>
                <w:szCs w:val="12"/>
                <w:highlight w:val="yellow"/>
                <w:lang w:eastAsia="en-US"/>
              </w:rPr>
            </w:pPr>
            <w:r w:rsidRPr="00622884">
              <w:rPr>
                <w:rFonts w:ascii="Garamond" w:eastAsia="Calibri" w:hAnsi="Garamond" w:cs="Times New Roman"/>
                <w:color w:val="1D3C5A"/>
                <w:sz w:val="12"/>
                <w:szCs w:val="12"/>
                <w:lang w:eastAsia="en-US" w:bidi="sq-AL"/>
              </w:rPr>
              <w:t xml:space="preserve">Përshkruan masat zbutëse dhe të përshtatjes në të gjithë sektorët, duke synuar reduktimin e </w:t>
            </w:r>
            <w:r w:rsidRPr="00622884">
              <w:rPr>
                <w:rFonts w:ascii="Garamond" w:eastAsia="Calibri" w:hAnsi="Garamond" w:cs="Times New Roman"/>
                <w:color w:val="1D3C5A"/>
                <w:sz w:val="12"/>
                <w:szCs w:val="12"/>
                <w:highlight w:val="yellow"/>
                <w:lang w:eastAsia="en-US" w:bidi="sq-AL"/>
              </w:rPr>
              <w:t>shkarkimeve</w:t>
            </w:r>
            <w:r w:rsidRPr="00622884">
              <w:rPr>
                <w:rFonts w:ascii="Garamond" w:eastAsia="Calibri" w:hAnsi="Garamond" w:cs="Times New Roman"/>
                <w:color w:val="1D3C5A"/>
                <w:sz w:val="12"/>
                <w:szCs w:val="12"/>
                <w:lang w:eastAsia="en-US" w:bidi="sq-AL"/>
              </w:rPr>
              <w:t>, aftësinë ripërtëritëse ndaj klimës, menaxhimin e qëndrueshëm të burimeve dhe përputhjen me politikat e BE-së për të nxitur një ekonomi me nivel të ulët karboni dhe me aftësi ripërtëritëse ndaj klimës.</w:t>
            </w:r>
          </w:p>
        </w:tc>
      </w:tr>
      <w:tr w:rsidR="00622884" w:rsidRPr="00622884" w14:paraId="36E4007E" w14:textId="77777777" w:rsidTr="00622884">
        <w:trPr>
          <w:trHeight w:val="680"/>
        </w:trPr>
        <w:tc>
          <w:tcPr>
            <w:tcW w:w="0" w:type="pct"/>
            <w:tcBorders>
              <w:top w:val="single" w:sz="4" w:space="0" w:color="7F7F7F"/>
              <w:bottom w:val="single" w:sz="4" w:space="0" w:color="7F7F7F"/>
            </w:tcBorders>
            <w:shd w:val="clear" w:color="auto" w:fill="E0F4F4"/>
            <w:noWrap/>
            <w:vAlign w:val="center"/>
          </w:tcPr>
          <w:p w14:paraId="40D529F0" w14:textId="77777777" w:rsidR="00622884" w:rsidRPr="00622884" w:rsidRDefault="00622884" w:rsidP="00622884">
            <w:pPr>
              <w:spacing w:after="0" w:line="240" w:lineRule="auto"/>
              <w:jc w:val="left"/>
              <w:rPr>
                <w:rFonts w:ascii="Garamond" w:eastAsia="Calibri" w:hAnsi="Garamond" w:cs="Calibri Light"/>
                <w:b/>
                <w:bCs/>
                <w:color w:val="1D3C5A"/>
                <w:sz w:val="12"/>
                <w:szCs w:val="12"/>
                <w:lang w:eastAsia="en-US"/>
              </w:rPr>
            </w:pPr>
            <w:r w:rsidRPr="00622884">
              <w:rPr>
                <w:rFonts w:ascii="Garamond" w:eastAsia="Calibri" w:hAnsi="Garamond" w:cs="Times New Roman"/>
                <w:b/>
                <w:bCs/>
                <w:color w:val="1D3C5A"/>
                <w:sz w:val="12"/>
                <w:szCs w:val="12"/>
                <w:lang w:eastAsia="en-US" w:bidi="sq-AL"/>
              </w:rPr>
              <w:t xml:space="preserve">Plani Kombëtar i Veprimit për Zbutjen (PKVZ) </w:t>
            </w:r>
          </w:p>
        </w:tc>
        <w:tc>
          <w:tcPr>
            <w:tcW w:w="0" w:type="pct"/>
            <w:tcBorders>
              <w:top w:val="single" w:sz="4" w:space="0" w:color="7F7F7F"/>
              <w:bottom w:val="single" w:sz="4" w:space="0" w:color="7F7F7F"/>
            </w:tcBorders>
            <w:shd w:val="clear" w:color="auto" w:fill="E0F4F4"/>
            <w:vAlign w:val="center"/>
          </w:tcPr>
          <w:p w14:paraId="4CB6AD09" w14:textId="77777777" w:rsidR="00622884" w:rsidRPr="00622884" w:rsidRDefault="00622884" w:rsidP="00622884">
            <w:pPr>
              <w:spacing w:after="0" w:line="240" w:lineRule="auto"/>
              <w:jc w:val="center"/>
              <w:rPr>
                <w:rFonts w:ascii="Garamond" w:eastAsia="Calibri" w:hAnsi="Garamond" w:cs="Calibri Light"/>
                <w:b/>
                <w:bCs/>
                <w:color w:val="1D3C5A"/>
                <w:sz w:val="12"/>
                <w:szCs w:val="12"/>
                <w:lang w:eastAsia="en-US"/>
              </w:rPr>
            </w:pPr>
            <w:r w:rsidRPr="00622884">
              <w:rPr>
                <w:rFonts w:ascii="Garamond" w:eastAsia="Calibri" w:hAnsi="Garamond" w:cs="Times New Roman"/>
                <w:b/>
                <w:color w:val="1D3C5A"/>
                <w:sz w:val="12"/>
                <w:szCs w:val="12"/>
                <w:lang w:eastAsia="en-US" w:bidi="sq-AL"/>
              </w:rPr>
              <w:t>2019</w:t>
            </w:r>
          </w:p>
        </w:tc>
        <w:tc>
          <w:tcPr>
            <w:tcW w:w="0" w:type="pct"/>
            <w:tcBorders>
              <w:top w:val="single" w:sz="4" w:space="0" w:color="7F7F7F"/>
              <w:bottom w:val="single" w:sz="4" w:space="0" w:color="7F7F7F"/>
            </w:tcBorders>
            <w:shd w:val="clear" w:color="auto" w:fill="E0F4F4"/>
            <w:vAlign w:val="center"/>
          </w:tcPr>
          <w:p w14:paraId="17190BBD" w14:textId="77777777" w:rsidR="00622884" w:rsidRPr="00622884" w:rsidRDefault="00622884" w:rsidP="00622884">
            <w:pPr>
              <w:spacing w:after="0" w:line="240" w:lineRule="auto"/>
              <w:jc w:val="left"/>
              <w:rPr>
                <w:rFonts w:ascii="Garamond" w:eastAsia="Calibri" w:hAnsi="Garamond" w:cs="Calibri Light"/>
                <w:color w:val="1D3C5A"/>
                <w:sz w:val="12"/>
                <w:szCs w:val="12"/>
                <w:lang w:eastAsia="en-US"/>
              </w:rPr>
            </w:pPr>
            <w:r w:rsidRPr="00622884">
              <w:rPr>
                <w:rFonts w:ascii="Garamond" w:eastAsia="Calibri" w:hAnsi="Garamond" w:cs="Times New Roman"/>
                <w:color w:val="1D3C5A"/>
                <w:sz w:val="12"/>
                <w:szCs w:val="12"/>
                <w:lang w:eastAsia="en-US" w:bidi="sq-AL"/>
              </w:rPr>
              <w:t>Përqendrohet në reduktimin e shkarkimeve të gazrave serrë përmes politikave të qëndrueshme të energjisë, transportit, bujqësisë dhe pylltarisë, në përputhje me objektivat klimatike të BE-së për të mbështetur një ekonomi me aftësi ripërtëritëse dhe me nivel të ulët karboni.</w:t>
            </w:r>
          </w:p>
        </w:tc>
      </w:tr>
      <w:tr w:rsidR="00622884" w:rsidRPr="00622884" w14:paraId="11796C66" w14:textId="77777777" w:rsidTr="00622884">
        <w:trPr>
          <w:trHeight w:val="680"/>
        </w:trPr>
        <w:tc>
          <w:tcPr>
            <w:tcW w:w="0" w:type="pct"/>
            <w:noWrap/>
            <w:vAlign w:val="center"/>
          </w:tcPr>
          <w:p w14:paraId="63F3A967" w14:textId="77777777" w:rsidR="00622884" w:rsidRPr="00622884" w:rsidRDefault="00622884" w:rsidP="00622884">
            <w:pPr>
              <w:spacing w:after="0" w:line="240" w:lineRule="auto"/>
              <w:jc w:val="left"/>
              <w:rPr>
                <w:rFonts w:ascii="Garamond" w:eastAsia="Calibri" w:hAnsi="Garamond" w:cs="Calibri Light"/>
                <w:b/>
                <w:bCs/>
                <w:color w:val="1D3C5A"/>
                <w:sz w:val="12"/>
                <w:szCs w:val="12"/>
                <w:lang w:eastAsia="en-US"/>
              </w:rPr>
            </w:pPr>
            <w:r w:rsidRPr="00622884">
              <w:rPr>
                <w:rFonts w:ascii="Garamond" w:eastAsia="Calibri" w:hAnsi="Garamond" w:cs="Times New Roman"/>
                <w:b/>
                <w:bCs/>
                <w:color w:val="1D3C5A"/>
                <w:sz w:val="12"/>
                <w:szCs w:val="12"/>
                <w:lang w:eastAsia="en-US" w:bidi="sq-AL"/>
              </w:rPr>
              <w:t>Strategjia e Vendit, Shqipëri 2025</w:t>
            </w:r>
            <w:r w:rsidRPr="00622884">
              <w:rPr>
                <w:rFonts w:ascii="Garamond" w:eastAsia="Calibri" w:hAnsi="Garamond" w:cs="Times New Roman"/>
                <w:sz w:val="12"/>
                <w:szCs w:val="12"/>
                <w:lang w:eastAsia="en-US"/>
              </w:rPr>
              <w:t>–</w:t>
            </w:r>
            <w:r w:rsidRPr="00622884">
              <w:rPr>
                <w:rFonts w:ascii="Garamond" w:eastAsia="Calibri" w:hAnsi="Garamond" w:cs="Times New Roman"/>
                <w:b/>
                <w:bCs/>
                <w:color w:val="1D3C5A"/>
                <w:sz w:val="12"/>
                <w:szCs w:val="12"/>
                <w:lang w:eastAsia="en-US" w:bidi="sq-AL"/>
              </w:rPr>
              <w:t>2030</w:t>
            </w:r>
          </w:p>
        </w:tc>
        <w:tc>
          <w:tcPr>
            <w:tcW w:w="0" w:type="pct"/>
            <w:vAlign w:val="center"/>
          </w:tcPr>
          <w:p w14:paraId="15B6C723" w14:textId="77777777" w:rsidR="00622884" w:rsidRPr="00622884" w:rsidRDefault="00622884" w:rsidP="00622884">
            <w:pPr>
              <w:spacing w:after="0" w:line="240" w:lineRule="auto"/>
              <w:jc w:val="center"/>
              <w:rPr>
                <w:rFonts w:ascii="Garamond" w:eastAsia="Calibri" w:hAnsi="Garamond" w:cs="Calibri Light"/>
                <w:b/>
                <w:bCs/>
                <w:color w:val="1D3C5A"/>
                <w:sz w:val="12"/>
                <w:szCs w:val="12"/>
                <w:lang w:eastAsia="en-US"/>
              </w:rPr>
            </w:pPr>
            <w:r w:rsidRPr="00622884">
              <w:rPr>
                <w:rFonts w:ascii="Garamond" w:eastAsia="Calibri" w:hAnsi="Garamond" w:cs="Times New Roman"/>
                <w:b/>
                <w:color w:val="1D3C5A"/>
                <w:sz w:val="12"/>
                <w:szCs w:val="12"/>
                <w:lang w:eastAsia="en-US" w:bidi="sq-AL"/>
              </w:rPr>
              <w:t>2025</w:t>
            </w:r>
          </w:p>
        </w:tc>
        <w:tc>
          <w:tcPr>
            <w:tcW w:w="0" w:type="pct"/>
            <w:vAlign w:val="center"/>
          </w:tcPr>
          <w:p w14:paraId="200240B7" w14:textId="77777777" w:rsidR="00622884" w:rsidRPr="00622884" w:rsidRDefault="00622884" w:rsidP="00622884">
            <w:pPr>
              <w:spacing w:after="0" w:line="240" w:lineRule="auto"/>
              <w:jc w:val="left"/>
              <w:rPr>
                <w:rFonts w:ascii="Garamond" w:eastAsia="Calibri" w:hAnsi="Garamond" w:cs="Calibri Light"/>
                <w:color w:val="1D3C5A"/>
                <w:sz w:val="12"/>
                <w:szCs w:val="12"/>
                <w:lang w:eastAsia="en-US"/>
              </w:rPr>
            </w:pPr>
            <w:r w:rsidRPr="00622884">
              <w:rPr>
                <w:rFonts w:ascii="Garamond" w:eastAsia="Calibri" w:hAnsi="Garamond" w:cs="Times New Roman"/>
                <w:color w:val="1D3C5A"/>
                <w:sz w:val="12"/>
                <w:szCs w:val="12"/>
                <w:lang w:eastAsia="en-US" w:bidi="sq-AL"/>
              </w:rPr>
              <w:t>Synon të përshpejtojë integrimin në BE duke zbatuar reforma gjithëpërfshirëse, duke shtuar efektshmërinë institucionale dhe duke nxitur rritjen e qëndrueshme ekonomike, me qëllim arritjen e anëtarësimit të plotë në BE deri në vitin 2030.</w:t>
            </w:r>
          </w:p>
        </w:tc>
      </w:tr>
      <w:tr w:rsidR="00622884" w:rsidRPr="00622884" w14:paraId="7775BFD7" w14:textId="77777777" w:rsidTr="00622884">
        <w:trPr>
          <w:trHeight w:val="680"/>
        </w:trPr>
        <w:tc>
          <w:tcPr>
            <w:tcW w:w="0" w:type="pct"/>
            <w:tcBorders>
              <w:top w:val="single" w:sz="4" w:space="0" w:color="7F7F7F"/>
              <w:bottom w:val="single" w:sz="4" w:space="0" w:color="7F7F7F"/>
            </w:tcBorders>
            <w:shd w:val="clear" w:color="auto" w:fill="E0F4F4"/>
            <w:noWrap/>
            <w:vAlign w:val="center"/>
          </w:tcPr>
          <w:p w14:paraId="7A403634" w14:textId="77777777" w:rsidR="00622884" w:rsidRPr="00622884" w:rsidRDefault="00622884" w:rsidP="00622884">
            <w:pPr>
              <w:spacing w:after="0" w:line="240" w:lineRule="auto"/>
              <w:jc w:val="left"/>
              <w:rPr>
                <w:rFonts w:ascii="Garamond" w:eastAsia="Calibri" w:hAnsi="Garamond" w:cs="Calibri Light"/>
                <w:b/>
                <w:bCs/>
                <w:color w:val="1D3C5A"/>
                <w:sz w:val="12"/>
                <w:szCs w:val="12"/>
                <w:lang w:eastAsia="en-US"/>
              </w:rPr>
            </w:pPr>
            <w:r w:rsidRPr="00622884">
              <w:rPr>
                <w:rFonts w:ascii="Garamond" w:eastAsia="Calibri" w:hAnsi="Garamond" w:cs="Times New Roman"/>
                <w:b/>
                <w:bCs/>
                <w:color w:val="1D3C5A"/>
                <w:sz w:val="12"/>
                <w:szCs w:val="12"/>
                <w:lang w:eastAsia="en-US" w:bidi="sq-AL"/>
              </w:rPr>
              <w:t>Strategjia kombëtare për Zhvillim dhe Integrim (SKZHI) 2015</w:t>
            </w:r>
            <w:r w:rsidRPr="00622884">
              <w:rPr>
                <w:rFonts w:ascii="Garamond" w:eastAsia="Calibri" w:hAnsi="Garamond" w:cs="Times New Roman"/>
                <w:sz w:val="12"/>
                <w:szCs w:val="12"/>
                <w:lang w:eastAsia="en-US"/>
              </w:rPr>
              <w:t>–</w:t>
            </w:r>
            <w:r w:rsidRPr="00622884">
              <w:rPr>
                <w:rFonts w:ascii="Garamond" w:eastAsia="Calibri" w:hAnsi="Garamond" w:cs="Times New Roman"/>
                <w:b/>
                <w:bCs/>
                <w:color w:val="1D3C5A"/>
                <w:sz w:val="12"/>
                <w:szCs w:val="12"/>
                <w:lang w:eastAsia="en-US" w:bidi="sq-AL"/>
              </w:rPr>
              <w:t>2020.</w:t>
            </w:r>
          </w:p>
        </w:tc>
        <w:tc>
          <w:tcPr>
            <w:tcW w:w="0" w:type="pct"/>
            <w:tcBorders>
              <w:top w:val="single" w:sz="4" w:space="0" w:color="7F7F7F"/>
              <w:bottom w:val="single" w:sz="4" w:space="0" w:color="7F7F7F"/>
            </w:tcBorders>
            <w:shd w:val="clear" w:color="auto" w:fill="E0F4F4"/>
            <w:vAlign w:val="center"/>
          </w:tcPr>
          <w:p w14:paraId="0C6C6F17" w14:textId="77777777" w:rsidR="00622884" w:rsidRPr="00622884" w:rsidRDefault="00622884" w:rsidP="00622884">
            <w:pPr>
              <w:spacing w:after="0" w:line="240" w:lineRule="auto"/>
              <w:jc w:val="center"/>
              <w:rPr>
                <w:rFonts w:ascii="Garamond" w:eastAsia="Calibri" w:hAnsi="Garamond" w:cs="Calibri Light"/>
                <w:b/>
                <w:bCs/>
                <w:color w:val="1D3C5A"/>
                <w:sz w:val="12"/>
                <w:szCs w:val="12"/>
                <w:lang w:eastAsia="en-US"/>
              </w:rPr>
            </w:pPr>
            <w:r w:rsidRPr="00622884">
              <w:rPr>
                <w:rFonts w:ascii="Garamond" w:eastAsia="Calibri" w:hAnsi="Garamond" w:cs="Times New Roman"/>
                <w:b/>
                <w:color w:val="1D3C5A"/>
                <w:sz w:val="12"/>
                <w:szCs w:val="12"/>
                <w:lang w:eastAsia="en-US" w:bidi="sq-AL"/>
              </w:rPr>
              <w:t>2016</w:t>
            </w:r>
          </w:p>
        </w:tc>
        <w:tc>
          <w:tcPr>
            <w:tcW w:w="0" w:type="pct"/>
            <w:tcBorders>
              <w:top w:val="single" w:sz="4" w:space="0" w:color="7F7F7F"/>
              <w:bottom w:val="single" w:sz="4" w:space="0" w:color="7F7F7F"/>
            </w:tcBorders>
            <w:shd w:val="clear" w:color="auto" w:fill="E0F4F4"/>
            <w:vAlign w:val="center"/>
          </w:tcPr>
          <w:p w14:paraId="36EE851F" w14:textId="77777777" w:rsidR="00622884" w:rsidRPr="00622884" w:rsidRDefault="00622884" w:rsidP="00622884">
            <w:pPr>
              <w:spacing w:after="0" w:line="240" w:lineRule="auto"/>
              <w:jc w:val="left"/>
              <w:rPr>
                <w:rFonts w:ascii="Garamond" w:eastAsia="Calibri" w:hAnsi="Garamond" w:cs="Calibri Light"/>
                <w:color w:val="1D3C5A"/>
                <w:sz w:val="12"/>
                <w:szCs w:val="12"/>
                <w:lang w:eastAsia="en-US"/>
              </w:rPr>
            </w:pPr>
            <w:r w:rsidRPr="00622884">
              <w:rPr>
                <w:rFonts w:ascii="Garamond" w:eastAsia="Calibri" w:hAnsi="Garamond" w:cs="Times New Roman"/>
                <w:color w:val="1D3C5A"/>
                <w:sz w:val="12"/>
                <w:szCs w:val="12"/>
                <w:lang w:eastAsia="en-US" w:bidi="sq-AL"/>
              </w:rPr>
              <w:t>Synon të forcojë demokracinë, të arrijë integrimin në BE dhe të promovojë një ekonomi konkurruese dhe të qëndrueshme, duke siguruar të drejtat themelore të njeriut dhe përmirësimin e cilësisë së jetës.</w:t>
            </w:r>
          </w:p>
        </w:tc>
      </w:tr>
      <w:tr w:rsidR="00622884" w:rsidRPr="00622884" w14:paraId="18D0B879" w14:textId="77777777" w:rsidTr="00622884">
        <w:trPr>
          <w:trHeight w:val="680"/>
        </w:trPr>
        <w:tc>
          <w:tcPr>
            <w:tcW w:w="0" w:type="pct"/>
            <w:noWrap/>
            <w:vAlign w:val="center"/>
          </w:tcPr>
          <w:p w14:paraId="7B4D832D" w14:textId="77777777" w:rsidR="00622884" w:rsidRPr="00622884" w:rsidRDefault="00622884" w:rsidP="00622884">
            <w:pPr>
              <w:spacing w:after="0" w:line="240" w:lineRule="auto"/>
              <w:jc w:val="left"/>
              <w:rPr>
                <w:rFonts w:ascii="Garamond" w:eastAsia="Calibri" w:hAnsi="Garamond" w:cs="Calibri Light"/>
                <w:b/>
                <w:bCs/>
                <w:color w:val="1D3C5A"/>
                <w:sz w:val="12"/>
                <w:szCs w:val="12"/>
                <w:lang w:eastAsia="en-US"/>
              </w:rPr>
            </w:pPr>
            <w:r w:rsidRPr="00622884">
              <w:rPr>
                <w:rFonts w:ascii="Garamond" w:eastAsia="Calibri" w:hAnsi="Garamond" w:cs="Times New Roman"/>
                <w:b/>
                <w:bCs/>
                <w:color w:val="1D3C5A"/>
                <w:sz w:val="12"/>
                <w:szCs w:val="12"/>
                <w:lang w:eastAsia="en-US" w:bidi="sq-AL"/>
              </w:rPr>
              <w:t>Strategjia Kombëtare e Turizmit 2024–2030</w:t>
            </w:r>
          </w:p>
          <w:p w14:paraId="67AE6116" w14:textId="77777777" w:rsidR="00622884" w:rsidRPr="00622884" w:rsidRDefault="00622884" w:rsidP="00622884">
            <w:pPr>
              <w:spacing w:after="0" w:line="240" w:lineRule="auto"/>
              <w:jc w:val="left"/>
              <w:rPr>
                <w:rFonts w:ascii="Garamond" w:eastAsia="Calibri" w:hAnsi="Garamond" w:cs="Calibri Light"/>
                <w:b/>
                <w:bCs/>
                <w:color w:val="1D3C5A"/>
                <w:sz w:val="12"/>
                <w:szCs w:val="12"/>
                <w:lang w:eastAsia="en-US"/>
              </w:rPr>
            </w:pPr>
          </w:p>
        </w:tc>
        <w:tc>
          <w:tcPr>
            <w:tcW w:w="0" w:type="pct"/>
            <w:vAlign w:val="center"/>
          </w:tcPr>
          <w:p w14:paraId="27CF800E" w14:textId="77777777" w:rsidR="00622884" w:rsidRPr="00622884" w:rsidRDefault="00622884" w:rsidP="00622884">
            <w:pPr>
              <w:spacing w:after="0" w:line="240" w:lineRule="auto"/>
              <w:jc w:val="center"/>
              <w:rPr>
                <w:rFonts w:ascii="Garamond" w:eastAsia="Calibri" w:hAnsi="Garamond" w:cs="Calibri Light"/>
                <w:b/>
                <w:bCs/>
                <w:color w:val="1D3C5A"/>
                <w:sz w:val="12"/>
                <w:szCs w:val="12"/>
                <w:lang w:eastAsia="en-US"/>
              </w:rPr>
            </w:pPr>
            <w:r w:rsidRPr="00622884">
              <w:rPr>
                <w:rFonts w:ascii="Garamond" w:eastAsia="Calibri" w:hAnsi="Garamond" w:cs="Times New Roman"/>
                <w:b/>
                <w:color w:val="1D3C5A"/>
                <w:sz w:val="12"/>
                <w:szCs w:val="12"/>
                <w:lang w:eastAsia="en-US" w:bidi="sq-AL"/>
              </w:rPr>
              <w:t>2024</w:t>
            </w:r>
          </w:p>
        </w:tc>
        <w:tc>
          <w:tcPr>
            <w:tcW w:w="0" w:type="pct"/>
            <w:vAlign w:val="center"/>
          </w:tcPr>
          <w:p w14:paraId="5E70649D" w14:textId="77777777" w:rsidR="00622884" w:rsidRPr="00622884" w:rsidRDefault="00622884" w:rsidP="00622884">
            <w:pPr>
              <w:spacing w:after="0" w:line="240" w:lineRule="auto"/>
              <w:jc w:val="left"/>
              <w:rPr>
                <w:rFonts w:ascii="Garamond" w:eastAsia="Calibri" w:hAnsi="Garamond" w:cs="Calibri Light"/>
                <w:color w:val="1D3C5A"/>
                <w:sz w:val="12"/>
                <w:szCs w:val="12"/>
                <w:lang w:eastAsia="en-US"/>
              </w:rPr>
            </w:pPr>
            <w:r w:rsidRPr="00622884">
              <w:rPr>
                <w:rFonts w:ascii="Garamond" w:eastAsia="Calibri" w:hAnsi="Garamond" w:cs="Times New Roman"/>
                <w:color w:val="1D3C5A"/>
                <w:sz w:val="12"/>
                <w:szCs w:val="12"/>
                <w:lang w:eastAsia="en-US" w:bidi="sq-AL"/>
              </w:rPr>
              <w:t>Synon të promovojë rritjen e qëndrueshme të turizmit, të përmirësojë infrastrukturën dhe të ruajë trashëgiminë kulturore dhe natyrore duke u përqendruar në gjashtë shtylla kryesore: investimet, politikat fiskale dhe rregullatore, menaxhimin e destinacionit, zhvillimin e produkteve turistike, marketingun dhe ngritjen e kapaciteteve.</w:t>
            </w:r>
          </w:p>
        </w:tc>
      </w:tr>
      <w:tr w:rsidR="00622884" w:rsidRPr="00622884" w14:paraId="25A67B49" w14:textId="77777777" w:rsidTr="00622884">
        <w:trPr>
          <w:trHeight w:val="680"/>
        </w:trPr>
        <w:tc>
          <w:tcPr>
            <w:tcW w:w="0" w:type="pct"/>
            <w:tcBorders>
              <w:top w:val="single" w:sz="4" w:space="0" w:color="7F7F7F"/>
              <w:bottom w:val="single" w:sz="4" w:space="0" w:color="7F7F7F"/>
            </w:tcBorders>
            <w:shd w:val="clear" w:color="auto" w:fill="E0F4F4"/>
            <w:noWrap/>
            <w:vAlign w:val="center"/>
          </w:tcPr>
          <w:p w14:paraId="1A41C0D8" w14:textId="77777777" w:rsidR="00622884" w:rsidRPr="00622884" w:rsidRDefault="00622884" w:rsidP="00622884">
            <w:pPr>
              <w:spacing w:after="0" w:line="240" w:lineRule="auto"/>
              <w:jc w:val="left"/>
              <w:rPr>
                <w:rFonts w:ascii="Garamond" w:eastAsia="Calibri" w:hAnsi="Garamond" w:cs="Calibri Light"/>
                <w:b/>
                <w:bCs/>
                <w:color w:val="1D3C5A"/>
                <w:sz w:val="12"/>
                <w:szCs w:val="12"/>
                <w:lang w:eastAsia="en-US"/>
              </w:rPr>
            </w:pPr>
            <w:r w:rsidRPr="00622884">
              <w:rPr>
                <w:rFonts w:ascii="Garamond" w:eastAsia="Calibri" w:hAnsi="Garamond" w:cs="Times New Roman"/>
                <w:b/>
                <w:bCs/>
                <w:color w:val="1D3C5A"/>
                <w:sz w:val="12"/>
                <w:szCs w:val="12"/>
                <w:lang w:eastAsia="en-US" w:bidi="sq-AL"/>
              </w:rPr>
              <w:t>Strategjia Kombëtare për Barazinë Gjinore (SKBGJ) 2021-2030</w:t>
            </w:r>
          </w:p>
        </w:tc>
        <w:tc>
          <w:tcPr>
            <w:tcW w:w="0" w:type="pct"/>
            <w:tcBorders>
              <w:top w:val="single" w:sz="4" w:space="0" w:color="7F7F7F"/>
              <w:bottom w:val="single" w:sz="4" w:space="0" w:color="7F7F7F"/>
            </w:tcBorders>
            <w:shd w:val="clear" w:color="auto" w:fill="E0F4F4"/>
            <w:vAlign w:val="center"/>
          </w:tcPr>
          <w:p w14:paraId="678FCB80" w14:textId="77777777" w:rsidR="00622884" w:rsidRPr="00622884" w:rsidRDefault="00622884" w:rsidP="00622884">
            <w:pPr>
              <w:spacing w:after="0" w:line="240" w:lineRule="auto"/>
              <w:jc w:val="center"/>
              <w:rPr>
                <w:rFonts w:ascii="Garamond" w:eastAsia="Calibri" w:hAnsi="Garamond" w:cs="Calibri Light"/>
                <w:b/>
                <w:bCs/>
                <w:color w:val="1D3C5A"/>
                <w:sz w:val="12"/>
                <w:szCs w:val="12"/>
                <w:lang w:eastAsia="en-US"/>
              </w:rPr>
            </w:pPr>
            <w:r w:rsidRPr="00622884">
              <w:rPr>
                <w:rFonts w:ascii="Garamond" w:eastAsia="Calibri" w:hAnsi="Garamond" w:cs="Times New Roman"/>
                <w:b/>
                <w:color w:val="1D3C5A"/>
                <w:sz w:val="12"/>
                <w:szCs w:val="12"/>
                <w:lang w:eastAsia="en-US" w:bidi="sq-AL"/>
              </w:rPr>
              <w:t>2021</w:t>
            </w:r>
          </w:p>
        </w:tc>
        <w:tc>
          <w:tcPr>
            <w:tcW w:w="0" w:type="pct"/>
            <w:tcBorders>
              <w:top w:val="single" w:sz="4" w:space="0" w:color="7F7F7F"/>
              <w:bottom w:val="single" w:sz="4" w:space="0" w:color="7F7F7F"/>
            </w:tcBorders>
            <w:shd w:val="clear" w:color="auto" w:fill="E0F4F4"/>
            <w:vAlign w:val="center"/>
          </w:tcPr>
          <w:p w14:paraId="127ECDB6" w14:textId="77777777" w:rsidR="00622884" w:rsidRPr="00622884" w:rsidRDefault="00622884" w:rsidP="00622884">
            <w:pPr>
              <w:spacing w:after="0" w:line="240" w:lineRule="auto"/>
              <w:jc w:val="left"/>
              <w:rPr>
                <w:rFonts w:ascii="Garamond" w:eastAsia="Calibri" w:hAnsi="Garamond" w:cs="Calibri Light"/>
                <w:color w:val="1D3C5A"/>
                <w:sz w:val="12"/>
                <w:szCs w:val="12"/>
                <w:lang w:eastAsia="en-US"/>
              </w:rPr>
            </w:pPr>
            <w:r w:rsidRPr="00622884">
              <w:rPr>
                <w:rFonts w:ascii="Garamond" w:eastAsia="Calibri" w:hAnsi="Garamond" w:cs="Times New Roman"/>
                <w:color w:val="1D3C5A"/>
                <w:sz w:val="12"/>
                <w:szCs w:val="12"/>
                <w:lang w:eastAsia="en-US" w:bidi="sq-AL"/>
              </w:rPr>
              <w:t>Promovon barazinë gjinore, fuqizimin e grave dhe përfshirjen sociale, duke u përqendruar në pjesëmarrjen ekonomike, vendimmarrjen, parandalimin e dhunës me bazë gjinore dhe përputhshmërinë me politikat gjinore të BE-së dhe ato ndërkombëtare.</w:t>
            </w:r>
          </w:p>
        </w:tc>
      </w:tr>
    </w:tbl>
    <w:p w14:paraId="7ED473E3"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p>
    <w:p w14:paraId="376EB989" w14:textId="77777777" w:rsidR="00622884" w:rsidRPr="00622884" w:rsidRDefault="00622884" w:rsidP="00622884">
      <w:pPr>
        <w:tabs>
          <w:tab w:val="left" w:pos="5325"/>
        </w:tabs>
        <w:spacing w:after="0" w:line="240" w:lineRule="auto"/>
        <w:ind w:firstLine="284"/>
        <w:jc w:val="center"/>
        <w:rPr>
          <w:rFonts w:ascii="Garamond" w:eastAsia="Calibri" w:hAnsi="Garamond" w:cs="Times New Roman"/>
          <w:sz w:val="24"/>
          <w:szCs w:val="24"/>
          <w:lang w:eastAsia="en-US" w:bidi="sq-AL"/>
        </w:rPr>
      </w:pPr>
      <w:bookmarkStart w:id="316" w:name="_Toc213936265"/>
      <w:bookmarkStart w:id="317" w:name="AnnexII"/>
      <w:r w:rsidRPr="00622884">
        <w:rPr>
          <w:rFonts w:ascii="Garamond" w:eastAsia="Calibri" w:hAnsi="Garamond" w:cs="Times New Roman"/>
          <w:sz w:val="24"/>
          <w:szCs w:val="24"/>
          <w:lang w:eastAsia="en-US" w:bidi="sq-AL"/>
        </w:rPr>
        <w:t>ANEKS II</w:t>
      </w:r>
    </w:p>
    <w:p w14:paraId="2DD0902B" w14:textId="77777777" w:rsidR="00622884" w:rsidRPr="00622884" w:rsidRDefault="00622884" w:rsidP="00622884">
      <w:pPr>
        <w:tabs>
          <w:tab w:val="left" w:pos="5325"/>
        </w:tabs>
        <w:spacing w:after="0" w:line="240" w:lineRule="auto"/>
        <w:ind w:firstLine="284"/>
        <w:jc w:val="center"/>
        <w:rPr>
          <w:rFonts w:ascii="Garamond" w:eastAsia="Calibri" w:hAnsi="Garamond" w:cs="Times New Roman"/>
          <w:sz w:val="24"/>
          <w:szCs w:val="24"/>
          <w:lang w:eastAsia="en-US"/>
        </w:rPr>
      </w:pPr>
      <w:r w:rsidRPr="00622884">
        <w:rPr>
          <w:rFonts w:ascii="Garamond" w:eastAsia="Calibri" w:hAnsi="Garamond" w:cs="Times New Roman"/>
          <w:sz w:val="24"/>
          <w:szCs w:val="24"/>
          <w:lang w:eastAsia="en-US" w:bidi="sq-AL"/>
        </w:rPr>
        <w:t>DETAJE MBI TENDENCAT KLIMATIKE TË VËZHGUARA DHE TË PARASHIKUARA NË NIVEL VENDOR</w:t>
      </w:r>
      <w:bookmarkEnd w:id="316"/>
    </w:p>
    <w:bookmarkEnd w:id="317"/>
    <w:p w14:paraId="35377B77" w14:textId="77777777" w:rsidR="00622884" w:rsidRPr="00622884" w:rsidRDefault="00622884" w:rsidP="00622884">
      <w:pPr>
        <w:tabs>
          <w:tab w:val="left" w:pos="5325"/>
        </w:tabs>
        <w:spacing w:after="0" w:line="240" w:lineRule="auto"/>
        <w:ind w:firstLine="284"/>
        <w:rPr>
          <w:rFonts w:ascii="Garamond" w:eastAsia="SimSun" w:hAnsi="Garamond" w:cs="Times New Roman"/>
          <w:sz w:val="24"/>
          <w:szCs w:val="24"/>
          <w:lang w:eastAsia="en-US"/>
        </w:rPr>
      </w:pPr>
      <w:r w:rsidRPr="00622884">
        <w:rPr>
          <w:rFonts w:ascii="Garamond" w:eastAsia="Aptos" w:hAnsi="Garamond" w:cs="Arial"/>
          <w:sz w:val="24"/>
          <w:szCs w:val="24"/>
          <w:lang w:eastAsia="en-US" w:bidi="sq-AL"/>
        </w:rPr>
        <w:t xml:space="preserve">Ky aneks paraqet informacion të detajuar mbi tendencat klimatike të vëzhguara dhe të parashikuara në nivel bashkie, duke ilustruar ndryshimet vendore të temperaturës dhe reshjeve në </w:t>
      </w:r>
      <w:r w:rsidRPr="00622884">
        <w:rPr>
          <w:rFonts w:ascii="Garamond" w:eastAsia="Aptos" w:hAnsi="Garamond" w:cs="Arial"/>
          <w:sz w:val="24"/>
          <w:szCs w:val="24"/>
          <w:lang w:eastAsia="en-US" w:bidi="sq-AL"/>
        </w:rPr>
        <w:lastRenderedPageBreak/>
        <w:t>zona të ndryshme klimatike të Shqipërisë. Shembujt më poshtë evidentojnë bashki specifike për të ilustruar heterogjenitetin hapësinor të tendencave të vëzhguara.</w:t>
      </w:r>
    </w:p>
    <w:p w14:paraId="2C8866C3" w14:textId="77777777" w:rsidR="00622884" w:rsidRPr="00622884" w:rsidRDefault="00622884" w:rsidP="00622884">
      <w:pPr>
        <w:tabs>
          <w:tab w:val="left" w:pos="5325"/>
        </w:tabs>
        <w:spacing w:after="0" w:line="240" w:lineRule="auto"/>
        <w:ind w:firstLine="284"/>
        <w:rPr>
          <w:rFonts w:ascii="Garamond" w:eastAsia="Aptos" w:hAnsi="Garamond" w:cs="Arial"/>
          <w:sz w:val="24"/>
          <w:szCs w:val="24"/>
          <w:lang w:eastAsia="en-US" w:bidi="sq-AL"/>
        </w:rPr>
      </w:pPr>
      <w:r w:rsidRPr="00622884">
        <w:rPr>
          <w:rFonts w:ascii="Garamond" w:eastAsia="Aptos" w:hAnsi="Garamond" w:cs="Arial"/>
          <w:sz w:val="24"/>
          <w:szCs w:val="24"/>
          <w:lang w:eastAsia="en-US" w:bidi="sq-AL"/>
        </w:rPr>
        <w:fldChar w:fldCharType="begin"/>
      </w:r>
      <w:r w:rsidRPr="00622884">
        <w:rPr>
          <w:rFonts w:ascii="Garamond" w:eastAsia="Aptos" w:hAnsi="Garamond" w:cs="Arial"/>
          <w:sz w:val="24"/>
          <w:szCs w:val="24"/>
          <w:lang w:eastAsia="en-US" w:bidi="sq-AL"/>
        </w:rPr>
        <w:instrText xml:space="preserve"> REF _Ref209094799 \h  \* MERGEFORMAT </w:instrText>
      </w:r>
      <w:r w:rsidRPr="00622884">
        <w:rPr>
          <w:rFonts w:ascii="Garamond" w:eastAsia="Aptos" w:hAnsi="Garamond" w:cs="Arial"/>
          <w:sz w:val="24"/>
          <w:szCs w:val="24"/>
          <w:lang w:eastAsia="en-US" w:bidi="sq-AL"/>
        </w:rPr>
      </w:r>
      <w:r w:rsidRPr="00622884">
        <w:rPr>
          <w:rFonts w:ascii="Garamond" w:eastAsia="Aptos" w:hAnsi="Garamond" w:cs="Arial"/>
          <w:sz w:val="24"/>
          <w:szCs w:val="24"/>
          <w:lang w:eastAsia="en-US" w:bidi="sq-AL"/>
        </w:rPr>
        <w:fldChar w:fldCharType="separate"/>
      </w:r>
      <w:r w:rsidRPr="00622884">
        <w:rPr>
          <w:rFonts w:ascii="Garamond" w:eastAsia="Calibri" w:hAnsi="Garamond" w:cs="Times New Roman"/>
          <w:sz w:val="24"/>
          <w:szCs w:val="24"/>
          <w:lang w:eastAsia="en-US"/>
        </w:rPr>
        <w:t xml:space="preserve"> </w:t>
      </w:r>
      <w:r w:rsidRPr="00622884">
        <w:rPr>
          <w:rFonts w:ascii="Garamond" w:eastAsia="Aptos" w:hAnsi="Garamond" w:cs="Arial"/>
          <w:sz w:val="24"/>
          <w:szCs w:val="24"/>
          <w:lang w:eastAsia="en-US" w:bidi="sq-AL"/>
        </w:rPr>
        <w:t xml:space="preserve">Figura 22, </w:t>
      </w:r>
      <w:r w:rsidRPr="00622884">
        <w:rPr>
          <w:rFonts w:ascii="Garamond" w:eastAsia="Aptos" w:hAnsi="Garamond" w:cs="Arial"/>
          <w:sz w:val="24"/>
          <w:szCs w:val="24"/>
          <w:lang w:eastAsia="en-US" w:bidi="sq-AL"/>
        </w:rPr>
        <w:fldChar w:fldCharType="end"/>
      </w:r>
      <w:r w:rsidRPr="00622884">
        <w:rPr>
          <w:rFonts w:ascii="Garamond" w:eastAsia="Aptos" w:hAnsi="Garamond" w:cs="Arial"/>
          <w:sz w:val="24"/>
          <w:szCs w:val="24"/>
          <w:lang w:eastAsia="en-US" w:bidi="sq-AL"/>
        </w:rPr>
        <w:t>më poshtë, jepet një shembull i tendencave të temperaturës të vëzhguara për Elbasanin</w:t>
      </w:r>
      <w:r w:rsidRPr="00622884">
        <w:rPr>
          <w:rFonts w:ascii="Garamond" w:eastAsia="Aptos" w:hAnsi="Garamond" w:cs="Arial"/>
          <w:sz w:val="24"/>
          <w:szCs w:val="24"/>
          <w:vertAlign w:val="superscript"/>
          <w:lang w:eastAsia="en-US" w:bidi="sq-AL"/>
        </w:rPr>
        <w:footnoteReference w:id="230"/>
      </w:r>
      <w:r w:rsidRPr="00622884">
        <w:rPr>
          <w:rFonts w:ascii="Garamond" w:eastAsia="Aptos" w:hAnsi="Garamond" w:cs="Arial"/>
          <w:sz w:val="24"/>
          <w:szCs w:val="24"/>
          <w:lang w:eastAsia="en-US" w:bidi="sq-AL"/>
        </w:rPr>
        <w:t>.</w:t>
      </w:r>
    </w:p>
    <w:p w14:paraId="07DB1B36" w14:textId="77777777" w:rsidR="00622884" w:rsidRPr="00622884" w:rsidRDefault="00622884" w:rsidP="00622884">
      <w:pPr>
        <w:spacing w:after="0" w:line="259" w:lineRule="auto"/>
        <w:rPr>
          <w:rFonts w:ascii="Garamond" w:eastAsia="SimSun" w:hAnsi="Garamond" w:cs="Times New Roman"/>
          <w:color w:val="1D3C5A"/>
          <w:sz w:val="24"/>
          <w:szCs w:val="24"/>
          <w:lang w:eastAsia="en-US"/>
        </w:rPr>
      </w:pPr>
    </w:p>
    <w:p w14:paraId="7BAFAE52" w14:textId="77777777" w:rsidR="00622884" w:rsidRPr="00622884" w:rsidRDefault="00622884" w:rsidP="00622884">
      <w:pPr>
        <w:spacing w:after="0" w:line="259" w:lineRule="auto"/>
        <w:jc w:val="center"/>
        <w:rPr>
          <w:rFonts w:ascii="Garamond" w:eastAsia="SimSun" w:hAnsi="Garamond" w:cs="Times New Roman"/>
          <w:color w:val="1D3C5A"/>
          <w:sz w:val="24"/>
          <w:szCs w:val="24"/>
          <w:lang w:eastAsia="en-US"/>
        </w:rPr>
      </w:pPr>
      <w:r w:rsidRPr="00622884">
        <w:rPr>
          <w:rFonts w:ascii="Garamond" w:eastAsia="Aptos" w:hAnsi="Garamond" w:cs="Arial"/>
          <w:noProof/>
          <w:color w:val="1D3C5A"/>
          <w:sz w:val="24"/>
          <w:szCs w:val="24"/>
          <w:lang w:eastAsia="sq-AL"/>
        </w:rPr>
        <w:drawing>
          <wp:inline distT="0" distB="0" distL="0" distR="0" wp14:anchorId="7B3758A2" wp14:editId="1550461A">
            <wp:extent cx="5049520" cy="1766737"/>
            <wp:effectExtent l="0" t="0" r="0" b="508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3" cstate="print">
                      <a:extLst>
                        <a:ext uri="{28A0092B-C50C-407E-A947-70E740481C1C}">
                          <a14:useLocalDpi xmlns:a14="http://schemas.microsoft.com/office/drawing/2010/main" val="0"/>
                        </a:ext>
                      </a:extLst>
                    </a:blip>
                    <a:srcRect/>
                    <a:stretch>
                      <a:fillRect/>
                    </a:stretch>
                  </pic:blipFill>
                  <pic:spPr bwMode="auto">
                    <a:xfrm>
                      <a:off x="0" y="0"/>
                      <a:ext cx="5056620" cy="1769221"/>
                    </a:xfrm>
                    <a:prstGeom prst="rect">
                      <a:avLst/>
                    </a:prstGeom>
                    <a:noFill/>
                    <a:ln>
                      <a:noFill/>
                    </a:ln>
                  </pic:spPr>
                </pic:pic>
              </a:graphicData>
            </a:graphic>
          </wp:inline>
        </w:drawing>
      </w:r>
    </w:p>
    <w:p w14:paraId="1DBF797A" w14:textId="77777777" w:rsidR="00622884" w:rsidRPr="00622884" w:rsidRDefault="00622884" w:rsidP="00622884">
      <w:pPr>
        <w:tabs>
          <w:tab w:val="left" w:pos="5325"/>
        </w:tabs>
        <w:spacing w:after="0" w:line="240" w:lineRule="auto"/>
        <w:ind w:firstLine="284"/>
        <w:jc w:val="center"/>
        <w:rPr>
          <w:rFonts w:ascii="Garamond" w:eastAsia="Calibri" w:hAnsi="Garamond" w:cs="Times New Roman"/>
          <w:i/>
          <w:sz w:val="20"/>
          <w:szCs w:val="20"/>
          <w:lang w:eastAsia="en-US" w:bidi="sq-AL"/>
        </w:rPr>
      </w:pPr>
      <w:r w:rsidRPr="00622884">
        <w:rPr>
          <w:rFonts w:ascii="Garamond" w:eastAsia="Calibri" w:hAnsi="Garamond" w:cs="Times New Roman"/>
          <w:i/>
          <w:sz w:val="20"/>
          <w:szCs w:val="20"/>
          <w:lang w:eastAsia="en-US" w:bidi="sq-AL"/>
        </w:rPr>
        <w:t>Figura 22. Tendencat e temperaturës të vëzhguara për Elbasanin.</w:t>
      </w:r>
    </w:p>
    <w:p w14:paraId="55A3F032"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bidi="sq-AL"/>
        </w:rPr>
      </w:pPr>
    </w:p>
    <w:p w14:paraId="0D4294D2" w14:textId="77777777" w:rsidR="00622884" w:rsidRPr="00622884" w:rsidRDefault="00622884" w:rsidP="00622884">
      <w:pPr>
        <w:tabs>
          <w:tab w:val="left" w:pos="5325"/>
        </w:tabs>
        <w:spacing w:after="0" w:line="240" w:lineRule="auto"/>
        <w:ind w:firstLine="284"/>
        <w:rPr>
          <w:rFonts w:ascii="Garamond" w:eastAsia="Calibri" w:hAnsi="Garamond" w:cs="Times New Roman"/>
          <w:sz w:val="20"/>
          <w:szCs w:val="20"/>
          <w:lang w:eastAsia="en-US" w:bidi="sq-AL"/>
        </w:rPr>
      </w:pPr>
      <w:r w:rsidRPr="00622884">
        <w:rPr>
          <w:rFonts w:ascii="Garamond" w:eastAsia="Calibri" w:hAnsi="Garamond" w:cs="Times New Roman"/>
          <w:sz w:val="20"/>
          <w:szCs w:val="20"/>
          <w:lang w:eastAsia="en-US" w:bidi="sq-AL"/>
        </w:rPr>
        <w:t>Burimi: Mbështetje për plotësimin e mangësive në të dhënat dhe analizat e riskut të përshtatjes. Qeveria e Shqipërisë - Grupi Ndërministror i Punës për Ndryshimet Klimatike (GNPNK) - Ministria e Mjedisit. National and Sectoral Scenario Development Report [Raporti kombëtar dhe sektorial për zhvillimin e skenarëve]. Baastel, janar 2023.</w:t>
      </w:r>
    </w:p>
    <w:p w14:paraId="4E53E9EB" w14:textId="77777777" w:rsidR="00622884" w:rsidRPr="00622884" w:rsidRDefault="00622884" w:rsidP="00622884">
      <w:pPr>
        <w:tabs>
          <w:tab w:val="left" w:pos="5325"/>
        </w:tabs>
        <w:spacing w:after="0" w:line="240" w:lineRule="auto"/>
        <w:ind w:firstLine="284"/>
        <w:rPr>
          <w:rFonts w:ascii="Garamond" w:eastAsia="Calibri" w:hAnsi="Garamond" w:cs="Times New Roman"/>
          <w:sz w:val="6"/>
          <w:szCs w:val="24"/>
          <w:lang w:eastAsia="en-US" w:bidi="sq-AL"/>
        </w:rPr>
      </w:pPr>
    </w:p>
    <w:p w14:paraId="0441CDF7" w14:textId="77777777" w:rsidR="00622884" w:rsidRPr="00622884" w:rsidRDefault="00622884" w:rsidP="00622884">
      <w:pPr>
        <w:tabs>
          <w:tab w:val="left" w:pos="5325"/>
        </w:tabs>
        <w:spacing w:after="0" w:line="240" w:lineRule="auto"/>
        <w:ind w:firstLine="284"/>
        <w:rPr>
          <w:rFonts w:ascii="Garamond" w:eastAsia="SimSun" w:hAnsi="Garamond" w:cs="Times New Roman"/>
          <w:sz w:val="24"/>
          <w:szCs w:val="24"/>
          <w:lang w:eastAsia="en-US"/>
        </w:rPr>
      </w:pPr>
      <w:r w:rsidRPr="00622884">
        <w:rPr>
          <w:rFonts w:ascii="Garamond" w:eastAsia="Calibri" w:hAnsi="Garamond" w:cs="Times New Roman"/>
          <w:sz w:val="24"/>
          <w:szCs w:val="24"/>
          <w:lang w:eastAsia="en-US" w:bidi="sq-AL"/>
        </w:rPr>
        <w:t xml:space="preserve">Për më tepër, më poshtë paraqiten ndryshimet mesatare vjetore të temperaturave për dy periudha të ndryshme kohore, vitet 1961–1990 (linja të prera) dhe 2001–2010 (linja të plota) për Kukësin (veri i Shqipërisë, në Zonën Malore Mesdhetare). </w:t>
      </w:r>
    </w:p>
    <w:p w14:paraId="6B873E4A" w14:textId="77777777" w:rsidR="00622884" w:rsidRPr="00622884" w:rsidRDefault="00622884" w:rsidP="00622884">
      <w:pPr>
        <w:spacing w:after="0" w:line="259" w:lineRule="auto"/>
        <w:jc w:val="center"/>
        <w:rPr>
          <w:rFonts w:ascii="Garamond" w:eastAsia="SimSun" w:hAnsi="Garamond" w:cs="Times New Roman"/>
          <w:color w:val="1D3C5A"/>
          <w:sz w:val="24"/>
          <w:szCs w:val="24"/>
          <w:lang w:eastAsia="en-US"/>
        </w:rPr>
      </w:pPr>
      <w:r w:rsidRPr="00622884">
        <w:rPr>
          <w:rFonts w:ascii="Garamond" w:eastAsia="Aptos" w:hAnsi="Garamond" w:cs="Arial"/>
          <w:noProof/>
          <w:color w:val="1D3C5A"/>
          <w:sz w:val="24"/>
          <w:szCs w:val="24"/>
          <w:lang w:eastAsia="sq-AL"/>
        </w:rPr>
        <w:drawing>
          <wp:inline distT="0" distB="0" distL="0" distR="0" wp14:anchorId="439E01AD" wp14:editId="1FB32676">
            <wp:extent cx="4087495" cy="1692260"/>
            <wp:effectExtent l="0" t="0" r="0" b="381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104" cstate="print">
                      <a:extLst>
                        <a:ext uri="{28A0092B-C50C-407E-A947-70E740481C1C}">
                          <a14:useLocalDpi xmlns:a14="http://schemas.microsoft.com/office/drawing/2010/main" val="0"/>
                        </a:ext>
                      </a:extLst>
                    </a:blip>
                    <a:srcRect/>
                    <a:stretch>
                      <a:fillRect/>
                    </a:stretch>
                  </pic:blipFill>
                  <pic:spPr bwMode="auto">
                    <a:xfrm>
                      <a:off x="0" y="0"/>
                      <a:ext cx="4092096" cy="1694165"/>
                    </a:xfrm>
                    <a:prstGeom prst="rect">
                      <a:avLst/>
                    </a:prstGeom>
                    <a:noFill/>
                    <a:ln>
                      <a:noFill/>
                    </a:ln>
                  </pic:spPr>
                </pic:pic>
              </a:graphicData>
            </a:graphic>
          </wp:inline>
        </w:drawing>
      </w:r>
      <w:bookmarkStart w:id="318" w:name="_Toc213936095"/>
    </w:p>
    <w:bookmarkEnd w:id="318"/>
    <w:p w14:paraId="3E6D9A9D" w14:textId="77777777" w:rsidR="00622884" w:rsidRPr="00622884" w:rsidRDefault="00622884" w:rsidP="00622884">
      <w:pPr>
        <w:tabs>
          <w:tab w:val="left" w:pos="5325"/>
        </w:tabs>
        <w:spacing w:after="0" w:line="240" w:lineRule="auto"/>
        <w:ind w:firstLine="284"/>
        <w:jc w:val="center"/>
        <w:rPr>
          <w:rFonts w:ascii="Garamond" w:eastAsia="Calibri" w:hAnsi="Garamond" w:cs="Times New Roman"/>
          <w:i/>
          <w:sz w:val="20"/>
          <w:szCs w:val="20"/>
          <w:lang w:eastAsia="en-US" w:bidi="sq-AL"/>
        </w:rPr>
      </w:pPr>
      <w:r w:rsidRPr="00622884">
        <w:rPr>
          <w:rFonts w:ascii="Garamond" w:eastAsia="Calibri" w:hAnsi="Garamond" w:cs="Times New Roman"/>
          <w:i/>
          <w:sz w:val="20"/>
          <w:szCs w:val="20"/>
          <w:lang w:eastAsia="en-US" w:bidi="sq-AL"/>
        </w:rPr>
        <w:t>Figura 23. Ndryshimet e temperaturave mesatare ditore (vëzhgime) për periudhën 1961–1990 (norma klimatologjike) dhe 2001–2010 në Kukës.</w:t>
      </w:r>
    </w:p>
    <w:p w14:paraId="0DD14B16" w14:textId="77777777" w:rsidR="00622884" w:rsidRPr="00622884" w:rsidRDefault="00622884" w:rsidP="00622884">
      <w:pPr>
        <w:tabs>
          <w:tab w:val="left" w:pos="5325"/>
        </w:tabs>
        <w:spacing w:after="0" w:line="240" w:lineRule="auto"/>
        <w:ind w:firstLine="284"/>
        <w:rPr>
          <w:rFonts w:ascii="Garamond" w:eastAsia="Calibri" w:hAnsi="Garamond" w:cs="Times New Roman"/>
          <w:sz w:val="20"/>
          <w:szCs w:val="20"/>
          <w:lang w:eastAsia="en-US" w:bidi="sq-AL"/>
        </w:rPr>
      </w:pPr>
      <w:r w:rsidRPr="00622884">
        <w:rPr>
          <w:rFonts w:ascii="Garamond" w:eastAsia="Calibri" w:hAnsi="Garamond" w:cs="Times New Roman"/>
          <w:sz w:val="20"/>
          <w:szCs w:val="20"/>
          <w:lang w:eastAsia="en-US" w:bidi="sq-AL"/>
        </w:rPr>
        <w:t xml:space="preserve">Burimi: Mbështetje për plotësimin e mangësive në të dhënat dhe analizat e riskut të përshtatjes. Qeveria e Shqipërisë – Grupi Ndërministror i Punës për Ndryshimet Klimatike (GNPNK) - Ministria e Mjedisit. </w:t>
      </w:r>
      <w:r w:rsidRPr="00622884">
        <w:rPr>
          <w:rFonts w:ascii="Garamond" w:eastAsia="Calibri" w:hAnsi="Garamond" w:cs="Times New Roman"/>
          <w:i/>
          <w:sz w:val="20"/>
          <w:szCs w:val="20"/>
          <w:lang w:eastAsia="en-US" w:bidi="sq-AL"/>
        </w:rPr>
        <w:t xml:space="preserve">National and Sectoral Scenario Development Report </w:t>
      </w:r>
      <w:r w:rsidRPr="00622884">
        <w:rPr>
          <w:rFonts w:ascii="Garamond" w:eastAsia="Calibri" w:hAnsi="Garamond" w:cs="Times New Roman"/>
          <w:sz w:val="20"/>
          <w:szCs w:val="20"/>
          <w:lang w:eastAsia="en-US" w:bidi="sq-AL"/>
        </w:rPr>
        <w:t>[Raporti kombëtar dhe sektorial për zhvillimin e skenarëve] Baastel, janar 2023.</w:t>
      </w:r>
    </w:p>
    <w:p w14:paraId="313A3A7F" w14:textId="77777777" w:rsidR="00622884" w:rsidRPr="00622884" w:rsidRDefault="00622884" w:rsidP="00622884">
      <w:pPr>
        <w:spacing w:after="0" w:line="259" w:lineRule="auto"/>
        <w:rPr>
          <w:rFonts w:ascii="Garamond" w:eastAsia="Aptos" w:hAnsi="Garamond" w:cs="Arial"/>
          <w:color w:val="000000"/>
          <w:sz w:val="8"/>
          <w:szCs w:val="24"/>
          <w:lang w:eastAsia="en-US" w:bidi="sq-AL"/>
        </w:rPr>
      </w:pPr>
    </w:p>
    <w:p w14:paraId="21E2FA1F" w14:textId="77777777" w:rsidR="00622884" w:rsidRPr="00622884" w:rsidRDefault="00622884" w:rsidP="00622884">
      <w:pPr>
        <w:tabs>
          <w:tab w:val="left" w:pos="5325"/>
        </w:tabs>
        <w:spacing w:after="0" w:line="240" w:lineRule="auto"/>
        <w:ind w:firstLine="284"/>
        <w:rPr>
          <w:rFonts w:ascii="Garamond" w:eastAsia="SimSun" w:hAnsi="Garamond" w:cs="Times New Roman"/>
          <w:sz w:val="24"/>
          <w:szCs w:val="24"/>
          <w:lang w:eastAsia="en-US"/>
        </w:rPr>
      </w:pPr>
      <w:r w:rsidRPr="00622884">
        <w:rPr>
          <w:rFonts w:ascii="Garamond" w:eastAsia="Calibri" w:hAnsi="Garamond" w:cs="Times New Roman"/>
          <w:sz w:val="24"/>
          <w:szCs w:val="24"/>
          <w:lang w:eastAsia="en-US" w:bidi="sq-AL"/>
        </w:rPr>
        <w:t>Sa i përket reshjeve, vëzhgimet paraqesin një reduktim prej rreth 100 mm të totalit vjetor mes viteve 1951 dhe 2001, kryesisht gjatë dimrit dhe pranverës, megjithatë nuk ka një tendencë stinore të dallueshme.</w:t>
      </w:r>
      <w:r w:rsidRPr="00622884" w:rsidDel="00C823CF">
        <w:rPr>
          <w:rFonts w:ascii="Garamond" w:eastAsia="Calibri" w:hAnsi="Garamond" w:cs="Times New Roman"/>
          <w:sz w:val="24"/>
          <w:szCs w:val="24"/>
          <w:lang w:eastAsia="en-US" w:bidi="sq-AL"/>
        </w:rPr>
        <w:t xml:space="preserve"> </w:t>
      </w:r>
      <w:r w:rsidRPr="00622884">
        <w:rPr>
          <w:rFonts w:ascii="Garamond" w:eastAsia="Calibri" w:hAnsi="Garamond" w:cs="Times New Roman"/>
          <w:sz w:val="24"/>
          <w:szCs w:val="24"/>
          <w:lang w:eastAsia="en-US" w:bidi="sq-AL"/>
        </w:rPr>
        <w:t>Në figurën 24 më poshtë ilustrohet variabiliteti ndërvjetor i tendencës së reshjeve totale në Kukës.</w:t>
      </w:r>
      <w:r w:rsidRPr="00622884">
        <w:rPr>
          <w:rFonts w:ascii="Garamond" w:eastAsia="Calibri" w:hAnsi="Garamond" w:cs="Times New Roman"/>
          <w:sz w:val="24"/>
          <w:szCs w:val="24"/>
          <w:vertAlign w:val="superscript"/>
          <w:lang w:eastAsia="en-US" w:bidi="sq-AL"/>
        </w:rPr>
        <w:footnoteReference w:id="231"/>
      </w:r>
    </w:p>
    <w:p w14:paraId="1BA244E4" w14:textId="77777777" w:rsidR="00622884" w:rsidRPr="00622884" w:rsidRDefault="00622884" w:rsidP="00622884">
      <w:pPr>
        <w:spacing w:after="0" w:line="259" w:lineRule="auto"/>
        <w:jc w:val="center"/>
        <w:rPr>
          <w:rFonts w:ascii="Garamond" w:eastAsia="SimSun" w:hAnsi="Garamond" w:cs="Times New Roman"/>
          <w:color w:val="1D3C5A"/>
          <w:sz w:val="24"/>
          <w:szCs w:val="24"/>
          <w:lang w:eastAsia="en-US"/>
        </w:rPr>
      </w:pPr>
      <w:r w:rsidRPr="00622884">
        <w:rPr>
          <w:rFonts w:ascii="Garamond" w:eastAsia="Aptos" w:hAnsi="Garamond" w:cs="Arial"/>
          <w:noProof/>
          <w:color w:val="1D3C5A"/>
          <w:sz w:val="24"/>
          <w:szCs w:val="24"/>
          <w:lang w:eastAsia="sq-AL"/>
        </w:rPr>
        <w:lastRenderedPageBreak/>
        <w:drawing>
          <wp:inline distT="0" distB="0" distL="0" distR="0" wp14:anchorId="36D743D3" wp14:editId="7B51D003">
            <wp:extent cx="4019550" cy="1758461"/>
            <wp:effectExtent l="0" t="0" r="0" b="0"/>
            <wp:docPr id="656" name="Picture 65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rrowheads="1"/>
                    </pic:cNvPicPr>
                  </pic:nvPicPr>
                  <pic:blipFill>
                    <a:blip r:embed="rId105" cstate="print">
                      <a:extLst>
                        <a:ext uri="{28A0092B-C50C-407E-A947-70E740481C1C}">
                          <a14:useLocalDpi xmlns:a14="http://schemas.microsoft.com/office/drawing/2010/main" val="0"/>
                        </a:ext>
                      </a:extLst>
                    </a:blip>
                    <a:srcRect/>
                    <a:stretch>
                      <a:fillRect/>
                    </a:stretch>
                  </pic:blipFill>
                  <pic:spPr bwMode="auto">
                    <a:xfrm>
                      <a:off x="0" y="0"/>
                      <a:ext cx="4028173" cy="1762233"/>
                    </a:xfrm>
                    <a:prstGeom prst="rect">
                      <a:avLst/>
                    </a:prstGeom>
                    <a:noFill/>
                    <a:ln>
                      <a:noFill/>
                    </a:ln>
                  </pic:spPr>
                </pic:pic>
              </a:graphicData>
            </a:graphic>
          </wp:inline>
        </w:drawing>
      </w:r>
    </w:p>
    <w:p w14:paraId="3B399933" w14:textId="77777777" w:rsidR="00622884" w:rsidRPr="00622884" w:rsidRDefault="00622884" w:rsidP="00622884">
      <w:pPr>
        <w:tabs>
          <w:tab w:val="left" w:pos="5325"/>
        </w:tabs>
        <w:spacing w:after="0" w:line="240" w:lineRule="auto"/>
        <w:ind w:firstLine="284"/>
        <w:jc w:val="center"/>
        <w:rPr>
          <w:rFonts w:ascii="Garamond" w:eastAsia="Calibri" w:hAnsi="Garamond" w:cs="Times New Roman"/>
          <w:i/>
          <w:sz w:val="20"/>
          <w:szCs w:val="20"/>
          <w:lang w:eastAsia="en-US" w:bidi="sq-AL"/>
        </w:rPr>
      </w:pPr>
      <w:r w:rsidRPr="00622884">
        <w:rPr>
          <w:rFonts w:ascii="Garamond" w:eastAsia="Calibri" w:hAnsi="Garamond" w:cs="Times New Roman"/>
          <w:i/>
          <w:sz w:val="20"/>
          <w:szCs w:val="20"/>
          <w:lang w:eastAsia="en-US" w:bidi="sq-AL"/>
        </w:rPr>
        <w:t>Figura 24. Reshjet ndërvjetore totale të vëzhguara në Kukës.</w:t>
      </w:r>
    </w:p>
    <w:p w14:paraId="2BB7001D" w14:textId="77777777" w:rsidR="00622884" w:rsidRPr="00622884" w:rsidRDefault="00622884" w:rsidP="00622884">
      <w:pPr>
        <w:tabs>
          <w:tab w:val="left" w:pos="5325"/>
        </w:tabs>
        <w:spacing w:after="0" w:line="240" w:lineRule="auto"/>
        <w:ind w:firstLine="284"/>
        <w:rPr>
          <w:rFonts w:ascii="Garamond" w:eastAsia="Calibri" w:hAnsi="Garamond" w:cs="Times New Roman"/>
          <w:sz w:val="20"/>
          <w:szCs w:val="20"/>
          <w:lang w:eastAsia="en-US" w:bidi="sq-AL"/>
        </w:rPr>
      </w:pPr>
      <w:r w:rsidRPr="00622884">
        <w:rPr>
          <w:rFonts w:ascii="Garamond" w:eastAsia="Calibri" w:hAnsi="Garamond" w:cs="Times New Roman"/>
          <w:sz w:val="20"/>
          <w:szCs w:val="20"/>
          <w:lang w:eastAsia="en-US" w:bidi="sq-AL"/>
        </w:rPr>
        <w:t xml:space="preserve">Burimi: Mbështetje për plotësimin e mangësive në të dhënat dhe analizat e riskut të përshtatjes. Qeveria e Shqipërisë - Grupi Ndërministror i Punës për Ndryshimet Klimatike (GNPNK) - Ministria e Mjedisit. </w:t>
      </w:r>
      <w:r w:rsidRPr="00622884">
        <w:rPr>
          <w:rFonts w:ascii="Garamond" w:eastAsia="Calibri" w:hAnsi="Garamond" w:cs="Times New Roman"/>
          <w:i/>
          <w:sz w:val="20"/>
          <w:szCs w:val="20"/>
          <w:lang w:eastAsia="en-US" w:bidi="sq-AL"/>
        </w:rPr>
        <w:t>National and Sectoral Scenario Development Report</w:t>
      </w:r>
      <w:r w:rsidRPr="00622884">
        <w:rPr>
          <w:rFonts w:ascii="Garamond" w:eastAsia="Calibri" w:hAnsi="Garamond" w:cs="Times New Roman"/>
          <w:sz w:val="20"/>
          <w:szCs w:val="20"/>
          <w:lang w:eastAsia="en-US" w:bidi="sq-AL"/>
        </w:rPr>
        <w:t xml:space="preserve"> [Raporti kombëtar dhe sektorial për zhvillimin e skenarëve] Baastel, janar 2023.</w:t>
      </w:r>
    </w:p>
    <w:p w14:paraId="268C100F" w14:textId="77777777" w:rsidR="00622884" w:rsidRPr="00622884" w:rsidRDefault="00622884" w:rsidP="00622884">
      <w:pPr>
        <w:spacing w:after="0" w:line="240" w:lineRule="auto"/>
        <w:rPr>
          <w:rFonts w:ascii="Garamond" w:eastAsia="SimSun" w:hAnsi="Garamond" w:cs="Calibri Light"/>
          <w:color w:val="1D3C5A"/>
          <w:sz w:val="12"/>
          <w:szCs w:val="24"/>
          <w:lang w:eastAsia="en-US" w:bidi="sq-AL"/>
        </w:rPr>
      </w:pPr>
    </w:p>
    <w:p w14:paraId="6650D9C7"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r w:rsidRPr="00622884">
        <w:rPr>
          <w:rFonts w:ascii="Garamond" w:eastAsia="Calibri" w:hAnsi="Garamond" w:cs="Times New Roman"/>
          <w:sz w:val="24"/>
          <w:szCs w:val="24"/>
          <w:lang w:eastAsia="en-US" w:bidi="sq-AL"/>
        </w:rPr>
        <w:t>Më poshtë paraqiten parashikime vendore të temperaturës, reshjeve dhe rritjes së nivelit të detit, duke plotësuar analizat në shkallë kombëtare të diskutuara në raportin kryesor. Këta shembuj ilustrojnë variacionin hapësinor të ndryshimeve klimatike të parashikuara në zonat kryesore klimatike të Shqipërisë.</w:t>
      </w:r>
    </w:p>
    <w:p w14:paraId="46BF8853"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r w:rsidRPr="00622884">
        <w:rPr>
          <w:rFonts w:ascii="Garamond" w:eastAsia="Calibri" w:hAnsi="Garamond" w:cs="Times New Roman"/>
          <w:sz w:val="24"/>
          <w:szCs w:val="24"/>
          <w:lang w:eastAsia="en-US" w:bidi="sq-AL"/>
        </w:rPr>
        <w:t>Në Kukës,</w:t>
      </w:r>
      <w:r w:rsidRPr="00622884">
        <w:rPr>
          <w:rFonts w:ascii="Garamond" w:eastAsia="Calibri" w:hAnsi="Garamond" w:cs="Times New Roman"/>
          <w:sz w:val="24"/>
          <w:szCs w:val="24"/>
          <w:vertAlign w:val="superscript"/>
          <w:lang w:eastAsia="en-US" w:bidi="sq-AL"/>
        </w:rPr>
        <w:footnoteReference w:id="232"/>
      </w:r>
      <w:r w:rsidRPr="00622884">
        <w:rPr>
          <w:rFonts w:ascii="Garamond" w:eastAsia="Calibri" w:hAnsi="Garamond" w:cs="Times New Roman"/>
          <w:sz w:val="24"/>
          <w:szCs w:val="24"/>
          <w:lang w:eastAsia="en-US" w:bidi="sq-AL"/>
        </w:rPr>
        <w:t xml:space="preserve"> temperatura mesatare vjetore (Tmesatare) parashikohet të rritet sipas të gjithë skenarëve të shkarkimeve, ku do të vihet re një rritje më e theksuar gjatë verës dhe vjeshtës.</w:t>
      </w:r>
    </w:p>
    <w:p w14:paraId="3CDDBA9C"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bidi="sq-AL"/>
        </w:rPr>
      </w:pPr>
      <w:r w:rsidRPr="00622884">
        <w:rPr>
          <w:rFonts w:ascii="Garamond" w:eastAsia="Calibri" w:hAnsi="Garamond" w:cs="Times New Roman"/>
          <w:sz w:val="24"/>
          <w:szCs w:val="24"/>
          <w:lang w:eastAsia="en-US" w:bidi="sq-AL"/>
        </w:rPr>
        <w:t>Deri në vitin 2050, rritjet e temperaturës mund të variojnë nga 0.9°C (SPS1-1.9) deri në 2.0°C (SPS5-8.5) në krahasim me vlerat bazë, ndërsa deri në vitin 2100, rritja mund të arrijë deri në 6.0°C në kushtet e shkarkimeve të larta. Këto tendenca do të thonë valë të të nxehtit më të shpeshta dhe më të zgjatura, veçanërisht në zonat fushore dhe kodrinore.</w:t>
      </w:r>
    </w:p>
    <w:p w14:paraId="214CC013" w14:textId="77777777" w:rsidR="00622884" w:rsidRPr="00622884" w:rsidRDefault="00622884" w:rsidP="00622884">
      <w:pPr>
        <w:tabs>
          <w:tab w:val="left" w:pos="5325"/>
        </w:tabs>
        <w:spacing w:after="0" w:line="240" w:lineRule="auto"/>
        <w:ind w:firstLine="284"/>
        <w:rPr>
          <w:rFonts w:ascii="Garamond" w:eastAsia="Calibri" w:hAnsi="Garamond" w:cs="Times New Roman"/>
          <w:sz w:val="6"/>
          <w:szCs w:val="24"/>
          <w:lang w:eastAsia="en-US"/>
        </w:rPr>
      </w:pPr>
    </w:p>
    <w:p w14:paraId="187164BC" w14:textId="77777777" w:rsidR="00622884" w:rsidRPr="00622884" w:rsidRDefault="00622884" w:rsidP="00622884">
      <w:pPr>
        <w:spacing w:after="0" w:line="240" w:lineRule="auto"/>
        <w:rPr>
          <w:rFonts w:ascii="Garamond" w:eastAsia="SimSun" w:hAnsi="Garamond" w:cs="Calibri Light"/>
          <w:i/>
          <w:color w:val="1D3C5A"/>
          <w:sz w:val="24"/>
          <w:szCs w:val="24"/>
          <w:lang w:eastAsia="en-US" w:bidi="sq-AL"/>
        </w:rPr>
      </w:pPr>
      <w:bookmarkStart w:id="319" w:name="_Toc213936097"/>
      <w:r w:rsidRPr="00622884">
        <w:rPr>
          <w:rFonts w:ascii="Garamond" w:eastAsia="SimSun" w:hAnsi="Garamond" w:cs="Calibri Light"/>
          <w:i/>
          <w:noProof/>
          <w:color w:val="1D3C5A"/>
          <w:sz w:val="24"/>
          <w:szCs w:val="24"/>
          <w:lang w:eastAsia="sq-AL"/>
        </w:rPr>
        <w:drawing>
          <wp:inline distT="0" distB="0" distL="0" distR="0" wp14:anchorId="0CA6058B" wp14:editId="582F621D">
            <wp:extent cx="5514975" cy="1535034"/>
            <wp:effectExtent l="0" t="0" r="0" b="8255"/>
            <wp:docPr id="1468967809" name="Picture 14689678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5529222" cy="1539000"/>
                    </a:xfrm>
                    <a:prstGeom prst="rect">
                      <a:avLst/>
                    </a:prstGeom>
                    <a:noFill/>
                  </pic:spPr>
                </pic:pic>
              </a:graphicData>
            </a:graphic>
          </wp:inline>
        </w:drawing>
      </w:r>
    </w:p>
    <w:bookmarkEnd w:id="319"/>
    <w:p w14:paraId="51322CE1" w14:textId="77777777" w:rsidR="00622884" w:rsidRPr="00622884" w:rsidRDefault="00622884" w:rsidP="00622884">
      <w:pPr>
        <w:spacing w:after="0" w:line="240" w:lineRule="auto"/>
        <w:jc w:val="center"/>
        <w:rPr>
          <w:rFonts w:ascii="Garamond" w:eastAsia="SimSun" w:hAnsi="Garamond" w:cs="Calibri Light"/>
          <w:i/>
          <w:color w:val="000000"/>
          <w:sz w:val="20"/>
          <w:szCs w:val="20"/>
          <w:lang w:eastAsia="en-US" w:bidi="sq-AL"/>
        </w:rPr>
      </w:pPr>
      <w:r w:rsidRPr="00622884">
        <w:rPr>
          <w:rFonts w:ascii="Garamond" w:eastAsia="SimSun" w:hAnsi="Garamond" w:cs="Calibri Light"/>
          <w:i/>
          <w:color w:val="000000"/>
          <w:sz w:val="20"/>
          <w:szCs w:val="20"/>
          <w:lang w:eastAsia="en-US" w:bidi="sq-AL"/>
        </w:rPr>
        <w:t>Figura 25. Ndryshimi i projektuar i temperaturës mesatare (Tmesatare) në dimër dhe verë (°C) për SPSx-y të ndryshme, Kukës.</w:t>
      </w:r>
    </w:p>
    <w:p w14:paraId="0CF09081" w14:textId="77777777" w:rsidR="00622884" w:rsidRPr="00622884" w:rsidRDefault="00622884" w:rsidP="00622884">
      <w:pPr>
        <w:spacing w:after="0" w:line="240" w:lineRule="auto"/>
        <w:rPr>
          <w:rFonts w:ascii="Garamond" w:eastAsia="SimSun" w:hAnsi="Garamond" w:cs="Calibri Light"/>
          <w:color w:val="000000"/>
          <w:sz w:val="14"/>
          <w:szCs w:val="24"/>
          <w:lang w:eastAsia="en-US" w:bidi="sq-AL"/>
        </w:rPr>
      </w:pPr>
    </w:p>
    <w:p w14:paraId="03E45366"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r w:rsidRPr="00622884">
        <w:rPr>
          <w:rFonts w:ascii="Garamond" w:eastAsia="Calibri" w:hAnsi="Garamond" w:cs="Times New Roman"/>
          <w:sz w:val="24"/>
          <w:szCs w:val="24"/>
          <w:lang w:eastAsia="en-US" w:bidi="sq-AL"/>
        </w:rPr>
        <w:t>Tendencat e parashikuara të reshjeve tregojnë një rënie të përgjithshme të totalit vjetor të kombinuar me një rritje të shpeshtësisë dhe intensitetit të ngjarjeve ekstreme të reshjeve. Deri në vitin 2050, reshjet parashikohet të ulen me 2</w:t>
      </w:r>
      <w:r w:rsidRPr="00622884">
        <w:rPr>
          <w:rFonts w:ascii="Garamond" w:eastAsia="Calibri" w:hAnsi="Garamond" w:cs="Times New Roman"/>
          <w:sz w:val="24"/>
          <w:szCs w:val="24"/>
          <w:lang w:eastAsia="en-US"/>
        </w:rPr>
        <w:t>–</w:t>
      </w:r>
      <w:r w:rsidRPr="00622884">
        <w:rPr>
          <w:rFonts w:ascii="Garamond" w:eastAsia="Calibri" w:hAnsi="Garamond" w:cs="Times New Roman"/>
          <w:sz w:val="24"/>
          <w:szCs w:val="24"/>
          <w:lang w:eastAsia="en-US" w:bidi="sq-AL"/>
        </w:rPr>
        <w:t>6% në vit, ku reduktimet më të rëndësishme do të prekin stinën e verës, duke arritur deri në -17% në skenarët me shkarkime të larta.</w:t>
      </w:r>
    </w:p>
    <w:p w14:paraId="69601BD0"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r w:rsidRPr="00622884">
        <w:rPr>
          <w:rFonts w:ascii="Garamond" w:eastAsia="Calibri" w:hAnsi="Garamond" w:cs="Times New Roman"/>
          <w:sz w:val="24"/>
          <w:szCs w:val="24"/>
          <w:lang w:eastAsia="en-US" w:bidi="sq-AL"/>
        </w:rPr>
        <w:t>Në Lezhë, ulja e reshjeve do të shoqërohet me një variabilitet më të lartë shirave dhe me rritjen e probabilitetit të ngjarjeve të reshjeve të shkurtra dhe intensive</w:t>
      </w:r>
      <w:r w:rsidRPr="00622884">
        <w:rPr>
          <w:rFonts w:ascii="Garamond" w:eastAsia="Calibri" w:hAnsi="Garamond" w:cs="Times New Roman"/>
          <w:sz w:val="24"/>
          <w:szCs w:val="24"/>
          <w:vertAlign w:val="superscript"/>
          <w:lang w:eastAsia="en-US" w:bidi="sq-AL"/>
        </w:rPr>
        <w:footnoteReference w:id="233"/>
      </w:r>
      <w:r w:rsidRPr="00622884">
        <w:rPr>
          <w:rFonts w:ascii="Garamond" w:eastAsia="Calibri" w:hAnsi="Garamond" w:cs="Times New Roman"/>
          <w:sz w:val="24"/>
          <w:szCs w:val="24"/>
          <w:lang w:eastAsia="en-US" w:bidi="sq-AL"/>
        </w:rPr>
        <w:t>:</w:t>
      </w:r>
    </w:p>
    <w:p w14:paraId="2717D767" w14:textId="77777777" w:rsidR="00622884" w:rsidRPr="00622884" w:rsidRDefault="00622884" w:rsidP="00622884">
      <w:pPr>
        <w:spacing w:after="0" w:line="240" w:lineRule="auto"/>
        <w:rPr>
          <w:rFonts w:ascii="Garamond" w:eastAsia="SimSun" w:hAnsi="Garamond" w:cs="Calibri Light"/>
          <w:color w:val="1D3C5A"/>
          <w:sz w:val="24"/>
          <w:szCs w:val="24"/>
          <w:lang w:eastAsia="en-US"/>
        </w:rPr>
      </w:pPr>
      <w:r w:rsidRPr="00622884">
        <w:rPr>
          <w:rFonts w:ascii="Garamond" w:eastAsia="SimSun" w:hAnsi="Garamond" w:cs="Calibri Light"/>
          <w:noProof/>
          <w:color w:val="1D3C5A"/>
          <w:sz w:val="24"/>
          <w:szCs w:val="24"/>
          <w:lang w:eastAsia="sq-AL"/>
        </w:rPr>
        <w:lastRenderedPageBreak/>
        <w:drawing>
          <wp:inline distT="0" distB="0" distL="0" distR="0" wp14:anchorId="2CD3CA5A" wp14:editId="5406B40A">
            <wp:extent cx="5664200" cy="1456420"/>
            <wp:effectExtent l="0" t="0" r="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1"/>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5687731" cy="1462471"/>
                    </a:xfrm>
                    <a:prstGeom prst="rect">
                      <a:avLst/>
                    </a:prstGeom>
                    <a:noFill/>
                    <a:ln>
                      <a:noFill/>
                    </a:ln>
                  </pic:spPr>
                </pic:pic>
              </a:graphicData>
            </a:graphic>
          </wp:inline>
        </w:drawing>
      </w:r>
    </w:p>
    <w:p w14:paraId="58AF3FEA" w14:textId="77777777" w:rsidR="00622884" w:rsidRPr="00622884" w:rsidRDefault="00622884" w:rsidP="00622884">
      <w:pPr>
        <w:spacing w:after="0" w:line="240" w:lineRule="auto"/>
        <w:jc w:val="center"/>
        <w:rPr>
          <w:rFonts w:ascii="Garamond" w:eastAsia="SimSun" w:hAnsi="Garamond" w:cs="Calibri Light"/>
          <w:i/>
          <w:color w:val="000000"/>
          <w:sz w:val="20"/>
          <w:szCs w:val="20"/>
          <w:lang w:eastAsia="en-US" w:bidi="sq-AL"/>
        </w:rPr>
      </w:pPr>
      <w:r w:rsidRPr="00622884">
        <w:rPr>
          <w:rFonts w:ascii="Garamond" w:eastAsia="SimSun" w:hAnsi="Garamond" w:cs="Calibri Light"/>
          <w:i/>
          <w:color w:val="000000"/>
          <w:sz w:val="20"/>
          <w:szCs w:val="20"/>
          <w:lang w:eastAsia="en-US" w:bidi="sq-AL"/>
        </w:rPr>
        <w:t>Figura 26. Ndryshimet e parashikuara të reshjeve, vjetore dhe verore (%), zona e Lezhës.</w:t>
      </w:r>
    </w:p>
    <w:p w14:paraId="5633E85F" w14:textId="77777777" w:rsidR="00622884" w:rsidRPr="00622884" w:rsidRDefault="00622884" w:rsidP="00622884">
      <w:pPr>
        <w:spacing w:after="0" w:line="240" w:lineRule="auto"/>
        <w:rPr>
          <w:rFonts w:ascii="Garamond" w:eastAsia="SimSun" w:hAnsi="Garamond" w:cs="Calibri Light"/>
          <w:color w:val="000000"/>
          <w:sz w:val="10"/>
          <w:szCs w:val="24"/>
          <w:lang w:eastAsia="en-US" w:bidi="sq-AL"/>
        </w:rPr>
      </w:pPr>
    </w:p>
    <w:p w14:paraId="206661BA" w14:textId="77777777" w:rsidR="00622884" w:rsidRPr="00622884" w:rsidRDefault="00622884" w:rsidP="00622884">
      <w:pPr>
        <w:spacing w:after="0" w:line="240" w:lineRule="auto"/>
        <w:rPr>
          <w:rFonts w:ascii="Garamond" w:eastAsia="SimSun" w:hAnsi="Garamond" w:cs="Calibri Light"/>
          <w:color w:val="000000"/>
          <w:sz w:val="24"/>
          <w:szCs w:val="24"/>
          <w:lang w:eastAsia="en-US" w:bidi="sq-AL"/>
        </w:rPr>
      </w:pPr>
      <w:r w:rsidRPr="00622884">
        <w:rPr>
          <w:rFonts w:ascii="Garamond" w:eastAsia="SimSun" w:hAnsi="Garamond" w:cs="Calibri Light"/>
          <w:color w:val="000000"/>
          <w:sz w:val="24"/>
          <w:szCs w:val="24"/>
          <w:lang w:eastAsia="en-US" w:bidi="sq-AL"/>
        </w:rPr>
        <w:t>Më në jug, Vlora shfaq modele të ngjashme, me një rënie të reshjeve mesatare vjetore dhe intensitet më të madh gjatë episodeve ekstreme të reshjeve, veçanërisht nën SPS5-8.5.</w:t>
      </w:r>
    </w:p>
    <w:p w14:paraId="12BFCE8D" w14:textId="77777777" w:rsidR="00622884" w:rsidRPr="00622884" w:rsidRDefault="00622884" w:rsidP="00622884">
      <w:pPr>
        <w:spacing w:after="0" w:line="240" w:lineRule="auto"/>
        <w:rPr>
          <w:rFonts w:ascii="Garamond" w:eastAsia="SimSun" w:hAnsi="Garamond" w:cs="Calibri Light"/>
          <w:color w:val="000000"/>
          <w:sz w:val="24"/>
          <w:szCs w:val="24"/>
          <w:lang w:eastAsia="en-US" w:bidi="sq-AL"/>
        </w:rPr>
      </w:pPr>
    </w:p>
    <w:p w14:paraId="6363B09E" w14:textId="77777777" w:rsidR="00622884" w:rsidRPr="00622884" w:rsidRDefault="00622884" w:rsidP="00622884">
      <w:pPr>
        <w:keepNext/>
        <w:spacing w:after="0" w:line="259" w:lineRule="auto"/>
        <w:jc w:val="center"/>
        <w:rPr>
          <w:rFonts w:ascii="Garamond" w:eastAsia="Aptos" w:hAnsi="Garamond" w:cs="Calibri Light"/>
          <w:kern w:val="2"/>
          <w:sz w:val="24"/>
          <w:szCs w:val="24"/>
          <w:lang w:eastAsia="en-US"/>
        </w:rPr>
      </w:pPr>
      <w:r w:rsidRPr="00622884">
        <w:rPr>
          <w:rFonts w:ascii="Garamond" w:eastAsia="Aptos" w:hAnsi="Garamond" w:cs="Arial"/>
          <w:noProof/>
          <w:kern w:val="2"/>
          <w:sz w:val="24"/>
          <w:szCs w:val="24"/>
          <w:lang w:eastAsia="sq-AL"/>
        </w:rPr>
        <w:drawing>
          <wp:inline distT="0" distB="0" distL="0" distR="0" wp14:anchorId="2035B934" wp14:editId="480EC400">
            <wp:extent cx="3558299" cy="1381760"/>
            <wp:effectExtent l="19050" t="19050" r="23495" b="27940"/>
            <wp:docPr id="55" name="Picture 55" descr="Afbeelding met tekst, schermopname, lijn, Paralle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fbeelding met tekst, schermopname, lijn, Parallel&#10;&#10;Automatisch gegenereerde beschrijving"/>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3574917" cy="1388213"/>
                    </a:xfrm>
                    <a:prstGeom prst="rect">
                      <a:avLst/>
                    </a:prstGeom>
                    <a:noFill/>
                    <a:ln w="9525" cmpd="sng">
                      <a:solidFill>
                        <a:srgbClr val="156082"/>
                      </a:solidFill>
                      <a:miter lim="800000"/>
                      <a:headEnd/>
                      <a:tailEnd/>
                    </a:ln>
                    <a:effectLst/>
                  </pic:spPr>
                </pic:pic>
              </a:graphicData>
            </a:graphic>
          </wp:inline>
        </w:drawing>
      </w:r>
    </w:p>
    <w:p w14:paraId="027B7C7D" w14:textId="77777777" w:rsidR="00622884" w:rsidRPr="00622884" w:rsidRDefault="00622884" w:rsidP="00622884">
      <w:pPr>
        <w:tabs>
          <w:tab w:val="left" w:pos="5325"/>
        </w:tabs>
        <w:spacing w:after="0" w:line="240" w:lineRule="auto"/>
        <w:ind w:firstLine="284"/>
        <w:jc w:val="center"/>
        <w:rPr>
          <w:rFonts w:ascii="Garamond" w:eastAsia="Calibri" w:hAnsi="Garamond" w:cs="Times New Roman"/>
          <w:i/>
          <w:sz w:val="20"/>
          <w:szCs w:val="20"/>
          <w:lang w:eastAsia="en-US" w:bidi="sq-AL"/>
        </w:rPr>
      </w:pPr>
      <w:r w:rsidRPr="00622884">
        <w:rPr>
          <w:rFonts w:ascii="Garamond" w:eastAsia="Calibri" w:hAnsi="Garamond" w:cs="Times New Roman"/>
          <w:i/>
          <w:sz w:val="20"/>
          <w:szCs w:val="20"/>
          <w:lang w:eastAsia="en-US" w:bidi="sq-AL"/>
        </w:rPr>
        <w:t>Figura 27. Ndryshimet e mundshme të reshjeve vjetore në Vlorë.</w:t>
      </w:r>
    </w:p>
    <w:p w14:paraId="566367C7" w14:textId="77777777" w:rsidR="00622884" w:rsidRPr="00622884" w:rsidRDefault="00622884" w:rsidP="00622884">
      <w:pPr>
        <w:tabs>
          <w:tab w:val="left" w:pos="5325"/>
        </w:tabs>
        <w:spacing w:after="0" w:line="240" w:lineRule="auto"/>
        <w:ind w:firstLine="284"/>
        <w:rPr>
          <w:rFonts w:ascii="Garamond" w:eastAsia="Calibri" w:hAnsi="Garamond" w:cs="Times New Roman"/>
          <w:sz w:val="8"/>
          <w:szCs w:val="24"/>
          <w:lang w:eastAsia="en-US" w:bidi="sq-AL"/>
        </w:rPr>
      </w:pPr>
    </w:p>
    <w:p w14:paraId="3E91291E"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r w:rsidRPr="00622884">
        <w:rPr>
          <w:rFonts w:ascii="Garamond" w:eastAsia="Calibri" w:hAnsi="Garamond" w:cs="Times New Roman"/>
          <w:sz w:val="24"/>
          <w:szCs w:val="24"/>
          <w:lang w:eastAsia="en-US" w:bidi="sq-AL"/>
        </w:rPr>
        <w:t>Në Gjirokastër, pritet që reshjet të bëhen më të çrregullta dhe të shpërndara në mënyrë jo uniforme, me periudha të alternuara të thatësirës dhe lagështisë, që mund të rrisin riskun e thatësirave dhe përmbytjeve të lokalizuara.</w:t>
      </w:r>
    </w:p>
    <w:p w14:paraId="61E33CFD" w14:textId="77777777" w:rsidR="00622884" w:rsidRPr="00622884" w:rsidRDefault="00622884" w:rsidP="00622884">
      <w:pPr>
        <w:spacing w:after="0" w:line="240" w:lineRule="auto"/>
        <w:jc w:val="center"/>
        <w:rPr>
          <w:rFonts w:ascii="Garamond" w:eastAsia="SimSun" w:hAnsi="Garamond" w:cs="Calibri Light"/>
          <w:color w:val="1D3C5A"/>
          <w:sz w:val="24"/>
          <w:szCs w:val="24"/>
          <w:lang w:eastAsia="en-US"/>
        </w:rPr>
      </w:pPr>
      <w:r w:rsidRPr="00622884">
        <w:rPr>
          <w:rFonts w:ascii="Garamond" w:eastAsia="SimSun" w:hAnsi="Garamond" w:cs="Calibri Light"/>
          <w:noProof/>
          <w:color w:val="1D3C5A"/>
          <w:sz w:val="24"/>
          <w:szCs w:val="24"/>
          <w:lang w:eastAsia="sq-AL"/>
        </w:rPr>
        <mc:AlternateContent>
          <mc:Choice Requires="wps">
            <w:drawing>
              <wp:anchor distT="0" distB="0" distL="114300" distR="114300" simplePos="0" relativeHeight="251666442" behindDoc="0" locked="0" layoutInCell="1" allowOverlap="1" wp14:anchorId="7982121B" wp14:editId="0DFD9B69">
                <wp:simplePos x="0" y="0"/>
                <wp:positionH relativeFrom="column">
                  <wp:posOffset>1279525</wp:posOffset>
                </wp:positionH>
                <wp:positionV relativeFrom="paragraph">
                  <wp:posOffset>1727200</wp:posOffset>
                </wp:positionV>
                <wp:extent cx="1440815" cy="281305"/>
                <wp:effectExtent l="0" t="0" r="0" b="0"/>
                <wp:wrapNone/>
                <wp:docPr id="63" name="Rectangle 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40815" cy="281305"/>
                        </a:xfrm>
                        <a:prstGeom prst="rect">
                          <a:avLst/>
                        </a:prstGeom>
                      </wps:spPr>
                      <wps:txbx>
                        <w:txbxContent>
                          <w:p w14:paraId="0376FC15" w14:textId="77777777" w:rsidR="00622884" w:rsidRPr="005D4FCA" w:rsidRDefault="00622884" w:rsidP="00622884">
                            <w:pPr>
                              <w:rPr>
                                <w:rFonts w:ascii="Calibri" w:hAnsi="Calibri" w:cs="Calibri"/>
                                <w:color w:val="FF0000"/>
                                <w:kern w:val="24"/>
                              </w:rPr>
                            </w:pPr>
                            <w:r w:rsidRPr="005D4FCA">
                              <w:rPr>
                                <w:color w:val="FF0000"/>
                                <w:kern w:val="24"/>
                                <w:lang w:bidi="sq-AL"/>
                              </w:rPr>
                              <w:t>Treguesi i thatësirës</w:t>
                            </w:r>
                          </w:p>
                        </w:txbxContent>
                      </wps:txbx>
                      <wps:bodyPr wrap="none">
                        <a:noAutofit/>
                      </wps:bodyPr>
                    </wps:wsp>
                  </a:graphicData>
                </a:graphic>
                <wp14:sizeRelH relativeFrom="page">
                  <wp14:pctWidth>0</wp14:pctWidth>
                </wp14:sizeRelH>
                <wp14:sizeRelV relativeFrom="margin">
                  <wp14:pctHeight>0</wp14:pctHeight>
                </wp14:sizeRelV>
              </wp:anchor>
            </w:drawing>
          </mc:Choice>
          <mc:Fallback>
            <w:pict>
              <v:rect w14:anchorId="7982121B" id="Rectangle 63" o:spid="_x0000_s1030" style="position:absolute;left:0;text-align:left;margin-left:100.75pt;margin-top:136pt;width:113.45pt;height:22.15pt;z-index:25166644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" filled="f" stroked="f">
                <v:textbox>
                  <w:txbxContent>
                    <w:p w14:paraId="0376FC15" w14:textId="77777777" w:rsidR="00622884" w:rsidRPr="005D4FCA" w:rsidRDefault="00622884" w:rsidP="00622884">
                      <w:pPr>
                        <w:rPr>
                          <w:rFonts w:ascii="Calibri" w:hAnsi="Calibri" w:cs="Calibri"/>
                          <w:color w:val="FF0000"/>
                          <w:kern w:val="24"/>
                        </w:rPr>
                      </w:pPr>
                      <w:r w:rsidRPr="005D4FCA">
                        <w:rPr>
                          <w:color w:val="FF0000"/>
                          <w:kern w:val="24"/>
                          <w:lang w:bidi="sq-AL"/>
                        </w:rPr>
                        <w:t>Treguesi i thatësirës</w:t>
                      </w:r>
                    </w:p>
                  </w:txbxContent>
                </v:textbox>
              </v:rect>
            </w:pict>
          </mc:Fallback>
        </mc:AlternateContent>
      </w:r>
      <w:r w:rsidRPr="00622884">
        <w:rPr>
          <w:rFonts w:ascii="Garamond" w:eastAsia="SimSun" w:hAnsi="Garamond" w:cs="Calibri Light"/>
          <w:noProof/>
          <w:color w:val="1D3C5A"/>
          <w:sz w:val="24"/>
          <w:szCs w:val="24"/>
          <w:lang w:eastAsia="sq-AL"/>
        </w:rPr>
        <mc:AlternateContent>
          <mc:Choice Requires="wps">
            <w:drawing>
              <wp:anchor distT="0" distB="0" distL="114300" distR="114300" simplePos="0" relativeHeight="251665418" behindDoc="0" locked="0" layoutInCell="1" allowOverlap="1" wp14:anchorId="553FB986" wp14:editId="08BD343B">
                <wp:simplePos x="0" y="0"/>
                <wp:positionH relativeFrom="margin">
                  <wp:align>center</wp:align>
                </wp:positionH>
                <wp:positionV relativeFrom="paragraph">
                  <wp:posOffset>1678940</wp:posOffset>
                </wp:positionV>
                <wp:extent cx="584835" cy="175260"/>
                <wp:effectExtent l="0" t="57150" r="5715" b="34290"/>
                <wp:wrapNone/>
                <wp:docPr id="62" name="Straight Arrow Connector 6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584835" cy="175260"/>
                        </a:xfrm>
                        <a:prstGeom prst="straightConnector1">
                          <a:avLst/>
                        </a:prstGeom>
                        <a:noFill/>
                        <a:ln w="22225" cap="flat" cmpd="sng" algn="ctr">
                          <a:solidFill>
                            <a:srgbClr val="FF0000"/>
                          </a:solidFill>
                          <a:prstDash val="solid"/>
                          <a:miter lim="800000"/>
                          <a:tailEnd type="arrow"/>
                        </a:ln>
                        <a:effectLst/>
                      </wps:spPr>
                      <wps:bodyPr/>
                    </wps:wsp>
                  </a:graphicData>
                </a:graphic>
                <wp14:sizeRelH relativeFrom="margin">
                  <wp14:pctWidth>0</wp14:pctWidth>
                </wp14:sizeRelH>
                <wp14:sizeRelV relativeFrom="margin">
                  <wp14:pctHeight>0</wp14:pctHeight>
                </wp14:sizeRelV>
              </wp:anchor>
            </w:drawing>
          </mc:Choice>
          <mc:Fallback>
            <w:pict>
              <v:shapetype w14:anchorId="4B8C6217" id="_x0000_t32" coordsize="21600,21600" o:spt="32" o:oned="t" path="m,l21600,21600e" filled="f">
                <v:path arrowok="t" fillok="f" o:connecttype="none"/>
                <o:lock v:ext="edit" shapetype="t"/>
              </v:shapetype>
              <v:shape id="Straight Arrow Connector 62" o:spid="_x0000_s1026" type="#_x0000_t32" style="position:absolute;margin-left:0;margin-top:132.2pt;width:46.05pt;height:13.8pt;flip:y;z-index:25166541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" strokecolor="red" strokeweight="1.75pt">
                <v:stroke endarrow="open" joinstyle="miter"/>
                <o:lock v:ext="edit" shapetype="f"/>
                <w10:wrap anchorx="margin"/>
              </v:shape>
            </w:pict>
          </mc:Fallback>
        </mc:AlternateContent>
      </w:r>
      <w:r w:rsidRPr="00622884">
        <w:rPr>
          <w:rFonts w:ascii="Garamond" w:eastAsia="SimSun" w:hAnsi="Garamond" w:cs="Calibri Light"/>
          <w:noProof/>
          <w:color w:val="1D3C5A"/>
          <w:sz w:val="24"/>
          <w:szCs w:val="24"/>
          <w:lang w:eastAsia="sq-AL"/>
        </w:rPr>
        <mc:AlternateContent>
          <mc:Choice Requires="wps">
            <w:drawing>
              <wp:anchor distT="0" distB="0" distL="114300" distR="114300" simplePos="0" relativeHeight="251664394" behindDoc="0" locked="0" layoutInCell="1" allowOverlap="1" wp14:anchorId="5D897A26" wp14:editId="7E1FDEEA">
                <wp:simplePos x="0" y="0"/>
                <wp:positionH relativeFrom="column">
                  <wp:posOffset>1346835</wp:posOffset>
                </wp:positionH>
                <wp:positionV relativeFrom="paragraph">
                  <wp:posOffset>347980</wp:posOffset>
                </wp:positionV>
                <wp:extent cx="1596390" cy="302260"/>
                <wp:effectExtent l="0" t="0" r="0" b="0"/>
                <wp:wrapNone/>
                <wp:docPr id="61" name="Rectangle 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96390" cy="302260"/>
                        </a:xfrm>
                        <a:prstGeom prst="rect">
                          <a:avLst/>
                        </a:prstGeom>
                      </wps:spPr>
                      <wps:txbx>
                        <w:txbxContent>
                          <w:p w14:paraId="06B15DEA" w14:textId="77777777" w:rsidR="00622884" w:rsidRPr="005D4FCA" w:rsidRDefault="00622884" w:rsidP="00622884">
                            <w:pPr>
                              <w:rPr>
                                <w:rFonts w:ascii="Calibri" w:hAnsi="Calibri" w:cs="Calibri"/>
                                <w:color w:val="0070C0"/>
                                <w:kern w:val="24"/>
                              </w:rPr>
                            </w:pPr>
                            <w:r w:rsidRPr="005D4FCA">
                              <w:rPr>
                                <w:color w:val="0070C0"/>
                                <w:kern w:val="24"/>
                                <w:lang w:bidi="sq-AL"/>
                              </w:rPr>
                              <w:t>Treguesi i përmbytjeve</w:t>
                            </w:r>
                          </w:p>
                        </w:txbxContent>
                      </wps:txbx>
                      <wps:bodyPr wrap="none">
                        <a:noAutofit/>
                      </wps:bodyPr>
                    </wps:wsp>
                  </a:graphicData>
                </a:graphic>
                <wp14:sizeRelH relativeFrom="page">
                  <wp14:pctWidth>0</wp14:pctWidth>
                </wp14:sizeRelH>
                <wp14:sizeRelV relativeFrom="margin">
                  <wp14:pctHeight>0</wp14:pctHeight>
                </wp14:sizeRelV>
              </wp:anchor>
            </w:drawing>
          </mc:Choice>
          <mc:Fallback>
            <w:pict>
              <v:rect w14:anchorId="5D897A26" id="Rectangle 61" o:spid="_x0000_s1031" style="position:absolute;left:0;text-align:left;margin-left:106.05pt;margin-top:27.4pt;width:125.7pt;height:23.8pt;z-index:25166439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" filled="f" stroked="f">
                <v:textbox>
                  <w:txbxContent>
                    <w:p w14:paraId="06B15DEA" w14:textId="77777777" w:rsidR="00622884" w:rsidRPr="005D4FCA" w:rsidRDefault="00622884" w:rsidP="00622884">
                      <w:pPr>
                        <w:rPr>
                          <w:rFonts w:ascii="Calibri" w:hAnsi="Calibri" w:cs="Calibri"/>
                          <w:color w:val="0070C0"/>
                          <w:kern w:val="24"/>
                        </w:rPr>
                      </w:pPr>
                      <w:r w:rsidRPr="005D4FCA">
                        <w:rPr>
                          <w:color w:val="0070C0"/>
                          <w:kern w:val="24"/>
                          <w:lang w:bidi="sq-AL"/>
                        </w:rPr>
                        <w:t>Treguesi i përmbytjeve</w:t>
                      </w:r>
                    </w:p>
                  </w:txbxContent>
                </v:textbox>
              </v:rect>
            </w:pict>
          </mc:Fallback>
        </mc:AlternateContent>
      </w:r>
      <w:r w:rsidRPr="00622884">
        <w:rPr>
          <w:rFonts w:ascii="Garamond" w:eastAsia="SimSun" w:hAnsi="Garamond" w:cs="Calibri Light"/>
          <w:noProof/>
          <w:color w:val="1D3C5A"/>
          <w:sz w:val="24"/>
          <w:szCs w:val="24"/>
          <w:lang w:eastAsia="sq-AL"/>
        </w:rPr>
        <mc:AlternateContent>
          <mc:Choice Requires="wps">
            <w:drawing>
              <wp:anchor distT="0" distB="0" distL="114300" distR="114300" simplePos="0" relativeHeight="251663370" behindDoc="0" locked="0" layoutInCell="1" allowOverlap="1" wp14:anchorId="27B7B26B" wp14:editId="4D446CA4">
                <wp:simplePos x="0" y="0"/>
                <wp:positionH relativeFrom="column">
                  <wp:posOffset>2705735</wp:posOffset>
                </wp:positionH>
                <wp:positionV relativeFrom="paragraph">
                  <wp:posOffset>490220</wp:posOffset>
                </wp:positionV>
                <wp:extent cx="1043305" cy="76200"/>
                <wp:effectExtent l="0" t="19050" r="80645" b="95250"/>
                <wp:wrapNone/>
                <wp:docPr id="230" name="Straight Arrow Connector 23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043305" cy="76200"/>
                        </a:xfrm>
                        <a:prstGeom prst="straightConnector1">
                          <a:avLst/>
                        </a:prstGeom>
                        <a:noFill/>
                        <a:ln w="22225" cap="flat" cmpd="sng" algn="ctr">
                          <a:solidFill>
                            <a:srgbClr val="7030A0"/>
                          </a:solidFill>
                          <a:prstDash val="solid"/>
                          <a:miter lim="800000"/>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3E5ABEC3" id="Straight Arrow Connector 230" o:spid="_x0000_s1026" type="#_x0000_t32" style="position:absolute;margin-left:213.05pt;margin-top:38.6pt;width:82.15pt;height:6pt;z-index:25166337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" strokecolor="#7030a0" strokeweight="1.75pt">
                <v:stroke endarrow="open" joinstyle="miter"/>
                <o:lock v:ext="edit" shapetype="f"/>
              </v:shape>
            </w:pict>
          </mc:Fallback>
        </mc:AlternateContent>
      </w:r>
      <w:r w:rsidRPr="00622884">
        <w:rPr>
          <w:rFonts w:ascii="Garamond" w:eastAsia="SimSun" w:hAnsi="Garamond" w:cs="Calibri Light"/>
          <w:noProof/>
          <w:color w:val="1D3C5A"/>
          <w:sz w:val="24"/>
          <w:szCs w:val="24"/>
          <w:lang w:eastAsia="sq-AL"/>
        </w:rPr>
        <w:drawing>
          <wp:inline distT="0" distB="0" distL="0" distR="0" wp14:anchorId="5508AB24" wp14:editId="489A5C91">
            <wp:extent cx="4373809" cy="2129051"/>
            <wp:effectExtent l="19050" t="19050" r="27305" b="24130"/>
            <wp:docPr id="657" name="Picture 657" descr="Afbeelding met tekst, schermopname, lijn, Percee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fbeelding met tekst, schermopname, lijn, Perceel&#10;&#10;Automatisch gegenereerde beschrijving"/>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4373809" cy="2129051"/>
                    </a:xfrm>
                    <a:prstGeom prst="rect">
                      <a:avLst/>
                    </a:prstGeom>
                    <a:noFill/>
                    <a:ln w="9525" cmpd="sng">
                      <a:solidFill>
                        <a:srgbClr val="156082"/>
                      </a:solidFill>
                      <a:miter lim="800000"/>
                      <a:headEnd/>
                      <a:tailEnd/>
                    </a:ln>
                    <a:effectLst/>
                  </pic:spPr>
                </pic:pic>
              </a:graphicData>
            </a:graphic>
          </wp:inline>
        </w:drawing>
      </w:r>
    </w:p>
    <w:p w14:paraId="65A78EA0" w14:textId="77777777" w:rsidR="00622884" w:rsidRPr="00622884" w:rsidRDefault="00622884" w:rsidP="00622884">
      <w:pPr>
        <w:tabs>
          <w:tab w:val="left" w:pos="5325"/>
        </w:tabs>
        <w:spacing w:after="0" w:line="240" w:lineRule="auto"/>
        <w:ind w:firstLine="284"/>
        <w:jc w:val="center"/>
        <w:rPr>
          <w:rFonts w:ascii="Garamond" w:eastAsia="Calibri" w:hAnsi="Garamond" w:cs="Times New Roman"/>
          <w:i/>
          <w:sz w:val="20"/>
          <w:szCs w:val="20"/>
          <w:lang w:eastAsia="en-US" w:bidi="sq-AL"/>
        </w:rPr>
      </w:pPr>
      <w:r w:rsidRPr="00622884">
        <w:rPr>
          <w:rFonts w:ascii="Garamond" w:eastAsia="Calibri" w:hAnsi="Garamond" w:cs="Times New Roman"/>
          <w:i/>
          <w:sz w:val="20"/>
          <w:szCs w:val="20"/>
          <w:lang w:eastAsia="en-US" w:bidi="sq-AL"/>
        </w:rPr>
        <w:t>Figura 28. Ndryshimet e mundshme të reshjeve verore sipas skenarëve të ndryshëm, Gjirokastër.</w:t>
      </w:r>
    </w:p>
    <w:p w14:paraId="68176C5C" w14:textId="77777777" w:rsidR="00622884" w:rsidRPr="00622884" w:rsidRDefault="00622884" w:rsidP="00622884">
      <w:pPr>
        <w:tabs>
          <w:tab w:val="left" w:pos="5325"/>
        </w:tabs>
        <w:spacing w:after="0" w:line="240" w:lineRule="auto"/>
        <w:ind w:firstLine="284"/>
        <w:jc w:val="center"/>
        <w:rPr>
          <w:rFonts w:ascii="Garamond" w:eastAsia="Calibri" w:hAnsi="Garamond" w:cs="Times New Roman"/>
          <w:i/>
          <w:sz w:val="8"/>
          <w:szCs w:val="20"/>
          <w:lang w:eastAsia="en-US" w:bidi="sq-AL"/>
        </w:rPr>
      </w:pPr>
    </w:p>
    <w:p w14:paraId="65A4F643"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bidi="sq-AL"/>
        </w:rPr>
      </w:pPr>
      <w:r w:rsidRPr="00622884">
        <w:rPr>
          <w:rFonts w:ascii="Garamond" w:eastAsia="Calibri" w:hAnsi="Garamond" w:cs="Times New Roman"/>
          <w:sz w:val="24"/>
          <w:szCs w:val="24"/>
          <w:lang w:eastAsia="en-US" w:bidi="sq-AL"/>
        </w:rPr>
        <w:t>Në bregdet, parashikimet tregojnë një rritje të qëndrueshme të nivelit të detit, ku zona e Durrësit është një ndër më të ekspozuarat. Në figurën 29, më poshtë, paraqitet parashikimi i rritjes mesatare vjetore të nivelit të detit sipas skenarëve të ndryshëm për Durrësin.</w:t>
      </w:r>
      <w:r w:rsidRPr="00622884">
        <w:rPr>
          <w:rFonts w:ascii="Garamond" w:eastAsia="Calibri" w:hAnsi="Garamond" w:cs="Times New Roman"/>
          <w:sz w:val="24"/>
          <w:szCs w:val="24"/>
          <w:vertAlign w:val="superscript"/>
          <w:lang w:eastAsia="en-US" w:bidi="sq-AL"/>
        </w:rPr>
        <w:footnoteReference w:id="234"/>
      </w:r>
      <w:r w:rsidRPr="00622884">
        <w:rPr>
          <w:rFonts w:ascii="Garamond" w:eastAsia="Calibri" w:hAnsi="Garamond" w:cs="Times New Roman"/>
          <w:sz w:val="24"/>
          <w:szCs w:val="24"/>
          <w:lang w:eastAsia="en-US" w:bidi="sq-AL"/>
        </w:rPr>
        <w:t xml:space="preserve"> </w:t>
      </w:r>
    </w:p>
    <w:p w14:paraId="04885750"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p>
    <w:p w14:paraId="7D8A4BE9" w14:textId="77777777" w:rsidR="00622884" w:rsidRPr="00622884" w:rsidRDefault="00622884" w:rsidP="00622884">
      <w:pPr>
        <w:keepNext/>
        <w:spacing w:after="0" w:line="259" w:lineRule="auto"/>
        <w:jc w:val="center"/>
        <w:rPr>
          <w:rFonts w:ascii="Garamond" w:eastAsia="Aptos" w:hAnsi="Garamond" w:cs="Calibri Light"/>
          <w:kern w:val="2"/>
          <w:sz w:val="24"/>
          <w:szCs w:val="24"/>
          <w:lang w:eastAsia="en-US"/>
        </w:rPr>
      </w:pPr>
      <w:r w:rsidRPr="00622884">
        <w:rPr>
          <w:rFonts w:ascii="Garamond" w:eastAsia="Aptos" w:hAnsi="Garamond" w:cs="Arial"/>
          <w:noProof/>
          <w:sz w:val="24"/>
          <w:szCs w:val="24"/>
          <w:lang w:eastAsia="sq-AL"/>
        </w:rPr>
        <w:lastRenderedPageBreak/>
        <w:drawing>
          <wp:inline distT="0" distB="0" distL="0" distR="0" wp14:anchorId="64DE145E" wp14:editId="36C0575B">
            <wp:extent cx="4848610" cy="1758462"/>
            <wp:effectExtent l="0" t="0" r="0" b="0"/>
            <wp:docPr id="658" name="Picture 6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0" cstate="print">
                      <a:extLst>
                        <a:ext uri="{28A0092B-C50C-407E-A947-70E740481C1C}">
                          <a14:useLocalDpi xmlns:a14="http://schemas.microsoft.com/office/drawing/2010/main" val="0"/>
                        </a:ext>
                      </a:extLst>
                    </a:blip>
                    <a:srcRect/>
                    <a:stretch>
                      <a:fillRect/>
                    </a:stretch>
                  </pic:blipFill>
                  <pic:spPr bwMode="auto">
                    <a:xfrm>
                      <a:off x="0" y="0"/>
                      <a:ext cx="4865177" cy="1764471"/>
                    </a:xfrm>
                    <a:prstGeom prst="rect">
                      <a:avLst/>
                    </a:prstGeom>
                    <a:noFill/>
                    <a:ln>
                      <a:noFill/>
                    </a:ln>
                  </pic:spPr>
                </pic:pic>
              </a:graphicData>
            </a:graphic>
          </wp:inline>
        </w:drawing>
      </w:r>
    </w:p>
    <w:p w14:paraId="3D8F1E29" w14:textId="77777777" w:rsidR="00622884" w:rsidRPr="00622884" w:rsidRDefault="00622884" w:rsidP="00622884">
      <w:pPr>
        <w:tabs>
          <w:tab w:val="left" w:pos="5325"/>
        </w:tabs>
        <w:spacing w:after="0" w:line="240" w:lineRule="auto"/>
        <w:ind w:firstLine="284"/>
        <w:jc w:val="center"/>
        <w:rPr>
          <w:rFonts w:ascii="Garamond" w:eastAsia="Calibri" w:hAnsi="Garamond" w:cs="Times New Roman"/>
          <w:i/>
          <w:sz w:val="20"/>
          <w:szCs w:val="20"/>
          <w:lang w:eastAsia="en-US"/>
        </w:rPr>
      </w:pPr>
      <w:r w:rsidRPr="00622884">
        <w:rPr>
          <w:rFonts w:ascii="Garamond" w:eastAsia="Calibri" w:hAnsi="Garamond" w:cs="Times New Roman"/>
          <w:i/>
          <w:sz w:val="20"/>
          <w:szCs w:val="20"/>
          <w:lang w:eastAsia="en-US"/>
        </w:rPr>
        <w:t>Figura 29. Parashikimi i rritjes së nivelit të detit sipas skenarëve të ndryshëm, Durrës.</w:t>
      </w:r>
    </w:p>
    <w:p w14:paraId="3684CFC1"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p>
    <w:p w14:paraId="2022F62F"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p>
    <w:p w14:paraId="784B1F18" w14:textId="77777777" w:rsidR="00622884" w:rsidRPr="00622884" w:rsidRDefault="00622884" w:rsidP="00622884">
      <w:pPr>
        <w:tabs>
          <w:tab w:val="left" w:pos="5325"/>
        </w:tabs>
        <w:spacing w:after="0" w:line="240" w:lineRule="auto"/>
        <w:ind w:firstLine="284"/>
        <w:jc w:val="center"/>
        <w:rPr>
          <w:rFonts w:ascii="Garamond" w:eastAsia="Calibri" w:hAnsi="Garamond" w:cs="Times New Roman"/>
          <w:sz w:val="24"/>
          <w:szCs w:val="24"/>
          <w:lang w:eastAsia="en-US"/>
        </w:rPr>
      </w:pPr>
      <w:r w:rsidRPr="00622884">
        <w:rPr>
          <w:rFonts w:ascii="Garamond" w:eastAsia="Calibri" w:hAnsi="Garamond" w:cs="Times New Roman"/>
          <w:sz w:val="24"/>
          <w:szCs w:val="24"/>
          <w:lang w:eastAsia="en-US"/>
        </w:rPr>
        <w:t>ANEKS III</w:t>
      </w:r>
    </w:p>
    <w:p w14:paraId="74F4DA7F" w14:textId="77777777" w:rsidR="00622884" w:rsidRPr="00622884" w:rsidRDefault="00622884" w:rsidP="00622884">
      <w:pPr>
        <w:tabs>
          <w:tab w:val="left" w:pos="5325"/>
        </w:tabs>
        <w:spacing w:after="0" w:line="240" w:lineRule="auto"/>
        <w:ind w:firstLine="284"/>
        <w:jc w:val="center"/>
        <w:rPr>
          <w:rFonts w:ascii="Garamond" w:eastAsia="Calibri" w:hAnsi="Garamond" w:cs="Times New Roman"/>
          <w:sz w:val="24"/>
          <w:szCs w:val="24"/>
          <w:lang w:eastAsia="en-US"/>
        </w:rPr>
      </w:pPr>
      <w:r w:rsidRPr="00622884">
        <w:rPr>
          <w:rFonts w:ascii="Garamond" w:eastAsia="Calibri" w:hAnsi="Garamond" w:cs="Times New Roman"/>
          <w:sz w:val="24"/>
          <w:szCs w:val="24"/>
          <w:lang w:eastAsia="en-US"/>
        </w:rPr>
        <w:t>PLANI I DETAJUAR I ZBATIMIT TË MASAVE PRIORITARE TË PËRSHTATJES NË SHQIPËRI</w:t>
      </w:r>
    </w:p>
    <w:tbl>
      <w:tblPr>
        <w:tblW w:w="5870" w:type="pct"/>
        <w:jc w:val="center"/>
        <w:tblBorders>
          <w:top w:val="single" w:sz="4" w:space="0" w:color="1D3C5A"/>
          <w:left w:val="single" w:sz="4" w:space="0" w:color="1D3C5A"/>
          <w:bottom w:val="single" w:sz="4" w:space="0" w:color="1D3C5A"/>
          <w:right w:val="single" w:sz="4" w:space="0" w:color="1D3C5A"/>
          <w:insideH w:val="single" w:sz="4" w:space="0" w:color="1D3C5A"/>
          <w:insideV w:val="single" w:sz="4" w:space="0" w:color="1D3C5A"/>
        </w:tblBorders>
        <w:tblLayout w:type="fixed"/>
        <w:tblLook w:val="04A0" w:firstRow="1" w:lastRow="0" w:firstColumn="1" w:lastColumn="0" w:noHBand="0" w:noVBand="1"/>
      </w:tblPr>
      <w:tblGrid>
        <w:gridCol w:w="534"/>
        <w:gridCol w:w="813"/>
        <w:gridCol w:w="848"/>
        <w:gridCol w:w="844"/>
        <w:gridCol w:w="2462"/>
        <w:gridCol w:w="1167"/>
        <w:gridCol w:w="2045"/>
        <w:gridCol w:w="1169"/>
        <w:gridCol w:w="1021"/>
      </w:tblGrid>
      <w:tr w:rsidR="00622884" w:rsidRPr="00622884" w14:paraId="4EA8DD72" w14:textId="77777777" w:rsidTr="00622884">
        <w:trPr>
          <w:trHeight w:val="56"/>
          <w:tblHeader/>
          <w:jc w:val="center"/>
        </w:trPr>
        <w:tc>
          <w:tcPr>
            <w:tcW w:w="245" w:type="pct"/>
            <w:shd w:val="clear" w:color="auto" w:fill="215A5C"/>
            <w:vAlign w:val="center"/>
          </w:tcPr>
          <w:p w14:paraId="706F20DC" w14:textId="77777777" w:rsidR="00622884" w:rsidRPr="00622884" w:rsidRDefault="00622884" w:rsidP="00622884">
            <w:pPr>
              <w:spacing w:after="0" w:line="240" w:lineRule="auto"/>
              <w:jc w:val="center"/>
              <w:rPr>
                <w:rFonts w:ascii="Garamond" w:eastAsia="SimSun" w:hAnsi="Garamond" w:cs="Calibri Light"/>
                <w:b/>
                <w:bCs/>
                <w:color w:val="FFFFFF"/>
                <w:sz w:val="10"/>
                <w:szCs w:val="16"/>
                <w:lang w:eastAsia="en-US"/>
              </w:rPr>
            </w:pPr>
            <w:r w:rsidRPr="00622884">
              <w:rPr>
                <w:rFonts w:ascii="Garamond" w:eastAsia="SimSun" w:hAnsi="Garamond" w:cs="Times New Roman"/>
                <w:b/>
                <w:color w:val="FFFFFF"/>
                <w:sz w:val="10"/>
                <w:lang w:eastAsia="en-US" w:bidi="sq-AL"/>
              </w:rPr>
              <w:t>NR.</w:t>
            </w:r>
          </w:p>
        </w:tc>
        <w:tc>
          <w:tcPr>
            <w:tcW w:w="373" w:type="pct"/>
            <w:shd w:val="clear" w:color="auto" w:fill="215A5C"/>
            <w:vAlign w:val="center"/>
          </w:tcPr>
          <w:p w14:paraId="724C9952" w14:textId="77777777" w:rsidR="00622884" w:rsidRPr="00622884" w:rsidRDefault="00622884" w:rsidP="00622884">
            <w:pPr>
              <w:spacing w:after="0" w:line="240" w:lineRule="auto"/>
              <w:jc w:val="center"/>
              <w:rPr>
                <w:rFonts w:ascii="Garamond" w:eastAsia="SimSun" w:hAnsi="Garamond" w:cs="Calibri Light"/>
                <w:b/>
                <w:bCs/>
                <w:color w:val="FFFFFF"/>
                <w:sz w:val="10"/>
                <w:szCs w:val="16"/>
                <w:lang w:eastAsia="en-US"/>
              </w:rPr>
            </w:pPr>
            <w:r w:rsidRPr="00622884">
              <w:rPr>
                <w:rFonts w:ascii="Garamond" w:eastAsia="SimSun" w:hAnsi="Garamond" w:cs="Times New Roman"/>
                <w:b/>
                <w:color w:val="FFFFFF"/>
                <w:sz w:val="10"/>
                <w:lang w:eastAsia="en-US" w:bidi="sq-AL"/>
              </w:rPr>
              <w:t>Sektori</w:t>
            </w:r>
          </w:p>
        </w:tc>
        <w:tc>
          <w:tcPr>
            <w:tcW w:w="389" w:type="pct"/>
            <w:shd w:val="clear" w:color="auto" w:fill="215A5C"/>
            <w:vAlign w:val="center"/>
          </w:tcPr>
          <w:p w14:paraId="7FA2D34D" w14:textId="77777777" w:rsidR="00622884" w:rsidRPr="00622884" w:rsidRDefault="00622884" w:rsidP="00622884">
            <w:pPr>
              <w:spacing w:after="0" w:line="240" w:lineRule="auto"/>
              <w:jc w:val="center"/>
              <w:rPr>
                <w:rFonts w:ascii="Garamond" w:eastAsia="SimSun" w:hAnsi="Garamond" w:cs="Calibri Light"/>
                <w:b/>
                <w:bCs/>
                <w:color w:val="FFFFFF"/>
                <w:sz w:val="10"/>
                <w:szCs w:val="16"/>
                <w:lang w:eastAsia="en-US"/>
              </w:rPr>
            </w:pPr>
            <w:r w:rsidRPr="00622884">
              <w:rPr>
                <w:rFonts w:ascii="Garamond" w:eastAsia="SimSun" w:hAnsi="Garamond" w:cs="Times New Roman"/>
                <w:b/>
                <w:color w:val="FFFFFF"/>
                <w:sz w:val="10"/>
                <w:lang w:eastAsia="en-US" w:bidi="sq-AL"/>
              </w:rPr>
              <w:t>Masat e përshtatjes</w:t>
            </w:r>
          </w:p>
        </w:tc>
        <w:tc>
          <w:tcPr>
            <w:tcW w:w="387" w:type="pct"/>
            <w:shd w:val="clear" w:color="auto" w:fill="215A5C"/>
          </w:tcPr>
          <w:p w14:paraId="24911C32" w14:textId="77777777" w:rsidR="00622884" w:rsidRPr="00622884" w:rsidRDefault="00622884" w:rsidP="00622884">
            <w:pPr>
              <w:spacing w:after="0" w:line="240" w:lineRule="auto"/>
              <w:jc w:val="center"/>
              <w:rPr>
                <w:rFonts w:ascii="Garamond" w:eastAsia="SimSun" w:hAnsi="Garamond" w:cs="Calibri Light"/>
                <w:b/>
                <w:bCs/>
                <w:color w:val="FFFFFF"/>
                <w:sz w:val="10"/>
                <w:szCs w:val="16"/>
                <w:lang w:eastAsia="en-US"/>
              </w:rPr>
            </w:pPr>
            <w:r w:rsidRPr="00622884">
              <w:rPr>
                <w:rFonts w:ascii="Garamond" w:eastAsia="SimSun" w:hAnsi="Garamond" w:cs="Times New Roman"/>
                <w:b/>
                <w:color w:val="FFFFFF"/>
                <w:sz w:val="10"/>
                <w:lang w:eastAsia="en-US" w:bidi="sq-AL"/>
              </w:rPr>
              <w:t xml:space="preserve">Lloji* </w:t>
            </w:r>
          </w:p>
        </w:tc>
        <w:tc>
          <w:tcPr>
            <w:tcW w:w="1129" w:type="pct"/>
            <w:shd w:val="clear" w:color="auto" w:fill="215A5C"/>
            <w:vAlign w:val="center"/>
          </w:tcPr>
          <w:p w14:paraId="6DF3814E" w14:textId="77777777" w:rsidR="00622884" w:rsidRPr="00622884" w:rsidRDefault="00622884" w:rsidP="00622884">
            <w:pPr>
              <w:spacing w:after="0" w:line="240" w:lineRule="auto"/>
              <w:jc w:val="center"/>
              <w:rPr>
                <w:rFonts w:ascii="Garamond" w:eastAsia="SimSun" w:hAnsi="Garamond" w:cs="Calibri Light"/>
                <w:b/>
                <w:bCs/>
                <w:color w:val="FFFFFF"/>
                <w:sz w:val="10"/>
                <w:szCs w:val="16"/>
                <w:lang w:eastAsia="en-US"/>
              </w:rPr>
            </w:pPr>
            <w:r w:rsidRPr="00622884">
              <w:rPr>
                <w:rFonts w:ascii="Garamond" w:eastAsia="SimSun" w:hAnsi="Garamond" w:cs="Times New Roman"/>
                <w:b/>
                <w:color w:val="FFFFFF"/>
                <w:sz w:val="10"/>
                <w:lang w:eastAsia="en-US" w:bidi="sq-AL"/>
              </w:rPr>
              <w:t>Veprimtaritë</w:t>
            </w:r>
          </w:p>
        </w:tc>
        <w:tc>
          <w:tcPr>
            <w:tcW w:w="535" w:type="pct"/>
            <w:shd w:val="clear" w:color="auto" w:fill="215A5C"/>
            <w:vAlign w:val="center"/>
          </w:tcPr>
          <w:p w14:paraId="31B470B1" w14:textId="77777777" w:rsidR="00622884" w:rsidRPr="00622884" w:rsidRDefault="00622884" w:rsidP="00622884">
            <w:pPr>
              <w:spacing w:after="0" w:line="240" w:lineRule="auto"/>
              <w:jc w:val="center"/>
              <w:rPr>
                <w:rFonts w:ascii="Garamond" w:eastAsia="SimSun" w:hAnsi="Garamond" w:cs="Calibri Light"/>
                <w:b/>
                <w:bCs/>
                <w:color w:val="FFFFFF"/>
                <w:sz w:val="10"/>
                <w:szCs w:val="16"/>
                <w:lang w:eastAsia="en-US"/>
              </w:rPr>
            </w:pPr>
            <w:r w:rsidRPr="00622884">
              <w:rPr>
                <w:rFonts w:ascii="Garamond" w:eastAsia="SimSun" w:hAnsi="Garamond" w:cs="Times New Roman"/>
                <w:b/>
                <w:color w:val="FFFFFF"/>
                <w:sz w:val="10"/>
                <w:lang w:eastAsia="en-US" w:bidi="sq-AL"/>
              </w:rPr>
              <w:t>Periudha</w:t>
            </w:r>
          </w:p>
        </w:tc>
        <w:tc>
          <w:tcPr>
            <w:tcW w:w="938" w:type="pct"/>
            <w:shd w:val="clear" w:color="auto" w:fill="215A5C"/>
            <w:vAlign w:val="center"/>
          </w:tcPr>
          <w:p w14:paraId="72540ABE" w14:textId="77777777" w:rsidR="00622884" w:rsidRPr="00622884" w:rsidRDefault="00622884" w:rsidP="00622884">
            <w:pPr>
              <w:spacing w:after="0" w:line="240" w:lineRule="auto"/>
              <w:jc w:val="center"/>
              <w:rPr>
                <w:rFonts w:ascii="Garamond" w:eastAsia="SimSun" w:hAnsi="Garamond" w:cs="Calibri Light"/>
                <w:b/>
                <w:bCs/>
                <w:color w:val="FFFFFF"/>
                <w:sz w:val="10"/>
                <w:szCs w:val="16"/>
                <w:lang w:eastAsia="en-US"/>
              </w:rPr>
            </w:pPr>
            <w:r w:rsidRPr="00622884">
              <w:rPr>
                <w:rFonts w:ascii="Garamond" w:eastAsia="SimSun" w:hAnsi="Garamond" w:cs="Times New Roman"/>
                <w:b/>
                <w:color w:val="FFFFFF"/>
                <w:sz w:val="10"/>
                <w:lang w:eastAsia="en-US" w:bidi="sq-AL"/>
              </w:rPr>
              <w:t>Treguesit</w:t>
            </w:r>
          </w:p>
        </w:tc>
        <w:tc>
          <w:tcPr>
            <w:tcW w:w="536" w:type="pct"/>
            <w:shd w:val="clear" w:color="auto" w:fill="215A5C"/>
          </w:tcPr>
          <w:p w14:paraId="1D2D1010" w14:textId="77777777" w:rsidR="00622884" w:rsidRPr="00622884" w:rsidRDefault="00622884" w:rsidP="00622884">
            <w:pPr>
              <w:spacing w:after="0" w:line="240" w:lineRule="auto"/>
              <w:jc w:val="center"/>
              <w:rPr>
                <w:rFonts w:ascii="Garamond" w:eastAsia="SimSun" w:hAnsi="Garamond" w:cs="Calibri Light"/>
                <w:b/>
                <w:bCs/>
                <w:color w:val="FFFFFF"/>
                <w:sz w:val="10"/>
                <w:szCs w:val="16"/>
                <w:lang w:eastAsia="en-US"/>
              </w:rPr>
            </w:pPr>
            <w:r w:rsidRPr="00622884">
              <w:rPr>
                <w:rFonts w:ascii="Garamond" w:eastAsia="SimSun" w:hAnsi="Garamond" w:cs="Times New Roman"/>
                <w:b/>
                <w:color w:val="FFFFFF"/>
                <w:sz w:val="10"/>
                <w:lang w:eastAsia="en-US" w:bidi="sq-AL"/>
              </w:rPr>
              <w:t>Përgjegjësi kryesor</w:t>
            </w:r>
          </w:p>
        </w:tc>
        <w:tc>
          <w:tcPr>
            <w:tcW w:w="468" w:type="pct"/>
            <w:shd w:val="clear" w:color="auto" w:fill="215A5C"/>
            <w:vAlign w:val="center"/>
          </w:tcPr>
          <w:p w14:paraId="64CE0529" w14:textId="77777777" w:rsidR="00622884" w:rsidRPr="00622884" w:rsidRDefault="00622884" w:rsidP="00622884">
            <w:pPr>
              <w:spacing w:after="0" w:line="240" w:lineRule="auto"/>
              <w:jc w:val="center"/>
              <w:rPr>
                <w:rFonts w:ascii="Garamond" w:eastAsia="SimSun" w:hAnsi="Garamond" w:cs="Calibri Light"/>
                <w:b/>
                <w:bCs/>
                <w:color w:val="FFFFFF"/>
                <w:sz w:val="10"/>
                <w:szCs w:val="16"/>
                <w:lang w:eastAsia="en-US"/>
              </w:rPr>
            </w:pPr>
            <w:r w:rsidRPr="00622884">
              <w:rPr>
                <w:rFonts w:ascii="Garamond" w:eastAsia="SimSun" w:hAnsi="Garamond" w:cs="Times New Roman"/>
                <w:b/>
                <w:color w:val="FFFFFF"/>
                <w:sz w:val="10"/>
                <w:lang w:eastAsia="en-US" w:bidi="sq-AL"/>
              </w:rPr>
              <w:t>Kostoja (dollarë amerikanë)</w:t>
            </w:r>
          </w:p>
        </w:tc>
      </w:tr>
      <w:tr w:rsidR="00622884" w:rsidRPr="00622884" w14:paraId="5BD1317D" w14:textId="77777777" w:rsidTr="00622884">
        <w:trPr>
          <w:trHeight w:val="567"/>
          <w:jc w:val="center"/>
        </w:trPr>
        <w:tc>
          <w:tcPr>
            <w:tcW w:w="245" w:type="pct"/>
            <w:shd w:val="clear" w:color="auto" w:fill="E0F4F4"/>
            <w:vAlign w:val="center"/>
          </w:tcPr>
          <w:p w14:paraId="3F44394D" w14:textId="77777777" w:rsidR="00622884" w:rsidRPr="00622884" w:rsidRDefault="00622884" w:rsidP="00622884">
            <w:pPr>
              <w:spacing w:after="0" w:line="240" w:lineRule="auto"/>
              <w:jc w:val="center"/>
              <w:rPr>
                <w:rFonts w:ascii="Garamond" w:eastAsia="SimSun" w:hAnsi="Garamond" w:cs="Calibri Light"/>
                <w:b/>
                <w:bCs/>
                <w:color w:val="1D3C5A"/>
                <w:sz w:val="10"/>
                <w:szCs w:val="16"/>
                <w:lang w:eastAsia="en-US"/>
              </w:rPr>
            </w:pPr>
            <w:r w:rsidRPr="00622884">
              <w:rPr>
                <w:rFonts w:ascii="Garamond" w:eastAsia="SimSun" w:hAnsi="Garamond" w:cs="Times New Roman"/>
                <w:b/>
                <w:color w:val="1D3C5A"/>
                <w:sz w:val="10"/>
                <w:lang w:eastAsia="en-US" w:bidi="sq-AL"/>
              </w:rPr>
              <w:t>1</w:t>
            </w:r>
          </w:p>
        </w:tc>
        <w:tc>
          <w:tcPr>
            <w:tcW w:w="373" w:type="pct"/>
            <w:shd w:val="clear" w:color="auto" w:fill="E0F4F4"/>
            <w:vAlign w:val="center"/>
          </w:tcPr>
          <w:p w14:paraId="3757257A"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Ndërsektoriale</w:t>
            </w:r>
          </w:p>
        </w:tc>
        <w:tc>
          <w:tcPr>
            <w:tcW w:w="389" w:type="pct"/>
            <w:shd w:val="clear" w:color="auto" w:fill="E0F4F4"/>
            <w:vAlign w:val="center"/>
          </w:tcPr>
          <w:p w14:paraId="25457F61"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Forcimi i aftësive ripërtëritëse rajonale Mbështetja e udhërrëfyesit për përshtatjen e Ballkanit Perëndimor</w:t>
            </w:r>
          </w:p>
        </w:tc>
        <w:tc>
          <w:tcPr>
            <w:tcW w:w="387" w:type="pct"/>
            <w:shd w:val="clear" w:color="auto" w:fill="E0F4F4"/>
            <w:vAlign w:val="center"/>
          </w:tcPr>
          <w:p w14:paraId="76347FB5"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Ndërhyrja e butë</w:t>
            </w:r>
            <w:r w:rsidRPr="00622884">
              <w:rPr>
                <w:rFonts w:ascii="Garamond" w:eastAsia="SimSun" w:hAnsi="Garamond" w:cs="Times New Roman"/>
                <w:b/>
                <w:color w:val="1D3C5A"/>
                <w:sz w:val="10"/>
                <w:lang w:eastAsia="en-US" w:bidi="sq-AL"/>
              </w:rPr>
              <w:t>:</w:t>
            </w:r>
          </w:p>
        </w:tc>
        <w:tc>
          <w:tcPr>
            <w:tcW w:w="1129" w:type="pct"/>
            <w:shd w:val="clear" w:color="auto" w:fill="E0F4F4"/>
            <w:vAlign w:val="center"/>
          </w:tcPr>
          <w:p w14:paraId="571429EE"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1.1 Të sigurohet ekspertiza teknike dhe mbështetja këshillimore për Këshillin e Bashkëpunimit Rajonal në hartimin, strukturimin dhe metodologjinë e Udhërrëfyesit Novator për Përshtatjen ndaj Klimës, duke garantuar që ai të pasqyrojë cenueshmëritë rajonale, nevojat sektoriale dhe parashikimet klimatike deri në vitin 2050.</w:t>
            </w:r>
            <w:r w:rsidRPr="00622884">
              <w:rPr>
                <w:rFonts w:ascii="Garamond" w:eastAsia="SimSun" w:hAnsi="Garamond" w:cs="Times New Roman"/>
                <w:color w:val="1D3C5A"/>
                <w:sz w:val="10"/>
                <w:lang w:eastAsia="en-US" w:bidi="sq-AL"/>
              </w:rPr>
              <w:br/>
              <w:t>1.2 Të kontribuohet në zhvillimin e udhërrëfyesit duke shqyrtuar dhe verifikuar draftet, duke mbështetur proceset e angazhimit të palëve të interesit dhe duke siguruar koherencën rajonale.</w:t>
            </w:r>
            <w:r w:rsidRPr="00622884">
              <w:rPr>
                <w:rFonts w:ascii="Garamond" w:eastAsia="SimSun" w:hAnsi="Garamond" w:cs="Times New Roman"/>
                <w:color w:val="1D3C5A"/>
                <w:sz w:val="10"/>
                <w:lang w:eastAsia="en-US" w:bidi="sq-AL"/>
              </w:rPr>
              <w:br/>
              <w:t>1.3 Të lehtësohet dialogu dhe koordinimi me palët kryesore të interesit në të gjithë Ballkanin Perëndimor për të siguruar që udhërrëfyesi të pasqyrojë prioritetet kombëtare të përshtatjes dhe të mbështesë bashkëpunimin rajonal.</w:t>
            </w:r>
          </w:p>
        </w:tc>
        <w:tc>
          <w:tcPr>
            <w:tcW w:w="535" w:type="pct"/>
            <w:shd w:val="clear" w:color="auto" w:fill="E0F4F4"/>
            <w:vAlign w:val="center"/>
          </w:tcPr>
          <w:p w14:paraId="3B996DF2" w14:textId="77777777" w:rsidR="00622884" w:rsidRPr="00622884" w:rsidRDefault="00622884" w:rsidP="00622884">
            <w:pPr>
              <w:spacing w:after="0" w:line="240" w:lineRule="auto"/>
              <w:jc w:val="center"/>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ASH</w:t>
            </w:r>
          </w:p>
        </w:tc>
        <w:tc>
          <w:tcPr>
            <w:tcW w:w="938" w:type="pct"/>
            <w:shd w:val="clear" w:color="auto" w:fill="E0F4F4"/>
            <w:vAlign w:val="center"/>
          </w:tcPr>
          <w:p w14:paraId="081BB8A1"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 xml:space="preserve">1. Përfundimi dhe miratimi zyrtar i Udhërrëfyesit Novator për Përshtatjen ndaj Klimës të Ballkanit Perëndimor. </w:t>
            </w:r>
            <w:r w:rsidRPr="00622884">
              <w:rPr>
                <w:rFonts w:ascii="Garamond" w:eastAsia="SimSun" w:hAnsi="Garamond" w:cs="Times New Roman"/>
                <w:color w:val="1D3C5A"/>
                <w:sz w:val="10"/>
                <w:lang w:eastAsia="en-US" w:bidi="sq-AL"/>
              </w:rPr>
              <w:br/>
              <w:t xml:space="preserve">2. Numri i konsultimeve, </w:t>
            </w:r>
            <w:r w:rsidRPr="00622884">
              <w:rPr>
                <w:rFonts w:ascii="Garamond" w:eastAsia="SimSun" w:hAnsi="Garamond" w:cs="Times New Roman"/>
                <w:i/>
                <w:color w:val="1D3C5A"/>
                <w:sz w:val="10"/>
                <w:lang w:eastAsia="en-US" w:bidi="sq-AL"/>
              </w:rPr>
              <w:t>workshop</w:t>
            </w:r>
            <w:r w:rsidRPr="00622884">
              <w:rPr>
                <w:rFonts w:ascii="Garamond" w:eastAsia="SimSun" w:hAnsi="Garamond" w:cs="Times New Roman"/>
                <w:color w:val="1D3C5A"/>
                <w:sz w:val="10"/>
                <w:lang w:eastAsia="en-US" w:bidi="sq-AL"/>
              </w:rPr>
              <w:t>-eve ose takimeve rajonale të mbajtura për të zhvilluar dhe përsosur udhërrëfyesin.</w:t>
            </w:r>
          </w:p>
        </w:tc>
        <w:tc>
          <w:tcPr>
            <w:tcW w:w="536" w:type="pct"/>
            <w:shd w:val="clear" w:color="auto" w:fill="E0F4F4"/>
            <w:vAlign w:val="center"/>
          </w:tcPr>
          <w:p w14:paraId="2A86B88E"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Ministria e Mjedisit</w:t>
            </w:r>
          </w:p>
          <w:p w14:paraId="0D62DEAE"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p>
        </w:tc>
        <w:tc>
          <w:tcPr>
            <w:tcW w:w="468" w:type="pct"/>
            <w:shd w:val="clear" w:color="auto" w:fill="E0F4F4"/>
            <w:vAlign w:val="center"/>
          </w:tcPr>
          <w:p w14:paraId="25056A71"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 xml:space="preserve">315.000 </w:t>
            </w:r>
          </w:p>
        </w:tc>
      </w:tr>
      <w:tr w:rsidR="00622884" w:rsidRPr="00622884" w14:paraId="36FD927D" w14:textId="77777777" w:rsidTr="00622884">
        <w:trPr>
          <w:trHeight w:val="567"/>
          <w:jc w:val="center"/>
        </w:trPr>
        <w:tc>
          <w:tcPr>
            <w:tcW w:w="245" w:type="pct"/>
            <w:shd w:val="clear" w:color="auto" w:fill="E0F4F4"/>
            <w:vAlign w:val="center"/>
          </w:tcPr>
          <w:p w14:paraId="03646A58" w14:textId="77777777" w:rsidR="00622884" w:rsidRPr="00622884" w:rsidRDefault="00622884" w:rsidP="00622884">
            <w:pPr>
              <w:spacing w:after="0" w:line="240" w:lineRule="auto"/>
              <w:jc w:val="center"/>
              <w:rPr>
                <w:rFonts w:ascii="Garamond" w:eastAsia="SimSun" w:hAnsi="Garamond" w:cs="Calibri Light"/>
                <w:b/>
                <w:bCs/>
                <w:color w:val="1D3C5A"/>
                <w:sz w:val="10"/>
                <w:szCs w:val="16"/>
                <w:lang w:eastAsia="en-US"/>
              </w:rPr>
            </w:pPr>
            <w:r w:rsidRPr="00622884">
              <w:rPr>
                <w:rFonts w:ascii="Garamond" w:eastAsia="SimSun" w:hAnsi="Garamond" w:cs="Times New Roman"/>
                <w:b/>
                <w:color w:val="1D3C5A"/>
                <w:sz w:val="10"/>
                <w:lang w:eastAsia="en-US" w:bidi="sq-AL"/>
              </w:rPr>
              <w:t>2</w:t>
            </w:r>
          </w:p>
        </w:tc>
        <w:tc>
          <w:tcPr>
            <w:tcW w:w="373" w:type="pct"/>
            <w:shd w:val="clear" w:color="auto" w:fill="E0F4F4"/>
            <w:vAlign w:val="center"/>
          </w:tcPr>
          <w:p w14:paraId="3E5074F4"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Ndërsektoriale</w:t>
            </w:r>
          </w:p>
        </w:tc>
        <w:tc>
          <w:tcPr>
            <w:tcW w:w="389" w:type="pct"/>
            <w:shd w:val="clear" w:color="auto" w:fill="E0F4F4"/>
            <w:vAlign w:val="center"/>
          </w:tcPr>
          <w:p w14:paraId="2FA39D51" w14:textId="77777777" w:rsidR="00622884" w:rsidRPr="00622884" w:rsidRDefault="00622884" w:rsidP="00622884">
            <w:pPr>
              <w:spacing w:after="0" w:line="240" w:lineRule="auto"/>
              <w:jc w:val="left"/>
              <w:rPr>
                <w:rFonts w:ascii="Garamond" w:eastAsia="SimSun" w:hAnsi="Garamond" w:cs="Calibri Light"/>
                <w:color w:val="1D3C5A"/>
                <w:sz w:val="10"/>
                <w:szCs w:val="16"/>
                <w:u w:val="single"/>
                <w:lang w:eastAsia="en-US"/>
              </w:rPr>
            </w:pPr>
            <w:r w:rsidRPr="00622884">
              <w:rPr>
                <w:rFonts w:ascii="Garamond" w:eastAsia="SimSun" w:hAnsi="Garamond" w:cs="Times New Roman"/>
                <w:color w:val="1D3C5A"/>
                <w:sz w:val="10"/>
                <w:lang w:eastAsia="en-US" w:bidi="sq-AL"/>
              </w:rPr>
              <w:t>Optimizimi i Koordinimit të Klimës: Forcimi i Kornizës së GNPKN-së</w:t>
            </w:r>
          </w:p>
        </w:tc>
        <w:tc>
          <w:tcPr>
            <w:tcW w:w="387" w:type="pct"/>
            <w:shd w:val="clear" w:color="auto" w:fill="E0F4F4"/>
            <w:vAlign w:val="center"/>
          </w:tcPr>
          <w:p w14:paraId="32D6FCC0"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Ndërhyrja e butë</w:t>
            </w:r>
            <w:r w:rsidRPr="00622884">
              <w:rPr>
                <w:rFonts w:ascii="Garamond" w:eastAsia="SimSun" w:hAnsi="Garamond" w:cs="Times New Roman"/>
                <w:b/>
                <w:color w:val="1D3C5A"/>
                <w:sz w:val="10"/>
                <w:lang w:eastAsia="en-US" w:bidi="sq-AL"/>
              </w:rPr>
              <w:t>:</w:t>
            </w:r>
          </w:p>
        </w:tc>
        <w:tc>
          <w:tcPr>
            <w:tcW w:w="1129" w:type="pct"/>
            <w:shd w:val="clear" w:color="auto" w:fill="E0F4F4"/>
            <w:vAlign w:val="center"/>
          </w:tcPr>
          <w:p w14:paraId="7CAB20CC"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2.1 Të kryhet një shqyrtim institucional i strukturës aktuale të GNPNK-së, mandatit, proceseve të vendimmarrjes dhe mekanizmave të koordinimit të lidhura me përshtatjen ndaj klimës.</w:t>
            </w:r>
            <w:r w:rsidRPr="00622884">
              <w:rPr>
                <w:rFonts w:ascii="Garamond" w:eastAsia="SimSun" w:hAnsi="Garamond" w:cs="Times New Roman"/>
                <w:color w:val="1D3C5A"/>
                <w:sz w:val="10"/>
                <w:lang w:eastAsia="en-US" w:bidi="sq-AL"/>
              </w:rPr>
              <w:br/>
              <w:t>2.2 Të identifikohen barrierat dhe mungesat kryesore që pengojnë bashkëpunimin ndërsektorial dhe zbatimin efektiv të masave të përshtatjes të GNPNK-së.</w:t>
            </w:r>
            <w:r w:rsidRPr="00622884">
              <w:rPr>
                <w:rFonts w:ascii="Garamond" w:eastAsia="SimSun" w:hAnsi="Garamond" w:cs="Times New Roman"/>
                <w:color w:val="1D3C5A"/>
                <w:sz w:val="10"/>
                <w:lang w:eastAsia="en-US" w:bidi="sq-AL"/>
              </w:rPr>
              <w:br/>
              <w:t>2.3 Të jepen rekomandime të synuara për përmirësimin e funksionalitetit, kapacitetit koordinues dhe përafrimit strategjik të GNPNK-së me kornizat kombëtare të përshtatjes ndaj klimës.</w:t>
            </w:r>
            <w:r w:rsidRPr="00622884">
              <w:rPr>
                <w:rFonts w:ascii="Garamond" w:eastAsia="SimSun" w:hAnsi="Garamond" w:cs="Times New Roman"/>
                <w:color w:val="1D3C5A"/>
                <w:sz w:val="10"/>
                <w:lang w:eastAsia="en-US" w:bidi="sq-AL"/>
              </w:rPr>
              <w:br/>
              <w:t>2.4 Të propozohen përmirësime në protokollet e vendimmarrjes brenda GNPNK-së për të rritur transparencën, efikasitetin dhe llogaridhënien në planifikimin dhe zbatimin e përshtatjes.</w:t>
            </w:r>
          </w:p>
        </w:tc>
        <w:tc>
          <w:tcPr>
            <w:tcW w:w="535" w:type="pct"/>
            <w:shd w:val="clear" w:color="auto" w:fill="E0F4F4"/>
            <w:vAlign w:val="center"/>
          </w:tcPr>
          <w:p w14:paraId="4C162426" w14:textId="77777777" w:rsidR="00622884" w:rsidRPr="00622884" w:rsidRDefault="00622884" w:rsidP="00622884">
            <w:pPr>
              <w:spacing w:after="0" w:line="240" w:lineRule="auto"/>
              <w:jc w:val="center"/>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ASH</w:t>
            </w:r>
          </w:p>
        </w:tc>
        <w:tc>
          <w:tcPr>
            <w:tcW w:w="938" w:type="pct"/>
            <w:shd w:val="clear" w:color="auto" w:fill="E0F4F4"/>
            <w:vAlign w:val="center"/>
          </w:tcPr>
          <w:p w14:paraId="0875B155"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 xml:space="preserve">1. Numri i bashkive me grupe drejtuese operative që takohen rregullisht dhe raportojnë mbi progresin e NAP-it dhe Planit Vendor të Veprimit. 2. Përqindja e anëtarëve të Grupit Teknik të Punës për Përshtatjen ndaj Ndryshimeve Klimatike (GTP) dhe Grupit Drejtues të Bashkive të trajnuar në planifikimin dhe zbatimin e përshtatjes ndaj klimës. </w:t>
            </w:r>
            <w:r w:rsidRPr="00622884">
              <w:rPr>
                <w:rFonts w:ascii="Garamond" w:eastAsia="SimSun" w:hAnsi="Garamond" w:cs="Times New Roman"/>
                <w:color w:val="1D3C5A"/>
                <w:sz w:val="10"/>
                <w:lang w:eastAsia="en-US" w:bidi="sq-AL"/>
              </w:rPr>
              <w:br/>
              <w:t>3. Numri i politikave ose veprimeve për përshtatjen ndaj klimës të rekomanduara nga GPT-ja dhe të miratuara në nivel bashkiak.</w:t>
            </w:r>
          </w:p>
        </w:tc>
        <w:tc>
          <w:tcPr>
            <w:tcW w:w="536" w:type="pct"/>
            <w:shd w:val="clear" w:color="auto" w:fill="E0F4F4"/>
            <w:vAlign w:val="center"/>
          </w:tcPr>
          <w:p w14:paraId="2620B018"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Ministria e Mjedisit, Bashkitë</w:t>
            </w:r>
          </w:p>
          <w:p w14:paraId="4F10549F"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p>
        </w:tc>
        <w:tc>
          <w:tcPr>
            <w:tcW w:w="468" w:type="pct"/>
            <w:shd w:val="clear" w:color="auto" w:fill="E0F4F4"/>
            <w:vAlign w:val="center"/>
          </w:tcPr>
          <w:p w14:paraId="408B31AD"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 xml:space="preserve">420.000 </w:t>
            </w:r>
          </w:p>
        </w:tc>
      </w:tr>
      <w:tr w:rsidR="00622884" w:rsidRPr="00622884" w14:paraId="3863EC9C" w14:textId="77777777" w:rsidTr="00622884">
        <w:trPr>
          <w:trHeight w:val="567"/>
          <w:jc w:val="center"/>
        </w:trPr>
        <w:tc>
          <w:tcPr>
            <w:tcW w:w="245" w:type="pct"/>
            <w:shd w:val="clear" w:color="auto" w:fill="E0F4F4"/>
            <w:vAlign w:val="center"/>
          </w:tcPr>
          <w:p w14:paraId="38E99AAE" w14:textId="77777777" w:rsidR="00622884" w:rsidRPr="00622884" w:rsidRDefault="00622884" w:rsidP="00622884">
            <w:pPr>
              <w:spacing w:after="0" w:line="240" w:lineRule="auto"/>
              <w:jc w:val="center"/>
              <w:rPr>
                <w:rFonts w:ascii="Garamond" w:eastAsia="SimSun" w:hAnsi="Garamond" w:cs="Calibri Light"/>
                <w:b/>
                <w:bCs/>
                <w:color w:val="1D3C5A"/>
                <w:sz w:val="10"/>
                <w:szCs w:val="16"/>
                <w:lang w:eastAsia="en-US"/>
              </w:rPr>
            </w:pPr>
            <w:r w:rsidRPr="00622884">
              <w:rPr>
                <w:rFonts w:ascii="Garamond" w:eastAsia="SimSun" w:hAnsi="Garamond" w:cs="Times New Roman"/>
                <w:b/>
                <w:color w:val="1D3C5A"/>
                <w:sz w:val="10"/>
                <w:lang w:eastAsia="en-US" w:bidi="sq-AL"/>
              </w:rPr>
              <w:t>3</w:t>
            </w:r>
          </w:p>
        </w:tc>
        <w:tc>
          <w:tcPr>
            <w:tcW w:w="373" w:type="pct"/>
            <w:shd w:val="clear" w:color="auto" w:fill="E0F4F4"/>
            <w:vAlign w:val="center"/>
          </w:tcPr>
          <w:p w14:paraId="74DFD3CF"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Ndërsektoriale</w:t>
            </w:r>
          </w:p>
        </w:tc>
        <w:tc>
          <w:tcPr>
            <w:tcW w:w="389" w:type="pct"/>
            <w:shd w:val="clear" w:color="auto" w:fill="E0F4F4"/>
            <w:vAlign w:val="center"/>
          </w:tcPr>
          <w:p w14:paraId="49CD9ACB" w14:textId="77777777" w:rsidR="00622884" w:rsidRPr="00622884" w:rsidRDefault="00622884" w:rsidP="00622884">
            <w:pPr>
              <w:spacing w:after="0" w:line="240" w:lineRule="auto"/>
              <w:jc w:val="left"/>
              <w:rPr>
                <w:rFonts w:ascii="Garamond" w:eastAsia="SimSun" w:hAnsi="Garamond" w:cs="Calibri Light"/>
                <w:color w:val="1D3C5A"/>
                <w:sz w:val="10"/>
                <w:szCs w:val="16"/>
                <w:u w:val="single"/>
                <w:lang w:eastAsia="en-US"/>
              </w:rPr>
            </w:pPr>
            <w:r w:rsidRPr="00622884">
              <w:rPr>
                <w:rFonts w:ascii="Garamond" w:eastAsia="SimSun" w:hAnsi="Garamond" w:cs="Times New Roman"/>
                <w:color w:val="1D3C5A"/>
                <w:sz w:val="10"/>
                <w:lang w:eastAsia="en-US" w:bidi="sq-AL"/>
              </w:rPr>
              <w:t>Rritja e kapaciteteve për përshtatje: Mbështetje për Grupin Teknik të Ndryshimeve Klimatike dhe krijimi dhe fuqizimi i Grupit Drejtues</w:t>
            </w:r>
          </w:p>
        </w:tc>
        <w:tc>
          <w:tcPr>
            <w:tcW w:w="387" w:type="pct"/>
            <w:shd w:val="clear" w:color="auto" w:fill="E0F4F4"/>
            <w:vAlign w:val="center"/>
          </w:tcPr>
          <w:p w14:paraId="6FB83B7B"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Ndërhyrja e butë</w:t>
            </w:r>
            <w:r w:rsidRPr="00622884">
              <w:rPr>
                <w:rFonts w:ascii="Garamond" w:eastAsia="SimSun" w:hAnsi="Garamond" w:cs="Times New Roman"/>
                <w:b/>
                <w:color w:val="1D3C5A"/>
                <w:sz w:val="10"/>
                <w:lang w:eastAsia="en-US" w:bidi="sq-AL"/>
              </w:rPr>
              <w:t>:</w:t>
            </w:r>
          </w:p>
        </w:tc>
        <w:tc>
          <w:tcPr>
            <w:tcW w:w="1129" w:type="pct"/>
            <w:shd w:val="clear" w:color="auto" w:fill="E0F4F4"/>
            <w:vAlign w:val="center"/>
          </w:tcPr>
          <w:p w14:paraId="09CEC071"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3.1 Të ofrohet mbështetje të synuar për ngritjen e kapaciteteve (p.sh., trajnim teknik, materiale udhëzuese) për Grupin Teknik të Punës për Përshtatjen ndaj Ndryshimeve Klimatike.</w:t>
            </w:r>
            <w:r w:rsidRPr="00622884">
              <w:rPr>
                <w:rFonts w:ascii="Garamond" w:eastAsia="SimSun" w:hAnsi="Garamond" w:cs="Times New Roman"/>
                <w:color w:val="1D3C5A"/>
                <w:sz w:val="10"/>
                <w:lang w:eastAsia="en-US" w:bidi="sq-AL"/>
              </w:rPr>
              <w:br/>
              <w:t>3.2 Të ngrihet një Grup Drejtues në nivel bashkie me role dhe përgjegjësi të përcaktuara qartë për të koordinuar dhe monitoruar veprimet vendore të përshtatjes.</w:t>
            </w:r>
            <w:r w:rsidRPr="00622884">
              <w:rPr>
                <w:rFonts w:ascii="Garamond" w:eastAsia="SimSun" w:hAnsi="Garamond" w:cs="Times New Roman"/>
                <w:color w:val="1D3C5A"/>
                <w:sz w:val="10"/>
                <w:lang w:eastAsia="en-US" w:bidi="sq-AL"/>
              </w:rPr>
              <w:br/>
              <w:t>3.3 Të ofrohen seanca trajnuese për anëtarët e Grupit Drejtues në lidhje me planifikimin e përshtatjes dhe raportimin e mekanizmave të lidhura me NAP-in dhe Planin Vendor të Veprimit.</w:t>
            </w:r>
          </w:p>
        </w:tc>
        <w:tc>
          <w:tcPr>
            <w:tcW w:w="535" w:type="pct"/>
            <w:shd w:val="clear" w:color="auto" w:fill="E0F4F4"/>
            <w:vAlign w:val="center"/>
          </w:tcPr>
          <w:p w14:paraId="5BB9721C" w14:textId="77777777" w:rsidR="00622884" w:rsidRPr="00622884" w:rsidRDefault="00622884" w:rsidP="00622884">
            <w:pPr>
              <w:spacing w:after="0" w:line="240" w:lineRule="auto"/>
              <w:jc w:val="center"/>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ASH</w:t>
            </w:r>
          </w:p>
        </w:tc>
        <w:tc>
          <w:tcPr>
            <w:tcW w:w="938" w:type="pct"/>
            <w:shd w:val="clear" w:color="auto" w:fill="E0F4F4"/>
            <w:vAlign w:val="center"/>
          </w:tcPr>
          <w:p w14:paraId="745B8BD0"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1. Numri i seancave të trajnimit të zhvilluara për Grupin Teknik të Punës për Përshtatjen ndaj Ndryshimeve Klimatike.</w:t>
            </w:r>
            <w:r w:rsidRPr="00622884">
              <w:rPr>
                <w:rFonts w:ascii="Garamond" w:eastAsia="SimSun" w:hAnsi="Garamond" w:cs="Times New Roman"/>
                <w:color w:val="1D3C5A"/>
                <w:sz w:val="10"/>
                <w:lang w:eastAsia="en-US" w:bidi="sq-AL"/>
              </w:rPr>
              <w:br/>
              <w:t>2. Përqindja e bashkive që kanë ngritur Grupin Drejtues.</w:t>
            </w:r>
            <w:r w:rsidRPr="00622884">
              <w:rPr>
                <w:rFonts w:ascii="Garamond" w:eastAsia="SimSun" w:hAnsi="Garamond" w:cs="Times New Roman"/>
                <w:color w:val="1D3C5A"/>
                <w:sz w:val="10"/>
                <w:lang w:eastAsia="en-US" w:bidi="sq-AL"/>
              </w:rPr>
              <w:br/>
              <w:t>3. Numri i anëtarëve të Grupit Drejtues të trajnuar në planifikimin e përshtatjes dhe raportim.</w:t>
            </w:r>
          </w:p>
        </w:tc>
        <w:tc>
          <w:tcPr>
            <w:tcW w:w="536" w:type="pct"/>
            <w:shd w:val="clear" w:color="auto" w:fill="E0F4F4"/>
            <w:vAlign w:val="center"/>
          </w:tcPr>
          <w:p w14:paraId="770F9D20"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Ministria e Mjedisit, Bashkitë</w:t>
            </w:r>
          </w:p>
        </w:tc>
        <w:tc>
          <w:tcPr>
            <w:tcW w:w="468" w:type="pct"/>
            <w:shd w:val="clear" w:color="auto" w:fill="E0F4F4"/>
            <w:vAlign w:val="center"/>
          </w:tcPr>
          <w:p w14:paraId="2D0BCA7D"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 xml:space="preserve">745.000 </w:t>
            </w:r>
          </w:p>
        </w:tc>
      </w:tr>
      <w:tr w:rsidR="00622884" w:rsidRPr="00622884" w14:paraId="01A3D28E" w14:textId="77777777" w:rsidTr="00622884">
        <w:trPr>
          <w:trHeight w:val="454"/>
          <w:jc w:val="center"/>
        </w:trPr>
        <w:tc>
          <w:tcPr>
            <w:tcW w:w="245" w:type="pct"/>
            <w:shd w:val="clear" w:color="auto" w:fill="E0F4F4"/>
            <w:vAlign w:val="center"/>
          </w:tcPr>
          <w:p w14:paraId="6C78F649" w14:textId="77777777" w:rsidR="00622884" w:rsidRPr="00622884" w:rsidRDefault="00622884" w:rsidP="00622884">
            <w:pPr>
              <w:spacing w:after="0" w:line="240" w:lineRule="auto"/>
              <w:jc w:val="center"/>
              <w:rPr>
                <w:rFonts w:ascii="Garamond" w:eastAsia="SimSun" w:hAnsi="Garamond" w:cs="Calibri Light"/>
                <w:b/>
                <w:bCs/>
                <w:color w:val="1D3C5A"/>
                <w:sz w:val="10"/>
                <w:szCs w:val="16"/>
                <w:lang w:eastAsia="en-US"/>
              </w:rPr>
            </w:pPr>
            <w:r w:rsidRPr="00622884">
              <w:rPr>
                <w:rFonts w:ascii="Garamond" w:eastAsia="SimSun" w:hAnsi="Garamond" w:cs="Times New Roman"/>
                <w:b/>
                <w:color w:val="1D3C5A"/>
                <w:sz w:val="10"/>
                <w:lang w:eastAsia="en-US" w:bidi="sq-AL"/>
              </w:rPr>
              <w:t>4</w:t>
            </w:r>
          </w:p>
        </w:tc>
        <w:tc>
          <w:tcPr>
            <w:tcW w:w="373" w:type="pct"/>
            <w:shd w:val="clear" w:color="auto" w:fill="E0F4F4"/>
            <w:vAlign w:val="center"/>
          </w:tcPr>
          <w:p w14:paraId="778D31A6"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Ndërsektoriale</w:t>
            </w:r>
          </w:p>
        </w:tc>
        <w:tc>
          <w:tcPr>
            <w:tcW w:w="389" w:type="pct"/>
            <w:shd w:val="clear" w:color="auto" w:fill="E0F4F4"/>
            <w:vAlign w:val="center"/>
          </w:tcPr>
          <w:p w14:paraId="7EB69321" w14:textId="77777777" w:rsidR="00622884" w:rsidRPr="00622884" w:rsidRDefault="00622884" w:rsidP="00622884">
            <w:pPr>
              <w:spacing w:after="0" w:line="240" w:lineRule="auto"/>
              <w:jc w:val="left"/>
              <w:rPr>
                <w:rFonts w:ascii="Garamond" w:eastAsia="SimSun" w:hAnsi="Garamond" w:cs="Calibri Light"/>
                <w:color w:val="1D3C5A"/>
                <w:sz w:val="10"/>
                <w:szCs w:val="16"/>
                <w:u w:val="single"/>
                <w:lang w:eastAsia="en-US"/>
              </w:rPr>
            </w:pPr>
            <w:r w:rsidRPr="00622884">
              <w:rPr>
                <w:rFonts w:ascii="Garamond" w:eastAsia="SimSun" w:hAnsi="Garamond" w:cs="Times New Roman"/>
                <w:color w:val="1D3C5A"/>
                <w:sz w:val="10"/>
                <w:lang w:eastAsia="en-US" w:bidi="sq-AL"/>
              </w:rPr>
              <w:t>Përmirësimi i aftësive ripërtëritëse ndaj klimës përmes sistemeve të përmirësuara të të dhënave</w:t>
            </w:r>
          </w:p>
        </w:tc>
        <w:tc>
          <w:tcPr>
            <w:tcW w:w="387" w:type="pct"/>
            <w:shd w:val="clear" w:color="auto" w:fill="E0F4F4"/>
            <w:vAlign w:val="center"/>
          </w:tcPr>
          <w:p w14:paraId="3D37537F"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Ndërhyrja e butë</w:t>
            </w:r>
            <w:r w:rsidRPr="00622884">
              <w:rPr>
                <w:rFonts w:ascii="Garamond" w:eastAsia="SimSun" w:hAnsi="Garamond" w:cs="Times New Roman"/>
                <w:b/>
                <w:color w:val="1D3C5A"/>
                <w:sz w:val="10"/>
                <w:lang w:eastAsia="en-US" w:bidi="sq-AL"/>
              </w:rPr>
              <w:t>:</w:t>
            </w:r>
          </w:p>
        </w:tc>
        <w:tc>
          <w:tcPr>
            <w:tcW w:w="1129" w:type="pct"/>
            <w:shd w:val="clear" w:color="auto" w:fill="E0F4F4"/>
            <w:vAlign w:val="center"/>
          </w:tcPr>
          <w:p w14:paraId="0E8B0861" w14:textId="77777777" w:rsidR="00622884" w:rsidRPr="00622884" w:rsidRDefault="00622884" w:rsidP="00622884">
            <w:pPr>
              <w:spacing w:after="0" w:line="240" w:lineRule="auto"/>
              <w:jc w:val="left"/>
              <w:rPr>
                <w:rFonts w:ascii="Garamond" w:eastAsia="SimSun" w:hAnsi="Garamond" w:cs="Times New Roman"/>
                <w:color w:val="1D3C5A"/>
                <w:sz w:val="10"/>
                <w:lang w:eastAsia="en-US" w:bidi="sq-AL"/>
              </w:rPr>
            </w:pPr>
            <w:r w:rsidRPr="00622884">
              <w:rPr>
                <w:rFonts w:ascii="Garamond" w:eastAsia="SimSun" w:hAnsi="Garamond" w:cs="Times New Roman"/>
                <w:color w:val="1D3C5A"/>
                <w:sz w:val="10"/>
                <w:lang w:eastAsia="en-US" w:bidi="sq-AL"/>
              </w:rPr>
              <w:t>4.1 Të zhvillohen ose përmirësohen platformat e centralizuara të informacionit mbi klimën për të mundësuar integrimin, ndarjen dhe aksesin e të dhënave në të gjithë sektorët dhe nivelet e qeverisjes.</w:t>
            </w:r>
            <w:r w:rsidRPr="00622884">
              <w:rPr>
                <w:rFonts w:ascii="Garamond" w:eastAsia="SimSun" w:hAnsi="Garamond" w:cs="Times New Roman"/>
                <w:color w:val="1D3C5A"/>
                <w:sz w:val="10"/>
                <w:lang w:eastAsia="en-US" w:bidi="sq-AL"/>
              </w:rPr>
              <w:br/>
              <w:t>4.2 Të forcohen kapacitetet institucionale në mbledhjen, përpunimin dhe analizën e të dhënave klimatike nëpërmjet trajnimit, sigurimit të instrumenteve dhe zhvillimit të protokolleve standarde.</w:t>
            </w:r>
            <w:r w:rsidRPr="00622884">
              <w:rPr>
                <w:rFonts w:ascii="Garamond" w:eastAsia="SimSun" w:hAnsi="Garamond" w:cs="Times New Roman"/>
                <w:color w:val="1D3C5A"/>
                <w:sz w:val="10"/>
                <w:lang w:eastAsia="en-US" w:bidi="sq-AL"/>
              </w:rPr>
              <w:br/>
              <w:t>4.3 Të ngrihen ose të përmirësohen sistemet e monitorimit në kohë reale dhe sistemet e paralajmërimit të hershëm për risqet që lidhen me klimën.</w:t>
            </w:r>
          </w:p>
          <w:p w14:paraId="06CD3188"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bidi="sq-AL"/>
              </w:rPr>
            </w:pPr>
            <w:r w:rsidRPr="00622884">
              <w:rPr>
                <w:rFonts w:ascii="Garamond" w:eastAsia="SimSun" w:hAnsi="Garamond" w:cs="Times New Roman"/>
                <w:color w:val="1D3C5A"/>
                <w:sz w:val="10"/>
                <w:lang w:eastAsia="en-US" w:bidi="sq-AL"/>
              </w:rPr>
              <w:t xml:space="preserve">4.4 </w:t>
            </w:r>
            <w:r w:rsidRPr="00622884">
              <w:rPr>
                <w:rFonts w:ascii="Garamond" w:eastAsia="SimSun" w:hAnsi="Garamond" w:cs="Calibri Light"/>
                <w:color w:val="1D3C5A"/>
                <w:sz w:val="10"/>
                <w:szCs w:val="16"/>
                <w:lang w:eastAsia="en-US" w:bidi="sq-AL"/>
              </w:rPr>
              <w:t>Të forcohen kapacitetet për qëndrueshmëri klimatike përmes përmirësimit të sistemeve të të dhënave, duke siguruar integrimin e të dhënave klimatike të ndara sipas moshës dhe të ndjeshme ndaj fëmijëve, si dhe vlerësimin e riskut dhe vulnerabilitetit të fëmijëve dhe adoleshentëve, për të informuar politikat dhe ndërhyrjet e përshtatjes klimatike dhe reduktimit të rrezikut nga fatkeqësitë.</w:t>
            </w:r>
          </w:p>
          <w:p w14:paraId="08F1DC0B"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bidi="sq-AL"/>
              </w:rPr>
            </w:pPr>
            <w:r w:rsidRPr="00622884">
              <w:rPr>
                <w:rFonts w:ascii="Garamond" w:eastAsia="SimSun" w:hAnsi="Garamond" w:cs="Calibri Light"/>
                <w:color w:val="1D3C5A"/>
                <w:sz w:val="10"/>
                <w:szCs w:val="16"/>
                <w:lang w:eastAsia="en-US" w:bidi="sq-AL"/>
              </w:rPr>
              <w:t>4.5 Të përmirësohet sistemi shëndetësor rezistent ndaj ndryshimeve klimatike përmes përdorimit të të dhënave klimatike dhe shëndetësore, sistemeve të paralajmërimit të hershëm, politikave dhe institucioneve të integruara, si dhe përmirësimit të infrastrukturës dhe kapaciteteve të përgjigjes.</w:t>
            </w:r>
          </w:p>
          <w:p w14:paraId="419336DC"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bidi="sq-AL"/>
              </w:rPr>
            </w:pPr>
            <w:bookmarkStart w:id="320" w:name="_Hlk222479458"/>
            <w:r w:rsidRPr="00622884">
              <w:rPr>
                <w:rFonts w:ascii="Garamond" w:eastAsia="SimSun" w:hAnsi="Garamond" w:cs="Calibri Light"/>
                <w:color w:val="1D3C5A"/>
                <w:sz w:val="10"/>
                <w:szCs w:val="16"/>
                <w:lang w:eastAsia="en-US" w:bidi="sq-AL"/>
              </w:rPr>
              <w:t>4.6 Të promovohet nënshkrimi i një Memorandumi Bashkëpunimi ndërmjet ministrive përgjegjëse për mjedisin, shëndetësinë, bujqësinë dhe arsimin, me qëllim koordinimin e kërkimit shkencor të aplikuar dhe shkëmbimin e të dhënave për temat prioritare të përshtatjes ndaj ndryshimeve klimatike, përfshirë zhvillimin e kultivarëve rezistentë ndaj thatësirës dhe kripëzimit, si dhe studimet mbi ndikimet shëndetësore të valëve të të nxehtit dhe sëmundjeve vektoriale. Bashkëpunimi synon mbështetjen e politikëbërjes së bazuar në evidencë, forcimin e kapaciteteve kombëtare kërkimore dhe integrimin e rezultateve shkencore në zbatimin e masave sektoriale të planit, në përputhje me mandatet institucionale dhe kuadrin ligjor në fuqi.</w:t>
            </w:r>
            <w:bookmarkEnd w:id="320"/>
            <w:r w:rsidRPr="00622884">
              <w:rPr>
                <w:rFonts w:ascii="Garamond" w:eastAsia="SimSun" w:hAnsi="Garamond" w:cs="Calibri Light"/>
                <w:color w:val="1D3C5A"/>
                <w:sz w:val="10"/>
                <w:szCs w:val="16"/>
                <w:lang w:eastAsia="en-US" w:bidi="sq-AL"/>
              </w:rPr>
              <w:t xml:space="preserve"> </w:t>
            </w:r>
          </w:p>
          <w:p w14:paraId="47AC7DD9"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Calibri Light"/>
                <w:color w:val="1D3C5A"/>
                <w:sz w:val="10"/>
                <w:szCs w:val="16"/>
                <w:lang w:eastAsia="en-US"/>
              </w:rPr>
              <w:lastRenderedPageBreak/>
              <w:t>4.7</w:t>
            </w:r>
            <w:bookmarkStart w:id="321" w:name="_Hlk222480320"/>
            <w:r w:rsidRPr="00622884">
              <w:rPr>
                <w:rFonts w:ascii="Garamond" w:eastAsia="SimSun" w:hAnsi="Garamond" w:cs="Calibri Light"/>
                <w:color w:val="1D3C5A"/>
                <w:sz w:val="10"/>
                <w:szCs w:val="16"/>
                <w:lang w:eastAsia="en-US"/>
              </w:rPr>
              <w:t xml:space="preserve"> Të promovohet integrimi i bazave të të dhënave shkencore të institucioneve të arsimit të lartë me platformën kombëtare të të dhënave klimatike, si dhe sigurimi i aksesit të kontrolluar për komunitetin akademik për përdorimin e këtyre të dhënave në kërkime shkencore, studime dhe teza doktorate, në përputhje me standardet për menaxhimin, shkëmbimin dhe mbrojtjen e të dhënave.</w:t>
            </w:r>
            <w:bookmarkEnd w:id="321"/>
          </w:p>
          <w:p w14:paraId="3F64C533"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Calibri Light"/>
                <w:color w:val="1D3C5A"/>
                <w:sz w:val="10"/>
                <w:szCs w:val="16"/>
                <w:lang w:eastAsia="en-US"/>
              </w:rPr>
              <w:t>4.8</w:t>
            </w:r>
            <w:r w:rsidRPr="00622884">
              <w:rPr>
                <w:rFonts w:ascii="Garamond" w:eastAsia="SimSun" w:hAnsi="Garamond" w:cs="Calibri Light"/>
                <w:b/>
                <w:bCs/>
                <w:color w:val="1D3C5A"/>
                <w:sz w:val="10"/>
                <w:szCs w:val="16"/>
                <w:lang w:eastAsia="en-US"/>
              </w:rPr>
              <w:t xml:space="preserve"> </w:t>
            </w:r>
            <w:r w:rsidRPr="00622884">
              <w:rPr>
                <w:rFonts w:ascii="Garamond" w:eastAsia="SimSun" w:hAnsi="Garamond" w:cs="Calibri Light"/>
                <w:color w:val="1D3C5A"/>
                <w:sz w:val="10"/>
                <w:szCs w:val="16"/>
                <w:lang w:eastAsia="en-US"/>
              </w:rPr>
              <w:t>Të promovohet dhe formalizohet bashkëpunimi ndërmjet bashkive dhe operatorëve të ujësjellës-kanalizimeve për kryerjen e auditimeve klimatike të rrjeteve, duke mundësuar mbledhjen dhe analizën e të dhënave mbi vulnerabilitetin ndaj risqeve klimatike dhe hartimin e planeve të mirëmbajtjes parandaluese dhe investimeve prioritare.</w:t>
            </w:r>
          </w:p>
        </w:tc>
        <w:tc>
          <w:tcPr>
            <w:tcW w:w="535" w:type="pct"/>
            <w:shd w:val="clear" w:color="auto" w:fill="E0F4F4"/>
            <w:vAlign w:val="center"/>
          </w:tcPr>
          <w:p w14:paraId="17EE076D" w14:textId="77777777" w:rsidR="00622884" w:rsidRPr="00622884" w:rsidRDefault="00622884" w:rsidP="00622884">
            <w:pPr>
              <w:spacing w:after="0" w:line="240" w:lineRule="auto"/>
              <w:jc w:val="center"/>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lastRenderedPageBreak/>
              <w:t>ASH</w:t>
            </w:r>
          </w:p>
        </w:tc>
        <w:tc>
          <w:tcPr>
            <w:tcW w:w="938" w:type="pct"/>
            <w:shd w:val="clear" w:color="auto" w:fill="E0F4F4"/>
            <w:vAlign w:val="center"/>
          </w:tcPr>
          <w:p w14:paraId="219FA888" w14:textId="77777777" w:rsidR="00622884" w:rsidRPr="00622884" w:rsidRDefault="00622884" w:rsidP="00622884">
            <w:pPr>
              <w:spacing w:after="0" w:line="240" w:lineRule="auto"/>
              <w:jc w:val="left"/>
              <w:rPr>
                <w:rFonts w:ascii="Garamond" w:eastAsia="SimSun" w:hAnsi="Garamond" w:cs="Times New Roman"/>
                <w:color w:val="1D3C5A"/>
                <w:sz w:val="10"/>
                <w:lang w:eastAsia="en-US" w:bidi="sq-AL"/>
              </w:rPr>
            </w:pPr>
            <w:r w:rsidRPr="00622884">
              <w:rPr>
                <w:rFonts w:ascii="Garamond" w:eastAsia="SimSun" w:hAnsi="Garamond" w:cs="Times New Roman"/>
                <w:color w:val="1D3C5A"/>
                <w:sz w:val="10"/>
                <w:lang w:eastAsia="en-US" w:bidi="sq-AL"/>
              </w:rPr>
              <w:t>1. Ekzistenca e një platforme operative informacioni për klimën (e re ose e përmirësuar) që ofron të dhëna dhe shërbime të aksesueshme.</w:t>
            </w:r>
            <w:r w:rsidRPr="00622884">
              <w:rPr>
                <w:rFonts w:ascii="Garamond" w:eastAsia="SimSun" w:hAnsi="Garamond" w:cs="Times New Roman"/>
                <w:color w:val="1D3C5A"/>
                <w:sz w:val="10"/>
                <w:lang w:eastAsia="en-US" w:bidi="sq-AL"/>
              </w:rPr>
              <w:br/>
              <w:t>2. Numri i anëtarëve të stafit teknik të trajnuar në mbledhjen, përpunimin dhe analizën e të dhënave klimatike.</w:t>
            </w:r>
            <w:r w:rsidRPr="00622884">
              <w:rPr>
                <w:rFonts w:ascii="Garamond" w:eastAsia="SimSun" w:hAnsi="Garamond" w:cs="Times New Roman"/>
                <w:color w:val="1D3C5A"/>
                <w:sz w:val="10"/>
                <w:lang w:eastAsia="en-US" w:bidi="sq-AL"/>
              </w:rPr>
              <w:br/>
              <w:t>3. Përqindja e zonave të cenueshme të mbuluara nga sistemet e monitorimit në kohë reale dhe paralajmërimit të hershëm.</w:t>
            </w:r>
          </w:p>
          <w:p w14:paraId="05112B46"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Calibri Light"/>
                <w:color w:val="1D3C5A"/>
                <w:sz w:val="10"/>
                <w:szCs w:val="16"/>
                <w:lang w:eastAsia="en-US"/>
              </w:rPr>
              <w:t>4.</w:t>
            </w:r>
            <w:r w:rsidRPr="00622884">
              <w:rPr>
                <w:rFonts w:ascii="Garamond" w:eastAsia="Calibri" w:hAnsi="Garamond" w:cs="Times New Roman"/>
                <w:sz w:val="10"/>
                <w:lang w:eastAsia="en-US"/>
              </w:rPr>
              <w:t xml:space="preserve"> </w:t>
            </w:r>
            <w:r w:rsidRPr="00622884">
              <w:rPr>
                <w:rFonts w:ascii="Garamond" w:eastAsia="SimSun" w:hAnsi="Garamond" w:cs="Calibri Light"/>
                <w:color w:val="1D3C5A"/>
                <w:sz w:val="10"/>
                <w:szCs w:val="16"/>
                <w:lang w:eastAsia="en-US"/>
              </w:rPr>
              <w:t>Përqindja e sistemeve të të dhënave klimatike që mbledhin, analizojnë dhe raportojnë të dhëna të ndara sipas moshës dhe të ndjeshme ndaj fëmijëve.</w:t>
            </w:r>
          </w:p>
          <w:p w14:paraId="7EB5C2F0"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Calibri Light"/>
                <w:color w:val="1D3C5A"/>
                <w:sz w:val="10"/>
                <w:szCs w:val="16"/>
                <w:lang w:eastAsia="en-US"/>
              </w:rPr>
              <w:t>5. Përqindja e politikave, udhëzimeve ose planeve sektoriale shëndetësore që përfshijnë masat e integrimit të të dhënave klimatike dhe shëndetësore dhe sistemet e paralajmërimit të hershëm.</w:t>
            </w:r>
          </w:p>
        </w:tc>
        <w:tc>
          <w:tcPr>
            <w:tcW w:w="536" w:type="pct"/>
            <w:shd w:val="clear" w:color="auto" w:fill="E0F4F4"/>
            <w:vAlign w:val="center"/>
          </w:tcPr>
          <w:p w14:paraId="1E047F54" w14:textId="77777777" w:rsidR="00622884" w:rsidRPr="00622884" w:rsidRDefault="00622884" w:rsidP="00622884">
            <w:pPr>
              <w:spacing w:after="0" w:line="240" w:lineRule="auto"/>
              <w:jc w:val="left"/>
              <w:rPr>
                <w:rFonts w:ascii="Garamond" w:eastAsia="SimSun" w:hAnsi="Garamond" w:cs="Times New Roman"/>
                <w:color w:val="1D3C5A"/>
                <w:sz w:val="10"/>
                <w:lang w:eastAsia="en-US" w:bidi="sq-AL"/>
              </w:rPr>
            </w:pPr>
            <w:r w:rsidRPr="00622884">
              <w:rPr>
                <w:rFonts w:ascii="Garamond" w:eastAsia="SimSun" w:hAnsi="Garamond" w:cs="Times New Roman"/>
                <w:color w:val="1D3C5A"/>
                <w:sz w:val="10"/>
                <w:lang w:eastAsia="en-US" w:bidi="sq-AL"/>
              </w:rPr>
              <w:t>Ministria e Mjedisit</w:t>
            </w:r>
          </w:p>
          <w:p w14:paraId="2D958306" w14:textId="77777777" w:rsidR="00622884" w:rsidRPr="00622884" w:rsidRDefault="00622884" w:rsidP="00622884">
            <w:pPr>
              <w:spacing w:after="0" w:line="240" w:lineRule="auto"/>
              <w:jc w:val="left"/>
              <w:rPr>
                <w:rFonts w:ascii="Garamond" w:eastAsia="SimSun" w:hAnsi="Garamond" w:cs="Calibri Light"/>
                <w:color w:val="1D3C5A"/>
                <w:sz w:val="10"/>
                <w:lang w:eastAsia="en-US" w:bidi="sq-AL"/>
              </w:rPr>
            </w:pPr>
            <w:r w:rsidRPr="00622884">
              <w:rPr>
                <w:rFonts w:ascii="Garamond" w:eastAsia="SimSun" w:hAnsi="Garamond" w:cs="Calibri Light"/>
                <w:color w:val="1D3C5A"/>
                <w:sz w:val="10"/>
                <w:lang w:eastAsia="en-US" w:bidi="sq-AL"/>
              </w:rPr>
              <w:t>Ministria e Arsimit</w:t>
            </w:r>
          </w:p>
          <w:p w14:paraId="5BD037EC" w14:textId="77777777" w:rsidR="00622884" w:rsidRPr="00622884" w:rsidRDefault="00622884" w:rsidP="00622884">
            <w:pPr>
              <w:spacing w:after="0" w:line="240" w:lineRule="auto"/>
              <w:jc w:val="left"/>
              <w:rPr>
                <w:rFonts w:ascii="Garamond" w:eastAsia="SimSun" w:hAnsi="Garamond" w:cs="Calibri Light"/>
                <w:color w:val="1D3C5A"/>
                <w:sz w:val="10"/>
                <w:lang w:eastAsia="en-US" w:bidi="sq-AL"/>
              </w:rPr>
            </w:pPr>
            <w:r w:rsidRPr="00622884">
              <w:rPr>
                <w:rFonts w:ascii="Garamond" w:eastAsia="SimSun" w:hAnsi="Garamond" w:cs="Calibri Light"/>
                <w:color w:val="1D3C5A"/>
                <w:sz w:val="10"/>
                <w:lang w:eastAsia="en-US" w:bidi="sq-AL"/>
              </w:rPr>
              <w:t>Ministria e Bujqësisë dhe Zhvillimit Rural</w:t>
            </w:r>
          </w:p>
          <w:p w14:paraId="5DFE4228"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Calibri Light"/>
                <w:color w:val="1D3C5A"/>
                <w:sz w:val="10"/>
                <w:lang w:eastAsia="en-US" w:bidi="sq-AL"/>
              </w:rPr>
              <w:t>Ministria e Shëndetësisë</w:t>
            </w:r>
          </w:p>
        </w:tc>
        <w:tc>
          <w:tcPr>
            <w:tcW w:w="468" w:type="pct"/>
            <w:shd w:val="clear" w:color="auto" w:fill="E0F4F4"/>
            <w:vAlign w:val="center"/>
          </w:tcPr>
          <w:p w14:paraId="7E3CE82C"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 xml:space="preserve">1.500.000 </w:t>
            </w:r>
          </w:p>
        </w:tc>
      </w:tr>
      <w:tr w:rsidR="00622884" w:rsidRPr="00622884" w14:paraId="210B190C" w14:textId="77777777" w:rsidTr="00622884">
        <w:trPr>
          <w:trHeight w:val="567"/>
          <w:jc w:val="center"/>
        </w:trPr>
        <w:tc>
          <w:tcPr>
            <w:tcW w:w="245" w:type="pct"/>
            <w:shd w:val="clear" w:color="auto" w:fill="E0F4F4"/>
            <w:vAlign w:val="center"/>
          </w:tcPr>
          <w:p w14:paraId="04D13ABA" w14:textId="77777777" w:rsidR="00622884" w:rsidRPr="00622884" w:rsidRDefault="00622884" w:rsidP="00622884">
            <w:pPr>
              <w:spacing w:after="0" w:line="240" w:lineRule="auto"/>
              <w:jc w:val="center"/>
              <w:rPr>
                <w:rFonts w:ascii="Garamond" w:eastAsia="SimSun" w:hAnsi="Garamond" w:cs="Calibri Light"/>
                <w:b/>
                <w:bCs/>
                <w:color w:val="1D3C5A"/>
                <w:sz w:val="10"/>
                <w:szCs w:val="16"/>
                <w:lang w:eastAsia="en-US"/>
              </w:rPr>
            </w:pPr>
            <w:r w:rsidRPr="00622884">
              <w:rPr>
                <w:rFonts w:ascii="Garamond" w:eastAsia="SimSun" w:hAnsi="Garamond" w:cs="Times New Roman"/>
                <w:b/>
                <w:color w:val="1D3C5A"/>
                <w:sz w:val="10"/>
                <w:lang w:eastAsia="en-US" w:bidi="sq-AL"/>
              </w:rPr>
              <w:t>5</w:t>
            </w:r>
          </w:p>
        </w:tc>
        <w:tc>
          <w:tcPr>
            <w:tcW w:w="373" w:type="pct"/>
            <w:shd w:val="clear" w:color="auto" w:fill="E0F4F4"/>
            <w:vAlign w:val="center"/>
          </w:tcPr>
          <w:p w14:paraId="69C69A55"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Ndërsektoriale</w:t>
            </w:r>
          </w:p>
        </w:tc>
        <w:tc>
          <w:tcPr>
            <w:tcW w:w="389" w:type="pct"/>
            <w:shd w:val="clear" w:color="auto" w:fill="E0F4F4"/>
            <w:vAlign w:val="center"/>
          </w:tcPr>
          <w:p w14:paraId="031B8D07" w14:textId="77777777" w:rsidR="00622884" w:rsidRPr="00622884" w:rsidRDefault="00622884" w:rsidP="00622884">
            <w:pPr>
              <w:spacing w:after="0" w:line="240" w:lineRule="auto"/>
              <w:jc w:val="left"/>
              <w:rPr>
                <w:rFonts w:ascii="Garamond" w:eastAsia="SimSun" w:hAnsi="Garamond" w:cs="Calibri Light"/>
                <w:color w:val="1D3C5A"/>
                <w:sz w:val="10"/>
                <w:szCs w:val="16"/>
                <w:u w:val="single"/>
                <w:lang w:eastAsia="en-US"/>
              </w:rPr>
            </w:pPr>
            <w:r w:rsidRPr="00622884">
              <w:rPr>
                <w:rFonts w:ascii="Garamond" w:eastAsia="SimSun" w:hAnsi="Garamond" w:cs="Times New Roman"/>
                <w:color w:val="1D3C5A"/>
                <w:sz w:val="10"/>
                <w:lang w:eastAsia="en-US" w:bidi="sq-AL"/>
              </w:rPr>
              <w:t>Zgjidhje të bazuara në natyrë dhe Skemat e Zhvilluesve për Fitimin e Biodiversitetit</w:t>
            </w:r>
          </w:p>
        </w:tc>
        <w:tc>
          <w:tcPr>
            <w:tcW w:w="387" w:type="pct"/>
            <w:shd w:val="clear" w:color="auto" w:fill="E0F4F4"/>
            <w:vAlign w:val="center"/>
          </w:tcPr>
          <w:p w14:paraId="52FDE71C"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Ndërhyrja e gjelbër</w:t>
            </w:r>
          </w:p>
        </w:tc>
        <w:tc>
          <w:tcPr>
            <w:tcW w:w="1129" w:type="pct"/>
            <w:shd w:val="clear" w:color="auto" w:fill="E0F4F4"/>
            <w:vAlign w:val="center"/>
          </w:tcPr>
          <w:p w14:paraId="71980566"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5.1 Të krijohen dhe restaurohen korridoret e gjelbra për lidhshmërinë e biodiversitetit duke identifikuar zonat prioritare dhe duke restauruar bimësinë vendase përmes plantacioneve dhe infrastrukturës miqësore ndaj jetës së egër (ura ekologjike, nënkalime, etj.).</w:t>
            </w:r>
            <w:r w:rsidRPr="00622884">
              <w:rPr>
                <w:rFonts w:ascii="Garamond" w:eastAsia="SimSun" w:hAnsi="Garamond" w:cs="Times New Roman"/>
                <w:color w:val="1D3C5A"/>
                <w:sz w:val="10"/>
                <w:lang w:eastAsia="en-US" w:bidi="sq-AL"/>
              </w:rPr>
              <w:br/>
              <w:t xml:space="preserve">5.2 Të përmirësohen shërbimet e ekosistemit kulturor dhe rekreativ përmes ruajtjes duke restauruar zonat e mbrojtura për të përmirësuar aksesin publik, duke zhvilluar infrastrukturë për rekreacion të qëndrueshëm (shtigje, zona vëzhgimi të jetës së egër, peshkim, zona ekoturizmi, etj.), dhe duke siguruar ruajtjen e peizazheve duke promovuar angazhimin publik. </w:t>
            </w:r>
            <w:r w:rsidRPr="00622884">
              <w:rPr>
                <w:rFonts w:ascii="Garamond" w:eastAsia="SimSun" w:hAnsi="Garamond" w:cs="Times New Roman"/>
                <w:color w:val="1D3C5A"/>
                <w:sz w:val="10"/>
                <w:lang w:eastAsia="en-US" w:bidi="sq-AL"/>
              </w:rPr>
              <w:br/>
              <w:t xml:space="preserve">5.3 Të zbatohet fitimi i biodiversitetit si standardi rregullator në planifikim duke integruar politikën e fitimit neto për projektet e reja të zhvillimit dhe duke krijuar një program kompensimi që u kërkon zhvilluesve të restaurojnë ose kompensojnë humbjen e habitatit. Mund të merren në konsideratë projekte pilot në bashkitë e synuara. </w:t>
            </w:r>
          </w:p>
        </w:tc>
        <w:tc>
          <w:tcPr>
            <w:tcW w:w="535" w:type="pct"/>
            <w:shd w:val="clear" w:color="auto" w:fill="E0F4F4"/>
            <w:vAlign w:val="center"/>
          </w:tcPr>
          <w:p w14:paraId="7013FDEE" w14:textId="77777777" w:rsidR="00622884" w:rsidRPr="00622884" w:rsidRDefault="00622884" w:rsidP="00622884">
            <w:pPr>
              <w:spacing w:after="0" w:line="240" w:lineRule="auto"/>
              <w:jc w:val="center"/>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AM</w:t>
            </w:r>
          </w:p>
        </w:tc>
        <w:tc>
          <w:tcPr>
            <w:tcW w:w="938" w:type="pct"/>
            <w:shd w:val="clear" w:color="auto" w:fill="E0F4F4"/>
            <w:vAlign w:val="center"/>
          </w:tcPr>
          <w:p w14:paraId="4A01989C"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1. Rritje e përqindjes shumëllojshmërisë dhe larmisë së specieve në korridoret e gjelbra të restauruara dhe zonat e mbrojtura.</w:t>
            </w:r>
            <w:r w:rsidRPr="00622884">
              <w:rPr>
                <w:rFonts w:ascii="Garamond" w:eastAsia="SimSun" w:hAnsi="Garamond" w:cs="Times New Roman"/>
                <w:color w:val="1D3C5A"/>
                <w:sz w:val="10"/>
                <w:lang w:eastAsia="en-US" w:bidi="sq-AL"/>
              </w:rPr>
              <w:br/>
              <w:t>2. Numri i kilometrave të korridoreve të gjelbra të krijuara ose të restauruara me bimësi vendase dhe infrastrukturë miqësore për jetën e egër.</w:t>
            </w:r>
            <w:r w:rsidRPr="00622884">
              <w:rPr>
                <w:rFonts w:ascii="Garamond" w:eastAsia="SimSun" w:hAnsi="Garamond" w:cs="Times New Roman"/>
                <w:color w:val="1D3C5A"/>
                <w:sz w:val="10"/>
                <w:lang w:eastAsia="en-US" w:bidi="sq-AL"/>
              </w:rPr>
              <w:br/>
              <w:t>3. Numri i elementëve të infrastrukturës rekreative të zhvilluar ose të përmirësuar në zonat e mbrojtura të restauruara.</w:t>
            </w:r>
            <w:r w:rsidRPr="00622884">
              <w:rPr>
                <w:rFonts w:ascii="Garamond" w:eastAsia="SimSun" w:hAnsi="Garamond" w:cs="Times New Roman"/>
                <w:color w:val="1D3C5A"/>
                <w:sz w:val="10"/>
                <w:lang w:eastAsia="en-US" w:bidi="sq-AL"/>
              </w:rPr>
              <w:br/>
              <w:t>4. Numri i projekteve të reja të zhvillimit që zbatojnë parimet e fitimit neto të biodiversitetit (FNB) përmes kërkesave të kompensimit ose restaurimit.</w:t>
            </w:r>
            <w:r w:rsidRPr="00622884">
              <w:rPr>
                <w:rFonts w:ascii="Garamond" w:eastAsia="SimSun" w:hAnsi="Garamond" w:cs="Times New Roman"/>
                <w:color w:val="1D3C5A"/>
                <w:sz w:val="10"/>
                <w:lang w:eastAsia="en-US" w:bidi="sq-AL"/>
              </w:rPr>
              <w:br/>
              <w:t>5. Numri i vendeve të punës të krijuara nëpërmjet zbatimit të zgjidhjeve të bazuara në natyrë dhe nismave të restaurimit të habitateve.</w:t>
            </w:r>
            <w:r w:rsidRPr="00622884">
              <w:rPr>
                <w:rFonts w:ascii="Garamond" w:eastAsia="SimSun" w:hAnsi="Garamond" w:cs="Times New Roman"/>
                <w:color w:val="1D3C5A"/>
                <w:sz w:val="10"/>
                <w:lang w:eastAsia="en-US" w:bidi="sq-AL"/>
              </w:rPr>
              <w:br/>
              <w:t>6. Numri i politikave, planeve ose rregulloreve të zhvillimit vendor që kanë integruar zgjidhje të bazuara në natyrë dhe parimet e fitimit neto të biodiversitetit.</w:t>
            </w:r>
          </w:p>
        </w:tc>
        <w:tc>
          <w:tcPr>
            <w:tcW w:w="536" w:type="pct"/>
            <w:shd w:val="clear" w:color="auto" w:fill="E0F4F4"/>
            <w:vAlign w:val="center"/>
          </w:tcPr>
          <w:p w14:paraId="3A4869F8"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Ministria e Mjedisit, Bashkitë</w:t>
            </w:r>
          </w:p>
          <w:p w14:paraId="07162C02"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p>
        </w:tc>
        <w:tc>
          <w:tcPr>
            <w:tcW w:w="468" w:type="pct"/>
            <w:shd w:val="clear" w:color="auto" w:fill="E0F4F4"/>
            <w:vAlign w:val="center"/>
          </w:tcPr>
          <w:p w14:paraId="78A30531"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242.793.396</w:t>
            </w:r>
          </w:p>
        </w:tc>
      </w:tr>
      <w:tr w:rsidR="00622884" w:rsidRPr="00622884" w14:paraId="412C21B9" w14:textId="77777777" w:rsidTr="00622884">
        <w:trPr>
          <w:trHeight w:val="567"/>
          <w:jc w:val="center"/>
        </w:trPr>
        <w:tc>
          <w:tcPr>
            <w:tcW w:w="245" w:type="pct"/>
            <w:shd w:val="clear" w:color="auto" w:fill="E0F4F4"/>
            <w:vAlign w:val="center"/>
          </w:tcPr>
          <w:p w14:paraId="41CC98BB" w14:textId="77777777" w:rsidR="00622884" w:rsidRPr="00622884" w:rsidRDefault="00622884" w:rsidP="00622884">
            <w:pPr>
              <w:spacing w:after="0" w:line="240" w:lineRule="auto"/>
              <w:jc w:val="center"/>
              <w:rPr>
                <w:rFonts w:ascii="Garamond" w:eastAsia="SimSun" w:hAnsi="Garamond" w:cs="Calibri Light"/>
                <w:b/>
                <w:bCs/>
                <w:color w:val="1D3C5A"/>
                <w:sz w:val="10"/>
                <w:szCs w:val="16"/>
                <w:lang w:eastAsia="en-US"/>
              </w:rPr>
            </w:pPr>
            <w:r w:rsidRPr="00622884">
              <w:rPr>
                <w:rFonts w:ascii="Garamond" w:eastAsia="SimSun" w:hAnsi="Garamond" w:cs="Times New Roman"/>
                <w:b/>
                <w:color w:val="1D3C5A"/>
                <w:sz w:val="10"/>
                <w:lang w:eastAsia="en-US" w:bidi="sq-AL"/>
              </w:rPr>
              <w:t>6</w:t>
            </w:r>
          </w:p>
        </w:tc>
        <w:tc>
          <w:tcPr>
            <w:tcW w:w="373" w:type="pct"/>
            <w:shd w:val="clear" w:color="auto" w:fill="E0F4F4"/>
            <w:vAlign w:val="center"/>
          </w:tcPr>
          <w:p w14:paraId="610C20B0"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Ndërsektoriale</w:t>
            </w:r>
          </w:p>
        </w:tc>
        <w:tc>
          <w:tcPr>
            <w:tcW w:w="389" w:type="pct"/>
            <w:shd w:val="clear" w:color="auto" w:fill="E0F4F4"/>
            <w:vAlign w:val="center"/>
          </w:tcPr>
          <w:p w14:paraId="294EE937" w14:textId="77777777" w:rsidR="00622884" w:rsidRPr="00622884" w:rsidRDefault="00622884" w:rsidP="00622884">
            <w:pPr>
              <w:spacing w:after="0" w:line="240" w:lineRule="auto"/>
              <w:jc w:val="left"/>
              <w:rPr>
                <w:rFonts w:ascii="Garamond" w:eastAsia="SimSun" w:hAnsi="Garamond" w:cs="Calibri Light"/>
                <w:color w:val="1D3C5A"/>
                <w:sz w:val="10"/>
                <w:szCs w:val="16"/>
                <w:u w:val="single"/>
                <w:lang w:eastAsia="en-US"/>
              </w:rPr>
            </w:pPr>
            <w:r w:rsidRPr="00622884">
              <w:rPr>
                <w:rFonts w:ascii="Garamond" w:eastAsia="SimSun" w:hAnsi="Garamond" w:cs="Times New Roman"/>
                <w:color w:val="1D3C5A"/>
                <w:sz w:val="10"/>
                <w:lang w:eastAsia="en-US" w:bidi="sq-AL"/>
              </w:rPr>
              <w:t>Nxitja e ndërgjegjësimit për aftësitë ripërtëritëse ndaj klimës dhe trajnimi në përshtatje dhe masa zbutëse</w:t>
            </w:r>
          </w:p>
        </w:tc>
        <w:tc>
          <w:tcPr>
            <w:tcW w:w="387" w:type="pct"/>
            <w:shd w:val="clear" w:color="auto" w:fill="E0F4F4"/>
            <w:vAlign w:val="center"/>
          </w:tcPr>
          <w:p w14:paraId="53559E53"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Ndërhyrja e butë</w:t>
            </w:r>
            <w:r w:rsidRPr="00622884">
              <w:rPr>
                <w:rFonts w:ascii="Garamond" w:eastAsia="SimSun" w:hAnsi="Garamond" w:cs="Times New Roman"/>
                <w:b/>
                <w:color w:val="1D3C5A"/>
                <w:sz w:val="10"/>
                <w:lang w:eastAsia="en-US" w:bidi="sq-AL"/>
              </w:rPr>
              <w:t>:</w:t>
            </w:r>
          </w:p>
        </w:tc>
        <w:tc>
          <w:tcPr>
            <w:tcW w:w="1129" w:type="pct"/>
            <w:shd w:val="clear" w:color="auto" w:fill="E0F4F4"/>
            <w:vAlign w:val="center"/>
          </w:tcPr>
          <w:p w14:paraId="16A7AA99" w14:textId="77777777" w:rsidR="00622884" w:rsidRPr="00622884" w:rsidRDefault="00622884" w:rsidP="00622884">
            <w:pPr>
              <w:spacing w:after="0" w:line="240" w:lineRule="auto"/>
              <w:jc w:val="left"/>
              <w:rPr>
                <w:rFonts w:ascii="Garamond" w:eastAsia="SimSun" w:hAnsi="Garamond" w:cs="Times New Roman"/>
                <w:color w:val="1D3C5A"/>
                <w:sz w:val="10"/>
                <w:lang w:eastAsia="en-US" w:bidi="sq-AL"/>
              </w:rPr>
            </w:pPr>
            <w:r w:rsidRPr="00622884">
              <w:rPr>
                <w:rFonts w:ascii="Garamond" w:eastAsia="SimSun" w:hAnsi="Garamond" w:cs="Times New Roman"/>
                <w:color w:val="1D3C5A"/>
                <w:sz w:val="10"/>
                <w:lang w:eastAsia="en-US" w:bidi="sq-AL"/>
              </w:rPr>
              <w:t>6.1 Të zhvillohen dhe ofrohen module të trajnimit të synuar për përshtatjen dhe zbutjen e ndryshimeve klimatike për praktikuesit kryesorë, institucionet publike, bashkitë dhe ofruesit e shërbimeve kyç.</w:t>
            </w:r>
            <w:r w:rsidRPr="00622884">
              <w:rPr>
                <w:rFonts w:ascii="Garamond" w:eastAsia="SimSun" w:hAnsi="Garamond" w:cs="Times New Roman"/>
                <w:color w:val="1D3C5A"/>
                <w:sz w:val="10"/>
                <w:lang w:eastAsia="en-US" w:bidi="sq-AL"/>
              </w:rPr>
              <w:br/>
              <w:t>6.2 Të zhvillohen seanca ndërgjegjësimi për popullsinë e gjerë dhe komunitetet vendore, me fokus në risqet klimatike me prioritet të lartë, përgjigjet praktike të përshtatjes dhe strategjitë e qëndrueshmërisë në nivel komuniteti.</w:t>
            </w:r>
            <w:r w:rsidRPr="00622884">
              <w:rPr>
                <w:rFonts w:ascii="Garamond" w:eastAsia="SimSun" w:hAnsi="Garamond" w:cs="Times New Roman"/>
                <w:color w:val="1D3C5A"/>
                <w:sz w:val="10"/>
                <w:lang w:eastAsia="en-US" w:bidi="sq-AL"/>
              </w:rPr>
              <w:br/>
              <w:t xml:space="preserve">6.3 Të organizohen </w:t>
            </w:r>
            <w:r w:rsidRPr="00622884">
              <w:rPr>
                <w:rFonts w:ascii="Garamond" w:eastAsia="SimSun" w:hAnsi="Garamond" w:cs="Times New Roman"/>
                <w:i/>
                <w:color w:val="1D3C5A"/>
                <w:sz w:val="10"/>
                <w:lang w:eastAsia="en-US" w:bidi="sq-AL"/>
              </w:rPr>
              <w:t>workshop</w:t>
            </w:r>
            <w:r w:rsidRPr="00622884">
              <w:rPr>
                <w:rFonts w:ascii="Garamond" w:eastAsia="SimSun" w:hAnsi="Garamond" w:cs="Times New Roman"/>
                <w:color w:val="1D3C5A"/>
                <w:sz w:val="10"/>
                <w:lang w:eastAsia="en-US" w:bidi="sq-AL"/>
              </w:rPr>
              <w:t xml:space="preserve">-e dhe të shpërndahen materiale informuese të përshtatura për bizneset dhe </w:t>
            </w:r>
            <w:r w:rsidRPr="00622884">
              <w:rPr>
                <w:rFonts w:ascii="Garamond" w:eastAsia="SimSun" w:hAnsi="Garamond" w:cs="Times New Roman"/>
                <w:i/>
                <w:color w:val="1D3C5A"/>
                <w:sz w:val="10"/>
                <w:lang w:eastAsia="en-US" w:bidi="sq-AL"/>
              </w:rPr>
              <w:t>startup</w:t>
            </w:r>
            <w:r w:rsidRPr="00622884">
              <w:rPr>
                <w:rFonts w:ascii="Garamond" w:eastAsia="SimSun" w:hAnsi="Garamond" w:cs="Times New Roman"/>
                <w:color w:val="1D3C5A"/>
                <w:sz w:val="10"/>
                <w:lang w:eastAsia="en-US" w:bidi="sq-AL"/>
              </w:rPr>
              <w:t>-et, duke theksuar rolin e ekosistemeve në përshtatje, duke ofruar shembuj të zgjidhjeve të bazuara në natyrë dhe duke shpalosur mundësitë e financimit në dispozicion për të mbështetur inovacionin me aftësi ripërtëritëse ndaj klimës.</w:t>
            </w:r>
            <w:r w:rsidRPr="00622884">
              <w:rPr>
                <w:rFonts w:ascii="Garamond" w:eastAsia="SimSun" w:hAnsi="Garamond" w:cs="Times New Roman"/>
                <w:color w:val="1D3C5A"/>
                <w:sz w:val="10"/>
                <w:lang w:eastAsia="en-US" w:bidi="sq-AL"/>
              </w:rPr>
              <w:br/>
              <w:t>6.4 Të shtohet ndërgjegjësimi në nivel bashkiak mbi ndjeshmërinë klimatike të zonave të mbrojtura, nëpërmjet fushatave të komunikimit, dialogut me palët e interesit dhe integrimit të temave të lidhura me risqet për ekosistemin në eventet vendore të informimit.</w:t>
            </w:r>
          </w:p>
          <w:p w14:paraId="39487E42"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6.5 Forcimi i qëndrueshmërisë klimatike të komuniteteve vulnerabël (përfshirë komunitetet Rome) nëpërmjet aktiviteteve të targetuara për ndërgjegjësim, rritje kapacitetesh dhe komunikim të riskut për komunitetet vulnerabël, përfshirë komunitetet Rome, me qëllim përmirësimin e aksesit në informacion klimatik, sistemet e paralajmërimit të hershëm dhe masat praktike të përshtatjes.</w:t>
            </w:r>
          </w:p>
        </w:tc>
        <w:tc>
          <w:tcPr>
            <w:tcW w:w="535" w:type="pct"/>
            <w:shd w:val="clear" w:color="auto" w:fill="E0F4F4"/>
            <w:vAlign w:val="center"/>
          </w:tcPr>
          <w:p w14:paraId="2D20792D" w14:textId="77777777" w:rsidR="00622884" w:rsidRPr="00622884" w:rsidRDefault="00622884" w:rsidP="00622884">
            <w:pPr>
              <w:spacing w:after="0" w:line="240" w:lineRule="auto"/>
              <w:jc w:val="center"/>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ASH</w:t>
            </w:r>
          </w:p>
        </w:tc>
        <w:tc>
          <w:tcPr>
            <w:tcW w:w="938" w:type="pct"/>
            <w:shd w:val="clear" w:color="auto" w:fill="E0F4F4"/>
            <w:vAlign w:val="center"/>
          </w:tcPr>
          <w:p w14:paraId="51D58CF6" w14:textId="77777777" w:rsidR="00622884" w:rsidRPr="00622884" w:rsidRDefault="00622884" w:rsidP="00622884">
            <w:pPr>
              <w:spacing w:after="0" w:line="240" w:lineRule="auto"/>
              <w:jc w:val="left"/>
              <w:rPr>
                <w:rFonts w:ascii="Garamond" w:eastAsia="SimSun" w:hAnsi="Garamond" w:cs="Times New Roman"/>
                <w:color w:val="1D3C5A"/>
                <w:sz w:val="10"/>
                <w:lang w:eastAsia="en-US" w:bidi="sq-AL"/>
              </w:rPr>
            </w:pPr>
            <w:r w:rsidRPr="00622884">
              <w:rPr>
                <w:rFonts w:ascii="Garamond" w:eastAsia="SimSun" w:hAnsi="Garamond" w:cs="Times New Roman"/>
                <w:color w:val="1D3C5A"/>
                <w:sz w:val="10"/>
                <w:lang w:eastAsia="en-US" w:bidi="sq-AL"/>
              </w:rPr>
              <w:t>1. Numri i moduleve të trajnimit të zhvilluara dhe të ofruara për institucionet publike dhe shërbimet kyç.</w:t>
            </w:r>
            <w:r w:rsidRPr="00622884">
              <w:rPr>
                <w:rFonts w:ascii="Garamond" w:eastAsia="SimSun" w:hAnsi="Garamond" w:cs="Times New Roman"/>
                <w:color w:val="1D3C5A"/>
                <w:sz w:val="10"/>
                <w:lang w:eastAsia="en-US" w:bidi="sq-AL"/>
              </w:rPr>
              <w:br/>
              <w:t>2. Numri i ngjarjeve ndërgjegjësuese të zhvilluara në komunitetet e cenueshme ndaj klimës.</w:t>
            </w:r>
            <w:r w:rsidRPr="00622884">
              <w:rPr>
                <w:rFonts w:ascii="Garamond" w:eastAsia="SimSun" w:hAnsi="Garamond" w:cs="Times New Roman"/>
                <w:color w:val="1D3C5A"/>
                <w:sz w:val="10"/>
                <w:lang w:eastAsia="en-US" w:bidi="sq-AL"/>
              </w:rPr>
              <w:br/>
              <w:t xml:space="preserve">3. Numri i </w:t>
            </w:r>
            <w:r w:rsidRPr="00622884">
              <w:rPr>
                <w:rFonts w:ascii="Garamond" w:eastAsia="SimSun" w:hAnsi="Garamond" w:cs="Times New Roman"/>
                <w:i/>
                <w:color w:val="1D3C5A"/>
                <w:sz w:val="10"/>
                <w:lang w:eastAsia="en-US" w:bidi="sq-AL"/>
              </w:rPr>
              <w:t>workshop</w:t>
            </w:r>
            <w:r w:rsidRPr="00622884">
              <w:rPr>
                <w:rFonts w:ascii="Garamond" w:eastAsia="SimSun" w:hAnsi="Garamond" w:cs="Times New Roman"/>
                <w:color w:val="1D3C5A"/>
                <w:sz w:val="10"/>
                <w:lang w:eastAsia="en-US" w:bidi="sq-AL"/>
              </w:rPr>
              <w:t>-eve me në fokus biznesin të zhvilluara në lidhje zgjidhjet e bazuara në natyrë dhe financimin për klimën.</w:t>
            </w:r>
            <w:r w:rsidRPr="00622884">
              <w:rPr>
                <w:rFonts w:ascii="Garamond" w:eastAsia="SimSun" w:hAnsi="Garamond" w:cs="Times New Roman"/>
                <w:color w:val="1D3C5A"/>
                <w:sz w:val="10"/>
                <w:lang w:eastAsia="en-US" w:bidi="sq-AL"/>
              </w:rPr>
              <w:br/>
              <w:t>4. Numri i bashkive që kanë zhvilluar veprimtari komunikimi mbi cenueshmërinë e ekosistemit.</w:t>
            </w:r>
          </w:p>
          <w:p w14:paraId="088D9C80"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Calibri Light"/>
                <w:color w:val="1D3C5A"/>
                <w:sz w:val="10"/>
                <w:szCs w:val="16"/>
                <w:lang w:eastAsia="en-US"/>
              </w:rPr>
              <w:t>5. Përqindja e profesionistëve, përfaqësuesve të institucioneve publike, bashkive dhe ofruesve të shërbimeve kritike që kanë përfunduar trajnime të certifikuara mbi masat e përshtatjes dhe zbutjes klimatike.</w:t>
            </w:r>
          </w:p>
          <w:p w14:paraId="3BB999E4"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Calibri Light"/>
                <w:color w:val="1D3C5A"/>
                <w:sz w:val="10"/>
                <w:szCs w:val="16"/>
                <w:lang w:eastAsia="en-US"/>
              </w:rPr>
              <w:t>6. Numri I personave të komuniteteve vulnerabël (përfshirë komunitetet Rome) të përfshira në aktivitete ndërgjegjësimi dhe trajnime</w:t>
            </w:r>
          </w:p>
        </w:tc>
        <w:tc>
          <w:tcPr>
            <w:tcW w:w="536" w:type="pct"/>
            <w:shd w:val="clear" w:color="auto" w:fill="E0F4F4"/>
            <w:vAlign w:val="center"/>
          </w:tcPr>
          <w:p w14:paraId="5A518CEE"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Ministria e Mjedisit, Shkolla Shqiptare e Administratës Publike, Bashkitë, Ministria e Shëndetësisë dhe Mirëqenies Sociale</w:t>
            </w:r>
          </w:p>
        </w:tc>
        <w:tc>
          <w:tcPr>
            <w:tcW w:w="468" w:type="pct"/>
            <w:shd w:val="clear" w:color="auto" w:fill="E0F4F4"/>
            <w:vAlign w:val="center"/>
          </w:tcPr>
          <w:p w14:paraId="05985CC8"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1.500.000</w:t>
            </w:r>
          </w:p>
        </w:tc>
      </w:tr>
      <w:tr w:rsidR="00622884" w:rsidRPr="00622884" w14:paraId="220122BF" w14:textId="77777777" w:rsidTr="00622884">
        <w:trPr>
          <w:trHeight w:val="567"/>
          <w:jc w:val="center"/>
        </w:trPr>
        <w:tc>
          <w:tcPr>
            <w:tcW w:w="245" w:type="pct"/>
            <w:shd w:val="clear" w:color="auto" w:fill="E0F4F4"/>
            <w:vAlign w:val="center"/>
          </w:tcPr>
          <w:p w14:paraId="55169178" w14:textId="77777777" w:rsidR="00622884" w:rsidRPr="00622884" w:rsidRDefault="00622884" w:rsidP="00622884">
            <w:pPr>
              <w:spacing w:after="0" w:line="240" w:lineRule="auto"/>
              <w:jc w:val="center"/>
              <w:rPr>
                <w:rFonts w:ascii="Garamond" w:eastAsia="SimSun" w:hAnsi="Garamond" w:cs="Calibri Light"/>
                <w:b/>
                <w:bCs/>
                <w:color w:val="1D3C5A"/>
                <w:sz w:val="10"/>
                <w:szCs w:val="16"/>
                <w:lang w:eastAsia="en-US"/>
              </w:rPr>
            </w:pPr>
            <w:r w:rsidRPr="00622884">
              <w:rPr>
                <w:rFonts w:ascii="Garamond" w:eastAsia="SimSun" w:hAnsi="Garamond" w:cs="Times New Roman"/>
                <w:b/>
                <w:color w:val="1D3C5A"/>
                <w:sz w:val="10"/>
                <w:lang w:eastAsia="en-US" w:bidi="sq-AL"/>
              </w:rPr>
              <w:t>7</w:t>
            </w:r>
          </w:p>
        </w:tc>
        <w:tc>
          <w:tcPr>
            <w:tcW w:w="373" w:type="pct"/>
            <w:shd w:val="clear" w:color="auto" w:fill="E0F4F4"/>
            <w:vAlign w:val="center"/>
          </w:tcPr>
          <w:p w14:paraId="5DD78B93"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Ndërsektoriale</w:t>
            </w:r>
          </w:p>
        </w:tc>
        <w:tc>
          <w:tcPr>
            <w:tcW w:w="389" w:type="pct"/>
            <w:shd w:val="clear" w:color="auto" w:fill="E0F4F4"/>
            <w:vAlign w:val="center"/>
          </w:tcPr>
          <w:p w14:paraId="31125E38" w14:textId="77777777" w:rsidR="00622884" w:rsidRPr="00622884" w:rsidRDefault="00622884" w:rsidP="00622884">
            <w:pPr>
              <w:spacing w:after="0" w:line="240" w:lineRule="auto"/>
              <w:jc w:val="left"/>
              <w:rPr>
                <w:rFonts w:ascii="Garamond" w:eastAsia="SimSun" w:hAnsi="Garamond" w:cs="Calibri Light"/>
                <w:color w:val="1D3C5A"/>
                <w:sz w:val="10"/>
                <w:szCs w:val="16"/>
                <w:u w:val="single"/>
                <w:lang w:eastAsia="en-US"/>
              </w:rPr>
            </w:pPr>
            <w:r w:rsidRPr="00622884">
              <w:rPr>
                <w:rFonts w:ascii="Garamond" w:eastAsia="SimSun" w:hAnsi="Garamond" w:cs="Times New Roman"/>
                <w:color w:val="1D3C5A"/>
                <w:sz w:val="10"/>
                <w:lang w:eastAsia="en-US" w:bidi="sq-AL"/>
              </w:rPr>
              <w:t xml:space="preserve">Mekanizmat novatorë të financimit të klimës: Pilotimi i strategjive të financimit të qëndrueshëm </w:t>
            </w:r>
          </w:p>
        </w:tc>
        <w:tc>
          <w:tcPr>
            <w:tcW w:w="387" w:type="pct"/>
            <w:shd w:val="clear" w:color="auto" w:fill="E0F4F4"/>
            <w:vAlign w:val="center"/>
          </w:tcPr>
          <w:p w14:paraId="28B55FB0"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Ndërhyrja e butë</w:t>
            </w:r>
            <w:r w:rsidRPr="00622884">
              <w:rPr>
                <w:rFonts w:ascii="Garamond" w:eastAsia="SimSun" w:hAnsi="Garamond" w:cs="Times New Roman"/>
                <w:b/>
                <w:color w:val="1D3C5A"/>
                <w:sz w:val="10"/>
                <w:lang w:eastAsia="en-US" w:bidi="sq-AL"/>
              </w:rPr>
              <w:t>:</w:t>
            </w:r>
          </w:p>
        </w:tc>
        <w:tc>
          <w:tcPr>
            <w:tcW w:w="1129" w:type="pct"/>
            <w:shd w:val="clear" w:color="auto" w:fill="E0F4F4"/>
            <w:vAlign w:val="center"/>
          </w:tcPr>
          <w:p w14:paraId="5124B881" w14:textId="77777777" w:rsidR="00622884" w:rsidRPr="00622884" w:rsidRDefault="00622884" w:rsidP="00622884">
            <w:pPr>
              <w:spacing w:after="0" w:line="240" w:lineRule="auto"/>
              <w:jc w:val="left"/>
              <w:rPr>
                <w:rFonts w:ascii="Garamond" w:eastAsia="SimSun" w:hAnsi="Garamond" w:cs="Times New Roman"/>
                <w:color w:val="1D3C5A"/>
                <w:sz w:val="10"/>
                <w:lang w:eastAsia="en-US" w:bidi="sq-AL"/>
              </w:rPr>
            </w:pPr>
            <w:r w:rsidRPr="00622884">
              <w:rPr>
                <w:rFonts w:ascii="Garamond" w:eastAsia="SimSun" w:hAnsi="Garamond" w:cs="Times New Roman"/>
                <w:color w:val="1D3C5A"/>
                <w:sz w:val="10"/>
                <w:lang w:eastAsia="en-US" w:bidi="sq-AL"/>
              </w:rPr>
              <w:t>7.1 Të identifikohen dhe vlerësohen mjetet e mundshme të financimit për klimën që janë të rëndësishme në kontekstin kombëtar dhe bashkiak, duke përfshirë skemat e sigurimeve, pagesat për shërbimet e ekosistemit (PSHE), lejet e hyrjes dhe kreditë me kusht.</w:t>
            </w:r>
            <w:r w:rsidRPr="00622884">
              <w:rPr>
                <w:rFonts w:ascii="Garamond" w:eastAsia="SimSun" w:hAnsi="Garamond" w:cs="Times New Roman"/>
                <w:color w:val="1D3C5A"/>
                <w:sz w:val="10"/>
                <w:lang w:eastAsia="en-US" w:bidi="sq-AL"/>
              </w:rPr>
              <w:br/>
              <w:t>7.2 Të hartohet një strategji e qëndrueshme e financimit për klimën, ku të përfshihen mjete të përzgjedhura dhe të përcaktohen parimet udhëzuese për zbatimin pilot në bashki.</w:t>
            </w:r>
            <w:r w:rsidRPr="00622884">
              <w:rPr>
                <w:rFonts w:ascii="Garamond" w:eastAsia="SimSun" w:hAnsi="Garamond" w:cs="Times New Roman"/>
                <w:color w:val="1D3C5A"/>
                <w:sz w:val="10"/>
                <w:lang w:eastAsia="en-US" w:bidi="sq-AL"/>
              </w:rPr>
              <w:br/>
              <w:t>7.3 Të pilotohen mekanizmat e përzgjedhur të financimit në nivel bashkiak në koordinim me autoritetet vendore, për të testuar fizibilitetin, pranimin publik dhe kërkesat institucionale.</w:t>
            </w:r>
          </w:p>
          <w:p w14:paraId="08C71757"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 xml:space="preserve">7.4 Mbështetje për </w:t>
            </w:r>
            <w:r w:rsidRPr="00622884">
              <w:rPr>
                <w:rFonts w:ascii="Garamond" w:eastAsia="SimSun" w:hAnsi="Garamond" w:cs="Times New Roman"/>
                <w:i/>
                <w:color w:val="1D3C5A"/>
                <w:sz w:val="10"/>
                <w:lang w:eastAsia="en-US" w:bidi="sq-AL"/>
              </w:rPr>
              <w:t>start-up</w:t>
            </w:r>
            <w:r w:rsidRPr="00622884">
              <w:rPr>
                <w:rFonts w:ascii="Garamond" w:eastAsia="SimSun" w:hAnsi="Garamond" w:cs="Times New Roman"/>
                <w:color w:val="1D3C5A"/>
                <w:sz w:val="10"/>
                <w:lang w:eastAsia="en-US" w:bidi="sq-AL"/>
              </w:rPr>
              <w:t>-et e IAL-ve që ofrojnë zgjidhje teknologjike për përshtatjen si AgriTech, sisteme vaditjeje inteligjente, materiale ndërtimi izoluese, etj.</w:t>
            </w:r>
          </w:p>
        </w:tc>
        <w:tc>
          <w:tcPr>
            <w:tcW w:w="535" w:type="pct"/>
            <w:shd w:val="clear" w:color="auto" w:fill="E0F4F4"/>
            <w:vAlign w:val="center"/>
          </w:tcPr>
          <w:p w14:paraId="58D71C5A" w14:textId="77777777" w:rsidR="00622884" w:rsidRPr="00622884" w:rsidRDefault="00622884" w:rsidP="00622884">
            <w:pPr>
              <w:spacing w:after="0" w:line="240" w:lineRule="auto"/>
              <w:jc w:val="center"/>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ASH</w:t>
            </w:r>
          </w:p>
        </w:tc>
        <w:tc>
          <w:tcPr>
            <w:tcW w:w="938" w:type="pct"/>
            <w:shd w:val="clear" w:color="auto" w:fill="E0F4F4"/>
            <w:vAlign w:val="center"/>
          </w:tcPr>
          <w:p w14:paraId="4F6787EE" w14:textId="77777777" w:rsidR="00622884" w:rsidRPr="00622884" w:rsidRDefault="00622884" w:rsidP="00622884">
            <w:pPr>
              <w:spacing w:after="0" w:line="240" w:lineRule="auto"/>
              <w:jc w:val="left"/>
              <w:rPr>
                <w:rFonts w:ascii="Garamond" w:eastAsia="SimSun" w:hAnsi="Garamond" w:cs="Times New Roman"/>
                <w:color w:val="1D3C5A"/>
                <w:sz w:val="10"/>
                <w:lang w:eastAsia="en-US" w:bidi="sq-AL"/>
              </w:rPr>
            </w:pPr>
            <w:r w:rsidRPr="00622884">
              <w:rPr>
                <w:rFonts w:ascii="Garamond" w:eastAsia="SimSun" w:hAnsi="Garamond" w:cs="Times New Roman"/>
                <w:color w:val="1D3C5A"/>
                <w:sz w:val="10"/>
                <w:lang w:eastAsia="en-US" w:bidi="sq-AL"/>
              </w:rPr>
              <w:t>1. Dokumenti i strategjisë së financimit të klimës është përfunduar dhe është verifikuar zyrtarisht, duke përfshirë mjetet përkatëse të vlerësuara në nivel kombëtar dhe bashkiak.</w:t>
            </w:r>
            <w:r w:rsidRPr="00622884">
              <w:rPr>
                <w:rFonts w:ascii="Garamond" w:eastAsia="SimSun" w:hAnsi="Garamond" w:cs="Times New Roman"/>
                <w:color w:val="1D3C5A"/>
                <w:sz w:val="10"/>
                <w:lang w:eastAsia="en-US" w:bidi="sq-AL"/>
              </w:rPr>
              <w:br/>
              <w:t>2. Numri i bashkive që marrin pjesë në zbatimin pilot të mekanizmave të financimit për klimën.</w:t>
            </w:r>
          </w:p>
          <w:p w14:paraId="51D68A21"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Calibri Light"/>
                <w:color w:val="1D3C5A"/>
                <w:sz w:val="10"/>
                <w:szCs w:val="16"/>
                <w:lang w:eastAsia="en-US"/>
              </w:rPr>
              <w:t xml:space="preserve">3. Numri i </w:t>
            </w:r>
            <w:r w:rsidRPr="00622884">
              <w:rPr>
                <w:rFonts w:ascii="Garamond" w:eastAsia="SimSun" w:hAnsi="Garamond" w:cs="Calibri Light"/>
                <w:i/>
                <w:color w:val="1D3C5A"/>
                <w:sz w:val="10"/>
                <w:szCs w:val="16"/>
                <w:lang w:eastAsia="en-US"/>
              </w:rPr>
              <w:t>start-up</w:t>
            </w:r>
            <w:r w:rsidRPr="00622884">
              <w:rPr>
                <w:rFonts w:ascii="Garamond" w:eastAsia="SimSun" w:hAnsi="Garamond" w:cs="Calibri Light"/>
                <w:color w:val="1D3C5A"/>
                <w:sz w:val="10"/>
                <w:szCs w:val="16"/>
                <w:lang w:eastAsia="en-US"/>
              </w:rPr>
              <w:t>-eve të mbështetura</w:t>
            </w:r>
          </w:p>
        </w:tc>
        <w:tc>
          <w:tcPr>
            <w:tcW w:w="536" w:type="pct"/>
            <w:shd w:val="clear" w:color="auto" w:fill="E0F4F4"/>
            <w:vAlign w:val="center"/>
          </w:tcPr>
          <w:p w14:paraId="2E7DF792" w14:textId="77777777" w:rsidR="00622884" w:rsidRPr="00622884" w:rsidRDefault="00622884" w:rsidP="00622884">
            <w:pPr>
              <w:spacing w:after="0" w:line="240" w:lineRule="auto"/>
              <w:jc w:val="left"/>
              <w:rPr>
                <w:rFonts w:ascii="Garamond" w:eastAsia="SimSun" w:hAnsi="Garamond" w:cs="Times New Roman"/>
                <w:color w:val="1D3C5A"/>
                <w:sz w:val="10"/>
                <w:lang w:eastAsia="en-US" w:bidi="sq-AL"/>
              </w:rPr>
            </w:pPr>
            <w:r w:rsidRPr="00622884">
              <w:rPr>
                <w:rFonts w:ascii="Garamond" w:eastAsia="SimSun" w:hAnsi="Garamond" w:cs="Times New Roman"/>
                <w:color w:val="1D3C5A"/>
                <w:sz w:val="10"/>
                <w:lang w:eastAsia="en-US" w:bidi="sq-AL"/>
              </w:rPr>
              <w:t>Ministria e Financave,</w:t>
            </w:r>
          </w:p>
          <w:p w14:paraId="318F5EE0"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Calibri Light"/>
                <w:color w:val="1D3C5A"/>
                <w:sz w:val="10"/>
                <w:lang w:eastAsia="en-US" w:bidi="sq-AL"/>
              </w:rPr>
              <w:t>Ministria e Arsimit</w:t>
            </w:r>
          </w:p>
          <w:p w14:paraId="6437921C"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p>
        </w:tc>
        <w:tc>
          <w:tcPr>
            <w:tcW w:w="468" w:type="pct"/>
            <w:shd w:val="clear" w:color="auto" w:fill="E0F4F4"/>
            <w:vAlign w:val="center"/>
          </w:tcPr>
          <w:p w14:paraId="42ED3B1A"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6.080.000</w:t>
            </w:r>
          </w:p>
        </w:tc>
      </w:tr>
      <w:tr w:rsidR="00622884" w:rsidRPr="00622884" w14:paraId="76654D1C" w14:textId="77777777" w:rsidTr="00622884">
        <w:trPr>
          <w:trHeight w:val="567"/>
          <w:jc w:val="center"/>
        </w:trPr>
        <w:tc>
          <w:tcPr>
            <w:tcW w:w="245" w:type="pct"/>
            <w:shd w:val="clear" w:color="auto" w:fill="E0F4F4"/>
            <w:vAlign w:val="center"/>
          </w:tcPr>
          <w:p w14:paraId="209ECC1C" w14:textId="77777777" w:rsidR="00622884" w:rsidRPr="00622884" w:rsidRDefault="00622884" w:rsidP="00622884">
            <w:pPr>
              <w:spacing w:after="0" w:line="240" w:lineRule="auto"/>
              <w:jc w:val="center"/>
              <w:rPr>
                <w:rFonts w:ascii="Garamond" w:eastAsia="SimSun" w:hAnsi="Garamond" w:cs="Calibri Light"/>
                <w:b/>
                <w:bCs/>
                <w:color w:val="1D3C5A"/>
                <w:sz w:val="10"/>
                <w:szCs w:val="16"/>
                <w:lang w:eastAsia="en-US"/>
              </w:rPr>
            </w:pPr>
            <w:r w:rsidRPr="00622884">
              <w:rPr>
                <w:rFonts w:ascii="Garamond" w:eastAsia="SimSun" w:hAnsi="Garamond" w:cs="Times New Roman"/>
                <w:b/>
                <w:color w:val="1D3C5A"/>
                <w:sz w:val="10"/>
                <w:lang w:eastAsia="en-US" w:bidi="sq-AL"/>
              </w:rPr>
              <w:t>8</w:t>
            </w:r>
          </w:p>
        </w:tc>
        <w:tc>
          <w:tcPr>
            <w:tcW w:w="373" w:type="pct"/>
            <w:shd w:val="clear" w:color="auto" w:fill="E0F4F4"/>
            <w:vAlign w:val="center"/>
          </w:tcPr>
          <w:p w14:paraId="07091608"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Ndërsektoriale</w:t>
            </w:r>
          </w:p>
        </w:tc>
        <w:tc>
          <w:tcPr>
            <w:tcW w:w="389" w:type="pct"/>
            <w:shd w:val="clear" w:color="auto" w:fill="E0F4F4"/>
            <w:vAlign w:val="center"/>
          </w:tcPr>
          <w:p w14:paraId="029EEBCE" w14:textId="77777777" w:rsidR="00622884" w:rsidRPr="00622884" w:rsidRDefault="00622884" w:rsidP="00622884">
            <w:pPr>
              <w:spacing w:after="0" w:line="240" w:lineRule="auto"/>
              <w:jc w:val="left"/>
              <w:rPr>
                <w:rFonts w:ascii="Garamond" w:eastAsia="SimSun" w:hAnsi="Garamond" w:cs="Calibri Light"/>
                <w:color w:val="1D3C5A"/>
                <w:sz w:val="10"/>
                <w:szCs w:val="16"/>
                <w:u w:val="single"/>
                <w:lang w:eastAsia="en-US"/>
              </w:rPr>
            </w:pPr>
            <w:r w:rsidRPr="00622884">
              <w:rPr>
                <w:rFonts w:ascii="Garamond" w:eastAsia="SimSun" w:hAnsi="Garamond" w:cs="Times New Roman"/>
                <w:color w:val="1D3C5A"/>
                <w:sz w:val="10"/>
                <w:lang w:eastAsia="en-US" w:bidi="sq-AL"/>
              </w:rPr>
              <w:t>Pilotimi i vlerësimeve të menaxhimit të riskut për bizneset me aftësi ripërtëritëse ndaj klimës</w:t>
            </w:r>
          </w:p>
        </w:tc>
        <w:tc>
          <w:tcPr>
            <w:tcW w:w="387" w:type="pct"/>
            <w:shd w:val="clear" w:color="auto" w:fill="E0F4F4"/>
            <w:vAlign w:val="center"/>
          </w:tcPr>
          <w:p w14:paraId="25C8E879"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Ndërhyrja e butë</w:t>
            </w:r>
            <w:r w:rsidRPr="00622884">
              <w:rPr>
                <w:rFonts w:ascii="Garamond" w:eastAsia="SimSun" w:hAnsi="Garamond" w:cs="Times New Roman"/>
                <w:b/>
                <w:color w:val="1D3C5A"/>
                <w:sz w:val="10"/>
                <w:lang w:eastAsia="en-US" w:bidi="sq-AL"/>
              </w:rPr>
              <w:t>:</w:t>
            </w:r>
          </w:p>
        </w:tc>
        <w:tc>
          <w:tcPr>
            <w:tcW w:w="1129" w:type="pct"/>
            <w:shd w:val="clear" w:color="auto" w:fill="E0F4F4"/>
            <w:vAlign w:val="center"/>
          </w:tcPr>
          <w:p w14:paraId="278B2B00"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8.1 Të kryhen vlerësime të risqeve specifike për sektorin për shoqëri private të zgjedhura për të identifikuar cenueshmëritë klimatike, risqet operacionale dhe mundësitë e përshtatjes të personalizuara për çdo sektor.</w:t>
            </w:r>
            <w:r w:rsidRPr="00622884">
              <w:rPr>
                <w:rFonts w:ascii="Garamond" w:eastAsia="SimSun" w:hAnsi="Garamond" w:cs="Times New Roman"/>
                <w:color w:val="1D3C5A"/>
                <w:sz w:val="10"/>
                <w:lang w:eastAsia="en-US" w:bidi="sq-AL"/>
              </w:rPr>
              <w:br/>
              <w:t>8.2 Të zhvillohen dhe përdoren mjete praktike, udhëzues dhe module trajnimi për të ndihmuar shoqëritë të kuptojnë, vlerësojnë dhe integrojnë risqet e lidhura me klimën në proceset e tyre të menaxhimit të riskut.</w:t>
            </w:r>
            <w:r w:rsidRPr="00622884">
              <w:rPr>
                <w:rFonts w:ascii="Garamond" w:eastAsia="SimSun" w:hAnsi="Garamond" w:cs="Times New Roman"/>
                <w:color w:val="1D3C5A"/>
                <w:sz w:val="10"/>
                <w:lang w:eastAsia="en-US" w:bidi="sq-AL"/>
              </w:rPr>
              <w:br/>
              <w:t>8.3 Të përmblidhen mësimet e nxjerra dhe rekomandimet nga vlerësimet pilot, të cilat do të udhëheqin më pas përshkallëzimin e informimit të sektorit privat për klimën dhe praktikat e menaxhimit të riskut.</w:t>
            </w:r>
          </w:p>
        </w:tc>
        <w:tc>
          <w:tcPr>
            <w:tcW w:w="535" w:type="pct"/>
            <w:shd w:val="clear" w:color="auto" w:fill="E0F4F4"/>
            <w:vAlign w:val="center"/>
          </w:tcPr>
          <w:p w14:paraId="20FD5C98" w14:textId="77777777" w:rsidR="00622884" w:rsidRPr="00622884" w:rsidRDefault="00622884" w:rsidP="00622884">
            <w:pPr>
              <w:spacing w:after="0" w:line="240" w:lineRule="auto"/>
              <w:jc w:val="center"/>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ASH</w:t>
            </w:r>
          </w:p>
        </w:tc>
        <w:tc>
          <w:tcPr>
            <w:tcW w:w="938" w:type="pct"/>
            <w:shd w:val="clear" w:color="auto" w:fill="E0F4F4"/>
            <w:vAlign w:val="center"/>
          </w:tcPr>
          <w:p w14:paraId="32D5F289"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1. Numri i shoqërive private që kanë përfunduar vlerësimet për risqet dhe cenueshmërinë klimatike.</w:t>
            </w:r>
            <w:r w:rsidRPr="00622884">
              <w:rPr>
                <w:rFonts w:ascii="Garamond" w:eastAsia="SimSun" w:hAnsi="Garamond" w:cs="Times New Roman"/>
                <w:color w:val="1D3C5A"/>
                <w:sz w:val="10"/>
                <w:lang w:eastAsia="en-US" w:bidi="sq-AL"/>
              </w:rPr>
              <w:br/>
              <w:t>2. Numri i mjeteve praktike dhe materialeve udhëzuese të zhvilluara dhe të ofruara për integrimin e riskut klimatik.</w:t>
            </w:r>
            <w:r w:rsidRPr="00622884">
              <w:rPr>
                <w:rFonts w:ascii="Garamond" w:eastAsia="SimSun" w:hAnsi="Garamond" w:cs="Times New Roman"/>
                <w:color w:val="1D3C5A"/>
                <w:sz w:val="10"/>
                <w:lang w:eastAsia="en-US" w:bidi="sq-AL"/>
              </w:rPr>
              <w:br/>
              <w:t>3. Përqindja e bizneseve pjesëmarrëse që zbatojnë masa për zbutjen e riskut bazuar në vlerësimet e tyre.</w:t>
            </w:r>
            <w:r w:rsidRPr="00622884">
              <w:rPr>
                <w:rFonts w:ascii="Garamond" w:eastAsia="SimSun" w:hAnsi="Garamond" w:cs="Times New Roman"/>
                <w:color w:val="1D3C5A"/>
                <w:sz w:val="10"/>
                <w:lang w:eastAsia="en-US" w:bidi="sq-AL"/>
              </w:rPr>
              <w:br/>
              <w:t>4. Numri i sektorëve të mbuluar nga vlerësimet pilot të menaxhimit të riskut.</w:t>
            </w:r>
            <w:r w:rsidRPr="00622884">
              <w:rPr>
                <w:rFonts w:ascii="Garamond" w:eastAsia="SimSun" w:hAnsi="Garamond" w:cs="Times New Roman"/>
                <w:color w:val="1D3C5A"/>
                <w:sz w:val="10"/>
                <w:lang w:eastAsia="en-US" w:bidi="sq-AL"/>
              </w:rPr>
              <w:br/>
              <w:t>5. Përfundimi i raportit përmbledhës që përshkruan mësimet kryesore të nxjerra, sfidat dhe rekomandimet (po/jo).</w:t>
            </w:r>
          </w:p>
        </w:tc>
        <w:tc>
          <w:tcPr>
            <w:tcW w:w="536" w:type="pct"/>
            <w:shd w:val="clear" w:color="auto" w:fill="E0F4F4"/>
            <w:vAlign w:val="center"/>
          </w:tcPr>
          <w:p w14:paraId="54C637E7"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Ministria e Ekonomisë dhe Inovacionit</w:t>
            </w:r>
          </w:p>
        </w:tc>
        <w:tc>
          <w:tcPr>
            <w:tcW w:w="468" w:type="pct"/>
            <w:shd w:val="clear" w:color="auto" w:fill="E0F4F4"/>
            <w:vAlign w:val="center"/>
          </w:tcPr>
          <w:p w14:paraId="535B735B"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200.000</w:t>
            </w:r>
          </w:p>
        </w:tc>
      </w:tr>
      <w:tr w:rsidR="00622884" w:rsidRPr="00622884" w14:paraId="04A4C245" w14:textId="77777777" w:rsidTr="00622884">
        <w:trPr>
          <w:trHeight w:val="567"/>
          <w:jc w:val="center"/>
        </w:trPr>
        <w:tc>
          <w:tcPr>
            <w:tcW w:w="245" w:type="pct"/>
            <w:shd w:val="clear" w:color="auto" w:fill="E0F4F4"/>
            <w:vAlign w:val="center"/>
          </w:tcPr>
          <w:p w14:paraId="274C3052" w14:textId="77777777" w:rsidR="00622884" w:rsidRPr="00622884" w:rsidRDefault="00622884" w:rsidP="00622884">
            <w:pPr>
              <w:spacing w:after="0" w:line="240" w:lineRule="auto"/>
              <w:jc w:val="center"/>
              <w:rPr>
                <w:rFonts w:ascii="Garamond" w:eastAsia="SimSun" w:hAnsi="Garamond" w:cs="Calibri Light"/>
                <w:b/>
                <w:bCs/>
                <w:color w:val="1D3C5A"/>
                <w:sz w:val="10"/>
                <w:szCs w:val="16"/>
                <w:lang w:eastAsia="en-US"/>
              </w:rPr>
            </w:pPr>
            <w:r w:rsidRPr="00622884">
              <w:rPr>
                <w:rFonts w:ascii="Garamond" w:eastAsia="SimSun" w:hAnsi="Garamond" w:cs="Times New Roman"/>
                <w:b/>
                <w:color w:val="1D3C5A"/>
                <w:sz w:val="10"/>
                <w:lang w:eastAsia="en-US" w:bidi="sq-AL"/>
              </w:rPr>
              <w:t>9</w:t>
            </w:r>
          </w:p>
        </w:tc>
        <w:tc>
          <w:tcPr>
            <w:tcW w:w="373" w:type="pct"/>
            <w:shd w:val="clear" w:color="auto" w:fill="E0F4F4"/>
            <w:vAlign w:val="center"/>
          </w:tcPr>
          <w:p w14:paraId="30E68B16"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Ndërsektoriale</w:t>
            </w:r>
          </w:p>
        </w:tc>
        <w:tc>
          <w:tcPr>
            <w:tcW w:w="389" w:type="pct"/>
            <w:shd w:val="clear" w:color="auto" w:fill="E0F4F4"/>
            <w:vAlign w:val="center"/>
          </w:tcPr>
          <w:p w14:paraId="1772A7E8" w14:textId="77777777" w:rsidR="00622884" w:rsidRPr="00622884" w:rsidRDefault="00622884" w:rsidP="00622884">
            <w:pPr>
              <w:spacing w:after="0" w:line="240" w:lineRule="auto"/>
              <w:jc w:val="left"/>
              <w:rPr>
                <w:rFonts w:ascii="Garamond" w:eastAsia="SimSun" w:hAnsi="Garamond" w:cs="Calibri Light"/>
                <w:color w:val="1D3C5A"/>
                <w:sz w:val="10"/>
                <w:szCs w:val="16"/>
                <w:u w:val="single"/>
                <w:lang w:eastAsia="en-US"/>
              </w:rPr>
            </w:pPr>
            <w:r w:rsidRPr="00622884">
              <w:rPr>
                <w:rFonts w:ascii="Garamond" w:eastAsia="SimSun" w:hAnsi="Garamond" w:cs="Times New Roman"/>
                <w:color w:val="1D3C5A"/>
                <w:sz w:val="10"/>
                <w:lang w:eastAsia="en-US" w:bidi="sq-AL"/>
              </w:rPr>
              <w:t>Promovimi i përshtatjes klimatike me ndjeshmëri gjinore: Trajnimi i palëve të interesit dhe zhvillimi i mjeteve gjithëpërfshirëse</w:t>
            </w:r>
          </w:p>
        </w:tc>
        <w:tc>
          <w:tcPr>
            <w:tcW w:w="387" w:type="pct"/>
            <w:shd w:val="clear" w:color="auto" w:fill="E0F4F4"/>
            <w:vAlign w:val="center"/>
          </w:tcPr>
          <w:p w14:paraId="24A02BC0"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Ndërhyrja e butë</w:t>
            </w:r>
            <w:r w:rsidRPr="00622884">
              <w:rPr>
                <w:rFonts w:ascii="Garamond" w:eastAsia="SimSun" w:hAnsi="Garamond" w:cs="Times New Roman"/>
                <w:b/>
                <w:color w:val="1D3C5A"/>
                <w:sz w:val="10"/>
                <w:lang w:eastAsia="en-US" w:bidi="sq-AL"/>
              </w:rPr>
              <w:t>:</w:t>
            </w:r>
          </w:p>
        </w:tc>
        <w:tc>
          <w:tcPr>
            <w:tcW w:w="1129" w:type="pct"/>
            <w:shd w:val="clear" w:color="auto" w:fill="E0F4F4"/>
            <w:vAlign w:val="center"/>
          </w:tcPr>
          <w:p w14:paraId="2FBB2EA1" w14:textId="77777777" w:rsidR="00622884" w:rsidRPr="00622884" w:rsidRDefault="00622884" w:rsidP="00622884">
            <w:pPr>
              <w:spacing w:after="0" w:line="240" w:lineRule="auto"/>
              <w:jc w:val="left"/>
              <w:rPr>
                <w:rFonts w:ascii="Garamond" w:eastAsia="SimSun" w:hAnsi="Garamond" w:cs="Times New Roman"/>
                <w:color w:val="1D3C5A"/>
                <w:sz w:val="10"/>
                <w:lang w:eastAsia="en-US" w:bidi="sq-AL"/>
              </w:rPr>
            </w:pPr>
            <w:r w:rsidRPr="00622884">
              <w:rPr>
                <w:rFonts w:ascii="Garamond" w:eastAsia="SimSun" w:hAnsi="Garamond" w:cs="Times New Roman"/>
                <w:color w:val="1D3C5A"/>
                <w:sz w:val="10"/>
                <w:lang w:eastAsia="en-US" w:bidi="sq-AL"/>
              </w:rPr>
              <w:t>9.1 Të hartohen dhe zhvillohen seanca trajnimi me ndjeshmëri gjinore që synojnë zyrtarët e qeverisjes vendore dhe kombëtare, OJQ-të, udhëheqësit e komunitetit dhe stafin teknik të përfshirë në planifikimin dhe zbatimin e përshtatjes ndaj klimës.</w:t>
            </w:r>
            <w:r w:rsidRPr="00622884">
              <w:rPr>
                <w:rFonts w:ascii="Garamond" w:eastAsia="SimSun" w:hAnsi="Garamond" w:cs="Times New Roman"/>
                <w:color w:val="1D3C5A"/>
                <w:sz w:val="10"/>
                <w:lang w:eastAsia="en-US" w:bidi="sq-AL"/>
              </w:rPr>
              <w:br/>
              <w:t>9.2 Të zhvillohen dhe shpërndahen materiale dhe mjete praktike me qasje të ndjeshme ndaj gjinisë, si udhëzues, lista kontrolli dhe studime rasti, për të mbështetur integrimin e perspektivës gjinore në nismat e përshtatjes.</w:t>
            </w:r>
            <w:r w:rsidRPr="00622884">
              <w:rPr>
                <w:rFonts w:ascii="Garamond" w:eastAsia="SimSun" w:hAnsi="Garamond" w:cs="Times New Roman"/>
                <w:color w:val="1D3C5A"/>
                <w:sz w:val="10"/>
                <w:lang w:eastAsia="en-US" w:bidi="sq-AL"/>
              </w:rPr>
              <w:br/>
              <w:t>9.3 Të sigurohet pjesëmarrje gjithëpërfshirëse në trajnimet duke angazhuar aktivisht gratë, të rinjtë dhe grupet e margjinalizuara, si dhe duke trajtuar pengesat në akses si gjuha, vendndodhja dhe orari.</w:t>
            </w:r>
          </w:p>
          <w:p w14:paraId="3AF8B413" w14:textId="77777777" w:rsidR="00622884" w:rsidRPr="00622884" w:rsidRDefault="00622884" w:rsidP="00622884">
            <w:pPr>
              <w:spacing w:after="0" w:line="240" w:lineRule="auto"/>
              <w:jc w:val="left"/>
              <w:rPr>
                <w:rFonts w:ascii="Garamond" w:eastAsia="SimSun" w:hAnsi="Garamond" w:cs="Calibri Light"/>
                <w:color w:val="1D3C5A"/>
                <w:sz w:val="10"/>
                <w:lang w:eastAsia="en-US" w:bidi="sq-AL"/>
              </w:rPr>
            </w:pPr>
            <w:r w:rsidRPr="00622884">
              <w:rPr>
                <w:rFonts w:ascii="Garamond" w:eastAsia="SimSun" w:hAnsi="Garamond" w:cs="Calibri Light"/>
                <w:color w:val="1D3C5A"/>
                <w:sz w:val="10"/>
                <w:lang w:eastAsia="en-US" w:bidi="sq-AL"/>
              </w:rPr>
              <w:t>9.4 Përfshirja e elementeve që lidhen me gatishmërinë, reagimin dhe përshtatjen e shërbimeve shëndetësore ndaj rreziqeve dhe ndikimeve të ndryshimeve klimatike, duke integruar në mënyrë të strukturuar dimensionin gjinor në këto procese</w:t>
            </w:r>
          </w:p>
          <w:p w14:paraId="722111B8"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bookmarkStart w:id="322" w:name="_Hlk226621811"/>
            <w:r w:rsidRPr="00622884">
              <w:rPr>
                <w:rFonts w:ascii="Garamond" w:eastAsia="SimSun" w:hAnsi="Garamond" w:cs="Calibri Light"/>
                <w:color w:val="1D3C5A"/>
                <w:sz w:val="10"/>
                <w:lang w:eastAsia="en-US" w:bidi="sq-AL"/>
              </w:rPr>
              <w:t xml:space="preserve">9.5 Vlerësimi dhe forcimi i kapaciteteve institucionale dhe operacionale të institucioneve shëndetësore për përballimin e rreziqeve klimatike, duke përfshirë burimet njerëzore, kapacitetet infrastrukturore (shtretër, pajisje), sigurimin e furnizimeve bazë (energji, ujë), si dhe </w:t>
            </w:r>
            <w:r w:rsidRPr="00622884">
              <w:rPr>
                <w:rFonts w:ascii="Garamond" w:eastAsia="SimSun" w:hAnsi="Garamond" w:cs="Calibri Light"/>
                <w:color w:val="1D3C5A"/>
                <w:sz w:val="10"/>
                <w:lang w:eastAsia="en-US" w:bidi="sq-AL"/>
              </w:rPr>
              <w:lastRenderedPageBreak/>
              <w:t>zhvillimin e planeve të emergjencës, protokolleve dhe mekanizmave të reagimit ndaj ngjarjeve ekstreme</w:t>
            </w:r>
            <w:bookmarkEnd w:id="322"/>
          </w:p>
        </w:tc>
        <w:tc>
          <w:tcPr>
            <w:tcW w:w="535" w:type="pct"/>
            <w:shd w:val="clear" w:color="auto" w:fill="E0F4F4"/>
            <w:vAlign w:val="center"/>
          </w:tcPr>
          <w:p w14:paraId="79B1B15B" w14:textId="77777777" w:rsidR="00622884" w:rsidRPr="00622884" w:rsidRDefault="00622884" w:rsidP="00622884">
            <w:pPr>
              <w:spacing w:after="0" w:line="240" w:lineRule="auto"/>
              <w:jc w:val="center"/>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lastRenderedPageBreak/>
              <w:t>AM</w:t>
            </w:r>
          </w:p>
        </w:tc>
        <w:tc>
          <w:tcPr>
            <w:tcW w:w="938" w:type="pct"/>
            <w:shd w:val="clear" w:color="auto" w:fill="E0F4F4"/>
            <w:vAlign w:val="center"/>
          </w:tcPr>
          <w:p w14:paraId="30EDF775"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1. Numri i seancave të trajnimit me ndjeshmëri gjinore të zhvilluara në nivel kombëtar dhe bashkiak.</w:t>
            </w:r>
            <w:r w:rsidRPr="00622884">
              <w:rPr>
                <w:rFonts w:ascii="Garamond" w:eastAsia="SimSun" w:hAnsi="Garamond" w:cs="Times New Roman"/>
                <w:color w:val="1D3C5A"/>
                <w:sz w:val="10"/>
                <w:lang w:eastAsia="en-US" w:bidi="sq-AL"/>
              </w:rPr>
              <w:br/>
              <w:t>2. Numri i mjeteve dhe materialeve të zhvilluara me përgjegjshmëri gjinore (p.sh., lista kontrolli, udhëzime, studime rastesh).</w:t>
            </w:r>
            <w:r w:rsidRPr="00622884">
              <w:rPr>
                <w:rFonts w:ascii="Garamond" w:eastAsia="SimSun" w:hAnsi="Garamond" w:cs="Times New Roman"/>
                <w:color w:val="1D3C5A"/>
                <w:sz w:val="10"/>
                <w:lang w:eastAsia="en-US" w:bidi="sq-AL"/>
              </w:rPr>
              <w:br/>
              <w:t xml:space="preserve">3. Numri i palëve të interesit që morën ose patën akses në materiale me përgjegjshmëri gjinore. </w:t>
            </w:r>
            <w:r w:rsidRPr="00622884">
              <w:rPr>
                <w:rFonts w:ascii="Garamond" w:eastAsia="SimSun" w:hAnsi="Garamond" w:cs="Times New Roman"/>
                <w:color w:val="1D3C5A"/>
                <w:sz w:val="10"/>
                <w:lang w:eastAsia="en-US" w:bidi="sq-AL"/>
              </w:rPr>
              <w:br/>
              <w:t>4. Përqindja e trajnimeve ku pati pjesëmarrje gjinore të balancuar (të paktën 40% gra).</w:t>
            </w:r>
            <w:r w:rsidRPr="00622884">
              <w:rPr>
                <w:rFonts w:ascii="Garamond" w:eastAsia="SimSun" w:hAnsi="Garamond" w:cs="Times New Roman"/>
                <w:color w:val="1D3C5A"/>
                <w:sz w:val="10"/>
                <w:lang w:eastAsia="en-US" w:bidi="sq-AL"/>
              </w:rPr>
              <w:br/>
              <w:t>5. Numri i grave, të rinjve dhe individëve të margjinalizuar që morën pjesë aktivisht në të paktën një seancë trajnimi për përshtatjen ndaj klimës.</w:t>
            </w:r>
          </w:p>
        </w:tc>
        <w:tc>
          <w:tcPr>
            <w:tcW w:w="536" w:type="pct"/>
            <w:shd w:val="clear" w:color="auto" w:fill="E0F4F4"/>
            <w:vAlign w:val="center"/>
          </w:tcPr>
          <w:p w14:paraId="343AFFAC"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 xml:space="preserve">Ministria e Shëndetësisë dhe Mirëqenies </w:t>
            </w:r>
            <w:r w:rsidRPr="00622884">
              <w:rPr>
                <w:rFonts w:ascii="Garamond" w:eastAsia="SimSun" w:hAnsi="Garamond" w:cs="Times New Roman"/>
                <w:color w:val="1D3C5A"/>
                <w:sz w:val="10"/>
                <w:highlight w:val="yellow"/>
                <w:lang w:eastAsia="en-US" w:bidi="sq-AL"/>
              </w:rPr>
              <w:t>Mbrojtjes</w:t>
            </w:r>
            <w:r w:rsidRPr="00622884">
              <w:rPr>
                <w:rFonts w:ascii="Garamond" w:eastAsia="SimSun" w:hAnsi="Garamond" w:cs="Times New Roman"/>
                <w:color w:val="1D3C5A"/>
                <w:sz w:val="10"/>
                <w:lang w:eastAsia="en-US" w:bidi="sq-AL"/>
              </w:rPr>
              <w:t xml:space="preserve"> Sociale, Shkolla Shqiptare e Administratës Publike</w:t>
            </w:r>
          </w:p>
        </w:tc>
        <w:tc>
          <w:tcPr>
            <w:tcW w:w="468" w:type="pct"/>
            <w:shd w:val="clear" w:color="auto" w:fill="E0F4F4"/>
            <w:vAlign w:val="center"/>
          </w:tcPr>
          <w:p w14:paraId="566F3DDA"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143.000</w:t>
            </w:r>
          </w:p>
        </w:tc>
      </w:tr>
      <w:tr w:rsidR="00622884" w:rsidRPr="00622884" w14:paraId="267AB647" w14:textId="77777777" w:rsidTr="00622884">
        <w:trPr>
          <w:trHeight w:val="567"/>
          <w:jc w:val="center"/>
        </w:trPr>
        <w:tc>
          <w:tcPr>
            <w:tcW w:w="245" w:type="pct"/>
            <w:shd w:val="clear" w:color="auto" w:fill="E0F4F4"/>
            <w:vAlign w:val="center"/>
          </w:tcPr>
          <w:p w14:paraId="3FBD7E06" w14:textId="77777777" w:rsidR="00622884" w:rsidRPr="00622884" w:rsidRDefault="00622884" w:rsidP="00622884">
            <w:pPr>
              <w:spacing w:after="0" w:line="240" w:lineRule="auto"/>
              <w:jc w:val="center"/>
              <w:rPr>
                <w:rFonts w:ascii="Garamond" w:eastAsia="SimSun" w:hAnsi="Garamond" w:cs="Calibri Light"/>
                <w:b/>
                <w:bCs/>
                <w:color w:val="1D3C5A"/>
                <w:sz w:val="10"/>
                <w:szCs w:val="16"/>
                <w:lang w:eastAsia="en-US"/>
              </w:rPr>
            </w:pPr>
            <w:r w:rsidRPr="00622884">
              <w:rPr>
                <w:rFonts w:ascii="Garamond" w:eastAsia="SimSun" w:hAnsi="Garamond" w:cs="Times New Roman"/>
                <w:b/>
                <w:color w:val="1D3C5A"/>
                <w:sz w:val="10"/>
                <w:lang w:eastAsia="en-US" w:bidi="sq-AL"/>
              </w:rPr>
              <w:t>10</w:t>
            </w:r>
          </w:p>
        </w:tc>
        <w:tc>
          <w:tcPr>
            <w:tcW w:w="373" w:type="pct"/>
            <w:shd w:val="clear" w:color="auto" w:fill="E0F4F4"/>
            <w:vAlign w:val="center"/>
          </w:tcPr>
          <w:p w14:paraId="6398856B"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Ndërsektoriale</w:t>
            </w:r>
          </w:p>
        </w:tc>
        <w:tc>
          <w:tcPr>
            <w:tcW w:w="389" w:type="pct"/>
            <w:shd w:val="clear" w:color="auto" w:fill="E0F4F4"/>
            <w:vAlign w:val="center"/>
          </w:tcPr>
          <w:p w14:paraId="6D434085" w14:textId="77777777" w:rsidR="00622884" w:rsidRPr="00622884" w:rsidRDefault="00622884" w:rsidP="00622884">
            <w:pPr>
              <w:spacing w:after="0" w:line="240" w:lineRule="auto"/>
              <w:jc w:val="left"/>
              <w:rPr>
                <w:rFonts w:ascii="Garamond" w:eastAsia="SimSun" w:hAnsi="Garamond" w:cs="Calibri Light"/>
                <w:color w:val="1D3C5A"/>
                <w:sz w:val="10"/>
                <w:szCs w:val="16"/>
                <w:u w:val="single"/>
                <w:lang w:eastAsia="en-US"/>
              </w:rPr>
            </w:pPr>
            <w:r w:rsidRPr="00622884">
              <w:rPr>
                <w:rFonts w:ascii="Garamond" w:eastAsia="SimSun" w:hAnsi="Garamond" w:cs="Times New Roman"/>
                <w:color w:val="1D3C5A"/>
                <w:sz w:val="10"/>
                <w:lang w:eastAsia="en-US" w:bidi="sq-AL"/>
              </w:rPr>
              <w:t>Edukimi i komuniteteve: Përshtatja dhe rritja e ndërgjegjësimit për fatkeqësitë</w:t>
            </w:r>
          </w:p>
        </w:tc>
        <w:tc>
          <w:tcPr>
            <w:tcW w:w="387" w:type="pct"/>
            <w:shd w:val="clear" w:color="auto" w:fill="E0F4F4"/>
            <w:vAlign w:val="center"/>
          </w:tcPr>
          <w:p w14:paraId="480F28AD"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Ndërhyrja e butë</w:t>
            </w:r>
            <w:r w:rsidRPr="00622884">
              <w:rPr>
                <w:rFonts w:ascii="Garamond" w:eastAsia="SimSun" w:hAnsi="Garamond" w:cs="Times New Roman"/>
                <w:b/>
                <w:color w:val="1D3C5A"/>
                <w:sz w:val="10"/>
                <w:lang w:eastAsia="en-US" w:bidi="sq-AL"/>
              </w:rPr>
              <w:t>:</w:t>
            </w:r>
          </w:p>
        </w:tc>
        <w:tc>
          <w:tcPr>
            <w:tcW w:w="1129" w:type="pct"/>
            <w:shd w:val="clear" w:color="auto" w:fill="E0F4F4"/>
            <w:vAlign w:val="center"/>
          </w:tcPr>
          <w:p w14:paraId="08984028" w14:textId="77777777" w:rsidR="00622884" w:rsidRPr="00622884" w:rsidRDefault="00622884" w:rsidP="00622884">
            <w:pPr>
              <w:spacing w:after="0" w:line="240" w:lineRule="auto"/>
              <w:jc w:val="left"/>
              <w:rPr>
                <w:rFonts w:ascii="Garamond" w:eastAsia="SimSun" w:hAnsi="Garamond" w:cs="Times New Roman"/>
                <w:color w:val="1D3C5A"/>
                <w:sz w:val="10"/>
                <w:lang w:eastAsia="en-US" w:bidi="sq-AL"/>
              </w:rPr>
            </w:pPr>
            <w:r w:rsidRPr="00622884">
              <w:rPr>
                <w:rFonts w:ascii="Garamond" w:eastAsia="SimSun" w:hAnsi="Garamond" w:cs="Times New Roman"/>
                <w:color w:val="1D3C5A"/>
                <w:sz w:val="10"/>
                <w:lang w:eastAsia="en-US" w:bidi="sq-AL"/>
              </w:rPr>
              <w:t>10.1 Të hartohen dhe zbatohen materiale dhe veprimtari edukative të përshtatshme për moshën në shkollat fillore dhe të mesme, të fokusuara në ndikimet e ndryshimeve klimatike, masat e përshtatjes,</w:t>
            </w:r>
            <w:r w:rsidRPr="00622884">
              <w:rPr>
                <w:rFonts w:ascii="Garamond" w:eastAsia="Calibri" w:hAnsi="Garamond" w:cs="Times New Roman"/>
                <w:sz w:val="10"/>
                <w:lang w:eastAsia="en-US"/>
              </w:rPr>
              <w:t xml:space="preserve"> </w:t>
            </w:r>
            <w:r w:rsidRPr="00622884">
              <w:rPr>
                <w:rFonts w:ascii="Garamond" w:eastAsia="SimSun" w:hAnsi="Garamond" w:cs="Times New Roman"/>
                <w:color w:val="1D3C5A"/>
                <w:sz w:val="10"/>
                <w:lang w:eastAsia="en-US" w:bidi="sq-AL"/>
              </w:rPr>
              <w:t>reduktimin e rrezikut nga fatkeqësitë dhe zgjidhjet e bazuara në natyrë, me qëllim pajisjen e fëmijëve dhe adoleshentëve me njohuritë dhe aftësitë e nevojshme për t’u përshtatur me një klimë në ndryshim..</w:t>
            </w:r>
            <w:r w:rsidRPr="00622884">
              <w:rPr>
                <w:rFonts w:ascii="Garamond" w:eastAsia="SimSun" w:hAnsi="Garamond" w:cs="Times New Roman"/>
                <w:color w:val="1D3C5A"/>
                <w:sz w:val="10"/>
                <w:lang w:eastAsia="en-US" w:bidi="sq-AL"/>
              </w:rPr>
              <w:br/>
              <w:t xml:space="preserve">10.2 Të organizohen evente ndërgjegjësimi me komunitetin, si panaire, ekspozita, </w:t>
            </w:r>
            <w:r w:rsidRPr="00622884">
              <w:rPr>
                <w:rFonts w:ascii="Garamond" w:eastAsia="SimSun" w:hAnsi="Garamond" w:cs="Times New Roman"/>
                <w:i/>
                <w:color w:val="1D3C5A"/>
                <w:sz w:val="10"/>
                <w:lang w:eastAsia="en-US" w:bidi="sq-AL"/>
              </w:rPr>
              <w:t>workshop</w:t>
            </w:r>
            <w:r w:rsidRPr="00622884">
              <w:rPr>
                <w:rFonts w:ascii="Garamond" w:eastAsia="SimSun" w:hAnsi="Garamond" w:cs="Times New Roman"/>
                <w:color w:val="1D3C5A"/>
                <w:sz w:val="10"/>
                <w:lang w:eastAsia="en-US" w:bidi="sq-AL"/>
              </w:rPr>
              <w:t xml:space="preserve">-e dhe seanca ndërvepruese për klimën, për të angazhuar banorët mbi qëndrueshmërinë ndaj fatkeqësive dhe praktikave vendore të përshtatjes, duke iu drejtuar veçanërisht medias, politikëbërësve dhe grupeve të margjinalizuara, </w:t>
            </w:r>
          </w:p>
          <w:p w14:paraId="53E1E0B3"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10.3 Përditësimi i kurrikulave arsimore për integrimin e përshtatjes ndaj ndryshimeve klimatike dhe qëndrueshmërisë afatgjatë</w:t>
            </w:r>
          </w:p>
        </w:tc>
        <w:tc>
          <w:tcPr>
            <w:tcW w:w="535" w:type="pct"/>
            <w:shd w:val="clear" w:color="auto" w:fill="E0F4F4"/>
            <w:vAlign w:val="center"/>
          </w:tcPr>
          <w:p w14:paraId="1B760646" w14:textId="77777777" w:rsidR="00622884" w:rsidRPr="00622884" w:rsidRDefault="00622884" w:rsidP="00622884">
            <w:pPr>
              <w:spacing w:after="0" w:line="240" w:lineRule="auto"/>
              <w:jc w:val="center"/>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ASH</w:t>
            </w:r>
          </w:p>
        </w:tc>
        <w:tc>
          <w:tcPr>
            <w:tcW w:w="938" w:type="pct"/>
            <w:shd w:val="clear" w:color="auto" w:fill="E0F4F4"/>
            <w:vAlign w:val="center"/>
          </w:tcPr>
          <w:p w14:paraId="19DB7DB4" w14:textId="77777777" w:rsidR="00622884" w:rsidRPr="00622884" w:rsidRDefault="00622884" w:rsidP="00622884">
            <w:pPr>
              <w:spacing w:after="0" w:line="240" w:lineRule="auto"/>
              <w:jc w:val="left"/>
              <w:rPr>
                <w:rFonts w:ascii="Garamond" w:eastAsia="SimSun" w:hAnsi="Garamond" w:cs="Times New Roman"/>
                <w:color w:val="1D3C5A"/>
                <w:sz w:val="10"/>
                <w:lang w:eastAsia="en-US" w:bidi="sq-AL"/>
              </w:rPr>
            </w:pPr>
            <w:r w:rsidRPr="00622884">
              <w:rPr>
                <w:rFonts w:ascii="Garamond" w:eastAsia="SimSun" w:hAnsi="Garamond" w:cs="Times New Roman"/>
                <w:color w:val="1D3C5A"/>
                <w:sz w:val="10"/>
                <w:lang w:eastAsia="en-US" w:bidi="sq-AL"/>
              </w:rPr>
              <w:t>1. Numri i shkollave që kanë marrë materiale edukative (p.sh., udhëzues, postera, libra aktivitetesh) për përshtatjen ndaj ndryshimeve klimatike dhe zgjidhjet e bazuara në natyrë.</w:t>
            </w:r>
            <w:r w:rsidRPr="00622884">
              <w:rPr>
                <w:rFonts w:ascii="Garamond" w:eastAsia="SimSun" w:hAnsi="Garamond" w:cs="Times New Roman"/>
                <w:color w:val="1D3C5A"/>
                <w:sz w:val="10"/>
                <w:lang w:eastAsia="en-US" w:bidi="sq-AL"/>
              </w:rPr>
              <w:br/>
              <w:t>2. Numri i shkollave që integrojnë temat e ndryshimeve klimatike dhe përshtatjes në kurrikulat ose veprimtaritë e tyre jashtëshkollore.</w:t>
            </w:r>
            <w:r w:rsidRPr="00622884">
              <w:rPr>
                <w:rFonts w:ascii="Garamond" w:eastAsia="SimSun" w:hAnsi="Garamond" w:cs="Times New Roman"/>
                <w:color w:val="1D3C5A"/>
                <w:sz w:val="10"/>
                <w:lang w:eastAsia="en-US" w:bidi="sq-AL"/>
              </w:rPr>
              <w:br/>
              <w:t>3. Numri i ngjarjeve të ndërgjegjësimit të komunitetit të mbajtura mbi përshtatjen ndaj klimës dhe aftësitë ripërtëritëse ndaj fatkeqësive.</w:t>
            </w:r>
          </w:p>
          <w:p w14:paraId="147226CE"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Calibri Light"/>
                <w:color w:val="1D3C5A"/>
                <w:sz w:val="10"/>
                <w:szCs w:val="16"/>
                <w:lang w:eastAsia="en-US"/>
              </w:rPr>
              <w:t>4. Përqindja e fëmijëve dhe adoleshentëve në shkollat fillore dhe të mesme që demonstrojnë njohuri dhe aftësi bazë mbi përshtatjen ndaj ndryshimeve klimatike dhe reduktimin e rrezikut nga fatkeqësitë.</w:t>
            </w:r>
          </w:p>
        </w:tc>
        <w:tc>
          <w:tcPr>
            <w:tcW w:w="536" w:type="pct"/>
            <w:shd w:val="clear" w:color="auto" w:fill="E0F4F4"/>
            <w:vAlign w:val="center"/>
          </w:tcPr>
          <w:p w14:paraId="7A475A17" w14:textId="77777777" w:rsidR="00622884" w:rsidRPr="00622884" w:rsidRDefault="00622884" w:rsidP="00622884">
            <w:pPr>
              <w:spacing w:after="0" w:line="240" w:lineRule="auto"/>
              <w:jc w:val="left"/>
              <w:rPr>
                <w:rFonts w:ascii="Garamond" w:eastAsia="SimSun" w:hAnsi="Garamond" w:cs="Times New Roman"/>
                <w:color w:val="1D3C5A"/>
                <w:sz w:val="10"/>
                <w:lang w:eastAsia="en-US" w:bidi="sq-AL"/>
              </w:rPr>
            </w:pPr>
            <w:r w:rsidRPr="00622884">
              <w:rPr>
                <w:rFonts w:ascii="Garamond" w:eastAsia="SimSun" w:hAnsi="Garamond" w:cs="Times New Roman"/>
                <w:color w:val="1D3C5A"/>
                <w:sz w:val="10"/>
                <w:lang w:eastAsia="en-US" w:bidi="sq-AL"/>
              </w:rPr>
              <w:t xml:space="preserve">Ministria e Arsimit </w:t>
            </w:r>
          </w:p>
          <w:p w14:paraId="1E581979"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Ministria e Mjedisit</w:t>
            </w:r>
          </w:p>
          <w:p w14:paraId="34D5E6D6"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p>
        </w:tc>
        <w:tc>
          <w:tcPr>
            <w:tcW w:w="468" w:type="pct"/>
            <w:shd w:val="clear" w:color="auto" w:fill="E0F4F4"/>
            <w:vAlign w:val="center"/>
          </w:tcPr>
          <w:p w14:paraId="0D057C35"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3.025.000</w:t>
            </w:r>
          </w:p>
        </w:tc>
      </w:tr>
      <w:tr w:rsidR="00622884" w:rsidRPr="00622884" w14:paraId="3B5A90EE" w14:textId="77777777" w:rsidTr="00622884">
        <w:trPr>
          <w:trHeight w:val="567"/>
          <w:jc w:val="center"/>
        </w:trPr>
        <w:tc>
          <w:tcPr>
            <w:tcW w:w="245" w:type="pct"/>
            <w:vAlign w:val="center"/>
          </w:tcPr>
          <w:p w14:paraId="4CAF7E09" w14:textId="77777777" w:rsidR="00622884" w:rsidRPr="00622884" w:rsidRDefault="00622884" w:rsidP="00622884">
            <w:pPr>
              <w:spacing w:after="0" w:line="240" w:lineRule="auto"/>
              <w:jc w:val="center"/>
              <w:rPr>
                <w:rFonts w:ascii="Garamond" w:eastAsia="SimSun" w:hAnsi="Garamond" w:cs="Calibri Light"/>
                <w:b/>
                <w:bCs/>
                <w:color w:val="1D3C5A"/>
                <w:sz w:val="10"/>
                <w:szCs w:val="16"/>
                <w:lang w:eastAsia="en-US"/>
              </w:rPr>
            </w:pPr>
            <w:r w:rsidRPr="00622884">
              <w:rPr>
                <w:rFonts w:ascii="Garamond" w:eastAsia="SimSun" w:hAnsi="Garamond" w:cs="Times New Roman"/>
                <w:b/>
                <w:color w:val="1D3C5A"/>
                <w:sz w:val="10"/>
                <w:lang w:eastAsia="en-US" w:bidi="sq-AL"/>
              </w:rPr>
              <w:t>11</w:t>
            </w:r>
          </w:p>
        </w:tc>
        <w:tc>
          <w:tcPr>
            <w:tcW w:w="373" w:type="pct"/>
            <w:vAlign w:val="center"/>
          </w:tcPr>
          <w:p w14:paraId="0382FA9C"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Bujqësia</w:t>
            </w:r>
          </w:p>
        </w:tc>
        <w:tc>
          <w:tcPr>
            <w:tcW w:w="389" w:type="pct"/>
            <w:vAlign w:val="center"/>
          </w:tcPr>
          <w:p w14:paraId="52D4F642" w14:textId="77777777" w:rsidR="00622884" w:rsidRPr="00622884" w:rsidRDefault="00622884" w:rsidP="00622884">
            <w:pPr>
              <w:spacing w:after="0" w:line="240" w:lineRule="auto"/>
              <w:jc w:val="left"/>
              <w:rPr>
                <w:rFonts w:ascii="Garamond" w:eastAsia="SimSun" w:hAnsi="Garamond" w:cs="Calibri Light"/>
                <w:color w:val="1D3C5A"/>
                <w:sz w:val="10"/>
                <w:szCs w:val="16"/>
                <w:u w:val="single"/>
                <w:lang w:eastAsia="en-US"/>
              </w:rPr>
            </w:pPr>
            <w:r w:rsidRPr="00622884">
              <w:rPr>
                <w:rFonts w:ascii="Garamond" w:eastAsia="SimSun" w:hAnsi="Garamond" w:cs="Times New Roman"/>
                <w:color w:val="1D3C5A"/>
                <w:sz w:val="10"/>
                <w:lang w:eastAsia="en-US" w:bidi="sq-AL"/>
              </w:rPr>
              <w:t>Fuqizimi i fermerëve: mbështetja financiare për infrastrukturën me aftësi ripërtëritëse ndaj ndryshimeve klimatike</w:t>
            </w:r>
          </w:p>
        </w:tc>
        <w:tc>
          <w:tcPr>
            <w:tcW w:w="387" w:type="pct"/>
            <w:vAlign w:val="center"/>
          </w:tcPr>
          <w:p w14:paraId="4EF815AC"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Ndërhyrja e butë</w:t>
            </w:r>
            <w:r w:rsidRPr="00622884">
              <w:rPr>
                <w:rFonts w:ascii="Garamond" w:eastAsia="SimSun" w:hAnsi="Garamond" w:cs="Times New Roman"/>
                <w:b/>
                <w:color w:val="1D3C5A"/>
                <w:sz w:val="10"/>
                <w:lang w:eastAsia="en-US" w:bidi="sq-AL"/>
              </w:rPr>
              <w:t>:</w:t>
            </w:r>
          </w:p>
        </w:tc>
        <w:tc>
          <w:tcPr>
            <w:tcW w:w="1129" w:type="pct"/>
            <w:vAlign w:val="center"/>
          </w:tcPr>
          <w:p w14:paraId="1E643D34"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11.1 Të hartohen dhe zbatohen skemat e synuara të mbështetjes financiare për t’u mundësuar fermerëve të investojnë në infrastrukturë me aftësi ripërtëritëse ndaj klimës.</w:t>
            </w:r>
            <w:r w:rsidRPr="00622884">
              <w:rPr>
                <w:rFonts w:ascii="Garamond" w:eastAsia="SimSun" w:hAnsi="Garamond" w:cs="Times New Roman"/>
                <w:color w:val="1D3C5A"/>
                <w:sz w:val="10"/>
                <w:lang w:eastAsia="en-US" w:bidi="sq-AL"/>
              </w:rPr>
              <w:br/>
              <w:t>11.2 Të prioritizohet financimi për instalimin e sistemeve mbrojtëse nga breshëri, si rrjetat kundër breshrit ose streha në rajonet që janë më të ekspozuar ndaj stuhive të forta të breshrit.</w:t>
            </w:r>
            <w:r w:rsidRPr="00622884">
              <w:rPr>
                <w:rFonts w:ascii="Garamond" w:eastAsia="SimSun" w:hAnsi="Garamond" w:cs="Times New Roman"/>
                <w:color w:val="1D3C5A"/>
                <w:sz w:val="10"/>
                <w:lang w:eastAsia="en-US" w:bidi="sq-AL"/>
              </w:rPr>
              <w:br/>
              <w:t>23.3 Të promovohet modernizimi i serrave duke mbështetur investimet në projektime me aftësi ripërtëritëse ndaj klimës, duke përmirësuar izolimin, automatizuar sistemet e ventilimit dhe duke përdorur teknologjitë me eficiencë të lartë të ujit.</w:t>
            </w:r>
            <w:r w:rsidRPr="00622884">
              <w:rPr>
                <w:rFonts w:ascii="Garamond" w:eastAsia="SimSun" w:hAnsi="Garamond" w:cs="Times New Roman"/>
                <w:color w:val="1D3C5A"/>
                <w:sz w:val="10"/>
                <w:lang w:eastAsia="en-US" w:bidi="sq-AL"/>
              </w:rPr>
              <w:br/>
              <w:t>11.4 Të mbështetet krijimi i brezave mbrojtës dhe sistemeve të mbrojtjes nga era, duke përfshirë rreshtat e pemëve ose gardheve, për të zvogëluar ekspozimin ndaj erës, për të parandaluar erozionin e tokës dhe për të rritur stabilitetin e mikroklimës në ferma.</w:t>
            </w:r>
          </w:p>
        </w:tc>
        <w:tc>
          <w:tcPr>
            <w:tcW w:w="535" w:type="pct"/>
            <w:vAlign w:val="center"/>
          </w:tcPr>
          <w:p w14:paraId="068CC5F1" w14:textId="77777777" w:rsidR="00622884" w:rsidRPr="00622884" w:rsidRDefault="00622884" w:rsidP="00622884">
            <w:pPr>
              <w:spacing w:after="0" w:line="240" w:lineRule="auto"/>
              <w:jc w:val="center"/>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ASH</w:t>
            </w:r>
          </w:p>
        </w:tc>
        <w:tc>
          <w:tcPr>
            <w:tcW w:w="938" w:type="pct"/>
            <w:vAlign w:val="center"/>
          </w:tcPr>
          <w:p w14:paraId="61925E0E"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1. Shuma totale e mbështetjes financiare të alokuar për fermerët për investime në infrastrukturë me aftësi ripërtëritëse ndaj klimës.</w:t>
            </w:r>
            <w:r w:rsidRPr="00622884">
              <w:rPr>
                <w:rFonts w:ascii="Garamond" w:eastAsia="SimSun" w:hAnsi="Garamond" w:cs="Times New Roman"/>
                <w:color w:val="1D3C5A"/>
                <w:sz w:val="10"/>
                <w:lang w:eastAsia="en-US" w:bidi="sq-AL"/>
              </w:rPr>
              <w:br/>
              <w:t>2. Sipërfaqja totale (në hektarë) e mbuluar nga sistemet e mbrojtjes nga breshëri të instaluara me mbështetje financiare.</w:t>
            </w:r>
            <w:r w:rsidRPr="00622884">
              <w:rPr>
                <w:rFonts w:ascii="Garamond" w:eastAsia="SimSun" w:hAnsi="Garamond" w:cs="Times New Roman"/>
                <w:color w:val="1D3C5A"/>
                <w:sz w:val="10"/>
                <w:lang w:eastAsia="en-US" w:bidi="sq-AL"/>
              </w:rPr>
              <w:br/>
              <w:t>3. Sipërfaqja totale (në m²) e serrave të përmirësuara ose të ndërtuara me karakteristika të aftësive ripërtëritëse ndaj klimës përmes skemës së financimit.</w:t>
            </w:r>
            <w:r w:rsidRPr="00622884">
              <w:rPr>
                <w:rFonts w:ascii="Garamond" w:eastAsia="SimSun" w:hAnsi="Garamond" w:cs="Times New Roman"/>
                <w:color w:val="1D3C5A"/>
                <w:sz w:val="10"/>
                <w:lang w:eastAsia="en-US" w:bidi="sq-AL"/>
              </w:rPr>
              <w:br/>
              <w:t>4. Numri i fermave me mbështetje financiare që përdorin sistemin me brez mbrojtës.</w:t>
            </w:r>
          </w:p>
        </w:tc>
        <w:tc>
          <w:tcPr>
            <w:tcW w:w="536" w:type="pct"/>
            <w:vAlign w:val="center"/>
          </w:tcPr>
          <w:p w14:paraId="472F1F12"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Ministria e Bujqësisë dhe Zhvillimit Rural</w:t>
            </w:r>
          </w:p>
          <w:p w14:paraId="75C7C329"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p>
        </w:tc>
        <w:tc>
          <w:tcPr>
            <w:tcW w:w="468" w:type="pct"/>
            <w:vAlign w:val="center"/>
          </w:tcPr>
          <w:p w14:paraId="0B9702FE"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29.600.000</w:t>
            </w:r>
          </w:p>
        </w:tc>
      </w:tr>
      <w:tr w:rsidR="00622884" w:rsidRPr="00622884" w14:paraId="7C75AEE5" w14:textId="77777777" w:rsidTr="00622884">
        <w:trPr>
          <w:trHeight w:val="567"/>
          <w:jc w:val="center"/>
        </w:trPr>
        <w:tc>
          <w:tcPr>
            <w:tcW w:w="245" w:type="pct"/>
            <w:vAlign w:val="center"/>
          </w:tcPr>
          <w:p w14:paraId="1C76DF51" w14:textId="77777777" w:rsidR="00622884" w:rsidRPr="00622884" w:rsidRDefault="00622884" w:rsidP="00622884">
            <w:pPr>
              <w:spacing w:after="0" w:line="240" w:lineRule="auto"/>
              <w:jc w:val="center"/>
              <w:rPr>
                <w:rFonts w:ascii="Garamond" w:eastAsia="SimSun" w:hAnsi="Garamond" w:cs="Calibri Light"/>
                <w:b/>
                <w:bCs/>
                <w:color w:val="1D3C5A"/>
                <w:sz w:val="10"/>
                <w:szCs w:val="16"/>
                <w:lang w:eastAsia="en-US"/>
              </w:rPr>
            </w:pPr>
            <w:r w:rsidRPr="00622884">
              <w:rPr>
                <w:rFonts w:ascii="Garamond" w:eastAsia="SimSun" w:hAnsi="Garamond" w:cs="Times New Roman"/>
                <w:b/>
                <w:color w:val="1D3C5A"/>
                <w:sz w:val="10"/>
                <w:lang w:eastAsia="en-US" w:bidi="sq-AL"/>
              </w:rPr>
              <w:t>12</w:t>
            </w:r>
          </w:p>
        </w:tc>
        <w:tc>
          <w:tcPr>
            <w:tcW w:w="373" w:type="pct"/>
            <w:vAlign w:val="center"/>
          </w:tcPr>
          <w:p w14:paraId="1761ECA3"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Bujqësia</w:t>
            </w:r>
          </w:p>
        </w:tc>
        <w:tc>
          <w:tcPr>
            <w:tcW w:w="389" w:type="pct"/>
            <w:vAlign w:val="center"/>
          </w:tcPr>
          <w:p w14:paraId="22BFE443" w14:textId="77777777" w:rsidR="00622884" w:rsidRPr="00622884" w:rsidRDefault="00622884" w:rsidP="00622884">
            <w:pPr>
              <w:spacing w:after="0" w:line="240" w:lineRule="auto"/>
              <w:jc w:val="left"/>
              <w:rPr>
                <w:rFonts w:ascii="Garamond" w:eastAsia="SimSun" w:hAnsi="Garamond" w:cs="Calibri Light"/>
                <w:color w:val="1D3C5A"/>
                <w:sz w:val="10"/>
                <w:szCs w:val="16"/>
                <w:u w:val="single"/>
                <w:lang w:eastAsia="en-US"/>
              </w:rPr>
            </w:pPr>
            <w:r w:rsidRPr="00622884">
              <w:rPr>
                <w:rFonts w:ascii="Garamond" w:eastAsia="SimSun" w:hAnsi="Garamond" w:cs="Times New Roman"/>
                <w:color w:val="1D3C5A"/>
                <w:sz w:val="10"/>
                <w:lang w:eastAsia="en-US" w:bidi="sq-AL"/>
              </w:rPr>
              <w:t>Mbrojtja e fermerëve: Programet e kompensimit dhe ndihmës për rimëkëmbjen nga fatkeqësitë</w:t>
            </w:r>
          </w:p>
        </w:tc>
        <w:tc>
          <w:tcPr>
            <w:tcW w:w="387" w:type="pct"/>
            <w:vAlign w:val="center"/>
          </w:tcPr>
          <w:p w14:paraId="36A496E9"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Ndërhyrja e butë</w:t>
            </w:r>
            <w:r w:rsidRPr="00622884">
              <w:rPr>
                <w:rFonts w:ascii="Garamond" w:eastAsia="SimSun" w:hAnsi="Garamond" w:cs="Times New Roman"/>
                <w:b/>
                <w:color w:val="1D3C5A"/>
                <w:sz w:val="10"/>
                <w:lang w:eastAsia="en-US" w:bidi="sq-AL"/>
              </w:rPr>
              <w:t>:</w:t>
            </w:r>
          </w:p>
        </w:tc>
        <w:tc>
          <w:tcPr>
            <w:tcW w:w="1129" w:type="pct"/>
            <w:vAlign w:val="center"/>
          </w:tcPr>
          <w:p w14:paraId="633E47CD" w14:textId="77777777" w:rsidR="00622884" w:rsidRPr="00622884" w:rsidRDefault="00622884" w:rsidP="00622884">
            <w:pPr>
              <w:spacing w:after="0" w:line="240" w:lineRule="auto"/>
              <w:jc w:val="left"/>
              <w:rPr>
                <w:rFonts w:ascii="Garamond" w:eastAsia="SimSun" w:hAnsi="Garamond" w:cs="Times New Roman"/>
                <w:color w:val="1D3C5A"/>
                <w:sz w:val="10"/>
                <w:lang w:eastAsia="en-US" w:bidi="sq-AL"/>
              </w:rPr>
            </w:pPr>
            <w:r w:rsidRPr="00622884">
              <w:rPr>
                <w:rFonts w:ascii="Garamond" w:eastAsia="SimSun" w:hAnsi="Garamond" w:cs="Times New Roman"/>
                <w:color w:val="1D3C5A"/>
                <w:sz w:val="10"/>
                <w:lang w:eastAsia="en-US" w:bidi="sq-AL"/>
              </w:rPr>
              <w:t>12.1 Të planifikohen fonde ndihme në rast katastrofash dhe skema ndihme emergjente për të mbështetur fermerët që humbin të ardhura për shkak të katastrofave të lidhura me klimën.</w:t>
            </w:r>
            <w:r w:rsidRPr="00622884">
              <w:rPr>
                <w:rFonts w:ascii="Garamond" w:eastAsia="SimSun" w:hAnsi="Garamond" w:cs="Times New Roman"/>
                <w:color w:val="1D3C5A"/>
                <w:sz w:val="10"/>
                <w:lang w:eastAsia="en-US" w:bidi="sq-AL"/>
              </w:rPr>
              <w:br/>
              <w:t>12.2 Të përcaktohen qartazi kriteret për pranueshmëri dhe procedura e aplikimit për të garantuar që familjet bujqësore të prekura të mund të kenë akses të barabartë dhe në kohë në kompensim dhe asistencë.</w:t>
            </w:r>
            <w:r w:rsidRPr="00622884">
              <w:rPr>
                <w:rFonts w:ascii="Garamond" w:eastAsia="SimSun" w:hAnsi="Garamond" w:cs="Times New Roman"/>
                <w:color w:val="1D3C5A"/>
                <w:sz w:val="10"/>
                <w:lang w:eastAsia="en-US" w:bidi="sq-AL"/>
              </w:rPr>
              <w:br/>
              <w:t>12.3 Të zhvillohen fushata ndërgjegjësimi dhe komunikimi për të informuar fermerët rreth disponueshmërisë, kushteve dhe procedurave për mekanizmat e kompensimit.</w:t>
            </w:r>
          </w:p>
          <w:p w14:paraId="67557789"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Calibri Light"/>
                <w:color w:val="1D3C5A"/>
                <w:sz w:val="10"/>
                <w:lang w:eastAsia="en-US" w:bidi="sq-AL"/>
              </w:rPr>
              <w:t>12.4 Fushata edukimi apo këshillimi për komunitetet në zonat rurale, me qëllim sensibilizimin e këtij komuniteti mbi praktikat më të mira bujqësore, në drejtim të parandalimit dhe reduktimit të humbjeve në sektorin bujqësor dhe rural.</w:t>
            </w:r>
          </w:p>
        </w:tc>
        <w:tc>
          <w:tcPr>
            <w:tcW w:w="535" w:type="pct"/>
            <w:vAlign w:val="center"/>
          </w:tcPr>
          <w:p w14:paraId="54D7AA78" w14:textId="77777777" w:rsidR="00622884" w:rsidRPr="00622884" w:rsidRDefault="00622884" w:rsidP="00622884">
            <w:pPr>
              <w:spacing w:after="0" w:line="240" w:lineRule="auto"/>
              <w:jc w:val="center"/>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AM</w:t>
            </w:r>
          </w:p>
        </w:tc>
        <w:tc>
          <w:tcPr>
            <w:tcW w:w="938" w:type="pct"/>
            <w:vAlign w:val="center"/>
          </w:tcPr>
          <w:p w14:paraId="70B3A66A"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1. Shuma totale e fondeve të alokuara përmes skemave të kompensimit për fatkeqësitë dhe ndihmë emergjente.</w:t>
            </w:r>
            <w:r w:rsidRPr="00622884">
              <w:rPr>
                <w:rFonts w:ascii="Garamond" w:eastAsia="SimSun" w:hAnsi="Garamond" w:cs="Times New Roman"/>
                <w:color w:val="1D3C5A"/>
                <w:sz w:val="10"/>
                <w:lang w:eastAsia="en-US" w:bidi="sq-AL"/>
              </w:rPr>
              <w:br/>
              <w:t>2. Përqindja e komuniteteve bujqësore të synuara që marrin materiale informuese mbi mekanizmat e kompensimit për fatkeqësitë.</w:t>
            </w:r>
          </w:p>
        </w:tc>
        <w:tc>
          <w:tcPr>
            <w:tcW w:w="536" w:type="pct"/>
            <w:vAlign w:val="center"/>
          </w:tcPr>
          <w:p w14:paraId="37043522"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Ministria e Bujqësisë dhe Zhvillimit Rural</w:t>
            </w:r>
          </w:p>
          <w:p w14:paraId="3777204F"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p>
        </w:tc>
        <w:tc>
          <w:tcPr>
            <w:tcW w:w="468" w:type="pct"/>
            <w:vAlign w:val="center"/>
          </w:tcPr>
          <w:p w14:paraId="701F510F"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102.250.000</w:t>
            </w:r>
          </w:p>
        </w:tc>
      </w:tr>
      <w:tr w:rsidR="00622884" w:rsidRPr="00622884" w14:paraId="241961CA" w14:textId="77777777" w:rsidTr="00622884">
        <w:trPr>
          <w:trHeight w:val="567"/>
          <w:jc w:val="center"/>
        </w:trPr>
        <w:tc>
          <w:tcPr>
            <w:tcW w:w="245" w:type="pct"/>
            <w:vAlign w:val="center"/>
          </w:tcPr>
          <w:p w14:paraId="49C39089" w14:textId="77777777" w:rsidR="00622884" w:rsidRPr="00622884" w:rsidRDefault="00622884" w:rsidP="00622884">
            <w:pPr>
              <w:spacing w:after="0" w:line="240" w:lineRule="auto"/>
              <w:jc w:val="center"/>
              <w:rPr>
                <w:rFonts w:ascii="Garamond" w:eastAsia="SimSun" w:hAnsi="Garamond" w:cs="Calibri Light"/>
                <w:b/>
                <w:bCs/>
                <w:color w:val="1D3C5A"/>
                <w:sz w:val="10"/>
                <w:szCs w:val="16"/>
                <w:lang w:eastAsia="en-US"/>
              </w:rPr>
            </w:pPr>
            <w:r w:rsidRPr="00622884">
              <w:rPr>
                <w:rFonts w:ascii="Garamond" w:eastAsia="SimSun" w:hAnsi="Garamond" w:cs="Times New Roman"/>
                <w:b/>
                <w:color w:val="1D3C5A"/>
                <w:sz w:val="10"/>
                <w:lang w:eastAsia="en-US" w:bidi="sq-AL"/>
              </w:rPr>
              <w:t>13</w:t>
            </w:r>
          </w:p>
        </w:tc>
        <w:tc>
          <w:tcPr>
            <w:tcW w:w="373" w:type="pct"/>
            <w:vAlign w:val="center"/>
          </w:tcPr>
          <w:p w14:paraId="6E8CAFA8"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Bujqësia</w:t>
            </w:r>
          </w:p>
        </w:tc>
        <w:tc>
          <w:tcPr>
            <w:tcW w:w="389" w:type="pct"/>
            <w:vAlign w:val="center"/>
          </w:tcPr>
          <w:p w14:paraId="263BC2B5" w14:textId="77777777" w:rsidR="00622884" w:rsidRPr="00622884" w:rsidRDefault="00622884" w:rsidP="00622884">
            <w:pPr>
              <w:spacing w:after="0" w:line="240" w:lineRule="auto"/>
              <w:jc w:val="left"/>
              <w:rPr>
                <w:rFonts w:ascii="Garamond" w:eastAsia="SimSun" w:hAnsi="Garamond" w:cs="Calibri Light"/>
                <w:color w:val="1D3C5A"/>
                <w:sz w:val="10"/>
                <w:szCs w:val="16"/>
                <w:u w:val="single"/>
                <w:lang w:eastAsia="en-US"/>
              </w:rPr>
            </w:pPr>
            <w:r w:rsidRPr="00622884">
              <w:rPr>
                <w:rFonts w:ascii="Garamond" w:eastAsia="SimSun" w:hAnsi="Garamond" w:cs="Times New Roman"/>
                <w:color w:val="1D3C5A"/>
                <w:sz w:val="10"/>
                <w:lang w:eastAsia="en-US" w:bidi="sq-AL"/>
              </w:rPr>
              <w:t>Plani i veprimit për speciet invazive në kushtet e ndryshueshme klimatike</w:t>
            </w:r>
          </w:p>
        </w:tc>
        <w:tc>
          <w:tcPr>
            <w:tcW w:w="387" w:type="pct"/>
            <w:vAlign w:val="center"/>
          </w:tcPr>
          <w:p w14:paraId="5DA96B33"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Ndërhyrja e butë</w:t>
            </w:r>
            <w:r w:rsidRPr="00622884">
              <w:rPr>
                <w:rFonts w:ascii="Garamond" w:eastAsia="SimSun" w:hAnsi="Garamond" w:cs="Times New Roman"/>
                <w:b/>
                <w:color w:val="1D3C5A"/>
                <w:sz w:val="10"/>
                <w:lang w:eastAsia="en-US" w:bidi="sq-AL"/>
              </w:rPr>
              <w:t>:</w:t>
            </w:r>
          </w:p>
        </w:tc>
        <w:tc>
          <w:tcPr>
            <w:tcW w:w="1129" w:type="pct"/>
            <w:vAlign w:val="center"/>
          </w:tcPr>
          <w:p w14:paraId="47826E60"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13.1 Të kryhen vlerësime të ndjeshme ndaj riskut klimatik për të identifikuar speciet invazive prioritare, shpërndarja, ndikimi ose aftësia ripërtëritëse e të cilave mund të rritet në kushtet e ndryshimit të klimës.</w:t>
            </w:r>
            <w:r w:rsidRPr="00622884">
              <w:rPr>
                <w:rFonts w:ascii="Garamond" w:eastAsia="SimSun" w:hAnsi="Garamond" w:cs="Times New Roman"/>
                <w:color w:val="1D3C5A"/>
                <w:sz w:val="10"/>
                <w:lang w:eastAsia="en-US" w:bidi="sq-AL"/>
              </w:rPr>
              <w:br/>
              <w:t>13.2 Të përcaktohen synimet dhe objektivat strategjikë për parandalimin, zbulimin e hershëm, kontrollin dhe zhdukjen e specieve invazive, në përputhje me objektivat kombëtare të biodiversitetit dhe përshtatjes.</w:t>
            </w:r>
            <w:r w:rsidRPr="00622884">
              <w:rPr>
                <w:rFonts w:ascii="Garamond" w:eastAsia="SimSun" w:hAnsi="Garamond" w:cs="Times New Roman"/>
                <w:color w:val="1D3C5A"/>
                <w:sz w:val="10"/>
                <w:lang w:eastAsia="en-US" w:bidi="sq-AL"/>
              </w:rPr>
              <w:br/>
              <w:t>13.3 Të zhvillohet një plan zbatimi ku të përcaktohen qartazi fazat, afatet kohore, përgjegjësit dhe nevojat për burime për secilën fazë të ciklit të menaxhimit të specieve invazive.</w:t>
            </w:r>
            <w:r w:rsidRPr="00622884">
              <w:rPr>
                <w:rFonts w:ascii="Garamond" w:eastAsia="SimSun" w:hAnsi="Garamond" w:cs="Times New Roman"/>
                <w:color w:val="1D3C5A"/>
                <w:sz w:val="10"/>
                <w:lang w:eastAsia="en-US" w:bidi="sq-AL"/>
              </w:rPr>
              <w:br/>
              <w:t>13.4 Të vendosen protokolle monitorimi dhe mekanizma për mbledhjen e të dhënave për të vlerësuar efektshmërinë dhe për të informuar menaxhimin e përshtatjes së specieve invazive në skenarët e ardhshëm klimatikë.</w:t>
            </w:r>
          </w:p>
        </w:tc>
        <w:tc>
          <w:tcPr>
            <w:tcW w:w="535" w:type="pct"/>
            <w:vAlign w:val="center"/>
          </w:tcPr>
          <w:p w14:paraId="71D13376" w14:textId="77777777" w:rsidR="00622884" w:rsidRPr="00622884" w:rsidRDefault="00622884" w:rsidP="00622884">
            <w:pPr>
              <w:spacing w:after="0" w:line="240" w:lineRule="auto"/>
              <w:jc w:val="center"/>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AM</w:t>
            </w:r>
          </w:p>
        </w:tc>
        <w:tc>
          <w:tcPr>
            <w:tcW w:w="938" w:type="pct"/>
            <w:vAlign w:val="center"/>
          </w:tcPr>
          <w:p w14:paraId="01B026DD"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1. Zhvillimi i planit të zbatimit të verifikuar dhe me faza për menaxhimin e specieve invazive, duke integruar synimet strategjike të vlerësimit të riskut klimatik (po/jo).</w:t>
            </w:r>
            <w:r w:rsidRPr="00622884">
              <w:rPr>
                <w:rFonts w:ascii="Garamond" w:eastAsia="SimSun" w:hAnsi="Garamond" w:cs="Times New Roman"/>
                <w:color w:val="1D3C5A"/>
                <w:sz w:val="10"/>
                <w:lang w:eastAsia="en-US" w:bidi="sq-AL"/>
              </w:rPr>
              <w:br/>
              <w:t>2. Ekzistenca e një sistemi monitorimi të standardizuar dhe funksional për speciet invazive të ndjeshme ndaj klimës (po/jo).</w:t>
            </w:r>
          </w:p>
        </w:tc>
        <w:tc>
          <w:tcPr>
            <w:tcW w:w="536" w:type="pct"/>
            <w:vAlign w:val="center"/>
          </w:tcPr>
          <w:p w14:paraId="5DCF9C76"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Ministria e Bujqësisë dhe Zhvillimit Rural</w:t>
            </w:r>
          </w:p>
          <w:p w14:paraId="00B25335"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p>
        </w:tc>
        <w:tc>
          <w:tcPr>
            <w:tcW w:w="468" w:type="pct"/>
            <w:vAlign w:val="center"/>
          </w:tcPr>
          <w:p w14:paraId="542ED7CB"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160.000</w:t>
            </w:r>
          </w:p>
        </w:tc>
      </w:tr>
      <w:tr w:rsidR="00622884" w:rsidRPr="00622884" w14:paraId="3F2D3EA7" w14:textId="77777777" w:rsidTr="00622884">
        <w:trPr>
          <w:trHeight w:val="567"/>
          <w:jc w:val="center"/>
        </w:trPr>
        <w:tc>
          <w:tcPr>
            <w:tcW w:w="245" w:type="pct"/>
            <w:vAlign w:val="center"/>
          </w:tcPr>
          <w:p w14:paraId="7CC9358E" w14:textId="77777777" w:rsidR="00622884" w:rsidRPr="00622884" w:rsidRDefault="00622884" w:rsidP="00622884">
            <w:pPr>
              <w:spacing w:after="0" w:line="240" w:lineRule="auto"/>
              <w:jc w:val="center"/>
              <w:rPr>
                <w:rFonts w:ascii="Garamond" w:eastAsia="SimSun" w:hAnsi="Garamond" w:cs="Calibri Light"/>
                <w:b/>
                <w:bCs/>
                <w:color w:val="1D3C5A"/>
                <w:sz w:val="10"/>
                <w:szCs w:val="16"/>
                <w:lang w:eastAsia="en-US"/>
              </w:rPr>
            </w:pPr>
            <w:r w:rsidRPr="00622884">
              <w:rPr>
                <w:rFonts w:ascii="Garamond" w:eastAsia="SimSun" w:hAnsi="Garamond" w:cs="Times New Roman"/>
                <w:b/>
                <w:color w:val="1D3C5A"/>
                <w:sz w:val="10"/>
                <w:lang w:eastAsia="en-US" w:bidi="sq-AL"/>
              </w:rPr>
              <w:t>14</w:t>
            </w:r>
          </w:p>
        </w:tc>
        <w:tc>
          <w:tcPr>
            <w:tcW w:w="373" w:type="pct"/>
            <w:vAlign w:val="center"/>
          </w:tcPr>
          <w:p w14:paraId="4E188B1C"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Bujqësia</w:t>
            </w:r>
          </w:p>
        </w:tc>
        <w:tc>
          <w:tcPr>
            <w:tcW w:w="389" w:type="pct"/>
            <w:vAlign w:val="center"/>
          </w:tcPr>
          <w:p w14:paraId="1E9D9B33" w14:textId="77777777" w:rsidR="00622884" w:rsidRPr="00622884" w:rsidRDefault="00622884" w:rsidP="00622884">
            <w:pPr>
              <w:spacing w:after="0" w:line="240" w:lineRule="auto"/>
              <w:jc w:val="left"/>
              <w:rPr>
                <w:rFonts w:ascii="Garamond" w:eastAsia="SimSun" w:hAnsi="Garamond" w:cs="Calibri Light"/>
                <w:color w:val="1D3C5A"/>
                <w:sz w:val="10"/>
                <w:szCs w:val="16"/>
                <w:u w:val="single"/>
                <w:lang w:eastAsia="en-US"/>
              </w:rPr>
            </w:pPr>
            <w:r w:rsidRPr="00622884">
              <w:rPr>
                <w:rFonts w:ascii="Garamond" w:eastAsia="SimSun" w:hAnsi="Garamond" w:cs="Times New Roman"/>
                <w:color w:val="1D3C5A"/>
                <w:sz w:val="10"/>
                <w:lang w:eastAsia="en-US" w:bidi="sq-AL"/>
              </w:rPr>
              <w:t>Forcimi i mbrojtjes nga përmbytjet: Restaurimi i brigjeve të lumenjve dhe zgjerimi i fushave aluvionale përgjatë lumenjve kryesorë të Shqipërisë</w:t>
            </w:r>
          </w:p>
        </w:tc>
        <w:tc>
          <w:tcPr>
            <w:tcW w:w="387" w:type="pct"/>
            <w:vAlign w:val="center"/>
          </w:tcPr>
          <w:p w14:paraId="1F57A7D4"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Ndërhyrja gri</w:t>
            </w:r>
          </w:p>
        </w:tc>
        <w:tc>
          <w:tcPr>
            <w:tcW w:w="1129" w:type="pct"/>
            <w:vAlign w:val="center"/>
          </w:tcPr>
          <w:p w14:paraId="00CE419E" w14:textId="77777777" w:rsidR="00622884" w:rsidRPr="00622884" w:rsidRDefault="00622884" w:rsidP="00622884">
            <w:pPr>
              <w:spacing w:after="0" w:line="240" w:lineRule="auto"/>
              <w:jc w:val="left"/>
              <w:rPr>
                <w:rFonts w:ascii="Garamond" w:eastAsia="SimSun" w:hAnsi="Garamond" w:cs="Times New Roman"/>
                <w:color w:val="1D3C5A"/>
                <w:sz w:val="10"/>
                <w:lang w:eastAsia="en-US" w:bidi="sq-AL"/>
              </w:rPr>
            </w:pPr>
            <w:r w:rsidRPr="00622884">
              <w:rPr>
                <w:rFonts w:ascii="Garamond" w:eastAsia="SimSun" w:hAnsi="Garamond" w:cs="Times New Roman"/>
                <w:color w:val="1D3C5A"/>
                <w:sz w:val="10"/>
                <w:lang w:eastAsia="en-US" w:bidi="sq-AL"/>
              </w:rPr>
              <w:t>14.1 Të kryhet modelimi hidrologjik dhe hartëzimi i riskut nga përmbytjet në lumenjtë prioritarë për të identifikuar zonat e cenueshme ku është i nevojshëm restaurimi i brigjeve të lumenjve dhe fushave aluvionale duke marrë në konsideratë edhe standardet e reja të sigurisë dhe nevojën për përditësimin e tyre në përputhje me skenarët klimatikë</w:t>
            </w:r>
            <w:r w:rsidRPr="00622884">
              <w:rPr>
                <w:rFonts w:ascii="Garamond" w:eastAsia="SimSun" w:hAnsi="Garamond" w:cs="Times New Roman"/>
                <w:color w:val="1D3C5A"/>
                <w:sz w:val="10"/>
                <w:lang w:eastAsia="en-US" w:bidi="sq-AL"/>
              </w:rPr>
              <w:br/>
              <w:t>14.2 Të bëhet projektimi inxhinierik për punimet e restaurimit të brigjeve të lumenjve dhe digave të cenueshme bazuar në cenueshmëritë e zbuluara.</w:t>
            </w:r>
            <w:r w:rsidRPr="00622884">
              <w:rPr>
                <w:rFonts w:ascii="Garamond" w:eastAsia="SimSun" w:hAnsi="Garamond" w:cs="Times New Roman"/>
                <w:color w:val="1D3C5A"/>
                <w:sz w:val="10"/>
                <w:lang w:eastAsia="en-US" w:bidi="sq-AL"/>
              </w:rPr>
              <w:br/>
              <w:t>14.3 Të restaurohen brigjet e lumenjve dhe të riparohen digat: Të vendoset fokusi në restaurimin dhe riparimin e argjinaturave dhe digave të brigjeve të lumenjve përgjatë rrjedhave kryesore të lumenjve si Drini, Buna, Mati, Ishmi dhe Vjosa për të restauruar 300 km të argjinaturave mbrojtëse nga përmbytjet të identifikuara në Strategjinë Kombëtare për Ujitje, Kullim dhe Mbrojtje nga Përmbytjet. Përpjekjet do të synojnë forcimin e infrastrukturës ekzistuese dhe të re të mbrojtjes nga përmbytjet, përmirësimin e kontrollit të erozionit dhe parandalimin e dëmeve të shkaktuara nga reshjet e dendura të shiut ose rritja e nivelit të detit. Evidentoni praktikat e qëndrueshme që përfshijnë bimësinë natyrore për të përforcuar brigjet e lumenjve dhe për të promovuar aftësitë ripërtëritëse e ekosistemit.</w:t>
            </w:r>
            <w:r w:rsidRPr="00622884">
              <w:rPr>
                <w:rFonts w:ascii="Garamond" w:eastAsia="SimSun" w:hAnsi="Garamond" w:cs="Times New Roman"/>
                <w:color w:val="1D3C5A"/>
                <w:sz w:val="10"/>
                <w:lang w:eastAsia="en-US" w:bidi="sq-AL"/>
              </w:rPr>
              <w:br/>
              <w:t>14.4 Monitorimi dhe mirëmbajtja e sistemeve të mbrojtjes së lumenjve: Të ngrihet një sistem monitorim për të ndjekur efektshmërinë e restaurimit të brigjeve të lumit, zgjerimit të fushave aluvionale dhe ndërtimit të barrierave kundër përmbytjeve. Si dhe sisteme paralajmërimi të hershëm për t’u përgatitur kundër ndikimeve të mundshme. Inspektimet e rregullta do të sigurojnë që infrastruktura të mbetet e paprekur dhe të vazhdojë të ofrojë mbrojtje.</w:t>
            </w:r>
            <w:r w:rsidRPr="00622884">
              <w:rPr>
                <w:rFonts w:ascii="Garamond" w:eastAsia="SimSun" w:hAnsi="Garamond" w:cs="Times New Roman"/>
                <w:color w:val="1D3C5A"/>
                <w:sz w:val="10"/>
                <w:lang w:eastAsia="en-US" w:bidi="sq-AL"/>
              </w:rPr>
              <w:br/>
              <w:t xml:space="preserve">14.5 Angazhimi i komunitetit dhe ndërgjegjësimi për riskun nga përmbytjet: Të angazhohen komunitetet vendore në menaxhimin e riskut nga përmbytjet duke rritur ndërgjegjësimin rreth masave të mbrojtjes nga përmbytjet, rëndësisë së restaurimit të brigjeve të lumenjve dhe rolit të ligatinave në zbutjen e përmbytjeve. Të inkurajohet pjesëmarrja vendore në veprimtaritë e mirëmbajtjes dhe restaurimit, duke i fuqizuar banorët që të marrin një rol aktiv në mbrojtjen e mjedisit të tyre. Dhe të hartohen plane specifike për evakuimin e popullsisë në </w:t>
            </w:r>
            <w:r w:rsidRPr="00622884">
              <w:rPr>
                <w:rFonts w:ascii="Garamond" w:eastAsia="SimSun" w:hAnsi="Garamond" w:cs="Times New Roman"/>
                <w:color w:val="1D3C5A"/>
                <w:sz w:val="10"/>
                <w:lang w:eastAsia="en-US" w:bidi="sq-AL"/>
              </w:rPr>
              <w:lastRenderedPageBreak/>
              <w:t>rast të risqeve klimatike ekstreme.</w:t>
            </w:r>
          </w:p>
          <w:p w14:paraId="03B7F676"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Calibri Light"/>
                <w:b/>
                <w:bCs/>
                <w:color w:val="1D3C5A"/>
                <w:sz w:val="10"/>
                <w:szCs w:val="16"/>
                <w:lang w:eastAsia="en-US"/>
              </w:rPr>
              <w:t>14.6 Rishikimi i standardeve të sigurisë dhe përcaktimi i përgjegjësive institucionale për mbrojtjen nga përmbytjet:</w:t>
            </w:r>
            <w:r w:rsidRPr="00622884">
              <w:rPr>
                <w:rFonts w:ascii="Garamond" w:eastAsia="SimSun" w:hAnsi="Garamond" w:cs="Calibri Light"/>
                <w:color w:val="1D3C5A"/>
                <w:sz w:val="10"/>
                <w:szCs w:val="16"/>
                <w:lang w:eastAsia="en-US"/>
              </w:rPr>
              <w:br/>
              <w:t>Të ndërmerret një proces gjithëpërfshirës për rishikimin e standardeve ekzistuese të projektimit dhe sigurisë së veprave të mbrojtjes nga përmbytjet, duke marrë në konsideratë kushtet aktuale dhe projeksionet e ndryshimeve klimatike, si dhe zhvendosjen e fokusit nga mbrojtja e tokave bujqësore drejt mbrojtjes së zonave të urbanizuara. Ky proces do të bazohet edhe në gjetjet dhe rekomandimet e studimeve ekzistuese (përfshirë studimin për 5 lumenjtë kryesorë) dhe praktikat e Bashkimit Evropian, si dhe do të synojë qartësimin dhe rishikimin e roleve dhe përgjegjësive institucionale në menaxhimin e riskut nga përmbytjet.</w:t>
            </w:r>
          </w:p>
          <w:p w14:paraId="4376B8DA"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Calibri Light"/>
                <w:color w:val="1D3C5A"/>
                <w:sz w:val="10"/>
                <w:szCs w:val="16"/>
                <w:lang w:eastAsia="en-US"/>
              </w:rPr>
              <w:t>14.7 Forcimi i koordinimit institucional dhe rishikimi i ndarjes së përgjegjësive për menaxhimin e përmbytjeve.</w:t>
            </w:r>
          </w:p>
        </w:tc>
        <w:tc>
          <w:tcPr>
            <w:tcW w:w="535" w:type="pct"/>
            <w:vAlign w:val="center"/>
          </w:tcPr>
          <w:p w14:paraId="3C9E5A12" w14:textId="77777777" w:rsidR="00622884" w:rsidRPr="00622884" w:rsidRDefault="00622884" w:rsidP="00622884">
            <w:pPr>
              <w:spacing w:after="0" w:line="240" w:lineRule="auto"/>
              <w:jc w:val="center"/>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lastRenderedPageBreak/>
              <w:t>ASH</w:t>
            </w:r>
          </w:p>
        </w:tc>
        <w:tc>
          <w:tcPr>
            <w:tcW w:w="938" w:type="pct"/>
            <w:vAlign w:val="center"/>
          </w:tcPr>
          <w:p w14:paraId="21F23B15"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1. Numri i kilometrave të brigjeve të lumenjve dhe argjinaturave të mbrojtjes nga përmbytjet të restauruara ose të riparuara në basenet ujore me përparësi.</w:t>
            </w:r>
            <w:r w:rsidRPr="00622884">
              <w:rPr>
                <w:rFonts w:ascii="Garamond" w:eastAsia="SimSun" w:hAnsi="Garamond" w:cs="Times New Roman"/>
                <w:color w:val="1D3C5A"/>
                <w:sz w:val="10"/>
                <w:lang w:eastAsia="en-US" w:bidi="sq-AL"/>
              </w:rPr>
              <w:br/>
              <w:t>2. Numri i zonave me rrezik nga përmbytjet të hartëzuara dhe të prioritizuara sipas modelimit hidrologjik dhe vlerësimit të riskut të përmbytjeve.</w:t>
            </w:r>
            <w:r w:rsidRPr="00622884">
              <w:rPr>
                <w:rFonts w:ascii="Garamond" w:eastAsia="SimSun" w:hAnsi="Garamond" w:cs="Times New Roman"/>
                <w:color w:val="1D3C5A"/>
                <w:sz w:val="10"/>
                <w:lang w:eastAsia="en-US" w:bidi="sq-AL"/>
              </w:rPr>
              <w:br/>
              <w:t>3. Numri i segmenteve të lumenjve të restauruar duke përdorur zgjidhje të bazuara në natyrë (p.sh., argjinatura me bimësi, zona buferike bregore) për kontrollin e erozionit dhe përmbytjeve.</w:t>
            </w:r>
            <w:r w:rsidRPr="00622884">
              <w:rPr>
                <w:rFonts w:ascii="Garamond" w:eastAsia="SimSun" w:hAnsi="Garamond" w:cs="Times New Roman"/>
                <w:color w:val="1D3C5A"/>
                <w:sz w:val="10"/>
                <w:lang w:eastAsia="en-US" w:bidi="sq-AL"/>
              </w:rPr>
              <w:br/>
              <w:t>4. Numri i sistemeve funksionale të paralajmërimit të hershëm dhe stacioneve të monitorimit të përmbytjeve të instaluara në basenet ujore të cenueshëm.</w:t>
            </w:r>
            <w:r w:rsidRPr="00622884">
              <w:rPr>
                <w:rFonts w:ascii="Garamond" w:eastAsia="SimSun" w:hAnsi="Garamond" w:cs="Times New Roman"/>
                <w:color w:val="1D3C5A"/>
                <w:sz w:val="10"/>
                <w:lang w:eastAsia="en-US" w:bidi="sq-AL"/>
              </w:rPr>
              <w:br/>
              <w:t>5. Numri i komuniteteve të arrira përmes fushatave të ndërgjegjësimit për riskun nga përmbytjet dhe veprimtaritë e angazhimit të komunitetit.</w:t>
            </w:r>
            <w:r w:rsidRPr="00622884">
              <w:rPr>
                <w:rFonts w:ascii="Garamond" w:eastAsia="SimSun" w:hAnsi="Garamond" w:cs="Times New Roman"/>
                <w:color w:val="1D3C5A"/>
                <w:sz w:val="10"/>
                <w:lang w:eastAsia="en-US" w:bidi="sq-AL"/>
              </w:rPr>
              <w:br/>
              <w:t>6. Numri i bashkive me plane të përditësuara të evakuimit nga përmbytjet dhe strategji të përgatitjes për përmbytjet me bazë komuniteti.</w:t>
            </w:r>
          </w:p>
          <w:p w14:paraId="64D16699"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7. Numri i planeve inxhinierike të projektuara dhe të përfunduara për restaurimin e brigjeve të lumenjve dhe digave të cenueshme</w:t>
            </w:r>
          </w:p>
        </w:tc>
        <w:tc>
          <w:tcPr>
            <w:tcW w:w="536" w:type="pct"/>
            <w:vAlign w:val="center"/>
          </w:tcPr>
          <w:p w14:paraId="5059F0D8"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Ministria e Mjedisit, Ministria e Bujqësisë dhe Zhvillimit Rural (MBZHR), IGJEUM dhe njësitë e qeverisjes vendore.</w:t>
            </w:r>
          </w:p>
        </w:tc>
        <w:tc>
          <w:tcPr>
            <w:tcW w:w="468" w:type="pct"/>
            <w:vAlign w:val="center"/>
          </w:tcPr>
          <w:p w14:paraId="25797293"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179.022.000</w:t>
            </w:r>
          </w:p>
        </w:tc>
      </w:tr>
      <w:tr w:rsidR="00622884" w:rsidRPr="00622884" w14:paraId="1A4E9741" w14:textId="77777777" w:rsidTr="00622884">
        <w:trPr>
          <w:trHeight w:val="567"/>
          <w:jc w:val="center"/>
        </w:trPr>
        <w:tc>
          <w:tcPr>
            <w:tcW w:w="245" w:type="pct"/>
            <w:vAlign w:val="center"/>
          </w:tcPr>
          <w:p w14:paraId="45C970EC" w14:textId="77777777" w:rsidR="00622884" w:rsidRPr="00622884" w:rsidRDefault="00622884" w:rsidP="00622884">
            <w:pPr>
              <w:spacing w:after="0" w:line="240" w:lineRule="auto"/>
              <w:jc w:val="center"/>
              <w:rPr>
                <w:rFonts w:ascii="Garamond" w:eastAsia="SimSun" w:hAnsi="Garamond" w:cs="Calibri Light"/>
                <w:b/>
                <w:bCs/>
                <w:color w:val="1D3C5A"/>
                <w:sz w:val="10"/>
                <w:szCs w:val="16"/>
                <w:lang w:eastAsia="en-US"/>
              </w:rPr>
            </w:pPr>
            <w:r w:rsidRPr="00622884">
              <w:rPr>
                <w:rFonts w:ascii="Garamond" w:eastAsia="SimSun" w:hAnsi="Garamond" w:cs="Times New Roman"/>
                <w:b/>
                <w:color w:val="1D3C5A"/>
                <w:sz w:val="10"/>
                <w:lang w:eastAsia="en-US" w:bidi="sq-AL"/>
              </w:rPr>
              <w:t>15</w:t>
            </w:r>
          </w:p>
        </w:tc>
        <w:tc>
          <w:tcPr>
            <w:tcW w:w="373" w:type="pct"/>
            <w:vAlign w:val="center"/>
          </w:tcPr>
          <w:p w14:paraId="5BFDE8EC"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Bujqësia</w:t>
            </w:r>
          </w:p>
        </w:tc>
        <w:tc>
          <w:tcPr>
            <w:tcW w:w="389" w:type="pct"/>
            <w:vAlign w:val="center"/>
          </w:tcPr>
          <w:p w14:paraId="36DD81BF" w14:textId="77777777" w:rsidR="00622884" w:rsidRPr="00622884" w:rsidRDefault="00622884" w:rsidP="00622884">
            <w:pPr>
              <w:spacing w:after="0" w:line="240" w:lineRule="auto"/>
              <w:jc w:val="left"/>
              <w:rPr>
                <w:rFonts w:ascii="Garamond" w:eastAsia="SimSun" w:hAnsi="Garamond" w:cs="Calibri Light"/>
                <w:color w:val="1D3C5A"/>
                <w:sz w:val="10"/>
                <w:szCs w:val="16"/>
                <w:u w:val="single"/>
                <w:lang w:eastAsia="en-US"/>
              </w:rPr>
            </w:pPr>
            <w:r w:rsidRPr="00622884">
              <w:rPr>
                <w:rFonts w:ascii="Garamond" w:eastAsia="SimSun" w:hAnsi="Garamond" w:cs="Times New Roman"/>
                <w:color w:val="1D3C5A"/>
                <w:sz w:val="10"/>
                <w:lang w:eastAsia="en-US" w:bidi="sq-AL"/>
              </w:rPr>
              <w:t>Zbatimi i krijimit të habitatit dhe zgjidhjeve të bazuara në natyrë për të luftuar erozionin e tokës</w:t>
            </w:r>
          </w:p>
        </w:tc>
        <w:tc>
          <w:tcPr>
            <w:tcW w:w="387" w:type="pct"/>
            <w:vAlign w:val="center"/>
          </w:tcPr>
          <w:p w14:paraId="6AC75852"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Ndërhyrja e gjelbër</w:t>
            </w:r>
          </w:p>
        </w:tc>
        <w:tc>
          <w:tcPr>
            <w:tcW w:w="1129" w:type="pct"/>
            <w:vAlign w:val="center"/>
          </w:tcPr>
          <w:p w14:paraId="7C943D1E"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15.1 Identifikoni dhe hartëzoni zonat me rrezik nga erozioni në zonat e synuara. Kryeni analiza gjeohapësinore dhe studime në terren për të hartëzuar zonat e prirura ndaj erozionit, krahasuar me vlerësimin e riskut klimatik për të identifikuar zonat me risk të lartë dhe për të përcaktuar ndërhyrjet në përputhje me strategjitë vendore të përshtatjes.</w:t>
            </w:r>
            <w:r w:rsidRPr="00622884">
              <w:rPr>
                <w:rFonts w:ascii="Garamond" w:eastAsia="SimSun" w:hAnsi="Garamond" w:cs="Times New Roman"/>
                <w:color w:val="1D3C5A"/>
                <w:sz w:val="10"/>
                <w:lang w:eastAsia="en-US" w:bidi="sq-AL"/>
              </w:rPr>
              <w:br/>
              <w:t>15.2 Të përcaktohen zonat buferike bimore dhe të restaurohen barrierat natyrore duke mbjellë barëra, shkurre dhe pemë vendase përgjatë brigjeve të lumenjve, shpateve të kodrave dhe tokave bujqësore për të stabilizuar tokën dhe për të reduktuar humbjen e sedimenteve.</w:t>
            </w:r>
            <w:r w:rsidRPr="00622884">
              <w:rPr>
                <w:rFonts w:ascii="Garamond" w:eastAsia="SimSun" w:hAnsi="Garamond" w:cs="Times New Roman"/>
                <w:color w:val="1D3C5A"/>
                <w:sz w:val="10"/>
                <w:lang w:eastAsia="en-US" w:bidi="sq-AL"/>
              </w:rPr>
              <w:br/>
              <w:t xml:space="preserve">15.3 Të përdoret agropylltaria dhe menaxhimi i qëndrueshëm i tokës për stabilizimin e saj, duke aplikuar sisteme agropylltarie, duke përdorur kultura shumëvjeçare vendase dhe metoda të ndërkulturimit për të parandaluar varfërimin e tokës, si dhe duke promovuar teknikat e bujqësisë rigjeneruese. </w:t>
            </w:r>
            <w:r w:rsidRPr="00622884">
              <w:rPr>
                <w:rFonts w:ascii="Garamond" w:eastAsia="SimSun" w:hAnsi="Garamond" w:cs="Times New Roman"/>
                <w:color w:val="1D3C5A"/>
                <w:sz w:val="10"/>
                <w:lang w:eastAsia="en-US" w:bidi="sq-AL"/>
              </w:rPr>
              <w:br/>
              <w:t>15.4 Të përdoret bioinxhinieria e tokës dhe infrastruktura e gjelbër për stabilizimin e shpateve, duke përfshirë: përforcimin e shpateve të pjerrëta përmes zgjidhjeve bioinxhinierike, përdorimin e gjeotekstileve dhe mbulesave të kontrollit të erozionit të biodegradueshme dhe shfrytëzimin e specieve vendase me rrënjë të thella për të siguruar ankorimin natyror.</w:t>
            </w:r>
            <w:r w:rsidRPr="00622884">
              <w:rPr>
                <w:rFonts w:ascii="Garamond" w:eastAsia="SimSun" w:hAnsi="Garamond" w:cs="Times New Roman"/>
                <w:color w:val="1D3C5A"/>
                <w:sz w:val="10"/>
                <w:lang w:eastAsia="en-US" w:bidi="sq-AL"/>
              </w:rPr>
              <w:br/>
              <w:t xml:space="preserve">15.5 Të promovohen programet e ripyllëzimit dhe ruajtjes së tokës të udhëhequra nga komuniteti për të angazhuar aktivisht fermerët, grupet indigjene dhe organizatat vendore në përpjekjet e restaurimit të tokës, duke përfshirë ngritjen e kapaciteteve. </w:t>
            </w:r>
          </w:p>
        </w:tc>
        <w:tc>
          <w:tcPr>
            <w:tcW w:w="535" w:type="pct"/>
            <w:vAlign w:val="center"/>
          </w:tcPr>
          <w:p w14:paraId="5DF9A780" w14:textId="77777777" w:rsidR="00622884" w:rsidRPr="00622884" w:rsidRDefault="00622884" w:rsidP="00622884">
            <w:pPr>
              <w:spacing w:after="0" w:line="240" w:lineRule="auto"/>
              <w:jc w:val="center"/>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ASH</w:t>
            </w:r>
          </w:p>
        </w:tc>
        <w:tc>
          <w:tcPr>
            <w:tcW w:w="938" w:type="pct"/>
            <w:vAlign w:val="center"/>
          </w:tcPr>
          <w:p w14:paraId="4D9BC03A"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1. Numri i zonave me rrezik nga erozioni të identifikuara dhe të hartëzuara duke përdorur vlerësimet gjeohapësinore dhe ato në terren.</w:t>
            </w:r>
            <w:r w:rsidRPr="00622884">
              <w:rPr>
                <w:rFonts w:ascii="Garamond" w:eastAsia="SimSun" w:hAnsi="Garamond" w:cs="Times New Roman"/>
                <w:color w:val="1D3C5A"/>
                <w:sz w:val="10"/>
                <w:lang w:eastAsia="en-US" w:bidi="sq-AL"/>
              </w:rPr>
              <w:br/>
              <w:t xml:space="preserve">2. Numri i hektarëve të restauruar nëpërmjet zonave buferike bimore dhe barrierave natyrore kundër erozionit duke përdorur specie bimore vendase. </w:t>
            </w:r>
            <w:r w:rsidRPr="00622884">
              <w:rPr>
                <w:rFonts w:ascii="Garamond" w:eastAsia="SimSun" w:hAnsi="Garamond" w:cs="Times New Roman"/>
                <w:color w:val="1D3C5A"/>
                <w:sz w:val="10"/>
                <w:lang w:eastAsia="en-US" w:bidi="sq-AL"/>
              </w:rPr>
              <w:br/>
              <w:t>3. Numri i hektarëve të tokave të vendosura nën sistemet e menaxhimit të agropylltarisë ose rigjenerimit në zonat me rrezik nga erozioni.</w:t>
            </w:r>
            <w:r w:rsidRPr="00622884">
              <w:rPr>
                <w:rFonts w:ascii="Garamond" w:eastAsia="SimSun" w:hAnsi="Garamond" w:cs="Times New Roman"/>
                <w:color w:val="1D3C5A"/>
                <w:sz w:val="10"/>
                <w:lang w:eastAsia="en-US" w:bidi="sq-AL"/>
              </w:rPr>
              <w:br/>
              <w:t>4. Numri i ndërhyrjeve për stabilizimin e shpateve të zbatuara duke përdorur bioinxhinierinë e tokës dhe teknikat e infrastrukturës së gjelbër.</w:t>
            </w:r>
            <w:r w:rsidRPr="00622884">
              <w:rPr>
                <w:rFonts w:ascii="Garamond" w:eastAsia="SimSun" w:hAnsi="Garamond" w:cs="Times New Roman"/>
                <w:color w:val="1D3C5A"/>
                <w:sz w:val="10"/>
                <w:lang w:eastAsia="en-US" w:bidi="sq-AL"/>
              </w:rPr>
              <w:br/>
              <w:t>5. Ulja e përqindjes së erozionit të tokës ose shkallës së sedimentimit në zonat e trajtuara.</w:t>
            </w:r>
            <w:r w:rsidRPr="00622884">
              <w:rPr>
                <w:rFonts w:ascii="Garamond" w:eastAsia="SimSun" w:hAnsi="Garamond" w:cs="Times New Roman"/>
                <w:color w:val="1D3C5A"/>
                <w:sz w:val="10"/>
                <w:lang w:eastAsia="en-US" w:bidi="sq-AL"/>
              </w:rPr>
              <w:br/>
              <w:t>6. Numri i anëtarëve të komunitetit (p.sh., fermerëve, grupeve indigjene) të trajnuar ose angazhuar në nismat e ripyllëzimit dhe konservimit.</w:t>
            </w:r>
            <w:r w:rsidRPr="00622884">
              <w:rPr>
                <w:rFonts w:ascii="Garamond" w:eastAsia="SimSun" w:hAnsi="Garamond" w:cs="Times New Roman"/>
                <w:color w:val="1D3C5A"/>
                <w:sz w:val="10"/>
                <w:lang w:eastAsia="en-US" w:bidi="sq-AL"/>
              </w:rPr>
              <w:br/>
              <w:t>7. Numri i planeve vendore të përshtatjes ose planeve të përdorimit të tokës që integrojnë masa të kontrollit të erozionit të bazuara në natyrë.</w:t>
            </w:r>
          </w:p>
        </w:tc>
        <w:tc>
          <w:tcPr>
            <w:tcW w:w="536" w:type="pct"/>
            <w:vAlign w:val="center"/>
          </w:tcPr>
          <w:p w14:paraId="6B2A4C08"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Ministria e Bujqësisë dhe Zhvillimit Rural (MBZHR)</w:t>
            </w:r>
          </w:p>
        </w:tc>
        <w:tc>
          <w:tcPr>
            <w:tcW w:w="468" w:type="pct"/>
            <w:vAlign w:val="center"/>
          </w:tcPr>
          <w:p w14:paraId="50B3BC60"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41.787.500</w:t>
            </w:r>
          </w:p>
        </w:tc>
      </w:tr>
      <w:tr w:rsidR="00622884" w:rsidRPr="00622884" w14:paraId="0CA99A83" w14:textId="77777777" w:rsidTr="00622884">
        <w:trPr>
          <w:trHeight w:val="567"/>
          <w:jc w:val="center"/>
        </w:trPr>
        <w:tc>
          <w:tcPr>
            <w:tcW w:w="245" w:type="pct"/>
            <w:vAlign w:val="center"/>
          </w:tcPr>
          <w:p w14:paraId="540D4D10" w14:textId="77777777" w:rsidR="00622884" w:rsidRPr="00622884" w:rsidRDefault="00622884" w:rsidP="00622884">
            <w:pPr>
              <w:spacing w:after="0" w:line="240" w:lineRule="auto"/>
              <w:jc w:val="center"/>
              <w:rPr>
                <w:rFonts w:ascii="Garamond" w:eastAsia="SimSun" w:hAnsi="Garamond" w:cs="Calibri Light"/>
                <w:b/>
                <w:bCs/>
                <w:color w:val="1D3C5A"/>
                <w:sz w:val="10"/>
                <w:szCs w:val="16"/>
                <w:lang w:eastAsia="en-US"/>
              </w:rPr>
            </w:pPr>
            <w:r w:rsidRPr="00622884">
              <w:rPr>
                <w:rFonts w:ascii="Garamond" w:eastAsia="SimSun" w:hAnsi="Garamond" w:cs="Times New Roman"/>
                <w:b/>
                <w:color w:val="1D3C5A"/>
                <w:sz w:val="10"/>
                <w:lang w:eastAsia="en-US" w:bidi="sq-AL"/>
              </w:rPr>
              <w:t>16</w:t>
            </w:r>
          </w:p>
        </w:tc>
        <w:tc>
          <w:tcPr>
            <w:tcW w:w="373" w:type="pct"/>
            <w:vAlign w:val="center"/>
          </w:tcPr>
          <w:p w14:paraId="1D523E59"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Bujqësia</w:t>
            </w:r>
          </w:p>
        </w:tc>
        <w:tc>
          <w:tcPr>
            <w:tcW w:w="389" w:type="pct"/>
            <w:vAlign w:val="center"/>
          </w:tcPr>
          <w:p w14:paraId="772EA682" w14:textId="77777777" w:rsidR="00622884" w:rsidRPr="00622884" w:rsidRDefault="00622884" w:rsidP="00622884">
            <w:pPr>
              <w:spacing w:after="0" w:line="240" w:lineRule="auto"/>
              <w:jc w:val="left"/>
              <w:rPr>
                <w:rFonts w:ascii="Garamond" w:eastAsia="SimSun" w:hAnsi="Garamond" w:cs="Calibri Light"/>
                <w:color w:val="1D3C5A"/>
                <w:sz w:val="10"/>
                <w:szCs w:val="16"/>
                <w:u w:val="single"/>
                <w:lang w:eastAsia="en-US"/>
              </w:rPr>
            </w:pPr>
            <w:r w:rsidRPr="00622884">
              <w:rPr>
                <w:rFonts w:ascii="Garamond" w:eastAsia="SimSun" w:hAnsi="Garamond" w:cs="Times New Roman"/>
                <w:color w:val="1D3C5A"/>
                <w:sz w:val="10"/>
                <w:lang w:eastAsia="en-US" w:bidi="sq-AL"/>
              </w:rPr>
              <w:t xml:space="preserve">Rritja e kapaciteteve të IGJEO-s (Institutit të Gjeoshkencave) për monitorimin bregdetar dhe ofrimin e të dhënave mbi ndryshimet dhe risqet mjedisore </w:t>
            </w:r>
          </w:p>
        </w:tc>
        <w:tc>
          <w:tcPr>
            <w:tcW w:w="387" w:type="pct"/>
            <w:vAlign w:val="center"/>
          </w:tcPr>
          <w:p w14:paraId="53B6C2AF"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Ndërhyrja e butë</w:t>
            </w:r>
            <w:r w:rsidRPr="00622884">
              <w:rPr>
                <w:rFonts w:ascii="Garamond" w:eastAsia="SimSun" w:hAnsi="Garamond" w:cs="Times New Roman"/>
                <w:b/>
                <w:color w:val="1D3C5A"/>
                <w:sz w:val="10"/>
                <w:lang w:eastAsia="en-US" w:bidi="sq-AL"/>
              </w:rPr>
              <w:t>:</w:t>
            </w:r>
          </w:p>
        </w:tc>
        <w:tc>
          <w:tcPr>
            <w:tcW w:w="1129" w:type="pct"/>
            <w:vAlign w:val="center"/>
          </w:tcPr>
          <w:p w14:paraId="25579E59"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16.1 Të kryhet një vlerësim i nevojave të kapaciteteve të IGJEO-s për të identifikuar mangësitë teknike, njerëzore dhe institucionale që lidhen me monitorimin mjedisor dhe monitorimin e zonave bregdetare.</w:t>
            </w:r>
          </w:p>
          <w:p w14:paraId="2D628FF4"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16.2 Të përmirësohet infrastruktura dhe pajisjet teknike për të mbështetur mbledhjen e të dhënave në kohë reale mbi erozionin bregdetar, depërtimin e ujërave të kripura, cilësinë e ujërave nëntokësore dhe mbulesën bimore në zonat bregdetare të cenueshme.</w:t>
            </w:r>
            <w:r w:rsidRPr="00622884">
              <w:rPr>
                <w:rFonts w:ascii="Garamond" w:eastAsia="SimSun" w:hAnsi="Garamond" w:cs="Times New Roman"/>
                <w:color w:val="1D3C5A"/>
                <w:sz w:val="10"/>
                <w:lang w:eastAsia="en-US" w:bidi="sq-AL"/>
              </w:rPr>
              <w:br/>
              <w:t>16.3 Të zhvillohen dhe zbatohen protokolle të standardizuara monitorimi për të siguruar saktësinë, qëndrueshmërinë dhe krahasueshmërinë e të dhënave në të gjitha zonat bregdetare.</w:t>
            </w:r>
            <w:r w:rsidRPr="00622884">
              <w:rPr>
                <w:rFonts w:ascii="Garamond" w:eastAsia="SimSun" w:hAnsi="Garamond" w:cs="Times New Roman"/>
                <w:color w:val="1D3C5A"/>
                <w:sz w:val="10"/>
                <w:lang w:eastAsia="en-US" w:bidi="sq-AL"/>
              </w:rPr>
              <w:br/>
              <w:t>16.4 Të ofrohen programe trajnimi të synuara për stafin dhe partnerët e IGJEO-s mbi metodologjitë e mbledhjes së të dhënave, teledeteksionin dhe sistemet e menaxhimit të të dhënave që lidhen me ndikimet klimatike në ekosistemet bregdetare.</w:t>
            </w:r>
          </w:p>
        </w:tc>
        <w:tc>
          <w:tcPr>
            <w:tcW w:w="535" w:type="pct"/>
            <w:vAlign w:val="center"/>
          </w:tcPr>
          <w:p w14:paraId="39395264" w14:textId="77777777" w:rsidR="00622884" w:rsidRPr="00622884" w:rsidRDefault="00622884" w:rsidP="00622884">
            <w:pPr>
              <w:spacing w:after="0" w:line="240" w:lineRule="auto"/>
              <w:jc w:val="center"/>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ASH</w:t>
            </w:r>
          </w:p>
        </w:tc>
        <w:tc>
          <w:tcPr>
            <w:tcW w:w="938" w:type="pct"/>
            <w:vAlign w:val="center"/>
          </w:tcPr>
          <w:p w14:paraId="671A9C7E"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1. Ekzistenca e një raporti të përfunduar dhe të verifikuar zyrtarisht për vlerësimin e nevojave të kapacitetit për IGJEO-n (Po/Jo).</w:t>
            </w:r>
            <w:r w:rsidRPr="00622884">
              <w:rPr>
                <w:rFonts w:ascii="Garamond" w:eastAsia="SimSun" w:hAnsi="Garamond" w:cs="Times New Roman"/>
                <w:color w:val="1D3C5A"/>
                <w:sz w:val="10"/>
                <w:lang w:eastAsia="en-US" w:bidi="sq-AL"/>
              </w:rPr>
              <w:br/>
              <w:t>2. Përqindja e progresit në krijimin e një sistemi operativ të monitorimit bregdetar dhe mjedisor pranë IGJEO-s, ku përfshihet përmirësimi i infrastrukturës, protokollet e standardizuara dhe trajnimi i stafit (%).</w:t>
            </w:r>
          </w:p>
        </w:tc>
        <w:tc>
          <w:tcPr>
            <w:tcW w:w="536" w:type="pct"/>
            <w:vAlign w:val="center"/>
          </w:tcPr>
          <w:p w14:paraId="02F289A2"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 xml:space="preserve">Ministria e </w:t>
            </w:r>
            <w:r w:rsidRPr="00622884">
              <w:rPr>
                <w:rFonts w:ascii="Garamond" w:eastAsia="SimSun" w:hAnsi="Garamond" w:cs="Calibri Light"/>
                <w:color w:val="1D3C5A"/>
                <w:sz w:val="10"/>
                <w:szCs w:val="16"/>
                <w:lang w:eastAsia="en-US"/>
              </w:rPr>
              <w:t>Mjedisit</w:t>
            </w:r>
          </w:p>
        </w:tc>
        <w:tc>
          <w:tcPr>
            <w:tcW w:w="468" w:type="pct"/>
            <w:vAlign w:val="center"/>
          </w:tcPr>
          <w:p w14:paraId="2D96C8FF"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322.200</w:t>
            </w:r>
          </w:p>
        </w:tc>
      </w:tr>
      <w:tr w:rsidR="00622884" w:rsidRPr="00622884" w14:paraId="751F5FEA" w14:textId="77777777" w:rsidTr="00622884">
        <w:trPr>
          <w:trHeight w:val="567"/>
          <w:jc w:val="center"/>
        </w:trPr>
        <w:tc>
          <w:tcPr>
            <w:tcW w:w="245" w:type="pct"/>
            <w:vAlign w:val="center"/>
          </w:tcPr>
          <w:p w14:paraId="61993CB9" w14:textId="77777777" w:rsidR="00622884" w:rsidRPr="00622884" w:rsidRDefault="00622884" w:rsidP="00622884">
            <w:pPr>
              <w:spacing w:after="0" w:line="240" w:lineRule="auto"/>
              <w:jc w:val="center"/>
              <w:rPr>
                <w:rFonts w:ascii="Garamond" w:eastAsia="SimSun" w:hAnsi="Garamond" w:cs="Calibri Light"/>
                <w:b/>
                <w:bCs/>
                <w:color w:val="1D3C5A"/>
                <w:sz w:val="10"/>
                <w:szCs w:val="16"/>
                <w:lang w:eastAsia="en-US"/>
              </w:rPr>
            </w:pPr>
            <w:r w:rsidRPr="00622884">
              <w:rPr>
                <w:rFonts w:ascii="Garamond" w:eastAsia="SimSun" w:hAnsi="Garamond" w:cs="Times New Roman"/>
                <w:b/>
                <w:color w:val="1D3C5A"/>
                <w:sz w:val="10"/>
                <w:lang w:eastAsia="en-US" w:bidi="sq-AL"/>
              </w:rPr>
              <w:t>17</w:t>
            </w:r>
          </w:p>
        </w:tc>
        <w:tc>
          <w:tcPr>
            <w:tcW w:w="373" w:type="pct"/>
            <w:vAlign w:val="center"/>
          </w:tcPr>
          <w:p w14:paraId="4EBB7AB2"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Bujqësia</w:t>
            </w:r>
          </w:p>
        </w:tc>
        <w:tc>
          <w:tcPr>
            <w:tcW w:w="389" w:type="pct"/>
            <w:vAlign w:val="center"/>
          </w:tcPr>
          <w:p w14:paraId="095ED150" w14:textId="77777777" w:rsidR="00622884" w:rsidRPr="00622884" w:rsidRDefault="00622884" w:rsidP="00622884">
            <w:pPr>
              <w:spacing w:after="0" w:line="240" w:lineRule="auto"/>
              <w:jc w:val="left"/>
              <w:rPr>
                <w:rFonts w:ascii="Garamond" w:eastAsia="SimSun" w:hAnsi="Garamond" w:cs="Calibri Light"/>
                <w:color w:val="1D3C5A"/>
                <w:sz w:val="10"/>
                <w:szCs w:val="16"/>
                <w:u w:val="single"/>
                <w:lang w:eastAsia="en-US"/>
              </w:rPr>
            </w:pPr>
            <w:r w:rsidRPr="00622884">
              <w:rPr>
                <w:rFonts w:ascii="Garamond" w:eastAsia="SimSun" w:hAnsi="Garamond" w:cs="Times New Roman"/>
                <w:color w:val="1D3C5A"/>
                <w:sz w:val="10"/>
                <w:lang w:eastAsia="en-US" w:bidi="sq-AL"/>
              </w:rPr>
              <w:t>Zgjerimi dhe modernizimi i sistemeve të ujitjes për përmirësimin e aftësive ripërtëritëse në bujqësi</w:t>
            </w:r>
          </w:p>
        </w:tc>
        <w:tc>
          <w:tcPr>
            <w:tcW w:w="387" w:type="pct"/>
            <w:vAlign w:val="center"/>
          </w:tcPr>
          <w:p w14:paraId="1590AAF4"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Ndërhyrja gri</w:t>
            </w:r>
          </w:p>
        </w:tc>
        <w:tc>
          <w:tcPr>
            <w:tcW w:w="1129" w:type="pct"/>
            <w:vAlign w:val="center"/>
          </w:tcPr>
          <w:p w14:paraId="69FB11A7" w14:textId="77777777" w:rsidR="00622884" w:rsidRPr="00622884" w:rsidRDefault="00622884" w:rsidP="00622884">
            <w:pPr>
              <w:spacing w:after="0" w:line="240" w:lineRule="auto"/>
              <w:jc w:val="left"/>
              <w:rPr>
                <w:rFonts w:ascii="Garamond" w:eastAsia="SimSun" w:hAnsi="Garamond" w:cs="Times New Roman"/>
                <w:color w:val="1D3C5A"/>
                <w:sz w:val="10"/>
                <w:lang w:eastAsia="en-US" w:bidi="sq-AL"/>
              </w:rPr>
            </w:pPr>
            <w:r w:rsidRPr="00622884">
              <w:rPr>
                <w:rFonts w:ascii="Garamond" w:eastAsia="SimSun" w:hAnsi="Garamond" w:cs="Times New Roman"/>
                <w:color w:val="1D3C5A"/>
                <w:sz w:val="10"/>
                <w:lang w:eastAsia="en-US" w:bidi="sq-AL"/>
              </w:rPr>
              <w:t>17.1 Të hartëzohen dhe identifikohen sistemet ekzistuese të ujitjes dhe statusi i tyre: Të zhvillohet një hartë specifike dhe/ose një listë të qartë e secilit sistem ekzistues të ujitjes dhe statusit të tij, të ndjekur nga një listë e zonave ku nevojitet sisteme të reja dhe studime fizibiliteti.</w:t>
            </w:r>
            <w:r w:rsidRPr="00622884">
              <w:rPr>
                <w:rFonts w:ascii="Garamond" w:eastAsia="SimSun" w:hAnsi="Garamond" w:cs="Times New Roman"/>
                <w:color w:val="1D3C5A"/>
                <w:sz w:val="10"/>
                <w:lang w:eastAsia="en-US" w:bidi="sq-AL"/>
              </w:rPr>
              <w:br/>
              <w:t>17.2 Ndërtimi i sistemeve të reja të ujitjes: Të zhvillohen dhe ndërtohen sisteme të reja të ujitjes në rajonet kryesore bujqësore, duke u përqendruar në zgjerimin e mbulimit të ujitjes në 360.000 hektarë. Të prioritizohet instalimi i teknologjive moderne të ujitjes, siç janë sistemet e ujitjes me pika dhe me spërkatje, për të përmirësuar eficiencën e ujit dhe për të siguruar prodhimin e të korrave gjatë gjithë vitit. Fushat kryesore të fokusit përfshijnë Durrësin, Elbasanin, Gjirokastrën, Kukësin dhe Vlorën.</w:t>
            </w:r>
            <w:r w:rsidRPr="00622884">
              <w:rPr>
                <w:rFonts w:ascii="Garamond" w:eastAsia="SimSun" w:hAnsi="Garamond" w:cs="Times New Roman"/>
                <w:color w:val="1D3C5A"/>
                <w:sz w:val="10"/>
                <w:lang w:eastAsia="en-US" w:bidi="sq-AL"/>
              </w:rPr>
              <w:br/>
              <w:t>17.3 Rehabilitimi i infrastrukturës ekzistuese të ujitjes deri në 240,000 hektarë: Të ndërmerret rehabilitimi dhe përmirësimi i sistemeve ekzistuese të ujitjes, duke përfshirë riparimin e infrastrukturës së vjetruar, siç janë kanalet, tubat dhe stacionet e pompimit. Vëmendje e veçantë do t’i kushtohet rehabilitimit të rezervuarëve të ujit dhe digave të dëmtuara në zona të tilla si Përmeti, duke siguruar një furnizim të besueshëm dhe të qëndrueshëm me ujë për bujqësinë.</w:t>
            </w:r>
            <w:r w:rsidRPr="00622884">
              <w:rPr>
                <w:rFonts w:ascii="Garamond" w:eastAsia="SimSun" w:hAnsi="Garamond" w:cs="Times New Roman"/>
                <w:color w:val="1D3C5A"/>
                <w:sz w:val="10"/>
                <w:lang w:eastAsia="en-US" w:bidi="sq-AL"/>
              </w:rPr>
              <w:br/>
              <w:t>17.4 Zhvillimi i praktikave të qëndrueshme të menaxhimit të ujit: Të promovohet miratimi i praktikave të qëndrueshme të menaxhimit të ujit në rajonet bujqësore, duke përfshirë përdorimin e teknologjive inteligjente të ujitjes dhe menaxhimin efikas të burimeve ujore. Të trajnohen fermerët në teknikat e ruajtjes së ujit dhe përdorimin efikas të sistemeve të ujitjes për të maksimizuar produktivitetin duke minimizuar humbjet e ujit.</w:t>
            </w:r>
            <w:r w:rsidRPr="00622884">
              <w:rPr>
                <w:rFonts w:ascii="Garamond" w:eastAsia="SimSun" w:hAnsi="Garamond" w:cs="Times New Roman"/>
                <w:color w:val="1D3C5A"/>
                <w:sz w:val="10"/>
                <w:lang w:eastAsia="en-US" w:bidi="sq-AL"/>
              </w:rPr>
              <w:br/>
              <w:t>17.5 Monitorimi dhe mirëmbajtja e sistemeve të kullimit: Të zbatohet një program i rregullt monitorimi dhe mirëmbajtjeje për të siguruar funksionimin e vazhdueshëm të sistemeve të ujitjes. Këtu do të përfshihen inspektime të planifikuara të të gjithë infrastrukturës, riparimi i çdo dëmtimi dhe garantimin që shpërndarja e ujit të jetë efikase. Po ashtu, programi do të monitorojë performancën e sistemeve të ujitjes në rritjen e produktivitetit bujqësor.</w:t>
            </w:r>
          </w:p>
          <w:p w14:paraId="5FE12AA7"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Calibri Light"/>
                <w:b/>
                <w:bCs/>
                <w:color w:val="1D3C5A"/>
                <w:sz w:val="10"/>
                <w:szCs w:val="16"/>
                <w:lang w:eastAsia="en-US"/>
              </w:rPr>
              <w:t>17.6 Zhvillimi i sistemeve të parashikimit dhe planifikimit të kërkesës për ujë për ujitje:</w:t>
            </w:r>
            <w:r w:rsidRPr="00622884">
              <w:rPr>
                <w:rFonts w:ascii="Garamond" w:eastAsia="SimSun" w:hAnsi="Garamond" w:cs="Calibri Light"/>
                <w:color w:val="1D3C5A"/>
                <w:sz w:val="10"/>
                <w:szCs w:val="16"/>
                <w:lang w:eastAsia="en-US"/>
              </w:rPr>
              <w:br/>
              <w:t xml:space="preserve">Të zhvillohen dhe përdoren modele dhe simulime kompjuterike për parashikimin e nevojave për ujë për ujitje në nivel kombëtar dhe rajonal, duke integruar skenarët e ndryshimeve klimatike dhe trendet e zhvillimit të sektorit bujqësor. Rezultatet e këtyre analizave do të përdoren për planifikimin e investimeve në </w:t>
            </w:r>
            <w:r w:rsidRPr="00622884">
              <w:rPr>
                <w:rFonts w:ascii="Garamond" w:eastAsia="SimSun" w:hAnsi="Garamond" w:cs="Calibri Light"/>
                <w:color w:val="1D3C5A"/>
                <w:sz w:val="10"/>
                <w:szCs w:val="16"/>
                <w:lang w:eastAsia="en-US"/>
              </w:rPr>
              <w:lastRenderedPageBreak/>
              <w:t>infrastrukturën ujore (përfshirë rezervuarët e rinj dhe rehabilitimin e atyre ekzistues) dhe për orientimin strategjik të politikave të menaxhimit të burimeve ujore.</w:t>
            </w:r>
          </w:p>
          <w:p w14:paraId="5C2E3397"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Calibri Light"/>
                <w:b/>
                <w:bCs/>
                <w:color w:val="1D3C5A"/>
                <w:sz w:val="10"/>
                <w:szCs w:val="16"/>
                <w:lang w:eastAsia="en-US"/>
              </w:rPr>
              <w:t>17.7 Rishikimi dhe përmirësimi i standardeve të sigurisë dhe projektimit për sistemet e kullimit:</w:t>
            </w:r>
            <w:r w:rsidRPr="00622884">
              <w:rPr>
                <w:rFonts w:ascii="Garamond" w:eastAsia="SimSun" w:hAnsi="Garamond" w:cs="Calibri Light"/>
                <w:color w:val="1D3C5A"/>
                <w:sz w:val="10"/>
                <w:szCs w:val="16"/>
                <w:lang w:eastAsia="en-US"/>
              </w:rPr>
              <w:br/>
              <w:t>Të kryhet një vlerësim i plotë teknik i sistemeve ekzistuese të kullimit (me gravitet dhe me stacione pompimi), të ndërtuara sipas standardeve historike, dhe të rishikohen parametrat e projektimit dhe nivelet e sigurisë në përputhje me kushtet aktuale dhe projeksionet e ndryshimeve klimatike.</w:t>
            </w:r>
          </w:p>
        </w:tc>
        <w:tc>
          <w:tcPr>
            <w:tcW w:w="535" w:type="pct"/>
            <w:vAlign w:val="center"/>
          </w:tcPr>
          <w:p w14:paraId="737E0969" w14:textId="77777777" w:rsidR="00622884" w:rsidRPr="00622884" w:rsidRDefault="00622884" w:rsidP="00622884">
            <w:pPr>
              <w:spacing w:after="0" w:line="240" w:lineRule="auto"/>
              <w:jc w:val="center"/>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lastRenderedPageBreak/>
              <w:t>ASH</w:t>
            </w:r>
          </w:p>
        </w:tc>
        <w:tc>
          <w:tcPr>
            <w:tcW w:w="938" w:type="pct"/>
            <w:vAlign w:val="center"/>
          </w:tcPr>
          <w:p w14:paraId="453BEE04"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1. Numri i sistemeve të reja të ujitjes të ndërtuara dhe i sistemeve ekzistuese të ujitjes të rehabilituara.</w:t>
            </w:r>
            <w:r w:rsidRPr="00622884">
              <w:rPr>
                <w:rFonts w:ascii="Garamond" w:eastAsia="SimSun" w:hAnsi="Garamond" w:cs="Times New Roman"/>
                <w:color w:val="1D3C5A"/>
                <w:sz w:val="10"/>
                <w:lang w:eastAsia="en-US" w:bidi="sq-AL"/>
              </w:rPr>
              <w:br/>
              <w:t>2. Sipërfaqja totale e ujitjes (ha) u zgjerua (objektivi: nga 230.000 në 360.000 ha).</w:t>
            </w:r>
            <w:r w:rsidRPr="00622884">
              <w:rPr>
                <w:rFonts w:ascii="Garamond" w:eastAsia="SimSun" w:hAnsi="Garamond" w:cs="Times New Roman"/>
                <w:color w:val="1D3C5A"/>
                <w:sz w:val="10"/>
                <w:lang w:eastAsia="en-US" w:bidi="sq-AL"/>
              </w:rPr>
              <w:br/>
              <w:t>3. Përqindja e sistemeve të ujitjes që janë nën monitorim dhe ndjekin programe të rregullta mirëmbajtjeje (%)</w:t>
            </w:r>
          </w:p>
        </w:tc>
        <w:tc>
          <w:tcPr>
            <w:tcW w:w="536" w:type="pct"/>
            <w:vAlign w:val="center"/>
          </w:tcPr>
          <w:p w14:paraId="2726E672"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Ministria e Bujqësisë dhe Zhvillimit Rural (MBZHR)</w:t>
            </w:r>
          </w:p>
        </w:tc>
        <w:tc>
          <w:tcPr>
            <w:tcW w:w="468" w:type="pct"/>
            <w:vAlign w:val="center"/>
          </w:tcPr>
          <w:p w14:paraId="1A6378D6"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249.123.998</w:t>
            </w:r>
          </w:p>
        </w:tc>
      </w:tr>
      <w:tr w:rsidR="00622884" w:rsidRPr="00622884" w14:paraId="44A176EB" w14:textId="77777777" w:rsidTr="00622884">
        <w:trPr>
          <w:trHeight w:val="567"/>
          <w:jc w:val="center"/>
        </w:trPr>
        <w:tc>
          <w:tcPr>
            <w:tcW w:w="245" w:type="pct"/>
            <w:vAlign w:val="center"/>
          </w:tcPr>
          <w:p w14:paraId="4FAF7A5C" w14:textId="77777777" w:rsidR="00622884" w:rsidRPr="00622884" w:rsidRDefault="00622884" w:rsidP="00622884">
            <w:pPr>
              <w:spacing w:after="0" w:line="240" w:lineRule="auto"/>
              <w:jc w:val="center"/>
              <w:rPr>
                <w:rFonts w:ascii="Garamond" w:eastAsia="SimSun" w:hAnsi="Garamond" w:cs="Calibri Light"/>
                <w:b/>
                <w:bCs/>
                <w:color w:val="1D3C5A"/>
                <w:sz w:val="10"/>
                <w:szCs w:val="16"/>
                <w:lang w:eastAsia="en-US"/>
              </w:rPr>
            </w:pPr>
            <w:r w:rsidRPr="00622884">
              <w:rPr>
                <w:rFonts w:ascii="Garamond" w:eastAsia="SimSun" w:hAnsi="Garamond" w:cs="Times New Roman"/>
                <w:b/>
                <w:color w:val="1D3C5A"/>
                <w:sz w:val="10"/>
                <w:lang w:eastAsia="en-US" w:bidi="sq-AL"/>
              </w:rPr>
              <w:t>18</w:t>
            </w:r>
          </w:p>
        </w:tc>
        <w:tc>
          <w:tcPr>
            <w:tcW w:w="373" w:type="pct"/>
            <w:vAlign w:val="center"/>
          </w:tcPr>
          <w:p w14:paraId="19F5FA0F"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Bujqësia</w:t>
            </w:r>
          </w:p>
        </w:tc>
        <w:tc>
          <w:tcPr>
            <w:tcW w:w="389" w:type="pct"/>
            <w:vAlign w:val="center"/>
          </w:tcPr>
          <w:p w14:paraId="0C86D4BD" w14:textId="77777777" w:rsidR="00622884" w:rsidRPr="00622884" w:rsidRDefault="00622884" w:rsidP="00622884">
            <w:pPr>
              <w:spacing w:after="0" w:line="240" w:lineRule="auto"/>
              <w:jc w:val="left"/>
              <w:rPr>
                <w:rFonts w:ascii="Garamond" w:eastAsia="SimSun" w:hAnsi="Garamond" w:cs="Calibri Light"/>
                <w:color w:val="1D3C5A"/>
                <w:sz w:val="10"/>
                <w:szCs w:val="16"/>
                <w:u w:val="single"/>
                <w:lang w:eastAsia="en-US"/>
              </w:rPr>
            </w:pPr>
            <w:r w:rsidRPr="00622884">
              <w:rPr>
                <w:rFonts w:ascii="Garamond" w:eastAsia="SimSun" w:hAnsi="Garamond" w:cs="Times New Roman"/>
                <w:color w:val="1D3C5A"/>
                <w:sz w:val="10"/>
                <w:lang w:eastAsia="en-US" w:bidi="sq-AL"/>
              </w:rPr>
              <w:t>Siguria e qëndrueshme e ujit përmes Infrastrukturës së mbledhjes së ujit të shiut</w:t>
            </w:r>
          </w:p>
        </w:tc>
        <w:tc>
          <w:tcPr>
            <w:tcW w:w="387" w:type="pct"/>
            <w:vAlign w:val="center"/>
          </w:tcPr>
          <w:p w14:paraId="2B9C0E7C"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Ndërhyrja gri</w:t>
            </w:r>
          </w:p>
        </w:tc>
        <w:tc>
          <w:tcPr>
            <w:tcW w:w="1129" w:type="pct"/>
            <w:vAlign w:val="center"/>
          </w:tcPr>
          <w:p w14:paraId="1CE46AE3"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18.1 Të vlerësohet vendndodhja, të përcaktohen prioritetet e ndërhyrjeve dhe të kryhet analiza e fizibilitetit në bashkëpunim të ngushtë me fermerët dhe komunitetet vendore. Të hartohen ndërhyrje të përshtatshme për infrastrukturën e ujërave të shiut, rezervat ujore dhe riparimin e digave, bazuar në vlerësimet ekzistuese dhe plotësuese të cenueshmërisë dhe infrastrukturës ujore.</w:t>
            </w:r>
            <w:r w:rsidRPr="00622884">
              <w:rPr>
                <w:rFonts w:ascii="Garamond" w:eastAsia="SimSun" w:hAnsi="Garamond" w:cs="Times New Roman"/>
                <w:color w:val="1D3C5A"/>
                <w:sz w:val="10"/>
                <w:lang w:eastAsia="en-US" w:bidi="sq-AL"/>
              </w:rPr>
              <w:br/>
              <w:t>18.2 Ndërtimi i infrastrukturës së mbledhjes së ujit të shiut: Të ndërtohen ose mirëmbahen sistemet e mbledhjes së ujit të shiut në vendndodhjet strategjike të identifikuara në veprimtarinë e mëparshme për të përmirësuar disponueshmërinë e ujit, veçanërisht në zonat e cenueshme ndaj thatësirës dhe mungesës së ujit. Këto sisteme do të mbledhin dhe ruajnë ujin e shiut për përdorim bujqësor, shtëpiak dhe industrial, duke rritur aftësitë ripërtëritëse ndaj ndikimeve të ndryshimeve klimatike.</w:t>
            </w:r>
            <w:r w:rsidRPr="00622884">
              <w:rPr>
                <w:rFonts w:ascii="Garamond" w:eastAsia="SimSun" w:hAnsi="Garamond" w:cs="Times New Roman"/>
                <w:color w:val="1D3C5A"/>
                <w:sz w:val="10"/>
                <w:lang w:eastAsia="en-US" w:bidi="sq-AL"/>
              </w:rPr>
              <w:br/>
              <w:t>18.3 Restaurimi i rezervave ujore dhe riparimi i digave të dëmtuara për të arritur objektivat kombëtare: Të vendoset fokusi në restaurimin e rezervave ekzistuese të ujit për të rritur kapacitetet e tyre për të ruajtur ujin, duke përfshirë pastrimin, përforcimin dhe zgjerimin e rezervuarëve dhe cisternave ekzistuese për të përmirësuar ruajtjen e ujit për përdorim gjatë periudhave të thatësirës, si dhe riparimin e afërsisht 230 digave të rëndësishme të dëmtuara (të evidentuara me pika blu në hartë), duke siguruar që funksionaliteti i këtyre digave do të mbrojë furnizimin me ujë për komunitetet dhe ekosistemet, veçanërisht gjatë periudhave me reshje të parregullta.</w:t>
            </w:r>
            <w:r w:rsidRPr="00622884">
              <w:rPr>
                <w:rFonts w:ascii="Garamond" w:eastAsia="SimSun" w:hAnsi="Garamond" w:cs="Times New Roman"/>
                <w:color w:val="1D3C5A"/>
                <w:sz w:val="10"/>
                <w:lang w:eastAsia="en-US" w:bidi="sq-AL"/>
              </w:rPr>
              <w:br/>
              <w:t>18.4 Mirëmbajtja periodike e sistemeve të infrastrukturës së mbledhjes së ujit të shiut: Të zbatohet një program gjithëpërfshirës mirëmbajtjeje për sistemet e mbledhjes së ujërave të shiut dhe rezervat e restauruara të ujit. Këtu do të përfshihen inspektime periodike, pastrim dhe riparime për të siguruar funksionalitetin e vazhdueshëm dhe jetëgjatësinë e infrastrukturës.</w:t>
            </w:r>
            <w:r w:rsidRPr="00622884">
              <w:rPr>
                <w:rFonts w:ascii="Garamond" w:eastAsia="SimSun" w:hAnsi="Garamond" w:cs="Times New Roman"/>
                <w:color w:val="1D3C5A"/>
                <w:sz w:val="10"/>
                <w:lang w:eastAsia="en-US" w:bidi="sq-AL"/>
              </w:rPr>
              <w:br/>
              <w:t>18.5 Ngritja e kapaciteteve dhe ndërgjegjësimi për praktikat e ruajtjes së ujit: Të promovohen praktikat e ruajtjes së ujit në rajonet e pajisura me infrastrukturë për mbledhjen e ujit të shiut, duke siguruar që bashkitë, komunitetet, fermerët dhe industritë ta përdorin ujin e mbledhur në mënyrë efikase.</w:t>
            </w:r>
          </w:p>
        </w:tc>
        <w:tc>
          <w:tcPr>
            <w:tcW w:w="535" w:type="pct"/>
            <w:vAlign w:val="center"/>
          </w:tcPr>
          <w:p w14:paraId="01E55704" w14:textId="77777777" w:rsidR="00622884" w:rsidRPr="00622884" w:rsidRDefault="00622884" w:rsidP="00622884">
            <w:pPr>
              <w:spacing w:after="0" w:line="240" w:lineRule="auto"/>
              <w:jc w:val="center"/>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ASH</w:t>
            </w:r>
          </w:p>
        </w:tc>
        <w:tc>
          <w:tcPr>
            <w:tcW w:w="938" w:type="pct"/>
            <w:vAlign w:val="center"/>
          </w:tcPr>
          <w:p w14:paraId="5647F20B"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1. Numri i rezervave të rëndësishme të ujit dhe digave të dëmtuara të restauruara në përputhje me objektivat kombëtare (objektivi: 230 vendndodhje).</w:t>
            </w:r>
            <w:r w:rsidRPr="00622884">
              <w:rPr>
                <w:rFonts w:ascii="Garamond" w:eastAsia="SimSun" w:hAnsi="Garamond" w:cs="Times New Roman"/>
                <w:color w:val="1D3C5A"/>
                <w:sz w:val="10"/>
                <w:lang w:eastAsia="en-US" w:bidi="sq-AL"/>
              </w:rPr>
              <w:br/>
              <w:t xml:space="preserve">2. Kapaciteti total i magazinimit (m³) i restauruar ose i krijuar nëpërmjet rehabilitimit të rezervave ujore dhe infrastrukturës së mbledhjes së ujërave të shiut. </w:t>
            </w:r>
            <w:r w:rsidRPr="00622884">
              <w:rPr>
                <w:rFonts w:ascii="Garamond" w:eastAsia="SimSun" w:hAnsi="Garamond" w:cs="Times New Roman"/>
                <w:color w:val="1D3C5A"/>
                <w:sz w:val="10"/>
                <w:lang w:eastAsia="en-US" w:bidi="sq-AL"/>
              </w:rPr>
              <w:br/>
              <w:t xml:space="preserve">3. Përqindja e sistemeve të mbledhjes dhe magazinimit të ujit të shiut që ndjekin planet aktive të mirëmbajtjes. </w:t>
            </w:r>
            <w:r w:rsidRPr="00622884">
              <w:rPr>
                <w:rFonts w:ascii="Garamond" w:eastAsia="SimSun" w:hAnsi="Garamond" w:cs="Times New Roman"/>
                <w:color w:val="1D3C5A"/>
                <w:sz w:val="10"/>
                <w:lang w:eastAsia="en-US" w:bidi="sq-AL"/>
              </w:rPr>
              <w:br/>
              <w:t xml:space="preserve">4. Përqindja e përdoruesve (familje, fermerë, institucione) në zonat e ndërhyrjes që raportojnë miratimin e praktikave të ruajtjes së ujit. </w:t>
            </w:r>
          </w:p>
        </w:tc>
        <w:tc>
          <w:tcPr>
            <w:tcW w:w="536" w:type="pct"/>
            <w:vAlign w:val="center"/>
          </w:tcPr>
          <w:p w14:paraId="211D75AE"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Ministria e Bujqësisë dhe Zhvillimit Rural (MBZHR)</w:t>
            </w:r>
          </w:p>
        </w:tc>
        <w:tc>
          <w:tcPr>
            <w:tcW w:w="468" w:type="pct"/>
            <w:vAlign w:val="center"/>
          </w:tcPr>
          <w:p w14:paraId="02384AFD"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75.849.163</w:t>
            </w:r>
          </w:p>
        </w:tc>
      </w:tr>
      <w:tr w:rsidR="00622884" w:rsidRPr="00622884" w14:paraId="3BD608A4" w14:textId="77777777" w:rsidTr="00622884">
        <w:trPr>
          <w:trHeight w:val="454"/>
          <w:jc w:val="center"/>
        </w:trPr>
        <w:tc>
          <w:tcPr>
            <w:tcW w:w="245" w:type="pct"/>
            <w:vAlign w:val="center"/>
          </w:tcPr>
          <w:p w14:paraId="015BF942" w14:textId="77777777" w:rsidR="00622884" w:rsidRPr="00622884" w:rsidRDefault="00622884" w:rsidP="00622884">
            <w:pPr>
              <w:spacing w:after="0" w:line="240" w:lineRule="auto"/>
              <w:jc w:val="center"/>
              <w:rPr>
                <w:rFonts w:ascii="Garamond" w:eastAsia="SimSun" w:hAnsi="Garamond" w:cs="Calibri Light"/>
                <w:b/>
                <w:bCs/>
                <w:color w:val="1D3C5A"/>
                <w:sz w:val="10"/>
                <w:szCs w:val="16"/>
                <w:lang w:eastAsia="en-US"/>
              </w:rPr>
            </w:pPr>
            <w:r w:rsidRPr="00622884">
              <w:rPr>
                <w:rFonts w:ascii="Garamond" w:eastAsia="SimSun" w:hAnsi="Garamond" w:cs="Times New Roman"/>
                <w:b/>
                <w:color w:val="1D3C5A"/>
                <w:sz w:val="10"/>
                <w:lang w:eastAsia="en-US" w:bidi="sq-AL"/>
              </w:rPr>
              <w:t>19</w:t>
            </w:r>
          </w:p>
        </w:tc>
        <w:tc>
          <w:tcPr>
            <w:tcW w:w="373" w:type="pct"/>
            <w:vAlign w:val="center"/>
          </w:tcPr>
          <w:p w14:paraId="407601F6"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Pylltari</w:t>
            </w:r>
          </w:p>
        </w:tc>
        <w:tc>
          <w:tcPr>
            <w:tcW w:w="389" w:type="pct"/>
            <w:vAlign w:val="center"/>
          </w:tcPr>
          <w:p w14:paraId="0A3621EC" w14:textId="77777777" w:rsidR="00622884" w:rsidRPr="00622884" w:rsidRDefault="00622884" w:rsidP="00622884">
            <w:pPr>
              <w:spacing w:after="0" w:line="240" w:lineRule="auto"/>
              <w:jc w:val="left"/>
              <w:rPr>
                <w:rFonts w:ascii="Garamond" w:eastAsia="SimSun" w:hAnsi="Garamond" w:cs="Calibri Light"/>
                <w:color w:val="1D3C5A"/>
                <w:sz w:val="10"/>
                <w:szCs w:val="16"/>
                <w:u w:val="single"/>
                <w:lang w:eastAsia="en-US"/>
              </w:rPr>
            </w:pPr>
            <w:r w:rsidRPr="00622884">
              <w:rPr>
                <w:rFonts w:ascii="Garamond" w:eastAsia="SimSun" w:hAnsi="Garamond" w:cs="Times New Roman"/>
                <w:color w:val="1D3C5A"/>
                <w:sz w:val="10"/>
                <w:lang w:eastAsia="en-US" w:bidi="sq-AL"/>
              </w:rPr>
              <w:t>Rritja e efikasitetit të pylltarisë nëpërmjet pajtueshmërisë rregullatore të BE-së</w:t>
            </w:r>
          </w:p>
        </w:tc>
        <w:tc>
          <w:tcPr>
            <w:tcW w:w="387" w:type="pct"/>
            <w:vAlign w:val="center"/>
          </w:tcPr>
          <w:p w14:paraId="59C01AB9"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Ndërhyrja e butë</w:t>
            </w:r>
            <w:r w:rsidRPr="00622884">
              <w:rPr>
                <w:rFonts w:ascii="Garamond" w:eastAsia="SimSun" w:hAnsi="Garamond" w:cs="Times New Roman"/>
                <w:b/>
                <w:color w:val="1D3C5A"/>
                <w:sz w:val="10"/>
                <w:lang w:eastAsia="en-US" w:bidi="sq-AL"/>
              </w:rPr>
              <w:t>:</w:t>
            </w:r>
          </w:p>
        </w:tc>
        <w:tc>
          <w:tcPr>
            <w:tcW w:w="1129" w:type="pct"/>
            <w:vAlign w:val="center"/>
          </w:tcPr>
          <w:p w14:paraId="39CE09B1" w14:textId="77777777" w:rsidR="00622884" w:rsidRPr="00622884" w:rsidRDefault="00622884" w:rsidP="00622884">
            <w:pPr>
              <w:spacing w:after="0" w:line="240" w:lineRule="auto"/>
              <w:jc w:val="left"/>
              <w:rPr>
                <w:rFonts w:ascii="Garamond" w:eastAsia="SimSun" w:hAnsi="Garamond" w:cs="Times New Roman"/>
                <w:color w:val="1D3C5A"/>
                <w:sz w:val="10"/>
                <w:lang w:eastAsia="en-US" w:bidi="sq-AL"/>
              </w:rPr>
            </w:pPr>
            <w:r w:rsidRPr="00622884">
              <w:rPr>
                <w:rFonts w:ascii="Garamond" w:eastAsia="SimSun" w:hAnsi="Garamond" w:cs="Times New Roman"/>
                <w:color w:val="1D3C5A"/>
                <w:sz w:val="10"/>
                <w:lang w:eastAsia="en-US" w:bidi="sq-AL"/>
              </w:rPr>
              <w:t>19.1 Pajtueshmëria dhe zbatimi: Rishikimi dhe përditësimi i politikave kombëtare: Të sigurohet që politikat kombëtare për pylltarinë të jenë në përputhje me rregulloret e BE-së, siç është Strategjia Pyjore e BE-së për vitin 2030 dhe Rregullorja për Produktet pa Shpyllëzime.</w:t>
            </w:r>
            <w:r w:rsidRPr="00622884">
              <w:rPr>
                <w:rFonts w:ascii="Garamond" w:eastAsia="SimSun" w:hAnsi="Garamond" w:cs="Times New Roman"/>
                <w:color w:val="1D3C5A"/>
                <w:sz w:val="10"/>
                <w:lang w:eastAsia="en-US" w:bidi="sq-AL"/>
              </w:rPr>
              <w:br/>
              <w:t>Ndryshimet legjislative: Të ndryshohen ligjet ekzistuese për pylltarinë për të përfshirë standardet dhe udhëzimet e BE-së.</w:t>
            </w:r>
            <w:r w:rsidRPr="00622884">
              <w:rPr>
                <w:rFonts w:ascii="Garamond" w:eastAsia="SimSun" w:hAnsi="Garamond" w:cs="Times New Roman"/>
                <w:color w:val="1D3C5A"/>
                <w:sz w:val="10"/>
                <w:lang w:eastAsia="en-US" w:bidi="sq-AL"/>
              </w:rPr>
              <w:br/>
              <w:t>19.2 Menaxhimi i qëndrueshëm i pyjeve: Miratimi i praktikave të qëndrueshme: Të zbatohen praktika të qëndrueshme të menaxhimit të pyjeve që përputhen me standardet e BE-së, me fokus në ruajtjen e biodiversitetit dhe aftësive ripërtëritëse ndaj klimës</w:t>
            </w:r>
            <w:r w:rsidRPr="00622884">
              <w:rPr>
                <w:rFonts w:ascii="Garamond" w:eastAsia="SimSun" w:hAnsi="Garamond" w:cs="Times New Roman"/>
                <w:color w:val="1D3C5A"/>
                <w:sz w:val="10"/>
                <w:lang w:eastAsia="en-US" w:bidi="sq-AL"/>
              </w:rPr>
              <w:br/>
              <w:t>Programet e certifikimit: Të promovohen programe certifikimi si KAP (Këshilli i Administrimit të Pyjeve) dhe PMCP (Programi për Miratimin e Certifikimit të Pyjeve) për të siguruar praktika të qëndrueshme të pylltarisë</w:t>
            </w:r>
            <w:r w:rsidRPr="00622884">
              <w:rPr>
                <w:rFonts w:ascii="Garamond" w:eastAsia="SimSun" w:hAnsi="Garamond" w:cs="Times New Roman"/>
                <w:color w:val="1D3C5A"/>
                <w:sz w:val="10"/>
                <w:lang w:eastAsia="en-US" w:bidi="sq-AL"/>
              </w:rPr>
              <w:br/>
              <w:t>19.3 Ngritja e kapaciteteve dhe trajnimi: Programet e trajnimit: Të zhvillohen dhe zbatohen programe trajnimi për profesionistët e pylltarisë për rregulloret e BE-së dhe praktikat e menaxhimit të qëndrueshëm të pyjeve.</w:t>
            </w:r>
            <w:r w:rsidRPr="00622884">
              <w:rPr>
                <w:rFonts w:ascii="Garamond" w:eastAsia="SimSun" w:hAnsi="Garamond" w:cs="Times New Roman"/>
                <w:color w:val="1D3C5A"/>
                <w:sz w:val="10"/>
                <w:lang w:eastAsia="en-US" w:bidi="sq-AL"/>
              </w:rPr>
              <w:br/>
              <w:t xml:space="preserve">Ndarja e njohurive: Të lehtësohet ndarja e njohurive dhe praktikave të mira midis palëve të interesit të pylltarisë nëpërmjet </w:t>
            </w:r>
            <w:r w:rsidRPr="00622884">
              <w:rPr>
                <w:rFonts w:ascii="Garamond" w:eastAsia="SimSun" w:hAnsi="Garamond" w:cs="Times New Roman"/>
                <w:i/>
                <w:color w:val="1D3C5A"/>
                <w:sz w:val="10"/>
                <w:lang w:eastAsia="en-US" w:bidi="sq-AL"/>
              </w:rPr>
              <w:t>workshop</w:t>
            </w:r>
            <w:r w:rsidRPr="00622884">
              <w:rPr>
                <w:rFonts w:ascii="Garamond" w:eastAsia="SimSun" w:hAnsi="Garamond" w:cs="Times New Roman"/>
                <w:color w:val="1D3C5A"/>
                <w:sz w:val="10"/>
                <w:lang w:eastAsia="en-US" w:bidi="sq-AL"/>
              </w:rPr>
              <w:t>-eve dhe seminareve.</w:t>
            </w:r>
            <w:r w:rsidRPr="00622884">
              <w:rPr>
                <w:rFonts w:ascii="Garamond" w:eastAsia="SimSun" w:hAnsi="Garamond" w:cs="Times New Roman"/>
                <w:color w:val="1D3C5A"/>
                <w:sz w:val="10"/>
                <w:lang w:eastAsia="en-US" w:bidi="sq-AL"/>
              </w:rPr>
              <w:br/>
              <w:t>19.4 Monitorimi dhe raportimi: Sistemet e monitorimit të pyjeve: Të ndiqen sisteme të forta të monitorimit të pyjeve për të ndjekur pajtueshmërinë me rregulloret e BE-së dhe për të vlerësuar mirëqenien dhe qëndrueshmërinë e pyjeve. Mbledhja dhe raportimi i të dhënave: Të zbatohen mekanizma të standardizuar për mbledhjen dhe raportimin e të dhënave për të siguruar informacion të saktë mbi gjendjen e pyjeve dhe menaxhimin e tyre.</w:t>
            </w:r>
            <w:r w:rsidRPr="00622884">
              <w:rPr>
                <w:rFonts w:ascii="Garamond" w:eastAsia="SimSun" w:hAnsi="Garamond" w:cs="Times New Roman"/>
                <w:color w:val="1D3C5A"/>
                <w:sz w:val="10"/>
                <w:lang w:eastAsia="en-US" w:bidi="sq-AL"/>
              </w:rPr>
              <w:br/>
              <w:t>19.5 Angazhimi i palëve të interesit Praktikat e bashkëpunimit: Të krijohen platforma bashkëpunimi midis agjencive qeveritare, OJQ-ve dhe palëve private të interesit për të koordinuar përpjekjet në menaxhimin e pylltarisë. Fushatat e ndërgjegjësimit publik: Të zhvillohen fushata të ndërgjegjësimit publik për të edukuar komunitetet rreth rëndësisë të pylltarisë së qëndrueshme dhe pajtueshmërisë me rregullore e BE-së</w:t>
            </w:r>
            <w:r w:rsidRPr="00622884">
              <w:rPr>
                <w:rFonts w:ascii="Garamond" w:eastAsia="SimSun" w:hAnsi="Garamond" w:cs="Times New Roman"/>
                <w:color w:val="1D3C5A"/>
                <w:sz w:val="10"/>
                <w:lang w:eastAsia="en-US" w:bidi="sq-AL"/>
              </w:rPr>
              <w:br/>
              <w:t>19.6 Nismat financiare: Programet e financimit: Të zhvillohen programe financimi për të mbështetur nismat e qëndrueshme të pylltarisë dhe pajtueshmërinë me rregulloret e BE-së.</w:t>
            </w:r>
            <w:r w:rsidRPr="00622884">
              <w:rPr>
                <w:rFonts w:ascii="Garamond" w:eastAsia="SimSun" w:hAnsi="Garamond" w:cs="Times New Roman"/>
                <w:color w:val="1D3C5A"/>
                <w:sz w:val="10"/>
                <w:lang w:eastAsia="en-US" w:bidi="sq-AL"/>
              </w:rPr>
              <w:br/>
              <w:t>Subvencionet dhe grantet: Të ofrohen subvencione dhe grante për pronarët dhe menaxherët e pyjeve që ndjekin praktika të qëndrueshme dhe janë në përputhje me standardet e BE-së.</w:t>
            </w:r>
          </w:p>
          <w:p w14:paraId="3056A704"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19.7 Integrimi i kërkesave për menaxhimin e zjarreve në peizazh në rishikimin dhe përditësimin e politikave, udhëzimeve teknike dhe instrumenteve të menaxhimit të pyjeve, duke siguruar përputhje me praktikat dhe udhëzimet e BE-së për parandalimin e zjarreve përmes menaxhimit të peizazhit, reduktimit të lëndës djegëse dhe rritjes së aftësisë ripërtëritëse të peizazheve pyjore.</w:t>
            </w:r>
          </w:p>
        </w:tc>
        <w:tc>
          <w:tcPr>
            <w:tcW w:w="535" w:type="pct"/>
            <w:vAlign w:val="center"/>
          </w:tcPr>
          <w:p w14:paraId="07520485" w14:textId="77777777" w:rsidR="00622884" w:rsidRPr="00622884" w:rsidRDefault="00622884" w:rsidP="00622884">
            <w:pPr>
              <w:spacing w:after="0" w:line="240" w:lineRule="auto"/>
              <w:jc w:val="center"/>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ASH</w:t>
            </w:r>
          </w:p>
        </w:tc>
        <w:tc>
          <w:tcPr>
            <w:tcW w:w="938" w:type="pct"/>
            <w:vAlign w:val="center"/>
          </w:tcPr>
          <w:p w14:paraId="70842167" w14:textId="77777777" w:rsidR="00622884" w:rsidRPr="00622884" w:rsidRDefault="00622884" w:rsidP="00622884">
            <w:pPr>
              <w:spacing w:after="0" w:line="240" w:lineRule="auto"/>
              <w:jc w:val="left"/>
              <w:rPr>
                <w:rFonts w:ascii="Garamond" w:eastAsia="SimSun" w:hAnsi="Garamond" w:cs="Times New Roman"/>
                <w:color w:val="1D3C5A"/>
                <w:sz w:val="10"/>
                <w:lang w:eastAsia="en-US" w:bidi="sq-AL"/>
              </w:rPr>
            </w:pPr>
            <w:r w:rsidRPr="00622884">
              <w:rPr>
                <w:rFonts w:ascii="Garamond" w:eastAsia="SimSun" w:hAnsi="Garamond" w:cs="Times New Roman"/>
                <w:color w:val="1D3C5A"/>
                <w:sz w:val="10"/>
                <w:lang w:eastAsia="en-US" w:bidi="sq-AL"/>
              </w:rPr>
              <w:t>1. Numri i politikave, strategjive ose instrumenteve legjislative kombëtare për pylltarinë të rishikuara për t’u përafruar me rregulloret e BE-së.</w:t>
            </w:r>
            <w:r w:rsidRPr="00622884">
              <w:rPr>
                <w:rFonts w:ascii="Garamond" w:eastAsia="SimSun" w:hAnsi="Garamond" w:cs="Times New Roman"/>
                <w:color w:val="1D3C5A"/>
                <w:sz w:val="10"/>
                <w:lang w:eastAsia="en-US" w:bidi="sq-AL"/>
              </w:rPr>
              <w:br/>
              <w:t>2. Përqindja e zonave pyjore të menaxhuara të certifikuara sipas skemave të njohura të menaxhimit të qëndrueshëm të pyjeve (p.sh., KAP, PMCP).</w:t>
            </w:r>
            <w:r w:rsidRPr="00622884">
              <w:rPr>
                <w:rFonts w:ascii="Garamond" w:eastAsia="SimSun" w:hAnsi="Garamond" w:cs="Times New Roman"/>
                <w:color w:val="1D3C5A"/>
                <w:sz w:val="10"/>
                <w:lang w:eastAsia="en-US" w:bidi="sq-AL"/>
              </w:rPr>
              <w:br/>
              <w:t>3. Numri i profesionistëve të pylltarisë të trajnuar në praktikat e menaxhimit të qëndrueshëm të pyjeve, të harmonizuara me ato të BE-së.</w:t>
            </w:r>
            <w:r w:rsidRPr="00622884">
              <w:rPr>
                <w:rFonts w:ascii="Garamond" w:eastAsia="SimSun" w:hAnsi="Garamond" w:cs="Times New Roman"/>
                <w:color w:val="1D3C5A"/>
                <w:sz w:val="10"/>
                <w:lang w:eastAsia="en-US" w:bidi="sq-AL"/>
              </w:rPr>
              <w:br/>
              <w:t>4. Numri i sistemeve të monitorimit të pyjeve të krijuara ose të përmirësuara për t’u harmonizuar me standardet e BE-së për pylltarinë.</w:t>
            </w:r>
            <w:r w:rsidRPr="00622884">
              <w:rPr>
                <w:rFonts w:ascii="Garamond" w:eastAsia="SimSun" w:hAnsi="Garamond" w:cs="Times New Roman"/>
                <w:color w:val="1D3C5A"/>
                <w:sz w:val="10"/>
                <w:lang w:eastAsia="en-US" w:bidi="sq-AL"/>
              </w:rPr>
              <w:br/>
              <w:t>5. Numri i platformave të konsultimit ose koordinimit me shumë palë të interesit për të mbështetur qeverisjen e pyjeve në përputhje me BE-në.</w:t>
            </w:r>
            <w:r w:rsidRPr="00622884">
              <w:rPr>
                <w:rFonts w:ascii="Garamond" w:eastAsia="SimSun" w:hAnsi="Garamond" w:cs="Times New Roman"/>
                <w:color w:val="1D3C5A"/>
                <w:sz w:val="10"/>
                <w:lang w:eastAsia="en-US" w:bidi="sq-AL"/>
              </w:rPr>
              <w:br/>
              <w:t>6. Shuma totale e financimit ose incentivave financiare të shpërndara për të mbështetur praktikat e qëndrueshme të pylltarisë dhe pajtueshmërinë e tyre me rregulloret e BE-së.</w:t>
            </w:r>
          </w:p>
          <w:p w14:paraId="18026A60" w14:textId="77777777" w:rsidR="00622884" w:rsidRPr="00622884" w:rsidRDefault="00622884" w:rsidP="00622884">
            <w:pPr>
              <w:spacing w:after="0" w:line="240" w:lineRule="auto"/>
              <w:jc w:val="left"/>
              <w:rPr>
                <w:rFonts w:ascii="Garamond" w:eastAsia="SimSun" w:hAnsi="Garamond" w:cs="Times New Roman"/>
                <w:color w:val="1D3C5A"/>
                <w:sz w:val="10"/>
                <w:lang w:eastAsia="en-US" w:bidi="sq-AL"/>
              </w:rPr>
            </w:pPr>
            <w:r w:rsidRPr="00622884">
              <w:rPr>
                <w:rFonts w:ascii="Garamond" w:eastAsia="SimSun" w:hAnsi="Garamond" w:cs="Times New Roman"/>
                <w:color w:val="1D3C5A"/>
                <w:sz w:val="10"/>
                <w:lang w:eastAsia="en-US" w:bidi="sq-AL"/>
              </w:rPr>
              <w:t>7. Numri i politikave, udhëzimeve teknike ose instrumenteve të menaxhimit pyjor që integrojnë parimet e MZP-së për uljen e riskut nga zjarret në nivel peizazhi.</w:t>
            </w:r>
          </w:p>
          <w:p w14:paraId="2FB7A564"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p>
        </w:tc>
        <w:tc>
          <w:tcPr>
            <w:tcW w:w="536" w:type="pct"/>
            <w:vAlign w:val="center"/>
          </w:tcPr>
          <w:p w14:paraId="3350AFDE"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Ministria e Mjedisit</w:t>
            </w:r>
          </w:p>
        </w:tc>
        <w:tc>
          <w:tcPr>
            <w:tcW w:w="468" w:type="pct"/>
            <w:vAlign w:val="center"/>
          </w:tcPr>
          <w:p w14:paraId="39779684"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17.600.000</w:t>
            </w:r>
          </w:p>
        </w:tc>
      </w:tr>
      <w:tr w:rsidR="00622884" w:rsidRPr="00622884" w14:paraId="6E1FCA84" w14:textId="77777777" w:rsidTr="00622884">
        <w:trPr>
          <w:trHeight w:val="567"/>
          <w:jc w:val="center"/>
        </w:trPr>
        <w:tc>
          <w:tcPr>
            <w:tcW w:w="245" w:type="pct"/>
            <w:vAlign w:val="center"/>
          </w:tcPr>
          <w:p w14:paraId="1D164862" w14:textId="77777777" w:rsidR="00622884" w:rsidRPr="00622884" w:rsidRDefault="00622884" w:rsidP="00622884">
            <w:pPr>
              <w:spacing w:after="0" w:line="240" w:lineRule="auto"/>
              <w:jc w:val="center"/>
              <w:rPr>
                <w:rFonts w:ascii="Garamond" w:eastAsia="SimSun" w:hAnsi="Garamond" w:cs="Calibri Light"/>
                <w:b/>
                <w:bCs/>
                <w:color w:val="1D3C5A"/>
                <w:sz w:val="10"/>
                <w:szCs w:val="16"/>
                <w:lang w:eastAsia="en-US"/>
              </w:rPr>
            </w:pPr>
            <w:r w:rsidRPr="00622884">
              <w:rPr>
                <w:rFonts w:ascii="Garamond" w:eastAsia="SimSun" w:hAnsi="Garamond" w:cs="Times New Roman"/>
                <w:b/>
                <w:color w:val="1D3C5A"/>
                <w:sz w:val="10"/>
                <w:lang w:eastAsia="en-US" w:bidi="sq-AL"/>
              </w:rPr>
              <w:t>20</w:t>
            </w:r>
          </w:p>
        </w:tc>
        <w:tc>
          <w:tcPr>
            <w:tcW w:w="373" w:type="pct"/>
            <w:vAlign w:val="center"/>
          </w:tcPr>
          <w:p w14:paraId="7AE3920B"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Pylltari</w:t>
            </w:r>
          </w:p>
        </w:tc>
        <w:tc>
          <w:tcPr>
            <w:tcW w:w="389" w:type="pct"/>
            <w:vAlign w:val="center"/>
          </w:tcPr>
          <w:p w14:paraId="0766A3EA" w14:textId="77777777" w:rsidR="00622884" w:rsidRPr="00622884" w:rsidRDefault="00622884" w:rsidP="00622884">
            <w:pPr>
              <w:spacing w:after="0" w:line="240" w:lineRule="auto"/>
              <w:jc w:val="left"/>
              <w:rPr>
                <w:rFonts w:ascii="Garamond" w:eastAsia="SimSun" w:hAnsi="Garamond" w:cs="Calibri Light"/>
                <w:color w:val="1D3C5A"/>
                <w:sz w:val="10"/>
                <w:szCs w:val="16"/>
                <w:u w:val="single"/>
                <w:lang w:eastAsia="en-US"/>
              </w:rPr>
            </w:pPr>
            <w:r w:rsidRPr="00622884">
              <w:rPr>
                <w:rFonts w:ascii="Garamond" w:eastAsia="SimSun" w:hAnsi="Garamond" w:cs="Times New Roman"/>
                <w:color w:val="1D3C5A"/>
                <w:sz w:val="10"/>
                <w:lang w:eastAsia="en-US" w:bidi="sq-AL"/>
              </w:rPr>
              <w:t>Promovimi i pylltarisë së qëndrueshme: Fondi i pyllëzimit dhe nismat e prokurimit të gjelbër</w:t>
            </w:r>
          </w:p>
        </w:tc>
        <w:tc>
          <w:tcPr>
            <w:tcW w:w="387" w:type="pct"/>
            <w:vAlign w:val="center"/>
          </w:tcPr>
          <w:p w14:paraId="07AAFB7D"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Ndërhyrja e butë</w:t>
            </w:r>
            <w:r w:rsidRPr="00622884">
              <w:rPr>
                <w:rFonts w:ascii="Garamond" w:eastAsia="SimSun" w:hAnsi="Garamond" w:cs="Times New Roman"/>
                <w:b/>
                <w:color w:val="1D3C5A"/>
                <w:sz w:val="10"/>
                <w:lang w:eastAsia="en-US" w:bidi="sq-AL"/>
              </w:rPr>
              <w:t>:</w:t>
            </w:r>
          </w:p>
        </w:tc>
        <w:tc>
          <w:tcPr>
            <w:tcW w:w="1129" w:type="pct"/>
            <w:vAlign w:val="center"/>
          </w:tcPr>
          <w:p w14:paraId="457E95B8" w14:textId="77777777" w:rsidR="00622884" w:rsidRPr="00622884" w:rsidRDefault="00622884" w:rsidP="00622884">
            <w:pPr>
              <w:spacing w:after="0" w:line="240" w:lineRule="auto"/>
              <w:jc w:val="left"/>
              <w:rPr>
                <w:rFonts w:ascii="Garamond" w:eastAsia="SimSun" w:hAnsi="Garamond" w:cs="Times New Roman"/>
                <w:color w:val="1D3C5A"/>
                <w:sz w:val="10"/>
                <w:lang w:eastAsia="en-US" w:bidi="sq-AL"/>
              </w:rPr>
            </w:pPr>
            <w:r w:rsidRPr="00622884">
              <w:rPr>
                <w:rFonts w:ascii="Garamond" w:eastAsia="SimSun" w:hAnsi="Garamond" w:cs="Times New Roman"/>
                <w:color w:val="1D3C5A"/>
                <w:sz w:val="10"/>
                <w:lang w:eastAsia="en-US" w:bidi="sq-AL"/>
              </w:rPr>
              <w:t>20.1 Të projektohen struktura qeverisëse dhe financuese të Fondit të Pyllëzimit, ku të përfshihen kriteret e pranueshmërisë, fushat prioritare dhe mekanizmat e alokimit, në përputhje me strategjitë kombëtare të adaptimit dhe biodiversitetit.</w:t>
            </w:r>
            <w:r w:rsidRPr="00622884">
              <w:rPr>
                <w:rFonts w:ascii="Garamond" w:eastAsia="SimSun" w:hAnsi="Garamond" w:cs="Times New Roman"/>
                <w:color w:val="1D3C5A"/>
                <w:sz w:val="10"/>
                <w:lang w:eastAsia="en-US" w:bidi="sq-AL"/>
              </w:rPr>
              <w:br/>
              <w:t xml:space="preserve">20.2 Të kryhet vlerësimi hapësinor për të identifikuar zonat e degraduara ose të ndjeshme ndaj klimës, të përshtatshme për pyllëzim, duke siguruar integritetin ekologjik dhe përputhshmërinë me planet vendore të </w:t>
            </w:r>
            <w:r w:rsidRPr="00622884">
              <w:rPr>
                <w:rFonts w:ascii="Garamond" w:eastAsia="SimSun" w:hAnsi="Garamond" w:cs="Times New Roman"/>
                <w:color w:val="1D3C5A"/>
                <w:sz w:val="10"/>
                <w:lang w:eastAsia="en-US" w:bidi="sq-AL"/>
              </w:rPr>
              <w:lastRenderedPageBreak/>
              <w:t>përdorimit të tokës.</w:t>
            </w:r>
            <w:r w:rsidRPr="00622884">
              <w:rPr>
                <w:rFonts w:ascii="Garamond" w:eastAsia="SimSun" w:hAnsi="Garamond" w:cs="Times New Roman"/>
                <w:color w:val="1D3C5A"/>
                <w:sz w:val="10"/>
                <w:lang w:eastAsia="en-US" w:bidi="sq-AL"/>
              </w:rPr>
              <w:br/>
              <w:t>20.3 Të lançohet një fazë pilot e programit të pyllëzimit, ku të përfshihet shpërndarja e financimeve për projekte vendore dhe nisma të bazuara në komunitet.</w:t>
            </w:r>
            <w:r w:rsidRPr="00622884">
              <w:rPr>
                <w:rFonts w:ascii="Garamond" w:eastAsia="SimSun" w:hAnsi="Garamond" w:cs="Times New Roman"/>
                <w:color w:val="1D3C5A"/>
                <w:sz w:val="10"/>
                <w:lang w:eastAsia="en-US" w:bidi="sq-AL"/>
              </w:rPr>
              <w:br/>
              <w:t>20.4 Të zhvillohen dhe miratohen udhëzime për prokurimin e gjelbër për sektorin pyjor, duke promovuar drurin e siguruar në mënyrë të qëndrueshme dhe praktika miqësore me ekosistemin.</w:t>
            </w:r>
          </w:p>
          <w:p w14:paraId="24428D3C"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Calibri Light"/>
                <w:color w:val="1D3C5A"/>
                <w:sz w:val="10"/>
                <w:lang w:eastAsia="en-US"/>
              </w:rPr>
              <w:t>20.5 Të integrohen kriteret e MZP-së në Fondin e Pyllëzimit dhe në nismat e prokurimit të gjelbër, duke prioritizuar projekte që reduktojnë lëndën djegëse, krijojnë mozaikë pyjorë dhe agropyjorë me potencial më të ulët për përhapjen e zjarrit, përdorin specie vendase të përshtatura ndaj thatësirës dhe sigurojnë mirëmbajtje afatgjatë të ndërhyrjeve.</w:t>
            </w:r>
          </w:p>
        </w:tc>
        <w:tc>
          <w:tcPr>
            <w:tcW w:w="535" w:type="pct"/>
            <w:vAlign w:val="center"/>
          </w:tcPr>
          <w:p w14:paraId="28310506" w14:textId="77777777" w:rsidR="00622884" w:rsidRPr="00622884" w:rsidRDefault="00622884" w:rsidP="00622884">
            <w:pPr>
              <w:spacing w:after="0" w:line="240" w:lineRule="auto"/>
              <w:jc w:val="center"/>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lastRenderedPageBreak/>
              <w:t>ASH</w:t>
            </w:r>
          </w:p>
        </w:tc>
        <w:tc>
          <w:tcPr>
            <w:tcW w:w="938" w:type="pct"/>
            <w:vAlign w:val="center"/>
          </w:tcPr>
          <w:p w14:paraId="7B9A82EE" w14:textId="77777777" w:rsidR="00622884" w:rsidRPr="00622884" w:rsidRDefault="00622884" w:rsidP="00622884">
            <w:pPr>
              <w:spacing w:after="0" w:line="240" w:lineRule="auto"/>
              <w:jc w:val="left"/>
              <w:rPr>
                <w:rFonts w:ascii="Garamond" w:eastAsia="SimSun" w:hAnsi="Garamond" w:cs="Times New Roman"/>
                <w:color w:val="1D3C5A"/>
                <w:sz w:val="10"/>
                <w:lang w:eastAsia="en-US" w:bidi="sq-AL"/>
              </w:rPr>
            </w:pPr>
            <w:r w:rsidRPr="00622884">
              <w:rPr>
                <w:rFonts w:ascii="Garamond" w:eastAsia="SimSun" w:hAnsi="Garamond" w:cs="Times New Roman"/>
                <w:color w:val="1D3C5A"/>
                <w:sz w:val="10"/>
                <w:lang w:eastAsia="en-US" w:bidi="sq-AL"/>
              </w:rPr>
              <w:t xml:space="preserve">1. Struktura qeverisëse dhe financuese të Fondit të Pyllëzimit, ku të përfshihen kriteret e pranueshmërisë, fushat prioritare dhe mekanizmat e alokimit (po/jo) </w:t>
            </w:r>
            <w:r w:rsidRPr="00622884">
              <w:rPr>
                <w:rFonts w:ascii="Garamond" w:eastAsia="SimSun" w:hAnsi="Garamond" w:cs="Times New Roman"/>
                <w:color w:val="1D3C5A"/>
                <w:sz w:val="10"/>
                <w:lang w:eastAsia="en-US" w:bidi="sq-AL"/>
              </w:rPr>
              <w:br/>
              <w:t>2. Shuma totale e financimit të shpërndarë përmes Fondit të Pyllëzimit për projekte pilot dhe nisma pyllëzimi me bazë komunitare.</w:t>
            </w:r>
            <w:r w:rsidRPr="00622884">
              <w:rPr>
                <w:rFonts w:ascii="Garamond" w:eastAsia="SimSun" w:hAnsi="Garamond" w:cs="Times New Roman"/>
                <w:color w:val="1D3C5A"/>
                <w:sz w:val="10"/>
                <w:lang w:eastAsia="en-US" w:bidi="sq-AL"/>
              </w:rPr>
              <w:br/>
              <w:t xml:space="preserve">3. Përqindja e institucioneve dhe agjencive të sektorit pyjor që kanë marrë udhëzuesin e </w:t>
            </w:r>
            <w:r w:rsidRPr="00622884">
              <w:rPr>
                <w:rFonts w:ascii="Garamond" w:eastAsia="SimSun" w:hAnsi="Garamond" w:cs="Times New Roman"/>
                <w:color w:val="1D3C5A"/>
                <w:sz w:val="10"/>
                <w:lang w:eastAsia="en-US" w:bidi="sq-AL"/>
              </w:rPr>
              <w:lastRenderedPageBreak/>
              <w:t>prokurimit të gjelbër.</w:t>
            </w:r>
          </w:p>
          <w:p w14:paraId="719DD6CC" w14:textId="77777777" w:rsidR="00622884" w:rsidRPr="00622884" w:rsidRDefault="00622884" w:rsidP="00622884">
            <w:pPr>
              <w:spacing w:after="0" w:line="240" w:lineRule="auto"/>
              <w:jc w:val="left"/>
              <w:rPr>
                <w:rFonts w:ascii="Garamond" w:eastAsia="SimSun" w:hAnsi="Garamond" w:cs="Times New Roman"/>
                <w:color w:val="1D3C5A"/>
                <w:sz w:val="10"/>
                <w:lang w:eastAsia="en-US" w:bidi="sq-AL"/>
              </w:rPr>
            </w:pPr>
            <w:r w:rsidRPr="00622884">
              <w:rPr>
                <w:rFonts w:ascii="Garamond" w:eastAsia="SimSun" w:hAnsi="Garamond" w:cs="Times New Roman"/>
                <w:color w:val="1D3C5A"/>
                <w:sz w:val="10"/>
                <w:lang w:eastAsia="en-US" w:bidi="sq-AL"/>
              </w:rPr>
              <w:t>4.</w:t>
            </w:r>
            <w:r w:rsidRPr="00622884">
              <w:rPr>
                <w:rFonts w:ascii="Garamond" w:eastAsia="Calibri" w:hAnsi="Garamond" w:cs="Times New Roman"/>
                <w:sz w:val="10"/>
                <w:lang w:eastAsia="en-US"/>
              </w:rPr>
              <w:t xml:space="preserve"> </w:t>
            </w:r>
            <w:r w:rsidRPr="00622884">
              <w:rPr>
                <w:rFonts w:ascii="Garamond" w:eastAsia="SimSun" w:hAnsi="Garamond" w:cs="Times New Roman"/>
                <w:color w:val="1D3C5A"/>
                <w:sz w:val="10"/>
                <w:lang w:eastAsia="en-US" w:bidi="sq-AL"/>
              </w:rPr>
              <w:t>Përqindja e projekteve të Fondit të Pyllëzimit që integrojnë kritere të MZP-së për uljen e riskut nga zjarret, menaxhimin e lëndës djegëse dhe mirëmbajtjen parandaluese.</w:t>
            </w:r>
          </w:p>
          <w:p w14:paraId="4F465781"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p>
        </w:tc>
        <w:tc>
          <w:tcPr>
            <w:tcW w:w="536" w:type="pct"/>
            <w:vAlign w:val="center"/>
          </w:tcPr>
          <w:p w14:paraId="5897D265"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lastRenderedPageBreak/>
              <w:t>Ministria e Mjedisit</w:t>
            </w:r>
          </w:p>
        </w:tc>
        <w:tc>
          <w:tcPr>
            <w:tcW w:w="468" w:type="pct"/>
            <w:vAlign w:val="center"/>
          </w:tcPr>
          <w:p w14:paraId="536F410F"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8.540.000</w:t>
            </w:r>
          </w:p>
        </w:tc>
      </w:tr>
      <w:tr w:rsidR="00622884" w:rsidRPr="00622884" w14:paraId="5D65A995" w14:textId="77777777" w:rsidTr="00622884">
        <w:trPr>
          <w:trHeight w:val="567"/>
          <w:jc w:val="center"/>
        </w:trPr>
        <w:tc>
          <w:tcPr>
            <w:tcW w:w="245" w:type="pct"/>
            <w:vAlign w:val="center"/>
          </w:tcPr>
          <w:p w14:paraId="54A923A3" w14:textId="77777777" w:rsidR="00622884" w:rsidRPr="00622884" w:rsidRDefault="00622884" w:rsidP="00622884">
            <w:pPr>
              <w:spacing w:after="0" w:line="240" w:lineRule="auto"/>
              <w:jc w:val="center"/>
              <w:rPr>
                <w:rFonts w:ascii="Garamond" w:eastAsia="SimSun" w:hAnsi="Garamond" w:cs="Calibri Light"/>
                <w:b/>
                <w:bCs/>
                <w:color w:val="1D3C5A"/>
                <w:sz w:val="10"/>
                <w:szCs w:val="16"/>
                <w:lang w:eastAsia="en-US"/>
              </w:rPr>
            </w:pPr>
            <w:r w:rsidRPr="00622884">
              <w:rPr>
                <w:rFonts w:ascii="Garamond" w:eastAsia="SimSun" w:hAnsi="Garamond" w:cs="Times New Roman"/>
                <w:b/>
                <w:color w:val="1D3C5A"/>
                <w:sz w:val="10"/>
                <w:lang w:eastAsia="en-US" w:bidi="sq-AL"/>
              </w:rPr>
              <w:t>21</w:t>
            </w:r>
          </w:p>
        </w:tc>
        <w:tc>
          <w:tcPr>
            <w:tcW w:w="373" w:type="pct"/>
            <w:vAlign w:val="center"/>
          </w:tcPr>
          <w:p w14:paraId="77C8FD74"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Pylltari</w:t>
            </w:r>
          </w:p>
        </w:tc>
        <w:tc>
          <w:tcPr>
            <w:tcW w:w="389" w:type="pct"/>
            <w:vAlign w:val="center"/>
          </w:tcPr>
          <w:p w14:paraId="74B031CA" w14:textId="77777777" w:rsidR="00622884" w:rsidRPr="00622884" w:rsidRDefault="00622884" w:rsidP="00622884">
            <w:pPr>
              <w:spacing w:after="0" w:line="240" w:lineRule="auto"/>
              <w:jc w:val="left"/>
              <w:rPr>
                <w:rFonts w:ascii="Garamond" w:eastAsia="SimSun" w:hAnsi="Garamond" w:cs="Calibri Light"/>
                <w:color w:val="1D3C5A"/>
                <w:sz w:val="10"/>
                <w:szCs w:val="16"/>
                <w:u w:val="single"/>
                <w:lang w:eastAsia="en-US"/>
              </w:rPr>
            </w:pPr>
            <w:r w:rsidRPr="00622884">
              <w:rPr>
                <w:rFonts w:ascii="Garamond" w:eastAsia="SimSun" w:hAnsi="Garamond" w:cs="Times New Roman"/>
                <w:color w:val="1D3C5A"/>
                <w:sz w:val="10"/>
                <w:lang w:eastAsia="en-US" w:bidi="sq-AL"/>
              </w:rPr>
              <w:t xml:space="preserve">Rijetëzimi i tokave të dëmtuara: Integrimi i ZBN-së dhe PBE-së me praktikat e agropylltarisë </w:t>
            </w:r>
          </w:p>
        </w:tc>
        <w:tc>
          <w:tcPr>
            <w:tcW w:w="387" w:type="pct"/>
            <w:vAlign w:val="center"/>
          </w:tcPr>
          <w:p w14:paraId="26730CE4"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Ndërhyrja e gjelbër</w:t>
            </w:r>
          </w:p>
        </w:tc>
        <w:tc>
          <w:tcPr>
            <w:tcW w:w="1129" w:type="pct"/>
            <w:vAlign w:val="center"/>
          </w:tcPr>
          <w:p w14:paraId="26C26012" w14:textId="77777777" w:rsidR="00622884" w:rsidRPr="00622884" w:rsidRDefault="00622884" w:rsidP="00622884">
            <w:pPr>
              <w:spacing w:after="0" w:line="240" w:lineRule="auto"/>
              <w:jc w:val="left"/>
              <w:rPr>
                <w:rFonts w:ascii="Garamond" w:eastAsia="SimSun" w:hAnsi="Garamond" w:cs="Times New Roman"/>
                <w:color w:val="1D3C5A"/>
                <w:sz w:val="10"/>
                <w:lang w:eastAsia="en-US" w:bidi="sq-AL"/>
              </w:rPr>
            </w:pPr>
            <w:r w:rsidRPr="00622884">
              <w:rPr>
                <w:rFonts w:ascii="Garamond" w:eastAsia="SimSun" w:hAnsi="Garamond" w:cs="Times New Roman"/>
                <w:color w:val="1D3C5A"/>
                <w:sz w:val="10"/>
                <w:lang w:eastAsia="en-US" w:bidi="sq-AL"/>
              </w:rPr>
              <w:t xml:space="preserve">21.1 Identifikimi, vlerësimi dhe planifikimi strategjik i vendit. Të klasifikohen rajonet e prekura sipas nivelit të degradimit përmes një ushtrimi hartëzimi të zonave të degraduara në rajonet e identifikuara, për të zhvilluar një plan restaurimi me përparësi. </w:t>
            </w:r>
            <w:r w:rsidRPr="00622884">
              <w:rPr>
                <w:rFonts w:ascii="Garamond" w:eastAsia="SimSun" w:hAnsi="Garamond" w:cs="Times New Roman"/>
                <w:color w:val="1D3C5A"/>
                <w:sz w:val="10"/>
                <w:lang w:eastAsia="en-US" w:bidi="sq-AL"/>
              </w:rPr>
              <w:br/>
              <w:t>21.2 Rigjenerimi dhe ripyllëzimi i pyjeve në zonat e synuara: Has, Kukës, Pukë, Fushë-Arrëz, Mirditë, Mat, Klos, Dibër, Bulqizë, Shkodër, Krujë, Korçë, Kolonjë, Vlorë. Veprimtaria synon rivendosjen e specieve vendase të pemëve përmes mbjelljes së specieve vendore dhe rezistente ndaj zjarrit, si dhe përmes përdorimit të teknikave të parandalimit dhe aftësive ripërtëritëse ndaj zjarrit, të tilla si zonat buferike, brezat mbrojtës nga zjarri, ripyllëzimet me specie të përziera dhe brezat e pemëve rezistente ndaj zjarrit, për të minimizuar përhapjen e zjarreve në të ardhmen.</w:t>
            </w:r>
            <w:r w:rsidRPr="00622884">
              <w:rPr>
                <w:rFonts w:ascii="Garamond" w:eastAsia="SimSun" w:hAnsi="Garamond" w:cs="Times New Roman"/>
                <w:color w:val="1D3C5A"/>
                <w:sz w:val="10"/>
                <w:lang w:eastAsia="en-US" w:bidi="sq-AL"/>
              </w:rPr>
              <w:br/>
              <w:t>21.3 Të zbatohet ZBN-të dhe bioinxhinieria për mbrojtjen e tokës dhe infrastrukturës në zonat pyjore të synuara në Tropojë, Has, Kukës, Mirditë, Dibër, Mat, Bulqizë, Klos, Bovillë (Tiranë), Krujë, Gramsh, Skrapar dhe Tepelenë. Ndërhyrjet mund të përfshijnë teknika të tilla si mure mbrojtëse, mure mbajtëse me bimësi dhe specie bimore që stabilizojnë tokën për të parandaluar erozionin.</w:t>
            </w:r>
            <w:r w:rsidRPr="00622884">
              <w:rPr>
                <w:rFonts w:ascii="Garamond" w:eastAsia="SimSun" w:hAnsi="Garamond" w:cs="Times New Roman"/>
                <w:color w:val="1D3C5A"/>
                <w:sz w:val="10"/>
                <w:lang w:eastAsia="en-US" w:bidi="sq-AL"/>
              </w:rPr>
              <w:br/>
              <w:t>21.4 Të zbatohen masa për parandalimin, monitorimin dhe zbutjen e riskut nga zjarret, duke përmirësuar sistemet e monitorimit dhe paralajmërimit të hershëm, si dhe duke trajnuar komunitetet vendore dhe ekipet e pylltarisë me strategjitë e parandalimit të zjarreve dhe reagimit të shpejtë.</w:t>
            </w:r>
            <w:r w:rsidRPr="00622884">
              <w:rPr>
                <w:rFonts w:ascii="Garamond" w:eastAsia="SimSun" w:hAnsi="Garamond" w:cs="Times New Roman"/>
                <w:color w:val="1D3C5A"/>
                <w:sz w:val="10"/>
                <w:lang w:eastAsia="en-US" w:bidi="sq-AL"/>
              </w:rPr>
              <w:br/>
              <w:t>21.5 Të promovohet menaxhimi i qëndrueshëm i pyjeve i bazuar në komunitet. Të angazhohen komunitetet vendore në restaurimin e pyjeve përmes programeve të ngritjes së kapaciteteve, korrjes së qëndrueshme dhe trajnimit për parandalimin e zjarreve.</w:t>
            </w:r>
          </w:p>
          <w:p w14:paraId="09EC52D5"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21.6 Të lidhen ndërhyrjet për restaurimin e tokave të degraduara, agropylltarinë dhe zgjidhjet e bazuara në natyrë me planifikimin e MZP-së, duke përcaktuar zonat ku këto ndërhyrje mund të ulin vazhdimësinë e lëndës djegëse në peizazh, të krijojnë korridore të sigurta për ndërhyrje dhe të funksionojnë si breza buferikë për mbrojtjen e vendbanimeve dhe komuniteteve vendore.</w:t>
            </w:r>
          </w:p>
        </w:tc>
        <w:tc>
          <w:tcPr>
            <w:tcW w:w="535" w:type="pct"/>
            <w:vAlign w:val="center"/>
          </w:tcPr>
          <w:p w14:paraId="4A326303" w14:textId="77777777" w:rsidR="00622884" w:rsidRPr="00622884" w:rsidRDefault="00622884" w:rsidP="00622884">
            <w:pPr>
              <w:spacing w:after="0" w:line="240" w:lineRule="auto"/>
              <w:jc w:val="center"/>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ASH</w:t>
            </w:r>
          </w:p>
        </w:tc>
        <w:tc>
          <w:tcPr>
            <w:tcW w:w="938" w:type="pct"/>
            <w:vAlign w:val="center"/>
          </w:tcPr>
          <w:p w14:paraId="0A0D3552"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1. Sipërfaqja totale (ha) e ekosistemeve pyjore të ripyllëzuara dhe të përmirësuara (objektivi: 169,000ha).</w:t>
            </w:r>
            <w:r w:rsidRPr="00622884">
              <w:rPr>
                <w:rFonts w:ascii="Garamond" w:eastAsia="SimSun" w:hAnsi="Garamond" w:cs="Times New Roman"/>
                <w:color w:val="1D3C5A"/>
                <w:sz w:val="10"/>
                <w:lang w:eastAsia="en-US" w:bidi="sq-AL"/>
              </w:rPr>
              <w:br/>
              <w:t>2. Numri i masave ZBN dhe PBE të zbatuara në zonat e degraduara pyjore për të mbështetur rigjenerimin e pyjeve.</w:t>
            </w:r>
            <w:r w:rsidRPr="00622884">
              <w:rPr>
                <w:rFonts w:ascii="Garamond" w:eastAsia="SimSun" w:hAnsi="Garamond" w:cs="Times New Roman"/>
                <w:color w:val="1D3C5A"/>
                <w:sz w:val="10"/>
                <w:lang w:eastAsia="en-US" w:bidi="sq-AL"/>
              </w:rPr>
              <w:br/>
              <w:t xml:space="preserve">3. Numri i masave ZBN dhe bioinxhinierike të zbatuara në zonat e synuara për mbrojtjen e tokës dhe infrastrukturës. </w:t>
            </w:r>
            <w:r w:rsidRPr="00622884">
              <w:rPr>
                <w:rFonts w:ascii="Garamond" w:eastAsia="SimSun" w:hAnsi="Garamond" w:cs="Times New Roman"/>
                <w:color w:val="1D3C5A"/>
                <w:sz w:val="10"/>
                <w:lang w:eastAsia="en-US" w:bidi="sq-AL"/>
              </w:rPr>
              <w:br/>
              <w:t>4. Numri i seancave të trajnimit të zhvilluara me komunitetet vendore dhe ekipet pyjore në parandalimin e zjarreve dhe strategjitë e reagimit të shpejtë.</w:t>
            </w:r>
            <w:r w:rsidRPr="00622884">
              <w:rPr>
                <w:rFonts w:ascii="Garamond" w:eastAsia="SimSun" w:hAnsi="Garamond" w:cs="Times New Roman"/>
                <w:color w:val="1D3C5A"/>
                <w:sz w:val="10"/>
                <w:lang w:eastAsia="en-US" w:bidi="sq-AL"/>
              </w:rPr>
              <w:br/>
              <w:t>5. Numri i seancave të angazhimit me komunitetet vendore në restaurimin e pyjeve përmes programeve të ngritjes së kapaciteteve, korrjes së qëndrueshme dhe trajnimit për parandalimin e zjarreve.</w:t>
            </w:r>
          </w:p>
          <w:p w14:paraId="37C34C5A" w14:textId="77777777" w:rsidR="00622884" w:rsidRPr="00622884" w:rsidRDefault="00622884" w:rsidP="00622884">
            <w:pPr>
              <w:spacing w:after="0" w:line="240" w:lineRule="auto"/>
              <w:jc w:val="left"/>
              <w:rPr>
                <w:rFonts w:ascii="Garamond" w:eastAsia="SimSun" w:hAnsi="Garamond" w:cs="Times New Roman"/>
                <w:color w:val="1D3C5A"/>
                <w:sz w:val="10"/>
                <w:lang w:eastAsia="en-US" w:bidi="sq-AL"/>
              </w:rPr>
            </w:pPr>
            <w:r w:rsidRPr="00622884">
              <w:rPr>
                <w:rFonts w:ascii="Garamond" w:eastAsia="SimSun" w:hAnsi="Garamond" w:cs="Times New Roman"/>
                <w:color w:val="1D3C5A"/>
                <w:sz w:val="10"/>
                <w:lang w:eastAsia="en-US" w:bidi="sq-AL"/>
              </w:rPr>
              <w:t>6. Zonat e tokës së degraduar të identifikuara, hartëzuara dhe klasifikuara sipas nivelit të degradimit.</w:t>
            </w:r>
          </w:p>
          <w:p w14:paraId="5A54F00F"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7. Sipërfaqja (ha) e ndërhyrjeve restauruese dhe agropylltarisë të projektuara me funksion të qartë për reduktimin e riskut nga zjarret në peizazh.</w:t>
            </w:r>
          </w:p>
        </w:tc>
        <w:tc>
          <w:tcPr>
            <w:tcW w:w="536" w:type="pct"/>
            <w:vAlign w:val="center"/>
          </w:tcPr>
          <w:p w14:paraId="078A67B7"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Ministria e Mjedisit, Bashkitë</w:t>
            </w:r>
          </w:p>
        </w:tc>
        <w:tc>
          <w:tcPr>
            <w:tcW w:w="468" w:type="pct"/>
            <w:vAlign w:val="center"/>
          </w:tcPr>
          <w:p w14:paraId="63B9790C"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1.494.738.115</w:t>
            </w:r>
          </w:p>
        </w:tc>
      </w:tr>
      <w:tr w:rsidR="00622884" w:rsidRPr="00622884" w14:paraId="6D599BB3" w14:textId="77777777" w:rsidTr="00622884">
        <w:trPr>
          <w:trHeight w:val="567"/>
          <w:jc w:val="center"/>
        </w:trPr>
        <w:tc>
          <w:tcPr>
            <w:tcW w:w="245" w:type="pct"/>
            <w:vAlign w:val="center"/>
          </w:tcPr>
          <w:p w14:paraId="2027AC5F" w14:textId="77777777" w:rsidR="00622884" w:rsidRPr="00622884" w:rsidRDefault="00622884" w:rsidP="00622884">
            <w:pPr>
              <w:spacing w:after="0" w:line="240" w:lineRule="auto"/>
              <w:jc w:val="center"/>
              <w:rPr>
                <w:rFonts w:ascii="Garamond" w:eastAsia="SimSun" w:hAnsi="Garamond" w:cs="Calibri Light"/>
                <w:b/>
                <w:bCs/>
                <w:color w:val="1D3C5A"/>
                <w:sz w:val="10"/>
                <w:szCs w:val="16"/>
                <w:lang w:eastAsia="en-US"/>
              </w:rPr>
            </w:pPr>
            <w:r w:rsidRPr="00622884">
              <w:rPr>
                <w:rFonts w:ascii="Garamond" w:eastAsia="SimSun" w:hAnsi="Garamond" w:cs="Times New Roman"/>
                <w:b/>
                <w:color w:val="1D3C5A"/>
                <w:sz w:val="10"/>
                <w:lang w:eastAsia="en-US" w:bidi="sq-AL"/>
              </w:rPr>
              <w:t>22</w:t>
            </w:r>
          </w:p>
        </w:tc>
        <w:tc>
          <w:tcPr>
            <w:tcW w:w="373" w:type="pct"/>
            <w:vAlign w:val="center"/>
          </w:tcPr>
          <w:p w14:paraId="2D0C79ED"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Pylltari</w:t>
            </w:r>
          </w:p>
        </w:tc>
        <w:tc>
          <w:tcPr>
            <w:tcW w:w="389" w:type="pct"/>
            <w:vAlign w:val="center"/>
          </w:tcPr>
          <w:p w14:paraId="52AE4287" w14:textId="77777777" w:rsidR="00622884" w:rsidRPr="00622884" w:rsidRDefault="00622884" w:rsidP="00622884">
            <w:pPr>
              <w:spacing w:after="0" w:line="240" w:lineRule="auto"/>
              <w:jc w:val="left"/>
              <w:rPr>
                <w:rFonts w:ascii="Garamond" w:eastAsia="SimSun" w:hAnsi="Garamond" w:cs="Calibri Light"/>
                <w:color w:val="1D3C5A"/>
                <w:sz w:val="10"/>
                <w:szCs w:val="16"/>
                <w:u w:val="single"/>
                <w:lang w:eastAsia="en-US"/>
              </w:rPr>
            </w:pPr>
            <w:r w:rsidRPr="00622884">
              <w:rPr>
                <w:rFonts w:ascii="Garamond" w:eastAsia="SimSun" w:hAnsi="Garamond" w:cs="Times New Roman"/>
                <w:color w:val="1D3C5A"/>
                <w:sz w:val="10"/>
                <w:lang w:eastAsia="en-US" w:bidi="sq-AL"/>
              </w:rPr>
              <w:t>Forcimi i mbrojtjes së pyjeve dhe kullotave: Investime në kapacitetet njerëzore dhe burimet e zjarrfikësve</w:t>
            </w:r>
          </w:p>
        </w:tc>
        <w:tc>
          <w:tcPr>
            <w:tcW w:w="387" w:type="pct"/>
            <w:vAlign w:val="center"/>
          </w:tcPr>
          <w:p w14:paraId="023B0F30"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Ndërhyrja e butë</w:t>
            </w:r>
            <w:r w:rsidRPr="00622884">
              <w:rPr>
                <w:rFonts w:ascii="Garamond" w:eastAsia="SimSun" w:hAnsi="Garamond" w:cs="Times New Roman"/>
                <w:b/>
                <w:color w:val="1D3C5A"/>
                <w:sz w:val="10"/>
                <w:lang w:eastAsia="en-US" w:bidi="sq-AL"/>
              </w:rPr>
              <w:t>:</w:t>
            </w:r>
          </w:p>
        </w:tc>
        <w:tc>
          <w:tcPr>
            <w:tcW w:w="1129" w:type="pct"/>
            <w:vAlign w:val="center"/>
          </w:tcPr>
          <w:p w14:paraId="2EC24542" w14:textId="77777777" w:rsidR="00622884" w:rsidRPr="00622884" w:rsidRDefault="00622884" w:rsidP="00622884">
            <w:pPr>
              <w:spacing w:after="0" w:line="240" w:lineRule="auto"/>
              <w:jc w:val="left"/>
              <w:rPr>
                <w:rFonts w:ascii="Garamond" w:eastAsia="SimSun" w:hAnsi="Garamond" w:cs="Times New Roman"/>
                <w:color w:val="1D3C5A"/>
                <w:sz w:val="10"/>
                <w:lang w:eastAsia="en-US" w:bidi="sq-AL"/>
              </w:rPr>
            </w:pPr>
            <w:r w:rsidRPr="00622884">
              <w:rPr>
                <w:rFonts w:ascii="Garamond" w:eastAsia="SimSun" w:hAnsi="Garamond" w:cs="Times New Roman"/>
                <w:color w:val="1D3C5A"/>
                <w:sz w:val="10"/>
                <w:lang w:eastAsia="en-US" w:bidi="sq-AL"/>
              </w:rPr>
              <w:t>22.1 Të kryhet një vlerësim të nevojave për të identifikuar mangësitë në personel, trajnim dhe pajisje për parandalimin dhe reagimin ndaj zjarreve në pyje dhe kullota në zonat e cenueshme ndaj klimës.</w:t>
            </w:r>
            <w:r w:rsidRPr="00622884">
              <w:rPr>
                <w:rFonts w:ascii="Garamond" w:eastAsia="SimSun" w:hAnsi="Garamond" w:cs="Times New Roman"/>
                <w:color w:val="1D3C5A"/>
                <w:sz w:val="10"/>
                <w:lang w:eastAsia="en-US" w:bidi="sq-AL"/>
              </w:rPr>
              <w:br/>
              <w:t>22.2 Të hartohen dhe zbatohen programe trajnimi të synuara për personelin e zjarrfikësve, duke u përqendruar në parandalimin e zjarreve të përshtatura ndaj klimës, zbulimin e hershëm dhe strategjitë e reagimit të shpejtë.</w:t>
            </w:r>
            <w:r w:rsidRPr="00622884">
              <w:rPr>
                <w:rFonts w:ascii="Garamond" w:eastAsia="SimSun" w:hAnsi="Garamond" w:cs="Times New Roman"/>
                <w:color w:val="1D3C5A"/>
                <w:sz w:val="10"/>
                <w:lang w:eastAsia="en-US" w:bidi="sq-AL"/>
              </w:rPr>
              <w:br/>
              <w:t>22.3 Të përmirësohen dhe blihen pajisje zjarrfikëse të përshtatura për nevojat e pyjeve dhe kullotave, ku përfshihen automjetet, pajisjet mbrojtëse, mjetet e komunikimet dhe sistemet për transportin e ujit.</w:t>
            </w:r>
            <w:r w:rsidRPr="00622884">
              <w:rPr>
                <w:rFonts w:ascii="Garamond" w:eastAsia="SimSun" w:hAnsi="Garamond" w:cs="Times New Roman"/>
                <w:color w:val="1D3C5A"/>
                <w:sz w:val="10"/>
                <w:lang w:eastAsia="en-US" w:bidi="sq-AL"/>
              </w:rPr>
              <w:br/>
              <w:t>22.4 Të krijohen ose përmirësohen sistemet e paralajmërimit të hershëm dhe të monitorimit të riskut nga zjarri, duke integruar të dhënat meteorologjike dhe projeksionet klimatike për të përmirësuar gatishmërinë.</w:t>
            </w:r>
            <w:r w:rsidRPr="00622884">
              <w:rPr>
                <w:rFonts w:ascii="Garamond" w:eastAsia="SimSun" w:hAnsi="Garamond" w:cs="Times New Roman"/>
                <w:color w:val="1D3C5A"/>
                <w:sz w:val="10"/>
                <w:lang w:eastAsia="en-US" w:bidi="sq-AL"/>
              </w:rPr>
              <w:br/>
              <w:t xml:space="preserve">22.5 Të promovohet koordinimi ndëragjensor dhe të hartohen protokolle operacionale vendore për MZP-në dhe të zhvillohen ushtrime të përbashkëta simuluese ndërmjet bashkive, strukturave pyjore, zonave të mbrojtura, emergjencave civile, komuniteteve vendore dhe përdoruesve të kullotave, për forcimin e koordinimit dhe kapaciteteve përgjatë gjithë ciklit të menaxhimit të zjarrit. </w:t>
            </w:r>
          </w:p>
          <w:p w14:paraId="6DE7BDE2" w14:textId="77777777" w:rsidR="00622884" w:rsidRPr="00622884" w:rsidRDefault="00622884" w:rsidP="00622884">
            <w:pPr>
              <w:spacing w:after="0" w:line="240" w:lineRule="auto"/>
              <w:jc w:val="left"/>
              <w:rPr>
                <w:rFonts w:ascii="Garamond" w:eastAsia="SimSun" w:hAnsi="Garamond" w:cs="Times New Roman"/>
                <w:color w:val="1D3C5A"/>
                <w:sz w:val="10"/>
                <w:lang w:eastAsia="en-US" w:bidi="sq-AL"/>
              </w:rPr>
            </w:pPr>
            <w:r w:rsidRPr="00622884">
              <w:rPr>
                <w:rFonts w:ascii="Garamond" w:eastAsia="SimSun" w:hAnsi="Garamond" w:cs="Times New Roman"/>
                <w:color w:val="1D3C5A"/>
                <w:sz w:val="10"/>
                <w:lang w:eastAsia="en-US" w:bidi="sq-AL"/>
              </w:rPr>
              <w:t>22.6 Të pilotohet qasja e MZP-së në zonat më të cenueshme ndaj zjarreve në pyje dhe kullota, duke kombinuar hartëzimin e lëndës djegëse, analizën e ekspozimit të komuniteteve dhe infrastrukturës kritike, vlerësimin ekologjik dhe planifikimin e masave parandaluese në nivel peizazhi.</w:t>
            </w:r>
          </w:p>
        </w:tc>
        <w:tc>
          <w:tcPr>
            <w:tcW w:w="535" w:type="pct"/>
            <w:vAlign w:val="center"/>
          </w:tcPr>
          <w:p w14:paraId="6E6C6DD3" w14:textId="77777777" w:rsidR="00622884" w:rsidRPr="00622884" w:rsidRDefault="00622884" w:rsidP="00622884">
            <w:pPr>
              <w:spacing w:after="0" w:line="240" w:lineRule="auto"/>
              <w:jc w:val="center"/>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ASH</w:t>
            </w:r>
          </w:p>
        </w:tc>
        <w:tc>
          <w:tcPr>
            <w:tcW w:w="938" w:type="pct"/>
            <w:vAlign w:val="center"/>
          </w:tcPr>
          <w:p w14:paraId="50BE390E" w14:textId="77777777" w:rsidR="00622884" w:rsidRPr="00622884" w:rsidRDefault="00622884" w:rsidP="00622884">
            <w:pPr>
              <w:spacing w:after="0" w:line="240" w:lineRule="auto"/>
              <w:jc w:val="left"/>
              <w:rPr>
                <w:rFonts w:ascii="Garamond" w:eastAsia="SimSun" w:hAnsi="Garamond" w:cs="Times New Roman"/>
                <w:color w:val="1D3C5A"/>
                <w:sz w:val="10"/>
                <w:lang w:eastAsia="en-US" w:bidi="sq-AL"/>
              </w:rPr>
            </w:pPr>
            <w:r w:rsidRPr="00622884">
              <w:rPr>
                <w:rFonts w:ascii="Garamond" w:eastAsia="SimSun" w:hAnsi="Garamond" w:cs="Times New Roman"/>
                <w:color w:val="1D3C5A"/>
                <w:sz w:val="10"/>
                <w:lang w:eastAsia="en-US" w:bidi="sq-AL"/>
              </w:rPr>
              <w:t xml:space="preserve">1. Kryerja e verifikimit të vlerësimit të nevojave për identifikimin e mangësive në personel, trajnimi dhe pajisje për parandalimin dhe reagimin ndaj zjarrit në pyje dhe kullota (po/jo) </w:t>
            </w:r>
            <w:r w:rsidRPr="00622884">
              <w:rPr>
                <w:rFonts w:ascii="Garamond" w:eastAsia="SimSun" w:hAnsi="Garamond" w:cs="Times New Roman"/>
                <w:color w:val="1D3C5A"/>
                <w:sz w:val="10"/>
                <w:lang w:eastAsia="en-US" w:bidi="sq-AL"/>
              </w:rPr>
              <w:br/>
              <w:t>2. Përqindja e personelit të zjarrfikësve në zonat e cenueshme ndaj klimës të trajnuar në parandalimin, zbulimin dhe reagimin ndaj zjarreve të përshtatura ndaj klimës.</w:t>
            </w:r>
            <w:r w:rsidRPr="00622884">
              <w:rPr>
                <w:rFonts w:ascii="Garamond" w:eastAsia="SimSun" w:hAnsi="Garamond" w:cs="Times New Roman"/>
                <w:color w:val="1D3C5A"/>
                <w:sz w:val="10"/>
                <w:lang w:eastAsia="en-US" w:bidi="sq-AL"/>
              </w:rPr>
              <w:br/>
              <w:t xml:space="preserve">3. Sistemi i parandalimit dhe reagimit ndaj zjarreve është funksional, duke përfshirë pajisjet e përmirësuara dhe sistemet funksionale të paralajmërimit të hershëm dhe monitorimit (po/jo). </w:t>
            </w:r>
            <w:r w:rsidRPr="00622884">
              <w:rPr>
                <w:rFonts w:ascii="Garamond" w:eastAsia="SimSun" w:hAnsi="Garamond" w:cs="Times New Roman"/>
                <w:color w:val="1D3C5A"/>
                <w:sz w:val="10"/>
                <w:lang w:eastAsia="en-US" w:bidi="sq-AL"/>
              </w:rPr>
              <w:br/>
              <w:t xml:space="preserve">4. Numri i ushtrimeve të përbashkëta simuluese të kryera për të testuar koordinimin ndëragjensor jo vetëm për reagimin ndaj zjarrit, por edhe koordinimin për parandalimin, evakuimin, rehabilitimin pas zjarrit dhe raportimin e dëmeve.. </w:t>
            </w:r>
          </w:p>
          <w:p w14:paraId="2C9F9C3D" w14:textId="77777777" w:rsidR="00622884" w:rsidRPr="00622884" w:rsidRDefault="00622884" w:rsidP="00622884">
            <w:pPr>
              <w:spacing w:after="0" w:line="240" w:lineRule="auto"/>
              <w:jc w:val="left"/>
              <w:rPr>
                <w:rFonts w:ascii="Garamond" w:eastAsia="SimSun" w:hAnsi="Garamond" w:cs="Times New Roman"/>
                <w:color w:val="1D3C5A"/>
                <w:sz w:val="10"/>
                <w:lang w:eastAsia="en-US" w:bidi="sq-AL"/>
              </w:rPr>
            </w:pPr>
            <w:r w:rsidRPr="00622884">
              <w:rPr>
                <w:rFonts w:ascii="Garamond" w:eastAsia="SimSun" w:hAnsi="Garamond" w:cs="Times New Roman"/>
                <w:color w:val="1D3C5A"/>
                <w:sz w:val="10"/>
                <w:lang w:eastAsia="en-US" w:bidi="sq-AL"/>
              </w:rPr>
              <w:t>5. Sipërfaqja (ha) e pyjeve, kullotave dhe zonave të mbrojtura të mbuluara nga planifikimi i MZP-së.</w:t>
            </w:r>
          </w:p>
          <w:p w14:paraId="023994F3" w14:textId="77777777" w:rsidR="00622884" w:rsidRPr="00622884" w:rsidRDefault="00622884" w:rsidP="00622884">
            <w:pPr>
              <w:spacing w:after="0" w:line="240" w:lineRule="auto"/>
              <w:jc w:val="left"/>
              <w:rPr>
                <w:rFonts w:ascii="Garamond" w:eastAsia="SimSun" w:hAnsi="Garamond" w:cs="Times New Roman"/>
                <w:color w:val="1D3C5A"/>
                <w:sz w:val="10"/>
                <w:lang w:eastAsia="en-US" w:bidi="sq-AL"/>
              </w:rPr>
            </w:pPr>
            <w:r w:rsidRPr="00622884">
              <w:rPr>
                <w:rFonts w:ascii="Garamond" w:eastAsia="SimSun" w:hAnsi="Garamond" w:cs="Times New Roman"/>
                <w:color w:val="1D3C5A"/>
                <w:sz w:val="10"/>
                <w:lang w:eastAsia="en-US" w:bidi="sq-AL"/>
              </w:rPr>
              <w:t>6. Numri i planeve ose protokolleve pilot të MZP-së të hartuara dhe të miratuara në nivel vendor/peizazhi.</w:t>
            </w:r>
          </w:p>
        </w:tc>
        <w:tc>
          <w:tcPr>
            <w:tcW w:w="536" w:type="pct"/>
            <w:vAlign w:val="center"/>
          </w:tcPr>
          <w:p w14:paraId="7613D802"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Ministria e Mjedisit, Bashkitë</w:t>
            </w:r>
          </w:p>
        </w:tc>
        <w:tc>
          <w:tcPr>
            <w:tcW w:w="468" w:type="pct"/>
            <w:vAlign w:val="center"/>
          </w:tcPr>
          <w:p w14:paraId="7252CB99"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475.000</w:t>
            </w:r>
          </w:p>
        </w:tc>
      </w:tr>
      <w:tr w:rsidR="00622884" w:rsidRPr="00622884" w14:paraId="34A1CD7D" w14:textId="77777777" w:rsidTr="00622884">
        <w:trPr>
          <w:trHeight w:val="567"/>
          <w:jc w:val="center"/>
        </w:trPr>
        <w:tc>
          <w:tcPr>
            <w:tcW w:w="245" w:type="pct"/>
            <w:vAlign w:val="center"/>
          </w:tcPr>
          <w:p w14:paraId="21B70A41" w14:textId="77777777" w:rsidR="00622884" w:rsidRPr="00622884" w:rsidRDefault="00622884" w:rsidP="00622884">
            <w:pPr>
              <w:spacing w:after="0" w:line="240" w:lineRule="auto"/>
              <w:jc w:val="center"/>
              <w:rPr>
                <w:rFonts w:ascii="Garamond" w:eastAsia="SimSun" w:hAnsi="Garamond" w:cs="Calibri Light"/>
                <w:b/>
                <w:bCs/>
                <w:color w:val="1D3C5A"/>
                <w:sz w:val="10"/>
                <w:szCs w:val="16"/>
                <w:lang w:eastAsia="en-US"/>
              </w:rPr>
            </w:pPr>
            <w:r w:rsidRPr="00622884">
              <w:rPr>
                <w:rFonts w:ascii="Garamond" w:eastAsia="SimSun" w:hAnsi="Garamond" w:cs="Times New Roman"/>
                <w:b/>
                <w:color w:val="1D3C5A"/>
                <w:sz w:val="10"/>
                <w:lang w:eastAsia="en-US" w:bidi="sq-AL"/>
              </w:rPr>
              <w:t>23</w:t>
            </w:r>
          </w:p>
        </w:tc>
        <w:tc>
          <w:tcPr>
            <w:tcW w:w="373" w:type="pct"/>
            <w:vAlign w:val="center"/>
          </w:tcPr>
          <w:p w14:paraId="06112C92"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Pylltari</w:t>
            </w:r>
          </w:p>
        </w:tc>
        <w:tc>
          <w:tcPr>
            <w:tcW w:w="389" w:type="pct"/>
            <w:vAlign w:val="center"/>
          </w:tcPr>
          <w:p w14:paraId="5BE77F0E" w14:textId="77777777" w:rsidR="00622884" w:rsidRPr="00622884" w:rsidRDefault="00622884" w:rsidP="00622884">
            <w:pPr>
              <w:spacing w:after="0" w:line="240" w:lineRule="auto"/>
              <w:jc w:val="left"/>
              <w:rPr>
                <w:rFonts w:ascii="Garamond" w:eastAsia="SimSun" w:hAnsi="Garamond" w:cs="Calibri Light"/>
                <w:color w:val="1D3C5A"/>
                <w:sz w:val="10"/>
                <w:szCs w:val="16"/>
                <w:u w:val="single"/>
                <w:lang w:eastAsia="en-US"/>
              </w:rPr>
            </w:pPr>
            <w:r w:rsidRPr="00622884">
              <w:rPr>
                <w:rFonts w:ascii="Garamond" w:eastAsia="SimSun" w:hAnsi="Garamond" w:cs="Times New Roman"/>
                <w:color w:val="1D3C5A"/>
                <w:sz w:val="10"/>
                <w:lang w:eastAsia="en-US" w:bidi="sq-AL"/>
              </w:rPr>
              <w:t>Mbështetja e pyllëzimit: Ngritja e fidanishteve rajonale për speciet rezistente ndaj thatësirës</w:t>
            </w:r>
          </w:p>
        </w:tc>
        <w:tc>
          <w:tcPr>
            <w:tcW w:w="387" w:type="pct"/>
            <w:vAlign w:val="center"/>
          </w:tcPr>
          <w:p w14:paraId="5B0227C2"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Ndërhyrja e gjelbër</w:t>
            </w:r>
          </w:p>
        </w:tc>
        <w:tc>
          <w:tcPr>
            <w:tcW w:w="1129" w:type="pct"/>
            <w:vAlign w:val="center"/>
          </w:tcPr>
          <w:p w14:paraId="7CBC17FD" w14:textId="77777777" w:rsidR="00622884" w:rsidRPr="00622884" w:rsidRDefault="00622884" w:rsidP="00622884">
            <w:pPr>
              <w:spacing w:after="0" w:line="240" w:lineRule="auto"/>
              <w:jc w:val="left"/>
              <w:rPr>
                <w:rFonts w:ascii="Garamond" w:eastAsia="SimSun" w:hAnsi="Garamond" w:cs="Times New Roman"/>
                <w:color w:val="1D3C5A"/>
                <w:sz w:val="10"/>
                <w:lang w:eastAsia="en-US" w:bidi="sq-AL"/>
              </w:rPr>
            </w:pPr>
            <w:r w:rsidRPr="00622884">
              <w:rPr>
                <w:rFonts w:ascii="Garamond" w:eastAsia="SimSun" w:hAnsi="Garamond" w:cs="Times New Roman"/>
                <w:color w:val="1D3C5A"/>
                <w:sz w:val="10"/>
                <w:lang w:eastAsia="en-US" w:bidi="sq-AL"/>
              </w:rPr>
              <w:t>23.1 Të përzgjidhet vendi, të blihet toka dhe të zhvillohet infrastruktura për katër fidanishtet. Të kryhen vlerësime të përshtatshmërisë dhe disponueshmërisë së vendit për të identifikuar katër vendndodhjet e përshtatshme. Pas kësaj, të hartohet një plan zbatimi për fidanishtet, ku të përcaktohet infrastruktura e nevojshme (përgatitja e tokës, zonat në hije të përshtatshme për ngritjen e serave, ujitja me pika, rezervuarët e ujit, mjediset e magazinimit etj.).</w:t>
            </w:r>
            <w:r w:rsidRPr="00622884">
              <w:rPr>
                <w:rFonts w:ascii="Garamond" w:eastAsia="SimSun" w:hAnsi="Garamond" w:cs="Times New Roman"/>
                <w:color w:val="1D3C5A"/>
                <w:sz w:val="10"/>
                <w:lang w:eastAsia="en-US" w:bidi="sq-AL"/>
              </w:rPr>
              <w:br/>
              <w:t>23.2 Ndërtimi dhe pajisja e fidanishteve rajonale: Të zhvillohen katër fidanishte të vendosura në mënyrë strategjike me sisteme ujitjeje, ruajtje të farërave dhe mjedise të kontrolluara për të optimizuar rritjen e fidanëve.</w:t>
            </w:r>
            <w:r w:rsidRPr="00622884">
              <w:rPr>
                <w:rFonts w:ascii="Garamond" w:eastAsia="SimSun" w:hAnsi="Garamond" w:cs="Times New Roman"/>
                <w:color w:val="1D3C5A"/>
                <w:sz w:val="10"/>
                <w:lang w:eastAsia="en-US" w:bidi="sq-AL"/>
              </w:rPr>
              <w:br/>
              <w:t>23.3 Të kultivohen, përhapen dhe mirëmbahen specie vendase të shumëllojshme, të përshtatura ndaj thatësirës dhe kushteve lokale për të siguruar suksesin afatgjatë të pyllëzimit dhe të përfshihet në programin e fidanishteve një komponent për restaurimin pas zjarrit dhe duke shmangur përbërjet pyjore homogjene me potencial të lartë për përhapjen e zjarrit në zonat me risk të lartë.</w:t>
            </w:r>
            <w:r w:rsidRPr="00622884">
              <w:rPr>
                <w:rFonts w:ascii="Garamond" w:eastAsia="SimSun" w:hAnsi="Garamond" w:cs="Times New Roman"/>
                <w:color w:val="1D3C5A"/>
                <w:sz w:val="10"/>
                <w:lang w:eastAsia="en-US" w:bidi="sq-AL"/>
              </w:rPr>
              <w:br/>
              <w:t xml:space="preserve">23.4 Të krijohet një program për mbledhjen dhe ruajtjen e farave: Të zhvillohet një bankë farërash për të mbledhur dhe ruajtur fara gjenetikisht të larmishme, të përshtatura për mjedisin vendor dhe për operacione të vazhdueshme të fidanishtes si dhe aftësitë ripërtëritëse të klimës. </w:t>
            </w:r>
            <w:r w:rsidRPr="00622884">
              <w:rPr>
                <w:rFonts w:ascii="Garamond" w:eastAsia="SimSun" w:hAnsi="Garamond" w:cs="Times New Roman"/>
                <w:color w:val="1D3C5A"/>
                <w:sz w:val="10"/>
                <w:lang w:eastAsia="en-US" w:bidi="sq-AL"/>
              </w:rPr>
              <w:br/>
              <w:t>23.5 Trajnimi dhe ngritja e kapaciteteve për komunitetet vendore: Të mundësohet trajnimi teknik për komunitetet vendore dhe profesionistët e pylltarisë për menaxhimin e fidanishteve, mbledhjen e farërave dhe teknikat e qëndrueshme të mbjelljes.</w:t>
            </w:r>
            <w:r w:rsidRPr="00622884">
              <w:rPr>
                <w:rFonts w:ascii="Garamond" w:eastAsia="SimSun" w:hAnsi="Garamond" w:cs="Times New Roman"/>
                <w:color w:val="1D3C5A"/>
                <w:sz w:val="10"/>
                <w:lang w:eastAsia="en-US" w:bidi="sq-AL"/>
              </w:rPr>
              <w:br/>
            </w:r>
            <w:r w:rsidRPr="00622884">
              <w:rPr>
                <w:rFonts w:ascii="Garamond" w:eastAsia="SimSun" w:hAnsi="Garamond" w:cs="Times New Roman"/>
                <w:color w:val="1D3C5A"/>
                <w:sz w:val="10"/>
                <w:lang w:eastAsia="en-US" w:bidi="sq-AL"/>
              </w:rPr>
              <w:lastRenderedPageBreak/>
              <w:t>23.6 Zhvillimi i sistemit të monitorimit për rritjen dhe mbijetesën e fidanëve: Të zbatohet një kuadër monitorimi për të ndjekur shëndetin e fidanëve, shkallët e rritjes dhe mbijetesën pas mbjelljes në vendet e pyllëzimit.</w:t>
            </w:r>
          </w:p>
          <w:p w14:paraId="56F12EEF" w14:textId="77777777" w:rsidR="00622884" w:rsidRPr="00622884" w:rsidRDefault="00622884" w:rsidP="00622884">
            <w:pPr>
              <w:spacing w:after="0" w:line="240" w:lineRule="auto"/>
              <w:jc w:val="left"/>
              <w:rPr>
                <w:rFonts w:ascii="Garamond" w:eastAsia="SimSun" w:hAnsi="Garamond" w:cs="Times New Roman"/>
                <w:color w:val="1D3C5A"/>
                <w:sz w:val="10"/>
                <w:lang w:eastAsia="en-US" w:bidi="sq-AL"/>
              </w:rPr>
            </w:pPr>
          </w:p>
        </w:tc>
        <w:tc>
          <w:tcPr>
            <w:tcW w:w="535" w:type="pct"/>
            <w:vAlign w:val="center"/>
          </w:tcPr>
          <w:p w14:paraId="7DA2618F" w14:textId="77777777" w:rsidR="00622884" w:rsidRPr="00622884" w:rsidRDefault="00622884" w:rsidP="00622884">
            <w:pPr>
              <w:spacing w:after="0" w:line="240" w:lineRule="auto"/>
              <w:jc w:val="center"/>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lastRenderedPageBreak/>
              <w:t>ASH</w:t>
            </w:r>
          </w:p>
        </w:tc>
        <w:tc>
          <w:tcPr>
            <w:tcW w:w="938" w:type="pct"/>
            <w:vAlign w:val="center"/>
          </w:tcPr>
          <w:p w14:paraId="5985A9E0"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1. Numri i fidanishteve rajonale pyjore të ngritura për të mbështetur përpjekjet e pyllëzimit dhe ripyllëzimit në tokat pyjore të zhveshura dhe të dëmtuara nga erozioni të prekura nga zjarret dhe prerja e pemëve (objektivi: 4 fidanishte).</w:t>
            </w:r>
            <w:r w:rsidRPr="00622884">
              <w:rPr>
                <w:rFonts w:ascii="Garamond" w:eastAsia="SimSun" w:hAnsi="Garamond" w:cs="Times New Roman"/>
                <w:color w:val="1D3C5A"/>
                <w:sz w:val="10"/>
                <w:lang w:eastAsia="en-US" w:bidi="sq-AL"/>
              </w:rPr>
              <w:br/>
              <w:t>2.Numri i specieve vendase të përzgjedhura, kultivuara dhe prodhuara në fidanishte për pyllëzim, restaurim pas zjarrit dhe krijimin e strukturave pyjore më rezistente ndaj thatësirës dhe riskut nga zjarret..</w:t>
            </w:r>
            <w:r w:rsidRPr="00622884">
              <w:rPr>
                <w:rFonts w:ascii="Garamond" w:eastAsia="SimSun" w:hAnsi="Garamond" w:cs="Times New Roman"/>
                <w:color w:val="1D3C5A"/>
                <w:sz w:val="10"/>
                <w:lang w:eastAsia="en-US" w:bidi="sq-AL"/>
              </w:rPr>
              <w:br/>
              <w:t>3. Sipërfaqja totale (km²) e tokave pyjore të zhveshura dhe të dëmtuara nga erozioni të prekura nga zjarret në pyje dhe prerja e pyjeve dhe/ose pyjeve të ripyllëzuar.</w:t>
            </w:r>
          </w:p>
          <w:p w14:paraId="77D2EB2F"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4. Numri i anëtarëve të komunitetit dhe profesionistëve të pylltarisë të trajnuar në menaxhimin e fidanishteve dhe teknikat e mbjelljes së qëndrueshme.</w:t>
            </w:r>
          </w:p>
        </w:tc>
        <w:tc>
          <w:tcPr>
            <w:tcW w:w="536" w:type="pct"/>
            <w:vAlign w:val="center"/>
          </w:tcPr>
          <w:p w14:paraId="71957118"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Ministria e Mjedisit, Bashkitë</w:t>
            </w:r>
          </w:p>
        </w:tc>
        <w:tc>
          <w:tcPr>
            <w:tcW w:w="468" w:type="pct"/>
            <w:vAlign w:val="center"/>
          </w:tcPr>
          <w:p w14:paraId="0D208BD9"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2.249.360</w:t>
            </w:r>
          </w:p>
        </w:tc>
      </w:tr>
      <w:tr w:rsidR="00622884" w:rsidRPr="00622884" w14:paraId="173E6136" w14:textId="77777777" w:rsidTr="00622884">
        <w:trPr>
          <w:trHeight w:val="567"/>
          <w:jc w:val="center"/>
        </w:trPr>
        <w:tc>
          <w:tcPr>
            <w:tcW w:w="245" w:type="pct"/>
            <w:vAlign w:val="center"/>
          </w:tcPr>
          <w:p w14:paraId="3E54FD17" w14:textId="77777777" w:rsidR="00622884" w:rsidRPr="00622884" w:rsidRDefault="00622884" w:rsidP="00622884">
            <w:pPr>
              <w:spacing w:after="0" w:line="240" w:lineRule="auto"/>
              <w:jc w:val="center"/>
              <w:rPr>
                <w:rFonts w:ascii="Garamond" w:eastAsia="SimSun" w:hAnsi="Garamond" w:cs="Calibri Light"/>
                <w:b/>
                <w:bCs/>
                <w:color w:val="1D3C5A"/>
                <w:sz w:val="10"/>
                <w:szCs w:val="16"/>
                <w:lang w:eastAsia="en-US"/>
              </w:rPr>
            </w:pPr>
            <w:r w:rsidRPr="00622884">
              <w:rPr>
                <w:rFonts w:ascii="Garamond" w:eastAsia="SimSun" w:hAnsi="Garamond" w:cs="Times New Roman"/>
                <w:b/>
                <w:color w:val="1D3C5A"/>
                <w:sz w:val="10"/>
                <w:lang w:eastAsia="en-US" w:bidi="sq-AL"/>
              </w:rPr>
              <w:t>24</w:t>
            </w:r>
          </w:p>
        </w:tc>
        <w:tc>
          <w:tcPr>
            <w:tcW w:w="373" w:type="pct"/>
            <w:vAlign w:val="center"/>
          </w:tcPr>
          <w:p w14:paraId="5D7E3C89"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Pylltari</w:t>
            </w:r>
          </w:p>
        </w:tc>
        <w:tc>
          <w:tcPr>
            <w:tcW w:w="389" w:type="pct"/>
            <w:vAlign w:val="center"/>
          </w:tcPr>
          <w:p w14:paraId="4EE54429" w14:textId="77777777" w:rsidR="00622884" w:rsidRPr="00622884" w:rsidRDefault="00622884" w:rsidP="00622884">
            <w:pPr>
              <w:spacing w:after="0" w:line="240" w:lineRule="auto"/>
              <w:jc w:val="left"/>
              <w:rPr>
                <w:rFonts w:ascii="Garamond" w:eastAsia="SimSun" w:hAnsi="Garamond" w:cs="Calibri Light"/>
                <w:color w:val="1D3C5A"/>
                <w:sz w:val="10"/>
                <w:szCs w:val="16"/>
                <w:u w:val="single"/>
                <w:lang w:eastAsia="en-US"/>
              </w:rPr>
            </w:pPr>
            <w:r w:rsidRPr="00622884">
              <w:rPr>
                <w:rFonts w:ascii="Garamond" w:eastAsia="SimSun" w:hAnsi="Garamond" w:cs="Times New Roman"/>
                <w:color w:val="1D3C5A"/>
                <w:sz w:val="10"/>
                <w:lang w:eastAsia="en-US" w:bidi="sq-AL"/>
              </w:rPr>
              <w:t xml:space="preserve"> Mbështetja e migrimit të specieve të rralla dhe endemike të pyjeve në lartësi më të mëdha</w:t>
            </w:r>
          </w:p>
        </w:tc>
        <w:tc>
          <w:tcPr>
            <w:tcW w:w="387" w:type="pct"/>
            <w:vAlign w:val="center"/>
          </w:tcPr>
          <w:p w14:paraId="4C74C46B"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Ndërhyrja e gjelbër</w:t>
            </w:r>
          </w:p>
        </w:tc>
        <w:tc>
          <w:tcPr>
            <w:tcW w:w="1129" w:type="pct"/>
            <w:vAlign w:val="center"/>
          </w:tcPr>
          <w:p w14:paraId="36A00973"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24.1 Identifikimi i habitateve të përshtatshme në lartësi të madhe: Të kryhen vlerësime ekologjike për të identifikuar zonat optimale me lartësi të madhe me kushtet e nevojshme klimatike dhe të tokës për zhvendosjen e specieve.</w:t>
            </w:r>
            <w:r w:rsidRPr="00622884">
              <w:rPr>
                <w:rFonts w:ascii="Garamond" w:eastAsia="SimSun" w:hAnsi="Garamond" w:cs="Times New Roman"/>
                <w:color w:val="1D3C5A"/>
                <w:sz w:val="10"/>
                <w:lang w:eastAsia="en-US" w:bidi="sq-AL"/>
              </w:rPr>
              <w:br/>
              <w:t>24.2 Zhvillimi i protokolleve të migracionit të ndihmuar: Të jepen udhëzime për transplantimin e specieve të rralla dhe endemike, duke siguruar ndërprerje minimale ekologjike dhe duke maksimizuar suksesin e përshtatjes.</w:t>
            </w:r>
            <w:r w:rsidRPr="00622884">
              <w:rPr>
                <w:rFonts w:ascii="Garamond" w:eastAsia="SimSun" w:hAnsi="Garamond" w:cs="Times New Roman"/>
                <w:color w:val="1D3C5A"/>
                <w:sz w:val="10"/>
                <w:lang w:eastAsia="en-US" w:bidi="sq-AL"/>
              </w:rPr>
              <w:br/>
              <w:t>24.3 Të ngrihen parcela eksperimentale të zhvendosjes: Të ngrihen parcela pilot për të monitoruar përshtatjen e specieve dhe për të përsosur praktikat më të mira për migrimet në shkallë të gjerë në të ardhmen.</w:t>
            </w:r>
            <w:r w:rsidRPr="00622884">
              <w:rPr>
                <w:rFonts w:ascii="Garamond" w:eastAsia="SimSun" w:hAnsi="Garamond" w:cs="Times New Roman"/>
                <w:color w:val="1D3C5A"/>
                <w:sz w:val="10"/>
                <w:lang w:eastAsia="en-US" w:bidi="sq-AL"/>
              </w:rPr>
              <w:br/>
              <w:t>24.4 Ofrimi i mbështetjes financiare dhe teknike për menaxhimin e habitatit: Të ofrohen incentiva dhe trajnime për palët e interesit vendore për të menaxhuar habitatet e reja në lartësi të madhe, duke mundësuar konservimin afatgjatë.</w:t>
            </w:r>
            <w:r w:rsidRPr="00622884">
              <w:rPr>
                <w:rFonts w:ascii="Garamond" w:eastAsia="SimSun" w:hAnsi="Garamond" w:cs="Times New Roman"/>
                <w:color w:val="1D3C5A"/>
                <w:sz w:val="10"/>
                <w:lang w:eastAsia="en-US" w:bidi="sq-AL"/>
              </w:rPr>
              <w:br/>
              <w:t>24.5 Të monitorohet dhe zhvillohet strategjia afatgjatë e përshtatjes: Të zbatohet një program monitorimi i vazhdueshëm për të ndjekur shëndetin e specieve, ndërveprimet me ekosistemin dhe përshtatjet e nevojshme me kalimin e kohës.</w:t>
            </w:r>
          </w:p>
        </w:tc>
        <w:tc>
          <w:tcPr>
            <w:tcW w:w="535" w:type="pct"/>
            <w:vAlign w:val="center"/>
          </w:tcPr>
          <w:p w14:paraId="34974CAE" w14:textId="77777777" w:rsidR="00622884" w:rsidRPr="00622884" w:rsidRDefault="00622884" w:rsidP="00622884">
            <w:pPr>
              <w:spacing w:after="0" w:line="240" w:lineRule="auto"/>
              <w:jc w:val="center"/>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ASH</w:t>
            </w:r>
          </w:p>
        </w:tc>
        <w:tc>
          <w:tcPr>
            <w:tcW w:w="938" w:type="pct"/>
            <w:vAlign w:val="center"/>
          </w:tcPr>
          <w:p w14:paraId="2B658920"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 xml:space="preserve">1. Numri i specieve të pemëve pyjore të zbuluara në lartësi më të mëdha. </w:t>
            </w:r>
            <w:r w:rsidRPr="00622884">
              <w:rPr>
                <w:rFonts w:ascii="Garamond" w:eastAsia="SimSun" w:hAnsi="Garamond" w:cs="Times New Roman"/>
                <w:color w:val="1D3C5A"/>
                <w:sz w:val="10"/>
                <w:lang w:eastAsia="en-US" w:bidi="sq-AL"/>
              </w:rPr>
              <w:br/>
              <w:t>2. Sipërfaqja totale (ha) e habitateve të përshtatshme në lartësi të madhe të identifikuara që kanë kushte të përshtatshme klimatike dhe tokësore për zhvendosjen e specieve.</w:t>
            </w:r>
            <w:r w:rsidRPr="00622884">
              <w:rPr>
                <w:rFonts w:ascii="Garamond" w:eastAsia="SimSun" w:hAnsi="Garamond" w:cs="Times New Roman"/>
                <w:color w:val="1D3C5A"/>
                <w:sz w:val="10"/>
                <w:lang w:eastAsia="en-US" w:bidi="sq-AL"/>
              </w:rPr>
              <w:br/>
              <w:t xml:space="preserve">3. Shuma e investimit të alokuar për krijimin dhe menaxhimin e zonave të reja në lartësi të madhe (dollarë amerikanë/vit). </w:t>
            </w:r>
            <w:r w:rsidRPr="00622884">
              <w:rPr>
                <w:rFonts w:ascii="Garamond" w:eastAsia="SimSun" w:hAnsi="Garamond" w:cs="Times New Roman"/>
                <w:color w:val="1D3C5A"/>
                <w:sz w:val="10"/>
                <w:lang w:eastAsia="en-US" w:bidi="sq-AL"/>
              </w:rPr>
              <w:br/>
              <w:t>4. Numri i seancave të trajnimit të zhvilluara për krijimin dhe menaxhimin e zonave të reja në lartësi të madhe.</w:t>
            </w:r>
          </w:p>
        </w:tc>
        <w:tc>
          <w:tcPr>
            <w:tcW w:w="536" w:type="pct"/>
            <w:vAlign w:val="center"/>
          </w:tcPr>
          <w:p w14:paraId="714A6943"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Ministria e Mjedisit, Bashkitë</w:t>
            </w:r>
          </w:p>
        </w:tc>
        <w:tc>
          <w:tcPr>
            <w:tcW w:w="468" w:type="pct"/>
            <w:vAlign w:val="center"/>
          </w:tcPr>
          <w:p w14:paraId="4EB52AF9"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894.780</w:t>
            </w:r>
          </w:p>
        </w:tc>
      </w:tr>
      <w:tr w:rsidR="00622884" w:rsidRPr="00622884" w14:paraId="65E0A814" w14:textId="77777777" w:rsidTr="00622884">
        <w:trPr>
          <w:trHeight w:val="567"/>
          <w:jc w:val="center"/>
        </w:trPr>
        <w:tc>
          <w:tcPr>
            <w:tcW w:w="245" w:type="pct"/>
            <w:vAlign w:val="center"/>
          </w:tcPr>
          <w:p w14:paraId="4F24046C" w14:textId="77777777" w:rsidR="00622884" w:rsidRPr="00622884" w:rsidRDefault="00622884" w:rsidP="00622884">
            <w:pPr>
              <w:spacing w:after="0" w:line="240" w:lineRule="auto"/>
              <w:jc w:val="center"/>
              <w:rPr>
                <w:rFonts w:ascii="Garamond" w:eastAsia="SimSun" w:hAnsi="Garamond" w:cs="Calibri Light"/>
                <w:b/>
                <w:bCs/>
                <w:color w:val="1D3C5A"/>
                <w:sz w:val="10"/>
                <w:szCs w:val="16"/>
                <w:lang w:eastAsia="en-US"/>
              </w:rPr>
            </w:pPr>
            <w:r w:rsidRPr="00622884">
              <w:rPr>
                <w:rFonts w:ascii="Garamond" w:eastAsia="SimSun" w:hAnsi="Garamond" w:cs="Times New Roman"/>
                <w:b/>
                <w:color w:val="1D3C5A"/>
                <w:sz w:val="10"/>
                <w:lang w:eastAsia="en-US" w:bidi="sq-AL"/>
              </w:rPr>
              <w:t>25</w:t>
            </w:r>
          </w:p>
        </w:tc>
        <w:tc>
          <w:tcPr>
            <w:tcW w:w="373" w:type="pct"/>
            <w:vAlign w:val="center"/>
          </w:tcPr>
          <w:p w14:paraId="33CA78BB"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Pylltari</w:t>
            </w:r>
          </w:p>
        </w:tc>
        <w:tc>
          <w:tcPr>
            <w:tcW w:w="389" w:type="pct"/>
            <w:vAlign w:val="center"/>
          </w:tcPr>
          <w:p w14:paraId="79865B12" w14:textId="77777777" w:rsidR="00622884" w:rsidRPr="00622884" w:rsidRDefault="00622884" w:rsidP="00622884">
            <w:pPr>
              <w:spacing w:after="0" w:line="240" w:lineRule="auto"/>
              <w:jc w:val="left"/>
              <w:rPr>
                <w:rFonts w:ascii="Garamond" w:eastAsia="SimSun" w:hAnsi="Garamond" w:cs="Calibri Light"/>
                <w:color w:val="1D3C5A"/>
                <w:sz w:val="10"/>
                <w:szCs w:val="16"/>
                <w:u w:val="single"/>
                <w:lang w:eastAsia="en-US"/>
              </w:rPr>
            </w:pPr>
            <w:r w:rsidRPr="00622884">
              <w:rPr>
                <w:rFonts w:ascii="Garamond" w:eastAsia="SimSun" w:hAnsi="Garamond" w:cs="Times New Roman"/>
                <w:color w:val="1D3C5A"/>
                <w:sz w:val="10"/>
                <w:lang w:eastAsia="en-US" w:bidi="sq-AL"/>
              </w:rPr>
              <w:t>Rivendosja e ekosistemeve jetësore: Mbrojtja dhe rigjenerimi i brezave të gjelbër bregdetarë dhe lumorë dhe ekosistemeve mbrojtëse</w:t>
            </w:r>
          </w:p>
        </w:tc>
        <w:tc>
          <w:tcPr>
            <w:tcW w:w="387" w:type="pct"/>
            <w:vAlign w:val="center"/>
          </w:tcPr>
          <w:p w14:paraId="3260CA22"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Ndërhyrja e gjelbër</w:t>
            </w:r>
          </w:p>
        </w:tc>
        <w:tc>
          <w:tcPr>
            <w:tcW w:w="1129" w:type="pct"/>
            <w:vAlign w:val="center"/>
          </w:tcPr>
          <w:p w14:paraId="46375949"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25.1 Të përzgjidhet vendndodhja, të vlerësohet risku dhe të kryhet planifikimi strategjik. Studime hidrologjike, gjeomorfologjike, të vlerësimit të riskut dhe të sensorëve në distancë për të identifikuar zonat e ndërhyrjes dhe për të përcaktuar një plan ndërhyrjeje.</w:t>
            </w:r>
            <w:r w:rsidRPr="00622884">
              <w:rPr>
                <w:rFonts w:ascii="Garamond" w:eastAsia="SimSun" w:hAnsi="Garamond" w:cs="Times New Roman"/>
                <w:color w:val="1D3C5A"/>
                <w:sz w:val="10"/>
                <w:lang w:eastAsia="en-US" w:bidi="sq-AL"/>
              </w:rPr>
              <w:br/>
              <w:t>25.2 Të zbatohen masat bioinxhinierike për menaxhimin e erozionit bregdetar në Velipojë, Kepi Rodonit, Bishti i Pallës, Kurbin (Patok), Fier (Darzezë), Durrës (Rushkull) dhe Vlorë (Pylli Sodës). Të përdoret argjinatura me bimësi, stabilizimi i dunave dhe restaurimi e ligatinave në zonat bregdetare të ndjeshme për të zbutur erozionin dhe për të përmirësuar mbrojtjen nga përmbytjet.</w:t>
            </w:r>
            <w:r w:rsidRPr="00622884">
              <w:rPr>
                <w:rFonts w:ascii="Garamond" w:eastAsia="SimSun" w:hAnsi="Garamond" w:cs="Times New Roman"/>
                <w:color w:val="1D3C5A"/>
                <w:sz w:val="10"/>
                <w:lang w:eastAsia="en-US" w:bidi="sq-AL"/>
              </w:rPr>
              <w:br/>
              <w:t>25.3 Mbrojtja dhe rigjenerimi i brezave të gjelbër bregdetarë në zonat e Velipojës, Lagunës së Patokut, Rrushkullit, Karpenit, Spillesë, derdhjes së Vjosës, Dukatit, Karaburunit, Pishë-Porosë, Lukovës dhe Sarandës. Të mbrohen, zgjerohen, dhe përmirësohen rripat e gjelbër bregdetarë ekzistues duke mbjellë bimësi vendase, duke përmirësuar lidhshmërinë midis ekosistemeve bregdetare dhe duke ngritur zona buferike bregdetare për të filtruar ndotësit.</w:t>
            </w:r>
            <w:r w:rsidRPr="00622884">
              <w:rPr>
                <w:rFonts w:ascii="Garamond" w:eastAsia="SimSun" w:hAnsi="Garamond" w:cs="Times New Roman"/>
                <w:color w:val="1D3C5A"/>
                <w:sz w:val="10"/>
                <w:lang w:eastAsia="en-US" w:bidi="sq-AL"/>
              </w:rPr>
              <w:br/>
              <w:t>25.4 Punime inxhinierike të mbrojtjes bregdetare (infrastruktura gri) në zonat Velipoje, Kune-Vain, Patok-Fushë Kuqe, Rrushkull, Divjakë-Karavasta, Nartë, dhe Butrint. Ndërhyrjet mund të përfshijnë ndërtimin e argjinaturave bregdetare, dallgëthyesve për të reduktuar ndikimin e veprimeve të valëve dhe mure detare për t’u mbrojtur nga baticat e larta dhe stuhitë e forta, duke kufizuar tërheqjen bregdetare.</w:t>
            </w:r>
            <w:r w:rsidRPr="00622884">
              <w:rPr>
                <w:rFonts w:ascii="Garamond" w:eastAsia="SimSun" w:hAnsi="Garamond" w:cs="Times New Roman"/>
                <w:color w:val="1D3C5A"/>
                <w:sz w:val="10"/>
                <w:lang w:eastAsia="en-US" w:bidi="sq-AL"/>
              </w:rPr>
              <w:br/>
              <w:t>Qëndrueshmëria e strukturave do të promovohet duke integruar materiale miqësore me mjedisin, aty ku është e mundur.</w:t>
            </w:r>
            <w:r w:rsidRPr="00622884">
              <w:rPr>
                <w:rFonts w:ascii="Garamond" w:eastAsia="SimSun" w:hAnsi="Garamond" w:cs="Times New Roman"/>
                <w:color w:val="1D3C5A"/>
                <w:sz w:val="10"/>
                <w:lang w:eastAsia="en-US" w:bidi="sq-AL"/>
              </w:rPr>
              <w:br/>
              <w:t>25.5 Forcimi i rezistencës së ekosistemit lumor: Të bëhet stabilizimi i tokës me bimë vendase dhe masa kontrolli të erozionit bimor në zonat lumore, veçanërisht në Bovillë dhe në pellgjet ujëmbledhëse të Drinit, Matit, Erzenit, Shkumbinit, Vjosës dhe Semanit, për të zvogëluar sedimentimin dhe për të përmirësuar menaxhimin e përmbytjeve.</w:t>
            </w:r>
            <w:r w:rsidRPr="00622884">
              <w:rPr>
                <w:rFonts w:ascii="Garamond" w:eastAsia="SimSun" w:hAnsi="Garamond" w:cs="Times New Roman"/>
                <w:color w:val="1D3C5A"/>
                <w:sz w:val="10"/>
                <w:lang w:eastAsia="en-US" w:bidi="sq-AL"/>
              </w:rPr>
              <w:br/>
              <w:t>25.6 Përmirësimi i monitorimit dhe strategjive të menaxhimit përshtatës: Të krijohen programe monitorimi afatgjata për ekosistemet bregdetare dhe lumore, duke integruar imazhet satelitore dhe vlerësimet e biodiversitetit në vend për të matur efektivitetin e përpjekjeve të restaurimit.</w:t>
            </w:r>
          </w:p>
        </w:tc>
        <w:tc>
          <w:tcPr>
            <w:tcW w:w="535" w:type="pct"/>
            <w:vAlign w:val="center"/>
          </w:tcPr>
          <w:p w14:paraId="546924AD" w14:textId="77777777" w:rsidR="00622884" w:rsidRPr="00622884" w:rsidRDefault="00622884" w:rsidP="00622884">
            <w:pPr>
              <w:spacing w:after="0" w:line="240" w:lineRule="auto"/>
              <w:jc w:val="center"/>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ASH</w:t>
            </w:r>
          </w:p>
        </w:tc>
        <w:tc>
          <w:tcPr>
            <w:tcW w:w="938" w:type="pct"/>
            <w:vAlign w:val="center"/>
          </w:tcPr>
          <w:p w14:paraId="60B0F4E9"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1. Numri i zonave bregdetare ku janë zbatuar masat për erozionin bioinxhinierik.</w:t>
            </w:r>
            <w:r w:rsidRPr="00622884">
              <w:rPr>
                <w:rFonts w:ascii="Garamond" w:eastAsia="SimSun" w:hAnsi="Garamond" w:cs="Times New Roman"/>
                <w:color w:val="1D3C5A"/>
                <w:sz w:val="10"/>
                <w:lang w:eastAsia="en-US" w:bidi="sq-AL"/>
              </w:rPr>
              <w:br/>
              <w:t>2. Numri i hektarëve të brezave të gjelbër bregdetarë të restauruar ose të zgjeruar me bimësi vendase.</w:t>
            </w:r>
            <w:r w:rsidRPr="00622884">
              <w:rPr>
                <w:rFonts w:ascii="Garamond" w:eastAsia="SimSun" w:hAnsi="Garamond" w:cs="Times New Roman"/>
                <w:color w:val="1D3C5A"/>
                <w:sz w:val="10"/>
                <w:lang w:eastAsia="en-US" w:bidi="sq-AL"/>
              </w:rPr>
              <w:br/>
              <w:t>3. Numri i punimeve të përfunduara të mbrojtjes bregdetare të infrastrukturës gri (p.sh., argjinatura, dallgëthyes, mure detarë).</w:t>
            </w:r>
            <w:r w:rsidRPr="00622884">
              <w:rPr>
                <w:rFonts w:ascii="Garamond" w:eastAsia="SimSun" w:hAnsi="Garamond" w:cs="Times New Roman"/>
                <w:color w:val="1D3C5A"/>
                <w:sz w:val="10"/>
                <w:lang w:eastAsia="en-US" w:bidi="sq-AL"/>
              </w:rPr>
              <w:br/>
              <w:t>4. Përqindja e strukturave mbrojtëse bregdetare që integrojnë materiale miqësore me mjedisin ose komponentë të bazuar në natyrë.</w:t>
            </w:r>
            <w:r w:rsidRPr="00622884">
              <w:rPr>
                <w:rFonts w:ascii="Garamond" w:eastAsia="SimSun" w:hAnsi="Garamond" w:cs="Times New Roman"/>
                <w:color w:val="1D3C5A"/>
                <w:sz w:val="10"/>
                <w:lang w:eastAsia="en-US" w:bidi="sq-AL"/>
              </w:rPr>
              <w:br/>
              <w:t xml:space="preserve">5. Numri i pellgjeve ujëmbledhëse me masa për stabilizimin e tokës dhe kontrollin e erozionit të zbatuara duke përdorur bimësi vendase. </w:t>
            </w:r>
            <w:r w:rsidRPr="00622884">
              <w:rPr>
                <w:rFonts w:ascii="Garamond" w:eastAsia="SimSun" w:hAnsi="Garamond" w:cs="Times New Roman"/>
                <w:color w:val="1D3C5A"/>
                <w:sz w:val="10"/>
                <w:lang w:eastAsia="en-US" w:bidi="sq-AL"/>
              </w:rPr>
              <w:br/>
              <w:t xml:space="preserve">6. Numri i vlerësimeve të rrezikut bregdetar dhe hidrologjike specifike për vendin të përfunduara për të udhëhequr planifikimin e ndërhyrjeve. </w:t>
            </w:r>
            <w:r w:rsidRPr="00622884">
              <w:rPr>
                <w:rFonts w:ascii="Garamond" w:eastAsia="SimSun" w:hAnsi="Garamond" w:cs="Times New Roman"/>
                <w:color w:val="1D3C5A"/>
                <w:sz w:val="10"/>
                <w:lang w:eastAsia="en-US" w:bidi="sq-AL"/>
              </w:rPr>
              <w:br/>
              <w:t>7. Numri i vendeve të monitorimit të krijuara për ndjekjen e restaurimit të ekosistemit bregdetar dhe lumor duke përdorur metoda satelitore dhe të bazuara në terren</w:t>
            </w:r>
          </w:p>
        </w:tc>
        <w:tc>
          <w:tcPr>
            <w:tcW w:w="536" w:type="pct"/>
            <w:vAlign w:val="center"/>
          </w:tcPr>
          <w:p w14:paraId="7FB07657"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Ministria e Mjedisit, Bashkitë</w:t>
            </w:r>
          </w:p>
        </w:tc>
        <w:tc>
          <w:tcPr>
            <w:tcW w:w="468" w:type="pct"/>
            <w:vAlign w:val="center"/>
          </w:tcPr>
          <w:p w14:paraId="2FB8F6CB"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145.561.688</w:t>
            </w:r>
          </w:p>
        </w:tc>
      </w:tr>
      <w:tr w:rsidR="00622884" w:rsidRPr="00622884" w14:paraId="68F7BB9A" w14:textId="77777777" w:rsidTr="00622884">
        <w:trPr>
          <w:trHeight w:val="567"/>
          <w:jc w:val="center"/>
        </w:trPr>
        <w:tc>
          <w:tcPr>
            <w:tcW w:w="245" w:type="pct"/>
            <w:vAlign w:val="center"/>
          </w:tcPr>
          <w:p w14:paraId="769CFB67" w14:textId="77777777" w:rsidR="00622884" w:rsidRPr="00622884" w:rsidRDefault="00622884" w:rsidP="00622884">
            <w:pPr>
              <w:spacing w:after="0" w:line="240" w:lineRule="auto"/>
              <w:jc w:val="center"/>
              <w:rPr>
                <w:rFonts w:ascii="Garamond" w:eastAsia="SimSun" w:hAnsi="Garamond" w:cs="Calibri Light"/>
                <w:b/>
                <w:bCs/>
                <w:color w:val="1D3C5A"/>
                <w:sz w:val="10"/>
                <w:szCs w:val="16"/>
                <w:lang w:eastAsia="en-US"/>
              </w:rPr>
            </w:pPr>
            <w:r w:rsidRPr="00622884">
              <w:rPr>
                <w:rFonts w:ascii="Garamond" w:eastAsia="SimSun" w:hAnsi="Garamond" w:cs="Times New Roman"/>
                <w:b/>
                <w:color w:val="1D3C5A"/>
                <w:sz w:val="10"/>
                <w:lang w:eastAsia="en-US" w:bidi="sq-AL"/>
              </w:rPr>
              <w:t>26</w:t>
            </w:r>
          </w:p>
        </w:tc>
        <w:tc>
          <w:tcPr>
            <w:tcW w:w="373" w:type="pct"/>
            <w:vAlign w:val="center"/>
          </w:tcPr>
          <w:p w14:paraId="7F658D15"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Pylltari</w:t>
            </w:r>
          </w:p>
        </w:tc>
        <w:tc>
          <w:tcPr>
            <w:tcW w:w="389" w:type="pct"/>
            <w:vAlign w:val="center"/>
          </w:tcPr>
          <w:p w14:paraId="75E269C5" w14:textId="77777777" w:rsidR="00622884" w:rsidRPr="00622884" w:rsidRDefault="00622884" w:rsidP="00622884">
            <w:pPr>
              <w:spacing w:after="0" w:line="240" w:lineRule="auto"/>
              <w:jc w:val="left"/>
              <w:rPr>
                <w:rFonts w:ascii="Garamond" w:eastAsia="SimSun" w:hAnsi="Garamond" w:cs="Calibri Light"/>
                <w:color w:val="1D3C5A"/>
                <w:sz w:val="10"/>
                <w:szCs w:val="16"/>
                <w:u w:val="single"/>
                <w:lang w:eastAsia="en-US"/>
              </w:rPr>
            </w:pPr>
            <w:r w:rsidRPr="00622884">
              <w:rPr>
                <w:rFonts w:ascii="Garamond" w:eastAsia="SimSun" w:hAnsi="Garamond" w:cs="Times New Roman"/>
                <w:color w:val="1D3C5A"/>
                <w:sz w:val="10"/>
                <w:lang w:eastAsia="en-US" w:bidi="sq-AL"/>
              </w:rPr>
              <w:t>Financim i qëndrueshëm përmes pagesës për shërbimet e ekosistemit (PSHE)</w:t>
            </w:r>
          </w:p>
        </w:tc>
        <w:tc>
          <w:tcPr>
            <w:tcW w:w="387" w:type="pct"/>
            <w:vAlign w:val="center"/>
          </w:tcPr>
          <w:p w14:paraId="0A00903F"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Ndërhyrja e butë</w:t>
            </w:r>
            <w:r w:rsidRPr="00622884">
              <w:rPr>
                <w:rFonts w:ascii="Garamond" w:eastAsia="SimSun" w:hAnsi="Garamond" w:cs="Times New Roman"/>
                <w:b/>
                <w:color w:val="1D3C5A"/>
                <w:sz w:val="10"/>
                <w:lang w:eastAsia="en-US" w:bidi="sq-AL"/>
              </w:rPr>
              <w:t>:</w:t>
            </w:r>
          </w:p>
        </w:tc>
        <w:tc>
          <w:tcPr>
            <w:tcW w:w="1129" w:type="pct"/>
            <w:vAlign w:val="center"/>
          </w:tcPr>
          <w:p w14:paraId="52AA8718"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26.1 Të kryhet një vlerësim për të identifikuar shërbimet kryesore të ekosistemit (p.sh., rregullimi i ujit, sekuestrimi i karbonit, mbrojtja e biodiversitetit) dhe përfituesit e tyre kryesorë në nivel kombëtar dhe vendor.</w:t>
            </w:r>
            <w:r w:rsidRPr="00622884">
              <w:rPr>
                <w:rFonts w:ascii="Garamond" w:eastAsia="SimSun" w:hAnsi="Garamond" w:cs="Times New Roman"/>
                <w:color w:val="1D3C5A"/>
                <w:sz w:val="10"/>
                <w:lang w:eastAsia="en-US" w:bidi="sq-AL"/>
              </w:rPr>
              <w:br/>
              <w:t>26.2 Të zhvillohet një kuadër institucional për të mundësuar dhe rregulluar skemat e PSHE-së, duke përfshirë procedurat për kontraktimin, menaxhimin e fondeve, ndarjen e përfitimeve dhe monitorimin.</w:t>
            </w:r>
            <w:r w:rsidRPr="00622884">
              <w:rPr>
                <w:rFonts w:ascii="Garamond" w:eastAsia="SimSun" w:hAnsi="Garamond" w:cs="Times New Roman"/>
                <w:color w:val="1D3C5A"/>
                <w:sz w:val="10"/>
                <w:lang w:eastAsia="en-US" w:bidi="sq-AL"/>
              </w:rPr>
              <w:br/>
              <w:t>26.3 Të zbatohen marrëveshjet pilot të PSHE-së në zona të zgjedhura duke krijuar kontrata formale midis përfituesve të shërbimeve dhe ofruesve të shërbimeve, me mekanizma për të kanalizuar fondet drejt menaxhimit të qëndrueshëm të tokës dhe ekosistemit.</w:t>
            </w:r>
            <w:r w:rsidRPr="00622884">
              <w:rPr>
                <w:rFonts w:ascii="Garamond" w:eastAsia="SimSun" w:hAnsi="Garamond" w:cs="Times New Roman"/>
                <w:color w:val="1D3C5A"/>
                <w:sz w:val="10"/>
                <w:lang w:eastAsia="en-US" w:bidi="sq-AL"/>
              </w:rPr>
              <w:br/>
              <w:t>26.4 Të ofrohet asistencë teknike për palët vendore të interesit për të siguruar pjesëmarrje efektive në skemat e PSHE-së.</w:t>
            </w:r>
          </w:p>
        </w:tc>
        <w:tc>
          <w:tcPr>
            <w:tcW w:w="535" w:type="pct"/>
            <w:vAlign w:val="center"/>
          </w:tcPr>
          <w:p w14:paraId="730D851F" w14:textId="77777777" w:rsidR="00622884" w:rsidRPr="00622884" w:rsidRDefault="00622884" w:rsidP="00622884">
            <w:pPr>
              <w:spacing w:after="0" w:line="240" w:lineRule="auto"/>
              <w:jc w:val="center"/>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AGJ</w:t>
            </w:r>
          </w:p>
        </w:tc>
        <w:tc>
          <w:tcPr>
            <w:tcW w:w="938" w:type="pct"/>
            <w:vAlign w:val="center"/>
          </w:tcPr>
          <w:p w14:paraId="68B8FB8F"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1. Ekzistenca e një raporti kombëtar vlerësimi që identifikon shërbimet kryesore të ekosistemit dhe përfituesit e tyre kryesorë në nivel kombëtar dhe vendor (Po/Jo).</w:t>
            </w:r>
            <w:r w:rsidRPr="00622884">
              <w:rPr>
                <w:rFonts w:ascii="Garamond" w:eastAsia="SimSun" w:hAnsi="Garamond" w:cs="Times New Roman"/>
                <w:color w:val="1D3C5A"/>
                <w:sz w:val="10"/>
                <w:lang w:eastAsia="en-US" w:bidi="sq-AL"/>
              </w:rPr>
              <w:br/>
              <w:t>2. Ekzistenca e një kuadri institucional dhe rregullator për skemat PSHE-së të miratuara zyrtarisht (Po/Jo).</w:t>
            </w:r>
            <w:r w:rsidRPr="00622884">
              <w:rPr>
                <w:rFonts w:ascii="Garamond" w:eastAsia="SimSun" w:hAnsi="Garamond" w:cs="Times New Roman"/>
                <w:color w:val="1D3C5A"/>
                <w:sz w:val="10"/>
                <w:lang w:eastAsia="en-US" w:bidi="sq-AL"/>
              </w:rPr>
              <w:br/>
              <w:t>3. Numri i kontratave formale të PSHE-së të nënshkruara midis ofruesve të shërbimeve dhe përfituesve në zonat pilot.</w:t>
            </w:r>
            <w:r w:rsidRPr="00622884">
              <w:rPr>
                <w:rFonts w:ascii="Garamond" w:eastAsia="SimSun" w:hAnsi="Garamond" w:cs="Times New Roman"/>
                <w:color w:val="1D3C5A"/>
                <w:sz w:val="10"/>
                <w:lang w:eastAsia="en-US" w:bidi="sq-AL"/>
              </w:rPr>
              <w:br/>
              <w:t>4. Përqindja e palëve të interesit të synuara që marrin asistencë teknike për pjesëmarrjen në skemën PSHE.</w:t>
            </w:r>
          </w:p>
        </w:tc>
        <w:tc>
          <w:tcPr>
            <w:tcW w:w="536" w:type="pct"/>
            <w:vAlign w:val="center"/>
          </w:tcPr>
          <w:p w14:paraId="1B977C30"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Ministria e Bujqësisë dhe Zhvillimit Rural</w:t>
            </w:r>
          </w:p>
        </w:tc>
        <w:tc>
          <w:tcPr>
            <w:tcW w:w="468" w:type="pct"/>
            <w:vAlign w:val="center"/>
          </w:tcPr>
          <w:p w14:paraId="1D83EBBF"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16.000.000</w:t>
            </w:r>
          </w:p>
        </w:tc>
      </w:tr>
      <w:tr w:rsidR="00622884" w:rsidRPr="00622884" w14:paraId="0E841198" w14:textId="77777777" w:rsidTr="00622884">
        <w:trPr>
          <w:trHeight w:val="567"/>
          <w:jc w:val="center"/>
        </w:trPr>
        <w:tc>
          <w:tcPr>
            <w:tcW w:w="245" w:type="pct"/>
            <w:vAlign w:val="center"/>
          </w:tcPr>
          <w:p w14:paraId="02E4EC26" w14:textId="77777777" w:rsidR="00622884" w:rsidRPr="00622884" w:rsidRDefault="00622884" w:rsidP="00622884">
            <w:pPr>
              <w:spacing w:after="0" w:line="240" w:lineRule="auto"/>
              <w:jc w:val="center"/>
              <w:rPr>
                <w:rFonts w:ascii="Garamond" w:eastAsia="SimSun" w:hAnsi="Garamond" w:cs="Calibri Light"/>
                <w:b/>
                <w:bCs/>
                <w:color w:val="1D3C5A"/>
                <w:sz w:val="10"/>
                <w:szCs w:val="16"/>
                <w:lang w:eastAsia="en-US"/>
              </w:rPr>
            </w:pPr>
            <w:r w:rsidRPr="00622884">
              <w:rPr>
                <w:rFonts w:ascii="Garamond" w:eastAsia="SimSun" w:hAnsi="Garamond" w:cs="Times New Roman"/>
                <w:b/>
                <w:color w:val="1D3C5A"/>
                <w:sz w:val="10"/>
                <w:lang w:eastAsia="en-US" w:bidi="sq-AL"/>
              </w:rPr>
              <w:t>27</w:t>
            </w:r>
          </w:p>
        </w:tc>
        <w:tc>
          <w:tcPr>
            <w:tcW w:w="373" w:type="pct"/>
            <w:vAlign w:val="center"/>
          </w:tcPr>
          <w:p w14:paraId="2344222F"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Pylltari</w:t>
            </w:r>
          </w:p>
        </w:tc>
        <w:tc>
          <w:tcPr>
            <w:tcW w:w="389" w:type="pct"/>
            <w:vAlign w:val="center"/>
          </w:tcPr>
          <w:p w14:paraId="07E01748" w14:textId="77777777" w:rsidR="00622884" w:rsidRPr="00622884" w:rsidRDefault="00622884" w:rsidP="00622884">
            <w:pPr>
              <w:spacing w:after="0" w:line="240" w:lineRule="auto"/>
              <w:jc w:val="left"/>
              <w:rPr>
                <w:rFonts w:ascii="Garamond" w:eastAsia="SimSun" w:hAnsi="Garamond" w:cs="Calibri Light"/>
                <w:color w:val="1D3C5A"/>
                <w:sz w:val="10"/>
                <w:szCs w:val="16"/>
                <w:u w:val="single"/>
                <w:lang w:eastAsia="en-US"/>
              </w:rPr>
            </w:pPr>
            <w:r w:rsidRPr="00622884">
              <w:rPr>
                <w:rFonts w:ascii="Garamond" w:eastAsia="SimSun" w:hAnsi="Garamond" w:cs="Times New Roman"/>
                <w:color w:val="1D3C5A"/>
                <w:sz w:val="10"/>
                <w:lang w:eastAsia="en-US" w:bidi="sq-AL"/>
              </w:rPr>
              <w:t>Restaurimi dhe aftësitë ripërtëritëse të ekosistemit të integruar Trajtimi i erozionit të tokës në rajonet kryesore të Shqipërisë</w:t>
            </w:r>
          </w:p>
        </w:tc>
        <w:tc>
          <w:tcPr>
            <w:tcW w:w="387" w:type="pct"/>
            <w:vAlign w:val="center"/>
          </w:tcPr>
          <w:p w14:paraId="3AE9E419"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Ndërhyrja e gjelbër</w:t>
            </w:r>
          </w:p>
        </w:tc>
        <w:tc>
          <w:tcPr>
            <w:tcW w:w="1129" w:type="pct"/>
            <w:vAlign w:val="center"/>
          </w:tcPr>
          <w:p w14:paraId="39E05CBD"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27.1 Përzgjedhja e vendit, vlerësimi i riskut dhe planifikimi strategjik. Të kryhen studime hidrologjike, gjeomorfologjike, të vlerësimit të riskut dhe të sensorëve në distancë për të identifikuar zonat e ndërhyrjes dhe për të përcaktuar një plan ndërhyrjeje.</w:t>
            </w:r>
            <w:r w:rsidRPr="00622884">
              <w:rPr>
                <w:rFonts w:ascii="Garamond" w:eastAsia="SimSun" w:hAnsi="Garamond" w:cs="Times New Roman"/>
                <w:color w:val="1D3C5A"/>
                <w:sz w:val="10"/>
                <w:lang w:eastAsia="en-US" w:bidi="sq-AL"/>
              </w:rPr>
              <w:br/>
              <w:t>27.2 Të zbatohet bioinxhinieria dhe të përdoret zonat buferike bregore për të luftuar erozionin e tokës: Të përdoren zgjidhje bioinxhinierike si zonat buferike bimore, tarracat dhe speciet bimore vendase rezistente ndaj erozionit për stabilizimin e shpateve. Të mbrohet dhe të rivendoset bimësia bregore dhe ajo e ligatinave në zonat me rrezik nga erozioni, për të rritur mbajtjen e ujit, për të filtruar ndotësit dhe për të mbështetur biodiversitetin.</w:t>
            </w:r>
            <w:r w:rsidRPr="00622884">
              <w:rPr>
                <w:rFonts w:ascii="Garamond" w:eastAsia="SimSun" w:hAnsi="Garamond" w:cs="Times New Roman"/>
                <w:color w:val="1D3C5A"/>
                <w:sz w:val="10"/>
                <w:lang w:eastAsia="en-US" w:bidi="sq-AL"/>
              </w:rPr>
              <w:br/>
              <w:t>27.3 Të rritet angazhimi i komunitetit dhe menaxhimi i qëndrueshëm i tokës: Të zhvillohen programe vendore trajnimi për të promovuar praktikat e qëndrueshme bujqësore dhe pyjore që reduktojnë erozionin e tokës dhe përmirësojnë qëndrueshmërinë e ekosistemit.</w:t>
            </w:r>
            <w:r w:rsidRPr="00622884">
              <w:rPr>
                <w:rFonts w:ascii="Garamond" w:eastAsia="SimSun" w:hAnsi="Garamond" w:cs="Times New Roman"/>
                <w:color w:val="1D3C5A"/>
                <w:sz w:val="10"/>
                <w:lang w:eastAsia="en-US" w:bidi="sq-AL"/>
              </w:rPr>
              <w:br/>
              <w:t>27.4 Forcimi i monitorimit dhe strategjive të menaxhimit përshtatës: Të monitorohet ekosistemi në aspektin afatgjatë për t’u përgatitur në rast të risqeve klimatike, të ndiqet efektshmëria e përpjekjeve të restaurimit dhe të përsosen qasjet e menaxhimit përshtatës.</w:t>
            </w:r>
          </w:p>
        </w:tc>
        <w:tc>
          <w:tcPr>
            <w:tcW w:w="535" w:type="pct"/>
            <w:vAlign w:val="center"/>
          </w:tcPr>
          <w:p w14:paraId="6F528757" w14:textId="77777777" w:rsidR="00622884" w:rsidRPr="00622884" w:rsidRDefault="00622884" w:rsidP="00622884">
            <w:pPr>
              <w:spacing w:after="0" w:line="240" w:lineRule="auto"/>
              <w:jc w:val="center"/>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AGJ</w:t>
            </w:r>
          </w:p>
        </w:tc>
        <w:tc>
          <w:tcPr>
            <w:tcW w:w="938" w:type="pct"/>
            <w:vAlign w:val="center"/>
          </w:tcPr>
          <w:p w14:paraId="4C1EF5C9"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 xml:space="preserve">1. Numri i masave të bioinxhinierisë të zbatuara për të luftuar erozionin e tokës dhe për të rritur qëndrueshmërinë e ekosistemit në tokat e degraduara. </w:t>
            </w:r>
            <w:r w:rsidRPr="00622884">
              <w:rPr>
                <w:rFonts w:ascii="Garamond" w:eastAsia="SimSun" w:hAnsi="Garamond" w:cs="Times New Roman"/>
                <w:color w:val="1D3C5A"/>
                <w:sz w:val="10"/>
                <w:lang w:eastAsia="en-US" w:bidi="sq-AL"/>
              </w:rPr>
              <w:br/>
              <w:t>2. Sipërfaqja totale (ha) e tokës së degraduar e përmirësuar për të luftuar erozionin dhe për të përballuar qëndrueshmërinë e ekosistemit në Përmet (objektivi: 3.834,44 ha).</w:t>
            </w:r>
            <w:r w:rsidRPr="00622884">
              <w:rPr>
                <w:rFonts w:ascii="Garamond" w:eastAsia="SimSun" w:hAnsi="Garamond" w:cs="Times New Roman"/>
                <w:color w:val="1D3C5A"/>
                <w:sz w:val="10"/>
                <w:lang w:eastAsia="en-US" w:bidi="sq-AL"/>
              </w:rPr>
              <w:br/>
              <w:t>3. Sipërfaqja totale (ha) e tokës së degraduar e përmirësuar për të luftuar erozionin dhe aftësitë ripërtëritëse të ekosistemit në Vlorë (objektivi: 374,57 ha).</w:t>
            </w:r>
          </w:p>
        </w:tc>
        <w:tc>
          <w:tcPr>
            <w:tcW w:w="536" w:type="pct"/>
            <w:vAlign w:val="center"/>
          </w:tcPr>
          <w:p w14:paraId="5AC8107C"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Ministria e Mjedisit, Bashkitë</w:t>
            </w:r>
          </w:p>
        </w:tc>
        <w:tc>
          <w:tcPr>
            <w:tcW w:w="468" w:type="pct"/>
            <w:vAlign w:val="center"/>
          </w:tcPr>
          <w:p w14:paraId="482D578A"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62.573.351</w:t>
            </w:r>
          </w:p>
        </w:tc>
      </w:tr>
      <w:tr w:rsidR="00622884" w:rsidRPr="00622884" w14:paraId="3E956260" w14:textId="77777777" w:rsidTr="00622884">
        <w:trPr>
          <w:trHeight w:val="567"/>
          <w:jc w:val="center"/>
        </w:trPr>
        <w:tc>
          <w:tcPr>
            <w:tcW w:w="245" w:type="pct"/>
            <w:vAlign w:val="center"/>
          </w:tcPr>
          <w:p w14:paraId="7BA39A21" w14:textId="77777777" w:rsidR="00622884" w:rsidRPr="00622884" w:rsidRDefault="00622884" w:rsidP="00622884">
            <w:pPr>
              <w:spacing w:after="0" w:line="240" w:lineRule="auto"/>
              <w:jc w:val="center"/>
              <w:rPr>
                <w:rFonts w:ascii="Garamond" w:eastAsia="SimSun" w:hAnsi="Garamond" w:cs="Calibri Light"/>
                <w:b/>
                <w:bCs/>
                <w:color w:val="1D3C5A"/>
                <w:sz w:val="10"/>
                <w:szCs w:val="16"/>
                <w:lang w:eastAsia="en-US"/>
              </w:rPr>
            </w:pPr>
            <w:r w:rsidRPr="00622884">
              <w:rPr>
                <w:rFonts w:ascii="Garamond" w:eastAsia="SimSun" w:hAnsi="Garamond" w:cs="Times New Roman"/>
                <w:b/>
                <w:color w:val="1D3C5A"/>
                <w:sz w:val="10"/>
                <w:lang w:eastAsia="en-US" w:bidi="sq-AL"/>
              </w:rPr>
              <w:t>28</w:t>
            </w:r>
          </w:p>
        </w:tc>
        <w:tc>
          <w:tcPr>
            <w:tcW w:w="373" w:type="pct"/>
            <w:vAlign w:val="center"/>
          </w:tcPr>
          <w:p w14:paraId="4E5CE0BE"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Pylltari</w:t>
            </w:r>
          </w:p>
        </w:tc>
        <w:tc>
          <w:tcPr>
            <w:tcW w:w="389" w:type="pct"/>
            <w:vAlign w:val="center"/>
          </w:tcPr>
          <w:p w14:paraId="5C26C37F" w14:textId="77777777" w:rsidR="00622884" w:rsidRPr="00622884" w:rsidRDefault="00622884" w:rsidP="00622884">
            <w:pPr>
              <w:spacing w:after="0" w:line="240" w:lineRule="auto"/>
              <w:jc w:val="left"/>
              <w:rPr>
                <w:rFonts w:ascii="Garamond" w:eastAsia="SimSun" w:hAnsi="Garamond" w:cs="Calibri Light"/>
                <w:color w:val="1D3C5A"/>
                <w:sz w:val="10"/>
                <w:szCs w:val="16"/>
                <w:u w:val="single"/>
                <w:lang w:eastAsia="en-US"/>
              </w:rPr>
            </w:pPr>
            <w:r w:rsidRPr="00622884">
              <w:rPr>
                <w:rFonts w:ascii="Garamond" w:eastAsia="SimSun" w:hAnsi="Garamond" w:cs="Times New Roman"/>
                <w:color w:val="1D3C5A"/>
                <w:sz w:val="10"/>
                <w:lang w:eastAsia="en-US" w:bidi="sq-AL"/>
              </w:rPr>
              <w:t xml:space="preserve">Lufta kundër erozionit dhe përmbytjeve: Restaurimi strategjik i </w:t>
            </w:r>
            <w:r w:rsidRPr="00622884">
              <w:rPr>
                <w:rFonts w:ascii="Garamond" w:eastAsia="SimSun" w:hAnsi="Garamond" w:cs="Times New Roman"/>
                <w:color w:val="1D3C5A"/>
                <w:sz w:val="10"/>
                <w:lang w:eastAsia="en-US" w:bidi="sq-AL"/>
              </w:rPr>
              <w:lastRenderedPageBreak/>
              <w:t>habitateve dhe ripyllëzimi në rajonet kryesore të Shqipërisë</w:t>
            </w:r>
          </w:p>
        </w:tc>
        <w:tc>
          <w:tcPr>
            <w:tcW w:w="387" w:type="pct"/>
            <w:vAlign w:val="center"/>
          </w:tcPr>
          <w:p w14:paraId="5626BD3F"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lastRenderedPageBreak/>
              <w:t>Ndërhyrja e gjelbër</w:t>
            </w:r>
          </w:p>
        </w:tc>
        <w:tc>
          <w:tcPr>
            <w:tcW w:w="1129" w:type="pct"/>
            <w:vAlign w:val="center"/>
          </w:tcPr>
          <w:p w14:paraId="2736F91F" w14:textId="77777777" w:rsidR="00622884" w:rsidRPr="00622884" w:rsidRDefault="00622884" w:rsidP="00622884">
            <w:pPr>
              <w:spacing w:after="0" w:line="240" w:lineRule="auto"/>
              <w:jc w:val="left"/>
              <w:rPr>
                <w:rFonts w:ascii="Garamond" w:eastAsia="SimSun" w:hAnsi="Garamond" w:cs="Times New Roman"/>
                <w:color w:val="1D3C5A"/>
                <w:sz w:val="10"/>
                <w:lang w:eastAsia="en-US" w:bidi="sq-AL"/>
              </w:rPr>
            </w:pPr>
            <w:r w:rsidRPr="00622884">
              <w:rPr>
                <w:rFonts w:ascii="Garamond" w:eastAsia="SimSun" w:hAnsi="Garamond" w:cs="Times New Roman"/>
                <w:color w:val="1D3C5A"/>
                <w:sz w:val="10"/>
                <w:lang w:eastAsia="en-US" w:bidi="sq-AL"/>
              </w:rPr>
              <w:t xml:space="preserve">28.1 Të përzgjidhen vendndodhjet dhe të identifikohen zonat specifike dhe ndërhyrjet për zbatimin e krijimit dhe restaurimit të habitatit duke reduktuar erozionin e tokës, duke parandaluar përmbytjet dhe duke përmirësuar aftësitë ripërtëritëse të ekosistemit në vendndodhjet </w:t>
            </w:r>
            <w:r w:rsidRPr="00622884">
              <w:rPr>
                <w:rFonts w:ascii="Garamond" w:eastAsia="SimSun" w:hAnsi="Garamond" w:cs="Times New Roman"/>
                <w:color w:val="1D3C5A"/>
                <w:sz w:val="10"/>
                <w:lang w:eastAsia="en-US" w:bidi="sq-AL"/>
              </w:rPr>
              <w:lastRenderedPageBreak/>
              <w:t>strategjike të identifikuara.</w:t>
            </w:r>
            <w:r w:rsidRPr="00622884">
              <w:rPr>
                <w:rFonts w:ascii="Garamond" w:eastAsia="SimSun" w:hAnsi="Garamond" w:cs="Times New Roman"/>
                <w:color w:val="1D3C5A"/>
                <w:sz w:val="10"/>
                <w:lang w:eastAsia="en-US" w:bidi="sq-AL"/>
              </w:rPr>
              <w:br/>
              <w:t>28.2 Restaurimi i pyjeve dhe kullotave të degraduara në rajonet kryesore: Të zbatohet ripyllëzimi në Durrës (194,84 ha) dhe Fier (931,96 ha) duke synuar zonat e degraduara nga zjarret në pyje, kullotja e tepërt dhe shpyllëzimi.</w:t>
            </w:r>
            <w:r w:rsidRPr="00622884">
              <w:rPr>
                <w:rFonts w:ascii="Garamond" w:eastAsia="SimSun" w:hAnsi="Garamond" w:cs="Times New Roman"/>
                <w:color w:val="1D3C5A"/>
                <w:sz w:val="10"/>
                <w:lang w:eastAsia="en-US" w:bidi="sq-AL"/>
              </w:rPr>
              <w:br/>
              <w:t>28.3 Krijimi i brezave të gjelbër përgjatë lumenjve Vjosa dhe Seman: Të mbillen lloje pemësh vendase përgjatë lumenjve Vjosë (137,8 ha) dhe Seman (Fier) (55,63 ha), për të stabilizuar brigjet e lumenjve, për të zvogëluar sedimentimin dhe për të zbutur risqet e përmbytjeve.</w:t>
            </w:r>
            <w:r w:rsidRPr="00622884">
              <w:rPr>
                <w:rFonts w:ascii="Garamond" w:eastAsia="SimSun" w:hAnsi="Garamond" w:cs="Times New Roman"/>
                <w:color w:val="1D3C5A"/>
                <w:sz w:val="10"/>
                <w:lang w:eastAsia="en-US" w:bidi="sq-AL"/>
              </w:rPr>
              <w:br/>
              <w:t>28.4 Zgjidhje të Bazuara në Natyrë (ZBN) për kontrollin e erozionit dhe përmbytjeve: Të zbatohen ZBN-të, siç janë zgjidhjet e bioinxhinierisë, tarracat dhe barrierat e bimësisë, për të restauruar zonat e degraduara dhe për të kontrolluar erozionin e tokës në rajonet pyjore dhe kullosore.</w:t>
            </w:r>
            <w:r w:rsidRPr="00622884">
              <w:rPr>
                <w:rFonts w:ascii="Garamond" w:eastAsia="SimSun" w:hAnsi="Garamond" w:cs="Times New Roman"/>
                <w:color w:val="1D3C5A"/>
                <w:sz w:val="10"/>
                <w:lang w:eastAsia="en-US" w:bidi="sq-AL"/>
              </w:rPr>
              <w:br/>
              <w:t>28.5 Restaurimi i fokusuar në ekosistemet bregdetare dhe malore të Vlorës: Të restaurohen ekosistemet kryesore në Dukat, Llogora, Karaburun për të mbrojtur nga erozioni i tokës, dhe Pyllin e Pishë-Poros (6740 ha) për të mbrojtur nga erozioni bregdetar dhe humbja e biodiversitetit.</w:t>
            </w:r>
            <w:r w:rsidRPr="00622884">
              <w:rPr>
                <w:rFonts w:ascii="Garamond" w:eastAsia="SimSun" w:hAnsi="Garamond" w:cs="Times New Roman"/>
                <w:color w:val="1D3C5A"/>
                <w:sz w:val="10"/>
                <w:lang w:eastAsia="en-US" w:bidi="sq-AL"/>
              </w:rPr>
              <w:br/>
              <w:t>28.6 Ripyllëzimi i synuar në Dukat të Vjetër: Të restaurohen 354,4 hektarë pyll i degraduar në Dukat të Vjetër (Vlorë), ku erozioni i tokës dhe shpyllëzimi kanë çuar në degradimin e tokës dhe humbjen e tokës prodhuese.</w:t>
            </w:r>
          </w:p>
          <w:p w14:paraId="02FFEEEF" w14:textId="77777777" w:rsidR="00622884" w:rsidRPr="00622884" w:rsidRDefault="00622884" w:rsidP="00622884">
            <w:pPr>
              <w:spacing w:after="0" w:line="240" w:lineRule="auto"/>
              <w:jc w:val="left"/>
              <w:rPr>
                <w:rFonts w:ascii="Garamond" w:eastAsia="SimSun" w:hAnsi="Garamond" w:cs="Times New Roman"/>
                <w:color w:val="1D3C5A"/>
                <w:sz w:val="10"/>
                <w:lang w:eastAsia="en-US" w:bidi="sq-AL"/>
              </w:rPr>
            </w:pPr>
            <w:r w:rsidRPr="00622884">
              <w:rPr>
                <w:rFonts w:ascii="Garamond" w:eastAsia="SimSun" w:hAnsi="Garamond" w:cs="Times New Roman"/>
                <w:color w:val="1D3C5A"/>
                <w:sz w:val="10"/>
                <w:lang w:eastAsia="en-US" w:bidi="sq-AL"/>
              </w:rPr>
              <w:t>28.7. Integrimi i rehabilitimit pas zjarrit në restaurimin strategjik të habitateve, duke prioritizuar zonat e djegura me risk të lartë erozioni, humbje të biodiversitetit dhe ndikim mbi komunitetet vendore, si dhe duke lidhur ndërhyrjet e ripyllëzimit me masat për stabilizimin e tokës, rikuperimin ekologjik dhe uljen e riskut të zjarreve të përsëritura.</w:t>
            </w:r>
          </w:p>
        </w:tc>
        <w:tc>
          <w:tcPr>
            <w:tcW w:w="535" w:type="pct"/>
            <w:vAlign w:val="center"/>
          </w:tcPr>
          <w:p w14:paraId="2F7E040B" w14:textId="77777777" w:rsidR="00622884" w:rsidRPr="00622884" w:rsidRDefault="00622884" w:rsidP="00622884">
            <w:pPr>
              <w:spacing w:after="0" w:line="240" w:lineRule="auto"/>
              <w:jc w:val="center"/>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lastRenderedPageBreak/>
              <w:t>ASH</w:t>
            </w:r>
          </w:p>
        </w:tc>
        <w:tc>
          <w:tcPr>
            <w:tcW w:w="938" w:type="pct"/>
            <w:vAlign w:val="center"/>
          </w:tcPr>
          <w:p w14:paraId="106DDCD6" w14:textId="77777777" w:rsidR="00622884" w:rsidRPr="00622884" w:rsidRDefault="00622884" w:rsidP="00622884">
            <w:pPr>
              <w:spacing w:after="0" w:line="240" w:lineRule="auto"/>
              <w:jc w:val="left"/>
              <w:rPr>
                <w:rFonts w:ascii="Garamond" w:eastAsia="SimSun" w:hAnsi="Garamond" w:cs="Times New Roman"/>
                <w:color w:val="1D3C5A"/>
                <w:sz w:val="10"/>
                <w:lang w:eastAsia="en-US" w:bidi="sq-AL"/>
              </w:rPr>
            </w:pPr>
            <w:r w:rsidRPr="00622884">
              <w:rPr>
                <w:rFonts w:ascii="Garamond" w:eastAsia="SimSun" w:hAnsi="Garamond" w:cs="Times New Roman"/>
                <w:color w:val="1D3C5A"/>
                <w:sz w:val="10"/>
                <w:lang w:eastAsia="en-US" w:bidi="sq-AL"/>
              </w:rPr>
              <w:t>1. Sipërfaqja totale (ha) e pyjeve dhe kullotave të degraduara të restauruara nëpërmjet ripyllëzimit dhe kontrollit të erozionit bazuar në bimësi në Durrës dhe Fier (objektivi: 1,126.8 ha)</w:t>
            </w:r>
            <w:r w:rsidRPr="00622884">
              <w:rPr>
                <w:rFonts w:ascii="Garamond" w:eastAsia="SimSun" w:hAnsi="Garamond" w:cs="Times New Roman"/>
                <w:color w:val="1D3C5A"/>
                <w:sz w:val="10"/>
                <w:lang w:eastAsia="en-US" w:bidi="sq-AL"/>
              </w:rPr>
              <w:br/>
            </w:r>
            <w:r w:rsidRPr="00622884">
              <w:rPr>
                <w:rFonts w:ascii="Garamond" w:eastAsia="SimSun" w:hAnsi="Garamond" w:cs="Times New Roman"/>
                <w:color w:val="1D3C5A"/>
                <w:sz w:val="10"/>
                <w:lang w:eastAsia="en-US" w:bidi="sq-AL"/>
              </w:rPr>
              <w:lastRenderedPageBreak/>
              <w:t>2. Sipërfaqja totale (ha) e brezave të gjelbër me specie vendase të vendosura përgjatë lumenjve Vjosë dhe Seman (objektivat: 137.8 ha në Vjosë dhe 55.63 ha në Seman)</w:t>
            </w:r>
            <w:r w:rsidRPr="00622884">
              <w:rPr>
                <w:rFonts w:ascii="Garamond" w:eastAsia="SimSun" w:hAnsi="Garamond" w:cs="Times New Roman"/>
                <w:color w:val="1D3C5A"/>
                <w:sz w:val="10"/>
                <w:lang w:eastAsia="en-US" w:bidi="sq-AL"/>
              </w:rPr>
              <w:br/>
              <w:t>3. Sipërfaqja totale (ha) e ripyllëzuar në Dukat të Vjetër për të zvogëluar erozionin dhe për të restauruar tokën e degraduar (objektivi: 354.4 ha)</w:t>
            </w:r>
            <w:r w:rsidRPr="00622884">
              <w:rPr>
                <w:rFonts w:ascii="Garamond" w:eastAsia="SimSun" w:hAnsi="Garamond" w:cs="Times New Roman"/>
                <w:color w:val="1D3C5A"/>
                <w:sz w:val="10"/>
                <w:lang w:eastAsia="en-US" w:bidi="sq-AL"/>
              </w:rPr>
              <w:br/>
              <w:t>4. Numri i vendeve ku zbatohen zgjidhje të bazuara në natyrë (p.sh., tarraca, barriera vegjetative, bioinxhinieri) për kontrollin e erozionit dhe përmbytjeve.</w:t>
            </w:r>
            <w:r w:rsidRPr="00622884">
              <w:rPr>
                <w:rFonts w:ascii="Garamond" w:eastAsia="SimSun" w:hAnsi="Garamond" w:cs="Times New Roman"/>
                <w:color w:val="1D3C5A"/>
                <w:sz w:val="10"/>
                <w:lang w:eastAsia="en-US" w:bidi="sq-AL"/>
              </w:rPr>
              <w:br/>
              <w:t>5. Rritja e përqindjes së mbulesës bimore të tokës në zonat pyjore dhe kullotave të restauruara.</w:t>
            </w:r>
            <w:r w:rsidRPr="00622884">
              <w:rPr>
                <w:rFonts w:ascii="Garamond" w:eastAsia="SimSun" w:hAnsi="Garamond" w:cs="Times New Roman"/>
                <w:color w:val="1D3C5A"/>
                <w:sz w:val="10"/>
                <w:lang w:eastAsia="en-US" w:bidi="sq-AL"/>
              </w:rPr>
              <w:br/>
              <w:t>6. Numri i vendeve të monitorimit ekologjik të krijuara për të ndjekur rritjen e bimësisë, stabilitetin e tokës dhe biodiversitetin në zonat e restauruara.</w:t>
            </w:r>
            <w:r w:rsidRPr="00622884">
              <w:rPr>
                <w:rFonts w:ascii="Garamond" w:eastAsia="SimSun" w:hAnsi="Garamond" w:cs="Times New Roman"/>
                <w:color w:val="1D3C5A"/>
                <w:sz w:val="10"/>
                <w:lang w:eastAsia="en-US" w:bidi="sq-AL"/>
              </w:rPr>
              <w:br/>
              <w:t>7. Sipërfaqja totale (ha) e restauruar në pyllin Pishë-Poro për të mbrojtur nga erozioni bregdetar dhe humbja e biodiversitetit (objektivi: 6,740 ha)</w:t>
            </w:r>
          </w:p>
          <w:p w14:paraId="61BDC91E"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Calibri Light"/>
                <w:color w:val="1D3C5A"/>
                <w:sz w:val="10"/>
                <w:szCs w:val="16"/>
                <w:lang w:eastAsia="en-US"/>
              </w:rPr>
              <w:t>8. Sipërfaqja (ha) e zonave të djegura të rehabilituara me masa të kombinuara për kontrollin e erozionit, restaurimin e habitatit dhe reduktimin e riskut të përsëritjes së zjarreve.</w:t>
            </w:r>
          </w:p>
        </w:tc>
        <w:tc>
          <w:tcPr>
            <w:tcW w:w="536" w:type="pct"/>
            <w:vAlign w:val="center"/>
          </w:tcPr>
          <w:p w14:paraId="48D979C3"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lastRenderedPageBreak/>
              <w:t>Ministria e Mjedisit, Bashkitë</w:t>
            </w:r>
          </w:p>
        </w:tc>
        <w:tc>
          <w:tcPr>
            <w:tcW w:w="468" w:type="pct"/>
            <w:vAlign w:val="center"/>
          </w:tcPr>
          <w:p w14:paraId="5A20FCF6"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124.943.176</w:t>
            </w:r>
          </w:p>
        </w:tc>
      </w:tr>
      <w:tr w:rsidR="00622884" w:rsidRPr="00622884" w14:paraId="348FCD21" w14:textId="77777777" w:rsidTr="00622884">
        <w:trPr>
          <w:trHeight w:val="56"/>
          <w:jc w:val="center"/>
        </w:trPr>
        <w:tc>
          <w:tcPr>
            <w:tcW w:w="245" w:type="pct"/>
            <w:vAlign w:val="center"/>
          </w:tcPr>
          <w:p w14:paraId="03EBE421" w14:textId="77777777" w:rsidR="00622884" w:rsidRPr="00622884" w:rsidRDefault="00622884" w:rsidP="00622884">
            <w:pPr>
              <w:spacing w:after="0" w:line="240" w:lineRule="auto"/>
              <w:jc w:val="center"/>
              <w:rPr>
                <w:rFonts w:ascii="Garamond" w:eastAsia="SimSun" w:hAnsi="Garamond" w:cs="Calibri Light"/>
                <w:b/>
                <w:bCs/>
                <w:color w:val="1D3C5A"/>
                <w:sz w:val="10"/>
                <w:szCs w:val="16"/>
                <w:lang w:eastAsia="en-US"/>
              </w:rPr>
            </w:pPr>
            <w:r w:rsidRPr="00622884">
              <w:rPr>
                <w:rFonts w:ascii="Garamond" w:eastAsia="SimSun" w:hAnsi="Garamond" w:cs="Times New Roman"/>
                <w:b/>
                <w:color w:val="1D3C5A"/>
                <w:sz w:val="10"/>
                <w:lang w:eastAsia="en-US" w:bidi="sq-AL"/>
              </w:rPr>
              <w:t>29</w:t>
            </w:r>
          </w:p>
        </w:tc>
        <w:tc>
          <w:tcPr>
            <w:tcW w:w="373" w:type="pct"/>
            <w:vAlign w:val="center"/>
          </w:tcPr>
          <w:p w14:paraId="0B9B8502"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Pylltari</w:t>
            </w:r>
          </w:p>
        </w:tc>
        <w:tc>
          <w:tcPr>
            <w:tcW w:w="389" w:type="pct"/>
            <w:vAlign w:val="center"/>
          </w:tcPr>
          <w:p w14:paraId="684A47FC" w14:textId="77777777" w:rsidR="00622884" w:rsidRPr="00622884" w:rsidRDefault="00622884" w:rsidP="00622884">
            <w:pPr>
              <w:spacing w:after="0" w:line="240" w:lineRule="auto"/>
              <w:jc w:val="left"/>
              <w:rPr>
                <w:rFonts w:ascii="Garamond" w:eastAsia="SimSun" w:hAnsi="Garamond" w:cs="Calibri Light"/>
                <w:color w:val="1D3C5A"/>
                <w:sz w:val="10"/>
                <w:szCs w:val="16"/>
                <w:u w:val="single"/>
                <w:lang w:eastAsia="en-US"/>
              </w:rPr>
            </w:pPr>
            <w:r w:rsidRPr="00622884">
              <w:rPr>
                <w:rFonts w:ascii="Garamond" w:eastAsia="SimSun" w:hAnsi="Garamond" w:cs="Times New Roman"/>
                <w:color w:val="1D3C5A"/>
                <w:sz w:val="10"/>
                <w:lang w:eastAsia="en-US" w:bidi="sq-AL"/>
              </w:rPr>
              <w:t>Menaxhimi i qëndrueshëm i peizazhit: Përmirësimi i cilësisë së ujit dhe biodiversitetit në liqenin e Viroit në Gjirokastër</w:t>
            </w:r>
          </w:p>
        </w:tc>
        <w:tc>
          <w:tcPr>
            <w:tcW w:w="387" w:type="pct"/>
            <w:vAlign w:val="center"/>
          </w:tcPr>
          <w:p w14:paraId="04B87979"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Ndërhyrja e gjelbër</w:t>
            </w:r>
          </w:p>
        </w:tc>
        <w:tc>
          <w:tcPr>
            <w:tcW w:w="1129" w:type="pct"/>
            <w:vAlign w:val="center"/>
          </w:tcPr>
          <w:p w14:paraId="3418D227"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29.1 Të kryhet vlerësimi i vendndodhjes, planifikimi dhe përfshirja e palëve të interesit, duke realizuar vlerësime ekologjike dhe hidrologjike, hartëzime GIS dhe përdorim të sensorëve në distancë, me qëllim identifikimin e zonave që kanë nevojë për ndërhyrje dhe përcaktimin e një plani restaurimi që përfshin palët e interesit dhe komunitetet përkatëse.</w:t>
            </w:r>
            <w:r w:rsidRPr="00622884">
              <w:rPr>
                <w:rFonts w:ascii="Garamond" w:eastAsia="SimSun" w:hAnsi="Garamond" w:cs="Times New Roman"/>
                <w:color w:val="1D3C5A"/>
                <w:sz w:val="10"/>
                <w:lang w:eastAsia="en-US" w:bidi="sq-AL"/>
              </w:rPr>
              <w:br/>
              <w:t>29.2 Ripyllëzimi me specie vendase: Të zbatohen nisma ripyllëzimi rreth liqenit të Viroit duke përdorur specie vendase pemësh dhe shkurresh për të restauruar zonat e degraduara, për të stabilizuar tokën dhe për të rritur biodiversitetin. Forcimi i zonave buferike bregore do të ndihmojë në uljen e nivelit të sedimenteve në liqen, duke përmirësuar cilësinë e ujit dhe qëndrueshmërinë e ekosistemit. Bimësia rezistente ndaj thatësirës do të ketë përparësi për t’u përshtatur me kushtet klimatike në ndryshim.</w:t>
            </w:r>
            <w:r w:rsidRPr="00622884">
              <w:rPr>
                <w:rFonts w:ascii="Garamond" w:eastAsia="SimSun" w:hAnsi="Garamond" w:cs="Times New Roman"/>
                <w:color w:val="1D3C5A"/>
                <w:sz w:val="10"/>
                <w:lang w:eastAsia="en-US" w:bidi="sq-AL"/>
              </w:rPr>
              <w:br/>
              <w:t>29.3 Masat e kontrollit të erozionit: Të ndërmerren masa për kontrollin e erozionit, të tilla si zonat buferike bimore, tarracat dhe teknikat e bioinxhinierisë për të zvogëluar erozionin e tokës dhe për të parandaluar sedimentimin në liqen. Këto veprime do të mbrojnë cilësinë e ujit dhe do të rrisin aftësitë ripërtëritëse të peizazheve përreth.</w:t>
            </w:r>
            <w:r w:rsidRPr="00622884">
              <w:rPr>
                <w:rFonts w:ascii="Garamond" w:eastAsia="SimSun" w:hAnsi="Garamond" w:cs="Times New Roman"/>
                <w:color w:val="1D3C5A"/>
                <w:sz w:val="10"/>
                <w:lang w:eastAsia="en-US" w:bidi="sq-AL"/>
              </w:rPr>
              <w:br/>
              <w:t>29.4 Nismat për përmirësimin e cilësisë së ujit: Të zbatohen masa për të përmirësuar cilësinë e ujit në liqenin e Viroit duke reduktuar burimet e ndotjes, përmirësuar menaxhimin e ujërave të zeza dhe duke promovuar praktikat e qëndrueshme bujqësore në zonat përreth. Këtu përfshihet krijimi i zonave buferike, kontrolli i rrjedhjes së lëndëve ushqyese dhe monitorimi i parametrave të cilësisë së ujit.</w:t>
            </w:r>
            <w:r w:rsidRPr="00622884">
              <w:rPr>
                <w:rFonts w:ascii="Garamond" w:eastAsia="SimSun" w:hAnsi="Garamond" w:cs="Times New Roman"/>
                <w:color w:val="1D3C5A"/>
                <w:sz w:val="10"/>
                <w:lang w:eastAsia="en-US" w:bidi="sq-AL"/>
              </w:rPr>
              <w:br/>
              <w:t>29.5 Ruajtja e biodiversitetit dhe përmirësimi i habitatit: Të forcohet ruajtja e biodiversitetit duke restauruar habitatet natyrore, duke rikthyer speciet vendase dhe duke krijuar korridore ekologjike rreth liqenit. Këtu përfshihet mbrojtja e zonave ligatinore, përmirësimi i habitateve të peshqve dhe përmirësimi i kushteve për shpendët dhe speciet ujore.</w:t>
            </w:r>
          </w:p>
        </w:tc>
        <w:tc>
          <w:tcPr>
            <w:tcW w:w="535" w:type="pct"/>
            <w:vAlign w:val="center"/>
          </w:tcPr>
          <w:p w14:paraId="3742E8AD" w14:textId="77777777" w:rsidR="00622884" w:rsidRPr="00622884" w:rsidRDefault="00622884" w:rsidP="00622884">
            <w:pPr>
              <w:spacing w:after="0" w:line="240" w:lineRule="auto"/>
              <w:jc w:val="center"/>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AGJ</w:t>
            </w:r>
          </w:p>
        </w:tc>
        <w:tc>
          <w:tcPr>
            <w:tcW w:w="938" w:type="pct"/>
            <w:vAlign w:val="center"/>
          </w:tcPr>
          <w:p w14:paraId="1CE50BC4"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1. Sipërfaqja totale (ha) e tokës së restauruar rreth liqenit të Viroit në Gjirokastër (objektivi: 339,85 ha).</w:t>
            </w:r>
            <w:r w:rsidRPr="00622884">
              <w:rPr>
                <w:rFonts w:ascii="Garamond" w:eastAsia="SimSun" w:hAnsi="Garamond" w:cs="Times New Roman"/>
                <w:color w:val="1D3C5A"/>
                <w:sz w:val="10"/>
                <w:lang w:eastAsia="en-US" w:bidi="sq-AL"/>
              </w:rPr>
              <w:br/>
              <w:t xml:space="preserve">2. Numri i specieve të pemëve vendase të zbuluara në zonat e ripyllëzuara. </w:t>
            </w:r>
            <w:r w:rsidRPr="00622884">
              <w:rPr>
                <w:rFonts w:ascii="Garamond" w:eastAsia="SimSun" w:hAnsi="Garamond" w:cs="Times New Roman"/>
                <w:color w:val="1D3C5A"/>
                <w:sz w:val="10"/>
                <w:lang w:eastAsia="en-US" w:bidi="sq-AL"/>
              </w:rPr>
              <w:br/>
              <w:t>3. Sipërfaqja totale (ha) e mbuluar nga masat e kontrollit të erozionit (zona buferike bimore, tarraca dhe teknika bioinxhinierike) për të zvogëluar erozionin e tokës dhe për të parandaluar sedimentimin në liqen.</w:t>
            </w:r>
            <w:r w:rsidRPr="00622884">
              <w:rPr>
                <w:rFonts w:ascii="Garamond" w:eastAsia="SimSun" w:hAnsi="Garamond" w:cs="Times New Roman"/>
                <w:color w:val="1D3C5A"/>
                <w:sz w:val="10"/>
                <w:lang w:eastAsia="en-US" w:bidi="sq-AL"/>
              </w:rPr>
              <w:br/>
              <w:t xml:space="preserve">4. Rritja e cilësisë së ujit sipas parametrave fizikë (temperatura, turbullira, ngjyra dhe aroma, totali i lëndëve të ngurta të pezulluara), kimikë (pH, oksigjeni i tretur, nitratet dhe fosfatet, përçueshmëria dhe totali i lëndëve të ngurta të tretura, metalet e rënda, kërkesa kimike për oksigjen dhe kërkesa biologjike për oksigjen) dhe biologjikë (bakteret koliforme, veçanërisht E. coli, diversiteti i makroinvertebrorëve dhe prania e algave), standardeve dhe indekseve (p.sh. Indeksi i Cilësisë së Ujit, ICU). </w:t>
            </w:r>
          </w:p>
        </w:tc>
        <w:tc>
          <w:tcPr>
            <w:tcW w:w="536" w:type="pct"/>
            <w:vAlign w:val="center"/>
          </w:tcPr>
          <w:p w14:paraId="1A012CA8"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Ministria e Mjedisit, Bashkitë</w:t>
            </w:r>
          </w:p>
        </w:tc>
        <w:tc>
          <w:tcPr>
            <w:tcW w:w="468" w:type="pct"/>
            <w:vAlign w:val="center"/>
          </w:tcPr>
          <w:p w14:paraId="3A1AE353"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479.334</w:t>
            </w:r>
          </w:p>
        </w:tc>
      </w:tr>
      <w:tr w:rsidR="00622884" w:rsidRPr="00622884" w14:paraId="370A5964" w14:textId="77777777" w:rsidTr="00622884">
        <w:trPr>
          <w:trHeight w:val="567"/>
          <w:jc w:val="center"/>
        </w:trPr>
        <w:tc>
          <w:tcPr>
            <w:tcW w:w="245" w:type="pct"/>
            <w:vAlign w:val="center"/>
          </w:tcPr>
          <w:p w14:paraId="0BBD4CFF" w14:textId="77777777" w:rsidR="00622884" w:rsidRPr="00622884" w:rsidRDefault="00622884" w:rsidP="00622884">
            <w:pPr>
              <w:spacing w:after="0" w:line="240" w:lineRule="auto"/>
              <w:jc w:val="center"/>
              <w:rPr>
                <w:rFonts w:ascii="Garamond" w:eastAsia="SimSun" w:hAnsi="Garamond" w:cs="Calibri Light"/>
                <w:b/>
                <w:bCs/>
                <w:color w:val="1D3C5A"/>
                <w:sz w:val="10"/>
                <w:szCs w:val="16"/>
                <w:lang w:eastAsia="en-US"/>
              </w:rPr>
            </w:pPr>
            <w:r w:rsidRPr="00622884">
              <w:rPr>
                <w:rFonts w:ascii="Garamond" w:eastAsia="SimSun" w:hAnsi="Garamond" w:cs="Times New Roman"/>
                <w:b/>
                <w:color w:val="1D3C5A"/>
                <w:sz w:val="10"/>
                <w:lang w:eastAsia="en-US" w:bidi="sq-AL"/>
              </w:rPr>
              <w:t>30</w:t>
            </w:r>
          </w:p>
        </w:tc>
        <w:tc>
          <w:tcPr>
            <w:tcW w:w="373" w:type="pct"/>
            <w:vAlign w:val="center"/>
          </w:tcPr>
          <w:p w14:paraId="783F9C96"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Pylltari</w:t>
            </w:r>
          </w:p>
        </w:tc>
        <w:tc>
          <w:tcPr>
            <w:tcW w:w="389" w:type="pct"/>
            <w:vAlign w:val="center"/>
          </w:tcPr>
          <w:p w14:paraId="3B673169" w14:textId="77777777" w:rsidR="00622884" w:rsidRPr="00622884" w:rsidRDefault="00622884" w:rsidP="00622884">
            <w:pPr>
              <w:spacing w:after="0" w:line="240" w:lineRule="auto"/>
              <w:jc w:val="left"/>
              <w:rPr>
                <w:rFonts w:ascii="Garamond" w:eastAsia="SimSun" w:hAnsi="Garamond" w:cs="Calibri Light"/>
                <w:color w:val="1D3C5A"/>
                <w:sz w:val="10"/>
                <w:szCs w:val="16"/>
                <w:u w:val="single"/>
                <w:lang w:eastAsia="en-US"/>
              </w:rPr>
            </w:pPr>
            <w:r w:rsidRPr="00622884">
              <w:rPr>
                <w:rFonts w:ascii="Garamond" w:eastAsia="SimSun" w:hAnsi="Garamond" w:cs="Times New Roman"/>
                <w:color w:val="1D3C5A"/>
                <w:sz w:val="10"/>
                <w:lang w:eastAsia="en-US" w:bidi="sq-AL"/>
              </w:rPr>
              <w:t>Rritja e aftësive ripërtëritëse ndaj ndryshimeve klimatike në parqet kombëtare dhe zonat e mbrojtura</w:t>
            </w:r>
          </w:p>
        </w:tc>
        <w:tc>
          <w:tcPr>
            <w:tcW w:w="387" w:type="pct"/>
            <w:vAlign w:val="center"/>
          </w:tcPr>
          <w:p w14:paraId="00DF59FF"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Ndërhyrja e gjelbër</w:t>
            </w:r>
          </w:p>
        </w:tc>
        <w:tc>
          <w:tcPr>
            <w:tcW w:w="1129" w:type="pct"/>
            <w:vAlign w:val="center"/>
          </w:tcPr>
          <w:p w14:paraId="138C3EBE"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30.1 Vlerësimet e ndikimit të ndryshimeve klimatike dhe planet specifike të përshtatjes ndaj ndryshimeve klimatike në zonat e mbrojtura: Të kryhen vlerësime të hollësishme të ndikimit të ndryshimeve klimatike për parqet kombëtare dhe zonat e mbrojtura, me fokus të veçantë në Parkun Kombëtar “Bredhi i Hotovës-Dangëlli” në Përmet, Parku Kombëtar i Dajtit dhe Parku i Bizë–Martanesh. Këtu do të përfshihet studimi i efekteve të ndryshimeve klimatike në speciet e rralla dhe endemike, vlerësimi i ndryshimeve në shpërndarjen e habitateve, identifikimi i zonave të cenueshme dhe identifikimi i masave të përshtatjes.</w:t>
            </w:r>
            <w:r w:rsidRPr="00622884">
              <w:rPr>
                <w:rFonts w:ascii="Garamond" w:eastAsia="SimSun" w:hAnsi="Garamond" w:cs="Times New Roman"/>
                <w:color w:val="1D3C5A"/>
                <w:sz w:val="10"/>
                <w:lang w:eastAsia="en-US" w:bidi="sq-AL"/>
              </w:rPr>
              <w:br/>
              <w:t xml:space="preserve">30.2 Të krijohen dhe zbatohen zona buferike rreth zonave të mbrojtura: Bredhit të Hotovës-Dangëlli, Parkut Kombëtar të Lumit Vjosa dhe zonave të tjera të mbrojtura, duke integruar MZP-në në planet specifike të përshtatjes dhe menaxhimit përmes hartëzimit të zonave me risk të lartë nga zjarret, menaxhimit të vegjetacionit në hapësirat buferike, protokolleve për vizitorët dhe turizmin gjatë periudhave kritike, si dhe masave për restaurimin ekologjik pas zjarrit, me qëllim uljen e presioneve të jashtme, mbrojtjen e biodiversitetit dhe ruajtjen e funksioneve të ekosistemit. </w:t>
            </w:r>
            <w:r w:rsidRPr="00622884">
              <w:rPr>
                <w:rFonts w:ascii="Garamond" w:eastAsia="SimSun" w:hAnsi="Garamond" w:cs="Times New Roman"/>
                <w:color w:val="1D3C5A"/>
                <w:sz w:val="10"/>
                <w:lang w:eastAsia="en-US" w:bidi="sq-AL"/>
              </w:rPr>
              <w:br/>
              <w:t>30.3 Monitorimi i specieve endemike dhe të rralla: Të zbatohet një sistem gjithëpërfshirës monitorimi për speciet endemike dhe të rralla brenda lumit Vjosë dhe Parkut Kombëtar “Bredhi i Hotovës-Dangëlli”. Vëzhgimet e rregullta do të ndjekin dinamikën e popullatës dhe shëndetin e këtyre specieve, duke siguruar ndërhyrje në kohë nëse do të jetë e nevojshme.</w:t>
            </w:r>
            <w:r w:rsidRPr="00622884">
              <w:rPr>
                <w:rFonts w:ascii="Garamond" w:eastAsia="SimSun" w:hAnsi="Garamond" w:cs="Times New Roman"/>
                <w:color w:val="1D3C5A"/>
                <w:sz w:val="10"/>
                <w:lang w:eastAsia="en-US" w:bidi="sq-AL"/>
              </w:rPr>
              <w:br/>
              <w:t>30.4 Ngritja e kapaciteteve në komunitetet vendore dhe palët e interesit: Të forcohen kapacitetet e komuniteteve vendase, ambientalistëve dhe agjencive qeveritare për të menaxhuar zonat e mbrojtura dhe zonat buferike. Këtu do të përfshihen trajnimet mbi strategjitë e përshtatjes ndaj ndryshimeve klimatike, ruajtja e biodiversitetit dhe praktikat e menaxhimit të qëndrueshëm të tokës.</w:t>
            </w:r>
          </w:p>
        </w:tc>
        <w:tc>
          <w:tcPr>
            <w:tcW w:w="535" w:type="pct"/>
            <w:vAlign w:val="center"/>
          </w:tcPr>
          <w:p w14:paraId="064FADDC" w14:textId="77777777" w:rsidR="00622884" w:rsidRPr="00622884" w:rsidRDefault="00622884" w:rsidP="00622884">
            <w:pPr>
              <w:spacing w:after="0" w:line="240" w:lineRule="auto"/>
              <w:jc w:val="center"/>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AM</w:t>
            </w:r>
          </w:p>
        </w:tc>
        <w:tc>
          <w:tcPr>
            <w:tcW w:w="938" w:type="pct"/>
            <w:vAlign w:val="center"/>
          </w:tcPr>
          <w:p w14:paraId="39CD7DB1"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1. Numri i vlerësimeve të kryera në lidhje me ndikimin e ndryshimeve klimatike.</w:t>
            </w:r>
            <w:r w:rsidRPr="00622884">
              <w:rPr>
                <w:rFonts w:ascii="Garamond" w:eastAsia="SimSun" w:hAnsi="Garamond" w:cs="Times New Roman"/>
                <w:color w:val="1D3C5A"/>
                <w:sz w:val="10"/>
                <w:lang w:eastAsia="en-US" w:bidi="sq-AL"/>
              </w:rPr>
              <w:br/>
              <w:t>2. Sipërfaqja totale (ha) e zonave buferike të krijuara rreth Parkut Kombëtar të Lumit Vjosa dhe zonave të tjera të mbrojtura/numri i planeve të menaxhimit/përshtatjes të zonave të mbrojtura që përfshijnë MZP-në, hartëzimin e zonave me risk të lartë dhe protokollet për parandalim e rehabilitim pas zjarrit.</w:t>
            </w:r>
            <w:r w:rsidRPr="00622884">
              <w:rPr>
                <w:rFonts w:ascii="Garamond" w:eastAsia="SimSun" w:hAnsi="Garamond" w:cs="Times New Roman"/>
                <w:color w:val="1D3C5A"/>
                <w:sz w:val="10"/>
                <w:lang w:eastAsia="en-US" w:bidi="sq-AL"/>
              </w:rPr>
              <w:br/>
              <w:t>3. Numri i habitateve dhe specieve të identifikuara sipas “Natura 2000” në bashkinë e Vlorës, brenda dhe përtej zonave të mbrojtura.</w:t>
            </w:r>
            <w:r w:rsidRPr="00622884">
              <w:rPr>
                <w:rFonts w:ascii="Garamond" w:eastAsia="SimSun" w:hAnsi="Garamond" w:cs="Times New Roman"/>
                <w:color w:val="1D3C5A"/>
                <w:sz w:val="10"/>
                <w:lang w:eastAsia="en-US" w:bidi="sq-AL"/>
              </w:rPr>
              <w:br/>
              <w:t>4. Sipërfaqja (ha) e habitateve të mbrojtura dhe numri i specieve “Natura 2000” nën mbrojtje brenda dhe përtej zonave të mbrojtura</w:t>
            </w:r>
          </w:p>
        </w:tc>
        <w:tc>
          <w:tcPr>
            <w:tcW w:w="536" w:type="pct"/>
            <w:vAlign w:val="center"/>
          </w:tcPr>
          <w:p w14:paraId="1B5BCA4E"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Parqet Kombëtare dhe Zonat e Mbrojtura, Bashkitë</w:t>
            </w:r>
          </w:p>
          <w:p w14:paraId="2B6CC9C9"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p>
        </w:tc>
        <w:tc>
          <w:tcPr>
            <w:tcW w:w="468" w:type="pct"/>
            <w:vAlign w:val="center"/>
          </w:tcPr>
          <w:p w14:paraId="0785E762"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257.461.805</w:t>
            </w:r>
          </w:p>
        </w:tc>
      </w:tr>
      <w:tr w:rsidR="00622884" w:rsidRPr="00622884" w14:paraId="1B7B0F27" w14:textId="77777777" w:rsidTr="00622884">
        <w:trPr>
          <w:trHeight w:val="454"/>
          <w:jc w:val="center"/>
        </w:trPr>
        <w:tc>
          <w:tcPr>
            <w:tcW w:w="245" w:type="pct"/>
            <w:vAlign w:val="center"/>
          </w:tcPr>
          <w:p w14:paraId="23143369" w14:textId="77777777" w:rsidR="00622884" w:rsidRPr="00622884" w:rsidRDefault="00622884" w:rsidP="00622884">
            <w:pPr>
              <w:spacing w:after="0" w:line="240" w:lineRule="auto"/>
              <w:jc w:val="center"/>
              <w:rPr>
                <w:rFonts w:ascii="Garamond" w:eastAsia="SimSun" w:hAnsi="Garamond" w:cs="Calibri Light"/>
                <w:b/>
                <w:bCs/>
                <w:color w:val="1D3C5A"/>
                <w:sz w:val="10"/>
                <w:szCs w:val="16"/>
                <w:lang w:eastAsia="en-US"/>
              </w:rPr>
            </w:pPr>
            <w:r w:rsidRPr="00622884">
              <w:rPr>
                <w:rFonts w:ascii="Garamond" w:eastAsia="SimSun" w:hAnsi="Garamond" w:cs="Times New Roman"/>
                <w:b/>
                <w:color w:val="1D3C5A"/>
                <w:sz w:val="10"/>
                <w:lang w:eastAsia="en-US" w:bidi="sq-AL"/>
              </w:rPr>
              <w:t>31</w:t>
            </w:r>
          </w:p>
        </w:tc>
        <w:tc>
          <w:tcPr>
            <w:tcW w:w="373" w:type="pct"/>
            <w:vAlign w:val="center"/>
          </w:tcPr>
          <w:p w14:paraId="59051411"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Pylltari</w:t>
            </w:r>
          </w:p>
        </w:tc>
        <w:tc>
          <w:tcPr>
            <w:tcW w:w="389" w:type="pct"/>
            <w:vAlign w:val="center"/>
          </w:tcPr>
          <w:p w14:paraId="32DFB09C" w14:textId="77777777" w:rsidR="00622884" w:rsidRPr="00622884" w:rsidRDefault="00622884" w:rsidP="00622884">
            <w:pPr>
              <w:spacing w:after="0" w:line="240" w:lineRule="auto"/>
              <w:jc w:val="left"/>
              <w:rPr>
                <w:rFonts w:ascii="Garamond" w:eastAsia="SimSun" w:hAnsi="Garamond" w:cs="Calibri Light"/>
                <w:color w:val="1D3C5A"/>
                <w:sz w:val="10"/>
                <w:szCs w:val="16"/>
                <w:u w:val="single"/>
                <w:lang w:eastAsia="en-US"/>
              </w:rPr>
            </w:pPr>
            <w:r w:rsidRPr="00622884">
              <w:rPr>
                <w:rFonts w:ascii="Garamond" w:eastAsia="SimSun" w:hAnsi="Garamond" w:cs="Times New Roman"/>
                <w:color w:val="1D3C5A"/>
                <w:sz w:val="10"/>
                <w:lang w:eastAsia="en-US" w:bidi="sq-AL"/>
              </w:rPr>
              <w:t>Restaurimi i shtresave pyjore për të mbrojtur të korrat në Vlorë</w:t>
            </w:r>
          </w:p>
        </w:tc>
        <w:tc>
          <w:tcPr>
            <w:tcW w:w="387" w:type="pct"/>
            <w:vAlign w:val="center"/>
          </w:tcPr>
          <w:p w14:paraId="4A8721BE"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Ndërhyrja e gjelbër</w:t>
            </w:r>
          </w:p>
        </w:tc>
        <w:tc>
          <w:tcPr>
            <w:tcW w:w="1129" w:type="pct"/>
            <w:vAlign w:val="center"/>
          </w:tcPr>
          <w:p w14:paraId="3D266465"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31.1 Të kryhet studime për të përcaktuar vendet optimale për integrimin e shtresave pyjore dhe angazhimin me fermat dhe komunitetet vendore për të përcaktuar zonat dhe ndërhyrjet e nevojshme për të identifikuar opsionet dhe speciet më të mira për të siguruar mbrojtje nga era për kulturat bujqësore.</w:t>
            </w:r>
            <w:r w:rsidRPr="00622884">
              <w:rPr>
                <w:rFonts w:ascii="Garamond" w:eastAsia="SimSun" w:hAnsi="Garamond" w:cs="Times New Roman"/>
                <w:color w:val="1D3C5A"/>
                <w:sz w:val="10"/>
                <w:lang w:eastAsia="en-US" w:bidi="sq-AL"/>
              </w:rPr>
              <w:br/>
              <w:t xml:space="preserve">31.2 Restaurimi i shtresave pyjore midis zonave bujqësore në Vlorë për të mbuluar 345,47 ha: Të promovohet restaurimi i shtresave pyjore midis sipërfaqeve bujqësore </w:t>
            </w:r>
            <w:r w:rsidRPr="00622884">
              <w:rPr>
                <w:rFonts w:ascii="Garamond" w:eastAsia="SimSun" w:hAnsi="Garamond" w:cs="Times New Roman"/>
                <w:color w:val="1D3C5A"/>
                <w:sz w:val="10"/>
                <w:lang w:eastAsia="en-US" w:bidi="sq-AL"/>
              </w:rPr>
              <w:lastRenderedPageBreak/>
              <w:t>në Vlorë, konkretisht në zona të tilla si Dukati i Ri, Tragjasi dhe Radhima. Këto shtresa pyjore do të ndihmojnë në krijimin e mikrohabitateve që forcojnë biodiversitetin, përmirësojnë pjellorinë e tokës dhe ofrojnë mbrojtje natyrore nga era për të korrat, duke zvogëluar ndikimin negativ të erërave të forta dhe duke përmirësuar qëndrueshmërinë e përgjithshme të të korrave, si dhe duke nxitur mbjelljen e specieve vendase të pemëve që mund të mbështesin biodiversitetin.</w:t>
            </w:r>
            <w:r w:rsidRPr="00622884">
              <w:rPr>
                <w:rFonts w:ascii="Garamond" w:eastAsia="SimSun" w:hAnsi="Garamond" w:cs="Times New Roman"/>
                <w:color w:val="1D3C5A"/>
                <w:sz w:val="10"/>
                <w:lang w:eastAsia="en-US" w:bidi="sq-AL"/>
              </w:rPr>
              <w:br/>
              <w:t>31.3 Përfshirja e komunitetit dhe praktikat e qëndrueshme: Të përfshihen fermerët dhe komunitetet vendore në procesin e restaurimit, duke siguruar që shtresat pyjore të mirëmbahen në mënyrë të qëndrueshme me kalimin e kohës. Të ofrohen trajnime dhe burime mbi praktikat e agropylltarisë dhe përfitimet afatgjata të integrimit të pemëve me kulturat bujqësore.</w:t>
            </w:r>
          </w:p>
        </w:tc>
        <w:tc>
          <w:tcPr>
            <w:tcW w:w="535" w:type="pct"/>
            <w:vAlign w:val="center"/>
          </w:tcPr>
          <w:p w14:paraId="04E63F87" w14:textId="77777777" w:rsidR="00622884" w:rsidRPr="00622884" w:rsidRDefault="00622884" w:rsidP="00622884">
            <w:pPr>
              <w:spacing w:after="0" w:line="240" w:lineRule="auto"/>
              <w:jc w:val="center"/>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lastRenderedPageBreak/>
              <w:t>AM</w:t>
            </w:r>
          </w:p>
        </w:tc>
        <w:tc>
          <w:tcPr>
            <w:tcW w:w="938" w:type="pct"/>
            <w:vAlign w:val="center"/>
          </w:tcPr>
          <w:p w14:paraId="101FC070"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 xml:space="preserve">1. Sipërfaqja totale (ha) e shtresave pyjore midis sipërfaqeve bujqësore të restauruara (objektivi: 345,47 ha). </w:t>
            </w:r>
            <w:r w:rsidRPr="00622884">
              <w:rPr>
                <w:rFonts w:ascii="Garamond" w:eastAsia="SimSun" w:hAnsi="Garamond" w:cs="Times New Roman"/>
                <w:color w:val="1D3C5A"/>
                <w:sz w:val="10"/>
                <w:lang w:eastAsia="en-US" w:bidi="sq-AL"/>
              </w:rPr>
              <w:br/>
              <w:t xml:space="preserve">2. Rritja e përqindjes së rendimentit mesatar të të korrave në zonat ngjitur me shtresat pyjore të restauruara. </w:t>
            </w:r>
            <w:r w:rsidRPr="00622884">
              <w:rPr>
                <w:rFonts w:ascii="Garamond" w:eastAsia="SimSun" w:hAnsi="Garamond" w:cs="Times New Roman"/>
                <w:color w:val="1D3C5A"/>
                <w:sz w:val="10"/>
                <w:lang w:eastAsia="en-US" w:bidi="sq-AL"/>
              </w:rPr>
              <w:br/>
              <w:t xml:space="preserve">3. Rritja e qëndrueshmërisë e të korrave sipas treguesve agronomikë dhe biofizikë (qëndrueshmëria e rendimentit, hendeku i </w:t>
            </w:r>
            <w:r w:rsidRPr="00622884">
              <w:rPr>
                <w:rFonts w:ascii="Garamond" w:eastAsia="SimSun" w:hAnsi="Garamond" w:cs="Times New Roman"/>
                <w:color w:val="1D3C5A"/>
                <w:sz w:val="10"/>
                <w:lang w:eastAsia="en-US" w:bidi="sq-AL"/>
              </w:rPr>
              <w:lastRenderedPageBreak/>
              <w:t xml:space="preserve">rendimentit, toleranca ndaj thatësirës ose përmbytjeve, rezistenca ndaj dëmtuesve dhe sëmundjeve), fiziologjikë dhe gjenetikë (thellësia dhe struktura e sistemit rrënjor, përçueshmëria stomatale, temperatura e gjetheve dhe gjenotipet me aftësi ripërtëritëse), mjedisorë (shëndeti i tokës dhe lënda organike, agrobiodiversiteti dhe përdorimi eficient i ujit) dhe treguesit dhe kornizat të përbëra (Indeksi i Aftësisë Ripërtëritëse të Kulturave). </w:t>
            </w:r>
          </w:p>
        </w:tc>
        <w:tc>
          <w:tcPr>
            <w:tcW w:w="536" w:type="pct"/>
            <w:vAlign w:val="center"/>
          </w:tcPr>
          <w:p w14:paraId="2D264A7A"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lastRenderedPageBreak/>
              <w:t>Ministria e Bujqësisë dhe Zhvillimit Rural (MBZHR)</w:t>
            </w:r>
          </w:p>
          <w:p w14:paraId="3103F03B"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p>
        </w:tc>
        <w:tc>
          <w:tcPr>
            <w:tcW w:w="468" w:type="pct"/>
            <w:vAlign w:val="center"/>
          </w:tcPr>
          <w:p w14:paraId="7F23CCF7"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3.282.947</w:t>
            </w:r>
          </w:p>
        </w:tc>
      </w:tr>
      <w:tr w:rsidR="00622884" w:rsidRPr="00622884" w14:paraId="3D286FFB" w14:textId="77777777" w:rsidTr="00622884">
        <w:trPr>
          <w:trHeight w:val="567"/>
          <w:jc w:val="center"/>
        </w:trPr>
        <w:tc>
          <w:tcPr>
            <w:tcW w:w="245" w:type="pct"/>
            <w:shd w:val="clear" w:color="auto" w:fill="E0F4F4"/>
            <w:vAlign w:val="center"/>
          </w:tcPr>
          <w:p w14:paraId="5B01028A" w14:textId="77777777" w:rsidR="00622884" w:rsidRPr="00622884" w:rsidRDefault="00622884" w:rsidP="00622884">
            <w:pPr>
              <w:spacing w:after="0" w:line="240" w:lineRule="auto"/>
              <w:jc w:val="center"/>
              <w:rPr>
                <w:rFonts w:ascii="Garamond" w:eastAsia="SimSun" w:hAnsi="Garamond" w:cs="Calibri Light"/>
                <w:b/>
                <w:bCs/>
                <w:color w:val="1D3C5A"/>
                <w:sz w:val="10"/>
                <w:szCs w:val="16"/>
                <w:lang w:eastAsia="en-US"/>
              </w:rPr>
            </w:pPr>
            <w:r w:rsidRPr="00622884">
              <w:rPr>
                <w:rFonts w:ascii="Garamond" w:eastAsia="SimSun" w:hAnsi="Garamond" w:cs="Times New Roman"/>
                <w:b/>
                <w:color w:val="1D3C5A"/>
                <w:sz w:val="10"/>
                <w:lang w:eastAsia="en-US" w:bidi="sq-AL"/>
              </w:rPr>
              <w:t>32</w:t>
            </w:r>
          </w:p>
        </w:tc>
        <w:tc>
          <w:tcPr>
            <w:tcW w:w="373" w:type="pct"/>
            <w:shd w:val="clear" w:color="auto" w:fill="E0F4F4"/>
            <w:vAlign w:val="center"/>
          </w:tcPr>
          <w:p w14:paraId="50CB4AE3"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Turizmi</w:t>
            </w:r>
          </w:p>
        </w:tc>
        <w:tc>
          <w:tcPr>
            <w:tcW w:w="389" w:type="pct"/>
            <w:shd w:val="clear" w:color="auto" w:fill="E0F4F4"/>
            <w:vAlign w:val="center"/>
          </w:tcPr>
          <w:p w14:paraId="2204CFBE" w14:textId="77777777" w:rsidR="00622884" w:rsidRPr="00622884" w:rsidRDefault="00622884" w:rsidP="00622884">
            <w:pPr>
              <w:spacing w:after="0" w:line="240" w:lineRule="auto"/>
              <w:jc w:val="left"/>
              <w:rPr>
                <w:rFonts w:ascii="Garamond" w:eastAsia="SimSun" w:hAnsi="Garamond" w:cs="Calibri Light"/>
                <w:color w:val="1D3C5A"/>
                <w:sz w:val="10"/>
                <w:szCs w:val="16"/>
                <w:u w:val="single"/>
                <w:lang w:eastAsia="en-US"/>
              </w:rPr>
            </w:pPr>
            <w:r w:rsidRPr="00622884">
              <w:rPr>
                <w:rFonts w:ascii="Garamond" w:eastAsia="SimSun" w:hAnsi="Garamond" w:cs="Times New Roman"/>
                <w:color w:val="1D3C5A"/>
                <w:sz w:val="10"/>
                <w:lang w:eastAsia="en-US" w:bidi="sq-AL"/>
              </w:rPr>
              <w:t>Planifikimi hapësinor strategjik për turizmin: Ridrejtimi i zhvillimit nga zonat me risk të lart</w:t>
            </w:r>
          </w:p>
        </w:tc>
        <w:tc>
          <w:tcPr>
            <w:tcW w:w="387" w:type="pct"/>
            <w:shd w:val="clear" w:color="auto" w:fill="E0F4F4"/>
            <w:vAlign w:val="center"/>
          </w:tcPr>
          <w:p w14:paraId="2DA2675E"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Ndërhyrja e butë</w:t>
            </w:r>
            <w:r w:rsidRPr="00622884">
              <w:rPr>
                <w:rFonts w:ascii="Garamond" w:eastAsia="SimSun" w:hAnsi="Garamond" w:cs="Times New Roman"/>
                <w:b/>
                <w:color w:val="1D3C5A"/>
                <w:sz w:val="10"/>
                <w:lang w:eastAsia="en-US" w:bidi="sq-AL"/>
              </w:rPr>
              <w:t>:</w:t>
            </w:r>
          </w:p>
        </w:tc>
        <w:tc>
          <w:tcPr>
            <w:tcW w:w="1129" w:type="pct"/>
            <w:shd w:val="clear" w:color="auto" w:fill="E0F4F4"/>
            <w:vAlign w:val="center"/>
          </w:tcPr>
          <w:p w14:paraId="4A645598"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32.1 Të kryhet hartëzimi hapësinor i riskut për të identifikuar fushat aluvionale, zonat e akumulimit të ujërave sipërfaqësore dhe zonat buferike të zonave të mbrojtura që janë të papërshtatshme për zhvillimin e turizmit.</w:t>
            </w:r>
            <w:r w:rsidRPr="00622884">
              <w:rPr>
                <w:rFonts w:ascii="Garamond" w:eastAsia="SimSun" w:hAnsi="Garamond" w:cs="Times New Roman"/>
                <w:color w:val="1D3C5A"/>
                <w:sz w:val="10"/>
                <w:lang w:eastAsia="en-US" w:bidi="sq-AL"/>
              </w:rPr>
              <w:br/>
              <w:t>32.2 Të hartohen udhëzime për planifikimin hapësinor që integrojnë konsideratat e riskut klimatik, duke përcaktuar zonat pa ndërtime dhe zonat prioritare për riorientimin e turizmit.</w:t>
            </w:r>
            <w:r w:rsidRPr="00622884">
              <w:rPr>
                <w:rFonts w:ascii="Garamond" w:eastAsia="SimSun" w:hAnsi="Garamond" w:cs="Times New Roman"/>
                <w:color w:val="1D3C5A"/>
                <w:sz w:val="10"/>
                <w:lang w:eastAsia="en-US" w:bidi="sq-AL"/>
              </w:rPr>
              <w:br/>
              <w:t xml:space="preserve">32.3 Të angazhohen palët e interesit - ku përfshihen bashkitë, investitorët në turizëm dhe autoritetet mjedisore - për të marrë pjesë në </w:t>
            </w:r>
            <w:r w:rsidRPr="00622884">
              <w:rPr>
                <w:rFonts w:ascii="Garamond" w:eastAsia="SimSun" w:hAnsi="Garamond" w:cs="Times New Roman"/>
                <w:i/>
                <w:color w:val="1D3C5A"/>
                <w:sz w:val="10"/>
                <w:lang w:eastAsia="en-US" w:bidi="sq-AL"/>
              </w:rPr>
              <w:t>workshop</w:t>
            </w:r>
            <w:r w:rsidRPr="00622884">
              <w:rPr>
                <w:rFonts w:ascii="Garamond" w:eastAsia="SimSun" w:hAnsi="Garamond" w:cs="Times New Roman"/>
                <w:color w:val="1D3C5A"/>
                <w:sz w:val="10"/>
                <w:lang w:eastAsia="en-US" w:bidi="sq-AL"/>
              </w:rPr>
              <w:t>-e për planifikimin, për të përafruar planifikimin hapësinor me objektivat ekonomike dhe të konservimit.</w:t>
            </w:r>
            <w:r w:rsidRPr="00622884">
              <w:rPr>
                <w:rFonts w:ascii="Garamond" w:eastAsia="SimSun" w:hAnsi="Garamond" w:cs="Times New Roman"/>
                <w:color w:val="1D3C5A"/>
                <w:sz w:val="10"/>
                <w:lang w:eastAsia="en-US" w:bidi="sq-AL"/>
              </w:rPr>
              <w:br/>
              <w:t>32.4 Të krijohen mekanizma financiarë (p.sh., leje me kusht, incentiva ose subvencione për ridrejtim) për të mbështetur zhvendosjen ose riprojektimin e zhvillimeve turistike larg zonave me risk të lartë.</w:t>
            </w:r>
            <w:r w:rsidRPr="00622884">
              <w:rPr>
                <w:rFonts w:ascii="Garamond" w:eastAsia="SimSun" w:hAnsi="Garamond" w:cs="Times New Roman"/>
                <w:color w:val="1D3C5A"/>
                <w:sz w:val="10"/>
                <w:lang w:eastAsia="en-US" w:bidi="sq-AL"/>
              </w:rPr>
              <w:br/>
              <w:t>32.5 Të aplikohen rregulloret zonimit dhe të zbatohen planet e përdorimit të tokës nëpërmjet monitorimit, inspektimeve dhe gjobave për mosrespektim.</w:t>
            </w:r>
          </w:p>
        </w:tc>
        <w:tc>
          <w:tcPr>
            <w:tcW w:w="535" w:type="pct"/>
            <w:shd w:val="clear" w:color="auto" w:fill="E0F4F4"/>
            <w:vAlign w:val="center"/>
          </w:tcPr>
          <w:p w14:paraId="063476E6" w14:textId="77777777" w:rsidR="00622884" w:rsidRPr="00622884" w:rsidRDefault="00622884" w:rsidP="00622884">
            <w:pPr>
              <w:spacing w:after="0" w:line="240" w:lineRule="auto"/>
              <w:jc w:val="center"/>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ASH</w:t>
            </w:r>
          </w:p>
        </w:tc>
        <w:tc>
          <w:tcPr>
            <w:tcW w:w="938" w:type="pct"/>
            <w:shd w:val="clear" w:color="auto" w:fill="E0F4F4"/>
            <w:vAlign w:val="center"/>
          </w:tcPr>
          <w:p w14:paraId="25C1FE64"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1. Ekzistenca e një harte hapësinore të riskut që identifikon fushat e përmbytjeve, zonat e akumulimit të ujërave sipërfaqësore dhe zonat buferike të zonave të mbrojtura të papërshtatshme për zhvillimin e turizmit (Po/Jo).</w:t>
            </w:r>
            <w:r w:rsidRPr="00622884">
              <w:rPr>
                <w:rFonts w:ascii="Garamond" w:eastAsia="SimSun" w:hAnsi="Garamond" w:cs="Times New Roman"/>
                <w:color w:val="1D3C5A"/>
                <w:sz w:val="10"/>
                <w:lang w:eastAsia="en-US" w:bidi="sq-AL"/>
              </w:rPr>
              <w:br/>
              <w:t>2. Numri i udhëzimeve të planifikimit hapësinor të zhvilluara dhe të miratuara që përcaktojnë zonat pa ndërtime dhe prioritetet në ridrejtimin për infrastrukturën turistike.</w:t>
            </w:r>
            <w:r w:rsidRPr="00622884">
              <w:rPr>
                <w:rFonts w:ascii="Garamond" w:eastAsia="SimSun" w:hAnsi="Garamond" w:cs="Times New Roman"/>
                <w:color w:val="1D3C5A"/>
                <w:sz w:val="10"/>
                <w:lang w:eastAsia="en-US" w:bidi="sq-AL"/>
              </w:rPr>
              <w:br/>
              <w:t>3. Numri i projekteve turistike të zhvillimit të ridrejtuara ose të riprojektuara bazuar në mekanizmat financiarë që mbështesin zhvendosjen nga zonat me risk të lartë.</w:t>
            </w:r>
            <w:r w:rsidRPr="00622884">
              <w:rPr>
                <w:rFonts w:ascii="Garamond" w:eastAsia="SimSun" w:hAnsi="Garamond" w:cs="Times New Roman"/>
                <w:color w:val="1D3C5A"/>
                <w:sz w:val="10"/>
                <w:lang w:eastAsia="en-US" w:bidi="sq-AL"/>
              </w:rPr>
              <w:br/>
              <w:t>4. Numri i veprimeve zbatuese të ndërmarra për të siguruar pajtueshmërinë me rregulloret e zonimit dhe planet e përdorimit të tokës të bazuar në informacionin rreth klimës në zonat turistike.</w:t>
            </w:r>
          </w:p>
        </w:tc>
        <w:tc>
          <w:tcPr>
            <w:tcW w:w="536" w:type="pct"/>
            <w:shd w:val="clear" w:color="auto" w:fill="E0F4F4"/>
            <w:vAlign w:val="center"/>
          </w:tcPr>
          <w:p w14:paraId="1E491BF2"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 xml:space="preserve">Ministria e Kulturës, Ministria e Turizmit dhe Mjedisit </w:t>
            </w:r>
          </w:p>
          <w:p w14:paraId="75C1CFAE"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p>
        </w:tc>
        <w:tc>
          <w:tcPr>
            <w:tcW w:w="468" w:type="pct"/>
            <w:shd w:val="clear" w:color="auto" w:fill="E0F4F4"/>
            <w:vAlign w:val="center"/>
          </w:tcPr>
          <w:p w14:paraId="27492BF7"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600.000</w:t>
            </w:r>
          </w:p>
        </w:tc>
      </w:tr>
      <w:tr w:rsidR="00622884" w:rsidRPr="00622884" w14:paraId="3322424D" w14:textId="77777777" w:rsidTr="00622884">
        <w:trPr>
          <w:trHeight w:val="567"/>
          <w:jc w:val="center"/>
        </w:trPr>
        <w:tc>
          <w:tcPr>
            <w:tcW w:w="245" w:type="pct"/>
            <w:shd w:val="clear" w:color="auto" w:fill="E0F4F4"/>
            <w:vAlign w:val="center"/>
          </w:tcPr>
          <w:p w14:paraId="535CD470" w14:textId="77777777" w:rsidR="00622884" w:rsidRPr="00622884" w:rsidRDefault="00622884" w:rsidP="00622884">
            <w:pPr>
              <w:spacing w:after="0" w:line="240" w:lineRule="auto"/>
              <w:jc w:val="center"/>
              <w:rPr>
                <w:rFonts w:ascii="Garamond" w:eastAsia="SimSun" w:hAnsi="Garamond" w:cs="Calibri Light"/>
                <w:b/>
                <w:bCs/>
                <w:color w:val="1D3C5A"/>
                <w:sz w:val="10"/>
                <w:szCs w:val="16"/>
                <w:lang w:eastAsia="en-US"/>
              </w:rPr>
            </w:pPr>
            <w:r w:rsidRPr="00622884">
              <w:rPr>
                <w:rFonts w:ascii="Garamond" w:eastAsia="SimSun" w:hAnsi="Garamond" w:cs="Times New Roman"/>
                <w:b/>
                <w:color w:val="1D3C5A"/>
                <w:sz w:val="10"/>
                <w:lang w:eastAsia="en-US" w:bidi="sq-AL"/>
              </w:rPr>
              <w:t>33</w:t>
            </w:r>
          </w:p>
        </w:tc>
        <w:tc>
          <w:tcPr>
            <w:tcW w:w="373" w:type="pct"/>
            <w:shd w:val="clear" w:color="auto" w:fill="E0F4F4"/>
            <w:vAlign w:val="center"/>
          </w:tcPr>
          <w:p w14:paraId="2B4EA7E0"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Turizmi</w:t>
            </w:r>
          </w:p>
        </w:tc>
        <w:tc>
          <w:tcPr>
            <w:tcW w:w="389" w:type="pct"/>
            <w:shd w:val="clear" w:color="auto" w:fill="E0F4F4"/>
            <w:vAlign w:val="center"/>
          </w:tcPr>
          <w:p w14:paraId="038B1864" w14:textId="77777777" w:rsidR="00622884" w:rsidRPr="00622884" w:rsidRDefault="00622884" w:rsidP="00622884">
            <w:pPr>
              <w:spacing w:after="0" w:line="240" w:lineRule="auto"/>
              <w:jc w:val="left"/>
              <w:rPr>
                <w:rFonts w:ascii="Garamond" w:eastAsia="SimSun" w:hAnsi="Garamond" w:cs="Calibri Light"/>
                <w:color w:val="1D3C5A"/>
                <w:sz w:val="10"/>
                <w:szCs w:val="16"/>
                <w:u w:val="single"/>
                <w:lang w:eastAsia="en-US"/>
              </w:rPr>
            </w:pPr>
            <w:r w:rsidRPr="00622884">
              <w:rPr>
                <w:rFonts w:ascii="Garamond" w:eastAsia="SimSun" w:hAnsi="Garamond" w:cs="Times New Roman"/>
                <w:color w:val="1D3C5A"/>
                <w:sz w:val="10"/>
                <w:lang w:eastAsia="en-US" w:bidi="sq-AL"/>
              </w:rPr>
              <w:t>Infrastruktura turistike dhe trashëgimisë kulturore që i reziston klimës: Paketat e incentivave për të mbrojtur infrastrukturën e sektorit të turizmit dhe trashëgiminë kulturore nga ndryshimet klimatike</w:t>
            </w:r>
          </w:p>
        </w:tc>
        <w:tc>
          <w:tcPr>
            <w:tcW w:w="387" w:type="pct"/>
            <w:shd w:val="clear" w:color="auto" w:fill="E0F4F4"/>
            <w:vAlign w:val="center"/>
          </w:tcPr>
          <w:p w14:paraId="0A3369E8"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Ndërhyrja e butë</w:t>
            </w:r>
            <w:r w:rsidRPr="00622884">
              <w:rPr>
                <w:rFonts w:ascii="Garamond" w:eastAsia="SimSun" w:hAnsi="Garamond" w:cs="Times New Roman"/>
                <w:b/>
                <w:color w:val="1D3C5A"/>
                <w:sz w:val="10"/>
                <w:lang w:eastAsia="en-US" w:bidi="sq-AL"/>
              </w:rPr>
              <w:t>:</w:t>
            </w:r>
          </w:p>
        </w:tc>
        <w:tc>
          <w:tcPr>
            <w:tcW w:w="1129" w:type="pct"/>
            <w:shd w:val="clear" w:color="auto" w:fill="E0F4F4"/>
            <w:vAlign w:val="center"/>
          </w:tcPr>
          <w:p w14:paraId="717297E2" w14:textId="77777777" w:rsidR="00622884" w:rsidRPr="00622884" w:rsidRDefault="00622884" w:rsidP="00622884">
            <w:pPr>
              <w:spacing w:after="0" w:line="240" w:lineRule="auto"/>
              <w:jc w:val="left"/>
              <w:rPr>
                <w:rFonts w:ascii="Garamond" w:eastAsia="SimSun" w:hAnsi="Garamond" w:cs="Times New Roman"/>
                <w:color w:val="1D3C5A"/>
                <w:sz w:val="10"/>
                <w:lang w:eastAsia="en-US" w:bidi="sq-AL"/>
              </w:rPr>
            </w:pPr>
            <w:r w:rsidRPr="00622884">
              <w:rPr>
                <w:rFonts w:ascii="Garamond" w:eastAsia="SimSun" w:hAnsi="Garamond" w:cs="Times New Roman"/>
                <w:color w:val="1D3C5A"/>
                <w:sz w:val="10"/>
                <w:lang w:eastAsia="en-US" w:bidi="sq-AL"/>
              </w:rPr>
              <w:t>33.1 Të përvijohet një plan veprimi afatgjatë për rinovimin e infrastrukturës turistike rezistente ndaj klimës, bazuar në gjetjet nga analiza sektoriale e cenueshmërisë dhe riskut.</w:t>
            </w:r>
            <w:r w:rsidRPr="00622884">
              <w:rPr>
                <w:rFonts w:ascii="Garamond" w:eastAsia="SimSun" w:hAnsi="Garamond" w:cs="Times New Roman"/>
                <w:color w:val="1D3C5A"/>
                <w:sz w:val="10"/>
                <w:lang w:eastAsia="en-US" w:bidi="sq-AL"/>
              </w:rPr>
              <w:br/>
              <w:t>33.2 Të zhvillohen dhe miratohen standardet e prokurimit dhe ndërtimit me aftësi ripërtëritëse ndaj klimës për të udhëhequr rinovimet dhe zhvillimet e reja në sektorin e turizmit.</w:t>
            </w:r>
            <w:r w:rsidRPr="00622884">
              <w:rPr>
                <w:rFonts w:ascii="Garamond" w:eastAsia="SimSun" w:hAnsi="Garamond" w:cs="Times New Roman"/>
                <w:color w:val="1D3C5A"/>
                <w:sz w:val="10"/>
                <w:lang w:eastAsia="en-US" w:bidi="sq-AL"/>
              </w:rPr>
              <w:br/>
              <w:t>33.3 Të hartohet dhe lançohet një paketë incentivash financiare për të mbështetur zgjidhjet me eficiencë energjie dhe qëndrueshmëri klimatike për komoditetin termik (p.sh. përdorimi i materialeve me albedo të lartë, sistemeve të hijëzimit, çative të gjelbra, gjelbërimit vertikal, ventilimit natyror dhe izolimit termik) në strukturat akomoduese turistike.</w:t>
            </w:r>
            <w:r w:rsidRPr="00622884">
              <w:rPr>
                <w:rFonts w:ascii="Garamond" w:eastAsia="SimSun" w:hAnsi="Garamond" w:cs="Times New Roman"/>
                <w:color w:val="1D3C5A"/>
                <w:sz w:val="10"/>
                <w:lang w:eastAsia="en-US" w:bidi="sq-AL"/>
              </w:rPr>
              <w:br/>
              <w:t>33.4 Të krijohen mekanizma mbështetës teknikë për të ndihmuar bizneset turistike që të kenë akses në financim, të jenë në përputhje me standardeve të reja dhe që të zbatojnë masat e rinovimit.</w:t>
            </w:r>
          </w:p>
          <w:p w14:paraId="5439B88E"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Calibri Light"/>
                <w:color w:val="1D3C5A"/>
                <w:sz w:val="10"/>
                <w:szCs w:val="16"/>
                <w:lang w:eastAsia="en-US"/>
              </w:rPr>
              <w:t>33.5 Integrimi i kritereve të qëndrueshmërisë klimatike në restaurimin dhe mirëmbajtjen e objekteve të trashëgimisë kulturore.</w:t>
            </w:r>
            <w:r w:rsidRPr="00622884">
              <w:rPr>
                <w:rFonts w:ascii="Garamond" w:eastAsia="SimSun" w:hAnsi="Garamond" w:cs="Calibri Light"/>
                <w:b/>
                <w:bCs/>
                <w:color w:val="1D3C5A"/>
                <w:sz w:val="10"/>
                <w:szCs w:val="16"/>
                <w:lang w:eastAsia="en-US"/>
              </w:rPr>
              <w:t xml:space="preserve"> </w:t>
            </w:r>
            <w:r w:rsidRPr="00622884">
              <w:rPr>
                <w:rFonts w:ascii="Garamond" w:eastAsia="SimSun" w:hAnsi="Garamond" w:cs="Calibri Light"/>
                <w:color w:val="1D3C5A"/>
                <w:sz w:val="10"/>
                <w:szCs w:val="16"/>
                <w:lang w:eastAsia="en-US"/>
              </w:rPr>
              <w:t>Të promovohen dhe zbatohen standarde dhe udhëzime për integrimin e kritereve të qëndrueshmërisë klimatike në restaurimin, konservimin dhe mirëmbajtjen e ndërtesave dhe aseteve të trashëgimisë kulturore, në bashkëpunim me institucionet përgjegjëse për kulturën dhe njësitë e qeverisjes vendore, me qëllim mbrojtjen e tyre nga rreziqet klimatike</w:t>
            </w:r>
          </w:p>
        </w:tc>
        <w:tc>
          <w:tcPr>
            <w:tcW w:w="535" w:type="pct"/>
            <w:shd w:val="clear" w:color="auto" w:fill="E0F4F4"/>
            <w:vAlign w:val="center"/>
          </w:tcPr>
          <w:p w14:paraId="4569F860" w14:textId="77777777" w:rsidR="00622884" w:rsidRPr="00622884" w:rsidRDefault="00622884" w:rsidP="00622884">
            <w:pPr>
              <w:spacing w:after="0" w:line="240" w:lineRule="auto"/>
              <w:jc w:val="center"/>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AM</w:t>
            </w:r>
          </w:p>
        </w:tc>
        <w:tc>
          <w:tcPr>
            <w:tcW w:w="938" w:type="pct"/>
            <w:shd w:val="clear" w:color="auto" w:fill="E0F4F4"/>
            <w:vAlign w:val="center"/>
          </w:tcPr>
          <w:p w14:paraId="0D6A5E15" w14:textId="77777777" w:rsidR="00622884" w:rsidRPr="00622884" w:rsidRDefault="00622884" w:rsidP="00622884">
            <w:pPr>
              <w:spacing w:after="0" w:line="240" w:lineRule="auto"/>
              <w:jc w:val="left"/>
              <w:rPr>
                <w:rFonts w:ascii="Garamond" w:eastAsia="SimSun" w:hAnsi="Garamond" w:cs="Times New Roman"/>
                <w:color w:val="1D3C5A"/>
                <w:sz w:val="10"/>
                <w:lang w:eastAsia="en-US" w:bidi="sq-AL"/>
              </w:rPr>
            </w:pPr>
            <w:r w:rsidRPr="00622884">
              <w:rPr>
                <w:rFonts w:ascii="Garamond" w:eastAsia="SimSun" w:hAnsi="Garamond" w:cs="Times New Roman"/>
                <w:color w:val="1D3C5A"/>
                <w:sz w:val="10"/>
                <w:lang w:eastAsia="en-US" w:bidi="sq-AL"/>
              </w:rPr>
              <w:t>1. Plani i veprimit për rinovimin e sektorit të turizmit është zhvilluar dhe miratuar zyrtarisht, duke integruar aftësitë ripërtëritëse ndaj klimës dhe gjetjet nga analiza e cenueshmërisë dhe riskut (Po/Jo).</w:t>
            </w:r>
            <w:r w:rsidRPr="00622884">
              <w:rPr>
                <w:rFonts w:ascii="Garamond" w:eastAsia="SimSun" w:hAnsi="Garamond" w:cs="Times New Roman"/>
                <w:color w:val="1D3C5A"/>
                <w:sz w:val="10"/>
                <w:lang w:eastAsia="en-US" w:bidi="sq-AL"/>
              </w:rPr>
              <w:br/>
              <w:t>2. Janë zhvilluar standarde prokurimi dhe ndërtimi për infrastrukturën turistike të qëndrueshme ndaj klimës. (Po/Jo).</w:t>
            </w:r>
            <w:r w:rsidRPr="00622884">
              <w:rPr>
                <w:rFonts w:ascii="Garamond" w:eastAsia="SimSun" w:hAnsi="Garamond" w:cs="Times New Roman"/>
                <w:color w:val="1D3C5A"/>
                <w:sz w:val="10"/>
                <w:lang w:eastAsia="en-US" w:bidi="sq-AL"/>
              </w:rPr>
              <w:br/>
              <w:t xml:space="preserve">3. Shuma totale (dollarë amerikanë) e alokuar përmes skemave të incentivave financiare operacionalë për të mbështetur rinovimin e akomodimeve turistike me eficiencë energjie dhe me qëndrueshmëri ndaj klimës. </w:t>
            </w:r>
            <w:r w:rsidRPr="00622884">
              <w:rPr>
                <w:rFonts w:ascii="Garamond" w:eastAsia="SimSun" w:hAnsi="Garamond" w:cs="Times New Roman"/>
                <w:color w:val="1D3C5A"/>
                <w:sz w:val="10"/>
                <w:lang w:eastAsia="en-US" w:bidi="sq-AL"/>
              </w:rPr>
              <w:br/>
              <w:t>4. Numri i bizneseve turistike që marrin asistencë teknike për të aksesuar financimin dhe për të zbatuar masa rinovimi me qëndrueshmëri ndaj klimës.</w:t>
            </w:r>
          </w:p>
          <w:p w14:paraId="44A811FD"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Calibri Light"/>
                <w:color w:val="1D3C5A"/>
                <w:sz w:val="10"/>
                <w:szCs w:val="16"/>
                <w:lang w:eastAsia="en-US"/>
              </w:rPr>
              <w:t>5. Udhëzime të miratuara për integrimin e kritereve të qëndrueshmërisë klimatike në restaurim, konservim dhe mirëmbajtjen e ndërtesave dhe aseteve të trashëgimisë kulturore,</w:t>
            </w:r>
          </w:p>
        </w:tc>
        <w:tc>
          <w:tcPr>
            <w:tcW w:w="536" w:type="pct"/>
            <w:shd w:val="clear" w:color="auto" w:fill="E0F4F4"/>
            <w:vAlign w:val="center"/>
          </w:tcPr>
          <w:p w14:paraId="7EC6DFE3"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Ministria e Kulturës, Ministria e Turizmit dhe Mjedisit</w:t>
            </w:r>
          </w:p>
        </w:tc>
        <w:tc>
          <w:tcPr>
            <w:tcW w:w="468" w:type="pct"/>
            <w:shd w:val="clear" w:color="auto" w:fill="E0F4F4"/>
            <w:vAlign w:val="center"/>
          </w:tcPr>
          <w:p w14:paraId="2E880486"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800 000</w:t>
            </w:r>
          </w:p>
        </w:tc>
      </w:tr>
      <w:tr w:rsidR="00622884" w:rsidRPr="00622884" w14:paraId="4CEA8926" w14:textId="77777777" w:rsidTr="00622884">
        <w:trPr>
          <w:trHeight w:val="567"/>
          <w:jc w:val="center"/>
        </w:trPr>
        <w:tc>
          <w:tcPr>
            <w:tcW w:w="245" w:type="pct"/>
            <w:shd w:val="clear" w:color="auto" w:fill="E0F4F4"/>
            <w:vAlign w:val="center"/>
          </w:tcPr>
          <w:p w14:paraId="44565199" w14:textId="77777777" w:rsidR="00622884" w:rsidRPr="00622884" w:rsidRDefault="00622884" w:rsidP="00622884">
            <w:pPr>
              <w:spacing w:after="0" w:line="240" w:lineRule="auto"/>
              <w:jc w:val="center"/>
              <w:rPr>
                <w:rFonts w:ascii="Garamond" w:eastAsia="SimSun" w:hAnsi="Garamond" w:cs="Calibri Light"/>
                <w:b/>
                <w:bCs/>
                <w:color w:val="1D3C5A"/>
                <w:sz w:val="10"/>
                <w:szCs w:val="16"/>
                <w:lang w:eastAsia="en-US"/>
              </w:rPr>
            </w:pPr>
            <w:r w:rsidRPr="00622884">
              <w:rPr>
                <w:rFonts w:ascii="Garamond" w:eastAsia="SimSun" w:hAnsi="Garamond" w:cs="Times New Roman"/>
                <w:b/>
                <w:color w:val="1D3C5A"/>
                <w:sz w:val="10"/>
                <w:lang w:eastAsia="en-US" w:bidi="sq-AL"/>
              </w:rPr>
              <w:t>34</w:t>
            </w:r>
          </w:p>
        </w:tc>
        <w:tc>
          <w:tcPr>
            <w:tcW w:w="373" w:type="pct"/>
            <w:shd w:val="clear" w:color="auto" w:fill="E0F4F4"/>
            <w:vAlign w:val="center"/>
          </w:tcPr>
          <w:p w14:paraId="3E853B51"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Turizmi</w:t>
            </w:r>
          </w:p>
        </w:tc>
        <w:tc>
          <w:tcPr>
            <w:tcW w:w="389" w:type="pct"/>
            <w:shd w:val="clear" w:color="auto" w:fill="E0F4F4"/>
            <w:vAlign w:val="center"/>
          </w:tcPr>
          <w:p w14:paraId="18415903" w14:textId="77777777" w:rsidR="00622884" w:rsidRPr="00622884" w:rsidRDefault="00622884" w:rsidP="00622884">
            <w:pPr>
              <w:spacing w:after="0" w:line="240" w:lineRule="auto"/>
              <w:jc w:val="left"/>
              <w:rPr>
                <w:rFonts w:ascii="Garamond" w:eastAsia="SimSun" w:hAnsi="Garamond" w:cs="Calibri Light"/>
                <w:color w:val="1D3C5A"/>
                <w:sz w:val="10"/>
                <w:szCs w:val="16"/>
                <w:u w:val="single"/>
                <w:lang w:eastAsia="en-US"/>
              </w:rPr>
            </w:pPr>
            <w:r w:rsidRPr="00622884">
              <w:rPr>
                <w:rFonts w:ascii="Garamond" w:eastAsia="SimSun" w:hAnsi="Garamond" w:cs="Times New Roman"/>
                <w:color w:val="1D3C5A"/>
                <w:sz w:val="10"/>
                <w:lang w:eastAsia="en-US" w:bidi="sq-AL"/>
              </w:rPr>
              <w:t>Planifikimi strategjik për qëndrueshmërinë bregdetare: Zonat buferike dhe përshtatja e barrierave detare</w:t>
            </w:r>
          </w:p>
        </w:tc>
        <w:tc>
          <w:tcPr>
            <w:tcW w:w="387" w:type="pct"/>
            <w:shd w:val="clear" w:color="auto" w:fill="E0F4F4"/>
            <w:vAlign w:val="center"/>
          </w:tcPr>
          <w:p w14:paraId="1E007F9D"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Ndërhyrja e butë</w:t>
            </w:r>
            <w:r w:rsidRPr="00622884">
              <w:rPr>
                <w:rFonts w:ascii="Garamond" w:eastAsia="SimSun" w:hAnsi="Garamond" w:cs="Times New Roman"/>
                <w:b/>
                <w:color w:val="1D3C5A"/>
                <w:sz w:val="10"/>
                <w:lang w:eastAsia="en-US" w:bidi="sq-AL"/>
              </w:rPr>
              <w:t>:</w:t>
            </w:r>
          </w:p>
        </w:tc>
        <w:tc>
          <w:tcPr>
            <w:tcW w:w="1129" w:type="pct"/>
            <w:shd w:val="clear" w:color="auto" w:fill="E0F4F4"/>
            <w:vAlign w:val="center"/>
          </w:tcPr>
          <w:p w14:paraId="142C745E"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Veprimtaritë kryesore për përcaktimin e zonave buferike</w:t>
            </w:r>
            <w:r w:rsidRPr="00622884">
              <w:rPr>
                <w:rFonts w:ascii="Garamond" w:eastAsia="SimSun" w:hAnsi="Garamond" w:cs="Times New Roman"/>
                <w:color w:val="1D3C5A"/>
                <w:sz w:val="10"/>
                <w:lang w:eastAsia="en-US" w:bidi="sq-AL"/>
              </w:rPr>
              <w:br/>
              <w:t>34.1.1 Të identifikohen zonat më të ndjeshme ndaj rritjes së nivelit të detit dhe rritjes së niveleve të shtratit të lumenjve</w:t>
            </w:r>
            <w:r w:rsidRPr="00622884">
              <w:rPr>
                <w:rFonts w:ascii="Garamond" w:eastAsia="SimSun" w:hAnsi="Garamond" w:cs="Times New Roman"/>
                <w:color w:val="1D3C5A"/>
                <w:sz w:val="10"/>
                <w:lang w:eastAsia="en-US" w:bidi="sq-AL"/>
              </w:rPr>
              <w:br/>
              <w:t>34.1.2 Të përdoret GIS-i dhe teledeteksionit për të hartëzuar zonat e prirura ndaj përmbytjeve dhe erozionit</w:t>
            </w:r>
            <w:r w:rsidRPr="00622884">
              <w:rPr>
                <w:rFonts w:ascii="Garamond" w:eastAsia="SimSun" w:hAnsi="Garamond" w:cs="Times New Roman"/>
                <w:color w:val="1D3C5A"/>
                <w:sz w:val="10"/>
                <w:lang w:eastAsia="en-US" w:bidi="sq-AL"/>
              </w:rPr>
              <w:br/>
              <w:t>34.1.3 Të zhvillohen dhe zbatohen rregullore që përcaktojnë gjerësinë e zonave buferike dhe kufizimet për zhvillimin brenda këtyre zonave</w:t>
            </w:r>
            <w:r w:rsidRPr="00622884">
              <w:rPr>
                <w:rFonts w:ascii="Garamond" w:eastAsia="SimSun" w:hAnsi="Garamond" w:cs="Times New Roman"/>
                <w:color w:val="1D3C5A"/>
                <w:sz w:val="10"/>
                <w:lang w:eastAsia="en-US" w:bidi="sq-AL"/>
              </w:rPr>
              <w:br/>
              <w:t>34.1.4 Të sigurohet integrimi i zonave buferike në planet vendore dhe rajonale për përdorimin e tokës</w:t>
            </w:r>
            <w:r w:rsidRPr="00622884">
              <w:rPr>
                <w:rFonts w:ascii="Garamond" w:eastAsia="SimSun" w:hAnsi="Garamond" w:cs="Times New Roman"/>
                <w:color w:val="1D3C5A"/>
                <w:sz w:val="10"/>
                <w:lang w:eastAsia="en-US" w:bidi="sq-AL"/>
              </w:rPr>
              <w:br/>
              <w:t>34.1.5 Të edukohen komunitetet rreth rëndësisë të zonave buferike në mbrojtjen nga përmbytjet dhe erozioni</w:t>
            </w:r>
            <w:r w:rsidRPr="00622884">
              <w:rPr>
                <w:rFonts w:ascii="Garamond" w:eastAsia="SimSun" w:hAnsi="Garamond" w:cs="Times New Roman"/>
                <w:color w:val="1D3C5A"/>
                <w:sz w:val="10"/>
                <w:lang w:eastAsia="en-US" w:bidi="sq-AL"/>
              </w:rPr>
              <w:br/>
              <w:t>34.1.6 Të angazhohen palët vendore të interesit në procesin e planifikimit dhe zbatimit</w:t>
            </w:r>
            <w:r w:rsidRPr="00622884">
              <w:rPr>
                <w:rFonts w:ascii="Garamond" w:eastAsia="SimSun" w:hAnsi="Garamond" w:cs="Times New Roman"/>
                <w:color w:val="1D3C5A"/>
                <w:sz w:val="10"/>
                <w:lang w:eastAsia="en-US" w:bidi="sq-AL"/>
              </w:rPr>
              <w:br/>
              <w:t>34.1.7 Të vendosen zona buferike bimore me specie vendase për të stabilizuar tokën dhe reduktuar erozionin.</w:t>
            </w:r>
            <w:r w:rsidRPr="00622884">
              <w:rPr>
                <w:rFonts w:ascii="Garamond" w:eastAsia="SimSun" w:hAnsi="Garamond" w:cs="Times New Roman"/>
                <w:color w:val="1D3C5A"/>
                <w:sz w:val="10"/>
                <w:lang w:eastAsia="en-US" w:bidi="sq-AL"/>
              </w:rPr>
              <w:br/>
              <w:t>34.1.8 Të ndiqen programet e vazhdueshme të monitorimit dhe mirëmbajtjes për të siguruar efektshmërinë e zonave buferike</w:t>
            </w:r>
            <w:r w:rsidRPr="00622884">
              <w:rPr>
                <w:rFonts w:ascii="Garamond" w:eastAsia="SimSun" w:hAnsi="Garamond" w:cs="Times New Roman"/>
                <w:color w:val="1D3C5A"/>
                <w:sz w:val="10"/>
                <w:lang w:eastAsia="en-US" w:bidi="sq-AL"/>
              </w:rPr>
              <w:br/>
              <w:t>Veprimtaritë kyç për ngritjen e barrierave detare</w:t>
            </w:r>
            <w:r w:rsidRPr="00622884">
              <w:rPr>
                <w:rFonts w:ascii="Garamond" w:eastAsia="SimSun" w:hAnsi="Garamond" w:cs="Times New Roman"/>
                <w:color w:val="1D3C5A"/>
                <w:sz w:val="10"/>
                <w:lang w:eastAsia="en-US" w:bidi="sq-AL"/>
              </w:rPr>
              <w:br/>
              <w:t xml:space="preserve">34.2.1 Të vlerësohet fizibiliteti teknik, ekonomik dhe mjedisor i barrierave detare të instaluara </w:t>
            </w:r>
            <w:r w:rsidRPr="00622884">
              <w:rPr>
                <w:rFonts w:ascii="Garamond" w:eastAsia="SimSun" w:hAnsi="Garamond" w:cs="Times New Roman"/>
                <w:color w:val="1D3C5A"/>
                <w:sz w:val="10"/>
                <w:lang w:eastAsia="en-US" w:bidi="sq-AL"/>
              </w:rPr>
              <w:br/>
              <w:t>34.2.2 Të zhvillohen projektime të detajuara dhe plane inxhinierike për barrierat detare, duke marrë në konsideratë kushtet vendore dhe ndikimin e mundshëm</w:t>
            </w:r>
            <w:r w:rsidRPr="00622884">
              <w:rPr>
                <w:rFonts w:ascii="Garamond" w:eastAsia="SimSun" w:hAnsi="Garamond" w:cs="Times New Roman"/>
                <w:color w:val="1D3C5A"/>
                <w:sz w:val="10"/>
                <w:lang w:eastAsia="en-US" w:bidi="sq-AL"/>
              </w:rPr>
              <w:br/>
              <w:t>34.2.3 Të sigurohen të gjitha lejet dhe miratimet e kërkuara nga autoritetet përkatëse</w:t>
            </w:r>
            <w:r w:rsidRPr="00622884">
              <w:rPr>
                <w:rFonts w:ascii="Garamond" w:eastAsia="SimSun" w:hAnsi="Garamond" w:cs="Times New Roman"/>
                <w:color w:val="1D3C5A"/>
                <w:sz w:val="10"/>
                <w:lang w:eastAsia="en-US" w:bidi="sq-AL"/>
              </w:rPr>
              <w:br/>
              <w:t>34.2.4 Të kryhen vlerësime të hollësishme të ndikimit në mjedis për të identifikuar dhe zbutur efektet e mundshme negative</w:t>
            </w:r>
            <w:r w:rsidRPr="00622884">
              <w:rPr>
                <w:rFonts w:ascii="Garamond" w:eastAsia="SimSun" w:hAnsi="Garamond" w:cs="Times New Roman"/>
                <w:color w:val="1D3C5A"/>
                <w:sz w:val="10"/>
                <w:lang w:eastAsia="en-US" w:bidi="sq-AL"/>
              </w:rPr>
              <w:br/>
              <w:t>34.2.5 Të ndërtohen dhe instalohen barriera detare, për të siguruar që atë të ndërtohen për t’i bërë ballë kushteve vendore mjedisore</w:t>
            </w:r>
            <w:r w:rsidRPr="00622884">
              <w:rPr>
                <w:rFonts w:ascii="Garamond" w:eastAsia="SimSun" w:hAnsi="Garamond" w:cs="Times New Roman"/>
                <w:color w:val="1D3C5A"/>
                <w:sz w:val="10"/>
                <w:lang w:eastAsia="en-US" w:bidi="sq-AL"/>
              </w:rPr>
              <w:br/>
              <w:t>34.2.7 Të përcaktohen protokollet për funksionimin e barrierave detare, duke përfshirë procedurat e hapjes dhe mbylljes gjatë stuhive</w:t>
            </w:r>
            <w:r w:rsidRPr="00622884">
              <w:rPr>
                <w:rFonts w:ascii="Garamond" w:eastAsia="SimSun" w:hAnsi="Garamond" w:cs="Times New Roman"/>
                <w:color w:val="1D3C5A"/>
                <w:sz w:val="10"/>
                <w:lang w:eastAsia="en-US" w:bidi="sq-AL"/>
              </w:rPr>
              <w:br/>
              <w:t>34.2.8 Zbatoni një orar për inspektime dhe mirëmbajtje të rregullta për të siguruar që portat detare të mbeten funksionale dhe efektive.</w:t>
            </w:r>
          </w:p>
        </w:tc>
        <w:tc>
          <w:tcPr>
            <w:tcW w:w="535" w:type="pct"/>
            <w:shd w:val="clear" w:color="auto" w:fill="E0F4F4"/>
            <w:vAlign w:val="center"/>
          </w:tcPr>
          <w:p w14:paraId="0878F4D2" w14:textId="77777777" w:rsidR="00622884" w:rsidRPr="00622884" w:rsidRDefault="00622884" w:rsidP="00622884">
            <w:pPr>
              <w:spacing w:after="0" w:line="240" w:lineRule="auto"/>
              <w:jc w:val="center"/>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AM</w:t>
            </w:r>
          </w:p>
        </w:tc>
        <w:tc>
          <w:tcPr>
            <w:tcW w:w="938" w:type="pct"/>
            <w:shd w:val="clear" w:color="auto" w:fill="E0F4F4"/>
            <w:vAlign w:val="center"/>
          </w:tcPr>
          <w:p w14:paraId="2354D862"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1. Numri i zonave bregdetare dhe lumore të cenueshme të identifikuara dhe të hartuara duke përdorur GIS-in dhe mjetet e teledeteksioni.</w:t>
            </w:r>
            <w:r w:rsidRPr="00622884">
              <w:rPr>
                <w:rFonts w:ascii="Garamond" w:eastAsia="SimSun" w:hAnsi="Garamond" w:cs="Times New Roman"/>
                <w:color w:val="1D3C5A"/>
                <w:sz w:val="10"/>
                <w:lang w:eastAsia="en-US" w:bidi="sq-AL"/>
              </w:rPr>
              <w:br/>
              <w:t>2. Numri i zonave buferike të përcaktuara ligjërisht dhe të integruara në planet vendore ose rajonale të përdorimit të tokës.</w:t>
            </w:r>
            <w:r w:rsidRPr="00622884">
              <w:rPr>
                <w:rFonts w:ascii="Garamond" w:eastAsia="SimSun" w:hAnsi="Garamond" w:cs="Times New Roman"/>
                <w:color w:val="1D3C5A"/>
                <w:sz w:val="10"/>
                <w:lang w:eastAsia="en-US" w:bidi="sq-AL"/>
              </w:rPr>
              <w:br/>
              <w:t>3. Numri i hektarëve të zonave buferike bimore të krijuara ose të restauruara me specie bimore vendase.</w:t>
            </w:r>
            <w:r w:rsidRPr="00622884">
              <w:rPr>
                <w:rFonts w:ascii="Garamond" w:eastAsia="SimSun" w:hAnsi="Garamond" w:cs="Times New Roman"/>
                <w:color w:val="1D3C5A"/>
                <w:sz w:val="10"/>
                <w:lang w:eastAsia="en-US" w:bidi="sq-AL"/>
              </w:rPr>
              <w:br/>
              <w:t>4. Numri i vlerësimeve të fizibilitetit të barriera detare dhe projekteve inxhinierike të përfunduara dhe të miratuara.</w:t>
            </w:r>
            <w:r w:rsidRPr="00622884">
              <w:rPr>
                <w:rFonts w:ascii="Garamond" w:eastAsia="SimSun" w:hAnsi="Garamond" w:cs="Times New Roman"/>
                <w:color w:val="1D3C5A"/>
                <w:sz w:val="10"/>
                <w:lang w:eastAsia="en-US" w:bidi="sq-AL"/>
              </w:rPr>
              <w:br/>
              <w:t>5. Numri i portave detare të ndërtuara dhe funksionale me protokollet e përcaktuara në rastet e stuhive.</w:t>
            </w:r>
            <w:r w:rsidRPr="00622884">
              <w:rPr>
                <w:rFonts w:ascii="Garamond" w:eastAsia="SimSun" w:hAnsi="Garamond" w:cs="Times New Roman"/>
                <w:color w:val="1D3C5A"/>
                <w:sz w:val="10"/>
                <w:lang w:eastAsia="en-US" w:bidi="sq-AL"/>
              </w:rPr>
              <w:br/>
              <w:t>6. Numri i seancave të ndërgjegjësimit të komunitetit dhe angazhimit të palëve të interesit të zhvilluara për zonat buferike dhe menaxhimin e riskut nga përmbytjet.</w:t>
            </w:r>
            <w:r w:rsidRPr="00622884">
              <w:rPr>
                <w:rFonts w:ascii="Garamond" w:eastAsia="SimSun" w:hAnsi="Garamond" w:cs="Times New Roman"/>
                <w:color w:val="1D3C5A"/>
                <w:sz w:val="10"/>
                <w:lang w:eastAsia="en-US" w:bidi="sq-AL"/>
              </w:rPr>
              <w:br/>
              <w:t>7. Përqindja e zonave buferike dhe barriera detare nën programe aktive monitorimi dhe mirëmbajtjeje.</w:t>
            </w:r>
          </w:p>
        </w:tc>
        <w:tc>
          <w:tcPr>
            <w:tcW w:w="536" w:type="pct"/>
            <w:shd w:val="clear" w:color="auto" w:fill="E0F4F4"/>
            <w:vAlign w:val="center"/>
          </w:tcPr>
          <w:p w14:paraId="08FDF502"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 xml:space="preserve">Ministria e Turizmit, Kulturës dhe Sportit; Ministria e Mjedisit; Bashkitë </w:t>
            </w:r>
          </w:p>
          <w:p w14:paraId="11ACF332"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p>
        </w:tc>
        <w:tc>
          <w:tcPr>
            <w:tcW w:w="468" w:type="pct"/>
            <w:shd w:val="clear" w:color="auto" w:fill="E0F4F4"/>
            <w:vAlign w:val="center"/>
          </w:tcPr>
          <w:p w14:paraId="32FA71BF"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504.000</w:t>
            </w:r>
          </w:p>
        </w:tc>
      </w:tr>
      <w:tr w:rsidR="00622884" w:rsidRPr="00622884" w14:paraId="3E17B808" w14:textId="77777777" w:rsidTr="00622884">
        <w:trPr>
          <w:trHeight w:val="567"/>
          <w:jc w:val="center"/>
        </w:trPr>
        <w:tc>
          <w:tcPr>
            <w:tcW w:w="245" w:type="pct"/>
            <w:shd w:val="clear" w:color="auto" w:fill="E0F4F4"/>
            <w:vAlign w:val="center"/>
          </w:tcPr>
          <w:p w14:paraId="5C9C4BB2" w14:textId="77777777" w:rsidR="00622884" w:rsidRPr="00622884" w:rsidRDefault="00622884" w:rsidP="00622884">
            <w:pPr>
              <w:spacing w:after="0" w:line="240" w:lineRule="auto"/>
              <w:jc w:val="center"/>
              <w:rPr>
                <w:rFonts w:ascii="Garamond" w:eastAsia="SimSun" w:hAnsi="Garamond" w:cs="Calibri Light"/>
                <w:b/>
                <w:bCs/>
                <w:color w:val="1D3C5A"/>
                <w:sz w:val="10"/>
                <w:szCs w:val="16"/>
                <w:lang w:eastAsia="en-US"/>
              </w:rPr>
            </w:pPr>
            <w:r w:rsidRPr="00622884">
              <w:rPr>
                <w:rFonts w:ascii="Garamond" w:eastAsia="SimSun" w:hAnsi="Garamond" w:cs="Times New Roman"/>
                <w:b/>
                <w:color w:val="1D3C5A"/>
                <w:sz w:val="10"/>
                <w:lang w:eastAsia="en-US" w:bidi="sq-AL"/>
              </w:rPr>
              <w:t>35</w:t>
            </w:r>
          </w:p>
        </w:tc>
        <w:tc>
          <w:tcPr>
            <w:tcW w:w="373" w:type="pct"/>
            <w:shd w:val="clear" w:color="auto" w:fill="E0F4F4"/>
            <w:vAlign w:val="center"/>
          </w:tcPr>
          <w:p w14:paraId="7310E425"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Turizmi</w:t>
            </w:r>
          </w:p>
        </w:tc>
        <w:tc>
          <w:tcPr>
            <w:tcW w:w="389" w:type="pct"/>
            <w:shd w:val="clear" w:color="auto" w:fill="E0F4F4"/>
            <w:vAlign w:val="center"/>
          </w:tcPr>
          <w:p w14:paraId="6A0D62A3" w14:textId="77777777" w:rsidR="00622884" w:rsidRPr="00622884" w:rsidRDefault="00622884" w:rsidP="00622884">
            <w:pPr>
              <w:spacing w:after="0" w:line="240" w:lineRule="auto"/>
              <w:jc w:val="left"/>
              <w:rPr>
                <w:rFonts w:ascii="Garamond" w:eastAsia="SimSun" w:hAnsi="Garamond" w:cs="Calibri Light"/>
                <w:color w:val="1D3C5A"/>
                <w:sz w:val="10"/>
                <w:szCs w:val="16"/>
                <w:u w:val="single"/>
                <w:lang w:eastAsia="en-US"/>
              </w:rPr>
            </w:pPr>
            <w:r w:rsidRPr="00622884">
              <w:rPr>
                <w:rFonts w:ascii="Garamond" w:eastAsia="SimSun" w:hAnsi="Garamond" w:cs="Times New Roman"/>
                <w:color w:val="1D3C5A"/>
                <w:sz w:val="10"/>
                <w:lang w:eastAsia="en-US" w:bidi="sq-AL"/>
              </w:rPr>
              <w:t>Mbrojtja e Gjirit të Vlorës: Ruajtja e habitateve të posidonia-s dhe trashëgimisë kulturore nënujore kundër ndikimeve të klimës</w:t>
            </w:r>
          </w:p>
        </w:tc>
        <w:tc>
          <w:tcPr>
            <w:tcW w:w="387" w:type="pct"/>
            <w:shd w:val="clear" w:color="auto" w:fill="E0F4F4"/>
            <w:vAlign w:val="center"/>
          </w:tcPr>
          <w:p w14:paraId="1E8E0984"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Ndërhyrja e gjelbër</w:t>
            </w:r>
          </w:p>
        </w:tc>
        <w:tc>
          <w:tcPr>
            <w:tcW w:w="1129" w:type="pct"/>
            <w:shd w:val="clear" w:color="auto" w:fill="E0F4F4"/>
            <w:vAlign w:val="center"/>
          </w:tcPr>
          <w:p w14:paraId="4A0FE1EC"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35.1 Të kryhet hartëzimi i shtratit të detit dhe vlerësimi i livadheve të Posidonia-s për të përcaktuar fushëveprimin dhe opsionet për përpjekjet e restaurimit.</w:t>
            </w:r>
            <w:r w:rsidRPr="00622884">
              <w:rPr>
                <w:rFonts w:ascii="Garamond" w:eastAsia="SimSun" w:hAnsi="Garamond" w:cs="Times New Roman"/>
                <w:color w:val="1D3C5A"/>
                <w:sz w:val="10"/>
                <w:lang w:eastAsia="en-US" w:bidi="sq-AL"/>
              </w:rPr>
              <w:br/>
              <w:t>35.2 Të restaurohen dhe zgjerohen livadhet me alga detare Posidonia: Të restaurohen aktivisht livadhet e degraduara të Posidonia-s përmes transplantimit dhe përpjekjeve të konservimit për të rritur qëndrueshmërinë bregdetare.</w:t>
            </w:r>
            <w:r w:rsidRPr="00622884">
              <w:rPr>
                <w:rFonts w:ascii="Garamond" w:eastAsia="SimSun" w:hAnsi="Garamond" w:cs="Times New Roman"/>
                <w:color w:val="1D3C5A"/>
                <w:sz w:val="10"/>
                <w:lang w:eastAsia="en-US" w:bidi="sq-AL"/>
              </w:rPr>
              <w:br/>
              <w:t xml:space="preserve">35.3 Promovimi i zonave natyrore të plazhit dhe mbrojtja e Banquettes Posidonia: Të inkurajohet përdorimi i zonave natyrore të plazhit, duke ruajtur shkëmbinjtë dhe bregun e Posidonia-s për të ruajtur ekuilibrin e </w:t>
            </w:r>
            <w:r w:rsidRPr="00622884">
              <w:rPr>
                <w:rFonts w:ascii="Garamond" w:eastAsia="SimSun" w:hAnsi="Garamond" w:cs="Times New Roman"/>
                <w:color w:val="1D3C5A"/>
                <w:sz w:val="10"/>
                <w:lang w:eastAsia="en-US" w:bidi="sq-AL"/>
              </w:rPr>
              <w:lastRenderedPageBreak/>
              <w:t>ekosistemit, duke përfshirë zhvillimin e aktiviteteve të qëndrueshme turistike.</w:t>
            </w:r>
            <w:r w:rsidRPr="00622884">
              <w:rPr>
                <w:rFonts w:ascii="Garamond" w:eastAsia="SimSun" w:hAnsi="Garamond" w:cs="Times New Roman"/>
                <w:color w:val="1D3C5A"/>
                <w:sz w:val="10"/>
                <w:lang w:eastAsia="en-US" w:bidi="sq-AL"/>
              </w:rPr>
              <w:br/>
              <w:t>35.4 Monitorimi i ndikimit të klimës në trashëgiminë kulturore nënujore: Të zhvillohen programe monitorimi për të vlerësuar efektet e rritjes së temperaturave të detit dhe erozionit në vendet arkeologjike të zhytura.</w:t>
            </w:r>
            <w:r w:rsidRPr="00622884">
              <w:rPr>
                <w:rFonts w:ascii="Garamond" w:eastAsia="SimSun" w:hAnsi="Garamond" w:cs="Times New Roman"/>
                <w:color w:val="1D3C5A"/>
                <w:sz w:val="10"/>
                <w:lang w:eastAsia="en-US" w:bidi="sq-AL"/>
              </w:rPr>
              <w:br/>
              <w:t>35.5 Zbatimi i zonave të mbrojtura detare (ZMD) për konservimin: Të përcaktohen dhe të zbatohen zonat e mbrojtura detare në Gjirin e Vlorës, për të mbrojtur habitatet e Posidonia-s dhe trashëgiminë nënujore nga kërcënimet e shkaktuara nga njeriu dhe ndryshimet klimatike.</w:t>
            </w:r>
            <w:r w:rsidRPr="00622884">
              <w:rPr>
                <w:rFonts w:ascii="Garamond" w:eastAsia="SimSun" w:hAnsi="Garamond" w:cs="Times New Roman"/>
                <w:color w:val="1D3C5A"/>
                <w:sz w:val="10"/>
                <w:lang w:eastAsia="en-US" w:bidi="sq-AL"/>
              </w:rPr>
              <w:br/>
              <w:t>35.6 Angazhimi i komuniteteve vendore në përpjekjet për ruajtjen e natyrës: Të promovohet ngritja e kapaciteteve për ruajtjen e natyrës dhe për nxitjen e nismave të udhëhequra nga komuniteti, si dhe i praktikave të turizmit të qëndrueshëm, për të mbështetur ruajtjen e natyrës dhe për të siguruar njëkohësisht përfitime ekonomike për rajonin.</w:t>
            </w:r>
            <w:r w:rsidRPr="00622884">
              <w:rPr>
                <w:rFonts w:ascii="Garamond" w:eastAsia="SimSun" w:hAnsi="Garamond" w:cs="Times New Roman"/>
                <w:color w:val="1D3C5A"/>
                <w:sz w:val="10"/>
                <w:lang w:eastAsia="en-US" w:bidi="sq-AL"/>
              </w:rPr>
              <w:br/>
              <w:t>35.7 Të zbatohen sisteme monitorimi të qëndrueshme për të mbrojtur livadhet me alga detare: Të instalohen bova ankorimi miqësore me mjedisin për të parandaluar dëmtimin e spirancave në livadhet e Posidonia-s dhe ekosisteme të tjera të ndjeshme detare.</w:t>
            </w:r>
            <w:r w:rsidRPr="00622884">
              <w:rPr>
                <w:rFonts w:ascii="Garamond" w:eastAsia="SimSun" w:hAnsi="Garamond" w:cs="Times New Roman"/>
                <w:color w:val="1D3C5A"/>
                <w:sz w:val="10"/>
                <w:lang w:eastAsia="en-US" w:bidi="sq-AL"/>
              </w:rPr>
              <w:br/>
              <w:t>35.8 Të ndiqen programet për heqjen e mbeturinave dhe reduktimin e mbetjeve: Të krijohen nisma vendore për pastrimin e plazheve dhe shtratit të detit për të reduktuar ndotjen që ndikon në biodiversitetin detar dhe tërheqjen e turizmit.</w:t>
            </w:r>
          </w:p>
        </w:tc>
        <w:tc>
          <w:tcPr>
            <w:tcW w:w="535" w:type="pct"/>
            <w:shd w:val="clear" w:color="auto" w:fill="E0F4F4"/>
            <w:vAlign w:val="center"/>
          </w:tcPr>
          <w:p w14:paraId="5E5AF3D3" w14:textId="77777777" w:rsidR="00622884" w:rsidRPr="00622884" w:rsidRDefault="00622884" w:rsidP="00622884">
            <w:pPr>
              <w:spacing w:after="0" w:line="240" w:lineRule="auto"/>
              <w:jc w:val="center"/>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lastRenderedPageBreak/>
              <w:t>AGJ</w:t>
            </w:r>
          </w:p>
        </w:tc>
        <w:tc>
          <w:tcPr>
            <w:tcW w:w="938" w:type="pct"/>
            <w:shd w:val="clear" w:color="auto" w:fill="E0F4F4"/>
            <w:vAlign w:val="center"/>
          </w:tcPr>
          <w:p w14:paraId="6248BE5E"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1. Numri i hektarëve të livadheve me Posidonia të vlerësuara, të restauruara ose të krijuara rishtazi përmes përpjekjeve të transplantimit dhe ruajtjes.</w:t>
            </w:r>
            <w:r w:rsidRPr="00622884">
              <w:rPr>
                <w:rFonts w:ascii="Garamond" w:eastAsia="SimSun" w:hAnsi="Garamond" w:cs="Times New Roman"/>
                <w:color w:val="1D3C5A"/>
                <w:sz w:val="10"/>
                <w:lang w:eastAsia="en-US" w:bidi="sq-AL"/>
              </w:rPr>
              <w:br/>
              <w:t>2. Numri i zonave të mbrojtura detare (ZMD) të përcaktuara dhe të zbatuara për habitatin e Posidonia-s dhe mbrojtjen e trashëgimisë nënujore në Gjirin e Vlorës.</w:t>
            </w:r>
            <w:r w:rsidRPr="00622884">
              <w:rPr>
                <w:rFonts w:ascii="Garamond" w:eastAsia="SimSun" w:hAnsi="Garamond" w:cs="Times New Roman"/>
                <w:color w:val="1D3C5A"/>
                <w:sz w:val="10"/>
                <w:lang w:eastAsia="en-US" w:bidi="sq-AL"/>
              </w:rPr>
              <w:br/>
              <w:t>3. Numri i sistemeve të qëndrueshme të ankorimit (p.sh., bova miqësore me mjedisin) të instaluara për të mbrojtur livadhet e algave të detit nga dëmtimi prej spirancave.</w:t>
            </w:r>
            <w:r w:rsidRPr="00622884">
              <w:rPr>
                <w:rFonts w:ascii="Garamond" w:eastAsia="SimSun" w:hAnsi="Garamond" w:cs="Times New Roman"/>
                <w:color w:val="1D3C5A"/>
                <w:sz w:val="10"/>
                <w:lang w:eastAsia="en-US" w:bidi="sq-AL"/>
              </w:rPr>
              <w:br/>
            </w:r>
            <w:r w:rsidRPr="00622884">
              <w:rPr>
                <w:rFonts w:ascii="Garamond" w:eastAsia="SimSun" w:hAnsi="Garamond" w:cs="Times New Roman"/>
                <w:color w:val="1D3C5A"/>
                <w:sz w:val="10"/>
                <w:lang w:eastAsia="en-US" w:bidi="sq-AL"/>
              </w:rPr>
              <w:lastRenderedPageBreak/>
              <w:t>4. Numri i vendeve të monitorimit të krijuara për të ndjekur ndikimin e ndryshimeve klimatike në trashëgiminë kulturore nënujore në Gjirin e Vlorës.</w:t>
            </w:r>
            <w:r w:rsidRPr="00622884">
              <w:rPr>
                <w:rFonts w:ascii="Garamond" w:eastAsia="SimSun" w:hAnsi="Garamond" w:cs="Times New Roman"/>
                <w:color w:val="1D3C5A"/>
                <w:sz w:val="10"/>
                <w:lang w:eastAsia="en-US" w:bidi="sq-AL"/>
              </w:rPr>
              <w:br/>
              <w:t>5. Përqindje më e lartë ndërgjegjësimi dhe pjesëmarrje të komuniteteve vendore në veprimtaritë e ruajtjes së Posidonia-s dhe trashëgimisë detare.</w:t>
            </w:r>
            <w:r w:rsidRPr="00622884">
              <w:rPr>
                <w:rFonts w:ascii="Garamond" w:eastAsia="SimSun" w:hAnsi="Garamond" w:cs="Times New Roman"/>
                <w:color w:val="1D3C5A"/>
                <w:sz w:val="10"/>
                <w:lang w:eastAsia="en-US" w:bidi="sq-AL"/>
              </w:rPr>
              <w:br/>
              <w:t>6. Numri i zonave natyrore të plazhit të përcaktuara dhe të menaxhuara për mbrojtjen e platformave të Posidonia-s dhe promovimin e turizmit të qëndrueshëm.</w:t>
            </w:r>
            <w:r w:rsidRPr="00622884">
              <w:rPr>
                <w:rFonts w:ascii="Garamond" w:eastAsia="SimSun" w:hAnsi="Garamond" w:cs="Times New Roman"/>
                <w:color w:val="1D3C5A"/>
                <w:sz w:val="10"/>
                <w:lang w:eastAsia="en-US" w:bidi="sq-AL"/>
              </w:rPr>
              <w:br/>
              <w:t xml:space="preserve">7. Vëllimi i mbeturinave detare të larguara nga zonat prioritare të Gjirit të Vlorës nëpërmjet fushatave të pastrimit dhe programeve të reduktimit të mbeturinave plastike. </w:t>
            </w:r>
          </w:p>
        </w:tc>
        <w:tc>
          <w:tcPr>
            <w:tcW w:w="536" w:type="pct"/>
            <w:shd w:val="clear" w:color="auto" w:fill="E0F4F4"/>
            <w:vAlign w:val="center"/>
          </w:tcPr>
          <w:p w14:paraId="1BBBF863"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lastRenderedPageBreak/>
              <w:t xml:space="preserve">Ministria e Mjedisit; Ministria e Turizmit, Kulturës dhe Sportit; Bashkitë </w:t>
            </w:r>
          </w:p>
          <w:p w14:paraId="1534B872"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p>
        </w:tc>
        <w:tc>
          <w:tcPr>
            <w:tcW w:w="468" w:type="pct"/>
            <w:shd w:val="clear" w:color="auto" w:fill="E0F4F4"/>
            <w:vAlign w:val="center"/>
          </w:tcPr>
          <w:p w14:paraId="2294B606"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3.606.119</w:t>
            </w:r>
          </w:p>
        </w:tc>
      </w:tr>
      <w:tr w:rsidR="00622884" w:rsidRPr="00622884" w14:paraId="33332D38" w14:textId="77777777" w:rsidTr="00622884">
        <w:trPr>
          <w:trHeight w:val="567"/>
          <w:jc w:val="center"/>
        </w:trPr>
        <w:tc>
          <w:tcPr>
            <w:tcW w:w="245" w:type="pct"/>
            <w:shd w:val="clear" w:color="auto" w:fill="E0F4F4"/>
            <w:vAlign w:val="center"/>
          </w:tcPr>
          <w:p w14:paraId="2EFBD90F" w14:textId="77777777" w:rsidR="00622884" w:rsidRPr="00622884" w:rsidRDefault="00622884" w:rsidP="00622884">
            <w:pPr>
              <w:spacing w:after="0" w:line="240" w:lineRule="auto"/>
              <w:jc w:val="center"/>
              <w:rPr>
                <w:rFonts w:ascii="Garamond" w:eastAsia="SimSun" w:hAnsi="Garamond" w:cs="Calibri Light"/>
                <w:b/>
                <w:bCs/>
                <w:color w:val="1D3C5A"/>
                <w:sz w:val="10"/>
                <w:szCs w:val="16"/>
                <w:lang w:eastAsia="en-US"/>
              </w:rPr>
            </w:pPr>
            <w:r w:rsidRPr="00622884">
              <w:rPr>
                <w:rFonts w:ascii="Garamond" w:eastAsia="SimSun" w:hAnsi="Garamond" w:cs="Times New Roman"/>
                <w:b/>
                <w:color w:val="1D3C5A"/>
                <w:sz w:val="10"/>
                <w:lang w:eastAsia="en-US" w:bidi="sq-AL"/>
              </w:rPr>
              <w:t>36</w:t>
            </w:r>
          </w:p>
        </w:tc>
        <w:tc>
          <w:tcPr>
            <w:tcW w:w="373" w:type="pct"/>
            <w:shd w:val="clear" w:color="auto" w:fill="E0F4F4"/>
            <w:vAlign w:val="center"/>
          </w:tcPr>
          <w:p w14:paraId="0EC2D93D"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Turizmi</w:t>
            </w:r>
          </w:p>
        </w:tc>
        <w:tc>
          <w:tcPr>
            <w:tcW w:w="389" w:type="pct"/>
            <w:shd w:val="clear" w:color="auto" w:fill="E0F4F4"/>
            <w:vAlign w:val="center"/>
          </w:tcPr>
          <w:p w14:paraId="6414A2E5" w14:textId="77777777" w:rsidR="00622884" w:rsidRPr="00622884" w:rsidRDefault="00622884" w:rsidP="00622884">
            <w:pPr>
              <w:spacing w:after="0" w:line="240" w:lineRule="auto"/>
              <w:jc w:val="left"/>
              <w:rPr>
                <w:rFonts w:ascii="Garamond" w:eastAsia="SimSun" w:hAnsi="Garamond" w:cs="Calibri Light"/>
                <w:color w:val="1D3C5A"/>
                <w:sz w:val="10"/>
                <w:szCs w:val="16"/>
                <w:u w:val="single"/>
                <w:lang w:eastAsia="en-US"/>
              </w:rPr>
            </w:pPr>
            <w:r w:rsidRPr="00622884">
              <w:rPr>
                <w:rFonts w:ascii="Garamond" w:eastAsia="SimSun" w:hAnsi="Garamond" w:cs="Times New Roman"/>
                <w:color w:val="1D3C5A"/>
                <w:sz w:val="10"/>
                <w:lang w:eastAsia="en-US" w:bidi="sq-AL"/>
              </w:rPr>
              <w:t xml:space="preserve">Forcimi i kuadrit politik dhe rregullator për turizmin e qëndrueshëm: Rishikimi i politikave dhe përmirësimi rregullator </w:t>
            </w:r>
          </w:p>
        </w:tc>
        <w:tc>
          <w:tcPr>
            <w:tcW w:w="387" w:type="pct"/>
            <w:shd w:val="clear" w:color="auto" w:fill="E0F4F4"/>
            <w:vAlign w:val="center"/>
          </w:tcPr>
          <w:p w14:paraId="06BA0BB4"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Ndërhyrja e butë</w:t>
            </w:r>
            <w:r w:rsidRPr="00622884">
              <w:rPr>
                <w:rFonts w:ascii="Garamond" w:eastAsia="SimSun" w:hAnsi="Garamond" w:cs="Times New Roman"/>
                <w:b/>
                <w:color w:val="1D3C5A"/>
                <w:sz w:val="10"/>
                <w:lang w:eastAsia="en-US" w:bidi="sq-AL"/>
              </w:rPr>
              <w:t>:</w:t>
            </w:r>
          </w:p>
        </w:tc>
        <w:tc>
          <w:tcPr>
            <w:tcW w:w="1129" w:type="pct"/>
            <w:shd w:val="clear" w:color="auto" w:fill="E0F4F4"/>
            <w:vAlign w:val="center"/>
          </w:tcPr>
          <w:p w14:paraId="2A5FAA12"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36.1 Të kryhet një shqyrtim diagnostikues të ligjeve, politikave dhe instrumenteve rregullatore që lidhen me turizmin për të identifikuar mangësitë, mospërputhjet dhe mundësitë për integrimin të dispozitave më të forta për qëndrueshmërinë.</w:t>
            </w:r>
            <w:r w:rsidRPr="00622884">
              <w:rPr>
                <w:rFonts w:ascii="Garamond" w:eastAsia="SimSun" w:hAnsi="Garamond" w:cs="Times New Roman"/>
                <w:color w:val="1D3C5A"/>
                <w:sz w:val="10"/>
                <w:lang w:eastAsia="en-US" w:bidi="sq-AL"/>
              </w:rPr>
              <w:br/>
              <w:t>36.2 Të zhvillohen rekomandime për politikat dhe ndryshimet e propozuara për të përafruar rregulloret e turizmit me objektivat kombëtare të përshtatjes ndaj klimës, standardet e qëndrueshmërisë dhe prioritetet e mbrojtjes së mjedisit.</w:t>
            </w:r>
            <w:r w:rsidRPr="00622884">
              <w:rPr>
                <w:rFonts w:ascii="Garamond" w:eastAsia="SimSun" w:hAnsi="Garamond" w:cs="Times New Roman"/>
                <w:color w:val="1D3C5A"/>
                <w:sz w:val="10"/>
                <w:lang w:eastAsia="en-US" w:bidi="sq-AL"/>
              </w:rPr>
              <w:br/>
              <w:t>36.3 Të përditësohen ose zhvillohen instrumente ligjore dhe rregullatore për të përforcuar praktikat e turizmit të qëndrueshëm, duke përfshirë dispozita specifike për mbrojtjen e mjedisit, kufizimin e përdorimit të tokës në zonat ekologjikisht të ndjeshme dhe kërkesat e aftësive ripërtëritëse ndaj klimës për infrastrukturën turistike.</w:t>
            </w:r>
          </w:p>
        </w:tc>
        <w:tc>
          <w:tcPr>
            <w:tcW w:w="535" w:type="pct"/>
            <w:shd w:val="clear" w:color="auto" w:fill="E0F4F4"/>
            <w:vAlign w:val="center"/>
          </w:tcPr>
          <w:p w14:paraId="330C386D" w14:textId="77777777" w:rsidR="00622884" w:rsidRPr="00622884" w:rsidRDefault="00622884" w:rsidP="00622884">
            <w:pPr>
              <w:spacing w:after="0" w:line="240" w:lineRule="auto"/>
              <w:jc w:val="center"/>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ASH</w:t>
            </w:r>
          </w:p>
        </w:tc>
        <w:tc>
          <w:tcPr>
            <w:tcW w:w="938" w:type="pct"/>
            <w:shd w:val="clear" w:color="auto" w:fill="E0F4F4"/>
            <w:vAlign w:val="center"/>
          </w:tcPr>
          <w:p w14:paraId="76DD76CD"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1. Rishikimi diagnostikues i politikave dhe rregulloreve që lidhen me turizmin është përfunduar, duke identifikuar mangësitë dhe mundësitë për integrimin e qëndrueshmërisë dhe aftësinë ripërtëritëse ndaj klimës (Po/Jo).</w:t>
            </w:r>
            <w:r w:rsidRPr="00622884">
              <w:rPr>
                <w:rFonts w:ascii="Garamond" w:eastAsia="SimSun" w:hAnsi="Garamond" w:cs="Times New Roman"/>
                <w:color w:val="1D3C5A"/>
                <w:sz w:val="10"/>
                <w:lang w:eastAsia="en-US" w:bidi="sq-AL"/>
              </w:rPr>
              <w:br/>
              <w:t>2. Numri i rekomandimeve për politika ose ndryshime ligjore të propozuara për të forcuar qëndrueshmërinë dhe përshtatjen ndaj klimës në rregulloret e turizmit.</w:t>
            </w:r>
            <w:r w:rsidRPr="00622884">
              <w:rPr>
                <w:rFonts w:ascii="Garamond" w:eastAsia="SimSun" w:hAnsi="Garamond" w:cs="Times New Roman"/>
                <w:color w:val="1D3C5A"/>
                <w:sz w:val="10"/>
                <w:lang w:eastAsia="en-US" w:bidi="sq-AL"/>
              </w:rPr>
              <w:br/>
              <w:t>3. Numri i instrumenteve ligjore dhe rregullatore të përditësuara ose të miratuara rishtazi që promovojnë praktikat e turizmit të qëndrueshëm dhe me aftësi ripërtëritëse ndaj klimës.</w:t>
            </w:r>
          </w:p>
        </w:tc>
        <w:tc>
          <w:tcPr>
            <w:tcW w:w="536" w:type="pct"/>
            <w:shd w:val="clear" w:color="auto" w:fill="E0F4F4"/>
            <w:vAlign w:val="center"/>
          </w:tcPr>
          <w:p w14:paraId="29238212"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 xml:space="preserve">Ministria e Mjedisit; Ministria e Turizmit, Kulturës dhe Sportit </w:t>
            </w:r>
          </w:p>
          <w:p w14:paraId="5241C015"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p>
        </w:tc>
        <w:tc>
          <w:tcPr>
            <w:tcW w:w="468" w:type="pct"/>
            <w:shd w:val="clear" w:color="auto" w:fill="E0F4F4"/>
            <w:vAlign w:val="center"/>
          </w:tcPr>
          <w:p w14:paraId="3F72D3C6"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120.500</w:t>
            </w:r>
          </w:p>
        </w:tc>
      </w:tr>
      <w:tr w:rsidR="00622884" w:rsidRPr="00622884" w14:paraId="5232DA18" w14:textId="77777777" w:rsidTr="00622884">
        <w:trPr>
          <w:trHeight w:val="567"/>
          <w:jc w:val="center"/>
        </w:trPr>
        <w:tc>
          <w:tcPr>
            <w:tcW w:w="245" w:type="pct"/>
            <w:shd w:val="clear" w:color="auto" w:fill="E0F4F4"/>
            <w:vAlign w:val="center"/>
          </w:tcPr>
          <w:p w14:paraId="4D5A9276" w14:textId="77777777" w:rsidR="00622884" w:rsidRPr="00622884" w:rsidRDefault="00622884" w:rsidP="00622884">
            <w:pPr>
              <w:spacing w:after="0" w:line="240" w:lineRule="auto"/>
              <w:jc w:val="center"/>
              <w:rPr>
                <w:rFonts w:ascii="Garamond" w:eastAsia="SimSun" w:hAnsi="Garamond" w:cs="Calibri Light"/>
                <w:b/>
                <w:bCs/>
                <w:color w:val="1D3C5A"/>
                <w:sz w:val="10"/>
                <w:szCs w:val="16"/>
                <w:lang w:eastAsia="en-US"/>
              </w:rPr>
            </w:pPr>
            <w:r w:rsidRPr="00622884">
              <w:rPr>
                <w:rFonts w:ascii="Garamond" w:eastAsia="SimSun" w:hAnsi="Garamond" w:cs="Times New Roman"/>
                <w:b/>
                <w:color w:val="1D3C5A"/>
                <w:sz w:val="10"/>
                <w:lang w:eastAsia="en-US" w:bidi="sq-AL"/>
              </w:rPr>
              <w:t>37</w:t>
            </w:r>
          </w:p>
        </w:tc>
        <w:tc>
          <w:tcPr>
            <w:tcW w:w="373" w:type="pct"/>
            <w:shd w:val="clear" w:color="auto" w:fill="E0F4F4"/>
            <w:vAlign w:val="center"/>
          </w:tcPr>
          <w:p w14:paraId="26B19FE5"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Turizmi</w:t>
            </w:r>
          </w:p>
        </w:tc>
        <w:tc>
          <w:tcPr>
            <w:tcW w:w="389" w:type="pct"/>
            <w:shd w:val="clear" w:color="auto" w:fill="E0F4F4"/>
            <w:vAlign w:val="center"/>
          </w:tcPr>
          <w:p w14:paraId="074FE4AB" w14:textId="77777777" w:rsidR="00622884" w:rsidRPr="00622884" w:rsidRDefault="00622884" w:rsidP="00622884">
            <w:pPr>
              <w:spacing w:after="0" w:line="240" w:lineRule="auto"/>
              <w:jc w:val="left"/>
              <w:rPr>
                <w:rFonts w:ascii="Garamond" w:eastAsia="SimSun" w:hAnsi="Garamond" w:cs="Calibri Light"/>
                <w:color w:val="1D3C5A"/>
                <w:sz w:val="10"/>
                <w:szCs w:val="16"/>
                <w:u w:val="single"/>
                <w:lang w:eastAsia="en-US"/>
              </w:rPr>
            </w:pPr>
            <w:r w:rsidRPr="00622884">
              <w:rPr>
                <w:rFonts w:ascii="Garamond" w:eastAsia="SimSun" w:hAnsi="Garamond" w:cs="Times New Roman"/>
                <w:color w:val="1D3C5A"/>
                <w:sz w:val="10"/>
                <w:lang w:eastAsia="en-US" w:bidi="sq-AL"/>
              </w:rPr>
              <w:t>Integrimi i të dhënave klimatike për turizëm të qëndrueshëm: Udhëzimet për menaxhimin e qëndrueshëm të biznesit dhe raportimin kombëtar</w:t>
            </w:r>
          </w:p>
        </w:tc>
        <w:tc>
          <w:tcPr>
            <w:tcW w:w="387" w:type="pct"/>
            <w:shd w:val="clear" w:color="auto" w:fill="E0F4F4"/>
            <w:vAlign w:val="center"/>
          </w:tcPr>
          <w:p w14:paraId="1F042ABF"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Ndërhyrja e butë</w:t>
            </w:r>
            <w:r w:rsidRPr="00622884">
              <w:rPr>
                <w:rFonts w:ascii="Garamond" w:eastAsia="SimSun" w:hAnsi="Garamond" w:cs="Times New Roman"/>
                <w:b/>
                <w:color w:val="1D3C5A"/>
                <w:sz w:val="10"/>
                <w:lang w:eastAsia="en-US" w:bidi="sq-AL"/>
              </w:rPr>
              <w:t>:</w:t>
            </w:r>
          </w:p>
        </w:tc>
        <w:tc>
          <w:tcPr>
            <w:tcW w:w="1129" w:type="pct"/>
            <w:shd w:val="clear" w:color="auto" w:fill="E0F4F4"/>
            <w:vAlign w:val="center"/>
          </w:tcPr>
          <w:p w14:paraId="7DE8A4D2"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37.1 Të zhvillohen dhe zbatohen udhëzime për mbledhjen e të dhënave standarde në sektorin e turizmit, duke u përqendruar në treguesit që lidhen me cenueshmërinë ndaj klimës, ndikimet mjedisore dhe performancën e qëndrueshmërisë.</w:t>
            </w:r>
            <w:r w:rsidRPr="00622884">
              <w:rPr>
                <w:rFonts w:ascii="Garamond" w:eastAsia="SimSun" w:hAnsi="Garamond" w:cs="Times New Roman"/>
                <w:color w:val="1D3C5A"/>
                <w:sz w:val="10"/>
                <w:lang w:eastAsia="en-US" w:bidi="sq-AL"/>
              </w:rPr>
              <w:br/>
              <w:t>37.2 Të forcohen kapacitetet institucionale dhe teknike të autoriteteve turistike dhe aktorëve të sektorit privat përmes trajnimit dhe asistencës teknike mbi praktikat e mbledhjes, analizës dhe raportimit të të dhënave.</w:t>
            </w:r>
            <w:r w:rsidRPr="00622884">
              <w:rPr>
                <w:rFonts w:ascii="Garamond" w:eastAsia="SimSun" w:hAnsi="Garamond" w:cs="Times New Roman"/>
                <w:color w:val="1D3C5A"/>
                <w:sz w:val="10"/>
                <w:lang w:eastAsia="en-US" w:bidi="sq-AL"/>
              </w:rPr>
              <w:br/>
              <w:t>37.3 Të ngrihen ose të përditësohen platformat digjitale ose bazave e të dhënave për të mbledhur dhe menaxhuar të dhënat për turizmin që lidhen me klimën, duke siguruar ndërveprimin me sistemet kombëtare të raportimit dhe monitorimit.</w:t>
            </w:r>
          </w:p>
        </w:tc>
        <w:tc>
          <w:tcPr>
            <w:tcW w:w="535" w:type="pct"/>
            <w:shd w:val="clear" w:color="auto" w:fill="E0F4F4"/>
            <w:vAlign w:val="center"/>
          </w:tcPr>
          <w:p w14:paraId="6107F869" w14:textId="77777777" w:rsidR="00622884" w:rsidRPr="00622884" w:rsidRDefault="00622884" w:rsidP="00622884">
            <w:pPr>
              <w:spacing w:after="0" w:line="240" w:lineRule="auto"/>
              <w:jc w:val="center"/>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ASH</w:t>
            </w:r>
          </w:p>
        </w:tc>
        <w:tc>
          <w:tcPr>
            <w:tcW w:w="938" w:type="pct"/>
            <w:shd w:val="clear" w:color="auto" w:fill="E0F4F4"/>
            <w:vAlign w:val="center"/>
          </w:tcPr>
          <w:p w14:paraId="09D1B22F"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1. Janë zhvilluar dhe miratuar zyrtarisht udhëzimet e standardizuara për mbledhjen e të dhënave rreth cenueshmërisë ndaj klimës dhe ndikimin në mjedis në sektorin e turizmit (Po/Jo).</w:t>
            </w:r>
            <w:r w:rsidRPr="00622884">
              <w:rPr>
                <w:rFonts w:ascii="Garamond" w:eastAsia="SimSun" w:hAnsi="Garamond" w:cs="Times New Roman"/>
                <w:color w:val="1D3C5A"/>
                <w:sz w:val="10"/>
                <w:lang w:eastAsia="en-US" w:bidi="sq-AL"/>
              </w:rPr>
              <w:br/>
              <w:t>2. Përqindja e palëve të interesit të turizmit të trajnuara mbi praktikat e mbledhjes, analizës dhe raportimit të të dhënave në lidhje me cenueshmërinë klimatike dhe qëndrueshmërinë mjedisore.</w:t>
            </w:r>
            <w:r w:rsidRPr="00622884">
              <w:rPr>
                <w:rFonts w:ascii="Garamond" w:eastAsia="SimSun" w:hAnsi="Garamond" w:cs="Times New Roman"/>
                <w:color w:val="1D3C5A"/>
                <w:sz w:val="10"/>
                <w:lang w:eastAsia="en-US" w:bidi="sq-AL"/>
              </w:rPr>
              <w:br/>
              <w:t>3. Numri i platformave digjitale ose bazave të të dhënave të krijuara ose të përmirësuara për të menaxhuar të dhënat për turizmin që lidhen me klimën, me lidhje me sistemet kombëtare të raportimit.</w:t>
            </w:r>
          </w:p>
        </w:tc>
        <w:tc>
          <w:tcPr>
            <w:tcW w:w="536" w:type="pct"/>
            <w:shd w:val="clear" w:color="auto" w:fill="E0F4F4"/>
            <w:vAlign w:val="center"/>
          </w:tcPr>
          <w:p w14:paraId="4CAD66FA"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 xml:space="preserve">Ministria e Mjedisit; Ministria e Turizmit, Kulturës dhe Sportit </w:t>
            </w:r>
          </w:p>
          <w:p w14:paraId="33545D9D"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p>
        </w:tc>
        <w:tc>
          <w:tcPr>
            <w:tcW w:w="468" w:type="pct"/>
            <w:shd w:val="clear" w:color="auto" w:fill="E0F4F4"/>
            <w:vAlign w:val="center"/>
          </w:tcPr>
          <w:p w14:paraId="46980CE0"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290.000</w:t>
            </w:r>
          </w:p>
        </w:tc>
      </w:tr>
      <w:tr w:rsidR="00622884" w:rsidRPr="00622884" w14:paraId="51804F53" w14:textId="77777777" w:rsidTr="00622884">
        <w:trPr>
          <w:trHeight w:val="567"/>
          <w:jc w:val="center"/>
        </w:trPr>
        <w:tc>
          <w:tcPr>
            <w:tcW w:w="245" w:type="pct"/>
            <w:shd w:val="clear" w:color="auto" w:fill="E0F4F4"/>
            <w:vAlign w:val="center"/>
          </w:tcPr>
          <w:p w14:paraId="03E5BA11" w14:textId="77777777" w:rsidR="00622884" w:rsidRPr="00622884" w:rsidRDefault="00622884" w:rsidP="00622884">
            <w:pPr>
              <w:spacing w:after="0" w:line="240" w:lineRule="auto"/>
              <w:jc w:val="center"/>
              <w:rPr>
                <w:rFonts w:ascii="Garamond" w:eastAsia="SimSun" w:hAnsi="Garamond" w:cs="Calibri Light"/>
                <w:b/>
                <w:bCs/>
                <w:color w:val="1D3C5A"/>
                <w:sz w:val="10"/>
                <w:szCs w:val="16"/>
                <w:lang w:eastAsia="en-US"/>
              </w:rPr>
            </w:pPr>
            <w:r w:rsidRPr="00622884">
              <w:rPr>
                <w:rFonts w:ascii="Garamond" w:eastAsia="SimSun" w:hAnsi="Garamond" w:cs="Times New Roman"/>
                <w:b/>
                <w:color w:val="1D3C5A"/>
                <w:sz w:val="10"/>
                <w:lang w:eastAsia="en-US" w:bidi="sq-AL"/>
              </w:rPr>
              <w:t>38</w:t>
            </w:r>
          </w:p>
        </w:tc>
        <w:tc>
          <w:tcPr>
            <w:tcW w:w="373" w:type="pct"/>
            <w:shd w:val="clear" w:color="auto" w:fill="E0F4F4"/>
            <w:vAlign w:val="center"/>
          </w:tcPr>
          <w:p w14:paraId="1F1FCE82"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Turizmi</w:t>
            </w:r>
          </w:p>
        </w:tc>
        <w:tc>
          <w:tcPr>
            <w:tcW w:w="389" w:type="pct"/>
            <w:shd w:val="clear" w:color="auto" w:fill="E0F4F4"/>
            <w:vAlign w:val="center"/>
          </w:tcPr>
          <w:p w14:paraId="22420AC6" w14:textId="77777777" w:rsidR="00622884" w:rsidRPr="00622884" w:rsidRDefault="00622884" w:rsidP="00622884">
            <w:pPr>
              <w:spacing w:after="0" w:line="240" w:lineRule="auto"/>
              <w:jc w:val="left"/>
              <w:rPr>
                <w:rFonts w:ascii="Garamond" w:eastAsia="SimSun" w:hAnsi="Garamond" w:cs="Calibri Light"/>
                <w:color w:val="1D3C5A"/>
                <w:sz w:val="10"/>
                <w:szCs w:val="16"/>
                <w:u w:val="single"/>
                <w:lang w:eastAsia="en-US"/>
              </w:rPr>
            </w:pPr>
            <w:r w:rsidRPr="00622884">
              <w:rPr>
                <w:rFonts w:ascii="Garamond" w:eastAsia="SimSun" w:hAnsi="Garamond" w:cs="Times New Roman"/>
                <w:color w:val="1D3C5A"/>
                <w:sz w:val="10"/>
                <w:lang w:eastAsia="en-US" w:bidi="sq-AL"/>
              </w:rPr>
              <w:t>Mbrojtja e infrastrukturës turistike nga ndryshimet klimatike: Projektime përshtatëse për zbutjen e risqeve klimatike</w:t>
            </w:r>
          </w:p>
        </w:tc>
        <w:tc>
          <w:tcPr>
            <w:tcW w:w="387" w:type="pct"/>
            <w:shd w:val="clear" w:color="auto" w:fill="E0F4F4"/>
            <w:vAlign w:val="center"/>
          </w:tcPr>
          <w:p w14:paraId="5AA41496"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Ndërhyrja gri</w:t>
            </w:r>
          </w:p>
        </w:tc>
        <w:tc>
          <w:tcPr>
            <w:tcW w:w="1129" w:type="pct"/>
            <w:shd w:val="clear" w:color="auto" w:fill="E0F4F4"/>
            <w:vAlign w:val="center"/>
          </w:tcPr>
          <w:p w14:paraId="63B6A358"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38.1 Vlerësimi i riskut klimatik për infrastrukturën ekzistuese dhe të planifikuar të turizmit dhe përzgjedhja e vendndodhjes për zonat që janë veçanërisht të ndjeshme për të përcaktuar ndërhyrjet e drejtpërdrejta nga sektori publik dhe për të studiuar potencialin për përfshirjen e sektorit privat.</w:t>
            </w:r>
            <w:r w:rsidRPr="00622884">
              <w:rPr>
                <w:rFonts w:ascii="Garamond" w:eastAsia="SimSun" w:hAnsi="Garamond" w:cs="Times New Roman"/>
                <w:color w:val="1D3C5A"/>
                <w:sz w:val="10"/>
                <w:lang w:eastAsia="en-US" w:bidi="sq-AL"/>
              </w:rPr>
              <w:br/>
              <w:t xml:space="preserve">38.2 Të rishikohen kodet e ndërtimit dhe të analizohet nevoja për përfshirjen e parimeve të tjera të projektimit me aftësi ripërtëritëse ndaj klimës, për ndërtimin ose rinovimin e infrastrukturës turistike me aftësi ripërtëritëse ndaj klimës, duke e vendosur theksin në zbatimin e tyre. Përcaktimi dhe përfshirja e kritereve të qëndrueshmërisë në projektimin dhe ndërtimin e hoteleve, shtëpive dhe hapësirave rekreative me themele të ngritura, materiale të papërshkueshme nga përmbytjet dhe struktura të përforcuara, si dhe sisteme kullimi për t’i bërë ballë ngjarjeve ekstreme të motit përmes kodeve të ndërtimit. Për më tepër, zbatimi do të përforcohet përmes mekanizmave të auditimit dhe inspektimit. </w:t>
            </w:r>
            <w:r w:rsidRPr="00622884">
              <w:rPr>
                <w:rFonts w:ascii="Garamond" w:eastAsia="SimSun" w:hAnsi="Garamond" w:cs="Times New Roman"/>
                <w:color w:val="1D3C5A"/>
                <w:sz w:val="10"/>
                <w:lang w:eastAsia="en-US" w:bidi="sq-AL"/>
              </w:rPr>
              <w:br/>
              <w:t xml:space="preserve">38.3 Të sigurohet ngritja e kapaciteteve për operatorët dhe ndërtuesit kryesorë të turizmit që do të ndjekin parimet e reja me aftësi ripërtëritëse ndaj klimës dhe praktikat e mira në sektor, duke përfshirë zgjidhje të bazuara në natyrë për mbrojtjen e vendpushimeve bregdetare dhe zonave rekreative, duke promovuar njëkohësisht edhe biodiversitetin. </w:t>
            </w:r>
            <w:r w:rsidRPr="00622884">
              <w:rPr>
                <w:rFonts w:ascii="Garamond" w:eastAsia="SimSun" w:hAnsi="Garamond" w:cs="Times New Roman"/>
                <w:color w:val="1D3C5A"/>
                <w:sz w:val="10"/>
                <w:lang w:eastAsia="en-US" w:bidi="sq-AL"/>
              </w:rPr>
              <w:br/>
              <w:t>38.4 Të zbatohen masa me aftësi ripërtëritëse ndaj klimës në zona specifike turistike publike të identifikuara në studimin e risqeve, për të siguruar që infrastruktura të jetë e mbrojtur nga kërcënimet dhe ndikimet e ndryshme klimatike të parashikuara.</w:t>
            </w:r>
          </w:p>
        </w:tc>
        <w:tc>
          <w:tcPr>
            <w:tcW w:w="535" w:type="pct"/>
            <w:shd w:val="clear" w:color="auto" w:fill="E0F4F4"/>
            <w:vAlign w:val="center"/>
          </w:tcPr>
          <w:p w14:paraId="70A5538A" w14:textId="77777777" w:rsidR="00622884" w:rsidRPr="00622884" w:rsidRDefault="00622884" w:rsidP="00622884">
            <w:pPr>
              <w:spacing w:after="0" w:line="240" w:lineRule="auto"/>
              <w:jc w:val="center"/>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ASH</w:t>
            </w:r>
          </w:p>
        </w:tc>
        <w:tc>
          <w:tcPr>
            <w:tcW w:w="938" w:type="pct"/>
            <w:shd w:val="clear" w:color="auto" w:fill="E0F4F4"/>
            <w:vAlign w:val="center"/>
          </w:tcPr>
          <w:p w14:paraId="1182B68B"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1. Vlerësimi i riskut klimatik është përfunduar dhe standardet e projektimit me aftësi ripërtëritëse ndaj klimës janë përfshirë në kodet e ndërtimit të përditësuara për infrastrukturën turistike (Po/Jo).</w:t>
            </w:r>
            <w:r w:rsidRPr="00622884">
              <w:rPr>
                <w:rFonts w:ascii="Garamond" w:eastAsia="SimSun" w:hAnsi="Garamond" w:cs="Times New Roman"/>
                <w:color w:val="1D3C5A"/>
                <w:sz w:val="10"/>
                <w:lang w:eastAsia="en-US" w:bidi="sq-AL"/>
              </w:rPr>
              <w:br/>
              <w:t>2. Përqindja e zhvilluesve të turizmit dhe profesionistëve të ndërtimit të trajnuar në teknikat e ndërtimit me aftësi ripërtëritëse ndaj klimës dhe zgjidhjet e bazuara në natyrë.</w:t>
            </w:r>
            <w:r w:rsidRPr="00622884">
              <w:rPr>
                <w:rFonts w:ascii="Garamond" w:eastAsia="SimSun" w:hAnsi="Garamond" w:cs="Times New Roman"/>
                <w:color w:val="1D3C5A"/>
                <w:sz w:val="10"/>
                <w:lang w:eastAsia="en-US" w:bidi="sq-AL"/>
              </w:rPr>
              <w:br/>
              <w:t>3. Numri total i vendeve të infrastrukturës turistike publike të ndërtuara ose të rikonstruktuara me karakteristika projektimi me aftësi ripërtëritëse ndaj klimës në zonat me risk të lartë.</w:t>
            </w:r>
          </w:p>
        </w:tc>
        <w:tc>
          <w:tcPr>
            <w:tcW w:w="536" w:type="pct"/>
            <w:shd w:val="clear" w:color="auto" w:fill="E0F4F4"/>
            <w:vAlign w:val="center"/>
          </w:tcPr>
          <w:p w14:paraId="5EA1AB11"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 xml:space="preserve">Ministria e Mjedisit; Ministria e Turizmit, Kulturës dhe Sportit </w:t>
            </w:r>
          </w:p>
          <w:p w14:paraId="7B2C8A55"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p>
        </w:tc>
        <w:tc>
          <w:tcPr>
            <w:tcW w:w="468" w:type="pct"/>
            <w:shd w:val="clear" w:color="auto" w:fill="E0F4F4"/>
            <w:vAlign w:val="center"/>
          </w:tcPr>
          <w:p w14:paraId="76C3D2F1"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TBC</w:t>
            </w:r>
          </w:p>
        </w:tc>
      </w:tr>
      <w:tr w:rsidR="00622884" w:rsidRPr="00622884" w14:paraId="377F60D3" w14:textId="77777777" w:rsidTr="00622884">
        <w:trPr>
          <w:trHeight w:val="794"/>
          <w:jc w:val="center"/>
        </w:trPr>
        <w:tc>
          <w:tcPr>
            <w:tcW w:w="245" w:type="pct"/>
            <w:shd w:val="clear" w:color="auto" w:fill="E0F4F4"/>
            <w:vAlign w:val="center"/>
          </w:tcPr>
          <w:p w14:paraId="42701305" w14:textId="77777777" w:rsidR="00622884" w:rsidRPr="00622884" w:rsidRDefault="00622884" w:rsidP="00622884">
            <w:pPr>
              <w:spacing w:after="0" w:line="240" w:lineRule="auto"/>
              <w:jc w:val="center"/>
              <w:rPr>
                <w:rFonts w:ascii="Garamond" w:eastAsia="SimSun" w:hAnsi="Garamond" w:cs="Calibri Light"/>
                <w:b/>
                <w:bCs/>
                <w:color w:val="1D3C5A"/>
                <w:sz w:val="10"/>
                <w:szCs w:val="16"/>
                <w:lang w:eastAsia="en-US"/>
              </w:rPr>
            </w:pPr>
            <w:r w:rsidRPr="00622884">
              <w:rPr>
                <w:rFonts w:ascii="Garamond" w:eastAsia="SimSun" w:hAnsi="Garamond" w:cs="Times New Roman"/>
                <w:b/>
                <w:color w:val="1D3C5A"/>
                <w:sz w:val="10"/>
                <w:lang w:eastAsia="en-US" w:bidi="sq-AL"/>
              </w:rPr>
              <w:t>39</w:t>
            </w:r>
          </w:p>
        </w:tc>
        <w:tc>
          <w:tcPr>
            <w:tcW w:w="373" w:type="pct"/>
            <w:shd w:val="clear" w:color="auto" w:fill="E0F4F4"/>
            <w:vAlign w:val="center"/>
          </w:tcPr>
          <w:p w14:paraId="609687EC"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Turizmi</w:t>
            </w:r>
          </w:p>
        </w:tc>
        <w:tc>
          <w:tcPr>
            <w:tcW w:w="389" w:type="pct"/>
            <w:shd w:val="clear" w:color="auto" w:fill="E0F4F4"/>
            <w:vAlign w:val="center"/>
          </w:tcPr>
          <w:p w14:paraId="09E95229" w14:textId="77777777" w:rsidR="00622884" w:rsidRPr="00622884" w:rsidRDefault="00622884" w:rsidP="00622884">
            <w:pPr>
              <w:spacing w:after="0" w:line="240" w:lineRule="auto"/>
              <w:jc w:val="left"/>
              <w:rPr>
                <w:rFonts w:ascii="Garamond" w:eastAsia="SimSun" w:hAnsi="Garamond" w:cs="Calibri Light"/>
                <w:color w:val="1D3C5A"/>
                <w:sz w:val="10"/>
                <w:szCs w:val="16"/>
                <w:u w:val="single"/>
                <w:lang w:eastAsia="en-US"/>
              </w:rPr>
            </w:pPr>
            <w:r w:rsidRPr="00622884">
              <w:rPr>
                <w:rFonts w:ascii="Garamond" w:eastAsia="SimSun" w:hAnsi="Garamond" w:cs="Times New Roman"/>
                <w:color w:val="1D3C5A"/>
                <w:sz w:val="10"/>
                <w:lang w:eastAsia="en-US" w:bidi="sq-AL"/>
              </w:rPr>
              <w:t>Mbrojtja e zonave bregdetare: Rregulloret e integruara, planifikimi dhe menaxhimi për aftësitë ripërtëritëse ndaj ndryshimeve klimatike dhe zhvillimi i qëndrueshëm</w:t>
            </w:r>
          </w:p>
        </w:tc>
        <w:tc>
          <w:tcPr>
            <w:tcW w:w="387" w:type="pct"/>
            <w:shd w:val="clear" w:color="auto" w:fill="E0F4F4"/>
            <w:vAlign w:val="center"/>
          </w:tcPr>
          <w:p w14:paraId="5701B82C"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Ndërhyrja e butë</w:t>
            </w:r>
            <w:r w:rsidRPr="00622884">
              <w:rPr>
                <w:rFonts w:ascii="Garamond" w:eastAsia="SimSun" w:hAnsi="Garamond" w:cs="Times New Roman"/>
                <w:b/>
                <w:color w:val="1D3C5A"/>
                <w:sz w:val="10"/>
                <w:lang w:eastAsia="en-US" w:bidi="sq-AL"/>
              </w:rPr>
              <w:t>:</w:t>
            </w:r>
          </w:p>
        </w:tc>
        <w:tc>
          <w:tcPr>
            <w:tcW w:w="1129" w:type="pct"/>
            <w:shd w:val="clear" w:color="auto" w:fill="E0F4F4"/>
            <w:vAlign w:val="center"/>
          </w:tcPr>
          <w:p w14:paraId="7803628C"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39.1 Të identifikohen zonat më të ndjeshme ndaj rritjes së nivelit të detit, rritjes së nivelit të detit nga stuhitë dhe erozionit në plazhe.</w:t>
            </w:r>
            <w:r w:rsidRPr="00622884">
              <w:rPr>
                <w:rFonts w:ascii="Garamond" w:eastAsia="SimSun" w:hAnsi="Garamond" w:cs="Times New Roman"/>
                <w:color w:val="1D3C5A"/>
                <w:sz w:val="10"/>
                <w:lang w:eastAsia="en-US" w:bidi="sq-AL"/>
              </w:rPr>
              <w:br/>
              <w:t>39.2 Përdorimi i GIS-it dhe sensorët në distancë për të hartëzuar zonat me rrezik përmbytje dhe erozioni</w:t>
            </w:r>
            <w:r w:rsidRPr="00622884">
              <w:rPr>
                <w:rFonts w:ascii="Garamond" w:eastAsia="SimSun" w:hAnsi="Garamond" w:cs="Times New Roman"/>
                <w:color w:val="1D3C5A"/>
                <w:sz w:val="10"/>
                <w:lang w:eastAsia="en-US" w:bidi="sq-AL"/>
              </w:rPr>
              <w:br/>
              <w:t>39.3 Të zhvillohen Planet e Menaxhimit të Integruar Bregdetar dhe të Planifikimit Hapësinor Detar. Të hartohen plane gjithëpërfshirëse që trajtojnë aftësinë ripërtëritëse ndaj klimës dhe zhvillimin e qëndrueshëm</w:t>
            </w:r>
            <w:r w:rsidRPr="00622884">
              <w:rPr>
                <w:rFonts w:ascii="Garamond" w:eastAsia="SimSun" w:hAnsi="Garamond" w:cs="Times New Roman"/>
                <w:color w:val="1D3C5A"/>
                <w:sz w:val="10"/>
                <w:lang w:eastAsia="en-US" w:bidi="sq-AL"/>
              </w:rPr>
              <w:br/>
              <w:t>39.4 Vendosja e rregulloreve për prapambetjen bregdetare: Të zbatohen rregullore për të siguruar që infrastruktura të jetë e izoluar nga zonat me risk të lartë.</w:t>
            </w:r>
            <w:r w:rsidRPr="00622884">
              <w:rPr>
                <w:rFonts w:ascii="Garamond" w:eastAsia="SimSun" w:hAnsi="Garamond" w:cs="Times New Roman"/>
                <w:color w:val="1D3C5A"/>
                <w:sz w:val="10"/>
                <w:lang w:eastAsia="en-US" w:bidi="sq-AL"/>
              </w:rPr>
              <w:br/>
              <w:t>39.5 Të zbatohen ligjet e zonimit: Të rregullohet zhvillimi bregdetar për të parandaluar praktikat e papërshtatshme.</w:t>
            </w:r>
            <w:r w:rsidRPr="00622884">
              <w:rPr>
                <w:rFonts w:ascii="Garamond" w:eastAsia="SimSun" w:hAnsi="Garamond" w:cs="Times New Roman"/>
                <w:color w:val="1D3C5A"/>
                <w:sz w:val="10"/>
                <w:lang w:eastAsia="en-US" w:bidi="sq-AL"/>
              </w:rPr>
              <w:br/>
              <w:t>39.6 Fushatat e ndërgjegjësimit publik: Të edukohen komunitetet rreth rëndësisë së mbrojtjes së zonës bregdetare dhe aftësive ripërtëritëse ndaj klimës</w:t>
            </w:r>
            <w:r w:rsidRPr="00622884">
              <w:rPr>
                <w:rFonts w:ascii="Garamond" w:eastAsia="SimSun" w:hAnsi="Garamond" w:cs="Times New Roman"/>
                <w:color w:val="1D3C5A"/>
                <w:sz w:val="10"/>
                <w:lang w:eastAsia="en-US" w:bidi="sq-AL"/>
              </w:rPr>
              <w:br/>
              <w:t>39.7 Përfshirja e palëve të interesit: Të angazhohen palët e interesit vendore, duke përfshirë pronarët e pronave dhe zhvilluesit, në procesin e planifikimit dhe zbatimit</w:t>
            </w:r>
            <w:r w:rsidRPr="00622884">
              <w:rPr>
                <w:rFonts w:ascii="Garamond" w:eastAsia="SimSun" w:hAnsi="Garamond" w:cs="Times New Roman"/>
                <w:color w:val="1D3C5A"/>
                <w:sz w:val="10"/>
                <w:lang w:eastAsia="en-US" w:bidi="sq-AL"/>
              </w:rPr>
              <w:br/>
              <w:t>39.8 Të zbatohen sisteme të rregullta të monitorimit dhe mirëmbajtjes për të siguruar efektshmërinë e masave të mbrojtjes bregdetare, duke përfshirë ndjekjen e ndryshimeve në rritjen e nivelit të detit, erozionin bregdetar dhe ndikimet që lidhen me stuhitë.</w:t>
            </w:r>
            <w:r w:rsidRPr="00622884">
              <w:rPr>
                <w:rFonts w:ascii="Garamond" w:eastAsia="SimSun" w:hAnsi="Garamond" w:cs="Times New Roman"/>
                <w:color w:val="1D3C5A"/>
                <w:sz w:val="10"/>
                <w:lang w:eastAsia="en-US" w:bidi="sq-AL"/>
              </w:rPr>
              <w:br/>
              <w:t xml:space="preserve">39.9 Strategjitë e menaxhimit përshtatës : Të përdoren të dhënat e monitorimit për të informuar strategjitë e </w:t>
            </w:r>
            <w:r w:rsidRPr="00622884">
              <w:rPr>
                <w:rFonts w:ascii="Garamond" w:eastAsia="SimSun" w:hAnsi="Garamond" w:cs="Times New Roman"/>
                <w:color w:val="1D3C5A"/>
                <w:sz w:val="10"/>
                <w:lang w:eastAsia="en-US" w:bidi="sq-AL"/>
              </w:rPr>
              <w:lastRenderedPageBreak/>
              <w:t>menaxhimit përshtatës dhe për të bërë rregullimet e nevojshme.</w:t>
            </w:r>
          </w:p>
        </w:tc>
        <w:tc>
          <w:tcPr>
            <w:tcW w:w="535" w:type="pct"/>
            <w:shd w:val="clear" w:color="auto" w:fill="E0F4F4"/>
            <w:vAlign w:val="center"/>
          </w:tcPr>
          <w:p w14:paraId="34E88AA6" w14:textId="77777777" w:rsidR="00622884" w:rsidRPr="00622884" w:rsidRDefault="00622884" w:rsidP="00622884">
            <w:pPr>
              <w:spacing w:after="0" w:line="240" w:lineRule="auto"/>
              <w:jc w:val="center"/>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lastRenderedPageBreak/>
              <w:t>AM</w:t>
            </w:r>
          </w:p>
        </w:tc>
        <w:tc>
          <w:tcPr>
            <w:tcW w:w="938" w:type="pct"/>
            <w:shd w:val="clear" w:color="auto" w:fill="E0F4F4"/>
            <w:vAlign w:val="center"/>
          </w:tcPr>
          <w:p w14:paraId="581BCA76"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1. Numri i planeve të menaxhimit të integruar bregdetar dhe planeve hapësinore detare të zhvilluara dhe të miratuara për zonat bregdetare me risk të lartë.</w:t>
            </w:r>
            <w:r w:rsidRPr="00622884">
              <w:rPr>
                <w:rFonts w:ascii="Garamond" w:eastAsia="SimSun" w:hAnsi="Garamond" w:cs="Times New Roman"/>
                <w:color w:val="1D3C5A"/>
                <w:sz w:val="10"/>
                <w:lang w:eastAsia="en-US" w:bidi="sq-AL"/>
              </w:rPr>
              <w:br/>
              <w:t>2. Numri i zonave bregdetare të hartëzuara në lidhje me riskun e përmbytjeve dhe erozionit duke përdorur GIS dhe mjete sensorësh në distancë.</w:t>
            </w:r>
            <w:r w:rsidRPr="00622884">
              <w:rPr>
                <w:rFonts w:ascii="Garamond" w:eastAsia="SimSun" w:hAnsi="Garamond" w:cs="Times New Roman"/>
                <w:color w:val="1D3C5A"/>
                <w:sz w:val="10"/>
                <w:lang w:eastAsia="en-US" w:bidi="sq-AL"/>
              </w:rPr>
              <w:br/>
              <w:t>3. Përqindja e projekteve të reja të zhvillimit bregdetar që përputhen me rregulloret e prapambetjes dhe ligjet e zonimit.</w:t>
            </w:r>
            <w:r w:rsidRPr="00622884">
              <w:rPr>
                <w:rFonts w:ascii="Garamond" w:eastAsia="SimSun" w:hAnsi="Garamond" w:cs="Times New Roman"/>
                <w:color w:val="1D3C5A"/>
                <w:sz w:val="10"/>
                <w:lang w:eastAsia="en-US" w:bidi="sq-AL"/>
              </w:rPr>
              <w:br/>
              <w:t>4. Numri i stacioneve të monitorimit bregdetar të ngritura ose të përmirësuara për të ndjekur rritjen e nivelit të detit, shkallën e erozionit dhe ndikimet e stuhive.</w:t>
            </w:r>
            <w:r w:rsidRPr="00622884">
              <w:rPr>
                <w:rFonts w:ascii="Garamond" w:eastAsia="SimSun" w:hAnsi="Garamond" w:cs="Times New Roman"/>
                <w:color w:val="1D3C5A"/>
                <w:sz w:val="10"/>
                <w:lang w:eastAsia="en-US" w:bidi="sq-AL"/>
              </w:rPr>
              <w:br/>
              <w:t>5. Numri i nismave të ndërgjegjësimit publik dhe angazhimit të palëve të interesit të ndërmarra për të promovuar qëndrueshmërinë bregdetare dhe zhvillimin e qëndrueshëm bregdetar.</w:t>
            </w:r>
            <w:r w:rsidRPr="00622884">
              <w:rPr>
                <w:rFonts w:ascii="Garamond" w:eastAsia="SimSun" w:hAnsi="Garamond" w:cs="Times New Roman"/>
                <w:color w:val="1D3C5A"/>
                <w:sz w:val="10"/>
                <w:lang w:eastAsia="en-US" w:bidi="sq-AL"/>
              </w:rPr>
              <w:br/>
              <w:t xml:space="preserve">6. Numri i vendimeve të menaxhimit përshtatës ose rishikimeve të bëra në planet ose strategjitë bregdetare bazuar në të dhënat e monitorimit. </w:t>
            </w:r>
          </w:p>
        </w:tc>
        <w:tc>
          <w:tcPr>
            <w:tcW w:w="536" w:type="pct"/>
            <w:shd w:val="clear" w:color="auto" w:fill="E0F4F4"/>
            <w:vAlign w:val="center"/>
          </w:tcPr>
          <w:p w14:paraId="3D32E7A2"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 xml:space="preserve">Ministria e Mjedisit; Ministria e Turizmit, Kulturës dhe Sportit </w:t>
            </w:r>
          </w:p>
          <w:p w14:paraId="64ED18BA"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p>
        </w:tc>
        <w:tc>
          <w:tcPr>
            <w:tcW w:w="468" w:type="pct"/>
            <w:shd w:val="clear" w:color="auto" w:fill="E0F4F4"/>
            <w:vAlign w:val="center"/>
          </w:tcPr>
          <w:p w14:paraId="76DA8078"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657.000</w:t>
            </w:r>
          </w:p>
        </w:tc>
      </w:tr>
      <w:tr w:rsidR="00622884" w:rsidRPr="00622884" w14:paraId="37385D88" w14:textId="77777777" w:rsidTr="00622884">
        <w:trPr>
          <w:trHeight w:val="56"/>
          <w:jc w:val="center"/>
        </w:trPr>
        <w:tc>
          <w:tcPr>
            <w:tcW w:w="245" w:type="pct"/>
            <w:shd w:val="clear" w:color="auto" w:fill="E0F4F4"/>
            <w:vAlign w:val="center"/>
          </w:tcPr>
          <w:p w14:paraId="2CB2416A" w14:textId="77777777" w:rsidR="00622884" w:rsidRPr="00622884" w:rsidRDefault="00622884" w:rsidP="00622884">
            <w:pPr>
              <w:spacing w:after="0" w:line="240" w:lineRule="auto"/>
              <w:jc w:val="center"/>
              <w:rPr>
                <w:rFonts w:ascii="Garamond" w:eastAsia="SimSun" w:hAnsi="Garamond" w:cs="Calibri Light"/>
                <w:b/>
                <w:bCs/>
                <w:color w:val="1D3C5A"/>
                <w:sz w:val="10"/>
                <w:szCs w:val="16"/>
                <w:lang w:eastAsia="en-US"/>
              </w:rPr>
            </w:pPr>
            <w:r w:rsidRPr="00622884">
              <w:rPr>
                <w:rFonts w:ascii="Garamond" w:eastAsia="SimSun" w:hAnsi="Garamond" w:cs="Times New Roman"/>
                <w:b/>
                <w:color w:val="1D3C5A"/>
                <w:sz w:val="10"/>
                <w:lang w:eastAsia="en-US" w:bidi="sq-AL"/>
              </w:rPr>
              <w:t>40</w:t>
            </w:r>
          </w:p>
        </w:tc>
        <w:tc>
          <w:tcPr>
            <w:tcW w:w="373" w:type="pct"/>
            <w:shd w:val="clear" w:color="auto" w:fill="E0F4F4"/>
            <w:vAlign w:val="center"/>
          </w:tcPr>
          <w:p w14:paraId="4D845347"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Turizmi</w:t>
            </w:r>
          </w:p>
        </w:tc>
        <w:tc>
          <w:tcPr>
            <w:tcW w:w="389" w:type="pct"/>
            <w:shd w:val="clear" w:color="auto" w:fill="E0F4F4"/>
            <w:vAlign w:val="center"/>
          </w:tcPr>
          <w:p w14:paraId="687BA77A" w14:textId="77777777" w:rsidR="00622884" w:rsidRPr="00622884" w:rsidRDefault="00622884" w:rsidP="00622884">
            <w:pPr>
              <w:spacing w:after="0" w:line="240" w:lineRule="auto"/>
              <w:jc w:val="left"/>
              <w:rPr>
                <w:rFonts w:ascii="Garamond" w:eastAsia="SimSun" w:hAnsi="Garamond" w:cs="Calibri Light"/>
                <w:color w:val="1D3C5A"/>
                <w:sz w:val="10"/>
                <w:szCs w:val="16"/>
                <w:u w:val="single"/>
                <w:lang w:eastAsia="en-US"/>
              </w:rPr>
            </w:pPr>
            <w:r w:rsidRPr="00622884">
              <w:rPr>
                <w:rFonts w:ascii="Garamond" w:eastAsia="SimSun" w:hAnsi="Garamond" w:cs="Times New Roman"/>
                <w:color w:val="1D3C5A"/>
                <w:sz w:val="10"/>
                <w:lang w:eastAsia="en-US" w:bidi="sq-AL"/>
              </w:rPr>
              <w:t>Ngritja e kapaciteteve me aftësi ripërtëritëse ndaj ndryshimeve klimatike: Trajnimi i operatorëve turistikë për praktikat e qëndrueshme dhe strategjitë e përshtatjes</w:t>
            </w:r>
          </w:p>
        </w:tc>
        <w:tc>
          <w:tcPr>
            <w:tcW w:w="387" w:type="pct"/>
            <w:shd w:val="clear" w:color="auto" w:fill="E0F4F4"/>
            <w:vAlign w:val="center"/>
          </w:tcPr>
          <w:p w14:paraId="6AD4E79B"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Ndërhyrja e butë</w:t>
            </w:r>
            <w:r w:rsidRPr="00622884">
              <w:rPr>
                <w:rFonts w:ascii="Garamond" w:eastAsia="SimSun" w:hAnsi="Garamond" w:cs="Times New Roman"/>
                <w:b/>
                <w:color w:val="1D3C5A"/>
                <w:sz w:val="10"/>
                <w:lang w:eastAsia="en-US" w:bidi="sq-AL"/>
              </w:rPr>
              <w:t>:</w:t>
            </w:r>
          </w:p>
        </w:tc>
        <w:tc>
          <w:tcPr>
            <w:tcW w:w="1129" w:type="pct"/>
            <w:shd w:val="clear" w:color="auto" w:fill="E0F4F4"/>
            <w:vAlign w:val="center"/>
          </w:tcPr>
          <w:p w14:paraId="04C621EB"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40.1 Të hartohen dhe zhvillohen module trajnimi të posaçme për përshtatjen ndaj klimës, uljen e riskut dhe praktikat e turizmit të qëndrueshëm, të përshtatura sipas nevojave të llojeve të ndryshme të operatorëve të turizmit (p.sh., hotele, guida turistike, agjenci udhëtimi).</w:t>
            </w:r>
            <w:r w:rsidRPr="00622884">
              <w:rPr>
                <w:rFonts w:ascii="Garamond" w:eastAsia="SimSun" w:hAnsi="Garamond" w:cs="Times New Roman"/>
                <w:color w:val="1D3C5A"/>
                <w:sz w:val="10"/>
                <w:lang w:eastAsia="en-US" w:bidi="sq-AL"/>
              </w:rPr>
              <w:br/>
              <w:t>40.2 Të zhvillohen mjete dhe udhëzime praktike për të mbështetur integrimin e aftësive ripërtëritëse ndaj klimës dhe qëndrueshmërisë mjedisore në operacionet e përditshme të turizmit.</w:t>
            </w:r>
          </w:p>
        </w:tc>
        <w:tc>
          <w:tcPr>
            <w:tcW w:w="535" w:type="pct"/>
            <w:shd w:val="clear" w:color="auto" w:fill="E0F4F4"/>
            <w:vAlign w:val="center"/>
          </w:tcPr>
          <w:p w14:paraId="400FEA8B" w14:textId="77777777" w:rsidR="00622884" w:rsidRPr="00622884" w:rsidRDefault="00622884" w:rsidP="00622884">
            <w:pPr>
              <w:spacing w:after="0" w:line="240" w:lineRule="auto"/>
              <w:jc w:val="center"/>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ASH</w:t>
            </w:r>
          </w:p>
        </w:tc>
        <w:tc>
          <w:tcPr>
            <w:tcW w:w="938" w:type="pct"/>
            <w:shd w:val="clear" w:color="auto" w:fill="E0F4F4"/>
            <w:vAlign w:val="center"/>
          </w:tcPr>
          <w:p w14:paraId="3DA5BCD9"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1. Numri i moduleve të trajnimit të posaçme të zhvilluara në lidhje me përshtatjen ndaj klimës, uljen e riskut dhe praktikat e turizmit të qëndrueshëm për operatorët e turizmit.</w:t>
            </w:r>
            <w:r w:rsidRPr="00622884">
              <w:rPr>
                <w:rFonts w:ascii="Garamond" w:eastAsia="SimSun" w:hAnsi="Garamond" w:cs="Times New Roman"/>
                <w:color w:val="1D3C5A"/>
                <w:sz w:val="10"/>
                <w:lang w:eastAsia="en-US" w:bidi="sq-AL"/>
              </w:rPr>
              <w:br/>
              <w:t>2. Përqindja e operatorëve turistikë dhe palëve të synuara të interesit që do të trajnohen mbi praktikat e turizmit të qëndrueshëm dhe me aftësi ripërtëritëse ndaj ndryshimeve klimatike.</w:t>
            </w:r>
            <w:r w:rsidRPr="00622884">
              <w:rPr>
                <w:rFonts w:ascii="Garamond" w:eastAsia="SimSun" w:hAnsi="Garamond" w:cs="Times New Roman"/>
                <w:color w:val="1D3C5A"/>
                <w:sz w:val="10"/>
                <w:lang w:eastAsia="en-US" w:bidi="sq-AL"/>
              </w:rPr>
              <w:br/>
              <w:t>3. Numri i paketave të masave dhe udhëzimeve praktike të zhvilluara për të mbështetur integrimin e aftësisë ripërtëritëse ndaj klimës dhe qëndrueshmërisë në operacionet turistike.</w:t>
            </w:r>
          </w:p>
        </w:tc>
        <w:tc>
          <w:tcPr>
            <w:tcW w:w="536" w:type="pct"/>
            <w:shd w:val="clear" w:color="auto" w:fill="E0F4F4"/>
            <w:vAlign w:val="center"/>
          </w:tcPr>
          <w:p w14:paraId="1A4AAF52"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 xml:space="preserve">Ministria e Mjedisit; Ministria e Turizmit, Kulturës dhe Sportit </w:t>
            </w:r>
          </w:p>
          <w:p w14:paraId="3E349223"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p>
        </w:tc>
        <w:tc>
          <w:tcPr>
            <w:tcW w:w="468" w:type="pct"/>
            <w:shd w:val="clear" w:color="auto" w:fill="E0F4F4"/>
            <w:vAlign w:val="center"/>
          </w:tcPr>
          <w:p w14:paraId="01D72F25"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430.000</w:t>
            </w:r>
          </w:p>
        </w:tc>
      </w:tr>
      <w:tr w:rsidR="00622884" w:rsidRPr="00622884" w14:paraId="70CF3D77" w14:textId="77777777" w:rsidTr="00622884">
        <w:trPr>
          <w:trHeight w:val="567"/>
          <w:jc w:val="center"/>
        </w:trPr>
        <w:tc>
          <w:tcPr>
            <w:tcW w:w="245" w:type="pct"/>
            <w:shd w:val="clear" w:color="auto" w:fill="E0F4F4"/>
            <w:vAlign w:val="center"/>
          </w:tcPr>
          <w:p w14:paraId="08690201" w14:textId="77777777" w:rsidR="00622884" w:rsidRPr="00622884" w:rsidRDefault="00622884" w:rsidP="00622884">
            <w:pPr>
              <w:spacing w:after="0" w:line="240" w:lineRule="auto"/>
              <w:jc w:val="center"/>
              <w:rPr>
                <w:rFonts w:ascii="Garamond" w:eastAsia="SimSun" w:hAnsi="Garamond" w:cs="Calibri Light"/>
                <w:b/>
                <w:bCs/>
                <w:color w:val="1D3C5A"/>
                <w:sz w:val="10"/>
                <w:szCs w:val="16"/>
                <w:lang w:eastAsia="en-US"/>
              </w:rPr>
            </w:pPr>
            <w:r w:rsidRPr="00622884">
              <w:rPr>
                <w:rFonts w:ascii="Garamond" w:eastAsia="SimSun" w:hAnsi="Garamond" w:cs="Times New Roman"/>
                <w:b/>
                <w:color w:val="1D3C5A"/>
                <w:sz w:val="10"/>
                <w:lang w:eastAsia="en-US" w:bidi="sq-AL"/>
              </w:rPr>
              <w:t>41</w:t>
            </w:r>
          </w:p>
        </w:tc>
        <w:tc>
          <w:tcPr>
            <w:tcW w:w="373" w:type="pct"/>
            <w:shd w:val="clear" w:color="auto" w:fill="E0F4F4"/>
            <w:vAlign w:val="center"/>
          </w:tcPr>
          <w:p w14:paraId="3F7E9171"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Turizmi</w:t>
            </w:r>
          </w:p>
        </w:tc>
        <w:tc>
          <w:tcPr>
            <w:tcW w:w="389" w:type="pct"/>
            <w:shd w:val="clear" w:color="auto" w:fill="E0F4F4"/>
            <w:vAlign w:val="center"/>
          </w:tcPr>
          <w:p w14:paraId="759E74EA" w14:textId="77777777" w:rsidR="00622884" w:rsidRPr="00622884" w:rsidRDefault="00622884" w:rsidP="00622884">
            <w:pPr>
              <w:spacing w:after="0" w:line="240" w:lineRule="auto"/>
              <w:jc w:val="left"/>
              <w:rPr>
                <w:rFonts w:ascii="Garamond" w:eastAsia="SimSun" w:hAnsi="Garamond" w:cs="Calibri Light"/>
                <w:color w:val="1D3C5A"/>
                <w:sz w:val="10"/>
                <w:szCs w:val="16"/>
                <w:u w:val="single"/>
                <w:lang w:eastAsia="en-US"/>
              </w:rPr>
            </w:pPr>
            <w:r w:rsidRPr="00622884">
              <w:rPr>
                <w:rFonts w:ascii="Garamond" w:eastAsia="SimSun" w:hAnsi="Garamond" w:cs="Times New Roman"/>
                <w:color w:val="1D3C5A"/>
                <w:sz w:val="10"/>
                <w:lang w:eastAsia="en-US" w:bidi="sq-AL"/>
              </w:rPr>
              <w:t>Qendrat digjitale për turizmin me aftësi ripërtëritëse ndaj ndryshimeve klimatike: Ndarja e njohurive dhe praktikave më të mira</w:t>
            </w:r>
          </w:p>
        </w:tc>
        <w:tc>
          <w:tcPr>
            <w:tcW w:w="387" w:type="pct"/>
            <w:shd w:val="clear" w:color="auto" w:fill="E0F4F4"/>
            <w:vAlign w:val="center"/>
          </w:tcPr>
          <w:p w14:paraId="5AF81F2E"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Ndërhyrja e butë</w:t>
            </w:r>
            <w:r w:rsidRPr="00622884">
              <w:rPr>
                <w:rFonts w:ascii="Garamond" w:eastAsia="SimSun" w:hAnsi="Garamond" w:cs="Times New Roman"/>
                <w:b/>
                <w:color w:val="1D3C5A"/>
                <w:sz w:val="10"/>
                <w:lang w:eastAsia="en-US" w:bidi="sq-AL"/>
              </w:rPr>
              <w:t>:</w:t>
            </w:r>
          </w:p>
        </w:tc>
        <w:tc>
          <w:tcPr>
            <w:tcW w:w="1129" w:type="pct"/>
            <w:shd w:val="clear" w:color="auto" w:fill="E0F4F4"/>
            <w:vAlign w:val="center"/>
          </w:tcPr>
          <w:p w14:paraId="7BD11062"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 xml:space="preserve">41.1 Të hartohet dhe lançohet një platforme të centralizuar </w:t>
            </w:r>
            <w:r w:rsidRPr="00622884">
              <w:rPr>
                <w:rFonts w:ascii="Garamond" w:eastAsia="SimSun" w:hAnsi="Garamond" w:cs="Times New Roman"/>
                <w:i/>
                <w:color w:val="1D3C5A"/>
                <w:sz w:val="10"/>
                <w:lang w:eastAsia="en-US" w:bidi="sq-AL"/>
              </w:rPr>
              <w:t>online</w:t>
            </w:r>
            <w:r w:rsidRPr="00622884">
              <w:rPr>
                <w:rFonts w:ascii="Garamond" w:eastAsia="SimSun" w:hAnsi="Garamond" w:cs="Times New Roman"/>
                <w:color w:val="1D3C5A"/>
                <w:sz w:val="10"/>
                <w:lang w:eastAsia="en-US" w:bidi="sq-AL"/>
              </w:rPr>
              <w:t xml:space="preserve"> e përshtatur për sektorin e turizmit, miqësore me përdoruesin dhe lehtësisht e aksesushme për burimet e përshtatjes ndaj klimës, udhëzimet e qëndrueshmërisë dhe mjetet praktike.</w:t>
            </w:r>
            <w:r w:rsidRPr="00622884">
              <w:rPr>
                <w:rFonts w:ascii="Garamond" w:eastAsia="SimSun" w:hAnsi="Garamond" w:cs="Times New Roman"/>
                <w:color w:val="1D3C5A"/>
                <w:sz w:val="10"/>
                <w:lang w:eastAsia="en-US" w:bidi="sq-AL"/>
              </w:rPr>
              <w:br/>
              <w:t>41.2 Të ngarkohet dhe përditësohet rregullisht përmbajtja, ku përfshihen modulet e trajnimit, studimet e rasteve, mjetet, dokumentet e politikave dhe udhëzuesit teknikë, për të mbështetur praktikat e qëndrueshme ndaj klimës në turizëm.</w:t>
            </w:r>
            <w:r w:rsidRPr="00622884">
              <w:rPr>
                <w:rFonts w:ascii="Garamond" w:eastAsia="SimSun" w:hAnsi="Garamond" w:cs="Times New Roman"/>
                <w:color w:val="1D3C5A"/>
                <w:sz w:val="10"/>
                <w:lang w:eastAsia="en-US" w:bidi="sq-AL"/>
              </w:rPr>
              <w:br/>
              <w:t>41.3 Të promovohet platforma nëpërmjet fushatave ndërgjegjësuese që synojnë bizneset e sektorit të turizmit, agjencitë publike dhe komunitetet vendore për të inkurajuar përdorimin dhe angazhimin e gjerë.</w:t>
            </w:r>
          </w:p>
        </w:tc>
        <w:tc>
          <w:tcPr>
            <w:tcW w:w="535" w:type="pct"/>
            <w:shd w:val="clear" w:color="auto" w:fill="E0F4F4"/>
            <w:vAlign w:val="center"/>
          </w:tcPr>
          <w:p w14:paraId="1E6E764A" w14:textId="77777777" w:rsidR="00622884" w:rsidRPr="00622884" w:rsidRDefault="00622884" w:rsidP="00622884">
            <w:pPr>
              <w:spacing w:after="0" w:line="240" w:lineRule="auto"/>
              <w:jc w:val="center"/>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ASH</w:t>
            </w:r>
          </w:p>
        </w:tc>
        <w:tc>
          <w:tcPr>
            <w:tcW w:w="938" w:type="pct"/>
            <w:shd w:val="clear" w:color="auto" w:fill="E0F4F4"/>
            <w:vAlign w:val="center"/>
          </w:tcPr>
          <w:p w14:paraId="0EBCC3EF"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 xml:space="preserve">1. 41.1 Platformë e centralizuar </w:t>
            </w:r>
            <w:r w:rsidRPr="00622884">
              <w:rPr>
                <w:rFonts w:ascii="Garamond" w:eastAsia="SimSun" w:hAnsi="Garamond" w:cs="Times New Roman"/>
                <w:i/>
                <w:color w:val="1D3C5A"/>
                <w:sz w:val="10"/>
                <w:lang w:eastAsia="en-US" w:bidi="sq-AL"/>
              </w:rPr>
              <w:t>online</w:t>
            </w:r>
            <w:r w:rsidRPr="00622884">
              <w:rPr>
                <w:rFonts w:ascii="Garamond" w:eastAsia="SimSun" w:hAnsi="Garamond" w:cs="Times New Roman"/>
                <w:color w:val="1D3C5A"/>
                <w:sz w:val="10"/>
                <w:lang w:eastAsia="en-US" w:bidi="sq-AL"/>
              </w:rPr>
              <w:t xml:space="preserve"> për sektorin e turizmit e zhvilluar dhe funksionale që ofron akses në burimet e përshtatjes ndaj klimës (Po/Jo)</w:t>
            </w:r>
            <w:r w:rsidRPr="00622884">
              <w:rPr>
                <w:rFonts w:ascii="Garamond" w:eastAsia="SimSun" w:hAnsi="Garamond" w:cs="Times New Roman"/>
                <w:color w:val="1D3C5A"/>
                <w:sz w:val="10"/>
                <w:lang w:eastAsia="en-US" w:bidi="sq-AL"/>
              </w:rPr>
              <w:br/>
              <w:t>2. Numri i burimeve të përshtatjes ndaj klimës (p.sh., mjete, module trajnimi, dokumente politikash) të ngarkuara dhe të mirëmbajtura në platformë.</w:t>
            </w:r>
            <w:r w:rsidRPr="00622884">
              <w:rPr>
                <w:rFonts w:ascii="Garamond" w:eastAsia="SimSun" w:hAnsi="Garamond" w:cs="Times New Roman"/>
                <w:color w:val="1D3C5A"/>
                <w:sz w:val="10"/>
                <w:lang w:eastAsia="en-US" w:bidi="sq-AL"/>
              </w:rPr>
              <w:br/>
              <w:t xml:space="preserve">3. Numri i palëve të interesit në sektorin e turizmit të arritura përmes fushatave ndërgjegjësuese që promovojnë përdorimin e platformës </w:t>
            </w:r>
            <w:r w:rsidRPr="00622884">
              <w:rPr>
                <w:rFonts w:ascii="Garamond" w:eastAsia="SimSun" w:hAnsi="Garamond" w:cs="Times New Roman"/>
                <w:i/>
                <w:color w:val="1D3C5A"/>
                <w:sz w:val="10"/>
                <w:lang w:eastAsia="en-US" w:bidi="sq-AL"/>
              </w:rPr>
              <w:t>online</w:t>
            </w:r>
            <w:r w:rsidRPr="00622884">
              <w:rPr>
                <w:rFonts w:ascii="Garamond" w:eastAsia="SimSun" w:hAnsi="Garamond" w:cs="Times New Roman"/>
                <w:color w:val="1D3C5A"/>
                <w:sz w:val="10"/>
                <w:lang w:eastAsia="en-US" w:bidi="sq-AL"/>
              </w:rPr>
              <w:t>.</w:t>
            </w:r>
          </w:p>
        </w:tc>
        <w:tc>
          <w:tcPr>
            <w:tcW w:w="536" w:type="pct"/>
            <w:shd w:val="clear" w:color="auto" w:fill="E0F4F4"/>
            <w:vAlign w:val="center"/>
          </w:tcPr>
          <w:p w14:paraId="7AB57380"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 xml:space="preserve">Ministria e Mjedisit; Ministria e Turizmit, Kulturës dhe Sportit </w:t>
            </w:r>
          </w:p>
          <w:p w14:paraId="1E1CE0E0"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p>
        </w:tc>
        <w:tc>
          <w:tcPr>
            <w:tcW w:w="468" w:type="pct"/>
            <w:shd w:val="clear" w:color="auto" w:fill="E0F4F4"/>
            <w:vAlign w:val="center"/>
          </w:tcPr>
          <w:p w14:paraId="54EBB017"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34.000</w:t>
            </w:r>
          </w:p>
        </w:tc>
      </w:tr>
      <w:tr w:rsidR="00622884" w:rsidRPr="00622884" w14:paraId="2F5398A1" w14:textId="77777777" w:rsidTr="00622884">
        <w:trPr>
          <w:trHeight w:val="567"/>
          <w:jc w:val="center"/>
        </w:trPr>
        <w:tc>
          <w:tcPr>
            <w:tcW w:w="245" w:type="pct"/>
            <w:shd w:val="clear" w:color="auto" w:fill="E0F4F4"/>
            <w:vAlign w:val="center"/>
          </w:tcPr>
          <w:p w14:paraId="5975F9A3" w14:textId="77777777" w:rsidR="00622884" w:rsidRPr="00622884" w:rsidRDefault="00622884" w:rsidP="00622884">
            <w:pPr>
              <w:spacing w:after="0" w:line="240" w:lineRule="auto"/>
              <w:jc w:val="center"/>
              <w:rPr>
                <w:rFonts w:ascii="Garamond" w:eastAsia="SimSun" w:hAnsi="Garamond" w:cs="Calibri Light"/>
                <w:b/>
                <w:bCs/>
                <w:color w:val="1D3C5A"/>
                <w:sz w:val="10"/>
                <w:szCs w:val="16"/>
                <w:lang w:eastAsia="en-US"/>
              </w:rPr>
            </w:pPr>
            <w:r w:rsidRPr="00622884">
              <w:rPr>
                <w:rFonts w:ascii="Garamond" w:eastAsia="SimSun" w:hAnsi="Garamond" w:cs="Times New Roman"/>
                <w:b/>
                <w:color w:val="1D3C5A"/>
                <w:sz w:val="10"/>
                <w:lang w:eastAsia="en-US" w:bidi="sq-AL"/>
              </w:rPr>
              <w:t>42</w:t>
            </w:r>
          </w:p>
        </w:tc>
        <w:tc>
          <w:tcPr>
            <w:tcW w:w="373" w:type="pct"/>
            <w:shd w:val="clear" w:color="auto" w:fill="E0F4F4"/>
            <w:vAlign w:val="center"/>
          </w:tcPr>
          <w:p w14:paraId="1DF6C25A"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Turizmi</w:t>
            </w:r>
          </w:p>
        </w:tc>
        <w:tc>
          <w:tcPr>
            <w:tcW w:w="389" w:type="pct"/>
            <w:shd w:val="clear" w:color="auto" w:fill="E0F4F4"/>
            <w:vAlign w:val="center"/>
          </w:tcPr>
          <w:p w14:paraId="1E8AABE6" w14:textId="77777777" w:rsidR="00622884" w:rsidRPr="00622884" w:rsidRDefault="00622884" w:rsidP="00622884">
            <w:pPr>
              <w:spacing w:after="0" w:line="240" w:lineRule="auto"/>
              <w:jc w:val="left"/>
              <w:rPr>
                <w:rFonts w:ascii="Garamond" w:eastAsia="SimSun" w:hAnsi="Garamond" w:cs="Calibri Light"/>
                <w:color w:val="1D3C5A"/>
                <w:sz w:val="10"/>
                <w:szCs w:val="16"/>
                <w:u w:val="single"/>
                <w:lang w:eastAsia="en-US"/>
              </w:rPr>
            </w:pPr>
            <w:r w:rsidRPr="00622884">
              <w:rPr>
                <w:rFonts w:ascii="Garamond" w:eastAsia="SimSun" w:hAnsi="Garamond" w:cs="Times New Roman"/>
                <w:color w:val="1D3C5A"/>
                <w:sz w:val="10"/>
                <w:lang w:eastAsia="en-US" w:bidi="sq-AL"/>
              </w:rPr>
              <w:t>Mbrojtja e pasurive turistike dhe trashëgimisë kulturore: Zbatimi i rregulloreve për pasuritë turistike dhe kulturore dhe restaurimi i ekosistemeve për zhvillim të qëndrueshëm</w:t>
            </w:r>
          </w:p>
        </w:tc>
        <w:tc>
          <w:tcPr>
            <w:tcW w:w="387" w:type="pct"/>
            <w:shd w:val="clear" w:color="auto" w:fill="E0F4F4"/>
            <w:vAlign w:val="center"/>
          </w:tcPr>
          <w:p w14:paraId="48F148AE"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Ndërhyrja e butë</w:t>
            </w:r>
            <w:r w:rsidRPr="00622884">
              <w:rPr>
                <w:rFonts w:ascii="Garamond" w:eastAsia="SimSun" w:hAnsi="Garamond" w:cs="Times New Roman"/>
                <w:b/>
                <w:color w:val="1D3C5A"/>
                <w:sz w:val="10"/>
                <w:lang w:eastAsia="en-US" w:bidi="sq-AL"/>
              </w:rPr>
              <w:t>:</w:t>
            </w:r>
          </w:p>
        </w:tc>
        <w:tc>
          <w:tcPr>
            <w:tcW w:w="1129" w:type="pct"/>
            <w:shd w:val="clear" w:color="auto" w:fill="E0F4F4"/>
            <w:vAlign w:val="center"/>
          </w:tcPr>
          <w:p w14:paraId="6B7E28E7" w14:textId="77777777" w:rsidR="00622884" w:rsidRPr="00622884" w:rsidRDefault="00622884" w:rsidP="00622884">
            <w:pPr>
              <w:spacing w:after="0" w:line="240" w:lineRule="auto"/>
              <w:jc w:val="left"/>
              <w:rPr>
                <w:rFonts w:ascii="Garamond" w:eastAsia="SimSun" w:hAnsi="Garamond" w:cs="Times New Roman"/>
                <w:color w:val="1D3C5A"/>
                <w:sz w:val="10"/>
                <w:lang w:eastAsia="en-US" w:bidi="sq-AL"/>
              </w:rPr>
            </w:pPr>
            <w:r w:rsidRPr="00622884">
              <w:rPr>
                <w:rFonts w:ascii="Garamond" w:eastAsia="SimSun" w:hAnsi="Garamond" w:cs="Times New Roman"/>
                <w:color w:val="1D3C5A"/>
                <w:sz w:val="10"/>
                <w:lang w:eastAsia="en-US" w:bidi="sq-AL"/>
              </w:rPr>
              <w:t>42.1 Të kryhen veprime zbatuese për të siguruar pajtueshmërinë me rregulloret ekzistuese mjedisore dhe të përdorimit të tokës në zonat e zhvillimit të turizmit, veçanërisht në zonat bregdetare dhe pyjore.</w:t>
            </w:r>
            <w:r w:rsidRPr="00622884">
              <w:rPr>
                <w:rFonts w:ascii="Garamond" w:eastAsia="SimSun" w:hAnsi="Garamond" w:cs="Times New Roman"/>
                <w:color w:val="1D3C5A"/>
                <w:sz w:val="10"/>
                <w:lang w:eastAsia="en-US" w:bidi="sq-AL"/>
              </w:rPr>
              <w:br/>
              <w:t>42.2 Të promovohen praktikat e ndërtimit të qëndrueshëm duke zhvilluar dhe përhapur udhëzime mbi infrastrukturën turistike me aftësi ripërtëritëse ndaj klimës dhe infrastrukturën turistike që respekton mjedisin. Këto udhëzime do të përfshijnë praktika të qëndrueshme për të mbrojtur pasuritë bregdetare dhe natyrore të turizmit, me fokus restaurimin e ekosistemeve të degraduara, ruajtjen e biodiversitetit dhe promovimin e qasjeve të projektimit me ndikim të ulët që sigurojnë qëndrueshmërinë mjedisore afatgjatë të aktiviteteve turistike.</w:t>
            </w:r>
          </w:p>
          <w:p w14:paraId="61F4231F" w14:textId="77777777" w:rsidR="00622884" w:rsidRPr="00622884" w:rsidRDefault="00622884" w:rsidP="00622884">
            <w:pPr>
              <w:spacing w:after="0" w:line="240" w:lineRule="auto"/>
              <w:jc w:val="left"/>
              <w:rPr>
                <w:rFonts w:ascii="Garamond" w:eastAsia="SimSun" w:hAnsi="Garamond" w:cs="Times New Roman"/>
                <w:color w:val="1D3C5A"/>
                <w:sz w:val="10"/>
                <w:lang w:eastAsia="en-US" w:bidi="sq-AL"/>
              </w:rPr>
            </w:pPr>
            <w:r w:rsidRPr="00622884">
              <w:rPr>
                <w:rFonts w:ascii="Garamond" w:eastAsia="SimSun" w:hAnsi="Garamond" w:cs="Times New Roman"/>
                <w:color w:val="1D3C5A"/>
                <w:sz w:val="10"/>
                <w:lang w:eastAsia="en-US" w:bidi="sq-AL"/>
              </w:rPr>
              <w:t>42.3 Hartimi i inventarit të riskut klimatik për pasuritë kulturore dhe zhvillimi i planeve të menaxhimit të riskut për sitet arkeologjike, historike, si dhe urbane tradicionale.</w:t>
            </w:r>
          </w:p>
          <w:p w14:paraId="6DF44A2E" w14:textId="77777777" w:rsidR="00622884" w:rsidRPr="00622884" w:rsidRDefault="00622884" w:rsidP="00622884">
            <w:pPr>
              <w:spacing w:after="0" w:line="240" w:lineRule="auto"/>
              <w:jc w:val="left"/>
              <w:rPr>
                <w:rFonts w:ascii="Garamond" w:eastAsia="SimSun" w:hAnsi="Garamond" w:cs="Times New Roman"/>
                <w:color w:val="1D3C5A"/>
                <w:sz w:val="10"/>
                <w:lang w:eastAsia="en-US" w:bidi="sq-AL"/>
              </w:rPr>
            </w:pPr>
            <w:r w:rsidRPr="00622884">
              <w:rPr>
                <w:rFonts w:ascii="Garamond" w:eastAsia="SimSun" w:hAnsi="Garamond" w:cs="Times New Roman"/>
                <w:color w:val="1D3C5A"/>
                <w:sz w:val="10"/>
                <w:lang w:eastAsia="en-US" w:bidi="sq-AL"/>
              </w:rPr>
              <w:t xml:space="preserve">42.4 Monitorimi dhe mbrojtja nga rritja e nivelit të detit dhe erozioni nga institucionet e trashëgimisë kulturore në procesin e monitorimit. </w:t>
            </w:r>
          </w:p>
          <w:p w14:paraId="4FCEB275"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p>
        </w:tc>
        <w:tc>
          <w:tcPr>
            <w:tcW w:w="535" w:type="pct"/>
            <w:shd w:val="clear" w:color="auto" w:fill="E0F4F4"/>
            <w:vAlign w:val="center"/>
          </w:tcPr>
          <w:p w14:paraId="47A11423" w14:textId="77777777" w:rsidR="00622884" w:rsidRPr="00622884" w:rsidRDefault="00622884" w:rsidP="00622884">
            <w:pPr>
              <w:spacing w:after="0" w:line="240" w:lineRule="auto"/>
              <w:jc w:val="center"/>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ASH</w:t>
            </w:r>
          </w:p>
        </w:tc>
        <w:tc>
          <w:tcPr>
            <w:tcW w:w="938" w:type="pct"/>
            <w:shd w:val="clear" w:color="auto" w:fill="E0F4F4"/>
            <w:vAlign w:val="center"/>
          </w:tcPr>
          <w:p w14:paraId="098E5032" w14:textId="77777777" w:rsidR="00622884" w:rsidRPr="00622884" w:rsidRDefault="00622884" w:rsidP="00622884">
            <w:pPr>
              <w:spacing w:after="0" w:line="240" w:lineRule="auto"/>
              <w:jc w:val="left"/>
              <w:rPr>
                <w:rFonts w:ascii="Garamond" w:eastAsia="SimSun" w:hAnsi="Garamond" w:cs="Times New Roman"/>
                <w:color w:val="1D3C5A"/>
                <w:sz w:val="10"/>
                <w:lang w:eastAsia="en-US" w:bidi="sq-AL"/>
              </w:rPr>
            </w:pPr>
            <w:r w:rsidRPr="00622884">
              <w:rPr>
                <w:rFonts w:ascii="Garamond" w:eastAsia="SimSun" w:hAnsi="Garamond" w:cs="Times New Roman"/>
                <w:color w:val="1D3C5A"/>
                <w:sz w:val="10"/>
                <w:lang w:eastAsia="en-US" w:bidi="sq-AL"/>
              </w:rPr>
              <w:t>1. Mekanizmi për zbatimin e rregullt të rregulloreve, mjedisore dhe të përdorimit të tokës, që janë në fuqi në zonat e zhvillimit të turizmit (Po/Jo).</w:t>
            </w:r>
            <w:r w:rsidRPr="00622884">
              <w:rPr>
                <w:rFonts w:ascii="Garamond" w:eastAsia="SimSun" w:hAnsi="Garamond" w:cs="Times New Roman"/>
                <w:color w:val="1D3C5A"/>
                <w:sz w:val="10"/>
                <w:lang w:eastAsia="en-US" w:bidi="sq-AL"/>
              </w:rPr>
              <w:br/>
              <w:t>2. Udhëzimet për infrastrukturën turistike me aftësi ripërtëritëse ndaj klimës dhe që respekton mjedisin janë zhvilluar dhe shpërndarë te palët përkatëse të interesit (Po/Jo).</w:t>
            </w:r>
            <w:r w:rsidRPr="00622884">
              <w:rPr>
                <w:rFonts w:ascii="Garamond" w:eastAsia="SimSun" w:hAnsi="Garamond" w:cs="Times New Roman"/>
                <w:color w:val="1D3C5A"/>
                <w:sz w:val="10"/>
                <w:lang w:eastAsia="en-US" w:bidi="sq-AL"/>
              </w:rPr>
              <w:br/>
              <w:t>3. Përqindja e projekteve të reja të infrastrukturës turistike në zonat bregdetare dhe pyjore që përfshijnë elemente projektimi me ndikim të ulët, të ndjeshëm ndaj biodiversitetit ose që promovojnë restaurimin e ekosistemeve.</w:t>
            </w:r>
          </w:p>
          <w:p w14:paraId="33A73A99" w14:textId="77777777" w:rsidR="00622884" w:rsidRPr="00622884" w:rsidRDefault="00622884" w:rsidP="00622884">
            <w:pPr>
              <w:spacing w:after="0" w:line="240" w:lineRule="auto"/>
              <w:jc w:val="left"/>
              <w:rPr>
                <w:rFonts w:ascii="Garamond" w:eastAsia="SimSun" w:hAnsi="Garamond" w:cs="Times New Roman"/>
                <w:color w:val="1D3C5A"/>
                <w:sz w:val="10"/>
                <w:lang w:eastAsia="en-US" w:bidi="sq-AL"/>
              </w:rPr>
            </w:pPr>
            <w:r w:rsidRPr="00622884">
              <w:rPr>
                <w:rFonts w:ascii="Garamond" w:eastAsia="SimSun" w:hAnsi="Garamond" w:cs="Times New Roman"/>
                <w:color w:val="1D3C5A"/>
                <w:sz w:val="10"/>
                <w:lang w:eastAsia="en-US" w:bidi="sq-AL"/>
              </w:rPr>
              <w:t xml:space="preserve">4. Plane menaxhimi të riskut për sitet arkeologjike, historike, si dhe urbane tradicionale. </w:t>
            </w:r>
          </w:p>
          <w:p w14:paraId="317FCE68"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Calibri Light"/>
                <w:color w:val="1D3C5A"/>
                <w:sz w:val="10"/>
                <w:szCs w:val="16"/>
                <w:lang w:eastAsia="en-US"/>
              </w:rPr>
              <w:t>5. Raporte monitorimi</w:t>
            </w:r>
          </w:p>
        </w:tc>
        <w:tc>
          <w:tcPr>
            <w:tcW w:w="536" w:type="pct"/>
            <w:shd w:val="clear" w:color="auto" w:fill="E0F4F4"/>
            <w:vAlign w:val="center"/>
          </w:tcPr>
          <w:p w14:paraId="0F1E48EC" w14:textId="77777777" w:rsidR="00622884" w:rsidRPr="00622884" w:rsidRDefault="00622884" w:rsidP="00622884">
            <w:pPr>
              <w:spacing w:after="0" w:line="240" w:lineRule="auto"/>
              <w:jc w:val="left"/>
              <w:rPr>
                <w:rFonts w:ascii="Garamond" w:eastAsia="SimSun" w:hAnsi="Garamond" w:cs="Times New Roman"/>
                <w:color w:val="1D3C5A"/>
                <w:sz w:val="10"/>
                <w:lang w:eastAsia="en-US" w:bidi="sq-AL"/>
              </w:rPr>
            </w:pPr>
            <w:r w:rsidRPr="00622884">
              <w:rPr>
                <w:rFonts w:ascii="Garamond" w:eastAsia="SimSun" w:hAnsi="Garamond" w:cs="Times New Roman"/>
                <w:color w:val="1D3C5A"/>
                <w:sz w:val="10"/>
                <w:lang w:eastAsia="en-US" w:bidi="sq-AL"/>
              </w:rPr>
              <w:t xml:space="preserve">Ministria e Mjedisit; Ministria e Turizmit, Kulturës dhe Sportit </w:t>
            </w:r>
          </w:p>
          <w:p w14:paraId="17E030BF"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p>
        </w:tc>
        <w:tc>
          <w:tcPr>
            <w:tcW w:w="468" w:type="pct"/>
            <w:shd w:val="clear" w:color="auto" w:fill="E0F4F4"/>
            <w:vAlign w:val="center"/>
          </w:tcPr>
          <w:p w14:paraId="0EBACCE8"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1.450.000</w:t>
            </w:r>
          </w:p>
        </w:tc>
      </w:tr>
      <w:tr w:rsidR="00622884" w:rsidRPr="00622884" w14:paraId="6E705A02" w14:textId="77777777" w:rsidTr="00622884">
        <w:trPr>
          <w:trHeight w:val="567"/>
          <w:jc w:val="center"/>
        </w:trPr>
        <w:tc>
          <w:tcPr>
            <w:tcW w:w="245" w:type="pct"/>
            <w:vAlign w:val="center"/>
          </w:tcPr>
          <w:p w14:paraId="351322BE" w14:textId="77777777" w:rsidR="00622884" w:rsidRPr="00622884" w:rsidRDefault="00622884" w:rsidP="00622884">
            <w:pPr>
              <w:spacing w:after="0" w:line="240" w:lineRule="auto"/>
              <w:jc w:val="center"/>
              <w:rPr>
                <w:rFonts w:ascii="Garamond" w:eastAsia="SimSun" w:hAnsi="Garamond" w:cs="Calibri Light"/>
                <w:b/>
                <w:bCs/>
                <w:color w:val="1D3C5A"/>
                <w:sz w:val="10"/>
                <w:szCs w:val="16"/>
                <w:lang w:eastAsia="en-US"/>
              </w:rPr>
            </w:pPr>
            <w:r w:rsidRPr="00622884">
              <w:rPr>
                <w:rFonts w:ascii="Garamond" w:eastAsia="SimSun" w:hAnsi="Garamond" w:cs="Times New Roman"/>
                <w:b/>
                <w:color w:val="1D3C5A"/>
                <w:sz w:val="10"/>
                <w:lang w:eastAsia="en-US" w:bidi="sq-AL"/>
              </w:rPr>
              <w:t>43</w:t>
            </w:r>
          </w:p>
        </w:tc>
        <w:tc>
          <w:tcPr>
            <w:tcW w:w="373" w:type="pct"/>
            <w:vAlign w:val="center"/>
          </w:tcPr>
          <w:p w14:paraId="3A28AD17"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Zhvillimi urban</w:t>
            </w:r>
          </w:p>
        </w:tc>
        <w:tc>
          <w:tcPr>
            <w:tcW w:w="389" w:type="pct"/>
            <w:vAlign w:val="center"/>
          </w:tcPr>
          <w:p w14:paraId="45850B92"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Planifikimi detar dhe territorial për aftësitë ripërtëritëse ndaj ndryshimeve klimatike: Përgatitja për rritjen e nivelit të detit dhe mjediset në ndryshim</w:t>
            </w:r>
          </w:p>
        </w:tc>
        <w:tc>
          <w:tcPr>
            <w:tcW w:w="387" w:type="pct"/>
            <w:vAlign w:val="center"/>
          </w:tcPr>
          <w:p w14:paraId="1C19AD11"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Ndërhyrja e butë</w:t>
            </w:r>
            <w:r w:rsidRPr="00622884">
              <w:rPr>
                <w:rFonts w:ascii="Garamond" w:eastAsia="SimSun" w:hAnsi="Garamond" w:cs="Times New Roman"/>
                <w:b/>
                <w:color w:val="1D3C5A"/>
                <w:sz w:val="10"/>
                <w:lang w:eastAsia="en-US" w:bidi="sq-AL"/>
              </w:rPr>
              <w:t>:</w:t>
            </w:r>
          </w:p>
        </w:tc>
        <w:tc>
          <w:tcPr>
            <w:tcW w:w="1129" w:type="pct"/>
            <w:vAlign w:val="center"/>
          </w:tcPr>
          <w:p w14:paraId="20113487"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43.1 Të kryhet një vlerësim i cenueshmërisë hapësinore të zonave bregdetare dhe zonave urbane të ulëta për të identifikuar zonat në risk duke përdorur mjetet GIS, parashikimet klimatike dhe të dhënat socio-ekonomike.</w:t>
            </w:r>
            <w:r w:rsidRPr="00622884">
              <w:rPr>
                <w:rFonts w:ascii="Garamond" w:eastAsia="SimSun" w:hAnsi="Garamond" w:cs="Times New Roman"/>
                <w:color w:val="1D3C5A"/>
                <w:sz w:val="10"/>
                <w:lang w:eastAsia="en-US" w:bidi="sq-AL"/>
              </w:rPr>
              <w:br/>
              <w:t>43.2 Të zhvillohen udhëzime për planifikimin e përdorimit të tokës bazuar në të dhënat e riskut klimatik, duke përcaktuar zonat prioritare për mbrojtje, menaxhimin e tërheqjes, zhvillimin e kufizuar dhe ngritja e infrastrukturës me aftësi ripërtëritëse.</w:t>
            </w:r>
            <w:r w:rsidRPr="00622884">
              <w:rPr>
                <w:rFonts w:ascii="Garamond" w:eastAsia="SimSun" w:hAnsi="Garamond" w:cs="Times New Roman"/>
                <w:color w:val="1D3C5A"/>
                <w:sz w:val="10"/>
                <w:lang w:eastAsia="en-US" w:bidi="sq-AL"/>
              </w:rPr>
              <w:br/>
              <w:t>43.3 Të përgatitet një Plan Zhvillimi Territorial me Aftësi Ripërtëritëse ndaj Klimës që integron përdorimin e tokës të informuar ndaj riskut, kufizimet e zonimit dhe përparësitë e infrastrukturës së përshtatjes për të udhëhequr zgjerimin dhe rindërtimin e qëndrueshëm urban në zonat e cenueshme.</w:t>
            </w:r>
          </w:p>
        </w:tc>
        <w:tc>
          <w:tcPr>
            <w:tcW w:w="535" w:type="pct"/>
            <w:vAlign w:val="center"/>
          </w:tcPr>
          <w:p w14:paraId="4F18E03B" w14:textId="77777777" w:rsidR="00622884" w:rsidRPr="00622884" w:rsidRDefault="00622884" w:rsidP="00622884">
            <w:pPr>
              <w:spacing w:after="0" w:line="240" w:lineRule="auto"/>
              <w:jc w:val="center"/>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AM</w:t>
            </w:r>
          </w:p>
        </w:tc>
        <w:tc>
          <w:tcPr>
            <w:tcW w:w="938" w:type="pct"/>
            <w:vAlign w:val="center"/>
          </w:tcPr>
          <w:p w14:paraId="085F1253"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1. Vlerësimet e cenueshmërisë hapësinore janë përfunduar për zonat bregdetare dhe të ulëta urbane duke përdorur parashikimet e klimës dhe të dhënat socio-ekonomike (Po/Jo).</w:t>
            </w:r>
            <w:r w:rsidRPr="00622884">
              <w:rPr>
                <w:rFonts w:ascii="Garamond" w:eastAsia="SimSun" w:hAnsi="Garamond" w:cs="Times New Roman"/>
                <w:color w:val="1D3C5A"/>
                <w:sz w:val="10"/>
                <w:lang w:eastAsia="en-US" w:bidi="sq-AL"/>
              </w:rPr>
              <w:br/>
              <w:t xml:space="preserve">2. Udhëzimet për planifikimin e përdorimit të tokës janë hartuar duke përfshirë të dhënat për rritjen së nivelit të detit, valëve të stuhive dhe riskun të erozionit (po/jo). </w:t>
            </w:r>
            <w:r w:rsidRPr="00622884">
              <w:rPr>
                <w:rFonts w:ascii="Garamond" w:eastAsia="SimSun" w:hAnsi="Garamond" w:cs="Times New Roman"/>
                <w:color w:val="1D3C5A"/>
                <w:sz w:val="10"/>
                <w:lang w:eastAsia="en-US" w:bidi="sq-AL"/>
              </w:rPr>
              <w:br/>
              <w:t>3. Numri i bashkive ose zonave bregdetare të mbuluara nga Plani i miratuar i Zhvillimit Territorial me Aftësi Ripërtëritëse ndaj Klimës.</w:t>
            </w:r>
          </w:p>
        </w:tc>
        <w:tc>
          <w:tcPr>
            <w:tcW w:w="536" w:type="pct"/>
            <w:vAlign w:val="center"/>
          </w:tcPr>
          <w:p w14:paraId="424EBA4B"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Ministria e Infrastrukturës dhe Energjisë</w:t>
            </w:r>
          </w:p>
          <w:p w14:paraId="614D954D"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p>
        </w:tc>
        <w:tc>
          <w:tcPr>
            <w:tcW w:w="468" w:type="pct"/>
            <w:vAlign w:val="center"/>
          </w:tcPr>
          <w:p w14:paraId="7865A4CE"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290.000</w:t>
            </w:r>
          </w:p>
        </w:tc>
      </w:tr>
      <w:tr w:rsidR="00622884" w:rsidRPr="00622884" w14:paraId="68A7D68C" w14:textId="77777777" w:rsidTr="00622884">
        <w:trPr>
          <w:trHeight w:val="567"/>
          <w:jc w:val="center"/>
        </w:trPr>
        <w:tc>
          <w:tcPr>
            <w:tcW w:w="245" w:type="pct"/>
            <w:vAlign w:val="center"/>
          </w:tcPr>
          <w:p w14:paraId="673A0393" w14:textId="77777777" w:rsidR="00622884" w:rsidRPr="00622884" w:rsidRDefault="00622884" w:rsidP="00622884">
            <w:pPr>
              <w:spacing w:after="0" w:line="240" w:lineRule="auto"/>
              <w:jc w:val="center"/>
              <w:rPr>
                <w:rFonts w:ascii="Garamond" w:eastAsia="SimSun" w:hAnsi="Garamond" w:cs="Calibri Light"/>
                <w:b/>
                <w:bCs/>
                <w:color w:val="1D3C5A"/>
                <w:sz w:val="10"/>
                <w:szCs w:val="16"/>
                <w:lang w:eastAsia="en-US"/>
              </w:rPr>
            </w:pPr>
            <w:r w:rsidRPr="00622884">
              <w:rPr>
                <w:rFonts w:ascii="Garamond" w:eastAsia="SimSun" w:hAnsi="Garamond" w:cs="Times New Roman"/>
                <w:b/>
                <w:color w:val="1D3C5A"/>
                <w:sz w:val="10"/>
                <w:lang w:eastAsia="en-US" w:bidi="sq-AL"/>
              </w:rPr>
              <w:t>44</w:t>
            </w:r>
          </w:p>
        </w:tc>
        <w:tc>
          <w:tcPr>
            <w:tcW w:w="373" w:type="pct"/>
            <w:vAlign w:val="center"/>
          </w:tcPr>
          <w:p w14:paraId="37A7FA31"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Zhvillimi urban</w:t>
            </w:r>
          </w:p>
        </w:tc>
        <w:tc>
          <w:tcPr>
            <w:tcW w:w="389" w:type="pct"/>
            <w:vAlign w:val="center"/>
          </w:tcPr>
          <w:p w14:paraId="4235F0D5"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 xml:space="preserve">Planifikimi hapësinor strategjik për uljen e riskut: Ridrejtimi i zhvillimeve dhe menaxhimi i risqeve të përmbytjeve nga ujërat sipërfaqësorë </w:t>
            </w:r>
          </w:p>
        </w:tc>
        <w:tc>
          <w:tcPr>
            <w:tcW w:w="387" w:type="pct"/>
            <w:vAlign w:val="center"/>
          </w:tcPr>
          <w:p w14:paraId="2A64FCB6"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Ndërhyrja e butë</w:t>
            </w:r>
            <w:r w:rsidRPr="00622884">
              <w:rPr>
                <w:rFonts w:ascii="Garamond" w:eastAsia="SimSun" w:hAnsi="Garamond" w:cs="Times New Roman"/>
                <w:b/>
                <w:color w:val="1D3C5A"/>
                <w:sz w:val="10"/>
                <w:lang w:eastAsia="en-US" w:bidi="sq-AL"/>
              </w:rPr>
              <w:t>:</w:t>
            </w:r>
          </w:p>
        </w:tc>
        <w:tc>
          <w:tcPr>
            <w:tcW w:w="1129" w:type="pct"/>
            <w:vAlign w:val="center"/>
          </w:tcPr>
          <w:p w14:paraId="7F3FAA14"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44.1 Të kryhet një analizë hapësinore dhe të hartëzohen zonat me risk të lartë në bashkitë e synuara, duke përfshirë fushat aluvionale dhe zonat buferike të zonave të mbrojtura, duke përdorur modelimin hidrologjik dhe të dhënat e përdorimit të tokës.</w:t>
            </w:r>
            <w:r w:rsidRPr="00622884">
              <w:rPr>
                <w:rFonts w:ascii="Garamond" w:eastAsia="SimSun" w:hAnsi="Garamond" w:cs="Times New Roman"/>
                <w:color w:val="1D3C5A"/>
                <w:sz w:val="10"/>
                <w:lang w:eastAsia="en-US" w:bidi="sq-AL"/>
              </w:rPr>
              <w:br/>
              <w:t>44.2 Të përgatitet një plan për menaxhimin e ujërave sipërfaqësorë për bashkitë në risk të konsiderueshëm nga përmbytjet, duke identifikuar shkaqet, zonat e cenueshme dhe masat e mundshme zbutëse të bazuara në natyrë ose të projektuara.</w:t>
            </w:r>
            <w:r w:rsidRPr="00622884">
              <w:rPr>
                <w:rFonts w:ascii="Garamond" w:eastAsia="SimSun" w:hAnsi="Garamond" w:cs="Times New Roman"/>
                <w:color w:val="1D3C5A"/>
                <w:sz w:val="10"/>
                <w:lang w:eastAsia="en-US" w:bidi="sq-AL"/>
              </w:rPr>
              <w:br/>
              <w:t>44.3 Të integrohen rezultatet në instrumentet e përditësuara të planifikimit hapësinor në nivel bashkiak, duke përfshirë rregulloret e zonimit dhe kufizimet e përdorimit të tokës që parandalojnë zhvillimet e reja në zonat me risk të lartë.</w:t>
            </w:r>
            <w:r w:rsidRPr="00622884">
              <w:rPr>
                <w:rFonts w:ascii="Garamond" w:eastAsia="SimSun" w:hAnsi="Garamond" w:cs="Times New Roman"/>
                <w:color w:val="1D3C5A"/>
                <w:sz w:val="10"/>
                <w:lang w:eastAsia="en-US" w:bidi="sq-AL"/>
              </w:rPr>
              <w:br/>
              <w:t>44.4 Të alokohen fondet dhe të ofrohet mbështetje teknike për zbatimin e veprimeve prioritare nga Plani i Menaxhimit të Ujërave Sipërfaqësorë, ku të përfshihet infrastruktura e gjelbër dhe projektet e zbutjes së përmbytjeve.</w:t>
            </w:r>
          </w:p>
        </w:tc>
        <w:tc>
          <w:tcPr>
            <w:tcW w:w="535" w:type="pct"/>
            <w:vAlign w:val="center"/>
          </w:tcPr>
          <w:p w14:paraId="486CCAE9" w14:textId="77777777" w:rsidR="00622884" w:rsidRPr="00622884" w:rsidRDefault="00622884" w:rsidP="00622884">
            <w:pPr>
              <w:spacing w:after="0" w:line="240" w:lineRule="auto"/>
              <w:jc w:val="center"/>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ASH</w:t>
            </w:r>
          </w:p>
        </w:tc>
        <w:tc>
          <w:tcPr>
            <w:tcW w:w="938" w:type="pct"/>
            <w:vAlign w:val="center"/>
          </w:tcPr>
          <w:p w14:paraId="10B11A0C"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1. Numri i bashkive me zona në risk të lartë të hartëzuara duke përdorur modelimin hidrologjik dhe të dhënat e integruara të përdorimit të tokës.</w:t>
            </w:r>
            <w:r w:rsidRPr="00622884">
              <w:rPr>
                <w:rFonts w:ascii="Garamond" w:eastAsia="SimSun" w:hAnsi="Garamond" w:cs="Times New Roman"/>
                <w:color w:val="1D3C5A"/>
                <w:sz w:val="10"/>
                <w:lang w:eastAsia="en-US" w:bidi="sq-AL"/>
              </w:rPr>
              <w:br/>
              <w:t>2. Numri i Planeve të Menaxhimit të Ujërave Sipërfaqësorë të zhvilluara për bashkitë në risk të konsiderueshëm përmbytjeje nga ujërat sipërfaqësorë.</w:t>
            </w:r>
            <w:r w:rsidRPr="00622884">
              <w:rPr>
                <w:rFonts w:ascii="Garamond" w:eastAsia="SimSun" w:hAnsi="Garamond" w:cs="Times New Roman"/>
                <w:color w:val="1D3C5A"/>
                <w:sz w:val="10"/>
                <w:lang w:eastAsia="en-US" w:bidi="sq-AL"/>
              </w:rPr>
              <w:br/>
              <w:t>3. Numri i instrumenteve të përditësuara të planifikimit hapësinor bashkiak, ku përfshihen rregulloret e zonimit ose kufizimet e përdorimit të tokës në zonat me risk të lartë përmbytjeje.</w:t>
            </w:r>
            <w:r w:rsidRPr="00622884">
              <w:rPr>
                <w:rFonts w:ascii="Garamond" w:eastAsia="SimSun" w:hAnsi="Garamond" w:cs="Times New Roman"/>
                <w:color w:val="1D3C5A"/>
                <w:sz w:val="10"/>
                <w:lang w:eastAsia="en-US" w:bidi="sq-AL"/>
              </w:rPr>
              <w:br/>
              <w:t>4. Shuma e fondeve të alokuara ose të mobilizuara për zbatimin e veprimeve me prioritet nga Planet e Menaxhimit të Ujërave Sipërfaqësorë, duke përfshirë zgjidhjet e bazuara në natyrë.</w:t>
            </w:r>
          </w:p>
        </w:tc>
        <w:tc>
          <w:tcPr>
            <w:tcW w:w="536" w:type="pct"/>
            <w:vAlign w:val="center"/>
          </w:tcPr>
          <w:p w14:paraId="75410A2F"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Ministria e Infrastrukturës dhe Energjisë</w:t>
            </w:r>
          </w:p>
          <w:p w14:paraId="5B30A662"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p>
        </w:tc>
        <w:tc>
          <w:tcPr>
            <w:tcW w:w="468" w:type="pct"/>
            <w:vAlign w:val="center"/>
          </w:tcPr>
          <w:p w14:paraId="746BDA6F"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3.027.000</w:t>
            </w:r>
          </w:p>
        </w:tc>
      </w:tr>
      <w:tr w:rsidR="00622884" w:rsidRPr="00622884" w14:paraId="2AABA7F6" w14:textId="77777777" w:rsidTr="00622884">
        <w:trPr>
          <w:trHeight w:val="567"/>
          <w:jc w:val="center"/>
        </w:trPr>
        <w:tc>
          <w:tcPr>
            <w:tcW w:w="245" w:type="pct"/>
            <w:vAlign w:val="center"/>
          </w:tcPr>
          <w:p w14:paraId="09DEAD60" w14:textId="77777777" w:rsidR="00622884" w:rsidRPr="00622884" w:rsidRDefault="00622884" w:rsidP="00622884">
            <w:pPr>
              <w:spacing w:after="0" w:line="240" w:lineRule="auto"/>
              <w:jc w:val="center"/>
              <w:rPr>
                <w:rFonts w:ascii="Garamond" w:eastAsia="SimSun" w:hAnsi="Garamond" w:cs="Calibri Light"/>
                <w:b/>
                <w:bCs/>
                <w:color w:val="1D3C5A"/>
                <w:sz w:val="10"/>
                <w:szCs w:val="16"/>
                <w:lang w:eastAsia="en-US"/>
              </w:rPr>
            </w:pPr>
            <w:r w:rsidRPr="00622884">
              <w:rPr>
                <w:rFonts w:ascii="Garamond" w:eastAsia="SimSun" w:hAnsi="Garamond" w:cs="Times New Roman"/>
                <w:b/>
                <w:color w:val="1D3C5A"/>
                <w:sz w:val="10"/>
                <w:lang w:eastAsia="en-US" w:bidi="sq-AL"/>
              </w:rPr>
              <w:t>45</w:t>
            </w:r>
          </w:p>
        </w:tc>
        <w:tc>
          <w:tcPr>
            <w:tcW w:w="373" w:type="pct"/>
            <w:vAlign w:val="center"/>
          </w:tcPr>
          <w:p w14:paraId="3EAE00A9"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Zhvillimi urban</w:t>
            </w:r>
          </w:p>
        </w:tc>
        <w:tc>
          <w:tcPr>
            <w:tcW w:w="389" w:type="pct"/>
            <w:vAlign w:val="center"/>
          </w:tcPr>
          <w:p w14:paraId="345C237E"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Skemat e incentivave për të rritur aftësitë ripërtëritëse të ndërtesave ndaj temperaturave ekstreme</w:t>
            </w:r>
          </w:p>
        </w:tc>
        <w:tc>
          <w:tcPr>
            <w:tcW w:w="387" w:type="pct"/>
            <w:vAlign w:val="center"/>
          </w:tcPr>
          <w:p w14:paraId="4DCA7948"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Ndërhyrja e butë</w:t>
            </w:r>
            <w:r w:rsidRPr="00622884">
              <w:rPr>
                <w:rFonts w:ascii="Garamond" w:eastAsia="SimSun" w:hAnsi="Garamond" w:cs="Times New Roman"/>
                <w:b/>
                <w:color w:val="1D3C5A"/>
                <w:sz w:val="10"/>
                <w:lang w:eastAsia="en-US" w:bidi="sq-AL"/>
              </w:rPr>
              <w:t>:</w:t>
            </w:r>
          </w:p>
        </w:tc>
        <w:tc>
          <w:tcPr>
            <w:tcW w:w="1129" w:type="pct"/>
            <w:vAlign w:val="center"/>
          </w:tcPr>
          <w:p w14:paraId="6B9B9732"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45.1 Të kryhet një vlerësim i detajuar i stokut kombëtar të ndërtesave për të identifikuar dobësitë dhe për të përcaktuar ndërtesat publike dhe private më të ekspozuara ndaj nxehtësisë dhe performancës së dobët energjetike.</w:t>
            </w:r>
            <w:r w:rsidRPr="00622884">
              <w:rPr>
                <w:rFonts w:ascii="Garamond" w:eastAsia="SimSun" w:hAnsi="Garamond" w:cs="Times New Roman"/>
                <w:color w:val="1D3C5A"/>
                <w:sz w:val="10"/>
                <w:lang w:eastAsia="en-US" w:bidi="sq-AL"/>
              </w:rPr>
              <w:br/>
              <w:t>45.2 Të hartohet një paketë incentivash financiare që mbështet instalimin e masave të ftohjes dhe izolimit pasiv, duke bërë dallim të qartë të linjave të mbështetjes për sektorin publik dhe privat.</w:t>
            </w:r>
            <w:r w:rsidRPr="00622884">
              <w:rPr>
                <w:rFonts w:ascii="Garamond" w:eastAsia="SimSun" w:hAnsi="Garamond" w:cs="Times New Roman"/>
                <w:color w:val="1D3C5A"/>
                <w:sz w:val="10"/>
                <w:lang w:eastAsia="en-US" w:bidi="sq-AL"/>
              </w:rPr>
              <w:br/>
              <w:t>45.3 T’i jepet përparësi ndërtesave të sektorit publik që ofrojnë shërbime thelbësore (p.sh. spitale, kopshte, shkolla, objektet që ofrojnë strehim në raste emergjente) për fazën e parë të mbështetjes financiare, duke siguruar shpërndarjen e barabartë gjeografike.</w:t>
            </w:r>
            <w:r w:rsidRPr="00622884">
              <w:rPr>
                <w:rFonts w:ascii="Garamond" w:eastAsia="SimSun" w:hAnsi="Garamond" w:cs="Times New Roman"/>
                <w:color w:val="1D3C5A"/>
                <w:sz w:val="10"/>
                <w:lang w:eastAsia="en-US" w:bidi="sq-AL"/>
              </w:rPr>
              <w:br/>
              <w:t>45.4 Të lançohet një program mbështetës i synuar për ndërtesat private, duke përfshirë fushata ndërgjegjësimi dhe udhëzime teknike për të inkurajuar marrjen e masave të ftohjes në shtëpi dhe biznese.</w:t>
            </w:r>
          </w:p>
        </w:tc>
        <w:tc>
          <w:tcPr>
            <w:tcW w:w="535" w:type="pct"/>
            <w:vAlign w:val="center"/>
          </w:tcPr>
          <w:p w14:paraId="4B044369" w14:textId="77777777" w:rsidR="00622884" w:rsidRPr="00622884" w:rsidRDefault="00622884" w:rsidP="00622884">
            <w:pPr>
              <w:spacing w:after="0" w:line="240" w:lineRule="auto"/>
              <w:jc w:val="center"/>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AGJ</w:t>
            </w:r>
          </w:p>
        </w:tc>
        <w:tc>
          <w:tcPr>
            <w:tcW w:w="938" w:type="pct"/>
            <w:vAlign w:val="center"/>
          </w:tcPr>
          <w:p w14:paraId="7D9B02DC"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1. Numri i vlerësimeve të stokut të ndërtesave të përfunduara ku identifikohen dobësitë ndaj të nxehtit dhe performancës së dobët të energjisë në sektorin publik dhe privat.</w:t>
            </w:r>
            <w:r w:rsidRPr="00622884">
              <w:rPr>
                <w:rFonts w:ascii="Garamond" w:eastAsia="SimSun" w:hAnsi="Garamond" w:cs="Times New Roman"/>
                <w:color w:val="1D3C5A"/>
                <w:sz w:val="10"/>
                <w:lang w:eastAsia="en-US" w:bidi="sq-AL"/>
              </w:rPr>
              <w:br/>
              <w:t>2. Numri i skemave të incentivave financiare të hartuara dhe të vëna në funksion për masat e ftohjes pasive dhe izolimit termik në ndërtesat publike dhe private.</w:t>
            </w:r>
            <w:r w:rsidRPr="00622884">
              <w:rPr>
                <w:rFonts w:ascii="Garamond" w:eastAsia="SimSun" w:hAnsi="Garamond" w:cs="Times New Roman"/>
                <w:color w:val="1D3C5A"/>
                <w:sz w:val="10"/>
                <w:lang w:eastAsia="en-US" w:bidi="sq-AL"/>
              </w:rPr>
              <w:br/>
              <w:t>3. Numri i ndërtesave publike që ofrojnë shërbime thelbësore (p.sh., spitale, shkolla, objekte që ofrojnë strehim në raste emergjente) që marrin mbështetje financiare për instalimin e masave pasive të ftohjes dhe izolimit.</w:t>
            </w:r>
            <w:r w:rsidRPr="00622884">
              <w:rPr>
                <w:rFonts w:ascii="Garamond" w:eastAsia="SimSun" w:hAnsi="Garamond" w:cs="Times New Roman"/>
                <w:color w:val="1D3C5A"/>
                <w:sz w:val="10"/>
                <w:lang w:eastAsia="en-US" w:bidi="sq-AL"/>
              </w:rPr>
              <w:br/>
              <w:t>4. Numri i njësive ekonomike familjare private ose bizneseve që marrin mbështetje financiare ose teknike për zbatimin e zgjidhjeve të ftohjes pasive.</w:t>
            </w:r>
          </w:p>
        </w:tc>
        <w:tc>
          <w:tcPr>
            <w:tcW w:w="536" w:type="pct"/>
            <w:vAlign w:val="center"/>
          </w:tcPr>
          <w:p w14:paraId="3EC9AB75"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Ministria e Infrastrukturës dhe Energjisë</w:t>
            </w:r>
          </w:p>
          <w:p w14:paraId="59C372F5"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p>
        </w:tc>
        <w:tc>
          <w:tcPr>
            <w:tcW w:w="468" w:type="pct"/>
            <w:vAlign w:val="center"/>
          </w:tcPr>
          <w:p w14:paraId="3A1DF779"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2.715.000.000</w:t>
            </w:r>
          </w:p>
        </w:tc>
      </w:tr>
      <w:tr w:rsidR="00622884" w:rsidRPr="00622884" w14:paraId="36FEFE2C" w14:textId="77777777" w:rsidTr="00622884">
        <w:trPr>
          <w:trHeight w:val="567"/>
          <w:jc w:val="center"/>
        </w:trPr>
        <w:tc>
          <w:tcPr>
            <w:tcW w:w="245" w:type="pct"/>
            <w:vAlign w:val="center"/>
          </w:tcPr>
          <w:p w14:paraId="16575B64" w14:textId="77777777" w:rsidR="00622884" w:rsidRPr="00622884" w:rsidRDefault="00622884" w:rsidP="00622884">
            <w:pPr>
              <w:spacing w:after="0" w:line="240" w:lineRule="auto"/>
              <w:jc w:val="center"/>
              <w:rPr>
                <w:rFonts w:ascii="Garamond" w:eastAsia="SimSun" w:hAnsi="Garamond" w:cs="Calibri Light"/>
                <w:b/>
                <w:bCs/>
                <w:color w:val="1D3C5A"/>
                <w:sz w:val="10"/>
                <w:szCs w:val="16"/>
                <w:lang w:eastAsia="en-US"/>
              </w:rPr>
            </w:pPr>
            <w:r w:rsidRPr="00622884">
              <w:rPr>
                <w:rFonts w:ascii="Garamond" w:eastAsia="SimSun" w:hAnsi="Garamond" w:cs="Times New Roman"/>
                <w:b/>
                <w:color w:val="1D3C5A"/>
                <w:sz w:val="10"/>
                <w:lang w:eastAsia="en-US" w:bidi="sq-AL"/>
              </w:rPr>
              <w:t>46</w:t>
            </w:r>
          </w:p>
        </w:tc>
        <w:tc>
          <w:tcPr>
            <w:tcW w:w="373" w:type="pct"/>
            <w:vAlign w:val="center"/>
          </w:tcPr>
          <w:p w14:paraId="3059C8B2"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Zhvillimi urban</w:t>
            </w:r>
          </w:p>
        </w:tc>
        <w:tc>
          <w:tcPr>
            <w:tcW w:w="389" w:type="pct"/>
            <w:vAlign w:val="center"/>
          </w:tcPr>
          <w:p w14:paraId="7F75256F"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Integrimi i hapësirave të gjelbra në zhvillimin e infrastrukturës publike përmes prokurimit publik të gjelbër</w:t>
            </w:r>
          </w:p>
        </w:tc>
        <w:tc>
          <w:tcPr>
            <w:tcW w:w="387" w:type="pct"/>
            <w:vAlign w:val="center"/>
          </w:tcPr>
          <w:p w14:paraId="4C2A0C2F"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Ndërhyrja e butë</w:t>
            </w:r>
            <w:r w:rsidRPr="00622884">
              <w:rPr>
                <w:rFonts w:ascii="Garamond" w:eastAsia="SimSun" w:hAnsi="Garamond" w:cs="Times New Roman"/>
                <w:b/>
                <w:color w:val="1D3C5A"/>
                <w:sz w:val="10"/>
                <w:lang w:eastAsia="en-US" w:bidi="sq-AL"/>
              </w:rPr>
              <w:t>:</w:t>
            </w:r>
          </w:p>
        </w:tc>
        <w:tc>
          <w:tcPr>
            <w:tcW w:w="1129" w:type="pct"/>
            <w:vAlign w:val="center"/>
          </w:tcPr>
          <w:p w14:paraId="04224078"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46.1 Të zhvillohen standardet kombëtare vullnetare të Prokurimit Publik të Gjelbër (PPGJ) në përputhje me kriteret e BE-së për PPGJ-në, duke përfshirë në mënyrë specifike kërkesat për integrimin e infrastrukturës së gjelbër dhe elementeve të bazuara në natyrë në të gjitha projektet e infrastrukturës publike.</w:t>
            </w:r>
            <w:r w:rsidRPr="00622884">
              <w:rPr>
                <w:rFonts w:ascii="Garamond" w:eastAsia="SimSun" w:hAnsi="Garamond" w:cs="Times New Roman"/>
                <w:color w:val="1D3C5A"/>
                <w:sz w:val="10"/>
                <w:lang w:eastAsia="en-US" w:bidi="sq-AL"/>
              </w:rPr>
              <w:br/>
              <w:t xml:space="preserve">46.2 Të krijohen udhëzime dhe formate praktike për zyrtarët e prokurimit dhe autoritetet kontraktuese, ku do </w:t>
            </w:r>
            <w:r w:rsidRPr="00622884">
              <w:rPr>
                <w:rFonts w:ascii="Garamond" w:eastAsia="SimSun" w:hAnsi="Garamond" w:cs="Times New Roman"/>
                <w:color w:val="1D3C5A"/>
                <w:sz w:val="10"/>
                <w:lang w:eastAsia="en-US" w:bidi="sq-AL"/>
              </w:rPr>
              <w:lastRenderedPageBreak/>
              <w:t>të përfshihen edhe komponentët e hapësirave të gjelbra në tenderat që lidhen me rrugët, parqet, zonat sportive, parkingjet dhe objektet e tjera publike.</w:t>
            </w:r>
            <w:r w:rsidRPr="00622884">
              <w:rPr>
                <w:rFonts w:ascii="Garamond" w:eastAsia="SimSun" w:hAnsi="Garamond" w:cs="Times New Roman"/>
                <w:color w:val="1D3C5A"/>
                <w:sz w:val="10"/>
                <w:lang w:eastAsia="en-US" w:bidi="sq-AL"/>
              </w:rPr>
              <w:br/>
              <w:t xml:space="preserve">46.3 Të ofrohen programe trajnimi dhe </w:t>
            </w:r>
            <w:r w:rsidRPr="00622884">
              <w:rPr>
                <w:rFonts w:ascii="Garamond" w:eastAsia="SimSun" w:hAnsi="Garamond" w:cs="Times New Roman"/>
                <w:i/>
                <w:color w:val="1D3C5A"/>
                <w:sz w:val="10"/>
                <w:lang w:eastAsia="en-US" w:bidi="sq-AL"/>
              </w:rPr>
              <w:t>workshop</w:t>
            </w:r>
            <w:r w:rsidRPr="00622884">
              <w:rPr>
                <w:rFonts w:ascii="Garamond" w:eastAsia="SimSun" w:hAnsi="Garamond" w:cs="Times New Roman"/>
                <w:color w:val="1D3C5A"/>
                <w:sz w:val="10"/>
                <w:lang w:eastAsia="en-US" w:bidi="sq-AL"/>
              </w:rPr>
              <w:t>-e ndërgjegjësuese për zyrtarët e prokurimit publik dhe stafin teknik në nivel kombëtar dhe komunal mbi zbatimin e standardeve të PPGJ-së.</w:t>
            </w:r>
            <w:r w:rsidRPr="00622884">
              <w:rPr>
                <w:rFonts w:ascii="Garamond" w:eastAsia="SimSun" w:hAnsi="Garamond" w:cs="Times New Roman"/>
                <w:color w:val="1D3C5A"/>
                <w:sz w:val="10"/>
                <w:lang w:eastAsia="en-US" w:bidi="sq-AL"/>
              </w:rPr>
              <w:br/>
              <w:t>46.4 Të zbatohen në mënyrë pilot standardet e reja të PPGJ-së në bashki të përzgjedhura për të vlerësuar fizibilitetin, për të mbledhur reagime dhe për të identifikuar mundësitë për një shtrirje më të gjerë dhe përsosje të qasjes.</w:t>
            </w:r>
          </w:p>
        </w:tc>
        <w:tc>
          <w:tcPr>
            <w:tcW w:w="535" w:type="pct"/>
            <w:vAlign w:val="center"/>
          </w:tcPr>
          <w:p w14:paraId="310FE375" w14:textId="77777777" w:rsidR="00622884" w:rsidRPr="00622884" w:rsidRDefault="00622884" w:rsidP="00622884">
            <w:pPr>
              <w:spacing w:after="0" w:line="240" w:lineRule="auto"/>
              <w:jc w:val="center"/>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lastRenderedPageBreak/>
              <w:t>AM</w:t>
            </w:r>
          </w:p>
        </w:tc>
        <w:tc>
          <w:tcPr>
            <w:tcW w:w="938" w:type="pct"/>
            <w:vAlign w:val="center"/>
          </w:tcPr>
          <w:p w14:paraId="4995CB42"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1. Numri i standardeve vullnetare të Prokurimit Publik të Gjelbër (PPGJ) të zhvilluara dhe të miratuara që përfshijnë infrastrukturën e gjelbër dhe zgjidhjet e bazuara në natyrë për projektet e infrastrukturës publike.</w:t>
            </w:r>
            <w:r w:rsidRPr="00622884">
              <w:rPr>
                <w:rFonts w:ascii="Garamond" w:eastAsia="SimSun" w:hAnsi="Garamond" w:cs="Times New Roman"/>
                <w:color w:val="1D3C5A"/>
                <w:sz w:val="10"/>
                <w:lang w:eastAsia="en-US" w:bidi="sq-AL"/>
              </w:rPr>
              <w:br/>
              <w:t xml:space="preserve">2. Numri i udhëzimeve të prokurimit dhe formateve të tenderit të zhvilluara për të </w:t>
            </w:r>
            <w:r w:rsidRPr="00622884">
              <w:rPr>
                <w:rFonts w:ascii="Garamond" w:eastAsia="SimSun" w:hAnsi="Garamond" w:cs="Times New Roman"/>
                <w:color w:val="1D3C5A"/>
                <w:sz w:val="10"/>
                <w:lang w:eastAsia="en-US" w:bidi="sq-AL"/>
              </w:rPr>
              <w:lastRenderedPageBreak/>
              <w:t>mbështetur integrimin e komponentëve të hapësirave të gjelbra në projektet e infrastrukturës publike.</w:t>
            </w:r>
            <w:r w:rsidRPr="00622884">
              <w:rPr>
                <w:rFonts w:ascii="Garamond" w:eastAsia="SimSun" w:hAnsi="Garamond" w:cs="Times New Roman"/>
                <w:color w:val="1D3C5A"/>
                <w:sz w:val="10"/>
                <w:lang w:eastAsia="en-US" w:bidi="sq-AL"/>
              </w:rPr>
              <w:br/>
              <w:t>3. Numri i zyrtarëve të prokurimit dhe stafit teknik të trajnuar mbi standardet e prokurimit publik të gjelbër dhe integrimin e infrastrukturës së bazuar në natyrë.</w:t>
            </w:r>
            <w:r w:rsidRPr="00622884">
              <w:rPr>
                <w:rFonts w:ascii="Garamond" w:eastAsia="SimSun" w:hAnsi="Garamond" w:cs="Times New Roman"/>
                <w:color w:val="1D3C5A"/>
                <w:sz w:val="10"/>
                <w:lang w:eastAsia="en-US" w:bidi="sq-AL"/>
              </w:rPr>
              <w:br/>
              <w:t>4. Numri i bashkive që po pilotojnë zbatimin e standardeve vullnetare të PPGJ-së në proceset e prokurimit të infrastrukturës publike.</w:t>
            </w:r>
          </w:p>
        </w:tc>
        <w:tc>
          <w:tcPr>
            <w:tcW w:w="536" w:type="pct"/>
            <w:vAlign w:val="center"/>
          </w:tcPr>
          <w:p w14:paraId="12A36EF5"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lastRenderedPageBreak/>
              <w:t>Ministria e Infrastrukturës dhe Energjisë, Bashkitë</w:t>
            </w:r>
          </w:p>
          <w:p w14:paraId="22E46786"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p>
        </w:tc>
        <w:tc>
          <w:tcPr>
            <w:tcW w:w="468" w:type="pct"/>
            <w:vAlign w:val="center"/>
          </w:tcPr>
          <w:p w14:paraId="2F645433"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380.000</w:t>
            </w:r>
          </w:p>
        </w:tc>
      </w:tr>
      <w:tr w:rsidR="00622884" w:rsidRPr="00622884" w14:paraId="2F4C5D1F" w14:textId="77777777" w:rsidTr="00622884">
        <w:trPr>
          <w:trHeight w:val="567"/>
          <w:jc w:val="center"/>
        </w:trPr>
        <w:tc>
          <w:tcPr>
            <w:tcW w:w="245" w:type="pct"/>
            <w:vAlign w:val="center"/>
          </w:tcPr>
          <w:p w14:paraId="6F69A90F" w14:textId="77777777" w:rsidR="00622884" w:rsidRPr="00622884" w:rsidRDefault="00622884" w:rsidP="00622884">
            <w:pPr>
              <w:spacing w:after="0" w:line="240" w:lineRule="auto"/>
              <w:jc w:val="center"/>
              <w:rPr>
                <w:rFonts w:ascii="Garamond" w:eastAsia="SimSun" w:hAnsi="Garamond" w:cs="Calibri Light"/>
                <w:b/>
                <w:bCs/>
                <w:color w:val="1D3C5A"/>
                <w:sz w:val="10"/>
                <w:szCs w:val="16"/>
                <w:lang w:eastAsia="en-US"/>
              </w:rPr>
            </w:pPr>
            <w:r w:rsidRPr="00622884">
              <w:rPr>
                <w:rFonts w:ascii="Garamond" w:eastAsia="SimSun" w:hAnsi="Garamond" w:cs="Times New Roman"/>
                <w:b/>
                <w:color w:val="1D3C5A"/>
                <w:sz w:val="10"/>
                <w:lang w:eastAsia="en-US" w:bidi="sq-AL"/>
              </w:rPr>
              <w:t>47</w:t>
            </w:r>
          </w:p>
        </w:tc>
        <w:tc>
          <w:tcPr>
            <w:tcW w:w="373" w:type="pct"/>
            <w:vAlign w:val="center"/>
          </w:tcPr>
          <w:p w14:paraId="4387A4CD"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Zhvillimi urban</w:t>
            </w:r>
          </w:p>
        </w:tc>
        <w:tc>
          <w:tcPr>
            <w:tcW w:w="389" w:type="pct"/>
            <w:vAlign w:val="center"/>
          </w:tcPr>
          <w:p w14:paraId="45CA2C28"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 xml:space="preserve">Restaurimi i korridoreve të gjelbra: Nismat për ripyllëzim dhe gjelbërim urban </w:t>
            </w:r>
          </w:p>
        </w:tc>
        <w:tc>
          <w:tcPr>
            <w:tcW w:w="387" w:type="pct"/>
            <w:vAlign w:val="center"/>
          </w:tcPr>
          <w:p w14:paraId="780CD2A5"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Ndërhyrja e gjelbër</w:t>
            </w:r>
          </w:p>
        </w:tc>
        <w:tc>
          <w:tcPr>
            <w:tcW w:w="1129" w:type="pct"/>
            <w:vAlign w:val="center"/>
          </w:tcPr>
          <w:p w14:paraId="1EF9F529"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47.1 Të kryhen vlerësime ekologjike dhe mjedisore, si dhe të hartëzohen dhe të prioritizohen zonat për restaurimin dhe mbjelljen e korridoreve të gjelbra, në përputhje me Planet Vendore të Përshtatjes për Gjirokastrën dhe Përmetin.</w:t>
            </w:r>
            <w:r w:rsidRPr="00622884">
              <w:rPr>
                <w:rFonts w:ascii="Garamond" w:eastAsia="SimSun" w:hAnsi="Garamond" w:cs="Times New Roman"/>
                <w:color w:val="1D3C5A"/>
                <w:sz w:val="10"/>
                <w:lang w:eastAsia="en-US" w:bidi="sq-AL"/>
              </w:rPr>
              <w:br/>
              <w:t>47.2 Të përgatitet toka e tokës dhe të kryhen veprimtaritë për mbjelljen për të restauruar dhe zhvilluar korridore të reja të gjelbra, duke nxitur lidhshmërinë e hapësirave të gjelbra dhe duke bërë të mundur që hapësirat e gjelbra urbane të zbusin efektet e nxehtësisë. Ushtrimi i restaurimit dhe mbjelljes synon përmirësimin e cilësisë së tokës, uljen e erozionit, mbrojtjen dhe restaurimin e ekosistemeve dhe uljen e ndikimeve ekstreme të motit.</w:t>
            </w:r>
          </w:p>
        </w:tc>
        <w:tc>
          <w:tcPr>
            <w:tcW w:w="535" w:type="pct"/>
            <w:vAlign w:val="center"/>
          </w:tcPr>
          <w:p w14:paraId="763EEB0D" w14:textId="77777777" w:rsidR="00622884" w:rsidRPr="00622884" w:rsidRDefault="00622884" w:rsidP="00622884">
            <w:pPr>
              <w:spacing w:after="0" w:line="240" w:lineRule="auto"/>
              <w:jc w:val="center"/>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AM</w:t>
            </w:r>
          </w:p>
        </w:tc>
        <w:tc>
          <w:tcPr>
            <w:tcW w:w="938" w:type="pct"/>
            <w:vAlign w:val="center"/>
          </w:tcPr>
          <w:p w14:paraId="66CC44A9"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 xml:space="preserve">1. Sipërfaqja totale (km²) e rigjelbërimit në qytetin e Gjirokastrës. </w:t>
            </w:r>
            <w:r w:rsidRPr="00622884">
              <w:rPr>
                <w:rFonts w:ascii="Garamond" w:eastAsia="SimSun" w:hAnsi="Garamond" w:cs="Times New Roman"/>
                <w:color w:val="1D3C5A"/>
                <w:sz w:val="10"/>
                <w:lang w:eastAsia="en-US" w:bidi="sq-AL"/>
              </w:rPr>
              <w:br/>
              <w:t xml:space="preserve">2. Sipërfaqja totale (km²) e brezave të gjelbër me pemë rrapi dhe plepi të rindërtuara përgjatë lumenjve Drino dhe Vjosë. </w:t>
            </w:r>
            <w:r w:rsidRPr="00622884">
              <w:rPr>
                <w:rFonts w:ascii="Garamond" w:eastAsia="SimSun" w:hAnsi="Garamond" w:cs="Times New Roman"/>
                <w:color w:val="1D3C5A"/>
                <w:sz w:val="10"/>
                <w:lang w:eastAsia="en-US" w:bidi="sq-AL"/>
              </w:rPr>
              <w:br/>
              <w:t>3. Gjatësia (km) e brezave të gjelbër përgjatë lumit Drino.</w:t>
            </w:r>
            <w:r w:rsidRPr="00622884">
              <w:rPr>
                <w:rFonts w:ascii="Garamond" w:eastAsia="SimSun" w:hAnsi="Garamond" w:cs="Times New Roman"/>
                <w:color w:val="1D3C5A"/>
                <w:sz w:val="10"/>
                <w:lang w:eastAsia="en-US" w:bidi="sq-AL"/>
              </w:rPr>
              <w:br/>
              <w:t>4. Gjatësia (km) e brezave të gjelbër përgjatë lumit Vjosa.</w:t>
            </w:r>
          </w:p>
        </w:tc>
        <w:tc>
          <w:tcPr>
            <w:tcW w:w="536" w:type="pct"/>
            <w:vAlign w:val="center"/>
          </w:tcPr>
          <w:p w14:paraId="4572F9CF"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Ministria e Mjedisit, Bashkitë</w:t>
            </w:r>
          </w:p>
        </w:tc>
        <w:tc>
          <w:tcPr>
            <w:tcW w:w="468" w:type="pct"/>
            <w:vAlign w:val="center"/>
          </w:tcPr>
          <w:p w14:paraId="66E6620C"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568.544</w:t>
            </w:r>
          </w:p>
        </w:tc>
      </w:tr>
      <w:tr w:rsidR="00622884" w:rsidRPr="00622884" w14:paraId="4BEB2A1C" w14:textId="77777777" w:rsidTr="00622884">
        <w:trPr>
          <w:trHeight w:val="567"/>
          <w:jc w:val="center"/>
        </w:trPr>
        <w:tc>
          <w:tcPr>
            <w:tcW w:w="245" w:type="pct"/>
            <w:vAlign w:val="center"/>
          </w:tcPr>
          <w:p w14:paraId="1F9D4448" w14:textId="77777777" w:rsidR="00622884" w:rsidRPr="00622884" w:rsidRDefault="00622884" w:rsidP="00622884">
            <w:pPr>
              <w:spacing w:after="0" w:line="240" w:lineRule="auto"/>
              <w:jc w:val="center"/>
              <w:rPr>
                <w:rFonts w:ascii="Garamond" w:eastAsia="SimSun" w:hAnsi="Garamond" w:cs="Calibri Light"/>
                <w:b/>
                <w:bCs/>
                <w:color w:val="1D3C5A"/>
                <w:sz w:val="10"/>
                <w:szCs w:val="16"/>
                <w:lang w:eastAsia="en-US"/>
              </w:rPr>
            </w:pPr>
            <w:r w:rsidRPr="00622884">
              <w:rPr>
                <w:rFonts w:ascii="Garamond" w:eastAsia="SimSun" w:hAnsi="Garamond" w:cs="Times New Roman"/>
                <w:b/>
                <w:color w:val="1D3C5A"/>
                <w:sz w:val="10"/>
                <w:lang w:eastAsia="en-US" w:bidi="sq-AL"/>
              </w:rPr>
              <w:t>48</w:t>
            </w:r>
          </w:p>
        </w:tc>
        <w:tc>
          <w:tcPr>
            <w:tcW w:w="373" w:type="pct"/>
            <w:vAlign w:val="center"/>
          </w:tcPr>
          <w:p w14:paraId="6F5145B6"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Zhvillimi urban</w:t>
            </w:r>
          </w:p>
        </w:tc>
        <w:tc>
          <w:tcPr>
            <w:tcW w:w="389" w:type="pct"/>
            <w:vAlign w:val="center"/>
          </w:tcPr>
          <w:p w14:paraId="1BEC42DE"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Vlerësimi i riskut klimatik për Durrësin, Elbasanin, Fierin dhe më gjerë: Krijimi i një harte gjithëpërfshirëse të cenueshmërisë</w:t>
            </w:r>
          </w:p>
        </w:tc>
        <w:tc>
          <w:tcPr>
            <w:tcW w:w="387" w:type="pct"/>
            <w:vAlign w:val="center"/>
          </w:tcPr>
          <w:p w14:paraId="51CDF9EA"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Ndërhyrja e butë</w:t>
            </w:r>
            <w:r w:rsidRPr="00622884">
              <w:rPr>
                <w:rFonts w:ascii="Garamond" w:eastAsia="SimSun" w:hAnsi="Garamond" w:cs="Times New Roman"/>
                <w:b/>
                <w:color w:val="1D3C5A"/>
                <w:sz w:val="10"/>
                <w:lang w:eastAsia="en-US" w:bidi="sq-AL"/>
              </w:rPr>
              <w:t>:</w:t>
            </w:r>
          </w:p>
        </w:tc>
        <w:tc>
          <w:tcPr>
            <w:tcW w:w="1129" w:type="pct"/>
            <w:vAlign w:val="center"/>
          </w:tcPr>
          <w:p w14:paraId="65F979D8"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48.1 Të mblidhen dhe të konsolidohen të dhënat ekzistuese për risqet klimatike (përmbytjet, valët e stuhive, thatësirat, valët e të nxehtit dhe stuhitë) nga burime kombëtare dhe vendore për secilën bashki të synuar.</w:t>
            </w:r>
            <w:r w:rsidRPr="00622884">
              <w:rPr>
                <w:rFonts w:ascii="Garamond" w:eastAsia="SimSun" w:hAnsi="Garamond" w:cs="Times New Roman"/>
                <w:color w:val="1D3C5A"/>
                <w:sz w:val="10"/>
                <w:lang w:eastAsia="en-US" w:bidi="sq-AL"/>
              </w:rPr>
              <w:br/>
              <w:t>48.2 Të kryhen vlerësime pjesëmarrëse të riskut me autoritetet vendore dhe palët e interesit, për të identifikuar ekspozimin, ndjeshmërinë dhe kapacitetin përshtatës të popullatave, infrastrukturës dhe ekosistemeve.</w:t>
            </w:r>
            <w:r w:rsidRPr="00622884">
              <w:rPr>
                <w:rFonts w:ascii="Garamond" w:eastAsia="SimSun" w:hAnsi="Garamond" w:cs="Times New Roman"/>
                <w:color w:val="1D3C5A"/>
                <w:sz w:val="10"/>
                <w:lang w:eastAsia="en-US" w:bidi="sq-AL"/>
              </w:rPr>
              <w:br/>
              <w:t>48.3 Të zhvilloni dhe verifikoni Hartën e Cenueshmërisë Klimatike bazuar në GIS për secilën bashki, duke integruar të dhënat mbi shumë rreziqe dhe treguesit e cenueshmërisë socio-ekonomike.</w:t>
            </w:r>
          </w:p>
        </w:tc>
        <w:tc>
          <w:tcPr>
            <w:tcW w:w="535" w:type="pct"/>
            <w:vAlign w:val="center"/>
          </w:tcPr>
          <w:p w14:paraId="2EC44CA1" w14:textId="77777777" w:rsidR="00622884" w:rsidRPr="00622884" w:rsidRDefault="00622884" w:rsidP="00622884">
            <w:pPr>
              <w:spacing w:after="0" w:line="240" w:lineRule="auto"/>
              <w:jc w:val="center"/>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ASH</w:t>
            </w:r>
          </w:p>
        </w:tc>
        <w:tc>
          <w:tcPr>
            <w:tcW w:w="938" w:type="pct"/>
            <w:vAlign w:val="center"/>
          </w:tcPr>
          <w:p w14:paraId="3BBC8B50"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1. Numri i bashkive ku kanë përfunduar dhe janë verifikuar Hartat e Cenueshmërisë Klimatike të bazuara në GIS, ku janë integruar të dhënat mbi shumë rreziqe dhe treguesit e cenueshmërisë socio-ekonomike.</w:t>
            </w:r>
            <w:r w:rsidRPr="00622884">
              <w:rPr>
                <w:rFonts w:ascii="Garamond" w:eastAsia="SimSun" w:hAnsi="Garamond" w:cs="Times New Roman"/>
                <w:color w:val="1D3C5A"/>
                <w:sz w:val="10"/>
                <w:lang w:eastAsia="en-US" w:bidi="sq-AL"/>
              </w:rPr>
              <w:br/>
              <w:t>2. Numri i vlerësimeve pjesëmarrëse të riskut të kryera me palët vendore të interesit për të identifikuar cenueshmërinë dhe kapacitetin përshtatës në bashkitë e synuara.</w:t>
            </w:r>
            <w:r w:rsidRPr="00622884">
              <w:rPr>
                <w:rFonts w:ascii="Garamond" w:eastAsia="SimSun" w:hAnsi="Garamond" w:cs="Times New Roman"/>
                <w:color w:val="1D3C5A"/>
                <w:sz w:val="10"/>
                <w:lang w:eastAsia="en-US" w:bidi="sq-AL"/>
              </w:rPr>
              <w:br/>
              <w:t>3. Numri i të dhënave bashkiake të konsoliduara dhe të integruara në sistemin kombëtar të informacionit mbi risqet klimatike për hartëzimin e cenueshmërisë.</w:t>
            </w:r>
          </w:p>
        </w:tc>
        <w:tc>
          <w:tcPr>
            <w:tcW w:w="536" w:type="pct"/>
            <w:vAlign w:val="center"/>
          </w:tcPr>
          <w:p w14:paraId="4B395933"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Ministria e Infrastrukturës dhe Energjisë, Bashkitë</w:t>
            </w:r>
          </w:p>
          <w:p w14:paraId="721FCAE6"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p>
        </w:tc>
        <w:tc>
          <w:tcPr>
            <w:tcW w:w="468" w:type="pct"/>
            <w:vAlign w:val="center"/>
          </w:tcPr>
          <w:p w14:paraId="48B7BD6F"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196.000</w:t>
            </w:r>
          </w:p>
        </w:tc>
      </w:tr>
      <w:tr w:rsidR="00622884" w:rsidRPr="00622884" w14:paraId="394EE784" w14:textId="77777777" w:rsidTr="00622884">
        <w:trPr>
          <w:trHeight w:val="454"/>
          <w:jc w:val="center"/>
        </w:trPr>
        <w:tc>
          <w:tcPr>
            <w:tcW w:w="245" w:type="pct"/>
            <w:vAlign w:val="center"/>
          </w:tcPr>
          <w:p w14:paraId="17BB4566" w14:textId="77777777" w:rsidR="00622884" w:rsidRPr="00622884" w:rsidRDefault="00622884" w:rsidP="00622884">
            <w:pPr>
              <w:spacing w:after="0" w:line="240" w:lineRule="auto"/>
              <w:jc w:val="center"/>
              <w:rPr>
                <w:rFonts w:ascii="Garamond" w:eastAsia="SimSun" w:hAnsi="Garamond" w:cs="Calibri Light"/>
                <w:b/>
                <w:bCs/>
                <w:color w:val="1D3C5A"/>
                <w:sz w:val="10"/>
                <w:szCs w:val="16"/>
                <w:lang w:eastAsia="en-US"/>
              </w:rPr>
            </w:pPr>
            <w:r w:rsidRPr="00622884">
              <w:rPr>
                <w:rFonts w:ascii="Garamond" w:eastAsia="SimSun" w:hAnsi="Garamond" w:cs="Times New Roman"/>
                <w:b/>
                <w:color w:val="1D3C5A"/>
                <w:sz w:val="10"/>
                <w:lang w:eastAsia="en-US" w:bidi="sq-AL"/>
              </w:rPr>
              <w:t>49</w:t>
            </w:r>
          </w:p>
        </w:tc>
        <w:tc>
          <w:tcPr>
            <w:tcW w:w="373" w:type="pct"/>
            <w:vAlign w:val="center"/>
          </w:tcPr>
          <w:p w14:paraId="066209A3"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Zhvillimi urban</w:t>
            </w:r>
          </w:p>
        </w:tc>
        <w:tc>
          <w:tcPr>
            <w:tcW w:w="389" w:type="pct"/>
            <w:vAlign w:val="center"/>
          </w:tcPr>
          <w:p w14:paraId="7A1872CD"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Planet e emergjencës për raste përmbytjesh</w:t>
            </w:r>
          </w:p>
        </w:tc>
        <w:tc>
          <w:tcPr>
            <w:tcW w:w="387" w:type="pct"/>
            <w:vAlign w:val="center"/>
          </w:tcPr>
          <w:p w14:paraId="16F91258"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Ndërhyrja e butë</w:t>
            </w:r>
            <w:r w:rsidRPr="00622884">
              <w:rPr>
                <w:rFonts w:ascii="Garamond" w:eastAsia="SimSun" w:hAnsi="Garamond" w:cs="Times New Roman"/>
                <w:b/>
                <w:color w:val="1D3C5A"/>
                <w:sz w:val="10"/>
                <w:lang w:eastAsia="en-US" w:bidi="sq-AL"/>
              </w:rPr>
              <w:t>:</w:t>
            </w:r>
          </w:p>
        </w:tc>
        <w:tc>
          <w:tcPr>
            <w:tcW w:w="1129" w:type="pct"/>
            <w:vAlign w:val="center"/>
          </w:tcPr>
          <w:p w14:paraId="6C4174C9"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49.1 Të hartohen ose përditësohen planet e reagimit ndaj emergjencave të përmbytjeve për bashkitë Durrës, Elbasan, Gjirokastër, Kukës, Përmet dhe Vlorë, ku të detajohen protokolle të qarta, rolet dhe përgjegjësitë.</w:t>
            </w:r>
            <w:r w:rsidRPr="00622884">
              <w:rPr>
                <w:rFonts w:ascii="Garamond" w:eastAsia="SimSun" w:hAnsi="Garamond" w:cs="Times New Roman"/>
                <w:color w:val="1D3C5A"/>
                <w:sz w:val="10"/>
                <w:lang w:eastAsia="en-US" w:bidi="sq-AL"/>
              </w:rPr>
              <w:br/>
              <w:t>49.2 Të kryhen rishikime vjetore dhe ushtrime simulimi për të testuar efektshmërinë e planeve të emergjencës, për të vlerësuar mangësitë në kapacitetet e reagimit dhe për të përfshirë mësimet e nxjerra.</w:t>
            </w:r>
            <w:r w:rsidRPr="00622884">
              <w:rPr>
                <w:rFonts w:ascii="Garamond" w:eastAsia="SimSun" w:hAnsi="Garamond" w:cs="Times New Roman"/>
                <w:color w:val="1D3C5A"/>
                <w:sz w:val="10"/>
                <w:lang w:eastAsia="en-US" w:bidi="sq-AL"/>
              </w:rPr>
              <w:br/>
              <w:t>49.3 Të identifikohen dhe alokohen burimet e nevojshme të emergjencës (p.sh., pajisje, personel, strehët, sistemet e komunikimi) për të siguruar që bashkitë janë të përgatitura për të zbatuar planet në mënyrë efikase.</w:t>
            </w:r>
            <w:r w:rsidRPr="00622884">
              <w:rPr>
                <w:rFonts w:ascii="Garamond" w:eastAsia="SimSun" w:hAnsi="Garamond" w:cs="Times New Roman"/>
                <w:color w:val="1D3C5A"/>
                <w:sz w:val="10"/>
                <w:lang w:eastAsia="en-US" w:bidi="sq-AL"/>
              </w:rPr>
              <w:br/>
              <w:t>49.4 Të trajnohen autoritetet vendore, ekipet e ndihmës së shpejtë dhe udhëheqësit të komunitetit në lidhje me procedurat e emergjencës, protokollet e komunikimit dhe mekanizmat e koordinimit të reagimit ndaj përmbytjeve.</w:t>
            </w:r>
          </w:p>
        </w:tc>
        <w:tc>
          <w:tcPr>
            <w:tcW w:w="535" w:type="pct"/>
            <w:vAlign w:val="center"/>
          </w:tcPr>
          <w:p w14:paraId="262A336A" w14:textId="77777777" w:rsidR="00622884" w:rsidRPr="00622884" w:rsidRDefault="00622884" w:rsidP="00622884">
            <w:pPr>
              <w:spacing w:after="0" w:line="240" w:lineRule="auto"/>
              <w:jc w:val="center"/>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ASH</w:t>
            </w:r>
          </w:p>
        </w:tc>
        <w:tc>
          <w:tcPr>
            <w:tcW w:w="938" w:type="pct"/>
            <w:vAlign w:val="center"/>
          </w:tcPr>
          <w:p w14:paraId="3C032EAB"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1. Numri i bashkive ku janë përditësuar dhe miratuar planet për reagimin ndaj emergjencave në raste Përmbytjesh, ku përfshijnë protokollet, rolet dhe përgjegjësitë.</w:t>
            </w:r>
            <w:r w:rsidRPr="00622884">
              <w:rPr>
                <w:rFonts w:ascii="Garamond" w:eastAsia="SimSun" w:hAnsi="Garamond" w:cs="Times New Roman"/>
                <w:color w:val="1D3C5A"/>
                <w:sz w:val="10"/>
                <w:lang w:eastAsia="en-US" w:bidi="sq-AL"/>
              </w:rPr>
              <w:br/>
              <w:t>2. Numri i ushtrimeve të simulimit të emergjencave nga përmbytjet të zhvilluara çdo vit në bashkitë e synuara për të testuar efektshmërinë e planit dhe kapacitetin koordinues.</w:t>
            </w:r>
            <w:r w:rsidRPr="00622884">
              <w:rPr>
                <w:rFonts w:ascii="Garamond" w:eastAsia="SimSun" w:hAnsi="Garamond" w:cs="Times New Roman"/>
                <w:color w:val="1D3C5A"/>
                <w:sz w:val="10"/>
                <w:lang w:eastAsia="en-US" w:bidi="sq-AL"/>
              </w:rPr>
              <w:br/>
              <w:t>3. Përqindja e bashkive të synuara ku janë identifikuar dhe alokuar burimet thelbësore për reagim ndaj emergjencave (pajisje, streha, sisteme komunikimi), në përputhje me planet e emergjencës.</w:t>
            </w:r>
            <w:r w:rsidRPr="00622884">
              <w:rPr>
                <w:rFonts w:ascii="Garamond" w:eastAsia="SimSun" w:hAnsi="Garamond" w:cs="Times New Roman"/>
                <w:color w:val="1D3C5A"/>
                <w:sz w:val="10"/>
                <w:lang w:eastAsia="en-US" w:bidi="sq-AL"/>
              </w:rPr>
              <w:br/>
              <w:t>4. Numri i autoriteteve vendore, personelit të ndihmës së shpejtë dhe udhëheqësve të komunitetit që janë trajnuar mbi procedurat e emergjencës në rast përmbytjesh dhe për protokollet e koordinimit në bashkitë e synuara.</w:t>
            </w:r>
          </w:p>
        </w:tc>
        <w:tc>
          <w:tcPr>
            <w:tcW w:w="536" w:type="pct"/>
            <w:vAlign w:val="center"/>
          </w:tcPr>
          <w:p w14:paraId="612222B2"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Ministria e Infrastrukturës dhe Energjisë, Bashkitë</w:t>
            </w:r>
          </w:p>
          <w:p w14:paraId="7599F8ED"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p>
        </w:tc>
        <w:tc>
          <w:tcPr>
            <w:tcW w:w="468" w:type="pct"/>
            <w:vAlign w:val="center"/>
          </w:tcPr>
          <w:p w14:paraId="2EEF9C60"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2.500.000</w:t>
            </w:r>
          </w:p>
        </w:tc>
      </w:tr>
      <w:tr w:rsidR="00622884" w:rsidRPr="00622884" w14:paraId="29EEAD5F" w14:textId="77777777" w:rsidTr="00622884">
        <w:trPr>
          <w:trHeight w:val="567"/>
          <w:jc w:val="center"/>
        </w:trPr>
        <w:tc>
          <w:tcPr>
            <w:tcW w:w="245" w:type="pct"/>
            <w:vAlign w:val="center"/>
          </w:tcPr>
          <w:p w14:paraId="23148839" w14:textId="77777777" w:rsidR="00622884" w:rsidRPr="00622884" w:rsidRDefault="00622884" w:rsidP="00622884">
            <w:pPr>
              <w:spacing w:after="0" w:line="240" w:lineRule="auto"/>
              <w:jc w:val="center"/>
              <w:rPr>
                <w:rFonts w:ascii="Garamond" w:eastAsia="SimSun" w:hAnsi="Garamond" w:cs="Calibri Light"/>
                <w:b/>
                <w:bCs/>
                <w:color w:val="1D3C5A"/>
                <w:sz w:val="10"/>
                <w:szCs w:val="16"/>
                <w:lang w:eastAsia="en-US"/>
              </w:rPr>
            </w:pPr>
            <w:r w:rsidRPr="00622884">
              <w:rPr>
                <w:rFonts w:ascii="Garamond" w:eastAsia="SimSun" w:hAnsi="Garamond" w:cs="Times New Roman"/>
                <w:b/>
                <w:color w:val="1D3C5A"/>
                <w:sz w:val="10"/>
                <w:lang w:eastAsia="en-US" w:bidi="sq-AL"/>
              </w:rPr>
              <w:t>50</w:t>
            </w:r>
          </w:p>
        </w:tc>
        <w:tc>
          <w:tcPr>
            <w:tcW w:w="373" w:type="pct"/>
            <w:vAlign w:val="center"/>
          </w:tcPr>
          <w:p w14:paraId="65BAC14E"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Zhvillimi urban</w:t>
            </w:r>
          </w:p>
        </w:tc>
        <w:tc>
          <w:tcPr>
            <w:tcW w:w="389" w:type="pct"/>
            <w:vAlign w:val="center"/>
          </w:tcPr>
          <w:p w14:paraId="4896BBEE"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 xml:space="preserve">Rritja e aftësive ripërtëritëse urbane: Vlerësimi i hapësirave të gjelbra dhe zgjidhjeve të qëndrueshme të kullimit </w:t>
            </w:r>
          </w:p>
        </w:tc>
        <w:tc>
          <w:tcPr>
            <w:tcW w:w="387" w:type="pct"/>
            <w:vAlign w:val="center"/>
          </w:tcPr>
          <w:p w14:paraId="59B47732"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Ndërhyrja e gjelbër</w:t>
            </w:r>
          </w:p>
        </w:tc>
        <w:tc>
          <w:tcPr>
            <w:tcW w:w="1129" w:type="pct"/>
            <w:vAlign w:val="center"/>
          </w:tcPr>
          <w:p w14:paraId="7B4D9BEB"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50.1 Të kryhet vlerësimi dhe planifikimi për të analizuar fizibilitetin dhe vendet me prioritet për shtimin e vëllimit të hapësirave të gjelbra dhe sistemeve të qëndrueshme të kullimit urban në bashki, duke marrë në konsideratë përdorimin e tokës me fokus në bashkitë e Vlorës, Elbasanit dhe Durrësit, dhe të përcaktohet një plan për zbatimin e ndërhyrjeve.</w:t>
            </w:r>
            <w:r w:rsidRPr="00622884">
              <w:rPr>
                <w:rFonts w:ascii="Garamond" w:eastAsia="SimSun" w:hAnsi="Garamond" w:cs="Times New Roman"/>
                <w:color w:val="1D3C5A"/>
                <w:sz w:val="10"/>
                <w:lang w:eastAsia="en-US" w:bidi="sq-AL"/>
              </w:rPr>
              <w:br/>
              <w:t>50.2 Të zbatohen nismat për mbjelljen e pemëve në zonat kryesore urbane, për të rritur mbajtjen e ujit dhe për të zbutur risqet nga përmbytjeve në bashkitë me prioritet.</w:t>
            </w:r>
            <w:r w:rsidRPr="00622884">
              <w:rPr>
                <w:rFonts w:ascii="Garamond" w:eastAsia="SimSun" w:hAnsi="Garamond" w:cs="Times New Roman"/>
                <w:color w:val="1D3C5A"/>
                <w:sz w:val="10"/>
                <w:lang w:eastAsia="en-US" w:bidi="sq-AL"/>
              </w:rPr>
              <w:br/>
              <w:t>50.3 Të ndërtohen trotuare të përshkueshme dhe sisteme të qëndrueshme të kullimit urban në zonat me risk të lartë: Të zëvendësohen sipërfaqet e papërshkueshme nga uji me trotuare të përshkueshme nga uji në vendndodhjet kryesore urbane për të përmirësuar ushqyerjen e ujërave nëntokësorë dhe për të reduktuar gjasat për përmbytje të menjëhershme.</w:t>
            </w:r>
          </w:p>
        </w:tc>
        <w:tc>
          <w:tcPr>
            <w:tcW w:w="535" w:type="pct"/>
            <w:vAlign w:val="center"/>
          </w:tcPr>
          <w:p w14:paraId="6B636FA5" w14:textId="77777777" w:rsidR="00622884" w:rsidRPr="00622884" w:rsidRDefault="00622884" w:rsidP="00622884">
            <w:pPr>
              <w:spacing w:after="0" w:line="240" w:lineRule="auto"/>
              <w:jc w:val="center"/>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ASH</w:t>
            </w:r>
          </w:p>
        </w:tc>
        <w:tc>
          <w:tcPr>
            <w:tcW w:w="938" w:type="pct"/>
            <w:vAlign w:val="center"/>
          </w:tcPr>
          <w:p w14:paraId="60BEEEB9"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 xml:space="preserve">1. Numri i studimeve të fizibilitetit të kryera për shtimin e vëllimit të hapësirave të gjelbra dhe sistemeve të qëndrueshme të kullimit urban në Vlorë, Elbasan dhe Durrës. </w:t>
            </w:r>
            <w:r w:rsidRPr="00622884">
              <w:rPr>
                <w:rFonts w:ascii="Garamond" w:eastAsia="SimSun" w:hAnsi="Garamond" w:cs="Times New Roman"/>
                <w:color w:val="1D3C5A"/>
                <w:sz w:val="10"/>
                <w:lang w:eastAsia="en-US" w:bidi="sq-AL"/>
              </w:rPr>
              <w:br/>
              <w:t>2. Numri i trotuareve të përshkueshme nga uji dhe sistemeve të qëndrueshme të kullimit urban të ndërtuara.</w:t>
            </w:r>
          </w:p>
        </w:tc>
        <w:tc>
          <w:tcPr>
            <w:tcW w:w="536" w:type="pct"/>
            <w:vAlign w:val="center"/>
          </w:tcPr>
          <w:p w14:paraId="17D90AB2"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Ministria e Infrastrukturës dhe Energjisë, Bashkitë</w:t>
            </w:r>
          </w:p>
          <w:p w14:paraId="7C7C202F"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p>
        </w:tc>
        <w:tc>
          <w:tcPr>
            <w:tcW w:w="468" w:type="pct"/>
            <w:vAlign w:val="center"/>
          </w:tcPr>
          <w:p w14:paraId="40EB9CE4"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TBC</w:t>
            </w:r>
          </w:p>
        </w:tc>
      </w:tr>
      <w:tr w:rsidR="00622884" w:rsidRPr="00622884" w14:paraId="5DDD631B" w14:textId="77777777" w:rsidTr="00622884">
        <w:trPr>
          <w:trHeight w:val="567"/>
          <w:jc w:val="center"/>
        </w:trPr>
        <w:tc>
          <w:tcPr>
            <w:tcW w:w="245" w:type="pct"/>
            <w:vAlign w:val="center"/>
          </w:tcPr>
          <w:p w14:paraId="447DE77C" w14:textId="77777777" w:rsidR="00622884" w:rsidRPr="00622884" w:rsidRDefault="00622884" w:rsidP="00622884">
            <w:pPr>
              <w:spacing w:after="0" w:line="240" w:lineRule="auto"/>
              <w:jc w:val="center"/>
              <w:rPr>
                <w:rFonts w:ascii="Garamond" w:eastAsia="SimSun" w:hAnsi="Garamond" w:cs="Calibri Light"/>
                <w:b/>
                <w:bCs/>
                <w:color w:val="1D3C5A"/>
                <w:sz w:val="10"/>
                <w:szCs w:val="16"/>
                <w:lang w:eastAsia="en-US"/>
              </w:rPr>
            </w:pPr>
            <w:r w:rsidRPr="00622884">
              <w:rPr>
                <w:rFonts w:ascii="Garamond" w:eastAsia="SimSun" w:hAnsi="Garamond" w:cs="Times New Roman"/>
                <w:b/>
                <w:color w:val="1D3C5A"/>
                <w:sz w:val="10"/>
                <w:lang w:eastAsia="en-US" w:bidi="sq-AL"/>
              </w:rPr>
              <w:t>51</w:t>
            </w:r>
          </w:p>
        </w:tc>
        <w:tc>
          <w:tcPr>
            <w:tcW w:w="373" w:type="pct"/>
            <w:vAlign w:val="center"/>
          </w:tcPr>
          <w:p w14:paraId="2D264EF3"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Zhvillimi urban</w:t>
            </w:r>
          </w:p>
        </w:tc>
        <w:tc>
          <w:tcPr>
            <w:tcW w:w="389" w:type="pct"/>
            <w:vAlign w:val="center"/>
          </w:tcPr>
          <w:p w14:paraId="31AF7E05"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Projektim i qëndrueshëm urban: Ruajtja dhe restaurimi i zonave të përshkueshme dhe të infiltrimit</w:t>
            </w:r>
          </w:p>
        </w:tc>
        <w:tc>
          <w:tcPr>
            <w:tcW w:w="387" w:type="pct"/>
            <w:vAlign w:val="center"/>
          </w:tcPr>
          <w:p w14:paraId="34825312"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Ndërhyrja e butë</w:t>
            </w:r>
            <w:r w:rsidRPr="00622884">
              <w:rPr>
                <w:rFonts w:ascii="Garamond" w:eastAsia="SimSun" w:hAnsi="Garamond" w:cs="Times New Roman"/>
                <w:b/>
                <w:color w:val="1D3C5A"/>
                <w:sz w:val="10"/>
                <w:lang w:eastAsia="en-US" w:bidi="sq-AL"/>
              </w:rPr>
              <w:t>:</w:t>
            </w:r>
          </w:p>
        </w:tc>
        <w:tc>
          <w:tcPr>
            <w:tcW w:w="1129" w:type="pct"/>
            <w:vAlign w:val="center"/>
          </w:tcPr>
          <w:p w14:paraId="06B9976F"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51.1 Të zhvillohen politika dhe dispozita rregullatore që përcaktojnë një përqindje minimale të sipërfaqeve të përshkueshme nga uji në të gjitha zhvillimet e reja urbane dhe rinovimet e mëdha, ku të përfshihet edhe ndalimi i izolimit të tepërt të sipërfaqes.</w:t>
            </w:r>
            <w:r w:rsidRPr="00622884">
              <w:rPr>
                <w:rFonts w:ascii="Garamond" w:eastAsia="SimSun" w:hAnsi="Garamond" w:cs="Times New Roman"/>
                <w:color w:val="1D3C5A"/>
                <w:sz w:val="10"/>
                <w:lang w:eastAsia="en-US" w:bidi="sq-AL"/>
              </w:rPr>
              <w:br/>
              <w:t>51.2 Të integrohen zgjidhjet e bazuara në natyrë (ZBN) për përshkueshmërinë urbane - të tilla si kanalet biologjike, çatitë e gjelbra, trotuaret e përshkueshme dhe kopshtet e shiut - në kornizat e politikave kombëtare dhe vendore dhe kodet e projektimit urban.</w:t>
            </w:r>
            <w:r w:rsidRPr="00622884">
              <w:rPr>
                <w:rFonts w:ascii="Garamond" w:eastAsia="SimSun" w:hAnsi="Garamond" w:cs="Times New Roman"/>
                <w:color w:val="1D3C5A"/>
                <w:sz w:val="10"/>
                <w:lang w:eastAsia="en-US" w:bidi="sq-AL"/>
              </w:rPr>
              <w:br/>
              <w:t>51.3 Të hartohen dhe miratohen udhëzime kombëtare për përfshirjen e zonave të përshkueshme nga uji dhe karakteristikave të infiltrimit në planifikimin e infrastrukturës dhe punët publike, duke promovuar përdorimin standard të tyre në rrugë, zona parkimi dhe hapësira të hapura.</w:t>
            </w:r>
          </w:p>
        </w:tc>
        <w:tc>
          <w:tcPr>
            <w:tcW w:w="535" w:type="pct"/>
            <w:vAlign w:val="center"/>
          </w:tcPr>
          <w:p w14:paraId="18F33227" w14:textId="77777777" w:rsidR="00622884" w:rsidRPr="00622884" w:rsidRDefault="00622884" w:rsidP="00622884">
            <w:pPr>
              <w:spacing w:after="0" w:line="240" w:lineRule="auto"/>
              <w:jc w:val="center"/>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AGJ</w:t>
            </w:r>
          </w:p>
        </w:tc>
        <w:tc>
          <w:tcPr>
            <w:tcW w:w="938" w:type="pct"/>
            <w:vAlign w:val="center"/>
          </w:tcPr>
          <w:p w14:paraId="44D7B7D1"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1. Numri i politikave ose rregulloreve të planifikimit urban të miratuara që përcaktojnë përqindjet minimale të sipërfaqeve të përshkueshme nga uji në zhvillimet e reja dhe rinovimet e mëdha.</w:t>
            </w:r>
            <w:r w:rsidRPr="00622884">
              <w:rPr>
                <w:rFonts w:ascii="Garamond" w:eastAsia="SimSun" w:hAnsi="Garamond" w:cs="Times New Roman"/>
                <w:color w:val="1D3C5A"/>
                <w:sz w:val="10"/>
                <w:lang w:eastAsia="en-US" w:bidi="sq-AL"/>
              </w:rPr>
              <w:br/>
              <w:t>2. Numri i kornizave të politikave kombëtare ose vendore të përditësuara për të integruar zgjidhje të bazuara në natyrë (p.sh., kane biologjike, çati të gjelbra, kopshte shiu) për përmirësimin e përshkueshmërisë urbane.</w:t>
            </w:r>
            <w:r w:rsidRPr="00622884">
              <w:rPr>
                <w:rFonts w:ascii="Garamond" w:eastAsia="SimSun" w:hAnsi="Garamond" w:cs="Times New Roman"/>
                <w:color w:val="1D3C5A"/>
                <w:sz w:val="10"/>
                <w:lang w:eastAsia="en-US" w:bidi="sq-AL"/>
              </w:rPr>
              <w:br/>
              <w:t>3. Numri i udhëzimeve kombëtare të zhvilluara dhe të miratuara zyrtarisht për integrimin e zonave të përshkueshme nga uji dhe masave të infiltrimit në zhvillimin e infrastrukturës.</w:t>
            </w:r>
          </w:p>
        </w:tc>
        <w:tc>
          <w:tcPr>
            <w:tcW w:w="536" w:type="pct"/>
            <w:vAlign w:val="center"/>
          </w:tcPr>
          <w:p w14:paraId="22B3A8DD"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Ministria e Infrastrukturës dhe Energjisë, Bashkitë</w:t>
            </w:r>
          </w:p>
          <w:p w14:paraId="6161FB41"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p>
        </w:tc>
        <w:tc>
          <w:tcPr>
            <w:tcW w:w="468" w:type="pct"/>
            <w:vAlign w:val="center"/>
          </w:tcPr>
          <w:p w14:paraId="06F0C5B5"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1.200.000</w:t>
            </w:r>
          </w:p>
        </w:tc>
      </w:tr>
      <w:tr w:rsidR="00622884" w:rsidRPr="00622884" w14:paraId="61AFF119" w14:textId="77777777" w:rsidTr="00622884">
        <w:trPr>
          <w:trHeight w:val="567"/>
          <w:jc w:val="center"/>
        </w:trPr>
        <w:tc>
          <w:tcPr>
            <w:tcW w:w="245" w:type="pct"/>
            <w:shd w:val="clear" w:color="auto" w:fill="E0F4F4"/>
            <w:vAlign w:val="center"/>
          </w:tcPr>
          <w:p w14:paraId="112FDF0C" w14:textId="77777777" w:rsidR="00622884" w:rsidRPr="00622884" w:rsidRDefault="00622884" w:rsidP="00622884">
            <w:pPr>
              <w:spacing w:after="0" w:line="240" w:lineRule="auto"/>
              <w:jc w:val="center"/>
              <w:rPr>
                <w:rFonts w:ascii="Garamond" w:eastAsia="SimSun" w:hAnsi="Garamond" w:cs="Calibri Light"/>
                <w:b/>
                <w:bCs/>
                <w:color w:val="1D3C5A"/>
                <w:sz w:val="10"/>
                <w:szCs w:val="16"/>
                <w:lang w:eastAsia="en-US"/>
              </w:rPr>
            </w:pPr>
            <w:r w:rsidRPr="00622884">
              <w:rPr>
                <w:rFonts w:ascii="Garamond" w:eastAsia="SimSun" w:hAnsi="Garamond" w:cs="Times New Roman"/>
                <w:b/>
                <w:color w:val="1D3C5A"/>
                <w:sz w:val="10"/>
                <w:lang w:eastAsia="en-US" w:bidi="sq-AL"/>
              </w:rPr>
              <w:t>52</w:t>
            </w:r>
          </w:p>
        </w:tc>
        <w:tc>
          <w:tcPr>
            <w:tcW w:w="373" w:type="pct"/>
            <w:shd w:val="clear" w:color="auto" w:fill="E0F4F4"/>
            <w:vAlign w:val="center"/>
          </w:tcPr>
          <w:p w14:paraId="748C99D6"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Energjia</w:t>
            </w:r>
          </w:p>
        </w:tc>
        <w:tc>
          <w:tcPr>
            <w:tcW w:w="389" w:type="pct"/>
            <w:shd w:val="clear" w:color="auto" w:fill="E0F4F4"/>
            <w:vAlign w:val="center"/>
          </w:tcPr>
          <w:p w14:paraId="50F695B6"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Mbrojtja e infrastrukturës energjetike nga erërat e forta: Rehabilitimi i nënstacioneve dhe linjave të transmetimit</w:t>
            </w:r>
          </w:p>
        </w:tc>
        <w:tc>
          <w:tcPr>
            <w:tcW w:w="387" w:type="pct"/>
            <w:shd w:val="clear" w:color="auto" w:fill="E0F4F4"/>
            <w:vAlign w:val="center"/>
          </w:tcPr>
          <w:p w14:paraId="1EDA4168"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Ndërhyrja gri</w:t>
            </w:r>
          </w:p>
        </w:tc>
        <w:tc>
          <w:tcPr>
            <w:tcW w:w="1129" w:type="pct"/>
            <w:shd w:val="clear" w:color="auto" w:fill="E0F4F4"/>
            <w:vAlign w:val="center"/>
          </w:tcPr>
          <w:p w14:paraId="360C07E7"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 xml:space="preserve">52.1 Të kryhet një studim mbi nënstacionet elektrike dhe linjat e transmetimit të energjisë të cenueshme dhe të prekura dhe hartimi i ndërhyrjeve për të trajtuar cenueshmëritë e zbuluara. </w:t>
            </w:r>
            <w:r w:rsidRPr="00622884">
              <w:rPr>
                <w:rFonts w:ascii="Garamond" w:eastAsia="SimSun" w:hAnsi="Garamond" w:cs="Times New Roman"/>
                <w:color w:val="1D3C5A"/>
                <w:sz w:val="10"/>
                <w:lang w:eastAsia="en-US" w:bidi="sq-AL"/>
              </w:rPr>
              <w:br/>
              <w:t>52.2 Përmirësimi i kullave të transmetimit nëpërmjet projektimeve rezistente ndaj erës: Të përforcohen ose zëvendësohen kullat e transmetimit me struktura rezistente ndaj erës, duke përdorur materiale dhe projektime që i rezistojnë ngarkesave të larta të erës.</w:t>
            </w:r>
            <w:r w:rsidRPr="00622884">
              <w:rPr>
                <w:rFonts w:ascii="Garamond" w:eastAsia="SimSun" w:hAnsi="Garamond" w:cs="Times New Roman"/>
                <w:color w:val="1D3C5A"/>
                <w:sz w:val="10"/>
                <w:lang w:eastAsia="en-US" w:bidi="sq-AL"/>
              </w:rPr>
              <w:br/>
              <w:t>52.3 Instalimi i izolatorëve dhe kabllove aerodinamike: Të përdoren përçues dhe amortizatorë aerodinamikë për të reduktuar dridhjet e shkaktuara nga era dhe për të minimizuar riskun e lëvizjeve të shpejta ose thyerjes së kabllove.</w:t>
            </w:r>
            <w:r w:rsidRPr="00622884">
              <w:rPr>
                <w:rFonts w:ascii="Garamond" w:eastAsia="SimSun" w:hAnsi="Garamond" w:cs="Times New Roman"/>
                <w:color w:val="1D3C5A"/>
                <w:sz w:val="10"/>
                <w:lang w:eastAsia="en-US" w:bidi="sq-AL"/>
              </w:rPr>
              <w:br/>
              <w:t>52.4 Forcimi i strukturave të nënstacioneve kundër ngarkesave të erës: Të rijetëzohen nënstacionet nëpërmjet përforcimit të çative, vendosjes së barrierave kundër erës dhe ankorimit të sigurt të pajisjeve për të parandaluar dëmtimet nga erërat e forta.</w:t>
            </w:r>
            <w:r w:rsidRPr="00622884">
              <w:rPr>
                <w:rFonts w:ascii="Garamond" w:eastAsia="SimSun" w:hAnsi="Garamond" w:cs="Times New Roman"/>
                <w:color w:val="1D3C5A"/>
                <w:sz w:val="10"/>
                <w:lang w:eastAsia="en-US" w:bidi="sq-AL"/>
              </w:rPr>
              <w:br/>
              <w:t>52.5 Të ngrihen barriera bimore kundër erës rreth infrastrukturës energjetike: Të mbillen rreshta me pemë dhe shkurre me aftësi ripërtëritëse që do të veprojnë si barriera natyrore kundër erës, duke reduktuar shpejtësinë e erës dhe duke mbrojtur linjat e transmetimit dhe nënstacionet.</w:t>
            </w:r>
          </w:p>
        </w:tc>
        <w:tc>
          <w:tcPr>
            <w:tcW w:w="535" w:type="pct"/>
            <w:shd w:val="clear" w:color="auto" w:fill="E0F4F4"/>
            <w:vAlign w:val="center"/>
          </w:tcPr>
          <w:p w14:paraId="0697E996" w14:textId="77777777" w:rsidR="00622884" w:rsidRPr="00622884" w:rsidRDefault="00622884" w:rsidP="00622884">
            <w:pPr>
              <w:spacing w:after="0" w:line="240" w:lineRule="auto"/>
              <w:jc w:val="center"/>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AM</w:t>
            </w:r>
          </w:p>
        </w:tc>
        <w:tc>
          <w:tcPr>
            <w:tcW w:w="938" w:type="pct"/>
            <w:shd w:val="clear" w:color="auto" w:fill="E0F4F4"/>
            <w:vAlign w:val="center"/>
          </w:tcPr>
          <w:p w14:paraId="0CE8C99B"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1. Numri i kullave të transmetimit të përmirësuara falë strukturave rezistente ndaj erës</w:t>
            </w:r>
            <w:r w:rsidRPr="00622884">
              <w:rPr>
                <w:rFonts w:ascii="Garamond" w:eastAsia="SimSun" w:hAnsi="Garamond" w:cs="Times New Roman"/>
                <w:color w:val="1D3C5A"/>
                <w:sz w:val="10"/>
                <w:lang w:eastAsia="en-US" w:bidi="sq-AL"/>
              </w:rPr>
              <w:br/>
              <w:t>2. Numri i përçuesve dhe amortizatorëve aerodinamikë të instaluar për të zvogëluar dridhjet e shkaktuara nga era dhe për të minimizuar riskun e lëvizjeve të shpejta ose thyerjes së kabllove.</w:t>
            </w:r>
            <w:r w:rsidRPr="00622884">
              <w:rPr>
                <w:rFonts w:ascii="Garamond" w:eastAsia="SimSun" w:hAnsi="Garamond" w:cs="Times New Roman"/>
                <w:color w:val="1D3C5A"/>
                <w:sz w:val="10"/>
                <w:lang w:eastAsia="en-US" w:bidi="sq-AL"/>
              </w:rPr>
              <w:br/>
              <w:t>3. Numri i nënstacioneve të pajisur me çati të përforcuara, barriera kundër erës ose ankorim të sigurt të pajisjeve për të parandaluar erërat e fuqishme që shkaktojnë dëmtime të mëdha.</w:t>
            </w:r>
            <w:r w:rsidRPr="00622884">
              <w:rPr>
                <w:rFonts w:ascii="Garamond" w:eastAsia="SimSun" w:hAnsi="Garamond" w:cs="Times New Roman"/>
                <w:color w:val="1D3C5A"/>
                <w:sz w:val="10"/>
                <w:lang w:eastAsia="en-US" w:bidi="sq-AL"/>
              </w:rPr>
              <w:br/>
              <w:t>4. Numri i barrierave bimore kundër erës të ngritura rreth infrastrukturës energjetike për të zvogëluar shpejtësinë e erës dhe për të mbrojtur linjat e transmetimit dhe nënstacionet.</w:t>
            </w:r>
          </w:p>
        </w:tc>
        <w:tc>
          <w:tcPr>
            <w:tcW w:w="536" w:type="pct"/>
            <w:shd w:val="clear" w:color="auto" w:fill="E0F4F4"/>
            <w:vAlign w:val="center"/>
          </w:tcPr>
          <w:p w14:paraId="598AF5EE"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Operatori i Sistemit të Transmetimit në Shqipëri</w:t>
            </w:r>
          </w:p>
        </w:tc>
        <w:tc>
          <w:tcPr>
            <w:tcW w:w="468" w:type="pct"/>
            <w:shd w:val="clear" w:color="auto" w:fill="E0F4F4"/>
            <w:vAlign w:val="center"/>
          </w:tcPr>
          <w:p w14:paraId="43099543"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986.298.000</w:t>
            </w:r>
          </w:p>
        </w:tc>
      </w:tr>
      <w:tr w:rsidR="00622884" w:rsidRPr="00622884" w14:paraId="719B3742" w14:textId="77777777" w:rsidTr="00622884">
        <w:trPr>
          <w:trHeight w:val="567"/>
          <w:jc w:val="center"/>
        </w:trPr>
        <w:tc>
          <w:tcPr>
            <w:tcW w:w="245" w:type="pct"/>
            <w:shd w:val="clear" w:color="auto" w:fill="E0F4F4"/>
            <w:vAlign w:val="center"/>
          </w:tcPr>
          <w:p w14:paraId="35C12A0B" w14:textId="77777777" w:rsidR="00622884" w:rsidRPr="00622884" w:rsidRDefault="00622884" w:rsidP="00622884">
            <w:pPr>
              <w:spacing w:after="0" w:line="240" w:lineRule="auto"/>
              <w:jc w:val="center"/>
              <w:rPr>
                <w:rFonts w:ascii="Garamond" w:eastAsia="SimSun" w:hAnsi="Garamond" w:cs="Calibri Light"/>
                <w:b/>
                <w:bCs/>
                <w:color w:val="1D3C5A"/>
                <w:sz w:val="10"/>
                <w:szCs w:val="16"/>
                <w:lang w:eastAsia="en-US"/>
              </w:rPr>
            </w:pPr>
            <w:r w:rsidRPr="00622884">
              <w:rPr>
                <w:rFonts w:ascii="Garamond" w:eastAsia="SimSun" w:hAnsi="Garamond" w:cs="Times New Roman"/>
                <w:b/>
                <w:color w:val="1D3C5A"/>
                <w:sz w:val="10"/>
                <w:lang w:eastAsia="en-US" w:bidi="sq-AL"/>
              </w:rPr>
              <w:lastRenderedPageBreak/>
              <w:t>53</w:t>
            </w:r>
          </w:p>
        </w:tc>
        <w:tc>
          <w:tcPr>
            <w:tcW w:w="373" w:type="pct"/>
            <w:shd w:val="clear" w:color="auto" w:fill="E0F4F4"/>
            <w:vAlign w:val="center"/>
          </w:tcPr>
          <w:p w14:paraId="4E76B94B"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Energjia</w:t>
            </w:r>
          </w:p>
        </w:tc>
        <w:tc>
          <w:tcPr>
            <w:tcW w:w="389" w:type="pct"/>
            <w:shd w:val="clear" w:color="auto" w:fill="E0F4F4"/>
            <w:vAlign w:val="center"/>
          </w:tcPr>
          <w:p w14:paraId="3BAF4F28"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Përmirësimi i eficiencës së ndërtesave: Certifikatat e performancës së energjisë dhe standardet e qëndrueshmërisë</w:t>
            </w:r>
          </w:p>
        </w:tc>
        <w:tc>
          <w:tcPr>
            <w:tcW w:w="387" w:type="pct"/>
            <w:shd w:val="clear" w:color="auto" w:fill="E0F4F4"/>
            <w:vAlign w:val="center"/>
          </w:tcPr>
          <w:p w14:paraId="4F7C945C"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Ndërhyrja e butë</w:t>
            </w:r>
            <w:r w:rsidRPr="00622884">
              <w:rPr>
                <w:rFonts w:ascii="Garamond" w:eastAsia="SimSun" w:hAnsi="Garamond" w:cs="Times New Roman"/>
                <w:b/>
                <w:color w:val="1D3C5A"/>
                <w:sz w:val="10"/>
                <w:lang w:eastAsia="en-US" w:bidi="sq-AL"/>
              </w:rPr>
              <w:t>:</w:t>
            </w:r>
          </w:p>
        </w:tc>
        <w:tc>
          <w:tcPr>
            <w:tcW w:w="1129" w:type="pct"/>
            <w:shd w:val="clear" w:color="auto" w:fill="E0F4F4"/>
            <w:vAlign w:val="center"/>
          </w:tcPr>
          <w:p w14:paraId="79547DA9"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53.1 Të zhvillohet një kuadër kombëtar për Certifikimin e Performancës Energjitike (CPE), duke përfshirë kriteret e klasifikimit, metodologjinë e vlerësimit dhe procedurat e pajtueshmërisë.</w:t>
            </w:r>
            <w:r w:rsidRPr="00622884">
              <w:rPr>
                <w:rFonts w:ascii="Garamond" w:eastAsia="SimSun" w:hAnsi="Garamond" w:cs="Times New Roman"/>
                <w:color w:val="1D3C5A"/>
                <w:sz w:val="10"/>
                <w:lang w:eastAsia="en-US" w:bidi="sq-AL"/>
              </w:rPr>
              <w:br/>
              <w:t>53.2 Të zhvillohen dhe të miratohen standardet e ndërtesave me aftësi ripërtëritëse ndaj klimës, duke përfshirë eficiencën energjetike, ftohjen pasive, menaxhimin e ujit dhe qëndrueshmërinë e materialeve ndaj ngjarjeve ekstreme të motit.</w:t>
            </w:r>
            <w:r w:rsidRPr="00622884">
              <w:rPr>
                <w:rFonts w:ascii="Garamond" w:eastAsia="SimSun" w:hAnsi="Garamond" w:cs="Times New Roman"/>
                <w:color w:val="1D3C5A"/>
                <w:sz w:val="10"/>
                <w:lang w:eastAsia="en-US" w:bidi="sq-AL"/>
              </w:rPr>
              <w:br/>
              <w:t>53.3 Të ofrohen udhëzime dhe trajnime teknike për inxhinierët, arkitektët dhe profesionistët e ndërtimit rreth zbatimit të CPE-ve dhe të standardeve të projektimit me aftësi ripërtëritëse ndaj klimës.</w:t>
            </w:r>
          </w:p>
        </w:tc>
        <w:tc>
          <w:tcPr>
            <w:tcW w:w="535" w:type="pct"/>
            <w:shd w:val="clear" w:color="auto" w:fill="E0F4F4"/>
            <w:vAlign w:val="center"/>
          </w:tcPr>
          <w:p w14:paraId="3965C058" w14:textId="77777777" w:rsidR="00622884" w:rsidRPr="00622884" w:rsidRDefault="00622884" w:rsidP="00622884">
            <w:pPr>
              <w:spacing w:after="0" w:line="240" w:lineRule="auto"/>
              <w:jc w:val="center"/>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AM</w:t>
            </w:r>
          </w:p>
        </w:tc>
        <w:tc>
          <w:tcPr>
            <w:tcW w:w="938" w:type="pct"/>
            <w:shd w:val="clear" w:color="auto" w:fill="E0F4F4"/>
            <w:vAlign w:val="center"/>
          </w:tcPr>
          <w:p w14:paraId="0F90C4DE"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1. Numri i ndërtesave të lëshuara me certifikatën e performancës energjetike (CPE) në përputhje me kuadrin kombëtar.</w:t>
            </w:r>
            <w:r w:rsidRPr="00622884">
              <w:rPr>
                <w:rFonts w:ascii="Garamond" w:eastAsia="SimSun" w:hAnsi="Garamond" w:cs="Times New Roman"/>
                <w:color w:val="1D3C5A"/>
                <w:sz w:val="10"/>
                <w:lang w:eastAsia="en-US" w:bidi="sq-AL"/>
              </w:rPr>
              <w:br/>
              <w:t>2. Numri i standardeve të ndërtesave me aftësi ripërtëritëse ndaj klimës të zhvilluara dhe të miratuara zyrtarisht, që trajtojnë eficiencën e energjisë, ftohjen pasive dhe aftësitë ripërtëritëse të materialeve.</w:t>
            </w:r>
            <w:r w:rsidRPr="00622884">
              <w:rPr>
                <w:rFonts w:ascii="Garamond" w:eastAsia="SimSun" w:hAnsi="Garamond" w:cs="Times New Roman"/>
                <w:color w:val="1D3C5A"/>
                <w:sz w:val="10"/>
                <w:lang w:eastAsia="en-US" w:bidi="sq-AL"/>
              </w:rPr>
              <w:br/>
              <w:t>3. Numri i profesionistëve (inxhinierë, arkitektë, ndërtues) të trajnuar mbi zbatimin e CPE-së dhe standardet e projektimit me aftësi ripërtëritëse ndaj klimës.</w:t>
            </w:r>
          </w:p>
        </w:tc>
        <w:tc>
          <w:tcPr>
            <w:tcW w:w="536" w:type="pct"/>
            <w:shd w:val="clear" w:color="auto" w:fill="E0F4F4"/>
            <w:vAlign w:val="center"/>
          </w:tcPr>
          <w:p w14:paraId="3FDD2468"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Ministria e Infrastrukturës dhe Energjisë</w:t>
            </w:r>
          </w:p>
        </w:tc>
        <w:tc>
          <w:tcPr>
            <w:tcW w:w="468" w:type="pct"/>
            <w:shd w:val="clear" w:color="auto" w:fill="E0F4F4"/>
            <w:vAlign w:val="center"/>
          </w:tcPr>
          <w:p w14:paraId="21CA869F"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3.500.000</w:t>
            </w:r>
          </w:p>
        </w:tc>
      </w:tr>
      <w:tr w:rsidR="00622884" w:rsidRPr="00622884" w14:paraId="4815FF8F" w14:textId="77777777" w:rsidTr="00622884">
        <w:trPr>
          <w:trHeight w:val="567"/>
          <w:jc w:val="center"/>
        </w:trPr>
        <w:tc>
          <w:tcPr>
            <w:tcW w:w="245" w:type="pct"/>
            <w:shd w:val="clear" w:color="auto" w:fill="E0F4F4"/>
            <w:vAlign w:val="center"/>
          </w:tcPr>
          <w:p w14:paraId="6AA3D357" w14:textId="77777777" w:rsidR="00622884" w:rsidRPr="00622884" w:rsidRDefault="00622884" w:rsidP="00622884">
            <w:pPr>
              <w:spacing w:after="0" w:line="240" w:lineRule="auto"/>
              <w:jc w:val="center"/>
              <w:rPr>
                <w:rFonts w:ascii="Garamond" w:eastAsia="SimSun" w:hAnsi="Garamond" w:cs="Calibri Light"/>
                <w:b/>
                <w:bCs/>
                <w:color w:val="1D3C5A"/>
                <w:sz w:val="10"/>
                <w:szCs w:val="16"/>
                <w:lang w:eastAsia="en-US"/>
              </w:rPr>
            </w:pPr>
            <w:r w:rsidRPr="00622884">
              <w:rPr>
                <w:rFonts w:ascii="Garamond" w:eastAsia="SimSun" w:hAnsi="Garamond" w:cs="Times New Roman"/>
                <w:b/>
                <w:color w:val="1D3C5A"/>
                <w:sz w:val="10"/>
                <w:lang w:eastAsia="en-US" w:bidi="sq-AL"/>
              </w:rPr>
              <w:t>54</w:t>
            </w:r>
          </w:p>
        </w:tc>
        <w:tc>
          <w:tcPr>
            <w:tcW w:w="373" w:type="pct"/>
            <w:shd w:val="clear" w:color="auto" w:fill="E0F4F4"/>
            <w:vAlign w:val="center"/>
          </w:tcPr>
          <w:p w14:paraId="29EF8DE5"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Energjia</w:t>
            </w:r>
          </w:p>
        </w:tc>
        <w:tc>
          <w:tcPr>
            <w:tcW w:w="389" w:type="pct"/>
            <w:shd w:val="clear" w:color="auto" w:fill="E0F4F4"/>
            <w:vAlign w:val="center"/>
          </w:tcPr>
          <w:p w14:paraId="66234323"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Eksplorimi i potencialit të sektorit të energjisë: Studime për menaxhimin e kërkesës dhe ruajtjen e energjisë</w:t>
            </w:r>
          </w:p>
        </w:tc>
        <w:tc>
          <w:tcPr>
            <w:tcW w:w="387" w:type="pct"/>
            <w:shd w:val="clear" w:color="auto" w:fill="E0F4F4"/>
            <w:vAlign w:val="center"/>
          </w:tcPr>
          <w:p w14:paraId="71D37159"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Ndërhyrja e butë</w:t>
            </w:r>
            <w:r w:rsidRPr="00622884">
              <w:rPr>
                <w:rFonts w:ascii="Garamond" w:eastAsia="SimSun" w:hAnsi="Garamond" w:cs="Times New Roman"/>
                <w:b/>
                <w:color w:val="1D3C5A"/>
                <w:sz w:val="10"/>
                <w:lang w:eastAsia="en-US" w:bidi="sq-AL"/>
              </w:rPr>
              <w:t>:</w:t>
            </w:r>
          </w:p>
        </w:tc>
        <w:tc>
          <w:tcPr>
            <w:tcW w:w="1129" w:type="pct"/>
            <w:shd w:val="clear" w:color="auto" w:fill="E0F4F4"/>
            <w:vAlign w:val="center"/>
          </w:tcPr>
          <w:p w14:paraId="57B06927"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54.1 Të kryhet një vlerësim në nivel kombëtar i modeleve aktuale të kërkesës për energji elektrike, duke identifikuar mundësitë për menaxhimin e kërkesës dhe ruajtjen e energjisë për t’iu përgjigjur streseve në sistemin energjetik të shkaktuara nga klima.</w:t>
            </w:r>
            <w:r w:rsidRPr="00622884">
              <w:rPr>
                <w:rFonts w:ascii="Garamond" w:eastAsia="SimSun" w:hAnsi="Garamond" w:cs="Times New Roman"/>
                <w:color w:val="1D3C5A"/>
                <w:sz w:val="10"/>
                <w:lang w:eastAsia="en-US" w:bidi="sq-AL"/>
              </w:rPr>
              <w:br/>
              <w:t>54.2 Të analizohet potenciali teknik dhe ekonomik i teknologjive të ndryshme të ruajtjes së energjisë në skenarë të ndryshëm klimatikë.</w:t>
            </w:r>
            <w:r w:rsidRPr="00622884">
              <w:rPr>
                <w:rFonts w:ascii="Garamond" w:eastAsia="SimSun" w:hAnsi="Garamond" w:cs="Times New Roman"/>
                <w:color w:val="1D3C5A"/>
                <w:sz w:val="10"/>
                <w:lang w:eastAsia="en-US" w:bidi="sq-AL"/>
              </w:rPr>
              <w:br/>
              <w:t>54.3 Të identifikohen dhe të prioritizohen ndërhyrjet për të rritur fleksibilitetin e rrjetit të energjisë, duke përfshirë përmirësimin e infrastrukturës, masat rregullatore dhe skemat e nxitjes për menaxhimin e kërkesës dhe integrimin e magazinimit.</w:t>
            </w:r>
          </w:p>
        </w:tc>
        <w:tc>
          <w:tcPr>
            <w:tcW w:w="535" w:type="pct"/>
            <w:shd w:val="clear" w:color="auto" w:fill="E0F4F4"/>
            <w:vAlign w:val="center"/>
          </w:tcPr>
          <w:p w14:paraId="25BEE6E5" w14:textId="77777777" w:rsidR="00622884" w:rsidRPr="00622884" w:rsidRDefault="00622884" w:rsidP="00622884">
            <w:pPr>
              <w:spacing w:after="0" w:line="240" w:lineRule="auto"/>
              <w:jc w:val="center"/>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AM</w:t>
            </w:r>
          </w:p>
        </w:tc>
        <w:tc>
          <w:tcPr>
            <w:tcW w:w="938" w:type="pct"/>
            <w:shd w:val="clear" w:color="auto" w:fill="E0F4F4"/>
            <w:vAlign w:val="center"/>
          </w:tcPr>
          <w:p w14:paraId="27AC9DFC"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1. Përfundimi i raportit kombëtar të vlerësimit që identifikon modelet e kërkesës për energji elektrike dhe mundësitë për menaxhimin dhe ruajtjen e kërkesës në skenarë të stresit klimatik.</w:t>
            </w:r>
            <w:r w:rsidRPr="00622884">
              <w:rPr>
                <w:rFonts w:ascii="Garamond" w:eastAsia="SimSun" w:hAnsi="Garamond" w:cs="Times New Roman"/>
                <w:color w:val="1D3C5A"/>
                <w:sz w:val="10"/>
                <w:lang w:eastAsia="en-US" w:bidi="sq-AL"/>
              </w:rPr>
              <w:br/>
              <w:t>2. Numri i teknologjive të ruajtjes së energjisë të vlerësuara për fizibilitetin teknik dhe ekonomik në skenarë të shumtë të risqeve që lidhen me klimën.</w:t>
            </w:r>
            <w:r w:rsidRPr="00622884">
              <w:rPr>
                <w:rFonts w:ascii="Garamond" w:eastAsia="SimSun" w:hAnsi="Garamond" w:cs="Times New Roman"/>
                <w:color w:val="1D3C5A"/>
                <w:sz w:val="10"/>
                <w:lang w:eastAsia="en-US" w:bidi="sq-AL"/>
              </w:rPr>
              <w:br/>
              <w:t>3. Finalizimi i listës së ndërhyrjeve prioritare për rritjen e fleksibilitetit të rrjetit, duke përfshirë mekanizmat e infrastrukturës, rregullatorë dhe financiarë për integrimin e masave të ruajtjes dhe të kërkesës.</w:t>
            </w:r>
          </w:p>
        </w:tc>
        <w:tc>
          <w:tcPr>
            <w:tcW w:w="536" w:type="pct"/>
            <w:shd w:val="clear" w:color="auto" w:fill="E0F4F4"/>
            <w:vAlign w:val="center"/>
          </w:tcPr>
          <w:p w14:paraId="24358844"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Ministria e Infrastrukturës dhe Energjisë</w:t>
            </w:r>
          </w:p>
        </w:tc>
        <w:tc>
          <w:tcPr>
            <w:tcW w:w="468" w:type="pct"/>
            <w:shd w:val="clear" w:color="auto" w:fill="E0F4F4"/>
            <w:vAlign w:val="center"/>
          </w:tcPr>
          <w:p w14:paraId="34B969A0"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2.900.000</w:t>
            </w:r>
          </w:p>
        </w:tc>
      </w:tr>
      <w:tr w:rsidR="00622884" w:rsidRPr="00622884" w14:paraId="264775B0" w14:textId="77777777" w:rsidTr="00622884">
        <w:trPr>
          <w:trHeight w:val="56"/>
          <w:jc w:val="center"/>
        </w:trPr>
        <w:tc>
          <w:tcPr>
            <w:tcW w:w="245" w:type="pct"/>
            <w:shd w:val="clear" w:color="auto" w:fill="E0F4F4"/>
            <w:vAlign w:val="center"/>
          </w:tcPr>
          <w:p w14:paraId="0EF9E206" w14:textId="77777777" w:rsidR="00622884" w:rsidRPr="00622884" w:rsidRDefault="00622884" w:rsidP="00622884">
            <w:pPr>
              <w:spacing w:after="0" w:line="240" w:lineRule="auto"/>
              <w:jc w:val="center"/>
              <w:rPr>
                <w:rFonts w:ascii="Garamond" w:eastAsia="SimSun" w:hAnsi="Garamond" w:cs="Calibri Light"/>
                <w:b/>
                <w:bCs/>
                <w:color w:val="1D3C5A"/>
                <w:sz w:val="10"/>
                <w:szCs w:val="16"/>
                <w:lang w:eastAsia="en-US"/>
              </w:rPr>
            </w:pPr>
            <w:r w:rsidRPr="00622884">
              <w:rPr>
                <w:rFonts w:ascii="Garamond" w:eastAsia="SimSun" w:hAnsi="Garamond" w:cs="Times New Roman"/>
                <w:b/>
                <w:color w:val="1D3C5A"/>
                <w:sz w:val="10"/>
                <w:lang w:eastAsia="en-US" w:bidi="sq-AL"/>
              </w:rPr>
              <w:t>55</w:t>
            </w:r>
          </w:p>
        </w:tc>
        <w:tc>
          <w:tcPr>
            <w:tcW w:w="373" w:type="pct"/>
            <w:shd w:val="clear" w:color="auto" w:fill="E0F4F4"/>
            <w:vAlign w:val="center"/>
          </w:tcPr>
          <w:p w14:paraId="2360C830"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Energjia</w:t>
            </w:r>
          </w:p>
        </w:tc>
        <w:tc>
          <w:tcPr>
            <w:tcW w:w="389" w:type="pct"/>
            <w:shd w:val="clear" w:color="auto" w:fill="E0F4F4"/>
            <w:vAlign w:val="center"/>
          </w:tcPr>
          <w:p w14:paraId="52ECA244"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Mbrojtja e infrastrukturës energjetike: Monitorimi i zonave të emergjencës dhe riskut</w:t>
            </w:r>
          </w:p>
        </w:tc>
        <w:tc>
          <w:tcPr>
            <w:tcW w:w="387" w:type="pct"/>
            <w:shd w:val="clear" w:color="auto" w:fill="E0F4F4"/>
            <w:vAlign w:val="center"/>
          </w:tcPr>
          <w:p w14:paraId="5B19F9D2"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Ndërhyrja e butë</w:t>
            </w:r>
            <w:r w:rsidRPr="00622884">
              <w:rPr>
                <w:rFonts w:ascii="Garamond" w:eastAsia="SimSun" w:hAnsi="Garamond" w:cs="Times New Roman"/>
                <w:b/>
                <w:color w:val="1D3C5A"/>
                <w:sz w:val="10"/>
                <w:lang w:eastAsia="en-US" w:bidi="sq-AL"/>
              </w:rPr>
              <w:t>:</w:t>
            </w:r>
          </w:p>
        </w:tc>
        <w:tc>
          <w:tcPr>
            <w:tcW w:w="1129" w:type="pct"/>
            <w:shd w:val="clear" w:color="auto" w:fill="E0F4F4"/>
            <w:vAlign w:val="center"/>
          </w:tcPr>
          <w:p w14:paraId="0E91D571"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55.1 Të identifikohen dhe të hartëzohen pikat e infrastrukturës energjetike të ekspozuara ndaj risqeve që lidhen me klimën, duke u dhënë përparësi objekteve kritike.</w:t>
            </w:r>
            <w:r w:rsidRPr="00622884">
              <w:rPr>
                <w:rFonts w:ascii="Garamond" w:eastAsia="SimSun" w:hAnsi="Garamond" w:cs="Times New Roman"/>
                <w:color w:val="1D3C5A"/>
                <w:sz w:val="10"/>
                <w:lang w:eastAsia="en-US" w:bidi="sq-AL"/>
              </w:rPr>
              <w:br/>
              <w:t>55.2 Të zhvillohet dhe të zbatohet një protokoll monitorimi i bazuar në risk për pikat e identifikuara, duke përfshirë treguesit e paralajmërimit të hershëm dhe pragun për reagimin ndaj emergjencave.</w:t>
            </w:r>
            <w:r w:rsidRPr="00622884">
              <w:rPr>
                <w:rFonts w:ascii="Garamond" w:eastAsia="SimSun" w:hAnsi="Garamond" w:cs="Times New Roman"/>
                <w:color w:val="1D3C5A"/>
                <w:sz w:val="10"/>
                <w:lang w:eastAsia="en-US" w:bidi="sq-AL"/>
              </w:rPr>
              <w:br/>
              <w:t>55.3 Të ngrihet një sistem i centralizuar i të dhënave për mbledhjen dhe menaxhimin e informacionit në kohë reale mbi risqet mjedisore që ndikojnë në infrastrukturën energjetike, duke siguruar aksesin e autoriteteve përkatëse për vendimmarrje të shpejtë.</w:t>
            </w:r>
          </w:p>
        </w:tc>
        <w:tc>
          <w:tcPr>
            <w:tcW w:w="535" w:type="pct"/>
            <w:shd w:val="clear" w:color="auto" w:fill="E0F4F4"/>
            <w:vAlign w:val="center"/>
          </w:tcPr>
          <w:p w14:paraId="0BB615F6" w14:textId="77777777" w:rsidR="00622884" w:rsidRPr="00622884" w:rsidRDefault="00622884" w:rsidP="00622884">
            <w:pPr>
              <w:spacing w:after="0" w:line="240" w:lineRule="auto"/>
              <w:jc w:val="center"/>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ASH</w:t>
            </w:r>
          </w:p>
        </w:tc>
        <w:tc>
          <w:tcPr>
            <w:tcW w:w="938" w:type="pct"/>
            <w:shd w:val="clear" w:color="auto" w:fill="E0F4F4"/>
            <w:vAlign w:val="center"/>
          </w:tcPr>
          <w:p w14:paraId="637543E6"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1. Përqindja e pikave kritike të infrastrukturës energjetike të hartëzuara dhe klasifikuara sipas nivelit të ekspozimit ndaj risqeve që lidhen me klimën.</w:t>
            </w:r>
            <w:r w:rsidRPr="00622884">
              <w:rPr>
                <w:rFonts w:ascii="Garamond" w:eastAsia="SimSun" w:hAnsi="Garamond" w:cs="Times New Roman"/>
                <w:color w:val="1D3C5A"/>
                <w:sz w:val="10"/>
                <w:lang w:eastAsia="en-US" w:bidi="sq-AL"/>
              </w:rPr>
              <w:br/>
              <w:t>2. Numri i pikave të infrastrukturës energjetike që ndjekin një protokoll monitorimi të bazuar në risqet operative, ku përfshihen pragjet e paralajmërimit të hershëm.</w:t>
            </w:r>
            <w:r w:rsidRPr="00622884">
              <w:rPr>
                <w:rFonts w:ascii="Garamond" w:eastAsia="SimSun" w:hAnsi="Garamond" w:cs="Times New Roman"/>
                <w:color w:val="1D3C5A"/>
                <w:sz w:val="10"/>
                <w:lang w:eastAsia="en-US" w:bidi="sq-AL"/>
              </w:rPr>
              <w:br/>
              <w:t>3. Sistemi i centralizuar i të dhënave për monitorimin në kohë reale të risqeve mjedisore që ndikojnë në infrastrukturën energjetike është funksional dhe i aksesueshëm nga autoritetet e caktuara.</w:t>
            </w:r>
          </w:p>
        </w:tc>
        <w:tc>
          <w:tcPr>
            <w:tcW w:w="536" w:type="pct"/>
            <w:shd w:val="clear" w:color="auto" w:fill="E0F4F4"/>
            <w:vAlign w:val="center"/>
          </w:tcPr>
          <w:p w14:paraId="24BABDFA"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Ministria e Infrastrukturës dhe Energjisë</w:t>
            </w:r>
          </w:p>
        </w:tc>
        <w:tc>
          <w:tcPr>
            <w:tcW w:w="468" w:type="pct"/>
            <w:shd w:val="clear" w:color="auto" w:fill="E0F4F4"/>
            <w:vAlign w:val="center"/>
          </w:tcPr>
          <w:p w14:paraId="2B16D71E"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875 000</w:t>
            </w:r>
          </w:p>
        </w:tc>
      </w:tr>
      <w:tr w:rsidR="00622884" w:rsidRPr="00622884" w14:paraId="79A3776B" w14:textId="77777777" w:rsidTr="00622884">
        <w:trPr>
          <w:trHeight w:val="567"/>
          <w:jc w:val="center"/>
        </w:trPr>
        <w:tc>
          <w:tcPr>
            <w:tcW w:w="245" w:type="pct"/>
            <w:shd w:val="clear" w:color="auto" w:fill="E0F4F4"/>
            <w:vAlign w:val="center"/>
          </w:tcPr>
          <w:p w14:paraId="1E7AA7F9" w14:textId="77777777" w:rsidR="00622884" w:rsidRPr="00622884" w:rsidRDefault="00622884" w:rsidP="00622884">
            <w:pPr>
              <w:spacing w:after="0" w:line="240" w:lineRule="auto"/>
              <w:jc w:val="center"/>
              <w:rPr>
                <w:rFonts w:ascii="Garamond" w:eastAsia="SimSun" w:hAnsi="Garamond" w:cs="Calibri Light"/>
                <w:b/>
                <w:bCs/>
                <w:color w:val="1D3C5A"/>
                <w:sz w:val="10"/>
                <w:szCs w:val="16"/>
                <w:lang w:eastAsia="en-US"/>
              </w:rPr>
            </w:pPr>
            <w:r w:rsidRPr="00622884">
              <w:rPr>
                <w:rFonts w:ascii="Garamond" w:eastAsia="SimSun" w:hAnsi="Garamond" w:cs="Times New Roman"/>
                <w:b/>
                <w:color w:val="1D3C5A"/>
                <w:sz w:val="10"/>
                <w:lang w:eastAsia="en-US" w:bidi="sq-AL"/>
              </w:rPr>
              <w:t>56</w:t>
            </w:r>
          </w:p>
        </w:tc>
        <w:tc>
          <w:tcPr>
            <w:tcW w:w="373" w:type="pct"/>
            <w:shd w:val="clear" w:color="auto" w:fill="E0F4F4"/>
            <w:vAlign w:val="center"/>
          </w:tcPr>
          <w:p w14:paraId="628AB66C"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Energjia</w:t>
            </w:r>
          </w:p>
        </w:tc>
        <w:tc>
          <w:tcPr>
            <w:tcW w:w="389" w:type="pct"/>
            <w:shd w:val="clear" w:color="auto" w:fill="E0F4F4"/>
            <w:vAlign w:val="center"/>
          </w:tcPr>
          <w:p w14:paraId="7E854B8F"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 xml:space="preserve">Përmirësimi i aftësive ripërtëritëse ndaj valës së të nxehtit përmes vendosjes efikase të teknologjisë së kondicionimit të ajrit dhe strehëve për mbrojtje ndaj ndryshimeve klimatike </w:t>
            </w:r>
          </w:p>
        </w:tc>
        <w:tc>
          <w:tcPr>
            <w:tcW w:w="387" w:type="pct"/>
            <w:shd w:val="clear" w:color="auto" w:fill="E0F4F4"/>
            <w:vAlign w:val="center"/>
          </w:tcPr>
          <w:p w14:paraId="5AB0B697"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Ndërhyrja e butë</w:t>
            </w:r>
            <w:r w:rsidRPr="00622884">
              <w:rPr>
                <w:rFonts w:ascii="Garamond" w:eastAsia="SimSun" w:hAnsi="Garamond" w:cs="Times New Roman"/>
                <w:b/>
                <w:color w:val="1D3C5A"/>
                <w:sz w:val="10"/>
                <w:lang w:eastAsia="en-US" w:bidi="sq-AL"/>
              </w:rPr>
              <w:t>:</w:t>
            </w:r>
          </w:p>
        </w:tc>
        <w:tc>
          <w:tcPr>
            <w:tcW w:w="1129" w:type="pct"/>
            <w:shd w:val="clear" w:color="auto" w:fill="E0F4F4"/>
            <w:vAlign w:val="center"/>
          </w:tcPr>
          <w:p w14:paraId="4859B29F"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56.1 Të ofrohet mbështetje financiare dhe teknike për instalimin e sistemeve të ajrit të kondicionuar me eficiencë energjie në ndërtesat në bashki që kanë ekspozim të lartë ndaj nxehtësisë ekstreme, duke i dhënë prioritet atyre të identifikuara në Planet Vendore të Përshtatjes (PVP).</w:t>
            </w:r>
            <w:r w:rsidRPr="00622884">
              <w:rPr>
                <w:rFonts w:ascii="Garamond" w:eastAsia="SimSun" w:hAnsi="Garamond" w:cs="Times New Roman"/>
                <w:color w:val="1D3C5A"/>
                <w:sz w:val="10"/>
                <w:lang w:eastAsia="en-US" w:bidi="sq-AL"/>
              </w:rPr>
              <w:br/>
              <w:t>56.2 Të mbështetet zbatimi i masave të rikonstruksionit për izolim termik të përmirësuar dhe ftohje pasive, siç përshkruhet në Planin Kombëtar të Përshtatjes (NAP), duke i kushtuar vëmendje të veçantë familjeve të cenueshme dhe shërbimeve thelbësore.</w:t>
            </w:r>
            <w:r w:rsidRPr="00622884">
              <w:rPr>
                <w:rFonts w:ascii="Garamond" w:eastAsia="SimSun" w:hAnsi="Garamond" w:cs="Times New Roman"/>
                <w:color w:val="1D3C5A"/>
                <w:sz w:val="10"/>
                <w:lang w:eastAsia="en-US" w:bidi="sq-AL"/>
              </w:rPr>
              <w:br/>
              <w:t>56.3 Të identifikohen dhe të hartëzohen strehët publike të mundshme për klimën, ku përfshihen bibliotekat, qendrat komunitare dhe hapësirat e gjelbra të mbrojtura nga dielli, duke siguruar mbulim gjeografik të drejtë dhe aksesueshmëri për grupet e cenueshme.</w:t>
            </w:r>
            <w:r w:rsidRPr="00622884">
              <w:rPr>
                <w:rFonts w:ascii="Garamond" w:eastAsia="SimSun" w:hAnsi="Garamond" w:cs="Times New Roman"/>
                <w:color w:val="1D3C5A"/>
                <w:sz w:val="10"/>
                <w:lang w:eastAsia="en-US" w:bidi="sq-AL"/>
              </w:rPr>
              <w:br/>
              <w:t>56.4 Të promovohet krijimi dhe përmirësimi i hapësirave publike urbane si streha klimatike, përmes integrimit të bimësisë, elementeve të ujit, strukturave që krijojnë hije dhe parimeve të projektimit me aftësi ripërtëritëse ndaj nxehtësisë.</w:t>
            </w:r>
          </w:p>
        </w:tc>
        <w:tc>
          <w:tcPr>
            <w:tcW w:w="535" w:type="pct"/>
            <w:shd w:val="clear" w:color="auto" w:fill="E0F4F4"/>
            <w:vAlign w:val="center"/>
          </w:tcPr>
          <w:p w14:paraId="34264997" w14:textId="77777777" w:rsidR="00622884" w:rsidRPr="00622884" w:rsidRDefault="00622884" w:rsidP="00622884">
            <w:pPr>
              <w:spacing w:after="0" w:line="240" w:lineRule="auto"/>
              <w:jc w:val="center"/>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AGJ</w:t>
            </w:r>
          </w:p>
        </w:tc>
        <w:tc>
          <w:tcPr>
            <w:tcW w:w="938" w:type="pct"/>
            <w:shd w:val="clear" w:color="auto" w:fill="E0F4F4"/>
            <w:vAlign w:val="center"/>
          </w:tcPr>
          <w:p w14:paraId="3BE1F8CD"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1. Numri i ndërtesave të pajisura me sisteme të ajrit të kondicionuar me eficiencë energjie në bashkitë me rrezik nga nxehtësia.</w:t>
            </w:r>
            <w:r w:rsidRPr="00622884">
              <w:rPr>
                <w:rFonts w:ascii="Garamond" w:eastAsia="SimSun" w:hAnsi="Garamond" w:cs="Times New Roman"/>
                <w:color w:val="1D3C5A"/>
                <w:sz w:val="10"/>
                <w:lang w:eastAsia="en-US" w:bidi="sq-AL"/>
              </w:rPr>
              <w:br/>
              <w:t>2. Numri i familjeve të cenueshme dhe ndërtesave të shërbimeve thelbësore të rimodeluara për komoditet termik.</w:t>
            </w:r>
            <w:r w:rsidRPr="00622884">
              <w:rPr>
                <w:rFonts w:ascii="Garamond" w:eastAsia="SimSun" w:hAnsi="Garamond" w:cs="Times New Roman"/>
                <w:color w:val="1D3C5A"/>
                <w:sz w:val="10"/>
                <w:lang w:eastAsia="en-US" w:bidi="sq-AL"/>
              </w:rPr>
              <w:br/>
              <w:t>3. Numri i strehëve publike klimatike të identifikuara, të hartëzuara dhe të aksesueshme.</w:t>
            </w:r>
            <w:r w:rsidRPr="00622884">
              <w:rPr>
                <w:rFonts w:ascii="Garamond" w:eastAsia="SimSun" w:hAnsi="Garamond" w:cs="Times New Roman"/>
                <w:color w:val="1D3C5A"/>
                <w:sz w:val="10"/>
                <w:lang w:eastAsia="en-US" w:bidi="sq-AL"/>
              </w:rPr>
              <w:br/>
              <w:t xml:space="preserve">4. Sipërfaqja (në m²) e hapësirës publike urbane e përmirësuar me bimësi, elemente uji ose struktura hijeje. </w:t>
            </w:r>
          </w:p>
        </w:tc>
        <w:tc>
          <w:tcPr>
            <w:tcW w:w="536" w:type="pct"/>
            <w:shd w:val="clear" w:color="auto" w:fill="E0F4F4"/>
            <w:vAlign w:val="center"/>
          </w:tcPr>
          <w:p w14:paraId="6712AD3B"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Ministria e Infrastrukturës dhe Energjisë, Bashkitë</w:t>
            </w:r>
          </w:p>
        </w:tc>
        <w:tc>
          <w:tcPr>
            <w:tcW w:w="468" w:type="pct"/>
            <w:shd w:val="clear" w:color="auto" w:fill="E0F4F4"/>
            <w:vAlign w:val="center"/>
          </w:tcPr>
          <w:p w14:paraId="528CABB1"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38.200.000</w:t>
            </w:r>
          </w:p>
        </w:tc>
      </w:tr>
      <w:tr w:rsidR="00622884" w:rsidRPr="00622884" w14:paraId="01C202F9" w14:textId="77777777" w:rsidTr="00622884">
        <w:trPr>
          <w:trHeight w:val="567"/>
          <w:jc w:val="center"/>
        </w:trPr>
        <w:tc>
          <w:tcPr>
            <w:tcW w:w="245" w:type="pct"/>
            <w:shd w:val="clear" w:color="auto" w:fill="E0F4F4"/>
            <w:vAlign w:val="center"/>
          </w:tcPr>
          <w:p w14:paraId="0F294713" w14:textId="77777777" w:rsidR="00622884" w:rsidRPr="00622884" w:rsidRDefault="00622884" w:rsidP="00622884">
            <w:pPr>
              <w:spacing w:after="0" w:line="240" w:lineRule="auto"/>
              <w:jc w:val="center"/>
              <w:rPr>
                <w:rFonts w:ascii="Garamond" w:eastAsia="SimSun" w:hAnsi="Garamond" w:cs="Calibri Light"/>
                <w:b/>
                <w:bCs/>
                <w:color w:val="1D3C5A"/>
                <w:sz w:val="10"/>
                <w:szCs w:val="16"/>
                <w:lang w:eastAsia="en-US"/>
              </w:rPr>
            </w:pPr>
            <w:r w:rsidRPr="00622884">
              <w:rPr>
                <w:rFonts w:ascii="Garamond" w:eastAsia="SimSun" w:hAnsi="Garamond" w:cs="Times New Roman"/>
                <w:b/>
                <w:color w:val="1D3C5A"/>
                <w:sz w:val="10"/>
                <w:lang w:eastAsia="en-US" w:bidi="sq-AL"/>
              </w:rPr>
              <w:t>57</w:t>
            </w:r>
          </w:p>
        </w:tc>
        <w:tc>
          <w:tcPr>
            <w:tcW w:w="373" w:type="pct"/>
            <w:shd w:val="clear" w:color="auto" w:fill="E0F4F4"/>
            <w:vAlign w:val="center"/>
          </w:tcPr>
          <w:p w14:paraId="3D98597A"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Energjia</w:t>
            </w:r>
          </w:p>
        </w:tc>
        <w:tc>
          <w:tcPr>
            <w:tcW w:w="389" w:type="pct"/>
            <w:shd w:val="clear" w:color="auto" w:fill="E0F4F4"/>
            <w:vAlign w:val="center"/>
          </w:tcPr>
          <w:p w14:paraId="18AD724B"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Optimizimi i energjisë së rinovueshme për sisteme me aftësi ripërtëritëse: Investime në inovacionin e rrjetit dhe magazinimin</w:t>
            </w:r>
          </w:p>
        </w:tc>
        <w:tc>
          <w:tcPr>
            <w:tcW w:w="387" w:type="pct"/>
            <w:shd w:val="clear" w:color="auto" w:fill="E0F4F4"/>
            <w:vAlign w:val="center"/>
          </w:tcPr>
          <w:p w14:paraId="510659F9"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Ndërhyrja e butë</w:t>
            </w:r>
            <w:r w:rsidRPr="00622884">
              <w:rPr>
                <w:rFonts w:ascii="Garamond" w:eastAsia="SimSun" w:hAnsi="Garamond" w:cs="Times New Roman"/>
                <w:b/>
                <w:color w:val="1D3C5A"/>
                <w:sz w:val="10"/>
                <w:lang w:eastAsia="en-US" w:bidi="sq-AL"/>
              </w:rPr>
              <w:t>:</w:t>
            </w:r>
          </w:p>
        </w:tc>
        <w:tc>
          <w:tcPr>
            <w:tcW w:w="1129" w:type="pct"/>
            <w:shd w:val="clear" w:color="auto" w:fill="E0F4F4"/>
            <w:vAlign w:val="center"/>
          </w:tcPr>
          <w:p w14:paraId="7BB67E2B"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57.1 Të promovohet instalimi i sistemeve të energjisë së rinovueshme në zonat e cenueshme ndaj klimës, duke u dhënë përparësi infrastrukturës kritike dhe objekteve publike.</w:t>
            </w:r>
            <w:r w:rsidRPr="00622884">
              <w:rPr>
                <w:rFonts w:ascii="Garamond" w:eastAsia="SimSun" w:hAnsi="Garamond" w:cs="Times New Roman"/>
                <w:color w:val="1D3C5A"/>
                <w:sz w:val="10"/>
                <w:lang w:eastAsia="en-US" w:bidi="sq-AL"/>
              </w:rPr>
              <w:br/>
              <w:t>57.2 Të mbështetet përdorimi i teknologjive të rrjetit inteligjent për të përmirësuar shpërndarjen e energjisë në kohë reale, për të rritur fleksibilitetin e rrjetit dhe për të siguruar stabilitetin e sistemit në kushte ekstreme klimatike, përmes ndërthurjes së asistencës teknike, lehtësimit rregullator dhe incentivave financiare të synuara.</w:t>
            </w:r>
            <w:r w:rsidRPr="00622884">
              <w:rPr>
                <w:rFonts w:ascii="Garamond" w:eastAsia="SimSun" w:hAnsi="Garamond" w:cs="Times New Roman"/>
                <w:color w:val="1D3C5A"/>
                <w:sz w:val="10"/>
                <w:lang w:eastAsia="en-US" w:bidi="sq-AL"/>
              </w:rPr>
              <w:br/>
              <w:t>57.3 Të lehtësohen investimet në zgjidhjet e ruajtjes së energjisë, të tilla si sistemet e ruajtjes së energjisë në bateri, përmes partneriteteve publik-privat, skemave të financimit të synuar dhe mekanizmave të incentivave.</w:t>
            </w:r>
            <w:r w:rsidRPr="00622884">
              <w:rPr>
                <w:rFonts w:ascii="Garamond" w:eastAsia="SimSun" w:hAnsi="Garamond" w:cs="Times New Roman"/>
                <w:color w:val="1D3C5A"/>
                <w:sz w:val="10"/>
                <w:lang w:eastAsia="en-US" w:bidi="sq-AL"/>
              </w:rPr>
              <w:br/>
              <w:t>57.4 Të forcohet kuadri rregullator për të përmirësuar proceset e lejeve dhe për të inkurajuar integrimin e energjisë së rinovueshme të decentralizuar në rrjetin kombëtar.</w:t>
            </w:r>
          </w:p>
        </w:tc>
        <w:tc>
          <w:tcPr>
            <w:tcW w:w="535" w:type="pct"/>
            <w:shd w:val="clear" w:color="auto" w:fill="E0F4F4"/>
            <w:vAlign w:val="center"/>
          </w:tcPr>
          <w:p w14:paraId="23133A39" w14:textId="77777777" w:rsidR="00622884" w:rsidRPr="00622884" w:rsidRDefault="00622884" w:rsidP="00622884">
            <w:pPr>
              <w:spacing w:after="0" w:line="240" w:lineRule="auto"/>
              <w:jc w:val="center"/>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AGJ</w:t>
            </w:r>
          </w:p>
        </w:tc>
        <w:tc>
          <w:tcPr>
            <w:tcW w:w="938" w:type="pct"/>
            <w:shd w:val="clear" w:color="auto" w:fill="E0F4F4"/>
            <w:vAlign w:val="center"/>
          </w:tcPr>
          <w:p w14:paraId="33AD6743"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1. Kapaciteti i instaluar i energjisë së rinovueshme në zonat e cenueshme ndaj klimës (MË).</w:t>
            </w:r>
            <w:r w:rsidRPr="00622884">
              <w:rPr>
                <w:rFonts w:ascii="Garamond" w:eastAsia="SimSun" w:hAnsi="Garamond" w:cs="Times New Roman"/>
                <w:color w:val="1D3C5A"/>
                <w:sz w:val="10"/>
                <w:lang w:eastAsia="en-US" w:bidi="sq-AL"/>
              </w:rPr>
              <w:br/>
              <w:t>2. Numri i sistemeve ose komponentëve të rrjetit inteligjent të vendosur në rajonet me prioritet.</w:t>
            </w:r>
            <w:r w:rsidRPr="00622884">
              <w:rPr>
                <w:rFonts w:ascii="Garamond" w:eastAsia="SimSun" w:hAnsi="Garamond" w:cs="Times New Roman"/>
                <w:color w:val="1D3C5A"/>
                <w:sz w:val="10"/>
                <w:lang w:eastAsia="en-US" w:bidi="sq-AL"/>
              </w:rPr>
              <w:br/>
              <w:t>3. Kapaciteti i ruajtjes së energjisë i shtuar rrjetit kombëtar (MËh).</w:t>
            </w:r>
            <w:r w:rsidRPr="00622884">
              <w:rPr>
                <w:rFonts w:ascii="Garamond" w:eastAsia="SimSun" w:hAnsi="Garamond" w:cs="Times New Roman"/>
                <w:color w:val="1D3C5A"/>
                <w:sz w:val="10"/>
                <w:lang w:eastAsia="en-US" w:bidi="sq-AL"/>
              </w:rPr>
              <w:br/>
              <w:t>4. Numri i reformave rregullatore të miratuara për të mundësuar integrimin e energjisë së rinovueshme.</w:t>
            </w:r>
          </w:p>
        </w:tc>
        <w:tc>
          <w:tcPr>
            <w:tcW w:w="536" w:type="pct"/>
            <w:shd w:val="clear" w:color="auto" w:fill="E0F4F4"/>
            <w:vAlign w:val="center"/>
          </w:tcPr>
          <w:p w14:paraId="1E5F44EB"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Ministria e Infrastrukturës dhe Energjisë, Ministria e Ekonomisë dhe Inovacionit</w:t>
            </w:r>
          </w:p>
        </w:tc>
        <w:tc>
          <w:tcPr>
            <w:tcW w:w="468" w:type="pct"/>
            <w:shd w:val="clear" w:color="auto" w:fill="E0F4F4"/>
            <w:vAlign w:val="center"/>
          </w:tcPr>
          <w:p w14:paraId="47E39B1A"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176.850.000</w:t>
            </w:r>
          </w:p>
        </w:tc>
      </w:tr>
      <w:tr w:rsidR="00622884" w:rsidRPr="00622884" w14:paraId="075023FF" w14:textId="77777777" w:rsidTr="00622884">
        <w:trPr>
          <w:trHeight w:val="567"/>
          <w:jc w:val="center"/>
        </w:trPr>
        <w:tc>
          <w:tcPr>
            <w:tcW w:w="245" w:type="pct"/>
            <w:shd w:val="clear" w:color="auto" w:fill="E0F4F4"/>
            <w:vAlign w:val="center"/>
          </w:tcPr>
          <w:p w14:paraId="0AF8CBB9" w14:textId="77777777" w:rsidR="00622884" w:rsidRPr="00622884" w:rsidRDefault="00622884" w:rsidP="00622884">
            <w:pPr>
              <w:spacing w:after="0" w:line="240" w:lineRule="auto"/>
              <w:jc w:val="center"/>
              <w:rPr>
                <w:rFonts w:ascii="Garamond" w:eastAsia="SimSun" w:hAnsi="Garamond" w:cs="Calibri Light"/>
                <w:b/>
                <w:bCs/>
                <w:color w:val="1D3C5A"/>
                <w:sz w:val="10"/>
                <w:szCs w:val="16"/>
                <w:lang w:eastAsia="en-US"/>
              </w:rPr>
            </w:pPr>
            <w:r w:rsidRPr="00622884">
              <w:rPr>
                <w:rFonts w:ascii="Garamond" w:eastAsia="SimSun" w:hAnsi="Garamond" w:cs="Times New Roman"/>
                <w:b/>
                <w:color w:val="1D3C5A"/>
                <w:sz w:val="10"/>
                <w:lang w:eastAsia="en-US" w:bidi="sq-AL"/>
              </w:rPr>
              <w:t>58</w:t>
            </w:r>
          </w:p>
        </w:tc>
        <w:tc>
          <w:tcPr>
            <w:tcW w:w="373" w:type="pct"/>
            <w:shd w:val="clear" w:color="auto" w:fill="E0F4F4"/>
            <w:vAlign w:val="center"/>
          </w:tcPr>
          <w:p w14:paraId="05AC33B5"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Energjia</w:t>
            </w:r>
          </w:p>
        </w:tc>
        <w:tc>
          <w:tcPr>
            <w:tcW w:w="389" w:type="pct"/>
            <w:shd w:val="clear" w:color="auto" w:fill="E0F4F4"/>
            <w:vAlign w:val="center"/>
          </w:tcPr>
          <w:p w14:paraId="3A485367"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Promovimi i barazisë gjinore në sektorin e energjisë: Trajnimi dhe mbështetja e grave në projektet për energjinë e rinovueshme</w:t>
            </w:r>
          </w:p>
        </w:tc>
        <w:tc>
          <w:tcPr>
            <w:tcW w:w="387" w:type="pct"/>
            <w:shd w:val="clear" w:color="auto" w:fill="E0F4F4"/>
            <w:vAlign w:val="center"/>
          </w:tcPr>
          <w:p w14:paraId="03B46AE5"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Ndërhyrja e butë</w:t>
            </w:r>
            <w:r w:rsidRPr="00622884">
              <w:rPr>
                <w:rFonts w:ascii="Garamond" w:eastAsia="SimSun" w:hAnsi="Garamond" w:cs="Times New Roman"/>
                <w:b/>
                <w:color w:val="1D3C5A"/>
                <w:sz w:val="10"/>
                <w:lang w:eastAsia="en-US" w:bidi="sq-AL"/>
              </w:rPr>
              <w:t>:</w:t>
            </w:r>
          </w:p>
        </w:tc>
        <w:tc>
          <w:tcPr>
            <w:tcW w:w="1129" w:type="pct"/>
            <w:shd w:val="clear" w:color="auto" w:fill="E0F4F4"/>
            <w:vAlign w:val="center"/>
          </w:tcPr>
          <w:p w14:paraId="3B7582EC"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58.1 Të hartohen dhe të ofrohen programet e trajnimit për gratë, të fokusuara në zhvillimin e aftësive në teknologjitë e energjisë së rinovueshme dhe të përshtatura sipas nevojave vendore për energji.</w:t>
            </w:r>
            <w:r w:rsidRPr="00622884">
              <w:rPr>
                <w:rFonts w:ascii="Garamond" w:eastAsia="SimSun" w:hAnsi="Garamond" w:cs="Times New Roman"/>
                <w:color w:val="1D3C5A"/>
                <w:sz w:val="10"/>
                <w:lang w:eastAsia="en-US" w:bidi="sq-AL"/>
              </w:rPr>
              <w:br/>
              <w:t>58.2 Të krijohen mundësi mentorimi dhe praktike në sektorin e energjisë për gratë dhe profesionistët e rinj, për të promovuar mundësi afatgjata për karrierë.</w:t>
            </w:r>
            <w:r w:rsidRPr="00622884">
              <w:rPr>
                <w:rFonts w:ascii="Garamond" w:eastAsia="SimSun" w:hAnsi="Garamond" w:cs="Times New Roman"/>
                <w:color w:val="1D3C5A"/>
                <w:sz w:val="10"/>
                <w:lang w:eastAsia="en-US" w:bidi="sq-AL"/>
              </w:rPr>
              <w:br/>
              <w:t>58.3 Të ofrohet mbështetje teknike dhe financiare për projektet e energjisë së rinovueshme të udhëhequra nga gratë, veçanërisht në komunitetet e nënshërbyera dhe ato rurale.</w:t>
            </w:r>
            <w:r w:rsidRPr="00622884">
              <w:rPr>
                <w:rFonts w:ascii="Garamond" w:eastAsia="SimSun" w:hAnsi="Garamond" w:cs="Times New Roman"/>
                <w:color w:val="1D3C5A"/>
                <w:sz w:val="10"/>
                <w:lang w:eastAsia="en-US" w:bidi="sq-AL"/>
              </w:rPr>
              <w:br/>
              <w:t>58.4 Të promovohet politika të ndjeshme ndaj gjinisë brenda sektorit të energjisë, për të inkurajuar praktikat gjithëpërfshirëse të punësimit, rolet udhëheqëse për gratë dhe mjediset mbështetëse të punës në nismat e energjisë me aftësi ripërtëritëse ndaj klimës.</w:t>
            </w:r>
          </w:p>
        </w:tc>
        <w:tc>
          <w:tcPr>
            <w:tcW w:w="535" w:type="pct"/>
            <w:shd w:val="clear" w:color="auto" w:fill="E0F4F4"/>
            <w:vAlign w:val="center"/>
          </w:tcPr>
          <w:p w14:paraId="262C6643" w14:textId="77777777" w:rsidR="00622884" w:rsidRPr="00622884" w:rsidRDefault="00622884" w:rsidP="00622884">
            <w:pPr>
              <w:spacing w:after="0" w:line="240" w:lineRule="auto"/>
              <w:jc w:val="center"/>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ASH</w:t>
            </w:r>
          </w:p>
        </w:tc>
        <w:tc>
          <w:tcPr>
            <w:tcW w:w="938" w:type="pct"/>
            <w:shd w:val="clear" w:color="auto" w:fill="E0F4F4"/>
            <w:vAlign w:val="center"/>
          </w:tcPr>
          <w:p w14:paraId="105BD99B"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1. Numri i grave të trajnuara në teknologjitë e energjisë së rinovueshme përmes programeve të synuara.</w:t>
            </w:r>
            <w:r w:rsidRPr="00622884">
              <w:rPr>
                <w:rFonts w:ascii="Garamond" w:eastAsia="SimSun" w:hAnsi="Garamond" w:cs="Times New Roman"/>
                <w:color w:val="1D3C5A"/>
                <w:sz w:val="10"/>
                <w:lang w:eastAsia="en-US" w:bidi="sq-AL"/>
              </w:rPr>
              <w:br/>
              <w:t>2. Numri i projekteve të energjisë së rinovueshme të udhëhequra nga gratë të mbështetura me asistencë teknike dhe/ose financiare.</w:t>
            </w:r>
            <w:r w:rsidRPr="00622884">
              <w:rPr>
                <w:rFonts w:ascii="Garamond" w:eastAsia="SimSun" w:hAnsi="Garamond" w:cs="Times New Roman"/>
                <w:color w:val="1D3C5A"/>
                <w:sz w:val="10"/>
                <w:lang w:eastAsia="en-US" w:bidi="sq-AL"/>
              </w:rPr>
              <w:br/>
              <w:t>3. Rritja e përqindjes së punësimit të grave në sektorin e energjisë së rinovueshme.</w:t>
            </w:r>
          </w:p>
        </w:tc>
        <w:tc>
          <w:tcPr>
            <w:tcW w:w="536" w:type="pct"/>
            <w:shd w:val="clear" w:color="auto" w:fill="E0F4F4"/>
            <w:vAlign w:val="center"/>
          </w:tcPr>
          <w:p w14:paraId="2EB7CACE"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Ministria e Infrastrukturës dhe Energjisë</w:t>
            </w:r>
          </w:p>
        </w:tc>
        <w:tc>
          <w:tcPr>
            <w:tcW w:w="468" w:type="pct"/>
            <w:shd w:val="clear" w:color="auto" w:fill="E0F4F4"/>
            <w:vAlign w:val="center"/>
          </w:tcPr>
          <w:p w14:paraId="5BEBFCDA"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4.900.000</w:t>
            </w:r>
          </w:p>
        </w:tc>
      </w:tr>
      <w:tr w:rsidR="00622884" w:rsidRPr="00622884" w14:paraId="337B01EC" w14:textId="77777777" w:rsidTr="00622884">
        <w:trPr>
          <w:trHeight w:val="567"/>
          <w:jc w:val="center"/>
        </w:trPr>
        <w:tc>
          <w:tcPr>
            <w:tcW w:w="245" w:type="pct"/>
            <w:shd w:val="clear" w:color="auto" w:fill="E0F4F4"/>
            <w:vAlign w:val="center"/>
          </w:tcPr>
          <w:p w14:paraId="28819739" w14:textId="77777777" w:rsidR="00622884" w:rsidRPr="00622884" w:rsidRDefault="00622884" w:rsidP="00622884">
            <w:pPr>
              <w:spacing w:after="0" w:line="240" w:lineRule="auto"/>
              <w:jc w:val="center"/>
              <w:rPr>
                <w:rFonts w:ascii="Garamond" w:eastAsia="SimSun" w:hAnsi="Garamond" w:cs="Calibri Light"/>
                <w:b/>
                <w:bCs/>
                <w:color w:val="1D3C5A"/>
                <w:sz w:val="10"/>
                <w:szCs w:val="16"/>
                <w:lang w:eastAsia="en-US"/>
              </w:rPr>
            </w:pPr>
            <w:r w:rsidRPr="00622884">
              <w:rPr>
                <w:rFonts w:ascii="Garamond" w:eastAsia="SimSun" w:hAnsi="Garamond" w:cs="Times New Roman"/>
                <w:b/>
                <w:color w:val="1D3C5A"/>
                <w:sz w:val="10"/>
                <w:lang w:eastAsia="en-US" w:bidi="sq-AL"/>
              </w:rPr>
              <w:t>59</w:t>
            </w:r>
          </w:p>
        </w:tc>
        <w:tc>
          <w:tcPr>
            <w:tcW w:w="373" w:type="pct"/>
            <w:shd w:val="clear" w:color="auto" w:fill="E0F4F4"/>
            <w:vAlign w:val="center"/>
          </w:tcPr>
          <w:p w14:paraId="0E933848"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Energjia</w:t>
            </w:r>
          </w:p>
        </w:tc>
        <w:tc>
          <w:tcPr>
            <w:tcW w:w="389" w:type="pct"/>
            <w:shd w:val="clear" w:color="auto" w:fill="E0F4F4"/>
            <w:vAlign w:val="center"/>
          </w:tcPr>
          <w:p w14:paraId="40E2DC13"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Krijimi i aftësive ripërtëritëse në sistemet e energjisë hidroelektrike Operacione të optimizuara dhe infrastrukturë e përforcuar</w:t>
            </w:r>
          </w:p>
        </w:tc>
        <w:tc>
          <w:tcPr>
            <w:tcW w:w="387" w:type="pct"/>
            <w:shd w:val="clear" w:color="auto" w:fill="E0F4F4"/>
            <w:vAlign w:val="center"/>
          </w:tcPr>
          <w:p w14:paraId="5A21AE66"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Ndërhyrja gri</w:t>
            </w:r>
          </w:p>
        </w:tc>
        <w:tc>
          <w:tcPr>
            <w:tcW w:w="1129" w:type="pct"/>
            <w:shd w:val="clear" w:color="auto" w:fill="E0F4F4"/>
            <w:vAlign w:val="center"/>
          </w:tcPr>
          <w:p w14:paraId="592C75AA"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59.1 Të përditësohen protokollet e operimit të digave dhe rezervuarëve. Të rishikohen protokollet e menaxhimit të rezervuarëve dhe të përcaktohet mënyra e optimizimit të ruajtjes dhe lëshimit të ujit, bazuar në parashikimet e klimës dhe modelet sezonale në ndryshim.</w:t>
            </w:r>
          </w:p>
          <w:p w14:paraId="19AAE934"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59.2 Të përmirësohen objektet e hidrocentraleve për të rritur qëndrueshmërinë ndaj ndryshimeve klimatike. Të zbatohet përmirësimi i strukturave të digave dhe turbinave për t’u përballur me thatësirat e zgjatura dhe ngjarjet ekstreme të motit, si reshjet e mëdha të shiut.</w:t>
            </w:r>
            <w:r w:rsidRPr="00622884">
              <w:rPr>
                <w:rFonts w:ascii="Garamond" w:eastAsia="SimSun" w:hAnsi="Garamond" w:cs="Times New Roman"/>
                <w:color w:val="1D3C5A"/>
                <w:sz w:val="10"/>
                <w:lang w:eastAsia="en-US" w:bidi="sq-AL"/>
              </w:rPr>
              <w:br/>
              <w:t>59.3 Të përmirësohet menaxhimi i sedimentit në rezervuarë. Të aplikohet thellimi i qëndrueshëm dhe devijimet e kontrolluara, për të ruajtur kapacitetin e magazinimit dhe efikasitetin operacional.</w:t>
            </w:r>
            <w:r w:rsidRPr="00622884">
              <w:rPr>
                <w:rFonts w:ascii="Garamond" w:eastAsia="SimSun" w:hAnsi="Garamond" w:cs="Times New Roman"/>
                <w:color w:val="1D3C5A"/>
                <w:sz w:val="10"/>
                <w:lang w:eastAsia="en-US" w:bidi="sq-AL"/>
              </w:rPr>
              <w:br/>
              <w:t>59.4 Të zbatohen sisteme të avancuara monitorimi klimatike dhe hidrologjike. Të vendosen sensorë dhe modele parashikimi për të monitoruar ndryshimet në kohë reale të reshjeve dhe prurjeve të ujit.</w:t>
            </w:r>
          </w:p>
        </w:tc>
        <w:tc>
          <w:tcPr>
            <w:tcW w:w="535" w:type="pct"/>
            <w:shd w:val="clear" w:color="auto" w:fill="E0F4F4"/>
            <w:vAlign w:val="center"/>
          </w:tcPr>
          <w:p w14:paraId="4CC13FB0" w14:textId="77777777" w:rsidR="00622884" w:rsidRPr="00622884" w:rsidRDefault="00622884" w:rsidP="00622884">
            <w:pPr>
              <w:spacing w:after="0" w:line="240" w:lineRule="auto"/>
              <w:jc w:val="center"/>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ASH</w:t>
            </w:r>
          </w:p>
        </w:tc>
        <w:tc>
          <w:tcPr>
            <w:tcW w:w="938" w:type="pct"/>
            <w:shd w:val="clear" w:color="auto" w:fill="E0F4F4"/>
            <w:vAlign w:val="center"/>
          </w:tcPr>
          <w:p w14:paraId="2CB52DF0"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1. Numri i protokolleve të rishikuara të funksionimit të digave dhe rezervuarëve.</w:t>
            </w:r>
            <w:r w:rsidRPr="00622884">
              <w:rPr>
                <w:rFonts w:ascii="Garamond" w:eastAsia="SimSun" w:hAnsi="Garamond" w:cs="Times New Roman"/>
                <w:color w:val="1D3C5A"/>
                <w:sz w:val="10"/>
                <w:lang w:eastAsia="en-US" w:bidi="sq-AL"/>
              </w:rPr>
              <w:br/>
              <w:t>2. Numri i objekteve hidroenergjetike të rinovuara me përmirësime strukturore të digave dhe turbinave.</w:t>
            </w:r>
            <w:r w:rsidRPr="00622884">
              <w:rPr>
                <w:rFonts w:ascii="Garamond" w:eastAsia="SimSun" w:hAnsi="Garamond" w:cs="Times New Roman"/>
                <w:color w:val="1D3C5A"/>
                <w:sz w:val="10"/>
                <w:lang w:eastAsia="en-US" w:bidi="sq-AL"/>
              </w:rPr>
              <w:br/>
              <w:t>3. Numri i përmirësimeve strukturore të digave dhe turbinave të zbatuara për t’i bërë ballë thatësirave të zgjatura dhe ngjarjeve ekstreme të motit, siç janë reshjet e mëdha të shiut.</w:t>
            </w:r>
            <w:r w:rsidRPr="00622884">
              <w:rPr>
                <w:rFonts w:ascii="Garamond" w:eastAsia="SimSun" w:hAnsi="Garamond" w:cs="Times New Roman"/>
                <w:color w:val="1D3C5A"/>
                <w:sz w:val="10"/>
                <w:lang w:eastAsia="en-US" w:bidi="sq-AL"/>
              </w:rPr>
              <w:br/>
              <w:t>4. Numri i rezervuarëve të aplikuar me thellim të qëndrueshëm dhe devijime të kontrolluara për të ruajtur kapacitetin e magazinimit dhe efikasitetin operativ.</w:t>
            </w:r>
            <w:r w:rsidRPr="00622884">
              <w:rPr>
                <w:rFonts w:ascii="Garamond" w:eastAsia="SimSun" w:hAnsi="Garamond" w:cs="Times New Roman"/>
                <w:color w:val="1D3C5A"/>
                <w:sz w:val="10"/>
                <w:lang w:eastAsia="en-US" w:bidi="sq-AL"/>
              </w:rPr>
              <w:br/>
              <w:t>5. Numri i vlerësimeve të riskut të kryera në infrastrukturën e hidrocentraleve.</w:t>
            </w:r>
            <w:r w:rsidRPr="00622884">
              <w:rPr>
                <w:rFonts w:ascii="Garamond" w:eastAsia="SimSun" w:hAnsi="Garamond" w:cs="Times New Roman"/>
                <w:color w:val="1D3C5A"/>
                <w:sz w:val="10"/>
                <w:lang w:eastAsia="en-US" w:bidi="sq-AL"/>
              </w:rPr>
              <w:br/>
              <w:t>6. Numri i sensorëve dhe modeleve të parashikimit të vendosura në sistemet e avancuara të monitorimit të klimës dhe hidrologjisë për të monitoruar ndryshimet në kohë reale të reshjeve dhe prurjeve të ujit.</w:t>
            </w:r>
          </w:p>
        </w:tc>
        <w:tc>
          <w:tcPr>
            <w:tcW w:w="536" w:type="pct"/>
            <w:shd w:val="clear" w:color="auto" w:fill="E0F4F4"/>
            <w:vAlign w:val="center"/>
          </w:tcPr>
          <w:p w14:paraId="3DB0125A"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Ministria e Infrastrukturës dhe Energjisë</w:t>
            </w:r>
          </w:p>
        </w:tc>
        <w:tc>
          <w:tcPr>
            <w:tcW w:w="468" w:type="pct"/>
            <w:shd w:val="clear" w:color="auto" w:fill="E0F4F4"/>
            <w:vAlign w:val="center"/>
          </w:tcPr>
          <w:p w14:paraId="26BCC915"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747.050.000</w:t>
            </w:r>
          </w:p>
        </w:tc>
      </w:tr>
      <w:tr w:rsidR="00622884" w:rsidRPr="00622884" w14:paraId="775293E7" w14:textId="77777777" w:rsidTr="00622884">
        <w:trPr>
          <w:trHeight w:val="567"/>
          <w:jc w:val="center"/>
        </w:trPr>
        <w:tc>
          <w:tcPr>
            <w:tcW w:w="245" w:type="pct"/>
            <w:vAlign w:val="center"/>
          </w:tcPr>
          <w:p w14:paraId="110585AA" w14:textId="77777777" w:rsidR="00622884" w:rsidRPr="00622884" w:rsidRDefault="00622884" w:rsidP="00622884">
            <w:pPr>
              <w:spacing w:after="0" w:line="240" w:lineRule="auto"/>
              <w:jc w:val="center"/>
              <w:rPr>
                <w:rFonts w:ascii="Garamond" w:eastAsia="SimSun" w:hAnsi="Garamond" w:cs="Calibri Light"/>
                <w:b/>
                <w:bCs/>
                <w:color w:val="1D3C5A"/>
                <w:sz w:val="10"/>
                <w:szCs w:val="16"/>
                <w:lang w:eastAsia="en-US"/>
              </w:rPr>
            </w:pPr>
            <w:r w:rsidRPr="00622884">
              <w:rPr>
                <w:rFonts w:ascii="Garamond" w:eastAsia="SimSun" w:hAnsi="Garamond" w:cs="Times New Roman"/>
                <w:b/>
                <w:color w:val="1D3C5A"/>
                <w:sz w:val="10"/>
                <w:lang w:eastAsia="en-US" w:bidi="sq-AL"/>
              </w:rPr>
              <w:lastRenderedPageBreak/>
              <w:t>60</w:t>
            </w:r>
          </w:p>
        </w:tc>
        <w:tc>
          <w:tcPr>
            <w:tcW w:w="373" w:type="pct"/>
            <w:vAlign w:val="center"/>
          </w:tcPr>
          <w:p w14:paraId="1BE596D0"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Transporti</w:t>
            </w:r>
          </w:p>
        </w:tc>
        <w:tc>
          <w:tcPr>
            <w:tcW w:w="389" w:type="pct"/>
            <w:vAlign w:val="center"/>
          </w:tcPr>
          <w:p w14:paraId="51D76B0D"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Analiza e rregullt e cenueshmërisë dhe riskut dhe përcaktimi i masave për përmirësimin e aftësive ripërtëritëse për infrastrukturën rrugore</w:t>
            </w:r>
          </w:p>
        </w:tc>
        <w:tc>
          <w:tcPr>
            <w:tcW w:w="387" w:type="pct"/>
            <w:vAlign w:val="center"/>
          </w:tcPr>
          <w:p w14:paraId="5032A21F"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Ndërhyrja e butë</w:t>
            </w:r>
            <w:r w:rsidRPr="00622884">
              <w:rPr>
                <w:rFonts w:ascii="Garamond" w:eastAsia="SimSun" w:hAnsi="Garamond" w:cs="Times New Roman"/>
                <w:b/>
                <w:color w:val="1D3C5A"/>
                <w:sz w:val="10"/>
                <w:lang w:eastAsia="en-US" w:bidi="sq-AL"/>
              </w:rPr>
              <w:t>:</w:t>
            </w:r>
          </w:p>
        </w:tc>
        <w:tc>
          <w:tcPr>
            <w:tcW w:w="1129" w:type="pct"/>
            <w:vAlign w:val="center"/>
          </w:tcPr>
          <w:p w14:paraId="41825548"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60.1 Të kryhen vlerësime të cenueshmërisë dhe riskut klimatik për infrastrukturën rrugore kritike, urat dhe tunelet në nivel kombëtar, duke u përqendruar në ekspozimin ndaj përmbytjeve, rrëshqitjeve të tokës, valëve të nxehtësisë dhe risqeve të tjera të lidhura me ndryshimet klimatike.</w:t>
            </w:r>
            <w:r w:rsidRPr="00622884">
              <w:rPr>
                <w:rFonts w:ascii="Garamond" w:eastAsia="SimSun" w:hAnsi="Garamond" w:cs="Times New Roman"/>
                <w:color w:val="1D3C5A"/>
                <w:sz w:val="10"/>
                <w:lang w:eastAsia="en-US" w:bidi="sq-AL"/>
              </w:rPr>
              <w:br/>
              <w:t>60.2 Të përcaktohet një program kombëtar për rivlerësimin periodik të risqeve për infrastrukturën kritike të transportit për t’u siguruar që vlerësimet të përditësohen rregullisht dhe t’i përgjigjen skenarëve klimatikë në zhvillim.</w:t>
            </w:r>
            <w:r w:rsidRPr="00622884">
              <w:rPr>
                <w:rFonts w:ascii="Garamond" w:eastAsia="SimSun" w:hAnsi="Garamond" w:cs="Times New Roman"/>
                <w:color w:val="1D3C5A"/>
                <w:sz w:val="10"/>
                <w:lang w:eastAsia="en-US" w:bidi="sq-AL"/>
              </w:rPr>
              <w:br/>
              <w:t>60.3 Të identifikohen dhe të prioritizohen ndërhyrjet për reduktimin e riskut në bashkitë me risk të lartë (Durrës, Elbasan, Krujë, Kukës dhe Vlorë), ku do të përfshihen përmirësimet strukturore, sistemet e përmirësuara të kullimit dhe masat e stabilizimit të shpateve.</w:t>
            </w:r>
          </w:p>
        </w:tc>
        <w:tc>
          <w:tcPr>
            <w:tcW w:w="535" w:type="pct"/>
            <w:vAlign w:val="center"/>
          </w:tcPr>
          <w:p w14:paraId="400E72B7" w14:textId="77777777" w:rsidR="00622884" w:rsidRPr="00622884" w:rsidRDefault="00622884" w:rsidP="00622884">
            <w:pPr>
              <w:spacing w:after="0" w:line="240" w:lineRule="auto"/>
              <w:jc w:val="center"/>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ASH</w:t>
            </w:r>
          </w:p>
        </w:tc>
        <w:tc>
          <w:tcPr>
            <w:tcW w:w="938" w:type="pct"/>
            <w:vAlign w:val="center"/>
          </w:tcPr>
          <w:p w14:paraId="05539BDE"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1. Numri i vlerësimeve të përfunduara të cenueshmërisë dhe riskut ndaj klimës për infrastrukturën kritike të transportit.</w:t>
            </w:r>
            <w:r w:rsidRPr="00622884">
              <w:rPr>
                <w:rFonts w:ascii="Garamond" w:eastAsia="SimSun" w:hAnsi="Garamond" w:cs="Times New Roman"/>
                <w:color w:val="1D3C5A"/>
                <w:sz w:val="10"/>
                <w:lang w:eastAsia="en-US" w:bidi="sq-AL"/>
              </w:rPr>
              <w:br/>
              <w:t>2. Numri i pikave të infrastrukturës së transportit me risk të lartë që kanë prioritet në ndërhyrje për reduktimin e riskut.</w:t>
            </w:r>
            <w:r w:rsidRPr="00622884">
              <w:rPr>
                <w:rFonts w:ascii="Garamond" w:eastAsia="SimSun" w:hAnsi="Garamond" w:cs="Times New Roman"/>
                <w:color w:val="1D3C5A"/>
                <w:sz w:val="10"/>
                <w:lang w:eastAsia="en-US" w:bidi="sq-AL"/>
              </w:rPr>
              <w:br/>
              <w:t>3. Përqindja e planeve të ndërhyrjes së përfunduar për pikat e identifikuara si me prioritet.</w:t>
            </w:r>
          </w:p>
        </w:tc>
        <w:tc>
          <w:tcPr>
            <w:tcW w:w="536" w:type="pct"/>
            <w:vAlign w:val="center"/>
          </w:tcPr>
          <w:p w14:paraId="738F4EC4"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Ministria e Infrastrukturës dhe Energjisë, Bashkitë</w:t>
            </w:r>
          </w:p>
          <w:p w14:paraId="5BCD9B1B"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p>
        </w:tc>
        <w:tc>
          <w:tcPr>
            <w:tcW w:w="468" w:type="pct"/>
            <w:vAlign w:val="center"/>
          </w:tcPr>
          <w:p w14:paraId="79C435D8"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457.000</w:t>
            </w:r>
          </w:p>
        </w:tc>
      </w:tr>
      <w:tr w:rsidR="00622884" w:rsidRPr="00622884" w14:paraId="52CDF52B" w14:textId="77777777" w:rsidTr="00622884">
        <w:trPr>
          <w:trHeight w:val="567"/>
          <w:jc w:val="center"/>
        </w:trPr>
        <w:tc>
          <w:tcPr>
            <w:tcW w:w="245" w:type="pct"/>
            <w:vAlign w:val="center"/>
          </w:tcPr>
          <w:p w14:paraId="36010F9C" w14:textId="77777777" w:rsidR="00622884" w:rsidRPr="00622884" w:rsidRDefault="00622884" w:rsidP="00622884">
            <w:pPr>
              <w:spacing w:after="0" w:line="240" w:lineRule="auto"/>
              <w:jc w:val="center"/>
              <w:rPr>
                <w:rFonts w:ascii="Garamond" w:eastAsia="SimSun" w:hAnsi="Garamond" w:cs="Calibri Light"/>
                <w:b/>
                <w:bCs/>
                <w:color w:val="1D3C5A"/>
                <w:sz w:val="10"/>
                <w:szCs w:val="16"/>
                <w:lang w:eastAsia="en-US"/>
              </w:rPr>
            </w:pPr>
            <w:r w:rsidRPr="00622884">
              <w:rPr>
                <w:rFonts w:ascii="Garamond" w:eastAsia="SimSun" w:hAnsi="Garamond" w:cs="Times New Roman"/>
                <w:b/>
                <w:color w:val="1D3C5A"/>
                <w:sz w:val="10"/>
                <w:lang w:eastAsia="en-US" w:bidi="sq-AL"/>
              </w:rPr>
              <w:t>61</w:t>
            </w:r>
          </w:p>
        </w:tc>
        <w:tc>
          <w:tcPr>
            <w:tcW w:w="373" w:type="pct"/>
            <w:vAlign w:val="center"/>
          </w:tcPr>
          <w:p w14:paraId="61C0B5E7"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Transporti</w:t>
            </w:r>
          </w:p>
        </w:tc>
        <w:tc>
          <w:tcPr>
            <w:tcW w:w="389" w:type="pct"/>
            <w:vAlign w:val="center"/>
          </w:tcPr>
          <w:p w14:paraId="390F3DC7"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Studimet gjeologjike për rrugët e qëndrueshme: Zgjidhje bioinxhinierike për të ulur risqet nga erozioni dhe përmbytjet</w:t>
            </w:r>
          </w:p>
        </w:tc>
        <w:tc>
          <w:tcPr>
            <w:tcW w:w="387" w:type="pct"/>
            <w:vAlign w:val="center"/>
          </w:tcPr>
          <w:p w14:paraId="18C1D37C"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Ndërhyrja e butë</w:t>
            </w:r>
            <w:r w:rsidRPr="00622884">
              <w:rPr>
                <w:rFonts w:ascii="Garamond" w:eastAsia="SimSun" w:hAnsi="Garamond" w:cs="Times New Roman"/>
                <w:b/>
                <w:color w:val="1D3C5A"/>
                <w:sz w:val="10"/>
                <w:lang w:eastAsia="en-US" w:bidi="sq-AL"/>
              </w:rPr>
              <w:t>:</w:t>
            </w:r>
          </w:p>
        </w:tc>
        <w:tc>
          <w:tcPr>
            <w:tcW w:w="1129" w:type="pct"/>
            <w:vAlign w:val="center"/>
          </w:tcPr>
          <w:p w14:paraId="5EDB0DDE"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61.1 Të kryhen studime të hollësishme gjeologjike dhe gjeoteknike në zonat e identifikuara si të cenueshme, për të vlerësuar stabilitetin e tokës, modelet e erozionit dhe riskun e rrëshqitjeve të dheut, me fokus të veçantë në bashkitë dhe segmentet rrugore të listuara.</w:t>
            </w:r>
            <w:r w:rsidRPr="00622884">
              <w:rPr>
                <w:rFonts w:ascii="Garamond" w:eastAsia="SimSun" w:hAnsi="Garamond" w:cs="Times New Roman"/>
                <w:color w:val="1D3C5A"/>
                <w:sz w:val="10"/>
                <w:lang w:eastAsia="en-US" w:bidi="sq-AL"/>
              </w:rPr>
              <w:br/>
              <w:t>61.2 Të hartohen dhe të propozohen zgjidhje bioinxhinierike të përshtatura për kushtet specifike të çdo vendi, si stabilizimi vegjetativ i shpateve, strukturat mbajtëse dhe sistemet e kullimit, në përputhje me nivelin përkatës të riskut.</w:t>
            </w:r>
          </w:p>
        </w:tc>
        <w:tc>
          <w:tcPr>
            <w:tcW w:w="535" w:type="pct"/>
            <w:vAlign w:val="center"/>
          </w:tcPr>
          <w:p w14:paraId="14AFE4FA" w14:textId="77777777" w:rsidR="00622884" w:rsidRPr="00622884" w:rsidRDefault="00622884" w:rsidP="00622884">
            <w:pPr>
              <w:spacing w:after="0" w:line="240" w:lineRule="auto"/>
              <w:jc w:val="center"/>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AM</w:t>
            </w:r>
          </w:p>
        </w:tc>
        <w:tc>
          <w:tcPr>
            <w:tcW w:w="938" w:type="pct"/>
            <w:vAlign w:val="center"/>
          </w:tcPr>
          <w:p w14:paraId="3AF010CE"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1. Numri i studimeve gjeologjike dhe gjeoteknike të përfunduara në segmentet e rrugëve të synuara.</w:t>
            </w:r>
            <w:r w:rsidRPr="00622884">
              <w:rPr>
                <w:rFonts w:ascii="Garamond" w:eastAsia="SimSun" w:hAnsi="Garamond" w:cs="Times New Roman"/>
                <w:color w:val="1D3C5A"/>
                <w:sz w:val="10"/>
                <w:lang w:eastAsia="en-US" w:bidi="sq-AL"/>
              </w:rPr>
              <w:br/>
              <w:t>2. Numri i segmenteve rrugore me projektime bioinxhinierike të përfunduara dhe të miratuara.</w:t>
            </w:r>
            <w:r w:rsidRPr="00622884">
              <w:rPr>
                <w:rFonts w:ascii="Garamond" w:eastAsia="SimSun" w:hAnsi="Garamond" w:cs="Times New Roman"/>
                <w:color w:val="1D3C5A"/>
                <w:sz w:val="10"/>
                <w:lang w:eastAsia="en-US" w:bidi="sq-AL"/>
              </w:rPr>
              <w:br/>
              <w:t xml:space="preserve">3. Ulje e përqindjes së ndërprerjeve të rrugëve të lidhura me rrëshqitjet e dheut ose erozionin në segmentet e trajtuara. </w:t>
            </w:r>
          </w:p>
        </w:tc>
        <w:tc>
          <w:tcPr>
            <w:tcW w:w="536" w:type="pct"/>
            <w:vAlign w:val="center"/>
          </w:tcPr>
          <w:p w14:paraId="26C17B57"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Ministria e Infrastrukturës dhe Energjisë, Bashkitë</w:t>
            </w:r>
          </w:p>
        </w:tc>
        <w:tc>
          <w:tcPr>
            <w:tcW w:w="468" w:type="pct"/>
            <w:vAlign w:val="center"/>
          </w:tcPr>
          <w:p w14:paraId="67A57D8A"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2.900.000</w:t>
            </w:r>
          </w:p>
        </w:tc>
      </w:tr>
      <w:tr w:rsidR="00622884" w:rsidRPr="00622884" w14:paraId="73BE4BCF" w14:textId="77777777" w:rsidTr="00622884">
        <w:trPr>
          <w:trHeight w:val="567"/>
          <w:jc w:val="center"/>
        </w:trPr>
        <w:tc>
          <w:tcPr>
            <w:tcW w:w="245" w:type="pct"/>
            <w:vAlign w:val="center"/>
          </w:tcPr>
          <w:p w14:paraId="42434AE3" w14:textId="77777777" w:rsidR="00622884" w:rsidRPr="00622884" w:rsidRDefault="00622884" w:rsidP="00622884">
            <w:pPr>
              <w:spacing w:after="0" w:line="240" w:lineRule="auto"/>
              <w:jc w:val="center"/>
              <w:rPr>
                <w:rFonts w:ascii="Garamond" w:eastAsia="SimSun" w:hAnsi="Garamond" w:cs="Calibri Light"/>
                <w:b/>
                <w:bCs/>
                <w:color w:val="1D3C5A"/>
                <w:sz w:val="10"/>
                <w:szCs w:val="16"/>
                <w:lang w:eastAsia="en-US"/>
              </w:rPr>
            </w:pPr>
            <w:r w:rsidRPr="00622884">
              <w:rPr>
                <w:rFonts w:ascii="Garamond" w:eastAsia="SimSun" w:hAnsi="Garamond" w:cs="Times New Roman"/>
                <w:b/>
                <w:color w:val="1D3C5A"/>
                <w:sz w:val="10"/>
                <w:lang w:eastAsia="en-US" w:bidi="sq-AL"/>
              </w:rPr>
              <w:t>62</w:t>
            </w:r>
          </w:p>
        </w:tc>
        <w:tc>
          <w:tcPr>
            <w:tcW w:w="373" w:type="pct"/>
            <w:vAlign w:val="center"/>
          </w:tcPr>
          <w:p w14:paraId="2A9CBF42"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Transporti</w:t>
            </w:r>
          </w:p>
        </w:tc>
        <w:tc>
          <w:tcPr>
            <w:tcW w:w="389" w:type="pct"/>
            <w:vAlign w:val="center"/>
          </w:tcPr>
          <w:p w14:paraId="5A6203D1"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 xml:space="preserve">Promovimi i lëvizshmërisë urbane të qëndrueshme dhe me aftësi ripërtëritëse ndaj ndryshimeve klimatike: Hartimi dhe rishikimi i planeve të lëvizshmërisë urbane </w:t>
            </w:r>
          </w:p>
        </w:tc>
        <w:tc>
          <w:tcPr>
            <w:tcW w:w="387" w:type="pct"/>
            <w:vAlign w:val="center"/>
          </w:tcPr>
          <w:p w14:paraId="7D3955A5"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Ndërhyrja e butë</w:t>
            </w:r>
            <w:r w:rsidRPr="00622884">
              <w:rPr>
                <w:rFonts w:ascii="Garamond" w:eastAsia="SimSun" w:hAnsi="Garamond" w:cs="Times New Roman"/>
                <w:b/>
                <w:color w:val="1D3C5A"/>
                <w:sz w:val="10"/>
                <w:lang w:eastAsia="en-US" w:bidi="sq-AL"/>
              </w:rPr>
              <w:t>:</w:t>
            </w:r>
          </w:p>
        </w:tc>
        <w:tc>
          <w:tcPr>
            <w:tcW w:w="1129" w:type="pct"/>
            <w:vAlign w:val="center"/>
          </w:tcPr>
          <w:p w14:paraId="1B978A4A" w14:textId="77777777" w:rsidR="00622884" w:rsidRPr="00622884" w:rsidRDefault="00622884" w:rsidP="00622884">
            <w:pPr>
              <w:spacing w:after="0" w:line="240" w:lineRule="auto"/>
              <w:jc w:val="left"/>
              <w:rPr>
                <w:rFonts w:ascii="Garamond" w:eastAsia="SimSun" w:hAnsi="Garamond" w:cs="Times New Roman"/>
                <w:color w:val="1D3C5A"/>
                <w:sz w:val="10"/>
                <w:lang w:eastAsia="en-US" w:bidi="sq-AL"/>
              </w:rPr>
            </w:pPr>
            <w:r w:rsidRPr="00622884">
              <w:rPr>
                <w:rFonts w:ascii="Garamond" w:eastAsia="SimSun" w:hAnsi="Garamond" w:cs="Times New Roman"/>
                <w:color w:val="1D3C5A"/>
                <w:sz w:val="10"/>
                <w:lang w:eastAsia="en-US" w:bidi="sq-AL"/>
              </w:rPr>
              <w:t>62.1 Të zhvillohen ose të rishikohen planet e Lëvizshmërisë së Qëndrueshme Urbane në nivel bashkiak, për t’u siguruar që ato të jenë të përshtatura ndaj klimës, ndikimeve të ndryshimeve klimatike dhe në përputhje me prioritetet kombëtare të përshtatjes. Këto plane duhet të mbulojnë elemente që lidhen me përshtatjen, siç janë:</w:t>
            </w:r>
            <w:r w:rsidRPr="00622884">
              <w:rPr>
                <w:rFonts w:ascii="Garamond" w:eastAsia="SimSun" w:hAnsi="Garamond" w:cs="Times New Roman"/>
                <w:color w:val="1D3C5A"/>
                <w:sz w:val="10"/>
                <w:lang w:eastAsia="en-US" w:bidi="sq-AL"/>
              </w:rPr>
              <w:br/>
              <w:t>a) Udhëzimet për vlerësimin e cenueshmërive dhe risqeve që ndikojnë në rrjetin rrugor;</w:t>
            </w:r>
            <w:r w:rsidRPr="00622884">
              <w:rPr>
                <w:rFonts w:ascii="Garamond" w:eastAsia="SimSun" w:hAnsi="Garamond" w:cs="Times New Roman"/>
                <w:color w:val="1D3C5A"/>
                <w:sz w:val="10"/>
                <w:lang w:eastAsia="en-US" w:bidi="sq-AL"/>
              </w:rPr>
              <w:br/>
              <w:t>b) Zhvillimi dhe zbatimi i planeve me aftësi ripërtëritëse ndaj klimës për projektet e infrastrukturës rrugore;</w:t>
            </w:r>
            <w:r w:rsidRPr="00622884">
              <w:rPr>
                <w:rFonts w:ascii="Garamond" w:eastAsia="SimSun" w:hAnsi="Garamond" w:cs="Times New Roman"/>
                <w:color w:val="1D3C5A"/>
                <w:sz w:val="10"/>
                <w:lang w:eastAsia="en-US" w:bidi="sq-AL"/>
              </w:rPr>
              <w:br/>
              <w:t>c) Përkufizimi i mekanizmave të mirëmbajtjes së rrugës nëpërmjet planeve shumë-vjeçare të mirëmbajtjes së rrugës dhe sistemeve të menaxhimit të aseteve rrugore.</w:t>
            </w:r>
            <w:r w:rsidRPr="00622884">
              <w:rPr>
                <w:rFonts w:ascii="Garamond" w:eastAsia="SimSun" w:hAnsi="Garamond" w:cs="Times New Roman"/>
                <w:color w:val="1D3C5A"/>
                <w:sz w:val="10"/>
                <w:lang w:eastAsia="en-US" w:bidi="sq-AL"/>
              </w:rPr>
              <w:br/>
              <w:t xml:space="preserve">62.2 Të pilotohet zbatimi i Planeve të Lëvizshmërisë së Qëndrueshme Urbane me aftësi ripërtëritëse ndaj klimës në Durrës, Elbasan, Gjirokastër, Përmet dhe Fier, duke siguruar planifikim pjesëmarrës, koordinim ndërsektorial dhe përputhje me risqet klimatike të identifikuara. </w:t>
            </w:r>
          </w:p>
          <w:p w14:paraId="1FA0E95D"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Calibri Light"/>
                <w:color w:val="1D3C5A"/>
                <w:sz w:val="10"/>
                <w:szCs w:val="16"/>
                <w:lang w:eastAsia="en-US"/>
              </w:rPr>
              <w:t>62.3 Integrimi i sistemeve inteligjente të informacionit dhe digjitalizimit për rritjen e qëëndrueshmërisë së transportit urban.</w:t>
            </w:r>
            <w:r w:rsidRPr="00622884">
              <w:rPr>
                <w:rFonts w:ascii="Garamond" w:eastAsia="SimSun" w:hAnsi="Garamond" w:cs="Calibri Light"/>
                <w:b/>
                <w:bCs/>
                <w:color w:val="1D3C5A"/>
                <w:sz w:val="10"/>
                <w:szCs w:val="16"/>
                <w:lang w:eastAsia="en-US"/>
              </w:rPr>
              <w:t xml:space="preserve"> </w:t>
            </w:r>
            <w:r w:rsidRPr="00622884">
              <w:rPr>
                <w:rFonts w:ascii="Garamond" w:eastAsia="SimSun" w:hAnsi="Garamond" w:cs="Calibri Light"/>
                <w:color w:val="1D3C5A"/>
                <w:sz w:val="10"/>
                <w:szCs w:val="16"/>
                <w:lang w:eastAsia="en-US"/>
              </w:rPr>
              <w:t>Të zhvillohen dhe integrohen sisteme digjitale për menaxhimin e transportit publik, duke përfshirë biletimin elektronik dhe tabelat informuese në kohë reale në stacione, me qëllim përmirësimin e menaxhimit të flukseve të udhëtarëve dhe garantimin e funksionimit të qëndrueshëm të shërbimit të transportit publik në kushte të ngjarjeve klimatike ekstreme.</w:t>
            </w:r>
          </w:p>
        </w:tc>
        <w:tc>
          <w:tcPr>
            <w:tcW w:w="535" w:type="pct"/>
            <w:vAlign w:val="center"/>
          </w:tcPr>
          <w:p w14:paraId="7B255C43" w14:textId="77777777" w:rsidR="00622884" w:rsidRPr="00622884" w:rsidRDefault="00622884" w:rsidP="00622884">
            <w:pPr>
              <w:spacing w:after="0" w:line="240" w:lineRule="auto"/>
              <w:jc w:val="center"/>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ASH</w:t>
            </w:r>
          </w:p>
        </w:tc>
        <w:tc>
          <w:tcPr>
            <w:tcW w:w="938" w:type="pct"/>
            <w:vAlign w:val="center"/>
          </w:tcPr>
          <w:p w14:paraId="6351817B"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1. Numri i bashkive ku janë zhvilluar ose rishikuar Planet e Lëvizshmërisë së Qëndrueshme Urbane të përshtatura ndaj klimës.</w:t>
            </w:r>
            <w:r w:rsidRPr="00622884">
              <w:rPr>
                <w:rFonts w:ascii="Garamond" w:eastAsia="SimSun" w:hAnsi="Garamond" w:cs="Times New Roman"/>
                <w:color w:val="1D3C5A"/>
                <w:sz w:val="10"/>
                <w:lang w:eastAsia="en-US" w:bidi="sq-AL"/>
              </w:rPr>
              <w:br/>
              <w:t>2. Numri i Planeve të Lëvizshmërisë së Qëndrueshme Urbane ku përfshihen vlerësimet e cenueshmërisë dhe hartëzimin e risqeve klimatike.</w:t>
            </w:r>
            <w:r w:rsidRPr="00622884">
              <w:rPr>
                <w:rFonts w:ascii="Garamond" w:eastAsia="SimSun" w:hAnsi="Garamond" w:cs="Times New Roman"/>
                <w:color w:val="1D3C5A"/>
                <w:sz w:val="10"/>
                <w:lang w:eastAsia="en-US" w:bidi="sq-AL"/>
              </w:rPr>
              <w:br/>
              <w:t>3. Numri i bashkive që zbatojnë plane shumëvjeçare të mirëmbajtjes së rrugëve me aftësi ripërtëritëse ndaj klimës.</w:t>
            </w:r>
            <w:r w:rsidRPr="00622884">
              <w:rPr>
                <w:rFonts w:ascii="Garamond" w:eastAsia="SimSun" w:hAnsi="Garamond" w:cs="Times New Roman"/>
                <w:color w:val="1D3C5A"/>
                <w:sz w:val="10"/>
                <w:lang w:eastAsia="en-US" w:bidi="sq-AL"/>
              </w:rPr>
              <w:br/>
              <w:t>4. Përqindja e projekteve të infrastrukturës rrugore në qytetet pilot të projektuara ose të përmirësuara duke përdorur standarde me aftësi ripërtëritëse ndaj klimës.</w:t>
            </w:r>
            <w:r w:rsidRPr="00622884">
              <w:rPr>
                <w:rFonts w:ascii="Garamond" w:eastAsia="SimSun" w:hAnsi="Garamond" w:cs="Times New Roman"/>
                <w:color w:val="1D3C5A"/>
                <w:sz w:val="10"/>
                <w:lang w:eastAsia="en-US" w:bidi="sq-AL"/>
              </w:rPr>
              <w:br/>
              <w:t>5. Numri i konsultimeve pjesëmarrëse të kryera gjatë zhvillimit dhe zbatimit të Planit të Lëvizshmërisë së Qëndrueshme Urbane.</w:t>
            </w:r>
          </w:p>
        </w:tc>
        <w:tc>
          <w:tcPr>
            <w:tcW w:w="536" w:type="pct"/>
            <w:vAlign w:val="center"/>
          </w:tcPr>
          <w:p w14:paraId="48E1315C"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Ministria e Infrastrukturës dhe Energjisë, Bashkitë</w:t>
            </w:r>
          </w:p>
        </w:tc>
        <w:tc>
          <w:tcPr>
            <w:tcW w:w="468" w:type="pct"/>
            <w:vAlign w:val="center"/>
          </w:tcPr>
          <w:p w14:paraId="022F82EC"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1.200.000</w:t>
            </w:r>
          </w:p>
        </w:tc>
      </w:tr>
      <w:tr w:rsidR="00622884" w:rsidRPr="00622884" w14:paraId="421430B6" w14:textId="77777777" w:rsidTr="00622884">
        <w:trPr>
          <w:trHeight w:val="567"/>
          <w:jc w:val="center"/>
        </w:trPr>
        <w:tc>
          <w:tcPr>
            <w:tcW w:w="245" w:type="pct"/>
            <w:vAlign w:val="center"/>
          </w:tcPr>
          <w:p w14:paraId="666F2741" w14:textId="77777777" w:rsidR="00622884" w:rsidRPr="00622884" w:rsidRDefault="00622884" w:rsidP="00622884">
            <w:pPr>
              <w:spacing w:after="0" w:line="240" w:lineRule="auto"/>
              <w:jc w:val="center"/>
              <w:rPr>
                <w:rFonts w:ascii="Garamond" w:eastAsia="SimSun" w:hAnsi="Garamond" w:cs="Calibri Light"/>
                <w:b/>
                <w:bCs/>
                <w:color w:val="1D3C5A"/>
                <w:sz w:val="10"/>
                <w:szCs w:val="16"/>
                <w:lang w:eastAsia="en-US"/>
              </w:rPr>
            </w:pPr>
            <w:r w:rsidRPr="00622884">
              <w:rPr>
                <w:rFonts w:ascii="Garamond" w:eastAsia="SimSun" w:hAnsi="Garamond" w:cs="Times New Roman"/>
                <w:b/>
                <w:color w:val="1D3C5A"/>
                <w:sz w:val="10"/>
                <w:lang w:eastAsia="en-US" w:bidi="sq-AL"/>
              </w:rPr>
              <w:t>63</w:t>
            </w:r>
          </w:p>
        </w:tc>
        <w:tc>
          <w:tcPr>
            <w:tcW w:w="373" w:type="pct"/>
            <w:vAlign w:val="center"/>
          </w:tcPr>
          <w:p w14:paraId="5141DE7A"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Transporti</w:t>
            </w:r>
          </w:p>
        </w:tc>
        <w:tc>
          <w:tcPr>
            <w:tcW w:w="389" w:type="pct"/>
            <w:vAlign w:val="center"/>
          </w:tcPr>
          <w:p w14:paraId="6700BD71"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Përshtatja e infrastrukturës kritike të transportit: Vlerësimi i përparuar i riskut dhe zgjidhje të projektimit me aftësi ripërtëritëse</w:t>
            </w:r>
          </w:p>
        </w:tc>
        <w:tc>
          <w:tcPr>
            <w:tcW w:w="387" w:type="pct"/>
            <w:vAlign w:val="center"/>
          </w:tcPr>
          <w:p w14:paraId="22709110"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Ndërhyrja e butë</w:t>
            </w:r>
            <w:r w:rsidRPr="00622884">
              <w:rPr>
                <w:rFonts w:ascii="Garamond" w:eastAsia="SimSun" w:hAnsi="Garamond" w:cs="Times New Roman"/>
                <w:b/>
                <w:color w:val="1D3C5A"/>
                <w:sz w:val="10"/>
                <w:lang w:eastAsia="en-US" w:bidi="sq-AL"/>
              </w:rPr>
              <w:t>:</w:t>
            </w:r>
          </w:p>
        </w:tc>
        <w:tc>
          <w:tcPr>
            <w:tcW w:w="1129" w:type="pct"/>
            <w:vAlign w:val="center"/>
          </w:tcPr>
          <w:p w14:paraId="5379D3B3" w14:textId="77777777" w:rsidR="00622884" w:rsidRPr="00622884" w:rsidRDefault="00622884" w:rsidP="00622884">
            <w:pPr>
              <w:spacing w:after="0" w:line="240" w:lineRule="auto"/>
              <w:jc w:val="left"/>
              <w:rPr>
                <w:rFonts w:ascii="Garamond" w:eastAsia="SimSun" w:hAnsi="Garamond" w:cs="Times New Roman"/>
                <w:color w:val="1D3C5A"/>
                <w:sz w:val="10"/>
                <w:lang w:eastAsia="en-US" w:bidi="sq-AL"/>
              </w:rPr>
            </w:pPr>
            <w:r w:rsidRPr="00622884">
              <w:rPr>
                <w:rFonts w:ascii="Garamond" w:eastAsia="SimSun" w:hAnsi="Garamond" w:cs="Times New Roman"/>
                <w:color w:val="1D3C5A"/>
                <w:sz w:val="10"/>
                <w:lang w:eastAsia="en-US" w:bidi="sq-AL"/>
              </w:rPr>
              <w:t xml:space="preserve">63.1 Të kryhen vlerësime të cenueshmërisë dhe riskut klimatik për infrastrukturën detare </w:t>
            </w:r>
            <w:bookmarkStart w:id="323" w:name="_Hlk225421671"/>
            <w:r w:rsidRPr="00622884">
              <w:rPr>
                <w:rFonts w:ascii="Garamond" w:eastAsia="SimSun" w:hAnsi="Garamond" w:cs="Times New Roman"/>
                <w:color w:val="1D3C5A"/>
                <w:sz w:val="10"/>
                <w:lang w:eastAsia="en-US" w:bidi="sq-AL"/>
              </w:rPr>
              <w:t>duke përfshirë në mënyrë të veçantë infrastrukturën portuale dhe zonat me ekspozim të lartë si Porti i Durrësit</w:t>
            </w:r>
            <w:bookmarkEnd w:id="323"/>
            <w:r w:rsidRPr="00622884">
              <w:rPr>
                <w:rFonts w:ascii="Garamond" w:eastAsia="SimSun" w:hAnsi="Garamond" w:cs="Times New Roman"/>
                <w:color w:val="1D3C5A"/>
                <w:sz w:val="10"/>
                <w:lang w:eastAsia="en-US" w:bidi="sq-AL"/>
              </w:rPr>
              <w:t xml:space="preserve">, hekurudhore dhe infrastrukturën kritike të transportit, duke përdorur modelim të avancuar të klimës për të vlerësuar ekspozimin e ardhshëm ndaj ngjarjeve ekstreme si përmbytjet, thatësirat dhe stuhitë. </w:t>
            </w:r>
            <w:r w:rsidRPr="00622884">
              <w:rPr>
                <w:rFonts w:ascii="Garamond" w:eastAsia="SimSun" w:hAnsi="Garamond" w:cs="Times New Roman"/>
                <w:color w:val="1D3C5A"/>
                <w:sz w:val="10"/>
                <w:lang w:eastAsia="en-US" w:bidi="sq-AL"/>
              </w:rPr>
              <w:br/>
              <w:t xml:space="preserve">63.2 Të integrohen masa e përshtatjes të infrastrukturës në planet kombëtare dhe sektoriale të transportit, si projektet e rrugëve me aftësi ripërtëritëse ndaj përmbytjeve, linja hekurudhore të ngritura, shinat e përforcuara, materialet e ndërtimit me aftësi ripërtëritëse ndaj klimës, muret mbrojtëse bregdetare dhe strukturat portuale me aftësi ripërtëritëse ndaj stuhive. </w:t>
            </w:r>
            <w:r w:rsidRPr="00622884">
              <w:rPr>
                <w:rFonts w:ascii="Garamond" w:eastAsia="SimSun" w:hAnsi="Garamond" w:cs="Times New Roman"/>
                <w:color w:val="1D3C5A"/>
                <w:sz w:val="10"/>
                <w:lang w:eastAsia="en-US" w:bidi="sq-AL"/>
              </w:rPr>
              <w:br/>
              <w:t>63.3 Të integrohet përshtatja ndaj ndryshimeve klimatike në rregulloret e transportit detar dhe hekurudhor, duke siguruar që standardet e planifikimit, ndërtimit dhe mirëmbajtjes të pasqyrojnë kushtet e parashikuara klimatike dhe kriteret e qëndrueshmërisë.</w:t>
            </w:r>
            <w:r w:rsidRPr="00622884">
              <w:rPr>
                <w:rFonts w:ascii="Garamond" w:eastAsia="SimSun" w:hAnsi="Garamond" w:cs="Times New Roman"/>
                <w:color w:val="1D3C5A"/>
                <w:sz w:val="10"/>
                <w:lang w:eastAsia="en-US" w:bidi="sq-AL"/>
              </w:rPr>
              <w:br/>
              <w:t>63.4 Të forcohen sistemet e paralajmërimit të hershëm dhe protokollet e reagimit ndaj emergjencave për sistemet e transportit, veçanërisht në zonat me risk të lartë, për të zvogëluar ndërprerjet dhe dëmet e shërbimit gjatë ngjarjeve ekstreme meteorologjike.</w:t>
            </w:r>
          </w:p>
          <w:p w14:paraId="03BB5F69"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Calibri Light"/>
                <w:color w:val="1D3C5A"/>
                <w:sz w:val="10"/>
                <w:szCs w:val="16"/>
                <w:lang w:eastAsia="en-US"/>
              </w:rPr>
              <w:t>63.5 Të kryhen vlerësime të dedikuara të cenueshmërisë dhe riskut klimatik për infrastrukturën portuale, si dhe të zhvillohen dhe zbatohen standarde projektimi “</w:t>
            </w:r>
            <w:r w:rsidRPr="00622884">
              <w:rPr>
                <w:rFonts w:ascii="Garamond" w:eastAsia="SimSun" w:hAnsi="Garamond" w:cs="Calibri Light"/>
                <w:i/>
                <w:color w:val="1D3C5A"/>
                <w:sz w:val="10"/>
                <w:szCs w:val="16"/>
                <w:lang w:eastAsia="en-US"/>
              </w:rPr>
              <w:t>climate-proof</w:t>
            </w:r>
            <w:r w:rsidRPr="00622884">
              <w:rPr>
                <w:rFonts w:ascii="Garamond" w:eastAsia="SimSun" w:hAnsi="Garamond" w:cs="Calibri Light"/>
                <w:color w:val="1D3C5A"/>
                <w:sz w:val="10"/>
                <w:szCs w:val="16"/>
                <w:lang w:eastAsia="en-US"/>
              </w:rPr>
              <w:t>” për investimet portuale. Gjithashtu, të integrohen masa për menaxhimin e përmbytjeve nga reshjet dhe ato bregdetare në nyjat portuale, duke përfshirë përmirësimin e sistemeve të drenazhimit dhe mbrojtjen e infrastrukturës kritike, si dhe të hartohen plane emergjence klimatike për garantimin e funksionimit të vazhdueshëm të porteve në kushtet e ngjarjeve ekstreme.</w:t>
            </w:r>
          </w:p>
        </w:tc>
        <w:tc>
          <w:tcPr>
            <w:tcW w:w="535" w:type="pct"/>
            <w:vAlign w:val="center"/>
          </w:tcPr>
          <w:p w14:paraId="4647E967" w14:textId="77777777" w:rsidR="00622884" w:rsidRPr="00622884" w:rsidRDefault="00622884" w:rsidP="00622884">
            <w:pPr>
              <w:spacing w:after="0" w:line="240" w:lineRule="auto"/>
              <w:jc w:val="center"/>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ASH</w:t>
            </w:r>
          </w:p>
        </w:tc>
        <w:tc>
          <w:tcPr>
            <w:tcW w:w="938" w:type="pct"/>
            <w:vAlign w:val="center"/>
          </w:tcPr>
          <w:p w14:paraId="4FD1FF57" w14:textId="77777777" w:rsidR="00622884" w:rsidRPr="00622884" w:rsidRDefault="00622884" w:rsidP="00622884">
            <w:pPr>
              <w:spacing w:after="0" w:line="240" w:lineRule="auto"/>
              <w:jc w:val="left"/>
              <w:rPr>
                <w:rFonts w:ascii="Garamond" w:eastAsia="SimSun" w:hAnsi="Garamond" w:cs="Times New Roman"/>
                <w:color w:val="1D3C5A"/>
                <w:sz w:val="10"/>
                <w:lang w:eastAsia="en-US" w:bidi="sq-AL"/>
              </w:rPr>
            </w:pPr>
            <w:r w:rsidRPr="00622884">
              <w:rPr>
                <w:rFonts w:ascii="Garamond" w:eastAsia="SimSun" w:hAnsi="Garamond" w:cs="Times New Roman"/>
                <w:color w:val="1D3C5A"/>
                <w:sz w:val="10"/>
                <w:lang w:eastAsia="en-US" w:bidi="sq-AL"/>
              </w:rPr>
              <w:t>1. Numri i vlerësimeve të cenueshmërisë dhe riskut ndaj klimës të kryera për infrastrukturën kritike të transportit.</w:t>
            </w:r>
            <w:r w:rsidRPr="00622884">
              <w:rPr>
                <w:rFonts w:ascii="Garamond" w:eastAsia="SimSun" w:hAnsi="Garamond" w:cs="Times New Roman"/>
                <w:color w:val="1D3C5A"/>
                <w:sz w:val="10"/>
                <w:lang w:eastAsia="en-US" w:bidi="sq-AL"/>
              </w:rPr>
              <w:br/>
              <w:t>2. Përqindja e planeve kombëtare dhe sektoriale të transportit që përfshijnë masa infrastrukturore me aftësi ripërtëritëse ndaj klimës.</w:t>
            </w:r>
            <w:r w:rsidRPr="00622884">
              <w:rPr>
                <w:rFonts w:ascii="Garamond" w:eastAsia="SimSun" w:hAnsi="Garamond" w:cs="Times New Roman"/>
                <w:color w:val="1D3C5A"/>
                <w:sz w:val="10"/>
                <w:lang w:eastAsia="en-US" w:bidi="sq-AL"/>
              </w:rPr>
              <w:br/>
              <w:t>3. Numri i rregulloreve të përditësuara detare dhe hekurudhore që përfshijnë standardet e përshtatjes ndaj klimës.</w:t>
            </w:r>
            <w:r w:rsidRPr="00622884">
              <w:rPr>
                <w:rFonts w:ascii="Garamond" w:eastAsia="SimSun" w:hAnsi="Garamond" w:cs="Times New Roman"/>
                <w:color w:val="1D3C5A"/>
                <w:sz w:val="10"/>
                <w:lang w:eastAsia="en-US" w:bidi="sq-AL"/>
              </w:rPr>
              <w:br/>
              <w:t>4. Numri i objekteve të transportit të pajisura me sisteme të përparuara të paralajmërimit të hershëm dhe protokolle të reagimit ndaj emergjencave.</w:t>
            </w:r>
            <w:r w:rsidRPr="00622884">
              <w:rPr>
                <w:rFonts w:ascii="Garamond" w:eastAsia="SimSun" w:hAnsi="Garamond" w:cs="Times New Roman"/>
                <w:color w:val="1D3C5A"/>
                <w:sz w:val="10"/>
                <w:lang w:eastAsia="en-US" w:bidi="sq-AL"/>
              </w:rPr>
              <w:br/>
              <w:t>5. Ulje përqindjeje e kohës së ndërprerjes për shërbimet e transportit gjatë ngjarjeve ekstreme të motit</w:t>
            </w:r>
          </w:p>
          <w:p w14:paraId="463D8E29"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Calibri Light"/>
                <w:color w:val="1D3C5A"/>
                <w:sz w:val="10"/>
                <w:szCs w:val="16"/>
                <w:lang w:eastAsia="en-US"/>
              </w:rPr>
              <w:t>6.</w:t>
            </w:r>
            <w:r w:rsidRPr="00622884">
              <w:rPr>
                <w:rFonts w:ascii="Garamond" w:eastAsia="Calibri" w:hAnsi="Garamond" w:cs="Times New Roman"/>
                <w:sz w:val="10"/>
                <w:lang w:eastAsia="en-US"/>
              </w:rPr>
              <w:t xml:space="preserve"> </w:t>
            </w:r>
            <w:r w:rsidRPr="00622884">
              <w:rPr>
                <w:rFonts w:ascii="Garamond" w:eastAsia="SimSun" w:hAnsi="Garamond" w:cs="Calibri Light"/>
                <w:color w:val="1D3C5A"/>
                <w:sz w:val="10"/>
                <w:szCs w:val="16"/>
                <w:lang w:eastAsia="en-US"/>
              </w:rPr>
              <w:t>Numri i porteve/infrastrukturave portuale prioritare për të cilat janë kryer vlerësime të cenueshmërisë dhe riskut klimatik dhe janë miratuar plane përshtatjeje që përfshijnë masa për menaxhimin e përmbytjeve dhe përmirësimin e sistemeve të drenazhimit.</w:t>
            </w:r>
          </w:p>
        </w:tc>
        <w:tc>
          <w:tcPr>
            <w:tcW w:w="536" w:type="pct"/>
            <w:vAlign w:val="center"/>
          </w:tcPr>
          <w:p w14:paraId="4283A7C4"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 xml:space="preserve">Ministria e Infrastrukturës dhe Energjisë, Bashkitë, Autoriteti Portual Durrës </w:t>
            </w:r>
          </w:p>
        </w:tc>
        <w:tc>
          <w:tcPr>
            <w:tcW w:w="468" w:type="pct"/>
            <w:vAlign w:val="center"/>
          </w:tcPr>
          <w:p w14:paraId="4FC7E11F"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2.700.000</w:t>
            </w:r>
          </w:p>
        </w:tc>
      </w:tr>
      <w:tr w:rsidR="00622884" w:rsidRPr="00622884" w14:paraId="0F0D28A3" w14:textId="77777777" w:rsidTr="00622884">
        <w:trPr>
          <w:trHeight w:val="794"/>
          <w:jc w:val="center"/>
        </w:trPr>
        <w:tc>
          <w:tcPr>
            <w:tcW w:w="245" w:type="pct"/>
            <w:vAlign w:val="center"/>
          </w:tcPr>
          <w:p w14:paraId="1B9D96C7" w14:textId="77777777" w:rsidR="00622884" w:rsidRPr="00622884" w:rsidRDefault="00622884" w:rsidP="00622884">
            <w:pPr>
              <w:spacing w:after="0" w:line="240" w:lineRule="auto"/>
              <w:jc w:val="center"/>
              <w:rPr>
                <w:rFonts w:ascii="Garamond" w:eastAsia="SimSun" w:hAnsi="Garamond" w:cs="Calibri Light"/>
                <w:b/>
                <w:bCs/>
                <w:color w:val="1D3C5A"/>
                <w:sz w:val="10"/>
                <w:szCs w:val="16"/>
                <w:lang w:eastAsia="en-US"/>
              </w:rPr>
            </w:pPr>
            <w:r w:rsidRPr="00622884">
              <w:rPr>
                <w:rFonts w:ascii="Garamond" w:eastAsia="SimSun" w:hAnsi="Garamond" w:cs="Times New Roman"/>
                <w:b/>
                <w:color w:val="1D3C5A"/>
                <w:sz w:val="10"/>
                <w:lang w:eastAsia="en-US" w:bidi="sq-AL"/>
              </w:rPr>
              <w:t>64</w:t>
            </w:r>
          </w:p>
        </w:tc>
        <w:tc>
          <w:tcPr>
            <w:tcW w:w="373" w:type="pct"/>
            <w:vAlign w:val="center"/>
          </w:tcPr>
          <w:p w14:paraId="07AE0FE9"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Transporti</w:t>
            </w:r>
          </w:p>
        </w:tc>
        <w:tc>
          <w:tcPr>
            <w:tcW w:w="389" w:type="pct"/>
            <w:vAlign w:val="center"/>
          </w:tcPr>
          <w:p w14:paraId="3BA5194A"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Integrimi i zgjidhjeve të bazuara në natyrë dhe përshtatjes së bazuar në mjedis për aftësitë ripërtëritëse të sektorit të transportit: Përmirësimi i infrastrukturës përmes përshtatjes së bazuar në natyrë dhe ekosisteme</w:t>
            </w:r>
          </w:p>
        </w:tc>
        <w:tc>
          <w:tcPr>
            <w:tcW w:w="387" w:type="pct"/>
            <w:vAlign w:val="center"/>
          </w:tcPr>
          <w:p w14:paraId="47C7F5D6"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Ndërhyrja e gjelbër</w:t>
            </w:r>
          </w:p>
        </w:tc>
        <w:tc>
          <w:tcPr>
            <w:tcW w:w="1129" w:type="pct"/>
            <w:vAlign w:val="center"/>
          </w:tcPr>
          <w:p w14:paraId="5D2EF74B"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 xml:space="preserve">64.1 Të kryhet një vlerësim i opsioneve për zbatimin e korridoreve të gjelbra përgjatë infrastrukturës rrugore, për të zbutur ndikimet e ndryshimeve klimatike, duke parandaluar efektin e ishullit të nxehtësisë dhe duke reduktuar risqet e përmbytjeve dhe erozionin. Analiza duhet të identifikojë kilometrat dhe sipërfaqet përreth rrugëve specifike në të cilat do të kryhen ndërhyrje, së bashku me planin e zbatimit dhe analizën e fizibilitetit. </w:t>
            </w:r>
            <w:r w:rsidRPr="00622884">
              <w:rPr>
                <w:rFonts w:ascii="Garamond" w:eastAsia="SimSun" w:hAnsi="Garamond" w:cs="Times New Roman"/>
                <w:color w:val="1D3C5A"/>
                <w:sz w:val="10"/>
                <w:lang w:eastAsia="en-US" w:bidi="sq-AL"/>
              </w:rPr>
              <w:br/>
              <w:t>64.2 Brezat buferikë bregdetarë përgjatë rrugëve që kalojnë pranë lumenjve: Të krijohen zona buferike bimore përgjatë rrugëve pranë lumenjve, për të reduktuar erozionin, stabilizuar brigjet dhe minimizuar dëmet nga përmbytjet.</w:t>
            </w:r>
            <w:r w:rsidRPr="00622884">
              <w:rPr>
                <w:rFonts w:ascii="Garamond" w:eastAsia="SimSun" w:hAnsi="Garamond" w:cs="Times New Roman"/>
                <w:color w:val="1D3C5A"/>
                <w:sz w:val="10"/>
                <w:lang w:eastAsia="en-US" w:bidi="sq-AL"/>
              </w:rPr>
              <w:br/>
              <w:t>64.3 Trotuare të përshkueshëm nga uji dhe kullues të gjelbër në transportin urban: Zëvendësimi i trotuareve konvencionale me alternativa të përshkueshme nga uji.</w:t>
            </w:r>
          </w:p>
          <w:p w14:paraId="6DD1EF4E"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64.4 Të kryhet pyllëzim dhe të realizohet tarracim për parandalimin e rrëshqitjeve të tokës përgjatë rrugëve malore. Të kryhet mbjellja e pemëve dhe bimësisë vendase në shpatet përgjatë rrugëve kryesore të transportit dhe të zbatohen sistemet e tarracave për të zvogëluar risqet e erozionit të tokës dhe rrëshqitjeve të dheut.</w:t>
            </w:r>
            <w:r w:rsidRPr="00622884">
              <w:rPr>
                <w:rFonts w:ascii="Garamond" w:eastAsia="SimSun" w:hAnsi="Garamond" w:cs="Times New Roman"/>
                <w:color w:val="1D3C5A"/>
                <w:sz w:val="10"/>
                <w:lang w:eastAsia="en-US" w:bidi="sq-AL"/>
              </w:rPr>
              <w:br/>
              <w:t>64.5 Mbrojtja e ligatinave bregdetare për me aftësitë ripërtëritëse ndaj transportit: Të restaurohen dhe të ruhen zonat e lagunave bregdetare për të vepruar si barriera natyrore ndaj valëve të stuhive dhe erozionit bregdetar që ndikojnë në infrastrukturën e transportit.</w:t>
            </w:r>
            <w:r w:rsidRPr="00622884">
              <w:rPr>
                <w:rFonts w:ascii="Garamond" w:eastAsia="SimSun" w:hAnsi="Garamond" w:cs="Times New Roman"/>
                <w:color w:val="1D3C5A"/>
                <w:sz w:val="10"/>
                <w:lang w:eastAsia="en-US" w:bidi="sq-AL"/>
              </w:rPr>
              <w:br/>
              <w:t xml:space="preserve">64.6 Praktikat e qëndrueshme të thellimit për rrugët ujore </w:t>
            </w:r>
            <w:r w:rsidRPr="00622884">
              <w:rPr>
                <w:rFonts w:ascii="Garamond" w:eastAsia="SimSun" w:hAnsi="Garamond" w:cs="Times New Roman"/>
                <w:color w:val="1D3C5A"/>
                <w:sz w:val="10"/>
                <w:lang w:eastAsia="en-US" w:bidi="sq-AL"/>
              </w:rPr>
              <w:lastRenderedPageBreak/>
              <w:t>të lundrueshme: Të zbatohen teknika të thellimit të përgjegjshme ndaj mjedisit për mirëmbajtjen e rrugëve ujore të transportit, duke ruajtur njëkohësisht biodiversitetin detar.</w:t>
            </w:r>
            <w:r w:rsidRPr="00622884">
              <w:rPr>
                <w:rFonts w:ascii="Garamond" w:eastAsia="SimSun" w:hAnsi="Garamond" w:cs="Times New Roman"/>
                <w:color w:val="1D3C5A"/>
                <w:sz w:val="10"/>
                <w:lang w:eastAsia="en-US" w:bidi="sq-AL"/>
              </w:rPr>
              <w:br/>
              <w:t>64.7 Korridore të gjelbra përgjatë autostradave dhe linjave hekurudhore Restaurimi dhe rivendosja e korridoreve të rrethuara me pemë dhe brezave të gjelbër përgjatë rrugëve kryesore dhe linjave hekurudhore për të zvogëluar stresin e nxehtësisë, për të siguruar hije, për të thithur ndotësit, për të funksionuar si barriera zhurme dhe për të përmirësuar lidhshmërinë e biodiversitetit.</w:t>
            </w:r>
            <w:r w:rsidRPr="00622884">
              <w:rPr>
                <w:rFonts w:ascii="Garamond" w:eastAsia="SimSun" w:hAnsi="Garamond" w:cs="Times New Roman"/>
                <w:color w:val="1D3C5A"/>
                <w:sz w:val="10"/>
                <w:lang w:eastAsia="en-US" w:bidi="sq-AL"/>
              </w:rPr>
              <w:br/>
              <w:t>64.8 Bioinxhinieria për stabilizimin e rrugëve dhe hekurudhave: Të përdoren teknika biologjike për stabilizimin e shpateve, si mbulesa bimore dhe tarraca të mbjella, përgjatë rrugëve të transportit të cenueshme ndaj rrëshqitjeve të dheut ose erozionit në zonat jo-malore.</w:t>
            </w:r>
            <w:r w:rsidRPr="00622884">
              <w:rPr>
                <w:rFonts w:ascii="Garamond" w:eastAsia="SimSun" w:hAnsi="Garamond" w:cs="Times New Roman"/>
                <w:color w:val="1D3C5A"/>
                <w:sz w:val="10"/>
                <w:lang w:eastAsia="en-US" w:bidi="sq-AL"/>
              </w:rPr>
              <w:br/>
              <w:t>64.9 Të krijohen vijëzime bregdetare të gjalla për qëndrueshmërinë e transportit bregdetar, duke përdorur shkëmbinj nënujorë me goca deti dhe zona buferike bimore për të stabilizuar vijat bregdetare dhe për të mbrojtur infrastrukturën e transportit nga veprimi i valëve dhe rritja e nivelit të detit.</w:t>
            </w:r>
            <w:r w:rsidRPr="00622884">
              <w:rPr>
                <w:rFonts w:ascii="Garamond" w:eastAsia="SimSun" w:hAnsi="Garamond" w:cs="Times New Roman"/>
                <w:color w:val="1D3C5A"/>
                <w:sz w:val="10"/>
                <w:lang w:eastAsia="en-US" w:bidi="sq-AL"/>
              </w:rPr>
              <w:br/>
              <w:t>64.10 Të integrohen ura të gjelbra për kalimet e kafshëve të egra, duke zhvilluar mbikalime dhe nënkalime miqësore me mjedisin për të parandaluar vrasjen e kafshëve dhe për të siguruar migrim të sigurt të llojeve përgjatë rrjetit të transportit.</w:t>
            </w:r>
          </w:p>
        </w:tc>
        <w:tc>
          <w:tcPr>
            <w:tcW w:w="535" w:type="pct"/>
            <w:vAlign w:val="center"/>
          </w:tcPr>
          <w:p w14:paraId="29D6753B" w14:textId="77777777" w:rsidR="00622884" w:rsidRPr="00622884" w:rsidRDefault="00622884" w:rsidP="00622884">
            <w:pPr>
              <w:spacing w:after="0" w:line="240" w:lineRule="auto"/>
              <w:jc w:val="center"/>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lastRenderedPageBreak/>
              <w:t>AM</w:t>
            </w:r>
          </w:p>
        </w:tc>
        <w:tc>
          <w:tcPr>
            <w:tcW w:w="938" w:type="pct"/>
            <w:vAlign w:val="center"/>
          </w:tcPr>
          <w:p w14:paraId="235C0F82"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1. Gjatësia (km) e infrastrukturës së transportit (rrugë ose hekurudha) me korridore të gjelbra ose zona buferike bimore.</w:t>
            </w:r>
            <w:r w:rsidRPr="00622884">
              <w:rPr>
                <w:rFonts w:ascii="Garamond" w:eastAsia="SimSun" w:hAnsi="Garamond" w:cs="Times New Roman"/>
                <w:color w:val="1D3C5A"/>
                <w:sz w:val="10"/>
                <w:lang w:eastAsia="en-US" w:bidi="sq-AL"/>
              </w:rPr>
              <w:br/>
              <w:t>2. Numri i segmenteve të infrastrukturës së transportit ku janë zbatuar teknikat e bioinxhinierisë ose stabilizimit të shpateve.</w:t>
            </w:r>
            <w:r w:rsidRPr="00622884">
              <w:rPr>
                <w:rFonts w:ascii="Garamond" w:eastAsia="SimSun" w:hAnsi="Garamond" w:cs="Times New Roman"/>
                <w:color w:val="1D3C5A"/>
                <w:sz w:val="10"/>
                <w:lang w:eastAsia="en-US" w:bidi="sq-AL"/>
              </w:rPr>
              <w:br/>
              <w:t>3. Numri i brezave buferikë bregorë ose i ligatinave bregdetare të restauruara ose të krijuara për të mbrojtur infrastrukturën e transportit.</w:t>
            </w:r>
            <w:r w:rsidRPr="00622884">
              <w:rPr>
                <w:rFonts w:ascii="Garamond" w:eastAsia="SimSun" w:hAnsi="Garamond" w:cs="Times New Roman"/>
                <w:color w:val="1D3C5A"/>
                <w:sz w:val="10"/>
                <w:lang w:eastAsia="en-US" w:bidi="sq-AL"/>
              </w:rPr>
              <w:br/>
              <w:t>4. Përqindja e segmenteve të infrastrukturës së transportit të projektuara ose të rehabilituara rishtazi që përfshijnë teknologji me ndikim të ulët (p.sh., trotuare të përshkueshme nga uji, sisteme të gjelbra kullimi).</w:t>
            </w:r>
            <w:r w:rsidRPr="00622884">
              <w:rPr>
                <w:rFonts w:ascii="Garamond" w:eastAsia="SimSun" w:hAnsi="Garamond" w:cs="Times New Roman"/>
                <w:color w:val="1D3C5A"/>
                <w:sz w:val="10"/>
                <w:lang w:eastAsia="en-US" w:bidi="sq-AL"/>
              </w:rPr>
              <w:br/>
              <w:t>5. Numri i urave ekologjike ose kalimeve për kafshët e egra të ndërtuara ose të përmirësuara përgjatë korridoreve të transportit.</w:t>
            </w:r>
            <w:r w:rsidRPr="00622884">
              <w:rPr>
                <w:rFonts w:ascii="Garamond" w:eastAsia="SimSun" w:hAnsi="Garamond" w:cs="Times New Roman"/>
                <w:color w:val="1D3C5A"/>
                <w:sz w:val="10"/>
                <w:lang w:eastAsia="en-US" w:bidi="sq-AL"/>
              </w:rPr>
              <w:br/>
              <w:t>6. Ulje e përqindjes së ndërprerjeve të infrastrukturës së transportit për shkak të risqeve që lidhen me klimën (p.sh., përmbytjet, erozioni, rrëshqitjet e tokës) në zonat me ndërhyrje të ZBN-së.</w:t>
            </w:r>
          </w:p>
        </w:tc>
        <w:tc>
          <w:tcPr>
            <w:tcW w:w="536" w:type="pct"/>
          </w:tcPr>
          <w:p w14:paraId="1DCBB51C"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Ministria e Infrastrukturës dhe Energjisë, Bashkitë</w:t>
            </w:r>
          </w:p>
          <w:p w14:paraId="2AEFC692"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p>
        </w:tc>
        <w:tc>
          <w:tcPr>
            <w:tcW w:w="468" w:type="pct"/>
            <w:vAlign w:val="center"/>
          </w:tcPr>
          <w:p w14:paraId="4BA188E2"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2.029.460.000</w:t>
            </w:r>
          </w:p>
        </w:tc>
      </w:tr>
      <w:tr w:rsidR="00622884" w:rsidRPr="00622884" w14:paraId="68D619AB" w14:textId="77777777" w:rsidTr="00622884">
        <w:trPr>
          <w:trHeight w:val="70"/>
          <w:jc w:val="center"/>
        </w:trPr>
        <w:tc>
          <w:tcPr>
            <w:tcW w:w="245" w:type="pct"/>
            <w:vAlign w:val="center"/>
          </w:tcPr>
          <w:p w14:paraId="06DCA33A" w14:textId="77777777" w:rsidR="00622884" w:rsidRPr="00622884" w:rsidRDefault="00622884" w:rsidP="00622884">
            <w:pPr>
              <w:spacing w:after="0" w:line="240" w:lineRule="auto"/>
              <w:jc w:val="center"/>
              <w:rPr>
                <w:rFonts w:ascii="Garamond" w:eastAsia="SimSun" w:hAnsi="Garamond" w:cs="Calibri Light"/>
                <w:b/>
                <w:bCs/>
                <w:color w:val="1D3C5A"/>
                <w:sz w:val="10"/>
                <w:szCs w:val="16"/>
                <w:lang w:eastAsia="en-US"/>
              </w:rPr>
            </w:pPr>
            <w:r w:rsidRPr="00622884">
              <w:rPr>
                <w:rFonts w:ascii="Garamond" w:eastAsia="SimSun" w:hAnsi="Garamond" w:cs="Times New Roman"/>
                <w:b/>
                <w:color w:val="1D3C5A"/>
                <w:sz w:val="10"/>
                <w:lang w:eastAsia="en-US" w:bidi="sq-AL"/>
              </w:rPr>
              <w:t>65</w:t>
            </w:r>
          </w:p>
        </w:tc>
        <w:tc>
          <w:tcPr>
            <w:tcW w:w="373" w:type="pct"/>
            <w:vAlign w:val="center"/>
          </w:tcPr>
          <w:p w14:paraId="596E896A"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Transporti</w:t>
            </w:r>
          </w:p>
        </w:tc>
        <w:tc>
          <w:tcPr>
            <w:tcW w:w="389" w:type="pct"/>
            <w:vAlign w:val="center"/>
          </w:tcPr>
          <w:p w14:paraId="009A7AD5"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Politikat e transportit me aftësi ripërtëritëse ndaj ndryshimeve klimatike: Përfshirja e përshtatjes ndaj klimës në kuadrin rregullator</w:t>
            </w:r>
          </w:p>
        </w:tc>
        <w:tc>
          <w:tcPr>
            <w:tcW w:w="387" w:type="pct"/>
            <w:vAlign w:val="center"/>
          </w:tcPr>
          <w:p w14:paraId="4166F041"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Ndërhyrja e butë</w:t>
            </w:r>
            <w:r w:rsidRPr="00622884">
              <w:rPr>
                <w:rFonts w:ascii="Garamond" w:eastAsia="SimSun" w:hAnsi="Garamond" w:cs="Times New Roman"/>
                <w:b/>
                <w:color w:val="1D3C5A"/>
                <w:sz w:val="10"/>
                <w:lang w:eastAsia="en-US" w:bidi="sq-AL"/>
              </w:rPr>
              <w:t>:</w:t>
            </w:r>
          </w:p>
        </w:tc>
        <w:tc>
          <w:tcPr>
            <w:tcW w:w="1129" w:type="pct"/>
            <w:vAlign w:val="center"/>
          </w:tcPr>
          <w:p w14:paraId="251BD445"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65.1 Të rishikohen dhe të ripërpunohen politikat dhe kornizat rregullatore ekzistuese që lidhen me transportin, për të integruar objektivat e përshtatjes ndaj klimës dhe për të siguruar përputhshmëri me strategjitë kombëtare dhe sektoriale të klimës.</w:t>
            </w:r>
            <w:r w:rsidRPr="00622884">
              <w:rPr>
                <w:rFonts w:ascii="Garamond" w:eastAsia="SimSun" w:hAnsi="Garamond" w:cs="Times New Roman"/>
                <w:color w:val="1D3C5A"/>
                <w:sz w:val="10"/>
                <w:lang w:eastAsia="en-US" w:bidi="sq-AL"/>
              </w:rPr>
              <w:br/>
              <w:t>65.2 Të krijohen mekanizma koordinimi ndërsektorialë për të përafruar planifikimin e transportit me përdorimin e tokës, mbrojtjen e mjedisit dhe përpjekjet për përshtatje ndaj klimës, duke promovuar një qasje në nivel sistemi për zhvillimin e infrastrukturës.</w:t>
            </w:r>
            <w:r w:rsidRPr="00622884">
              <w:rPr>
                <w:rFonts w:ascii="Garamond" w:eastAsia="SimSun" w:hAnsi="Garamond" w:cs="Times New Roman"/>
                <w:color w:val="1D3C5A"/>
                <w:sz w:val="10"/>
                <w:lang w:eastAsia="en-US" w:bidi="sq-AL"/>
              </w:rPr>
              <w:br/>
              <w:t>65.3 Të zhvillohen dispozita ligjore dhe udhëzime planifikimi që kërkojnë vlerësime të riskut klimatik dhe përfshirjen e masave të përshtatjes në të gjitha projektet e reja të infrastrukturës së transportit.</w:t>
            </w:r>
            <w:r w:rsidRPr="00622884">
              <w:rPr>
                <w:rFonts w:ascii="Garamond" w:eastAsia="SimSun" w:hAnsi="Garamond" w:cs="Times New Roman"/>
                <w:color w:val="1D3C5A"/>
                <w:sz w:val="10"/>
                <w:lang w:eastAsia="en-US" w:bidi="sq-AL"/>
              </w:rPr>
              <w:br/>
              <w:t>65.4 Të organizohen konsultime teknike dhe dialog mbi politikat midis ministrive të transportit, mjedisit, zhvillimit urban dhe financave, për të identifikuar sinergjitë dhe për të forcuar koordinimin institucional në planifikimin e transportit me aftësi ripërtëritëse ndaj klimës.</w:t>
            </w:r>
          </w:p>
        </w:tc>
        <w:tc>
          <w:tcPr>
            <w:tcW w:w="535" w:type="pct"/>
            <w:vAlign w:val="center"/>
          </w:tcPr>
          <w:p w14:paraId="37AB142A" w14:textId="77777777" w:rsidR="00622884" w:rsidRPr="00622884" w:rsidRDefault="00622884" w:rsidP="00622884">
            <w:pPr>
              <w:spacing w:after="0" w:line="240" w:lineRule="auto"/>
              <w:jc w:val="center"/>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ASH</w:t>
            </w:r>
          </w:p>
        </w:tc>
        <w:tc>
          <w:tcPr>
            <w:tcW w:w="938" w:type="pct"/>
            <w:vAlign w:val="center"/>
          </w:tcPr>
          <w:p w14:paraId="39315278"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1. Numri i politikave dhe kornizave rregullatore të transportit të rishikuara për të integruar përshtatjen ndaj klimës.</w:t>
            </w:r>
            <w:r w:rsidRPr="00622884">
              <w:rPr>
                <w:rFonts w:ascii="Garamond" w:eastAsia="SimSun" w:hAnsi="Garamond" w:cs="Times New Roman"/>
                <w:color w:val="1D3C5A"/>
                <w:sz w:val="10"/>
                <w:lang w:eastAsia="en-US" w:bidi="sq-AL"/>
              </w:rPr>
              <w:br/>
              <w:t>2. Numri i mekanizmave të koordinimit operativ ndërsektorial të krijuar.</w:t>
            </w:r>
            <w:r w:rsidRPr="00622884">
              <w:rPr>
                <w:rFonts w:ascii="Garamond" w:eastAsia="SimSun" w:hAnsi="Garamond" w:cs="Times New Roman"/>
                <w:color w:val="1D3C5A"/>
                <w:sz w:val="10"/>
                <w:lang w:eastAsia="en-US" w:bidi="sq-AL"/>
              </w:rPr>
              <w:br/>
              <w:t>3. Përqindja e projekteve të reja të infrastrukturës së transportit që i nënshtrohen vlerësimeve të riskut klimatik.</w:t>
            </w:r>
            <w:r w:rsidRPr="00622884">
              <w:rPr>
                <w:rFonts w:ascii="Garamond" w:eastAsia="SimSun" w:hAnsi="Garamond" w:cs="Times New Roman"/>
                <w:color w:val="1D3C5A"/>
                <w:sz w:val="10"/>
                <w:lang w:eastAsia="en-US" w:bidi="sq-AL"/>
              </w:rPr>
              <w:br/>
              <w:t>4. Numri i dispozitave ligjore ose udhëzimeve të planifikimit të zhvilluara që detyrojnë përshtatjen ndaj klimës në planifikimin e transportit.</w:t>
            </w:r>
            <w:r w:rsidRPr="00622884">
              <w:rPr>
                <w:rFonts w:ascii="Garamond" w:eastAsia="SimSun" w:hAnsi="Garamond" w:cs="Times New Roman"/>
                <w:color w:val="1D3C5A"/>
                <w:sz w:val="10"/>
                <w:lang w:eastAsia="en-US" w:bidi="sq-AL"/>
              </w:rPr>
              <w:br/>
              <w:t xml:space="preserve">5. Numri i konsultimeve teknike ndërministrore dhe dialogëve mbi politikat të zhvilluara. </w:t>
            </w:r>
          </w:p>
        </w:tc>
        <w:tc>
          <w:tcPr>
            <w:tcW w:w="536" w:type="pct"/>
          </w:tcPr>
          <w:p w14:paraId="34359CD0"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Ministria e Infrastrukturës dhe Energjisë, Bashkitë</w:t>
            </w:r>
          </w:p>
          <w:p w14:paraId="07CD9B87"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p>
        </w:tc>
        <w:tc>
          <w:tcPr>
            <w:tcW w:w="468" w:type="pct"/>
            <w:vAlign w:val="center"/>
          </w:tcPr>
          <w:p w14:paraId="75D433DA"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218.000</w:t>
            </w:r>
          </w:p>
        </w:tc>
      </w:tr>
      <w:tr w:rsidR="00622884" w:rsidRPr="00622884" w14:paraId="2730B07E" w14:textId="77777777" w:rsidTr="00622884">
        <w:trPr>
          <w:trHeight w:val="56"/>
          <w:jc w:val="center"/>
        </w:trPr>
        <w:tc>
          <w:tcPr>
            <w:tcW w:w="245" w:type="pct"/>
            <w:vAlign w:val="center"/>
          </w:tcPr>
          <w:p w14:paraId="78A3AF7A" w14:textId="77777777" w:rsidR="00622884" w:rsidRPr="00622884" w:rsidRDefault="00622884" w:rsidP="00622884">
            <w:pPr>
              <w:spacing w:after="0" w:line="240" w:lineRule="auto"/>
              <w:jc w:val="center"/>
              <w:rPr>
                <w:rFonts w:ascii="Garamond" w:eastAsia="SimSun" w:hAnsi="Garamond" w:cs="Calibri Light"/>
                <w:b/>
                <w:bCs/>
                <w:color w:val="1D3C5A"/>
                <w:sz w:val="10"/>
                <w:szCs w:val="16"/>
                <w:lang w:eastAsia="en-US"/>
              </w:rPr>
            </w:pPr>
            <w:r w:rsidRPr="00622884">
              <w:rPr>
                <w:rFonts w:ascii="Garamond" w:eastAsia="SimSun" w:hAnsi="Garamond" w:cs="Times New Roman"/>
                <w:b/>
                <w:color w:val="1D3C5A"/>
                <w:sz w:val="10"/>
                <w:lang w:eastAsia="en-US" w:bidi="sq-AL"/>
              </w:rPr>
              <w:t>66</w:t>
            </w:r>
          </w:p>
        </w:tc>
        <w:tc>
          <w:tcPr>
            <w:tcW w:w="373" w:type="pct"/>
            <w:vAlign w:val="center"/>
          </w:tcPr>
          <w:p w14:paraId="3A8FCCEA"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Transporti</w:t>
            </w:r>
          </w:p>
        </w:tc>
        <w:tc>
          <w:tcPr>
            <w:tcW w:w="389" w:type="pct"/>
            <w:vAlign w:val="center"/>
          </w:tcPr>
          <w:p w14:paraId="39B4EE92"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Partneritete novatore për transport të qëndrueshëm: Financimi për infrastrukturën e transportit me aftësi ripërtëritëse ndaj klimës</w:t>
            </w:r>
          </w:p>
        </w:tc>
        <w:tc>
          <w:tcPr>
            <w:tcW w:w="387" w:type="pct"/>
            <w:vAlign w:val="center"/>
          </w:tcPr>
          <w:p w14:paraId="6D312E67"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Ndërhyrja e butë</w:t>
            </w:r>
            <w:r w:rsidRPr="00622884">
              <w:rPr>
                <w:rFonts w:ascii="Garamond" w:eastAsia="SimSun" w:hAnsi="Garamond" w:cs="Times New Roman"/>
                <w:b/>
                <w:color w:val="1D3C5A"/>
                <w:sz w:val="10"/>
                <w:lang w:eastAsia="en-US" w:bidi="sq-AL"/>
              </w:rPr>
              <w:t>:</w:t>
            </w:r>
          </w:p>
        </w:tc>
        <w:tc>
          <w:tcPr>
            <w:tcW w:w="1129" w:type="pct"/>
            <w:vAlign w:val="center"/>
          </w:tcPr>
          <w:p w14:paraId="12CE1DAE"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66.1 Të hartohen instrumente financimi të klimës për të mbështetur investimet në infrastrukturë me aftësi ripërtëritëse, integrimin e energjisë së rinovueshme dhe përdorimin e teknologjive ndërtimore me ndikim të ulët në sektorin e transportit.</w:t>
            </w:r>
            <w:r w:rsidRPr="00622884">
              <w:rPr>
                <w:rFonts w:ascii="Garamond" w:eastAsia="SimSun" w:hAnsi="Garamond" w:cs="Times New Roman"/>
                <w:color w:val="1D3C5A"/>
                <w:sz w:val="10"/>
                <w:lang w:eastAsia="en-US" w:bidi="sq-AL"/>
              </w:rPr>
              <w:br/>
              <w:t>66.2 Të krijohen partneritete publike-private (PPP) për të mobilizuar bashkëfinancimin për infrastrukturën e transportit me aftësi ripërtëritëse ndaj klimës, duke siguruar përputhshmërinë me prioritetet kombëtare të përshtatjes dhe qëndrueshmëri afatgjatë.</w:t>
            </w:r>
            <w:r w:rsidRPr="00622884">
              <w:rPr>
                <w:rFonts w:ascii="Garamond" w:eastAsia="SimSun" w:hAnsi="Garamond" w:cs="Times New Roman"/>
                <w:color w:val="1D3C5A"/>
                <w:sz w:val="10"/>
                <w:lang w:eastAsia="en-US" w:bidi="sq-AL"/>
              </w:rPr>
              <w:br/>
              <w:t>66.3 Të kryhet një vlerësim i nevojave në nivel kombëtar dhe rajonal për të identifikuar mangësitë teknologjike specifike për kontekstin dhe pengesat financiare për miratimin e zgjidhjeve novatore me ndikim të ulët në zhvillimin e infrastrukturës.</w:t>
            </w:r>
            <w:r w:rsidRPr="00622884">
              <w:rPr>
                <w:rFonts w:ascii="Garamond" w:eastAsia="SimSun" w:hAnsi="Garamond" w:cs="Times New Roman"/>
                <w:color w:val="1D3C5A"/>
                <w:sz w:val="10"/>
                <w:lang w:eastAsia="en-US" w:bidi="sq-AL"/>
              </w:rPr>
              <w:br/>
              <w:t>66.4 Të zhvillohen incentiva financiare dhe korniza rregullatore për të nxitur përdorimin e materialeve dhe praktikave ndërtimore të avancuara dhe me aftësi ripërtëritëse ndaj klimës nga kontraktorët privatë dhe zhvilluesit e infrastrukturës.</w:t>
            </w:r>
          </w:p>
        </w:tc>
        <w:tc>
          <w:tcPr>
            <w:tcW w:w="535" w:type="pct"/>
            <w:vAlign w:val="center"/>
          </w:tcPr>
          <w:p w14:paraId="08556439" w14:textId="77777777" w:rsidR="00622884" w:rsidRPr="00622884" w:rsidRDefault="00622884" w:rsidP="00622884">
            <w:pPr>
              <w:spacing w:after="0" w:line="240" w:lineRule="auto"/>
              <w:jc w:val="center"/>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AGJ</w:t>
            </w:r>
          </w:p>
        </w:tc>
        <w:tc>
          <w:tcPr>
            <w:tcW w:w="938" w:type="pct"/>
            <w:vAlign w:val="center"/>
          </w:tcPr>
          <w:p w14:paraId="4EF2812C"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1. Numri i instrumenteve të financimit të klimës të hartuara dhe të vëna në funksionim</w:t>
            </w:r>
            <w:r w:rsidRPr="00622884">
              <w:rPr>
                <w:rFonts w:ascii="Garamond" w:eastAsia="SimSun" w:hAnsi="Garamond" w:cs="Times New Roman"/>
                <w:color w:val="1D3C5A"/>
                <w:sz w:val="10"/>
                <w:lang w:eastAsia="en-US" w:bidi="sq-AL"/>
              </w:rPr>
              <w:br/>
              <w:t>2. Volumi i kapitalit privat të mobilizuar përmes PPP-ve</w:t>
            </w:r>
            <w:r w:rsidRPr="00622884">
              <w:rPr>
                <w:rFonts w:ascii="Garamond" w:eastAsia="SimSun" w:hAnsi="Garamond" w:cs="Times New Roman"/>
                <w:color w:val="1D3C5A"/>
                <w:sz w:val="10"/>
                <w:lang w:eastAsia="en-US" w:bidi="sq-AL"/>
              </w:rPr>
              <w:br/>
              <w:t>3. Numri i vlerësimeve kombëtare dhe rajonale të nevojave të përfunduara</w:t>
            </w:r>
            <w:r w:rsidRPr="00622884">
              <w:rPr>
                <w:rFonts w:ascii="Garamond" w:eastAsia="SimSun" w:hAnsi="Garamond" w:cs="Times New Roman"/>
                <w:color w:val="1D3C5A"/>
                <w:sz w:val="10"/>
                <w:lang w:eastAsia="en-US" w:bidi="sq-AL"/>
              </w:rPr>
              <w:br/>
              <w:t>4. Përqindja e projekteve të infrastrukturës që përfshijnë teknologji me ndikim të ulët</w:t>
            </w:r>
            <w:r w:rsidRPr="00622884">
              <w:rPr>
                <w:rFonts w:ascii="Garamond" w:eastAsia="SimSun" w:hAnsi="Garamond" w:cs="Times New Roman"/>
                <w:color w:val="1D3C5A"/>
                <w:sz w:val="10"/>
                <w:lang w:eastAsia="en-US" w:bidi="sq-AL"/>
              </w:rPr>
              <w:br/>
              <w:t>5. Numri i skemave të incentivave financiare dhe rregullatore të zbatuara</w:t>
            </w:r>
          </w:p>
        </w:tc>
        <w:tc>
          <w:tcPr>
            <w:tcW w:w="536" w:type="pct"/>
          </w:tcPr>
          <w:p w14:paraId="4852641A"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Ministria e Infrastrukturës dhe Energjisë, Bashkitë</w:t>
            </w:r>
          </w:p>
        </w:tc>
        <w:tc>
          <w:tcPr>
            <w:tcW w:w="468" w:type="pct"/>
            <w:vAlign w:val="center"/>
          </w:tcPr>
          <w:p w14:paraId="1BD72199" w14:textId="77777777" w:rsidR="00622884" w:rsidRPr="00622884" w:rsidRDefault="00622884" w:rsidP="00622884">
            <w:pPr>
              <w:spacing w:after="0" w:line="240" w:lineRule="auto"/>
              <w:jc w:val="left"/>
              <w:rPr>
                <w:rFonts w:ascii="Garamond" w:eastAsia="SimSun" w:hAnsi="Garamond" w:cs="Calibri Light"/>
                <w:color w:val="1D3C5A"/>
                <w:sz w:val="10"/>
                <w:szCs w:val="16"/>
                <w:lang w:eastAsia="en-US"/>
              </w:rPr>
            </w:pPr>
            <w:r w:rsidRPr="00622884">
              <w:rPr>
                <w:rFonts w:ascii="Garamond" w:eastAsia="SimSun" w:hAnsi="Garamond" w:cs="Times New Roman"/>
                <w:color w:val="1D3C5A"/>
                <w:sz w:val="10"/>
                <w:lang w:eastAsia="en-US" w:bidi="sq-AL"/>
              </w:rPr>
              <w:t>1.900.000</w:t>
            </w:r>
          </w:p>
        </w:tc>
      </w:tr>
    </w:tbl>
    <w:p w14:paraId="11EF974F"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p>
    <w:p w14:paraId="2F8C7AC1" w14:textId="77777777" w:rsidR="00622884" w:rsidRPr="00622884" w:rsidRDefault="00622884" w:rsidP="00622884">
      <w:pPr>
        <w:tabs>
          <w:tab w:val="left" w:pos="5325"/>
        </w:tabs>
        <w:spacing w:after="0" w:line="240" w:lineRule="auto"/>
        <w:ind w:firstLine="284"/>
        <w:rPr>
          <w:rFonts w:ascii="Garamond" w:eastAsia="Calibri" w:hAnsi="Garamond" w:cs="Times New Roman"/>
          <w:sz w:val="20"/>
          <w:szCs w:val="20"/>
          <w:lang w:eastAsia="en-US"/>
        </w:rPr>
      </w:pPr>
      <w:r w:rsidRPr="00622884">
        <w:rPr>
          <w:rFonts w:ascii="Garamond" w:eastAsia="Calibri" w:hAnsi="Garamond" w:cs="Times New Roman"/>
          <w:sz w:val="20"/>
          <w:szCs w:val="20"/>
          <w:lang w:eastAsia="en-US"/>
        </w:rPr>
        <w:t xml:space="preserve">*Lloji: Masat e buta u referohen ndërhyrjeve jostrukturore, si kërkimi dhe vlerësimet e riskut, ngritja e kapaciteteve, veprimtaritë e komunikimit dhe ndërgjegjësimit, mekanizmat e qeverisjes dhe koordinimit, instrumentet e planifikimit dhe rregullatore, si dhe mjetet financiare ose të bazuara në incentiva. Masat e gjelbra shfrytëzojnë restaurimin, ruajtjen ose menaxhimin e qëndrueshëm të ekosistemeve për të pakësuar risqet klimatike dhe për të ofruar përfitime të shumta të ndërsjella, duke përfshirë përmirësimin e biodiversitetit dhe ofrimin e shërbimeve të ekosistemit. Masat gri përfshijnë zgjidhje inxhinierike ose teknologjike, si infrastruktura me aftësi ripërtëritëse, të projektuara për të zvogëluar ekspozimin fizik ndaj rreziqeve klimatike ku përfshihet infrastruktura me aftësi ripërtëritëse, sistemet e kullimit dhe mbajtjes së ujit, muret detarë, sistemet e paralajmërimit të hershëm, etj. </w:t>
      </w:r>
    </w:p>
    <w:p w14:paraId="3B4E1BC6" w14:textId="77777777" w:rsidR="00622884" w:rsidRPr="00622884" w:rsidRDefault="00622884" w:rsidP="00622884">
      <w:pPr>
        <w:tabs>
          <w:tab w:val="left" w:pos="5325"/>
        </w:tabs>
        <w:spacing w:after="0" w:line="240" w:lineRule="auto"/>
        <w:ind w:firstLine="284"/>
        <w:rPr>
          <w:rFonts w:ascii="Garamond" w:eastAsia="Calibri" w:hAnsi="Garamond" w:cs="Times New Roman"/>
          <w:sz w:val="20"/>
          <w:szCs w:val="20"/>
          <w:lang w:eastAsia="en-US"/>
        </w:rPr>
      </w:pPr>
      <w:r w:rsidRPr="00622884">
        <w:rPr>
          <w:rFonts w:ascii="Garamond" w:eastAsia="Calibri" w:hAnsi="Garamond" w:cs="Times New Roman"/>
          <w:sz w:val="20"/>
          <w:szCs w:val="20"/>
          <w:lang w:eastAsia="en-US"/>
        </w:rPr>
        <w:t>***Periudha e fillimit të masave: ASH: Fillimi i periudhës afatshkurtër 2026–2028; AM Fillimi i periudhës afatmesme 2029–2031; AGJ Fillimi i periudhës afatgjatë 2032–2036.</w:t>
      </w:r>
    </w:p>
    <w:p w14:paraId="3E8C56B8" w14:textId="77777777" w:rsidR="00622884" w:rsidRPr="00622884" w:rsidRDefault="00622884" w:rsidP="00622884">
      <w:pPr>
        <w:tabs>
          <w:tab w:val="left" w:pos="5325"/>
        </w:tabs>
        <w:spacing w:after="0" w:line="240" w:lineRule="auto"/>
        <w:ind w:firstLine="284"/>
        <w:rPr>
          <w:rFonts w:ascii="Garamond" w:eastAsia="Calibri" w:hAnsi="Garamond" w:cs="Times New Roman"/>
          <w:sz w:val="24"/>
          <w:szCs w:val="24"/>
          <w:lang w:eastAsia="en-US"/>
        </w:rPr>
      </w:pPr>
    </w:p>
    <w:p w14:paraId="28E797E1" w14:textId="77777777" w:rsidR="00622884" w:rsidRPr="00622884" w:rsidRDefault="00622884" w:rsidP="00622884">
      <w:pPr>
        <w:tabs>
          <w:tab w:val="left" w:pos="5325"/>
        </w:tabs>
        <w:spacing w:after="0" w:line="240" w:lineRule="auto"/>
        <w:ind w:firstLine="284"/>
        <w:jc w:val="center"/>
        <w:rPr>
          <w:rFonts w:ascii="Garamond" w:eastAsia="Calibri" w:hAnsi="Garamond" w:cs="Times New Roman"/>
          <w:sz w:val="24"/>
          <w:szCs w:val="24"/>
          <w:lang w:eastAsia="en-US"/>
        </w:rPr>
      </w:pPr>
      <w:r w:rsidRPr="00622884">
        <w:rPr>
          <w:rFonts w:ascii="Garamond" w:eastAsia="Calibri" w:hAnsi="Garamond" w:cs="Times New Roman"/>
          <w:sz w:val="24"/>
          <w:szCs w:val="24"/>
          <w:lang w:eastAsia="en-US"/>
        </w:rPr>
        <w:t>ANEKS IV</w:t>
      </w:r>
    </w:p>
    <w:p w14:paraId="57BA4DB5" w14:textId="77777777" w:rsidR="00622884" w:rsidRPr="00622884" w:rsidRDefault="00622884" w:rsidP="00622884">
      <w:pPr>
        <w:tabs>
          <w:tab w:val="left" w:pos="5325"/>
        </w:tabs>
        <w:spacing w:after="0" w:line="240" w:lineRule="auto"/>
        <w:ind w:firstLine="284"/>
        <w:jc w:val="center"/>
        <w:rPr>
          <w:rFonts w:ascii="Garamond" w:eastAsia="Calibri" w:hAnsi="Garamond" w:cs="Times New Roman"/>
          <w:sz w:val="24"/>
          <w:szCs w:val="24"/>
          <w:lang w:eastAsia="en-US"/>
        </w:rPr>
      </w:pPr>
      <w:r w:rsidRPr="00622884">
        <w:rPr>
          <w:rFonts w:ascii="Garamond" w:eastAsia="Calibri" w:hAnsi="Garamond" w:cs="Times New Roman"/>
          <w:sz w:val="24"/>
          <w:szCs w:val="24"/>
          <w:lang w:eastAsia="en-US"/>
        </w:rPr>
        <w:t xml:space="preserve"> HARTA PËRFSHIN PYLLTARINË, BUJQËSINË DHE VENDNDODHJET E MASAVE ZBN</w:t>
      </w:r>
    </w:p>
    <w:p w14:paraId="2143F0B9" w14:textId="77777777" w:rsidR="00622884" w:rsidRPr="00622884" w:rsidRDefault="00622884" w:rsidP="00622884">
      <w:pPr>
        <w:tabs>
          <w:tab w:val="left" w:pos="5325"/>
        </w:tabs>
        <w:spacing w:after="0" w:line="240" w:lineRule="auto"/>
        <w:ind w:firstLine="284"/>
        <w:jc w:val="center"/>
        <w:rPr>
          <w:rFonts w:ascii="Garamond" w:eastAsia="Calibri" w:hAnsi="Garamond" w:cs="Times New Roman"/>
          <w:b/>
          <w:sz w:val="24"/>
          <w:szCs w:val="24"/>
          <w:lang w:eastAsia="en-US"/>
        </w:rPr>
      </w:pPr>
      <w:r w:rsidRPr="00622884">
        <w:rPr>
          <w:rFonts w:ascii="Garamond" w:eastAsia="Calibri" w:hAnsi="Garamond" w:cs="Times New Roman"/>
          <w:b/>
          <w:noProof/>
          <w:sz w:val="24"/>
          <w:szCs w:val="24"/>
          <w:lang w:eastAsia="sq-AL"/>
        </w:rPr>
        <w:lastRenderedPageBreak/>
        <w:drawing>
          <wp:inline distT="0" distB="0" distL="0" distR="0" wp14:anchorId="0BE4058B" wp14:editId="45B563E9">
            <wp:extent cx="5490210" cy="7100047"/>
            <wp:effectExtent l="0" t="0" r="0" b="5715"/>
            <wp:docPr id="1468967810" name="Picture 14689678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5516957" cy="7134637"/>
                    </a:xfrm>
                    <a:prstGeom prst="rect">
                      <a:avLst/>
                    </a:prstGeom>
                    <a:noFill/>
                  </pic:spPr>
                </pic:pic>
              </a:graphicData>
            </a:graphic>
          </wp:inline>
        </w:drawing>
      </w:r>
    </w:p>
    <w:p w14:paraId="4676A620" w14:textId="77777777" w:rsidR="00622884" w:rsidRPr="00622884" w:rsidRDefault="00622884" w:rsidP="00622884">
      <w:pPr>
        <w:tabs>
          <w:tab w:val="left" w:pos="5325"/>
        </w:tabs>
        <w:spacing w:after="0" w:line="240" w:lineRule="auto"/>
        <w:ind w:firstLine="284"/>
        <w:jc w:val="center"/>
        <w:rPr>
          <w:rFonts w:ascii="Garamond" w:eastAsia="Calibri" w:hAnsi="Garamond" w:cs="Times New Roman"/>
          <w:b/>
          <w:sz w:val="24"/>
          <w:szCs w:val="24"/>
          <w:lang w:eastAsia="en-US"/>
        </w:rPr>
      </w:pPr>
    </w:p>
    <w:p w14:paraId="50CFE6F3" w14:textId="77777777" w:rsidR="00622884" w:rsidRPr="00622884" w:rsidRDefault="00622884" w:rsidP="00622884">
      <w:pPr>
        <w:tabs>
          <w:tab w:val="left" w:pos="5325"/>
        </w:tabs>
        <w:spacing w:after="0" w:line="240" w:lineRule="auto"/>
        <w:ind w:firstLine="284"/>
        <w:jc w:val="center"/>
        <w:rPr>
          <w:rFonts w:ascii="Garamond" w:eastAsia="Calibri" w:hAnsi="Garamond" w:cs="Times New Roman"/>
          <w:b/>
          <w:sz w:val="24"/>
          <w:szCs w:val="24"/>
          <w:lang w:eastAsia="en-US"/>
        </w:rPr>
      </w:pPr>
      <w:r w:rsidRPr="00622884">
        <w:rPr>
          <w:rFonts w:ascii="Garamond" w:eastAsia="Calibri" w:hAnsi="Garamond" w:cs="Times New Roman"/>
          <w:b/>
          <w:noProof/>
          <w:sz w:val="24"/>
          <w:szCs w:val="24"/>
          <w:lang w:eastAsia="sq-AL"/>
        </w:rPr>
        <w:lastRenderedPageBreak/>
        <w:drawing>
          <wp:inline distT="0" distB="0" distL="0" distR="0" wp14:anchorId="5AC6C73F" wp14:editId="16D6A16B">
            <wp:extent cx="4743330" cy="7949821"/>
            <wp:effectExtent l="0" t="0" r="635" b="0"/>
            <wp:docPr id="1468967811" name="Picture 14689678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4755733" cy="7970609"/>
                    </a:xfrm>
                    <a:prstGeom prst="rect">
                      <a:avLst/>
                    </a:prstGeom>
                    <a:noFill/>
                  </pic:spPr>
                </pic:pic>
              </a:graphicData>
            </a:graphic>
          </wp:inline>
        </w:drawing>
      </w:r>
    </w:p>
    <w:p w14:paraId="52DBE380" w14:textId="77777777" w:rsidR="00622884" w:rsidRPr="00622884" w:rsidRDefault="00622884" w:rsidP="00622884">
      <w:pPr>
        <w:tabs>
          <w:tab w:val="left" w:pos="5325"/>
        </w:tabs>
        <w:spacing w:after="0" w:line="240" w:lineRule="auto"/>
        <w:ind w:firstLine="284"/>
        <w:jc w:val="center"/>
        <w:rPr>
          <w:rFonts w:ascii="Garamond" w:eastAsia="Calibri" w:hAnsi="Garamond" w:cs="Times New Roman"/>
          <w:b/>
          <w:sz w:val="24"/>
          <w:szCs w:val="24"/>
          <w:lang w:eastAsia="en-US"/>
        </w:rPr>
      </w:pPr>
    </w:p>
    <w:p w14:paraId="6DE52A92" w14:textId="0B9F0559" w:rsidR="00622884" w:rsidRDefault="00622884" w:rsidP="002F4BDF">
      <w:pPr>
        <w:spacing w:after="0" w:line="240" w:lineRule="auto"/>
        <w:ind w:firstLine="284"/>
        <w:rPr>
          <w:rFonts w:ascii="Garamond" w:eastAsiaTheme="minorHAnsi" w:hAnsi="Garamond"/>
          <w:spacing w:val="-4"/>
          <w:sz w:val="24"/>
          <w:szCs w:val="24"/>
          <w:lang w:eastAsia="en-US"/>
        </w:rPr>
      </w:pPr>
    </w:p>
    <w:p w14:paraId="6E9CE6CB" w14:textId="77777777" w:rsidR="00622884" w:rsidRPr="007114AF" w:rsidRDefault="00622884" w:rsidP="002F4BDF">
      <w:pPr>
        <w:spacing w:after="0" w:line="240" w:lineRule="auto"/>
        <w:ind w:firstLine="284"/>
        <w:rPr>
          <w:rFonts w:ascii="Garamond" w:eastAsiaTheme="minorHAnsi" w:hAnsi="Garamond"/>
          <w:spacing w:val="-4"/>
          <w:sz w:val="24"/>
          <w:szCs w:val="24"/>
          <w:lang w:eastAsia="en-US"/>
        </w:rPr>
      </w:pPr>
    </w:p>
    <w:sectPr w:rsidR="00622884" w:rsidRPr="007114AF" w:rsidSect="00203893">
      <w:pgSz w:w="11907" w:h="16840" w:code="9"/>
      <w:pgMar w:top="1418" w:right="1418" w:bottom="1418" w:left="1418" w:header="1304" w:footer="1134" w:gutter="0"/>
      <w:cols w:space="708"/>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DB100B0" w14:textId="77777777" w:rsidR="0012572D" w:rsidRDefault="0012572D" w:rsidP="001C6C5A">
      <w:pPr>
        <w:spacing w:after="0" w:line="240" w:lineRule="auto"/>
      </w:pPr>
      <w:r>
        <w:separator/>
      </w:r>
    </w:p>
  </w:endnote>
  <w:endnote w:type="continuationSeparator" w:id="0">
    <w:p w14:paraId="418701C7" w14:textId="77777777" w:rsidR="0012572D" w:rsidRDefault="0012572D" w:rsidP="001C6C5A">
      <w:pPr>
        <w:spacing w:after="0" w:line="240" w:lineRule="auto"/>
      </w:pPr>
      <w:r>
        <w:continuationSeparator/>
      </w:r>
    </w:p>
  </w:endnote>
  <w:endnote w:type="continuationNotice" w:id="1">
    <w:p w14:paraId="29C67255" w14:textId="77777777" w:rsidR="0012572D" w:rsidRDefault="0012572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altName w:val="Arial"/>
    <w:charset w:val="00"/>
    <w:family w:val="swiss"/>
    <w:pitch w:val="variable"/>
    <w:sig w:usb0="00000001"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Monotype Sorts">
    <w:panose1 w:val="00000000000000000000"/>
    <w:charset w:val="02"/>
    <w:family w:val="auto"/>
    <w:notTrueType/>
    <w:pitch w:val="variable"/>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Palatino">
    <w:panose1 w:val="00000000000000000000"/>
    <w:charset w:val="00"/>
    <w:family w:val="roman"/>
    <w:notTrueType/>
    <w:pitch w:val="variable"/>
    <w:sig w:usb0="00000003" w:usb1="00000000" w:usb2="00000000" w:usb3="00000000" w:csb0="00000001" w:csb1="00000000"/>
  </w:font>
  <w:font w:name="ヒラギノ角ゴ Pro W3">
    <w:altName w:val="Arial Unicode MS"/>
    <w:panose1 w:val="00000000000000000000"/>
    <w:charset w:val="80"/>
    <w:family w:val="auto"/>
    <w:notTrueType/>
    <w:pitch w:val="variable"/>
    <w:sig w:usb0="00000000"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rial Narrow">
    <w:panose1 w:val="020B0606020202030204"/>
    <w:charset w:val="00"/>
    <w:family w:val="swiss"/>
    <w:pitch w:val="variable"/>
    <w:sig w:usb0="00000287" w:usb1="00000800" w:usb2="00000000" w:usb3="00000000" w:csb0="0000009F" w:csb1="00000000"/>
  </w:font>
  <w:font w:name="MS PGothic">
    <w:panose1 w:val="020B0600070205080204"/>
    <w:charset w:val="80"/>
    <w:family w:val="swiss"/>
    <w:pitch w:val="variable"/>
    <w:sig w:usb0="E00002FF" w:usb1="6AC7FDFB" w:usb2="08000012" w:usb3="00000000" w:csb0="0002009F" w:csb1="00000000"/>
  </w:font>
  <w:font w:name="Book Antiqua">
    <w:panose1 w:val="02040602050305030304"/>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Futura Md BT">
    <w:altName w:val="Lucida Sans Unicode"/>
    <w:panose1 w:val="00000000000000000000"/>
    <w:charset w:val="00"/>
    <w:family w:val="swiss"/>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Frutiger 55 Roman">
    <w:altName w:val="Courier New"/>
    <w:charset w:val="00"/>
    <w:family w:val="auto"/>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Yu Gothic Light">
    <w:panose1 w:val="020B0300000000000000"/>
    <w:charset w:val="80"/>
    <w:family w:val="swiss"/>
    <w:pitch w:val="variable"/>
    <w:sig w:usb0="E00002FF" w:usb1="2AC7FDFF" w:usb2="00000016" w:usb3="00000000" w:csb0="0002009F" w:csb1="00000000"/>
  </w:font>
  <w:font w:name="Averta ExtraBold">
    <w:altName w:val="Calibri"/>
    <w:panose1 w:val="00000000000000000000"/>
    <w:charset w:val="00"/>
    <w:family w:val="modern"/>
    <w:notTrueType/>
    <w:pitch w:val="variable"/>
    <w:sig w:usb0="20000087" w:usb1="00000001" w:usb2="00000000" w:usb3="00000000" w:csb0="0000019B" w:csb1="00000000"/>
  </w:font>
  <w:font w:name="Aptos">
    <w:altName w:val="Arial"/>
    <w:charset w:val="00"/>
    <w:family w:val="swiss"/>
    <w:pitch w:val="variable"/>
    <w:sig w:usb0="00000001" w:usb1="00000003" w:usb2="00000000" w:usb3="00000000" w:csb0="0000019F" w:csb1="00000000"/>
  </w:font>
  <w:font w:name="Gill Sans MT">
    <w:panose1 w:val="020B0502020104020203"/>
    <w:charset w:val="00"/>
    <w:family w:val="swiss"/>
    <w:pitch w:val="variable"/>
    <w:sig w:usb0="00000007" w:usb1="00000000" w:usb2="00000000" w:usb3="00000000" w:csb0="00000003" w:csb1="00000000"/>
  </w:font>
  <w:font w:name="Blinker">
    <w:altName w:val="Calibri"/>
    <w:charset w:val="00"/>
    <w:family w:val="swiss"/>
    <w:pitch w:val="default"/>
  </w:font>
  <w:font w:name="CG Times">
    <w:altName w:val="Times New Roman"/>
    <w:charset w:val="00"/>
    <w:family w:val="roman"/>
    <w:pitch w:val="variable"/>
    <w:sig w:usb0="00000007" w:usb1="00000000" w:usb2="00000000" w:usb3="00000000" w:csb0="00000093" w:csb1="00000000"/>
  </w:font>
  <w:font w:name="DengXian">
    <w:altName w:val="等线"/>
    <w:panose1 w:val="02010600030101010101"/>
    <w:charset w:val="86"/>
    <w:family w:val="auto"/>
    <w:pitch w:val="variable"/>
    <w:sig w:usb0="A00002BF" w:usb1="38CF7CFA" w:usb2="00000016" w:usb3="00000000" w:csb0="0004000F" w:csb1="00000000"/>
  </w:font>
  <w:font w:name="MinionPro-Regular">
    <w:altName w:val="Calibri"/>
    <w:charset w:val="00"/>
    <w:family w:val="auto"/>
    <w:pitch w:val="default"/>
  </w:font>
  <w:font w:name="MS Gothic">
    <w:altName w:val="ＭＳ ゴシック"/>
    <w:panose1 w:val="020B0609070205080204"/>
    <w:charset w:val="80"/>
    <w:family w:val="modern"/>
    <w:pitch w:val="fixed"/>
    <w:sig w:usb0="E00002FF" w:usb1="6AC7FDFB" w:usb2="08000012" w:usb3="00000000" w:csb0="0002009F" w:csb1="00000000"/>
  </w:font>
  <w:font w:name="Averta Semibold">
    <w:altName w:val="Calibri"/>
    <w:charset w:val="00"/>
    <w:family w:val="modern"/>
    <w:pitch w:val="variable"/>
  </w:font>
  <w:font w:name="Segoe UI">
    <w:panose1 w:val="020B0502040204020203"/>
    <w:charset w:val="00"/>
    <w:family w:val="swiss"/>
    <w:pitch w:val="variable"/>
    <w:sig w:usb0="E4002EFF" w:usb1="C000E47F" w:usb2="00000009" w:usb3="00000000" w:csb0="000001FF" w:csb1="00000000"/>
  </w:font>
  <w:font w:name="Liberation Serif">
    <w:charset w:val="00"/>
    <w:family w:val="roman"/>
    <w:pitch w:val="variable"/>
  </w:font>
  <w:font w:name="Noto Sans CJK SC Regular">
    <w:charset w:val="00"/>
    <w:family w:val="roman"/>
    <w:pitch w:val="default"/>
  </w:font>
  <w:font w:name="FreeSans">
    <w:charset w:val="01"/>
    <w:family w:val="roman"/>
    <w:pitch w:val="variable"/>
  </w:font>
  <w:font w:name="Helvetica">
    <w:panose1 w:val="020B0604020202020204"/>
    <w:charset w:val="00"/>
    <w:family w:val="swiss"/>
    <w:notTrueType/>
    <w:pitch w:val="variable"/>
    <w:sig w:usb0="00000003" w:usb1="00000000" w:usb2="00000000" w:usb3="00000000" w:csb0="00000001" w:csb1="00000000"/>
  </w:font>
  <w:font w:name="Museo 300">
    <w:altName w:val="Calibri"/>
    <w:charset w:val="00"/>
    <w:family w:val="modern"/>
    <w:pitch w:val="variable"/>
  </w:font>
  <w:font w:name="Gill Sans">
    <w:altName w:val="Segoe UI Semilight"/>
    <w:charset w:val="B1"/>
    <w:family w:val="swiss"/>
    <w:pitch w:val="variable"/>
    <w:sig w:usb0="80000A67" w:usb1="00000000" w:usb2="00000000" w:usb3="00000000" w:csb0="000001F7" w:csb1="00000000"/>
  </w:font>
  <w:font w:name="Open Sans">
    <w:charset w:val="00"/>
    <w:family w:val="swiss"/>
    <w:pitch w:val="variable"/>
    <w:sig w:usb0="E00002EF" w:usb1="4000205B" w:usb2="00000028" w:usb3="00000000" w:csb0="0000019F" w:csb1="00000000"/>
  </w:font>
  <w:font w:name="Optima">
    <w:charset w:val="00"/>
    <w:family w:val="swiss"/>
    <w:pitch w:val="variable"/>
    <w:sig w:usb0="00000003" w:usb1="00000000" w:usb2="00000000" w:usb3="00000000" w:csb0="00000001" w:csb1="00000000"/>
  </w:font>
  <w:font w:name="EYInterstate Light">
    <w:altName w:val="Calibri"/>
    <w:charset w:val="00"/>
    <w:family w:val="auto"/>
    <w:pitch w:val="variable"/>
  </w:font>
  <w:font w:name="Mangal">
    <w:panose1 w:val="00000400000000000000"/>
    <w:charset w:val="00"/>
    <w:family w:val="roman"/>
    <w:pitch w:val="variable"/>
    <w:sig w:usb0="00008003" w:usb1="00000000" w:usb2="00000000" w:usb3="00000000" w:csb0="00000001" w:csb1="00000000"/>
  </w:font>
  <w:font w:name="CenturyGothic,BoldItalic">
    <w:altName w:val="Times New Roman"/>
    <w:panose1 w:val="00000000000000000000"/>
    <w:charset w:val="00"/>
    <w:family w:val="auto"/>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Times-Roman">
    <w:altName w:val="Times New Roman"/>
    <w:panose1 w:val="00000000000000000000"/>
    <w:charset w:val="00"/>
    <w:family w:val="roman"/>
    <w:notTrueType/>
    <w:pitch w:val="default"/>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Myriad Pro Light">
    <w:panose1 w:val="00000000000000000000"/>
    <w:charset w:val="00"/>
    <w:family w:val="swiss"/>
    <w:notTrueType/>
    <w:pitch w:val="variable"/>
    <w:sig w:usb0="20000287" w:usb1="00000001" w:usb2="00000000" w:usb3="00000000" w:csb0="0000019F" w:csb1="00000000"/>
  </w:font>
  <w:font w:name="Aller">
    <w:altName w:val="Calibri"/>
    <w:panose1 w:val="00000000000000000000"/>
    <w:charset w:val="00"/>
    <w:family w:val="swiss"/>
    <w:notTrueType/>
    <w:pitch w:val="default"/>
    <w:sig w:usb0="00000003" w:usb1="00000000" w:usb2="00000000" w:usb3="00000000" w:csb0="00000001" w:csb1="00000000"/>
  </w:font>
  <w:font w:name="Roboto">
    <w:charset w:val="00"/>
    <w:family w:val="auto"/>
    <w:pitch w:val="variable"/>
    <w:sig w:usb0="E0000AFF" w:usb1="5000217F" w:usb2="00000021" w:usb3="00000000" w:csb0="0000019F" w:csb1="00000000"/>
  </w:font>
  <w:font w:name="Cooper Std Black">
    <w:panose1 w:val="00000000000000000000"/>
    <w:charset w:val="00"/>
    <w:family w:val="roman"/>
    <w:notTrueType/>
    <w:pitch w:val="variable"/>
    <w:sig w:usb0="00000003" w:usb1="00000000" w:usb2="00000000" w:usb3="00000000" w:csb0="00000001" w:csb1="00000000"/>
  </w:font>
  <w:font w:name="Bahnschrift">
    <w:panose1 w:val="020B0502040204020203"/>
    <w:charset w:val="00"/>
    <w:family w:val="swiss"/>
    <w:pitch w:val="variable"/>
    <w:sig w:usb0="A00002C7" w:usb1="00000002" w:usb2="00000000" w:usb3="00000000" w:csb0="0000019F" w:csb1="00000000"/>
  </w:font>
  <w:font w:name="DINPro-Light">
    <w:panose1 w:val="00000000000000000000"/>
    <w:charset w:val="00"/>
    <w:family w:val="modern"/>
    <w:notTrueType/>
    <w:pitch w:val="variable"/>
    <w:sig w:usb0="800002AF" w:usb1="4000206A" w:usb2="00000000" w:usb3="00000000" w:csb0="0000009F" w:csb1="00000000"/>
  </w:font>
  <w:font w:name="Georgia">
    <w:panose1 w:val="02040502050405020303"/>
    <w:charset w:val="00"/>
    <w:family w:val="roman"/>
    <w:pitch w:val="variable"/>
    <w:sig w:usb0="00000287" w:usb1="00000000" w:usb2="00000000" w:usb3="00000000" w:csb0="0000009F" w:csb1="00000000"/>
  </w:font>
  <w:font w:name="TTE21F03E8t00">
    <w:altName w:val="MS Mincho"/>
    <w:panose1 w:val="00000000000000000000"/>
    <w:charset w:val="80"/>
    <w:family w:val="auto"/>
    <w:notTrueType/>
    <w:pitch w:val="default"/>
    <w:sig w:usb0="00000000" w:usb1="08070000" w:usb2="00000010" w:usb3="00000000" w:csb0="00020000" w:csb1="00000000"/>
  </w:font>
  <w:font w:name="Yu Mincho">
    <w:charset w:val="80"/>
    <w:family w:val="roman"/>
    <w:pitch w:val="variable"/>
    <w:sig w:usb0="800002E7" w:usb1="2AC7FCFF" w:usb2="00000012" w:usb3="00000000" w:csb0="0002009F" w:csb1="00000000"/>
  </w:font>
  <w:font w:name="Open Sans Light">
    <w:altName w:val="Arial"/>
    <w:charset w:val="00"/>
    <w:family w:val="swiss"/>
    <w:pitch w:val="variable"/>
    <w:sig w:usb0="00000001"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DD17E5" w14:textId="77777777" w:rsidR="00622884" w:rsidRPr="005D2838" w:rsidRDefault="00622884" w:rsidP="00574660">
    <w:pPr>
      <w:pStyle w:val="Footer"/>
    </w:pPr>
    <w:r>
      <w:rPr>
        <w:noProof/>
        <w:lang w:val="en-US" w:eastAsia="en-US"/>
      </w:rPr>
      <mc:AlternateContent>
        <mc:Choice Requires="wpg">
          <w:drawing>
            <wp:anchor distT="0" distB="0" distL="114300" distR="114300" simplePos="0" relativeHeight="251658249" behindDoc="0" locked="0" layoutInCell="1" allowOverlap="1" wp14:anchorId="6EDD17E8" wp14:editId="6EDD17E9">
              <wp:simplePos x="0" y="0"/>
              <wp:positionH relativeFrom="page">
                <wp:posOffset>124460</wp:posOffset>
              </wp:positionH>
              <wp:positionV relativeFrom="bottomMargin">
                <wp:posOffset>201930</wp:posOffset>
              </wp:positionV>
              <wp:extent cx="7527925" cy="190500"/>
              <wp:effectExtent l="0" t="0" r="6350" b="0"/>
              <wp:wrapNone/>
              <wp:docPr id="662" name="Group 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27925" cy="190500"/>
                        <a:chOff x="0" y="14970"/>
                        <a:chExt cx="12255" cy="300"/>
                      </a:xfrm>
                    </wpg:grpSpPr>
                    <wps:wsp>
                      <wps:cNvPr id="663" name="Text Box 25"/>
                      <wps:cNvSpPr txBox="1">
                        <a:spLocks noChangeArrowheads="1"/>
                      </wps:cNvSpPr>
                      <wps:spPr bwMode="auto">
                        <a:xfrm>
                          <a:off x="10803" y="14982"/>
                          <a:ext cx="659" cy="288"/>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DD1860" w14:textId="77777777" w:rsidR="00622884" w:rsidRDefault="00622884" w:rsidP="00574660">
                            <w:pPr>
                              <w:jc w:val="center"/>
                            </w:pPr>
                          </w:p>
                        </w:txbxContent>
                      </wps:txbx>
                      <wps:bodyPr rot="0" vert="horz" wrap="square" lIns="0" tIns="0" rIns="0" bIns="0" anchor="t" anchorCtr="0" upright="1">
                        <a:noAutofit/>
                      </wps:bodyPr>
                    </wps:wsp>
                    <wpg:grpSp>
                      <wpg:cNvPr id="664" name="Group 31"/>
                      <wpg:cNvGrpSpPr>
                        <a:grpSpLocks/>
                      </wpg:cNvGrpSpPr>
                      <wpg:grpSpPr bwMode="auto">
                        <a:xfrm flipH="1">
                          <a:off x="0" y="14970"/>
                          <a:ext cx="12255" cy="230"/>
                          <a:chOff x="-8" y="14978"/>
                          <a:chExt cx="12255" cy="230"/>
                        </a:xfrm>
                      </wpg:grpSpPr>
                      <wps:wsp>
                        <wps:cNvPr id="665" name="AutoShape 27"/>
                        <wps:cNvCnPr>
                          <a:cxnSpLocks noChangeShapeType="1"/>
                        </wps:cNvCnPr>
                        <wps:spPr bwMode="auto">
                          <a:xfrm flipV="1">
                            <a:off x="-8" y="14978"/>
                            <a:ext cx="1260" cy="230"/>
                          </a:xfrm>
                          <a:prstGeom prst="bentConnector3">
                            <a:avLst>
                              <a:gd name="adj1" fmla="val 50000"/>
                            </a:avLst>
                          </a:prstGeom>
                          <a:noFill/>
                          <a:ln w="19050">
                            <a:solidFill>
                              <a:srgbClr val="A5A5A5"/>
                            </a:solidFill>
                            <a:miter lim="800000"/>
                            <a:headEnd/>
                            <a:tailEnd/>
                          </a:ln>
                          <a:extLst>
                            <a:ext uri="{909E8E84-426E-40DD-AFC4-6F175D3DCCD1}">
                              <a14:hiddenFill xmlns:a14="http://schemas.microsoft.com/office/drawing/2010/main">
                                <a:noFill/>
                              </a14:hiddenFill>
                            </a:ext>
                          </a:extLst>
                        </wps:spPr>
                        <wps:bodyPr/>
                      </wps:wsp>
                      <wps:wsp>
                        <wps:cNvPr id="666" name="AutoShape 28"/>
                        <wps:cNvCnPr>
                          <a:cxnSpLocks noChangeShapeType="1"/>
                        </wps:cNvCnPr>
                        <wps:spPr bwMode="auto">
                          <a:xfrm rot="10800000">
                            <a:off x="1252" y="14978"/>
                            <a:ext cx="10995" cy="230"/>
                          </a:xfrm>
                          <a:prstGeom prst="bentConnector3">
                            <a:avLst>
                              <a:gd name="adj1" fmla="val 96778"/>
                            </a:avLst>
                          </a:prstGeom>
                          <a:noFill/>
                          <a:ln w="19050">
                            <a:solidFill>
                              <a:schemeClr val="accent5">
                                <a:lumMod val="60000"/>
                                <a:lumOff val="40000"/>
                              </a:schemeClr>
                            </a:solidFill>
                            <a:miter lim="800000"/>
                            <a:headEnd/>
                            <a:tailEnd/>
                          </a:ln>
                          <a:extLst>
                            <a:ext uri="{909E8E84-426E-40DD-AFC4-6F175D3DCCD1}">
                              <a14:hiddenFill xmlns:a14="http://schemas.microsoft.com/office/drawing/2010/main">
                                <a:noFill/>
                              </a14:hiddenFill>
                            </a:ext>
                          </a:extLst>
                        </wps:spPr>
                        <wps:bodyPr/>
                      </wps:wsp>
                    </wpg:grpSp>
                  </wpg:wgp>
                </a:graphicData>
              </a:graphic>
              <wp14:sizeRelH relativeFrom="page">
                <wp14:pctWidth>100000</wp14:pctWidth>
              </wp14:sizeRelH>
              <wp14:sizeRelV relativeFrom="page">
                <wp14:pctHeight>0</wp14:pctHeight>
              </wp14:sizeRelV>
            </wp:anchor>
          </w:drawing>
        </mc:Choice>
        <mc:Fallback>
          <w:pict>
            <v:group w14:anchorId="6EDD17E8" id="Group 33" o:spid="_x0000_s1032" style="position:absolute;left:0;text-align:left;margin-left:9.8pt;margin-top:15.9pt;width:592.75pt;height:15pt;z-index:251658249;mso-width-percent:1000;mso-position-horizontal-relative:page;mso-position-vertical-relative:bottom-margin-area;mso-width-percent:1000" coordorigin=",14970" coordsize="12255,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">
              <v:shapetype id="_x0000_t202" coordsize="21600,21600" o:spt="202" path="m,l,21600r21600,l21600,xe">
                <v:stroke joinstyle="miter"/>
                <v:path gradientshapeok="t" o:connecttype="rect"/>
              </v:shapetype>
              <v:shape id="Text Box 25" o:spid="_x0000_s1033" type="#_x0000_t202" style="position:absolute;left:10803;top:14982;width:659;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" filled="f" stroked="f">
                <v:textbox inset="0,0,0,0">
                  <w:txbxContent>
                    <w:p w14:paraId="6EDD1860" w14:textId="77777777" w:rsidR="00622884" w:rsidRDefault="00622884" w:rsidP="00574660">
                      <w:pPr>
                        <w:jc w:val="center"/>
                      </w:pPr>
                    </w:p>
                  </w:txbxContent>
                </v:textbox>
              </v:shape>
              <v:group id="Group 31" o:spid="_x0000_s1034" style="position:absolute;top:14970;width:12255;height:230;flip:x" coordorigin="-8,14978" coordsize="12255,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">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27" o:spid="_x0000_s1035" type="#_x0000_t34" style="position:absolute;left:-8;top:14978;width:1260;height:23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" strokecolor="#a5a5a5" strokeweight="1.5pt"/>
                <v:shape id="AutoShape 28" o:spid="_x0000_s1036" type="#_x0000_t34" style="position:absolute;left:1252;top:14978;width:10995;height:230;rotation:18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" adj="20904" strokecolor="#92cddc [1944]" strokeweight="1.5pt"/>
              </v:group>
              <w10:wrap anchorx="page" anchory="margin"/>
            </v:group>
          </w:pict>
        </mc:Fallback>
      </mc:AlternateContent>
    </w:r>
  </w:p>
  <w:p w14:paraId="6EDD17E6" w14:textId="77777777" w:rsidR="00622884" w:rsidRPr="00533029" w:rsidRDefault="00622884" w:rsidP="00574660">
    <w:pPr>
      <w:pStyle w:val="Footer"/>
      <w:tabs>
        <w:tab w:val="clear" w:pos="4680"/>
        <w:tab w:val="clear" w:pos="9360"/>
        <w:tab w:val="center" w:pos="0"/>
      </w:tabs>
    </w:pPr>
    <w:r>
      <w:rPr>
        <w:noProof/>
        <w:lang w:val="en-US" w:eastAsia="en-US"/>
      </w:rPr>
      <mc:AlternateContent>
        <mc:Choice Requires="wpg">
          <w:drawing>
            <wp:anchor distT="0" distB="0" distL="114300" distR="114300" simplePos="0" relativeHeight="251658248" behindDoc="0" locked="0" layoutInCell="1" allowOverlap="1" wp14:anchorId="6EDD17EA" wp14:editId="6EDD17EB">
              <wp:simplePos x="0" y="0"/>
              <wp:positionH relativeFrom="page">
                <wp:posOffset>152400</wp:posOffset>
              </wp:positionH>
              <wp:positionV relativeFrom="bottomMargin">
                <wp:posOffset>2800350</wp:posOffset>
              </wp:positionV>
              <wp:extent cx="7537450" cy="190500"/>
              <wp:effectExtent l="0" t="0" r="6350" b="0"/>
              <wp:wrapNone/>
              <wp:docPr id="312" name="Group 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37450" cy="190500"/>
                        <a:chOff x="0" y="14970"/>
                        <a:chExt cx="12255" cy="300"/>
                      </a:xfrm>
                    </wpg:grpSpPr>
                    <wps:wsp>
                      <wps:cNvPr id="313" name="Text Box 25"/>
                      <wps:cNvSpPr txBox="1">
                        <a:spLocks noChangeArrowheads="1"/>
                      </wps:cNvSpPr>
                      <wps:spPr bwMode="auto">
                        <a:xfrm>
                          <a:off x="10803" y="14982"/>
                          <a:ext cx="659" cy="288"/>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DD1861" w14:textId="77777777" w:rsidR="00622884" w:rsidRDefault="00622884" w:rsidP="00574660">
                            <w:pPr>
                              <w:jc w:val="center"/>
                            </w:pPr>
                            <w:r>
                              <w:fldChar w:fldCharType="begin"/>
                            </w:r>
                            <w:r>
                              <w:instrText xml:space="preserve"> PAGE    \* MERGEFORMAT </w:instrText>
                            </w:r>
                            <w:r>
                              <w:fldChar w:fldCharType="separate"/>
                            </w:r>
                            <w:r w:rsidRPr="00B05BFA">
                              <w:rPr>
                                <w:noProof/>
                                <w:color w:val="8C8C8C" w:themeColor="background1" w:themeShade="8C"/>
                              </w:rPr>
                              <w:t>210</w:t>
                            </w:r>
                            <w:r>
                              <w:rPr>
                                <w:noProof/>
                                <w:color w:val="8C8C8C" w:themeColor="background1" w:themeShade="8C"/>
                              </w:rPr>
                              <w:fldChar w:fldCharType="end"/>
                            </w:r>
                          </w:p>
                        </w:txbxContent>
                      </wps:txbx>
                      <wps:bodyPr rot="0" vert="horz" wrap="square" lIns="0" tIns="0" rIns="0" bIns="0" anchor="t" anchorCtr="0" upright="1">
                        <a:noAutofit/>
                      </wps:bodyPr>
                    </wps:wsp>
                    <wpg:grpSp>
                      <wpg:cNvPr id="314" name="Group 31"/>
                      <wpg:cNvGrpSpPr>
                        <a:grpSpLocks/>
                      </wpg:cNvGrpSpPr>
                      <wpg:grpSpPr bwMode="auto">
                        <a:xfrm flipH="1">
                          <a:off x="0" y="14970"/>
                          <a:ext cx="12255" cy="230"/>
                          <a:chOff x="-8" y="14978"/>
                          <a:chExt cx="12255" cy="230"/>
                        </a:xfrm>
                      </wpg:grpSpPr>
                      <wps:wsp>
                        <wps:cNvPr id="315" name="AutoShape 27"/>
                        <wps:cNvCnPr>
                          <a:cxnSpLocks noChangeShapeType="1"/>
                        </wps:cNvCnPr>
                        <wps:spPr bwMode="auto">
                          <a:xfrm flipV="1">
                            <a:off x="-8" y="14978"/>
                            <a:ext cx="1260" cy="230"/>
                          </a:xfrm>
                          <a:prstGeom prst="bentConnector3">
                            <a:avLst>
                              <a:gd name="adj1" fmla="val 50000"/>
                            </a:avLst>
                          </a:prstGeom>
                          <a:noFill/>
                          <a:ln w="19050">
                            <a:solidFill>
                              <a:srgbClr val="A5A5A5"/>
                            </a:solidFill>
                            <a:miter lim="800000"/>
                            <a:headEnd/>
                            <a:tailEnd/>
                          </a:ln>
                          <a:extLst>
                            <a:ext uri="{909E8E84-426E-40DD-AFC4-6F175D3DCCD1}">
                              <a14:hiddenFill xmlns:a14="http://schemas.microsoft.com/office/drawing/2010/main">
                                <a:noFill/>
                              </a14:hiddenFill>
                            </a:ext>
                          </a:extLst>
                        </wps:spPr>
                        <wps:bodyPr/>
                      </wps:wsp>
                      <wps:wsp>
                        <wps:cNvPr id="641" name="AutoShape 28"/>
                        <wps:cNvCnPr>
                          <a:cxnSpLocks noChangeShapeType="1"/>
                        </wps:cNvCnPr>
                        <wps:spPr bwMode="auto">
                          <a:xfrm rot="10800000">
                            <a:off x="1252" y="14978"/>
                            <a:ext cx="10995" cy="230"/>
                          </a:xfrm>
                          <a:prstGeom prst="bentConnector3">
                            <a:avLst>
                              <a:gd name="adj1" fmla="val 96778"/>
                            </a:avLst>
                          </a:prstGeom>
                          <a:noFill/>
                          <a:ln w="19050">
                            <a:solidFill>
                              <a:schemeClr val="accent5">
                                <a:lumMod val="60000"/>
                                <a:lumOff val="40000"/>
                              </a:schemeClr>
                            </a:solidFill>
                            <a:miter lim="800000"/>
                            <a:headEnd/>
                            <a:tailEnd/>
                          </a:ln>
                          <a:extLst>
                            <a:ext uri="{909E8E84-426E-40DD-AFC4-6F175D3DCCD1}">
                              <a14:hiddenFill xmlns:a14="http://schemas.microsoft.com/office/drawing/2010/main">
                                <a:noFill/>
                              </a14:hiddenFill>
                            </a:ext>
                          </a:extLst>
                        </wps:spPr>
                        <wps:bodyPr/>
                      </wps:wsp>
                    </wpg:grpSp>
                  </wpg:wgp>
                </a:graphicData>
              </a:graphic>
              <wp14:sizeRelH relativeFrom="page">
                <wp14:pctWidth>100000</wp14:pctWidth>
              </wp14:sizeRelH>
              <wp14:sizeRelV relativeFrom="page">
                <wp14:pctHeight>0</wp14:pctHeight>
              </wp14:sizeRelV>
            </wp:anchor>
          </w:drawing>
        </mc:Choice>
        <mc:Fallback>
          <w:pict>
            <v:group w14:anchorId="6EDD17EA" id="_x0000_s1037" style="position:absolute;left:0;text-align:left;margin-left:12pt;margin-top:220.5pt;width:593.5pt;height:15pt;z-index:251658248;mso-width-percent:1000;mso-position-horizontal-relative:page;mso-position-vertical-relative:bottom-margin-area;mso-width-percent:1000" coordorigin=",14970" coordsize="12255,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">
              <v:shape id="Text Box 25" o:spid="_x0000_s1038" type="#_x0000_t202" style="position:absolute;left:10803;top:14982;width:659;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" filled="f" stroked="f">
                <v:textbox inset="0,0,0,0">
                  <w:txbxContent>
                    <w:p w14:paraId="6EDD1861" w14:textId="77777777" w:rsidR="00622884" w:rsidRDefault="00622884" w:rsidP="00574660">
                      <w:pPr>
                        <w:jc w:val="center"/>
                      </w:pPr>
                      <w:r>
                        <w:fldChar w:fldCharType="begin"/>
                      </w:r>
                      <w:r>
                        <w:instrText xml:space="preserve"> PAGE    \* MERGEFORMAT </w:instrText>
                      </w:r>
                      <w:r>
                        <w:fldChar w:fldCharType="separate"/>
                      </w:r>
                      <w:r w:rsidRPr="00B05BFA">
                        <w:rPr>
                          <w:noProof/>
                          <w:color w:val="8C8C8C" w:themeColor="background1" w:themeShade="8C"/>
                        </w:rPr>
                        <w:t>210</w:t>
                      </w:r>
                      <w:r>
                        <w:rPr>
                          <w:noProof/>
                          <w:color w:val="8C8C8C" w:themeColor="background1" w:themeShade="8C"/>
                        </w:rPr>
                        <w:fldChar w:fldCharType="end"/>
                      </w:r>
                    </w:p>
                  </w:txbxContent>
                </v:textbox>
              </v:shape>
              <v:group id="Group 31" o:spid="_x0000_s1039" style="position:absolute;top:14970;width:12255;height:230;flip:x" coordorigin="-8,14978" coordsize="12255,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">
                <v:shape id="AutoShape 27" o:spid="_x0000_s1040" type="#_x0000_t34" style="position:absolute;left:-8;top:14978;width:1260;height:23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" strokecolor="#a5a5a5" strokeweight="1.5pt"/>
                <v:shape id="AutoShape 28" o:spid="_x0000_s1041" type="#_x0000_t34" style="position:absolute;left:1252;top:14978;width:10995;height:230;rotation:18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" adj="20904" strokecolor="#92cddc [1944]" strokeweight="1.5pt"/>
              </v:group>
              <w10:wrap anchorx="page" anchory="margin"/>
            </v:group>
          </w:pict>
        </mc:Fallback>
      </mc:AlternateContent>
    </w:r>
    <w:r>
      <w:rPr>
        <w:noProof/>
        <w:lang w:val="en-US" w:eastAsia="en-US"/>
      </w:rPr>
      <mc:AlternateContent>
        <mc:Choice Requires="wpg">
          <w:drawing>
            <wp:anchor distT="0" distB="0" distL="114300" distR="114300" simplePos="0" relativeHeight="251658247" behindDoc="0" locked="0" layoutInCell="1" allowOverlap="1" wp14:anchorId="6EDD17EC" wp14:editId="6EDD17ED">
              <wp:simplePos x="0" y="0"/>
              <wp:positionH relativeFrom="page">
                <wp:posOffset>152400</wp:posOffset>
              </wp:positionH>
              <wp:positionV relativeFrom="bottomMargin">
                <wp:posOffset>2800350</wp:posOffset>
              </wp:positionV>
              <wp:extent cx="7537450" cy="190500"/>
              <wp:effectExtent l="0" t="0" r="6350" b="0"/>
              <wp:wrapNone/>
              <wp:docPr id="316" name="Group 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37450" cy="190500"/>
                        <a:chOff x="0" y="14970"/>
                        <a:chExt cx="12255" cy="300"/>
                      </a:xfrm>
                    </wpg:grpSpPr>
                    <wps:wsp>
                      <wps:cNvPr id="317" name="Text Box 25"/>
                      <wps:cNvSpPr txBox="1">
                        <a:spLocks noChangeArrowheads="1"/>
                      </wps:cNvSpPr>
                      <wps:spPr bwMode="auto">
                        <a:xfrm>
                          <a:off x="10803" y="14982"/>
                          <a:ext cx="659" cy="288"/>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DD1862" w14:textId="77777777" w:rsidR="00622884" w:rsidRDefault="00622884" w:rsidP="00574660">
                            <w:pPr>
                              <w:jc w:val="center"/>
                            </w:pPr>
                            <w:r>
                              <w:fldChar w:fldCharType="begin"/>
                            </w:r>
                            <w:r>
                              <w:instrText xml:space="preserve"> PAGE    \* MERGEFORMAT </w:instrText>
                            </w:r>
                            <w:r>
                              <w:fldChar w:fldCharType="separate"/>
                            </w:r>
                            <w:r w:rsidRPr="00B05BFA">
                              <w:rPr>
                                <w:noProof/>
                                <w:color w:val="8C8C8C" w:themeColor="background1" w:themeShade="8C"/>
                              </w:rPr>
                              <w:t>210</w:t>
                            </w:r>
                            <w:r>
                              <w:rPr>
                                <w:noProof/>
                                <w:color w:val="8C8C8C" w:themeColor="background1" w:themeShade="8C"/>
                              </w:rPr>
                              <w:fldChar w:fldCharType="end"/>
                            </w:r>
                          </w:p>
                        </w:txbxContent>
                      </wps:txbx>
                      <wps:bodyPr rot="0" vert="horz" wrap="square" lIns="0" tIns="0" rIns="0" bIns="0" anchor="t" anchorCtr="0" upright="1">
                        <a:noAutofit/>
                      </wps:bodyPr>
                    </wps:wsp>
                    <wpg:grpSp>
                      <wpg:cNvPr id="318" name="Group 31"/>
                      <wpg:cNvGrpSpPr>
                        <a:grpSpLocks/>
                      </wpg:cNvGrpSpPr>
                      <wpg:grpSpPr bwMode="auto">
                        <a:xfrm flipH="1">
                          <a:off x="0" y="14970"/>
                          <a:ext cx="12255" cy="230"/>
                          <a:chOff x="-8" y="14978"/>
                          <a:chExt cx="12255" cy="230"/>
                        </a:xfrm>
                      </wpg:grpSpPr>
                      <wps:wsp>
                        <wps:cNvPr id="319" name="AutoShape 27"/>
                        <wps:cNvCnPr>
                          <a:cxnSpLocks noChangeShapeType="1"/>
                        </wps:cNvCnPr>
                        <wps:spPr bwMode="auto">
                          <a:xfrm flipV="1">
                            <a:off x="-8" y="14978"/>
                            <a:ext cx="1260" cy="230"/>
                          </a:xfrm>
                          <a:prstGeom prst="bentConnector3">
                            <a:avLst>
                              <a:gd name="adj1" fmla="val 50000"/>
                            </a:avLst>
                          </a:prstGeom>
                          <a:noFill/>
                          <a:ln w="19050">
                            <a:solidFill>
                              <a:srgbClr val="A5A5A5"/>
                            </a:solidFill>
                            <a:miter lim="800000"/>
                            <a:headEnd/>
                            <a:tailEnd/>
                          </a:ln>
                          <a:extLst>
                            <a:ext uri="{909E8E84-426E-40DD-AFC4-6F175D3DCCD1}">
                              <a14:hiddenFill xmlns:a14="http://schemas.microsoft.com/office/drawing/2010/main">
                                <a:noFill/>
                              </a14:hiddenFill>
                            </a:ext>
                          </a:extLst>
                        </wps:spPr>
                        <wps:bodyPr/>
                      </wps:wsp>
                      <wps:wsp>
                        <wps:cNvPr id="640" name="AutoShape 28"/>
                        <wps:cNvCnPr>
                          <a:cxnSpLocks noChangeShapeType="1"/>
                        </wps:cNvCnPr>
                        <wps:spPr bwMode="auto">
                          <a:xfrm rot="10800000">
                            <a:off x="1252" y="14978"/>
                            <a:ext cx="10995" cy="230"/>
                          </a:xfrm>
                          <a:prstGeom prst="bentConnector3">
                            <a:avLst>
                              <a:gd name="adj1" fmla="val 96778"/>
                            </a:avLst>
                          </a:prstGeom>
                          <a:noFill/>
                          <a:ln w="19050">
                            <a:solidFill>
                              <a:schemeClr val="accent5">
                                <a:lumMod val="60000"/>
                                <a:lumOff val="40000"/>
                              </a:schemeClr>
                            </a:solidFill>
                            <a:miter lim="800000"/>
                            <a:headEnd/>
                            <a:tailEnd/>
                          </a:ln>
                          <a:extLst>
                            <a:ext uri="{909E8E84-426E-40DD-AFC4-6F175D3DCCD1}">
                              <a14:hiddenFill xmlns:a14="http://schemas.microsoft.com/office/drawing/2010/main">
                                <a:noFill/>
                              </a14:hiddenFill>
                            </a:ext>
                          </a:extLst>
                        </wps:spPr>
                        <wps:bodyPr/>
                      </wps:wsp>
                    </wpg:grpSp>
                  </wpg:wgp>
                </a:graphicData>
              </a:graphic>
              <wp14:sizeRelH relativeFrom="page">
                <wp14:pctWidth>100000</wp14:pctWidth>
              </wp14:sizeRelH>
              <wp14:sizeRelV relativeFrom="page">
                <wp14:pctHeight>0</wp14:pctHeight>
              </wp14:sizeRelV>
            </wp:anchor>
          </w:drawing>
        </mc:Choice>
        <mc:Fallback>
          <w:pict>
            <v:group w14:anchorId="6EDD17EC" id="_x0000_s1042" style="position:absolute;left:0;text-align:left;margin-left:12pt;margin-top:220.5pt;width:593.5pt;height:15pt;z-index:251658247;mso-width-percent:1000;mso-position-horizontal-relative:page;mso-position-vertical-relative:bottom-margin-area;mso-width-percent:1000" coordorigin=",14970" coordsize="12255,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">
              <v:shape id="Text Box 25" o:spid="_x0000_s1043" type="#_x0000_t202" style="position:absolute;left:10803;top:14982;width:659;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" filled="f" stroked="f">
                <v:textbox inset="0,0,0,0">
                  <w:txbxContent>
                    <w:p w14:paraId="6EDD1862" w14:textId="77777777" w:rsidR="00622884" w:rsidRDefault="00622884" w:rsidP="00574660">
                      <w:pPr>
                        <w:jc w:val="center"/>
                      </w:pPr>
                      <w:r>
                        <w:fldChar w:fldCharType="begin"/>
                      </w:r>
                      <w:r>
                        <w:instrText xml:space="preserve"> PAGE    \* MERGEFORMAT </w:instrText>
                      </w:r>
                      <w:r>
                        <w:fldChar w:fldCharType="separate"/>
                      </w:r>
                      <w:r w:rsidRPr="00B05BFA">
                        <w:rPr>
                          <w:noProof/>
                          <w:color w:val="8C8C8C" w:themeColor="background1" w:themeShade="8C"/>
                        </w:rPr>
                        <w:t>210</w:t>
                      </w:r>
                      <w:r>
                        <w:rPr>
                          <w:noProof/>
                          <w:color w:val="8C8C8C" w:themeColor="background1" w:themeShade="8C"/>
                        </w:rPr>
                        <w:fldChar w:fldCharType="end"/>
                      </w:r>
                    </w:p>
                  </w:txbxContent>
                </v:textbox>
              </v:shape>
              <v:group id="Group 31" o:spid="_x0000_s1044" style="position:absolute;top:14970;width:12255;height:230;flip:x" coordorigin="-8,14978" coordsize="12255,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">
                <v:shape id="AutoShape 27" o:spid="_x0000_s1045" type="#_x0000_t34" style="position:absolute;left:-8;top:14978;width:1260;height:23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" strokecolor="#a5a5a5" strokeweight="1.5pt"/>
                <v:shape id="AutoShape 28" o:spid="_x0000_s1046" type="#_x0000_t34" style="position:absolute;left:1252;top:14978;width:10995;height:230;rotation:18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" adj="20904" strokecolor="#92cddc [1944]" strokeweight="1.5pt"/>
              </v:group>
              <w10:wrap anchorx="page" anchory="margin"/>
            </v:group>
          </w:pict>
        </mc:Fallback>
      </mc:AlternateContent>
    </w:r>
    <w:r>
      <w:rPr>
        <w:noProof/>
        <w:lang w:val="en-US" w:eastAsia="en-US"/>
      </w:rPr>
      <mc:AlternateContent>
        <mc:Choice Requires="wpg">
          <w:drawing>
            <wp:anchor distT="0" distB="0" distL="114300" distR="114300" simplePos="0" relativeHeight="251658246" behindDoc="0" locked="0" layoutInCell="1" allowOverlap="1" wp14:anchorId="6EDD17EE" wp14:editId="6EDD17EF">
              <wp:simplePos x="0" y="0"/>
              <wp:positionH relativeFrom="page">
                <wp:posOffset>276860</wp:posOffset>
              </wp:positionH>
              <wp:positionV relativeFrom="bottomMargin">
                <wp:posOffset>3468370</wp:posOffset>
              </wp:positionV>
              <wp:extent cx="7527925" cy="190500"/>
              <wp:effectExtent l="0" t="0" r="6350" b="0"/>
              <wp:wrapNone/>
              <wp:docPr id="306" name="Group 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27925" cy="190500"/>
                        <a:chOff x="0" y="14970"/>
                        <a:chExt cx="12255" cy="300"/>
                      </a:xfrm>
                    </wpg:grpSpPr>
                    <wps:wsp>
                      <wps:cNvPr id="308" name="Text Box 25"/>
                      <wps:cNvSpPr txBox="1">
                        <a:spLocks noChangeArrowheads="1"/>
                      </wps:cNvSpPr>
                      <wps:spPr bwMode="auto">
                        <a:xfrm>
                          <a:off x="10803" y="14982"/>
                          <a:ext cx="659" cy="288"/>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DD1863" w14:textId="77777777" w:rsidR="00622884" w:rsidRDefault="00622884" w:rsidP="00574660">
                            <w:pPr>
                              <w:jc w:val="center"/>
                            </w:pPr>
                            <w:r>
                              <w:fldChar w:fldCharType="begin"/>
                            </w:r>
                            <w:r>
                              <w:instrText xml:space="preserve"> PAGE    \* MERGEFORMAT </w:instrText>
                            </w:r>
                            <w:r>
                              <w:fldChar w:fldCharType="separate"/>
                            </w:r>
                            <w:r w:rsidRPr="00B05BFA">
                              <w:rPr>
                                <w:noProof/>
                                <w:color w:val="8C8C8C" w:themeColor="background1" w:themeShade="8C"/>
                              </w:rPr>
                              <w:t>210</w:t>
                            </w:r>
                            <w:r>
                              <w:rPr>
                                <w:noProof/>
                                <w:color w:val="8C8C8C" w:themeColor="background1" w:themeShade="8C"/>
                              </w:rPr>
                              <w:fldChar w:fldCharType="end"/>
                            </w:r>
                          </w:p>
                        </w:txbxContent>
                      </wps:txbx>
                      <wps:bodyPr rot="0" vert="horz" wrap="square" lIns="0" tIns="0" rIns="0" bIns="0" anchor="t" anchorCtr="0" upright="1">
                        <a:noAutofit/>
                      </wps:bodyPr>
                    </wps:wsp>
                    <wpg:grpSp>
                      <wpg:cNvPr id="309" name="Group 31"/>
                      <wpg:cNvGrpSpPr>
                        <a:grpSpLocks/>
                      </wpg:cNvGrpSpPr>
                      <wpg:grpSpPr bwMode="auto">
                        <a:xfrm flipH="1">
                          <a:off x="0" y="14970"/>
                          <a:ext cx="12255" cy="230"/>
                          <a:chOff x="-8" y="14978"/>
                          <a:chExt cx="12255" cy="230"/>
                        </a:xfrm>
                      </wpg:grpSpPr>
                      <wps:wsp>
                        <wps:cNvPr id="310" name="AutoShape 27"/>
                        <wps:cNvCnPr>
                          <a:cxnSpLocks noChangeShapeType="1"/>
                        </wps:cNvCnPr>
                        <wps:spPr bwMode="auto">
                          <a:xfrm flipV="1">
                            <a:off x="-8" y="14978"/>
                            <a:ext cx="1260" cy="230"/>
                          </a:xfrm>
                          <a:prstGeom prst="bentConnector3">
                            <a:avLst>
                              <a:gd name="adj1" fmla="val 50000"/>
                            </a:avLst>
                          </a:prstGeom>
                          <a:noFill/>
                          <a:ln w="19050">
                            <a:solidFill>
                              <a:srgbClr val="A5A5A5"/>
                            </a:solidFill>
                            <a:miter lim="800000"/>
                            <a:headEnd/>
                            <a:tailEnd/>
                          </a:ln>
                          <a:extLst>
                            <a:ext uri="{909E8E84-426E-40DD-AFC4-6F175D3DCCD1}">
                              <a14:hiddenFill xmlns:a14="http://schemas.microsoft.com/office/drawing/2010/main">
                                <a:noFill/>
                              </a14:hiddenFill>
                            </a:ext>
                          </a:extLst>
                        </wps:spPr>
                        <wps:bodyPr/>
                      </wps:wsp>
                      <wps:wsp>
                        <wps:cNvPr id="311" name="AutoShape 28"/>
                        <wps:cNvCnPr>
                          <a:cxnSpLocks noChangeShapeType="1"/>
                        </wps:cNvCnPr>
                        <wps:spPr bwMode="auto">
                          <a:xfrm rot="10800000">
                            <a:off x="1252" y="14978"/>
                            <a:ext cx="10995" cy="230"/>
                          </a:xfrm>
                          <a:prstGeom prst="bentConnector3">
                            <a:avLst>
                              <a:gd name="adj1" fmla="val 96778"/>
                            </a:avLst>
                          </a:prstGeom>
                          <a:noFill/>
                          <a:ln w="19050">
                            <a:solidFill>
                              <a:schemeClr val="accent5">
                                <a:lumMod val="60000"/>
                                <a:lumOff val="40000"/>
                              </a:schemeClr>
                            </a:solidFill>
                            <a:miter lim="800000"/>
                            <a:headEnd/>
                            <a:tailEnd/>
                          </a:ln>
                          <a:extLst>
                            <a:ext uri="{909E8E84-426E-40DD-AFC4-6F175D3DCCD1}">
                              <a14:hiddenFill xmlns:a14="http://schemas.microsoft.com/office/drawing/2010/main">
                                <a:noFill/>
                              </a14:hiddenFill>
                            </a:ext>
                          </a:extLst>
                        </wps:spPr>
                        <wps:bodyPr/>
                      </wps:wsp>
                    </wpg:grpSp>
                  </wpg:wgp>
                </a:graphicData>
              </a:graphic>
              <wp14:sizeRelH relativeFrom="page">
                <wp14:pctWidth>100000</wp14:pctWidth>
              </wp14:sizeRelH>
              <wp14:sizeRelV relativeFrom="page">
                <wp14:pctHeight>0</wp14:pctHeight>
              </wp14:sizeRelV>
            </wp:anchor>
          </w:drawing>
        </mc:Choice>
        <mc:Fallback>
          <w:pict>
            <v:group w14:anchorId="6EDD17EE" id="_x0000_s1047" style="position:absolute;left:0;text-align:left;margin-left:21.8pt;margin-top:273.1pt;width:592.75pt;height:15pt;z-index:251658246;mso-width-percent:1000;mso-position-horizontal-relative:page;mso-position-vertical-relative:bottom-margin-area;mso-width-percent:1000" coordorigin=",14970" coordsize="12255,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">
              <v:shape id="Text Box 25" o:spid="_x0000_s1048" type="#_x0000_t202" style="position:absolute;left:10803;top:14982;width:659;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" filled="f" stroked="f">
                <v:textbox inset="0,0,0,0">
                  <w:txbxContent>
                    <w:p w14:paraId="6EDD1863" w14:textId="77777777" w:rsidR="00622884" w:rsidRDefault="00622884" w:rsidP="00574660">
                      <w:pPr>
                        <w:jc w:val="center"/>
                      </w:pPr>
                      <w:r>
                        <w:fldChar w:fldCharType="begin"/>
                      </w:r>
                      <w:r>
                        <w:instrText xml:space="preserve"> PAGE    \* MERGEFORMAT </w:instrText>
                      </w:r>
                      <w:r>
                        <w:fldChar w:fldCharType="separate"/>
                      </w:r>
                      <w:r w:rsidRPr="00B05BFA">
                        <w:rPr>
                          <w:noProof/>
                          <w:color w:val="8C8C8C" w:themeColor="background1" w:themeShade="8C"/>
                        </w:rPr>
                        <w:t>210</w:t>
                      </w:r>
                      <w:r>
                        <w:rPr>
                          <w:noProof/>
                          <w:color w:val="8C8C8C" w:themeColor="background1" w:themeShade="8C"/>
                        </w:rPr>
                        <w:fldChar w:fldCharType="end"/>
                      </w:r>
                    </w:p>
                  </w:txbxContent>
                </v:textbox>
              </v:shape>
              <v:group id="Group 31" o:spid="_x0000_s1049" style="position:absolute;top:14970;width:12255;height:230;flip:x" coordorigin="-8,14978" coordsize="12255,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">
                <v:shape id="AutoShape 27" o:spid="_x0000_s1050" type="#_x0000_t34" style="position:absolute;left:-8;top:14978;width:1260;height:23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" strokecolor="#a5a5a5" strokeweight="1.5pt"/>
                <v:shape id="AutoShape 28" o:spid="_x0000_s1051" type="#_x0000_t34" style="position:absolute;left:1252;top:14978;width:10995;height:230;rotation:18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" adj="20904" strokecolor="#92cddc [1944]" strokeweight="1.5pt"/>
              </v:group>
              <w10:wrap anchorx="page" anchory="margin"/>
            </v:group>
          </w:pict>
        </mc:Fallback>
      </mc:AlternateContent>
    </w:r>
    <w:r>
      <w:rPr>
        <w:noProof/>
        <w:lang w:val="en-US" w:eastAsia="en-US"/>
      </w:rPr>
      <mc:AlternateContent>
        <mc:Choice Requires="wpg">
          <w:drawing>
            <wp:anchor distT="0" distB="0" distL="114300" distR="114300" simplePos="0" relativeHeight="251658245" behindDoc="0" locked="0" layoutInCell="1" allowOverlap="1" wp14:anchorId="6EDD17F0" wp14:editId="6EDD17F1">
              <wp:simplePos x="0" y="0"/>
              <wp:positionH relativeFrom="page">
                <wp:posOffset>276860</wp:posOffset>
              </wp:positionH>
              <wp:positionV relativeFrom="bottomMargin">
                <wp:posOffset>3468370</wp:posOffset>
              </wp:positionV>
              <wp:extent cx="7527925" cy="190500"/>
              <wp:effectExtent l="0" t="0" r="6350" b="0"/>
              <wp:wrapNone/>
              <wp:docPr id="301" name="Group 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27925" cy="190500"/>
                        <a:chOff x="0" y="14970"/>
                        <a:chExt cx="12255" cy="300"/>
                      </a:xfrm>
                    </wpg:grpSpPr>
                    <wps:wsp>
                      <wps:cNvPr id="302" name="Text Box 25"/>
                      <wps:cNvSpPr txBox="1">
                        <a:spLocks noChangeArrowheads="1"/>
                      </wps:cNvSpPr>
                      <wps:spPr bwMode="auto">
                        <a:xfrm>
                          <a:off x="10803" y="14982"/>
                          <a:ext cx="659" cy="288"/>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DD1864" w14:textId="77777777" w:rsidR="00622884" w:rsidRDefault="00622884" w:rsidP="00574660">
                            <w:pPr>
                              <w:jc w:val="center"/>
                            </w:pPr>
                            <w:r>
                              <w:fldChar w:fldCharType="begin"/>
                            </w:r>
                            <w:r>
                              <w:instrText xml:space="preserve"> PAGE    \* MERGEFORMAT </w:instrText>
                            </w:r>
                            <w:r>
                              <w:fldChar w:fldCharType="separate"/>
                            </w:r>
                            <w:r w:rsidRPr="00B05BFA">
                              <w:rPr>
                                <w:noProof/>
                                <w:color w:val="8C8C8C" w:themeColor="background1" w:themeShade="8C"/>
                              </w:rPr>
                              <w:t>210</w:t>
                            </w:r>
                            <w:r>
                              <w:rPr>
                                <w:noProof/>
                                <w:color w:val="8C8C8C" w:themeColor="background1" w:themeShade="8C"/>
                              </w:rPr>
                              <w:fldChar w:fldCharType="end"/>
                            </w:r>
                          </w:p>
                        </w:txbxContent>
                      </wps:txbx>
                      <wps:bodyPr rot="0" vert="horz" wrap="square" lIns="0" tIns="0" rIns="0" bIns="0" anchor="t" anchorCtr="0" upright="1">
                        <a:noAutofit/>
                      </wps:bodyPr>
                    </wps:wsp>
                    <wpg:grpSp>
                      <wpg:cNvPr id="303" name="Group 31"/>
                      <wpg:cNvGrpSpPr>
                        <a:grpSpLocks/>
                      </wpg:cNvGrpSpPr>
                      <wpg:grpSpPr bwMode="auto">
                        <a:xfrm flipH="1">
                          <a:off x="0" y="14970"/>
                          <a:ext cx="12255" cy="230"/>
                          <a:chOff x="-8" y="14978"/>
                          <a:chExt cx="12255" cy="230"/>
                        </a:xfrm>
                      </wpg:grpSpPr>
                      <wps:wsp>
                        <wps:cNvPr id="304" name="AutoShape 27"/>
                        <wps:cNvCnPr>
                          <a:cxnSpLocks noChangeShapeType="1"/>
                        </wps:cNvCnPr>
                        <wps:spPr bwMode="auto">
                          <a:xfrm flipV="1">
                            <a:off x="-8" y="14978"/>
                            <a:ext cx="1260" cy="230"/>
                          </a:xfrm>
                          <a:prstGeom prst="bentConnector3">
                            <a:avLst>
                              <a:gd name="adj1" fmla="val 50000"/>
                            </a:avLst>
                          </a:prstGeom>
                          <a:noFill/>
                          <a:ln w="19050">
                            <a:solidFill>
                              <a:srgbClr val="A5A5A5"/>
                            </a:solidFill>
                            <a:miter lim="800000"/>
                            <a:headEnd/>
                            <a:tailEnd/>
                          </a:ln>
                          <a:extLst>
                            <a:ext uri="{909E8E84-426E-40DD-AFC4-6F175D3DCCD1}">
                              <a14:hiddenFill xmlns:a14="http://schemas.microsoft.com/office/drawing/2010/main">
                                <a:noFill/>
                              </a14:hiddenFill>
                            </a:ext>
                          </a:extLst>
                        </wps:spPr>
                        <wps:bodyPr/>
                      </wps:wsp>
                      <wps:wsp>
                        <wps:cNvPr id="305" name="AutoShape 28"/>
                        <wps:cNvCnPr>
                          <a:cxnSpLocks noChangeShapeType="1"/>
                        </wps:cNvCnPr>
                        <wps:spPr bwMode="auto">
                          <a:xfrm rot="10800000">
                            <a:off x="1252" y="14978"/>
                            <a:ext cx="10995" cy="230"/>
                          </a:xfrm>
                          <a:prstGeom prst="bentConnector3">
                            <a:avLst>
                              <a:gd name="adj1" fmla="val 96778"/>
                            </a:avLst>
                          </a:prstGeom>
                          <a:noFill/>
                          <a:ln w="19050">
                            <a:solidFill>
                              <a:schemeClr val="accent5">
                                <a:lumMod val="60000"/>
                                <a:lumOff val="40000"/>
                              </a:schemeClr>
                            </a:solidFill>
                            <a:miter lim="800000"/>
                            <a:headEnd/>
                            <a:tailEnd/>
                          </a:ln>
                          <a:extLst>
                            <a:ext uri="{909E8E84-426E-40DD-AFC4-6F175D3DCCD1}">
                              <a14:hiddenFill xmlns:a14="http://schemas.microsoft.com/office/drawing/2010/main">
                                <a:noFill/>
                              </a14:hiddenFill>
                            </a:ext>
                          </a:extLst>
                        </wps:spPr>
                        <wps:bodyPr/>
                      </wps:wsp>
                    </wpg:grpSp>
                  </wpg:wgp>
                </a:graphicData>
              </a:graphic>
              <wp14:sizeRelH relativeFrom="page">
                <wp14:pctWidth>100000</wp14:pctWidth>
              </wp14:sizeRelH>
              <wp14:sizeRelV relativeFrom="page">
                <wp14:pctHeight>0</wp14:pctHeight>
              </wp14:sizeRelV>
            </wp:anchor>
          </w:drawing>
        </mc:Choice>
        <mc:Fallback>
          <w:pict>
            <v:group w14:anchorId="6EDD17F0" id="_x0000_s1052" style="position:absolute;left:0;text-align:left;margin-left:21.8pt;margin-top:273.1pt;width:592.75pt;height:15pt;z-index:251658245;mso-width-percent:1000;mso-position-horizontal-relative:page;mso-position-vertical-relative:bottom-margin-area;mso-width-percent:1000" coordorigin=",14970" coordsize="12255,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">
              <v:shape id="Text Box 25" o:spid="_x0000_s1053" type="#_x0000_t202" style="position:absolute;left:10803;top:14982;width:659;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" filled="f" stroked="f">
                <v:textbox inset="0,0,0,0">
                  <w:txbxContent>
                    <w:p w14:paraId="6EDD1864" w14:textId="77777777" w:rsidR="00622884" w:rsidRDefault="00622884" w:rsidP="00574660">
                      <w:pPr>
                        <w:jc w:val="center"/>
                      </w:pPr>
                      <w:r>
                        <w:fldChar w:fldCharType="begin"/>
                      </w:r>
                      <w:r>
                        <w:instrText xml:space="preserve"> PAGE    \* MERGEFORMAT </w:instrText>
                      </w:r>
                      <w:r>
                        <w:fldChar w:fldCharType="separate"/>
                      </w:r>
                      <w:r w:rsidRPr="00B05BFA">
                        <w:rPr>
                          <w:noProof/>
                          <w:color w:val="8C8C8C" w:themeColor="background1" w:themeShade="8C"/>
                        </w:rPr>
                        <w:t>210</w:t>
                      </w:r>
                      <w:r>
                        <w:rPr>
                          <w:noProof/>
                          <w:color w:val="8C8C8C" w:themeColor="background1" w:themeShade="8C"/>
                        </w:rPr>
                        <w:fldChar w:fldCharType="end"/>
                      </w:r>
                    </w:p>
                  </w:txbxContent>
                </v:textbox>
              </v:shape>
              <v:group id="Group 31" o:spid="_x0000_s1054" style="position:absolute;top:14970;width:12255;height:230;flip:x" coordorigin="-8,14978" coordsize="12255,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">
                <v:shape id="AutoShape 27" o:spid="_x0000_s1055" type="#_x0000_t34" style="position:absolute;left:-8;top:14978;width:1260;height:23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" strokecolor="#a5a5a5" strokeweight="1.5pt"/>
                <v:shape id="AutoShape 28" o:spid="_x0000_s1056" type="#_x0000_t34" style="position:absolute;left:1252;top:14978;width:10995;height:230;rotation:18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" adj="20904" strokecolor="#92cddc [1944]" strokeweight="1.5pt"/>
              </v:group>
              <w10:wrap anchorx="page" anchory="margin"/>
            </v:group>
          </w:pict>
        </mc:Fallback>
      </mc:AlternateContent>
    </w:r>
    <w:r>
      <w:rPr>
        <w:noProof/>
        <w:lang w:val="en-US" w:eastAsia="en-US"/>
      </w:rPr>
      <mc:AlternateContent>
        <mc:Choice Requires="wpg">
          <w:drawing>
            <wp:anchor distT="0" distB="0" distL="114300" distR="114300" simplePos="0" relativeHeight="251658244" behindDoc="0" locked="0" layoutInCell="1" allowOverlap="1" wp14:anchorId="6EDD17F2" wp14:editId="6EDD17F3">
              <wp:simplePos x="0" y="0"/>
              <wp:positionH relativeFrom="page">
                <wp:posOffset>276860</wp:posOffset>
              </wp:positionH>
              <wp:positionV relativeFrom="bottomMargin">
                <wp:posOffset>3468370</wp:posOffset>
              </wp:positionV>
              <wp:extent cx="7527925" cy="190500"/>
              <wp:effectExtent l="0" t="0" r="6350" b="0"/>
              <wp:wrapNone/>
              <wp:docPr id="60" name="Group 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27925" cy="190500"/>
                        <a:chOff x="0" y="14970"/>
                        <a:chExt cx="12255" cy="300"/>
                      </a:xfrm>
                    </wpg:grpSpPr>
                    <wps:wsp>
                      <wps:cNvPr id="61" name="Text Box 25"/>
                      <wps:cNvSpPr txBox="1">
                        <a:spLocks noChangeArrowheads="1"/>
                      </wps:cNvSpPr>
                      <wps:spPr bwMode="auto">
                        <a:xfrm>
                          <a:off x="10803" y="14982"/>
                          <a:ext cx="659" cy="288"/>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DD1865" w14:textId="77777777" w:rsidR="00622884" w:rsidRDefault="00622884" w:rsidP="00574660">
                            <w:pPr>
                              <w:jc w:val="center"/>
                            </w:pPr>
                            <w:r>
                              <w:fldChar w:fldCharType="begin"/>
                            </w:r>
                            <w:r>
                              <w:instrText xml:space="preserve"> PAGE    \* MERGEFORMAT </w:instrText>
                            </w:r>
                            <w:r>
                              <w:fldChar w:fldCharType="separate"/>
                            </w:r>
                            <w:r w:rsidRPr="00B05BFA">
                              <w:rPr>
                                <w:noProof/>
                                <w:color w:val="8C8C8C" w:themeColor="background1" w:themeShade="8C"/>
                              </w:rPr>
                              <w:t>210</w:t>
                            </w:r>
                            <w:r>
                              <w:rPr>
                                <w:noProof/>
                                <w:color w:val="8C8C8C" w:themeColor="background1" w:themeShade="8C"/>
                              </w:rPr>
                              <w:fldChar w:fldCharType="end"/>
                            </w:r>
                          </w:p>
                        </w:txbxContent>
                      </wps:txbx>
                      <wps:bodyPr rot="0" vert="horz" wrap="square" lIns="0" tIns="0" rIns="0" bIns="0" anchor="t" anchorCtr="0" upright="1">
                        <a:noAutofit/>
                      </wps:bodyPr>
                    </wps:wsp>
                    <wpg:grpSp>
                      <wpg:cNvPr id="62" name="Group 31"/>
                      <wpg:cNvGrpSpPr>
                        <a:grpSpLocks/>
                      </wpg:cNvGrpSpPr>
                      <wpg:grpSpPr bwMode="auto">
                        <a:xfrm flipH="1">
                          <a:off x="0" y="14970"/>
                          <a:ext cx="12255" cy="230"/>
                          <a:chOff x="-8" y="14978"/>
                          <a:chExt cx="12255" cy="230"/>
                        </a:xfrm>
                      </wpg:grpSpPr>
                      <wps:wsp>
                        <wps:cNvPr id="294" name="AutoShape 27"/>
                        <wps:cNvCnPr>
                          <a:cxnSpLocks noChangeShapeType="1"/>
                        </wps:cNvCnPr>
                        <wps:spPr bwMode="auto">
                          <a:xfrm flipV="1">
                            <a:off x="-8" y="14978"/>
                            <a:ext cx="1260" cy="230"/>
                          </a:xfrm>
                          <a:prstGeom prst="bentConnector3">
                            <a:avLst>
                              <a:gd name="adj1" fmla="val 50000"/>
                            </a:avLst>
                          </a:prstGeom>
                          <a:noFill/>
                          <a:ln w="19050">
                            <a:solidFill>
                              <a:srgbClr val="A5A5A5"/>
                            </a:solidFill>
                            <a:miter lim="800000"/>
                            <a:headEnd/>
                            <a:tailEnd/>
                          </a:ln>
                          <a:extLst>
                            <a:ext uri="{909E8E84-426E-40DD-AFC4-6F175D3DCCD1}">
                              <a14:hiddenFill xmlns:a14="http://schemas.microsoft.com/office/drawing/2010/main">
                                <a:noFill/>
                              </a14:hiddenFill>
                            </a:ext>
                          </a:extLst>
                        </wps:spPr>
                        <wps:bodyPr/>
                      </wps:wsp>
                      <wps:wsp>
                        <wps:cNvPr id="300" name="AutoShape 28"/>
                        <wps:cNvCnPr>
                          <a:cxnSpLocks noChangeShapeType="1"/>
                        </wps:cNvCnPr>
                        <wps:spPr bwMode="auto">
                          <a:xfrm rot="10800000">
                            <a:off x="1252" y="14978"/>
                            <a:ext cx="10995" cy="230"/>
                          </a:xfrm>
                          <a:prstGeom prst="bentConnector3">
                            <a:avLst>
                              <a:gd name="adj1" fmla="val 96778"/>
                            </a:avLst>
                          </a:prstGeom>
                          <a:noFill/>
                          <a:ln w="19050">
                            <a:solidFill>
                              <a:schemeClr val="accent5">
                                <a:lumMod val="60000"/>
                                <a:lumOff val="40000"/>
                              </a:schemeClr>
                            </a:solidFill>
                            <a:miter lim="800000"/>
                            <a:headEnd/>
                            <a:tailEnd/>
                          </a:ln>
                          <a:extLst>
                            <a:ext uri="{909E8E84-426E-40DD-AFC4-6F175D3DCCD1}">
                              <a14:hiddenFill xmlns:a14="http://schemas.microsoft.com/office/drawing/2010/main">
                                <a:noFill/>
                              </a14:hiddenFill>
                            </a:ext>
                          </a:extLst>
                        </wps:spPr>
                        <wps:bodyPr/>
                      </wps:wsp>
                    </wpg:grpSp>
                  </wpg:wgp>
                </a:graphicData>
              </a:graphic>
              <wp14:sizeRelH relativeFrom="page">
                <wp14:pctWidth>100000</wp14:pctWidth>
              </wp14:sizeRelH>
              <wp14:sizeRelV relativeFrom="page">
                <wp14:pctHeight>0</wp14:pctHeight>
              </wp14:sizeRelV>
            </wp:anchor>
          </w:drawing>
        </mc:Choice>
        <mc:Fallback>
          <w:pict>
            <v:group w14:anchorId="6EDD17F2" id="_x0000_s1057" style="position:absolute;left:0;text-align:left;margin-left:21.8pt;margin-top:273.1pt;width:592.75pt;height:15pt;z-index:251658244;mso-width-percent:1000;mso-position-horizontal-relative:page;mso-position-vertical-relative:bottom-margin-area;mso-width-percent:1000" coordorigin=",14970" coordsize="12255,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">
              <v:shape id="Text Box 25" o:spid="_x0000_s1058" type="#_x0000_t202" style="position:absolute;left:10803;top:14982;width:659;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" filled="f" stroked="f">
                <v:textbox inset="0,0,0,0">
                  <w:txbxContent>
                    <w:p w14:paraId="6EDD1865" w14:textId="77777777" w:rsidR="00622884" w:rsidRDefault="00622884" w:rsidP="00574660">
                      <w:pPr>
                        <w:jc w:val="center"/>
                      </w:pPr>
                      <w:r>
                        <w:fldChar w:fldCharType="begin"/>
                      </w:r>
                      <w:r>
                        <w:instrText xml:space="preserve"> PAGE    \* MERGEFORMAT </w:instrText>
                      </w:r>
                      <w:r>
                        <w:fldChar w:fldCharType="separate"/>
                      </w:r>
                      <w:r w:rsidRPr="00B05BFA">
                        <w:rPr>
                          <w:noProof/>
                          <w:color w:val="8C8C8C" w:themeColor="background1" w:themeShade="8C"/>
                        </w:rPr>
                        <w:t>210</w:t>
                      </w:r>
                      <w:r>
                        <w:rPr>
                          <w:noProof/>
                          <w:color w:val="8C8C8C" w:themeColor="background1" w:themeShade="8C"/>
                        </w:rPr>
                        <w:fldChar w:fldCharType="end"/>
                      </w:r>
                    </w:p>
                  </w:txbxContent>
                </v:textbox>
              </v:shape>
              <v:group id="Group 31" o:spid="_x0000_s1059" style="position:absolute;top:14970;width:12255;height:230;flip:x" coordorigin="-8,14978" coordsize="12255,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">
                <v:shape id="AutoShape 27" o:spid="_x0000_s1060" type="#_x0000_t34" style="position:absolute;left:-8;top:14978;width:1260;height:23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" strokecolor="#a5a5a5" strokeweight="1.5pt"/>
                <v:shape id="AutoShape 28" o:spid="_x0000_s1061" type="#_x0000_t34" style="position:absolute;left:1252;top:14978;width:10995;height:230;rotation:18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" adj="20904" strokecolor="#92cddc [1944]" strokeweight="1.5pt"/>
              </v:group>
              <w10:wrap anchorx="page" anchory="margin"/>
            </v:group>
          </w:pict>
        </mc:Fallback>
      </mc:AlternateContent>
    </w:r>
    <w:r>
      <w:rPr>
        <w:noProof/>
        <w:lang w:val="en-US" w:eastAsia="en-US"/>
      </w:rPr>
      <mc:AlternateContent>
        <mc:Choice Requires="wpg">
          <w:drawing>
            <wp:anchor distT="0" distB="0" distL="114300" distR="114300" simplePos="0" relativeHeight="251658243" behindDoc="0" locked="0" layoutInCell="1" allowOverlap="1" wp14:anchorId="6EDD17F4" wp14:editId="6EDD17F5">
              <wp:simplePos x="0" y="0"/>
              <wp:positionH relativeFrom="page">
                <wp:posOffset>152400</wp:posOffset>
              </wp:positionH>
              <wp:positionV relativeFrom="bottomMargin">
                <wp:posOffset>3531235</wp:posOffset>
              </wp:positionV>
              <wp:extent cx="7537450" cy="190500"/>
              <wp:effectExtent l="0" t="0" r="6350" b="0"/>
              <wp:wrapNone/>
              <wp:docPr id="49" name="Group 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37450" cy="190500"/>
                        <a:chOff x="0" y="14970"/>
                        <a:chExt cx="12255" cy="300"/>
                      </a:xfrm>
                    </wpg:grpSpPr>
                    <wps:wsp>
                      <wps:cNvPr id="50" name="Text Box 25"/>
                      <wps:cNvSpPr txBox="1">
                        <a:spLocks noChangeArrowheads="1"/>
                      </wps:cNvSpPr>
                      <wps:spPr bwMode="auto">
                        <a:xfrm>
                          <a:off x="10803" y="14982"/>
                          <a:ext cx="659" cy="288"/>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DD1866" w14:textId="77777777" w:rsidR="00622884" w:rsidRDefault="00622884" w:rsidP="00574660">
                            <w:pPr>
                              <w:jc w:val="center"/>
                            </w:pPr>
                            <w:r>
                              <w:fldChar w:fldCharType="begin"/>
                            </w:r>
                            <w:r>
                              <w:instrText xml:space="preserve"> PAGE    \* MERGEFORMAT </w:instrText>
                            </w:r>
                            <w:r>
                              <w:fldChar w:fldCharType="separate"/>
                            </w:r>
                            <w:r w:rsidRPr="00B05BFA">
                              <w:rPr>
                                <w:noProof/>
                                <w:color w:val="8C8C8C" w:themeColor="background1" w:themeShade="8C"/>
                              </w:rPr>
                              <w:t>210</w:t>
                            </w:r>
                            <w:r>
                              <w:rPr>
                                <w:noProof/>
                                <w:color w:val="8C8C8C" w:themeColor="background1" w:themeShade="8C"/>
                              </w:rPr>
                              <w:fldChar w:fldCharType="end"/>
                            </w:r>
                          </w:p>
                        </w:txbxContent>
                      </wps:txbx>
                      <wps:bodyPr rot="0" vert="horz" wrap="square" lIns="0" tIns="0" rIns="0" bIns="0" anchor="t" anchorCtr="0" upright="1">
                        <a:noAutofit/>
                      </wps:bodyPr>
                    </wps:wsp>
                    <wpg:grpSp>
                      <wpg:cNvPr id="51" name="Group 31"/>
                      <wpg:cNvGrpSpPr>
                        <a:grpSpLocks/>
                      </wpg:cNvGrpSpPr>
                      <wpg:grpSpPr bwMode="auto">
                        <a:xfrm flipH="1">
                          <a:off x="0" y="14970"/>
                          <a:ext cx="12255" cy="230"/>
                          <a:chOff x="-8" y="14978"/>
                          <a:chExt cx="12255" cy="230"/>
                        </a:xfrm>
                      </wpg:grpSpPr>
                      <wps:wsp>
                        <wps:cNvPr id="52" name="AutoShape 27"/>
                        <wps:cNvCnPr>
                          <a:cxnSpLocks noChangeShapeType="1"/>
                        </wps:cNvCnPr>
                        <wps:spPr bwMode="auto">
                          <a:xfrm flipV="1">
                            <a:off x="-8" y="14978"/>
                            <a:ext cx="1260" cy="230"/>
                          </a:xfrm>
                          <a:prstGeom prst="bentConnector3">
                            <a:avLst>
                              <a:gd name="adj1" fmla="val 50000"/>
                            </a:avLst>
                          </a:prstGeom>
                          <a:noFill/>
                          <a:ln w="19050">
                            <a:solidFill>
                              <a:srgbClr val="A5A5A5"/>
                            </a:solidFill>
                            <a:miter lim="800000"/>
                            <a:headEnd/>
                            <a:tailEnd/>
                          </a:ln>
                          <a:extLst>
                            <a:ext uri="{909E8E84-426E-40DD-AFC4-6F175D3DCCD1}">
                              <a14:hiddenFill xmlns:a14="http://schemas.microsoft.com/office/drawing/2010/main">
                                <a:noFill/>
                              </a14:hiddenFill>
                            </a:ext>
                          </a:extLst>
                        </wps:spPr>
                        <wps:bodyPr/>
                      </wps:wsp>
                      <wps:wsp>
                        <wps:cNvPr id="56" name="AutoShape 28"/>
                        <wps:cNvCnPr>
                          <a:cxnSpLocks noChangeShapeType="1"/>
                        </wps:cNvCnPr>
                        <wps:spPr bwMode="auto">
                          <a:xfrm rot="10800000">
                            <a:off x="1252" y="14978"/>
                            <a:ext cx="10995" cy="230"/>
                          </a:xfrm>
                          <a:prstGeom prst="bentConnector3">
                            <a:avLst>
                              <a:gd name="adj1" fmla="val 96778"/>
                            </a:avLst>
                          </a:prstGeom>
                          <a:noFill/>
                          <a:ln w="19050">
                            <a:solidFill>
                              <a:schemeClr val="accent5">
                                <a:lumMod val="60000"/>
                                <a:lumOff val="40000"/>
                              </a:schemeClr>
                            </a:solidFill>
                            <a:miter lim="800000"/>
                            <a:headEnd/>
                            <a:tailEnd/>
                          </a:ln>
                          <a:extLst>
                            <a:ext uri="{909E8E84-426E-40DD-AFC4-6F175D3DCCD1}">
                              <a14:hiddenFill xmlns:a14="http://schemas.microsoft.com/office/drawing/2010/main">
                                <a:noFill/>
                              </a14:hiddenFill>
                            </a:ext>
                          </a:extLst>
                        </wps:spPr>
                        <wps:bodyPr/>
                      </wps:wsp>
                    </wpg:grpSp>
                  </wpg:wgp>
                </a:graphicData>
              </a:graphic>
              <wp14:sizeRelH relativeFrom="page">
                <wp14:pctWidth>100000</wp14:pctWidth>
              </wp14:sizeRelH>
              <wp14:sizeRelV relativeFrom="page">
                <wp14:pctHeight>0</wp14:pctHeight>
              </wp14:sizeRelV>
            </wp:anchor>
          </w:drawing>
        </mc:Choice>
        <mc:Fallback>
          <w:pict>
            <v:group w14:anchorId="6EDD17F4" id="_x0000_s1062" style="position:absolute;left:0;text-align:left;margin-left:12pt;margin-top:278.05pt;width:593.5pt;height:15pt;z-index:251658243;mso-width-percent:1000;mso-position-horizontal-relative:page;mso-position-vertical-relative:bottom-margin-area;mso-width-percent:1000" coordorigin=",14970" coordsize="12255,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">
              <v:shape id="Text Box 25" o:spid="_x0000_s1063" type="#_x0000_t202" style="position:absolute;left:10803;top:14982;width:659;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" filled="f" stroked="f">
                <v:textbox inset="0,0,0,0">
                  <w:txbxContent>
                    <w:p w14:paraId="6EDD1866" w14:textId="77777777" w:rsidR="00622884" w:rsidRDefault="00622884" w:rsidP="00574660">
                      <w:pPr>
                        <w:jc w:val="center"/>
                      </w:pPr>
                      <w:r>
                        <w:fldChar w:fldCharType="begin"/>
                      </w:r>
                      <w:r>
                        <w:instrText xml:space="preserve"> PAGE    \* MERGEFORMAT </w:instrText>
                      </w:r>
                      <w:r>
                        <w:fldChar w:fldCharType="separate"/>
                      </w:r>
                      <w:r w:rsidRPr="00B05BFA">
                        <w:rPr>
                          <w:noProof/>
                          <w:color w:val="8C8C8C" w:themeColor="background1" w:themeShade="8C"/>
                        </w:rPr>
                        <w:t>210</w:t>
                      </w:r>
                      <w:r>
                        <w:rPr>
                          <w:noProof/>
                          <w:color w:val="8C8C8C" w:themeColor="background1" w:themeShade="8C"/>
                        </w:rPr>
                        <w:fldChar w:fldCharType="end"/>
                      </w:r>
                    </w:p>
                  </w:txbxContent>
                </v:textbox>
              </v:shape>
              <v:group id="Group 31" o:spid="_x0000_s1064" style="position:absolute;top:14970;width:12255;height:230;flip:x" coordorigin="-8,14978" coordsize="12255,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">
                <v:shape id="AutoShape 27" o:spid="_x0000_s1065" type="#_x0000_t34" style="position:absolute;left:-8;top:14978;width:1260;height:23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" strokecolor="#a5a5a5" strokeweight="1.5pt"/>
                <v:shape id="AutoShape 28" o:spid="_x0000_s1066" type="#_x0000_t34" style="position:absolute;left:1252;top:14978;width:10995;height:230;rotation:18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" adj="20904" strokecolor="#92cddc [1944]" strokeweight="1.5pt"/>
              </v:group>
              <w10:wrap anchorx="page" anchory="margin"/>
            </v:group>
          </w:pict>
        </mc:Fallback>
      </mc:AlternateContent>
    </w:r>
    <w:r>
      <w:rPr>
        <w:noProof/>
        <w:lang w:val="en-US" w:eastAsia="en-US"/>
      </w:rPr>
      <mc:AlternateContent>
        <mc:Choice Requires="wpg">
          <w:drawing>
            <wp:anchor distT="0" distB="0" distL="114300" distR="114300" simplePos="0" relativeHeight="251658242" behindDoc="0" locked="0" layoutInCell="1" allowOverlap="1" wp14:anchorId="6EDD17F6" wp14:editId="6EDD17F7">
              <wp:simplePos x="0" y="0"/>
              <wp:positionH relativeFrom="page">
                <wp:posOffset>152400</wp:posOffset>
              </wp:positionH>
              <wp:positionV relativeFrom="bottomMargin">
                <wp:posOffset>3531235</wp:posOffset>
              </wp:positionV>
              <wp:extent cx="7537450" cy="190500"/>
              <wp:effectExtent l="0" t="0" r="6350" b="0"/>
              <wp:wrapNone/>
              <wp:docPr id="40" name="Group 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37450" cy="190500"/>
                        <a:chOff x="0" y="14970"/>
                        <a:chExt cx="12255" cy="300"/>
                      </a:xfrm>
                    </wpg:grpSpPr>
                    <wps:wsp>
                      <wps:cNvPr id="41" name="Text Box 25"/>
                      <wps:cNvSpPr txBox="1">
                        <a:spLocks noChangeArrowheads="1"/>
                      </wps:cNvSpPr>
                      <wps:spPr bwMode="auto">
                        <a:xfrm>
                          <a:off x="10803" y="14982"/>
                          <a:ext cx="659" cy="288"/>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DD1867" w14:textId="77777777" w:rsidR="00622884" w:rsidRDefault="00622884" w:rsidP="00574660">
                            <w:pPr>
                              <w:jc w:val="center"/>
                            </w:pPr>
                            <w:r>
                              <w:fldChar w:fldCharType="begin"/>
                            </w:r>
                            <w:r>
                              <w:instrText xml:space="preserve"> PAGE    \* MERGEFORMAT </w:instrText>
                            </w:r>
                            <w:r>
                              <w:fldChar w:fldCharType="separate"/>
                            </w:r>
                            <w:r w:rsidRPr="00B05BFA">
                              <w:rPr>
                                <w:noProof/>
                                <w:color w:val="8C8C8C" w:themeColor="background1" w:themeShade="8C"/>
                              </w:rPr>
                              <w:t>210</w:t>
                            </w:r>
                            <w:r>
                              <w:rPr>
                                <w:noProof/>
                                <w:color w:val="8C8C8C" w:themeColor="background1" w:themeShade="8C"/>
                              </w:rPr>
                              <w:fldChar w:fldCharType="end"/>
                            </w:r>
                          </w:p>
                        </w:txbxContent>
                      </wps:txbx>
                      <wps:bodyPr rot="0" vert="horz" wrap="square" lIns="0" tIns="0" rIns="0" bIns="0" anchor="t" anchorCtr="0" upright="1">
                        <a:noAutofit/>
                      </wps:bodyPr>
                    </wps:wsp>
                    <wpg:grpSp>
                      <wpg:cNvPr id="42" name="Group 31"/>
                      <wpg:cNvGrpSpPr>
                        <a:grpSpLocks/>
                      </wpg:cNvGrpSpPr>
                      <wpg:grpSpPr bwMode="auto">
                        <a:xfrm flipH="1">
                          <a:off x="0" y="14970"/>
                          <a:ext cx="12255" cy="230"/>
                          <a:chOff x="-8" y="14978"/>
                          <a:chExt cx="12255" cy="230"/>
                        </a:xfrm>
                      </wpg:grpSpPr>
                      <wps:wsp>
                        <wps:cNvPr id="44" name="AutoShape 27"/>
                        <wps:cNvCnPr>
                          <a:cxnSpLocks noChangeShapeType="1"/>
                        </wps:cNvCnPr>
                        <wps:spPr bwMode="auto">
                          <a:xfrm flipV="1">
                            <a:off x="-8" y="14978"/>
                            <a:ext cx="1260" cy="230"/>
                          </a:xfrm>
                          <a:prstGeom prst="bentConnector3">
                            <a:avLst>
                              <a:gd name="adj1" fmla="val 50000"/>
                            </a:avLst>
                          </a:prstGeom>
                          <a:noFill/>
                          <a:ln w="19050">
                            <a:solidFill>
                              <a:srgbClr val="A5A5A5"/>
                            </a:solidFill>
                            <a:miter lim="800000"/>
                            <a:headEnd/>
                            <a:tailEnd/>
                          </a:ln>
                          <a:extLst>
                            <a:ext uri="{909E8E84-426E-40DD-AFC4-6F175D3DCCD1}">
                              <a14:hiddenFill xmlns:a14="http://schemas.microsoft.com/office/drawing/2010/main">
                                <a:noFill/>
                              </a14:hiddenFill>
                            </a:ext>
                          </a:extLst>
                        </wps:spPr>
                        <wps:bodyPr/>
                      </wps:wsp>
                      <wps:wsp>
                        <wps:cNvPr id="48" name="AutoShape 28"/>
                        <wps:cNvCnPr>
                          <a:cxnSpLocks noChangeShapeType="1"/>
                        </wps:cNvCnPr>
                        <wps:spPr bwMode="auto">
                          <a:xfrm rot="10800000">
                            <a:off x="1252" y="14978"/>
                            <a:ext cx="10995" cy="230"/>
                          </a:xfrm>
                          <a:prstGeom prst="bentConnector3">
                            <a:avLst>
                              <a:gd name="adj1" fmla="val 96778"/>
                            </a:avLst>
                          </a:prstGeom>
                          <a:noFill/>
                          <a:ln w="19050">
                            <a:solidFill>
                              <a:schemeClr val="accent5">
                                <a:lumMod val="60000"/>
                                <a:lumOff val="40000"/>
                              </a:schemeClr>
                            </a:solidFill>
                            <a:miter lim="800000"/>
                            <a:headEnd/>
                            <a:tailEnd/>
                          </a:ln>
                          <a:extLst>
                            <a:ext uri="{909E8E84-426E-40DD-AFC4-6F175D3DCCD1}">
                              <a14:hiddenFill xmlns:a14="http://schemas.microsoft.com/office/drawing/2010/main">
                                <a:noFill/>
                              </a14:hiddenFill>
                            </a:ext>
                          </a:extLst>
                        </wps:spPr>
                        <wps:bodyPr/>
                      </wps:wsp>
                    </wpg:grpSp>
                  </wpg:wgp>
                </a:graphicData>
              </a:graphic>
              <wp14:sizeRelH relativeFrom="page">
                <wp14:pctWidth>100000</wp14:pctWidth>
              </wp14:sizeRelH>
              <wp14:sizeRelV relativeFrom="page">
                <wp14:pctHeight>0</wp14:pctHeight>
              </wp14:sizeRelV>
            </wp:anchor>
          </w:drawing>
        </mc:Choice>
        <mc:Fallback>
          <w:pict>
            <v:group w14:anchorId="6EDD17F6" id="_x0000_s1067" style="position:absolute;left:0;text-align:left;margin-left:12pt;margin-top:278.05pt;width:593.5pt;height:15pt;z-index:251658242;mso-width-percent:1000;mso-position-horizontal-relative:page;mso-position-vertical-relative:bottom-margin-area;mso-width-percent:1000" coordorigin=",14970" coordsize="12255,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">
              <v:shape id="Text Box 25" o:spid="_x0000_s1068" type="#_x0000_t202" style="position:absolute;left:10803;top:14982;width:659;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" filled="f" stroked="f">
                <v:textbox inset="0,0,0,0">
                  <w:txbxContent>
                    <w:p w14:paraId="6EDD1867" w14:textId="77777777" w:rsidR="00622884" w:rsidRDefault="00622884" w:rsidP="00574660">
                      <w:pPr>
                        <w:jc w:val="center"/>
                      </w:pPr>
                      <w:r>
                        <w:fldChar w:fldCharType="begin"/>
                      </w:r>
                      <w:r>
                        <w:instrText xml:space="preserve"> PAGE    \* MERGEFORMAT </w:instrText>
                      </w:r>
                      <w:r>
                        <w:fldChar w:fldCharType="separate"/>
                      </w:r>
                      <w:r w:rsidRPr="00B05BFA">
                        <w:rPr>
                          <w:noProof/>
                          <w:color w:val="8C8C8C" w:themeColor="background1" w:themeShade="8C"/>
                        </w:rPr>
                        <w:t>210</w:t>
                      </w:r>
                      <w:r>
                        <w:rPr>
                          <w:noProof/>
                          <w:color w:val="8C8C8C" w:themeColor="background1" w:themeShade="8C"/>
                        </w:rPr>
                        <w:fldChar w:fldCharType="end"/>
                      </w:r>
                    </w:p>
                  </w:txbxContent>
                </v:textbox>
              </v:shape>
              <v:group id="Group 31" o:spid="_x0000_s1069" style="position:absolute;top:14970;width:12255;height:230;flip:x" coordorigin="-8,14978" coordsize="12255,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">
                <v:shape id="AutoShape 27" o:spid="_x0000_s1070" type="#_x0000_t34" style="position:absolute;left:-8;top:14978;width:1260;height:23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" strokecolor="#a5a5a5" strokeweight="1.5pt"/>
                <v:shape id="AutoShape 28" o:spid="_x0000_s1071" type="#_x0000_t34" style="position:absolute;left:1252;top:14978;width:10995;height:230;rotation:18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" adj="20904" strokecolor="#92cddc [1944]" strokeweight="1.5pt"/>
              </v:group>
              <w10:wrap anchorx="page" anchory="margin"/>
            </v:group>
          </w:pict>
        </mc:Fallback>
      </mc:AlternateContent>
    </w:r>
    <w:r>
      <w:rPr>
        <w:noProof/>
        <w:lang w:val="en-US" w:eastAsia="en-US"/>
      </w:rPr>
      <mc:AlternateContent>
        <mc:Choice Requires="wpg">
          <w:drawing>
            <wp:anchor distT="0" distB="0" distL="114300" distR="114300" simplePos="0" relativeHeight="251658241" behindDoc="0" locked="0" layoutInCell="1" allowOverlap="1" wp14:anchorId="6EDD17F8" wp14:editId="6EDD17F9">
              <wp:simplePos x="0" y="0"/>
              <wp:positionH relativeFrom="page">
                <wp:posOffset>152400</wp:posOffset>
              </wp:positionH>
              <wp:positionV relativeFrom="bottomMargin">
                <wp:posOffset>3531235</wp:posOffset>
              </wp:positionV>
              <wp:extent cx="7537450" cy="190500"/>
              <wp:effectExtent l="0" t="0" r="6350" b="0"/>
              <wp:wrapNone/>
              <wp:docPr id="249" name="Group 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37450" cy="190500"/>
                        <a:chOff x="0" y="14970"/>
                        <a:chExt cx="12255" cy="300"/>
                      </a:xfrm>
                    </wpg:grpSpPr>
                    <wps:wsp>
                      <wps:cNvPr id="250" name="Text Box 25"/>
                      <wps:cNvSpPr txBox="1">
                        <a:spLocks noChangeArrowheads="1"/>
                      </wps:cNvSpPr>
                      <wps:spPr bwMode="auto">
                        <a:xfrm>
                          <a:off x="10803" y="14982"/>
                          <a:ext cx="659" cy="288"/>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DD1868" w14:textId="77777777" w:rsidR="00622884" w:rsidRDefault="00622884" w:rsidP="00574660">
                            <w:pPr>
                              <w:jc w:val="center"/>
                            </w:pPr>
                            <w:r>
                              <w:fldChar w:fldCharType="begin"/>
                            </w:r>
                            <w:r>
                              <w:instrText xml:space="preserve"> PAGE    \* MERGEFORMAT </w:instrText>
                            </w:r>
                            <w:r>
                              <w:fldChar w:fldCharType="separate"/>
                            </w:r>
                            <w:r w:rsidRPr="00B05BFA">
                              <w:rPr>
                                <w:noProof/>
                                <w:color w:val="8C8C8C" w:themeColor="background1" w:themeShade="8C"/>
                              </w:rPr>
                              <w:t>210</w:t>
                            </w:r>
                            <w:r>
                              <w:rPr>
                                <w:noProof/>
                                <w:color w:val="8C8C8C" w:themeColor="background1" w:themeShade="8C"/>
                              </w:rPr>
                              <w:fldChar w:fldCharType="end"/>
                            </w:r>
                          </w:p>
                        </w:txbxContent>
                      </wps:txbx>
                      <wps:bodyPr rot="0" vert="horz" wrap="square" lIns="0" tIns="0" rIns="0" bIns="0" anchor="t" anchorCtr="0" upright="1">
                        <a:noAutofit/>
                      </wps:bodyPr>
                    </wps:wsp>
                    <wpg:grpSp>
                      <wpg:cNvPr id="253" name="Group 31"/>
                      <wpg:cNvGrpSpPr>
                        <a:grpSpLocks/>
                      </wpg:cNvGrpSpPr>
                      <wpg:grpSpPr bwMode="auto">
                        <a:xfrm flipH="1">
                          <a:off x="0" y="14970"/>
                          <a:ext cx="12255" cy="230"/>
                          <a:chOff x="-8" y="14978"/>
                          <a:chExt cx="12255" cy="230"/>
                        </a:xfrm>
                      </wpg:grpSpPr>
                      <wps:wsp>
                        <wps:cNvPr id="254" name="AutoShape 27"/>
                        <wps:cNvCnPr>
                          <a:cxnSpLocks noChangeShapeType="1"/>
                        </wps:cNvCnPr>
                        <wps:spPr bwMode="auto">
                          <a:xfrm flipV="1">
                            <a:off x="-8" y="14978"/>
                            <a:ext cx="1260" cy="230"/>
                          </a:xfrm>
                          <a:prstGeom prst="bentConnector3">
                            <a:avLst>
                              <a:gd name="adj1" fmla="val 50000"/>
                            </a:avLst>
                          </a:prstGeom>
                          <a:noFill/>
                          <a:ln w="19050">
                            <a:solidFill>
                              <a:srgbClr val="A5A5A5"/>
                            </a:solidFill>
                            <a:miter lim="800000"/>
                            <a:headEnd/>
                            <a:tailEnd/>
                          </a:ln>
                          <a:extLst>
                            <a:ext uri="{909E8E84-426E-40DD-AFC4-6F175D3DCCD1}">
                              <a14:hiddenFill xmlns:a14="http://schemas.microsoft.com/office/drawing/2010/main">
                                <a:noFill/>
                              </a14:hiddenFill>
                            </a:ext>
                          </a:extLst>
                        </wps:spPr>
                        <wps:bodyPr/>
                      </wps:wsp>
                      <wps:wsp>
                        <wps:cNvPr id="36" name="AutoShape 28"/>
                        <wps:cNvCnPr>
                          <a:cxnSpLocks noChangeShapeType="1"/>
                        </wps:cNvCnPr>
                        <wps:spPr bwMode="auto">
                          <a:xfrm rot="10800000">
                            <a:off x="1252" y="14978"/>
                            <a:ext cx="10995" cy="230"/>
                          </a:xfrm>
                          <a:prstGeom prst="bentConnector3">
                            <a:avLst>
                              <a:gd name="adj1" fmla="val 96778"/>
                            </a:avLst>
                          </a:prstGeom>
                          <a:noFill/>
                          <a:ln w="19050">
                            <a:solidFill>
                              <a:schemeClr val="accent5">
                                <a:lumMod val="60000"/>
                                <a:lumOff val="40000"/>
                              </a:schemeClr>
                            </a:solidFill>
                            <a:miter lim="800000"/>
                            <a:headEnd/>
                            <a:tailEnd/>
                          </a:ln>
                          <a:extLst>
                            <a:ext uri="{909E8E84-426E-40DD-AFC4-6F175D3DCCD1}">
                              <a14:hiddenFill xmlns:a14="http://schemas.microsoft.com/office/drawing/2010/main">
                                <a:noFill/>
                              </a14:hiddenFill>
                            </a:ext>
                          </a:extLst>
                        </wps:spPr>
                        <wps:bodyPr/>
                      </wps:wsp>
                    </wpg:grpSp>
                  </wpg:wgp>
                </a:graphicData>
              </a:graphic>
              <wp14:sizeRelH relativeFrom="page">
                <wp14:pctWidth>100000</wp14:pctWidth>
              </wp14:sizeRelH>
              <wp14:sizeRelV relativeFrom="page">
                <wp14:pctHeight>0</wp14:pctHeight>
              </wp14:sizeRelV>
            </wp:anchor>
          </w:drawing>
        </mc:Choice>
        <mc:Fallback>
          <w:pict>
            <v:group w14:anchorId="6EDD17F8" id="_x0000_s1072" style="position:absolute;left:0;text-align:left;margin-left:12pt;margin-top:278.05pt;width:593.5pt;height:15pt;z-index:251658241;mso-width-percent:1000;mso-position-horizontal-relative:page;mso-position-vertical-relative:bottom-margin-area;mso-width-percent:1000" coordorigin=",14970" coordsize="12255,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">
              <v:shape id="Text Box 25" o:spid="_x0000_s1073" type="#_x0000_t202" style="position:absolute;left:10803;top:14982;width:659;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" filled="f" stroked="f">
                <v:textbox inset="0,0,0,0">
                  <w:txbxContent>
                    <w:p w14:paraId="6EDD1868" w14:textId="77777777" w:rsidR="00622884" w:rsidRDefault="00622884" w:rsidP="00574660">
                      <w:pPr>
                        <w:jc w:val="center"/>
                      </w:pPr>
                      <w:r>
                        <w:fldChar w:fldCharType="begin"/>
                      </w:r>
                      <w:r>
                        <w:instrText xml:space="preserve"> PAGE    \* MERGEFORMAT </w:instrText>
                      </w:r>
                      <w:r>
                        <w:fldChar w:fldCharType="separate"/>
                      </w:r>
                      <w:r w:rsidRPr="00B05BFA">
                        <w:rPr>
                          <w:noProof/>
                          <w:color w:val="8C8C8C" w:themeColor="background1" w:themeShade="8C"/>
                        </w:rPr>
                        <w:t>210</w:t>
                      </w:r>
                      <w:r>
                        <w:rPr>
                          <w:noProof/>
                          <w:color w:val="8C8C8C" w:themeColor="background1" w:themeShade="8C"/>
                        </w:rPr>
                        <w:fldChar w:fldCharType="end"/>
                      </w:r>
                    </w:p>
                  </w:txbxContent>
                </v:textbox>
              </v:shape>
              <v:group id="Group 31" o:spid="_x0000_s1074" style="position:absolute;top:14970;width:12255;height:230;flip:x" coordorigin="-8,14978" coordsize="12255,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">
                <v:shape id="AutoShape 27" o:spid="_x0000_s1075" type="#_x0000_t34" style="position:absolute;left:-8;top:14978;width:1260;height:23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" strokecolor="#a5a5a5" strokeweight="1.5pt"/>
                <v:shape id="AutoShape 28" o:spid="_x0000_s1076" type="#_x0000_t34" style="position:absolute;left:1252;top:14978;width:10995;height:230;rotation:18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" adj="20904" strokecolor="#92cddc [1944]" strokeweight="1.5pt"/>
              </v:group>
              <w10:wrap anchorx="page" anchory="margin"/>
            </v:group>
          </w:pict>
        </mc:Fallback>
      </mc:AlternateContent>
    </w:r>
    <w:r>
      <w:rPr>
        <w:noProof/>
        <w:lang w:val="en-US" w:eastAsia="en-US"/>
      </w:rPr>
      <mc:AlternateContent>
        <mc:Choice Requires="wpg">
          <w:drawing>
            <wp:anchor distT="0" distB="0" distL="114300" distR="114300" simplePos="0" relativeHeight="251658240" behindDoc="0" locked="0" layoutInCell="1" allowOverlap="1" wp14:anchorId="6EDD17FA" wp14:editId="6EDD17FB">
              <wp:simplePos x="0" y="0"/>
              <wp:positionH relativeFrom="page">
                <wp:posOffset>152400</wp:posOffset>
              </wp:positionH>
              <wp:positionV relativeFrom="bottomMargin">
                <wp:posOffset>3531235</wp:posOffset>
              </wp:positionV>
              <wp:extent cx="7537450" cy="190500"/>
              <wp:effectExtent l="0" t="0" r="6350" b="0"/>
              <wp:wrapNone/>
              <wp:docPr id="242" name="Group 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37450" cy="190500"/>
                        <a:chOff x="0" y="14970"/>
                        <a:chExt cx="12255" cy="300"/>
                      </a:xfrm>
                    </wpg:grpSpPr>
                    <wps:wsp>
                      <wps:cNvPr id="243" name="Text Box 25"/>
                      <wps:cNvSpPr txBox="1">
                        <a:spLocks noChangeArrowheads="1"/>
                      </wps:cNvSpPr>
                      <wps:spPr bwMode="auto">
                        <a:xfrm>
                          <a:off x="10803" y="14982"/>
                          <a:ext cx="659" cy="288"/>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DD1869" w14:textId="77777777" w:rsidR="00622884" w:rsidRDefault="00622884" w:rsidP="00574660">
                            <w:pPr>
                              <w:jc w:val="center"/>
                            </w:pPr>
                            <w:r>
                              <w:fldChar w:fldCharType="begin"/>
                            </w:r>
                            <w:r>
                              <w:instrText xml:space="preserve"> PAGE    \* MERGEFORMAT </w:instrText>
                            </w:r>
                            <w:r>
                              <w:fldChar w:fldCharType="separate"/>
                            </w:r>
                            <w:r w:rsidRPr="00B05BFA">
                              <w:rPr>
                                <w:noProof/>
                                <w:color w:val="8C8C8C" w:themeColor="background1" w:themeShade="8C"/>
                              </w:rPr>
                              <w:t>210</w:t>
                            </w:r>
                            <w:r>
                              <w:rPr>
                                <w:noProof/>
                                <w:color w:val="8C8C8C" w:themeColor="background1" w:themeShade="8C"/>
                              </w:rPr>
                              <w:fldChar w:fldCharType="end"/>
                            </w:r>
                          </w:p>
                        </w:txbxContent>
                      </wps:txbx>
                      <wps:bodyPr rot="0" vert="horz" wrap="square" lIns="0" tIns="0" rIns="0" bIns="0" anchor="t" anchorCtr="0" upright="1">
                        <a:noAutofit/>
                      </wps:bodyPr>
                    </wps:wsp>
                    <wpg:grpSp>
                      <wpg:cNvPr id="246" name="Group 31"/>
                      <wpg:cNvGrpSpPr>
                        <a:grpSpLocks/>
                      </wpg:cNvGrpSpPr>
                      <wpg:grpSpPr bwMode="auto">
                        <a:xfrm flipH="1">
                          <a:off x="0" y="14970"/>
                          <a:ext cx="12255" cy="230"/>
                          <a:chOff x="-8" y="14978"/>
                          <a:chExt cx="12255" cy="230"/>
                        </a:xfrm>
                      </wpg:grpSpPr>
                      <wps:wsp>
                        <wps:cNvPr id="247" name="AutoShape 27"/>
                        <wps:cNvCnPr>
                          <a:cxnSpLocks noChangeShapeType="1"/>
                        </wps:cNvCnPr>
                        <wps:spPr bwMode="auto">
                          <a:xfrm flipV="1">
                            <a:off x="-8" y="14978"/>
                            <a:ext cx="1260" cy="230"/>
                          </a:xfrm>
                          <a:prstGeom prst="bentConnector3">
                            <a:avLst>
                              <a:gd name="adj1" fmla="val 50000"/>
                            </a:avLst>
                          </a:prstGeom>
                          <a:noFill/>
                          <a:ln w="19050">
                            <a:solidFill>
                              <a:srgbClr val="A5A5A5"/>
                            </a:solidFill>
                            <a:miter lim="800000"/>
                            <a:headEnd/>
                            <a:tailEnd/>
                          </a:ln>
                          <a:extLst>
                            <a:ext uri="{909E8E84-426E-40DD-AFC4-6F175D3DCCD1}">
                              <a14:hiddenFill xmlns:a14="http://schemas.microsoft.com/office/drawing/2010/main">
                                <a:noFill/>
                              </a14:hiddenFill>
                            </a:ext>
                          </a:extLst>
                        </wps:spPr>
                        <wps:bodyPr/>
                      </wps:wsp>
                      <wps:wsp>
                        <wps:cNvPr id="248" name="AutoShape 28"/>
                        <wps:cNvCnPr>
                          <a:cxnSpLocks noChangeShapeType="1"/>
                        </wps:cNvCnPr>
                        <wps:spPr bwMode="auto">
                          <a:xfrm rot="10800000">
                            <a:off x="1252" y="14978"/>
                            <a:ext cx="10995" cy="230"/>
                          </a:xfrm>
                          <a:prstGeom prst="bentConnector3">
                            <a:avLst>
                              <a:gd name="adj1" fmla="val 96778"/>
                            </a:avLst>
                          </a:prstGeom>
                          <a:noFill/>
                          <a:ln w="19050">
                            <a:solidFill>
                              <a:schemeClr val="accent5">
                                <a:lumMod val="60000"/>
                                <a:lumOff val="40000"/>
                              </a:schemeClr>
                            </a:solidFill>
                            <a:miter lim="800000"/>
                            <a:headEnd/>
                            <a:tailEnd/>
                          </a:ln>
                          <a:extLst>
                            <a:ext uri="{909E8E84-426E-40DD-AFC4-6F175D3DCCD1}">
                              <a14:hiddenFill xmlns:a14="http://schemas.microsoft.com/office/drawing/2010/main">
                                <a:noFill/>
                              </a14:hiddenFill>
                            </a:ext>
                          </a:extLst>
                        </wps:spPr>
                        <wps:bodyPr/>
                      </wps:wsp>
                    </wpg:grpSp>
                  </wpg:wgp>
                </a:graphicData>
              </a:graphic>
              <wp14:sizeRelH relativeFrom="page">
                <wp14:pctWidth>100000</wp14:pctWidth>
              </wp14:sizeRelH>
              <wp14:sizeRelV relativeFrom="page">
                <wp14:pctHeight>0</wp14:pctHeight>
              </wp14:sizeRelV>
            </wp:anchor>
          </w:drawing>
        </mc:Choice>
        <mc:Fallback>
          <w:pict>
            <v:group w14:anchorId="6EDD17FA" id="_x0000_s1077" style="position:absolute;left:0;text-align:left;margin-left:12pt;margin-top:278.05pt;width:593.5pt;height:15pt;z-index:251658240;mso-width-percent:1000;mso-position-horizontal-relative:page;mso-position-vertical-relative:bottom-margin-area;mso-width-percent:1000" coordorigin=",14970" coordsize="12255,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">
              <v:shape id="Text Box 25" o:spid="_x0000_s1078" type="#_x0000_t202" style="position:absolute;left:10803;top:14982;width:659;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" filled="f" stroked="f">
                <v:textbox inset="0,0,0,0">
                  <w:txbxContent>
                    <w:p w14:paraId="6EDD1869" w14:textId="77777777" w:rsidR="00622884" w:rsidRDefault="00622884" w:rsidP="00574660">
                      <w:pPr>
                        <w:jc w:val="center"/>
                      </w:pPr>
                      <w:r>
                        <w:fldChar w:fldCharType="begin"/>
                      </w:r>
                      <w:r>
                        <w:instrText xml:space="preserve"> PAGE    \* MERGEFORMAT </w:instrText>
                      </w:r>
                      <w:r>
                        <w:fldChar w:fldCharType="separate"/>
                      </w:r>
                      <w:r w:rsidRPr="00B05BFA">
                        <w:rPr>
                          <w:noProof/>
                          <w:color w:val="8C8C8C" w:themeColor="background1" w:themeShade="8C"/>
                        </w:rPr>
                        <w:t>210</w:t>
                      </w:r>
                      <w:r>
                        <w:rPr>
                          <w:noProof/>
                          <w:color w:val="8C8C8C" w:themeColor="background1" w:themeShade="8C"/>
                        </w:rPr>
                        <w:fldChar w:fldCharType="end"/>
                      </w:r>
                    </w:p>
                  </w:txbxContent>
                </v:textbox>
              </v:shape>
              <v:group id="Group 31" o:spid="_x0000_s1079" style="position:absolute;top:14970;width:12255;height:230;flip:x" coordorigin="-8,14978" coordsize="12255,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">
                <v:shape id="AutoShape 27" o:spid="_x0000_s1080" type="#_x0000_t34" style="position:absolute;left:-8;top:14978;width:1260;height:23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" strokecolor="#a5a5a5" strokeweight="1.5pt"/>
                <v:shape id="AutoShape 28" o:spid="_x0000_s1081" type="#_x0000_t34" style="position:absolute;left:1252;top:14978;width:10995;height:230;rotation:18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" adj="20904" strokecolor="#92cddc [1944]" strokeweight="1.5pt"/>
              </v:group>
              <w10:wrap anchorx="page" anchory="margin"/>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2E3F76A" w14:textId="77777777" w:rsidR="0012572D" w:rsidRDefault="0012572D" w:rsidP="001C6C5A">
      <w:pPr>
        <w:spacing w:after="0" w:line="240" w:lineRule="auto"/>
      </w:pPr>
      <w:r>
        <w:separator/>
      </w:r>
    </w:p>
  </w:footnote>
  <w:footnote w:type="continuationSeparator" w:id="0">
    <w:p w14:paraId="3046AB7C" w14:textId="77777777" w:rsidR="0012572D" w:rsidRDefault="0012572D" w:rsidP="001C6C5A">
      <w:pPr>
        <w:spacing w:after="0" w:line="240" w:lineRule="auto"/>
      </w:pPr>
      <w:r>
        <w:continuationSeparator/>
      </w:r>
    </w:p>
  </w:footnote>
  <w:footnote w:type="continuationNotice" w:id="1">
    <w:p w14:paraId="466D08DF" w14:textId="77777777" w:rsidR="0012572D" w:rsidRDefault="0012572D">
      <w:pPr>
        <w:spacing w:after="0" w:line="240" w:lineRule="auto"/>
      </w:pPr>
    </w:p>
  </w:footnote>
  <w:footnote w:id="2">
    <w:p w14:paraId="6EDD17FC" w14:textId="743071FC" w:rsidR="00622884" w:rsidRPr="00587E94" w:rsidRDefault="00622884" w:rsidP="00A816F3">
      <w:pPr>
        <w:pStyle w:val="FootnoteText"/>
        <w:spacing w:before="0" w:after="0"/>
        <w:rPr>
          <w:rFonts w:ascii="Garamond" w:hAnsi="Garamond"/>
        </w:rPr>
      </w:pPr>
      <w:r w:rsidRPr="00587E94">
        <w:rPr>
          <w:rStyle w:val="FootnoteReference"/>
          <w:rFonts w:ascii="Garamond" w:hAnsi="Garamond"/>
        </w:rPr>
        <w:footnoteRef/>
      </w:r>
      <w:r w:rsidRPr="00587E94">
        <w:rPr>
          <w:rFonts w:ascii="Garamond" w:hAnsi="Garamond"/>
        </w:rPr>
        <w:t xml:space="preserve"> Grupi i Ekspertëve UNFCCC / LDC: Planet Kombëtare të Përshtatjes – udhëzime teknike për procesin kombëtar të planit të përshtatjes. Dhjetor 2012.</w:t>
      </w:r>
    </w:p>
  </w:footnote>
  <w:footnote w:id="3">
    <w:p w14:paraId="6EDD17FD" w14:textId="504D3B27" w:rsidR="00622884" w:rsidRPr="00587E94" w:rsidRDefault="00622884" w:rsidP="00A816F3">
      <w:pPr>
        <w:pStyle w:val="FootnoteText"/>
        <w:spacing w:before="0" w:after="0"/>
        <w:rPr>
          <w:rFonts w:ascii="Garamond" w:hAnsi="Garamond"/>
        </w:rPr>
      </w:pPr>
      <w:r w:rsidRPr="00587E94">
        <w:rPr>
          <w:rStyle w:val="FootnoteReference"/>
          <w:rFonts w:ascii="Garamond" w:hAnsi="Garamond"/>
        </w:rPr>
        <w:footnoteRef/>
      </w:r>
      <w:r w:rsidRPr="00587E94">
        <w:rPr>
          <w:rFonts w:ascii="Garamond" w:hAnsi="Garamond"/>
        </w:rPr>
        <w:t xml:space="preserve"> https://ec.europa.eu/clima/sites/clima/files/docs/eu_strategy_en.pdf</w:t>
      </w:r>
    </w:p>
  </w:footnote>
  <w:footnote w:id="4">
    <w:p w14:paraId="6EDD17FE" w14:textId="0DB35C93" w:rsidR="00622884" w:rsidRPr="00587E94" w:rsidRDefault="00622884" w:rsidP="001C6C5A">
      <w:pPr>
        <w:pStyle w:val="FootnoteText"/>
        <w:tabs>
          <w:tab w:val="left" w:pos="142"/>
        </w:tabs>
        <w:spacing w:before="0" w:after="0"/>
        <w:rPr>
          <w:rFonts w:ascii="Garamond" w:hAnsi="Garamond"/>
        </w:rPr>
      </w:pPr>
      <w:r w:rsidRPr="00587E94">
        <w:rPr>
          <w:rStyle w:val="FootnoteReference"/>
          <w:rFonts w:ascii="Garamond" w:hAnsi="Garamond"/>
        </w:rPr>
        <w:footnoteRef/>
      </w:r>
      <w:r w:rsidRPr="00587E94">
        <w:rPr>
          <w:rFonts w:ascii="Garamond" w:hAnsi="Garamond"/>
        </w:rPr>
        <w:tab/>
        <w:t>Komisioni Evropian –Të dhëna. Gjetje kyçe të raportit 2015 për Shqipërinë. Bruksel, 10 nëntor 2015. http://europa.eu/rapid/press-release_MEMO-15-6035_en.htm</w:t>
      </w:r>
    </w:p>
  </w:footnote>
  <w:footnote w:id="5">
    <w:p w14:paraId="6EDD17FF" w14:textId="1054DC95" w:rsidR="00622884" w:rsidRPr="00587E94" w:rsidRDefault="00622884" w:rsidP="001C6C5A">
      <w:pPr>
        <w:pStyle w:val="FootnoteText"/>
        <w:spacing w:before="0" w:after="0"/>
        <w:rPr>
          <w:rFonts w:ascii="Garamond" w:hAnsi="Garamond"/>
        </w:rPr>
      </w:pPr>
      <w:r w:rsidRPr="00587E94">
        <w:rPr>
          <w:rStyle w:val="FootnoteReference"/>
          <w:rFonts w:ascii="Garamond" w:hAnsi="Garamond"/>
        </w:rPr>
        <w:footnoteRef/>
      </w:r>
      <w:r w:rsidRPr="00587E94">
        <w:rPr>
          <w:rFonts w:ascii="Garamond" w:hAnsi="Garamond"/>
        </w:rPr>
        <w:t xml:space="preserve"> Raportimi i GES-IT në Shqipëri bazohet në Udhëzuesin e Rishikuar të Praktikave të Mira të IPCC-ittë vitit 1996, ku kategoritë raportuese të burimit/ përthithësve GES grupohen në sektorë si vijon: • Energjia • Proceset Industriale • Tretës dhe Përdorime të Tjera të Produkteve • Bujqësia • Ndryshimi i Përdorimit të Tokës dhe Pylltaria • Mbetjet</w:t>
      </w:r>
    </w:p>
  </w:footnote>
  <w:footnote w:id="6">
    <w:p w14:paraId="6EDD1800" w14:textId="2414B337" w:rsidR="00622884" w:rsidRPr="00587E94" w:rsidRDefault="00622884" w:rsidP="003A6446">
      <w:pPr>
        <w:pStyle w:val="Default"/>
        <w:rPr>
          <w:rFonts w:ascii="Garamond" w:hAnsi="Garamond"/>
          <w:sz w:val="20"/>
          <w:szCs w:val="20"/>
          <w:lang w:val="sq-AL"/>
        </w:rPr>
      </w:pPr>
      <w:r w:rsidRPr="00587E94">
        <w:rPr>
          <w:rStyle w:val="FootnoteReference"/>
          <w:rFonts w:ascii="Garamond" w:hAnsi="Garamond"/>
          <w:sz w:val="20"/>
          <w:szCs w:val="20"/>
          <w:lang w:val="sq-AL"/>
        </w:rPr>
        <w:footnoteRef/>
      </w:r>
      <w:r w:rsidRPr="00587E94">
        <w:rPr>
          <w:rFonts w:ascii="Garamond" w:hAnsi="Garamond"/>
          <w:color w:val="auto"/>
          <w:sz w:val="20"/>
          <w:szCs w:val="20"/>
          <w:lang w:val="sq-AL"/>
        </w:rPr>
        <w:t xml:space="preserve"> DCM No. 881, datë 14.12.2016Për miratimin e planit të përgjithshëm kombëtar të territorit. </w:t>
      </w:r>
    </w:p>
  </w:footnote>
  <w:footnote w:id="7">
    <w:p w14:paraId="6EDD1801" w14:textId="7E40009F" w:rsidR="00622884" w:rsidRPr="00587E94" w:rsidRDefault="00622884" w:rsidP="003A6446">
      <w:pPr>
        <w:pStyle w:val="FootnoteText"/>
        <w:spacing w:before="0" w:after="0"/>
        <w:rPr>
          <w:rStyle w:val="FunoteZchn"/>
          <w:rFonts w:ascii="Garamond" w:hAnsi="Garamond"/>
          <w:sz w:val="20"/>
          <w:szCs w:val="20"/>
          <w:lang w:val="sq-AL"/>
        </w:rPr>
      </w:pPr>
      <w:r w:rsidRPr="00587E94">
        <w:rPr>
          <w:rStyle w:val="FootnoteReference"/>
          <w:rFonts w:ascii="Garamond" w:hAnsi="Garamond"/>
        </w:rPr>
        <w:footnoteRef/>
      </w:r>
      <w:r w:rsidRPr="00587E94">
        <w:rPr>
          <w:rStyle w:val="FunoteZchn"/>
          <w:rFonts w:ascii="Garamond" w:hAnsi="Garamond"/>
          <w:sz w:val="20"/>
          <w:szCs w:val="20"/>
          <w:lang w:val="sq-AL"/>
        </w:rPr>
        <w:t xml:space="preserve"> Grupi i Ekspertëve UNFCCC / LDC: Planet Kombëtare të Përshtatjes – udhëzime teknike për procesin kombëtar të planit të përshtatjes. dhjetor 2012.</w:t>
      </w:r>
    </w:p>
  </w:footnote>
  <w:footnote w:id="8">
    <w:p w14:paraId="6EDD1802" w14:textId="08F779D8" w:rsidR="00622884" w:rsidRPr="00587E94" w:rsidRDefault="00622884" w:rsidP="003A6446">
      <w:pPr>
        <w:pStyle w:val="FootnoteText"/>
        <w:tabs>
          <w:tab w:val="left" w:pos="142"/>
        </w:tabs>
        <w:spacing w:before="0" w:after="0"/>
        <w:rPr>
          <w:rFonts w:ascii="Garamond" w:hAnsi="Garamond"/>
        </w:rPr>
      </w:pPr>
      <w:r w:rsidRPr="00587E94">
        <w:rPr>
          <w:rStyle w:val="Caratteredellanota"/>
          <w:rFonts w:ascii="Garamond" w:hAnsi="Garamond"/>
        </w:rPr>
        <w:footnoteRef/>
      </w:r>
      <w:r w:rsidRPr="00587E94">
        <w:rPr>
          <w:rFonts w:ascii="Garamond" w:hAnsi="Garamond"/>
        </w:rPr>
        <w:tab/>
        <w:t>Ulbrich, U., P. Lionello, D. Belušic, J. Jacobeit, P. Knippertz, F.G. Kuglitsch, G.C. Leckebusch, J. Luterbacher, M. Maugeri, P. Maheras, K.M. Nissen, V. Pavan, J.G. Pinto, H. Saaroni, S. Seubert, A. Toreti, E. Xoplaki, dhe B. Ziv, 2012: Klima i Mesheur: modelet sinoptike, temperatura, precipitimi, erërat dhe ekstrshkark e tyre. Në: Klima e Rajonit Mesdhetar: Nga e kaluara në të Ardhmen [Lionello, P. (ed.)]. Elsevier, London, UK dhe Waltham, MA, USA, f. 301–346.</w:t>
      </w:r>
    </w:p>
  </w:footnote>
  <w:footnote w:id="9">
    <w:p w14:paraId="6EDD1803" w14:textId="77777777" w:rsidR="00622884" w:rsidRPr="00587E94" w:rsidRDefault="00622884" w:rsidP="003A6446">
      <w:pPr>
        <w:pStyle w:val="FootnoteText"/>
        <w:tabs>
          <w:tab w:val="left" w:pos="142"/>
        </w:tabs>
        <w:spacing w:before="0" w:after="0"/>
        <w:jc w:val="left"/>
        <w:rPr>
          <w:rFonts w:ascii="Garamond" w:hAnsi="Garamond"/>
        </w:rPr>
      </w:pPr>
      <w:r w:rsidRPr="00587E94">
        <w:rPr>
          <w:rStyle w:val="FootnoteReference"/>
          <w:rFonts w:ascii="Garamond" w:hAnsi="Garamond"/>
        </w:rPr>
        <w:footnoteRef/>
      </w:r>
      <w:r w:rsidRPr="00587E94">
        <w:rPr>
          <w:rFonts w:ascii="Garamond" w:hAnsi="Garamond"/>
        </w:rPr>
        <w:tab/>
        <w:t>Ministria e Mjedisit, Pyjeve dhe Administrimit të Ujërave; Raport për kapacitetin kombëtar të Shqipërisë për vetëvlerësim për menaxhimin mjedisor global, 2007</w:t>
      </w:r>
    </w:p>
  </w:footnote>
  <w:footnote w:id="10">
    <w:p w14:paraId="6EDD1804" w14:textId="06778100" w:rsidR="00622884" w:rsidRPr="00587E94" w:rsidRDefault="00622884" w:rsidP="003A6446">
      <w:pPr>
        <w:pStyle w:val="FootnoteText"/>
        <w:tabs>
          <w:tab w:val="left" w:pos="142"/>
        </w:tabs>
        <w:spacing w:before="0" w:after="0"/>
        <w:rPr>
          <w:rFonts w:ascii="Garamond" w:hAnsi="Garamond"/>
        </w:rPr>
      </w:pPr>
      <w:r w:rsidRPr="00587E94">
        <w:rPr>
          <w:rStyle w:val="Caratteredellanota"/>
          <w:rFonts w:ascii="Garamond" w:hAnsi="Garamond"/>
        </w:rPr>
        <w:footnoteRef/>
      </w:r>
      <w:r w:rsidRPr="00587E94">
        <w:rPr>
          <w:rFonts w:ascii="Garamond" w:hAnsi="Garamond"/>
        </w:rPr>
        <w:tab/>
        <w:t xml:space="preserve"> IPCC, 2014: Ndryshimi Klimatik 2014: Raport Sintezë. Kontribut i Grupeve të Punës I, II dhe III në Raportin e Pestë Vlerësues të Panelit Ndërqeveritar për Ndryshimin Klimatik [Ekipi Hartues, R.K. Pachauri dhe L.A. Meyer (eds.)]. IPCC, Gjenevë, Zvicër, 151 f.</w:t>
      </w:r>
    </w:p>
    <w:p w14:paraId="6EDD1805" w14:textId="77777777" w:rsidR="00622884" w:rsidRPr="00587E94" w:rsidRDefault="00622884" w:rsidP="003A6446">
      <w:pPr>
        <w:pStyle w:val="FootnoteText"/>
        <w:rPr>
          <w:rFonts w:ascii="Garamond" w:hAnsi="Garamond"/>
        </w:rPr>
      </w:pPr>
    </w:p>
  </w:footnote>
  <w:footnote w:id="11">
    <w:p w14:paraId="6EDD1806" w14:textId="77777777" w:rsidR="00622884" w:rsidRPr="00587E94" w:rsidRDefault="00622884" w:rsidP="00D86DD8">
      <w:pPr>
        <w:pStyle w:val="NormalWeb"/>
        <w:spacing w:before="0" w:beforeAutospacing="0" w:after="0" w:afterAutospacing="0"/>
        <w:jc w:val="left"/>
        <w:rPr>
          <w:rFonts w:ascii="Garamond" w:hAnsi="Garamond" w:cs="Calibri"/>
          <w:sz w:val="20"/>
          <w:szCs w:val="20"/>
        </w:rPr>
      </w:pPr>
      <w:r w:rsidRPr="00587E94">
        <w:rPr>
          <w:rStyle w:val="Caratteredellanota"/>
          <w:rFonts w:ascii="Garamond" w:hAnsi="Garamond" w:cs="Calibri"/>
          <w:sz w:val="20"/>
          <w:szCs w:val="20"/>
        </w:rPr>
        <w:footnoteRef/>
      </w:r>
      <w:r w:rsidRPr="00587E94">
        <w:rPr>
          <w:rFonts w:ascii="Garamond" w:hAnsi="Garamond" w:cs="Calibri"/>
          <w:sz w:val="20"/>
          <w:szCs w:val="20"/>
        </w:rPr>
        <w:t xml:space="preserve"> COM(2011) 112 final/2. Gjendet në: </w:t>
      </w:r>
      <w:hyperlink r:id="rId1" w:history="1">
        <w:r w:rsidRPr="00587E94">
          <w:rPr>
            <w:rStyle w:val="Hyperlink"/>
            <w:rFonts w:ascii="Garamond" w:hAnsi="Garamond" w:cs="Calibri"/>
            <w:sz w:val="20"/>
            <w:szCs w:val="20"/>
          </w:rPr>
          <w:t>http://eur-lex.europa.eu/resource.html?uri=cellar:5db26ecc-ba4e-4de2-ae08-dba649109d18.0002.03/DOC_2&amp;format=PDF</w:t>
        </w:r>
      </w:hyperlink>
    </w:p>
  </w:footnote>
  <w:footnote w:id="12">
    <w:p w14:paraId="6EDD1807" w14:textId="77777777" w:rsidR="00622884" w:rsidRPr="00587E94" w:rsidRDefault="00622884" w:rsidP="00E20D71">
      <w:pPr>
        <w:pStyle w:val="FootnoteText"/>
        <w:tabs>
          <w:tab w:val="left" w:pos="142"/>
        </w:tabs>
        <w:spacing w:before="0" w:after="0"/>
        <w:rPr>
          <w:rFonts w:ascii="Garamond" w:hAnsi="Garamond"/>
        </w:rPr>
      </w:pPr>
      <w:r w:rsidRPr="00587E94">
        <w:rPr>
          <w:rStyle w:val="Caratteredellanota"/>
          <w:rFonts w:ascii="Garamond" w:hAnsi="Garamond"/>
        </w:rPr>
        <w:footnoteRef/>
      </w:r>
      <w:r w:rsidRPr="00587E94">
        <w:rPr>
          <w:rFonts w:ascii="Garamond" w:hAnsi="Garamond"/>
        </w:rPr>
        <w:tab/>
        <w:t xml:space="preserve"> Burimi: http://ec.europa.eu/clima/policies/strategies/2050/index_it.htm</w:t>
      </w:r>
    </w:p>
  </w:footnote>
  <w:footnote w:id="13">
    <w:p w14:paraId="6EDD1808" w14:textId="5BDA1EEF" w:rsidR="00622884" w:rsidRPr="00587E94" w:rsidRDefault="00622884" w:rsidP="00E20D71">
      <w:pPr>
        <w:pStyle w:val="FootnoteText"/>
        <w:tabs>
          <w:tab w:val="left" w:pos="142"/>
          <w:tab w:val="left" w:pos="6030"/>
        </w:tabs>
        <w:spacing w:before="0" w:after="0"/>
        <w:rPr>
          <w:rFonts w:ascii="Garamond" w:hAnsi="Garamond"/>
        </w:rPr>
      </w:pPr>
      <w:r w:rsidRPr="00587E94">
        <w:rPr>
          <w:rStyle w:val="Caratteredellanota"/>
          <w:rFonts w:ascii="Garamond" w:hAnsi="Garamond"/>
        </w:rPr>
        <w:footnoteRef/>
      </w:r>
      <w:r w:rsidRPr="00587E94">
        <w:rPr>
          <w:rFonts w:ascii="Garamond" w:hAnsi="Garamond"/>
        </w:rPr>
        <w:tab/>
        <w:t xml:space="preserve"> 28 shtetet anëtare të BE-së dhe tre shtete nga Zona Ekonomike Europiane (EEA), Lihtenshtejni, Norvegjia dhe Islanda, si dhe Shoqata Evropiane e Tregtisë së Lirë (EFTA)</w:t>
      </w:r>
    </w:p>
  </w:footnote>
  <w:footnote w:id="14">
    <w:p w14:paraId="6EDD1809" w14:textId="77777777" w:rsidR="00622884" w:rsidRPr="00587E94" w:rsidRDefault="00622884" w:rsidP="001259F3">
      <w:pPr>
        <w:pStyle w:val="FootnoteText"/>
        <w:tabs>
          <w:tab w:val="left" w:pos="142"/>
        </w:tabs>
        <w:spacing w:before="0" w:after="0"/>
        <w:rPr>
          <w:rFonts w:ascii="Garamond" w:hAnsi="Garamond"/>
        </w:rPr>
      </w:pPr>
      <w:r w:rsidRPr="00587E94">
        <w:rPr>
          <w:rStyle w:val="Caratteredellanota"/>
          <w:rFonts w:ascii="Garamond" w:hAnsi="Garamond"/>
        </w:rPr>
        <w:footnoteRef/>
      </w:r>
      <w:r w:rsidRPr="00587E94">
        <w:rPr>
          <w:rFonts w:ascii="Garamond" w:hAnsi="Garamond"/>
        </w:rPr>
        <w:tab/>
        <w:t xml:space="preserve"> http://www.eea.europa.eu/media/newsreleases/policies-put-the-eu-on</w:t>
      </w:r>
    </w:p>
  </w:footnote>
  <w:footnote w:id="15">
    <w:p w14:paraId="6EDD180A" w14:textId="77777777" w:rsidR="00622884" w:rsidRPr="00587E94" w:rsidRDefault="00622884" w:rsidP="001259F3">
      <w:pPr>
        <w:pStyle w:val="FootnoteText"/>
        <w:tabs>
          <w:tab w:val="left" w:pos="142"/>
        </w:tabs>
        <w:spacing w:before="0" w:after="0"/>
        <w:rPr>
          <w:rFonts w:ascii="Garamond" w:hAnsi="Garamond"/>
        </w:rPr>
      </w:pPr>
      <w:r w:rsidRPr="00587E94">
        <w:rPr>
          <w:rStyle w:val="Caratteredellanota"/>
          <w:rFonts w:ascii="Garamond" w:hAnsi="Garamond"/>
        </w:rPr>
        <w:footnoteRef/>
      </w:r>
      <w:r w:rsidRPr="00587E94">
        <w:rPr>
          <w:rFonts w:ascii="Garamond" w:hAnsi="Garamond"/>
        </w:rPr>
        <w:tab/>
      </w:r>
      <w:hyperlink r:id="rId2" w:history="1">
        <w:r w:rsidRPr="00587E94">
          <w:rPr>
            <w:rStyle w:val="Hyperlink"/>
            <w:rFonts w:ascii="Garamond" w:hAnsi="Garamond"/>
          </w:rPr>
          <w:t>http://ec.europa.eu/clima/news/docs/2015030601_eu_indc_en.pdf</w:t>
        </w:r>
      </w:hyperlink>
    </w:p>
  </w:footnote>
  <w:footnote w:id="16">
    <w:p w14:paraId="6EDD180B" w14:textId="77777777" w:rsidR="00622884" w:rsidRPr="00587E94" w:rsidRDefault="00622884" w:rsidP="001259F3">
      <w:pPr>
        <w:pStyle w:val="FootnoteText"/>
        <w:tabs>
          <w:tab w:val="left" w:pos="142"/>
        </w:tabs>
        <w:spacing w:before="0" w:after="0"/>
        <w:rPr>
          <w:rFonts w:ascii="Garamond" w:hAnsi="Garamond"/>
        </w:rPr>
      </w:pPr>
      <w:r w:rsidRPr="00587E94">
        <w:rPr>
          <w:rStyle w:val="Caratteredellanota"/>
          <w:rFonts w:ascii="Garamond" w:hAnsi="Garamond"/>
        </w:rPr>
        <w:footnoteRef/>
      </w:r>
      <w:r w:rsidRPr="00587E94">
        <w:rPr>
          <w:rFonts w:ascii="Garamond" w:hAnsi="Garamond"/>
        </w:rPr>
        <w:tab/>
      </w:r>
      <w:hyperlink r:id="rId3" w:history="1">
        <w:r w:rsidRPr="00587E94">
          <w:rPr>
            <w:rStyle w:val="Hyperlink"/>
            <w:rFonts w:ascii="Garamond" w:hAnsi="Garamond"/>
          </w:rPr>
          <w:t>http://ec.europa.eu/energy/en/topics/energy-strategy/2030-energy-strategy</w:t>
        </w:r>
      </w:hyperlink>
    </w:p>
  </w:footnote>
  <w:footnote w:id="17">
    <w:p w14:paraId="6EDD180C" w14:textId="6DE63420" w:rsidR="00622884" w:rsidRPr="00587E94" w:rsidRDefault="00622884" w:rsidP="001259F3">
      <w:pPr>
        <w:pStyle w:val="FootnoteText"/>
        <w:tabs>
          <w:tab w:val="left" w:pos="142"/>
        </w:tabs>
        <w:spacing w:before="0" w:after="0"/>
        <w:rPr>
          <w:rFonts w:ascii="Garamond" w:hAnsi="Garamond"/>
        </w:rPr>
      </w:pPr>
      <w:r w:rsidRPr="00587E94">
        <w:rPr>
          <w:rStyle w:val="Caratteredellanota"/>
          <w:rFonts w:ascii="Garamond" w:hAnsi="Garamond"/>
        </w:rPr>
        <w:footnoteRef/>
      </w:r>
      <w:r w:rsidRPr="00587E94">
        <w:rPr>
          <w:rFonts w:ascii="Garamond" w:hAnsi="Garamond"/>
        </w:rPr>
        <w:tab/>
        <w:t xml:space="preserve"> Duke pasur parasysh objektivin e eficiencës së energjisë prej 27% deri në vitin 2030 të miratuar nga vendet e BE-së në tetor 2014 dhe (propozimin e Komisionit për rritjen e tij deri në 30%), Bashkimi Evropian ka hapur konsultime për rishikimin e Direktivës së Eficiencës së Energjisë (EED 2012/27/EU), duke kërkuar kontribute dhe komente nga palët e interesuara, përfshirë autoritetet publike, qytetarët, industrinë, ndërmarrjet e vogla dhe të mesme. Një raport mbi këtë kërkesë pritet të nxirret në fund të vitit 2016.</w:t>
      </w:r>
    </w:p>
  </w:footnote>
  <w:footnote w:id="18">
    <w:p w14:paraId="6EDD180D" w14:textId="77777777" w:rsidR="00622884" w:rsidRPr="00587E94" w:rsidRDefault="00622884" w:rsidP="001259F3">
      <w:pPr>
        <w:pStyle w:val="FootnoteText"/>
        <w:tabs>
          <w:tab w:val="left" w:pos="142"/>
        </w:tabs>
        <w:spacing w:before="0" w:after="0"/>
        <w:rPr>
          <w:rFonts w:ascii="Garamond" w:hAnsi="Garamond"/>
        </w:rPr>
      </w:pPr>
      <w:r w:rsidRPr="00587E94">
        <w:rPr>
          <w:rStyle w:val="Caratteredellanota"/>
          <w:rFonts w:ascii="Garamond" w:hAnsi="Garamond"/>
        </w:rPr>
        <w:footnoteRef/>
      </w:r>
      <w:r w:rsidRPr="00587E94">
        <w:rPr>
          <w:rFonts w:ascii="Garamond" w:hAnsi="Garamond"/>
        </w:rPr>
        <w:tab/>
        <w:t xml:space="preserve"> Një skemë detyrimi, siç parashikohet në EED, vendos një detyrim për kompanitë e energjisë dhe u kërkon atyre të arrijnë kursime vjetore të energjisë prej 1.5% të shitjeve vjetore te konsumatorët fundorë. Me qëllim që të arrihet ky objektiv, kompanitë duhet të marrin masa që t’i ndihmojnë konsumatorët fundorë të përmirësojnë eficiencën e energjisë.</w:t>
      </w:r>
    </w:p>
  </w:footnote>
  <w:footnote w:id="19">
    <w:p w14:paraId="6EDD180E" w14:textId="77777777" w:rsidR="00622884" w:rsidRPr="00587E94" w:rsidRDefault="00622884" w:rsidP="00220111">
      <w:pPr>
        <w:pStyle w:val="FootnoteText"/>
        <w:tabs>
          <w:tab w:val="left" w:pos="142"/>
        </w:tabs>
        <w:spacing w:before="0" w:after="0"/>
        <w:rPr>
          <w:rFonts w:ascii="Garamond" w:hAnsi="Garamond"/>
        </w:rPr>
      </w:pPr>
      <w:r w:rsidRPr="00587E94">
        <w:rPr>
          <w:rStyle w:val="Caratteredellanota"/>
          <w:rFonts w:ascii="Garamond" w:hAnsi="Garamond"/>
        </w:rPr>
        <w:footnoteRef/>
      </w:r>
      <w:r w:rsidRPr="00587E94">
        <w:rPr>
          <w:rFonts w:ascii="Garamond" w:hAnsi="Garamond"/>
        </w:rPr>
        <w:tab/>
        <w:t xml:space="preserve"> http://carbonmarketwatch.org/eu-ets-reform-must-tighten-screws-on-the-number-of-pollution-permits/</w:t>
      </w:r>
    </w:p>
  </w:footnote>
  <w:footnote w:id="20">
    <w:p w14:paraId="6EDD180F" w14:textId="7470B7B6" w:rsidR="00622884" w:rsidRPr="00587E94" w:rsidRDefault="00622884" w:rsidP="00220111">
      <w:pPr>
        <w:pStyle w:val="FootnoteText"/>
        <w:tabs>
          <w:tab w:val="left" w:pos="142"/>
        </w:tabs>
        <w:spacing w:before="0" w:after="0"/>
        <w:rPr>
          <w:rFonts w:ascii="Garamond" w:hAnsi="Garamond"/>
        </w:rPr>
      </w:pPr>
      <w:r w:rsidRPr="00587E94">
        <w:rPr>
          <w:rStyle w:val="Caratteredellanota"/>
          <w:rFonts w:ascii="Garamond" w:hAnsi="Garamond"/>
        </w:rPr>
        <w:footnoteRef/>
      </w:r>
      <w:r w:rsidRPr="00587E94">
        <w:rPr>
          <w:rFonts w:ascii="Garamond" w:hAnsi="Garamond"/>
        </w:rPr>
        <w:t xml:space="preserve"> Dokumenti i Bardhë – Plani për një Zonë Unike Evropiane Transporti – Drejt një sistemi transporti konkurrues dhe efikas nga ana e burimeve – COM(2011) 144 final (Bruksel, 28.3.2011). URL: http://eur-lex.europa.eu/LexUriServ/LexUriServ.do?uri=COM:2011:0144:FIN:en:PDF</w:t>
      </w:r>
    </w:p>
  </w:footnote>
  <w:footnote w:id="21">
    <w:p w14:paraId="6EDD1810" w14:textId="4BF0129A" w:rsidR="00622884" w:rsidRPr="00587E94" w:rsidRDefault="00622884" w:rsidP="001259F3">
      <w:pPr>
        <w:pStyle w:val="FootnoteText"/>
        <w:tabs>
          <w:tab w:val="left" w:pos="142"/>
        </w:tabs>
        <w:spacing w:before="0" w:after="0"/>
        <w:rPr>
          <w:rFonts w:ascii="Garamond" w:hAnsi="Garamond"/>
        </w:rPr>
      </w:pPr>
      <w:r w:rsidRPr="00587E94">
        <w:rPr>
          <w:rStyle w:val="Caratteredellanota"/>
          <w:rFonts w:ascii="Garamond" w:hAnsi="Garamond"/>
        </w:rPr>
        <w:footnoteRef/>
      </w:r>
      <w:r w:rsidRPr="00587E94">
        <w:rPr>
          <w:rFonts w:ascii="Garamond" w:hAnsi="Garamond"/>
        </w:rPr>
        <w:tab/>
        <w:t xml:space="preserve"> COM(2013) 913 final – aneks: një koncept për planet e zhvillimit të qëndrueshëm urban – Së bashku drejt një lëvizje urbane konkurruese dhe efikase në lidhje me burimet)</w:t>
      </w:r>
    </w:p>
  </w:footnote>
  <w:footnote w:id="22">
    <w:p w14:paraId="6EDD1811" w14:textId="77777777" w:rsidR="00622884" w:rsidRPr="00587E94" w:rsidRDefault="00622884" w:rsidP="00E20D71">
      <w:pPr>
        <w:pStyle w:val="FootnoteText"/>
        <w:tabs>
          <w:tab w:val="left" w:pos="142"/>
          <w:tab w:val="left" w:pos="284"/>
        </w:tabs>
        <w:rPr>
          <w:rFonts w:ascii="Garamond" w:hAnsi="Garamond"/>
        </w:rPr>
      </w:pPr>
      <w:r w:rsidRPr="00587E94">
        <w:rPr>
          <w:rStyle w:val="FootnoteReference"/>
          <w:rFonts w:ascii="Garamond" w:hAnsi="Garamond"/>
        </w:rPr>
        <w:footnoteRef/>
      </w:r>
      <w:r w:rsidRPr="00587E94">
        <w:rPr>
          <w:rFonts w:ascii="Garamond" w:hAnsi="Garamond"/>
        </w:rPr>
        <w:tab/>
        <w:t>Neni 2 dhe 4.4 i UNFCCC</w:t>
      </w:r>
    </w:p>
  </w:footnote>
  <w:footnote w:id="23">
    <w:p w14:paraId="6EDD1812" w14:textId="52A95360" w:rsidR="00622884" w:rsidRPr="00587E94" w:rsidRDefault="00622884" w:rsidP="001259F3">
      <w:pPr>
        <w:pStyle w:val="FootnoteText"/>
        <w:tabs>
          <w:tab w:val="left" w:pos="142"/>
          <w:tab w:val="left" w:pos="284"/>
        </w:tabs>
        <w:spacing w:before="0" w:after="0"/>
        <w:rPr>
          <w:rFonts w:ascii="Garamond" w:hAnsi="Garamond"/>
        </w:rPr>
      </w:pPr>
      <w:r w:rsidRPr="00587E94">
        <w:rPr>
          <w:rFonts w:ascii="Garamond" w:hAnsi="Garamond"/>
          <w:vertAlign w:val="superscript"/>
        </w:rPr>
        <w:footnoteRef/>
      </w:r>
      <w:r w:rsidRPr="00587E94">
        <w:rPr>
          <w:rFonts w:ascii="Garamond" w:hAnsi="Garamond"/>
        </w:rPr>
        <w:tab/>
        <w:t>FMN, Raporti Vjetor 2014</w:t>
      </w:r>
      <w:r>
        <w:rPr>
          <w:rFonts w:ascii="Garamond" w:hAnsi="Garamond"/>
        </w:rPr>
        <w:t xml:space="preserve"> </w:t>
      </w:r>
    </w:p>
  </w:footnote>
  <w:footnote w:id="24">
    <w:p w14:paraId="6EDD1813" w14:textId="77777777" w:rsidR="00622884" w:rsidRPr="00587E94" w:rsidRDefault="00622884" w:rsidP="001259F3">
      <w:pPr>
        <w:pStyle w:val="CommentText"/>
        <w:spacing w:after="0"/>
        <w:rPr>
          <w:rFonts w:ascii="Garamond" w:hAnsi="Garamond"/>
        </w:rPr>
      </w:pPr>
      <w:r w:rsidRPr="00587E94">
        <w:rPr>
          <w:rStyle w:val="FootnoteReference"/>
          <w:rFonts w:ascii="Garamond" w:hAnsi="Garamond"/>
        </w:rPr>
        <w:footnoteRef/>
      </w:r>
      <w:hyperlink r:id="rId4" w:history="1">
        <w:r w:rsidRPr="00587E94">
          <w:rPr>
            <w:rStyle w:val="Hyperlink"/>
            <w:rFonts w:ascii="Garamond" w:hAnsi="Garamond"/>
          </w:rPr>
          <w:t>http://www.worldbank.org/en/country/albania/overview</w:t>
        </w:r>
      </w:hyperlink>
    </w:p>
  </w:footnote>
  <w:footnote w:id="25">
    <w:p w14:paraId="6EDD1814" w14:textId="75DE897E" w:rsidR="00622884" w:rsidRPr="00587E94" w:rsidRDefault="00622884" w:rsidP="008F17E8">
      <w:pPr>
        <w:pStyle w:val="FootnoteText"/>
        <w:spacing w:before="0" w:after="0"/>
        <w:rPr>
          <w:rFonts w:ascii="Garamond" w:hAnsi="Garamond"/>
        </w:rPr>
      </w:pPr>
      <w:r w:rsidRPr="00587E94">
        <w:rPr>
          <w:rStyle w:val="FootnoteReference"/>
          <w:rFonts w:ascii="Garamond" w:hAnsi="Garamond"/>
        </w:rPr>
        <w:footnoteRef/>
      </w:r>
      <w:r w:rsidRPr="00587E94">
        <w:rPr>
          <w:rFonts w:ascii="Garamond" w:hAnsi="Garamond"/>
        </w:rPr>
        <w:t xml:space="preserve"> Shih “Asistenca teknike për përgatitjen e Strategjisë së Sektorit të Transportit në Shqipëri” – Strategjia përfundimtare dhe plani i veprimit – Draft 0.1 – 31.1.2016</w:t>
      </w:r>
    </w:p>
  </w:footnote>
  <w:footnote w:id="26">
    <w:p w14:paraId="6EDD1815" w14:textId="57789AC5" w:rsidR="00622884" w:rsidRPr="00587E94" w:rsidRDefault="00622884" w:rsidP="008F17E8">
      <w:pPr>
        <w:pStyle w:val="FootnoteText"/>
        <w:tabs>
          <w:tab w:val="left" w:pos="142"/>
          <w:tab w:val="left" w:pos="284"/>
        </w:tabs>
        <w:spacing w:before="0" w:after="0"/>
        <w:rPr>
          <w:rFonts w:ascii="Garamond" w:hAnsi="Garamond"/>
        </w:rPr>
      </w:pPr>
      <w:r w:rsidRPr="00587E94">
        <w:rPr>
          <w:rStyle w:val="FootnoteReference"/>
          <w:rFonts w:ascii="Garamond" w:hAnsi="Garamond"/>
        </w:rPr>
        <w:footnoteRef/>
      </w:r>
      <w:r>
        <w:rPr>
          <w:rFonts w:ascii="Garamond" w:hAnsi="Garamond"/>
        </w:rPr>
        <w:t xml:space="preserve"> </w:t>
      </w:r>
      <w:r w:rsidRPr="00587E94">
        <w:rPr>
          <w:rFonts w:ascii="Garamond" w:hAnsi="Garamond"/>
        </w:rPr>
        <w:t xml:space="preserve"> http://www.fao.org/ag/agp/agpc/doc/counprof/Albania/albania.htm#landuse</w:t>
      </w:r>
    </w:p>
  </w:footnote>
  <w:footnote w:id="27">
    <w:p w14:paraId="6EDD1816" w14:textId="77777777" w:rsidR="00622884" w:rsidRPr="00587E94" w:rsidRDefault="00622884" w:rsidP="008F17E8">
      <w:pPr>
        <w:pStyle w:val="FootnoteText"/>
        <w:tabs>
          <w:tab w:val="left" w:pos="142"/>
          <w:tab w:val="left" w:pos="284"/>
        </w:tabs>
        <w:spacing w:before="0" w:after="0"/>
        <w:rPr>
          <w:rFonts w:ascii="Garamond" w:hAnsi="Garamond"/>
        </w:rPr>
      </w:pPr>
      <w:r w:rsidRPr="00587E94">
        <w:rPr>
          <w:rStyle w:val="FootnoteReference"/>
          <w:rFonts w:ascii="Garamond" w:hAnsi="Garamond"/>
        </w:rPr>
        <w:footnoteRef/>
      </w:r>
      <w:r w:rsidRPr="00587E94">
        <w:rPr>
          <w:rFonts w:ascii="Garamond" w:hAnsi="Garamond"/>
        </w:rPr>
        <w:t>http://ec.europa.eu/eurostat/statistics-explained/index.php/Agri-environmental_indicator_-mineral_fertiliser_consumption</w:t>
      </w:r>
    </w:p>
  </w:footnote>
  <w:footnote w:id="28">
    <w:p w14:paraId="6EDD1817" w14:textId="77777777" w:rsidR="00622884" w:rsidRPr="00587E94" w:rsidRDefault="00622884" w:rsidP="008F17E8">
      <w:pPr>
        <w:pStyle w:val="FootnoteText"/>
        <w:spacing w:before="0" w:after="0"/>
        <w:rPr>
          <w:rFonts w:ascii="Garamond" w:hAnsi="Garamond"/>
        </w:rPr>
      </w:pPr>
      <w:r w:rsidRPr="00587E94">
        <w:rPr>
          <w:rStyle w:val="FootnoteReference"/>
          <w:rFonts w:ascii="Garamond" w:hAnsi="Garamond"/>
        </w:rPr>
        <w:footnoteRef/>
      </w:r>
      <w:r w:rsidRPr="00587E94">
        <w:rPr>
          <w:rFonts w:ascii="Garamond" w:hAnsi="Garamond"/>
        </w:rPr>
        <w:t xml:space="preserve"> Eficienca e Energjisë Financa II, DETYRA 1 Potenciali i Eficoencës së Energjisë-Raport për Shqipërinë. Allplan GmbH. 2015</w:t>
      </w:r>
    </w:p>
  </w:footnote>
  <w:footnote w:id="29">
    <w:p w14:paraId="6EDD1818" w14:textId="616B0F89" w:rsidR="00622884" w:rsidRPr="00587E94" w:rsidRDefault="00622884" w:rsidP="008F17E8">
      <w:pPr>
        <w:spacing w:after="0" w:line="240" w:lineRule="auto"/>
        <w:rPr>
          <w:rFonts w:ascii="Garamond" w:hAnsi="Garamond"/>
          <w:sz w:val="20"/>
          <w:szCs w:val="20"/>
        </w:rPr>
      </w:pPr>
      <w:r w:rsidRPr="00587E94">
        <w:rPr>
          <w:rStyle w:val="FootnoteReference"/>
          <w:rFonts w:ascii="Garamond" w:hAnsi="Garamond"/>
          <w:sz w:val="20"/>
          <w:szCs w:val="20"/>
        </w:rPr>
        <w:footnoteRef/>
      </w:r>
      <w:r>
        <w:rPr>
          <w:rFonts w:ascii="Garamond" w:hAnsi="Garamond"/>
          <w:sz w:val="20"/>
          <w:szCs w:val="20"/>
        </w:rPr>
        <w:t xml:space="preserve"> </w:t>
      </w:r>
      <w:r w:rsidRPr="00587E94">
        <w:rPr>
          <w:rFonts w:ascii="Garamond" w:hAnsi="Garamond"/>
          <w:sz w:val="20"/>
          <w:szCs w:val="20"/>
        </w:rPr>
        <w:t>INSTAT 2015. http://www.instat.gov.al/al/themes/mjedisi.aspx</w:t>
      </w:r>
    </w:p>
    <w:p w14:paraId="6EDD1819" w14:textId="77777777" w:rsidR="00622884" w:rsidRPr="00587E94" w:rsidRDefault="00622884" w:rsidP="008F17E8">
      <w:pPr>
        <w:pStyle w:val="FootnoteText"/>
        <w:rPr>
          <w:rFonts w:ascii="Garamond" w:hAnsi="Garamond"/>
        </w:rPr>
      </w:pPr>
    </w:p>
  </w:footnote>
  <w:footnote w:id="30">
    <w:p w14:paraId="6EDD181A" w14:textId="6E59F912" w:rsidR="00622884" w:rsidRPr="00587E94" w:rsidRDefault="00622884" w:rsidP="00860664">
      <w:pPr>
        <w:pStyle w:val="FootnoteText"/>
        <w:spacing w:before="0" w:after="0"/>
        <w:rPr>
          <w:rFonts w:ascii="Garamond" w:hAnsi="Garamond"/>
        </w:rPr>
      </w:pPr>
      <w:r w:rsidRPr="00587E94">
        <w:rPr>
          <w:rStyle w:val="FootnoteReference"/>
          <w:rFonts w:ascii="Garamond" w:hAnsi="Garamond"/>
        </w:rPr>
        <w:footnoteRef/>
      </w:r>
      <w:r w:rsidRPr="00587E94">
        <w:rPr>
          <w:rFonts w:ascii="Garamond" w:hAnsi="Garamond"/>
        </w:rPr>
        <w:t xml:space="preserve"> Kadastra pyjore për periudhën 2000</w:t>
      </w:r>
      <w:r>
        <w:t>–</w:t>
      </w:r>
      <w:r w:rsidRPr="00587E94">
        <w:rPr>
          <w:rFonts w:ascii="Garamond" w:hAnsi="Garamond"/>
        </w:rPr>
        <w:t>2009, Ministria e Mjedisit</w:t>
      </w:r>
    </w:p>
  </w:footnote>
  <w:footnote w:id="31">
    <w:p w14:paraId="6EDD181B" w14:textId="004EA1B5" w:rsidR="00622884" w:rsidRPr="00587E94" w:rsidRDefault="00622884" w:rsidP="00281778">
      <w:pPr>
        <w:pStyle w:val="FootnoteText"/>
        <w:spacing w:before="0" w:after="0"/>
        <w:rPr>
          <w:rFonts w:ascii="Garamond" w:hAnsi="Garamond"/>
        </w:rPr>
      </w:pPr>
      <w:r w:rsidRPr="00587E94">
        <w:rPr>
          <w:rStyle w:val="FootnoteReference"/>
          <w:rFonts w:ascii="Garamond" w:hAnsi="Garamond"/>
        </w:rPr>
        <w:footnoteRef/>
      </w:r>
      <w:r w:rsidRPr="00587E94">
        <w:rPr>
          <w:rFonts w:ascii="Garamond" w:hAnsi="Garamond"/>
        </w:rPr>
        <w:t xml:space="preserve"> Ndryshimi i Peizazhit Rural në Shqipëri: Braktisja e tokës bujqësore dhe prerja e pyjeve në tranzicionin postsocialist. Daniel Mueller</w:t>
      </w:r>
      <w:r>
        <w:rPr>
          <w:rFonts w:ascii="Garamond" w:hAnsi="Garamond"/>
        </w:rPr>
        <w:t xml:space="preserve"> </w:t>
      </w:r>
      <w:r w:rsidRPr="00587E94">
        <w:rPr>
          <w:rFonts w:ascii="Garamond" w:hAnsi="Garamond" w:cs="Calibri"/>
        </w:rPr>
        <w:t>dhe Darla K. Munroe. 2007. Analet e Shoqatës së Gjeografëve Amerikanë, 98(4) 2008, f. 1–22. 2008 nga Shoqata e Gjeografëve Amerikanë.</w:t>
      </w:r>
    </w:p>
  </w:footnote>
  <w:footnote w:id="32">
    <w:p w14:paraId="6EDD181C" w14:textId="77777777" w:rsidR="00622884" w:rsidRPr="00587E94" w:rsidRDefault="00622884" w:rsidP="00782894">
      <w:pPr>
        <w:pStyle w:val="FootnoteText"/>
        <w:spacing w:before="0" w:after="0"/>
        <w:rPr>
          <w:rFonts w:ascii="Garamond" w:hAnsi="Garamond"/>
        </w:rPr>
      </w:pPr>
      <w:r w:rsidRPr="00587E94">
        <w:rPr>
          <w:rStyle w:val="FootnoteReference"/>
          <w:rFonts w:ascii="Garamond" w:hAnsi="Garamond"/>
        </w:rPr>
        <w:footnoteRef/>
      </w:r>
      <w:r w:rsidRPr="00587E94">
        <w:rPr>
          <w:rFonts w:ascii="Garamond" w:hAnsi="Garamond"/>
        </w:rPr>
        <w:t xml:space="preserve"> Të dhënat e inventarit të vitit 2009 përdoren si të dhëna të tërthorta për vititn 2010, meqë nuk disponohen të dhëna inventari GES për Shqipërinë për vitin 2010. </w:t>
      </w:r>
    </w:p>
  </w:footnote>
  <w:footnote w:id="33">
    <w:p w14:paraId="6EDD181D" w14:textId="77777777" w:rsidR="00622884" w:rsidRPr="00587E94" w:rsidRDefault="00622884" w:rsidP="00A9766F">
      <w:pPr>
        <w:pStyle w:val="FootnoteText"/>
        <w:rPr>
          <w:rFonts w:ascii="Garamond" w:hAnsi="Garamond"/>
        </w:rPr>
      </w:pPr>
      <w:r w:rsidRPr="00587E94">
        <w:rPr>
          <w:rStyle w:val="FootnoteReference"/>
          <w:rFonts w:ascii="Garamond" w:hAnsi="Garamond"/>
        </w:rPr>
        <w:footnoteRef/>
      </w:r>
      <w:r w:rsidRPr="00587E94">
        <w:rPr>
          <w:rFonts w:ascii="Garamond" w:hAnsi="Garamond"/>
        </w:rPr>
        <w:t xml:space="preserve"> Vlerësim i kostos së investimit lidhur me çdo masë zbutëse, pra shpenzimi margjinal (capex). Dokumenti teknik INDC-ë paralajmëron se këto kosto investimi nuk përfshijnë kostot e hartimit dhe administrimit të politikave për zbatimin e këtyre masave, që normalisht do të ishin 2-5% të shpenzimeve kapitale.</w:t>
      </w:r>
    </w:p>
  </w:footnote>
  <w:footnote w:id="34">
    <w:p w14:paraId="6EDD181E" w14:textId="3157B8F6" w:rsidR="00622884" w:rsidRPr="00587E94" w:rsidRDefault="00622884" w:rsidP="00782894">
      <w:pPr>
        <w:pStyle w:val="FootnoteText"/>
        <w:spacing w:before="0" w:after="0"/>
        <w:rPr>
          <w:rFonts w:ascii="Garamond" w:hAnsi="Garamond"/>
        </w:rPr>
      </w:pPr>
      <w:r w:rsidRPr="00587E94">
        <w:rPr>
          <w:rStyle w:val="FootnoteReference"/>
          <w:rFonts w:ascii="Garamond" w:hAnsi="Garamond"/>
        </w:rPr>
        <w:footnoteRef/>
      </w:r>
      <w:r>
        <w:rPr>
          <w:rFonts w:ascii="Garamond" w:hAnsi="Garamond"/>
        </w:rPr>
        <w:t xml:space="preserve"> </w:t>
      </w:r>
      <w:r w:rsidRPr="00587E94">
        <w:rPr>
          <w:rFonts w:ascii="Garamond" w:hAnsi="Garamond"/>
        </w:rPr>
        <w:t>GIZ: Udhëzues për përdorimin e instrumentit të vlerësimit të situatës për planifikimin kombëtar të përshtatjes (SNAP). Eschborn 2014.</w:t>
      </w:r>
    </w:p>
  </w:footnote>
  <w:footnote w:id="35">
    <w:p w14:paraId="6EDD181F" w14:textId="77777777" w:rsidR="00622884" w:rsidRPr="00587E94" w:rsidRDefault="00622884" w:rsidP="00206985">
      <w:pPr>
        <w:pStyle w:val="FootnoteText"/>
        <w:spacing w:before="0" w:after="0"/>
        <w:rPr>
          <w:rFonts w:ascii="Garamond" w:hAnsi="Garamond" w:cs="Calibri"/>
        </w:rPr>
      </w:pPr>
      <w:r w:rsidRPr="00587E94">
        <w:rPr>
          <w:rStyle w:val="FootnoteReference"/>
          <w:rFonts w:ascii="Garamond" w:hAnsi="Garamond" w:cs="Calibri"/>
        </w:rPr>
        <w:footnoteRef/>
      </w:r>
      <w:bookmarkStart w:id="91" w:name="OLE_LINK22"/>
      <w:r w:rsidRPr="00587E94">
        <w:rPr>
          <w:rFonts w:ascii="Garamond" w:hAnsi="Garamond" w:cs="Calibri"/>
        </w:rPr>
        <w:t xml:space="preserve">Gjendet në adresën </w:t>
      </w:r>
      <w:bookmarkEnd w:id="91"/>
      <w:r w:rsidRPr="00587E94">
        <w:fldChar w:fldCharType="begin"/>
      </w:r>
      <w:r w:rsidRPr="00587E94">
        <w:rPr>
          <w:rFonts w:ascii="Garamond" w:hAnsi="Garamond"/>
        </w:rPr>
        <w:instrText xml:space="preserve"> HYPERLINK "http://www.unepmap.org/index.php?module=library&amp;mode=mts&amp;action=results&amp;_stype=3&amp;s_category=MAP%20Technical%20Reports%20MTS&amp;s_descriptors=Climate%20change" </w:instrText>
      </w:r>
      <w:r w:rsidRPr="00587E94">
        <w:fldChar w:fldCharType="separate"/>
      </w:r>
      <w:r w:rsidRPr="00587E94">
        <w:rPr>
          <w:rStyle w:val="Hyperlink"/>
          <w:rFonts w:ascii="Garamond" w:hAnsi="Garamond" w:cs="Calibri"/>
        </w:rPr>
        <w:t>http://www.unepmap.org/index.php?module=library&amp;mode=mts&amp;action=results&amp;_stype=3&amp;s_category=MAP%20Technical%20Reports%20MTS&amp;s_descriptors=Climate%20change</w:t>
      </w:r>
      <w:r w:rsidRPr="00587E94">
        <w:rPr>
          <w:rStyle w:val="Hyperlink"/>
          <w:rFonts w:ascii="Garamond" w:hAnsi="Garamond" w:cs="Calibri"/>
        </w:rPr>
        <w:fldChar w:fldCharType="end"/>
      </w:r>
    </w:p>
    <w:p w14:paraId="6EDD1820" w14:textId="77777777" w:rsidR="00622884" w:rsidRPr="00587E94" w:rsidRDefault="00622884" w:rsidP="00A9766F">
      <w:pPr>
        <w:pStyle w:val="FootnoteText"/>
        <w:rPr>
          <w:rFonts w:ascii="Garamond" w:hAnsi="Garamond" w:cs="Calibri"/>
        </w:rPr>
      </w:pPr>
    </w:p>
  </w:footnote>
  <w:footnote w:id="36">
    <w:p w14:paraId="6EDD1821" w14:textId="77777777" w:rsidR="00622884" w:rsidRPr="00587E94" w:rsidRDefault="00622884" w:rsidP="00782894">
      <w:pPr>
        <w:pStyle w:val="FootnoteText"/>
        <w:spacing w:before="0" w:after="0"/>
        <w:rPr>
          <w:rFonts w:ascii="Garamond" w:hAnsi="Garamond" w:cs="Calibri"/>
        </w:rPr>
      </w:pPr>
      <w:r w:rsidRPr="00587E94">
        <w:rPr>
          <w:rStyle w:val="FootnoteReference"/>
          <w:rFonts w:ascii="Garamond" w:hAnsi="Garamond" w:cs="Calibri"/>
        </w:rPr>
        <w:footnoteRef/>
      </w:r>
      <w:r w:rsidRPr="00587E94">
        <w:rPr>
          <w:rFonts w:ascii="Garamond" w:hAnsi="Garamond" w:cs="Calibri"/>
        </w:rPr>
        <w:t xml:space="preserve">Raportisintezë (2013) gjendet në adresën </w:t>
      </w:r>
      <w:hyperlink r:id="rId5" w:history="1">
        <w:r w:rsidRPr="00587E94">
          <w:rPr>
            <w:rStyle w:val="Hyperlink"/>
            <w:rFonts w:ascii="Garamond" w:hAnsi="Garamond" w:cs="Calibri"/>
          </w:rPr>
          <w:t>http://www.al.undp.org/content/albania/en/home/library/environment_energy/</w:t>
        </w:r>
      </w:hyperlink>
    </w:p>
    <w:p w14:paraId="6EDD1822" w14:textId="77777777" w:rsidR="00622884" w:rsidRPr="00587E94" w:rsidRDefault="00622884" w:rsidP="00782894">
      <w:pPr>
        <w:pStyle w:val="FootnoteText"/>
        <w:spacing w:before="0" w:after="0"/>
        <w:rPr>
          <w:rFonts w:ascii="Garamond" w:hAnsi="Garamond" w:cs="Calibri"/>
        </w:rPr>
      </w:pPr>
    </w:p>
  </w:footnote>
  <w:footnote w:id="37">
    <w:p w14:paraId="6EDD1823" w14:textId="77777777" w:rsidR="00622884" w:rsidRPr="00587E94" w:rsidRDefault="00622884" w:rsidP="00782894">
      <w:pPr>
        <w:pStyle w:val="FootnoteText"/>
        <w:spacing w:before="0" w:after="0"/>
        <w:rPr>
          <w:rFonts w:ascii="Garamond" w:hAnsi="Garamond"/>
        </w:rPr>
      </w:pPr>
      <w:r w:rsidRPr="00587E94">
        <w:rPr>
          <w:rStyle w:val="FootnoteReference"/>
          <w:rFonts w:ascii="Garamond" w:hAnsi="Garamond" w:cs="Calibri"/>
        </w:rPr>
        <w:footnoteRef/>
      </w:r>
      <w:r w:rsidRPr="00587E94">
        <w:rPr>
          <w:rFonts w:ascii="Garamond" w:hAnsi="Garamond" w:cs="Calibri"/>
        </w:rPr>
        <w:t xml:space="preserve">Raporti (2013) gjendet në adresën </w:t>
      </w:r>
      <w:hyperlink r:id="rId6" w:history="1">
        <w:r w:rsidRPr="00587E94">
          <w:rPr>
            <w:rStyle w:val="Hyperlink"/>
            <w:rFonts w:ascii="Garamond" w:hAnsi="Garamond" w:cs="Calibri"/>
          </w:rPr>
          <w:t>http://hdl.handle.net/10986/16198</w:t>
        </w:r>
      </w:hyperlink>
    </w:p>
  </w:footnote>
  <w:footnote w:id="38">
    <w:p w14:paraId="6EDD1824" w14:textId="77777777" w:rsidR="00622884" w:rsidRPr="00587E94" w:rsidRDefault="00622884" w:rsidP="00A9766F">
      <w:pPr>
        <w:pStyle w:val="FootnoteText"/>
        <w:rPr>
          <w:rFonts w:ascii="Garamond" w:hAnsi="Garamond" w:cs="Calibri"/>
        </w:rPr>
      </w:pPr>
      <w:r w:rsidRPr="00587E94">
        <w:rPr>
          <w:rStyle w:val="FootnoteReference"/>
          <w:rFonts w:ascii="Garamond" w:hAnsi="Garamond" w:cs="Calibri"/>
        </w:rPr>
        <w:footnoteRef/>
      </w:r>
      <w:r w:rsidRPr="00587E94">
        <w:rPr>
          <w:rFonts w:ascii="Garamond" w:hAnsi="Garamond" w:cs="Calibri"/>
        </w:rPr>
        <w:t>Parashikimet klimatike llogariten duke përdorur treguesin e skenarëve SRES IPCC AR4 (software MAGGIC/SCENGEN v.5.3, AR4 IPCC) zvogëluar në shkallën 1:1 km.</w:t>
      </w:r>
    </w:p>
  </w:footnote>
  <w:footnote w:id="39">
    <w:p w14:paraId="6EDD1825" w14:textId="77777777" w:rsidR="00622884" w:rsidRPr="00587E94" w:rsidRDefault="00622884" w:rsidP="00206985">
      <w:pPr>
        <w:pStyle w:val="FootnoteText"/>
        <w:spacing w:before="0" w:after="0"/>
        <w:rPr>
          <w:rFonts w:ascii="Garamond" w:hAnsi="Garamond"/>
        </w:rPr>
      </w:pPr>
      <w:r w:rsidRPr="00587E94">
        <w:rPr>
          <w:rStyle w:val="FootnoteReference"/>
          <w:rFonts w:ascii="Garamond" w:hAnsi="Garamond"/>
        </w:rPr>
        <w:footnoteRef/>
      </w:r>
      <w:r w:rsidRPr="00587E94">
        <w:rPr>
          <w:rFonts w:ascii="Garamond" w:hAnsi="Garamond"/>
        </w:rPr>
        <w:t>Komisioni Evropian: Dokumenti Strategjik Orientues për Instrumentin e BE-së për Asistencën Paraaderimit për Shqipërinë (2014-2020), datë 18 gusht 2014.</w:t>
      </w:r>
    </w:p>
  </w:footnote>
  <w:footnote w:id="40">
    <w:p w14:paraId="6EDD1826" w14:textId="77777777" w:rsidR="00622884" w:rsidRPr="00587E94" w:rsidRDefault="00622884" w:rsidP="00617388">
      <w:pPr>
        <w:spacing w:after="0" w:line="240" w:lineRule="auto"/>
        <w:rPr>
          <w:rFonts w:ascii="Garamond" w:hAnsi="Garamond"/>
          <w:sz w:val="20"/>
          <w:szCs w:val="20"/>
          <w:lang w:eastAsia="en-CA"/>
        </w:rPr>
      </w:pPr>
      <w:r w:rsidRPr="00587E94">
        <w:rPr>
          <w:rStyle w:val="FootnoteReference"/>
          <w:rFonts w:ascii="Garamond" w:hAnsi="Garamond"/>
          <w:sz w:val="20"/>
          <w:szCs w:val="20"/>
        </w:rPr>
        <w:footnoteRef/>
      </w:r>
      <w:r w:rsidRPr="00587E94">
        <w:rPr>
          <w:rFonts w:ascii="Garamond" w:hAnsi="Garamond"/>
          <w:sz w:val="20"/>
          <w:szCs w:val="20"/>
          <w:lang w:eastAsia="en-CA"/>
        </w:rPr>
        <w:t>http://eur-lex.europa.eu/legal-content/EN/TXT/?uri=CELEX:52005DC0218.</w:t>
      </w:r>
    </w:p>
  </w:footnote>
  <w:footnote w:id="41">
    <w:p w14:paraId="6EDD1827" w14:textId="77777777" w:rsidR="00622884" w:rsidRPr="00587E94" w:rsidRDefault="00622884" w:rsidP="00617388">
      <w:pPr>
        <w:spacing w:after="0" w:line="240" w:lineRule="auto"/>
        <w:rPr>
          <w:rStyle w:val="Strong"/>
          <w:rFonts w:ascii="Garamond" w:hAnsi="Garamond"/>
          <w:sz w:val="20"/>
          <w:szCs w:val="20"/>
          <w:bdr w:val="none" w:sz="0" w:space="0" w:color="auto" w:frame="1"/>
          <w:shd w:val="clear" w:color="auto" w:fill="FFFFFF"/>
        </w:rPr>
      </w:pPr>
      <w:r w:rsidRPr="00587E94">
        <w:rPr>
          <w:rStyle w:val="FootnoteReference"/>
          <w:rFonts w:ascii="Garamond" w:hAnsi="Garamond"/>
          <w:sz w:val="20"/>
          <w:szCs w:val="20"/>
        </w:rPr>
        <w:footnoteRef/>
      </w:r>
      <w:r w:rsidRPr="00587E94">
        <w:rPr>
          <w:rFonts w:ascii="Garamond" w:hAnsi="Garamond"/>
          <w:sz w:val="20"/>
          <w:szCs w:val="20"/>
        </w:rPr>
        <w:t xml:space="preserve"> Çdo p</w:t>
      </w:r>
      <w:r w:rsidRPr="00587E94">
        <w:rPr>
          <w:rStyle w:val="Strong"/>
          <w:rFonts w:ascii="Garamond" w:hAnsi="Garamond"/>
          <w:sz w:val="20"/>
          <w:szCs w:val="20"/>
          <w:bdr w:val="none" w:sz="0" w:space="0" w:color="auto" w:frame="1"/>
          <w:shd w:val="clear" w:color="auto" w:fill="FFFFFF"/>
        </w:rPr>
        <w:t>rojekt, program dhe/ose aktivitet duhet planifikuar dhe zbatuar në një mënyrë që të ketë ndikimin më të vogël të mundshëm negativ mbi mjedisin, ose ta zbusë çdo ndikim të tillë negativ përmes masave korrigjuese dhe/oseparandaluese.</w:t>
      </w:r>
    </w:p>
  </w:footnote>
  <w:footnote w:id="42">
    <w:p w14:paraId="6EDD1828" w14:textId="77777777" w:rsidR="00622884" w:rsidRPr="00587E94" w:rsidRDefault="00622884" w:rsidP="00617388">
      <w:pPr>
        <w:spacing w:after="0" w:line="240" w:lineRule="auto"/>
        <w:rPr>
          <w:rFonts w:ascii="Garamond" w:hAnsi="Garamond"/>
          <w:bCs/>
          <w:iCs/>
          <w:sz w:val="20"/>
          <w:szCs w:val="20"/>
        </w:rPr>
      </w:pPr>
      <w:r w:rsidRPr="00587E94">
        <w:rPr>
          <w:rStyle w:val="FootnoteReference"/>
          <w:rFonts w:ascii="Garamond" w:hAnsi="Garamond"/>
          <w:sz w:val="20"/>
          <w:szCs w:val="20"/>
        </w:rPr>
        <w:footnoteRef/>
      </w:r>
      <w:r w:rsidRPr="00587E94">
        <w:rPr>
          <w:rStyle w:val="Strong"/>
          <w:rFonts w:ascii="Garamond" w:hAnsi="Garamond"/>
          <w:sz w:val="20"/>
          <w:szCs w:val="20"/>
          <w:bdr w:val="none" w:sz="0" w:space="0" w:color="auto" w:frame="1"/>
          <w:shd w:val="clear" w:color="auto" w:fill="FFFFFF"/>
        </w:rPr>
        <w:t xml:space="preserve">Kjo do të përfshinte zgjatimin tregues të TEN-Tnë Rrjetin Hekurudhor të Ballkanit Perëndimor: Linja 2 - </w:t>
      </w:r>
      <w:r w:rsidRPr="00587E94">
        <w:rPr>
          <w:rFonts w:ascii="Garamond" w:hAnsi="Garamond"/>
          <w:sz w:val="20"/>
          <w:szCs w:val="20"/>
          <w:shd w:val="clear" w:color="auto" w:fill="FFFFFF"/>
        </w:rPr>
        <w:t>Podgoricë (Mali i Zi) – Durrës/Tiranë (Shqipëri).</w:t>
      </w:r>
    </w:p>
  </w:footnote>
  <w:footnote w:id="43">
    <w:p w14:paraId="6EDD1829" w14:textId="77777777" w:rsidR="00622884" w:rsidRPr="00587E94" w:rsidRDefault="00622884" w:rsidP="00617388">
      <w:pPr>
        <w:pStyle w:val="FootnoteText"/>
        <w:spacing w:before="0" w:after="0"/>
        <w:rPr>
          <w:rFonts w:ascii="Garamond" w:hAnsi="Garamond"/>
        </w:rPr>
      </w:pPr>
      <w:r w:rsidRPr="00587E94">
        <w:rPr>
          <w:rStyle w:val="FootnoteReference"/>
          <w:rFonts w:ascii="Garamond" w:hAnsi="Garamond"/>
        </w:rPr>
        <w:footnoteRef/>
      </w:r>
      <w:r w:rsidRPr="00587E94">
        <w:rPr>
          <w:rFonts w:ascii="Garamond" w:hAnsi="Garamond"/>
        </w:rPr>
        <w:t xml:space="preserve"> Parashikimet aktuale të shkarkimeve GES në vitin 2020 tregojnë 18,000 Gg CO</w:t>
      </w:r>
      <w:r w:rsidRPr="00587E94">
        <w:rPr>
          <w:rFonts w:ascii="Garamond" w:hAnsi="Garamond"/>
          <w:vertAlign w:val="subscript"/>
        </w:rPr>
        <w:t>2</w:t>
      </w:r>
      <w:r w:rsidRPr="00587E94">
        <w:rPr>
          <w:rFonts w:ascii="Garamond" w:hAnsi="Garamond"/>
        </w:rPr>
        <w:t xml:space="preserve"> eq. Parashikimi do të rishikohet gjatë periudhës 2014/2015 në kuadrin e Komunikimit të Tretë Kombëtar të UNFCCC-ëS. Në rast financimi ndërkombëtar për NAMA-n (masat përkatëse kombëtare për reduktimin e GES-it) reduktimi i GES-it mund të rritet me 16%, krahasuar me skenarin bazë.</w:t>
      </w:r>
    </w:p>
  </w:footnote>
  <w:footnote w:id="44">
    <w:p w14:paraId="6EDD182A" w14:textId="45553E80" w:rsidR="00622884" w:rsidRPr="00587E94" w:rsidRDefault="00622884" w:rsidP="008D6C6A">
      <w:pPr>
        <w:pStyle w:val="FootnoteText"/>
        <w:spacing w:before="0" w:after="0"/>
        <w:rPr>
          <w:rFonts w:ascii="Garamond" w:hAnsi="Garamond"/>
        </w:rPr>
      </w:pPr>
      <w:r w:rsidRPr="00587E94">
        <w:rPr>
          <w:rStyle w:val="FootnoteReference"/>
          <w:rFonts w:ascii="Garamond" w:hAnsi="Garamond"/>
        </w:rPr>
        <w:footnoteRef/>
      </w:r>
      <w:r w:rsidRPr="00587E94">
        <w:rPr>
          <w:rFonts w:ascii="Garamond" w:hAnsi="Garamond"/>
        </w:rPr>
        <w:t xml:space="preserve"> Projekti LOCSEE-së (Karboni i Ulët i E</w:t>
      </w:r>
      <w:r>
        <w:rPr>
          <w:rFonts w:ascii="Garamond" w:hAnsi="Garamond"/>
        </w:rPr>
        <w:t>v</w:t>
      </w:r>
      <w:r w:rsidRPr="00587E94">
        <w:rPr>
          <w:rFonts w:ascii="Garamond" w:hAnsi="Garamond"/>
        </w:rPr>
        <w:t>ropës Juglindore) është një projekt dyvjeçar (2012-2014)i bashkëfinancuar nga Bashkëpunimi Transnacional i E</w:t>
      </w:r>
      <w:r>
        <w:rPr>
          <w:rFonts w:ascii="Garamond" w:hAnsi="Garamond"/>
        </w:rPr>
        <w:t>v</w:t>
      </w:r>
      <w:r w:rsidRPr="00587E94">
        <w:rPr>
          <w:rFonts w:ascii="Garamond" w:hAnsi="Garamond"/>
        </w:rPr>
        <w:t>ropës Juglindore, i cili ka si qëllim përmirësimin e procesit të integrimit territorial, ekonomik dhe social në SEE, duke përfshirë edhe Shqipërinë.</w:t>
      </w:r>
    </w:p>
    <w:p w14:paraId="6EDD182B" w14:textId="77777777" w:rsidR="00622884" w:rsidRPr="00587E94" w:rsidRDefault="00622884" w:rsidP="00A9766F">
      <w:pPr>
        <w:pStyle w:val="FootnoteText"/>
        <w:rPr>
          <w:rFonts w:ascii="Garamond" w:hAnsi="Garamond"/>
        </w:rPr>
      </w:pPr>
    </w:p>
  </w:footnote>
  <w:footnote w:id="45">
    <w:p w14:paraId="6EDD182C" w14:textId="2B6BA0BB" w:rsidR="00622884" w:rsidRPr="00587E94" w:rsidRDefault="00622884" w:rsidP="008D6C6A">
      <w:pPr>
        <w:pStyle w:val="FootnoteText"/>
        <w:spacing w:before="0" w:after="0"/>
        <w:rPr>
          <w:rFonts w:ascii="Garamond" w:hAnsi="Garamond"/>
        </w:rPr>
      </w:pPr>
      <w:r w:rsidRPr="00587E94">
        <w:rPr>
          <w:rStyle w:val="FootnoteReference"/>
          <w:rFonts w:ascii="Garamond" w:hAnsi="Garamond"/>
        </w:rPr>
        <w:footnoteRef/>
      </w:r>
      <w:r>
        <w:rPr>
          <w:rFonts w:ascii="Garamond" w:hAnsi="Garamond"/>
        </w:rPr>
        <w:t xml:space="preserve"> </w:t>
      </w:r>
      <w:r w:rsidRPr="00587E94">
        <w:rPr>
          <w:rFonts w:ascii="Garamond" w:hAnsi="Garamond"/>
        </w:rPr>
        <w:t>Vini re se promovimi i ngrohjes diellore të ujit, të ujërave sanitare është përfshirë</w:t>
      </w:r>
      <w:r>
        <w:rPr>
          <w:rFonts w:ascii="Garamond" w:hAnsi="Garamond"/>
        </w:rPr>
        <w:t xml:space="preserve"> </w:t>
      </w:r>
      <w:r w:rsidRPr="00587E94">
        <w:rPr>
          <w:rFonts w:ascii="Garamond" w:hAnsi="Garamond"/>
        </w:rPr>
        <w:t>përsëri këtu, por aktualisht u përket shtëpive me familje me një person. Ky mund të jetë një gabim në përpilimin e tabelave të dokumentit të PKVEE-së.</w:t>
      </w:r>
    </w:p>
  </w:footnote>
  <w:footnote w:id="46">
    <w:p w14:paraId="6EDD182D" w14:textId="77777777" w:rsidR="00622884" w:rsidRPr="00587E94" w:rsidRDefault="00622884" w:rsidP="00A9766F">
      <w:pPr>
        <w:pStyle w:val="FootnoteText"/>
        <w:rPr>
          <w:rFonts w:ascii="Garamond" w:hAnsi="Garamond"/>
        </w:rPr>
      </w:pPr>
    </w:p>
  </w:footnote>
  <w:footnote w:id="47">
    <w:p w14:paraId="6EDD182E" w14:textId="77777777" w:rsidR="00622884" w:rsidRPr="00587E94" w:rsidRDefault="00622884" w:rsidP="008D6C6A">
      <w:pPr>
        <w:pStyle w:val="FootnoteText"/>
        <w:spacing w:before="0" w:after="0"/>
        <w:rPr>
          <w:rFonts w:ascii="Garamond" w:hAnsi="Garamond"/>
        </w:rPr>
      </w:pPr>
      <w:r w:rsidRPr="00587E94">
        <w:rPr>
          <w:rStyle w:val="FootnoteReference"/>
          <w:rFonts w:ascii="Garamond" w:hAnsi="Garamond"/>
        </w:rPr>
        <w:footnoteRef/>
      </w:r>
      <w:r w:rsidRPr="00587E94">
        <w:rPr>
          <w:rFonts w:ascii="Garamond" w:hAnsi="Garamond"/>
        </w:rPr>
        <w:t xml:space="preserve"> </w:t>
      </w:r>
      <w:hyperlink r:id="rId7" w:history="1">
        <w:r w:rsidRPr="00587E94">
          <w:rPr>
            <w:rStyle w:val="Hyperlink"/>
            <w:rFonts w:ascii="Garamond" w:hAnsi="Garamond"/>
          </w:rPr>
          <w:t>http://sled.rec.org/building.html</w:t>
        </w:r>
      </w:hyperlink>
      <w:r w:rsidRPr="00587E94">
        <w:rPr>
          <w:rFonts w:ascii="Garamond" w:hAnsi="Garamond"/>
        </w:rPr>
        <w:t xml:space="preserve"> </w:t>
      </w:r>
    </w:p>
  </w:footnote>
  <w:footnote w:id="48">
    <w:p w14:paraId="6EDD182F" w14:textId="185E6C1D" w:rsidR="00622884" w:rsidRPr="00587E94" w:rsidRDefault="00622884" w:rsidP="00D43DF3">
      <w:pPr>
        <w:pStyle w:val="FootnoteText"/>
        <w:spacing w:before="0" w:after="0"/>
        <w:rPr>
          <w:rFonts w:ascii="Garamond" w:hAnsi="Garamond"/>
        </w:rPr>
      </w:pPr>
      <w:r w:rsidRPr="00587E94">
        <w:rPr>
          <w:rStyle w:val="FootnoteReference"/>
          <w:rFonts w:ascii="Garamond" w:hAnsi="Garamond"/>
        </w:rPr>
        <w:footnoteRef/>
      </w:r>
      <w:r w:rsidRPr="00587E94">
        <w:rPr>
          <w:rFonts w:ascii="Garamond" w:hAnsi="Garamond"/>
        </w:rPr>
        <w:t xml:space="preserve"> Veprimi Parësor</w:t>
      </w:r>
      <w:r>
        <w:rPr>
          <w:rFonts w:ascii="Garamond" w:hAnsi="Garamond"/>
        </w:rPr>
        <w:t xml:space="preserve"> nr. </w:t>
      </w:r>
      <w:r w:rsidRPr="00587E94">
        <w:rPr>
          <w:rFonts w:ascii="Garamond" w:hAnsi="Garamond"/>
        </w:rPr>
        <w:t>1 i Asistenc</w:t>
      </w:r>
      <w:r w:rsidRPr="00587E94">
        <w:rPr>
          <w:rFonts w:ascii="Garamond" w:hAnsi="Garamond" w:cs="Calibri"/>
        </w:rPr>
        <w:t>ës Teknike për përgatitjen e Strategjisë së Sektorit të</w:t>
      </w:r>
      <w:r w:rsidRPr="00587E94">
        <w:rPr>
          <w:rFonts w:ascii="Garamond" w:hAnsi="Garamond"/>
        </w:rPr>
        <w:t xml:space="preserve"> Transportit n</w:t>
      </w:r>
      <w:r w:rsidRPr="00587E94">
        <w:rPr>
          <w:rFonts w:ascii="Garamond" w:hAnsi="Garamond" w:cs="Calibri"/>
        </w:rPr>
        <w:t>ë Shqipëri</w:t>
      </w:r>
      <w:r w:rsidRPr="00587E94">
        <w:rPr>
          <w:rFonts w:ascii="Garamond" w:hAnsi="Garamond"/>
        </w:rPr>
        <w:t xml:space="preserve"> – Strategjia P</w:t>
      </w:r>
      <w:r w:rsidRPr="00587E94">
        <w:rPr>
          <w:rFonts w:ascii="Garamond" w:hAnsi="Garamond" w:cs="Calibri"/>
        </w:rPr>
        <w:t>ërfundimtare dhe Plani i Veprimit</w:t>
      </w:r>
      <w:r w:rsidRPr="00587E94">
        <w:rPr>
          <w:rFonts w:ascii="Garamond" w:hAnsi="Garamond"/>
        </w:rPr>
        <w:t xml:space="preserve"> – draft 0.1 – 31/01/2016</w:t>
      </w:r>
    </w:p>
  </w:footnote>
  <w:footnote w:id="49">
    <w:p w14:paraId="6EDD1830" w14:textId="633EB443" w:rsidR="00622884" w:rsidRPr="00587E94" w:rsidRDefault="00622884" w:rsidP="00D43DF3">
      <w:pPr>
        <w:pStyle w:val="FootnoteText"/>
        <w:spacing w:before="0" w:after="0"/>
        <w:rPr>
          <w:rFonts w:ascii="Garamond" w:hAnsi="Garamond"/>
        </w:rPr>
      </w:pPr>
      <w:r w:rsidRPr="00587E94">
        <w:rPr>
          <w:rStyle w:val="FootnoteReference"/>
          <w:rFonts w:ascii="Garamond" w:hAnsi="Garamond"/>
        </w:rPr>
        <w:footnoteRef/>
      </w:r>
      <w:r w:rsidRPr="00587E94">
        <w:rPr>
          <w:rFonts w:ascii="Garamond" w:hAnsi="Garamond"/>
        </w:rPr>
        <w:t xml:space="preserve"> Veprimi Parësor</w:t>
      </w:r>
      <w:r>
        <w:rPr>
          <w:rFonts w:ascii="Garamond" w:hAnsi="Garamond"/>
        </w:rPr>
        <w:t xml:space="preserve"> nr. </w:t>
      </w:r>
      <w:r w:rsidRPr="00587E94">
        <w:rPr>
          <w:rFonts w:ascii="Garamond" w:hAnsi="Garamond"/>
        </w:rPr>
        <w:t>37 i Asistenc</w:t>
      </w:r>
      <w:r w:rsidRPr="00587E94">
        <w:rPr>
          <w:rFonts w:ascii="Garamond" w:hAnsi="Garamond" w:cs="Calibri"/>
        </w:rPr>
        <w:t>ës Teknike për përgatitjen e Strategjisë së Sektorit të</w:t>
      </w:r>
      <w:r w:rsidRPr="00587E94">
        <w:rPr>
          <w:rFonts w:ascii="Garamond" w:hAnsi="Garamond"/>
        </w:rPr>
        <w:t xml:space="preserve"> Transportit n</w:t>
      </w:r>
      <w:r w:rsidRPr="00587E94">
        <w:rPr>
          <w:rFonts w:ascii="Garamond" w:hAnsi="Garamond" w:cs="Calibri"/>
        </w:rPr>
        <w:t>ë Shqipëri</w:t>
      </w:r>
      <w:r w:rsidRPr="00587E94">
        <w:rPr>
          <w:rFonts w:ascii="Garamond" w:hAnsi="Garamond"/>
        </w:rPr>
        <w:t xml:space="preserve"> –</w:t>
      </w:r>
      <w:r>
        <w:rPr>
          <w:rFonts w:ascii="Garamond" w:hAnsi="Garamond"/>
        </w:rPr>
        <w:t xml:space="preserve"> </w:t>
      </w:r>
      <w:r w:rsidRPr="00587E94">
        <w:rPr>
          <w:rFonts w:ascii="Garamond" w:hAnsi="Garamond"/>
        </w:rPr>
        <w:t>Strategjia P</w:t>
      </w:r>
      <w:r w:rsidRPr="00587E94">
        <w:rPr>
          <w:rFonts w:ascii="Garamond" w:hAnsi="Garamond" w:cs="Calibri"/>
        </w:rPr>
        <w:t>ërfundimtare dhe Plani i Veprimit</w:t>
      </w:r>
      <w:r w:rsidRPr="00587E94">
        <w:rPr>
          <w:rFonts w:ascii="Garamond" w:hAnsi="Garamond"/>
        </w:rPr>
        <w:t xml:space="preserve"> – draft 0.1 – 31/01/2016</w:t>
      </w:r>
    </w:p>
  </w:footnote>
  <w:footnote w:id="50">
    <w:p w14:paraId="6EDD1831" w14:textId="6BE29C7A" w:rsidR="00622884" w:rsidRPr="00587E94" w:rsidRDefault="00622884" w:rsidP="00D43DF3">
      <w:pPr>
        <w:pStyle w:val="FootnoteText"/>
        <w:spacing w:before="0" w:after="0"/>
        <w:rPr>
          <w:rFonts w:ascii="Garamond" w:hAnsi="Garamond"/>
        </w:rPr>
      </w:pPr>
      <w:r w:rsidRPr="00587E94">
        <w:rPr>
          <w:rStyle w:val="FootnoteReference"/>
          <w:rFonts w:ascii="Garamond" w:hAnsi="Garamond"/>
        </w:rPr>
        <w:footnoteRef/>
      </w:r>
      <w:r>
        <w:rPr>
          <w:rFonts w:ascii="Garamond" w:hAnsi="Garamond"/>
        </w:rPr>
        <w:t xml:space="preserve"> </w:t>
      </w:r>
      <w:r w:rsidRPr="00587E94">
        <w:rPr>
          <w:rFonts w:ascii="Garamond" w:hAnsi="Garamond"/>
        </w:rPr>
        <w:t>Komisioni Europian: Shpjegim mbi Bashkimin Europian: Europ</w:t>
      </w:r>
      <w:r w:rsidRPr="00587E94">
        <w:rPr>
          <w:rFonts w:ascii="Garamond" w:hAnsi="Garamond" w:cs="Calibri"/>
        </w:rPr>
        <w:t>ë</w:t>
      </w:r>
      <w:r w:rsidRPr="00587E94">
        <w:rPr>
          <w:rFonts w:ascii="Garamond" w:hAnsi="Garamond"/>
        </w:rPr>
        <w:t xml:space="preserve"> 2020 – Strategjia e Zhvillimit Europian, Luksemburg, 2013</w:t>
      </w:r>
    </w:p>
  </w:footnote>
  <w:footnote w:id="51">
    <w:p w14:paraId="6EDD1832" w14:textId="77777777" w:rsidR="00622884" w:rsidRPr="00587E94" w:rsidRDefault="00622884" w:rsidP="00524E98">
      <w:pPr>
        <w:pStyle w:val="FootnoteText"/>
        <w:spacing w:before="0" w:after="0"/>
        <w:rPr>
          <w:rFonts w:ascii="Garamond" w:hAnsi="Garamond"/>
        </w:rPr>
      </w:pPr>
      <w:r w:rsidRPr="00587E94">
        <w:rPr>
          <w:rStyle w:val="FootnoteReference"/>
          <w:rFonts w:ascii="Garamond" w:hAnsi="Garamond"/>
        </w:rPr>
        <w:footnoteRef/>
      </w:r>
      <w:hyperlink r:id="rId8" w:history="1">
        <w:r w:rsidRPr="00587E94">
          <w:rPr>
            <w:rStyle w:val="Hyperlink"/>
            <w:rFonts w:ascii="Garamond" w:hAnsi="Garamond"/>
          </w:rPr>
          <w:t>https://www.cbd.int/sp/targets/</w:t>
        </w:r>
      </w:hyperlink>
    </w:p>
    <w:p w14:paraId="6EDD1833" w14:textId="77777777" w:rsidR="00622884" w:rsidRPr="00587E94" w:rsidRDefault="00622884" w:rsidP="00A9766F">
      <w:pPr>
        <w:pStyle w:val="FootnoteText"/>
        <w:rPr>
          <w:rFonts w:ascii="Garamond" w:hAnsi="Garamond"/>
        </w:rPr>
      </w:pPr>
    </w:p>
  </w:footnote>
  <w:footnote w:id="52">
    <w:p w14:paraId="6EDD1834" w14:textId="77777777" w:rsidR="00622884" w:rsidRPr="00587E94" w:rsidRDefault="00622884" w:rsidP="00CF2A42">
      <w:pPr>
        <w:pStyle w:val="FootnoteText"/>
        <w:spacing w:before="0" w:after="0"/>
        <w:rPr>
          <w:rFonts w:ascii="Garamond" w:hAnsi="Garamond"/>
        </w:rPr>
      </w:pPr>
      <w:r w:rsidRPr="00587E94">
        <w:rPr>
          <w:rStyle w:val="FootnoteReference"/>
          <w:rFonts w:ascii="Garamond" w:hAnsi="Garamond"/>
        </w:rPr>
        <w:footnoteRef/>
      </w:r>
      <w:r w:rsidRPr="00587E94">
        <w:rPr>
          <w:rFonts w:ascii="Garamond" w:hAnsi="Garamond" w:cs="Calibri"/>
        </w:rPr>
        <w:t xml:space="preserve">Gjendet në adresën: </w:t>
      </w:r>
      <w:r w:rsidRPr="00587E94">
        <w:rPr>
          <w:rFonts w:ascii="Garamond" w:hAnsi="Garamond"/>
        </w:rPr>
        <w:t>http://www.oecd.org/dac/43652123.pdf</w:t>
      </w:r>
    </w:p>
  </w:footnote>
  <w:footnote w:id="53">
    <w:p w14:paraId="6EDD1835" w14:textId="77777777" w:rsidR="00622884" w:rsidRPr="00587E94" w:rsidRDefault="00622884" w:rsidP="002C406F">
      <w:pPr>
        <w:pStyle w:val="FootnoteText"/>
        <w:rPr>
          <w:rFonts w:ascii="Garamond" w:hAnsi="Garamond"/>
          <w:sz w:val="16"/>
          <w:szCs w:val="16"/>
        </w:rPr>
      </w:pPr>
      <w:r w:rsidRPr="00587E94">
        <w:rPr>
          <w:rStyle w:val="FootnoteReference"/>
          <w:rFonts w:ascii="Garamond" w:hAnsi="Garamond"/>
          <w:sz w:val="16"/>
          <w:szCs w:val="16"/>
        </w:rPr>
        <w:footnoteRef/>
      </w:r>
      <w:r w:rsidRPr="00587E94">
        <w:rPr>
          <w:rFonts w:ascii="Garamond" w:hAnsi="Garamond"/>
          <w:bCs/>
          <w:iCs/>
          <w:sz w:val="16"/>
          <w:szCs w:val="16"/>
        </w:rPr>
        <w:t xml:space="preserve">Detaje mbi gjetjet e nxjerra nga përdorimi I thjerrës klimatike mund të gjenden në raportin e thjerrës klimatike të datës 19 qershor 2015. </w:t>
      </w:r>
    </w:p>
  </w:footnote>
  <w:footnote w:id="54">
    <w:p w14:paraId="6EDD1836" w14:textId="25062F7D" w:rsidR="00622884" w:rsidRPr="00587E94" w:rsidRDefault="00622884" w:rsidP="002C406F">
      <w:pPr>
        <w:pStyle w:val="FootnoteText"/>
        <w:spacing w:after="0"/>
        <w:contextualSpacing/>
        <w:rPr>
          <w:rFonts w:ascii="Garamond" w:hAnsi="Garamond" w:cs="Calibri"/>
          <w:sz w:val="16"/>
          <w:szCs w:val="16"/>
        </w:rPr>
      </w:pPr>
      <w:r w:rsidRPr="00587E94">
        <w:rPr>
          <w:rStyle w:val="FootnoteReference"/>
          <w:rFonts w:ascii="Garamond" w:hAnsi="Garamond" w:cs="Calibri"/>
          <w:sz w:val="16"/>
          <w:szCs w:val="16"/>
        </w:rPr>
        <w:footnoteRef/>
      </w:r>
      <w:r w:rsidRPr="00587E94">
        <w:rPr>
          <w:rFonts w:ascii="Garamond" w:hAnsi="Garamond" w:cs="Calibri"/>
          <w:sz w:val="16"/>
          <w:szCs w:val="16"/>
        </w:rPr>
        <w:t xml:space="preserve">Planet e menaxhimit të rrezikut nga përmbytjet janë përgatitur me mbështetjen e Ministrisë për Bashkëpunim dhe Zhvillim Ekonomik së Republikës Federale të Gjermanisë (BMZ) nëpërmjet projektit “Përshtatja ndaj ndryshimeve klimatike në rajonin e Ballkanit Perëndimor.” Dokumentet mund t’i gjeni në </w:t>
      </w:r>
      <w:hyperlink r:id="rId9" w:history="1">
        <w:r w:rsidRPr="00587E94">
          <w:rPr>
            <w:rStyle w:val="Hyperlink"/>
            <w:rFonts w:ascii="Garamond" w:hAnsi="Garamond" w:cs="Calibri"/>
            <w:sz w:val="16"/>
            <w:szCs w:val="16"/>
          </w:rPr>
          <w:t>http://www.qarkushkoder.gov.al/sq</w:t>
        </w:r>
      </w:hyperlink>
    </w:p>
  </w:footnote>
  <w:footnote w:id="55">
    <w:p w14:paraId="6EDD1837" w14:textId="77777777" w:rsidR="00622884" w:rsidRPr="00587E94" w:rsidRDefault="00622884" w:rsidP="00CF2A42">
      <w:pPr>
        <w:pStyle w:val="FootnoteText"/>
        <w:spacing w:before="0" w:after="0"/>
        <w:rPr>
          <w:rFonts w:ascii="Garamond" w:hAnsi="Garamond" w:cs="Calibri"/>
        </w:rPr>
      </w:pPr>
      <w:r w:rsidRPr="00587E94">
        <w:rPr>
          <w:rStyle w:val="FootnoteReference"/>
          <w:rFonts w:ascii="Garamond" w:hAnsi="Garamond" w:cs="Calibri"/>
        </w:rPr>
        <w:footnoteRef/>
      </w:r>
      <w:r w:rsidRPr="00587E94">
        <w:rPr>
          <w:rFonts w:ascii="Garamond" w:hAnsi="Garamond" w:cs="Calibri"/>
        </w:rPr>
        <w:t>Financuar nga IBRD-ja, BB-ja, Qeveria e Suedisë dhe GEF dhe zbatuar nga Qeveria e Shqipërisë.</w:t>
      </w:r>
    </w:p>
  </w:footnote>
  <w:footnote w:id="56">
    <w:p w14:paraId="6EDD1838" w14:textId="77777777" w:rsidR="00622884" w:rsidRPr="00587E94" w:rsidRDefault="00622884" w:rsidP="00CF2A42">
      <w:pPr>
        <w:pStyle w:val="FootnoteText"/>
        <w:spacing w:before="0" w:after="0"/>
        <w:rPr>
          <w:rFonts w:ascii="Garamond" w:hAnsi="Garamond" w:cs="Calibri"/>
        </w:rPr>
      </w:pPr>
      <w:r w:rsidRPr="00587E94">
        <w:rPr>
          <w:rStyle w:val="FootnoteReference"/>
          <w:rFonts w:ascii="Garamond" w:hAnsi="Garamond" w:cs="Calibri"/>
        </w:rPr>
        <w:footnoteRef/>
      </w:r>
      <w:r w:rsidRPr="00587E94">
        <w:rPr>
          <w:rFonts w:ascii="Garamond" w:hAnsi="Garamond" w:cs="Calibri"/>
        </w:rPr>
        <w:t>Financuar nga UNDP-ja dhe GEF-i.</w:t>
      </w:r>
    </w:p>
  </w:footnote>
  <w:footnote w:id="57">
    <w:p w14:paraId="6EDD1839" w14:textId="5C9DCFE6" w:rsidR="00622884" w:rsidRPr="00587E94" w:rsidRDefault="00622884" w:rsidP="001147F6">
      <w:pPr>
        <w:rPr>
          <w:rFonts w:ascii="Garamond" w:hAnsi="Garamond"/>
          <w:sz w:val="16"/>
          <w:szCs w:val="16"/>
        </w:rPr>
      </w:pPr>
      <w:r w:rsidRPr="00587E94">
        <w:rPr>
          <w:rStyle w:val="FootnoteReference"/>
          <w:rFonts w:ascii="Garamond" w:hAnsi="Garamond"/>
          <w:sz w:val="16"/>
          <w:szCs w:val="16"/>
        </w:rPr>
        <w:footnoteRef/>
      </w:r>
      <w:r w:rsidRPr="00587E94">
        <w:rPr>
          <w:rFonts w:ascii="Garamond" w:hAnsi="Garamond"/>
          <w:sz w:val="16"/>
          <w:szCs w:val="16"/>
        </w:rPr>
        <w:t xml:space="preserve"> Urdhëri i Kryeministrit</w:t>
      </w:r>
      <w:r>
        <w:rPr>
          <w:rFonts w:ascii="Garamond" w:hAnsi="Garamond" w:cstheme="minorHAnsi"/>
          <w:sz w:val="16"/>
          <w:szCs w:val="16"/>
        </w:rPr>
        <w:t xml:space="preserve"> nr. </w:t>
      </w:r>
      <w:r w:rsidRPr="00587E94">
        <w:rPr>
          <w:rFonts w:ascii="Garamond" w:hAnsi="Garamond"/>
          <w:sz w:val="16"/>
          <w:szCs w:val="16"/>
        </w:rPr>
        <w:t>155, dat</w:t>
      </w:r>
      <w:r w:rsidRPr="00587E94">
        <w:rPr>
          <w:rFonts w:ascii="Garamond" w:hAnsi="Garamond" w:cstheme="minorHAnsi"/>
          <w:sz w:val="16"/>
          <w:szCs w:val="16"/>
        </w:rPr>
        <w:t>ë</w:t>
      </w:r>
      <w:r w:rsidRPr="00587E94">
        <w:rPr>
          <w:rFonts w:ascii="Garamond" w:hAnsi="Garamond"/>
          <w:sz w:val="16"/>
          <w:szCs w:val="16"/>
        </w:rPr>
        <w:t xml:space="preserve"> 25.04.2014 “Krijimi dhe Funksionimi i Grupit t</w:t>
      </w:r>
      <w:r w:rsidRPr="00587E94">
        <w:rPr>
          <w:rFonts w:ascii="Garamond" w:hAnsi="Garamond" w:cstheme="minorHAnsi"/>
          <w:sz w:val="16"/>
          <w:szCs w:val="16"/>
        </w:rPr>
        <w:t>ë Punës Ndërministror në Fushën e Ndryshimeve Klimatike</w:t>
      </w:r>
      <w:r w:rsidRPr="00587E94">
        <w:rPr>
          <w:rFonts w:ascii="Garamond" w:hAnsi="Garamond"/>
          <w:sz w:val="16"/>
          <w:szCs w:val="16"/>
        </w:rPr>
        <w:t>”</w:t>
      </w:r>
    </w:p>
    <w:p w14:paraId="6EDD183A" w14:textId="77777777" w:rsidR="00622884" w:rsidRPr="00587E94" w:rsidRDefault="00622884" w:rsidP="001147F6">
      <w:pPr>
        <w:pStyle w:val="FootnoteText"/>
        <w:rPr>
          <w:rFonts w:ascii="Garamond" w:hAnsi="Garamond"/>
        </w:rPr>
      </w:pPr>
    </w:p>
  </w:footnote>
  <w:footnote w:id="58">
    <w:p w14:paraId="6EDD183B" w14:textId="77777777" w:rsidR="00622884" w:rsidRPr="00587E94" w:rsidRDefault="00622884" w:rsidP="00BC439D">
      <w:pPr>
        <w:pStyle w:val="FootnoteText"/>
        <w:spacing w:before="0" w:after="0"/>
        <w:rPr>
          <w:rFonts w:ascii="Garamond" w:hAnsi="Garamond"/>
        </w:rPr>
      </w:pPr>
      <w:r w:rsidRPr="00587E94">
        <w:rPr>
          <w:rStyle w:val="FootnoteReference"/>
          <w:rFonts w:ascii="Garamond" w:eastAsiaTheme="minorEastAsia" w:hAnsi="Garamond"/>
        </w:rPr>
        <w:footnoteRef/>
      </w:r>
      <w:r w:rsidRPr="00587E94">
        <w:rPr>
          <w:rFonts w:ascii="Garamond" w:hAnsi="Garamond"/>
        </w:rPr>
        <w:t xml:space="preserve"> https://climate-exchange.org/2014/07/08/using-official-development-assistance-to-complement-adaptation-funding/</w:t>
      </w:r>
    </w:p>
  </w:footnote>
  <w:footnote w:id="59">
    <w:p w14:paraId="6EDD183C" w14:textId="77777777" w:rsidR="00622884" w:rsidRPr="00587E94" w:rsidRDefault="00622884" w:rsidP="00BC439D">
      <w:pPr>
        <w:pStyle w:val="FootnoteText"/>
        <w:spacing w:before="0" w:after="0"/>
        <w:rPr>
          <w:rFonts w:ascii="Garamond" w:hAnsi="Garamond"/>
        </w:rPr>
      </w:pPr>
      <w:r w:rsidRPr="00587E94">
        <w:rPr>
          <w:rStyle w:val="FootnoteReference"/>
          <w:rFonts w:ascii="Garamond" w:eastAsiaTheme="minorEastAsia" w:hAnsi="Garamond"/>
        </w:rPr>
        <w:footnoteRef/>
      </w:r>
      <w:r w:rsidRPr="00587E94">
        <w:rPr>
          <w:rFonts w:ascii="Garamond" w:hAnsi="Garamond"/>
        </w:rPr>
        <w:t xml:space="preserve"> https://openknowledge.worldbank.org/bitstream/handle/10986/22787/9781464806735.pdf</w:t>
      </w:r>
    </w:p>
  </w:footnote>
  <w:footnote w:id="60">
    <w:p w14:paraId="6EDD183D" w14:textId="77777777" w:rsidR="00622884" w:rsidRPr="00587E94" w:rsidRDefault="00622884" w:rsidP="00BC439D">
      <w:pPr>
        <w:pStyle w:val="FootnoteText"/>
        <w:spacing w:before="0" w:after="0"/>
        <w:rPr>
          <w:rFonts w:ascii="Garamond" w:hAnsi="Garamond"/>
        </w:rPr>
      </w:pPr>
      <w:r w:rsidRPr="00587E94">
        <w:rPr>
          <w:rStyle w:val="FootnoteReference"/>
          <w:rFonts w:ascii="Garamond" w:eastAsiaTheme="minorEastAsia" w:hAnsi="Garamond"/>
        </w:rPr>
        <w:footnoteRef/>
      </w:r>
      <w:r w:rsidRPr="00587E94">
        <w:rPr>
          <w:rFonts w:ascii="Garamond" w:hAnsi="Garamond"/>
        </w:rPr>
        <w:t xml:space="preserve"> https://www.ipcc.ch/report/ar5/</w:t>
      </w:r>
    </w:p>
  </w:footnote>
  <w:footnote w:id="61">
    <w:p w14:paraId="6EDD183E" w14:textId="2BCDAB36" w:rsidR="00622884" w:rsidRPr="00587E94" w:rsidRDefault="00622884" w:rsidP="00BC439D">
      <w:pPr>
        <w:pStyle w:val="FootnoteText"/>
        <w:spacing w:before="0" w:after="0"/>
        <w:rPr>
          <w:rFonts w:ascii="Garamond" w:hAnsi="Garamond"/>
        </w:rPr>
      </w:pPr>
      <w:r w:rsidRPr="00587E94">
        <w:rPr>
          <w:rStyle w:val="FootnoteReference"/>
          <w:rFonts w:ascii="Garamond" w:eastAsiaTheme="minorEastAsia" w:hAnsi="Garamond"/>
        </w:rPr>
        <w:footnoteRef/>
      </w:r>
      <w:r w:rsidRPr="00587E94">
        <w:rPr>
          <w:rFonts w:ascii="Garamond" w:hAnsi="Garamond"/>
        </w:rPr>
        <w:t>Urdhri i Kryeministrit</w:t>
      </w:r>
      <w:r>
        <w:rPr>
          <w:rFonts w:ascii="Garamond" w:hAnsi="Garamond"/>
        </w:rPr>
        <w:t xml:space="preserve"> nr. </w:t>
      </w:r>
      <w:r w:rsidRPr="00587E94">
        <w:rPr>
          <w:rFonts w:ascii="Garamond" w:hAnsi="Garamond"/>
        </w:rPr>
        <w:t>155, datë 25.04.2014</w:t>
      </w:r>
    </w:p>
  </w:footnote>
  <w:footnote w:id="62">
    <w:p w14:paraId="6EDD183F" w14:textId="5A7FD51C" w:rsidR="00622884" w:rsidRPr="00587E94" w:rsidRDefault="00622884" w:rsidP="00BC439D">
      <w:pPr>
        <w:pStyle w:val="FootnoteText"/>
        <w:spacing w:before="0" w:after="0"/>
        <w:rPr>
          <w:rStyle w:val="FootnoteReference"/>
          <w:rFonts w:ascii="Garamond" w:eastAsiaTheme="minorEastAsia" w:hAnsi="Garamond"/>
        </w:rPr>
      </w:pPr>
      <w:r w:rsidRPr="00587E94">
        <w:rPr>
          <w:rStyle w:val="FootnoteReference"/>
          <w:rFonts w:ascii="Garamond" w:eastAsiaTheme="minorEastAsia" w:hAnsi="Garamond"/>
        </w:rPr>
        <w:footnoteRef/>
      </w:r>
      <w:r w:rsidRPr="00587E94">
        <w:rPr>
          <w:rStyle w:val="FootnoteReference"/>
          <w:rFonts w:ascii="Garamond" w:eastAsiaTheme="minorEastAsia" w:hAnsi="Garamond"/>
        </w:rPr>
        <w:t>Referojuni Objektivave 1 deri 4 të PA</w:t>
      </w:r>
      <w:r>
        <w:rPr>
          <w:rStyle w:val="FootnoteReference"/>
          <w:rFonts w:ascii="Garamond" w:eastAsiaTheme="minorEastAsia" w:hAnsi="Garamond"/>
        </w:rPr>
        <w:t xml:space="preserve"> nr. </w:t>
      </w:r>
      <w:r w:rsidRPr="00587E94">
        <w:rPr>
          <w:rStyle w:val="FootnoteReference"/>
          <w:rFonts w:ascii="Garamond" w:eastAsiaTheme="minorEastAsia" w:hAnsi="Garamond"/>
        </w:rPr>
        <w:t>1</w:t>
      </w:r>
    </w:p>
  </w:footnote>
  <w:footnote w:id="63">
    <w:p w14:paraId="6EDD1840" w14:textId="2FF75F9C" w:rsidR="00622884" w:rsidRPr="00587E94" w:rsidRDefault="00622884" w:rsidP="00BC439D">
      <w:pPr>
        <w:pStyle w:val="FootnoteText"/>
        <w:spacing w:before="0" w:after="0"/>
        <w:rPr>
          <w:rFonts w:ascii="Garamond" w:hAnsi="Garamond"/>
        </w:rPr>
      </w:pPr>
      <w:r w:rsidRPr="00587E94">
        <w:rPr>
          <w:rStyle w:val="FootnoteReference"/>
          <w:rFonts w:ascii="Garamond" w:eastAsiaTheme="minorEastAsia" w:hAnsi="Garamond"/>
        </w:rPr>
        <w:footnoteRef/>
      </w:r>
      <w:r w:rsidRPr="00587E94">
        <w:rPr>
          <w:rStyle w:val="FootnoteReference"/>
          <w:rFonts w:ascii="Garamond" w:eastAsiaTheme="minorEastAsia" w:hAnsi="Garamond"/>
        </w:rPr>
        <w:t>Ligji</w:t>
      </w:r>
      <w:r>
        <w:rPr>
          <w:rStyle w:val="FootnoteReference"/>
          <w:rFonts w:ascii="Garamond" w:eastAsiaTheme="minorEastAsia" w:hAnsi="Garamond"/>
        </w:rPr>
        <w:t xml:space="preserve"> nr. </w:t>
      </w:r>
      <w:r w:rsidRPr="00587E94">
        <w:rPr>
          <w:rStyle w:val="FootnoteReference"/>
          <w:rFonts w:ascii="Garamond" w:eastAsiaTheme="minorEastAsia" w:hAnsi="Garamond"/>
        </w:rPr>
        <w:t xml:space="preserve">9936/2008 (i </w:t>
      </w:r>
      <w:r w:rsidRPr="00587E94">
        <w:rPr>
          <w:rFonts w:ascii="Garamond" w:hAnsi="Garamond"/>
        </w:rPr>
        <w:t>rishikuar në vitin</w:t>
      </w:r>
      <w:r w:rsidRPr="00587E94">
        <w:rPr>
          <w:rStyle w:val="FootnoteReference"/>
          <w:rFonts w:ascii="Garamond" w:eastAsiaTheme="minorEastAsia" w:hAnsi="Garamond"/>
        </w:rPr>
        <w:t xml:space="preserve"> 2016); Ligji</w:t>
      </w:r>
      <w:r>
        <w:rPr>
          <w:rStyle w:val="FootnoteReference"/>
          <w:rFonts w:ascii="Garamond" w:eastAsiaTheme="minorEastAsia" w:hAnsi="Garamond"/>
        </w:rPr>
        <w:t xml:space="preserve"> nr. </w:t>
      </w:r>
      <w:r w:rsidRPr="00587E94">
        <w:rPr>
          <w:rStyle w:val="FootnoteReference"/>
          <w:rFonts w:ascii="Garamond" w:eastAsiaTheme="minorEastAsia" w:hAnsi="Garamond"/>
        </w:rPr>
        <w:t xml:space="preserve">10296/2010 (i rishikuar në vitin 2015); </w:t>
      </w:r>
      <w:r w:rsidRPr="00587E94">
        <w:rPr>
          <w:rFonts w:ascii="Garamond" w:hAnsi="Garamond"/>
        </w:rPr>
        <w:t>Udhëzimi i MF-ës</w:t>
      </w:r>
      <w:r>
        <w:rPr>
          <w:rFonts w:ascii="Garamond" w:hAnsi="Garamond"/>
        </w:rPr>
        <w:t xml:space="preserve"> nr. </w:t>
      </w:r>
      <w:r w:rsidRPr="00587E94">
        <w:rPr>
          <w:rStyle w:val="FootnoteReference"/>
          <w:rFonts w:ascii="Garamond" w:eastAsiaTheme="minorEastAsia" w:hAnsi="Garamond"/>
        </w:rPr>
        <w:t>8/2012</w:t>
      </w:r>
    </w:p>
  </w:footnote>
  <w:footnote w:id="64">
    <w:p w14:paraId="6EDD1841" w14:textId="7709BD8C" w:rsidR="00622884" w:rsidRPr="00587E94" w:rsidRDefault="00622884" w:rsidP="00B976ED">
      <w:pPr>
        <w:pStyle w:val="FootnoteText"/>
        <w:spacing w:before="0" w:after="0"/>
        <w:rPr>
          <w:rFonts w:ascii="Garamond" w:hAnsi="Garamond"/>
        </w:rPr>
      </w:pPr>
      <w:r w:rsidRPr="00587E94">
        <w:rPr>
          <w:rStyle w:val="FootnoteReference"/>
          <w:rFonts w:ascii="Garamond" w:eastAsiaTheme="minorEastAsia" w:hAnsi="Garamond"/>
        </w:rPr>
        <w:footnoteRef/>
      </w:r>
      <w:r w:rsidRPr="00587E94">
        <w:rPr>
          <w:rFonts w:ascii="Garamond" w:hAnsi="Garamond"/>
        </w:rPr>
        <w:t xml:space="preserve"> Ky tregues duhet të rishikohet pas përfundimit të shtojcës</w:t>
      </w:r>
      <w:r>
        <w:rPr>
          <w:rFonts w:ascii="Garamond" w:hAnsi="Garamond"/>
        </w:rPr>
        <w:t xml:space="preserve"> </w:t>
      </w:r>
      <w:r w:rsidRPr="00587E94">
        <w:rPr>
          <w:rFonts w:ascii="Garamond" w:hAnsi="Garamond"/>
        </w:rPr>
        <w:t>2.</w:t>
      </w:r>
    </w:p>
  </w:footnote>
  <w:footnote w:id="65">
    <w:p w14:paraId="6EDD1842" w14:textId="77777777" w:rsidR="00622884" w:rsidRPr="00587E94" w:rsidRDefault="00622884" w:rsidP="00B976ED">
      <w:pPr>
        <w:pStyle w:val="FootnoteText"/>
        <w:spacing w:before="0" w:after="0"/>
        <w:rPr>
          <w:rFonts w:ascii="Garamond" w:hAnsi="Garamond"/>
        </w:rPr>
      </w:pPr>
      <w:r w:rsidRPr="00587E94">
        <w:rPr>
          <w:rStyle w:val="FootnoteReference"/>
          <w:rFonts w:ascii="Garamond" w:eastAsiaTheme="minorEastAsia" w:hAnsi="Garamond"/>
        </w:rPr>
        <w:footnoteRef/>
      </w:r>
      <w:r w:rsidRPr="00587E94">
        <w:rPr>
          <w:rFonts w:ascii="Garamond" w:hAnsi="Garamond"/>
        </w:rPr>
        <w:t xml:space="preserve"> Objektivat 6 deri 11, faqe 29 dhe treguesi 6.2: Të paktën 1 qasje integruese në vit po përfshihet në një strategji përkatëse sektoriale.</w:t>
      </w:r>
    </w:p>
  </w:footnote>
  <w:footnote w:id="66">
    <w:p w14:paraId="6EDD1843" w14:textId="77777777" w:rsidR="00622884" w:rsidRPr="00587E94" w:rsidRDefault="00622884" w:rsidP="00B976ED">
      <w:pPr>
        <w:pStyle w:val="FootnoteText"/>
        <w:spacing w:before="0" w:after="0"/>
        <w:rPr>
          <w:rFonts w:ascii="Garamond" w:hAnsi="Garamond"/>
        </w:rPr>
      </w:pPr>
      <w:r w:rsidRPr="00587E94">
        <w:rPr>
          <w:rStyle w:val="FootnoteReference"/>
          <w:rFonts w:ascii="Garamond" w:eastAsiaTheme="minorEastAsia" w:hAnsi="Garamond"/>
        </w:rPr>
        <w:footnoteRef/>
      </w:r>
      <w:r w:rsidRPr="00587E94">
        <w:rPr>
          <w:rFonts w:ascii="Garamond" w:hAnsi="Garamond"/>
        </w:rPr>
        <w:t xml:space="preserve"> Duhet të shqyrtohet sipas PA 3 dhe 7</w:t>
      </w:r>
    </w:p>
  </w:footnote>
  <w:footnote w:id="67">
    <w:p w14:paraId="6EDD1844" w14:textId="29FD80D3" w:rsidR="00622884" w:rsidRPr="00587E94" w:rsidRDefault="00622884" w:rsidP="001206A9">
      <w:pPr>
        <w:pStyle w:val="FootnoteText"/>
        <w:rPr>
          <w:rFonts w:ascii="Garamond" w:hAnsi="Garamond"/>
          <w:sz w:val="16"/>
          <w:szCs w:val="16"/>
        </w:rPr>
      </w:pPr>
      <w:r w:rsidRPr="00587E94">
        <w:rPr>
          <w:rStyle w:val="FootnoteReference"/>
          <w:rFonts w:ascii="Garamond" w:eastAsiaTheme="minorEastAsia" w:hAnsi="Garamond"/>
          <w:sz w:val="16"/>
          <w:szCs w:val="16"/>
        </w:rPr>
        <w:footnoteRef/>
      </w:r>
      <w:r w:rsidRPr="00587E94">
        <w:rPr>
          <w:rFonts w:ascii="Garamond" w:hAnsi="Garamond"/>
          <w:sz w:val="16"/>
          <w:szCs w:val="16"/>
        </w:rPr>
        <w:t xml:space="preserve"> Përzgjedhja duhet të kryhet në përputhje me strategjinë e përzgjedhur sektoriale: shihni treguesin</w:t>
      </w:r>
      <w:r>
        <w:rPr>
          <w:rFonts w:ascii="Garamond" w:hAnsi="Garamond"/>
          <w:sz w:val="16"/>
          <w:szCs w:val="16"/>
        </w:rPr>
        <w:t xml:space="preserve"> </w:t>
      </w:r>
      <w:r w:rsidRPr="00587E94">
        <w:rPr>
          <w:rFonts w:ascii="Garamond" w:hAnsi="Garamond"/>
          <w:sz w:val="16"/>
          <w:szCs w:val="16"/>
        </w:rPr>
        <w:t>6.2: Të paktën 1 qasje integruese në vit është duke u përfshirë në një strategji përkatëse sektoriale.</w:t>
      </w:r>
    </w:p>
  </w:footnote>
  <w:footnote w:id="68">
    <w:p w14:paraId="6EDD1845" w14:textId="77777777" w:rsidR="00622884" w:rsidRPr="00587E94" w:rsidRDefault="00622884" w:rsidP="00547185">
      <w:pPr>
        <w:pStyle w:val="FootnoteText"/>
        <w:rPr>
          <w:rFonts w:ascii="Garamond" w:hAnsi="Garamond"/>
          <w:sz w:val="16"/>
          <w:szCs w:val="16"/>
        </w:rPr>
      </w:pPr>
      <w:r w:rsidRPr="00587E94">
        <w:rPr>
          <w:rStyle w:val="FootnoteReference"/>
          <w:rFonts w:ascii="Garamond" w:eastAsiaTheme="minorEastAsia" w:hAnsi="Garamond"/>
          <w:sz w:val="16"/>
          <w:szCs w:val="16"/>
        </w:rPr>
        <w:footnoteRef/>
      </w:r>
      <w:r w:rsidRPr="00587E94">
        <w:rPr>
          <w:rFonts w:ascii="Garamond" w:hAnsi="Garamond"/>
          <w:sz w:val="16"/>
          <w:szCs w:val="16"/>
        </w:rPr>
        <w:t xml:space="preserve"> Reeferenca ndaj treguesit</w:t>
      </w:r>
    </w:p>
  </w:footnote>
  <w:footnote w:id="69">
    <w:p w14:paraId="6EDD1846" w14:textId="77777777" w:rsidR="00622884" w:rsidRPr="00587E94" w:rsidRDefault="00622884" w:rsidP="00547185">
      <w:pPr>
        <w:pStyle w:val="FootnoteText"/>
        <w:rPr>
          <w:rFonts w:ascii="Garamond" w:hAnsi="Garamond"/>
          <w:sz w:val="18"/>
          <w:szCs w:val="18"/>
        </w:rPr>
      </w:pPr>
      <w:r w:rsidRPr="00587E94">
        <w:rPr>
          <w:rStyle w:val="FootnoteReference"/>
          <w:rFonts w:ascii="Garamond" w:eastAsiaTheme="minorEastAsia" w:hAnsi="Garamond"/>
          <w:sz w:val="18"/>
          <w:szCs w:val="18"/>
        </w:rPr>
        <w:footnoteRef/>
      </w:r>
      <w:r w:rsidRPr="00587E94">
        <w:rPr>
          <w:rFonts w:ascii="Garamond" w:hAnsi="Garamond"/>
          <w:sz w:val="18"/>
          <w:szCs w:val="18"/>
        </w:rPr>
        <w:t xml:space="preserve"> http://adaptasiapacific.org/news/attracting-climate-funds-begins-good-project-proposals</w:t>
      </w:r>
    </w:p>
  </w:footnote>
  <w:footnote w:id="70">
    <w:p w14:paraId="6EDD1847" w14:textId="77777777" w:rsidR="00622884" w:rsidRPr="00587E94" w:rsidRDefault="00622884" w:rsidP="00547185">
      <w:pPr>
        <w:pStyle w:val="FootnoteText"/>
        <w:rPr>
          <w:rFonts w:ascii="Garamond" w:hAnsi="Garamond"/>
          <w:sz w:val="18"/>
          <w:szCs w:val="18"/>
        </w:rPr>
      </w:pPr>
      <w:r w:rsidRPr="00587E94">
        <w:rPr>
          <w:rStyle w:val="FootnoteReference"/>
          <w:rFonts w:ascii="Garamond" w:eastAsiaTheme="minorEastAsia" w:hAnsi="Garamond"/>
          <w:sz w:val="18"/>
          <w:szCs w:val="18"/>
        </w:rPr>
        <w:footnoteRef/>
      </w:r>
      <w:r w:rsidRPr="00587E94">
        <w:rPr>
          <w:rFonts w:ascii="Garamond" w:hAnsi="Garamond"/>
          <w:sz w:val="18"/>
          <w:szCs w:val="18"/>
        </w:rPr>
        <w:t xml:space="preserve"> http://www.adaptation-fund.org/wp-content/uploads/2015/01/Results%20Frameëork%20and%20Baseline%20Guidance%20final%20compressed.pdf</w:t>
      </w:r>
    </w:p>
  </w:footnote>
  <w:footnote w:id="71">
    <w:p w14:paraId="6EDD1848" w14:textId="77777777" w:rsidR="00622884" w:rsidRPr="00587E94" w:rsidRDefault="00622884" w:rsidP="00547185">
      <w:pPr>
        <w:pStyle w:val="FootnoteText"/>
        <w:rPr>
          <w:rFonts w:ascii="Garamond" w:hAnsi="Garamond"/>
          <w:sz w:val="18"/>
          <w:szCs w:val="18"/>
        </w:rPr>
      </w:pPr>
      <w:r w:rsidRPr="00587E94">
        <w:rPr>
          <w:rStyle w:val="FootnoteReference"/>
          <w:rFonts w:ascii="Garamond" w:eastAsiaTheme="minorEastAsia" w:hAnsi="Garamond"/>
          <w:sz w:val="18"/>
          <w:szCs w:val="18"/>
        </w:rPr>
        <w:footnoteRef/>
      </w:r>
      <w:r w:rsidRPr="00587E94">
        <w:rPr>
          <w:rFonts w:ascii="Garamond" w:hAnsi="Garamond"/>
          <w:sz w:val="18"/>
          <w:szCs w:val="18"/>
        </w:rPr>
        <w:t xml:space="preserve"> https://www-cif.climateinvestmentfunds.org/fund/pilot-program-climate-resilience</w:t>
      </w:r>
    </w:p>
  </w:footnote>
  <w:footnote w:id="72">
    <w:p w14:paraId="6EDD1849" w14:textId="77777777" w:rsidR="00622884" w:rsidRPr="00587E94" w:rsidRDefault="00622884" w:rsidP="00547185">
      <w:pPr>
        <w:pStyle w:val="FootnoteText"/>
        <w:rPr>
          <w:rFonts w:ascii="Garamond" w:hAnsi="Garamond"/>
          <w:sz w:val="18"/>
          <w:szCs w:val="18"/>
        </w:rPr>
      </w:pPr>
      <w:r w:rsidRPr="00587E94">
        <w:rPr>
          <w:rStyle w:val="FootnoteReference"/>
          <w:rFonts w:ascii="Garamond" w:eastAsiaTheme="minorEastAsia" w:hAnsi="Garamond"/>
          <w:sz w:val="18"/>
          <w:szCs w:val="18"/>
        </w:rPr>
        <w:footnoteRef/>
      </w:r>
      <w:r w:rsidRPr="00587E94">
        <w:rPr>
          <w:rFonts w:ascii="Garamond" w:hAnsi="Garamond"/>
          <w:sz w:val="18"/>
          <w:szCs w:val="18"/>
        </w:rPr>
        <w:t xml:space="preserve"> http://www.greenclimate.fund/documents/20182/239759/GCF_Concept_Note_User_s_Guide.pdf/64866eea-3437-4007-a0e4-01b60e6e463b</w:t>
      </w:r>
    </w:p>
  </w:footnote>
  <w:footnote w:id="73">
    <w:p w14:paraId="6EDD184A" w14:textId="77777777" w:rsidR="00622884" w:rsidRPr="00587E94" w:rsidRDefault="00622884" w:rsidP="00B976ED">
      <w:pPr>
        <w:pStyle w:val="FootnoteText"/>
        <w:spacing w:before="0" w:after="0"/>
        <w:rPr>
          <w:rFonts w:ascii="Garamond" w:hAnsi="Garamond"/>
        </w:rPr>
      </w:pPr>
      <w:r w:rsidRPr="00587E94">
        <w:rPr>
          <w:rStyle w:val="FootnoteReference"/>
          <w:rFonts w:ascii="Garamond" w:eastAsiaTheme="minorEastAsia" w:hAnsi="Garamond"/>
        </w:rPr>
        <w:footnoteRef/>
      </w:r>
      <w:r w:rsidRPr="00587E94">
        <w:rPr>
          <w:rFonts w:ascii="Garamond" w:hAnsi="Garamond"/>
        </w:rPr>
        <w:t xml:space="preserve"> http://adaptasiapacific.org/library/guidelines-designing-bankable-adaptation-projects</w:t>
      </w:r>
    </w:p>
  </w:footnote>
  <w:footnote w:id="74">
    <w:p w14:paraId="6EDD184B" w14:textId="77777777" w:rsidR="00622884" w:rsidRPr="00587E94" w:rsidRDefault="00622884" w:rsidP="00B976ED">
      <w:pPr>
        <w:pStyle w:val="FootnoteText"/>
        <w:spacing w:before="0" w:after="0"/>
        <w:rPr>
          <w:rFonts w:ascii="Garamond" w:hAnsi="Garamond"/>
        </w:rPr>
      </w:pPr>
      <w:r w:rsidRPr="00587E94">
        <w:rPr>
          <w:rStyle w:val="FootnoteReference"/>
          <w:rFonts w:ascii="Garamond" w:eastAsiaTheme="minorEastAsia" w:hAnsi="Garamond"/>
        </w:rPr>
        <w:footnoteRef/>
      </w:r>
      <w:r w:rsidRPr="00587E94">
        <w:rPr>
          <w:rFonts w:ascii="Garamond" w:hAnsi="Garamond"/>
        </w:rPr>
        <w:t xml:space="preserve"> http://www.unep.org/provia/Portals/24128/PROVIA_guidance_report_loë_resolution.pdf</w:t>
      </w:r>
    </w:p>
  </w:footnote>
  <w:footnote w:id="75">
    <w:p w14:paraId="6EDD184C" w14:textId="77777777" w:rsidR="00622884" w:rsidRPr="00587E94" w:rsidRDefault="00622884" w:rsidP="00B976ED">
      <w:pPr>
        <w:pStyle w:val="FootnoteText"/>
        <w:spacing w:before="0" w:after="0"/>
        <w:rPr>
          <w:rFonts w:ascii="Garamond" w:hAnsi="Garamond"/>
        </w:rPr>
      </w:pPr>
      <w:r w:rsidRPr="00587E94">
        <w:rPr>
          <w:rStyle w:val="FootnoteReference"/>
          <w:rFonts w:ascii="Garamond" w:eastAsiaTheme="minorEastAsia" w:hAnsi="Garamond"/>
        </w:rPr>
        <w:footnoteRef/>
      </w:r>
      <w:r w:rsidRPr="00587E94">
        <w:rPr>
          <w:rFonts w:ascii="Garamond" w:hAnsi="Garamond"/>
        </w:rPr>
        <w:t xml:space="preserve"> http://www.ebrd.com/cs/Satellite?c=Content&amp;cid=1395250899650&amp;d=&amp;pagename=EBRD%2FContent%2FDownloadDocument</w:t>
      </w:r>
    </w:p>
  </w:footnote>
  <w:footnote w:id="76">
    <w:p w14:paraId="6EDD184D" w14:textId="77777777" w:rsidR="00622884" w:rsidRPr="00587E94" w:rsidRDefault="00622884" w:rsidP="00B976ED">
      <w:pPr>
        <w:pStyle w:val="FootnoteText"/>
        <w:spacing w:before="0" w:after="0"/>
        <w:rPr>
          <w:rFonts w:ascii="Garamond" w:hAnsi="Garamond"/>
        </w:rPr>
      </w:pPr>
      <w:r w:rsidRPr="00587E94">
        <w:rPr>
          <w:rStyle w:val="FootnoteReference"/>
          <w:rFonts w:ascii="Garamond" w:eastAsiaTheme="minorEastAsia" w:hAnsi="Garamond"/>
        </w:rPr>
        <w:footnoteRef/>
      </w:r>
      <w:r w:rsidRPr="00587E94">
        <w:rPr>
          <w:rFonts w:ascii="Garamond" w:hAnsi="Garamond"/>
        </w:rPr>
        <w:t xml:space="preserve"> http://www.ecranetwork.org/</w:t>
      </w:r>
    </w:p>
  </w:footnote>
  <w:footnote w:id="77">
    <w:p w14:paraId="6EDD184E" w14:textId="77777777" w:rsidR="00622884" w:rsidRPr="00587E94" w:rsidRDefault="00622884" w:rsidP="00B976ED">
      <w:pPr>
        <w:pStyle w:val="FootnoteText"/>
        <w:spacing w:before="0" w:after="0"/>
        <w:rPr>
          <w:rFonts w:ascii="Garamond" w:hAnsi="Garamond"/>
        </w:rPr>
      </w:pPr>
      <w:r w:rsidRPr="00587E94">
        <w:rPr>
          <w:rStyle w:val="FootnoteReference"/>
          <w:rFonts w:ascii="Garamond" w:eastAsiaTheme="minorEastAsia" w:hAnsi="Garamond"/>
        </w:rPr>
        <w:footnoteRef/>
      </w:r>
      <w:r w:rsidRPr="00587E94">
        <w:rPr>
          <w:rFonts w:ascii="Garamond" w:hAnsi="Garamond"/>
        </w:rPr>
        <w:t xml:space="preserve"> http://www.adriatic-ionian.eu/about</w:t>
      </w:r>
    </w:p>
  </w:footnote>
  <w:footnote w:id="78">
    <w:p w14:paraId="6EDD184F" w14:textId="77777777" w:rsidR="00622884" w:rsidRPr="00587E94" w:rsidRDefault="00622884" w:rsidP="00B976ED">
      <w:pPr>
        <w:pStyle w:val="FootnoteText"/>
        <w:spacing w:before="0" w:after="0"/>
        <w:rPr>
          <w:rFonts w:ascii="Garamond" w:hAnsi="Garamond"/>
        </w:rPr>
      </w:pPr>
      <w:r w:rsidRPr="00587E94">
        <w:rPr>
          <w:rStyle w:val="FootnoteReference"/>
          <w:rFonts w:ascii="Garamond" w:eastAsiaTheme="minorEastAsia" w:hAnsi="Garamond"/>
        </w:rPr>
        <w:footnoteRef/>
      </w:r>
      <w:r w:rsidRPr="00587E94">
        <w:rPr>
          <w:rFonts w:ascii="Garamond" w:hAnsi="Garamond"/>
        </w:rPr>
        <w:t xml:space="preserve"> https://www.wbif.eu/about-the-wbif</w:t>
      </w:r>
    </w:p>
  </w:footnote>
  <w:footnote w:id="79">
    <w:p w14:paraId="6EDD1850" w14:textId="77777777" w:rsidR="00622884" w:rsidRPr="00587E94" w:rsidRDefault="00622884" w:rsidP="00B976ED">
      <w:pPr>
        <w:pStyle w:val="FootnoteText"/>
        <w:spacing w:before="0" w:after="0"/>
        <w:rPr>
          <w:rFonts w:ascii="Garamond" w:hAnsi="Garamond"/>
        </w:rPr>
      </w:pPr>
      <w:r w:rsidRPr="00587E94">
        <w:rPr>
          <w:rStyle w:val="FootnoteReference"/>
          <w:rFonts w:ascii="Garamond" w:eastAsiaTheme="minorEastAsia" w:hAnsi="Garamond"/>
        </w:rPr>
        <w:footnoteRef/>
      </w:r>
      <w:r w:rsidRPr="00587E94">
        <w:rPr>
          <w:rFonts w:ascii="Garamond" w:hAnsi="Garamond"/>
        </w:rPr>
        <w:t xml:space="preserve"> http://www.asiapacificadapt.net/sites/default/files/resource/attach/KP6%20Bankable%20Project_FINAL.pdf</w:t>
      </w:r>
    </w:p>
  </w:footnote>
  <w:footnote w:id="80">
    <w:p w14:paraId="6EDD1851" w14:textId="77777777" w:rsidR="00622884" w:rsidRPr="00587E94" w:rsidRDefault="00622884" w:rsidP="00B976ED">
      <w:pPr>
        <w:pStyle w:val="FootnoteText"/>
        <w:spacing w:before="0" w:after="0"/>
        <w:rPr>
          <w:rFonts w:ascii="Garamond" w:hAnsi="Garamond"/>
        </w:rPr>
      </w:pPr>
      <w:r w:rsidRPr="00587E94">
        <w:rPr>
          <w:rStyle w:val="FootnoteReference"/>
          <w:rFonts w:ascii="Garamond" w:eastAsiaTheme="minorEastAsia" w:hAnsi="Garamond"/>
        </w:rPr>
        <w:footnoteRef/>
      </w:r>
      <w:r w:rsidRPr="00587E94">
        <w:rPr>
          <w:rFonts w:ascii="Garamond" w:hAnsi="Garamond"/>
        </w:rPr>
        <w:t xml:space="preserve"> https:// www adaptation-fund.org/apply-funding/</w:t>
      </w:r>
    </w:p>
  </w:footnote>
  <w:footnote w:id="81">
    <w:p w14:paraId="6EDD1852" w14:textId="77777777" w:rsidR="00622884" w:rsidRPr="00587E94" w:rsidRDefault="00622884" w:rsidP="00B976ED">
      <w:pPr>
        <w:pStyle w:val="FootnoteText"/>
        <w:spacing w:before="0" w:after="0"/>
        <w:rPr>
          <w:rFonts w:ascii="Garamond" w:hAnsi="Garamond"/>
        </w:rPr>
      </w:pPr>
      <w:r w:rsidRPr="00587E94">
        <w:rPr>
          <w:rStyle w:val="FootnoteReference"/>
          <w:rFonts w:ascii="Garamond" w:eastAsiaTheme="minorEastAsia" w:hAnsi="Garamond"/>
        </w:rPr>
        <w:footnoteRef/>
      </w:r>
      <w:r w:rsidRPr="00587E94">
        <w:rPr>
          <w:rFonts w:ascii="Garamond" w:hAnsi="Garamond"/>
        </w:rPr>
        <w:t xml:space="preserve"> https://www.adaptation-fund.org/apply-funding/grants/</w:t>
      </w:r>
    </w:p>
  </w:footnote>
  <w:footnote w:id="82">
    <w:p w14:paraId="6EDD1853" w14:textId="77777777" w:rsidR="00622884" w:rsidRPr="00587E94" w:rsidRDefault="00622884" w:rsidP="002D0A53">
      <w:pPr>
        <w:pStyle w:val="FootnoteText"/>
        <w:spacing w:before="0" w:after="0"/>
        <w:rPr>
          <w:rFonts w:ascii="Garamond" w:hAnsi="Garamond"/>
        </w:rPr>
      </w:pPr>
      <w:r w:rsidRPr="00587E94">
        <w:rPr>
          <w:rStyle w:val="FootnoteReference"/>
          <w:rFonts w:ascii="Garamond" w:eastAsiaTheme="minorEastAsia" w:hAnsi="Garamond"/>
        </w:rPr>
        <w:footnoteRef/>
      </w:r>
      <w:r w:rsidRPr="00587E94">
        <w:rPr>
          <w:rFonts w:ascii="Garamond" w:hAnsi="Garamond"/>
        </w:rPr>
        <w:t>FAF</w:t>
      </w:r>
    </w:p>
  </w:footnote>
  <w:footnote w:id="83">
    <w:p w14:paraId="6EDD1854" w14:textId="77777777" w:rsidR="00622884" w:rsidRPr="00587E94" w:rsidRDefault="00622884" w:rsidP="002D0A53">
      <w:pPr>
        <w:pStyle w:val="FootnoteText"/>
        <w:spacing w:before="0" w:after="0"/>
        <w:rPr>
          <w:rFonts w:ascii="Garamond" w:hAnsi="Garamond"/>
        </w:rPr>
      </w:pPr>
      <w:r w:rsidRPr="00587E94">
        <w:rPr>
          <w:rStyle w:val="FootnoteReference"/>
          <w:rFonts w:ascii="Garamond" w:eastAsiaTheme="minorEastAsia" w:hAnsi="Garamond"/>
          <w:color w:val="000000"/>
        </w:rPr>
        <w:footnoteRef/>
      </w:r>
      <w:r w:rsidRPr="00587E94">
        <w:rPr>
          <w:rFonts w:ascii="Garamond" w:hAnsi="Garamond"/>
          <w:color w:val="000000"/>
        </w:rPr>
        <w:t xml:space="preserve"> http://</w:t>
      </w:r>
      <w:r w:rsidRPr="00587E94">
        <w:rPr>
          <w:rFonts w:ascii="Garamond" w:hAnsi="Garamond"/>
        </w:rPr>
        <w:t>www</w:t>
      </w:r>
      <w:r w:rsidRPr="00587E94">
        <w:rPr>
          <w:rFonts w:ascii="Garamond" w:hAnsi="Garamond"/>
          <w:color w:val="000000"/>
        </w:rPr>
        <w:t>.aadf.org/project/crimson-finance-fund-albania/</w:t>
      </w:r>
    </w:p>
  </w:footnote>
  <w:footnote w:id="84">
    <w:p w14:paraId="6EDD1855" w14:textId="77777777" w:rsidR="00622884" w:rsidRPr="00587E94" w:rsidRDefault="00622884" w:rsidP="002D0A53">
      <w:pPr>
        <w:pStyle w:val="FootnoteText"/>
        <w:spacing w:before="0" w:after="0"/>
        <w:rPr>
          <w:rFonts w:ascii="Garamond" w:hAnsi="Garamond"/>
        </w:rPr>
      </w:pPr>
      <w:r w:rsidRPr="00587E94">
        <w:rPr>
          <w:rStyle w:val="FootnoteReference"/>
          <w:rFonts w:ascii="Garamond" w:eastAsiaTheme="minorEastAsia" w:hAnsi="Garamond"/>
        </w:rPr>
        <w:footnoteRef/>
      </w:r>
      <w:r w:rsidRPr="00587E94">
        <w:rPr>
          <w:rFonts w:ascii="Garamond" w:hAnsi="Garamond"/>
        </w:rPr>
        <w:t xml:space="preserve"> http://blogs.worldbank.org/ppps/stories-field-world-bank-ifc-collaboration-new-ppp-legislation-albania</w:t>
      </w:r>
    </w:p>
  </w:footnote>
  <w:footnote w:id="85">
    <w:p w14:paraId="6EDD1856" w14:textId="77777777" w:rsidR="00622884" w:rsidRPr="00587E94" w:rsidRDefault="00622884" w:rsidP="002D0A53">
      <w:pPr>
        <w:pStyle w:val="FootnoteText"/>
        <w:spacing w:before="0" w:after="0"/>
        <w:rPr>
          <w:rFonts w:ascii="Garamond" w:hAnsi="Garamond"/>
        </w:rPr>
      </w:pPr>
      <w:r w:rsidRPr="00587E94">
        <w:rPr>
          <w:rStyle w:val="FootnoteReference"/>
          <w:rFonts w:ascii="Garamond" w:eastAsiaTheme="minorEastAsia" w:hAnsi="Garamond"/>
        </w:rPr>
        <w:footnoteRef/>
      </w:r>
      <w:r w:rsidRPr="00587E94">
        <w:rPr>
          <w:rFonts w:ascii="Garamond" w:hAnsi="Garamond"/>
        </w:rPr>
        <w:t xml:space="preserve"> http://.atrako.gov.al/wp-content/uploads/2015/06/Albanian-ppp-key-aspects2.pdf</w:t>
      </w:r>
    </w:p>
  </w:footnote>
  <w:footnote w:id="86">
    <w:p w14:paraId="6EDD1857" w14:textId="77777777" w:rsidR="00622884" w:rsidRPr="00587E94" w:rsidRDefault="00622884" w:rsidP="002D0A53">
      <w:pPr>
        <w:pStyle w:val="FootnoteText"/>
        <w:spacing w:before="0" w:after="0"/>
        <w:rPr>
          <w:rFonts w:ascii="Garamond" w:hAnsi="Garamond"/>
        </w:rPr>
      </w:pPr>
      <w:r w:rsidRPr="00587E94">
        <w:rPr>
          <w:rStyle w:val="FootnoteReference"/>
          <w:rFonts w:ascii="Garamond" w:eastAsiaTheme="minorEastAsia" w:hAnsi="Garamond"/>
        </w:rPr>
        <w:footnoteRef/>
      </w:r>
      <w:r w:rsidRPr="00587E94">
        <w:rPr>
          <w:rFonts w:ascii="Garamond" w:hAnsi="Garamond"/>
        </w:rPr>
        <w:t xml:space="preserve"> Shihni edhe kapitullin 3.1 në këtë raport vlerësimi të ECNC: http://www.ecnc.org/uploads/2015/02/Initiatives-related-to-mapping-and-assessment-of-ecosystems-and-their-services-in-EECCA-and-SEE-countries-scoping-document.pdf</w:t>
      </w:r>
    </w:p>
  </w:footnote>
  <w:footnote w:id="87">
    <w:p w14:paraId="6EDD1858" w14:textId="284A4FBC" w:rsidR="00622884" w:rsidRPr="00587E94" w:rsidRDefault="00622884" w:rsidP="002F4BDF">
      <w:pPr>
        <w:pStyle w:val="FootnoteText"/>
        <w:spacing w:before="0" w:after="0"/>
        <w:rPr>
          <w:rFonts w:ascii="Garamond" w:hAnsi="Garamond"/>
        </w:rPr>
      </w:pPr>
      <w:r w:rsidRPr="00587E94">
        <w:rPr>
          <w:rStyle w:val="FootnoteReference"/>
          <w:rFonts w:ascii="Garamond" w:eastAsiaTheme="minorEastAsia" w:hAnsi="Garamond"/>
        </w:rPr>
        <w:footnoteRef/>
      </w:r>
      <w:r w:rsidRPr="00587E94">
        <w:rPr>
          <w:rFonts w:ascii="Garamond" w:hAnsi="Garamond"/>
        </w:rPr>
        <w:t xml:space="preserve"> Kostoja treguese është rreth</w:t>
      </w:r>
      <w:r>
        <w:rPr>
          <w:rFonts w:ascii="Garamond" w:hAnsi="Garamond"/>
        </w:rPr>
        <w:t xml:space="preserve"> </w:t>
      </w:r>
      <w:r w:rsidRPr="00587E94">
        <w:rPr>
          <w:rFonts w:ascii="Garamond" w:hAnsi="Garamond"/>
        </w:rPr>
        <w:t xml:space="preserve">6 </w:t>
      </w:r>
      <w:r>
        <w:rPr>
          <w:rFonts w:ascii="Garamond" w:hAnsi="Garamond"/>
        </w:rPr>
        <w:t xml:space="preserve">milionë </w:t>
      </w:r>
      <w:r w:rsidRPr="00587E94">
        <w:rPr>
          <w:rFonts w:ascii="Garamond" w:hAnsi="Garamond"/>
        </w:rPr>
        <w:t xml:space="preserve">LEKË/vit </w:t>
      </w:r>
    </w:p>
  </w:footnote>
  <w:footnote w:id="88">
    <w:p w14:paraId="6EDD1859" w14:textId="7BAB71DF" w:rsidR="00622884" w:rsidRPr="00587E94" w:rsidRDefault="00622884" w:rsidP="002F4BDF">
      <w:pPr>
        <w:pStyle w:val="FootnoteText"/>
        <w:spacing w:before="0" w:after="0"/>
        <w:rPr>
          <w:rFonts w:ascii="Garamond" w:hAnsi="Garamond"/>
        </w:rPr>
      </w:pPr>
      <w:r w:rsidRPr="00587E94">
        <w:rPr>
          <w:rStyle w:val="FootnoteReference"/>
          <w:rFonts w:ascii="Garamond" w:eastAsiaTheme="minorEastAsia" w:hAnsi="Garamond"/>
        </w:rPr>
        <w:footnoteRef/>
      </w:r>
      <w:r w:rsidRPr="00587E94">
        <w:rPr>
          <w:rFonts w:ascii="Garamond" w:hAnsi="Garamond"/>
        </w:rPr>
        <w:t xml:space="preserve"> Kostoja treguese është rreth 1.35 </w:t>
      </w:r>
      <w:r>
        <w:rPr>
          <w:rFonts w:ascii="Garamond" w:hAnsi="Garamond"/>
        </w:rPr>
        <w:t xml:space="preserve">milionë </w:t>
      </w:r>
      <w:r w:rsidRPr="00587E94">
        <w:rPr>
          <w:rFonts w:ascii="Garamond" w:hAnsi="Garamond"/>
        </w:rPr>
        <w:t>LEKË/vit (15 anëtarë, 4 takime bordi/në vit)</w:t>
      </w:r>
      <w:r>
        <w:rPr>
          <w:rFonts w:ascii="Garamond" w:hAnsi="Garamond"/>
        </w:rPr>
        <w:t xml:space="preserve"> </w:t>
      </w:r>
    </w:p>
  </w:footnote>
  <w:footnote w:id="89">
    <w:p w14:paraId="6EDD185A" w14:textId="77777777" w:rsidR="00622884" w:rsidRPr="00587E94" w:rsidRDefault="00622884" w:rsidP="002F4BDF">
      <w:pPr>
        <w:pStyle w:val="FootnoteText"/>
        <w:spacing w:before="0" w:after="0"/>
        <w:rPr>
          <w:rFonts w:ascii="Garamond" w:hAnsi="Garamond"/>
        </w:rPr>
      </w:pPr>
      <w:r w:rsidRPr="00587E94">
        <w:rPr>
          <w:rStyle w:val="FootnoteReference"/>
          <w:rFonts w:ascii="Garamond" w:eastAsiaTheme="minorEastAsia" w:hAnsi="Garamond"/>
        </w:rPr>
        <w:footnoteRef/>
      </w:r>
      <w:r w:rsidRPr="00587E94">
        <w:rPr>
          <w:rFonts w:ascii="Garamond" w:hAnsi="Garamond"/>
        </w:rPr>
        <w:t>https://www.greenclimate.fund/documents/20182/24934/GCF_B.04_06_-_Business_Model_Framework__Financial_Instruments.pdf/7b8e96dd-4e06-46fd-b986-1b8743efa15b</w:t>
      </w:r>
    </w:p>
  </w:footnote>
  <w:footnote w:id="90">
    <w:p w14:paraId="6EDD185B" w14:textId="77777777" w:rsidR="00622884" w:rsidRPr="00587E94" w:rsidRDefault="00622884" w:rsidP="002F4BDF">
      <w:pPr>
        <w:pStyle w:val="FootnoteText"/>
        <w:spacing w:before="0" w:after="0"/>
        <w:rPr>
          <w:rFonts w:ascii="Garamond" w:hAnsi="Garamond"/>
        </w:rPr>
      </w:pPr>
      <w:r w:rsidRPr="00587E94">
        <w:rPr>
          <w:rStyle w:val="FootnoteReference"/>
          <w:rFonts w:ascii="Garamond" w:eastAsiaTheme="minorEastAsia" w:hAnsi="Garamond"/>
        </w:rPr>
        <w:footnoteRef/>
      </w:r>
      <w:r w:rsidRPr="00587E94">
        <w:rPr>
          <w:rFonts w:ascii="Garamond" w:hAnsi="Garamond"/>
        </w:rPr>
        <w:t xml:space="preserve"> https://www.adaptation-fund.org/wp-content/uploads/2016/02/AFB.B.27.8-Analysis-for-the-possible-modification-of-the-country-cap.pdf</w:t>
      </w:r>
    </w:p>
  </w:footnote>
  <w:footnote w:id="91">
    <w:p w14:paraId="6EDD185C" w14:textId="77777777" w:rsidR="00622884" w:rsidRPr="00587E94" w:rsidRDefault="00622884" w:rsidP="002F4BDF">
      <w:pPr>
        <w:pStyle w:val="FootnoteText"/>
        <w:spacing w:before="0" w:after="0"/>
        <w:rPr>
          <w:rFonts w:ascii="Garamond" w:hAnsi="Garamond"/>
        </w:rPr>
      </w:pPr>
      <w:r w:rsidRPr="00587E94">
        <w:rPr>
          <w:rStyle w:val="FootnoteReference"/>
          <w:rFonts w:ascii="Garamond" w:eastAsiaTheme="minorEastAsia" w:hAnsi="Garamond"/>
        </w:rPr>
        <w:footnoteRef/>
      </w:r>
      <w:r w:rsidRPr="00587E94">
        <w:rPr>
          <w:rFonts w:ascii="Garamond" w:hAnsi="Garamond"/>
        </w:rPr>
        <w:t xml:space="preserve"> Takimet fillestare u zhvilluan në tetor 2016.</w:t>
      </w:r>
    </w:p>
  </w:footnote>
  <w:footnote w:id="92">
    <w:p w14:paraId="42FB3E11" w14:textId="77777777" w:rsidR="00622884" w:rsidRPr="00622884" w:rsidRDefault="00622884" w:rsidP="00622884">
      <w:pPr>
        <w:spacing w:after="0" w:line="240" w:lineRule="auto"/>
        <w:rPr>
          <w:rFonts w:ascii="Garamond" w:hAnsi="Garamond" w:cs="Arial"/>
          <w:color w:val="000000"/>
          <w:sz w:val="20"/>
          <w:szCs w:val="20"/>
        </w:rPr>
      </w:pPr>
      <w:r w:rsidRPr="00622884">
        <w:rPr>
          <w:rFonts w:ascii="Garamond" w:hAnsi="Garamond" w:cs="Arial"/>
          <w:color w:val="000000"/>
          <w:sz w:val="20"/>
          <w:szCs w:val="20"/>
          <w:vertAlign w:val="superscript"/>
          <w:lang w:bidi="sq-AL"/>
        </w:rPr>
        <w:footnoteRef/>
      </w:r>
      <w:r w:rsidRPr="00622884">
        <w:rPr>
          <w:rFonts w:ascii="Garamond" w:hAnsi="Garamond" w:cs="Arial"/>
          <w:color w:val="000000"/>
          <w:sz w:val="20"/>
          <w:szCs w:val="20"/>
          <w:lang w:bidi="sq-AL"/>
        </w:rPr>
        <w:t xml:space="preserve"> SKZHI I prej 2007</w:t>
      </w:r>
      <w:r w:rsidRPr="00400513">
        <w:rPr>
          <w:rFonts w:ascii="Garamond" w:hAnsi="Garamond" w:cs="Times New Roman"/>
          <w:sz w:val="20"/>
          <w:szCs w:val="20"/>
        </w:rPr>
        <w:t>–</w:t>
      </w:r>
      <w:r w:rsidRPr="00622884">
        <w:rPr>
          <w:rFonts w:ascii="Garamond" w:hAnsi="Garamond" w:cs="Arial"/>
          <w:color w:val="000000"/>
          <w:sz w:val="20"/>
          <w:szCs w:val="20"/>
          <w:lang w:bidi="sq-AL"/>
        </w:rPr>
        <w:t>2015, SKZHI II prej 2015</w:t>
      </w:r>
      <w:r w:rsidRPr="00400513">
        <w:rPr>
          <w:rFonts w:ascii="Garamond" w:hAnsi="Garamond" w:cs="Times New Roman"/>
          <w:sz w:val="20"/>
          <w:szCs w:val="20"/>
        </w:rPr>
        <w:t>–</w:t>
      </w:r>
      <w:r w:rsidRPr="00622884">
        <w:rPr>
          <w:rFonts w:ascii="Garamond" w:hAnsi="Garamond" w:cs="Arial"/>
          <w:color w:val="000000"/>
          <w:sz w:val="20"/>
          <w:szCs w:val="20"/>
          <w:lang w:bidi="sq-AL"/>
        </w:rPr>
        <w:t>2020 dhe Strategjia e re Kombëtare për Zhvillim dhe Integrim Evropian (SKZHIE) prej 2022</w:t>
      </w:r>
      <w:r w:rsidRPr="00400513">
        <w:rPr>
          <w:rFonts w:ascii="Garamond" w:hAnsi="Garamond" w:cs="Times New Roman"/>
          <w:sz w:val="20"/>
          <w:szCs w:val="20"/>
        </w:rPr>
        <w:t>–</w:t>
      </w:r>
      <w:r w:rsidRPr="00622884">
        <w:rPr>
          <w:rFonts w:ascii="Garamond" w:hAnsi="Garamond" w:cs="Arial"/>
          <w:color w:val="000000"/>
          <w:sz w:val="20"/>
          <w:szCs w:val="20"/>
          <w:lang w:bidi="sq-AL"/>
        </w:rPr>
        <w:t>2030.</w:t>
      </w:r>
    </w:p>
  </w:footnote>
  <w:footnote w:id="93">
    <w:p w14:paraId="3B88F4DB" w14:textId="77777777" w:rsidR="00622884" w:rsidRPr="00622884" w:rsidRDefault="00622884" w:rsidP="00622884">
      <w:pPr>
        <w:pStyle w:val="FootnoteText"/>
        <w:rPr>
          <w:rFonts w:ascii="Garamond" w:hAnsi="Garamond"/>
          <w:color w:val="000000"/>
        </w:rPr>
      </w:pPr>
      <w:r w:rsidRPr="00622884">
        <w:rPr>
          <w:rFonts w:ascii="Garamond" w:hAnsi="Garamond"/>
          <w:color w:val="000000"/>
          <w:vertAlign w:val="superscript"/>
          <w:lang w:bidi="sq-AL"/>
        </w:rPr>
        <w:footnoteRef/>
      </w:r>
      <w:r w:rsidRPr="00622884">
        <w:rPr>
          <w:rFonts w:ascii="Garamond" w:hAnsi="Garamond"/>
          <w:color w:val="000000"/>
          <w:lang w:bidi="sq-AL"/>
        </w:rPr>
        <w:t xml:space="preserve"> “Avancimi i planit të Shqipërisë për përshtatjen afatmesme dhe afatgjatë përmes zhvillimit të një procesi kombëtar të planifikimit të përshtatjes” i mbështetur nga Fondi i Gjelbër për Klimën (FGJK) dhe i zbatuar nga Programi për Zhvillim i Kombeve të Bashkuara (UNDP).</w:t>
      </w:r>
    </w:p>
  </w:footnote>
  <w:footnote w:id="94">
    <w:p w14:paraId="102657DE" w14:textId="77777777" w:rsidR="00622884" w:rsidRPr="00622884" w:rsidRDefault="00622884" w:rsidP="00622884">
      <w:pPr>
        <w:pStyle w:val="FootnoteText"/>
        <w:rPr>
          <w:rFonts w:ascii="Garamond" w:hAnsi="Garamond"/>
          <w:color w:val="000000"/>
        </w:rPr>
      </w:pPr>
      <w:r w:rsidRPr="00622884">
        <w:rPr>
          <w:rFonts w:ascii="Garamond" w:hAnsi="Garamond"/>
          <w:color w:val="000000"/>
          <w:vertAlign w:val="superscript"/>
          <w:lang w:bidi="sq-AL"/>
        </w:rPr>
        <w:footnoteRef/>
      </w:r>
      <w:r w:rsidRPr="00622884">
        <w:rPr>
          <w:rFonts w:ascii="Garamond" w:hAnsi="Garamond"/>
          <w:color w:val="000000"/>
          <w:lang w:bidi="sq-AL"/>
        </w:rPr>
        <w:t xml:space="preserve"> Komunikimet Kombëtare (KK1</w:t>
      </w:r>
      <w:r w:rsidRPr="0046287E">
        <w:rPr>
          <w:rFonts w:ascii="Garamond" w:hAnsi="Garamond"/>
        </w:rPr>
        <w:t>–</w:t>
      </w:r>
      <w:r w:rsidRPr="00622884">
        <w:rPr>
          <w:rFonts w:ascii="Garamond" w:hAnsi="Garamond"/>
          <w:color w:val="000000"/>
          <w:lang w:bidi="sq-AL"/>
        </w:rPr>
        <w:t>2002, KK2</w:t>
      </w:r>
      <w:r w:rsidRPr="0046287E">
        <w:rPr>
          <w:rFonts w:ascii="Garamond" w:hAnsi="Garamond"/>
        </w:rPr>
        <w:t>–</w:t>
      </w:r>
      <w:r w:rsidRPr="00622884">
        <w:rPr>
          <w:rFonts w:ascii="Garamond" w:hAnsi="Garamond"/>
          <w:color w:val="000000"/>
          <w:lang w:bidi="sq-AL"/>
        </w:rPr>
        <w:t>2009, KK3</w:t>
      </w:r>
      <w:r w:rsidRPr="0046287E">
        <w:rPr>
          <w:rFonts w:ascii="Garamond" w:hAnsi="Garamond"/>
        </w:rPr>
        <w:t>–</w:t>
      </w:r>
      <w:r w:rsidRPr="00622884">
        <w:rPr>
          <w:rFonts w:ascii="Garamond" w:hAnsi="Garamond"/>
          <w:color w:val="000000"/>
          <w:lang w:bidi="sq-AL"/>
        </w:rPr>
        <w:t>2016, KK4</w:t>
      </w:r>
      <w:r w:rsidRPr="0046287E">
        <w:rPr>
          <w:rFonts w:ascii="Garamond" w:hAnsi="Garamond"/>
        </w:rPr>
        <w:t>–</w:t>
      </w:r>
      <w:r w:rsidRPr="00622884">
        <w:rPr>
          <w:rFonts w:ascii="Garamond" w:hAnsi="Garamond"/>
          <w:color w:val="000000"/>
          <w:lang w:bidi="sq-AL"/>
        </w:rPr>
        <w:t>2022); Raporti gjashtëmujor i përditësimit (RGJP); Kontributet kombëtare të pikësynuara (KKP</w:t>
      </w:r>
      <w:r w:rsidRPr="0046287E">
        <w:rPr>
          <w:rFonts w:ascii="Garamond" w:hAnsi="Garamond"/>
        </w:rPr>
        <w:t>–</w:t>
      </w:r>
      <w:r w:rsidRPr="00622884">
        <w:rPr>
          <w:rFonts w:ascii="Garamond" w:hAnsi="Garamond"/>
          <w:color w:val="000000"/>
          <w:lang w:bidi="sq-AL"/>
        </w:rPr>
        <w:t>2021), Dokumenti kuadër i PKP-së – 2019.</w:t>
      </w:r>
    </w:p>
  </w:footnote>
  <w:footnote w:id="95">
    <w:p w14:paraId="2A059F1D" w14:textId="77777777" w:rsidR="00622884" w:rsidRPr="00622884" w:rsidRDefault="00622884" w:rsidP="00622884">
      <w:pPr>
        <w:pStyle w:val="FootnoteText"/>
        <w:rPr>
          <w:rFonts w:ascii="Garamond" w:hAnsi="Garamond"/>
          <w:color w:val="000000"/>
        </w:rPr>
      </w:pPr>
      <w:r w:rsidRPr="00622884">
        <w:rPr>
          <w:rFonts w:ascii="Garamond" w:hAnsi="Garamond"/>
          <w:color w:val="000000"/>
          <w:vertAlign w:val="superscript"/>
          <w:lang w:bidi="sq-AL"/>
        </w:rPr>
        <w:footnoteRef/>
      </w:r>
      <w:r w:rsidRPr="00622884">
        <w:rPr>
          <w:rFonts w:ascii="Garamond" w:hAnsi="Garamond"/>
          <w:color w:val="000000"/>
          <w:lang w:bidi="sq-AL"/>
        </w:rPr>
        <w:t xml:space="preserve"> P.sh. Konventa kuadër e Kombeve të Bashkuara për Ndryshimet Klimatike (UNFCCC), Paneli Ndërqeveritar për Ndryshimet Klimatike i Rrjetit Global (PNNK), Strategjia dhe Mjetet e Përshtatjes të Bashkimit Evropian (BE), si dhe mësimet e nxjerra nga PKP-të e vendeve të tjera. </w:t>
      </w:r>
    </w:p>
  </w:footnote>
  <w:footnote w:id="96">
    <w:p w14:paraId="34B5EF9B" w14:textId="77777777" w:rsidR="00622884" w:rsidRPr="00622884" w:rsidRDefault="00622884" w:rsidP="00622884">
      <w:pPr>
        <w:pStyle w:val="FootnoteText"/>
        <w:rPr>
          <w:rFonts w:ascii="Garamond" w:hAnsi="Garamond"/>
          <w:color w:val="000000"/>
        </w:rPr>
      </w:pPr>
      <w:r w:rsidRPr="00622884">
        <w:rPr>
          <w:rStyle w:val="FootnoteReference"/>
          <w:rFonts w:ascii="Garamond" w:hAnsi="Garamond"/>
          <w:color w:val="000000"/>
          <w:lang w:bidi="sq-AL"/>
        </w:rPr>
        <w:footnoteRef/>
      </w:r>
      <w:r w:rsidRPr="00622884">
        <w:rPr>
          <w:rFonts w:ascii="Garamond" w:hAnsi="Garamond"/>
          <w:color w:val="000000"/>
          <w:lang w:bidi="sq-AL"/>
        </w:rPr>
        <w:t xml:space="preserve"> Bujqësia dhe pylltaria, energjia, transporti, zhvillimi urban dhe turizmi.</w:t>
      </w:r>
    </w:p>
  </w:footnote>
  <w:footnote w:id="97">
    <w:p w14:paraId="42B5DF81" w14:textId="77777777" w:rsidR="00622884" w:rsidRPr="00622884" w:rsidRDefault="00622884" w:rsidP="00622884">
      <w:pPr>
        <w:pStyle w:val="FootnoteText"/>
        <w:rPr>
          <w:rFonts w:ascii="Garamond" w:hAnsi="Garamond"/>
          <w:color w:val="000000"/>
        </w:rPr>
      </w:pPr>
      <w:r w:rsidRPr="00622884">
        <w:rPr>
          <w:rStyle w:val="FootnoteReference"/>
          <w:rFonts w:ascii="Garamond" w:hAnsi="Garamond"/>
          <w:color w:val="000000"/>
          <w:lang w:bidi="sq-AL"/>
        </w:rPr>
        <w:footnoteRef/>
      </w:r>
      <w:r w:rsidRPr="00622884">
        <w:rPr>
          <w:rFonts w:ascii="Garamond" w:hAnsi="Garamond"/>
          <w:color w:val="000000"/>
          <w:lang w:bidi="sq-AL"/>
        </w:rPr>
        <w:t xml:space="preserve">Programi për Mjedisin i Kombeve të Bashkuara (2023). </w:t>
      </w:r>
      <w:r w:rsidRPr="00622884">
        <w:rPr>
          <w:rFonts w:ascii="Garamond" w:hAnsi="Garamond"/>
          <w:i/>
          <w:color w:val="000000"/>
          <w:lang w:bidi="sq-AL"/>
        </w:rPr>
        <w:t>Adaptation Gap Report 2023: Underfinanced. Underprepared. Inadequate Investment and Planning on Climate Adaptation Leaves World Exposed</w:t>
      </w:r>
      <w:r w:rsidRPr="00622884">
        <w:rPr>
          <w:rFonts w:ascii="Garamond" w:hAnsi="Garamond"/>
          <w:color w:val="000000"/>
          <w:lang w:bidi="sq-AL"/>
        </w:rPr>
        <w:t xml:space="preserve"> [Raporti i mangësive në përshtatje 2023: I nënfinancuar. I papërgatitur. Investimi dhe planifikimi i pamjaftueshëm në përshtatjen ndaj klimës e lënë botën të ekspozuar].</w:t>
      </w:r>
      <w:r w:rsidRPr="00622884">
        <w:rPr>
          <w:rFonts w:ascii="Garamond" w:hAnsi="Garamond"/>
          <w:i/>
          <w:color w:val="000000"/>
          <w:lang w:bidi="sq-AL"/>
        </w:rPr>
        <w:t xml:space="preserve"> </w:t>
      </w:r>
      <w:r w:rsidRPr="00622884">
        <w:rPr>
          <w:rFonts w:ascii="Garamond" w:hAnsi="Garamond"/>
          <w:color w:val="000000"/>
          <w:lang w:bidi="sq-AL"/>
        </w:rPr>
        <w:t>Nairobi</w:t>
      </w:r>
    </w:p>
  </w:footnote>
  <w:footnote w:id="98">
    <w:p w14:paraId="564C3BAB" w14:textId="77777777" w:rsidR="00622884" w:rsidRPr="00622884" w:rsidRDefault="00622884" w:rsidP="00622884">
      <w:pPr>
        <w:pStyle w:val="FootnoteText"/>
        <w:rPr>
          <w:rFonts w:ascii="Garamond" w:hAnsi="Garamond"/>
          <w:color w:val="000000"/>
        </w:rPr>
      </w:pPr>
      <w:r w:rsidRPr="00622884">
        <w:rPr>
          <w:rStyle w:val="FootnoteReference"/>
          <w:rFonts w:ascii="Garamond" w:hAnsi="Garamond"/>
          <w:color w:val="000000"/>
          <w:lang w:bidi="sq-AL"/>
        </w:rPr>
        <w:footnoteRef/>
      </w:r>
      <w:r w:rsidRPr="00622884">
        <w:rPr>
          <w:rFonts w:ascii="Garamond" w:hAnsi="Garamond"/>
          <w:color w:val="000000"/>
          <w:lang w:bidi="sq-AL"/>
        </w:rPr>
        <w:t xml:space="preserve"> Raporti i gjashtë vlerësues i Panelit Ndërqeveritar për Ndryshimet Klimatike (PNNK, 2023).</w:t>
      </w:r>
    </w:p>
  </w:footnote>
  <w:footnote w:id="99">
    <w:p w14:paraId="4599E6DD" w14:textId="77777777" w:rsidR="00622884" w:rsidRPr="00622884" w:rsidRDefault="00622884" w:rsidP="00622884">
      <w:pPr>
        <w:pStyle w:val="FootnoteText"/>
        <w:rPr>
          <w:rFonts w:ascii="Garamond" w:hAnsi="Garamond"/>
          <w:color w:val="000000"/>
        </w:rPr>
      </w:pPr>
      <w:r w:rsidRPr="00622884">
        <w:rPr>
          <w:rStyle w:val="FootnoteReference"/>
          <w:rFonts w:ascii="Garamond" w:hAnsi="Garamond"/>
          <w:color w:val="000000"/>
          <w:lang w:bidi="sq-AL"/>
        </w:rPr>
        <w:footnoteRef/>
      </w:r>
      <w:r w:rsidRPr="00622884">
        <w:rPr>
          <w:rFonts w:ascii="Garamond" w:hAnsi="Garamond"/>
          <w:color w:val="000000"/>
          <w:lang w:bidi="sq-AL"/>
        </w:rPr>
        <w:t xml:space="preserve"> Programi për Mjedisin i Kombeve të Bashkuara (2023). </w:t>
      </w:r>
      <w:r w:rsidRPr="00622884">
        <w:rPr>
          <w:rFonts w:ascii="Garamond" w:hAnsi="Garamond"/>
          <w:i/>
          <w:color w:val="000000"/>
          <w:lang w:bidi="sq-AL"/>
        </w:rPr>
        <w:t>Adaptation Gap Report 2023: Underfinanced. Underprepared. Inadequate Investment and Planning on Climate Adaptation Leaves World Exposed</w:t>
      </w:r>
      <w:r w:rsidRPr="00622884">
        <w:rPr>
          <w:rFonts w:ascii="Garamond" w:hAnsi="Garamond"/>
          <w:color w:val="000000"/>
          <w:lang w:bidi="sq-AL"/>
        </w:rPr>
        <w:t xml:space="preserve"> [Raporti i mangësive në përshtatje 2023: I nënfinancuar. I papërgatitur. Investimi dhe planifikimi i pamjaftueshëm në përshtatjen ndaj klimës e lënë botën të ekspozuar]</w:t>
      </w:r>
      <w:r w:rsidRPr="00622884">
        <w:rPr>
          <w:rFonts w:ascii="Garamond" w:hAnsi="Garamond"/>
          <w:i/>
          <w:color w:val="000000"/>
          <w:lang w:bidi="sq-AL"/>
        </w:rPr>
        <w:t xml:space="preserve"> </w:t>
      </w:r>
      <w:r w:rsidRPr="00622884">
        <w:rPr>
          <w:rFonts w:ascii="Garamond" w:hAnsi="Garamond"/>
          <w:color w:val="000000"/>
          <w:lang w:bidi="sq-AL"/>
        </w:rPr>
        <w:t>Nairobi.</w:t>
      </w:r>
    </w:p>
  </w:footnote>
  <w:footnote w:id="100">
    <w:p w14:paraId="3C3A7AA9" w14:textId="77777777" w:rsidR="00622884" w:rsidRPr="00622884" w:rsidRDefault="00622884" w:rsidP="00622884">
      <w:pPr>
        <w:pStyle w:val="FootnoteText"/>
        <w:rPr>
          <w:rFonts w:ascii="Garamond" w:hAnsi="Garamond"/>
          <w:color w:val="000000"/>
        </w:rPr>
      </w:pPr>
      <w:r w:rsidRPr="00622884">
        <w:rPr>
          <w:rStyle w:val="FootnoteReference"/>
          <w:rFonts w:ascii="Garamond" w:hAnsi="Garamond"/>
          <w:color w:val="000000"/>
          <w:lang w:bidi="sq-AL"/>
        </w:rPr>
        <w:footnoteRef/>
      </w:r>
      <w:r w:rsidRPr="00622884">
        <w:rPr>
          <w:rFonts w:ascii="Garamond" w:hAnsi="Garamond"/>
          <w:color w:val="000000"/>
          <w:lang w:bidi="sq-AL"/>
        </w:rPr>
        <w:t xml:space="preserve"> Deklaratë për shtyp e Agjencisë Evropiane të Mjedisit për Vlerësimin e parë Evropian të Riskut Klimatik. Publikuar më 11 mars 2024. Përfshiu një vlerësim ku identifikoheshin 36 risqet klimatike madhore për Evropën sipas pesë grupeve të mëdha: ekosistemet, ushqimi, shëndeti, infrastruktura dhe ekonomia dhe financa.</w:t>
      </w:r>
    </w:p>
    <w:p w14:paraId="2A807F16" w14:textId="77777777" w:rsidR="00622884" w:rsidRPr="00622884" w:rsidRDefault="00622884" w:rsidP="00622884">
      <w:pPr>
        <w:pStyle w:val="FootnoteText"/>
        <w:rPr>
          <w:rFonts w:ascii="Garamond" w:hAnsi="Garamond"/>
          <w:color w:val="000000"/>
        </w:rPr>
      </w:pPr>
      <w:hyperlink r:id="rId10" w:history="1">
        <w:r w:rsidRPr="001961AC">
          <w:rPr>
            <w:rStyle w:val="Hyperlink"/>
            <w:rFonts w:ascii="Garamond" w:hAnsi="Garamond"/>
            <w:lang w:bidi="sq-AL"/>
          </w:rPr>
          <w:t>https://www.eea.europa.eu/en/neësroom/neës/europe-is-not-prepared-for?utm_medium=email&amp;_hsmi=84201387&amp;_hsenc=p2ANqtz--zS8bTN2iJ2Y1ËDmIOApxA2NiBMTqcMIYqBA8R0oya5yIZm85S1ynHduz_YL9QUZZQpëFjEdqyoëyIptFU75f0a1ey_YeReaa3_97qFY7ZzM7Ok&amp;utm_content=84201387&amp;utm_source=hs_email</w:t>
        </w:r>
      </w:hyperlink>
      <w:r w:rsidRPr="00622884">
        <w:rPr>
          <w:rFonts w:ascii="Garamond" w:hAnsi="Garamond"/>
          <w:color w:val="000000"/>
          <w:lang w:bidi="sq-AL"/>
        </w:rPr>
        <w:t xml:space="preserve"> </w:t>
      </w:r>
    </w:p>
  </w:footnote>
  <w:footnote w:id="101">
    <w:p w14:paraId="1E9832BB" w14:textId="77777777" w:rsidR="00622884" w:rsidRPr="00622884" w:rsidRDefault="00622884" w:rsidP="00622884">
      <w:pPr>
        <w:pStyle w:val="FootnoteText"/>
        <w:rPr>
          <w:rFonts w:ascii="Garamond" w:hAnsi="Garamond"/>
          <w:color w:val="000000"/>
        </w:rPr>
      </w:pPr>
      <w:r w:rsidRPr="00622884">
        <w:rPr>
          <w:rStyle w:val="FootnoteReference"/>
          <w:rFonts w:ascii="Garamond" w:hAnsi="Garamond"/>
          <w:color w:val="000000"/>
          <w:lang w:bidi="sq-AL"/>
        </w:rPr>
        <w:footnoteRef/>
      </w:r>
      <w:r w:rsidRPr="00622884">
        <w:rPr>
          <w:rFonts w:ascii="Garamond" w:hAnsi="Garamond"/>
          <w:color w:val="000000"/>
          <w:lang w:bidi="sq-AL"/>
        </w:rPr>
        <w:t xml:space="preserve"> Raporti Evropian për Gjendjen Klimatike 2024 (ESOTC 2024), nxjerrë më 15 prill 2025.</w:t>
      </w:r>
    </w:p>
  </w:footnote>
  <w:footnote w:id="102">
    <w:p w14:paraId="4FDEEB34" w14:textId="77777777" w:rsidR="00622884" w:rsidRPr="00622884" w:rsidRDefault="00622884" w:rsidP="00622884">
      <w:pPr>
        <w:pStyle w:val="Heading1"/>
        <w:shd w:val="clear" w:color="auto" w:fill="FAFAFA"/>
        <w:spacing w:before="0" w:line="240" w:lineRule="auto"/>
        <w:rPr>
          <w:rFonts w:ascii="Garamond" w:hAnsi="Garamond" w:cs="Arial"/>
          <w:color w:val="000000"/>
          <w:sz w:val="20"/>
          <w:szCs w:val="20"/>
        </w:rPr>
      </w:pPr>
      <w:r w:rsidRPr="00622884">
        <w:rPr>
          <w:rFonts w:ascii="Garamond" w:hAnsi="Garamond" w:cs="Arial"/>
          <w:color w:val="000000"/>
          <w:sz w:val="20"/>
          <w:szCs w:val="20"/>
          <w:vertAlign w:val="superscript"/>
          <w:lang w:bidi="sq-AL"/>
        </w:rPr>
        <w:footnoteRef/>
      </w:r>
      <w:r w:rsidRPr="00622884">
        <w:rPr>
          <w:rFonts w:ascii="Garamond" w:hAnsi="Garamond" w:cs="Arial"/>
          <w:color w:val="000000"/>
          <w:sz w:val="20"/>
          <w:szCs w:val="20"/>
          <w:lang w:bidi="sq-AL"/>
        </w:rPr>
        <w:t xml:space="preserve"> Shqipëri – Raporti i klimës dhe zhvillimit për vendin, Banka Botërore 2024.</w:t>
      </w:r>
    </w:p>
  </w:footnote>
  <w:footnote w:id="103">
    <w:p w14:paraId="35F1F75E" w14:textId="77777777" w:rsidR="00622884" w:rsidRPr="00622884" w:rsidRDefault="00622884" w:rsidP="00622884">
      <w:pPr>
        <w:pStyle w:val="Heading1"/>
        <w:shd w:val="clear" w:color="auto" w:fill="FAFAFA"/>
        <w:spacing w:before="0" w:line="240" w:lineRule="auto"/>
        <w:rPr>
          <w:rFonts w:ascii="Garamond" w:hAnsi="Garamond" w:cs="Arial"/>
          <w:color w:val="000000"/>
          <w:sz w:val="20"/>
          <w:szCs w:val="20"/>
        </w:rPr>
      </w:pPr>
      <w:r w:rsidRPr="00622884">
        <w:rPr>
          <w:rFonts w:ascii="Garamond" w:hAnsi="Garamond" w:cs="Arial"/>
          <w:color w:val="000000"/>
          <w:sz w:val="20"/>
          <w:szCs w:val="20"/>
          <w:vertAlign w:val="superscript"/>
          <w:lang w:bidi="sq-AL"/>
        </w:rPr>
        <w:footnoteRef/>
      </w:r>
      <w:r w:rsidRPr="00622884">
        <w:rPr>
          <w:rFonts w:ascii="Garamond" w:hAnsi="Garamond" w:cs="Arial"/>
          <w:color w:val="000000"/>
          <w:sz w:val="20"/>
          <w:szCs w:val="20"/>
          <w:lang w:bidi="sq-AL"/>
        </w:rPr>
        <w:t xml:space="preserve"> Shqipëri – Raporti i klimës dhe zhvillimit për vendin, Banka Botërore 2024.</w:t>
      </w:r>
    </w:p>
  </w:footnote>
  <w:footnote w:id="104">
    <w:p w14:paraId="1EABA3F2" w14:textId="77777777" w:rsidR="00622884" w:rsidRPr="00622884" w:rsidRDefault="00622884" w:rsidP="00622884">
      <w:pPr>
        <w:tabs>
          <w:tab w:val="left" w:pos="2233"/>
        </w:tabs>
        <w:spacing w:after="0" w:line="240" w:lineRule="auto"/>
        <w:rPr>
          <w:rFonts w:ascii="Garamond" w:hAnsi="Garamond" w:cs="Arial"/>
          <w:color w:val="000000"/>
          <w:sz w:val="20"/>
          <w:szCs w:val="20"/>
        </w:rPr>
      </w:pPr>
      <w:r w:rsidRPr="00622884">
        <w:rPr>
          <w:rStyle w:val="FootnoteReference"/>
          <w:rFonts w:ascii="Garamond" w:hAnsi="Garamond" w:cs="Arial"/>
          <w:color w:val="000000"/>
          <w:sz w:val="20"/>
          <w:szCs w:val="20"/>
          <w:lang w:bidi="sq-AL"/>
        </w:rPr>
        <w:footnoteRef/>
      </w:r>
      <w:r w:rsidRPr="00622884">
        <w:rPr>
          <w:rFonts w:ascii="Garamond" w:hAnsi="Garamond" w:cs="Arial"/>
          <w:color w:val="000000"/>
          <w:spacing w:val="-2"/>
          <w:sz w:val="20"/>
          <w:szCs w:val="20"/>
          <w:lang w:bidi="sq-AL"/>
        </w:rPr>
        <w:t xml:space="preserve"> Shihni: https://unfccc.int/process/conferences/pastconferences/cancun-climate-change-conference-november-2010/statements-and-resources/Agreements</w:t>
      </w:r>
    </w:p>
  </w:footnote>
  <w:footnote w:id="105">
    <w:p w14:paraId="39BD49BD" w14:textId="77777777" w:rsidR="00622884" w:rsidRPr="00622884" w:rsidRDefault="00622884" w:rsidP="00622884">
      <w:pPr>
        <w:spacing w:after="0" w:line="240" w:lineRule="auto"/>
        <w:rPr>
          <w:rFonts w:ascii="Garamond" w:hAnsi="Garamond" w:cs="Arial"/>
          <w:color w:val="000000"/>
          <w:sz w:val="20"/>
          <w:szCs w:val="20"/>
        </w:rPr>
      </w:pPr>
      <w:r w:rsidRPr="00622884">
        <w:rPr>
          <w:rStyle w:val="FootnoteReference"/>
          <w:rFonts w:ascii="Garamond" w:hAnsi="Garamond" w:cs="Arial"/>
          <w:color w:val="000000"/>
          <w:sz w:val="20"/>
          <w:szCs w:val="20"/>
          <w:lang w:bidi="sq-AL"/>
        </w:rPr>
        <w:footnoteRef/>
      </w:r>
      <w:r w:rsidRPr="00622884">
        <w:rPr>
          <w:rFonts w:ascii="Garamond" w:hAnsi="Garamond" w:cs="Arial"/>
          <w:color w:val="000000"/>
          <w:sz w:val="20"/>
          <w:szCs w:val="20"/>
          <w:lang w:bidi="sq-AL"/>
        </w:rPr>
        <w:t xml:space="preserve"> Grupi i ekspertëve për vendet më pak të zhvilluara. 2012. </w:t>
      </w:r>
      <w:r w:rsidRPr="00622884">
        <w:rPr>
          <w:rFonts w:ascii="Garamond" w:hAnsi="Garamond" w:cs="Arial"/>
          <w:i/>
          <w:color w:val="000000"/>
          <w:sz w:val="20"/>
          <w:szCs w:val="20"/>
          <w:lang w:bidi="sq-AL"/>
        </w:rPr>
        <w:t xml:space="preserve">National Adaptation Plans: Technical Guidelines for the National Adaptation Plan Process </w:t>
      </w:r>
      <w:r w:rsidRPr="00622884">
        <w:rPr>
          <w:rFonts w:ascii="Garamond" w:hAnsi="Garamond" w:cs="Arial"/>
          <w:color w:val="000000"/>
          <w:sz w:val="20"/>
          <w:szCs w:val="20"/>
          <w:lang w:bidi="sq-AL"/>
        </w:rPr>
        <w:t>[Planet kombëtare të përshtatjes: udhëzime teknike për procesin e planit kombëtar të përshtatjes]. Bonn: Sekretariati i UNFCCC-së. Bonn, Gjermani, dhjetor 2012.</w:t>
      </w:r>
    </w:p>
  </w:footnote>
  <w:footnote w:id="106">
    <w:p w14:paraId="2DC2B4CC" w14:textId="77777777" w:rsidR="00622884" w:rsidRPr="00622884" w:rsidRDefault="00622884" w:rsidP="00622884">
      <w:pPr>
        <w:pStyle w:val="FootnoteText"/>
        <w:rPr>
          <w:rFonts w:ascii="Garamond" w:hAnsi="Garamond"/>
          <w:color w:val="000000"/>
        </w:rPr>
      </w:pPr>
      <w:r w:rsidRPr="00622884">
        <w:rPr>
          <w:rStyle w:val="FootnoteReference"/>
          <w:rFonts w:ascii="Garamond" w:hAnsi="Garamond"/>
          <w:color w:val="000000"/>
          <w:lang w:bidi="sq-AL"/>
        </w:rPr>
        <w:footnoteRef/>
      </w:r>
      <w:r w:rsidRPr="00622884">
        <w:rPr>
          <w:rFonts w:ascii="Garamond" w:hAnsi="Garamond"/>
          <w:color w:val="000000"/>
          <w:lang w:bidi="sq-AL"/>
        </w:rPr>
        <w:t xml:space="preserve"> Shihni edhe: Rrjeti Global i Përshtatjes (</w:t>
      </w:r>
      <w:hyperlink r:id="rId11" w:history="1">
        <w:r w:rsidRPr="001961AC">
          <w:rPr>
            <w:rStyle w:val="Hyperlink"/>
            <w:rFonts w:ascii="Garamond" w:hAnsi="Garamond"/>
            <w:lang w:bidi="sq-AL"/>
          </w:rPr>
          <w:t>https://www.unep.org/gan/</w:t>
        </w:r>
      </w:hyperlink>
      <w:r w:rsidRPr="00622884">
        <w:rPr>
          <w:rFonts w:ascii="Garamond" w:hAnsi="Garamond"/>
          <w:color w:val="000000"/>
          <w:lang w:bidi="sq-AL"/>
        </w:rPr>
        <w:t xml:space="preserve">); Qendra Globale për Përshtatje (https://gca.org/); </w:t>
      </w:r>
      <w:hyperlink r:id="rId12" w:history="1">
        <w:r w:rsidRPr="001961AC">
          <w:rPr>
            <w:rStyle w:val="Hyperlink"/>
            <w:rFonts w:ascii="Garamond" w:hAnsi="Garamond"/>
            <w:lang w:bidi="sq-AL"/>
          </w:rPr>
          <w:t>https://www.adaptation-undp.org/</w:t>
        </w:r>
      </w:hyperlink>
      <w:r w:rsidRPr="00622884">
        <w:rPr>
          <w:rFonts w:ascii="Garamond" w:hAnsi="Garamond"/>
          <w:color w:val="000000"/>
          <w:lang w:bidi="sq-AL"/>
        </w:rPr>
        <w:t xml:space="preserve">; </w:t>
      </w:r>
      <w:hyperlink r:id="rId13" w:history="1">
        <w:r w:rsidRPr="00622884">
          <w:rPr>
            <w:rStyle w:val="Hyperlink"/>
            <w:rFonts w:ascii="Garamond" w:hAnsi="Garamond"/>
            <w:color w:val="000000"/>
            <w:lang w:bidi="sq-AL"/>
          </w:rPr>
          <w:t>https://climate-adapt.eea.europa.eu/</w:t>
        </w:r>
      </w:hyperlink>
      <w:r w:rsidRPr="00622884">
        <w:rPr>
          <w:rFonts w:ascii="Garamond" w:hAnsi="Garamond"/>
          <w:color w:val="000000"/>
          <w:lang w:bidi="sq-AL"/>
        </w:rPr>
        <w:t>; etj.</w:t>
      </w:r>
    </w:p>
  </w:footnote>
  <w:footnote w:id="107">
    <w:p w14:paraId="219EC77C" w14:textId="77777777" w:rsidR="00622884" w:rsidRPr="00622884" w:rsidRDefault="00622884" w:rsidP="00622884">
      <w:pPr>
        <w:pStyle w:val="FootnoteText"/>
        <w:rPr>
          <w:rFonts w:ascii="Garamond" w:hAnsi="Garamond"/>
          <w:color w:val="000000"/>
        </w:rPr>
      </w:pPr>
      <w:r w:rsidRPr="00622884">
        <w:rPr>
          <w:rStyle w:val="FootnoteReference"/>
          <w:rFonts w:ascii="Garamond" w:hAnsi="Garamond"/>
          <w:color w:val="000000"/>
          <w:lang w:bidi="sq-AL"/>
        </w:rPr>
        <w:footnoteRef/>
      </w:r>
      <w:r w:rsidRPr="00622884">
        <w:rPr>
          <w:rFonts w:ascii="Garamond" w:hAnsi="Garamond"/>
          <w:color w:val="000000"/>
          <w:lang w:bidi="sq-AL"/>
        </w:rPr>
        <w:t xml:space="preserve"> Grupi i ekspertëve për vendet më pak të zhvilluara. 2012. </w:t>
      </w:r>
      <w:r w:rsidRPr="00622884">
        <w:rPr>
          <w:rFonts w:ascii="Garamond" w:hAnsi="Garamond"/>
          <w:i/>
          <w:color w:val="000000"/>
          <w:lang w:bidi="sq-AL"/>
        </w:rPr>
        <w:t>National Adaptation Plans: Technical Guidelines for the National Adaptation Plan Process</w:t>
      </w:r>
      <w:r w:rsidRPr="00622884">
        <w:rPr>
          <w:rFonts w:ascii="Garamond" w:hAnsi="Garamond"/>
          <w:color w:val="000000"/>
          <w:lang w:bidi="sq-AL"/>
        </w:rPr>
        <w:t xml:space="preserve"> [Planet kombëtare të përshtatjes: udhëzime teknike për procesin e planit kombëtar të përshtatjes]. Bonn: Sekretariati i UNFCCC-së. Bonn, Gjermani, dhjetor 2012.</w:t>
      </w:r>
    </w:p>
  </w:footnote>
  <w:footnote w:id="108">
    <w:p w14:paraId="63579D90" w14:textId="77777777" w:rsidR="00622884" w:rsidRPr="00622884" w:rsidRDefault="00622884" w:rsidP="00622884">
      <w:pPr>
        <w:pStyle w:val="FootnoteText"/>
        <w:rPr>
          <w:rFonts w:ascii="Garamond" w:hAnsi="Garamond"/>
          <w:color w:val="000000"/>
        </w:rPr>
      </w:pPr>
      <w:r w:rsidRPr="00622884">
        <w:rPr>
          <w:rStyle w:val="FootnoteReference"/>
          <w:rFonts w:ascii="Garamond" w:hAnsi="Garamond"/>
          <w:color w:val="000000"/>
          <w:lang w:bidi="sq-AL"/>
        </w:rPr>
        <w:footnoteRef/>
      </w:r>
      <w:r w:rsidRPr="00622884">
        <w:rPr>
          <w:rFonts w:ascii="Garamond" w:hAnsi="Garamond"/>
          <w:color w:val="000000"/>
          <w:lang w:bidi="sq-AL"/>
        </w:rPr>
        <w:t xml:space="preserve"> P.sh. Udhëzimet e BE-së për strategjitë dhe planet e përshtatjes të shteteve anëtare, 2023.</w:t>
      </w:r>
    </w:p>
  </w:footnote>
  <w:footnote w:id="109">
    <w:p w14:paraId="33447C06" w14:textId="77777777" w:rsidR="00622884" w:rsidRPr="00622884" w:rsidRDefault="00622884" w:rsidP="00622884">
      <w:pPr>
        <w:pStyle w:val="FootnoteText"/>
        <w:rPr>
          <w:rFonts w:ascii="Garamond" w:hAnsi="Garamond"/>
          <w:color w:val="000000"/>
        </w:rPr>
      </w:pPr>
      <w:r w:rsidRPr="00622884">
        <w:rPr>
          <w:rStyle w:val="FootnoteReference"/>
          <w:rFonts w:ascii="Garamond" w:hAnsi="Garamond"/>
          <w:color w:val="000000"/>
          <w:lang w:bidi="sq-AL"/>
        </w:rPr>
        <w:footnoteRef/>
      </w:r>
      <w:r w:rsidRPr="00622884">
        <w:rPr>
          <w:rFonts w:ascii="Garamond" w:hAnsi="Garamond"/>
          <w:color w:val="000000"/>
          <w:lang w:bidi="sq-AL"/>
        </w:rPr>
        <w:t xml:space="preserve"> P.sh. </w:t>
      </w:r>
      <w:r w:rsidRPr="00622884">
        <w:rPr>
          <w:rFonts w:ascii="Garamond" w:hAnsi="Garamond"/>
          <w:i/>
          <w:color w:val="000000"/>
          <w:lang w:bidi="sq-AL"/>
        </w:rPr>
        <w:t>ADAPTING TO CLIMATE CHANGE</w:t>
      </w:r>
      <w:r w:rsidRPr="00622884">
        <w:rPr>
          <w:rFonts w:ascii="Garamond" w:hAnsi="Garamond"/>
          <w:color w:val="000000"/>
          <w:lang w:bidi="sq-AL"/>
        </w:rPr>
        <w:t xml:space="preserve">: CDP </w:t>
      </w:r>
      <w:r w:rsidRPr="00622884">
        <w:rPr>
          <w:rFonts w:ascii="Garamond" w:hAnsi="Garamond"/>
          <w:i/>
          <w:color w:val="000000"/>
          <w:lang w:bidi="sq-AL"/>
        </w:rPr>
        <w:t>Guidance for UK Local Authorities</w:t>
      </w:r>
      <w:r w:rsidRPr="00622884">
        <w:rPr>
          <w:rFonts w:ascii="Garamond" w:hAnsi="Garamond"/>
          <w:color w:val="000000"/>
          <w:lang w:bidi="sq-AL"/>
        </w:rPr>
        <w:t>. [PËRSHTATJA NDAJ NDRYSHIMEVE KLIMATIKE: Udhëzuesi i KMD-së për autoritetet vendore të MB-së]. 2022</w:t>
      </w:r>
    </w:p>
  </w:footnote>
  <w:footnote w:id="110">
    <w:p w14:paraId="6556BC6F" w14:textId="77777777" w:rsidR="00622884" w:rsidRPr="00622884" w:rsidRDefault="00622884" w:rsidP="00622884">
      <w:pPr>
        <w:pStyle w:val="FootnoteText"/>
        <w:rPr>
          <w:rFonts w:ascii="Garamond" w:hAnsi="Garamond"/>
          <w:color w:val="000000"/>
        </w:rPr>
      </w:pPr>
      <w:r w:rsidRPr="00622884">
        <w:rPr>
          <w:rStyle w:val="FootnoteReference"/>
          <w:rFonts w:ascii="Garamond" w:hAnsi="Garamond"/>
          <w:color w:val="000000"/>
          <w:lang w:bidi="sq-AL"/>
        </w:rPr>
        <w:footnoteRef/>
      </w:r>
      <w:r w:rsidRPr="00622884">
        <w:rPr>
          <w:rFonts w:ascii="Garamond" w:hAnsi="Garamond"/>
          <w:color w:val="000000"/>
          <w:lang w:bidi="sq-AL"/>
        </w:rPr>
        <w:t xml:space="preserve"> P.sh. </w:t>
      </w:r>
      <w:r w:rsidRPr="00622884">
        <w:rPr>
          <w:rFonts w:ascii="Garamond" w:hAnsi="Garamond"/>
          <w:i/>
          <w:color w:val="000000"/>
          <w:lang w:bidi="sq-AL"/>
        </w:rPr>
        <w:t>CALIFORNIA ADAPTATION PLANNING GUIDE</w:t>
      </w:r>
      <w:r w:rsidRPr="00622884">
        <w:rPr>
          <w:rFonts w:ascii="Garamond" w:hAnsi="Garamond"/>
          <w:color w:val="000000"/>
          <w:lang w:bidi="sq-AL"/>
        </w:rPr>
        <w:t xml:space="preserve"> [UDHËZUESI I PLANIFIKIMIT PËR PËRSHTATJEN NË KALIFORNI] (2020).</w:t>
      </w:r>
    </w:p>
  </w:footnote>
  <w:footnote w:id="111">
    <w:p w14:paraId="4B87C863" w14:textId="77777777" w:rsidR="00622884" w:rsidRPr="00622884" w:rsidRDefault="00622884" w:rsidP="00622884">
      <w:pPr>
        <w:pStyle w:val="FootnoteText"/>
        <w:rPr>
          <w:rFonts w:ascii="Garamond" w:hAnsi="Garamond"/>
          <w:color w:val="000000"/>
        </w:rPr>
      </w:pPr>
      <w:r w:rsidRPr="00622884">
        <w:rPr>
          <w:rStyle w:val="FootnoteReference"/>
          <w:rFonts w:ascii="Garamond" w:hAnsi="Garamond"/>
          <w:color w:val="000000"/>
          <w:lang w:bidi="sq-AL"/>
        </w:rPr>
        <w:footnoteRef/>
      </w:r>
      <w:r w:rsidRPr="00622884">
        <w:rPr>
          <w:rFonts w:ascii="Garamond" w:hAnsi="Garamond"/>
          <w:color w:val="000000"/>
          <w:lang w:bidi="sq-AL"/>
        </w:rPr>
        <w:t xml:space="preserve"> P.sh. </w:t>
      </w:r>
      <w:r w:rsidRPr="00622884">
        <w:rPr>
          <w:rFonts w:ascii="Garamond" w:hAnsi="Garamond"/>
          <w:i/>
          <w:color w:val="000000"/>
          <w:lang w:bidi="sq-AL"/>
        </w:rPr>
        <w:t>Climate Change Adaptation and Resilience Planning: Programme Summary and Guide for Cities</w:t>
      </w:r>
      <w:r w:rsidRPr="00622884">
        <w:rPr>
          <w:rFonts w:ascii="Garamond" w:hAnsi="Garamond"/>
          <w:color w:val="000000"/>
          <w:lang w:bidi="sq-AL"/>
        </w:rPr>
        <w:t xml:space="preserve"> [Planifikimi i përshtatjes dhe qëndrueshmërisë ndaj ndryshimeve klimatike: Përmbledhje e programit dhe udhëzues për qytetet]. (2023).</w:t>
      </w:r>
    </w:p>
  </w:footnote>
  <w:footnote w:id="112">
    <w:p w14:paraId="331F648B" w14:textId="77777777" w:rsidR="00622884" w:rsidRPr="00622884" w:rsidRDefault="00622884" w:rsidP="00622884">
      <w:pPr>
        <w:pStyle w:val="FootnoteText"/>
        <w:rPr>
          <w:rFonts w:ascii="Garamond" w:hAnsi="Garamond"/>
          <w:color w:val="000000"/>
          <w:lang w:bidi="sq-AL"/>
        </w:rPr>
      </w:pPr>
      <w:r w:rsidRPr="00622884">
        <w:rPr>
          <w:rFonts w:ascii="Garamond" w:hAnsi="Garamond"/>
          <w:color w:val="000000"/>
          <w:lang w:bidi="sq-AL"/>
        </w:rPr>
        <w:t>KMD, 2023.</w:t>
      </w:r>
    </w:p>
    <w:p w14:paraId="5660F585" w14:textId="77777777" w:rsidR="00622884" w:rsidRPr="00622884" w:rsidRDefault="00622884" w:rsidP="00622884">
      <w:pPr>
        <w:pStyle w:val="FootnoteText"/>
        <w:rPr>
          <w:rFonts w:ascii="Garamond" w:hAnsi="Garamond"/>
          <w:color w:val="000000"/>
        </w:rPr>
      </w:pPr>
      <w:r w:rsidRPr="00622884">
        <w:rPr>
          <w:rStyle w:val="FootnoteReference"/>
          <w:rFonts w:ascii="Garamond" w:hAnsi="Garamond"/>
          <w:color w:val="000000"/>
          <w:lang w:bidi="sq-AL"/>
        </w:rPr>
        <w:footnoteRef/>
      </w:r>
      <w:r w:rsidRPr="00622884">
        <w:rPr>
          <w:rFonts w:ascii="Garamond" w:hAnsi="Garamond"/>
          <w:color w:val="000000"/>
          <w:lang w:bidi="sq-AL"/>
        </w:rPr>
        <w:t xml:space="preserve"> P.sh. </w:t>
      </w:r>
      <w:r w:rsidRPr="00622884">
        <w:rPr>
          <w:rFonts w:ascii="Garamond" w:hAnsi="Garamond"/>
          <w:i/>
          <w:color w:val="000000"/>
          <w:lang w:bidi="sq-AL"/>
        </w:rPr>
        <w:t>PLANNING FOR ADAPTATION TO CLIMATE CHANGE: GUIDELINES FOR MUNICIPALITIES</w:t>
      </w:r>
      <w:r w:rsidRPr="00622884">
        <w:rPr>
          <w:rFonts w:ascii="Garamond" w:hAnsi="Garamond"/>
          <w:color w:val="000000"/>
          <w:lang w:bidi="sq-AL"/>
        </w:rPr>
        <w:t xml:space="preserve"> [Plani për përshtatjen ndaj ndryshimeve klimatike: Udhëzime për bashkitë]. (n.d.). BE/ACT.</w:t>
      </w:r>
    </w:p>
  </w:footnote>
  <w:footnote w:id="113">
    <w:p w14:paraId="60B7E507" w14:textId="77777777" w:rsidR="00622884" w:rsidRPr="00622884" w:rsidRDefault="00622884" w:rsidP="00622884">
      <w:pPr>
        <w:pStyle w:val="FootnoteText"/>
        <w:rPr>
          <w:rFonts w:ascii="Garamond" w:hAnsi="Garamond"/>
          <w:color w:val="000000"/>
        </w:rPr>
      </w:pPr>
      <w:r w:rsidRPr="00622884">
        <w:rPr>
          <w:rStyle w:val="FootnoteReference"/>
          <w:rFonts w:ascii="Garamond" w:hAnsi="Garamond"/>
          <w:color w:val="000000"/>
          <w:lang w:bidi="sq-AL"/>
        </w:rPr>
        <w:footnoteRef/>
      </w:r>
      <w:r w:rsidRPr="00622884">
        <w:rPr>
          <w:rFonts w:ascii="Garamond" w:hAnsi="Garamond"/>
          <w:color w:val="000000"/>
          <w:lang w:bidi="sq-AL"/>
        </w:rPr>
        <w:t xml:space="preserve"> P.sh. </w:t>
      </w:r>
      <w:r w:rsidRPr="00622884">
        <w:rPr>
          <w:rFonts w:ascii="Garamond" w:hAnsi="Garamond"/>
          <w:i/>
          <w:color w:val="000000"/>
          <w:lang w:bidi="sq-AL"/>
        </w:rPr>
        <w:t>Adapting to Climate Change</w:t>
      </w:r>
      <w:r w:rsidRPr="00622884">
        <w:rPr>
          <w:rFonts w:ascii="Garamond" w:hAnsi="Garamond"/>
          <w:color w:val="000000"/>
          <w:lang w:bidi="sq-AL"/>
        </w:rPr>
        <w:t>: A Planning Guide for State Coastal Managers (n.d.) [Përshtatja ndaj Ndryshimeve Klimatike: Një udhëzues planifikimi për menaxherët shtetërorë të zonave bregdetare]. Paketa e masave të SHBA-së për qëndrueshmërinë ndaj klimës.</w:t>
      </w:r>
    </w:p>
  </w:footnote>
  <w:footnote w:id="114">
    <w:p w14:paraId="09DA2519" w14:textId="77777777" w:rsidR="00622884" w:rsidRPr="00622884" w:rsidRDefault="00622884" w:rsidP="00622884">
      <w:pPr>
        <w:pStyle w:val="FootnoteText"/>
        <w:rPr>
          <w:rFonts w:ascii="Garamond" w:hAnsi="Garamond"/>
          <w:color w:val="000000"/>
        </w:rPr>
      </w:pPr>
      <w:r w:rsidRPr="00622884">
        <w:rPr>
          <w:rStyle w:val="FootnoteReference"/>
          <w:rFonts w:ascii="Garamond" w:hAnsi="Garamond"/>
          <w:color w:val="000000"/>
          <w:lang w:bidi="sq-AL"/>
        </w:rPr>
        <w:footnoteRef/>
      </w:r>
      <w:r w:rsidRPr="00622884">
        <w:rPr>
          <w:rFonts w:ascii="Garamond" w:hAnsi="Garamond"/>
          <w:color w:val="000000"/>
          <w:lang w:bidi="sq-AL"/>
        </w:rPr>
        <w:t xml:space="preserve"> P.sh. </w:t>
      </w:r>
      <w:r w:rsidRPr="00622884">
        <w:rPr>
          <w:rFonts w:ascii="Garamond" w:hAnsi="Garamond"/>
          <w:i/>
          <w:color w:val="000000"/>
          <w:lang w:bidi="sq-AL"/>
        </w:rPr>
        <w:t>Climate change: risk assessment and adaptation planning in your management system</w:t>
      </w:r>
      <w:r w:rsidRPr="00622884">
        <w:rPr>
          <w:rFonts w:ascii="Garamond" w:hAnsi="Garamond"/>
          <w:color w:val="000000"/>
          <w:lang w:bidi="sq-AL"/>
        </w:rPr>
        <w:t xml:space="preserve"> [Ndryshimet klimatike: Vlerësimi i riskut dhe planifikimi i përshtatjes në sistemin tuaj të menaxhimit], qeveria e MB-së, 2023.</w:t>
      </w:r>
    </w:p>
  </w:footnote>
  <w:footnote w:id="115">
    <w:p w14:paraId="10CDE49C" w14:textId="77777777" w:rsidR="00622884" w:rsidRPr="00622884" w:rsidRDefault="00622884" w:rsidP="00622884">
      <w:pPr>
        <w:pStyle w:val="FootnoteText"/>
        <w:rPr>
          <w:rFonts w:ascii="Garamond" w:hAnsi="Garamond"/>
          <w:color w:val="000000"/>
        </w:rPr>
      </w:pPr>
      <w:r w:rsidRPr="00622884">
        <w:rPr>
          <w:rStyle w:val="FootnoteReference"/>
          <w:rFonts w:ascii="Garamond" w:hAnsi="Garamond"/>
          <w:color w:val="000000"/>
          <w:lang w:bidi="sq-AL"/>
        </w:rPr>
        <w:footnoteRef/>
      </w:r>
      <w:r w:rsidRPr="00622884">
        <w:rPr>
          <w:rFonts w:ascii="Garamond" w:hAnsi="Garamond"/>
          <w:color w:val="000000"/>
          <w:lang w:bidi="sq-AL"/>
        </w:rPr>
        <w:t xml:space="preserve"> Tashmë i emërtuar </w:t>
      </w:r>
      <w:hyperlink r:id="rId14" w:tgtFrame="_blank" w:history="1">
        <w:r w:rsidRPr="00622884">
          <w:rPr>
            <w:rStyle w:val="Hyperlink"/>
            <w:rFonts w:ascii="Garamond" w:hAnsi="Garamond"/>
            <w:color w:val="000000"/>
            <w:lang w:bidi="sq-AL"/>
          </w:rPr>
          <w:t>“Kuadri i EBA-s për Qëndrueshmërinë Botërore ndaj Klimës</w:t>
        </w:r>
      </w:hyperlink>
      <w:r w:rsidRPr="00622884">
        <w:rPr>
          <w:rFonts w:ascii="Garamond" w:hAnsi="Garamond"/>
          <w:color w:val="000000"/>
          <w:lang w:bidi="sq-AL"/>
        </w:rPr>
        <w:t>”.</w:t>
      </w:r>
    </w:p>
  </w:footnote>
  <w:footnote w:id="116">
    <w:p w14:paraId="45C7F4CF" w14:textId="77777777" w:rsidR="00622884" w:rsidRPr="00622884" w:rsidRDefault="00622884" w:rsidP="00622884">
      <w:pPr>
        <w:pStyle w:val="FootnoteText"/>
        <w:rPr>
          <w:rFonts w:ascii="Garamond" w:hAnsi="Garamond"/>
          <w:color w:val="000000"/>
        </w:rPr>
      </w:pPr>
      <w:r w:rsidRPr="00622884">
        <w:rPr>
          <w:rStyle w:val="FootnoteReference"/>
          <w:rFonts w:ascii="Garamond" w:hAnsi="Garamond"/>
          <w:color w:val="000000"/>
          <w:lang w:bidi="sq-AL"/>
        </w:rPr>
        <w:footnoteRef/>
      </w:r>
      <w:r w:rsidRPr="00622884">
        <w:rPr>
          <w:rFonts w:ascii="Garamond" w:hAnsi="Garamond"/>
          <w:color w:val="000000"/>
          <w:lang w:bidi="sq-AL"/>
        </w:rPr>
        <w:t xml:space="preserve"> Vendimi: FCCC/PA/CMA/2023/L.18. Më tej, u kërkon vendeve që të: “reduktojnë ndjeshëm mungesën e ujit të shkaktuar nga ndryshimet klimatike dhe të forcojnë qëndrueshmërinë klimatike ndaj risqeve të lidhura me ujin; të sigurojnë prodhim dhe furnizim ushqimor e bujqësor të qëndrueshëm ndaj klimës, si dhe shpërndarje të qëndrueshme të ushqimit; të forcojnë aftësinë ripërtëritëse ndaj ndikimeve shëndetësore të lidhura me ndryshimet klimatike; të pakësojnë ndikimet klimatike tek ekosistemet dhe biodiversiteti; të rrisin qëndrueshmërinë e infrastrukturës dhe vendbanimeve njerëzore; të zvogëlojnë në mënyrë të ndjeshme efektet negative të ndryshimeve klimatike në zhdukjen e varfërisë dhe mjetet e jetesës, dhe të mbrojnë trashëgiminë kulturore”.</w:t>
      </w:r>
    </w:p>
  </w:footnote>
  <w:footnote w:id="117">
    <w:p w14:paraId="2307959F" w14:textId="77777777" w:rsidR="00622884" w:rsidRPr="00622884" w:rsidRDefault="00622884" w:rsidP="00622884">
      <w:pPr>
        <w:pStyle w:val="FootnoteText"/>
        <w:rPr>
          <w:rFonts w:ascii="Garamond" w:hAnsi="Garamond"/>
          <w:color w:val="000000"/>
        </w:rPr>
      </w:pPr>
      <w:r w:rsidRPr="00622884">
        <w:rPr>
          <w:rStyle w:val="FootnoteReference"/>
          <w:rFonts w:ascii="Garamond" w:hAnsi="Garamond"/>
          <w:color w:val="000000"/>
          <w:lang w:bidi="sq-AL"/>
        </w:rPr>
        <w:footnoteRef/>
      </w:r>
      <w:r w:rsidRPr="00622884">
        <w:rPr>
          <w:rFonts w:ascii="Garamond" w:hAnsi="Garamond"/>
          <w:color w:val="000000"/>
          <w:lang w:bidi="sq-AL"/>
        </w:rPr>
        <w:t xml:space="preserve"> Programi për Mjedisin i Kombeve të Bashkuara (2023). </w:t>
      </w:r>
      <w:r w:rsidRPr="00622884">
        <w:rPr>
          <w:rFonts w:ascii="Garamond" w:hAnsi="Garamond"/>
          <w:i/>
          <w:color w:val="000000"/>
          <w:lang w:bidi="sq-AL"/>
        </w:rPr>
        <w:t>Adaptation Gap Report 2023: Underfinanced. Underprepared. Inadequate Investment and Planning on Climate Adaptation Leaves World Exposed</w:t>
      </w:r>
      <w:r w:rsidRPr="00622884">
        <w:rPr>
          <w:rFonts w:ascii="Garamond" w:hAnsi="Garamond"/>
          <w:color w:val="000000"/>
          <w:lang w:bidi="sq-AL"/>
        </w:rPr>
        <w:t xml:space="preserve"> [Raporti i mangësive në përshtatje 2023: I nënfinancuar. I papërgatitur. Investimi dhe planifikimi i pamjaftueshëm në përshtatjen ndaj klimës e lënë botën të ekspozuar].</w:t>
      </w:r>
      <w:r w:rsidRPr="00622884">
        <w:rPr>
          <w:rFonts w:ascii="Garamond" w:hAnsi="Garamond"/>
          <w:i/>
          <w:color w:val="000000"/>
          <w:lang w:bidi="sq-AL"/>
        </w:rPr>
        <w:t xml:space="preserve"> </w:t>
      </w:r>
      <w:r w:rsidRPr="00622884">
        <w:rPr>
          <w:rFonts w:ascii="Garamond" w:hAnsi="Garamond"/>
          <w:color w:val="000000"/>
          <w:lang w:bidi="sq-AL"/>
        </w:rPr>
        <w:t>Nairobi</w:t>
      </w:r>
    </w:p>
  </w:footnote>
  <w:footnote w:id="118">
    <w:p w14:paraId="7503C83B" w14:textId="77777777" w:rsidR="00622884" w:rsidRPr="00622884" w:rsidRDefault="00622884" w:rsidP="00622884">
      <w:pPr>
        <w:pStyle w:val="FootnoteText"/>
        <w:rPr>
          <w:rFonts w:ascii="Garamond" w:hAnsi="Garamond"/>
          <w:color w:val="000000"/>
        </w:rPr>
      </w:pPr>
      <w:r w:rsidRPr="00622884">
        <w:rPr>
          <w:rStyle w:val="FootnoteReference"/>
          <w:rFonts w:ascii="Garamond" w:hAnsi="Garamond"/>
          <w:color w:val="000000"/>
          <w:lang w:bidi="sq-AL"/>
        </w:rPr>
        <w:footnoteRef/>
      </w:r>
      <w:r w:rsidRPr="00622884">
        <w:rPr>
          <w:rFonts w:ascii="Garamond" w:hAnsi="Garamond"/>
          <w:color w:val="000000"/>
          <w:lang w:bidi="sq-AL"/>
        </w:rPr>
        <w:t xml:space="preserve"> Programi për Mjedisin i Kombeve të Bashkuara (2023). National </w:t>
      </w:r>
      <w:r w:rsidRPr="00622884">
        <w:rPr>
          <w:rFonts w:ascii="Garamond" w:hAnsi="Garamond"/>
          <w:i/>
          <w:color w:val="000000"/>
          <w:lang w:bidi="sq-AL"/>
        </w:rPr>
        <w:t>Adaptation Planning: Emerging Lessons Learned from UNEP Projects</w:t>
      </w:r>
      <w:r w:rsidRPr="00622884">
        <w:rPr>
          <w:rFonts w:ascii="Garamond" w:hAnsi="Garamond"/>
          <w:color w:val="000000"/>
          <w:lang w:bidi="sq-AL"/>
        </w:rPr>
        <w:t xml:space="preserve"> [Plani Kombëtar i Përshtatjes: Mësimet e nxjerra nga projektet e UNEP-it] Nairobi.</w:t>
      </w:r>
    </w:p>
  </w:footnote>
  <w:footnote w:id="119">
    <w:p w14:paraId="2D25669D" w14:textId="77777777" w:rsidR="00622884" w:rsidRPr="00622884" w:rsidRDefault="00622884" w:rsidP="00622884">
      <w:pPr>
        <w:pStyle w:val="FootnoteText"/>
        <w:rPr>
          <w:rFonts w:ascii="Garamond" w:hAnsi="Garamond"/>
          <w:color w:val="000000"/>
        </w:rPr>
      </w:pPr>
      <w:r w:rsidRPr="00622884">
        <w:rPr>
          <w:rStyle w:val="FootnoteReference"/>
          <w:rFonts w:ascii="Garamond" w:hAnsi="Garamond"/>
          <w:color w:val="000000"/>
          <w:lang w:bidi="sq-AL"/>
        </w:rPr>
        <w:footnoteRef/>
      </w:r>
      <w:r w:rsidRPr="00622884">
        <w:rPr>
          <w:rFonts w:ascii="Garamond" w:hAnsi="Garamond"/>
          <w:color w:val="000000"/>
          <w:lang w:bidi="sq-AL"/>
        </w:rPr>
        <w:t xml:space="preserve"> Komunikim prej Komisionit drejtuar Parlamentit Evropian, Këshillit, Komitetit Ekonomik dhe Social Evropian dhe Komitetit të Rajoneve. Krijimi i një Evrope të qëndrueshme ndaj klimës – Strategjia e re e BE-së për përshtatjen ndaj ndryshimeve klimatike (2021).</w:t>
      </w:r>
    </w:p>
  </w:footnote>
  <w:footnote w:id="120">
    <w:p w14:paraId="0EDE4D29" w14:textId="77777777" w:rsidR="00622884" w:rsidRPr="00622884" w:rsidRDefault="00622884" w:rsidP="00622884">
      <w:pPr>
        <w:pStyle w:val="FootnoteText"/>
        <w:rPr>
          <w:rFonts w:ascii="Garamond" w:hAnsi="Garamond"/>
          <w:color w:val="000000"/>
        </w:rPr>
      </w:pPr>
      <w:r w:rsidRPr="00622884">
        <w:rPr>
          <w:rStyle w:val="FootnoteReference"/>
          <w:rFonts w:ascii="Garamond" w:hAnsi="Garamond"/>
          <w:color w:val="000000"/>
          <w:lang w:bidi="sq-AL"/>
        </w:rPr>
        <w:footnoteRef/>
      </w:r>
      <w:r w:rsidRPr="00622884">
        <w:rPr>
          <w:rFonts w:ascii="Garamond" w:hAnsi="Garamond"/>
          <w:color w:val="000000"/>
          <w:lang w:bidi="sq-AL"/>
        </w:rPr>
        <w:t xml:space="preserve"> P.sh. Vendet e ulëta kanë një strategji përshtatjeje me klimën të bazuar tek uji.</w:t>
      </w:r>
    </w:p>
  </w:footnote>
  <w:footnote w:id="121">
    <w:p w14:paraId="0142D33F" w14:textId="77777777" w:rsidR="00622884" w:rsidRPr="00622884" w:rsidRDefault="00622884" w:rsidP="00622884">
      <w:pPr>
        <w:pStyle w:val="FootnoteText"/>
        <w:rPr>
          <w:rFonts w:ascii="Garamond" w:hAnsi="Garamond"/>
          <w:color w:val="000000"/>
        </w:rPr>
      </w:pPr>
      <w:r w:rsidRPr="00622884">
        <w:rPr>
          <w:rStyle w:val="FootnoteReference"/>
          <w:rFonts w:ascii="Garamond" w:hAnsi="Garamond"/>
          <w:color w:val="000000"/>
          <w:lang w:bidi="sq-AL"/>
        </w:rPr>
        <w:footnoteRef/>
      </w:r>
      <w:r w:rsidRPr="00622884">
        <w:rPr>
          <w:rFonts w:ascii="Garamond" w:hAnsi="Garamond"/>
          <w:color w:val="000000"/>
          <w:lang w:bidi="sq-AL"/>
        </w:rPr>
        <w:t xml:space="preserve"> Miratuar në vitin 2020.</w:t>
      </w:r>
    </w:p>
  </w:footnote>
  <w:footnote w:id="122">
    <w:p w14:paraId="7BAED7F2" w14:textId="77777777" w:rsidR="00622884" w:rsidRPr="00622884" w:rsidRDefault="00622884" w:rsidP="00622884">
      <w:pPr>
        <w:pStyle w:val="FootnoteText"/>
        <w:rPr>
          <w:rFonts w:ascii="Garamond" w:hAnsi="Garamond"/>
          <w:color w:val="000000"/>
        </w:rPr>
      </w:pPr>
      <w:r w:rsidRPr="00622884">
        <w:rPr>
          <w:rFonts w:ascii="Garamond" w:hAnsi="Garamond"/>
          <w:color w:val="000000"/>
          <w:vertAlign w:val="superscript"/>
          <w:lang w:bidi="sq-AL"/>
        </w:rPr>
        <w:footnoteRef/>
      </w:r>
      <w:r w:rsidRPr="00622884">
        <w:rPr>
          <w:rFonts w:ascii="Garamond" w:hAnsi="Garamond"/>
          <w:color w:val="000000"/>
          <w:lang w:bidi="sq-AL"/>
        </w:rPr>
        <w:t xml:space="preserve"> Miratuar me VKM-në nr. 466, datë 3.7.2019, si pjesë e “Dokumentit strategjik dhe planeve kombëtare për reduktimin e gazeve serrë dhe përshtatjen ndaj ndryshimeve klimatike”.</w:t>
      </w:r>
    </w:p>
  </w:footnote>
  <w:footnote w:id="123">
    <w:p w14:paraId="7D9F6ABA" w14:textId="77777777" w:rsidR="00622884" w:rsidRPr="00622884" w:rsidRDefault="00622884" w:rsidP="00622884">
      <w:pPr>
        <w:pStyle w:val="FootnoteText"/>
        <w:rPr>
          <w:rFonts w:ascii="Garamond" w:hAnsi="Garamond"/>
          <w:color w:val="000000"/>
        </w:rPr>
      </w:pPr>
      <w:r w:rsidRPr="00622884">
        <w:rPr>
          <w:rStyle w:val="FootnoteReference"/>
          <w:rFonts w:ascii="Garamond" w:hAnsi="Garamond"/>
          <w:color w:val="000000"/>
          <w:lang w:bidi="sq-AL"/>
        </w:rPr>
        <w:footnoteRef/>
      </w:r>
      <w:r w:rsidRPr="00622884">
        <w:rPr>
          <w:rFonts w:ascii="Garamond" w:hAnsi="Garamond"/>
          <w:color w:val="000000"/>
          <w:lang w:bidi="sq-AL"/>
        </w:rPr>
        <w:t xml:space="preserve"> Fushat e ndërhyrjes: rezultatet e përshtatjes; orientimi i zbatimit të PKP-së; integrimi; financimi për klimën; komunikimi dhe mbulimi; organizimi institucional dhe zhvillimi i kapaciteteve.</w:t>
      </w:r>
    </w:p>
  </w:footnote>
  <w:footnote w:id="124">
    <w:p w14:paraId="67CE6B10" w14:textId="77777777" w:rsidR="00622884" w:rsidRPr="00622884" w:rsidRDefault="00622884" w:rsidP="00622884">
      <w:pPr>
        <w:pStyle w:val="FootnoteText"/>
        <w:rPr>
          <w:rFonts w:ascii="Garamond" w:hAnsi="Garamond"/>
          <w:color w:val="000000"/>
          <w:lang w:val="it-IT"/>
        </w:rPr>
      </w:pPr>
      <w:r w:rsidRPr="00622884">
        <w:rPr>
          <w:rStyle w:val="FootnoteReference"/>
          <w:rFonts w:ascii="Garamond" w:hAnsi="Garamond"/>
          <w:color w:val="000000"/>
          <w:lang w:bidi="sq-AL"/>
        </w:rPr>
        <w:footnoteRef/>
      </w:r>
      <w:r w:rsidRPr="00622884">
        <w:rPr>
          <w:rFonts w:ascii="Garamond" w:hAnsi="Garamond"/>
          <w:color w:val="000000"/>
          <w:lang w:bidi="sq-AL"/>
        </w:rPr>
        <w:t xml:space="preserve"> Raporti i progresit për PKP-në. Statusi i zbatimit të PKP-së. Hartuar në kuadër të projektit të UNDP-së për PKP-në. Ministria e Mjedisit, 2023.</w:t>
      </w:r>
    </w:p>
  </w:footnote>
  <w:footnote w:id="125">
    <w:p w14:paraId="74EE2AA3" w14:textId="77777777" w:rsidR="00622884" w:rsidRPr="00622884" w:rsidRDefault="00622884" w:rsidP="00622884">
      <w:pPr>
        <w:pStyle w:val="Piedepgina"/>
        <w:spacing w:line="240" w:lineRule="auto"/>
        <w:rPr>
          <w:rFonts w:ascii="Garamond" w:hAnsi="Garamond" w:cs="Arial"/>
          <w:color w:val="000000"/>
          <w:sz w:val="20"/>
          <w:szCs w:val="20"/>
          <w:highlight w:val="yellow"/>
        </w:rPr>
      </w:pPr>
      <w:r w:rsidRPr="00622884">
        <w:rPr>
          <w:rStyle w:val="FootnoteReference"/>
          <w:rFonts w:ascii="Garamond" w:hAnsi="Garamond" w:cs="Arial"/>
          <w:color w:val="000000"/>
          <w:sz w:val="20"/>
          <w:szCs w:val="20"/>
          <w:lang w:bidi="sq-AL"/>
        </w:rPr>
        <w:footnoteRef/>
      </w:r>
      <w:r w:rsidRPr="00622884">
        <w:rPr>
          <w:rFonts w:ascii="Garamond" w:hAnsi="Garamond" w:cs="Arial"/>
          <w:color w:val="000000"/>
          <w:sz w:val="20"/>
          <w:szCs w:val="20"/>
          <w:lang w:bidi="sq-AL"/>
        </w:rPr>
        <w:t xml:space="preserve"> Raporti i progresit për PKP-në. Statusi i zbatimit të PKP-së. Hartuar në kuadër të projektit të UNDP-së për PKP-në. Ministria e Mjedisit, 2023.</w:t>
      </w:r>
    </w:p>
  </w:footnote>
  <w:footnote w:id="126">
    <w:p w14:paraId="6FE6A9A5" w14:textId="77777777" w:rsidR="00622884" w:rsidRPr="00622884" w:rsidRDefault="00622884" w:rsidP="00622884">
      <w:pPr>
        <w:pStyle w:val="FootnoteText"/>
        <w:rPr>
          <w:rFonts w:ascii="Garamond" w:hAnsi="Garamond"/>
          <w:color w:val="000000"/>
        </w:rPr>
      </w:pPr>
      <w:r w:rsidRPr="00622884">
        <w:rPr>
          <w:rStyle w:val="FootnoteReference"/>
          <w:rFonts w:ascii="Garamond" w:hAnsi="Garamond"/>
          <w:color w:val="000000"/>
          <w:lang w:bidi="sq-AL"/>
        </w:rPr>
        <w:footnoteRef/>
      </w:r>
      <w:r w:rsidRPr="00622884">
        <w:rPr>
          <w:rFonts w:ascii="Garamond" w:hAnsi="Garamond"/>
          <w:color w:val="000000"/>
          <w:lang w:bidi="sq-AL"/>
        </w:rPr>
        <w:t xml:space="preserve"> INSTAT, 2024.</w:t>
      </w:r>
    </w:p>
  </w:footnote>
  <w:footnote w:id="127">
    <w:p w14:paraId="7F0717A6" w14:textId="77777777" w:rsidR="00622884" w:rsidRPr="00622884" w:rsidRDefault="00622884" w:rsidP="00622884">
      <w:pPr>
        <w:pStyle w:val="FootnoteText"/>
        <w:rPr>
          <w:rFonts w:ascii="Garamond" w:hAnsi="Garamond"/>
          <w:color w:val="000000"/>
        </w:rPr>
      </w:pPr>
      <w:r w:rsidRPr="00622884">
        <w:rPr>
          <w:rStyle w:val="FootnoteReference"/>
          <w:rFonts w:ascii="Garamond" w:hAnsi="Garamond"/>
          <w:color w:val="000000"/>
          <w:lang w:bidi="sq-AL"/>
        </w:rPr>
        <w:footnoteRef/>
      </w:r>
      <w:r w:rsidRPr="00622884">
        <w:rPr>
          <w:rFonts w:ascii="Garamond" w:hAnsi="Garamond"/>
          <w:color w:val="000000"/>
          <w:lang w:bidi="sq-AL"/>
        </w:rPr>
        <w:t xml:space="preserve"> INSTAT, 2023.</w:t>
      </w:r>
    </w:p>
  </w:footnote>
  <w:footnote w:id="128">
    <w:p w14:paraId="4E232D1F" w14:textId="77777777" w:rsidR="00622884" w:rsidRPr="00622884" w:rsidRDefault="00622884" w:rsidP="00622884">
      <w:pPr>
        <w:pStyle w:val="FootnoteText"/>
        <w:rPr>
          <w:rFonts w:ascii="Garamond" w:hAnsi="Garamond"/>
          <w:color w:val="000000"/>
        </w:rPr>
      </w:pPr>
      <w:r w:rsidRPr="00622884">
        <w:rPr>
          <w:rStyle w:val="FootnoteReference"/>
          <w:rFonts w:ascii="Garamond" w:hAnsi="Garamond"/>
          <w:color w:val="000000"/>
          <w:lang w:bidi="sq-AL"/>
        </w:rPr>
        <w:footnoteRef/>
      </w:r>
      <w:r w:rsidRPr="00622884">
        <w:rPr>
          <w:rFonts w:ascii="Garamond" w:hAnsi="Garamond"/>
          <w:color w:val="000000"/>
          <w:lang w:bidi="sq-AL"/>
        </w:rPr>
        <w:t xml:space="preserve"> Profili i riskut klimatik për vendin, Shqipëri (2021).</w:t>
      </w:r>
    </w:p>
  </w:footnote>
  <w:footnote w:id="129">
    <w:p w14:paraId="3686D4CE" w14:textId="77777777" w:rsidR="00622884" w:rsidRPr="00622884" w:rsidRDefault="00622884" w:rsidP="00622884">
      <w:pPr>
        <w:pStyle w:val="FootnoteText"/>
        <w:rPr>
          <w:rFonts w:ascii="Garamond" w:hAnsi="Garamond"/>
          <w:color w:val="000000"/>
        </w:rPr>
      </w:pPr>
      <w:r w:rsidRPr="00622884">
        <w:rPr>
          <w:rStyle w:val="FootnoteReference"/>
          <w:rFonts w:ascii="Garamond" w:hAnsi="Garamond"/>
          <w:color w:val="000000"/>
          <w:lang w:bidi="sq-AL"/>
        </w:rPr>
        <w:footnoteRef/>
      </w:r>
      <w:r w:rsidRPr="00622884">
        <w:rPr>
          <w:rFonts w:ascii="Garamond" w:hAnsi="Garamond"/>
          <w:color w:val="000000"/>
          <w:lang w:bidi="sq-AL"/>
        </w:rPr>
        <w:t xml:space="preserve"> INSTAT (Instituti i Statistikave të Shqipërisë), 2023.</w:t>
      </w:r>
    </w:p>
  </w:footnote>
  <w:footnote w:id="130">
    <w:p w14:paraId="6D9EB4CE" w14:textId="77777777" w:rsidR="00622884" w:rsidRPr="00622884" w:rsidRDefault="00622884" w:rsidP="00622884">
      <w:pPr>
        <w:pStyle w:val="FootnoteText"/>
        <w:rPr>
          <w:rFonts w:ascii="Garamond" w:hAnsi="Garamond"/>
          <w:color w:val="000000"/>
        </w:rPr>
      </w:pPr>
      <w:r w:rsidRPr="00622884">
        <w:rPr>
          <w:rStyle w:val="FootnoteReference"/>
          <w:rFonts w:ascii="Garamond" w:hAnsi="Garamond"/>
          <w:color w:val="000000"/>
          <w:lang w:bidi="sq-AL"/>
        </w:rPr>
        <w:footnoteRef/>
      </w:r>
      <w:r w:rsidRPr="00622884">
        <w:rPr>
          <w:rFonts w:ascii="Garamond" w:hAnsi="Garamond"/>
          <w:color w:val="000000"/>
          <w:lang w:bidi="sq-AL"/>
        </w:rPr>
        <w:t xml:space="preserve"> FMN: 2024, Konsultim për nenin iv</w:t>
      </w:r>
      <w:r w:rsidRPr="00851E6F">
        <w:rPr>
          <w:rFonts w:ascii="Garamond" w:hAnsi="Garamond"/>
        </w:rPr>
        <w:t>–</w:t>
      </w:r>
      <w:r w:rsidRPr="00622884">
        <w:rPr>
          <w:rFonts w:ascii="Garamond" w:hAnsi="Garamond"/>
          <w:color w:val="000000"/>
          <w:lang w:bidi="sq-AL"/>
        </w:rPr>
        <w:t>Deklaratë për shtyp; Raport i stafit; dhe deklarata nga drejtori ekzekutiv për Shqipërinë, 2025.</w:t>
      </w:r>
    </w:p>
  </w:footnote>
  <w:footnote w:id="131">
    <w:p w14:paraId="7C8B3818" w14:textId="77777777" w:rsidR="00622884" w:rsidRPr="00622884" w:rsidRDefault="00622884" w:rsidP="00622884">
      <w:pPr>
        <w:pStyle w:val="FootnoteText"/>
        <w:rPr>
          <w:rFonts w:ascii="Garamond" w:hAnsi="Garamond"/>
          <w:color w:val="000000"/>
        </w:rPr>
      </w:pPr>
      <w:r w:rsidRPr="00622884">
        <w:rPr>
          <w:rStyle w:val="FootnoteReference"/>
          <w:rFonts w:ascii="Garamond" w:hAnsi="Garamond"/>
          <w:color w:val="000000"/>
          <w:lang w:bidi="sq-AL"/>
        </w:rPr>
        <w:footnoteRef/>
      </w:r>
      <w:r w:rsidRPr="00622884">
        <w:rPr>
          <w:rFonts w:ascii="Garamond" w:hAnsi="Garamond"/>
          <w:color w:val="000000"/>
          <w:lang w:bidi="sq-AL"/>
        </w:rPr>
        <w:t xml:space="preserve"> Po aty.</w:t>
      </w:r>
    </w:p>
  </w:footnote>
  <w:footnote w:id="132">
    <w:p w14:paraId="03F3FB44" w14:textId="77777777" w:rsidR="00622884" w:rsidRPr="00622884" w:rsidRDefault="00622884" w:rsidP="00622884">
      <w:pPr>
        <w:pStyle w:val="FootnoteText"/>
        <w:rPr>
          <w:rFonts w:ascii="Garamond" w:hAnsi="Garamond"/>
          <w:color w:val="000000"/>
        </w:rPr>
      </w:pPr>
      <w:r w:rsidRPr="00622884">
        <w:rPr>
          <w:rStyle w:val="FootnoteReference"/>
          <w:rFonts w:ascii="Garamond" w:hAnsi="Garamond"/>
          <w:color w:val="000000"/>
          <w:lang w:bidi="sq-AL"/>
        </w:rPr>
        <w:footnoteRef/>
      </w:r>
      <w:r w:rsidRPr="00622884">
        <w:rPr>
          <w:rFonts w:ascii="Garamond" w:hAnsi="Garamond"/>
          <w:color w:val="000000"/>
          <w:lang w:bidi="sq-AL"/>
        </w:rPr>
        <w:t xml:space="preserve"> IZHNJ-ja merr parasysh jetëgjatësinë në lindje, arsimin, të ardhurat kombëtare bruto për frymë, etj.</w:t>
      </w:r>
    </w:p>
  </w:footnote>
  <w:footnote w:id="133">
    <w:p w14:paraId="41FB0DA2" w14:textId="77777777" w:rsidR="00622884" w:rsidRPr="00622884" w:rsidRDefault="00622884" w:rsidP="00622884">
      <w:pPr>
        <w:pStyle w:val="FootnoteText"/>
        <w:rPr>
          <w:rFonts w:ascii="Garamond" w:hAnsi="Garamond"/>
          <w:color w:val="000000"/>
        </w:rPr>
      </w:pPr>
      <w:r w:rsidRPr="00622884">
        <w:rPr>
          <w:rStyle w:val="FootnoteReference"/>
          <w:rFonts w:ascii="Garamond" w:hAnsi="Garamond"/>
          <w:color w:val="000000"/>
          <w:lang w:bidi="sq-AL"/>
        </w:rPr>
        <w:footnoteRef/>
      </w:r>
      <w:r w:rsidRPr="00622884">
        <w:rPr>
          <w:rFonts w:ascii="Garamond" w:hAnsi="Garamond"/>
          <w:color w:val="000000"/>
          <w:lang w:bidi="sq-AL"/>
        </w:rPr>
        <w:t xml:space="preserve"> Po aty.</w:t>
      </w:r>
    </w:p>
  </w:footnote>
  <w:footnote w:id="134">
    <w:p w14:paraId="5746E6F4" w14:textId="77777777" w:rsidR="00622884" w:rsidRPr="00622884" w:rsidRDefault="00622884" w:rsidP="00622884">
      <w:pPr>
        <w:pStyle w:val="Heading1"/>
        <w:shd w:val="clear" w:color="auto" w:fill="FAFAFA"/>
        <w:spacing w:before="0" w:line="240" w:lineRule="auto"/>
        <w:rPr>
          <w:rFonts w:ascii="Garamond" w:hAnsi="Garamond" w:cs="Arial"/>
          <w:color w:val="000000"/>
          <w:sz w:val="20"/>
          <w:szCs w:val="20"/>
        </w:rPr>
      </w:pPr>
      <w:r w:rsidRPr="00622884">
        <w:rPr>
          <w:rFonts w:ascii="Garamond" w:hAnsi="Garamond" w:cs="Arial"/>
          <w:color w:val="000000"/>
          <w:sz w:val="20"/>
          <w:szCs w:val="20"/>
          <w:vertAlign w:val="superscript"/>
          <w:lang w:bidi="sq-AL"/>
        </w:rPr>
        <w:footnoteRef/>
      </w:r>
      <w:r w:rsidRPr="00622884">
        <w:rPr>
          <w:rFonts w:ascii="Garamond" w:hAnsi="Garamond" w:cs="Arial"/>
          <w:color w:val="000000"/>
          <w:sz w:val="20"/>
          <w:szCs w:val="20"/>
          <w:lang w:bidi="sq-AL"/>
        </w:rPr>
        <w:t xml:space="preserve"> </w:t>
      </w:r>
      <w:r w:rsidRPr="00622884">
        <w:rPr>
          <w:rFonts w:ascii="Garamond" w:hAnsi="Garamond" w:cs="Arial"/>
          <w:i/>
          <w:color w:val="000000"/>
          <w:sz w:val="20"/>
          <w:szCs w:val="20"/>
          <w:lang w:bidi="sq-AL"/>
        </w:rPr>
        <w:t>The Future of Water in Agriculture in Albania: A Broad Sector Rethinking</w:t>
      </w:r>
      <w:r w:rsidRPr="00622884">
        <w:rPr>
          <w:rFonts w:ascii="Garamond" w:hAnsi="Garamond" w:cs="Arial"/>
          <w:color w:val="000000"/>
          <w:sz w:val="20"/>
          <w:szCs w:val="20"/>
          <w:lang w:bidi="sq-AL"/>
        </w:rPr>
        <w:t xml:space="preserve"> [E ardhmja e ujit për bujqësinë në Shqipëri: Një rikonceptim i gjerë sektorial], Banka Botërore, 2014.</w:t>
      </w:r>
    </w:p>
  </w:footnote>
  <w:footnote w:id="135">
    <w:p w14:paraId="5616F615" w14:textId="77777777" w:rsidR="00622884" w:rsidRPr="00622884" w:rsidRDefault="00622884" w:rsidP="00622884">
      <w:pPr>
        <w:pStyle w:val="FootnoteText"/>
        <w:rPr>
          <w:rFonts w:ascii="Garamond" w:hAnsi="Garamond"/>
          <w:color w:val="000000"/>
        </w:rPr>
      </w:pPr>
      <w:r w:rsidRPr="00622884">
        <w:rPr>
          <w:rStyle w:val="FootnoteReference"/>
          <w:rFonts w:ascii="Garamond" w:hAnsi="Garamond"/>
          <w:color w:val="000000"/>
          <w:lang w:bidi="sq-AL"/>
        </w:rPr>
        <w:footnoteRef/>
      </w:r>
      <w:r w:rsidRPr="00622884">
        <w:rPr>
          <w:rFonts w:ascii="Garamond" w:hAnsi="Garamond"/>
          <w:color w:val="000000"/>
          <w:lang w:bidi="sq-AL"/>
        </w:rPr>
        <w:t xml:space="preserve"> </w:t>
      </w:r>
      <w:bookmarkStart w:id="223" w:name="_Hlk171413362"/>
      <w:r w:rsidRPr="00622884">
        <w:rPr>
          <w:rFonts w:ascii="Garamond" w:hAnsi="Garamond"/>
          <w:i/>
          <w:color w:val="000000"/>
          <w:lang w:bidi="sq-AL"/>
        </w:rPr>
        <w:t>Report on Socio-Economic Scenarios</w:t>
      </w:r>
      <w:r w:rsidRPr="00622884">
        <w:rPr>
          <w:rFonts w:ascii="Garamond" w:hAnsi="Garamond"/>
          <w:color w:val="000000"/>
          <w:lang w:bidi="sq-AL"/>
        </w:rPr>
        <w:t xml:space="preserve"> [Raport për skenarët socio-ekonomikë]. Hartuar në kuadër të projektit të UNDP-së për PKP-në 2023</w:t>
      </w:r>
      <w:r w:rsidRPr="00851E6F">
        <w:rPr>
          <w:rFonts w:ascii="Garamond" w:hAnsi="Garamond"/>
        </w:rPr>
        <w:t>–</w:t>
      </w:r>
      <w:r w:rsidRPr="00622884">
        <w:rPr>
          <w:rFonts w:ascii="Garamond" w:hAnsi="Garamond"/>
          <w:color w:val="000000"/>
          <w:lang w:bidi="sq-AL"/>
        </w:rPr>
        <w:t>2025.</w:t>
      </w:r>
      <w:bookmarkEnd w:id="223"/>
    </w:p>
  </w:footnote>
  <w:footnote w:id="136">
    <w:p w14:paraId="49EB5C7E" w14:textId="77777777" w:rsidR="00622884" w:rsidRPr="00622884" w:rsidRDefault="00622884" w:rsidP="00622884">
      <w:pPr>
        <w:pStyle w:val="FootnoteText"/>
        <w:rPr>
          <w:rFonts w:ascii="Garamond" w:hAnsi="Garamond"/>
          <w:color w:val="000000"/>
        </w:rPr>
      </w:pPr>
      <w:r w:rsidRPr="00622884">
        <w:rPr>
          <w:rFonts w:ascii="Garamond" w:hAnsi="Garamond"/>
          <w:color w:val="000000"/>
          <w:vertAlign w:val="superscript"/>
          <w:lang w:bidi="sq-AL"/>
        </w:rPr>
        <w:footnoteRef/>
      </w:r>
      <w:r w:rsidRPr="00622884">
        <w:rPr>
          <w:rFonts w:ascii="Garamond" w:hAnsi="Garamond"/>
          <w:color w:val="000000"/>
          <w:lang w:bidi="sq-AL"/>
        </w:rPr>
        <w:t xml:space="preserve"> Po aty.</w:t>
      </w:r>
    </w:p>
  </w:footnote>
  <w:footnote w:id="137">
    <w:p w14:paraId="654837F2" w14:textId="77777777" w:rsidR="00622884" w:rsidRPr="00622884" w:rsidRDefault="00622884" w:rsidP="00622884">
      <w:pPr>
        <w:pStyle w:val="FootnoteText"/>
        <w:rPr>
          <w:rFonts w:ascii="Garamond" w:hAnsi="Garamond"/>
          <w:color w:val="000000"/>
        </w:rPr>
      </w:pPr>
      <w:r w:rsidRPr="00622884">
        <w:rPr>
          <w:rFonts w:ascii="Garamond" w:hAnsi="Garamond"/>
          <w:color w:val="000000"/>
          <w:vertAlign w:val="superscript"/>
          <w:lang w:bidi="sq-AL"/>
        </w:rPr>
        <w:footnoteRef/>
      </w:r>
      <w:r w:rsidRPr="00622884">
        <w:rPr>
          <w:rFonts w:ascii="Garamond" w:hAnsi="Garamond"/>
          <w:color w:val="000000"/>
          <w:lang w:bidi="sq-AL"/>
        </w:rPr>
        <w:t xml:space="preserve"> Portali i Bankës Botërore për të Dhënat Gjinore, “Profili Ekonomik i Shqipërisë”, 2023.</w:t>
      </w:r>
    </w:p>
  </w:footnote>
  <w:footnote w:id="138">
    <w:p w14:paraId="1E972784" w14:textId="77777777" w:rsidR="00622884" w:rsidRPr="00622884" w:rsidRDefault="00622884" w:rsidP="00622884">
      <w:pPr>
        <w:pStyle w:val="FootnoteText"/>
        <w:rPr>
          <w:rFonts w:ascii="Garamond" w:hAnsi="Garamond"/>
          <w:color w:val="000000"/>
        </w:rPr>
      </w:pPr>
      <w:r w:rsidRPr="00622884">
        <w:rPr>
          <w:rStyle w:val="FootnoteReference"/>
          <w:rFonts w:ascii="Garamond" w:hAnsi="Garamond"/>
          <w:color w:val="000000"/>
          <w:lang w:bidi="sq-AL"/>
        </w:rPr>
        <w:footnoteRef/>
      </w:r>
      <w:r w:rsidRPr="00622884">
        <w:rPr>
          <w:rFonts w:ascii="Garamond" w:hAnsi="Garamond"/>
          <w:color w:val="000000"/>
          <w:lang w:bidi="sq-AL"/>
        </w:rPr>
        <w:t xml:space="preserve"> Plani i Veprimit për Barazinë Gjinore (PVBGJ) i Planit Kombëtar të Përshtatjes (PKP) të Shqipërisë. Hartuar në kuadër të Projektit të PKP-së nga UNDP-ja, 2023</w:t>
      </w:r>
      <w:r w:rsidRPr="00851E6F">
        <w:rPr>
          <w:rFonts w:ascii="Garamond" w:hAnsi="Garamond"/>
        </w:rPr>
        <w:t>–</w:t>
      </w:r>
      <w:r w:rsidRPr="00622884">
        <w:rPr>
          <w:rFonts w:ascii="Garamond" w:hAnsi="Garamond"/>
          <w:color w:val="000000"/>
          <w:lang w:bidi="sq-AL"/>
        </w:rPr>
        <w:t>2025.</w:t>
      </w:r>
    </w:p>
  </w:footnote>
  <w:footnote w:id="139">
    <w:p w14:paraId="27D3BC4F" w14:textId="77777777" w:rsidR="00622884" w:rsidRPr="00622884" w:rsidRDefault="00622884" w:rsidP="00622884">
      <w:pPr>
        <w:pStyle w:val="FootnoteText"/>
        <w:rPr>
          <w:rFonts w:ascii="Garamond" w:hAnsi="Garamond"/>
          <w:color w:val="000000"/>
        </w:rPr>
      </w:pPr>
      <w:r w:rsidRPr="00622884">
        <w:rPr>
          <w:rStyle w:val="FootnoteReference"/>
          <w:rFonts w:ascii="Garamond" w:hAnsi="Garamond"/>
          <w:color w:val="000000"/>
          <w:lang w:bidi="sq-AL"/>
        </w:rPr>
        <w:footnoteRef/>
      </w:r>
      <w:r w:rsidRPr="00622884">
        <w:rPr>
          <w:rFonts w:ascii="Garamond" w:hAnsi="Garamond"/>
          <w:color w:val="000000"/>
          <w:lang w:bidi="sq-AL"/>
        </w:rPr>
        <w:t xml:space="preserve"> Bujqësia dhe pylltaria, turizmi, energjia, transporti, zhvillimi urban.</w:t>
      </w:r>
    </w:p>
  </w:footnote>
  <w:footnote w:id="140">
    <w:p w14:paraId="00EBF5E0" w14:textId="77777777" w:rsidR="00622884" w:rsidRPr="00622884" w:rsidRDefault="00622884" w:rsidP="00622884">
      <w:pPr>
        <w:pStyle w:val="FootnoteText"/>
        <w:rPr>
          <w:rFonts w:ascii="Garamond" w:hAnsi="Garamond"/>
          <w:color w:val="000000"/>
        </w:rPr>
      </w:pPr>
      <w:r w:rsidRPr="00622884">
        <w:rPr>
          <w:rStyle w:val="FootnoteReference"/>
          <w:rFonts w:ascii="Garamond" w:hAnsi="Garamond"/>
          <w:color w:val="000000"/>
          <w:lang w:bidi="sq-AL"/>
        </w:rPr>
        <w:footnoteRef/>
      </w:r>
      <w:r w:rsidRPr="00622884">
        <w:rPr>
          <w:rFonts w:ascii="Garamond" w:hAnsi="Garamond"/>
          <w:color w:val="000000"/>
          <w:lang w:bidi="sq-AL"/>
        </w:rPr>
        <w:t xml:space="preserve"> </w:t>
      </w:r>
      <w:hyperlink r:id="rId15" w:history="1">
        <w:r w:rsidRPr="00622884">
          <w:rPr>
            <w:rStyle w:val="Hyperlink"/>
            <w:rFonts w:ascii="Garamond" w:hAnsi="Garamond"/>
            <w:color w:val="000000"/>
            <w:lang w:bidi="sq-AL"/>
          </w:rPr>
          <w:t>Shqipëri - Shpërndarja e PBB-së sipas sektorëve ekonomikë 2013</w:t>
        </w:r>
        <w:r w:rsidRPr="00197A2C">
          <w:rPr>
            <w:rFonts w:ascii="Garamond" w:hAnsi="Garamond"/>
          </w:rPr>
          <w:t>–</w:t>
        </w:r>
        <w:r w:rsidRPr="00622884">
          <w:rPr>
            <w:rStyle w:val="Hyperlink"/>
            <w:rFonts w:ascii="Garamond" w:hAnsi="Garamond"/>
            <w:color w:val="000000"/>
            <w:lang w:bidi="sq-AL"/>
          </w:rPr>
          <w:t>2023| Statista</w:t>
        </w:r>
      </w:hyperlink>
    </w:p>
  </w:footnote>
  <w:footnote w:id="141">
    <w:p w14:paraId="77443750" w14:textId="77777777" w:rsidR="00622884" w:rsidRPr="00622884" w:rsidRDefault="00622884" w:rsidP="00622884">
      <w:pPr>
        <w:spacing w:after="0" w:line="240" w:lineRule="auto"/>
        <w:rPr>
          <w:rFonts w:ascii="Garamond" w:hAnsi="Garamond" w:cs="Arial"/>
          <w:color w:val="000000"/>
          <w:sz w:val="20"/>
          <w:szCs w:val="20"/>
        </w:rPr>
      </w:pPr>
      <w:r w:rsidRPr="00622884">
        <w:rPr>
          <w:rStyle w:val="FootnoteReference"/>
          <w:rFonts w:ascii="Garamond" w:hAnsi="Garamond" w:cs="Arial"/>
          <w:color w:val="000000"/>
          <w:sz w:val="20"/>
          <w:szCs w:val="20"/>
          <w:lang w:bidi="sq-AL"/>
        </w:rPr>
        <w:footnoteRef/>
      </w:r>
      <w:r w:rsidRPr="00622884">
        <w:rPr>
          <w:rFonts w:ascii="Garamond" w:hAnsi="Garamond" w:cs="Arial"/>
          <w:color w:val="000000"/>
          <w:sz w:val="20"/>
          <w:szCs w:val="20"/>
          <w:lang w:bidi="sq-AL"/>
        </w:rPr>
        <w:t xml:space="preserve"> Raporti kombëtar dhe sektorial për zhvillimin e skenarëve. Hartuar në kuadër të projektit të UNDP-së për PKP-në. Ministria e Mjedisit, 2023</w:t>
      </w:r>
      <w:r w:rsidRPr="00851E6F">
        <w:rPr>
          <w:rFonts w:ascii="Garamond" w:hAnsi="Garamond" w:cs="Times New Roman"/>
          <w:sz w:val="20"/>
          <w:szCs w:val="20"/>
        </w:rPr>
        <w:t>–</w:t>
      </w:r>
      <w:r w:rsidRPr="00622884">
        <w:rPr>
          <w:rFonts w:ascii="Garamond" w:hAnsi="Garamond" w:cs="Arial"/>
          <w:color w:val="000000"/>
          <w:sz w:val="20"/>
          <w:szCs w:val="20"/>
          <w:lang w:bidi="sq-AL"/>
        </w:rPr>
        <w:t xml:space="preserve">2025. </w:t>
      </w:r>
    </w:p>
  </w:footnote>
  <w:footnote w:id="142">
    <w:p w14:paraId="0F0AE6F6" w14:textId="77777777" w:rsidR="00622884" w:rsidRPr="00622884" w:rsidRDefault="00622884" w:rsidP="00622884">
      <w:pPr>
        <w:pStyle w:val="Piedepgina"/>
        <w:spacing w:line="240" w:lineRule="auto"/>
        <w:rPr>
          <w:rFonts w:ascii="Garamond" w:hAnsi="Garamond" w:cs="Arial"/>
          <w:color w:val="000000"/>
          <w:sz w:val="20"/>
          <w:szCs w:val="20"/>
        </w:rPr>
      </w:pPr>
      <w:r w:rsidRPr="00622884">
        <w:rPr>
          <w:rStyle w:val="FootnoteReference"/>
          <w:rFonts w:ascii="Garamond" w:hAnsi="Garamond" w:cs="Arial"/>
          <w:color w:val="000000"/>
          <w:sz w:val="20"/>
          <w:szCs w:val="20"/>
          <w:lang w:bidi="sq-AL"/>
        </w:rPr>
        <w:footnoteRef/>
      </w:r>
      <w:r w:rsidRPr="00622884">
        <w:rPr>
          <w:rFonts w:ascii="Garamond" w:hAnsi="Garamond" w:cs="Arial"/>
          <w:color w:val="000000"/>
          <w:sz w:val="20"/>
          <w:szCs w:val="20"/>
          <w:lang w:bidi="sq-AL"/>
        </w:rPr>
        <w:t xml:space="preserve"> SKZHIE III (2022</w:t>
      </w:r>
      <w:r w:rsidRPr="00851E6F">
        <w:rPr>
          <w:rFonts w:ascii="Garamond" w:hAnsi="Garamond" w:cs="Times New Roman"/>
          <w:sz w:val="20"/>
          <w:szCs w:val="20"/>
        </w:rPr>
        <w:t>–</w:t>
      </w:r>
      <w:r w:rsidRPr="00622884">
        <w:rPr>
          <w:rFonts w:ascii="Garamond" w:hAnsi="Garamond" w:cs="Arial"/>
          <w:color w:val="000000"/>
          <w:sz w:val="20"/>
          <w:szCs w:val="20"/>
          <w:lang w:bidi="sq-AL"/>
        </w:rPr>
        <w:t>2030).</w:t>
      </w:r>
    </w:p>
  </w:footnote>
  <w:footnote w:id="143">
    <w:p w14:paraId="304B23CA" w14:textId="77777777" w:rsidR="00622884" w:rsidRPr="00622884" w:rsidRDefault="00622884" w:rsidP="00622884">
      <w:pPr>
        <w:pStyle w:val="Piedepgina"/>
        <w:spacing w:line="240" w:lineRule="auto"/>
        <w:rPr>
          <w:rFonts w:ascii="Garamond" w:hAnsi="Garamond" w:cs="Arial"/>
          <w:color w:val="000000"/>
          <w:sz w:val="20"/>
          <w:szCs w:val="20"/>
        </w:rPr>
      </w:pPr>
      <w:r w:rsidRPr="00622884">
        <w:rPr>
          <w:rStyle w:val="FootnoteReference"/>
          <w:rFonts w:ascii="Garamond" w:hAnsi="Garamond" w:cs="Arial"/>
          <w:color w:val="000000"/>
          <w:sz w:val="20"/>
          <w:szCs w:val="20"/>
          <w:lang w:bidi="sq-AL"/>
        </w:rPr>
        <w:footnoteRef/>
      </w:r>
      <w:r w:rsidRPr="00622884">
        <w:rPr>
          <w:rFonts w:ascii="Garamond" w:hAnsi="Garamond" w:cs="Arial"/>
          <w:color w:val="000000"/>
          <w:sz w:val="20"/>
          <w:szCs w:val="20"/>
          <w:lang w:bidi="sq-AL"/>
        </w:rPr>
        <w:t xml:space="preserve"> Komunikimi i katërt kombëtar i Shqipërisë për ndryshimet klimatike, 2022.</w:t>
      </w:r>
    </w:p>
  </w:footnote>
  <w:footnote w:id="144">
    <w:p w14:paraId="4DA8CD9B" w14:textId="77777777" w:rsidR="00622884" w:rsidRPr="00622884" w:rsidRDefault="00622884" w:rsidP="00622884">
      <w:pPr>
        <w:pStyle w:val="FootnoteText"/>
        <w:rPr>
          <w:rFonts w:ascii="Garamond" w:hAnsi="Garamond"/>
          <w:color w:val="000000"/>
        </w:rPr>
      </w:pPr>
      <w:r w:rsidRPr="00622884">
        <w:rPr>
          <w:rStyle w:val="FootnoteReference"/>
          <w:rFonts w:ascii="Garamond" w:hAnsi="Garamond"/>
          <w:color w:val="000000"/>
          <w:lang w:bidi="sq-AL"/>
        </w:rPr>
        <w:footnoteRef/>
      </w:r>
      <w:r w:rsidRPr="00622884">
        <w:rPr>
          <w:rFonts w:ascii="Garamond" w:hAnsi="Garamond"/>
          <w:color w:val="000000"/>
          <w:lang w:bidi="sq-AL"/>
        </w:rPr>
        <w:t xml:space="preserve"> Strategjia Kombëtare për Zhvillim dhe Integrim Evropian 2022</w:t>
      </w:r>
      <w:r w:rsidRPr="00851E6F">
        <w:rPr>
          <w:rFonts w:ascii="Garamond" w:hAnsi="Garamond"/>
        </w:rPr>
        <w:t>–</w:t>
      </w:r>
      <w:r w:rsidRPr="00622884">
        <w:rPr>
          <w:rFonts w:ascii="Garamond" w:hAnsi="Garamond"/>
          <w:color w:val="000000"/>
          <w:lang w:bidi="sq-AL"/>
        </w:rPr>
        <w:t>2030 (2023).</w:t>
      </w:r>
    </w:p>
  </w:footnote>
  <w:footnote w:id="145">
    <w:p w14:paraId="5FE48940" w14:textId="77777777" w:rsidR="00622884" w:rsidRPr="00622884" w:rsidRDefault="00622884" w:rsidP="00622884">
      <w:pPr>
        <w:pStyle w:val="FootnoteText"/>
        <w:rPr>
          <w:rFonts w:ascii="Garamond" w:hAnsi="Garamond"/>
          <w:color w:val="000000"/>
        </w:rPr>
      </w:pPr>
      <w:r w:rsidRPr="00622884">
        <w:rPr>
          <w:rStyle w:val="FootnoteReference"/>
          <w:rFonts w:ascii="Garamond" w:hAnsi="Garamond"/>
          <w:color w:val="000000"/>
          <w:lang w:bidi="sq-AL"/>
        </w:rPr>
        <w:footnoteRef/>
      </w:r>
      <w:r w:rsidRPr="00622884">
        <w:rPr>
          <w:rFonts w:ascii="Garamond" w:hAnsi="Garamond"/>
          <w:color w:val="000000"/>
          <w:lang w:bidi="sq-AL"/>
        </w:rPr>
        <w:t xml:space="preserve"> Mbështetje për plotësimin e mangësive në të dhënat dhe analizat e riskut të përshtatjes. Raporti kombëtar dhe sektorial për zhvillimin e skenarëve. Hartuar në kuadër të Projektit të UNDP-së për PKP-në, janar 2023.</w:t>
      </w:r>
    </w:p>
  </w:footnote>
  <w:footnote w:id="146">
    <w:p w14:paraId="5D724333" w14:textId="77777777" w:rsidR="00622884" w:rsidRPr="00622884" w:rsidRDefault="00622884" w:rsidP="00622884">
      <w:pPr>
        <w:pStyle w:val="FootnoteText"/>
        <w:rPr>
          <w:rFonts w:ascii="Garamond" w:hAnsi="Garamond"/>
          <w:color w:val="000000"/>
        </w:rPr>
      </w:pPr>
      <w:r w:rsidRPr="00622884">
        <w:rPr>
          <w:rStyle w:val="FootnoteReference"/>
          <w:rFonts w:ascii="Garamond" w:hAnsi="Garamond"/>
          <w:color w:val="000000"/>
          <w:lang w:bidi="sq-AL"/>
        </w:rPr>
        <w:footnoteRef/>
      </w:r>
      <w:r w:rsidRPr="00622884">
        <w:rPr>
          <w:rFonts w:ascii="Garamond" w:hAnsi="Garamond"/>
          <w:color w:val="000000"/>
          <w:lang w:bidi="sq-AL"/>
        </w:rPr>
        <w:t xml:space="preserve"> Vlerësimi i kapaciteteve të bashkive dhe nevojave për trajnim për përshtatjen ndaj ndryshimeve klimatike. Përgatitur në kuadër të projektit të UNDP-së për PKP-në, 2023.</w:t>
      </w:r>
    </w:p>
  </w:footnote>
  <w:footnote w:id="147">
    <w:p w14:paraId="0388EB66" w14:textId="77777777" w:rsidR="00622884" w:rsidRPr="00622884" w:rsidRDefault="00622884" w:rsidP="00622884">
      <w:pPr>
        <w:pStyle w:val="FootnoteText"/>
        <w:rPr>
          <w:rFonts w:ascii="Garamond" w:hAnsi="Garamond"/>
          <w:color w:val="000000"/>
          <w:lang w:eastAsia="en-GB"/>
        </w:rPr>
      </w:pPr>
      <w:r w:rsidRPr="00622884">
        <w:rPr>
          <w:rFonts w:ascii="Garamond" w:hAnsi="Garamond"/>
          <w:color w:val="000000"/>
          <w:vertAlign w:val="superscript"/>
          <w:lang w:bidi="sq-AL"/>
        </w:rPr>
        <w:footnoteRef/>
      </w:r>
      <w:r w:rsidRPr="00622884">
        <w:rPr>
          <w:rFonts w:ascii="Garamond" w:hAnsi="Garamond"/>
          <w:color w:val="000000"/>
          <w:lang w:bidi="sq-AL"/>
        </w:rPr>
        <w:t xml:space="preserve"> Instituti i Gjeoshkencave (IGJEO) pjesë e Universitetit Politeknik të Tiranës dhe Shërbimi Meteorologjik Ushtarak pranë Ministrisë së Mbrojtjes.</w:t>
      </w:r>
    </w:p>
  </w:footnote>
  <w:footnote w:id="148">
    <w:p w14:paraId="36BB62CD" w14:textId="77777777" w:rsidR="00622884" w:rsidRPr="00622884" w:rsidRDefault="00622884" w:rsidP="00622884">
      <w:pPr>
        <w:pStyle w:val="FootnoteText"/>
        <w:rPr>
          <w:rFonts w:ascii="Garamond" w:hAnsi="Garamond"/>
          <w:color w:val="000000"/>
        </w:rPr>
      </w:pPr>
      <w:r w:rsidRPr="00622884">
        <w:rPr>
          <w:rStyle w:val="FootnoteReference"/>
          <w:rFonts w:ascii="Garamond" w:hAnsi="Garamond"/>
          <w:color w:val="000000"/>
          <w:lang w:bidi="sq-AL"/>
        </w:rPr>
        <w:footnoteRef/>
      </w:r>
      <w:r w:rsidRPr="00622884">
        <w:rPr>
          <w:rFonts w:ascii="Garamond" w:hAnsi="Garamond"/>
          <w:color w:val="000000"/>
          <w:lang w:bidi="sq-AL"/>
        </w:rPr>
        <w:t xml:space="preserve"> Ministritë e: Financës, Bujqësisë dhe Zhvillimit Rural, Infrastrukturës dhe Energjisë, Arsimit dhe Sportit, Shëndetësisë dhe Mirëqenies Sociale, Ekonomisë, Kulturës dhe Inovacionit, për Evropën dhe Punët e Jashtme, etj. </w:t>
      </w:r>
    </w:p>
  </w:footnote>
  <w:footnote w:id="149">
    <w:p w14:paraId="4DCA1588" w14:textId="77777777" w:rsidR="00622884" w:rsidRPr="00622884" w:rsidRDefault="00622884" w:rsidP="00622884">
      <w:pPr>
        <w:pStyle w:val="FootnoteText"/>
        <w:rPr>
          <w:rFonts w:ascii="Garamond" w:hAnsi="Garamond"/>
          <w:color w:val="000000"/>
        </w:rPr>
      </w:pPr>
      <w:r w:rsidRPr="00622884">
        <w:rPr>
          <w:rStyle w:val="FootnoteReference"/>
          <w:rFonts w:ascii="Garamond" w:hAnsi="Garamond"/>
          <w:color w:val="000000"/>
          <w:lang w:bidi="sq-AL"/>
        </w:rPr>
        <w:footnoteRef/>
      </w:r>
      <w:r w:rsidRPr="00622884">
        <w:rPr>
          <w:rFonts w:ascii="Garamond" w:hAnsi="Garamond"/>
          <w:color w:val="000000"/>
          <w:lang w:bidi="sq-AL"/>
        </w:rPr>
        <w:t xml:space="preserve"> Raporti për vlerësimin e kapaciteteve kombëtare dhe nevojave për trajnime për përshtatjen ndaj ndryshimeve klimatike. Hartuar në kuadër të projektit të UNDP-së për PKP-në, 2023.</w:t>
      </w:r>
    </w:p>
  </w:footnote>
  <w:footnote w:id="150">
    <w:p w14:paraId="5CA8F20C" w14:textId="77777777" w:rsidR="00622884" w:rsidRPr="00622884" w:rsidRDefault="00622884" w:rsidP="00622884">
      <w:pPr>
        <w:pStyle w:val="FootnoteText"/>
        <w:rPr>
          <w:rFonts w:ascii="Garamond" w:hAnsi="Garamond"/>
          <w:color w:val="000000"/>
          <w:highlight w:val="yellow"/>
        </w:rPr>
      </w:pPr>
      <w:r w:rsidRPr="00622884">
        <w:rPr>
          <w:rStyle w:val="FootnoteReference"/>
          <w:rFonts w:ascii="Garamond" w:hAnsi="Garamond"/>
          <w:color w:val="000000"/>
          <w:lang w:bidi="sq-AL"/>
        </w:rPr>
        <w:footnoteRef/>
      </w:r>
      <w:r w:rsidRPr="00622884">
        <w:rPr>
          <w:rFonts w:ascii="Garamond" w:hAnsi="Garamond"/>
          <w:color w:val="000000"/>
          <w:lang w:bidi="sq-AL"/>
        </w:rPr>
        <w:t xml:space="preserve"> Raporti fillestar për procesin e dytë të PKP-së në Shqipëri. Hartuar në kuadër të projektit të UNDP-së për PKP-në, dhjetor 2022.</w:t>
      </w:r>
    </w:p>
  </w:footnote>
  <w:footnote w:id="151">
    <w:p w14:paraId="585AA8EC" w14:textId="77777777" w:rsidR="00622884" w:rsidRPr="00622884" w:rsidRDefault="00622884" w:rsidP="00622884">
      <w:pPr>
        <w:pStyle w:val="FootnoteText"/>
        <w:rPr>
          <w:rFonts w:ascii="Garamond" w:hAnsi="Garamond"/>
          <w:color w:val="000000"/>
        </w:rPr>
      </w:pPr>
      <w:r w:rsidRPr="00622884">
        <w:rPr>
          <w:rStyle w:val="FootnoteReference"/>
          <w:rFonts w:ascii="Garamond" w:hAnsi="Garamond"/>
          <w:color w:val="000000"/>
          <w:lang w:bidi="sq-AL"/>
        </w:rPr>
        <w:footnoteRef/>
      </w:r>
      <w:r w:rsidRPr="00622884">
        <w:rPr>
          <w:rFonts w:ascii="Garamond" w:hAnsi="Garamond"/>
          <w:color w:val="000000"/>
          <w:lang w:bidi="sq-AL"/>
        </w:rPr>
        <w:t xml:space="preserve"> Raporti për vlerësimin e kapaciteteve kombëtare dhe nevojave për trajnime për përshtatjen ndaj ndryshimeve klimatike. Hartuar në kuadër të projektit të UNDP-së për PKP-në, 2023.</w:t>
      </w:r>
    </w:p>
    <w:p w14:paraId="290F5B86" w14:textId="77777777" w:rsidR="00622884" w:rsidRPr="00622884" w:rsidRDefault="00622884" w:rsidP="00622884">
      <w:pPr>
        <w:pStyle w:val="FootnoteText"/>
        <w:rPr>
          <w:rFonts w:ascii="Garamond" w:hAnsi="Garamond"/>
          <w:color w:val="000000"/>
          <w:highlight w:val="yellow"/>
        </w:rPr>
      </w:pPr>
      <w:r w:rsidRPr="00622884">
        <w:rPr>
          <w:rStyle w:val="FootnoteReference"/>
          <w:rFonts w:ascii="Garamond" w:hAnsi="Garamond"/>
          <w:color w:val="000000"/>
          <w:lang w:bidi="sq-AL"/>
        </w:rPr>
        <w:footnoteRef/>
      </w:r>
      <w:r w:rsidRPr="00622884">
        <w:rPr>
          <w:rFonts w:ascii="Garamond" w:hAnsi="Garamond"/>
          <w:color w:val="000000"/>
          <w:lang w:bidi="sq-AL"/>
        </w:rPr>
        <w:t xml:space="preserve"> Raporti fillestar për procesin e dytë të PKP-së në Shqipëri. Hartuar në kuadër të projektit të UNDP-së për PKP-në, dhjetor 2022.</w:t>
      </w:r>
    </w:p>
  </w:footnote>
  <w:footnote w:id="152">
    <w:p w14:paraId="4D36EBD6" w14:textId="77777777" w:rsidR="00622884" w:rsidRPr="00622884" w:rsidRDefault="00622884" w:rsidP="00622884">
      <w:pPr>
        <w:pStyle w:val="FootnoteText"/>
        <w:rPr>
          <w:rFonts w:ascii="Garamond" w:hAnsi="Garamond"/>
          <w:color w:val="000000"/>
        </w:rPr>
      </w:pPr>
      <w:r w:rsidRPr="00622884">
        <w:rPr>
          <w:rStyle w:val="FootnoteReference"/>
          <w:rFonts w:ascii="Garamond" w:hAnsi="Garamond"/>
          <w:color w:val="000000"/>
          <w:lang w:bidi="sq-AL"/>
        </w:rPr>
        <w:footnoteRef/>
      </w:r>
      <w:r w:rsidRPr="00622884">
        <w:rPr>
          <w:rFonts w:ascii="Garamond" w:hAnsi="Garamond"/>
          <w:color w:val="000000"/>
          <w:lang w:bidi="sq-AL"/>
        </w:rPr>
        <w:t xml:space="preserve"> Raporti për vlerësimin e kapaciteteve kombëtare dhe nevojave për trajnime për përshtatjen ndaj ndryshimeve klimatike. Hartuar në kuadër të projektit të UNDP-së për PKP-në, 2023.</w:t>
      </w:r>
    </w:p>
  </w:footnote>
  <w:footnote w:id="153">
    <w:p w14:paraId="4F024782" w14:textId="77777777" w:rsidR="00622884" w:rsidRPr="00622884" w:rsidRDefault="00622884" w:rsidP="00622884">
      <w:pPr>
        <w:pStyle w:val="Piedepgina"/>
        <w:spacing w:line="240" w:lineRule="auto"/>
        <w:rPr>
          <w:rFonts w:ascii="Garamond" w:hAnsi="Garamond" w:cs="Arial"/>
          <w:color w:val="000000"/>
          <w:sz w:val="20"/>
          <w:szCs w:val="20"/>
        </w:rPr>
      </w:pPr>
      <w:r w:rsidRPr="00622884">
        <w:rPr>
          <w:rStyle w:val="FootnoteReference"/>
          <w:rFonts w:ascii="Garamond" w:hAnsi="Garamond" w:cs="Arial"/>
          <w:color w:val="000000"/>
          <w:sz w:val="20"/>
          <w:szCs w:val="20"/>
          <w:lang w:bidi="sq-AL"/>
        </w:rPr>
        <w:footnoteRef/>
      </w:r>
      <w:r w:rsidRPr="00622884">
        <w:rPr>
          <w:rFonts w:ascii="Garamond" w:hAnsi="Garamond" w:cs="Arial"/>
          <w:color w:val="000000"/>
          <w:sz w:val="20"/>
          <w:szCs w:val="20"/>
          <w:lang w:bidi="sq-AL"/>
        </w:rPr>
        <w:t xml:space="preserve"> Një proces ose mjet analitik për shqyrtimin e një politike, plani ose programi për integrimin e elementeve të ndryshimeve klimatike, duke ndjekur dokumentin “Integrimi i përshtatjes ndaj ndryshimeve klimatike në bashkëpunimin për zhvillim: Udhëzim për politikat” (OECD, 2009). Në këtë mënyrë do të bëhet e mundur që një politikëbërës të vendosë nëse një politikë, plan apo program kërcënohet nga ndryshimet klimatike dhe se çfarë ndryshimesh duhen kryer.</w:t>
      </w:r>
    </w:p>
  </w:footnote>
  <w:footnote w:id="154">
    <w:p w14:paraId="257E2D1B" w14:textId="77777777" w:rsidR="00622884" w:rsidRPr="00622884" w:rsidRDefault="00622884" w:rsidP="00622884">
      <w:pPr>
        <w:pStyle w:val="Piedepgina"/>
        <w:spacing w:line="240" w:lineRule="auto"/>
        <w:rPr>
          <w:rFonts w:ascii="Garamond" w:hAnsi="Garamond" w:cs="Arial"/>
          <w:color w:val="000000"/>
          <w:sz w:val="20"/>
          <w:szCs w:val="20"/>
        </w:rPr>
      </w:pPr>
      <w:r w:rsidRPr="00622884">
        <w:rPr>
          <w:rStyle w:val="FootnoteReference"/>
          <w:rFonts w:ascii="Garamond" w:hAnsi="Garamond" w:cs="Arial"/>
          <w:color w:val="000000"/>
          <w:sz w:val="20"/>
          <w:szCs w:val="20"/>
          <w:lang w:bidi="sq-AL"/>
        </w:rPr>
        <w:footnoteRef/>
      </w:r>
      <w:r w:rsidRPr="00622884">
        <w:rPr>
          <w:rFonts w:ascii="Garamond" w:hAnsi="Garamond" w:cs="Arial"/>
          <w:color w:val="000000"/>
          <w:sz w:val="20"/>
          <w:szCs w:val="20"/>
          <w:lang w:bidi="sq-AL"/>
        </w:rPr>
        <w:t xml:space="preserve"> Dokument udhëzues për mënyrën e përfshirjes së përshtatjes në përditësimet e planeve të zhvillimit të sektorëve dhe një vlerësim i integrimit të PNK-së në legjislacionin kombëtar të Shqipërisë, dhe SKZHIE III 2022</w:t>
      </w:r>
      <w:r w:rsidRPr="00851E6F">
        <w:rPr>
          <w:rFonts w:ascii="Garamond" w:hAnsi="Garamond" w:cs="Times New Roman"/>
          <w:sz w:val="20"/>
          <w:szCs w:val="20"/>
        </w:rPr>
        <w:t>–</w:t>
      </w:r>
      <w:r w:rsidRPr="00622884">
        <w:rPr>
          <w:rFonts w:ascii="Garamond" w:hAnsi="Garamond" w:cs="Arial"/>
          <w:color w:val="000000"/>
          <w:sz w:val="20"/>
          <w:szCs w:val="20"/>
          <w:lang w:bidi="sq-AL"/>
        </w:rPr>
        <w:t>2030 për pesë sektorët prioritarë. Përgatitur në kuadër të projektit të UNDP-së për PKP-në.</w:t>
      </w:r>
    </w:p>
  </w:footnote>
  <w:footnote w:id="155">
    <w:p w14:paraId="74952758" w14:textId="77777777" w:rsidR="00622884" w:rsidRPr="00622884" w:rsidRDefault="00622884" w:rsidP="00622884">
      <w:pPr>
        <w:pStyle w:val="Piedepgina"/>
        <w:spacing w:line="240" w:lineRule="auto"/>
        <w:rPr>
          <w:rFonts w:ascii="Garamond" w:hAnsi="Garamond" w:cs="Arial"/>
          <w:color w:val="000000"/>
          <w:sz w:val="20"/>
          <w:szCs w:val="20"/>
        </w:rPr>
      </w:pPr>
      <w:r w:rsidRPr="00622884">
        <w:rPr>
          <w:rStyle w:val="FootnoteReference"/>
          <w:rFonts w:ascii="Garamond" w:hAnsi="Garamond" w:cs="Arial"/>
          <w:color w:val="000000"/>
          <w:sz w:val="20"/>
          <w:szCs w:val="20"/>
          <w:lang w:bidi="sq-AL"/>
        </w:rPr>
        <w:footnoteRef/>
      </w:r>
      <w:r w:rsidRPr="00622884">
        <w:rPr>
          <w:rFonts w:ascii="Garamond" w:hAnsi="Garamond" w:cs="Arial"/>
          <w:color w:val="000000"/>
          <w:sz w:val="20"/>
          <w:szCs w:val="20"/>
          <w:lang w:bidi="sq-AL"/>
        </w:rPr>
        <w:t xml:space="preserve"> Dokument udhëzues për mënyrën e përfshirjes së përshtatjes në përditësimet e planeve të zhvillimit të sektorëve dhe një vlerësim i integrimit të PNK-së në legjislacionin kombëtar të Shqipërisë, dhe SKZHIE III 2022</w:t>
      </w:r>
      <w:r w:rsidRPr="00851E6F">
        <w:rPr>
          <w:rFonts w:ascii="Garamond" w:hAnsi="Garamond" w:cs="Times New Roman"/>
          <w:sz w:val="20"/>
          <w:szCs w:val="20"/>
        </w:rPr>
        <w:t>–</w:t>
      </w:r>
      <w:r w:rsidRPr="00622884">
        <w:rPr>
          <w:rFonts w:ascii="Garamond" w:hAnsi="Garamond" w:cs="Arial"/>
          <w:color w:val="000000"/>
          <w:sz w:val="20"/>
          <w:szCs w:val="20"/>
          <w:lang w:bidi="sq-AL"/>
        </w:rPr>
        <w:t xml:space="preserve">2030 për pesë sektorët prioritarë. </w:t>
      </w:r>
    </w:p>
  </w:footnote>
  <w:footnote w:id="156">
    <w:p w14:paraId="19134033" w14:textId="77777777" w:rsidR="00622884" w:rsidRPr="00622884" w:rsidRDefault="00622884" w:rsidP="00622884">
      <w:pPr>
        <w:pStyle w:val="Piedepgina"/>
        <w:spacing w:line="240" w:lineRule="auto"/>
        <w:rPr>
          <w:rFonts w:ascii="Garamond" w:hAnsi="Garamond" w:cs="Arial"/>
          <w:color w:val="000000"/>
          <w:sz w:val="20"/>
          <w:szCs w:val="20"/>
        </w:rPr>
      </w:pPr>
      <w:r w:rsidRPr="00622884">
        <w:rPr>
          <w:rStyle w:val="FootnoteReference"/>
          <w:rFonts w:ascii="Garamond" w:hAnsi="Garamond" w:cs="Arial"/>
          <w:color w:val="000000"/>
          <w:sz w:val="20"/>
          <w:szCs w:val="20"/>
          <w:lang w:bidi="sq-AL"/>
        </w:rPr>
        <w:footnoteRef/>
      </w:r>
      <w:r w:rsidRPr="00622884">
        <w:rPr>
          <w:rFonts w:ascii="Garamond" w:hAnsi="Garamond" w:cs="Arial"/>
          <w:color w:val="000000"/>
          <w:sz w:val="20"/>
          <w:szCs w:val="20"/>
          <w:lang w:bidi="sq-AL"/>
        </w:rPr>
        <w:t xml:space="preserve"> </w:t>
      </w:r>
      <w:r w:rsidRPr="00622884">
        <w:rPr>
          <w:rFonts w:ascii="Garamond" w:hAnsi="Garamond" w:cs="Arial"/>
          <w:i/>
          <w:color w:val="000000"/>
          <w:sz w:val="20"/>
          <w:szCs w:val="20"/>
          <w:lang w:bidi="sq-AL"/>
        </w:rPr>
        <w:t>Acquis</w:t>
      </w:r>
      <w:r w:rsidRPr="00622884">
        <w:rPr>
          <w:rFonts w:ascii="Garamond" w:hAnsi="Garamond" w:cs="Arial"/>
          <w:color w:val="000000"/>
          <w:sz w:val="20"/>
          <w:szCs w:val="20"/>
          <w:lang w:bidi="sq-AL"/>
        </w:rPr>
        <w:t xml:space="preserve"> i Bashkimit Evropian (BE) është një tërësi të drejtash dhe detyrimesh të përbashkëta, që përbëjnë bazën e legjislacionit të BE-së, dhe është përfshirë në sistemet ligjore të shteteve anëtare të BE-së.</w:t>
      </w:r>
    </w:p>
  </w:footnote>
  <w:footnote w:id="157">
    <w:p w14:paraId="1292A74B" w14:textId="77777777" w:rsidR="00622884" w:rsidRPr="00622884" w:rsidRDefault="00622884" w:rsidP="00622884">
      <w:pPr>
        <w:pStyle w:val="Piedepgina"/>
        <w:spacing w:line="240" w:lineRule="auto"/>
        <w:rPr>
          <w:rFonts w:ascii="Garamond" w:hAnsi="Garamond" w:cs="Arial"/>
          <w:color w:val="000000"/>
          <w:sz w:val="20"/>
          <w:szCs w:val="20"/>
        </w:rPr>
      </w:pPr>
      <w:r w:rsidRPr="00622884">
        <w:rPr>
          <w:rStyle w:val="FootnoteReference"/>
          <w:rFonts w:ascii="Garamond" w:hAnsi="Garamond" w:cs="Arial"/>
          <w:color w:val="000000"/>
          <w:sz w:val="20"/>
          <w:szCs w:val="20"/>
          <w:lang w:bidi="sq-AL"/>
        </w:rPr>
        <w:footnoteRef/>
      </w:r>
      <w:r w:rsidRPr="00622884">
        <w:rPr>
          <w:rFonts w:ascii="Garamond" w:hAnsi="Garamond" w:cs="Arial"/>
          <w:color w:val="000000"/>
          <w:sz w:val="20"/>
          <w:szCs w:val="20"/>
          <w:lang w:bidi="sq-AL"/>
        </w:rPr>
        <w:t xml:space="preserve"> Strategjia e përshtatjes e BE-së. Krijimi i një Evrope të qëndrueshme ndaj klimës – Strategjia e re e BE-së për Përshtatjen (2021).</w:t>
      </w:r>
    </w:p>
  </w:footnote>
  <w:footnote w:id="158">
    <w:p w14:paraId="1F2895A8" w14:textId="77777777" w:rsidR="00622884" w:rsidRPr="00622884" w:rsidRDefault="00622884" w:rsidP="00622884">
      <w:pPr>
        <w:pStyle w:val="Piedepgina"/>
        <w:spacing w:line="240" w:lineRule="auto"/>
        <w:rPr>
          <w:rFonts w:ascii="Garamond" w:hAnsi="Garamond" w:cs="Arial"/>
          <w:color w:val="000000"/>
          <w:sz w:val="20"/>
          <w:szCs w:val="20"/>
        </w:rPr>
      </w:pPr>
      <w:r w:rsidRPr="00622884">
        <w:rPr>
          <w:rStyle w:val="FootnoteReference"/>
          <w:rFonts w:ascii="Garamond" w:hAnsi="Garamond" w:cs="Arial"/>
          <w:color w:val="000000"/>
          <w:sz w:val="20"/>
          <w:szCs w:val="20"/>
          <w:lang w:bidi="sq-AL"/>
        </w:rPr>
        <w:footnoteRef/>
      </w:r>
      <w:r w:rsidRPr="00622884">
        <w:rPr>
          <w:rFonts w:ascii="Garamond" w:hAnsi="Garamond" w:cs="Arial"/>
          <w:color w:val="000000"/>
          <w:sz w:val="20"/>
          <w:szCs w:val="20"/>
          <w:lang w:bidi="sq-AL"/>
        </w:rPr>
        <w:t xml:space="preserve"> Raporti fillestar për procesin e PKP-së në Shqipëri. Hartuar në kuadër të projektit të UNDP-së për PKP-në, dhjetor 2022. </w:t>
      </w:r>
    </w:p>
  </w:footnote>
  <w:footnote w:id="159">
    <w:p w14:paraId="7302045A" w14:textId="77777777" w:rsidR="00622884" w:rsidRPr="00622884" w:rsidRDefault="00622884" w:rsidP="00622884">
      <w:pPr>
        <w:pStyle w:val="Piedepgina"/>
        <w:spacing w:line="240" w:lineRule="auto"/>
        <w:rPr>
          <w:rFonts w:ascii="Garamond" w:hAnsi="Garamond" w:cs="Arial"/>
          <w:color w:val="000000"/>
          <w:sz w:val="20"/>
          <w:szCs w:val="20"/>
        </w:rPr>
      </w:pPr>
      <w:r w:rsidRPr="00622884">
        <w:rPr>
          <w:rStyle w:val="FootnoteReference"/>
          <w:rFonts w:ascii="Garamond" w:hAnsi="Garamond" w:cs="Arial"/>
          <w:color w:val="000000"/>
          <w:sz w:val="20"/>
          <w:szCs w:val="20"/>
          <w:lang w:bidi="sq-AL"/>
        </w:rPr>
        <w:footnoteRef/>
      </w:r>
      <w:r w:rsidRPr="00622884">
        <w:rPr>
          <w:rFonts w:ascii="Garamond" w:hAnsi="Garamond" w:cs="Arial"/>
          <w:color w:val="000000"/>
          <w:sz w:val="20"/>
          <w:szCs w:val="20"/>
          <w:lang w:bidi="sq-AL"/>
        </w:rPr>
        <w:t>Mbështetje për plotësimin e mangësive në të dhënat dhe analizat e riskut të përshtatjes. Qeveria e Shqipërisë – Grupi Ndërministror i Punës për Ndryshimet Klimatike (GNPNK) – Ministria e Mjedisit. Raporti kombëtar dhe sektorial për zhvillimin e skenarëve. Baastel, janar 2023.</w:t>
      </w:r>
    </w:p>
  </w:footnote>
  <w:footnote w:id="160">
    <w:p w14:paraId="2F6DE4FC" w14:textId="77777777" w:rsidR="00622884" w:rsidRPr="00622884" w:rsidRDefault="00622884" w:rsidP="00622884">
      <w:pPr>
        <w:pStyle w:val="FootnoteText"/>
        <w:rPr>
          <w:rStyle w:val="FootnoteReference"/>
          <w:rFonts w:ascii="Garamond" w:hAnsi="Garamond"/>
          <w:color w:val="000000"/>
        </w:rPr>
      </w:pPr>
      <w:r w:rsidRPr="00622884">
        <w:rPr>
          <w:rStyle w:val="FootnoteReference"/>
          <w:rFonts w:ascii="Garamond" w:hAnsi="Garamond"/>
          <w:color w:val="000000"/>
          <w:lang w:bidi="sq-AL"/>
        </w:rPr>
        <w:footnoteRef/>
      </w:r>
      <w:r w:rsidRPr="00622884">
        <w:rPr>
          <w:rStyle w:val="FootnoteReference"/>
          <w:rFonts w:ascii="Garamond" w:hAnsi="Garamond"/>
          <w:color w:val="000000"/>
          <w:lang w:bidi="sq-AL"/>
        </w:rPr>
        <w:t xml:space="preserve"> Agjencia Kombëtare e Mbrojtjes Civile, 2023</w:t>
      </w:r>
      <w:r w:rsidRPr="00622884">
        <w:rPr>
          <w:rFonts w:ascii="Garamond" w:hAnsi="Garamond"/>
          <w:color w:val="000000"/>
          <w:lang w:bidi="sq-AL"/>
        </w:rPr>
        <w:t>.</w:t>
      </w:r>
    </w:p>
  </w:footnote>
  <w:footnote w:id="161">
    <w:p w14:paraId="25F66DCB" w14:textId="77777777" w:rsidR="00622884" w:rsidRPr="00622884" w:rsidRDefault="00622884" w:rsidP="00622884">
      <w:pPr>
        <w:pStyle w:val="FootnoteText"/>
        <w:rPr>
          <w:rFonts w:ascii="Garamond" w:hAnsi="Garamond"/>
          <w:color w:val="000000"/>
          <w:vertAlign w:val="superscript"/>
        </w:rPr>
      </w:pPr>
      <w:r w:rsidRPr="00622884">
        <w:rPr>
          <w:rStyle w:val="FootnoteReference"/>
          <w:rFonts w:ascii="Garamond" w:hAnsi="Garamond"/>
          <w:color w:val="000000"/>
          <w:lang w:bidi="sq-AL"/>
        </w:rPr>
        <w:footnoteRef/>
      </w:r>
      <w:r w:rsidRPr="00622884">
        <w:rPr>
          <w:rStyle w:val="FootnoteReference"/>
          <w:rFonts w:ascii="Garamond" w:hAnsi="Garamond"/>
          <w:color w:val="000000"/>
          <w:lang w:bidi="sq-AL"/>
        </w:rPr>
        <w:t xml:space="preserve"> Baastel, 2024a</w:t>
      </w:r>
      <w:r w:rsidRPr="00622884">
        <w:rPr>
          <w:rFonts w:ascii="Garamond" w:hAnsi="Garamond"/>
          <w:color w:val="000000"/>
          <w:lang w:bidi="sq-AL"/>
        </w:rPr>
        <w:t>.</w:t>
      </w:r>
    </w:p>
  </w:footnote>
  <w:footnote w:id="162">
    <w:p w14:paraId="79DEBAD7" w14:textId="77777777" w:rsidR="00622884" w:rsidRPr="00622884" w:rsidRDefault="00622884" w:rsidP="00622884">
      <w:pPr>
        <w:pStyle w:val="FootnoteText"/>
        <w:rPr>
          <w:rFonts w:ascii="Garamond" w:hAnsi="Garamond"/>
          <w:color w:val="000000"/>
          <w:vertAlign w:val="superscript"/>
          <w:lang w:val="da-DK"/>
        </w:rPr>
      </w:pPr>
      <w:r w:rsidRPr="00622884">
        <w:rPr>
          <w:rStyle w:val="FootnoteReference"/>
          <w:rFonts w:ascii="Garamond" w:hAnsi="Garamond"/>
          <w:color w:val="000000"/>
          <w:lang w:bidi="sq-AL"/>
        </w:rPr>
        <w:footnoteRef/>
      </w:r>
      <w:r w:rsidRPr="00622884">
        <w:rPr>
          <w:rFonts w:ascii="Garamond" w:hAnsi="Garamond"/>
          <w:color w:val="000000"/>
          <w:vertAlign w:val="superscript"/>
          <w:lang w:bidi="sq-AL"/>
        </w:rPr>
        <w:t xml:space="preserve"> </w:t>
      </w:r>
      <w:r w:rsidRPr="00622884">
        <w:rPr>
          <w:rFonts w:ascii="Garamond" w:hAnsi="Garamond"/>
          <w:color w:val="000000"/>
          <w:lang w:bidi="sq-AL"/>
        </w:rPr>
        <w:t>Hodnebrog et al., 2019.</w:t>
      </w:r>
    </w:p>
  </w:footnote>
  <w:footnote w:id="163">
    <w:p w14:paraId="70B2CFDA" w14:textId="77777777" w:rsidR="00622884" w:rsidRPr="00622884" w:rsidRDefault="00622884" w:rsidP="00622884">
      <w:pPr>
        <w:pStyle w:val="FootnoteText"/>
        <w:rPr>
          <w:rFonts w:ascii="Garamond" w:hAnsi="Garamond"/>
          <w:color w:val="000000"/>
          <w:lang w:val="da-DK"/>
        </w:rPr>
      </w:pPr>
      <w:r w:rsidRPr="00622884">
        <w:rPr>
          <w:rStyle w:val="FootnoteReference"/>
          <w:rFonts w:ascii="Garamond" w:hAnsi="Garamond"/>
          <w:color w:val="000000"/>
          <w:lang w:bidi="sq-AL"/>
        </w:rPr>
        <w:footnoteRef/>
      </w:r>
      <w:r w:rsidRPr="00622884">
        <w:rPr>
          <w:rFonts w:ascii="Garamond" w:hAnsi="Garamond"/>
          <w:color w:val="000000"/>
          <w:lang w:bidi="sq-AL"/>
        </w:rPr>
        <w:t xml:space="preserve"> Grupi i Bankës Botërore (GBB), 2021.</w:t>
      </w:r>
    </w:p>
  </w:footnote>
  <w:footnote w:id="164">
    <w:p w14:paraId="16DCC0E1" w14:textId="77777777" w:rsidR="00622884" w:rsidRPr="00622884" w:rsidRDefault="00622884" w:rsidP="00622884">
      <w:pPr>
        <w:pStyle w:val="FootnoteText"/>
        <w:rPr>
          <w:rFonts w:ascii="Garamond" w:hAnsi="Garamond"/>
          <w:color w:val="000000"/>
          <w:lang w:val="da-DK"/>
        </w:rPr>
      </w:pPr>
      <w:r w:rsidRPr="00622884">
        <w:rPr>
          <w:rStyle w:val="FootnoteReference"/>
          <w:rFonts w:ascii="Garamond" w:hAnsi="Garamond"/>
          <w:color w:val="000000"/>
          <w:lang w:bidi="sq-AL"/>
        </w:rPr>
        <w:footnoteRef/>
      </w:r>
      <w:r w:rsidRPr="00622884">
        <w:rPr>
          <w:rFonts w:ascii="Garamond" w:hAnsi="Garamond"/>
          <w:color w:val="000000"/>
          <w:lang w:bidi="sq-AL"/>
        </w:rPr>
        <w:t xml:space="preserve"> Baastel, 2024a.</w:t>
      </w:r>
    </w:p>
  </w:footnote>
  <w:footnote w:id="165">
    <w:p w14:paraId="2DE033C2" w14:textId="77777777" w:rsidR="00622884" w:rsidRPr="00622884" w:rsidRDefault="00622884" w:rsidP="00622884">
      <w:pPr>
        <w:pStyle w:val="Piedepgina"/>
        <w:spacing w:line="240" w:lineRule="auto"/>
        <w:rPr>
          <w:rFonts w:ascii="Garamond" w:hAnsi="Garamond" w:cs="Arial"/>
          <w:color w:val="000000"/>
          <w:sz w:val="20"/>
          <w:szCs w:val="20"/>
        </w:rPr>
      </w:pPr>
      <w:r w:rsidRPr="00622884">
        <w:rPr>
          <w:rStyle w:val="FootnoteReference"/>
          <w:rFonts w:ascii="Garamond" w:hAnsi="Garamond" w:cs="Arial"/>
          <w:color w:val="000000"/>
          <w:sz w:val="20"/>
          <w:szCs w:val="20"/>
          <w:lang w:bidi="sq-AL"/>
        </w:rPr>
        <w:footnoteRef/>
      </w:r>
      <w:r w:rsidRPr="00622884">
        <w:rPr>
          <w:rFonts w:ascii="Garamond" w:hAnsi="Garamond" w:cs="Arial"/>
          <w:color w:val="000000"/>
          <w:sz w:val="20"/>
          <w:szCs w:val="20"/>
          <w:lang w:bidi="sq-AL"/>
        </w:rPr>
        <w:t xml:space="preserve"> Raporti kombëtar dhe sektorial për zhvillimin e skenarëve. Hartuar në kuadër të projektit të UNDP-së për PKP-në, janar 2023.</w:t>
      </w:r>
    </w:p>
  </w:footnote>
  <w:footnote w:id="166">
    <w:p w14:paraId="0D2E5FEA" w14:textId="77777777" w:rsidR="00622884" w:rsidRPr="00622884" w:rsidRDefault="00622884" w:rsidP="00622884">
      <w:pPr>
        <w:pStyle w:val="Piedepgina"/>
        <w:spacing w:line="240" w:lineRule="auto"/>
        <w:rPr>
          <w:rFonts w:ascii="Garamond" w:hAnsi="Garamond" w:cs="Arial"/>
          <w:color w:val="000000"/>
          <w:sz w:val="20"/>
          <w:szCs w:val="20"/>
        </w:rPr>
      </w:pPr>
      <w:r w:rsidRPr="00622884">
        <w:rPr>
          <w:rStyle w:val="FootnoteReference"/>
          <w:rFonts w:ascii="Garamond" w:hAnsi="Garamond" w:cs="Arial"/>
          <w:color w:val="000000"/>
          <w:sz w:val="20"/>
          <w:szCs w:val="20"/>
          <w:lang w:bidi="sq-AL"/>
        </w:rPr>
        <w:footnoteRef/>
      </w:r>
      <w:r w:rsidRPr="00622884">
        <w:rPr>
          <w:rFonts w:ascii="Garamond" w:hAnsi="Garamond" w:cs="Arial"/>
          <w:color w:val="000000"/>
          <w:sz w:val="20"/>
          <w:szCs w:val="20"/>
          <w:lang w:bidi="sq-AL"/>
        </w:rPr>
        <w:t xml:space="preserve"> Raporti kombëtar dhe sektorial për zhvillimin e skenarëve. Hartuar në kuadër të projektit të UNDP-së për PKP-në, janar 2023.</w:t>
      </w:r>
    </w:p>
  </w:footnote>
  <w:footnote w:id="167">
    <w:p w14:paraId="47223D98" w14:textId="77777777" w:rsidR="00622884" w:rsidRPr="00622884" w:rsidRDefault="00622884" w:rsidP="00622884">
      <w:pPr>
        <w:pStyle w:val="FootnoteText"/>
        <w:rPr>
          <w:rFonts w:ascii="Garamond" w:hAnsi="Garamond"/>
          <w:color w:val="000000"/>
        </w:rPr>
      </w:pPr>
      <w:r w:rsidRPr="00622884">
        <w:rPr>
          <w:rFonts w:ascii="Garamond" w:hAnsi="Garamond"/>
          <w:color w:val="000000"/>
          <w:vertAlign w:val="superscript"/>
          <w:lang w:bidi="sq-AL"/>
        </w:rPr>
        <w:footnoteRef/>
      </w:r>
      <w:r w:rsidRPr="00622884">
        <w:rPr>
          <w:rFonts w:ascii="Garamond" w:hAnsi="Garamond"/>
          <w:color w:val="000000"/>
          <w:lang w:bidi="sq-AL"/>
        </w:rPr>
        <w:t>Mbështetje për plotësimin e mangësive në të dhënat dhe analizat e riskut të përshtatjes. Qeveria e Shqipërisë - Grupi Ndërministror i Punës për Ndryshimet Klimatike (GNPNK) - Ministria e Mjedisit. Raporti kombëtar dhe sektorial për zhvillimin e skenarëve. Baastel, janar 2023.</w:t>
      </w:r>
    </w:p>
  </w:footnote>
  <w:footnote w:id="168">
    <w:p w14:paraId="07A1C2CB" w14:textId="77777777" w:rsidR="00622884" w:rsidRPr="00622884" w:rsidRDefault="00622884" w:rsidP="00622884">
      <w:pPr>
        <w:pStyle w:val="Piedepgina"/>
        <w:spacing w:line="240" w:lineRule="auto"/>
        <w:rPr>
          <w:rFonts w:ascii="Garamond" w:hAnsi="Garamond" w:cs="Arial"/>
          <w:color w:val="000000"/>
          <w:sz w:val="20"/>
          <w:szCs w:val="20"/>
        </w:rPr>
      </w:pPr>
      <w:r w:rsidRPr="00622884">
        <w:rPr>
          <w:rStyle w:val="FootnoteReference"/>
          <w:rFonts w:ascii="Garamond" w:hAnsi="Garamond" w:cs="Arial"/>
          <w:color w:val="000000"/>
          <w:sz w:val="20"/>
          <w:szCs w:val="20"/>
          <w:lang w:bidi="sq-AL"/>
        </w:rPr>
        <w:footnoteRef/>
      </w:r>
      <w:r w:rsidRPr="00622884">
        <w:rPr>
          <w:rFonts w:ascii="Garamond" w:hAnsi="Garamond" w:cs="Arial"/>
          <w:color w:val="000000"/>
          <w:sz w:val="20"/>
          <w:szCs w:val="20"/>
          <w:lang w:bidi="sq-AL"/>
        </w:rPr>
        <w:t xml:space="preserve"> SPSx-y, x u referohet skenarëve të përbashkët socio-ekonomikë (përkatësisht SPS1 deri te SPS5) dhe y i referohet nivelit të forcës rrezatuese (përkatësisht 1,9; 2,6; 4,5; 6,0 dhe 8,5 W/m</w:t>
      </w:r>
      <w:r w:rsidRPr="00622884">
        <w:rPr>
          <w:rFonts w:ascii="Garamond" w:hAnsi="Garamond" w:cs="Arial"/>
          <w:color w:val="000000"/>
          <w:sz w:val="20"/>
          <w:szCs w:val="20"/>
          <w:vertAlign w:val="superscript"/>
          <w:lang w:bidi="sq-AL"/>
        </w:rPr>
        <w:t>2</w:t>
      </w:r>
      <w:r w:rsidRPr="00622884">
        <w:rPr>
          <w:rFonts w:ascii="Garamond" w:hAnsi="Garamond" w:cs="Arial"/>
          <w:color w:val="000000"/>
          <w:sz w:val="20"/>
          <w:szCs w:val="20"/>
          <w:lang w:bidi="sq-AL"/>
        </w:rPr>
        <w:t>) në vitin 2100.</w:t>
      </w:r>
    </w:p>
  </w:footnote>
  <w:footnote w:id="169">
    <w:p w14:paraId="63BA9FAA" w14:textId="77777777" w:rsidR="00622884" w:rsidRPr="00622884" w:rsidRDefault="00622884" w:rsidP="00622884">
      <w:pPr>
        <w:pStyle w:val="Piedepgina"/>
        <w:spacing w:line="240" w:lineRule="auto"/>
        <w:rPr>
          <w:rFonts w:ascii="Garamond" w:hAnsi="Garamond" w:cs="Arial"/>
          <w:color w:val="000000"/>
          <w:sz w:val="20"/>
          <w:szCs w:val="20"/>
        </w:rPr>
      </w:pPr>
      <w:r w:rsidRPr="00622884">
        <w:rPr>
          <w:rStyle w:val="FootnoteReference"/>
          <w:rFonts w:ascii="Garamond" w:hAnsi="Garamond" w:cs="Arial"/>
          <w:color w:val="000000"/>
          <w:sz w:val="20"/>
          <w:szCs w:val="20"/>
          <w:lang w:bidi="sq-AL"/>
        </w:rPr>
        <w:footnoteRef/>
      </w:r>
      <w:r w:rsidRPr="00622884">
        <w:rPr>
          <w:rFonts w:ascii="Garamond" w:hAnsi="Garamond" w:cs="Arial"/>
          <w:color w:val="000000"/>
          <w:sz w:val="20"/>
          <w:szCs w:val="20"/>
          <w:lang w:bidi="sq-AL"/>
        </w:rPr>
        <w:t xml:space="preserve"> UNDP </w:t>
      </w:r>
      <w:r w:rsidRPr="00622884">
        <w:rPr>
          <w:rFonts w:ascii="Garamond" w:hAnsi="Garamond" w:cs="Arial"/>
          <w:i/>
          <w:color w:val="000000"/>
          <w:sz w:val="20"/>
          <w:szCs w:val="20"/>
          <w:lang w:bidi="sq-AL"/>
        </w:rPr>
        <w:t>Prodoc: Advancing Albania’s Planning for Medium and Long-Term Adaptation Through the Development of a National Adaptation Planning (NAP) Process</w:t>
      </w:r>
      <w:r w:rsidRPr="00622884">
        <w:rPr>
          <w:rFonts w:ascii="Garamond" w:hAnsi="Garamond" w:cs="Arial"/>
          <w:color w:val="000000"/>
          <w:sz w:val="20"/>
          <w:szCs w:val="20"/>
          <w:lang w:bidi="sq-AL"/>
        </w:rPr>
        <w:t xml:space="preserve"> [Prodok: Avancimi i planit të Shqipërisë për përshtatjen afatmesme dhe afatgjatë përmes zhvillimit të një procesi kombëtar të planifikimit të përshtatjes (PKP)].</w:t>
      </w:r>
    </w:p>
  </w:footnote>
  <w:footnote w:id="170">
    <w:p w14:paraId="098C2643" w14:textId="77777777" w:rsidR="00622884" w:rsidRPr="00622884" w:rsidRDefault="00622884" w:rsidP="00622884">
      <w:pPr>
        <w:pStyle w:val="Piedepgina"/>
        <w:spacing w:line="240" w:lineRule="auto"/>
        <w:rPr>
          <w:rFonts w:ascii="Garamond" w:hAnsi="Garamond" w:cs="Arial"/>
          <w:color w:val="000000"/>
          <w:sz w:val="20"/>
          <w:szCs w:val="20"/>
        </w:rPr>
      </w:pPr>
      <w:r w:rsidRPr="00622884">
        <w:rPr>
          <w:rFonts w:ascii="Garamond" w:hAnsi="Garamond" w:cs="Arial"/>
          <w:color w:val="000000"/>
          <w:sz w:val="20"/>
          <w:szCs w:val="20"/>
          <w:vertAlign w:val="superscript"/>
          <w:lang w:bidi="sq-AL"/>
        </w:rPr>
        <w:footnoteRef/>
      </w:r>
      <w:r w:rsidRPr="00622884">
        <w:rPr>
          <w:rFonts w:ascii="Garamond" w:hAnsi="Garamond" w:cs="Arial"/>
          <w:color w:val="000000"/>
          <w:sz w:val="20"/>
          <w:szCs w:val="20"/>
          <w:lang w:bidi="sq-AL"/>
        </w:rPr>
        <w:t xml:space="preserve"> Vlerësimi i riskut klimatik të sektorit të zhvillimit urban. Planifikimi Kombëtar i Përshtatjes i Shqipërisë: Mbështetje për plotësimin e mangësive në të dhënat dhe analizat e riskut të përshtatjes. Baastel, korrik 2024 (përfshirë, gjithashtu, edhe në raportin për sektorët e tjerë: bujqësi dhe turizëm).</w:t>
      </w:r>
    </w:p>
  </w:footnote>
  <w:footnote w:id="171">
    <w:p w14:paraId="60A48239" w14:textId="77777777" w:rsidR="00622884" w:rsidRPr="00622884" w:rsidRDefault="00622884" w:rsidP="00622884">
      <w:pPr>
        <w:pStyle w:val="Piedepgina"/>
        <w:spacing w:line="240" w:lineRule="auto"/>
        <w:rPr>
          <w:rFonts w:ascii="Garamond" w:hAnsi="Garamond" w:cs="Arial"/>
          <w:color w:val="000000"/>
          <w:sz w:val="20"/>
          <w:szCs w:val="20"/>
        </w:rPr>
      </w:pPr>
      <w:r w:rsidRPr="00622884">
        <w:rPr>
          <w:rFonts w:ascii="Garamond" w:hAnsi="Garamond" w:cs="Arial"/>
          <w:color w:val="000000"/>
          <w:sz w:val="20"/>
          <w:szCs w:val="20"/>
          <w:vertAlign w:val="superscript"/>
          <w:lang w:bidi="sq-AL"/>
        </w:rPr>
        <w:footnoteRef/>
      </w:r>
      <w:r w:rsidRPr="00622884">
        <w:rPr>
          <w:rFonts w:ascii="Garamond" w:hAnsi="Garamond" w:cs="Arial"/>
          <w:color w:val="000000"/>
          <w:sz w:val="20"/>
          <w:szCs w:val="20"/>
          <w:lang w:bidi="sq-AL"/>
        </w:rPr>
        <w:t xml:space="preserve"> Komunikimi i Katërt Kombëtar i Shqipërisë për Ndryshimet Klimatike, 2022.</w:t>
      </w:r>
    </w:p>
  </w:footnote>
  <w:footnote w:id="172">
    <w:p w14:paraId="2224B327" w14:textId="77777777" w:rsidR="00622884" w:rsidRPr="00622884" w:rsidRDefault="00622884" w:rsidP="00622884">
      <w:pPr>
        <w:pStyle w:val="Piedepgina"/>
        <w:spacing w:line="240" w:lineRule="auto"/>
        <w:rPr>
          <w:rFonts w:ascii="Garamond" w:hAnsi="Garamond" w:cs="Arial"/>
          <w:color w:val="000000"/>
          <w:sz w:val="20"/>
          <w:szCs w:val="20"/>
        </w:rPr>
      </w:pPr>
      <w:r w:rsidRPr="00622884">
        <w:rPr>
          <w:rFonts w:ascii="Garamond" w:hAnsi="Garamond" w:cs="Arial"/>
          <w:color w:val="000000"/>
          <w:sz w:val="20"/>
          <w:szCs w:val="20"/>
          <w:vertAlign w:val="superscript"/>
          <w:lang w:bidi="sq-AL"/>
        </w:rPr>
        <w:footnoteRef/>
      </w:r>
      <w:r w:rsidRPr="00622884">
        <w:rPr>
          <w:rFonts w:ascii="Garamond" w:hAnsi="Garamond" w:cs="Arial"/>
          <w:color w:val="000000"/>
          <w:sz w:val="20"/>
          <w:szCs w:val="20"/>
          <w:lang w:bidi="sq-AL"/>
        </w:rPr>
        <w:t xml:space="preserve"> Universiteti i Notre Damit – Nisma për Përshtatje Globale (GAIN). Indeksi për vendin përmbledh cenueshmërinë e vendit ndaj ndryshimeve klimatike dhe sfidave të tjera botërore në ndërthurje me gatishmërinë e vendit për të përmirësuar aftësinë ripërtëritëse.</w:t>
      </w:r>
    </w:p>
  </w:footnote>
  <w:footnote w:id="173">
    <w:p w14:paraId="74F9AEF7" w14:textId="77777777" w:rsidR="00622884" w:rsidRPr="00622884" w:rsidRDefault="00622884" w:rsidP="00622884">
      <w:pPr>
        <w:pStyle w:val="Piedepgina"/>
        <w:spacing w:line="240" w:lineRule="auto"/>
        <w:rPr>
          <w:rFonts w:ascii="Garamond" w:hAnsi="Garamond" w:cs="Arial"/>
          <w:color w:val="000000"/>
          <w:sz w:val="20"/>
          <w:szCs w:val="20"/>
        </w:rPr>
      </w:pPr>
      <w:r w:rsidRPr="00622884">
        <w:rPr>
          <w:rFonts w:ascii="Garamond" w:hAnsi="Garamond" w:cs="Arial"/>
          <w:color w:val="000000"/>
          <w:sz w:val="20"/>
          <w:szCs w:val="20"/>
          <w:vertAlign w:val="superscript"/>
          <w:lang w:bidi="sq-AL"/>
        </w:rPr>
        <w:footnoteRef/>
      </w:r>
      <w:r w:rsidRPr="00622884">
        <w:rPr>
          <w:rFonts w:ascii="Garamond" w:hAnsi="Garamond" w:cs="Arial"/>
          <w:color w:val="000000"/>
          <w:sz w:val="20"/>
          <w:szCs w:val="20"/>
          <w:vertAlign w:val="superscript"/>
          <w:lang w:bidi="sq-AL"/>
        </w:rPr>
        <w:t xml:space="preserve"> </w:t>
      </w:r>
      <w:r w:rsidRPr="00622884">
        <w:rPr>
          <w:rFonts w:ascii="Garamond" w:hAnsi="Garamond" w:cs="Arial"/>
          <w:color w:val="000000"/>
          <w:sz w:val="20"/>
          <w:szCs w:val="20"/>
          <w:lang w:bidi="sq-AL"/>
        </w:rPr>
        <w:t>2023 ND GAIN. Sa më i lartë numri, aq më e lartë cenueshmëria dhe aq më e ulët gatishmëria.</w:t>
      </w:r>
    </w:p>
  </w:footnote>
  <w:footnote w:id="174">
    <w:p w14:paraId="29BA24BB" w14:textId="77777777" w:rsidR="00622884" w:rsidRPr="00622884" w:rsidRDefault="00622884" w:rsidP="00622884">
      <w:pPr>
        <w:pStyle w:val="Piedepgina"/>
        <w:spacing w:line="240" w:lineRule="auto"/>
        <w:rPr>
          <w:rFonts w:ascii="Garamond" w:hAnsi="Garamond" w:cs="Arial"/>
          <w:color w:val="000000"/>
          <w:sz w:val="20"/>
          <w:szCs w:val="20"/>
          <w:lang w:val="it-IT"/>
        </w:rPr>
      </w:pPr>
      <w:r w:rsidRPr="00622884">
        <w:rPr>
          <w:rFonts w:ascii="Garamond" w:hAnsi="Garamond" w:cs="Arial"/>
          <w:color w:val="000000"/>
          <w:sz w:val="20"/>
          <w:szCs w:val="20"/>
          <w:vertAlign w:val="superscript"/>
          <w:lang w:bidi="sq-AL"/>
        </w:rPr>
        <w:footnoteRef/>
      </w:r>
      <w:r w:rsidRPr="00622884">
        <w:rPr>
          <w:rFonts w:ascii="Garamond" w:hAnsi="Garamond" w:cs="Arial"/>
          <w:color w:val="000000"/>
          <w:sz w:val="20"/>
          <w:szCs w:val="20"/>
          <w:lang w:bidi="sq-AL"/>
        </w:rPr>
        <w:t xml:space="preserve"> Mali i Zi i 56-ti, Maqedonia e Veriut e 59-ta, Serbia e 76-ta dhe Bosnjë dhe Hercegovina e 79-ta.</w:t>
      </w:r>
    </w:p>
  </w:footnote>
  <w:footnote w:id="175">
    <w:p w14:paraId="651FDC18" w14:textId="77777777" w:rsidR="00622884" w:rsidRPr="00622884" w:rsidRDefault="00622884" w:rsidP="00622884">
      <w:pPr>
        <w:pStyle w:val="Piedepgina"/>
        <w:spacing w:line="240" w:lineRule="auto"/>
        <w:rPr>
          <w:rFonts w:ascii="Garamond" w:hAnsi="Garamond" w:cs="Arial"/>
          <w:color w:val="000000"/>
          <w:sz w:val="20"/>
          <w:szCs w:val="20"/>
          <w:lang w:val="it-IT"/>
        </w:rPr>
      </w:pPr>
      <w:r w:rsidRPr="00622884">
        <w:rPr>
          <w:rStyle w:val="FootnoteReference"/>
          <w:rFonts w:ascii="Garamond" w:hAnsi="Garamond" w:cs="Arial"/>
          <w:color w:val="000000"/>
          <w:sz w:val="20"/>
          <w:szCs w:val="20"/>
          <w:lang w:bidi="sq-AL"/>
        </w:rPr>
        <w:footnoteRef/>
      </w:r>
      <w:r w:rsidRPr="00622884">
        <w:rPr>
          <w:rFonts w:ascii="Garamond" w:hAnsi="Garamond" w:cs="Arial"/>
          <w:color w:val="000000"/>
          <w:sz w:val="20"/>
          <w:szCs w:val="20"/>
          <w:lang w:bidi="sq-AL"/>
        </w:rPr>
        <w:t xml:space="preserve"> M. Bogdani. “Raport për ndikimin e ndryshueshmërisë dhe ekstremeve klimatike aktuale te burimet ujore (ujërat nëntokësore, furnizimi me ujë) në DLDM”.</w:t>
      </w:r>
    </w:p>
  </w:footnote>
  <w:footnote w:id="176">
    <w:p w14:paraId="124B6D79" w14:textId="77777777" w:rsidR="00622884" w:rsidRPr="00622884" w:rsidRDefault="00622884" w:rsidP="00622884">
      <w:pPr>
        <w:pStyle w:val="Piedepgina"/>
        <w:spacing w:line="240" w:lineRule="auto"/>
        <w:rPr>
          <w:rFonts w:ascii="Garamond" w:hAnsi="Garamond" w:cs="Arial"/>
          <w:color w:val="000000"/>
          <w:sz w:val="20"/>
          <w:szCs w:val="20"/>
        </w:rPr>
      </w:pPr>
      <w:r w:rsidRPr="00622884">
        <w:rPr>
          <w:rFonts w:ascii="Garamond" w:hAnsi="Garamond" w:cs="Arial"/>
          <w:color w:val="000000"/>
          <w:sz w:val="20"/>
          <w:szCs w:val="20"/>
          <w:vertAlign w:val="superscript"/>
          <w:lang w:bidi="sq-AL"/>
        </w:rPr>
        <w:footnoteRef/>
      </w:r>
      <w:r w:rsidRPr="00622884">
        <w:rPr>
          <w:rFonts w:ascii="Garamond" w:hAnsi="Garamond" w:cs="Arial"/>
          <w:color w:val="000000"/>
          <w:sz w:val="20"/>
          <w:szCs w:val="20"/>
          <w:lang w:bidi="sq-AL"/>
        </w:rPr>
        <w:t xml:space="preserve"> </w:t>
      </w:r>
      <w:r w:rsidRPr="00622884">
        <w:rPr>
          <w:rFonts w:ascii="Garamond" w:hAnsi="Garamond" w:cs="Arial"/>
          <w:i/>
          <w:color w:val="000000"/>
          <w:sz w:val="20"/>
          <w:szCs w:val="20"/>
          <w:lang w:bidi="sq-AL"/>
        </w:rPr>
        <w:t>The Future of Water in Agriculture in Albania</w:t>
      </w:r>
      <w:r w:rsidRPr="00622884">
        <w:rPr>
          <w:rFonts w:ascii="Garamond" w:hAnsi="Garamond" w:cs="Arial"/>
          <w:color w:val="000000"/>
          <w:sz w:val="20"/>
          <w:szCs w:val="20"/>
          <w:lang w:bidi="sq-AL"/>
        </w:rPr>
        <w:t xml:space="preserve">: </w:t>
      </w:r>
      <w:r w:rsidRPr="00622884">
        <w:rPr>
          <w:rFonts w:ascii="Garamond" w:hAnsi="Garamond" w:cs="Arial"/>
          <w:i/>
          <w:color w:val="000000"/>
          <w:sz w:val="20"/>
          <w:szCs w:val="20"/>
          <w:lang w:bidi="sq-AL"/>
        </w:rPr>
        <w:t>A Broad Sector Rethinking</w:t>
      </w:r>
      <w:r w:rsidRPr="00622884">
        <w:rPr>
          <w:rFonts w:ascii="Garamond" w:hAnsi="Garamond" w:cs="Arial"/>
          <w:color w:val="000000"/>
          <w:sz w:val="20"/>
          <w:szCs w:val="20"/>
          <w:lang w:bidi="sq-AL"/>
        </w:rPr>
        <w:t xml:space="preserve"> [E ardhmja e ujit për bujqësinë në Shqipëri: Një rikonceptim i gjerë sektorial]. Banka Botërore, 2014.</w:t>
      </w:r>
    </w:p>
  </w:footnote>
  <w:footnote w:id="177">
    <w:p w14:paraId="72B36BE2" w14:textId="77777777" w:rsidR="00622884" w:rsidRPr="00622884" w:rsidRDefault="00622884" w:rsidP="00622884">
      <w:pPr>
        <w:pStyle w:val="Piedepgina"/>
        <w:spacing w:line="240" w:lineRule="auto"/>
        <w:rPr>
          <w:rFonts w:ascii="Garamond" w:hAnsi="Garamond" w:cs="Arial"/>
          <w:color w:val="000000"/>
          <w:sz w:val="20"/>
          <w:szCs w:val="20"/>
        </w:rPr>
      </w:pPr>
      <w:r w:rsidRPr="00622884">
        <w:rPr>
          <w:rFonts w:ascii="Garamond" w:hAnsi="Garamond" w:cs="Arial"/>
          <w:color w:val="000000"/>
          <w:sz w:val="20"/>
          <w:szCs w:val="20"/>
          <w:vertAlign w:val="superscript"/>
          <w:lang w:bidi="sq-AL"/>
        </w:rPr>
        <w:footnoteRef/>
      </w:r>
      <w:r w:rsidRPr="00622884">
        <w:rPr>
          <w:rFonts w:ascii="Garamond" w:hAnsi="Garamond" w:cs="Arial"/>
          <w:color w:val="000000"/>
          <w:sz w:val="20"/>
          <w:szCs w:val="20"/>
          <w:lang w:bidi="sq-AL"/>
        </w:rPr>
        <w:t xml:space="preserve"> Shqipëri – Raporti i Klimës dhe Zhvillimit për Vendin. Banka Botërore, 2024.</w:t>
      </w:r>
    </w:p>
  </w:footnote>
  <w:footnote w:id="178">
    <w:p w14:paraId="683EAE64" w14:textId="77777777" w:rsidR="00622884" w:rsidRPr="00622884" w:rsidRDefault="00622884" w:rsidP="00622884">
      <w:pPr>
        <w:pStyle w:val="Piedepgina"/>
        <w:spacing w:line="240" w:lineRule="auto"/>
        <w:rPr>
          <w:rFonts w:ascii="Garamond" w:hAnsi="Garamond" w:cs="Arial"/>
          <w:color w:val="000000"/>
          <w:sz w:val="20"/>
          <w:szCs w:val="20"/>
        </w:rPr>
      </w:pPr>
      <w:r w:rsidRPr="00622884">
        <w:rPr>
          <w:rStyle w:val="FootnoteReference"/>
          <w:rFonts w:ascii="Garamond" w:hAnsi="Garamond" w:cs="Arial"/>
          <w:color w:val="000000"/>
          <w:sz w:val="20"/>
          <w:szCs w:val="20"/>
          <w:lang w:bidi="sq-AL"/>
        </w:rPr>
        <w:footnoteRef/>
      </w:r>
      <w:r w:rsidRPr="00622884">
        <w:rPr>
          <w:rFonts w:ascii="Garamond" w:hAnsi="Garamond" w:cs="Arial"/>
          <w:color w:val="000000"/>
          <w:sz w:val="20"/>
          <w:szCs w:val="20"/>
          <w:lang w:bidi="sq-AL"/>
        </w:rPr>
        <w:t xml:space="preserve"> Strategjia Kombëtare për Zvogëlimin e Riskut nga Fatkeqësitë dhe plani i veprimit 2023–2030. Ministria e Mjedisit, 2023.</w:t>
      </w:r>
    </w:p>
  </w:footnote>
  <w:footnote w:id="179">
    <w:p w14:paraId="47B524BE" w14:textId="77777777" w:rsidR="00622884" w:rsidRPr="00622884" w:rsidRDefault="00622884" w:rsidP="00622884">
      <w:pPr>
        <w:pStyle w:val="Piedepgina"/>
        <w:spacing w:line="240" w:lineRule="auto"/>
        <w:rPr>
          <w:rFonts w:ascii="Garamond" w:hAnsi="Garamond" w:cs="Arial"/>
          <w:color w:val="000000"/>
          <w:sz w:val="20"/>
          <w:szCs w:val="20"/>
        </w:rPr>
      </w:pPr>
      <w:r w:rsidRPr="00622884">
        <w:rPr>
          <w:rStyle w:val="FootnoteReference"/>
          <w:rFonts w:ascii="Garamond" w:hAnsi="Garamond" w:cs="Arial"/>
          <w:color w:val="000000"/>
          <w:sz w:val="20"/>
          <w:szCs w:val="20"/>
          <w:lang w:bidi="sq-AL"/>
        </w:rPr>
        <w:footnoteRef/>
      </w:r>
      <w:r w:rsidRPr="00622884">
        <w:rPr>
          <w:rFonts w:ascii="Garamond" w:hAnsi="Garamond" w:cs="Arial"/>
          <w:color w:val="000000"/>
          <w:sz w:val="20"/>
          <w:szCs w:val="20"/>
          <w:lang w:bidi="sq-AL"/>
        </w:rPr>
        <w:t xml:space="preserve"> Komunikimi i Katërt Kombëtar (2022).</w:t>
      </w:r>
    </w:p>
  </w:footnote>
  <w:footnote w:id="180">
    <w:p w14:paraId="0B4F74E1" w14:textId="77777777" w:rsidR="00622884" w:rsidRPr="00622884" w:rsidRDefault="00622884" w:rsidP="00622884">
      <w:pPr>
        <w:pStyle w:val="Piedepgina"/>
        <w:spacing w:line="240" w:lineRule="auto"/>
        <w:rPr>
          <w:rFonts w:ascii="Garamond" w:hAnsi="Garamond" w:cs="Arial"/>
          <w:color w:val="000000"/>
          <w:sz w:val="20"/>
          <w:szCs w:val="20"/>
        </w:rPr>
      </w:pPr>
      <w:r w:rsidRPr="00622884">
        <w:rPr>
          <w:rStyle w:val="FootnoteReference"/>
          <w:rFonts w:ascii="Garamond" w:hAnsi="Garamond" w:cs="Arial"/>
          <w:color w:val="000000"/>
          <w:sz w:val="20"/>
          <w:szCs w:val="20"/>
          <w:lang w:bidi="sq-AL"/>
        </w:rPr>
        <w:footnoteRef/>
      </w:r>
      <w:r w:rsidRPr="00622884">
        <w:rPr>
          <w:rFonts w:ascii="Garamond" w:hAnsi="Garamond" w:cs="Arial"/>
          <w:color w:val="000000"/>
          <w:sz w:val="20"/>
          <w:szCs w:val="20"/>
          <w:lang w:bidi="sq-AL"/>
        </w:rPr>
        <w:t xml:space="preserve"> INSTAT, 2023.</w:t>
      </w:r>
    </w:p>
  </w:footnote>
  <w:footnote w:id="181">
    <w:p w14:paraId="024385C7" w14:textId="77777777" w:rsidR="00622884" w:rsidRPr="00622884" w:rsidRDefault="00622884" w:rsidP="00622884">
      <w:pPr>
        <w:pStyle w:val="Piedepgina"/>
        <w:spacing w:line="240" w:lineRule="auto"/>
        <w:rPr>
          <w:rFonts w:ascii="Garamond" w:eastAsia="Times New Roman" w:hAnsi="Garamond" w:cs="Arial"/>
          <w:color w:val="000000"/>
          <w:sz w:val="20"/>
          <w:szCs w:val="20"/>
          <w:lang w:eastAsia="fr-FR"/>
        </w:rPr>
      </w:pPr>
      <w:r w:rsidRPr="00622884">
        <w:rPr>
          <w:rStyle w:val="FootnoteReference"/>
          <w:rFonts w:ascii="Garamond" w:hAnsi="Garamond" w:cs="Arial"/>
          <w:color w:val="000000"/>
          <w:sz w:val="20"/>
          <w:szCs w:val="20"/>
          <w:lang w:bidi="sq-AL"/>
        </w:rPr>
        <w:footnoteRef/>
      </w:r>
      <w:r w:rsidRPr="00622884">
        <w:rPr>
          <w:rFonts w:ascii="Garamond" w:hAnsi="Garamond" w:cs="Arial"/>
          <w:color w:val="000000"/>
          <w:sz w:val="20"/>
          <w:szCs w:val="20"/>
          <w:lang w:bidi="sq-AL"/>
        </w:rPr>
        <w:t xml:space="preserve"> Vlerësimi u mbështet te korniza konceptuale për vlerësimet e riskut klimatik, siç paraqitet në Raportin AR6 të PNNK-së për Ndikimet, Përshtatjen dhe Cenueshmërinë (2022).</w:t>
      </w:r>
    </w:p>
  </w:footnote>
  <w:footnote w:id="182">
    <w:p w14:paraId="736FD2F2" w14:textId="77777777" w:rsidR="00622884" w:rsidRPr="00622884" w:rsidRDefault="00622884" w:rsidP="00622884">
      <w:pPr>
        <w:pStyle w:val="Piedepgina"/>
        <w:spacing w:line="240" w:lineRule="auto"/>
        <w:rPr>
          <w:rFonts w:ascii="Garamond" w:hAnsi="Garamond" w:cs="Arial"/>
          <w:color w:val="000000"/>
          <w:sz w:val="20"/>
          <w:szCs w:val="20"/>
        </w:rPr>
      </w:pPr>
      <w:r w:rsidRPr="00622884">
        <w:rPr>
          <w:rStyle w:val="FootnoteReference"/>
          <w:rFonts w:ascii="Garamond" w:hAnsi="Garamond" w:cs="Arial"/>
          <w:color w:val="000000"/>
          <w:sz w:val="20"/>
          <w:szCs w:val="20"/>
          <w:lang w:bidi="sq-AL"/>
        </w:rPr>
        <w:footnoteRef/>
      </w:r>
      <w:r w:rsidRPr="00622884">
        <w:rPr>
          <w:rFonts w:ascii="Garamond" w:hAnsi="Garamond" w:cs="Arial"/>
          <w:color w:val="000000"/>
          <w:sz w:val="20"/>
          <w:szCs w:val="20"/>
          <w:lang w:bidi="sq-AL"/>
        </w:rPr>
        <w:t xml:space="preserve"> Vlerësimi i riskut klimatik në sektorin e bujqësisë: Mbështetje për plotësimin e mangësive në të dhënat dhe analizat e riskut të përshtatjes ndaj ndryshimeve klimatike. Hartuar në kuadër të projektit të UNDP-së për PKP-në, 2024.</w:t>
      </w:r>
    </w:p>
  </w:footnote>
  <w:footnote w:id="183">
    <w:p w14:paraId="23FC7BD7" w14:textId="77777777" w:rsidR="00622884" w:rsidRPr="00622884" w:rsidRDefault="00622884" w:rsidP="00622884">
      <w:pPr>
        <w:pStyle w:val="Piedepgina"/>
        <w:spacing w:line="240" w:lineRule="auto"/>
        <w:rPr>
          <w:rFonts w:ascii="Garamond" w:hAnsi="Garamond" w:cs="Arial"/>
          <w:color w:val="000000"/>
          <w:sz w:val="20"/>
          <w:szCs w:val="20"/>
        </w:rPr>
      </w:pPr>
      <w:r w:rsidRPr="00622884">
        <w:rPr>
          <w:rStyle w:val="FootnoteReference"/>
          <w:rFonts w:ascii="Garamond" w:hAnsi="Garamond" w:cs="Arial"/>
          <w:color w:val="000000"/>
          <w:sz w:val="20"/>
          <w:szCs w:val="20"/>
          <w:lang w:bidi="sq-AL"/>
        </w:rPr>
        <w:footnoteRef/>
      </w:r>
      <w:r w:rsidRPr="00622884">
        <w:rPr>
          <w:rFonts w:ascii="Garamond" w:hAnsi="Garamond" w:cs="Arial"/>
          <w:color w:val="000000"/>
          <w:sz w:val="20"/>
          <w:szCs w:val="20"/>
          <w:lang w:bidi="sq-AL"/>
        </w:rPr>
        <w:t xml:space="preserve"> Të pranishëm në 5/12 bashkitë bregdetare: Shkodër, Lezhë, Fier, Vlorë, Himarë, siç përcaktohet në Komunikimin e Katërt Kombëtar të Shqipërisë drejtuar UNFCCC-së (2022).</w:t>
      </w:r>
    </w:p>
  </w:footnote>
  <w:footnote w:id="184">
    <w:p w14:paraId="28279D21" w14:textId="77777777" w:rsidR="00622884" w:rsidRPr="00622884" w:rsidRDefault="00622884" w:rsidP="00622884">
      <w:pPr>
        <w:pStyle w:val="Piedepgina"/>
        <w:spacing w:line="240" w:lineRule="auto"/>
        <w:rPr>
          <w:rFonts w:ascii="Garamond" w:hAnsi="Garamond" w:cs="Arial"/>
          <w:color w:val="000000"/>
          <w:sz w:val="20"/>
          <w:szCs w:val="20"/>
        </w:rPr>
      </w:pPr>
      <w:r w:rsidRPr="00622884">
        <w:rPr>
          <w:rStyle w:val="FootnoteReference"/>
          <w:rFonts w:ascii="Garamond" w:hAnsi="Garamond" w:cs="Arial"/>
          <w:color w:val="000000"/>
          <w:sz w:val="20"/>
          <w:szCs w:val="20"/>
          <w:lang w:bidi="sq-AL"/>
        </w:rPr>
        <w:footnoteRef/>
      </w:r>
      <w:r w:rsidRPr="00622884">
        <w:rPr>
          <w:rFonts w:ascii="Garamond" w:hAnsi="Garamond" w:cs="Arial"/>
          <w:color w:val="000000"/>
          <w:sz w:val="20"/>
          <w:szCs w:val="20"/>
          <w:lang w:bidi="sq-AL"/>
        </w:rPr>
        <w:t xml:space="preserve"> Komunikimi i Katërt Kombëtar i Shqipërisë për Ndryshimet Klimatike, 2022.</w:t>
      </w:r>
    </w:p>
  </w:footnote>
  <w:footnote w:id="185">
    <w:p w14:paraId="12C3D368" w14:textId="77777777" w:rsidR="00622884" w:rsidRPr="00622884" w:rsidRDefault="00622884" w:rsidP="00622884">
      <w:pPr>
        <w:pStyle w:val="Piedepgina"/>
        <w:spacing w:line="240" w:lineRule="auto"/>
        <w:rPr>
          <w:rFonts w:ascii="Garamond" w:hAnsi="Garamond" w:cs="Arial"/>
          <w:color w:val="000000"/>
          <w:sz w:val="20"/>
          <w:szCs w:val="20"/>
        </w:rPr>
      </w:pPr>
      <w:r w:rsidRPr="00622884">
        <w:rPr>
          <w:rStyle w:val="FootnoteReference"/>
          <w:rFonts w:ascii="Garamond" w:hAnsi="Garamond" w:cs="Arial"/>
          <w:color w:val="000000"/>
          <w:sz w:val="20"/>
          <w:szCs w:val="20"/>
          <w:lang w:bidi="sq-AL"/>
        </w:rPr>
        <w:footnoteRef/>
      </w:r>
      <w:r w:rsidRPr="00622884">
        <w:rPr>
          <w:rFonts w:ascii="Garamond" w:hAnsi="Garamond" w:cs="Arial"/>
          <w:color w:val="000000"/>
          <w:sz w:val="20"/>
          <w:szCs w:val="20"/>
          <w:lang w:bidi="sq-AL"/>
        </w:rPr>
        <w:t xml:space="preserve"> </w:t>
      </w:r>
      <w:bookmarkStart w:id="249" w:name="_Hlk190681257"/>
      <w:r w:rsidRPr="00622884">
        <w:rPr>
          <w:rFonts w:ascii="Garamond" w:hAnsi="Garamond" w:cs="Arial"/>
          <w:color w:val="000000"/>
          <w:sz w:val="20"/>
          <w:szCs w:val="20"/>
          <w:lang w:bidi="sq-AL"/>
        </w:rPr>
        <w:t>Vlerësimi i riskut klimatik në sektorin e bujqësisë: Mbështetje për plotësimin e mangësive në të dhënat dhe analizat e riskut të përshtatjes ndaj ndryshimeve klimatike. Hartuar në kuadër të projektit të UNDP-së për PKP-në, 2024</w:t>
      </w:r>
      <w:bookmarkEnd w:id="249"/>
      <w:r w:rsidRPr="00622884">
        <w:rPr>
          <w:rFonts w:ascii="Garamond" w:hAnsi="Garamond" w:cs="Arial"/>
          <w:color w:val="000000"/>
          <w:sz w:val="20"/>
          <w:szCs w:val="20"/>
          <w:lang w:bidi="sq-AL"/>
        </w:rPr>
        <w:t>.</w:t>
      </w:r>
    </w:p>
  </w:footnote>
  <w:footnote w:id="186">
    <w:p w14:paraId="7D91FD24" w14:textId="77777777" w:rsidR="00622884" w:rsidRPr="00622884" w:rsidRDefault="00622884" w:rsidP="00622884">
      <w:pPr>
        <w:pStyle w:val="Piedepgina"/>
        <w:spacing w:line="240" w:lineRule="auto"/>
        <w:rPr>
          <w:rFonts w:ascii="Garamond" w:hAnsi="Garamond" w:cs="Arial"/>
          <w:color w:val="000000"/>
          <w:sz w:val="20"/>
          <w:szCs w:val="20"/>
        </w:rPr>
      </w:pPr>
      <w:r w:rsidRPr="00622884">
        <w:rPr>
          <w:rStyle w:val="FootnoteReference"/>
          <w:rFonts w:ascii="Garamond" w:hAnsi="Garamond" w:cs="Arial"/>
          <w:color w:val="000000"/>
          <w:sz w:val="20"/>
          <w:szCs w:val="20"/>
          <w:lang w:bidi="sq-AL"/>
        </w:rPr>
        <w:footnoteRef/>
      </w:r>
      <w:r w:rsidRPr="00622884">
        <w:rPr>
          <w:rFonts w:ascii="Garamond" w:hAnsi="Garamond" w:cs="Arial"/>
          <w:color w:val="000000"/>
          <w:sz w:val="20"/>
          <w:szCs w:val="20"/>
          <w:lang w:bidi="sq-AL"/>
        </w:rPr>
        <w:t xml:space="preserve"> Skenari më i mirë: Parashikimet e SPS1-1.9 deri në vitin 2030; Skenari më i keq: SPS5-8.5 deri në vitin 2050.</w:t>
      </w:r>
    </w:p>
  </w:footnote>
  <w:footnote w:id="187">
    <w:p w14:paraId="64A94F67" w14:textId="77777777" w:rsidR="00622884" w:rsidRPr="00622884" w:rsidRDefault="00622884" w:rsidP="00622884">
      <w:pPr>
        <w:pStyle w:val="Piedepgina"/>
        <w:spacing w:line="240" w:lineRule="auto"/>
        <w:rPr>
          <w:rFonts w:ascii="Garamond" w:hAnsi="Garamond" w:cs="Arial"/>
          <w:color w:val="000000"/>
          <w:sz w:val="20"/>
          <w:szCs w:val="20"/>
        </w:rPr>
      </w:pPr>
      <w:r w:rsidRPr="00622884">
        <w:rPr>
          <w:rStyle w:val="FootnoteReference"/>
          <w:rFonts w:ascii="Garamond" w:hAnsi="Garamond" w:cs="Arial"/>
          <w:color w:val="000000"/>
          <w:sz w:val="20"/>
          <w:szCs w:val="20"/>
          <w:lang w:bidi="sq-AL"/>
        </w:rPr>
        <w:footnoteRef/>
      </w:r>
      <w:r w:rsidRPr="00622884">
        <w:rPr>
          <w:rFonts w:ascii="Garamond" w:hAnsi="Garamond" w:cs="Arial"/>
          <w:color w:val="000000"/>
          <w:sz w:val="20"/>
          <w:szCs w:val="20"/>
          <w:lang w:bidi="sq-AL"/>
        </w:rPr>
        <w:t xml:space="preserve"> Në 6 nga 12 bashkitë bregdetare (Lezhë, Kurbin, Durrës, Rrogozhinë, Fier, Vlorë) </w:t>
      </w:r>
    </w:p>
  </w:footnote>
  <w:footnote w:id="188">
    <w:p w14:paraId="4E58100A" w14:textId="77777777" w:rsidR="00622884" w:rsidRPr="00622884" w:rsidRDefault="00622884" w:rsidP="00622884">
      <w:pPr>
        <w:pStyle w:val="Piedepgina"/>
        <w:spacing w:line="240" w:lineRule="auto"/>
        <w:rPr>
          <w:rFonts w:ascii="Garamond" w:hAnsi="Garamond" w:cs="Arial"/>
          <w:color w:val="000000"/>
          <w:sz w:val="20"/>
          <w:szCs w:val="20"/>
        </w:rPr>
      </w:pPr>
      <w:r w:rsidRPr="00622884">
        <w:rPr>
          <w:rStyle w:val="FootnoteReference"/>
          <w:rFonts w:ascii="Garamond" w:hAnsi="Garamond" w:cs="Arial"/>
          <w:color w:val="000000"/>
          <w:sz w:val="20"/>
          <w:szCs w:val="20"/>
          <w:lang w:bidi="sq-AL"/>
        </w:rPr>
        <w:footnoteRef/>
      </w:r>
      <w:r w:rsidRPr="00622884">
        <w:rPr>
          <w:rFonts w:ascii="Garamond" w:hAnsi="Garamond" w:cs="Arial"/>
          <w:color w:val="000000"/>
          <w:sz w:val="20"/>
          <w:szCs w:val="20"/>
          <w:lang w:bidi="sq-AL"/>
        </w:rPr>
        <w:t xml:space="preserve"> KKP, 2021</w:t>
      </w:r>
    </w:p>
  </w:footnote>
  <w:footnote w:id="189">
    <w:p w14:paraId="236C1F82" w14:textId="77777777" w:rsidR="00622884" w:rsidRPr="00622884" w:rsidRDefault="00622884" w:rsidP="00622884">
      <w:pPr>
        <w:pStyle w:val="Piedepgina"/>
        <w:spacing w:line="240" w:lineRule="auto"/>
        <w:rPr>
          <w:rFonts w:ascii="Garamond" w:hAnsi="Garamond" w:cs="Arial"/>
          <w:color w:val="000000"/>
          <w:sz w:val="20"/>
          <w:szCs w:val="20"/>
        </w:rPr>
      </w:pPr>
      <w:r w:rsidRPr="00622884">
        <w:rPr>
          <w:rStyle w:val="FootnoteReference"/>
          <w:rFonts w:ascii="Garamond" w:hAnsi="Garamond" w:cs="Arial"/>
          <w:color w:val="000000"/>
          <w:sz w:val="20"/>
          <w:szCs w:val="20"/>
          <w:lang w:bidi="sq-AL"/>
        </w:rPr>
        <w:footnoteRef/>
      </w:r>
      <w:r w:rsidRPr="00622884">
        <w:rPr>
          <w:rFonts w:ascii="Garamond" w:hAnsi="Garamond" w:cs="Arial"/>
          <w:color w:val="000000"/>
          <w:sz w:val="20"/>
          <w:szCs w:val="20"/>
          <w:lang w:bidi="sq-AL"/>
        </w:rPr>
        <w:t xml:space="preserve"> Komunikimi i Katërt Kombëtar i Shqipërisë për Ndryshimet Klimatike, 2022.</w:t>
      </w:r>
    </w:p>
  </w:footnote>
  <w:footnote w:id="190">
    <w:p w14:paraId="060189D5" w14:textId="77777777" w:rsidR="00622884" w:rsidRPr="00622884" w:rsidRDefault="00622884" w:rsidP="00622884">
      <w:pPr>
        <w:pStyle w:val="Piedepgina"/>
        <w:spacing w:line="240" w:lineRule="auto"/>
        <w:rPr>
          <w:rFonts w:ascii="Garamond" w:hAnsi="Garamond" w:cs="Arial"/>
          <w:color w:val="000000"/>
          <w:sz w:val="20"/>
          <w:szCs w:val="20"/>
        </w:rPr>
      </w:pPr>
      <w:r w:rsidRPr="00622884">
        <w:rPr>
          <w:rStyle w:val="FootnoteReference"/>
          <w:rFonts w:ascii="Garamond" w:hAnsi="Garamond" w:cs="Arial"/>
          <w:color w:val="000000"/>
          <w:sz w:val="20"/>
          <w:szCs w:val="20"/>
          <w:lang w:bidi="sq-AL"/>
        </w:rPr>
        <w:footnoteRef/>
      </w:r>
      <w:r w:rsidRPr="00622884">
        <w:rPr>
          <w:rFonts w:ascii="Garamond" w:hAnsi="Garamond" w:cs="Arial"/>
          <w:color w:val="000000"/>
          <w:sz w:val="20"/>
          <w:szCs w:val="20"/>
          <w:lang w:bidi="sq-AL"/>
        </w:rPr>
        <w:t xml:space="preserve"> Vlerësimi i riskut klimatik në sektorin e turizmit: Mbështetje për plotësimin e mangësive në të dhënat dhe analizat e riskut të përshtatjes ndaj ndryshimeve klimatike. Hartuar në kuadër të projektit të UNDP-së për PKP-në. Ministria e Mjedisit, 2023</w:t>
      </w:r>
      <w:r w:rsidRPr="00716CBF">
        <w:rPr>
          <w:rFonts w:ascii="Garamond" w:hAnsi="Garamond" w:cs="Times New Roman"/>
          <w:sz w:val="20"/>
          <w:szCs w:val="20"/>
        </w:rPr>
        <w:t>–</w:t>
      </w:r>
      <w:r w:rsidRPr="00622884">
        <w:rPr>
          <w:rFonts w:ascii="Garamond" w:hAnsi="Garamond" w:cs="Arial"/>
          <w:color w:val="000000"/>
          <w:sz w:val="20"/>
          <w:szCs w:val="20"/>
          <w:lang w:bidi="sq-AL"/>
        </w:rPr>
        <w:t>2025.</w:t>
      </w:r>
    </w:p>
  </w:footnote>
  <w:footnote w:id="191">
    <w:p w14:paraId="04116E6C" w14:textId="77777777" w:rsidR="00622884" w:rsidRPr="00622884" w:rsidRDefault="00622884" w:rsidP="00622884">
      <w:pPr>
        <w:pStyle w:val="Piedepgina"/>
        <w:spacing w:line="240" w:lineRule="auto"/>
        <w:rPr>
          <w:rFonts w:ascii="Garamond" w:hAnsi="Garamond" w:cs="Arial"/>
          <w:color w:val="000000"/>
          <w:sz w:val="20"/>
          <w:szCs w:val="20"/>
          <w:lang w:val="it-IT"/>
        </w:rPr>
      </w:pPr>
      <w:r w:rsidRPr="00622884">
        <w:rPr>
          <w:rStyle w:val="FootnoteReference"/>
          <w:rFonts w:ascii="Garamond" w:hAnsi="Garamond" w:cs="Arial"/>
          <w:color w:val="000000"/>
          <w:sz w:val="20"/>
          <w:szCs w:val="20"/>
          <w:lang w:bidi="sq-AL"/>
        </w:rPr>
        <w:footnoteRef/>
      </w:r>
      <w:r w:rsidRPr="00622884">
        <w:rPr>
          <w:rFonts w:ascii="Garamond" w:hAnsi="Garamond" w:cs="Arial"/>
          <w:color w:val="000000"/>
          <w:sz w:val="20"/>
          <w:szCs w:val="20"/>
          <w:lang w:bidi="sq-AL"/>
        </w:rPr>
        <w:t xml:space="preserve"> Vlerësimi i riskut klimatik në sektorin e energjisë: Mbështetje për plotësimin e mangësive në të dhënat dhe analizat e riskut të përshtatjes ndaj ndryshimeve klimatike. Hartuar në kuadër të projektit të UNDP-së për PKP-në. Ministria e Mjedisit, 2024. </w:t>
      </w:r>
    </w:p>
  </w:footnote>
  <w:footnote w:id="192">
    <w:p w14:paraId="2BC5E7FF" w14:textId="77777777" w:rsidR="00622884" w:rsidRPr="00622884" w:rsidRDefault="00622884" w:rsidP="00622884">
      <w:pPr>
        <w:pStyle w:val="Piedepgina"/>
        <w:spacing w:line="240" w:lineRule="auto"/>
        <w:rPr>
          <w:rFonts w:ascii="Garamond" w:hAnsi="Garamond" w:cs="Arial"/>
          <w:color w:val="000000"/>
          <w:sz w:val="20"/>
          <w:szCs w:val="20"/>
        </w:rPr>
      </w:pPr>
      <w:r w:rsidRPr="00622884">
        <w:rPr>
          <w:rFonts w:ascii="Garamond" w:hAnsi="Garamond" w:cs="Arial"/>
          <w:color w:val="000000"/>
          <w:sz w:val="20"/>
          <w:szCs w:val="20"/>
          <w:vertAlign w:val="superscript"/>
          <w:lang w:bidi="sq-AL"/>
        </w:rPr>
        <w:footnoteRef/>
      </w:r>
      <w:r w:rsidRPr="00622884">
        <w:rPr>
          <w:rFonts w:ascii="Garamond" w:hAnsi="Garamond" w:cs="Arial"/>
          <w:color w:val="000000"/>
          <w:sz w:val="20"/>
          <w:szCs w:val="20"/>
          <w:lang w:bidi="sq-AL"/>
        </w:rPr>
        <w:t xml:space="preserve"> Raporti fillestar për procesin e PKP-së në SHQIPËRI. Hartuar në kuadër të projektit të UNDP-së për PKP-në, dhjetor 2022. </w:t>
      </w:r>
    </w:p>
  </w:footnote>
  <w:footnote w:id="193">
    <w:p w14:paraId="6261F568" w14:textId="77777777" w:rsidR="00622884" w:rsidRPr="00622884" w:rsidRDefault="00622884" w:rsidP="00622884">
      <w:pPr>
        <w:pStyle w:val="Piedepgina"/>
        <w:spacing w:line="240" w:lineRule="auto"/>
        <w:rPr>
          <w:rFonts w:ascii="Garamond" w:hAnsi="Garamond" w:cs="Arial"/>
          <w:color w:val="000000"/>
          <w:sz w:val="20"/>
          <w:szCs w:val="20"/>
        </w:rPr>
      </w:pPr>
      <w:r w:rsidRPr="00622884">
        <w:rPr>
          <w:rFonts w:ascii="Garamond" w:hAnsi="Garamond" w:cs="Arial"/>
          <w:color w:val="000000"/>
          <w:sz w:val="20"/>
          <w:szCs w:val="20"/>
          <w:vertAlign w:val="superscript"/>
          <w:lang w:bidi="sq-AL"/>
        </w:rPr>
        <w:footnoteRef/>
      </w:r>
      <w:r w:rsidRPr="00622884">
        <w:rPr>
          <w:rFonts w:ascii="Garamond" w:hAnsi="Garamond" w:cs="Arial"/>
          <w:color w:val="000000"/>
          <w:sz w:val="20"/>
          <w:szCs w:val="20"/>
          <w:lang w:bidi="sq-AL"/>
        </w:rPr>
        <w:t xml:space="preserve"> </w:t>
      </w:r>
      <w:r w:rsidRPr="00622884">
        <w:rPr>
          <w:rFonts w:ascii="Garamond" w:hAnsi="Garamond" w:cs="Arial"/>
          <w:i/>
          <w:color w:val="000000"/>
          <w:sz w:val="20"/>
          <w:szCs w:val="20"/>
          <w:lang w:bidi="sq-AL"/>
        </w:rPr>
        <w:t>First Mediterranean Assessment Report</w:t>
      </w:r>
      <w:r w:rsidRPr="00622884">
        <w:rPr>
          <w:rFonts w:ascii="Garamond" w:hAnsi="Garamond" w:cs="Arial"/>
          <w:color w:val="000000"/>
          <w:sz w:val="20"/>
          <w:szCs w:val="20"/>
          <w:lang w:bidi="sq-AL"/>
        </w:rPr>
        <w:t xml:space="preserve"> (MAR1) [Raporti i Parë i Vlerësimit për Mesdheun].</w:t>
      </w:r>
    </w:p>
  </w:footnote>
  <w:footnote w:id="194">
    <w:p w14:paraId="63107377" w14:textId="77777777" w:rsidR="00622884" w:rsidRPr="00622884" w:rsidRDefault="00622884" w:rsidP="00622884">
      <w:pPr>
        <w:pStyle w:val="Piedepgina"/>
        <w:spacing w:line="240" w:lineRule="auto"/>
        <w:rPr>
          <w:rFonts w:ascii="Garamond" w:hAnsi="Garamond" w:cs="Arial"/>
          <w:color w:val="000000"/>
          <w:sz w:val="20"/>
          <w:szCs w:val="20"/>
        </w:rPr>
      </w:pPr>
      <w:r w:rsidRPr="00622884">
        <w:rPr>
          <w:rStyle w:val="FootnoteReference"/>
          <w:rFonts w:ascii="Garamond" w:hAnsi="Garamond" w:cs="Arial"/>
          <w:color w:val="000000"/>
          <w:sz w:val="20"/>
          <w:szCs w:val="20"/>
          <w:lang w:bidi="sq-AL"/>
        </w:rPr>
        <w:footnoteRef/>
      </w:r>
      <w:r w:rsidRPr="00622884">
        <w:rPr>
          <w:rFonts w:ascii="Garamond" w:hAnsi="Garamond" w:cs="Arial"/>
          <w:color w:val="000000"/>
          <w:sz w:val="20"/>
          <w:szCs w:val="20"/>
          <w:lang w:bidi="sq-AL"/>
        </w:rPr>
        <w:t xml:space="preserve"> </w:t>
      </w:r>
      <w:r w:rsidRPr="00622884">
        <w:rPr>
          <w:rFonts w:ascii="Garamond" w:hAnsi="Garamond" w:cs="Arial"/>
          <w:i/>
          <w:color w:val="000000"/>
          <w:sz w:val="20"/>
          <w:szCs w:val="20"/>
          <w:lang w:bidi="sq-AL"/>
        </w:rPr>
        <w:t>City of Tirana, Adapting Our City to a Changing Climate: Vulnerability Assessment and Adaptation Action Plan for Tirana</w:t>
      </w:r>
      <w:r w:rsidRPr="00622884">
        <w:rPr>
          <w:rFonts w:ascii="Garamond" w:hAnsi="Garamond" w:cs="Arial"/>
          <w:color w:val="000000"/>
          <w:sz w:val="20"/>
          <w:szCs w:val="20"/>
          <w:lang w:bidi="sq-AL"/>
        </w:rPr>
        <w:t xml:space="preserve"> [Qyteti i Tiranës, Përshtatja e qytetit tonë ndaj ndryshimeve klimaterike: vlerësimi i cenueshmërisë dhe plani i veprimit për përshtatje për Tiranën, 2015]. </w:t>
      </w:r>
    </w:p>
  </w:footnote>
  <w:footnote w:id="195">
    <w:p w14:paraId="092A9086" w14:textId="77777777" w:rsidR="00622884" w:rsidRPr="00622884" w:rsidRDefault="00622884" w:rsidP="00622884">
      <w:pPr>
        <w:pStyle w:val="Piedepgina"/>
        <w:spacing w:line="240" w:lineRule="auto"/>
        <w:rPr>
          <w:rFonts w:ascii="Garamond" w:hAnsi="Garamond" w:cs="Arial"/>
          <w:color w:val="000000"/>
          <w:sz w:val="20"/>
          <w:szCs w:val="20"/>
        </w:rPr>
      </w:pPr>
      <w:r w:rsidRPr="00622884">
        <w:rPr>
          <w:rFonts w:ascii="Garamond" w:hAnsi="Garamond" w:cs="Arial"/>
          <w:color w:val="000000"/>
          <w:sz w:val="20"/>
          <w:szCs w:val="20"/>
          <w:vertAlign w:val="superscript"/>
          <w:lang w:bidi="sq-AL"/>
        </w:rPr>
        <w:footnoteRef/>
      </w:r>
      <w:r w:rsidRPr="00622884">
        <w:rPr>
          <w:rFonts w:ascii="Garamond" w:hAnsi="Garamond" w:cs="Arial"/>
          <w:color w:val="000000"/>
          <w:sz w:val="20"/>
          <w:szCs w:val="20"/>
          <w:lang w:bidi="sq-AL"/>
        </w:rPr>
        <w:t xml:space="preserve"> </w:t>
      </w:r>
      <w:r w:rsidRPr="00622884">
        <w:rPr>
          <w:rFonts w:ascii="Garamond" w:hAnsi="Garamond" w:cs="Arial"/>
          <w:i/>
          <w:color w:val="000000"/>
          <w:sz w:val="20"/>
          <w:szCs w:val="20"/>
          <w:lang w:bidi="sq-AL"/>
        </w:rPr>
        <w:t>First Mediterranean Assessment Report</w:t>
      </w:r>
      <w:r w:rsidRPr="00622884">
        <w:rPr>
          <w:rFonts w:ascii="Garamond" w:hAnsi="Garamond" w:cs="Arial"/>
          <w:color w:val="000000"/>
          <w:sz w:val="20"/>
          <w:szCs w:val="20"/>
          <w:lang w:bidi="sq-AL"/>
        </w:rPr>
        <w:t xml:space="preserve"> (MAR1) [Raporti i Parë i Vlerësimit për Mesdheun].</w:t>
      </w:r>
    </w:p>
  </w:footnote>
  <w:footnote w:id="196">
    <w:p w14:paraId="40F7148F" w14:textId="77777777" w:rsidR="00622884" w:rsidRPr="00622884" w:rsidRDefault="00622884" w:rsidP="00622884">
      <w:pPr>
        <w:pStyle w:val="Piedepgina"/>
        <w:spacing w:line="240" w:lineRule="auto"/>
        <w:rPr>
          <w:rFonts w:ascii="Garamond" w:hAnsi="Garamond" w:cs="Arial"/>
          <w:color w:val="000000"/>
          <w:sz w:val="20"/>
          <w:szCs w:val="20"/>
        </w:rPr>
      </w:pPr>
      <w:r w:rsidRPr="00622884">
        <w:rPr>
          <w:rStyle w:val="FootnoteReference"/>
          <w:rFonts w:ascii="Garamond" w:hAnsi="Garamond" w:cs="Arial"/>
          <w:color w:val="000000"/>
          <w:sz w:val="20"/>
          <w:szCs w:val="20"/>
          <w:lang w:bidi="sq-AL"/>
        </w:rPr>
        <w:footnoteRef/>
      </w:r>
      <w:r w:rsidRPr="00622884">
        <w:rPr>
          <w:rFonts w:ascii="Garamond" w:hAnsi="Garamond" w:cs="Arial"/>
          <w:color w:val="000000"/>
          <w:sz w:val="20"/>
          <w:szCs w:val="20"/>
          <w:lang w:bidi="sq-AL"/>
        </w:rPr>
        <w:t xml:space="preserve"> </w:t>
      </w:r>
      <w:r w:rsidRPr="00622884">
        <w:rPr>
          <w:rFonts w:ascii="Garamond" w:hAnsi="Garamond" w:cs="Arial"/>
          <w:i/>
          <w:color w:val="000000"/>
          <w:sz w:val="20"/>
          <w:szCs w:val="20"/>
          <w:lang w:bidi="sq-AL"/>
        </w:rPr>
        <w:t xml:space="preserve">Climate risk assessment of urban development; support to filling gaps in climate change adaptation data and risk analysis </w:t>
      </w:r>
      <w:r w:rsidRPr="00622884">
        <w:rPr>
          <w:rFonts w:ascii="Garamond" w:hAnsi="Garamond" w:cs="Arial"/>
          <w:color w:val="000000"/>
          <w:sz w:val="20"/>
          <w:szCs w:val="20"/>
          <w:lang w:bidi="sq-AL"/>
        </w:rPr>
        <w:t>[Vlerësimi i riskut klimatik në sektorin e zhvillimit urban; mbështetje për plotësimin e mangësive në të dhënat dhe analizat e riskut të përshtatjes ndaj ndryshimeve klimatike]. Hartuar në kuadër të projektit të UNDP-së për PKP-në. Ministria e Mjedisit, 2023</w:t>
      </w:r>
      <w:r w:rsidRPr="00716CBF">
        <w:rPr>
          <w:rFonts w:ascii="Garamond" w:hAnsi="Garamond" w:cs="Times New Roman"/>
          <w:sz w:val="20"/>
          <w:szCs w:val="20"/>
        </w:rPr>
        <w:t>–</w:t>
      </w:r>
      <w:r w:rsidRPr="00622884">
        <w:rPr>
          <w:rFonts w:ascii="Garamond" w:hAnsi="Garamond" w:cs="Arial"/>
          <w:color w:val="000000"/>
          <w:sz w:val="20"/>
          <w:szCs w:val="20"/>
          <w:lang w:bidi="sq-AL"/>
        </w:rPr>
        <w:t xml:space="preserve">2025. </w:t>
      </w:r>
    </w:p>
  </w:footnote>
  <w:footnote w:id="197">
    <w:p w14:paraId="61DC8E69" w14:textId="77777777" w:rsidR="00622884" w:rsidRPr="00622884" w:rsidRDefault="00622884" w:rsidP="00622884">
      <w:pPr>
        <w:pStyle w:val="Piedepgina"/>
        <w:spacing w:line="240" w:lineRule="auto"/>
        <w:rPr>
          <w:rFonts w:ascii="Garamond" w:hAnsi="Garamond" w:cs="Arial"/>
          <w:color w:val="000000"/>
          <w:sz w:val="20"/>
          <w:szCs w:val="20"/>
        </w:rPr>
      </w:pPr>
      <w:r w:rsidRPr="00622884">
        <w:rPr>
          <w:rStyle w:val="FootnoteReference"/>
          <w:rFonts w:ascii="Garamond" w:hAnsi="Garamond" w:cs="Arial"/>
          <w:color w:val="000000"/>
          <w:sz w:val="20"/>
          <w:szCs w:val="20"/>
          <w:lang w:bidi="sq-AL"/>
        </w:rPr>
        <w:footnoteRef/>
      </w:r>
      <w:r w:rsidRPr="00622884">
        <w:rPr>
          <w:rFonts w:ascii="Garamond" w:hAnsi="Garamond" w:cs="Arial"/>
          <w:color w:val="000000"/>
          <w:sz w:val="20"/>
          <w:szCs w:val="20"/>
          <w:lang w:bidi="sq-AL"/>
        </w:rPr>
        <w:t xml:space="preserve"> ZMF: Zona e Mesdhetare Fushore; ZMK: Zona Mesdhetare Kodrinore; ZMP: Zona Mesdhetare Paramalore; ZMM: Zona Mesdhetare Malore</w:t>
      </w:r>
    </w:p>
  </w:footnote>
  <w:footnote w:id="198">
    <w:p w14:paraId="65503187" w14:textId="77777777" w:rsidR="00622884" w:rsidRPr="00622884" w:rsidRDefault="00622884" w:rsidP="00622884">
      <w:pPr>
        <w:pStyle w:val="Piedepgina"/>
        <w:spacing w:line="240" w:lineRule="auto"/>
        <w:rPr>
          <w:rFonts w:ascii="Garamond" w:hAnsi="Garamond" w:cs="Arial"/>
          <w:color w:val="000000"/>
          <w:sz w:val="20"/>
          <w:szCs w:val="20"/>
        </w:rPr>
      </w:pPr>
      <w:r w:rsidRPr="00622884">
        <w:rPr>
          <w:rStyle w:val="FootnoteReference"/>
          <w:rFonts w:ascii="Garamond" w:hAnsi="Garamond" w:cs="Arial"/>
          <w:color w:val="000000"/>
          <w:sz w:val="20"/>
          <w:szCs w:val="20"/>
          <w:lang w:bidi="sq-AL"/>
        </w:rPr>
        <w:footnoteRef/>
      </w:r>
      <w:r w:rsidRPr="00622884">
        <w:rPr>
          <w:rFonts w:ascii="Garamond" w:hAnsi="Garamond" w:cs="Arial"/>
          <w:color w:val="000000"/>
          <w:sz w:val="20"/>
          <w:szCs w:val="20"/>
          <w:lang w:bidi="sq-AL"/>
        </w:rPr>
        <w:t xml:space="preserve"> </w:t>
      </w:r>
      <w:r w:rsidRPr="00622884">
        <w:rPr>
          <w:rFonts w:ascii="Garamond" w:hAnsi="Garamond" w:cs="Arial"/>
          <w:i/>
          <w:color w:val="000000"/>
          <w:sz w:val="20"/>
          <w:szCs w:val="20"/>
          <w:lang w:bidi="sq-AL"/>
        </w:rPr>
        <w:t>Cross-Sectoral Risk Assessment</w:t>
      </w:r>
      <w:r w:rsidRPr="00622884">
        <w:rPr>
          <w:rFonts w:ascii="Garamond" w:hAnsi="Garamond" w:cs="Arial"/>
          <w:color w:val="000000"/>
          <w:sz w:val="20"/>
          <w:szCs w:val="20"/>
          <w:lang w:bidi="sq-AL"/>
        </w:rPr>
        <w:t xml:space="preserve"> [Vlerësimi i riskut ndërsektorial]. Hartuar në kuadër të projektit të UNDP-së për PKP-në. Ministria e Mjedisit, 2023</w:t>
      </w:r>
      <w:r w:rsidRPr="00716CBF">
        <w:rPr>
          <w:rFonts w:ascii="Garamond" w:hAnsi="Garamond" w:cs="Times New Roman"/>
          <w:sz w:val="20"/>
          <w:szCs w:val="20"/>
        </w:rPr>
        <w:t>–</w:t>
      </w:r>
      <w:r w:rsidRPr="00622884">
        <w:rPr>
          <w:rFonts w:ascii="Garamond" w:hAnsi="Garamond" w:cs="Arial"/>
          <w:color w:val="000000"/>
          <w:sz w:val="20"/>
          <w:szCs w:val="20"/>
          <w:lang w:bidi="sq-AL"/>
        </w:rPr>
        <w:t xml:space="preserve">2025. </w:t>
      </w:r>
    </w:p>
  </w:footnote>
  <w:footnote w:id="199">
    <w:p w14:paraId="5088EAA6" w14:textId="77777777" w:rsidR="00622884" w:rsidRPr="00622884" w:rsidRDefault="00622884" w:rsidP="00622884">
      <w:pPr>
        <w:pStyle w:val="Piedepgina"/>
        <w:spacing w:line="240" w:lineRule="auto"/>
        <w:rPr>
          <w:rFonts w:ascii="Garamond" w:hAnsi="Garamond" w:cs="Arial"/>
          <w:color w:val="000000"/>
          <w:sz w:val="20"/>
          <w:szCs w:val="20"/>
        </w:rPr>
      </w:pPr>
      <w:r w:rsidRPr="00622884">
        <w:rPr>
          <w:rStyle w:val="FootnoteReference"/>
          <w:rFonts w:ascii="Garamond" w:hAnsi="Garamond" w:cs="Arial"/>
          <w:color w:val="000000"/>
          <w:sz w:val="20"/>
          <w:szCs w:val="20"/>
          <w:lang w:bidi="sq-AL"/>
        </w:rPr>
        <w:footnoteRef/>
      </w:r>
      <w:r w:rsidRPr="00622884">
        <w:rPr>
          <w:rFonts w:ascii="Garamond" w:hAnsi="Garamond" w:cs="Arial"/>
          <w:color w:val="000000"/>
          <w:sz w:val="20"/>
          <w:szCs w:val="20"/>
          <w:lang w:bidi="sq-AL"/>
        </w:rPr>
        <w:t xml:space="preserve"> </w:t>
      </w:r>
      <w:r w:rsidRPr="00622884">
        <w:rPr>
          <w:rFonts w:ascii="Garamond" w:hAnsi="Garamond" w:cs="Arial"/>
          <w:i/>
          <w:color w:val="000000"/>
          <w:sz w:val="20"/>
          <w:szCs w:val="20"/>
          <w:lang w:bidi="sq-AL"/>
        </w:rPr>
        <w:t>Cross-Sectoral Risk Assessment</w:t>
      </w:r>
      <w:r w:rsidRPr="00622884">
        <w:rPr>
          <w:rFonts w:ascii="Garamond" w:hAnsi="Garamond" w:cs="Arial"/>
          <w:color w:val="000000"/>
          <w:sz w:val="20"/>
          <w:szCs w:val="20"/>
          <w:lang w:bidi="sq-AL"/>
        </w:rPr>
        <w:t xml:space="preserve"> [Vlerësimi i riskut ndërsektorial]. Hartuar në kuadër të projektit të UNDP-së për PKP-në. Ministria e Mjedisit, 2023</w:t>
      </w:r>
      <w:r w:rsidRPr="003218BF">
        <w:rPr>
          <w:rFonts w:ascii="Garamond" w:hAnsi="Garamond" w:cs="Times New Roman"/>
          <w:sz w:val="20"/>
          <w:szCs w:val="20"/>
        </w:rPr>
        <w:t>–</w:t>
      </w:r>
      <w:r w:rsidRPr="00622884">
        <w:rPr>
          <w:rFonts w:ascii="Garamond" w:hAnsi="Garamond" w:cs="Arial"/>
          <w:color w:val="000000"/>
          <w:sz w:val="20"/>
          <w:szCs w:val="20"/>
          <w:lang w:bidi="sq-AL"/>
        </w:rPr>
        <w:t xml:space="preserve">2025. </w:t>
      </w:r>
    </w:p>
  </w:footnote>
  <w:footnote w:id="200">
    <w:p w14:paraId="2F9EBDA5" w14:textId="77777777" w:rsidR="00622884" w:rsidRPr="00622884" w:rsidRDefault="00622884" w:rsidP="00622884">
      <w:pPr>
        <w:pStyle w:val="Piedepgina"/>
        <w:spacing w:line="240" w:lineRule="auto"/>
        <w:rPr>
          <w:rFonts w:ascii="Garamond" w:hAnsi="Garamond" w:cs="Arial"/>
          <w:color w:val="000000"/>
          <w:sz w:val="20"/>
          <w:szCs w:val="20"/>
        </w:rPr>
      </w:pPr>
      <w:r w:rsidRPr="00622884">
        <w:rPr>
          <w:rStyle w:val="FootnoteReference"/>
          <w:rFonts w:ascii="Garamond" w:hAnsi="Garamond" w:cs="Arial"/>
          <w:color w:val="000000"/>
          <w:sz w:val="20"/>
          <w:szCs w:val="20"/>
          <w:lang w:bidi="sq-AL"/>
        </w:rPr>
        <w:footnoteRef/>
      </w:r>
      <w:r w:rsidRPr="00622884">
        <w:rPr>
          <w:rFonts w:ascii="Garamond" w:hAnsi="Garamond" w:cs="Arial"/>
          <w:color w:val="000000"/>
          <w:sz w:val="20"/>
          <w:szCs w:val="20"/>
          <w:lang w:bidi="sq-AL"/>
        </w:rPr>
        <w:t xml:space="preserve"> Në zonat e: Durrësit, Elbasanit, Fierit, Gjirokastrës, Krujës, Kukësit, Përmetit, Vlorës.</w:t>
      </w:r>
    </w:p>
  </w:footnote>
  <w:footnote w:id="201">
    <w:p w14:paraId="77DE2686" w14:textId="77777777" w:rsidR="00622884" w:rsidRPr="00622884" w:rsidRDefault="00622884" w:rsidP="00622884">
      <w:pPr>
        <w:pStyle w:val="Piedepgina"/>
        <w:spacing w:line="240" w:lineRule="auto"/>
        <w:rPr>
          <w:rFonts w:ascii="Garamond" w:hAnsi="Garamond" w:cs="Arial"/>
          <w:color w:val="000000"/>
          <w:sz w:val="20"/>
          <w:szCs w:val="20"/>
          <w:highlight w:val="yellow"/>
        </w:rPr>
      </w:pPr>
      <w:r w:rsidRPr="00622884">
        <w:rPr>
          <w:rStyle w:val="FootnoteReference"/>
          <w:rFonts w:ascii="Garamond" w:hAnsi="Garamond" w:cs="Arial"/>
          <w:color w:val="000000"/>
          <w:sz w:val="20"/>
          <w:szCs w:val="20"/>
          <w:lang w:bidi="sq-AL"/>
        </w:rPr>
        <w:footnoteRef/>
      </w:r>
      <w:r w:rsidRPr="00622884">
        <w:rPr>
          <w:rFonts w:ascii="Garamond" w:hAnsi="Garamond" w:cs="Arial"/>
          <w:color w:val="000000"/>
          <w:sz w:val="20"/>
          <w:szCs w:val="20"/>
          <w:lang w:bidi="sq-AL"/>
        </w:rPr>
        <w:t xml:space="preserve"> Kriteret ndërsektoriale të identifikuara të bazuara në evidenca për kuadrin e prioritizimit; procesi i prioritizimit është vënë në zbatim për alternativat e përshtatjes. Hartuar në kuadër të projektit të UNDP-së për PKP-në. Ministria e Mjedisit, 2023</w:t>
      </w:r>
      <w:r w:rsidRPr="003218BF">
        <w:rPr>
          <w:rFonts w:ascii="Garamond" w:hAnsi="Garamond" w:cs="Times New Roman"/>
          <w:sz w:val="20"/>
          <w:szCs w:val="20"/>
        </w:rPr>
        <w:t>–</w:t>
      </w:r>
      <w:r w:rsidRPr="00622884">
        <w:rPr>
          <w:rFonts w:ascii="Garamond" w:hAnsi="Garamond" w:cs="Arial"/>
          <w:color w:val="000000"/>
          <w:sz w:val="20"/>
          <w:szCs w:val="20"/>
          <w:lang w:bidi="sq-AL"/>
        </w:rPr>
        <w:t>2025.</w:t>
      </w:r>
    </w:p>
  </w:footnote>
  <w:footnote w:id="202">
    <w:p w14:paraId="2078DCBD" w14:textId="77777777" w:rsidR="00622884" w:rsidRPr="00622884" w:rsidRDefault="00622884" w:rsidP="00622884">
      <w:pPr>
        <w:pStyle w:val="Piedepgina"/>
        <w:spacing w:line="240" w:lineRule="auto"/>
        <w:rPr>
          <w:rFonts w:ascii="Garamond" w:hAnsi="Garamond" w:cs="Arial"/>
          <w:color w:val="000000"/>
          <w:sz w:val="20"/>
          <w:szCs w:val="20"/>
        </w:rPr>
      </w:pPr>
      <w:r w:rsidRPr="00622884">
        <w:rPr>
          <w:rStyle w:val="FootnoteReference"/>
          <w:rFonts w:ascii="Garamond" w:hAnsi="Garamond" w:cs="Arial"/>
          <w:color w:val="000000"/>
          <w:sz w:val="20"/>
          <w:szCs w:val="20"/>
          <w:lang w:bidi="sq-AL"/>
        </w:rPr>
        <w:footnoteRef/>
      </w:r>
      <w:r w:rsidRPr="00622884">
        <w:rPr>
          <w:rFonts w:ascii="Garamond" w:hAnsi="Garamond" w:cs="Arial"/>
          <w:color w:val="000000"/>
          <w:sz w:val="20"/>
          <w:szCs w:val="20"/>
          <w:lang w:bidi="sq-AL"/>
        </w:rPr>
        <w:t xml:space="preserve"> </w:t>
      </w:r>
      <w:r w:rsidRPr="00622884">
        <w:rPr>
          <w:rFonts w:ascii="Garamond" w:hAnsi="Garamond" w:cs="Arial"/>
          <w:i/>
          <w:color w:val="000000"/>
          <w:sz w:val="20"/>
          <w:szCs w:val="20"/>
          <w:lang w:bidi="sq-AL"/>
        </w:rPr>
        <w:t>Identification of adaptation measures</w:t>
      </w:r>
      <w:r w:rsidRPr="00622884">
        <w:rPr>
          <w:rFonts w:ascii="Garamond" w:hAnsi="Garamond" w:cs="Arial"/>
          <w:color w:val="000000"/>
          <w:sz w:val="20"/>
          <w:szCs w:val="20"/>
          <w:lang w:bidi="sq-AL"/>
        </w:rPr>
        <w:t>. Albania national adaptation planning: support to filling gaps in climate change adaptation data and risk analysis. [Identifikimi i masave të përshtatjes. Plani Kombëtar i Përshtatjes i Shqipërisë: mbështetje për plotësimin e mangësive në të dhënat dhe analizat e riskut për përshtatjen ndaj ndryshimeve klimatike.] Hartuar në kuadër të projektit të UNDP-së për PKP-në. Ministria e Mjedisit, 2023</w:t>
      </w:r>
      <w:r w:rsidRPr="003218BF">
        <w:rPr>
          <w:rFonts w:ascii="Garamond" w:hAnsi="Garamond" w:cs="Times New Roman"/>
          <w:sz w:val="20"/>
          <w:szCs w:val="20"/>
        </w:rPr>
        <w:t>–</w:t>
      </w:r>
      <w:r w:rsidRPr="00622884">
        <w:rPr>
          <w:rFonts w:ascii="Garamond" w:hAnsi="Garamond" w:cs="Arial"/>
          <w:color w:val="000000"/>
          <w:sz w:val="20"/>
          <w:szCs w:val="20"/>
          <w:lang w:bidi="sq-AL"/>
        </w:rPr>
        <w:t>2025.</w:t>
      </w:r>
    </w:p>
  </w:footnote>
  <w:footnote w:id="203">
    <w:p w14:paraId="57B91474" w14:textId="77777777" w:rsidR="00622884" w:rsidRPr="00622884" w:rsidRDefault="00622884" w:rsidP="00622884">
      <w:pPr>
        <w:pStyle w:val="Piedepgina"/>
        <w:spacing w:line="240" w:lineRule="auto"/>
        <w:rPr>
          <w:rFonts w:ascii="Garamond" w:hAnsi="Garamond" w:cs="Arial"/>
          <w:color w:val="000000"/>
          <w:sz w:val="20"/>
          <w:szCs w:val="20"/>
        </w:rPr>
      </w:pPr>
      <w:r w:rsidRPr="00622884">
        <w:rPr>
          <w:rStyle w:val="FootnoteReference"/>
          <w:rFonts w:ascii="Garamond" w:hAnsi="Garamond" w:cs="Arial"/>
          <w:color w:val="000000"/>
          <w:sz w:val="20"/>
          <w:szCs w:val="20"/>
          <w:lang w:bidi="sq-AL"/>
        </w:rPr>
        <w:footnoteRef/>
      </w:r>
      <w:r w:rsidRPr="00622884">
        <w:rPr>
          <w:rFonts w:ascii="Garamond" w:hAnsi="Garamond" w:cs="Arial"/>
          <w:color w:val="000000"/>
          <w:sz w:val="20"/>
          <w:szCs w:val="20"/>
          <w:lang w:bidi="sq-AL"/>
        </w:rPr>
        <w:t xml:space="preserve"> P.sh.: KKP; SKNK 2020</w:t>
      </w:r>
      <w:r w:rsidRPr="003218BF">
        <w:rPr>
          <w:rFonts w:ascii="Garamond" w:hAnsi="Garamond" w:cs="Times New Roman"/>
          <w:sz w:val="20"/>
          <w:szCs w:val="20"/>
        </w:rPr>
        <w:t>–</w:t>
      </w:r>
      <w:r w:rsidRPr="00622884">
        <w:rPr>
          <w:rFonts w:ascii="Garamond" w:hAnsi="Garamond" w:cs="Arial"/>
          <w:color w:val="000000"/>
          <w:sz w:val="20"/>
          <w:szCs w:val="20"/>
          <w:lang w:bidi="sq-AL"/>
        </w:rPr>
        <w:t>2030; Strategjia për Bujqësinë, Zhvillimin Rural dhe Peshkimin 2021–2027; Strategjia Kombëtare për Zhvillimin e Turizmit të Qëndrueshëm; Plani i Integruar Ndërsektorial për Bregdetin; Plani i Veprimit për Përshtatje për Tiranën; Projektplani Kombëtar për Energjinë dhe Klimën; Strategjia për Transportin dhe Plani i Veprimit (2016–2020) etj.</w:t>
      </w:r>
    </w:p>
  </w:footnote>
  <w:footnote w:id="204">
    <w:p w14:paraId="72527F27" w14:textId="77777777" w:rsidR="00622884" w:rsidRPr="00622884" w:rsidRDefault="00622884" w:rsidP="00622884">
      <w:pPr>
        <w:pStyle w:val="Piedepgina"/>
        <w:spacing w:line="240" w:lineRule="auto"/>
        <w:rPr>
          <w:rFonts w:ascii="Garamond" w:hAnsi="Garamond" w:cs="Arial"/>
          <w:color w:val="000000"/>
          <w:sz w:val="20"/>
          <w:szCs w:val="20"/>
        </w:rPr>
      </w:pPr>
      <w:r w:rsidRPr="00622884">
        <w:rPr>
          <w:rStyle w:val="FootnoteReference"/>
          <w:rFonts w:ascii="Garamond" w:hAnsi="Garamond" w:cs="Arial"/>
          <w:color w:val="000000"/>
          <w:sz w:val="20"/>
          <w:szCs w:val="20"/>
          <w:lang w:bidi="sq-AL"/>
        </w:rPr>
        <w:footnoteRef/>
      </w:r>
      <w:r w:rsidRPr="00622884">
        <w:rPr>
          <w:rFonts w:ascii="Garamond" w:hAnsi="Garamond" w:cs="Arial"/>
          <w:color w:val="000000"/>
          <w:sz w:val="20"/>
          <w:szCs w:val="20"/>
          <w:lang w:bidi="sq-AL"/>
        </w:rPr>
        <w:t xml:space="preserve"> Planet Vendore të Përshtatjes për 8 bashki. Hartuar në kuadër të projektit të UNDP-së për PKP-në. Ministria e Mjedisit, 2023</w:t>
      </w:r>
      <w:r w:rsidRPr="008A308E">
        <w:rPr>
          <w:rFonts w:ascii="Garamond" w:hAnsi="Garamond" w:cs="Times New Roman"/>
          <w:sz w:val="20"/>
          <w:szCs w:val="20"/>
        </w:rPr>
        <w:t>–</w:t>
      </w:r>
      <w:r w:rsidRPr="00622884">
        <w:rPr>
          <w:rFonts w:ascii="Garamond" w:hAnsi="Garamond" w:cs="Arial"/>
          <w:color w:val="000000"/>
          <w:sz w:val="20"/>
          <w:szCs w:val="20"/>
          <w:lang w:bidi="sq-AL"/>
        </w:rPr>
        <w:t>2025. Në to përshkruhen rrethanat vendore dhe risqet klimatike, si dhe identifikohen masat e përshtatjes, të cilat më pas u vlerësuan dhe u prioritizuan.</w:t>
      </w:r>
    </w:p>
  </w:footnote>
  <w:footnote w:id="205">
    <w:p w14:paraId="61E4F347" w14:textId="77777777" w:rsidR="00622884" w:rsidRPr="00622884" w:rsidRDefault="00622884" w:rsidP="00622884">
      <w:pPr>
        <w:pStyle w:val="Piedepgina"/>
        <w:spacing w:line="240" w:lineRule="auto"/>
        <w:rPr>
          <w:rFonts w:ascii="Garamond" w:hAnsi="Garamond" w:cs="Arial"/>
          <w:color w:val="000000"/>
          <w:sz w:val="20"/>
          <w:szCs w:val="20"/>
        </w:rPr>
      </w:pPr>
      <w:r w:rsidRPr="00622884">
        <w:rPr>
          <w:rStyle w:val="FootnoteReference"/>
          <w:rFonts w:ascii="Garamond" w:hAnsi="Garamond" w:cs="Arial"/>
          <w:color w:val="000000"/>
          <w:sz w:val="20"/>
          <w:szCs w:val="20"/>
          <w:lang w:bidi="sq-AL"/>
        </w:rPr>
        <w:footnoteRef/>
      </w:r>
      <w:r w:rsidRPr="00622884">
        <w:rPr>
          <w:rFonts w:ascii="Garamond" w:hAnsi="Garamond" w:cs="Arial"/>
          <w:color w:val="000000"/>
          <w:sz w:val="20"/>
          <w:szCs w:val="20"/>
          <w:lang w:bidi="sq-AL"/>
        </w:rPr>
        <w:t xml:space="preserve"> Durrës, Elbasan, Kukës, Fier, Gjirokastër, Vlorë, Krujë, Përmet.</w:t>
      </w:r>
    </w:p>
  </w:footnote>
  <w:footnote w:id="206">
    <w:p w14:paraId="2755CB3A" w14:textId="77777777" w:rsidR="00622884" w:rsidRPr="00622884" w:rsidRDefault="00622884" w:rsidP="00622884">
      <w:pPr>
        <w:pStyle w:val="Piedepgina"/>
        <w:spacing w:line="240" w:lineRule="auto"/>
        <w:rPr>
          <w:rFonts w:ascii="Garamond" w:hAnsi="Garamond" w:cs="Arial"/>
          <w:color w:val="000000"/>
          <w:sz w:val="20"/>
          <w:szCs w:val="20"/>
        </w:rPr>
      </w:pPr>
      <w:r w:rsidRPr="00622884">
        <w:rPr>
          <w:rStyle w:val="FootnoteReference"/>
          <w:rFonts w:ascii="Garamond" w:hAnsi="Garamond" w:cs="Arial"/>
          <w:color w:val="000000"/>
          <w:sz w:val="20"/>
          <w:szCs w:val="20"/>
          <w:lang w:bidi="sq-AL"/>
        </w:rPr>
        <w:footnoteRef/>
      </w:r>
      <w:r w:rsidRPr="00622884">
        <w:rPr>
          <w:rFonts w:ascii="Garamond" w:hAnsi="Garamond" w:cs="Arial"/>
          <w:color w:val="000000"/>
          <w:sz w:val="20"/>
          <w:szCs w:val="20"/>
          <w:lang w:bidi="sq-AL"/>
        </w:rPr>
        <w:t xml:space="preserve"> Siç tregohet në Planet Vendore të Përshtatjes të bashkive, të hartuara në kuadër të projektit të UNDP-së për PKP-në, 2024.</w:t>
      </w:r>
    </w:p>
  </w:footnote>
  <w:footnote w:id="207">
    <w:p w14:paraId="21624125" w14:textId="77777777" w:rsidR="00622884" w:rsidRPr="00622884" w:rsidRDefault="00622884" w:rsidP="00622884">
      <w:pPr>
        <w:pStyle w:val="Piedepgina"/>
        <w:spacing w:line="240" w:lineRule="auto"/>
        <w:rPr>
          <w:rFonts w:ascii="Garamond" w:hAnsi="Garamond" w:cs="Arial"/>
          <w:color w:val="000000"/>
          <w:sz w:val="20"/>
          <w:szCs w:val="20"/>
        </w:rPr>
      </w:pPr>
      <w:r w:rsidRPr="00622884">
        <w:rPr>
          <w:rStyle w:val="FootnoteReference"/>
          <w:rFonts w:ascii="Garamond" w:hAnsi="Garamond" w:cs="Arial"/>
          <w:color w:val="000000"/>
          <w:sz w:val="20"/>
          <w:szCs w:val="20"/>
          <w:lang w:bidi="sq-AL"/>
        </w:rPr>
        <w:footnoteRef/>
      </w:r>
      <w:r w:rsidRPr="00622884">
        <w:rPr>
          <w:rFonts w:ascii="Garamond" w:hAnsi="Garamond" w:cs="Arial"/>
          <w:color w:val="000000"/>
          <w:sz w:val="20"/>
          <w:szCs w:val="20"/>
          <w:lang w:bidi="sq-AL"/>
        </w:rPr>
        <w:t xml:space="preserve"> Kriteret ndërsektoriale të identifikuara të bazuara në evidenca për kuadrin e prioritizimit; procesi i prioritizimit është vënë në zbatim për alternativat e përshtatjes. Hartuar në kuadër të projektit të UNDP-së për PKP-në. Ministria e Mjedisit, 2023</w:t>
      </w:r>
      <w:r w:rsidRPr="008A308E">
        <w:rPr>
          <w:rFonts w:ascii="Garamond" w:hAnsi="Garamond" w:cs="Times New Roman"/>
          <w:sz w:val="20"/>
          <w:szCs w:val="20"/>
        </w:rPr>
        <w:t>–</w:t>
      </w:r>
      <w:r w:rsidRPr="00622884">
        <w:rPr>
          <w:rFonts w:ascii="Garamond" w:hAnsi="Garamond" w:cs="Arial"/>
          <w:color w:val="000000"/>
          <w:sz w:val="20"/>
          <w:szCs w:val="20"/>
          <w:lang w:bidi="sq-AL"/>
        </w:rPr>
        <w:t>2025.</w:t>
      </w:r>
    </w:p>
  </w:footnote>
  <w:footnote w:id="208">
    <w:p w14:paraId="5169F072" w14:textId="77777777" w:rsidR="00622884" w:rsidRPr="00622884" w:rsidRDefault="00622884" w:rsidP="00622884">
      <w:pPr>
        <w:pStyle w:val="Piedepgina"/>
        <w:spacing w:line="240" w:lineRule="auto"/>
        <w:rPr>
          <w:rFonts w:ascii="Garamond" w:hAnsi="Garamond" w:cs="Arial"/>
          <w:color w:val="000000"/>
          <w:sz w:val="20"/>
          <w:szCs w:val="20"/>
        </w:rPr>
      </w:pPr>
      <w:r w:rsidRPr="00622884">
        <w:rPr>
          <w:rStyle w:val="FootnoteReference"/>
          <w:rFonts w:ascii="Garamond" w:hAnsi="Garamond" w:cs="Arial"/>
          <w:color w:val="000000"/>
          <w:sz w:val="20"/>
          <w:szCs w:val="20"/>
          <w:lang w:bidi="sq-AL"/>
        </w:rPr>
        <w:footnoteRef/>
      </w:r>
      <w:r w:rsidRPr="00622884">
        <w:rPr>
          <w:rFonts w:ascii="Garamond" w:hAnsi="Garamond" w:cs="Arial"/>
          <w:color w:val="000000"/>
          <w:sz w:val="20"/>
          <w:szCs w:val="20"/>
          <w:lang w:bidi="sq-AL"/>
        </w:rPr>
        <w:t xml:space="preserve"> Masat “e gjelbra” mbështeten në zgjidhje të bazuara në natyrë, si restaurimi i ekosistemit, ripyllëzimi ose menaxhimi i qëndrueshëm i tokës, të cilat rrisin qëndrueshmërinë ndaj ndryshimeve klimatike, ndërkohë që mundësojnë përfitime të ndërsjella si mbrojtja e biodiversitetit dhe ofrimi i shërbimeve të ekosistemit.</w:t>
      </w:r>
    </w:p>
  </w:footnote>
  <w:footnote w:id="209">
    <w:p w14:paraId="683A349B" w14:textId="77777777" w:rsidR="00622884" w:rsidRPr="00622884" w:rsidRDefault="00622884" w:rsidP="00622884">
      <w:pPr>
        <w:pStyle w:val="Piedepgina"/>
        <w:spacing w:line="240" w:lineRule="auto"/>
        <w:rPr>
          <w:rFonts w:ascii="Garamond" w:hAnsi="Garamond" w:cs="Arial"/>
          <w:color w:val="000000"/>
          <w:sz w:val="20"/>
          <w:szCs w:val="20"/>
        </w:rPr>
      </w:pPr>
      <w:r w:rsidRPr="00622884">
        <w:rPr>
          <w:rStyle w:val="FootnoteReference"/>
          <w:rFonts w:ascii="Garamond" w:hAnsi="Garamond" w:cs="Arial"/>
          <w:color w:val="000000"/>
          <w:sz w:val="20"/>
          <w:szCs w:val="20"/>
          <w:lang w:bidi="sq-AL"/>
        </w:rPr>
        <w:footnoteRef/>
      </w:r>
      <w:r w:rsidRPr="00622884">
        <w:rPr>
          <w:rFonts w:ascii="Garamond" w:hAnsi="Garamond" w:cs="Arial"/>
          <w:color w:val="000000"/>
          <w:sz w:val="20"/>
          <w:szCs w:val="20"/>
          <w:lang w:bidi="sq-AL"/>
        </w:rPr>
        <w:t xml:space="preserve"> Masat “gri” përfshijnë zgjidhje inxhinierike ose teknologjike, si infrastruktura me aftësi ripërtëritëse, sistemet e kullimit ose sistemet e paralajmërimit të hershëm, të projektuara për të zvogëluar ekspozimin fizik ndaj risqeve klimatike.</w:t>
      </w:r>
    </w:p>
  </w:footnote>
  <w:footnote w:id="210">
    <w:p w14:paraId="1C010D6E" w14:textId="77777777" w:rsidR="00622884" w:rsidRPr="00622884" w:rsidRDefault="00622884" w:rsidP="00622884">
      <w:pPr>
        <w:pStyle w:val="Piedepgina"/>
        <w:spacing w:line="240" w:lineRule="auto"/>
        <w:rPr>
          <w:rFonts w:ascii="Garamond" w:hAnsi="Garamond" w:cs="Arial"/>
          <w:color w:val="000000"/>
          <w:sz w:val="20"/>
          <w:szCs w:val="20"/>
        </w:rPr>
      </w:pPr>
      <w:r w:rsidRPr="00622884">
        <w:rPr>
          <w:rStyle w:val="FootnoteReference"/>
          <w:rFonts w:ascii="Garamond" w:hAnsi="Garamond" w:cs="Arial"/>
          <w:color w:val="000000"/>
          <w:sz w:val="20"/>
          <w:szCs w:val="20"/>
          <w:lang w:bidi="sq-AL"/>
        </w:rPr>
        <w:footnoteRef/>
      </w:r>
      <w:r w:rsidRPr="00622884">
        <w:rPr>
          <w:rFonts w:ascii="Garamond" w:hAnsi="Garamond" w:cs="Arial"/>
          <w:color w:val="000000"/>
          <w:sz w:val="20"/>
          <w:szCs w:val="20"/>
          <w:lang w:bidi="sq-AL"/>
        </w:rPr>
        <w:t xml:space="preserve"> Kriteret ndërsektoriale të identifikuara të bazuara në evidenca për kuadrin e prioritizimit; procesi i prioritizimit është vënë në zbatim për alternativat e përshtatjes. Hartuar në kuadër të projektit të UNDP-së për PKP-në. Ministria e Mjedisit, 2023</w:t>
      </w:r>
      <w:r w:rsidRPr="008A308E">
        <w:rPr>
          <w:rFonts w:ascii="Garamond" w:hAnsi="Garamond" w:cs="Times New Roman"/>
          <w:sz w:val="20"/>
          <w:szCs w:val="20"/>
        </w:rPr>
        <w:t>–</w:t>
      </w:r>
      <w:r w:rsidRPr="00622884">
        <w:rPr>
          <w:rFonts w:ascii="Garamond" w:hAnsi="Garamond" w:cs="Arial"/>
          <w:color w:val="000000"/>
          <w:sz w:val="20"/>
          <w:szCs w:val="20"/>
          <w:lang w:bidi="sq-AL"/>
        </w:rPr>
        <w:t>2025.</w:t>
      </w:r>
    </w:p>
  </w:footnote>
  <w:footnote w:id="211">
    <w:p w14:paraId="6F6CF6BF" w14:textId="77777777" w:rsidR="00622884" w:rsidRPr="00622884" w:rsidRDefault="00622884" w:rsidP="00622884">
      <w:pPr>
        <w:pStyle w:val="Piedepgina"/>
        <w:spacing w:line="240" w:lineRule="auto"/>
        <w:rPr>
          <w:rFonts w:ascii="Garamond" w:hAnsi="Garamond" w:cs="Arial"/>
          <w:color w:val="000000"/>
          <w:sz w:val="20"/>
          <w:szCs w:val="20"/>
        </w:rPr>
      </w:pPr>
      <w:r w:rsidRPr="00622884">
        <w:rPr>
          <w:rStyle w:val="FootnoteReference"/>
          <w:rFonts w:ascii="Garamond" w:hAnsi="Garamond" w:cs="Arial"/>
          <w:color w:val="000000"/>
          <w:sz w:val="20"/>
          <w:szCs w:val="20"/>
          <w:lang w:bidi="sq-AL"/>
        </w:rPr>
        <w:footnoteRef/>
      </w:r>
      <w:r w:rsidRPr="00622884">
        <w:rPr>
          <w:rFonts w:ascii="Garamond" w:hAnsi="Garamond" w:cs="Arial"/>
          <w:color w:val="000000"/>
          <w:sz w:val="20"/>
          <w:szCs w:val="20"/>
          <w:lang w:bidi="sq-AL"/>
        </w:rPr>
        <w:t xml:space="preserve"> Gjithashtu, këtu u përfshinë disa periudha kohore më të gjata deri në vitin 2050.</w:t>
      </w:r>
    </w:p>
  </w:footnote>
  <w:footnote w:id="212">
    <w:p w14:paraId="4242E9A9" w14:textId="77777777" w:rsidR="00622884" w:rsidRPr="00622884" w:rsidRDefault="00622884" w:rsidP="00622884">
      <w:pPr>
        <w:pStyle w:val="Piedepgina"/>
        <w:spacing w:line="240" w:lineRule="auto"/>
        <w:rPr>
          <w:rFonts w:ascii="Garamond" w:hAnsi="Garamond" w:cs="Arial"/>
          <w:color w:val="000000"/>
          <w:sz w:val="20"/>
          <w:szCs w:val="20"/>
        </w:rPr>
      </w:pPr>
      <w:r w:rsidRPr="00622884">
        <w:rPr>
          <w:rStyle w:val="FootnoteReference"/>
          <w:rFonts w:ascii="Garamond" w:hAnsi="Garamond" w:cs="Arial"/>
          <w:color w:val="000000"/>
          <w:sz w:val="20"/>
          <w:szCs w:val="20"/>
          <w:lang w:bidi="sq-AL"/>
        </w:rPr>
        <w:footnoteRef/>
      </w:r>
      <w:r w:rsidRPr="00622884">
        <w:rPr>
          <w:rFonts w:ascii="Garamond" w:hAnsi="Garamond" w:cs="Arial"/>
          <w:color w:val="000000"/>
          <w:sz w:val="20"/>
          <w:szCs w:val="20"/>
          <w:lang w:bidi="sq-AL"/>
        </w:rPr>
        <w:t xml:space="preserve"> Në AKP pjesëtohen përfitimet totale të zbritura me kostot totale të zbritura për të vlerësuar qëndrueshmërinë ekonomike.</w:t>
      </w:r>
    </w:p>
  </w:footnote>
  <w:footnote w:id="213">
    <w:p w14:paraId="1C0ABE01" w14:textId="77777777" w:rsidR="00622884" w:rsidRPr="00622884" w:rsidRDefault="00622884" w:rsidP="00622884">
      <w:pPr>
        <w:pStyle w:val="FootnoteText"/>
        <w:rPr>
          <w:rFonts w:ascii="Garamond" w:hAnsi="Garamond"/>
          <w:color w:val="000000"/>
        </w:rPr>
      </w:pPr>
      <w:r w:rsidRPr="00622884">
        <w:rPr>
          <w:rStyle w:val="FootnoteReference"/>
          <w:rFonts w:ascii="Garamond" w:hAnsi="Garamond"/>
          <w:noProof/>
          <w:color w:val="000000"/>
          <w:lang w:bidi="sq-AL"/>
        </w:rPr>
        <w:footnoteRef/>
      </w:r>
      <w:r w:rsidRPr="00622884">
        <w:rPr>
          <w:rStyle w:val="FootnoteReference"/>
          <w:rFonts w:ascii="Garamond" w:hAnsi="Garamond"/>
          <w:noProof/>
          <w:color w:val="000000"/>
          <w:lang w:bidi="sq-AL"/>
        </w:rPr>
        <w:t xml:space="preserve"> Për më shumë detaje rreth përkufizimit të masave “të buta”, “të gjelbra” dhe “gri” shihni seksionin 6</w:t>
      </w:r>
      <w:r w:rsidRPr="00622884">
        <w:rPr>
          <w:rFonts w:ascii="Garamond" w:hAnsi="Garamond"/>
          <w:noProof/>
          <w:color w:val="000000"/>
          <w:lang w:bidi="sq-AL"/>
        </w:rPr>
        <w:t>,</w:t>
      </w:r>
      <w:r w:rsidRPr="00622884">
        <w:rPr>
          <w:rStyle w:val="FootnoteReference"/>
          <w:rFonts w:ascii="Garamond" w:hAnsi="Garamond"/>
          <w:noProof/>
          <w:color w:val="000000"/>
          <w:lang w:bidi="sq-AL"/>
        </w:rPr>
        <w:t xml:space="preserve"> më poshtë</w:t>
      </w:r>
      <w:r w:rsidRPr="00622884">
        <w:rPr>
          <w:rFonts w:ascii="Garamond" w:hAnsi="Garamond"/>
          <w:noProof/>
          <w:color w:val="000000"/>
          <w:lang w:bidi="sq-AL"/>
        </w:rPr>
        <w:t>:</w:t>
      </w:r>
      <w:r w:rsidRPr="00622884">
        <w:rPr>
          <w:rStyle w:val="FootnoteReference"/>
          <w:rFonts w:ascii="Garamond" w:hAnsi="Garamond"/>
          <w:noProof/>
          <w:color w:val="000000"/>
          <w:lang w:bidi="sq-AL"/>
        </w:rPr>
        <w:t xml:space="preserve"> Plani i zbatimit</w:t>
      </w:r>
      <w:r w:rsidRPr="00622884">
        <w:rPr>
          <w:rFonts w:ascii="Garamond" w:hAnsi="Garamond"/>
          <w:noProof/>
          <w:color w:val="000000"/>
          <w:lang w:bidi="sq-AL"/>
        </w:rPr>
        <w:t xml:space="preserve"> të PKP-së.</w:t>
      </w:r>
    </w:p>
  </w:footnote>
  <w:footnote w:id="214">
    <w:p w14:paraId="6327FC63" w14:textId="77777777" w:rsidR="00622884" w:rsidRPr="00622884" w:rsidRDefault="00622884" w:rsidP="00622884">
      <w:pPr>
        <w:pStyle w:val="Piedepgina"/>
        <w:spacing w:line="240" w:lineRule="auto"/>
        <w:rPr>
          <w:rFonts w:ascii="Garamond" w:hAnsi="Garamond" w:cs="Arial"/>
          <w:color w:val="000000"/>
          <w:sz w:val="20"/>
          <w:szCs w:val="20"/>
        </w:rPr>
      </w:pPr>
      <w:r w:rsidRPr="00622884">
        <w:rPr>
          <w:rStyle w:val="FootnoteReference"/>
          <w:rFonts w:ascii="Garamond" w:hAnsi="Garamond" w:cs="Arial"/>
          <w:color w:val="000000"/>
          <w:sz w:val="20"/>
          <w:szCs w:val="20"/>
          <w:lang w:bidi="sq-AL"/>
        </w:rPr>
        <w:footnoteRef/>
      </w:r>
      <w:r w:rsidRPr="00622884">
        <w:rPr>
          <w:rFonts w:ascii="Garamond" w:hAnsi="Garamond" w:cs="Arial"/>
          <w:color w:val="000000"/>
          <w:sz w:val="20"/>
          <w:szCs w:val="20"/>
          <w:lang w:bidi="sq-AL"/>
        </w:rPr>
        <w:t xml:space="preserve"> Plani i zbatimit për veprimet e prioritizuara dhe të kostuara të përshtatjes. Hartuar në kuadër të projektit të UNDP-së për PKP-në. Ministria e Mjedisit, 2023</w:t>
      </w:r>
      <w:r w:rsidRPr="00AC5978">
        <w:rPr>
          <w:rFonts w:ascii="Garamond" w:hAnsi="Garamond" w:cs="Times New Roman"/>
          <w:sz w:val="20"/>
          <w:szCs w:val="20"/>
        </w:rPr>
        <w:t>–</w:t>
      </w:r>
      <w:r w:rsidRPr="00622884">
        <w:rPr>
          <w:rFonts w:ascii="Garamond" w:hAnsi="Garamond" w:cs="Arial"/>
          <w:color w:val="000000"/>
          <w:sz w:val="20"/>
          <w:szCs w:val="20"/>
          <w:lang w:bidi="sq-AL"/>
        </w:rPr>
        <w:t>2025.</w:t>
      </w:r>
    </w:p>
  </w:footnote>
  <w:footnote w:id="215">
    <w:p w14:paraId="100A3B82" w14:textId="77777777" w:rsidR="00622884" w:rsidRPr="00622884" w:rsidRDefault="00622884" w:rsidP="00622884">
      <w:pPr>
        <w:pStyle w:val="Piedepgina"/>
        <w:spacing w:line="240" w:lineRule="auto"/>
        <w:rPr>
          <w:rFonts w:ascii="Garamond" w:hAnsi="Garamond" w:cs="Arial"/>
          <w:color w:val="000000"/>
          <w:sz w:val="20"/>
          <w:szCs w:val="20"/>
        </w:rPr>
      </w:pPr>
      <w:r w:rsidRPr="00622884">
        <w:rPr>
          <w:rStyle w:val="FootnoteReference"/>
          <w:rFonts w:ascii="Garamond" w:hAnsi="Garamond" w:cs="Arial"/>
          <w:color w:val="000000"/>
          <w:sz w:val="20"/>
          <w:szCs w:val="20"/>
          <w:lang w:bidi="sq-AL"/>
        </w:rPr>
        <w:footnoteRef/>
      </w:r>
      <w:r w:rsidRPr="00622884">
        <w:rPr>
          <w:rFonts w:ascii="Garamond" w:hAnsi="Garamond" w:cs="Arial"/>
          <w:color w:val="000000"/>
          <w:sz w:val="20"/>
          <w:szCs w:val="20"/>
          <w:lang w:bidi="sq-AL"/>
        </w:rPr>
        <w:t xml:space="preserve"> Plani i zbatimit për veprimet e prioritizuara të përshtatjes. Hartuar në kuadër të projektit të UNDP-së për PKP-në. 2023</w:t>
      </w:r>
      <w:r w:rsidRPr="00AC5978">
        <w:rPr>
          <w:rFonts w:ascii="Garamond" w:hAnsi="Garamond" w:cs="Times New Roman"/>
          <w:sz w:val="20"/>
          <w:szCs w:val="20"/>
        </w:rPr>
        <w:t>–</w:t>
      </w:r>
      <w:r w:rsidRPr="00622884">
        <w:rPr>
          <w:rFonts w:ascii="Garamond" w:hAnsi="Garamond" w:cs="Arial"/>
          <w:color w:val="000000"/>
          <w:sz w:val="20"/>
          <w:szCs w:val="20"/>
          <w:lang w:bidi="sq-AL"/>
        </w:rPr>
        <w:t>2025. Këtu paraqitet pa veprimtari dhe tregues.</w:t>
      </w:r>
    </w:p>
  </w:footnote>
  <w:footnote w:id="216">
    <w:p w14:paraId="7399A006" w14:textId="77777777" w:rsidR="00622884" w:rsidRPr="00622884" w:rsidRDefault="00622884" w:rsidP="00622884">
      <w:pPr>
        <w:pStyle w:val="Piedepgina"/>
        <w:spacing w:line="240" w:lineRule="auto"/>
        <w:rPr>
          <w:rFonts w:ascii="Garamond" w:hAnsi="Garamond"/>
          <w:color w:val="000000"/>
          <w:sz w:val="20"/>
          <w:szCs w:val="20"/>
        </w:rPr>
      </w:pPr>
      <w:r w:rsidRPr="00622884">
        <w:rPr>
          <w:rStyle w:val="FootnoteReference"/>
          <w:rFonts w:ascii="Garamond" w:hAnsi="Garamond"/>
          <w:color w:val="000000"/>
          <w:sz w:val="20"/>
          <w:szCs w:val="20"/>
          <w:lang w:bidi="sq-AL"/>
        </w:rPr>
        <w:footnoteRef/>
      </w:r>
      <w:r w:rsidRPr="00622884">
        <w:rPr>
          <w:rFonts w:ascii="Garamond" w:hAnsi="Garamond"/>
          <w:color w:val="000000"/>
          <w:sz w:val="20"/>
          <w:szCs w:val="20"/>
          <w:lang w:bidi="sq-AL"/>
        </w:rPr>
        <w:t xml:space="preserve"> Plani i zbatimit për veprimet e prioritizuara dhe të kostuara të përshtatjes. Hartuar në kuadër të projektit të UNDP-së për PKP-në. Ministria e Mjedisit, 2023</w:t>
      </w:r>
      <w:r w:rsidRPr="009704D1">
        <w:rPr>
          <w:rFonts w:ascii="Garamond" w:hAnsi="Garamond" w:cs="Times New Roman"/>
          <w:sz w:val="20"/>
          <w:szCs w:val="20"/>
        </w:rPr>
        <w:t>–</w:t>
      </w:r>
      <w:r w:rsidRPr="00622884">
        <w:rPr>
          <w:rFonts w:ascii="Garamond" w:hAnsi="Garamond"/>
          <w:color w:val="000000"/>
          <w:sz w:val="20"/>
          <w:szCs w:val="20"/>
          <w:lang w:bidi="sq-AL"/>
        </w:rPr>
        <w:t>2025.</w:t>
      </w:r>
    </w:p>
  </w:footnote>
  <w:footnote w:id="217">
    <w:p w14:paraId="679CF00D" w14:textId="77777777" w:rsidR="00622884" w:rsidRPr="00622884" w:rsidRDefault="00622884" w:rsidP="00622884">
      <w:pPr>
        <w:pStyle w:val="5GlobalFactor"/>
        <w:spacing w:before="0" w:after="0"/>
        <w:rPr>
          <w:rFonts w:ascii="Garamond" w:hAnsi="Garamond"/>
          <w:color w:val="000000"/>
          <w:szCs w:val="20"/>
        </w:rPr>
      </w:pPr>
      <w:r w:rsidRPr="00622884">
        <w:rPr>
          <w:rStyle w:val="FootnoteReference"/>
          <w:rFonts w:ascii="Garamond" w:hAnsi="Garamond"/>
          <w:color w:val="000000"/>
          <w:szCs w:val="20"/>
          <w:lang w:bidi="sq-AL"/>
        </w:rPr>
        <w:footnoteRef/>
      </w:r>
      <w:r w:rsidRPr="00622884">
        <w:rPr>
          <w:rFonts w:ascii="Garamond" w:hAnsi="Garamond"/>
          <w:color w:val="000000"/>
          <w:szCs w:val="20"/>
          <w:lang w:bidi="sq-AL"/>
        </w:rPr>
        <w:t xml:space="preserve"> Vlen të përmendet se disa nga kostot e infrastrukturës gri të sektorëve të turizmit dhe zhvillimit urban mbeten ende për t’u konfirmuar, pasi duhet të përcaktohet infrastruktura e synuar që do të adresohet. </w:t>
      </w:r>
    </w:p>
  </w:footnote>
  <w:footnote w:id="218">
    <w:p w14:paraId="0AB215E4" w14:textId="77777777" w:rsidR="00622884" w:rsidRPr="00622884" w:rsidRDefault="00622884" w:rsidP="00622884">
      <w:pPr>
        <w:pStyle w:val="Piedepgina"/>
        <w:rPr>
          <w:rFonts w:ascii="Garamond" w:hAnsi="Garamond"/>
          <w:color w:val="000000"/>
          <w:sz w:val="20"/>
          <w:szCs w:val="20"/>
        </w:rPr>
      </w:pPr>
      <w:r w:rsidRPr="00622884">
        <w:rPr>
          <w:rStyle w:val="FootnoteReference"/>
          <w:rFonts w:ascii="Garamond" w:hAnsi="Garamond"/>
          <w:color w:val="000000"/>
          <w:sz w:val="20"/>
          <w:szCs w:val="20"/>
          <w:lang w:bidi="sq-AL"/>
        </w:rPr>
        <w:footnoteRef/>
      </w:r>
      <w:r w:rsidRPr="00622884">
        <w:rPr>
          <w:rFonts w:ascii="Garamond" w:hAnsi="Garamond"/>
          <w:color w:val="000000"/>
          <w:sz w:val="20"/>
          <w:szCs w:val="20"/>
          <w:lang w:bidi="sq-AL"/>
        </w:rPr>
        <w:t xml:space="preserve"> Plani i Veprimit për Barazinë Gjinore për PKP-në. Hartuar në kuadër të projektit të UNDP-së për PKP-në. Ministria e Mjedisit, 2023</w:t>
      </w:r>
      <w:r w:rsidRPr="005D297F">
        <w:rPr>
          <w:rFonts w:ascii="Garamond" w:hAnsi="Garamond" w:cs="Times New Roman"/>
          <w:sz w:val="20"/>
          <w:szCs w:val="20"/>
        </w:rPr>
        <w:t>–</w:t>
      </w:r>
      <w:r w:rsidRPr="00622884">
        <w:rPr>
          <w:rFonts w:ascii="Garamond" w:hAnsi="Garamond"/>
          <w:color w:val="000000"/>
          <w:sz w:val="20"/>
          <w:szCs w:val="20"/>
          <w:lang w:bidi="sq-AL"/>
        </w:rPr>
        <w:t>2025.</w:t>
      </w:r>
    </w:p>
  </w:footnote>
  <w:footnote w:id="219">
    <w:p w14:paraId="6CFE8645" w14:textId="77777777" w:rsidR="00622884" w:rsidRPr="00622884" w:rsidRDefault="00622884" w:rsidP="00622884">
      <w:pPr>
        <w:pStyle w:val="FootnoteText"/>
        <w:rPr>
          <w:rFonts w:ascii="Garamond" w:hAnsi="Garamond" w:cs="Calibri Light"/>
          <w:color w:val="000000"/>
        </w:rPr>
      </w:pPr>
      <w:r w:rsidRPr="00622884">
        <w:rPr>
          <w:rStyle w:val="FootnoteReference"/>
          <w:rFonts w:ascii="Garamond" w:hAnsi="Garamond"/>
          <w:color w:val="000000"/>
          <w:lang w:bidi="sq-AL"/>
        </w:rPr>
        <w:footnoteRef/>
      </w:r>
      <w:r w:rsidRPr="00622884">
        <w:rPr>
          <w:rFonts w:ascii="Garamond" w:hAnsi="Garamond"/>
          <w:color w:val="000000"/>
          <w:lang w:bidi="sq-AL"/>
        </w:rPr>
        <w:t xml:space="preserve"> Veprimtaritë e komunikimit të PKAPI-së përfshihen në buxhetin e përgjithshëm të PKP-së të përshkruar në seksionet e planit të zbatimit (më sipër) dhe financimit të PKP-së (më poshtë). </w:t>
      </w:r>
    </w:p>
  </w:footnote>
  <w:footnote w:id="220">
    <w:p w14:paraId="7B71F8FA" w14:textId="77777777" w:rsidR="00622884" w:rsidRPr="00622884" w:rsidRDefault="00622884" w:rsidP="00622884">
      <w:pPr>
        <w:pStyle w:val="FootnoteText"/>
        <w:rPr>
          <w:rFonts w:ascii="Garamond" w:hAnsi="Garamond" w:cs="Calibri Light"/>
          <w:color w:val="000000"/>
        </w:rPr>
      </w:pPr>
      <w:r w:rsidRPr="00622884">
        <w:rPr>
          <w:rStyle w:val="FootnoteReference"/>
          <w:rFonts w:ascii="Garamond" w:hAnsi="Garamond"/>
          <w:color w:val="000000"/>
          <w:lang w:bidi="sq-AL"/>
        </w:rPr>
        <w:footnoteRef/>
      </w:r>
      <w:r w:rsidRPr="00622884">
        <w:rPr>
          <w:rFonts w:ascii="Garamond" w:hAnsi="Garamond"/>
          <w:color w:val="000000"/>
          <w:lang w:bidi="sq-AL"/>
        </w:rPr>
        <w:t xml:space="preserve"> Plani i zbatimit i Shqipërisë për veprimet e prioritizuara të përshtatjes. Hartuar në kuadër të projektit të UNDP-së për PKP-në. Ministria e Mjedisit, 2023–202a5.</w:t>
      </w:r>
    </w:p>
  </w:footnote>
  <w:footnote w:id="221">
    <w:p w14:paraId="5E698F05" w14:textId="77777777" w:rsidR="00622884" w:rsidRPr="00622884" w:rsidRDefault="00622884" w:rsidP="00622884">
      <w:pPr>
        <w:pStyle w:val="Piedepgina"/>
        <w:rPr>
          <w:rFonts w:ascii="Garamond" w:hAnsi="Garamond"/>
          <w:color w:val="000000"/>
          <w:sz w:val="20"/>
          <w:szCs w:val="20"/>
        </w:rPr>
      </w:pPr>
      <w:r w:rsidRPr="00622884">
        <w:rPr>
          <w:rStyle w:val="FootnoteReference"/>
          <w:rFonts w:ascii="Garamond" w:hAnsi="Garamond"/>
          <w:color w:val="000000"/>
          <w:sz w:val="20"/>
          <w:szCs w:val="20"/>
          <w:lang w:bidi="sq-AL"/>
        </w:rPr>
        <w:footnoteRef/>
      </w:r>
      <w:r w:rsidRPr="00622884">
        <w:rPr>
          <w:rFonts w:ascii="Garamond" w:hAnsi="Garamond"/>
          <w:color w:val="000000"/>
          <w:sz w:val="20"/>
          <w:szCs w:val="20"/>
          <w:lang w:bidi="sq-AL"/>
        </w:rPr>
        <w:t xml:space="preserve"> Strategjia e Shqipërisë e financimit të përshtatjes ndaj ndryshimeve klimatike. Hartuar në kuadër të projektit të UNDP-së për PKP-në. Ministria e Mjedisit, 2023</w:t>
      </w:r>
      <w:r w:rsidRPr="009A6E00">
        <w:rPr>
          <w:rFonts w:ascii="Garamond" w:hAnsi="Garamond" w:cs="Times New Roman"/>
          <w:sz w:val="20"/>
          <w:szCs w:val="20"/>
        </w:rPr>
        <w:t>–</w:t>
      </w:r>
      <w:r w:rsidRPr="00622884">
        <w:rPr>
          <w:rFonts w:ascii="Garamond" w:hAnsi="Garamond"/>
          <w:color w:val="000000"/>
          <w:sz w:val="20"/>
          <w:szCs w:val="20"/>
          <w:lang w:bidi="sq-AL"/>
        </w:rPr>
        <w:t>2025.</w:t>
      </w:r>
    </w:p>
  </w:footnote>
  <w:footnote w:id="222">
    <w:p w14:paraId="12A0AAEE" w14:textId="77777777" w:rsidR="00622884" w:rsidRPr="00622884" w:rsidRDefault="00622884" w:rsidP="00622884">
      <w:pPr>
        <w:pStyle w:val="Piedepgina"/>
        <w:rPr>
          <w:rFonts w:ascii="Garamond" w:hAnsi="Garamond"/>
          <w:color w:val="000000"/>
          <w:sz w:val="20"/>
          <w:szCs w:val="20"/>
        </w:rPr>
      </w:pPr>
      <w:r w:rsidRPr="00622884">
        <w:rPr>
          <w:rStyle w:val="FootnoteReference"/>
          <w:rFonts w:ascii="Garamond" w:hAnsi="Garamond"/>
          <w:color w:val="000000"/>
          <w:sz w:val="20"/>
          <w:szCs w:val="20"/>
          <w:lang w:bidi="sq-AL"/>
        </w:rPr>
        <w:footnoteRef/>
      </w:r>
      <w:r w:rsidRPr="00622884">
        <w:rPr>
          <w:rFonts w:ascii="Garamond" w:hAnsi="Garamond"/>
          <w:color w:val="000000"/>
          <w:sz w:val="20"/>
          <w:szCs w:val="20"/>
          <w:lang w:bidi="sq-AL"/>
        </w:rPr>
        <w:t xml:space="preserve"> Strategjia e Shqipërisë e financimit të përshtatjes ndaj ndryshimeve klimatike. Hartuar në kuadër të projektit të UNDP-së për PKP-në. Ministria e Mjedisit, 2023</w:t>
      </w:r>
      <w:r w:rsidRPr="009A6E00">
        <w:rPr>
          <w:rFonts w:ascii="Garamond" w:hAnsi="Garamond" w:cs="Times New Roman"/>
          <w:sz w:val="20"/>
          <w:szCs w:val="20"/>
        </w:rPr>
        <w:t>–</w:t>
      </w:r>
      <w:r w:rsidRPr="00622884">
        <w:rPr>
          <w:rFonts w:ascii="Garamond" w:hAnsi="Garamond"/>
          <w:color w:val="000000"/>
          <w:sz w:val="20"/>
          <w:szCs w:val="20"/>
          <w:lang w:bidi="sq-AL"/>
        </w:rPr>
        <w:t>2025.</w:t>
      </w:r>
    </w:p>
  </w:footnote>
  <w:footnote w:id="223">
    <w:p w14:paraId="38CA2675" w14:textId="77777777" w:rsidR="00622884" w:rsidRPr="00622884" w:rsidRDefault="00622884" w:rsidP="00622884">
      <w:pPr>
        <w:pStyle w:val="Piedepgina"/>
        <w:rPr>
          <w:rFonts w:ascii="Garamond" w:hAnsi="Garamond"/>
          <w:color w:val="000000"/>
          <w:sz w:val="20"/>
          <w:szCs w:val="20"/>
        </w:rPr>
      </w:pPr>
      <w:r w:rsidRPr="00622884">
        <w:rPr>
          <w:rFonts w:ascii="Garamond" w:hAnsi="Garamond"/>
          <w:color w:val="000000"/>
          <w:sz w:val="20"/>
          <w:szCs w:val="20"/>
          <w:vertAlign w:val="superscript"/>
          <w:lang w:bidi="sq-AL"/>
        </w:rPr>
        <w:footnoteRef/>
      </w:r>
      <w:r w:rsidRPr="00622884">
        <w:rPr>
          <w:rFonts w:ascii="Garamond" w:hAnsi="Garamond"/>
          <w:color w:val="000000"/>
          <w:sz w:val="20"/>
          <w:szCs w:val="20"/>
          <w:lang w:bidi="sq-AL"/>
        </w:rPr>
        <w:t xml:space="preserve"> Përfshirë buxhetin e PBA-së 2025–2027.</w:t>
      </w:r>
    </w:p>
  </w:footnote>
  <w:footnote w:id="224">
    <w:p w14:paraId="3E32209C" w14:textId="77777777" w:rsidR="00622884" w:rsidRPr="00622884" w:rsidRDefault="00622884" w:rsidP="00622884">
      <w:pPr>
        <w:pStyle w:val="Piedepgina"/>
        <w:rPr>
          <w:rFonts w:ascii="Garamond" w:hAnsi="Garamond"/>
          <w:color w:val="000000"/>
          <w:sz w:val="20"/>
          <w:szCs w:val="20"/>
        </w:rPr>
      </w:pPr>
      <w:r w:rsidRPr="00622884">
        <w:rPr>
          <w:rFonts w:ascii="Garamond" w:hAnsi="Garamond"/>
          <w:color w:val="000000"/>
          <w:sz w:val="20"/>
          <w:szCs w:val="20"/>
          <w:vertAlign w:val="superscript"/>
          <w:lang w:bidi="sq-AL"/>
        </w:rPr>
        <w:footnoteRef/>
      </w:r>
      <w:r w:rsidRPr="00622884">
        <w:rPr>
          <w:rFonts w:ascii="Garamond" w:hAnsi="Garamond"/>
          <w:color w:val="000000"/>
          <w:sz w:val="20"/>
          <w:szCs w:val="20"/>
          <w:lang w:bidi="sq-AL"/>
        </w:rPr>
        <w:t xml:space="preserve"> Të siguruara dhe të planifikuara.</w:t>
      </w:r>
    </w:p>
  </w:footnote>
  <w:footnote w:id="225">
    <w:p w14:paraId="2419CCCD" w14:textId="77777777" w:rsidR="00622884" w:rsidRPr="00622884" w:rsidRDefault="00622884" w:rsidP="00622884">
      <w:pPr>
        <w:pStyle w:val="Piedepgina"/>
        <w:rPr>
          <w:rFonts w:ascii="Garamond" w:hAnsi="Garamond"/>
          <w:color w:val="000000"/>
          <w:sz w:val="20"/>
          <w:szCs w:val="20"/>
        </w:rPr>
      </w:pPr>
      <w:r w:rsidRPr="00622884">
        <w:rPr>
          <w:rStyle w:val="FootnoteReference"/>
          <w:rFonts w:ascii="Garamond" w:hAnsi="Garamond"/>
          <w:color w:val="000000"/>
          <w:sz w:val="20"/>
          <w:szCs w:val="20"/>
          <w:lang w:bidi="sq-AL"/>
        </w:rPr>
        <w:footnoteRef/>
      </w:r>
      <w:r w:rsidRPr="00622884">
        <w:rPr>
          <w:rFonts w:ascii="Garamond" w:hAnsi="Garamond"/>
          <w:color w:val="000000"/>
          <w:sz w:val="20"/>
          <w:szCs w:val="20"/>
          <w:lang w:bidi="sq-AL"/>
        </w:rPr>
        <w:t xml:space="preserve"> Strategjia e Shqipërisë e financimit të përshtatjes ndaj ndryshimeve klimatike. Hartuar në kuadër të projektit të UNDP-së për PKP-në. Ministria e Mjedisit, 2023</w:t>
      </w:r>
      <w:r w:rsidRPr="009A6E00">
        <w:rPr>
          <w:rFonts w:ascii="Garamond" w:hAnsi="Garamond" w:cs="Times New Roman"/>
          <w:sz w:val="20"/>
          <w:szCs w:val="20"/>
        </w:rPr>
        <w:t>–</w:t>
      </w:r>
      <w:r w:rsidRPr="00622884">
        <w:rPr>
          <w:rFonts w:ascii="Garamond" w:hAnsi="Garamond"/>
          <w:color w:val="000000"/>
          <w:sz w:val="20"/>
          <w:szCs w:val="20"/>
          <w:lang w:bidi="sq-AL"/>
        </w:rPr>
        <w:t>2025.</w:t>
      </w:r>
    </w:p>
  </w:footnote>
  <w:footnote w:id="226">
    <w:p w14:paraId="0CD29CEF" w14:textId="77777777" w:rsidR="00622884" w:rsidRPr="00622884" w:rsidRDefault="00622884" w:rsidP="00622884">
      <w:pPr>
        <w:pStyle w:val="Piedepgina"/>
        <w:rPr>
          <w:rFonts w:ascii="Garamond" w:hAnsi="Garamond"/>
          <w:color w:val="000000"/>
          <w:sz w:val="20"/>
          <w:szCs w:val="20"/>
        </w:rPr>
      </w:pPr>
      <w:r w:rsidRPr="00622884">
        <w:rPr>
          <w:rStyle w:val="FootnoteReference"/>
          <w:rFonts w:ascii="Garamond" w:hAnsi="Garamond"/>
          <w:color w:val="000000"/>
          <w:sz w:val="20"/>
          <w:szCs w:val="20"/>
          <w:lang w:bidi="sq-AL"/>
        </w:rPr>
        <w:footnoteRef/>
      </w:r>
      <w:r w:rsidRPr="00622884">
        <w:rPr>
          <w:rFonts w:ascii="Garamond" w:hAnsi="Garamond"/>
          <w:color w:val="000000"/>
          <w:sz w:val="20"/>
          <w:szCs w:val="20"/>
          <w:lang w:bidi="sq-AL"/>
        </w:rPr>
        <w:t xml:space="preserve"> Partneritetet Publike-Private (PPP) janë një mjet që qeveritë mund ta përdorin për të ndihmuar në ofrimin e shërbimeve të nevojshme të infrastrukturës. PPP-të janë një mënyrë kontraktimi për shërbime, duke përdorur novacionin dhe ekspertizën e sektorit privat, dhe shpesh ato shfrytëzojnë financimin privat. (Banka Botërore).</w:t>
      </w:r>
    </w:p>
  </w:footnote>
  <w:footnote w:id="227">
    <w:p w14:paraId="06DB22BE" w14:textId="77777777" w:rsidR="00622884" w:rsidRPr="00622884" w:rsidRDefault="00622884" w:rsidP="00622884">
      <w:pPr>
        <w:pStyle w:val="Piedepgina"/>
        <w:rPr>
          <w:rFonts w:ascii="Garamond" w:eastAsia="Times New Roman" w:hAnsi="Garamond"/>
          <w:color w:val="000000"/>
          <w:sz w:val="20"/>
          <w:szCs w:val="20"/>
          <w:lang w:eastAsia="en-GB"/>
        </w:rPr>
      </w:pPr>
      <w:r w:rsidRPr="00622884">
        <w:rPr>
          <w:rStyle w:val="FootnoteReference"/>
          <w:rFonts w:ascii="Garamond" w:hAnsi="Garamond"/>
          <w:color w:val="000000"/>
          <w:sz w:val="20"/>
          <w:szCs w:val="20"/>
          <w:lang w:bidi="sq-AL"/>
        </w:rPr>
        <w:footnoteRef/>
      </w:r>
      <w:r w:rsidRPr="00622884">
        <w:rPr>
          <w:rFonts w:ascii="Garamond" w:hAnsi="Garamond"/>
          <w:color w:val="000000"/>
          <w:sz w:val="20"/>
          <w:szCs w:val="20"/>
          <w:lang w:bidi="sq-AL"/>
        </w:rPr>
        <w:t xml:space="preserve"> Një obligacion është një produkt investimi me të ardhura fikse ku individët i japin hua para një qeverie ose shoqërie me një normë interesi të caktuar për një periudhë të paracaktuar.</w:t>
      </w:r>
    </w:p>
  </w:footnote>
  <w:footnote w:id="228">
    <w:p w14:paraId="1FD0830E" w14:textId="77777777" w:rsidR="00622884" w:rsidRPr="00622884" w:rsidRDefault="00622884" w:rsidP="00622884">
      <w:pPr>
        <w:pStyle w:val="Piedepgina"/>
        <w:rPr>
          <w:rFonts w:ascii="Garamond" w:hAnsi="Garamond"/>
          <w:color w:val="000000"/>
          <w:sz w:val="20"/>
          <w:szCs w:val="20"/>
        </w:rPr>
      </w:pPr>
      <w:r w:rsidRPr="00622884">
        <w:rPr>
          <w:rStyle w:val="FootnoteReference"/>
          <w:rFonts w:ascii="Garamond" w:hAnsi="Garamond"/>
          <w:color w:val="000000"/>
          <w:sz w:val="20"/>
          <w:szCs w:val="20"/>
          <w:lang w:bidi="sq-AL"/>
        </w:rPr>
        <w:footnoteRef/>
      </w:r>
      <w:r w:rsidRPr="00622884">
        <w:rPr>
          <w:rFonts w:ascii="Garamond" w:hAnsi="Garamond"/>
          <w:color w:val="000000"/>
          <w:sz w:val="20"/>
          <w:szCs w:val="20"/>
          <w:lang w:bidi="sq-AL"/>
        </w:rPr>
        <w:t xml:space="preserve"> P.sh., Sigurimi i bujqësisë ose i indeksit të motit.</w:t>
      </w:r>
    </w:p>
  </w:footnote>
  <w:footnote w:id="229">
    <w:p w14:paraId="1D407420" w14:textId="77777777" w:rsidR="00622884" w:rsidRPr="00622884" w:rsidRDefault="00622884" w:rsidP="00622884">
      <w:pPr>
        <w:pStyle w:val="Piedepgina"/>
        <w:rPr>
          <w:rFonts w:ascii="Garamond" w:hAnsi="Garamond"/>
          <w:color w:val="000000"/>
          <w:sz w:val="20"/>
          <w:szCs w:val="20"/>
        </w:rPr>
      </w:pPr>
      <w:r w:rsidRPr="00622884">
        <w:rPr>
          <w:rStyle w:val="FootnoteReference"/>
          <w:rFonts w:ascii="Garamond" w:hAnsi="Garamond"/>
          <w:color w:val="000000"/>
          <w:sz w:val="20"/>
          <w:szCs w:val="20"/>
          <w:lang w:bidi="sq-AL"/>
        </w:rPr>
        <w:footnoteRef/>
      </w:r>
      <w:r w:rsidRPr="00622884">
        <w:rPr>
          <w:rFonts w:ascii="Garamond" w:hAnsi="Garamond"/>
          <w:color w:val="000000"/>
          <w:sz w:val="20"/>
          <w:szCs w:val="20"/>
          <w:lang w:bidi="sq-AL"/>
        </w:rPr>
        <w:t xml:space="preserve"> Përgjegjësia Sociale e Korporatave është një koncept menaxhimi me anë të të cilit kompanitë integrojnë shqetësimet sociale dhe mjedisore në operacionet e tyre të biznesit.</w:t>
      </w:r>
    </w:p>
  </w:footnote>
  <w:footnote w:id="230">
    <w:p w14:paraId="4CB3A067" w14:textId="77777777" w:rsidR="00622884" w:rsidRPr="00622884" w:rsidRDefault="00622884" w:rsidP="00622884">
      <w:pPr>
        <w:pStyle w:val="Piedepgina"/>
        <w:rPr>
          <w:rFonts w:ascii="Garamond" w:hAnsi="Garamond"/>
          <w:color w:val="000000"/>
          <w:sz w:val="20"/>
          <w:szCs w:val="20"/>
        </w:rPr>
      </w:pPr>
      <w:r w:rsidRPr="00622884">
        <w:rPr>
          <w:rStyle w:val="FootnoteReference"/>
          <w:rFonts w:ascii="Garamond" w:hAnsi="Garamond"/>
          <w:color w:val="000000"/>
          <w:sz w:val="20"/>
          <w:szCs w:val="20"/>
          <w:lang w:bidi="sq-AL"/>
        </w:rPr>
        <w:footnoteRef/>
      </w:r>
      <w:r w:rsidRPr="00622884">
        <w:rPr>
          <w:rFonts w:ascii="Garamond" w:hAnsi="Garamond"/>
          <w:color w:val="000000"/>
          <w:sz w:val="20"/>
          <w:szCs w:val="20"/>
          <w:lang w:bidi="sq-AL"/>
        </w:rPr>
        <w:t>Mbështetje për plotësimin e mangësive në të dhënat dhe analizat e riskut të përshtatjes. Qeveria e Shqipërisë – Grupi Ndërministror i Punës për Ndryshimet Klimatike (GNPNK) – Ministria e Mjedisit. National and Sectoral Scenario Development Report [Raporti kombëtar dhe sektorial për zhvillimin e skenarëve]. Baastel, janar 2023.</w:t>
      </w:r>
    </w:p>
  </w:footnote>
  <w:footnote w:id="231">
    <w:p w14:paraId="221D72C6" w14:textId="77777777" w:rsidR="00622884" w:rsidRPr="00622884" w:rsidRDefault="00622884" w:rsidP="00622884">
      <w:pPr>
        <w:pStyle w:val="FootnoteText"/>
        <w:rPr>
          <w:rFonts w:ascii="Garamond" w:hAnsi="Garamond" w:cs="Calibri Light"/>
          <w:color w:val="000000"/>
        </w:rPr>
      </w:pPr>
      <w:r w:rsidRPr="00622884">
        <w:rPr>
          <w:rStyle w:val="FootnoteReference"/>
          <w:rFonts w:ascii="Garamond" w:hAnsi="Garamond"/>
          <w:color w:val="000000"/>
          <w:lang w:bidi="sq-AL"/>
        </w:rPr>
        <w:footnoteRef/>
      </w:r>
      <w:r w:rsidRPr="00622884">
        <w:rPr>
          <w:rFonts w:ascii="Garamond" w:hAnsi="Garamond"/>
          <w:color w:val="000000"/>
          <w:lang w:bidi="sq-AL"/>
        </w:rPr>
        <w:t>Mbështetje për plotësimin e mangësive në të dhënat dhe analizat e riskut të përshtatjes. National and Sectoral Scenario Development Report [Raporti kombëtar dhe sektorial për zhvillimin e skenarëve] Hartuar në kuadër të projektit të PKP-së nga UNDP-ja. Ministria e Mjedisit, janar 2023.</w:t>
      </w:r>
    </w:p>
  </w:footnote>
  <w:footnote w:id="232">
    <w:p w14:paraId="5EC8EA39" w14:textId="77777777" w:rsidR="00622884" w:rsidRPr="00622884" w:rsidRDefault="00622884" w:rsidP="00622884">
      <w:pPr>
        <w:pStyle w:val="FootnoteText"/>
        <w:rPr>
          <w:rFonts w:ascii="Garamond" w:hAnsi="Garamond" w:cs="Calibri"/>
          <w:color w:val="000000"/>
        </w:rPr>
      </w:pPr>
      <w:r w:rsidRPr="00622884">
        <w:rPr>
          <w:rStyle w:val="FootnoteReference"/>
          <w:rFonts w:ascii="Garamond" w:hAnsi="Garamond"/>
          <w:color w:val="000000"/>
          <w:lang w:bidi="sq-AL"/>
        </w:rPr>
        <w:footnoteRef/>
      </w:r>
      <w:r w:rsidRPr="00622884">
        <w:rPr>
          <w:rFonts w:ascii="Garamond" w:hAnsi="Garamond"/>
          <w:color w:val="000000"/>
          <w:lang w:bidi="sq-AL"/>
        </w:rPr>
        <w:t>Mbështetje për plotësimin e mangësive në të dhënat dhe analizat e riskut të përshtatjes. National and Sectoral Scenario Development Report [Raporti kombëtar dhe sektorial për zhvillimin e skenarëve] Hartuar në kuadër të Projektit të PKP-së nga UNDP-ja. Ministria e Mjedisit, janar 2023</w:t>
      </w:r>
    </w:p>
  </w:footnote>
  <w:footnote w:id="233">
    <w:p w14:paraId="5CCE73CF" w14:textId="77777777" w:rsidR="00622884" w:rsidRPr="00622884" w:rsidRDefault="00622884" w:rsidP="00622884">
      <w:pPr>
        <w:pStyle w:val="Piedepgina"/>
        <w:rPr>
          <w:rFonts w:ascii="Garamond" w:hAnsi="Garamond"/>
          <w:color w:val="000000"/>
          <w:sz w:val="20"/>
          <w:szCs w:val="20"/>
          <w:highlight w:val="yellow"/>
        </w:rPr>
      </w:pPr>
      <w:r w:rsidRPr="00622884">
        <w:rPr>
          <w:rStyle w:val="FootnoteReference"/>
          <w:rFonts w:ascii="Garamond" w:hAnsi="Garamond"/>
          <w:color w:val="000000"/>
          <w:sz w:val="20"/>
          <w:szCs w:val="20"/>
          <w:lang w:bidi="sq-AL"/>
        </w:rPr>
        <w:footnoteRef/>
      </w:r>
      <w:r w:rsidRPr="00622884">
        <w:rPr>
          <w:rFonts w:ascii="Garamond" w:hAnsi="Garamond"/>
          <w:color w:val="000000"/>
          <w:sz w:val="20"/>
          <w:szCs w:val="20"/>
          <w:lang w:bidi="sq-AL"/>
        </w:rPr>
        <w:t>Mbështetje për plotësimin e mangësive në të dhënat dhe analizat e riskut të përshtatjes. National and Sectoral Scenario Development Report [Raporti kombëtar dhe sektorial për zhvillimin e skenarëve] Hartuar në kuadër të Projektit të PKP-së nga UNDP-ja. Ministria e Mjedisit, janar 2023</w:t>
      </w:r>
    </w:p>
  </w:footnote>
  <w:footnote w:id="234">
    <w:p w14:paraId="773DA3A3" w14:textId="77777777" w:rsidR="00622884" w:rsidRPr="00622884" w:rsidRDefault="00622884" w:rsidP="00622884">
      <w:pPr>
        <w:pStyle w:val="Piedepgina"/>
        <w:spacing w:line="240" w:lineRule="auto"/>
        <w:rPr>
          <w:rFonts w:ascii="Garamond" w:hAnsi="Garamond"/>
          <w:color w:val="000000"/>
          <w:sz w:val="20"/>
          <w:szCs w:val="20"/>
        </w:rPr>
      </w:pPr>
      <w:r w:rsidRPr="00622884">
        <w:rPr>
          <w:rStyle w:val="FootnoteReference"/>
          <w:rFonts w:ascii="Garamond" w:hAnsi="Garamond"/>
          <w:color w:val="000000"/>
          <w:sz w:val="20"/>
          <w:szCs w:val="20"/>
          <w:lang w:bidi="sq-AL"/>
        </w:rPr>
        <w:footnoteRef/>
      </w:r>
      <w:r w:rsidRPr="00622884">
        <w:rPr>
          <w:rFonts w:ascii="Garamond" w:hAnsi="Garamond"/>
          <w:color w:val="000000"/>
          <w:sz w:val="20"/>
          <w:szCs w:val="20"/>
          <w:lang w:bidi="sq-AL"/>
        </w:rPr>
        <w:t xml:space="preserve">Mbështetje për plotësimin e mangësive në të dhënat dhe analizat e riskut të përshtatjes. Qeveria e Shqipërisë - Grupi Ndërministror i Punës për Ndryshimet Klimatike (GNPNK) – Ministria e Mjedisit. </w:t>
      </w:r>
      <w:r w:rsidRPr="00622884">
        <w:rPr>
          <w:rFonts w:ascii="Garamond" w:hAnsi="Garamond"/>
          <w:i/>
          <w:noProof w:val="0"/>
          <w:color w:val="000000"/>
          <w:sz w:val="20"/>
          <w:szCs w:val="20"/>
          <w:lang w:bidi="sq-AL"/>
        </w:rPr>
        <w:t>National and Sectoral Scenario Development Report</w:t>
      </w:r>
      <w:r w:rsidRPr="00622884">
        <w:rPr>
          <w:rFonts w:ascii="Garamond" w:hAnsi="Garamond"/>
          <w:color w:val="000000"/>
          <w:sz w:val="20"/>
          <w:szCs w:val="20"/>
          <w:lang w:bidi="sq-AL"/>
        </w:rPr>
        <w:t xml:space="preserve"> [Raporti kombëtar dhe sektorial për zhvillimin e skenarëve] Baastel, janar 2023.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DD17E3" w14:textId="77777777" w:rsidR="00622884" w:rsidRDefault="00622884" w:rsidP="0057466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DD17E4" w14:textId="77777777" w:rsidR="00622884" w:rsidRPr="005F1B61" w:rsidRDefault="00622884" w:rsidP="0057466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DD17E7" w14:textId="77777777" w:rsidR="00622884" w:rsidRDefault="00622884" w:rsidP="0057466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98F5CC8B"/>
    <w:multiLevelType w:val="hybridMultilevel"/>
    <w:tmpl w:val="D016840E"/>
    <w:lvl w:ilvl="0" w:tplc="77F0CE82">
      <w:start w:val="1"/>
      <w:numFmt w:val="lowerLetter"/>
      <w:pStyle w:val="Subtitulo4"/>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A5210CD"/>
    <w:multiLevelType w:val="multilevel"/>
    <w:tmpl w:val="C5D64FF0"/>
    <w:styleLink w:val="Style2"/>
    <w:lvl w:ilvl="0">
      <w:start w:val="1"/>
      <w:numFmt w:val="decimal"/>
      <w:lvlText w:val="%1"/>
      <w:lvlJc w:val="left"/>
      <w:pPr>
        <w:ind w:left="432" w:hanging="432"/>
      </w:pPr>
      <w:rPr>
        <w:rFonts w:hint="default"/>
      </w:rPr>
    </w:lvl>
    <w:lvl w:ilvl="1">
      <w:start w:val="1"/>
      <w:numFmt w:val="decimal"/>
      <w:lvlText w:val="%1.%2"/>
      <w:lvlJc w:val="left"/>
      <w:pPr>
        <w:ind w:left="66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 w15:restartNumberingAfterBreak="0">
    <w:nsid w:val="0DAB7FC9"/>
    <w:multiLevelType w:val="multilevel"/>
    <w:tmpl w:val="C10A56F4"/>
    <w:lvl w:ilvl="0">
      <w:start w:val="1"/>
      <w:numFmt w:val="upperRoman"/>
      <w:pStyle w:val="Chapter"/>
      <w:lvlText w:val="%1."/>
      <w:lvlJc w:val="center"/>
      <w:pPr>
        <w:tabs>
          <w:tab w:val="num" w:pos="648"/>
        </w:tabs>
        <w:ind w:left="0" w:firstLine="288"/>
      </w:pPr>
      <w:rPr>
        <w:b/>
        <w:i w:val="0"/>
      </w:rPr>
    </w:lvl>
    <w:lvl w:ilvl="1">
      <w:start w:val="1"/>
      <w:numFmt w:val="decimal"/>
      <w:lvlText w:val="4.%2."/>
      <w:lvlJc w:val="left"/>
      <w:pPr>
        <w:tabs>
          <w:tab w:val="num" w:pos="1080"/>
        </w:tabs>
        <w:ind w:left="1080" w:hanging="720"/>
      </w:pPr>
      <w:rPr>
        <w:rFonts w:hint="default"/>
      </w:rPr>
    </w:lvl>
    <w:lvl w:ilvl="2">
      <w:start w:val="1"/>
      <w:numFmt w:val="lowerLetter"/>
      <w:pStyle w:val="subpar"/>
      <w:lvlText w:val="%3."/>
      <w:lvlJc w:val="left"/>
      <w:pPr>
        <w:tabs>
          <w:tab w:val="num" w:pos="2052"/>
        </w:tabs>
        <w:ind w:left="2052" w:hanging="432"/>
      </w:pPr>
    </w:lvl>
    <w:lvl w:ilvl="3">
      <w:start w:val="1"/>
      <w:numFmt w:val="lowerRoman"/>
      <w:pStyle w:val="SubSubPar"/>
      <w:lvlText w:val="%4."/>
      <w:lvlJc w:val="right"/>
      <w:pPr>
        <w:tabs>
          <w:tab w:val="num" w:pos="1584"/>
        </w:tabs>
        <w:ind w:left="1584" w:hanging="288"/>
      </w:pPr>
    </w:lvl>
    <w:lvl w:ilvl="4">
      <w:start w:val="1"/>
      <w:numFmt w:val="none"/>
      <w:lvlText w:val=""/>
      <w:lvlJc w:val="left"/>
      <w:pPr>
        <w:tabs>
          <w:tab w:val="num" w:pos="3240"/>
        </w:tabs>
        <w:ind w:left="2880" w:firstLine="0"/>
      </w:pPr>
    </w:lvl>
    <w:lvl w:ilvl="5">
      <w:start w:val="1"/>
      <w:numFmt w:val="none"/>
      <w:lvlText w:val=""/>
      <w:lvlJc w:val="left"/>
      <w:pPr>
        <w:tabs>
          <w:tab w:val="num" w:pos="3960"/>
        </w:tabs>
        <w:ind w:left="3600" w:firstLine="0"/>
      </w:pPr>
    </w:lvl>
    <w:lvl w:ilvl="6">
      <w:start w:val="1"/>
      <w:numFmt w:val="none"/>
      <w:lvlText w:val=""/>
      <w:lvlJc w:val="left"/>
      <w:pPr>
        <w:tabs>
          <w:tab w:val="num" w:pos="4680"/>
        </w:tabs>
        <w:ind w:left="4320" w:firstLine="0"/>
      </w:pPr>
    </w:lvl>
    <w:lvl w:ilvl="7">
      <w:start w:val="1"/>
      <w:numFmt w:val="none"/>
      <w:lvlText w:val=""/>
      <w:lvlJc w:val="left"/>
      <w:pPr>
        <w:tabs>
          <w:tab w:val="num" w:pos="5400"/>
        </w:tabs>
        <w:ind w:left="5040" w:firstLine="0"/>
      </w:pPr>
    </w:lvl>
    <w:lvl w:ilvl="8">
      <w:start w:val="1"/>
      <w:numFmt w:val="none"/>
      <w:lvlText w:val=""/>
      <w:lvlJc w:val="left"/>
      <w:pPr>
        <w:tabs>
          <w:tab w:val="num" w:pos="6120"/>
        </w:tabs>
        <w:ind w:left="5760" w:firstLine="0"/>
      </w:pPr>
    </w:lvl>
  </w:abstractNum>
  <w:abstractNum w:abstractNumId="3" w15:restartNumberingAfterBreak="0">
    <w:nsid w:val="0DCE3C11"/>
    <w:multiLevelType w:val="hybridMultilevel"/>
    <w:tmpl w:val="5468A820"/>
    <w:lvl w:ilvl="0" w:tplc="49F6F2A8">
      <w:start w:val="1"/>
      <w:numFmt w:val="bullet"/>
      <w:pStyle w:val="7Bulletpoints"/>
      <w:lvlText w:val=""/>
      <w:lvlJc w:val="left"/>
      <w:pPr>
        <w:ind w:left="1074" w:hanging="360"/>
      </w:pPr>
      <w:rPr>
        <w:rFonts w:ascii="Symbol" w:hAnsi="Symbol" w:hint="default"/>
        <w:color w:val="25775E"/>
      </w:rPr>
    </w:lvl>
    <w:lvl w:ilvl="1" w:tplc="0C0A0003">
      <w:start w:val="1"/>
      <w:numFmt w:val="bullet"/>
      <w:lvlText w:val="o"/>
      <w:lvlJc w:val="left"/>
      <w:pPr>
        <w:ind w:left="1797" w:hanging="360"/>
      </w:pPr>
      <w:rPr>
        <w:rFonts w:ascii="Courier New" w:hAnsi="Courier New" w:cs="Courier New" w:hint="default"/>
      </w:rPr>
    </w:lvl>
    <w:lvl w:ilvl="2" w:tplc="0C0A0005" w:tentative="1">
      <w:start w:val="1"/>
      <w:numFmt w:val="bullet"/>
      <w:lvlText w:val=""/>
      <w:lvlJc w:val="left"/>
      <w:pPr>
        <w:ind w:left="2517" w:hanging="360"/>
      </w:pPr>
      <w:rPr>
        <w:rFonts w:ascii="Wingdings" w:hAnsi="Wingdings" w:hint="default"/>
      </w:rPr>
    </w:lvl>
    <w:lvl w:ilvl="3" w:tplc="0C0A0001" w:tentative="1">
      <w:start w:val="1"/>
      <w:numFmt w:val="bullet"/>
      <w:lvlText w:val=""/>
      <w:lvlJc w:val="left"/>
      <w:pPr>
        <w:ind w:left="3237" w:hanging="360"/>
      </w:pPr>
      <w:rPr>
        <w:rFonts w:ascii="Symbol" w:hAnsi="Symbol" w:hint="default"/>
      </w:rPr>
    </w:lvl>
    <w:lvl w:ilvl="4" w:tplc="0C0A0003" w:tentative="1">
      <w:start w:val="1"/>
      <w:numFmt w:val="bullet"/>
      <w:lvlText w:val="o"/>
      <w:lvlJc w:val="left"/>
      <w:pPr>
        <w:ind w:left="3957" w:hanging="360"/>
      </w:pPr>
      <w:rPr>
        <w:rFonts w:ascii="Courier New" w:hAnsi="Courier New" w:cs="Courier New" w:hint="default"/>
      </w:rPr>
    </w:lvl>
    <w:lvl w:ilvl="5" w:tplc="0C0A0005" w:tentative="1">
      <w:start w:val="1"/>
      <w:numFmt w:val="bullet"/>
      <w:lvlText w:val=""/>
      <w:lvlJc w:val="left"/>
      <w:pPr>
        <w:ind w:left="4677" w:hanging="360"/>
      </w:pPr>
      <w:rPr>
        <w:rFonts w:ascii="Wingdings" w:hAnsi="Wingdings" w:hint="default"/>
      </w:rPr>
    </w:lvl>
    <w:lvl w:ilvl="6" w:tplc="0C0A0001" w:tentative="1">
      <w:start w:val="1"/>
      <w:numFmt w:val="bullet"/>
      <w:lvlText w:val=""/>
      <w:lvlJc w:val="left"/>
      <w:pPr>
        <w:ind w:left="5397" w:hanging="360"/>
      </w:pPr>
      <w:rPr>
        <w:rFonts w:ascii="Symbol" w:hAnsi="Symbol" w:hint="default"/>
      </w:rPr>
    </w:lvl>
    <w:lvl w:ilvl="7" w:tplc="0C0A0003" w:tentative="1">
      <w:start w:val="1"/>
      <w:numFmt w:val="bullet"/>
      <w:lvlText w:val="o"/>
      <w:lvlJc w:val="left"/>
      <w:pPr>
        <w:ind w:left="6117" w:hanging="360"/>
      </w:pPr>
      <w:rPr>
        <w:rFonts w:ascii="Courier New" w:hAnsi="Courier New" w:cs="Courier New" w:hint="default"/>
      </w:rPr>
    </w:lvl>
    <w:lvl w:ilvl="8" w:tplc="0C0A0005" w:tentative="1">
      <w:start w:val="1"/>
      <w:numFmt w:val="bullet"/>
      <w:lvlText w:val=""/>
      <w:lvlJc w:val="left"/>
      <w:pPr>
        <w:ind w:left="6837" w:hanging="360"/>
      </w:pPr>
      <w:rPr>
        <w:rFonts w:ascii="Wingdings" w:hAnsi="Wingdings" w:hint="default"/>
      </w:rPr>
    </w:lvl>
  </w:abstractNum>
  <w:abstractNum w:abstractNumId="4" w15:restartNumberingAfterBreak="0">
    <w:nsid w:val="18E24DC3"/>
    <w:multiLevelType w:val="multilevel"/>
    <w:tmpl w:val="FDFA233C"/>
    <w:lvl w:ilvl="0">
      <w:start w:val="1"/>
      <w:numFmt w:val="decimal"/>
      <w:lvlText w:val="%1."/>
      <w:lvlJc w:val="left"/>
      <w:pPr>
        <w:ind w:left="720" w:hanging="360"/>
      </w:pPr>
      <w:rPr>
        <w:rFonts w:hint="default"/>
        <w:b/>
        <w:bCs/>
      </w:rPr>
    </w:lvl>
    <w:lvl w:ilvl="1">
      <w:start w:val="1"/>
      <w:numFmt w:val="decimal"/>
      <w:isLgl/>
      <w:lvlText w:val="%1.%2"/>
      <w:lvlJc w:val="left"/>
      <w:pPr>
        <w:ind w:left="786" w:hanging="360"/>
      </w:pPr>
      <w:rPr>
        <w:rFonts w:hint="default"/>
        <w:sz w:val="24"/>
        <w:szCs w:val="24"/>
      </w:rPr>
    </w:lvl>
    <w:lvl w:ilvl="2">
      <w:start w:val="1"/>
      <w:numFmt w:val="decimal"/>
      <w:isLgl/>
      <w:lvlText w:val="%1.%2.%3"/>
      <w:lvlJc w:val="left"/>
      <w:pPr>
        <w:ind w:left="1212" w:hanging="720"/>
      </w:pPr>
      <w:rPr>
        <w:rFonts w:hint="default"/>
      </w:rPr>
    </w:lvl>
    <w:lvl w:ilvl="3">
      <w:start w:val="1"/>
      <w:numFmt w:val="decimal"/>
      <w:isLgl/>
      <w:lvlText w:val="%1.%2.%3.%4"/>
      <w:lvlJc w:val="left"/>
      <w:pPr>
        <w:ind w:left="1278" w:hanging="72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1770" w:hanging="1080"/>
      </w:pPr>
      <w:rPr>
        <w:rFonts w:hint="default"/>
      </w:rPr>
    </w:lvl>
    <w:lvl w:ilvl="6">
      <w:start w:val="1"/>
      <w:numFmt w:val="decimal"/>
      <w:isLgl/>
      <w:lvlText w:val="%1.%2.%3.%4.%5.%6.%7"/>
      <w:lvlJc w:val="left"/>
      <w:pPr>
        <w:ind w:left="2196" w:hanging="1440"/>
      </w:pPr>
    </w:lvl>
    <w:lvl w:ilvl="7">
      <w:start w:val="1"/>
      <w:numFmt w:val="decimal"/>
      <w:isLgl/>
      <w:lvlText w:val="%1.%2.%3.%4.%5.%6.%7.%8"/>
      <w:lvlJc w:val="left"/>
      <w:pPr>
        <w:ind w:left="2262" w:hanging="1440"/>
      </w:pPr>
      <w:rPr>
        <w:rFonts w:hint="default"/>
      </w:rPr>
    </w:lvl>
    <w:lvl w:ilvl="8">
      <w:start w:val="1"/>
      <w:numFmt w:val="decimal"/>
      <w:isLgl/>
      <w:lvlText w:val="%1.%2.%3.%4.%5.%6.%7.%8.%9"/>
      <w:lvlJc w:val="left"/>
      <w:pPr>
        <w:ind w:left="2688" w:hanging="1800"/>
      </w:pPr>
      <w:rPr>
        <w:rFonts w:hint="default"/>
      </w:rPr>
    </w:lvl>
  </w:abstractNum>
  <w:abstractNum w:abstractNumId="5" w15:restartNumberingAfterBreak="0">
    <w:nsid w:val="244241A6"/>
    <w:multiLevelType w:val="hybridMultilevel"/>
    <w:tmpl w:val="11DCAB74"/>
    <w:lvl w:ilvl="0" w:tplc="33B87B5A">
      <w:start w:val="1"/>
      <w:numFmt w:val="bullet"/>
      <w:pStyle w:val="Tablebulletssmall"/>
      <w:lvlText w:val=""/>
      <w:lvlJc w:val="left"/>
      <w:pPr>
        <w:ind w:left="113" w:hanging="113"/>
      </w:pPr>
      <w:rPr>
        <w:rFonts w:ascii="Symbol" w:hAnsi="Symbol" w:hint="default"/>
        <w:color w:val="467492"/>
      </w:rPr>
    </w:lvl>
    <w:lvl w:ilvl="1" w:tplc="04070019">
      <w:start w:val="1"/>
      <w:numFmt w:val="lowerLetter"/>
      <w:lvlText w:val="%2."/>
      <w:lvlJc w:val="left"/>
      <w:pPr>
        <w:ind w:left="1156" w:hanging="360"/>
      </w:pPr>
    </w:lvl>
    <w:lvl w:ilvl="2" w:tplc="0407001B">
      <w:start w:val="1"/>
      <w:numFmt w:val="lowerRoman"/>
      <w:lvlText w:val="%3."/>
      <w:lvlJc w:val="right"/>
      <w:pPr>
        <w:ind w:left="1876" w:hanging="180"/>
      </w:pPr>
    </w:lvl>
    <w:lvl w:ilvl="3" w:tplc="0407000F" w:tentative="1">
      <w:start w:val="1"/>
      <w:numFmt w:val="decimal"/>
      <w:lvlText w:val="%4."/>
      <w:lvlJc w:val="left"/>
      <w:pPr>
        <w:ind w:left="2596" w:hanging="360"/>
      </w:pPr>
    </w:lvl>
    <w:lvl w:ilvl="4" w:tplc="04070019" w:tentative="1">
      <w:start w:val="1"/>
      <w:numFmt w:val="lowerLetter"/>
      <w:lvlText w:val="%5."/>
      <w:lvlJc w:val="left"/>
      <w:pPr>
        <w:ind w:left="3316" w:hanging="360"/>
      </w:pPr>
    </w:lvl>
    <w:lvl w:ilvl="5" w:tplc="0407001B" w:tentative="1">
      <w:start w:val="1"/>
      <w:numFmt w:val="lowerRoman"/>
      <w:lvlText w:val="%6."/>
      <w:lvlJc w:val="right"/>
      <w:pPr>
        <w:ind w:left="4036" w:hanging="180"/>
      </w:pPr>
    </w:lvl>
    <w:lvl w:ilvl="6" w:tplc="0407000F" w:tentative="1">
      <w:start w:val="1"/>
      <w:numFmt w:val="decimal"/>
      <w:lvlText w:val="%7."/>
      <w:lvlJc w:val="left"/>
      <w:pPr>
        <w:ind w:left="4756" w:hanging="360"/>
      </w:pPr>
    </w:lvl>
    <w:lvl w:ilvl="7" w:tplc="04070019" w:tentative="1">
      <w:start w:val="1"/>
      <w:numFmt w:val="lowerLetter"/>
      <w:lvlText w:val="%8."/>
      <w:lvlJc w:val="left"/>
      <w:pPr>
        <w:ind w:left="5476" w:hanging="360"/>
      </w:pPr>
    </w:lvl>
    <w:lvl w:ilvl="8" w:tplc="0407001B" w:tentative="1">
      <w:start w:val="1"/>
      <w:numFmt w:val="lowerRoman"/>
      <w:lvlText w:val="%9."/>
      <w:lvlJc w:val="right"/>
      <w:pPr>
        <w:ind w:left="6196" w:hanging="180"/>
      </w:pPr>
    </w:lvl>
  </w:abstractNum>
  <w:abstractNum w:abstractNumId="6" w15:restartNumberingAfterBreak="0">
    <w:nsid w:val="26484050"/>
    <w:multiLevelType w:val="multilevel"/>
    <w:tmpl w:val="3AD46462"/>
    <w:styleLink w:val="EstiloConvietas"/>
    <w:lvl w:ilvl="0">
      <w:start w:val="1"/>
      <w:numFmt w:val="bullet"/>
      <w:lvlText w:val=""/>
      <w:lvlJc w:val="left"/>
      <w:pPr>
        <w:tabs>
          <w:tab w:val="num" w:pos="720"/>
        </w:tabs>
        <w:ind w:left="720" w:hanging="360"/>
      </w:pPr>
      <w:rPr>
        <w:rFonts w:ascii="Symbol" w:hAnsi="Symbol"/>
        <w:sz w:val="24"/>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7BC132D"/>
    <w:multiLevelType w:val="hybridMultilevel"/>
    <w:tmpl w:val="19727F4A"/>
    <w:lvl w:ilvl="0" w:tplc="AF98E592">
      <w:start w:val="1"/>
      <w:numFmt w:val="bullet"/>
      <w:pStyle w:val="parrafo1"/>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8" w15:restartNumberingAfterBreak="0">
    <w:nsid w:val="29D045E4"/>
    <w:multiLevelType w:val="multilevel"/>
    <w:tmpl w:val="B16AAE92"/>
    <w:lvl w:ilvl="0">
      <w:start w:val="1"/>
      <w:numFmt w:val="decimal"/>
      <w:lvlText w:val="%1."/>
      <w:lvlJc w:val="left"/>
      <w:pPr>
        <w:ind w:left="390" w:hanging="390"/>
      </w:pPr>
      <w:rPr>
        <w:rFonts w:hint="default"/>
        <w:b w:val="0"/>
        <w:bCs w:val="0"/>
      </w:rPr>
    </w:lvl>
    <w:lvl w:ilvl="1">
      <w:start w:val="1"/>
      <w:numFmt w:val="decimal"/>
      <w:lvlText w:val="%1.%2."/>
      <w:lvlJc w:val="left"/>
      <w:pPr>
        <w:ind w:left="390" w:hanging="390"/>
      </w:pPr>
      <w:rPr>
        <w:rFonts w:hint="default"/>
        <w:b/>
        <w:bCs/>
        <w:sz w:val="20"/>
        <w:szCs w:val="22"/>
      </w:rPr>
    </w:lvl>
    <w:lvl w:ilvl="2">
      <w:start w:val="1"/>
      <w:numFmt w:val="decimal"/>
      <w:pStyle w:val="Subtitulo5"/>
      <w:lvlText w:val="%1.%2.%3."/>
      <w:lvlJc w:val="left"/>
      <w:pPr>
        <w:ind w:left="720" w:hanging="720"/>
      </w:pPr>
      <w:rPr>
        <w:rFonts w:ascii="Aptos Display" w:hAnsi="Aptos Display" w:hint="default"/>
        <w:b/>
        <w:bCs/>
        <w:sz w:val="20"/>
        <w:szCs w:val="20"/>
      </w:rPr>
    </w:lvl>
    <w:lvl w:ilvl="3">
      <w:start w:val="1"/>
      <w:numFmt w:val="decimal"/>
      <w:lvlText w:val="%1.%2.%3.%4."/>
      <w:lvlJc w:val="left"/>
      <w:pPr>
        <w:ind w:left="720" w:hanging="720"/>
      </w:pPr>
      <w:rPr>
        <w:rFonts w:hint="default"/>
        <w:b/>
        <w:bCs/>
      </w:rPr>
    </w:lvl>
    <w:lvl w:ilvl="4">
      <w:start w:val="1"/>
      <w:numFmt w:val="decimal"/>
      <w:lvlText w:val="%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15:restartNumberingAfterBreak="0">
    <w:nsid w:val="3B0A2883"/>
    <w:multiLevelType w:val="hybridMultilevel"/>
    <w:tmpl w:val="A62465B4"/>
    <w:lvl w:ilvl="0" w:tplc="2ABA6EF4">
      <w:start w:val="1"/>
      <w:numFmt w:val="bullet"/>
      <w:pStyle w:val="BulletpointsinCV"/>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3C000DAF"/>
    <w:multiLevelType w:val="hybridMultilevel"/>
    <w:tmpl w:val="1B060C7A"/>
    <w:lvl w:ilvl="0" w:tplc="15BE8B86">
      <w:start w:val="1"/>
      <w:numFmt w:val="bullet"/>
      <w:pStyle w:val="1stBulletlist"/>
      <w:lvlText w:val=""/>
      <w:lvlJc w:val="left"/>
      <w:pPr>
        <w:tabs>
          <w:tab w:val="num" w:pos="284"/>
        </w:tabs>
        <w:ind w:left="284" w:hanging="284"/>
      </w:pPr>
      <w:rPr>
        <w:rFonts w:ascii="Symbol" w:hAnsi="Symbol" w:hint="default"/>
        <w:color w:val="auto"/>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1" w15:restartNumberingAfterBreak="0">
    <w:nsid w:val="3F4922D7"/>
    <w:multiLevelType w:val="hybridMultilevel"/>
    <w:tmpl w:val="D63E8D16"/>
    <w:lvl w:ilvl="0" w:tplc="193C91B4">
      <w:numFmt w:val="bullet"/>
      <w:pStyle w:val="Paragrafoelenco1"/>
      <w:lvlText w:val="-"/>
      <w:lvlJc w:val="left"/>
      <w:pPr>
        <w:ind w:left="1440" w:hanging="360"/>
      </w:pPr>
      <w:rPr>
        <w:rFonts w:ascii="Calibri" w:eastAsia="Calibri" w:hAnsi="Calibri" w:cs="Times New Roman" w:hint="default"/>
      </w:rPr>
    </w:lvl>
    <w:lvl w:ilvl="1" w:tplc="04100003">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2" w15:restartNumberingAfterBreak="0">
    <w:nsid w:val="40D31BC6"/>
    <w:multiLevelType w:val="hybridMultilevel"/>
    <w:tmpl w:val="C6EE3BEA"/>
    <w:lvl w:ilvl="0" w:tplc="BD6A17CA">
      <w:start w:val="1"/>
      <w:numFmt w:val="decimal"/>
      <w:pStyle w:val="Step2"/>
      <w:lvlText w:val="1.%1"/>
      <w:lvlJc w:val="left"/>
      <w:pPr>
        <w:tabs>
          <w:tab w:val="num" w:pos="360"/>
        </w:tabs>
        <w:ind w:left="360" w:hanging="360"/>
      </w:pPr>
      <w:rPr>
        <w:b/>
      </w:rPr>
    </w:lvl>
    <w:lvl w:ilvl="1" w:tplc="0C0A0019">
      <w:start w:val="1"/>
      <w:numFmt w:val="lowerLetter"/>
      <w:lvlText w:val="%2."/>
      <w:lvlJc w:val="left"/>
      <w:pPr>
        <w:ind w:left="1080" w:hanging="360"/>
      </w:pPr>
    </w:lvl>
    <w:lvl w:ilvl="2" w:tplc="0C0A001B">
      <w:start w:val="1"/>
      <w:numFmt w:val="decimal"/>
      <w:lvlText w:val="%3."/>
      <w:lvlJc w:val="left"/>
      <w:pPr>
        <w:tabs>
          <w:tab w:val="num" w:pos="2160"/>
        </w:tabs>
        <w:ind w:left="2160" w:hanging="360"/>
      </w:pPr>
    </w:lvl>
    <w:lvl w:ilvl="3" w:tplc="0C0A000F">
      <w:start w:val="1"/>
      <w:numFmt w:val="decimal"/>
      <w:lvlText w:val="%4."/>
      <w:lvlJc w:val="left"/>
      <w:pPr>
        <w:tabs>
          <w:tab w:val="num" w:pos="2880"/>
        </w:tabs>
        <w:ind w:left="2880" w:hanging="360"/>
      </w:pPr>
    </w:lvl>
    <w:lvl w:ilvl="4" w:tplc="0C0A0019">
      <w:start w:val="1"/>
      <w:numFmt w:val="decimal"/>
      <w:lvlText w:val="%5."/>
      <w:lvlJc w:val="left"/>
      <w:pPr>
        <w:tabs>
          <w:tab w:val="num" w:pos="3600"/>
        </w:tabs>
        <w:ind w:left="3600" w:hanging="360"/>
      </w:pPr>
    </w:lvl>
    <w:lvl w:ilvl="5" w:tplc="0C0A001B">
      <w:start w:val="1"/>
      <w:numFmt w:val="decimal"/>
      <w:lvlText w:val="%6."/>
      <w:lvlJc w:val="left"/>
      <w:pPr>
        <w:tabs>
          <w:tab w:val="num" w:pos="4320"/>
        </w:tabs>
        <w:ind w:left="4320" w:hanging="360"/>
      </w:pPr>
    </w:lvl>
    <w:lvl w:ilvl="6" w:tplc="0C0A000F">
      <w:start w:val="1"/>
      <w:numFmt w:val="decimal"/>
      <w:lvlText w:val="%7."/>
      <w:lvlJc w:val="left"/>
      <w:pPr>
        <w:tabs>
          <w:tab w:val="num" w:pos="5040"/>
        </w:tabs>
        <w:ind w:left="5040" w:hanging="360"/>
      </w:pPr>
    </w:lvl>
    <w:lvl w:ilvl="7" w:tplc="0C0A0019">
      <w:start w:val="1"/>
      <w:numFmt w:val="decimal"/>
      <w:lvlText w:val="%8."/>
      <w:lvlJc w:val="left"/>
      <w:pPr>
        <w:tabs>
          <w:tab w:val="num" w:pos="5760"/>
        </w:tabs>
        <w:ind w:left="5760" w:hanging="360"/>
      </w:pPr>
    </w:lvl>
    <w:lvl w:ilvl="8" w:tplc="0C0A001B">
      <w:start w:val="1"/>
      <w:numFmt w:val="decimal"/>
      <w:lvlText w:val="%9."/>
      <w:lvlJc w:val="left"/>
      <w:pPr>
        <w:tabs>
          <w:tab w:val="num" w:pos="6480"/>
        </w:tabs>
        <w:ind w:left="6480" w:hanging="360"/>
      </w:pPr>
    </w:lvl>
  </w:abstractNum>
  <w:abstractNum w:abstractNumId="13" w15:restartNumberingAfterBreak="0">
    <w:nsid w:val="42CD7352"/>
    <w:multiLevelType w:val="hybridMultilevel"/>
    <w:tmpl w:val="87C8AA5A"/>
    <w:lvl w:ilvl="0" w:tplc="BA4EBBEC">
      <w:start w:val="1"/>
      <w:numFmt w:val="bullet"/>
      <w:pStyle w:val="BodyBullets"/>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8162928"/>
    <w:multiLevelType w:val="hybridMultilevel"/>
    <w:tmpl w:val="C81C96EA"/>
    <w:lvl w:ilvl="0" w:tplc="EE1C2A0A">
      <w:numFmt w:val="bullet"/>
      <w:pStyle w:val="Aufzhlung"/>
      <w:lvlText w:val="-"/>
      <w:lvlJc w:val="left"/>
      <w:pPr>
        <w:ind w:left="720" w:hanging="360"/>
      </w:pPr>
      <w:rPr>
        <w:rFonts w:ascii="Arial" w:eastAsia="Calibri" w:hAnsi="Arial" w:cs="Wingdings" w:hint="default"/>
      </w:rPr>
    </w:lvl>
    <w:lvl w:ilvl="1" w:tplc="EE1C2A0A">
      <w:numFmt w:val="bullet"/>
      <w:lvlText w:val="-"/>
      <w:lvlJc w:val="left"/>
      <w:pPr>
        <w:ind w:left="1440" w:hanging="360"/>
      </w:pPr>
      <w:rPr>
        <w:rFonts w:ascii="Arial" w:eastAsia="Calibri" w:hAnsi="Arial" w:cs="Wingdings"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DE76CA4"/>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43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4F327867"/>
    <w:multiLevelType w:val="hybridMultilevel"/>
    <w:tmpl w:val="28BC0264"/>
    <w:lvl w:ilvl="0" w:tplc="296205F8">
      <w:start w:val="2006"/>
      <w:numFmt w:val="bullet"/>
      <w:pStyle w:val="Bodysubbullets"/>
      <w:lvlText w:val="-"/>
      <w:lvlJc w:val="left"/>
      <w:pPr>
        <w:ind w:left="6030" w:hanging="360"/>
      </w:pPr>
      <w:rPr>
        <w:rFonts w:ascii="Arial" w:eastAsia="Times New Roman" w:hAnsi="Arial" w:cs="Arial" w:hint="default"/>
      </w:rPr>
    </w:lvl>
    <w:lvl w:ilvl="1" w:tplc="04090003" w:tentative="1">
      <w:start w:val="1"/>
      <w:numFmt w:val="bullet"/>
      <w:lvlText w:val="o"/>
      <w:lvlJc w:val="left"/>
      <w:pPr>
        <w:ind w:left="6750" w:hanging="360"/>
      </w:pPr>
      <w:rPr>
        <w:rFonts w:ascii="Courier New" w:hAnsi="Courier New" w:cs="Courier New" w:hint="default"/>
      </w:rPr>
    </w:lvl>
    <w:lvl w:ilvl="2" w:tplc="04090005" w:tentative="1">
      <w:start w:val="1"/>
      <w:numFmt w:val="bullet"/>
      <w:lvlText w:val=""/>
      <w:lvlJc w:val="left"/>
      <w:pPr>
        <w:ind w:left="7470" w:hanging="360"/>
      </w:pPr>
      <w:rPr>
        <w:rFonts w:ascii="Wingdings" w:hAnsi="Wingdings" w:hint="default"/>
      </w:rPr>
    </w:lvl>
    <w:lvl w:ilvl="3" w:tplc="04090001" w:tentative="1">
      <w:start w:val="1"/>
      <w:numFmt w:val="bullet"/>
      <w:lvlText w:val=""/>
      <w:lvlJc w:val="left"/>
      <w:pPr>
        <w:ind w:left="8190" w:hanging="360"/>
      </w:pPr>
      <w:rPr>
        <w:rFonts w:ascii="Symbol" w:hAnsi="Symbol" w:hint="default"/>
      </w:rPr>
    </w:lvl>
    <w:lvl w:ilvl="4" w:tplc="04090003" w:tentative="1">
      <w:start w:val="1"/>
      <w:numFmt w:val="bullet"/>
      <w:lvlText w:val="o"/>
      <w:lvlJc w:val="left"/>
      <w:pPr>
        <w:ind w:left="8910" w:hanging="360"/>
      </w:pPr>
      <w:rPr>
        <w:rFonts w:ascii="Courier New" w:hAnsi="Courier New" w:cs="Courier New" w:hint="default"/>
      </w:rPr>
    </w:lvl>
    <w:lvl w:ilvl="5" w:tplc="04090005" w:tentative="1">
      <w:start w:val="1"/>
      <w:numFmt w:val="bullet"/>
      <w:lvlText w:val=""/>
      <w:lvlJc w:val="left"/>
      <w:pPr>
        <w:ind w:left="9630" w:hanging="360"/>
      </w:pPr>
      <w:rPr>
        <w:rFonts w:ascii="Wingdings" w:hAnsi="Wingdings" w:hint="default"/>
      </w:rPr>
    </w:lvl>
    <w:lvl w:ilvl="6" w:tplc="04090001" w:tentative="1">
      <w:start w:val="1"/>
      <w:numFmt w:val="bullet"/>
      <w:lvlText w:val=""/>
      <w:lvlJc w:val="left"/>
      <w:pPr>
        <w:ind w:left="10350" w:hanging="360"/>
      </w:pPr>
      <w:rPr>
        <w:rFonts w:ascii="Symbol" w:hAnsi="Symbol" w:hint="default"/>
      </w:rPr>
    </w:lvl>
    <w:lvl w:ilvl="7" w:tplc="04090003" w:tentative="1">
      <w:start w:val="1"/>
      <w:numFmt w:val="bullet"/>
      <w:lvlText w:val="o"/>
      <w:lvlJc w:val="left"/>
      <w:pPr>
        <w:ind w:left="11070" w:hanging="360"/>
      </w:pPr>
      <w:rPr>
        <w:rFonts w:ascii="Courier New" w:hAnsi="Courier New" w:cs="Courier New" w:hint="default"/>
      </w:rPr>
    </w:lvl>
    <w:lvl w:ilvl="8" w:tplc="04090005" w:tentative="1">
      <w:start w:val="1"/>
      <w:numFmt w:val="bullet"/>
      <w:lvlText w:val=""/>
      <w:lvlJc w:val="left"/>
      <w:pPr>
        <w:ind w:left="11790" w:hanging="360"/>
      </w:pPr>
      <w:rPr>
        <w:rFonts w:ascii="Wingdings" w:hAnsi="Wingdings" w:hint="default"/>
      </w:rPr>
    </w:lvl>
  </w:abstractNum>
  <w:abstractNum w:abstractNumId="17" w15:restartNumberingAfterBreak="0">
    <w:nsid w:val="51ED319A"/>
    <w:multiLevelType w:val="hybridMultilevel"/>
    <w:tmpl w:val="E9C243B8"/>
    <w:lvl w:ilvl="0" w:tplc="61627AFA">
      <w:numFmt w:val="bullet"/>
      <w:pStyle w:val="AufzTabellentext"/>
      <w:lvlText w:val="-"/>
      <w:lvlJc w:val="left"/>
      <w:pPr>
        <w:ind w:left="2148" w:hanging="360"/>
      </w:pPr>
      <w:rPr>
        <w:rFonts w:ascii="Arial" w:eastAsia="Calibri" w:hAnsi="Arial" w:cs="Wingdings" w:hint="default"/>
      </w:rPr>
    </w:lvl>
    <w:lvl w:ilvl="1" w:tplc="EE1C2A0A">
      <w:numFmt w:val="bullet"/>
      <w:lvlText w:val="-"/>
      <w:lvlJc w:val="left"/>
      <w:pPr>
        <w:ind w:left="2868" w:hanging="360"/>
      </w:pPr>
      <w:rPr>
        <w:rFonts w:ascii="Arial" w:eastAsia="Calibri" w:hAnsi="Arial" w:cs="Wingdings" w:hint="default"/>
      </w:rPr>
    </w:lvl>
    <w:lvl w:ilvl="2" w:tplc="04070005" w:tentative="1">
      <w:start w:val="1"/>
      <w:numFmt w:val="bullet"/>
      <w:lvlText w:val=""/>
      <w:lvlJc w:val="left"/>
      <w:pPr>
        <w:ind w:left="3588" w:hanging="360"/>
      </w:pPr>
      <w:rPr>
        <w:rFonts w:ascii="Wingdings" w:hAnsi="Wingdings" w:hint="default"/>
      </w:rPr>
    </w:lvl>
    <w:lvl w:ilvl="3" w:tplc="04070001" w:tentative="1">
      <w:start w:val="1"/>
      <w:numFmt w:val="bullet"/>
      <w:lvlText w:val=""/>
      <w:lvlJc w:val="left"/>
      <w:pPr>
        <w:ind w:left="4308" w:hanging="360"/>
      </w:pPr>
      <w:rPr>
        <w:rFonts w:ascii="Symbol" w:hAnsi="Symbol" w:hint="default"/>
      </w:rPr>
    </w:lvl>
    <w:lvl w:ilvl="4" w:tplc="04070003" w:tentative="1">
      <w:start w:val="1"/>
      <w:numFmt w:val="bullet"/>
      <w:lvlText w:val="o"/>
      <w:lvlJc w:val="left"/>
      <w:pPr>
        <w:ind w:left="5028" w:hanging="360"/>
      </w:pPr>
      <w:rPr>
        <w:rFonts w:ascii="Courier New" w:hAnsi="Courier New" w:cs="Wingdings" w:hint="default"/>
      </w:rPr>
    </w:lvl>
    <w:lvl w:ilvl="5" w:tplc="04070005" w:tentative="1">
      <w:start w:val="1"/>
      <w:numFmt w:val="bullet"/>
      <w:lvlText w:val=""/>
      <w:lvlJc w:val="left"/>
      <w:pPr>
        <w:ind w:left="5748" w:hanging="360"/>
      </w:pPr>
      <w:rPr>
        <w:rFonts w:ascii="Wingdings" w:hAnsi="Wingdings" w:hint="default"/>
      </w:rPr>
    </w:lvl>
    <w:lvl w:ilvl="6" w:tplc="04070001" w:tentative="1">
      <w:start w:val="1"/>
      <w:numFmt w:val="bullet"/>
      <w:lvlText w:val=""/>
      <w:lvlJc w:val="left"/>
      <w:pPr>
        <w:ind w:left="6468" w:hanging="360"/>
      </w:pPr>
      <w:rPr>
        <w:rFonts w:ascii="Symbol" w:hAnsi="Symbol" w:hint="default"/>
      </w:rPr>
    </w:lvl>
    <w:lvl w:ilvl="7" w:tplc="04070003" w:tentative="1">
      <w:start w:val="1"/>
      <w:numFmt w:val="bullet"/>
      <w:lvlText w:val="o"/>
      <w:lvlJc w:val="left"/>
      <w:pPr>
        <w:ind w:left="7188" w:hanging="360"/>
      </w:pPr>
      <w:rPr>
        <w:rFonts w:ascii="Courier New" w:hAnsi="Courier New" w:cs="Wingdings" w:hint="default"/>
      </w:rPr>
    </w:lvl>
    <w:lvl w:ilvl="8" w:tplc="04070005" w:tentative="1">
      <w:start w:val="1"/>
      <w:numFmt w:val="bullet"/>
      <w:lvlText w:val=""/>
      <w:lvlJc w:val="left"/>
      <w:pPr>
        <w:ind w:left="7908" w:hanging="360"/>
      </w:pPr>
      <w:rPr>
        <w:rFonts w:ascii="Wingdings" w:hAnsi="Wingdings" w:hint="default"/>
      </w:rPr>
    </w:lvl>
  </w:abstractNum>
  <w:abstractNum w:abstractNumId="18" w15:restartNumberingAfterBreak="0">
    <w:nsid w:val="5ACD3710"/>
    <w:multiLevelType w:val="multilevel"/>
    <w:tmpl w:val="9CA63804"/>
    <w:lvl w:ilvl="0">
      <w:start w:val="1"/>
      <w:numFmt w:val="decimal"/>
      <w:pStyle w:val="FactorENTitulo"/>
      <w:lvlText w:val="%1."/>
      <w:lvlJc w:val="left"/>
      <w:pPr>
        <w:ind w:left="360" w:hanging="360"/>
      </w:pPr>
      <w:rPr>
        <w:rFonts w:hint="default"/>
        <w:b/>
        <w:bCs/>
        <w:color w:val="25775E"/>
      </w:rPr>
    </w:lvl>
    <w:lvl w:ilvl="1">
      <w:start w:val="4"/>
      <w:numFmt w:val="decimal"/>
      <w:isLgl/>
      <w:lvlText w:val="%1.%2."/>
      <w:lvlJc w:val="left"/>
      <w:pPr>
        <w:ind w:left="630" w:hanging="630"/>
      </w:pPr>
      <w:rPr>
        <w:rFonts w:hint="default"/>
      </w:rPr>
    </w:lvl>
    <w:lvl w:ilvl="2">
      <w:start w:val="4"/>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19" w15:restartNumberingAfterBreak="0">
    <w:nsid w:val="5AFC3009"/>
    <w:multiLevelType w:val="hybridMultilevel"/>
    <w:tmpl w:val="EB583B64"/>
    <w:lvl w:ilvl="0" w:tplc="9A2E6D5A">
      <w:numFmt w:val="bullet"/>
      <w:pStyle w:val="ListParagraph"/>
      <w:lvlText w:val="-"/>
      <w:lvlJc w:val="left"/>
      <w:pPr>
        <w:ind w:left="720" w:hanging="360"/>
      </w:pPr>
      <w:rPr>
        <w:rFonts w:ascii="Calibri" w:eastAsia="Calibri" w:hAnsi="Calibri"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5D32070A"/>
    <w:multiLevelType w:val="hybridMultilevel"/>
    <w:tmpl w:val="7C22BBA6"/>
    <w:lvl w:ilvl="0" w:tplc="4DA4E96E">
      <w:start w:val="1"/>
      <w:numFmt w:val="bullet"/>
      <w:pStyle w:val="guionado"/>
      <w:lvlText w:val=""/>
      <w:lvlJc w:val="left"/>
      <w:pPr>
        <w:tabs>
          <w:tab w:val="num" w:pos="454"/>
        </w:tabs>
        <w:ind w:left="454" w:hanging="454"/>
      </w:pPr>
      <w:rPr>
        <w:rFonts w:ascii="Symbol" w:hAnsi="Symbol" w:hint="default"/>
        <w:color w:val="auto"/>
        <w:sz w:val="22"/>
      </w:rPr>
    </w:lvl>
    <w:lvl w:ilvl="1" w:tplc="0C0A0003" w:tentative="1">
      <w:start w:val="1"/>
      <w:numFmt w:val="bullet"/>
      <w:lvlText w:val="o"/>
      <w:lvlJc w:val="left"/>
      <w:pPr>
        <w:tabs>
          <w:tab w:val="num" w:pos="873"/>
        </w:tabs>
        <w:ind w:left="873" w:hanging="360"/>
      </w:pPr>
      <w:rPr>
        <w:rFonts w:ascii="Courier New" w:hAnsi="Courier New" w:hint="default"/>
      </w:rPr>
    </w:lvl>
    <w:lvl w:ilvl="2" w:tplc="0C0A0005" w:tentative="1">
      <w:start w:val="1"/>
      <w:numFmt w:val="bullet"/>
      <w:lvlText w:val=""/>
      <w:lvlJc w:val="left"/>
      <w:pPr>
        <w:tabs>
          <w:tab w:val="num" w:pos="1593"/>
        </w:tabs>
        <w:ind w:left="1593" w:hanging="360"/>
      </w:pPr>
      <w:rPr>
        <w:rFonts w:ascii="Wingdings" w:hAnsi="Wingdings" w:hint="default"/>
      </w:rPr>
    </w:lvl>
    <w:lvl w:ilvl="3" w:tplc="0C0A0001" w:tentative="1">
      <w:start w:val="1"/>
      <w:numFmt w:val="bullet"/>
      <w:lvlText w:val=""/>
      <w:lvlJc w:val="left"/>
      <w:pPr>
        <w:tabs>
          <w:tab w:val="num" w:pos="2313"/>
        </w:tabs>
        <w:ind w:left="2313" w:hanging="360"/>
      </w:pPr>
      <w:rPr>
        <w:rFonts w:ascii="Symbol" w:hAnsi="Symbol" w:hint="default"/>
      </w:rPr>
    </w:lvl>
    <w:lvl w:ilvl="4" w:tplc="0C0A0003" w:tentative="1">
      <w:start w:val="1"/>
      <w:numFmt w:val="bullet"/>
      <w:lvlText w:val="o"/>
      <w:lvlJc w:val="left"/>
      <w:pPr>
        <w:tabs>
          <w:tab w:val="num" w:pos="3033"/>
        </w:tabs>
        <w:ind w:left="3033" w:hanging="360"/>
      </w:pPr>
      <w:rPr>
        <w:rFonts w:ascii="Courier New" w:hAnsi="Courier New" w:hint="default"/>
      </w:rPr>
    </w:lvl>
    <w:lvl w:ilvl="5" w:tplc="0C0A0005" w:tentative="1">
      <w:start w:val="1"/>
      <w:numFmt w:val="bullet"/>
      <w:lvlText w:val=""/>
      <w:lvlJc w:val="left"/>
      <w:pPr>
        <w:tabs>
          <w:tab w:val="num" w:pos="3753"/>
        </w:tabs>
        <w:ind w:left="3753" w:hanging="360"/>
      </w:pPr>
      <w:rPr>
        <w:rFonts w:ascii="Wingdings" w:hAnsi="Wingdings" w:hint="default"/>
      </w:rPr>
    </w:lvl>
    <w:lvl w:ilvl="6" w:tplc="0C0A0001" w:tentative="1">
      <w:start w:val="1"/>
      <w:numFmt w:val="bullet"/>
      <w:lvlText w:val=""/>
      <w:lvlJc w:val="left"/>
      <w:pPr>
        <w:tabs>
          <w:tab w:val="num" w:pos="4473"/>
        </w:tabs>
        <w:ind w:left="4473" w:hanging="360"/>
      </w:pPr>
      <w:rPr>
        <w:rFonts w:ascii="Symbol" w:hAnsi="Symbol" w:hint="default"/>
      </w:rPr>
    </w:lvl>
    <w:lvl w:ilvl="7" w:tplc="0C0A0003" w:tentative="1">
      <w:start w:val="1"/>
      <w:numFmt w:val="bullet"/>
      <w:lvlText w:val="o"/>
      <w:lvlJc w:val="left"/>
      <w:pPr>
        <w:tabs>
          <w:tab w:val="num" w:pos="5193"/>
        </w:tabs>
        <w:ind w:left="5193" w:hanging="360"/>
      </w:pPr>
      <w:rPr>
        <w:rFonts w:ascii="Courier New" w:hAnsi="Courier New" w:hint="default"/>
      </w:rPr>
    </w:lvl>
    <w:lvl w:ilvl="8" w:tplc="0C0A0005" w:tentative="1">
      <w:start w:val="1"/>
      <w:numFmt w:val="bullet"/>
      <w:lvlText w:val=""/>
      <w:lvlJc w:val="left"/>
      <w:pPr>
        <w:tabs>
          <w:tab w:val="num" w:pos="5913"/>
        </w:tabs>
        <w:ind w:left="5913" w:hanging="360"/>
      </w:pPr>
      <w:rPr>
        <w:rFonts w:ascii="Wingdings" w:hAnsi="Wingdings" w:hint="default"/>
      </w:rPr>
    </w:lvl>
  </w:abstractNum>
  <w:abstractNum w:abstractNumId="21" w15:restartNumberingAfterBreak="0">
    <w:nsid w:val="641424B5"/>
    <w:multiLevelType w:val="multilevel"/>
    <w:tmpl w:val="C5D64FF0"/>
    <w:styleLink w:val="Style1"/>
    <w:lvl w:ilvl="0">
      <w:start w:val="1"/>
      <w:numFmt w:val="decimal"/>
      <w:lvlText w:val="%1"/>
      <w:lvlJc w:val="left"/>
      <w:pPr>
        <w:ind w:left="432" w:hanging="432"/>
      </w:pPr>
      <w:rPr>
        <w:rFonts w:hint="default"/>
      </w:rPr>
    </w:lvl>
    <w:lvl w:ilvl="1">
      <w:start w:val="1"/>
      <w:numFmt w:val="decimal"/>
      <w:lvlText w:val="%1.%2"/>
      <w:lvlJc w:val="left"/>
      <w:pPr>
        <w:ind w:left="66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2" w15:restartNumberingAfterBreak="0">
    <w:nsid w:val="66D12D48"/>
    <w:multiLevelType w:val="hybridMultilevel"/>
    <w:tmpl w:val="37F89A28"/>
    <w:lvl w:ilvl="0" w:tplc="59C083FE">
      <w:start w:val="1"/>
      <w:numFmt w:val="bullet"/>
      <w:pStyle w:val="Tablebulletsindentedsmall"/>
      <w:lvlText w:val="-"/>
      <w:lvlJc w:val="left"/>
      <w:pPr>
        <w:ind w:left="720" w:hanging="360"/>
      </w:pPr>
      <w:rPr>
        <w:rFonts w:ascii="Arial" w:hAnsi="Arial" w:hint="default"/>
        <w:color w:val="46749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91C2E95"/>
    <w:multiLevelType w:val="multilevel"/>
    <w:tmpl w:val="872C0794"/>
    <w:lvl w:ilvl="0">
      <w:start w:val="1"/>
      <w:numFmt w:val="decimal"/>
      <w:pStyle w:val="TtuloFactornumerado"/>
      <w:lvlText w:val="%1."/>
      <w:lvlJc w:val="left"/>
      <w:pPr>
        <w:ind w:left="361" w:hanging="360"/>
      </w:pPr>
      <w:rPr>
        <w:rFonts w:hint="default"/>
        <w:b/>
        <w:bCs/>
        <w:color w:val="019F6C"/>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698014E9"/>
    <w:multiLevelType w:val="hybridMultilevel"/>
    <w:tmpl w:val="BCDA9DF8"/>
    <w:lvl w:ilvl="0" w:tplc="04090017">
      <w:start w:val="1"/>
      <w:numFmt w:val="lowerLetter"/>
      <w:lvlText w:val="%1)"/>
      <w:lvlJc w:val="left"/>
      <w:pPr>
        <w:ind w:left="360" w:hanging="360"/>
      </w:pPr>
    </w:lvl>
    <w:lvl w:ilvl="1" w:tplc="D37E2E82">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25" w15:restartNumberingAfterBreak="0">
    <w:nsid w:val="722414E5"/>
    <w:multiLevelType w:val="hybridMultilevel"/>
    <w:tmpl w:val="BEA2C096"/>
    <w:lvl w:ilvl="0" w:tplc="6F2EC706">
      <w:start w:val="1"/>
      <w:numFmt w:val="decimal"/>
      <w:pStyle w:val="7Enumerdos"/>
      <w:lvlText w:val="%1."/>
      <w:lvlJc w:val="left"/>
      <w:pPr>
        <w:ind w:left="1077" w:hanging="360"/>
      </w:pPr>
      <w:rPr>
        <w:rFonts w:ascii="Calibri Light" w:hAnsi="Calibri Light" w:hint="default"/>
        <w:color w:val="25775E"/>
      </w:rPr>
    </w:lvl>
    <w:lvl w:ilvl="1" w:tplc="FFFFFFFF" w:tentative="1">
      <w:start w:val="1"/>
      <w:numFmt w:val="bullet"/>
      <w:lvlText w:val="o"/>
      <w:lvlJc w:val="left"/>
      <w:pPr>
        <w:ind w:left="1797" w:hanging="360"/>
      </w:pPr>
      <w:rPr>
        <w:rFonts w:ascii="Courier New" w:hAnsi="Courier New" w:cs="Courier New" w:hint="default"/>
      </w:rPr>
    </w:lvl>
    <w:lvl w:ilvl="2" w:tplc="FFFFFFFF" w:tentative="1">
      <w:start w:val="1"/>
      <w:numFmt w:val="bullet"/>
      <w:lvlText w:val=""/>
      <w:lvlJc w:val="left"/>
      <w:pPr>
        <w:ind w:left="2517" w:hanging="360"/>
      </w:pPr>
      <w:rPr>
        <w:rFonts w:ascii="Wingdings" w:hAnsi="Wingdings" w:hint="default"/>
      </w:rPr>
    </w:lvl>
    <w:lvl w:ilvl="3" w:tplc="FFFFFFFF" w:tentative="1">
      <w:start w:val="1"/>
      <w:numFmt w:val="bullet"/>
      <w:lvlText w:val=""/>
      <w:lvlJc w:val="left"/>
      <w:pPr>
        <w:ind w:left="3237" w:hanging="360"/>
      </w:pPr>
      <w:rPr>
        <w:rFonts w:ascii="Symbol" w:hAnsi="Symbol" w:hint="default"/>
      </w:rPr>
    </w:lvl>
    <w:lvl w:ilvl="4" w:tplc="FFFFFFFF" w:tentative="1">
      <w:start w:val="1"/>
      <w:numFmt w:val="bullet"/>
      <w:lvlText w:val="o"/>
      <w:lvlJc w:val="left"/>
      <w:pPr>
        <w:ind w:left="3957" w:hanging="360"/>
      </w:pPr>
      <w:rPr>
        <w:rFonts w:ascii="Courier New" w:hAnsi="Courier New" w:cs="Courier New" w:hint="default"/>
      </w:rPr>
    </w:lvl>
    <w:lvl w:ilvl="5" w:tplc="FFFFFFFF" w:tentative="1">
      <w:start w:val="1"/>
      <w:numFmt w:val="bullet"/>
      <w:lvlText w:val=""/>
      <w:lvlJc w:val="left"/>
      <w:pPr>
        <w:ind w:left="4677" w:hanging="360"/>
      </w:pPr>
      <w:rPr>
        <w:rFonts w:ascii="Wingdings" w:hAnsi="Wingdings" w:hint="default"/>
      </w:rPr>
    </w:lvl>
    <w:lvl w:ilvl="6" w:tplc="FFFFFFFF" w:tentative="1">
      <w:start w:val="1"/>
      <w:numFmt w:val="bullet"/>
      <w:lvlText w:val=""/>
      <w:lvlJc w:val="left"/>
      <w:pPr>
        <w:ind w:left="5397" w:hanging="360"/>
      </w:pPr>
      <w:rPr>
        <w:rFonts w:ascii="Symbol" w:hAnsi="Symbol" w:hint="default"/>
      </w:rPr>
    </w:lvl>
    <w:lvl w:ilvl="7" w:tplc="FFFFFFFF" w:tentative="1">
      <w:start w:val="1"/>
      <w:numFmt w:val="bullet"/>
      <w:lvlText w:val="o"/>
      <w:lvlJc w:val="left"/>
      <w:pPr>
        <w:ind w:left="6117" w:hanging="360"/>
      </w:pPr>
      <w:rPr>
        <w:rFonts w:ascii="Courier New" w:hAnsi="Courier New" w:cs="Courier New" w:hint="default"/>
      </w:rPr>
    </w:lvl>
    <w:lvl w:ilvl="8" w:tplc="FFFFFFFF" w:tentative="1">
      <w:start w:val="1"/>
      <w:numFmt w:val="bullet"/>
      <w:lvlText w:val=""/>
      <w:lvlJc w:val="left"/>
      <w:pPr>
        <w:ind w:left="6837" w:hanging="360"/>
      </w:pPr>
      <w:rPr>
        <w:rFonts w:ascii="Wingdings" w:hAnsi="Wingdings" w:hint="default"/>
      </w:rPr>
    </w:lvl>
  </w:abstractNum>
  <w:abstractNum w:abstractNumId="26" w15:restartNumberingAfterBreak="0">
    <w:nsid w:val="72EC1F02"/>
    <w:multiLevelType w:val="singleLevel"/>
    <w:tmpl w:val="874623CE"/>
    <w:lvl w:ilvl="0">
      <w:start w:val="1"/>
      <w:numFmt w:val="bullet"/>
      <w:pStyle w:val="Puce1"/>
      <w:lvlText w:val=""/>
      <w:lvlJc w:val="left"/>
      <w:pPr>
        <w:tabs>
          <w:tab w:val="num" w:pos="360"/>
        </w:tabs>
        <w:ind w:left="288" w:hanging="288"/>
      </w:pPr>
      <w:rPr>
        <w:rFonts w:ascii="Wingdings 2" w:hAnsi="Wingdings 2" w:hint="default"/>
        <w:b w:val="0"/>
        <w:i w:val="0"/>
        <w:color w:val="156082"/>
        <w:sz w:val="20"/>
      </w:rPr>
    </w:lvl>
  </w:abstractNum>
  <w:abstractNum w:abstractNumId="27" w15:restartNumberingAfterBreak="0">
    <w:nsid w:val="72FC723C"/>
    <w:multiLevelType w:val="hybridMultilevel"/>
    <w:tmpl w:val="657A950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8" w15:restartNumberingAfterBreak="0">
    <w:nsid w:val="769209B2"/>
    <w:multiLevelType w:val="hybridMultilevel"/>
    <w:tmpl w:val="D57EFBAE"/>
    <w:lvl w:ilvl="0" w:tplc="FBE0819C">
      <w:start w:val="1"/>
      <w:numFmt w:val="bullet"/>
      <w:pStyle w:val="Companyprofile-Textboxbulletpointssmall"/>
      <w:lvlText w:val=""/>
      <w:lvlJc w:val="left"/>
      <w:pPr>
        <w:ind w:left="4046"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9" w15:restartNumberingAfterBreak="0">
    <w:nsid w:val="770F4C92"/>
    <w:multiLevelType w:val="hybridMultilevel"/>
    <w:tmpl w:val="DC426714"/>
    <w:lvl w:ilvl="0" w:tplc="6EA63844">
      <w:start w:val="1"/>
      <w:numFmt w:val="decimal"/>
      <w:pStyle w:val="subtitulo40"/>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0" w15:restartNumberingAfterBreak="0">
    <w:nsid w:val="7791379B"/>
    <w:multiLevelType w:val="multilevel"/>
    <w:tmpl w:val="BFB62248"/>
    <w:lvl w:ilvl="0">
      <w:start w:val="1"/>
      <w:numFmt w:val="bullet"/>
      <w:pStyle w:val="ECABullets"/>
      <w:lvlText w:val=""/>
      <w:lvlJc w:val="left"/>
      <w:pPr>
        <w:tabs>
          <w:tab w:val="num" w:pos="1134"/>
        </w:tabs>
        <w:ind w:left="1134" w:hanging="567"/>
      </w:pPr>
      <w:rPr>
        <w:rFonts w:ascii="Monotype Sorts" w:hAnsi="Monotype Sorts" w:hint="default"/>
        <w:sz w:val="22"/>
      </w:rPr>
    </w:lvl>
    <w:lvl w:ilvl="1">
      <w:start w:val="1"/>
      <w:numFmt w:val="bullet"/>
      <w:pStyle w:val="ECABulletsSub"/>
      <w:lvlText w:val=""/>
      <w:lvlJc w:val="left"/>
      <w:pPr>
        <w:tabs>
          <w:tab w:val="num" w:pos="1701"/>
        </w:tabs>
        <w:ind w:left="1701" w:hanging="567"/>
      </w:pPr>
      <w:rPr>
        <w:rFonts w:ascii="Monotype Sorts" w:hAnsi="Monotype Sorts" w:hint="default"/>
        <w:sz w:val="16"/>
      </w:rPr>
    </w:lvl>
    <w:lvl w:ilvl="2">
      <w:start w:val="1"/>
      <w:numFmt w:val="bullet"/>
      <w:lvlRestart w:val="0"/>
      <w:pStyle w:val="ECABulletsSub-Sub"/>
      <w:lvlText w:val=""/>
      <w:lvlJc w:val="left"/>
      <w:pPr>
        <w:tabs>
          <w:tab w:val="num" w:pos="2268"/>
        </w:tabs>
        <w:ind w:left="2268" w:hanging="567"/>
      </w:pPr>
      <w:rPr>
        <w:rFonts w:ascii="Wingdings" w:hAnsi="Wingdings" w:hint="default"/>
        <w:sz w:val="16"/>
      </w:rPr>
    </w:lvl>
    <w:lvl w:ilvl="3">
      <w:start w:val="1"/>
      <w:numFmt w:val="none"/>
      <w:lvlText w:val=""/>
      <w:lvlJc w:val="left"/>
      <w:pPr>
        <w:tabs>
          <w:tab w:val="num" w:pos="0"/>
        </w:tabs>
        <w:ind w:left="2214" w:hanging="360"/>
      </w:pPr>
      <w:rPr>
        <w:rFonts w:ascii="Symbol" w:hAnsi="Symbol" w:hint="default"/>
      </w:rPr>
    </w:lvl>
    <w:lvl w:ilvl="4">
      <w:start w:val="1"/>
      <w:numFmt w:val="none"/>
      <w:lvlText w:val="o"/>
      <w:lvlJc w:val="left"/>
      <w:pPr>
        <w:tabs>
          <w:tab w:val="num" w:pos="0"/>
        </w:tabs>
        <w:ind w:left="2574" w:hanging="360"/>
      </w:pPr>
      <w:rPr>
        <w:rFonts w:ascii="Courier New" w:hAnsi="Courier New" w:cs="Times New Roman" w:hint="default"/>
      </w:rPr>
    </w:lvl>
    <w:lvl w:ilvl="5">
      <w:start w:val="1"/>
      <w:numFmt w:val="none"/>
      <w:lvlText w:val=""/>
      <w:lvlJc w:val="left"/>
      <w:pPr>
        <w:tabs>
          <w:tab w:val="num" w:pos="0"/>
        </w:tabs>
        <w:ind w:left="2934" w:hanging="360"/>
      </w:pPr>
      <w:rPr>
        <w:rFonts w:ascii="Wingdings" w:hAnsi="Wingdings" w:hint="default"/>
      </w:rPr>
    </w:lvl>
    <w:lvl w:ilvl="6">
      <w:start w:val="1"/>
      <w:numFmt w:val="none"/>
      <w:lvlText w:val=""/>
      <w:lvlJc w:val="left"/>
      <w:pPr>
        <w:tabs>
          <w:tab w:val="num" w:pos="0"/>
        </w:tabs>
        <w:ind w:left="3294" w:hanging="360"/>
      </w:pPr>
      <w:rPr>
        <w:rFonts w:ascii="Symbol" w:hAnsi="Symbol" w:hint="default"/>
      </w:rPr>
    </w:lvl>
    <w:lvl w:ilvl="7">
      <w:start w:val="1"/>
      <w:numFmt w:val="none"/>
      <w:lvlText w:val="o"/>
      <w:lvlJc w:val="left"/>
      <w:pPr>
        <w:tabs>
          <w:tab w:val="num" w:pos="0"/>
        </w:tabs>
        <w:ind w:left="3654" w:hanging="360"/>
      </w:pPr>
      <w:rPr>
        <w:rFonts w:ascii="Courier New" w:hAnsi="Courier New" w:cs="Times New Roman" w:hint="default"/>
      </w:rPr>
    </w:lvl>
    <w:lvl w:ilvl="8">
      <w:start w:val="1"/>
      <w:numFmt w:val="none"/>
      <w:lvlText w:val=""/>
      <w:lvlJc w:val="left"/>
      <w:pPr>
        <w:tabs>
          <w:tab w:val="num" w:pos="0"/>
        </w:tabs>
        <w:ind w:left="4014" w:hanging="360"/>
      </w:pPr>
      <w:rPr>
        <w:rFonts w:ascii="Wingdings" w:hAnsi="Wingdings" w:hint="default"/>
      </w:rPr>
    </w:lvl>
  </w:abstractNum>
  <w:abstractNum w:abstractNumId="31" w15:restartNumberingAfterBreak="0">
    <w:nsid w:val="79F041DB"/>
    <w:multiLevelType w:val="hybridMultilevel"/>
    <w:tmpl w:val="36EA30C0"/>
    <w:lvl w:ilvl="0" w:tplc="4870720E">
      <w:numFmt w:val="bullet"/>
      <w:lvlText w:val="-"/>
      <w:lvlJc w:val="left"/>
      <w:pPr>
        <w:ind w:left="720" w:hanging="360"/>
      </w:pPr>
      <w:rPr>
        <w:rFonts w:ascii="Calibri" w:eastAsia="Calibri" w:hAnsi="Calibri"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2" w15:restartNumberingAfterBreak="0">
    <w:nsid w:val="7EAE2B83"/>
    <w:multiLevelType w:val="hybridMultilevel"/>
    <w:tmpl w:val="16BCAEA2"/>
    <w:lvl w:ilvl="0" w:tplc="FCF6EECE">
      <w:start w:val="1"/>
      <w:numFmt w:val="bullet"/>
      <w:pStyle w:val="Listalarga"/>
      <w:lvlText w:val=""/>
      <w:lvlJc w:val="left"/>
      <w:pPr>
        <w:ind w:left="720" w:hanging="360"/>
      </w:pPr>
      <w:rPr>
        <w:rFonts w:ascii="Symbol" w:hAnsi="Symbol" w:hint="default"/>
        <w:b/>
        <w:color w:val="76923C"/>
      </w:rPr>
    </w:lvl>
    <w:lvl w:ilvl="1" w:tplc="A35EC536">
      <w:start w:val="4"/>
      <w:numFmt w:val="bullet"/>
      <w:lvlText w:val="•"/>
      <w:lvlJc w:val="left"/>
      <w:pPr>
        <w:ind w:left="1440" w:hanging="360"/>
      </w:pPr>
      <w:rPr>
        <w:rFonts w:ascii="Century Gothic" w:eastAsia="Times New Roman" w:hAnsi="Century Gothic" w:cs="Times New Roman" w:hint="default"/>
      </w:rPr>
    </w:lvl>
    <w:lvl w:ilvl="2" w:tplc="0C0A0005">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19"/>
  </w:num>
  <w:num w:numId="2">
    <w:abstractNumId w:val="11"/>
  </w:num>
  <w:num w:numId="3">
    <w:abstractNumId w:val="31"/>
  </w:num>
  <w:num w:numId="4">
    <w:abstractNumId w:val="30"/>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5"/>
  </w:num>
  <w:num w:numId="6">
    <w:abstractNumId w:val="21"/>
  </w:num>
  <w:num w:numId="7">
    <w:abstractNumId w:val="1"/>
  </w:num>
  <w:num w:numId="8">
    <w:abstractNumId w:val="10"/>
  </w:num>
  <w:num w:numId="9">
    <w:abstractNumId w:val="17"/>
  </w:num>
  <w:num w:numId="10">
    <w:abstractNumId w:val="14"/>
  </w:num>
  <w:num w:numId="11">
    <w:abstractNumId w:val="27"/>
  </w:num>
  <w:num w:numId="12">
    <w:abstractNumId w:val="24"/>
  </w:num>
  <w:num w:numId="13">
    <w:abstractNumId w:val="4"/>
  </w:num>
  <w:num w:numId="14">
    <w:abstractNumId w:val="23"/>
  </w:num>
  <w:num w:numId="15">
    <w:abstractNumId w:val="9"/>
  </w:num>
  <w:num w:numId="16">
    <w:abstractNumId w:val="0"/>
  </w:num>
  <w:num w:numId="17">
    <w:abstractNumId w:val="8"/>
  </w:num>
  <w:num w:numId="18">
    <w:abstractNumId w:val="2"/>
  </w:num>
  <w:num w:numId="19">
    <w:abstractNumId w:val="32"/>
  </w:num>
  <w:num w:numId="20">
    <w:abstractNumId w:val="12"/>
  </w:num>
  <w:num w:numId="21">
    <w:abstractNumId w:val="13"/>
  </w:num>
  <w:num w:numId="22">
    <w:abstractNumId w:val="16"/>
  </w:num>
  <w:num w:numId="23">
    <w:abstractNumId w:val="20"/>
  </w:num>
  <w:num w:numId="24">
    <w:abstractNumId w:val="6"/>
  </w:num>
  <w:num w:numId="25">
    <w:abstractNumId w:val="7"/>
  </w:num>
  <w:num w:numId="26">
    <w:abstractNumId w:val="28"/>
  </w:num>
  <w:num w:numId="27">
    <w:abstractNumId w:val="5"/>
  </w:num>
  <w:num w:numId="28">
    <w:abstractNumId w:val="22"/>
  </w:num>
  <w:num w:numId="29">
    <w:abstractNumId w:val="29"/>
  </w:num>
  <w:num w:numId="30">
    <w:abstractNumId w:val="26"/>
  </w:num>
  <w:num w:numId="31">
    <w:abstractNumId w:val="3"/>
  </w:num>
  <w:num w:numId="32">
    <w:abstractNumId w:val="25"/>
  </w:num>
  <w:num w:numId="33">
    <w:abstractNumId w:val="18"/>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099B"/>
    <w:rsid w:val="00003AEC"/>
    <w:rsid w:val="0000517F"/>
    <w:rsid w:val="00011E79"/>
    <w:rsid w:val="00022F8B"/>
    <w:rsid w:val="000235FE"/>
    <w:rsid w:val="000327A8"/>
    <w:rsid w:val="00037830"/>
    <w:rsid w:val="0004342E"/>
    <w:rsid w:val="00043796"/>
    <w:rsid w:val="00046AD6"/>
    <w:rsid w:val="00056A3A"/>
    <w:rsid w:val="000641ED"/>
    <w:rsid w:val="00075C99"/>
    <w:rsid w:val="000914E2"/>
    <w:rsid w:val="000A2A01"/>
    <w:rsid w:val="000B5C70"/>
    <w:rsid w:val="000C4978"/>
    <w:rsid w:val="000D5D4E"/>
    <w:rsid w:val="000D7C65"/>
    <w:rsid w:val="000E345C"/>
    <w:rsid w:val="000E3890"/>
    <w:rsid w:val="000F1AD3"/>
    <w:rsid w:val="000F4610"/>
    <w:rsid w:val="000F7378"/>
    <w:rsid w:val="001147F6"/>
    <w:rsid w:val="00114B84"/>
    <w:rsid w:val="001206A9"/>
    <w:rsid w:val="001217F2"/>
    <w:rsid w:val="0012572D"/>
    <w:rsid w:val="001259F3"/>
    <w:rsid w:val="001263E7"/>
    <w:rsid w:val="00145BD0"/>
    <w:rsid w:val="00147557"/>
    <w:rsid w:val="001617A3"/>
    <w:rsid w:val="001620F5"/>
    <w:rsid w:val="00163F78"/>
    <w:rsid w:val="00164B6B"/>
    <w:rsid w:val="00164D0C"/>
    <w:rsid w:val="00181ADC"/>
    <w:rsid w:val="0018372B"/>
    <w:rsid w:val="00186207"/>
    <w:rsid w:val="00191838"/>
    <w:rsid w:val="00193B62"/>
    <w:rsid w:val="001A6E2E"/>
    <w:rsid w:val="001B6A20"/>
    <w:rsid w:val="001C0484"/>
    <w:rsid w:val="001C15AC"/>
    <w:rsid w:val="001C3983"/>
    <w:rsid w:val="001C467C"/>
    <w:rsid w:val="001C47F0"/>
    <w:rsid w:val="001C6C5A"/>
    <w:rsid w:val="001E099B"/>
    <w:rsid w:val="001E0F8D"/>
    <w:rsid w:val="001E2A51"/>
    <w:rsid w:val="001E4452"/>
    <w:rsid w:val="001E65EC"/>
    <w:rsid w:val="001F4085"/>
    <w:rsid w:val="00203893"/>
    <w:rsid w:val="0020629D"/>
    <w:rsid w:val="00206985"/>
    <w:rsid w:val="00214466"/>
    <w:rsid w:val="00220111"/>
    <w:rsid w:val="00230F9E"/>
    <w:rsid w:val="00235937"/>
    <w:rsid w:val="00236635"/>
    <w:rsid w:val="00242009"/>
    <w:rsid w:val="00244CEF"/>
    <w:rsid w:val="00251462"/>
    <w:rsid w:val="0025723E"/>
    <w:rsid w:val="00264806"/>
    <w:rsid w:val="002665C8"/>
    <w:rsid w:val="00281778"/>
    <w:rsid w:val="00286663"/>
    <w:rsid w:val="00287004"/>
    <w:rsid w:val="0028717C"/>
    <w:rsid w:val="00291489"/>
    <w:rsid w:val="002A539C"/>
    <w:rsid w:val="002B1083"/>
    <w:rsid w:val="002B7452"/>
    <w:rsid w:val="002C011E"/>
    <w:rsid w:val="002C406F"/>
    <w:rsid w:val="002D0A53"/>
    <w:rsid w:val="002D174D"/>
    <w:rsid w:val="002E065A"/>
    <w:rsid w:val="002E116B"/>
    <w:rsid w:val="002E168C"/>
    <w:rsid w:val="002F042B"/>
    <w:rsid w:val="002F2257"/>
    <w:rsid w:val="002F3D92"/>
    <w:rsid w:val="002F4BDF"/>
    <w:rsid w:val="002F7E26"/>
    <w:rsid w:val="003227FF"/>
    <w:rsid w:val="003305AE"/>
    <w:rsid w:val="00330D80"/>
    <w:rsid w:val="00345C65"/>
    <w:rsid w:val="00351EAC"/>
    <w:rsid w:val="00353D0E"/>
    <w:rsid w:val="00362F59"/>
    <w:rsid w:val="00395EA8"/>
    <w:rsid w:val="00396573"/>
    <w:rsid w:val="003A6446"/>
    <w:rsid w:val="003B2017"/>
    <w:rsid w:val="003B683D"/>
    <w:rsid w:val="003C603D"/>
    <w:rsid w:val="003D24B4"/>
    <w:rsid w:val="003D2CB2"/>
    <w:rsid w:val="003E1E77"/>
    <w:rsid w:val="003E2A26"/>
    <w:rsid w:val="003F6198"/>
    <w:rsid w:val="003F649E"/>
    <w:rsid w:val="0040312C"/>
    <w:rsid w:val="0041140B"/>
    <w:rsid w:val="00413B91"/>
    <w:rsid w:val="00414BCD"/>
    <w:rsid w:val="00416FCE"/>
    <w:rsid w:val="00426EFC"/>
    <w:rsid w:val="00437702"/>
    <w:rsid w:val="00446CED"/>
    <w:rsid w:val="004504DC"/>
    <w:rsid w:val="00451076"/>
    <w:rsid w:val="00456B31"/>
    <w:rsid w:val="00467273"/>
    <w:rsid w:val="0046760C"/>
    <w:rsid w:val="00492051"/>
    <w:rsid w:val="00495DC2"/>
    <w:rsid w:val="004A4D86"/>
    <w:rsid w:val="004A5C35"/>
    <w:rsid w:val="004C1E86"/>
    <w:rsid w:val="004C7CD4"/>
    <w:rsid w:val="004E19CE"/>
    <w:rsid w:val="004F751E"/>
    <w:rsid w:val="00500FF7"/>
    <w:rsid w:val="005060D9"/>
    <w:rsid w:val="00524E98"/>
    <w:rsid w:val="00527188"/>
    <w:rsid w:val="00527BA6"/>
    <w:rsid w:val="00527EF5"/>
    <w:rsid w:val="005351B0"/>
    <w:rsid w:val="005460C5"/>
    <w:rsid w:val="00547185"/>
    <w:rsid w:val="00574660"/>
    <w:rsid w:val="005810BB"/>
    <w:rsid w:val="00587E94"/>
    <w:rsid w:val="0059155A"/>
    <w:rsid w:val="005B0E74"/>
    <w:rsid w:val="005B1FF4"/>
    <w:rsid w:val="005B6402"/>
    <w:rsid w:val="005C50A5"/>
    <w:rsid w:val="005D20DB"/>
    <w:rsid w:val="005D299A"/>
    <w:rsid w:val="005D5DCB"/>
    <w:rsid w:val="005E1BF0"/>
    <w:rsid w:val="005E4EDF"/>
    <w:rsid w:val="005E7F0F"/>
    <w:rsid w:val="005F2324"/>
    <w:rsid w:val="005F61FA"/>
    <w:rsid w:val="005F7711"/>
    <w:rsid w:val="005F7E8B"/>
    <w:rsid w:val="00600B14"/>
    <w:rsid w:val="00617388"/>
    <w:rsid w:val="006213BC"/>
    <w:rsid w:val="00622884"/>
    <w:rsid w:val="006255F5"/>
    <w:rsid w:val="00637270"/>
    <w:rsid w:val="00646375"/>
    <w:rsid w:val="00655726"/>
    <w:rsid w:val="006565C1"/>
    <w:rsid w:val="00676CBC"/>
    <w:rsid w:val="00677294"/>
    <w:rsid w:val="00682064"/>
    <w:rsid w:val="00696EA4"/>
    <w:rsid w:val="006A01EE"/>
    <w:rsid w:val="006B6E5B"/>
    <w:rsid w:val="006C054A"/>
    <w:rsid w:val="006C3337"/>
    <w:rsid w:val="006D4EB5"/>
    <w:rsid w:val="006E213B"/>
    <w:rsid w:val="006E723E"/>
    <w:rsid w:val="006F4123"/>
    <w:rsid w:val="006F43E9"/>
    <w:rsid w:val="00701834"/>
    <w:rsid w:val="0071039D"/>
    <w:rsid w:val="007114AF"/>
    <w:rsid w:val="00714518"/>
    <w:rsid w:val="00714942"/>
    <w:rsid w:val="007208DB"/>
    <w:rsid w:val="00721B1B"/>
    <w:rsid w:val="00724369"/>
    <w:rsid w:val="00726AB9"/>
    <w:rsid w:val="0073297C"/>
    <w:rsid w:val="00733D2C"/>
    <w:rsid w:val="0073579B"/>
    <w:rsid w:val="00744280"/>
    <w:rsid w:val="0075001B"/>
    <w:rsid w:val="00754DD7"/>
    <w:rsid w:val="00755E38"/>
    <w:rsid w:val="00756337"/>
    <w:rsid w:val="00772BE7"/>
    <w:rsid w:val="00773485"/>
    <w:rsid w:val="00782894"/>
    <w:rsid w:val="007A256A"/>
    <w:rsid w:val="007A451F"/>
    <w:rsid w:val="007B519E"/>
    <w:rsid w:val="007C3B3B"/>
    <w:rsid w:val="00802AFF"/>
    <w:rsid w:val="00812F95"/>
    <w:rsid w:val="0082368C"/>
    <w:rsid w:val="00836B59"/>
    <w:rsid w:val="008371B3"/>
    <w:rsid w:val="008419C6"/>
    <w:rsid w:val="00847405"/>
    <w:rsid w:val="00854661"/>
    <w:rsid w:val="00860664"/>
    <w:rsid w:val="00861DB2"/>
    <w:rsid w:val="00862C8C"/>
    <w:rsid w:val="008669FE"/>
    <w:rsid w:val="00876C5D"/>
    <w:rsid w:val="008771B6"/>
    <w:rsid w:val="00881E70"/>
    <w:rsid w:val="008A0106"/>
    <w:rsid w:val="008A4207"/>
    <w:rsid w:val="008B66EE"/>
    <w:rsid w:val="008C3C5E"/>
    <w:rsid w:val="008D30FC"/>
    <w:rsid w:val="008D3B85"/>
    <w:rsid w:val="008D6C6A"/>
    <w:rsid w:val="008E1F53"/>
    <w:rsid w:val="008E3602"/>
    <w:rsid w:val="008F0E2C"/>
    <w:rsid w:val="008F17E8"/>
    <w:rsid w:val="008F3F1D"/>
    <w:rsid w:val="009160D5"/>
    <w:rsid w:val="009250F2"/>
    <w:rsid w:val="009344C8"/>
    <w:rsid w:val="00936091"/>
    <w:rsid w:val="00941E9F"/>
    <w:rsid w:val="009423A8"/>
    <w:rsid w:val="009432FE"/>
    <w:rsid w:val="009717A4"/>
    <w:rsid w:val="009740F7"/>
    <w:rsid w:val="00975179"/>
    <w:rsid w:val="00985E4C"/>
    <w:rsid w:val="009B0B46"/>
    <w:rsid w:val="009C0782"/>
    <w:rsid w:val="009C45FD"/>
    <w:rsid w:val="009C5CED"/>
    <w:rsid w:val="009C6C6D"/>
    <w:rsid w:val="009D1AC8"/>
    <w:rsid w:val="009E0D15"/>
    <w:rsid w:val="009E78A1"/>
    <w:rsid w:val="009F1ECD"/>
    <w:rsid w:val="009F3D0C"/>
    <w:rsid w:val="00A019D2"/>
    <w:rsid w:val="00A03821"/>
    <w:rsid w:val="00A043D6"/>
    <w:rsid w:val="00A055E5"/>
    <w:rsid w:val="00A10282"/>
    <w:rsid w:val="00A23D94"/>
    <w:rsid w:val="00A2579E"/>
    <w:rsid w:val="00A37E7C"/>
    <w:rsid w:val="00A40566"/>
    <w:rsid w:val="00A419A4"/>
    <w:rsid w:val="00A45C8C"/>
    <w:rsid w:val="00A518D9"/>
    <w:rsid w:val="00A67A6F"/>
    <w:rsid w:val="00A743D8"/>
    <w:rsid w:val="00A816F3"/>
    <w:rsid w:val="00A9766F"/>
    <w:rsid w:val="00A97D51"/>
    <w:rsid w:val="00AA2C6A"/>
    <w:rsid w:val="00AA35E8"/>
    <w:rsid w:val="00AA3BEF"/>
    <w:rsid w:val="00AB1F4E"/>
    <w:rsid w:val="00AB2B06"/>
    <w:rsid w:val="00AB4345"/>
    <w:rsid w:val="00AC0CE4"/>
    <w:rsid w:val="00AC399F"/>
    <w:rsid w:val="00AD378B"/>
    <w:rsid w:val="00AE5FB3"/>
    <w:rsid w:val="00AE747C"/>
    <w:rsid w:val="00AF51B6"/>
    <w:rsid w:val="00B04072"/>
    <w:rsid w:val="00B05BFA"/>
    <w:rsid w:val="00B06DCC"/>
    <w:rsid w:val="00B07DA2"/>
    <w:rsid w:val="00B117BF"/>
    <w:rsid w:val="00B31364"/>
    <w:rsid w:val="00B32784"/>
    <w:rsid w:val="00B410B7"/>
    <w:rsid w:val="00B74FC4"/>
    <w:rsid w:val="00B8345A"/>
    <w:rsid w:val="00B86BA1"/>
    <w:rsid w:val="00B90E24"/>
    <w:rsid w:val="00B92318"/>
    <w:rsid w:val="00B976ED"/>
    <w:rsid w:val="00BA14F8"/>
    <w:rsid w:val="00BB382B"/>
    <w:rsid w:val="00BB4743"/>
    <w:rsid w:val="00BC1DB5"/>
    <w:rsid w:val="00BC2BE4"/>
    <w:rsid w:val="00BC439D"/>
    <w:rsid w:val="00BC43B7"/>
    <w:rsid w:val="00BE0B41"/>
    <w:rsid w:val="00BE2BBE"/>
    <w:rsid w:val="00BE5F22"/>
    <w:rsid w:val="00BF7C55"/>
    <w:rsid w:val="00C056F9"/>
    <w:rsid w:val="00C065FF"/>
    <w:rsid w:val="00C136A5"/>
    <w:rsid w:val="00C15277"/>
    <w:rsid w:val="00C155D8"/>
    <w:rsid w:val="00C3034E"/>
    <w:rsid w:val="00C536F5"/>
    <w:rsid w:val="00C55AD3"/>
    <w:rsid w:val="00C6608F"/>
    <w:rsid w:val="00C7368B"/>
    <w:rsid w:val="00C8189C"/>
    <w:rsid w:val="00C81C76"/>
    <w:rsid w:val="00C94D03"/>
    <w:rsid w:val="00CA0B80"/>
    <w:rsid w:val="00CA77E2"/>
    <w:rsid w:val="00CB4F2D"/>
    <w:rsid w:val="00CE5F15"/>
    <w:rsid w:val="00CF00FE"/>
    <w:rsid w:val="00CF2A42"/>
    <w:rsid w:val="00D05F33"/>
    <w:rsid w:val="00D10DAB"/>
    <w:rsid w:val="00D25368"/>
    <w:rsid w:val="00D31C24"/>
    <w:rsid w:val="00D43DF3"/>
    <w:rsid w:val="00D450BA"/>
    <w:rsid w:val="00D53624"/>
    <w:rsid w:val="00D565A2"/>
    <w:rsid w:val="00D61ADB"/>
    <w:rsid w:val="00D64242"/>
    <w:rsid w:val="00D71436"/>
    <w:rsid w:val="00D71745"/>
    <w:rsid w:val="00D7430D"/>
    <w:rsid w:val="00D75679"/>
    <w:rsid w:val="00D774C2"/>
    <w:rsid w:val="00D8298D"/>
    <w:rsid w:val="00D82F76"/>
    <w:rsid w:val="00D83CDA"/>
    <w:rsid w:val="00D86DD8"/>
    <w:rsid w:val="00D9782D"/>
    <w:rsid w:val="00DA60B5"/>
    <w:rsid w:val="00DD7619"/>
    <w:rsid w:val="00DE31E0"/>
    <w:rsid w:val="00E04B1B"/>
    <w:rsid w:val="00E0556A"/>
    <w:rsid w:val="00E05BAA"/>
    <w:rsid w:val="00E12123"/>
    <w:rsid w:val="00E132F0"/>
    <w:rsid w:val="00E20D71"/>
    <w:rsid w:val="00E24568"/>
    <w:rsid w:val="00E2665D"/>
    <w:rsid w:val="00E32157"/>
    <w:rsid w:val="00E35E23"/>
    <w:rsid w:val="00E45764"/>
    <w:rsid w:val="00E47E70"/>
    <w:rsid w:val="00E505D0"/>
    <w:rsid w:val="00E507DE"/>
    <w:rsid w:val="00E566BF"/>
    <w:rsid w:val="00E57D26"/>
    <w:rsid w:val="00E62997"/>
    <w:rsid w:val="00E64584"/>
    <w:rsid w:val="00E646DC"/>
    <w:rsid w:val="00E77013"/>
    <w:rsid w:val="00E8339F"/>
    <w:rsid w:val="00E85488"/>
    <w:rsid w:val="00E907B7"/>
    <w:rsid w:val="00E914BF"/>
    <w:rsid w:val="00EA0081"/>
    <w:rsid w:val="00EA6377"/>
    <w:rsid w:val="00EC0E56"/>
    <w:rsid w:val="00EC3C86"/>
    <w:rsid w:val="00ED4FAD"/>
    <w:rsid w:val="00EE091B"/>
    <w:rsid w:val="00EF480D"/>
    <w:rsid w:val="00EF517C"/>
    <w:rsid w:val="00F0008E"/>
    <w:rsid w:val="00F00D5F"/>
    <w:rsid w:val="00F05ACD"/>
    <w:rsid w:val="00F11685"/>
    <w:rsid w:val="00F14455"/>
    <w:rsid w:val="00F165B7"/>
    <w:rsid w:val="00F16CDF"/>
    <w:rsid w:val="00F2430D"/>
    <w:rsid w:val="00F32480"/>
    <w:rsid w:val="00F3633F"/>
    <w:rsid w:val="00F43BB1"/>
    <w:rsid w:val="00F6115B"/>
    <w:rsid w:val="00F72723"/>
    <w:rsid w:val="00F759BC"/>
    <w:rsid w:val="00F925D5"/>
    <w:rsid w:val="00F945A3"/>
    <w:rsid w:val="00F9476F"/>
    <w:rsid w:val="00FA1391"/>
    <w:rsid w:val="00FA1823"/>
    <w:rsid w:val="00FA3C19"/>
    <w:rsid w:val="00FB11EA"/>
    <w:rsid w:val="00FB584C"/>
    <w:rsid w:val="00FD5AD9"/>
    <w:rsid w:val="00FE05E1"/>
    <w:rsid w:val="00FE1E8F"/>
    <w:rsid w:val="00FE3179"/>
    <w:rsid w:val="00FF11ED"/>
    <w:rsid w:val="00FF37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DCF2EE"/>
  <w15:docId w15:val="{BE53B78B-E0E2-4DA9-A6A9-76A1120DC2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qFormat="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qFormat="1"/>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E099B"/>
    <w:pPr>
      <w:spacing w:after="120"/>
      <w:jc w:val="both"/>
    </w:pPr>
    <w:rPr>
      <w:rFonts w:eastAsiaTheme="minorEastAsia"/>
      <w:lang w:val="sq-AL" w:eastAsia="it-IT"/>
    </w:rPr>
  </w:style>
  <w:style w:type="paragraph" w:styleId="Heading1">
    <w:name w:val="heading 1"/>
    <w:aliases w:val="051,Heading 1 Char1 Char,Heading 1 Char Char Char,Heading 1 Char1 Char Char Char,Heading 1 Char Char Char Char Char,Heading 1 Char1 Char Char Char Char Char,Heading 1 Char Char Char Char Char Char Char,Heading 1 Char1 Char1,(Section),cover1"/>
    <w:basedOn w:val="Normal"/>
    <w:next w:val="Normal"/>
    <w:link w:val="Heading1Char"/>
    <w:uiPriority w:val="9"/>
    <w:qFormat/>
    <w:rsid w:val="00395E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aliases w:val="Subchapter 1.1,1_Portada"/>
    <w:basedOn w:val="Normal"/>
    <w:next w:val="Normal"/>
    <w:link w:val="Heading2Char"/>
    <w:uiPriority w:val="9"/>
    <w:qFormat/>
    <w:rsid w:val="00E20D71"/>
    <w:pPr>
      <w:keepNext/>
      <w:spacing w:before="240" w:after="240" w:line="240" w:lineRule="auto"/>
      <w:outlineLvl w:val="1"/>
    </w:pPr>
    <w:rPr>
      <w:rFonts w:ascii="Calibri" w:eastAsia="Times New Roman" w:hAnsi="Calibri" w:cs="Times New Roman"/>
      <w:b/>
      <w:color w:val="365F91" w:themeColor="accent1" w:themeShade="BF"/>
      <w:sz w:val="24"/>
      <w:szCs w:val="24"/>
    </w:rPr>
  </w:style>
  <w:style w:type="paragraph" w:styleId="Heading3">
    <w:name w:val="heading 3"/>
    <w:basedOn w:val="Normal"/>
    <w:next w:val="Normal"/>
    <w:link w:val="Heading3Char"/>
    <w:uiPriority w:val="9"/>
    <w:unhideWhenUsed/>
    <w:qFormat/>
    <w:rsid w:val="00E20D71"/>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E20D71"/>
    <w:pPr>
      <w:keepNext/>
      <w:keepLines/>
      <w:spacing w:before="40" w:after="0" w:line="259" w:lineRule="auto"/>
      <w:outlineLvl w:val="3"/>
    </w:pPr>
    <w:rPr>
      <w:rFonts w:ascii="Cambria" w:eastAsia="Times New Roman" w:hAnsi="Cambria" w:cs="Times New Roman"/>
      <w:i/>
      <w:iCs/>
      <w:color w:val="365F91"/>
      <w:lang w:eastAsia="en-US"/>
    </w:rPr>
  </w:style>
  <w:style w:type="paragraph" w:styleId="Heading5">
    <w:name w:val="heading 5"/>
    <w:basedOn w:val="Normal"/>
    <w:next w:val="Normal"/>
    <w:link w:val="Heading5Char"/>
    <w:uiPriority w:val="9"/>
    <w:unhideWhenUsed/>
    <w:qFormat/>
    <w:rsid w:val="00E20D71"/>
    <w:pPr>
      <w:spacing w:before="240" w:after="60"/>
      <w:outlineLvl w:val="4"/>
    </w:pPr>
    <w:rPr>
      <w:rFonts w:ascii="Calibri" w:eastAsia="Times New Roman" w:hAnsi="Calibri" w:cs="Arial"/>
      <w:b/>
      <w:bCs/>
      <w:i/>
      <w:iCs/>
      <w:sz w:val="26"/>
      <w:szCs w:val="26"/>
      <w:lang w:val="en-GB" w:eastAsia="en-US"/>
    </w:rPr>
  </w:style>
  <w:style w:type="paragraph" w:styleId="Heading6">
    <w:name w:val="heading 6"/>
    <w:basedOn w:val="Normal"/>
    <w:next w:val="Normal"/>
    <w:link w:val="Heading6Char"/>
    <w:uiPriority w:val="9"/>
    <w:unhideWhenUsed/>
    <w:qFormat/>
    <w:rsid w:val="00E20D71"/>
    <w:pPr>
      <w:spacing w:before="240" w:after="60"/>
      <w:outlineLvl w:val="5"/>
    </w:pPr>
    <w:rPr>
      <w:rFonts w:ascii="Arial" w:eastAsia="Times New Roman" w:hAnsi="Arial" w:cs="Arial"/>
      <w:b/>
      <w:bCs/>
      <w:lang w:val="en-GB" w:eastAsia="en-US"/>
    </w:rPr>
  </w:style>
  <w:style w:type="paragraph" w:styleId="Heading7">
    <w:name w:val="heading 7"/>
    <w:basedOn w:val="Normal"/>
    <w:next w:val="Normal"/>
    <w:link w:val="Heading7Char"/>
    <w:uiPriority w:val="9"/>
    <w:unhideWhenUsed/>
    <w:qFormat/>
    <w:rsid w:val="00E20D71"/>
    <w:pPr>
      <w:spacing w:before="240" w:after="60"/>
      <w:outlineLvl w:val="6"/>
    </w:pPr>
    <w:rPr>
      <w:rFonts w:ascii="Calibri" w:eastAsia="Times New Roman" w:hAnsi="Calibri" w:cs="Arial"/>
      <w:sz w:val="24"/>
      <w:szCs w:val="24"/>
      <w:lang w:val="en-GB" w:eastAsia="en-US"/>
    </w:rPr>
  </w:style>
  <w:style w:type="paragraph" w:styleId="Heading8">
    <w:name w:val="heading 8"/>
    <w:basedOn w:val="Normal"/>
    <w:next w:val="Normal"/>
    <w:link w:val="Heading8Char"/>
    <w:uiPriority w:val="9"/>
    <w:semiHidden/>
    <w:unhideWhenUsed/>
    <w:qFormat/>
    <w:rsid w:val="00E20D71"/>
    <w:pPr>
      <w:spacing w:before="240" w:after="60"/>
      <w:outlineLvl w:val="7"/>
    </w:pPr>
    <w:rPr>
      <w:rFonts w:ascii="Calibri" w:eastAsia="Times New Roman" w:hAnsi="Calibri" w:cs="Arial"/>
      <w:i/>
      <w:iCs/>
      <w:sz w:val="24"/>
      <w:szCs w:val="24"/>
      <w:lang w:val="en-GB" w:eastAsia="en-US"/>
    </w:rPr>
  </w:style>
  <w:style w:type="paragraph" w:styleId="Heading9">
    <w:name w:val="heading 9"/>
    <w:basedOn w:val="Normal"/>
    <w:next w:val="Normal"/>
    <w:link w:val="Heading9Char"/>
    <w:uiPriority w:val="9"/>
    <w:semiHidden/>
    <w:unhideWhenUsed/>
    <w:qFormat/>
    <w:rsid w:val="00E20D71"/>
    <w:pPr>
      <w:spacing w:before="240" w:after="60"/>
      <w:outlineLvl w:val="8"/>
    </w:pPr>
    <w:rPr>
      <w:rFonts w:ascii="Cambria" w:eastAsia="Times New Roman" w:hAnsi="Cambria" w:cs="Arial"/>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Table/Figure Heading,Annex,Bullets,WB Para,Lapis Bulleted List,Dot pt,F5 List Paragraph,No Spacing1,List Paragraph Char Char Char,Indicator Text,Numbered Para 1,Bullet 1,List Paragraph12,Bullet Points,MAIN CONTENT,L"/>
    <w:basedOn w:val="Normal"/>
    <w:link w:val="ListParagraphChar"/>
    <w:uiPriority w:val="34"/>
    <w:qFormat/>
    <w:rsid w:val="001E099B"/>
    <w:pPr>
      <w:numPr>
        <w:numId w:val="1"/>
      </w:numPr>
      <w:spacing w:before="120" w:line="240" w:lineRule="auto"/>
      <w:contextualSpacing/>
    </w:pPr>
    <w:rPr>
      <w:rFonts w:ascii="Calibri" w:eastAsia="Times New Roman" w:hAnsi="Calibri" w:cs="Times New Roman"/>
      <w:lang w:eastAsia="en-US"/>
    </w:rPr>
  </w:style>
  <w:style w:type="character" w:customStyle="1" w:styleId="ListParagraphChar">
    <w:name w:val="List Paragraph Char"/>
    <w:aliases w:val="Table/Figure Heading Char,Annex Char,Bullets Char,WB Para Char,Lapis Bulleted List Char,Dot pt Char,F5 List Paragraph Char,No Spacing1 Char,List Paragraph Char Char Char Char,Indicator Text Char,Numbered Para 1 Char,Bullet 1 Char"/>
    <w:link w:val="ListParagraph"/>
    <w:uiPriority w:val="34"/>
    <w:qFormat/>
    <w:locked/>
    <w:rsid w:val="001E099B"/>
    <w:rPr>
      <w:rFonts w:ascii="Calibri" w:eastAsia="Times New Roman" w:hAnsi="Calibri" w:cs="Times New Roman"/>
      <w:lang w:val="sq-AL"/>
    </w:rPr>
  </w:style>
  <w:style w:type="paragraph" w:customStyle="1" w:styleId="ALB-LawPreamble">
    <w:name w:val="ALB-Law Preamble"/>
    <w:rsid w:val="001E099B"/>
    <w:pPr>
      <w:tabs>
        <w:tab w:val="right" w:pos="9356"/>
      </w:tabs>
      <w:spacing w:before="240" w:after="240" w:line="360" w:lineRule="auto"/>
      <w:jc w:val="both"/>
    </w:pPr>
    <w:rPr>
      <w:rFonts w:ascii="Palatino" w:eastAsia="ヒラギノ角ゴ Pro W3" w:hAnsi="Palatino" w:cs="Times New Roman"/>
      <w:color w:val="000000"/>
      <w:szCs w:val="20"/>
      <w:lang w:val="en-GB"/>
    </w:rPr>
  </w:style>
  <w:style w:type="character" w:styleId="Hyperlink">
    <w:name w:val="Hyperlink"/>
    <w:basedOn w:val="DefaultParagraphFont"/>
    <w:uiPriority w:val="99"/>
    <w:rsid w:val="00395EA8"/>
    <w:rPr>
      <w:rFonts w:cs="Times New Roman"/>
      <w:color w:val="0000FF"/>
      <w:u w:val="single"/>
    </w:rPr>
  </w:style>
  <w:style w:type="paragraph" w:styleId="TOC1">
    <w:name w:val="toc 1"/>
    <w:basedOn w:val="Normal"/>
    <w:next w:val="Normal"/>
    <w:autoRedefine/>
    <w:uiPriority w:val="39"/>
    <w:qFormat/>
    <w:rsid w:val="00395EA8"/>
    <w:pPr>
      <w:tabs>
        <w:tab w:val="left" w:pos="480"/>
        <w:tab w:val="right" w:leader="dot" w:pos="9639"/>
      </w:tabs>
      <w:spacing w:after="0" w:line="240" w:lineRule="auto"/>
    </w:pPr>
    <w:rPr>
      <w:rFonts w:ascii="Calibri" w:eastAsia="Times New Roman" w:hAnsi="Calibri" w:cs="Times New Roman"/>
      <w:b/>
      <w:noProof/>
      <w:sz w:val="24"/>
      <w:szCs w:val="24"/>
    </w:rPr>
  </w:style>
  <w:style w:type="paragraph" w:styleId="TOC2">
    <w:name w:val="toc 2"/>
    <w:basedOn w:val="Normal"/>
    <w:next w:val="Normal"/>
    <w:autoRedefine/>
    <w:uiPriority w:val="39"/>
    <w:qFormat/>
    <w:rsid w:val="00395EA8"/>
    <w:pPr>
      <w:spacing w:before="120" w:line="240" w:lineRule="auto"/>
      <w:ind w:left="240"/>
    </w:pPr>
    <w:rPr>
      <w:rFonts w:ascii="Calibri" w:eastAsia="Times New Roman" w:hAnsi="Calibri" w:cs="Times New Roman"/>
      <w:sz w:val="24"/>
      <w:szCs w:val="24"/>
    </w:rPr>
  </w:style>
  <w:style w:type="paragraph" w:styleId="TOC3">
    <w:name w:val="toc 3"/>
    <w:basedOn w:val="Normal"/>
    <w:next w:val="Normal"/>
    <w:autoRedefine/>
    <w:uiPriority w:val="39"/>
    <w:qFormat/>
    <w:rsid w:val="00395EA8"/>
    <w:pPr>
      <w:spacing w:before="120" w:line="240" w:lineRule="auto"/>
      <w:ind w:left="480"/>
    </w:pPr>
    <w:rPr>
      <w:rFonts w:ascii="Calibri" w:eastAsia="Times New Roman" w:hAnsi="Calibri" w:cs="Times New Roman"/>
      <w:sz w:val="24"/>
      <w:szCs w:val="24"/>
    </w:rPr>
  </w:style>
  <w:style w:type="character" w:customStyle="1" w:styleId="Heading1Char">
    <w:name w:val="Heading 1 Char"/>
    <w:aliases w:val="051 Char,Heading 1 Char1 Char Char,Heading 1 Char Char Char Char,Heading 1 Char1 Char Char Char Char,Heading 1 Char Char Char Char Char Char,Heading 1 Char1 Char Char Char Char Char Char,Heading 1 Char Char Char Char Char Char Char Char"/>
    <w:basedOn w:val="DefaultParagraphFont"/>
    <w:link w:val="Heading1"/>
    <w:uiPriority w:val="9"/>
    <w:rsid w:val="00395EA8"/>
    <w:rPr>
      <w:rFonts w:asciiTheme="majorHAnsi" w:eastAsiaTheme="majorEastAsia" w:hAnsiTheme="majorHAnsi" w:cstheme="majorBidi"/>
      <w:b/>
      <w:bCs/>
      <w:color w:val="365F91" w:themeColor="accent1" w:themeShade="BF"/>
      <w:sz w:val="28"/>
      <w:szCs w:val="28"/>
      <w:lang w:val="sq-AL" w:eastAsia="it-IT"/>
    </w:rPr>
  </w:style>
  <w:style w:type="paragraph" w:styleId="TOCHeading">
    <w:name w:val="TOC Heading"/>
    <w:basedOn w:val="Heading1"/>
    <w:next w:val="Normal"/>
    <w:uiPriority w:val="39"/>
    <w:unhideWhenUsed/>
    <w:qFormat/>
    <w:rsid w:val="00395EA8"/>
    <w:pPr>
      <w:spacing w:line="240" w:lineRule="auto"/>
      <w:outlineLvl w:val="9"/>
    </w:pPr>
    <w:rPr>
      <w:sz w:val="32"/>
      <w:szCs w:val="32"/>
    </w:rPr>
  </w:style>
  <w:style w:type="paragraph" w:styleId="BalloonText">
    <w:name w:val="Balloon Text"/>
    <w:basedOn w:val="Normal"/>
    <w:link w:val="BalloonTextChar"/>
    <w:uiPriority w:val="99"/>
    <w:unhideWhenUsed/>
    <w:rsid w:val="00395EA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395EA8"/>
    <w:rPr>
      <w:rFonts w:ascii="Tahoma" w:eastAsiaTheme="minorEastAsia" w:hAnsi="Tahoma" w:cs="Tahoma"/>
      <w:sz w:val="16"/>
      <w:szCs w:val="16"/>
      <w:lang w:val="sq-AL" w:eastAsia="it-IT"/>
    </w:rPr>
  </w:style>
  <w:style w:type="table" w:styleId="TableGrid">
    <w:name w:val="Table Grid"/>
    <w:aliases w:val="Tabellengitternetz"/>
    <w:basedOn w:val="TableNormal"/>
    <w:uiPriority w:val="39"/>
    <w:rsid w:val="00395E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E24568"/>
    <w:pPr>
      <w:spacing w:after="0" w:line="240" w:lineRule="auto"/>
      <w:jc w:val="both"/>
    </w:pPr>
    <w:rPr>
      <w:rFonts w:ascii="Calibri" w:eastAsia="Times New Roman" w:hAnsi="Calibri" w:cs="Times New Roman"/>
      <w:sz w:val="24"/>
      <w:szCs w:val="24"/>
      <w:lang w:val="it-IT" w:eastAsia="it-IT"/>
    </w:rPr>
  </w:style>
  <w:style w:type="character" w:customStyle="1" w:styleId="NoSpacingChar">
    <w:name w:val="No Spacing Char"/>
    <w:basedOn w:val="DefaultParagraphFont"/>
    <w:link w:val="NoSpacing"/>
    <w:uiPriority w:val="1"/>
    <w:rsid w:val="00E24568"/>
    <w:rPr>
      <w:rFonts w:ascii="Calibri" w:eastAsia="Times New Roman" w:hAnsi="Calibri" w:cs="Times New Roman"/>
      <w:sz w:val="24"/>
      <w:szCs w:val="24"/>
      <w:lang w:val="it-IT" w:eastAsia="it-IT"/>
    </w:rPr>
  </w:style>
  <w:style w:type="paragraph" w:styleId="FootnoteText">
    <w:name w:val="footnote text"/>
    <w:aliases w:val="Fußnotentext Char1,Fußnotentext Char Char,Fußnotentext Char1 Char Char,Fußnotentext Char Char Char Char,Fußnotentext Char1 Char Char Char Char,Fußnotentext Char Char Char Char Char Char,Fußnotentext Char Char1 Char Char,f,Fußnotentextf,Char"/>
    <w:basedOn w:val="Normal"/>
    <w:link w:val="FootnoteTextChar"/>
    <w:uiPriority w:val="99"/>
    <w:qFormat/>
    <w:rsid w:val="001C6C5A"/>
    <w:pPr>
      <w:spacing w:before="120" w:line="240" w:lineRule="auto"/>
    </w:pPr>
    <w:rPr>
      <w:rFonts w:ascii="Calibri" w:eastAsia="Times New Roman" w:hAnsi="Calibri" w:cs="Times New Roman"/>
      <w:sz w:val="20"/>
      <w:szCs w:val="20"/>
    </w:rPr>
  </w:style>
  <w:style w:type="character" w:customStyle="1" w:styleId="FootnoteTextChar">
    <w:name w:val="Footnote Text Char"/>
    <w:aliases w:val="Fußnotentext Char1 Char,Fußnotentext Char Char Char,Fußnotentext Char1 Char Char Char,Fußnotentext Char Char Char Char Char,Fußnotentext Char1 Char Char Char Char Char,Fußnotentext Char Char Char Char Char Char Char,f Char,Fußnote Char"/>
    <w:basedOn w:val="DefaultParagraphFont"/>
    <w:link w:val="FootnoteText"/>
    <w:uiPriority w:val="99"/>
    <w:qFormat/>
    <w:rsid w:val="001C6C5A"/>
    <w:rPr>
      <w:rFonts w:ascii="Calibri" w:eastAsia="Times New Roman" w:hAnsi="Calibri" w:cs="Times New Roman"/>
      <w:sz w:val="20"/>
      <w:szCs w:val="20"/>
      <w:lang w:val="sq-AL" w:eastAsia="it-IT"/>
    </w:rPr>
  </w:style>
  <w:style w:type="character" w:styleId="FootnoteReference">
    <w:name w:val="footnote reference"/>
    <w:aliases w:val="4_G,ftref,BVI fnr,16 Point,Superscript 6 Point,Fußnotenzeichen DISS,Footnote,Footnote symbol,Char1 Char Char Char Char, Char1 Char Char Char Char,number,SUPERS,Footnote Reference Superscript,-E Fuﬂnotenzeichen,fr,BVI fnr Car Car"/>
    <w:basedOn w:val="DefaultParagraphFont"/>
    <w:link w:val="BVIfnrCarCarCarCarChar"/>
    <w:uiPriority w:val="99"/>
    <w:qFormat/>
    <w:rsid w:val="001C6C5A"/>
    <w:rPr>
      <w:rFonts w:cs="Times New Roman"/>
      <w:vertAlign w:val="superscript"/>
    </w:rPr>
  </w:style>
  <w:style w:type="paragraph" w:customStyle="1" w:styleId="BVIfnrCarCarCarCarChar">
    <w:name w:val="BVI fnr Car Car Car Car Char"/>
    <w:aliases w:val="BVI fnr Car"/>
    <w:basedOn w:val="Normal"/>
    <w:link w:val="FootnoteReference"/>
    <w:uiPriority w:val="99"/>
    <w:rsid w:val="001C6C5A"/>
    <w:pPr>
      <w:spacing w:after="160" w:line="240" w:lineRule="exact"/>
    </w:pPr>
    <w:rPr>
      <w:rFonts w:eastAsiaTheme="minorHAnsi" w:cs="Times New Roman"/>
      <w:vertAlign w:val="superscript"/>
      <w:lang w:val="en-US" w:eastAsia="en-US"/>
    </w:rPr>
  </w:style>
  <w:style w:type="paragraph" w:styleId="Caption">
    <w:name w:val="caption"/>
    <w:aliases w:val="Beschriftung Char1,Beschriftung Char Char,Beschriftung Char Char Char,Beschriftung Char Char Char Char Char,Beschriftung2,Beschriftung Char Char2,Beschriftung Char,Beschriftung Char Char Char Char Char Char Char Char,Epígrafe Car Car Car Car Car"/>
    <w:basedOn w:val="Normal"/>
    <w:next w:val="Normal"/>
    <w:link w:val="CaptionChar"/>
    <w:uiPriority w:val="35"/>
    <w:qFormat/>
    <w:rsid w:val="001C6C5A"/>
    <w:pPr>
      <w:spacing w:before="120" w:line="240" w:lineRule="auto"/>
    </w:pPr>
    <w:rPr>
      <w:rFonts w:ascii="Calibri" w:eastAsia="Times New Roman" w:hAnsi="Calibri" w:cs="Times New Roman"/>
      <w:b/>
      <w:bCs/>
      <w:sz w:val="20"/>
      <w:szCs w:val="20"/>
    </w:rPr>
  </w:style>
  <w:style w:type="character" w:customStyle="1" w:styleId="CaptionChar">
    <w:name w:val="Caption Char"/>
    <w:aliases w:val="Beschriftung Char1 Char,Beschriftung Char Char Char1,Beschriftung Char Char Char Char,Beschriftung Char Char Char Char Char Char,Beschriftung2 Char,Beschriftung Char Char2 Char,Beschriftung Char Char1,Epígrafe Car Car Car Car Car Char"/>
    <w:link w:val="Caption"/>
    <w:uiPriority w:val="35"/>
    <w:qFormat/>
    <w:rsid w:val="001C6C5A"/>
    <w:rPr>
      <w:rFonts w:ascii="Calibri" w:eastAsia="Times New Roman" w:hAnsi="Calibri" w:cs="Times New Roman"/>
      <w:b/>
      <w:bCs/>
      <w:sz w:val="20"/>
      <w:szCs w:val="20"/>
      <w:lang w:val="sq-AL" w:eastAsia="it-IT"/>
    </w:rPr>
  </w:style>
  <w:style w:type="table" w:customStyle="1" w:styleId="GridTable1Light-Accent11">
    <w:name w:val="Grid Table 1 Light - Accent 11"/>
    <w:basedOn w:val="TableNormal"/>
    <w:uiPriority w:val="46"/>
    <w:rsid w:val="001C6C5A"/>
    <w:pPr>
      <w:spacing w:after="0" w:line="240" w:lineRule="auto"/>
    </w:pPr>
    <w:rPr>
      <w:rFonts w:eastAsiaTheme="minorEastAsia"/>
      <w:lang w:val="it-IT" w:eastAsia="it-IT"/>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paragraph" w:customStyle="1" w:styleId="Default">
    <w:name w:val="Default"/>
    <w:link w:val="DefaultCar"/>
    <w:rsid w:val="003A6446"/>
    <w:pPr>
      <w:autoSpaceDE w:val="0"/>
      <w:autoSpaceDN w:val="0"/>
      <w:adjustRightInd w:val="0"/>
      <w:spacing w:after="0" w:line="240" w:lineRule="auto"/>
    </w:pPr>
    <w:rPr>
      <w:rFonts w:ascii="Times New Roman" w:eastAsia="Times New Roman" w:hAnsi="Times New Roman" w:cs="Times New Roman"/>
      <w:color w:val="000000"/>
      <w:sz w:val="24"/>
      <w:szCs w:val="24"/>
      <w:lang w:val="it-IT" w:eastAsia="it-IT"/>
    </w:rPr>
  </w:style>
  <w:style w:type="paragraph" w:customStyle="1" w:styleId="Paragrafoelenco1">
    <w:name w:val="Paragrafo elenco1"/>
    <w:aliases w:val="List Paragraph (numbered (a))"/>
    <w:basedOn w:val="Normal"/>
    <w:link w:val="Paragrafoelenco1Carattere"/>
    <w:qFormat/>
    <w:rsid w:val="003A6446"/>
    <w:pPr>
      <w:numPr>
        <w:numId w:val="2"/>
      </w:numPr>
      <w:spacing w:before="120" w:line="240" w:lineRule="auto"/>
      <w:ind w:left="567" w:hanging="284"/>
    </w:pPr>
    <w:rPr>
      <w:rFonts w:eastAsia="Times New Roman" w:cs="Times New Roman"/>
      <w:lang w:val="en-GB" w:eastAsia="en-US"/>
    </w:rPr>
  </w:style>
  <w:style w:type="character" w:customStyle="1" w:styleId="Paragrafoelenco1Carattere">
    <w:name w:val="Paragrafo elenco1 Carattere"/>
    <w:aliases w:val="List Paragraph (numbered (a)) Carattere"/>
    <w:link w:val="Paragrafoelenco1"/>
    <w:locked/>
    <w:rsid w:val="003A6446"/>
    <w:rPr>
      <w:rFonts w:eastAsia="Times New Roman" w:cs="Times New Roman"/>
      <w:lang w:val="en-GB"/>
    </w:rPr>
  </w:style>
  <w:style w:type="character" w:customStyle="1" w:styleId="Caratteredellanota">
    <w:name w:val="Carattere della nota"/>
    <w:rsid w:val="003A6446"/>
    <w:rPr>
      <w:vertAlign w:val="superscript"/>
    </w:rPr>
  </w:style>
  <w:style w:type="character" w:customStyle="1" w:styleId="StandardtextbodyZchn">
    <w:name w:val="Standardtext_body Zchn"/>
    <w:link w:val="Standardtextbody"/>
    <w:locked/>
    <w:rsid w:val="003A6446"/>
    <w:rPr>
      <w:rFonts w:ascii="Arial" w:hAnsi="Arial" w:cs="Arial"/>
      <w:bCs/>
      <w:iCs/>
    </w:rPr>
  </w:style>
  <w:style w:type="paragraph" w:customStyle="1" w:styleId="Standardtextbody">
    <w:name w:val="Standardtext_body"/>
    <w:basedOn w:val="Normal"/>
    <w:link w:val="StandardtextbodyZchn"/>
    <w:qFormat/>
    <w:rsid w:val="003A6446"/>
    <w:pPr>
      <w:spacing w:line="280" w:lineRule="exact"/>
      <w:jc w:val="left"/>
    </w:pPr>
    <w:rPr>
      <w:rFonts w:ascii="Arial" w:eastAsiaTheme="minorHAnsi" w:hAnsi="Arial" w:cs="Arial"/>
      <w:bCs/>
      <w:iCs/>
      <w:lang w:val="en-US" w:eastAsia="en-US"/>
    </w:rPr>
  </w:style>
  <w:style w:type="paragraph" w:customStyle="1" w:styleId="Funote">
    <w:name w:val="Fußnote"/>
    <w:basedOn w:val="FootnoteText"/>
    <w:link w:val="FunoteZchn"/>
    <w:qFormat/>
    <w:rsid w:val="003A6446"/>
    <w:pPr>
      <w:spacing w:before="0" w:after="0"/>
      <w:jc w:val="left"/>
    </w:pPr>
    <w:rPr>
      <w:rFonts w:ascii="Arial" w:hAnsi="Arial" w:cs="Arial"/>
      <w:sz w:val="16"/>
      <w:szCs w:val="16"/>
      <w:lang w:val="en-GB" w:eastAsia="zh-CN"/>
    </w:rPr>
  </w:style>
  <w:style w:type="character" w:customStyle="1" w:styleId="FunoteZchn">
    <w:name w:val="Fußnote Zchn"/>
    <w:link w:val="Funote"/>
    <w:rsid w:val="003A6446"/>
    <w:rPr>
      <w:rFonts w:ascii="Arial" w:eastAsia="Times New Roman" w:hAnsi="Arial" w:cs="Arial"/>
      <w:sz w:val="16"/>
      <w:szCs w:val="16"/>
      <w:lang w:val="en-GB" w:eastAsia="zh-CN"/>
    </w:rPr>
  </w:style>
  <w:style w:type="paragraph" w:styleId="NormalWeb">
    <w:name w:val="Normal (Web)"/>
    <w:aliases w:val="Char3, webb,webb"/>
    <w:basedOn w:val="Normal"/>
    <w:link w:val="NormalWebChar"/>
    <w:uiPriority w:val="99"/>
    <w:qFormat/>
    <w:rsid w:val="00D86DD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rsid w:val="00E20D71"/>
    <w:rPr>
      <w:rFonts w:asciiTheme="majorHAnsi" w:eastAsiaTheme="majorEastAsia" w:hAnsiTheme="majorHAnsi" w:cstheme="majorBidi"/>
      <w:b/>
      <w:bCs/>
      <w:color w:val="4F81BD" w:themeColor="accent1"/>
      <w:lang w:val="sq-AL" w:eastAsia="it-IT"/>
    </w:rPr>
  </w:style>
  <w:style w:type="character" w:customStyle="1" w:styleId="Heading2Char">
    <w:name w:val="Heading 2 Char"/>
    <w:aliases w:val="Subchapter 1.1 Char,1_Portada Char"/>
    <w:basedOn w:val="DefaultParagraphFont"/>
    <w:link w:val="Heading2"/>
    <w:uiPriority w:val="9"/>
    <w:rsid w:val="00E20D71"/>
    <w:rPr>
      <w:rFonts w:ascii="Calibri" w:eastAsia="Times New Roman" w:hAnsi="Calibri" w:cs="Times New Roman"/>
      <w:b/>
      <w:color w:val="365F91" w:themeColor="accent1" w:themeShade="BF"/>
      <w:sz w:val="24"/>
      <w:szCs w:val="24"/>
      <w:lang w:val="sq-AL" w:eastAsia="it-IT"/>
    </w:rPr>
  </w:style>
  <w:style w:type="character" w:customStyle="1" w:styleId="Heading4Char">
    <w:name w:val="Heading 4 Char"/>
    <w:basedOn w:val="DefaultParagraphFont"/>
    <w:link w:val="Heading4"/>
    <w:uiPriority w:val="9"/>
    <w:rsid w:val="00E20D71"/>
    <w:rPr>
      <w:rFonts w:ascii="Cambria" w:eastAsia="Times New Roman" w:hAnsi="Cambria" w:cs="Times New Roman"/>
      <w:i/>
      <w:iCs/>
      <w:color w:val="365F91"/>
      <w:lang w:val="sq-AL"/>
    </w:rPr>
  </w:style>
  <w:style w:type="character" w:customStyle="1" w:styleId="Heading5Char">
    <w:name w:val="Heading 5 Char"/>
    <w:basedOn w:val="DefaultParagraphFont"/>
    <w:link w:val="Heading5"/>
    <w:uiPriority w:val="9"/>
    <w:rsid w:val="00E20D71"/>
    <w:rPr>
      <w:rFonts w:ascii="Calibri" w:eastAsia="Times New Roman" w:hAnsi="Calibri" w:cs="Arial"/>
      <w:b/>
      <w:bCs/>
      <w:i/>
      <w:iCs/>
      <w:sz w:val="26"/>
      <w:szCs w:val="26"/>
      <w:lang w:val="en-GB"/>
    </w:rPr>
  </w:style>
  <w:style w:type="character" w:customStyle="1" w:styleId="Heading6Char">
    <w:name w:val="Heading 6 Char"/>
    <w:basedOn w:val="DefaultParagraphFont"/>
    <w:link w:val="Heading6"/>
    <w:uiPriority w:val="9"/>
    <w:rsid w:val="00E20D71"/>
    <w:rPr>
      <w:rFonts w:ascii="Arial" w:eastAsia="Times New Roman" w:hAnsi="Arial" w:cs="Arial"/>
      <w:b/>
      <w:bCs/>
      <w:lang w:val="en-GB"/>
    </w:rPr>
  </w:style>
  <w:style w:type="character" w:customStyle="1" w:styleId="Heading7Char">
    <w:name w:val="Heading 7 Char"/>
    <w:basedOn w:val="DefaultParagraphFont"/>
    <w:link w:val="Heading7"/>
    <w:uiPriority w:val="9"/>
    <w:rsid w:val="00E20D71"/>
    <w:rPr>
      <w:rFonts w:ascii="Calibri" w:eastAsia="Times New Roman" w:hAnsi="Calibri" w:cs="Arial"/>
      <w:sz w:val="24"/>
      <w:szCs w:val="24"/>
      <w:lang w:val="en-GB"/>
    </w:rPr>
  </w:style>
  <w:style w:type="character" w:customStyle="1" w:styleId="Heading8Char">
    <w:name w:val="Heading 8 Char"/>
    <w:basedOn w:val="DefaultParagraphFont"/>
    <w:link w:val="Heading8"/>
    <w:uiPriority w:val="9"/>
    <w:semiHidden/>
    <w:rsid w:val="00E20D71"/>
    <w:rPr>
      <w:rFonts w:ascii="Calibri" w:eastAsia="Times New Roman" w:hAnsi="Calibri" w:cs="Arial"/>
      <w:i/>
      <w:iCs/>
      <w:sz w:val="24"/>
      <w:szCs w:val="24"/>
      <w:lang w:val="en-GB"/>
    </w:rPr>
  </w:style>
  <w:style w:type="character" w:customStyle="1" w:styleId="Heading9Char">
    <w:name w:val="Heading 9 Char"/>
    <w:basedOn w:val="DefaultParagraphFont"/>
    <w:link w:val="Heading9"/>
    <w:uiPriority w:val="9"/>
    <w:semiHidden/>
    <w:rsid w:val="00E20D71"/>
    <w:rPr>
      <w:rFonts w:ascii="Cambria" w:eastAsia="Times New Roman" w:hAnsi="Cambria" w:cs="Arial"/>
      <w:lang w:val="en-GB"/>
    </w:rPr>
  </w:style>
  <w:style w:type="paragraph" w:styleId="Header">
    <w:name w:val="header"/>
    <w:aliases w:val="ContentsHeader,heading 3 after h2,h3+,hd,Subheading (body),Topline,ho,header odd,Draft,encabezado,Encabezado 2,SV,IPA Header,Chapter Name,page-header,ph,*Header,he,header,odd,Header.,Section Header,En-tête CV,Heade,h"/>
    <w:basedOn w:val="Normal"/>
    <w:link w:val="HeaderChar"/>
    <w:uiPriority w:val="99"/>
    <w:unhideWhenUsed/>
    <w:rsid w:val="00E20D71"/>
    <w:pPr>
      <w:tabs>
        <w:tab w:val="center" w:pos="4680"/>
        <w:tab w:val="right" w:pos="9360"/>
      </w:tabs>
      <w:spacing w:after="0" w:line="240" w:lineRule="auto"/>
    </w:pPr>
  </w:style>
  <w:style w:type="character" w:customStyle="1" w:styleId="HeaderChar">
    <w:name w:val="Header Char"/>
    <w:aliases w:val="ContentsHeader Char,heading 3 after h2 Char,h3+ Char,hd Char,Subheading (body) Char,Topline Char,ho Char,header odd Char,Draft Char,encabezado Char,Encabezado 2 Char,SV Char,IPA Header Char,Chapter Name Char,page-header Char,ph Char,he Char"/>
    <w:basedOn w:val="DefaultParagraphFont"/>
    <w:link w:val="Header"/>
    <w:uiPriority w:val="99"/>
    <w:rsid w:val="00E20D71"/>
    <w:rPr>
      <w:rFonts w:eastAsiaTheme="minorEastAsia"/>
      <w:lang w:val="sq-AL" w:eastAsia="it-IT"/>
    </w:rPr>
  </w:style>
  <w:style w:type="paragraph" w:styleId="Footer">
    <w:name w:val="footer"/>
    <w:aliases w:val="|| Footer"/>
    <w:basedOn w:val="Normal"/>
    <w:link w:val="FooterChar"/>
    <w:uiPriority w:val="99"/>
    <w:unhideWhenUsed/>
    <w:rsid w:val="00E20D71"/>
    <w:pPr>
      <w:tabs>
        <w:tab w:val="center" w:pos="4680"/>
        <w:tab w:val="right" w:pos="9360"/>
      </w:tabs>
      <w:spacing w:after="0" w:line="240" w:lineRule="auto"/>
    </w:pPr>
  </w:style>
  <w:style w:type="character" w:customStyle="1" w:styleId="FooterChar">
    <w:name w:val="Footer Char"/>
    <w:aliases w:val="|| Footer Char"/>
    <w:basedOn w:val="DefaultParagraphFont"/>
    <w:link w:val="Footer"/>
    <w:uiPriority w:val="99"/>
    <w:rsid w:val="00E20D71"/>
    <w:rPr>
      <w:rFonts w:eastAsiaTheme="minorEastAsia"/>
      <w:lang w:val="sq-AL" w:eastAsia="it-IT"/>
    </w:rPr>
  </w:style>
  <w:style w:type="character" w:styleId="CommentReference">
    <w:name w:val="annotation reference"/>
    <w:basedOn w:val="DefaultParagraphFont"/>
    <w:uiPriority w:val="99"/>
    <w:unhideWhenUsed/>
    <w:rsid w:val="00E20D71"/>
    <w:rPr>
      <w:sz w:val="16"/>
      <w:szCs w:val="16"/>
    </w:rPr>
  </w:style>
  <w:style w:type="paragraph" w:styleId="CommentText">
    <w:name w:val="annotation text"/>
    <w:basedOn w:val="Normal"/>
    <w:link w:val="CommentTextChar"/>
    <w:uiPriority w:val="99"/>
    <w:unhideWhenUsed/>
    <w:qFormat/>
    <w:rsid w:val="00E20D71"/>
    <w:pPr>
      <w:spacing w:line="240" w:lineRule="auto"/>
    </w:pPr>
    <w:rPr>
      <w:sz w:val="20"/>
      <w:szCs w:val="20"/>
    </w:rPr>
  </w:style>
  <w:style w:type="character" w:customStyle="1" w:styleId="CommentTextChar">
    <w:name w:val="Comment Text Char"/>
    <w:basedOn w:val="DefaultParagraphFont"/>
    <w:link w:val="CommentText"/>
    <w:uiPriority w:val="99"/>
    <w:rsid w:val="00E20D71"/>
    <w:rPr>
      <w:rFonts w:eastAsiaTheme="minorEastAsia"/>
      <w:sz w:val="20"/>
      <w:szCs w:val="20"/>
      <w:lang w:val="sq-AL" w:eastAsia="it-IT"/>
    </w:rPr>
  </w:style>
  <w:style w:type="paragraph" w:styleId="CommentSubject">
    <w:name w:val="annotation subject"/>
    <w:basedOn w:val="CommentText"/>
    <w:next w:val="CommentText"/>
    <w:link w:val="CommentSubjectChar"/>
    <w:uiPriority w:val="99"/>
    <w:semiHidden/>
    <w:unhideWhenUsed/>
    <w:rsid w:val="00E20D71"/>
    <w:rPr>
      <w:b/>
      <w:bCs/>
    </w:rPr>
  </w:style>
  <w:style w:type="character" w:customStyle="1" w:styleId="CommentSubjectChar">
    <w:name w:val="Comment Subject Char"/>
    <w:basedOn w:val="CommentTextChar"/>
    <w:link w:val="CommentSubject"/>
    <w:uiPriority w:val="99"/>
    <w:semiHidden/>
    <w:rsid w:val="00E20D71"/>
    <w:rPr>
      <w:rFonts w:eastAsiaTheme="minorEastAsia"/>
      <w:b/>
      <w:bCs/>
      <w:sz w:val="20"/>
      <w:szCs w:val="20"/>
      <w:lang w:val="sq-AL" w:eastAsia="it-IT"/>
    </w:rPr>
  </w:style>
  <w:style w:type="character" w:styleId="PageNumber">
    <w:name w:val="page number"/>
    <w:basedOn w:val="DefaultParagraphFont"/>
    <w:rsid w:val="00E20D71"/>
    <w:rPr>
      <w:rFonts w:cs="Times New Roman"/>
    </w:rPr>
  </w:style>
  <w:style w:type="paragraph" w:styleId="BodyTextIndent2">
    <w:name w:val="Body Text Indent 2"/>
    <w:basedOn w:val="Normal"/>
    <w:link w:val="BodyTextIndent2Char"/>
    <w:uiPriority w:val="99"/>
    <w:rsid w:val="00E20D71"/>
    <w:pPr>
      <w:widowControl w:val="0"/>
      <w:autoSpaceDE w:val="0"/>
      <w:autoSpaceDN w:val="0"/>
      <w:spacing w:before="120" w:line="240" w:lineRule="auto"/>
      <w:ind w:left="1700"/>
    </w:pPr>
    <w:rPr>
      <w:rFonts w:ascii="Times New Roman" w:eastAsia="Times New Roman" w:hAnsi="Times New Roman" w:cs="Times New Roman"/>
      <w:color w:val="000000"/>
      <w:sz w:val="24"/>
      <w:szCs w:val="24"/>
    </w:rPr>
  </w:style>
  <w:style w:type="character" w:customStyle="1" w:styleId="BodyTextIndent2Char">
    <w:name w:val="Body Text Indent 2 Char"/>
    <w:basedOn w:val="DefaultParagraphFont"/>
    <w:link w:val="BodyTextIndent2"/>
    <w:uiPriority w:val="99"/>
    <w:rsid w:val="00E20D71"/>
    <w:rPr>
      <w:rFonts w:ascii="Times New Roman" w:eastAsia="Times New Roman" w:hAnsi="Times New Roman" w:cs="Times New Roman"/>
      <w:color w:val="000000"/>
      <w:sz w:val="24"/>
      <w:szCs w:val="24"/>
      <w:lang w:val="sq-AL" w:eastAsia="it-IT"/>
    </w:rPr>
  </w:style>
  <w:style w:type="paragraph" w:customStyle="1" w:styleId="default0">
    <w:name w:val="default"/>
    <w:basedOn w:val="Normal"/>
    <w:rsid w:val="00E20D71"/>
    <w:pPr>
      <w:autoSpaceDE w:val="0"/>
      <w:autoSpaceDN w:val="0"/>
      <w:spacing w:before="120" w:line="240" w:lineRule="auto"/>
    </w:pPr>
    <w:rPr>
      <w:rFonts w:ascii="Times New Roman" w:eastAsia="Times New Roman" w:hAnsi="Times New Roman" w:cs="Times New Roman"/>
      <w:color w:val="000000"/>
      <w:sz w:val="24"/>
      <w:szCs w:val="24"/>
    </w:rPr>
  </w:style>
  <w:style w:type="paragraph" w:styleId="BodyText">
    <w:name w:val="Body Text"/>
    <w:basedOn w:val="Normal"/>
    <w:link w:val="BodyTextChar"/>
    <w:uiPriority w:val="1"/>
    <w:rsid w:val="00E20D71"/>
    <w:pPr>
      <w:spacing w:before="120" w:line="240" w:lineRule="auto"/>
    </w:pPr>
    <w:rPr>
      <w:rFonts w:ascii="Calibri" w:eastAsia="Times New Roman" w:hAnsi="Calibri" w:cs="Times New Roman"/>
      <w:sz w:val="24"/>
      <w:szCs w:val="24"/>
    </w:rPr>
  </w:style>
  <w:style w:type="character" w:customStyle="1" w:styleId="BodyTextChar">
    <w:name w:val="Body Text Char"/>
    <w:basedOn w:val="DefaultParagraphFont"/>
    <w:link w:val="BodyText"/>
    <w:uiPriority w:val="1"/>
    <w:rsid w:val="00E20D71"/>
    <w:rPr>
      <w:rFonts w:ascii="Calibri" w:eastAsia="Times New Roman" w:hAnsi="Calibri" w:cs="Times New Roman"/>
      <w:sz w:val="24"/>
      <w:szCs w:val="24"/>
      <w:lang w:val="sq-AL" w:eastAsia="it-IT"/>
    </w:rPr>
  </w:style>
  <w:style w:type="paragraph" w:styleId="BodyText2">
    <w:name w:val="Body Text 2"/>
    <w:basedOn w:val="Normal"/>
    <w:link w:val="BodyText2Char"/>
    <w:uiPriority w:val="99"/>
    <w:rsid w:val="00E20D71"/>
    <w:pPr>
      <w:spacing w:before="120" w:line="480" w:lineRule="auto"/>
    </w:pPr>
    <w:rPr>
      <w:rFonts w:ascii="Calibri" w:eastAsia="Times New Roman" w:hAnsi="Calibri" w:cs="Times New Roman"/>
      <w:sz w:val="24"/>
      <w:szCs w:val="24"/>
    </w:rPr>
  </w:style>
  <w:style w:type="character" w:customStyle="1" w:styleId="BodyText2Char">
    <w:name w:val="Body Text 2 Char"/>
    <w:basedOn w:val="DefaultParagraphFont"/>
    <w:link w:val="BodyText2"/>
    <w:uiPriority w:val="99"/>
    <w:rsid w:val="00E20D71"/>
    <w:rPr>
      <w:rFonts w:ascii="Calibri" w:eastAsia="Times New Roman" w:hAnsi="Calibri" w:cs="Times New Roman"/>
      <w:sz w:val="24"/>
      <w:szCs w:val="24"/>
      <w:lang w:val="sq-AL" w:eastAsia="it-IT"/>
    </w:rPr>
  </w:style>
  <w:style w:type="paragraph" w:styleId="BodyText3">
    <w:name w:val="Body Text 3"/>
    <w:basedOn w:val="Normal"/>
    <w:link w:val="BodyText3Char"/>
    <w:uiPriority w:val="99"/>
    <w:rsid w:val="00E20D71"/>
    <w:pPr>
      <w:spacing w:before="120" w:line="240" w:lineRule="auto"/>
    </w:pPr>
    <w:rPr>
      <w:rFonts w:ascii="Calibri" w:eastAsia="Times New Roman" w:hAnsi="Calibri" w:cs="Times New Roman"/>
      <w:sz w:val="16"/>
      <w:szCs w:val="16"/>
    </w:rPr>
  </w:style>
  <w:style w:type="character" w:customStyle="1" w:styleId="BodyText3Char">
    <w:name w:val="Body Text 3 Char"/>
    <w:basedOn w:val="DefaultParagraphFont"/>
    <w:link w:val="BodyText3"/>
    <w:uiPriority w:val="99"/>
    <w:rsid w:val="00E20D71"/>
    <w:rPr>
      <w:rFonts w:ascii="Calibri" w:eastAsia="Times New Roman" w:hAnsi="Calibri" w:cs="Times New Roman"/>
      <w:sz w:val="16"/>
      <w:szCs w:val="16"/>
      <w:lang w:val="sq-AL" w:eastAsia="it-IT"/>
    </w:rPr>
  </w:style>
  <w:style w:type="paragraph" w:styleId="Title">
    <w:name w:val="Title"/>
    <w:basedOn w:val="Normal"/>
    <w:link w:val="TitleChar"/>
    <w:uiPriority w:val="10"/>
    <w:qFormat/>
    <w:rsid w:val="00E20D71"/>
    <w:pPr>
      <w:spacing w:before="120" w:line="240" w:lineRule="auto"/>
      <w:jc w:val="center"/>
    </w:pPr>
    <w:rPr>
      <w:rFonts w:ascii="Calibri" w:eastAsia="Times New Roman" w:hAnsi="Calibri" w:cs="Times New Roman"/>
      <w:b/>
      <w:sz w:val="36"/>
      <w:szCs w:val="20"/>
    </w:rPr>
  </w:style>
  <w:style w:type="character" w:customStyle="1" w:styleId="TitleChar">
    <w:name w:val="Title Char"/>
    <w:basedOn w:val="DefaultParagraphFont"/>
    <w:link w:val="Title"/>
    <w:uiPriority w:val="10"/>
    <w:rsid w:val="00E20D71"/>
    <w:rPr>
      <w:rFonts w:ascii="Calibri" w:eastAsia="Times New Roman" w:hAnsi="Calibri" w:cs="Times New Roman"/>
      <w:b/>
      <w:sz w:val="36"/>
      <w:szCs w:val="20"/>
      <w:lang w:val="sq-AL" w:eastAsia="it-IT"/>
    </w:rPr>
  </w:style>
  <w:style w:type="paragraph" w:customStyle="1" w:styleId="ReportAuthor">
    <w:name w:val="ReportAuthor"/>
    <w:basedOn w:val="Normal"/>
    <w:uiPriority w:val="99"/>
    <w:rsid w:val="00E20D7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00" w:line="320" w:lineRule="atLeast"/>
      <w:ind w:right="1800"/>
    </w:pPr>
    <w:rPr>
      <w:rFonts w:ascii="Times New Roman" w:eastAsia="Times New Roman" w:hAnsi="Times New Roman" w:cs="Times New Roman"/>
      <w:b/>
      <w:color w:val="000000"/>
      <w:sz w:val="24"/>
      <w:szCs w:val="20"/>
    </w:rPr>
  </w:style>
  <w:style w:type="paragraph" w:customStyle="1" w:styleId="Grigliamedia1-Colore21">
    <w:name w:val="Griglia media 1 - Colore 21"/>
    <w:basedOn w:val="Normal"/>
    <w:uiPriority w:val="99"/>
    <w:rsid w:val="00E20D71"/>
    <w:pPr>
      <w:spacing w:before="120" w:line="240" w:lineRule="auto"/>
      <w:ind w:left="720"/>
      <w:contextualSpacing/>
    </w:pPr>
    <w:rPr>
      <w:rFonts w:ascii="Cambria" w:eastAsia="Times New Roman" w:hAnsi="Cambria" w:cs="Times New Roman"/>
      <w:sz w:val="24"/>
      <w:szCs w:val="24"/>
      <w:lang w:val="en-GB" w:eastAsia="en-US"/>
    </w:rPr>
  </w:style>
  <w:style w:type="character" w:styleId="Strong">
    <w:name w:val="Strong"/>
    <w:basedOn w:val="DefaultParagraphFont"/>
    <w:uiPriority w:val="22"/>
    <w:qFormat/>
    <w:rsid w:val="00E20D71"/>
    <w:rPr>
      <w:rFonts w:cs="Times New Roman"/>
      <w:b/>
    </w:rPr>
  </w:style>
  <w:style w:type="paragraph" w:styleId="Subtitle">
    <w:name w:val="Subtitle"/>
    <w:basedOn w:val="Normal"/>
    <w:next w:val="Normal"/>
    <w:link w:val="SubtitleChar"/>
    <w:uiPriority w:val="11"/>
    <w:qFormat/>
    <w:rsid w:val="00E20D71"/>
    <w:pPr>
      <w:numPr>
        <w:ilvl w:val="1"/>
      </w:numPr>
      <w:spacing w:before="120" w:line="240" w:lineRule="auto"/>
    </w:pPr>
    <w:rPr>
      <w:rFonts w:ascii="Calibri" w:eastAsia="Times New Roman" w:hAnsi="Calibri" w:cs="Times New Roman"/>
      <w:i/>
      <w:iCs/>
      <w:color w:val="4F81BD"/>
      <w:spacing w:val="15"/>
      <w:sz w:val="24"/>
      <w:szCs w:val="24"/>
      <w:lang w:eastAsia="en-US"/>
    </w:rPr>
  </w:style>
  <w:style w:type="character" w:customStyle="1" w:styleId="SubtitleChar">
    <w:name w:val="Subtitle Char"/>
    <w:basedOn w:val="DefaultParagraphFont"/>
    <w:link w:val="Subtitle"/>
    <w:uiPriority w:val="11"/>
    <w:rsid w:val="00E20D71"/>
    <w:rPr>
      <w:rFonts w:ascii="Calibri" w:eastAsia="Times New Roman" w:hAnsi="Calibri" w:cs="Times New Roman"/>
      <w:i/>
      <w:iCs/>
      <w:color w:val="4F81BD"/>
      <w:spacing w:val="15"/>
      <w:sz w:val="24"/>
      <w:szCs w:val="24"/>
      <w:lang w:val="sq-AL"/>
    </w:rPr>
  </w:style>
  <w:style w:type="paragraph" w:customStyle="1" w:styleId="Box">
    <w:name w:val="Box"/>
    <w:basedOn w:val="Normal"/>
    <w:rsid w:val="00E20D71"/>
    <w:pPr>
      <w:spacing w:after="0" w:line="240" w:lineRule="auto"/>
    </w:pPr>
    <w:rPr>
      <w:rFonts w:ascii="Calibri" w:eastAsia="Times New Roman" w:hAnsi="Calibri" w:cs="Times New Roman"/>
      <w:sz w:val="20"/>
      <w:szCs w:val="24"/>
      <w:lang w:val="en-GB"/>
    </w:rPr>
  </w:style>
  <w:style w:type="paragraph" w:customStyle="1" w:styleId="bibliografia">
    <w:name w:val="bibliografia"/>
    <w:basedOn w:val="Normal"/>
    <w:uiPriority w:val="99"/>
    <w:rsid w:val="00E20D71"/>
    <w:pPr>
      <w:tabs>
        <w:tab w:val="left" w:pos="1428"/>
      </w:tabs>
      <w:spacing w:before="120" w:line="240" w:lineRule="auto"/>
      <w:ind w:left="567" w:hanging="567"/>
    </w:pPr>
    <w:rPr>
      <w:rFonts w:ascii="Calibri" w:eastAsia="Times New Roman" w:hAnsi="Calibri" w:cs="Times New Roman"/>
      <w:szCs w:val="24"/>
      <w:lang w:val="en-GB"/>
    </w:rPr>
  </w:style>
  <w:style w:type="character" w:customStyle="1" w:styleId="mb">
    <w:name w:val="mb"/>
    <w:uiPriority w:val="99"/>
    <w:rsid w:val="00E20D71"/>
    <w:rPr>
      <w:rFonts w:ascii="Arial Unicode MS" w:eastAsia="Arial Unicode MS" w:hAnsi="Arial Unicode MS"/>
      <w:shd w:val="clear" w:color="auto" w:fill="auto"/>
    </w:rPr>
  </w:style>
  <w:style w:type="character" w:styleId="FollowedHyperlink">
    <w:name w:val="FollowedHyperlink"/>
    <w:basedOn w:val="DefaultParagraphFont"/>
    <w:uiPriority w:val="99"/>
    <w:rsid w:val="00E20D71"/>
    <w:rPr>
      <w:rFonts w:cs="Times New Roman"/>
      <w:color w:val="800080"/>
      <w:u w:val="single"/>
    </w:rPr>
  </w:style>
  <w:style w:type="paragraph" w:styleId="Bibliography">
    <w:name w:val="Bibliography"/>
    <w:basedOn w:val="Normal"/>
    <w:next w:val="Normal"/>
    <w:uiPriority w:val="99"/>
    <w:rsid w:val="00E20D71"/>
    <w:pPr>
      <w:spacing w:before="120" w:line="240" w:lineRule="auto"/>
    </w:pPr>
    <w:rPr>
      <w:rFonts w:ascii="Calibri" w:eastAsia="Times New Roman" w:hAnsi="Calibri" w:cs="Times New Roman"/>
      <w:sz w:val="24"/>
      <w:szCs w:val="24"/>
    </w:rPr>
  </w:style>
  <w:style w:type="character" w:styleId="HTMLAcronym">
    <w:name w:val="HTML Acronym"/>
    <w:basedOn w:val="DefaultParagraphFont"/>
    <w:uiPriority w:val="99"/>
    <w:semiHidden/>
    <w:rsid w:val="00E20D71"/>
    <w:rPr>
      <w:rFonts w:cs="Times New Roman"/>
      <w:u w:val="none"/>
      <w:effect w:val="none"/>
      <w:bdr w:val="none" w:sz="0" w:space="0" w:color="auto" w:frame="1"/>
    </w:rPr>
  </w:style>
  <w:style w:type="character" w:customStyle="1" w:styleId="hps">
    <w:name w:val="hps"/>
    <w:rsid w:val="00E20D71"/>
  </w:style>
  <w:style w:type="character" w:styleId="Emphasis">
    <w:name w:val="Emphasis"/>
    <w:basedOn w:val="DefaultParagraphFont"/>
    <w:uiPriority w:val="20"/>
    <w:qFormat/>
    <w:rsid w:val="00E20D71"/>
    <w:rPr>
      <w:rFonts w:cs="Times New Roman"/>
      <w:i/>
      <w:iCs/>
    </w:rPr>
  </w:style>
  <w:style w:type="table" w:customStyle="1" w:styleId="Sfondomedio1-Colore11">
    <w:name w:val="Sfondo medio 1 - Colore 11"/>
    <w:uiPriority w:val="63"/>
    <w:rsid w:val="00E20D71"/>
    <w:pPr>
      <w:spacing w:after="0" w:line="240" w:lineRule="auto"/>
    </w:pPr>
    <w:rPr>
      <w:rFonts w:ascii="Times New Roman" w:eastAsia="Times New Roman" w:hAnsi="Times New Roman" w:cs="Times New Roman"/>
      <w:sz w:val="20"/>
      <w:szCs w:val="20"/>
      <w:lang w:val="it-IT" w:eastAsia="it-IT"/>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style>
  <w:style w:type="character" w:customStyle="1" w:styleId="st1">
    <w:name w:val="st1"/>
    <w:basedOn w:val="DefaultParagraphFont"/>
    <w:uiPriority w:val="99"/>
    <w:rsid w:val="00E20D71"/>
    <w:rPr>
      <w:rFonts w:cs="Times New Roman"/>
    </w:rPr>
  </w:style>
  <w:style w:type="character" w:customStyle="1" w:styleId="pane-title">
    <w:name w:val="pane-title"/>
    <w:basedOn w:val="DefaultParagraphFont"/>
    <w:uiPriority w:val="99"/>
    <w:rsid w:val="00E20D71"/>
    <w:rPr>
      <w:rFonts w:cs="Times New Roman"/>
    </w:rPr>
  </w:style>
  <w:style w:type="character" w:customStyle="1" w:styleId="pane-content">
    <w:name w:val="pane-content"/>
    <w:basedOn w:val="DefaultParagraphFont"/>
    <w:uiPriority w:val="99"/>
    <w:rsid w:val="00E20D71"/>
    <w:rPr>
      <w:rFonts w:cs="Times New Roman"/>
    </w:rPr>
  </w:style>
  <w:style w:type="character" w:customStyle="1" w:styleId="hpsatn">
    <w:name w:val="hps atn"/>
    <w:basedOn w:val="DefaultParagraphFont"/>
    <w:uiPriority w:val="99"/>
    <w:rsid w:val="00E20D71"/>
    <w:rPr>
      <w:rFonts w:cs="Times New Roman"/>
    </w:rPr>
  </w:style>
  <w:style w:type="table" w:customStyle="1" w:styleId="LightShading-Accent11">
    <w:name w:val="Light Shading - Accent 11"/>
    <w:basedOn w:val="TableNormal"/>
    <w:uiPriority w:val="60"/>
    <w:rsid w:val="00E20D71"/>
    <w:pPr>
      <w:spacing w:after="0" w:line="240" w:lineRule="auto"/>
    </w:pPr>
    <w:rPr>
      <w:rFonts w:ascii="Times New Roman" w:eastAsia="Times New Roman" w:hAnsi="Times New Roman" w:cs="Times New Roman"/>
      <w:color w:val="365F91" w:themeColor="accent1" w:themeShade="BF"/>
      <w:lang w:val="it-IT" w:eastAsia="it-IT"/>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character" w:customStyle="1" w:styleId="apple-converted-space">
    <w:name w:val="apple-converted-space"/>
    <w:basedOn w:val="DefaultParagraphFont"/>
    <w:rsid w:val="00E20D71"/>
  </w:style>
  <w:style w:type="paragraph" w:customStyle="1" w:styleId="Tabletext1">
    <w:name w:val="Table text 1"/>
    <w:basedOn w:val="BodyText"/>
    <w:qFormat/>
    <w:rsid w:val="00E20D71"/>
    <w:pPr>
      <w:spacing w:before="0" w:after="0" w:line="180" w:lineRule="exact"/>
      <w:jc w:val="left"/>
    </w:pPr>
    <w:rPr>
      <w:rFonts w:ascii="Arial Narrow" w:eastAsia="MS PGothic" w:hAnsi="Arial Narrow"/>
      <w:color w:val="000000"/>
      <w:sz w:val="16"/>
      <w:szCs w:val="20"/>
      <w:lang w:val="en-GB" w:eastAsia="en-US"/>
    </w:rPr>
  </w:style>
  <w:style w:type="paragraph" w:customStyle="1" w:styleId="SignatureName">
    <w:name w:val="Signature Name"/>
    <w:basedOn w:val="Normal"/>
    <w:next w:val="BodyText"/>
    <w:rsid w:val="00E20D71"/>
    <w:pPr>
      <w:keepLines/>
      <w:tabs>
        <w:tab w:val="right" w:pos="9214"/>
      </w:tabs>
      <w:spacing w:after="240" w:line="240" w:lineRule="auto"/>
    </w:pPr>
    <w:rPr>
      <w:rFonts w:ascii="Arial" w:eastAsia="Times New Roman" w:hAnsi="Arial" w:cs="Times New Roman"/>
      <w:b/>
      <w:sz w:val="36"/>
      <w:szCs w:val="20"/>
      <w:lang w:val="en-GB" w:eastAsia="en-US"/>
    </w:rPr>
  </w:style>
  <w:style w:type="character" w:customStyle="1" w:styleId="Rimandonotaapidipagina1">
    <w:name w:val="Rimando nota a piè di pagina1"/>
    <w:rsid w:val="00E20D71"/>
    <w:rPr>
      <w:vertAlign w:val="superscript"/>
    </w:rPr>
  </w:style>
  <w:style w:type="paragraph" w:customStyle="1" w:styleId="Didascalia1">
    <w:name w:val="Didascalia1"/>
    <w:basedOn w:val="Normal"/>
    <w:next w:val="Normal"/>
    <w:rsid w:val="00E20D71"/>
    <w:pPr>
      <w:suppressAutoHyphens/>
      <w:spacing w:line="240" w:lineRule="auto"/>
    </w:pPr>
    <w:rPr>
      <w:rFonts w:ascii="Cambria" w:eastAsia="Calibri" w:hAnsi="Cambria" w:cs="Cambria"/>
      <w:b/>
      <w:bCs/>
      <w:sz w:val="20"/>
      <w:szCs w:val="20"/>
      <w:lang w:eastAsia="ar-SA"/>
    </w:rPr>
  </w:style>
  <w:style w:type="character" w:customStyle="1" w:styleId="TestocommentoCarattere1">
    <w:name w:val="Testo commento Carattere1"/>
    <w:uiPriority w:val="99"/>
    <w:semiHidden/>
    <w:rsid w:val="00E20D71"/>
    <w:rPr>
      <w:rFonts w:ascii="Cambria" w:eastAsia="Calibri" w:hAnsi="Cambria" w:cs="Cambria"/>
      <w:lang w:eastAsia="ar-SA"/>
    </w:rPr>
  </w:style>
  <w:style w:type="table" w:styleId="LightList-Accent2">
    <w:name w:val="Light List Accent 2"/>
    <w:basedOn w:val="TableNormal"/>
    <w:uiPriority w:val="61"/>
    <w:rsid w:val="00E20D71"/>
    <w:pPr>
      <w:spacing w:after="0" w:line="240" w:lineRule="auto"/>
    </w:pPr>
    <w:rPr>
      <w:rFonts w:ascii="Times New Roman" w:eastAsia="Times New Roman" w:hAnsi="Times New Roman" w:cs="Times New Roman"/>
      <w:lang w:val="it-IT" w:eastAsia="it-IT"/>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mainbidtable">
    <w:name w:val="main bid table"/>
    <w:basedOn w:val="TableNormal"/>
    <w:uiPriority w:val="99"/>
    <w:rsid w:val="00E20D71"/>
    <w:pPr>
      <w:spacing w:before="60" w:after="0" w:line="240" w:lineRule="auto"/>
    </w:pPr>
    <w:rPr>
      <w:rFonts w:ascii="Arial" w:eastAsia="Times New Roman" w:hAnsi="Arial" w:cs="Times New Roman"/>
      <w:sz w:val="20"/>
      <w:szCs w:val="20"/>
      <w:lang w:val="en-GB" w:eastAsia="en-GB"/>
    </w:rPr>
    <w:tblPr>
      <w:tblStyleRowBandSize w:val="1"/>
      <w:tblStyleColBandSize w:val="1"/>
      <w:tblBorders>
        <w:left w:val="single" w:sz="4" w:space="0" w:color="0055A0"/>
        <w:bottom w:val="single" w:sz="4" w:space="0" w:color="0055A0"/>
        <w:right w:val="single" w:sz="4" w:space="0" w:color="0055A0"/>
        <w:insideV w:val="single" w:sz="4" w:space="0" w:color="0055A0"/>
      </w:tblBorders>
    </w:tblPr>
    <w:tcPr>
      <w:vAlign w:val="center"/>
    </w:tcPr>
    <w:tblStylePr w:type="firstRow">
      <w:rPr>
        <w:color w:val="FFFFFF"/>
      </w:rPr>
      <w:tblPr/>
      <w:tcPr>
        <w:tcBorders>
          <w:top w:val="nil"/>
          <w:left w:val="single" w:sz="4" w:space="0" w:color="0055A0"/>
          <w:bottom w:val="nil"/>
          <w:right w:val="single" w:sz="4" w:space="0" w:color="0055A0"/>
          <w:insideH w:val="nil"/>
          <w:insideV w:val="nil"/>
          <w:tl2br w:val="nil"/>
          <w:tr2bl w:val="nil"/>
        </w:tcBorders>
        <w:shd w:val="clear" w:color="auto" w:fill="006BB7"/>
      </w:tcPr>
    </w:tblStylePr>
    <w:tblStylePr w:type="band1Vert">
      <w:pPr>
        <w:jc w:val="left"/>
      </w:pPr>
      <w:tblPr/>
      <w:tcPr>
        <w:shd w:val="clear" w:color="auto" w:fill="F5F9FC"/>
      </w:tcPr>
    </w:tblStylePr>
    <w:tblStylePr w:type="band1Horz">
      <w:tblPr/>
      <w:tcPr>
        <w:shd w:val="clear" w:color="auto" w:fill="EDF3F7"/>
      </w:tcPr>
    </w:tblStylePr>
    <w:tblStylePr w:type="band2Horz">
      <w:tblPr/>
      <w:tcPr>
        <w:tcBorders>
          <w:insideV w:val="single" w:sz="4" w:space="0" w:color="0055A0"/>
        </w:tcBorders>
        <w:shd w:val="clear" w:color="auto" w:fill="FFFFFF"/>
      </w:tcPr>
    </w:tblStylePr>
  </w:style>
  <w:style w:type="paragraph" w:customStyle="1" w:styleId="NoSpacing2">
    <w:name w:val="No Spacing2"/>
    <w:uiPriority w:val="1"/>
    <w:qFormat/>
    <w:rsid w:val="00E20D71"/>
    <w:rPr>
      <w:rFonts w:ascii="Times New Roman" w:eastAsia="Times New Roman" w:hAnsi="Times New Roman" w:cs="Times New Roman"/>
      <w:sz w:val="24"/>
      <w:szCs w:val="24"/>
      <w:lang w:val="it-IT" w:eastAsia="it-IT"/>
    </w:rPr>
  </w:style>
  <w:style w:type="paragraph" w:customStyle="1" w:styleId="ListNumberLevel2">
    <w:name w:val="List Number (Level 2)"/>
    <w:basedOn w:val="Normal"/>
    <w:rsid w:val="00E20D71"/>
    <w:pPr>
      <w:tabs>
        <w:tab w:val="num" w:pos="1080"/>
        <w:tab w:val="num" w:pos="1440"/>
      </w:tabs>
      <w:spacing w:before="120" w:line="240" w:lineRule="auto"/>
      <w:ind w:left="1080" w:hanging="360"/>
    </w:pPr>
    <w:rPr>
      <w:rFonts w:ascii="Times New Roman" w:eastAsia="Times New Roman" w:hAnsi="Times New Roman" w:cs="Times New Roman"/>
      <w:sz w:val="24"/>
      <w:szCs w:val="24"/>
      <w:lang w:val="en-GB" w:eastAsia="zh-CN"/>
    </w:rPr>
  </w:style>
  <w:style w:type="paragraph" w:styleId="EndnoteText">
    <w:name w:val="endnote text"/>
    <w:basedOn w:val="Normal"/>
    <w:link w:val="EndnoteTextChar"/>
    <w:uiPriority w:val="99"/>
    <w:unhideWhenUsed/>
    <w:rsid w:val="00E20D71"/>
    <w:pPr>
      <w:spacing w:after="0" w:line="240" w:lineRule="auto"/>
    </w:pPr>
    <w:rPr>
      <w:sz w:val="20"/>
      <w:szCs w:val="20"/>
    </w:rPr>
  </w:style>
  <w:style w:type="character" w:customStyle="1" w:styleId="EndnoteTextChar">
    <w:name w:val="Endnote Text Char"/>
    <w:basedOn w:val="DefaultParagraphFont"/>
    <w:link w:val="EndnoteText"/>
    <w:uiPriority w:val="99"/>
    <w:rsid w:val="00E20D71"/>
    <w:rPr>
      <w:rFonts w:eastAsiaTheme="minorEastAsia"/>
      <w:sz w:val="20"/>
      <w:szCs w:val="20"/>
      <w:lang w:val="sq-AL" w:eastAsia="it-IT"/>
    </w:rPr>
  </w:style>
  <w:style w:type="character" w:styleId="EndnoteReference">
    <w:name w:val="endnote reference"/>
    <w:basedOn w:val="DefaultParagraphFont"/>
    <w:uiPriority w:val="99"/>
    <w:unhideWhenUsed/>
    <w:qFormat/>
    <w:rsid w:val="00E20D71"/>
    <w:rPr>
      <w:vertAlign w:val="superscript"/>
    </w:rPr>
  </w:style>
  <w:style w:type="paragraph" w:styleId="HTMLPreformatted">
    <w:name w:val="HTML Preformatted"/>
    <w:basedOn w:val="Normal"/>
    <w:link w:val="HTMLPreformattedChar"/>
    <w:uiPriority w:val="99"/>
    <w:unhideWhenUsed/>
    <w:rsid w:val="00E20D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000000"/>
      <w:sz w:val="20"/>
      <w:szCs w:val="20"/>
    </w:rPr>
  </w:style>
  <w:style w:type="character" w:customStyle="1" w:styleId="HTMLPreformattedChar">
    <w:name w:val="HTML Preformatted Char"/>
    <w:basedOn w:val="DefaultParagraphFont"/>
    <w:link w:val="HTMLPreformatted"/>
    <w:uiPriority w:val="99"/>
    <w:rsid w:val="00E20D71"/>
    <w:rPr>
      <w:rFonts w:ascii="Courier New" w:eastAsia="Times New Roman" w:hAnsi="Courier New" w:cs="Courier New"/>
      <w:color w:val="000000"/>
      <w:sz w:val="20"/>
      <w:szCs w:val="20"/>
      <w:lang w:val="sq-AL" w:eastAsia="it-IT"/>
    </w:rPr>
  </w:style>
  <w:style w:type="paragraph" w:styleId="Revision">
    <w:name w:val="Revision"/>
    <w:hidden/>
    <w:uiPriority w:val="99"/>
    <w:semiHidden/>
    <w:rsid w:val="00E20D71"/>
    <w:pPr>
      <w:spacing w:after="0" w:line="240" w:lineRule="auto"/>
    </w:pPr>
    <w:rPr>
      <w:rFonts w:eastAsiaTheme="minorEastAsia"/>
      <w:lang w:val="it-IT" w:eastAsia="it-IT"/>
    </w:rPr>
  </w:style>
  <w:style w:type="table" w:customStyle="1" w:styleId="GridTable2-Accent11">
    <w:name w:val="Grid Table 2 - Accent 11"/>
    <w:basedOn w:val="TableNormal"/>
    <w:uiPriority w:val="47"/>
    <w:rsid w:val="00E20D71"/>
    <w:pPr>
      <w:spacing w:after="0" w:line="240" w:lineRule="auto"/>
    </w:pPr>
    <w:rPr>
      <w:rFonts w:eastAsiaTheme="minorEastAsia"/>
      <w:lang w:val="it-IT" w:eastAsia="it-IT"/>
    </w:rPr>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ghtShading-Accent5">
    <w:name w:val="Light Shading Accent 5"/>
    <w:basedOn w:val="TableNormal"/>
    <w:uiPriority w:val="60"/>
    <w:rsid w:val="00E20D71"/>
    <w:pPr>
      <w:spacing w:after="0" w:line="240" w:lineRule="auto"/>
    </w:pPr>
    <w:rPr>
      <w:rFonts w:eastAsiaTheme="minorEastAsia"/>
      <w:color w:val="31849B" w:themeColor="accent5" w:themeShade="BF"/>
      <w:lang w:val="it-IT" w:eastAsia="it-IT"/>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character" w:customStyle="1" w:styleId="FootnoteTextChar2">
    <w:name w:val="Footnote Text Char2"/>
    <w:aliases w:val="Geneva 9 Char2,Font: Geneva 9 Char2,Boston 10 Char2,f Char2,single space Char3,fn Char3,FOOTNOTES Char3,Fußnotentext Char Char3,ADB Char3,Footnote text Char3,ft Char3,Footnote Text Char1 Char3,Footnote Text Char2 Char Char3"/>
    <w:basedOn w:val="DefaultParagraphFont"/>
    <w:locked/>
    <w:rsid w:val="00E20D71"/>
    <w:rPr>
      <w:rFonts w:ascii="Times New Roman" w:eastAsia="Times New Roman" w:hAnsi="Times New Roman" w:cs="Times New Roman"/>
      <w:sz w:val="20"/>
      <w:szCs w:val="20"/>
      <w:lang w:val="en-GB" w:eastAsia="en-GB"/>
    </w:rPr>
  </w:style>
  <w:style w:type="character" w:customStyle="1" w:styleId="ECABodyTextChar">
    <w:name w:val="ECA Body Text Char"/>
    <w:basedOn w:val="DefaultParagraphFont"/>
    <w:link w:val="ECABodyText"/>
    <w:uiPriority w:val="99"/>
    <w:locked/>
    <w:rsid w:val="00E20D71"/>
    <w:rPr>
      <w:rFonts w:ascii="Book Antiqua" w:hAnsi="Book Antiqua"/>
    </w:rPr>
  </w:style>
  <w:style w:type="paragraph" w:customStyle="1" w:styleId="ECABodyText">
    <w:name w:val="ECA Body Text"/>
    <w:link w:val="ECABodyTextChar"/>
    <w:uiPriority w:val="99"/>
    <w:qFormat/>
    <w:rsid w:val="00E20D71"/>
    <w:pPr>
      <w:spacing w:after="240" w:line="240" w:lineRule="auto"/>
    </w:pPr>
    <w:rPr>
      <w:rFonts w:ascii="Book Antiqua" w:hAnsi="Book Antiqua"/>
    </w:rPr>
  </w:style>
  <w:style w:type="paragraph" w:customStyle="1" w:styleId="ECACaption">
    <w:name w:val="ECA Caption"/>
    <w:basedOn w:val="ECABodyText"/>
    <w:next w:val="ECABodyText"/>
    <w:qFormat/>
    <w:rsid w:val="00E20D71"/>
    <w:pPr>
      <w:keepNext/>
      <w:keepLines/>
      <w:pBdr>
        <w:top w:val="single" w:sz="4" w:space="1" w:color="auto" w:shadow="1"/>
        <w:left w:val="single" w:sz="4" w:space="4" w:color="auto" w:shadow="1"/>
        <w:bottom w:val="single" w:sz="4" w:space="1" w:color="auto" w:shadow="1"/>
        <w:right w:val="single" w:sz="4" w:space="4" w:color="auto" w:shadow="1"/>
      </w:pBdr>
      <w:shd w:val="clear" w:color="auto" w:fill="9BBB59" w:themeFill="accent3"/>
      <w:spacing w:before="120" w:after="120"/>
      <w:jc w:val="center"/>
    </w:pPr>
    <w:rPr>
      <w:rFonts w:eastAsia="Times New Roman" w:cs="Times New Roman"/>
      <w:b/>
      <w:szCs w:val="20"/>
      <w:lang w:val="en-GB"/>
    </w:rPr>
  </w:style>
  <w:style w:type="paragraph" w:customStyle="1" w:styleId="BodyText1">
    <w:name w:val="Body Text1"/>
    <w:rsid w:val="00E20D71"/>
    <w:pPr>
      <w:spacing w:after="120" w:line="360" w:lineRule="auto"/>
    </w:pPr>
    <w:rPr>
      <w:rFonts w:ascii="Times New Roman" w:eastAsia="Times New Roman" w:hAnsi="Times New Roman" w:cs="Times New Roman"/>
      <w:szCs w:val="20"/>
      <w:lang w:val="en-GB"/>
    </w:rPr>
  </w:style>
  <w:style w:type="table" w:customStyle="1" w:styleId="GridTable1Light1">
    <w:name w:val="Grid Table 1 Light1"/>
    <w:basedOn w:val="TableNormal"/>
    <w:uiPriority w:val="46"/>
    <w:rsid w:val="00E20D71"/>
    <w:pPr>
      <w:spacing w:after="0" w:line="240" w:lineRule="auto"/>
    </w:pPr>
    <w:rPr>
      <w:rFonts w:eastAsia="MS Mincho"/>
      <w:lang w:val="it-IT"/>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ECABulletsSub-Sub">
    <w:name w:val="ECA Bullets Sub-Sub"/>
    <w:basedOn w:val="ECABodyText"/>
    <w:autoRedefine/>
    <w:uiPriority w:val="99"/>
    <w:qFormat/>
    <w:rsid w:val="00E20D71"/>
    <w:pPr>
      <w:numPr>
        <w:ilvl w:val="2"/>
        <w:numId w:val="4"/>
      </w:numPr>
      <w:tabs>
        <w:tab w:val="clear" w:pos="2268"/>
        <w:tab w:val="num" w:pos="360"/>
      </w:tabs>
      <w:ind w:left="0" w:firstLine="0"/>
    </w:pPr>
    <w:rPr>
      <w:lang w:val="en-IE"/>
    </w:rPr>
  </w:style>
  <w:style w:type="paragraph" w:customStyle="1" w:styleId="ECABulletsSub">
    <w:name w:val="ECA Bullets Sub"/>
    <w:basedOn w:val="ECABodyText"/>
    <w:uiPriority w:val="99"/>
    <w:qFormat/>
    <w:rsid w:val="00E20D71"/>
    <w:pPr>
      <w:numPr>
        <w:ilvl w:val="1"/>
        <w:numId w:val="4"/>
      </w:numPr>
      <w:tabs>
        <w:tab w:val="clear" w:pos="1701"/>
        <w:tab w:val="num" w:pos="360"/>
      </w:tabs>
      <w:spacing w:before="240"/>
      <w:ind w:left="0" w:firstLine="0"/>
    </w:pPr>
    <w:rPr>
      <w:lang w:val="en-IE"/>
    </w:rPr>
  </w:style>
  <w:style w:type="paragraph" w:customStyle="1" w:styleId="ECABullets">
    <w:name w:val="ECA Bullets"/>
    <w:basedOn w:val="ECABodyText"/>
    <w:uiPriority w:val="99"/>
    <w:qFormat/>
    <w:rsid w:val="00E20D71"/>
    <w:pPr>
      <w:numPr>
        <w:numId w:val="4"/>
      </w:numPr>
      <w:tabs>
        <w:tab w:val="clear" w:pos="1134"/>
        <w:tab w:val="num" w:pos="360"/>
      </w:tabs>
      <w:spacing w:before="240"/>
      <w:ind w:left="0" w:firstLine="0"/>
    </w:pPr>
    <w:rPr>
      <w:lang w:val="en-IE"/>
    </w:rPr>
  </w:style>
  <w:style w:type="paragraph" w:customStyle="1" w:styleId="ECAHeading2">
    <w:name w:val="ECA Heading 2"/>
    <w:basedOn w:val="Heading2"/>
    <w:next w:val="ECABodyText"/>
    <w:qFormat/>
    <w:rsid w:val="00E20D71"/>
    <w:pPr>
      <w:tabs>
        <w:tab w:val="num" w:pos="680"/>
        <w:tab w:val="left" w:pos="1134"/>
      </w:tabs>
      <w:spacing w:before="480" w:after="480"/>
      <w:ind w:left="680" w:hanging="680"/>
      <w:jc w:val="left"/>
    </w:pPr>
    <w:rPr>
      <w:rFonts w:ascii="Futura Md BT" w:hAnsi="Futura Md BT"/>
      <w:color w:val="auto"/>
      <w:spacing w:val="10"/>
      <w:sz w:val="28"/>
      <w:szCs w:val="20"/>
      <w:lang w:val="en-GB" w:eastAsia="en-US"/>
    </w:rPr>
  </w:style>
  <w:style w:type="character" w:customStyle="1" w:styleId="ECAHeading4Char">
    <w:name w:val="ECA Heading 4 Char"/>
    <w:basedOn w:val="DefaultParagraphFont"/>
    <w:link w:val="ECAHeading4"/>
    <w:semiHidden/>
    <w:locked/>
    <w:rsid w:val="00E20D71"/>
    <w:rPr>
      <w:rFonts w:ascii="Futura Md BT" w:hAnsi="Futura Md BT"/>
      <w:b/>
      <w:color w:val="000000"/>
      <w:spacing w:val="10"/>
    </w:rPr>
  </w:style>
  <w:style w:type="paragraph" w:customStyle="1" w:styleId="ECAHeading4">
    <w:name w:val="ECA Heading 4"/>
    <w:basedOn w:val="Heading4"/>
    <w:next w:val="ECABodyText"/>
    <w:link w:val="ECAHeading4Char"/>
    <w:semiHidden/>
    <w:qFormat/>
    <w:rsid w:val="00E20D71"/>
    <w:pPr>
      <w:keepLines w:val="0"/>
      <w:tabs>
        <w:tab w:val="left" w:pos="1701"/>
      </w:tabs>
      <w:spacing w:before="360" w:after="360" w:line="240" w:lineRule="auto"/>
      <w:jc w:val="left"/>
    </w:pPr>
    <w:rPr>
      <w:rFonts w:ascii="Futura Md BT" w:eastAsiaTheme="minorHAnsi" w:hAnsi="Futura Md BT" w:cstheme="minorBidi"/>
      <w:b/>
      <w:i w:val="0"/>
      <w:iCs w:val="0"/>
      <w:color w:val="000000"/>
      <w:spacing w:val="10"/>
      <w:lang w:val="en-US"/>
    </w:rPr>
  </w:style>
  <w:style w:type="table" w:customStyle="1" w:styleId="GridTable6Colorful-Accent11">
    <w:name w:val="Grid Table 6 Colorful - Accent 11"/>
    <w:basedOn w:val="TableNormal"/>
    <w:uiPriority w:val="51"/>
    <w:rsid w:val="00E20D71"/>
    <w:pPr>
      <w:spacing w:after="0" w:line="240" w:lineRule="auto"/>
    </w:pPr>
    <w:rPr>
      <w:rFonts w:eastAsiaTheme="minorEastAsia"/>
      <w:lang w:val="it-IT" w:eastAsia="it-IT"/>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TableGridLight1">
    <w:name w:val="Table Grid Light1"/>
    <w:basedOn w:val="TableNormal"/>
    <w:uiPriority w:val="40"/>
    <w:rsid w:val="00E20D71"/>
    <w:pPr>
      <w:spacing w:after="0" w:line="240" w:lineRule="auto"/>
    </w:pPr>
    <w:rPr>
      <w:rFonts w:eastAsiaTheme="minorEastAsia"/>
      <w:lang w:val="it-IT" w:eastAsia="it-IT"/>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font5">
    <w:name w:val="font5"/>
    <w:basedOn w:val="Normal"/>
    <w:rsid w:val="00E20D71"/>
    <w:pPr>
      <w:spacing w:before="100" w:beforeAutospacing="1" w:after="100" w:afterAutospacing="1" w:line="240" w:lineRule="auto"/>
      <w:jc w:val="left"/>
    </w:pPr>
    <w:rPr>
      <w:rFonts w:ascii="Tahoma" w:eastAsia="Times New Roman" w:hAnsi="Tahoma" w:cs="Tahoma"/>
      <w:color w:val="000000"/>
      <w:sz w:val="16"/>
      <w:szCs w:val="16"/>
      <w:lang w:val="it-IT"/>
    </w:rPr>
  </w:style>
  <w:style w:type="paragraph" w:customStyle="1" w:styleId="font6">
    <w:name w:val="font6"/>
    <w:basedOn w:val="Normal"/>
    <w:rsid w:val="00E20D71"/>
    <w:pPr>
      <w:spacing w:before="100" w:beforeAutospacing="1" w:after="100" w:afterAutospacing="1" w:line="240" w:lineRule="auto"/>
      <w:jc w:val="left"/>
    </w:pPr>
    <w:rPr>
      <w:rFonts w:ascii="Tahoma" w:eastAsia="Times New Roman" w:hAnsi="Tahoma" w:cs="Tahoma"/>
      <w:b/>
      <w:bCs/>
      <w:color w:val="000000"/>
      <w:sz w:val="16"/>
      <w:szCs w:val="16"/>
      <w:lang w:val="it-IT"/>
    </w:rPr>
  </w:style>
  <w:style w:type="paragraph" w:customStyle="1" w:styleId="font7">
    <w:name w:val="font7"/>
    <w:basedOn w:val="Normal"/>
    <w:rsid w:val="00E20D71"/>
    <w:pPr>
      <w:spacing w:before="100" w:beforeAutospacing="1" w:after="100" w:afterAutospacing="1" w:line="240" w:lineRule="auto"/>
      <w:jc w:val="left"/>
    </w:pPr>
    <w:rPr>
      <w:rFonts w:ascii="Calibri" w:eastAsia="Times New Roman" w:hAnsi="Calibri" w:cs="Times New Roman"/>
      <w:sz w:val="18"/>
      <w:szCs w:val="18"/>
      <w:lang w:val="it-IT"/>
    </w:rPr>
  </w:style>
  <w:style w:type="paragraph" w:customStyle="1" w:styleId="font8">
    <w:name w:val="font8"/>
    <w:basedOn w:val="Normal"/>
    <w:rsid w:val="00E20D71"/>
    <w:pPr>
      <w:spacing w:before="100" w:beforeAutospacing="1" w:after="100" w:afterAutospacing="1" w:line="240" w:lineRule="auto"/>
      <w:jc w:val="left"/>
    </w:pPr>
    <w:rPr>
      <w:rFonts w:ascii="Tahoma" w:eastAsia="Times New Roman" w:hAnsi="Tahoma" w:cs="Tahoma"/>
      <w:color w:val="000000"/>
      <w:sz w:val="18"/>
      <w:szCs w:val="18"/>
      <w:lang w:val="it-IT"/>
    </w:rPr>
  </w:style>
  <w:style w:type="paragraph" w:customStyle="1" w:styleId="font9">
    <w:name w:val="font9"/>
    <w:basedOn w:val="Normal"/>
    <w:rsid w:val="00E20D71"/>
    <w:pPr>
      <w:spacing w:before="100" w:beforeAutospacing="1" w:after="100" w:afterAutospacing="1" w:line="240" w:lineRule="auto"/>
      <w:jc w:val="left"/>
    </w:pPr>
    <w:rPr>
      <w:rFonts w:ascii="Tahoma" w:eastAsia="Times New Roman" w:hAnsi="Tahoma" w:cs="Tahoma"/>
      <w:b/>
      <w:bCs/>
      <w:color w:val="000000"/>
      <w:sz w:val="18"/>
      <w:szCs w:val="18"/>
      <w:lang w:val="it-IT"/>
    </w:rPr>
  </w:style>
  <w:style w:type="paragraph" w:customStyle="1" w:styleId="font10">
    <w:name w:val="font10"/>
    <w:basedOn w:val="Normal"/>
    <w:rsid w:val="00E20D71"/>
    <w:pPr>
      <w:spacing w:before="100" w:beforeAutospacing="1" w:after="100" w:afterAutospacing="1" w:line="240" w:lineRule="auto"/>
      <w:jc w:val="left"/>
    </w:pPr>
    <w:rPr>
      <w:rFonts w:ascii="Calibri" w:eastAsia="Times New Roman" w:hAnsi="Calibri" w:cs="Times New Roman"/>
      <w:sz w:val="18"/>
      <w:szCs w:val="18"/>
      <w:lang w:val="it-IT"/>
    </w:rPr>
  </w:style>
  <w:style w:type="paragraph" w:customStyle="1" w:styleId="xl83">
    <w:name w:val="xl83"/>
    <w:basedOn w:val="Normal"/>
    <w:rsid w:val="00E20D71"/>
    <w:pPr>
      <w:pBdr>
        <w:top w:val="single" w:sz="8" w:space="0" w:color="B8CCE4"/>
        <w:left w:val="single" w:sz="8" w:space="0" w:color="B8CCE4"/>
        <w:bottom w:val="single" w:sz="12" w:space="0" w:color="95B3D7"/>
        <w:right w:val="single" w:sz="8" w:space="0" w:color="B8CCE4"/>
      </w:pBdr>
      <w:shd w:val="clear" w:color="000000" w:fill="FFFFFF"/>
      <w:spacing w:before="100" w:beforeAutospacing="1" w:after="100" w:afterAutospacing="1" w:line="240" w:lineRule="auto"/>
      <w:jc w:val="left"/>
      <w:textAlignment w:val="top"/>
    </w:pPr>
    <w:rPr>
      <w:rFonts w:ascii="Times New Roman" w:eastAsia="Times New Roman" w:hAnsi="Times New Roman" w:cs="Times New Roman"/>
      <w:b/>
      <w:bCs/>
      <w:sz w:val="18"/>
      <w:szCs w:val="18"/>
      <w:lang w:val="it-IT"/>
    </w:rPr>
  </w:style>
  <w:style w:type="paragraph" w:customStyle="1" w:styleId="xl84">
    <w:name w:val="xl84"/>
    <w:basedOn w:val="Normal"/>
    <w:rsid w:val="00E20D71"/>
    <w:pPr>
      <w:pBdr>
        <w:top w:val="single" w:sz="8" w:space="0" w:color="B8CCE4"/>
        <w:bottom w:val="single" w:sz="12" w:space="0" w:color="95B3D7"/>
        <w:right w:val="single" w:sz="8" w:space="0" w:color="B8CCE4"/>
      </w:pBdr>
      <w:shd w:val="clear" w:color="000000" w:fill="FFFFFF"/>
      <w:spacing w:before="100" w:beforeAutospacing="1" w:after="100" w:afterAutospacing="1" w:line="240" w:lineRule="auto"/>
      <w:jc w:val="left"/>
      <w:textAlignment w:val="top"/>
    </w:pPr>
    <w:rPr>
      <w:rFonts w:ascii="Times New Roman" w:eastAsia="Times New Roman" w:hAnsi="Times New Roman" w:cs="Times New Roman"/>
      <w:b/>
      <w:bCs/>
      <w:sz w:val="18"/>
      <w:szCs w:val="18"/>
      <w:lang w:val="it-IT"/>
    </w:rPr>
  </w:style>
  <w:style w:type="paragraph" w:customStyle="1" w:styleId="xl85">
    <w:name w:val="xl85"/>
    <w:basedOn w:val="Normal"/>
    <w:rsid w:val="00E20D71"/>
    <w:pPr>
      <w:pBdr>
        <w:top w:val="single" w:sz="8" w:space="0" w:color="B8CCE4"/>
        <w:bottom w:val="single" w:sz="12" w:space="0" w:color="95B3D7"/>
        <w:right w:val="single" w:sz="8" w:space="0" w:color="B8CCE4"/>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b/>
      <w:bCs/>
      <w:sz w:val="18"/>
      <w:szCs w:val="18"/>
      <w:lang w:val="it-IT"/>
    </w:rPr>
  </w:style>
  <w:style w:type="paragraph" w:customStyle="1" w:styleId="xl86">
    <w:name w:val="xl86"/>
    <w:basedOn w:val="Normal"/>
    <w:rsid w:val="00E20D71"/>
    <w:pPr>
      <w:shd w:val="clear" w:color="000000" w:fill="FFFFFF"/>
      <w:spacing w:before="100" w:beforeAutospacing="1" w:after="100" w:afterAutospacing="1" w:line="240" w:lineRule="auto"/>
      <w:jc w:val="left"/>
    </w:pPr>
    <w:rPr>
      <w:rFonts w:ascii="Times New Roman" w:eastAsia="Times New Roman" w:hAnsi="Times New Roman" w:cs="Times New Roman"/>
      <w:sz w:val="24"/>
      <w:szCs w:val="24"/>
      <w:lang w:val="it-IT"/>
    </w:rPr>
  </w:style>
  <w:style w:type="paragraph" w:customStyle="1" w:styleId="xl87">
    <w:name w:val="xl87"/>
    <w:basedOn w:val="Normal"/>
    <w:rsid w:val="00E20D71"/>
    <w:pPr>
      <w:pBdr>
        <w:left w:val="single" w:sz="8" w:space="0" w:color="B8CCE4"/>
        <w:bottom w:val="single" w:sz="8" w:space="0" w:color="B8CCE4"/>
        <w:right w:val="single" w:sz="8" w:space="0" w:color="B8CCE4"/>
      </w:pBdr>
      <w:shd w:val="clear" w:color="000000" w:fill="FFFFFF"/>
      <w:spacing w:before="100" w:beforeAutospacing="1" w:after="100" w:afterAutospacing="1" w:line="240" w:lineRule="auto"/>
      <w:jc w:val="left"/>
    </w:pPr>
    <w:rPr>
      <w:rFonts w:ascii="Times New Roman" w:eastAsia="Times New Roman" w:hAnsi="Times New Roman" w:cs="Times New Roman"/>
      <w:b/>
      <w:bCs/>
      <w:sz w:val="18"/>
      <w:szCs w:val="18"/>
      <w:lang w:val="it-IT"/>
    </w:rPr>
  </w:style>
  <w:style w:type="paragraph" w:customStyle="1" w:styleId="xl88">
    <w:name w:val="xl88"/>
    <w:basedOn w:val="Normal"/>
    <w:rsid w:val="00E20D71"/>
    <w:pPr>
      <w:pBdr>
        <w:bottom w:val="single" w:sz="8" w:space="0" w:color="B8CCE4"/>
        <w:right w:val="single" w:sz="8" w:space="0" w:color="B8CCE4"/>
      </w:pBdr>
      <w:shd w:val="clear" w:color="000000" w:fill="FFFFFF"/>
      <w:spacing w:before="100" w:beforeAutospacing="1" w:after="100" w:afterAutospacing="1" w:line="240" w:lineRule="auto"/>
      <w:jc w:val="left"/>
    </w:pPr>
    <w:rPr>
      <w:rFonts w:ascii="Times New Roman" w:eastAsia="Times New Roman" w:hAnsi="Times New Roman" w:cs="Times New Roman"/>
      <w:sz w:val="18"/>
      <w:szCs w:val="18"/>
      <w:lang w:val="it-IT"/>
    </w:rPr>
  </w:style>
  <w:style w:type="paragraph" w:customStyle="1" w:styleId="xl89">
    <w:name w:val="xl89"/>
    <w:basedOn w:val="Normal"/>
    <w:rsid w:val="00E20D71"/>
    <w:pPr>
      <w:pBdr>
        <w:bottom w:val="single" w:sz="8" w:space="0" w:color="B8CCE4"/>
        <w:right w:val="single" w:sz="8" w:space="0" w:color="B8CCE4"/>
      </w:pBdr>
      <w:shd w:val="clear" w:color="000000" w:fill="FFFFFF"/>
      <w:spacing w:before="100" w:beforeAutospacing="1" w:after="100" w:afterAutospacing="1" w:line="240" w:lineRule="auto"/>
      <w:jc w:val="right"/>
    </w:pPr>
    <w:rPr>
      <w:rFonts w:ascii="Times New Roman" w:eastAsia="Times New Roman" w:hAnsi="Times New Roman" w:cs="Times New Roman"/>
      <w:sz w:val="18"/>
      <w:szCs w:val="18"/>
      <w:lang w:val="it-IT"/>
    </w:rPr>
  </w:style>
  <w:style w:type="paragraph" w:customStyle="1" w:styleId="xl90">
    <w:name w:val="xl90"/>
    <w:basedOn w:val="Normal"/>
    <w:rsid w:val="00E20D71"/>
    <w:pPr>
      <w:pBdr>
        <w:bottom w:val="single" w:sz="8" w:space="0" w:color="B8CCE4"/>
        <w:right w:val="single" w:sz="8" w:space="0" w:color="B8CCE4"/>
      </w:pBdr>
      <w:shd w:val="clear" w:color="000000" w:fill="FFFFFF"/>
      <w:spacing w:before="100" w:beforeAutospacing="1" w:after="100" w:afterAutospacing="1" w:line="240" w:lineRule="auto"/>
      <w:jc w:val="left"/>
    </w:pPr>
    <w:rPr>
      <w:rFonts w:ascii="Times New Roman" w:eastAsia="Times New Roman" w:hAnsi="Times New Roman" w:cs="Times New Roman"/>
      <w:sz w:val="18"/>
      <w:szCs w:val="18"/>
      <w:lang w:val="it-IT"/>
    </w:rPr>
  </w:style>
  <w:style w:type="paragraph" w:customStyle="1" w:styleId="xl91">
    <w:name w:val="xl91"/>
    <w:basedOn w:val="Normal"/>
    <w:rsid w:val="00E20D71"/>
    <w:pPr>
      <w:pBdr>
        <w:bottom w:val="single" w:sz="8" w:space="0" w:color="B8CCE4"/>
        <w:right w:val="single" w:sz="8" w:space="0" w:color="B8CCE4"/>
      </w:pBdr>
      <w:shd w:val="clear" w:color="000000" w:fill="FFFFFF"/>
      <w:spacing w:before="100" w:beforeAutospacing="1" w:after="100" w:afterAutospacing="1" w:line="240" w:lineRule="auto"/>
      <w:jc w:val="left"/>
    </w:pPr>
    <w:rPr>
      <w:rFonts w:ascii="Times New Roman" w:eastAsia="Times New Roman" w:hAnsi="Times New Roman" w:cs="Times New Roman"/>
      <w:sz w:val="18"/>
      <w:szCs w:val="18"/>
      <w:lang w:val="it-IT"/>
    </w:rPr>
  </w:style>
  <w:style w:type="paragraph" w:customStyle="1" w:styleId="xl92">
    <w:name w:val="xl92"/>
    <w:basedOn w:val="Normal"/>
    <w:rsid w:val="00E20D71"/>
    <w:pPr>
      <w:pBdr>
        <w:bottom w:val="single" w:sz="8" w:space="0" w:color="B8CCE4"/>
        <w:right w:val="single" w:sz="8" w:space="0" w:color="B8CCE4"/>
      </w:pBdr>
      <w:shd w:val="clear" w:color="000000" w:fill="FFFFFF"/>
      <w:spacing w:before="100" w:beforeAutospacing="1" w:after="100" w:afterAutospacing="1" w:line="240" w:lineRule="auto"/>
      <w:jc w:val="right"/>
    </w:pPr>
    <w:rPr>
      <w:rFonts w:ascii="Times New Roman" w:eastAsia="Times New Roman" w:hAnsi="Times New Roman" w:cs="Times New Roman"/>
      <w:sz w:val="18"/>
      <w:szCs w:val="18"/>
      <w:lang w:val="it-IT"/>
    </w:rPr>
  </w:style>
  <w:style w:type="paragraph" w:customStyle="1" w:styleId="xl93">
    <w:name w:val="xl93"/>
    <w:basedOn w:val="Normal"/>
    <w:rsid w:val="00E20D71"/>
    <w:pPr>
      <w:pBdr>
        <w:bottom w:val="single" w:sz="8" w:space="0" w:color="B8CCE4"/>
        <w:right w:val="single" w:sz="8" w:space="0" w:color="B8CCE4"/>
      </w:pBdr>
      <w:shd w:val="clear" w:color="000000" w:fill="FFFFFF"/>
      <w:spacing w:before="100" w:beforeAutospacing="1" w:after="100" w:afterAutospacing="1" w:line="240" w:lineRule="auto"/>
      <w:jc w:val="left"/>
    </w:pPr>
    <w:rPr>
      <w:rFonts w:ascii="Times New Roman" w:eastAsia="Times New Roman" w:hAnsi="Times New Roman" w:cs="Times New Roman"/>
      <w:sz w:val="18"/>
      <w:szCs w:val="18"/>
      <w:lang w:val="it-IT"/>
    </w:rPr>
  </w:style>
  <w:style w:type="paragraph" w:customStyle="1" w:styleId="xl94">
    <w:name w:val="xl94"/>
    <w:basedOn w:val="Normal"/>
    <w:rsid w:val="00E20D71"/>
    <w:pPr>
      <w:pBdr>
        <w:top w:val="single" w:sz="8" w:space="0" w:color="B8CCE4"/>
        <w:left w:val="single" w:sz="8" w:space="0" w:color="B8CCE4"/>
        <w:bottom w:val="single" w:sz="12" w:space="0" w:color="95B3D7"/>
        <w:right w:val="single" w:sz="8" w:space="0" w:color="B8CCE4"/>
      </w:pBdr>
      <w:shd w:val="clear" w:color="000000" w:fill="FFFFFF"/>
      <w:spacing w:before="100" w:beforeAutospacing="1" w:after="100" w:afterAutospacing="1" w:line="240" w:lineRule="auto"/>
      <w:jc w:val="left"/>
      <w:textAlignment w:val="center"/>
    </w:pPr>
    <w:rPr>
      <w:rFonts w:ascii="Times New Roman" w:eastAsia="Times New Roman" w:hAnsi="Times New Roman" w:cs="Times New Roman"/>
      <w:sz w:val="18"/>
      <w:szCs w:val="18"/>
      <w:lang w:val="it-IT"/>
    </w:rPr>
  </w:style>
  <w:style w:type="paragraph" w:customStyle="1" w:styleId="xl95">
    <w:name w:val="xl95"/>
    <w:basedOn w:val="Normal"/>
    <w:rsid w:val="00E20D71"/>
    <w:pPr>
      <w:pBdr>
        <w:top w:val="single" w:sz="8" w:space="0" w:color="B8CCE4"/>
        <w:bottom w:val="single" w:sz="12" w:space="0" w:color="95B3D7"/>
        <w:right w:val="single" w:sz="8" w:space="0" w:color="B8CCE4"/>
      </w:pBdr>
      <w:shd w:val="clear" w:color="000000" w:fill="FFFFFF"/>
      <w:spacing w:before="100" w:beforeAutospacing="1" w:after="100" w:afterAutospacing="1" w:line="240" w:lineRule="auto"/>
      <w:jc w:val="left"/>
      <w:textAlignment w:val="center"/>
    </w:pPr>
    <w:rPr>
      <w:rFonts w:ascii="Times New Roman" w:eastAsia="Times New Roman" w:hAnsi="Times New Roman" w:cs="Times New Roman"/>
      <w:sz w:val="18"/>
      <w:szCs w:val="18"/>
      <w:lang w:val="it-IT"/>
    </w:rPr>
  </w:style>
  <w:style w:type="paragraph" w:customStyle="1" w:styleId="xl96">
    <w:name w:val="xl96"/>
    <w:basedOn w:val="Normal"/>
    <w:rsid w:val="00E20D71"/>
    <w:pPr>
      <w:pBdr>
        <w:bottom w:val="single" w:sz="8" w:space="0" w:color="B8CCE4"/>
        <w:right w:val="single" w:sz="8" w:space="0" w:color="B8CCE4"/>
      </w:pBdr>
      <w:shd w:val="clear" w:color="000000" w:fill="FFFFFF"/>
      <w:spacing w:before="100" w:beforeAutospacing="1" w:after="100" w:afterAutospacing="1" w:line="240" w:lineRule="auto"/>
      <w:jc w:val="right"/>
    </w:pPr>
    <w:rPr>
      <w:rFonts w:ascii="Times New Roman" w:eastAsia="Times New Roman" w:hAnsi="Times New Roman" w:cs="Times New Roman"/>
      <w:sz w:val="18"/>
      <w:szCs w:val="18"/>
      <w:lang w:val="it-IT"/>
    </w:rPr>
  </w:style>
  <w:style w:type="paragraph" w:customStyle="1" w:styleId="xl97">
    <w:name w:val="xl97"/>
    <w:basedOn w:val="Normal"/>
    <w:rsid w:val="00E20D71"/>
    <w:pPr>
      <w:shd w:val="clear" w:color="000000" w:fill="FFFFFF"/>
      <w:spacing w:before="100" w:beforeAutospacing="1" w:after="100" w:afterAutospacing="1" w:line="240" w:lineRule="auto"/>
      <w:jc w:val="left"/>
    </w:pPr>
    <w:rPr>
      <w:rFonts w:ascii="Times New Roman" w:eastAsia="Times New Roman" w:hAnsi="Times New Roman" w:cs="Times New Roman"/>
      <w:sz w:val="18"/>
      <w:szCs w:val="18"/>
      <w:lang w:val="it-IT"/>
    </w:rPr>
  </w:style>
  <w:style w:type="paragraph" w:customStyle="1" w:styleId="xl98">
    <w:name w:val="xl98"/>
    <w:basedOn w:val="Normal"/>
    <w:rsid w:val="00E20D71"/>
    <w:pPr>
      <w:shd w:val="clear" w:color="000000" w:fill="FFFFFF"/>
      <w:spacing w:before="100" w:beforeAutospacing="1" w:after="100" w:afterAutospacing="1" w:line="240" w:lineRule="auto"/>
      <w:jc w:val="left"/>
    </w:pPr>
    <w:rPr>
      <w:rFonts w:ascii="Times New Roman" w:eastAsia="Times New Roman" w:hAnsi="Times New Roman" w:cs="Times New Roman"/>
      <w:sz w:val="18"/>
      <w:szCs w:val="18"/>
      <w:lang w:val="it-IT"/>
    </w:rPr>
  </w:style>
  <w:style w:type="paragraph" w:customStyle="1" w:styleId="xl99">
    <w:name w:val="xl99"/>
    <w:basedOn w:val="Normal"/>
    <w:rsid w:val="00E20D71"/>
    <w:pPr>
      <w:pBdr>
        <w:bottom w:val="single" w:sz="8" w:space="0" w:color="B8CCE4"/>
        <w:right w:val="single" w:sz="8" w:space="0" w:color="B8CCE4"/>
      </w:pBdr>
      <w:shd w:val="clear" w:color="000000" w:fill="FFFFFF"/>
      <w:spacing w:before="100" w:beforeAutospacing="1" w:after="100" w:afterAutospacing="1" w:line="240" w:lineRule="auto"/>
      <w:jc w:val="left"/>
      <w:textAlignment w:val="center"/>
    </w:pPr>
    <w:rPr>
      <w:rFonts w:ascii="Times New Roman" w:eastAsia="Times New Roman" w:hAnsi="Times New Roman" w:cs="Times New Roman"/>
      <w:sz w:val="18"/>
      <w:szCs w:val="18"/>
      <w:lang w:val="it-IT"/>
    </w:rPr>
  </w:style>
  <w:style w:type="paragraph" w:customStyle="1" w:styleId="xl100">
    <w:name w:val="xl100"/>
    <w:basedOn w:val="Normal"/>
    <w:rsid w:val="00E20D71"/>
    <w:pPr>
      <w:pBdr>
        <w:top w:val="single" w:sz="8" w:space="0" w:color="B8CCE4"/>
        <w:left w:val="single" w:sz="8" w:space="0" w:color="B8CCE4"/>
        <w:right w:val="single" w:sz="8" w:space="0" w:color="B8CCE4"/>
      </w:pBdr>
      <w:shd w:val="clear" w:color="000000" w:fill="FFFFFF"/>
      <w:spacing w:before="100" w:beforeAutospacing="1" w:after="100" w:afterAutospacing="1" w:line="240" w:lineRule="auto"/>
      <w:jc w:val="left"/>
    </w:pPr>
    <w:rPr>
      <w:rFonts w:ascii="Times New Roman" w:eastAsia="Times New Roman" w:hAnsi="Times New Roman" w:cs="Times New Roman"/>
      <w:b/>
      <w:bCs/>
      <w:sz w:val="18"/>
      <w:szCs w:val="18"/>
      <w:lang w:val="it-IT"/>
    </w:rPr>
  </w:style>
  <w:style w:type="paragraph" w:customStyle="1" w:styleId="xl101">
    <w:name w:val="xl101"/>
    <w:basedOn w:val="Normal"/>
    <w:rsid w:val="00E20D71"/>
    <w:pPr>
      <w:pBdr>
        <w:top w:val="single" w:sz="8" w:space="0" w:color="B8CCE4"/>
        <w:left w:val="single" w:sz="8" w:space="0" w:color="B8CCE4"/>
        <w:right w:val="single" w:sz="8" w:space="0" w:color="B8CCE4"/>
      </w:pBdr>
      <w:shd w:val="clear" w:color="000000" w:fill="FFFFFF"/>
      <w:spacing w:before="100" w:beforeAutospacing="1" w:after="100" w:afterAutospacing="1" w:line="240" w:lineRule="auto"/>
      <w:jc w:val="left"/>
    </w:pPr>
    <w:rPr>
      <w:rFonts w:ascii="Times New Roman" w:eastAsia="Times New Roman" w:hAnsi="Times New Roman" w:cs="Times New Roman"/>
      <w:sz w:val="18"/>
      <w:szCs w:val="18"/>
      <w:lang w:val="it-IT"/>
    </w:rPr>
  </w:style>
  <w:style w:type="paragraph" w:customStyle="1" w:styleId="xl102">
    <w:name w:val="xl102"/>
    <w:basedOn w:val="Normal"/>
    <w:rsid w:val="00E20D71"/>
    <w:pPr>
      <w:pBdr>
        <w:right w:val="single" w:sz="8" w:space="0" w:color="B8CCE4"/>
      </w:pBdr>
      <w:shd w:val="clear" w:color="000000" w:fill="FFFFFF"/>
      <w:spacing w:before="100" w:beforeAutospacing="1" w:after="100" w:afterAutospacing="1" w:line="240" w:lineRule="auto"/>
      <w:jc w:val="left"/>
    </w:pPr>
    <w:rPr>
      <w:rFonts w:ascii="Times New Roman" w:eastAsia="Times New Roman" w:hAnsi="Times New Roman" w:cs="Times New Roman"/>
      <w:sz w:val="18"/>
      <w:szCs w:val="18"/>
      <w:lang w:val="it-IT"/>
    </w:rPr>
  </w:style>
  <w:style w:type="paragraph" w:customStyle="1" w:styleId="xl103">
    <w:name w:val="xl103"/>
    <w:basedOn w:val="Normal"/>
    <w:rsid w:val="00E20D71"/>
    <w:pPr>
      <w:pBdr>
        <w:top w:val="single" w:sz="8" w:space="0" w:color="B8CCE4"/>
        <w:left w:val="single" w:sz="8" w:space="0" w:color="B8CCE4"/>
        <w:right w:val="single" w:sz="8" w:space="0" w:color="B8CCE4"/>
      </w:pBdr>
      <w:shd w:val="clear" w:color="000000" w:fill="FFFFFF"/>
      <w:spacing w:before="100" w:beforeAutospacing="1" w:after="100" w:afterAutospacing="1" w:line="240" w:lineRule="auto"/>
      <w:jc w:val="right"/>
    </w:pPr>
    <w:rPr>
      <w:rFonts w:ascii="Times New Roman" w:eastAsia="Times New Roman" w:hAnsi="Times New Roman" w:cs="Times New Roman"/>
      <w:sz w:val="18"/>
      <w:szCs w:val="18"/>
      <w:lang w:val="it-IT"/>
    </w:rPr>
  </w:style>
  <w:style w:type="paragraph" w:customStyle="1" w:styleId="xl104">
    <w:name w:val="xl104"/>
    <w:basedOn w:val="Normal"/>
    <w:rsid w:val="00E20D71"/>
    <w:pPr>
      <w:pBdr>
        <w:top w:val="single" w:sz="8" w:space="0" w:color="B8CCE4"/>
        <w:left w:val="single" w:sz="8" w:space="0" w:color="B8CCE4"/>
        <w:right w:val="single" w:sz="8" w:space="0" w:color="B8CCE4"/>
      </w:pBdr>
      <w:shd w:val="clear" w:color="000000" w:fill="FFFFFF"/>
      <w:spacing w:before="100" w:beforeAutospacing="1" w:after="100" w:afterAutospacing="1" w:line="240" w:lineRule="auto"/>
      <w:jc w:val="right"/>
    </w:pPr>
    <w:rPr>
      <w:rFonts w:ascii="Times New Roman" w:eastAsia="Times New Roman" w:hAnsi="Times New Roman" w:cs="Times New Roman"/>
      <w:sz w:val="18"/>
      <w:szCs w:val="18"/>
      <w:lang w:val="it-IT"/>
    </w:rPr>
  </w:style>
  <w:style w:type="paragraph" w:customStyle="1" w:styleId="xl105">
    <w:name w:val="xl105"/>
    <w:basedOn w:val="Normal"/>
    <w:rsid w:val="00E20D71"/>
    <w:pPr>
      <w:pBdr>
        <w:top w:val="single" w:sz="8" w:space="0" w:color="B8CCE4"/>
        <w:left w:val="single" w:sz="8" w:space="0" w:color="B8CCE4"/>
        <w:right w:val="single" w:sz="8" w:space="0" w:color="B8CCE4"/>
      </w:pBdr>
      <w:shd w:val="clear" w:color="000000" w:fill="FFFFFF"/>
      <w:spacing w:before="100" w:beforeAutospacing="1" w:after="100" w:afterAutospacing="1" w:line="240" w:lineRule="auto"/>
      <w:jc w:val="left"/>
    </w:pPr>
    <w:rPr>
      <w:rFonts w:ascii="Times New Roman" w:eastAsia="Times New Roman" w:hAnsi="Times New Roman" w:cs="Times New Roman"/>
      <w:sz w:val="18"/>
      <w:szCs w:val="18"/>
      <w:lang w:val="it-IT"/>
    </w:rPr>
  </w:style>
  <w:style w:type="paragraph" w:customStyle="1" w:styleId="xl106">
    <w:name w:val="xl106"/>
    <w:basedOn w:val="Normal"/>
    <w:rsid w:val="00E20D71"/>
    <w:pPr>
      <w:pBdr>
        <w:left w:val="single" w:sz="8" w:space="0" w:color="B8CCE4"/>
        <w:bottom w:val="single" w:sz="8" w:space="0" w:color="B8CCE4"/>
        <w:right w:val="single" w:sz="8" w:space="0" w:color="B8CCE4"/>
      </w:pBdr>
      <w:shd w:val="clear" w:color="000000" w:fill="FFFFFF"/>
      <w:spacing w:before="100" w:beforeAutospacing="1" w:after="100" w:afterAutospacing="1" w:line="240" w:lineRule="auto"/>
      <w:jc w:val="left"/>
    </w:pPr>
    <w:rPr>
      <w:rFonts w:ascii="Times New Roman" w:eastAsia="Times New Roman" w:hAnsi="Times New Roman" w:cs="Times New Roman"/>
      <w:sz w:val="18"/>
      <w:szCs w:val="18"/>
      <w:lang w:val="it-IT"/>
    </w:rPr>
  </w:style>
  <w:style w:type="paragraph" w:customStyle="1" w:styleId="xl107">
    <w:name w:val="xl107"/>
    <w:basedOn w:val="Normal"/>
    <w:rsid w:val="00E20D71"/>
    <w:pPr>
      <w:pBdr>
        <w:left w:val="single" w:sz="8" w:space="0" w:color="B8CCE4"/>
        <w:bottom w:val="single" w:sz="8" w:space="0" w:color="B8CCE4"/>
        <w:right w:val="single" w:sz="8" w:space="0" w:color="B8CCE4"/>
      </w:pBdr>
      <w:shd w:val="clear" w:color="000000" w:fill="FFFFFF"/>
      <w:spacing w:before="100" w:beforeAutospacing="1" w:after="100" w:afterAutospacing="1" w:line="240" w:lineRule="auto"/>
      <w:jc w:val="right"/>
    </w:pPr>
    <w:rPr>
      <w:rFonts w:ascii="Times New Roman" w:eastAsia="Times New Roman" w:hAnsi="Times New Roman" w:cs="Times New Roman"/>
      <w:sz w:val="18"/>
      <w:szCs w:val="18"/>
      <w:lang w:val="it-IT"/>
    </w:rPr>
  </w:style>
  <w:style w:type="paragraph" w:customStyle="1" w:styleId="xl108">
    <w:name w:val="xl108"/>
    <w:basedOn w:val="Normal"/>
    <w:rsid w:val="00E20D71"/>
    <w:pPr>
      <w:pBdr>
        <w:left w:val="single" w:sz="8" w:space="0" w:color="B8CCE4"/>
        <w:bottom w:val="single" w:sz="8" w:space="0" w:color="B8CCE4"/>
        <w:right w:val="single" w:sz="8" w:space="0" w:color="B8CCE4"/>
      </w:pBdr>
      <w:shd w:val="clear" w:color="000000" w:fill="FFFFFF"/>
      <w:spacing w:before="100" w:beforeAutospacing="1" w:after="100" w:afterAutospacing="1" w:line="240" w:lineRule="auto"/>
      <w:jc w:val="right"/>
    </w:pPr>
    <w:rPr>
      <w:rFonts w:ascii="Times New Roman" w:eastAsia="Times New Roman" w:hAnsi="Times New Roman" w:cs="Times New Roman"/>
      <w:sz w:val="18"/>
      <w:szCs w:val="18"/>
      <w:lang w:val="it-IT"/>
    </w:rPr>
  </w:style>
  <w:style w:type="paragraph" w:customStyle="1" w:styleId="xl109">
    <w:name w:val="xl109"/>
    <w:basedOn w:val="Normal"/>
    <w:rsid w:val="00E20D71"/>
    <w:pPr>
      <w:pBdr>
        <w:left w:val="single" w:sz="8" w:space="0" w:color="B8CCE4"/>
        <w:bottom w:val="single" w:sz="8" w:space="0" w:color="B8CCE4"/>
        <w:right w:val="single" w:sz="8" w:space="0" w:color="B8CCE4"/>
      </w:pBdr>
      <w:shd w:val="clear" w:color="000000" w:fill="FFFFFF"/>
      <w:spacing w:before="100" w:beforeAutospacing="1" w:after="100" w:afterAutospacing="1" w:line="240" w:lineRule="auto"/>
      <w:jc w:val="left"/>
    </w:pPr>
    <w:rPr>
      <w:rFonts w:ascii="Times New Roman" w:eastAsia="Times New Roman" w:hAnsi="Times New Roman" w:cs="Times New Roman"/>
      <w:sz w:val="18"/>
      <w:szCs w:val="18"/>
      <w:lang w:val="it-IT"/>
    </w:rPr>
  </w:style>
  <w:style w:type="paragraph" w:customStyle="1" w:styleId="xl110">
    <w:name w:val="xl110"/>
    <w:basedOn w:val="Normal"/>
    <w:rsid w:val="00E20D71"/>
    <w:pPr>
      <w:shd w:val="clear" w:color="000000" w:fill="FFFFFF"/>
      <w:spacing w:before="100" w:beforeAutospacing="1" w:after="100" w:afterAutospacing="1" w:line="240" w:lineRule="auto"/>
      <w:jc w:val="left"/>
    </w:pPr>
    <w:rPr>
      <w:rFonts w:ascii="Times New Roman" w:eastAsia="Times New Roman" w:hAnsi="Times New Roman" w:cs="Times New Roman"/>
      <w:sz w:val="18"/>
      <w:szCs w:val="18"/>
      <w:lang w:val="it-IT"/>
    </w:rPr>
  </w:style>
  <w:style w:type="paragraph" w:customStyle="1" w:styleId="xl111">
    <w:name w:val="xl111"/>
    <w:basedOn w:val="Normal"/>
    <w:rsid w:val="00E20D71"/>
    <w:pPr>
      <w:pBdr>
        <w:top w:val="single" w:sz="8" w:space="0" w:color="B8CCE4"/>
        <w:left w:val="single" w:sz="8" w:space="0" w:color="B8CCE4"/>
        <w:right w:val="single" w:sz="8" w:space="0" w:color="B8CCE4"/>
      </w:pBdr>
      <w:shd w:val="clear" w:color="000000" w:fill="FFFFFF"/>
      <w:spacing w:before="100" w:beforeAutospacing="1" w:after="100" w:afterAutospacing="1" w:line="240" w:lineRule="auto"/>
      <w:jc w:val="left"/>
      <w:textAlignment w:val="top"/>
    </w:pPr>
    <w:rPr>
      <w:rFonts w:ascii="Times New Roman" w:eastAsia="Times New Roman" w:hAnsi="Times New Roman" w:cs="Times New Roman"/>
      <w:sz w:val="18"/>
      <w:szCs w:val="18"/>
      <w:lang w:val="it-IT"/>
    </w:rPr>
  </w:style>
  <w:style w:type="paragraph" w:customStyle="1" w:styleId="xl112">
    <w:name w:val="xl112"/>
    <w:basedOn w:val="Normal"/>
    <w:rsid w:val="00E20D71"/>
    <w:pPr>
      <w:pBdr>
        <w:top w:val="single" w:sz="8" w:space="0" w:color="B8CCE4"/>
        <w:left w:val="single" w:sz="8" w:space="0" w:color="B8CCE4"/>
        <w:right w:val="single" w:sz="8" w:space="0" w:color="B8CCE4"/>
      </w:pBdr>
      <w:shd w:val="clear" w:color="000000" w:fill="FFFFFF"/>
      <w:spacing w:before="100" w:beforeAutospacing="1" w:after="100" w:afterAutospacing="1" w:line="240" w:lineRule="auto"/>
      <w:jc w:val="left"/>
      <w:textAlignment w:val="top"/>
    </w:pPr>
    <w:rPr>
      <w:rFonts w:ascii="Times New Roman" w:eastAsia="Times New Roman" w:hAnsi="Times New Roman" w:cs="Times New Roman"/>
      <w:sz w:val="18"/>
      <w:szCs w:val="18"/>
      <w:lang w:val="it-IT"/>
    </w:rPr>
  </w:style>
  <w:style w:type="paragraph" w:customStyle="1" w:styleId="xl113">
    <w:name w:val="xl113"/>
    <w:basedOn w:val="Normal"/>
    <w:rsid w:val="00E20D71"/>
    <w:pPr>
      <w:pBdr>
        <w:left w:val="single" w:sz="8" w:space="0" w:color="B8CCE4"/>
        <w:right w:val="single" w:sz="8" w:space="0" w:color="B8CCE4"/>
      </w:pBdr>
      <w:shd w:val="clear" w:color="000000" w:fill="FFFFFF"/>
      <w:spacing w:before="100" w:beforeAutospacing="1" w:after="100" w:afterAutospacing="1" w:line="240" w:lineRule="auto"/>
      <w:jc w:val="left"/>
    </w:pPr>
    <w:rPr>
      <w:rFonts w:ascii="Times New Roman" w:eastAsia="Times New Roman" w:hAnsi="Times New Roman" w:cs="Times New Roman"/>
      <w:b/>
      <w:bCs/>
      <w:sz w:val="18"/>
      <w:szCs w:val="18"/>
      <w:lang w:val="it-IT"/>
    </w:rPr>
  </w:style>
  <w:style w:type="paragraph" w:customStyle="1" w:styleId="xl114">
    <w:name w:val="xl114"/>
    <w:basedOn w:val="Normal"/>
    <w:rsid w:val="00E20D71"/>
    <w:pPr>
      <w:pBdr>
        <w:left w:val="single" w:sz="8" w:space="0" w:color="B8CCE4"/>
        <w:right w:val="single" w:sz="8" w:space="0" w:color="B8CCE4"/>
      </w:pBdr>
      <w:shd w:val="clear" w:color="000000" w:fill="FFFFFF"/>
      <w:spacing w:before="100" w:beforeAutospacing="1" w:after="100" w:afterAutospacing="1" w:line="240" w:lineRule="auto"/>
      <w:jc w:val="left"/>
    </w:pPr>
    <w:rPr>
      <w:rFonts w:ascii="Times New Roman" w:eastAsia="Times New Roman" w:hAnsi="Times New Roman" w:cs="Times New Roman"/>
      <w:sz w:val="18"/>
      <w:szCs w:val="18"/>
      <w:lang w:val="it-IT"/>
    </w:rPr>
  </w:style>
  <w:style w:type="paragraph" w:customStyle="1" w:styleId="xl115">
    <w:name w:val="xl115"/>
    <w:basedOn w:val="Normal"/>
    <w:rsid w:val="00E20D71"/>
    <w:pPr>
      <w:pBdr>
        <w:right w:val="single" w:sz="8" w:space="0" w:color="B8CCE4"/>
      </w:pBdr>
      <w:shd w:val="clear" w:color="000000" w:fill="FFFFFF"/>
      <w:spacing w:before="100" w:beforeAutospacing="1" w:after="100" w:afterAutospacing="1" w:line="240" w:lineRule="auto"/>
      <w:jc w:val="left"/>
    </w:pPr>
    <w:rPr>
      <w:rFonts w:ascii="Times New Roman" w:eastAsia="Times New Roman" w:hAnsi="Times New Roman" w:cs="Times New Roman"/>
      <w:sz w:val="24"/>
      <w:szCs w:val="24"/>
      <w:lang w:val="it-IT"/>
    </w:rPr>
  </w:style>
  <w:style w:type="paragraph" w:customStyle="1" w:styleId="xl116">
    <w:name w:val="xl116"/>
    <w:basedOn w:val="Normal"/>
    <w:rsid w:val="00E20D71"/>
    <w:pPr>
      <w:pBdr>
        <w:left w:val="single" w:sz="8" w:space="0" w:color="B8CCE4"/>
        <w:right w:val="single" w:sz="8" w:space="0" w:color="B8CCE4"/>
      </w:pBdr>
      <w:shd w:val="clear" w:color="000000" w:fill="FFFFFF"/>
      <w:spacing w:before="100" w:beforeAutospacing="1" w:after="100" w:afterAutospacing="1" w:line="240" w:lineRule="auto"/>
      <w:jc w:val="left"/>
      <w:textAlignment w:val="top"/>
    </w:pPr>
    <w:rPr>
      <w:rFonts w:ascii="Times New Roman" w:eastAsia="Times New Roman" w:hAnsi="Times New Roman" w:cs="Times New Roman"/>
      <w:sz w:val="18"/>
      <w:szCs w:val="18"/>
      <w:lang w:val="it-IT"/>
    </w:rPr>
  </w:style>
  <w:style w:type="paragraph" w:customStyle="1" w:styleId="xl117">
    <w:name w:val="xl117"/>
    <w:basedOn w:val="Normal"/>
    <w:rsid w:val="00E20D71"/>
    <w:pPr>
      <w:pBdr>
        <w:left w:val="single" w:sz="8" w:space="0" w:color="B8CCE4"/>
        <w:right w:val="single" w:sz="8" w:space="0" w:color="B8CCE4"/>
      </w:pBdr>
      <w:shd w:val="clear" w:color="000000" w:fill="FFFFFF"/>
      <w:spacing w:before="100" w:beforeAutospacing="1" w:after="100" w:afterAutospacing="1" w:line="240" w:lineRule="auto"/>
      <w:jc w:val="left"/>
    </w:pPr>
    <w:rPr>
      <w:rFonts w:ascii="Times New Roman" w:eastAsia="Times New Roman" w:hAnsi="Times New Roman" w:cs="Times New Roman"/>
      <w:sz w:val="18"/>
      <w:szCs w:val="18"/>
      <w:lang w:val="it-IT"/>
    </w:rPr>
  </w:style>
  <w:style w:type="paragraph" w:customStyle="1" w:styleId="xl118">
    <w:name w:val="xl118"/>
    <w:basedOn w:val="Normal"/>
    <w:rsid w:val="00E20D71"/>
    <w:pPr>
      <w:pBdr>
        <w:left w:val="single" w:sz="8" w:space="0" w:color="B8CCE4"/>
        <w:bottom w:val="single" w:sz="8" w:space="0" w:color="B8CCE4"/>
        <w:right w:val="single" w:sz="8" w:space="0" w:color="B8CCE4"/>
      </w:pBdr>
      <w:shd w:val="clear" w:color="000000" w:fill="FFFFFF"/>
      <w:spacing w:before="100" w:beforeAutospacing="1" w:after="100" w:afterAutospacing="1" w:line="240" w:lineRule="auto"/>
      <w:jc w:val="left"/>
      <w:textAlignment w:val="top"/>
    </w:pPr>
    <w:rPr>
      <w:rFonts w:ascii="Times New Roman" w:eastAsia="Times New Roman" w:hAnsi="Times New Roman" w:cs="Times New Roman"/>
      <w:sz w:val="18"/>
      <w:szCs w:val="18"/>
      <w:lang w:val="it-IT"/>
    </w:rPr>
  </w:style>
  <w:style w:type="paragraph" w:customStyle="1" w:styleId="xl119">
    <w:name w:val="xl119"/>
    <w:basedOn w:val="Normal"/>
    <w:rsid w:val="00E20D71"/>
    <w:pPr>
      <w:pBdr>
        <w:top w:val="single" w:sz="8" w:space="0" w:color="B8CCE4"/>
        <w:left w:val="single" w:sz="8" w:space="0" w:color="B8CCE4"/>
        <w:right w:val="single" w:sz="8" w:space="0" w:color="B8CCE4"/>
      </w:pBdr>
      <w:shd w:val="clear" w:color="000000" w:fill="FFFFFF"/>
      <w:spacing w:before="100" w:beforeAutospacing="1" w:after="100" w:afterAutospacing="1" w:line="240" w:lineRule="auto"/>
      <w:jc w:val="right"/>
      <w:textAlignment w:val="top"/>
    </w:pPr>
    <w:rPr>
      <w:rFonts w:ascii="Times New Roman" w:eastAsia="Times New Roman" w:hAnsi="Times New Roman" w:cs="Times New Roman"/>
      <w:sz w:val="18"/>
      <w:szCs w:val="18"/>
      <w:lang w:val="it-IT"/>
    </w:rPr>
  </w:style>
  <w:style w:type="paragraph" w:customStyle="1" w:styleId="xl120">
    <w:name w:val="xl120"/>
    <w:basedOn w:val="Normal"/>
    <w:rsid w:val="00E20D71"/>
    <w:pPr>
      <w:pBdr>
        <w:top w:val="single" w:sz="8" w:space="0" w:color="B8CCE4"/>
        <w:left w:val="single" w:sz="8" w:space="0" w:color="B8CCE4"/>
        <w:right w:val="single" w:sz="8" w:space="0" w:color="B8CCE4"/>
      </w:pBdr>
      <w:shd w:val="clear" w:color="000000" w:fill="FFFFFF"/>
      <w:spacing w:before="100" w:beforeAutospacing="1" w:after="100" w:afterAutospacing="1" w:line="240" w:lineRule="auto"/>
      <w:jc w:val="right"/>
      <w:textAlignment w:val="top"/>
    </w:pPr>
    <w:rPr>
      <w:rFonts w:ascii="Times New Roman" w:eastAsia="Times New Roman" w:hAnsi="Times New Roman" w:cs="Times New Roman"/>
      <w:sz w:val="18"/>
      <w:szCs w:val="18"/>
      <w:lang w:val="it-IT"/>
    </w:rPr>
  </w:style>
  <w:style w:type="paragraph" w:customStyle="1" w:styleId="xl121">
    <w:name w:val="xl121"/>
    <w:basedOn w:val="Normal"/>
    <w:rsid w:val="00E20D71"/>
    <w:pPr>
      <w:pBdr>
        <w:left w:val="single" w:sz="8" w:space="0" w:color="B8CCE4"/>
        <w:right w:val="single" w:sz="8" w:space="0" w:color="B8CCE4"/>
      </w:pBdr>
      <w:shd w:val="clear" w:color="000000" w:fill="FFFFFF"/>
      <w:spacing w:before="100" w:beforeAutospacing="1" w:after="100" w:afterAutospacing="1" w:line="240" w:lineRule="auto"/>
      <w:jc w:val="right"/>
      <w:textAlignment w:val="top"/>
    </w:pPr>
    <w:rPr>
      <w:rFonts w:ascii="Times New Roman" w:eastAsia="Times New Roman" w:hAnsi="Times New Roman" w:cs="Times New Roman"/>
      <w:sz w:val="18"/>
      <w:szCs w:val="18"/>
      <w:lang w:val="it-IT"/>
    </w:rPr>
  </w:style>
  <w:style w:type="paragraph" w:customStyle="1" w:styleId="xl122">
    <w:name w:val="xl122"/>
    <w:basedOn w:val="Normal"/>
    <w:rsid w:val="00E20D71"/>
    <w:pPr>
      <w:pBdr>
        <w:left w:val="single" w:sz="8" w:space="0" w:color="B8CCE4"/>
        <w:bottom w:val="single" w:sz="8" w:space="0" w:color="B8CCE4"/>
        <w:right w:val="single" w:sz="8" w:space="0" w:color="B8CCE4"/>
      </w:pBdr>
      <w:shd w:val="clear" w:color="000000" w:fill="FFFFFF"/>
      <w:spacing w:before="100" w:beforeAutospacing="1" w:after="100" w:afterAutospacing="1" w:line="240" w:lineRule="auto"/>
      <w:jc w:val="right"/>
      <w:textAlignment w:val="top"/>
    </w:pPr>
    <w:rPr>
      <w:rFonts w:ascii="Times New Roman" w:eastAsia="Times New Roman" w:hAnsi="Times New Roman" w:cs="Times New Roman"/>
      <w:sz w:val="18"/>
      <w:szCs w:val="18"/>
      <w:lang w:val="it-IT"/>
    </w:rPr>
  </w:style>
  <w:style w:type="paragraph" w:customStyle="1" w:styleId="xl123">
    <w:name w:val="xl123"/>
    <w:basedOn w:val="Normal"/>
    <w:rsid w:val="00E20D71"/>
    <w:pPr>
      <w:pBdr>
        <w:top w:val="single" w:sz="8" w:space="0" w:color="B8CCE4"/>
        <w:left w:val="single" w:sz="8" w:space="0" w:color="B8CCE4"/>
        <w:right w:val="single" w:sz="8" w:space="0" w:color="B8CCE4"/>
      </w:pBdr>
      <w:shd w:val="clear" w:color="000000" w:fill="FFFFFF"/>
      <w:spacing w:before="100" w:beforeAutospacing="1" w:after="100" w:afterAutospacing="1" w:line="240" w:lineRule="auto"/>
      <w:jc w:val="right"/>
    </w:pPr>
    <w:rPr>
      <w:rFonts w:ascii="Times New Roman" w:eastAsia="Times New Roman" w:hAnsi="Times New Roman" w:cs="Times New Roman"/>
      <w:sz w:val="18"/>
      <w:szCs w:val="18"/>
      <w:lang w:val="it-IT"/>
    </w:rPr>
  </w:style>
  <w:style w:type="paragraph" w:customStyle="1" w:styleId="xl124">
    <w:name w:val="xl124"/>
    <w:basedOn w:val="Normal"/>
    <w:rsid w:val="00E20D71"/>
    <w:pPr>
      <w:pBdr>
        <w:left w:val="single" w:sz="8" w:space="0" w:color="B8CCE4"/>
        <w:right w:val="single" w:sz="8" w:space="0" w:color="B8CCE4"/>
      </w:pBdr>
      <w:shd w:val="clear" w:color="000000" w:fill="FFFFFF"/>
      <w:spacing w:before="100" w:beforeAutospacing="1" w:after="100" w:afterAutospacing="1" w:line="240" w:lineRule="auto"/>
      <w:jc w:val="right"/>
    </w:pPr>
    <w:rPr>
      <w:rFonts w:ascii="Times New Roman" w:eastAsia="Times New Roman" w:hAnsi="Times New Roman" w:cs="Times New Roman"/>
      <w:sz w:val="18"/>
      <w:szCs w:val="18"/>
      <w:lang w:val="it-IT"/>
    </w:rPr>
  </w:style>
  <w:style w:type="paragraph" w:customStyle="1" w:styleId="xl125">
    <w:name w:val="xl125"/>
    <w:basedOn w:val="Normal"/>
    <w:rsid w:val="00E20D71"/>
    <w:pPr>
      <w:pBdr>
        <w:left w:val="single" w:sz="8" w:space="0" w:color="B8CCE4"/>
        <w:bottom w:val="single" w:sz="8" w:space="0" w:color="B8CCE4"/>
        <w:right w:val="single" w:sz="8" w:space="0" w:color="B8CCE4"/>
      </w:pBdr>
      <w:shd w:val="clear" w:color="000000" w:fill="FFFFFF"/>
      <w:spacing w:before="100" w:beforeAutospacing="1" w:after="100" w:afterAutospacing="1" w:line="240" w:lineRule="auto"/>
      <w:jc w:val="right"/>
    </w:pPr>
    <w:rPr>
      <w:rFonts w:ascii="Times New Roman" w:eastAsia="Times New Roman" w:hAnsi="Times New Roman" w:cs="Times New Roman"/>
      <w:sz w:val="18"/>
      <w:szCs w:val="18"/>
      <w:lang w:val="it-IT"/>
    </w:rPr>
  </w:style>
  <w:style w:type="paragraph" w:customStyle="1" w:styleId="xl126">
    <w:name w:val="xl126"/>
    <w:basedOn w:val="Normal"/>
    <w:rsid w:val="00E20D71"/>
    <w:pPr>
      <w:pBdr>
        <w:left w:val="single" w:sz="8" w:space="0" w:color="B8CCE4"/>
        <w:bottom w:val="single" w:sz="8" w:space="0" w:color="B8CCE4"/>
        <w:right w:val="single" w:sz="8" w:space="0" w:color="B8CCE4"/>
      </w:pBdr>
      <w:shd w:val="clear" w:color="000000" w:fill="FFFFFF"/>
      <w:spacing w:before="100" w:beforeAutospacing="1" w:after="100" w:afterAutospacing="1" w:line="240" w:lineRule="auto"/>
      <w:jc w:val="right"/>
      <w:textAlignment w:val="top"/>
    </w:pPr>
    <w:rPr>
      <w:rFonts w:ascii="Times New Roman" w:eastAsia="Times New Roman" w:hAnsi="Times New Roman" w:cs="Times New Roman"/>
      <w:sz w:val="18"/>
      <w:szCs w:val="18"/>
      <w:lang w:val="it-IT"/>
    </w:rPr>
  </w:style>
  <w:style w:type="paragraph" w:customStyle="1" w:styleId="xl127">
    <w:name w:val="xl127"/>
    <w:basedOn w:val="Normal"/>
    <w:rsid w:val="00E20D71"/>
    <w:pPr>
      <w:pBdr>
        <w:top w:val="single" w:sz="8" w:space="0" w:color="B8CCE4"/>
        <w:left w:val="single" w:sz="8" w:space="0" w:color="B8CCE4"/>
        <w:right w:val="single" w:sz="8" w:space="0" w:color="B8CCE4"/>
      </w:pBdr>
      <w:shd w:val="clear" w:color="000000" w:fill="FFFFFF"/>
      <w:spacing w:before="100" w:beforeAutospacing="1" w:after="100" w:afterAutospacing="1" w:line="240" w:lineRule="auto"/>
      <w:jc w:val="left"/>
    </w:pPr>
    <w:rPr>
      <w:rFonts w:ascii="Times New Roman" w:eastAsia="Times New Roman" w:hAnsi="Times New Roman" w:cs="Times New Roman"/>
      <w:sz w:val="18"/>
      <w:szCs w:val="18"/>
      <w:lang w:val="it-IT"/>
    </w:rPr>
  </w:style>
  <w:style w:type="paragraph" w:customStyle="1" w:styleId="xl128">
    <w:name w:val="xl128"/>
    <w:basedOn w:val="Normal"/>
    <w:rsid w:val="00E20D71"/>
    <w:pPr>
      <w:pBdr>
        <w:left w:val="single" w:sz="8" w:space="0" w:color="B8CCE4"/>
        <w:right w:val="single" w:sz="8" w:space="0" w:color="B8CCE4"/>
      </w:pBdr>
      <w:shd w:val="clear" w:color="000000" w:fill="FFFFFF"/>
      <w:spacing w:before="100" w:beforeAutospacing="1" w:after="100" w:afterAutospacing="1" w:line="240" w:lineRule="auto"/>
      <w:jc w:val="left"/>
    </w:pPr>
    <w:rPr>
      <w:rFonts w:ascii="Times New Roman" w:eastAsia="Times New Roman" w:hAnsi="Times New Roman" w:cs="Times New Roman"/>
      <w:sz w:val="18"/>
      <w:szCs w:val="18"/>
      <w:lang w:val="it-IT"/>
    </w:rPr>
  </w:style>
  <w:style w:type="paragraph" w:customStyle="1" w:styleId="xl129">
    <w:name w:val="xl129"/>
    <w:basedOn w:val="Normal"/>
    <w:rsid w:val="00E20D71"/>
    <w:pPr>
      <w:pBdr>
        <w:left w:val="single" w:sz="8" w:space="0" w:color="B8CCE4"/>
        <w:bottom w:val="single" w:sz="8" w:space="0" w:color="B8CCE4"/>
        <w:right w:val="single" w:sz="8" w:space="0" w:color="B8CCE4"/>
      </w:pBdr>
      <w:shd w:val="clear" w:color="000000" w:fill="FFFFFF"/>
      <w:spacing w:before="100" w:beforeAutospacing="1" w:after="100" w:afterAutospacing="1" w:line="240" w:lineRule="auto"/>
      <w:jc w:val="left"/>
    </w:pPr>
    <w:rPr>
      <w:rFonts w:ascii="Times New Roman" w:eastAsia="Times New Roman" w:hAnsi="Times New Roman" w:cs="Times New Roman"/>
      <w:sz w:val="18"/>
      <w:szCs w:val="18"/>
      <w:lang w:val="it-IT"/>
    </w:rPr>
  </w:style>
  <w:style w:type="paragraph" w:customStyle="1" w:styleId="xl130">
    <w:name w:val="xl130"/>
    <w:basedOn w:val="Normal"/>
    <w:rsid w:val="00E20D71"/>
    <w:pPr>
      <w:pBdr>
        <w:top w:val="single" w:sz="8" w:space="0" w:color="B8CCE4"/>
        <w:left w:val="single" w:sz="8" w:space="0" w:color="B8CCE4"/>
        <w:right w:val="single" w:sz="8" w:space="0" w:color="B8CCE4"/>
      </w:pBdr>
      <w:shd w:val="clear" w:color="000000" w:fill="FFFFFF"/>
      <w:spacing w:before="100" w:beforeAutospacing="1" w:after="100" w:afterAutospacing="1" w:line="240" w:lineRule="auto"/>
      <w:jc w:val="left"/>
      <w:textAlignment w:val="top"/>
    </w:pPr>
    <w:rPr>
      <w:rFonts w:ascii="Times New Roman" w:eastAsia="Times New Roman" w:hAnsi="Times New Roman" w:cs="Times New Roman"/>
      <w:b/>
      <w:bCs/>
      <w:sz w:val="18"/>
      <w:szCs w:val="18"/>
      <w:lang w:val="it-IT"/>
    </w:rPr>
  </w:style>
  <w:style w:type="paragraph" w:customStyle="1" w:styleId="xl131">
    <w:name w:val="xl131"/>
    <w:basedOn w:val="Normal"/>
    <w:rsid w:val="00E20D71"/>
    <w:pPr>
      <w:pBdr>
        <w:left w:val="single" w:sz="8" w:space="0" w:color="B8CCE4"/>
        <w:right w:val="single" w:sz="8" w:space="0" w:color="B8CCE4"/>
      </w:pBdr>
      <w:shd w:val="clear" w:color="000000" w:fill="FFFFFF"/>
      <w:spacing w:before="100" w:beforeAutospacing="1" w:after="100" w:afterAutospacing="1" w:line="240" w:lineRule="auto"/>
      <w:jc w:val="right"/>
    </w:pPr>
    <w:rPr>
      <w:rFonts w:ascii="Times New Roman" w:eastAsia="Times New Roman" w:hAnsi="Times New Roman" w:cs="Times New Roman"/>
      <w:sz w:val="18"/>
      <w:szCs w:val="18"/>
      <w:lang w:val="it-IT"/>
    </w:rPr>
  </w:style>
  <w:style w:type="paragraph" w:customStyle="1" w:styleId="xl132">
    <w:name w:val="xl132"/>
    <w:basedOn w:val="Normal"/>
    <w:rsid w:val="00E20D71"/>
    <w:pPr>
      <w:pBdr>
        <w:left w:val="single" w:sz="8" w:space="0" w:color="B8CCE4"/>
        <w:right w:val="single" w:sz="8" w:space="0" w:color="B8CCE4"/>
      </w:pBdr>
      <w:shd w:val="clear" w:color="000000" w:fill="FFFFFF"/>
      <w:spacing w:before="100" w:beforeAutospacing="1" w:after="100" w:afterAutospacing="1" w:line="240" w:lineRule="auto"/>
      <w:jc w:val="left"/>
    </w:pPr>
    <w:rPr>
      <w:rFonts w:ascii="Times New Roman" w:eastAsia="Times New Roman" w:hAnsi="Times New Roman" w:cs="Times New Roman"/>
      <w:sz w:val="24"/>
      <w:szCs w:val="24"/>
      <w:lang w:val="it-IT"/>
    </w:rPr>
  </w:style>
  <w:style w:type="paragraph" w:customStyle="1" w:styleId="xl133">
    <w:name w:val="xl133"/>
    <w:basedOn w:val="Normal"/>
    <w:rsid w:val="00E20D71"/>
    <w:pPr>
      <w:pBdr>
        <w:left w:val="single" w:sz="8" w:space="0" w:color="B8CCE4"/>
        <w:bottom w:val="single" w:sz="8" w:space="0" w:color="B8CCE4"/>
        <w:right w:val="single" w:sz="8" w:space="0" w:color="B8CCE4"/>
      </w:pBdr>
      <w:shd w:val="clear" w:color="000000" w:fill="FFFFFF"/>
      <w:spacing w:before="100" w:beforeAutospacing="1" w:after="100" w:afterAutospacing="1" w:line="240" w:lineRule="auto"/>
      <w:jc w:val="left"/>
    </w:pPr>
    <w:rPr>
      <w:rFonts w:ascii="Times New Roman" w:eastAsia="Times New Roman" w:hAnsi="Times New Roman" w:cs="Times New Roman"/>
      <w:sz w:val="24"/>
      <w:szCs w:val="24"/>
      <w:lang w:val="it-IT"/>
    </w:rPr>
  </w:style>
  <w:style w:type="paragraph" w:customStyle="1" w:styleId="xl134">
    <w:name w:val="xl134"/>
    <w:basedOn w:val="Normal"/>
    <w:rsid w:val="00E20D71"/>
    <w:pPr>
      <w:pBdr>
        <w:bottom w:val="single" w:sz="8" w:space="0" w:color="B8CCE4"/>
        <w:right w:val="single" w:sz="8" w:space="0" w:color="B8CCE4"/>
      </w:pBdr>
      <w:shd w:val="clear" w:color="000000" w:fill="FFFFFF"/>
      <w:spacing w:before="100" w:beforeAutospacing="1" w:after="100" w:afterAutospacing="1" w:line="240" w:lineRule="auto"/>
      <w:jc w:val="center"/>
    </w:pPr>
    <w:rPr>
      <w:rFonts w:ascii="Times New Roman" w:eastAsia="Times New Roman" w:hAnsi="Times New Roman" w:cs="Times New Roman"/>
      <w:sz w:val="18"/>
      <w:szCs w:val="18"/>
      <w:lang w:val="it-IT"/>
    </w:rPr>
  </w:style>
  <w:style w:type="paragraph" w:customStyle="1" w:styleId="xl135">
    <w:name w:val="xl135"/>
    <w:basedOn w:val="Normal"/>
    <w:rsid w:val="00E20D71"/>
    <w:pPr>
      <w:shd w:val="clear" w:color="000000" w:fill="FFFFFF"/>
      <w:spacing w:before="100" w:beforeAutospacing="1" w:after="100" w:afterAutospacing="1" w:line="240" w:lineRule="auto"/>
      <w:jc w:val="right"/>
    </w:pPr>
    <w:rPr>
      <w:rFonts w:ascii="Times New Roman" w:eastAsia="Times New Roman" w:hAnsi="Times New Roman" w:cs="Times New Roman"/>
      <w:sz w:val="18"/>
      <w:szCs w:val="18"/>
      <w:lang w:val="it-IT"/>
    </w:rPr>
  </w:style>
  <w:style w:type="paragraph" w:customStyle="1" w:styleId="xl136">
    <w:name w:val="xl136"/>
    <w:basedOn w:val="Normal"/>
    <w:rsid w:val="00E20D71"/>
    <w:pPr>
      <w:pBdr>
        <w:left w:val="single" w:sz="8" w:space="0" w:color="B8CCE4"/>
        <w:bottom w:val="single" w:sz="8" w:space="0" w:color="B8CCE4"/>
        <w:right w:val="single" w:sz="8" w:space="0" w:color="B8CCE4"/>
      </w:pBdr>
      <w:shd w:val="clear" w:color="000000" w:fill="FFFFFF"/>
      <w:spacing w:before="100" w:beforeAutospacing="1" w:after="100" w:afterAutospacing="1" w:line="240" w:lineRule="auto"/>
      <w:jc w:val="right"/>
    </w:pPr>
    <w:rPr>
      <w:rFonts w:ascii="Times New Roman" w:eastAsia="Times New Roman" w:hAnsi="Times New Roman" w:cs="Times New Roman"/>
      <w:sz w:val="24"/>
      <w:szCs w:val="24"/>
      <w:lang w:val="it-IT"/>
    </w:rPr>
  </w:style>
  <w:style w:type="paragraph" w:customStyle="1" w:styleId="xl137">
    <w:name w:val="xl137"/>
    <w:basedOn w:val="Normal"/>
    <w:rsid w:val="00E20D71"/>
    <w:pPr>
      <w:pBdr>
        <w:left w:val="single" w:sz="8" w:space="0" w:color="B8CCE4"/>
        <w:bottom w:val="single" w:sz="8" w:space="0" w:color="B8CCE4"/>
        <w:right w:val="single" w:sz="8" w:space="0" w:color="B8CCE4"/>
      </w:pBdr>
      <w:shd w:val="clear" w:color="000000" w:fill="FFFFFF"/>
      <w:spacing w:before="100" w:beforeAutospacing="1" w:after="100" w:afterAutospacing="1" w:line="240" w:lineRule="auto"/>
      <w:jc w:val="left"/>
    </w:pPr>
    <w:rPr>
      <w:rFonts w:ascii="Times New Roman" w:eastAsia="Times New Roman" w:hAnsi="Times New Roman" w:cs="Times New Roman"/>
      <w:sz w:val="24"/>
      <w:szCs w:val="24"/>
      <w:lang w:val="it-IT"/>
    </w:rPr>
  </w:style>
  <w:style w:type="paragraph" w:customStyle="1" w:styleId="xl138">
    <w:name w:val="xl138"/>
    <w:basedOn w:val="Normal"/>
    <w:rsid w:val="00E20D71"/>
    <w:pPr>
      <w:pBdr>
        <w:right w:val="single" w:sz="8" w:space="0" w:color="B8CCE4"/>
      </w:pBdr>
      <w:shd w:val="clear" w:color="000000" w:fill="FFFFFF"/>
      <w:spacing w:before="100" w:beforeAutospacing="1" w:after="100" w:afterAutospacing="1" w:line="240" w:lineRule="auto"/>
      <w:jc w:val="left"/>
    </w:pPr>
    <w:rPr>
      <w:rFonts w:ascii="Times New Roman" w:eastAsia="Times New Roman" w:hAnsi="Times New Roman" w:cs="Times New Roman"/>
      <w:sz w:val="18"/>
      <w:szCs w:val="18"/>
      <w:lang w:val="it-IT"/>
    </w:rPr>
  </w:style>
  <w:style w:type="paragraph" w:customStyle="1" w:styleId="xl139">
    <w:name w:val="xl139"/>
    <w:basedOn w:val="Normal"/>
    <w:rsid w:val="00E20D71"/>
    <w:pPr>
      <w:shd w:val="clear" w:color="000000" w:fill="FFFFFF"/>
      <w:spacing w:before="100" w:beforeAutospacing="1" w:after="100" w:afterAutospacing="1" w:line="240" w:lineRule="auto"/>
    </w:pPr>
    <w:rPr>
      <w:rFonts w:ascii="Times New Roman" w:eastAsia="Times New Roman" w:hAnsi="Times New Roman" w:cs="Times New Roman"/>
      <w:sz w:val="24"/>
      <w:szCs w:val="24"/>
      <w:lang w:val="it-IT"/>
    </w:rPr>
  </w:style>
  <w:style w:type="paragraph" w:customStyle="1" w:styleId="xl140">
    <w:name w:val="xl140"/>
    <w:basedOn w:val="Normal"/>
    <w:rsid w:val="00E20D71"/>
    <w:pPr>
      <w:shd w:val="clear" w:color="000000" w:fill="FFFFFF"/>
      <w:spacing w:before="100" w:beforeAutospacing="1" w:after="100" w:afterAutospacing="1" w:line="240" w:lineRule="auto"/>
      <w:jc w:val="left"/>
    </w:pPr>
    <w:rPr>
      <w:rFonts w:ascii="Times New Roman" w:eastAsia="Times New Roman" w:hAnsi="Times New Roman" w:cs="Times New Roman"/>
      <w:b/>
      <w:bCs/>
      <w:sz w:val="24"/>
      <w:szCs w:val="24"/>
      <w:lang w:val="it-IT"/>
    </w:rPr>
  </w:style>
  <w:style w:type="paragraph" w:customStyle="1" w:styleId="xl141">
    <w:name w:val="xl141"/>
    <w:basedOn w:val="Normal"/>
    <w:rsid w:val="00E20D71"/>
    <w:pPr>
      <w:shd w:val="clear" w:color="000000" w:fill="FFFFFF"/>
      <w:spacing w:before="100" w:beforeAutospacing="1" w:after="100" w:afterAutospacing="1" w:line="240" w:lineRule="auto"/>
      <w:jc w:val="left"/>
    </w:pPr>
    <w:rPr>
      <w:rFonts w:ascii="Times New Roman" w:eastAsia="Times New Roman" w:hAnsi="Times New Roman" w:cs="Times New Roman"/>
      <w:b/>
      <w:bCs/>
      <w:sz w:val="24"/>
      <w:szCs w:val="24"/>
      <w:lang w:val="it-IT"/>
    </w:rPr>
  </w:style>
  <w:style w:type="paragraph" w:customStyle="1" w:styleId="xl142">
    <w:name w:val="xl142"/>
    <w:basedOn w:val="Normal"/>
    <w:rsid w:val="00E20D71"/>
    <w:pPr>
      <w:pBdr>
        <w:bottom w:val="single" w:sz="8" w:space="0" w:color="B8CCE4"/>
        <w:right w:val="single" w:sz="8" w:space="0" w:color="B8CCE4"/>
      </w:pBdr>
      <w:spacing w:before="100" w:beforeAutospacing="1" w:after="100" w:afterAutospacing="1" w:line="240" w:lineRule="auto"/>
      <w:jc w:val="left"/>
      <w:textAlignment w:val="center"/>
    </w:pPr>
    <w:rPr>
      <w:rFonts w:ascii="Times New Roman" w:eastAsia="Times New Roman" w:hAnsi="Times New Roman" w:cs="Times New Roman"/>
      <w:sz w:val="18"/>
      <w:szCs w:val="18"/>
      <w:lang w:val="it-IT"/>
    </w:rPr>
  </w:style>
  <w:style w:type="paragraph" w:customStyle="1" w:styleId="xl143">
    <w:name w:val="xl143"/>
    <w:basedOn w:val="Normal"/>
    <w:rsid w:val="00E20D71"/>
    <w:pPr>
      <w:pBdr>
        <w:left w:val="single" w:sz="8" w:space="0" w:color="B8CCE4"/>
        <w:bottom w:val="single" w:sz="8" w:space="0" w:color="B8CCE4"/>
        <w:right w:val="single" w:sz="8" w:space="0" w:color="B8CCE4"/>
      </w:pBdr>
      <w:shd w:val="clear" w:color="000000" w:fill="FFFFFF"/>
      <w:spacing w:before="100" w:beforeAutospacing="1" w:after="100" w:afterAutospacing="1" w:line="240" w:lineRule="auto"/>
      <w:jc w:val="left"/>
    </w:pPr>
    <w:rPr>
      <w:rFonts w:ascii="Times New Roman" w:eastAsia="Times New Roman" w:hAnsi="Times New Roman" w:cs="Times New Roman"/>
      <w:sz w:val="18"/>
      <w:szCs w:val="18"/>
      <w:lang w:val="it-IT"/>
    </w:rPr>
  </w:style>
  <w:style w:type="paragraph" w:customStyle="1" w:styleId="xl144">
    <w:name w:val="xl144"/>
    <w:basedOn w:val="Normal"/>
    <w:rsid w:val="00E20D71"/>
    <w:pPr>
      <w:pBdr>
        <w:top w:val="single" w:sz="8" w:space="0" w:color="B8CCE4"/>
        <w:left w:val="single" w:sz="8" w:space="0" w:color="B8CCE4"/>
        <w:bottom w:val="single" w:sz="12" w:space="0" w:color="95B3D7"/>
        <w:right w:val="single" w:sz="8" w:space="0" w:color="B8CCE4"/>
      </w:pBdr>
      <w:spacing w:before="100" w:beforeAutospacing="1" w:after="100" w:afterAutospacing="1" w:line="240" w:lineRule="auto"/>
      <w:jc w:val="left"/>
      <w:textAlignment w:val="center"/>
    </w:pPr>
    <w:rPr>
      <w:rFonts w:ascii="Times New Roman" w:eastAsia="Times New Roman" w:hAnsi="Times New Roman" w:cs="Times New Roman"/>
      <w:sz w:val="18"/>
      <w:szCs w:val="18"/>
      <w:lang w:val="it-IT"/>
    </w:rPr>
  </w:style>
  <w:style w:type="paragraph" w:customStyle="1" w:styleId="xl145">
    <w:name w:val="xl145"/>
    <w:basedOn w:val="Normal"/>
    <w:rsid w:val="00E20D71"/>
    <w:pPr>
      <w:pBdr>
        <w:top w:val="single" w:sz="8" w:space="0" w:color="B8CCE4"/>
        <w:bottom w:val="single" w:sz="12" w:space="0" w:color="95B3D7"/>
        <w:right w:val="single" w:sz="8" w:space="0" w:color="B8CCE4"/>
      </w:pBdr>
      <w:spacing w:before="100" w:beforeAutospacing="1" w:after="100" w:afterAutospacing="1" w:line="240" w:lineRule="auto"/>
      <w:jc w:val="left"/>
      <w:textAlignment w:val="center"/>
    </w:pPr>
    <w:rPr>
      <w:rFonts w:ascii="Times New Roman" w:eastAsia="Times New Roman" w:hAnsi="Times New Roman" w:cs="Times New Roman"/>
      <w:sz w:val="18"/>
      <w:szCs w:val="18"/>
      <w:lang w:val="it-IT"/>
    </w:rPr>
  </w:style>
  <w:style w:type="paragraph" w:customStyle="1" w:styleId="xl146">
    <w:name w:val="xl146"/>
    <w:basedOn w:val="Normal"/>
    <w:rsid w:val="00E20D71"/>
    <w:pPr>
      <w:pBdr>
        <w:left w:val="single" w:sz="8" w:space="0" w:color="B8CCE4"/>
        <w:bottom w:val="single" w:sz="8" w:space="0" w:color="B8CCE4"/>
        <w:right w:val="single" w:sz="8" w:space="0" w:color="B8CCE4"/>
      </w:pBdr>
      <w:spacing w:before="100" w:beforeAutospacing="1" w:after="100" w:afterAutospacing="1" w:line="240" w:lineRule="auto"/>
      <w:jc w:val="left"/>
      <w:textAlignment w:val="center"/>
    </w:pPr>
    <w:rPr>
      <w:rFonts w:ascii="Times New Roman" w:eastAsia="Times New Roman" w:hAnsi="Times New Roman" w:cs="Times New Roman"/>
      <w:sz w:val="18"/>
      <w:szCs w:val="18"/>
      <w:lang w:val="it-IT"/>
    </w:rPr>
  </w:style>
  <w:style w:type="numbering" w:customStyle="1" w:styleId="Style1">
    <w:name w:val="Style1"/>
    <w:uiPriority w:val="99"/>
    <w:rsid w:val="00E20D71"/>
    <w:pPr>
      <w:numPr>
        <w:numId w:val="6"/>
      </w:numPr>
    </w:pPr>
  </w:style>
  <w:style w:type="numbering" w:styleId="111111">
    <w:name w:val="Outline List 2"/>
    <w:basedOn w:val="NoList"/>
    <w:uiPriority w:val="99"/>
    <w:semiHidden/>
    <w:unhideWhenUsed/>
    <w:rsid w:val="00E20D71"/>
    <w:pPr>
      <w:numPr>
        <w:numId w:val="5"/>
      </w:numPr>
    </w:pPr>
  </w:style>
  <w:style w:type="numbering" w:customStyle="1" w:styleId="Style2">
    <w:name w:val="Style2"/>
    <w:uiPriority w:val="99"/>
    <w:rsid w:val="00E20D71"/>
    <w:pPr>
      <w:numPr>
        <w:numId w:val="7"/>
      </w:numPr>
    </w:pPr>
  </w:style>
  <w:style w:type="character" w:customStyle="1" w:styleId="1stBulletlistZchn">
    <w:name w:val="1st Bullet list Zchn"/>
    <w:link w:val="1stBulletlist"/>
    <w:locked/>
    <w:rsid w:val="00E20D71"/>
    <w:rPr>
      <w:rFonts w:ascii="Arial" w:eastAsia="Calibri" w:hAnsi="Arial" w:cs="Arial"/>
    </w:rPr>
  </w:style>
  <w:style w:type="paragraph" w:customStyle="1" w:styleId="1stBulletlist">
    <w:name w:val="1st Bullet list"/>
    <w:basedOn w:val="ListParagraph"/>
    <w:link w:val="1stBulletlistZchn"/>
    <w:qFormat/>
    <w:rsid w:val="00E20D71"/>
    <w:pPr>
      <w:numPr>
        <w:numId w:val="8"/>
      </w:numPr>
      <w:tabs>
        <w:tab w:val="left" w:pos="567"/>
      </w:tabs>
      <w:spacing w:before="0" w:after="0" w:line="276" w:lineRule="auto"/>
      <w:jc w:val="left"/>
    </w:pPr>
    <w:rPr>
      <w:rFonts w:ascii="Arial" w:eastAsia="Calibri" w:hAnsi="Arial" w:cs="Arial"/>
      <w:lang w:val="en-US"/>
    </w:rPr>
  </w:style>
  <w:style w:type="table" w:customStyle="1" w:styleId="LightShading-Accent12">
    <w:name w:val="Light Shading - Accent 12"/>
    <w:basedOn w:val="TableNormal"/>
    <w:uiPriority w:val="60"/>
    <w:rsid w:val="00E20D71"/>
    <w:pPr>
      <w:spacing w:after="0" w:line="240" w:lineRule="auto"/>
    </w:pPr>
    <w:rPr>
      <w:rFonts w:ascii="Times New Roman" w:eastAsia="Times New Roman" w:hAnsi="Times New Roman" w:cs="Times New Roman"/>
      <w:color w:val="365F91" w:themeColor="accent1" w:themeShade="BF"/>
      <w:lang w:val="it-IT" w:eastAsia="it-IT"/>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character" w:customStyle="1" w:styleId="NAPHeadline2Zchn">
    <w:name w:val="NAP Headline 2 Zchn"/>
    <w:link w:val="NAPHeadline2"/>
    <w:locked/>
    <w:rsid w:val="00E20D71"/>
    <w:rPr>
      <w:rFonts w:ascii="Arial" w:hAnsi="Arial" w:cs="Arial"/>
      <w:b/>
      <w:bCs/>
      <w:color w:val="008AB5"/>
      <w:sz w:val="24"/>
      <w:szCs w:val="26"/>
      <w:lang w:val="en-GB"/>
    </w:rPr>
  </w:style>
  <w:style w:type="paragraph" w:customStyle="1" w:styleId="NAPHeadline2">
    <w:name w:val="NAP Headline 2"/>
    <w:basedOn w:val="Heading2"/>
    <w:link w:val="NAPHeadline2Zchn"/>
    <w:qFormat/>
    <w:rsid w:val="00E20D71"/>
    <w:pPr>
      <w:keepLines/>
      <w:spacing w:line="276" w:lineRule="auto"/>
      <w:ind w:left="567" w:hanging="567"/>
      <w:jc w:val="left"/>
    </w:pPr>
    <w:rPr>
      <w:rFonts w:ascii="Arial" w:eastAsiaTheme="minorHAnsi" w:hAnsi="Arial" w:cs="Arial"/>
      <w:bCs/>
      <w:color w:val="008AB5"/>
      <w:szCs w:val="26"/>
      <w:lang w:val="en-GB" w:eastAsia="en-US"/>
    </w:rPr>
  </w:style>
  <w:style w:type="character" w:customStyle="1" w:styleId="berschriftzwischentextbodyZchn">
    <w:name w:val="Überschrift zwischen textbody Zchn"/>
    <w:link w:val="berschriftzwischentextbody"/>
    <w:locked/>
    <w:rsid w:val="00E20D71"/>
    <w:rPr>
      <w:rFonts w:ascii="Arial" w:hAnsi="Arial" w:cs="Arial"/>
      <w:b/>
      <w:sz w:val="24"/>
      <w:szCs w:val="24"/>
    </w:rPr>
  </w:style>
  <w:style w:type="paragraph" w:customStyle="1" w:styleId="berschriftzwischentextbody">
    <w:name w:val="Überschrift zwischen textbody"/>
    <w:basedOn w:val="Normal"/>
    <w:next w:val="Standardtextbody"/>
    <w:link w:val="berschriftzwischentextbodyZchn"/>
    <w:qFormat/>
    <w:rsid w:val="00E20D71"/>
    <w:pPr>
      <w:keepNext/>
      <w:spacing w:before="360" w:line="280" w:lineRule="exact"/>
      <w:jc w:val="left"/>
    </w:pPr>
    <w:rPr>
      <w:rFonts w:ascii="Arial" w:eastAsiaTheme="minorHAnsi" w:hAnsi="Arial" w:cs="Arial"/>
      <w:b/>
      <w:sz w:val="24"/>
      <w:szCs w:val="24"/>
      <w:lang w:val="en-US" w:eastAsia="en-US"/>
    </w:rPr>
  </w:style>
  <w:style w:type="paragraph" w:customStyle="1" w:styleId="NAPHeadline1">
    <w:name w:val="NAP Headline 1"/>
    <w:basedOn w:val="Normal"/>
    <w:qFormat/>
    <w:rsid w:val="00E20D71"/>
    <w:pPr>
      <w:keepNext/>
      <w:keepLines/>
      <w:spacing w:before="240" w:after="240"/>
      <w:jc w:val="left"/>
    </w:pPr>
    <w:rPr>
      <w:rFonts w:ascii="Arial" w:eastAsia="Times New Roman" w:hAnsi="Arial" w:cs="Times New Roman"/>
      <w:b/>
      <w:bCs/>
      <w:color w:val="008AB5"/>
      <w:sz w:val="28"/>
      <w:szCs w:val="28"/>
      <w:lang w:val="en-GB" w:eastAsia="en-US"/>
    </w:rPr>
  </w:style>
  <w:style w:type="paragraph" w:customStyle="1" w:styleId="Inhaltsverzeichnis">
    <w:name w:val="Inhaltsverzeichnis"/>
    <w:basedOn w:val="Normal"/>
    <w:rsid w:val="00E20D71"/>
    <w:pPr>
      <w:tabs>
        <w:tab w:val="left" w:pos="907"/>
      </w:tabs>
      <w:spacing w:after="480" w:line="240" w:lineRule="auto"/>
      <w:ind w:left="510"/>
      <w:jc w:val="left"/>
    </w:pPr>
    <w:rPr>
      <w:rFonts w:ascii="Arial" w:eastAsia="Times New Roman" w:hAnsi="Arial" w:cs="Times New Roman"/>
      <w:b/>
      <w:sz w:val="34"/>
      <w:szCs w:val="24"/>
      <w:lang w:val="de-DE" w:eastAsia="de-DE"/>
    </w:rPr>
  </w:style>
  <w:style w:type="paragraph" w:customStyle="1" w:styleId="Subheadline">
    <w:name w:val="Subheadline"/>
    <w:rsid w:val="00E20D71"/>
    <w:pPr>
      <w:spacing w:after="0" w:line="347" w:lineRule="exact"/>
    </w:pPr>
    <w:rPr>
      <w:rFonts w:ascii="Arial" w:eastAsia="Times New Roman" w:hAnsi="Arial" w:cs="Times New Roman"/>
      <w:sz w:val="28"/>
      <w:szCs w:val="24"/>
      <w:lang w:val="de-DE" w:eastAsia="de-DE"/>
    </w:rPr>
  </w:style>
  <w:style w:type="paragraph" w:customStyle="1" w:styleId="Mengentext">
    <w:name w:val="Mengentext"/>
    <w:rsid w:val="00E20D71"/>
    <w:pPr>
      <w:spacing w:after="0" w:line="240" w:lineRule="auto"/>
    </w:pPr>
    <w:rPr>
      <w:rFonts w:ascii="Garamond" w:eastAsia="Times New Roman" w:hAnsi="Garamond" w:cs="Times New Roman"/>
      <w:sz w:val="23"/>
      <w:szCs w:val="24"/>
      <w:lang w:val="de-DE" w:eastAsia="de-DE"/>
    </w:rPr>
  </w:style>
  <w:style w:type="paragraph" w:customStyle="1" w:styleId="Headline">
    <w:name w:val="Headline"/>
    <w:rsid w:val="00E20D71"/>
    <w:pPr>
      <w:spacing w:after="113" w:line="460" w:lineRule="exact"/>
    </w:pPr>
    <w:rPr>
      <w:rFonts w:ascii="Arial" w:eastAsia="Times New Roman" w:hAnsi="Arial" w:cs="Times New Roman"/>
      <w:b/>
      <w:sz w:val="42"/>
      <w:szCs w:val="24"/>
      <w:lang w:val="de-DE" w:eastAsia="de-DE"/>
    </w:rPr>
  </w:style>
  <w:style w:type="paragraph" w:customStyle="1" w:styleId="Num-DocParagraph">
    <w:name w:val="Num-Doc Paragraph"/>
    <w:basedOn w:val="BodyText"/>
    <w:rsid w:val="00E20D71"/>
    <w:pPr>
      <w:tabs>
        <w:tab w:val="left" w:pos="850"/>
        <w:tab w:val="left" w:pos="1191"/>
        <w:tab w:val="left" w:pos="1531"/>
      </w:tabs>
      <w:spacing w:before="0" w:after="240"/>
    </w:pPr>
    <w:rPr>
      <w:rFonts w:ascii="Times New Roman" w:hAnsi="Times New Roman"/>
      <w:sz w:val="22"/>
      <w:szCs w:val="22"/>
      <w:lang w:val="en-GB" w:eastAsia="zh-CN"/>
    </w:rPr>
  </w:style>
  <w:style w:type="paragraph" w:customStyle="1" w:styleId="BoxBodyText">
    <w:name w:val="Box Body Text"/>
    <w:basedOn w:val="Normal"/>
    <w:rsid w:val="00E20D71"/>
    <w:pPr>
      <w:tabs>
        <w:tab w:val="left" w:pos="850"/>
        <w:tab w:val="left" w:pos="1191"/>
        <w:tab w:val="left" w:pos="1531"/>
      </w:tabs>
      <w:spacing w:after="240" w:line="240" w:lineRule="auto"/>
      <w:ind w:firstLine="442"/>
    </w:pPr>
    <w:rPr>
      <w:rFonts w:ascii="Arial" w:eastAsia="Times New Roman" w:hAnsi="Arial" w:cs="Arial"/>
      <w:sz w:val="18"/>
      <w:lang w:val="en-US" w:eastAsia="zh-CN"/>
    </w:rPr>
  </w:style>
  <w:style w:type="character" w:customStyle="1" w:styleId="text">
    <w:name w:val="text"/>
    <w:rsid w:val="00E20D71"/>
    <w:rPr>
      <w:rFonts w:cs="Times New Roman"/>
    </w:rPr>
  </w:style>
  <w:style w:type="paragraph" w:customStyle="1" w:styleId="Textkrper1">
    <w:name w:val="Textkörper1"/>
    <w:basedOn w:val="Normal"/>
    <w:rsid w:val="00E20D71"/>
    <w:pPr>
      <w:widowControl w:val="0"/>
      <w:spacing w:before="120" w:after="0" w:line="260" w:lineRule="atLeast"/>
      <w:jc w:val="left"/>
    </w:pPr>
    <w:rPr>
      <w:rFonts w:ascii="Palatino" w:eastAsia="MS Mincho" w:hAnsi="Palatino" w:cs="Times New Roman"/>
      <w:sz w:val="20"/>
      <w:szCs w:val="20"/>
      <w:lang w:val="en-AU" w:eastAsia="de-DE"/>
    </w:rPr>
  </w:style>
  <w:style w:type="paragraph" w:customStyle="1" w:styleId="DefaultText">
    <w:name w:val="Default Text"/>
    <w:basedOn w:val="Normal"/>
    <w:rsid w:val="00E20D71"/>
    <w:pPr>
      <w:tabs>
        <w:tab w:val="left" w:pos="0"/>
      </w:tabs>
      <w:overflowPunct w:val="0"/>
      <w:autoSpaceDE w:val="0"/>
      <w:autoSpaceDN w:val="0"/>
      <w:adjustRightInd w:val="0"/>
      <w:spacing w:after="0" w:line="240" w:lineRule="auto"/>
      <w:jc w:val="left"/>
      <w:textAlignment w:val="baseline"/>
    </w:pPr>
    <w:rPr>
      <w:rFonts w:ascii="Book Antiqua" w:eastAsia="Times New Roman" w:hAnsi="Book Antiqua" w:cs="Times New Roman"/>
      <w:sz w:val="24"/>
      <w:szCs w:val="24"/>
      <w:lang w:val="de-DE" w:eastAsia="de-DE"/>
    </w:rPr>
  </w:style>
  <w:style w:type="paragraph" w:customStyle="1" w:styleId="Formatvorlage1">
    <w:name w:val="Formatvorlage1"/>
    <w:basedOn w:val="Headline"/>
    <w:rsid w:val="00E20D71"/>
    <w:pPr>
      <w:jc w:val="center"/>
    </w:pPr>
    <w:rPr>
      <w:lang w:val="en-GB"/>
    </w:rPr>
  </w:style>
  <w:style w:type="paragraph" w:customStyle="1" w:styleId="berschrift1SEA">
    <w:name w:val="Überschrift 1 SEA"/>
    <w:basedOn w:val="Headline"/>
    <w:next w:val="Heading1"/>
    <w:autoRedefine/>
    <w:rsid w:val="00E20D71"/>
    <w:rPr>
      <w:rFonts w:ascii="Times New Roman" w:hAnsi="Times New Roman"/>
      <w:sz w:val="32"/>
      <w:szCs w:val="32"/>
    </w:rPr>
  </w:style>
  <w:style w:type="paragraph" w:customStyle="1" w:styleId="Formatvorlage2">
    <w:name w:val="Formatvorlage2"/>
    <w:basedOn w:val="Headline"/>
    <w:rsid w:val="00E20D71"/>
    <w:pPr>
      <w:jc w:val="center"/>
    </w:pPr>
    <w:rPr>
      <w:lang w:val="en-GB"/>
    </w:rPr>
  </w:style>
  <w:style w:type="paragraph" w:styleId="TOC4">
    <w:name w:val="toc 4"/>
    <w:basedOn w:val="Normal"/>
    <w:next w:val="Normal"/>
    <w:autoRedefine/>
    <w:uiPriority w:val="39"/>
    <w:rsid w:val="00E20D71"/>
    <w:pPr>
      <w:spacing w:after="0" w:line="240" w:lineRule="auto"/>
      <w:ind w:left="720"/>
      <w:jc w:val="left"/>
    </w:pPr>
    <w:rPr>
      <w:rFonts w:ascii="Times New Roman" w:eastAsia="Times New Roman" w:hAnsi="Times New Roman" w:cs="Times New Roman"/>
      <w:sz w:val="24"/>
      <w:szCs w:val="24"/>
      <w:lang w:val="de-DE" w:eastAsia="de-DE"/>
    </w:rPr>
  </w:style>
  <w:style w:type="paragraph" w:styleId="TOC5">
    <w:name w:val="toc 5"/>
    <w:basedOn w:val="Normal"/>
    <w:next w:val="Normal"/>
    <w:autoRedefine/>
    <w:uiPriority w:val="39"/>
    <w:rsid w:val="00E20D71"/>
    <w:pPr>
      <w:spacing w:after="0" w:line="240" w:lineRule="auto"/>
      <w:ind w:left="960"/>
      <w:jc w:val="left"/>
    </w:pPr>
    <w:rPr>
      <w:rFonts w:ascii="Times New Roman" w:eastAsia="Times New Roman" w:hAnsi="Times New Roman" w:cs="Times New Roman"/>
      <w:sz w:val="24"/>
      <w:szCs w:val="24"/>
      <w:lang w:val="de-DE" w:eastAsia="de-DE"/>
    </w:rPr>
  </w:style>
  <w:style w:type="paragraph" w:styleId="TOC6">
    <w:name w:val="toc 6"/>
    <w:basedOn w:val="Normal"/>
    <w:next w:val="Normal"/>
    <w:autoRedefine/>
    <w:uiPriority w:val="39"/>
    <w:rsid w:val="00E20D71"/>
    <w:pPr>
      <w:spacing w:after="0" w:line="240" w:lineRule="auto"/>
      <w:ind w:left="1200"/>
      <w:jc w:val="left"/>
    </w:pPr>
    <w:rPr>
      <w:rFonts w:ascii="Times New Roman" w:eastAsia="Times New Roman" w:hAnsi="Times New Roman" w:cs="Times New Roman"/>
      <w:sz w:val="24"/>
      <w:szCs w:val="24"/>
      <w:lang w:val="de-DE" w:eastAsia="de-DE"/>
    </w:rPr>
  </w:style>
  <w:style w:type="paragraph" w:styleId="TOC7">
    <w:name w:val="toc 7"/>
    <w:basedOn w:val="Normal"/>
    <w:next w:val="Normal"/>
    <w:autoRedefine/>
    <w:uiPriority w:val="39"/>
    <w:rsid w:val="00E20D71"/>
    <w:pPr>
      <w:spacing w:after="0" w:line="240" w:lineRule="auto"/>
      <w:ind w:left="1440"/>
      <w:jc w:val="left"/>
    </w:pPr>
    <w:rPr>
      <w:rFonts w:ascii="Times New Roman" w:eastAsia="Times New Roman" w:hAnsi="Times New Roman" w:cs="Times New Roman"/>
      <w:sz w:val="24"/>
      <w:szCs w:val="24"/>
      <w:lang w:val="de-DE" w:eastAsia="de-DE"/>
    </w:rPr>
  </w:style>
  <w:style w:type="paragraph" w:styleId="TOC8">
    <w:name w:val="toc 8"/>
    <w:basedOn w:val="Normal"/>
    <w:next w:val="Normal"/>
    <w:autoRedefine/>
    <w:uiPriority w:val="39"/>
    <w:rsid w:val="00E20D71"/>
    <w:pPr>
      <w:spacing w:after="0" w:line="240" w:lineRule="auto"/>
      <w:ind w:left="1680"/>
      <w:jc w:val="left"/>
    </w:pPr>
    <w:rPr>
      <w:rFonts w:ascii="Times New Roman" w:eastAsia="Times New Roman" w:hAnsi="Times New Roman" w:cs="Times New Roman"/>
      <w:sz w:val="24"/>
      <w:szCs w:val="24"/>
      <w:lang w:val="de-DE" w:eastAsia="de-DE"/>
    </w:rPr>
  </w:style>
  <w:style w:type="paragraph" w:styleId="TOC9">
    <w:name w:val="toc 9"/>
    <w:basedOn w:val="Normal"/>
    <w:next w:val="Normal"/>
    <w:autoRedefine/>
    <w:uiPriority w:val="39"/>
    <w:rsid w:val="00E20D71"/>
    <w:pPr>
      <w:spacing w:after="0" w:line="240" w:lineRule="auto"/>
      <w:ind w:left="1920"/>
      <w:jc w:val="left"/>
    </w:pPr>
    <w:rPr>
      <w:rFonts w:ascii="Times New Roman" w:eastAsia="Times New Roman" w:hAnsi="Times New Roman" w:cs="Times New Roman"/>
      <w:sz w:val="24"/>
      <w:szCs w:val="24"/>
      <w:lang w:val="de-DE" w:eastAsia="de-DE"/>
    </w:rPr>
  </w:style>
  <w:style w:type="paragraph" w:customStyle="1" w:styleId="berschrift2SEA">
    <w:name w:val="Überschrift 2 SEA"/>
    <w:autoRedefine/>
    <w:rsid w:val="00E20D71"/>
    <w:pPr>
      <w:spacing w:after="0" w:line="240" w:lineRule="auto"/>
      <w:jc w:val="center"/>
      <w:outlineLvl w:val="1"/>
    </w:pPr>
    <w:rPr>
      <w:rFonts w:ascii="Arial" w:eastAsia="Times New Roman" w:hAnsi="Arial" w:cs="Arial"/>
      <w:b/>
      <w:bCs/>
      <w:iCs/>
      <w:sz w:val="28"/>
      <w:szCs w:val="28"/>
      <w:lang w:val="en-GB" w:eastAsia="de-DE"/>
    </w:rPr>
  </w:style>
  <w:style w:type="paragraph" w:customStyle="1" w:styleId="Inhaltsverzeichnisberschrift1">
    <w:name w:val="Inhaltsverzeichnisüberschrift1"/>
    <w:basedOn w:val="Heading1"/>
    <w:next w:val="Normal"/>
    <w:semiHidden/>
    <w:rsid w:val="00E20D71"/>
    <w:pPr>
      <w:jc w:val="center"/>
      <w:outlineLvl w:val="9"/>
    </w:pPr>
    <w:rPr>
      <w:rFonts w:ascii="Cambria" w:eastAsia="Times New Roman" w:hAnsi="Cambria" w:cs="Times New Roman"/>
      <w:color w:val="365F91"/>
      <w:lang w:val="en-US" w:eastAsia="en-US"/>
    </w:rPr>
  </w:style>
  <w:style w:type="paragraph" w:customStyle="1" w:styleId="Listenabsatz1">
    <w:name w:val="Listenabsatz1"/>
    <w:basedOn w:val="Normal"/>
    <w:rsid w:val="00E20D71"/>
    <w:pPr>
      <w:spacing w:after="0" w:line="240" w:lineRule="auto"/>
      <w:ind w:left="720"/>
      <w:contextualSpacing/>
      <w:jc w:val="left"/>
    </w:pPr>
    <w:rPr>
      <w:rFonts w:ascii="Times New Roman" w:eastAsia="Times New Roman" w:hAnsi="Times New Roman" w:cs="Times New Roman"/>
      <w:sz w:val="24"/>
      <w:szCs w:val="24"/>
      <w:lang w:val="de-DE" w:eastAsia="de-DE"/>
    </w:rPr>
  </w:style>
  <w:style w:type="paragraph" w:customStyle="1" w:styleId="Head1">
    <w:name w:val="Head 1"/>
    <w:basedOn w:val="Normal"/>
    <w:next w:val="Normal"/>
    <w:rsid w:val="00E20D71"/>
    <w:pPr>
      <w:adjustRightInd w:val="0"/>
      <w:snapToGrid w:val="0"/>
      <w:spacing w:after="0" w:line="240" w:lineRule="auto"/>
      <w:jc w:val="left"/>
    </w:pPr>
    <w:rPr>
      <w:rFonts w:ascii="Arial" w:eastAsia="Times New Roman" w:hAnsi="Arial" w:cs="Tahoma"/>
      <w:b/>
      <w:sz w:val="24"/>
      <w:szCs w:val="24"/>
      <w:lang w:val="en-US" w:eastAsia="en-US"/>
    </w:rPr>
  </w:style>
  <w:style w:type="paragraph" w:customStyle="1" w:styleId="Head2">
    <w:name w:val="Head 2"/>
    <w:basedOn w:val="Normal"/>
    <w:next w:val="Normal"/>
    <w:rsid w:val="00E20D71"/>
    <w:pPr>
      <w:adjustRightInd w:val="0"/>
      <w:snapToGrid w:val="0"/>
      <w:spacing w:after="0" w:line="240" w:lineRule="auto"/>
      <w:jc w:val="left"/>
    </w:pPr>
    <w:rPr>
      <w:rFonts w:ascii="Arial" w:eastAsia="Times New Roman" w:hAnsi="Arial" w:cs="Tahoma"/>
      <w:szCs w:val="24"/>
      <w:lang w:val="en-US" w:eastAsia="en-US"/>
    </w:rPr>
  </w:style>
  <w:style w:type="paragraph" w:customStyle="1" w:styleId="TOCHeading1">
    <w:name w:val="TOC Heading1"/>
    <w:basedOn w:val="Heading1"/>
    <w:next w:val="Normal"/>
    <w:semiHidden/>
    <w:rsid w:val="00E20D71"/>
    <w:pPr>
      <w:jc w:val="center"/>
      <w:outlineLvl w:val="9"/>
    </w:pPr>
    <w:rPr>
      <w:rFonts w:ascii="Cambria" w:eastAsia="Times New Roman" w:hAnsi="Cambria" w:cs="Times New Roman"/>
      <w:color w:val="365F91"/>
      <w:lang w:val="en-US" w:eastAsia="en-US"/>
    </w:rPr>
  </w:style>
  <w:style w:type="paragraph" w:customStyle="1" w:styleId="ListParagraph1">
    <w:name w:val="List Paragraph1"/>
    <w:basedOn w:val="Normal"/>
    <w:rsid w:val="00E20D71"/>
    <w:pPr>
      <w:spacing w:after="0" w:line="240" w:lineRule="auto"/>
      <w:ind w:left="720"/>
      <w:contextualSpacing/>
      <w:jc w:val="left"/>
    </w:pPr>
    <w:rPr>
      <w:rFonts w:ascii="Times New Roman" w:eastAsia="Times New Roman" w:hAnsi="Times New Roman" w:cs="Times New Roman"/>
      <w:sz w:val="24"/>
      <w:szCs w:val="24"/>
      <w:lang w:val="de-DE" w:eastAsia="de-DE"/>
    </w:rPr>
  </w:style>
  <w:style w:type="paragraph" w:customStyle="1" w:styleId="Revision1">
    <w:name w:val="Revision1"/>
    <w:hidden/>
    <w:semiHidden/>
    <w:rsid w:val="00E20D71"/>
    <w:pPr>
      <w:spacing w:after="0" w:line="240" w:lineRule="auto"/>
    </w:pPr>
    <w:rPr>
      <w:rFonts w:ascii="Times New Roman" w:eastAsia="Times New Roman" w:hAnsi="Times New Roman" w:cs="Times New Roman"/>
      <w:sz w:val="24"/>
      <w:szCs w:val="24"/>
      <w:lang w:val="de-DE" w:eastAsia="de-DE"/>
    </w:rPr>
  </w:style>
  <w:style w:type="paragraph" w:customStyle="1" w:styleId="FarbigeListe-Akzent11">
    <w:name w:val="Farbige Liste - Akzent 11"/>
    <w:basedOn w:val="Normal"/>
    <w:rsid w:val="00E20D71"/>
    <w:pPr>
      <w:spacing w:after="0" w:line="240" w:lineRule="auto"/>
      <w:ind w:left="708"/>
      <w:jc w:val="left"/>
    </w:pPr>
    <w:rPr>
      <w:rFonts w:ascii="Times New Roman" w:eastAsia="Times New Roman" w:hAnsi="Times New Roman" w:cs="Times New Roman"/>
      <w:sz w:val="24"/>
      <w:szCs w:val="24"/>
      <w:lang w:val="de-DE" w:eastAsia="de-DE"/>
    </w:rPr>
  </w:style>
  <w:style w:type="paragraph" w:customStyle="1" w:styleId="msonormalcxspmiddle">
    <w:name w:val="msonormalcxspmiddle"/>
    <w:basedOn w:val="Normal"/>
    <w:rsid w:val="00E20D71"/>
    <w:pPr>
      <w:spacing w:before="100" w:beforeAutospacing="1" w:after="100" w:afterAutospacing="1" w:line="240" w:lineRule="auto"/>
      <w:jc w:val="left"/>
    </w:pPr>
    <w:rPr>
      <w:rFonts w:ascii="Times New Roman" w:eastAsia="Times New Roman" w:hAnsi="Times New Roman" w:cs="Times New Roman"/>
      <w:sz w:val="24"/>
      <w:szCs w:val="24"/>
      <w:lang w:val="en-US" w:eastAsia="en-US"/>
    </w:rPr>
  </w:style>
  <w:style w:type="character" w:customStyle="1" w:styleId="apple-style-span">
    <w:name w:val="apple-style-span"/>
    <w:basedOn w:val="DefaultParagraphFont"/>
    <w:rsid w:val="00E20D71"/>
  </w:style>
  <w:style w:type="paragraph" w:customStyle="1" w:styleId="FarbigeSchattierung-Akzent11">
    <w:name w:val="Farbige Schattierung - Akzent 11"/>
    <w:hidden/>
    <w:uiPriority w:val="99"/>
    <w:semiHidden/>
    <w:rsid w:val="00E20D71"/>
    <w:pPr>
      <w:spacing w:after="0" w:line="240" w:lineRule="auto"/>
    </w:pPr>
    <w:rPr>
      <w:rFonts w:ascii="Times New Roman" w:eastAsia="Times New Roman" w:hAnsi="Times New Roman" w:cs="Times New Roman"/>
      <w:sz w:val="24"/>
      <w:szCs w:val="24"/>
      <w:lang w:val="de-DE" w:eastAsia="de-DE"/>
    </w:rPr>
  </w:style>
  <w:style w:type="paragraph" w:customStyle="1" w:styleId="TOCHeading2">
    <w:name w:val="TOC Heading2"/>
    <w:basedOn w:val="Heading1"/>
    <w:next w:val="Normal"/>
    <w:uiPriority w:val="39"/>
    <w:semiHidden/>
    <w:unhideWhenUsed/>
    <w:qFormat/>
    <w:rsid w:val="00E20D71"/>
    <w:pPr>
      <w:jc w:val="center"/>
      <w:outlineLvl w:val="9"/>
    </w:pPr>
    <w:rPr>
      <w:rFonts w:ascii="Cambria" w:eastAsia="Times New Roman" w:hAnsi="Cambria" w:cs="Times New Roman"/>
      <w:color w:val="365F91"/>
      <w:lang w:val="en-US" w:eastAsia="en-US"/>
    </w:rPr>
  </w:style>
  <w:style w:type="paragraph" w:customStyle="1" w:styleId="Aufzhlung">
    <w:name w:val="Aufzählung"/>
    <w:basedOn w:val="Normal"/>
    <w:link w:val="AufzhlungZchn"/>
    <w:qFormat/>
    <w:rsid w:val="00E20D71"/>
    <w:pPr>
      <w:numPr>
        <w:numId w:val="10"/>
      </w:numPr>
      <w:spacing w:after="60" w:line="240" w:lineRule="auto"/>
      <w:jc w:val="left"/>
    </w:pPr>
    <w:rPr>
      <w:rFonts w:ascii="Arial" w:eastAsia="Times New Roman" w:hAnsi="Arial" w:cs="Arial"/>
      <w:lang w:val="en-US" w:eastAsia="de-DE"/>
    </w:rPr>
  </w:style>
  <w:style w:type="character" w:customStyle="1" w:styleId="AufzhlungZchn">
    <w:name w:val="Aufzählung Zchn"/>
    <w:link w:val="Aufzhlung"/>
    <w:rsid w:val="00E20D71"/>
    <w:rPr>
      <w:rFonts w:ascii="Arial" w:eastAsia="Times New Roman" w:hAnsi="Arial" w:cs="Arial"/>
      <w:lang w:eastAsia="de-DE"/>
    </w:rPr>
  </w:style>
  <w:style w:type="paragraph" w:customStyle="1" w:styleId="Textbox">
    <w:name w:val="Textbox"/>
    <w:basedOn w:val="Normal"/>
    <w:link w:val="TextboxZchn"/>
    <w:qFormat/>
    <w:rsid w:val="00E20D71"/>
    <w:pPr>
      <w:spacing w:after="60" w:line="240" w:lineRule="auto"/>
      <w:jc w:val="left"/>
    </w:pPr>
    <w:rPr>
      <w:rFonts w:ascii="Arial" w:eastAsia="Times New Roman" w:hAnsi="Arial" w:cs="Arial"/>
      <w:bCs/>
      <w:i/>
      <w:iCs/>
      <w:szCs w:val="24"/>
      <w:lang w:val="en-US" w:eastAsia="de-DE"/>
    </w:rPr>
  </w:style>
  <w:style w:type="character" w:customStyle="1" w:styleId="TextboxZchn">
    <w:name w:val="Textbox Zchn"/>
    <w:link w:val="Textbox"/>
    <w:rsid w:val="00E20D71"/>
    <w:rPr>
      <w:rFonts w:ascii="Arial" w:eastAsia="Times New Roman" w:hAnsi="Arial" w:cs="Arial"/>
      <w:bCs/>
      <w:i/>
      <w:iCs/>
      <w:szCs w:val="24"/>
      <w:lang w:eastAsia="de-DE"/>
    </w:rPr>
  </w:style>
  <w:style w:type="paragraph" w:customStyle="1" w:styleId="Tabellenberschrift">
    <w:name w:val="Tabellenüberschrift"/>
    <w:basedOn w:val="Normal"/>
    <w:link w:val="TabellenberschriftZchn"/>
    <w:qFormat/>
    <w:rsid w:val="00E20D71"/>
    <w:pPr>
      <w:spacing w:after="0" w:line="240" w:lineRule="auto"/>
      <w:jc w:val="left"/>
    </w:pPr>
    <w:rPr>
      <w:rFonts w:ascii="Arial" w:eastAsia="Times New Roman" w:hAnsi="Arial" w:cs="Arial"/>
      <w:b/>
      <w:sz w:val="20"/>
      <w:szCs w:val="24"/>
      <w:lang w:val="en-US" w:eastAsia="de-DE"/>
    </w:rPr>
  </w:style>
  <w:style w:type="character" w:customStyle="1" w:styleId="TabellenberschriftZchn">
    <w:name w:val="Tabellenüberschrift Zchn"/>
    <w:link w:val="Tabellenberschrift"/>
    <w:rsid w:val="00E20D71"/>
    <w:rPr>
      <w:rFonts w:ascii="Arial" w:eastAsia="Times New Roman" w:hAnsi="Arial" w:cs="Arial"/>
      <w:b/>
      <w:sz w:val="20"/>
      <w:szCs w:val="24"/>
      <w:lang w:eastAsia="de-DE"/>
    </w:rPr>
  </w:style>
  <w:style w:type="paragraph" w:customStyle="1" w:styleId="Nummerierung">
    <w:name w:val="Nummerierung"/>
    <w:basedOn w:val="Aufzhlung"/>
    <w:link w:val="NummerierungZchn"/>
    <w:qFormat/>
    <w:rsid w:val="00E20D71"/>
    <w:pPr>
      <w:numPr>
        <w:numId w:val="0"/>
      </w:numPr>
    </w:pPr>
  </w:style>
  <w:style w:type="character" w:customStyle="1" w:styleId="NummerierungZchn">
    <w:name w:val="Nummerierung Zchn"/>
    <w:link w:val="Nummerierung"/>
    <w:rsid w:val="00E20D71"/>
    <w:rPr>
      <w:rFonts w:ascii="Arial" w:eastAsia="Times New Roman" w:hAnsi="Arial" w:cs="Arial"/>
      <w:lang w:eastAsia="de-DE"/>
    </w:rPr>
  </w:style>
  <w:style w:type="paragraph" w:customStyle="1" w:styleId="Zwischenberschrift2">
    <w:name w:val="Zwischenüberschrift2"/>
    <w:basedOn w:val="Standardtextbody"/>
    <w:link w:val="Zwischenberschrift2Zchn"/>
    <w:qFormat/>
    <w:rsid w:val="00E20D71"/>
    <w:pPr>
      <w:spacing w:before="240" w:after="60"/>
    </w:pPr>
    <w:rPr>
      <w:rFonts w:eastAsia="Times New Roman"/>
      <w:lang w:eastAsia="de-DE"/>
    </w:rPr>
  </w:style>
  <w:style w:type="character" w:customStyle="1" w:styleId="Zwischenberschrift2Zchn">
    <w:name w:val="Zwischenüberschrift2 Zchn"/>
    <w:link w:val="Zwischenberschrift2"/>
    <w:rsid w:val="00E20D71"/>
    <w:rPr>
      <w:rFonts w:ascii="Arial" w:eastAsia="Times New Roman" w:hAnsi="Arial" w:cs="Arial"/>
      <w:bCs/>
      <w:iCs/>
      <w:lang w:eastAsia="de-DE"/>
    </w:rPr>
  </w:style>
  <w:style w:type="paragraph" w:customStyle="1" w:styleId="zustzlinfo">
    <w:name w:val="zusätzl info"/>
    <w:basedOn w:val="Standardtextbody"/>
    <w:link w:val="zustzlinfoZchn"/>
    <w:qFormat/>
    <w:rsid w:val="00E20D71"/>
    <w:pPr>
      <w:shd w:val="clear" w:color="auto" w:fill="F2F2F2"/>
    </w:pPr>
    <w:rPr>
      <w:rFonts w:eastAsia="Times New Roman"/>
      <w:i/>
      <w:lang w:eastAsia="de-DE"/>
    </w:rPr>
  </w:style>
  <w:style w:type="character" w:customStyle="1" w:styleId="zustzlinfoZchn">
    <w:name w:val="zusätzl info Zchn"/>
    <w:link w:val="zustzlinfo"/>
    <w:rsid w:val="00E20D71"/>
    <w:rPr>
      <w:rFonts w:ascii="Arial" w:eastAsia="Times New Roman" w:hAnsi="Arial" w:cs="Arial"/>
      <w:bCs/>
      <w:i/>
      <w:iCs/>
      <w:shd w:val="clear" w:color="auto" w:fill="F2F2F2"/>
      <w:lang w:eastAsia="de-DE"/>
    </w:rPr>
  </w:style>
  <w:style w:type="paragraph" w:customStyle="1" w:styleId="Tabellentext">
    <w:name w:val="Tabellentext"/>
    <w:basedOn w:val="Standardtextbody"/>
    <w:link w:val="TabellentextZchn"/>
    <w:qFormat/>
    <w:rsid w:val="00E20D71"/>
    <w:pPr>
      <w:spacing w:after="0" w:line="240" w:lineRule="auto"/>
    </w:pPr>
    <w:rPr>
      <w:rFonts w:eastAsia="Times New Roman"/>
      <w:sz w:val="20"/>
      <w:lang w:eastAsia="de-DE"/>
    </w:rPr>
  </w:style>
  <w:style w:type="character" w:customStyle="1" w:styleId="TabellentextZchn">
    <w:name w:val="Tabellentext Zchn"/>
    <w:link w:val="Tabellentext"/>
    <w:rsid w:val="00E20D71"/>
    <w:rPr>
      <w:rFonts w:ascii="Arial" w:eastAsia="Times New Roman" w:hAnsi="Arial" w:cs="Arial"/>
      <w:bCs/>
      <w:iCs/>
      <w:sz w:val="20"/>
      <w:lang w:eastAsia="de-DE"/>
    </w:rPr>
  </w:style>
  <w:style w:type="paragraph" w:customStyle="1" w:styleId="Zwischenberschrift3">
    <w:name w:val="Zwischenüberschrift3"/>
    <w:basedOn w:val="Zwischenberschrift2"/>
    <w:link w:val="Zwischenberschrift3Zchn"/>
    <w:qFormat/>
    <w:rsid w:val="00E20D71"/>
    <w:rPr>
      <w:u w:val="single"/>
    </w:rPr>
  </w:style>
  <w:style w:type="character" w:customStyle="1" w:styleId="Zwischenberschrift3Zchn">
    <w:name w:val="Zwischenüberschrift3 Zchn"/>
    <w:link w:val="Zwischenberschrift3"/>
    <w:rsid w:val="00E20D71"/>
    <w:rPr>
      <w:rFonts w:ascii="Arial" w:eastAsia="Times New Roman" w:hAnsi="Arial" w:cs="Arial"/>
      <w:bCs/>
      <w:iCs/>
      <w:u w:val="single"/>
      <w:lang w:eastAsia="de-DE"/>
    </w:rPr>
  </w:style>
  <w:style w:type="paragraph" w:styleId="TableofFigures">
    <w:name w:val="table of figures"/>
    <w:basedOn w:val="Normal"/>
    <w:next w:val="Normal"/>
    <w:uiPriority w:val="99"/>
    <w:rsid w:val="00E20D71"/>
    <w:pPr>
      <w:spacing w:after="0" w:line="240" w:lineRule="auto"/>
      <w:jc w:val="left"/>
    </w:pPr>
    <w:rPr>
      <w:rFonts w:ascii="Calibri" w:eastAsia="Times New Roman" w:hAnsi="Calibri" w:cs="Times New Roman"/>
      <w:i/>
      <w:iCs/>
      <w:sz w:val="20"/>
      <w:szCs w:val="20"/>
      <w:lang w:val="de-DE" w:eastAsia="de-DE"/>
    </w:rPr>
  </w:style>
  <w:style w:type="paragraph" w:customStyle="1" w:styleId="AufzTabellentext">
    <w:name w:val="Aufz_Tabellentext"/>
    <w:basedOn w:val="Standardtextbody"/>
    <w:link w:val="AufzTabellentextZchn"/>
    <w:qFormat/>
    <w:rsid w:val="00E20D71"/>
    <w:pPr>
      <w:numPr>
        <w:numId w:val="9"/>
      </w:numPr>
      <w:spacing w:after="60" w:line="240" w:lineRule="auto"/>
      <w:ind w:left="357" w:hanging="357"/>
    </w:pPr>
    <w:rPr>
      <w:rFonts w:eastAsia="Times New Roman"/>
      <w:sz w:val="20"/>
      <w:lang w:eastAsia="de-DE"/>
    </w:rPr>
  </w:style>
  <w:style w:type="character" w:customStyle="1" w:styleId="AufzTabellentextZchn">
    <w:name w:val="Aufz_Tabellentext Zchn"/>
    <w:link w:val="AufzTabellentext"/>
    <w:rsid w:val="00E20D71"/>
    <w:rPr>
      <w:rFonts w:ascii="Arial" w:eastAsia="Times New Roman" w:hAnsi="Arial" w:cs="Arial"/>
      <w:bCs/>
      <w:iCs/>
      <w:sz w:val="20"/>
      <w:lang w:eastAsia="de-DE"/>
    </w:rPr>
  </w:style>
  <w:style w:type="paragraph" w:customStyle="1" w:styleId="Sprechblasentext1">
    <w:name w:val="Sprechblasentext1"/>
    <w:basedOn w:val="Normal"/>
    <w:semiHidden/>
    <w:rsid w:val="00E20D71"/>
    <w:pPr>
      <w:spacing w:after="0" w:line="240" w:lineRule="auto"/>
      <w:jc w:val="left"/>
    </w:pPr>
    <w:rPr>
      <w:rFonts w:ascii="Tahoma" w:eastAsia="Times New Roman" w:hAnsi="Tahoma" w:cs="Tahoma"/>
      <w:sz w:val="16"/>
      <w:szCs w:val="16"/>
      <w:lang w:val="de-DE" w:eastAsia="de-DE"/>
    </w:rPr>
  </w:style>
  <w:style w:type="paragraph" w:customStyle="1" w:styleId="standardtextbody0">
    <w:name w:val="standardtextbody"/>
    <w:basedOn w:val="Normal"/>
    <w:rsid w:val="00E20D71"/>
    <w:pPr>
      <w:spacing w:line="280" w:lineRule="atLeast"/>
      <w:jc w:val="left"/>
    </w:pPr>
    <w:rPr>
      <w:rFonts w:ascii="Arial" w:eastAsia="Calibri" w:hAnsi="Arial" w:cs="Arial"/>
      <w:lang w:val="de-DE" w:eastAsia="de-DE"/>
    </w:rPr>
  </w:style>
  <w:style w:type="paragraph" w:customStyle="1" w:styleId="berschriftzwischentextbody0">
    <w:name w:val="berschriftzwischentextbody"/>
    <w:basedOn w:val="Normal"/>
    <w:rsid w:val="00E20D71"/>
    <w:pPr>
      <w:keepNext/>
      <w:spacing w:before="360" w:line="280" w:lineRule="atLeast"/>
      <w:jc w:val="left"/>
    </w:pPr>
    <w:rPr>
      <w:rFonts w:ascii="Arial" w:eastAsia="Calibri" w:hAnsi="Arial" w:cs="Arial"/>
      <w:b/>
      <w:bCs/>
      <w:sz w:val="24"/>
      <w:szCs w:val="24"/>
      <w:lang w:val="de-DE" w:eastAsia="de-DE"/>
    </w:rPr>
  </w:style>
  <w:style w:type="paragraph" w:customStyle="1" w:styleId="ITinstructiontext">
    <w:name w:val="IT instruction text"/>
    <w:basedOn w:val="Normal"/>
    <w:link w:val="ITinstructiontextChar"/>
    <w:rsid w:val="00E20D71"/>
    <w:pPr>
      <w:tabs>
        <w:tab w:val="left" w:pos="340"/>
      </w:tabs>
      <w:spacing w:before="80" w:after="40" w:line="280" w:lineRule="atLeast"/>
      <w:jc w:val="left"/>
    </w:pPr>
    <w:rPr>
      <w:rFonts w:ascii="Arial" w:eastAsia="Times" w:hAnsi="Arial" w:cs="Times New Roman"/>
      <w:kern w:val="28"/>
      <w:sz w:val="28"/>
      <w:szCs w:val="20"/>
      <w:lang w:val="en-GB" w:eastAsia="en-US"/>
    </w:rPr>
  </w:style>
  <w:style w:type="character" w:customStyle="1" w:styleId="ITinstructiontextChar">
    <w:name w:val="IT instruction text Char"/>
    <w:link w:val="ITinstructiontext"/>
    <w:rsid w:val="00E20D71"/>
    <w:rPr>
      <w:rFonts w:ascii="Arial" w:eastAsia="Times" w:hAnsi="Arial" w:cs="Times New Roman"/>
      <w:kern w:val="28"/>
      <w:sz w:val="28"/>
      <w:szCs w:val="20"/>
      <w:lang w:val="en-GB"/>
    </w:rPr>
  </w:style>
  <w:style w:type="character" w:customStyle="1" w:styleId="shorttext">
    <w:name w:val="short_text"/>
    <w:rsid w:val="00E20D71"/>
  </w:style>
  <w:style w:type="paragraph" w:styleId="BodyTextIndent">
    <w:name w:val="Body Text Indent"/>
    <w:basedOn w:val="Normal"/>
    <w:link w:val="BodyTextIndentChar"/>
    <w:rsid w:val="00E20D71"/>
    <w:pPr>
      <w:spacing w:line="240" w:lineRule="auto"/>
      <w:ind w:left="283"/>
      <w:jc w:val="left"/>
    </w:pPr>
    <w:rPr>
      <w:rFonts w:ascii="Times New Roman" w:eastAsia="Times New Roman" w:hAnsi="Times New Roman" w:cs="Times New Roman"/>
      <w:sz w:val="24"/>
      <w:szCs w:val="24"/>
      <w:lang w:val="de-DE" w:eastAsia="de-DE"/>
    </w:rPr>
  </w:style>
  <w:style w:type="character" w:customStyle="1" w:styleId="BodyTextIndentChar">
    <w:name w:val="Body Text Indent Char"/>
    <w:basedOn w:val="DefaultParagraphFont"/>
    <w:link w:val="BodyTextIndent"/>
    <w:rsid w:val="00E20D71"/>
    <w:rPr>
      <w:rFonts w:ascii="Times New Roman" w:eastAsia="Times New Roman" w:hAnsi="Times New Roman" w:cs="Times New Roman"/>
      <w:sz w:val="24"/>
      <w:szCs w:val="24"/>
      <w:lang w:val="de-DE" w:eastAsia="de-DE"/>
    </w:rPr>
  </w:style>
  <w:style w:type="paragraph" w:customStyle="1" w:styleId="p">
    <w:name w:val="p"/>
    <w:basedOn w:val="Normal"/>
    <w:rsid w:val="00E20D71"/>
    <w:pPr>
      <w:spacing w:before="100" w:beforeAutospacing="1" w:after="100" w:afterAutospacing="1" w:line="240" w:lineRule="auto"/>
      <w:jc w:val="left"/>
    </w:pPr>
    <w:rPr>
      <w:rFonts w:ascii="Times New Roman" w:eastAsiaTheme="minorHAnsi" w:hAnsi="Times New Roman" w:cs="Times New Roman"/>
      <w:sz w:val="24"/>
      <w:szCs w:val="24"/>
      <w:lang w:val="en-US" w:eastAsia="en-US"/>
    </w:rPr>
  </w:style>
  <w:style w:type="paragraph" w:customStyle="1" w:styleId="Blockabsatz">
    <w:name w:val="Blockabsatz"/>
    <w:basedOn w:val="Normal"/>
    <w:rsid w:val="00E20D71"/>
    <w:pPr>
      <w:spacing w:before="240" w:after="0" w:line="260" w:lineRule="exact"/>
    </w:pPr>
    <w:rPr>
      <w:rFonts w:ascii="Frutiger 55 Roman" w:eastAsia="Times New Roman" w:hAnsi="Frutiger 55 Roman" w:cs="Times New Roman"/>
      <w:sz w:val="20"/>
      <w:szCs w:val="20"/>
      <w:lang w:val="de-DE" w:eastAsia="de-DE"/>
    </w:rPr>
  </w:style>
  <w:style w:type="table" w:customStyle="1" w:styleId="LightGrid-Accent11">
    <w:name w:val="Light Grid - Accent 11"/>
    <w:basedOn w:val="TableNormal"/>
    <w:uiPriority w:val="62"/>
    <w:rsid w:val="00E20D71"/>
    <w:pPr>
      <w:spacing w:after="0" w:line="240" w:lineRule="auto"/>
    </w:pPr>
    <w:rPr>
      <w:rFonts w:eastAsiaTheme="minorEastAsia"/>
      <w:lang w:val="it-IT" w:eastAsia="it-IT"/>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customStyle="1" w:styleId="PlainTable41">
    <w:name w:val="Plain Table 41"/>
    <w:basedOn w:val="TableNormal"/>
    <w:uiPriority w:val="44"/>
    <w:rsid w:val="00E20D71"/>
    <w:pPr>
      <w:spacing w:after="0" w:line="240" w:lineRule="auto"/>
    </w:pPr>
    <w:rPr>
      <w:rFonts w:eastAsia="MS Mincho"/>
      <w:sz w:val="24"/>
      <w:szCs w:val="24"/>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numbering" w:customStyle="1" w:styleId="NoList1">
    <w:name w:val="No List1"/>
    <w:next w:val="NoList"/>
    <w:uiPriority w:val="99"/>
    <w:semiHidden/>
    <w:unhideWhenUsed/>
    <w:rsid w:val="00E20D71"/>
  </w:style>
  <w:style w:type="table" w:customStyle="1" w:styleId="Tabellengitternetz1">
    <w:name w:val="Tabellengitternetz1"/>
    <w:basedOn w:val="TableNormal"/>
    <w:next w:val="TableGrid"/>
    <w:uiPriority w:val="39"/>
    <w:rsid w:val="00E20D71"/>
    <w:pPr>
      <w:spacing w:after="0" w:line="240" w:lineRule="auto"/>
    </w:pPr>
    <w:rPr>
      <w:rFonts w:ascii="Times New Roman" w:eastAsia="Times New Roman" w:hAnsi="Times New Roman" w:cs="Times New Roman"/>
      <w:sz w:val="20"/>
      <w:szCs w:val="20"/>
      <w:lang w:val="it-IT"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fondomedio1-Colore111">
    <w:name w:val="Sfondo medio 1 - Colore 111"/>
    <w:uiPriority w:val="63"/>
    <w:rsid w:val="00E20D71"/>
    <w:pPr>
      <w:spacing w:after="0" w:line="240" w:lineRule="auto"/>
    </w:pPr>
    <w:rPr>
      <w:rFonts w:ascii="Times New Roman" w:eastAsia="Times New Roman" w:hAnsi="Times New Roman" w:cs="Times New Roman"/>
      <w:sz w:val="20"/>
      <w:szCs w:val="20"/>
      <w:lang w:val="it-IT" w:eastAsia="it-IT"/>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style>
  <w:style w:type="table" w:customStyle="1" w:styleId="LightShading-Accent121">
    <w:name w:val="Light Shading - Accent 121"/>
    <w:basedOn w:val="TableNormal"/>
    <w:next w:val="LightShading-Accent12"/>
    <w:uiPriority w:val="60"/>
    <w:rsid w:val="00E20D71"/>
    <w:pPr>
      <w:spacing w:after="0" w:line="240" w:lineRule="auto"/>
    </w:pPr>
    <w:rPr>
      <w:rFonts w:ascii="Times New Roman" w:eastAsia="Times New Roman" w:hAnsi="Times New Roman" w:cs="Times New Roman"/>
      <w:color w:val="365F91" w:themeColor="accent1" w:themeShade="BF"/>
      <w:lang w:val="it-IT" w:eastAsia="it-IT"/>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LightList-Accent21">
    <w:name w:val="Light List - Accent 21"/>
    <w:basedOn w:val="TableNormal"/>
    <w:next w:val="LightList-Accent2"/>
    <w:uiPriority w:val="61"/>
    <w:rsid w:val="00E20D71"/>
    <w:pPr>
      <w:spacing w:after="0" w:line="240" w:lineRule="auto"/>
    </w:pPr>
    <w:rPr>
      <w:rFonts w:ascii="Times New Roman" w:eastAsia="Times New Roman" w:hAnsi="Times New Roman" w:cs="Times New Roman"/>
      <w:lang w:val="it-IT" w:eastAsia="it-IT"/>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mainbidtable1">
    <w:name w:val="main bid table1"/>
    <w:basedOn w:val="TableNormal"/>
    <w:uiPriority w:val="99"/>
    <w:rsid w:val="00E20D71"/>
    <w:pPr>
      <w:spacing w:before="60" w:after="0" w:line="240" w:lineRule="auto"/>
    </w:pPr>
    <w:rPr>
      <w:rFonts w:ascii="Arial" w:eastAsia="Times New Roman" w:hAnsi="Arial" w:cs="Times New Roman"/>
      <w:sz w:val="20"/>
      <w:szCs w:val="20"/>
      <w:lang w:val="en-GB" w:eastAsia="en-GB"/>
    </w:rPr>
    <w:tblPr>
      <w:tblStyleRowBandSize w:val="1"/>
      <w:tblStyleColBandSize w:val="1"/>
      <w:tblBorders>
        <w:left w:val="single" w:sz="4" w:space="0" w:color="0055A0"/>
        <w:bottom w:val="single" w:sz="4" w:space="0" w:color="0055A0"/>
        <w:right w:val="single" w:sz="4" w:space="0" w:color="0055A0"/>
        <w:insideV w:val="single" w:sz="4" w:space="0" w:color="0055A0"/>
      </w:tblBorders>
    </w:tblPr>
    <w:tcPr>
      <w:vAlign w:val="center"/>
    </w:tcPr>
    <w:tblStylePr w:type="firstRow">
      <w:rPr>
        <w:color w:val="FFFFFF"/>
      </w:rPr>
      <w:tblPr/>
      <w:tcPr>
        <w:tcBorders>
          <w:top w:val="nil"/>
          <w:left w:val="single" w:sz="4" w:space="0" w:color="0055A0"/>
          <w:bottom w:val="nil"/>
          <w:right w:val="single" w:sz="4" w:space="0" w:color="0055A0"/>
          <w:insideH w:val="nil"/>
          <w:insideV w:val="nil"/>
          <w:tl2br w:val="nil"/>
          <w:tr2bl w:val="nil"/>
        </w:tcBorders>
        <w:shd w:val="clear" w:color="auto" w:fill="006BB7"/>
      </w:tcPr>
    </w:tblStylePr>
    <w:tblStylePr w:type="band1Vert">
      <w:pPr>
        <w:jc w:val="left"/>
      </w:pPr>
      <w:tblPr/>
      <w:tcPr>
        <w:shd w:val="clear" w:color="auto" w:fill="F5F9FC"/>
      </w:tcPr>
    </w:tblStylePr>
    <w:tblStylePr w:type="band1Horz">
      <w:tblPr/>
      <w:tcPr>
        <w:shd w:val="clear" w:color="auto" w:fill="EDF3F7"/>
      </w:tcPr>
    </w:tblStylePr>
    <w:tblStylePr w:type="band2Horz">
      <w:tblPr/>
      <w:tcPr>
        <w:tcBorders>
          <w:insideV w:val="single" w:sz="4" w:space="0" w:color="0055A0"/>
        </w:tcBorders>
        <w:shd w:val="clear" w:color="auto" w:fill="FFFFFF"/>
      </w:tcPr>
    </w:tblStylePr>
  </w:style>
  <w:style w:type="table" w:customStyle="1" w:styleId="GridTable1Light-Accent111">
    <w:name w:val="Grid Table 1 Light - Accent 111"/>
    <w:basedOn w:val="TableNormal"/>
    <w:uiPriority w:val="46"/>
    <w:rsid w:val="00E20D71"/>
    <w:pPr>
      <w:spacing w:after="0" w:line="240" w:lineRule="auto"/>
    </w:pPr>
    <w:rPr>
      <w:rFonts w:eastAsiaTheme="minorEastAsia"/>
      <w:lang w:val="it-IT" w:eastAsia="it-IT"/>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GridTable2-Accent111">
    <w:name w:val="Grid Table 2 - Accent 111"/>
    <w:basedOn w:val="TableNormal"/>
    <w:uiPriority w:val="47"/>
    <w:rsid w:val="00E20D71"/>
    <w:pPr>
      <w:spacing w:after="0" w:line="240" w:lineRule="auto"/>
    </w:pPr>
    <w:rPr>
      <w:rFonts w:eastAsiaTheme="minorEastAsia"/>
      <w:lang w:val="it-IT" w:eastAsia="it-IT"/>
    </w:rPr>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ghtShading-Accent51">
    <w:name w:val="Light Shading - Accent 51"/>
    <w:basedOn w:val="TableNormal"/>
    <w:next w:val="LightShading-Accent5"/>
    <w:uiPriority w:val="60"/>
    <w:rsid w:val="00E20D71"/>
    <w:pPr>
      <w:spacing w:after="0" w:line="240" w:lineRule="auto"/>
    </w:pPr>
    <w:rPr>
      <w:rFonts w:eastAsiaTheme="minorEastAsia"/>
      <w:color w:val="31849B" w:themeColor="accent5" w:themeShade="BF"/>
      <w:lang w:val="it-IT" w:eastAsia="it-IT"/>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GridTable1Light11">
    <w:name w:val="Grid Table 1 Light11"/>
    <w:basedOn w:val="TableNormal"/>
    <w:uiPriority w:val="46"/>
    <w:rsid w:val="00E20D71"/>
    <w:pPr>
      <w:spacing w:after="0" w:line="240" w:lineRule="auto"/>
    </w:pPr>
    <w:rPr>
      <w:rFonts w:eastAsia="MS Mincho"/>
      <w:lang w:val="it-IT"/>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6Colorful-Accent111">
    <w:name w:val="Grid Table 6 Colorful - Accent 111"/>
    <w:basedOn w:val="TableNormal"/>
    <w:uiPriority w:val="51"/>
    <w:rsid w:val="00E20D71"/>
    <w:pPr>
      <w:spacing w:after="0" w:line="240" w:lineRule="auto"/>
    </w:pPr>
    <w:rPr>
      <w:rFonts w:eastAsiaTheme="minorEastAsia"/>
      <w:lang w:val="it-IT" w:eastAsia="it-IT"/>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TableGridLight11">
    <w:name w:val="Table Grid Light11"/>
    <w:basedOn w:val="TableNormal"/>
    <w:uiPriority w:val="40"/>
    <w:rsid w:val="00E20D71"/>
    <w:pPr>
      <w:spacing w:after="0" w:line="240" w:lineRule="auto"/>
    </w:pPr>
    <w:rPr>
      <w:rFonts w:eastAsiaTheme="minorEastAsia"/>
      <w:lang w:val="it-IT" w:eastAsia="it-IT"/>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LightGrid-Accent111">
    <w:name w:val="Light Grid - Accent 111"/>
    <w:basedOn w:val="TableNormal"/>
    <w:next w:val="LightGrid-Accent11"/>
    <w:uiPriority w:val="62"/>
    <w:rsid w:val="00E20D71"/>
    <w:pPr>
      <w:spacing w:after="0" w:line="240" w:lineRule="auto"/>
    </w:pPr>
    <w:rPr>
      <w:rFonts w:eastAsiaTheme="minorEastAsia"/>
      <w:lang w:val="it-IT" w:eastAsia="it-IT"/>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customStyle="1" w:styleId="PlainTable411">
    <w:name w:val="Plain Table 411"/>
    <w:basedOn w:val="TableNormal"/>
    <w:uiPriority w:val="44"/>
    <w:rsid w:val="00E20D71"/>
    <w:pPr>
      <w:spacing w:after="0" w:line="240" w:lineRule="auto"/>
    </w:pPr>
    <w:rPr>
      <w:rFonts w:eastAsia="MS Mincho"/>
      <w:sz w:val="24"/>
      <w:szCs w:val="24"/>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DocumentMap">
    <w:name w:val="Document Map"/>
    <w:basedOn w:val="Normal"/>
    <w:link w:val="DocumentMapChar"/>
    <w:uiPriority w:val="99"/>
    <w:semiHidden/>
    <w:unhideWhenUsed/>
    <w:rsid w:val="00E20D71"/>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E20D71"/>
    <w:rPr>
      <w:rFonts w:ascii="Tahoma" w:eastAsiaTheme="minorEastAsia" w:hAnsi="Tahoma" w:cs="Tahoma"/>
      <w:sz w:val="16"/>
      <w:szCs w:val="16"/>
      <w:lang w:val="sq-AL" w:eastAsia="it-IT"/>
    </w:rPr>
  </w:style>
  <w:style w:type="paragraph" w:customStyle="1" w:styleId="TEKSTI">
    <w:name w:val="TEKSTI"/>
    <w:basedOn w:val="Normal"/>
    <w:qFormat/>
    <w:rsid w:val="00B410B7"/>
    <w:pPr>
      <w:tabs>
        <w:tab w:val="left" w:pos="7200"/>
      </w:tabs>
      <w:spacing w:after="0" w:line="240" w:lineRule="auto"/>
      <w:ind w:firstLine="284"/>
    </w:pPr>
    <w:rPr>
      <w:rFonts w:ascii="Garamond" w:hAnsi="Garamond"/>
      <w:sz w:val="24"/>
      <w:szCs w:val="24"/>
    </w:rPr>
  </w:style>
  <w:style w:type="paragraph" w:customStyle="1" w:styleId="FIGURA">
    <w:name w:val="FIGURA"/>
    <w:basedOn w:val="TEKSTI"/>
    <w:qFormat/>
    <w:rsid w:val="00495DC2"/>
    <w:pPr>
      <w:ind w:firstLine="0"/>
      <w:jc w:val="center"/>
    </w:pPr>
    <w:rPr>
      <w:b/>
    </w:rPr>
  </w:style>
  <w:style w:type="numbering" w:customStyle="1" w:styleId="NoList2">
    <w:name w:val="No List2"/>
    <w:next w:val="NoList"/>
    <w:uiPriority w:val="99"/>
    <w:semiHidden/>
    <w:unhideWhenUsed/>
    <w:rsid w:val="002F4BDF"/>
  </w:style>
  <w:style w:type="paragraph" w:customStyle="1" w:styleId="teksti0">
    <w:name w:val="teksti"/>
    <w:basedOn w:val="Normal"/>
    <w:qFormat/>
    <w:rsid w:val="002F4BDF"/>
    <w:pPr>
      <w:spacing w:after="0" w:line="240" w:lineRule="auto"/>
      <w:ind w:firstLine="284"/>
    </w:pPr>
    <w:rPr>
      <w:rFonts w:ascii="Garamond" w:eastAsiaTheme="minorHAnsi" w:hAnsi="Garamond"/>
      <w:b/>
      <w:i/>
      <w:sz w:val="24"/>
      <w:szCs w:val="24"/>
      <w:lang w:val="en-US" w:eastAsia="en-US"/>
    </w:rPr>
  </w:style>
  <w:style w:type="numbering" w:customStyle="1" w:styleId="NoList3">
    <w:name w:val="No List3"/>
    <w:next w:val="NoList"/>
    <w:uiPriority w:val="99"/>
    <w:semiHidden/>
    <w:unhideWhenUsed/>
    <w:rsid w:val="00622884"/>
  </w:style>
  <w:style w:type="paragraph" w:customStyle="1" w:styleId="ydpc0eeb84byiv6179200160msonormal">
    <w:name w:val="ydpc0eeb84byiv6179200160msonormal"/>
    <w:basedOn w:val="Normal"/>
    <w:rsid w:val="00622884"/>
    <w:pPr>
      <w:spacing w:before="100" w:beforeAutospacing="1" w:after="100" w:afterAutospacing="1" w:line="240" w:lineRule="auto"/>
      <w:jc w:val="left"/>
    </w:pPr>
    <w:rPr>
      <w:rFonts w:ascii="Times New Roman" w:eastAsia="Times New Roman" w:hAnsi="Times New Roman" w:cs="Times New Roman"/>
      <w:sz w:val="24"/>
      <w:szCs w:val="24"/>
      <w:lang w:val="en-GB" w:eastAsia="en-GB"/>
    </w:rPr>
  </w:style>
  <w:style w:type="paragraph" w:customStyle="1" w:styleId="TEKSTIIIII">
    <w:name w:val="TEKSTIIIII"/>
    <w:basedOn w:val="Normal"/>
    <w:qFormat/>
    <w:rsid w:val="00622884"/>
    <w:pPr>
      <w:tabs>
        <w:tab w:val="left" w:pos="5325"/>
      </w:tabs>
      <w:spacing w:after="0" w:line="240" w:lineRule="auto"/>
      <w:ind w:firstLine="284"/>
    </w:pPr>
    <w:rPr>
      <w:rFonts w:ascii="Garamond" w:eastAsia="Calibri" w:hAnsi="Garamond" w:cs="Times New Roman"/>
      <w:sz w:val="24"/>
      <w:szCs w:val="24"/>
      <w:lang w:val="it-IT" w:eastAsia="en-US"/>
    </w:rPr>
  </w:style>
  <w:style w:type="paragraph" w:customStyle="1" w:styleId="5GlobalFactor">
    <w:name w:val="5_Global Factor"/>
    <w:basedOn w:val="Normal"/>
    <w:link w:val="5GlobalFactorCar"/>
    <w:qFormat/>
    <w:rsid w:val="00622884"/>
    <w:pPr>
      <w:spacing w:before="100" w:after="200" w:line="240" w:lineRule="auto"/>
    </w:pPr>
    <w:rPr>
      <w:rFonts w:ascii="Calibri Light" w:eastAsia="SimSun" w:hAnsi="Calibri Light" w:cs="Calibri Light"/>
      <w:noProof/>
      <w:color w:val="1D3C5A"/>
      <w:sz w:val="20"/>
      <w:lang w:eastAsia="en-US"/>
    </w:rPr>
  </w:style>
  <w:style w:type="character" w:customStyle="1" w:styleId="5GlobalFactorCar">
    <w:name w:val="5_Global Factor Car"/>
    <w:link w:val="5GlobalFactor"/>
    <w:rsid w:val="00622884"/>
    <w:rPr>
      <w:rFonts w:ascii="Calibri Light" w:eastAsia="SimSun" w:hAnsi="Calibri Light" w:cs="Calibri Light"/>
      <w:noProof/>
      <w:color w:val="1D3C5A"/>
      <w:sz w:val="20"/>
      <w:lang w:val="sq-AL"/>
    </w:rPr>
  </w:style>
  <w:style w:type="paragraph" w:customStyle="1" w:styleId="BVIfnrChar1CharCharChar">
    <w:name w:val="BVI fnr Char1 Char Char Char"/>
    <w:aliases w:val="BVI fnr Car Car Char1 Char Char Char,BVI fnr Car Char1 Char Char Char,BVI fnr Car Car Car Car Char Char1 Char Char"/>
    <w:basedOn w:val="Normal"/>
    <w:uiPriority w:val="99"/>
    <w:rsid w:val="00622884"/>
    <w:pPr>
      <w:spacing w:after="160" w:line="240" w:lineRule="exact"/>
      <w:jc w:val="left"/>
    </w:pPr>
    <w:rPr>
      <w:rFonts w:eastAsia="Calibri"/>
      <w:vertAlign w:val="superscript"/>
      <w:lang w:val="en-US" w:eastAsia="en-US"/>
    </w:rPr>
  </w:style>
  <w:style w:type="paragraph" w:customStyle="1" w:styleId="3Subttulo">
    <w:name w:val="3_Subtítulo"/>
    <w:basedOn w:val="Heading2"/>
    <w:next w:val="Heading3"/>
    <w:link w:val="3SubttuloCar"/>
    <w:qFormat/>
    <w:rsid w:val="00622884"/>
    <w:pPr>
      <w:keepLines/>
      <w:spacing w:before="200" w:after="80" w:line="259" w:lineRule="auto"/>
      <w:ind w:left="284" w:firstLine="357"/>
    </w:pPr>
    <w:rPr>
      <w:rFonts w:ascii="Calibri Light" w:eastAsia="MS Mincho" w:hAnsi="Calibri Light"/>
      <w:bCs/>
      <w:caps/>
      <w:noProof/>
      <w:color w:val="25775E"/>
      <w:szCs w:val="40"/>
      <w:lang w:eastAsia="es-ES"/>
    </w:rPr>
  </w:style>
  <w:style w:type="character" w:customStyle="1" w:styleId="3SubttuloCar">
    <w:name w:val="3_Subtítulo Car"/>
    <w:link w:val="3Subttulo"/>
    <w:rsid w:val="00622884"/>
    <w:rPr>
      <w:rFonts w:ascii="Calibri Light" w:eastAsia="MS Mincho" w:hAnsi="Calibri Light" w:cs="Times New Roman"/>
      <w:b/>
      <w:bCs/>
      <w:caps/>
      <w:noProof/>
      <w:color w:val="25775E"/>
      <w:sz w:val="24"/>
      <w:szCs w:val="40"/>
      <w:lang w:val="sq-AL" w:eastAsia="es-ES"/>
    </w:rPr>
  </w:style>
  <w:style w:type="paragraph" w:customStyle="1" w:styleId="2Titulodeseccin">
    <w:name w:val="2_Titulo de sección"/>
    <w:basedOn w:val="Heading1"/>
    <w:next w:val="Heading2"/>
    <w:link w:val="2TitulodeseccinCar"/>
    <w:qFormat/>
    <w:rsid w:val="00622884"/>
    <w:pPr>
      <w:spacing w:before="120" w:after="120" w:line="240" w:lineRule="auto"/>
    </w:pPr>
    <w:rPr>
      <w:rFonts w:ascii="Calibri Light" w:eastAsia="Yu Gothic Light" w:hAnsi="Calibri Light" w:cs="Averta ExtraBold"/>
      <w:color w:val="1D3C5A"/>
      <w:kern w:val="2"/>
      <w:sz w:val="40"/>
      <w:szCs w:val="40"/>
      <w:lang w:val="es-ES_tradnl" w:eastAsia="en-US"/>
    </w:rPr>
  </w:style>
  <w:style w:type="character" w:customStyle="1" w:styleId="2TitulodeseccinCar">
    <w:name w:val="2_Titulo de sección Car"/>
    <w:link w:val="2Titulodeseccin"/>
    <w:rsid w:val="00622884"/>
    <w:rPr>
      <w:rFonts w:ascii="Calibri Light" w:eastAsia="Yu Gothic Light" w:hAnsi="Calibri Light" w:cs="Averta ExtraBold"/>
      <w:b/>
      <w:bCs/>
      <w:color w:val="1D3C5A"/>
      <w:kern w:val="2"/>
      <w:sz w:val="40"/>
      <w:szCs w:val="40"/>
      <w:lang w:val="es-ES_tradnl"/>
    </w:rPr>
  </w:style>
  <w:style w:type="paragraph" w:customStyle="1" w:styleId="Piedepgina">
    <w:name w:val="Pie_de_página"/>
    <w:basedOn w:val="Normal"/>
    <w:link w:val="PiedepginaCar"/>
    <w:qFormat/>
    <w:rsid w:val="00622884"/>
    <w:pPr>
      <w:spacing w:after="0" w:line="259" w:lineRule="auto"/>
    </w:pPr>
    <w:rPr>
      <w:rFonts w:ascii="Calibri Light" w:eastAsia="SimSun" w:hAnsi="Calibri Light" w:cs="Calibri Light"/>
      <w:noProof/>
      <w:color w:val="1D3C5A"/>
      <w:sz w:val="14"/>
      <w:szCs w:val="14"/>
      <w:lang w:eastAsia="zh-CN"/>
    </w:rPr>
  </w:style>
  <w:style w:type="character" w:customStyle="1" w:styleId="PiedepginaCar">
    <w:name w:val="Pie_de_página Car"/>
    <w:link w:val="Piedepgina"/>
    <w:rsid w:val="00622884"/>
    <w:rPr>
      <w:rFonts w:ascii="Calibri Light" w:eastAsia="SimSun" w:hAnsi="Calibri Light" w:cs="Calibri Light"/>
      <w:noProof/>
      <w:color w:val="1D3C5A"/>
      <w:sz w:val="14"/>
      <w:szCs w:val="14"/>
      <w:lang w:val="sq-AL" w:eastAsia="zh-CN"/>
    </w:rPr>
  </w:style>
  <w:style w:type="paragraph" w:customStyle="1" w:styleId="4Titulo">
    <w:name w:val="4_Titulo"/>
    <w:basedOn w:val="Heading3"/>
    <w:next w:val="Heading4"/>
    <w:link w:val="4TituloCar"/>
    <w:autoRedefine/>
    <w:qFormat/>
    <w:rsid w:val="00622884"/>
    <w:pPr>
      <w:keepLines w:val="0"/>
      <w:spacing w:before="240" w:after="240" w:line="240" w:lineRule="auto"/>
      <w:mirrorIndents/>
      <w:outlineLvl w:val="9"/>
    </w:pPr>
    <w:rPr>
      <w:rFonts w:ascii="Calibri Light" w:eastAsia="Calibri Light" w:hAnsi="Calibri Light" w:cs="Calibri Light"/>
      <w:iCs/>
      <w:noProof/>
      <w:color w:val="1D3C5A"/>
      <w:sz w:val="24"/>
      <w:szCs w:val="24"/>
      <w:lang w:eastAsia="en-US"/>
    </w:rPr>
  </w:style>
  <w:style w:type="character" w:customStyle="1" w:styleId="4TituloCar">
    <w:name w:val="4_Titulo Car"/>
    <w:link w:val="4Titulo"/>
    <w:rsid w:val="00622884"/>
    <w:rPr>
      <w:rFonts w:ascii="Calibri Light" w:eastAsia="Calibri Light" w:hAnsi="Calibri Light" w:cs="Calibri Light"/>
      <w:b/>
      <w:bCs/>
      <w:iCs/>
      <w:noProof/>
      <w:color w:val="1D3C5A"/>
      <w:sz w:val="24"/>
      <w:szCs w:val="24"/>
      <w:lang w:val="sq-AL"/>
    </w:rPr>
  </w:style>
  <w:style w:type="paragraph" w:customStyle="1" w:styleId="6BoldVerde">
    <w:name w:val="6_BoldVerde"/>
    <w:basedOn w:val="Heading4"/>
    <w:next w:val="5GlobalFactor"/>
    <w:link w:val="6BoldVerdeCar"/>
    <w:qFormat/>
    <w:rsid w:val="00622884"/>
    <w:pPr>
      <w:pBdr>
        <w:bottom w:val="single" w:sz="4" w:space="1" w:color="25775E"/>
      </w:pBdr>
      <w:tabs>
        <w:tab w:val="left" w:pos="1538"/>
      </w:tabs>
      <w:spacing w:before="240"/>
    </w:pPr>
    <w:rPr>
      <w:rFonts w:ascii="Calibri Light" w:eastAsia="SimSun" w:hAnsi="Calibri Light" w:cs="Calibri Light"/>
      <w:b/>
      <w:bCs/>
      <w:i w:val="0"/>
      <w:noProof/>
      <w:color w:val="25775E"/>
      <w:sz w:val="20"/>
    </w:rPr>
  </w:style>
  <w:style w:type="character" w:customStyle="1" w:styleId="6BoldVerdeCar">
    <w:name w:val="6_BoldVerde Car"/>
    <w:link w:val="6BoldVerde"/>
    <w:rsid w:val="00622884"/>
    <w:rPr>
      <w:rFonts w:ascii="Calibri Light" w:eastAsia="SimSun" w:hAnsi="Calibri Light" w:cs="Calibri Light"/>
      <w:b/>
      <w:bCs/>
      <w:iCs/>
      <w:noProof/>
      <w:color w:val="25775E"/>
      <w:sz w:val="20"/>
      <w:lang w:val="sq-AL"/>
    </w:rPr>
  </w:style>
  <w:style w:type="paragraph" w:customStyle="1" w:styleId="Figuras">
    <w:name w:val="Figuras"/>
    <w:basedOn w:val="Caption"/>
    <w:link w:val="FigurasCar"/>
    <w:qFormat/>
    <w:rsid w:val="00622884"/>
    <w:pPr>
      <w:spacing w:before="0" w:after="0"/>
      <w:jc w:val="right"/>
    </w:pPr>
    <w:rPr>
      <w:rFonts w:ascii="Calibri Light" w:eastAsia="Aptos" w:hAnsi="Calibri Light" w:cs="Arial"/>
      <w:b w:val="0"/>
      <w:bCs w:val="0"/>
      <w:i/>
      <w:iCs/>
      <w:noProof/>
      <w:color w:val="1E3B59"/>
      <w:sz w:val="18"/>
      <w:szCs w:val="18"/>
      <w:lang w:val="es-EC" w:eastAsia="en-US"/>
    </w:rPr>
  </w:style>
  <w:style w:type="character" w:customStyle="1" w:styleId="FigurasCar">
    <w:name w:val="Figuras Car"/>
    <w:link w:val="Figuras"/>
    <w:rsid w:val="00622884"/>
    <w:rPr>
      <w:rFonts w:ascii="Calibri Light" w:eastAsia="Aptos" w:hAnsi="Calibri Light" w:cs="Arial"/>
      <w:i/>
      <w:iCs/>
      <w:noProof/>
      <w:color w:val="1E3B59"/>
      <w:sz w:val="18"/>
      <w:szCs w:val="18"/>
      <w:lang w:val="es-EC"/>
    </w:rPr>
  </w:style>
  <w:style w:type="paragraph" w:styleId="Quote">
    <w:name w:val="Quote"/>
    <w:basedOn w:val="Normal"/>
    <w:next w:val="Normal"/>
    <w:link w:val="QuoteChar"/>
    <w:uiPriority w:val="29"/>
    <w:qFormat/>
    <w:rsid w:val="00622884"/>
    <w:pPr>
      <w:spacing w:before="160" w:after="160" w:line="259" w:lineRule="auto"/>
      <w:jc w:val="center"/>
    </w:pPr>
    <w:rPr>
      <w:rFonts w:ascii="Aptos" w:eastAsia="Aptos" w:hAnsi="Aptos" w:cs="Arial"/>
      <w:i/>
      <w:iCs/>
      <w:color w:val="404040"/>
      <w:kern w:val="2"/>
      <w:lang w:val="en-GB" w:eastAsia="en-US"/>
    </w:rPr>
  </w:style>
  <w:style w:type="character" w:customStyle="1" w:styleId="QuoteChar">
    <w:name w:val="Quote Char"/>
    <w:basedOn w:val="DefaultParagraphFont"/>
    <w:link w:val="Quote"/>
    <w:uiPriority w:val="29"/>
    <w:rsid w:val="00622884"/>
    <w:rPr>
      <w:rFonts w:ascii="Aptos" w:eastAsia="Aptos" w:hAnsi="Aptos" w:cs="Arial"/>
      <w:i/>
      <w:iCs/>
      <w:color w:val="404040"/>
      <w:kern w:val="2"/>
      <w:lang w:val="en-GB"/>
    </w:rPr>
  </w:style>
  <w:style w:type="character" w:styleId="IntenseEmphasis">
    <w:name w:val="Intense Emphasis"/>
    <w:uiPriority w:val="21"/>
    <w:qFormat/>
    <w:rsid w:val="00622884"/>
    <w:rPr>
      <w:i/>
      <w:iCs/>
      <w:color w:val="0F4761"/>
    </w:rPr>
  </w:style>
  <w:style w:type="paragraph" w:styleId="IntenseQuote">
    <w:name w:val="Intense Quote"/>
    <w:basedOn w:val="Normal"/>
    <w:next w:val="Normal"/>
    <w:link w:val="IntenseQuoteChar"/>
    <w:uiPriority w:val="30"/>
    <w:qFormat/>
    <w:rsid w:val="00622884"/>
    <w:pPr>
      <w:pBdr>
        <w:top w:val="single" w:sz="4" w:space="10" w:color="0F4761"/>
        <w:bottom w:val="single" w:sz="4" w:space="10" w:color="0F4761"/>
      </w:pBdr>
      <w:spacing w:before="360" w:after="360" w:line="259" w:lineRule="auto"/>
      <w:ind w:left="864" w:right="864"/>
      <w:jc w:val="center"/>
    </w:pPr>
    <w:rPr>
      <w:rFonts w:ascii="Aptos" w:eastAsia="Aptos" w:hAnsi="Aptos" w:cs="Arial"/>
      <w:i/>
      <w:iCs/>
      <w:color w:val="0F4761"/>
      <w:kern w:val="2"/>
      <w:lang w:val="en-GB" w:eastAsia="en-US"/>
    </w:rPr>
  </w:style>
  <w:style w:type="character" w:customStyle="1" w:styleId="IntenseQuoteChar">
    <w:name w:val="Intense Quote Char"/>
    <w:basedOn w:val="DefaultParagraphFont"/>
    <w:link w:val="IntenseQuote"/>
    <w:uiPriority w:val="30"/>
    <w:rsid w:val="00622884"/>
    <w:rPr>
      <w:rFonts w:ascii="Aptos" w:eastAsia="Aptos" w:hAnsi="Aptos" w:cs="Arial"/>
      <w:i/>
      <w:iCs/>
      <w:color w:val="0F4761"/>
      <w:kern w:val="2"/>
      <w:lang w:val="en-GB"/>
    </w:rPr>
  </w:style>
  <w:style w:type="character" w:styleId="IntenseReference">
    <w:name w:val="Intense Reference"/>
    <w:uiPriority w:val="32"/>
    <w:qFormat/>
    <w:rsid w:val="00622884"/>
    <w:rPr>
      <w:b/>
      <w:bCs/>
      <w:smallCaps/>
      <w:color w:val="0F4761"/>
      <w:spacing w:val="5"/>
    </w:rPr>
  </w:style>
  <w:style w:type="character" w:customStyle="1" w:styleId="Onopgelostemelding1">
    <w:name w:val="Onopgeloste melding1"/>
    <w:uiPriority w:val="99"/>
    <w:semiHidden/>
    <w:unhideWhenUsed/>
    <w:rsid w:val="00622884"/>
    <w:rPr>
      <w:color w:val="605E5C"/>
      <w:shd w:val="clear" w:color="auto" w:fill="E1DFDD"/>
    </w:rPr>
  </w:style>
  <w:style w:type="paragraph" w:customStyle="1" w:styleId="TableParagraph">
    <w:name w:val="Table Paragraph"/>
    <w:basedOn w:val="Normal"/>
    <w:uiPriority w:val="1"/>
    <w:qFormat/>
    <w:rsid w:val="00622884"/>
    <w:pPr>
      <w:autoSpaceDE w:val="0"/>
      <w:autoSpaceDN w:val="0"/>
      <w:adjustRightInd w:val="0"/>
      <w:spacing w:before="123" w:after="0" w:line="240" w:lineRule="auto"/>
      <w:ind w:left="558" w:hanging="360"/>
      <w:jc w:val="left"/>
    </w:pPr>
    <w:rPr>
      <w:rFonts w:ascii="Gill Sans MT" w:eastAsia="Aptos" w:hAnsi="Gill Sans MT" w:cs="Gill Sans MT"/>
      <w:sz w:val="24"/>
      <w:szCs w:val="24"/>
      <w:lang w:val="en-GB" w:eastAsia="en-US"/>
    </w:rPr>
  </w:style>
  <w:style w:type="table" w:customStyle="1" w:styleId="CVtable1">
    <w:name w:val="CV table1"/>
    <w:basedOn w:val="TableNormal"/>
    <w:next w:val="TableGrid"/>
    <w:uiPriority w:val="59"/>
    <w:rsid w:val="00622884"/>
    <w:pPr>
      <w:spacing w:before="40" w:after="40"/>
    </w:pPr>
    <w:rPr>
      <w:rFonts w:ascii="Aptos" w:eastAsia="Times New Roman" w:hAnsi="Aptos" w:cs="Arial"/>
      <w:color w:val="1A406B"/>
      <w:sz w:val="20"/>
      <w:szCs w:val="20"/>
      <w:lang w:val="fr-CA" w:eastAsia="sq-AL"/>
    </w:rPr>
    <w:tblPr>
      <w:tblBorders>
        <w:top w:val="single" w:sz="4" w:space="0" w:color="95999C"/>
        <w:left w:val="single" w:sz="4" w:space="0" w:color="95999C"/>
        <w:bottom w:val="single" w:sz="4" w:space="0" w:color="95999C"/>
        <w:right w:val="single" w:sz="4" w:space="0" w:color="95999C"/>
        <w:insideH w:val="single" w:sz="4" w:space="0" w:color="95999C"/>
        <w:insideV w:val="single" w:sz="4" w:space="0" w:color="95999C"/>
      </w:tblBorders>
    </w:tblPr>
    <w:tcPr>
      <w:vAlign w:val="center"/>
    </w:tcPr>
    <w:tblStylePr w:type="firstRow">
      <w:pPr>
        <w:jc w:val="left"/>
      </w:pPr>
      <w:rPr>
        <w:b/>
      </w:rPr>
      <w:tblPr/>
      <w:tcPr>
        <w:shd w:val="clear" w:color="auto" w:fill="E9EAEB"/>
      </w:tcPr>
    </w:tblStylePr>
  </w:style>
  <w:style w:type="table" w:customStyle="1" w:styleId="TableDefinitionsGrid1">
    <w:name w:val="Table Definitions Grid1"/>
    <w:basedOn w:val="TableNormal"/>
    <w:next w:val="TableGrid"/>
    <w:uiPriority w:val="39"/>
    <w:qFormat/>
    <w:rsid w:val="00622884"/>
    <w:pPr>
      <w:spacing w:after="0" w:line="240" w:lineRule="auto"/>
    </w:pPr>
    <w:rPr>
      <w:rFonts w:ascii="Aptos" w:eastAsia="Aptos" w:hAnsi="Aptos" w:cs="Arial"/>
      <w:sz w:val="20"/>
      <w:szCs w:val="20"/>
      <w:lang w:val="sq-AL" w:eastAsia="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pyright">
    <w:name w:val="copyright"/>
    <w:basedOn w:val="Normal"/>
    <w:rsid w:val="00622884"/>
    <w:pPr>
      <w:spacing w:before="100" w:beforeAutospacing="1" w:after="100" w:afterAutospacing="1" w:line="240" w:lineRule="auto"/>
      <w:jc w:val="left"/>
    </w:pPr>
    <w:rPr>
      <w:rFonts w:ascii="Times New Roman" w:eastAsia="Times New Roman" w:hAnsi="Times New Roman" w:cs="Times New Roman"/>
      <w:sz w:val="24"/>
      <w:szCs w:val="24"/>
      <w:lang w:val="en-GB" w:eastAsia="en-US"/>
    </w:rPr>
  </w:style>
  <w:style w:type="paragraph" w:customStyle="1" w:styleId="ColorfulList-Accent11">
    <w:name w:val="Colorful List - Accent 11"/>
    <w:basedOn w:val="Normal"/>
    <w:uiPriority w:val="34"/>
    <w:qFormat/>
    <w:rsid w:val="00622884"/>
    <w:pPr>
      <w:spacing w:after="0" w:line="240" w:lineRule="auto"/>
      <w:ind w:left="720"/>
      <w:contextualSpacing/>
      <w:jc w:val="left"/>
    </w:pPr>
    <w:rPr>
      <w:rFonts w:ascii="Cambria" w:eastAsia="MS Mincho" w:hAnsi="Cambria" w:cs="Times New Roman"/>
      <w:sz w:val="24"/>
      <w:szCs w:val="24"/>
      <w:lang w:val="en-GB" w:eastAsia="en-US"/>
    </w:rPr>
  </w:style>
  <w:style w:type="table" w:customStyle="1" w:styleId="CVtable2">
    <w:name w:val="CV table2"/>
    <w:basedOn w:val="TableNormal"/>
    <w:next w:val="TableGrid"/>
    <w:uiPriority w:val="59"/>
    <w:rsid w:val="00622884"/>
    <w:pPr>
      <w:spacing w:before="40" w:after="40"/>
    </w:pPr>
    <w:rPr>
      <w:rFonts w:ascii="Aptos" w:eastAsia="Times New Roman" w:hAnsi="Aptos" w:cs="Arial"/>
      <w:color w:val="1A406B"/>
      <w:sz w:val="20"/>
      <w:szCs w:val="20"/>
      <w:lang w:val="fr-CA" w:eastAsia="sq-AL"/>
    </w:rPr>
    <w:tblPr>
      <w:tblBorders>
        <w:top w:val="single" w:sz="4" w:space="0" w:color="95999C"/>
        <w:left w:val="single" w:sz="4" w:space="0" w:color="95999C"/>
        <w:bottom w:val="single" w:sz="4" w:space="0" w:color="95999C"/>
        <w:right w:val="single" w:sz="4" w:space="0" w:color="95999C"/>
        <w:insideH w:val="single" w:sz="4" w:space="0" w:color="95999C"/>
        <w:insideV w:val="single" w:sz="4" w:space="0" w:color="95999C"/>
      </w:tblBorders>
    </w:tblPr>
    <w:tcPr>
      <w:vAlign w:val="center"/>
    </w:tcPr>
    <w:tblStylePr w:type="firstRow">
      <w:pPr>
        <w:jc w:val="left"/>
      </w:pPr>
      <w:rPr>
        <w:b/>
      </w:rPr>
      <w:tblPr/>
      <w:tcPr>
        <w:shd w:val="clear" w:color="auto" w:fill="E9EAEB"/>
      </w:tcPr>
    </w:tblStylePr>
  </w:style>
  <w:style w:type="table" w:customStyle="1" w:styleId="CVtable3">
    <w:name w:val="CV table3"/>
    <w:basedOn w:val="TableNormal"/>
    <w:next w:val="TableGrid"/>
    <w:uiPriority w:val="59"/>
    <w:rsid w:val="00622884"/>
    <w:pPr>
      <w:spacing w:before="40" w:after="40"/>
    </w:pPr>
    <w:rPr>
      <w:rFonts w:ascii="Aptos" w:eastAsia="Times New Roman" w:hAnsi="Aptos" w:cs="Arial"/>
      <w:color w:val="1A406B"/>
      <w:sz w:val="20"/>
      <w:szCs w:val="20"/>
      <w:lang w:val="fr-CA" w:eastAsia="sq-AL"/>
    </w:rPr>
    <w:tblPr>
      <w:tblBorders>
        <w:top w:val="single" w:sz="4" w:space="0" w:color="95999C"/>
        <w:left w:val="single" w:sz="4" w:space="0" w:color="95999C"/>
        <w:bottom w:val="single" w:sz="4" w:space="0" w:color="95999C"/>
        <w:right w:val="single" w:sz="4" w:space="0" w:color="95999C"/>
        <w:insideH w:val="single" w:sz="4" w:space="0" w:color="95999C"/>
        <w:insideV w:val="single" w:sz="4" w:space="0" w:color="95999C"/>
      </w:tblBorders>
    </w:tblPr>
    <w:tcPr>
      <w:vAlign w:val="center"/>
    </w:tcPr>
    <w:tblStylePr w:type="firstRow">
      <w:pPr>
        <w:jc w:val="left"/>
      </w:pPr>
      <w:rPr>
        <w:b/>
      </w:rPr>
      <w:tblPr/>
      <w:tcPr>
        <w:shd w:val="clear" w:color="auto" w:fill="E9EAEB"/>
      </w:tcPr>
    </w:tblStylePr>
  </w:style>
  <w:style w:type="character" w:customStyle="1" w:styleId="Onopgelostemelding2">
    <w:name w:val="Onopgeloste melding2"/>
    <w:uiPriority w:val="99"/>
    <w:semiHidden/>
    <w:unhideWhenUsed/>
    <w:rsid w:val="00622884"/>
    <w:rPr>
      <w:color w:val="605E5C"/>
      <w:shd w:val="clear" w:color="auto" w:fill="E1DFDD"/>
    </w:rPr>
  </w:style>
  <w:style w:type="paragraph" w:customStyle="1" w:styleId="Pa2">
    <w:name w:val="Pa2"/>
    <w:basedOn w:val="Normal"/>
    <w:next w:val="Normal"/>
    <w:uiPriority w:val="99"/>
    <w:rsid w:val="00622884"/>
    <w:pPr>
      <w:autoSpaceDE w:val="0"/>
      <w:autoSpaceDN w:val="0"/>
      <w:adjustRightInd w:val="0"/>
      <w:spacing w:after="0" w:line="201" w:lineRule="atLeast"/>
      <w:jc w:val="left"/>
    </w:pPr>
    <w:rPr>
      <w:rFonts w:ascii="Blinker" w:eastAsia="Times New Roman" w:hAnsi="Blinker" w:cs="Times New Roman"/>
      <w:sz w:val="24"/>
      <w:szCs w:val="24"/>
      <w:lang w:val="en-GB" w:eastAsia="en-US"/>
    </w:rPr>
  </w:style>
  <w:style w:type="character" w:customStyle="1" w:styleId="NormalWebChar">
    <w:name w:val="Normal (Web) Char"/>
    <w:aliases w:val="Char3 Char, webb Char,webb Char"/>
    <w:link w:val="NormalWeb"/>
    <w:uiPriority w:val="99"/>
    <w:locked/>
    <w:rsid w:val="00622884"/>
    <w:rPr>
      <w:rFonts w:ascii="Times New Roman" w:eastAsia="Times New Roman" w:hAnsi="Times New Roman" w:cs="Times New Roman"/>
      <w:sz w:val="24"/>
      <w:szCs w:val="24"/>
      <w:lang w:val="sq-AL" w:eastAsia="it-IT"/>
    </w:rPr>
  </w:style>
  <w:style w:type="table" w:customStyle="1" w:styleId="ListTable7Colorful-Accent31">
    <w:name w:val="List Table 7 Colorful - Accent 31"/>
    <w:basedOn w:val="TableNormal"/>
    <w:uiPriority w:val="52"/>
    <w:rsid w:val="00622884"/>
    <w:pPr>
      <w:spacing w:after="0" w:line="240" w:lineRule="auto"/>
    </w:pPr>
    <w:rPr>
      <w:rFonts w:ascii="Times New Roman" w:eastAsia="Times New Roman" w:hAnsi="Times New Roman" w:cs="Times New Roman"/>
      <w:color w:val="124F1A"/>
      <w:sz w:val="20"/>
      <w:szCs w:val="20"/>
      <w:lang w:eastAsia="sq-AL"/>
    </w:rPr>
    <w:tblPr>
      <w:tblStyleRowBandSize w:val="1"/>
      <w:tblStyleColBandSize w:val="1"/>
    </w:tblPr>
    <w:tblStylePr w:type="firstRow">
      <w:rPr>
        <w:rFonts w:ascii="Garamond" w:eastAsia="CG Times" w:hAnsi="Garamond" w:cs="Times New Roman"/>
        <w:i/>
        <w:iCs/>
        <w:sz w:val="26"/>
      </w:rPr>
      <w:tblPr/>
      <w:tcPr>
        <w:tcBorders>
          <w:bottom w:val="single" w:sz="4" w:space="0" w:color="196B24"/>
        </w:tcBorders>
        <w:shd w:val="clear" w:color="auto" w:fill="FFFFFF"/>
      </w:tcPr>
    </w:tblStylePr>
    <w:tblStylePr w:type="lastRow">
      <w:rPr>
        <w:rFonts w:ascii="Garamond" w:eastAsia="CG Times" w:hAnsi="Garamond" w:cs="Times New Roman"/>
        <w:i/>
        <w:iCs/>
        <w:sz w:val="26"/>
      </w:rPr>
      <w:tblPr/>
      <w:tcPr>
        <w:tcBorders>
          <w:top w:val="single" w:sz="4" w:space="0" w:color="196B24"/>
        </w:tcBorders>
        <w:shd w:val="clear" w:color="auto" w:fill="FFFFFF"/>
      </w:tcPr>
    </w:tblStylePr>
    <w:tblStylePr w:type="firstCol">
      <w:pPr>
        <w:jc w:val="right"/>
      </w:pPr>
      <w:rPr>
        <w:rFonts w:ascii="Garamond" w:eastAsia="CG Times" w:hAnsi="Garamond" w:cs="Times New Roman"/>
        <w:i/>
        <w:iCs/>
        <w:sz w:val="26"/>
      </w:rPr>
      <w:tblPr/>
      <w:tcPr>
        <w:tcBorders>
          <w:right w:val="single" w:sz="4" w:space="0" w:color="196B24"/>
        </w:tcBorders>
        <w:shd w:val="clear" w:color="auto" w:fill="FFFFFF"/>
      </w:tcPr>
    </w:tblStylePr>
    <w:tblStylePr w:type="lastCol">
      <w:rPr>
        <w:rFonts w:ascii="Garamond" w:eastAsia="CG Times" w:hAnsi="Garamond" w:cs="Times New Roman"/>
        <w:i/>
        <w:iCs/>
        <w:sz w:val="26"/>
      </w:rPr>
      <w:tblPr/>
      <w:tcPr>
        <w:tcBorders>
          <w:left w:val="single" w:sz="4" w:space="0" w:color="196B24"/>
        </w:tcBorders>
        <w:shd w:val="clear" w:color="auto" w:fill="FFFFFF"/>
      </w:tcPr>
    </w:tblStylePr>
    <w:tblStylePr w:type="band1Vert">
      <w:tblPr/>
      <w:tcPr>
        <w:shd w:val="clear" w:color="auto" w:fill="C1F0C7"/>
      </w:tcPr>
    </w:tblStylePr>
    <w:tblStylePr w:type="band1Horz">
      <w:tblPr/>
      <w:tcPr>
        <w:shd w:val="clear" w:color="auto" w:fill="C1F0C7"/>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GridTable7Colorful-Accent31">
    <w:name w:val="Grid Table 7 Colorful - Accent 31"/>
    <w:basedOn w:val="TableNormal"/>
    <w:uiPriority w:val="52"/>
    <w:rsid w:val="00622884"/>
    <w:pPr>
      <w:spacing w:after="0" w:line="240" w:lineRule="auto"/>
    </w:pPr>
    <w:rPr>
      <w:rFonts w:ascii="Times New Roman" w:eastAsia="Times New Roman" w:hAnsi="Times New Roman" w:cs="Times New Roman"/>
      <w:color w:val="124F1A"/>
      <w:sz w:val="20"/>
      <w:szCs w:val="20"/>
      <w:lang w:eastAsia="sq-AL"/>
    </w:rPr>
    <w:tblPr>
      <w:tblStyleRowBandSize w:val="1"/>
      <w:tblStyleColBandSize w:val="1"/>
      <w:tblBorders>
        <w:top w:val="single" w:sz="4" w:space="0" w:color="47D459"/>
        <w:left w:val="single" w:sz="4" w:space="0" w:color="47D459"/>
        <w:bottom w:val="single" w:sz="4" w:space="0" w:color="47D459"/>
        <w:right w:val="single" w:sz="4" w:space="0" w:color="47D459"/>
        <w:insideH w:val="single" w:sz="4" w:space="0" w:color="47D459"/>
        <w:insideV w:val="single" w:sz="4" w:space="0" w:color="47D459"/>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1F0C7"/>
      </w:tcPr>
    </w:tblStylePr>
    <w:tblStylePr w:type="band1Horz">
      <w:tblPr/>
      <w:tcPr>
        <w:shd w:val="clear" w:color="auto" w:fill="C1F0C7"/>
      </w:tcPr>
    </w:tblStylePr>
    <w:tblStylePr w:type="neCell">
      <w:tblPr/>
      <w:tcPr>
        <w:tcBorders>
          <w:bottom w:val="single" w:sz="4" w:space="0" w:color="47D459"/>
        </w:tcBorders>
      </w:tcPr>
    </w:tblStylePr>
    <w:tblStylePr w:type="nwCell">
      <w:tblPr/>
      <w:tcPr>
        <w:tcBorders>
          <w:bottom w:val="single" w:sz="4" w:space="0" w:color="47D459"/>
        </w:tcBorders>
      </w:tcPr>
    </w:tblStylePr>
    <w:tblStylePr w:type="seCell">
      <w:tblPr/>
      <w:tcPr>
        <w:tcBorders>
          <w:top w:val="single" w:sz="4" w:space="0" w:color="47D459"/>
        </w:tcBorders>
      </w:tcPr>
    </w:tblStylePr>
    <w:tblStylePr w:type="swCell">
      <w:tblPr/>
      <w:tcPr>
        <w:tcBorders>
          <w:top w:val="single" w:sz="4" w:space="0" w:color="47D459"/>
        </w:tcBorders>
      </w:tcPr>
    </w:tblStylePr>
  </w:style>
  <w:style w:type="character" w:customStyle="1" w:styleId="Onopgelostemelding3">
    <w:name w:val="Onopgeloste melding3"/>
    <w:uiPriority w:val="99"/>
    <w:semiHidden/>
    <w:unhideWhenUsed/>
    <w:rsid w:val="00622884"/>
    <w:rPr>
      <w:color w:val="605E5C"/>
      <w:shd w:val="clear" w:color="auto" w:fill="E1DFDD"/>
    </w:rPr>
  </w:style>
  <w:style w:type="character" w:styleId="PlaceholderText">
    <w:name w:val="Placeholder Text"/>
    <w:uiPriority w:val="99"/>
    <w:semiHidden/>
    <w:rsid w:val="00622884"/>
    <w:rPr>
      <w:color w:val="808080"/>
    </w:rPr>
  </w:style>
  <w:style w:type="character" w:customStyle="1" w:styleId="FactorENParrafonormalCar">
    <w:name w:val="FactorEN: Parrafo normal Car"/>
    <w:link w:val="FactorENParrafonormal"/>
    <w:locked/>
    <w:rsid w:val="00622884"/>
    <w:rPr>
      <w:rFonts w:ascii="Aptos Display" w:hAnsi="Aptos Display" w:cs="Calibri Light"/>
      <w:sz w:val="20"/>
      <w:lang w:val="en-GB"/>
    </w:rPr>
  </w:style>
  <w:style w:type="paragraph" w:customStyle="1" w:styleId="FactorENParrafonormal">
    <w:name w:val="FactorEN: Parrafo normal"/>
    <w:basedOn w:val="Normal"/>
    <w:link w:val="FactorENParrafonormalCar"/>
    <w:qFormat/>
    <w:rsid w:val="00622884"/>
    <w:pPr>
      <w:spacing w:after="160" w:line="256" w:lineRule="auto"/>
    </w:pPr>
    <w:rPr>
      <w:rFonts w:ascii="Aptos Display" w:eastAsiaTheme="minorHAnsi" w:hAnsi="Aptos Display" w:cs="Calibri Light"/>
      <w:sz w:val="20"/>
      <w:lang w:val="en-GB" w:eastAsia="en-US"/>
    </w:rPr>
  </w:style>
  <w:style w:type="table" w:customStyle="1" w:styleId="TableGrid2">
    <w:name w:val="Table Grid2"/>
    <w:basedOn w:val="TableNormal"/>
    <w:next w:val="TableGrid"/>
    <w:uiPriority w:val="39"/>
    <w:rsid w:val="00622884"/>
    <w:pPr>
      <w:spacing w:after="0" w:line="240" w:lineRule="auto"/>
    </w:pPr>
    <w:rPr>
      <w:rFonts w:ascii="Aptos" w:eastAsia="DengXian" w:hAnsi="Aptos" w:cs="Arial"/>
      <w:sz w:val="20"/>
      <w:szCs w:val="20"/>
      <w:lang w:val="fr-FR"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39"/>
    <w:rsid w:val="00622884"/>
    <w:pPr>
      <w:spacing w:after="0" w:line="240" w:lineRule="auto"/>
    </w:pPr>
    <w:rPr>
      <w:rFonts w:ascii="Aptos" w:eastAsia="DengXian" w:hAnsi="Aptos" w:cs="Arial"/>
      <w:sz w:val="20"/>
      <w:szCs w:val="20"/>
      <w:lang w:val="fr-FR"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1">
    <w:name w:val="Tabelraster1"/>
    <w:basedOn w:val="TableNormal"/>
    <w:next w:val="TableGrid"/>
    <w:uiPriority w:val="39"/>
    <w:rsid w:val="00622884"/>
    <w:pPr>
      <w:spacing w:after="0" w:line="240" w:lineRule="auto"/>
    </w:pPr>
    <w:rPr>
      <w:rFonts w:ascii="Aptos" w:eastAsia="DengXian" w:hAnsi="Aptos" w:cs="Arial"/>
      <w:sz w:val="20"/>
      <w:szCs w:val="20"/>
      <w:lang w:val="fr-FR" w:eastAsia="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2">
    <w:name w:val="Tabelraster2"/>
    <w:basedOn w:val="TableNormal"/>
    <w:next w:val="TableGrid"/>
    <w:uiPriority w:val="39"/>
    <w:rsid w:val="00622884"/>
    <w:pPr>
      <w:spacing w:after="0" w:line="240" w:lineRule="auto"/>
    </w:pPr>
    <w:rPr>
      <w:rFonts w:ascii="Aptos" w:eastAsia="DengXian" w:hAnsi="Aptos" w:cs="Arial"/>
      <w:sz w:val="20"/>
      <w:szCs w:val="20"/>
      <w:lang w:val="fr-FR" w:eastAsia="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DefinitionsGrid11">
    <w:name w:val="Table Definitions Grid11"/>
    <w:basedOn w:val="TableNormal"/>
    <w:next w:val="TableGrid"/>
    <w:uiPriority w:val="39"/>
    <w:qFormat/>
    <w:rsid w:val="00622884"/>
    <w:pPr>
      <w:spacing w:after="0" w:line="240" w:lineRule="auto"/>
    </w:pPr>
    <w:rPr>
      <w:rFonts w:ascii="Aptos" w:eastAsia="SimSun" w:hAnsi="Aptos" w:cs="Arial"/>
      <w:sz w:val="20"/>
      <w:szCs w:val="20"/>
      <w:lang w:val="es-ES" w:eastAsia="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ijschrift1">
    <w:name w:val="Bijschrift1"/>
    <w:basedOn w:val="Normal"/>
    <w:next w:val="Normal"/>
    <w:uiPriority w:val="35"/>
    <w:semiHidden/>
    <w:unhideWhenUsed/>
    <w:qFormat/>
    <w:rsid w:val="00622884"/>
    <w:pPr>
      <w:spacing w:after="200" w:line="240" w:lineRule="auto"/>
      <w:jc w:val="left"/>
    </w:pPr>
    <w:rPr>
      <w:rFonts w:ascii="Aptos" w:eastAsia="Aptos" w:hAnsi="Aptos" w:cs="Arial"/>
      <w:i/>
      <w:iCs/>
      <w:color w:val="0E2841"/>
      <w:kern w:val="2"/>
      <w:sz w:val="18"/>
      <w:szCs w:val="18"/>
      <w:lang w:val="en-GB" w:eastAsia="en-US"/>
    </w:rPr>
  </w:style>
  <w:style w:type="paragraph" w:customStyle="1" w:styleId="Char2">
    <w:name w:val="Char2"/>
    <w:basedOn w:val="Normal"/>
    <w:uiPriority w:val="99"/>
    <w:rsid w:val="00622884"/>
    <w:pPr>
      <w:spacing w:before="120" w:after="200" w:line="240" w:lineRule="exact"/>
      <w:jc w:val="left"/>
    </w:pPr>
    <w:rPr>
      <w:rFonts w:ascii="Aptos" w:eastAsia="Aptos" w:hAnsi="Aptos" w:cs="Arial"/>
      <w:kern w:val="2"/>
      <w:sz w:val="16"/>
      <w:szCs w:val="16"/>
      <w:lang w:val="en-CA" w:eastAsia="en-US"/>
    </w:rPr>
  </w:style>
  <w:style w:type="numbering" w:customStyle="1" w:styleId="Geenlijst1">
    <w:name w:val="Geen lijst1"/>
    <w:next w:val="NoList"/>
    <w:uiPriority w:val="99"/>
    <w:semiHidden/>
    <w:unhideWhenUsed/>
    <w:rsid w:val="00622884"/>
  </w:style>
  <w:style w:type="numbering" w:customStyle="1" w:styleId="Geenlijst11">
    <w:name w:val="Geen lijst11"/>
    <w:next w:val="NoList"/>
    <w:uiPriority w:val="99"/>
    <w:semiHidden/>
    <w:unhideWhenUsed/>
    <w:rsid w:val="00622884"/>
  </w:style>
  <w:style w:type="table" w:customStyle="1" w:styleId="TableDefinitionsGrid2">
    <w:name w:val="Table Definitions Grid2"/>
    <w:basedOn w:val="TableNormal"/>
    <w:next w:val="TableGrid"/>
    <w:uiPriority w:val="39"/>
    <w:qFormat/>
    <w:rsid w:val="00622884"/>
    <w:pPr>
      <w:spacing w:after="0" w:line="240" w:lineRule="auto"/>
    </w:pPr>
    <w:rPr>
      <w:rFonts w:ascii="Aptos" w:eastAsia="SimSun" w:hAnsi="Aptos" w:cs="Arial"/>
      <w:sz w:val="20"/>
      <w:szCs w:val="20"/>
      <w:lang w:val="es-ES" w:eastAsia="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oscura-nfasis321">
    <w:name w:val="Tabla con cuadrícula 5 oscura - Énfasis 321"/>
    <w:basedOn w:val="TableNormal"/>
    <w:uiPriority w:val="50"/>
    <w:rsid w:val="00622884"/>
    <w:pPr>
      <w:spacing w:after="0" w:line="240" w:lineRule="auto"/>
    </w:pPr>
    <w:rPr>
      <w:rFonts w:ascii="Calibri" w:eastAsia="Calibri" w:hAnsi="Calibri" w:cs="Arial"/>
      <w:sz w:val="20"/>
      <w:szCs w:val="20"/>
      <w:lang w:val="es-ES" w:eastAsia="sq-AL"/>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DEDE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A5A5A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A5A5A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A5A5A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A5A5A5"/>
      </w:tcPr>
    </w:tblStylePr>
    <w:tblStylePr w:type="band1Vert">
      <w:tblPr/>
      <w:tcPr>
        <w:shd w:val="clear" w:color="auto" w:fill="DBDBDB"/>
      </w:tcPr>
    </w:tblStylePr>
    <w:tblStylePr w:type="band1Horz">
      <w:tblPr/>
      <w:tcPr>
        <w:shd w:val="clear" w:color="auto" w:fill="DBDBDB"/>
      </w:tcPr>
    </w:tblStylePr>
  </w:style>
  <w:style w:type="paragraph" w:customStyle="1" w:styleId="Prrafobsico">
    <w:name w:val="[Párrafo básico]"/>
    <w:basedOn w:val="Normal"/>
    <w:uiPriority w:val="99"/>
    <w:rsid w:val="00622884"/>
    <w:pPr>
      <w:autoSpaceDE w:val="0"/>
      <w:autoSpaceDN w:val="0"/>
      <w:adjustRightInd w:val="0"/>
      <w:spacing w:after="0" w:line="288" w:lineRule="auto"/>
      <w:textAlignment w:val="center"/>
    </w:pPr>
    <w:rPr>
      <w:rFonts w:ascii="MinionPro-Regular" w:eastAsia="SimSun" w:hAnsi="MinionPro-Regular" w:cs="MinionPro-Regular"/>
      <w:noProof/>
      <w:color w:val="000000"/>
      <w:sz w:val="24"/>
      <w:szCs w:val="24"/>
      <w:lang w:val="es-ES_tradnl" w:eastAsia="en-US"/>
    </w:rPr>
  </w:style>
  <w:style w:type="paragraph" w:customStyle="1" w:styleId="Geenafstand1">
    <w:name w:val="Geen afstand1"/>
    <w:next w:val="NoSpacing"/>
    <w:uiPriority w:val="1"/>
    <w:qFormat/>
    <w:rsid w:val="00622884"/>
    <w:pPr>
      <w:spacing w:after="0" w:line="240" w:lineRule="auto"/>
    </w:pPr>
    <w:rPr>
      <w:rFonts w:ascii="Aptos" w:eastAsia="MS Mincho" w:hAnsi="Aptos" w:cs="Arial"/>
      <w:lang w:val="es-ES" w:eastAsia="es-ES"/>
    </w:rPr>
  </w:style>
  <w:style w:type="table" w:customStyle="1" w:styleId="Tabelrasterlicht1">
    <w:name w:val="Tabelraster licht1"/>
    <w:basedOn w:val="TableNormal"/>
    <w:next w:val="TableGridLight"/>
    <w:uiPriority w:val="40"/>
    <w:rsid w:val="00622884"/>
    <w:pPr>
      <w:spacing w:after="0" w:line="240" w:lineRule="auto"/>
    </w:pPr>
    <w:rPr>
      <w:rFonts w:ascii="Aptos" w:eastAsia="SimSun" w:hAnsi="Aptos" w:cs="Arial"/>
      <w:sz w:val="20"/>
      <w:szCs w:val="20"/>
      <w:lang w:val="es-ES" w:eastAsia="sq-AL"/>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customStyle="1" w:styleId="IIEDhyperlink1">
    <w:name w:val="IIED hyperlink1"/>
    <w:uiPriority w:val="99"/>
    <w:unhideWhenUsed/>
    <w:qFormat/>
    <w:rsid w:val="00622884"/>
    <w:rPr>
      <w:color w:val="0563C1"/>
      <w:u w:val="single"/>
    </w:rPr>
  </w:style>
  <w:style w:type="paragraph" w:customStyle="1" w:styleId="Inhopg21">
    <w:name w:val="Inhopg 21"/>
    <w:basedOn w:val="Normal"/>
    <w:next w:val="Normal"/>
    <w:autoRedefine/>
    <w:uiPriority w:val="39"/>
    <w:unhideWhenUsed/>
    <w:rsid w:val="00622884"/>
    <w:pPr>
      <w:tabs>
        <w:tab w:val="right" w:leader="dot" w:pos="10194"/>
      </w:tabs>
      <w:spacing w:after="100" w:line="259" w:lineRule="auto"/>
      <w:ind w:left="708"/>
    </w:pPr>
    <w:rPr>
      <w:rFonts w:ascii="Calibri Light" w:eastAsia="MS Mincho" w:hAnsi="Calibri Light" w:cs="Times New Roman"/>
      <w:noProof/>
      <w:color w:val="1D3C5A"/>
      <w:sz w:val="20"/>
      <w:lang w:eastAsia="es-ES"/>
    </w:rPr>
  </w:style>
  <w:style w:type="paragraph" w:customStyle="1" w:styleId="Inhopg11">
    <w:name w:val="Inhopg 11"/>
    <w:basedOn w:val="2Titulodeseccin"/>
    <w:next w:val="Normal"/>
    <w:autoRedefine/>
    <w:uiPriority w:val="39"/>
    <w:unhideWhenUsed/>
    <w:rsid w:val="00622884"/>
    <w:pPr>
      <w:keepNext w:val="0"/>
      <w:keepLines w:val="0"/>
      <w:tabs>
        <w:tab w:val="right" w:leader="dot" w:pos="10194"/>
      </w:tabs>
      <w:spacing w:after="220"/>
      <w:outlineLvl w:val="9"/>
    </w:pPr>
    <w:rPr>
      <w:rFonts w:eastAsia="MS Mincho" w:cs="Times New Roman"/>
      <w:bCs w:val="0"/>
      <w:sz w:val="22"/>
      <w:lang w:eastAsia="es-ES"/>
    </w:rPr>
  </w:style>
  <w:style w:type="paragraph" w:customStyle="1" w:styleId="Inhopg31">
    <w:name w:val="Inhopg 31"/>
    <w:basedOn w:val="Normal"/>
    <w:next w:val="Normal"/>
    <w:autoRedefine/>
    <w:uiPriority w:val="39"/>
    <w:unhideWhenUsed/>
    <w:rsid w:val="00622884"/>
    <w:pPr>
      <w:spacing w:after="100" w:line="259" w:lineRule="auto"/>
    </w:pPr>
    <w:rPr>
      <w:rFonts w:ascii="Calibri Light" w:eastAsia="MS Mincho" w:hAnsi="Calibri Light" w:cs="Times New Roman"/>
      <w:noProof/>
      <w:color w:val="1D3C5A"/>
      <w:sz w:val="20"/>
      <w:lang w:eastAsia="es-ES"/>
    </w:rPr>
  </w:style>
  <w:style w:type="paragraph" w:customStyle="1" w:styleId="SUPERSCharCharCharCharCharCharCharChar">
    <w:name w:val="SUPERS Char Char Char Char Char Char Char Char"/>
    <w:aliases w:val="SUPERS Tegn Char Char Char Char Char Char Char Char Char,Footnote Reference Number Tegn Char Char Char Char Char Char Char Char Char"/>
    <w:basedOn w:val="Normal"/>
    <w:uiPriority w:val="99"/>
    <w:rsid w:val="00622884"/>
    <w:pPr>
      <w:tabs>
        <w:tab w:val="left" w:pos="907"/>
      </w:tabs>
      <w:spacing w:before="60" w:after="160" w:line="240" w:lineRule="exact"/>
    </w:pPr>
    <w:rPr>
      <w:rFonts w:ascii="Aptos" w:eastAsia="Aptos" w:hAnsi="Aptos" w:cs="Arial"/>
      <w:kern w:val="2"/>
      <w:sz w:val="24"/>
      <w:szCs w:val="24"/>
      <w:vertAlign w:val="superscript"/>
      <w:lang w:val="nl-NL" w:eastAsia="en-US"/>
    </w:rPr>
  </w:style>
  <w:style w:type="paragraph" w:customStyle="1" w:styleId="BeschriftungChar21">
    <w:name w:val="Beschriftung Char21"/>
    <w:basedOn w:val="Normal"/>
    <w:next w:val="Normal"/>
    <w:uiPriority w:val="35"/>
    <w:unhideWhenUsed/>
    <w:qFormat/>
    <w:rsid w:val="00622884"/>
    <w:pPr>
      <w:spacing w:after="200" w:line="240" w:lineRule="auto"/>
      <w:jc w:val="left"/>
    </w:pPr>
    <w:rPr>
      <w:rFonts w:ascii="Aptos" w:eastAsia="SimSun" w:hAnsi="Aptos" w:cs="Arial"/>
      <w:b/>
      <w:bCs/>
      <w:noProof/>
      <w:color w:val="4472C4"/>
      <w:sz w:val="18"/>
      <w:szCs w:val="18"/>
      <w:lang w:eastAsia="en-US"/>
    </w:rPr>
  </w:style>
  <w:style w:type="table" w:customStyle="1" w:styleId="MediumGrid2-Accent34">
    <w:name w:val="Medium Grid 2 - Accent 34"/>
    <w:basedOn w:val="TableNormal"/>
    <w:uiPriority w:val="68"/>
    <w:rsid w:val="00622884"/>
    <w:pPr>
      <w:spacing w:after="0" w:line="240" w:lineRule="auto"/>
    </w:pPr>
    <w:rPr>
      <w:rFonts w:ascii="Calibri Light" w:eastAsia="MS Gothic" w:hAnsi="Calibri Light" w:cs="Times New Roman"/>
      <w:color w:val="000000"/>
      <w:sz w:val="20"/>
      <w:szCs w:val="20"/>
      <w:lang w:val="es-ES" w:eastAsia="sq-AL"/>
    </w:rPr>
    <w:tblPr>
      <w:tblStyleRowBandSize w:val="1"/>
      <w:tblStyleColBandSize w:val="1"/>
      <w:tblBorders>
        <w:top w:val="single" w:sz="8" w:space="0" w:color="A5A5A5"/>
        <w:left w:val="single" w:sz="8" w:space="0" w:color="A5A5A5"/>
        <w:bottom w:val="single" w:sz="8" w:space="0" w:color="A5A5A5"/>
        <w:right w:val="single" w:sz="8" w:space="0" w:color="A5A5A5"/>
        <w:insideH w:val="single" w:sz="8" w:space="0" w:color="A5A5A5"/>
        <w:insideV w:val="single" w:sz="8" w:space="0" w:color="A5A5A5"/>
      </w:tblBorders>
    </w:tblPr>
    <w:tcPr>
      <w:shd w:val="clear" w:color="auto" w:fill="E8E8E8"/>
    </w:tcPr>
    <w:tblStylePr w:type="firstRow">
      <w:rPr>
        <w:b/>
        <w:bCs/>
        <w:color w:val="000000"/>
      </w:rPr>
      <w:tblPr/>
      <w:tcPr>
        <w:shd w:val="clear" w:color="auto" w:fill="F6F6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DEDED"/>
      </w:tcPr>
    </w:tblStylePr>
    <w:tblStylePr w:type="band1Vert">
      <w:tblPr/>
      <w:tcPr>
        <w:shd w:val="clear" w:color="auto" w:fill="D2D2D2"/>
      </w:tcPr>
    </w:tblStylePr>
    <w:tblStylePr w:type="band1Horz">
      <w:tblPr/>
      <w:tcPr>
        <w:tcBorders>
          <w:insideH w:val="single" w:sz="6" w:space="0" w:color="A5A5A5"/>
          <w:insideV w:val="single" w:sz="6" w:space="0" w:color="A5A5A5"/>
        </w:tcBorders>
        <w:shd w:val="clear" w:color="auto" w:fill="D2D2D2"/>
      </w:tcPr>
    </w:tblStylePr>
    <w:tblStylePr w:type="nwCell">
      <w:tblPr/>
      <w:tcPr>
        <w:shd w:val="clear" w:color="auto" w:fill="FFFFFF"/>
      </w:tcPr>
    </w:tblStylePr>
  </w:style>
  <w:style w:type="table" w:customStyle="1" w:styleId="Lijsttabel2-Accent51">
    <w:name w:val="Lijsttabel 2 - Accent 51"/>
    <w:basedOn w:val="TableNormal"/>
    <w:next w:val="ListTable2-Accent5"/>
    <w:uiPriority w:val="47"/>
    <w:rsid w:val="00622884"/>
    <w:pPr>
      <w:spacing w:after="0" w:line="240" w:lineRule="auto"/>
    </w:pPr>
    <w:rPr>
      <w:rFonts w:ascii="Aptos" w:eastAsia="SimSun" w:hAnsi="Aptos" w:cs="Arial"/>
      <w:sz w:val="20"/>
      <w:szCs w:val="20"/>
      <w:lang w:val="es-ES" w:eastAsia="sq-AL"/>
    </w:rPr>
    <w:tblPr>
      <w:tblStyleRowBandSize w:val="1"/>
      <w:tblStyleColBandSize w:val="1"/>
      <w:tblBorders>
        <w:top w:val="single" w:sz="4" w:space="0" w:color="9CC2E5"/>
        <w:bottom w:val="single" w:sz="4" w:space="0" w:color="9CC2E5"/>
        <w:insideH w:val="single" w:sz="4" w:space="0" w:color="9CC2E5"/>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character" w:customStyle="1" w:styleId="Textogrficos1">
    <w:name w:val="Texto gráficos1"/>
    <w:uiPriority w:val="22"/>
    <w:qFormat/>
    <w:rsid w:val="00622884"/>
    <w:rPr>
      <w:rFonts w:ascii="Averta Semibold" w:hAnsi="Averta Semibold"/>
      <w:b/>
      <w:bCs/>
      <w:color w:val="FFFFFF"/>
    </w:rPr>
  </w:style>
  <w:style w:type="paragraph" w:customStyle="1" w:styleId="ReferenciaFactor">
    <w:name w:val="Referencia Factor"/>
    <w:basedOn w:val="Normal"/>
    <w:rsid w:val="00622884"/>
    <w:pPr>
      <w:keepNext/>
      <w:spacing w:after="60" w:line="259" w:lineRule="auto"/>
      <w:jc w:val="right"/>
    </w:pPr>
    <w:rPr>
      <w:rFonts w:ascii="Calibri Light" w:eastAsia="Aptos" w:hAnsi="Calibri Light" w:cs="Calibri Light"/>
      <w:i/>
      <w:iCs/>
      <w:noProof/>
      <w:color w:val="1E3B59"/>
      <w:sz w:val="16"/>
      <w:szCs w:val="16"/>
      <w:lang w:eastAsia="en-US"/>
    </w:rPr>
  </w:style>
  <w:style w:type="paragraph" w:customStyle="1" w:styleId="FactorCO2">
    <w:name w:val="Factor CO2"/>
    <w:basedOn w:val="Normal"/>
    <w:link w:val="FactorCO2Car"/>
    <w:rsid w:val="00622884"/>
    <w:pPr>
      <w:spacing w:before="120" w:after="240"/>
    </w:pPr>
    <w:rPr>
      <w:rFonts w:ascii="Century Gothic" w:eastAsia="Calibri" w:hAnsi="Century Gothic" w:cs="Times New Roman"/>
      <w:noProof/>
      <w:sz w:val="20"/>
      <w:szCs w:val="20"/>
      <w:lang w:eastAsia="en-US"/>
    </w:rPr>
  </w:style>
  <w:style w:type="character" w:customStyle="1" w:styleId="FactorCO2Car">
    <w:name w:val="Factor CO2 Car"/>
    <w:link w:val="FactorCO2"/>
    <w:rsid w:val="00622884"/>
    <w:rPr>
      <w:rFonts w:ascii="Century Gothic" w:eastAsia="Calibri" w:hAnsi="Century Gothic" w:cs="Times New Roman"/>
      <w:noProof/>
      <w:sz w:val="20"/>
      <w:szCs w:val="20"/>
      <w:lang w:val="sq-AL"/>
    </w:rPr>
  </w:style>
  <w:style w:type="table" w:customStyle="1" w:styleId="Lijsttabel1licht-Accent51">
    <w:name w:val="Lijsttabel 1 licht - Accent 51"/>
    <w:basedOn w:val="TableNormal"/>
    <w:next w:val="ListTable1Light-Accent5"/>
    <w:uiPriority w:val="46"/>
    <w:rsid w:val="00622884"/>
    <w:pPr>
      <w:spacing w:after="0" w:line="240" w:lineRule="auto"/>
    </w:pPr>
    <w:rPr>
      <w:rFonts w:ascii="Aptos" w:eastAsia="Aptos" w:hAnsi="Aptos" w:cs="Arial"/>
      <w:sz w:val="20"/>
      <w:szCs w:val="20"/>
      <w:lang w:val="es-MX" w:eastAsia="sq-AL"/>
    </w:rPr>
    <w:tblPr>
      <w:tblStyleRowBandSize w:val="1"/>
      <w:tblStyleColBandSize w:val="1"/>
    </w:tblPr>
    <w:tblStylePr w:type="firstRow">
      <w:rPr>
        <w:b/>
        <w:bCs/>
      </w:rPr>
      <w:tblPr/>
      <w:tcPr>
        <w:tcBorders>
          <w:bottom w:val="single" w:sz="4" w:space="0" w:color="9CC2E5"/>
        </w:tcBorders>
      </w:tcPr>
    </w:tblStylePr>
    <w:tblStylePr w:type="lastRow">
      <w:rPr>
        <w:b/>
        <w:bCs/>
      </w:rPr>
      <w:tblPr/>
      <w:tcPr>
        <w:tcBorders>
          <w:top w:val="sing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paragraph" w:customStyle="1" w:styleId="parrafoFCO2">
    <w:name w:val="parrafoFCO2"/>
    <w:basedOn w:val="Normal"/>
    <w:link w:val="parrafoFCO2Car"/>
    <w:rsid w:val="00622884"/>
    <w:pPr>
      <w:spacing w:after="240" w:line="360" w:lineRule="auto"/>
    </w:pPr>
    <w:rPr>
      <w:rFonts w:ascii="Century Gothic" w:eastAsia="Aptos" w:hAnsi="Century Gothic" w:cs="Arial"/>
      <w:noProof/>
      <w:lang w:eastAsia="en-US"/>
    </w:rPr>
  </w:style>
  <w:style w:type="character" w:customStyle="1" w:styleId="parrafoFCO2Car">
    <w:name w:val="parrafoFCO2 Car"/>
    <w:link w:val="parrafoFCO2"/>
    <w:rsid w:val="00622884"/>
    <w:rPr>
      <w:rFonts w:ascii="Century Gothic" w:eastAsia="Aptos" w:hAnsi="Century Gothic" w:cs="Arial"/>
      <w:noProof/>
      <w:lang w:val="sq-AL"/>
    </w:rPr>
  </w:style>
  <w:style w:type="table" w:customStyle="1" w:styleId="Tablanormal51">
    <w:name w:val="Tabla normal 51"/>
    <w:basedOn w:val="TableNormal"/>
    <w:uiPriority w:val="45"/>
    <w:rsid w:val="00622884"/>
    <w:pPr>
      <w:spacing w:after="0" w:line="240" w:lineRule="auto"/>
    </w:pPr>
    <w:rPr>
      <w:rFonts w:ascii="Aptos" w:eastAsia="Aptos" w:hAnsi="Aptos" w:cs="Arial"/>
      <w:sz w:val="20"/>
      <w:szCs w:val="20"/>
      <w:lang w:val="es-ES" w:eastAsia="sq-AL"/>
    </w:rPr>
    <w:tblPr>
      <w:tblStyleRowBandSize w:val="1"/>
      <w:tblStyleColBandSize w:val="1"/>
    </w:tblPr>
    <w:tblStylePr w:type="firstRow">
      <w:rPr>
        <w:rFonts w:ascii="Calibri Light" w:eastAsia="MS Gothic" w:hAnsi="Calibri Light" w:cs="Times New Roman"/>
        <w:i/>
        <w:iCs/>
        <w:sz w:val="26"/>
      </w:rPr>
      <w:tblPr/>
      <w:tcPr>
        <w:tcBorders>
          <w:bottom w:val="single" w:sz="4" w:space="0" w:color="7F7F7F"/>
        </w:tcBorders>
        <w:shd w:val="clear" w:color="auto" w:fill="FFFFFF"/>
      </w:tcPr>
    </w:tblStylePr>
    <w:tblStylePr w:type="lastRow">
      <w:rPr>
        <w:rFonts w:ascii="Calibri Light" w:eastAsia="MS Gothic" w:hAnsi="Calibri Light" w:cs="Times New Roman"/>
        <w:i/>
        <w:iCs/>
        <w:sz w:val="26"/>
      </w:rPr>
      <w:tblPr/>
      <w:tcPr>
        <w:tcBorders>
          <w:top w:val="single" w:sz="4" w:space="0" w:color="7F7F7F"/>
        </w:tcBorders>
        <w:shd w:val="clear" w:color="auto" w:fill="FFFFFF"/>
      </w:tcPr>
    </w:tblStylePr>
    <w:tblStylePr w:type="firstCol">
      <w:pPr>
        <w:jc w:val="right"/>
      </w:pPr>
      <w:rPr>
        <w:rFonts w:ascii="Calibri Light" w:eastAsia="MS Gothic" w:hAnsi="Calibri Light" w:cs="Times New Roman"/>
        <w:i/>
        <w:iCs/>
        <w:sz w:val="26"/>
      </w:rPr>
      <w:tblPr/>
      <w:tcPr>
        <w:tcBorders>
          <w:right w:val="single" w:sz="4" w:space="0" w:color="7F7F7F"/>
        </w:tcBorders>
        <w:shd w:val="clear" w:color="auto" w:fill="FFFFFF"/>
      </w:tcPr>
    </w:tblStylePr>
    <w:tblStylePr w:type="lastCol">
      <w:rPr>
        <w:rFonts w:ascii="Calibri Light" w:eastAsia="MS Gothic" w:hAnsi="Calibri Light"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adelista4-nfasis22">
    <w:name w:val="Tabla de lista 4 - Énfasis 22"/>
    <w:basedOn w:val="TableNormal"/>
    <w:uiPriority w:val="49"/>
    <w:rsid w:val="00622884"/>
    <w:pPr>
      <w:spacing w:after="0" w:line="240" w:lineRule="auto"/>
    </w:pPr>
    <w:rPr>
      <w:rFonts w:ascii="Aptos" w:eastAsia="Aptos" w:hAnsi="Aptos" w:cs="Arial"/>
      <w:sz w:val="20"/>
      <w:szCs w:val="28"/>
      <w:lang w:val="es-ES" w:eastAsia="sq-AL" w:bidi="th-TH"/>
    </w:rPr>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tblBorders>
    </w:tblPr>
    <w:tblStylePr w:type="firstRow">
      <w:rPr>
        <w:b/>
        <w:bCs/>
        <w:color w:val="FFFFFF"/>
      </w:rPr>
      <w:tblPr/>
      <w:tcPr>
        <w:tcBorders>
          <w:top w:val="single" w:sz="4" w:space="0" w:color="ED7D31"/>
          <w:left w:val="single" w:sz="4" w:space="0" w:color="ED7D31"/>
          <w:bottom w:val="single" w:sz="4" w:space="0" w:color="ED7D31"/>
          <w:right w:val="single" w:sz="4" w:space="0" w:color="ED7D31"/>
          <w:insideH w:val="nil"/>
        </w:tcBorders>
        <w:shd w:val="clear" w:color="auto" w:fill="ED7D31"/>
      </w:tcPr>
    </w:tblStylePr>
    <w:tblStylePr w:type="lastRow">
      <w:rPr>
        <w:b/>
        <w:bCs/>
      </w:rPr>
      <w:tblPr/>
      <w:tcPr>
        <w:tcBorders>
          <w:top w:val="double" w:sz="4" w:space="0" w:color="F4B083"/>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paragraph" w:customStyle="1" w:styleId="Ballontekst1">
    <w:name w:val="Ballontekst1"/>
    <w:basedOn w:val="Normal"/>
    <w:next w:val="BalloonText"/>
    <w:uiPriority w:val="99"/>
    <w:unhideWhenUsed/>
    <w:rsid w:val="00622884"/>
    <w:pPr>
      <w:spacing w:after="0" w:line="240" w:lineRule="auto"/>
    </w:pPr>
    <w:rPr>
      <w:rFonts w:ascii="Segoe UI" w:eastAsia="Calibri Light" w:hAnsi="Segoe UI" w:cs="Segoe UI"/>
      <w:kern w:val="2"/>
      <w:sz w:val="18"/>
      <w:szCs w:val="18"/>
      <w:lang w:val="nl-NL" w:eastAsia="en-US"/>
    </w:rPr>
  </w:style>
  <w:style w:type="table" w:customStyle="1" w:styleId="Lichtearcering-accent31">
    <w:name w:val="Lichte arcering - accent 31"/>
    <w:basedOn w:val="TableNormal"/>
    <w:next w:val="LightShading-Accent3"/>
    <w:uiPriority w:val="60"/>
    <w:rsid w:val="00622884"/>
    <w:pPr>
      <w:spacing w:after="0" w:line="240" w:lineRule="auto"/>
    </w:pPr>
    <w:rPr>
      <w:rFonts w:ascii="Aptos" w:eastAsia="Aptos" w:hAnsi="Aptos" w:cs="Arial"/>
      <w:color w:val="7B7B7B"/>
      <w:sz w:val="20"/>
      <w:szCs w:val="20"/>
      <w:lang w:val="es-ES" w:eastAsia="sq-AL"/>
    </w:rPr>
    <w:tblPr>
      <w:tblStyleRowBandSize w:val="1"/>
      <w:tblStyleColBandSize w:val="1"/>
      <w:tblBorders>
        <w:top w:val="single" w:sz="8" w:space="0" w:color="A5A5A5"/>
        <w:bottom w:val="single" w:sz="8" w:space="0" w:color="A5A5A5"/>
      </w:tblBorders>
    </w:tblPr>
    <w:tblStylePr w:type="firstRow">
      <w:pPr>
        <w:spacing w:before="0" w:after="0" w:line="240" w:lineRule="auto"/>
      </w:pPr>
      <w:rPr>
        <w:b/>
        <w:bCs/>
      </w:rPr>
      <w:tblPr/>
      <w:tcPr>
        <w:tcBorders>
          <w:top w:val="single" w:sz="8" w:space="0" w:color="A5A5A5"/>
          <w:left w:val="nil"/>
          <w:bottom w:val="single" w:sz="8" w:space="0" w:color="A5A5A5"/>
          <w:right w:val="nil"/>
          <w:insideH w:val="nil"/>
          <w:insideV w:val="nil"/>
        </w:tcBorders>
      </w:tcPr>
    </w:tblStylePr>
    <w:tblStylePr w:type="lastRow">
      <w:pPr>
        <w:spacing w:before="0" w:after="0" w:line="240" w:lineRule="auto"/>
      </w:pPr>
      <w:rPr>
        <w:b/>
        <w:bCs/>
      </w:rPr>
      <w:tblPr/>
      <w:tcPr>
        <w:tcBorders>
          <w:top w:val="single" w:sz="8" w:space="0" w:color="A5A5A5"/>
          <w:left w:val="nil"/>
          <w:bottom w:val="single" w:sz="8" w:space="0" w:color="A5A5A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cPr>
    </w:tblStylePr>
    <w:tblStylePr w:type="band1Horz">
      <w:tblPr/>
      <w:tcPr>
        <w:tcBorders>
          <w:left w:val="nil"/>
          <w:right w:val="nil"/>
          <w:insideH w:val="nil"/>
          <w:insideV w:val="nil"/>
        </w:tcBorders>
        <w:shd w:val="clear" w:color="auto" w:fill="E8E8E8"/>
      </w:tcPr>
    </w:tblStylePr>
  </w:style>
  <w:style w:type="paragraph" w:customStyle="1" w:styleId="Ttulotabla">
    <w:name w:val="Título tabla"/>
    <w:basedOn w:val="Normal"/>
    <w:rsid w:val="00622884"/>
    <w:pPr>
      <w:keepNext/>
      <w:spacing w:after="0" w:line="240" w:lineRule="auto"/>
      <w:jc w:val="right"/>
    </w:pPr>
    <w:rPr>
      <w:rFonts w:ascii="Century Gothic" w:eastAsia="Aptos" w:hAnsi="Century Gothic" w:cs="Arial"/>
      <w:b/>
      <w:bCs/>
      <w:noProof/>
      <w:sz w:val="18"/>
      <w:szCs w:val="18"/>
      <w:lang w:eastAsia="en-US"/>
    </w:rPr>
  </w:style>
  <w:style w:type="paragraph" w:customStyle="1" w:styleId="TtuloFactornumerado">
    <w:name w:val="Título Factor numerado"/>
    <w:basedOn w:val="TtulosFactor"/>
    <w:rsid w:val="00622884"/>
    <w:pPr>
      <w:numPr>
        <w:numId w:val="14"/>
      </w:numPr>
      <w:tabs>
        <w:tab w:val="num" w:pos="360"/>
      </w:tabs>
      <w:ind w:left="357" w:hanging="357"/>
    </w:pPr>
  </w:style>
  <w:style w:type="paragraph" w:customStyle="1" w:styleId="TtulosFactor">
    <w:name w:val="Títulos Factor"/>
    <w:basedOn w:val="Heading1"/>
    <w:rsid w:val="00622884"/>
    <w:pPr>
      <w:spacing w:before="0" w:after="160" w:line="259" w:lineRule="auto"/>
    </w:pPr>
    <w:rPr>
      <w:rFonts w:ascii="Aptos Display" w:eastAsia="Yu Gothic Light" w:hAnsi="Aptos Display" w:cs="Times New Roman"/>
      <w:b w:val="0"/>
      <w:noProof/>
      <w:color w:val="019F6C"/>
      <w:sz w:val="32"/>
      <w:szCs w:val="32"/>
      <w:lang w:val="en-US" w:eastAsia="en-US"/>
    </w:rPr>
  </w:style>
  <w:style w:type="paragraph" w:customStyle="1" w:styleId="Bibliografie1">
    <w:name w:val="Bibliografie1"/>
    <w:basedOn w:val="Normal"/>
    <w:next w:val="Normal"/>
    <w:uiPriority w:val="37"/>
    <w:unhideWhenUsed/>
    <w:rsid w:val="00622884"/>
    <w:pPr>
      <w:spacing w:after="160" w:line="259" w:lineRule="auto"/>
    </w:pPr>
    <w:rPr>
      <w:rFonts w:ascii="Calibri Light" w:eastAsia="Aptos" w:hAnsi="Calibri Light" w:cs="Arial"/>
      <w:noProof/>
      <w:sz w:val="20"/>
      <w:lang w:eastAsia="en-US"/>
    </w:rPr>
  </w:style>
  <w:style w:type="paragraph" w:customStyle="1" w:styleId="Index11">
    <w:name w:val="Index 11"/>
    <w:basedOn w:val="Normal"/>
    <w:next w:val="Normal"/>
    <w:autoRedefine/>
    <w:uiPriority w:val="99"/>
    <w:semiHidden/>
    <w:unhideWhenUsed/>
    <w:rsid w:val="00622884"/>
    <w:pPr>
      <w:spacing w:after="0" w:line="240" w:lineRule="auto"/>
      <w:ind w:left="220" w:hanging="220"/>
    </w:pPr>
    <w:rPr>
      <w:rFonts w:ascii="Calibri Light" w:eastAsia="Aptos" w:hAnsi="Calibri Light" w:cs="Arial"/>
      <w:noProof/>
      <w:sz w:val="20"/>
      <w:lang w:eastAsia="en-US"/>
    </w:rPr>
  </w:style>
  <w:style w:type="paragraph" w:customStyle="1" w:styleId="SubttuloFactor">
    <w:name w:val="Subtítulo Factor"/>
    <w:basedOn w:val="Heading2"/>
    <w:rsid w:val="00622884"/>
    <w:pPr>
      <w:keepNext w:val="0"/>
      <w:spacing w:before="0" w:after="160" w:line="259" w:lineRule="auto"/>
      <w:jc w:val="right"/>
    </w:pPr>
    <w:rPr>
      <w:rFonts w:ascii="Aptos Display" w:eastAsia="Calibri Light" w:hAnsi="Aptos Display"/>
      <w:b w:val="0"/>
      <w:noProof/>
      <w:color w:val="1E3B59"/>
      <w:lang w:eastAsia="en-US"/>
    </w:rPr>
  </w:style>
  <w:style w:type="paragraph" w:customStyle="1" w:styleId="PrrafoFactor">
    <w:name w:val="Párrafo Factor"/>
    <w:basedOn w:val="parrafoFCO2"/>
    <w:rsid w:val="00622884"/>
    <w:pPr>
      <w:spacing w:line="259" w:lineRule="auto"/>
    </w:pPr>
    <w:rPr>
      <w:sz w:val="18"/>
      <w:szCs w:val="18"/>
      <w:lang w:val="es-ES"/>
    </w:rPr>
  </w:style>
  <w:style w:type="paragraph" w:customStyle="1" w:styleId="Estilo1">
    <w:name w:val="Estilo1"/>
    <w:basedOn w:val="SubttuloFactor"/>
    <w:rsid w:val="00622884"/>
    <w:rPr>
      <w:sz w:val="18"/>
    </w:rPr>
  </w:style>
  <w:style w:type="paragraph" w:customStyle="1" w:styleId="SubttuloFactor0">
    <w:name w:val="SubtítuloFactor"/>
    <w:basedOn w:val="SubttuloFactor"/>
    <w:rsid w:val="00622884"/>
    <w:rPr>
      <w:sz w:val="16"/>
    </w:rPr>
  </w:style>
  <w:style w:type="paragraph" w:customStyle="1" w:styleId="Documentstructuur1">
    <w:name w:val="Documentstructuur1"/>
    <w:basedOn w:val="Normal"/>
    <w:next w:val="DocumentMap"/>
    <w:link w:val="DocumentstructuurChar"/>
    <w:uiPriority w:val="99"/>
    <w:semiHidden/>
    <w:unhideWhenUsed/>
    <w:rsid w:val="00622884"/>
    <w:pPr>
      <w:spacing w:after="0" w:line="240" w:lineRule="auto"/>
      <w:jc w:val="left"/>
    </w:pPr>
    <w:rPr>
      <w:rFonts w:ascii="Tahoma" w:eastAsia="Calibri Light" w:hAnsi="Tahoma" w:cs="Tahoma"/>
      <w:kern w:val="2"/>
      <w:sz w:val="16"/>
      <w:szCs w:val="16"/>
      <w:lang w:val="nl-NL" w:eastAsia="en-US"/>
    </w:rPr>
  </w:style>
  <w:style w:type="character" w:customStyle="1" w:styleId="DocumentstructuurChar">
    <w:name w:val="Documentstructuur Char"/>
    <w:link w:val="Documentstructuur1"/>
    <w:uiPriority w:val="99"/>
    <w:semiHidden/>
    <w:rsid w:val="00622884"/>
    <w:rPr>
      <w:rFonts w:ascii="Tahoma" w:eastAsia="Calibri Light" w:hAnsi="Tahoma" w:cs="Tahoma"/>
      <w:kern w:val="2"/>
      <w:sz w:val="16"/>
      <w:szCs w:val="16"/>
      <w:lang w:val="nl-NL"/>
    </w:rPr>
  </w:style>
  <w:style w:type="character" w:customStyle="1" w:styleId="TtuloCar1">
    <w:name w:val="Título Car1"/>
    <w:uiPriority w:val="10"/>
    <w:rsid w:val="00622884"/>
    <w:rPr>
      <w:rFonts w:ascii="Century Gothic" w:hAnsi="Century Gothic"/>
      <w:b/>
      <w:color w:val="595959"/>
      <w:sz w:val="32"/>
      <w:szCs w:val="32"/>
      <w:lang w:val="en-US"/>
    </w:rPr>
  </w:style>
  <w:style w:type="paragraph" w:customStyle="1" w:styleId="Lijstmetafbeeldingen1">
    <w:name w:val="Lijst met afbeeldingen1"/>
    <w:basedOn w:val="Normal"/>
    <w:next w:val="Normal"/>
    <w:uiPriority w:val="99"/>
    <w:unhideWhenUsed/>
    <w:rsid w:val="00622884"/>
    <w:pPr>
      <w:spacing w:after="0" w:line="259" w:lineRule="auto"/>
    </w:pPr>
    <w:rPr>
      <w:rFonts w:ascii="Calibri Light" w:eastAsia="Aptos" w:hAnsi="Calibri Light" w:cs="Arial"/>
      <w:noProof/>
      <w:sz w:val="20"/>
      <w:lang w:eastAsia="en-US"/>
    </w:rPr>
  </w:style>
  <w:style w:type="paragraph" w:customStyle="1" w:styleId="Ttulondice">
    <w:name w:val="Título Índice"/>
    <w:basedOn w:val="TOCHeading"/>
    <w:autoRedefine/>
    <w:rsid w:val="00622884"/>
    <w:pPr>
      <w:spacing w:before="240" w:line="259" w:lineRule="auto"/>
    </w:pPr>
    <w:rPr>
      <w:rFonts w:ascii="Aptos Display" w:eastAsia="Yu Gothic Light" w:hAnsi="Aptos Display" w:cs="Calibri Light"/>
      <w:b w:val="0"/>
      <w:noProof/>
      <w:color w:val="1E3B59"/>
      <w:lang w:val="en-US" w:eastAsia="es-ES"/>
    </w:rPr>
  </w:style>
  <w:style w:type="paragraph" w:customStyle="1" w:styleId="Tablandice">
    <w:name w:val="Tabla índice"/>
    <w:basedOn w:val="TOC1"/>
    <w:autoRedefine/>
    <w:rsid w:val="00622884"/>
    <w:pPr>
      <w:tabs>
        <w:tab w:val="clear" w:pos="480"/>
        <w:tab w:val="clear" w:pos="9639"/>
        <w:tab w:val="left" w:pos="440"/>
        <w:tab w:val="right" w:leader="dot" w:pos="8494"/>
        <w:tab w:val="right" w:leader="dot" w:pos="10194"/>
      </w:tabs>
      <w:spacing w:before="120" w:after="160"/>
    </w:pPr>
    <w:rPr>
      <w:rFonts w:ascii="Calibri Light" w:eastAsia="MS Mincho" w:hAnsi="Calibri Light" w:cs="Calibri Light"/>
      <w:b w:val="0"/>
      <w:color w:val="1E3B59"/>
      <w:sz w:val="20"/>
      <w:szCs w:val="40"/>
      <w:lang w:val="en-GB" w:eastAsia="es-ES"/>
    </w:rPr>
  </w:style>
  <w:style w:type="paragraph" w:customStyle="1" w:styleId="Tablas">
    <w:name w:val="Tablas"/>
    <w:basedOn w:val="Normal"/>
    <w:rsid w:val="00622884"/>
    <w:pPr>
      <w:spacing w:after="60" w:line="240" w:lineRule="auto"/>
      <w:jc w:val="center"/>
    </w:pPr>
    <w:rPr>
      <w:rFonts w:ascii="Calibri Light" w:eastAsia="Times New Roman" w:hAnsi="Calibri Light" w:cs="Calibri Light"/>
      <w:bCs/>
      <w:noProof/>
      <w:sz w:val="18"/>
      <w:szCs w:val="18"/>
      <w:lang w:eastAsia="en-GB"/>
    </w:rPr>
  </w:style>
  <w:style w:type="paragraph" w:customStyle="1" w:styleId="TtuloPortadaFactor">
    <w:name w:val="Título Portada Factor"/>
    <w:basedOn w:val="BodyText"/>
    <w:rsid w:val="00622884"/>
    <w:pPr>
      <w:widowControl w:val="0"/>
      <w:autoSpaceDE w:val="0"/>
      <w:autoSpaceDN w:val="0"/>
      <w:spacing w:before="9" w:after="0"/>
      <w:jc w:val="center"/>
    </w:pPr>
    <w:rPr>
      <w:rFonts w:ascii="Calibri Light" w:eastAsia="Calibri Light" w:hAnsi="Calibri Light" w:cs="Calibri Light"/>
      <w:b/>
      <w:bCs/>
      <w:noProof/>
      <w:color w:val="1E3B59"/>
      <w:sz w:val="52"/>
      <w:szCs w:val="52"/>
      <w:lang w:val="en-US" w:eastAsia="en-US"/>
    </w:rPr>
  </w:style>
  <w:style w:type="paragraph" w:customStyle="1" w:styleId="SubttuloPortadaFactor">
    <w:name w:val="Subtítulo Portada Factor"/>
    <w:basedOn w:val="Normal"/>
    <w:rsid w:val="00622884"/>
    <w:pPr>
      <w:spacing w:before="193" w:after="160" w:line="259" w:lineRule="auto"/>
      <w:jc w:val="center"/>
    </w:pPr>
    <w:rPr>
      <w:rFonts w:ascii="Calibri Light" w:eastAsia="Aptos" w:hAnsi="Calibri Light" w:cs="Calibri Light"/>
      <w:noProof/>
      <w:color w:val="808080"/>
      <w:sz w:val="28"/>
      <w:lang w:eastAsia="en-US"/>
    </w:rPr>
  </w:style>
  <w:style w:type="paragraph" w:customStyle="1" w:styleId="Factor">
    <w:name w:val="Factor"/>
    <w:basedOn w:val="Heading1"/>
    <w:qFormat/>
    <w:rsid w:val="00622884"/>
    <w:pPr>
      <w:spacing w:before="240" w:line="259" w:lineRule="auto"/>
      <w:jc w:val="left"/>
    </w:pPr>
    <w:rPr>
      <w:rFonts w:ascii="Aptos Display" w:eastAsia="Yu Gothic Light" w:hAnsi="Aptos Display" w:cs="Times New Roman"/>
      <w:b w:val="0"/>
      <w:noProof/>
      <w:color w:val="019F6C"/>
      <w:sz w:val="32"/>
      <w:szCs w:val="32"/>
      <w:lang w:val="en-US" w:eastAsia="en-US"/>
    </w:rPr>
  </w:style>
  <w:style w:type="table" w:customStyle="1" w:styleId="Rastertabel5donker-Accent31">
    <w:name w:val="Rastertabel 5 donker - Accent 31"/>
    <w:basedOn w:val="TableNormal"/>
    <w:next w:val="GridTable5Dark-Accent3"/>
    <w:uiPriority w:val="50"/>
    <w:rsid w:val="00622884"/>
    <w:pPr>
      <w:spacing w:after="0" w:line="240" w:lineRule="auto"/>
    </w:pPr>
    <w:rPr>
      <w:rFonts w:ascii="Aptos" w:eastAsia="Aptos" w:hAnsi="Aptos" w:cs="Arial"/>
      <w:sz w:val="20"/>
      <w:szCs w:val="20"/>
      <w:lang w:val="es-ES" w:eastAsia="sq-AL"/>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DEDE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A5A5A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A5A5A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A5A5A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A5A5A5"/>
      </w:tcPr>
    </w:tblStylePr>
    <w:tblStylePr w:type="band1Vert">
      <w:tblPr/>
      <w:tcPr>
        <w:shd w:val="clear" w:color="auto" w:fill="DBDBDB"/>
      </w:tcPr>
    </w:tblStylePr>
    <w:tblStylePr w:type="band1Horz">
      <w:tblPr/>
      <w:tcPr>
        <w:shd w:val="clear" w:color="auto" w:fill="DBDBDB"/>
      </w:tcPr>
    </w:tblStylePr>
  </w:style>
  <w:style w:type="paragraph" w:customStyle="1" w:styleId="Fuentetabla">
    <w:name w:val="Fuente tabla"/>
    <w:basedOn w:val="Normal"/>
    <w:rsid w:val="00622884"/>
    <w:pPr>
      <w:spacing w:after="0" w:line="360" w:lineRule="auto"/>
      <w:jc w:val="right"/>
    </w:pPr>
    <w:rPr>
      <w:rFonts w:ascii="Century Gothic" w:eastAsia="Aptos" w:hAnsi="Century Gothic" w:cs="Arial"/>
      <w:noProof/>
      <w:sz w:val="18"/>
      <w:szCs w:val="18"/>
      <w:lang w:eastAsia="en-US"/>
    </w:rPr>
  </w:style>
  <w:style w:type="paragraph" w:customStyle="1" w:styleId="P1">
    <w:name w:val="P1"/>
    <w:basedOn w:val="Normal"/>
    <w:link w:val="P1Zchn"/>
    <w:rsid w:val="00622884"/>
    <w:pPr>
      <w:spacing w:before="120" w:line="240" w:lineRule="auto"/>
      <w:jc w:val="left"/>
    </w:pPr>
    <w:rPr>
      <w:rFonts w:ascii="Calibri Light" w:eastAsia="MS Mincho" w:hAnsi="Calibri Light" w:cs="Arial"/>
      <w:noProof/>
      <w:lang w:eastAsia="en-US"/>
    </w:rPr>
  </w:style>
  <w:style w:type="character" w:customStyle="1" w:styleId="P1Zchn">
    <w:name w:val="P1 Zchn"/>
    <w:link w:val="P1"/>
    <w:rsid w:val="00622884"/>
    <w:rPr>
      <w:rFonts w:ascii="Calibri Light" w:eastAsia="MS Mincho" w:hAnsi="Calibri Light" w:cs="Arial"/>
      <w:noProof/>
      <w:lang w:val="sq-AL"/>
    </w:rPr>
  </w:style>
  <w:style w:type="paragraph" w:customStyle="1" w:styleId="Normal1">
    <w:name w:val="Normal1"/>
    <w:basedOn w:val="Normal"/>
    <w:link w:val="NormalCar"/>
    <w:rsid w:val="00622884"/>
    <w:pPr>
      <w:spacing w:before="120" w:after="0"/>
    </w:pPr>
    <w:rPr>
      <w:rFonts w:ascii="Arial" w:eastAsia="Aptos" w:hAnsi="Arial" w:cs="Arial"/>
      <w:noProof/>
      <w:color w:val="00476B"/>
      <w:sz w:val="20"/>
      <w:szCs w:val="20"/>
      <w:lang w:eastAsia="en-US"/>
    </w:rPr>
  </w:style>
  <w:style w:type="character" w:customStyle="1" w:styleId="NormalCar">
    <w:name w:val="Normal Car"/>
    <w:link w:val="Normal1"/>
    <w:qFormat/>
    <w:rsid w:val="00622884"/>
    <w:rPr>
      <w:rFonts w:ascii="Arial" w:eastAsia="Aptos" w:hAnsi="Arial" w:cs="Arial"/>
      <w:noProof/>
      <w:color w:val="00476B"/>
      <w:sz w:val="20"/>
      <w:szCs w:val="20"/>
      <w:lang w:val="sq-AL"/>
    </w:rPr>
  </w:style>
  <w:style w:type="paragraph" w:customStyle="1" w:styleId="Prrafodelista4">
    <w:name w:val="Párrafo de lista4"/>
    <w:basedOn w:val="Normal"/>
    <w:rsid w:val="00622884"/>
    <w:pPr>
      <w:suppressAutoHyphens/>
      <w:spacing w:before="120" w:after="0" w:line="240" w:lineRule="auto"/>
      <w:ind w:left="720"/>
      <w:contextualSpacing/>
      <w:jc w:val="left"/>
    </w:pPr>
    <w:rPr>
      <w:rFonts w:ascii="Liberation Serif" w:eastAsia="Noto Sans CJK SC Regular" w:hAnsi="Liberation Serif" w:cs="FreeSans"/>
      <w:noProof/>
      <w:kern w:val="1"/>
      <w:sz w:val="24"/>
      <w:szCs w:val="24"/>
      <w:lang w:val="it-IT" w:eastAsia="zh-CN" w:bidi="hi-IN"/>
    </w:rPr>
  </w:style>
  <w:style w:type="paragraph" w:customStyle="1" w:styleId="p10">
    <w:name w:val="p1"/>
    <w:basedOn w:val="Normal"/>
    <w:rsid w:val="00622884"/>
    <w:pPr>
      <w:spacing w:after="0" w:line="240" w:lineRule="auto"/>
      <w:jc w:val="left"/>
    </w:pPr>
    <w:rPr>
      <w:rFonts w:ascii="Helvetica" w:eastAsia="Aptos" w:hAnsi="Helvetica" w:cs="Times New Roman"/>
      <w:noProof/>
      <w:sz w:val="21"/>
      <w:szCs w:val="21"/>
      <w:lang w:eastAsia="en-US"/>
    </w:rPr>
  </w:style>
  <w:style w:type="paragraph" w:customStyle="1" w:styleId="Ttulo2nivelgris">
    <w:name w:val="Título_2º nivel gris"/>
    <w:basedOn w:val="IntenseQuote"/>
    <w:link w:val="Ttulo2nivelgrisCar"/>
    <w:rsid w:val="00622884"/>
    <w:pPr>
      <w:pBdr>
        <w:top w:val="none" w:sz="0" w:space="0" w:color="auto"/>
        <w:bottom w:val="single" w:sz="4" w:space="1" w:color="808080"/>
      </w:pBdr>
      <w:spacing w:before="200" w:after="280" w:line="276" w:lineRule="auto"/>
      <w:ind w:left="993" w:right="936" w:hanging="426"/>
      <w:jc w:val="both"/>
    </w:pPr>
    <w:rPr>
      <w:rFonts w:ascii="Arial" w:hAnsi="Arial"/>
      <w:b/>
      <w:bCs/>
      <w:i w:val="0"/>
      <w:noProof/>
      <w:color w:val="808080"/>
      <w:kern w:val="0"/>
      <w:sz w:val="26"/>
      <w:szCs w:val="26"/>
      <w:lang w:val="en-US"/>
    </w:rPr>
  </w:style>
  <w:style w:type="character" w:customStyle="1" w:styleId="Ttulo2nivelgrisCar">
    <w:name w:val="Título_2º nivel gris Car"/>
    <w:link w:val="Ttulo2nivelgris"/>
    <w:rsid w:val="00622884"/>
    <w:rPr>
      <w:rFonts w:ascii="Arial" w:eastAsia="Aptos" w:hAnsi="Arial" w:cs="Arial"/>
      <w:b/>
      <w:bCs/>
      <w:iCs/>
      <w:noProof/>
      <w:color w:val="808080"/>
      <w:sz w:val="26"/>
      <w:szCs w:val="26"/>
    </w:rPr>
  </w:style>
  <w:style w:type="table" w:customStyle="1" w:styleId="Tablaconcuadrcula2">
    <w:name w:val="Tabla con cuadrícula2"/>
    <w:basedOn w:val="TableNormal"/>
    <w:next w:val="TableGrid"/>
    <w:uiPriority w:val="39"/>
    <w:rsid w:val="00622884"/>
    <w:pPr>
      <w:spacing w:after="0" w:line="240" w:lineRule="auto"/>
    </w:pPr>
    <w:rPr>
      <w:rFonts w:ascii="Aptos" w:eastAsia="Aptos" w:hAnsi="Aptos" w:cs="Arial"/>
      <w:sz w:val="20"/>
      <w:szCs w:val="20"/>
      <w:lang w:val="es-ES" w:eastAsia="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delista1clara-nfasis31">
    <w:name w:val="Tabla de lista 1 clara - Énfasis 31"/>
    <w:basedOn w:val="TableNormal"/>
    <w:next w:val="ListTable1Light-Accent3"/>
    <w:uiPriority w:val="46"/>
    <w:rsid w:val="00622884"/>
    <w:pPr>
      <w:spacing w:after="0" w:line="240" w:lineRule="auto"/>
    </w:pPr>
    <w:rPr>
      <w:rFonts w:ascii="Aptos" w:eastAsia="Aptos" w:hAnsi="Aptos" w:cs="Arial"/>
      <w:sz w:val="20"/>
      <w:szCs w:val="20"/>
      <w:lang w:val="es-ES" w:eastAsia="sq-AL"/>
    </w:rPr>
    <w:tblPr>
      <w:tblStyleRowBandSize w:val="1"/>
      <w:tblStyleColBandSize w:val="1"/>
    </w:tblPr>
    <w:tblStylePr w:type="firstRow">
      <w:rPr>
        <w:b/>
        <w:bCs/>
      </w:rPr>
      <w:tblPr/>
      <w:tcPr>
        <w:tcBorders>
          <w:bottom w:val="single" w:sz="4" w:space="0" w:color="C2D69B"/>
        </w:tcBorders>
      </w:tcPr>
    </w:tblStylePr>
    <w:tblStylePr w:type="lastRow">
      <w:rPr>
        <w:b/>
        <w:bCs/>
      </w:rPr>
      <w:tblPr/>
      <w:tcPr>
        <w:tcBorders>
          <w:top w:val="sing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Lijsttabel1licht-Accent31">
    <w:name w:val="Lijsttabel 1 licht - Accent 31"/>
    <w:basedOn w:val="TableNormal"/>
    <w:next w:val="ListTable1Light-Accent3"/>
    <w:uiPriority w:val="46"/>
    <w:rsid w:val="00622884"/>
    <w:pPr>
      <w:spacing w:after="0" w:line="240" w:lineRule="auto"/>
    </w:pPr>
    <w:rPr>
      <w:rFonts w:ascii="Aptos" w:eastAsia="Aptos" w:hAnsi="Aptos" w:cs="Arial"/>
      <w:sz w:val="20"/>
      <w:szCs w:val="20"/>
      <w:lang w:val="es-ES" w:eastAsia="sq-AL"/>
    </w:rPr>
    <w:tblPr>
      <w:tblStyleRowBandSize w:val="1"/>
      <w:tblStyleColBandSize w:val="1"/>
    </w:tblPr>
    <w:tblStylePr w:type="firstRow">
      <w:rPr>
        <w:b/>
        <w:bCs/>
      </w:rPr>
      <w:tblPr/>
      <w:tcPr>
        <w:tcBorders>
          <w:bottom w:val="single" w:sz="4" w:space="0" w:color="C9C9C9"/>
        </w:tcBorders>
      </w:tcPr>
    </w:tblStylePr>
    <w:tblStylePr w:type="lastRow">
      <w:rPr>
        <w:b/>
        <w:bCs/>
      </w:rPr>
      <w:tblPr/>
      <w:tcPr>
        <w:tcBorders>
          <w:top w:val="single" w:sz="4" w:space="0" w:color="C9C9C9"/>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character" w:customStyle="1" w:styleId="Onopgelostemelding4">
    <w:name w:val="Onopgeloste melding4"/>
    <w:uiPriority w:val="99"/>
    <w:unhideWhenUsed/>
    <w:rsid w:val="00622884"/>
    <w:rPr>
      <w:color w:val="605E5C"/>
      <w:shd w:val="clear" w:color="auto" w:fill="E1DFDD"/>
    </w:rPr>
  </w:style>
  <w:style w:type="paragraph" w:customStyle="1" w:styleId="Prrafo">
    <w:name w:val="Párrafo"/>
    <w:basedOn w:val="Normal"/>
    <w:link w:val="PrrafoCar"/>
    <w:rsid w:val="00622884"/>
    <w:pPr>
      <w:spacing w:after="200" w:line="240" w:lineRule="auto"/>
    </w:pPr>
    <w:rPr>
      <w:rFonts w:ascii="Museo 300" w:eastAsia="Aptos" w:hAnsi="Museo 300" w:cs="Gill Sans"/>
      <w:noProof/>
      <w:color w:val="595959"/>
      <w:sz w:val="24"/>
      <w:lang w:eastAsia="en-US"/>
    </w:rPr>
  </w:style>
  <w:style w:type="character" w:customStyle="1" w:styleId="PrrafoCar">
    <w:name w:val="Párrafo Car"/>
    <w:link w:val="Prrafo"/>
    <w:rsid w:val="00622884"/>
    <w:rPr>
      <w:rFonts w:ascii="Museo 300" w:eastAsia="Aptos" w:hAnsi="Museo 300" w:cs="Gill Sans"/>
      <w:noProof/>
      <w:color w:val="595959"/>
      <w:sz w:val="24"/>
      <w:lang w:val="sq-AL"/>
    </w:rPr>
  </w:style>
  <w:style w:type="paragraph" w:customStyle="1" w:styleId="FigurayTabla">
    <w:name w:val="Figura y Tabla"/>
    <w:basedOn w:val="Prrafo"/>
    <w:link w:val="FigurayTablaCar"/>
    <w:qFormat/>
    <w:rsid w:val="00622884"/>
    <w:pPr>
      <w:keepNext/>
      <w:spacing w:after="0"/>
      <w:jc w:val="left"/>
    </w:pPr>
    <w:rPr>
      <w:rFonts w:ascii="Open Sans" w:hAnsi="Open Sans"/>
      <w:sz w:val="20"/>
      <w:szCs w:val="18"/>
    </w:rPr>
  </w:style>
  <w:style w:type="character" w:customStyle="1" w:styleId="FigurayTablaCar">
    <w:name w:val="Figura y Tabla Car"/>
    <w:link w:val="FigurayTabla"/>
    <w:rsid w:val="00622884"/>
    <w:rPr>
      <w:rFonts w:ascii="Open Sans" w:eastAsia="Aptos" w:hAnsi="Open Sans" w:cs="Gill Sans"/>
      <w:noProof/>
      <w:color w:val="595959"/>
      <w:sz w:val="20"/>
      <w:szCs w:val="18"/>
      <w:lang w:val="sq-AL"/>
    </w:rPr>
  </w:style>
  <w:style w:type="table" w:customStyle="1" w:styleId="FactorArreglos">
    <w:name w:val="Factor Arreglos"/>
    <w:basedOn w:val="TableNormal"/>
    <w:uiPriority w:val="99"/>
    <w:rsid w:val="00622884"/>
    <w:pPr>
      <w:spacing w:after="0" w:line="240" w:lineRule="auto"/>
    </w:pPr>
    <w:rPr>
      <w:rFonts w:ascii="Open Sans" w:eastAsia="Aptos" w:hAnsi="Open Sans" w:cs="Arial"/>
      <w:sz w:val="20"/>
      <w:szCs w:val="20"/>
      <w:lang w:val="es-ES" w:eastAsia="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tblStylePr w:type="firstRow">
      <w:rPr>
        <w:color w:val="FFFFFF"/>
      </w:rPr>
      <w:tblPr/>
      <w:tcPr>
        <w:shd w:val="clear" w:color="auto" w:fill="222A35"/>
      </w:tcPr>
    </w:tblStylePr>
  </w:style>
  <w:style w:type="table" w:customStyle="1" w:styleId="DefaultTable1">
    <w:name w:val="Default Table1"/>
    <w:basedOn w:val="TableNormal"/>
    <w:next w:val="TableGrid"/>
    <w:uiPriority w:val="59"/>
    <w:rsid w:val="00622884"/>
    <w:pPr>
      <w:spacing w:after="0" w:line="240" w:lineRule="auto"/>
    </w:pPr>
    <w:rPr>
      <w:rFonts w:ascii="Aptos" w:eastAsia="Aptos" w:hAnsi="Aptos" w:cs="Arial"/>
      <w:sz w:val="20"/>
      <w:szCs w:val="28"/>
      <w:lang w:val="es-ES" w:eastAsia="sq-AL" w:bidi="th-T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622884"/>
    <w:pPr>
      <w:widowControl w:val="0"/>
      <w:autoSpaceDE w:val="0"/>
      <w:autoSpaceDN w:val="0"/>
      <w:spacing w:after="0" w:line="240" w:lineRule="auto"/>
    </w:pPr>
    <w:rPr>
      <w:rFonts w:ascii="Aptos" w:eastAsia="Aptos" w:hAnsi="Aptos" w:cs="Arial"/>
    </w:rPr>
    <w:tblPr>
      <w:tblInd w:w="0" w:type="dxa"/>
      <w:tblCellMar>
        <w:top w:w="0" w:type="dxa"/>
        <w:left w:w="0" w:type="dxa"/>
        <w:bottom w:w="0" w:type="dxa"/>
        <w:right w:w="0" w:type="dxa"/>
      </w:tblCellMar>
    </w:tblPr>
  </w:style>
  <w:style w:type="table" w:customStyle="1" w:styleId="DefaultTable2">
    <w:name w:val="Default Table2"/>
    <w:basedOn w:val="TableNormal"/>
    <w:next w:val="TableGrid"/>
    <w:uiPriority w:val="59"/>
    <w:rsid w:val="00622884"/>
    <w:pPr>
      <w:spacing w:after="0" w:line="240" w:lineRule="auto"/>
    </w:pPr>
    <w:rPr>
      <w:rFonts w:ascii="Aptos" w:eastAsia="Aptos" w:hAnsi="Aptos" w:cs="Arial"/>
      <w:sz w:val="20"/>
      <w:szCs w:val="20"/>
      <w:lang w:val="es-ES" w:eastAsia="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uiPriority w:val="59"/>
    <w:rsid w:val="00622884"/>
    <w:pPr>
      <w:spacing w:after="0" w:line="240" w:lineRule="auto"/>
    </w:pPr>
    <w:rPr>
      <w:rFonts w:ascii="Times New Roman" w:eastAsia="Calibri" w:hAnsi="Times New Roman" w:cs="Times New Roman"/>
      <w:sz w:val="20"/>
      <w:szCs w:val="20"/>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ccresultamount">
    <w:name w:val="uccresultamount"/>
    <w:basedOn w:val="DefaultParagraphFont"/>
    <w:rsid w:val="00622884"/>
  </w:style>
  <w:style w:type="table" w:customStyle="1" w:styleId="TableNormal2">
    <w:name w:val="Table Normal2"/>
    <w:uiPriority w:val="2"/>
    <w:semiHidden/>
    <w:unhideWhenUsed/>
    <w:qFormat/>
    <w:rsid w:val="00622884"/>
    <w:pPr>
      <w:widowControl w:val="0"/>
      <w:autoSpaceDE w:val="0"/>
      <w:autoSpaceDN w:val="0"/>
      <w:spacing w:after="0" w:line="240" w:lineRule="auto"/>
    </w:pPr>
    <w:rPr>
      <w:rFonts w:ascii="Aptos" w:eastAsia="Aptos" w:hAnsi="Aptos" w:cs="Arial"/>
    </w:rPr>
    <w:tblPr>
      <w:tblInd w:w="0" w:type="dxa"/>
      <w:tblCellMar>
        <w:top w:w="0" w:type="dxa"/>
        <w:left w:w="0" w:type="dxa"/>
        <w:bottom w:w="0" w:type="dxa"/>
        <w:right w:w="0" w:type="dxa"/>
      </w:tblCellMar>
    </w:tblPr>
  </w:style>
  <w:style w:type="table" w:customStyle="1" w:styleId="Tabellengitternetz11">
    <w:name w:val="Tabellengitternetz11"/>
    <w:basedOn w:val="TableNormal"/>
    <w:next w:val="TableGrid"/>
    <w:uiPriority w:val="59"/>
    <w:rsid w:val="00622884"/>
    <w:pPr>
      <w:spacing w:after="0" w:line="240" w:lineRule="auto"/>
    </w:pPr>
    <w:rPr>
      <w:rFonts w:ascii="Aptos" w:eastAsia="Aptos" w:hAnsi="Aptos" w:cs="Arial"/>
      <w:sz w:val="20"/>
      <w:szCs w:val="28"/>
      <w:lang w:val="es-ES" w:eastAsia="sq-AL" w:bidi="th-T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oscura-nfasis32">
    <w:name w:val="Tabla con cuadrícula 5 oscura - Énfasis 32"/>
    <w:basedOn w:val="TableNormal"/>
    <w:next w:val="GridTable5Dark-Accent3"/>
    <w:uiPriority w:val="50"/>
    <w:rsid w:val="00622884"/>
    <w:pPr>
      <w:spacing w:after="0" w:line="240" w:lineRule="auto"/>
    </w:pPr>
    <w:rPr>
      <w:rFonts w:ascii="Aptos" w:eastAsia="Aptos" w:hAnsi="Aptos" w:cs="Arial"/>
      <w:sz w:val="20"/>
      <w:szCs w:val="20"/>
      <w:lang w:val="es-ES" w:eastAsia="sq-AL"/>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DEDE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A5A5A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A5A5A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A5A5A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A5A5A5"/>
      </w:tcPr>
    </w:tblStylePr>
    <w:tblStylePr w:type="band1Vert">
      <w:tblPr/>
      <w:tcPr>
        <w:shd w:val="clear" w:color="auto" w:fill="DBDBDB"/>
      </w:tcPr>
    </w:tblStylePr>
    <w:tblStylePr w:type="band1Horz">
      <w:tblPr/>
      <w:tcPr>
        <w:shd w:val="clear" w:color="auto" w:fill="DBDBDB"/>
      </w:tcPr>
    </w:tblStylePr>
  </w:style>
  <w:style w:type="table" w:customStyle="1" w:styleId="MediumGrid2-Accent321">
    <w:name w:val="Medium Grid 2 - Accent 321"/>
    <w:basedOn w:val="TableNormal"/>
    <w:uiPriority w:val="68"/>
    <w:rsid w:val="00622884"/>
    <w:pPr>
      <w:spacing w:after="0" w:line="240" w:lineRule="auto"/>
    </w:pPr>
    <w:rPr>
      <w:rFonts w:ascii="Cambria" w:eastAsia="Times New Roman" w:hAnsi="Cambria" w:cs="Times New Roman"/>
      <w:color w:val="000000"/>
      <w:sz w:val="20"/>
      <w:szCs w:val="20"/>
      <w:lang w:val="es-ES" w:eastAsia="sq-AL" w:bidi="th-TH"/>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style>
  <w:style w:type="paragraph" w:customStyle="1" w:styleId="Plattetekst21">
    <w:name w:val="Platte tekst 21"/>
    <w:basedOn w:val="Normal"/>
    <w:next w:val="BodyText2"/>
    <w:link w:val="Plattetekst2Char"/>
    <w:uiPriority w:val="99"/>
    <w:unhideWhenUsed/>
    <w:rsid w:val="00622884"/>
    <w:pPr>
      <w:spacing w:line="480" w:lineRule="auto"/>
    </w:pPr>
    <w:rPr>
      <w:rFonts w:ascii="Calibri Light" w:eastAsia="Calibri Light" w:hAnsi="Calibri Light" w:cs="Arial"/>
      <w:kern w:val="2"/>
      <w:sz w:val="20"/>
      <w:szCs w:val="24"/>
      <w:lang w:val="nl-NL" w:eastAsia="en-US"/>
    </w:rPr>
  </w:style>
  <w:style w:type="character" w:customStyle="1" w:styleId="Plattetekst2Char">
    <w:name w:val="Platte tekst 2 Char"/>
    <w:link w:val="Plattetekst21"/>
    <w:uiPriority w:val="99"/>
    <w:rsid w:val="00622884"/>
    <w:rPr>
      <w:rFonts w:ascii="Calibri Light" w:eastAsia="Calibri Light" w:hAnsi="Calibri Light" w:cs="Arial"/>
      <w:kern w:val="2"/>
      <w:sz w:val="20"/>
      <w:szCs w:val="24"/>
      <w:lang w:val="nl-NL"/>
    </w:rPr>
  </w:style>
  <w:style w:type="paragraph" w:customStyle="1" w:styleId="Table">
    <w:name w:val="Table"/>
    <w:basedOn w:val="Normal"/>
    <w:autoRedefine/>
    <w:rsid w:val="00622884"/>
    <w:pPr>
      <w:keepLines/>
      <w:widowControl w:val="0"/>
      <w:autoSpaceDE w:val="0"/>
      <w:autoSpaceDN w:val="0"/>
      <w:adjustRightInd w:val="0"/>
      <w:spacing w:after="0" w:line="240" w:lineRule="auto"/>
      <w:jc w:val="center"/>
    </w:pPr>
    <w:rPr>
      <w:rFonts w:ascii="Calibri Light" w:eastAsia="Arial Unicode MS" w:hAnsi="Calibri Light" w:cs="Calibri Light"/>
      <w:noProof/>
      <w:sz w:val="18"/>
      <w:szCs w:val="18"/>
      <w:lang w:eastAsia="en-US"/>
    </w:rPr>
  </w:style>
  <w:style w:type="paragraph" w:customStyle="1" w:styleId="1">
    <w:name w:val="Обычный1"/>
    <w:rsid w:val="00622884"/>
    <w:pPr>
      <w:spacing w:after="160" w:line="254" w:lineRule="auto"/>
    </w:pPr>
    <w:rPr>
      <w:rFonts w:ascii="Calibri" w:eastAsia="Calibri" w:hAnsi="Calibri" w:cs="Calibri"/>
      <w:lang w:eastAsia="ru-RU"/>
    </w:rPr>
  </w:style>
  <w:style w:type="paragraph" w:customStyle="1" w:styleId="normaltableau">
    <w:name w:val="normal_tableau"/>
    <w:basedOn w:val="Normal"/>
    <w:uiPriority w:val="99"/>
    <w:rsid w:val="00622884"/>
    <w:pPr>
      <w:spacing w:before="120" w:line="240" w:lineRule="auto"/>
    </w:pPr>
    <w:rPr>
      <w:rFonts w:ascii="Optima" w:eastAsia="Times New Roman" w:hAnsi="Optima" w:cs="Times New Roman"/>
      <w:noProof/>
      <w:szCs w:val="20"/>
      <w:lang w:eastAsia="en-GB"/>
    </w:rPr>
  </w:style>
  <w:style w:type="numbering" w:customStyle="1" w:styleId="Sinlista1">
    <w:name w:val="Sin lista1"/>
    <w:next w:val="NoList"/>
    <w:uiPriority w:val="99"/>
    <w:semiHidden/>
    <w:unhideWhenUsed/>
    <w:rsid w:val="00622884"/>
  </w:style>
  <w:style w:type="paragraph" w:customStyle="1" w:styleId="CVNormal">
    <w:name w:val="CV Normal"/>
    <w:basedOn w:val="Normal"/>
    <w:rsid w:val="00622884"/>
    <w:pPr>
      <w:suppressAutoHyphens/>
      <w:spacing w:after="0" w:line="240" w:lineRule="auto"/>
      <w:ind w:left="113" w:right="113"/>
      <w:jc w:val="left"/>
    </w:pPr>
    <w:rPr>
      <w:rFonts w:ascii="Arial Narrow" w:eastAsia="Times New Roman" w:hAnsi="Arial Narrow" w:cs="Times New Roman"/>
      <w:noProof/>
      <w:sz w:val="20"/>
      <w:szCs w:val="20"/>
      <w:lang w:eastAsia="ar-SA"/>
    </w:rPr>
  </w:style>
  <w:style w:type="paragraph" w:customStyle="1" w:styleId="BulletpointsinCV">
    <w:name w:val="Bullet points in CV"/>
    <w:basedOn w:val="ListParagraph"/>
    <w:link w:val="BulletpointsinCVCar"/>
    <w:rsid w:val="00622884"/>
    <w:pPr>
      <w:numPr>
        <w:numId w:val="15"/>
      </w:numPr>
      <w:spacing w:before="0" w:after="0" w:line="276" w:lineRule="auto"/>
    </w:pPr>
    <w:rPr>
      <w:rFonts w:ascii="Century Gothic" w:eastAsia="Century Gothic" w:hAnsi="Century Gothic"/>
      <w:noProof/>
      <w:sz w:val="20"/>
      <w:szCs w:val="20"/>
      <w:lang w:eastAsia="es-ES"/>
    </w:rPr>
  </w:style>
  <w:style w:type="character" w:customStyle="1" w:styleId="BulletpointsinCVCar">
    <w:name w:val="Bullet points in CV Car"/>
    <w:link w:val="BulletpointsinCV"/>
    <w:rsid w:val="00622884"/>
    <w:rPr>
      <w:rFonts w:ascii="Century Gothic" w:eastAsia="Century Gothic" w:hAnsi="Century Gothic" w:cs="Times New Roman"/>
      <w:noProof/>
      <w:sz w:val="20"/>
      <w:szCs w:val="20"/>
      <w:lang w:val="sq-AL" w:eastAsia="es-ES"/>
    </w:rPr>
  </w:style>
  <w:style w:type="table" w:customStyle="1" w:styleId="Gemiddeldraster3-accent11">
    <w:name w:val="Gemiddeld raster 3 - accent 11"/>
    <w:basedOn w:val="TableNormal"/>
    <w:next w:val="MediumGrid3-Accent1"/>
    <w:uiPriority w:val="69"/>
    <w:semiHidden/>
    <w:unhideWhenUsed/>
    <w:rsid w:val="00622884"/>
    <w:pPr>
      <w:spacing w:after="0" w:line="240" w:lineRule="auto"/>
    </w:pPr>
    <w:rPr>
      <w:rFonts w:ascii="Calibri" w:eastAsia="Calibri" w:hAnsi="Calibri" w:cs="Times New Roman"/>
      <w:sz w:val="20"/>
      <w:szCs w:val="20"/>
      <w:lang w:val="es-ES" w:eastAsia="sq-AL"/>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0DBF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472C4"/>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472C4"/>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472C4"/>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472C4"/>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1B8E1"/>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1B8E1"/>
      </w:tcPr>
    </w:tblStylePr>
  </w:style>
  <w:style w:type="character" w:customStyle="1" w:styleId="TITLE2Car">
    <w:name w:val="TITLE 2 Car"/>
    <w:link w:val="TITLE2"/>
    <w:locked/>
    <w:rsid w:val="00622884"/>
    <w:rPr>
      <w:rFonts w:ascii="Calibri Light" w:eastAsia="MS Gothic" w:hAnsi="Calibri Light" w:cs="Calibri Light"/>
      <w:b/>
      <w:color w:val="4F657D"/>
      <w:lang w:eastAsia="es-ES"/>
    </w:rPr>
  </w:style>
  <w:style w:type="paragraph" w:customStyle="1" w:styleId="TITLE2">
    <w:name w:val="TITLE 2"/>
    <w:basedOn w:val="Heading2"/>
    <w:link w:val="TITLE2Car"/>
    <w:rsid w:val="00622884"/>
    <w:pPr>
      <w:keepNext w:val="0"/>
      <w:spacing w:before="120" w:after="160" w:line="259" w:lineRule="auto"/>
      <w:ind w:left="357" w:hanging="357"/>
      <w:jc w:val="left"/>
      <w:outlineLvl w:val="9"/>
    </w:pPr>
    <w:rPr>
      <w:rFonts w:ascii="Calibri Light" w:eastAsia="MS Gothic" w:hAnsi="Calibri Light" w:cs="Calibri Light"/>
      <w:color w:val="4F657D"/>
      <w:sz w:val="22"/>
      <w:szCs w:val="22"/>
      <w:lang w:val="en-US" w:eastAsia="es-ES"/>
    </w:rPr>
  </w:style>
  <w:style w:type="paragraph" w:customStyle="1" w:styleId="Ttulo4">
    <w:name w:val="Título4"/>
    <w:basedOn w:val="TITLE2"/>
    <w:next w:val="PrrafoFactor"/>
    <w:link w:val="Ttulo4Car"/>
    <w:rsid w:val="00622884"/>
    <w:rPr>
      <w:szCs w:val="32"/>
    </w:rPr>
  </w:style>
  <w:style w:type="character" w:customStyle="1" w:styleId="Ttulo4Car">
    <w:name w:val="Título4 Car"/>
    <w:link w:val="Ttulo4"/>
    <w:rsid w:val="00622884"/>
    <w:rPr>
      <w:rFonts w:ascii="Calibri Light" w:eastAsia="MS Gothic" w:hAnsi="Calibri Light" w:cs="Calibri Light"/>
      <w:b/>
      <w:color w:val="4F657D"/>
      <w:szCs w:val="32"/>
      <w:lang w:eastAsia="es-ES"/>
    </w:rPr>
  </w:style>
  <w:style w:type="character" w:customStyle="1" w:styleId="GevolgdeHyperlink1">
    <w:name w:val="GevolgdeHyperlink1"/>
    <w:uiPriority w:val="99"/>
    <w:semiHidden/>
    <w:unhideWhenUsed/>
    <w:rsid w:val="00622884"/>
    <w:rPr>
      <w:color w:val="954F72"/>
      <w:u w:val="single"/>
    </w:rPr>
  </w:style>
  <w:style w:type="paragraph" w:customStyle="1" w:styleId="EYBodytextnoparaspace">
    <w:name w:val="EY Body text (no para space)"/>
    <w:basedOn w:val="Normal"/>
    <w:link w:val="EYBodytextnoparaspaceChar"/>
    <w:rsid w:val="00622884"/>
    <w:pPr>
      <w:tabs>
        <w:tab w:val="left" w:pos="907"/>
      </w:tabs>
      <w:overflowPunct w:val="0"/>
      <w:autoSpaceDE w:val="0"/>
      <w:autoSpaceDN w:val="0"/>
      <w:adjustRightInd w:val="0"/>
      <w:spacing w:before="60" w:after="60" w:line="260" w:lineRule="atLeast"/>
      <w:textAlignment w:val="baseline"/>
    </w:pPr>
    <w:rPr>
      <w:rFonts w:ascii="EYInterstate Light" w:eastAsia="Times New Roman" w:hAnsi="EYInterstate Light" w:cs="Times New Roman"/>
      <w:noProof/>
      <w:kern w:val="12"/>
      <w:sz w:val="20"/>
      <w:szCs w:val="20"/>
      <w:lang w:eastAsia="en-US"/>
    </w:rPr>
  </w:style>
  <w:style w:type="character" w:customStyle="1" w:styleId="EYBodytextnoparaspaceChar">
    <w:name w:val="EY Body text (no para space) Char"/>
    <w:link w:val="EYBodytextnoparaspace"/>
    <w:rsid w:val="00622884"/>
    <w:rPr>
      <w:rFonts w:ascii="EYInterstate Light" w:eastAsia="Times New Roman" w:hAnsi="EYInterstate Light" w:cs="Times New Roman"/>
      <w:noProof/>
      <w:kern w:val="12"/>
      <w:sz w:val="20"/>
      <w:szCs w:val="20"/>
      <w:lang w:val="sq-AL"/>
    </w:rPr>
  </w:style>
  <w:style w:type="paragraph" w:customStyle="1" w:styleId="TableContents">
    <w:name w:val="Table Contents"/>
    <w:basedOn w:val="Normal"/>
    <w:uiPriority w:val="99"/>
    <w:rsid w:val="00622884"/>
    <w:pPr>
      <w:widowControl w:val="0"/>
      <w:autoSpaceDE w:val="0"/>
      <w:autoSpaceDN w:val="0"/>
      <w:adjustRightInd w:val="0"/>
      <w:spacing w:after="283" w:line="240" w:lineRule="auto"/>
      <w:jc w:val="left"/>
    </w:pPr>
    <w:rPr>
      <w:rFonts w:ascii="Liberation Serif" w:eastAsia="MS Mincho" w:hAnsi="Liberation Serif" w:cs="Times New Roman"/>
      <w:noProof/>
      <w:sz w:val="24"/>
      <w:szCs w:val="24"/>
      <w:lang w:eastAsia="en-US"/>
    </w:rPr>
  </w:style>
  <w:style w:type="paragraph" w:customStyle="1" w:styleId="Revisie1">
    <w:name w:val="Revisie1"/>
    <w:next w:val="Revision"/>
    <w:hidden/>
    <w:uiPriority w:val="99"/>
    <w:semiHidden/>
    <w:rsid w:val="00622884"/>
    <w:pPr>
      <w:spacing w:after="0" w:line="240" w:lineRule="auto"/>
    </w:pPr>
    <w:rPr>
      <w:rFonts w:ascii="Calibri Light" w:eastAsia="Aptos" w:hAnsi="Calibri Light" w:cs="Arial"/>
      <w:sz w:val="20"/>
      <w:lang w:val="en-029"/>
    </w:rPr>
  </w:style>
  <w:style w:type="table" w:customStyle="1" w:styleId="TablaconcuadrculaNueva22">
    <w:name w:val="Tabla con cuadrícula Nueva22"/>
    <w:basedOn w:val="TableNormal"/>
    <w:uiPriority w:val="59"/>
    <w:rsid w:val="00622884"/>
    <w:pPr>
      <w:spacing w:after="0" w:line="240" w:lineRule="auto"/>
    </w:pPr>
    <w:rPr>
      <w:rFonts w:ascii="Calibri" w:eastAsia="Calibri" w:hAnsi="Calibri" w:cs="Arial"/>
      <w:sz w:val="20"/>
      <w:szCs w:val="20"/>
      <w:lang w:val="es-ES" w:eastAsia="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oscura-nfasis322">
    <w:name w:val="Tabla con cuadrícula 5 oscura - Énfasis 322"/>
    <w:basedOn w:val="TableNormal"/>
    <w:next w:val="GridTable5Dark-Accent3"/>
    <w:uiPriority w:val="50"/>
    <w:rsid w:val="00622884"/>
    <w:pPr>
      <w:spacing w:after="0" w:line="240" w:lineRule="auto"/>
    </w:pPr>
    <w:rPr>
      <w:rFonts w:ascii="Aptos" w:eastAsia="Aptos" w:hAnsi="Aptos" w:cs="Arial"/>
      <w:sz w:val="20"/>
      <w:szCs w:val="20"/>
      <w:lang w:val="es-ES" w:eastAsia="sq-AL"/>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DEDE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A5A5A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A5A5A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A5A5A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A5A5A5"/>
      </w:tcPr>
    </w:tblStylePr>
    <w:tblStylePr w:type="band1Vert">
      <w:tblPr/>
      <w:tcPr>
        <w:shd w:val="clear" w:color="auto" w:fill="DBDBDB"/>
      </w:tcPr>
    </w:tblStylePr>
    <w:tblStylePr w:type="band1Horz">
      <w:tblPr/>
      <w:tcPr>
        <w:shd w:val="clear" w:color="auto" w:fill="DBDBDB"/>
      </w:tcPr>
    </w:tblStylePr>
  </w:style>
  <w:style w:type="paragraph" w:customStyle="1" w:styleId="BVIfnrCharCharChar1CharCharCharCharCharCharChar1CharCharChar1Char">
    <w:name w:val="BVI fnr (文字) (文字) Char (文字) Char Char1 Char Char Char Char Char Char Char1 Char Char Char1 Char"/>
    <w:aliases w:val="BVI fnr (文字) (文字) Char (文字) Char Char1 Char Char Char Char Char Char Char1 Char Char Char Char Char Char1 Char Char"/>
    <w:basedOn w:val="Normal"/>
    <w:uiPriority w:val="99"/>
    <w:rsid w:val="00622884"/>
    <w:pPr>
      <w:spacing w:after="0" w:line="240" w:lineRule="exact"/>
    </w:pPr>
    <w:rPr>
      <w:rFonts w:ascii="Aptos" w:eastAsia="Aptos" w:hAnsi="Aptos" w:cs="Arial"/>
      <w:noProof/>
      <w:vertAlign w:val="superscript"/>
      <w:lang w:eastAsia="en-US"/>
    </w:rPr>
  </w:style>
  <w:style w:type="table" w:customStyle="1" w:styleId="Rastertabel4-Accent11">
    <w:name w:val="Rastertabel 4 - Accent 11"/>
    <w:basedOn w:val="TableNormal"/>
    <w:next w:val="GridTable4-Accent1"/>
    <w:uiPriority w:val="49"/>
    <w:rsid w:val="00622884"/>
    <w:pPr>
      <w:spacing w:after="0" w:line="240" w:lineRule="auto"/>
    </w:pPr>
    <w:rPr>
      <w:rFonts w:ascii="Aptos" w:eastAsia="Aptos" w:hAnsi="Aptos" w:cs="Arial"/>
      <w:sz w:val="20"/>
      <w:szCs w:val="20"/>
      <w:lang w:val="es-ES" w:eastAsia="sq-AL"/>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Tablanormal31">
    <w:name w:val="Tabla normal 31"/>
    <w:basedOn w:val="TableNormal"/>
    <w:uiPriority w:val="43"/>
    <w:rsid w:val="00622884"/>
    <w:pPr>
      <w:spacing w:after="0" w:line="240" w:lineRule="auto"/>
    </w:pPr>
    <w:rPr>
      <w:rFonts w:ascii="Aptos" w:eastAsia="Aptos" w:hAnsi="Aptos" w:cs="Arial"/>
      <w:sz w:val="20"/>
      <w:szCs w:val="20"/>
      <w:lang w:val="es-ES" w:eastAsia="sq-AL"/>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Rastertabel1licht1">
    <w:name w:val="Rastertabel 1 licht1"/>
    <w:basedOn w:val="TableNormal"/>
    <w:next w:val="GridTable1Light"/>
    <w:uiPriority w:val="46"/>
    <w:rsid w:val="00622884"/>
    <w:pPr>
      <w:spacing w:after="0" w:line="240" w:lineRule="auto"/>
    </w:pPr>
    <w:rPr>
      <w:rFonts w:ascii="Aptos" w:eastAsia="Aptos" w:hAnsi="Aptos" w:cs="Arial"/>
      <w:sz w:val="20"/>
      <w:szCs w:val="20"/>
      <w:lang w:val="es-ES" w:eastAsia="sq-AL"/>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Lichtelijst-accent31">
    <w:name w:val="Lichte lijst - accent 31"/>
    <w:basedOn w:val="TableNormal"/>
    <w:next w:val="LightList-Accent3"/>
    <w:uiPriority w:val="61"/>
    <w:rsid w:val="00622884"/>
    <w:pPr>
      <w:spacing w:after="0" w:line="240" w:lineRule="auto"/>
    </w:pPr>
    <w:rPr>
      <w:rFonts w:ascii="Calibri" w:eastAsia="Calibri" w:hAnsi="Calibri" w:cs="Times New Roman"/>
      <w:sz w:val="20"/>
      <w:szCs w:val="20"/>
      <w:lang w:val="es-ES" w:eastAsia="es-ES"/>
    </w:rPr>
    <w:tblPr>
      <w:tblStyleRowBandSize w:val="1"/>
      <w:tblStyleColBandSize w:val="1"/>
      <w:tblBorders>
        <w:top w:val="single" w:sz="8" w:space="0" w:color="A5A5A5"/>
        <w:left w:val="single" w:sz="8" w:space="0" w:color="A5A5A5"/>
        <w:bottom w:val="single" w:sz="8" w:space="0" w:color="A5A5A5"/>
        <w:right w:val="single" w:sz="8" w:space="0" w:color="A5A5A5"/>
      </w:tblBorders>
    </w:tblPr>
    <w:tblStylePr w:type="firstRow">
      <w:pPr>
        <w:spacing w:before="0" w:after="0" w:line="240" w:lineRule="auto"/>
      </w:pPr>
      <w:rPr>
        <w:b/>
        <w:bCs/>
        <w:color w:val="FFFFFF"/>
      </w:rPr>
      <w:tblPr/>
      <w:tcPr>
        <w:shd w:val="clear" w:color="auto" w:fill="A5A5A5"/>
      </w:tcPr>
    </w:tblStylePr>
    <w:tblStylePr w:type="lastRow">
      <w:pPr>
        <w:spacing w:before="0" w:after="0"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paragraph" w:customStyle="1" w:styleId="EmptyCellLayoutStyle">
    <w:name w:val="EmptyCellLayoutStyle"/>
    <w:rsid w:val="00622884"/>
    <w:pPr>
      <w:spacing w:after="160" w:line="259" w:lineRule="auto"/>
    </w:pPr>
    <w:rPr>
      <w:rFonts w:ascii="Times New Roman" w:eastAsia="Times New Roman" w:hAnsi="Times New Roman" w:cs="Times New Roman"/>
      <w:sz w:val="2"/>
      <w:szCs w:val="20"/>
      <w:lang w:val="es-ES" w:eastAsia="es-ES"/>
    </w:rPr>
  </w:style>
  <w:style w:type="table" w:customStyle="1" w:styleId="Rastertabel4-Accent61">
    <w:name w:val="Rastertabel 4 - Accent 61"/>
    <w:basedOn w:val="TableNormal"/>
    <w:next w:val="GridTable4-Accent6"/>
    <w:uiPriority w:val="49"/>
    <w:rsid w:val="00622884"/>
    <w:pPr>
      <w:spacing w:after="0" w:line="240" w:lineRule="auto"/>
    </w:pPr>
    <w:rPr>
      <w:rFonts w:ascii="Aptos" w:eastAsia="Aptos" w:hAnsi="Aptos" w:cs="Arial"/>
      <w:sz w:val="20"/>
      <w:szCs w:val="20"/>
      <w:lang w:val="es-ES" w:eastAsia="sq-AL"/>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paragraph" w:customStyle="1" w:styleId="paragraph">
    <w:name w:val="paragraph"/>
    <w:basedOn w:val="Normal"/>
    <w:link w:val="paragraphCar"/>
    <w:rsid w:val="00622884"/>
    <w:pPr>
      <w:spacing w:before="100" w:beforeAutospacing="1" w:after="100" w:afterAutospacing="1" w:line="240" w:lineRule="auto"/>
    </w:pPr>
    <w:rPr>
      <w:rFonts w:ascii="Times New Roman" w:eastAsia="Times New Roman" w:hAnsi="Times New Roman" w:cs="Times New Roman"/>
      <w:noProof/>
      <w:sz w:val="24"/>
      <w:szCs w:val="24"/>
      <w:lang w:val="es-EC" w:eastAsia="es-EC"/>
    </w:rPr>
  </w:style>
  <w:style w:type="table" w:customStyle="1" w:styleId="Tablaconcuadrcula1clara1">
    <w:name w:val="Tabla con cuadrícula 1 clara1"/>
    <w:basedOn w:val="TableNormal"/>
    <w:next w:val="GridTable1Light"/>
    <w:uiPriority w:val="46"/>
    <w:rsid w:val="00622884"/>
    <w:pPr>
      <w:spacing w:after="0" w:line="240" w:lineRule="auto"/>
    </w:pPr>
    <w:rPr>
      <w:rFonts w:ascii="Aptos" w:eastAsia="Aptos" w:hAnsi="Aptos" w:cs="Arial"/>
      <w:sz w:val="20"/>
      <w:szCs w:val="20"/>
      <w:lang w:val="es-ES" w:eastAsia="sq-AL"/>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Tablaconcuadrcula1clara2">
    <w:name w:val="Tabla con cuadrícula 1 clara2"/>
    <w:basedOn w:val="TableNormal"/>
    <w:next w:val="GridTable1Light"/>
    <w:uiPriority w:val="46"/>
    <w:rsid w:val="00622884"/>
    <w:pPr>
      <w:spacing w:after="0" w:line="240" w:lineRule="auto"/>
    </w:pPr>
    <w:rPr>
      <w:rFonts w:ascii="Aptos" w:eastAsia="Aptos" w:hAnsi="Aptos" w:cs="Arial"/>
      <w:sz w:val="20"/>
      <w:szCs w:val="20"/>
      <w:lang w:val="es-ES" w:eastAsia="sq-AL"/>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Tablaconcuadrcula1clara3">
    <w:name w:val="Tabla con cuadrícula 1 clara3"/>
    <w:basedOn w:val="TableNormal"/>
    <w:next w:val="GridTable1Light"/>
    <w:uiPriority w:val="46"/>
    <w:rsid w:val="00622884"/>
    <w:pPr>
      <w:spacing w:after="0" w:line="240" w:lineRule="auto"/>
    </w:pPr>
    <w:rPr>
      <w:rFonts w:ascii="Aptos" w:eastAsia="Aptos" w:hAnsi="Aptos" w:cs="Arial"/>
      <w:sz w:val="20"/>
      <w:szCs w:val="20"/>
      <w:lang w:val="es-ES" w:eastAsia="sq-AL"/>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paragraph" w:customStyle="1" w:styleId="Subtitulo3">
    <w:name w:val="Subtitulo 3"/>
    <w:basedOn w:val="Default"/>
    <w:link w:val="Subtitulo3Car"/>
    <w:rsid w:val="00622884"/>
    <w:pPr>
      <w:ind w:right="108"/>
      <w:jc w:val="both"/>
      <w:outlineLvl w:val="2"/>
    </w:pPr>
    <w:rPr>
      <w:rFonts w:ascii="Calibri Light" w:eastAsia="Aptos" w:hAnsi="Calibri Light" w:cs="Calibri Light"/>
      <w:b/>
      <w:bCs/>
      <w:color w:val="1F3864"/>
      <w:sz w:val="20"/>
      <w:szCs w:val="20"/>
      <w:lang w:val="sq-AL" w:eastAsia="en-US"/>
    </w:rPr>
  </w:style>
  <w:style w:type="paragraph" w:customStyle="1" w:styleId="Subtitulo4">
    <w:name w:val="Subtitulo 4"/>
    <w:basedOn w:val="ListParagraph"/>
    <w:link w:val="Subtitulo4Car"/>
    <w:rsid w:val="00622884"/>
    <w:pPr>
      <w:numPr>
        <w:numId w:val="16"/>
      </w:numPr>
      <w:spacing w:before="0" w:after="0" w:line="276" w:lineRule="auto"/>
      <w:ind w:left="0" w:right="108" w:firstLine="0"/>
      <w:outlineLvl w:val="3"/>
    </w:pPr>
    <w:rPr>
      <w:rFonts w:ascii="Calibri Light" w:eastAsia="Aptos" w:hAnsi="Calibri Light" w:cs="Calibri Light"/>
      <w:b/>
      <w:bCs/>
      <w:noProof/>
      <w:sz w:val="20"/>
      <w:szCs w:val="20"/>
    </w:rPr>
  </w:style>
  <w:style w:type="character" w:customStyle="1" w:styleId="DefaultCar">
    <w:name w:val="Default Car"/>
    <w:link w:val="Default"/>
    <w:rsid w:val="00622884"/>
    <w:rPr>
      <w:rFonts w:ascii="Times New Roman" w:eastAsia="Times New Roman" w:hAnsi="Times New Roman" w:cs="Times New Roman"/>
      <w:color w:val="000000"/>
      <w:sz w:val="24"/>
      <w:szCs w:val="24"/>
      <w:lang w:val="it-IT" w:eastAsia="it-IT"/>
    </w:rPr>
  </w:style>
  <w:style w:type="character" w:customStyle="1" w:styleId="Subtitulo3Car">
    <w:name w:val="Subtitulo 3 Car"/>
    <w:link w:val="Subtitulo3"/>
    <w:rsid w:val="00622884"/>
    <w:rPr>
      <w:rFonts w:ascii="Calibri Light" w:eastAsia="Aptos" w:hAnsi="Calibri Light" w:cs="Calibri Light"/>
      <w:b/>
      <w:bCs/>
      <w:color w:val="1F3864"/>
      <w:sz w:val="20"/>
      <w:szCs w:val="20"/>
      <w:lang w:val="sq-AL"/>
    </w:rPr>
  </w:style>
  <w:style w:type="character" w:customStyle="1" w:styleId="Subtitulo4Car">
    <w:name w:val="Subtitulo 4 Car"/>
    <w:link w:val="Subtitulo4"/>
    <w:rsid w:val="00622884"/>
    <w:rPr>
      <w:rFonts w:ascii="Calibri Light" w:eastAsia="Aptos" w:hAnsi="Calibri Light" w:cs="Calibri Light"/>
      <w:b/>
      <w:bCs/>
      <w:noProof/>
      <w:sz w:val="20"/>
      <w:szCs w:val="20"/>
      <w:lang w:val="sq-AL"/>
    </w:rPr>
  </w:style>
  <w:style w:type="paragraph" w:customStyle="1" w:styleId="Subtitulo5">
    <w:name w:val="Subtitulo 5"/>
    <w:link w:val="Subtitulo5Car"/>
    <w:rsid w:val="00622884"/>
    <w:pPr>
      <w:numPr>
        <w:ilvl w:val="2"/>
        <w:numId w:val="17"/>
      </w:numPr>
      <w:spacing w:after="0" w:line="240" w:lineRule="auto"/>
      <w:jc w:val="both"/>
      <w:outlineLvl w:val="4"/>
    </w:pPr>
    <w:rPr>
      <w:rFonts w:ascii="Calibri Light" w:eastAsia="Times New Roman" w:hAnsi="Calibri Light" w:cs="Calibri"/>
      <w:b/>
      <w:bCs/>
      <w:color w:val="000000"/>
      <w:sz w:val="20"/>
      <w:szCs w:val="20"/>
      <w:lang w:val="es-ES" w:eastAsia="es-ES"/>
    </w:rPr>
  </w:style>
  <w:style w:type="character" w:customStyle="1" w:styleId="Subtitulo5Car">
    <w:name w:val="Subtitulo 5 Car"/>
    <w:link w:val="Subtitulo5"/>
    <w:rsid w:val="00622884"/>
    <w:rPr>
      <w:rFonts w:ascii="Calibri Light" w:eastAsia="Times New Roman" w:hAnsi="Calibri Light" w:cs="Calibri"/>
      <w:b/>
      <w:bCs/>
      <w:color w:val="000000"/>
      <w:sz w:val="20"/>
      <w:szCs w:val="20"/>
      <w:lang w:val="es-ES" w:eastAsia="es-ES"/>
    </w:rPr>
  </w:style>
  <w:style w:type="paragraph" w:customStyle="1" w:styleId="FUENTE">
    <w:name w:val="FUENTE"/>
    <w:basedOn w:val="Caption"/>
    <w:link w:val="FUENTECar"/>
    <w:rsid w:val="00622884"/>
    <w:pPr>
      <w:spacing w:before="0" w:after="0"/>
      <w:jc w:val="right"/>
    </w:pPr>
    <w:rPr>
      <w:rFonts w:ascii="Calibri Light" w:eastAsia="Aptos" w:hAnsi="Calibri Light" w:cs="Arial"/>
      <w:b w:val="0"/>
      <w:bCs w:val="0"/>
      <w:i/>
      <w:iCs/>
      <w:noProof/>
      <w:color w:val="1E3B59"/>
      <w:sz w:val="18"/>
      <w:szCs w:val="18"/>
      <w:lang w:eastAsia="en-US"/>
    </w:rPr>
  </w:style>
  <w:style w:type="character" w:customStyle="1" w:styleId="FUENTECar">
    <w:name w:val="FUENTE Car"/>
    <w:link w:val="FUENTE"/>
    <w:rsid w:val="00622884"/>
    <w:rPr>
      <w:rFonts w:ascii="Calibri Light" w:eastAsia="Aptos" w:hAnsi="Calibri Light" w:cs="Arial"/>
      <w:i/>
      <w:iCs/>
      <w:noProof/>
      <w:color w:val="1E3B59"/>
      <w:sz w:val="18"/>
      <w:szCs w:val="18"/>
      <w:lang w:val="sq-AL"/>
    </w:rPr>
  </w:style>
  <w:style w:type="table" w:customStyle="1" w:styleId="Tablaconcuadrcula1">
    <w:name w:val="Tabla con cuadrícula1"/>
    <w:basedOn w:val="TableNormal"/>
    <w:next w:val="TableGrid"/>
    <w:uiPriority w:val="39"/>
    <w:rsid w:val="00622884"/>
    <w:pPr>
      <w:spacing w:after="0" w:line="240" w:lineRule="auto"/>
    </w:pPr>
    <w:rPr>
      <w:rFonts w:ascii="Calibri" w:eastAsia="Calibri" w:hAnsi="Calibri" w:cs="Times New Roman"/>
      <w:sz w:val="20"/>
      <w:szCs w:val="20"/>
      <w:lang w:val="es-EC" w:eastAsia="es-ES_tradn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decuadrcula5oscura-nfasis31">
    <w:name w:val="Tabla de cuadrícula 5 oscura - Énfasis 31"/>
    <w:basedOn w:val="TableNormal"/>
    <w:uiPriority w:val="50"/>
    <w:rsid w:val="00622884"/>
    <w:pPr>
      <w:spacing w:after="0" w:line="240" w:lineRule="auto"/>
    </w:pPr>
    <w:rPr>
      <w:rFonts w:ascii="Calibri" w:eastAsia="Calibri" w:hAnsi="Calibri" w:cs="Times New Roman"/>
      <w:sz w:val="20"/>
      <w:szCs w:val="20"/>
      <w:lang w:val="es-EC" w:eastAsia="es-ES_tradnl"/>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DEDE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A5A5A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A5A5A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A5A5A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A5A5A5"/>
      </w:tcPr>
    </w:tblStylePr>
    <w:tblStylePr w:type="band1Vert">
      <w:tblPr/>
      <w:tcPr>
        <w:shd w:val="clear" w:color="auto" w:fill="DBDBDB"/>
      </w:tcPr>
    </w:tblStylePr>
    <w:tblStylePr w:type="band1Horz">
      <w:tblPr/>
      <w:tcPr>
        <w:shd w:val="clear" w:color="auto" w:fill="DBDBDB"/>
      </w:tcPr>
    </w:tblStylePr>
  </w:style>
  <w:style w:type="character" w:customStyle="1" w:styleId="pautor">
    <w:name w:val="p_autor"/>
    <w:basedOn w:val="DefaultParagraphFont"/>
    <w:rsid w:val="00622884"/>
  </w:style>
  <w:style w:type="table" w:customStyle="1" w:styleId="Tabladecuadrcula4-nfasis31">
    <w:name w:val="Tabla de cuadrícula 4 - Énfasis 31"/>
    <w:basedOn w:val="TableNormal"/>
    <w:uiPriority w:val="49"/>
    <w:rsid w:val="00622884"/>
    <w:pPr>
      <w:spacing w:after="0" w:line="240" w:lineRule="auto"/>
    </w:pPr>
    <w:rPr>
      <w:rFonts w:ascii="Calibri" w:eastAsia="Calibri" w:hAnsi="Calibri" w:cs="Times New Roman"/>
      <w:sz w:val="20"/>
      <w:szCs w:val="20"/>
      <w:lang w:val="es-EC" w:eastAsia="es-ES_tradnl"/>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paragraph" w:customStyle="1" w:styleId="CVMajor-FirstLine">
    <w:name w:val="CV Major - First Line"/>
    <w:basedOn w:val="Normal"/>
    <w:next w:val="Normal"/>
    <w:rsid w:val="00622884"/>
    <w:pPr>
      <w:suppressAutoHyphens/>
      <w:spacing w:before="74" w:after="0" w:line="240" w:lineRule="auto"/>
      <w:ind w:left="113" w:right="113"/>
      <w:jc w:val="left"/>
    </w:pPr>
    <w:rPr>
      <w:rFonts w:ascii="Arial Narrow" w:eastAsia="Times New Roman" w:hAnsi="Arial Narrow" w:cs="Times New Roman"/>
      <w:b/>
      <w:noProof/>
      <w:sz w:val="24"/>
      <w:szCs w:val="20"/>
      <w:lang w:eastAsia="ar-SA"/>
    </w:rPr>
  </w:style>
  <w:style w:type="character" w:customStyle="1" w:styleId="longtext">
    <w:name w:val="long_text"/>
    <w:basedOn w:val="DefaultParagraphFont"/>
    <w:rsid w:val="00622884"/>
  </w:style>
  <w:style w:type="character" w:styleId="BookTitle">
    <w:name w:val="Book Title"/>
    <w:uiPriority w:val="33"/>
    <w:rsid w:val="00622884"/>
    <w:rPr>
      <w:rFonts w:ascii="Century Gothic" w:hAnsi="Century Gothic"/>
      <w:b/>
      <w:color w:val="FFFFFF"/>
      <w:sz w:val="18"/>
      <w:szCs w:val="18"/>
      <w:u w:val="single"/>
      <w:lang w:val="en-US"/>
    </w:rPr>
  </w:style>
  <w:style w:type="character" w:customStyle="1" w:styleId="explanatory-dictionary-highlight2">
    <w:name w:val="explanatory-dictionary-highlight2"/>
    <w:rsid w:val="00622884"/>
    <w:rPr>
      <w:b w:val="0"/>
      <w:bCs w:val="0"/>
      <w:i w:val="0"/>
      <w:iCs w:val="0"/>
      <w:color w:val="000000"/>
    </w:rPr>
  </w:style>
  <w:style w:type="table" w:customStyle="1" w:styleId="Listaclara-nfasis31">
    <w:name w:val="Lista clara - Énfasis 31"/>
    <w:basedOn w:val="TableNormal"/>
    <w:next w:val="LightList-Accent3"/>
    <w:uiPriority w:val="61"/>
    <w:rsid w:val="00622884"/>
    <w:pPr>
      <w:spacing w:after="0" w:line="240" w:lineRule="auto"/>
    </w:pPr>
    <w:rPr>
      <w:rFonts w:ascii="Calibri" w:eastAsia="Calibri" w:hAnsi="Calibri" w:cs="Times New Roman"/>
      <w:sz w:val="20"/>
      <w:szCs w:val="20"/>
      <w:lang w:val="es-EC" w:eastAsia="es-ES_tradnl"/>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Sombreadomedio1-nfasis31">
    <w:name w:val="Sombreado medio 1 - Énfasis 31"/>
    <w:basedOn w:val="TableNormal"/>
    <w:next w:val="MediumShading1-Accent3"/>
    <w:uiPriority w:val="63"/>
    <w:rsid w:val="00622884"/>
    <w:pPr>
      <w:spacing w:after="0" w:line="240" w:lineRule="auto"/>
    </w:pPr>
    <w:rPr>
      <w:rFonts w:ascii="Calibri" w:eastAsia="Calibri" w:hAnsi="Calibri" w:cs="Times New Roman"/>
      <w:sz w:val="20"/>
      <w:szCs w:val="20"/>
      <w:lang w:val="es-EC" w:eastAsia="es-ES_tradnl"/>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622884"/>
    <w:pPr>
      <w:spacing w:after="0" w:line="240" w:lineRule="auto"/>
    </w:pPr>
    <w:rPr>
      <w:rFonts w:ascii="Calibri" w:eastAsia="Calibri" w:hAnsi="Calibri" w:cs="Times New Roman"/>
      <w:sz w:val="20"/>
      <w:szCs w:val="20"/>
      <w:lang w:val="en-GB" w:eastAsia="es-ES_tradnl"/>
    </w:rPr>
    <w:tblPr>
      <w:tblStyleRowBandSize w:val="1"/>
      <w:tblStyleColBandSize w:val="1"/>
      <w:tblBorders>
        <w:top w:val="single" w:sz="8" w:space="0" w:color="BBBBBB"/>
        <w:left w:val="single" w:sz="8" w:space="0" w:color="BBBBBB"/>
        <w:bottom w:val="single" w:sz="8" w:space="0" w:color="BBBBBB"/>
        <w:right w:val="single" w:sz="8" w:space="0" w:color="BBBBBB"/>
        <w:insideH w:val="single" w:sz="8" w:space="0" w:color="BBBBBB"/>
      </w:tblBorders>
    </w:tblPr>
    <w:tblStylePr w:type="firstRow">
      <w:pPr>
        <w:spacing w:before="0" w:after="0" w:line="240" w:lineRule="auto"/>
      </w:pPr>
      <w:rPr>
        <w:b/>
        <w:bCs/>
        <w:color w:val="FFFFFF"/>
      </w:rPr>
      <w:tblPr/>
      <w:tcPr>
        <w:tcBorders>
          <w:top w:val="single" w:sz="8" w:space="0" w:color="BBBBBB"/>
          <w:left w:val="single" w:sz="8" w:space="0" w:color="BBBBBB"/>
          <w:bottom w:val="single" w:sz="8" w:space="0" w:color="BBBBBB"/>
          <w:right w:val="single" w:sz="8" w:space="0" w:color="BBBBBB"/>
          <w:insideH w:val="nil"/>
          <w:insideV w:val="nil"/>
        </w:tcBorders>
        <w:shd w:val="clear" w:color="auto" w:fill="A5A5A5"/>
      </w:tcPr>
    </w:tblStylePr>
    <w:tblStylePr w:type="lastRow">
      <w:pPr>
        <w:spacing w:before="0" w:after="0" w:line="240" w:lineRule="auto"/>
      </w:pPr>
      <w:rPr>
        <w:b/>
        <w:bCs/>
      </w:rPr>
      <w:tblPr/>
      <w:tcPr>
        <w:tcBorders>
          <w:top w:val="double" w:sz="6" w:space="0" w:color="BBBBBB"/>
          <w:left w:val="single" w:sz="8" w:space="0" w:color="BBBBBB"/>
          <w:bottom w:val="single" w:sz="8" w:space="0" w:color="BBBBBB"/>
          <w:right w:val="single" w:sz="8" w:space="0" w:color="BBBBBB"/>
          <w:insideH w:val="nil"/>
          <w:insideV w:val="nil"/>
        </w:tcBorders>
      </w:tcPr>
    </w:tblStylePr>
    <w:tblStylePr w:type="firstCol">
      <w:rPr>
        <w:b/>
        <w:bCs/>
      </w:rPr>
    </w:tblStylePr>
    <w:tblStylePr w:type="lastCol">
      <w:rPr>
        <w:b/>
        <w:bCs/>
      </w:rPr>
    </w:tblStylePr>
    <w:tblStylePr w:type="band1Vert">
      <w:tblPr/>
      <w:tcPr>
        <w:shd w:val="clear" w:color="auto" w:fill="E8E8E8"/>
      </w:tcPr>
    </w:tblStylePr>
    <w:tblStylePr w:type="band1Horz">
      <w:tblPr/>
      <w:tcPr>
        <w:tcBorders>
          <w:insideH w:val="nil"/>
          <w:insideV w:val="nil"/>
        </w:tcBorders>
        <w:shd w:val="clear" w:color="auto" w:fill="E8E8E8"/>
      </w:tcPr>
    </w:tblStylePr>
    <w:tblStylePr w:type="band2Horz">
      <w:tblPr/>
      <w:tcPr>
        <w:tcBorders>
          <w:insideH w:val="nil"/>
          <w:insideV w:val="nil"/>
        </w:tcBorders>
      </w:tcPr>
    </w:tblStylePr>
  </w:style>
  <w:style w:type="table" w:customStyle="1" w:styleId="Sombreadomedio1-nfasis32">
    <w:name w:val="Sombreado medio 1 - Énfasis 32"/>
    <w:basedOn w:val="TableNormal"/>
    <w:next w:val="MediumShading1-Accent3"/>
    <w:uiPriority w:val="63"/>
    <w:rsid w:val="00622884"/>
    <w:pPr>
      <w:spacing w:after="0" w:line="240" w:lineRule="auto"/>
    </w:pPr>
    <w:rPr>
      <w:rFonts w:ascii="Calibri" w:eastAsia="Calibri" w:hAnsi="Calibri" w:cs="Times New Roman"/>
      <w:sz w:val="20"/>
      <w:szCs w:val="20"/>
      <w:lang w:val="es-EC" w:eastAsia="es-ES_tradnl"/>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customStyle="1" w:styleId="Tablaconcuadrcula6">
    <w:name w:val="Tabla con cuadrícula6"/>
    <w:basedOn w:val="TableNormal"/>
    <w:uiPriority w:val="59"/>
    <w:rsid w:val="00622884"/>
    <w:pPr>
      <w:spacing w:after="0" w:line="240" w:lineRule="auto"/>
    </w:pPr>
    <w:rPr>
      <w:rFonts w:ascii="Calibri" w:eastAsia="Calibri" w:hAnsi="Calibri" w:cs="Times New Roman"/>
      <w:sz w:val="20"/>
      <w:szCs w:val="20"/>
      <w:lang w:val="es-EC" w:eastAsia="es-ES_trad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uiPriority w:val="39"/>
    <w:rsid w:val="00622884"/>
    <w:pPr>
      <w:spacing w:after="0" w:line="240" w:lineRule="auto"/>
    </w:pPr>
    <w:rPr>
      <w:rFonts w:ascii="Times New Roman" w:eastAsia="SimSun" w:hAnsi="Times New Roman" w:cs="Times New Roman"/>
      <w:sz w:val="20"/>
      <w:szCs w:val="20"/>
      <w:lang w:eastAsia="es-ES_trad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CVSectionBullet">
    <w:name w:val="_ECV_SectionBullet"/>
    <w:basedOn w:val="Normal"/>
    <w:rsid w:val="00622884"/>
    <w:pPr>
      <w:widowControl w:val="0"/>
      <w:suppressLineNumbers/>
      <w:suppressAutoHyphens/>
      <w:autoSpaceDE w:val="0"/>
      <w:spacing w:before="120" w:after="0" w:line="100" w:lineRule="atLeast"/>
    </w:pPr>
    <w:rPr>
      <w:rFonts w:ascii="Arial" w:eastAsia="SimSun" w:hAnsi="Arial" w:cs="Mangal"/>
      <w:noProof/>
      <w:color w:val="3F3A38"/>
      <w:spacing w:val="-6"/>
      <w:kern w:val="1"/>
      <w:sz w:val="18"/>
      <w:szCs w:val="24"/>
      <w:lang w:eastAsia="zh-CN" w:bidi="hi-IN"/>
    </w:rPr>
  </w:style>
  <w:style w:type="table" w:customStyle="1" w:styleId="Sombreadoclaro-nfasis321">
    <w:name w:val="Sombreado claro - Énfasis 321"/>
    <w:basedOn w:val="TableNormal"/>
    <w:next w:val="LightShading-Accent3"/>
    <w:uiPriority w:val="60"/>
    <w:rsid w:val="00622884"/>
    <w:pPr>
      <w:spacing w:after="0" w:line="240" w:lineRule="auto"/>
    </w:pPr>
    <w:rPr>
      <w:rFonts w:ascii="Calibri" w:eastAsia="Calibri" w:hAnsi="Calibri" w:cs="Times New Roman"/>
      <w:color w:val="76923C"/>
      <w:sz w:val="20"/>
      <w:szCs w:val="20"/>
      <w:lang w:val="es-EC" w:eastAsia="es-ES_tradnl"/>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Sombreadomedio1-nfasis311">
    <w:name w:val="Sombreado medio 1 - Énfasis 311"/>
    <w:basedOn w:val="TableNormal"/>
    <w:next w:val="MediumShading1-Accent3"/>
    <w:uiPriority w:val="63"/>
    <w:rsid w:val="00622884"/>
    <w:pPr>
      <w:spacing w:after="0" w:line="240" w:lineRule="auto"/>
    </w:pPr>
    <w:rPr>
      <w:rFonts w:ascii="Calibri" w:eastAsia="Calibri" w:hAnsi="Calibri" w:cs="Times New Roman"/>
      <w:sz w:val="20"/>
      <w:szCs w:val="20"/>
      <w:lang w:val="es-EC" w:eastAsia="es-ES_tradnl"/>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paragraph" w:customStyle="1" w:styleId="Chapter">
    <w:name w:val="Chapter"/>
    <w:basedOn w:val="Normal"/>
    <w:next w:val="Normal"/>
    <w:autoRedefine/>
    <w:rsid w:val="00622884"/>
    <w:pPr>
      <w:numPr>
        <w:numId w:val="18"/>
      </w:numPr>
      <w:tabs>
        <w:tab w:val="left" w:pos="1440"/>
      </w:tabs>
      <w:spacing w:before="240" w:after="240" w:line="240" w:lineRule="auto"/>
      <w:jc w:val="center"/>
    </w:pPr>
    <w:rPr>
      <w:rFonts w:ascii="Times New Roman" w:eastAsia="SimSun" w:hAnsi="Times New Roman" w:cs="Times New Roman"/>
      <w:b/>
      <w:smallCaps/>
      <w:noProof/>
      <w:sz w:val="24"/>
      <w:szCs w:val="20"/>
      <w:lang w:eastAsia="es-ES"/>
    </w:rPr>
  </w:style>
  <w:style w:type="paragraph" w:customStyle="1" w:styleId="subpar">
    <w:name w:val="subpar"/>
    <w:basedOn w:val="BodyTextIndent3"/>
    <w:rsid w:val="00622884"/>
    <w:pPr>
      <w:numPr>
        <w:ilvl w:val="2"/>
        <w:numId w:val="18"/>
      </w:numPr>
      <w:tabs>
        <w:tab w:val="clear" w:pos="2052"/>
        <w:tab w:val="num" w:pos="360"/>
      </w:tabs>
      <w:spacing w:line="240" w:lineRule="auto"/>
      <w:ind w:left="283" w:firstLine="0"/>
    </w:pPr>
    <w:rPr>
      <w:rFonts w:ascii="Times New Roman" w:eastAsia="Times New Roman" w:hAnsi="Times New Roman"/>
      <w:lang w:val="it-IT" w:eastAsia="it-IT"/>
    </w:rPr>
  </w:style>
  <w:style w:type="paragraph" w:styleId="BodyTextIndent3">
    <w:name w:val="Body Text Indent 3"/>
    <w:basedOn w:val="Normal"/>
    <w:link w:val="BodyTextIndent3Char"/>
    <w:uiPriority w:val="99"/>
    <w:semiHidden/>
    <w:unhideWhenUsed/>
    <w:rsid w:val="00622884"/>
    <w:pPr>
      <w:spacing w:before="120"/>
      <w:ind w:left="283"/>
    </w:pPr>
    <w:rPr>
      <w:rFonts w:ascii="Calibri Light" w:eastAsia="Calibri" w:hAnsi="Calibri Light" w:cs="Times New Roman"/>
      <w:noProof/>
      <w:sz w:val="16"/>
      <w:szCs w:val="16"/>
      <w:lang w:eastAsia="en-US"/>
    </w:rPr>
  </w:style>
  <w:style w:type="character" w:customStyle="1" w:styleId="BodyTextIndent3Char">
    <w:name w:val="Body Text Indent 3 Char"/>
    <w:basedOn w:val="DefaultParagraphFont"/>
    <w:link w:val="BodyTextIndent3"/>
    <w:uiPriority w:val="99"/>
    <w:semiHidden/>
    <w:rsid w:val="00622884"/>
    <w:rPr>
      <w:rFonts w:ascii="Calibri Light" w:eastAsia="Calibri" w:hAnsi="Calibri Light" w:cs="Times New Roman"/>
      <w:noProof/>
      <w:sz w:val="16"/>
      <w:szCs w:val="16"/>
      <w:lang w:val="sq-AL"/>
    </w:rPr>
  </w:style>
  <w:style w:type="paragraph" w:customStyle="1" w:styleId="SubSubPar">
    <w:name w:val="SubSubPar"/>
    <w:basedOn w:val="subpar"/>
    <w:rsid w:val="00622884"/>
    <w:pPr>
      <w:numPr>
        <w:ilvl w:val="3"/>
      </w:numPr>
      <w:tabs>
        <w:tab w:val="clear" w:pos="1584"/>
        <w:tab w:val="num" w:pos="360"/>
        <w:tab w:val="num" w:pos="1152"/>
      </w:tabs>
      <w:ind w:left="1152" w:hanging="432"/>
      <w:outlineLvl w:val="2"/>
    </w:pPr>
    <w:rPr>
      <w:rFonts w:eastAsia="SimSun"/>
      <w:sz w:val="24"/>
      <w:szCs w:val="20"/>
      <w:lang w:val="es-ES" w:eastAsia="es-ES"/>
    </w:rPr>
  </w:style>
  <w:style w:type="paragraph" w:customStyle="1" w:styleId="Estilo3">
    <w:name w:val="Estilo3"/>
    <w:basedOn w:val="Normal"/>
    <w:link w:val="Estilo3Car"/>
    <w:autoRedefine/>
    <w:rsid w:val="00622884"/>
    <w:pPr>
      <w:spacing w:before="240"/>
    </w:pPr>
    <w:rPr>
      <w:rFonts w:ascii="Calibri Light" w:eastAsia="Times New Roman" w:hAnsi="Calibri Light" w:cs="Times New Roman"/>
      <w:noProof/>
      <w:sz w:val="20"/>
      <w:szCs w:val="20"/>
      <w:lang w:eastAsia="es-ES"/>
    </w:rPr>
  </w:style>
  <w:style w:type="character" w:customStyle="1" w:styleId="Estilo3Car">
    <w:name w:val="Estilo3 Car"/>
    <w:link w:val="Estilo3"/>
    <w:rsid w:val="00622884"/>
    <w:rPr>
      <w:rFonts w:ascii="Calibri Light" w:eastAsia="Times New Roman" w:hAnsi="Calibri Light" w:cs="Times New Roman"/>
      <w:noProof/>
      <w:sz w:val="20"/>
      <w:szCs w:val="20"/>
      <w:lang w:val="sq-AL" w:eastAsia="es-ES"/>
    </w:rPr>
  </w:style>
  <w:style w:type="paragraph" w:customStyle="1" w:styleId="Index12">
    <w:name w:val="Index 12"/>
    <w:basedOn w:val="Normal"/>
    <w:next w:val="Normal"/>
    <w:autoRedefine/>
    <w:uiPriority w:val="99"/>
    <w:semiHidden/>
    <w:unhideWhenUsed/>
    <w:rsid w:val="00622884"/>
    <w:pPr>
      <w:spacing w:after="0" w:line="240" w:lineRule="auto"/>
      <w:ind w:left="240" w:hanging="240"/>
      <w:jc w:val="left"/>
    </w:pPr>
    <w:rPr>
      <w:rFonts w:ascii="Aptos" w:eastAsia="Aptos" w:hAnsi="Aptos" w:cs="Arial"/>
      <w:kern w:val="2"/>
      <w:sz w:val="24"/>
      <w:szCs w:val="24"/>
      <w:lang w:val="en-GB" w:eastAsia="en-US"/>
    </w:rPr>
  </w:style>
  <w:style w:type="paragraph" w:styleId="Index1">
    <w:name w:val="index 1"/>
    <w:basedOn w:val="Normal"/>
    <w:next w:val="Normal"/>
    <w:autoRedefine/>
    <w:uiPriority w:val="99"/>
    <w:semiHidden/>
    <w:unhideWhenUsed/>
    <w:rsid w:val="00622884"/>
    <w:pPr>
      <w:spacing w:after="0" w:line="240" w:lineRule="auto"/>
      <w:ind w:left="220" w:hanging="220"/>
      <w:jc w:val="left"/>
    </w:pPr>
    <w:rPr>
      <w:rFonts w:ascii="Aptos" w:eastAsia="Aptos" w:hAnsi="Aptos" w:cs="Arial"/>
      <w:kern w:val="2"/>
      <w:lang w:val="en-GB" w:eastAsia="en-US"/>
    </w:rPr>
  </w:style>
  <w:style w:type="paragraph" w:styleId="IndexHeading">
    <w:name w:val="index heading"/>
    <w:basedOn w:val="Normal"/>
    <w:next w:val="Index1"/>
    <w:uiPriority w:val="99"/>
    <w:unhideWhenUsed/>
    <w:rsid w:val="00622884"/>
    <w:pPr>
      <w:spacing w:before="120" w:after="0" w:line="240" w:lineRule="auto"/>
    </w:pPr>
    <w:rPr>
      <w:rFonts w:ascii="Arial" w:eastAsia="Times New Roman" w:hAnsi="Arial" w:cs="Arial"/>
      <w:b/>
      <w:bCs/>
      <w:noProof/>
      <w:sz w:val="24"/>
      <w:szCs w:val="24"/>
      <w:lang w:eastAsia="en-US"/>
    </w:rPr>
  </w:style>
  <w:style w:type="paragraph" w:customStyle="1" w:styleId="Puesto1">
    <w:name w:val="Puesto1"/>
    <w:basedOn w:val="Normal"/>
    <w:rsid w:val="00622884"/>
    <w:pPr>
      <w:spacing w:before="100" w:beforeAutospacing="1" w:after="100" w:afterAutospacing="1" w:line="240" w:lineRule="auto"/>
    </w:pPr>
    <w:rPr>
      <w:rFonts w:ascii="Times New Roman" w:eastAsia="Times New Roman" w:hAnsi="Times New Roman" w:cs="Times New Roman"/>
      <w:noProof/>
      <w:sz w:val="24"/>
      <w:szCs w:val="24"/>
      <w:lang w:eastAsia="en-GB"/>
    </w:rPr>
  </w:style>
  <w:style w:type="paragraph" w:customStyle="1" w:styleId="tabelle14">
    <w:name w:val="tabelle14"/>
    <w:basedOn w:val="Normal"/>
    <w:uiPriority w:val="99"/>
    <w:rsid w:val="00622884"/>
    <w:pPr>
      <w:spacing w:before="120" w:after="0" w:line="288" w:lineRule="exact"/>
    </w:pPr>
    <w:rPr>
      <w:rFonts w:ascii="Times New Roman" w:eastAsia="Times New Roman" w:hAnsi="Times New Roman" w:cs="Times New Roman"/>
      <w:i/>
      <w:noProof/>
      <w:sz w:val="20"/>
      <w:szCs w:val="20"/>
      <w:lang w:eastAsia="de-DE"/>
    </w:rPr>
  </w:style>
  <w:style w:type="paragraph" w:customStyle="1" w:styleId="OiaeaeiYiio2">
    <w:name w:val="O?ia eaeiYiio 2"/>
    <w:basedOn w:val="Normal"/>
    <w:uiPriority w:val="99"/>
    <w:rsid w:val="00622884"/>
    <w:pPr>
      <w:widowControl w:val="0"/>
      <w:spacing w:before="120" w:after="0" w:line="240" w:lineRule="auto"/>
      <w:jc w:val="right"/>
    </w:pPr>
    <w:rPr>
      <w:rFonts w:ascii="Times New Roman" w:eastAsia="Times New Roman" w:hAnsi="Times New Roman" w:cs="Times New Roman"/>
      <w:i/>
      <w:noProof/>
      <w:sz w:val="16"/>
      <w:szCs w:val="20"/>
      <w:lang w:eastAsia="de-DE"/>
    </w:rPr>
  </w:style>
  <w:style w:type="paragraph" w:customStyle="1" w:styleId="Listalarga">
    <w:name w:val="Lista larga"/>
    <w:basedOn w:val="Normal"/>
    <w:rsid w:val="00622884"/>
    <w:pPr>
      <w:numPr>
        <w:numId w:val="19"/>
      </w:numPr>
      <w:tabs>
        <w:tab w:val="num" w:pos="360"/>
      </w:tabs>
      <w:spacing w:before="120"/>
      <w:ind w:left="714" w:hanging="357"/>
    </w:pPr>
    <w:rPr>
      <w:rFonts w:ascii="Calibri Light" w:eastAsia="Times New Roman" w:hAnsi="Calibri Light" w:cs="Times New Roman"/>
      <w:noProof/>
      <w:sz w:val="20"/>
      <w:szCs w:val="20"/>
      <w:lang w:eastAsia="es-ES"/>
    </w:rPr>
  </w:style>
  <w:style w:type="paragraph" w:customStyle="1" w:styleId="TABLAS0">
    <w:name w:val="TABLAS"/>
    <w:basedOn w:val="Caption"/>
    <w:rsid w:val="00622884"/>
    <w:pPr>
      <w:spacing w:after="0"/>
      <w:jc w:val="right"/>
    </w:pPr>
    <w:rPr>
      <w:rFonts w:ascii="Calibri Light" w:hAnsi="Calibri Light"/>
      <w:i/>
      <w:iCs/>
      <w:noProof/>
      <w:sz w:val="16"/>
      <w:szCs w:val="16"/>
      <w:lang w:val="es-MX" w:eastAsia="es-MX"/>
    </w:rPr>
  </w:style>
  <w:style w:type="table" w:styleId="ColorfulList-Accent1">
    <w:name w:val="Colorful List Accent 1"/>
    <w:basedOn w:val="TableNormal"/>
    <w:uiPriority w:val="72"/>
    <w:qFormat/>
    <w:rsid w:val="00622884"/>
    <w:pPr>
      <w:spacing w:after="0" w:line="240" w:lineRule="auto"/>
    </w:pPr>
    <w:rPr>
      <w:rFonts w:ascii="Times New Roman" w:eastAsia="Times New Roman" w:hAnsi="Times New Roman" w:cs="Times New Roman"/>
      <w:color w:val="000000"/>
      <w:sz w:val="20"/>
      <w:szCs w:val="20"/>
      <w:lang w:eastAsia="es-ES_tradnl" w:bidi="th-TH"/>
    </w:rPr>
    <w:tblPr>
      <w:tblStyleRowBandSize w:val="1"/>
      <w:tblStyleColBandSize w:val="1"/>
    </w:tblPr>
    <w:tcPr>
      <w:shd w:val="clear" w:color="auto" w:fill="ECF1F9"/>
    </w:tcPr>
    <w:tblStylePr w:type="firstRow">
      <w:rPr>
        <w:b/>
        <w:bCs/>
        <w:color w:val="FFFFFF"/>
      </w:rPr>
      <w:tblPr/>
      <w:tcPr>
        <w:tcBorders>
          <w:bottom w:val="single" w:sz="12" w:space="0" w:color="FFFFFF"/>
        </w:tcBorders>
        <w:shd w:val="clear" w:color="auto" w:fill="D25F12"/>
      </w:tcPr>
    </w:tblStylePr>
    <w:tblStylePr w:type="lastRow">
      <w:rPr>
        <w:b/>
        <w:bCs/>
        <w:color w:val="D25F1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cPr>
    </w:tblStylePr>
    <w:tblStylePr w:type="band1Horz">
      <w:tblPr/>
      <w:tcPr>
        <w:shd w:val="clear" w:color="auto" w:fill="D9E2F3"/>
      </w:tcPr>
    </w:tblStylePr>
  </w:style>
  <w:style w:type="paragraph" w:customStyle="1" w:styleId="Normaltexto">
    <w:name w:val="Normal texto"/>
    <w:basedOn w:val="Normal"/>
    <w:link w:val="NormaltextoCar"/>
    <w:uiPriority w:val="99"/>
    <w:rsid w:val="00622884"/>
    <w:pPr>
      <w:spacing w:before="120" w:line="240" w:lineRule="auto"/>
    </w:pPr>
    <w:rPr>
      <w:rFonts w:ascii="Calibri" w:eastAsia="Calibri" w:hAnsi="Calibri" w:cs="Times New Roman"/>
      <w:noProof/>
      <w:sz w:val="24"/>
      <w:szCs w:val="20"/>
      <w:lang w:val="es-ES_tradnl" w:eastAsia="es-ES"/>
    </w:rPr>
  </w:style>
  <w:style w:type="character" w:customStyle="1" w:styleId="NormaltextoCar">
    <w:name w:val="Normal texto Car"/>
    <w:link w:val="Normaltexto"/>
    <w:uiPriority w:val="99"/>
    <w:locked/>
    <w:rsid w:val="00622884"/>
    <w:rPr>
      <w:rFonts w:ascii="Calibri" w:eastAsia="Calibri" w:hAnsi="Calibri" w:cs="Times New Roman"/>
      <w:noProof/>
      <w:sz w:val="24"/>
      <w:szCs w:val="20"/>
      <w:lang w:val="es-ES_tradnl" w:eastAsia="es-ES"/>
    </w:rPr>
  </w:style>
  <w:style w:type="paragraph" w:customStyle="1" w:styleId="Outline">
    <w:name w:val="Outline"/>
    <w:basedOn w:val="Normal"/>
    <w:uiPriority w:val="99"/>
    <w:rsid w:val="00622884"/>
    <w:pPr>
      <w:spacing w:before="240" w:line="264" w:lineRule="auto"/>
    </w:pPr>
    <w:rPr>
      <w:rFonts w:ascii="Times New Roman" w:eastAsia="Times New Roman" w:hAnsi="Times New Roman" w:cs="Times New Roman"/>
      <w:noProof/>
      <w:kern w:val="28"/>
      <w:sz w:val="24"/>
      <w:szCs w:val="20"/>
      <w:lang w:eastAsia="en-US"/>
    </w:rPr>
  </w:style>
  <w:style w:type="character" w:customStyle="1" w:styleId="il">
    <w:name w:val="il"/>
    <w:basedOn w:val="DefaultParagraphFont"/>
    <w:rsid w:val="00622884"/>
  </w:style>
  <w:style w:type="table" w:customStyle="1" w:styleId="Sombreadoclaro-nfasis31">
    <w:name w:val="Sombreado claro - Énfasis 31"/>
    <w:basedOn w:val="TableNormal"/>
    <w:next w:val="LightShading-Accent3"/>
    <w:uiPriority w:val="60"/>
    <w:rsid w:val="00622884"/>
    <w:pPr>
      <w:spacing w:after="0" w:line="240" w:lineRule="auto"/>
    </w:pPr>
    <w:rPr>
      <w:rFonts w:ascii="Times New Roman" w:eastAsia="Calibri" w:hAnsi="Times New Roman" w:cs="Times New Roman"/>
      <w:color w:val="76923C"/>
      <w:sz w:val="20"/>
      <w:szCs w:val="20"/>
      <w:lang w:val="es-EC" w:eastAsia="es-ES"/>
    </w:rPr>
    <w:tblPr>
      <w:tblStyleRowBandSize w:val="1"/>
      <w:tblStyleColBandSize w:val="1"/>
      <w:tblBorders>
        <w:top w:val="single" w:sz="8" w:space="0" w:color="9BBB59"/>
        <w:bottom w:val="single" w:sz="8" w:space="0" w:color="9BBB59"/>
      </w:tblBorders>
    </w:tblPr>
    <w:tblStylePr w:type="firstRow">
      <w:pPr>
        <w:spacing w:before="0" w:after="0"/>
      </w:pPr>
      <w:rPr>
        <w:rFonts w:cs="Times New Roman"/>
        <w:b/>
        <w:bCs/>
      </w:rPr>
      <w:tblPr/>
      <w:tcPr>
        <w:tcBorders>
          <w:top w:val="single" w:sz="8" w:space="0" w:color="9BBB59"/>
          <w:left w:val="nil"/>
          <w:bottom w:val="single" w:sz="8" w:space="0" w:color="9BBB59"/>
          <w:right w:val="nil"/>
          <w:insideH w:val="nil"/>
          <w:insideV w:val="nil"/>
        </w:tcBorders>
      </w:tcPr>
    </w:tblStylePr>
    <w:tblStylePr w:type="lastRow">
      <w:pPr>
        <w:spacing w:before="0" w:after="0"/>
      </w:pPr>
      <w:rPr>
        <w:rFonts w:cs="Times New Roman"/>
        <w:b/>
        <w:bCs/>
      </w:rPr>
      <w:tblPr/>
      <w:tcPr>
        <w:tcBorders>
          <w:top w:val="single" w:sz="8" w:space="0" w:color="9BBB59"/>
          <w:left w:val="nil"/>
          <w:bottom w:val="single" w:sz="8" w:space="0" w:color="9BBB59"/>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E6EED5"/>
      </w:tcPr>
    </w:tblStylePr>
    <w:tblStylePr w:type="band1Horz">
      <w:rPr>
        <w:rFonts w:cs="Times New Roman"/>
      </w:rPr>
      <w:tblPr/>
      <w:tcPr>
        <w:tcBorders>
          <w:left w:val="nil"/>
          <w:right w:val="nil"/>
          <w:insideH w:val="nil"/>
          <w:insideV w:val="nil"/>
        </w:tcBorders>
        <w:shd w:val="clear" w:color="auto" w:fill="E6EED5"/>
      </w:tcPr>
    </w:tblStylePr>
  </w:style>
  <w:style w:type="paragraph" w:customStyle="1" w:styleId="Step2">
    <w:name w:val="Step2"/>
    <w:basedOn w:val="Normal"/>
    <w:rsid w:val="00622884"/>
    <w:pPr>
      <w:widowControl w:val="0"/>
      <w:numPr>
        <w:numId w:val="20"/>
      </w:numPr>
      <w:shd w:val="clear" w:color="auto" w:fill="D9E2F3"/>
      <w:suppressAutoHyphens/>
      <w:spacing w:before="120" w:after="0" w:line="240" w:lineRule="auto"/>
      <w:ind w:left="0" w:firstLine="0"/>
    </w:pPr>
    <w:rPr>
      <w:rFonts w:ascii="Calibri Light" w:eastAsia="Times New Roman" w:hAnsi="Calibri Light" w:cs="Times"/>
      <w:b/>
      <w:noProof/>
      <w:color w:val="1D3C5A"/>
      <w:sz w:val="24"/>
      <w:szCs w:val="20"/>
      <w:lang w:eastAsia="ar-SA"/>
    </w:rPr>
  </w:style>
  <w:style w:type="paragraph" w:customStyle="1" w:styleId="Bullet">
    <w:name w:val="Bullet"/>
    <w:aliases w:val="bl,Bullet L1,bl1"/>
    <w:basedOn w:val="Normal"/>
    <w:rsid w:val="00622884"/>
    <w:pPr>
      <w:spacing w:before="120" w:after="0" w:line="240" w:lineRule="auto"/>
    </w:pPr>
    <w:rPr>
      <w:rFonts w:ascii="Arial" w:eastAsia="Times New Roman" w:hAnsi="Arial" w:cs="Arial"/>
      <w:noProof/>
      <w:sz w:val="20"/>
      <w:szCs w:val="20"/>
      <w:lang w:eastAsia="el-GR"/>
    </w:rPr>
  </w:style>
  <w:style w:type="paragraph" w:customStyle="1" w:styleId="Ref">
    <w:name w:val="Ref"/>
    <w:basedOn w:val="Normal"/>
    <w:rsid w:val="00622884"/>
    <w:pPr>
      <w:spacing w:before="240" w:after="0" w:line="240" w:lineRule="auto"/>
    </w:pPr>
    <w:rPr>
      <w:rFonts w:ascii="Arial" w:eastAsia="Times New Roman" w:hAnsi="Times New Roman" w:cs="Arial"/>
      <w:noProof/>
      <w:snapToGrid w:val="0"/>
      <w:sz w:val="20"/>
      <w:szCs w:val="20"/>
      <w:lang w:eastAsia="en-US"/>
    </w:rPr>
  </w:style>
  <w:style w:type="paragraph" w:customStyle="1" w:styleId="BodyBullets">
    <w:name w:val="Body Bullets"/>
    <w:basedOn w:val="Normal"/>
    <w:link w:val="BodyBulletsChar"/>
    <w:rsid w:val="00622884"/>
    <w:pPr>
      <w:numPr>
        <w:numId w:val="21"/>
      </w:numPr>
      <w:spacing w:before="60" w:after="60" w:line="300" w:lineRule="exact"/>
    </w:pPr>
    <w:rPr>
      <w:rFonts w:ascii="Calibri Light" w:eastAsia="Calibri" w:hAnsi="Calibri Light" w:cs="Arial"/>
      <w:noProof/>
      <w:sz w:val="20"/>
      <w:szCs w:val="20"/>
      <w:lang w:eastAsia="en-US"/>
    </w:rPr>
  </w:style>
  <w:style w:type="character" w:customStyle="1" w:styleId="BodyBulletsChar">
    <w:name w:val="Body Bullets Char"/>
    <w:link w:val="BodyBullets"/>
    <w:rsid w:val="00622884"/>
    <w:rPr>
      <w:rFonts w:ascii="Calibri Light" w:eastAsia="Calibri" w:hAnsi="Calibri Light" w:cs="Arial"/>
      <w:noProof/>
      <w:sz w:val="20"/>
      <w:szCs w:val="20"/>
      <w:lang w:val="sq-AL"/>
    </w:rPr>
  </w:style>
  <w:style w:type="character" w:customStyle="1" w:styleId="BodyTextCharCharCharCharCharCharCharCharCharCharCharCharCharCharCharCharCharCharCharCharCharCharCharCharCharCharCharCharCharCharCharCharCharCharCharCharCharCharCharCharCharCharCharCharCharCharChar">
    <w:name w:val="Body Text Char Char Char Char Char Char Char Char Char Char Char Char Char Char Char Char Char Char Char Char Char Char Char Char Char Char Char Char Char Char Char Char Char Char Char Char Char Char Char Char Char Char Char Char Char Char Char"/>
    <w:rsid w:val="00622884"/>
    <w:rPr>
      <w:sz w:val="24"/>
      <w:szCs w:val="24"/>
      <w:lang w:val="en-US" w:eastAsia="en-US" w:bidi="ar-SA"/>
    </w:rPr>
  </w:style>
  <w:style w:type="paragraph" w:customStyle="1" w:styleId="DatesforProjects">
    <w:name w:val="Dates for Projects"/>
    <w:basedOn w:val="Normal"/>
    <w:link w:val="DatesforProjectsChar"/>
    <w:rsid w:val="00622884"/>
    <w:pPr>
      <w:spacing w:before="120" w:after="0" w:line="300" w:lineRule="exact"/>
      <w:ind w:left="720"/>
    </w:pPr>
    <w:rPr>
      <w:rFonts w:ascii="Calibri Light" w:eastAsia="Calibri" w:hAnsi="Calibri Light" w:cs="Arial"/>
      <w:i/>
      <w:iCs/>
      <w:noProof/>
      <w:sz w:val="20"/>
      <w:szCs w:val="20"/>
      <w:lang w:eastAsia="en-US"/>
    </w:rPr>
  </w:style>
  <w:style w:type="character" w:customStyle="1" w:styleId="DatesforProjectsChar">
    <w:name w:val="Dates for Projects Char"/>
    <w:link w:val="DatesforProjects"/>
    <w:rsid w:val="00622884"/>
    <w:rPr>
      <w:rFonts w:ascii="Calibri Light" w:eastAsia="Calibri" w:hAnsi="Calibri Light" w:cs="Arial"/>
      <w:i/>
      <w:iCs/>
      <w:noProof/>
      <w:sz w:val="20"/>
      <w:szCs w:val="20"/>
      <w:lang w:val="sq-AL"/>
    </w:rPr>
  </w:style>
  <w:style w:type="paragraph" w:customStyle="1" w:styleId="Bodybold-itaic">
    <w:name w:val="Body bold-itaic"/>
    <w:basedOn w:val="Normal"/>
    <w:link w:val="Bodybold-itaicChar"/>
    <w:rsid w:val="00622884"/>
    <w:pPr>
      <w:tabs>
        <w:tab w:val="right" w:pos="9360"/>
      </w:tabs>
      <w:spacing w:before="120"/>
    </w:pPr>
    <w:rPr>
      <w:rFonts w:ascii="Calibri Light" w:eastAsia="Calibri" w:hAnsi="Calibri Light" w:cs="CenturyGothic,BoldItalic"/>
      <w:b/>
      <w:bCs/>
      <w:i/>
      <w:iCs/>
      <w:noProof/>
      <w:sz w:val="20"/>
      <w:szCs w:val="20"/>
      <w:lang w:eastAsia="en-US"/>
    </w:rPr>
  </w:style>
  <w:style w:type="character" w:customStyle="1" w:styleId="Bodybold-itaicChar">
    <w:name w:val="Body bold-itaic Char"/>
    <w:link w:val="Bodybold-itaic"/>
    <w:rsid w:val="00622884"/>
    <w:rPr>
      <w:rFonts w:ascii="Calibri Light" w:eastAsia="Calibri" w:hAnsi="Calibri Light" w:cs="CenturyGothic,BoldItalic"/>
      <w:b/>
      <w:bCs/>
      <w:i/>
      <w:iCs/>
      <w:noProof/>
      <w:sz w:val="20"/>
      <w:szCs w:val="20"/>
      <w:lang w:val="sq-AL"/>
    </w:rPr>
  </w:style>
  <w:style w:type="paragraph" w:customStyle="1" w:styleId="reference">
    <w:name w:val="reference"/>
    <w:basedOn w:val="Normal"/>
    <w:link w:val="referenceChar"/>
    <w:rsid w:val="00622884"/>
    <w:pPr>
      <w:spacing w:before="120" w:after="200"/>
    </w:pPr>
    <w:rPr>
      <w:rFonts w:ascii="Calibri Light" w:eastAsia="Calibri" w:hAnsi="Calibri Light" w:cs="Arial"/>
      <w:noProof/>
      <w:sz w:val="16"/>
      <w:szCs w:val="16"/>
      <w:lang w:eastAsia="en-US"/>
    </w:rPr>
  </w:style>
  <w:style w:type="character" w:customStyle="1" w:styleId="referenceChar">
    <w:name w:val="reference Char"/>
    <w:link w:val="reference"/>
    <w:rsid w:val="00622884"/>
    <w:rPr>
      <w:rFonts w:ascii="Calibri Light" w:eastAsia="Calibri" w:hAnsi="Calibri Light" w:cs="Arial"/>
      <w:noProof/>
      <w:sz w:val="16"/>
      <w:szCs w:val="16"/>
      <w:lang w:val="sq-AL"/>
    </w:rPr>
  </w:style>
  <w:style w:type="paragraph" w:customStyle="1" w:styleId="Bodysubbullets">
    <w:name w:val="Body sub bullets"/>
    <w:basedOn w:val="BodyBullets"/>
    <w:link w:val="BodysubbulletsChar"/>
    <w:rsid w:val="00622884"/>
    <w:pPr>
      <w:numPr>
        <w:numId w:val="22"/>
      </w:numPr>
      <w:ind w:left="720"/>
    </w:pPr>
  </w:style>
  <w:style w:type="character" w:customStyle="1" w:styleId="BodysubbulletsChar">
    <w:name w:val="Body sub bullets Char"/>
    <w:link w:val="Bodysubbullets"/>
    <w:rsid w:val="00622884"/>
    <w:rPr>
      <w:rFonts w:ascii="Calibri Light" w:eastAsia="Calibri" w:hAnsi="Calibri Light" w:cs="Arial"/>
      <w:noProof/>
      <w:sz w:val="20"/>
      <w:szCs w:val="20"/>
      <w:lang w:val="sq-AL"/>
    </w:rPr>
  </w:style>
  <w:style w:type="paragraph" w:customStyle="1" w:styleId="BulletsBold">
    <w:name w:val="Bullets Bold"/>
    <w:basedOn w:val="BodyBullets"/>
    <w:link w:val="BulletsBoldChar"/>
    <w:rsid w:val="00622884"/>
  </w:style>
  <w:style w:type="character" w:customStyle="1" w:styleId="BulletsBoldChar">
    <w:name w:val="Bullets Bold Char"/>
    <w:link w:val="BulletsBold"/>
    <w:rsid w:val="00622884"/>
    <w:rPr>
      <w:rFonts w:ascii="Calibri Light" w:eastAsia="Calibri" w:hAnsi="Calibri Light" w:cs="Arial"/>
      <w:noProof/>
      <w:sz w:val="20"/>
      <w:szCs w:val="20"/>
      <w:lang w:val="sq-AL"/>
    </w:rPr>
  </w:style>
  <w:style w:type="paragraph" w:customStyle="1" w:styleId="Body-Responsibilities">
    <w:name w:val="Body-Responsibilities"/>
    <w:basedOn w:val="BulletsBold"/>
    <w:link w:val="Body-ResponsibilitiesChar"/>
    <w:rsid w:val="00622884"/>
    <w:pPr>
      <w:numPr>
        <w:numId w:val="0"/>
      </w:numPr>
      <w:spacing w:after="0"/>
      <w:ind w:left="720"/>
    </w:pPr>
  </w:style>
  <w:style w:type="character" w:customStyle="1" w:styleId="Body-ResponsibilitiesChar">
    <w:name w:val="Body-Responsibilities Char"/>
    <w:link w:val="Body-Responsibilities"/>
    <w:rsid w:val="00622884"/>
    <w:rPr>
      <w:rFonts w:ascii="Calibri Light" w:eastAsia="Calibri" w:hAnsi="Calibri Light" w:cs="Arial"/>
      <w:noProof/>
      <w:sz w:val="20"/>
      <w:szCs w:val="20"/>
      <w:lang w:val="sq-AL"/>
    </w:rPr>
  </w:style>
  <w:style w:type="character" w:customStyle="1" w:styleId="paragraphCar">
    <w:name w:val="paragraph Car"/>
    <w:link w:val="paragraph"/>
    <w:rsid w:val="00622884"/>
    <w:rPr>
      <w:rFonts w:ascii="Times New Roman" w:eastAsia="Times New Roman" w:hAnsi="Times New Roman" w:cs="Times New Roman"/>
      <w:noProof/>
      <w:sz w:val="24"/>
      <w:szCs w:val="24"/>
      <w:lang w:val="es-EC" w:eastAsia="es-EC"/>
    </w:rPr>
  </w:style>
  <w:style w:type="table" w:customStyle="1" w:styleId="Sombreadomedio1-nfasis33">
    <w:name w:val="Sombreado medio 1 - Énfasis 33"/>
    <w:basedOn w:val="TableNormal"/>
    <w:next w:val="MediumShading1-Accent3"/>
    <w:uiPriority w:val="63"/>
    <w:rsid w:val="00622884"/>
    <w:pPr>
      <w:spacing w:after="0" w:line="240" w:lineRule="auto"/>
    </w:pPr>
    <w:rPr>
      <w:rFonts w:ascii="Calibri" w:eastAsia="Calibri" w:hAnsi="Calibri" w:cs="Times New Roman"/>
      <w:sz w:val="20"/>
      <w:szCs w:val="20"/>
      <w:lang w:val="pt-PT" w:eastAsia="es-ES_tradnl"/>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pPr>
      <w:rPr>
        <w:rFonts w:cs="Times New Roman"/>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pPr>
      <w:rPr>
        <w:rFonts w:cs="Times New Roman"/>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E6EED5"/>
      </w:tcPr>
    </w:tblStylePr>
    <w:tblStylePr w:type="band1Horz">
      <w:rPr>
        <w:rFonts w:cs="Times New Roman"/>
      </w:rPr>
      <w:tblPr/>
      <w:tcPr>
        <w:tcBorders>
          <w:insideH w:val="nil"/>
          <w:insideV w:val="nil"/>
        </w:tcBorders>
        <w:shd w:val="clear" w:color="auto" w:fill="E6EED5"/>
      </w:tcPr>
    </w:tblStylePr>
    <w:tblStylePr w:type="band2Horz">
      <w:rPr>
        <w:rFonts w:cs="Times New Roman"/>
      </w:rPr>
      <w:tblPr/>
      <w:tcPr>
        <w:tcBorders>
          <w:insideH w:val="nil"/>
          <w:insideV w:val="nil"/>
        </w:tcBorders>
      </w:tcPr>
    </w:tblStylePr>
  </w:style>
  <w:style w:type="paragraph" w:customStyle="1" w:styleId="PIEDEIMAGEN">
    <w:name w:val="PIE DE IMAGEN"/>
    <w:basedOn w:val="parrafoFCO2"/>
    <w:link w:val="PIEDEIMAGENCar"/>
    <w:rsid w:val="00622884"/>
    <w:pPr>
      <w:spacing w:before="120" w:line="276" w:lineRule="auto"/>
      <w:jc w:val="center"/>
    </w:pPr>
    <w:rPr>
      <w:rFonts w:ascii="Calibri Light" w:eastAsia="Calibri" w:hAnsi="Calibri Light" w:cs="Times New Roman"/>
      <w:sz w:val="18"/>
      <w:szCs w:val="20"/>
      <w:lang w:val="es-ES"/>
    </w:rPr>
  </w:style>
  <w:style w:type="character" w:customStyle="1" w:styleId="PIEDEIMAGENCar">
    <w:name w:val="PIE DE IMAGEN Car"/>
    <w:link w:val="PIEDEIMAGEN"/>
    <w:rsid w:val="00622884"/>
    <w:rPr>
      <w:rFonts w:ascii="Calibri Light" w:eastAsia="Calibri" w:hAnsi="Calibri Light" w:cs="Times New Roman"/>
      <w:noProof/>
      <w:sz w:val="18"/>
      <w:szCs w:val="20"/>
      <w:lang w:val="es-ES"/>
    </w:rPr>
  </w:style>
  <w:style w:type="character" w:customStyle="1" w:styleId="apple-tab-span">
    <w:name w:val="apple-tab-span"/>
    <w:basedOn w:val="DefaultParagraphFont"/>
    <w:rsid w:val="00622884"/>
  </w:style>
  <w:style w:type="paragraph" w:styleId="PlainText">
    <w:name w:val="Plain Text"/>
    <w:basedOn w:val="Normal"/>
    <w:link w:val="PlainTextChar"/>
    <w:unhideWhenUsed/>
    <w:rsid w:val="00622884"/>
    <w:pPr>
      <w:spacing w:before="120" w:after="0" w:line="240" w:lineRule="auto"/>
    </w:pPr>
    <w:rPr>
      <w:rFonts w:ascii="Courier New" w:eastAsia="Times New Roman" w:hAnsi="Courier New" w:cs="Times New Roman"/>
      <w:noProof/>
      <w:sz w:val="20"/>
      <w:szCs w:val="20"/>
      <w:lang w:eastAsia="es-ES"/>
    </w:rPr>
  </w:style>
  <w:style w:type="character" w:customStyle="1" w:styleId="PlainTextChar">
    <w:name w:val="Plain Text Char"/>
    <w:basedOn w:val="DefaultParagraphFont"/>
    <w:link w:val="PlainText"/>
    <w:rsid w:val="00622884"/>
    <w:rPr>
      <w:rFonts w:ascii="Courier New" w:eastAsia="Times New Roman" w:hAnsi="Courier New" w:cs="Times New Roman"/>
      <w:noProof/>
      <w:sz w:val="20"/>
      <w:szCs w:val="20"/>
      <w:lang w:val="sq-AL" w:eastAsia="es-ES"/>
    </w:rPr>
  </w:style>
  <w:style w:type="character" w:customStyle="1" w:styleId="atn">
    <w:name w:val="atn"/>
    <w:basedOn w:val="DefaultParagraphFont"/>
    <w:rsid w:val="00622884"/>
  </w:style>
  <w:style w:type="character" w:customStyle="1" w:styleId="FootnoteCharacters">
    <w:name w:val="Footnote Characters"/>
    <w:rsid w:val="00622884"/>
  </w:style>
  <w:style w:type="paragraph" w:customStyle="1" w:styleId="CVHeading1">
    <w:name w:val="CV Heading 1"/>
    <w:basedOn w:val="Normal"/>
    <w:next w:val="Normal"/>
    <w:rsid w:val="00622884"/>
    <w:pPr>
      <w:suppressAutoHyphens/>
      <w:spacing w:before="74" w:after="0" w:line="240" w:lineRule="auto"/>
      <w:ind w:left="113" w:right="113"/>
      <w:jc w:val="right"/>
    </w:pPr>
    <w:rPr>
      <w:rFonts w:ascii="Arial Narrow" w:eastAsia="Times New Roman" w:hAnsi="Arial Narrow" w:cs="Times New Roman"/>
      <w:b/>
      <w:noProof/>
      <w:sz w:val="24"/>
      <w:szCs w:val="20"/>
      <w:lang w:eastAsia="ar-SA"/>
    </w:rPr>
  </w:style>
  <w:style w:type="paragraph" w:customStyle="1" w:styleId="CVNormal-FirstLine">
    <w:name w:val="CV Normal - First Line"/>
    <w:basedOn w:val="CVNormal"/>
    <w:next w:val="CVNormal"/>
    <w:rsid w:val="00622884"/>
    <w:pPr>
      <w:spacing w:before="74"/>
      <w:jc w:val="both"/>
    </w:pPr>
    <w:rPr>
      <w:lang w:val="es-ES"/>
    </w:rPr>
  </w:style>
  <w:style w:type="paragraph" w:customStyle="1" w:styleId="Text0">
    <w:name w:val="Text"/>
    <w:basedOn w:val="Normal"/>
    <w:rsid w:val="00622884"/>
    <w:pPr>
      <w:spacing w:before="120" w:after="80" w:line="240" w:lineRule="auto"/>
      <w:ind w:left="259"/>
    </w:pPr>
    <w:rPr>
      <w:rFonts w:ascii="Garamond" w:eastAsia="Times New Roman" w:hAnsi="Garamond" w:cs="Times New Roman"/>
      <w:noProof/>
      <w:sz w:val="20"/>
      <w:szCs w:val="20"/>
      <w:lang w:eastAsia="en-US"/>
    </w:rPr>
  </w:style>
  <w:style w:type="paragraph" w:customStyle="1" w:styleId="Section3-Heading1">
    <w:name w:val="Section 3 - Heading 1"/>
    <w:basedOn w:val="Normal"/>
    <w:rsid w:val="00622884"/>
    <w:pPr>
      <w:pBdr>
        <w:bottom w:val="single" w:sz="4" w:space="1" w:color="auto"/>
      </w:pBdr>
      <w:spacing w:before="120" w:after="240" w:line="240" w:lineRule="auto"/>
      <w:jc w:val="center"/>
    </w:pPr>
    <w:rPr>
      <w:rFonts w:ascii="Times New Roman" w:eastAsia="Times New Roman" w:hAnsi="Times New Roman" w:cs="Times New Roman"/>
      <w:smallCaps/>
      <w:noProof/>
      <w:sz w:val="32"/>
      <w:szCs w:val="20"/>
      <w:lang w:eastAsia="en-US"/>
    </w:rPr>
  </w:style>
  <w:style w:type="paragraph" w:styleId="List">
    <w:name w:val="List"/>
    <w:basedOn w:val="Normal"/>
    <w:rsid w:val="00622884"/>
    <w:pPr>
      <w:spacing w:before="120" w:after="0" w:line="240" w:lineRule="auto"/>
      <w:ind w:left="283" w:hanging="283"/>
    </w:pPr>
    <w:rPr>
      <w:rFonts w:ascii="Times New Roman" w:eastAsia="Times New Roman" w:hAnsi="Times New Roman" w:cs="Times New Roman"/>
      <w:noProof/>
      <w:sz w:val="20"/>
      <w:szCs w:val="20"/>
      <w:lang w:val="es-ES_tradnl" w:eastAsia="es-ES"/>
    </w:rPr>
  </w:style>
  <w:style w:type="paragraph" w:customStyle="1" w:styleId="parrafo1">
    <w:name w:val="parrafo1"/>
    <w:basedOn w:val="Normal"/>
    <w:link w:val="parrafo1Car"/>
    <w:autoRedefine/>
    <w:rsid w:val="00622884"/>
    <w:pPr>
      <w:numPr>
        <w:numId w:val="25"/>
      </w:numPr>
      <w:spacing w:before="120" w:line="240" w:lineRule="auto"/>
    </w:pPr>
    <w:rPr>
      <w:rFonts w:ascii="Verdana" w:eastAsia="Times New Roman" w:hAnsi="Verdana" w:cs="Times New Roman"/>
      <w:bCs/>
      <w:noProof/>
      <w:szCs w:val="20"/>
      <w:lang w:eastAsia="es-ES"/>
    </w:rPr>
  </w:style>
  <w:style w:type="character" w:customStyle="1" w:styleId="parrafo1Car">
    <w:name w:val="parrafo1 Car"/>
    <w:link w:val="parrafo1"/>
    <w:rsid w:val="00622884"/>
    <w:rPr>
      <w:rFonts w:ascii="Verdana" w:eastAsia="Times New Roman" w:hAnsi="Verdana" w:cs="Times New Roman"/>
      <w:bCs/>
      <w:noProof/>
      <w:szCs w:val="20"/>
      <w:lang w:val="sq-AL" w:eastAsia="es-ES"/>
    </w:rPr>
  </w:style>
  <w:style w:type="paragraph" w:customStyle="1" w:styleId="guionado">
    <w:name w:val="guionado"/>
    <w:basedOn w:val="Normal"/>
    <w:autoRedefine/>
    <w:rsid w:val="00622884"/>
    <w:pPr>
      <w:numPr>
        <w:numId w:val="23"/>
      </w:numPr>
      <w:spacing w:before="120"/>
    </w:pPr>
    <w:rPr>
      <w:rFonts w:ascii="Calibri" w:eastAsia="Times New Roman" w:hAnsi="Calibri" w:cs="Times New Roman"/>
      <w:noProof/>
      <w:szCs w:val="20"/>
      <w:lang w:eastAsia="es-ES"/>
    </w:rPr>
  </w:style>
  <w:style w:type="paragraph" w:customStyle="1" w:styleId="epigrafe">
    <w:name w:val="epigrafe"/>
    <w:basedOn w:val="Normal"/>
    <w:rsid w:val="00622884"/>
    <w:pPr>
      <w:spacing w:before="120" w:after="0"/>
      <w:jc w:val="center"/>
    </w:pPr>
    <w:rPr>
      <w:rFonts w:ascii="Verdana" w:eastAsia="Calibri" w:hAnsi="Verdana" w:cs="Times-Roman"/>
      <w:noProof/>
      <w:sz w:val="16"/>
      <w:szCs w:val="20"/>
      <w:lang w:eastAsia="es-ES"/>
    </w:rPr>
  </w:style>
  <w:style w:type="paragraph" w:customStyle="1" w:styleId="oman">
    <w:name w:val="oman"/>
    <w:basedOn w:val="Normal"/>
    <w:link w:val="omanCar"/>
    <w:rsid w:val="00622884"/>
    <w:pPr>
      <w:spacing w:before="120" w:after="240"/>
    </w:pPr>
    <w:rPr>
      <w:rFonts w:ascii="Verdana" w:eastAsia="Times New Roman" w:hAnsi="Verdana" w:cs="Times New Roman"/>
      <w:noProof/>
      <w:sz w:val="20"/>
      <w:szCs w:val="20"/>
      <w:lang w:val="es-ES_tradnl" w:eastAsia="es-ES"/>
    </w:rPr>
  </w:style>
  <w:style w:type="character" w:customStyle="1" w:styleId="omanCar">
    <w:name w:val="oman Car"/>
    <w:link w:val="oman"/>
    <w:locked/>
    <w:rsid w:val="00622884"/>
    <w:rPr>
      <w:rFonts w:ascii="Verdana" w:eastAsia="Times New Roman" w:hAnsi="Verdana" w:cs="Times New Roman"/>
      <w:noProof/>
      <w:sz w:val="20"/>
      <w:szCs w:val="20"/>
      <w:lang w:val="es-ES_tradnl" w:eastAsia="es-ES"/>
    </w:rPr>
  </w:style>
  <w:style w:type="numbering" w:customStyle="1" w:styleId="EstiloConvietas">
    <w:name w:val="Estilo Con viñetas"/>
    <w:rsid w:val="00622884"/>
    <w:pPr>
      <w:numPr>
        <w:numId w:val="24"/>
      </w:numPr>
    </w:pPr>
  </w:style>
  <w:style w:type="table" w:customStyle="1" w:styleId="MediumGrid2-Accent32">
    <w:name w:val="Medium Grid 2 - Accent 32"/>
    <w:basedOn w:val="TableNormal"/>
    <w:uiPriority w:val="68"/>
    <w:rsid w:val="00622884"/>
    <w:pPr>
      <w:spacing w:after="0" w:line="240" w:lineRule="auto"/>
    </w:pPr>
    <w:rPr>
      <w:rFonts w:ascii="Cambria" w:eastAsia="Times New Roman" w:hAnsi="Cambria" w:cs="Times New Roman"/>
      <w:color w:val="000000"/>
      <w:sz w:val="20"/>
      <w:szCs w:val="20"/>
      <w:lang w:val="es-EC" w:eastAsia="es-ES_tradnl"/>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List2-Accent3">
    <w:name w:val="Medium List 2 Accent 3"/>
    <w:basedOn w:val="TableNormal"/>
    <w:uiPriority w:val="66"/>
    <w:rsid w:val="00622884"/>
    <w:pPr>
      <w:spacing w:after="0" w:line="240" w:lineRule="auto"/>
    </w:pPr>
    <w:rPr>
      <w:rFonts w:ascii="Calibri Light" w:eastAsia="Times New Roman" w:hAnsi="Calibri Light" w:cs="Times New Roman"/>
      <w:color w:val="000000"/>
      <w:sz w:val="20"/>
      <w:szCs w:val="20"/>
      <w:lang w:val="es-EC" w:eastAsia="es-ES_tradnl"/>
    </w:rPr>
    <w:tblPr>
      <w:tblStyleRowBandSize w:val="1"/>
      <w:tblStyleColBandSize w:val="1"/>
      <w:tblBorders>
        <w:top w:val="single" w:sz="8" w:space="0" w:color="A5A5A5"/>
        <w:left w:val="single" w:sz="8" w:space="0" w:color="A5A5A5"/>
        <w:bottom w:val="single" w:sz="8" w:space="0" w:color="A5A5A5"/>
        <w:right w:val="single" w:sz="8" w:space="0" w:color="A5A5A5"/>
      </w:tblBorders>
    </w:tblPr>
    <w:tblStylePr w:type="firstRow">
      <w:rPr>
        <w:sz w:val="24"/>
        <w:szCs w:val="24"/>
      </w:rPr>
      <w:tblPr/>
      <w:tcPr>
        <w:tcBorders>
          <w:top w:val="nil"/>
          <w:left w:val="nil"/>
          <w:bottom w:val="single" w:sz="24" w:space="0" w:color="A5A5A5"/>
          <w:right w:val="nil"/>
          <w:insideH w:val="nil"/>
          <w:insideV w:val="nil"/>
        </w:tcBorders>
        <w:shd w:val="clear" w:color="auto" w:fill="FFFFFF"/>
      </w:tcPr>
    </w:tblStylePr>
    <w:tblStylePr w:type="lastRow">
      <w:tblPr/>
      <w:tcPr>
        <w:tcBorders>
          <w:top w:val="single" w:sz="8" w:space="0" w:color="A5A5A5"/>
          <w:left w:val="nil"/>
          <w:bottom w:val="nil"/>
          <w:right w:val="nil"/>
          <w:insideH w:val="nil"/>
          <w:insideV w:val="nil"/>
        </w:tcBorders>
        <w:shd w:val="clear" w:color="auto" w:fill="FFFFFF"/>
      </w:tcPr>
    </w:tblStylePr>
    <w:tblStylePr w:type="firstCol">
      <w:tblPr/>
      <w:tcPr>
        <w:tcBorders>
          <w:top w:val="nil"/>
          <w:left w:val="nil"/>
          <w:bottom w:val="nil"/>
          <w:right w:val="single" w:sz="8" w:space="0" w:color="A5A5A5"/>
          <w:insideH w:val="nil"/>
          <w:insideV w:val="nil"/>
        </w:tcBorders>
        <w:shd w:val="clear" w:color="auto" w:fill="FFFFFF"/>
      </w:tcPr>
    </w:tblStylePr>
    <w:tblStylePr w:type="lastCol">
      <w:tblPr/>
      <w:tcPr>
        <w:tcBorders>
          <w:top w:val="nil"/>
          <w:left w:val="single" w:sz="8" w:space="0" w:color="A5A5A5"/>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8E8E8"/>
      </w:tcPr>
    </w:tblStylePr>
    <w:tblStylePr w:type="band1Horz">
      <w:tblPr/>
      <w:tcPr>
        <w:tcBorders>
          <w:top w:val="nil"/>
          <w:bottom w:val="nil"/>
          <w:insideH w:val="nil"/>
          <w:insideV w:val="nil"/>
        </w:tcBorders>
        <w:shd w:val="clear" w:color="auto" w:fill="E8E8E8"/>
      </w:tcPr>
    </w:tblStylePr>
    <w:tblStylePr w:type="nwCell">
      <w:tblPr/>
      <w:tcPr>
        <w:shd w:val="clear" w:color="auto" w:fill="FFFFFF"/>
      </w:tcPr>
    </w:tblStylePr>
    <w:tblStylePr w:type="swCell">
      <w:tblPr/>
      <w:tcPr>
        <w:tcBorders>
          <w:top w:val="nil"/>
        </w:tcBorders>
      </w:tcPr>
    </w:tblStylePr>
  </w:style>
  <w:style w:type="table" w:styleId="ColorfulShading-Accent3">
    <w:name w:val="Colorful Shading Accent 3"/>
    <w:basedOn w:val="TableNormal"/>
    <w:uiPriority w:val="71"/>
    <w:unhideWhenUsed/>
    <w:rsid w:val="00622884"/>
    <w:pPr>
      <w:spacing w:after="0" w:line="240" w:lineRule="auto"/>
    </w:pPr>
    <w:rPr>
      <w:rFonts w:ascii="Calibri" w:eastAsia="Calibri" w:hAnsi="Calibri" w:cs="Times New Roman"/>
      <w:color w:val="000000"/>
      <w:sz w:val="20"/>
      <w:szCs w:val="20"/>
      <w:lang w:val="es-EC" w:eastAsia="es-ES_tradnl"/>
    </w:rPr>
    <w:tblPr>
      <w:tblStyleRowBandSize w:val="1"/>
      <w:tblStyleColBandSize w:val="1"/>
      <w:tblBorders>
        <w:top w:val="single" w:sz="24" w:space="0" w:color="FFC000"/>
        <w:left w:val="single" w:sz="4" w:space="0" w:color="A5A5A5"/>
        <w:bottom w:val="single" w:sz="4" w:space="0" w:color="A5A5A5"/>
        <w:right w:val="single" w:sz="4" w:space="0" w:color="A5A5A5"/>
        <w:insideH w:val="single" w:sz="4" w:space="0" w:color="FFFFFF"/>
        <w:insideV w:val="single" w:sz="4" w:space="0" w:color="FFFFFF"/>
      </w:tblBorders>
    </w:tblPr>
    <w:tcPr>
      <w:shd w:val="clear" w:color="auto" w:fill="F6F6F6"/>
    </w:tcPr>
    <w:tblStylePr w:type="firstRow">
      <w:rPr>
        <w:b/>
        <w:bCs/>
      </w:rPr>
      <w:tblPr/>
      <w:tcPr>
        <w:tcBorders>
          <w:top w:val="nil"/>
          <w:left w:val="nil"/>
          <w:bottom w:val="single" w:sz="24" w:space="0" w:color="FFC000"/>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636363"/>
      </w:tcPr>
    </w:tblStylePr>
    <w:tblStylePr w:type="firstCol">
      <w:rPr>
        <w:color w:val="FFFFFF"/>
      </w:rPr>
      <w:tblPr/>
      <w:tcPr>
        <w:tcBorders>
          <w:top w:val="nil"/>
          <w:left w:val="nil"/>
          <w:bottom w:val="nil"/>
          <w:right w:val="nil"/>
          <w:insideH w:val="single" w:sz="4" w:space="0" w:color="636363"/>
          <w:insideV w:val="nil"/>
        </w:tcBorders>
        <w:shd w:val="clear" w:color="auto" w:fill="636363"/>
      </w:tcPr>
    </w:tblStylePr>
    <w:tblStylePr w:type="lastCol">
      <w:rPr>
        <w:color w:val="FFFFFF"/>
      </w:rPr>
      <w:tblPr/>
      <w:tcPr>
        <w:tcBorders>
          <w:top w:val="nil"/>
          <w:left w:val="nil"/>
          <w:bottom w:val="nil"/>
          <w:right w:val="nil"/>
          <w:insideH w:val="nil"/>
          <w:insideV w:val="nil"/>
        </w:tcBorders>
        <w:shd w:val="clear" w:color="auto" w:fill="636363"/>
      </w:tcPr>
    </w:tblStylePr>
    <w:tblStylePr w:type="band1Vert">
      <w:tblPr/>
      <w:tcPr>
        <w:shd w:val="clear" w:color="auto" w:fill="DBDBDB"/>
      </w:tcPr>
    </w:tblStylePr>
    <w:tblStylePr w:type="band1Horz">
      <w:tblPr/>
      <w:tcPr>
        <w:shd w:val="clear" w:color="auto" w:fill="D2D2D2"/>
      </w:tcPr>
    </w:tblStylePr>
  </w:style>
  <w:style w:type="paragraph" w:customStyle="1" w:styleId="funotentext">
    <w:name w:val="fußnotentext"/>
    <w:basedOn w:val="Normal"/>
    <w:rsid w:val="00622884"/>
    <w:pPr>
      <w:widowControl w:val="0"/>
      <w:autoSpaceDE w:val="0"/>
      <w:autoSpaceDN w:val="0"/>
      <w:spacing w:after="0" w:line="240" w:lineRule="auto"/>
      <w:jc w:val="left"/>
    </w:pPr>
    <w:rPr>
      <w:rFonts w:ascii="Courier" w:eastAsia="Times New Roman" w:hAnsi="Courier" w:cs="Courier"/>
      <w:noProof/>
      <w:sz w:val="24"/>
      <w:szCs w:val="24"/>
      <w:lang w:val="de-DE" w:eastAsia="es-MX"/>
    </w:rPr>
  </w:style>
  <w:style w:type="paragraph" w:customStyle="1" w:styleId="Ttulo51">
    <w:name w:val="Título 51"/>
    <w:basedOn w:val="Normal"/>
    <w:next w:val="Normal"/>
    <w:uiPriority w:val="9"/>
    <w:unhideWhenUsed/>
    <w:rsid w:val="00622884"/>
    <w:pPr>
      <w:keepNext/>
      <w:keepLines/>
      <w:shd w:val="clear" w:color="auto" w:fill="FDE9D9"/>
      <w:spacing w:before="40" w:after="0"/>
      <w:outlineLvl w:val="4"/>
    </w:pPr>
    <w:rPr>
      <w:rFonts w:ascii="Calibri Light" w:eastAsia="Times New Roman" w:hAnsi="Calibri Light" w:cs="Times New Roman"/>
      <w:b/>
      <w:noProof/>
      <w:sz w:val="20"/>
      <w:szCs w:val="20"/>
      <w:lang w:eastAsia="en-US"/>
    </w:rPr>
  </w:style>
  <w:style w:type="paragraph" w:customStyle="1" w:styleId="Ttulo71">
    <w:name w:val="Título 71"/>
    <w:basedOn w:val="Normal"/>
    <w:next w:val="Normal"/>
    <w:uiPriority w:val="9"/>
    <w:semiHidden/>
    <w:unhideWhenUsed/>
    <w:qFormat/>
    <w:rsid w:val="00622884"/>
    <w:pPr>
      <w:keepNext/>
      <w:keepLines/>
      <w:spacing w:before="40" w:after="0"/>
      <w:outlineLvl w:val="6"/>
    </w:pPr>
    <w:rPr>
      <w:rFonts w:ascii="Calibri Light" w:eastAsia="Times New Roman" w:hAnsi="Calibri Light" w:cs="Times New Roman"/>
      <w:i/>
      <w:iCs/>
      <w:noProof/>
      <w:color w:val="243F60"/>
      <w:sz w:val="20"/>
      <w:szCs w:val="20"/>
      <w:lang w:eastAsia="en-US"/>
    </w:rPr>
  </w:style>
  <w:style w:type="character" w:customStyle="1" w:styleId="Hipervnculovisitado1">
    <w:name w:val="Hipervínculo visitado1"/>
    <w:uiPriority w:val="99"/>
    <w:semiHidden/>
    <w:unhideWhenUsed/>
    <w:rsid w:val="00622884"/>
    <w:rPr>
      <w:color w:val="800080"/>
      <w:u w:val="single"/>
    </w:rPr>
  </w:style>
  <w:style w:type="table" w:customStyle="1" w:styleId="Listaclara-nfasis32">
    <w:name w:val="Lista clara - Énfasis 32"/>
    <w:basedOn w:val="TableNormal"/>
    <w:next w:val="LightList-Accent3"/>
    <w:uiPriority w:val="61"/>
    <w:rsid w:val="00622884"/>
    <w:pPr>
      <w:spacing w:after="0" w:line="240" w:lineRule="auto"/>
    </w:pPr>
    <w:rPr>
      <w:rFonts w:ascii="Calibri" w:eastAsia="Calibri" w:hAnsi="Calibri" w:cs="Times New Roman"/>
      <w:sz w:val="20"/>
      <w:szCs w:val="20"/>
      <w:lang w:val="en-GB" w:eastAsia="es-ES_tradnl"/>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Sombreadomedio1-nfasis321">
    <w:name w:val="Sombreado medio 1 - Énfasis 321"/>
    <w:basedOn w:val="TableNormal"/>
    <w:next w:val="MediumShading1-Accent3"/>
    <w:uiPriority w:val="63"/>
    <w:rsid w:val="00622884"/>
    <w:pPr>
      <w:spacing w:after="0" w:line="240" w:lineRule="auto"/>
    </w:pPr>
    <w:rPr>
      <w:rFonts w:ascii="Calibri" w:eastAsia="Calibri" w:hAnsi="Calibri" w:cs="Times New Roman"/>
      <w:sz w:val="20"/>
      <w:szCs w:val="20"/>
      <w:lang w:val="es-EC" w:eastAsia="es-ES_tradnl"/>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paragraph" w:customStyle="1" w:styleId="Textoindependiente21">
    <w:name w:val="Texto independiente 21"/>
    <w:basedOn w:val="Normal"/>
    <w:next w:val="BodyText2"/>
    <w:uiPriority w:val="99"/>
    <w:unhideWhenUsed/>
    <w:rsid w:val="00622884"/>
    <w:pPr>
      <w:widowControl w:val="0"/>
      <w:overflowPunct w:val="0"/>
      <w:adjustRightInd w:val="0"/>
      <w:spacing w:before="120" w:line="480" w:lineRule="auto"/>
    </w:pPr>
    <w:rPr>
      <w:rFonts w:ascii="Times New Roman" w:eastAsia="Times New Roman" w:hAnsi="Times New Roman" w:cs="Times New Roman"/>
      <w:noProof/>
      <w:kern w:val="28"/>
      <w:sz w:val="24"/>
      <w:szCs w:val="24"/>
      <w:lang w:eastAsia="en-US"/>
    </w:rPr>
  </w:style>
  <w:style w:type="table" w:customStyle="1" w:styleId="Listavistosa-nfasis11">
    <w:name w:val="Lista vistosa - Énfasis 11"/>
    <w:basedOn w:val="TableNormal"/>
    <w:next w:val="ColorfulList-Accent1"/>
    <w:uiPriority w:val="34"/>
    <w:qFormat/>
    <w:rsid w:val="00622884"/>
    <w:pPr>
      <w:spacing w:after="0" w:line="240" w:lineRule="auto"/>
    </w:pPr>
    <w:rPr>
      <w:rFonts w:ascii="Times New Roman" w:eastAsia="Times New Roman" w:hAnsi="Times New Roman" w:cs="Times New Roman"/>
      <w:color w:val="000000"/>
      <w:sz w:val="20"/>
      <w:szCs w:val="20"/>
      <w:lang w:eastAsia="es-ES_tradnl" w:bidi="th-TH"/>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customStyle="1" w:styleId="Sombreadoclaro-nfasis311">
    <w:name w:val="Sombreado claro - Énfasis 311"/>
    <w:basedOn w:val="TableNormal"/>
    <w:next w:val="LightShading-Accent3"/>
    <w:uiPriority w:val="60"/>
    <w:rsid w:val="00622884"/>
    <w:pPr>
      <w:spacing w:after="0" w:line="240" w:lineRule="auto"/>
    </w:pPr>
    <w:rPr>
      <w:rFonts w:ascii="Times New Roman" w:eastAsia="Calibri" w:hAnsi="Times New Roman" w:cs="Times New Roman"/>
      <w:color w:val="76923C"/>
      <w:sz w:val="20"/>
      <w:szCs w:val="20"/>
      <w:lang w:val="es-EC" w:eastAsia="es-ES"/>
    </w:rPr>
    <w:tblPr>
      <w:tblStyleRowBandSize w:val="1"/>
      <w:tblStyleColBandSize w:val="1"/>
      <w:tblBorders>
        <w:top w:val="single" w:sz="8" w:space="0" w:color="9BBB59"/>
        <w:bottom w:val="single" w:sz="8" w:space="0" w:color="9BBB59"/>
      </w:tblBorders>
    </w:tblPr>
    <w:tblStylePr w:type="firstRow">
      <w:pPr>
        <w:spacing w:before="0" w:after="0"/>
      </w:pPr>
      <w:rPr>
        <w:rFonts w:cs="Times New Roman"/>
        <w:b/>
        <w:bCs/>
      </w:rPr>
      <w:tblPr/>
      <w:tcPr>
        <w:tcBorders>
          <w:top w:val="single" w:sz="8" w:space="0" w:color="9BBB59"/>
          <w:left w:val="nil"/>
          <w:bottom w:val="single" w:sz="8" w:space="0" w:color="9BBB59"/>
          <w:right w:val="nil"/>
          <w:insideH w:val="nil"/>
          <w:insideV w:val="nil"/>
        </w:tcBorders>
      </w:tcPr>
    </w:tblStylePr>
    <w:tblStylePr w:type="lastRow">
      <w:pPr>
        <w:spacing w:before="0" w:after="0"/>
      </w:pPr>
      <w:rPr>
        <w:rFonts w:cs="Times New Roman"/>
        <w:b/>
        <w:bCs/>
      </w:rPr>
      <w:tblPr/>
      <w:tcPr>
        <w:tcBorders>
          <w:top w:val="single" w:sz="8" w:space="0" w:color="9BBB59"/>
          <w:left w:val="nil"/>
          <w:bottom w:val="single" w:sz="8" w:space="0" w:color="9BBB59"/>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E6EED5"/>
      </w:tcPr>
    </w:tblStylePr>
    <w:tblStylePr w:type="band1Horz">
      <w:rPr>
        <w:rFonts w:cs="Times New Roman"/>
      </w:rPr>
      <w:tblPr/>
      <w:tcPr>
        <w:tcBorders>
          <w:left w:val="nil"/>
          <w:right w:val="nil"/>
          <w:insideH w:val="nil"/>
          <w:insideV w:val="nil"/>
        </w:tcBorders>
        <w:shd w:val="clear" w:color="auto" w:fill="E6EED5"/>
      </w:tcPr>
    </w:tblStylePr>
  </w:style>
  <w:style w:type="paragraph" w:customStyle="1" w:styleId="Citadestacada1">
    <w:name w:val="Cita destacada1"/>
    <w:basedOn w:val="Normal"/>
    <w:next w:val="Normal"/>
    <w:uiPriority w:val="30"/>
    <w:rsid w:val="00622884"/>
    <w:pPr>
      <w:pBdr>
        <w:top w:val="single" w:sz="4" w:space="10" w:color="4F81BD"/>
        <w:bottom w:val="single" w:sz="4" w:space="10" w:color="4F81BD"/>
      </w:pBdr>
      <w:spacing w:before="360" w:after="360"/>
      <w:ind w:left="864" w:right="864"/>
      <w:jc w:val="center"/>
    </w:pPr>
    <w:rPr>
      <w:rFonts w:ascii="Calibri Light" w:eastAsia="Calibri" w:hAnsi="Calibri Light" w:cs="Times New Roman"/>
      <w:i/>
      <w:iCs/>
      <w:noProof/>
      <w:color w:val="4F81BD"/>
      <w:sz w:val="20"/>
      <w:szCs w:val="20"/>
      <w:lang w:eastAsia="en-US"/>
    </w:rPr>
  </w:style>
  <w:style w:type="table" w:customStyle="1" w:styleId="Listamedia2-nfasis31">
    <w:name w:val="Lista media 2 - Énfasis 31"/>
    <w:basedOn w:val="TableNormal"/>
    <w:next w:val="MediumList2-Accent3"/>
    <w:uiPriority w:val="66"/>
    <w:rsid w:val="00622884"/>
    <w:pPr>
      <w:spacing w:after="0" w:line="240" w:lineRule="auto"/>
    </w:pPr>
    <w:rPr>
      <w:rFonts w:ascii="Century Gothic" w:eastAsia="Times New Roman" w:hAnsi="Century Gothic" w:cs="Times New Roman"/>
      <w:color w:val="000000"/>
      <w:sz w:val="20"/>
      <w:szCs w:val="20"/>
      <w:lang w:val="es-EC" w:eastAsia="es-ES_tradnl"/>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customStyle="1" w:styleId="Sombreadovistoso-nfasis31">
    <w:name w:val="Sombreado vistoso - Énfasis 31"/>
    <w:basedOn w:val="TableNormal"/>
    <w:next w:val="ColorfulShading-Accent3"/>
    <w:uiPriority w:val="71"/>
    <w:unhideWhenUsed/>
    <w:rsid w:val="00622884"/>
    <w:pPr>
      <w:spacing w:after="0" w:line="240" w:lineRule="auto"/>
    </w:pPr>
    <w:rPr>
      <w:rFonts w:ascii="Calibri" w:eastAsia="Calibri" w:hAnsi="Calibri" w:cs="Times New Roman"/>
      <w:color w:val="000000"/>
      <w:sz w:val="20"/>
      <w:szCs w:val="20"/>
      <w:lang w:val="es-EC" w:eastAsia="es-ES_tradnl"/>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character" w:customStyle="1" w:styleId="CitadestacadaCar1">
    <w:name w:val="Cita destacada Car1"/>
    <w:uiPriority w:val="30"/>
    <w:rsid w:val="00622884"/>
    <w:rPr>
      <w:rFonts w:ascii="Times New Roman" w:eastAsia="Times New Roman" w:hAnsi="Times New Roman" w:cs="Times New Roman"/>
      <w:i/>
      <w:iCs/>
      <w:color w:val="4472C4"/>
      <w:sz w:val="20"/>
      <w:szCs w:val="20"/>
      <w:lang w:val="es-ES_tradnl" w:eastAsia="es-ES"/>
    </w:rPr>
  </w:style>
  <w:style w:type="character" w:customStyle="1" w:styleId="Ttulo5Car1">
    <w:name w:val="Título 5 Car1"/>
    <w:uiPriority w:val="9"/>
    <w:semiHidden/>
    <w:rsid w:val="00622884"/>
    <w:rPr>
      <w:rFonts w:ascii="Calibri Light" w:eastAsia="Times New Roman" w:hAnsi="Calibri Light" w:cs="Times New Roman"/>
      <w:color w:val="2F5496"/>
      <w:sz w:val="20"/>
      <w:szCs w:val="20"/>
      <w:lang w:val="es-ES_tradnl" w:eastAsia="es-ES"/>
    </w:rPr>
  </w:style>
  <w:style w:type="character" w:customStyle="1" w:styleId="Ttulo7Car1">
    <w:name w:val="Título 7 Car1"/>
    <w:uiPriority w:val="9"/>
    <w:semiHidden/>
    <w:rsid w:val="00622884"/>
    <w:rPr>
      <w:rFonts w:ascii="Calibri Light" w:eastAsia="Times New Roman" w:hAnsi="Calibri Light" w:cs="Times New Roman"/>
      <w:i/>
      <w:iCs/>
      <w:color w:val="1F3763"/>
      <w:sz w:val="20"/>
      <w:szCs w:val="20"/>
      <w:lang w:val="es-ES_tradnl" w:eastAsia="es-ES"/>
    </w:rPr>
  </w:style>
  <w:style w:type="character" w:customStyle="1" w:styleId="PuestoCar1">
    <w:name w:val="Puesto Car1"/>
    <w:uiPriority w:val="10"/>
    <w:rsid w:val="00622884"/>
    <w:rPr>
      <w:rFonts w:ascii="Calibri Light" w:eastAsia="Times New Roman" w:hAnsi="Calibri Light" w:cs="Times New Roman"/>
      <w:spacing w:val="-10"/>
      <w:kern w:val="28"/>
      <w:sz w:val="56"/>
      <w:szCs w:val="56"/>
      <w:lang w:val="es-ES_tradnl" w:eastAsia="es-ES"/>
    </w:rPr>
  </w:style>
  <w:style w:type="character" w:customStyle="1" w:styleId="Textoindependiente2Car1">
    <w:name w:val="Texto independiente 2 Car1"/>
    <w:uiPriority w:val="99"/>
    <w:semiHidden/>
    <w:rsid w:val="00622884"/>
    <w:rPr>
      <w:rFonts w:ascii="Times New Roman" w:eastAsia="Times New Roman" w:hAnsi="Times New Roman" w:cs="Times New Roman"/>
      <w:sz w:val="20"/>
      <w:szCs w:val="20"/>
      <w:lang w:val="es-ES_tradnl" w:eastAsia="es-ES"/>
    </w:rPr>
  </w:style>
  <w:style w:type="numbering" w:customStyle="1" w:styleId="Sinlista2">
    <w:name w:val="Sin lista2"/>
    <w:next w:val="NoList"/>
    <w:uiPriority w:val="99"/>
    <w:semiHidden/>
    <w:unhideWhenUsed/>
    <w:rsid w:val="00622884"/>
  </w:style>
  <w:style w:type="table" w:customStyle="1" w:styleId="Listavistosa-nfasis12">
    <w:name w:val="Lista vistosa - Énfasis 12"/>
    <w:basedOn w:val="TableNormal"/>
    <w:next w:val="ColorfulList-Accent1"/>
    <w:uiPriority w:val="34"/>
    <w:qFormat/>
    <w:rsid w:val="00622884"/>
    <w:pPr>
      <w:spacing w:after="0" w:line="240" w:lineRule="auto"/>
    </w:pPr>
    <w:rPr>
      <w:rFonts w:ascii="Times New Roman" w:eastAsia="Times New Roman" w:hAnsi="Times New Roman" w:cs="Times New Roman"/>
      <w:color w:val="000000"/>
      <w:sz w:val="20"/>
      <w:szCs w:val="20"/>
      <w:lang w:eastAsia="es-ES_tradnl" w:bidi="th-TH"/>
    </w:rPr>
    <w:tblPr>
      <w:tblStyleRowBandSize w:val="1"/>
      <w:tblStyleColBandSize w:val="1"/>
    </w:tblPr>
    <w:tcPr>
      <w:shd w:val="clear" w:color="auto" w:fill="EEF5FB"/>
    </w:tcPr>
    <w:tblStylePr w:type="firstRow">
      <w:rPr>
        <w:b/>
        <w:bCs/>
        <w:color w:val="FFFFFF"/>
      </w:rPr>
      <w:tblPr/>
      <w:tcPr>
        <w:tcBorders>
          <w:bottom w:val="single" w:sz="12" w:space="0" w:color="FFFFFF"/>
        </w:tcBorders>
        <w:shd w:val="clear" w:color="auto" w:fill="D25F12"/>
      </w:tcPr>
    </w:tblStylePr>
    <w:tblStylePr w:type="lastRow">
      <w:rPr>
        <w:b/>
        <w:bCs/>
        <w:color w:val="D25F1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cPr>
    </w:tblStylePr>
    <w:tblStylePr w:type="band1Horz">
      <w:tblPr/>
      <w:tcPr>
        <w:shd w:val="clear" w:color="auto" w:fill="DEEAF6"/>
      </w:tcPr>
    </w:tblStylePr>
  </w:style>
  <w:style w:type="table" w:customStyle="1" w:styleId="Sombreadoclaro-nfasis312">
    <w:name w:val="Sombreado claro - Énfasis 312"/>
    <w:basedOn w:val="TableNormal"/>
    <w:next w:val="LightShading-Accent3"/>
    <w:uiPriority w:val="60"/>
    <w:rsid w:val="00622884"/>
    <w:pPr>
      <w:spacing w:after="0" w:line="240" w:lineRule="auto"/>
    </w:pPr>
    <w:rPr>
      <w:rFonts w:ascii="Times New Roman" w:eastAsia="Calibri" w:hAnsi="Times New Roman" w:cs="Times New Roman"/>
      <w:color w:val="76923C"/>
      <w:sz w:val="20"/>
      <w:szCs w:val="20"/>
      <w:lang w:val="es-EC" w:eastAsia="es-ES"/>
    </w:rPr>
    <w:tblPr>
      <w:tblStyleRowBandSize w:val="1"/>
      <w:tblStyleColBandSize w:val="1"/>
      <w:tblBorders>
        <w:top w:val="single" w:sz="8" w:space="0" w:color="9BBB59"/>
        <w:bottom w:val="single" w:sz="8" w:space="0" w:color="9BBB59"/>
      </w:tblBorders>
    </w:tblPr>
    <w:tblStylePr w:type="firstRow">
      <w:pPr>
        <w:spacing w:before="0" w:after="0"/>
      </w:pPr>
      <w:rPr>
        <w:rFonts w:cs="Times New Roman"/>
        <w:b/>
        <w:bCs/>
      </w:rPr>
      <w:tblPr/>
      <w:tcPr>
        <w:tcBorders>
          <w:top w:val="single" w:sz="8" w:space="0" w:color="9BBB59"/>
          <w:left w:val="nil"/>
          <w:bottom w:val="single" w:sz="8" w:space="0" w:color="9BBB59"/>
          <w:right w:val="nil"/>
          <w:insideH w:val="nil"/>
          <w:insideV w:val="nil"/>
        </w:tcBorders>
      </w:tcPr>
    </w:tblStylePr>
    <w:tblStylePr w:type="lastRow">
      <w:pPr>
        <w:spacing w:before="0" w:after="0"/>
      </w:pPr>
      <w:rPr>
        <w:rFonts w:cs="Times New Roman"/>
        <w:b/>
        <w:bCs/>
      </w:rPr>
      <w:tblPr/>
      <w:tcPr>
        <w:tcBorders>
          <w:top w:val="single" w:sz="8" w:space="0" w:color="9BBB59"/>
          <w:left w:val="nil"/>
          <w:bottom w:val="single" w:sz="8" w:space="0" w:color="9BBB59"/>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E6EED5"/>
      </w:tcPr>
    </w:tblStylePr>
    <w:tblStylePr w:type="band1Horz">
      <w:rPr>
        <w:rFonts w:cs="Times New Roman"/>
      </w:rPr>
      <w:tblPr/>
      <w:tcPr>
        <w:tcBorders>
          <w:left w:val="nil"/>
          <w:right w:val="nil"/>
          <w:insideH w:val="nil"/>
          <w:insideV w:val="nil"/>
        </w:tcBorders>
        <w:shd w:val="clear" w:color="auto" w:fill="E6EED5"/>
      </w:tcPr>
    </w:tblStylePr>
  </w:style>
  <w:style w:type="numbering" w:customStyle="1" w:styleId="EstiloConvietas1">
    <w:name w:val="Estilo Con viñetas1"/>
    <w:rsid w:val="00622884"/>
  </w:style>
  <w:style w:type="character" w:customStyle="1" w:styleId="Mencinsinresolver1">
    <w:name w:val="Mención sin resolver1"/>
    <w:uiPriority w:val="99"/>
    <w:semiHidden/>
    <w:unhideWhenUsed/>
    <w:rsid w:val="00622884"/>
    <w:rPr>
      <w:color w:val="808080"/>
      <w:shd w:val="clear" w:color="auto" w:fill="E6E6E6"/>
    </w:rPr>
  </w:style>
  <w:style w:type="table" w:customStyle="1" w:styleId="Tabladecuadrcula5oscura-nfasis32">
    <w:name w:val="Tabla de cuadrícula 5 oscura - Énfasis 32"/>
    <w:basedOn w:val="TableNormal"/>
    <w:uiPriority w:val="50"/>
    <w:rsid w:val="00622884"/>
    <w:pPr>
      <w:spacing w:after="0" w:line="240" w:lineRule="auto"/>
    </w:pPr>
    <w:rPr>
      <w:rFonts w:ascii="Calibri" w:eastAsia="Calibri" w:hAnsi="Calibri" w:cs="Times New Roman"/>
      <w:sz w:val="20"/>
      <w:szCs w:val="20"/>
      <w:lang w:val="es-EC" w:eastAsia="es-ES_tradnl"/>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DEDE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A5A5A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A5A5A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A5A5A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A5A5A5"/>
      </w:tcPr>
    </w:tblStylePr>
    <w:tblStylePr w:type="band1Vert">
      <w:tblPr/>
      <w:tcPr>
        <w:shd w:val="clear" w:color="auto" w:fill="DBDBDB"/>
      </w:tcPr>
    </w:tblStylePr>
    <w:tblStylePr w:type="band1Horz">
      <w:tblPr/>
      <w:tcPr>
        <w:shd w:val="clear" w:color="auto" w:fill="DBDBDB"/>
      </w:tcPr>
    </w:tblStylePr>
  </w:style>
  <w:style w:type="paragraph" w:customStyle="1" w:styleId="Companyprofile-Textboxtext">
    <w:name w:val="Company profile - Text box text"/>
    <w:rsid w:val="00622884"/>
    <w:pPr>
      <w:tabs>
        <w:tab w:val="right" w:pos="8647"/>
      </w:tabs>
      <w:spacing w:after="60" w:line="240" w:lineRule="auto"/>
    </w:pPr>
    <w:rPr>
      <w:rFonts w:ascii="Arial" w:eastAsia="Times New Roman" w:hAnsi="Arial" w:cs="Times New Roman"/>
      <w:color w:val="000000"/>
      <w:sz w:val="20"/>
      <w:szCs w:val="18"/>
      <w:lang w:val="en-GB" w:eastAsia="de-DE"/>
    </w:rPr>
  </w:style>
  <w:style w:type="paragraph" w:customStyle="1" w:styleId="Companyprofile-Text">
    <w:name w:val="Company profile - Text"/>
    <w:rsid w:val="00622884"/>
    <w:pPr>
      <w:spacing w:after="80" w:line="260" w:lineRule="exact"/>
      <w:jc w:val="both"/>
    </w:pPr>
    <w:rPr>
      <w:rFonts w:ascii="Arial" w:eastAsia="Calibri" w:hAnsi="Arial" w:cs="Arial"/>
      <w:sz w:val="20"/>
      <w:lang w:val="en-GB" w:eastAsia="de-DE"/>
    </w:rPr>
  </w:style>
  <w:style w:type="paragraph" w:customStyle="1" w:styleId="Companyprofile-Heading1">
    <w:name w:val="Company profile - Heading 1"/>
    <w:next w:val="Normal"/>
    <w:rsid w:val="00622884"/>
    <w:pPr>
      <w:pBdr>
        <w:bottom w:val="single" w:sz="4" w:space="1" w:color="E7E6E6"/>
      </w:pBdr>
      <w:spacing w:before="360" w:after="240" w:line="240" w:lineRule="auto"/>
    </w:pPr>
    <w:rPr>
      <w:rFonts w:ascii="Arial" w:eastAsia="Calibri" w:hAnsi="Arial" w:cs="Arial"/>
      <w:color w:val="E7E6E6"/>
      <w:spacing w:val="5"/>
      <w:kern w:val="28"/>
      <w:sz w:val="28"/>
      <w:szCs w:val="32"/>
      <w:lang w:val="en-GB" w:eastAsia="de-DE"/>
    </w:rPr>
  </w:style>
  <w:style w:type="paragraph" w:customStyle="1" w:styleId="Companyprofile-Formattingfigures">
    <w:name w:val="Company profile - Formatting figures"/>
    <w:rsid w:val="00622884"/>
    <w:pPr>
      <w:spacing w:before="120" w:after="120" w:line="240" w:lineRule="auto"/>
    </w:pPr>
    <w:rPr>
      <w:rFonts w:ascii="Calibri" w:eastAsia="Times New Roman" w:hAnsi="Calibri" w:cs="Calibri"/>
      <w:noProof/>
      <w:sz w:val="20"/>
      <w:szCs w:val="20"/>
      <w:lang w:val="en-GB" w:eastAsia="en-GB"/>
    </w:rPr>
  </w:style>
  <w:style w:type="paragraph" w:customStyle="1" w:styleId="Companyprofile-Heading2">
    <w:name w:val="Company profile - Heading 2"/>
    <w:rsid w:val="00622884"/>
    <w:pPr>
      <w:spacing w:before="240" w:after="120" w:line="240" w:lineRule="auto"/>
    </w:pPr>
    <w:rPr>
      <w:rFonts w:ascii="Arial" w:eastAsia="Calibri" w:hAnsi="Arial" w:cs="Arial"/>
      <w:b/>
      <w:color w:val="E7E6E6"/>
      <w:sz w:val="20"/>
      <w:lang w:val="pt-PT" w:eastAsia="pt-BR" w:bidi="pt-BR"/>
    </w:rPr>
  </w:style>
  <w:style w:type="paragraph" w:customStyle="1" w:styleId="Companyprofile-Textboxheadingsmall">
    <w:name w:val="Company profile - Text box heading small"/>
    <w:rsid w:val="00622884"/>
    <w:pPr>
      <w:spacing w:before="240" w:after="60" w:line="240" w:lineRule="auto"/>
    </w:pPr>
    <w:rPr>
      <w:rFonts w:ascii="Arial" w:eastAsia="Calibri" w:hAnsi="Arial" w:cs="Arial"/>
      <w:b/>
      <w:color w:val="E7E6E6"/>
      <w:sz w:val="19"/>
      <w:szCs w:val="19"/>
      <w:lang w:val="en-GB" w:eastAsia="pt-BR" w:bidi="pt-BR"/>
    </w:rPr>
  </w:style>
  <w:style w:type="paragraph" w:customStyle="1" w:styleId="Companyprofile-Textboxtextsmall">
    <w:name w:val="Company profile - Text box text small"/>
    <w:rsid w:val="00622884"/>
    <w:pPr>
      <w:spacing w:after="60" w:line="240" w:lineRule="auto"/>
    </w:pPr>
    <w:rPr>
      <w:rFonts w:ascii="Arial" w:eastAsia="Calibri" w:hAnsi="Arial" w:cs="Arial"/>
      <w:sz w:val="18"/>
      <w:szCs w:val="19"/>
      <w:lang w:val="en-GB" w:eastAsia="pt-BR" w:bidi="pt-BR"/>
    </w:rPr>
  </w:style>
  <w:style w:type="paragraph" w:customStyle="1" w:styleId="Companyprofile-Textboxbulletpointssmall">
    <w:name w:val="Company profile - Text box bulletpoints small"/>
    <w:rsid w:val="00622884"/>
    <w:pPr>
      <w:numPr>
        <w:numId w:val="26"/>
      </w:numPr>
      <w:spacing w:after="40" w:line="240" w:lineRule="auto"/>
      <w:ind w:left="113" w:hanging="113"/>
    </w:pPr>
    <w:rPr>
      <w:rFonts w:ascii="Arial" w:eastAsia="Calibri" w:hAnsi="Arial" w:cs="Arial"/>
      <w:sz w:val="18"/>
      <w:szCs w:val="18"/>
      <w:lang w:val="en-GB" w:eastAsia="pt-BR" w:bidi="pt-BR"/>
    </w:rPr>
  </w:style>
  <w:style w:type="paragraph" w:customStyle="1" w:styleId="Tableheadingblack">
    <w:name w:val="Table heading black"/>
    <w:uiPriority w:val="1"/>
    <w:rsid w:val="00622884"/>
    <w:pPr>
      <w:spacing w:after="0" w:line="240" w:lineRule="auto"/>
      <w:jc w:val="center"/>
    </w:pPr>
    <w:rPr>
      <w:rFonts w:ascii="Arial" w:eastAsia="Verdana" w:hAnsi="Arial" w:cs="Arial"/>
      <w:b/>
      <w:sz w:val="18"/>
      <w:szCs w:val="18"/>
    </w:rPr>
  </w:style>
  <w:style w:type="paragraph" w:customStyle="1" w:styleId="Tabletextleftsmall">
    <w:name w:val="Table text left small"/>
    <w:rsid w:val="00622884"/>
    <w:pPr>
      <w:spacing w:after="40" w:line="240" w:lineRule="auto"/>
    </w:pPr>
    <w:rPr>
      <w:rFonts w:ascii="Arial" w:eastAsia="Calibri" w:hAnsi="Arial" w:cs="Arial"/>
      <w:sz w:val="18"/>
      <w:szCs w:val="18"/>
      <w:lang w:val="en-GB"/>
    </w:rPr>
  </w:style>
  <w:style w:type="paragraph" w:customStyle="1" w:styleId="Tabletextcentredsmall">
    <w:name w:val="Table text centred small"/>
    <w:rsid w:val="00622884"/>
    <w:pPr>
      <w:spacing w:after="0" w:line="240" w:lineRule="auto"/>
      <w:jc w:val="center"/>
    </w:pPr>
    <w:rPr>
      <w:rFonts w:ascii="Arial" w:eastAsia="Times New Roman" w:hAnsi="Arial" w:cs="Times New Roman"/>
      <w:sz w:val="18"/>
      <w:szCs w:val="20"/>
      <w:lang w:val="en-GB" w:eastAsia="de-DE"/>
    </w:rPr>
  </w:style>
  <w:style w:type="paragraph" w:customStyle="1" w:styleId="Tablebulletssmall">
    <w:name w:val="Table bullets small"/>
    <w:rsid w:val="00622884"/>
    <w:pPr>
      <w:numPr>
        <w:numId w:val="27"/>
      </w:numPr>
      <w:spacing w:after="40" w:line="240" w:lineRule="auto"/>
      <w:ind w:left="170" w:hanging="170"/>
      <w:contextualSpacing/>
    </w:pPr>
    <w:rPr>
      <w:rFonts w:ascii="Arial" w:eastAsia="Times New Roman" w:hAnsi="Arial" w:cs="Times New Roman"/>
      <w:sz w:val="18"/>
      <w:szCs w:val="18"/>
      <w:lang w:val="en-GB" w:eastAsia="de-DE"/>
    </w:rPr>
  </w:style>
  <w:style w:type="paragraph" w:customStyle="1" w:styleId="AbstandzwischenReferenzen">
    <w:name w:val="Abstand zwischen Referenzen"/>
    <w:rsid w:val="00622884"/>
    <w:pPr>
      <w:spacing w:after="0" w:line="240" w:lineRule="auto"/>
    </w:pPr>
    <w:rPr>
      <w:rFonts w:ascii="Arial" w:eastAsia="Times New Roman" w:hAnsi="Arial" w:cs="Times New Roman"/>
      <w:sz w:val="12"/>
      <w:lang w:val="en-GB" w:eastAsia="de-DE"/>
    </w:rPr>
  </w:style>
  <w:style w:type="paragraph" w:customStyle="1" w:styleId="Tablebulletsindentedsmall">
    <w:name w:val="Table bullets indented small"/>
    <w:rsid w:val="00622884"/>
    <w:pPr>
      <w:numPr>
        <w:numId w:val="28"/>
      </w:numPr>
      <w:spacing w:after="40" w:line="240" w:lineRule="auto"/>
      <w:ind w:left="283" w:hanging="113"/>
      <w:contextualSpacing/>
    </w:pPr>
    <w:rPr>
      <w:rFonts w:ascii="Arial" w:eastAsia="Arial" w:hAnsi="Arial" w:cs="Arial"/>
      <w:sz w:val="18"/>
      <w:szCs w:val="18"/>
      <w:lang w:val="en-GB" w:eastAsia="de-DE"/>
    </w:rPr>
  </w:style>
  <w:style w:type="paragraph" w:customStyle="1" w:styleId="Tableheadingunderlineditalicssmall">
    <w:name w:val="Table heading underlined italics small"/>
    <w:rsid w:val="00622884"/>
    <w:pPr>
      <w:spacing w:before="40" w:after="40" w:line="240" w:lineRule="auto"/>
    </w:pPr>
    <w:rPr>
      <w:rFonts w:ascii="Arial" w:eastAsia="Times New Roman" w:hAnsi="Arial" w:cs="Times New Roman"/>
      <w:i/>
      <w:iCs/>
      <w:sz w:val="18"/>
      <w:szCs w:val="20"/>
      <w:u w:val="single"/>
      <w:lang w:val="en-GB" w:eastAsia="de-DE"/>
    </w:rPr>
  </w:style>
  <w:style w:type="paragraph" w:customStyle="1" w:styleId="7Enumerdos">
    <w:name w:val="7_Enumerdos"/>
    <w:basedOn w:val="7Bulletpoints"/>
    <w:link w:val="7EnumerdosCar"/>
    <w:qFormat/>
    <w:rsid w:val="00622884"/>
    <w:pPr>
      <w:numPr>
        <w:numId w:val="32"/>
      </w:numPr>
      <w:tabs>
        <w:tab w:val="num" w:pos="360"/>
        <w:tab w:val="num" w:pos="720"/>
      </w:tabs>
      <w:ind w:left="1074"/>
    </w:pPr>
    <w:rPr>
      <w:lang w:val="es"/>
    </w:rPr>
  </w:style>
  <w:style w:type="paragraph" w:customStyle="1" w:styleId="Tableheadingwhitesmall">
    <w:name w:val="Table heading white small"/>
    <w:rsid w:val="00622884"/>
    <w:pPr>
      <w:spacing w:after="0" w:line="240" w:lineRule="auto"/>
      <w:jc w:val="center"/>
    </w:pPr>
    <w:rPr>
      <w:rFonts w:ascii="Arial" w:eastAsia="Calibri" w:hAnsi="Arial" w:cs="Arial"/>
      <w:b/>
      <w:bCs/>
      <w:noProof/>
      <w:color w:val="FFFFFF"/>
      <w:sz w:val="18"/>
      <w:szCs w:val="18"/>
      <w:lang w:val="en-GB" w:eastAsia="de-DE"/>
    </w:rPr>
  </w:style>
  <w:style w:type="paragraph" w:customStyle="1" w:styleId="Tablenormaltextleft">
    <w:name w:val="Table: normal text left"/>
    <w:rsid w:val="00622884"/>
    <w:pPr>
      <w:spacing w:before="40" w:after="40" w:line="240" w:lineRule="auto"/>
      <w:ind w:right="113"/>
    </w:pPr>
    <w:rPr>
      <w:rFonts w:ascii="Arial" w:eastAsia="Times New Roman" w:hAnsi="Arial" w:cs="Arial"/>
      <w:sz w:val="18"/>
      <w:szCs w:val="18"/>
      <w:lang w:val="en-GB" w:eastAsia="de-DE"/>
    </w:rPr>
  </w:style>
  <w:style w:type="table" w:styleId="LightList-Accent5">
    <w:name w:val="Light List Accent 5"/>
    <w:basedOn w:val="TableNormal"/>
    <w:uiPriority w:val="61"/>
    <w:rsid w:val="00622884"/>
    <w:pPr>
      <w:spacing w:after="0" w:line="240" w:lineRule="auto"/>
    </w:pPr>
    <w:rPr>
      <w:rFonts w:ascii="Calibri" w:eastAsia="Calibri" w:hAnsi="Calibri" w:cs="Times New Roman"/>
      <w:sz w:val="20"/>
      <w:szCs w:val="20"/>
      <w:lang w:val="es-EC" w:eastAsia="es-ES_tradnl"/>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character" w:customStyle="1" w:styleId="Mencinsinresolver2">
    <w:name w:val="Mención sin resolver2"/>
    <w:uiPriority w:val="99"/>
    <w:semiHidden/>
    <w:unhideWhenUsed/>
    <w:rsid w:val="00622884"/>
    <w:rPr>
      <w:color w:val="808080"/>
      <w:shd w:val="clear" w:color="auto" w:fill="E6E6E6"/>
    </w:rPr>
  </w:style>
  <w:style w:type="character" w:customStyle="1" w:styleId="Mencinsinresolver3">
    <w:name w:val="Mención sin resolver3"/>
    <w:uiPriority w:val="99"/>
    <w:semiHidden/>
    <w:unhideWhenUsed/>
    <w:rsid w:val="00622884"/>
    <w:rPr>
      <w:color w:val="605E5C"/>
      <w:shd w:val="clear" w:color="auto" w:fill="E1DFDD"/>
    </w:rPr>
  </w:style>
  <w:style w:type="character" w:customStyle="1" w:styleId="A1">
    <w:name w:val="A1"/>
    <w:uiPriority w:val="99"/>
    <w:rsid w:val="00622884"/>
    <w:rPr>
      <w:rFonts w:cs="Myriad Pro Light"/>
      <w:color w:val="000000"/>
      <w:sz w:val="20"/>
      <w:szCs w:val="20"/>
    </w:rPr>
  </w:style>
  <w:style w:type="character" w:customStyle="1" w:styleId="A7">
    <w:name w:val="A7"/>
    <w:uiPriority w:val="99"/>
    <w:rsid w:val="00622884"/>
    <w:rPr>
      <w:rFonts w:cs="Myriad Pro Light"/>
      <w:color w:val="000000"/>
      <w:sz w:val="11"/>
      <w:szCs w:val="11"/>
    </w:rPr>
  </w:style>
  <w:style w:type="paragraph" w:customStyle="1" w:styleId="dTtulo">
    <w:name w:val="d_Título"/>
    <w:basedOn w:val="Normal"/>
    <w:link w:val="dTtuloCar"/>
    <w:rsid w:val="00622884"/>
    <w:pPr>
      <w:tabs>
        <w:tab w:val="right" w:pos="2552"/>
      </w:tabs>
      <w:spacing w:after="0" w:line="280" w:lineRule="exact"/>
      <w:ind w:left="72" w:right="-57"/>
      <w:jc w:val="left"/>
    </w:pPr>
    <w:rPr>
      <w:rFonts w:ascii="Arial" w:eastAsia="Times New Roman" w:hAnsi="Arial" w:cs="Times New Roman"/>
      <w:noProof/>
      <w:spacing w:val="-2"/>
      <w:sz w:val="20"/>
      <w:szCs w:val="20"/>
      <w:lang w:eastAsia="es-ES"/>
    </w:rPr>
  </w:style>
  <w:style w:type="character" w:customStyle="1" w:styleId="dTtuloCar">
    <w:name w:val="d_Título Car"/>
    <w:link w:val="dTtulo"/>
    <w:rsid w:val="00622884"/>
    <w:rPr>
      <w:rFonts w:ascii="Arial" w:eastAsia="Times New Roman" w:hAnsi="Arial" w:cs="Times New Roman"/>
      <w:noProof/>
      <w:spacing w:val="-2"/>
      <w:sz w:val="20"/>
      <w:szCs w:val="20"/>
      <w:lang w:val="sq-AL" w:eastAsia="es-ES"/>
    </w:rPr>
  </w:style>
  <w:style w:type="paragraph" w:customStyle="1" w:styleId="dNormalNegrita">
    <w:name w:val="d_Normal + Negrita"/>
    <w:basedOn w:val="Normal"/>
    <w:link w:val="dNormalNegritaCar"/>
    <w:rsid w:val="00622884"/>
    <w:pPr>
      <w:tabs>
        <w:tab w:val="right" w:pos="2552"/>
      </w:tabs>
      <w:spacing w:after="0" w:line="280" w:lineRule="exact"/>
      <w:ind w:left="72" w:right="-57"/>
      <w:jc w:val="left"/>
    </w:pPr>
    <w:rPr>
      <w:rFonts w:ascii="Arial" w:eastAsia="Times New Roman" w:hAnsi="Arial" w:cs="Arial"/>
      <w:b/>
      <w:bCs/>
      <w:noProof/>
      <w:spacing w:val="-2"/>
      <w:sz w:val="18"/>
      <w:szCs w:val="20"/>
      <w:lang w:val="es-ES_tradnl" w:eastAsia="es-ES"/>
    </w:rPr>
  </w:style>
  <w:style w:type="character" w:customStyle="1" w:styleId="dNormalNegritaCar">
    <w:name w:val="d_Normal + Negrita Car"/>
    <w:link w:val="dNormalNegrita"/>
    <w:rsid w:val="00622884"/>
    <w:rPr>
      <w:rFonts w:ascii="Arial" w:eastAsia="Times New Roman" w:hAnsi="Arial" w:cs="Arial"/>
      <w:b/>
      <w:bCs/>
      <w:noProof/>
      <w:spacing w:val="-2"/>
      <w:sz w:val="18"/>
      <w:szCs w:val="20"/>
      <w:lang w:val="es-ES_tradnl" w:eastAsia="es-ES"/>
    </w:rPr>
  </w:style>
  <w:style w:type="paragraph" w:customStyle="1" w:styleId="subtitulo40">
    <w:name w:val="subtitulo 4"/>
    <w:basedOn w:val="SubttuloFactor"/>
    <w:link w:val="subtitulo4Car0"/>
    <w:rsid w:val="00622884"/>
    <w:pPr>
      <w:numPr>
        <w:numId w:val="29"/>
      </w:numPr>
      <w:spacing w:after="120" w:line="240" w:lineRule="auto"/>
      <w:jc w:val="left"/>
      <w:outlineLvl w:val="2"/>
    </w:pPr>
  </w:style>
  <w:style w:type="character" w:customStyle="1" w:styleId="subtitulo4Car0">
    <w:name w:val="subtitulo 4 Car"/>
    <w:link w:val="subtitulo40"/>
    <w:rsid w:val="00622884"/>
    <w:rPr>
      <w:rFonts w:ascii="Aptos Display" w:eastAsia="Calibri Light" w:hAnsi="Aptos Display" w:cs="Times New Roman"/>
      <w:noProof/>
      <w:color w:val="1E3B59"/>
      <w:sz w:val="24"/>
      <w:szCs w:val="24"/>
      <w:lang w:val="sq-AL"/>
    </w:rPr>
  </w:style>
  <w:style w:type="table" w:customStyle="1" w:styleId="TableNormal3">
    <w:name w:val="Table Normal3"/>
    <w:uiPriority w:val="2"/>
    <w:semiHidden/>
    <w:unhideWhenUsed/>
    <w:qFormat/>
    <w:rsid w:val="00622884"/>
    <w:pPr>
      <w:widowControl w:val="0"/>
      <w:autoSpaceDE w:val="0"/>
      <w:autoSpaceDN w:val="0"/>
      <w:spacing w:after="0" w:line="240" w:lineRule="auto"/>
    </w:pPr>
    <w:rPr>
      <w:rFonts w:ascii="Aptos" w:eastAsia="Aptos" w:hAnsi="Aptos" w:cs="Arial"/>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622884"/>
    <w:pPr>
      <w:widowControl w:val="0"/>
      <w:autoSpaceDE w:val="0"/>
      <w:autoSpaceDN w:val="0"/>
      <w:spacing w:after="0" w:line="240" w:lineRule="auto"/>
    </w:pPr>
    <w:rPr>
      <w:rFonts w:ascii="Aptos" w:eastAsia="Aptos" w:hAnsi="Aptos" w:cs="Arial"/>
    </w:rPr>
    <w:tblPr>
      <w:tblInd w:w="0" w:type="dxa"/>
      <w:tblCellMar>
        <w:top w:w="0" w:type="dxa"/>
        <w:left w:w="0" w:type="dxa"/>
        <w:bottom w:w="0" w:type="dxa"/>
        <w:right w:w="0" w:type="dxa"/>
      </w:tblCellMar>
    </w:tblPr>
  </w:style>
  <w:style w:type="table" w:customStyle="1" w:styleId="Onopgemaaktetabel51">
    <w:name w:val="Onopgemaakte tabel 51"/>
    <w:basedOn w:val="TableNormal"/>
    <w:next w:val="PlainTable5"/>
    <w:uiPriority w:val="45"/>
    <w:rsid w:val="00622884"/>
    <w:pPr>
      <w:spacing w:after="0" w:line="240" w:lineRule="auto"/>
    </w:pPr>
    <w:rPr>
      <w:rFonts w:ascii="Aptos" w:eastAsia="Aptos" w:hAnsi="Aptos" w:cs="Arial"/>
      <w:sz w:val="20"/>
      <w:szCs w:val="20"/>
      <w:lang w:val="es-ES" w:eastAsia="sq-AL"/>
    </w:rPr>
    <w:tblPr>
      <w:tblStyleRowBandSize w:val="1"/>
      <w:tblStyleColBandSize w:val="1"/>
    </w:tblPr>
    <w:tblStylePr w:type="firstRow">
      <w:rPr>
        <w:rFonts w:ascii="Calibri Light" w:eastAsia="MS Gothic" w:hAnsi="Calibri Light" w:cs="Times New Roman"/>
        <w:i/>
        <w:iCs/>
        <w:sz w:val="26"/>
      </w:rPr>
      <w:tblPr/>
      <w:tcPr>
        <w:tcBorders>
          <w:bottom w:val="single" w:sz="4" w:space="0" w:color="7F7F7F"/>
        </w:tcBorders>
        <w:shd w:val="clear" w:color="auto" w:fill="FFFFFF"/>
      </w:tcPr>
    </w:tblStylePr>
    <w:tblStylePr w:type="lastRow">
      <w:rPr>
        <w:rFonts w:ascii="Calibri Light" w:eastAsia="MS Gothic" w:hAnsi="Calibri Light" w:cs="Times New Roman"/>
        <w:i/>
        <w:iCs/>
        <w:sz w:val="26"/>
      </w:rPr>
      <w:tblPr/>
      <w:tcPr>
        <w:tcBorders>
          <w:top w:val="single" w:sz="4" w:space="0" w:color="7F7F7F"/>
        </w:tcBorders>
        <w:shd w:val="clear" w:color="auto" w:fill="FFFFFF"/>
      </w:tcPr>
    </w:tblStylePr>
    <w:tblStylePr w:type="firstCol">
      <w:pPr>
        <w:jc w:val="right"/>
      </w:pPr>
      <w:rPr>
        <w:rFonts w:ascii="Calibri Light" w:eastAsia="MS Gothic" w:hAnsi="Calibri Light" w:cs="Times New Roman"/>
        <w:i/>
        <w:iCs/>
        <w:sz w:val="26"/>
      </w:rPr>
      <w:tblPr/>
      <w:tcPr>
        <w:tcBorders>
          <w:right w:val="single" w:sz="4" w:space="0" w:color="7F7F7F"/>
        </w:tcBorders>
        <w:shd w:val="clear" w:color="auto" w:fill="FFFFFF"/>
      </w:tcPr>
    </w:tblStylePr>
    <w:tblStylePr w:type="lastCol">
      <w:rPr>
        <w:rFonts w:ascii="Calibri Light" w:eastAsia="MS Gothic" w:hAnsi="Calibri Light"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Grid22">
    <w:name w:val="Table Grid22"/>
    <w:basedOn w:val="TableNormal"/>
    <w:next w:val="TableGrid"/>
    <w:uiPriority w:val="59"/>
    <w:rsid w:val="00622884"/>
    <w:pPr>
      <w:spacing w:after="0" w:line="240" w:lineRule="auto"/>
    </w:pPr>
    <w:rPr>
      <w:rFonts w:ascii="Times New Roman" w:eastAsia="Calibri" w:hAnsi="Times New Roman" w:cs="Times New Roman"/>
      <w:sz w:val="20"/>
      <w:szCs w:val="20"/>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ubtielebenadrukking1">
    <w:name w:val="Subtiele benadrukking1"/>
    <w:uiPriority w:val="19"/>
    <w:rsid w:val="00622884"/>
    <w:rPr>
      <w:i/>
      <w:iCs/>
      <w:color w:val="404040"/>
    </w:rPr>
  </w:style>
  <w:style w:type="character" w:customStyle="1" w:styleId="color11">
    <w:name w:val="color_11"/>
    <w:basedOn w:val="DefaultParagraphFont"/>
    <w:rsid w:val="00622884"/>
  </w:style>
  <w:style w:type="paragraph" w:customStyle="1" w:styleId="font80">
    <w:name w:val="font_8"/>
    <w:basedOn w:val="Normal"/>
    <w:rsid w:val="00622884"/>
    <w:pPr>
      <w:spacing w:before="100" w:beforeAutospacing="1" w:after="100" w:afterAutospacing="1" w:line="240" w:lineRule="auto"/>
      <w:jc w:val="left"/>
    </w:pPr>
    <w:rPr>
      <w:rFonts w:ascii="Times New Roman" w:eastAsia="Times New Roman" w:hAnsi="Times New Roman" w:cs="Times New Roman"/>
      <w:noProof/>
      <w:sz w:val="24"/>
      <w:szCs w:val="24"/>
      <w:lang w:eastAsia="es-ES"/>
    </w:rPr>
  </w:style>
  <w:style w:type="character" w:customStyle="1" w:styleId="Subtieleverwijzing1">
    <w:name w:val="Subtiele verwijzing1"/>
    <w:uiPriority w:val="31"/>
    <w:rsid w:val="00622884"/>
    <w:rPr>
      <w:rFonts w:ascii="Calibri Light" w:hAnsi="Calibri Light"/>
      <w:i/>
      <w:smallCaps/>
      <w:color w:val="1E3B59"/>
      <w:sz w:val="18"/>
    </w:rPr>
  </w:style>
  <w:style w:type="character" w:customStyle="1" w:styleId="Vermelding1">
    <w:name w:val="Vermelding1"/>
    <w:uiPriority w:val="99"/>
    <w:unhideWhenUsed/>
    <w:rsid w:val="00622884"/>
    <w:rPr>
      <w:color w:val="2B579A"/>
      <w:shd w:val="clear" w:color="auto" w:fill="E1DFDD"/>
    </w:rPr>
  </w:style>
  <w:style w:type="table" w:customStyle="1" w:styleId="TableNormal5">
    <w:name w:val="Table Normal5"/>
    <w:uiPriority w:val="2"/>
    <w:semiHidden/>
    <w:unhideWhenUsed/>
    <w:qFormat/>
    <w:rsid w:val="00622884"/>
    <w:pPr>
      <w:widowControl w:val="0"/>
      <w:autoSpaceDE w:val="0"/>
      <w:autoSpaceDN w:val="0"/>
      <w:spacing w:after="0" w:line="240" w:lineRule="auto"/>
    </w:pPr>
    <w:rPr>
      <w:rFonts w:ascii="Aptos" w:eastAsia="Aptos" w:hAnsi="Aptos" w:cs="Arial"/>
    </w:rPr>
    <w:tblPr>
      <w:tblInd w:w="0" w:type="dxa"/>
      <w:tblCellMar>
        <w:top w:w="0" w:type="dxa"/>
        <w:left w:w="0" w:type="dxa"/>
        <w:bottom w:w="0" w:type="dxa"/>
        <w:right w:w="0" w:type="dxa"/>
      </w:tblCellMar>
    </w:tblPr>
  </w:style>
  <w:style w:type="paragraph" w:customStyle="1" w:styleId="bullet-verde">
    <w:name w:val="bullet-verde"/>
    <w:basedOn w:val="Normal"/>
    <w:rsid w:val="00622884"/>
    <w:pPr>
      <w:spacing w:before="100" w:beforeAutospacing="1" w:after="100" w:afterAutospacing="1" w:line="240" w:lineRule="auto"/>
      <w:jc w:val="left"/>
    </w:pPr>
    <w:rPr>
      <w:rFonts w:ascii="Times New Roman" w:eastAsia="Times New Roman" w:hAnsi="Times New Roman" w:cs="Times New Roman"/>
      <w:noProof/>
      <w:sz w:val="24"/>
      <w:szCs w:val="24"/>
      <w:lang w:val="es-EC" w:eastAsia="es-EC"/>
    </w:rPr>
  </w:style>
  <w:style w:type="paragraph" w:customStyle="1" w:styleId="xmsolistparagraph">
    <w:name w:val="x_msolistparagraph"/>
    <w:basedOn w:val="Normal"/>
    <w:rsid w:val="00622884"/>
    <w:pPr>
      <w:spacing w:before="100" w:beforeAutospacing="1" w:after="100" w:afterAutospacing="1" w:line="240" w:lineRule="auto"/>
      <w:jc w:val="left"/>
    </w:pPr>
    <w:rPr>
      <w:rFonts w:ascii="Times New Roman" w:eastAsia="Times New Roman" w:hAnsi="Times New Roman" w:cs="Times New Roman"/>
      <w:noProof/>
      <w:sz w:val="24"/>
      <w:szCs w:val="24"/>
      <w:lang w:eastAsia="en-US"/>
    </w:rPr>
  </w:style>
  <w:style w:type="character" w:customStyle="1" w:styleId="7EnumerdosCar">
    <w:name w:val="7_Enumerdos Car"/>
    <w:link w:val="7Enumerdos"/>
    <w:rsid w:val="00622884"/>
    <w:rPr>
      <w:rFonts w:ascii="Calibri Light" w:eastAsia="SimSun" w:hAnsi="Calibri Light" w:cs="Calibri Light"/>
      <w:color w:val="1D3C5A"/>
      <w:sz w:val="20"/>
      <w:szCs w:val="20"/>
      <w:lang w:val="es" w:eastAsia="zh-CN"/>
    </w:rPr>
  </w:style>
  <w:style w:type="paragraph" w:customStyle="1" w:styleId="Puce1">
    <w:name w:val="Puce 1"/>
    <w:basedOn w:val="Normal"/>
    <w:rsid w:val="00622884"/>
    <w:pPr>
      <w:numPr>
        <w:numId w:val="30"/>
      </w:numPr>
      <w:spacing w:before="20" w:after="20" w:line="240" w:lineRule="auto"/>
      <w:ind w:left="284" w:hanging="284"/>
    </w:pPr>
    <w:rPr>
      <w:rFonts w:ascii="Arial" w:eastAsia="Times New Roman" w:hAnsi="Arial" w:cs="Times New Roman"/>
      <w:noProof/>
      <w:sz w:val="18"/>
      <w:szCs w:val="18"/>
      <w:lang w:eastAsia="fr-FR"/>
    </w:rPr>
  </w:style>
  <w:style w:type="character" w:customStyle="1" w:styleId="A2">
    <w:name w:val="A2"/>
    <w:uiPriority w:val="99"/>
    <w:rsid w:val="00622884"/>
    <w:rPr>
      <w:rFonts w:cs="Aller"/>
      <w:color w:val="000000"/>
      <w:sz w:val="21"/>
      <w:szCs w:val="21"/>
    </w:rPr>
  </w:style>
  <w:style w:type="paragraph" w:customStyle="1" w:styleId="msonormal0">
    <w:name w:val="msonormal"/>
    <w:basedOn w:val="Normal"/>
    <w:rsid w:val="00622884"/>
    <w:pPr>
      <w:spacing w:before="100" w:beforeAutospacing="1" w:after="100" w:afterAutospacing="1" w:line="240" w:lineRule="auto"/>
      <w:jc w:val="left"/>
    </w:pPr>
    <w:rPr>
      <w:rFonts w:ascii="Times New Roman" w:eastAsia="Times New Roman" w:hAnsi="Times New Roman" w:cs="Times New Roman"/>
      <w:noProof/>
      <w:sz w:val="24"/>
      <w:szCs w:val="24"/>
      <w:lang w:val="es-EC" w:eastAsia="es-EC"/>
    </w:rPr>
  </w:style>
  <w:style w:type="paragraph" w:customStyle="1" w:styleId="xl63">
    <w:name w:val="xl63"/>
    <w:basedOn w:val="Normal"/>
    <w:rsid w:val="00622884"/>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line="240" w:lineRule="auto"/>
      <w:textAlignment w:val="center"/>
    </w:pPr>
    <w:rPr>
      <w:rFonts w:ascii="Times New Roman" w:eastAsia="Times New Roman" w:hAnsi="Times New Roman" w:cs="Times New Roman"/>
      <w:noProof/>
      <w:color w:val="000000"/>
      <w:sz w:val="24"/>
      <w:szCs w:val="24"/>
      <w:lang w:val="es-EC" w:eastAsia="es-EC"/>
    </w:rPr>
  </w:style>
  <w:style w:type="paragraph" w:customStyle="1" w:styleId="xl64">
    <w:name w:val="xl64"/>
    <w:basedOn w:val="Normal"/>
    <w:rsid w:val="006228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noProof/>
      <w:color w:val="000000"/>
      <w:sz w:val="24"/>
      <w:szCs w:val="24"/>
      <w:lang w:val="es-EC" w:eastAsia="es-EC"/>
    </w:rPr>
  </w:style>
  <w:style w:type="paragraph" w:customStyle="1" w:styleId="xl65">
    <w:name w:val="xl65"/>
    <w:basedOn w:val="Normal"/>
    <w:rsid w:val="00622884"/>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noProof/>
      <w:color w:val="000000"/>
      <w:sz w:val="24"/>
      <w:szCs w:val="24"/>
      <w:lang w:val="es-EC" w:eastAsia="es-EC"/>
    </w:rPr>
  </w:style>
  <w:style w:type="paragraph" w:customStyle="1" w:styleId="xl66">
    <w:name w:val="xl66"/>
    <w:basedOn w:val="Normal"/>
    <w:rsid w:val="006228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noProof/>
      <w:color w:val="FFFFFF"/>
      <w:sz w:val="24"/>
      <w:szCs w:val="24"/>
      <w:lang w:val="es-EC" w:eastAsia="es-EC"/>
    </w:rPr>
  </w:style>
  <w:style w:type="paragraph" w:customStyle="1" w:styleId="xl67">
    <w:name w:val="xl67"/>
    <w:basedOn w:val="Normal"/>
    <w:rsid w:val="00622884"/>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noProof/>
      <w:color w:val="FFFFFF"/>
      <w:sz w:val="24"/>
      <w:szCs w:val="24"/>
      <w:lang w:val="es-EC" w:eastAsia="es-EC"/>
    </w:rPr>
  </w:style>
  <w:style w:type="paragraph" w:customStyle="1" w:styleId="xl68">
    <w:name w:val="xl68"/>
    <w:basedOn w:val="Normal"/>
    <w:rsid w:val="00622884"/>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noProof/>
      <w:color w:val="000000"/>
      <w:sz w:val="24"/>
      <w:szCs w:val="24"/>
      <w:lang w:val="es-EC" w:eastAsia="es-EC"/>
    </w:rPr>
  </w:style>
  <w:style w:type="paragraph" w:customStyle="1" w:styleId="xl69">
    <w:name w:val="xl69"/>
    <w:basedOn w:val="Normal"/>
    <w:rsid w:val="00622884"/>
    <w:pPr>
      <w:pBdr>
        <w:left w:val="single" w:sz="4" w:space="0" w:color="auto"/>
        <w:bottom w:val="single" w:sz="4" w:space="0" w:color="auto"/>
        <w:right w:val="single" w:sz="4" w:space="0" w:color="auto"/>
      </w:pBdr>
      <w:shd w:val="clear" w:color="000000" w:fill="B4C6E7"/>
      <w:spacing w:before="100" w:beforeAutospacing="1" w:after="100" w:afterAutospacing="1" w:line="240" w:lineRule="auto"/>
      <w:textAlignment w:val="center"/>
    </w:pPr>
    <w:rPr>
      <w:rFonts w:ascii="Times New Roman" w:eastAsia="Times New Roman" w:hAnsi="Times New Roman" w:cs="Times New Roman"/>
      <w:noProof/>
      <w:color w:val="000000"/>
      <w:sz w:val="24"/>
      <w:szCs w:val="24"/>
      <w:lang w:val="es-EC" w:eastAsia="es-EC"/>
    </w:rPr>
  </w:style>
  <w:style w:type="paragraph" w:customStyle="1" w:styleId="xl70">
    <w:name w:val="xl70"/>
    <w:basedOn w:val="Normal"/>
    <w:rsid w:val="00622884"/>
    <w:pPr>
      <w:pBdr>
        <w:top w:val="single" w:sz="8" w:space="0" w:color="auto"/>
        <w:left w:val="single" w:sz="4" w:space="0" w:color="auto"/>
        <w:bottom w:val="single" w:sz="4" w:space="0" w:color="auto"/>
        <w:right w:val="single" w:sz="4" w:space="0" w:color="auto"/>
      </w:pBdr>
      <w:shd w:val="clear" w:color="000000" w:fill="B4C6E7"/>
      <w:spacing w:before="100" w:beforeAutospacing="1" w:after="100" w:afterAutospacing="1" w:line="240" w:lineRule="auto"/>
      <w:textAlignment w:val="center"/>
    </w:pPr>
    <w:rPr>
      <w:rFonts w:ascii="Times New Roman" w:eastAsia="Times New Roman" w:hAnsi="Times New Roman" w:cs="Times New Roman"/>
      <w:noProof/>
      <w:color w:val="000000"/>
      <w:sz w:val="24"/>
      <w:szCs w:val="24"/>
      <w:lang w:val="es-EC" w:eastAsia="es-EC"/>
    </w:rPr>
  </w:style>
  <w:style w:type="paragraph" w:customStyle="1" w:styleId="xl71">
    <w:name w:val="xl71"/>
    <w:basedOn w:val="Normal"/>
    <w:rsid w:val="00622884"/>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noProof/>
      <w:color w:val="000000"/>
      <w:sz w:val="24"/>
      <w:szCs w:val="24"/>
      <w:lang w:val="es-EC" w:eastAsia="es-EC"/>
    </w:rPr>
  </w:style>
  <w:style w:type="paragraph" w:customStyle="1" w:styleId="xl72">
    <w:name w:val="xl72"/>
    <w:basedOn w:val="Normal"/>
    <w:rsid w:val="00622884"/>
    <w:pPr>
      <w:pBdr>
        <w:top w:val="single" w:sz="8"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noProof/>
      <w:color w:val="000000"/>
      <w:sz w:val="24"/>
      <w:szCs w:val="24"/>
      <w:lang w:val="es-EC" w:eastAsia="es-EC"/>
    </w:rPr>
  </w:style>
  <w:style w:type="paragraph" w:customStyle="1" w:styleId="xl73">
    <w:name w:val="xl73"/>
    <w:basedOn w:val="Normal"/>
    <w:rsid w:val="00622884"/>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noProof/>
      <w:color w:val="000000"/>
      <w:sz w:val="24"/>
      <w:szCs w:val="24"/>
      <w:lang w:val="es-EC" w:eastAsia="es-EC"/>
    </w:rPr>
  </w:style>
  <w:style w:type="paragraph" w:customStyle="1" w:styleId="xl74">
    <w:name w:val="xl74"/>
    <w:basedOn w:val="Normal"/>
    <w:rsid w:val="00622884"/>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noProof/>
      <w:color w:val="000000"/>
      <w:sz w:val="24"/>
      <w:szCs w:val="24"/>
      <w:lang w:val="es-EC" w:eastAsia="es-EC"/>
    </w:rPr>
  </w:style>
  <w:style w:type="paragraph" w:customStyle="1" w:styleId="xl75">
    <w:name w:val="xl75"/>
    <w:basedOn w:val="Normal"/>
    <w:rsid w:val="00622884"/>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noProof/>
      <w:color w:val="000000"/>
      <w:sz w:val="24"/>
      <w:szCs w:val="24"/>
      <w:lang w:val="es-EC" w:eastAsia="es-EC"/>
    </w:rPr>
  </w:style>
  <w:style w:type="paragraph" w:customStyle="1" w:styleId="xl76">
    <w:name w:val="xl76"/>
    <w:basedOn w:val="Normal"/>
    <w:rsid w:val="00622884"/>
    <w:pPr>
      <w:pBdr>
        <w:top w:val="single" w:sz="8" w:space="0" w:color="auto"/>
        <w:left w:val="single" w:sz="4" w:space="0" w:color="auto"/>
        <w:bottom w:val="single" w:sz="4" w:space="0" w:color="auto"/>
        <w:right w:val="single" w:sz="4" w:space="0" w:color="auto"/>
      </w:pBdr>
      <w:shd w:val="clear" w:color="000000" w:fill="203764"/>
      <w:spacing w:before="100" w:beforeAutospacing="1" w:after="100" w:afterAutospacing="1" w:line="240" w:lineRule="auto"/>
      <w:jc w:val="center"/>
      <w:textAlignment w:val="center"/>
    </w:pPr>
    <w:rPr>
      <w:rFonts w:ascii="Calibri Light" w:eastAsia="Times New Roman" w:hAnsi="Calibri Light" w:cs="Times New Roman"/>
      <w:b/>
      <w:bCs/>
      <w:noProof/>
      <w:color w:val="FFFFFF"/>
      <w:sz w:val="20"/>
      <w:szCs w:val="20"/>
      <w:lang w:val="es-EC" w:eastAsia="es-EC"/>
    </w:rPr>
  </w:style>
  <w:style w:type="paragraph" w:customStyle="1" w:styleId="xl77">
    <w:name w:val="xl77"/>
    <w:basedOn w:val="Normal"/>
    <w:rsid w:val="00622884"/>
    <w:pPr>
      <w:pBdr>
        <w:top w:val="single" w:sz="8" w:space="0" w:color="auto"/>
        <w:left w:val="single" w:sz="4" w:space="0" w:color="auto"/>
        <w:bottom w:val="single" w:sz="4" w:space="0" w:color="auto"/>
        <w:right w:val="single" w:sz="8" w:space="0" w:color="auto"/>
      </w:pBdr>
      <w:shd w:val="clear" w:color="000000" w:fill="203764"/>
      <w:spacing w:before="100" w:beforeAutospacing="1" w:after="100" w:afterAutospacing="1" w:line="240" w:lineRule="auto"/>
      <w:jc w:val="center"/>
      <w:textAlignment w:val="center"/>
    </w:pPr>
    <w:rPr>
      <w:rFonts w:ascii="Calibri Light" w:eastAsia="Times New Roman" w:hAnsi="Calibri Light" w:cs="Times New Roman"/>
      <w:b/>
      <w:bCs/>
      <w:noProof/>
      <w:color w:val="FFFFFF"/>
      <w:sz w:val="20"/>
      <w:szCs w:val="20"/>
      <w:lang w:val="es-EC" w:eastAsia="es-EC"/>
    </w:rPr>
  </w:style>
  <w:style w:type="paragraph" w:customStyle="1" w:styleId="xl78">
    <w:name w:val="xl78"/>
    <w:basedOn w:val="Normal"/>
    <w:rsid w:val="00622884"/>
    <w:pPr>
      <w:pBdr>
        <w:top w:val="single" w:sz="4" w:space="0" w:color="auto"/>
        <w:left w:val="single" w:sz="4" w:space="0" w:color="auto"/>
        <w:bottom w:val="single" w:sz="8" w:space="0" w:color="auto"/>
        <w:right w:val="single" w:sz="4" w:space="0" w:color="auto"/>
      </w:pBdr>
      <w:shd w:val="clear" w:color="000000" w:fill="203764"/>
      <w:spacing w:before="100" w:beforeAutospacing="1" w:after="100" w:afterAutospacing="1" w:line="240" w:lineRule="auto"/>
      <w:textAlignment w:val="center"/>
    </w:pPr>
    <w:rPr>
      <w:rFonts w:ascii="Calibri Light" w:eastAsia="Times New Roman" w:hAnsi="Calibri Light" w:cs="Times New Roman"/>
      <w:b/>
      <w:bCs/>
      <w:noProof/>
      <w:color w:val="FFFFFF"/>
      <w:sz w:val="20"/>
      <w:szCs w:val="20"/>
      <w:lang w:val="es-EC" w:eastAsia="es-EC"/>
    </w:rPr>
  </w:style>
  <w:style w:type="paragraph" w:customStyle="1" w:styleId="xl79">
    <w:name w:val="xl79"/>
    <w:basedOn w:val="Normal"/>
    <w:rsid w:val="00622884"/>
    <w:pPr>
      <w:pBdr>
        <w:top w:val="single" w:sz="4" w:space="0" w:color="auto"/>
        <w:left w:val="single" w:sz="4" w:space="0" w:color="auto"/>
        <w:bottom w:val="single" w:sz="8" w:space="0" w:color="auto"/>
        <w:right w:val="single" w:sz="8" w:space="0" w:color="auto"/>
      </w:pBdr>
      <w:shd w:val="clear" w:color="000000" w:fill="203764"/>
      <w:spacing w:before="100" w:beforeAutospacing="1" w:after="100" w:afterAutospacing="1" w:line="240" w:lineRule="auto"/>
      <w:textAlignment w:val="center"/>
    </w:pPr>
    <w:rPr>
      <w:rFonts w:ascii="Calibri Light" w:eastAsia="Times New Roman" w:hAnsi="Calibri Light" w:cs="Times New Roman"/>
      <w:b/>
      <w:bCs/>
      <w:noProof/>
      <w:color w:val="FFFFFF"/>
      <w:sz w:val="20"/>
      <w:szCs w:val="20"/>
      <w:lang w:val="es-EC" w:eastAsia="es-EC"/>
    </w:rPr>
  </w:style>
  <w:style w:type="paragraph" w:customStyle="1" w:styleId="xl80">
    <w:name w:val="xl80"/>
    <w:basedOn w:val="Normal"/>
    <w:rsid w:val="00622884"/>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noProof/>
      <w:color w:val="FFFFFF"/>
      <w:sz w:val="24"/>
      <w:szCs w:val="24"/>
      <w:lang w:val="es-EC" w:eastAsia="es-EC"/>
    </w:rPr>
  </w:style>
  <w:style w:type="paragraph" w:customStyle="1" w:styleId="xl81">
    <w:name w:val="xl81"/>
    <w:basedOn w:val="Normal"/>
    <w:rsid w:val="00622884"/>
    <w:pPr>
      <w:pBdr>
        <w:top w:val="single" w:sz="8"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noProof/>
      <w:color w:val="FFFFFF"/>
      <w:sz w:val="24"/>
      <w:szCs w:val="24"/>
      <w:lang w:val="es-EC" w:eastAsia="es-EC"/>
    </w:rPr>
  </w:style>
  <w:style w:type="paragraph" w:customStyle="1" w:styleId="xl82">
    <w:name w:val="xl82"/>
    <w:basedOn w:val="Normal"/>
    <w:rsid w:val="00622884"/>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noProof/>
      <w:color w:val="FFFFFF"/>
      <w:sz w:val="24"/>
      <w:szCs w:val="24"/>
      <w:lang w:val="es-EC" w:eastAsia="es-EC"/>
    </w:rPr>
  </w:style>
  <w:style w:type="table" w:customStyle="1" w:styleId="Tablaconcuadrcula5oscura-nfasis323">
    <w:name w:val="Tabla con cuadrícula 5 oscura - Énfasis 323"/>
    <w:basedOn w:val="TableNormal"/>
    <w:next w:val="GridTable5Dark-Accent3"/>
    <w:uiPriority w:val="50"/>
    <w:rsid w:val="00622884"/>
    <w:pPr>
      <w:spacing w:after="0" w:line="240" w:lineRule="auto"/>
    </w:pPr>
    <w:rPr>
      <w:rFonts w:ascii="Aptos" w:eastAsia="Aptos" w:hAnsi="Aptos" w:cs="Arial"/>
      <w:sz w:val="20"/>
      <w:szCs w:val="20"/>
      <w:lang w:val="es-ES" w:eastAsia="sq-AL"/>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DEDE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A5A5A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A5A5A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A5A5A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A5A5A5"/>
      </w:tcPr>
    </w:tblStylePr>
    <w:tblStylePr w:type="band1Vert">
      <w:tblPr/>
      <w:tcPr>
        <w:shd w:val="clear" w:color="auto" w:fill="DBDBDB"/>
      </w:tcPr>
    </w:tblStylePr>
    <w:tblStylePr w:type="band1Horz">
      <w:tblPr/>
      <w:tcPr>
        <w:shd w:val="clear" w:color="auto" w:fill="DBDBDB"/>
      </w:tcPr>
    </w:tblStylePr>
  </w:style>
  <w:style w:type="table" w:customStyle="1" w:styleId="MediumGrid2-Accent3211">
    <w:name w:val="Medium Grid 2 - Accent 3211"/>
    <w:basedOn w:val="TableNormal"/>
    <w:uiPriority w:val="68"/>
    <w:rsid w:val="00622884"/>
    <w:pPr>
      <w:spacing w:after="0" w:line="240" w:lineRule="auto"/>
    </w:pPr>
    <w:rPr>
      <w:rFonts w:ascii="Cambria" w:eastAsia="Times New Roman" w:hAnsi="Cambria" w:cs="Times New Roman"/>
      <w:color w:val="000000"/>
      <w:sz w:val="20"/>
      <w:szCs w:val="20"/>
      <w:lang w:val="es-ES" w:eastAsia="sq-AL" w:bidi="th-TH"/>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style>
  <w:style w:type="table" w:customStyle="1" w:styleId="Tablaconcuadrcula11">
    <w:name w:val="Tabla con cuadrícula11"/>
    <w:basedOn w:val="TableNormal"/>
    <w:next w:val="TableGrid"/>
    <w:uiPriority w:val="39"/>
    <w:rsid w:val="00622884"/>
    <w:pPr>
      <w:spacing w:after="0" w:line="240" w:lineRule="auto"/>
    </w:pPr>
    <w:rPr>
      <w:rFonts w:ascii="Aptos" w:eastAsia="Aptos" w:hAnsi="Aptos" w:cs="Arial"/>
      <w:sz w:val="20"/>
      <w:szCs w:val="20"/>
      <w:lang w:val="es-ES" w:eastAsia="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
    <w:name w:val="Tabla con cuadrícula3"/>
    <w:basedOn w:val="TableNormal"/>
    <w:next w:val="TableGrid"/>
    <w:uiPriority w:val="39"/>
    <w:rsid w:val="00622884"/>
    <w:pPr>
      <w:spacing w:after="0" w:line="240" w:lineRule="auto"/>
    </w:pPr>
    <w:rPr>
      <w:rFonts w:ascii="Aptos" w:eastAsia="Aptos" w:hAnsi="Aptos" w:cs="Arial"/>
      <w:sz w:val="20"/>
      <w:szCs w:val="20"/>
      <w:lang w:val="es-ES" w:eastAsia="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
    <w:name w:val="Table Normal21"/>
    <w:uiPriority w:val="2"/>
    <w:semiHidden/>
    <w:unhideWhenUsed/>
    <w:qFormat/>
    <w:rsid w:val="00622884"/>
    <w:pPr>
      <w:widowControl w:val="0"/>
      <w:autoSpaceDE w:val="0"/>
      <w:autoSpaceDN w:val="0"/>
      <w:spacing w:after="0" w:line="240" w:lineRule="auto"/>
    </w:pPr>
    <w:rPr>
      <w:rFonts w:ascii="Aptos" w:eastAsia="Aptos" w:hAnsi="Aptos" w:cs="Arial"/>
    </w:rPr>
    <w:tblPr>
      <w:tblInd w:w="0" w:type="dxa"/>
      <w:tblCellMar>
        <w:top w:w="0" w:type="dxa"/>
        <w:left w:w="0" w:type="dxa"/>
        <w:bottom w:w="0" w:type="dxa"/>
        <w:right w:w="0" w:type="dxa"/>
      </w:tblCellMar>
    </w:tblPr>
  </w:style>
  <w:style w:type="table" w:customStyle="1" w:styleId="Deuman-Box1">
    <w:name w:val="Deuman - Box1"/>
    <w:basedOn w:val="TableNormal"/>
    <w:next w:val="TableGrid"/>
    <w:uiPriority w:val="39"/>
    <w:rsid w:val="00622884"/>
    <w:pPr>
      <w:spacing w:after="0" w:line="240" w:lineRule="auto"/>
    </w:pPr>
    <w:rPr>
      <w:rFonts w:ascii="Aptos" w:eastAsia="Aptos" w:hAnsi="Aptos" w:cs="Arial"/>
      <w:sz w:val="20"/>
      <w:szCs w:val="20"/>
      <w:lang w:val="es-ES" w:eastAsia="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Deuman-Box2">
    <w:name w:val="Deuman - Box2"/>
    <w:basedOn w:val="TableNormal"/>
    <w:next w:val="TableGrid"/>
    <w:uiPriority w:val="39"/>
    <w:rsid w:val="00622884"/>
    <w:pPr>
      <w:spacing w:after="0" w:line="240" w:lineRule="auto"/>
    </w:pPr>
    <w:rPr>
      <w:rFonts w:ascii="Aptos" w:eastAsia="Aptos" w:hAnsi="Aptos" w:cs="Arial"/>
      <w:sz w:val="20"/>
      <w:szCs w:val="20"/>
      <w:lang w:val="es-ES" w:eastAsia="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Deuman-Box3">
    <w:name w:val="Deuman - Box3"/>
    <w:basedOn w:val="TableNormal"/>
    <w:next w:val="TableGrid"/>
    <w:uiPriority w:val="39"/>
    <w:rsid w:val="00622884"/>
    <w:pPr>
      <w:spacing w:after="0" w:line="240" w:lineRule="auto"/>
    </w:pPr>
    <w:rPr>
      <w:rFonts w:ascii="Aptos" w:eastAsia="Aptos" w:hAnsi="Aptos" w:cs="Arial"/>
      <w:sz w:val="20"/>
      <w:szCs w:val="20"/>
      <w:lang w:val="es-ES" w:eastAsia="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Deuman-Box4">
    <w:name w:val="Deuman - Box4"/>
    <w:basedOn w:val="TableNormal"/>
    <w:next w:val="TableGrid"/>
    <w:uiPriority w:val="39"/>
    <w:rsid w:val="00622884"/>
    <w:pPr>
      <w:spacing w:after="0" w:line="240" w:lineRule="auto"/>
    </w:pPr>
    <w:rPr>
      <w:rFonts w:ascii="Aptos" w:eastAsia="Aptos" w:hAnsi="Aptos" w:cs="Arial"/>
      <w:sz w:val="20"/>
      <w:szCs w:val="20"/>
      <w:lang w:val="es-ES" w:eastAsia="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Deuman-Box6">
    <w:name w:val="Deuman - Box6"/>
    <w:basedOn w:val="TableNormal"/>
    <w:next w:val="TableGrid"/>
    <w:uiPriority w:val="39"/>
    <w:rsid w:val="00622884"/>
    <w:pPr>
      <w:spacing w:after="0" w:line="240" w:lineRule="auto"/>
    </w:pPr>
    <w:rPr>
      <w:rFonts w:ascii="Aptos" w:eastAsia="Aptos" w:hAnsi="Aptos" w:cs="Arial"/>
      <w:sz w:val="20"/>
      <w:szCs w:val="20"/>
      <w:lang w:val="es-ES" w:eastAsia="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Deuman-Box7">
    <w:name w:val="Deuman - Box7"/>
    <w:basedOn w:val="TableNormal"/>
    <w:next w:val="TableGrid"/>
    <w:uiPriority w:val="39"/>
    <w:rsid w:val="00622884"/>
    <w:pPr>
      <w:spacing w:after="0" w:line="240" w:lineRule="auto"/>
    </w:pPr>
    <w:rPr>
      <w:rFonts w:ascii="Aptos" w:eastAsia="Aptos" w:hAnsi="Aptos" w:cs="Arial"/>
      <w:sz w:val="20"/>
      <w:szCs w:val="20"/>
      <w:lang w:val="es-ES" w:eastAsia="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normal311">
    <w:name w:val="Tabla normal 311"/>
    <w:basedOn w:val="TableNormal"/>
    <w:uiPriority w:val="43"/>
    <w:rsid w:val="00622884"/>
    <w:pPr>
      <w:spacing w:after="0" w:line="240" w:lineRule="auto"/>
    </w:pPr>
    <w:rPr>
      <w:rFonts w:ascii="Aptos" w:eastAsia="Aptos" w:hAnsi="Aptos" w:cs="Arial"/>
      <w:sz w:val="20"/>
      <w:szCs w:val="20"/>
      <w:lang w:val="es-ES" w:eastAsia="sq-AL"/>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Deuman-Box8">
    <w:name w:val="Deuman - Box8"/>
    <w:basedOn w:val="TableNormal"/>
    <w:next w:val="TableGrid"/>
    <w:uiPriority w:val="39"/>
    <w:rsid w:val="00622884"/>
    <w:pPr>
      <w:spacing w:after="0" w:line="240" w:lineRule="auto"/>
    </w:pPr>
    <w:rPr>
      <w:rFonts w:ascii="Aptos" w:eastAsia="Aptos" w:hAnsi="Aptos" w:cs="Arial"/>
      <w:sz w:val="20"/>
      <w:szCs w:val="20"/>
      <w:lang w:val="es-ES" w:eastAsia="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normal312">
    <w:name w:val="Tabla normal 312"/>
    <w:basedOn w:val="TableNormal"/>
    <w:uiPriority w:val="43"/>
    <w:rsid w:val="00622884"/>
    <w:pPr>
      <w:spacing w:after="0" w:line="240" w:lineRule="auto"/>
    </w:pPr>
    <w:rPr>
      <w:rFonts w:ascii="Aptos" w:eastAsia="Aptos" w:hAnsi="Aptos" w:cs="Arial"/>
      <w:sz w:val="20"/>
      <w:szCs w:val="20"/>
      <w:lang w:val="es-ES" w:eastAsia="sq-AL"/>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Tablaconcuadrcula1clara4">
    <w:name w:val="Tabla con cuadrícula 1 clara4"/>
    <w:basedOn w:val="TableNormal"/>
    <w:next w:val="GridTable1Light"/>
    <w:uiPriority w:val="46"/>
    <w:rsid w:val="00622884"/>
    <w:pPr>
      <w:spacing w:after="0" w:line="240" w:lineRule="auto"/>
    </w:pPr>
    <w:rPr>
      <w:rFonts w:ascii="Aptos" w:eastAsia="Aptos" w:hAnsi="Aptos" w:cs="Arial"/>
      <w:sz w:val="20"/>
      <w:szCs w:val="20"/>
      <w:lang w:val="es-ES" w:eastAsia="sq-AL"/>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31">
    <w:name w:val="31"/>
    <w:basedOn w:val="TableNormal"/>
    <w:rsid w:val="00622884"/>
    <w:pPr>
      <w:spacing w:after="0" w:line="240" w:lineRule="auto"/>
      <w:ind w:left="284"/>
    </w:pPr>
    <w:rPr>
      <w:rFonts w:ascii="Calibri" w:eastAsia="Calibri" w:hAnsi="Calibri" w:cs="Calibri"/>
      <w:color w:val="575756"/>
      <w:sz w:val="18"/>
      <w:szCs w:val="18"/>
      <w:lang w:val="en-GB" w:eastAsia="en-GB"/>
    </w:rPr>
    <w:tblPr>
      <w:tblStyleRowBandSize w:val="1"/>
      <w:tblStyleColBandSize w:val="1"/>
    </w:tblPr>
    <w:tblStylePr w:type="firstRow">
      <w:rPr>
        <w:b/>
      </w:rPr>
      <w:tblPr/>
      <w:tcPr>
        <w:tcBorders>
          <w:top w:val="nil"/>
          <w:left w:val="nil"/>
          <w:bottom w:val="single" w:sz="18" w:space="0" w:color="EB5A64"/>
          <w:right w:val="nil"/>
          <w:insideH w:val="nil"/>
          <w:insideV w:val="nil"/>
        </w:tcBorders>
        <w:shd w:val="clear" w:color="auto" w:fill="FFFFFF"/>
      </w:tcPr>
    </w:tblStylePr>
    <w:tblStylePr w:type="lastRow">
      <w:rPr>
        <w:b/>
      </w:rPr>
      <w:tblPr/>
      <w:tcPr>
        <w:tcBorders>
          <w:top w:val="single" w:sz="4" w:space="0" w:color="EB5A64"/>
          <w:bottom w:val="nil"/>
          <w:insideH w:val="nil"/>
          <w:insideV w:val="nil"/>
        </w:tcBorders>
        <w:shd w:val="clear" w:color="auto" w:fill="FFFFFF"/>
      </w:tcPr>
    </w:tblStylePr>
    <w:tblStylePr w:type="firstCol">
      <w:rPr>
        <w:b/>
      </w:rPr>
    </w:tblStylePr>
    <w:tblStylePr w:type="lastCol">
      <w:rPr>
        <w:b/>
      </w:rPr>
    </w:tblStylePr>
    <w:tblStylePr w:type="band1Vert">
      <w:tblPr/>
      <w:tcPr>
        <w:shd w:val="clear" w:color="auto" w:fill="F8C8CB"/>
      </w:tcPr>
    </w:tblStylePr>
    <w:tblStylePr w:type="band1Horz">
      <w:tblPr/>
      <w:tcPr>
        <w:shd w:val="clear" w:color="auto" w:fill="F8C8CB"/>
      </w:tcPr>
    </w:tblStylePr>
  </w:style>
  <w:style w:type="table" w:customStyle="1" w:styleId="Deuman-Box9">
    <w:name w:val="Deuman - Box9"/>
    <w:basedOn w:val="TableNormal"/>
    <w:next w:val="TableGrid"/>
    <w:uiPriority w:val="39"/>
    <w:rsid w:val="00622884"/>
    <w:pPr>
      <w:spacing w:after="0" w:line="240" w:lineRule="auto"/>
    </w:pPr>
    <w:rPr>
      <w:rFonts w:ascii="Aptos" w:eastAsia="Aptos" w:hAnsi="Aptos" w:cs="Arial"/>
      <w:sz w:val="20"/>
      <w:szCs w:val="20"/>
      <w:lang w:val="es-ES" w:eastAsia="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6Textobold">
    <w:name w:val="6_Texto bold"/>
    <w:basedOn w:val="Normal"/>
    <w:link w:val="6TextoboldCar"/>
    <w:qFormat/>
    <w:rsid w:val="00622884"/>
    <w:pPr>
      <w:spacing w:after="160" w:line="259" w:lineRule="auto"/>
    </w:pPr>
    <w:rPr>
      <w:rFonts w:ascii="Calibri Light" w:eastAsia="SimSun" w:hAnsi="Calibri Light" w:cs="Calibri Light"/>
      <w:b/>
      <w:bCs/>
      <w:noProof/>
      <w:color w:val="1D3C5A"/>
      <w:sz w:val="20"/>
      <w:szCs w:val="20"/>
      <w:lang w:eastAsia="zh-CN"/>
    </w:rPr>
  </w:style>
  <w:style w:type="character" w:customStyle="1" w:styleId="6TextoboldCar">
    <w:name w:val="6_Texto bold Car"/>
    <w:link w:val="6Textobold"/>
    <w:rsid w:val="00622884"/>
    <w:rPr>
      <w:rFonts w:ascii="Calibri Light" w:eastAsia="SimSun" w:hAnsi="Calibri Light" w:cs="Calibri Light"/>
      <w:b/>
      <w:bCs/>
      <w:noProof/>
      <w:color w:val="1D3C5A"/>
      <w:sz w:val="20"/>
      <w:szCs w:val="20"/>
      <w:lang w:val="sq-AL" w:eastAsia="zh-CN"/>
    </w:rPr>
  </w:style>
  <w:style w:type="paragraph" w:customStyle="1" w:styleId="8Ndepagina">
    <w:name w:val="8_Nº de pagina"/>
    <w:basedOn w:val="Normal"/>
    <w:link w:val="8NdepaginaCar"/>
    <w:qFormat/>
    <w:rsid w:val="00622884"/>
    <w:pPr>
      <w:tabs>
        <w:tab w:val="center" w:pos="4550"/>
        <w:tab w:val="left" w:pos="5818"/>
      </w:tabs>
      <w:spacing w:after="160" w:line="259" w:lineRule="auto"/>
      <w:ind w:right="260"/>
    </w:pPr>
    <w:rPr>
      <w:rFonts w:ascii="Calibri Light" w:eastAsia="SimSun" w:hAnsi="Calibri Light" w:cs="Arial"/>
      <w:noProof/>
      <w:color w:val="1D3C5A"/>
      <w:spacing w:val="60"/>
      <w:sz w:val="24"/>
      <w:szCs w:val="24"/>
      <w:lang w:eastAsia="en-US"/>
    </w:rPr>
  </w:style>
  <w:style w:type="character" w:customStyle="1" w:styleId="8NdepaginaCar">
    <w:name w:val="8_Nº de pagina Car"/>
    <w:link w:val="8Ndepagina"/>
    <w:rsid w:val="00622884"/>
    <w:rPr>
      <w:rFonts w:ascii="Calibri Light" w:eastAsia="SimSun" w:hAnsi="Calibri Light" w:cs="Arial"/>
      <w:noProof/>
      <w:color w:val="1D3C5A"/>
      <w:spacing w:val="60"/>
      <w:sz w:val="24"/>
      <w:szCs w:val="24"/>
      <w:lang w:val="sq-AL"/>
    </w:rPr>
  </w:style>
  <w:style w:type="paragraph" w:customStyle="1" w:styleId="9Textoinfografas">
    <w:name w:val="9_Texto infografías"/>
    <w:basedOn w:val="Normal"/>
    <w:link w:val="9TextoinfografasCar"/>
    <w:qFormat/>
    <w:rsid w:val="00622884"/>
    <w:pPr>
      <w:spacing w:after="160" w:line="259" w:lineRule="auto"/>
    </w:pPr>
    <w:rPr>
      <w:rFonts w:ascii="Calibri Light" w:eastAsia="Roboto" w:hAnsi="Calibri Light" w:cs="Calibri Light"/>
      <w:noProof/>
      <w:color w:val="1D3C5A"/>
      <w:sz w:val="16"/>
      <w:szCs w:val="18"/>
      <w:lang w:eastAsia="en-US"/>
    </w:rPr>
  </w:style>
  <w:style w:type="character" w:customStyle="1" w:styleId="9TextoinfografasCar">
    <w:name w:val="9_Texto infografías Car"/>
    <w:link w:val="9Textoinfografas"/>
    <w:rsid w:val="00622884"/>
    <w:rPr>
      <w:rFonts w:ascii="Calibri Light" w:eastAsia="Roboto" w:hAnsi="Calibri Light" w:cs="Calibri Light"/>
      <w:noProof/>
      <w:color w:val="1D3C5A"/>
      <w:sz w:val="16"/>
      <w:szCs w:val="18"/>
      <w:lang w:val="sq-AL"/>
    </w:rPr>
  </w:style>
  <w:style w:type="paragraph" w:customStyle="1" w:styleId="7Bulletpoints">
    <w:name w:val="7_Bullet points"/>
    <w:link w:val="7BulletpointsCar"/>
    <w:autoRedefine/>
    <w:qFormat/>
    <w:rsid w:val="00622884"/>
    <w:pPr>
      <w:numPr>
        <w:numId w:val="31"/>
      </w:numPr>
      <w:spacing w:before="240" w:after="240" w:line="259" w:lineRule="auto"/>
      <w:ind w:right="425"/>
      <w:jc w:val="both"/>
    </w:pPr>
    <w:rPr>
      <w:rFonts w:ascii="Calibri Light" w:eastAsia="SimSun" w:hAnsi="Calibri Light" w:cs="Calibri Light"/>
      <w:color w:val="1D3C5A"/>
      <w:sz w:val="20"/>
      <w:szCs w:val="20"/>
      <w:lang w:val="es-ES" w:eastAsia="zh-CN"/>
    </w:rPr>
  </w:style>
  <w:style w:type="character" w:customStyle="1" w:styleId="7BulletpointsCar">
    <w:name w:val="7_Bullet points Car"/>
    <w:link w:val="7Bulletpoints"/>
    <w:rsid w:val="00622884"/>
    <w:rPr>
      <w:rFonts w:ascii="Calibri Light" w:eastAsia="SimSun" w:hAnsi="Calibri Light" w:cs="Calibri Light"/>
      <w:color w:val="1D3C5A"/>
      <w:sz w:val="20"/>
      <w:szCs w:val="20"/>
      <w:lang w:val="es-ES" w:eastAsia="zh-CN"/>
    </w:rPr>
  </w:style>
  <w:style w:type="paragraph" w:customStyle="1" w:styleId="6GFGRANDE">
    <w:name w:val="6_GF GRANDE"/>
    <w:basedOn w:val="Normal"/>
    <w:link w:val="6GFGRANDECar"/>
    <w:qFormat/>
    <w:rsid w:val="00622884"/>
    <w:pPr>
      <w:spacing w:before="240" w:after="240" w:line="259" w:lineRule="auto"/>
    </w:pPr>
    <w:rPr>
      <w:rFonts w:ascii="Calibri Light" w:eastAsia="SimSun" w:hAnsi="Calibri Light" w:cs="Arial"/>
      <w:noProof/>
      <w:color w:val="1D3C5A"/>
      <w:sz w:val="24"/>
      <w:szCs w:val="28"/>
      <w:lang w:eastAsia="zh-CN"/>
    </w:rPr>
  </w:style>
  <w:style w:type="character" w:customStyle="1" w:styleId="6GFGRANDECar">
    <w:name w:val="6_GF GRANDE Car"/>
    <w:link w:val="6GFGRANDE"/>
    <w:rsid w:val="00622884"/>
    <w:rPr>
      <w:rFonts w:ascii="Calibri Light" w:eastAsia="SimSun" w:hAnsi="Calibri Light" w:cs="Arial"/>
      <w:noProof/>
      <w:color w:val="1D3C5A"/>
      <w:sz w:val="24"/>
      <w:szCs w:val="28"/>
      <w:lang w:val="sq-AL" w:eastAsia="zh-CN"/>
    </w:rPr>
  </w:style>
  <w:style w:type="paragraph" w:customStyle="1" w:styleId="1Portadas">
    <w:name w:val="1_Portadas"/>
    <w:link w:val="1PortadasCar"/>
    <w:qFormat/>
    <w:rsid w:val="00622884"/>
    <w:pPr>
      <w:spacing w:after="160" w:line="259" w:lineRule="auto"/>
      <w:ind w:left="709" w:hanging="709"/>
      <w:jc w:val="center"/>
    </w:pPr>
    <w:rPr>
      <w:rFonts w:ascii="Calibri Light" w:eastAsia="MS Gothic" w:hAnsi="Calibri Light" w:cs="Times New Roman"/>
      <w:b/>
      <w:color w:val="1D3C5A"/>
      <w:sz w:val="72"/>
      <w:szCs w:val="26"/>
      <w:lang w:val="es-ES"/>
    </w:rPr>
  </w:style>
  <w:style w:type="character" w:customStyle="1" w:styleId="1PortadasCar">
    <w:name w:val="1_Portadas Car"/>
    <w:link w:val="1Portadas"/>
    <w:rsid w:val="00622884"/>
    <w:rPr>
      <w:rFonts w:ascii="Calibri Light" w:eastAsia="MS Gothic" w:hAnsi="Calibri Light" w:cs="Times New Roman"/>
      <w:b/>
      <w:color w:val="1D3C5A"/>
      <w:sz w:val="72"/>
      <w:szCs w:val="26"/>
      <w:lang w:val="es-ES"/>
    </w:rPr>
  </w:style>
  <w:style w:type="paragraph" w:customStyle="1" w:styleId="Titulopequeoseccin">
    <w:name w:val="Titulo pequeño sección"/>
    <w:basedOn w:val="Normal"/>
    <w:link w:val="TitulopequeoseccinCar"/>
    <w:qFormat/>
    <w:rsid w:val="00622884"/>
    <w:pPr>
      <w:shd w:val="clear" w:color="auto" w:fill="D9D9D9"/>
      <w:spacing w:after="160" w:line="259" w:lineRule="auto"/>
      <w:jc w:val="left"/>
    </w:pPr>
    <w:rPr>
      <w:rFonts w:ascii="Calibri Light" w:eastAsia="SimSun" w:hAnsi="Calibri Light" w:cs="Calibri Light"/>
      <w:b/>
      <w:bCs/>
      <w:noProof/>
      <w:color w:val="1D3C5A"/>
      <w:sz w:val="24"/>
      <w:szCs w:val="24"/>
      <w:lang w:val="es" w:eastAsia="en-US"/>
    </w:rPr>
  </w:style>
  <w:style w:type="character" w:customStyle="1" w:styleId="TitulopequeoseccinCar">
    <w:name w:val="Titulo pequeño sección Car"/>
    <w:link w:val="Titulopequeoseccin"/>
    <w:rsid w:val="00622884"/>
    <w:rPr>
      <w:rFonts w:ascii="Calibri Light" w:eastAsia="SimSun" w:hAnsi="Calibri Light" w:cs="Calibri Light"/>
      <w:b/>
      <w:bCs/>
      <w:noProof/>
      <w:color w:val="1D3C5A"/>
      <w:sz w:val="24"/>
      <w:szCs w:val="24"/>
      <w:shd w:val="clear" w:color="auto" w:fill="D9D9D9"/>
      <w:lang w:val="es"/>
    </w:rPr>
  </w:style>
  <w:style w:type="paragraph" w:customStyle="1" w:styleId="cursivabold">
    <w:name w:val="cursiva bold"/>
    <w:basedOn w:val="Normal"/>
    <w:link w:val="cursivaboldCar"/>
    <w:qFormat/>
    <w:rsid w:val="00622884"/>
    <w:pPr>
      <w:spacing w:after="0" w:line="240" w:lineRule="auto"/>
      <w:jc w:val="center"/>
    </w:pPr>
    <w:rPr>
      <w:rFonts w:ascii="Calibri Light" w:eastAsia="Calibri" w:hAnsi="Calibri Light" w:cs="Calibri Light"/>
      <w:b/>
      <w:bCs/>
      <w:i/>
      <w:iCs/>
      <w:noProof/>
      <w:color w:val="25775E"/>
      <w:sz w:val="20"/>
      <w:szCs w:val="20"/>
      <w:lang w:eastAsia="en-US"/>
    </w:rPr>
  </w:style>
  <w:style w:type="character" w:customStyle="1" w:styleId="cursivaboldCar">
    <w:name w:val="cursiva bold Car"/>
    <w:link w:val="cursivabold"/>
    <w:rsid w:val="00622884"/>
    <w:rPr>
      <w:rFonts w:ascii="Calibri Light" w:eastAsia="Calibri" w:hAnsi="Calibri Light" w:cs="Calibri Light"/>
      <w:b/>
      <w:bCs/>
      <w:i/>
      <w:iCs/>
      <w:noProof/>
      <w:color w:val="25775E"/>
      <w:sz w:val="20"/>
      <w:szCs w:val="20"/>
      <w:lang w:val="sq-AL"/>
    </w:rPr>
  </w:style>
  <w:style w:type="paragraph" w:customStyle="1" w:styleId="Ttulopequeobold">
    <w:name w:val="Título pequeño bold"/>
    <w:basedOn w:val="Normal"/>
    <w:link w:val="TtulopequeoboldCar"/>
    <w:qFormat/>
    <w:rsid w:val="00622884"/>
    <w:pPr>
      <w:spacing w:after="160" w:line="360" w:lineRule="auto"/>
    </w:pPr>
    <w:rPr>
      <w:rFonts w:ascii="Calibri Light" w:eastAsia="SimSun" w:hAnsi="Calibri Light" w:cs="Arial"/>
      <w:b/>
      <w:noProof/>
      <w:color w:val="1D3C5A"/>
      <w:sz w:val="20"/>
      <w:lang w:eastAsia="en-US"/>
    </w:rPr>
  </w:style>
  <w:style w:type="character" w:customStyle="1" w:styleId="TtulopequeoboldCar">
    <w:name w:val="Título pequeño bold Car"/>
    <w:link w:val="Ttulopequeobold"/>
    <w:rsid w:val="00622884"/>
    <w:rPr>
      <w:rFonts w:ascii="Calibri Light" w:eastAsia="SimSun" w:hAnsi="Calibri Light" w:cs="Arial"/>
      <w:b/>
      <w:noProof/>
      <w:color w:val="1D3C5A"/>
      <w:sz w:val="20"/>
      <w:lang w:val="sq-AL"/>
    </w:rPr>
  </w:style>
  <w:style w:type="paragraph" w:customStyle="1" w:styleId="Referencias">
    <w:name w:val="Referencias"/>
    <w:basedOn w:val="Caption"/>
    <w:link w:val="ReferenciasCar"/>
    <w:qFormat/>
    <w:rsid w:val="00622884"/>
    <w:pPr>
      <w:spacing w:before="0" w:after="0"/>
      <w:jc w:val="right"/>
    </w:pPr>
    <w:rPr>
      <w:rFonts w:ascii="Calibri Light" w:eastAsia="SimSun" w:hAnsi="Calibri Light" w:cs="Calibri Light"/>
      <w:noProof/>
      <w:color w:val="1E3B59"/>
      <w:sz w:val="18"/>
      <w:szCs w:val="18"/>
      <w:lang w:eastAsia="en-US"/>
    </w:rPr>
  </w:style>
  <w:style w:type="character" w:customStyle="1" w:styleId="ReferenciasCar">
    <w:name w:val="Referencias Car"/>
    <w:link w:val="Referencias"/>
    <w:rsid w:val="00622884"/>
    <w:rPr>
      <w:rFonts w:ascii="Calibri Light" w:eastAsia="SimSun" w:hAnsi="Calibri Light" w:cs="Calibri Light"/>
      <w:b/>
      <w:bCs/>
      <w:noProof/>
      <w:color w:val="1E3B59"/>
      <w:sz w:val="18"/>
      <w:szCs w:val="18"/>
      <w:lang w:val="sq-AL"/>
    </w:rPr>
  </w:style>
  <w:style w:type="paragraph" w:customStyle="1" w:styleId="Fuente0">
    <w:name w:val="Fuente"/>
    <w:basedOn w:val="Caption"/>
    <w:link w:val="FuenteCar0"/>
    <w:qFormat/>
    <w:rsid w:val="00622884"/>
    <w:pPr>
      <w:spacing w:before="0" w:after="0"/>
      <w:jc w:val="right"/>
    </w:pPr>
    <w:rPr>
      <w:rFonts w:ascii="Calibri Light" w:eastAsia="SimSun" w:hAnsi="Calibri Light" w:cs="Calibri Light"/>
      <w:b w:val="0"/>
      <w:bCs w:val="0"/>
      <w:i/>
      <w:iCs/>
      <w:noProof/>
      <w:color w:val="1E3B59"/>
      <w:sz w:val="18"/>
      <w:szCs w:val="18"/>
      <w:lang w:eastAsia="en-US"/>
    </w:rPr>
  </w:style>
  <w:style w:type="character" w:customStyle="1" w:styleId="FuenteCar0">
    <w:name w:val="Fuente Car"/>
    <w:link w:val="Fuente0"/>
    <w:rsid w:val="00622884"/>
    <w:rPr>
      <w:rFonts w:ascii="Calibri Light" w:eastAsia="SimSun" w:hAnsi="Calibri Light" w:cs="Calibri Light"/>
      <w:i/>
      <w:iCs/>
      <w:noProof/>
      <w:color w:val="1E3B59"/>
      <w:sz w:val="18"/>
      <w:szCs w:val="18"/>
      <w:lang w:val="sq-AL"/>
    </w:rPr>
  </w:style>
  <w:style w:type="table" w:customStyle="1" w:styleId="GlobalFactor">
    <w:name w:val="Global Factor"/>
    <w:basedOn w:val="TableNormal"/>
    <w:uiPriority w:val="99"/>
    <w:rsid w:val="00622884"/>
    <w:pPr>
      <w:spacing w:after="0" w:line="240" w:lineRule="auto"/>
    </w:pPr>
    <w:rPr>
      <w:rFonts w:ascii="Calibri Light" w:eastAsia="SimSun" w:hAnsi="Calibri Light" w:cs="Arial"/>
      <w:color w:val="1D3C5A"/>
      <w:sz w:val="20"/>
      <w:szCs w:val="20"/>
      <w:lang w:val="es-ES" w:eastAsia="sq-AL"/>
    </w:rPr>
    <w:tblPr>
      <w:jc w:val="center"/>
      <w:tblBorders>
        <w:top w:val="single" w:sz="4" w:space="0" w:color="auto"/>
        <w:left w:val="single" w:sz="4" w:space="0" w:color="auto"/>
        <w:bottom w:val="single" w:sz="4" w:space="0" w:color="auto"/>
        <w:right w:val="single" w:sz="4" w:space="0" w:color="auto"/>
      </w:tblBorders>
    </w:tblPr>
    <w:trPr>
      <w:cantSplit/>
      <w:jc w:val="center"/>
    </w:trPr>
    <w:tcPr>
      <w:shd w:val="clear" w:color="auto" w:fill="auto"/>
      <w:vAlign w:val="center"/>
    </w:tcPr>
  </w:style>
  <w:style w:type="character" w:customStyle="1" w:styleId="ui-provider">
    <w:name w:val="ui-provider"/>
    <w:basedOn w:val="DefaultParagraphFont"/>
    <w:rsid w:val="00622884"/>
  </w:style>
  <w:style w:type="table" w:customStyle="1" w:styleId="TableGrid4">
    <w:name w:val="Table Grid4"/>
    <w:basedOn w:val="TableNormal"/>
    <w:uiPriority w:val="59"/>
    <w:rsid w:val="00622884"/>
    <w:pPr>
      <w:spacing w:before="40" w:after="40"/>
    </w:pPr>
    <w:rPr>
      <w:rFonts w:ascii="Arial" w:eastAsia="Times New Roman" w:hAnsi="Arial" w:cs="Times New Roman"/>
      <w:color w:val="1A406B"/>
      <w:sz w:val="20"/>
      <w:szCs w:val="20"/>
      <w:lang w:val="fr-CA" w:eastAsia="sq-AL"/>
    </w:rPr>
    <w:tblPr>
      <w:tblBorders>
        <w:top w:val="single" w:sz="4" w:space="0" w:color="95999C"/>
        <w:left w:val="single" w:sz="4" w:space="0" w:color="95999C"/>
        <w:bottom w:val="single" w:sz="4" w:space="0" w:color="95999C"/>
        <w:right w:val="single" w:sz="4" w:space="0" w:color="95999C"/>
        <w:insideH w:val="single" w:sz="4" w:space="0" w:color="95999C"/>
        <w:insideV w:val="single" w:sz="4" w:space="0" w:color="95999C"/>
      </w:tblBorders>
    </w:tblPr>
    <w:tcPr>
      <w:vAlign w:val="center"/>
    </w:tcPr>
    <w:tblStylePr w:type="firstRow">
      <w:pPr>
        <w:wordWrap/>
        <w:spacing w:beforeLines="0" w:before="100" w:beforeAutospacing="1" w:afterLines="0" w:after="100" w:afterAutospacing="1"/>
        <w:jc w:val="left"/>
      </w:pPr>
      <w:rPr>
        <w:rFonts w:ascii="Cooper Std Black" w:hAnsi="Cooper Std Black" w:hint="default"/>
        <w:b/>
        <w:color w:val="E36C0A"/>
        <w:sz w:val="22"/>
        <w:szCs w:val="22"/>
      </w:rPr>
      <w:tblPr/>
      <w:tcPr>
        <w:shd w:val="clear" w:color="auto" w:fill="E9EAEB"/>
      </w:tcPr>
    </w:tblStylePr>
    <w:tblStylePr w:type="lastRow">
      <w:pPr>
        <w:jc w:val="left"/>
      </w:pPr>
      <w:rPr>
        <w:rFonts w:ascii="Cooper Std Black" w:hAnsi="Cooper Std Black" w:hint="default"/>
        <w:b/>
        <w:color w:val="E36C0A"/>
        <w:sz w:val="22"/>
        <w:szCs w:val="22"/>
      </w:rPr>
    </w:tblStylePr>
  </w:style>
  <w:style w:type="paragraph" w:customStyle="1" w:styleId="NormalText">
    <w:name w:val="Normal Text"/>
    <w:basedOn w:val="Normal"/>
    <w:link w:val="NormalTextChar"/>
    <w:qFormat/>
    <w:rsid w:val="00622884"/>
    <w:pPr>
      <w:spacing w:after="160" w:line="360" w:lineRule="auto"/>
      <w:jc w:val="left"/>
    </w:pPr>
    <w:rPr>
      <w:rFonts w:ascii="Bahnschrift" w:eastAsia="MS Mincho" w:hAnsi="Bahnschrift" w:cs="Times New Roman"/>
      <w:noProof/>
      <w:szCs w:val="20"/>
      <w:lang w:eastAsia="en-US"/>
    </w:rPr>
  </w:style>
  <w:style w:type="character" w:customStyle="1" w:styleId="NormalTextChar">
    <w:name w:val="Normal Text Char"/>
    <w:link w:val="NormalText"/>
    <w:rsid w:val="00622884"/>
    <w:rPr>
      <w:rFonts w:ascii="Bahnschrift" w:eastAsia="MS Mincho" w:hAnsi="Bahnschrift" w:cs="Times New Roman"/>
      <w:noProof/>
      <w:szCs w:val="20"/>
      <w:lang w:val="sq-AL"/>
    </w:rPr>
  </w:style>
  <w:style w:type="character" w:customStyle="1" w:styleId="normaltextrun">
    <w:name w:val="normaltextrun"/>
    <w:basedOn w:val="DefaultParagraphFont"/>
    <w:rsid w:val="00622884"/>
  </w:style>
  <w:style w:type="character" w:customStyle="1" w:styleId="eop">
    <w:name w:val="eop"/>
    <w:basedOn w:val="DefaultParagraphFont"/>
    <w:rsid w:val="00622884"/>
  </w:style>
  <w:style w:type="table" w:customStyle="1" w:styleId="Tablaconcuadrcula4">
    <w:name w:val="Tabla con cuadrícula4"/>
    <w:basedOn w:val="TableNormal"/>
    <w:next w:val="TableGrid"/>
    <w:uiPriority w:val="39"/>
    <w:rsid w:val="00622884"/>
    <w:pPr>
      <w:spacing w:after="0" w:line="240" w:lineRule="auto"/>
    </w:pPr>
    <w:rPr>
      <w:rFonts w:ascii="Aptos" w:eastAsia="Aptos" w:hAnsi="Aptos" w:cs="Arial"/>
      <w:sz w:val="24"/>
      <w:szCs w:val="24"/>
      <w:lang w:val="es-ES" w:eastAsia="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3">
    <w:name w:val="Sin lista3"/>
    <w:next w:val="NoList"/>
    <w:uiPriority w:val="99"/>
    <w:semiHidden/>
    <w:unhideWhenUsed/>
    <w:rsid w:val="00622884"/>
  </w:style>
  <w:style w:type="paragraph" w:customStyle="1" w:styleId="Source">
    <w:name w:val="Source"/>
    <w:basedOn w:val="Normal"/>
    <w:link w:val="SourceChar"/>
    <w:qFormat/>
    <w:rsid w:val="00622884"/>
    <w:pPr>
      <w:suppressAutoHyphens/>
      <w:spacing w:after="180" w:line="240" w:lineRule="auto"/>
    </w:pPr>
    <w:rPr>
      <w:rFonts w:ascii="Arial" w:eastAsia="Times New Roman" w:hAnsi="Arial" w:cs="Times New Roman"/>
      <w:noProof/>
      <w:sz w:val="18"/>
      <w:szCs w:val="18"/>
      <w:lang w:val="en-CA" w:eastAsia="ar-SA"/>
    </w:rPr>
  </w:style>
  <w:style w:type="character" w:customStyle="1" w:styleId="SourceChar">
    <w:name w:val="Source Char"/>
    <w:link w:val="Source"/>
    <w:rsid w:val="00622884"/>
    <w:rPr>
      <w:rFonts w:ascii="Arial" w:eastAsia="Times New Roman" w:hAnsi="Arial" w:cs="Times New Roman"/>
      <w:noProof/>
      <w:sz w:val="18"/>
      <w:szCs w:val="18"/>
      <w:lang w:val="en-CA" w:eastAsia="ar-SA"/>
    </w:rPr>
  </w:style>
  <w:style w:type="character" w:customStyle="1" w:styleId="A21">
    <w:name w:val="A2+1"/>
    <w:uiPriority w:val="99"/>
    <w:rsid w:val="00622884"/>
    <w:rPr>
      <w:rFonts w:cs="DINPro-Light"/>
      <w:color w:val="000000"/>
      <w:sz w:val="20"/>
      <w:szCs w:val="20"/>
    </w:rPr>
  </w:style>
  <w:style w:type="character" w:customStyle="1" w:styleId="relative">
    <w:name w:val="relative"/>
    <w:basedOn w:val="DefaultParagraphFont"/>
    <w:rsid w:val="00622884"/>
  </w:style>
  <w:style w:type="table" w:customStyle="1" w:styleId="Tablanormal211">
    <w:name w:val="Tabla normal 211"/>
    <w:basedOn w:val="TableNormal"/>
    <w:next w:val="PlainTable2"/>
    <w:uiPriority w:val="42"/>
    <w:rsid w:val="00622884"/>
    <w:pPr>
      <w:spacing w:after="0" w:line="240" w:lineRule="auto"/>
    </w:pPr>
    <w:rPr>
      <w:rFonts w:ascii="Aptos" w:eastAsia="Aptos" w:hAnsi="Aptos" w:cs="Arial"/>
      <w:sz w:val="20"/>
      <w:szCs w:val="20"/>
      <w:lang w:val="en-GB" w:eastAsia="sq-AL"/>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Onopgemaaktetabel21">
    <w:name w:val="Onopgemaakte tabel 21"/>
    <w:basedOn w:val="TableNormal"/>
    <w:next w:val="PlainTable2"/>
    <w:uiPriority w:val="42"/>
    <w:rsid w:val="00622884"/>
    <w:pPr>
      <w:spacing w:after="0" w:line="240" w:lineRule="auto"/>
    </w:pPr>
    <w:rPr>
      <w:rFonts w:ascii="Aptos" w:eastAsia="SimSun" w:hAnsi="Aptos" w:cs="Arial"/>
      <w:sz w:val="20"/>
      <w:szCs w:val="20"/>
      <w:lang w:val="es-ES" w:eastAsia="sq-AL"/>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character" w:customStyle="1" w:styleId="FactorENTextoCar">
    <w:name w:val="Factor EN: Texto Car"/>
    <w:link w:val="FactorENTexto"/>
    <w:locked/>
    <w:rsid w:val="00622884"/>
    <w:rPr>
      <w:rFonts w:ascii="Calibri Light" w:eastAsia="MS Mincho" w:hAnsi="Calibri Light" w:cs="Times New Roman"/>
      <w:noProof/>
      <w:sz w:val="20"/>
      <w:lang w:val="en-GB" w:eastAsia="es-ES"/>
    </w:rPr>
  </w:style>
  <w:style w:type="paragraph" w:customStyle="1" w:styleId="FactorENTexto">
    <w:name w:val="Factor EN: Texto"/>
    <w:basedOn w:val="Normal"/>
    <w:next w:val="Normal"/>
    <w:link w:val="FactorENTextoCar"/>
    <w:qFormat/>
    <w:rsid w:val="00622884"/>
    <w:pPr>
      <w:tabs>
        <w:tab w:val="right" w:leader="dot" w:pos="8494"/>
      </w:tabs>
      <w:spacing w:after="160" w:line="256" w:lineRule="auto"/>
    </w:pPr>
    <w:rPr>
      <w:rFonts w:ascii="Calibri Light" w:eastAsia="MS Mincho" w:hAnsi="Calibri Light" w:cs="Times New Roman"/>
      <w:noProof/>
      <w:sz w:val="20"/>
      <w:lang w:val="en-GB" w:eastAsia="es-ES"/>
    </w:rPr>
  </w:style>
  <w:style w:type="paragraph" w:customStyle="1" w:styleId="FactorENTtuloActividades">
    <w:name w:val="Factor EN: Título Actividades"/>
    <w:basedOn w:val="Heading4"/>
    <w:next w:val="FactorENParrafonormal"/>
    <w:qFormat/>
    <w:rsid w:val="00622884"/>
    <w:pPr>
      <w:shd w:val="clear" w:color="auto" w:fill="C4E3EA"/>
    </w:pPr>
    <w:rPr>
      <w:rFonts w:ascii="Calibri Light" w:eastAsia="Yu Gothic Light" w:hAnsi="Calibri Light"/>
      <w:b/>
      <w:bCs/>
      <w:i w:val="0"/>
      <w:iCs w:val="0"/>
      <w:noProof/>
      <w:color w:val="173645"/>
      <w:sz w:val="24"/>
      <w:lang w:val="es-ES"/>
    </w:rPr>
  </w:style>
  <w:style w:type="paragraph" w:customStyle="1" w:styleId="FactorENSubttulo">
    <w:name w:val="FactorEN: Subtítulo"/>
    <w:basedOn w:val="Heading3"/>
    <w:next w:val="FactorENParrafonormal"/>
    <w:link w:val="FactorENSubttuloChar"/>
    <w:qFormat/>
    <w:rsid w:val="00622884"/>
    <w:pPr>
      <w:shd w:val="clear" w:color="auto" w:fill="1D3C5A"/>
      <w:spacing w:before="240" w:after="120" w:line="259" w:lineRule="auto"/>
      <w:jc w:val="left"/>
    </w:pPr>
    <w:rPr>
      <w:rFonts w:ascii="Calibri Light" w:eastAsia="Yu Gothic Light" w:hAnsi="Calibri Light" w:cs="Times New Roman"/>
      <w:noProof/>
      <w:color w:val="FFFFFF"/>
      <w:sz w:val="24"/>
      <w:szCs w:val="24"/>
      <w:lang w:val="es-ES" w:eastAsia="en-US"/>
    </w:rPr>
  </w:style>
  <w:style w:type="character" w:customStyle="1" w:styleId="FactorENSubttuloChar">
    <w:name w:val="FactorEN: Subtítulo Char"/>
    <w:link w:val="FactorENSubttulo"/>
    <w:rsid w:val="00622884"/>
    <w:rPr>
      <w:rFonts w:ascii="Calibri Light" w:eastAsia="Yu Gothic Light" w:hAnsi="Calibri Light" w:cs="Times New Roman"/>
      <w:b/>
      <w:bCs/>
      <w:noProof/>
      <w:color w:val="FFFFFF"/>
      <w:sz w:val="24"/>
      <w:szCs w:val="24"/>
      <w:shd w:val="clear" w:color="auto" w:fill="1D3C5A"/>
      <w:lang w:val="es-ES"/>
    </w:rPr>
  </w:style>
  <w:style w:type="paragraph" w:customStyle="1" w:styleId="BVIfnrCharCharCharCharCharChar1CharCharCharCharCharChar">
    <w:name w:val="BVI fnr Char Char Char Char Char Char1 Char Char Char Char Char Char"/>
    <w:aliases w:val="BVI fnr Car Car Char Char Char Char Char Char Char Char Char Char Char Char,BVI fnr Car Char Char Char Char Char Char Char Char Char Char Char Char Char"/>
    <w:basedOn w:val="Normal"/>
    <w:uiPriority w:val="99"/>
    <w:rsid w:val="00622884"/>
    <w:pPr>
      <w:spacing w:after="160" w:line="240" w:lineRule="exact"/>
      <w:jc w:val="left"/>
    </w:pPr>
    <w:rPr>
      <w:rFonts w:ascii="Aptos" w:eastAsia="Aptos" w:hAnsi="Aptos" w:cs="Arial"/>
      <w:noProof/>
      <w:vertAlign w:val="superscript"/>
      <w:lang w:val="es-ES" w:eastAsia="en-US"/>
    </w:rPr>
  </w:style>
  <w:style w:type="table" w:customStyle="1" w:styleId="GridTable1Light-Accent51">
    <w:name w:val="Grid Table 1 Light - Accent 51"/>
    <w:basedOn w:val="TableNormal"/>
    <w:next w:val="GridTable1Light-Accent5"/>
    <w:uiPriority w:val="46"/>
    <w:rsid w:val="00622884"/>
    <w:pPr>
      <w:spacing w:after="0" w:line="240" w:lineRule="auto"/>
    </w:pPr>
    <w:rPr>
      <w:rFonts w:ascii="Aptos" w:eastAsia="Aptos" w:hAnsi="Aptos" w:cs="Arial"/>
      <w:sz w:val="20"/>
      <w:szCs w:val="20"/>
      <w:lang w:val="en-GB" w:eastAsia="sq-AL"/>
    </w:rPr>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table" w:customStyle="1" w:styleId="Rastertabel1licht-Accent51">
    <w:name w:val="Rastertabel 1 licht - Accent 51"/>
    <w:basedOn w:val="TableNormal"/>
    <w:next w:val="GridTable1Light-Accent5"/>
    <w:uiPriority w:val="46"/>
    <w:rsid w:val="00622884"/>
    <w:pPr>
      <w:spacing w:after="0" w:line="240" w:lineRule="auto"/>
    </w:pPr>
    <w:rPr>
      <w:rFonts w:ascii="Aptos" w:eastAsia="SimSun" w:hAnsi="Aptos" w:cs="Arial"/>
      <w:sz w:val="20"/>
      <w:szCs w:val="20"/>
      <w:lang w:val="es-ES" w:eastAsia="sq-AL"/>
    </w:rPr>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paragraph" w:customStyle="1" w:styleId="FactorENTitulo">
    <w:name w:val="Factor EN: Titulo"/>
    <w:basedOn w:val="Heading1"/>
    <w:next w:val="Normal"/>
    <w:link w:val="FactorENTituloChar"/>
    <w:qFormat/>
    <w:rsid w:val="00622884"/>
    <w:pPr>
      <w:numPr>
        <w:numId w:val="33"/>
      </w:numPr>
      <w:spacing w:before="240" w:after="160" w:line="259" w:lineRule="auto"/>
    </w:pPr>
    <w:rPr>
      <w:rFonts w:ascii="Aptos Display" w:eastAsia="Yu Gothic Light" w:hAnsi="Aptos Display" w:cs="Times New Roman"/>
      <w:noProof/>
      <w:color w:val="25775E"/>
      <w:sz w:val="32"/>
      <w:szCs w:val="32"/>
      <w:lang w:val="en-GB" w:eastAsia="en-US"/>
    </w:rPr>
  </w:style>
  <w:style w:type="character" w:customStyle="1" w:styleId="FactorENTituloChar">
    <w:name w:val="Factor EN: Titulo Char"/>
    <w:link w:val="FactorENTitulo"/>
    <w:rsid w:val="00622884"/>
    <w:rPr>
      <w:rFonts w:ascii="Aptos Display" w:eastAsia="Yu Gothic Light" w:hAnsi="Aptos Display" w:cs="Times New Roman"/>
      <w:b/>
      <w:bCs/>
      <w:noProof/>
      <w:color w:val="25775E"/>
      <w:sz w:val="32"/>
      <w:szCs w:val="32"/>
      <w:lang w:val="en-GB"/>
    </w:rPr>
  </w:style>
  <w:style w:type="numbering" w:customStyle="1" w:styleId="Sinlista4">
    <w:name w:val="Sin lista4"/>
    <w:next w:val="NoList"/>
    <w:uiPriority w:val="99"/>
    <w:semiHidden/>
    <w:unhideWhenUsed/>
    <w:rsid w:val="00622884"/>
  </w:style>
  <w:style w:type="table" w:customStyle="1" w:styleId="Tabelrasterlicht2">
    <w:name w:val="Tabelraster licht2"/>
    <w:basedOn w:val="TableNormal"/>
    <w:next w:val="TableGridLight"/>
    <w:uiPriority w:val="40"/>
    <w:rsid w:val="00622884"/>
    <w:pPr>
      <w:spacing w:after="0" w:line="240" w:lineRule="auto"/>
    </w:pPr>
    <w:rPr>
      <w:rFonts w:ascii="Aptos" w:eastAsia="Aptos" w:hAnsi="Aptos" w:cs="Arial"/>
      <w:sz w:val="24"/>
      <w:szCs w:val="24"/>
      <w:lang w:val="sq-AL" w:eastAsia="sq-AL"/>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Lijsttabel2-Accent52">
    <w:name w:val="Lijsttabel 2 - Accent 52"/>
    <w:basedOn w:val="TableNormal"/>
    <w:next w:val="ListTable2-Accent5"/>
    <w:uiPriority w:val="47"/>
    <w:rsid w:val="00622884"/>
    <w:pPr>
      <w:spacing w:after="0" w:line="240" w:lineRule="auto"/>
    </w:pPr>
    <w:rPr>
      <w:rFonts w:ascii="Aptos" w:eastAsia="Aptos" w:hAnsi="Aptos" w:cs="Arial"/>
      <w:sz w:val="24"/>
      <w:szCs w:val="24"/>
      <w:lang w:val="sq-AL" w:eastAsia="sq-AL"/>
    </w:rPr>
    <w:tblPr>
      <w:tblStyleRowBandSize w:val="1"/>
      <w:tblStyleColBandSize w:val="1"/>
      <w:tblBorders>
        <w:top w:val="single" w:sz="4" w:space="0" w:color="D86DCB"/>
        <w:bottom w:val="single" w:sz="4" w:space="0" w:color="D86DCB"/>
        <w:insideH w:val="single" w:sz="4" w:space="0" w:color="D86DCB"/>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cPr>
    </w:tblStylePr>
    <w:tblStylePr w:type="band1Horz">
      <w:tblPr/>
      <w:tcPr>
        <w:shd w:val="clear" w:color="auto" w:fill="F2CEED"/>
      </w:tcPr>
    </w:tblStylePr>
  </w:style>
  <w:style w:type="table" w:customStyle="1" w:styleId="Lijsttabel1licht-Accent52">
    <w:name w:val="Lijsttabel 1 licht - Accent 52"/>
    <w:basedOn w:val="TableNormal"/>
    <w:next w:val="ListTable1Light-Accent5"/>
    <w:uiPriority w:val="46"/>
    <w:rsid w:val="00622884"/>
    <w:pPr>
      <w:spacing w:after="0" w:line="240" w:lineRule="auto"/>
    </w:pPr>
    <w:rPr>
      <w:rFonts w:ascii="Aptos" w:eastAsia="Aptos" w:hAnsi="Aptos" w:cs="Arial"/>
      <w:sz w:val="24"/>
      <w:szCs w:val="24"/>
      <w:lang w:val="sq-AL" w:eastAsia="sq-AL"/>
    </w:rPr>
    <w:tblPr>
      <w:tblStyleRowBandSize w:val="1"/>
      <w:tblStyleColBandSize w:val="1"/>
    </w:tblPr>
    <w:tblStylePr w:type="firstRow">
      <w:rPr>
        <w:b/>
        <w:bCs/>
      </w:rPr>
      <w:tblPr/>
      <w:tcPr>
        <w:tcBorders>
          <w:bottom w:val="single" w:sz="4" w:space="0" w:color="D86DCB"/>
        </w:tcBorders>
      </w:tcPr>
    </w:tblStylePr>
    <w:tblStylePr w:type="lastRow">
      <w:rPr>
        <w:b/>
        <w:bCs/>
      </w:rPr>
      <w:tblPr/>
      <w:tcPr>
        <w:tcBorders>
          <w:top w:val="single" w:sz="4" w:space="0" w:color="D86DCB"/>
        </w:tcBorders>
      </w:tcPr>
    </w:tblStylePr>
    <w:tblStylePr w:type="firstCol">
      <w:rPr>
        <w:b/>
        <w:bCs/>
      </w:rPr>
    </w:tblStylePr>
    <w:tblStylePr w:type="lastCol">
      <w:rPr>
        <w:b/>
        <w:bCs/>
      </w:rPr>
    </w:tblStylePr>
    <w:tblStylePr w:type="band1Vert">
      <w:tblPr/>
      <w:tcPr>
        <w:shd w:val="clear" w:color="auto" w:fill="F2CEED"/>
      </w:tcPr>
    </w:tblStylePr>
    <w:tblStylePr w:type="band1Horz">
      <w:tblPr/>
      <w:tcPr>
        <w:shd w:val="clear" w:color="auto" w:fill="F2CEED"/>
      </w:tcPr>
    </w:tblStylePr>
  </w:style>
  <w:style w:type="character" w:customStyle="1" w:styleId="BallontekstChar1">
    <w:name w:val="Ballontekst Char1"/>
    <w:uiPriority w:val="99"/>
    <w:semiHidden/>
    <w:rsid w:val="00622884"/>
    <w:rPr>
      <w:rFonts w:ascii="Segoe UI" w:hAnsi="Segoe UI" w:cs="Segoe UI"/>
      <w:sz w:val="18"/>
      <w:szCs w:val="18"/>
      <w:lang w:val="en-GB"/>
    </w:rPr>
  </w:style>
  <w:style w:type="table" w:customStyle="1" w:styleId="Lichtearcering-accent32">
    <w:name w:val="Lichte arcering - accent 32"/>
    <w:basedOn w:val="TableNormal"/>
    <w:next w:val="LightShading-Accent3"/>
    <w:uiPriority w:val="60"/>
    <w:semiHidden/>
    <w:unhideWhenUsed/>
    <w:rsid w:val="00622884"/>
    <w:pPr>
      <w:spacing w:after="0" w:line="240" w:lineRule="auto"/>
    </w:pPr>
    <w:rPr>
      <w:rFonts w:ascii="Aptos" w:eastAsia="Aptos" w:hAnsi="Aptos" w:cs="Arial"/>
      <w:color w:val="124F1A"/>
      <w:sz w:val="24"/>
      <w:szCs w:val="24"/>
      <w:lang w:val="sq-AL" w:eastAsia="sq-AL"/>
    </w:rPr>
    <w:tblPr>
      <w:tblStyleRowBandSize w:val="1"/>
      <w:tblStyleColBandSize w:val="1"/>
      <w:tblBorders>
        <w:top w:val="single" w:sz="8" w:space="0" w:color="196B24"/>
        <w:bottom w:val="single" w:sz="8" w:space="0" w:color="196B24"/>
      </w:tblBorders>
    </w:tblPr>
    <w:tblStylePr w:type="firstRow">
      <w:pPr>
        <w:spacing w:before="0" w:after="0" w:line="240" w:lineRule="auto"/>
      </w:pPr>
      <w:rPr>
        <w:b/>
        <w:bCs/>
      </w:rPr>
      <w:tblPr/>
      <w:tcPr>
        <w:tcBorders>
          <w:top w:val="single" w:sz="8" w:space="0" w:color="196B24"/>
          <w:left w:val="nil"/>
          <w:bottom w:val="single" w:sz="8" w:space="0" w:color="196B24"/>
          <w:right w:val="nil"/>
          <w:insideH w:val="nil"/>
          <w:insideV w:val="nil"/>
        </w:tcBorders>
      </w:tcPr>
    </w:tblStylePr>
    <w:tblStylePr w:type="lastRow">
      <w:pPr>
        <w:spacing w:before="0" w:after="0" w:line="240" w:lineRule="auto"/>
      </w:pPr>
      <w:rPr>
        <w:b/>
        <w:bCs/>
      </w:rPr>
      <w:tblPr/>
      <w:tcPr>
        <w:tcBorders>
          <w:top w:val="single" w:sz="8" w:space="0" w:color="196B24"/>
          <w:left w:val="nil"/>
          <w:bottom w:val="single" w:sz="8" w:space="0" w:color="196B2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cPr>
    </w:tblStylePr>
    <w:tblStylePr w:type="band1Horz">
      <w:tblPr/>
      <w:tcPr>
        <w:tcBorders>
          <w:left w:val="nil"/>
          <w:right w:val="nil"/>
          <w:insideH w:val="nil"/>
          <w:insideV w:val="nil"/>
        </w:tcBorders>
        <w:shd w:val="clear" w:color="auto" w:fill="B3EDBA"/>
      </w:tcPr>
    </w:tblStylePr>
  </w:style>
  <w:style w:type="paragraph" w:customStyle="1" w:styleId="Documentstructuur2">
    <w:name w:val="Documentstructuur2"/>
    <w:basedOn w:val="Normal"/>
    <w:next w:val="DocumentMap"/>
    <w:link w:val="DocumentstructuurChar1"/>
    <w:uiPriority w:val="99"/>
    <w:semiHidden/>
    <w:unhideWhenUsed/>
    <w:rsid w:val="00622884"/>
    <w:pPr>
      <w:spacing w:after="0" w:line="240" w:lineRule="auto"/>
      <w:jc w:val="left"/>
    </w:pPr>
    <w:rPr>
      <w:rFonts w:ascii="Segoe UI" w:eastAsia="Aptos" w:hAnsi="Segoe UI" w:cs="Segoe UI"/>
      <w:kern w:val="2"/>
      <w:sz w:val="16"/>
      <w:szCs w:val="16"/>
      <w:lang w:val="en-GB" w:eastAsia="en-US"/>
    </w:rPr>
  </w:style>
  <w:style w:type="character" w:customStyle="1" w:styleId="DocumentstructuurChar1">
    <w:name w:val="Documentstructuur Char1"/>
    <w:link w:val="Documentstructuur2"/>
    <w:uiPriority w:val="99"/>
    <w:semiHidden/>
    <w:rsid w:val="00622884"/>
    <w:rPr>
      <w:rFonts w:ascii="Segoe UI" w:eastAsia="Aptos" w:hAnsi="Segoe UI" w:cs="Segoe UI"/>
      <w:kern w:val="2"/>
      <w:sz w:val="16"/>
      <w:szCs w:val="16"/>
      <w:lang w:val="en-GB"/>
    </w:rPr>
  </w:style>
  <w:style w:type="table" w:customStyle="1" w:styleId="Rastertabel5donker-Accent32">
    <w:name w:val="Rastertabel 5 donker - Accent 32"/>
    <w:basedOn w:val="TableNormal"/>
    <w:next w:val="GridTable5Dark-Accent3"/>
    <w:uiPriority w:val="50"/>
    <w:rsid w:val="00622884"/>
    <w:pPr>
      <w:spacing w:after="0" w:line="240" w:lineRule="auto"/>
    </w:pPr>
    <w:rPr>
      <w:rFonts w:ascii="Aptos" w:eastAsia="Aptos" w:hAnsi="Aptos" w:cs="Arial"/>
      <w:sz w:val="24"/>
      <w:szCs w:val="24"/>
      <w:lang w:val="sq-AL" w:eastAsia="sq-AL"/>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C1F0C7"/>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196B2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196B2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196B2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196B24"/>
      </w:tcPr>
    </w:tblStylePr>
    <w:tblStylePr w:type="band1Vert">
      <w:tblPr/>
      <w:tcPr>
        <w:shd w:val="clear" w:color="auto" w:fill="84E290"/>
      </w:tcPr>
    </w:tblStylePr>
    <w:tblStylePr w:type="band1Horz">
      <w:tblPr/>
      <w:tcPr>
        <w:shd w:val="clear" w:color="auto" w:fill="84E290"/>
      </w:tcPr>
    </w:tblStylePr>
  </w:style>
  <w:style w:type="table" w:customStyle="1" w:styleId="Lijsttabel1licht-Accent32">
    <w:name w:val="Lijsttabel 1 licht - Accent 32"/>
    <w:basedOn w:val="TableNormal"/>
    <w:next w:val="ListTable1Light-Accent3"/>
    <w:uiPriority w:val="46"/>
    <w:rsid w:val="00622884"/>
    <w:pPr>
      <w:spacing w:after="0" w:line="240" w:lineRule="auto"/>
    </w:pPr>
    <w:rPr>
      <w:rFonts w:ascii="Aptos" w:eastAsia="Aptos" w:hAnsi="Aptos" w:cs="Arial"/>
      <w:sz w:val="24"/>
      <w:szCs w:val="24"/>
      <w:lang w:val="sq-AL" w:eastAsia="sq-AL"/>
    </w:rPr>
    <w:tblPr>
      <w:tblStyleRowBandSize w:val="1"/>
      <w:tblStyleColBandSize w:val="1"/>
    </w:tblPr>
    <w:tblStylePr w:type="firstRow">
      <w:rPr>
        <w:b/>
        <w:bCs/>
      </w:rPr>
      <w:tblPr/>
      <w:tcPr>
        <w:tcBorders>
          <w:bottom w:val="single" w:sz="4" w:space="0" w:color="47D459"/>
        </w:tcBorders>
      </w:tcPr>
    </w:tblStylePr>
    <w:tblStylePr w:type="lastRow">
      <w:rPr>
        <w:b/>
        <w:bCs/>
      </w:rPr>
      <w:tblPr/>
      <w:tcPr>
        <w:tcBorders>
          <w:top w:val="single" w:sz="4" w:space="0" w:color="47D459"/>
        </w:tcBorders>
      </w:tcPr>
    </w:tblStylePr>
    <w:tblStylePr w:type="firstCol">
      <w:rPr>
        <w:b/>
        <w:bCs/>
      </w:rPr>
    </w:tblStylePr>
    <w:tblStylePr w:type="lastCol">
      <w:rPr>
        <w:b/>
        <w:bCs/>
      </w:rPr>
    </w:tblStylePr>
    <w:tblStylePr w:type="band1Vert">
      <w:tblPr/>
      <w:tcPr>
        <w:shd w:val="clear" w:color="auto" w:fill="C1F0C7"/>
      </w:tcPr>
    </w:tblStylePr>
    <w:tblStylePr w:type="band1Horz">
      <w:tblPr/>
      <w:tcPr>
        <w:shd w:val="clear" w:color="auto" w:fill="C1F0C7"/>
      </w:tcPr>
    </w:tblStylePr>
  </w:style>
  <w:style w:type="paragraph" w:customStyle="1" w:styleId="Plattetekst22">
    <w:name w:val="Platte tekst 22"/>
    <w:basedOn w:val="Normal"/>
    <w:next w:val="BodyText2"/>
    <w:link w:val="Plattetekst2Char1"/>
    <w:uiPriority w:val="99"/>
    <w:semiHidden/>
    <w:unhideWhenUsed/>
    <w:rsid w:val="00622884"/>
    <w:pPr>
      <w:spacing w:line="480" w:lineRule="auto"/>
      <w:jc w:val="left"/>
    </w:pPr>
    <w:rPr>
      <w:rFonts w:ascii="Aptos" w:eastAsia="Aptos" w:hAnsi="Aptos" w:cs="Arial"/>
      <w:kern w:val="2"/>
      <w:lang w:val="en-GB" w:eastAsia="en-US"/>
    </w:rPr>
  </w:style>
  <w:style w:type="character" w:customStyle="1" w:styleId="Plattetekst2Char1">
    <w:name w:val="Platte tekst 2 Char1"/>
    <w:link w:val="Plattetekst22"/>
    <w:uiPriority w:val="99"/>
    <w:semiHidden/>
    <w:rsid w:val="00622884"/>
    <w:rPr>
      <w:rFonts w:ascii="Aptos" w:eastAsia="Aptos" w:hAnsi="Aptos" w:cs="Arial"/>
      <w:kern w:val="2"/>
      <w:lang w:val="en-GB"/>
    </w:rPr>
  </w:style>
  <w:style w:type="table" w:customStyle="1" w:styleId="Gemiddeldraster3-accent12">
    <w:name w:val="Gemiddeld raster 3 - accent 12"/>
    <w:basedOn w:val="TableNormal"/>
    <w:next w:val="MediumGrid3-Accent1"/>
    <w:uiPriority w:val="69"/>
    <w:semiHidden/>
    <w:unhideWhenUsed/>
    <w:rsid w:val="00622884"/>
    <w:pPr>
      <w:spacing w:after="0" w:line="240" w:lineRule="auto"/>
    </w:pPr>
    <w:rPr>
      <w:rFonts w:ascii="Aptos" w:eastAsia="Aptos" w:hAnsi="Aptos" w:cs="Arial"/>
      <w:sz w:val="24"/>
      <w:szCs w:val="24"/>
      <w:lang w:val="sq-AL" w:eastAsia="sq-AL"/>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B2DEF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15608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15608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15608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15608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64BDE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64BDE6"/>
      </w:tcPr>
    </w:tblStylePr>
  </w:style>
  <w:style w:type="table" w:customStyle="1" w:styleId="Rastertabel4-Accent12">
    <w:name w:val="Rastertabel 4 - Accent 12"/>
    <w:basedOn w:val="TableNormal"/>
    <w:next w:val="GridTable4-Accent1"/>
    <w:uiPriority w:val="49"/>
    <w:rsid w:val="00622884"/>
    <w:pPr>
      <w:spacing w:after="0" w:line="240" w:lineRule="auto"/>
    </w:pPr>
    <w:rPr>
      <w:rFonts w:ascii="Aptos" w:eastAsia="Aptos" w:hAnsi="Aptos" w:cs="Arial"/>
      <w:sz w:val="24"/>
      <w:szCs w:val="24"/>
      <w:lang w:val="sq-AL" w:eastAsia="sq-AL"/>
    </w:rPr>
    <w:tblPr>
      <w:tblStyleRowBandSize w:val="1"/>
      <w:tblStyleColBandSize w:val="1"/>
      <w:tblBorders>
        <w:top w:val="single" w:sz="4" w:space="0" w:color="45B0E1"/>
        <w:left w:val="single" w:sz="4" w:space="0" w:color="45B0E1"/>
        <w:bottom w:val="single" w:sz="4" w:space="0" w:color="45B0E1"/>
        <w:right w:val="single" w:sz="4" w:space="0" w:color="45B0E1"/>
        <w:insideH w:val="single" w:sz="4" w:space="0" w:color="45B0E1"/>
        <w:insideV w:val="single" w:sz="4" w:space="0" w:color="45B0E1"/>
      </w:tblBorders>
    </w:tblPr>
    <w:tblStylePr w:type="firstRow">
      <w:rPr>
        <w:b/>
        <w:bCs/>
        <w:color w:val="FFFFFF"/>
      </w:rPr>
      <w:tblPr/>
      <w:tcPr>
        <w:tcBorders>
          <w:top w:val="single" w:sz="4" w:space="0" w:color="156082"/>
          <w:left w:val="single" w:sz="4" w:space="0" w:color="156082"/>
          <w:bottom w:val="single" w:sz="4" w:space="0" w:color="156082"/>
          <w:right w:val="single" w:sz="4" w:space="0" w:color="156082"/>
          <w:insideH w:val="nil"/>
          <w:insideV w:val="nil"/>
        </w:tcBorders>
        <w:shd w:val="clear" w:color="auto" w:fill="156082"/>
      </w:tcPr>
    </w:tblStylePr>
    <w:tblStylePr w:type="lastRow">
      <w:rPr>
        <w:b/>
        <w:bCs/>
      </w:rPr>
      <w:tblPr/>
      <w:tcPr>
        <w:tcBorders>
          <w:top w:val="double" w:sz="4" w:space="0" w:color="156082"/>
        </w:tcBorders>
      </w:tcPr>
    </w:tblStylePr>
    <w:tblStylePr w:type="firstCol">
      <w:rPr>
        <w:b/>
        <w:bCs/>
      </w:rPr>
    </w:tblStylePr>
    <w:tblStylePr w:type="lastCol">
      <w:rPr>
        <w:b/>
        <w:bCs/>
      </w:rPr>
    </w:tblStylePr>
    <w:tblStylePr w:type="band1Vert">
      <w:tblPr/>
      <w:tcPr>
        <w:shd w:val="clear" w:color="auto" w:fill="C1E4F5"/>
      </w:tcPr>
    </w:tblStylePr>
    <w:tblStylePr w:type="band1Horz">
      <w:tblPr/>
      <w:tcPr>
        <w:shd w:val="clear" w:color="auto" w:fill="C1E4F5"/>
      </w:tcPr>
    </w:tblStylePr>
  </w:style>
  <w:style w:type="table" w:customStyle="1" w:styleId="Rastertabel1licht2">
    <w:name w:val="Rastertabel 1 licht2"/>
    <w:basedOn w:val="TableNormal"/>
    <w:next w:val="GridTable1Light"/>
    <w:uiPriority w:val="46"/>
    <w:rsid w:val="00622884"/>
    <w:pPr>
      <w:spacing w:after="0" w:line="240" w:lineRule="auto"/>
    </w:pPr>
    <w:rPr>
      <w:rFonts w:ascii="Aptos" w:eastAsia="Aptos" w:hAnsi="Aptos" w:cs="Arial"/>
      <w:sz w:val="24"/>
      <w:szCs w:val="24"/>
      <w:lang w:val="sq-AL" w:eastAsia="sq-AL"/>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Lichtelijst-accent32">
    <w:name w:val="Lichte lijst - accent 32"/>
    <w:basedOn w:val="TableNormal"/>
    <w:next w:val="LightList-Accent3"/>
    <w:uiPriority w:val="61"/>
    <w:semiHidden/>
    <w:unhideWhenUsed/>
    <w:rsid w:val="00622884"/>
    <w:pPr>
      <w:spacing w:after="0" w:line="240" w:lineRule="auto"/>
    </w:pPr>
    <w:rPr>
      <w:rFonts w:ascii="Aptos" w:eastAsia="Aptos" w:hAnsi="Aptos" w:cs="Arial"/>
      <w:sz w:val="24"/>
      <w:szCs w:val="24"/>
      <w:lang w:val="sq-AL" w:eastAsia="sq-AL"/>
    </w:rPr>
    <w:tblPr>
      <w:tblStyleRowBandSize w:val="1"/>
      <w:tblStyleColBandSize w:val="1"/>
      <w:tblBorders>
        <w:top w:val="single" w:sz="8" w:space="0" w:color="196B24"/>
        <w:left w:val="single" w:sz="8" w:space="0" w:color="196B24"/>
        <w:bottom w:val="single" w:sz="8" w:space="0" w:color="196B24"/>
        <w:right w:val="single" w:sz="8" w:space="0" w:color="196B24"/>
      </w:tblBorders>
    </w:tblPr>
    <w:tblStylePr w:type="firstRow">
      <w:pPr>
        <w:spacing w:before="0" w:after="0" w:line="240" w:lineRule="auto"/>
      </w:pPr>
      <w:rPr>
        <w:b/>
        <w:bCs/>
        <w:color w:val="FFFFFF"/>
      </w:rPr>
      <w:tblPr/>
      <w:tcPr>
        <w:shd w:val="clear" w:color="auto" w:fill="196B24"/>
      </w:tcPr>
    </w:tblStylePr>
    <w:tblStylePr w:type="lastRow">
      <w:pPr>
        <w:spacing w:before="0" w:after="0" w:line="240" w:lineRule="auto"/>
      </w:pPr>
      <w:rPr>
        <w:b/>
        <w:bCs/>
      </w:rPr>
      <w:tblPr/>
      <w:tcPr>
        <w:tcBorders>
          <w:top w:val="double" w:sz="6" w:space="0" w:color="196B24"/>
          <w:left w:val="single" w:sz="8" w:space="0" w:color="196B24"/>
          <w:bottom w:val="single" w:sz="8" w:space="0" w:color="196B24"/>
          <w:right w:val="single" w:sz="8" w:space="0" w:color="196B24"/>
        </w:tcBorders>
      </w:tcPr>
    </w:tblStylePr>
    <w:tblStylePr w:type="firstCol">
      <w:rPr>
        <w:b/>
        <w:bCs/>
      </w:rPr>
    </w:tblStylePr>
    <w:tblStylePr w:type="lastCol">
      <w:rPr>
        <w:b/>
        <w:bCs/>
      </w:rPr>
    </w:tblStylePr>
    <w:tblStylePr w:type="band1Vert">
      <w:tblPr/>
      <w:tcPr>
        <w:tcBorders>
          <w:top w:val="single" w:sz="8" w:space="0" w:color="196B24"/>
          <w:left w:val="single" w:sz="8" w:space="0" w:color="196B24"/>
          <w:bottom w:val="single" w:sz="8" w:space="0" w:color="196B24"/>
          <w:right w:val="single" w:sz="8" w:space="0" w:color="196B24"/>
        </w:tcBorders>
      </w:tcPr>
    </w:tblStylePr>
    <w:tblStylePr w:type="band1Horz">
      <w:tblPr/>
      <w:tcPr>
        <w:tcBorders>
          <w:top w:val="single" w:sz="8" w:space="0" w:color="196B24"/>
          <w:left w:val="single" w:sz="8" w:space="0" w:color="196B24"/>
          <w:bottom w:val="single" w:sz="8" w:space="0" w:color="196B24"/>
          <w:right w:val="single" w:sz="8" w:space="0" w:color="196B24"/>
        </w:tcBorders>
      </w:tcPr>
    </w:tblStylePr>
  </w:style>
  <w:style w:type="table" w:customStyle="1" w:styleId="Rastertabel4-Accent62">
    <w:name w:val="Rastertabel 4 - Accent 62"/>
    <w:basedOn w:val="TableNormal"/>
    <w:next w:val="GridTable4-Accent6"/>
    <w:uiPriority w:val="49"/>
    <w:rsid w:val="00622884"/>
    <w:pPr>
      <w:spacing w:after="0" w:line="240" w:lineRule="auto"/>
    </w:pPr>
    <w:rPr>
      <w:rFonts w:ascii="Aptos" w:eastAsia="Aptos" w:hAnsi="Aptos" w:cs="Arial"/>
      <w:sz w:val="24"/>
      <w:szCs w:val="24"/>
      <w:lang w:val="sq-AL" w:eastAsia="sq-AL"/>
    </w:rPr>
    <w:tblPr>
      <w:tblStyleRowBandSize w:val="1"/>
      <w:tblStyleColBandSize w:val="1"/>
      <w:tblBorders>
        <w:top w:val="single" w:sz="4" w:space="0" w:color="8DD873"/>
        <w:left w:val="single" w:sz="4" w:space="0" w:color="8DD873"/>
        <w:bottom w:val="single" w:sz="4" w:space="0" w:color="8DD873"/>
        <w:right w:val="single" w:sz="4" w:space="0" w:color="8DD873"/>
        <w:insideH w:val="single" w:sz="4" w:space="0" w:color="8DD873"/>
        <w:insideV w:val="single" w:sz="4" w:space="0" w:color="8DD873"/>
      </w:tblBorders>
    </w:tblPr>
    <w:tblStylePr w:type="firstRow">
      <w:rPr>
        <w:b/>
        <w:bCs/>
        <w:color w:val="FFFFFF"/>
      </w:rPr>
      <w:tblPr/>
      <w:tcPr>
        <w:tcBorders>
          <w:top w:val="single" w:sz="4" w:space="0" w:color="4EA72E"/>
          <w:left w:val="single" w:sz="4" w:space="0" w:color="4EA72E"/>
          <w:bottom w:val="single" w:sz="4" w:space="0" w:color="4EA72E"/>
          <w:right w:val="single" w:sz="4" w:space="0" w:color="4EA72E"/>
          <w:insideH w:val="nil"/>
          <w:insideV w:val="nil"/>
        </w:tcBorders>
        <w:shd w:val="clear" w:color="auto" w:fill="4EA72E"/>
      </w:tcPr>
    </w:tblStylePr>
    <w:tblStylePr w:type="lastRow">
      <w:rPr>
        <w:b/>
        <w:bCs/>
      </w:rPr>
      <w:tblPr/>
      <w:tcPr>
        <w:tcBorders>
          <w:top w:val="double" w:sz="4" w:space="0" w:color="4EA72E"/>
        </w:tcBorders>
      </w:tcPr>
    </w:tblStylePr>
    <w:tblStylePr w:type="firstCol">
      <w:rPr>
        <w:b/>
        <w:bCs/>
      </w:rPr>
    </w:tblStylePr>
    <w:tblStylePr w:type="lastCol">
      <w:rPr>
        <w:b/>
        <w:bCs/>
      </w:rPr>
    </w:tblStylePr>
    <w:tblStylePr w:type="band1Vert">
      <w:tblPr/>
      <w:tcPr>
        <w:shd w:val="clear" w:color="auto" w:fill="D9F2D0"/>
      </w:tcPr>
    </w:tblStylePr>
    <w:tblStylePr w:type="band1Horz">
      <w:tblPr/>
      <w:tcPr>
        <w:shd w:val="clear" w:color="auto" w:fill="D9F2D0"/>
      </w:tcPr>
    </w:tblStylePr>
  </w:style>
  <w:style w:type="table" w:customStyle="1" w:styleId="Onopgemaaktetabel52">
    <w:name w:val="Onopgemaakte tabel 52"/>
    <w:basedOn w:val="TableNormal"/>
    <w:next w:val="PlainTable5"/>
    <w:uiPriority w:val="45"/>
    <w:rsid w:val="00622884"/>
    <w:pPr>
      <w:spacing w:after="0" w:line="240" w:lineRule="auto"/>
    </w:pPr>
    <w:rPr>
      <w:rFonts w:ascii="Aptos" w:eastAsia="Aptos" w:hAnsi="Aptos" w:cs="Arial"/>
      <w:sz w:val="24"/>
      <w:szCs w:val="24"/>
      <w:lang w:val="sq-AL" w:eastAsia="sq-AL"/>
    </w:rPr>
    <w:tblPr>
      <w:tblStyleRowBandSize w:val="1"/>
      <w:tblStyleColBandSize w:val="1"/>
    </w:tblPr>
    <w:tblStylePr w:type="firstRow">
      <w:rPr>
        <w:rFonts w:ascii="Garamond" w:eastAsia="Times New Roman" w:hAnsi="Garamond" w:cs="Times New Roman"/>
        <w:i/>
        <w:iCs/>
        <w:sz w:val="26"/>
      </w:rPr>
      <w:tblPr/>
      <w:tcPr>
        <w:tcBorders>
          <w:bottom w:val="single" w:sz="4" w:space="0" w:color="7F7F7F"/>
        </w:tcBorders>
        <w:shd w:val="clear" w:color="auto" w:fill="FFFFFF"/>
      </w:tcPr>
    </w:tblStylePr>
    <w:tblStylePr w:type="lastRow">
      <w:rPr>
        <w:rFonts w:ascii="Garamond" w:eastAsia="Times New Roman" w:hAnsi="Garamond" w:cs="Times New Roman"/>
        <w:i/>
        <w:iCs/>
        <w:sz w:val="26"/>
      </w:rPr>
      <w:tblPr/>
      <w:tcPr>
        <w:tcBorders>
          <w:top w:val="single" w:sz="4" w:space="0" w:color="7F7F7F"/>
        </w:tcBorders>
        <w:shd w:val="clear" w:color="auto" w:fill="FFFFFF"/>
      </w:tcPr>
    </w:tblStylePr>
    <w:tblStylePr w:type="firstCol">
      <w:pPr>
        <w:jc w:val="right"/>
      </w:pPr>
      <w:rPr>
        <w:rFonts w:ascii="Garamond" w:eastAsia="Times New Roman" w:hAnsi="Garamond" w:cs="Times New Roman"/>
        <w:i/>
        <w:iCs/>
        <w:sz w:val="26"/>
      </w:rPr>
      <w:tblPr/>
      <w:tcPr>
        <w:tcBorders>
          <w:right w:val="single" w:sz="4" w:space="0" w:color="7F7F7F"/>
        </w:tcBorders>
        <w:shd w:val="clear" w:color="auto" w:fill="FFFFFF"/>
      </w:tcPr>
    </w:tblStylePr>
    <w:tblStylePr w:type="lastCol">
      <w:rPr>
        <w:rFonts w:ascii="Garamond" w:eastAsia="Times New Roman" w:hAnsi="Garamond"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Subtielebenadrukking2">
    <w:name w:val="Subtiele benadrukking2"/>
    <w:uiPriority w:val="19"/>
    <w:qFormat/>
    <w:rsid w:val="00622884"/>
    <w:rPr>
      <w:i/>
      <w:iCs/>
      <w:color w:val="404040"/>
    </w:rPr>
  </w:style>
  <w:style w:type="character" w:customStyle="1" w:styleId="Subtieleverwijzing2">
    <w:name w:val="Subtiele verwijzing2"/>
    <w:uiPriority w:val="31"/>
    <w:qFormat/>
    <w:rsid w:val="00622884"/>
    <w:rPr>
      <w:smallCaps/>
      <w:color w:val="5A5A5A"/>
    </w:rPr>
  </w:style>
  <w:style w:type="table" w:customStyle="1" w:styleId="Onopgemaaktetabel22">
    <w:name w:val="Onopgemaakte tabel 22"/>
    <w:basedOn w:val="TableNormal"/>
    <w:next w:val="PlainTable2"/>
    <w:uiPriority w:val="42"/>
    <w:rsid w:val="00622884"/>
    <w:pPr>
      <w:spacing w:after="0" w:line="240" w:lineRule="auto"/>
    </w:pPr>
    <w:rPr>
      <w:rFonts w:ascii="Aptos" w:eastAsia="Aptos" w:hAnsi="Aptos" w:cs="Arial"/>
      <w:sz w:val="24"/>
      <w:szCs w:val="24"/>
      <w:lang w:val="sq-AL" w:eastAsia="sq-AL"/>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Rastertabel1licht-Accent52">
    <w:name w:val="Rastertabel 1 licht - Accent 52"/>
    <w:basedOn w:val="TableNormal"/>
    <w:next w:val="GridTable1Light-Accent5"/>
    <w:uiPriority w:val="46"/>
    <w:rsid w:val="00622884"/>
    <w:pPr>
      <w:spacing w:after="0" w:line="240" w:lineRule="auto"/>
    </w:pPr>
    <w:rPr>
      <w:rFonts w:ascii="Aptos" w:eastAsia="Aptos" w:hAnsi="Aptos" w:cs="Arial"/>
      <w:sz w:val="24"/>
      <w:szCs w:val="24"/>
      <w:lang w:val="sq-AL" w:eastAsia="sq-AL"/>
    </w:rPr>
    <w:tblPr>
      <w:tblStyleRowBandSize w:val="1"/>
      <w:tblStyleColBandSize w:val="1"/>
      <w:tblBorders>
        <w:top w:val="single" w:sz="4" w:space="0" w:color="E59EDC"/>
        <w:left w:val="single" w:sz="4" w:space="0" w:color="E59EDC"/>
        <w:bottom w:val="single" w:sz="4" w:space="0" w:color="E59EDC"/>
        <w:right w:val="single" w:sz="4" w:space="0" w:color="E59EDC"/>
        <w:insideH w:val="single" w:sz="4" w:space="0" w:color="E59EDC"/>
        <w:insideV w:val="single" w:sz="4" w:space="0" w:color="E59EDC"/>
      </w:tblBorders>
    </w:tblPr>
    <w:tblStylePr w:type="firstRow">
      <w:rPr>
        <w:b/>
        <w:bCs/>
      </w:rPr>
      <w:tblPr/>
      <w:tcPr>
        <w:tcBorders>
          <w:bottom w:val="single" w:sz="12" w:space="0" w:color="D86DCB"/>
        </w:tcBorders>
      </w:tcPr>
    </w:tblStylePr>
    <w:tblStylePr w:type="lastRow">
      <w:rPr>
        <w:b/>
        <w:bCs/>
      </w:rPr>
      <w:tblPr/>
      <w:tcPr>
        <w:tcBorders>
          <w:top w:val="double" w:sz="2" w:space="0" w:color="D86DCB"/>
        </w:tcBorders>
      </w:tcPr>
    </w:tblStylePr>
    <w:tblStylePr w:type="firstCol">
      <w:rPr>
        <w:b/>
        <w:bCs/>
      </w:rPr>
    </w:tblStylePr>
    <w:tblStylePr w:type="lastCol">
      <w:rPr>
        <w:b/>
        <w:bCs/>
      </w:rPr>
    </w:tblStylePr>
  </w:style>
  <w:style w:type="table" w:styleId="TableGridLight">
    <w:name w:val="Grid Table Light"/>
    <w:basedOn w:val="TableNormal"/>
    <w:uiPriority w:val="40"/>
    <w:rsid w:val="00622884"/>
    <w:pPr>
      <w:spacing w:after="0" w:line="240" w:lineRule="auto"/>
    </w:pPr>
    <w:rPr>
      <w:rFonts w:ascii="Aptos" w:eastAsia="Aptos" w:hAnsi="Aptos" w:cs="Arial"/>
      <w:sz w:val="20"/>
      <w:szCs w:val="20"/>
      <w:lang w:val="sq-AL" w:eastAsia="sq-AL"/>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ListTable2-Accent5">
    <w:name w:val="List Table 2 Accent 5"/>
    <w:basedOn w:val="TableNormal"/>
    <w:uiPriority w:val="47"/>
    <w:rsid w:val="00622884"/>
    <w:pPr>
      <w:spacing w:after="0" w:line="240" w:lineRule="auto"/>
    </w:pPr>
    <w:rPr>
      <w:rFonts w:ascii="Aptos" w:eastAsia="Aptos" w:hAnsi="Aptos" w:cs="Arial"/>
      <w:sz w:val="20"/>
      <w:szCs w:val="20"/>
      <w:lang w:val="sq-AL" w:eastAsia="sq-AL"/>
    </w:rPr>
    <w:tblPr>
      <w:tblStyleRowBandSize w:val="1"/>
      <w:tblStyleColBandSize w:val="1"/>
      <w:tblBorders>
        <w:top w:val="single" w:sz="4" w:space="0" w:color="D86DCB"/>
        <w:bottom w:val="single" w:sz="4" w:space="0" w:color="D86DCB"/>
        <w:insideH w:val="single" w:sz="4" w:space="0" w:color="D86DCB"/>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cPr>
    </w:tblStylePr>
    <w:tblStylePr w:type="band1Horz">
      <w:tblPr/>
      <w:tcPr>
        <w:shd w:val="clear" w:color="auto" w:fill="F2CEED"/>
      </w:tcPr>
    </w:tblStylePr>
  </w:style>
  <w:style w:type="table" w:styleId="ListTable1Light-Accent5">
    <w:name w:val="List Table 1 Light Accent 5"/>
    <w:basedOn w:val="TableNormal"/>
    <w:uiPriority w:val="46"/>
    <w:rsid w:val="00622884"/>
    <w:pPr>
      <w:spacing w:after="0" w:line="240" w:lineRule="auto"/>
    </w:pPr>
    <w:rPr>
      <w:rFonts w:ascii="Aptos" w:eastAsia="Aptos" w:hAnsi="Aptos" w:cs="Arial"/>
      <w:sz w:val="20"/>
      <w:szCs w:val="20"/>
      <w:lang w:val="sq-AL" w:eastAsia="sq-AL"/>
    </w:rPr>
    <w:tblPr>
      <w:tblStyleRowBandSize w:val="1"/>
      <w:tblStyleColBandSize w:val="1"/>
    </w:tblPr>
    <w:tblStylePr w:type="firstRow">
      <w:rPr>
        <w:b/>
        <w:bCs/>
      </w:rPr>
      <w:tblPr/>
      <w:tcPr>
        <w:tcBorders>
          <w:bottom w:val="single" w:sz="4" w:space="0" w:color="D86DCB"/>
        </w:tcBorders>
      </w:tcPr>
    </w:tblStylePr>
    <w:tblStylePr w:type="lastRow">
      <w:rPr>
        <w:b/>
        <w:bCs/>
      </w:rPr>
      <w:tblPr/>
      <w:tcPr>
        <w:tcBorders>
          <w:top w:val="single" w:sz="4" w:space="0" w:color="D86DCB"/>
        </w:tcBorders>
      </w:tcPr>
    </w:tblStylePr>
    <w:tblStylePr w:type="firstCol">
      <w:rPr>
        <w:b/>
        <w:bCs/>
      </w:rPr>
    </w:tblStylePr>
    <w:tblStylePr w:type="lastCol">
      <w:rPr>
        <w:b/>
        <w:bCs/>
      </w:rPr>
    </w:tblStylePr>
    <w:tblStylePr w:type="band1Vert">
      <w:tblPr/>
      <w:tcPr>
        <w:shd w:val="clear" w:color="auto" w:fill="F2CEED"/>
      </w:tcPr>
    </w:tblStylePr>
    <w:tblStylePr w:type="band1Horz">
      <w:tblPr/>
      <w:tcPr>
        <w:shd w:val="clear" w:color="auto" w:fill="F2CEED"/>
      </w:tcPr>
    </w:tblStylePr>
  </w:style>
  <w:style w:type="table" w:styleId="LightShading-Accent3">
    <w:name w:val="Light Shading Accent 3"/>
    <w:basedOn w:val="TableNormal"/>
    <w:uiPriority w:val="60"/>
    <w:semiHidden/>
    <w:unhideWhenUsed/>
    <w:rsid w:val="00622884"/>
    <w:pPr>
      <w:spacing w:after="0" w:line="240" w:lineRule="auto"/>
    </w:pPr>
    <w:rPr>
      <w:rFonts w:ascii="Aptos" w:eastAsia="Aptos" w:hAnsi="Aptos" w:cs="Arial"/>
      <w:color w:val="124F1A"/>
      <w:sz w:val="20"/>
      <w:szCs w:val="20"/>
      <w:lang w:val="sq-AL" w:eastAsia="sq-AL"/>
    </w:rPr>
    <w:tblPr>
      <w:tblStyleRowBandSize w:val="1"/>
      <w:tblStyleColBandSize w:val="1"/>
      <w:tblBorders>
        <w:top w:val="single" w:sz="8" w:space="0" w:color="196B24"/>
        <w:bottom w:val="single" w:sz="8" w:space="0" w:color="196B24"/>
      </w:tblBorders>
    </w:tblPr>
    <w:tblStylePr w:type="firstRow">
      <w:pPr>
        <w:spacing w:before="0" w:after="0" w:line="240" w:lineRule="auto"/>
      </w:pPr>
      <w:rPr>
        <w:b/>
        <w:bCs/>
      </w:rPr>
      <w:tblPr/>
      <w:tcPr>
        <w:tcBorders>
          <w:top w:val="single" w:sz="8" w:space="0" w:color="196B24"/>
          <w:left w:val="nil"/>
          <w:bottom w:val="single" w:sz="8" w:space="0" w:color="196B24"/>
          <w:right w:val="nil"/>
          <w:insideH w:val="nil"/>
          <w:insideV w:val="nil"/>
        </w:tcBorders>
      </w:tcPr>
    </w:tblStylePr>
    <w:tblStylePr w:type="lastRow">
      <w:pPr>
        <w:spacing w:before="0" w:after="0" w:line="240" w:lineRule="auto"/>
      </w:pPr>
      <w:rPr>
        <w:b/>
        <w:bCs/>
      </w:rPr>
      <w:tblPr/>
      <w:tcPr>
        <w:tcBorders>
          <w:top w:val="single" w:sz="8" w:space="0" w:color="196B24"/>
          <w:left w:val="nil"/>
          <w:bottom w:val="single" w:sz="8" w:space="0" w:color="196B2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cPr>
    </w:tblStylePr>
    <w:tblStylePr w:type="band1Horz">
      <w:tblPr/>
      <w:tcPr>
        <w:tcBorders>
          <w:left w:val="nil"/>
          <w:right w:val="nil"/>
          <w:insideH w:val="nil"/>
          <w:insideV w:val="nil"/>
        </w:tcBorders>
        <w:shd w:val="clear" w:color="auto" w:fill="B3EDBA"/>
      </w:tcPr>
    </w:tblStylePr>
  </w:style>
  <w:style w:type="table" w:styleId="GridTable5Dark-Accent3">
    <w:name w:val="Grid Table 5 Dark Accent 3"/>
    <w:basedOn w:val="TableNormal"/>
    <w:uiPriority w:val="50"/>
    <w:rsid w:val="00622884"/>
    <w:pPr>
      <w:spacing w:after="0" w:line="240" w:lineRule="auto"/>
    </w:pPr>
    <w:rPr>
      <w:rFonts w:ascii="Aptos" w:eastAsia="Aptos" w:hAnsi="Aptos" w:cs="Arial"/>
      <w:sz w:val="20"/>
      <w:szCs w:val="20"/>
      <w:lang w:val="sq-AL" w:eastAsia="sq-AL"/>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C1F0C7"/>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196B2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196B2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196B2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196B24"/>
      </w:tcPr>
    </w:tblStylePr>
    <w:tblStylePr w:type="band1Vert">
      <w:tblPr/>
      <w:tcPr>
        <w:shd w:val="clear" w:color="auto" w:fill="84E290"/>
      </w:tcPr>
    </w:tblStylePr>
    <w:tblStylePr w:type="band1Horz">
      <w:tblPr/>
      <w:tcPr>
        <w:shd w:val="clear" w:color="auto" w:fill="84E290"/>
      </w:tcPr>
    </w:tblStylePr>
  </w:style>
  <w:style w:type="table" w:styleId="ListTable1Light-Accent3">
    <w:name w:val="List Table 1 Light Accent 3"/>
    <w:basedOn w:val="TableNormal"/>
    <w:uiPriority w:val="46"/>
    <w:rsid w:val="00622884"/>
    <w:pPr>
      <w:spacing w:after="0" w:line="240" w:lineRule="auto"/>
    </w:pPr>
    <w:rPr>
      <w:rFonts w:ascii="Aptos" w:eastAsia="Aptos" w:hAnsi="Aptos" w:cs="Arial"/>
      <w:sz w:val="20"/>
      <w:szCs w:val="20"/>
      <w:lang w:val="sq-AL" w:eastAsia="sq-AL"/>
    </w:rPr>
    <w:tblPr>
      <w:tblStyleRowBandSize w:val="1"/>
      <w:tblStyleColBandSize w:val="1"/>
    </w:tblPr>
    <w:tblStylePr w:type="firstRow">
      <w:rPr>
        <w:b/>
        <w:bCs/>
      </w:rPr>
      <w:tblPr/>
      <w:tcPr>
        <w:tcBorders>
          <w:bottom w:val="single" w:sz="4" w:space="0" w:color="47D459"/>
        </w:tcBorders>
      </w:tcPr>
    </w:tblStylePr>
    <w:tblStylePr w:type="lastRow">
      <w:rPr>
        <w:b/>
        <w:bCs/>
      </w:rPr>
      <w:tblPr/>
      <w:tcPr>
        <w:tcBorders>
          <w:top w:val="single" w:sz="4" w:space="0" w:color="47D459"/>
        </w:tcBorders>
      </w:tcPr>
    </w:tblStylePr>
    <w:tblStylePr w:type="firstCol">
      <w:rPr>
        <w:b/>
        <w:bCs/>
      </w:rPr>
    </w:tblStylePr>
    <w:tblStylePr w:type="lastCol">
      <w:rPr>
        <w:b/>
        <w:bCs/>
      </w:rPr>
    </w:tblStylePr>
    <w:tblStylePr w:type="band1Vert">
      <w:tblPr/>
      <w:tcPr>
        <w:shd w:val="clear" w:color="auto" w:fill="C1F0C7"/>
      </w:tcPr>
    </w:tblStylePr>
    <w:tblStylePr w:type="band1Horz">
      <w:tblPr/>
      <w:tcPr>
        <w:shd w:val="clear" w:color="auto" w:fill="C1F0C7"/>
      </w:tcPr>
    </w:tblStylePr>
  </w:style>
  <w:style w:type="table" w:styleId="MediumGrid3-Accent1">
    <w:name w:val="Medium Grid 3 Accent 1"/>
    <w:basedOn w:val="TableNormal"/>
    <w:uiPriority w:val="69"/>
    <w:semiHidden/>
    <w:unhideWhenUsed/>
    <w:rsid w:val="00622884"/>
    <w:pPr>
      <w:spacing w:after="0" w:line="240" w:lineRule="auto"/>
    </w:pPr>
    <w:rPr>
      <w:rFonts w:ascii="Aptos" w:eastAsia="Aptos" w:hAnsi="Aptos" w:cs="Arial"/>
      <w:sz w:val="20"/>
      <w:szCs w:val="20"/>
      <w:lang w:val="sq-AL" w:eastAsia="sq-AL"/>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B2DEF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15608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15608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15608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15608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64BDE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64BDE6"/>
      </w:tcPr>
    </w:tblStylePr>
  </w:style>
  <w:style w:type="table" w:styleId="GridTable4-Accent1">
    <w:name w:val="Grid Table 4 Accent 1"/>
    <w:basedOn w:val="TableNormal"/>
    <w:uiPriority w:val="49"/>
    <w:rsid w:val="00622884"/>
    <w:pPr>
      <w:spacing w:after="0" w:line="240" w:lineRule="auto"/>
    </w:pPr>
    <w:rPr>
      <w:rFonts w:ascii="Aptos" w:eastAsia="Aptos" w:hAnsi="Aptos" w:cs="Arial"/>
      <w:sz w:val="20"/>
      <w:szCs w:val="20"/>
      <w:lang w:val="sq-AL" w:eastAsia="sq-AL"/>
    </w:rPr>
    <w:tblPr>
      <w:tblStyleRowBandSize w:val="1"/>
      <w:tblStyleColBandSize w:val="1"/>
      <w:tblBorders>
        <w:top w:val="single" w:sz="4" w:space="0" w:color="45B0E1"/>
        <w:left w:val="single" w:sz="4" w:space="0" w:color="45B0E1"/>
        <w:bottom w:val="single" w:sz="4" w:space="0" w:color="45B0E1"/>
        <w:right w:val="single" w:sz="4" w:space="0" w:color="45B0E1"/>
        <w:insideH w:val="single" w:sz="4" w:space="0" w:color="45B0E1"/>
        <w:insideV w:val="single" w:sz="4" w:space="0" w:color="45B0E1"/>
      </w:tblBorders>
    </w:tblPr>
    <w:tblStylePr w:type="firstRow">
      <w:rPr>
        <w:b/>
        <w:bCs/>
        <w:color w:val="FFFFFF"/>
      </w:rPr>
      <w:tblPr/>
      <w:tcPr>
        <w:tcBorders>
          <w:top w:val="single" w:sz="4" w:space="0" w:color="156082"/>
          <w:left w:val="single" w:sz="4" w:space="0" w:color="156082"/>
          <w:bottom w:val="single" w:sz="4" w:space="0" w:color="156082"/>
          <w:right w:val="single" w:sz="4" w:space="0" w:color="156082"/>
          <w:insideH w:val="nil"/>
          <w:insideV w:val="nil"/>
        </w:tcBorders>
        <w:shd w:val="clear" w:color="auto" w:fill="156082"/>
      </w:tcPr>
    </w:tblStylePr>
    <w:tblStylePr w:type="lastRow">
      <w:rPr>
        <w:b/>
        <w:bCs/>
      </w:rPr>
      <w:tblPr/>
      <w:tcPr>
        <w:tcBorders>
          <w:top w:val="double" w:sz="4" w:space="0" w:color="156082"/>
        </w:tcBorders>
      </w:tcPr>
    </w:tblStylePr>
    <w:tblStylePr w:type="firstCol">
      <w:rPr>
        <w:b/>
        <w:bCs/>
      </w:rPr>
    </w:tblStylePr>
    <w:tblStylePr w:type="lastCol">
      <w:rPr>
        <w:b/>
        <w:bCs/>
      </w:rPr>
    </w:tblStylePr>
    <w:tblStylePr w:type="band1Vert">
      <w:tblPr/>
      <w:tcPr>
        <w:shd w:val="clear" w:color="auto" w:fill="C1E4F5"/>
      </w:tcPr>
    </w:tblStylePr>
    <w:tblStylePr w:type="band1Horz">
      <w:tblPr/>
      <w:tcPr>
        <w:shd w:val="clear" w:color="auto" w:fill="C1E4F5"/>
      </w:tcPr>
    </w:tblStylePr>
  </w:style>
  <w:style w:type="table" w:styleId="GridTable1Light">
    <w:name w:val="Grid Table 1 Light"/>
    <w:basedOn w:val="TableNormal"/>
    <w:uiPriority w:val="46"/>
    <w:rsid w:val="00622884"/>
    <w:pPr>
      <w:spacing w:after="0" w:line="240" w:lineRule="auto"/>
    </w:pPr>
    <w:rPr>
      <w:rFonts w:ascii="Aptos" w:eastAsia="Aptos" w:hAnsi="Aptos" w:cs="Arial"/>
      <w:sz w:val="20"/>
      <w:szCs w:val="20"/>
      <w:lang w:val="sq-AL" w:eastAsia="sq-AL"/>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styleId="LightList-Accent3">
    <w:name w:val="Light List Accent 3"/>
    <w:basedOn w:val="TableNormal"/>
    <w:uiPriority w:val="61"/>
    <w:semiHidden/>
    <w:unhideWhenUsed/>
    <w:rsid w:val="00622884"/>
    <w:pPr>
      <w:spacing w:after="0" w:line="240" w:lineRule="auto"/>
    </w:pPr>
    <w:rPr>
      <w:rFonts w:ascii="Aptos" w:eastAsia="Aptos" w:hAnsi="Aptos" w:cs="Arial"/>
      <w:sz w:val="20"/>
      <w:szCs w:val="20"/>
      <w:lang w:val="sq-AL" w:eastAsia="sq-AL"/>
    </w:rPr>
    <w:tblPr>
      <w:tblStyleRowBandSize w:val="1"/>
      <w:tblStyleColBandSize w:val="1"/>
      <w:tblBorders>
        <w:top w:val="single" w:sz="8" w:space="0" w:color="196B24"/>
        <w:left w:val="single" w:sz="8" w:space="0" w:color="196B24"/>
        <w:bottom w:val="single" w:sz="8" w:space="0" w:color="196B24"/>
        <w:right w:val="single" w:sz="8" w:space="0" w:color="196B24"/>
      </w:tblBorders>
    </w:tblPr>
    <w:tblStylePr w:type="firstRow">
      <w:pPr>
        <w:spacing w:before="0" w:after="0" w:line="240" w:lineRule="auto"/>
      </w:pPr>
      <w:rPr>
        <w:b/>
        <w:bCs/>
        <w:color w:val="FFFFFF"/>
      </w:rPr>
      <w:tblPr/>
      <w:tcPr>
        <w:shd w:val="clear" w:color="auto" w:fill="196B24"/>
      </w:tcPr>
    </w:tblStylePr>
    <w:tblStylePr w:type="lastRow">
      <w:pPr>
        <w:spacing w:before="0" w:after="0" w:line="240" w:lineRule="auto"/>
      </w:pPr>
      <w:rPr>
        <w:b/>
        <w:bCs/>
      </w:rPr>
      <w:tblPr/>
      <w:tcPr>
        <w:tcBorders>
          <w:top w:val="double" w:sz="6" w:space="0" w:color="196B24"/>
          <w:left w:val="single" w:sz="8" w:space="0" w:color="196B24"/>
          <w:bottom w:val="single" w:sz="8" w:space="0" w:color="196B24"/>
          <w:right w:val="single" w:sz="8" w:space="0" w:color="196B24"/>
        </w:tcBorders>
      </w:tcPr>
    </w:tblStylePr>
    <w:tblStylePr w:type="firstCol">
      <w:rPr>
        <w:b/>
        <w:bCs/>
      </w:rPr>
    </w:tblStylePr>
    <w:tblStylePr w:type="lastCol">
      <w:rPr>
        <w:b/>
        <w:bCs/>
      </w:rPr>
    </w:tblStylePr>
    <w:tblStylePr w:type="band1Vert">
      <w:tblPr/>
      <w:tcPr>
        <w:tcBorders>
          <w:top w:val="single" w:sz="8" w:space="0" w:color="196B24"/>
          <w:left w:val="single" w:sz="8" w:space="0" w:color="196B24"/>
          <w:bottom w:val="single" w:sz="8" w:space="0" w:color="196B24"/>
          <w:right w:val="single" w:sz="8" w:space="0" w:color="196B24"/>
        </w:tcBorders>
      </w:tcPr>
    </w:tblStylePr>
    <w:tblStylePr w:type="band1Horz">
      <w:tblPr/>
      <w:tcPr>
        <w:tcBorders>
          <w:top w:val="single" w:sz="8" w:space="0" w:color="196B24"/>
          <w:left w:val="single" w:sz="8" w:space="0" w:color="196B24"/>
          <w:bottom w:val="single" w:sz="8" w:space="0" w:color="196B24"/>
          <w:right w:val="single" w:sz="8" w:space="0" w:color="196B24"/>
        </w:tcBorders>
      </w:tcPr>
    </w:tblStylePr>
  </w:style>
  <w:style w:type="table" w:styleId="GridTable4-Accent6">
    <w:name w:val="Grid Table 4 Accent 6"/>
    <w:basedOn w:val="TableNormal"/>
    <w:uiPriority w:val="49"/>
    <w:rsid w:val="00622884"/>
    <w:pPr>
      <w:spacing w:after="0" w:line="240" w:lineRule="auto"/>
    </w:pPr>
    <w:rPr>
      <w:rFonts w:ascii="Aptos" w:eastAsia="Aptos" w:hAnsi="Aptos" w:cs="Arial"/>
      <w:sz w:val="20"/>
      <w:szCs w:val="20"/>
      <w:lang w:val="sq-AL" w:eastAsia="sq-AL"/>
    </w:rPr>
    <w:tblPr>
      <w:tblStyleRowBandSize w:val="1"/>
      <w:tblStyleColBandSize w:val="1"/>
      <w:tblBorders>
        <w:top w:val="single" w:sz="4" w:space="0" w:color="8DD873"/>
        <w:left w:val="single" w:sz="4" w:space="0" w:color="8DD873"/>
        <w:bottom w:val="single" w:sz="4" w:space="0" w:color="8DD873"/>
        <w:right w:val="single" w:sz="4" w:space="0" w:color="8DD873"/>
        <w:insideH w:val="single" w:sz="4" w:space="0" w:color="8DD873"/>
        <w:insideV w:val="single" w:sz="4" w:space="0" w:color="8DD873"/>
      </w:tblBorders>
    </w:tblPr>
    <w:tblStylePr w:type="firstRow">
      <w:rPr>
        <w:b/>
        <w:bCs/>
        <w:color w:val="FFFFFF"/>
      </w:rPr>
      <w:tblPr/>
      <w:tcPr>
        <w:tcBorders>
          <w:top w:val="single" w:sz="4" w:space="0" w:color="4EA72E"/>
          <w:left w:val="single" w:sz="4" w:space="0" w:color="4EA72E"/>
          <w:bottom w:val="single" w:sz="4" w:space="0" w:color="4EA72E"/>
          <w:right w:val="single" w:sz="4" w:space="0" w:color="4EA72E"/>
          <w:insideH w:val="nil"/>
          <w:insideV w:val="nil"/>
        </w:tcBorders>
        <w:shd w:val="clear" w:color="auto" w:fill="4EA72E"/>
      </w:tcPr>
    </w:tblStylePr>
    <w:tblStylePr w:type="lastRow">
      <w:rPr>
        <w:b/>
        <w:bCs/>
      </w:rPr>
      <w:tblPr/>
      <w:tcPr>
        <w:tcBorders>
          <w:top w:val="double" w:sz="4" w:space="0" w:color="4EA72E"/>
        </w:tcBorders>
      </w:tcPr>
    </w:tblStylePr>
    <w:tblStylePr w:type="firstCol">
      <w:rPr>
        <w:b/>
        <w:bCs/>
      </w:rPr>
    </w:tblStylePr>
    <w:tblStylePr w:type="lastCol">
      <w:rPr>
        <w:b/>
        <w:bCs/>
      </w:rPr>
    </w:tblStylePr>
    <w:tblStylePr w:type="band1Vert">
      <w:tblPr/>
      <w:tcPr>
        <w:shd w:val="clear" w:color="auto" w:fill="D9F2D0"/>
      </w:tcPr>
    </w:tblStylePr>
    <w:tblStylePr w:type="band1Horz">
      <w:tblPr/>
      <w:tcPr>
        <w:shd w:val="clear" w:color="auto" w:fill="D9F2D0"/>
      </w:tcPr>
    </w:tblStylePr>
  </w:style>
  <w:style w:type="table" w:styleId="PlainTable5">
    <w:name w:val="Plain Table 5"/>
    <w:basedOn w:val="TableNormal"/>
    <w:uiPriority w:val="45"/>
    <w:rsid w:val="00622884"/>
    <w:pPr>
      <w:spacing w:after="0" w:line="240" w:lineRule="auto"/>
    </w:pPr>
    <w:rPr>
      <w:rFonts w:ascii="Aptos" w:eastAsia="Aptos" w:hAnsi="Aptos" w:cs="Arial"/>
      <w:sz w:val="20"/>
      <w:szCs w:val="20"/>
      <w:lang w:val="sq-AL" w:eastAsia="sq-AL"/>
    </w:rPr>
    <w:tblPr>
      <w:tblStyleRowBandSize w:val="1"/>
      <w:tblStyleColBandSize w:val="1"/>
    </w:tblPr>
    <w:tblStylePr w:type="firstRow">
      <w:rPr>
        <w:rFonts w:ascii="Garamond" w:eastAsia="CG Times" w:hAnsi="Garamond" w:cs="Times New Roman"/>
        <w:i/>
        <w:iCs/>
        <w:sz w:val="26"/>
      </w:rPr>
      <w:tblPr/>
      <w:tcPr>
        <w:tcBorders>
          <w:bottom w:val="single" w:sz="4" w:space="0" w:color="7F7F7F"/>
        </w:tcBorders>
        <w:shd w:val="clear" w:color="auto" w:fill="FFFFFF"/>
      </w:tcPr>
    </w:tblStylePr>
    <w:tblStylePr w:type="lastRow">
      <w:rPr>
        <w:rFonts w:ascii="Garamond" w:eastAsia="CG Times" w:hAnsi="Garamond" w:cs="Times New Roman"/>
        <w:i/>
        <w:iCs/>
        <w:sz w:val="26"/>
      </w:rPr>
      <w:tblPr/>
      <w:tcPr>
        <w:tcBorders>
          <w:top w:val="single" w:sz="4" w:space="0" w:color="7F7F7F"/>
        </w:tcBorders>
        <w:shd w:val="clear" w:color="auto" w:fill="FFFFFF"/>
      </w:tcPr>
    </w:tblStylePr>
    <w:tblStylePr w:type="firstCol">
      <w:pPr>
        <w:jc w:val="right"/>
      </w:pPr>
      <w:rPr>
        <w:rFonts w:ascii="Garamond" w:eastAsia="CG Times" w:hAnsi="Garamond" w:cs="Times New Roman"/>
        <w:i/>
        <w:iCs/>
        <w:sz w:val="26"/>
      </w:rPr>
      <w:tblPr/>
      <w:tcPr>
        <w:tcBorders>
          <w:right w:val="single" w:sz="4" w:space="0" w:color="7F7F7F"/>
        </w:tcBorders>
        <w:shd w:val="clear" w:color="auto" w:fill="FFFFFF"/>
      </w:tcPr>
    </w:tblStylePr>
    <w:tblStylePr w:type="lastCol">
      <w:rPr>
        <w:rFonts w:ascii="Garamond" w:eastAsia="CG Times" w:hAnsi="Garamond"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ubtleEmphasis">
    <w:name w:val="Subtle Emphasis"/>
    <w:uiPriority w:val="19"/>
    <w:qFormat/>
    <w:rsid w:val="00622884"/>
    <w:rPr>
      <w:i/>
      <w:iCs/>
      <w:color w:val="404040"/>
    </w:rPr>
  </w:style>
  <w:style w:type="character" w:styleId="SubtleReference">
    <w:name w:val="Subtle Reference"/>
    <w:uiPriority w:val="31"/>
    <w:qFormat/>
    <w:rsid w:val="00622884"/>
    <w:rPr>
      <w:smallCaps/>
      <w:color w:val="5A5A5A"/>
    </w:rPr>
  </w:style>
  <w:style w:type="table" w:styleId="PlainTable2">
    <w:name w:val="Plain Table 2"/>
    <w:basedOn w:val="TableNormal"/>
    <w:uiPriority w:val="42"/>
    <w:rsid w:val="00622884"/>
    <w:pPr>
      <w:spacing w:after="0" w:line="240" w:lineRule="auto"/>
    </w:pPr>
    <w:rPr>
      <w:rFonts w:ascii="Aptos" w:eastAsia="Aptos" w:hAnsi="Aptos" w:cs="Arial"/>
      <w:sz w:val="20"/>
      <w:szCs w:val="20"/>
      <w:lang w:val="sq-AL" w:eastAsia="sq-AL"/>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styleId="GridTable1Light-Accent5">
    <w:name w:val="Grid Table 1 Light Accent 5"/>
    <w:basedOn w:val="TableNormal"/>
    <w:uiPriority w:val="46"/>
    <w:rsid w:val="00622884"/>
    <w:pPr>
      <w:spacing w:after="0" w:line="240" w:lineRule="auto"/>
    </w:pPr>
    <w:rPr>
      <w:rFonts w:ascii="Aptos" w:eastAsia="Aptos" w:hAnsi="Aptos" w:cs="Arial"/>
      <w:sz w:val="20"/>
      <w:szCs w:val="20"/>
      <w:lang w:val="sq-AL" w:eastAsia="sq-AL"/>
    </w:rPr>
    <w:tblPr>
      <w:tblStyleRowBandSize w:val="1"/>
      <w:tblStyleColBandSize w:val="1"/>
      <w:tblBorders>
        <w:top w:val="single" w:sz="4" w:space="0" w:color="E59EDC"/>
        <w:left w:val="single" w:sz="4" w:space="0" w:color="E59EDC"/>
        <w:bottom w:val="single" w:sz="4" w:space="0" w:color="E59EDC"/>
        <w:right w:val="single" w:sz="4" w:space="0" w:color="E59EDC"/>
        <w:insideH w:val="single" w:sz="4" w:space="0" w:color="E59EDC"/>
        <w:insideV w:val="single" w:sz="4" w:space="0" w:color="E59EDC"/>
      </w:tblBorders>
    </w:tblPr>
    <w:tblStylePr w:type="firstRow">
      <w:rPr>
        <w:b/>
        <w:bCs/>
      </w:rPr>
      <w:tblPr/>
      <w:tcPr>
        <w:tcBorders>
          <w:bottom w:val="single" w:sz="12" w:space="0" w:color="D86DCB"/>
        </w:tcBorders>
      </w:tcPr>
    </w:tblStylePr>
    <w:tblStylePr w:type="lastRow">
      <w:rPr>
        <w:b/>
        <w:bCs/>
      </w:rPr>
      <w:tblPr/>
      <w:tcPr>
        <w:tcBorders>
          <w:top w:val="double" w:sz="2" w:space="0" w:color="D86DCB"/>
        </w:tcBorders>
      </w:tcPr>
    </w:tblStylePr>
    <w:tblStylePr w:type="firstCol">
      <w:rPr>
        <w:b/>
        <w:bCs/>
      </w:rPr>
    </w:tblStylePr>
    <w:tblStylePr w:type="lastCol">
      <w:rPr>
        <w:b/>
        <w:bCs/>
      </w:rPr>
    </w:tblStylePr>
  </w:style>
  <w:style w:type="table" w:customStyle="1" w:styleId="Lijsttabel3-Accent11">
    <w:name w:val="Lijsttabel 3 - Accent 11"/>
    <w:basedOn w:val="TableNormal"/>
    <w:next w:val="ListTable3-Accent1"/>
    <w:uiPriority w:val="48"/>
    <w:rsid w:val="00622884"/>
    <w:pPr>
      <w:spacing w:after="0" w:line="240" w:lineRule="auto"/>
    </w:pPr>
    <w:rPr>
      <w:rFonts w:ascii="Aptos" w:eastAsia="Aptos" w:hAnsi="Aptos" w:cs="Arial"/>
      <w:sz w:val="24"/>
      <w:szCs w:val="24"/>
      <w:lang w:eastAsia="sq-AL"/>
    </w:rPr>
    <w:tblPr>
      <w:tblStyleRowBandSize w:val="1"/>
      <w:tblStyleColBandSize w:val="1"/>
      <w:tblBorders>
        <w:top w:val="single" w:sz="4" w:space="0" w:color="156082"/>
        <w:left w:val="single" w:sz="4" w:space="0" w:color="156082"/>
        <w:bottom w:val="single" w:sz="4" w:space="0" w:color="156082"/>
        <w:right w:val="single" w:sz="4" w:space="0" w:color="156082"/>
      </w:tblBorders>
    </w:tblPr>
    <w:tblStylePr w:type="firstRow">
      <w:rPr>
        <w:b/>
        <w:bCs/>
        <w:color w:val="FFFFFF"/>
      </w:rPr>
      <w:tblPr/>
      <w:tcPr>
        <w:shd w:val="clear" w:color="auto" w:fill="156082"/>
      </w:tcPr>
    </w:tblStylePr>
    <w:tblStylePr w:type="lastRow">
      <w:rPr>
        <w:b/>
        <w:bCs/>
      </w:rPr>
      <w:tblPr/>
      <w:tcPr>
        <w:tcBorders>
          <w:top w:val="double" w:sz="4" w:space="0" w:color="156082"/>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156082"/>
          <w:right w:val="single" w:sz="4" w:space="0" w:color="156082"/>
        </w:tcBorders>
      </w:tcPr>
    </w:tblStylePr>
    <w:tblStylePr w:type="band1Horz">
      <w:tblPr/>
      <w:tcPr>
        <w:tcBorders>
          <w:top w:val="single" w:sz="4" w:space="0" w:color="156082"/>
          <w:bottom w:val="single" w:sz="4" w:space="0" w:color="15608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left w:val="nil"/>
        </w:tcBorders>
      </w:tcPr>
    </w:tblStylePr>
    <w:tblStylePr w:type="swCell">
      <w:tblPr/>
      <w:tcPr>
        <w:tcBorders>
          <w:top w:val="double" w:sz="4" w:space="0" w:color="156082"/>
          <w:right w:val="nil"/>
        </w:tcBorders>
      </w:tcPr>
    </w:tblStylePr>
  </w:style>
  <w:style w:type="table" w:styleId="ListTable3-Accent1">
    <w:name w:val="List Table 3 Accent 1"/>
    <w:basedOn w:val="TableNormal"/>
    <w:uiPriority w:val="48"/>
    <w:rsid w:val="00622884"/>
    <w:pPr>
      <w:spacing w:after="0" w:line="240" w:lineRule="auto"/>
    </w:pPr>
    <w:rPr>
      <w:rFonts w:ascii="Aptos" w:eastAsia="Aptos" w:hAnsi="Aptos" w:cs="Arial"/>
      <w:sz w:val="20"/>
      <w:szCs w:val="20"/>
      <w:lang w:val="sq-AL" w:eastAsia="sq-AL"/>
    </w:rPr>
    <w:tblPr>
      <w:tblStyleRowBandSize w:val="1"/>
      <w:tblStyleColBandSize w:val="1"/>
      <w:tblBorders>
        <w:top w:val="single" w:sz="4" w:space="0" w:color="156082"/>
        <w:left w:val="single" w:sz="4" w:space="0" w:color="156082"/>
        <w:bottom w:val="single" w:sz="4" w:space="0" w:color="156082"/>
        <w:right w:val="single" w:sz="4" w:space="0" w:color="156082"/>
      </w:tblBorders>
    </w:tblPr>
    <w:tblStylePr w:type="firstRow">
      <w:rPr>
        <w:b/>
        <w:bCs/>
        <w:color w:val="FFFFFF"/>
      </w:rPr>
      <w:tblPr/>
      <w:tcPr>
        <w:shd w:val="clear" w:color="auto" w:fill="156082"/>
      </w:tcPr>
    </w:tblStylePr>
    <w:tblStylePr w:type="lastRow">
      <w:rPr>
        <w:b/>
        <w:bCs/>
      </w:rPr>
      <w:tblPr/>
      <w:tcPr>
        <w:tcBorders>
          <w:top w:val="double" w:sz="4" w:space="0" w:color="156082"/>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156082"/>
          <w:right w:val="single" w:sz="4" w:space="0" w:color="156082"/>
        </w:tcBorders>
      </w:tcPr>
    </w:tblStylePr>
    <w:tblStylePr w:type="band1Horz">
      <w:tblPr/>
      <w:tcPr>
        <w:tcBorders>
          <w:top w:val="single" w:sz="4" w:space="0" w:color="156082"/>
          <w:bottom w:val="single" w:sz="4" w:space="0" w:color="15608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left w:val="nil"/>
        </w:tcBorders>
      </w:tcPr>
    </w:tblStylePr>
    <w:tblStylePr w:type="swCell">
      <w:tblPr/>
      <w:tcPr>
        <w:tcBorders>
          <w:top w:val="double" w:sz="4" w:space="0" w:color="156082"/>
          <w:right w:val="nil"/>
        </w:tcBorders>
      </w:tcPr>
    </w:tblStylePr>
  </w:style>
  <w:style w:type="table" w:customStyle="1" w:styleId="Tabelraster11">
    <w:name w:val="Tabelraster11"/>
    <w:basedOn w:val="TableNormal"/>
    <w:next w:val="TableGrid"/>
    <w:uiPriority w:val="39"/>
    <w:rsid w:val="00622884"/>
    <w:pPr>
      <w:spacing w:after="0" w:line="240" w:lineRule="auto"/>
    </w:pPr>
    <w:rPr>
      <w:rFonts w:ascii="Aptos" w:eastAsia="Aptos" w:hAnsi="Aptos" w:cs="Arial"/>
      <w:sz w:val="20"/>
      <w:szCs w:val="20"/>
      <w:lang w:eastAsia="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Geenlijst2">
    <w:name w:val="Geen lijst2"/>
    <w:next w:val="NoList"/>
    <w:uiPriority w:val="99"/>
    <w:semiHidden/>
    <w:unhideWhenUsed/>
    <w:rsid w:val="00622884"/>
  </w:style>
  <w:style w:type="table" w:customStyle="1" w:styleId="Tabelraster3">
    <w:name w:val="Tabelraster3"/>
    <w:basedOn w:val="TableNormal"/>
    <w:next w:val="TableGrid"/>
    <w:uiPriority w:val="39"/>
    <w:rsid w:val="00622884"/>
    <w:pPr>
      <w:spacing w:after="0" w:line="240" w:lineRule="auto"/>
    </w:pPr>
    <w:rPr>
      <w:rFonts w:ascii="Aptos" w:eastAsia="Aptos" w:hAnsi="Aptos" w:cs="Arial"/>
      <w:sz w:val="24"/>
      <w:szCs w:val="24"/>
      <w:lang w:val="sq-AL" w:eastAsia="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jsttabel3-Accent12">
    <w:name w:val="Lijsttabel 3 - Accent 12"/>
    <w:basedOn w:val="TableNormal"/>
    <w:next w:val="ListTable3-Accent1"/>
    <w:uiPriority w:val="48"/>
    <w:rsid w:val="00622884"/>
    <w:pPr>
      <w:spacing w:after="0" w:line="240" w:lineRule="auto"/>
    </w:pPr>
    <w:rPr>
      <w:rFonts w:ascii="Aptos" w:eastAsia="Aptos" w:hAnsi="Aptos" w:cs="Arial"/>
      <w:sz w:val="24"/>
      <w:szCs w:val="24"/>
      <w:lang w:val="sq-AL" w:eastAsia="sq-AL"/>
    </w:rPr>
    <w:tblPr>
      <w:tblStyleRowBandSize w:val="1"/>
      <w:tblStyleColBandSize w:val="1"/>
      <w:tblBorders>
        <w:top w:val="single" w:sz="4" w:space="0" w:color="156082"/>
        <w:left w:val="single" w:sz="4" w:space="0" w:color="156082"/>
        <w:bottom w:val="single" w:sz="4" w:space="0" w:color="156082"/>
        <w:right w:val="single" w:sz="4" w:space="0" w:color="156082"/>
      </w:tblBorders>
    </w:tblPr>
    <w:tblStylePr w:type="firstRow">
      <w:rPr>
        <w:b/>
        <w:bCs/>
        <w:color w:val="FFFFFF"/>
      </w:rPr>
      <w:tblPr/>
      <w:tcPr>
        <w:shd w:val="clear" w:color="auto" w:fill="156082"/>
      </w:tcPr>
    </w:tblStylePr>
    <w:tblStylePr w:type="lastRow">
      <w:rPr>
        <w:b/>
        <w:bCs/>
      </w:rPr>
      <w:tblPr/>
      <w:tcPr>
        <w:tcBorders>
          <w:top w:val="double" w:sz="4" w:space="0" w:color="156082"/>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156082"/>
          <w:right w:val="single" w:sz="4" w:space="0" w:color="156082"/>
        </w:tcBorders>
      </w:tcPr>
    </w:tblStylePr>
    <w:tblStylePr w:type="band1Horz">
      <w:tblPr/>
      <w:tcPr>
        <w:tcBorders>
          <w:top w:val="single" w:sz="4" w:space="0" w:color="156082"/>
          <w:bottom w:val="single" w:sz="4" w:space="0" w:color="15608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left w:val="nil"/>
        </w:tcBorders>
      </w:tcPr>
    </w:tblStylePr>
    <w:tblStylePr w:type="swCell">
      <w:tblPr/>
      <w:tcPr>
        <w:tcBorders>
          <w:top w:val="double" w:sz="4" w:space="0" w:color="156082"/>
          <w:right w:val="nil"/>
        </w:tcBorders>
      </w:tcPr>
    </w:tblStylePr>
  </w:style>
  <w:style w:type="table" w:customStyle="1" w:styleId="Tabelraster12">
    <w:name w:val="Tabelraster12"/>
    <w:basedOn w:val="TableNormal"/>
    <w:next w:val="TableGrid"/>
    <w:uiPriority w:val="39"/>
    <w:rsid w:val="00622884"/>
    <w:pPr>
      <w:spacing w:after="0" w:line="240" w:lineRule="auto"/>
    </w:pPr>
    <w:rPr>
      <w:rFonts w:ascii="Aptos" w:eastAsia="Aptos" w:hAnsi="Aptos" w:cs="Arial"/>
      <w:sz w:val="20"/>
      <w:szCs w:val="20"/>
      <w:lang w:eastAsia="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Geenlijst12">
    <w:name w:val="Geen lijst12"/>
    <w:next w:val="NoList"/>
    <w:uiPriority w:val="99"/>
    <w:semiHidden/>
    <w:unhideWhenUsed/>
    <w:rsid w:val="00622884"/>
  </w:style>
  <w:style w:type="table" w:customStyle="1" w:styleId="TableDefinitionsGrid3">
    <w:name w:val="Table Definitions Grid3"/>
    <w:basedOn w:val="TableNormal"/>
    <w:next w:val="TableGrid"/>
    <w:uiPriority w:val="39"/>
    <w:qFormat/>
    <w:rsid w:val="00622884"/>
    <w:pPr>
      <w:spacing w:after="0" w:line="240" w:lineRule="auto"/>
    </w:pPr>
    <w:rPr>
      <w:rFonts w:ascii="Aptos" w:eastAsia="SimSun" w:hAnsi="Aptos" w:cs="Arial"/>
      <w:sz w:val="20"/>
      <w:szCs w:val="20"/>
      <w:lang w:val="es-ES" w:eastAsia="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
    <w:name w:val="Sin lista11"/>
    <w:next w:val="NoList"/>
    <w:uiPriority w:val="99"/>
    <w:semiHidden/>
    <w:unhideWhenUsed/>
    <w:rsid w:val="00622884"/>
  </w:style>
  <w:style w:type="numbering" w:customStyle="1" w:styleId="EstiloConvietas2">
    <w:name w:val="Estilo Con viñetas2"/>
    <w:rsid w:val="00622884"/>
  </w:style>
  <w:style w:type="numbering" w:customStyle="1" w:styleId="Sinlista21">
    <w:name w:val="Sin lista21"/>
    <w:next w:val="NoList"/>
    <w:uiPriority w:val="99"/>
    <w:semiHidden/>
    <w:unhideWhenUsed/>
    <w:rsid w:val="00622884"/>
  </w:style>
  <w:style w:type="numbering" w:customStyle="1" w:styleId="EstiloConvietas11">
    <w:name w:val="Estilo Con viñetas11"/>
    <w:rsid w:val="00622884"/>
  </w:style>
  <w:style w:type="table" w:customStyle="1" w:styleId="TableGrid23">
    <w:name w:val="Table Grid23"/>
    <w:basedOn w:val="TableNormal"/>
    <w:next w:val="TableGrid"/>
    <w:uiPriority w:val="59"/>
    <w:rsid w:val="00622884"/>
    <w:pPr>
      <w:spacing w:after="0" w:line="240" w:lineRule="auto"/>
    </w:pPr>
    <w:rPr>
      <w:rFonts w:ascii="Times New Roman" w:eastAsia="Calibri" w:hAnsi="Times New Roman" w:cs="Times New Roman"/>
      <w:sz w:val="20"/>
      <w:szCs w:val="20"/>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31">
    <w:name w:val="Sin lista31"/>
    <w:next w:val="NoList"/>
    <w:uiPriority w:val="99"/>
    <w:semiHidden/>
    <w:unhideWhenUsed/>
    <w:rsid w:val="00622884"/>
  </w:style>
  <w:style w:type="numbering" w:customStyle="1" w:styleId="Sinlista41">
    <w:name w:val="Sin lista41"/>
    <w:next w:val="NoList"/>
    <w:uiPriority w:val="99"/>
    <w:semiHidden/>
    <w:unhideWhenUsed/>
    <w:rsid w:val="00622884"/>
  </w:style>
  <w:style w:type="table" w:customStyle="1" w:styleId="Tabelrasterlicht3">
    <w:name w:val="Tabelraster licht3"/>
    <w:basedOn w:val="TableNormal"/>
    <w:next w:val="TableGridLight"/>
    <w:uiPriority w:val="40"/>
    <w:rsid w:val="00622884"/>
    <w:pPr>
      <w:spacing w:after="0" w:line="240" w:lineRule="auto"/>
    </w:pPr>
    <w:rPr>
      <w:rFonts w:ascii="Aptos" w:eastAsia="Aptos" w:hAnsi="Aptos" w:cs="Arial"/>
      <w:sz w:val="24"/>
      <w:szCs w:val="24"/>
      <w:lang w:val="sq-AL" w:eastAsia="sq-AL"/>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Lijsttabel2-Accent53">
    <w:name w:val="Lijsttabel 2 - Accent 53"/>
    <w:basedOn w:val="TableNormal"/>
    <w:next w:val="ListTable2-Accent5"/>
    <w:uiPriority w:val="47"/>
    <w:rsid w:val="00622884"/>
    <w:pPr>
      <w:spacing w:after="0" w:line="240" w:lineRule="auto"/>
    </w:pPr>
    <w:rPr>
      <w:rFonts w:ascii="Aptos" w:eastAsia="Aptos" w:hAnsi="Aptos" w:cs="Arial"/>
      <w:sz w:val="24"/>
      <w:szCs w:val="24"/>
      <w:lang w:val="sq-AL" w:eastAsia="sq-AL"/>
    </w:rPr>
    <w:tblPr>
      <w:tblStyleRowBandSize w:val="1"/>
      <w:tblStyleColBandSize w:val="1"/>
      <w:tblBorders>
        <w:top w:val="single" w:sz="4" w:space="0" w:color="D86DCB"/>
        <w:bottom w:val="single" w:sz="4" w:space="0" w:color="D86DCB"/>
        <w:insideH w:val="single" w:sz="4" w:space="0" w:color="D86DCB"/>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cPr>
    </w:tblStylePr>
    <w:tblStylePr w:type="band1Horz">
      <w:tblPr/>
      <w:tcPr>
        <w:shd w:val="clear" w:color="auto" w:fill="F2CEED"/>
      </w:tcPr>
    </w:tblStylePr>
  </w:style>
  <w:style w:type="table" w:customStyle="1" w:styleId="Lijsttabel1licht-Accent53">
    <w:name w:val="Lijsttabel 1 licht - Accent 53"/>
    <w:basedOn w:val="TableNormal"/>
    <w:next w:val="ListTable1Light-Accent5"/>
    <w:uiPriority w:val="46"/>
    <w:rsid w:val="00622884"/>
    <w:pPr>
      <w:spacing w:after="0" w:line="240" w:lineRule="auto"/>
    </w:pPr>
    <w:rPr>
      <w:rFonts w:ascii="Aptos" w:eastAsia="Aptos" w:hAnsi="Aptos" w:cs="Arial"/>
      <w:sz w:val="24"/>
      <w:szCs w:val="24"/>
      <w:lang w:val="sq-AL" w:eastAsia="sq-AL"/>
    </w:rPr>
    <w:tblPr>
      <w:tblStyleRowBandSize w:val="1"/>
      <w:tblStyleColBandSize w:val="1"/>
    </w:tblPr>
    <w:tblStylePr w:type="firstRow">
      <w:rPr>
        <w:b/>
        <w:bCs/>
      </w:rPr>
      <w:tblPr/>
      <w:tcPr>
        <w:tcBorders>
          <w:bottom w:val="single" w:sz="4" w:space="0" w:color="D86DCB"/>
        </w:tcBorders>
      </w:tcPr>
    </w:tblStylePr>
    <w:tblStylePr w:type="lastRow">
      <w:rPr>
        <w:b/>
        <w:bCs/>
      </w:rPr>
      <w:tblPr/>
      <w:tcPr>
        <w:tcBorders>
          <w:top w:val="single" w:sz="4" w:space="0" w:color="D86DCB"/>
        </w:tcBorders>
      </w:tcPr>
    </w:tblStylePr>
    <w:tblStylePr w:type="firstCol">
      <w:rPr>
        <w:b/>
        <w:bCs/>
      </w:rPr>
    </w:tblStylePr>
    <w:tblStylePr w:type="lastCol">
      <w:rPr>
        <w:b/>
        <w:bCs/>
      </w:rPr>
    </w:tblStylePr>
    <w:tblStylePr w:type="band1Vert">
      <w:tblPr/>
      <w:tcPr>
        <w:shd w:val="clear" w:color="auto" w:fill="F2CEED"/>
      </w:tcPr>
    </w:tblStylePr>
    <w:tblStylePr w:type="band1Horz">
      <w:tblPr/>
      <w:tcPr>
        <w:shd w:val="clear" w:color="auto" w:fill="F2CEED"/>
      </w:tcPr>
    </w:tblStylePr>
  </w:style>
  <w:style w:type="table" w:customStyle="1" w:styleId="Lichtearcering-accent33">
    <w:name w:val="Lichte arcering - accent 33"/>
    <w:basedOn w:val="TableNormal"/>
    <w:next w:val="LightShading-Accent3"/>
    <w:uiPriority w:val="60"/>
    <w:semiHidden/>
    <w:unhideWhenUsed/>
    <w:rsid w:val="00622884"/>
    <w:pPr>
      <w:spacing w:after="0" w:line="240" w:lineRule="auto"/>
    </w:pPr>
    <w:rPr>
      <w:rFonts w:ascii="Aptos" w:eastAsia="Aptos" w:hAnsi="Aptos" w:cs="Arial"/>
      <w:color w:val="124F1A"/>
      <w:sz w:val="24"/>
      <w:szCs w:val="24"/>
      <w:lang w:val="sq-AL" w:eastAsia="sq-AL"/>
    </w:rPr>
    <w:tblPr>
      <w:tblStyleRowBandSize w:val="1"/>
      <w:tblStyleColBandSize w:val="1"/>
      <w:tblBorders>
        <w:top w:val="single" w:sz="8" w:space="0" w:color="196B24"/>
        <w:bottom w:val="single" w:sz="8" w:space="0" w:color="196B24"/>
      </w:tblBorders>
    </w:tblPr>
    <w:tblStylePr w:type="firstRow">
      <w:pPr>
        <w:spacing w:before="0" w:after="0" w:line="240" w:lineRule="auto"/>
      </w:pPr>
      <w:rPr>
        <w:b/>
        <w:bCs/>
      </w:rPr>
      <w:tblPr/>
      <w:tcPr>
        <w:tcBorders>
          <w:top w:val="single" w:sz="8" w:space="0" w:color="196B24"/>
          <w:left w:val="nil"/>
          <w:bottom w:val="single" w:sz="8" w:space="0" w:color="196B24"/>
          <w:right w:val="nil"/>
          <w:insideH w:val="nil"/>
          <w:insideV w:val="nil"/>
        </w:tcBorders>
      </w:tcPr>
    </w:tblStylePr>
    <w:tblStylePr w:type="lastRow">
      <w:pPr>
        <w:spacing w:before="0" w:after="0" w:line="240" w:lineRule="auto"/>
      </w:pPr>
      <w:rPr>
        <w:b/>
        <w:bCs/>
      </w:rPr>
      <w:tblPr/>
      <w:tcPr>
        <w:tcBorders>
          <w:top w:val="single" w:sz="8" w:space="0" w:color="196B24"/>
          <w:left w:val="nil"/>
          <w:bottom w:val="single" w:sz="8" w:space="0" w:color="196B2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cPr>
    </w:tblStylePr>
    <w:tblStylePr w:type="band1Horz">
      <w:tblPr/>
      <w:tcPr>
        <w:tcBorders>
          <w:left w:val="nil"/>
          <w:right w:val="nil"/>
          <w:insideH w:val="nil"/>
          <w:insideV w:val="nil"/>
        </w:tcBorders>
        <w:shd w:val="clear" w:color="auto" w:fill="B3EDBA"/>
      </w:tcPr>
    </w:tblStylePr>
  </w:style>
  <w:style w:type="table" w:customStyle="1" w:styleId="Rastertabel5donker-Accent33">
    <w:name w:val="Rastertabel 5 donker - Accent 33"/>
    <w:basedOn w:val="TableNormal"/>
    <w:next w:val="GridTable5Dark-Accent3"/>
    <w:uiPriority w:val="50"/>
    <w:rsid w:val="00622884"/>
    <w:pPr>
      <w:spacing w:after="0" w:line="240" w:lineRule="auto"/>
    </w:pPr>
    <w:rPr>
      <w:rFonts w:ascii="Aptos" w:eastAsia="Aptos" w:hAnsi="Aptos" w:cs="Arial"/>
      <w:sz w:val="24"/>
      <w:szCs w:val="24"/>
      <w:lang w:val="sq-AL" w:eastAsia="sq-AL"/>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C1F0C7"/>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196B2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196B2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196B2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196B24"/>
      </w:tcPr>
    </w:tblStylePr>
    <w:tblStylePr w:type="band1Vert">
      <w:tblPr/>
      <w:tcPr>
        <w:shd w:val="clear" w:color="auto" w:fill="84E290"/>
      </w:tcPr>
    </w:tblStylePr>
    <w:tblStylePr w:type="band1Horz">
      <w:tblPr/>
      <w:tcPr>
        <w:shd w:val="clear" w:color="auto" w:fill="84E290"/>
      </w:tcPr>
    </w:tblStylePr>
  </w:style>
  <w:style w:type="table" w:customStyle="1" w:styleId="Lijsttabel1licht-Accent33">
    <w:name w:val="Lijsttabel 1 licht - Accent 33"/>
    <w:basedOn w:val="TableNormal"/>
    <w:next w:val="ListTable1Light-Accent3"/>
    <w:uiPriority w:val="46"/>
    <w:rsid w:val="00622884"/>
    <w:pPr>
      <w:spacing w:after="0" w:line="240" w:lineRule="auto"/>
    </w:pPr>
    <w:rPr>
      <w:rFonts w:ascii="Aptos" w:eastAsia="Aptos" w:hAnsi="Aptos" w:cs="Arial"/>
      <w:sz w:val="24"/>
      <w:szCs w:val="24"/>
      <w:lang w:val="sq-AL" w:eastAsia="sq-AL"/>
    </w:rPr>
    <w:tblPr>
      <w:tblStyleRowBandSize w:val="1"/>
      <w:tblStyleColBandSize w:val="1"/>
    </w:tblPr>
    <w:tblStylePr w:type="firstRow">
      <w:rPr>
        <w:b/>
        <w:bCs/>
      </w:rPr>
      <w:tblPr/>
      <w:tcPr>
        <w:tcBorders>
          <w:bottom w:val="single" w:sz="4" w:space="0" w:color="47D459"/>
        </w:tcBorders>
      </w:tcPr>
    </w:tblStylePr>
    <w:tblStylePr w:type="lastRow">
      <w:rPr>
        <w:b/>
        <w:bCs/>
      </w:rPr>
      <w:tblPr/>
      <w:tcPr>
        <w:tcBorders>
          <w:top w:val="single" w:sz="4" w:space="0" w:color="47D459"/>
        </w:tcBorders>
      </w:tcPr>
    </w:tblStylePr>
    <w:tblStylePr w:type="firstCol">
      <w:rPr>
        <w:b/>
        <w:bCs/>
      </w:rPr>
    </w:tblStylePr>
    <w:tblStylePr w:type="lastCol">
      <w:rPr>
        <w:b/>
        <w:bCs/>
      </w:rPr>
    </w:tblStylePr>
    <w:tblStylePr w:type="band1Vert">
      <w:tblPr/>
      <w:tcPr>
        <w:shd w:val="clear" w:color="auto" w:fill="C1F0C7"/>
      </w:tcPr>
    </w:tblStylePr>
    <w:tblStylePr w:type="band1Horz">
      <w:tblPr/>
      <w:tcPr>
        <w:shd w:val="clear" w:color="auto" w:fill="C1F0C7"/>
      </w:tcPr>
    </w:tblStylePr>
  </w:style>
  <w:style w:type="table" w:customStyle="1" w:styleId="Gemiddeldraster3-accent13">
    <w:name w:val="Gemiddeld raster 3 - accent 13"/>
    <w:basedOn w:val="TableNormal"/>
    <w:next w:val="MediumGrid3-Accent1"/>
    <w:uiPriority w:val="69"/>
    <w:semiHidden/>
    <w:unhideWhenUsed/>
    <w:rsid w:val="00622884"/>
    <w:pPr>
      <w:spacing w:after="0" w:line="240" w:lineRule="auto"/>
    </w:pPr>
    <w:rPr>
      <w:rFonts w:ascii="Aptos" w:eastAsia="Aptos" w:hAnsi="Aptos" w:cs="Arial"/>
      <w:sz w:val="24"/>
      <w:szCs w:val="24"/>
      <w:lang w:val="sq-AL" w:eastAsia="sq-AL"/>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B2DEF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15608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15608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15608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15608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64BDE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64BDE6"/>
      </w:tcPr>
    </w:tblStylePr>
  </w:style>
  <w:style w:type="table" w:customStyle="1" w:styleId="Rastertabel4-Accent13">
    <w:name w:val="Rastertabel 4 - Accent 13"/>
    <w:basedOn w:val="TableNormal"/>
    <w:next w:val="GridTable4-Accent1"/>
    <w:uiPriority w:val="49"/>
    <w:rsid w:val="00622884"/>
    <w:pPr>
      <w:spacing w:after="0" w:line="240" w:lineRule="auto"/>
    </w:pPr>
    <w:rPr>
      <w:rFonts w:ascii="Aptos" w:eastAsia="Aptos" w:hAnsi="Aptos" w:cs="Arial"/>
      <w:sz w:val="24"/>
      <w:szCs w:val="24"/>
      <w:lang w:val="sq-AL" w:eastAsia="sq-AL"/>
    </w:rPr>
    <w:tblPr>
      <w:tblStyleRowBandSize w:val="1"/>
      <w:tblStyleColBandSize w:val="1"/>
      <w:tblBorders>
        <w:top w:val="single" w:sz="4" w:space="0" w:color="45B0E1"/>
        <w:left w:val="single" w:sz="4" w:space="0" w:color="45B0E1"/>
        <w:bottom w:val="single" w:sz="4" w:space="0" w:color="45B0E1"/>
        <w:right w:val="single" w:sz="4" w:space="0" w:color="45B0E1"/>
        <w:insideH w:val="single" w:sz="4" w:space="0" w:color="45B0E1"/>
        <w:insideV w:val="single" w:sz="4" w:space="0" w:color="45B0E1"/>
      </w:tblBorders>
    </w:tblPr>
    <w:tblStylePr w:type="firstRow">
      <w:rPr>
        <w:b/>
        <w:bCs/>
        <w:color w:val="FFFFFF"/>
      </w:rPr>
      <w:tblPr/>
      <w:tcPr>
        <w:tcBorders>
          <w:top w:val="single" w:sz="4" w:space="0" w:color="156082"/>
          <w:left w:val="single" w:sz="4" w:space="0" w:color="156082"/>
          <w:bottom w:val="single" w:sz="4" w:space="0" w:color="156082"/>
          <w:right w:val="single" w:sz="4" w:space="0" w:color="156082"/>
          <w:insideH w:val="nil"/>
          <w:insideV w:val="nil"/>
        </w:tcBorders>
        <w:shd w:val="clear" w:color="auto" w:fill="156082"/>
      </w:tcPr>
    </w:tblStylePr>
    <w:tblStylePr w:type="lastRow">
      <w:rPr>
        <w:b/>
        <w:bCs/>
      </w:rPr>
      <w:tblPr/>
      <w:tcPr>
        <w:tcBorders>
          <w:top w:val="double" w:sz="4" w:space="0" w:color="156082"/>
        </w:tcBorders>
      </w:tcPr>
    </w:tblStylePr>
    <w:tblStylePr w:type="firstCol">
      <w:rPr>
        <w:b/>
        <w:bCs/>
      </w:rPr>
    </w:tblStylePr>
    <w:tblStylePr w:type="lastCol">
      <w:rPr>
        <w:b/>
        <w:bCs/>
      </w:rPr>
    </w:tblStylePr>
    <w:tblStylePr w:type="band1Vert">
      <w:tblPr/>
      <w:tcPr>
        <w:shd w:val="clear" w:color="auto" w:fill="C1E4F5"/>
      </w:tcPr>
    </w:tblStylePr>
    <w:tblStylePr w:type="band1Horz">
      <w:tblPr/>
      <w:tcPr>
        <w:shd w:val="clear" w:color="auto" w:fill="C1E4F5"/>
      </w:tcPr>
    </w:tblStylePr>
  </w:style>
  <w:style w:type="table" w:customStyle="1" w:styleId="Rastertabel1licht3">
    <w:name w:val="Rastertabel 1 licht3"/>
    <w:basedOn w:val="TableNormal"/>
    <w:next w:val="GridTable1Light"/>
    <w:uiPriority w:val="46"/>
    <w:rsid w:val="00622884"/>
    <w:pPr>
      <w:spacing w:after="0" w:line="240" w:lineRule="auto"/>
    </w:pPr>
    <w:rPr>
      <w:rFonts w:ascii="Aptos" w:eastAsia="Aptos" w:hAnsi="Aptos" w:cs="Arial"/>
      <w:sz w:val="24"/>
      <w:szCs w:val="24"/>
      <w:lang w:val="sq-AL" w:eastAsia="sq-AL"/>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Lichtelijst-accent33">
    <w:name w:val="Lichte lijst - accent 33"/>
    <w:basedOn w:val="TableNormal"/>
    <w:next w:val="LightList-Accent3"/>
    <w:uiPriority w:val="61"/>
    <w:semiHidden/>
    <w:unhideWhenUsed/>
    <w:rsid w:val="00622884"/>
    <w:pPr>
      <w:spacing w:after="0" w:line="240" w:lineRule="auto"/>
    </w:pPr>
    <w:rPr>
      <w:rFonts w:ascii="Aptos" w:eastAsia="Aptos" w:hAnsi="Aptos" w:cs="Arial"/>
      <w:sz w:val="24"/>
      <w:szCs w:val="24"/>
      <w:lang w:val="sq-AL" w:eastAsia="sq-AL"/>
    </w:rPr>
    <w:tblPr>
      <w:tblStyleRowBandSize w:val="1"/>
      <w:tblStyleColBandSize w:val="1"/>
      <w:tblBorders>
        <w:top w:val="single" w:sz="8" w:space="0" w:color="196B24"/>
        <w:left w:val="single" w:sz="8" w:space="0" w:color="196B24"/>
        <w:bottom w:val="single" w:sz="8" w:space="0" w:color="196B24"/>
        <w:right w:val="single" w:sz="8" w:space="0" w:color="196B24"/>
      </w:tblBorders>
    </w:tblPr>
    <w:tblStylePr w:type="firstRow">
      <w:pPr>
        <w:spacing w:before="0" w:after="0" w:line="240" w:lineRule="auto"/>
      </w:pPr>
      <w:rPr>
        <w:b/>
        <w:bCs/>
        <w:color w:val="FFFFFF"/>
      </w:rPr>
      <w:tblPr/>
      <w:tcPr>
        <w:shd w:val="clear" w:color="auto" w:fill="196B24"/>
      </w:tcPr>
    </w:tblStylePr>
    <w:tblStylePr w:type="lastRow">
      <w:pPr>
        <w:spacing w:before="0" w:after="0" w:line="240" w:lineRule="auto"/>
      </w:pPr>
      <w:rPr>
        <w:b/>
        <w:bCs/>
      </w:rPr>
      <w:tblPr/>
      <w:tcPr>
        <w:tcBorders>
          <w:top w:val="double" w:sz="6" w:space="0" w:color="196B24"/>
          <w:left w:val="single" w:sz="8" w:space="0" w:color="196B24"/>
          <w:bottom w:val="single" w:sz="8" w:space="0" w:color="196B24"/>
          <w:right w:val="single" w:sz="8" w:space="0" w:color="196B24"/>
        </w:tcBorders>
      </w:tcPr>
    </w:tblStylePr>
    <w:tblStylePr w:type="firstCol">
      <w:rPr>
        <w:b/>
        <w:bCs/>
      </w:rPr>
    </w:tblStylePr>
    <w:tblStylePr w:type="lastCol">
      <w:rPr>
        <w:b/>
        <w:bCs/>
      </w:rPr>
    </w:tblStylePr>
    <w:tblStylePr w:type="band1Vert">
      <w:tblPr/>
      <w:tcPr>
        <w:tcBorders>
          <w:top w:val="single" w:sz="8" w:space="0" w:color="196B24"/>
          <w:left w:val="single" w:sz="8" w:space="0" w:color="196B24"/>
          <w:bottom w:val="single" w:sz="8" w:space="0" w:color="196B24"/>
          <w:right w:val="single" w:sz="8" w:space="0" w:color="196B24"/>
        </w:tcBorders>
      </w:tcPr>
    </w:tblStylePr>
    <w:tblStylePr w:type="band1Horz">
      <w:tblPr/>
      <w:tcPr>
        <w:tcBorders>
          <w:top w:val="single" w:sz="8" w:space="0" w:color="196B24"/>
          <w:left w:val="single" w:sz="8" w:space="0" w:color="196B24"/>
          <w:bottom w:val="single" w:sz="8" w:space="0" w:color="196B24"/>
          <w:right w:val="single" w:sz="8" w:space="0" w:color="196B24"/>
        </w:tcBorders>
      </w:tcPr>
    </w:tblStylePr>
  </w:style>
  <w:style w:type="table" w:customStyle="1" w:styleId="Rastertabel4-Accent63">
    <w:name w:val="Rastertabel 4 - Accent 63"/>
    <w:basedOn w:val="TableNormal"/>
    <w:next w:val="GridTable4-Accent6"/>
    <w:uiPriority w:val="49"/>
    <w:rsid w:val="00622884"/>
    <w:pPr>
      <w:spacing w:after="0" w:line="240" w:lineRule="auto"/>
    </w:pPr>
    <w:rPr>
      <w:rFonts w:ascii="Aptos" w:eastAsia="Aptos" w:hAnsi="Aptos" w:cs="Arial"/>
      <w:sz w:val="24"/>
      <w:szCs w:val="24"/>
      <w:lang w:val="sq-AL" w:eastAsia="sq-AL"/>
    </w:rPr>
    <w:tblPr>
      <w:tblStyleRowBandSize w:val="1"/>
      <w:tblStyleColBandSize w:val="1"/>
      <w:tblBorders>
        <w:top w:val="single" w:sz="4" w:space="0" w:color="8DD873"/>
        <w:left w:val="single" w:sz="4" w:space="0" w:color="8DD873"/>
        <w:bottom w:val="single" w:sz="4" w:space="0" w:color="8DD873"/>
        <w:right w:val="single" w:sz="4" w:space="0" w:color="8DD873"/>
        <w:insideH w:val="single" w:sz="4" w:space="0" w:color="8DD873"/>
        <w:insideV w:val="single" w:sz="4" w:space="0" w:color="8DD873"/>
      </w:tblBorders>
    </w:tblPr>
    <w:tblStylePr w:type="firstRow">
      <w:rPr>
        <w:b/>
        <w:bCs/>
        <w:color w:val="FFFFFF"/>
      </w:rPr>
      <w:tblPr/>
      <w:tcPr>
        <w:tcBorders>
          <w:top w:val="single" w:sz="4" w:space="0" w:color="4EA72E"/>
          <w:left w:val="single" w:sz="4" w:space="0" w:color="4EA72E"/>
          <w:bottom w:val="single" w:sz="4" w:space="0" w:color="4EA72E"/>
          <w:right w:val="single" w:sz="4" w:space="0" w:color="4EA72E"/>
          <w:insideH w:val="nil"/>
          <w:insideV w:val="nil"/>
        </w:tcBorders>
        <w:shd w:val="clear" w:color="auto" w:fill="4EA72E"/>
      </w:tcPr>
    </w:tblStylePr>
    <w:tblStylePr w:type="lastRow">
      <w:rPr>
        <w:b/>
        <w:bCs/>
      </w:rPr>
      <w:tblPr/>
      <w:tcPr>
        <w:tcBorders>
          <w:top w:val="double" w:sz="4" w:space="0" w:color="4EA72E"/>
        </w:tcBorders>
      </w:tcPr>
    </w:tblStylePr>
    <w:tblStylePr w:type="firstCol">
      <w:rPr>
        <w:b/>
        <w:bCs/>
      </w:rPr>
    </w:tblStylePr>
    <w:tblStylePr w:type="lastCol">
      <w:rPr>
        <w:b/>
        <w:bCs/>
      </w:rPr>
    </w:tblStylePr>
    <w:tblStylePr w:type="band1Vert">
      <w:tblPr/>
      <w:tcPr>
        <w:shd w:val="clear" w:color="auto" w:fill="D9F2D0"/>
      </w:tcPr>
    </w:tblStylePr>
    <w:tblStylePr w:type="band1Horz">
      <w:tblPr/>
      <w:tcPr>
        <w:shd w:val="clear" w:color="auto" w:fill="D9F2D0"/>
      </w:tcPr>
    </w:tblStylePr>
  </w:style>
  <w:style w:type="table" w:customStyle="1" w:styleId="Onopgemaaktetabel53">
    <w:name w:val="Onopgemaakte tabel 53"/>
    <w:basedOn w:val="TableNormal"/>
    <w:next w:val="PlainTable5"/>
    <w:uiPriority w:val="45"/>
    <w:rsid w:val="00622884"/>
    <w:pPr>
      <w:spacing w:after="0" w:line="240" w:lineRule="auto"/>
    </w:pPr>
    <w:rPr>
      <w:rFonts w:ascii="Aptos" w:eastAsia="Aptos" w:hAnsi="Aptos" w:cs="Arial"/>
      <w:sz w:val="24"/>
      <w:szCs w:val="24"/>
      <w:lang w:val="sq-AL" w:eastAsia="sq-AL"/>
    </w:rPr>
    <w:tblPr>
      <w:tblStyleRowBandSize w:val="1"/>
      <w:tblStyleColBandSize w:val="1"/>
    </w:tblPr>
    <w:tblStylePr w:type="firstRow">
      <w:rPr>
        <w:rFonts w:ascii="Garamond" w:eastAsia="Times New Roman" w:hAnsi="Garamond" w:cs="Times New Roman"/>
        <w:i/>
        <w:iCs/>
        <w:sz w:val="26"/>
      </w:rPr>
      <w:tblPr/>
      <w:tcPr>
        <w:tcBorders>
          <w:bottom w:val="single" w:sz="4" w:space="0" w:color="7F7F7F"/>
        </w:tcBorders>
        <w:shd w:val="clear" w:color="auto" w:fill="FFFFFF"/>
      </w:tcPr>
    </w:tblStylePr>
    <w:tblStylePr w:type="lastRow">
      <w:rPr>
        <w:rFonts w:ascii="Garamond" w:eastAsia="Times New Roman" w:hAnsi="Garamond" w:cs="Times New Roman"/>
        <w:i/>
        <w:iCs/>
        <w:sz w:val="26"/>
      </w:rPr>
      <w:tblPr/>
      <w:tcPr>
        <w:tcBorders>
          <w:top w:val="single" w:sz="4" w:space="0" w:color="7F7F7F"/>
        </w:tcBorders>
        <w:shd w:val="clear" w:color="auto" w:fill="FFFFFF"/>
      </w:tcPr>
    </w:tblStylePr>
    <w:tblStylePr w:type="firstCol">
      <w:pPr>
        <w:jc w:val="right"/>
      </w:pPr>
      <w:rPr>
        <w:rFonts w:ascii="Garamond" w:eastAsia="Times New Roman" w:hAnsi="Garamond" w:cs="Times New Roman"/>
        <w:i/>
        <w:iCs/>
        <w:sz w:val="26"/>
      </w:rPr>
      <w:tblPr/>
      <w:tcPr>
        <w:tcBorders>
          <w:right w:val="single" w:sz="4" w:space="0" w:color="7F7F7F"/>
        </w:tcBorders>
        <w:shd w:val="clear" w:color="auto" w:fill="FFFFFF"/>
      </w:tcPr>
    </w:tblStylePr>
    <w:tblStylePr w:type="lastCol">
      <w:rPr>
        <w:rFonts w:ascii="Garamond" w:eastAsia="Times New Roman" w:hAnsi="Garamond"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Onopgemaaktetabel23">
    <w:name w:val="Onopgemaakte tabel 23"/>
    <w:basedOn w:val="TableNormal"/>
    <w:next w:val="PlainTable2"/>
    <w:uiPriority w:val="42"/>
    <w:rsid w:val="00622884"/>
    <w:pPr>
      <w:spacing w:after="0" w:line="240" w:lineRule="auto"/>
    </w:pPr>
    <w:rPr>
      <w:rFonts w:ascii="Aptos" w:eastAsia="Aptos" w:hAnsi="Aptos" w:cs="Arial"/>
      <w:sz w:val="24"/>
      <w:szCs w:val="24"/>
      <w:lang w:val="sq-AL" w:eastAsia="sq-AL"/>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Rastertabel1licht-Accent53">
    <w:name w:val="Rastertabel 1 licht - Accent 53"/>
    <w:basedOn w:val="TableNormal"/>
    <w:next w:val="GridTable1Light-Accent5"/>
    <w:uiPriority w:val="46"/>
    <w:rsid w:val="00622884"/>
    <w:pPr>
      <w:spacing w:after="0" w:line="240" w:lineRule="auto"/>
    </w:pPr>
    <w:rPr>
      <w:rFonts w:ascii="Aptos" w:eastAsia="Aptos" w:hAnsi="Aptos" w:cs="Arial"/>
      <w:sz w:val="24"/>
      <w:szCs w:val="24"/>
      <w:lang w:val="sq-AL" w:eastAsia="sq-AL"/>
    </w:rPr>
    <w:tblPr>
      <w:tblStyleRowBandSize w:val="1"/>
      <w:tblStyleColBandSize w:val="1"/>
      <w:tblBorders>
        <w:top w:val="single" w:sz="4" w:space="0" w:color="E59EDC"/>
        <w:left w:val="single" w:sz="4" w:space="0" w:color="E59EDC"/>
        <w:bottom w:val="single" w:sz="4" w:space="0" w:color="E59EDC"/>
        <w:right w:val="single" w:sz="4" w:space="0" w:color="E59EDC"/>
        <w:insideH w:val="single" w:sz="4" w:space="0" w:color="E59EDC"/>
        <w:insideV w:val="single" w:sz="4" w:space="0" w:color="E59EDC"/>
      </w:tblBorders>
    </w:tblPr>
    <w:tblStylePr w:type="firstRow">
      <w:rPr>
        <w:b/>
        <w:bCs/>
      </w:rPr>
      <w:tblPr/>
      <w:tcPr>
        <w:tcBorders>
          <w:bottom w:val="single" w:sz="12" w:space="0" w:color="D86DCB"/>
        </w:tcBorders>
      </w:tcPr>
    </w:tblStylePr>
    <w:tblStylePr w:type="lastRow">
      <w:rPr>
        <w:b/>
        <w:bCs/>
      </w:rPr>
      <w:tblPr/>
      <w:tcPr>
        <w:tcBorders>
          <w:top w:val="double" w:sz="2" w:space="0" w:color="D86DCB"/>
        </w:tcBorders>
      </w:tcPr>
    </w:tblStylePr>
    <w:tblStylePr w:type="firstCol">
      <w:rPr>
        <w:b/>
        <w:bCs/>
      </w:rPr>
    </w:tblStylePr>
    <w:tblStylePr w:type="lastCol">
      <w:rPr>
        <w:b/>
        <w:bCs/>
      </w:rPr>
    </w:tblStylePr>
  </w:style>
  <w:style w:type="table" w:customStyle="1" w:styleId="CVtable4">
    <w:name w:val="CV table4"/>
    <w:basedOn w:val="TableNormal"/>
    <w:next w:val="TableGrid"/>
    <w:uiPriority w:val="59"/>
    <w:rsid w:val="00622884"/>
    <w:pPr>
      <w:spacing w:before="40" w:after="40"/>
    </w:pPr>
    <w:rPr>
      <w:rFonts w:ascii="Aptos" w:eastAsia="Times New Roman" w:hAnsi="Aptos" w:cs="Arial"/>
      <w:color w:val="1A406B"/>
      <w:sz w:val="20"/>
      <w:szCs w:val="20"/>
      <w:lang w:val="fr-CA" w:eastAsia="sq-AL"/>
    </w:rPr>
    <w:tblPr>
      <w:tblBorders>
        <w:top w:val="single" w:sz="4" w:space="0" w:color="95999C"/>
        <w:left w:val="single" w:sz="4" w:space="0" w:color="95999C"/>
        <w:bottom w:val="single" w:sz="4" w:space="0" w:color="95999C"/>
        <w:right w:val="single" w:sz="4" w:space="0" w:color="95999C"/>
        <w:insideH w:val="single" w:sz="4" w:space="0" w:color="95999C"/>
        <w:insideV w:val="single" w:sz="4" w:space="0" w:color="95999C"/>
      </w:tblBorders>
    </w:tblPr>
    <w:tcPr>
      <w:vAlign w:val="center"/>
    </w:tcPr>
    <w:tblStylePr w:type="firstRow">
      <w:pPr>
        <w:jc w:val="left"/>
      </w:pPr>
      <w:rPr>
        <w:b/>
      </w:rPr>
      <w:tblPr/>
      <w:tcPr>
        <w:shd w:val="clear" w:color="auto" w:fill="E9EAEB"/>
      </w:tcPr>
    </w:tblStylePr>
  </w:style>
  <w:style w:type="character" w:customStyle="1" w:styleId="UnresolvedMention1">
    <w:name w:val="Unresolved Mention1"/>
    <w:uiPriority w:val="99"/>
    <w:semiHidden/>
    <w:unhideWhenUsed/>
    <w:rsid w:val="00622884"/>
    <w:rPr>
      <w:color w:val="605E5C"/>
      <w:shd w:val="clear" w:color="auto" w:fill="E1DFDD"/>
    </w:rPr>
  </w:style>
  <w:style w:type="table" w:customStyle="1" w:styleId="TableDefinitionsGrid4">
    <w:name w:val="Table Definitions Grid4"/>
    <w:basedOn w:val="TableNormal"/>
    <w:next w:val="TableGrid"/>
    <w:uiPriority w:val="39"/>
    <w:qFormat/>
    <w:rsid w:val="00622884"/>
    <w:pPr>
      <w:spacing w:after="0" w:line="240" w:lineRule="auto"/>
    </w:pPr>
    <w:rPr>
      <w:rFonts w:ascii="Aptos" w:eastAsia="SimSun" w:hAnsi="Aptos" w:cs="Arial"/>
      <w:sz w:val="20"/>
      <w:szCs w:val="20"/>
      <w:lang w:val="es-ES" w:eastAsia="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62">
    <w:name w:val="Grid Table 4 - Accent 62"/>
    <w:basedOn w:val="TableNormal"/>
    <w:next w:val="GridTable4-Accent6"/>
    <w:uiPriority w:val="49"/>
    <w:rsid w:val="00622884"/>
    <w:pPr>
      <w:spacing w:after="0" w:line="240" w:lineRule="auto"/>
    </w:pPr>
    <w:rPr>
      <w:rFonts w:ascii="Aptos" w:eastAsia="Calibri Light" w:hAnsi="Aptos" w:cs="Arial"/>
      <w:sz w:val="20"/>
      <w:szCs w:val="20"/>
      <w:lang w:val="es-ES" w:eastAsia="sq-AL"/>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Tablaconcuadrcula5">
    <w:name w:val="Tabla con cuadrícula5"/>
    <w:basedOn w:val="TableNormal"/>
    <w:next w:val="TableGrid"/>
    <w:uiPriority w:val="39"/>
    <w:rsid w:val="00622884"/>
    <w:pPr>
      <w:spacing w:after="0" w:line="240" w:lineRule="auto"/>
    </w:pPr>
    <w:rPr>
      <w:rFonts w:ascii="Times New Roman" w:eastAsia="Times New Roman" w:hAnsi="Times New Roman" w:cs="Times New Roman"/>
      <w:sz w:val="24"/>
      <w:szCs w:val="24"/>
      <w:lang w:val="en"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chart" Target="charts/chart2.xml"/><Relationship Id="rId21" Type="http://schemas.openxmlformats.org/officeDocument/2006/relationships/image" Target="media/image9.jpeg"/><Relationship Id="rId42" Type="http://schemas.openxmlformats.org/officeDocument/2006/relationships/chart" Target="charts/chart5.xml"/><Relationship Id="rId47" Type="http://schemas.openxmlformats.org/officeDocument/2006/relationships/image" Target="media/image29.png"/><Relationship Id="rId63" Type="http://schemas.openxmlformats.org/officeDocument/2006/relationships/oleObject" Target="embeddings/oleObject4.bin"/><Relationship Id="rId68" Type="http://schemas.openxmlformats.org/officeDocument/2006/relationships/image" Target="media/image37.jpeg"/><Relationship Id="rId84" Type="http://schemas.openxmlformats.org/officeDocument/2006/relationships/image" Target="media/image53.png"/><Relationship Id="rId89" Type="http://schemas.openxmlformats.org/officeDocument/2006/relationships/image" Target="media/image58.png"/><Relationship Id="rId112" Type="http://schemas.openxmlformats.org/officeDocument/2006/relationships/image" Target="media/image76.jpeg"/><Relationship Id="rId16" Type="http://schemas.openxmlformats.org/officeDocument/2006/relationships/image" Target="media/image4.png"/><Relationship Id="rId107" Type="http://schemas.openxmlformats.org/officeDocument/2006/relationships/image" Target="media/image71.png"/><Relationship Id="rId11" Type="http://schemas.openxmlformats.org/officeDocument/2006/relationships/footnotes" Target="footnotes.xml"/><Relationship Id="rId32" Type="http://schemas.openxmlformats.org/officeDocument/2006/relationships/image" Target="media/image16.emf"/><Relationship Id="rId37" Type="http://schemas.openxmlformats.org/officeDocument/2006/relationships/image" Target="media/image21.png"/><Relationship Id="rId53" Type="http://schemas.openxmlformats.org/officeDocument/2006/relationships/image" Target="media/image31.png"/><Relationship Id="rId58" Type="http://schemas.openxmlformats.org/officeDocument/2006/relationships/header" Target="header1.xml"/><Relationship Id="rId74" Type="http://schemas.openxmlformats.org/officeDocument/2006/relationships/image" Target="media/image43.png"/><Relationship Id="rId79" Type="http://schemas.openxmlformats.org/officeDocument/2006/relationships/image" Target="media/image48.png"/><Relationship Id="rId102" Type="http://schemas.openxmlformats.org/officeDocument/2006/relationships/image" Target="media/image66.png"/><Relationship Id="rId5" Type="http://schemas.openxmlformats.org/officeDocument/2006/relationships/customXml" Target="../customXml/item5.xml"/><Relationship Id="rId90" Type="http://schemas.openxmlformats.org/officeDocument/2006/relationships/image" Target="media/image59.emf"/><Relationship Id="rId95" Type="http://schemas.openxmlformats.org/officeDocument/2006/relationships/image" Target="media/image64.png"/><Relationship Id="rId22" Type="http://schemas.openxmlformats.org/officeDocument/2006/relationships/image" Target="media/image10.jpeg"/><Relationship Id="rId27" Type="http://schemas.openxmlformats.org/officeDocument/2006/relationships/chart" Target="charts/chart3.xml"/><Relationship Id="rId43" Type="http://schemas.openxmlformats.org/officeDocument/2006/relationships/chart" Target="charts/chart6.xml"/><Relationship Id="rId48" Type="http://schemas.openxmlformats.org/officeDocument/2006/relationships/image" Target="media/image30.png"/><Relationship Id="rId64" Type="http://schemas.openxmlformats.org/officeDocument/2006/relationships/image" Target="media/image33.png"/><Relationship Id="rId69" Type="http://schemas.openxmlformats.org/officeDocument/2006/relationships/image" Target="media/image38.jpeg"/><Relationship Id="rId113" Type="http://schemas.openxmlformats.org/officeDocument/2006/relationships/fontTable" Target="fontTable.xml"/><Relationship Id="rId80" Type="http://schemas.openxmlformats.org/officeDocument/2006/relationships/image" Target="media/image49.png"/><Relationship Id="rId85" Type="http://schemas.openxmlformats.org/officeDocument/2006/relationships/image" Target="media/image54.png"/><Relationship Id="rId12" Type="http://schemas.openxmlformats.org/officeDocument/2006/relationships/endnotes" Target="endnotes.xml"/><Relationship Id="rId17" Type="http://schemas.openxmlformats.org/officeDocument/2006/relationships/image" Target="media/image5.png"/><Relationship Id="rId33" Type="http://schemas.openxmlformats.org/officeDocument/2006/relationships/image" Target="media/image17.emf"/><Relationship Id="rId38" Type="http://schemas.openxmlformats.org/officeDocument/2006/relationships/image" Target="media/image22.png"/><Relationship Id="rId59" Type="http://schemas.openxmlformats.org/officeDocument/2006/relationships/header" Target="header2.xml"/><Relationship Id="rId103" Type="http://schemas.openxmlformats.org/officeDocument/2006/relationships/image" Target="media/image67.emf"/><Relationship Id="rId108" Type="http://schemas.openxmlformats.org/officeDocument/2006/relationships/image" Target="media/image72.png"/><Relationship Id="rId54" Type="http://schemas.openxmlformats.org/officeDocument/2006/relationships/hyperlink" Target="https://www.e3g.org/docs/E3G_Strategic_national_approaches_to_climate_finance_FINAL.pdf" TargetMode="External"/><Relationship Id="rId70" Type="http://schemas.openxmlformats.org/officeDocument/2006/relationships/image" Target="media/image39.emf"/><Relationship Id="rId75" Type="http://schemas.openxmlformats.org/officeDocument/2006/relationships/image" Target="media/image44.png"/><Relationship Id="rId91" Type="http://schemas.openxmlformats.org/officeDocument/2006/relationships/image" Target="media/image60.emf"/><Relationship Id="rId96" Type="http://schemas.openxmlformats.org/officeDocument/2006/relationships/image" Target="media/image65.png"/><Relationship Id="rId1" Type="http://schemas.openxmlformats.org/officeDocument/2006/relationships/customXml" Target="../customXml/item1.xml"/><Relationship Id="rId6" Type="http://schemas.openxmlformats.org/officeDocument/2006/relationships/customXml" Target="../customXml/item6.xml"/><Relationship Id="rId15" Type="http://schemas.openxmlformats.org/officeDocument/2006/relationships/image" Target="media/image3.jpeg"/><Relationship Id="rId23" Type="http://schemas.openxmlformats.org/officeDocument/2006/relationships/image" Target="media/image11.jpeg"/><Relationship Id="rId28" Type="http://schemas.openxmlformats.org/officeDocument/2006/relationships/image" Target="media/image13.jpeg"/><Relationship Id="rId36" Type="http://schemas.openxmlformats.org/officeDocument/2006/relationships/image" Target="media/image20.png"/><Relationship Id="rId49" Type="http://schemas.openxmlformats.org/officeDocument/2006/relationships/chart" Target="charts/chart7.xml"/><Relationship Id="rId57" Type="http://schemas.openxmlformats.org/officeDocument/2006/relationships/hyperlink" Target="http://apply07.grants.gov/apply/opportunities/instructions/oppAPS-182-16-000001-instructions.pdf" TargetMode="External"/><Relationship Id="rId106" Type="http://schemas.openxmlformats.org/officeDocument/2006/relationships/image" Target="media/image70.jpeg"/><Relationship Id="rId114" Type="http://schemas.openxmlformats.org/officeDocument/2006/relationships/theme" Target="theme/theme1.xml"/><Relationship Id="rId10" Type="http://schemas.openxmlformats.org/officeDocument/2006/relationships/webSettings" Target="webSettings.xml"/><Relationship Id="rId31" Type="http://schemas.openxmlformats.org/officeDocument/2006/relationships/chart" Target="charts/chart4.xml"/><Relationship Id="rId44" Type="http://schemas.openxmlformats.org/officeDocument/2006/relationships/image" Target="media/image26.png"/><Relationship Id="rId52" Type="http://schemas.openxmlformats.org/officeDocument/2006/relationships/hyperlink" Target="http://climatefinancelab.org/" TargetMode="External"/><Relationship Id="rId60" Type="http://schemas.openxmlformats.org/officeDocument/2006/relationships/footer" Target="footer1.xml"/><Relationship Id="rId65" Type="http://schemas.openxmlformats.org/officeDocument/2006/relationships/image" Target="media/image34.png"/><Relationship Id="rId73" Type="http://schemas.openxmlformats.org/officeDocument/2006/relationships/image" Target="media/image42.png"/><Relationship Id="rId78" Type="http://schemas.openxmlformats.org/officeDocument/2006/relationships/image" Target="media/image47.png"/><Relationship Id="rId81" Type="http://schemas.openxmlformats.org/officeDocument/2006/relationships/image" Target="media/image50.png"/><Relationship Id="rId86" Type="http://schemas.openxmlformats.org/officeDocument/2006/relationships/image" Target="media/image55.png"/><Relationship Id="rId94" Type="http://schemas.openxmlformats.org/officeDocument/2006/relationships/image" Target="media/image63.png"/><Relationship Id="rId99" Type="http://schemas.openxmlformats.org/officeDocument/2006/relationships/diagramQuickStyle" Target="diagrams/quickStyle1.xml"/><Relationship Id="rId101" Type="http://schemas.microsoft.com/office/2007/relationships/diagramDrawing" Target="diagrams/drawing1.xml"/><Relationship Id="rId4" Type="http://schemas.openxmlformats.org/officeDocument/2006/relationships/customXml" Target="../customXml/item4.xml"/><Relationship Id="rId9" Type="http://schemas.openxmlformats.org/officeDocument/2006/relationships/settings" Target="settings.xml"/><Relationship Id="rId13" Type="http://schemas.openxmlformats.org/officeDocument/2006/relationships/image" Target="media/image1.png"/><Relationship Id="rId18" Type="http://schemas.openxmlformats.org/officeDocument/2006/relationships/image" Target="media/image6.png"/><Relationship Id="rId39" Type="http://schemas.openxmlformats.org/officeDocument/2006/relationships/image" Target="media/image23.png"/><Relationship Id="rId109" Type="http://schemas.openxmlformats.org/officeDocument/2006/relationships/image" Target="media/image73.png"/><Relationship Id="rId34" Type="http://schemas.openxmlformats.org/officeDocument/2006/relationships/image" Target="media/image18.emf"/><Relationship Id="rId50" Type="http://schemas.openxmlformats.org/officeDocument/2006/relationships/hyperlink" Target="http://climate-l.iisd.org/ne&#235;s/stakeholders-reflect-on-innovative-finance-health-sdgs-climate-progress-data/" TargetMode="External"/><Relationship Id="rId55" Type="http://schemas.openxmlformats.org/officeDocument/2006/relationships/hyperlink" Target="https://unfccc.int/files/adaptation/groups_committees/ldc_expert_group/application/pdf/mainstreaming_climate_change_into_planning.pdf" TargetMode="External"/><Relationship Id="rId76" Type="http://schemas.openxmlformats.org/officeDocument/2006/relationships/image" Target="media/image45.png"/><Relationship Id="rId97" Type="http://schemas.openxmlformats.org/officeDocument/2006/relationships/diagramData" Target="diagrams/data1.xml"/><Relationship Id="rId104" Type="http://schemas.openxmlformats.org/officeDocument/2006/relationships/image" Target="media/image68.emf"/><Relationship Id="rId7" Type="http://schemas.openxmlformats.org/officeDocument/2006/relationships/numbering" Target="numbering.xml"/><Relationship Id="rId71" Type="http://schemas.openxmlformats.org/officeDocument/2006/relationships/image" Target="media/image40.emf"/><Relationship Id="rId92" Type="http://schemas.openxmlformats.org/officeDocument/2006/relationships/image" Target="media/image61.emf"/><Relationship Id="rId2" Type="http://schemas.openxmlformats.org/officeDocument/2006/relationships/customXml" Target="../customXml/item2.xml"/><Relationship Id="rId29" Type="http://schemas.openxmlformats.org/officeDocument/2006/relationships/image" Target="media/image14.jpeg"/><Relationship Id="rId24" Type="http://schemas.openxmlformats.org/officeDocument/2006/relationships/image" Target="media/image12.emf"/><Relationship Id="rId40" Type="http://schemas.openxmlformats.org/officeDocument/2006/relationships/image" Target="media/image24.png"/><Relationship Id="rId45" Type="http://schemas.openxmlformats.org/officeDocument/2006/relationships/image" Target="media/image27.jpg"/><Relationship Id="rId66" Type="http://schemas.openxmlformats.org/officeDocument/2006/relationships/image" Target="media/image35.jpeg"/><Relationship Id="rId87" Type="http://schemas.openxmlformats.org/officeDocument/2006/relationships/image" Target="media/image56.png"/><Relationship Id="rId110" Type="http://schemas.openxmlformats.org/officeDocument/2006/relationships/image" Target="media/image74.emf"/><Relationship Id="rId61" Type="http://schemas.openxmlformats.org/officeDocument/2006/relationships/header" Target="header3.xml"/><Relationship Id="rId82" Type="http://schemas.openxmlformats.org/officeDocument/2006/relationships/image" Target="media/image51.png"/><Relationship Id="rId19" Type="http://schemas.openxmlformats.org/officeDocument/2006/relationships/image" Target="media/image7.png"/><Relationship Id="rId14" Type="http://schemas.openxmlformats.org/officeDocument/2006/relationships/image" Target="media/image2.jpeg"/><Relationship Id="rId30" Type="http://schemas.openxmlformats.org/officeDocument/2006/relationships/image" Target="media/image15.jpeg"/><Relationship Id="rId35" Type="http://schemas.openxmlformats.org/officeDocument/2006/relationships/image" Target="media/image19.png"/><Relationship Id="rId56" Type="http://schemas.openxmlformats.org/officeDocument/2006/relationships/hyperlink" Target="http://apply07.grants.gov/apply/opportunities/instructions/oppAPS-182-16-000001-instructions.pdf" TargetMode="External"/><Relationship Id="rId77" Type="http://schemas.openxmlformats.org/officeDocument/2006/relationships/image" Target="media/image46.png"/><Relationship Id="rId100" Type="http://schemas.openxmlformats.org/officeDocument/2006/relationships/diagramColors" Target="diagrams/colors1.xml"/><Relationship Id="rId105" Type="http://schemas.openxmlformats.org/officeDocument/2006/relationships/image" Target="media/image69.emf"/><Relationship Id="rId8" Type="http://schemas.openxmlformats.org/officeDocument/2006/relationships/styles" Target="styles.xml"/><Relationship Id="rId51" Type="http://schemas.openxmlformats.org/officeDocument/2006/relationships/hyperlink" Target="http://www.climatefinanceideas.org/" TargetMode="External"/><Relationship Id="rId72" Type="http://schemas.openxmlformats.org/officeDocument/2006/relationships/image" Target="media/image41.jpeg"/><Relationship Id="rId93" Type="http://schemas.openxmlformats.org/officeDocument/2006/relationships/image" Target="media/image62.png"/><Relationship Id="rId98" Type="http://schemas.openxmlformats.org/officeDocument/2006/relationships/diagramLayout" Target="diagrams/layout1.xml"/><Relationship Id="rId3" Type="http://schemas.openxmlformats.org/officeDocument/2006/relationships/customXml" Target="../customXml/item3.xml"/><Relationship Id="rId25" Type="http://schemas.openxmlformats.org/officeDocument/2006/relationships/chart" Target="charts/chart1.xml"/><Relationship Id="rId46" Type="http://schemas.openxmlformats.org/officeDocument/2006/relationships/image" Target="media/image28.png"/><Relationship Id="rId67" Type="http://schemas.openxmlformats.org/officeDocument/2006/relationships/image" Target="media/image36.jpeg"/><Relationship Id="rId20" Type="http://schemas.openxmlformats.org/officeDocument/2006/relationships/image" Target="media/image8.jpeg"/><Relationship Id="rId41" Type="http://schemas.openxmlformats.org/officeDocument/2006/relationships/image" Target="media/image25.jpeg"/><Relationship Id="rId62" Type="http://schemas.openxmlformats.org/officeDocument/2006/relationships/image" Target="media/image32.emf"/><Relationship Id="rId83" Type="http://schemas.openxmlformats.org/officeDocument/2006/relationships/image" Target="media/image52.png"/><Relationship Id="rId88" Type="http://schemas.openxmlformats.org/officeDocument/2006/relationships/image" Target="media/image57.png"/><Relationship Id="rId111" Type="http://schemas.openxmlformats.org/officeDocument/2006/relationships/image" Target="media/image75.jpeg"/></Relationships>
</file>

<file path=word/_rels/footnotes.xml.rels><?xml version="1.0" encoding="UTF-8" standalone="yes"?>
<Relationships xmlns="http://schemas.openxmlformats.org/package/2006/relationships"><Relationship Id="rId8" Type="http://schemas.openxmlformats.org/officeDocument/2006/relationships/hyperlink" Target="https://www.cbd.int/sp/targets/" TargetMode="External"/><Relationship Id="rId13" Type="http://schemas.openxmlformats.org/officeDocument/2006/relationships/hyperlink" Target="https://climate-adapt.eea.europa.eu/" TargetMode="External"/><Relationship Id="rId3" Type="http://schemas.openxmlformats.org/officeDocument/2006/relationships/hyperlink" Target="http://ec.europa.eu/energy/en/topics/energy-strategy/2030-energy-strategy" TargetMode="External"/><Relationship Id="rId7" Type="http://schemas.openxmlformats.org/officeDocument/2006/relationships/hyperlink" Target="http://sled.rec.org/building.html" TargetMode="External"/><Relationship Id="rId12" Type="http://schemas.openxmlformats.org/officeDocument/2006/relationships/hyperlink" Target="https://www.adaptation-undp.org/" TargetMode="External"/><Relationship Id="rId2" Type="http://schemas.openxmlformats.org/officeDocument/2006/relationships/hyperlink" Target="http://ec.europa.eu/clima/news/docs/2015030601_eu_indc_en.pdf" TargetMode="External"/><Relationship Id="rId1" Type="http://schemas.openxmlformats.org/officeDocument/2006/relationships/hyperlink" Target="http://eur-lex.europa.eu/resource.html?uri=cellar:5db26ecc-ba4e-4de2-ae08-dba649109d18.0002.03/DOC_2&amp;format=PDF" TargetMode="External"/><Relationship Id="rId6" Type="http://schemas.openxmlformats.org/officeDocument/2006/relationships/hyperlink" Target="http://hdl.handle.net/10986/16198" TargetMode="External"/><Relationship Id="rId11" Type="http://schemas.openxmlformats.org/officeDocument/2006/relationships/hyperlink" Target="https://www.unep.org/gan/" TargetMode="External"/><Relationship Id="rId5" Type="http://schemas.openxmlformats.org/officeDocument/2006/relationships/hyperlink" Target="http://www.al.undp.org/content/albania/en/home/library/environment_energy/" TargetMode="External"/><Relationship Id="rId15" Type="http://schemas.openxmlformats.org/officeDocument/2006/relationships/hyperlink" Target="https://www.statista.com/statistics/444090/albania-gdp-distribution-across-economic-sectors/" TargetMode="External"/><Relationship Id="rId10" Type="http://schemas.openxmlformats.org/officeDocument/2006/relationships/hyperlink" Target="https://www.eea.europa.eu/en/ne&#235;sroom/ne&#235;s/europe-is-not-prepared-for?utm_medium=email&amp;_hsmi=84201387&amp;_hsenc=p2ANqtz--zS8bTN2iJ2Y1&#203;DmIOApxA2NiBMTqcMIYqBA8R0oya5yIZm85S1ynHduz_YL9QUZZQp&#235;FjEdqyo&#235;yIptFU75f0a1ey_YeReaa3_97qFY7ZzM7Ok&amp;utm_content=84201387&amp;utm_source=hs_email" TargetMode="External"/><Relationship Id="rId4" Type="http://schemas.openxmlformats.org/officeDocument/2006/relationships/hyperlink" Target="http://www.worldbank.org/en/country/albania/overview" TargetMode="External"/><Relationship Id="rId9" Type="http://schemas.openxmlformats.org/officeDocument/2006/relationships/hyperlink" Target="http://www.qarkushkoder.gov.al/sq" TargetMode="External"/><Relationship Id="rId14" Type="http://schemas.openxmlformats.org/officeDocument/2006/relationships/hyperlink" Target="https://unfccc.int/documents/636595" TargetMode="External"/></Relationships>
</file>

<file path=word/charts/_rels/chart1.xml.rels><?xml version="1.0" encoding="UTF-8" standalone="yes"?>
<Relationships xmlns="http://schemas.openxmlformats.org/package/2006/relationships"><Relationship Id="rId2" Type="http://schemas.openxmlformats.org/officeDocument/2006/relationships/oleObject" Target="file:///F:\Other_things\Dr\Shkrimet\Te%20dhenat%20kadastrale.xlsx" TargetMode="External"/><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oleObject" Target="file:///F:\Other_things\Dr\Shkrimet\Te%20dhenat%20kadastrale.xlsx" TargetMode="External"/><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oleObject" Target="file:///F:\Other_things\Dr\Shkrimet\Te%20dhenat%20kadastrale.xlsx" TargetMode="External"/><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2" Type="http://schemas.openxmlformats.org/officeDocument/2006/relationships/oleObject" Target="file:///C:\Users\Cinzia\Documents\A_CINZIA_WORK\ALBANIA\cap%202\dati%20GHG%20trends.xls" TargetMode="External"/><Relationship Id="rId1" Type="http://schemas.openxmlformats.org/officeDocument/2006/relationships/themeOverride" Target="../theme/themeOverride4.xml"/></Relationships>
</file>

<file path=word/charts/_rels/chart5.xml.rels><?xml version="1.0" encoding="UTF-8" standalone="yes"?>
<Relationships xmlns="http://schemas.openxmlformats.org/package/2006/relationships"><Relationship Id="rId1" Type="http://schemas.openxmlformats.org/officeDocument/2006/relationships/oleObject" Target="../embeddings/oleObject1.bin"/></Relationships>
</file>

<file path=word/charts/_rels/chart6.xml.rels><?xml version="1.0" encoding="UTF-8" standalone="yes"?>
<Relationships xmlns="http://schemas.openxmlformats.org/package/2006/relationships"><Relationship Id="rId1" Type="http://schemas.openxmlformats.org/officeDocument/2006/relationships/oleObject" Target="../embeddings/oleObject2.bin"/></Relationships>
</file>

<file path=word/charts/_rels/chart7.xml.rels><?xml version="1.0" encoding="UTF-8" standalone="yes"?>
<Relationships xmlns="http://schemas.openxmlformats.org/package/2006/relationships"><Relationship Id="rId2" Type="http://schemas.openxmlformats.org/officeDocument/2006/relationships/oleObject" Target="../embeddings/oleObject3.bin"/><Relationship Id="rId1" Type="http://schemas.openxmlformats.org/officeDocument/2006/relationships/themeOverride" Target="../theme/themeOverride5.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sq-AL" sz="1200" b="1" i="0" u="none" strike="noStrike" baseline="0"/>
              <a:t>Sipërfaqja pyjore gjatë </a:t>
            </a:r>
            <a:r>
              <a:rPr lang="sq-AL" sz="1200"/>
              <a:t>2000-2013, </a:t>
            </a:r>
            <a:r>
              <a:rPr lang="en-US" sz="1200"/>
              <a:t>në</a:t>
            </a:r>
            <a:r>
              <a:rPr lang="sq-AL" sz="1200"/>
              <a:t> </a:t>
            </a:r>
            <a:r>
              <a:rPr lang="en-GB" sz="1200"/>
              <a:t>1000</a:t>
            </a:r>
            <a:r>
              <a:rPr lang="sq-AL" sz="1200"/>
              <a:t> ha</a:t>
            </a:r>
            <a:endParaRPr lang="en-US" sz="1200"/>
          </a:p>
        </c:rich>
      </c:tx>
      <c:overlay val="0"/>
    </c:title>
    <c:autoTitleDeleted val="0"/>
    <c:plotArea>
      <c:layout/>
      <c:areaChart>
        <c:grouping val="stacked"/>
        <c:varyColors val="0"/>
        <c:ser>
          <c:idx val="0"/>
          <c:order val="0"/>
          <c:spPr>
            <a:solidFill>
              <a:srgbClr val="92D050"/>
            </a:solidFill>
          </c:spPr>
          <c:cat>
            <c:strRef>
              <c:f>Sheet1!$A$27:$A$40</c:f>
              <c:strCache>
                <c:ptCount val="14"/>
                <c:pt idx="0">
                  <c:v>Y.2000</c:v>
                </c:pt>
                <c:pt idx="1">
                  <c:v>Y.2001</c:v>
                </c:pt>
                <c:pt idx="2">
                  <c:v>Y.2002</c:v>
                </c:pt>
                <c:pt idx="3">
                  <c:v>Y.2003</c:v>
                </c:pt>
                <c:pt idx="4">
                  <c:v>Y.2004</c:v>
                </c:pt>
                <c:pt idx="5">
                  <c:v>Y.2005</c:v>
                </c:pt>
                <c:pt idx="6">
                  <c:v>Y.2006</c:v>
                </c:pt>
                <c:pt idx="7">
                  <c:v>Y.2007</c:v>
                </c:pt>
                <c:pt idx="8">
                  <c:v>Y.2008</c:v>
                </c:pt>
                <c:pt idx="9">
                  <c:v>Y.2009</c:v>
                </c:pt>
                <c:pt idx="10">
                  <c:v>Y.2010</c:v>
                </c:pt>
                <c:pt idx="11">
                  <c:v>Y.2011</c:v>
                </c:pt>
                <c:pt idx="12">
                  <c:v>Y.2012</c:v>
                </c:pt>
                <c:pt idx="13">
                  <c:v>Y.2013</c:v>
                </c:pt>
              </c:strCache>
            </c:strRef>
          </c:cat>
          <c:val>
            <c:numRef>
              <c:f>Sheet1!$C$27:$C$40</c:f>
              <c:numCache>
                <c:formatCode>0</c:formatCode>
                <c:ptCount val="14"/>
                <c:pt idx="0">
                  <c:v>1030.76</c:v>
                </c:pt>
                <c:pt idx="1">
                  <c:v>1030.1699999999998</c:v>
                </c:pt>
                <c:pt idx="2">
                  <c:v>1036.1599999999999</c:v>
                </c:pt>
                <c:pt idx="3">
                  <c:v>1039.8599999999999</c:v>
                </c:pt>
                <c:pt idx="4">
                  <c:v>1043.07</c:v>
                </c:pt>
                <c:pt idx="5">
                  <c:v>1043.1579999999999</c:v>
                </c:pt>
                <c:pt idx="6">
                  <c:v>1044.99</c:v>
                </c:pt>
                <c:pt idx="7">
                  <c:v>1043.7170000000001</c:v>
                </c:pt>
                <c:pt idx="8">
                  <c:v>1044.5999999999999</c:v>
                </c:pt>
                <c:pt idx="9">
                  <c:v>1042.79</c:v>
                </c:pt>
                <c:pt idx="10">
                  <c:v>1041.6899999999998</c:v>
                </c:pt>
                <c:pt idx="11">
                  <c:v>1041.45</c:v>
                </c:pt>
                <c:pt idx="12">
                  <c:v>1041.3899999999999</c:v>
                </c:pt>
                <c:pt idx="13">
                  <c:v>1040.8809999999999</c:v>
                </c:pt>
              </c:numCache>
            </c:numRef>
          </c:val>
          <c:extLst>
            <c:ext xmlns:c16="http://schemas.microsoft.com/office/drawing/2014/chart" uri="{C3380CC4-5D6E-409C-BE32-E72D297353CC}">
              <c16:uniqueId val="{00000000-4669-4372-81FB-D1FB2DD08C2C}"/>
            </c:ext>
          </c:extLst>
        </c:ser>
        <c:dLbls>
          <c:showLegendKey val="0"/>
          <c:showVal val="0"/>
          <c:showCatName val="0"/>
          <c:showSerName val="0"/>
          <c:showPercent val="0"/>
          <c:showBubbleSize val="0"/>
        </c:dLbls>
        <c:axId val="-494004272"/>
        <c:axId val="-494006448"/>
      </c:areaChart>
      <c:catAx>
        <c:axId val="-494004272"/>
        <c:scaling>
          <c:orientation val="minMax"/>
        </c:scaling>
        <c:delete val="0"/>
        <c:axPos val="b"/>
        <c:numFmt formatCode="#,##0.00" sourceLinked="0"/>
        <c:majorTickMark val="none"/>
        <c:minorTickMark val="none"/>
        <c:tickLblPos val="nextTo"/>
        <c:crossAx val="-494006448"/>
        <c:crosses val="autoZero"/>
        <c:auto val="1"/>
        <c:lblAlgn val="ctr"/>
        <c:lblOffset val="100"/>
        <c:noMultiLvlLbl val="0"/>
      </c:catAx>
      <c:valAx>
        <c:axId val="-494006448"/>
        <c:scaling>
          <c:orientation val="minMax"/>
        </c:scaling>
        <c:delete val="0"/>
        <c:axPos val="l"/>
        <c:majorGridlines>
          <c:spPr>
            <a:ln>
              <a:solidFill>
                <a:srgbClr val="9BBB59">
                  <a:shade val="95000"/>
                  <a:satMod val="105000"/>
                  <a:alpha val="49000"/>
                </a:srgbClr>
              </a:solidFill>
            </a:ln>
          </c:spPr>
        </c:majorGridlines>
        <c:numFmt formatCode="0" sourceLinked="0"/>
        <c:majorTickMark val="none"/>
        <c:minorTickMark val="none"/>
        <c:tickLblPos val="nextTo"/>
        <c:crossAx val="-494004272"/>
        <c:crosses val="autoZero"/>
        <c:crossBetween val="midCat"/>
      </c:valAx>
    </c:plotArea>
    <c:plotVisOnly val="1"/>
    <c:dispBlanksAs val="zero"/>
    <c:showDLblsOverMax val="0"/>
  </c:chart>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sq-AL" sz="1200"/>
              <a:t>Volum</a:t>
            </a:r>
            <a:r>
              <a:rPr lang="en-US" sz="1200"/>
              <a:t>i</a:t>
            </a:r>
            <a:r>
              <a:rPr lang="sq-AL" sz="1200"/>
              <a:t> stok </a:t>
            </a:r>
            <a:r>
              <a:rPr lang="en-US" sz="1200"/>
              <a:t>gjatë periudhës </a:t>
            </a:r>
            <a:r>
              <a:rPr lang="sq-AL" sz="1200" baseline="0"/>
              <a:t>2000-2013, </a:t>
            </a:r>
            <a:r>
              <a:rPr lang="en-US" sz="1200" baseline="0"/>
              <a:t>në</a:t>
            </a:r>
            <a:r>
              <a:rPr lang="sq-AL" sz="1200" baseline="0"/>
              <a:t> </a:t>
            </a:r>
            <a:r>
              <a:rPr lang="it-IT" sz="1200" baseline="0"/>
              <a:t>1</a:t>
            </a:r>
            <a:r>
              <a:rPr lang="sq-AL" sz="1200" baseline="0"/>
              <a:t>000 m</a:t>
            </a:r>
            <a:r>
              <a:rPr lang="sq-AL" sz="1200" baseline="30000"/>
              <a:t>3</a:t>
            </a:r>
            <a:endParaRPr lang="en-US" sz="1200" baseline="30000"/>
          </a:p>
        </c:rich>
      </c:tx>
      <c:layout>
        <c:manualLayout>
          <c:xMode val="edge"/>
          <c:yMode val="edge"/>
          <c:x val="0.15652983628882441"/>
          <c:y val="2.9041626331074499E-2"/>
        </c:manualLayout>
      </c:layout>
      <c:overlay val="0"/>
    </c:title>
    <c:autoTitleDeleted val="0"/>
    <c:plotArea>
      <c:layout/>
      <c:barChart>
        <c:barDir val="col"/>
        <c:grouping val="clustered"/>
        <c:varyColors val="0"/>
        <c:ser>
          <c:idx val="0"/>
          <c:order val="0"/>
          <c:spPr>
            <a:solidFill>
              <a:srgbClr val="92D050"/>
            </a:solidFill>
          </c:spPr>
          <c:invertIfNegative val="0"/>
          <c:trendline>
            <c:spPr>
              <a:ln w="19050">
                <a:solidFill>
                  <a:srgbClr val="FF0000"/>
                </a:solidFill>
              </a:ln>
            </c:spPr>
            <c:trendlineType val="poly"/>
            <c:order val="2"/>
            <c:dispRSqr val="1"/>
            <c:dispEq val="1"/>
            <c:trendlineLbl>
              <c:layout>
                <c:manualLayout>
                  <c:x val="7.0728558930133814E-2"/>
                  <c:y val="-0.24256051326917497"/>
                </c:manualLayout>
              </c:layout>
              <c:numFmt formatCode="General" sourceLinked="0"/>
              <c:txPr>
                <a:bodyPr/>
                <a:lstStyle/>
                <a:p>
                  <a:pPr>
                    <a:defRPr sz="800">
                      <a:solidFill>
                        <a:sysClr val="windowText" lastClr="000000"/>
                      </a:solidFill>
                    </a:defRPr>
                  </a:pPr>
                  <a:endParaRPr lang="en-US"/>
                </a:p>
              </c:txPr>
            </c:trendlineLbl>
          </c:trendline>
          <c:cat>
            <c:strRef>
              <c:f>Sheet1!$A$27:$A$40</c:f>
              <c:strCache>
                <c:ptCount val="14"/>
                <c:pt idx="0">
                  <c:v>Y.2000</c:v>
                </c:pt>
                <c:pt idx="1">
                  <c:v>Y.2001</c:v>
                </c:pt>
                <c:pt idx="2">
                  <c:v>Y.2002</c:v>
                </c:pt>
                <c:pt idx="3">
                  <c:v>Y.2003</c:v>
                </c:pt>
                <c:pt idx="4">
                  <c:v>Y.2004</c:v>
                </c:pt>
                <c:pt idx="5">
                  <c:v>Y.2005</c:v>
                </c:pt>
                <c:pt idx="6">
                  <c:v>Y.2006</c:v>
                </c:pt>
                <c:pt idx="7">
                  <c:v>Y.2007</c:v>
                </c:pt>
                <c:pt idx="8">
                  <c:v>Y.2008</c:v>
                </c:pt>
                <c:pt idx="9">
                  <c:v>Y.2009</c:v>
                </c:pt>
                <c:pt idx="10">
                  <c:v>Y.2010</c:v>
                </c:pt>
                <c:pt idx="11">
                  <c:v>Y.2011</c:v>
                </c:pt>
                <c:pt idx="12">
                  <c:v>Y.2012</c:v>
                </c:pt>
                <c:pt idx="13">
                  <c:v>Y.2013</c:v>
                </c:pt>
              </c:strCache>
            </c:strRef>
          </c:cat>
          <c:val>
            <c:numRef>
              <c:f>Sheet1!$D$27:$D$40</c:f>
              <c:numCache>
                <c:formatCode>General</c:formatCode>
                <c:ptCount val="14"/>
                <c:pt idx="0" formatCode="0">
                  <c:v>83295</c:v>
                </c:pt>
                <c:pt idx="1">
                  <c:v>84390</c:v>
                </c:pt>
                <c:pt idx="2">
                  <c:v>85583</c:v>
                </c:pt>
                <c:pt idx="3" formatCode="0">
                  <c:v>85435</c:v>
                </c:pt>
                <c:pt idx="4" formatCode="0">
                  <c:v>82667</c:v>
                </c:pt>
                <c:pt idx="5" formatCode="0">
                  <c:v>81334.600000000006</c:v>
                </c:pt>
                <c:pt idx="6" formatCode="0">
                  <c:v>80867.8</c:v>
                </c:pt>
                <c:pt idx="7" formatCode="0">
                  <c:v>81662.7</c:v>
                </c:pt>
                <c:pt idx="8" formatCode="0">
                  <c:v>74834.399999999994</c:v>
                </c:pt>
                <c:pt idx="9" formatCode="0">
                  <c:v>75726.100000000006</c:v>
                </c:pt>
                <c:pt idx="10" formatCode="0">
                  <c:v>76503.899999999994</c:v>
                </c:pt>
                <c:pt idx="11">
                  <c:v>76495</c:v>
                </c:pt>
                <c:pt idx="12" formatCode="#,##0">
                  <c:v>76483.399999999994</c:v>
                </c:pt>
                <c:pt idx="13" formatCode="#,##0">
                  <c:v>76243.600000000006</c:v>
                </c:pt>
              </c:numCache>
            </c:numRef>
          </c:val>
          <c:extLst>
            <c:ext xmlns:c16="http://schemas.microsoft.com/office/drawing/2014/chart" uri="{C3380CC4-5D6E-409C-BE32-E72D297353CC}">
              <c16:uniqueId val="{00000000-D78C-41A7-9608-FFD7446B8F03}"/>
            </c:ext>
          </c:extLst>
        </c:ser>
        <c:dLbls>
          <c:showLegendKey val="0"/>
          <c:showVal val="0"/>
          <c:showCatName val="0"/>
          <c:showSerName val="0"/>
          <c:showPercent val="0"/>
          <c:showBubbleSize val="0"/>
        </c:dLbls>
        <c:gapWidth val="150"/>
        <c:axId val="-493996112"/>
        <c:axId val="-494005904"/>
      </c:barChart>
      <c:catAx>
        <c:axId val="-493996112"/>
        <c:scaling>
          <c:orientation val="minMax"/>
        </c:scaling>
        <c:delete val="0"/>
        <c:axPos val="b"/>
        <c:title>
          <c:tx>
            <c:rich>
              <a:bodyPr/>
              <a:lstStyle/>
              <a:p>
                <a:pPr>
                  <a:defRPr/>
                </a:pPr>
                <a:r>
                  <a:rPr lang="sq-AL"/>
                  <a:t>Years</a:t>
                </a:r>
                <a:endParaRPr lang="en-US"/>
              </a:p>
            </c:rich>
          </c:tx>
          <c:overlay val="0"/>
        </c:title>
        <c:numFmt formatCode="General" sourceLinked="0"/>
        <c:majorTickMark val="none"/>
        <c:minorTickMark val="none"/>
        <c:tickLblPos val="nextTo"/>
        <c:crossAx val="-494005904"/>
        <c:crosses val="autoZero"/>
        <c:auto val="1"/>
        <c:lblAlgn val="ctr"/>
        <c:lblOffset val="100"/>
        <c:noMultiLvlLbl val="0"/>
      </c:catAx>
      <c:valAx>
        <c:axId val="-494005904"/>
        <c:scaling>
          <c:orientation val="minMax"/>
        </c:scaling>
        <c:delete val="0"/>
        <c:axPos val="l"/>
        <c:majorGridlines>
          <c:spPr>
            <a:ln>
              <a:solidFill>
                <a:schemeClr val="accent3">
                  <a:lumMod val="20000"/>
                  <a:lumOff val="80000"/>
                </a:schemeClr>
              </a:solidFill>
            </a:ln>
          </c:spPr>
        </c:majorGridlines>
        <c:numFmt formatCode="0" sourceLinked="0"/>
        <c:majorTickMark val="out"/>
        <c:minorTickMark val="none"/>
        <c:tickLblPos val="nextTo"/>
        <c:crossAx val="-493996112"/>
        <c:crosses val="autoZero"/>
        <c:crossBetween val="between"/>
      </c:valAx>
    </c:plotArea>
    <c:plotVisOnly val="1"/>
    <c:dispBlanksAs val="gap"/>
    <c:showDLblsOverMax val="0"/>
  </c:chart>
  <c:spPr>
    <a:ln>
      <a:solidFill>
        <a:srgbClr val="00B050"/>
      </a:solidFill>
    </a:ln>
  </c:sp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en-US" sz="1100"/>
              <a:t>Rritja e</a:t>
            </a:r>
            <a:r>
              <a:rPr lang="en-US" sz="1100" baseline="0"/>
              <a:t> Pyjeve dhe konsumi i druve gjatë periudhës </a:t>
            </a:r>
            <a:r>
              <a:rPr lang="sq-AL" sz="1100" baseline="0"/>
              <a:t>2000-2013, </a:t>
            </a:r>
            <a:r>
              <a:rPr lang="en-US" sz="1100" baseline="0"/>
              <a:t>në</a:t>
            </a:r>
            <a:r>
              <a:rPr lang="sq-AL" sz="1100" baseline="0"/>
              <a:t> m</a:t>
            </a:r>
            <a:r>
              <a:rPr lang="sq-AL" sz="1100" baseline="30000"/>
              <a:t>3</a:t>
            </a:r>
            <a:endParaRPr lang="en-US" sz="1100" baseline="30000"/>
          </a:p>
        </c:rich>
      </c:tx>
      <c:overlay val="0"/>
    </c:title>
    <c:autoTitleDeleted val="0"/>
    <c:plotArea>
      <c:layout/>
      <c:lineChart>
        <c:grouping val="standard"/>
        <c:varyColors val="0"/>
        <c:ser>
          <c:idx val="0"/>
          <c:order val="0"/>
          <c:tx>
            <c:v>Annual growth of forests</c:v>
          </c:tx>
          <c:spPr>
            <a:ln>
              <a:solidFill>
                <a:srgbClr val="00B050"/>
              </a:solidFill>
            </a:ln>
          </c:spPr>
          <c:marker>
            <c:symbol val="circle"/>
            <c:size val="3"/>
            <c:spPr>
              <a:solidFill>
                <a:srgbClr val="FFC000"/>
              </a:solidFill>
            </c:spPr>
          </c:marker>
          <c:cat>
            <c:strRef>
              <c:f>Humbja_Pyje!$B$5:$B$18</c:f>
              <c:strCache>
                <c:ptCount val="14"/>
                <c:pt idx="0">
                  <c:v>Y.2000</c:v>
                </c:pt>
                <c:pt idx="1">
                  <c:v>Y.2001</c:v>
                </c:pt>
                <c:pt idx="2">
                  <c:v>Y.2002</c:v>
                </c:pt>
                <c:pt idx="3">
                  <c:v>Y.2003</c:v>
                </c:pt>
                <c:pt idx="4">
                  <c:v>Y.2004</c:v>
                </c:pt>
                <c:pt idx="5">
                  <c:v>Y.2005</c:v>
                </c:pt>
                <c:pt idx="6">
                  <c:v>Y.2006</c:v>
                </c:pt>
                <c:pt idx="7">
                  <c:v>Y.2007</c:v>
                </c:pt>
                <c:pt idx="8">
                  <c:v>Y.2008</c:v>
                </c:pt>
                <c:pt idx="9">
                  <c:v>Y.2009</c:v>
                </c:pt>
                <c:pt idx="10">
                  <c:v>Y.2010</c:v>
                </c:pt>
                <c:pt idx="11">
                  <c:v>Y.2011</c:v>
                </c:pt>
                <c:pt idx="12">
                  <c:v>Y.2012</c:v>
                </c:pt>
                <c:pt idx="13">
                  <c:v>Y.2013</c:v>
                </c:pt>
              </c:strCache>
            </c:strRef>
          </c:cat>
          <c:val>
            <c:numRef>
              <c:f>Humbja_Pyje!$F$5:$F$18</c:f>
              <c:numCache>
                <c:formatCode>#,##0</c:formatCode>
                <c:ptCount val="14"/>
                <c:pt idx="0">
                  <c:v>1236912</c:v>
                </c:pt>
                <c:pt idx="1">
                  <c:v>1339221</c:v>
                </c:pt>
                <c:pt idx="2">
                  <c:v>1761472</c:v>
                </c:pt>
                <c:pt idx="3">
                  <c:v>1247832</c:v>
                </c:pt>
                <c:pt idx="4">
                  <c:v>1355991</c:v>
                </c:pt>
                <c:pt idx="5">
                  <c:v>1460421.2</c:v>
                </c:pt>
                <c:pt idx="6">
                  <c:v>1567485</c:v>
                </c:pt>
                <c:pt idx="7">
                  <c:v>1774318.9</c:v>
                </c:pt>
                <c:pt idx="8">
                  <c:v>1357980</c:v>
                </c:pt>
                <c:pt idx="9">
                  <c:v>1355627</c:v>
                </c:pt>
                <c:pt idx="10">
                  <c:v>1354197</c:v>
                </c:pt>
                <c:pt idx="11">
                  <c:v>1249740</c:v>
                </c:pt>
                <c:pt idx="12">
                  <c:v>1145529</c:v>
                </c:pt>
                <c:pt idx="13">
                  <c:v>1144969.1000000001</c:v>
                </c:pt>
              </c:numCache>
            </c:numRef>
          </c:val>
          <c:smooth val="0"/>
          <c:extLst>
            <c:ext xmlns:c16="http://schemas.microsoft.com/office/drawing/2014/chart" uri="{C3380CC4-5D6E-409C-BE32-E72D297353CC}">
              <c16:uniqueId val="{00000000-BDBF-4A6A-A671-8418F4CAC962}"/>
            </c:ext>
          </c:extLst>
        </c:ser>
        <c:ser>
          <c:idx val="1"/>
          <c:order val="1"/>
          <c:tx>
            <c:v>Annual reduction of forest volume</c:v>
          </c:tx>
          <c:marker>
            <c:symbol val="circle"/>
            <c:size val="3"/>
            <c:spPr>
              <a:solidFill>
                <a:srgbClr val="FFC000"/>
              </a:solidFill>
            </c:spPr>
          </c:marker>
          <c:cat>
            <c:strRef>
              <c:f>Humbja_Pyje!$B$5:$B$18</c:f>
              <c:strCache>
                <c:ptCount val="14"/>
                <c:pt idx="0">
                  <c:v>Y.2000</c:v>
                </c:pt>
                <c:pt idx="1">
                  <c:v>Y.2001</c:v>
                </c:pt>
                <c:pt idx="2">
                  <c:v>Y.2002</c:v>
                </c:pt>
                <c:pt idx="3">
                  <c:v>Y.2003</c:v>
                </c:pt>
                <c:pt idx="4">
                  <c:v>Y.2004</c:v>
                </c:pt>
                <c:pt idx="5">
                  <c:v>Y.2005</c:v>
                </c:pt>
                <c:pt idx="6">
                  <c:v>Y.2006</c:v>
                </c:pt>
                <c:pt idx="7">
                  <c:v>Y.2007</c:v>
                </c:pt>
                <c:pt idx="8">
                  <c:v>Y.2008</c:v>
                </c:pt>
                <c:pt idx="9">
                  <c:v>Y.2009</c:v>
                </c:pt>
                <c:pt idx="10">
                  <c:v>Y.2010</c:v>
                </c:pt>
                <c:pt idx="11">
                  <c:v>Y.2011</c:v>
                </c:pt>
                <c:pt idx="12">
                  <c:v>Y.2012</c:v>
                </c:pt>
                <c:pt idx="13">
                  <c:v>Y.2013</c:v>
                </c:pt>
              </c:strCache>
            </c:strRef>
          </c:cat>
          <c:val>
            <c:numRef>
              <c:f>Humbja_Pyje!$J$5:$J$18</c:f>
              <c:numCache>
                <c:formatCode>General</c:formatCode>
                <c:ptCount val="14"/>
                <c:pt idx="0">
                  <c:v>1740912</c:v>
                </c:pt>
                <c:pt idx="1">
                  <c:v>1843221</c:v>
                </c:pt>
                <c:pt idx="2">
                  <c:v>2265472</c:v>
                </c:pt>
                <c:pt idx="3">
                  <c:v>1751832</c:v>
                </c:pt>
                <c:pt idx="4">
                  <c:v>1859991</c:v>
                </c:pt>
                <c:pt idx="5" formatCode="0">
                  <c:v>1964421.2</c:v>
                </c:pt>
                <c:pt idx="6">
                  <c:v>2071485</c:v>
                </c:pt>
                <c:pt idx="7" formatCode="0">
                  <c:v>2278318.9</c:v>
                </c:pt>
                <c:pt idx="8">
                  <c:v>1861980</c:v>
                </c:pt>
                <c:pt idx="9">
                  <c:v>1859627</c:v>
                </c:pt>
                <c:pt idx="10">
                  <c:v>1858197</c:v>
                </c:pt>
                <c:pt idx="11">
                  <c:v>1753740</c:v>
                </c:pt>
                <c:pt idx="12">
                  <c:v>1649529</c:v>
                </c:pt>
                <c:pt idx="13" formatCode="0">
                  <c:v>1648969.1</c:v>
                </c:pt>
              </c:numCache>
            </c:numRef>
          </c:val>
          <c:smooth val="0"/>
          <c:extLst>
            <c:ext xmlns:c16="http://schemas.microsoft.com/office/drawing/2014/chart" uri="{C3380CC4-5D6E-409C-BE32-E72D297353CC}">
              <c16:uniqueId val="{00000001-BDBF-4A6A-A671-8418F4CAC962}"/>
            </c:ext>
          </c:extLst>
        </c:ser>
        <c:dLbls>
          <c:showLegendKey val="0"/>
          <c:showVal val="0"/>
          <c:showCatName val="0"/>
          <c:showSerName val="0"/>
          <c:showPercent val="0"/>
          <c:showBubbleSize val="0"/>
        </c:dLbls>
        <c:marker val="1"/>
        <c:smooth val="0"/>
        <c:axId val="-494003728"/>
        <c:axId val="-494009712"/>
      </c:lineChart>
      <c:catAx>
        <c:axId val="-494003728"/>
        <c:scaling>
          <c:orientation val="minMax"/>
        </c:scaling>
        <c:delete val="0"/>
        <c:axPos val="b"/>
        <c:numFmt formatCode="General" sourceLinked="1"/>
        <c:majorTickMark val="none"/>
        <c:minorTickMark val="none"/>
        <c:tickLblPos val="nextTo"/>
        <c:crossAx val="-494009712"/>
        <c:crosses val="autoZero"/>
        <c:auto val="1"/>
        <c:lblAlgn val="ctr"/>
        <c:lblOffset val="100"/>
        <c:noMultiLvlLbl val="0"/>
      </c:catAx>
      <c:valAx>
        <c:axId val="-494009712"/>
        <c:scaling>
          <c:orientation val="minMax"/>
        </c:scaling>
        <c:delete val="0"/>
        <c:axPos val="l"/>
        <c:majorGridlines>
          <c:spPr>
            <a:ln>
              <a:solidFill>
                <a:srgbClr val="4F81BD">
                  <a:alpha val="41000"/>
                </a:srgbClr>
              </a:solidFill>
            </a:ln>
          </c:spPr>
        </c:majorGridlines>
        <c:numFmt formatCode="0" sourceLinked="0"/>
        <c:majorTickMark val="none"/>
        <c:minorTickMark val="none"/>
        <c:tickLblPos val="nextTo"/>
        <c:spPr>
          <a:ln w="9525">
            <a:noFill/>
          </a:ln>
        </c:spPr>
        <c:crossAx val="-494003728"/>
        <c:crosses val="autoZero"/>
        <c:crossBetween val="between"/>
        <c:majorUnit val="500000"/>
      </c:valAx>
    </c:plotArea>
    <c:legend>
      <c:legendPos val="b"/>
      <c:overlay val="0"/>
    </c:legend>
    <c:plotVisOnly val="1"/>
    <c:dispBlanksAs val="gap"/>
    <c:showDLblsOverMax val="0"/>
  </c:chart>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40"/>
    </mc:Choice>
    <mc:Fallback>
      <c:style val="40"/>
    </mc:Fallback>
  </mc:AlternateContent>
  <c:clrMapOvr bg1="lt1" tx1="dk1" bg2="lt2" tx2="dk2" accent1="accent1" accent2="accent2" accent3="accent3" accent4="accent4" accent5="accent5" accent6="accent6" hlink="hlink" folHlink="folHlink"/>
  <c:chart>
    <c:autoTitleDeleted val="0"/>
    <c:plotArea>
      <c:layout/>
      <c:barChart>
        <c:barDir val="col"/>
        <c:grouping val="stacked"/>
        <c:varyColors val="0"/>
        <c:ser>
          <c:idx val="0"/>
          <c:order val="0"/>
          <c:tx>
            <c:strRef>
              <c:f>Foglio1!$A$5</c:f>
              <c:strCache>
                <c:ptCount val="1"/>
                <c:pt idx="0">
                  <c:v>Energy Industries: ALL </c:v>
                </c:pt>
              </c:strCache>
            </c:strRef>
          </c:tx>
          <c:invertIfNegative val="0"/>
          <c:cat>
            <c:numRef>
              <c:f>Foglio1!$B$3:$K$3</c:f>
              <c:numCache>
                <c:formatCode>General</c:formatCode>
                <c:ptCount val="10"/>
                <c:pt idx="0">
                  <c:v>2000</c:v>
                </c:pt>
                <c:pt idx="1">
                  <c:v>2001</c:v>
                </c:pt>
                <c:pt idx="2">
                  <c:v>2002</c:v>
                </c:pt>
                <c:pt idx="3">
                  <c:v>2003</c:v>
                </c:pt>
                <c:pt idx="4">
                  <c:v>2004</c:v>
                </c:pt>
                <c:pt idx="5">
                  <c:v>2005</c:v>
                </c:pt>
                <c:pt idx="6">
                  <c:v>2006</c:v>
                </c:pt>
                <c:pt idx="7">
                  <c:v>2007</c:v>
                </c:pt>
                <c:pt idx="8">
                  <c:v>2008</c:v>
                </c:pt>
                <c:pt idx="9">
                  <c:v>2009</c:v>
                </c:pt>
              </c:numCache>
            </c:numRef>
          </c:cat>
          <c:val>
            <c:numRef>
              <c:f>Foglio1!$B$5:$K$5</c:f>
              <c:numCache>
                <c:formatCode>General</c:formatCode>
                <c:ptCount val="10"/>
                <c:pt idx="0">
                  <c:v>246.29</c:v>
                </c:pt>
                <c:pt idx="1">
                  <c:v>248.28</c:v>
                </c:pt>
                <c:pt idx="2">
                  <c:v>257.85000000000002</c:v>
                </c:pt>
                <c:pt idx="3">
                  <c:v>270.8</c:v>
                </c:pt>
                <c:pt idx="4">
                  <c:v>286.83999999999929</c:v>
                </c:pt>
                <c:pt idx="5">
                  <c:v>282.89</c:v>
                </c:pt>
                <c:pt idx="6">
                  <c:v>285.22000000000003</c:v>
                </c:pt>
                <c:pt idx="7">
                  <c:v>288.13</c:v>
                </c:pt>
                <c:pt idx="8">
                  <c:v>291.62</c:v>
                </c:pt>
                <c:pt idx="9">
                  <c:v>312.82</c:v>
                </c:pt>
              </c:numCache>
            </c:numRef>
          </c:val>
          <c:extLst>
            <c:ext xmlns:c16="http://schemas.microsoft.com/office/drawing/2014/chart" uri="{C3380CC4-5D6E-409C-BE32-E72D297353CC}">
              <c16:uniqueId val="{00000000-C757-4295-80A7-B2E3C78C3EB9}"/>
            </c:ext>
          </c:extLst>
        </c:ser>
        <c:ser>
          <c:idx val="1"/>
          <c:order val="1"/>
          <c:tx>
            <c:strRef>
              <c:f>Foglio1!$A$6</c:f>
              <c:strCache>
                <c:ptCount val="1"/>
                <c:pt idx="0">
                  <c:v>Energy Industries: ONLY Fugitive Emission </c:v>
                </c:pt>
              </c:strCache>
            </c:strRef>
          </c:tx>
          <c:invertIfNegative val="0"/>
          <c:cat>
            <c:numRef>
              <c:f>Foglio1!$B$3:$K$3</c:f>
              <c:numCache>
                <c:formatCode>General</c:formatCode>
                <c:ptCount val="10"/>
                <c:pt idx="0">
                  <c:v>2000</c:v>
                </c:pt>
                <c:pt idx="1">
                  <c:v>2001</c:v>
                </c:pt>
                <c:pt idx="2">
                  <c:v>2002</c:v>
                </c:pt>
                <c:pt idx="3">
                  <c:v>2003</c:v>
                </c:pt>
                <c:pt idx="4">
                  <c:v>2004</c:v>
                </c:pt>
                <c:pt idx="5">
                  <c:v>2005</c:v>
                </c:pt>
                <c:pt idx="6">
                  <c:v>2006</c:v>
                </c:pt>
                <c:pt idx="7">
                  <c:v>2007</c:v>
                </c:pt>
                <c:pt idx="8">
                  <c:v>2008</c:v>
                </c:pt>
                <c:pt idx="9">
                  <c:v>2009</c:v>
                </c:pt>
              </c:numCache>
            </c:numRef>
          </c:cat>
          <c:val>
            <c:numRef>
              <c:f>Foglio1!$B$6:$K$6</c:f>
              <c:numCache>
                <c:formatCode>General</c:formatCode>
                <c:ptCount val="10"/>
                <c:pt idx="0">
                  <c:v>7.46</c:v>
                </c:pt>
                <c:pt idx="1">
                  <c:v>7.48</c:v>
                </c:pt>
                <c:pt idx="2">
                  <c:v>7.5</c:v>
                </c:pt>
                <c:pt idx="3">
                  <c:v>7.52</c:v>
                </c:pt>
                <c:pt idx="4">
                  <c:v>7.54</c:v>
                </c:pt>
                <c:pt idx="5">
                  <c:v>7.56</c:v>
                </c:pt>
                <c:pt idx="6">
                  <c:v>7.58</c:v>
                </c:pt>
                <c:pt idx="7">
                  <c:v>7.6</c:v>
                </c:pt>
                <c:pt idx="8">
                  <c:v>7.6199999999999957</c:v>
                </c:pt>
                <c:pt idx="9">
                  <c:v>7.6499999999999977</c:v>
                </c:pt>
              </c:numCache>
            </c:numRef>
          </c:val>
          <c:extLst>
            <c:ext xmlns:c16="http://schemas.microsoft.com/office/drawing/2014/chart" uri="{C3380CC4-5D6E-409C-BE32-E72D297353CC}">
              <c16:uniqueId val="{00000001-C757-4295-80A7-B2E3C78C3EB9}"/>
            </c:ext>
          </c:extLst>
        </c:ser>
        <c:ser>
          <c:idx val="2"/>
          <c:order val="2"/>
          <c:tx>
            <c:strRef>
              <c:f>Foglio1!$A$7</c:f>
              <c:strCache>
                <c:ptCount val="1"/>
                <c:pt idx="0">
                  <c:v>Manufacturing and Construction </c:v>
                </c:pt>
              </c:strCache>
            </c:strRef>
          </c:tx>
          <c:invertIfNegative val="0"/>
          <c:cat>
            <c:numRef>
              <c:f>Foglio1!$B$3:$K$3</c:f>
              <c:numCache>
                <c:formatCode>General</c:formatCode>
                <c:ptCount val="10"/>
                <c:pt idx="0">
                  <c:v>2000</c:v>
                </c:pt>
                <c:pt idx="1">
                  <c:v>2001</c:v>
                </c:pt>
                <c:pt idx="2">
                  <c:v>2002</c:v>
                </c:pt>
                <c:pt idx="3">
                  <c:v>2003</c:v>
                </c:pt>
                <c:pt idx="4">
                  <c:v>2004</c:v>
                </c:pt>
                <c:pt idx="5">
                  <c:v>2005</c:v>
                </c:pt>
                <c:pt idx="6">
                  <c:v>2006</c:v>
                </c:pt>
                <c:pt idx="7">
                  <c:v>2007</c:v>
                </c:pt>
                <c:pt idx="8">
                  <c:v>2008</c:v>
                </c:pt>
                <c:pt idx="9">
                  <c:v>2009</c:v>
                </c:pt>
              </c:numCache>
            </c:numRef>
          </c:cat>
          <c:val>
            <c:numRef>
              <c:f>Foglio1!$B$7:$K$7</c:f>
              <c:numCache>
                <c:formatCode>General</c:formatCode>
                <c:ptCount val="10"/>
                <c:pt idx="0">
                  <c:v>612.64</c:v>
                </c:pt>
                <c:pt idx="1">
                  <c:v>617.52</c:v>
                </c:pt>
                <c:pt idx="2">
                  <c:v>617.59</c:v>
                </c:pt>
                <c:pt idx="3">
                  <c:v>617.88</c:v>
                </c:pt>
                <c:pt idx="4">
                  <c:v>653.70000000000005</c:v>
                </c:pt>
                <c:pt idx="5">
                  <c:v>644.71</c:v>
                </c:pt>
                <c:pt idx="6">
                  <c:v>649.94999999999936</c:v>
                </c:pt>
                <c:pt idx="7">
                  <c:v>656.82999999999936</c:v>
                </c:pt>
                <c:pt idx="8">
                  <c:v>664.58</c:v>
                </c:pt>
                <c:pt idx="9">
                  <c:v>712.28000000000054</c:v>
                </c:pt>
              </c:numCache>
            </c:numRef>
          </c:val>
          <c:extLst>
            <c:ext xmlns:c16="http://schemas.microsoft.com/office/drawing/2014/chart" uri="{C3380CC4-5D6E-409C-BE32-E72D297353CC}">
              <c16:uniqueId val="{00000002-C757-4295-80A7-B2E3C78C3EB9}"/>
            </c:ext>
          </c:extLst>
        </c:ser>
        <c:ser>
          <c:idx val="3"/>
          <c:order val="3"/>
          <c:tx>
            <c:strRef>
              <c:f>Foglio1!$A$8</c:f>
              <c:strCache>
                <c:ptCount val="1"/>
                <c:pt idx="0">
                  <c:v>Transport </c:v>
                </c:pt>
              </c:strCache>
            </c:strRef>
          </c:tx>
          <c:invertIfNegative val="0"/>
          <c:cat>
            <c:numRef>
              <c:f>Foglio1!$B$3:$K$3</c:f>
              <c:numCache>
                <c:formatCode>General</c:formatCode>
                <c:ptCount val="10"/>
                <c:pt idx="0">
                  <c:v>2000</c:v>
                </c:pt>
                <c:pt idx="1">
                  <c:v>2001</c:v>
                </c:pt>
                <c:pt idx="2">
                  <c:v>2002</c:v>
                </c:pt>
                <c:pt idx="3">
                  <c:v>2003</c:v>
                </c:pt>
                <c:pt idx="4">
                  <c:v>2004</c:v>
                </c:pt>
                <c:pt idx="5">
                  <c:v>2005</c:v>
                </c:pt>
                <c:pt idx="6">
                  <c:v>2006</c:v>
                </c:pt>
                <c:pt idx="7">
                  <c:v>2007</c:v>
                </c:pt>
                <c:pt idx="8">
                  <c:v>2008</c:v>
                </c:pt>
                <c:pt idx="9">
                  <c:v>2009</c:v>
                </c:pt>
              </c:numCache>
            </c:numRef>
          </c:cat>
          <c:val>
            <c:numRef>
              <c:f>Foglio1!$B$8:$K$8</c:f>
              <c:numCache>
                <c:formatCode>General</c:formatCode>
                <c:ptCount val="10"/>
                <c:pt idx="0">
                  <c:v>1817.61</c:v>
                </c:pt>
                <c:pt idx="1">
                  <c:v>1835.36</c:v>
                </c:pt>
                <c:pt idx="2">
                  <c:v>1906.07</c:v>
                </c:pt>
                <c:pt idx="3">
                  <c:v>1996.71</c:v>
                </c:pt>
                <c:pt idx="4">
                  <c:v>2115.09</c:v>
                </c:pt>
                <c:pt idx="5">
                  <c:v>2085.9499999999998</c:v>
                </c:pt>
                <c:pt idx="6">
                  <c:v>2103.11</c:v>
                </c:pt>
                <c:pt idx="7">
                  <c:v>2124.5700000000002</c:v>
                </c:pt>
                <c:pt idx="8">
                  <c:v>2150.3100000000022</c:v>
                </c:pt>
                <c:pt idx="9">
                  <c:v>2306.46</c:v>
                </c:pt>
              </c:numCache>
            </c:numRef>
          </c:val>
          <c:extLst>
            <c:ext xmlns:c16="http://schemas.microsoft.com/office/drawing/2014/chart" uri="{C3380CC4-5D6E-409C-BE32-E72D297353CC}">
              <c16:uniqueId val="{00000003-C757-4295-80A7-B2E3C78C3EB9}"/>
            </c:ext>
          </c:extLst>
        </c:ser>
        <c:ser>
          <c:idx val="4"/>
          <c:order val="4"/>
          <c:tx>
            <c:strRef>
              <c:f>Foglio1!$A$9</c:f>
              <c:strCache>
                <c:ptCount val="1"/>
                <c:pt idx="0">
                  <c:v>Residential </c:v>
                </c:pt>
              </c:strCache>
            </c:strRef>
          </c:tx>
          <c:invertIfNegative val="0"/>
          <c:cat>
            <c:numRef>
              <c:f>Foglio1!$B$3:$K$3</c:f>
              <c:numCache>
                <c:formatCode>General</c:formatCode>
                <c:ptCount val="10"/>
                <c:pt idx="0">
                  <c:v>2000</c:v>
                </c:pt>
                <c:pt idx="1">
                  <c:v>2001</c:v>
                </c:pt>
                <c:pt idx="2">
                  <c:v>2002</c:v>
                </c:pt>
                <c:pt idx="3">
                  <c:v>2003</c:v>
                </c:pt>
                <c:pt idx="4">
                  <c:v>2004</c:v>
                </c:pt>
                <c:pt idx="5">
                  <c:v>2005</c:v>
                </c:pt>
                <c:pt idx="6">
                  <c:v>2006</c:v>
                </c:pt>
                <c:pt idx="7">
                  <c:v>2007</c:v>
                </c:pt>
                <c:pt idx="8">
                  <c:v>2008</c:v>
                </c:pt>
                <c:pt idx="9">
                  <c:v>2009</c:v>
                </c:pt>
              </c:numCache>
            </c:numRef>
          </c:cat>
          <c:val>
            <c:numRef>
              <c:f>Foglio1!$B$9:$K$9</c:f>
              <c:numCache>
                <c:formatCode>General</c:formatCode>
                <c:ptCount val="10"/>
                <c:pt idx="0">
                  <c:v>944.01</c:v>
                </c:pt>
                <c:pt idx="1">
                  <c:v>951.25</c:v>
                </c:pt>
                <c:pt idx="2">
                  <c:v>980.72</c:v>
                </c:pt>
                <c:pt idx="3">
                  <c:v>1026.2</c:v>
                </c:pt>
                <c:pt idx="4">
                  <c:v>1075.4000000000001</c:v>
                </c:pt>
                <c:pt idx="5">
                  <c:v>1060.6499999999999</c:v>
                </c:pt>
                <c:pt idx="6">
                  <c:v>1069.2</c:v>
                </c:pt>
                <c:pt idx="7">
                  <c:v>1082.4000000000001</c:v>
                </c:pt>
                <c:pt idx="8">
                  <c:v>1096.02</c:v>
                </c:pt>
                <c:pt idx="9">
                  <c:v>1168.1799999999998</c:v>
                </c:pt>
              </c:numCache>
            </c:numRef>
          </c:val>
          <c:extLst>
            <c:ext xmlns:c16="http://schemas.microsoft.com/office/drawing/2014/chart" uri="{C3380CC4-5D6E-409C-BE32-E72D297353CC}">
              <c16:uniqueId val="{00000004-C757-4295-80A7-B2E3C78C3EB9}"/>
            </c:ext>
          </c:extLst>
        </c:ser>
        <c:ser>
          <c:idx val="5"/>
          <c:order val="5"/>
          <c:tx>
            <c:strRef>
              <c:f>Foglio1!$A$10</c:f>
              <c:strCache>
                <c:ptCount val="1"/>
                <c:pt idx="0">
                  <c:v>Service </c:v>
                </c:pt>
              </c:strCache>
            </c:strRef>
          </c:tx>
          <c:invertIfNegative val="0"/>
          <c:cat>
            <c:numRef>
              <c:f>Foglio1!$B$3:$K$3</c:f>
              <c:numCache>
                <c:formatCode>General</c:formatCode>
                <c:ptCount val="10"/>
                <c:pt idx="0">
                  <c:v>2000</c:v>
                </c:pt>
                <c:pt idx="1">
                  <c:v>2001</c:v>
                </c:pt>
                <c:pt idx="2">
                  <c:v>2002</c:v>
                </c:pt>
                <c:pt idx="3">
                  <c:v>2003</c:v>
                </c:pt>
                <c:pt idx="4">
                  <c:v>2004</c:v>
                </c:pt>
                <c:pt idx="5">
                  <c:v>2005</c:v>
                </c:pt>
                <c:pt idx="6">
                  <c:v>2006</c:v>
                </c:pt>
                <c:pt idx="7">
                  <c:v>2007</c:v>
                </c:pt>
                <c:pt idx="8">
                  <c:v>2008</c:v>
                </c:pt>
                <c:pt idx="9">
                  <c:v>2009</c:v>
                </c:pt>
              </c:numCache>
            </c:numRef>
          </c:cat>
          <c:val>
            <c:numRef>
              <c:f>Foglio1!$B$10:$K$10</c:f>
              <c:numCache>
                <c:formatCode>General</c:formatCode>
                <c:ptCount val="10"/>
                <c:pt idx="0">
                  <c:v>193.87</c:v>
                </c:pt>
                <c:pt idx="1">
                  <c:v>194.35000000000107</c:v>
                </c:pt>
                <c:pt idx="2">
                  <c:v>201.82000000000087</c:v>
                </c:pt>
                <c:pt idx="3">
                  <c:v>211.23999999999998</c:v>
                </c:pt>
                <c:pt idx="4">
                  <c:v>223.73999999999998</c:v>
                </c:pt>
                <c:pt idx="5">
                  <c:v>220.5</c:v>
                </c:pt>
                <c:pt idx="6">
                  <c:v>222.37</c:v>
                </c:pt>
                <c:pt idx="7">
                  <c:v>224.66</c:v>
                </c:pt>
                <c:pt idx="8">
                  <c:v>227.37</c:v>
                </c:pt>
                <c:pt idx="9">
                  <c:v>242.5</c:v>
                </c:pt>
              </c:numCache>
            </c:numRef>
          </c:val>
          <c:extLst>
            <c:ext xmlns:c16="http://schemas.microsoft.com/office/drawing/2014/chart" uri="{C3380CC4-5D6E-409C-BE32-E72D297353CC}">
              <c16:uniqueId val="{00000005-C757-4295-80A7-B2E3C78C3EB9}"/>
            </c:ext>
          </c:extLst>
        </c:ser>
        <c:ser>
          <c:idx val="6"/>
          <c:order val="6"/>
          <c:tx>
            <c:strRef>
              <c:f>Foglio1!$A$11</c:f>
              <c:strCache>
                <c:ptCount val="1"/>
                <c:pt idx="0">
                  <c:v>Agriculture </c:v>
                </c:pt>
              </c:strCache>
            </c:strRef>
          </c:tx>
          <c:invertIfNegative val="0"/>
          <c:cat>
            <c:numRef>
              <c:f>Foglio1!$B$3:$K$3</c:f>
              <c:numCache>
                <c:formatCode>General</c:formatCode>
                <c:ptCount val="10"/>
                <c:pt idx="0">
                  <c:v>2000</c:v>
                </c:pt>
                <c:pt idx="1">
                  <c:v>2001</c:v>
                </c:pt>
                <c:pt idx="2">
                  <c:v>2002</c:v>
                </c:pt>
                <c:pt idx="3">
                  <c:v>2003</c:v>
                </c:pt>
                <c:pt idx="4">
                  <c:v>2004</c:v>
                </c:pt>
                <c:pt idx="5">
                  <c:v>2005</c:v>
                </c:pt>
                <c:pt idx="6">
                  <c:v>2006</c:v>
                </c:pt>
                <c:pt idx="7">
                  <c:v>2007</c:v>
                </c:pt>
                <c:pt idx="8">
                  <c:v>2008</c:v>
                </c:pt>
                <c:pt idx="9">
                  <c:v>2009</c:v>
                </c:pt>
              </c:numCache>
            </c:numRef>
          </c:cat>
          <c:val>
            <c:numRef>
              <c:f>Foglio1!$B$11:$K$11</c:f>
              <c:numCache>
                <c:formatCode>General</c:formatCode>
                <c:ptCount val="10"/>
                <c:pt idx="0">
                  <c:v>295.05</c:v>
                </c:pt>
                <c:pt idx="1">
                  <c:v>297.42999999999893</c:v>
                </c:pt>
                <c:pt idx="2">
                  <c:v>302.56</c:v>
                </c:pt>
                <c:pt idx="3">
                  <c:v>316.95999999999924</c:v>
                </c:pt>
                <c:pt idx="4">
                  <c:v>335.72999999999894</c:v>
                </c:pt>
                <c:pt idx="5">
                  <c:v>331.11</c:v>
                </c:pt>
                <c:pt idx="6">
                  <c:v>333.83</c:v>
                </c:pt>
                <c:pt idx="7">
                  <c:v>337.24</c:v>
                </c:pt>
                <c:pt idx="8">
                  <c:v>341.34000000000032</c:v>
                </c:pt>
                <c:pt idx="9">
                  <c:v>366.15000000000032</c:v>
                </c:pt>
              </c:numCache>
            </c:numRef>
          </c:val>
          <c:extLst>
            <c:ext xmlns:c16="http://schemas.microsoft.com/office/drawing/2014/chart" uri="{C3380CC4-5D6E-409C-BE32-E72D297353CC}">
              <c16:uniqueId val="{00000006-C757-4295-80A7-B2E3C78C3EB9}"/>
            </c:ext>
          </c:extLst>
        </c:ser>
        <c:dLbls>
          <c:showLegendKey val="0"/>
          <c:showVal val="0"/>
          <c:showCatName val="0"/>
          <c:showSerName val="0"/>
          <c:showPercent val="0"/>
          <c:showBubbleSize val="0"/>
        </c:dLbls>
        <c:gapWidth val="150"/>
        <c:overlap val="100"/>
        <c:axId val="-494008080"/>
        <c:axId val="-494005360"/>
      </c:barChart>
      <c:catAx>
        <c:axId val="-494008080"/>
        <c:scaling>
          <c:orientation val="minMax"/>
        </c:scaling>
        <c:delete val="0"/>
        <c:axPos val="b"/>
        <c:numFmt formatCode="General" sourceLinked="1"/>
        <c:majorTickMark val="out"/>
        <c:minorTickMark val="none"/>
        <c:tickLblPos val="nextTo"/>
        <c:crossAx val="-494005360"/>
        <c:crosses val="autoZero"/>
        <c:auto val="1"/>
        <c:lblAlgn val="ctr"/>
        <c:lblOffset val="100"/>
        <c:noMultiLvlLbl val="0"/>
      </c:catAx>
      <c:valAx>
        <c:axId val="-494005360"/>
        <c:scaling>
          <c:orientation val="minMax"/>
        </c:scaling>
        <c:delete val="0"/>
        <c:axPos val="l"/>
        <c:majorGridlines/>
        <c:title>
          <c:tx>
            <c:rich>
              <a:bodyPr rot="-5400000" vert="horz"/>
              <a:lstStyle/>
              <a:p>
                <a:pPr>
                  <a:defRPr/>
                </a:pPr>
                <a:r>
                  <a:rPr lang="en-US"/>
                  <a:t>Gg CO2 eq</a:t>
                </a:r>
              </a:p>
            </c:rich>
          </c:tx>
          <c:overlay val="0"/>
        </c:title>
        <c:numFmt formatCode="#,##0" sourceLinked="0"/>
        <c:majorTickMark val="out"/>
        <c:minorTickMark val="none"/>
        <c:tickLblPos val="nextTo"/>
        <c:crossAx val="-494008080"/>
        <c:crosses val="autoZero"/>
        <c:crossBetween val="between"/>
        <c:majorUnit val="500"/>
      </c:valAx>
    </c:plotArea>
    <c:legend>
      <c:legendPos val="r"/>
      <c:overlay val="0"/>
    </c:legend>
    <c:plotVisOnly val="1"/>
    <c:dispBlanksAs val="gap"/>
    <c:showDLblsOverMax val="0"/>
  </c:chart>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400" b="1" i="0" u="none" strike="noStrike" baseline="0">
                <a:solidFill>
                  <a:srgbClr val="000000"/>
                </a:solidFill>
                <a:latin typeface="Calibri"/>
                <a:ea typeface="Calibri"/>
                <a:cs typeface="Calibri"/>
              </a:defRPr>
            </a:pPr>
            <a:r>
              <a:rPr lang="en-US"/>
              <a:t>Burimet e financimit sipas fushave</a:t>
            </a:r>
          </a:p>
        </c:rich>
      </c:tx>
      <c:overlay val="0"/>
    </c:title>
    <c:autoTitleDeleted val="0"/>
    <c:plotArea>
      <c:layout/>
      <c:pieChart>
        <c:varyColors val="1"/>
        <c:ser>
          <c:idx val="0"/>
          <c:order val="0"/>
          <c:tx>
            <c:strRef>
              <c:f>'[Strategjia NAP costing (002).xls]Summary Tables'!$D$3</c:f>
              <c:strCache>
                <c:ptCount val="1"/>
                <c:pt idx="0">
                  <c:v>Total</c:v>
                </c:pt>
              </c:strCache>
            </c:strRef>
          </c:tx>
          <c:explosion val="25"/>
          <c:dPt>
            <c:idx val="0"/>
            <c:bubble3D val="0"/>
            <c:extLst>
              <c:ext xmlns:c16="http://schemas.microsoft.com/office/drawing/2014/chart" uri="{C3380CC4-5D6E-409C-BE32-E72D297353CC}">
                <c16:uniqueId val="{00000000-A2C2-4447-8B26-E812BC849EB7}"/>
              </c:ext>
            </c:extLst>
          </c:dPt>
          <c:dPt>
            <c:idx val="1"/>
            <c:bubble3D val="0"/>
            <c:extLst>
              <c:ext xmlns:c16="http://schemas.microsoft.com/office/drawing/2014/chart" uri="{C3380CC4-5D6E-409C-BE32-E72D297353CC}">
                <c16:uniqueId val="{00000001-A2C2-4447-8B26-E812BC849EB7}"/>
              </c:ext>
            </c:extLst>
          </c:dPt>
          <c:dPt>
            <c:idx val="2"/>
            <c:bubble3D val="0"/>
            <c:extLst>
              <c:ext xmlns:c16="http://schemas.microsoft.com/office/drawing/2014/chart" uri="{C3380CC4-5D6E-409C-BE32-E72D297353CC}">
                <c16:uniqueId val="{00000002-A2C2-4447-8B26-E812BC849EB7}"/>
              </c:ext>
            </c:extLst>
          </c:dPt>
          <c:dPt>
            <c:idx val="3"/>
            <c:bubble3D val="0"/>
            <c:extLst>
              <c:ext xmlns:c16="http://schemas.microsoft.com/office/drawing/2014/chart" uri="{C3380CC4-5D6E-409C-BE32-E72D297353CC}">
                <c16:uniqueId val="{00000003-A2C2-4447-8B26-E812BC849EB7}"/>
              </c:ext>
            </c:extLst>
          </c:dPt>
          <c:dLbls>
            <c:spPr>
              <a:noFill/>
              <a:ln w="25400">
                <a:noFill/>
              </a:ln>
            </c:spPr>
            <c:showLegendKey val="0"/>
            <c:showVal val="1"/>
            <c:showCatName val="0"/>
            <c:showSerName val="0"/>
            <c:showPercent val="0"/>
            <c:showBubbleSize val="0"/>
            <c:showLeaderLines val="1"/>
            <c:extLst>
              <c:ext xmlns:c15="http://schemas.microsoft.com/office/drawing/2012/chart" uri="{CE6537A1-D6FC-4f65-9D91-7224C49458BB}"/>
            </c:extLst>
          </c:dLbls>
          <c:cat>
            <c:strRef>
              <c:f>'[Strategjia NAP costing (002).xls]Summary Tables'!$B$4:$B$7</c:f>
              <c:strCache>
                <c:ptCount val="4"/>
                <c:pt idx="0">
                  <c:v>Total Energjia</c:v>
                </c:pt>
                <c:pt idx="1">
                  <c:v>Total Transporti</c:v>
                </c:pt>
                <c:pt idx="2">
                  <c:v>Total Bujqesia</c:v>
                </c:pt>
                <c:pt idx="3">
                  <c:v>Total Toka+Pyjet</c:v>
                </c:pt>
              </c:strCache>
            </c:strRef>
          </c:cat>
          <c:val>
            <c:numRef>
              <c:f>'[Strategjia NAP costing (002).xls]Summary Tables'!$D$4:$D$7</c:f>
              <c:numCache>
                <c:formatCode>_(* #,##0_);_(* \(#,##0\);_(* "-"??_);_(@_)</c:formatCode>
                <c:ptCount val="4"/>
                <c:pt idx="0">
                  <c:v>29974227</c:v>
                </c:pt>
                <c:pt idx="1">
                  <c:v>45428160</c:v>
                </c:pt>
                <c:pt idx="2">
                  <c:v>10727564</c:v>
                </c:pt>
                <c:pt idx="3">
                  <c:v>1471226</c:v>
                </c:pt>
              </c:numCache>
            </c:numRef>
          </c:val>
          <c:extLst>
            <c:ext xmlns:c16="http://schemas.microsoft.com/office/drawing/2014/chart" uri="{C3380CC4-5D6E-409C-BE32-E72D297353CC}">
              <c16:uniqueId val="{00000004-A2C2-4447-8B26-E812BC849EB7}"/>
            </c:ext>
          </c:extLst>
        </c:ser>
        <c:dLbls>
          <c:showLegendKey val="0"/>
          <c:showVal val="0"/>
          <c:showCatName val="0"/>
          <c:showSerName val="0"/>
          <c:showPercent val="0"/>
          <c:showBubbleSize val="0"/>
          <c:showLeaderLines val="1"/>
        </c:dLbls>
        <c:firstSliceAng val="0"/>
      </c:pieChart>
      <c:spPr>
        <a:noFill/>
        <a:ln w="25400">
          <a:noFill/>
        </a:ln>
      </c:spPr>
    </c:plotArea>
    <c:legend>
      <c:legendPos val="r"/>
      <c:layout>
        <c:manualLayout>
          <c:xMode val="edge"/>
          <c:yMode val="edge"/>
          <c:x val="0.69947669978992766"/>
          <c:y val="0.35919563448739017"/>
          <c:w val="0.27141153194973755"/>
          <c:h val="0.42450393166691563"/>
        </c:manualLayout>
      </c:layout>
      <c:overlay val="0"/>
      <c:txPr>
        <a:bodyPr/>
        <a:lstStyle/>
        <a:p>
          <a:pPr>
            <a:defRPr sz="920" b="0" i="0" u="none" strike="noStrike" baseline="0">
              <a:solidFill>
                <a:srgbClr val="000000"/>
              </a:solidFill>
              <a:latin typeface="Calibri"/>
              <a:ea typeface="Calibri"/>
              <a:cs typeface="Calibri"/>
            </a:defRPr>
          </a:pPr>
          <a:endParaRPr lang="en-US"/>
        </a:p>
      </c:txPr>
    </c:legend>
    <c:plotVisOnly val="1"/>
    <c:dispBlanksAs val="zero"/>
    <c:showDLblsOverMax val="0"/>
  </c:chart>
  <c:txPr>
    <a:bodyPr/>
    <a:lstStyle/>
    <a:p>
      <a:pPr>
        <a:defRPr sz="1000" b="0" i="0" u="none" strike="noStrike" baseline="0">
          <a:solidFill>
            <a:srgbClr val="000000"/>
          </a:solidFill>
          <a:latin typeface="Calibri"/>
          <a:ea typeface="Calibri"/>
          <a:cs typeface="Calibri"/>
        </a:defRPr>
      </a:pPr>
      <a:endParaRPr lang="en-US"/>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200" b="1" i="0" u="none" strike="noStrike" baseline="0">
                <a:solidFill>
                  <a:srgbClr val="000000"/>
                </a:solidFill>
                <a:latin typeface="Calibri"/>
                <a:ea typeface="Calibri"/>
                <a:cs typeface="Calibri"/>
              </a:defRPr>
            </a:pPr>
            <a:r>
              <a:rPr lang="en-US"/>
              <a:t>Burimet totale të financimit në %</a:t>
            </a:r>
          </a:p>
        </c:rich>
      </c:tx>
      <c:overlay val="0"/>
    </c:title>
    <c:autoTitleDeleted val="0"/>
    <c:view3D>
      <c:rotX val="15"/>
      <c:rotY val="20"/>
      <c:depthPercent val="100"/>
      <c:rAngAx val="1"/>
    </c:view3D>
    <c:floor>
      <c:thickness val="0"/>
    </c:floor>
    <c:sideWall>
      <c:thickness val="0"/>
    </c:sideWall>
    <c:backWall>
      <c:thickness val="0"/>
    </c:backWall>
    <c:plotArea>
      <c:layout/>
      <c:bar3DChart>
        <c:barDir val="col"/>
        <c:grouping val="stacked"/>
        <c:varyColors val="0"/>
        <c:ser>
          <c:idx val="0"/>
          <c:order val="0"/>
          <c:tx>
            <c:strRef>
              <c:f>'[Strategjia NAP costing (002).xls]Summary Tables'!$C$15</c:f>
              <c:strCache>
                <c:ptCount val="1"/>
                <c:pt idx="0">
                  <c:v>Government budget</c:v>
                </c:pt>
              </c:strCache>
            </c:strRef>
          </c:tx>
          <c:invertIfNegative val="0"/>
          <c:dLbls>
            <c:dLbl>
              <c:idx val="0"/>
              <c:spPr>
                <a:noFill/>
                <a:ln w="25400">
                  <a:noFill/>
                </a:ln>
              </c:spPr>
              <c:txPr>
                <a:bodyPr wrap="square" lIns="38100" tIns="19050" rIns="38100" bIns="19050" anchor="ctr">
                  <a:spAutoFit/>
                </a:bodyPr>
                <a:lstStyle/>
                <a:p>
                  <a:pPr>
                    <a:defRPr/>
                  </a:pPr>
                  <a:endParaRPr lang="en-US"/>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CDDE-4FA7-B6C6-0CF988BE7E40}"/>
                </c:ext>
              </c:extLst>
            </c:dLbl>
            <c:dLbl>
              <c:idx val="1"/>
              <c:spPr>
                <a:noFill/>
                <a:ln w="25400">
                  <a:noFill/>
                </a:ln>
              </c:spPr>
              <c:txPr>
                <a:bodyPr wrap="square" lIns="38100" tIns="19050" rIns="38100" bIns="19050" anchor="ctr">
                  <a:spAutoFit/>
                </a:bodyPr>
                <a:lstStyle/>
                <a:p>
                  <a:pPr>
                    <a:defRPr/>
                  </a:pPr>
                  <a:endParaRPr lang="en-US"/>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CDDE-4FA7-B6C6-0CF988BE7E40}"/>
                </c:ext>
              </c:extLst>
            </c:dLbl>
            <c:dLbl>
              <c:idx val="2"/>
              <c:spPr>
                <a:noFill/>
                <a:ln w="25400">
                  <a:noFill/>
                </a:ln>
              </c:spPr>
              <c:txPr>
                <a:bodyPr wrap="square" lIns="38100" tIns="19050" rIns="38100" bIns="19050" anchor="ctr">
                  <a:spAutoFit/>
                </a:bodyPr>
                <a:lstStyle/>
                <a:p>
                  <a:pPr>
                    <a:defRPr/>
                  </a:pPr>
                  <a:endParaRPr lang="en-US"/>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CDDE-4FA7-B6C6-0CF988BE7E40}"/>
                </c:ext>
              </c:extLst>
            </c:dLbl>
            <c:spPr>
              <a:noFill/>
              <a:ln>
                <a:noFill/>
              </a:ln>
              <a:effectLst/>
            </c:spPr>
            <c:showLegendKey val="0"/>
            <c:showVal val="0"/>
            <c:showCatName val="0"/>
            <c:showSerName val="0"/>
            <c:showPercent val="0"/>
            <c:showBubbleSize val="0"/>
            <c:extLst>
              <c:ext xmlns:c15="http://schemas.microsoft.com/office/drawing/2012/chart" uri="{CE6537A1-D6FC-4f65-9D91-7224C49458BB}">
                <c15:showLeaderLines val="0"/>
              </c:ext>
            </c:extLst>
          </c:dLbls>
          <c:cat>
            <c:strRef>
              <c:f>'[Strategjia NAP costing (002).xls]Summary Tables'!$B$16:$B$20</c:f>
              <c:strCache>
                <c:ptCount val="5"/>
                <c:pt idx="0">
                  <c:v>Energjia</c:v>
                </c:pt>
                <c:pt idx="1">
                  <c:v>Transporti</c:v>
                </c:pt>
                <c:pt idx="2">
                  <c:v>Bujqesia</c:v>
                </c:pt>
                <c:pt idx="3">
                  <c:v>Toka+Pyjet</c:v>
                </c:pt>
                <c:pt idx="4">
                  <c:v>Ndersektoriale</c:v>
                </c:pt>
              </c:strCache>
            </c:strRef>
          </c:cat>
          <c:val>
            <c:numRef>
              <c:f>'[Strategjia NAP costing (002).xls]Summary Tables'!$C$16:$C$20</c:f>
              <c:numCache>
                <c:formatCode>_(* #,##0_);_(* \(#,##0\);_(* "-"??_);_(@_)</c:formatCode>
                <c:ptCount val="5"/>
                <c:pt idx="0">
                  <c:v>23422408</c:v>
                </c:pt>
                <c:pt idx="1">
                  <c:v>38354551</c:v>
                </c:pt>
                <c:pt idx="2">
                  <c:v>9663350</c:v>
                </c:pt>
                <c:pt idx="3">
                  <c:v>1471226</c:v>
                </c:pt>
                <c:pt idx="4">
                  <c:v>0</c:v>
                </c:pt>
              </c:numCache>
            </c:numRef>
          </c:val>
          <c:extLst>
            <c:ext xmlns:c16="http://schemas.microsoft.com/office/drawing/2014/chart" uri="{C3380CC4-5D6E-409C-BE32-E72D297353CC}">
              <c16:uniqueId val="{00000003-CDDE-4FA7-B6C6-0CF988BE7E40}"/>
            </c:ext>
          </c:extLst>
        </c:ser>
        <c:ser>
          <c:idx val="1"/>
          <c:order val="1"/>
          <c:tx>
            <c:strRef>
              <c:f>'[Strategjia NAP costing (002).xls]Summary Tables'!$D$15</c:f>
              <c:strCache>
                <c:ptCount val="1"/>
                <c:pt idx="0">
                  <c:v>EU</c:v>
                </c:pt>
              </c:strCache>
            </c:strRef>
          </c:tx>
          <c:invertIfNegative val="0"/>
          <c:cat>
            <c:strRef>
              <c:f>'[Strategjia NAP costing (002).xls]Summary Tables'!$B$16:$B$20</c:f>
              <c:strCache>
                <c:ptCount val="5"/>
                <c:pt idx="0">
                  <c:v>Energjia</c:v>
                </c:pt>
                <c:pt idx="1">
                  <c:v>Transporti</c:v>
                </c:pt>
                <c:pt idx="2">
                  <c:v>Bujqesia</c:v>
                </c:pt>
                <c:pt idx="3">
                  <c:v>Toka+Pyjet</c:v>
                </c:pt>
                <c:pt idx="4">
                  <c:v>Ndersektoriale</c:v>
                </c:pt>
              </c:strCache>
            </c:strRef>
          </c:cat>
          <c:val>
            <c:numRef>
              <c:f>'[Strategjia NAP costing (002).xls]Summary Tables'!$D$16:$D$20</c:f>
              <c:numCache>
                <c:formatCode>_(* #,##0_);_(* \(#,##0\);_(* "-"??_);_(@_)</c:formatCode>
                <c:ptCount val="5"/>
                <c:pt idx="0">
                  <c:v>0</c:v>
                </c:pt>
                <c:pt idx="1">
                  <c:v>262320</c:v>
                </c:pt>
                <c:pt idx="2">
                  <c:v>0</c:v>
                </c:pt>
                <c:pt idx="3">
                  <c:v>0</c:v>
                </c:pt>
                <c:pt idx="4">
                  <c:v>0</c:v>
                </c:pt>
              </c:numCache>
            </c:numRef>
          </c:val>
          <c:extLst>
            <c:ext xmlns:c16="http://schemas.microsoft.com/office/drawing/2014/chart" uri="{C3380CC4-5D6E-409C-BE32-E72D297353CC}">
              <c16:uniqueId val="{00000004-CDDE-4FA7-B6C6-0CF988BE7E40}"/>
            </c:ext>
          </c:extLst>
        </c:ser>
        <c:ser>
          <c:idx val="2"/>
          <c:order val="2"/>
          <c:tx>
            <c:strRef>
              <c:f>'[Strategjia NAP costing (002).xls]Summary Tables'!$E$15</c:f>
              <c:strCache>
                <c:ptCount val="1"/>
                <c:pt idx="0">
                  <c:v>Other donors
   </c:v>
                </c:pt>
              </c:strCache>
            </c:strRef>
          </c:tx>
          <c:invertIfNegative val="0"/>
          <c:cat>
            <c:strRef>
              <c:f>'[Strategjia NAP costing (002).xls]Summary Tables'!$B$16:$B$20</c:f>
              <c:strCache>
                <c:ptCount val="5"/>
                <c:pt idx="0">
                  <c:v>Energjia</c:v>
                </c:pt>
                <c:pt idx="1">
                  <c:v>Transporti</c:v>
                </c:pt>
                <c:pt idx="2">
                  <c:v>Bujqesia</c:v>
                </c:pt>
                <c:pt idx="3">
                  <c:v>Toka+Pyjet</c:v>
                </c:pt>
                <c:pt idx="4">
                  <c:v>Ndersektoriale</c:v>
                </c:pt>
              </c:strCache>
            </c:strRef>
          </c:cat>
          <c:val>
            <c:numRef>
              <c:f>'[Strategjia NAP costing (002).xls]Summary Tables'!$E$16:$E$20</c:f>
              <c:numCache>
                <c:formatCode>_(* #,##0_);_(* \(#,##0\);_(* "-"??_);_(@_)</c:formatCode>
                <c:ptCount val="5"/>
                <c:pt idx="0">
                  <c:v>6551819</c:v>
                </c:pt>
                <c:pt idx="1">
                  <c:v>6811289</c:v>
                </c:pt>
                <c:pt idx="2">
                  <c:v>1064214</c:v>
                </c:pt>
                <c:pt idx="3">
                  <c:v>0</c:v>
                </c:pt>
                <c:pt idx="4">
                  <c:v>15000</c:v>
                </c:pt>
              </c:numCache>
            </c:numRef>
          </c:val>
          <c:extLst>
            <c:ext xmlns:c16="http://schemas.microsoft.com/office/drawing/2014/chart" uri="{C3380CC4-5D6E-409C-BE32-E72D297353CC}">
              <c16:uniqueId val="{00000005-CDDE-4FA7-B6C6-0CF988BE7E40}"/>
            </c:ext>
          </c:extLst>
        </c:ser>
        <c:ser>
          <c:idx val="3"/>
          <c:order val="3"/>
          <c:tx>
            <c:strRef>
              <c:f>'[Strategjia NAP costing (002).xls]Summary Tables'!$F$15</c:f>
              <c:strCache>
                <c:ptCount val="1"/>
                <c:pt idx="0">
                  <c:v>Financial gap</c:v>
                </c:pt>
              </c:strCache>
            </c:strRef>
          </c:tx>
          <c:invertIfNegative val="0"/>
          <c:dLbls>
            <c:spPr>
              <a:noFill/>
              <a:ln w="25400">
                <a:noFill/>
              </a:ln>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'[Strategjia NAP costing (002).xls]Summary Tables'!$B$16:$B$20</c:f>
              <c:strCache>
                <c:ptCount val="5"/>
                <c:pt idx="0">
                  <c:v>Energjia</c:v>
                </c:pt>
                <c:pt idx="1">
                  <c:v>Transporti</c:v>
                </c:pt>
                <c:pt idx="2">
                  <c:v>Bujqesia</c:v>
                </c:pt>
                <c:pt idx="3">
                  <c:v>Toka+Pyjet</c:v>
                </c:pt>
                <c:pt idx="4">
                  <c:v>Ndersektoriale</c:v>
                </c:pt>
              </c:strCache>
            </c:strRef>
          </c:cat>
          <c:val>
            <c:numRef>
              <c:f>'[Strategjia NAP costing (002).xls]Summary Tables'!$F$16:$F$20</c:f>
              <c:numCache>
                <c:formatCode>_(* #,##0_);_(* \(#,##0\);_(* "-"??_);_(@_)</c:formatCode>
                <c:ptCount val="5"/>
                <c:pt idx="0">
                  <c:v>6906638</c:v>
                </c:pt>
                <c:pt idx="1">
                  <c:v>5270346</c:v>
                </c:pt>
                <c:pt idx="2">
                  <c:v>0</c:v>
                </c:pt>
                <c:pt idx="3">
                  <c:v>4480</c:v>
                </c:pt>
                <c:pt idx="4">
                  <c:v>15000</c:v>
                </c:pt>
              </c:numCache>
            </c:numRef>
          </c:val>
          <c:extLst>
            <c:ext xmlns:c16="http://schemas.microsoft.com/office/drawing/2014/chart" uri="{C3380CC4-5D6E-409C-BE32-E72D297353CC}">
              <c16:uniqueId val="{00000006-CDDE-4FA7-B6C6-0CF988BE7E40}"/>
            </c:ext>
          </c:extLst>
        </c:ser>
        <c:dLbls>
          <c:showLegendKey val="0"/>
          <c:showVal val="0"/>
          <c:showCatName val="0"/>
          <c:showSerName val="0"/>
          <c:showPercent val="0"/>
          <c:showBubbleSize val="0"/>
        </c:dLbls>
        <c:gapWidth val="55"/>
        <c:gapDepth val="55"/>
        <c:shape val="box"/>
        <c:axId val="-493995024"/>
        <c:axId val="-493994480"/>
        <c:axId val="0"/>
      </c:bar3DChart>
      <c:catAx>
        <c:axId val="-493995024"/>
        <c:scaling>
          <c:orientation val="minMax"/>
        </c:scaling>
        <c:delete val="0"/>
        <c:axPos val="b"/>
        <c:numFmt formatCode="General" sourceLinked="1"/>
        <c:majorTickMark val="none"/>
        <c:minorTickMark val="none"/>
        <c:tickLblPos val="nextTo"/>
        <c:txPr>
          <a:bodyPr rot="0" vert="horz"/>
          <a:lstStyle/>
          <a:p>
            <a:pPr>
              <a:defRPr sz="1000" b="0" i="0" u="none" strike="noStrike" baseline="0">
                <a:solidFill>
                  <a:srgbClr val="000000"/>
                </a:solidFill>
                <a:latin typeface="Calibri"/>
                <a:ea typeface="Calibri"/>
                <a:cs typeface="Calibri"/>
              </a:defRPr>
            </a:pPr>
            <a:endParaRPr lang="en-US"/>
          </a:p>
        </c:txPr>
        <c:crossAx val="-493994480"/>
        <c:crosses val="autoZero"/>
        <c:auto val="1"/>
        <c:lblAlgn val="ctr"/>
        <c:lblOffset val="100"/>
        <c:noMultiLvlLbl val="0"/>
      </c:catAx>
      <c:valAx>
        <c:axId val="-493994480"/>
        <c:scaling>
          <c:orientation val="minMax"/>
        </c:scaling>
        <c:delete val="0"/>
        <c:axPos val="l"/>
        <c:majorGridlines/>
        <c:numFmt formatCode="_(* #,##0_);_(* \(#,##0\);_(* &quot;-&quot;??_);_(@_)" sourceLinked="1"/>
        <c:majorTickMark val="none"/>
        <c:minorTickMark val="none"/>
        <c:tickLblPos val="nextTo"/>
        <c:txPr>
          <a:bodyPr rot="0" vert="horz"/>
          <a:lstStyle/>
          <a:p>
            <a:pPr>
              <a:defRPr sz="1000" b="0" i="0" u="none" strike="noStrike" baseline="0">
                <a:solidFill>
                  <a:srgbClr val="000000"/>
                </a:solidFill>
                <a:latin typeface="Calibri"/>
                <a:ea typeface="Calibri"/>
                <a:cs typeface="Calibri"/>
              </a:defRPr>
            </a:pPr>
            <a:endParaRPr lang="en-US"/>
          </a:p>
        </c:txPr>
        <c:crossAx val="-493995024"/>
        <c:crosses val="autoZero"/>
        <c:crossBetween val="between"/>
      </c:valAx>
      <c:spPr>
        <a:noFill/>
        <a:ln w="25400">
          <a:noFill/>
        </a:ln>
      </c:spPr>
    </c:plotArea>
    <c:legend>
      <c:legendPos val="r"/>
      <c:layout>
        <c:manualLayout>
          <c:xMode val="edge"/>
          <c:yMode val="edge"/>
          <c:x val="0.74868759241253424"/>
          <c:y val="0.16957106727633162"/>
          <c:w val="0.23530181475822506"/>
          <c:h val="0.76524379078549654"/>
        </c:manualLayout>
      </c:layout>
      <c:overlay val="0"/>
      <c:txPr>
        <a:bodyPr/>
        <a:lstStyle/>
        <a:p>
          <a:pPr>
            <a:defRPr sz="920" b="0" i="0" u="none" strike="noStrike" baseline="0">
              <a:solidFill>
                <a:srgbClr val="000000"/>
              </a:solidFill>
              <a:latin typeface="Calibri"/>
              <a:ea typeface="Calibri"/>
              <a:cs typeface="Calibri"/>
            </a:defRPr>
          </a:pPr>
          <a:endParaRPr lang="en-US"/>
        </a:p>
      </c:txPr>
    </c:legend>
    <c:plotVisOnly val="1"/>
    <c:dispBlanksAs val="gap"/>
    <c:showDLblsOverMax val="0"/>
  </c:chart>
  <c:txPr>
    <a:bodyPr/>
    <a:lstStyle/>
    <a:p>
      <a:pPr>
        <a:defRPr sz="1000" b="0" i="0" u="none" strike="noStrike" baseline="0">
          <a:solidFill>
            <a:srgbClr val="000000"/>
          </a:solidFill>
          <a:latin typeface="Calibri"/>
          <a:ea typeface="Calibri"/>
          <a:cs typeface="Calibri"/>
        </a:defRPr>
      </a:pPr>
      <a:endParaRPr lang="en-US"/>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pieChart>
        <c:varyColors val="1"/>
        <c:ser>
          <c:idx val="0"/>
          <c:order val="0"/>
          <c:tx>
            <c:strRef>
              <c:f>Sheet1!$C$3</c:f>
              <c:strCache>
                <c:ptCount val="1"/>
                <c:pt idx="0">
                  <c:v>Percentage</c:v>
                </c:pt>
              </c:strCache>
            </c:strRef>
          </c:tx>
          <c:dLbls>
            <c:spPr>
              <a:noFill/>
              <a:ln>
                <a:noFill/>
              </a:ln>
              <a:effectLst/>
            </c:spPr>
            <c:showLegendKey val="0"/>
            <c:showVal val="1"/>
            <c:showCatName val="1"/>
            <c:showSerName val="0"/>
            <c:showPercent val="0"/>
            <c:showBubbleSize val="0"/>
            <c:showLeaderLines val="0"/>
            <c:extLst>
              <c:ext xmlns:c15="http://schemas.microsoft.com/office/drawing/2012/chart" uri="{CE6537A1-D6FC-4f65-9D91-7224C49458BB}"/>
            </c:extLst>
          </c:dLbls>
          <c:cat>
            <c:strRef>
              <c:f>Sheet1!$B$4:$B$9</c:f>
              <c:strCache>
                <c:ptCount val="6"/>
                <c:pt idx="0">
                  <c:v>Blegtori</c:v>
                </c:pt>
                <c:pt idx="1">
                  <c:v>Bujqësi</c:v>
                </c:pt>
                <c:pt idx="2">
                  <c:v>Prodhimtari</c:v>
                </c:pt>
                <c:pt idx="3">
                  <c:v>Tregëti</c:v>
                </c:pt>
                <c:pt idx="4">
                  <c:v>Shërbime</c:v>
                </c:pt>
                <c:pt idx="5">
                  <c:v>Të Tjera</c:v>
                </c:pt>
              </c:strCache>
            </c:strRef>
          </c:cat>
          <c:val>
            <c:numRef>
              <c:f>Sheet1!$C$4:$C$9</c:f>
              <c:numCache>
                <c:formatCode>0%</c:formatCode>
                <c:ptCount val="6"/>
                <c:pt idx="0">
                  <c:v>0.28000000000000008</c:v>
                </c:pt>
                <c:pt idx="1">
                  <c:v>0.31000000000000238</c:v>
                </c:pt>
                <c:pt idx="2">
                  <c:v>2.0000000000000011E-2</c:v>
                </c:pt>
                <c:pt idx="3">
                  <c:v>0.14000000000000001</c:v>
                </c:pt>
                <c:pt idx="4">
                  <c:v>0.24000000000000021</c:v>
                </c:pt>
                <c:pt idx="5">
                  <c:v>1.0000000000000005E-2</c:v>
                </c:pt>
              </c:numCache>
            </c:numRef>
          </c:val>
          <c:extLst>
            <c:ext xmlns:c16="http://schemas.microsoft.com/office/drawing/2014/chart" uri="{C3380CC4-5D6E-409C-BE32-E72D297353CC}">
              <c16:uniqueId val="{00000000-B2C1-45E1-A88C-8F9459A2F9CA}"/>
            </c:ext>
          </c:extLst>
        </c:ser>
        <c:dLbls>
          <c:showLegendKey val="0"/>
          <c:showVal val="1"/>
          <c:showCatName val="1"/>
          <c:showSerName val="0"/>
          <c:showPercent val="0"/>
          <c:showBubbleSize val="0"/>
          <c:showLeaderLines val="0"/>
        </c:dLbls>
        <c:firstSliceAng val="0"/>
      </c:pieChart>
    </c:plotArea>
    <c:plotVisOnly val="1"/>
    <c:dispBlanksAs val="zero"/>
    <c:showDLblsOverMax val="0"/>
  </c:chart>
  <c:externalData r:id="rId2">
    <c:autoUpdate val="0"/>
  </c:externalData>
</c:chartSpac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30B0B6E6-8FFF-41CC-8871-B551183CCA12}" type="doc">
      <dgm:prSet loTypeId="urn:microsoft.com/office/officeart/2005/8/layout/StepDownProcess" loCatId="process" qsTypeId="urn:microsoft.com/office/officeart/2005/8/quickstyle/simple1" qsCatId="simple" csTypeId="urn:microsoft.com/office/officeart/2005/8/colors/accent1_2" csCatId="accent1" phldr="1"/>
      <dgm:spPr/>
      <dgm:t>
        <a:bodyPr/>
        <a:lstStyle/>
        <a:p>
          <a:endParaRPr lang="es-ES"/>
        </a:p>
      </dgm:t>
    </dgm:pt>
    <dgm:pt modelId="{6432BE97-AE61-4C30-BE23-023634189B49}">
      <dgm:prSet phldrT="[Texto]" custT="1"/>
      <dgm:spPr>
        <a:xfrm>
          <a:off x="705699" y="65081"/>
          <a:ext cx="1261175" cy="603584"/>
        </a:xfrm>
        <a:prstGeom prst="roundRect">
          <a:avLst>
            <a:gd name="adj" fmla="val 16670"/>
          </a:avLst>
        </a:prstGeom>
        <a:solidFill>
          <a:srgbClr val="2B7579"/>
        </a:solidFill>
        <a:ln w="12700" cap="flat" cmpd="sng" algn="ctr">
          <a:solidFill>
            <a:sysClr val="window" lastClr="FFFFFF">
              <a:hueOff val="0"/>
              <a:satOff val="0"/>
              <a:lumOff val="0"/>
              <a:alphaOff val="0"/>
            </a:sysClr>
          </a:solidFill>
          <a:prstDash val="solid"/>
          <a:miter lim="800000"/>
        </a:ln>
        <a:effectLst/>
      </dgm:spPr>
      <dgm:t>
        <a:bodyPr/>
        <a:lstStyle/>
        <a:p>
          <a:pPr>
            <a:buNone/>
          </a:pPr>
          <a:r>
            <a:rPr lang="es-ES" sz="1000" b="1">
              <a:solidFill>
                <a:sysClr val="window" lastClr="FFFFFF"/>
              </a:solidFill>
              <a:latin typeface="Aptos"/>
              <a:ea typeface="+mn-ea"/>
              <a:cs typeface="+mn-cs"/>
            </a:rPr>
            <a:t>Fillimi i periudhës afatshkurtër</a:t>
          </a:r>
        </a:p>
      </dgm:t>
    </dgm:pt>
    <dgm:pt modelId="{6B8DFF2A-8530-4510-BD21-A1FAC404CA42}" type="parTrans" cxnId="{EA2470A1-F2D9-4BCE-B251-FB6ADC8DEF19}">
      <dgm:prSet/>
      <dgm:spPr/>
      <dgm:t>
        <a:bodyPr/>
        <a:lstStyle/>
        <a:p>
          <a:endParaRPr lang="es-ES" sz="1200"/>
        </a:p>
      </dgm:t>
    </dgm:pt>
    <dgm:pt modelId="{1B37DC69-F46E-4E8D-8A4A-B4C0ABD5FAB1}" type="sibTrans" cxnId="{EA2470A1-F2D9-4BCE-B251-FB6ADC8DEF19}">
      <dgm:prSet/>
      <dgm:spPr/>
      <dgm:t>
        <a:bodyPr/>
        <a:lstStyle/>
        <a:p>
          <a:endParaRPr lang="es-ES" sz="1200"/>
        </a:p>
      </dgm:t>
    </dgm:pt>
    <dgm:pt modelId="{49A5F9C1-967F-4252-989B-890E266F7F72}">
      <dgm:prSet phldrT="[Texto]" custT="1"/>
      <dgm:spPr>
        <a:xfrm>
          <a:off x="1954808" y="3497"/>
          <a:ext cx="1287583" cy="713503"/>
        </a:xfrm>
        <a:prstGeom prst="rect">
          <a:avLst/>
        </a:prstGeom>
        <a:noFill/>
        <a:ln>
          <a:noFill/>
        </a:ln>
        <a:effectLst/>
      </dgm:spPr>
      <dgm:t>
        <a:bodyPr/>
        <a:lstStyle/>
        <a:p>
          <a:pPr>
            <a:buChar char="•"/>
          </a:pPr>
          <a:r>
            <a:rPr lang="es-ES" sz="1000" b="1">
              <a:solidFill>
                <a:srgbClr val="2B7579"/>
              </a:solidFill>
              <a:latin typeface="Aptos"/>
              <a:ea typeface="+mn-ea"/>
              <a:cs typeface="+mn-cs"/>
            </a:rPr>
            <a:t>2026</a:t>
          </a:r>
          <a:r>
            <a:rPr lang="sq-AL" sz="1000">
              <a:solidFill>
                <a:srgbClr val="5B9BD5">
                  <a:lumMod val="75000"/>
                </a:srgbClr>
              </a:solidFill>
              <a:latin typeface="Calibri" panose="020F0502020204030204"/>
              <a:ea typeface="+mn-ea"/>
              <a:cs typeface="+mn-cs"/>
            </a:rPr>
            <a:t>–</a:t>
          </a:r>
          <a:r>
            <a:rPr lang="es-ES" sz="1000" b="1">
              <a:solidFill>
                <a:srgbClr val="2B7579"/>
              </a:solidFill>
              <a:latin typeface="Aptos"/>
              <a:ea typeface="+mn-ea"/>
              <a:cs typeface="+mn-cs"/>
            </a:rPr>
            <a:t>2028</a:t>
          </a:r>
        </a:p>
      </dgm:t>
    </dgm:pt>
    <dgm:pt modelId="{39A97BE7-7CB1-4861-BE93-4F932C0CC2D8}" type="parTrans" cxnId="{22263BBF-B3D7-40EE-8695-3E41AC977AE8}">
      <dgm:prSet/>
      <dgm:spPr/>
      <dgm:t>
        <a:bodyPr/>
        <a:lstStyle/>
        <a:p>
          <a:endParaRPr lang="es-ES" sz="1200"/>
        </a:p>
      </dgm:t>
    </dgm:pt>
    <dgm:pt modelId="{381176E7-8945-4B58-BE52-6064DF829FFC}" type="sibTrans" cxnId="{22263BBF-B3D7-40EE-8695-3E41AC977AE8}">
      <dgm:prSet/>
      <dgm:spPr/>
      <dgm:t>
        <a:bodyPr/>
        <a:lstStyle/>
        <a:p>
          <a:endParaRPr lang="es-ES" sz="1200"/>
        </a:p>
      </dgm:t>
    </dgm:pt>
    <dgm:pt modelId="{4547A000-FA61-4573-AB92-CB80CB8B9B68}">
      <dgm:prSet phldrT="[Texto]" custT="1"/>
      <dgm:spPr>
        <a:xfrm>
          <a:off x="1840225" y="864462"/>
          <a:ext cx="1261175" cy="599691"/>
        </a:xfrm>
        <a:prstGeom prst="roundRect">
          <a:avLst>
            <a:gd name="adj" fmla="val 16670"/>
          </a:avLst>
        </a:prstGeom>
        <a:solidFill>
          <a:srgbClr val="2B7579"/>
        </a:solidFill>
        <a:ln w="12700" cap="flat" cmpd="sng" algn="ctr">
          <a:solidFill>
            <a:sysClr val="window" lastClr="FFFFFF">
              <a:hueOff val="0"/>
              <a:satOff val="0"/>
              <a:lumOff val="0"/>
              <a:alphaOff val="0"/>
            </a:sysClr>
          </a:solidFill>
          <a:prstDash val="solid"/>
          <a:miter lim="800000"/>
        </a:ln>
        <a:effectLst/>
      </dgm:spPr>
      <dgm:t>
        <a:bodyPr/>
        <a:lstStyle/>
        <a:p>
          <a:pPr>
            <a:buNone/>
          </a:pPr>
          <a:r>
            <a:rPr lang="es-ES" sz="1000" b="1">
              <a:solidFill>
                <a:sysClr val="window" lastClr="FFFFFF"/>
              </a:solidFill>
              <a:latin typeface="Aptos"/>
              <a:ea typeface="+mn-ea"/>
              <a:cs typeface="+mn-cs"/>
            </a:rPr>
            <a:t>Fillimi i periudhës afatmesme</a:t>
          </a:r>
        </a:p>
      </dgm:t>
    </dgm:pt>
    <dgm:pt modelId="{17612D10-890A-4ED4-98F1-1E67990E9DF7}" type="parTrans" cxnId="{3581FE17-D5E7-45F0-9713-588EAB7B6693}">
      <dgm:prSet/>
      <dgm:spPr/>
      <dgm:t>
        <a:bodyPr/>
        <a:lstStyle/>
        <a:p>
          <a:endParaRPr lang="es-ES" sz="1200"/>
        </a:p>
      </dgm:t>
    </dgm:pt>
    <dgm:pt modelId="{E1DBF675-BEAF-4B76-8E08-B3144807BEFB}" type="sibTrans" cxnId="{3581FE17-D5E7-45F0-9713-588EAB7B6693}">
      <dgm:prSet/>
      <dgm:spPr/>
      <dgm:t>
        <a:bodyPr/>
        <a:lstStyle/>
        <a:p>
          <a:endParaRPr lang="es-ES" sz="1200"/>
        </a:p>
      </dgm:t>
    </dgm:pt>
    <dgm:pt modelId="{112A8594-31C1-4D82-8CB7-65D21D982222}">
      <dgm:prSet phldrT="[Texto]" custT="1"/>
      <dgm:spPr>
        <a:xfrm>
          <a:off x="3151272" y="798733"/>
          <a:ext cx="1973885" cy="713503"/>
        </a:xfrm>
        <a:prstGeom prst="rect">
          <a:avLst/>
        </a:prstGeom>
        <a:noFill/>
        <a:ln>
          <a:noFill/>
        </a:ln>
        <a:effectLst/>
      </dgm:spPr>
      <dgm:t>
        <a:bodyPr/>
        <a:lstStyle/>
        <a:p>
          <a:pPr>
            <a:buChar char="•"/>
          </a:pPr>
          <a:r>
            <a:rPr lang="es-ES" sz="1000" b="1">
              <a:solidFill>
                <a:srgbClr val="2B7579"/>
              </a:solidFill>
              <a:latin typeface="Aptos"/>
              <a:ea typeface="+mn-ea"/>
              <a:cs typeface="+mn-cs"/>
            </a:rPr>
            <a:t>2029 </a:t>
          </a:r>
          <a:r>
            <a:rPr lang="sq-AL" sz="1000">
              <a:solidFill>
                <a:srgbClr val="5B9BD5">
                  <a:lumMod val="75000"/>
                </a:srgbClr>
              </a:solidFill>
              <a:latin typeface="Calibri" panose="020F0502020204030204"/>
              <a:ea typeface="+mn-ea"/>
              <a:cs typeface="+mn-cs"/>
            </a:rPr>
            <a:t>–</a:t>
          </a:r>
          <a:r>
            <a:rPr lang="es-ES" sz="1000" b="1">
              <a:solidFill>
                <a:srgbClr val="2B7579"/>
              </a:solidFill>
              <a:latin typeface="Aptos"/>
              <a:ea typeface="+mn-ea"/>
              <a:cs typeface="+mn-cs"/>
            </a:rPr>
            <a:t>2032</a:t>
          </a:r>
        </a:p>
      </dgm:t>
    </dgm:pt>
    <dgm:pt modelId="{69E35CED-379F-4304-A196-1C20C288DFC8}" type="parTrans" cxnId="{19C05CAE-8551-441F-8084-494B2623C118}">
      <dgm:prSet/>
      <dgm:spPr/>
      <dgm:t>
        <a:bodyPr/>
        <a:lstStyle/>
        <a:p>
          <a:endParaRPr lang="es-ES" sz="1200"/>
        </a:p>
      </dgm:t>
    </dgm:pt>
    <dgm:pt modelId="{8AEB36B9-EE6F-4B2B-993B-C5601FBC897D}" type="sibTrans" cxnId="{19C05CAE-8551-441F-8084-494B2623C118}">
      <dgm:prSet/>
      <dgm:spPr/>
      <dgm:t>
        <a:bodyPr/>
        <a:lstStyle/>
        <a:p>
          <a:endParaRPr lang="es-ES" sz="1200"/>
        </a:p>
      </dgm:t>
    </dgm:pt>
    <dgm:pt modelId="{C3C74A36-5E6C-4A94-9953-9BEA6AB8DDF2}">
      <dgm:prSet phldrT="[Texto]" custT="1"/>
      <dgm:spPr>
        <a:xfrm>
          <a:off x="2974751" y="1725962"/>
          <a:ext cx="1261175" cy="457960"/>
        </a:xfrm>
        <a:prstGeom prst="roundRect">
          <a:avLst>
            <a:gd name="adj" fmla="val 16670"/>
          </a:avLst>
        </a:prstGeom>
        <a:solidFill>
          <a:srgbClr val="2B7579"/>
        </a:solidFill>
        <a:ln w="12700" cap="flat" cmpd="sng" algn="ctr">
          <a:solidFill>
            <a:sysClr val="window" lastClr="FFFFFF">
              <a:hueOff val="0"/>
              <a:satOff val="0"/>
              <a:lumOff val="0"/>
              <a:alphaOff val="0"/>
            </a:sysClr>
          </a:solidFill>
          <a:prstDash val="solid"/>
          <a:miter lim="800000"/>
        </a:ln>
        <a:effectLst/>
      </dgm:spPr>
      <dgm:t>
        <a:bodyPr/>
        <a:lstStyle/>
        <a:p>
          <a:pPr>
            <a:buNone/>
          </a:pPr>
          <a:r>
            <a:rPr lang="es-ES" sz="1000" b="1">
              <a:solidFill>
                <a:sysClr val="window" lastClr="FFFFFF"/>
              </a:solidFill>
              <a:latin typeface="Aptos"/>
              <a:ea typeface="+mn-ea"/>
              <a:cs typeface="+mn-cs"/>
            </a:rPr>
            <a:t>Fillimi i periudhës afatgjatë</a:t>
          </a:r>
        </a:p>
      </dgm:t>
    </dgm:pt>
    <dgm:pt modelId="{ECCAE1F3-4F32-460B-A17E-3A43687059B5}" type="parTrans" cxnId="{F0C5A748-80A5-4537-B2FE-7F89CE6E49D9}">
      <dgm:prSet/>
      <dgm:spPr/>
      <dgm:t>
        <a:bodyPr/>
        <a:lstStyle/>
        <a:p>
          <a:endParaRPr lang="es-ES" sz="1200"/>
        </a:p>
      </dgm:t>
    </dgm:pt>
    <dgm:pt modelId="{C5ADD466-49F1-43F7-998C-B37B014A4C74}" type="sibTrans" cxnId="{F0C5A748-80A5-4537-B2FE-7F89CE6E49D9}">
      <dgm:prSet/>
      <dgm:spPr/>
      <dgm:t>
        <a:bodyPr/>
        <a:lstStyle/>
        <a:p>
          <a:endParaRPr lang="es-ES" sz="1200"/>
        </a:p>
      </dgm:t>
    </dgm:pt>
    <dgm:pt modelId="{3518CA42-5059-4664-AB2C-72ACB78866CA}">
      <dgm:prSet phldrT="[Texto]" custT="1"/>
      <dgm:spPr>
        <a:xfrm>
          <a:off x="4238765" y="1589368"/>
          <a:ext cx="1414348" cy="713503"/>
        </a:xfrm>
        <a:prstGeom prst="rect">
          <a:avLst/>
        </a:prstGeom>
        <a:noFill/>
        <a:ln>
          <a:noFill/>
        </a:ln>
        <a:effectLst/>
      </dgm:spPr>
      <dgm:t>
        <a:bodyPr/>
        <a:lstStyle/>
        <a:p>
          <a:pPr>
            <a:buChar char="•"/>
          </a:pPr>
          <a:r>
            <a:rPr lang="es-ES" sz="1000" b="1">
              <a:solidFill>
                <a:srgbClr val="2B7579"/>
              </a:solidFill>
              <a:latin typeface="Aptos"/>
              <a:ea typeface="+mn-ea"/>
              <a:cs typeface="+mn-cs"/>
            </a:rPr>
            <a:t>2033</a:t>
          </a:r>
          <a:r>
            <a:rPr lang="sq-AL" sz="1000">
              <a:solidFill>
                <a:srgbClr val="5B9BD5">
                  <a:lumMod val="75000"/>
                </a:srgbClr>
              </a:solidFill>
              <a:latin typeface="Calibri" panose="020F0502020204030204"/>
              <a:ea typeface="+mn-ea"/>
              <a:cs typeface="+mn-cs"/>
            </a:rPr>
            <a:t>–</a:t>
          </a:r>
          <a:r>
            <a:rPr lang="es-ES" sz="1000" b="1">
              <a:solidFill>
                <a:srgbClr val="2B7579"/>
              </a:solidFill>
              <a:latin typeface="Aptos"/>
              <a:ea typeface="+mn-ea"/>
              <a:cs typeface="+mn-cs"/>
            </a:rPr>
            <a:t>2036</a:t>
          </a:r>
        </a:p>
      </dgm:t>
    </dgm:pt>
    <dgm:pt modelId="{E1BFE8B7-8017-42AB-9994-8DFDFDB96FFD}" type="parTrans" cxnId="{C267F82F-5180-45F5-9D99-32D5B986E260}">
      <dgm:prSet/>
      <dgm:spPr/>
      <dgm:t>
        <a:bodyPr/>
        <a:lstStyle/>
        <a:p>
          <a:endParaRPr lang="es-ES" sz="1200"/>
        </a:p>
      </dgm:t>
    </dgm:pt>
    <dgm:pt modelId="{3768C4EA-0854-4679-937D-E05C18A8D453}" type="sibTrans" cxnId="{C267F82F-5180-45F5-9D99-32D5B986E260}">
      <dgm:prSet/>
      <dgm:spPr/>
      <dgm:t>
        <a:bodyPr/>
        <a:lstStyle/>
        <a:p>
          <a:endParaRPr lang="es-ES" sz="1200"/>
        </a:p>
      </dgm:t>
    </dgm:pt>
    <dgm:pt modelId="{294ADB5A-8DCC-4084-8474-CF5A7EBDEB0A}" type="pres">
      <dgm:prSet presAssocID="{30B0B6E6-8FFF-41CC-8871-B551183CCA12}" presName="rootnode" presStyleCnt="0">
        <dgm:presLayoutVars>
          <dgm:chMax/>
          <dgm:chPref/>
          <dgm:dir/>
          <dgm:animLvl val="lvl"/>
        </dgm:presLayoutVars>
      </dgm:prSet>
      <dgm:spPr/>
    </dgm:pt>
    <dgm:pt modelId="{3E8A161B-8BE6-4B65-BA06-9DD93965CA61}" type="pres">
      <dgm:prSet presAssocID="{6432BE97-AE61-4C30-BE23-023634189B49}" presName="composite" presStyleCnt="0"/>
      <dgm:spPr/>
    </dgm:pt>
    <dgm:pt modelId="{3BFFBF65-2F3F-44BA-A549-15ABF0A11F21}" type="pres">
      <dgm:prSet presAssocID="{6432BE97-AE61-4C30-BE23-023634189B49}" presName="bentUpArrow1" presStyleLbl="alignImgPlace1" presStyleIdx="0" presStyleCnt="2" custScaleY="70627"/>
      <dgm:spPr>
        <a:xfrm rot="5400000">
          <a:off x="1014214" y="755962"/>
          <a:ext cx="529122" cy="852912"/>
        </a:xfrm>
        <a:prstGeom prst="bentUpArrow">
          <a:avLst>
            <a:gd name="adj1" fmla="val 32840"/>
            <a:gd name="adj2" fmla="val 25000"/>
            <a:gd name="adj3" fmla="val 35780"/>
          </a:avLst>
        </a:prstGeom>
        <a:solidFill>
          <a:srgbClr val="C7E3D5"/>
        </a:solidFill>
        <a:ln w="12700" cap="flat" cmpd="sng" algn="ctr">
          <a:solidFill>
            <a:sysClr val="window" lastClr="FFFFFF">
              <a:hueOff val="0"/>
              <a:satOff val="0"/>
              <a:lumOff val="0"/>
              <a:alphaOff val="0"/>
            </a:sysClr>
          </a:solidFill>
          <a:prstDash val="solid"/>
          <a:miter lim="800000"/>
        </a:ln>
        <a:effectLst/>
      </dgm:spPr>
    </dgm:pt>
    <dgm:pt modelId="{1310F309-B3CF-49F0-A6E5-243C6ECD22D1}" type="pres">
      <dgm:prSet presAssocID="{6432BE97-AE61-4C30-BE23-023634189B49}" presName="ParentText" presStyleLbl="node1" presStyleIdx="0" presStyleCnt="3" custScaleY="68373">
        <dgm:presLayoutVars>
          <dgm:chMax val="1"/>
          <dgm:chPref val="1"/>
          <dgm:bulletEnabled val="1"/>
        </dgm:presLayoutVars>
      </dgm:prSet>
      <dgm:spPr/>
    </dgm:pt>
    <dgm:pt modelId="{6E7CD8A2-B7B8-47CB-BB70-968626585F29}" type="pres">
      <dgm:prSet presAssocID="{6432BE97-AE61-4C30-BE23-023634189B49}" presName="ChildText" presStyleLbl="revTx" presStyleIdx="0" presStyleCnt="3" custScaleX="140373" custLinFactNeighborX="18871" custLinFactNeighborY="-866">
        <dgm:presLayoutVars>
          <dgm:chMax val="0"/>
          <dgm:chPref val="0"/>
          <dgm:bulletEnabled val="1"/>
        </dgm:presLayoutVars>
      </dgm:prSet>
      <dgm:spPr/>
    </dgm:pt>
    <dgm:pt modelId="{D87DE8C2-B00F-428B-AE4B-9F8D38D91EF5}" type="pres">
      <dgm:prSet presAssocID="{1B37DC69-F46E-4E8D-8A4A-B4C0ABD5FAB1}" presName="sibTrans" presStyleCnt="0"/>
      <dgm:spPr/>
    </dgm:pt>
    <dgm:pt modelId="{E663F0D0-F09E-42CA-99E2-B068B1DCA535}" type="pres">
      <dgm:prSet presAssocID="{4547A000-FA61-4573-AB92-CB80CB8B9B68}" presName="composite" presStyleCnt="0"/>
      <dgm:spPr/>
    </dgm:pt>
    <dgm:pt modelId="{EDF31832-3BAF-4F91-971C-99B514D13E3A}" type="pres">
      <dgm:prSet presAssocID="{4547A000-FA61-4573-AB92-CB80CB8B9B68}" presName="bentUpArrow1" presStyleLbl="alignImgPlace1" presStyleIdx="1" presStyleCnt="2" custScaleY="68812"/>
      <dgm:spPr>
        <a:xfrm rot="5400000">
          <a:off x="2155539" y="1553396"/>
          <a:ext cx="515524" cy="852912"/>
        </a:xfrm>
        <a:prstGeom prst="bentUpArrow">
          <a:avLst>
            <a:gd name="adj1" fmla="val 32840"/>
            <a:gd name="adj2" fmla="val 25000"/>
            <a:gd name="adj3" fmla="val 35780"/>
          </a:avLst>
        </a:prstGeom>
        <a:solidFill>
          <a:srgbClr val="C7E3D5"/>
        </a:solidFill>
        <a:ln w="12700" cap="flat" cmpd="sng" algn="ctr">
          <a:solidFill>
            <a:sysClr val="window" lastClr="FFFFFF">
              <a:hueOff val="0"/>
              <a:satOff val="0"/>
              <a:lumOff val="0"/>
              <a:alphaOff val="0"/>
            </a:sysClr>
          </a:solidFill>
          <a:prstDash val="solid"/>
          <a:miter lim="800000"/>
        </a:ln>
        <a:effectLst/>
      </dgm:spPr>
    </dgm:pt>
    <dgm:pt modelId="{D4A50A1A-BE65-441E-AB56-080618E7D9C9}" type="pres">
      <dgm:prSet presAssocID="{4547A000-FA61-4573-AB92-CB80CB8B9B68}" presName="ParentText" presStyleLbl="node1" presStyleIdx="1" presStyleCnt="3" custScaleY="67932">
        <dgm:presLayoutVars>
          <dgm:chMax val="1"/>
          <dgm:chPref val="1"/>
          <dgm:bulletEnabled val="1"/>
        </dgm:presLayoutVars>
      </dgm:prSet>
      <dgm:spPr/>
    </dgm:pt>
    <dgm:pt modelId="{894BD620-92E6-4ABD-B659-9832A400752E}" type="pres">
      <dgm:prSet presAssocID="{4547A000-FA61-4573-AB92-CB80CB8B9B68}" presName="ChildText" presStyleLbl="revTx" presStyleIdx="1" presStyleCnt="3" custScaleX="215194" custLinFactNeighborX="63034" custLinFactNeighborY="-1174">
        <dgm:presLayoutVars>
          <dgm:chMax val="0"/>
          <dgm:chPref val="0"/>
          <dgm:bulletEnabled val="1"/>
        </dgm:presLayoutVars>
      </dgm:prSet>
      <dgm:spPr/>
    </dgm:pt>
    <dgm:pt modelId="{00D4E32E-DA9D-43F2-80B8-299030731622}" type="pres">
      <dgm:prSet presAssocID="{E1DBF675-BEAF-4B76-8E08-B3144807BEFB}" presName="sibTrans" presStyleCnt="0"/>
      <dgm:spPr/>
    </dgm:pt>
    <dgm:pt modelId="{C4C8CB0E-44AA-454B-91E5-208F6959B6B0}" type="pres">
      <dgm:prSet presAssocID="{C3C74A36-5E6C-4A94-9953-9BEA6AB8DDF2}" presName="composite" presStyleCnt="0"/>
      <dgm:spPr/>
    </dgm:pt>
    <dgm:pt modelId="{1D86544E-7BE8-4D2E-80D0-46E328C7A63D}" type="pres">
      <dgm:prSet presAssocID="{C3C74A36-5E6C-4A94-9953-9BEA6AB8DDF2}" presName="ParentText" presStyleLbl="node1" presStyleIdx="2" presStyleCnt="3" custScaleY="51877">
        <dgm:presLayoutVars>
          <dgm:chMax val="1"/>
          <dgm:chPref val="1"/>
          <dgm:bulletEnabled val="1"/>
        </dgm:presLayoutVars>
      </dgm:prSet>
      <dgm:spPr/>
    </dgm:pt>
    <dgm:pt modelId="{4D109254-8898-4F2A-A7BF-DCBD5E70E496}" type="pres">
      <dgm:prSet presAssocID="{C3C74A36-5E6C-4A94-9953-9BEA6AB8DDF2}" presName="FinalChildText" presStyleLbl="revTx" presStyleIdx="2" presStyleCnt="3" custScaleX="154193" custLinFactNeighborX="27406" custLinFactNeighborY="-1174">
        <dgm:presLayoutVars>
          <dgm:chMax val="0"/>
          <dgm:chPref val="0"/>
          <dgm:bulletEnabled val="1"/>
        </dgm:presLayoutVars>
      </dgm:prSet>
      <dgm:spPr/>
    </dgm:pt>
  </dgm:ptLst>
  <dgm:cxnLst>
    <dgm:cxn modelId="{68698F0A-543D-47B7-B198-6A0EF95A7B1C}" type="presOf" srcId="{6432BE97-AE61-4C30-BE23-023634189B49}" destId="{1310F309-B3CF-49F0-A6E5-243C6ECD22D1}" srcOrd="0" destOrd="0" presId="urn:microsoft.com/office/officeart/2005/8/layout/StepDownProcess"/>
    <dgm:cxn modelId="{3581FE17-D5E7-45F0-9713-588EAB7B6693}" srcId="{30B0B6E6-8FFF-41CC-8871-B551183CCA12}" destId="{4547A000-FA61-4573-AB92-CB80CB8B9B68}" srcOrd="1" destOrd="0" parTransId="{17612D10-890A-4ED4-98F1-1E67990E9DF7}" sibTransId="{E1DBF675-BEAF-4B76-8E08-B3144807BEFB}"/>
    <dgm:cxn modelId="{ECC17727-3DA4-45A7-8B63-C934D68F1456}" type="presOf" srcId="{4547A000-FA61-4573-AB92-CB80CB8B9B68}" destId="{D4A50A1A-BE65-441E-AB56-080618E7D9C9}" srcOrd="0" destOrd="0" presId="urn:microsoft.com/office/officeart/2005/8/layout/StepDownProcess"/>
    <dgm:cxn modelId="{C267F82F-5180-45F5-9D99-32D5B986E260}" srcId="{C3C74A36-5E6C-4A94-9953-9BEA6AB8DDF2}" destId="{3518CA42-5059-4664-AB2C-72ACB78866CA}" srcOrd="0" destOrd="0" parTransId="{E1BFE8B7-8017-42AB-9994-8DFDFDB96FFD}" sibTransId="{3768C4EA-0854-4679-937D-E05C18A8D453}"/>
    <dgm:cxn modelId="{1CBB5B65-93FF-4382-8D6E-53661D5F9318}" type="presOf" srcId="{112A8594-31C1-4D82-8CB7-65D21D982222}" destId="{894BD620-92E6-4ABD-B659-9832A400752E}" srcOrd="0" destOrd="0" presId="urn:microsoft.com/office/officeart/2005/8/layout/StepDownProcess"/>
    <dgm:cxn modelId="{F0C5A748-80A5-4537-B2FE-7F89CE6E49D9}" srcId="{30B0B6E6-8FFF-41CC-8871-B551183CCA12}" destId="{C3C74A36-5E6C-4A94-9953-9BEA6AB8DDF2}" srcOrd="2" destOrd="0" parTransId="{ECCAE1F3-4F32-460B-A17E-3A43687059B5}" sibTransId="{C5ADD466-49F1-43F7-998C-B37B014A4C74}"/>
    <dgm:cxn modelId="{5E6B6670-9B5A-463F-9DAD-D4CCD89D437F}" type="presOf" srcId="{49A5F9C1-967F-4252-989B-890E266F7F72}" destId="{6E7CD8A2-B7B8-47CB-BB70-968626585F29}" srcOrd="0" destOrd="0" presId="urn:microsoft.com/office/officeart/2005/8/layout/StepDownProcess"/>
    <dgm:cxn modelId="{E284B699-2274-4FA4-99B0-1E841F35F54A}" type="presOf" srcId="{C3C74A36-5E6C-4A94-9953-9BEA6AB8DDF2}" destId="{1D86544E-7BE8-4D2E-80D0-46E328C7A63D}" srcOrd="0" destOrd="0" presId="urn:microsoft.com/office/officeart/2005/8/layout/StepDownProcess"/>
    <dgm:cxn modelId="{EA2470A1-F2D9-4BCE-B251-FB6ADC8DEF19}" srcId="{30B0B6E6-8FFF-41CC-8871-B551183CCA12}" destId="{6432BE97-AE61-4C30-BE23-023634189B49}" srcOrd="0" destOrd="0" parTransId="{6B8DFF2A-8530-4510-BD21-A1FAC404CA42}" sibTransId="{1B37DC69-F46E-4E8D-8A4A-B4C0ABD5FAB1}"/>
    <dgm:cxn modelId="{19C05CAE-8551-441F-8084-494B2623C118}" srcId="{4547A000-FA61-4573-AB92-CB80CB8B9B68}" destId="{112A8594-31C1-4D82-8CB7-65D21D982222}" srcOrd="0" destOrd="0" parTransId="{69E35CED-379F-4304-A196-1C20C288DFC8}" sibTransId="{8AEB36B9-EE6F-4B2B-993B-C5601FBC897D}"/>
    <dgm:cxn modelId="{A11DDFBD-8425-4E04-B59E-12F9236963E7}" type="presOf" srcId="{3518CA42-5059-4664-AB2C-72ACB78866CA}" destId="{4D109254-8898-4F2A-A7BF-DCBD5E70E496}" srcOrd="0" destOrd="0" presId="urn:microsoft.com/office/officeart/2005/8/layout/StepDownProcess"/>
    <dgm:cxn modelId="{22263BBF-B3D7-40EE-8695-3E41AC977AE8}" srcId="{6432BE97-AE61-4C30-BE23-023634189B49}" destId="{49A5F9C1-967F-4252-989B-890E266F7F72}" srcOrd="0" destOrd="0" parTransId="{39A97BE7-7CB1-4861-BE93-4F932C0CC2D8}" sibTransId="{381176E7-8945-4B58-BE52-6064DF829FFC}"/>
    <dgm:cxn modelId="{358C2ED7-F2B9-4796-B261-131BC26C9E2F}" type="presOf" srcId="{30B0B6E6-8FFF-41CC-8871-B551183CCA12}" destId="{294ADB5A-8DCC-4084-8474-CF5A7EBDEB0A}" srcOrd="0" destOrd="0" presId="urn:microsoft.com/office/officeart/2005/8/layout/StepDownProcess"/>
    <dgm:cxn modelId="{7AA64762-EC00-43B3-B4DA-FA3C141E818A}" type="presParOf" srcId="{294ADB5A-8DCC-4084-8474-CF5A7EBDEB0A}" destId="{3E8A161B-8BE6-4B65-BA06-9DD93965CA61}" srcOrd="0" destOrd="0" presId="urn:microsoft.com/office/officeart/2005/8/layout/StepDownProcess"/>
    <dgm:cxn modelId="{40E63B9A-571D-45E4-836A-A8D885C61312}" type="presParOf" srcId="{3E8A161B-8BE6-4B65-BA06-9DD93965CA61}" destId="{3BFFBF65-2F3F-44BA-A549-15ABF0A11F21}" srcOrd="0" destOrd="0" presId="urn:microsoft.com/office/officeart/2005/8/layout/StepDownProcess"/>
    <dgm:cxn modelId="{EE7FE315-E5E8-4805-A5EE-EA4692D4704A}" type="presParOf" srcId="{3E8A161B-8BE6-4B65-BA06-9DD93965CA61}" destId="{1310F309-B3CF-49F0-A6E5-243C6ECD22D1}" srcOrd="1" destOrd="0" presId="urn:microsoft.com/office/officeart/2005/8/layout/StepDownProcess"/>
    <dgm:cxn modelId="{F5C2E0E4-5507-43E0-ABBF-6AC16F9FCBBC}" type="presParOf" srcId="{3E8A161B-8BE6-4B65-BA06-9DD93965CA61}" destId="{6E7CD8A2-B7B8-47CB-BB70-968626585F29}" srcOrd="2" destOrd="0" presId="urn:microsoft.com/office/officeart/2005/8/layout/StepDownProcess"/>
    <dgm:cxn modelId="{E69B6FA2-6975-4FDE-87B1-211D02E0B1B8}" type="presParOf" srcId="{294ADB5A-8DCC-4084-8474-CF5A7EBDEB0A}" destId="{D87DE8C2-B00F-428B-AE4B-9F8D38D91EF5}" srcOrd="1" destOrd="0" presId="urn:microsoft.com/office/officeart/2005/8/layout/StepDownProcess"/>
    <dgm:cxn modelId="{7D59F071-F70C-473D-894A-11396F3C305D}" type="presParOf" srcId="{294ADB5A-8DCC-4084-8474-CF5A7EBDEB0A}" destId="{E663F0D0-F09E-42CA-99E2-B068B1DCA535}" srcOrd="2" destOrd="0" presId="urn:microsoft.com/office/officeart/2005/8/layout/StepDownProcess"/>
    <dgm:cxn modelId="{F5B9B172-9C31-4475-88E8-DCC2BA4E8272}" type="presParOf" srcId="{E663F0D0-F09E-42CA-99E2-B068B1DCA535}" destId="{EDF31832-3BAF-4F91-971C-99B514D13E3A}" srcOrd="0" destOrd="0" presId="urn:microsoft.com/office/officeart/2005/8/layout/StepDownProcess"/>
    <dgm:cxn modelId="{3EA114E0-8A65-4661-801C-8A6289973C03}" type="presParOf" srcId="{E663F0D0-F09E-42CA-99E2-B068B1DCA535}" destId="{D4A50A1A-BE65-441E-AB56-080618E7D9C9}" srcOrd="1" destOrd="0" presId="urn:microsoft.com/office/officeart/2005/8/layout/StepDownProcess"/>
    <dgm:cxn modelId="{E9E558D7-52AB-421F-BB32-9EF764045168}" type="presParOf" srcId="{E663F0D0-F09E-42CA-99E2-B068B1DCA535}" destId="{894BD620-92E6-4ABD-B659-9832A400752E}" srcOrd="2" destOrd="0" presId="urn:microsoft.com/office/officeart/2005/8/layout/StepDownProcess"/>
    <dgm:cxn modelId="{C2934653-849C-4970-9CDE-F4B86D4C992C}" type="presParOf" srcId="{294ADB5A-8DCC-4084-8474-CF5A7EBDEB0A}" destId="{00D4E32E-DA9D-43F2-80B8-299030731622}" srcOrd="3" destOrd="0" presId="urn:microsoft.com/office/officeart/2005/8/layout/StepDownProcess"/>
    <dgm:cxn modelId="{6F4A8928-7CEE-4ABC-8D88-65B2009CD80D}" type="presParOf" srcId="{294ADB5A-8DCC-4084-8474-CF5A7EBDEB0A}" destId="{C4C8CB0E-44AA-454B-91E5-208F6959B6B0}" srcOrd="4" destOrd="0" presId="urn:microsoft.com/office/officeart/2005/8/layout/StepDownProcess"/>
    <dgm:cxn modelId="{B49C9DE7-EB40-4AA6-9D12-5601B4240128}" type="presParOf" srcId="{C4C8CB0E-44AA-454B-91E5-208F6959B6B0}" destId="{1D86544E-7BE8-4D2E-80D0-46E328C7A63D}" srcOrd="0" destOrd="0" presId="urn:microsoft.com/office/officeart/2005/8/layout/StepDownProcess"/>
    <dgm:cxn modelId="{F0905B70-3E1D-4CBD-92D4-8C1C03A2E8E0}" type="presParOf" srcId="{C4C8CB0E-44AA-454B-91E5-208F6959B6B0}" destId="{4D109254-8898-4F2A-A7BF-DCBD5E70E496}" srcOrd="1" destOrd="0" presId="urn:microsoft.com/office/officeart/2005/8/layout/StepDownProcess"/>
  </dgm:cxnLst>
  <dgm:bg/>
  <dgm:whole/>
  <dgm:extLst>
    <a:ext uri="http://schemas.microsoft.com/office/drawing/2008/diagram">
      <dsp:dataModelExt xmlns:dsp="http://schemas.microsoft.com/office/drawing/2008/diagram" relId="rId10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BFFBF65-2F3F-44BA-A549-15ABF0A11F21}">
      <dsp:nvSpPr>
        <dsp:cNvPr id="0" name=""/>
        <dsp:cNvSpPr/>
      </dsp:nvSpPr>
      <dsp:spPr>
        <a:xfrm rot="5400000">
          <a:off x="1014214" y="755962"/>
          <a:ext cx="529122" cy="852912"/>
        </a:xfrm>
        <a:prstGeom prst="bentUpArrow">
          <a:avLst>
            <a:gd name="adj1" fmla="val 32840"/>
            <a:gd name="adj2" fmla="val 25000"/>
            <a:gd name="adj3" fmla="val 35780"/>
          </a:avLst>
        </a:prstGeom>
        <a:solidFill>
          <a:srgbClr val="C7E3D5"/>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dsp:style>
    </dsp:sp>
    <dsp:sp modelId="{1310F309-B3CF-49F0-A6E5-243C6ECD22D1}">
      <dsp:nvSpPr>
        <dsp:cNvPr id="0" name=""/>
        <dsp:cNvSpPr/>
      </dsp:nvSpPr>
      <dsp:spPr>
        <a:xfrm>
          <a:off x="705699" y="65081"/>
          <a:ext cx="1261175" cy="603584"/>
        </a:xfrm>
        <a:prstGeom prst="roundRect">
          <a:avLst>
            <a:gd name="adj" fmla="val 16670"/>
          </a:avLst>
        </a:prstGeom>
        <a:solidFill>
          <a:srgbClr val="2B7579"/>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s-ES" sz="1000" b="1" kern="1200">
              <a:solidFill>
                <a:sysClr val="window" lastClr="FFFFFF"/>
              </a:solidFill>
              <a:latin typeface="Aptos"/>
              <a:ea typeface="+mn-ea"/>
              <a:cs typeface="+mn-cs"/>
            </a:rPr>
            <a:t>Fillimi i periudhës afatshkurtër</a:t>
          </a:r>
        </a:p>
      </dsp:txBody>
      <dsp:txXfrm>
        <a:off x="735169" y="94551"/>
        <a:ext cx="1202235" cy="544644"/>
      </dsp:txXfrm>
    </dsp:sp>
    <dsp:sp modelId="{6E7CD8A2-B7B8-47CB-BB70-968626585F29}">
      <dsp:nvSpPr>
        <dsp:cNvPr id="0" name=""/>
        <dsp:cNvSpPr/>
      </dsp:nvSpPr>
      <dsp:spPr>
        <a:xfrm>
          <a:off x="1954808" y="3497"/>
          <a:ext cx="1287583" cy="713503"/>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38100" tIns="38100" rIns="38100" bIns="38100" numCol="1" spcCol="1270" anchor="ctr" anchorCtr="0">
          <a:noAutofit/>
        </a:bodyPr>
        <a:lstStyle/>
        <a:p>
          <a:pPr marL="57150" lvl="1" indent="-57150" algn="l" defTabSz="444500">
            <a:lnSpc>
              <a:spcPct val="90000"/>
            </a:lnSpc>
            <a:spcBef>
              <a:spcPct val="0"/>
            </a:spcBef>
            <a:spcAft>
              <a:spcPct val="15000"/>
            </a:spcAft>
            <a:buChar char="•"/>
          </a:pPr>
          <a:r>
            <a:rPr lang="es-ES" sz="1000" b="1" kern="1200">
              <a:solidFill>
                <a:srgbClr val="2B7579"/>
              </a:solidFill>
              <a:latin typeface="Aptos"/>
              <a:ea typeface="+mn-ea"/>
              <a:cs typeface="+mn-cs"/>
            </a:rPr>
            <a:t>2026</a:t>
          </a:r>
          <a:r>
            <a:rPr lang="sq-AL" sz="1000" kern="1200">
              <a:solidFill>
                <a:srgbClr val="5B9BD5">
                  <a:lumMod val="75000"/>
                </a:srgbClr>
              </a:solidFill>
              <a:latin typeface="Calibri" panose="020F0502020204030204"/>
              <a:ea typeface="+mn-ea"/>
              <a:cs typeface="+mn-cs"/>
            </a:rPr>
            <a:t>–</a:t>
          </a:r>
          <a:r>
            <a:rPr lang="es-ES" sz="1000" b="1" kern="1200">
              <a:solidFill>
                <a:srgbClr val="2B7579"/>
              </a:solidFill>
              <a:latin typeface="Aptos"/>
              <a:ea typeface="+mn-ea"/>
              <a:cs typeface="+mn-cs"/>
            </a:rPr>
            <a:t>2028</a:t>
          </a:r>
        </a:p>
      </dsp:txBody>
      <dsp:txXfrm>
        <a:off x="1954808" y="3497"/>
        <a:ext cx="1287583" cy="713503"/>
      </dsp:txXfrm>
    </dsp:sp>
    <dsp:sp modelId="{EDF31832-3BAF-4F91-971C-99B514D13E3A}">
      <dsp:nvSpPr>
        <dsp:cNvPr id="0" name=""/>
        <dsp:cNvSpPr/>
      </dsp:nvSpPr>
      <dsp:spPr>
        <a:xfrm rot="5400000">
          <a:off x="2155539" y="1553396"/>
          <a:ext cx="515524" cy="852912"/>
        </a:xfrm>
        <a:prstGeom prst="bentUpArrow">
          <a:avLst>
            <a:gd name="adj1" fmla="val 32840"/>
            <a:gd name="adj2" fmla="val 25000"/>
            <a:gd name="adj3" fmla="val 35780"/>
          </a:avLst>
        </a:prstGeom>
        <a:solidFill>
          <a:srgbClr val="C7E3D5"/>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dsp:style>
    </dsp:sp>
    <dsp:sp modelId="{D4A50A1A-BE65-441E-AB56-080618E7D9C9}">
      <dsp:nvSpPr>
        <dsp:cNvPr id="0" name=""/>
        <dsp:cNvSpPr/>
      </dsp:nvSpPr>
      <dsp:spPr>
        <a:xfrm>
          <a:off x="1840225" y="864462"/>
          <a:ext cx="1261175" cy="599691"/>
        </a:xfrm>
        <a:prstGeom prst="roundRect">
          <a:avLst>
            <a:gd name="adj" fmla="val 16670"/>
          </a:avLst>
        </a:prstGeom>
        <a:solidFill>
          <a:srgbClr val="2B7579"/>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s-ES" sz="1000" b="1" kern="1200">
              <a:solidFill>
                <a:sysClr val="window" lastClr="FFFFFF"/>
              </a:solidFill>
              <a:latin typeface="Aptos"/>
              <a:ea typeface="+mn-ea"/>
              <a:cs typeface="+mn-cs"/>
            </a:rPr>
            <a:t>Fillimi i periudhës afatmesme</a:t>
          </a:r>
        </a:p>
      </dsp:txBody>
      <dsp:txXfrm>
        <a:off x="1869505" y="893742"/>
        <a:ext cx="1202615" cy="541131"/>
      </dsp:txXfrm>
    </dsp:sp>
    <dsp:sp modelId="{894BD620-92E6-4ABD-B659-9832A400752E}">
      <dsp:nvSpPr>
        <dsp:cNvPr id="0" name=""/>
        <dsp:cNvSpPr/>
      </dsp:nvSpPr>
      <dsp:spPr>
        <a:xfrm>
          <a:off x="3151272" y="798733"/>
          <a:ext cx="1973885" cy="713503"/>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38100" tIns="38100" rIns="38100" bIns="38100" numCol="1" spcCol="1270" anchor="ctr" anchorCtr="0">
          <a:noAutofit/>
        </a:bodyPr>
        <a:lstStyle/>
        <a:p>
          <a:pPr marL="57150" lvl="1" indent="-57150" algn="l" defTabSz="444500">
            <a:lnSpc>
              <a:spcPct val="90000"/>
            </a:lnSpc>
            <a:spcBef>
              <a:spcPct val="0"/>
            </a:spcBef>
            <a:spcAft>
              <a:spcPct val="15000"/>
            </a:spcAft>
            <a:buChar char="•"/>
          </a:pPr>
          <a:r>
            <a:rPr lang="es-ES" sz="1000" b="1" kern="1200">
              <a:solidFill>
                <a:srgbClr val="2B7579"/>
              </a:solidFill>
              <a:latin typeface="Aptos"/>
              <a:ea typeface="+mn-ea"/>
              <a:cs typeface="+mn-cs"/>
            </a:rPr>
            <a:t>2029 </a:t>
          </a:r>
          <a:r>
            <a:rPr lang="sq-AL" sz="1000" kern="1200">
              <a:solidFill>
                <a:srgbClr val="5B9BD5">
                  <a:lumMod val="75000"/>
                </a:srgbClr>
              </a:solidFill>
              <a:latin typeface="Calibri" panose="020F0502020204030204"/>
              <a:ea typeface="+mn-ea"/>
              <a:cs typeface="+mn-cs"/>
            </a:rPr>
            <a:t>–</a:t>
          </a:r>
          <a:r>
            <a:rPr lang="es-ES" sz="1000" b="1" kern="1200">
              <a:solidFill>
                <a:srgbClr val="2B7579"/>
              </a:solidFill>
              <a:latin typeface="Aptos"/>
              <a:ea typeface="+mn-ea"/>
              <a:cs typeface="+mn-cs"/>
            </a:rPr>
            <a:t>2032</a:t>
          </a:r>
        </a:p>
      </dsp:txBody>
      <dsp:txXfrm>
        <a:off x="3151272" y="798733"/>
        <a:ext cx="1973885" cy="713503"/>
      </dsp:txXfrm>
    </dsp:sp>
    <dsp:sp modelId="{1D86544E-7BE8-4D2E-80D0-46E328C7A63D}">
      <dsp:nvSpPr>
        <dsp:cNvPr id="0" name=""/>
        <dsp:cNvSpPr/>
      </dsp:nvSpPr>
      <dsp:spPr>
        <a:xfrm>
          <a:off x="2974751" y="1725962"/>
          <a:ext cx="1261175" cy="457960"/>
        </a:xfrm>
        <a:prstGeom prst="roundRect">
          <a:avLst>
            <a:gd name="adj" fmla="val 16670"/>
          </a:avLst>
        </a:prstGeom>
        <a:solidFill>
          <a:srgbClr val="2B7579"/>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s-ES" sz="1000" b="1" kern="1200">
              <a:solidFill>
                <a:sysClr val="window" lastClr="FFFFFF"/>
              </a:solidFill>
              <a:latin typeface="Aptos"/>
              <a:ea typeface="+mn-ea"/>
              <a:cs typeface="+mn-cs"/>
            </a:rPr>
            <a:t>Fillimi i periudhës afatgjatë</a:t>
          </a:r>
        </a:p>
      </dsp:txBody>
      <dsp:txXfrm>
        <a:off x="2997111" y="1748322"/>
        <a:ext cx="1216455" cy="413240"/>
      </dsp:txXfrm>
    </dsp:sp>
    <dsp:sp modelId="{4D109254-8898-4F2A-A7BF-DCBD5E70E496}">
      <dsp:nvSpPr>
        <dsp:cNvPr id="0" name=""/>
        <dsp:cNvSpPr/>
      </dsp:nvSpPr>
      <dsp:spPr>
        <a:xfrm>
          <a:off x="4238765" y="1589368"/>
          <a:ext cx="1414348" cy="713503"/>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38100" tIns="38100" rIns="38100" bIns="38100" numCol="1" spcCol="1270" anchor="ctr" anchorCtr="0">
          <a:noAutofit/>
        </a:bodyPr>
        <a:lstStyle/>
        <a:p>
          <a:pPr marL="57150" lvl="1" indent="-57150" algn="l" defTabSz="444500">
            <a:lnSpc>
              <a:spcPct val="90000"/>
            </a:lnSpc>
            <a:spcBef>
              <a:spcPct val="0"/>
            </a:spcBef>
            <a:spcAft>
              <a:spcPct val="15000"/>
            </a:spcAft>
            <a:buChar char="•"/>
          </a:pPr>
          <a:r>
            <a:rPr lang="es-ES" sz="1000" b="1" kern="1200">
              <a:solidFill>
                <a:srgbClr val="2B7579"/>
              </a:solidFill>
              <a:latin typeface="Aptos"/>
              <a:ea typeface="+mn-ea"/>
              <a:cs typeface="+mn-cs"/>
            </a:rPr>
            <a:t>2033</a:t>
          </a:r>
          <a:r>
            <a:rPr lang="sq-AL" sz="1000" kern="1200">
              <a:solidFill>
                <a:srgbClr val="5B9BD5">
                  <a:lumMod val="75000"/>
                </a:srgbClr>
              </a:solidFill>
              <a:latin typeface="Calibri" panose="020F0502020204030204"/>
              <a:ea typeface="+mn-ea"/>
              <a:cs typeface="+mn-cs"/>
            </a:rPr>
            <a:t>–</a:t>
          </a:r>
          <a:r>
            <a:rPr lang="es-ES" sz="1000" b="1" kern="1200">
              <a:solidFill>
                <a:srgbClr val="2B7579"/>
              </a:solidFill>
              <a:latin typeface="Aptos"/>
              <a:ea typeface="+mn-ea"/>
              <a:cs typeface="+mn-cs"/>
            </a:rPr>
            <a:t>2036</a:t>
          </a:r>
        </a:p>
      </dsp:txBody>
      <dsp:txXfrm>
        <a:off x="4238765" y="1589368"/>
        <a:ext cx="1414348" cy="713503"/>
      </dsp:txXfrm>
    </dsp:sp>
  </dsp:spTree>
</dsp:drawing>
</file>

<file path=word/diagrams/layout1.xml><?xml version="1.0" encoding="utf-8"?>
<dgm:layoutDef xmlns:dgm="http://schemas.openxmlformats.org/drawingml/2006/diagram" xmlns:a="http://schemas.openxmlformats.org/drawingml/2006/main" uniqueId="urn:microsoft.com/office/officeart/2005/8/layout/StepDownProcess">
  <dgm:title val=""/>
  <dgm:desc val=""/>
  <dgm:catLst>
    <dgm:cat type="process" pri="1600"/>
  </dgm:catLst>
  <dgm:sampData>
    <dgm:dataModel>
      <dgm:ptLst>
        <dgm:pt modelId="0" type="doc"/>
        <dgm:pt modelId="10">
          <dgm:prSet phldr="1"/>
        </dgm:pt>
        <dgm:pt modelId="11">
          <dgm:prSet phldr="1"/>
        </dgm:pt>
        <dgm:pt modelId="20">
          <dgm:prSet phldr="1"/>
        </dgm:pt>
        <dgm:pt modelId="21">
          <dgm:prSet phldr="1"/>
        </dgm:pt>
        <dgm:pt modelId="30">
          <dgm:prSet phldr="1"/>
        </dgm:pt>
        <dgm:pt modelId="31">
          <dgm:prSet phldr="1"/>
        </dgm:pt>
      </dgm:ptLst>
      <dgm:cxnLst>
        <dgm:cxn modelId="60" srcId="0" destId="10" srcOrd="0" destOrd="0"/>
        <dgm:cxn modelId="12" srcId="10" destId="11" srcOrd="0" destOrd="0"/>
        <dgm:cxn modelId="70" srcId="0" destId="20" srcOrd="1" destOrd="0"/>
        <dgm:cxn modelId="22" srcId="20" destId="21" srcOrd="0" destOrd="0"/>
        <dgm:cxn modelId="80" srcId="0" destId="30" srcOrd="2" destOrd="0"/>
        <dgm:cxn modelId="32" srcId="30" destId="31" srcOrd="0" destOrd="0"/>
      </dgm:cxnLst>
      <dgm:bg/>
      <dgm:whole/>
    </dgm:dataModel>
  </dgm:sampData>
  <dgm:styleData>
    <dgm:dataModel>
      <dgm:ptLst>
        <dgm:pt modelId="0" type="doc"/>
        <dgm:pt modelId="10">
          <dgm:prSet phldr="1"/>
        </dgm:pt>
        <dgm:pt modelId="20">
          <dgm:prSet phldr="1"/>
        </dgm:pt>
      </dgm:ptLst>
      <dgm:cxnLst>
        <dgm:cxn modelId="60" srcId="0" destId="10" srcOrd="0" destOrd="0"/>
        <dgm:cxn modelId="70" srcId="0" destId="20" srcOrd="1" destOrd="0"/>
      </dgm:cxnLst>
      <dgm:bg/>
      <dgm:whole/>
    </dgm:dataModel>
  </dgm:styleData>
  <dgm:clrData>
    <dgm:dataModel>
      <dgm:ptLst>
        <dgm:pt modelId="0" type="doc"/>
        <dgm:pt modelId="10">
          <dgm:prSet phldr="1"/>
        </dgm:pt>
        <dgm:pt modelId="20">
          <dgm:prSet phldr="1"/>
        </dgm:pt>
        <dgm:pt modelId="30">
          <dgm:prSet phldr="1"/>
        </dgm:pt>
        <dgm:pt modelId="40">
          <dgm:prSet phldr="1"/>
        </dgm:pt>
      </dgm:ptLst>
      <dgm:cxnLst>
        <dgm:cxn modelId="60" srcId="0" destId="10" srcOrd="0" destOrd="0"/>
        <dgm:cxn modelId="70" srcId="0" destId="20" srcOrd="1" destOrd="0"/>
        <dgm:cxn modelId="80" srcId="0" destId="30" srcOrd="2" destOrd="0"/>
        <dgm:cxn modelId="90" srcId="0" destId="40" srcOrd="3" destOrd="0"/>
      </dgm:cxnLst>
      <dgm:bg/>
      <dgm:whole/>
    </dgm:dataModel>
  </dgm:clrData>
  <dgm:layoutNode name="rootnode">
    <dgm:varLst>
      <dgm:chMax/>
      <dgm:chPref/>
      <dgm:dir/>
      <dgm:animLvl val="lvl"/>
    </dgm:varLst>
    <dgm:choose name="Name0">
      <dgm:if name="Name1" func="var" arg="dir" op="equ" val="norm">
        <dgm:alg type="snake">
          <dgm:param type="grDir" val="tL"/>
          <dgm:param type="flowDir" val="row"/>
          <dgm:param type="off" val="off"/>
          <dgm:param type="bkpt" val="fixed"/>
          <dgm:param type="bkPtFixedVal" val="1"/>
        </dgm:alg>
      </dgm:if>
      <dgm:else name="Name2">
        <dgm:alg type="snake">
          <dgm:param type="grDir" val="tR"/>
          <dgm:param type="flowDir" val="row"/>
          <dgm:param type="off" val="off"/>
          <dgm:param type="bkpt" val="fixed"/>
          <dgm:param type="bkPtFixedVal" val="1"/>
        </dgm:alg>
      </dgm:else>
    </dgm:choose>
    <dgm:shape xmlns:r="http://schemas.openxmlformats.org/officeDocument/2006/relationships" r:blip="">
      <dgm:adjLst/>
    </dgm:shape>
    <dgm:choose name="Name3">
      <dgm:if name="Name4" func="var" arg="dir" op="equ" val="norm">
        <dgm:constrLst>
          <dgm:constr type="alignOff" forName="rootnode" val="0.48"/>
          <dgm:constr type="primFontSz" for="des" forName="ParentText" val="65"/>
          <dgm:constr type="primFontSz" for="des" forName="ChildText" refType="primFontSz" refFor="des" refForName="ParentText" op="lte"/>
          <dgm:constr type="w" for="ch" forName="composite" refType="w"/>
          <dgm:constr type="h" for="ch" forName="composite" refType="h"/>
          <dgm:constr type="sp" refType="h" refFor="ch" refForName="composite" op="equ" fact="-0.38"/>
        </dgm:constrLst>
      </dgm:if>
      <dgm:else name="Name5">
        <dgm:constrLst>
          <dgm:constr type="alignOff" forName="rootnode" val="0.48"/>
          <dgm:constr type="primFontSz" for="des" forName="ParentText" val="65"/>
          <dgm:constr type="primFontSz" for="des" forName="ChildText" refType="primFontSz" refFor="des" refForName="ParentText" op="lte"/>
          <dgm:constr type="w" for="ch" forName="composite" refType="w"/>
          <dgm:constr type="h" for="ch" forName="composite" refType="h"/>
          <dgm:constr type="sp" refType="h" refFor="ch" refForName="composite" op="equ" fact="-0.38"/>
        </dgm:constrLst>
      </dgm:else>
    </dgm:choose>
    <dgm:forEach name="nodesForEach" axis="ch" ptType="node">
      <dgm:layoutNode name="composite">
        <dgm:alg type="composite">
          <dgm:param type="ar" val="1.2439"/>
        </dgm:alg>
        <dgm:shape xmlns:r="http://schemas.openxmlformats.org/officeDocument/2006/relationships" r:blip="">
          <dgm:adjLst/>
        </dgm:shape>
        <dgm:choose name="Name6">
          <dgm:if name="Name7" func="var" arg="dir" op="equ" val="norm">
            <dgm:constrLst>
              <dgm:constr type="l" for="ch" forName="bentUpArrow1" refType="w" fact="0.07"/>
              <dgm:constr type="t" for="ch" forName="bentUpArrow1" refType="h" fact="0.524"/>
              <dgm:constr type="w" for="ch" forName="bentUpArrow1" refType="w" fact="0.3844"/>
              <dgm:constr type="h" for="ch" forName="bentUpArrow1" refType="h" fact="0.42"/>
              <dgm:constr type="l" for="ch" forName="ParentText" refType="w" fact="0"/>
              <dgm:constr type="t" for="ch" forName="ParentText" refType="h" fact="0"/>
              <dgm:constr type="w" for="ch" forName="ParentText" refType="w" fact="0.5684"/>
              <dgm:constr type="h" for="ch" forName="ParentText" refType="h" fact="0.4949"/>
              <dgm:constr type="l" for="ch" forName="ChildText" refType="w" refFor="ch" refForName="ParentText"/>
              <dgm:constr type="t" for="ch" forName="ChildText" refType="h" fact="0.05"/>
              <dgm:constr type="w" for="ch" forName="ChildText" refType="w" fact="0.4134"/>
              <dgm:constr type="h" for="ch" forName="ChildText" refType="h" fact="0.4"/>
              <dgm:constr type="l" for="ch" forName="FinalChildText" refType="w" refFor="ch" refForName="ParentText"/>
              <dgm:constr type="t" for="ch" forName="FinalChildText" refType="h" fact="0.05"/>
              <dgm:constr type="w" for="ch" forName="FinalChildText" refType="w" fact="0.4134"/>
              <dgm:constr type="h" for="ch" forName="FinalChildText" refType="h" fact="0.4"/>
            </dgm:constrLst>
          </dgm:if>
          <dgm:else name="Name8">
            <dgm:constrLst>
              <dgm:constr type="r" for="ch" forName="bentUpArrow1" refType="w" fact="0.97"/>
              <dgm:constr type="t" for="ch" forName="bentUpArrow1" refType="h" fact="0.524"/>
              <dgm:constr type="w" for="ch" forName="bentUpArrow1" refType="w" fact="0.3844"/>
              <dgm:constr type="h" for="ch" forName="bentUpArrow1" refType="h" fact="0.42"/>
              <dgm:constr type="l" for="ch" forName="ParentText" refType="w" fact="0.4316"/>
              <dgm:constr type="t" for="ch" forName="ParentText" refType="h" fact="0"/>
              <dgm:constr type="w" for="ch" forName="ParentText" refType="w" fact="0.5684"/>
              <dgm:constr type="h" for="ch" forName="ParentText" refType="h" fact="0.4949"/>
              <dgm:constr type="l" for="ch" forName="ChildText" refType="w" fact="0"/>
              <dgm:constr type="t" for="ch" forName="ChildText" refType="h" fact="0.05"/>
              <dgm:constr type="w" for="ch" forName="ChildText" refType="w" fact="0.4134"/>
              <dgm:constr type="h" for="ch" forName="ChildText" refType="h" fact="0.4"/>
              <dgm:constr type="l" for="ch" forName="FinalChildText" refType="w" fact="0"/>
              <dgm:constr type="t" for="ch" forName="FinalChildText" refType="h" fact="0.05"/>
              <dgm:constr type="w" for="ch" forName="FinalChildText" refType="w" fact="0.4134"/>
              <dgm:constr type="h" for="ch" forName="FinalChildText" refType="h" fact="0.4"/>
            </dgm:constrLst>
          </dgm:else>
        </dgm:choose>
        <dgm:choose name="Name9">
          <dgm:if name="Name10" axis="followSib" ptType="node" func="cnt" op="gte" val="1">
            <dgm:layoutNode name="bentUpArrow1" styleLbl="alignImgPlace1">
              <dgm:alg type="sp"/>
              <dgm:choose name="Name11">
                <dgm:if name="Name12" func="var" arg="dir" op="equ" val="norm">
                  <dgm:shape xmlns:r="http://schemas.openxmlformats.org/officeDocument/2006/relationships" rot="90" type="bentUpArrow" r:blip="">
                    <dgm:adjLst>
                      <dgm:adj idx="1" val="0.3284"/>
                      <dgm:adj idx="2" val="0.25"/>
                      <dgm:adj idx="3" val="0.3578"/>
                    </dgm:adjLst>
                  </dgm:shape>
                </dgm:if>
                <dgm:else name="Name13">
                  <dgm:shape xmlns:r="http://schemas.openxmlformats.org/officeDocument/2006/relationships" rot="180" type="bentArrow" r:blip="">
                    <dgm:adjLst>
                      <dgm:adj idx="1" val="0.3284"/>
                      <dgm:adj idx="2" val="0.25"/>
                      <dgm:adj idx="3" val="0.3578"/>
                      <dgm:adj idx="4" val="0"/>
                    </dgm:adjLst>
                  </dgm:shape>
                </dgm:else>
              </dgm:choose>
              <dgm:presOf/>
            </dgm:layoutNode>
          </dgm:if>
          <dgm:else name="Name14"/>
        </dgm:choose>
        <dgm:layoutNode name="ParentText" styleLbl="node1">
          <dgm:varLst>
            <dgm:chMax val="1"/>
            <dgm:chPref val="1"/>
            <dgm:bulletEnabled val="1"/>
          </dgm:varLst>
          <dgm:alg type="tx"/>
          <dgm:shape xmlns:r="http://schemas.openxmlformats.org/officeDocument/2006/relationships" type="roundRect" r:blip="">
            <dgm:adjLst>
              <dgm:adj idx="1" val="0.1667"/>
            </dgm:adjLst>
          </dgm:shape>
          <dgm:presOf axis="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choose name="Name15">
          <dgm:if name="Name16" axis="followSib" ptType="node" func="cnt" op="equ" val="0">
            <dgm:choose name="Name17">
              <dgm:if name="Name18" axis="ch" ptType="node" func="cnt" op="gte" val="1">
                <dgm:layoutNode name="FinalChildText" styleLbl="revTx">
                  <dgm:varLst>
                    <dgm:chMax val="0"/>
                    <dgm:chPref val="0"/>
                    <dgm:bulletEnabled val="1"/>
                  </dgm:varLst>
                  <dgm:alg type="tx">
                    <dgm:param type="stBulletLvl" val="1"/>
                    <dgm:param type="txAnchorVertCh" val="mid"/>
                    <dgm:param type="parTxLTRAlign" val="l"/>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19"/>
            </dgm:choose>
          </dgm:if>
          <dgm:else name="Name20">
            <dgm:layoutNode name="ChildText" styleLbl="revTx">
              <dgm:varLst>
                <dgm:chMax val="0"/>
                <dgm:chPref val="0"/>
                <dgm:bulletEnabled val="1"/>
              </dgm:varLst>
              <dgm:alg type="tx">
                <dgm:param type="stBulletLvl" val="1"/>
                <dgm:param type="txAnchorVertCh" val="mid"/>
                <dgm:param type="parTxLTRAlign" val="l"/>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else>
        </dgm:choose>
      </dgm:layoutNode>
      <dgm:forEach name="sibTransForEach" axis="followSib" ptType="sibTrans" cnt="1">
        <dgm:layoutNode name="sibTrans">
          <dgm:alg type="sp"/>
          <dgm:shape xmlns:r="http://schemas.openxmlformats.org/officeDocument/2006/relationships" r:blip="">
            <dgm:adjLst/>
          </dgm:shap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93BCF3CB8F014315837EE219C135862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ct:contentTypeSchema xmlns:ct="http://schemas.microsoft.com/office/2006/metadata/contentType" xmlns:ma="http://schemas.microsoft.com/office/2006/metadata/properties/metaAttributes" ct:_="" ma:_="" ma:contentTypeName="Akt ligjor" ma:contentTypeID="0x01010093BCF3CB8F014315837EE219C135862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466</Nr_x002e__x0020_akti>
    <Data_x0020_e_x0020_Krijimit xmlns="0e656187-b300-4fb0-8bf4-3a50f872073c">2019-07-08T13:10:32Z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2019-07-03T22:00:00Z</Date_x0020_protokolli>
    <Titulli xmlns="0e656187-b300-4fb0-8bf4-3a50f872073c">Për miratimin e dokumentit strategjik dhe të planeve kombëtare për zbutjen e gazeve me efekt serrë dhe për përshtatjen ndaj ndryshimeve klimatike</Titulli>
    <Modifikuesi xmlns="0e656187-b300-4fb0-8bf4-3a50f872073c">jorina.kryeziu</Modifikuesi>
    <Nr_x002e__x0020_prot_x0020_QBZ xmlns="0e656187-b300-4fb0-8bf4-3a50f872073c">1023</Nr_x002e__x0020_prot_x0020_QBZ>
    <Data_x0020_e_x0020_Modifikimit xmlns="0e656187-b300-4fb0-8bf4-3a50f872073c">2019-07-10T12:43:41Z</Data_x0020_e_x0020_Modifikimit>
    <Dekretuar xmlns="0e656187-b300-4fb0-8bf4-3a50f872073c">false</Dekretuar>
    <Data xmlns="0e656187-b300-4fb0-8bf4-3a50f872073c">2019-07-02T22:00:00Z</Data>
    <Nr_x002e__x0020_protokolli_x0020_i_x0020_aktit xmlns="0e656187-b300-4fb0-8bf4-3a50f872073c">3525/1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1574C3-CD13-4E71-8B1B-113469F974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9FB14719-F46F-41AB-9422-805DBC94C3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58193092-7FC5-4814-847A-D9E0777FF8DF}">
  <ds:schemaRefs>
    <ds:schemaRef ds:uri="http://schemas.microsoft.com/sharepoint/v3/contenttype/forms"/>
  </ds:schemaRefs>
</ds:datastoreItem>
</file>

<file path=customXml/itemProps4.xml><?xml version="1.0" encoding="utf-8"?>
<ds:datastoreItem xmlns:ds="http://schemas.openxmlformats.org/officeDocument/2006/customXml" ds:itemID="{6F57550B-E581-4469-88B1-E9073C1F1A72}">
  <ds:schemaRefs>
    <ds:schemaRef ds:uri="http://schemas.microsoft.com/sharepoint/v3/contenttype/forms"/>
  </ds:schemaRefs>
</ds:datastoreItem>
</file>

<file path=customXml/itemProps5.xml><?xml version="1.0" encoding="utf-8"?>
<ds:datastoreItem xmlns:ds="http://schemas.openxmlformats.org/officeDocument/2006/customXml" ds:itemID="{312A7684-6F83-4226-AFB3-EEE9A85BE649}">
  <ds:schemaRefs>
    <ds:schemaRef ds:uri="http://schemas.microsoft.com/office/2006/metadata/properties"/>
    <ds:schemaRef ds:uri="http://schemas.microsoft.com/office/infopath/2007/PartnerControls"/>
    <ds:schemaRef ds:uri="0e656187-b300-4fb0-8bf4-3a50f872073c"/>
  </ds:schemaRefs>
</ds:datastoreItem>
</file>

<file path=customXml/itemProps6.xml><?xml version="1.0" encoding="utf-8"?>
<ds:datastoreItem xmlns:ds="http://schemas.openxmlformats.org/officeDocument/2006/customXml" ds:itemID="{1A826D6A-0C1E-46B3-83A2-15512749D0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311</Pages>
  <Words>154856</Words>
  <Characters>882681</Characters>
  <Application>Microsoft Office Word</Application>
  <DocSecurity>0</DocSecurity>
  <Lines>7355</Lines>
  <Paragraphs>2070</Paragraphs>
  <ScaleCrop>false</ScaleCrop>
  <HeadingPairs>
    <vt:vector size="2" baseType="variant">
      <vt:variant>
        <vt:lpstr>Title</vt:lpstr>
      </vt:variant>
      <vt:variant>
        <vt:i4>1</vt:i4>
      </vt:variant>
    </vt:vector>
  </HeadingPairs>
  <TitlesOfParts>
    <vt:vector size="1" baseType="lpstr">
      <vt:lpstr>Për miratimin e dokumentit strategjik dhe të planeve kombëtare për zbutjen e gazeve me efekt serrë dhe për përshtatjen ndaj ndryshimeve klimatike</vt:lpstr>
    </vt:vector>
  </TitlesOfParts>
  <Company/>
  <LinksUpToDate>false</LinksUpToDate>
  <CharactersWithSpaces>1035467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dokumentit strategjik dhe të planeve kombëtare për zbutjen e gazeve me efekt serrë dhe për përshtatjen ndaj ndryshimeve klimatike</dc:title>
  <dc:creator>Vjollca Pacrami</dc:creator>
  <cp:lastModifiedBy>Rovena Lipe</cp:lastModifiedBy>
  <cp:revision>2</cp:revision>
  <dcterms:created xsi:type="dcterms:W3CDTF">2026-07-06T10:42:00Z</dcterms:created>
  <dcterms:modified xsi:type="dcterms:W3CDTF">2026-07-06T10:42:00Z</dcterms:modified>
</cp:coreProperties>
</file>